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D34276" w14:textId="2559961A" w:rsidR="00A96E85" w:rsidRPr="00FB4EFA" w:rsidRDefault="00A96E85" w:rsidP="00402EF4">
      <w:pPr>
        <w:spacing w:after="160"/>
        <w:jc w:val="left"/>
        <w:rPr>
          <w:rFonts w:ascii="Gill Sans MT" w:hAnsi="Gill Sans MT"/>
          <w:sz w:val="32"/>
          <w:szCs w:val="32"/>
        </w:rPr>
      </w:pPr>
      <w:bookmarkStart w:id="0" w:name="_Hlk104239621"/>
      <w:r w:rsidRPr="00FB4EFA">
        <w:rPr>
          <w:rFonts w:ascii="Gill Sans MT" w:hAnsi="Gill Sans MT"/>
          <w:sz w:val="32"/>
          <w:szCs w:val="32"/>
        </w:rPr>
        <w:br w:type="page"/>
      </w:r>
    </w:p>
    <w:p w14:paraId="57A96ED9" w14:textId="54BB63CE" w:rsidR="00A96E85" w:rsidRPr="00FB4EFA" w:rsidRDefault="00A96E85" w:rsidP="00402EF4">
      <w:pPr>
        <w:spacing w:after="160"/>
        <w:jc w:val="left"/>
        <w:rPr>
          <w:rFonts w:ascii="Gill Sans MT" w:hAnsi="Gill Sans MT"/>
          <w:sz w:val="32"/>
          <w:szCs w:val="32"/>
        </w:rPr>
      </w:pPr>
      <w:r w:rsidRPr="00FB4EFA">
        <w:rPr>
          <w:rFonts w:ascii="Gill Sans MT" w:hAnsi="Gill Sans MT"/>
          <w:sz w:val="32"/>
          <w:szCs w:val="32"/>
        </w:rPr>
        <w:lastRenderedPageBreak/>
        <w:br w:type="page"/>
      </w:r>
    </w:p>
    <w:p w14:paraId="1A0E6DB3" w14:textId="383CDE20" w:rsidR="00A96E85" w:rsidRPr="00FB4EFA" w:rsidRDefault="00A96E85" w:rsidP="00402EF4">
      <w:pPr>
        <w:spacing w:before="480"/>
        <w:jc w:val="right"/>
        <w:rPr>
          <w:rFonts w:ascii="Gill Sans MT" w:hAnsi="Gill Sans MT"/>
          <w:sz w:val="32"/>
          <w:szCs w:val="32"/>
        </w:rPr>
      </w:pPr>
      <w:r w:rsidRPr="00FB4EFA">
        <w:rPr>
          <w:rFonts w:ascii="Gill Sans MT" w:hAnsi="Gill Sans MT"/>
          <w:sz w:val="32"/>
          <w:szCs w:val="32"/>
        </w:rPr>
        <w:lastRenderedPageBreak/>
        <w:t>Jeremy Bradley</w:t>
      </w:r>
      <w:r w:rsidR="003928A2" w:rsidRPr="00FB4EFA">
        <w:rPr>
          <w:rFonts w:ascii="Gill Sans MT" w:hAnsi="Gill Sans MT"/>
          <w:sz w:val="32"/>
          <w:szCs w:val="32"/>
        </w:rPr>
        <w:t xml:space="preserve"> </w:t>
      </w:r>
      <w:r w:rsidRPr="00FB4EFA">
        <w:rPr>
          <w:rFonts w:ascii="Gill Sans MT" w:hAnsi="Gill Sans MT"/>
          <w:sz w:val="32"/>
          <w:szCs w:val="32"/>
        </w:rPr>
        <w:t>(</w:t>
      </w:r>
      <w:r w:rsidR="00E91B1E" w:rsidRPr="00FB4EFA">
        <w:rPr>
          <w:rFonts w:ascii="Gill Sans MT" w:hAnsi="Gill Sans MT"/>
          <w:sz w:val="32"/>
          <w:szCs w:val="32"/>
        </w:rPr>
        <w:t>Hg.</w:t>
      </w:r>
      <w:r w:rsidRPr="00FB4EFA">
        <w:rPr>
          <w:rFonts w:ascii="Gill Sans MT" w:hAnsi="Gill Sans MT"/>
          <w:sz w:val="32"/>
          <w:szCs w:val="32"/>
        </w:rPr>
        <w:t>)</w:t>
      </w:r>
    </w:p>
    <w:p w14:paraId="48CD280C" w14:textId="16305AC6" w:rsidR="008F73FD" w:rsidRPr="00FB4EFA" w:rsidRDefault="00EA1D18" w:rsidP="00402EF4">
      <w:pPr>
        <w:spacing w:before="840"/>
        <w:jc w:val="right"/>
        <w:rPr>
          <w:rFonts w:ascii="Gill Sans MT" w:hAnsi="Gill Sans MT"/>
          <w:sz w:val="40"/>
          <w:szCs w:val="40"/>
        </w:rPr>
      </w:pPr>
      <w:r w:rsidRPr="00FB4EFA">
        <w:rPr>
          <w:rFonts w:ascii="Gill Sans MT" w:hAnsi="Gill Sans MT"/>
          <w:sz w:val="40"/>
          <w:szCs w:val="40"/>
        </w:rPr>
        <w:t>Tonavan Laakso</w:t>
      </w:r>
      <w:r w:rsidR="0052504A" w:rsidRPr="00FB4EFA">
        <w:rPr>
          <w:rFonts w:ascii="Gill Sans MT" w:hAnsi="Gill Sans MT"/>
          <w:sz w:val="40"/>
          <w:szCs w:val="40"/>
        </w:rPr>
        <w:t>:</w:t>
      </w:r>
      <w:r w:rsidR="00A96E85" w:rsidRPr="00FB4EFA">
        <w:rPr>
          <w:rFonts w:ascii="Gill Sans MT" w:hAnsi="Gill Sans MT"/>
          <w:sz w:val="40"/>
          <w:szCs w:val="40"/>
        </w:rPr>
        <w:br/>
      </w:r>
      <w:r w:rsidR="0077094B" w:rsidRPr="00FB4EFA">
        <w:rPr>
          <w:rFonts w:ascii="Gill Sans MT" w:hAnsi="Gill Sans MT"/>
          <w:sz w:val="40"/>
          <w:szCs w:val="40"/>
        </w:rPr>
        <w:t xml:space="preserve">Eine Festschrift für </w:t>
      </w:r>
      <w:r w:rsidRPr="00FB4EFA">
        <w:rPr>
          <w:rFonts w:ascii="Gill Sans MT" w:hAnsi="Gill Sans MT"/>
          <w:sz w:val="40"/>
          <w:szCs w:val="40"/>
        </w:rPr>
        <w:t>Johanna Laakso</w:t>
      </w:r>
    </w:p>
    <w:p w14:paraId="31EFE6AF" w14:textId="7B58D6FC" w:rsidR="00A96E85" w:rsidRPr="00FB4EFA" w:rsidRDefault="00A96E85" w:rsidP="00AF0CAD">
      <w:pPr>
        <w:pBdr>
          <w:top w:val="single" w:sz="4" w:space="1" w:color="auto"/>
          <w:left w:val="single" w:sz="4" w:space="4" w:color="auto"/>
          <w:bottom w:val="single" w:sz="4" w:space="1" w:color="auto"/>
          <w:right w:val="single" w:sz="4" w:space="4" w:color="auto"/>
        </w:pBdr>
        <w:spacing w:before="5760"/>
        <w:jc w:val="center"/>
        <w:rPr>
          <w:rFonts w:ascii="Gill Sans MT" w:hAnsi="Gill Sans MT"/>
        </w:rPr>
      </w:pPr>
      <w:r w:rsidRPr="00FB4EFA">
        <w:rPr>
          <w:rFonts w:ascii="Gill Sans MT" w:hAnsi="Gill Sans MT"/>
        </w:rPr>
        <w:t xml:space="preserve">Mit redaktioneller Beteiligung von </w:t>
      </w:r>
      <w:r w:rsidR="003928A2" w:rsidRPr="00FB4EFA">
        <w:rPr>
          <w:rFonts w:ascii="Gill Sans MT" w:hAnsi="Gill Sans MT"/>
        </w:rPr>
        <w:br/>
      </w:r>
      <w:r w:rsidR="003928A2" w:rsidRPr="00FB4EFA">
        <w:rPr>
          <w:rFonts w:ascii="Gill Sans MT" w:hAnsi="Gill Sans MT"/>
          <w:b/>
          <w:bCs/>
        </w:rPr>
        <w:t>Márta Csire, E</w:t>
      </w:r>
      <w:r w:rsidRPr="00FB4EFA">
        <w:rPr>
          <w:rFonts w:ascii="Gill Sans MT" w:hAnsi="Gill Sans MT"/>
          <w:b/>
          <w:bCs/>
        </w:rPr>
        <w:t>rika Erlinghagen</w:t>
      </w:r>
      <w:r w:rsidRPr="00FB4EFA">
        <w:rPr>
          <w:rFonts w:ascii="Gill Sans MT" w:hAnsi="Gill Sans MT"/>
        </w:rPr>
        <w:t xml:space="preserve">, </w:t>
      </w:r>
      <w:r w:rsidRPr="00FB4EFA">
        <w:rPr>
          <w:rFonts w:ascii="Gill Sans MT" w:hAnsi="Gill Sans MT"/>
          <w:b/>
          <w:bCs/>
        </w:rPr>
        <w:t>Johannes Hirvonen</w:t>
      </w:r>
      <w:r w:rsidRPr="00FB4EFA">
        <w:rPr>
          <w:rFonts w:ascii="Gill Sans MT" w:hAnsi="Gill Sans MT"/>
        </w:rPr>
        <w:t xml:space="preserve">, </w:t>
      </w:r>
      <w:r w:rsidR="00344A65" w:rsidRPr="00FB4EFA">
        <w:rPr>
          <w:rFonts w:ascii="Gill Sans MT" w:hAnsi="Gill Sans MT"/>
        </w:rPr>
        <w:br/>
      </w:r>
      <w:r w:rsidRPr="00FB4EFA">
        <w:rPr>
          <w:rFonts w:ascii="Gill Sans MT" w:hAnsi="Gill Sans MT"/>
          <w:b/>
          <w:bCs/>
        </w:rPr>
        <w:t>Sampsa Holopainen</w:t>
      </w:r>
      <w:r w:rsidRPr="00FB4EFA">
        <w:rPr>
          <w:rFonts w:ascii="Gill Sans MT" w:hAnsi="Gill Sans MT"/>
        </w:rPr>
        <w:t xml:space="preserve">, </w:t>
      </w:r>
      <w:r w:rsidRPr="00FB4EFA">
        <w:rPr>
          <w:rFonts w:ascii="Gill Sans MT" w:hAnsi="Gill Sans MT"/>
          <w:b/>
          <w:bCs/>
        </w:rPr>
        <w:t>Mikko Kajander</w:t>
      </w:r>
      <w:r w:rsidRPr="00FB4EFA">
        <w:rPr>
          <w:rFonts w:ascii="Gill Sans MT" w:hAnsi="Gill Sans MT"/>
        </w:rPr>
        <w:t xml:space="preserve">, </w:t>
      </w:r>
      <w:r w:rsidR="007F1A91" w:rsidRPr="00FB4EFA">
        <w:rPr>
          <w:rFonts w:ascii="Gill Sans MT" w:hAnsi="Gill Sans MT"/>
          <w:b/>
          <w:bCs/>
        </w:rPr>
        <w:t>Heidelinde Lindorfer</w:t>
      </w:r>
      <w:r w:rsidR="007F1A91" w:rsidRPr="00FB4EFA">
        <w:rPr>
          <w:rFonts w:ascii="Gill Sans MT" w:hAnsi="Gill Sans MT"/>
        </w:rPr>
        <w:t xml:space="preserve">, </w:t>
      </w:r>
      <w:r w:rsidR="00344A65" w:rsidRPr="00FB4EFA">
        <w:rPr>
          <w:rFonts w:ascii="Gill Sans MT" w:hAnsi="Gill Sans MT"/>
        </w:rPr>
        <w:br/>
      </w:r>
      <w:r w:rsidRPr="00FB4EFA">
        <w:rPr>
          <w:rFonts w:ascii="Gill Sans MT" w:hAnsi="Gill Sans MT"/>
          <w:b/>
          <w:bCs/>
        </w:rPr>
        <w:t>Brigitta Pesti</w:t>
      </w:r>
      <w:r w:rsidRPr="00FB4EFA">
        <w:rPr>
          <w:rFonts w:ascii="Gill Sans MT" w:hAnsi="Gill Sans MT"/>
        </w:rPr>
        <w:t xml:space="preserve">, </w:t>
      </w:r>
      <w:r w:rsidRPr="00FB4EFA">
        <w:rPr>
          <w:rFonts w:ascii="Gill Sans MT" w:hAnsi="Gill Sans MT"/>
          <w:b/>
          <w:bCs/>
        </w:rPr>
        <w:t>Christian Pischlöger</w:t>
      </w:r>
      <w:r w:rsidRPr="00FB4EFA">
        <w:rPr>
          <w:rFonts w:ascii="Gill Sans MT" w:hAnsi="Gill Sans MT"/>
        </w:rPr>
        <w:t xml:space="preserve">, </w:t>
      </w:r>
      <w:r w:rsidRPr="00FB4EFA">
        <w:rPr>
          <w:rFonts w:ascii="Gill Sans MT" w:hAnsi="Gill Sans MT"/>
          <w:b/>
          <w:bCs/>
        </w:rPr>
        <w:t>Andrea Seidler</w:t>
      </w:r>
      <w:r w:rsidRPr="00FB4EFA">
        <w:rPr>
          <w:rFonts w:ascii="Gill Sans MT" w:hAnsi="Gill Sans MT"/>
        </w:rPr>
        <w:t xml:space="preserve">, </w:t>
      </w:r>
      <w:r w:rsidR="00344A65" w:rsidRPr="00FB4EFA">
        <w:rPr>
          <w:rFonts w:ascii="Gill Sans MT" w:hAnsi="Gill Sans MT"/>
        </w:rPr>
        <w:br/>
      </w:r>
      <w:r w:rsidRPr="00FB4EFA">
        <w:rPr>
          <w:rFonts w:ascii="Gill Sans MT" w:hAnsi="Gill Sans MT"/>
          <w:b/>
          <w:bCs/>
        </w:rPr>
        <w:t>Triinu Viilukas</w:t>
      </w:r>
      <w:r w:rsidRPr="00FB4EFA">
        <w:rPr>
          <w:rFonts w:ascii="Gill Sans MT" w:hAnsi="Gill Sans MT"/>
        </w:rPr>
        <w:t xml:space="preserve">, </w:t>
      </w:r>
      <w:r w:rsidRPr="00FB4EFA">
        <w:rPr>
          <w:rFonts w:ascii="Gill Sans MT" w:hAnsi="Gill Sans MT"/>
          <w:b/>
          <w:bCs/>
        </w:rPr>
        <w:t>Ferenc Vincze</w:t>
      </w:r>
    </w:p>
    <w:p w14:paraId="3121F2FE" w14:textId="77777777" w:rsidR="00A96E85" w:rsidRPr="00FB4EFA" w:rsidRDefault="00A96E85" w:rsidP="00402EF4"/>
    <w:p w14:paraId="7E73C0A1" w14:textId="77777777" w:rsidR="00A96E85" w:rsidRPr="00FB4EFA" w:rsidRDefault="00A96E85" w:rsidP="00402EF4">
      <w:pPr>
        <w:spacing w:after="160"/>
        <w:jc w:val="center"/>
        <w:rPr>
          <w:smallCaps/>
          <w:sz w:val="48"/>
          <w:szCs w:val="48"/>
        </w:rPr>
        <w:sectPr w:rsidR="00A96E85" w:rsidRPr="00FB4EFA">
          <w:headerReference w:type="even" r:id="rId8"/>
          <w:headerReference w:type="default" r:id="rId9"/>
          <w:footerReference w:type="even" r:id="rId10"/>
          <w:headerReference w:type="first" r:id="rId11"/>
          <w:footerReference w:type="first" r:id="rId12"/>
          <w:footnotePr>
            <w:numRestart w:val="eachSect"/>
          </w:footnotePr>
          <w:pgSz w:w="9180" w:h="13302"/>
          <w:pgMar w:top="779" w:right="1133" w:bottom="1132" w:left="1133" w:header="744" w:footer="720" w:gutter="0"/>
          <w:cols w:space="720"/>
          <w:titlePg/>
        </w:sectPr>
      </w:pPr>
      <w:r w:rsidRPr="00FB4EFA">
        <w:rPr>
          <w:rFonts w:ascii="Gill Sans MT" w:hAnsi="Gill Sans MT"/>
          <w:sz w:val="32"/>
          <w:szCs w:val="32"/>
        </w:rPr>
        <w:t>Praesens Verlag</w:t>
      </w:r>
    </w:p>
    <w:p w14:paraId="256A0A69" w14:textId="360E6237" w:rsidR="000F0BFE" w:rsidRPr="00FB4EFA" w:rsidRDefault="000F0BFE">
      <w:pPr>
        <w:spacing w:after="160"/>
        <w:jc w:val="left"/>
        <w:rPr>
          <w:rFonts w:ascii="Gill Sans MT" w:eastAsia="Gill Sans MT" w:hAnsi="Gill Sans MT" w:cs="Gill Sans MT"/>
          <w:sz w:val="32"/>
          <w:lang w:eastAsia="en-GB"/>
        </w:rPr>
      </w:pPr>
      <w:bookmarkStart w:id="1" w:name="_Toc87546992"/>
      <w:r w:rsidRPr="00FB4EFA">
        <w:lastRenderedPageBreak/>
        <w:br w:type="page"/>
      </w:r>
    </w:p>
    <w:p w14:paraId="39B1CFD5" w14:textId="5C1ED1F8" w:rsidR="00A96E85" w:rsidRPr="00FB4EFA" w:rsidRDefault="00A96E85" w:rsidP="00994E2A">
      <w:pPr>
        <w:pStyle w:val="Heading1"/>
        <w:suppressAutoHyphens/>
        <w:spacing w:line="259" w:lineRule="auto"/>
        <w:ind w:right="74"/>
        <w:rPr>
          <w:rFonts w:ascii="Calibri" w:hAnsi="Calibri" w:cs="Calibri"/>
          <w:color w:val="auto"/>
          <w:lang w:val="de-AT"/>
        </w:rPr>
      </w:pPr>
      <w:bookmarkStart w:id="2" w:name="_Hlk119683392"/>
      <w:r w:rsidRPr="00FB4EFA">
        <w:rPr>
          <w:color w:val="auto"/>
          <w:lang w:val="de-AT"/>
        </w:rPr>
        <w:lastRenderedPageBreak/>
        <w:t>Contents • Inhalt • Sisällys • Sisukord • Tartal</w:t>
      </w:r>
      <w:r w:rsidR="003928A2" w:rsidRPr="00FB4EFA">
        <w:rPr>
          <w:color w:val="auto"/>
          <w:lang w:val="de-AT"/>
        </w:rPr>
        <w:t>o</w:t>
      </w:r>
      <w:r w:rsidRPr="00FB4EFA">
        <w:rPr>
          <w:color w:val="auto"/>
          <w:lang w:val="de-AT"/>
        </w:rPr>
        <w:t>m •</w:t>
      </w:r>
      <w:r w:rsidR="00236AAA" w:rsidRPr="00FB4EFA">
        <w:rPr>
          <w:color w:val="auto"/>
          <w:lang w:val="de-AT"/>
        </w:rPr>
        <w:t xml:space="preserve"> </w:t>
      </w:r>
      <w:r w:rsidR="00236AAA" w:rsidRPr="00FB4EFA">
        <w:rPr>
          <w:color w:val="auto"/>
          <w:lang w:val="de-AT"/>
        </w:rPr>
        <w:br/>
      </w:r>
      <w:r w:rsidR="00802F4E" w:rsidRPr="00FB4EFA">
        <w:rPr>
          <w:color w:val="auto"/>
          <w:lang w:val="de-AT"/>
        </w:rPr>
        <w:t>Siž</w:t>
      </w:r>
      <w:r w:rsidR="00802F4E" w:rsidRPr="00FB4EFA">
        <w:rPr>
          <w:rFonts w:ascii="Calibri" w:hAnsi="Calibri" w:cs="Calibri"/>
          <w:color w:val="auto"/>
          <w:lang w:val="de-AT"/>
        </w:rPr>
        <w:t>ā</w:t>
      </w:r>
      <w:r w:rsidR="00802F4E" w:rsidRPr="00FB4EFA">
        <w:rPr>
          <w:color w:val="auto"/>
          <w:lang w:val="de-AT"/>
        </w:rPr>
        <w:t xml:space="preserve">li </w:t>
      </w:r>
      <w:r w:rsidR="00236AAA" w:rsidRPr="00FB4EFA">
        <w:rPr>
          <w:color w:val="auto"/>
          <w:lang w:val="de-AT"/>
        </w:rPr>
        <w:t>•</w:t>
      </w:r>
      <w:r w:rsidRPr="00FB4EFA">
        <w:rPr>
          <w:color w:val="auto"/>
          <w:lang w:val="de-AT"/>
        </w:rPr>
        <w:t xml:space="preserve"> Innehåll • </w:t>
      </w:r>
      <w:r w:rsidRPr="00FB4EFA">
        <w:rPr>
          <w:rFonts w:ascii="Calibri" w:hAnsi="Calibri" w:cs="Calibri"/>
          <w:color w:val="auto"/>
          <w:lang w:val="de-AT"/>
        </w:rPr>
        <w:t>Содержание</w:t>
      </w:r>
      <w:r w:rsidRPr="00FB4EFA">
        <w:rPr>
          <w:color w:val="auto"/>
          <w:lang w:val="de-AT"/>
        </w:rPr>
        <w:t xml:space="preserve"> • </w:t>
      </w:r>
      <w:r w:rsidRPr="00FB4EFA">
        <w:rPr>
          <w:rFonts w:ascii="Calibri" w:hAnsi="Calibri" w:cs="Calibri"/>
          <w:color w:val="auto"/>
          <w:lang w:val="de-AT"/>
        </w:rPr>
        <w:t>Юриндалысь</w:t>
      </w:r>
      <w:bookmarkEnd w:id="1"/>
    </w:p>
    <w:p w14:paraId="757EF538" w14:textId="46C4241B" w:rsidR="00A96E85" w:rsidRPr="00FB4EFA" w:rsidRDefault="00A96E85" w:rsidP="00AF0CAD">
      <w:pPr>
        <w:tabs>
          <w:tab w:val="right" w:leader="dot" w:pos="6906"/>
        </w:tabs>
        <w:spacing w:after="120"/>
        <w:jc w:val="left"/>
        <w:rPr>
          <w:rFonts w:asciiTheme="minorHAnsi" w:eastAsiaTheme="minorEastAsia" w:hAnsiTheme="minorHAnsi"/>
          <w:b/>
          <w:bCs/>
        </w:rPr>
      </w:pPr>
      <w:r w:rsidRPr="00FB4EFA">
        <w:rPr>
          <w:b/>
          <w:bCs/>
        </w:rPr>
        <w:t>I.</w:t>
      </w:r>
      <w:r w:rsidRPr="00FB4EFA">
        <w:rPr>
          <w:b/>
          <w:bCs/>
          <w:webHidden/>
        </w:rPr>
        <w:t xml:space="preserve"> Päiv</w:t>
      </w:r>
      <w:r w:rsidR="001E1694" w:rsidRPr="00FB4EFA">
        <w:rPr>
          <w:b/>
          <w:bCs/>
          <w:webHidden/>
        </w:rPr>
        <w:t>ä</w:t>
      </w:r>
      <w:r w:rsidRPr="00FB4EFA">
        <w:rPr>
          <w:b/>
          <w:bCs/>
          <w:webHidden/>
        </w:rPr>
        <w:t>nsankari</w:t>
      </w:r>
    </w:p>
    <w:p w14:paraId="785015F3" w14:textId="37F382CE" w:rsidR="00114C9D" w:rsidRPr="00FB4EFA" w:rsidRDefault="00114C9D" w:rsidP="00AF0CAD">
      <w:pPr>
        <w:tabs>
          <w:tab w:val="right" w:leader="dot" w:pos="6906"/>
        </w:tabs>
        <w:spacing w:after="120"/>
        <w:jc w:val="left"/>
        <w:rPr>
          <w:rFonts w:asciiTheme="minorHAnsi" w:eastAsiaTheme="minorEastAsia" w:hAnsiTheme="minorHAnsi"/>
        </w:rPr>
      </w:pPr>
      <w:r w:rsidRPr="00FB4EFA">
        <w:rPr>
          <w:i/>
        </w:rPr>
        <w:t>Jeremy Bradley:</w:t>
      </w:r>
      <w:r w:rsidRPr="00FB4EFA">
        <w:br/>
        <w:t>About this volume</w:t>
      </w:r>
      <w:r w:rsidRPr="00FB4EFA">
        <w:rPr>
          <w:webHidden/>
        </w:rPr>
        <w:tab/>
      </w:r>
      <w:r w:rsidRPr="00FB4EFA">
        <w:rPr>
          <w:webHidden/>
        </w:rPr>
        <w:fldChar w:fldCharType="begin"/>
      </w:r>
      <w:r w:rsidRPr="00FB4EFA">
        <w:rPr>
          <w:webHidden/>
        </w:rPr>
        <w:instrText xml:space="preserve"> PAGEREF _Ref93762921 \h </w:instrText>
      </w:r>
      <w:r w:rsidRPr="00FB4EFA">
        <w:rPr>
          <w:webHidden/>
        </w:rPr>
      </w:r>
      <w:r w:rsidRPr="00FB4EFA">
        <w:rPr>
          <w:webHidden/>
        </w:rPr>
        <w:fldChar w:fldCharType="separate"/>
      </w:r>
      <w:r w:rsidR="00507346">
        <w:rPr>
          <w:noProof/>
          <w:webHidden/>
        </w:rPr>
        <w:t>11</w:t>
      </w:r>
      <w:r w:rsidRPr="00FB4EFA">
        <w:rPr>
          <w:webHidden/>
        </w:rPr>
        <w:fldChar w:fldCharType="end"/>
      </w:r>
    </w:p>
    <w:p w14:paraId="628E3D5D" w14:textId="28953EC4" w:rsidR="00A96E85" w:rsidRPr="00FB4EFA" w:rsidRDefault="00A96E85" w:rsidP="00AF0CAD">
      <w:pPr>
        <w:tabs>
          <w:tab w:val="right" w:leader="dot" w:pos="6906"/>
        </w:tabs>
        <w:spacing w:after="120"/>
        <w:jc w:val="left"/>
        <w:rPr>
          <w:webHidden/>
        </w:rPr>
      </w:pPr>
      <w:r w:rsidRPr="00FB4EFA">
        <w:rPr>
          <w:i/>
        </w:rPr>
        <w:t>Riho Grünthal, Anneli Sarhimaa:</w:t>
      </w:r>
      <w:r w:rsidRPr="00FB4EFA">
        <w:br/>
      </w:r>
      <w:r w:rsidR="00901A38" w:rsidRPr="00FB4EFA">
        <w:t>Johanna Laakson kuusikymmentä vuotta</w:t>
      </w:r>
      <w:r w:rsidRPr="00FB4EFA">
        <w:rPr>
          <w:webHidden/>
        </w:rPr>
        <w:tab/>
      </w:r>
      <w:r w:rsidR="00186F25" w:rsidRPr="00FB4EFA">
        <w:rPr>
          <w:webHidden/>
        </w:rPr>
        <w:fldChar w:fldCharType="begin"/>
      </w:r>
      <w:r w:rsidR="00186F25" w:rsidRPr="00FB4EFA">
        <w:rPr>
          <w:webHidden/>
        </w:rPr>
        <w:instrText xml:space="preserve"> PAGEREF _Ref90999238 \h </w:instrText>
      </w:r>
      <w:r w:rsidR="00186F25" w:rsidRPr="00FB4EFA">
        <w:rPr>
          <w:webHidden/>
        </w:rPr>
      </w:r>
      <w:r w:rsidR="00186F25" w:rsidRPr="00FB4EFA">
        <w:rPr>
          <w:webHidden/>
        </w:rPr>
        <w:fldChar w:fldCharType="separate"/>
      </w:r>
      <w:r w:rsidR="00507346">
        <w:rPr>
          <w:noProof/>
          <w:webHidden/>
        </w:rPr>
        <w:t>15</w:t>
      </w:r>
      <w:r w:rsidR="00186F25" w:rsidRPr="00FB4EFA">
        <w:rPr>
          <w:webHidden/>
        </w:rPr>
        <w:fldChar w:fldCharType="end"/>
      </w:r>
    </w:p>
    <w:p w14:paraId="31764CE4" w14:textId="08BB3E1B" w:rsidR="00114C9D" w:rsidRPr="00FB4EFA" w:rsidRDefault="00114C9D" w:rsidP="00AF0CAD">
      <w:pPr>
        <w:tabs>
          <w:tab w:val="right" w:leader="dot" w:pos="6906"/>
        </w:tabs>
        <w:spacing w:after="120"/>
        <w:jc w:val="left"/>
        <w:rPr>
          <w:iCs/>
        </w:rPr>
      </w:pPr>
      <w:r w:rsidRPr="00FB4EFA">
        <w:rPr>
          <w:i/>
        </w:rPr>
        <w:t>Erzsébet Barát</w:t>
      </w:r>
      <w:r w:rsidRPr="00FB4EFA">
        <w:rPr>
          <w:iCs/>
        </w:rPr>
        <w:t>:</w:t>
      </w:r>
      <w:r w:rsidRPr="00FB4EFA">
        <w:rPr>
          <w:iCs/>
        </w:rPr>
        <w:br/>
      </w:r>
      <w:r w:rsidR="00D418BA" w:rsidRPr="00FB4EFA">
        <w:rPr>
          <w:iCs/>
        </w:rPr>
        <w:t>Johanna and cats – Queer encounters of ahuman care</w:t>
      </w:r>
      <w:r w:rsidR="00D418BA" w:rsidRPr="00FB4EFA">
        <w:rPr>
          <w:webHidden/>
        </w:rPr>
        <w:tab/>
      </w:r>
      <w:r w:rsidR="00D418BA" w:rsidRPr="00FB4EFA">
        <w:rPr>
          <w:webHidden/>
        </w:rPr>
        <w:fldChar w:fldCharType="begin"/>
      </w:r>
      <w:r w:rsidR="00D418BA" w:rsidRPr="00FB4EFA">
        <w:rPr>
          <w:webHidden/>
        </w:rPr>
        <w:instrText xml:space="preserve"> PAGEREF _Ref93763616 \h </w:instrText>
      </w:r>
      <w:r w:rsidR="00D418BA" w:rsidRPr="00FB4EFA">
        <w:rPr>
          <w:webHidden/>
        </w:rPr>
      </w:r>
      <w:r w:rsidR="00D418BA" w:rsidRPr="00FB4EFA">
        <w:rPr>
          <w:webHidden/>
        </w:rPr>
        <w:fldChar w:fldCharType="separate"/>
      </w:r>
      <w:r w:rsidR="00507346">
        <w:rPr>
          <w:noProof/>
          <w:webHidden/>
        </w:rPr>
        <w:t>29</w:t>
      </w:r>
      <w:r w:rsidR="00D418BA" w:rsidRPr="00FB4EFA">
        <w:rPr>
          <w:webHidden/>
        </w:rPr>
        <w:fldChar w:fldCharType="end"/>
      </w:r>
    </w:p>
    <w:p w14:paraId="05D50C54" w14:textId="48BDC2C2"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Marianne Bakró-Nagy,</w:t>
      </w:r>
      <w:r w:rsidR="00D418BA" w:rsidRPr="00FB4EFA">
        <w:rPr>
          <w:i/>
        </w:rPr>
        <w:t xml:space="preserve"> Jeremy Bradley,</w:t>
      </w:r>
      <w:r w:rsidRPr="00FB4EFA">
        <w:rPr>
          <w:i/>
        </w:rPr>
        <w:t xml:space="preserve"> Elena Skribnik:</w:t>
      </w:r>
      <w:r w:rsidRPr="00FB4EFA">
        <w:br/>
      </w:r>
      <w:r w:rsidR="00C33177" w:rsidRPr="00FB4EFA">
        <w:t>An annotated bibliography of an illustrious scholar</w:t>
      </w:r>
      <w:r w:rsidRPr="00FB4EFA">
        <w:rPr>
          <w:webHidden/>
        </w:rPr>
        <w:tab/>
      </w:r>
      <w:r w:rsidR="000A5354" w:rsidRPr="00FB4EFA">
        <w:rPr>
          <w:webHidden/>
        </w:rPr>
        <w:fldChar w:fldCharType="begin"/>
      </w:r>
      <w:r w:rsidR="000A5354" w:rsidRPr="00FB4EFA">
        <w:rPr>
          <w:webHidden/>
        </w:rPr>
        <w:instrText xml:space="preserve"> PAGEREF _Ref93595730 \h </w:instrText>
      </w:r>
      <w:r w:rsidR="000A5354" w:rsidRPr="00FB4EFA">
        <w:rPr>
          <w:webHidden/>
        </w:rPr>
      </w:r>
      <w:r w:rsidR="000A5354" w:rsidRPr="00FB4EFA">
        <w:rPr>
          <w:webHidden/>
        </w:rPr>
        <w:fldChar w:fldCharType="separate"/>
      </w:r>
      <w:r w:rsidR="00507346">
        <w:rPr>
          <w:noProof/>
          <w:webHidden/>
        </w:rPr>
        <w:t>41</w:t>
      </w:r>
      <w:r w:rsidR="000A5354" w:rsidRPr="00FB4EFA">
        <w:rPr>
          <w:webHidden/>
        </w:rPr>
        <w:fldChar w:fldCharType="end"/>
      </w:r>
    </w:p>
    <w:p w14:paraId="5946A970" w14:textId="2688C814" w:rsidR="00A96E85" w:rsidRPr="00FB4EFA" w:rsidRDefault="00A96E85" w:rsidP="00AF0CAD">
      <w:pPr>
        <w:tabs>
          <w:tab w:val="right" w:leader="dot" w:pos="6906"/>
        </w:tabs>
        <w:spacing w:after="120"/>
        <w:jc w:val="left"/>
        <w:rPr>
          <w:rFonts w:asciiTheme="minorHAnsi" w:eastAsiaTheme="minorEastAsia" w:hAnsiTheme="minorHAnsi"/>
        </w:rPr>
      </w:pPr>
      <w:r w:rsidRPr="00FB4EFA">
        <w:t>Tabula gratulatoria</w:t>
      </w:r>
      <w:r w:rsidRPr="00FB4EFA">
        <w:rPr>
          <w:webHidden/>
        </w:rPr>
        <w:tab/>
      </w:r>
      <w:r w:rsidR="00186F25" w:rsidRPr="00FB4EFA">
        <w:rPr>
          <w:webHidden/>
        </w:rPr>
        <w:fldChar w:fldCharType="begin"/>
      </w:r>
      <w:r w:rsidR="00186F25" w:rsidRPr="00FB4EFA">
        <w:rPr>
          <w:webHidden/>
        </w:rPr>
        <w:instrText xml:space="preserve"> PAGEREF _Ref90999255 \h </w:instrText>
      </w:r>
      <w:r w:rsidR="00186F25" w:rsidRPr="00FB4EFA">
        <w:rPr>
          <w:webHidden/>
        </w:rPr>
      </w:r>
      <w:r w:rsidR="00186F25" w:rsidRPr="00FB4EFA">
        <w:rPr>
          <w:webHidden/>
        </w:rPr>
        <w:fldChar w:fldCharType="separate"/>
      </w:r>
      <w:r w:rsidR="00507346">
        <w:rPr>
          <w:noProof/>
          <w:webHidden/>
        </w:rPr>
        <w:t>53</w:t>
      </w:r>
      <w:r w:rsidR="00186F25" w:rsidRPr="00FB4EFA">
        <w:rPr>
          <w:webHidden/>
        </w:rPr>
        <w:fldChar w:fldCharType="end"/>
      </w:r>
    </w:p>
    <w:p w14:paraId="06DF0D00" w14:textId="3E7A8177"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Petri Kallio:</w:t>
      </w:r>
      <w:r w:rsidRPr="00FB4EFA">
        <w:br/>
        <w:t xml:space="preserve">The etymology of Finnish </w:t>
      </w:r>
      <w:r w:rsidRPr="00FB4EFA">
        <w:rPr>
          <w:i/>
          <w:iCs/>
        </w:rPr>
        <w:t>laakso</w:t>
      </w:r>
      <w:r w:rsidRPr="00FB4EFA">
        <w:t xml:space="preserve"> ‘valley’</w:t>
      </w:r>
      <w:r w:rsidRPr="00FB4EFA">
        <w:rPr>
          <w:webHidden/>
        </w:rPr>
        <w:tab/>
      </w:r>
      <w:r w:rsidR="00186F25" w:rsidRPr="00FB4EFA">
        <w:rPr>
          <w:webHidden/>
        </w:rPr>
        <w:fldChar w:fldCharType="begin"/>
      </w:r>
      <w:r w:rsidR="00186F25" w:rsidRPr="00FB4EFA">
        <w:rPr>
          <w:webHidden/>
        </w:rPr>
        <w:instrText xml:space="preserve"> PAGEREF _Ref90999260 \h </w:instrText>
      </w:r>
      <w:r w:rsidR="00186F25" w:rsidRPr="00FB4EFA">
        <w:rPr>
          <w:webHidden/>
        </w:rPr>
      </w:r>
      <w:r w:rsidR="00186F25" w:rsidRPr="00FB4EFA">
        <w:rPr>
          <w:webHidden/>
        </w:rPr>
        <w:fldChar w:fldCharType="separate"/>
      </w:r>
      <w:r w:rsidR="00507346">
        <w:rPr>
          <w:noProof/>
          <w:webHidden/>
        </w:rPr>
        <w:t>56</w:t>
      </w:r>
      <w:r w:rsidR="00186F25" w:rsidRPr="00FB4EFA">
        <w:rPr>
          <w:webHidden/>
        </w:rPr>
        <w:fldChar w:fldCharType="end"/>
      </w:r>
    </w:p>
    <w:p w14:paraId="36026E46" w14:textId="4064EE2E" w:rsidR="00A96E85" w:rsidRPr="00FB4EFA" w:rsidRDefault="00A96E85" w:rsidP="00AF0CAD">
      <w:pPr>
        <w:tabs>
          <w:tab w:val="right" w:leader="dot" w:pos="6906"/>
        </w:tabs>
        <w:spacing w:after="120"/>
        <w:jc w:val="left"/>
        <w:rPr>
          <w:webHidden/>
        </w:rPr>
      </w:pPr>
      <w:r w:rsidRPr="00FB4EFA">
        <w:rPr>
          <w:i/>
        </w:rPr>
        <w:t>Imar Koutchoukali:</w:t>
      </w:r>
      <w:r w:rsidRPr="00FB4EFA">
        <w:br/>
      </w:r>
      <w:r w:rsidR="002512F0" w:rsidRPr="00FB4EFA">
        <w:t xml:space="preserve">The name </w:t>
      </w:r>
      <w:r w:rsidR="002512F0" w:rsidRPr="00FB4EFA">
        <w:rPr>
          <w:i/>
          <w:iCs/>
        </w:rPr>
        <w:t>Johanna</w:t>
      </w:r>
      <w:r w:rsidR="002512F0" w:rsidRPr="00FB4EFA">
        <w:t>: some historical, etymological, and cultural notes</w:t>
      </w:r>
      <w:r w:rsidRPr="00FB4EFA">
        <w:rPr>
          <w:webHidden/>
        </w:rPr>
        <w:tab/>
      </w:r>
      <w:r w:rsidR="00EE7FDF" w:rsidRPr="00FB4EFA">
        <w:rPr>
          <w:webHidden/>
        </w:rPr>
        <w:fldChar w:fldCharType="begin"/>
      </w:r>
      <w:r w:rsidR="00EE7FDF" w:rsidRPr="00FB4EFA">
        <w:rPr>
          <w:webHidden/>
        </w:rPr>
        <w:instrText xml:space="preserve"> PAGEREF _Ref101890831 \h </w:instrText>
      </w:r>
      <w:r w:rsidR="00EE7FDF" w:rsidRPr="00FB4EFA">
        <w:rPr>
          <w:webHidden/>
        </w:rPr>
      </w:r>
      <w:r w:rsidR="00EE7FDF" w:rsidRPr="00FB4EFA">
        <w:rPr>
          <w:webHidden/>
        </w:rPr>
        <w:fldChar w:fldCharType="separate"/>
      </w:r>
      <w:r w:rsidR="00507346">
        <w:rPr>
          <w:noProof/>
          <w:webHidden/>
        </w:rPr>
        <w:t>63</w:t>
      </w:r>
      <w:r w:rsidR="00EE7FDF" w:rsidRPr="00FB4EFA">
        <w:rPr>
          <w:webHidden/>
        </w:rPr>
        <w:fldChar w:fldCharType="end"/>
      </w:r>
    </w:p>
    <w:p w14:paraId="7D241804" w14:textId="77777777" w:rsidR="00053785" w:rsidRPr="00FB4EFA" w:rsidRDefault="00053785" w:rsidP="00AF0CAD">
      <w:pPr>
        <w:tabs>
          <w:tab w:val="right" w:leader="dot" w:pos="6906"/>
        </w:tabs>
        <w:spacing w:after="120"/>
        <w:jc w:val="left"/>
        <w:rPr>
          <w:rFonts w:asciiTheme="minorHAnsi" w:eastAsiaTheme="minorEastAsia" w:hAnsiTheme="minorHAnsi"/>
        </w:rPr>
      </w:pPr>
    </w:p>
    <w:p w14:paraId="164D52E4" w14:textId="68731376" w:rsidR="00A96E85" w:rsidRPr="00FB4EFA" w:rsidRDefault="00A96E85" w:rsidP="00AF0CAD">
      <w:pPr>
        <w:keepNext/>
        <w:keepLines/>
        <w:tabs>
          <w:tab w:val="right" w:leader="dot" w:pos="6906"/>
        </w:tabs>
        <w:spacing w:after="120"/>
        <w:jc w:val="left"/>
        <w:rPr>
          <w:rFonts w:asciiTheme="minorHAnsi" w:eastAsiaTheme="minorEastAsia" w:hAnsiTheme="minorHAnsi"/>
          <w:b/>
          <w:bCs/>
        </w:rPr>
      </w:pPr>
      <w:r w:rsidRPr="00FB4EFA">
        <w:rPr>
          <w:b/>
          <w:bCs/>
        </w:rPr>
        <w:t>II.</w:t>
      </w:r>
      <w:r w:rsidRPr="00FB4EFA">
        <w:rPr>
          <w:b/>
          <w:bCs/>
          <w:webHidden/>
        </w:rPr>
        <w:t xml:space="preserve"> Berichte</w:t>
      </w:r>
    </w:p>
    <w:p w14:paraId="2F71B80A" w14:textId="0220F1CC" w:rsidR="00A96E85" w:rsidRPr="00FB4EFA" w:rsidRDefault="00A96E85" w:rsidP="00AF0CAD">
      <w:pPr>
        <w:keepNext/>
        <w:keepLines/>
        <w:tabs>
          <w:tab w:val="right" w:leader="dot" w:pos="6906"/>
        </w:tabs>
        <w:spacing w:after="120"/>
        <w:jc w:val="left"/>
        <w:rPr>
          <w:webHidden/>
        </w:rPr>
      </w:pPr>
      <w:r w:rsidRPr="00FB4EFA">
        <w:rPr>
          <w:i/>
        </w:rPr>
        <w:t>Jeremy Bradley, Rogier Blokland:</w:t>
      </w:r>
      <w:r w:rsidRPr="00FB4EFA">
        <w:br/>
        <w:t xml:space="preserve">Children of the </w:t>
      </w:r>
      <w:r w:rsidRPr="00FB4EFA">
        <w:rPr>
          <w:i/>
        </w:rPr>
        <w:t>Hexenkreis</w:t>
      </w:r>
      <w:r w:rsidRPr="00FB4EFA">
        <w:t xml:space="preserve">: </w:t>
      </w:r>
      <w:r w:rsidR="00C7324A" w:rsidRPr="00FB4EFA">
        <w:t xml:space="preserve">INFUSE, </w:t>
      </w:r>
      <w:r w:rsidRPr="00FB4EFA">
        <w:t>COPIUS, REMODUS, and beyond</w:t>
      </w:r>
      <w:r w:rsidRPr="00FB4EFA">
        <w:rPr>
          <w:webHidden/>
        </w:rPr>
        <w:tab/>
      </w:r>
      <w:r w:rsidR="00186F25" w:rsidRPr="00FB4EFA">
        <w:rPr>
          <w:webHidden/>
        </w:rPr>
        <w:fldChar w:fldCharType="begin"/>
      </w:r>
      <w:r w:rsidR="00186F25" w:rsidRPr="00FB4EFA">
        <w:rPr>
          <w:webHidden/>
        </w:rPr>
        <w:instrText xml:space="preserve"> PAGEREF _Ref90999273 \h </w:instrText>
      </w:r>
      <w:r w:rsidR="00186F25" w:rsidRPr="00FB4EFA">
        <w:rPr>
          <w:webHidden/>
        </w:rPr>
      </w:r>
      <w:r w:rsidR="00186F25" w:rsidRPr="00FB4EFA">
        <w:rPr>
          <w:webHidden/>
        </w:rPr>
        <w:fldChar w:fldCharType="separate"/>
      </w:r>
      <w:r w:rsidR="00507346">
        <w:rPr>
          <w:noProof/>
          <w:webHidden/>
        </w:rPr>
        <w:t>68</w:t>
      </w:r>
      <w:r w:rsidR="00186F25" w:rsidRPr="00FB4EFA">
        <w:rPr>
          <w:webHidden/>
        </w:rPr>
        <w:fldChar w:fldCharType="end"/>
      </w:r>
    </w:p>
    <w:p w14:paraId="51028D7C" w14:textId="34D1FFEC" w:rsidR="002C1353" w:rsidRPr="00FB4EFA" w:rsidRDefault="002C1353" w:rsidP="00AF0CAD">
      <w:pPr>
        <w:keepLines/>
        <w:tabs>
          <w:tab w:val="right" w:leader="dot" w:pos="6906"/>
        </w:tabs>
        <w:spacing w:after="120"/>
        <w:jc w:val="left"/>
        <w:rPr>
          <w:rFonts w:asciiTheme="minorHAnsi" w:eastAsiaTheme="minorEastAsia" w:hAnsiTheme="minorHAnsi"/>
        </w:rPr>
      </w:pPr>
      <w:r w:rsidRPr="00FB4EFA">
        <w:rPr>
          <w:i/>
        </w:rPr>
        <w:t>Márta Csire</w:t>
      </w:r>
      <w:r w:rsidR="003364A0" w:rsidRPr="00FB4EFA">
        <w:rPr>
          <w:i/>
        </w:rPr>
        <w:t>, Katalin Wirker-Dobány</w:t>
      </w:r>
      <w:r w:rsidRPr="00FB4EFA">
        <w:rPr>
          <w:i/>
        </w:rPr>
        <w:t>:</w:t>
      </w:r>
      <w:r w:rsidRPr="00FB4EFA">
        <w:br/>
      </w:r>
      <w:r w:rsidR="00C1766B" w:rsidRPr="00FB4EFA">
        <w:t xml:space="preserve">Sprachentwicklung von ungarisch- und deutschsprachigen </w:t>
      </w:r>
      <w:r w:rsidR="00FB4EFA">
        <w:br/>
      </w:r>
      <w:r w:rsidR="00C1766B" w:rsidRPr="00FB4EFA">
        <w:t xml:space="preserve">Volksschulkindern – Bericht zu einem laufenden Projekt über </w:t>
      </w:r>
      <w:r w:rsidR="00994E2A" w:rsidRPr="00FB4EFA">
        <w:br/>
      </w:r>
      <w:r w:rsidR="00C1766B" w:rsidRPr="00FB4EFA">
        <w:t>die kindliche Zweisprachigkeit</w:t>
      </w:r>
      <w:r w:rsidRPr="00FB4EFA">
        <w:rPr>
          <w:webHidden/>
        </w:rPr>
        <w:tab/>
      </w:r>
      <w:r w:rsidR="00EE7FDF" w:rsidRPr="00FB4EFA">
        <w:rPr>
          <w:webHidden/>
        </w:rPr>
        <w:fldChar w:fldCharType="begin"/>
      </w:r>
      <w:r w:rsidR="00EE7FDF" w:rsidRPr="00FB4EFA">
        <w:rPr>
          <w:webHidden/>
        </w:rPr>
        <w:instrText xml:space="preserve"> PAGEREF _Ref101890852 \h </w:instrText>
      </w:r>
      <w:r w:rsidR="00EE7FDF" w:rsidRPr="00FB4EFA">
        <w:rPr>
          <w:webHidden/>
        </w:rPr>
      </w:r>
      <w:r w:rsidR="00EE7FDF" w:rsidRPr="00FB4EFA">
        <w:rPr>
          <w:webHidden/>
        </w:rPr>
        <w:fldChar w:fldCharType="separate"/>
      </w:r>
      <w:r w:rsidR="00507346">
        <w:rPr>
          <w:noProof/>
          <w:webHidden/>
        </w:rPr>
        <w:t>79</w:t>
      </w:r>
      <w:r w:rsidR="00EE7FDF" w:rsidRPr="00FB4EFA">
        <w:rPr>
          <w:webHidden/>
        </w:rPr>
        <w:fldChar w:fldCharType="end"/>
      </w:r>
    </w:p>
    <w:p w14:paraId="38AE2EDA" w14:textId="6798E3B3" w:rsidR="00A96E85" w:rsidRPr="00FB4EFA" w:rsidRDefault="00A96E85" w:rsidP="00AF0CAD">
      <w:pPr>
        <w:tabs>
          <w:tab w:val="right" w:leader="dot" w:pos="6906"/>
        </w:tabs>
        <w:spacing w:after="120"/>
        <w:jc w:val="left"/>
        <w:rPr>
          <w:rFonts w:asciiTheme="minorHAnsi" w:eastAsiaTheme="minorEastAsia" w:hAnsiTheme="minorHAnsi"/>
        </w:rPr>
      </w:pPr>
      <w:r w:rsidRPr="00FB4EFA">
        <w:rPr>
          <w:i/>
          <w:lang w:val="se-FI"/>
        </w:rPr>
        <w:t>Santeri Junttila:</w:t>
      </w:r>
      <w:r w:rsidRPr="00FB4EFA">
        <w:rPr>
          <w:lang w:val="se-FI"/>
        </w:rPr>
        <w:br/>
        <w:t>Johdatus kuilinalaiseen kielentutkimukseen</w:t>
      </w:r>
      <w:r w:rsidRPr="00FB4EFA">
        <w:rPr>
          <w:webHidden/>
        </w:rPr>
        <w:tab/>
      </w:r>
      <w:r w:rsidR="002C1353" w:rsidRPr="00FB4EFA">
        <w:rPr>
          <w:webHidden/>
        </w:rPr>
        <w:fldChar w:fldCharType="begin"/>
      </w:r>
      <w:r w:rsidR="002C1353" w:rsidRPr="00FB4EFA">
        <w:rPr>
          <w:webHidden/>
        </w:rPr>
        <w:instrText xml:space="preserve"> PAGEREF _Ref101426801 \h </w:instrText>
      </w:r>
      <w:r w:rsidR="002C1353" w:rsidRPr="00FB4EFA">
        <w:rPr>
          <w:webHidden/>
        </w:rPr>
      </w:r>
      <w:r w:rsidR="002C1353" w:rsidRPr="00FB4EFA">
        <w:rPr>
          <w:webHidden/>
        </w:rPr>
        <w:fldChar w:fldCharType="separate"/>
      </w:r>
      <w:r w:rsidR="00507346">
        <w:rPr>
          <w:noProof/>
          <w:webHidden/>
        </w:rPr>
        <w:t>89</w:t>
      </w:r>
      <w:r w:rsidR="002C1353" w:rsidRPr="00FB4EFA">
        <w:rPr>
          <w:webHidden/>
        </w:rPr>
        <w:fldChar w:fldCharType="end"/>
      </w:r>
    </w:p>
    <w:p w14:paraId="7ED220D8" w14:textId="77777777" w:rsidR="00183F39" w:rsidRPr="00FB4EFA" w:rsidRDefault="00183F39" w:rsidP="00AF0CAD">
      <w:pPr>
        <w:tabs>
          <w:tab w:val="right" w:leader="dot" w:pos="6906"/>
        </w:tabs>
        <w:spacing w:after="120"/>
        <w:jc w:val="left"/>
        <w:rPr>
          <w:b/>
          <w:bCs/>
        </w:rPr>
      </w:pPr>
    </w:p>
    <w:p w14:paraId="0D482529" w14:textId="70B8DBB8" w:rsidR="00A96E85" w:rsidRPr="00FB4EFA" w:rsidRDefault="00A96E85" w:rsidP="00AF0CAD">
      <w:pPr>
        <w:keepNext/>
        <w:tabs>
          <w:tab w:val="right" w:leader="dot" w:pos="6906"/>
        </w:tabs>
        <w:spacing w:after="120"/>
        <w:jc w:val="left"/>
        <w:rPr>
          <w:rFonts w:asciiTheme="minorHAnsi" w:eastAsiaTheme="minorEastAsia" w:hAnsiTheme="minorHAnsi"/>
          <w:b/>
          <w:bCs/>
        </w:rPr>
      </w:pPr>
      <w:r w:rsidRPr="00FB4EFA">
        <w:rPr>
          <w:b/>
          <w:bCs/>
        </w:rPr>
        <w:lastRenderedPageBreak/>
        <w:t>III.</w:t>
      </w:r>
      <w:r w:rsidRPr="00FB4EFA">
        <w:rPr>
          <w:b/>
          <w:bCs/>
          <w:webHidden/>
        </w:rPr>
        <w:t xml:space="preserve"> Sprachwissenschaft</w:t>
      </w:r>
    </w:p>
    <w:p w14:paraId="23C63FB5" w14:textId="74BD13E6"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Rigina Ajanki:</w:t>
      </w:r>
      <w:r w:rsidRPr="00FB4EFA">
        <w:br/>
        <w:t>Preesenstunnuksesta *</w:t>
      </w:r>
      <w:r w:rsidR="00E82DE3" w:rsidRPr="00FB4EFA">
        <w:t>-</w:t>
      </w:r>
      <w:r w:rsidRPr="00FB4EFA">
        <w:rPr>
          <w:i/>
          <w:iCs/>
        </w:rPr>
        <w:t>k</w:t>
      </w:r>
      <w:r w:rsidR="00E82DE3" w:rsidRPr="00FB4EFA">
        <w:rPr>
          <w:i/>
          <w:iCs/>
        </w:rPr>
        <w:t>-</w:t>
      </w:r>
      <w:r w:rsidRPr="00FB4EFA">
        <w:t xml:space="preserve"> ja persoonatunnusten </w:t>
      </w:r>
      <w:r w:rsidR="00A1015C" w:rsidRPr="00FB4EFA">
        <w:br/>
      </w:r>
      <w:r w:rsidRPr="00FB4EFA">
        <w:t>muutoksesta länsiuralissa</w:t>
      </w:r>
      <w:r w:rsidRPr="00FB4EFA">
        <w:rPr>
          <w:webHidden/>
        </w:rPr>
        <w:tab/>
      </w:r>
      <w:r w:rsidR="00186F25" w:rsidRPr="00FB4EFA">
        <w:rPr>
          <w:webHidden/>
        </w:rPr>
        <w:fldChar w:fldCharType="begin"/>
      </w:r>
      <w:r w:rsidR="00186F25" w:rsidRPr="00FB4EFA">
        <w:rPr>
          <w:webHidden/>
        </w:rPr>
        <w:instrText xml:space="preserve"> PAGEREF _Ref90999293 \h </w:instrText>
      </w:r>
      <w:r w:rsidR="00186F25" w:rsidRPr="00FB4EFA">
        <w:rPr>
          <w:webHidden/>
        </w:rPr>
      </w:r>
      <w:r w:rsidR="00186F25" w:rsidRPr="00FB4EFA">
        <w:rPr>
          <w:webHidden/>
        </w:rPr>
        <w:fldChar w:fldCharType="separate"/>
      </w:r>
      <w:r w:rsidR="00507346">
        <w:rPr>
          <w:noProof/>
          <w:webHidden/>
        </w:rPr>
        <w:t>110</w:t>
      </w:r>
      <w:r w:rsidR="00186F25" w:rsidRPr="00FB4EFA">
        <w:rPr>
          <w:webHidden/>
        </w:rPr>
        <w:fldChar w:fldCharType="end"/>
      </w:r>
    </w:p>
    <w:p w14:paraId="0786C3DF" w14:textId="6F8238C7" w:rsidR="00A96E85" w:rsidRPr="00FB4EFA" w:rsidRDefault="00A96E85" w:rsidP="00AF0CAD">
      <w:pPr>
        <w:keepLines/>
        <w:tabs>
          <w:tab w:val="right" w:leader="dot" w:pos="6906"/>
        </w:tabs>
        <w:spacing w:after="120"/>
        <w:jc w:val="left"/>
        <w:rPr>
          <w:rFonts w:asciiTheme="minorHAnsi" w:eastAsiaTheme="minorEastAsia" w:hAnsiTheme="minorHAnsi"/>
        </w:rPr>
      </w:pPr>
      <w:r w:rsidRPr="00FB4EFA">
        <w:rPr>
          <w:i/>
        </w:rPr>
        <w:t>Bernadett Bíró, Katalin Sip</w:t>
      </w:r>
      <w:r w:rsidRPr="00FB4EFA">
        <w:rPr>
          <w:rFonts w:cs="Cambria"/>
          <w:i/>
        </w:rPr>
        <w:t>ő</w:t>
      </w:r>
      <w:r w:rsidRPr="00FB4EFA">
        <w:rPr>
          <w:i/>
        </w:rPr>
        <w:t>cz</w:t>
      </w:r>
      <w:r w:rsidR="005B26AB" w:rsidRPr="00FB4EFA">
        <w:rPr>
          <w:i/>
        </w:rPr>
        <w:t>, Sándor Szeverényi</w:t>
      </w:r>
      <w:r w:rsidRPr="00FB4EFA">
        <w:rPr>
          <w:i/>
        </w:rPr>
        <w:t>:</w:t>
      </w:r>
      <w:r w:rsidRPr="00FB4EFA">
        <w:br/>
        <w:t xml:space="preserve">A Siberian River Runs Through It: Specific expressions of </w:t>
      </w:r>
      <w:r w:rsidR="00994E2A" w:rsidRPr="00FB4EFA">
        <w:br/>
      </w:r>
      <w:r w:rsidRPr="00FB4EFA">
        <w:t xml:space="preserve">spatial relations/orientation in the Uralic languages of </w:t>
      </w:r>
      <w:r w:rsidR="00994E2A" w:rsidRPr="00FB4EFA">
        <w:br/>
      </w:r>
      <w:r w:rsidRPr="00FB4EFA">
        <w:t>Western Siberian river valleys</w:t>
      </w:r>
      <w:r w:rsidRPr="00FB4EFA">
        <w:rPr>
          <w:webHidden/>
        </w:rPr>
        <w:tab/>
      </w:r>
      <w:r w:rsidR="00186F25" w:rsidRPr="00FB4EFA">
        <w:rPr>
          <w:webHidden/>
        </w:rPr>
        <w:fldChar w:fldCharType="begin"/>
      </w:r>
      <w:r w:rsidR="00186F25" w:rsidRPr="00FB4EFA">
        <w:rPr>
          <w:webHidden/>
        </w:rPr>
        <w:instrText xml:space="preserve"> PAGEREF _Ref90999300 \h </w:instrText>
      </w:r>
      <w:r w:rsidR="00186F25" w:rsidRPr="00FB4EFA">
        <w:rPr>
          <w:webHidden/>
        </w:rPr>
      </w:r>
      <w:r w:rsidR="00186F25" w:rsidRPr="00FB4EFA">
        <w:rPr>
          <w:webHidden/>
        </w:rPr>
        <w:fldChar w:fldCharType="separate"/>
      </w:r>
      <w:r w:rsidR="00507346">
        <w:rPr>
          <w:noProof/>
          <w:webHidden/>
        </w:rPr>
        <w:t>130</w:t>
      </w:r>
      <w:r w:rsidR="00186F25" w:rsidRPr="00FB4EFA">
        <w:rPr>
          <w:webHidden/>
        </w:rPr>
        <w:fldChar w:fldCharType="end"/>
      </w:r>
    </w:p>
    <w:p w14:paraId="5814EF91" w14:textId="4C87466F"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Tamás Forgács:</w:t>
      </w:r>
      <w:r w:rsidRPr="00FB4EFA">
        <w:br/>
        <w:t xml:space="preserve">Lexikologische Ursachen für Rückgang und </w:t>
      </w:r>
      <w:r w:rsidR="0069593F" w:rsidRPr="00FB4EFA">
        <w:br/>
      </w:r>
      <w:r w:rsidRPr="00FB4EFA">
        <w:t>Schwund von phraseologischen Einheiten</w:t>
      </w:r>
      <w:r w:rsidRPr="00FB4EFA">
        <w:rPr>
          <w:webHidden/>
        </w:rPr>
        <w:tab/>
      </w:r>
      <w:r w:rsidR="00186F25" w:rsidRPr="00FB4EFA">
        <w:rPr>
          <w:webHidden/>
        </w:rPr>
        <w:fldChar w:fldCharType="begin"/>
      </w:r>
      <w:r w:rsidR="00186F25" w:rsidRPr="00FB4EFA">
        <w:rPr>
          <w:webHidden/>
        </w:rPr>
        <w:instrText xml:space="preserve"> PAGEREF _Ref90999319 \h </w:instrText>
      </w:r>
      <w:r w:rsidR="00186F25" w:rsidRPr="00FB4EFA">
        <w:rPr>
          <w:webHidden/>
        </w:rPr>
      </w:r>
      <w:r w:rsidR="00186F25" w:rsidRPr="00FB4EFA">
        <w:rPr>
          <w:webHidden/>
        </w:rPr>
        <w:fldChar w:fldCharType="separate"/>
      </w:r>
      <w:r w:rsidR="00507346">
        <w:rPr>
          <w:noProof/>
          <w:webHidden/>
        </w:rPr>
        <w:t>149</w:t>
      </w:r>
      <w:r w:rsidR="00186F25" w:rsidRPr="00FB4EFA">
        <w:rPr>
          <w:webHidden/>
        </w:rPr>
        <w:fldChar w:fldCharType="end"/>
      </w:r>
    </w:p>
    <w:p w14:paraId="7ABD13A1" w14:textId="04659B50" w:rsidR="00F220A6" w:rsidRPr="00FB4EFA" w:rsidRDefault="00F220A6" w:rsidP="00AF0CAD">
      <w:pPr>
        <w:tabs>
          <w:tab w:val="right" w:leader="dot" w:pos="6906"/>
        </w:tabs>
        <w:spacing w:after="120"/>
        <w:jc w:val="left"/>
        <w:rPr>
          <w:webHidden/>
        </w:rPr>
      </w:pPr>
      <w:r w:rsidRPr="00FB4EFA">
        <w:rPr>
          <w:i/>
        </w:rPr>
        <w:t>Cornelius Hasselblatt:</w:t>
      </w:r>
      <w:r w:rsidR="008A4830" w:rsidRPr="00FB4EFA">
        <w:t xml:space="preserve"> </w:t>
      </w:r>
      <w:r w:rsidRPr="00FB4EFA">
        <w:br/>
        <w:t>Die Frau im estnischen Lexikon 2.0</w:t>
      </w:r>
      <w:r w:rsidRPr="00FB4EFA">
        <w:rPr>
          <w:webHidden/>
        </w:rPr>
        <w:tab/>
      </w:r>
      <w:r w:rsidR="008A4830" w:rsidRPr="00FB4EFA">
        <w:rPr>
          <w:webHidden/>
        </w:rPr>
        <w:fldChar w:fldCharType="begin"/>
      </w:r>
      <w:r w:rsidR="008A4830" w:rsidRPr="00FB4EFA">
        <w:rPr>
          <w:webHidden/>
        </w:rPr>
        <w:instrText xml:space="preserve"> PAGEREF _Hlk74313283 \h </w:instrText>
      </w:r>
      <w:r w:rsidR="008A4830" w:rsidRPr="00FB4EFA">
        <w:rPr>
          <w:webHidden/>
        </w:rPr>
      </w:r>
      <w:r w:rsidR="008A4830" w:rsidRPr="00FB4EFA">
        <w:rPr>
          <w:webHidden/>
        </w:rPr>
        <w:fldChar w:fldCharType="separate"/>
      </w:r>
      <w:r w:rsidR="00507346">
        <w:rPr>
          <w:noProof/>
          <w:webHidden/>
        </w:rPr>
        <w:t>170</w:t>
      </w:r>
      <w:r w:rsidR="008A4830" w:rsidRPr="00FB4EFA">
        <w:rPr>
          <w:webHidden/>
        </w:rPr>
        <w:fldChar w:fldCharType="end"/>
      </w:r>
    </w:p>
    <w:p w14:paraId="3637784D" w14:textId="395823D7"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Johannes Hirvonen:</w:t>
      </w:r>
      <w:r w:rsidRPr="00FB4EFA">
        <w:br/>
        <w:t>Nullsubjekte im Livischen</w:t>
      </w:r>
      <w:r w:rsidRPr="00FB4EFA">
        <w:rPr>
          <w:webHidden/>
        </w:rPr>
        <w:tab/>
      </w:r>
      <w:r w:rsidR="008A4830" w:rsidRPr="00FB4EFA">
        <w:rPr>
          <w:webHidden/>
        </w:rPr>
        <w:fldChar w:fldCharType="begin"/>
      </w:r>
      <w:r w:rsidR="008A4830" w:rsidRPr="00FB4EFA">
        <w:rPr>
          <w:webHidden/>
        </w:rPr>
        <w:instrText xml:space="preserve"> PAGEREF _Ref90999598 \h </w:instrText>
      </w:r>
      <w:r w:rsidR="008A4830" w:rsidRPr="00FB4EFA">
        <w:rPr>
          <w:webHidden/>
        </w:rPr>
      </w:r>
      <w:r w:rsidR="008A4830" w:rsidRPr="00FB4EFA">
        <w:rPr>
          <w:webHidden/>
        </w:rPr>
        <w:fldChar w:fldCharType="separate"/>
      </w:r>
      <w:r w:rsidR="00507346">
        <w:rPr>
          <w:noProof/>
          <w:webHidden/>
        </w:rPr>
        <w:t>180</w:t>
      </w:r>
      <w:r w:rsidR="008A4830" w:rsidRPr="00FB4EFA">
        <w:rPr>
          <w:webHidden/>
        </w:rPr>
        <w:fldChar w:fldCharType="end"/>
      </w:r>
    </w:p>
    <w:p w14:paraId="31D05753" w14:textId="5F4087AC" w:rsidR="00DD11D9" w:rsidRPr="00FB4EFA" w:rsidRDefault="00DD11D9" w:rsidP="00AF0CAD">
      <w:pPr>
        <w:tabs>
          <w:tab w:val="right" w:leader="dot" w:pos="6906"/>
        </w:tabs>
        <w:spacing w:after="120"/>
        <w:jc w:val="left"/>
      </w:pPr>
      <w:r w:rsidRPr="00FB4EFA">
        <w:rPr>
          <w:i/>
          <w:iCs/>
        </w:rPr>
        <w:t>Sampsa Holopainen:</w:t>
      </w:r>
      <w:r w:rsidRPr="00FB4EFA">
        <w:rPr>
          <w:i/>
          <w:iCs/>
        </w:rPr>
        <w:br/>
      </w:r>
      <w:r w:rsidRPr="00FB4EFA">
        <w:t>Revisiting a problematic Uralic and Indo-Iranian word</w:t>
      </w:r>
      <w:r w:rsidR="00AC1192" w:rsidRPr="00FB4EFA">
        <w:t xml:space="preserve"> </w:t>
      </w:r>
      <w:r w:rsidRPr="00FB4EFA">
        <w:t>family</w:t>
      </w:r>
      <w:r w:rsidRPr="00FB4EFA">
        <w:rPr>
          <w:webHidden/>
        </w:rPr>
        <w:tab/>
      </w:r>
      <w:r w:rsidR="008A4830" w:rsidRPr="00FB4EFA">
        <w:rPr>
          <w:webHidden/>
        </w:rPr>
        <w:fldChar w:fldCharType="begin"/>
      </w:r>
      <w:r w:rsidR="008A4830" w:rsidRPr="00FB4EFA">
        <w:rPr>
          <w:webHidden/>
        </w:rPr>
        <w:instrText xml:space="preserve"> PAGEREF _Ref90999606 \h </w:instrText>
      </w:r>
      <w:r w:rsidR="008A4830" w:rsidRPr="00FB4EFA">
        <w:rPr>
          <w:webHidden/>
        </w:rPr>
      </w:r>
      <w:r w:rsidR="008A4830" w:rsidRPr="00FB4EFA">
        <w:rPr>
          <w:webHidden/>
        </w:rPr>
        <w:fldChar w:fldCharType="separate"/>
      </w:r>
      <w:r w:rsidR="00507346">
        <w:rPr>
          <w:noProof/>
          <w:webHidden/>
        </w:rPr>
        <w:t>198</w:t>
      </w:r>
      <w:r w:rsidR="008A4830" w:rsidRPr="00FB4EFA">
        <w:rPr>
          <w:webHidden/>
        </w:rPr>
        <w:fldChar w:fldCharType="end"/>
      </w:r>
    </w:p>
    <w:p w14:paraId="090EE7A9" w14:textId="5C52C882" w:rsidR="00A96E85" w:rsidRPr="00FB4EFA" w:rsidRDefault="00A96E85" w:rsidP="00AF0CAD">
      <w:pPr>
        <w:tabs>
          <w:tab w:val="right" w:leader="dot" w:pos="6906"/>
        </w:tabs>
        <w:spacing w:after="120"/>
        <w:jc w:val="left"/>
        <w:rPr>
          <w:rFonts w:asciiTheme="minorHAnsi" w:eastAsiaTheme="minorEastAsia" w:hAnsiTheme="minorHAnsi"/>
        </w:rPr>
      </w:pPr>
      <w:r w:rsidRPr="00FB4EFA">
        <w:rPr>
          <w:i/>
          <w:iCs/>
        </w:rPr>
        <w:t>Markus Juutinen:</w:t>
      </w:r>
      <w:r w:rsidRPr="00FB4EFA">
        <w:rPr>
          <w:i/>
          <w:iCs/>
        </w:rPr>
        <w:br/>
      </w:r>
      <w:r w:rsidRPr="00FB4EFA">
        <w:t xml:space="preserve">Itäisten saamelaiskielten helmeä merkitsevien </w:t>
      </w:r>
      <w:r w:rsidR="00994E2A" w:rsidRPr="00FB4EFA">
        <w:br/>
      </w:r>
      <w:r w:rsidRPr="00FB4EFA">
        <w:t>sanojen alkuperäkysymys</w:t>
      </w:r>
      <w:r w:rsidRPr="00FB4EFA">
        <w:rPr>
          <w:webHidden/>
        </w:rPr>
        <w:tab/>
      </w:r>
      <w:r w:rsidR="008A4830" w:rsidRPr="00FB4EFA">
        <w:rPr>
          <w:webHidden/>
        </w:rPr>
        <w:fldChar w:fldCharType="begin"/>
      </w:r>
      <w:r w:rsidR="008A4830" w:rsidRPr="00FB4EFA">
        <w:rPr>
          <w:webHidden/>
        </w:rPr>
        <w:instrText xml:space="preserve"> PAGEREF _Ref90999619 \h </w:instrText>
      </w:r>
      <w:r w:rsidR="008A4830" w:rsidRPr="00FB4EFA">
        <w:rPr>
          <w:webHidden/>
        </w:rPr>
      </w:r>
      <w:r w:rsidR="008A4830" w:rsidRPr="00FB4EFA">
        <w:rPr>
          <w:webHidden/>
        </w:rPr>
        <w:fldChar w:fldCharType="separate"/>
      </w:r>
      <w:r w:rsidR="00507346">
        <w:rPr>
          <w:noProof/>
          <w:webHidden/>
        </w:rPr>
        <w:t>214</w:t>
      </w:r>
      <w:r w:rsidR="008A4830" w:rsidRPr="00FB4EFA">
        <w:rPr>
          <w:webHidden/>
        </w:rPr>
        <w:fldChar w:fldCharType="end"/>
      </w:r>
    </w:p>
    <w:p w14:paraId="30156454" w14:textId="19A25258" w:rsidR="00017313" w:rsidRPr="00FB4EFA" w:rsidRDefault="00017313" w:rsidP="00AF0CAD">
      <w:pPr>
        <w:tabs>
          <w:tab w:val="right" w:leader="dot" w:pos="6906"/>
        </w:tabs>
        <w:spacing w:after="120"/>
        <w:jc w:val="left"/>
        <w:rPr>
          <w:i/>
          <w:iCs/>
        </w:rPr>
      </w:pPr>
      <w:r w:rsidRPr="00FB4EFA">
        <w:rPr>
          <w:i/>
          <w:iCs/>
        </w:rPr>
        <w:t>Annekatrin Kaivapalu:</w:t>
      </w:r>
      <w:r w:rsidRPr="00FB4EFA">
        <w:rPr>
          <w:i/>
          <w:iCs/>
        </w:rPr>
        <w:br/>
      </w:r>
      <w:r w:rsidRPr="00FB4EFA">
        <w:t>Keeleteadlikkus ja keeltevahelise sarnasuse tunnetamine</w:t>
      </w:r>
      <w:r w:rsidRPr="00FB4EFA">
        <w:rPr>
          <w:webHidden/>
        </w:rPr>
        <w:tab/>
      </w:r>
      <w:r w:rsidR="008A4830" w:rsidRPr="00FB4EFA">
        <w:rPr>
          <w:webHidden/>
        </w:rPr>
        <w:fldChar w:fldCharType="begin"/>
      </w:r>
      <w:r w:rsidR="008A4830" w:rsidRPr="00FB4EFA">
        <w:rPr>
          <w:webHidden/>
        </w:rPr>
        <w:instrText xml:space="preserve"> PAGEREF _Ref90999625 \h </w:instrText>
      </w:r>
      <w:r w:rsidR="008A4830" w:rsidRPr="00FB4EFA">
        <w:rPr>
          <w:webHidden/>
        </w:rPr>
      </w:r>
      <w:r w:rsidR="008A4830" w:rsidRPr="00FB4EFA">
        <w:rPr>
          <w:webHidden/>
        </w:rPr>
        <w:fldChar w:fldCharType="separate"/>
      </w:r>
      <w:r w:rsidR="00507346">
        <w:rPr>
          <w:noProof/>
          <w:webHidden/>
        </w:rPr>
        <w:t>230</w:t>
      </w:r>
      <w:r w:rsidR="008A4830" w:rsidRPr="00FB4EFA">
        <w:rPr>
          <w:webHidden/>
        </w:rPr>
        <w:fldChar w:fldCharType="end"/>
      </w:r>
    </w:p>
    <w:p w14:paraId="1BD9EF07" w14:textId="725BA741" w:rsidR="00A96E85" w:rsidRPr="00FB4EFA" w:rsidRDefault="00A96E85" w:rsidP="00AF0CAD">
      <w:pPr>
        <w:tabs>
          <w:tab w:val="right" w:leader="dot" w:pos="6906"/>
        </w:tabs>
        <w:spacing w:after="120"/>
        <w:jc w:val="left"/>
      </w:pPr>
      <w:r w:rsidRPr="00FB4EFA">
        <w:rPr>
          <w:i/>
          <w:iCs/>
        </w:rPr>
        <w:t>Mikko Kajander:</w:t>
      </w:r>
      <w:r w:rsidRPr="00FB4EFA">
        <w:rPr>
          <w:i/>
          <w:iCs/>
        </w:rPr>
        <w:br/>
      </w:r>
      <w:r w:rsidRPr="00FB4EFA">
        <w:t xml:space="preserve">Jari tulee tankkaamasta autoa. Objektin partitiivisija oppijan </w:t>
      </w:r>
      <w:r w:rsidR="00A10194" w:rsidRPr="00FB4EFA">
        <w:br/>
      </w:r>
      <w:r w:rsidRPr="00FB4EFA">
        <w:t>näkökulmasta</w:t>
      </w:r>
      <w:r w:rsidRPr="00FB4EFA">
        <w:rPr>
          <w:webHidden/>
        </w:rPr>
        <w:tab/>
      </w:r>
      <w:r w:rsidR="008A4830" w:rsidRPr="00FB4EFA">
        <w:rPr>
          <w:webHidden/>
        </w:rPr>
        <w:fldChar w:fldCharType="begin"/>
      </w:r>
      <w:r w:rsidR="008A4830" w:rsidRPr="00FB4EFA">
        <w:rPr>
          <w:webHidden/>
        </w:rPr>
        <w:instrText xml:space="preserve"> PAGEREF _Ref90999631 \h </w:instrText>
      </w:r>
      <w:r w:rsidR="008A4830" w:rsidRPr="00FB4EFA">
        <w:rPr>
          <w:webHidden/>
        </w:rPr>
      </w:r>
      <w:r w:rsidR="008A4830" w:rsidRPr="00FB4EFA">
        <w:rPr>
          <w:webHidden/>
        </w:rPr>
        <w:fldChar w:fldCharType="separate"/>
      </w:r>
      <w:r w:rsidR="00507346">
        <w:rPr>
          <w:noProof/>
          <w:webHidden/>
        </w:rPr>
        <w:t>246</w:t>
      </w:r>
      <w:r w:rsidR="008A4830" w:rsidRPr="00FB4EFA">
        <w:rPr>
          <w:webHidden/>
        </w:rPr>
        <w:fldChar w:fldCharType="end"/>
      </w:r>
    </w:p>
    <w:p w14:paraId="12B38E9A" w14:textId="5C14ECC2"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Ilona Kivinen:</w:t>
      </w:r>
      <w:r w:rsidRPr="00FB4EFA">
        <w:br/>
        <w:t>Huomio kielisukulaisuuteen! –</w:t>
      </w:r>
      <w:r w:rsidR="00FF3327" w:rsidRPr="00FB4EFA">
        <w:t xml:space="preserve"> </w:t>
      </w:r>
      <w:r w:rsidRPr="00FB4EFA">
        <w:t>Havaintoja kielenoppimis</w:t>
      </w:r>
      <w:r w:rsidR="004A77B5" w:rsidRPr="00FB4EFA">
        <w:t>-</w:t>
      </w:r>
      <w:r w:rsidR="004A77B5" w:rsidRPr="00FB4EFA">
        <w:br/>
      </w:r>
      <w:r w:rsidRPr="00FB4EFA">
        <w:t>strategioista ja kielihistorian hyödyntämisestä saamenopetuksessa</w:t>
      </w:r>
      <w:r w:rsidRPr="00FB4EFA">
        <w:rPr>
          <w:webHidden/>
        </w:rPr>
        <w:tab/>
      </w:r>
      <w:r w:rsidR="008A4830" w:rsidRPr="00FB4EFA">
        <w:rPr>
          <w:webHidden/>
        </w:rPr>
        <w:fldChar w:fldCharType="begin"/>
      </w:r>
      <w:r w:rsidR="008A4830" w:rsidRPr="00FB4EFA">
        <w:rPr>
          <w:webHidden/>
        </w:rPr>
        <w:instrText xml:space="preserve"> PAGEREF _Ref90999637 \h </w:instrText>
      </w:r>
      <w:r w:rsidR="008A4830" w:rsidRPr="00FB4EFA">
        <w:rPr>
          <w:webHidden/>
        </w:rPr>
      </w:r>
      <w:r w:rsidR="008A4830" w:rsidRPr="00FB4EFA">
        <w:rPr>
          <w:webHidden/>
        </w:rPr>
        <w:fldChar w:fldCharType="separate"/>
      </w:r>
      <w:r w:rsidR="00507346">
        <w:rPr>
          <w:noProof/>
          <w:webHidden/>
        </w:rPr>
        <w:t>259</w:t>
      </w:r>
      <w:r w:rsidR="008A4830" w:rsidRPr="00FB4EFA">
        <w:rPr>
          <w:webHidden/>
        </w:rPr>
        <w:fldChar w:fldCharType="end"/>
      </w:r>
    </w:p>
    <w:p w14:paraId="0D72601F" w14:textId="09746A04" w:rsidR="00A96E85" w:rsidRPr="00FB4EFA" w:rsidRDefault="00A96E85" w:rsidP="00AF0CAD">
      <w:pPr>
        <w:tabs>
          <w:tab w:val="right" w:leader="dot" w:pos="6906"/>
        </w:tabs>
        <w:spacing w:after="120"/>
        <w:jc w:val="left"/>
        <w:rPr>
          <w:rFonts w:asciiTheme="minorHAnsi" w:eastAsiaTheme="minorEastAsia" w:hAnsiTheme="minorHAnsi"/>
        </w:rPr>
      </w:pPr>
      <w:r w:rsidRPr="00FB4EFA">
        <w:rPr>
          <w:rFonts w:cstheme="minorHAnsi"/>
          <w:i/>
        </w:rPr>
        <w:t>Birute Klaas-Lang</w:t>
      </w:r>
      <w:r w:rsidRPr="00FB4EFA">
        <w:rPr>
          <w:i/>
        </w:rPr>
        <w:t>:</w:t>
      </w:r>
      <w:r w:rsidRPr="00FB4EFA">
        <w:rPr>
          <w:rFonts w:cstheme="minorHAnsi"/>
        </w:rPr>
        <w:br/>
        <w:t xml:space="preserve">The struggle between Estonian and </w:t>
      </w:r>
      <w:r w:rsidRPr="00FB4EFA">
        <w:t>English</w:t>
      </w:r>
      <w:r w:rsidRPr="00FB4EFA">
        <w:rPr>
          <w:rFonts w:cstheme="minorHAnsi"/>
        </w:rPr>
        <w:t xml:space="preserve"> </w:t>
      </w:r>
      <w:r w:rsidR="00994E2A" w:rsidRPr="00FB4EFA">
        <w:rPr>
          <w:rFonts w:cstheme="minorHAnsi"/>
        </w:rPr>
        <w:br/>
      </w:r>
      <w:r w:rsidRPr="00FB4EFA">
        <w:rPr>
          <w:rFonts w:cstheme="minorHAnsi"/>
        </w:rPr>
        <w:t>in higher education in Estonia</w:t>
      </w:r>
      <w:r w:rsidRPr="00FB4EFA">
        <w:rPr>
          <w:webHidden/>
        </w:rPr>
        <w:tab/>
      </w:r>
      <w:r w:rsidR="00940B0E" w:rsidRPr="00FB4EFA">
        <w:rPr>
          <w:webHidden/>
        </w:rPr>
        <w:fldChar w:fldCharType="begin"/>
      </w:r>
      <w:r w:rsidR="00940B0E" w:rsidRPr="00FB4EFA">
        <w:rPr>
          <w:webHidden/>
        </w:rPr>
        <w:instrText xml:space="preserve"> PAGEREF _Ref104923982 \h </w:instrText>
      </w:r>
      <w:r w:rsidR="00940B0E" w:rsidRPr="00FB4EFA">
        <w:rPr>
          <w:webHidden/>
        </w:rPr>
      </w:r>
      <w:r w:rsidR="00940B0E" w:rsidRPr="00FB4EFA">
        <w:rPr>
          <w:webHidden/>
        </w:rPr>
        <w:fldChar w:fldCharType="separate"/>
      </w:r>
      <w:r w:rsidR="00507346">
        <w:rPr>
          <w:noProof/>
          <w:webHidden/>
        </w:rPr>
        <w:t>271</w:t>
      </w:r>
      <w:r w:rsidR="00940B0E" w:rsidRPr="00FB4EFA">
        <w:rPr>
          <w:webHidden/>
        </w:rPr>
        <w:fldChar w:fldCharType="end"/>
      </w:r>
    </w:p>
    <w:p w14:paraId="77DE453F" w14:textId="60298D46"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lastRenderedPageBreak/>
        <w:t>Anna Kolláth:</w:t>
      </w:r>
      <w:r w:rsidRPr="00FB4EFA">
        <w:br/>
        <w:t>Hobbi és sport fogalomkör</w:t>
      </w:r>
      <w:r w:rsidRPr="00FB4EFA">
        <w:rPr>
          <w:rFonts w:cs="Cambria"/>
        </w:rPr>
        <w:t>ű</w:t>
      </w:r>
      <w:r w:rsidRPr="00FB4EFA">
        <w:t xml:space="preserve"> k</w:t>
      </w:r>
      <w:r w:rsidRPr="00FB4EFA">
        <w:rPr>
          <w:rFonts w:cs="Baskerville Old Face"/>
        </w:rPr>
        <w:t>ö</w:t>
      </w:r>
      <w:r w:rsidRPr="00FB4EFA">
        <w:t>lcs</w:t>
      </w:r>
      <w:r w:rsidRPr="00FB4EFA">
        <w:rPr>
          <w:rFonts w:cs="Baskerville Old Face"/>
        </w:rPr>
        <w:t>ö</w:t>
      </w:r>
      <w:r w:rsidRPr="00FB4EFA">
        <w:t>nszavak a Termini</w:t>
      </w:r>
      <w:r w:rsidR="00DF135C" w:rsidRPr="00FB4EFA">
        <w:t>-</w:t>
      </w:r>
      <w:r w:rsidRPr="00FB4EFA">
        <w:t>sz</w:t>
      </w:r>
      <w:r w:rsidRPr="00FB4EFA">
        <w:rPr>
          <w:rFonts w:cs="Baskerville Old Face"/>
        </w:rPr>
        <w:t>ó</w:t>
      </w:r>
      <w:r w:rsidRPr="00FB4EFA">
        <w:t>t</w:t>
      </w:r>
      <w:r w:rsidRPr="00FB4EFA">
        <w:rPr>
          <w:rFonts w:cs="Baskerville Old Face"/>
        </w:rPr>
        <w:t>á</w:t>
      </w:r>
      <w:r w:rsidRPr="00FB4EFA">
        <w:t xml:space="preserve">r </w:t>
      </w:r>
      <w:r w:rsidR="00994E2A" w:rsidRPr="00FB4EFA">
        <w:br/>
      </w:r>
      <w:r w:rsidRPr="00FB4EFA">
        <w:t>muravid</w:t>
      </w:r>
      <w:r w:rsidRPr="00FB4EFA">
        <w:rPr>
          <w:rFonts w:cs="Baskerville Old Face"/>
        </w:rPr>
        <w:t>é</w:t>
      </w:r>
      <w:r w:rsidRPr="00FB4EFA">
        <w:t>ki korpusz</w:t>
      </w:r>
      <w:r w:rsidRPr="00FB4EFA">
        <w:rPr>
          <w:rFonts w:cs="Baskerville Old Face"/>
        </w:rPr>
        <w:t>á</w:t>
      </w:r>
      <w:r w:rsidRPr="00FB4EFA">
        <w:t>ban</w:t>
      </w:r>
      <w:r w:rsidRPr="00FB4EFA">
        <w:rPr>
          <w:webHidden/>
        </w:rPr>
        <w:tab/>
      </w:r>
      <w:r w:rsidR="008A4830" w:rsidRPr="00FB4EFA">
        <w:rPr>
          <w:webHidden/>
        </w:rPr>
        <w:fldChar w:fldCharType="begin"/>
      </w:r>
      <w:r w:rsidR="008A4830" w:rsidRPr="00FB4EFA">
        <w:rPr>
          <w:webHidden/>
        </w:rPr>
        <w:instrText xml:space="preserve"> PAGEREF _Ref90999648 \h </w:instrText>
      </w:r>
      <w:r w:rsidR="008A4830" w:rsidRPr="00FB4EFA">
        <w:rPr>
          <w:webHidden/>
        </w:rPr>
      </w:r>
      <w:r w:rsidR="008A4830" w:rsidRPr="00FB4EFA">
        <w:rPr>
          <w:webHidden/>
        </w:rPr>
        <w:fldChar w:fldCharType="separate"/>
      </w:r>
      <w:r w:rsidR="00507346">
        <w:rPr>
          <w:noProof/>
          <w:webHidden/>
        </w:rPr>
        <w:t>297</w:t>
      </w:r>
      <w:r w:rsidR="008A4830" w:rsidRPr="00FB4EFA">
        <w:rPr>
          <w:webHidden/>
        </w:rPr>
        <w:fldChar w:fldCharType="end"/>
      </w:r>
    </w:p>
    <w:p w14:paraId="251386BD" w14:textId="4C598009"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Kadri Koreinik, Helen Plado:</w:t>
      </w:r>
      <w:r w:rsidRPr="00FB4EFA">
        <w:br/>
        <w:t xml:space="preserve">Linguistic and extra-linguistic arguments in graphization debates: </w:t>
      </w:r>
      <w:r w:rsidR="00994E2A" w:rsidRPr="00FB4EFA">
        <w:br/>
      </w:r>
      <w:r w:rsidRPr="00FB4EFA">
        <w:t>an unsettled standard of Southern Estonian</w:t>
      </w:r>
      <w:r w:rsidRPr="00FB4EFA">
        <w:rPr>
          <w:webHidden/>
        </w:rPr>
        <w:tab/>
      </w:r>
      <w:r w:rsidR="008A4830" w:rsidRPr="00FB4EFA">
        <w:rPr>
          <w:webHidden/>
        </w:rPr>
        <w:fldChar w:fldCharType="begin"/>
      </w:r>
      <w:r w:rsidR="008A4830" w:rsidRPr="00FB4EFA">
        <w:rPr>
          <w:webHidden/>
        </w:rPr>
        <w:instrText xml:space="preserve"> PAGEREF _Ref90999653 \h </w:instrText>
      </w:r>
      <w:r w:rsidR="008A4830" w:rsidRPr="00FB4EFA">
        <w:rPr>
          <w:webHidden/>
        </w:rPr>
      </w:r>
      <w:r w:rsidR="008A4830" w:rsidRPr="00FB4EFA">
        <w:rPr>
          <w:webHidden/>
        </w:rPr>
        <w:fldChar w:fldCharType="separate"/>
      </w:r>
      <w:r w:rsidR="00507346">
        <w:rPr>
          <w:noProof/>
          <w:webHidden/>
        </w:rPr>
        <w:t>309</w:t>
      </w:r>
      <w:r w:rsidR="008A4830" w:rsidRPr="00FB4EFA">
        <w:rPr>
          <w:webHidden/>
        </w:rPr>
        <w:fldChar w:fldCharType="end"/>
      </w:r>
    </w:p>
    <w:p w14:paraId="7924B615" w14:textId="1345CBAE"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Renate Pajusalu, Karl Pajusalu:</w:t>
      </w:r>
      <w:r w:rsidRPr="00FB4EFA">
        <w:br/>
        <w:t>Ajavaos ja -vagudel</w:t>
      </w:r>
      <w:r w:rsidRPr="00FB4EFA">
        <w:rPr>
          <w:webHidden/>
        </w:rPr>
        <w:tab/>
      </w:r>
      <w:r w:rsidR="008A4830" w:rsidRPr="00FB4EFA">
        <w:rPr>
          <w:webHidden/>
        </w:rPr>
        <w:fldChar w:fldCharType="begin"/>
      </w:r>
      <w:r w:rsidR="008A4830" w:rsidRPr="00FB4EFA">
        <w:rPr>
          <w:webHidden/>
        </w:rPr>
        <w:instrText xml:space="preserve"> PAGEREF _Ref90999660 \h </w:instrText>
      </w:r>
      <w:r w:rsidR="008A4830" w:rsidRPr="00FB4EFA">
        <w:rPr>
          <w:webHidden/>
        </w:rPr>
      </w:r>
      <w:r w:rsidR="008A4830" w:rsidRPr="00FB4EFA">
        <w:rPr>
          <w:webHidden/>
        </w:rPr>
        <w:fldChar w:fldCharType="separate"/>
      </w:r>
      <w:r w:rsidR="00507346">
        <w:rPr>
          <w:noProof/>
          <w:webHidden/>
        </w:rPr>
        <w:t>337</w:t>
      </w:r>
      <w:r w:rsidR="008A4830" w:rsidRPr="00FB4EFA">
        <w:rPr>
          <w:webHidden/>
        </w:rPr>
        <w:fldChar w:fldCharType="end"/>
      </w:r>
    </w:p>
    <w:p w14:paraId="106A3107" w14:textId="57DF1C03"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Christian Pischlöger:</w:t>
      </w:r>
      <w:r w:rsidRPr="00FB4EFA">
        <w:br/>
        <w:t xml:space="preserve">Vom Nutzen und Nachteil der Sprachwissenschaft für das Leben </w:t>
      </w:r>
      <w:r w:rsidR="00994E2A" w:rsidRPr="00FB4EFA">
        <w:br/>
      </w:r>
      <w:r w:rsidRPr="00FB4EFA">
        <w:t>von Minderheitensprachen: Die „Wieso-Sprache“ Besermanisch</w:t>
      </w:r>
      <w:r w:rsidRPr="00FB4EFA">
        <w:rPr>
          <w:webHidden/>
        </w:rPr>
        <w:tab/>
      </w:r>
      <w:r w:rsidR="008A4830" w:rsidRPr="00FB4EFA">
        <w:rPr>
          <w:webHidden/>
        </w:rPr>
        <w:fldChar w:fldCharType="begin"/>
      </w:r>
      <w:r w:rsidR="008A4830" w:rsidRPr="00FB4EFA">
        <w:rPr>
          <w:webHidden/>
        </w:rPr>
        <w:instrText xml:space="preserve"> PAGEREF _Ref90999666 \h </w:instrText>
      </w:r>
      <w:r w:rsidR="008A4830" w:rsidRPr="00FB4EFA">
        <w:rPr>
          <w:webHidden/>
        </w:rPr>
      </w:r>
      <w:r w:rsidR="008A4830" w:rsidRPr="00FB4EFA">
        <w:rPr>
          <w:webHidden/>
        </w:rPr>
        <w:fldChar w:fldCharType="separate"/>
      </w:r>
      <w:r w:rsidR="00507346">
        <w:rPr>
          <w:noProof/>
          <w:webHidden/>
        </w:rPr>
        <w:t>348</w:t>
      </w:r>
      <w:r w:rsidR="008A4830" w:rsidRPr="00FB4EFA">
        <w:rPr>
          <w:webHidden/>
        </w:rPr>
        <w:fldChar w:fldCharType="end"/>
      </w:r>
    </w:p>
    <w:p w14:paraId="54E79483" w14:textId="05173241"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Janne Saarikivi:</w:t>
      </w:r>
      <w:r w:rsidRPr="00FB4EFA">
        <w:br/>
        <w:t>Huomioita Agricolan psalttarin esipuheen jumalista ja muusta itämerensuomalaisesta mytologisesta sanastosta</w:t>
      </w:r>
      <w:r w:rsidRPr="00FB4EFA">
        <w:rPr>
          <w:webHidden/>
        </w:rPr>
        <w:tab/>
      </w:r>
      <w:r w:rsidR="008A4830" w:rsidRPr="00FB4EFA">
        <w:rPr>
          <w:webHidden/>
        </w:rPr>
        <w:fldChar w:fldCharType="begin"/>
      </w:r>
      <w:r w:rsidR="008A4830" w:rsidRPr="00FB4EFA">
        <w:rPr>
          <w:webHidden/>
        </w:rPr>
        <w:instrText xml:space="preserve"> PAGEREF _Ref90999670 \h </w:instrText>
      </w:r>
      <w:r w:rsidR="008A4830" w:rsidRPr="00FB4EFA">
        <w:rPr>
          <w:webHidden/>
        </w:rPr>
      </w:r>
      <w:r w:rsidR="008A4830" w:rsidRPr="00FB4EFA">
        <w:rPr>
          <w:webHidden/>
        </w:rPr>
        <w:fldChar w:fldCharType="separate"/>
      </w:r>
      <w:r w:rsidR="00507346">
        <w:rPr>
          <w:noProof/>
          <w:webHidden/>
        </w:rPr>
        <w:t>382</w:t>
      </w:r>
      <w:r w:rsidR="008A4830" w:rsidRPr="00FB4EFA">
        <w:rPr>
          <w:webHidden/>
        </w:rPr>
        <w:fldChar w:fldCharType="end"/>
      </w:r>
    </w:p>
    <w:p w14:paraId="53393D8E" w14:textId="33379D60"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Ksenia Shagal, Merit Niinemägi, Luan Hammer, Kitti Vojter, Mátyás Béres:</w:t>
      </w:r>
      <w:r w:rsidRPr="00FB4EFA">
        <w:br/>
        <w:t xml:space="preserve">Gendered job titles in genderless languages: </w:t>
      </w:r>
      <w:r w:rsidR="004A77B5" w:rsidRPr="00FB4EFA">
        <w:br/>
      </w:r>
      <w:r w:rsidR="00E63433" w:rsidRPr="00FB4EFA">
        <w:t>the</w:t>
      </w:r>
      <w:r w:rsidRPr="00FB4EFA">
        <w:t xml:space="preserve"> case of Finno-Ugric</w:t>
      </w:r>
      <w:r w:rsidRPr="00FB4EFA">
        <w:rPr>
          <w:webHidden/>
        </w:rPr>
        <w:tab/>
      </w:r>
      <w:r w:rsidR="008A4830" w:rsidRPr="00FB4EFA">
        <w:rPr>
          <w:webHidden/>
        </w:rPr>
        <w:fldChar w:fldCharType="begin"/>
      </w:r>
      <w:r w:rsidR="008A4830" w:rsidRPr="00FB4EFA">
        <w:rPr>
          <w:webHidden/>
        </w:rPr>
        <w:instrText xml:space="preserve"> PAGEREF _Ref90999674 \h </w:instrText>
      </w:r>
      <w:r w:rsidR="008A4830" w:rsidRPr="00FB4EFA">
        <w:rPr>
          <w:webHidden/>
        </w:rPr>
      </w:r>
      <w:r w:rsidR="008A4830" w:rsidRPr="00FB4EFA">
        <w:rPr>
          <w:webHidden/>
        </w:rPr>
        <w:fldChar w:fldCharType="separate"/>
      </w:r>
      <w:r w:rsidR="00507346">
        <w:rPr>
          <w:noProof/>
          <w:webHidden/>
        </w:rPr>
        <w:t>402</w:t>
      </w:r>
      <w:r w:rsidR="008A4830" w:rsidRPr="00FB4EFA">
        <w:rPr>
          <w:webHidden/>
        </w:rPr>
        <w:fldChar w:fldCharType="end"/>
      </w:r>
    </w:p>
    <w:p w14:paraId="55FB53DD" w14:textId="65212AD3"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Beáta Wagner-Nagy:</w:t>
      </w:r>
      <w:r w:rsidRPr="00FB4EFA">
        <w:br/>
        <w:t>How many right and left sides are there in Nganasan?</w:t>
      </w:r>
      <w:r w:rsidRPr="00FB4EFA">
        <w:rPr>
          <w:webHidden/>
        </w:rPr>
        <w:tab/>
      </w:r>
      <w:r w:rsidR="008A4830" w:rsidRPr="00FB4EFA">
        <w:rPr>
          <w:webHidden/>
        </w:rPr>
        <w:fldChar w:fldCharType="begin"/>
      </w:r>
      <w:r w:rsidR="008A4830" w:rsidRPr="00FB4EFA">
        <w:rPr>
          <w:webHidden/>
        </w:rPr>
        <w:instrText xml:space="preserve"> PAGEREF _Ref90999680 \h </w:instrText>
      </w:r>
      <w:r w:rsidR="008A4830" w:rsidRPr="00FB4EFA">
        <w:rPr>
          <w:webHidden/>
        </w:rPr>
      </w:r>
      <w:r w:rsidR="008A4830" w:rsidRPr="00FB4EFA">
        <w:rPr>
          <w:webHidden/>
        </w:rPr>
        <w:fldChar w:fldCharType="separate"/>
      </w:r>
      <w:r w:rsidR="00507346">
        <w:rPr>
          <w:noProof/>
          <w:webHidden/>
        </w:rPr>
        <w:t>428</w:t>
      </w:r>
      <w:r w:rsidR="008A4830" w:rsidRPr="00FB4EFA">
        <w:rPr>
          <w:webHidden/>
        </w:rPr>
        <w:fldChar w:fldCharType="end"/>
      </w:r>
    </w:p>
    <w:p w14:paraId="25CD38FA" w14:textId="52C084C8" w:rsidR="00A96E85" w:rsidRPr="00FB4EFA" w:rsidRDefault="00A96E85" w:rsidP="00AF0CAD">
      <w:pPr>
        <w:tabs>
          <w:tab w:val="right" w:leader="dot" w:pos="6906"/>
        </w:tabs>
        <w:spacing w:after="120"/>
        <w:jc w:val="left"/>
        <w:rPr>
          <w:webHidden/>
        </w:rPr>
      </w:pPr>
      <w:r w:rsidRPr="00FB4EFA">
        <w:rPr>
          <w:i/>
        </w:rPr>
        <w:t>Jussi Ylikoski:</w:t>
      </w:r>
      <w:r w:rsidRPr="00FB4EFA">
        <w:br/>
        <w:t xml:space="preserve">Kieliopillistutaan sitä vielä meilläkin! Kaksi vuosisataa viron </w:t>
      </w:r>
      <w:r w:rsidR="00994E2A" w:rsidRPr="00FB4EFA">
        <w:br/>
      </w:r>
      <w:r w:rsidRPr="00FB4EFA">
        <w:t>ja suomen komitatiivien vertailua</w:t>
      </w:r>
      <w:r w:rsidRPr="00FB4EFA">
        <w:rPr>
          <w:webHidden/>
        </w:rPr>
        <w:tab/>
      </w:r>
      <w:r w:rsidR="008A4830" w:rsidRPr="00FB4EFA">
        <w:rPr>
          <w:webHidden/>
        </w:rPr>
        <w:fldChar w:fldCharType="begin"/>
      </w:r>
      <w:r w:rsidR="008A4830" w:rsidRPr="00FB4EFA">
        <w:rPr>
          <w:webHidden/>
        </w:rPr>
        <w:instrText xml:space="preserve"> PAGEREF _Ref90999687 \h </w:instrText>
      </w:r>
      <w:r w:rsidR="008A4830" w:rsidRPr="00FB4EFA">
        <w:rPr>
          <w:webHidden/>
        </w:rPr>
      </w:r>
      <w:r w:rsidR="008A4830" w:rsidRPr="00FB4EFA">
        <w:rPr>
          <w:webHidden/>
        </w:rPr>
        <w:fldChar w:fldCharType="separate"/>
      </w:r>
      <w:r w:rsidR="00507346">
        <w:rPr>
          <w:noProof/>
          <w:webHidden/>
        </w:rPr>
        <w:t>445</w:t>
      </w:r>
      <w:r w:rsidR="008A4830" w:rsidRPr="00FB4EFA">
        <w:rPr>
          <w:webHidden/>
        </w:rPr>
        <w:fldChar w:fldCharType="end"/>
      </w:r>
    </w:p>
    <w:p w14:paraId="3FF2ED33" w14:textId="77777777" w:rsidR="00053785" w:rsidRPr="00FB4EFA" w:rsidRDefault="00053785" w:rsidP="00AF0CAD">
      <w:pPr>
        <w:tabs>
          <w:tab w:val="right" w:leader="dot" w:pos="6906"/>
        </w:tabs>
        <w:spacing w:after="120"/>
        <w:jc w:val="left"/>
        <w:rPr>
          <w:webHidden/>
        </w:rPr>
      </w:pPr>
    </w:p>
    <w:p w14:paraId="4D0F93AE" w14:textId="114CF814" w:rsidR="00A96E85" w:rsidRPr="00FB4EFA" w:rsidRDefault="00A96E85" w:rsidP="00AF0CAD">
      <w:pPr>
        <w:keepNext/>
        <w:tabs>
          <w:tab w:val="right" w:leader="dot" w:pos="6906"/>
        </w:tabs>
        <w:spacing w:after="120"/>
        <w:jc w:val="left"/>
        <w:rPr>
          <w:rFonts w:asciiTheme="minorHAnsi" w:eastAsiaTheme="minorEastAsia" w:hAnsiTheme="minorHAnsi"/>
        </w:rPr>
      </w:pPr>
      <w:r w:rsidRPr="00FB4EFA">
        <w:rPr>
          <w:b/>
          <w:bCs/>
        </w:rPr>
        <w:t>IV. Literatur- und Kulturwissenschaft</w:t>
      </w:r>
    </w:p>
    <w:p w14:paraId="6CB7ED2D" w14:textId="6D0DF571"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Johanna Domokos:</w:t>
      </w:r>
      <w:r w:rsidRPr="00FB4EFA">
        <w:br/>
      </w:r>
      <w:r w:rsidR="00B3200B" w:rsidRPr="00FB4EFA">
        <w:t xml:space="preserve">P. A. Böckstiegel expresszionista festő eltűnt </w:t>
      </w:r>
      <w:r w:rsidR="00994E2A" w:rsidRPr="00FB4EFA">
        <w:br/>
      </w:r>
      <w:r w:rsidR="00B3200B" w:rsidRPr="00FB4EFA">
        <w:t>számi családi festményéről</w:t>
      </w:r>
      <w:r w:rsidRPr="00FB4EFA">
        <w:rPr>
          <w:webHidden/>
        </w:rPr>
        <w:tab/>
      </w:r>
      <w:r w:rsidR="00B3200B" w:rsidRPr="00FB4EFA">
        <w:rPr>
          <w:webHidden/>
        </w:rPr>
        <w:fldChar w:fldCharType="begin"/>
      </w:r>
      <w:r w:rsidR="00B3200B" w:rsidRPr="00FB4EFA">
        <w:rPr>
          <w:webHidden/>
        </w:rPr>
        <w:instrText xml:space="preserve"> PAGEREF _Ref95161024 \h </w:instrText>
      </w:r>
      <w:r w:rsidR="00B3200B" w:rsidRPr="00FB4EFA">
        <w:rPr>
          <w:webHidden/>
        </w:rPr>
      </w:r>
      <w:r w:rsidR="00B3200B" w:rsidRPr="00FB4EFA">
        <w:rPr>
          <w:webHidden/>
        </w:rPr>
        <w:fldChar w:fldCharType="separate"/>
      </w:r>
      <w:r w:rsidR="00507346">
        <w:rPr>
          <w:noProof/>
          <w:webHidden/>
        </w:rPr>
        <w:t>464</w:t>
      </w:r>
      <w:r w:rsidR="00B3200B" w:rsidRPr="00FB4EFA">
        <w:rPr>
          <w:webHidden/>
        </w:rPr>
        <w:fldChar w:fldCharType="end"/>
      </w:r>
    </w:p>
    <w:p w14:paraId="1DAC304C" w14:textId="1DBFD0F3" w:rsidR="00597915" w:rsidRPr="00FB4EFA" w:rsidRDefault="00597915" w:rsidP="00AF0CAD">
      <w:pPr>
        <w:tabs>
          <w:tab w:val="right" w:leader="dot" w:pos="6906"/>
        </w:tabs>
        <w:spacing w:after="120"/>
        <w:jc w:val="left"/>
        <w:rPr>
          <w:rFonts w:asciiTheme="minorHAnsi" w:eastAsiaTheme="minorEastAsia" w:hAnsiTheme="minorHAnsi"/>
        </w:rPr>
      </w:pPr>
      <w:r w:rsidRPr="00FB4EFA">
        <w:rPr>
          <w:i/>
        </w:rPr>
        <w:t>Erika Erlinghagen:</w:t>
      </w:r>
      <w:r w:rsidRPr="00FB4EFA">
        <w:br/>
        <w:t>“…</w:t>
      </w:r>
      <w:r w:rsidR="002A76D8" w:rsidRPr="00FB4EFA">
        <w:t xml:space="preserve"> </w:t>
      </w:r>
      <w:r w:rsidRPr="00FB4EFA">
        <w:t>ein Unglück hatte zugeschlagen</w:t>
      </w:r>
      <w:r w:rsidR="002A76D8" w:rsidRPr="00FB4EFA">
        <w:t xml:space="preserve"> </w:t>
      </w:r>
      <w:r w:rsidRPr="00FB4EFA">
        <w:t xml:space="preserve">…”: Views on the past </w:t>
      </w:r>
      <w:r w:rsidR="00994E2A" w:rsidRPr="00FB4EFA">
        <w:br/>
      </w:r>
      <w:r w:rsidRPr="00FB4EFA">
        <w:t>in Hungarian-German literature of the 20</w:t>
      </w:r>
      <w:r w:rsidRPr="00FB4EFA">
        <w:rPr>
          <w:vertAlign w:val="superscript"/>
        </w:rPr>
        <w:t>th</w:t>
      </w:r>
      <w:r w:rsidRPr="00FB4EFA">
        <w:t xml:space="preserve"> century</w:t>
      </w:r>
      <w:r w:rsidRPr="00FB4EFA">
        <w:rPr>
          <w:webHidden/>
        </w:rPr>
        <w:tab/>
      </w:r>
      <w:r w:rsidRPr="00FB4EFA">
        <w:rPr>
          <w:webHidden/>
        </w:rPr>
        <w:fldChar w:fldCharType="begin"/>
      </w:r>
      <w:r w:rsidRPr="00FB4EFA">
        <w:rPr>
          <w:webHidden/>
        </w:rPr>
        <w:instrText xml:space="preserve"> PAGEREF _Ref90999692 \h </w:instrText>
      </w:r>
      <w:r w:rsidRPr="00FB4EFA">
        <w:rPr>
          <w:webHidden/>
        </w:rPr>
      </w:r>
      <w:r w:rsidRPr="00FB4EFA">
        <w:rPr>
          <w:webHidden/>
        </w:rPr>
        <w:fldChar w:fldCharType="separate"/>
      </w:r>
      <w:r w:rsidR="00507346">
        <w:rPr>
          <w:noProof/>
          <w:webHidden/>
        </w:rPr>
        <w:t>473</w:t>
      </w:r>
      <w:r w:rsidRPr="00FB4EFA">
        <w:rPr>
          <w:webHidden/>
        </w:rPr>
        <w:fldChar w:fldCharType="end"/>
      </w:r>
    </w:p>
    <w:p w14:paraId="6DBFD618" w14:textId="72F4832E" w:rsidR="00D418BA" w:rsidRPr="00FB4EFA" w:rsidRDefault="00D418BA" w:rsidP="00AF0CAD">
      <w:pPr>
        <w:tabs>
          <w:tab w:val="right" w:leader="dot" w:pos="6906"/>
        </w:tabs>
        <w:spacing w:after="120"/>
        <w:jc w:val="left"/>
        <w:rPr>
          <w:rFonts w:asciiTheme="minorHAnsi" w:eastAsiaTheme="minorEastAsia" w:hAnsiTheme="minorHAnsi"/>
        </w:rPr>
      </w:pPr>
      <w:r w:rsidRPr="00FB4EFA">
        <w:rPr>
          <w:i/>
        </w:rPr>
        <w:lastRenderedPageBreak/>
        <w:t>Endre Hárs:</w:t>
      </w:r>
      <w:r w:rsidRPr="00FB4EFA">
        <w:br/>
      </w:r>
      <w:r w:rsidR="00195BB7" w:rsidRPr="00FB4EFA">
        <w:t xml:space="preserve">Wie Gyula Hernádi dem Zeitreisenden begegnete. Eine Episode </w:t>
      </w:r>
      <w:r w:rsidR="00994E2A" w:rsidRPr="00FB4EFA">
        <w:br/>
      </w:r>
      <w:r w:rsidR="00195BB7" w:rsidRPr="00FB4EFA">
        <w:t>aus der Geschichte der ungarischen Fantastik</w:t>
      </w:r>
      <w:r w:rsidRPr="00FB4EFA">
        <w:rPr>
          <w:webHidden/>
        </w:rPr>
        <w:tab/>
      </w:r>
      <w:r w:rsidR="00195BB7" w:rsidRPr="00FB4EFA">
        <w:rPr>
          <w:webHidden/>
        </w:rPr>
        <w:fldChar w:fldCharType="begin"/>
      </w:r>
      <w:r w:rsidR="00195BB7" w:rsidRPr="00FB4EFA">
        <w:rPr>
          <w:webHidden/>
        </w:rPr>
        <w:instrText xml:space="preserve"> PAGEREF _Ref95160175 \h </w:instrText>
      </w:r>
      <w:r w:rsidR="00195BB7" w:rsidRPr="00FB4EFA">
        <w:rPr>
          <w:webHidden/>
        </w:rPr>
      </w:r>
      <w:r w:rsidR="00195BB7" w:rsidRPr="00FB4EFA">
        <w:rPr>
          <w:webHidden/>
        </w:rPr>
        <w:fldChar w:fldCharType="separate"/>
      </w:r>
      <w:r w:rsidR="00507346">
        <w:rPr>
          <w:noProof/>
          <w:webHidden/>
        </w:rPr>
        <w:t>499</w:t>
      </w:r>
      <w:r w:rsidR="00195BB7" w:rsidRPr="00FB4EFA">
        <w:rPr>
          <w:webHidden/>
        </w:rPr>
        <w:fldChar w:fldCharType="end"/>
      </w:r>
    </w:p>
    <w:p w14:paraId="6712D620" w14:textId="69AE6945"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Károly Kókai:</w:t>
      </w:r>
      <w:r w:rsidRPr="00FB4EFA">
        <w:br/>
        <w:t>Die falschen Schlüsse: Zwei kulturwissenschaftliche Fallbeispiele</w:t>
      </w:r>
      <w:r w:rsidRPr="00FB4EFA">
        <w:rPr>
          <w:webHidden/>
        </w:rPr>
        <w:tab/>
      </w:r>
      <w:r w:rsidR="008A4830" w:rsidRPr="00FB4EFA">
        <w:rPr>
          <w:webHidden/>
        </w:rPr>
        <w:fldChar w:fldCharType="begin"/>
      </w:r>
      <w:r w:rsidR="008A4830" w:rsidRPr="00FB4EFA">
        <w:rPr>
          <w:webHidden/>
        </w:rPr>
        <w:instrText xml:space="preserve"> PAGEREF _Ref90999705 \h </w:instrText>
      </w:r>
      <w:r w:rsidR="008A4830" w:rsidRPr="00FB4EFA">
        <w:rPr>
          <w:webHidden/>
        </w:rPr>
      </w:r>
      <w:r w:rsidR="008A4830" w:rsidRPr="00FB4EFA">
        <w:rPr>
          <w:webHidden/>
        </w:rPr>
        <w:fldChar w:fldCharType="separate"/>
      </w:r>
      <w:r w:rsidR="00507346">
        <w:rPr>
          <w:noProof/>
          <w:webHidden/>
        </w:rPr>
        <w:t>514</w:t>
      </w:r>
      <w:r w:rsidR="008A4830" w:rsidRPr="00FB4EFA">
        <w:rPr>
          <w:webHidden/>
        </w:rPr>
        <w:fldChar w:fldCharType="end"/>
      </w:r>
    </w:p>
    <w:p w14:paraId="58AD705A" w14:textId="7DF9D459"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Kristina Malmio:</w:t>
      </w:r>
      <w:r w:rsidRPr="00FB4EFA">
        <w:br/>
        <w:t>99</w:t>
      </w:r>
      <w:r w:rsidR="00007DF7" w:rsidRPr="00FB4EFA">
        <w:t xml:space="preserve"> </w:t>
      </w:r>
      <w:r w:rsidRPr="00FB4EFA">
        <w:t xml:space="preserve">%? En kvantitativ studie av litteratur publicerad </w:t>
      </w:r>
      <w:r w:rsidR="00994E2A" w:rsidRPr="00FB4EFA">
        <w:br/>
      </w:r>
      <w:r w:rsidRPr="00FB4EFA">
        <w:t>på svenska i Finland året 1916</w:t>
      </w:r>
      <w:r w:rsidRPr="00FB4EFA">
        <w:rPr>
          <w:webHidden/>
        </w:rPr>
        <w:tab/>
      </w:r>
      <w:r w:rsidR="008A4830" w:rsidRPr="00FB4EFA">
        <w:rPr>
          <w:webHidden/>
        </w:rPr>
        <w:fldChar w:fldCharType="begin"/>
      </w:r>
      <w:r w:rsidR="008A4830" w:rsidRPr="00FB4EFA">
        <w:rPr>
          <w:webHidden/>
        </w:rPr>
        <w:instrText xml:space="preserve"> PAGEREF _Ref90999712 \h </w:instrText>
      </w:r>
      <w:r w:rsidR="008A4830" w:rsidRPr="00FB4EFA">
        <w:rPr>
          <w:webHidden/>
        </w:rPr>
      </w:r>
      <w:r w:rsidR="008A4830" w:rsidRPr="00FB4EFA">
        <w:rPr>
          <w:webHidden/>
        </w:rPr>
        <w:fldChar w:fldCharType="separate"/>
      </w:r>
      <w:r w:rsidR="00507346">
        <w:rPr>
          <w:noProof/>
          <w:webHidden/>
        </w:rPr>
        <w:t>536</w:t>
      </w:r>
      <w:r w:rsidR="008A4830" w:rsidRPr="00FB4EFA">
        <w:rPr>
          <w:webHidden/>
        </w:rPr>
        <w:fldChar w:fldCharType="end"/>
      </w:r>
    </w:p>
    <w:p w14:paraId="10BC07A9" w14:textId="6136818E"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Wolfgang Müller-Funk:</w:t>
      </w:r>
      <w:r w:rsidRPr="00FB4EFA">
        <w:br/>
        <w:t xml:space="preserve">Kakanien revisited und die russische Revolution: Joseph Roth, </w:t>
      </w:r>
      <w:r w:rsidR="00994E2A" w:rsidRPr="00FB4EFA">
        <w:br/>
      </w:r>
      <w:r w:rsidR="000A472A" w:rsidRPr="00FB4EFA">
        <w:rPr>
          <w:i/>
          <w:iCs/>
        </w:rPr>
        <w:t>D</w:t>
      </w:r>
      <w:r w:rsidRPr="00FB4EFA">
        <w:rPr>
          <w:i/>
          <w:iCs/>
        </w:rPr>
        <w:t>er stumme Prophet</w:t>
      </w:r>
      <w:r w:rsidRPr="00FB4EFA">
        <w:t>. Visitenkarte eines Forschungsprojekts</w:t>
      </w:r>
      <w:r w:rsidR="000A472A" w:rsidRPr="00FB4EFA">
        <w:t xml:space="preserve"> </w:t>
      </w:r>
      <w:r w:rsidR="00994E2A" w:rsidRPr="00FB4EFA">
        <w:br/>
      </w:r>
      <w:r w:rsidR="000A472A" w:rsidRPr="00FB4EFA">
        <w:t xml:space="preserve">und </w:t>
      </w:r>
      <w:r w:rsidR="000A472A" w:rsidRPr="00FB4EFA">
        <w:noBreakHyphen/>
        <w:t>netzwerks</w:t>
      </w:r>
      <w:r w:rsidRPr="00FB4EFA">
        <w:rPr>
          <w:webHidden/>
        </w:rPr>
        <w:tab/>
      </w:r>
      <w:r w:rsidR="008A4830" w:rsidRPr="00FB4EFA">
        <w:rPr>
          <w:webHidden/>
        </w:rPr>
        <w:fldChar w:fldCharType="begin"/>
      </w:r>
      <w:r w:rsidR="008A4830" w:rsidRPr="00FB4EFA">
        <w:rPr>
          <w:webHidden/>
        </w:rPr>
        <w:instrText xml:space="preserve"> PAGEREF _Ref90999718 \h </w:instrText>
      </w:r>
      <w:r w:rsidR="008A4830" w:rsidRPr="00FB4EFA">
        <w:rPr>
          <w:webHidden/>
        </w:rPr>
      </w:r>
      <w:r w:rsidR="008A4830" w:rsidRPr="00FB4EFA">
        <w:rPr>
          <w:webHidden/>
        </w:rPr>
        <w:fldChar w:fldCharType="separate"/>
      </w:r>
      <w:r w:rsidR="00507346">
        <w:rPr>
          <w:noProof/>
          <w:webHidden/>
        </w:rPr>
        <w:t>567</w:t>
      </w:r>
      <w:r w:rsidR="008A4830" w:rsidRPr="00FB4EFA">
        <w:rPr>
          <w:webHidden/>
        </w:rPr>
        <w:fldChar w:fldCharType="end"/>
      </w:r>
    </w:p>
    <w:p w14:paraId="187EA581" w14:textId="59825579"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Péter Ötvös:</w:t>
      </w:r>
      <w:r w:rsidRPr="00FB4EFA">
        <w:br/>
        <w:t>Vízszellem vagy szivacs?</w:t>
      </w:r>
      <w:r w:rsidRPr="00FB4EFA">
        <w:rPr>
          <w:webHidden/>
        </w:rPr>
        <w:tab/>
      </w:r>
      <w:r w:rsidR="008A4830" w:rsidRPr="00FB4EFA">
        <w:rPr>
          <w:webHidden/>
        </w:rPr>
        <w:fldChar w:fldCharType="begin"/>
      </w:r>
      <w:r w:rsidR="008A4830" w:rsidRPr="00FB4EFA">
        <w:rPr>
          <w:webHidden/>
        </w:rPr>
        <w:instrText xml:space="preserve"> PAGEREF _Ref90999723 \h </w:instrText>
      </w:r>
      <w:r w:rsidR="008A4830" w:rsidRPr="00FB4EFA">
        <w:rPr>
          <w:webHidden/>
        </w:rPr>
      </w:r>
      <w:r w:rsidR="008A4830" w:rsidRPr="00FB4EFA">
        <w:rPr>
          <w:webHidden/>
        </w:rPr>
        <w:fldChar w:fldCharType="separate"/>
      </w:r>
      <w:r w:rsidR="00507346">
        <w:rPr>
          <w:noProof/>
          <w:webHidden/>
        </w:rPr>
        <w:t>575</w:t>
      </w:r>
      <w:r w:rsidR="008A4830" w:rsidRPr="00FB4EFA">
        <w:rPr>
          <w:webHidden/>
        </w:rPr>
        <w:fldChar w:fldCharType="end"/>
      </w:r>
    </w:p>
    <w:p w14:paraId="3CEA2357" w14:textId="7B0C180A" w:rsidR="0051657A" w:rsidRPr="00FB4EFA" w:rsidRDefault="0051657A" w:rsidP="00AF0CAD">
      <w:pPr>
        <w:tabs>
          <w:tab w:val="right" w:leader="dot" w:pos="6906"/>
        </w:tabs>
        <w:spacing w:after="120"/>
        <w:jc w:val="left"/>
        <w:rPr>
          <w:rFonts w:asciiTheme="minorHAnsi" w:eastAsiaTheme="minorEastAsia" w:hAnsiTheme="minorHAnsi"/>
        </w:rPr>
      </w:pPr>
      <w:r w:rsidRPr="00FB4EFA">
        <w:rPr>
          <w:i/>
        </w:rPr>
        <w:t>Brigitta Pesti:</w:t>
      </w:r>
      <w:r w:rsidRPr="00FB4EFA">
        <w:br/>
        <w:t xml:space="preserve">Konfessionsübergreifende Gönnerschaften von Frauen in Ungarn </w:t>
      </w:r>
      <w:r w:rsidR="00537CE0" w:rsidRPr="00FB4EFA">
        <w:br/>
      </w:r>
      <w:r w:rsidRPr="00FB4EFA">
        <w:t>in der frühen Neuzeit</w:t>
      </w:r>
      <w:r w:rsidRPr="00FB4EFA">
        <w:rPr>
          <w:webHidden/>
        </w:rPr>
        <w:tab/>
      </w:r>
      <w:r w:rsidR="008A4830" w:rsidRPr="00FB4EFA">
        <w:rPr>
          <w:webHidden/>
        </w:rPr>
        <w:fldChar w:fldCharType="begin"/>
      </w:r>
      <w:r w:rsidR="008A4830" w:rsidRPr="00FB4EFA">
        <w:rPr>
          <w:webHidden/>
        </w:rPr>
        <w:instrText xml:space="preserve"> PAGEREF _Ref90999727 \h </w:instrText>
      </w:r>
      <w:r w:rsidR="008A4830" w:rsidRPr="00FB4EFA">
        <w:rPr>
          <w:webHidden/>
        </w:rPr>
      </w:r>
      <w:r w:rsidR="008A4830" w:rsidRPr="00FB4EFA">
        <w:rPr>
          <w:webHidden/>
        </w:rPr>
        <w:fldChar w:fldCharType="separate"/>
      </w:r>
      <w:r w:rsidR="00507346">
        <w:rPr>
          <w:noProof/>
          <w:webHidden/>
        </w:rPr>
        <w:t>578</w:t>
      </w:r>
      <w:r w:rsidR="008A4830" w:rsidRPr="00FB4EFA">
        <w:rPr>
          <w:webHidden/>
        </w:rPr>
        <w:fldChar w:fldCharType="end"/>
      </w:r>
    </w:p>
    <w:p w14:paraId="4DA007CD" w14:textId="05AD7F15" w:rsidR="00A96E85" w:rsidRPr="00FB4EFA" w:rsidRDefault="00A96E85" w:rsidP="00AF0CAD">
      <w:pPr>
        <w:tabs>
          <w:tab w:val="right" w:leader="dot" w:pos="6906"/>
        </w:tabs>
        <w:spacing w:after="120"/>
        <w:jc w:val="left"/>
        <w:rPr>
          <w:rFonts w:asciiTheme="minorHAnsi" w:eastAsiaTheme="minorEastAsia" w:hAnsiTheme="minorHAnsi"/>
        </w:rPr>
      </w:pPr>
      <w:r w:rsidRPr="00FB4EFA">
        <w:rPr>
          <w:i/>
        </w:rPr>
        <w:t>Andrea Seidler:</w:t>
      </w:r>
      <w:r w:rsidRPr="00FB4EFA">
        <w:br/>
        <w:t xml:space="preserve">Die Pracht der Majestät, das sanfte Lächeln der Natur: Schloss Esterháza im Fokus von Beschreibungen des späten 18. </w:t>
      </w:r>
      <w:r w:rsidR="00861E22">
        <w:t>Jahrhunderts</w:t>
      </w:r>
      <w:r w:rsidRPr="00FB4EFA">
        <w:rPr>
          <w:webHidden/>
        </w:rPr>
        <w:tab/>
      </w:r>
      <w:r w:rsidR="008A4830" w:rsidRPr="00FB4EFA">
        <w:rPr>
          <w:webHidden/>
        </w:rPr>
        <w:fldChar w:fldCharType="begin"/>
      </w:r>
      <w:r w:rsidR="008A4830" w:rsidRPr="00FB4EFA">
        <w:rPr>
          <w:webHidden/>
        </w:rPr>
        <w:instrText xml:space="preserve"> PAGEREF _Ref90999731 \h </w:instrText>
      </w:r>
      <w:r w:rsidR="008A4830" w:rsidRPr="00FB4EFA">
        <w:rPr>
          <w:webHidden/>
        </w:rPr>
      </w:r>
      <w:r w:rsidR="008A4830" w:rsidRPr="00FB4EFA">
        <w:rPr>
          <w:webHidden/>
        </w:rPr>
        <w:fldChar w:fldCharType="separate"/>
      </w:r>
      <w:r w:rsidR="00507346">
        <w:rPr>
          <w:noProof/>
          <w:webHidden/>
        </w:rPr>
        <w:t>592</w:t>
      </w:r>
      <w:r w:rsidR="008A4830" w:rsidRPr="00FB4EFA">
        <w:rPr>
          <w:webHidden/>
        </w:rPr>
        <w:fldChar w:fldCharType="end"/>
      </w:r>
    </w:p>
    <w:p w14:paraId="0F581752" w14:textId="1865F993" w:rsidR="00A96E85" w:rsidRPr="00FB4EFA" w:rsidRDefault="00A96E85" w:rsidP="00AF0CAD">
      <w:pPr>
        <w:tabs>
          <w:tab w:val="right" w:leader="dot" w:pos="6906"/>
        </w:tabs>
        <w:spacing w:after="120"/>
        <w:jc w:val="left"/>
        <w:rPr>
          <w:rFonts w:asciiTheme="minorHAnsi" w:eastAsiaTheme="minorEastAsia" w:hAnsiTheme="minorHAnsi"/>
        </w:rPr>
      </w:pPr>
      <w:r w:rsidRPr="00FB4EFA">
        <w:rPr>
          <w:i/>
          <w:iCs/>
        </w:rPr>
        <w:t>Antje Wischmann:</w:t>
      </w:r>
      <w:r w:rsidRPr="00FB4EFA">
        <w:rPr>
          <w:iCs/>
        </w:rPr>
        <w:br/>
        <w:t xml:space="preserve">Die </w:t>
      </w:r>
      <w:r w:rsidR="006057AB" w:rsidRPr="00FB4EFA">
        <w:rPr>
          <w:iCs/>
        </w:rPr>
        <w:t>‘</w:t>
      </w:r>
      <w:r w:rsidRPr="00FB4EFA">
        <w:rPr>
          <w:iCs/>
        </w:rPr>
        <w:t>neue Frau</w:t>
      </w:r>
      <w:r w:rsidR="006057AB" w:rsidRPr="00FB4EFA">
        <w:rPr>
          <w:iCs/>
        </w:rPr>
        <w:t>’</w:t>
      </w:r>
      <w:r w:rsidRPr="00FB4EFA">
        <w:rPr>
          <w:iCs/>
        </w:rPr>
        <w:t xml:space="preserve"> im Wandel der Kanonisierung. Elin Wägners Feuilletonroman</w:t>
      </w:r>
      <w:r w:rsidRPr="00FB4EFA">
        <w:t xml:space="preserve"> </w:t>
      </w:r>
      <w:r w:rsidRPr="00FB4EFA">
        <w:rPr>
          <w:i/>
          <w:iCs/>
        </w:rPr>
        <w:t>Norrtullsligan</w:t>
      </w:r>
      <w:r w:rsidRPr="00FB4EFA">
        <w:t xml:space="preserve"> (Die Clique aus Norrtullsgatan) </w:t>
      </w:r>
      <w:r w:rsidR="00994E2A" w:rsidRPr="00FB4EFA">
        <w:br/>
      </w:r>
      <w:r w:rsidRPr="00FB4EFA">
        <w:t>1908 und die Folgen der Verfilmung 1923</w:t>
      </w:r>
      <w:r w:rsidRPr="00FB4EFA">
        <w:rPr>
          <w:webHidden/>
        </w:rPr>
        <w:tab/>
      </w:r>
      <w:r w:rsidR="008A4830" w:rsidRPr="00FB4EFA">
        <w:rPr>
          <w:webHidden/>
        </w:rPr>
        <w:fldChar w:fldCharType="begin"/>
      </w:r>
      <w:r w:rsidR="008A4830" w:rsidRPr="00FB4EFA">
        <w:rPr>
          <w:webHidden/>
        </w:rPr>
        <w:instrText xml:space="preserve"> PAGEREF _Ref90999736 \h </w:instrText>
      </w:r>
      <w:r w:rsidR="008A4830" w:rsidRPr="00FB4EFA">
        <w:rPr>
          <w:webHidden/>
        </w:rPr>
      </w:r>
      <w:r w:rsidR="008A4830" w:rsidRPr="00FB4EFA">
        <w:rPr>
          <w:webHidden/>
        </w:rPr>
        <w:fldChar w:fldCharType="separate"/>
      </w:r>
      <w:r w:rsidR="00507346">
        <w:rPr>
          <w:noProof/>
          <w:webHidden/>
        </w:rPr>
        <w:t>612</w:t>
      </w:r>
      <w:r w:rsidR="008A4830" w:rsidRPr="00FB4EFA">
        <w:rPr>
          <w:webHidden/>
        </w:rPr>
        <w:fldChar w:fldCharType="end"/>
      </w:r>
    </w:p>
    <w:p w14:paraId="34DCCE2D" w14:textId="77777777" w:rsidR="00183F39" w:rsidRPr="00FB4EFA" w:rsidRDefault="00183F39" w:rsidP="00AF0CAD">
      <w:pPr>
        <w:tabs>
          <w:tab w:val="right" w:leader="dot" w:pos="6906"/>
        </w:tabs>
        <w:jc w:val="left"/>
        <w:rPr>
          <w:b/>
          <w:bCs/>
        </w:rPr>
      </w:pPr>
    </w:p>
    <w:p w14:paraId="41836215" w14:textId="5AC5A8F0" w:rsidR="00A96E85" w:rsidRPr="00FB4EFA" w:rsidRDefault="00A96E85" w:rsidP="00AF0CAD">
      <w:pPr>
        <w:tabs>
          <w:tab w:val="right" w:leader="dot" w:pos="6906"/>
        </w:tabs>
        <w:jc w:val="left"/>
        <w:rPr>
          <w:rFonts w:asciiTheme="minorHAnsi" w:eastAsiaTheme="minorEastAsia" w:hAnsiTheme="minorHAnsi"/>
        </w:rPr>
      </w:pPr>
      <w:r w:rsidRPr="00FB4EFA">
        <w:rPr>
          <w:b/>
          <w:bCs/>
        </w:rPr>
        <w:t>V. Beteiligte</w:t>
      </w:r>
      <w:r w:rsidRPr="00FB4EFA">
        <w:rPr>
          <w:webHidden/>
        </w:rPr>
        <w:tab/>
      </w:r>
      <w:r w:rsidR="008A4830" w:rsidRPr="00FB4EFA">
        <w:rPr>
          <w:webHidden/>
        </w:rPr>
        <w:fldChar w:fldCharType="begin"/>
      </w:r>
      <w:r w:rsidR="008A4830" w:rsidRPr="00FB4EFA">
        <w:rPr>
          <w:webHidden/>
        </w:rPr>
        <w:instrText xml:space="preserve"> PAGEREF _Ref90999741 \h </w:instrText>
      </w:r>
      <w:r w:rsidR="008A4830" w:rsidRPr="00FB4EFA">
        <w:rPr>
          <w:webHidden/>
        </w:rPr>
      </w:r>
      <w:r w:rsidR="008A4830" w:rsidRPr="00FB4EFA">
        <w:rPr>
          <w:webHidden/>
        </w:rPr>
        <w:fldChar w:fldCharType="separate"/>
      </w:r>
      <w:r w:rsidR="00507346">
        <w:rPr>
          <w:noProof/>
          <w:webHidden/>
        </w:rPr>
        <w:t>637</w:t>
      </w:r>
      <w:r w:rsidR="008A4830" w:rsidRPr="00FB4EFA">
        <w:rPr>
          <w:webHidden/>
        </w:rPr>
        <w:fldChar w:fldCharType="end"/>
      </w:r>
    </w:p>
    <w:p w14:paraId="6856896E" w14:textId="77777777" w:rsidR="00A96E85" w:rsidRPr="00FB4EFA" w:rsidRDefault="00A96E85" w:rsidP="00402EF4">
      <w:pPr>
        <w:spacing w:after="160"/>
        <w:jc w:val="center"/>
        <w:rPr>
          <w:smallCaps/>
          <w:sz w:val="48"/>
          <w:szCs w:val="48"/>
        </w:rPr>
        <w:sectPr w:rsidR="00A96E85" w:rsidRPr="00FB4EFA">
          <w:headerReference w:type="even" r:id="rId13"/>
          <w:headerReference w:type="default" r:id="rId14"/>
          <w:headerReference w:type="first" r:id="rId15"/>
          <w:footnotePr>
            <w:numRestart w:val="eachSect"/>
          </w:footnotePr>
          <w:pgSz w:w="9180" w:h="13302"/>
          <w:pgMar w:top="779" w:right="1133" w:bottom="1132" w:left="1133" w:header="744" w:footer="720" w:gutter="0"/>
          <w:cols w:space="720"/>
          <w:titlePg/>
        </w:sectPr>
      </w:pPr>
    </w:p>
    <w:p w14:paraId="5AE33DF1" w14:textId="77777777" w:rsidR="00A96E85" w:rsidRPr="00FB4EFA" w:rsidRDefault="00A96E85" w:rsidP="00994E2A">
      <w:pPr>
        <w:pStyle w:val="Heading1"/>
        <w:suppressAutoHyphens/>
        <w:spacing w:after="0" w:line="259" w:lineRule="auto"/>
        <w:jc w:val="center"/>
        <w:rPr>
          <w:rFonts w:ascii="Cambria" w:hAnsi="Cambria"/>
          <w:color w:val="auto"/>
          <w:sz w:val="48"/>
          <w:szCs w:val="48"/>
          <w:lang w:val="de-AT"/>
        </w:rPr>
      </w:pPr>
      <w:bookmarkStart w:id="3" w:name="_Toc87546993"/>
      <w:bookmarkEnd w:id="2"/>
      <w:r w:rsidRPr="00FB4EFA">
        <w:rPr>
          <w:rFonts w:ascii="Cambria" w:hAnsi="Cambria"/>
          <w:color w:val="auto"/>
          <w:sz w:val="48"/>
          <w:szCs w:val="48"/>
          <w:lang w:val="de-AT"/>
        </w:rPr>
        <w:lastRenderedPageBreak/>
        <w:t>I.</w:t>
      </w:r>
      <w:bookmarkEnd w:id="3"/>
    </w:p>
    <w:p w14:paraId="5ACC1F7D" w14:textId="77777777" w:rsidR="00A96E85" w:rsidRPr="00FB4EFA" w:rsidRDefault="00A96E85" w:rsidP="00402EF4">
      <w:pPr>
        <w:spacing w:after="160"/>
        <w:jc w:val="center"/>
        <w:rPr>
          <w:smallCaps/>
          <w:sz w:val="48"/>
          <w:szCs w:val="48"/>
        </w:rPr>
        <w:sectPr w:rsidR="00A96E85" w:rsidRPr="00FB4EFA">
          <w:headerReference w:type="even" r:id="rId16"/>
          <w:headerReference w:type="default" r:id="rId17"/>
          <w:headerReference w:type="first" r:id="rId18"/>
          <w:footnotePr>
            <w:numRestart w:val="eachSect"/>
          </w:footnotePr>
          <w:pgSz w:w="9180" w:h="13302"/>
          <w:pgMar w:top="779" w:right="1133" w:bottom="1132" w:left="1133" w:header="744" w:footer="720" w:gutter="0"/>
          <w:cols w:space="720"/>
          <w:titlePg/>
        </w:sectPr>
      </w:pPr>
      <w:r w:rsidRPr="00FB4EFA">
        <w:rPr>
          <w:noProof/>
          <w:sz w:val="48"/>
          <w:szCs w:val="48"/>
        </w:rPr>
        <w:drawing>
          <wp:inline distT="0" distB="0" distL="0" distR="0" wp14:anchorId="696B65DE" wp14:editId="433B4659">
            <wp:extent cx="4042198" cy="5713679"/>
            <wp:effectExtent l="0" t="0" r="0" b="0"/>
            <wp:docPr id="2" name="Picture 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19"/>
                    <a:stretch>
                      <a:fillRect/>
                    </a:stretch>
                  </pic:blipFill>
                  <pic:spPr>
                    <a:xfrm>
                      <a:off x="0" y="0"/>
                      <a:ext cx="4077928" cy="5764183"/>
                    </a:xfrm>
                    <a:prstGeom prst="rect">
                      <a:avLst/>
                    </a:prstGeom>
                  </pic:spPr>
                </pic:pic>
              </a:graphicData>
            </a:graphic>
          </wp:inline>
        </w:drawing>
      </w:r>
      <w:r w:rsidRPr="00FB4EFA">
        <w:rPr>
          <w:smallCaps/>
          <w:sz w:val="48"/>
          <w:szCs w:val="48"/>
        </w:rPr>
        <w:t>Päivänsankari</w:t>
      </w:r>
    </w:p>
    <w:p w14:paraId="48FD4C86" w14:textId="25EA00ED" w:rsidR="00353625" w:rsidRPr="00FB4EFA" w:rsidRDefault="00353625" w:rsidP="00353625">
      <w:pPr>
        <w:spacing w:before="1680"/>
      </w:pPr>
      <w:r w:rsidRPr="00FB4EFA">
        <w:rPr>
          <w:noProof/>
        </w:rPr>
        <w:lastRenderedPageBreak/>
        <w:drawing>
          <wp:inline distT="0" distB="0" distL="0" distR="0" wp14:anchorId="4E87ECBA" wp14:editId="4F706546">
            <wp:extent cx="4390390" cy="40189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90390" cy="4018915"/>
                    </a:xfrm>
                    <a:prstGeom prst="rect">
                      <a:avLst/>
                    </a:prstGeom>
                    <a:noFill/>
                    <a:ln>
                      <a:noFill/>
                    </a:ln>
                  </pic:spPr>
                </pic:pic>
              </a:graphicData>
            </a:graphic>
          </wp:inline>
        </w:drawing>
      </w:r>
    </w:p>
    <w:p w14:paraId="0E4BA509" w14:textId="3FBF2098" w:rsidR="0052504A" w:rsidRPr="00FB4EFA" w:rsidRDefault="00053785" w:rsidP="001737E3">
      <w:pPr>
        <w:spacing w:before="240" w:line="240" w:lineRule="auto"/>
        <w:jc w:val="center"/>
        <w:rPr>
          <w:sz w:val="16"/>
          <w:szCs w:val="16"/>
        </w:rPr>
        <w:sectPr w:rsidR="0052504A" w:rsidRPr="00FB4EFA">
          <w:headerReference w:type="even" r:id="rId21"/>
          <w:headerReference w:type="default" r:id="rId22"/>
          <w:headerReference w:type="first" r:id="rId23"/>
          <w:footnotePr>
            <w:numRestart w:val="eachSect"/>
          </w:footnotePr>
          <w:pgSz w:w="9180" w:h="13302"/>
          <w:pgMar w:top="779" w:right="1133" w:bottom="1132" w:left="1133" w:header="744" w:footer="720" w:gutter="0"/>
          <w:cols w:space="720"/>
          <w:titlePg/>
        </w:sectPr>
      </w:pPr>
      <w:r w:rsidRPr="00FB4EFA">
        <w:t xml:space="preserve">Die Heldin des Tages mit dem Redaktionsteam am 3. Juni 2022 – </w:t>
      </w:r>
      <w:r w:rsidR="00D84F6F" w:rsidRPr="00FB4EFA">
        <w:br/>
      </w:r>
      <w:r w:rsidRPr="00FB4EFA">
        <w:t>stellvertretend für den 5. Februar 2022, ihre</w:t>
      </w:r>
      <w:r w:rsidR="003B6836">
        <w:t>n</w:t>
      </w:r>
      <w:r w:rsidRPr="00FB4EFA">
        <w:t xml:space="preserve"> eigentlichen Geburtstag</w:t>
      </w:r>
    </w:p>
    <w:p w14:paraId="7B0F1288" w14:textId="22F0B475" w:rsidR="0052504A" w:rsidRPr="00FB4EFA" w:rsidRDefault="0052504A" w:rsidP="00AF0CAD">
      <w:pPr>
        <w:rPr>
          <w:rFonts w:eastAsia="Calibri" w:cs="Calibri"/>
          <w:i/>
          <w:lang w:eastAsia="en-GB"/>
        </w:rPr>
      </w:pPr>
    </w:p>
    <w:p w14:paraId="552391FF" w14:textId="15871A77" w:rsidR="00114C9D" w:rsidRPr="00FB4EFA" w:rsidRDefault="00114C9D" w:rsidP="00AF0CAD">
      <w:pPr>
        <w:pStyle w:val="Authors"/>
        <w:spacing w:line="259" w:lineRule="auto"/>
        <w:rPr>
          <w:color w:val="auto"/>
          <w:lang w:val="de-AT"/>
        </w:rPr>
      </w:pPr>
      <w:r w:rsidRPr="00FB4EFA">
        <w:rPr>
          <w:color w:val="auto"/>
          <w:lang w:val="de-AT"/>
        </w:rPr>
        <w:t>Jeremy Bradley</w:t>
      </w:r>
    </w:p>
    <w:p w14:paraId="50A4C08C" w14:textId="77777777" w:rsidR="00114C9D" w:rsidRPr="00FB4EFA" w:rsidRDefault="00114C9D" w:rsidP="00402EF4"/>
    <w:p w14:paraId="5B7B9DB0" w14:textId="755514EC" w:rsidR="00114C9D" w:rsidRPr="00FB4EFA" w:rsidRDefault="00114C9D" w:rsidP="00994E2A">
      <w:pPr>
        <w:pStyle w:val="Heading1"/>
        <w:suppressAutoHyphens/>
        <w:spacing w:line="259" w:lineRule="auto"/>
        <w:ind w:right="74"/>
        <w:rPr>
          <w:color w:val="auto"/>
          <w:lang w:val="en-IE"/>
        </w:rPr>
      </w:pPr>
      <w:bookmarkStart w:id="4" w:name="_Ref93762921"/>
      <w:r w:rsidRPr="00FB4EFA">
        <w:rPr>
          <w:color w:val="auto"/>
          <w:lang w:val="en-IE"/>
        </w:rPr>
        <w:t>About this volume</w:t>
      </w:r>
      <w:bookmarkEnd w:id="4"/>
    </w:p>
    <w:p w14:paraId="284FE4CB" w14:textId="2CF85910" w:rsidR="00D2079B" w:rsidRPr="00FB4EFA" w:rsidRDefault="00D2079B" w:rsidP="00402EF4">
      <w:pPr>
        <w:spacing w:after="240"/>
        <w:rPr>
          <w:lang w:val="en-IE" w:eastAsia="en-GB"/>
        </w:rPr>
      </w:pPr>
      <w:r w:rsidRPr="00FB4EFA">
        <w:rPr>
          <w:lang w:val="en-IE" w:eastAsia="en-GB"/>
        </w:rPr>
        <w:t>The contents of this volume were subject to a double-blinded peer review process in which two anonymous reviewers received anonymized versions of the papers (with metadata meticulously removed)</w:t>
      </w:r>
      <w:r w:rsidR="00294F76" w:rsidRPr="00FB4EFA">
        <w:rPr>
          <w:lang w:val="en-IE" w:eastAsia="en-GB"/>
        </w:rPr>
        <w:t>. Only a select number of publications were exempt from the review process:</w:t>
      </w:r>
    </w:p>
    <w:p w14:paraId="51C0980D" w14:textId="64243D29" w:rsidR="00294F76" w:rsidRPr="00FB4EFA" w:rsidRDefault="00294F76" w:rsidP="00AF0CAD">
      <w:pPr>
        <w:numPr>
          <w:ilvl w:val="0"/>
          <w:numId w:val="10"/>
        </w:numPr>
        <w:ind w:left="284" w:hanging="284"/>
        <w:rPr>
          <w:lang w:val="en-IE"/>
        </w:rPr>
      </w:pPr>
      <w:r w:rsidRPr="00FB4EFA">
        <w:rPr>
          <w:lang w:val="en-IE"/>
        </w:rPr>
        <w:t xml:space="preserve">Most of the introductory Section I, </w:t>
      </w:r>
      <w:r w:rsidR="00A95F2D" w:rsidRPr="00FB4EFA">
        <w:rPr>
          <w:lang w:val="en-IE"/>
        </w:rPr>
        <w:t>“</w:t>
      </w:r>
      <w:r w:rsidRPr="00FB4EFA">
        <w:rPr>
          <w:lang w:val="en-IE"/>
        </w:rPr>
        <w:t>Päiv</w:t>
      </w:r>
      <w:r w:rsidR="001E1694" w:rsidRPr="00FB4EFA">
        <w:rPr>
          <w:lang w:val="en-IE"/>
        </w:rPr>
        <w:t>ä</w:t>
      </w:r>
      <w:r w:rsidRPr="00FB4EFA">
        <w:rPr>
          <w:lang w:val="en-IE"/>
        </w:rPr>
        <w:t>nsankari</w:t>
      </w:r>
      <w:r w:rsidR="00A95F2D" w:rsidRPr="00FB4EFA">
        <w:rPr>
          <w:lang w:val="en-IE"/>
        </w:rPr>
        <w:t>”</w:t>
      </w:r>
      <w:r w:rsidRPr="00FB4EFA">
        <w:rPr>
          <w:lang w:val="en-IE"/>
        </w:rPr>
        <w:t xml:space="preserve">, pertaining to the jubilarian herself. The contributions </w:t>
      </w:r>
      <w:r w:rsidR="00A95F2D" w:rsidRPr="00FB4EFA">
        <w:rPr>
          <w:lang w:val="en-IE"/>
        </w:rPr>
        <w:t xml:space="preserve">“The etymology of Finnish </w:t>
      </w:r>
      <w:r w:rsidR="00A95F2D" w:rsidRPr="00FB4EFA">
        <w:rPr>
          <w:i/>
          <w:iCs/>
          <w:lang w:val="en-IE"/>
        </w:rPr>
        <w:t>laakso</w:t>
      </w:r>
      <w:r w:rsidR="00A95F2D" w:rsidRPr="00FB4EFA">
        <w:rPr>
          <w:lang w:val="en-IE"/>
        </w:rPr>
        <w:t xml:space="preserve"> ‘valley’” </w:t>
      </w:r>
      <w:r w:rsidRPr="00FB4EFA">
        <w:rPr>
          <w:lang w:val="en-IE"/>
        </w:rPr>
        <w:t xml:space="preserve">and </w:t>
      </w:r>
      <w:r w:rsidR="00A95F2D" w:rsidRPr="00FB4EFA">
        <w:rPr>
          <w:lang w:val="en-IE"/>
        </w:rPr>
        <w:t>“</w:t>
      </w:r>
      <w:r w:rsidR="00064D1A" w:rsidRPr="00FB4EFA">
        <w:rPr>
          <w:lang w:val="en-IE"/>
        </w:rPr>
        <w:t xml:space="preserve">The name </w:t>
      </w:r>
      <w:r w:rsidR="00064D1A" w:rsidRPr="00FB4EFA">
        <w:rPr>
          <w:i/>
          <w:iCs/>
          <w:lang w:val="en-IE"/>
        </w:rPr>
        <w:t>Johanna</w:t>
      </w:r>
      <w:r w:rsidR="00064D1A" w:rsidRPr="00FB4EFA">
        <w:rPr>
          <w:lang w:val="en-IE"/>
        </w:rPr>
        <w:t>: some historical, etymological, and cultural notes</w:t>
      </w:r>
      <w:r w:rsidR="00A95F2D" w:rsidRPr="00FB4EFA">
        <w:rPr>
          <w:lang w:val="en-IE"/>
        </w:rPr>
        <w:t>’</w:t>
      </w:r>
      <w:r w:rsidRPr="00FB4EFA">
        <w:rPr>
          <w:lang w:val="en-IE"/>
        </w:rPr>
        <w:t>’ were, however, peer reviewed.</w:t>
      </w:r>
    </w:p>
    <w:p w14:paraId="1E8CD816" w14:textId="6FF58AFD" w:rsidR="00294F76" w:rsidRPr="00FB4EFA" w:rsidRDefault="00294F76" w:rsidP="00402EF4">
      <w:pPr>
        <w:numPr>
          <w:ilvl w:val="0"/>
          <w:numId w:val="10"/>
        </w:numPr>
        <w:ind w:left="284" w:hanging="284"/>
        <w:rPr>
          <w:lang w:val="en-IE"/>
        </w:rPr>
      </w:pPr>
      <w:r w:rsidRPr="00FB4EFA">
        <w:rPr>
          <w:lang w:val="en-IE"/>
        </w:rPr>
        <w:t xml:space="preserve">The contents of Section II, </w:t>
      </w:r>
      <w:r w:rsidR="00A95F2D" w:rsidRPr="00FB4EFA">
        <w:rPr>
          <w:lang w:val="en-IE"/>
        </w:rPr>
        <w:t>“</w:t>
      </w:r>
      <w:r w:rsidRPr="00FB4EFA">
        <w:rPr>
          <w:lang w:val="en-IE"/>
        </w:rPr>
        <w:t>Reports</w:t>
      </w:r>
      <w:r w:rsidR="00A95F2D" w:rsidRPr="00FB4EFA">
        <w:rPr>
          <w:lang w:val="en-IE"/>
        </w:rPr>
        <w:t>”</w:t>
      </w:r>
      <w:r w:rsidRPr="00FB4EFA">
        <w:rPr>
          <w:lang w:val="en-IE"/>
        </w:rPr>
        <w:t>.</w:t>
      </w:r>
    </w:p>
    <w:p w14:paraId="73F96B47" w14:textId="1EA88B55" w:rsidR="00294F76" w:rsidRPr="00FB4EFA" w:rsidRDefault="00294F76" w:rsidP="00402EF4">
      <w:pPr>
        <w:numPr>
          <w:ilvl w:val="0"/>
          <w:numId w:val="10"/>
        </w:numPr>
        <w:ind w:left="284" w:hanging="284"/>
        <w:rPr>
          <w:lang w:val="en-IE"/>
        </w:rPr>
      </w:pPr>
      <w:r w:rsidRPr="00FB4EFA">
        <w:rPr>
          <w:lang w:val="en-IE"/>
        </w:rPr>
        <w:t>The artistic contributions gracing the pages introducing sections.</w:t>
      </w:r>
    </w:p>
    <w:p w14:paraId="79E9712E" w14:textId="0CAFF349" w:rsidR="00133E51" w:rsidRPr="00FB4EFA" w:rsidRDefault="00294F76" w:rsidP="00402EF4">
      <w:pPr>
        <w:spacing w:before="240"/>
        <w:rPr>
          <w:lang w:val="en-IE" w:eastAsia="en-GB"/>
        </w:rPr>
      </w:pPr>
      <w:r w:rsidRPr="00FB4EFA">
        <w:rPr>
          <w:lang w:val="en-IE" w:eastAsia="en-GB"/>
        </w:rPr>
        <w:t>We hereby vouch that we adhered to best scientific practices when administering the peer review, even when it was painful</w:t>
      </w:r>
      <w:r w:rsidR="00A95F2D" w:rsidRPr="00FB4EFA">
        <w:rPr>
          <w:lang w:val="en-IE" w:eastAsia="en-GB"/>
        </w:rPr>
        <w:t>.</w:t>
      </w:r>
      <w:r w:rsidR="00064D1A" w:rsidRPr="00FB4EFA">
        <w:rPr>
          <w:lang w:val="en-IE" w:eastAsia="en-GB"/>
        </w:rPr>
        <w:t xml:space="preserve"> As some members of the editorial team sent in scientific contributions of their own, I had to keep them in the dark </w:t>
      </w:r>
      <w:r w:rsidR="0026132D" w:rsidRPr="00FB4EFA">
        <w:rPr>
          <w:lang w:val="en-IE" w:eastAsia="en-GB"/>
        </w:rPr>
        <w:t>regarding</w:t>
      </w:r>
      <w:r w:rsidR="00064D1A" w:rsidRPr="00FB4EFA">
        <w:rPr>
          <w:lang w:val="en-IE" w:eastAsia="en-GB"/>
        </w:rPr>
        <w:t xml:space="preserve"> the choice of reviewers as well.</w:t>
      </w:r>
    </w:p>
    <w:p w14:paraId="18645A90" w14:textId="685540B6" w:rsidR="00236AAA" w:rsidRPr="00FB4EFA" w:rsidRDefault="00236AAA" w:rsidP="00402EF4">
      <w:pPr>
        <w:ind w:firstLine="709"/>
        <w:rPr>
          <w:lang w:val="en-IE" w:eastAsia="en-GB"/>
        </w:rPr>
      </w:pPr>
      <w:r w:rsidRPr="00FB4EFA">
        <w:rPr>
          <w:lang w:val="en-IE" w:eastAsia="en-GB"/>
        </w:rPr>
        <w:t xml:space="preserve">For </w:t>
      </w:r>
      <w:r w:rsidR="006C1B52" w:rsidRPr="00FB4EFA">
        <w:rPr>
          <w:lang w:val="en-IE" w:eastAsia="en-GB"/>
        </w:rPr>
        <w:t>the</w:t>
      </w:r>
      <w:r w:rsidRPr="00FB4EFA">
        <w:rPr>
          <w:lang w:val="en-IE" w:eastAsia="en-GB"/>
        </w:rPr>
        <w:t xml:space="preserve"> volume</w:t>
      </w:r>
      <w:r w:rsidR="006C1B52" w:rsidRPr="00FB4EFA">
        <w:rPr>
          <w:lang w:val="en-IE" w:eastAsia="en-GB"/>
        </w:rPr>
        <w:t xml:space="preserve"> at hand</w:t>
      </w:r>
      <w:r w:rsidRPr="00FB4EFA">
        <w:rPr>
          <w:lang w:val="en-IE" w:eastAsia="en-GB"/>
        </w:rPr>
        <w:t xml:space="preserve">, we accepted contributions in any language the jubilarian can realistically be expected to read. Manifold as the contributions were, they do not actually fully cover the spectrum </w:t>
      </w:r>
      <w:r w:rsidR="006659D2" w:rsidRPr="00FB4EFA">
        <w:rPr>
          <w:lang w:val="en-IE" w:eastAsia="en-GB"/>
        </w:rPr>
        <w:t>afforded by this restriction. This was to our advantage, as it meant we could offer native proof-reading for almost all meta languages used in this volume: English, German, Hungarian, Finnish, Estonian.</w:t>
      </w:r>
      <w:r w:rsidR="00133E51" w:rsidRPr="00FB4EFA">
        <w:rPr>
          <w:lang w:val="en-IE" w:eastAsia="en-GB"/>
        </w:rPr>
        <w:t xml:space="preserve"> While there was a </w:t>
      </w:r>
      <w:r w:rsidR="001E1694" w:rsidRPr="00FB4EFA">
        <w:rPr>
          <w:lang w:val="en-IE" w:eastAsia="en-GB"/>
        </w:rPr>
        <w:t xml:space="preserve">general </w:t>
      </w:r>
      <w:r w:rsidR="00133E51" w:rsidRPr="00FB4EFA">
        <w:rPr>
          <w:lang w:val="en-IE" w:eastAsia="en-GB"/>
        </w:rPr>
        <w:t xml:space="preserve">style sheet for the volume, we </w:t>
      </w:r>
      <w:r w:rsidR="0026132D" w:rsidRPr="00FB4EFA">
        <w:rPr>
          <w:lang w:val="en-IE" w:eastAsia="en-GB"/>
        </w:rPr>
        <w:t>gave</w:t>
      </w:r>
      <w:r w:rsidR="00133E51" w:rsidRPr="00FB4EFA">
        <w:rPr>
          <w:lang w:val="en-IE" w:eastAsia="en-GB"/>
        </w:rPr>
        <w:t xml:space="preserve"> our contributors significant liberties, insisting only that the chosen conventions were followed consistently within one contribution. This was necessitated by the great differences in conventions between the different disciplines </w:t>
      </w:r>
      <w:r w:rsidR="005E7C64" w:rsidRPr="00FB4EFA">
        <w:rPr>
          <w:lang w:val="en-IE" w:eastAsia="en-GB"/>
        </w:rPr>
        <w:t>and meta</w:t>
      </w:r>
      <w:r w:rsidR="001E1694" w:rsidRPr="00FB4EFA">
        <w:rPr>
          <w:lang w:val="en-IE" w:eastAsia="en-GB"/>
        </w:rPr>
        <w:t xml:space="preserve"> </w:t>
      </w:r>
      <w:r w:rsidR="005E7C64" w:rsidRPr="00FB4EFA">
        <w:rPr>
          <w:lang w:val="en-IE" w:eastAsia="en-GB"/>
        </w:rPr>
        <w:t xml:space="preserve">languages </w:t>
      </w:r>
      <w:r w:rsidR="00133E51" w:rsidRPr="00FB4EFA">
        <w:rPr>
          <w:lang w:val="en-IE" w:eastAsia="en-GB"/>
        </w:rPr>
        <w:t>represented by this volume.</w:t>
      </w:r>
    </w:p>
    <w:p w14:paraId="5F5D7730" w14:textId="19C71EBF" w:rsidR="00614E7B" w:rsidRPr="00FB4EFA" w:rsidRDefault="00614E7B" w:rsidP="00402EF4">
      <w:pPr>
        <w:ind w:firstLine="709"/>
        <w:rPr>
          <w:lang w:val="en-IE" w:eastAsia="en-GB"/>
        </w:rPr>
      </w:pPr>
      <w:r w:rsidRPr="00FB4EFA">
        <w:rPr>
          <w:lang w:val="en-IE" w:eastAsia="en-GB"/>
        </w:rPr>
        <w:t>All online sources referenced in this volume were checked on 24 May 2022.</w:t>
      </w:r>
    </w:p>
    <w:p w14:paraId="1D8F25AE" w14:textId="4CE961F8" w:rsidR="006A6033" w:rsidRPr="00FB4EFA" w:rsidRDefault="006A6033" w:rsidP="00AC1192">
      <w:pPr>
        <w:pStyle w:val="Heading2"/>
        <w:suppressAutoHyphens/>
        <w:spacing w:line="259" w:lineRule="auto"/>
        <w:rPr>
          <w:color w:val="auto"/>
          <w:lang w:val="en-IE"/>
        </w:rPr>
      </w:pPr>
      <w:r w:rsidRPr="00FB4EFA">
        <w:rPr>
          <w:color w:val="auto"/>
          <w:lang w:val="en-IE"/>
        </w:rPr>
        <w:lastRenderedPageBreak/>
        <w:t xml:space="preserve">To </w:t>
      </w:r>
      <w:r w:rsidRPr="00FB4EFA">
        <w:rPr>
          <w:i/>
          <w:iCs/>
          <w:color w:val="auto"/>
          <w:lang w:val="en-IE"/>
        </w:rPr>
        <w:t>Festschrift</w:t>
      </w:r>
      <w:r w:rsidRPr="00FB4EFA">
        <w:rPr>
          <w:color w:val="auto"/>
          <w:lang w:val="en-IE"/>
        </w:rPr>
        <w:t xml:space="preserve"> or not to </w:t>
      </w:r>
      <w:r w:rsidRPr="00FB4EFA">
        <w:rPr>
          <w:i/>
          <w:iCs/>
          <w:color w:val="auto"/>
          <w:lang w:val="en-IE"/>
        </w:rPr>
        <w:t>Festschrift</w:t>
      </w:r>
      <w:r w:rsidRPr="00FB4EFA">
        <w:rPr>
          <w:color w:val="auto"/>
          <w:lang w:val="en-IE"/>
        </w:rPr>
        <w:t>?</w:t>
      </w:r>
    </w:p>
    <w:p w14:paraId="7AA2D90A" w14:textId="297D7E5F" w:rsidR="00133E51" w:rsidRPr="00FB4EFA" w:rsidRDefault="00351838" w:rsidP="00AF0CAD">
      <w:pPr>
        <w:rPr>
          <w:lang w:val="en-IE" w:eastAsia="en-GB"/>
        </w:rPr>
      </w:pPr>
      <w:r w:rsidRPr="00FB4EFA">
        <w:rPr>
          <w:lang w:val="en-IE" w:eastAsia="en-GB"/>
        </w:rPr>
        <w:t xml:space="preserve">Irrespective the ongoing discussions on </w:t>
      </w:r>
      <w:r w:rsidR="006659D2" w:rsidRPr="00FB4EFA">
        <w:rPr>
          <w:lang w:val="en-IE" w:eastAsia="en-GB"/>
        </w:rPr>
        <w:t>the validity of the</w:t>
      </w:r>
      <w:r w:rsidRPr="00FB4EFA">
        <w:rPr>
          <w:lang w:val="en-IE" w:eastAsia="en-GB"/>
        </w:rPr>
        <w:t xml:space="preserve"> abstract concept of a </w:t>
      </w:r>
      <w:r w:rsidRPr="00FB4EFA">
        <w:rPr>
          <w:i/>
          <w:iCs/>
          <w:lang w:val="en-IE" w:eastAsia="en-GB"/>
        </w:rPr>
        <w:t>Festschrift</w:t>
      </w:r>
      <w:r w:rsidRPr="00FB4EFA">
        <w:rPr>
          <w:lang w:val="en-IE" w:eastAsia="en-GB"/>
        </w:rPr>
        <w:t xml:space="preserve">, there never was much doubt that we wanted to assemble and publish </w:t>
      </w:r>
      <w:r w:rsidRPr="00FB4EFA">
        <w:rPr>
          <w:i/>
          <w:iCs/>
          <w:lang w:val="en-IE" w:eastAsia="en-GB"/>
        </w:rPr>
        <w:t>this particular one</w:t>
      </w:r>
      <w:r w:rsidRPr="00FB4EFA">
        <w:rPr>
          <w:lang w:val="en-IE" w:eastAsia="en-GB"/>
        </w:rPr>
        <w:t>. Strong appetite for it was apparent both in Vienna and abroad (</w:t>
      </w:r>
      <w:r w:rsidR="00466236" w:rsidRPr="00FB4EFA">
        <w:rPr>
          <w:lang w:val="en-IE" w:eastAsia="en-GB"/>
        </w:rPr>
        <w:t>i.e., </w:t>
      </w:r>
      <w:r w:rsidRPr="00FB4EFA">
        <w:rPr>
          <w:lang w:val="en-IE" w:eastAsia="en-GB"/>
        </w:rPr>
        <w:t>scholars reaching out to us far and wide making sure we were planning one)</w:t>
      </w:r>
      <w:r w:rsidR="00D55665" w:rsidRPr="00FB4EFA">
        <w:rPr>
          <w:lang w:val="en-IE" w:eastAsia="en-GB"/>
        </w:rPr>
        <w:t>, and</w:t>
      </w:r>
      <w:r w:rsidR="0026132D" w:rsidRPr="00FB4EFA">
        <w:rPr>
          <w:lang w:val="en-IE" w:eastAsia="en-GB"/>
        </w:rPr>
        <w:t>,</w:t>
      </w:r>
      <w:r w:rsidR="00D55665" w:rsidRPr="00FB4EFA">
        <w:rPr>
          <w:lang w:val="en-IE" w:eastAsia="en-GB"/>
        </w:rPr>
        <w:t xml:space="preserve"> critically: while </w:t>
      </w:r>
      <w:r w:rsidR="00AF0CAD" w:rsidRPr="00FB4EFA">
        <w:rPr>
          <w:lang w:val="en-IE" w:eastAsia="en-GB"/>
        </w:rPr>
        <w:br/>
      </w:r>
      <w:r w:rsidR="00D55665" w:rsidRPr="00FB4EFA">
        <w:rPr>
          <w:i/>
          <w:iCs/>
          <w:lang w:val="en-IE" w:eastAsia="en-GB"/>
        </w:rPr>
        <w:t>Festschriften</w:t>
      </w:r>
      <w:r w:rsidR="00D55665" w:rsidRPr="00FB4EFA">
        <w:rPr>
          <w:lang w:val="en-IE" w:eastAsia="en-GB"/>
        </w:rPr>
        <w:t xml:space="preserve"> are often criticized for being thematically disjoint collections of articles, a collection of articles centred around the interests of Johanna Laakso sounded like </w:t>
      </w:r>
      <w:r w:rsidR="00D55665" w:rsidRPr="00FB4EFA">
        <w:rPr>
          <w:i/>
          <w:iCs/>
          <w:lang w:val="en-IE" w:eastAsia="en-GB"/>
        </w:rPr>
        <w:t>an incredibly interesting book to read</w:t>
      </w:r>
      <w:r w:rsidR="00D55665" w:rsidRPr="00FB4EFA">
        <w:rPr>
          <w:lang w:val="en-IE" w:eastAsia="en-GB"/>
        </w:rPr>
        <w:t>.</w:t>
      </w:r>
      <w:r w:rsidR="00661D69" w:rsidRPr="00FB4EFA">
        <w:rPr>
          <w:lang w:val="en-IE" w:eastAsia="en-GB"/>
        </w:rPr>
        <w:t xml:space="preserve"> Potential topics we singled out in the call for papers were: Uralic languages and language history, multilingualism, literary and cultural studies, gender studies, minority activism, cats.</w:t>
      </w:r>
    </w:p>
    <w:p w14:paraId="656D4E9B" w14:textId="7329B943" w:rsidR="00A95F2D" w:rsidRPr="00FB4EFA" w:rsidRDefault="00D55665" w:rsidP="00402EF4">
      <w:pPr>
        <w:ind w:firstLine="709"/>
        <w:rPr>
          <w:lang w:val="en-IE" w:eastAsia="en-GB"/>
        </w:rPr>
      </w:pPr>
      <w:r w:rsidRPr="00FB4EFA">
        <w:rPr>
          <w:lang w:val="en-IE" w:eastAsia="en-GB"/>
        </w:rPr>
        <w:t>There is a common saying in German that self-praise stinks, but we are confident that we managed to create a volume</w:t>
      </w:r>
      <w:r w:rsidR="006C1B52" w:rsidRPr="00FB4EFA">
        <w:rPr>
          <w:lang w:val="en-IE" w:eastAsia="en-GB"/>
        </w:rPr>
        <w:t xml:space="preserve"> that does justice to our ambitions</w:t>
      </w:r>
      <w:r w:rsidRPr="00FB4EFA">
        <w:rPr>
          <w:lang w:val="en-IE" w:eastAsia="en-GB"/>
        </w:rPr>
        <w:t xml:space="preserve">. Figure 1 below is a word cloud </w:t>
      </w:r>
      <w:r w:rsidR="00CA4815" w:rsidRPr="00FB4EFA">
        <w:rPr>
          <w:lang w:val="en-IE" w:eastAsia="en-GB"/>
        </w:rPr>
        <w:t>based</w:t>
      </w:r>
      <w:r w:rsidR="00133E51" w:rsidRPr="00FB4EFA">
        <w:rPr>
          <w:vertAlign w:val="superscript"/>
          <w:lang w:val="en-IE" w:eastAsia="en-GB"/>
        </w:rPr>
        <w:footnoteReference w:id="1"/>
      </w:r>
      <w:r w:rsidR="00CA4815" w:rsidRPr="00FB4EFA">
        <w:rPr>
          <w:lang w:val="en-IE" w:eastAsia="en-GB"/>
        </w:rPr>
        <w:t xml:space="preserve"> on the content of this </w:t>
      </w:r>
      <w:r w:rsidR="00133E51" w:rsidRPr="00FB4EFA">
        <w:rPr>
          <w:lang w:val="en-IE" w:eastAsia="en-GB"/>
        </w:rPr>
        <w:t>book</w:t>
      </w:r>
      <w:r w:rsidR="00CA4815" w:rsidRPr="00FB4EFA">
        <w:rPr>
          <w:lang w:val="en-IE" w:eastAsia="en-GB"/>
        </w:rPr>
        <w:t xml:space="preserve">. While the overlap between it and a word cloud created </w:t>
      </w:r>
      <w:r w:rsidR="006659D2" w:rsidRPr="00FB4EFA">
        <w:rPr>
          <w:lang w:val="en-IE" w:eastAsia="en-GB"/>
        </w:rPr>
        <w:t>on the basis of</w:t>
      </w:r>
      <w:r w:rsidR="00CA4815" w:rsidRPr="00FB4EFA">
        <w:rPr>
          <w:lang w:val="en-IE" w:eastAsia="en-GB"/>
        </w:rPr>
        <w:t xml:space="preserve"> </w:t>
      </w:r>
      <w:r w:rsidR="006C1B52" w:rsidRPr="00FB4EFA">
        <w:rPr>
          <w:lang w:val="en-IE" w:eastAsia="en-GB"/>
        </w:rPr>
        <w:t>Johanna</w:t>
      </w:r>
      <w:r w:rsidR="00CA4815" w:rsidRPr="00FB4EFA">
        <w:rPr>
          <w:lang w:val="en-IE" w:eastAsia="en-GB"/>
        </w:rPr>
        <w:t xml:space="preserve">’s academic works (see page </w:t>
      </w:r>
      <w:r w:rsidR="00CA4815" w:rsidRPr="00FB4EFA">
        <w:rPr>
          <w:lang w:val="en-IE" w:eastAsia="en-GB"/>
        </w:rPr>
        <w:fldChar w:fldCharType="begin"/>
      </w:r>
      <w:r w:rsidR="00CA4815" w:rsidRPr="00FB4EFA">
        <w:rPr>
          <w:lang w:val="en-IE" w:eastAsia="en-GB"/>
        </w:rPr>
        <w:instrText xml:space="preserve"> PAGEREF wordcloud_johanna_academic \h </w:instrText>
      </w:r>
      <w:r w:rsidR="00CA4815" w:rsidRPr="00FB4EFA">
        <w:rPr>
          <w:lang w:val="en-IE" w:eastAsia="en-GB"/>
        </w:rPr>
      </w:r>
      <w:r w:rsidR="00CA4815" w:rsidRPr="00FB4EFA">
        <w:rPr>
          <w:lang w:val="en-IE" w:eastAsia="en-GB"/>
        </w:rPr>
        <w:fldChar w:fldCharType="separate"/>
      </w:r>
      <w:r w:rsidR="00507346">
        <w:rPr>
          <w:noProof/>
          <w:lang w:val="en-IE" w:eastAsia="en-GB"/>
        </w:rPr>
        <w:t>42</w:t>
      </w:r>
      <w:r w:rsidR="00CA4815" w:rsidRPr="00FB4EFA">
        <w:rPr>
          <w:lang w:val="en-IE" w:eastAsia="en-GB"/>
        </w:rPr>
        <w:fldChar w:fldCharType="end"/>
      </w:r>
      <w:r w:rsidR="00CA4815" w:rsidRPr="00FB4EFA">
        <w:rPr>
          <w:lang w:val="en-IE" w:eastAsia="en-GB"/>
        </w:rPr>
        <w:t>)</w:t>
      </w:r>
      <w:r w:rsidR="00BA26C6" w:rsidRPr="00FB4EFA">
        <w:rPr>
          <w:lang w:val="en-IE" w:eastAsia="en-GB"/>
        </w:rPr>
        <w:t xml:space="preserve"> is not perfect, it is </w:t>
      </w:r>
      <w:r w:rsidR="00AF0CAD" w:rsidRPr="00FB4EFA">
        <w:rPr>
          <w:lang w:val="en-IE" w:eastAsia="en-GB"/>
        </w:rPr>
        <w:br/>
      </w:r>
      <w:r w:rsidR="00BA26C6" w:rsidRPr="00FB4EFA">
        <w:rPr>
          <w:lang w:val="en-IE" w:eastAsia="en-GB"/>
        </w:rPr>
        <w:t>clearly notable.</w:t>
      </w:r>
    </w:p>
    <w:p w14:paraId="7DEF72EB" w14:textId="36B9A3E1" w:rsidR="00846689" w:rsidRPr="00FB4EFA" w:rsidRDefault="00F06740" w:rsidP="00402EF4">
      <w:pPr>
        <w:jc w:val="center"/>
        <w:rPr>
          <w:lang w:val="en-IE" w:eastAsia="en-GB"/>
        </w:rPr>
      </w:pPr>
      <w:r w:rsidRPr="00FB4EFA">
        <w:rPr>
          <w:noProof/>
          <w:lang w:val="en-IE"/>
        </w:rPr>
        <w:lastRenderedPageBreak/>
        <w:drawing>
          <wp:inline distT="0" distB="0" distL="0" distR="0" wp14:anchorId="421F0160" wp14:editId="2765C6B3">
            <wp:extent cx="4390390" cy="4390390"/>
            <wp:effectExtent l="0" t="0" r="0" b="0"/>
            <wp:docPr id="19" name="Picture 19" descr="A close-up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map&#10;&#10;Description automatically generated with medium confidence"/>
                    <pic:cNvPicPr>
                      <a:picLocks noChangeAspect="1" noChangeArrowheads="1"/>
                    </pic:cNvPicPr>
                  </pic:nvPicPr>
                  <pic:blipFill>
                    <a:blip r:embed="rId24">
                      <a:extLst>
                        <a:ext uri="{BEBA8EAE-BF5A-486C-A8C5-ECC9F3942E4B}">
                          <a14:imgProps xmlns:a14="http://schemas.microsoft.com/office/drawing/2010/main">
                            <a14:imgLayer r:embed="rId2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390390" cy="4390390"/>
                    </a:xfrm>
                    <a:prstGeom prst="rect">
                      <a:avLst/>
                    </a:prstGeom>
                    <a:noFill/>
                    <a:ln>
                      <a:noFill/>
                    </a:ln>
                  </pic:spPr>
                </pic:pic>
              </a:graphicData>
            </a:graphic>
          </wp:inline>
        </w:drawing>
      </w:r>
    </w:p>
    <w:p w14:paraId="247BDDA7" w14:textId="5B06E683" w:rsidR="00670C8D" w:rsidRPr="00FB4EFA" w:rsidRDefault="00670C8D" w:rsidP="00AF0CAD">
      <w:pPr>
        <w:spacing w:before="120" w:after="240"/>
        <w:jc w:val="center"/>
        <w:rPr>
          <w:lang w:val="en-IE" w:eastAsia="en-GB"/>
        </w:rPr>
      </w:pPr>
      <w:r w:rsidRPr="00FB4EFA">
        <w:rPr>
          <w:rFonts w:cs="Charis SIL"/>
          <w:b/>
          <w:bCs/>
          <w:sz w:val="18"/>
          <w:szCs w:val="18"/>
          <w:lang w:val="en-IE"/>
        </w:rPr>
        <w:t>Figure 1</w:t>
      </w:r>
      <w:r w:rsidRPr="00FB4EFA">
        <w:rPr>
          <w:rFonts w:cs="Charis SIL"/>
          <w:sz w:val="18"/>
          <w:szCs w:val="18"/>
          <w:lang w:val="en-IE"/>
        </w:rPr>
        <w:t>. A self-referential word cloud: the contents of this volume</w:t>
      </w:r>
    </w:p>
    <w:p w14:paraId="01583F60" w14:textId="77777777" w:rsidR="00661D69" w:rsidRPr="00FB4EFA" w:rsidRDefault="00661D69" w:rsidP="00402EF4">
      <w:pPr>
        <w:spacing w:after="160"/>
        <w:jc w:val="left"/>
        <w:rPr>
          <w:rFonts w:ascii="Gill Sans MT" w:eastAsia="Gill Sans MT" w:hAnsi="Gill Sans MT" w:cs="Gill Sans MT"/>
          <w:sz w:val="28"/>
          <w:lang w:val="en-IE" w:eastAsia="en-GB"/>
        </w:rPr>
      </w:pPr>
      <w:r w:rsidRPr="00FB4EFA">
        <w:rPr>
          <w:lang w:val="en-IE"/>
        </w:rPr>
        <w:br w:type="page"/>
      </w:r>
    </w:p>
    <w:p w14:paraId="7E916AF7" w14:textId="28A948BD" w:rsidR="00C33177" w:rsidRPr="00FB4EFA" w:rsidRDefault="000E3611" w:rsidP="00545033">
      <w:pPr>
        <w:pStyle w:val="Heading2"/>
        <w:suppressAutoHyphens/>
        <w:spacing w:line="259" w:lineRule="auto"/>
        <w:rPr>
          <w:color w:val="auto"/>
          <w:lang w:val="en-IE"/>
        </w:rPr>
      </w:pPr>
      <w:r w:rsidRPr="00FB4EFA">
        <w:rPr>
          <w:color w:val="auto"/>
          <w:lang w:val="en-IE"/>
        </w:rPr>
        <w:lastRenderedPageBreak/>
        <w:t>Acknowledgements</w:t>
      </w:r>
    </w:p>
    <w:p w14:paraId="6158B9E5" w14:textId="13314EFD" w:rsidR="00C55839" w:rsidRPr="00FB4EFA" w:rsidRDefault="008D4A90" w:rsidP="00CF588F">
      <w:pPr>
        <w:rPr>
          <w:lang w:val="en-IE"/>
        </w:rPr>
      </w:pPr>
      <w:r w:rsidRPr="00FB4EFA">
        <w:rPr>
          <w:lang w:val="en-IE"/>
        </w:rPr>
        <w:t xml:space="preserve">It takes a village to compile a Festschrift. </w:t>
      </w:r>
      <w:r w:rsidR="00670C8D" w:rsidRPr="00FB4EFA">
        <w:rPr>
          <w:lang w:val="en-IE"/>
        </w:rPr>
        <w:t xml:space="preserve">This project would not have been possible without the broad support we enjoyed from our network of scholars. We owe a special debt of gratitude to </w:t>
      </w:r>
      <w:r w:rsidR="00670C8D" w:rsidRPr="00FB4EFA">
        <w:rPr>
          <w:b/>
          <w:bCs/>
          <w:lang w:val="en-IE"/>
        </w:rPr>
        <w:t>Beáta Wagner-Nagy</w:t>
      </w:r>
      <w:r w:rsidR="00670C8D" w:rsidRPr="00FB4EFA">
        <w:rPr>
          <w:lang w:val="en-IE"/>
        </w:rPr>
        <w:t xml:space="preserve"> of the University of Hamburg for her assistance in obtaining funding for this undertaking</w:t>
      </w:r>
      <w:r w:rsidR="00C55839" w:rsidRPr="00FB4EFA">
        <w:rPr>
          <w:lang w:val="en-IE"/>
        </w:rPr>
        <w:t>. The open-access fees for this volume were crowd-funded; in alphabetical order, thanks are due to:</w:t>
      </w:r>
      <w:r w:rsidR="00C55839" w:rsidRPr="00FB4EFA">
        <w:t xml:space="preserve"> </w:t>
      </w:r>
      <w:r w:rsidR="00C55839" w:rsidRPr="00FB4EFA">
        <w:rPr>
          <w:b/>
          <w:bCs/>
          <w:lang w:val="en-IE"/>
        </w:rPr>
        <w:t>Rogier Blokland</w:t>
      </w:r>
      <w:r w:rsidR="00C55839" w:rsidRPr="00FB4EFA">
        <w:rPr>
          <w:lang w:val="en-IE"/>
        </w:rPr>
        <w:t xml:space="preserve">, </w:t>
      </w:r>
      <w:r w:rsidR="008B4CF5" w:rsidRPr="008B4CF5">
        <w:rPr>
          <w:b/>
          <w:bCs/>
          <w:lang w:val="en-IE"/>
        </w:rPr>
        <w:t>Márta Csire</w:t>
      </w:r>
      <w:r w:rsidR="008B4CF5">
        <w:rPr>
          <w:lang w:val="en-IE"/>
        </w:rPr>
        <w:t xml:space="preserve">, </w:t>
      </w:r>
      <w:r w:rsidR="00C55839" w:rsidRPr="00FB4EFA">
        <w:rPr>
          <w:b/>
          <w:bCs/>
          <w:lang w:val="en-IE"/>
        </w:rPr>
        <w:t>Melinda Deréky</w:t>
      </w:r>
      <w:r w:rsidR="00C55839" w:rsidRPr="00FB4EFA">
        <w:rPr>
          <w:lang w:val="en-IE"/>
        </w:rPr>
        <w:t xml:space="preserve">, </w:t>
      </w:r>
      <w:r w:rsidR="00C55839" w:rsidRPr="00FB4EFA">
        <w:rPr>
          <w:b/>
          <w:bCs/>
          <w:lang w:val="en-IE"/>
        </w:rPr>
        <w:t>Pál Deréky</w:t>
      </w:r>
      <w:r w:rsidR="00C55839" w:rsidRPr="00FB4EFA">
        <w:rPr>
          <w:lang w:val="en-IE"/>
        </w:rPr>
        <w:t xml:space="preserve">, </w:t>
      </w:r>
      <w:r w:rsidR="00C55839" w:rsidRPr="00FB4EFA">
        <w:rPr>
          <w:b/>
          <w:bCs/>
          <w:lang w:val="en-IE"/>
        </w:rPr>
        <w:t>Erika Erlinghagen</w:t>
      </w:r>
      <w:r w:rsidR="00C55839" w:rsidRPr="00FB4EFA">
        <w:rPr>
          <w:lang w:val="en-IE"/>
        </w:rPr>
        <w:t xml:space="preserve">, </w:t>
      </w:r>
      <w:r w:rsidR="00C55839" w:rsidRPr="00FB4EFA">
        <w:rPr>
          <w:b/>
          <w:bCs/>
          <w:lang w:val="en-IE"/>
        </w:rPr>
        <w:t>Ulla-Maija Forsberg</w:t>
      </w:r>
      <w:r w:rsidR="00C55839" w:rsidRPr="00FB4EFA">
        <w:rPr>
          <w:lang w:val="en-IE"/>
        </w:rPr>
        <w:t xml:space="preserve">, </w:t>
      </w:r>
      <w:r w:rsidR="00C55839" w:rsidRPr="00FB4EFA">
        <w:rPr>
          <w:b/>
          <w:bCs/>
          <w:lang w:val="en-IE"/>
        </w:rPr>
        <w:t>Johannes Hirvonen</w:t>
      </w:r>
      <w:r w:rsidR="00C55839" w:rsidRPr="00FB4EFA">
        <w:rPr>
          <w:lang w:val="en-IE"/>
        </w:rPr>
        <w:t xml:space="preserve">, </w:t>
      </w:r>
      <w:r w:rsidR="00C55839" w:rsidRPr="00FB4EFA">
        <w:rPr>
          <w:b/>
          <w:bCs/>
          <w:lang w:val="en-IE"/>
        </w:rPr>
        <w:t>Sampsa Holopainen</w:t>
      </w:r>
      <w:r w:rsidR="00C55839" w:rsidRPr="00FB4EFA">
        <w:rPr>
          <w:lang w:val="en-IE"/>
        </w:rPr>
        <w:t xml:space="preserve">, </w:t>
      </w:r>
      <w:r w:rsidR="00C55839" w:rsidRPr="00FB4EFA">
        <w:rPr>
          <w:b/>
          <w:bCs/>
          <w:lang w:val="en-IE"/>
        </w:rPr>
        <w:t>Mikko Kajander</w:t>
      </w:r>
      <w:r w:rsidR="00C55839" w:rsidRPr="00FB4EFA">
        <w:rPr>
          <w:lang w:val="en-IE"/>
        </w:rPr>
        <w:t xml:space="preserve">, </w:t>
      </w:r>
      <w:r w:rsidR="00C6355D" w:rsidRPr="00FB4EFA">
        <w:rPr>
          <w:b/>
          <w:bCs/>
          <w:lang w:val="en-IE"/>
        </w:rPr>
        <w:t>Triinu Viilukas</w:t>
      </w:r>
      <w:r w:rsidR="00C6355D">
        <w:rPr>
          <w:lang w:val="en-IE"/>
        </w:rPr>
        <w:t xml:space="preserve">, </w:t>
      </w:r>
      <w:r w:rsidR="007C46E0" w:rsidRPr="007C46E0">
        <w:rPr>
          <w:b/>
          <w:bCs/>
          <w:lang w:val="en-IE"/>
        </w:rPr>
        <w:t>Ferenc Vincze</w:t>
      </w:r>
      <w:r w:rsidR="007C46E0">
        <w:rPr>
          <w:lang w:val="en-IE"/>
        </w:rPr>
        <w:t xml:space="preserve">, </w:t>
      </w:r>
      <w:r w:rsidR="00ED1520">
        <w:rPr>
          <w:lang w:val="en-IE"/>
        </w:rPr>
        <w:t xml:space="preserve">and a number of sponsors who wished to </w:t>
      </w:r>
      <w:r w:rsidR="00ED1520">
        <w:rPr>
          <w:lang w:val="en-IE"/>
        </w:rPr>
        <w:br/>
        <w:t>remain anonymous.</w:t>
      </w:r>
    </w:p>
    <w:p w14:paraId="230E7029" w14:textId="625C4AD9" w:rsidR="00A96E85" w:rsidRPr="00FB4EFA" w:rsidRDefault="00670C8D" w:rsidP="00C55839">
      <w:pPr>
        <w:ind w:firstLine="709"/>
        <w:rPr>
          <w:lang w:val="en-IE"/>
        </w:rPr>
      </w:pPr>
      <w:r w:rsidRPr="00FB4EFA">
        <w:rPr>
          <w:lang w:val="en-IE"/>
        </w:rPr>
        <w:t xml:space="preserve">In addition to all the members of this volume’s editorial </w:t>
      </w:r>
      <w:r w:rsidR="000539FA" w:rsidRPr="00FB4EFA">
        <w:rPr>
          <w:lang w:val="en-IE"/>
        </w:rPr>
        <w:t>team</w:t>
      </w:r>
      <w:r w:rsidRPr="00FB4EFA">
        <w:rPr>
          <w:lang w:val="en-IE"/>
        </w:rPr>
        <w:t xml:space="preserve"> (in alphabetical order: </w:t>
      </w:r>
      <w:r w:rsidR="00661D69" w:rsidRPr="00FB4EFA">
        <w:rPr>
          <w:b/>
          <w:bCs/>
          <w:lang w:val="en-IE"/>
        </w:rPr>
        <w:t xml:space="preserve">Márta Csire, </w:t>
      </w:r>
      <w:r w:rsidRPr="00FB4EFA">
        <w:rPr>
          <w:b/>
          <w:bCs/>
          <w:lang w:val="en-IE"/>
        </w:rPr>
        <w:t>Erika Erlinghagen</w:t>
      </w:r>
      <w:r w:rsidRPr="00FB4EFA">
        <w:rPr>
          <w:lang w:val="en-IE"/>
        </w:rPr>
        <w:t xml:space="preserve">, </w:t>
      </w:r>
      <w:r w:rsidRPr="00FB4EFA">
        <w:rPr>
          <w:b/>
          <w:bCs/>
          <w:lang w:val="en-IE"/>
        </w:rPr>
        <w:t xml:space="preserve">Johannes </w:t>
      </w:r>
      <w:r w:rsidR="00294761">
        <w:rPr>
          <w:b/>
          <w:bCs/>
          <w:lang w:val="en-IE"/>
        </w:rPr>
        <w:br/>
      </w:r>
      <w:r w:rsidRPr="00FB4EFA">
        <w:rPr>
          <w:b/>
          <w:bCs/>
          <w:lang w:val="en-IE"/>
        </w:rPr>
        <w:t>Hirvonen</w:t>
      </w:r>
      <w:r w:rsidRPr="00FB4EFA">
        <w:rPr>
          <w:lang w:val="en-IE"/>
        </w:rPr>
        <w:t xml:space="preserve">, </w:t>
      </w:r>
      <w:r w:rsidRPr="00FB4EFA">
        <w:rPr>
          <w:b/>
          <w:bCs/>
          <w:lang w:val="en-IE"/>
        </w:rPr>
        <w:t>Sampsa Holopainen</w:t>
      </w:r>
      <w:r w:rsidRPr="00FB4EFA">
        <w:rPr>
          <w:lang w:val="en-IE"/>
        </w:rPr>
        <w:t xml:space="preserve">, </w:t>
      </w:r>
      <w:r w:rsidRPr="00FB4EFA">
        <w:rPr>
          <w:b/>
          <w:bCs/>
          <w:lang w:val="en-IE"/>
        </w:rPr>
        <w:t>Mikko Kajander</w:t>
      </w:r>
      <w:r w:rsidRPr="00FB4EFA">
        <w:rPr>
          <w:lang w:val="en-IE"/>
        </w:rPr>
        <w:t xml:space="preserve">, </w:t>
      </w:r>
      <w:r w:rsidR="00D63559" w:rsidRPr="00FB4EFA">
        <w:rPr>
          <w:b/>
          <w:bCs/>
          <w:lang w:val="en-IE"/>
        </w:rPr>
        <w:t xml:space="preserve">Heidelinde </w:t>
      </w:r>
      <w:r w:rsidR="00294761">
        <w:rPr>
          <w:b/>
          <w:bCs/>
          <w:lang w:val="en-IE"/>
        </w:rPr>
        <w:br/>
      </w:r>
      <w:r w:rsidR="00D63559" w:rsidRPr="00FB4EFA">
        <w:rPr>
          <w:b/>
          <w:bCs/>
          <w:lang w:val="en-IE"/>
        </w:rPr>
        <w:t>Lindorfer</w:t>
      </w:r>
      <w:r w:rsidR="00D63559" w:rsidRPr="00FB4EFA">
        <w:rPr>
          <w:lang w:val="en-IE"/>
        </w:rPr>
        <w:t xml:space="preserve">, </w:t>
      </w:r>
      <w:r w:rsidRPr="00FB4EFA">
        <w:rPr>
          <w:b/>
          <w:bCs/>
          <w:lang w:val="en-IE"/>
        </w:rPr>
        <w:t>Brigitta Pesti</w:t>
      </w:r>
      <w:r w:rsidRPr="00FB4EFA">
        <w:rPr>
          <w:lang w:val="en-IE"/>
        </w:rPr>
        <w:t xml:space="preserve">, </w:t>
      </w:r>
      <w:r w:rsidRPr="00FB4EFA">
        <w:rPr>
          <w:b/>
          <w:bCs/>
          <w:lang w:val="en-IE"/>
        </w:rPr>
        <w:t>Christian Pischlöger</w:t>
      </w:r>
      <w:r w:rsidRPr="00FB4EFA">
        <w:rPr>
          <w:lang w:val="en-IE"/>
        </w:rPr>
        <w:t xml:space="preserve">, </w:t>
      </w:r>
      <w:r w:rsidRPr="00FB4EFA">
        <w:rPr>
          <w:b/>
          <w:bCs/>
          <w:lang w:val="en-IE"/>
        </w:rPr>
        <w:t>Andrea Seidler</w:t>
      </w:r>
      <w:r w:rsidRPr="00FB4EFA">
        <w:rPr>
          <w:lang w:val="en-IE"/>
        </w:rPr>
        <w:t xml:space="preserve">, </w:t>
      </w:r>
      <w:r w:rsidRPr="00FB4EFA">
        <w:rPr>
          <w:b/>
          <w:bCs/>
          <w:lang w:val="en-IE"/>
        </w:rPr>
        <w:t>Triinu Viilukas</w:t>
      </w:r>
      <w:r w:rsidRPr="00FB4EFA">
        <w:rPr>
          <w:lang w:val="en-IE"/>
        </w:rPr>
        <w:t xml:space="preserve">, </w:t>
      </w:r>
      <w:r w:rsidRPr="00FB4EFA">
        <w:rPr>
          <w:b/>
          <w:bCs/>
          <w:lang w:val="en-IE"/>
        </w:rPr>
        <w:t>Ferenc Vincze</w:t>
      </w:r>
      <w:r w:rsidRPr="00FB4EFA">
        <w:rPr>
          <w:lang w:val="en-IE"/>
        </w:rPr>
        <w:t>)</w:t>
      </w:r>
      <w:r w:rsidR="00236AAA" w:rsidRPr="00FB4EFA">
        <w:rPr>
          <w:lang w:val="en-IE"/>
        </w:rPr>
        <w:t xml:space="preserve">, </w:t>
      </w:r>
      <w:r w:rsidR="003A6CB1">
        <w:rPr>
          <w:lang w:val="en-IE"/>
        </w:rPr>
        <w:t>I</w:t>
      </w:r>
      <w:r w:rsidR="00236AAA" w:rsidRPr="00FB4EFA">
        <w:rPr>
          <w:lang w:val="en-IE"/>
        </w:rPr>
        <w:t xml:space="preserve"> would like to thank </w:t>
      </w:r>
      <w:r w:rsidR="00C54C3C" w:rsidRPr="00FB4EFA">
        <w:rPr>
          <w:b/>
          <w:bCs/>
          <w:lang w:val="en-IE"/>
        </w:rPr>
        <w:t>Rogier Blokland</w:t>
      </w:r>
      <w:r w:rsidR="00661D69" w:rsidRPr="00FB4EFA">
        <w:rPr>
          <w:lang w:val="en-IE"/>
        </w:rPr>
        <w:t>,</w:t>
      </w:r>
      <w:r w:rsidR="00C54C3C" w:rsidRPr="00FB4EFA">
        <w:rPr>
          <w:lang w:val="en-IE"/>
        </w:rPr>
        <w:t xml:space="preserve"> </w:t>
      </w:r>
      <w:r w:rsidR="00294761">
        <w:rPr>
          <w:lang w:val="en-IE"/>
        </w:rPr>
        <w:br/>
      </w:r>
      <w:r w:rsidR="00C54C3C" w:rsidRPr="00FB4EFA">
        <w:rPr>
          <w:b/>
          <w:bCs/>
          <w:lang w:val="en-IE"/>
        </w:rPr>
        <w:t>Sandra Herrmann</w:t>
      </w:r>
      <w:r w:rsidR="000539FA" w:rsidRPr="00FB4EFA">
        <w:rPr>
          <w:lang w:val="en-IE"/>
        </w:rPr>
        <w:t xml:space="preserve">, </w:t>
      </w:r>
      <w:r w:rsidR="000539FA" w:rsidRPr="00FB4EFA">
        <w:rPr>
          <w:b/>
          <w:bCs/>
          <w:lang w:val="en-IE"/>
        </w:rPr>
        <w:t>Wynfrid Kriegleder</w:t>
      </w:r>
      <w:r w:rsidR="000539FA" w:rsidRPr="00FB4EFA">
        <w:rPr>
          <w:lang w:val="en-IE"/>
        </w:rPr>
        <w:t xml:space="preserve">, </w:t>
      </w:r>
      <w:r w:rsidR="00C6355D" w:rsidRPr="00FB4EFA">
        <w:rPr>
          <w:b/>
          <w:bCs/>
          <w:lang w:val="en-IE"/>
        </w:rPr>
        <w:t>Nele Lond</w:t>
      </w:r>
      <w:r w:rsidR="00C6355D" w:rsidRPr="00C6355D">
        <w:rPr>
          <w:lang w:val="en-IE"/>
        </w:rPr>
        <w:t>,</w:t>
      </w:r>
      <w:r w:rsidR="00C6355D" w:rsidRPr="00FB4EFA">
        <w:rPr>
          <w:lang w:val="en-IE"/>
        </w:rPr>
        <w:t xml:space="preserve"> </w:t>
      </w:r>
      <w:r w:rsidR="000539FA" w:rsidRPr="00FB4EFA">
        <w:rPr>
          <w:b/>
          <w:bCs/>
          <w:lang w:val="en-IE"/>
        </w:rPr>
        <w:t>Elena Skribnik</w:t>
      </w:r>
      <w:r w:rsidR="000539FA" w:rsidRPr="00FB4EFA">
        <w:rPr>
          <w:lang w:val="en-IE"/>
        </w:rPr>
        <w:t xml:space="preserve">, </w:t>
      </w:r>
      <w:r w:rsidR="000539FA" w:rsidRPr="00FB4EFA">
        <w:rPr>
          <w:b/>
          <w:bCs/>
          <w:lang w:val="en-IE"/>
        </w:rPr>
        <w:t>Naoki Watanabe</w:t>
      </w:r>
      <w:r w:rsidR="000539FA" w:rsidRPr="00FB4EFA">
        <w:rPr>
          <w:lang w:val="en-IE"/>
        </w:rPr>
        <w:t xml:space="preserve">, and </w:t>
      </w:r>
      <w:r w:rsidR="00CB09C9" w:rsidRPr="00FB4EFA">
        <w:rPr>
          <w:lang w:val="en-IE"/>
        </w:rPr>
        <w:t xml:space="preserve">for </w:t>
      </w:r>
      <w:r w:rsidR="0021491C" w:rsidRPr="00FB4EFA">
        <w:rPr>
          <w:lang w:val="en-IE"/>
        </w:rPr>
        <w:t>their</w:t>
      </w:r>
      <w:r w:rsidR="00CB09C9" w:rsidRPr="00FB4EFA">
        <w:rPr>
          <w:lang w:val="en-IE"/>
        </w:rPr>
        <w:t xml:space="preserve"> assistance in the editorial process.</w:t>
      </w:r>
      <w:r w:rsidR="00CF588F" w:rsidRPr="00FB4EFA">
        <w:rPr>
          <w:lang w:val="en-IE"/>
        </w:rPr>
        <w:t xml:space="preserve"> </w:t>
      </w:r>
      <w:r w:rsidR="00CB09C9" w:rsidRPr="00FB4EFA">
        <w:rPr>
          <w:lang w:val="en-IE"/>
        </w:rPr>
        <w:t xml:space="preserve">Finally, </w:t>
      </w:r>
      <w:r w:rsidR="003A6CB1">
        <w:rPr>
          <w:lang w:val="en-IE"/>
        </w:rPr>
        <w:t>our editorial team is</w:t>
      </w:r>
      <w:r w:rsidR="0026132D" w:rsidRPr="00FB4EFA">
        <w:rPr>
          <w:lang w:val="en-IE"/>
        </w:rPr>
        <w:t xml:space="preserve"> thankful</w:t>
      </w:r>
      <w:r w:rsidR="00CB09C9" w:rsidRPr="00FB4EFA">
        <w:rPr>
          <w:lang w:val="en-IE"/>
        </w:rPr>
        <w:t xml:space="preserve"> to </w:t>
      </w:r>
      <w:r w:rsidR="00CB09C9" w:rsidRPr="00FB4EFA">
        <w:rPr>
          <w:b/>
          <w:bCs/>
          <w:lang w:val="en-IE"/>
        </w:rPr>
        <w:t>Jussi Ylikoski</w:t>
      </w:r>
      <w:r w:rsidR="00CF588F" w:rsidRPr="00FB4EFA">
        <w:rPr>
          <w:lang w:val="en-IE"/>
        </w:rPr>
        <w:t xml:space="preserve">, whose experience and competence as an editor and willingness to share it with us was of great value to the project. </w:t>
      </w:r>
      <w:r w:rsidR="003A3B06" w:rsidRPr="00FB4EFA">
        <w:rPr>
          <w:lang w:val="en-IE"/>
        </w:rPr>
        <w:t>Additionally, he</w:t>
      </w:r>
      <w:r w:rsidR="00CB09C9" w:rsidRPr="00FB4EFA">
        <w:rPr>
          <w:lang w:val="en-IE"/>
        </w:rPr>
        <w:t xml:space="preserve"> solved a fundamental challenge we were facing </w:t>
      </w:r>
      <w:r w:rsidR="003A3B06" w:rsidRPr="00FB4EFA">
        <w:rPr>
          <w:lang w:val="en-IE"/>
        </w:rPr>
        <w:t xml:space="preserve">throughout much of this project </w:t>
      </w:r>
      <w:r w:rsidR="00CB09C9" w:rsidRPr="00FB4EFA">
        <w:rPr>
          <w:lang w:val="en-IE"/>
        </w:rPr>
        <w:t>by</w:t>
      </w:r>
      <w:r w:rsidR="003A3B06" w:rsidRPr="00FB4EFA">
        <w:rPr>
          <w:lang w:val="en-IE"/>
        </w:rPr>
        <w:t>, at long last,</w:t>
      </w:r>
      <w:r w:rsidR="00CB09C9" w:rsidRPr="00FB4EFA">
        <w:rPr>
          <w:lang w:val="en-IE"/>
        </w:rPr>
        <w:t xml:space="preserve"> finding an appropriate title for this volume</w:t>
      </w:r>
      <w:r w:rsidR="00E96013" w:rsidRPr="00FB4EFA">
        <w:rPr>
          <w:lang w:val="en-IE"/>
        </w:rPr>
        <w:t>.</w:t>
      </w:r>
    </w:p>
    <w:p w14:paraId="7BF19687" w14:textId="77777777" w:rsidR="00A96E85" w:rsidRPr="00FB4EFA" w:rsidRDefault="00A96E85" w:rsidP="00402EF4">
      <w:pPr>
        <w:spacing w:after="160"/>
        <w:jc w:val="center"/>
        <w:rPr>
          <w:smallCaps/>
          <w:sz w:val="48"/>
          <w:szCs w:val="48"/>
          <w:lang w:val="en-IE"/>
        </w:rPr>
        <w:sectPr w:rsidR="00A96E85" w:rsidRPr="00FB4EFA">
          <w:footnotePr>
            <w:numRestart w:val="eachSect"/>
          </w:footnotePr>
          <w:pgSz w:w="9180" w:h="13302"/>
          <w:pgMar w:top="779" w:right="1133" w:bottom="1132" w:left="1133" w:header="744" w:footer="720" w:gutter="0"/>
          <w:cols w:space="720"/>
          <w:titlePg/>
        </w:sectPr>
      </w:pPr>
    </w:p>
    <w:p w14:paraId="7E28BDBD" w14:textId="77777777" w:rsidR="00A96E85" w:rsidRPr="00FB4EFA" w:rsidRDefault="00A96E85" w:rsidP="00AF0CAD">
      <w:pPr>
        <w:pStyle w:val="Authors"/>
        <w:spacing w:line="259" w:lineRule="auto"/>
        <w:rPr>
          <w:color w:val="auto"/>
          <w:lang w:val="en-IE"/>
        </w:rPr>
      </w:pPr>
      <w:r w:rsidRPr="00FB4EFA">
        <w:rPr>
          <w:color w:val="auto"/>
          <w:lang w:val="en-IE"/>
        </w:rPr>
        <w:lastRenderedPageBreak/>
        <w:t>Riho Grünthal, Anneli Sarhimaa</w:t>
      </w:r>
    </w:p>
    <w:p w14:paraId="7C03EFDF" w14:textId="77777777" w:rsidR="00A96E85" w:rsidRPr="00FB4EFA" w:rsidRDefault="00A96E85" w:rsidP="00402EF4">
      <w:pPr>
        <w:rPr>
          <w:lang w:val="en-IE"/>
        </w:rPr>
      </w:pPr>
    </w:p>
    <w:p w14:paraId="7D8C88E3" w14:textId="77777777" w:rsidR="008A4292" w:rsidRPr="00FB4EFA" w:rsidRDefault="008A4292" w:rsidP="00994E2A">
      <w:pPr>
        <w:pStyle w:val="Heading1"/>
        <w:suppressAutoHyphens/>
        <w:spacing w:line="259" w:lineRule="auto"/>
        <w:ind w:right="74"/>
        <w:rPr>
          <w:color w:val="auto"/>
          <w:lang w:val="fi-FI"/>
        </w:rPr>
      </w:pPr>
      <w:bookmarkStart w:id="5" w:name="_Ref90999238"/>
      <w:bookmarkStart w:id="6" w:name="_Ref90999245"/>
      <w:r w:rsidRPr="00FB4EFA">
        <w:rPr>
          <w:color w:val="auto"/>
          <w:lang w:val="fi-FI"/>
        </w:rPr>
        <w:t>Johanna Laakson kuusikymmentä vuotta</w:t>
      </w:r>
      <w:bookmarkEnd w:id="5"/>
    </w:p>
    <w:p w14:paraId="136C5CC9" w14:textId="45BB77D7" w:rsidR="008A4292" w:rsidRPr="00FB4EFA" w:rsidRDefault="008A4292" w:rsidP="00402EF4">
      <w:pPr>
        <w:rPr>
          <w:lang w:val="fi-FI"/>
        </w:rPr>
      </w:pPr>
      <w:r w:rsidRPr="00FB4EFA">
        <w:rPr>
          <w:lang w:val="fi-FI"/>
        </w:rPr>
        <w:t>Johanna Laakso syntyi 5.2.1962 Hämeenlinnassa, ja hämäläinen ja länsisuomalainen tausta tulivat hänen identiteettinsä kasvujalustaksi. Nelihenkisen perheen molemmilla vanhemmilla oli läntiset juuret, Hämeenlinnan varuskunnassa upseerina työskennellyt isä päijäthämäläinen, opettajana toiminut äiti taustaltaan Hämeestä ja Keski-Pohjanmaalta. Hämeenlinnan kouluvuosien lisäksi historiallisen Kalajokilaakson laajalla rannikkoalueella vietetyt kesät loivat Johannan lapsuuden. Kotoa hän oppi kiinnostuksen lukemiseen ja musiikkiin, kahteen kivijalkaan, ja musiikissa erityisesti laulamiseen, jossa sanat ja sävelet kisailevat yksissä tuumin.</w:t>
      </w:r>
    </w:p>
    <w:p w14:paraId="3F304949" w14:textId="595A8620" w:rsidR="008A4292" w:rsidRPr="00FB4EFA" w:rsidRDefault="008A4292" w:rsidP="00402EF4">
      <w:pPr>
        <w:ind w:firstLine="709"/>
        <w:rPr>
          <w:lang w:val="fi-FI"/>
        </w:rPr>
      </w:pPr>
      <w:r w:rsidRPr="00FB4EFA">
        <w:rPr>
          <w:lang w:val="fi-FI"/>
        </w:rPr>
        <w:t xml:space="preserve">Kouluvuosilla on toisinaan isompikin merkitys kuin ennalta arvaisi. Johannan koulukokemus alkaa paitsi Hämeenlinnasta, vanhasta ja nimekkäiden suomalaisvaikuttajien koulukaupungista, myös pienestä kyläkoulusta kaupungin reunamailla. Koulutaival alkoi jo kuusivuotiaana, vuotta ikätovereita aikaisemmin, koska lukutaito oli jo aikaa sitten hallussa, eikä sitä tarvinnut enää erikseen opetella. Luokat olivat pieniä, vähän oppilaita, ja sama opettaja opetti useita luokkatasoja. Nopeasti oppiva ja paljon lukeva lettipäinen tyttö siirrettiin ennen pitkää yhtä luokkatasoa ylemmäs. Koulussa omaksuttavat perusasiat olivat helppoja, koulunkäynti eteni ripeästi. Kun Johanna kirjoitti ylioppilaaksi Hämeenlinnan </w:t>
      </w:r>
      <w:r w:rsidR="0043353B" w:rsidRPr="00FB4EFA">
        <w:rPr>
          <w:lang w:val="fi-FI"/>
        </w:rPr>
        <w:t xml:space="preserve">Yhteiskoulusta </w:t>
      </w:r>
      <w:r w:rsidRPr="00FB4EFA">
        <w:rPr>
          <w:lang w:val="fi-FI"/>
        </w:rPr>
        <w:t>keväällä 1979, hän oli suorittanut koulun kaksi vuotta ikätovereitaan nopeammin, täysin valmiina yliopisto-opintoihin.</w:t>
      </w:r>
    </w:p>
    <w:p w14:paraId="3A784D30" w14:textId="16F97324" w:rsidR="008A4292" w:rsidRPr="00FB4EFA" w:rsidRDefault="008A4292" w:rsidP="00402EF4">
      <w:pPr>
        <w:ind w:firstLine="709"/>
        <w:rPr>
          <w:lang w:val="fi-FI"/>
        </w:rPr>
      </w:pPr>
      <w:r w:rsidRPr="00FB4EFA">
        <w:rPr>
          <w:lang w:val="fi-FI"/>
        </w:rPr>
        <w:t>Yliopistossa houkuttelivat suosikkiaineet kieli ja kirjallisuus, mutta tarkemmaksi aineyhdistelmäksi valikoituivat itämeren</w:t>
      </w:r>
      <w:r w:rsidR="00DA117E" w:rsidRPr="00FB4EFA">
        <w:rPr>
          <w:lang w:val="fi-FI"/>
        </w:rPr>
        <w:softHyphen/>
      </w:r>
      <w:r w:rsidRPr="00FB4EFA">
        <w:rPr>
          <w:lang w:val="fi-FI"/>
        </w:rPr>
        <w:t xml:space="preserve">suomalaiset kielet, yleinen kielitiede ja slaavilainen filologia. Muun ohessa karttui tieto suomesta ja muistakin suomalais-ugrilaisista kielistä. Tällaista yhdistelmää ei ollut mahdollista koota sattumalta, vaan se saattoi perustua ainoastaan painetun opinto-oppaan tarkkaan selaamiseen. Sinikantisessa kirjassa oli kaikki olennainen tieto siitä, mitä yliopisto piti sisällään. Kaikilla aloilla oli </w:t>
      </w:r>
      <w:r w:rsidR="003156A5" w:rsidRPr="00FB4EFA">
        <w:rPr>
          <w:lang w:val="fi-FI"/>
        </w:rPr>
        <w:t>rikas traditio</w:t>
      </w:r>
      <w:r w:rsidRPr="00FB4EFA">
        <w:rPr>
          <w:lang w:val="fi-FI"/>
        </w:rPr>
        <w:t xml:space="preserve">, ja ne olivat osa laaja-alaista humanistista maailmankuvaa, mutta myös kansallisten tieteiden kivijalkaa. Helsingin </w:t>
      </w:r>
      <w:r w:rsidRPr="00FB4EFA">
        <w:rPr>
          <w:lang w:val="fi-FI"/>
        </w:rPr>
        <w:lastRenderedPageBreak/>
        <w:t>yliopiston päärakennus, jossa niitä saattoi opiskella, oli pääkaupungin vanhaa keskusta, opettajat ja opiskelijat kulkeneet vuosikymmeniä samoilla käytävillä. Pitkä perinne oli tallentunut rakenteisiin.</w:t>
      </w:r>
    </w:p>
    <w:p w14:paraId="3435F1D8" w14:textId="77777777" w:rsidR="008A4292" w:rsidRPr="00FB4EFA" w:rsidRDefault="008A4292" w:rsidP="00545033">
      <w:pPr>
        <w:pStyle w:val="Heading2"/>
        <w:suppressAutoHyphens/>
        <w:spacing w:line="259" w:lineRule="auto"/>
        <w:rPr>
          <w:color w:val="auto"/>
          <w:lang w:val="fi-FI"/>
        </w:rPr>
      </w:pPr>
      <w:r w:rsidRPr="00FB4EFA">
        <w:rPr>
          <w:color w:val="auto"/>
          <w:lang w:val="fi-FI"/>
        </w:rPr>
        <w:t>Opiskelemaan Helsingin yliopistoon</w:t>
      </w:r>
    </w:p>
    <w:p w14:paraId="148BC948" w14:textId="0453EDE4" w:rsidR="008A4292" w:rsidRPr="00FB4EFA" w:rsidRDefault="008A4292" w:rsidP="00402EF4">
      <w:pPr>
        <w:rPr>
          <w:lang w:val="fi-FI"/>
        </w:rPr>
      </w:pPr>
      <w:r w:rsidRPr="00FB4EFA">
        <w:rPr>
          <w:lang w:val="fi-FI"/>
        </w:rPr>
        <w:t>Samaa tietä Hämeenlinnasta Helsinkiin oli aikanaan kulkenut 1900-luvun vaikutusvaltaisin suomen kielen professori E. N. Setälä, aikanaan valtakunnan johtavia poliitikkoja, joka oli myös kirjoittanut varhaiskypsänä lukiolaisena ylioppilaaksi Hämeenlinnan lyseosta. Kun Johanna Laakso hyväksyttiin Helsingin yliopiston filosofisen tiedekunnan historiallis-kielitieteellisen osaston opiskelijaksi, tutkinto</w:t>
      </w:r>
      <w:r w:rsidR="00DA117E" w:rsidRPr="00FB4EFA">
        <w:rPr>
          <w:lang w:val="fi-FI"/>
        </w:rPr>
        <w:softHyphen/>
      </w:r>
      <w:r w:rsidRPr="00FB4EFA">
        <w:rPr>
          <w:lang w:val="fi-FI"/>
        </w:rPr>
        <w:t>rakenne kantoi Setälän ajan perintöä 1900-luvun alusta. Uutta ja vallankumouksellista tutkintojärjestelmää ja opintojen mitoitustapaa suunniteltiin alkavaksi 1980-luvulla, mutta Johannan opinnot koostuivat vanhan tavan mukaan kolmiportaisista arvosanoista approbatur, cum laude approbatur ja laudatur.</w:t>
      </w:r>
    </w:p>
    <w:p w14:paraId="51B59284" w14:textId="728F0999" w:rsidR="008A4292" w:rsidRPr="00FB4EFA" w:rsidRDefault="008A4292" w:rsidP="00402EF4">
      <w:pPr>
        <w:ind w:firstLine="709"/>
        <w:rPr>
          <w:lang w:val="fi-FI"/>
        </w:rPr>
      </w:pPr>
      <w:r w:rsidRPr="00FB4EFA">
        <w:rPr>
          <w:lang w:val="fi-FI"/>
        </w:rPr>
        <w:t>Muutto Hämeenlinnasta Helsinkiin ja asettuminen Hämäläis-Osakunnan eli opiskelijakielellä Hämiksen opiskelija-asuntolaan merkitsi uudenlaista ja suurempaa kaupunkiympäristöä. Siihen Johanna solahti kuin kotiinsa, kielten ja kirjojen maailmaan, joka täytti arjen. Lukemisesta innostuneelle ja jatkuvan tiedonjanon sivistämälle opiskelijalle se oli mitä luontevin ympäristö ja antoi uuden vertaisryhmän, jossa kehittää taitoja. Lukeminen, kirjoittaminen, laulaminen ja kieltenopiskelu osoittautuivat muidenkin opiskelijoiden kiinnostuksen kohteeksi. Nuoren opiskelijan ylivertaisen nopea lukutaito ja uusien kielten omaksumiskyky tekivät heti vaikutuksen muihin opiskelijoihin.</w:t>
      </w:r>
    </w:p>
    <w:p w14:paraId="3DC2B71B" w14:textId="22A876FA" w:rsidR="008A4292" w:rsidRPr="00FB4EFA" w:rsidRDefault="008A4292" w:rsidP="00402EF4">
      <w:pPr>
        <w:ind w:firstLine="709"/>
        <w:rPr>
          <w:lang w:val="fi-FI"/>
        </w:rPr>
      </w:pPr>
      <w:r w:rsidRPr="00FB4EFA">
        <w:rPr>
          <w:lang w:val="fi-FI"/>
        </w:rPr>
        <w:t xml:space="preserve">Maailman rajat olivat 1970–1980-luvun taitteessa staattisia ja niiden yli liikkuminen hidasta. Paljon suomenkin kielen opintoja sisältäneen itämerensuomalaisen maailman puolelta Johanna liikkui sujuvasti suomalais-ugrilaisiin aiheisiin, laajemman maantieteellisen alueen kattavaan kielikuntaan. Suomalais-ugrilainen maailma oli kuitenkin tuon ajan suomalaisopiskelijalle monella tavalla etäinen ja abstrakti, myös tavoittamaton. Venäjän suomalais-ugrilaisille alueille ei ollut mitään asiaa. Niiden kieliä koskeva tieto välittyi vähäisten kirjojen ja erityisesti vireän tutkimustradition avulla. Vertailevalla kielentutkimuksella oli tällä alalla </w:t>
      </w:r>
      <w:r w:rsidR="00785EBD" w:rsidRPr="00FB4EFA">
        <w:rPr>
          <w:lang w:val="fi-FI"/>
        </w:rPr>
        <w:t>rikas traditio</w:t>
      </w:r>
      <w:r w:rsidRPr="00FB4EFA">
        <w:rPr>
          <w:lang w:val="fi-FI"/>
        </w:rPr>
        <w:t xml:space="preserve">, ja siitä tuli myös Johannan myöhemmän tutkijanuran ja </w:t>
      </w:r>
      <w:r w:rsidRPr="00FB4EFA">
        <w:rPr>
          <w:lang w:val="fi-FI"/>
        </w:rPr>
        <w:lastRenderedPageBreak/>
        <w:t>kielitieteellisen ajattelun tärkeimpiä perustoja. Myös unkari ja maantieteellisesti läheinen viro olivat Suomesta katsottuna kovin kaukaisia kieliä, eivätkä ne näkyneet millään tavalla suomalaisessa julkisuudessa. Unkariin ja varsinkin Viroon matkustaminen edellytti pitkää valmistelua, oli mahdollista kylläkin, mutta viisumihakuineen ja kuukausia aikaisemmin matkatoimiston avulla tehtävine matkavarauksineen hyvin hidasta. Niinpä selvintä oli matkata opiskelijaryhmän mukana ensivisiitille Tallinnaan, sitten Petroskoihin, samoin kielikursseille Puolaan ja Unkariin.</w:t>
      </w:r>
    </w:p>
    <w:p w14:paraId="71F768E3" w14:textId="4F91083E" w:rsidR="008A4292" w:rsidRPr="00FB4EFA" w:rsidRDefault="008A4292" w:rsidP="00AF0CAD">
      <w:pPr>
        <w:ind w:firstLine="709"/>
        <w:rPr>
          <w:lang w:val="fi-FI"/>
        </w:rPr>
      </w:pPr>
      <w:r w:rsidRPr="00FB4EFA">
        <w:rPr>
          <w:lang w:val="fi-FI"/>
        </w:rPr>
        <w:t xml:space="preserve">Unkarin ja viron lehtorien tehtävä oli opettaa kieltä ja edustaa kulttuuriaan, ja heidän avullaan Johanna hankki nopeasti vahvan ja sujuvan kielitaidon. Unkaria opetti Tamás Márk, </w:t>
      </w:r>
      <w:r w:rsidRPr="00FB4EFA">
        <w:rPr>
          <w:i/>
          <w:iCs/>
          <w:lang w:val="fi-FI"/>
        </w:rPr>
        <w:t>Tessék magyarul</w:t>
      </w:r>
      <w:r w:rsidRPr="00FB4EFA">
        <w:rPr>
          <w:lang w:val="fi-FI"/>
        </w:rPr>
        <w:t xml:space="preserve"> </w:t>
      </w:r>
      <w:r w:rsidR="000A0B53" w:rsidRPr="00FB4EFA">
        <w:rPr>
          <w:lang w:val="fi-FI"/>
        </w:rPr>
        <w:noBreakHyphen/>
      </w:r>
      <w:r w:rsidRPr="00FB4EFA">
        <w:rPr>
          <w:lang w:val="fi-FI"/>
        </w:rPr>
        <w:t xml:space="preserve">oppikirjan kirjoittaja, ja hänen seuraajansa Valéria Révay jatkoi samojen opiskelijoiden kanssa siitä, mihin edeltäjä jäi. Viron kaksi lehtoria vaihtuivat parin vuoden välein, ja Johannalle alkuvauhdin </w:t>
      </w:r>
      <w:r w:rsidR="003156A5" w:rsidRPr="00FB4EFA">
        <w:rPr>
          <w:lang w:val="fi-FI"/>
        </w:rPr>
        <w:t xml:space="preserve">antoivat </w:t>
      </w:r>
      <w:r w:rsidRPr="00FB4EFA">
        <w:rPr>
          <w:lang w:val="fi-FI"/>
        </w:rPr>
        <w:t>elävä ja vilkas etelävirolainen Helga Laanpere, monitoimimies Tõnu Seilenthal ja arvoituksellisempi pohjoisvirolainen Hoide Sikk. Sujuva kielitaito tarttui käymättä Virossa satunnaisia yksittäisiä piipahduksia lukuun ottamatta, ilman mahdollisuuksia vaihto-opiskelijan kokemuksiin paikan päällä.</w:t>
      </w:r>
    </w:p>
    <w:p w14:paraId="3B7FC3C0" w14:textId="77777777" w:rsidR="008A4292" w:rsidRPr="00FB4EFA" w:rsidRDefault="008A4292" w:rsidP="00402EF4">
      <w:pPr>
        <w:ind w:firstLine="709"/>
        <w:rPr>
          <w:lang w:val="fi-FI"/>
        </w:rPr>
      </w:pPr>
      <w:r w:rsidRPr="00FB4EFA">
        <w:rPr>
          <w:lang w:val="fi-FI"/>
        </w:rPr>
        <w:t>Käytännön kielitaitoa täydensivät halu ja taito kokeilla kääntämistä ja tilaisuuden tullen myös tulkkausta. Ammatillista koulutusta ei ollut kummankaan, unkarin eikä viron kääntämiseen ja tulkkaamiseen, eikä ajatus sellaisesta ylipäätään kuulunut tuon ajan yliopistomaailmaan. Mutta taitavalle kielenkäyttäjälle ja paljon lukeneelle, nopeasti hoksaavalle kyse oli vain luontaisten taipumusten soveltamisesta. Itämerensuomalaisten kielten professori Seppo Suhonen edisti osaltaan yhteistyötä virolaisten tutkijoiden ja kulttuurihenkilöiden kanssa. Hänen mielimuistojaan oli, kuinka oli edellisenä iltana antanut monen liuskan tekstin viron kielen taidostaan tunnetulle Johannalle. Taitava ja tarkka käännös oli valmis seuraavana aamuna.</w:t>
      </w:r>
    </w:p>
    <w:p w14:paraId="2F857D2F" w14:textId="63821AD9" w:rsidR="008A4292" w:rsidRPr="00FB4EFA" w:rsidRDefault="008A4292" w:rsidP="00AF0CAD">
      <w:pPr>
        <w:ind w:firstLine="709"/>
        <w:rPr>
          <w:lang w:val="fi-FI"/>
        </w:rPr>
      </w:pPr>
      <w:r w:rsidRPr="00FB4EFA">
        <w:rPr>
          <w:lang w:val="fi-FI"/>
        </w:rPr>
        <w:t xml:space="preserve">Julkista menestystäkin tuli. Oulun yliopiston suomen ja saamen kielen laitos ja sanomalehti Kaleva järjestivät 1970–80-luvulla kolme virolaisen runouden käännöskilpailua. Johannakin päätti osallistua. Vuonna 1978 aiheena oli 1920- ja 1930-luvun virolaisen runouden kärkinimi Marie Under. Toinen kilpailu järjestettiin pari vuotta myöhemmin 1981, aiheena toinen virolaisen runouden tunnettu hahmo Debora </w:t>
      </w:r>
      <w:r w:rsidR="00AF0CAD" w:rsidRPr="00FB4EFA">
        <w:rPr>
          <w:lang w:val="fi-FI"/>
        </w:rPr>
        <w:br/>
      </w:r>
      <w:r w:rsidRPr="00FB4EFA">
        <w:rPr>
          <w:lang w:val="fi-FI"/>
        </w:rPr>
        <w:t xml:space="preserve">Vaarandi. Osallistujien suomennosten määrä moninkertaistui ja nousi yli </w:t>
      </w:r>
      <w:r w:rsidRPr="00FB4EFA">
        <w:rPr>
          <w:lang w:val="fi-FI"/>
        </w:rPr>
        <w:lastRenderedPageBreak/>
        <w:t xml:space="preserve">800:n. Kun anonyymi raati oli kevääseen 1982 mennessä arvioinut anonyymien kääntäjien suomennokset, kävi ilmi, että kilpailun ja parhaan käännöksen palkinnon oli voittanut helsinkiläinen opiskelija Johanna Laakso. Palkintoraati kiitti runon </w:t>
      </w:r>
      <w:r w:rsidRPr="00FB4EFA">
        <w:rPr>
          <w:i/>
          <w:iCs/>
          <w:lang w:val="fi-FI"/>
        </w:rPr>
        <w:t xml:space="preserve">Valaiden elämästä </w:t>
      </w:r>
      <w:r w:rsidRPr="00FB4EFA">
        <w:rPr>
          <w:lang w:val="fi-FI"/>
        </w:rPr>
        <w:t>kääntäjää erityisesti rytmillisistä ansioista ja vaikean poljennollisen hengen tavoittamisesta.</w:t>
      </w:r>
    </w:p>
    <w:p w14:paraId="2F204526" w14:textId="0FF1FD28" w:rsidR="008A4292" w:rsidRPr="00FB4EFA" w:rsidRDefault="008A4292" w:rsidP="00402EF4">
      <w:pPr>
        <w:ind w:firstLine="709"/>
        <w:rPr>
          <w:lang w:val="fi-FI"/>
        </w:rPr>
      </w:pPr>
      <w:r w:rsidRPr="00FB4EFA">
        <w:rPr>
          <w:lang w:val="fi-FI"/>
        </w:rPr>
        <w:t xml:space="preserve">Pisin projekti oli kuitenkin suomalais-ugrilaisen kielentutkimuksen saloihin perehtyminen. Fennougristiikka eli tuolloin yhtä 1900-luvun kukoistuskausistaan. Suomessa, Virossa, Unkarissa ja Keski-Euroopassa oli </w:t>
      </w:r>
      <w:r w:rsidR="003156A5" w:rsidRPr="00FB4EFA">
        <w:rPr>
          <w:lang w:val="fi-FI"/>
        </w:rPr>
        <w:t xml:space="preserve">arvostettuja yhteisöitä </w:t>
      </w:r>
      <w:r w:rsidRPr="00FB4EFA">
        <w:rPr>
          <w:lang w:val="fi-FI"/>
        </w:rPr>
        <w:t>ja paljon aktiivisia tutkijoita, jotka päätyökseen toimivat yliopistoissa tai tutkimuslaitoksissa ja järjestivät aiempien sukupolvien keräämiä aineistoja. Viiden vuoden välein järjestettiin kansainvälinen fennougristikongressi oikeille tutkijoille, mutta opiskelijalle se oli pitkä aika. Neuvostoliitossa oli Venäjän paikallisten suomalais-ugrilaisten kielten äidinkielisiä tutkijoita, jotka edistivät käytännön kielenopetuksen tavoitteita järjestelmän sallimissa puitteissa ja tekivät tutkimusta olosuhteiden ehdoilla. Kun fennougristikongressi järjestettiin 1985 Syktyvkarissa Komin tasavallan pääkaupungissa, Suomesta Pietarin kautta lähteneen tilauslennon mukana matkasi myös Johanna, jolle komin kielestä tuli pysyvämpi kiinnostuksen kohde. Paluulento jännitti erityisesti koneessa matkanneita, sillä samankokoinen kone ei koskaan aikaisemmin ollut noussut Syktyvkarin lentokentältä.</w:t>
      </w:r>
    </w:p>
    <w:p w14:paraId="04098AD1" w14:textId="210659B9" w:rsidR="008A4292" w:rsidRPr="00FB4EFA" w:rsidRDefault="008A4292" w:rsidP="00402EF4">
      <w:pPr>
        <w:ind w:firstLine="709"/>
        <w:rPr>
          <w:lang w:val="fi-FI"/>
        </w:rPr>
      </w:pPr>
      <w:r w:rsidRPr="00FB4EFA">
        <w:rPr>
          <w:lang w:val="fi-FI"/>
        </w:rPr>
        <w:t xml:space="preserve">Johanna oli valinnut pääaineekseen itämerensuomalaiset kielet, yhden filosofisen tiedekunnan historiallis-kielitieteellisen osaston monista kieliaineista, jossa suomen lähisukukielet laajensivat suomen kielestäkin tuttuja kysymyksiä. Ystävällinen mutta toisinaan selvästi erilaista kulttuurikäsitystä edustava savolaisprofessori Suhonen vaikuttui taitavasta oppilaastaan. Jatkuvasti avartuva kiinnostus kieleen ja sen historiaan veti Johannaa muidenkin suomalais-ugrilaisten kielten puolelle. Hiukan etäinen mutta lämminhenkinen Raija Bartens oli juuri astunut Erkki Itkoselta ja Aulis J. Joelta perimäänsä suomalais-ugrilaisen kielentutkimuksen professorin virkaan ja luennoi laajalti eri suomalais-ugrilaisista kielistä, niiden rakenteesta ja kehityksestä. Karismaattinen henkilökohtaisen ylimääräisen professuurin haltija Mikko Korhonen edusti tieteenalan kärkeä ja perusti näkemyksensä selkeään tieteelliseen argumentointiin. Vanhempien, 1910-luvulla syntyneiden tutkijoiden sukupolvi oli edelleen läsnä. Suomalais-Ugrilainen Seura kokosi tutkijat, opiskelijat ja </w:t>
      </w:r>
      <w:r w:rsidRPr="00FB4EFA">
        <w:rPr>
          <w:lang w:val="fi-FI"/>
        </w:rPr>
        <w:lastRenderedPageBreak/>
        <w:t xml:space="preserve">alasta ylipäätään kiinnostuneet yhteen joka kuukauden kolmas perjantai. Nuori opiskelija ylitti ennakkoluulottomasti tiedeyhteisön kynnyksen, ja samalla naistutkijat </w:t>
      </w:r>
      <w:r w:rsidR="00785EBD" w:rsidRPr="00FB4EFA">
        <w:rPr>
          <w:lang w:val="fi-FI"/>
        </w:rPr>
        <w:t xml:space="preserve">antoivat </w:t>
      </w:r>
      <w:r w:rsidRPr="00FB4EFA">
        <w:rPr>
          <w:lang w:val="fi-FI"/>
        </w:rPr>
        <w:t>kollektiivisesti murtaa yhtä tiedemaailman lasikatoista.</w:t>
      </w:r>
    </w:p>
    <w:p w14:paraId="7D1F1664" w14:textId="31825312" w:rsidR="008A4292" w:rsidRPr="00FB4EFA" w:rsidRDefault="008A4292" w:rsidP="00402EF4">
      <w:pPr>
        <w:ind w:firstLine="709"/>
        <w:rPr>
          <w:lang w:val="fi-FI"/>
        </w:rPr>
      </w:pPr>
      <w:r w:rsidRPr="00FB4EFA">
        <w:rPr>
          <w:lang w:val="fi-FI"/>
        </w:rPr>
        <w:t xml:space="preserve">Tieteen nimissä oli mahdollista luoda yhteyksiä. Unkarin ja </w:t>
      </w:r>
      <w:r w:rsidR="00AF0CAD" w:rsidRPr="00FB4EFA">
        <w:rPr>
          <w:lang w:val="fi-FI"/>
        </w:rPr>
        <w:br/>
      </w:r>
      <w:r w:rsidRPr="00FB4EFA">
        <w:rPr>
          <w:lang w:val="fi-FI"/>
        </w:rPr>
        <w:t xml:space="preserve">Suomen välillä oli ajan ehdoilla toimivat kahdenväliset suhteet, jotka mahdollistivat mm. opiskelijavaihdon ja kesäkursseille osallistumisen. Sitä paitsi Unkari oli toisen maailmansodan jälkeen kansandemokratioiksi pakotetuista eurooppalaisista valtioista vapaimpia ja matkailu melko tavallista muutenkin. Suomi-Unkari Seura oli järjestäytynyt ystävyysseura, ja sen rinnalla aloitteli toimintaansa Unkarin valtion ylläpitämä </w:t>
      </w:r>
      <w:r w:rsidR="00AF0CAD" w:rsidRPr="00FB4EFA">
        <w:rPr>
          <w:lang w:val="fi-FI"/>
        </w:rPr>
        <w:br/>
      </w:r>
      <w:r w:rsidRPr="00FB4EFA">
        <w:rPr>
          <w:lang w:val="fi-FI"/>
        </w:rPr>
        <w:t>Unkarin kulttuuri- ja tiedekeskus. Ajatus stipendivuodesta Unkarissa kuului kiinteästi fennougristiopiskelijan maailmankuvaan. Johanna tarttui tilaisuuteen hakea maiden väliseen kahdenväliseen vaihtosopimukseen perustuvaa opiskelijastipendiä Unkariin, sai sen ja suuntasi opintojensa loppuvaiheessa (1984–1985) Budapestin ELTE-yliopistoon.</w:t>
      </w:r>
    </w:p>
    <w:p w14:paraId="2CAAE973" w14:textId="2DCAC3EE" w:rsidR="008A4292" w:rsidRPr="00FB4EFA" w:rsidRDefault="008A4292" w:rsidP="00402EF4">
      <w:pPr>
        <w:ind w:firstLine="709"/>
        <w:rPr>
          <w:lang w:val="fi-FI"/>
        </w:rPr>
      </w:pPr>
      <w:r w:rsidRPr="00FB4EFA">
        <w:rPr>
          <w:lang w:val="fi-FI"/>
        </w:rPr>
        <w:t xml:space="preserve">Pitkäaikaiseen oleskeluun Virossa tai Neuvostoliitossa ei suomalaisilla tutkijoilla saati opiskelijoilla ollut mahdollisuutta. Poikkeuksena olivat viikon tai pari kestävät tutkijavierailut tarkoin kontrolloidun järjestelyn puitteissa. Korrektin hiljaa sujuneet tutkijavaihdot mahdollistivat ajatuksen siitä, että neuvostoviranomaiset voisivat päästää myös opiskelijoita Tallinnaan pitemmäksi aikaa, samalla tavalla kuin Pietariin ja </w:t>
      </w:r>
      <w:r w:rsidR="00AF0CAD" w:rsidRPr="00FB4EFA">
        <w:rPr>
          <w:lang w:val="fi-FI"/>
        </w:rPr>
        <w:br/>
      </w:r>
      <w:r w:rsidRPr="00FB4EFA">
        <w:rPr>
          <w:lang w:val="fi-FI"/>
        </w:rPr>
        <w:t>Moskovaan pääsi. Juuri maisteriksi valmistuttuaan Johanna sai vuoden 1986 keväällä tilaisuuden lähteä ensimmäisessä viiden opiskelijan – itse asiassa osin jo valmiiden maisterien – ryhmässä Tallinnan pedagogiseen instituuttiin kevätlukukaudeksi vaihto-opiskelijaksi.</w:t>
      </w:r>
    </w:p>
    <w:p w14:paraId="33CAA2A4" w14:textId="77777777" w:rsidR="008A4292" w:rsidRPr="00FB4EFA" w:rsidRDefault="008A4292" w:rsidP="00AF0CAD">
      <w:pPr>
        <w:ind w:firstLine="709"/>
        <w:rPr>
          <w:lang w:val="fi-FI"/>
        </w:rPr>
      </w:pPr>
      <w:r w:rsidRPr="00FB4EFA">
        <w:rPr>
          <w:lang w:val="fi-FI"/>
        </w:rPr>
        <w:t xml:space="preserve">Kielitaitonsa ja sanavalmiutensa kartuttamiseen Johanna ei suuremmin tarvinnut matkoja. Kieli oli tarttunut itsestään opettajia kuunnellessa ja kirjoja lukemalla. Musiikinharrastus ja kuorolaulu olivat harjaannuttaneet korvan kuulemaan hienosääntöisiä eroja, kuten unkarin labiaalisen </w:t>
      </w:r>
      <w:r w:rsidRPr="00FB4EFA">
        <w:rPr>
          <w:i/>
          <w:iCs/>
          <w:lang w:val="fi-FI"/>
        </w:rPr>
        <w:t>a</w:t>
      </w:r>
      <w:r w:rsidRPr="00FB4EFA">
        <w:rPr>
          <w:lang w:val="fi-FI"/>
        </w:rPr>
        <w:t xml:space="preserve">:n, jota Johanna ei puolivahingossakaan äännä palócilaisittain latteana, sekä sen parin, joka on heleä, etisempi pitempi </w:t>
      </w:r>
      <w:r w:rsidRPr="00FB4EFA">
        <w:rPr>
          <w:i/>
          <w:iCs/>
          <w:lang w:val="fi-FI"/>
        </w:rPr>
        <w:t>á</w:t>
      </w:r>
      <w:r w:rsidRPr="00FB4EFA">
        <w:rPr>
          <w:lang w:val="fi-FI"/>
        </w:rPr>
        <w:t>.</w:t>
      </w:r>
    </w:p>
    <w:p w14:paraId="7FCE3A73" w14:textId="77777777" w:rsidR="008A4292" w:rsidRPr="00FB4EFA" w:rsidRDefault="008A4292" w:rsidP="00AF0CAD">
      <w:pPr>
        <w:ind w:firstLine="709"/>
        <w:rPr>
          <w:lang w:val="fi-FI"/>
        </w:rPr>
      </w:pPr>
      <w:r w:rsidRPr="00FB4EFA">
        <w:rPr>
          <w:lang w:val="fi-FI"/>
        </w:rPr>
        <w:t>Suomalais-ugrilaisten kielten opiskeluperinteisiin kuului, että kontakteja äidinkielisiin oli vähän. Suomessa työskentelevät viron kielen lehtorit olivat keskeisiä kulttuurilähettiläitä, jokainen omalla persoonallisella tavallaan. Suomessa oli kuitenkin pieni ja aktiivinen Viron-</w:t>
      </w:r>
      <w:r w:rsidRPr="00FB4EFA">
        <w:rPr>
          <w:lang w:val="fi-FI"/>
        </w:rPr>
        <w:lastRenderedPageBreak/>
        <w:t xml:space="preserve">harrastajien joukko, joka perusti 1980-luvun alussa Tuglas-seuran. Vironkielisen kirjallisuuden kääntämiseen alettiin kiinnittää enemmän huomiota, ja tuoreita voimia tarvittiin kääntäjiksi. Opiskelijoita houkuteltiin mukaan, ja Johannan ansiot kääntäjänä oli jo nähty. Tieto taitavasta kääntäjästä, joka tarvittaessa hallitsee myös runouden hienoudet, toi käännöskilpailun voiton jälkeen lisätöitä. Oululainen kustantamo Pohjoinen julkaisi Friedebert Tuglaksen aforistisen mietelmä- ja muistelmateoksen </w:t>
      </w:r>
      <w:r w:rsidRPr="00FB4EFA">
        <w:rPr>
          <w:i/>
          <w:iCs/>
          <w:lang w:val="fi-FI"/>
        </w:rPr>
        <w:t>Marginalia</w:t>
      </w:r>
      <w:r w:rsidRPr="00FB4EFA">
        <w:rPr>
          <w:lang w:val="fi-FI"/>
        </w:rPr>
        <w:t xml:space="preserve"> (1986) ja silloisen nuoren ja nousevan kirjailijan Rein Raudin runokokoelman </w:t>
      </w:r>
      <w:r w:rsidRPr="00FB4EFA">
        <w:rPr>
          <w:i/>
          <w:iCs/>
          <w:lang w:val="fi-FI"/>
        </w:rPr>
        <w:t>Lumeen hautautunut</w:t>
      </w:r>
      <w:r w:rsidRPr="00FB4EFA">
        <w:rPr>
          <w:lang w:val="fi-FI"/>
        </w:rPr>
        <w:t xml:space="preserve"> (1987) molemmat Johannan suomentamina, vanhempien estofiilien kiitossanoin.</w:t>
      </w:r>
    </w:p>
    <w:p w14:paraId="25A55BEB" w14:textId="77777777" w:rsidR="008A4292" w:rsidRPr="00FB4EFA" w:rsidRDefault="008A4292" w:rsidP="00545033">
      <w:pPr>
        <w:pStyle w:val="Heading2"/>
        <w:suppressAutoHyphens/>
        <w:spacing w:line="259" w:lineRule="auto"/>
        <w:rPr>
          <w:color w:val="auto"/>
          <w:lang w:val="fi-FI"/>
        </w:rPr>
      </w:pPr>
      <w:r w:rsidRPr="00FB4EFA">
        <w:rPr>
          <w:color w:val="auto"/>
          <w:lang w:val="fi-FI"/>
        </w:rPr>
        <w:t>Tieteellinen ura alkaa Helsingissä</w:t>
      </w:r>
    </w:p>
    <w:p w14:paraId="53C40FE0" w14:textId="45B31ED5" w:rsidR="008A4292" w:rsidRPr="00FB4EFA" w:rsidRDefault="008A4292" w:rsidP="00AF0CAD">
      <w:pPr>
        <w:rPr>
          <w:lang w:val="fi-FI"/>
        </w:rPr>
      </w:pPr>
      <w:r w:rsidRPr="00FB4EFA">
        <w:rPr>
          <w:lang w:val="fi-FI"/>
        </w:rPr>
        <w:t xml:space="preserve">Valmistuessaan maisteriksi Johanna oli lahjakas ja lupaava nuori tutkija, jonka edistymistä haluttiin tukea ja joka oli jo näyttänyt taitonsa sujuvana kirjoittajana ja kääntäjänä ja monipuolisesti kielitiedettä ymmärtävänä kykynä. Ensimmäinen pitempi työsuhde aukeni tutkijana Kotimaisten kielten tutkimuskeskuksessa. Kotus oli perustettu toteuttamaan suuria sanakirjahankkeita ja neuvomaan kieltä koskevissa asioissa. Sanakirjojen avulla luotiin perusedellytyksiä tutkimukselle, ja niihin liittyi ylisukupolvinen, kollektiivinen missio. Johannan tehtäväksi annettiin toimittaa itämerensuomalaisten kielten käänteissanakirjoja. Samoihin aikoihin tietokone teki tuloaan tutkijoiden käyttöön ja syrjäytti sanaliput ja kirjoituskoneen. Suurempaan aineistonkäsittelyyn ja tallennukseen ei silti ollut vielä edellytyksiä. Samalta pohjalta kuin Kotuksen johtaja Tuomo </w:t>
      </w:r>
      <w:r w:rsidR="00AF0CAD" w:rsidRPr="00FB4EFA">
        <w:rPr>
          <w:lang w:val="fi-FI"/>
        </w:rPr>
        <w:br/>
      </w:r>
      <w:r w:rsidRPr="00FB4EFA">
        <w:rPr>
          <w:lang w:val="fi-FI"/>
        </w:rPr>
        <w:t xml:space="preserve">Tuomi oli laatinut Suomen kielen käänteissanakirjan, syntyivät </w:t>
      </w:r>
      <w:r w:rsidR="00AF0CAD" w:rsidRPr="00FB4EFA">
        <w:rPr>
          <w:lang w:val="fi-FI"/>
        </w:rPr>
        <w:br/>
      </w:r>
      <w:r w:rsidRPr="00FB4EFA">
        <w:rPr>
          <w:i/>
          <w:iCs/>
          <w:lang w:val="fi-FI"/>
        </w:rPr>
        <w:t>Lyydiläismurteiden käänteissanasto</w:t>
      </w:r>
      <w:r w:rsidRPr="00FB4EFA">
        <w:rPr>
          <w:lang w:val="fi-FI"/>
        </w:rPr>
        <w:t xml:space="preserve"> (1986, yhdessä Jarmo Elomaan kanssa), </w:t>
      </w:r>
      <w:r w:rsidRPr="00FB4EFA">
        <w:rPr>
          <w:i/>
          <w:iCs/>
          <w:lang w:val="fi-FI"/>
        </w:rPr>
        <w:t>Rückläufiges Wörterbuch des Livischen</w:t>
      </w:r>
      <w:r w:rsidRPr="00FB4EFA">
        <w:rPr>
          <w:lang w:val="fi-FI"/>
        </w:rPr>
        <w:t xml:space="preserve"> (1988) ja </w:t>
      </w:r>
      <w:r w:rsidRPr="00FB4EFA">
        <w:rPr>
          <w:i/>
          <w:iCs/>
          <w:lang w:val="fi-FI"/>
        </w:rPr>
        <w:t>Vatjan käänteissanasto</w:t>
      </w:r>
      <w:r w:rsidRPr="00FB4EFA">
        <w:rPr>
          <w:lang w:val="fi-FI"/>
        </w:rPr>
        <w:t xml:space="preserve"> (1989), toimittanut Johanna Laakso. Ne oli tarkoitettu sanastontutkimuksen tueksi, mutta laatijalleen ne olivat samalla erinomainen mahdollisuus syventää yksittäisten itämerensuomalaisten kielten tuntemusta ja ammattitaitoa.</w:t>
      </w:r>
    </w:p>
    <w:p w14:paraId="23A1E57C" w14:textId="47CC318D" w:rsidR="008A4292" w:rsidRPr="00FB4EFA" w:rsidRDefault="008A4292" w:rsidP="00AF0CAD">
      <w:pPr>
        <w:ind w:firstLine="709"/>
        <w:rPr>
          <w:lang w:val="fi-FI"/>
        </w:rPr>
      </w:pPr>
      <w:r w:rsidRPr="00FB4EFA">
        <w:rPr>
          <w:lang w:val="fi-FI"/>
        </w:rPr>
        <w:t xml:space="preserve">Samalla vauhdilla syntyi tohtorinväitöskirja </w:t>
      </w:r>
      <w:r w:rsidRPr="00FB4EFA">
        <w:rPr>
          <w:i/>
          <w:iCs/>
          <w:lang w:val="fi-FI"/>
        </w:rPr>
        <w:t xml:space="preserve">Translatiivinen </w:t>
      </w:r>
      <w:r w:rsidR="00AF0CAD" w:rsidRPr="00FB4EFA">
        <w:rPr>
          <w:i/>
          <w:iCs/>
          <w:lang w:val="fi-FI"/>
        </w:rPr>
        <w:br/>
      </w:r>
      <w:r w:rsidRPr="00FB4EFA">
        <w:rPr>
          <w:i/>
          <w:iCs/>
          <w:lang w:val="fi-FI"/>
        </w:rPr>
        <w:t>verbinjohdin NE itämerensuomalaisissa kielissä</w:t>
      </w:r>
      <w:r w:rsidRPr="00FB4EFA">
        <w:rPr>
          <w:lang w:val="fi-FI"/>
        </w:rPr>
        <w:t xml:space="preserve"> (Suomalais-Ugrilaisen Seuran Toimituksia 204, 1990). Tähän aiheeseen liittyvää aineistoa </w:t>
      </w:r>
      <w:r w:rsidR="00AF0CAD" w:rsidRPr="00FB4EFA">
        <w:rPr>
          <w:lang w:val="fi-FI"/>
        </w:rPr>
        <w:br/>
      </w:r>
      <w:r w:rsidRPr="00FB4EFA">
        <w:rPr>
          <w:lang w:val="fi-FI"/>
        </w:rPr>
        <w:t>Johanna oli koonnut jo pro gradu -tutkielmaansa (1985) varten, ja väitös</w:t>
      </w:r>
      <w:r w:rsidRPr="00FB4EFA">
        <w:rPr>
          <w:lang w:val="fi-FI"/>
        </w:rPr>
        <w:lastRenderedPageBreak/>
        <w:t xml:space="preserve">kirja oli sille ja sanakirjatyölle luontevaa, vaivattoman tuntuista jatkoa. Se vei samalla ohjaajana toimineen Tapani Lehtisen kiinnostuksen kohteen, verbijohtimien tutkimusta uuteen ja teoreettisesti kunnianhimoisempaan suuntaan. Suurempiinkin yleistyksiin oli aihetta: päätelmissään kirjoittaja totesi, ettei uralilainen kantakieli ole ollut olennaisesti lähempänä ihmiskielen kehityksen alkuvaiheita kuin nykyään puhutut uralilaiset kielet. Sananmuodostukseen Johanna on sittemmin palannut monissa myöhemmissäkin tutkimuksissaan, derivaation ja taivutuksen rajapintaa etsien tai kokonaisvaltaisesti taivutusmorfologian merkitystä arvioiden. Tähän jatkumoon kuuluvat mm. artikkelit </w:t>
      </w:r>
      <w:r w:rsidRPr="00FB4EFA">
        <w:rPr>
          <w:i/>
          <w:iCs/>
          <w:lang w:val="fi-FI"/>
        </w:rPr>
        <w:t>On verbalizing nouns in Uralic</w:t>
      </w:r>
      <w:r w:rsidRPr="00FB4EFA">
        <w:rPr>
          <w:lang w:val="fi-FI"/>
        </w:rPr>
        <w:t xml:space="preserve"> (1997), </w:t>
      </w:r>
      <w:r w:rsidRPr="00FB4EFA">
        <w:rPr>
          <w:i/>
          <w:iCs/>
          <w:lang w:val="fi-FI"/>
        </w:rPr>
        <w:t>Derivation, morphopragmatics, and language contact – on the role of German influence in Estonian word-formation</w:t>
      </w:r>
      <w:r w:rsidRPr="00FB4EFA">
        <w:rPr>
          <w:lang w:val="fi-FI"/>
        </w:rPr>
        <w:t xml:space="preserve"> (2004), derivaatiomorfologian käsikirjaan kirjoitettu katsaus </w:t>
      </w:r>
      <w:r w:rsidRPr="00FB4EFA">
        <w:rPr>
          <w:i/>
          <w:iCs/>
          <w:lang w:val="fi-FI"/>
        </w:rPr>
        <w:t>Uralic</w:t>
      </w:r>
      <w:r w:rsidRPr="00FB4EFA">
        <w:rPr>
          <w:lang w:val="fi-FI"/>
        </w:rPr>
        <w:t xml:space="preserve"> (2014) ja toinen käsikirja-artikkeli </w:t>
      </w:r>
      <w:r w:rsidRPr="00FB4EFA">
        <w:rPr>
          <w:i/>
          <w:iCs/>
          <w:lang w:val="fi-FI"/>
        </w:rPr>
        <w:t>The history of word-formation in Uralic</w:t>
      </w:r>
      <w:r w:rsidRPr="00FB4EFA">
        <w:rPr>
          <w:lang w:val="fi-FI"/>
        </w:rPr>
        <w:t xml:space="preserve"> (2015).</w:t>
      </w:r>
    </w:p>
    <w:p w14:paraId="14ED891C" w14:textId="571D9FEE" w:rsidR="008A4292" w:rsidRPr="00FB4EFA" w:rsidRDefault="008A4292" w:rsidP="00AF0CAD">
      <w:pPr>
        <w:ind w:firstLine="709"/>
        <w:rPr>
          <w:lang w:val="fi-FI"/>
        </w:rPr>
      </w:pPr>
      <w:r w:rsidRPr="00FB4EFA">
        <w:rPr>
          <w:lang w:val="fi-FI"/>
        </w:rPr>
        <w:t xml:space="preserve">Sanakirjatöitä riitti käänteissanakirjojen valmistuttua edelleen. Tallinnassa Kielen ja kirjallisuuden instituutissa oli säilytetty äidinkielisen vatjalaisen Dmitri Tsvetkovin 1920-luvulla kotimurteellaan </w:t>
      </w:r>
      <w:r w:rsidR="00AF0CAD" w:rsidRPr="00FB4EFA">
        <w:rPr>
          <w:lang w:val="fi-FI"/>
        </w:rPr>
        <w:br/>
      </w:r>
      <w:r w:rsidRPr="00FB4EFA">
        <w:rPr>
          <w:lang w:val="fi-FI"/>
        </w:rPr>
        <w:t xml:space="preserve">Joenperän vatjaksi laatima sanasto. Sanasto oli siirretty tietokoneelle Kotimaisten kielten tutkimuskeskuksessa, ja sen toimittaminen annettiin Johanna Laakson tehtäväksi, joka oli jo osoittanut hallitsevansa kaikki sanakirjan toimitustyössä tarvittavat hienoudet, tunsi vatjan erikoispiirteet ja pystyi kriittisesti arvioimaan Tsvetkovin itse tuottamia lisäyksiä aineistoon. Sitä paitsi myös tietokoneen käyttö oli tässä vaiheessa vakiintunut, ja vaikka internetistä ei vielä puhuttu 2000-luvun mittakaavassa, kieliaineistojen käsittely oli sanalippuihin ja paperille tehtyihin muistiinpanoihin verrattuna monin verroin helpompaa, varsinkin kun Johanna omaksui salamavauhtia myös tietokoneiden tarjoamat mahdollisuudet. Huolellisesti toimitettu </w:t>
      </w:r>
      <w:r w:rsidRPr="00FB4EFA">
        <w:rPr>
          <w:i/>
          <w:iCs/>
          <w:lang w:val="fi-FI"/>
        </w:rPr>
        <w:t>Vatjan kielen Joenperän murteen sanasto</w:t>
      </w:r>
      <w:r w:rsidRPr="00FB4EFA">
        <w:rPr>
          <w:lang w:val="fi-FI"/>
        </w:rPr>
        <w:t xml:space="preserve"> ilmestyi 1995, ja viimeistään tässä vaiheessa oli selvää, että Johanna oli myös vertaansa vailla oleva julkaisujen toimittaja.</w:t>
      </w:r>
    </w:p>
    <w:p w14:paraId="77B1C073" w14:textId="5DEBCA61" w:rsidR="008A4292" w:rsidRPr="00FB4EFA" w:rsidRDefault="008A4292" w:rsidP="00402EF4">
      <w:pPr>
        <w:ind w:firstLine="709"/>
        <w:rPr>
          <w:lang w:val="fi-FI"/>
        </w:rPr>
      </w:pPr>
      <w:r w:rsidRPr="00FB4EFA">
        <w:rPr>
          <w:lang w:val="fi-FI"/>
        </w:rPr>
        <w:t>Johannan työpaikaksi vakiintui Helsingin yliopisto, jossa hänet oli valittu jo valmiina tohtorina suomalais-ugrilaisen kielentutkimuksen assistentiksi. Sen ohessa hän toimi pariin otteeseen itämerensuomalaisten kielten professorin sijaisena. Työkokemus oli myöhempää ajatellen muodollisesti tervetullut, mutta Johanna oli osoittanut olevansa taidoil</w:t>
      </w:r>
      <w:r w:rsidRPr="00FB4EFA">
        <w:rPr>
          <w:lang w:val="fi-FI"/>
        </w:rPr>
        <w:lastRenderedPageBreak/>
        <w:t>taan täysin pätevä hoitamaan professorin tehtäviä, opettamaan ja tutkimaan.</w:t>
      </w:r>
    </w:p>
    <w:p w14:paraId="7930EE57" w14:textId="77777777" w:rsidR="008A4292" w:rsidRPr="00FB4EFA" w:rsidRDefault="008A4292" w:rsidP="00402EF4">
      <w:pPr>
        <w:ind w:firstLine="709"/>
        <w:rPr>
          <w:lang w:val="fi-FI"/>
        </w:rPr>
      </w:pPr>
      <w:r w:rsidRPr="00FB4EFA">
        <w:rPr>
          <w:lang w:val="fi-FI"/>
        </w:rPr>
        <w:t>Kymmenen vuoden assistenttirupeamaa rytmittivät perheenlisäykset, elämä kolmen pienen lapsen Laurin, Veikon ja Helkan kanssa puoliso Hannun kotiseudulla Vesivehmaalla ja työmatkailu Helsinkiin ja takaisin. Elämän ruuhkavuosia täydensi talonrakennusprojekti. Kiireitä riitti ympäri vuoden ja ympäri vuorokauden. Vahvasti akateemisesta luonteestaan ja monipuolisesta korkeakulttuurin omaksumisesta huolimatta maaseutu oli yhtä lailla luonteva ajatus. Sitä paitsi jo Tallinnassa vietetyn stipendikauden aikana opiskelutovereille oli käynyt selväksi, että Johanna oli ainoa joukosta, joka osasi lypsää lehmän!</w:t>
      </w:r>
    </w:p>
    <w:p w14:paraId="65347577" w14:textId="422F182C" w:rsidR="008A4292" w:rsidRPr="00FB4EFA" w:rsidRDefault="008A4292" w:rsidP="00AF0CAD">
      <w:pPr>
        <w:ind w:firstLine="709"/>
        <w:rPr>
          <w:lang w:val="fi-FI"/>
        </w:rPr>
      </w:pPr>
      <w:r w:rsidRPr="00FB4EFA">
        <w:rPr>
          <w:lang w:val="fi-FI"/>
        </w:rPr>
        <w:t xml:space="preserve">Suomalais-ugrilaisten kielten tutkimusperinne oli alkanut uudistua 1970- ja 1980-luvulla, ja tarve uudistaa tutkimusalan historiallis-vertailevaa tutkimusotetta vahvistui edelleen. 1800-luvulta alkaen alan tutkimuksessa oli keskitytty yhtäältä suomen ja viron historiallisen kehityksen valaisemiseen ja toisaalta vähemmän tutkittujen kielten dokumentoitiin, äännehistoriaan, etymologiaan ja leksikologiaan. Johannan ja hänen ikätovereidensa katseet suuntautuivat yhä enemmän tutkimuksen tulevaisuuteen ja tarpeeseen integroida suomalais-ugrilaisten kielten tutkimus osaksi kansainvälistä kielitieteellistä tutkimusta ja keskustelua suomalais-ugrilaista maailmaa laajemmin. Aivan vuosituhannen lopussa marraskuussa 1999 Johanna sai tiedon ensimmäisestä merkittävästä projektirahoituksestaan: hänen johtamansa hanke </w:t>
      </w:r>
      <w:r w:rsidRPr="00FB4EFA">
        <w:rPr>
          <w:i/>
          <w:iCs/>
          <w:lang w:val="fi-FI"/>
        </w:rPr>
        <w:t>Building with Things Native and Borrowed</w:t>
      </w:r>
      <w:r w:rsidRPr="00FB4EFA">
        <w:rPr>
          <w:lang w:val="fi-FI"/>
        </w:rPr>
        <w:t xml:space="preserve"> oli saanut hakemansa rahoituksen Suomen Akatemialta. Projekti järjesti Tarton fennougristikongressissa (CIFU IX) </w:t>
      </w:r>
      <w:r w:rsidR="00AF0CAD" w:rsidRPr="00FB4EFA">
        <w:rPr>
          <w:lang w:val="fi-FI"/>
        </w:rPr>
        <w:br/>
      </w:r>
      <w:r w:rsidRPr="00FB4EFA">
        <w:rPr>
          <w:lang w:val="fi-FI"/>
        </w:rPr>
        <w:t xml:space="preserve">elokuussa 2000 symposiumin, jonka anti on koottu Johannan </w:t>
      </w:r>
      <w:r w:rsidR="00AF0CAD" w:rsidRPr="00FB4EFA">
        <w:rPr>
          <w:lang w:val="fi-FI"/>
        </w:rPr>
        <w:br/>
      </w:r>
      <w:r w:rsidRPr="00FB4EFA">
        <w:rPr>
          <w:lang w:val="fi-FI"/>
        </w:rPr>
        <w:t xml:space="preserve">toimittamaan kirjaan </w:t>
      </w:r>
      <w:r w:rsidRPr="00FB4EFA">
        <w:rPr>
          <w:i/>
          <w:iCs/>
          <w:lang w:val="fi-FI"/>
        </w:rPr>
        <w:t xml:space="preserve">Facing Finnic: Some Challenges to Historical and </w:t>
      </w:r>
      <w:r w:rsidR="00AF0CAD" w:rsidRPr="00FB4EFA">
        <w:rPr>
          <w:i/>
          <w:iCs/>
          <w:lang w:val="fi-FI"/>
        </w:rPr>
        <w:br/>
      </w:r>
      <w:r w:rsidRPr="00FB4EFA">
        <w:rPr>
          <w:i/>
          <w:iCs/>
          <w:lang w:val="fi-FI"/>
        </w:rPr>
        <w:t>Contact Linguistics</w:t>
      </w:r>
      <w:r w:rsidRPr="00FB4EFA">
        <w:rPr>
          <w:lang w:val="fi-FI"/>
        </w:rPr>
        <w:t>.</w:t>
      </w:r>
    </w:p>
    <w:p w14:paraId="288B4BCB" w14:textId="77777777" w:rsidR="008A4292" w:rsidRPr="00FB4EFA" w:rsidRDefault="008A4292" w:rsidP="00545033">
      <w:pPr>
        <w:pStyle w:val="Heading2"/>
        <w:suppressAutoHyphens/>
        <w:spacing w:line="259" w:lineRule="auto"/>
        <w:rPr>
          <w:color w:val="auto"/>
          <w:lang w:val="fi-FI"/>
        </w:rPr>
      </w:pPr>
      <w:r w:rsidRPr="00FB4EFA">
        <w:rPr>
          <w:color w:val="auto"/>
          <w:lang w:val="fi-FI"/>
        </w:rPr>
        <w:t>Uusi vuosituhat koittaa, kaikki tiet vievät Wieniin</w:t>
      </w:r>
    </w:p>
    <w:p w14:paraId="02E7845D" w14:textId="77777777" w:rsidR="008A4292" w:rsidRPr="00FB4EFA" w:rsidRDefault="008A4292" w:rsidP="00AF0CAD">
      <w:pPr>
        <w:rPr>
          <w:lang w:val="fi-FI"/>
        </w:rPr>
      </w:pPr>
      <w:r w:rsidRPr="00FB4EFA">
        <w:rPr>
          <w:lang w:val="fi-FI"/>
        </w:rPr>
        <w:t>Taloudellisen laman jälkeisestä lamaannuksesta ponnistavassa 1990-luvun lopun Suomessa ei ollut näköpiirissä vaihtoehtoa, joka olisi luontevasti mahdollistanut Johannan akateemisen uran jatkon ja osoitetun potentiaalin hyödyntämisen. Ovi uuteen ura- ja elämänvaiheeseen aukesi perinteikkäässä Wienin yliopistossa Euroopan sydämessä, jossa mai</w:t>
      </w:r>
      <w:r w:rsidRPr="00FB4EFA">
        <w:rPr>
          <w:lang w:val="fi-FI"/>
        </w:rPr>
        <w:lastRenderedPageBreak/>
        <w:t xml:space="preserve">neikas suomalais-ugrilaisen kielentutkimuksen unkarilaisprofessori Károly Rédei oli jäänyt eläkkeelle. Johanna haki tehtävää, Wienin yliopisto oivalsi tilaisuutensa ja rekrytoi sanavalmiin, älykkään ja kielitaitoisen professorin pohjoisesta. Oppituoli ei ollut ylipäätään fennougristinen, vaan unkari oli historiallisista syistä erityisasemassa, </w:t>
      </w:r>
      <w:r w:rsidRPr="00FB4EFA">
        <w:rPr>
          <w:i/>
          <w:iCs/>
          <w:lang w:val="fi-FI"/>
        </w:rPr>
        <w:t>mit Schwerpunkt auf Ungarisch</w:t>
      </w:r>
      <w:r w:rsidRPr="00FB4EFA">
        <w:rPr>
          <w:lang w:val="fi-FI"/>
        </w:rPr>
        <w:t>.</w:t>
      </w:r>
    </w:p>
    <w:p w14:paraId="06CDA08E" w14:textId="37589CBE" w:rsidR="008A4292" w:rsidRPr="00FB4EFA" w:rsidRDefault="008A4292" w:rsidP="00402EF4">
      <w:pPr>
        <w:ind w:firstLine="709"/>
        <w:rPr>
          <w:lang w:val="fi-FI"/>
        </w:rPr>
      </w:pPr>
      <w:r w:rsidRPr="00FB4EFA">
        <w:rPr>
          <w:lang w:val="fi-FI"/>
        </w:rPr>
        <w:t xml:space="preserve">Unkari ei ollut ongelma, vaan Johannalle pikemmin lisähoukutin. Kielitaito ja kirjallisuudenharrastus pääsivät oikeuksiinsa. Eniten oli järjesteltävää perheen ja kasvavien lasten tarpeiden huomioon ottamisessa. Viisijäseninen perhe seurasi mukana. Lapset omaksuivat sujuvasti itävallansaksan ja saattoivat huomauttaa Johannalle harvoista lipsahduksista saksankielisten sanojen kieliopillisen suvun valinnassa. Kahden maan välillä liikkuminen ei ollut kaikin tavoin helppoa, mutta Laakson ja </w:t>
      </w:r>
      <w:r w:rsidR="00AF0CAD" w:rsidRPr="00FB4EFA">
        <w:rPr>
          <w:lang w:val="fi-FI"/>
        </w:rPr>
        <w:br/>
      </w:r>
      <w:r w:rsidRPr="00FB4EFA">
        <w:rPr>
          <w:lang w:val="fi-FI"/>
        </w:rPr>
        <w:t>Marjamäkien perheessä siitä osattiin löytää myös hyvät puolet. Koko perhe asui useita vuosia lukukausien ja koulukuukausien ajan Wienissä, vapaa-ajat Vesivehmaalla. Kun perheen muut jäsenet palasivat muutaman vuoden kuluttua työ- ja kouluvalintojen takia takaisin Suomeen, Johanna jakoi aikansa Wienin, Vesivehmaan ja tutuksi tulleiden lentokenttäterminaalien välillä.</w:t>
      </w:r>
    </w:p>
    <w:p w14:paraId="199526FB" w14:textId="77777777" w:rsidR="008A4292" w:rsidRPr="00FB4EFA" w:rsidRDefault="008A4292" w:rsidP="00AF0CAD">
      <w:pPr>
        <w:ind w:firstLine="709"/>
        <w:rPr>
          <w:lang w:val="fi-FI"/>
        </w:rPr>
      </w:pPr>
      <w:r w:rsidRPr="00FB4EFA">
        <w:rPr>
          <w:lang w:val="fi-FI"/>
        </w:rPr>
        <w:t>Rohkea rajojen ylittäminen on ollut erottamaton osa Johannan elämää ja toimintaa. Ensinnäkin maantieteellisesti ja etenkin vuonna 2000, jolloin koko perhe vaihtoi Päijät-Hämeen peltomaisemat keskieurooppalaisen metropolin vilinään, mutta myös kaikkina seuranneina vuosina, jolloin koti- ja työmatkat ovat kerryttäneet pisteitä lentoyhtiöiden kanta-asiakaskorteille. Perheen palattua Suomeen Johanna selvisi uudesta isosta haasteesta hänelle ominaisella realistin rentoudellaan ja Hannun arvokkaalla tuella. Lasten teinivuosina syntyi Johannan maanläheistä elämänfilosofiaa heijasteleva motto: ”Näin se nyt vaan on, ja näillä mennään.” Siitä muodostui 2010-luvulla joksikin aikaa erinäisiä rajoja ylittänyt klassikkohokema EU:n seitsemännestä puiteohjelmasta rahoitetussa projektissa ELDIA (</w:t>
      </w:r>
      <w:r w:rsidRPr="00FB4EFA">
        <w:rPr>
          <w:i/>
          <w:iCs/>
          <w:lang w:val="fi-FI"/>
        </w:rPr>
        <w:t>European Language Diversity for All</w:t>
      </w:r>
      <w:r w:rsidRPr="00FB4EFA">
        <w:rPr>
          <w:lang w:val="fi-FI"/>
        </w:rPr>
        <w:t>).</w:t>
      </w:r>
    </w:p>
    <w:p w14:paraId="0A0528EB" w14:textId="77777777" w:rsidR="008A4292" w:rsidRPr="00FB4EFA" w:rsidRDefault="008A4292" w:rsidP="00402EF4">
      <w:pPr>
        <w:ind w:firstLine="709"/>
        <w:rPr>
          <w:lang w:val="fi-FI"/>
        </w:rPr>
      </w:pPr>
      <w:r w:rsidRPr="00FB4EFA">
        <w:rPr>
          <w:lang w:val="fi-FI"/>
        </w:rPr>
        <w:t>ELDIAn hektisinä vuosina 2010–2013 tieteidenväliset rajanylitykset tulivat Johannalle ja muillekin osallistuneille tuttua tutummiksi. Johanna kantoi päävastuun tämän toistaiseksi suurimman suomalais-ugrilaisia vähemmistökieliä tutkineen kansainvälisen ja monitieteisen EU-projektin massiivisesta tiedottamisesta, projektin kymmenien julkai</w:t>
      </w:r>
      <w:r w:rsidRPr="00FB4EFA">
        <w:rPr>
          <w:lang w:val="fi-FI"/>
        </w:rPr>
        <w:lastRenderedPageBreak/>
        <w:t>sujen toimittamisesta sekä Itävallassa puhuttavaa unkaria koskevasta tapaustutkimuksesta. Yhteen laskettuna erikielisiä, eri kohderyhmille tarkoitettuja ja erilaista viimeistelyä vaatineita toimitettuja julkaisuja, työryhmän kanssa koottuja tutkimusraportteja ja tiedotteita kertyi neljättäkymmentä.</w:t>
      </w:r>
    </w:p>
    <w:p w14:paraId="02FF7D61" w14:textId="77777777" w:rsidR="008A4292" w:rsidRPr="00FB4EFA" w:rsidRDefault="008A4292" w:rsidP="00AF0CAD">
      <w:pPr>
        <w:ind w:firstLine="709"/>
        <w:rPr>
          <w:rFonts w:cs="Times"/>
          <w:lang w:val="fi-FI"/>
        </w:rPr>
      </w:pPr>
      <w:r w:rsidRPr="00FB4EFA">
        <w:rPr>
          <w:lang w:val="fi-FI"/>
        </w:rPr>
        <w:t>Valtioiden rajat ylittyivät tiuhaan tahtiin, milloin Haaparannasta, milloin Spielfeld-Straßista. Matkojen mittaan, ennakkoluulottomalle luonteelleen uskollisesti, Johannan nähtiin tauottoman projektityöskentelyn lomassa tarttuvan tuoppiin ja pyörivän villin csárdásin pyörteissä slovenialaisen hiihtokeskuksen helteiseksi lämmitetyssä tuvassa. Pukeutumiskoodiksi oli annettu täysi talvivarustus, ja sellainen kaikilla eldialaisilla myös oli päällään tanssin pyörteissäkin. Johannan korkeasta työmoraalista ja sitkeydestä kertoo paljon se, että ELDIAn ohella hän oli vuosina 2009</w:t>
      </w:r>
      <w:r w:rsidRPr="00FB4EFA">
        <w:rPr>
          <w:rFonts w:cs="Times"/>
          <w:lang w:val="fi-FI"/>
        </w:rPr>
        <w:t>–2012 aktiivisesti mukana toisessa mittavassa kansainvälisessä tutkimushankkeessa, Euroopan tiedesäätiön rahoittamassa, obinugrilaisten kielten dokumentointiin keskittyneessä EuroBABEL-projektissa (</w:t>
      </w:r>
      <w:r w:rsidRPr="00FB4EFA">
        <w:rPr>
          <w:rFonts w:cs="Times"/>
          <w:i/>
          <w:iCs/>
          <w:lang w:val="fi-FI"/>
        </w:rPr>
        <w:t>Ob-Ugric languages: conceptual structures, lexicon, constructions, categories</w:t>
      </w:r>
      <w:r w:rsidRPr="00FB4EFA">
        <w:rPr>
          <w:rFonts w:cs="Times"/>
          <w:lang w:val="fi-FI"/>
        </w:rPr>
        <w:t>). Hanke tuotti nykyaikaisia lingvistisiä analyysejä erittäin uhanalaisten hantin ja mansin murteista ja saattoi runsaasti kieliaineistoja tutkijoiden käytettäväksi verkkoon.</w:t>
      </w:r>
    </w:p>
    <w:p w14:paraId="1E799E56" w14:textId="77777777" w:rsidR="008A4292" w:rsidRPr="00FB4EFA" w:rsidRDefault="008A4292" w:rsidP="00402EF4">
      <w:pPr>
        <w:ind w:firstLine="709"/>
        <w:rPr>
          <w:lang w:val="fi-FI"/>
        </w:rPr>
      </w:pPr>
      <w:r w:rsidRPr="00FB4EFA">
        <w:rPr>
          <w:lang w:val="fi-FI"/>
        </w:rPr>
        <w:t>Myöhempinä Wienin-vuosina yhdeksi Johannan omimmista yhteiskunnallisen keskustelemisen muodoista on muodostunut terävä ja analyyttinen bloggaaminen. Blogeissaan Johanna valistaa kielistä ja kielentutkimuksesta ja ottaa railakkaasti kantaa niin tieteen tuloksia vääristävää huuhaata ja homeopatioita kuin eurooppalaisten yhteiskuntien epädemokratisoitumistakin vastaan. Aina näkemyksellisesti, tarvittaessa kärkevästikin.</w:t>
      </w:r>
    </w:p>
    <w:p w14:paraId="3ABC0BE5" w14:textId="77777777" w:rsidR="008A4292" w:rsidRPr="00FB4EFA" w:rsidRDefault="008A4292" w:rsidP="00402EF4">
      <w:pPr>
        <w:ind w:firstLine="709"/>
        <w:rPr>
          <w:lang w:val="fi-FI"/>
        </w:rPr>
      </w:pPr>
      <w:r w:rsidRPr="00FB4EFA">
        <w:rPr>
          <w:lang w:val="fi-FI"/>
        </w:rPr>
        <w:t>Poliittisen korrektiuden rajoilla liikuskelee helposti se, joka ilmaisee rohkeasti mielipiteensä, vaikka muut vaikenevat. Johannan alter egoa Sentrooppa-Santraa unkarintaidottomien tai laiskemmin maailmanpolitiikkaa seuraavien on kiittäminen siitä, mitä tiedämme Unkarin yhteiskunnallisen tilanteen kehityksestä. Kun vielä 1990-luvulla ja 2000-luvun alkuvuosina Johanna mieluiten jakoi ajatuksiaan ystäville ja kollegoille pitkien sähköpostiviestien muodossa, 2000-luvun edetessä hän siirtyi sujuvasti sosiaalisen median maailmaan. Verkostoituminen tapahtui siel</w:t>
      </w:r>
      <w:r w:rsidRPr="00FB4EFA">
        <w:rPr>
          <w:lang w:val="fi-FI"/>
        </w:rPr>
        <w:lastRenderedPageBreak/>
        <w:t>läkin tehokkaasti ja alkoi käydä monipuolinen ajatuksenvaihto erilaisilla foorumeilla.</w:t>
      </w:r>
    </w:p>
    <w:p w14:paraId="5B211D54" w14:textId="167CF440" w:rsidR="008A4292" w:rsidRPr="00FB4EFA" w:rsidRDefault="008A4292" w:rsidP="00402EF4">
      <w:pPr>
        <w:ind w:firstLine="709"/>
        <w:rPr>
          <w:lang w:val="fi-FI"/>
        </w:rPr>
      </w:pPr>
      <w:r w:rsidRPr="00FB4EFA">
        <w:rPr>
          <w:lang w:val="fi-FI"/>
        </w:rPr>
        <w:t xml:space="preserve">Keskellä Eurooppaa sijaitseva Wien on Euroopan historian lisäksi myös suomalais-ugrilaisten kielten tutkimuksen kannalta merkittävä keskus. Vaikka fennougristiikka on lähtökohtaisesti ja perinteiltään hyvin kansainvälinen ala, eri instituutioiden ja yliopistojen painotukset vaihtelevat. Wienissä painopiste on ollut maantieteellisesti ja historiallisesti läheisessä Unkarissa. Monessa kieliympäristössä viihtyvälle Johannalle mikään ei olisi ollut luontevampaa kuin tuoda oma asiantuntemus saksan- ja unkarinkieliseen ympäristöön, jossa useita kieliä voi käyttää rinnakkain. Saksassa ja unkarissa hänellä oli jo entuudestaan erinomainen suullinen ja kirjallinen taito, ja fennougristiikan antoisia </w:t>
      </w:r>
      <w:r w:rsidR="003156A5" w:rsidRPr="00FB4EFA">
        <w:rPr>
          <w:lang w:val="fi-FI"/>
        </w:rPr>
        <w:t xml:space="preserve">käytänteitä </w:t>
      </w:r>
      <w:r w:rsidRPr="00FB4EFA">
        <w:rPr>
          <w:lang w:val="fi-FI"/>
        </w:rPr>
        <w:t>noudattaen hän oli tottunut hyödyntämään ja arvioimaan sekä saksaksi että unkariksi ilmestyvää tutkimusta. Niiden ohella englanti, suomi ja viro ovat olleet jatkuvasti käytössä arkisina työkielinä, tarvittaessa höystettynä vielä muillakin.</w:t>
      </w:r>
    </w:p>
    <w:p w14:paraId="206F0C77" w14:textId="77777777" w:rsidR="008A4292" w:rsidRPr="00FB4EFA" w:rsidRDefault="008A4292" w:rsidP="00402EF4">
      <w:pPr>
        <w:ind w:firstLine="709"/>
        <w:rPr>
          <w:lang w:val="fi-FI"/>
        </w:rPr>
      </w:pPr>
      <w:r w:rsidRPr="00FB4EFA">
        <w:rPr>
          <w:lang w:val="fi-FI"/>
        </w:rPr>
        <w:t>Johannan opetustyötä luonnehtii sama kielitieteen aloja ja lähestymistapoja yhdistävä avarakatseisuus kuin hänen tutkimustaankin. Suomalais-ugrilaisen kielihistorian lisäksi hän on sekä opetuksessaan että tutkimuksessaan käsitellyt myös sosiolingvistiikassa keskeisiä sukupuolentutkimuksen kysymyksiä sekä monikielisyyttä, vähemmistökieliä ja niiden puhujien oikeuksia.</w:t>
      </w:r>
    </w:p>
    <w:p w14:paraId="5F3DE8C0" w14:textId="261C2DC6" w:rsidR="008A4292" w:rsidRPr="00FB4EFA" w:rsidRDefault="008A4292" w:rsidP="00AF0CAD">
      <w:pPr>
        <w:ind w:firstLine="709"/>
        <w:rPr>
          <w:lang w:val="fi-FI"/>
        </w:rPr>
      </w:pPr>
      <w:r w:rsidRPr="00FB4EFA">
        <w:rPr>
          <w:lang w:val="fi-FI"/>
        </w:rPr>
        <w:t>Johannan mittavat ansiot on myös noteerattu tiedemaailmassa monella tavalla: hänet on kutsuttu sekä Suomen että Itävallan tiedeakatemioiden sekä Academia Europaean jäseneksi. Marraskuussa 2021 unkarilainen Szegedin yliopisto kunnioitti Johannan elämäntyötä fennougristiikan ja erityisesti unkarin kielen lähettiläänä ja aktiivisena tieteellisenä keskustelijana nimittämällä hänet kunniatohtoriksi yliopiston 100-vuotisjuhlan yhteydessä. Elämäntyö ja yhteistyöhankkeet jatkuvat: maaliskuussa 2022 näk</w:t>
      </w:r>
      <w:r w:rsidR="00166902" w:rsidRPr="00FB4EFA">
        <w:rPr>
          <w:lang w:val="fi-FI"/>
        </w:rPr>
        <w:t>i</w:t>
      </w:r>
      <w:r w:rsidRPr="00FB4EFA">
        <w:rPr>
          <w:lang w:val="fi-FI"/>
        </w:rPr>
        <w:t xml:space="preserve"> päivänvalon massiivinen opus </w:t>
      </w:r>
      <w:r w:rsidRPr="00FB4EFA">
        <w:rPr>
          <w:i/>
          <w:iCs/>
          <w:lang w:val="fi-FI"/>
        </w:rPr>
        <w:t>Oxford Guide to the Uralic Languages</w:t>
      </w:r>
      <w:r w:rsidRPr="00FB4EFA">
        <w:rPr>
          <w:lang w:val="fi-FI"/>
        </w:rPr>
        <w:t>, jonka vuosia kestäneessä toimitusprosessissa ja verkoston keskellä häärivänä monitoimijana Johannan rooli yhtenä kolmesta toimittajasta on ollut korvaamaton.</w:t>
      </w:r>
    </w:p>
    <w:p w14:paraId="6516FE71" w14:textId="77777777" w:rsidR="008A4292" w:rsidRPr="00FB4EFA" w:rsidRDefault="008A4292" w:rsidP="00545033">
      <w:pPr>
        <w:pStyle w:val="Heading2"/>
        <w:suppressAutoHyphens/>
        <w:spacing w:line="259" w:lineRule="auto"/>
        <w:rPr>
          <w:color w:val="auto"/>
          <w:lang w:val="fi-FI"/>
        </w:rPr>
      </w:pPr>
      <w:r w:rsidRPr="00FB4EFA">
        <w:rPr>
          <w:color w:val="auto"/>
          <w:lang w:val="fi-FI"/>
        </w:rPr>
        <w:lastRenderedPageBreak/>
        <w:t>Johanna Laakson tutkijanuran ydin: sana tieteellisistä julkaisuista</w:t>
      </w:r>
    </w:p>
    <w:p w14:paraId="3E2C1615" w14:textId="72E00F87" w:rsidR="008A4292" w:rsidRPr="00FB4EFA" w:rsidRDefault="008A4292" w:rsidP="00402EF4">
      <w:pPr>
        <w:rPr>
          <w:lang w:val="fi-FI"/>
        </w:rPr>
      </w:pPr>
      <w:r w:rsidRPr="00FB4EFA">
        <w:rPr>
          <w:lang w:val="fi-FI"/>
        </w:rPr>
        <w:t>Yksittäisen tutkijan tieteellistä toimintaa arvioitaessa päähuomio kiinnittyy usein julkaistuihin tutkimuksiin. Tarkemmin katsoen tieteellinen toiminta ja aktiivinen julkaiseminen tarkoittavat paljon muutakin kuin omissa nimissä ilmestyvien julkaisujen tehtailua. Johanna Laakson tieteelliselle profiilille on luonteenomaista tutkimuksen ja julkaisemisen kokonaisvaltainen hallinta, kirjoittamisen helppous ja monilla kielillä ilmestyneiden julkaisujen runsaus. Hänen viidellä eri vuosikymmenellä ilmestyneet julkaisunsa ovat syntyneet olemalla jatkuvasti mukana artikkelien, kirjoitusten, ja kirjojen toimitustyössä ja arvioinnissa, järjestämällä seminaareja, osallistumalla konferensseihin</w:t>
      </w:r>
      <w:r w:rsidR="003156A5" w:rsidRPr="00FB4EFA">
        <w:rPr>
          <w:lang w:val="fi-FI"/>
        </w:rPr>
        <w:t>,</w:t>
      </w:r>
      <w:r w:rsidRPr="00FB4EFA">
        <w:rPr>
          <w:lang w:val="fi-FI"/>
        </w:rPr>
        <w:t xml:space="preserve"> ja aktiivisella roolilla tiedeyhteisössä. Käsikirjoitusten tekninen valmius, viimeistelyn tarve, kieliasu ja kielentarkistus sekä ei-äidinkielisten kirjoittajien tekstien kielenhuolto ovat osa tieteellisten julkaisujen pitkää prosessia, eikä yhtään vaihetta sovi laiminlyödä. Johannan monipuolisesta tutkijankapasiteetista on ollut jatkuvaa iloa ja hyötyä lukemattomille muille tutkijoille.</w:t>
      </w:r>
    </w:p>
    <w:p w14:paraId="3C580616" w14:textId="66C6DFF5" w:rsidR="008A4292" w:rsidRPr="00FB4EFA" w:rsidRDefault="008A4292" w:rsidP="00402EF4">
      <w:pPr>
        <w:ind w:firstLine="709"/>
        <w:rPr>
          <w:lang w:val="fi-FI"/>
        </w:rPr>
      </w:pPr>
      <w:r w:rsidRPr="00FB4EFA">
        <w:rPr>
          <w:lang w:val="fi-FI"/>
        </w:rPr>
        <w:t xml:space="preserve">Laaja lingvistinen lukeneisuus ja suomalais-ugrilaisen kielentutkimuksen sekä kansallisten kielten, etenkin suomen, viron ja unkarin tutkimustraditioiden tuntemus limittyvät Johannan kirjoituksissa ja julkaisuissa. Tieteestä kirjoittaminen, ilmestyneiden kirjojen esittely muille tutkijoille ja tieteellisiin argumentteihin perustuvien näkemysten </w:t>
      </w:r>
      <w:r w:rsidR="003156A5" w:rsidRPr="00FB4EFA">
        <w:rPr>
          <w:lang w:val="fi-FI"/>
        </w:rPr>
        <w:t xml:space="preserve">välittäminen </w:t>
      </w:r>
      <w:r w:rsidRPr="00FB4EFA">
        <w:rPr>
          <w:lang w:val="fi-FI"/>
        </w:rPr>
        <w:t>laajalle yleisölle, näistä lähtökohdista syntyneet kirjoitukset palvelevat hyvin monenlaisia lukijoita. Johannan julkaisuluettelo sisältää lähes kolmesataa nimekettä, niiden yksityiskohtainen luettelointi on ylivoimainen tehtävä. Joitakin yleisiä havaintoja on kuitenkin paikallaan esittää.</w:t>
      </w:r>
    </w:p>
    <w:p w14:paraId="17EE4765" w14:textId="77777777" w:rsidR="008A4292" w:rsidRPr="00FB4EFA" w:rsidRDefault="008A4292" w:rsidP="00402EF4">
      <w:pPr>
        <w:ind w:firstLine="709"/>
        <w:rPr>
          <w:lang w:val="fi-FI"/>
        </w:rPr>
      </w:pPr>
      <w:r w:rsidRPr="00FB4EFA">
        <w:rPr>
          <w:lang w:val="fi-FI"/>
        </w:rPr>
        <w:t>Vuosituhannen taite ja siirtyminen Wienin yliopistoon merkitsivät taitekohtaa myös Johannan julkaisutoiminnassa. Ennen sitä valmistuneet tutkimukset ja toimitteet asettuivat tukevasti itämerensuomalaisten kielten ja laajemmin fennougristiikan alueelle. Tilaisuuden tullen myös lähialojen, erityisesti yleisen kielitieteen ja slavistiikan ääni tuli kirjoituksissa kuuluviin. Erityisen runsaasti ilmestyi kirja-arvosteluita ja esittelyjä sekä yleistajuisia kirjoituksia, yhteensä yli viisikymmentä. Luonteenomaisempaa hänen julkaisuilleen on taitavassa sanallisessa argumentaa</w:t>
      </w:r>
      <w:r w:rsidRPr="00FB4EFA">
        <w:rPr>
          <w:lang w:val="fi-FI"/>
        </w:rPr>
        <w:lastRenderedPageBreak/>
        <w:t>tiossa heijastuva laaja lukeneisuus yksittäisten lingvististen piirteiden ruotimisen sijaan. Silti esimerkiksi kirja-arvosteluissa laaja-alainen taustatieto ilmenee toistuvasti juuri yksityiskohtien kriittisenä tarkasteluna.</w:t>
      </w:r>
    </w:p>
    <w:p w14:paraId="2B35B985" w14:textId="2DEB3EB6" w:rsidR="008A4292" w:rsidRPr="00FB4EFA" w:rsidRDefault="008A4292" w:rsidP="00AF0CAD">
      <w:pPr>
        <w:ind w:firstLine="709"/>
        <w:rPr>
          <w:lang w:val="fi-FI"/>
        </w:rPr>
      </w:pPr>
      <w:r w:rsidRPr="00FB4EFA">
        <w:rPr>
          <w:lang w:val="fi-FI"/>
        </w:rPr>
        <w:t xml:space="preserve">Kiinnostus itämerensuomalaisiin kieliin on karttuva aihepiiri </w:t>
      </w:r>
      <w:r w:rsidR="00EC1F7F" w:rsidRPr="00FB4EFA">
        <w:rPr>
          <w:lang w:val="fi-FI"/>
        </w:rPr>
        <w:br/>
      </w:r>
      <w:r w:rsidRPr="00FB4EFA">
        <w:rPr>
          <w:lang w:val="fi-FI"/>
        </w:rPr>
        <w:t>Johannan 2000-luvunkin julkaisuissa (</w:t>
      </w:r>
      <w:r w:rsidRPr="00FB4EFA">
        <w:rPr>
          <w:i/>
          <w:iCs/>
          <w:lang w:val="fi-FI"/>
        </w:rPr>
        <w:t xml:space="preserve">The Finnic area revisited: </w:t>
      </w:r>
      <w:r w:rsidR="00EC1F7F" w:rsidRPr="00FB4EFA">
        <w:rPr>
          <w:i/>
          <w:iCs/>
          <w:lang w:val="fi-FI"/>
        </w:rPr>
        <w:br/>
      </w:r>
      <w:r w:rsidRPr="00FB4EFA">
        <w:rPr>
          <w:i/>
          <w:iCs/>
          <w:lang w:val="fi-FI"/>
        </w:rPr>
        <w:t>convergence and divergence</w:t>
      </w:r>
      <w:r w:rsidRPr="00FB4EFA">
        <w:rPr>
          <w:lang w:val="fi-FI"/>
        </w:rPr>
        <w:t xml:space="preserve"> (2003)), mutta yleisemmin fennougrististen kirjoitusten suhteellinen osuus kasvaa, usein esimerkiksi morfologiasta tai taivutusmorfologiasta lähemmin selkoa tehden (</w:t>
      </w:r>
      <w:r w:rsidRPr="00FB4EFA">
        <w:rPr>
          <w:i/>
          <w:iCs/>
          <w:lang w:val="fi-FI"/>
        </w:rPr>
        <w:t xml:space="preserve">Vergleichende </w:t>
      </w:r>
      <w:r w:rsidR="00EC1F7F" w:rsidRPr="00FB4EFA">
        <w:rPr>
          <w:i/>
          <w:iCs/>
          <w:lang w:val="fi-FI"/>
        </w:rPr>
        <w:br/>
      </w:r>
      <w:r w:rsidRPr="00FB4EFA">
        <w:rPr>
          <w:i/>
          <w:iCs/>
          <w:lang w:val="fi-FI"/>
        </w:rPr>
        <w:t>finnisch-ugrische Morphologie</w:t>
      </w:r>
      <w:r w:rsidRPr="00FB4EFA">
        <w:rPr>
          <w:lang w:val="fi-FI"/>
        </w:rPr>
        <w:t xml:space="preserve"> (2006)). Laajin tämän lajin hanke on epäilemättä 2010-luvun jälkipuoliskolla laajan kirjoittajakunnan kanssa toteutettu, edellä mainittu uralistiikan käsikirja, jonka hermokeskus Johanna on ollut hoitamalla kirjoitusten tallennuksen, toimittamalla jokaisen kirjoituksen toimittajakollegoidensa kanssa ja lopulta täydentämällä vajaita kokonaisuuksia liittymällä itse kirjoittajakaartiin.</w:t>
      </w:r>
    </w:p>
    <w:p w14:paraId="471AF643" w14:textId="77777777" w:rsidR="008A4292" w:rsidRPr="00FB4EFA" w:rsidRDefault="008A4292" w:rsidP="00402EF4">
      <w:pPr>
        <w:ind w:firstLine="709"/>
        <w:rPr>
          <w:lang w:val="fi-FI"/>
        </w:rPr>
      </w:pPr>
      <w:r w:rsidRPr="00FB4EFA">
        <w:rPr>
          <w:lang w:val="fi-FI"/>
        </w:rPr>
        <w:t>Vuodet Wienissä ovat tuoneet Johannan tuotantoon useita uusia suuntauksia. Ensin unkarin kieli ja Unkari, johon oppituolin perinteet velvoittivat. Unkarista tuli vakioaihe hänen vapaamman tyylin kirjoituksilleen. Samanaikaisesti tuli mukaan kysymys kielen ja kirjallisuuden suhteesta, jo opiskeluaikana pohdintaa herättänyt pähkinä, missä määrin suomalais-ugrilainen kielentutkimus ja suomalais-ugrilaisilla kielillä ilmestyvä kirjallisuus ilmentävät samaa asiaa. Eräät suomalais-ugrilaisen kielentutkimuksen professorit olivat jo aikaisemmin tunteneet vastuuta kääntämisestä ja vähemmän tunnetuilla suomalais-ugrilaisilla kielillä kirjoitetun kirjallisuuden välittämisestä muunkieliselle lukijakunnalle. Mutta Johanna on ainoita oman sukupolvensa fennougristilingvistejä, joka on kehittänyt aihepiirin käsittelyä. Kirjallisuuden parissa viihtyvän kielentutkijan horisontti laajeni edelleen yleisempään pohdintaan kielen ja kulttuurin suhteesta.</w:t>
      </w:r>
    </w:p>
    <w:p w14:paraId="70664519" w14:textId="32C412E8" w:rsidR="008A4292" w:rsidRPr="00FB4EFA" w:rsidRDefault="008A4292" w:rsidP="00AF0CAD">
      <w:pPr>
        <w:ind w:firstLine="709"/>
        <w:rPr>
          <w:lang w:val="fi-FI"/>
        </w:rPr>
      </w:pPr>
      <w:r w:rsidRPr="00FB4EFA">
        <w:rPr>
          <w:lang w:val="fi-FI"/>
        </w:rPr>
        <w:t xml:space="preserve">Täysin uusi aluevaltaus löytyi gendertutkimuksen puolelta. Tieteen rajanylitykset, folkloristinen perintö ja pohdinnat sukupuolesta ja toiseudesta suomalais-ugrilaisessa kontekstissa </w:t>
      </w:r>
      <w:r w:rsidR="0029224A" w:rsidRPr="00FB4EFA">
        <w:rPr>
          <w:lang w:val="fi-FI"/>
        </w:rPr>
        <w:t xml:space="preserve">innostivat </w:t>
      </w:r>
      <w:r w:rsidRPr="00FB4EFA">
        <w:rPr>
          <w:lang w:val="fi-FI"/>
        </w:rPr>
        <w:t xml:space="preserve">kirjoittamaan kirjan </w:t>
      </w:r>
      <w:r w:rsidRPr="00FB4EFA">
        <w:rPr>
          <w:i/>
          <w:iCs/>
          <w:lang w:val="fi-FI"/>
        </w:rPr>
        <w:t>Our otherness</w:t>
      </w:r>
      <w:r w:rsidRPr="00FB4EFA">
        <w:rPr>
          <w:lang w:val="fi-FI"/>
        </w:rPr>
        <w:t xml:space="preserve">: </w:t>
      </w:r>
      <w:r w:rsidRPr="00FB4EFA">
        <w:rPr>
          <w:i/>
          <w:iCs/>
          <w:lang w:val="fi-FI"/>
        </w:rPr>
        <w:t>Finno-Ugrian Approaches to Women’s Studies or vice versa</w:t>
      </w:r>
      <w:r w:rsidRPr="00FB4EFA">
        <w:rPr>
          <w:lang w:val="fi-FI"/>
        </w:rPr>
        <w:t xml:space="preserve"> (2005). Kirjan johdannossa Johanna tunnustaa olleensa koko ikänsä feministi, mutta sanoutuu samalla irti mistään formaalista feminismin tulkinnasta. Feminismi asettuu osaksi suomalais-ugrilaista perinnettä, nykykielten leksikografiaa ja nimijärjestelmiä. Samaan aihepiiriin Johan</w:t>
      </w:r>
      <w:r w:rsidRPr="00FB4EFA">
        <w:rPr>
          <w:lang w:val="fi-FI"/>
        </w:rPr>
        <w:lastRenderedPageBreak/>
        <w:t>na palasi vielä noin kymmenessä muussakin kirjoituksessaan ja toimitteessaan.</w:t>
      </w:r>
    </w:p>
    <w:p w14:paraId="1E75CB57" w14:textId="777CB65D" w:rsidR="008A4292" w:rsidRPr="00FB4EFA" w:rsidRDefault="008A4292" w:rsidP="00AF0CAD">
      <w:pPr>
        <w:ind w:firstLine="709"/>
        <w:rPr>
          <w:lang w:val="fi-FI"/>
        </w:rPr>
      </w:pPr>
      <w:r w:rsidRPr="00FB4EFA">
        <w:rPr>
          <w:lang w:val="fi-FI"/>
        </w:rPr>
        <w:t xml:space="preserve">Monikielistä suomalais-ugrilaista perintöä vaalivan oppituolin haltijana Johanna otti ohjelmaansa myös suomalais-ugrilaisten kielten opetusta koskevan tutkimuksen edistämisen. Suomi, unkari ja viro kakkoskielinä, kontrastiivisesta tutkimusperinteestä </w:t>
      </w:r>
      <w:r w:rsidR="0029224A" w:rsidRPr="00FB4EFA">
        <w:rPr>
          <w:lang w:val="fi-FI"/>
        </w:rPr>
        <w:t xml:space="preserve">kasvaneena aiheena </w:t>
      </w:r>
      <w:r w:rsidRPr="00FB4EFA">
        <w:rPr>
          <w:lang w:val="fi-FI"/>
        </w:rPr>
        <w:t xml:space="preserve">on samalla viesti tiedehallinnolle. On monta syytä ja tapaa edistää suomalais-ugrilaisten kielten opetusta, mutta tuekseen ne tarvitsevat myös julkaisuja, ja mm. </w:t>
      </w:r>
      <w:r w:rsidRPr="00FB4EFA">
        <w:rPr>
          <w:i/>
          <w:iCs/>
          <w:lang w:val="fi-FI"/>
        </w:rPr>
        <w:t>Lähivõrdlusi</w:t>
      </w:r>
      <w:r w:rsidR="00806136" w:rsidRPr="00FB4EFA">
        <w:rPr>
          <w:i/>
          <w:iCs/>
          <w:lang w:val="fi-FI"/>
        </w:rPr>
        <w:t>. Lähivertailuja</w:t>
      </w:r>
      <w:r w:rsidRPr="00FB4EFA">
        <w:rPr>
          <w:lang w:val="fi-FI"/>
        </w:rPr>
        <w:t>-sarja on saanut usean numeron verran täydennystä Johannan toimittajantaitojen avulla.</w:t>
      </w:r>
    </w:p>
    <w:p w14:paraId="1883E692" w14:textId="77777777" w:rsidR="00D418BA" w:rsidRPr="00FB4EFA" w:rsidRDefault="008A4292" w:rsidP="00AF0CAD">
      <w:pPr>
        <w:ind w:firstLine="709"/>
        <w:rPr>
          <w:lang w:val="fi-FI"/>
        </w:rPr>
      </w:pPr>
      <w:r w:rsidRPr="00FB4EFA">
        <w:rPr>
          <w:lang w:val="fi-FI"/>
        </w:rPr>
        <w:t xml:space="preserve">Tämä onnittelukatsaus on kirjoitettu aikana, jolloin fennougristiyhteisö odottaa, että kaksi kertaa siirretty kolmastoista kansainvälinen fennougristikongressi, </w:t>
      </w:r>
      <w:r w:rsidRPr="00FB4EFA">
        <w:rPr>
          <w:i/>
          <w:iCs/>
          <w:lang w:val="fi-FI"/>
        </w:rPr>
        <w:t>Congressus XIII Internationalis Fenno-Ugristarum</w:t>
      </w:r>
      <w:r w:rsidRPr="00FB4EFA">
        <w:rPr>
          <w:lang w:val="fi-FI"/>
        </w:rPr>
        <w:t xml:space="preserve"> voisi toteutua elokuussa 2022. Tutkimus jatkuu ja saa uusia suuntia, mutta fennougristisella tutkimuksella on myös pitkät linjansa ja yli tutkijapolvien kantavat teemat. Johanna Laakson pitkäjänteinen työ on erinomainen esimerkki humanistisen ja fennougristisen perustutkimuksen monipuolisuudesta ja kestävyydestä, joka välipysäkin saavutettuaan jatkaa taas etenemistään.</w:t>
      </w:r>
    </w:p>
    <w:p w14:paraId="17313AF2" w14:textId="77777777" w:rsidR="00D418BA" w:rsidRPr="00FB4EFA" w:rsidRDefault="00D418BA" w:rsidP="00402EF4">
      <w:pPr>
        <w:spacing w:after="160"/>
        <w:jc w:val="center"/>
        <w:rPr>
          <w:smallCaps/>
          <w:sz w:val="48"/>
          <w:szCs w:val="48"/>
          <w:lang w:val="fi-FI"/>
        </w:rPr>
        <w:sectPr w:rsidR="00D418BA" w:rsidRPr="00FB4EFA" w:rsidSect="000D4762">
          <w:headerReference w:type="even" r:id="rId26"/>
          <w:headerReference w:type="default" r:id="rId27"/>
          <w:headerReference w:type="first" r:id="rId28"/>
          <w:footnotePr>
            <w:numRestart w:val="eachSect"/>
          </w:footnotePr>
          <w:pgSz w:w="9180" w:h="13302"/>
          <w:pgMar w:top="779" w:right="1133" w:bottom="1132" w:left="1133" w:header="744" w:footer="720" w:gutter="0"/>
          <w:cols w:space="720"/>
          <w:titlePg/>
          <w:docGrid w:linePitch="299"/>
        </w:sectPr>
      </w:pPr>
    </w:p>
    <w:p w14:paraId="56AF0977" w14:textId="4C46206B" w:rsidR="00D418BA" w:rsidRPr="00FB4EFA" w:rsidRDefault="00D418BA" w:rsidP="00AF0CAD">
      <w:pPr>
        <w:pStyle w:val="Authors"/>
        <w:spacing w:line="259" w:lineRule="auto"/>
        <w:rPr>
          <w:color w:val="auto"/>
          <w:lang w:val="fi-FI"/>
        </w:rPr>
      </w:pPr>
      <w:r w:rsidRPr="00FB4EFA">
        <w:rPr>
          <w:color w:val="auto"/>
          <w:lang w:val="fi-FI"/>
        </w:rPr>
        <w:lastRenderedPageBreak/>
        <w:t>Erzsébet Barát</w:t>
      </w:r>
    </w:p>
    <w:p w14:paraId="140AF2E0" w14:textId="77777777" w:rsidR="00D418BA" w:rsidRPr="00FB4EFA" w:rsidRDefault="00D418BA" w:rsidP="00402EF4">
      <w:pPr>
        <w:rPr>
          <w:lang w:val="fi-FI"/>
        </w:rPr>
      </w:pPr>
    </w:p>
    <w:p w14:paraId="28069ACE" w14:textId="4AC34B8A" w:rsidR="008A4292" w:rsidRPr="00FB4EFA" w:rsidRDefault="00D418BA" w:rsidP="00994E2A">
      <w:pPr>
        <w:pStyle w:val="Heading1"/>
        <w:suppressAutoHyphens/>
        <w:spacing w:line="259" w:lineRule="auto"/>
        <w:rPr>
          <w:color w:val="auto"/>
          <w:lang w:val="en-IE"/>
        </w:rPr>
      </w:pPr>
      <w:bookmarkStart w:id="7" w:name="_Ref93763616"/>
      <w:r w:rsidRPr="00FB4EFA">
        <w:rPr>
          <w:color w:val="auto"/>
          <w:lang w:val="en-IE"/>
        </w:rPr>
        <w:t xml:space="preserve">Johanna and cats – </w:t>
      </w:r>
      <w:r w:rsidR="007F1A91" w:rsidRPr="00FB4EFA">
        <w:rPr>
          <w:color w:val="auto"/>
          <w:lang w:val="en-IE"/>
        </w:rPr>
        <w:br/>
      </w:r>
      <w:r w:rsidRPr="00FB4EFA">
        <w:rPr>
          <w:color w:val="auto"/>
          <w:lang w:val="en-IE"/>
        </w:rPr>
        <w:t>Queer encounters of ahuman care</w:t>
      </w:r>
      <w:bookmarkEnd w:id="7"/>
    </w:p>
    <w:p w14:paraId="457F3829" w14:textId="77777777" w:rsidR="000121EA" w:rsidRPr="00FB4EFA" w:rsidRDefault="001B3BDD" w:rsidP="00545033">
      <w:pPr>
        <w:pStyle w:val="Heading2"/>
        <w:suppressAutoHyphens/>
        <w:spacing w:line="259" w:lineRule="auto"/>
        <w:rPr>
          <w:color w:val="auto"/>
          <w:lang w:val="en-IE"/>
        </w:rPr>
      </w:pPr>
      <w:bookmarkStart w:id="8" w:name="_Hlk93595800"/>
      <w:r w:rsidRPr="00FB4EFA">
        <w:rPr>
          <w:color w:val="auto"/>
          <w:lang w:val="en-IE"/>
        </w:rPr>
        <w:t>The autobiographical subject</w:t>
      </w:r>
    </w:p>
    <w:p w14:paraId="0A514134" w14:textId="77777777" w:rsidR="000121EA" w:rsidRPr="00FB4EFA" w:rsidRDefault="001B3BDD" w:rsidP="00402EF4">
      <w:pPr>
        <w:rPr>
          <w:lang w:val="en-IE"/>
        </w:rPr>
      </w:pPr>
      <w:r w:rsidRPr="00FB4EFA">
        <w:rPr>
          <w:lang w:val="en-IE"/>
        </w:rPr>
        <w:t>To celebrate Johanna Laakso’s scholarly achievements, I’d like to talk about values (marked for plural intentionally) in relation to gender(ing) and cats. They may seem like odd associates at first sight. Indeed, both have their own set of values to tell them apart, but in my reading, once seen as of equal appreciation, they may challenge the multiple hegemonic ideologies that compete with one another in their shared aim to devalue womanhood.</w:t>
      </w:r>
    </w:p>
    <w:p w14:paraId="3D18023F" w14:textId="2ABBC2B9" w:rsidR="001B3BDD" w:rsidRPr="00FB4EFA" w:rsidRDefault="001B3BDD" w:rsidP="00402EF4">
      <w:pPr>
        <w:ind w:firstLine="709"/>
        <w:rPr>
          <w:lang w:val="en-IE"/>
        </w:rPr>
      </w:pPr>
      <w:r w:rsidRPr="00FB4EFA">
        <w:rPr>
          <w:lang w:val="en-IE"/>
        </w:rPr>
        <w:t xml:space="preserve">That Johanna is a natural lover of cats, or rather, that she cares in the queer sense of the term for their equally unique subjectivity, I could learn when teaching in the English and American Studies and Finno-Ugric Studies Departments as the Käthe Leichter Visiting Professor at the </w:t>
      </w:r>
      <w:r w:rsidR="00D63559" w:rsidRPr="00FB4EFA">
        <w:rPr>
          <w:lang w:val="en-IE"/>
        </w:rPr>
        <w:br/>
      </w:r>
      <w:r w:rsidRPr="00FB4EFA">
        <w:rPr>
          <w:lang w:val="en-IE"/>
        </w:rPr>
        <w:t xml:space="preserve">University of Vienna in 2013. She generously rushed to my rescue and offered to act as ‘foster parent’ for my Russian </w:t>
      </w:r>
      <w:r w:rsidR="00D63559" w:rsidRPr="00FB4EFA">
        <w:rPr>
          <w:lang w:val="en-IE"/>
        </w:rPr>
        <w:t>B</w:t>
      </w:r>
      <w:r w:rsidRPr="00FB4EFA">
        <w:rPr>
          <w:lang w:val="en-IE"/>
        </w:rPr>
        <w:t>lue, Juci, whom I was forbidden to cohabit with under the same roof in my university apartment. So, I situate the article in my autobiographical trajectory that makes Johanna and Juci’s friendship of equal value with that of my and Juci’s co-existence for nearly eighteen years. We could argue from a queer post-humanism perspective</w:t>
      </w:r>
      <w:r w:rsidR="00D63559" w:rsidRPr="00FB4EFA">
        <w:rPr>
          <w:lang w:val="en-IE"/>
        </w:rPr>
        <w:t xml:space="preserve"> that</w:t>
      </w:r>
      <w:r w:rsidRPr="00FB4EFA">
        <w:rPr>
          <w:lang w:val="en-IE"/>
        </w:rPr>
        <w:t xml:space="preserve"> Johanna’s decision to invite Juci to live with her was an act challenging the university housing administration’s anthropocentric law </w:t>
      </w:r>
      <w:r w:rsidR="003D08E2" w:rsidRPr="00FB4EFA">
        <w:rPr>
          <w:lang w:val="en-IE"/>
        </w:rPr>
        <w:t>which</w:t>
      </w:r>
      <w:r w:rsidRPr="00FB4EFA">
        <w:rPr>
          <w:lang w:val="en-IE"/>
        </w:rPr>
        <w:t xml:space="preserve"> clearly saw Juci as expendable because in their judgement she was of no or not sufficient use for my ‘human entertainment’ and so she was at best some inevitable collateral damage that </w:t>
      </w:r>
      <w:r w:rsidR="003D08E2" w:rsidRPr="00FB4EFA">
        <w:rPr>
          <w:lang w:val="en-IE"/>
        </w:rPr>
        <w:t>was</w:t>
      </w:r>
      <w:r w:rsidRPr="00FB4EFA">
        <w:rPr>
          <w:lang w:val="en-IE"/>
        </w:rPr>
        <w:t xml:space="preserve"> worth inflicting upon me for sustaining their ‘no pets’ regulation. In agreement with Valerie Walkerdine, for whom research</w:t>
      </w:r>
      <w:r w:rsidR="003D08E2" w:rsidRPr="00FB4EFA">
        <w:rPr>
          <w:lang w:val="en-IE"/>
        </w:rPr>
        <w:t xml:space="preserve"> and</w:t>
      </w:r>
      <w:r w:rsidRPr="00FB4EFA">
        <w:rPr>
          <w:lang w:val="en-IE"/>
        </w:rPr>
        <w:t xml:space="preserve"> the questions one asks are inevitably positioned, centring on the question of “how [one’s] subjectivity is lived, both in relation to historicity and materiality” (Walkerdine 1995, 285), I am writing an autobiographical piece now. The acknowledgement of locatedness allows me to conceptualize a non-</w:t>
      </w:r>
      <w:r w:rsidRPr="00FB4EFA">
        <w:rPr>
          <w:lang w:val="en-IE"/>
        </w:rPr>
        <w:lastRenderedPageBreak/>
        <w:t>unitary, non-rationalist ahuman subjectivity held together through multiple dimensions of social life, at the intersection of diverse life forms – this time at the intersection of cats and human beings, within a queer post-humanist framework. It is our shared love and care for cats that inspired my thoughts below. In line with Walkerdine’s observation, dear Johanna, please accept this article as my imaginary academic salute for old times’ sake.</w:t>
      </w:r>
    </w:p>
    <w:p w14:paraId="5D1B0DF1" w14:textId="77777777" w:rsidR="001B3BDD" w:rsidRPr="00FB4EFA" w:rsidRDefault="001B3BDD" w:rsidP="00545033">
      <w:pPr>
        <w:pStyle w:val="Heading2"/>
        <w:suppressAutoHyphens/>
        <w:spacing w:line="259" w:lineRule="auto"/>
        <w:rPr>
          <w:color w:val="auto"/>
          <w:lang w:val="en-IE"/>
        </w:rPr>
      </w:pPr>
      <w:r w:rsidRPr="00FB4EFA">
        <w:rPr>
          <w:color w:val="auto"/>
          <w:lang w:val="en-IE"/>
        </w:rPr>
        <w:t>Relationality beyond anthropomorphism</w:t>
      </w:r>
    </w:p>
    <w:p w14:paraId="109CA73F" w14:textId="30DEEEB3" w:rsidR="000121EA" w:rsidRPr="00FB4EFA" w:rsidRDefault="001B3BDD" w:rsidP="00402EF4">
      <w:pPr>
        <w:rPr>
          <w:lang w:val="en-IE"/>
        </w:rPr>
      </w:pPr>
      <w:r w:rsidRPr="00FB4EFA">
        <w:rPr>
          <w:lang w:val="en-IE"/>
        </w:rPr>
        <w:t>The common sense understanding that sees cats ‘selfish’ and so of lesser intellect than dogs ‘devoted’ to their ‘human owner’ in our Euro-American culture is informed by the same logic that routinely tries to put woman back ‘in her place of self-sacrifice’ for the ‘career’ of their male partners. How do women and cats, two apparently very distinct categories</w:t>
      </w:r>
      <w:r w:rsidR="002C04C5" w:rsidRPr="00FB4EFA">
        <w:rPr>
          <w:lang w:val="en-IE"/>
        </w:rPr>
        <w:t>,</w:t>
      </w:r>
      <w:r w:rsidRPr="00FB4EFA">
        <w:rPr>
          <w:lang w:val="en-IE"/>
        </w:rPr>
        <w:t xml:space="preserve"> come to be linked with one another? Their mediated link emerges in a hierarchical taxonomy of beings as the effect of the workings of a fractal logic of binary distinctions. According to Susan Gal and Gail Kligman (2000, 41), the nested patterns are rendered into a matrix of immediate constituency in a system made up of hierarchical levels as long as the actual principle of categorization remains the same. As a result, the very principle begins to function as the common-sense value to be deployed in the process and will ‘naturally’ sustain the given social order. What is more, at any historical moment, these distinctions are multiple and are linked across multiple chains of nesting binaries. Cats come to be gendered as feminine </w:t>
      </w:r>
      <w:r w:rsidR="002C04C5" w:rsidRPr="00FB4EFA">
        <w:rPr>
          <w:lang w:val="en-IE"/>
        </w:rPr>
        <w:t>by</w:t>
      </w:r>
      <w:r w:rsidRPr="00FB4EFA">
        <w:rPr>
          <w:lang w:val="en-IE"/>
        </w:rPr>
        <w:t xml:space="preserve"> the prioritization of reason th</w:t>
      </w:r>
      <w:r w:rsidR="002C04C5" w:rsidRPr="00FB4EFA">
        <w:rPr>
          <w:lang w:val="en-IE"/>
        </w:rPr>
        <w:t>r</w:t>
      </w:r>
      <w:r w:rsidRPr="00FB4EFA">
        <w:rPr>
          <w:lang w:val="en-IE"/>
        </w:rPr>
        <w:t xml:space="preserve">ough several steps. Reason is coupled with ‘the human species’ over animals, however, at the same time, this reason is further deployed in the binary distinction within the category of human beings into man against and over woman through the association of reason with masculinity, associating femininity with its ‘opposition’, namely sensibility, affect, emotions; the names may vary from cultural model to cultural model, but the ultimate value of ‘reason’ is sustained. According to the rule of nesting, this value of the intellect is applied within the category of non-human and comes to be ‘naturally’ associated with the dog, the ‘companion of man’ at the expense of the cat, who is ‘known’ to be untrainable due to the alleged lack of this capacity. </w:t>
      </w:r>
      <w:r w:rsidRPr="00FB4EFA">
        <w:rPr>
          <w:lang w:val="en-IE"/>
        </w:rPr>
        <w:lastRenderedPageBreak/>
        <w:t>Gendering the cat as ‘untrainable’ can link her with the ‘unruly woman’. The cat is made the nonhuman other in a twofold way. The nested divides of the fractal logic on one hand dehumanize the cat (and the dog) when perpetuating the ideology of anthropocentrism through the value of ‘intellect’ but only to apply, at the same time, the principle of gender as ‘untrainable, moody’, making the cat ‘feminine’ vis-à-vis the ‘intelligent’ dog through sustaining the ideology of heteropatriarchy. As a further twist to this logic, the sexing of the dog and cat, in turn, can be appealed to as an undeniable ‘truth’ of the ‘two sexes’ determined by nature in a relationship of complementarity. I take issue with this practice of binary categorization because it comes down to the naturalization of a systemically organized privilege of entitlement to reason in various institutions of social life. I hold up, instead, the model of relative distinctions when categorizing and say that relative differentiation will allow for imagining a world of inclusionary relations of diverse life forms and so they may be of equal value when effect</w:t>
      </w:r>
      <w:r w:rsidR="00EC10D6" w:rsidRPr="00FB4EFA">
        <w:rPr>
          <w:lang w:val="en-IE"/>
        </w:rPr>
        <w:t>ed by</w:t>
      </w:r>
      <w:r w:rsidRPr="00FB4EFA">
        <w:rPr>
          <w:lang w:val="en-IE"/>
        </w:rPr>
        <w:t xml:space="preserve"> symmetrical relations of power.</w:t>
      </w:r>
    </w:p>
    <w:p w14:paraId="07237578" w14:textId="342F11EF" w:rsidR="001B3BDD" w:rsidRPr="00FB4EFA" w:rsidRDefault="001B3BDD" w:rsidP="00AF0CAD">
      <w:pPr>
        <w:ind w:firstLine="709"/>
        <w:rPr>
          <w:lang w:val="en-IE"/>
        </w:rPr>
      </w:pPr>
      <w:r w:rsidRPr="00FB4EFA">
        <w:rPr>
          <w:lang w:val="en-IE"/>
        </w:rPr>
        <w:t xml:space="preserve">Undermining the Anthropocene and so the gendering of the cat as feminine entails demoting the male masculine being off the peak of the pyramid kept in its place through the binaries of human/non-human and male/female (among multiple others). The very naming of the ideal form of manhood as ‘male masculine’ exposes the need for a relative distinction between sexuality and gender, first introduced by Jack Halberstam (1998). He in fact deconstructs the </w:t>
      </w:r>
      <w:r w:rsidRPr="00FB4EFA">
        <w:rPr>
          <w:rFonts w:eastAsia="Alegreya-Italic"/>
          <w:i/>
          <w:iCs/>
          <w:lang w:val="en-IE"/>
        </w:rPr>
        <w:t xml:space="preserve">myth of men’s entitlement to </w:t>
      </w:r>
      <w:r w:rsidR="00EC1F7F" w:rsidRPr="00FB4EFA">
        <w:rPr>
          <w:rFonts w:eastAsia="Alegreya-Italic"/>
          <w:i/>
          <w:iCs/>
          <w:lang w:val="en-IE"/>
        </w:rPr>
        <w:br/>
      </w:r>
      <w:r w:rsidRPr="00FB4EFA">
        <w:rPr>
          <w:rFonts w:eastAsia="Alegreya-Italic"/>
          <w:i/>
          <w:iCs/>
          <w:lang w:val="en-IE"/>
        </w:rPr>
        <w:t xml:space="preserve">masculinity </w:t>
      </w:r>
      <w:r w:rsidRPr="00FB4EFA">
        <w:rPr>
          <w:rFonts w:eastAsia="Alegreya-Italic"/>
          <w:lang w:val="en-IE"/>
        </w:rPr>
        <w:t xml:space="preserve">that is anchored in the collapse of sex and gender in the social expectations of ‘sex appropriate’ gender subjectivities. He points out that the binary distinction – through the </w:t>
      </w:r>
      <w:r w:rsidR="00EC10D6" w:rsidRPr="00FB4EFA">
        <w:rPr>
          <w:rFonts w:eastAsia="Alegreya-Italic"/>
          <w:lang w:val="en-IE"/>
        </w:rPr>
        <w:t>‘</w:t>
      </w:r>
      <w:r w:rsidRPr="00FB4EFA">
        <w:rPr>
          <w:rFonts w:eastAsia="Alegreya-Italic"/>
          <w:lang w:val="en-IE"/>
        </w:rPr>
        <w:t xml:space="preserve">cause and effect’ logic: if male then masculine – will routinely naturalize the privilege of owning masculinity by men, precluding or minoritizing more progressive forms of female masculinity such as </w:t>
      </w:r>
      <w:r w:rsidRPr="00FB4EFA">
        <w:rPr>
          <w:rFonts w:eastAsia="Alegreya-Regular"/>
          <w:lang w:val="en-IE"/>
        </w:rPr>
        <w:t xml:space="preserve">the figure of the stone butch, the tomboy, the androgyne, or the transman. </w:t>
      </w:r>
      <w:r w:rsidRPr="00FB4EFA">
        <w:rPr>
          <w:lang w:val="en-IE"/>
        </w:rPr>
        <w:t>Halberstam in fact queers the dominant biologized boundaries of categorization and expose</w:t>
      </w:r>
      <w:r w:rsidR="00AB7501" w:rsidRPr="00FB4EFA">
        <w:rPr>
          <w:lang w:val="en-IE"/>
        </w:rPr>
        <w:t>s</w:t>
      </w:r>
      <w:r w:rsidRPr="00FB4EFA">
        <w:rPr>
          <w:lang w:val="en-IE"/>
        </w:rPr>
        <w:t xml:space="preserve"> the common-sense ideologies at play. He can challenge the concept of a homogenous and static ‘idem’ identity of being and conceptualize identity rendered meaningful at the intersection of multiple distinctions: that will allow for seeing similar features integral to the formation of people (women) and animals (cats).</w:t>
      </w:r>
    </w:p>
    <w:p w14:paraId="0A686AB0" w14:textId="5429B518" w:rsidR="000121EA" w:rsidRPr="00FB4EFA" w:rsidRDefault="001B3BDD" w:rsidP="00AF0CAD">
      <w:pPr>
        <w:spacing w:after="240"/>
        <w:ind w:firstLine="709"/>
        <w:rPr>
          <w:lang w:val="en-IE"/>
        </w:rPr>
      </w:pPr>
      <w:r w:rsidRPr="00FB4EFA">
        <w:rPr>
          <w:lang w:val="en-IE"/>
        </w:rPr>
        <w:lastRenderedPageBreak/>
        <w:t>The starting point for my reasoning when deconstructing the routine devaluing relationship between cats and women is that what they share is not the lack of intellect but their autonomy</w:t>
      </w:r>
      <w:r w:rsidR="00AB7501" w:rsidRPr="00FB4EFA">
        <w:rPr>
          <w:lang w:val="en-IE"/>
        </w:rPr>
        <w:t>.</w:t>
      </w:r>
      <w:r w:rsidRPr="00FB4EFA">
        <w:rPr>
          <w:lang w:val="en-IE"/>
        </w:rPr>
        <w:t xml:space="preserve"> </w:t>
      </w:r>
      <w:r w:rsidR="00AB7501" w:rsidRPr="00FB4EFA">
        <w:rPr>
          <w:lang w:val="en-IE"/>
        </w:rPr>
        <w:t>T</w:t>
      </w:r>
      <w:r w:rsidRPr="00FB4EFA">
        <w:rPr>
          <w:lang w:val="en-IE"/>
        </w:rPr>
        <w:t xml:space="preserve">hen we can make visible the awesome </w:t>
      </w:r>
      <w:r w:rsidRPr="00FB4EFA">
        <w:rPr>
          <w:i/>
          <w:iCs/>
          <w:lang w:val="en-IE"/>
        </w:rPr>
        <w:t>integrity</w:t>
      </w:r>
      <w:r w:rsidRPr="00FB4EFA">
        <w:rPr>
          <w:lang w:val="en-IE"/>
        </w:rPr>
        <w:t xml:space="preserve"> that is enacted by strong women like </w:t>
      </w:r>
      <w:r w:rsidR="00EC1F7F" w:rsidRPr="00FB4EFA">
        <w:rPr>
          <w:lang w:val="en-IE"/>
        </w:rPr>
        <w:br/>
      </w:r>
      <w:r w:rsidRPr="00FB4EFA">
        <w:rPr>
          <w:lang w:val="en-IE"/>
        </w:rPr>
        <w:t xml:space="preserve">Johanna and the legendary </w:t>
      </w:r>
      <w:r w:rsidRPr="00FB4EFA">
        <w:rPr>
          <w:i/>
          <w:iCs/>
          <w:lang w:val="en-IE"/>
        </w:rPr>
        <w:t>independence</w:t>
      </w:r>
      <w:r w:rsidRPr="00FB4EFA">
        <w:rPr>
          <w:lang w:val="en-IE"/>
        </w:rPr>
        <w:t xml:space="preserve"> of cats. Once we expose that the common-sense understandings of the system of binaries making up the meaning of womanhood revolve around expecting various forms of ‘self-sacrifice’, to the point of sacrificing women’s entitlement to becoming Self at all, we can begin to deconstruct the ideologies at play. We may then turn around and expose hegemonic male masculinity at the intersection of the multiple ideologies that has a</w:t>
      </w:r>
      <w:r w:rsidRPr="00FB4EFA">
        <w:rPr>
          <w:i/>
          <w:iCs/>
          <w:lang w:val="en-IE"/>
        </w:rPr>
        <w:t xml:space="preserve"> gendered speciesism</w:t>
      </w:r>
      <w:r w:rsidRPr="00FB4EFA">
        <w:rPr>
          <w:lang w:val="en-IE"/>
        </w:rPr>
        <w:t xml:space="preserve"> in its constitutive centre. What is more, once we argue for the equal value of all forms of life – as argued in Patricia MacCormack’s </w:t>
      </w:r>
      <w:r w:rsidRPr="00FB4EFA">
        <w:rPr>
          <w:i/>
          <w:iCs/>
          <w:lang w:val="en-IE"/>
        </w:rPr>
        <w:t>Ahuman Manifesto</w:t>
      </w:r>
      <w:r w:rsidRPr="00FB4EFA">
        <w:rPr>
          <w:lang w:val="en-IE"/>
        </w:rPr>
        <w:t xml:space="preserve"> – we do not need to opt to foreground a different principle of categorization, like autonomy, but may subvert and redefine what is hoped to be the result of the ‘feminine’ self-sacrifice, namely care for the others. Care beyond the binary logic of sacrifice entails that</w:t>
      </w:r>
    </w:p>
    <w:p w14:paraId="15D17AF0" w14:textId="64C8E790" w:rsidR="001B3BDD" w:rsidRPr="00FB4EFA" w:rsidRDefault="001B3BDD" w:rsidP="00AC1192">
      <w:pPr>
        <w:suppressAutoHyphens/>
        <w:spacing w:before="240" w:after="240" w:line="240" w:lineRule="auto"/>
        <w:ind w:left="709"/>
        <w:rPr>
          <w:sz w:val="20"/>
          <w:szCs w:val="20"/>
          <w:lang w:val="en-IE"/>
        </w:rPr>
      </w:pPr>
      <w:r w:rsidRPr="00FB4EFA">
        <w:rPr>
          <w:sz w:val="20"/>
          <w:szCs w:val="20"/>
          <w:lang w:val="en-IE"/>
        </w:rPr>
        <w:t xml:space="preserve">all living systems have unique </w:t>
      </w:r>
      <w:r w:rsidRPr="00FB4EFA">
        <w:rPr>
          <w:i/>
          <w:iCs/>
          <w:sz w:val="20"/>
          <w:szCs w:val="20"/>
          <w:lang w:val="en-IE"/>
        </w:rPr>
        <w:t>capacities for expressivity and being affected</w:t>
      </w:r>
      <w:r w:rsidRPr="00FB4EFA">
        <w:rPr>
          <w:sz w:val="20"/>
          <w:szCs w:val="20"/>
          <w:lang w:val="en-IE"/>
        </w:rPr>
        <w:t xml:space="preserve"> and exist unto and for themselves as singular manifestations of their own desire and will, consistently metamorphic both spatially and temporally. In this sense, all organisms and potentially organized environmental territories are biosentient. (MacCormack 2020, 52; italics added)</w:t>
      </w:r>
    </w:p>
    <w:p w14:paraId="1F0A21EA" w14:textId="6A146CF2" w:rsidR="000121EA" w:rsidRPr="00FB4EFA" w:rsidRDefault="001B3BDD" w:rsidP="00AF0CAD">
      <w:pPr>
        <w:rPr>
          <w:lang w:val="en-IE"/>
        </w:rPr>
      </w:pPr>
      <w:r w:rsidRPr="00FB4EFA">
        <w:rPr>
          <w:lang w:val="en-IE"/>
        </w:rPr>
        <w:t xml:space="preserve">Paradoxically, making ‘care’ the measure of </w:t>
      </w:r>
      <w:r w:rsidRPr="00FB4EFA">
        <w:rPr>
          <w:i/>
          <w:iCs/>
          <w:lang w:val="en-IE"/>
        </w:rPr>
        <w:t>equivalence between organisms</w:t>
      </w:r>
      <w:r w:rsidR="000239D7" w:rsidRPr="00FB4EFA">
        <w:rPr>
          <w:lang w:val="en-IE"/>
        </w:rPr>
        <w:t xml:space="preserve"> and</w:t>
      </w:r>
      <w:r w:rsidRPr="00FB4EFA">
        <w:rPr>
          <w:lang w:val="en-IE"/>
        </w:rPr>
        <w:t xml:space="preserve"> demanding care for an equal subjective experience of all biosentients will allow us to see women and cats equally unique and discard the supremacy of the human and that of the male masculine.</w:t>
      </w:r>
    </w:p>
    <w:p w14:paraId="06EDB127" w14:textId="62D1A093" w:rsidR="001B3BDD" w:rsidRPr="00FB4EFA" w:rsidRDefault="001B3BDD" w:rsidP="00545033">
      <w:pPr>
        <w:pStyle w:val="Heading2"/>
        <w:suppressAutoHyphens/>
        <w:spacing w:line="259" w:lineRule="auto"/>
        <w:rPr>
          <w:color w:val="auto"/>
          <w:lang w:val="en-IE"/>
        </w:rPr>
      </w:pPr>
      <w:r w:rsidRPr="00FB4EFA">
        <w:rPr>
          <w:color w:val="auto"/>
          <w:lang w:val="en-IE"/>
        </w:rPr>
        <w:t>The equivalence of cats’ and women’s care</w:t>
      </w:r>
    </w:p>
    <w:p w14:paraId="67B1DFFC" w14:textId="38A0B569" w:rsidR="001B3BDD" w:rsidRPr="00FB4EFA" w:rsidRDefault="001B3BDD" w:rsidP="00AF0CAD">
      <w:pPr>
        <w:rPr>
          <w:lang w:val="en-IE"/>
        </w:rPr>
      </w:pPr>
      <w:r w:rsidRPr="00FB4EFA">
        <w:rPr>
          <w:lang w:val="en-IE"/>
        </w:rPr>
        <w:t xml:space="preserve">To demonstrate the gains of a queer post-humanist literary interpretation I turn to Doris Lessing’s </w:t>
      </w:r>
      <w:r w:rsidRPr="00FB4EFA">
        <w:rPr>
          <w:i/>
          <w:iCs/>
          <w:lang w:val="en-IE"/>
        </w:rPr>
        <w:t xml:space="preserve">Particularly Cats. </w:t>
      </w:r>
      <w:r w:rsidRPr="00FB4EFA">
        <w:rPr>
          <w:lang w:val="en-IE"/>
        </w:rPr>
        <w:t xml:space="preserve">I do not know for a fact but I imagine Johanna must love Doris Lessing, who debunked sexist stereotypes in her works. </w:t>
      </w:r>
      <w:r w:rsidRPr="00FB4EFA">
        <w:rPr>
          <w:i/>
          <w:iCs/>
          <w:lang w:val="en-IE"/>
        </w:rPr>
        <w:t xml:space="preserve">Particularly Cats </w:t>
      </w:r>
      <w:r w:rsidRPr="00FB4EFA">
        <w:rPr>
          <w:lang w:val="en-IE"/>
        </w:rPr>
        <w:t xml:space="preserve">is a book for pet lovers that is renowned for avoiding “those anthropomorphic touches that make you want to throw a can of tuna at people” – as quoted by Judith Keagan </w:t>
      </w:r>
      <w:r w:rsidR="00EC1F7F" w:rsidRPr="00FB4EFA">
        <w:rPr>
          <w:lang w:val="en-IE"/>
        </w:rPr>
        <w:br/>
      </w:r>
      <w:r w:rsidRPr="00FB4EFA">
        <w:rPr>
          <w:lang w:val="en-IE"/>
        </w:rPr>
        <w:lastRenderedPageBreak/>
        <w:t>Gardiner (1984, 120) from the blurb of the back jacket of the Simon and Schuster’s 1978 publication of the book. I read this statement that highlights the particularity of the Lessing oeuvre: a redefinition of the vulnerability of cats and women intertwined through an ironical reflection narrated in Lessing’s works. This irony that links Lessing’s woman heroes and cats conjures up a world from within a non-anthropocentric logic that hinges on care in MacCormack’s sense of “</w:t>
      </w:r>
      <w:r w:rsidRPr="00FB4EFA">
        <w:rPr>
          <w:i/>
          <w:iCs/>
          <w:lang w:val="en-IE"/>
        </w:rPr>
        <w:t>capacities for expressivity and being affected</w:t>
      </w:r>
      <w:r w:rsidRPr="00FB4EFA">
        <w:rPr>
          <w:lang w:val="en-IE"/>
        </w:rPr>
        <w:t>”.</w:t>
      </w:r>
    </w:p>
    <w:p w14:paraId="0AC8A4E3" w14:textId="77777777" w:rsidR="000121EA" w:rsidRPr="00FB4EFA" w:rsidRDefault="001B3BDD" w:rsidP="00402EF4">
      <w:pPr>
        <w:ind w:firstLine="709"/>
        <w:rPr>
          <w:lang w:val="en-IE"/>
        </w:rPr>
      </w:pPr>
      <w:r w:rsidRPr="00FB4EFA">
        <w:rPr>
          <w:lang w:val="en-IE"/>
        </w:rPr>
        <w:t>The queer turn to post-humanities, though emerging well after Lessing’s novels, may allow me to reiterate the non-exclusionary relational model of identity (of woman or cat) without giving up the space for responsible action. The agency of queer post-humanism is not trapped in the logic of some individual(ized) liberty and will but opens up to collective solidarity, or ‘collective assemblages’ across boundaries of species that acknowledges autonomy (integrity and independence), while challenging the hierarchy of ‘speaking on behalf of’ the less privileged, the allegedly democratic act characteristic of a majoritarian political logic. The affective overlap of cat and woman could be seen as the site of a caring ‘ahumanism’, “the end of human exceptionalism”, (MacCormack 2020, 16) “a future beyond human privilege” (ibid.; 17):</w:t>
      </w:r>
    </w:p>
    <w:p w14:paraId="207900B6" w14:textId="62C3C0CF" w:rsidR="001B3BDD" w:rsidRPr="00FB4EFA" w:rsidRDefault="001B3BDD" w:rsidP="00AC1192">
      <w:pPr>
        <w:suppressAutoHyphens/>
        <w:spacing w:before="240" w:after="240" w:line="240" w:lineRule="auto"/>
        <w:ind w:left="709"/>
        <w:rPr>
          <w:sz w:val="20"/>
          <w:szCs w:val="20"/>
          <w:lang w:val="en-IE"/>
        </w:rPr>
      </w:pPr>
      <w:r w:rsidRPr="00FB4EFA">
        <w:rPr>
          <w:sz w:val="20"/>
          <w:szCs w:val="20"/>
          <w:lang w:val="en-IE"/>
        </w:rPr>
        <w:t xml:space="preserve">In order for </w:t>
      </w:r>
      <w:r w:rsidRPr="00FB4EFA">
        <w:rPr>
          <w:i/>
          <w:iCs/>
          <w:sz w:val="20"/>
          <w:szCs w:val="20"/>
          <w:lang w:val="en-IE"/>
        </w:rPr>
        <w:t>collective assemblages</w:t>
      </w:r>
      <w:r w:rsidRPr="00FB4EFA">
        <w:rPr>
          <w:sz w:val="20"/>
          <w:szCs w:val="20"/>
          <w:lang w:val="en-IE"/>
        </w:rPr>
        <w:t xml:space="preserve"> and relations to be ethical, we must cease privileging our own situation before and above all others, which can sometimes seem to be the very essence of identity politics – </w:t>
      </w:r>
      <w:r w:rsidRPr="00FB4EFA">
        <w:rPr>
          <w:i/>
          <w:iCs/>
          <w:sz w:val="20"/>
          <w:szCs w:val="20"/>
          <w:lang w:val="en-IE"/>
        </w:rPr>
        <w:t xml:space="preserve">my </w:t>
      </w:r>
      <w:r w:rsidRPr="00FB4EFA">
        <w:rPr>
          <w:sz w:val="20"/>
          <w:szCs w:val="20"/>
          <w:lang w:val="en-IE"/>
        </w:rPr>
        <w:t xml:space="preserve">identity. The ahuman </w:t>
      </w:r>
      <w:r w:rsidRPr="00FB4EFA">
        <w:rPr>
          <w:i/>
          <w:iCs/>
          <w:sz w:val="20"/>
          <w:szCs w:val="20"/>
          <w:lang w:val="en-IE"/>
        </w:rPr>
        <w:t xml:space="preserve">does </w:t>
      </w:r>
      <w:r w:rsidRPr="00FB4EFA">
        <w:rPr>
          <w:sz w:val="20"/>
          <w:szCs w:val="20"/>
          <w:lang w:val="en-IE"/>
        </w:rPr>
        <w:t>seek dehumanization because at its heart it seeks to dismantle human exceptionalism and make activism for the other – without necessarily seeking to know or apprehend or even be in proximity with the other – its primary technique in coalition with a general politics of differentiation rather than an endless taxonomy of difference. (ibid., 40)</w:t>
      </w:r>
    </w:p>
    <w:p w14:paraId="5EAE1132" w14:textId="03BAE4DD" w:rsidR="000121EA" w:rsidRPr="00FB4EFA" w:rsidRDefault="001B3BDD" w:rsidP="00AF0CAD">
      <w:pPr>
        <w:rPr>
          <w:lang w:val="en-IE"/>
        </w:rPr>
      </w:pPr>
      <w:r w:rsidRPr="00FB4EFA">
        <w:rPr>
          <w:lang w:val="en-IE"/>
        </w:rPr>
        <w:t xml:space="preserve">The contradictory and difficult relationship of Lessing’s mother to their cats around </w:t>
      </w:r>
      <w:r w:rsidR="000239D7" w:rsidRPr="00FB4EFA">
        <w:rPr>
          <w:lang w:val="en-IE"/>
        </w:rPr>
        <w:t>Lessing’s</w:t>
      </w:r>
      <w:r w:rsidRPr="00FB4EFA">
        <w:rPr>
          <w:lang w:val="en-IE"/>
        </w:rPr>
        <w:t xml:space="preserve"> childhood household in Zimbabwe is evoked in the collection of essays entitled </w:t>
      </w:r>
      <w:r w:rsidRPr="00FB4EFA">
        <w:rPr>
          <w:i/>
          <w:iCs/>
          <w:lang w:val="en-IE"/>
        </w:rPr>
        <w:t>Particularly Cats</w:t>
      </w:r>
      <w:r w:rsidRPr="00FB4EFA">
        <w:rPr>
          <w:lang w:val="en-IE"/>
        </w:rPr>
        <w:t>: the mother loves the cats and taking care of them entails killing the “excess” kittens as well. Please note that I did not use the logical connector ‘but’ setting up an absolute difference that should implicate privileging life over death. The mother’s care for cats lends itself to a metaphoric reading of Lessing’s own ambig</w:t>
      </w:r>
      <w:r w:rsidRPr="00FB4EFA">
        <w:rPr>
          <w:lang w:val="en-IE"/>
        </w:rPr>
        <w:lastRenderedPageBreak/>
        <w:t xml:space="preserve">uous disposition towards motherhood that is represented in her novels. As Gardiner observes, in Lessing’s eyes “maternity both </w:t>
      </w:r>
      <w:r w:rsidRPr="00FB4EFA">
        <w:rPr>
          <w:i/>
          <w:iCs/>
          <w:lang w:val="en-IE"/>
        </w:rPr>
        <w:t>defines</w:t>
      </w:r>
      <w:r w:rsidRPr="00FB4EFA">
        <w:rPr>
          <w:lang w:val="en-IE"/>
        </w:rPr>
        <w:t xml:space="preserve"> a female’s identity and </w:t>
      </w:r>
      <w:r w:rsidRPr="00FB4EFA">
        <w:rPr>
          <w:i/>
          <w:iCs/>
          <w:lang w:val="en-IE"/>
        </w:rPr>
        <w:t xml:space="preserve">separates one from </w:t>
      </w:r>
      <w:r w:rsidRPr="00FB4EFA">
        <w:rPr>
          <w:lang w:val="en-IE"/>
        </w:rPr>
        <w:t>one’s true nature” (Gardiner 1984, 121; italics added). I do not read the idea of “true nature/identity” literally, though. I’d rather read it as a slippage in the argument, indirectly challenging the need for an absolute value, such as ‘caring at one’s own expense for family’ in order to qualify as ‘mother’, and one level above in the chain of immediate constituency, to privilege motherhood over anything else to see oneself as ‘woman’; i.e.</w:t>
      </w:r>
      <w:r w:rsidR="00F700B0" w:rsidRPr="00FB4EFA">
        <w:rPr>
          <w:lang w:val="en-IE"/>
        </w:rPr>
        <w:t>,</w:t>
      </w:r>
      <w:r w:rsidRPr="00FB4EFA">
        <w:rPr>
          <w:lang w:val="en-IE"/>
        </w:rPr>
        <w:t xml:space="preserve"> not to see that anthropomorphic care demands not to have a self that could be taken care of. I would rather argue that the ambiguity questions the common-sense status of the ideology of sacrificial logic governing female existence; the ambiguity is bracketing the power of the expectation and the promise of respect the embodiment of sacrificial care holds out to ‘really loving mothers.’ On a broader horizon, I appreciate the acknowledgment of the inherent ontological ambiguity, or rather, multiplicity integral to the formation of anything, making any category intelligible, making the identity of any category unique. Consequently, identity is structured by multiple partially differentiated constituent elements</w:t>
      </w:r>
      <w:r w:rsidR="000239D7" w:rsidRPr="00FB4EFA">
        <w:rPr>
          <w:lang w:val="en-IE"/>
        </w:rPr>
        <w:t>,</w:t>
      </w:r>
      <w:r w:rsidRPr="00FB4EFA">
        <w:rPr>
          <w:lang w:val="en-IE"/>
        </w:rPr>
        <w:t xml:space="preserve"> and that is not the individualized homogenized concept that MacCormack attributes to contemporary movements of identity politics. The very assumption that we could outline a definitive border around ‘</w:t>
      </w:r>
      <w:r w:rsidRPr="00FB4EFA">
        <w:rPr>
          <w:i/>
          <w:iCs/>
          <w:lang w:val="en-IE"/>
        </w:rPr>
        <w:t xml:space="preserve">my </w:t>
      </w:r>
      <w:r w:rsidRPr="00FB4EFA">
        <w:rPr>
          <w:lang w:val="en-IE"/>
        </w:rPr>
        <w:t>identity’, privileging its concerns</w:t>
      </w:r>
      <w:r w:rsidR="00A23B40" w:rsidRPr="00FB4EFA">
        <w:rPr>
          <w:lang w:val="en-IE"/>
        </w:rPr>
        <w:t>,</w:t>
      </w:r>
      <w:r w:rsidRPr="00FB4EFA">
        <w:rPr>
          <w:lang w:val="en-IE"/>
        </w:rPr>
        <w:t xml:space="preserve"> cease</w:t>
      </w:r>
      <w:r w:rsidR="00A23B40" w:rsidRPr="00FB4EFA">
        <w:rPr>
          <w:lang w:val="en-IE"/>
        </w:rPr>
        <w:t>s</w:t>
      </w:r>
      <w:r w:rsidRPr="00FB4EFA">
        <w:rPr>
          <w:lang w:val="en-IE"/>
        </w:rPr>
        <w:t xml:space="preserve"> to be a universal ontological condition for ‘identity’ in terms of the Self/Other absolute difference</w:t>
      </w:r>
      <w:r w:rsidR="00A23B40" w:rsidRPr="00FB4EFA">
        <w:rPr>
          <w:lang w:val="en-IE"/>
        </w:rPr>
        <w:t>, or</w:t>
      </w:r>
      <w:r w:rsidRPr="00FB4EFA">
        <w:rPr>
          <w:lang w:val="en-IE"/>
        </w:rPr>
        <w:t xml:space="preserve"> to figure as a meaningful category at all. I agree, we must cease privileging our own situation before and above all others, which can sometimes seem to be the very essence of identity politics – </w:t>
      </w:r>
      <w:r w:rsidRPr="00FB4EFA">
        <w:rPr>
          <w:i/>
          <w:iCs/>
          <w:lang w:val="en-IE"/>
        </w:rPr>
        <w:t xml:space="preserve">my </w:t>
      </w:r>
      <w:r w:rsidRPr="00FB4EFA">
        <w:rPr>
          <w:lang w:val="en-IE"/>
        </w:rPr>
        <w:t xml:space="preserve">identity. However, once we conceptualize categorization as a matter of differentiation and not essential(ized) difference, ‘identity’ is not a necessarily exclusionary category, nor is it one that should be always already a stigma. Paradoxically, it is MacCormack’s conceptualization of ahuman care that goes beyond ‘identity’ that operates through the production and maintenance of normative conceptions of belonging and the possessive Self and allows for its partial inclusivity – hence the importance of introducing differentiation, which is always partial in my </w:t>
      </w:r>
      <w:r w:rsidRPr="00FB4EFA">
        <w:rPr>
          <w:lang w:val="en-IE"/>
        </w:rPr>
        <w:lastRenderedPageBreak/>
        <w:t xml:space="preserve">reading, over difference essentialized and as such static through </w:t>
      </w:r>
      <w:r w:rsidRPr="00FB4EFA">
        <w:rPr>
          <w:rFonts w:cs="Charis SIL"/>
          <w:lang w:val="en-IE"/>
        </w:rPr>
        <w:t xml:space="preserve">a universal </w:t>
      </w:r>
      <w:r w:rsidR="00913102" w:rsidRPr="00FB4EFA">
        <w:rPr>
          <w:rFonts w:cs="Charis SIL"/>
          <w:lang w:val="en-IE"/>
        </w:rPr>
        <w:t>s</w:t>
      </w:r>
      <w:r w:rsidRPr="00FB4EFA">
        <w:rPr>
          <w:rFonts w:cs="Charis SIL"/>
          <w:lang w:val="en-IE"/>
        </w:rPr>
        <w:t>ame/</w:t>
      </w:r>
      <w:r w:rsidR="00913102" w:rsidRPr="00FB4EFA">
        <w:rPr>
          <w:rFonts w:cs="Charis SIL"/>
          <w:lang w:val="en-IE"/>
        </w:rPr>
        <w:t>d</w:t>
      </w:r>
      <w:r w:rsidRPr="00FB4EFA">
        <w:rPr>
          <w:rFonts w:cs="Charis SIL"/>
          <w:lang w:val="en-IE"/>
        </w:rPr>
        <w:t>ifferent being (Barát 2016).</w:t>
      </w:r>
      <w:r w:rsidRPr="00FB4EFA">
        <w:rPr>
          <w:rFonts w:cs="Charis SIL"/>
          <w:vertAlign w:val="superscript"/>
          <w:lang w:val="en-IE"/>
        </w:rPr>
        <w:footnoteReference w:id="2"/>
      </w:r>
      <w:r w:rsidRPr="00FB4EFA">
        <w:rPr>
          <w:rFonts w:cs="Charis SIL"/>
          <w:lang w:val="en-IE"/>
        </w:rPr>
        <w:t xml:space="preserve"> Partial distinctions will still allow for the recognition of (autobiographical) positionality that is oriented to differentiations and not a</w:t>
      </w:r>
      <w:r w:rsidRPr="00FB4EFA">
        <w:rPr>
          <w:lang w:val="en-IE"/>
        </w:rPr>
        <w:t xml:space="preserve"> taxonomy of absolute difference.</w:t>
      </w:r>
    </w:p>
    <w:p w14:paraId="015CCAA6" w14:textId="33DFB0AF" w:rsidR="000121EA" w:rsidRPr="00FB4EFA" w:rsidRDefault="001B3BDD" w:rsidP="00402EF4">
      <w:pPr>
        <w:ind w:firstLine="709"/>
        <w:rPr>
          <w:lang w:val="en-IE"/>
        </w:rPr>
      </w:pPr>
      <w:r w:rsidRPr="00FB4EFA">
        <w:rPr>
          <w:lang w:val="en-IE"/>
        </w:rPr>
        <w:t xml:space="preserve">The intertextual chains of equivalence between Lessing’s essays on cats and the evaluation of the woman characters in her novels may be </w:t>
      </w:r>
      <w:r w:rsidR="00E273FF" w:rsidRPr="00FB4EFA">
        <w:rPr>
          <w:lang w:val="en-IE"/>
        </w:rPr>
        <w:t xml:space="preserve">evocative </w:t>
      </w:r>
      <w:r w:rsidRPr="00FB4EFA">
        <w:rPr>
          <w:lang w:val="en-IE"/>
        </w:rPr>
        <w:t>of two important things and lead us to the celebration of multiple life forms, instead of lamenting the loss of human entitlement to (male masculine) reason at the peak of the hierarchy of signification. Firstly, it undermines the apparently celebratory foundationalist discourse about the indispensable function of ‘motherhood’ that has re-emerged so forcefully in contemporary right-wing populist discourses on the family and the ‘female principle’ – painfully loudly by the Hungarian Government’s twelve-year-long propaganda (Barát 2021). Secondly, it exposes the possibility of celebrating the death of the kittens instead of mourning the loss of their li</w:t>
      </w:r>
      <w:r w:rsidR="00E273FF" w:rsidRPr="00FB4EFA">
        <w:rPr>
          <w:lang w:val="en-IE"/>
        </w:rPr>
        <w:t>ves</w:t>
      </w:r>
      <w:r w:rsidRPr="00FB4EFA">
        <w:rPr>
          <w:lang w:val="en-IE"/>
        </w:rPr>
        <w:t>, which should echo an anthropomorphic fear of human extinction. Ironically, the discourse of unconditioned appreciation of the ‘innate female principle’ is to undermine the very value of ‘birthing human life’ as if some female goddess of nature through its sacrificial logic necessarily confines the value of a woman’s life to procreation alone: there is no equally valuable choice for women to decide against procreation altogether – in the name of their concern for global human overpopulation that should exhaust and destruct the planet. That is very similar to ahumanism’s endorsement of the affirmative benefits of human death (MacCormack 2020, 143). It is that confinement to sexual productivity that Lessing’s strong woman characters are to contest when they are ready to kill the excess kittens.</w:t>
      </w:r>
    </w:p>
    <w:p w14:paraId="54664E97" w14:textId="6C69AB8E" w:rsidR="001B3BDD" w:rsidRPr="00FB4EFA" w:rsidRDefault="001B3BDD" w:rsidP="00402EF4">
      <w:pPr>
        <w:ind w:firstLine="709"/>
        <w:rPr>
          <w:lang w:val="en-IE"/>
        </w:rPr>
      </w:pPr>
      <w:r w:rsidRPr="00FB4EFA">
        <w:rPr>
          <w:lang w:val="en-IE"/>
        </w:rPr>
        <w:lastRenderedPageBreak/>
        <w:t xml:space="preserve">In the face of the ecological crisis, McCormack offers more than timely ethics that disavows lamenting the loss of the human and humanism. The lamenting is highly problematic, I think, in that the ultimate value of this ‘humanism’ should be measured in the attainability of an agency that is routinely imagined (even in progressive activism and political science) to grant human transcendence over all forms of social hierarchy (with an appeal to universal human rights) and over all other elements of our universe, </w:t>
      </w:r>
      <w:r w:rsidR="00913102" w:rsidRPr="00FB4EFA">
        <w:rPr>
          <w:lang w:val="en-IE"/>
        </w:rPr>
        <w:t>providing</w:t>
      </w:r>
      <w:r w:rsidRPr="00FB4EFA">
        <w:rPr>
          <w:lang w:val="en-IE"/>
        </w:rPr>
        <w:t xml:space="preserve"> a sense of exceptionalism. Ironically, this logic of human exceptionalism seems justified both on the political left and right through an implied appeal to the fight against various forms of danger or social ills disturbing the presumption of ‘individual human sovereignty’ as the (only) obvious political ideal. I agree with MacCormack’s proposal to expose this ideal of individualism for enacting “human exceptionalism [that is] perpetuating destructive impulses” (ibid., ix) with the cis male masculine white upper-class urbanite figure looking down upon the steep slope of the hierarchy, certain </w:t>
      </w:r>
      <w:r w:rsidR="00913102" w:rsidRPr="00FB4EFA">
        <w:rPr>
          <w:lang w:val="en-IE"/>
        </w:rPr>
        <w:t>of</w:t>
      </w:r>
      <w:r w:rsidRPr="00FB4EFA">
        <w:rPr>
          <w:lang w:val="en-IE"/>
        </w:rPr>
        <w:t xml:space="preserve"> his entitlement to his power.</w:t>
      </w:r>
    </w:p>
    <w:p w14:paraId="53273C45" w14:textId="474F935A" w:rsidR="000121EA" w:rsidRPr="00FB4EFA" w:rsidRDefault="001B3BDD" w:rsidP="00AF0CAD">
      <w:pPr>
        <w:ind w:firstLine="709"/>
        <w:rPr>
          <w:lang w:val="en-IE"/>
        </w:rPr>
      </w:pPr>
      <w:r w:rsidRPr="00FB4EFA">
        <w:rPr>
          <w:lang w:val="en-IE"/>
        </w:rPr>
        <w:t>In the context of my interest in reimaging the attraction of empowerment and agency in feminist scholarship, I have been developing a relational model of identity ever since my PhD research (Barát 2000) that is to challenge the cultivation of late capitalism’s ‘exclusionary possessive Self’, wh</w:t>
      </w:r>
      <w:r w:rsidR="00913102" w:rsidRPr="00FB4EFA">
        <w:rPr>
          <w:lang w:val="en-IE"/>
        </w:rPr>
        <w:t>ich</w:t>
      </w:r>
      <w:r w:rsidRPr="00FB4EFA">
        <w:rPr>
          <w:lang w:val="en-IE"/>
        </w:rPr>
        <w:t xml:space="preserve"> is happily taken over in political activism whenever this individuality is seen as the prerequisite for liberty and sovereignty. My ultimate interest has been in conceptualizing multiplicity that cuts across the essentialist binary of same/different, integrating critical studies of discourse and feminist approaches to intersectionality. I see this objective concerned with the formation of the ‘identity’ of any category (including identity itself) beyond the necessarily exclusionary either/or binary logic of distinction. I contend that the meaning of any category is organized by multiplicity. In other words, for a category to be meaningful it needs to be rendered into a relatively coherent pattern from the perspective of one of its constituents, articulated out of many different constituent elements (Barát 2015). My objective was and </w:t>
      </w:r>
      <w:r w:rsidR="00913102" w:rsidRPr="00FB4EFA">
        <w:rPr>
          <w:lang w:val="en-IE"/>
        </w:rPr>
        <w:t xml:space="preserve">still </w:t>
      </w:r>
      <w:r w:rsidRPr="00FB4EFA">
        <w:rPr>
          <w:lang w:val="en-IE"/>
        </w:rPr>
        <w:t xml:space="preserve">is today to reclaim the category of identity for a political struggle of inclusivity that goes beyond an identitarian approach and allows for mom-hierarchical distinctions. The latter calls for the importance of considering the </w:t>
      </w:r>
      <w:r w:rsidRPr="00FB4EFA">
        <w:rPr>
          <w:i/>
          <w:iCs/>
          <w:lang w:val="en-IE"/>
        </w:rPr>
        <w:t xml:space="preserve">social life </w:t>
      </w:r>
      <w:r w:rsidRPr="00FB4EFA">
        <w:rPr>
          <w:lang w:val="en-IE"/>
        </w:rPr>
        <w:t>of a given category:</w:t>
      </w:r>
    </w:p>
    <w:p w14:paraId="38E21068" w14:textId="6A85602F" w:rsidR="001B3BDD" w:rsidRPr="00FB4EFA" w:rsidRDefault="001B3BDD" w:rsidP="002B0021">
      <w:pPr>
        <w:suppressAutoHyphens/>
        <w:spacing w:before="240" w:after="240" w:line="240" w:lineRule="auto"/>
        <w:ind w:left="709"/>
        <w:rPr>
          <w:sz w:val="20"/>
          <w:szCs w:val="20"/>
          <w:lang w:val="en-IE"/>
        </w:rPr>
      </w:pPr>
      <w:r w:rsidRPr="00FB4EFA">
        <w:rPr>
          <w:sz w:val="20"/>
          <w:szCs w:val="20"/>
          <w:lang w:val="en-IE"/>
        </w:rPr>
        <w:lastRenderedPageBreak/>
        <w:t>What comes to be politically possible for these categories to perform on particular imaginary horizons of intelligibility is an effect of the actual social conditions of their re/articulations. I believe it is this relative distinction between the logical (epistemological) and political (deontic) modalities of possibility [that the analysis of the social life of a category entails [precluding the collapse of contingency into arbitrariness]. (Barát</w:t>
      </w:r>
      <w:r w:rsidR="002B0021" w:rsidRPr="00FB4EFA">
        <w:rPr>
          <w:sz w:val="20"/>
          <w:szCs w:val="20"/>
          <w:lang w:val="en-IE"/>
        </w:rPr>
        <w:t> </w:t>
      </w:r>
      <w:r w:rsidRPr="00FB4EFA">
        <w:rPr>
          <w:sz w:val="20"/>
          <w:szCs w:val="20"/>
          <w:lang w:val="en-IE"/>
        </w:rPr>
        <w:t>2015, 152)</w:t>
      </w:r>
    </w:p>
    <w:p w14:paraId="539C3488" w14:textId="3ED4874D" w:rsidR="001B3BDD" w:rsidRPr="00FB4EFA" w:rsidRDefault="001B3BDD" w:rsidP="00B045FF">
      <w:pPr>
        <w:rPr>
          <w:lang w:val="en-GB"/>
        </w:rPr>
      </w:pPr>
      <w:r w:rsidRPr="00FB4EFA">
        <w:rPr>
          <w:lang w:val="en-GB"/>
        </w:rPr>
        <w:t>The understanding of multiplicity integral to the formation of potentially multiple categories entails a positionality, a location somewhere particular and a historically contingent perspective. That reads very similar to Donna Haraway’s (1988) epistemic dilemma. In modernist (feminist) knowledge production, argues Haraway, one is either to assume one and the same, omnipotent position (of God, that should correspond to the political position of the autocrat) versus embracing infinite number</w:t>
      </w:r>
      <w:r w:rsidR="00913102" w:rsidRPr="00FB4EFA">
        <w:rPr>
          <w:lang w:val="en-GB"/>
        </w:rPr>
        <w:t>s</w:t>
      </w:r>
      <w:r w:rsidRPr="00FB4EFA">
        <w:rPr>
          <w:lang w:val="en-GB"/>
        </w:rPr>
        <w:t xml:space="preserve"> of dispersed positions, albeit unevenly but being everywhere yet never </w:t>
      </w:r>
      <w:r w:rsidR="00EC1F7F" w:rsidRPr="00FB4EFA">
        <w:rPr>
          <w:lang w:val="en-GB"/>
        </w:rPr>
        <w:br/>
      </w:r>
      <w:r w:rsidR="00913102" w:rsidRPr="00FB4EFA">
        <w:rPr>
          <w:lang w:val="en-GB"/>
        </w:rPr>
        <w:t>any</w:t>
      </w:r>
      <w:r w:rsidRPr="00FB4EFA">
        <w:rPr>
          <w:lang w:val="en-GB"/>
        </w:rPr>
        <w:t xml:space="preserve">where specific. Whichever element of the epistemological binary we valorize, it will equally make accountability and, I would add, queer care unattainable. Haraway’s dilemma can be translated into the question of the non-exclusionary idea(l) of identity, entailing the possibility of conceptualizing taxonomies of difference beyond the Self/Other essentialist binary of othering. The question can be reformulated as a matter of differentiation as in “What has relationality got to do with self-transformation?” </w:t>
      </w:r>
      <w:r w:rsidR="00A425FC" w:rsidRPr="00FB4EFA">
        <w:rPr>
          <w:lang w:val="en-GB"/>
        </w:rPr>
        <w:t>– a</w:t>
      </w:r>
      <w:r w:rsidRPr="00FB4EFA">
        <w:rPr>
          <w:lang w:val="en-GB"/>
        </w:rPr>
        <w:t>nd my answer to that is inclusionary relationality of post-humanist queer care.</w:t>
      </w:r>
    </w:p>
    <w:p w14:paraId="2A981B93" w14:textId="2F796B7B" w:rsidR="001B3BDD" w:rsidRPr="00FB4EFA" w:rsidRDefault="001B3BDD" w:rsidP="00B045FF">
      <w:pPr>
        <w:ind w:firstLine="709"/>
        <w:rPr>
          <w:lang w:val="en-IE"/>
        </w:rPr>
      </w:pPr>
      <w:r w:rsidRPr="00FB4EFA">
        <w:rPr>
          <w:lang w:val="en-IE"/>
        </w:rPr>
        <w:t xml:space="preserve">Since this reformulation is most directly speaking to and beyond ‘identity politics’, the conditions of political (deontic) possibility of its formation requires the reconceptualization of power. Regarding the epistemological either/or binaries foregrounded by Haraway, the arbitrariness of ‘micro power’ unevenly dispersed everywhere is a Foucauldian position. Yet, it is possible to rethink it in terms of historical locatedness, </w:t>
      </w:r>
      <w:r w:rsidR="00466236" w:rsidRPr="00FB4EFA">
        <w:rPr>
          <w:lang w:val="en-IE"/>
        </w:rPr>
        <w:t>i.e., </w:t>
      </w:r>
      <w:r w:rsidRPr="00FB4EFA">
        <w:rPr>
          <w:lang w:val="en-IE"/>
        </w:rPr>
        <w:t xml:space="preserve">allowing for being somewhere particular without necessarily being caught in the hierarchy of the Anthropocene. I have proposed to start that reiteration from within the ‘productivity’ of Foucault’s power so that intelligibility of a category could be imaginable so that naming is not an act of exclusionary stigmatization. Power can </w:t>
      </w:r>
      <w:r w:rsidR="00A425FC" w:rsidRPr="00FB4EFA">
        <w:rPr>
          <w:lang w:val="en-IE"/>
        </w:rPr>
        <w:t>yield</w:t>
      </w:r>
      <w:r w:rsidRPr="00FB4EFA">
        <w:rPr>
          <w:lang w:val="en-IE"/>
        </w:rPr>
        <w:t xml:space="preserve"> not only hierarchies</w:t>
      </w:r>
      <w:r w:rsidR="00A425FC" w:rsidRPr="00FB4EFA">
        <w:rPr>
          <w:lang w:val="en-IE"/>
        </w:rPr>
        <w:t>,</w:t>
      </w:r>
      <w:r w:rsidRPr="00FB4EFA">
        <w:rPr>
          <w:lang w:val="en-IE"/>
        </w:rPr>
        <w:t xml:space="preserve"> but an inclusive system of life forms inflected with the equal values of </w:t>
      </w:r>
      <w:r w:rsidRPr="00FB4EFA">
        <w:rPr>
          <w:i/>
          <w:iCs/>
          <w:lang w:val="en-IE"/>
        </w:rPr>
        <w:t>capaci</w:t>
      </w:r>
      <w:r w:rsidRPr="00FB4EFA">
        <w:rPr>
          <w:i/>
          <w:iCs/>
          <w:lang w:val="en-IE"/>
        </w:rPr>
        <w:lastRenderedPageBreak/>
        <w:t xml:space="preserve">ties for expressivity and being affected, resulting in </w:t>
      </w:r>
      <w:r w:rsidRPr="00FB4EFA">
        <w:rPr>
          <w:lang w:val="en-IE"/>
        </w:rPr>
        <w:t>a decentred dynamic system of symmetrical relations to power:</w:t>
      </w:r>
    </w:p>
    <w:p w14:paraId="6AE70A28" w14:textId="77777777" w:rsidR="000121EA" w:rsidRPr="00FB4EFA" w:rsidRDefault="001B3BDD" w:rsidP="00AC1192">
      <w:pPr>
        <w:suppressAutoHyphens/>
        <w:spacing w:before="240" w:after="240" w:line="240" w:lineRule="auto"/>
        <w:ind w:left="709"/>
        <w:rPr>
          <w:sz w:val="20"/>
          <w:szCs w:val="20"/>
          <w:lang w:val="en-IE"/>
        </w:rPr>
      </w:pPr>
      <w:r w:rsidRPr="00FB4EFA">
        <w:rPr>
          <w:sz w:val="20"/>
          <w:szCs w:val="20"/>
          <w:lang w:val="en-IE"/>
        </w:rPr>
        <w:t xml:space="preserve">In terms of meaning production, the Foucaultian notion of productive power is only to deal in the possibility of subversion from within the so-called constitutive outside of counter-discourses. The appeal to counter-discourse makes the vexed question of how to name, how to categorize without ideological stigmatizing, an illegitimate concern. To make the question intelligible, we have to go beyond the logical assumption of unlimited contingency that, ironically, is the result of the reversal of the Same (located [in the privileged value of] power) versus Multiple ([values of] completely contingent power) binary. The re/presentation of future ideals therefore demands not only resistance and subversion that the concept of purely contingent productive power entails but transformative action. The latter is more than yet another </w:t>
      </w:r>
      <w:r w:rsidRPr="00FB4EFA">
        <w:rPr>
          <w:i/>
          <w:iCs/>
          <w:sz w:val="20"/>
          <w:szCs w:val="20"/>
          <w:lang w:val="en-IE"/>
        </w:rPr>
        <w:t>counter</w:t>
      </w:r>
      <w:r w:rsidRPr="00FB4EFA">
        <w:rPr>
          <w:sz w:val="20"/>
          <w:szCs w:val="20"/>
          <w:lang w:val="en-IE"/>
        </w:rPr>
        <w:t xml:space="preserve">-discourse. It is a discourse of </w:t>
      </w:r>
      <w:r w:rsidRPr="00FB4EFA">
        <w:rPr>
          <w:i/>
          <w:iCs/>
          <w:sz w:val="20"/>
          <w:szCs w:val="20"/>
          <w:lang w:val="en-IE"/>
        </w:rPr>
        <w:t>dis-</w:t>
      </w:r>
      <w:r w:rsidRPr="00FB4EFA">
        <w:rPr>
          <w:sz w:val="20"/>
          <w:szCs w:val="20"/>
          <w:lang w:val="en-IE"/>
        </w:rPr>
        <w:t>identification informed by some logic of non-binary differentiation [introducing the categorization of multiple and relative distinctions beyond binaries]. That discourse would allow, for instance, us to articulate the meaning of foreignness in association with curiosity and desire that goes beyond the ideological investments” (Barát 2013, 223; italics added)</w:t>
      </w:r>
    </w:p>
    <w:p w14:paraId="05DD53B3" w14:textId="23400AB2" w:rsidR="001B3BDD" w:rsidRPr="00FB4EFA" w:rsidRDefault="001B3BDD" w:rsidP="00B045FF">
      <w:pPr>
        <w:rPr>
          <w:lang w:val="en-IE"/>
        </w:rPr>
      </w:pPr>
      <w:r w:rsidRPr="00FB4EFA">
        <w:rPr>
          <w:lang w:val="en-IE"/>
        </w:rPr>
        <w:t>In the face of the excessive human exceptionalism that hinges on the hegemony of male masculinity I propose the formation of an inclusive queer solidarity based on the intimation of trust, in fact an “act of solidarity grounded in MacCormack’s “</w:t>
      </w:r>
      <w:r w:rsidRPr="00FB4EFA">
        <w:rPr>
          <w:i/>
          <w:iCs/>
          <w:lang w:val="en-IE"/>
        </w:rPr>
        <w:t>care</w:t>
      </w:r>
      <w:r w:rsidRPr="00FB4EFA">
        <w:rPr>
          <w:lang w:val="en-IE"/>
        </w:rPr>
        <w:t xml:space="preserve">” coupled with “trust” – resulting in a new mode of belonging and attachment. The concept of trust is inspired by Lauren Berlant’s (1998) concept of intimacy that is defined as “mobile processes of attachment” (ibid., 286), where attachment will be negotiated through a </w:t>
      </w:r>
      <w:r w:rsidRPr="00FB4EFA">
        <w:rPr>
          <w:i/>
          <w:iCs/>
          <w:lang w:val="en-IE"/>
        </w:rPr>
        <w:t>chain of disassociations</w:t>
      </w:r>
      <w:r w:rsidRPr="00FB4EFA">
        <w:rPr>
          <w:lang w:val="en-IE"/>
        </w:rPr>
        <w:t xml:space="preserve"> from the hegemonic logic that contends “only one plot counts as ‘life’” (286) as long as I can trust to disagree, as the condition for MacCormack’s consistent metamorphism. Similarly, the ground for solidarity could be for us to disassociate from the idea that only one meaning of woman should count as “properly human female” and unite against the hegemonic ideal of manhood as the ultimate value on the anthropomorphic scale of speciesism, caring for women and cats as equal beings of integrity.</w:t>
      </w:r>
    </w:p>
    <w:p w14:paraId="16E0B5E6" w14:textId="77777777" w:rsidR="001B3BDD" w:rsidRPr="00FB4EFA" w:rsidRDefault="001B3BDD" w:rsidP="00545033">
      <w:pPr>
        <w:pStyle w:val="Heading2"/>
        <w:suppressAutoHyphens/>
        <w:spacing w:line="259" w:lineRule="auto"/>
        <w:rPr>
          <w:color w:val="auto"/>
          <w:lang w:val="en-IE"/>
        </w:rPr>
      </w:pPr>
      <w:r w:rsidRPr="00FB4EFA">
        <w:rPr>
          <w:color w:val="auto"/>
          <w:lang w:val="en-IE"/>
        </w:rPr>
        <w:lastRenderedPageBreak/>
        <w:t>Coda</w:t>
      </w:r>
    </w:p>
    <w:p w14:paraId="36141184" w14:textId="6AD1E27E" w:rsidR="000121EA" w:rsidRPr="00FB4EFA" w:rsidRDefault="001B3BDD" w:rsidP="00AF0CAD">
      <w:pPr>
        <w:rPr>
          <w:lang w:val="en-IE"/>
        </w:rPr>
      </w:pPr>
      <w:r w:rsidRPr="00FB4EFA">
        <w:rPr>
          <w:lang w:val="en-IE"/>
        </w:rPr>
        <w:t>In my contribution I have argued for the possibility of imagining practices of being made a subject without being caught in a hierarchy: neither in relation to other human being</w:t>
      </w:r>
      <w:r w:rsidR="00A425FC" w:rsidRPr="00FB4EFA">
        <w:rPr>
          <w:lang w:val="en-IE"/>
        </w:rPr>
        <w:t>s</w:t>
      </w:r>
      <w:r w:rsidRPr="00FB4EFA">
        <w:rPr>
          <w:lang w:val="en-IE"/>
        </w:rPr>
        <w:t xml:space="preserve"> nor in relation to other nonhuman beings in the name of a polyvocal solidarity and care that can help us resist the majoritarian reign of either/or binaries lying at the core of vulnerability and precarity of contemporary life. I have turned to queer post-human theory to navigate the contradictory demand of validating the demands of those underrepresented for representation and the criticism of identity politics that sees identity as a matter of mere symbolic representation. To cut across the multiple systems of binary categorization, I integrated my own earlier works that rethink empowerment beyond its majoritarian binary understanding of ahistorical universal hierarchy versus infinite symbolic formations of arbitrariness with Patricia MacCormack’s critique of identity politics “that seeks not so much to change the signifying system – a project inherent to the ahuman manifesto – but to change the suffix signifiers and attempt to resignify the value and qualities of the signified, […] in order to produce collectives who can fight as one” </w:t>
      </w:r>
      <w:r w:rsidR="00EC1F7F" w:rsidRPr="00FB4EFA">
        <w:rPr>
          <w:lang w:val="en-IE"/>
        </w:rPr>
        <w:br/>
      </w:r>
      <w:r w:rsidRPr="00FB4EFA">
        <w:rPr>
          <w:lang w:val="en-IE"/>
        </w:rPr>
        <w:t>(MacCormack 2020, 35–36). I have argued, drawing on Wendy Brown’s (2010) concept that in order to understand the possibility of changing the signifying system, i.e.</w:t>
      </w:r>
      <w:r w:rsidR="00F700B0" w:rsidRPr="00FB4EFA">
        <w:rPr>
          <w:lang w:val="en-IE"/>
        </w:rPr>
        <w:t>,</w:t>
      </w:r>
      <w:r w:rsidRPr="00FB4EFA">
        <w:rPr>
          <w:lang w:val="en-IE"/>
        </w:rPr>
        <w:t xml:space="preserve"> what I call the discursive articulation of a non-binary logic of categorization, it was my love of cats, which I certainly share with Johanna, that invited me to rethink my non-exclusionary model of identity through embracing the joy of all lives, challenging human exceptionalism, inviting the reader to see that we are simply part of the ecosystem. And finally, I’d like to reiterate that, in the name of the autobiographical locatedness of research, I selected several publications in the academic trajectory of my life that were stimulated by events I could enjoy due to the kind invitations from colleagues in Austrian academia.</w:t>
      </w:r>
    </w:p>
    <w:p w14:paraId="636257E9" w14:textId="3C7D82EA" w:rsidR="001B3BDD" w:rsidRPr="00FB4EFA" w:rsidRDefault="001B3BDD" w:rsidP="00545033">
      <w:pPr>
        <w:pStyle w:val="Heading2"/>
        <w:suppressAutoHyphens/>
        <w:spacing w:line="259" w:lineRule="auto"/>
        <w:rPr>
          <w:color w:val="auto"/>
          <w:lang w:val="en-IE"/>
        </w:rPr>
      </w:pPr>
      <w:r w:rsidRPr="00FB4EFA">
        <w:rPr>
          <w:color w:val="auto"/>
          <w:lang w:val="en-IE"/>
        </w:rPr>
        <w:t>References</w:t>
      </w:r>
    </w:p>
    <w:p w14:paraId="4ED37DD4" w14:textId="77777777" w:rsidR="001B3BDD" w:rsidRPr="00FB4EFA" w:rsidRDefault="001B3BDD" w:rsidP="00EC1F7F">
      <w:pPr>
        <w:suppressAutoHyphens/>
        <w:spacing w:line="240" w:lineRule="auto"/>
        <w:ind w:left="426" w:hanging="426"/>
        <w:rPr>
          <w:lang w:val="en-IE"/>
        </w:rPr>
      </w:pPr>
      <w:bookmarkStart w:id="9" w:name="_Hlk23587213"/>
      <w:r w:rsidRPr="00FB4EFA">
        <w:rPr>
          <w:lang w:val="en-IE"/>
        </w:rPr>
        <w:t xml:space="preserve">Barát, Erzsébet. 2000. </w:t>
      </w:r>
      <w:r w:rsidRPr="00FB4EFA">
        <w:rPr>
          <w:i/>
          <w:lang w:val="en-IE"/>
        </w:rPr>
        <w:t>A Relational Model of Identity: Negotiating (non-oppressive) relations of power in (researching) Hungarian women’s life narratives</w:t>
      </w:r>
      <w:r w:rsidRPr="00FB4EFA">
        <w:rPr>
          <w:lang w:val="en-IE"/>
        </w:rPr>
        <w:t>. Lancaster: Lancaster University PhD thesis.</w:t>
      </w:r>
    </w:p>
    <w:p w14:paraId="228F1558" w14:textId="4EBD3209" w:rsidR="001B3BDD" w:rsidRPr="00FB4EFA" w:rsidRDefault="001B3BDD" w:rsidP="00EC1F7F">
      <w:pPr>
        <w:suppressAutoHyphens/>
        <w:spacing w:line="240" w:lineRule="auto"/>
        <w:ind w:left="426" w:hanging="426"/>
        <w:rPr>
          <w:szCs w:val="24"/>
          <w:lang w:val="en-IE"/>
        </w:rPr>
      </w:pPr>
      <w:r w:rsidRPr="00FB4EFA">
        <w:rPr>
          <w:szCs w:val="24"/>
          <w:lang w:val="en-IE"/>
        </w:rPr>
        <w:lastRenderedPageBreak/>
        <w:t xml:space="preserve">Barát, Erzsébet. 2013. </w:t>
      </w:r>
      <w:r w:rsidRPr="00FB4EFA">
        <w:rPr>
          <w:szCs w:val="24"/>
          <w:lang w:val="en-IE" w:eastAsia="en-GB"/>
        </w:rPr>
        <w:t>The differentiation of linguistic and cultural diversity: Critical analysis of migrants’ ideological investments in the desire for belonging.</w:t>
      </w:r>
      <w:r w:rsidRPr="00FB4EFA">
        <w:rPr>
          <w:szCs w:val="24"/>
          <w:lang w:val="en-IE"/>
        </w:rPr>
        <w:t xml:space="preserve"> In Erzsébet Barát, Patrick Studer</w:t>
      </w:r>
      <w:r w:rsidR="003371FC" w:rsidRPr="00FB4EFA">
        <w:rPr>
          <w:szCs w:val="24"/>
          <w:lang w:val="en-IE"/>
        </w:rPr>
        <w:t xml:space="preserve"> &amp; </w:t>
      </w:r>
      <w:r w:rsidRPr="00FB4EFA">
        <w:rPr>
          <w:szCs w:val="24"/>
          <w:lang w:val="en-IE"/>
        </w:rPr>
        <w:t xml:space="preserve">Jirí Nekvapil (eds.), </w:t>
      </w:r>
      <w:r w:rsidRPr="00FB4EFA">
        <w:rPr>
          <w:i/>
          <w:szCs w:val="24"/>
          <w:lang w:val="en-IE"/>
        </w:rPr>
        <w:t xml:space="preserve">Ideological Conceptualizations of Language: Discourses of Linguistic Diversity, </w:t>
      </w:r>
      <w:r w:rsidRPr="00FB4EFA">
        <w:rPr>
          <w:szCs w:val="24"/>
          <w:lang w:val="en-IE"/>
        </w:rPr>
        <w:t>21</w:t>
      </w:r>
      <w:r w:rsidR="00C65823" w:rsidRPr="00FB4EFA">
        <w:rPr>
          <w:szCs w:val="24"/>
          <w:lang w:val="en-IE"/>
        </w:rPr>
        <w:t>7–2</w:t>
      </w:r>
      <w:r w:rsidRPr="00FB4EFA">
        <w:rPr>
          <w:szCs w:val="24"/>
          <w:lang w:val="en-IE"/>
        </w:rPr>
        <w:t xml:space="preserve">48. Prague Papers on Language, Society and Interaction 3. </w:t>
      </w:r>
      <w:r w:rsidR="00BC5B64" w:rsidRPr="00FB4EFA">
        <w:rPr>
          <w:szCs w:val="24"/>
          <w:lang w:val="en-IE"/>
        </w:rPr>
        <w:t xml:space="preserve">Frankfurt am Main: </w:t>
      </w:r>
      <w:r w:rsidRPr="00FB4EFA">
        <w:rPr>
          <w:szCs w:val="24"/>
          <w:lang w:val="en-IE"/>
        </w:rPr>
        <w:t>Peter Lang.</w:t>
      </w:r>
    </w:p>
    <w:p w14:paraId="663296F3" w14:textId="5793C7AB" w:rsidR="001B3BDD" w:rsidRPr="00FB4EFA" w:rsidRDefault="001B3BDD" w:rsidP="00EC1F7F">
      <w:pPr>
        <w:suppressAutoHyphens/>
        <w:spacing w:line="240" w:lineRule="auto"/>
        <w:ind w:left="426" w:hanging="426"/>
        <w:rPr>
          <w:lang w:val="en-IE"/>
        </w:rPr>
      </w:pPr>
      <w:r w:rsidRPr="00FB4EFA">
        <w:rPr>
          <w:lang w:val="en-IE"/>
        </w:rPr>
        <w:t xml:space="preserve">Barát, Erzsébet. 2015. The </w:t>
      </w:r>
      <w:r w:rsidRPr="00FB4EFA">
        <w:rPr>
          <w:bCs/>
          <w:lang w:val="en-IE"/>
        </w:rPr>
        <w:t xml:space="preserve">Politics of ‘Identity’: </w:t>
      </w:r>
      <w:r w:rsidRPr="00FB4EFA">
        <w:rPr>
          <w:lang w:val="en-IE"/>
        </w:rPr>
        <w:t xml:space="preserve">Towards a Dialectical Relationship of Sexual ‘Identity’ and ‘Desire’. In Erna Appelt, Elisabeth Grabner-Niel, Marion Jarosch, &amp; Michaela Ralser (eds.), </w:t>
      </w:r>
      <w:r w:rsidRPr="00FB4EFA">
        <w:rPr>
          <w:i/>
          <w:lang w:val="en-IE"/>
        </w:rPr>
        <w:t>Identitätenverhandeln – Identitäten de/konstruieren</w:t>
      </w:r>
      <w:r w:rsidR="003371FC" w:rsidRPr="00FB4EFA">
        <w:rPr>
          <w:lang w:val="en-IE"/>
        </w:rPr>
        <w:t>, 151–174</w:t>
      </w:r>
      <w:r w:rsidRPr="00FB4EFA">
        <w:rPr>
          <w:lang w:val="en-IE"/>
        </w:rPr>
        <w:t>. Innsbrucker Gender Lectures III. Innsbruck: Innsbruck University Press.</w:t>
      </w:r>
    </w:p>
    <w:p w14:paraId="3DD5DB25" w14:textId="6B7904C7" w:rsidR="001B3BDD" w:rsidRPr="00FB4EFA" w:rsidRDefault="001B3BDD" w:rsidP="00EC1F7F">
      <w:pPr>
        <w:suppressAutoHyphens/>
        <w:spacing w:line="240" w:lineRule="auto"/>
        <w:ind w:left="426" w:hanging="426"/>
        <w:rPr>
          <w:rFonts w:cs="Charis SIL"/>
          <w:lang w:val="en-IE"/>
        </w:rPr>
      </w:pPr>
      <w:r w:rsidRPr="00FB4EFA">
        <w:rPr>
          <w:rFonts w:cs="Charis SIL"/>
          <w:lang w:val="en-IE"/>
        </w:rPr>
        <w:t xml:space="preserve">Barát, Erzsébet. 2016. </w:t>
      </w:r>
      <w:bookmarkStart w:id="10" w:name="_Hlk47091128"/>
      <w:r w:rsidRPr="00FB4EFA">
        <w:rPr>
          <w:rFonts w:cs="Charis SIL"/>
          <w:lang w:val="en-IE"/>
        </w:rPr>
        <w:t xml:space="preserve">For Embedded Distinctions of Precarity and Identity – </w:t>
      </w:r>
      <w:r w:rsidRPr="00FB4EFA">
        <w:rPr>
          <w:rFonts w:cs="Charis SIL"/>
          <w:shd w:val="clear" w:color="auto" w:fill="FFFFFF"/>
          <w:lang w:val="en-IE"/>
        </w:rPr>
        <w:t>Seminar on Judith Butler’s ‘Notes Toward a Performative Theory of Assembly.’</w:t>
      </w:r>
      <w:r w:rsidRPr="00FB4EFA">
        <w:rPr>
          <w:rFonts w:cs="Charis SIL"/>
          <w:b/>
          <w:lang w:val="en-IE"/>
        </w:rPr>
        <w:t xml:space="preserve"> </w:t>
      </w:r>
      <w:r w:rsidRPr="00FB4EFA">
        <w:rPr>
          <w:rFonts w:cs="Charis SIL"/>
          <w:i/>
          <w:lang w:val="en-IE"/>
        </w:rPr>
        <w:t>FILOZOFIJA I DRUŠTVO / Philosophy and Society</w:t>
      </w:r>
      <w:r w:rsidRPr="00FB4EFA">
        <w:rPr>
          <w:rFonts w:cs="Charis SIL"/>
          <w:lang w:val="en-IE"/>
        </w:rPr>
        <w:t xml:space="preserve"> 27</w:t>
      </w:r>
      <w:r w:rsidR="001E161A" w:rsidRPr="00FB4EFA">
        <w:rPr>
          <w:rFonts w:cs="Charis SIL"/>
          <w:lang w:val="en-IE"/>
        </w:rPr>
        <w:t xml:space="preserve"> </w:t>
      </w:r>
      <w:r w:rsidRPr="00FB4EFA">
        <w:rPr>
          <w:rFonts w:cs="Charis SIL"/>
          <w:lang w:val="en-IE"/>
        </w:rPr>
        <w:t>(1)</w:t>
      </w:r>
      <w:r w:rsidR="003371FC" w:rsidRPr="00FB4EFA">
        <w:rPr>
          <w:rFonts w:cs="Charis SIL"/>
          <w:lang w:val="en-IE"/>
        </w:rPr>
        <w:t>.</w:t>
      </w:r>
      <w:r w:rsidRPr="00FB4EFA">
        <w:rPr>
          <w:rFonts w:cs="Charis SIL"/>
          <w:lang w:val="en-IE"/>
        </w:rPr>
        <w:t xml:space="preserve"> 6</w:t>
      </w:r>
      <w:r w:rsidR="00C65823" w:rsidRPr="00FB4EFA">
        <w:rPr>
          <w:rFonts w:cs="Charis SIL"/>
          <w:lang w:val="en-IE"/>
        </w:rPr>
        <w:t>4–6</w:t>
      </w:r>
      <w:r w:rsidRPr="00FB4EFA">
        <w:rPr>
          <w:rFonts w:cs="Charis SIL"/>
          <w:lang w:val="en-IE"/>
        </w:rPr>
        <w:t>6.</w:t>
      </w:r>
      <w:bookmarkEnd w:id="10"/>
      <w:r w:rsidRPr="00FB4EFA">
        <w:rPr>
          <w:rFonts w:cs="Charis SIL"/>
          <w:lang w:val="en-IE"/>
        </w:rPr>
        <w:t xml:space="preserve"> </w:t>
      </w:r>
      <w:hyperlink r:id="rId29" w:history="1">
        <w:r w:rsidRPr="00FB4EFA">
          <w:rPr>
            <w:rFonts w:cs="Charis SIL"/>
            <w:u w:val="single"/>
            <w:lang w:val="en-IE"/>
          </w:rPr>
          <w:t>journal.instifdt.bg.ac.rs/index.php/fid/issue</w:t>
        </w:r>
        <w:r w:rsidR="00EC1F7F" w:rsidRPr="00FB4EFA">
          <w:rPr>
            <w:rFonts w:cs="Charis SIL"/>
            <w:u w:val="single"/>
            <w:lang w:val="en-IE"/>
          </w:rPr>
          <w:br/>
        </w:r>
        <w:r w:rsidRPr="00FB4EFA">
          <w:rPr>
            <w:rFonts w:cs="Charis SIL"/>
            <w:u w:val="single"/>
            <w:lang w:val="en-IE"/>
          </w:rPr>
          <w:t>/view/31/FID-2016-1</w:t>
        </w:r>
      </w:hyperlink>
      <w:r w:rsidR="00875DD7" w:rsidRPr="00FB4EFA">
        <w:rPr>
          <w:rFonts w:cs="Charis SIL"/>
          <w:lang w:val="en-IE"/>
        </w:rPr>
        <w:t>.</w:t>
      </w:r>
    </w:p>
    <w:p w14:paraId="5044DF60" w14:textId="370CF55D" w:rsidR="001B3BDD" w:rsidRPr="00FB4EFA" w:rsidRDefault="001B3BDD" w:rsidP="00EC1F7F">
      <w:pPr>
        <w:suppressAutoHyphens/>
        <w:spacing w:line="240" w:lineRule="auto"/>
        <w:ind w:left="426" w:hanging="426"/>
        <w:rPr>
          <w:lang w:val="en-IE"/>
        </w:rPr>
      </w:pPr>
      <w:r w:rsidRPr="00FB4EFA">
        <w:rPr>
          <w:lang w:val="en-IE"/>
        </w:rPr>
        <w:t xml:space="preserve">Barát, Erzsébet. 2021. </w:t>
      </w:r>
      <w:r w:rsidRPr="00FB4EFA">
        <w:rPr>
          <w:bCs/>
          <w:lang w:val="en-IE"/>
        </w:rPr>
        <w:t xml:space="preserve">Populist Discourse and Desire for Social Justice. In Kira Hall &amp; Rusty Barret (eds.), </w:t>
      </w:r>
      <w:r w:rsidRPr="00FB4EFA">
        <w:rPr>
          <w:bCs/>
          <w:i/>
          <w:lang w:val="en-IE"/>
        </w:rPr>
        <w:t>The Oxford Handbook of Language and Sexuality</w:t>
      </w:r>
      <w:r w:rsidRPr="00FB4EFA">
        <w:rPr>
          <w:bCs/>
          <w:lang w:val="en-IE"/>
        </w:rPr>
        <w:t>. Oxford: Oxford University Press.</w:t>
      </w:r>
    </w:p>
    <w:p w14:paraId="7D3A43E8" w14:textId="57A54659" w:rsidR="001B3BDD" w:rsidRPr="00FB4EFA" w:rsidRDefault="001B3BDD" w:rsidP="00EC1F7F">
      <w:pPr>
        <w:suppressAutoHyphens/>
        <w:spacing w:line="240" w:lineRule="auto"/>
        <w:ind w:left="426" w:hanging="426"/>
        <w:rPr>
          <w:lang w:val="en-IE"/>
        </w:rPr>
      </w:pPr>
      <w:r w:rsidRPr="00FB4EFA">
        <w:rPr>
          <w:lang w:val="en-IE"/>
        </w:rPr>
        <w:t xml:space="preserve">Berlant, Lauren. 1998. Intimacy: A special issue. </w:t>
      </w:r>
      <w:r w:rsidRPr="00FB4EFA">
        <w:rPr>
          <w:i/>
          <w:lang w:val="en-IE"/>
        </w:rPr>
        <w:t>Critical Inquiry</w:t>
      </w:r>
      <w:r w:rsidRPr="00FB4EFA">
        <w:rPr>
          <w:lang w:val="en-IE"/>
        </w:rPr>
        <w:t xml:space="preserve"> 24</w:t>
      </w:r>
      <w:r w:rsidR="00875DD7" w:rsidRPr="00FB4EFA">
        <w:rPr>
          <w:lang w:val="en-IE"/>
        </w:rPr>
        <w:t xml:space="preserve"> </w:t>
      </w:r>
      <w:r w:rsidRPr="00FB4EFA">
        <w:rPr>
          <w:lang w:val="en-IE"/>
        </w:rPr>
        <w:t>(2)</w:t>
      </w:r>
      <w:r w:rsidR="006E06D0" w:rsidRPr="00FB4EFA">
        <w:rPr>
          <w:lang w:val="en-IE"/>
        </w:rPr>
        <w:t>.</w:t>
      </w:r>
      <w:r w:rsidRPr="00FB4EFA">
        <w:rPr>
          <w:lang w:val="en-IE"/>
        </w:rPr>
        <w:t xml:space="preserve"> 281–288.</w:t>
      </w:r>
    </w:p>
    <w:p w14:paraId="3F4C19E9" w14:textId="77777777" w:rsidR="001B3BDD" w:rsidRPr="00FB4EFA" w:rsidRDefault="001B3BDD" w:rsidP="00EC1F7F">
      <w:pPr>
        <w:suppressAutoHyphens/>
        <w:spacing w:line="240" w:lineRule="auto"/>
        <w:ind w:left="426" w:hanging="426"/>
        <w:rPr>
          <w:lang w:val="en-IE"/>
        </w:rPr>
      </w:pPr>
      <w:r w:rsidRPr="00FB4EFA">
        <w:rPr>
          <w:lang w:val="en-IE"/>
        </w:rPr>
        <w:t xml:space="preserve">Gal, Susan &amp; Gail Kligman. 2000. </w:t>
      </w:r>
      <w:r w:rsidRPr="00FB4EFA">
        <w:rPr>
          <w:i/>
          <w:lang w:val="en-IE"/>
        </w:rPr>
        <w:t>The Politics of Gender After Socialism</w:t>
      </w:r>
      <w:r w:rsidRPr="00FB4EFA">
        <w:rPr>
          <w:lang w:val="en-IE"/>
        </w:rPr>
        <w:t>. Princeton: Princeton University Press.</w:t>
      </w:r>
    </w:p>
    <w:p w14:paraId="658AD895" w14:textId="5AB52663" w:rsidR="001B3BDD" w:rsidRPr="00FB4EFA" w:rsidRDefault="001B3BDD" w:rsidP="00EC1F7F">
      <w:pPr>
        <w:suppressAutoHyphens/>
        <w:spacing w:line="240" w:lineRule="auto"/>
        <w:ind w:left="426" w:hanging="426"/>
        <w:rPr>
          <w:lang w:val="en-IE"/>
        </w:rPr>
      </w:pPr>
      <w:r w:rsidRPr="00FB4EFA">
        <w:rPr>
          <w:lang w:val="en-IE"/>
        </w:rPr>
        <w:t xml:space="preserve">Gardiner, Judith Kegan. 1984. Gender, Values, and Lessing’s Cats. </w:t>
      </w:r>
      <w:r w:rsidRPr="00FB4EFA">
        <w:rPr>
          <w:i/>
          <w:lang w:val="en-IE"/>
        </w:rPr>
        <w:t>Tulsa Studies in Women’s Literature</w:t>
      </w:r>
      <w:r w:rsidRPr="00FB4EFA">
        <w:rPr>
          <w:lang w:val="en-IE"/>
        </w:rPr>
        <w:t>. 3</w:t>
      </w:r>
      <w:r w:rsidR="00875DD7" w:rsidRPr="00FB4EFA">
        <w:rPr>
          <w:lang w:val="en-IE"/>
        </w:rPr>
        <w:t xml:space="preserve"> </w:t>
      </w:r>
      <w:r w:rsidRPr="00FB4EFA">
        <w:rPr>
          <w:lang w:val="en-IE"/>
        </w:rPr>
        <w:t>(1</w:t>
      </w:r>
      <w:r w:rsidR="00875DD7" w:rsidRPr="00FB4EFA">
        <w:rPr>
          <w:lang w:val="en-IE"/>
        </w:rPr>
        <w:t>–</w:t>
      </w:r>
      <w:r w:rsidRPr="00FB4EFA">
        <w:rPr>
          <w:lang w:val="en-IE"/>
        </w:rPr>
        <w:t>2)</w:t>
      </w:r>
      <w:r w:rsidR="006B0534" w:rsidRPr="00FB4EFA">
        <w:rPr>
          <w:lang w:val="en-IE"/>
        </w:rPr>
        <w:t>.</w:t>
      </w:r>
      <w:r w:rsidRPr="00FB4EFA">
        <w:rPr>
          <w:lang w:val="en-IE"/>
        </w:rPr>
        <w:t xml:space="preserve"> 11</w:t>
      </w:r>
      <w:r w:rsidR="00C65823" w:rsidRPr="00FB4EFA">
        <w:rPr>
          <w:lang w:val="en-IE"/>
        </w:rPr>
        <w:t>1–1</w:t>
      </w:r>
      <w:r w:rsidRPr="00FB4EFA">
        <w:rPr>
          <w:lang w:val="en-IE"/>
        </w:rPr>
        <w:t>24.</w:t>
      </w:r>
    </w:p>
    <w:p w14:paraId="1AA3BD46" w14:textId="77777777" w:rsidR="001B3BDD" w:rsidRPr="00FB4EFA" w:rsidRDefault="001B3BDD" w:rsidP="00EC1F7F">
      <w:pPr>
        <w:suppressAutoHyphens/>
        <w:spacing w:line="240" w:lineRule="auto"/>
        <w:ind w:left="426" w:hanging="426"/>
        <w:rPr>
          <w:lang w:val="en-IE"/>
        </w:rPr>
      </w:pPr>
      <w:r w:rsidRPr="00FB4EFA">
        <w:rPr>
          <w:lang w:val="en-IE"/>
        </w:rPr>
        <w:t xml:space="preserve">Halberstam, J. Jack. 1998. </w:t>
      </w:r>
      <w:r w:rsidRPr="00FB4EFA">
        <w:rPr>
          <w:i/>
          <w:lang w:val="en-IE"/>
        </w:rPr>
        <w:t>Female Masculinity</w:t>
      </w:r>
      <w:r w:rsidRPr="00FB4EFA">
        <w:rPr>
          <w:lang w:val="en-IE"/>
        </w:rPr>
        <w:t>. Durham, NC: Duke University Press.</w:t>
      </w:r>
    </w:p>
    <w:p w14:paraId="16A0E48C" w14:textId="5F23FD84" w:rsidR="001B3BDD" w:rsidRPr="00FB4EFA" w:rsidRDefault="001B3BDD" w:rsidP="00EC1F7F">
      <w:pPr>
        <w:suppressAutoHyphens/>
        <w:spacing w:line="240" w:lineRule="auto"/>
        <w:ind w:left="426" w:hanging="426"/>
        <w:rPr>
          <w:spacing w:val="-4"/>
          <w:lang w:val="en-IE"/>
        </w:rPr>
      </w:pPr>
      <w:r w:rsidRPr="00FB4EFA">
        <w:rPr>
          <w:lang w:val="en-IE"/>
        </w:rPr>
        <w:t xml:space="preserve">Haraway, Donna. 1988. </w:t>
      </w:r>
      <w:r w:rsidRPr="00FB4EFA">
        <w:rPr>
          <w:spacing w:val="-4"/>
          <w:lang w:val="en-IE"/>
        </w:rPr>
        <w:t xml:space="preserve">Situated Knowledges: The Science Question in Feminism and the Privilege of Partial Perspective. </w:t>
      </w:r>
      <w:r w:rsidRPr="00FB4EFA">
        <w:rPr>
          <w:rFonts w:eastAsia="Times New Roman"/>
          <w:i/>
          <w:spacing w:val="-5"/>
          <w:lang w:val="en-IE"/>
        </w:rPr>
        <w:t>Feminist Studies</w:t>
      </w:r>
      <w:r w:rsidRPr="00FB4EFA">
        <w:rPr>
          <w:rFonts w:eastAsia="Times New Roman"/>
          <w:spacing w:val="-5"/>
          <w:lang w:val="en-IE"/>
        </w:rPr>
        <w:t>. 14</w:t>
      </w:r>
      <w:r w:rsidR="00C65823" w:rsidRPr="00FB4EFA">
        <w:rPr>
          <w:rFonts w:eastAsia="Times New Roman"/>
          <w:spacing w:val="-5"/>
          <w:lang w:val="en-IE"/>
        </w:rPr>
        <w:t xml:space="preserve"> (</w:t>
      </w:r>
      <w:r w:rsidRPr="00FB4EFA">
        <w:rPr>
          <w:rFonts w:eastAsia="Times New Roman"/>
          <w:spacing w:val="-5"/>
          <w:lang w:val="en-IE"/>
        </w:rPr>
        <w:t>3</w:t>
      </w:r>
      <w:r w:rsidR="00C65823" w:rsidRPr="00FB4EFA">
        <w:rPr>
          <w:rFonts w:eastAsia="Times New Roman"/>
          <w:spacing w:val="-5"/>
          <w:lang w:val="en-IE"/>
        </w:rPr>
        <w:t>).</w:t>
      </w:r>
      <w:r w:rsidRPr="00FB4EFA">
        <w:rPr>
          <w:rFonts w:eastAsia="Times New Roman"/>
          <w:spacing w:val="-5"/>
          <w:lang w:val="en-IE"/>
        </w:rPr>
        <w:t xml:space="preserve"> 57</w:t>
      </w:r>
      <w:r w:rsidR="00C65823" w:rsidRPr="00FB4EFA">
        <w:rPr>
          <w:rFonts w:eastAsia="Times New Roman"/>
          <w:spacing w:val="-5"/>
          <w:lang w:val="en-IE"/>
        </w:rPr>
        <w:t>5–5</w:t>
      </w:r>
      <w:r w:rsidRPr="00FB4EFA">
        <w:rPr>
          <w:rFonts w:eastAsia="Times New Roman"/>
          <w:spacing w:val="-5"/>
          <w:lang w:val="en-IE"/>
        </w:rPr>
        <w:t>99.</w:t>
      </w:r>
    </w:p>
    <w:p w14:paraId="356C9897" w14:textId="0B06058F" w:rsidR="001B3BDD" w:rsidRPr="00FB4EFA" w:rsidRDefault="001B3BDD" w:rsidP="00EC1F7F">
      <w:pPr>
        <w:suppressAutoHyphens/>
        <w:spacing w:line="240" w:lineRule="auto"/>
        <w:ind w:left="426" w:hanging="426"/>
        <w:rPr>
          <w:rFonts w:cs="Charis SIL"/>
          <w:szCs w:val="24"/>
          <w:lang w:val="en-IE"/>
        </w:rPr>
      </w:pPr>
      <w:r w:rsidRPr="00FB4EFA">
        <w:rPr>
          <w:shd w:val="clear" w:color="auto" w:fill="FFFFFF"/>
          <w:lang w:val="en-IE"/>
        </w:rPr>
        <w:t xml:space="preserve">Laakso, Johanna. 2018. </w:t>
      </w:r>
      <w:r w:rsidRPr="00FB4EFA">
        <w:rPr>
          <w:lang w:val="en-IE"/>
        </w:rPr>
        <w:t>’Oops, it went</w:t>
      </w:r>
      <w:r w:rsidR="003937A2" w:rsidRPr="00FB4EFA">
        <w:rPr>
          <w:lang w:val="en-IE"/>
        </w:rPr>
        <w:t xml:space="preserve"> </w:t>
      </w:r>
      <w:r w:rsidRPr="00FB4EFA">
        <w:rPr>
          <w:lang w:val="en-IE"/>
        </w:rPr>
        <w:t xml:space="preserve">viral’– Johanna Laakso’s analysis of Orbán’s claim of Turkic origin of Hungarian. </w:t>
      </w:r>
      <w:r w:rsidRPr="00FB4EFA">
        <w:rPr>
          <w:i/>
          <w:lang w:val="en-IE"/>
        </w:rPr>
        <w:t xml:space="preserve">Hungarian </w:t>
      </w:r>
      <w:r w:rsidRPr="00FB4EFA">
        <w:rPr>
          <w:rFonts w:cs="Charis SIL"/>
          <w:i/>
          <w:lang w:val="en-IE"/>
        </w:rPr>
        <w:t>Spectrum</w:t>
      </w:r>
      <w:r w:rsidRPr="00FB4EFA">
        <w:rPr>
          <w:rFonts w:cs="Charis SIL"/>
          <w:lang w:val="en-IE"/>
        </w:rPr>
        <w:t>.</w:t>
      </w:r>
      <w:r w:rsidRPr="00FB4EFA">
        <w:rPr>
          <w:rFonts w:cs="Charis SIL"/>
          <w:caps/>
          <w:lang w:val="en-IE"/>
        </w:rPr>
        <w:t xml:space="preserve"> </w:t>
      </w:r>
      <w:hyperlink r:id="rId30" w:history="1">
        <w:r w:rsidRPr="00FB4EFA">
          <w:rPr>
            <w:rFonts w:cs="Charis SIL"/>
            <w:u w:val="single"/>
            <w:lang w:val="en-IE"/>
          </w:rPr>
          <w:t>hungarianspectrum.org/2018/09/10/oops-it-went-viral-johanna-laaksos-analysis-of-orbans-claim-of-turkic-origin-of-hungarian/</w:t>
        </w:r>
      </w:hyperlink>
      <w:r w:rsidR="00BB7053" w:rsidRPr="00FB4EFA">
        <w:rPr>
          <w:rFonts w:cs="Charis SIL"/>
          <w:lang w:val="en-IE"/>
        </w:rPr>
        <w:t>.</w:t>
      </w:r>
    </w:p>
    <w:p w14:paraId="42C9F876" w14:textId="77777777" w:rsidR="000121EA" w:rsidRPr="00FB4EFA" w:rsidRDefault="001B3BDD" w:rsidP="00EC1F7F">
      <w:pPr>
        <w:suppressAutoHyphens/>
        <w:spacing w:line="240" w:lineRule="auto"/>
        <w:ind w:left="426" w:hanging="426"/>
        <w:rPr>
          <w:rFonts w:cs="Charis SIL"/>
          <w:shd w:val="clear" w:color="auto" w:fill="FFFFFF"/>
          <w:lang w:val="en-IE"/>
        </w:rPr>
      </w:pPr>
      <w:r w:rsidRPr="00FB4EFA">
        <w:rPr>
          <w:rFonts w:cs="Charis SIL"/>
          <w:lang w:val="en-IE"/>
        </w:rPr>
        <w:t xml:space="preserve">Lessing, Doris. 1967/2000. </w:t>
      </w:r>
      <w:r w:rsidRPr="00FB4EFA">
        <w:rPr>
          <w:rFonts w:cs="Charis SIL"/>
          <w:i/>
          <w:lang w:val="en-IE"/>
        </w:rPr>
        <w:t>Particularly Cats</w:t>
      </w:r>
      <w:r w:rsidRPr="00FB4EFA">
        <w:rPr>
          <w:rFonts w:cs="Charis SIL"/>
          <w:lang w:val="en-IE"/>
        </w:rPr>
        <w:t xml:space="preserve">. </w:t>
      </w:r>
      <w:r w:rsidRPr="00FB4EFA">
        <w:rPr>
          <w:rFonts w:cs="Charis SIL"/>
          <w:shd w:val="clear" w:color="auto" w:fill="FFFFFF"/>
          <w:lang w:val="en-IE"/>
        </w:rPr>
        <w:t>Ithaca, NY: Burford Books.</w:t>
      </w:r>
    </w:p>
    <w:p w14:paraId="401B39ED" w14:textId="3AF0CBDF" w:rsidR="001B3BDD" w:rsidRPr="00FB4EFA" w:rsidRDefault="001B3BDD" w:rsidP="00EC1F7F">
      <w:pPr>
        <w:suppressAutoHyphens/>
        <w:spacing w:line="240" w:lineRule="auto"/>
        <w:ind w:left="426" w:hanging="426"/>
        <w:rPr>
          <w:lang w:val="en-IE"/>
        </w:rPr>
      </w:pPr>
      <w:r w:rsidRPr="00FB4EFA">
        <w:rPr>
          <w:lang w:val="en-IE"/>
        </w:rPr>
        <w:t xml:space="preserve">MacCormack, Patricia. 2020. </w:t>
      </w:r>
      <w:r w:rsidRPr="00FB4EFA">
        <w:rPr>
          <w:i/>
          <w:lang w:val="en-IE"/>
        </w:rPr>
        <w:t>The Ahuman Manifesto: Activism for the End of the Anthropocene.</w:t>
      </w:r>
      <w:r w:rsidRPr="00FB4EFA">
        <w:rPr>
          <w:lang w:val="en-IE"/>
        </w:rPr>
        <w:t xml:space="preserve"> London: </w:t>
      </w:r>
      <w:r w:rsidRPr="00FB4EFA">
        <w:rPr>
          <w:shd w:val="clear" w:color="auto" w:fill="FFFFFF"/>
          <w:lang w:val="en-IE"/>
        </w:rPr>
        <w:t>Bloomsbury Academic.</w:t>
      </w:r>
    </w:p>
    <w:p w14:paraId="6F8A0380" w14:textId="7B5B5C97" w:rsidR="001B3BDD" w:rsidRPr="00FB4EFA" w:rsidRDefault="001B3BDD" w:rsidP="00EC1F7F">
      <w:pPr>
        <w:keepLines/>
        <w:suppressAutoHyphens/>
        <w:spacing w:line="240" w:lineRule="auto"/>
        <w:ind w:left="425" w:hanging="425"/>
        <w:rPr>
          <w:lang w:val="en-IE"/>
        </w:rPr>
      </w:pPr>
      <w:r w:rsidRPr="00FB4EFA">
        <w:rPr>
          <w:lang w:val="en-IE"/>
        </w:rPr>
        <w:t xml:space="preserve">Walkerdine, Valerie. 1995. Subject to Change without Notice: Psychology, Postmodernity and the Popular. In Steve Pile &amp; Nigel Thrift (eds.), </w:t>
      </w:r>
      <w:r w:rsidRPr="00FB4EFA">
        <w:rPr>
          <w:i/>
          <w:lang w:val="en-IE"/>
        </w:rPr>
        <w:t>Mapping the Subject: Geographies of Cultural Transformation,</w:t>
      </w:r>
      <w:r w:rsidRPr="00FB4EFA">
        <w:rPr>
          <w:lang w:val="en-IE"/>
        </w:rPr>
        <w:t xml:space="preserve"> 282–301. London: Routledge.</w:t>
      </w:r>
      <w:bookmarkEnd w:id="9"/>
    </w:p>
    <w:p w14:paraId="7A96798F" w14:textId="77777777" w:rsidR="001B3BDD" w:rsidRPr="00FB4EFA" w:rsidRDefault="001B3BDD" w:rsidP="00402EF4">
      <w:pPr>
        <w:spacing w:after="160"/>
        <w:jc w:val="center"/>
        <w:rPr>
          <w:smallCaps/>
          <w:sz w:val="48"/>
          <w:szCs w:val="48"/>
          <w:lang w:val="en-IE"/>
        </w:rPr>
        <w:sectPr w:rsidR="001B3BDD" w:rsidRPr="00FB4EFA">
          <w:headerReference w:type="even" r:id="rId31"/>
          <w:headerReference w:type="default" r:id="rId32"/>
          <w:headerReference w:type="first" r:id="rId33"/>
          <w:footnotePr>
            <w:numRestart w:val="eachSect"/>
          </w:footnotePr>
          <w:pgSz w:w="9180" w:h="13302"/>
          <w:pgMar w:top="779" w:right="1133" w:bottom="1132" w:left="1133" w:header="744" w:footer="720" w:gutter="0"/>
          <w:cols w:space="720"/>
          <w:titlePg/>
        </w:sectPr>
      </w:pPr>
    </w:p>
    <w:p w14:paraId="38C58325" w14:textId="6A2158FD" w:rsidR="008A4292" w:rsidRPr="00FB4EFA" w:rsidRDefault="008A4292" w:rsidP="00AF0CAD">
      <w:pPr>
        <w:pStyle w:val="Authors"/>
        <w:spacing w:line="259" w:lineRule="auto"/>
        <w:rPr>
          <w:color w:val="auto"/>
          <w:lang w:val="en-IE"/>
        </w:rPr>
      </w:pPr>
      <w:r w:rsidRPr="00FB4EFA">
        <w:rPr>
          <w:color w:val="auto"/>
          <w:lang w:val="en-IE"/>
        </w:rPr>
        <w:lastRenderedPageBreak/>
        <w:t xml:space="preserve">Marianne Bakró-Nagy, </w:t>
      </w:r>
      <w:r w:rsidR="00D418BA" w:rsidRPr="00FB4EFA">
        <w:rPr>
          <w:color w:val="auto"/>
          <w:lang w:val="en-IE"/>
        </w:rPr>
        <w:t xml:space="preserve">Jeremy Bradley, </w:t>
      </w:r>
      <w:r w:rsidRPr="00FB4EFA">
        <w:rPr>
          <w:color w:val="auto"/>
          <w:lang w:val="en-IE"/>
        </w:rPr>
        <w:t>Elena Skribnik</w:t>
      </w:r>
    </w:p>
    <w:p w14:paraId="0C44FC22" w14:textId="77777777" w:rsidR="008A4292" w:rsidRPr="00FB4EFA" w:rsidRDefault="008A4292" w:rsidP="00402EF4">
      <w:pPr>
        <w:rPr>
          <w:lang w:val="en-IE"/>
        </w:rPr>
      </w:pPr>
    </w:p>
    <w:p w14:paraId="11B3D422" w14:textId="477FEB8C" w:rsidR="00A96E85" w:rsidRPr="00FB4EFA" w:rsidRDefault="006A6033" w:rsidP="00994E2A">
      <w:pPr>
        <w:pStyle w:val="Heading1"/>
        <w:suppressAutoHyphens/>
        <w:spacing w:line="259" w:lineRule="auto"/>
        <w:ind w:right="74"/>
        <w:rPr>
          <w:color w:val="auto"/>
          <w:lang w:val="en-IE"/>
        </w:rPr>
      </w:pPr>
      <w:bookmarkStart w:id="11" w:name="_Ref93595730"/>
      <w:r w:rsidRPr="00FB4EFA">
        <w:rPr>
          <w:color w:val="auto"/>
          <w:lang w:val="en-IE"/>
        </w:rPr>
        <w:t>An annotated bibliography of an illustrious scholar</w:t>
      </w:r>
      <w:bookmarkEnd w:id="6"/>
      <w:bookmarkEnd w:id="11"/>
    </w:p>
    <w:p w14:paraId="2CBBEFED" w14:textId="0E8E0951" w:rsidR="003517E9" w:rsidRPr="00FB4EFA" w:rsidRDefault="003517E9" w:rsidP="00402EF4">
      <w:pPr>
        <w:rPr>
          <w:lang w:val="en-IE" w:eastAsia="en-GB"/>
        </w:rPr>
      </w:pPr>
      <w:r w:rsidRPr="00FB4EFA">
        <w:rPr>
          <w:lang w:val="en-IE" w:eastAsia="en-GB"/>
        </w:rPr>
        <w:t>When the second-named author of this contribution was working at LMU Munich as the third-named author’s assistant, he through her became aware of Parkinson’s Law: that work will always expand to fill up any available time you might dream of someday having in your schedule. In an academic context, this primarily pertains to the myriad administrative tasks that continuously pop up and require execution for structures to be upheld, with it being a rather theoretical hope that these activities will create tangible value, or even joy, for anybody.</w:t>
      </w:r>
    </w:p>
    <w:p w14:paraId="3AA0DAB7" w14:textId="4BCB13BA" w:rsidR="003517E9" w:rsidRPr="00FB4EFA" w:rsidRDefault="003517E9" w:rsidP="00402EF4">
      <w:pPr>
        <w:ind w:firstLine="709"/>
        <w:rPr>
          <w:lang w:val="en-IE" w:eastAsia="en-GB"/>
        </w:rPr>
      </w:pPr>
      <w:r w:rsidRPr="00FB4EFA">
        <w:rPr>
          <w:lang w:val="en-IE" w:eastAsia="en-GB"/>
        </w:rPr>
        <w:t xml:space="preserve">An example of this principle – or so we thought – is the recent near universal requirement for scholars to document all their academic activities in research information systems, such as the University of </w:t>
      </w:r>
      <w:r w:rsidR="00A425FC" w:rsidRPr="00FB4EFA">
        <w:rPr>
          <w:lang w:val="en-IE" w:eastAsia="en-GB"/>
        </w:rPr>
        <w:br/>
      </w:r>
      <w:r w:rsidRPr="00FB4EFA">
        <w:rPr>
          <w:lang w:val="en-IE" w:eastAsia="en-GB"/>
        </w:rPr>
        <w:t xml:space="preserve">Vienna’s u:cris (Current Research Information System) at </w:t>
      </w:r>
      <w:hyperlink r:id="rId34" w:history="1">
        <w:r w:rsidRPr="00FB4EFA">
          <w:rPr>
            <w:rFonts w:cs="Charis SIL"/>
            <w:u w:val="single"/>
            <w:lang w:val="en-IE"/>
          </w:rPr>
          <w:t>ucris.univie.ac.at</w:t>
        </w:r>
      </w:hyperlink>
      <w:r w:rsidRPr="00FB4EFA">
        <w:rPr>
          <w:rFonts w:cs="Charis SIL"/>
          <w:lang w:val="en-IE"/>
        </w:rPr>
        <w:t xml:space="preserve">. When we, in the process of editing this volume, found ourselves overwhelmed by the daunting prospect of having to adequately represent the heroine of the day, we suddenly realized: university administration has been forcing her to document her own research activities, and she has been doing so meticulously in a manner commensurate with her Protestant background. Suddenly, we were those abstract hypothetical individuals experiencing tangible value, and even joy! The jubilarian’s complete research record can be accessed at </w:t>
      </w:r>
      <w:hyperlink r:id="rId35" w:history="1">
        <w:r w:rsidRPr="00FB4EFA">
          <w:rPr>
            <w:rFonts w:cs="Charis SIL"/>
            <w:u w:val="single"/>
            <w:lang w:val="en-IE"/>
          </w:rPr>
          <w:t>finno-ugristik.univie.ac.at/</w:t>
        </w:r>
        <w:r w:rsidR="002B0021" w:rsidRPr="00FB4EFA">
          <w:rPr>
            <w:rFonts w:cs="Charis SIL"/>
            <w:u w:val="single"/>
            <w:lang w:val="en-IE"/>
          </w:rPr>
          <w:br/>
        </w:r>
        <w:r w:rsidRPr="00FB4EFA">
          <w:rPr>
            <w:rFonts w:cs="Charis SIL"/>
            <w:u w:val="single"/>
            <w:lang w:val="en-IE"/>
          </w:rPr>
          <w:t>ueber-uns/mitarbeiterinnen/laakso/</w:t>
        </w:r>
      </w:hyperlink>
      <w:r w:rsidRPr="00FB4EFA">
        <w:rPr>
          <w:rFonts w:cs="Charis SIL"/>
          <w:lang w:val="en-IE"/>
        </w:rPr>
        <w:t xml:space="preserve">; </w:t>
      </w:r>
      <w:r w:rsidRPr="00FB4EFA">
        <w:rPr>
          <w:lang w:val="en-IE" w:eastAsia="en-GB"/>
        </w:rPr>
        <w:t>rather than plagiarize her work in a volume meant to honour her, we created a word cloud</w:t>
      </w:r>
      <w:r w:rsidR="004949B6" w:rsidRPr="00FB4EFA">
        <w:rPr>
          <w:vertAlign w:val="superscript"/>
          <w:lang w:val="en-IE" w:eastAsia="en-GB"/>
        </w:rPr>
        <w:footnoteReference w:id="3"/>
      </w:r>
      <w:r w:rsidRPr="00FB4EFA">
        <w:rPr>
          <w:lang w:val="en-IE" w:eastAsia="en-GB"/>
        </w:rPr>
        <w:t xml:space="preserve"> on the basis of her publication titles</w:t>
      </w:r>
      <w:r w:rsidR="003B5D32" w:rsidRPr="00FB4EFA">
        <w:rPr>
          <w:lang w:val="en-IE" w:eastAsia="en-GB"/>
        </w:rPr>
        <w:t>.</w:t>
      </w:r>
    </w:p>
    <w:p w14:paraId="20832C8D" w14:textId="77777777" w:rsidR="002B0021" w:rsidRPr="00FB4EFA" w:rsidRDefault="001F00BA" w:rsidP="009C2848">
      <w:pPr>
        <w:jc w:val="center"/>
        <w:rPr>
          <w:rFonts w:cs="Charis SIL"/>
          <w:b/>
          <w:bCs/>
          <w:sz w:val="18"/>
          <w:szCs w:val="18"/>
          <w:lang w:val="en-IE"/>
        </w:rPr>
      </w:pPr>
      <w:r w:rsidRPr="00FB4EFA">
        <w:rPr>
          <w:noProof/>
          <w:lang w:val="en-IE"/>
        </w:rPr>
        <w:lastRenderedPageBreak/>
        <w:drawing>
          <wp:inline distT="0" distB="0" distL="0" distR="0" wp14:anchorId="2CA5DAB2" wp14:editId="21ED0A28">
            <wp:extent cx="3623095" cy="3614468"/>
            <wp:effectExtent l="0" t="0" r="0" b="5080"/>
            <wp:docPr id="32" name="Picture 32"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 venn diagram&#10;&#10;Description automatically generated"/>
                    <pic:cNvPicPr>
                      <a:picLocks noChangeAspect="1" noChangeArrowheads="1"/>
                    </pic:cNvPicPr>
                  </pic:nvPicPr>
                  <pic:blipFill rotWithShape="1">
                    <a:blip r:embed="rId36">
                      <a:clrChange>
                        <a:clrFrom>
                          <a:srgbClr val="E5E5E5"/>
                        </a:clrFrom>
                        <a:clrTo>
                          <a:srgbClr val="E5E5E5">
                            <a:alpha val="0"/>
                          </a:srgbClr>
                        </a:clrTo>
                      </a:clrChange>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rcRect l="8646" t="8056" r="8827" b="9614"/>
                    <a:stretch/>
                  </pic:blipFill>
                  <pic:spPr bwMode="auto">
                    <a:xfrm>
                      <a:off x="0" y="0"/>
                      <a:ext cx="3623246" cy="3614619"/>
                    </a:xfrm>
                    <a:prstGeom prst="rect">
                      <a:avLst/>
                    </a:prstGeom>
                    <a:noFill/>
                    <a:ln>
                      <a:noFill/>
                    </a:ln>
                    <a:extLst>
                      <a:ext uri="{53640926-AAD7-44D8-BBD7-CCE9431645EC}">
                        <a14:shadowObscured xmlns:a14="http://schemas.microsoft.com/office/drawing/2010/main"/>
                      </a:ext>
                    </a:extLst>
                  </pic:spPr>
                </pic:pic>
              </a:graphicData>
            </a:graphic>
          </wp:inline>
        </w:drawing>
      </w:r>
      <w:bookmarkStart w:id="12" w:name="wordcloud_johanna_academic"/>
    </w:p>
    <w:p w14:paraId="4FDE0BA6" w14:textId="043C833B" w:rsidR="0050108D" w:rsidRPr="00FB4EFA" w:rsidRDefault="0050108D" w:rsidP="00281B2F">
      <w:pPr>
        <w:spacing w:before="120" w:after="240"/>
        <w:jc w:val="center"/>
        <w:rPr>
          <w:lang w:val="en-IE" w:eastAsia="en-GB"/>
        </w:rPr>
      </w:pPr>
      <w:r w:rsidRPr="00FB4EFA">
        <w:rPr>
          <w:rFonts w:cs="Charis SIL"/>
          <w:b/>
          <w:bCs/>
          <w:sz w:val="18"/>
          <w:szCs w:val="18"/>
          <w:lang w:val="en-IE"/>
        </w:rPr>
        <w:t>Figure 1</w:t>
      </w:r>
      <w:bookmarkEnd w:id="12"/>
      <w:r w:rsidRPr="00FB4EFA">
        <w:rPr>
          <w:rFonts w:cs="Charis SIL"/>
          <w:sz w:val="18"/>
          <w:szCs w:val="18"/>
          <w:lang w:val="en-IE"/>
        </w:rPr>
        <w:t>. Word cloud created based on the jubilarian’s publication titles</w:t>
      </w:r>
    </w:p>
    <w:p w14:paraId="4C4CC5CC" w14:textId="712A3924" w:rsidR="001F00BA" w:rsidRPr="00FB4EFA" w:rsidRDefault="001F00BA" w:rsidP="00AF0CAD">
      <w:pPr>
        <w:spacing w:before="240"/>
        <w:rPr>
          <w:lang w:val="en-IE" w:eastAsia="en-GB"/>
        </w:rPr>
      </w:pPr>
      <w:r w:rsidRPr="00FB4EFA">
        <w:rPr>
          <w:lang w:val="en-IE" w:eastAsia="en-GB"/>
        </w:rPr>
        <w:t xml:space="preserve">In the rest of this section, we will comment </w:t>
      </w:r>
      <w:r w:rsidR="003B5D32" w:rsidRPr="00FB4EFA">
        <w:rPr>
          <w:lang w:val="en-IE" w:eastAsia="en-GB"/>
        </w:rPr>
        <w:t xml:space="preserve">on </w:t>
      </w:r>
      <w:r w:rsidRPr="00FB4EFA">
        <w:rPr>
          <w:lang w:val="en-IE" w:eastAsia="en-GB"/>
        </w:rPr>
        <w:t xml:space="preserve">some of her most essential publications to which this word cloud does not do justice, with all due respect to </w:t>
      </w:r>
      <w:r w:rsidRPr="00FB4EFA">
        <w:rPr>
          <w:i/>
          <w:iCs/>
          <w:lang w:val="en-IE" w:eastAsia="en-GB"/>
        </w:rPr>
        <w:t>Kurzrezensionen</w:t>
      </w:r>
      <w:r w:rsidRPr="00FB4EFA">
        <w:rPr>
          <w:lang w:val="en-IE" w:eastAsia="en-GB"/>
        </w:rPr>
        <w:t>.</w:t>
      </w:r>
    </w:p>
    <w:p w14:paraId="28253204" w14:textId="77777777" w:rsidR="004167D8" w:rsidRPr="00FB4EFA" w:rsidRDefault="00281038" w:rsidP="00545033">
      <w:pPr>
        <w:pStyle w:val="Heading2"/>
        <w:suppressAutoHyphens/>
        <w:spacing w:line="259" w:lineRule="auto"/>
        <w:rPr>
          <w:i/>
          <w:iCs/>
          <w:color w:val="auto"/>
          <w:lang w:val="en-IE"/>
        </w:rPr>
      </w:pPr>
      <w:bookmarkStart w:id="13" w:name="_Ref95165179"/>
      <w:r w:rsidRPr="00FB4EFA">
        <w:rPr>
          <w:i/>
          <w:iCs/>
          <w:color w:val="auto"/>
          <w:lang w:val="en-IE"/>
        </w:rPr>
        <w:t xml:space="preserve">The Oxford </w:t>
      </w:r>
      <w:r w:rsidR="002871B9" w:rsidRPr="00FB4EFA">
        <w:rPr>
          <w:i/>
          <w:iCs/>
          <w:color w:val="auto"/>
          <w:lang w:val="en-IE"/>
        </w:rPr>
        <w:t>Guide to Uralic Languages</w:t>
      </w:r>
      <w:bookmarkEnd w:id="13"/>
    </w:p>
    <w:p w14:paraId="541B2F87" w14:textId="5BB09882" w:rsidR="00D04A66" w:rsidRPr="00FB4EFA" w:rsidRDefault="00D04A66" w:rsidP="00AF0CAD">
      <w:pPr>
        <w:pBdr>
          <w:top w:val="single" w:sz="4" w:space="1" w:color="auto"/>
          <w:left w:val="single" w:sz="4" w:space="4" w:color="auto"/>
          <w:bottom w:val="single" w:sz="4" w:space="1" w:color="auto"/>
          <w:right w:val="single" w:sz="4" w:space="4" w:color="auto"/>
        </w:pBdr>
        <w:rPr>
          <w:lang w:val="en-IE" w:eastAsia="en-GB"/>
        </w:rPr>
      </w:pPr>
      <w:r w:rsidRPr="00FB4EFA">
        <w:rPr>
          <w:lang w:val="en-IE" w:eastAsia="en-GB"/>
        </w:rPr>
        <w:t>Bakró-Nagy, Marianne, Johanna Laakso &amp; Elena Skribnik (eds.)</w:t>
      </w:r>
      <w:r w:rsidR="00265448" w:rsidRPr="00FB4EFA">
        <w:rPr>
          <w:lang w:val="en-IE" w:eastAsia="en-GB"/>
        </w:rPr>
        <w:t>,</w:t>
      </w:r>
      <w:r w:rsidRPr="00FB4EFA">
        <w:rPr>
          <w:lang w:val="en-IE" w:eastAsia="en-GB"/>
        </w:rPr>
        <w:t xml:space="preserve"> 2022. </w:t>
      </w:r>
      <w:r w:rsidRPr="00FB4EFA">
        <w:rPr>
          <w:i/>
          <w:iCs/>
          <w:lang w:val="en-IE" w:eastAsia="en-GB"/>
        </w:rPr>
        <w:t>The Oxford Guide to the Uralic Languages</w:t>
      </w:r>
      <w:r w:rsidRPr="00FB4EFA">
        <w:rPr>
          <w:lang w:val="en-IE" w:eastAsia="en-GB"/>
        </w:rPr>
        <w:t>. Oxford: Oxford University press. 1,184 pages. ISBN: 9780198767664</w:t>
      </w:r>
    </w:p>
    <w:p w14:paraId="05ABDB23" w14:textId="4C4EECCD" w:rsidR="00C93BE9" w:rsidRPr="00FB4EFA" w:rsidRDefault="0005570C" w:rsidP="00AF0CAD">
      <w:pPr>
        <w:spacing w:before="240"/>
        <w:rPr>
          <w:lang w:val="en-IE" w:eastAsia="en-GB"/>
        </w:rPr>
      </w:pPr>
      <w:r w:rsidRPr="00FB4EFA">
        <w:rPr>
          <w:lang w:val="en-IE" w:eastAsia="en-GB"/>
        </w:rPr>
        <w:t xml:space="preserve">Some </w:t>
      </w:r>
      <w:r w:rsidR="00593AEE" w:rsidRPr="00FB4EFA">
        <w:rPr>
          <w:lang w:val="en-IE" w:eastAsia="en-GB"/>
        </w:rPr>
        <w:t>seven</w:t>
      </w:r>
      <w:r w:rsidRPr="00FB4EFA">
        <w:rPr>
          <w:lang w:val="en-IE" w:eastAsia="en-GB"/>
        </w:rPr>
        <w:t xml:space="preserve"> years prior to these lines being written</w:t>
      </w:r>
      <w:r w:rsidR="00593AEE" w:rsidRPr="00FB4EFA">
        <w:rPr>
          <w:lang w:val="en-IE" w:eastAsia="en-GB"/>
        </w:rPr>
        <w:t>, to the best of our</w:t>
      </w:r>
      <w:r w:rsidR="003B5D32" w:rsidRPr="00FB4EFA">
        <w:rPr>
          <w:rStyle w:val="FootnoteReference"/>
          <w:lang w:val="en-IE" w:eastAsia="en-GB"/>
        </w:rPr>
        <w:footnoteReference w:id="4"/>
      </w:r>
      <w:r w:rsidR="00593AEE" w:rsidRPr="00FB4EFA">
        <w:rPr>
          <w:lang w:val="en-IE" w:eastAsia="en-GB"/>
        </w:rPr>
        <w:t xml:space="preserve"> recollection</w:t>
      </w:r>
      <w:r w:rsidRPr="00FB4EFA">
        <w:rPr>
          <w:lang w:val="en-IE" w:eastAsia="en-GB"/>
        </w:rPr>
        <w:t xml:space="preserve">, the trio of Johanna, Elena and Marianne – today known to the Uralic community by </w:t>
      </w:r>
      <w:r w:rsidR="00077EF0" w:rsidRPr="00FB4EFA">
        <w:rPr>
          <w:lang w:val="en-IE" w:eastAsia="en-GB"/>
        </w:rPr>
        <w:t>our</w:t>
      </w:r>
      <w:r w:rsidRPr="00FB4EFA">
        <w:rPr>
          <w:lang w:val="en-IE" w:eastAsia="en-GB"/>
        </w:rPr>
        <w:t xml:space="preserve"> endonym JEM – were sitting in the </w:t>
      </w:r>
      <w:r w:rsidR="00EC1F7F" w:rsidRPr="00FB4EFA">
        <w:rPr>
          <w:lang w:val="en-IE" w:eastAsia="en-GB"/>
        </w:rPr>
        <w:br/>
      </w:r>
      <w:r w:rsidRPr="00FB4EFA">
        <w:rPr>
          <w:lang w:val="en-IE" w:eastAsia="en-GB"/>
        </w:rPr>
        <w:lastRenderedPageBreak/>
        <w:t xml:space="preserve">Department of Finno-Ugrian </w:t>
      </w:r>
      <w:r w:rsidR="00647C84" w:rsidRPr="00FB4EFA">
        <w:rPr>
          <w:lang w:val="en-IE" w:eastAsia="en-GB"/>
        </w:rPr>
        <w:t>s</w:t>
      </w:r>
      <w:r w:rsidRPr="00FB4EFA">
        <w:rPr>
          <w:lang w:val="en-IE" w:eastAsia="en-GB"/>
        </w:rPr>
        <w:t>tudies at the University of Szeged when Elena exclaimed: “Girls [the standard address within our circle], there is a possibility to compile a handbook of Uralic languages for Oxford, what do you think about it?</w:t>
      </w:r>
      <w:r w:rsidR="00077EF0" w:rsidRPr="00FB4EFA">
        <w:rPr>
          <w:lang w:val="en-IE" w:eastAsia="en-GB"/>
        </w:rPr>
        <w:t>”</w:t>
      </w:r>
      <w:r w:rsidRPr="00FB4EFA">
        <w:rPr>
          <w:lang w:val="en-IE" w:eastAsia="en-GB"/>
        </w:rPr>
        <w:t xml:space="preserve"> Without a </w:t>
      </w:r>
      <w:r w:rsidR="00077EF0" w:rsidRPr="00FB4EFA">
        <w:rPr>
          <w:lang w:val="en-IE" w:eastAsia="en-GB"/>
        </w:rPr>
        <w:t xml:space="preserve">moment of hesitation, an affirmative and even joyful consensus was reached. This was not </w:t>
      </w:r>
      <w:r w:rsidR="00593AEE" w:rsidRPr="00FB4EFA">
        <w:rPr>
          <w:lang w:val="en-IE" w:eastAsia="en-GB"/>
        </w:rPr>
        <w:t>our first shared enterprise</w:t>
      </w:r>
      <w:r w:rsidR="000A6BFA" w:rsidRPr="00FB4EFA">
        <w:rPr>
          <w:lang w:val="en-IE" w:eastAsia="en-GB"/>
        </w:rPr>
        <w:t>.</w:t>
      </w:r>
      <w:r w:rsidR="00593AEE" w:rsidRPr="00FB4EFA">
        <w:rPr>
          <w:lang w:val="en-IE" w:eastAsia="en-GB"/>
        </w:rPr>
        <w:t xml:space="preserve"> </w:t>
      </w:r>
      <w:r w:rsidR="000A6BFA" w:rsidRPr="00FB4EFA">
        <w:rPr>
          <w:lang w:val="en-IE" w:eastAsia="en-GB"/>
        </w:rPr>
        <w:t>W</w:t>
      </w:r>
      <w:r w:rsidR="00593AEE" w:rsidRPr="00FB4EFA">
        <w:rPr>
          <w:lang w:val="en-IE" w:eastAsia="en-GB"/>
        </w:rPr>
        <w:t>e had at this point been carrying out shared academic and educational endeavours for years</w:t>
      </w:r>
      <w:r w:rsidR="000A6BFA" w:rsidRPr="00FB4EFA">
        <w:rPr>
          <w:lang w:val="en-IE" w:eastAsia="en-GB"/>
        </w:rPr>
        <w:t>,</w:t>
      </w:r>
      <w:r w:rsidR="00593AEE" w:rsidRPr="00FB4EFA">
        <w:rPr>
          <w:lang w:val="en-IE" w:eastAsia="en-GB"/>
        </w:rPr>
        <w:t xml:space="preserve"> notably the </w:t>
      </w:r>
      <w:r w:rsidR="00593AEE" w:rsidRPr="00FB4EFA">
        <w:rPr>
          <w:i/>
          <w:iCs/>
          <w:lang w:val="en-IE" w:eastAsia="en-GB"/>
        </w:rPr>
        <w:t>Ob-Ugric Database Project</w:t>
      </w:r>
      <w:r w:rsidR="00593AEE" w:rsidRPr="00FB4EFA">
        <w:rPr>
          <w:lang w:val="en-IE" w:eastAsia="en-GB"/>
        </w:rPr>
        <w:t xml:space="preserve"> within EURO-BABEL</w:t>
      </w:r>
      <w:r w:rsidR="00593AEE" w:rsidRPr="00FB4EFA">
        <w:rPr>
          <w:vertAlign w:val="superscript"/>
          <w:lang w:val="en-IE" w:eastAsia="en-GB"/>
        </w:rPr>
        <w:footnoteReference w:id="5"/>
      </w:r>
      <w:r w:rsidR="00593AEE" w:rsidRPr="00FB4EFA">
        <w:rPr>
          <w:lang w:val="en-IE" w:eastAsia="en-GB"/>
        </w:rPr>
        <w:t xml:space="preserve"> and the International Winter Schools of Finno-Ugric </w:t>
      </w:r>
      <w:r w:rsidR="00EC1F7F" w:rsidRPr="00FB4EFA">
        <w:rPr>
          <w:lang w:val="en-IE" w:eastAsia="en-GB"/>
        </w:rPr>
        <w:br/>
      </w:r>
      <w:r w:rsidR="00593AEE" w:rsidRPr="00FB4EFA">
        <w:rPr>
          <w:lang w:val="en-IE" w:eastAsia="en-GB"/>
        </w:rPr>
        <w:t>Studies</w:t>
      </w:r>
      <w:r w:rsidR="000A6BFA" w:rsidRPr="00FB4EFA">
        <w:rPr>
          <w:lang w:val="en-IE" w:eastAsia="en-GB"/>
        </w:rPr>
        <w:t xml:space="preserve">: ever since Johanna organized </w:t>
      </w:r>
      <w:r w:rsidR="003B5D32" w:rsidRPr="00FB4EFA">
        <w:rPr>
          <w:lang w:val="en-IE" w:eastAsia="en-GB"/>
        </w:rPr>
        <w:t xml:space="preserve">the first </w:t>
      </w:r>
      <w:r w:rsidR="000A6BFA" w:rsidRPr="00FB4EFA">
        <w:rPr>
          <w:lang w:val="en-IE" w:eastAsia="en-GB"/>
        </w:rPr>
        <w:t xml:space="preserve">one in Vienna in 2013, these have been taking place annually, come hell, high water, or global pandemic. Currently they are being organized as part of the Erasmus+ funded strategic partnership </w:t>
      </w:r>
      <w:r w:rsidR="000A6BFA" w:rsidRPr="00FB4EFA">
        <w:rPr>
          <w:i/>
          <w:iCs/>
          <w:lang w:val="en-IE" w:eastAsia="en-GB"/>
        </w:rPr>
        <w:t>The (Re-)Making of a Discipline. Digital Transformation and Internationalization in and beyond Uralic Studies (REMODUS)</w:t>
      </w:r>
      <w:r w:rsidR="000A6BFA" w:rsidRPr="00FB4EFA">
        <w:rPr>
          <w:vertAlign w:val="superscript"/>
          <w:lang w:val="en-IE" w:eastAsia="en-GB"/>
        </w:rPr>
        <w:footnoteReference w:id="6"/>
      </w:r>
      <w:r w:rsidR="000A6BFA" w:rsidRPr="00FB4EFA">
        <w:rPr>
          <w:lang w:val="en-IE" w:eastAsia="en-GB"/>
        </w:rPr>
        <w:t>, headed by … you guessed it.</w:t>
      </w:r>
    </w:p>
    <w:p w14:paraId="65D453DC" w14:textId="67C7B49A" w:rsidR="00562DCA" w:rsidRPr="00FB4EFA" w:rsidRDefault="00C93BE9" w:rsidP="00AF0CAD">
      <w:pPr>
        <w:ind w:firstLine="709"/>
        <w:rPr>
          <w:lang w:val="en-IE" w:eastAsia="en-GB"/>
        </w:rPr>
      </w:pPr>
      <w:r w:rsidRPr="00FB4EFA">
        <w:rPr>
          <w:lang w:val="en-IE" w:eastAsia="en-GB"/>
        </w:rPr>
        <w:t xml:space="preserve">Despite these ongoing initiatives, </w:t>
      </w:r>
      <w:r w:rsidRPr="00FB4EFA">
        <w:rPr>
          <w:i/>
          <w:iCs/>
          <w:lang w:val="en-IE" w:eastAsia="en-GB"/>
        </w:rPr>
        <w:t xml:space="preserve">The Oxford Guide to Uralic </w:t>
      </w:r>
      <w:r w:rsidR="00EC1F7F" w:rsidRPr="00FB4EFA">
        <w:rPr>
          <w:i/>
          <w:iCs/>
          <w:lang w:val="en-IE" w:eastAsia="en-GB"/>
        </w:rPr>
        <w:br/>
      </w:r>
      <w:r w:rsidRPr="00FB4EFA">
        <w:rPr>
          <w:i/>
          <w:iCs/>
          <w:lang w:val="en-IE" w:eastAsia="en-GB"/>
        </w:rPr>
        <w:t>Languages</w:t>
      </w:r>
      <w:r w:rsidRPr="00FB4EFA">
        <w:rPr>
          <w:lang w:val="en-IE" w:eastAsia="en-GB"/>
        </w:rPr>
        <w:t xml:space="preserve"> </w:t>
      </w:r>
      <w:r w:rsidR="004949B6" w:rsidRPr="00FB4EFA">
        <w:rPr>
          <w:lang w:val="en-IE" w:eastAsia="en-GB"/>
        </w:rPr>
        <w:t>(OGUL</w:t>
      </w:r>
      <w:r w:rsidR="004949B6" w:rsidRPr="00FB4EFA">
        <w:rPr>
          <w:vertAlign w:val="superscript"/>
          <w:lang w:val="en-IE" w:eastAsia="en-GB"/>
        </w:rPr>
        <w:footnoteReference w:id="7"/>
      </w:r>
      <w:r w:rsidR="004949B6" w:rsidRPr="00FB4EFA">
        <w:rPr>
          <w:lang w:val="en-IE" w:eastAsia="en-GB"/>
        </w:rPr>
        <w:t xml:space="preserve">) </w:t>
      </w:r>
      <w:r w:rsidRPr="00FB4EFA">
        <w:rPr>
          <w:lang w:val="en-IE" w:eastAsia="en-GB"/>
        </w:rPr>
        <w:t>was an unprecedentedly large undertaking. We started developing the concept almost immediately, and while we disagreed on some minor details, we were in full agreement about the basic concept. This was rather impressive given our radically different social, educational, academic, and cultural backgrounds – which is not to mention the difference in temperaments.</w:t>
      </w:r>
      <w:r w:rsidR="00781D24" w:rsidRPr="00FB4EFA">
        <w:rPr>
          <w:lang w:val="en-IE" w:eastAsia="en-GB"/>
        </w:rPr>
        <w:t xml:space="preserve"> But </w:t>
      </w:r>
      <w:r w:rsidR="00623517" w:rsidRPr="00FB4EFA">
        <w:rPr>
          <w:lang w:val="en-IE" w:eastAsia="en-GB"/>
        </w:rPr>
        <w:t xml:space="preserve">we always agreed on the </w:t>
      </w:r>
      <w:r w:rsidR="0005570C" w:rsidRPr="00FB4EFA">
        <w:rPr>
          <w:lang w:val="en-IE" w:eastAsia="en-GB"/>
        </w:rPr>
        <w:t xml:space="preserve">necessity to eliminate borders between Uralic </w:t>
      </w:r>
      <w:r w:rsidR="00623517" w:rsidRPr="00FB4EFA">
        <w:rPr>
          <w:lang w:val="en-IE" w:eastAsia="en-GB"/>
        </w:rPr>
        <w:t xml:space="preserve">linguistics on the one hand </w:t>
      </w:r>
      <w:r w:rsidR="0005570C" w:rsidRPr="00FB4EFA">
        <w:rPr>
          <w:lang w:val="en-IE" w:eastAsia="en-GB"/>
        </w:rPr>
        <w:t>and general, theoretical linguistics</w:t>
      </w:r>
      <w:r w:rsidR="00623517" w:rsidRPr="00FB4EFA">
        <w:rPr>
          <w:lang w:val="en-IE" w:eastAsia="en-GB"/>
        </w:rPr>
        <w:t xml:space="preserve"> on the other</w:t>
      </w:r>
      <w:r w:rsidR="0005570C" w:rsidRPr="00FB4EFA">
        <w:rPr>
          <w:lang w:val="en-IE" w:eastAsia="en-GB"/>
        </w:rPr>
        <w:t xml:space="preserve">, </w:t>
      </w:r>
      <w:r w:rsidR="00623517" w:rsidRPr="00FB4EFA">
        <w:rPr>
          <w:lang w:val="en-IE" w:eastAsia="en-GB"/>
        </w:rPr>
        <w:t xml:space="preserve">and to strive for </w:t>
      </w:r>
      <w:r w:rsidR="0005570C" w:rsidRPr="00FB4EFA">
        <w:rPr>
          <w:lang w:val="en-IE" w:eastAsia="en-GB"/>
        </w:rPr>
        <w:t>a better understanding between different traditions.</w:t>
      </w:r>
    </w:p>
    <w:p w14:paraId="6531871B" w14:textId="7E3B7962" w:rsidR="003B3F31" w:rsidRPr="00FB4EFA" w:rsidRDefault="0005570C" w:rsidP="00AF0CAD">
      <w:pPr>
        <w:ind w:firstLine="709"/>
        <w:rPr>
          <w:lang w:val="en-IE" w:eastAsia="en-GB"/>
        </w:rPr>
      </w:pPr>
      <w:r w:rsidRPr="00FB4EFA">
        <w:rPr>
          <w:lang w:val="en-IE" w:eastAsia="en-GB"/>
        </w:rPr>
        <w:t xml:space="preserve">At first, </w:t>
      </w:r>
      <w:r w:rsidR="00562DCA" w:rsidRPr="00FB4EFA">
        <w:rPr>
          <w:lang w:val="en-IE" w:eastAsia="en-GB"/>
        </w:rPr>
        <w:t xml:space="preserve">it seemed </w:t>
      </w:r>
      <w:r w:rsidR="00717C07" w:rsidRPr="00FB4EFA">
        <w:rPr>
          <w:lang w:val="en-IE" w:eastAsia="en-GB"/>
        </w:rPr>
        <w:t>straight-forward enough</w:t>
      </w:r>
      <w:r w:rsidR="00562DCA" w:rsidRPr="00FB4EFA">
        <w:rPr>
          <w:lang w:val="en-IE" w:eastAsia="en-GB"/>
        </w:rPr>
        <w:t xml:space="preserve"> to set the volume’s content. We did not plan </w:t>
      </w:r>
      <w:r w:rsidRPr="00FB4EFA">
        <w:rPr>
          <w:lang w:val="en-IE" w:eastAsia="en-GB"/>
        </w:rPr>
        <w:t xml:space="preserve">grammar sketches for the </w:t>
      </w:r>
      <w:r w:rsidR="00717C07" w:rsidRPr="00FB4EFA">
        <w:rPr>
          <w:lang w:val="en-IE" w:eastAsia="en-GB"/>
        </w:rPr>
        <w:t xml:space="preserve">individual </w:t>
      </w:r>
      <w:r w:rsidRPr="00FB4EFA">
        <w:rPr>
          <w:lang w:val="en-IE" w:eastAsia="en-GB"/>
        </w:rPr>
        <w:t xml:space="preserve">languages, but </w:t>
      </w:r>
      <w:r w:rsidR="00717C07" w:rsidRPr="00FB4EFA">
        <w:rPr>
          <w:lang w:val="en-IE" w:eastAsia="en-GB"/>
        </w:rPr>
        <w:t xml:space="preserve">rather </w:t>
      </w:r>
      <w:r w:rsidRPr="00FB4EFA">
        <w:rPr>
          <w:lang w:val="en-IE" w:eastAsia="en-GB"/>
        </w:rPr>
        <w:t xml:space="preserve">intended to provide a good number of overviews of different phonological and grammatical characteristics of </w:t>
      </w:r>
      <w:r w:rsidR="00717C07" w:rsidRPr="00FB4EFA">
        <w:rPr>
          <w:lang w:val="en-IE" w:eastAsia="en-GB"/>
        </w:rPr>
        <w:t>“</w:t>
      </w:r>
      <w:r w:rsidRPr="00FB4EFA">
        <w:rPr>
          <w:lang w:val="en-IE" w:eastAsia="en-GB"/>
        </w:rPr>
        <w:t>our</w:t>
      </w:r>
      <w:r w:rsidR="00717C07" w:rsidRPr="00FB4EFA">
        <w:rPr>
          <w:lang w:val="en-IE" w:eastAsia="en-GB"/>
        </w:rPr>
        <w:t>”</w:t>
      </w:r>
      <w:r w:rsidRPr="00FB4EFA">
        <w:rPr>
          <w:lang w:val="en-IE" w:eastAsia="en-GB"/>
        </w:rPr>
        <w:t xml:space="preserve"> languages, not only from </w:t>
      </w:r>
      <w:r w:rsidR="00717C07" w:rsidRPr="00FB4EFA">
        <w:rPr>
          <w:lang w:val="en-IE" w:eastAsia="en-GB"/>
        </w:rPr>
        <w:t>a</w:t>
      </w:r>
      <w:r w:rsidRPr="00FB4EFA">
        <w:rPr>
          <w:lang w:val="en-IE" w:eastAsia="en-GB"/>
        </w:rPr>
        <w:t xml:space="preserve"> classical comparative but also from </w:t>
      </w:r>
      <w:r w:rsidR="00717C07" w:rsidRPr="00FB4EFA">
        <w:rPr>
          <w:lang w:val="en-IE" w:eastAsia="en-GB"/>
        </w:rPr>
        <w:t>a</w:t>
      </w:r>
      <w:r w:rsidRPr="00FB4EFA">
        <w:rPr>
          <w:lang w:val="en-IE" w:eastAsia="en-GB"/>
        </w:rPr>
        <w:t xml:space="preserve"> typological </w:t>
      </w:r>
      <w:r w:rsidR="00717C07" w:rsidRPr="00FB4EFA">
        <w:rPr>
          <w:lang w:val="en-IE" w:eastAsia="en-GB"/>
        </w:rPr>
        <w:t xml:space="preserve">point of view. We thus hoped to show the </w:t>
      </w:r>
      <w:r w:rsidRPr="00FB4EFA">
        <w:rPr>
          <w:lang w:val="en-IE" w:eastAsia="en-GB"/>
        </w:rPr>
        <w:t xml:space="preserve">distribution, realization, and variation of features across </w:t>
      </w:r>
      <w:r w:rsidR="00717C07" w:rsidRPr="00FB4EFA">
        <w:rPr>
          <w:lang w:val="en-IE" w:eastAsia="en-GB"/>
        </w:rPr>
        <w:t>Uralic languages</w:t>
      </w:r>
      <w:r w:rsidRPr="00FB4EFA">
        <w:rPr>
          <w:lang w:val="en-IE" w:eastAsia="en-GB"/>
        </w:rPr>
        <w:t xml:space="preserve">. </w:t>
      </w:r>
      <w:r w:rsidR="00717C07" w:rsidRPr="00FB4EFA">
        <w:rPr>
          <w:lang w:val="en-IE" w:eastAsia="en-GB"/>
        </w:rPr>
        <w:t>We also wanted to shine a light on</w:t>
      </w:r>
      <w:r w:rsidRPr="00FB4EFA">
        <w:rPr>
          <w:lang w:val="en-IE" w:eastAsia="en-GB"/>
        </w:rPr>
        <w:t xml:space="preserve"> sociolinguistic </w:t>
      </w:r>
      <w:r w:rsidRPr="00FB4EFA">
        <w:rPr>
          <w:lang w:val="en-IE" w:eastAsia="en-GB"/>
        </w:rPr>
        <w:lastRenderedPageBreak/>
        <w:t xml:space="preserve">and social-historical </w:t>
      </w:r>
      <w:r w:rsidR="00717C07" w:rsidRPr="00FB4EFA">
        <w:rPr>
          <w:lang w:val="en-IE" w:eastAsia="en-GB"/>
        </w:rPr>
        <w:t xml:space="preserve">topics </w:t>
      </w:r>
      <w:r w:rsidRPr="00FB4EFA">
        <w:rPr>
          <w:lang w:val="en-IE" w:eastAsia="en-GB"/>
        </w:rPr>
        <w:t>(</w:t>
      </w:r>
      <w:r w:rsidR="00466236" w:rsidRPr="00FB4EFA">
        <w:rPr>
          <w:lang w:val="en-IE" w:eastAsia="en-GB"/>
        </w:rPr>
        <w:t>e.g., </w:t>
      </w:r>
      <w:r w:rsidRPr="00FB4EFA">
        <w:rPr>
          <w:lang w:val="en-IE" w:eastAsia="en-GB"/>
        </w:rPr>
        <w:t xml:space="preserve">literary languages, </w:t>
      </w:r>
      <w:r w:rsidR="00717C07" w:rsidRPr="00FB4EFA">
        <w:rPr>
          <w:lang w:val="en-IE" w:eastAsia="en-GB"/>
        </w:rPr>
        <w:t xml:space="preserve">language </w:t>
      </w:r>
      <w:r w:rsidRPr="00FB4EFA">
        <w:rPr>
          <w:lang w:val="en-IE" w:eastAsia="en-GB"/>
        </w:rPr>
        <w:t>endangerment and revitalization, language policies etc.), of course. However, the general editors of the series (</w:t>
      </w:r>
      <w:r w:rsidRPr="00FB4EFA">
        <w:rPr>
          <w:i/>
          <w:iCs/>
          <w:lang w:val="en-IE" w:eastAsia="en-GB"/>
        </w:rPr>
        <w:t>Oxford Guides to the World</w:t>
      </w:r>
      <w:r w:rsidR="00E77EA1" w:rsidRPr="00FB4EFA">
        <w:rPr>
          <w:i/>
          <w:iCs/>
          <w:lang w:val="en-IE" w:eastAsia="en-GB"/>
        </w:rPr>
        <w:t>’</w:t>
      </w:r>
      <w:r w:rsidRPr="00FB4EFA">
        <w:rPr>
          <w:i/>
          <w:iCs/>
          <w:lang w:val="en-IE" w:eastAsia="en-GB"/>
        </w:rPr>
        <w:t>s Languages</w:t>
      </w:r>
      <w:r w:rsidRPr="00FB4EFA">
        <w:rPr>
          <w:lang w:val="en-IE" w:eastAsia="en-GB"/>
        </w:rPr>
        <w:t xml:space="preserve">) insisted that grammar sketches cannot be omitted. </w:t>
      </w:r>
      <w:r w:rsidR="00717C07" w:rsidRPr="00FB4EFA">
        <w:rPr>
          <w:lang w:val="en-IE" w:eastAsia="en-GB"/>
        </w:rPr>
        <w:t xml:space="preserve">And </w:t>
      </w:r>
      <w:r w:rsidR="003B3F31" w:rsidRPr="00FB4EFA">
        <w:rPr>
          <w:lang w:val="en-IE" w:eastAsia="en-GB"/>
        </w:rPr>
        <w:t>so,</w:t>
      </w:r>
      <w:r w:rsidR="00717C07" w:rsidRPr="00FB4EFA">
        <w:rPr>
          <w:lang w:val="en-IE" w:eastAsia="en-GB"/>
        </w:rPr>
        <w:t xml:space="preserve"> our second outline included </w:t>
      </w:r>
      <w:r w:rsidRPr="00FB4EFA">
        <w:rPr>
          <w:lang w:val="en-IE" w:eastAsia="en-GB"/>
        </w:rPr>
        <w:t xml:space="preserve">descriptions </w:t>
      </w:r>
      <w:r w:rsidR="00717C07" w:rsidRPr="00FB4EFA">
        <w:rPr>
          <w:lang w:val="en-IE" w:eastAsia="en-GB"/>
        </w:rPr>
        <w:t xml:space="preserve">not only of the usual suspects, but of as many Uralic languages as humanly possible, including ones that rarely receive any attention on an international stage and </w:t>
      </w:r>
      <w:r w:rsidR="003B3F31" w:rsidRPr="00FB4EFA">
        <w:rPr>
          <w:lang w:val="en-IE" w:eastAsia="en-GB"/>
        </w:rPr>
        <w:t xml:space="preserve">that had </w:t>
      </w:r>
      <w:r w:rsidR="00717C07" w:rsidRPr="00FB4EFA">
        <w:rPr>
          <w:lang w:val="en-IE" w:eastAsia="en-GB"/>
        </w:rPr>
        <w:t xml:space="preserve">not previously </w:t>
      </w:r>
      <w:r w:rsidR="003B5D32" w:rsidRPr="00FB4EFA">
        <w:rPr>
          <w:lang w:val="en-IE" w:eastAsia="en-GB"/>
        </w:rPr>
        <w:t xml:space="preserve">been </w:t>
      </w:r>
      <w:r w:rsidR="00717C07" w:rsidRPr="00FB4EFA">
        <w:rPr>
          <w:lang w:val="en-IE" w:eastAsia="en-GB"/>
        </w:rPr>
        <w:t>covered in respectable handbooks (</w:t>
      </w:r>
      <w:r w:rsidR="00466236" w:rsidRPr="00FB4EFA">
        <w:rPr>
          <w:lang w:val="en-IE" w:eastAsia="en-GB"/>
        </w:rPr>
        <w:t>e.g., </w:t>
      </w:r>
      <w:r w:rsidR="00717C07" w:rsidRPr="00FB4EFA">
        <w:rPr>
          <w:lang w:val="en-IE" w:eastAsia="en-GB"/>
        </w:rPr>
        <w:t>East Mansi, South Estonian, Kildin Saami).</w:t>
      </w:r>
      <w:r w:rsidR="003B3F31" w:rsidRPr="00FB4EFA">
        <w:rPr>
          <w:lang w:val="en-IE" w:eastAsia="en-GB"/>
        </w:rPr>
        <w:t xml:space="preserve"> We also saw it as essential that </w:t>
      </w:r>
      <w:r w:rsidRPr="00FB4EFA">
        <w:rPr>
          <w:lang w:val="en-IE" w:eastAsia="en-GB"/>
        </w:rPr>
        <w:t>descriptions follow a common structure</w:t>
      </w:r>
      <w:r w:rsidR="003B3F31" w:rsidRPr="00FB4EFA">
        <w:rPr>
          <w:lang w:val="en-IE" w:eastAsia="en-GB"/>
        </w:rPr>
        <w:t xml:space="preserve">, thus giving prospective readers the possibility of a systematic comparison. </w:t>
      </w:r>
      <w:r w:rsidR="00AF760F" w:rsidRPr="00FB4EFA">
        <w:rPr>
          <w:lang w:val="en-IE" w:eastAsia="en-GB"/>
        </w:rPr>
        <w:t xml:space="preserve">All the </w:t>
      </w:r>
      <w:r w:rsidR="003B3F31" w:rsidRPr="00FB4EFA">
        <w:rPr>
          <w:lang w:val="en-IE" w:eastAsia="en-GB"/>
        </w:rPr>
        <w:t>authors of contributions were involved in establishing this common structure</w:t>
      </w:r>
      <w:r w:rsidR="00D04A66" w:rsidRPr="00FB4EFA">
        <w:rPr>
          <w:lang w:val="en-IE" w:eastAsia="en-GB"/>
        </w:rPr>
        <w:t>, as dictated by common wisdom</w:t>
      </w:r>
      <w:r w:rsidR="003B3F31" w:rsidRPr="00FB4EFA">
        <w:rPr>
          <w:lang w:val="en-IE" w:eastAsia="en-GB"/>
        </w:rPr>
        <w:t>. Already then, the seeds were planted for a volume that</w:t>
      </w:r>
      <w:r w:rsidR="00D04A66" w:rsidRPr="00FB4EFA">
        <w:rPr>
          <w:lang w:val="en-IE" w:eastAsia="en-GB"/>
        </w:rPr>
        <w:t xml:space="preserve">, with its three parts (“The making of Uralic languages”, “Language descriptions”, </w:t>
      </w:r>
      <w:r w:rsidR="003B5D32" w:rsidRPr="00FB4EFA">
        <w:rPr>
          <w:lang w:val="en-IE" w:eastAsia="en-GB"/>
        </w:rPr>
        <w:t xml:space="preserve">and </w:t>
      </w:r>
      <w:r w:rsidR="00D04A66" w:rsidRPr="00FB4EFA">
        <w:rPr>
          <w:lang w:val="en-IE" w:eastAsia="en-GB"/>
        </w:rPr>
        <w:t>“General issues and case studies”),</w:t>
      </w:r>
      <w:r w:rsidR="003B3F31" w:rsidRPr="00FB4EFA">
        <w:rPr>
          <w:lang w:val="en-IE" w:eastAsia="en-GB"/>
        </w:rPr>
        <w:t xml:space="preserve"> would end up spanning </w:t>
      </w:r>
      <w:r w:rsidR="00D04A66" w:rsidRPr="00FB4EFA">
        <w:rPr>
          <w:lang w:val="en-IE" w:eastAsia="en-GB"/>
        </w:rPr>
        <w:t>almost</w:t>
      </w:r>
      <w:r w:rsidR="003B3F31" w:rsidRPr="00FB4EFA">
        <w:rPr>
          <w:lang w:val="en-IE" w:eastAsia="en-GB"/>
        </w:rPr>
        <w:t xml:space="preserve"> 1200 pages.</w:t>
      </w:r>
    </w:p>
    <w:p w14:paraId="6B3E3216" w14:textId="6C64B5CD" w:rsidR="0005570C" w:rsidRPr="00FB4EFA" w:rsidRDefault="00AF760F" w:rsidP="00402EF4">
      <w:pPr>
        <w:ind w:firstLine="709"/>
        <w:rPr>
          <w:lang w:val="en-IE" w:eastAsia="en-GB"/>
        </w:rPr>
      </w:pPr>
      <w:r w:rsidRPr="00FB4EFA">
        <w:rPr>
          <w:lang w:val="en-IE" w:eastAsia="en-GB"/>
        </w:rPr>
        <w:t xml:space="preserve">Even with the basic architecture set, the choice of topics </w:t>
      </w:r>
      <w:r w:rsidR="0005570C" w:rsidRPr="00FB4EFA">
        <w:rPr>
          <w:lang w:val="en-IE" w:eastAsia="en-GB"/>
        </w:rPr>
        <w:t xml:space="preserve">for a comprehensive overview of the Uralic languages </w:t>
      </w:r>
      <w:r w:rsidRPr="00FB4EFA">
        <w:rPr>
          <w:lang w:val="en-IE" w:eastAsia="en-GB"/>
        </w:rPr>
        <w:t xml:space="preserve">remained </w:t>
      </w:r>
      <w:r w:rsidR="00B05352" w:rsidRPr="00FB4EFA">
        <w:rPr>
          <w:lang w:val="en-IE" w:eastAsia="en-GB"/>
        </w:rPr>
        <w:t>challenging</w:t>
      </w:r>
      <w:r w:rsidRPr="00FB4EFA">
        <w:rPr>
          <w:lang w:val="en-IE" w:eastAsia="en-GB"/>
        </w:rPr>
        <w:t>.</w:t>
      </w:r>
      <w:r w:rsidR="0005570C" w:rsidRPr="00FB4EFA">
        <w:rPr>
          <w:lang w:val="en-IE" w:eastAsia="en-GB"/>
        </w:rPr>
        <w:t xml:space="preserve"> </w:t>
      </w:r>
      <w:r w:rsidRPr="00FB4EFA">
        <w:rPr>
          <w:lang w:val="en-IE" w:eastAsia="en-GB"/>
        </w:rPr>
        <w:t>They had to</w:t>
      </w:r>
      <w:r w:rsidR="0005570C" w:rsidRPr="00FB4EFA">
        <w:rPr>
          <w:lang w:val="en-IE" w:eastAsia="en-GB"/>
        </w:rPr>
        <w:t xml:space="preserve"> be relevant also from </w:t>
      </w:r>
      <w:r w:rsidRPr="00FB4EFA">
        <w:rPr>
          <w:lang w:val="en-IE" w:eastAsia="en-GB"/>
        </w:rPr>
        <w:t>a</w:t>
      </w:r>
      <w:r w:rsidR="0005570C" w:rsidRPr="00FB4EFA">
        <w:rPr>
          <w:lang w:val="en-IE" w:eastAsia="en-GB"/>
        </w:rPr>
        <w:t xml:space="preserve"> typological point of view</w:t>
      </w:r>
      <w:r w:rsidR="00B05352" w:rsidRPr="00FB4EFA">
        <w:rPr>
          <w:lang w:val="en-IE" w:eastAsia="en-GB"/>
        </w:rPr>
        <w:t>;</w:t>
      </w:r>
      <w:r w:rsidR="0005570C" w:rsidRPr="00FB4EFA">
        <w:rPr>
          <w:lang w:val="en-IE" w:eastAsia="en-GB"/>
        </w:rPr>
        <w:t xml:space="preserve"> it </w:t>
      </w:r>
      <w:r w:rsidR="00B05352" w:rsidRPr="00FB4EFA">
        <w:rPr>
          <w:lang w:val="en-IE" w:eastAsia="en-GB"/>
        </w:rPr>
        <w:t>became evident that numerous logical topics</w:t>
      </w:r>
      <w:r w:rsidR="0005570C" w:rsidRPr="00FB4EFA">
        <w:rPr>
          <w:lang w:val="en-IE" w:eastAsia="en-GB"/>
        </w:rPr>
        <w:t xml:space="preserve"> either were not </w:t>
      </w:r>
      <w:r w:rsidR="00B05352" w:rsidRPr="00FB4EFA">
        <w:rPr>
          <w:lang w:val="en-IE" w:eastAsia="en-GB"/>
        </w:rPr>
        <w:t>covered by</w:t>
      </w:r>
      <w:r w:rsidR="0005570C" w:rsidRPr="00FB4EFA">
        <w:rPr>
          <w:lang w:val="en-IE" w:eastAsia="en-GB"/>
        </w:rPr>
        <w:t xml:space="preserve"> earlier works or were mentioned but not sufficiently analy</w:t>
      </w:r>
      <w:r w:rsidR="00B05352" w:rsidRPr="00FB4EFA">
        <w:rPr>
          <w:lang w:val="en-IE" w:eastAsia="en-GB"/>
        </w:rPr>
        <w:t>s</w:t>
      </w:r>
      <w:r w:rsidR="0005570C" w:rsidRPr="00FB4EFA">
        <w:rPr>
          <w:lang w:val="en-IE" w:eastAsia="en-GB"/>
        </w:rPr>
        <w:t xml:space="preserve">ed, were described </w:t>
      </w:r>
      <w:r w:rsidR="00B05352" w:rsidRPr="00FB4EFA">
        <w:rPr>
          <w:lang w:val="en-IE" w:eastAsia="en-GB"/>
        </w:rPr>
        <w:t>adequately but only for very few</w:t>
      </w:r>
      <w:r w:rsidR="0005570C" w:rsidRPr="00FB4EFA">
        <w:rPr>
          <w:lang w:val="en-IE" w:eastAsia="en-GB"/>
        </w:rPr>
        <w:t xml:space="preserve"> languages, et</w:t>
      </w:r>
      <w:r w:rsidR="00B05352" w:rsidRPr="00FB4EFA">
        <w:rPr>
          <w:lang w:val="en-IE" w:eastAsia="en-GB"/>
        </w:rPr>
        <w:t xml:space="preserve"> cetera</w:t>
      </w:r>
      <w:r w:rsidR="0005570C" w:rsidRPr="00FB4EFA">
        <w:rPr>
          <w:lang w:val="en-IE" w:eastAsia="en-GB"/>
        </w:rPr>
        <w:t>, et</w:t>
      </w:r>
      <w:r w:rsidR="00B05352" w:rsidRPr="00FB4EFA">
        <w:rPr>
          <w:lang w:val="en-IE" w:eastAsia="en-GB"/>
        </w:rPr>
        <w:t xml:space="preserve"> cetera</w:t>
      </w:r>
      <w:r w:rsidR="0005570C" w:rsidRPr="00FB4EFA">
        <w:rPr>
          <w:lang w:val="en-IE" w:eastAsia="en-GB"/>
        </w:rPr>
        <w:t xml:space="preserve">. </w:t>
      </w:r>
      <w:r w:rsidR="00B05352" w:rsidRPr="00FB4EFA">
        <w:rPr>
          <w:lang w:val="en-IE" w:eastAsia="en-GB"/>
        </w:rPr>
        <w:t>Lengthy</w:t>
      </w:r>
      <w:r w:rsidR="0005570C" w:rsidRPr="00FB4EFA">
        <w:rPr>
          <w:lang w:val="en-IE" w:eastAsia="en-GB"/>
        </w:rPr>
        <w:t xml:space="preserve"> debates</w:t>
      </w:r>
      <w:r w:rsidR="00B05352" w:rsidRPr="00FB4EFA">
        <w:rPr>
          <w:lang w:val="en-IE" w:eastAsia="en-GB"/>
        </w:rPr>
        <w:t xml:space="preserve"> </w:t>
      </w:r>
      <w:r w:rsidR="0005570C" w:rsidRPr="00FB4EFA">
        <w:rPr>
          <w:lang w:val="en-IE" w:eastAsia="en-GB"/>
        </w:rPr>
        <w:t xml:space="preserve">in </w:t>
      </w:r>
      <w:r w:rsidR="00B05352" w:rsidRPr="00FB4EFA">
        <w:rPr>
          <w:lang w:val="en-IE" w:eastAsia="en-GB"/>
        </w:rPr>
        <w:t>select Central European locations – Johanna’s cosy office in Vienna, the Buda side of the Hungarian capital, the university district of Munich – were needed to flesh out the concept, as was a depletion of strategic green tea and coffee reserves.</w:t>
      </w:r>
      <w:r w:rsidR="00DA4FA4" w:rsidRPr="00FB4EFA">
        <w:rPr>
          <w:lang w:val="en-IE" w:eastAsia="en-GB"/>
        </w:rPr>
        <w:t xml:space="preserve"> But the result of these efforts was eventually </w:t>
      </w:r>
      <w:r w:rsidR="0005570C" w:rsidRPr="00FB4EFA">
        <w:rPr>
          <w:lang w:val="en-IE" w:eastAsia="en-GB"/>
        </w:rPr>
        <w:t>positively evaluated by anonymous reviewers, and the Oxford publishers accepted the idea of the book.</w:t>
      </w:r>
    </w:p>
    <w:p w14:paraId="4C145D18" w14:textId="5DA100D6" w:rsidR="0005570C" w:rsidRPr="00FB4EFA" w:rsidRDefault="00DA4FA4" w:rsidP="00402EF4">
      <w:pPr>
        <w:ind w:firstLine="709"/>
        <w:rPr>
          <w:lang w:val="en-IE" w:eastAsia="en-GB"/>
        </w:rPr>
      </w:pPr>
      <w:r w:rsidRPr="00FB4EFA">
        <w:rPr>
          <w:lang w:val="en-IE" w:eastAsia="en-GB"/>
        </w:rPr>
        <w:t>As we slipped in above,</w:t>
      </w:r>
      <w:r w:rsidR="0005570C" w:rsidRPr="00FB4EFA">
        <w:rPr>
          <w:lang w:val="en-IE" w:eastAsia="en-GB"/>
        </w:rPr>
        <w:t xml:space="preserve"> “all the authors”! Each chapter </w:t>
      </w:r>
      <w:r w:rsidR="00CF3C52" w:rsidRPr="00FB4EFA">
        <w:rPr>
          <w:lang w:val="en-IE" w:eastAsia="en-GB"/>
        </w:rPr>
        <w:t>was to be</w:t>
      </w:r>
      <w:r w:rsidR="0005570C" w:rsidRPr="00FB4EFA">
        <w:rPr>
          <w:lang w:val="en-IE" w:eastAsia="en-GB"/>
        </w:rPr>
        <w:t xml:space="preserve"> entrusted to the best expert on </w:t>
      </w:r>
      <w:r w:rsidR="00CF3C52" w:rsidRPr="00FB4EFA">
        <w:rPr>
          <w:lang w:val="en-IE" w:eastAsia="en-GB"/>
        </w:rPr>
        <w:t>respective</w:t>
      </w:r>
      <w:r w:rsidR="0005570C" w:rsidRPr="00FB4EFA">
        <w:rPr>
          <w:lang w:val="en-IE" w:eastAsia="en-GB"/>
        </w:rPr>
        <w:t xml:space="preserve"> topic. More than forty excellent colleagues were asked to </w:t>
      </w:r>
      <w:r w:rsidR="00CF3C52" w:rsidRPr="00FB4EFA">
        <w:rPr>
          <w:lang w:val="en-IE" w:eastAsia="en-GB"/>
        </w:rPr>
        <w:t>contribute</w:t>
      </w:r>
      <w:r w:rsidR="0005570C" w:rsidRPr="00FB4EFA">
        <w:rPr>
          <w:lang w:val="en-IE" w:eastAsia="en-GB"/>
        </w:rPr>
        <w:t>, and the number of those who, for different reasons, could not accept our invitation was very low indeed. What a success!</w:t>
      </w:r>
      <w:r w:rsidR="00413507" w:rsidRPr="00FB4EFA">
        <w:rPr>
          <w:lang w:val="en-IE" w:eastAsia="en-GB"/>
        </w:rPr>
        <w:t xml:space="preserve"> We can neither convey the sense of elation nor reconstruct our victorious exclamations when we received e-mails from colleagues agreeing to contribute. Without a doubt, “great” and “excellent” were among our most frequently used lexemes at the time.</w:t>
      </w:r>
    </w:p>
    <w:p w14:paraId="44443929" w14:textId="3F9450BF" w:rsidR="0005570C" w:rsidRPr="00FB4EFA" w:rsidRDefault="00413507" w:rsidP="00402EF4">
      <w:pPr>
        <w:ind w:firstLine="709"/>
        <w:rPr>
          <w:lang w:val="en-IE" w:eastAsia="en-GB"/>
        </w:rPr>
      </w:pPr>
      <w:r w:rsidRPr="00FB4EFA">
        <w:rPr>
          <w:lang w:val="en-IE" w:eastAsia="en-GB"/>
        </w:rPr>
        <w:lastRenderedPageBreak/>
        <w:t>At this point in time, as all contributors to the project can confirm, Johanna’s activities as “the correspondent” began. Here she could really show the synergy between her formidable mind and superhuman typing speed: the moment we came to a decision – and sometimes even before th</w:t>
      </w:r>
      <w:r w:rsidR="003B5D32" w:rsidRPr="00FB4EFA">
        <w:rPr>
          <w:lang w:val="en-IE" w:eastAsia="en-GB"/>
        </w:rPr>
        <w:t>at</w:t>
      </w:r>
      <w:r w:rsidRPr="00FB4EFA">
        <w:rPr>
          <w:lang w:val="en-IE" w:eastAsia="en-GB"/>
        </w:rPr>
        <w:t xml:space="preserve">! – she had already </w:t>
      </w:r>
      <w:r w:rsidR="005E6352" w:rsidRPr="00FB4EFA">
        <w:rPr>
          <w:lang w:val="en-IE" w:eastAsia="en-GB"/>
        </w:rPr>
        <w:t xml:space="preserve">clearly and concisely </w:t>
      </w:r>
      <w:r w:rsidRPr="00FB4EFA">
        <w:rPr>
          <w:lang w:val="en-IE" w:eastAsia="en-GB"/>
        </w:rPr>
        <w:t xml:space="preserve">condensed everything we wanted to say </w:t>
      </w:r>
      <w:r w:rsidR="002C190C" w:rsidRPr="00FB4EFA">
        <w:rPr>
          <w:lang w:val="en-IE" w:eastAsia="en-GB"/>
        </w:rPr>
        <w:t>and was ready to send it to the intended recipient, be it the contributors or</w:t>
      </w:r>
      <w:r w:rsidR="0005570C" w:rsidRPr="00FB4EFA">
        <w:rPr>
          <w:lang w:val="en-IE" w:eastAsia="en-GB"/>
        </w:rPr>
        <w:t xml:space="preserve"> the “Oxford ladies” (as we </w:t>
      </w:r>
      <w:r w:rsidR="002C190C" w:rsidRPr="00FB4EFA">
        <w:rPr>
          <w:lang w:val="en-IE" w:eastAsia="en-GB"/>
        </w:rPr>
        <w:t xml:space="preserve">ended up </w:t>
      </w:r>
      <w:r w:rsidR="0005570C" w:rsidRPr="00FB4EFA">
        <w:rPr>
          <w:lang w:val="en-IE" w:eastAsia="en-GB"/>
        </w:rPr>
        <w:t>call</w:t>
      </w:r>
      <w:r w:rsidR="002C190C" w:rsidRPr="00FB4EFA">
        <w:rPr>
          <w:lang w:val="en-IE" w:eastAsia="en-GB"/>
        </w:rPr>
        <w:t>ing</w:t>
      </w:r>
      <w:r w:rsidR="0005570C" w:rsidRPr="00FB4EFA">
        <w:rPr>
          <w:lang w:val="en-IE" w:eastAsia="en-GB"/>
        </w:rPr>
        <w:t xml:space="preserve"> the kind, competent, helpful publishing specialists </w:t>
      </w:r>
      <w:r w:rsidR="002C190C" w:rsidRPr="00FB4EFA">
        <w:rPr>
          <w:lang w:val="en-IE" w:eastAsia="en-GB"/>
        </w:rPr>
        <w:t>at</w:t>
      </w:r>
      <w:r w:rsidR="0005570C" w:rsidRPr="00FB4EFA">
        <w:rPr>
          <w:lang w:val="en-IE" w:eastAsia="en-GB"/>
        </w:rPr>
        <w:t xml:space="preserve"> Oxford). </w:t>
      </w:r>
      <w:r w:rsidR="002C190C" w:rsidRPr="00FB4EFA">
        <w:rPr>
          <w:lang w:val="en-IE" w:eastAsia="en-GB"/>
        </w:rPr>
        <w:t>What a relief it was for Elena and Marianne that Johanna shouldered this responsibility!</w:t>
      </w:r>
    </w:p>
    <w:p w14:paraId="688E0A9B" w14:textId="714F6382" w:rsidR="002C190C" w:rsidRPr="00FB4EFA" w:rsidRDefault="0005570C" w:rsidP="00402EF4">
      <w:pPr>
        <w:ind w:firstLine="709"/>
        <w:rPr>
          <w:lang w:val="en-IE" w:eastAsia="en-GB"/>
        </w:rPr>
      </w:pPr>
      <w:r w:rsidRPr="00FB4EFA">
        <w:rPr>
          <w:lang w:val="en-IE" w:eastAsia="en-GB"/>
        </w:rPr>
        <w:t xml:space="preserve">A lot could be </w:t>
      </w:r>
      <w:r w:rsidR="002C190C" w:rsidRPr="00FB4EFA">
        <w:rPr>
          <w:lang w:val="en-IE" w:eastAsia="en-GB"/>
        </w:rPr>
        <w:t xml:space="preserve">said about </w:t>
      </w:r>
      <w:r w:rsidRPr="00FB4EFA">
        <w:rPr>
          <w:lang w:val="en-IE" w:eastAsia="en-GB"/>
        </w:rPr>
        <w:t xml:space="preserve">the </w:t>
      </w:r>
      <w:r w:rsidR="00DB73ED" w:rsidRPr="00FB4EFA">
        <w:rPr>
          <w:lang w:val="en-IE" w:eastAsia="en-GB"/>
        </w:rPr>
        <w:t>lengthy</w:t>
      </w:r>
      <w:r w:rsidRPr="00FB4EFA">
        <w:rPr>
          <w:lang w:val="en-IE" w:eastAsia="en-GB"/>
        </w:rPr>
        <w:t>,</w:t>
      </w:r>
      <w:r w:rsidR="002C190C" w:rsidRPr="00FB4EFA">
        <w:rPr>
          <w:lang w:val="en-IE" w:eastAsia="en-GB"/>
        </w:rPr>
        <w:t xml:space="preserve"> </w:t>
      </w:r>
      <w:r w:rsidRPr="00FB4EFA">
        <w:rPr>
          <w:lang w:val="en-IE" w:eastAsia="en-GB"/>
        </w:rPr>
        <w:t>time</w:t>
      </w:r>
      <w:r w:rsidR="002C190C" w:rsidRPr="00FB4EFA">
        <w:rPr>
          <w:lang w:val="en-IE" w:eastAsia="en-GB"/>
        </w:rPr>
        <w:t>- and energy-</w:t>
      </w:r>
      <w:r w:rsidRPr="00FB4EFA">
        <w:rPr>
          <w:lang w:val="en-IE" w:eastAsia="en-GB"/>
        </w:rPr>
        <w:t xml:space="preserve">consuming </w:t>
      </w:r>
      <w:r w:rsidR="002C190C" w:rsidRPr="00FB4EFA">
        <w:rPr>
          <w:lang w:val="en-IE" w:eastAsia="en-GB"/>
        </w:rPr>
        <w:t>editorial round</w:t>
      </w:r>
      <w:r w:rsidR="003A54AE" w:rsidRPr="00FB4EFA">
        <w:rPr>
          <w:lang w:val="en-IE" w:eastAsia="en-GB"/>
        </w:rPr>
        <w:t>s</w:t>
      </w:r>
      <w:r w:rsidR="002C190C" w:rsidRPr="00FB4EFA">
        <w:rPr>
          <w:lang w:val="en-IE" w:eastAsia="en-GB"/>
        </w:rPr>
        <w:t xml:space="preserve"> when we got to see </w:t>
      </w:r>
      <w:r w:rsidR="003A54AE" w:rsidRPr="00FB4EFA">
        <w:rPr>
          <w:lang w:val="en-IE" w:eastAsia="en-GB"/>
        </w:rPr>
        <w:t xml:space="preserve">first (or second, or third) </w:t>
      </w:r>
      <w:r w:rsidR="002C190C" w:rsidRPr="00FB4EFA">
        <w:rPr>
          <w:lang w:val="en-IE" w:eastAsia="en-GB"/>
        </w:rPr>
        <w:t xml:space="preserve">drafts of the chapters. Often, we would sit down together virtually (using Google Drive and Zoom!) two or three times a week, investing countless hours into discussing exact definitions, debating if provided examples were appropriate, etc. Perhaps it is not surprising that we, when looking back now, consider the years of editorial work </w:t>
      </w:r>
      <w:r w:rsidR="00DB73ED" w:rsidRPr="00FB4EFA">
        <w:rPr>
          <w:lang w:val="en-IE" w:eastAsia="en-GB"/>
        </w:rPr>
        <w:t xml:space="preserve">on OGUL </w:t>
      </w:r>
      <w:r w:rsidR="002C190C" w:rsidRPr="00FB4EFA">
        <w:rPr>
          <w:lang w:val="en-IE" w:eastAsia="en-GB"/>
        </w:rPr>
        <w:t xml:space="preserve">as one of the most exhilarating phases of our lives. We would argue, we would shout, we would laugh, we would spend </w:t>
      </w:r>
      <w:r w:rsidR="00166902" w:rsidRPr="00FB4EFA">
        <w:rPr>
          <w:lang w:val="en-IE" w:eastAsia="en-GB"/>
        </w:rPr>
        <w:t>h</w:t>
      </w:r>
      <w:r w:rsidR="002C190C" w:rsidRPr="00FB4EFA">
        <w:rPr>
          <w:lang w:val="en-IE" w:eastAsia="en-GB"/>
        </w:rPr>
        <w:t xml:space="preserve">ours on end debating until we were completely exhausted – we were living our best academic lives! The experience was not just joyful, but also educational. We learned an immense amount about the structure </w:t>
      </w:r>
      <w:r w:rsidRPr="00FB4EFA">
        <w:rPr>
          <w:lang w:val="en-IE" w:eastAsia="en-GB"/>
        </w:rPr>
        <w:t xml:space="preserve">of the Uralic languages, </w:t>
      </w:r>
      <w:r w:rsidR="002C190C" w:rsidRPr="00FB4EFA">
        <w:rPr>
          <w:lang w:val="en-IE" w:eastAsia="en-GB"/>
        </w:rPr>
        <w:t xml:space="preserve">about </w:t>
      </w:r>
      <w:r w:rsidRPr="00FB4EFA">
        <w:rPr>
          <w:lang w:val="en-IE" w:eastAsia="en-GB"/>
        </w:rPr>
        <w:t xml:space="preserve">smaller </w:t>
      </w:r>
      <w:r w:rsidR="002C190C" w:rsidRPr="00FB4EFA">
        <w:rPr>
          <w:lang w:val="en-IE" w:eastAsia="en-GB"/>
        </w:rPr>
        <w:t>and</w:t>
      </w:r>
      <w:r w:rsidRPr="00FB4EFA">
        <w:rPr>
          <w:lang w:val="en-IE" w:eastAsia="en-GB"/>
        </w:rPr>
        <w:t xml:space="preserve"> larger details </w:t>
      </w:r>
      <w:r w:rsidR="002C190C" w:rsidRPr="00FB4EFA">
        <w:rPr>
          <w:lang w:val="en-IE" w:eastAsia="en-GB"/>
        </w:rPr>
        <w:t xml:space="preserve">we had not been aware of in our already not insignificantly long scientific careers. </w:t>
      </w:r>
      <w:r w:rsidR="001E6C77" w:rsidRPr="00FB4EFA">
        <w:rPr>
          <w:lang w:val="en-IE" w:eastAsia="en-GB"/>
        </w:rPr>
        <w:t>W</w:t>
      </w:r>
      <w:r w:rsidR="002C190C" w:rsidRPr="00FB4EFA">
        <w:rPr>
          <w:lang w:val="en-IE" w:eastAsia="en-GB"/>
        </w:rPr>
        <w:t xml:space="preserve">e </w:t>
      </w:r>
      <w:r w:rsidR="001E6C77" w:rsidRPr="00FB4EFA">
        <w:rPr>
          <w:lang w:val="en-IE" w:eastAsia="en-GB"/>
        </w:rPr>
        <w:t xml:space="preserve">also </w:t>
      </w:r>
      <w:r w:rsidR="002C190C" w:rsidRPr="00FB4EFA">
        <w:rPr>
          <w:lang w:val="en-IE" w:eastAsia="en-GB"/>
        </w:rPr>
        <w:t xml:space="preserve">truly learned to appreciate </w:t>
      </w:r>
      <w:r w:rsidR="001E6C77" w:rsidRPr="00FB4EFA">
        <w:rPr>
          <w:lang w:val="en-IE" w:eastAsia="en-GB"/>
        </w:rPr>
        <w:t>the expertise and helpfulness of our contributors: it was never an exaggeration when we instinctively, and frequently, declared a contributor to be a genius, a darling, or both.</w:t>
      </w:r>
    </w:p>
    <w:p w14:paraId="3A6432C2" w14:textId="556DDE70" w:rsidR="001E6C77" w:rsidRPr="00FB4EFA" w:rsidRDefault="001E6C77" w:rsidP="00402EF4">
      <w:pPr>
        <w:ind w:firstLine="709"/>
        <w:rPr>
          <w:lang w:val="en-IE" w:eastAsia="en-GB"/>
        </w:rPr>
      </w:pPr>
      <w:r w:rsidRPr="00FB4EFA">
        <w:rPr>
          <w:lang w:val="en-IE" w:eastAsia="en-GB"/>
        </w:rPr>
        <w:t>Recency bias might be a factor in this, but we feel confident in saying that the most nerve-racking phase of the project was the proofreading and index compilation. It was in this phase of the project that we designated Johanna as “The Hawkeye”. It was unbelievable with what speed (!) and reliability she would notice every little mistake, every little kink in language usage, every little suboptimal formulation. The Hawkeye effect was the most self-evident when we had to edit the bibliography.</w:t>
      </w:r>
      <w:r w:rsidRPr="00FB4EFA">
        <w:rPr>
          <w:vertAlign w:val="superscript"/>
          <w:lang w:val="en-IE" w:eastAsia="en-GB"/>
        </w:rPr>
        <w:footnoteReference w:id="8"/>
      </w:r>
    </w:p>
    <w:p w14:paraId="742EC4BC" w14:textId="01A8C7FD" w:rsidR="00D50120" w:rsidRPr="00FB4EFA" w:rsidRDefault="0005570C" w:rsidP="00402EF4">
      <w:pPr>
        <w:ind w:firstLine="709"/>
        <w:rPr>
          <w:lang w:val="en-IE" w:eastAsia="en-GB"/>
        </w:rPr>
      </w:pPr>
      <w:r w:rsidRPr="00FB4EFA">
        <w:rPr>
          <w:lang w:val="en-IE" w:eastAsia="en-GB"/>
        </w:rPr>
        <w:lastRenderedPageBreak/>
        <w:t xml:space="preserve">As we </w:t>
      </w:r>
      <w:r w:rsidR="008C187B" w:rsidRPr="00FB4EFA">
        <w:rPr>
          <w:lang w:val="en-IE" w:eastAsia="en-GB"/>
        </w:rPr>
        <w:t>said above</w:t>
      </w:r>
      <w:r w:rsidRPr="00FB4EFA">
        <w:rPr>
          <w:lang w:val="en-IE" w:eastAsia="en-GB"/>
        </w:rPr>
        <w:t xml:space="preserve">, we were extremely grateful to the </w:t>
      </w:r>
      <w:r w:rsidR="008C187B" w:rsidRPr="00FB4EFA">
        <w:rPr>
          <w:lang w:val="en-IE" w:eastAsia="en-GB"/>
        </w:rPr>
        <w:t>contributors</w:t>
      </w:r>
      <w:r w:rsidRPr="00FB4EFA">
        <w:rPr>
          <w:lang w:val="en-IE" w:eastAsia="en-GB"/>
        </w:rPr>
        <w:t xml:space="preserve"> for accepting our request to participate in this </w:t>
      </w:r>
      <w:r w:rsidR="008C187B" w:rsidRPr="00FB4EFA">
        <w:rPr>
          <w:lang w:val="en-IE" w:eastAsia="en-GB"/>
        </w:rPr>
        <w:t>project. With no obvious author</w:t>
      </w:r>
      <w:r w:rsidR="00DB73ED" w:rsidRPr="00FB4EFA">
        <w:rPr>
          <w:lang w:val="en-IE" w:eastAsia="en-GB"/>
        </w:rPr>
        <w:t>s</w:t>
      </w:r>
      <w:r w:rsidR="008C187B" w:rsidRPr="00FB4EFA">
        <w:rPr>
          <w:lang w:val="en-IE" w:eastAsia="en-GB"/>
        </w:rPr>
        <w:t xml:space="preserve"> materializing for all intended topics, a lot of work was left for us to do ourselves, however. When allotting topics between us, the choice was naturally determined by our own areas of expertise. A perfunctory glance at the table of contents makes it immediately clear that Johanna’s expertise is the widest: </w:t>
      </w:r>
      <w:r w:rsidR="00D50120" w:rsidRPr="00FB4EFA">
        <w:rPr>
          <w:lang w:val="en-IE" w:eastAsia="en-GB"/>
        </w:rPr>
        <w:t xml:space="preserve">while Marianne </w:t>
      </w:r>
      <w:r w:rsidR="00670F18" w:rsidRPr="00FB4EFA">
        <w:rPr>
          <w:lang w:val="en-IE" w:eastAsia="en-GB"/>
        </w:rPr>
        <w:t xml:space="preserve">authored or co-authored </w:t>
      </w:r>
      <w:r w:rsidR="00D50120" w:rsidRPr="00FB4EFA">
        <w:rPr>
          <w:lang w:val="en-IE" w:eastAsia="en-GB"/>
        </w:rPr>
        <w:t xml:space="preserve">five chapters and Elena six, Johanna was involved in eleven! And without a doubt, she could have been involved in more if she </w:t>
      </w:r>
      <w:r w:rsidR="00DB73ED" w:rsidRPr="00FB4EFA">
        <w:rPr>
          <w:lang w:val="en-IE" w:eastAsia="en-GB"/>
        </w:rPr>
        <w:t>had</w:t>
      </w:r>
      <w:r w:rsidR="00D50120" w:rsidRPr="00FB4EFA">
        <w:rPr>
          <w:lang w:val="en-IE" w:eastAsia="en-GB"/>
        </w:rPr>
        <w:t xml:space="preserve"> not </w:t>
      </w:r>
      <w:r w:rsidR="00DB73ED" w:rsidRPr="00FB4EFA">
        <w:rPr>
          <w:lang w:val="en-IE" w:eastAsia="en-GB"/>
        </w:rPr>
        <w:t xml:space="preserve">been </w:t>
      </w:r>
      <w:r w:rsidR="00D50120" w:rsidRPr="00FB4EFA">
        <w:rPr>
          <w:lang w:val="en-IE" w:eastAsia="en-GB"/>
        </w:rPr>
        <w:t xml:space="preserve">constrained to the same 24-hour days the rest of us </w:t>
      </w:r>
      <w:r w:rsidR="00DB73ED" w:rsidRPr="00FB4EFA">
        <w:rPr>
          <w:lang w:val="en-IE" w:eastAsia="en-GB"/>
        </w:rPr>
        <w:t>were</w:t>
      </w:r>
      <w:r w:rsidR="00D50120" w:rsidRPr="00FB4EFA">
        <w:rPr>
          <w:lang w:val="en-IE" w:eastAsia="en-GB"/>
        </w:rPr>
        <w:t>.</w:t>
      </w:r>
    </w:p>
    <w:p w14:paraId="03AA54BD" w14:textId="77777777" w:rsidR="00670F18" w:rsidRPr="00FB4EFA" w:rsidRDefault="00670F18" w:rsidP="00AF0CAD">
      <w:pPr>
        <w:spacing w:before="120" w:after="240"/>
        <w:jc w:val="center"/>
        <w:rPr>
          <w:rFonts w:cs="Charis SIL"/>
          <w:b/>
          <w:bCs/>
          <w:sz w:val="18"/>
          <w:szCs w:val="18"/>
          <w:lang w:val="en-IE"/>
        </w:rPr>
      </w:pPr>
      <w:r w:rsidRPr="00FB4EFA">
        <w:rPr>
          <w:noProof/>
          <w:lang w:val="en-IE"/>
        </w:rPr>
        <w:drawing>
          <wp:inline distT="0" distB="0" distL="0" distR="0" wp14:anchorId="5A4D6DC0" wp14:editId="61938D63">
            <wp:extent cx="3896436" cy="3736386"/>
            <wp:effectExtent l="0" t="0" r="0" b="0"/>
            <wp:docPr id="33" name="Picture 3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logo&#10;&#10;Description automatically generated"/>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rcRect t="2170" b="1938"/>
                    <a:stretch/>
                  </pic:blipFill>
                  <pic:spPr bwMode="auto">
                    <a:xfrm>
                      <a:off x="0" y="0"/>
                      <a:ext cx="3902114" cy="3741831"/>
                    </a:xfrm>
                    <a:prstGeom prst="rect">
                      <a:avLst/>
                    </a:prstGeom>
                    <a:noFill/>
                    <a:ln>
                      <a:noFill/>
                    </a:ln>
                    <a:extLst>
                      <a:ext uri="{53640926-AAD7-44D8-BBD7-CCE9431645EC}">
                        <a14:shadowObscured xmlns:a14="http://schemas.microsoft.com/office/drawing/2010/main"/>
                      </a:ext>
                    </a:extLst>
                  </pic:spPr>
                </pic:pic>
              </a:graphicData>
            </a:graphic>
          </wp:inline>
        </w:drawing>
      </w:r>
    </w:p>
    <w:p w14:paraId="4DE2B499" w14:textId="48AF2EFC" w:rsidR="004949B6" w:rsidRPr="00FB4EFA" w:rsidRDefault="004949B6" w:rsidP="00AC1192">
      <w:pPr>
        <w:suppressAutoHyphens/>
        <w:spacing w:before="120" w:after="240"/>
        <w:jc w:val="center"/>
        <w:rPr>
          <w:sz w:val="18"/>
          <w:szCs w:val="18"/>
          <w:lang w:val="en-IE" w:eastAsia="en-GB"/>
        </w:rPr>
      </w:pPr>
      <w:r w:rsidRPr="00FB4EFA">
        <w:rPr>
          <w:rFonts w:cs="Charis SIL"/>
          <w:b/>
          <w:bCs/>
          <w:sz w:val="18"/>
          <w:szCs w:val="18"/>
          <w:lang w:val="en-IE"/>
        </w:rPr>
        <w:t>Figure 2</w:t>
      </w:r>
      <w:r w:rsidRPr="00FB4EFA">
        <w:rPr>
          <w:rFonts w:cs="Charis SIL"/>
          <w:sz w:val="18"/>
          <w:szCs w:val="18"/>
          <w:lang w:val="en-IE"/>
        </w:rPr>
        <w:t xml:space="preserve">. Word cloud created based on Johanna’s 11 </w:t>
      </w:r>
      <w:r w:rsidRPr="00FB4EFA">
        <w:rPr>
          <w:sz w:val="18"/>
          <w:szCs w:val="18"/>
          <w:lang w:val="en-IE"/>
        </w:rPr>
        <w:t>chapters</w:t>
      </w:r>
      <w:r w:rsidRPr="00FB4EFA">
        <w:rPr>
          <w:rFonts w:cs="Charis SIL"/>
          <w:sz w:val="18"/>
          <w:szCs w:val="18"/>
          <w:lang w:val="en-IE"/>
        </w:rPr>
        <w:t xml:space="preserve"> in OGUL</w:t>
      </w:r>
    </w:p>
    <w:p w14:paraId="1C160309" w14:textId="58EBDB1C" w:rsidR="00D50120" w:rsidRPr="00FB4EFA" w:rsidRDefault="00D50120" w:rsidP="00402EF4">
      <w:pPr>
        <w:rPr>
          <w:lang w:val="en-IE" w:eastAsia="en-GB"/>
        </w:rPr>
      </w:pPr>
      <w:r w:rsidRPr="00FB4EFA">
        <w:rPr>
          <w:lang w:val="en-IE" w:eastAsia="en-GB"/>
        </w:rPr>
        <w:lastRenderedPageBreak/>
        <w:t>This is n</w:t>
      </w:r>
      <w:r w:rsidR="0005570C" w:rsidRPr="00FB4EFA">
        <w:rPr>
          <w:lang w:val="en-IE" w:eastAsia="en-GB"/>
        </w:rPr>
        <w:t xml:space="preserve">ot to mention her </w:t>
      </w:r>
      <w:r w:rsidRPr="00FB4EFA">
        <w:rPr>
          <w:lang w:val="en-IE" w:eastAsia="en-GB"/>
        </w:rPr>
        <w:t>incomparable</w:t>
      </w:r>
      <w:r w:rsidR="0005570C" w:rsidRPr="00FB4EFA">
        <w:rPr>
          <w:lang w:val="en-IE" w:eastAsia="en-GB"/>
        </w:rPr>
        <w:t xml:space="preserve"> </w:t>
      </w:r>
      <w:r w:rsidRPr="00FB4EFA">
        <w:rPr>
          <w:lang w:val="en-IE" w:eastAsia="en-GB"/>
        </w:rPr>
        <w:t xml:space="preserve">talent when it comes to </w:t>
      </w:r>
      <w:r w:rsidR="0005570C" w:rsidRPr="00FB4EFA">
        <w:rPr>
          <w:lang w:val="en-IE" w:eastAsia="en-GB"/>
        </w:rPr>
        <w:t>editing</w:t>
      </w:r>
      <w:r w:rsidRPr="00FB4EFA">
        <w:rPr>
          <w:lang w:val="en-IE" w:eastAsia="en-GB"/>
        </w:rPr>
        <w:t xml:space="preserve">, her tenacity for finding better definitions when the ones at our disposal were not doing the trick, her ability to condense excessively wordy prose into something that is immediately comprehensible while being half as long, etc. </w:t>
      </w:r>
      <w:r w:rsidR="00B753E9" w:rsidRPr="00FB4EFA">
        <w:rPr>
          <w:lang w:val="en-IE" w:eastAsia="en-GB"/>
        </w:rPr>
        <w:t>Here again her ability to committing not just her own thoughts, but also other people’s thoughts, to (virtual) paper in a quick and efficient manner was worth its weight in gold, much as it was when she acted as “the correspondent”.</w:t>
      </w:r>
    </w:p>
    <w:p w14:paraId="1D448BA3" w14:textId="50D078C5" w:rsidR="0005570C" w:rsidRPr="00FB4EFA" w:rsidRDefault="00B753E9" w:rsidP="00AF0CAD">
      <w:pPr>
        <w:ind w:firstLine="709"/>
        <w:rPr>
          <w:lang w:val="en-IE" w:eastAsia="en-GB"/>
        </w:rPr>
      </w:pPr>
      <w:r w:rsidRPr="00FB4EFA">
        <w:rPr>
          <w:lang w:val="en-IE" w:eastAsia="en-GB"/>
        </w:rPr>
        <w:t>Long before the project was complete, we decided that we would one day want to publish the story of how this volume came to be</w:t>
      </w:r>
      <w:r w:rsidR="00E75592" w:rsidRPr="00FB4EFA">
        <w:rPr>
          <w:vertAlign w:val="superscript"/>
          <w:lang w:val="en-IE" w:eastAsia="en-GB"/>
        </w:rPr>
        <w:footnoteReference w:id="9"/>
      </w:r>
      <w:r w:rsidRPr="00FB4EFA">
        <w:rPr>
          <w:lang w:val="en-IE" w:eastAsia="en-GB"/>
        </w:rPr>
        <w:t xml:space="preserve">. The editorial process highlighted numerous aspects of our discipline </w:t>
      </w:r>
      <w:r w:rsidR="00E75592" w:rsidRPr="00FB4EFA">
        <w:rPr>
          <w:lang w:val="en-IE" w:eastAsia="en-GB"/>
        </w:rPr>
        <w:t xml:space="preserve">in an impressive manner that would </w:t>
      </w:r>
      <w:r w:rsidR="0005570C" w:rsidRPr="00FB4EFA">
        <w:rPr>
          <w:lang w:val="en-IE" w:eastAsia="en-GB"/>
        </w:rPr>
        <w:t>otherwise have been less apparent</w:t>
      </w:r>
      <w:r w:rsidR="00E75592" w:rsidRPr="00FB4EFA">
        <w:rPr>
          <w:lang w:val="en-IE" w:eastAsia="en-GB"/>
        </w:rPr>
        <w:t xml:space="preserve">. </w:t>
      </w:r>
      <w:r w:rsidR="0005570C" w:rsidRPr="00FB4EFA">
        <w:rPr>
          <w:lang w:val="en-IE" w:eastAsia="en-GB"/>
        </w:rPr>
        <w:t xml:space="preserve">For </w:t>
      </w:r>
      <w:r w:rsidR="00E75592" w:rsidRPr="00FB4EFA">
        <w:rPr>
          <w:lang w:val="en-IE" w:eastAsia="en-GB"/>
        </w:rPr>
        <w:t>example</w:t>
      </w:r>
      <w:r w:rsidR="0005570C" w:rsidRPr="00FB4EFA">
        <w:rPr>
          <w:lang w:val="en-IE" w:eastAsia="en-GB"/>
        </w:rPr>
        <w:t>, some crucial points of traditional terminologies or subfields we thought to be well</w:t>
      </w:r>
      <w:r w:rsidR="00E75592" w:rsidRPr="00FB4EFA">
        <w:rPr>
          <w:lang w:val="en-IE" w:eastAsia="en-GB"/>
        </w:rPr>
        <w:t>-</w:t>
      </w:r>
      <w:r w:rsidR="0005570C" w:rsidRPr="00FB4EFA">
        <w:rPr>
          <w:lang w:val="en-IE" w:eastAsia="en-GB"/>
        </w:rPr>
        <w:t xml:space="preserve">researched and </w:t>
      </w:r>
      <w:r w:rsidR="00E75592" w:rsidRPr="00FB4EFA">
        <w:rPr>
          <w:lang w:val="en-IE" w:eastAsia="en-GB"/>
        </w:rPr>
        <w:t>well-</w:t>
      </w:r>
      <w:r w:rsidR="0005570C" w:rsidRPr="00FB4EFA">
        <w:rPr>
          <w:lang w:val="en-IE" w:eastAsia="en-GB"/>
        </w:rPr>
        <w:t>described</w:t>
      </w:r>
      <w:r w:rsidR="00EB0B7B" w:rsidRPr="00FB4EFA">
        <w:rPr>
          <w:lang w:val="en-IE" w:eastAsia="en-GB"/>
        </w:rPr>
        <w:t xml:space="preserve"> turned out to be problematic when </w:t>
      </w:r>
      <w:r w:rsidR="0005570C" w:rsidRPr="00FB4EFA">
        <w:rPr>
          <w:lang w:val="en-IE" w:eastAsia="en-GB"/>
        </w:rPr>
        <w:t xml:space="preserve">approached systematically from </w:t>
      </w:r>
      <w:r w:rsidR="00EB0B7B" w:rsidRPr="00FB4EFA">
        <w:rPr>
          <w:lang w:val="en-IE" w:eastAsia="en-GB"/>
        </w:rPr>
        <w:t xml:space="preserve">the </w:t>
      </w:r>
      <w:r w:rsidR="0005570C" w:rsidRPr="00FB4EFA">
        <w:rPr>
          <w:lang w:val="en-IE" w:eastAsia="en-GB"/>
        </w:rPr>
        <w:t>viewpoint</w:t>
      </w:r>
      <w:r w:rsidR="00EB0B7B" w:rsidRPr="00FB4EFA">
        <w:rPr>
          <w:lang w:val="en-IE" w:eastAsia="en-GB"/>
        </w:rPr>
        <w:t xml:space="preserve"> of theoretical linguistics. At times it seemed</w:t>
      </w:r>
      <w:r w:rsidR="0005570C" w:rsidRPr="00FB4EFA">
        <w:rPr>
          <w:lang w:val="en-IE" w:eastAsia="en-GB"/>
        </w:rPr>
        <w:t xml:space="preserve"> our knowledge </w:t>
      </w:r>
      <w:r w:rsidR="00EB0B7B" w:rsidRPr="00FB4EFA">
        <w:rPr>
          <w:lang w:val="en-IE" w:eastAsia="en-GB"/>
        </w:rPr>
        <w:t>was</w:t>
      </w:r>
      <w:r w:rsidR="0005570C" w:rsidRPr="00FB4EFA">
        <w:rPr>
          <w:lang w:val="en-IE" w:eastAsia="en-GB"/>
        </w:rPr>
        <w:t xml:space="preserve"> somewhat incomplete (to mention but one example: phonology). Perhaps it was – and is – the terminology that excited all of us, but </w:t>
      </w:r>
      <w:r w:rsidR="00EB0B7B" w:rsidRPr="00FB4EFA">
        <w:rPr>
          <w:lang w:val="en-IE" w:eastAsia="en-GB"/>
        </w:rPr>
        <w:t xml:space="preserve">most of all </w:t>
      </w:r>
      <w:r w:rsidR="0005570C" w:rsidRPr="00FB4EFA">
        <w:rPr>
          <w:lang w:val="en-IE" w:eastAsia="en-GB"/>
        </w:rPr>
        <w:t>Johanna</w:t>
      </w:r>
      <w:r w:rsidR="00EB0B7B" w:rsidRPr="00FB4EFA">
        <w:rPr>
          <w:lang w:val="en-IE" w:eastAsia="en-GB"/>
        </w:rPr>
        <w:t xml:space="preserve">. She </w:t>
      </w:r>
      <w:r w:rsidR="0005570C" w:rsidRPr="00FB4EFA">
        <w:rPr>
          <w:lang w:val="en-IE" w:eastAsia="en-GB"/>
        </w:rPr>
        <w:t xml:space="preserve">demonstrated </w:t>
      </w:r>
      <w:r w:rsidR="00EB0B7B" w:rsidRPr="00FB4EFA">
        <w:rPr>
          <w:lang w:val="en-IE" w:eastAsia="en-GB"/>
        </w:rPr>
        <w:t xml:space="preserve">this </w:t>
      </w:r>
      <w:r w:rsidR="0005570C" w:rsidRPr="00FB4EFA">
        <w:rPr>
          <w:lang w:val="en-IE" w:eastAsia="en-GB"/>
        </w:rPr>
        <w:t xml:space="preserve">in her talk </w:t>
      </w:r>
      <w:r w:rsidR="003A54AE" w:rsidRPr="00FB4EFA">
        <w:rPr>
          <w:i/>
          <w:iCs/>
          <w:lang w:val="en-IE" w:eastAsia="en-GB"/>
        </w:rPr>
        <w:t>“What shall I call you?”</w:t>
      </w:r>
      <w:r w:rsidR="003A54AE" w:rsidRPr="00FB4EFA">
        <w:rPr>
          <w:vertAlign w:val="superscript"/>
          <w:lang w:val="en-IE" w:eastAsia="en-GB"/>
        </w:rPr>
        <w:footnoteReference w:id="10"/>
      </w:r>
      <w:r w:rsidR="003A54AE" w:rsidRPr="00FB4EFA">
        <w:rPr>
          <w:i/>
          <w:iCs/>
          <w:lang w:val="en-IE" w:eastAsia="en-GB"/>
        </w:rPr>
        <w:t xml:space="preserve"> – The systems and names of the various non-finites in Hungarian, Finnish</w:t>
      </w:r>
      <w:r w:rsidR="00D92293" w:rsidRPr="00FB4EFA">
        <w:rPr>
          <w:i/>
          <w:iCs/>
          <w:lang w:val="en-IE" w:eastAsia="en-GB"/>
        </w:rPr>
        <w:t>,</w:t>
      </w:r>
      <w:r w:rsidR="003A54AE" w:rsidRPr="00FB4EFA">
        <w:rPr>
          <w:i/>
          <w:iCs/>
          <w:lang w:val="en-IE" w:eastAsia="en-GB"/>
        </w:rPr>
        <w:t xml:space="preserve"> and Estonian</w:t>
      </w:r>
      <w:r w:rsidR="003A54AE" w:rsidRPr="00FB4EFA">
        <w:rPr>
          <w:lang w:val="en-IE" w:eastAsia="en-GB"/>
        </w:rPr>
        <w:t xml:space="preserve"> </w:t>
      </w:r>
      <w:r w:rsidR="0005570C" w:rsidRPr="00FB4EFA">
        <w:rPr>
          <w:lang w:val="en-IE" w:eastAsia="en-GB"/>
        </w:rPr>
        <w:t xml:space="preserve">at the </w:t>
      </w:r>
      <w:r w:rsidR="00EB0B7B" w:rsidRPr="00FB4EFA">
        <w:rPr>
          <w:lang w:val="en-IE" w:eastAsia="en-GB"/>
        </w:rPr>
        <w:t xml:space="preserve">University of </w:t>
      </w:r>
      <w:r w:rsidR="0005570C" w:rsidRPr="00FB4EFA">
        <w:rPr>
          <w:lang w:val="en-IE" w:eastAsia="en-GB"/>
        </w:rPr>
        <w:t xml:space="preserve">Szeged when she was inaugurated as an honorary doctor </w:t>
      </w:r>
      <w:r w:rsidR="00EB0B7B" w:rsidRPr="00FB4EFA">
        <w:rPr>
          <w:lang w:val="en-IE" w:eastAsia="en-GB"/>
        </w:rPr>
        <w:t>in November 2021</w:t>
      </w:r>
      <w:r w:rsidR="0005570C" w:rsidRPr="00FB4EFA">
        <w:rPr>
          <w:lang w:val="en-IE" w:eastAsia="en-GB"/>
        </w:rPr>
        <w:t xml:space="preserve">. </w:t>
      </w:r>
      <w:r w:rsidR="00B83C25" w:rsidRPr="00FB4EFA">
        <w:rPr>
          <w:lang w:val="en-IE" w:eastAsia="en-GB"/>
        </w:rPr>
        <w:t>We are sure the topic will continue to excite us.</w:t>
      </w:r>
    </w:p>
    <w:p w14:paraId="64F28C8E" w14:textId="058F7F63" w:rsidR="00B83C25" w:rsidRPr="00FB4EFA" w:rsidRDefault="00B83C25" w:rsidP="00402EF4">
      <w:pPr>
        <w:ind w:firstLine="709"/>
        <w:rPr>
          <w:lang w:val="en-IE" w:eastAsia="en-GB"/>
        </w:rPr>
      </w:pPr>
      <w:r w:rsidRPr="00FB4EFA">
        <w:rPr>
          <w:lang w:val="en-IE" w:eastAsia="en-GB"/>
        </w:rPr>
        <w:t xml:space="preserve">With the compendium having only recently been completed, it is still difficult to think about, much less talk about, life after this project. </w:t>
      </w:r>
      <w:r w:rsidR="0005570C" w:rsidRPr="00FB4EFA">
        <w:rPr>
          <w:lang w:val="en-IE" w:eastAsia="en-GB"/>
        </w:rPr>
        <w:t>Working together</w:t>
      </w:r>
      <w:r w:rsidRPr="00FB4EFA">
        <w:rPr>
          <w:lang w:val="en-IE" w:eastAsia="en-GB"/>
        </w:rPr>
        <w:t>, be it in person or virtually,</w:t>
      </w:r>
      <w:r w:rsidR="0005570C" w:rsidRPr="00FB4EFA">
        <w:rPr>
          <w:lang w:val="en-IE" w:eastAsia="en-GB"/>
        </w:rPr>
        <w:t xml:space="preserve"> has become an important part of our lives</w:t>
      </w:r>
      <w:r w:rsidRPr="00FB4EFA">
        <w:rPr>
          <w:lang w:val="en-IE" w:eastAsia="en-GB"/>
        </w:rPr>
        <w:t>.</w:t>
      </w:r>
      <w:r w:rsidR="0005570C" w:rsidRPr="00FB4EFA">
        <w:rPr>
          <w:lang w:val="en-IE" w:eastAsia="en-GB"/>
        </w:rPr>
        <w:t xml:space="preserve"> It is a well-known psychological phenomenon that when someone finishes a </w:t>
      </w:r>
      <w:r w:rsidRPr="00FB4EFA">
        <w:rPr>
          <w:lang w:val="en-IE" w:eastAsia="en-GB"/>
        </w:rPr>
        <w:t>monumental task,</w:t>
      </w:r>
      <w:r w:rsidR="0005570C" w:rsidRPr="00FB4EFA">
        <w:rPr>
          <w:lang w:val="en-IE" w:eastAsia="en-GB"/>
        </w:rPr>
        <w:t xml:space="preserve"> </w:t>
      </w:r>
      <w:r w:rsidRPr="00FB4EFA">
        <w:rPr>
          <w:lang w:val="en-IE" w:eastAsia="en-GB"/>
        </w:rPr>
        <w:t>a</w:t>
      </w:r>
      <w:r w:rsidR="0005570C" w:rsidRPr="00FB4EFA">
        <w:rPr>
          <w:lang w:val="en-IE" w:eastAsia="en-GB"/>
        </w:rPr>
        <w:t xml:space="preserve"> feeling of emptiness takes hold. In our case, however, the feeling of emptiness and the lack of conversations and togetherness was </w:t>
      </w:r>
      <w:r w:rsidRPr="00FB4EFA">
        <w:rPr>
          <w:lang w:val="en-IE" w:eastAsia="en-GB"/>
        </w:rPr>
        <w:t xml:space="preserve">exacerbated </w:t>
      </w:r>
      <w:r w:rsidR="0005570C" w:rsidRPr="00FB4EFA">
        <w:rPr>
          <w:lang w:val="en-IE" w:eastAsia="en-GB"/>
        </w:rPr>
        <w:t xml:space="preserve">by the COVID-19 pandemic. </w:t>
      </w:r>
      <w:r w:rsidRPr="00FB4EFA">
        <w:rPr>
          <w:lang w:val="en-IE" w:eastAsia="en-GB"/>
        </w:rPr>
        <w:t xml:space="preserve">It was a </w:t>
      </w:r>
      <w:r w:rsidRPr="00FB4EFA">
        <w:rPr>
          <w:lang w:val="en-IE" w:eastAsia="en-GB"/>
        </w:rPr>
        <w:lastRenderedPageBreak/>
        <w:t xml:space="preserve">different world we woke up to after completing the compendium. It is a world in which rushing to Vienna – the midway point of our group, an eternal Checkpoint Charlie – and to spend at </w:t>
      </w:r>
      <w:r w:rsidR="0005570C" w:rsidRPr="00FB4EFA">
        <w:rPr>
          <w:lang w:val="en-IE" w:eastAsia="en-GB"/>
        </w:rPr>
        <w:t>least a little time together, not only working, but also visiting exhibitions, listening to concerts</w:t>
      </w:r>
      <w:r w:rsidRPr="00FB4EFA">
        <w:rPr>
          <w:lang w:val="en-IE" w:eastAsia="en-GB"/>
        </w:rPr>
        <w:t>,</w:t>
      </w:r>
      <w:r w:rsidR="0005570C" w:rsidRPr="00FB4EFA">
        <w:rPr>
          <w:lang w:val="en-IE" w:eastAsia="en-GB"/>
        </w:rPr>
        <w:t xml:space="preserve"> or just sitting together in the </w:t>
      </w:r>
      <w:r w:rsidRPr="00FB4EFA">
        <w:rPr>
          <w:lang w:val="en-IE" w:eastAsia="en-GB"/>
        </w:rPr>
        <w:t>University of Vienna’s campus</w:t>
      </w:r>
      <w:r w:rsidR="0005570C" w:rsidRPr="00FB4EFA">
        <w:rPr>
          <w:lang w:val="en-IE" w:eastAsia="en-GB"/>
        </w:rPr>
        <w:t xml:space="preserve"> and eating a lovely Viennese lunch. </w:t>
      </w:r>
      <w:r w:rsidRPr="00FB4EFA">
        <w:rPr>
          <w:lang w:val="en-IE" w:eastAsia="en-GB"/>
        </w:rPr>
        <w:t xml:space="preserve">It is no wonder that, </w:t>
      </w:r>
      <w:r w:rsidR="0005570C" w:rsidRPr="00FB4EFA">
        <w:rPr>
          <w:lang w:val="en-IE" w:eastAsia="en-GB"/>
        </w:rPr>
        <w:t>from time to time, a short e</w:t>
      </w:r>
      <w:r w:rsidRPr="00FB4EFA">
        <w:rPr>
          <w:lang w:val="en-IE" w:eastAsia="en-GB"/>
        </w:rPr>
        <w:t>-</w:t>
      </w:r>
      <w:r w:rsidR="0005570C" w:rsidRPr="00FB4EFA">
        <w:rPr>
          <w:lang w:val="en-IE" w:eastAsia="en-GB"/>
        </w:rPr>
        <w:t xml:space="preserve">mail from any one of us </w:t>
      </w:r>
      <w:r w:rsidRPr="00FB4EFA">
        <w:rPr>
          <w:lang w:val="en-IE" w:eastAsia="en-GB"/>
        </w:rPr>
        <w:t>drops into the other two’s inbox</w:t>
      </w:r>
      <w:r w:rsidR="00D92293" w:rsidRPr="00FB4EFA">
        <w:rPr>
          <w:lang w:val="en-IE" w:eastAsia="en-GB"/>
        </w:rPr>
        <w:t>es</w:t>
      </w:r>
      <w:r w:rsidR="0005570C" w:rsidRPr="00FB4EFA">
        <w:rPr>
          <w:lang w:val="en-IE" w:eastAsia="en-GB"/>
        </w:rPr>
        <w:t xml:space="preserve">: </w:t>
      </w:r>
      <w:r w:rsidRPr="00FB4EFA">
        <w:rPr>
          <w:lang w:val="en-IE" w:eastAsia="en-GB"/>
        </w:rPr>
        <w:t>“</w:t>
      </w:r>
      <w:r w:rsidR="0005570C" w:rsidRPr="00FB4EFA">
        <w:rPr>
          <w:lang w:val="en-IE" w:eastAsia="en-GB"/>
        </w:rPr>
        <w:t>Girls, I miss you! When?</w:t>
      </w:r>
      <w:r w:rsidRPr="00FB4EFA">
        <w:rPr>
          <w:lang w:val="en-IE" w:eastAsia="en-GB"/>
        </w:rPr>
        <w:t>”</w:t>
      </w:r>
      <w:r w:rsidR="0005570C" w:rsidRPr="00FB4EFA">
        <w:rPr>
          <w:lang w:val="en-IE" w:eastAsia="en-GB"/>
        </w:rPr>
        <w:t xml:space="preserve"> And then we</w:t>
      </w:r>
      <w:r w:rsidRPr="00FB4EFA">
        <w:rPr>
          <w:lang w:val="en-IE" w:eastAsia="en-GB"/>
        </w:rPr>
        <w:t xml:space="preserve"> again</w:t>
      </w:r>
      <w:r w:rsidR="0005570C" w:rsidRPr="00FB4EFA">
        <w:rPr>
          <w:lang w:val="en-IE" w:eastAsia="en-GB"/>
        </w:rPr>
        <w:t xml:space="preserve"> sit </w:t>
      </w:r>
      <w:r w:rsidRPr="00FB4EFA">
        <w:rPr>
          <w:lang w:val="en-IE" w:eastAsia="en-GB"/>
        </w:rPr>
        <w:t>in front of our screens</w:t>
      </w:r>
      <w:r w:rsidR="0005570C" w:rsidRPr="00FB4EFA">
        <w:rPr>
          <w:lang w:val="en-IE" w:eastAsia="en-GB"/>
        </w:rPr>
        <w:t xml:space="preserve"> and exchange ideas, conceive new projects, and try to change our tiny </w:t>
      </w:r>
      <w:r w:rsidRPr="00FB4EFA">
        <w:rPr>
          <w:lang w:val="en-IE" w:eastAsia="en-GB"/>
        </w:rPr>
        <w:t xml:space="preserve">little </w:t>
      </w:r>
      <w:r w:rsidR="0005570C" w:rsidRPr="00FB4EFA">
        <w:rPr>
          <w:lang w:val="en-IE" w:eastAsia="en-GB"/>
        </w:rPr>
        <w:t xml:space="preserve">world. </w:t>
      </w:r>
      <w:r w:rsidRPr="00FB4EFA">
        <w:rPr>
          <w:lang w:val="en-IE" w:eastAsia="en-GB"/>
        </w:rPr>
        <w:t>May J(EM) be blessed with a long life and new challenges!</w:t>
      </w:r>
    </w:p>
    <w:p w14:paraId="0FB7B252" w14:textId="0CAF4FD8" w:rsidR="004167D8" w:rsidRPr="00FB4EFA" w:rsidRDefault="002871B9" w:rsidP="00545033">
      <w:pPr>
        <w:pStyle w:val="Heading2"/>
        <w:suppressAutoHyphens/>
        <w:spacing w:line="259" w:lineRule="auto"/>
        <w:rPr>
          <w:color w:val="auto"/>
          <w:lang w:val="en-IE"/>
        </w:rPr>
      </w:pPr>
      <w:r w:rsidRPr="00FB4EFA">
        <w:rPr>
          <w:color w:val="auto"/>
          <w:lang w:val="en-IE"/>
        </w:rPr>
        <w:t>Blogging and Popular Science</w:t>
      </w:r>
    </w:p>
    <w:p w14:paraId="663E1578" w14:textId="22A858DE" w:rsidR="00D547D4" w:rsidRPr="00FB4EFA" w:rsidRDefault="002871B9" w:rsidP="00AF0CAD">
      <w:pPr>
        <w:spacing w:after="240"/>
        <w:rPr>
          <w:lang w:val="en-IE" w:eastAsia="en-GB"/>
        </w:rPr>
      </w:pPr>
      <w:r w:rsidRPr="00FB4EFA">
        <w:rPr>
          <w:lang w:val="en-IE" w:eastAsia="en-GB"/>
        </w:rPr>
        <w:t xml:space="preserve">As none of the authors of this chapter are deeply embedded into the </w:t>
      </w:r>
      <w:r w:rsidR="00120273" w:rsidRPr="00FB4EFA">
        <w:rPr>
          <w:lang w:val="en-IE" w:eastAsia="en-GB"/>
        </w:rPr>
        <w:br/>
      </w:r>
      <w:r w:rsidRPr="00FB4EFA">
        <w:rPr>
          <w:lang w:val="en-IE" w:eastAsia="en-GB"/>
        </w:rPr>
        <w:t>Finnophone</w:t>
      </w:r>
      <w:r w:rsidR="00056AFC" w:rsidRPr="00FB4EFA">
        <w:rPr>
          <w:lang w:val="en-IE" w:eastAsia="en-GB"/>
        </w:rPr>
        <w:t xml:space="preserve"> digital spheres the jubilarian calls her home, we are not the best people to comment</w:t>
      </w:r>
      <w:r w:rsidR="00D92293" w:rsidRPr="00FB4EFA">
        <w:rPr>
          <w:lang w:val="en-IE" w:eastAsia="en-GB"/>
        </w:rPr>
        <w:t xml:space="preserve"> on</w:t>
      </w:r>
      <w:r w:rsidR="00056AFC" w:rsidRPr="00FB4EFA">
        <w:rPr>
          <w:lang w:val="en-IE" w:eastAsia="en-GB"/>
        </w:rPr>
        <w:t xml:space="preserve"> the exploits of her exceedingly verbose alter ego, </w:t>
      </w:r>
      <w:r w:rsidRPr="00FB4EFA">
        <w:rPr>
          <w:lang w:val="en-IE" w:eastAsia="en-GB"/>
        </w:rPr>
        <w:t>Sentrooppa-Santra</w:t>
      </w:r>
      <w:r w:rsidR="006D6A79" w:rsidRPr="00FB4EFA">
        <w:rPr>
          <w:lang w:val="en-IE" w:eastAsia="en-GB"/>
        </w:rPr>
        <w:t xml:space="preserve"> (</w:t>
      </w:r>
      <w:hyperlink r:id="rId40" w:history="1">
        <w:r w:rsidR="006D6A79" w:rsidRPr="00FB4EFA">
          <w:rPr>
            <w:u w:val="single"/>
            <w:lang w:val="en-IE" w:eastAsia="en-GB"/>
          </w:rPr>
          <w:t>sentrooppasantra.wordpress.com</w:t>
        </w:r>
      </w:hyperlink>
      <w:r w:rsidR="006D6A79" w:rsidRPr="00FB4EFA">
        <w:rPr>
          <w:lang w:val="en-IE" w:eastAsia="en-GB"/>
        </w:rPr>
        <w:t>)</w:t>
      </w:r>
      <w:r w:rsidR="00056AFC" w:rsidRPr="00FB4EFA">
        <w:rPr>
          <w:lang w:val="en-IE" w:eastAsia="en-GB"/>
        </w:rPr>
        <w:t>, who has for almost exactly 10 years (these lines were typed on 21 December 2021 and her first blog post was published on 23 December 2011)</w:t>
      </w:r>
      <w:r w:rsidR="009F28F0" w:rsidRPr="00FB4EFA">
        <w:rPr>
          <w:lang w:val="en-IE" w:eastAsia="en-GB"/>
        </w:rPr>
        <w:t xml:space="preserve">, among </w:t>
      </w:r>
      <w:r w:rsidR="00120273" w:rsidRPr="00FB4EFA">
        <w:rPr>
          <w:lang w:val="en-IE" w:eastAsia="en-GB"/>
        </w:rPr>
        <w:br/>
      </w:r>
      <w:r w:rsidR="009F28F0" w:rsidRPr="00FB4EFA">
        <w:rPr>
          <w:lang w:val="en-IE" w:eastAsia="en-GB"/>
        </w:rPr>
        <w:t>other things, been keeping her Finnish-speaking audience appraised of political happenings in central Europe, ranging from mundane every-day annoyances to farcical absurdities that must be experienced to be believed.</w:t>
      </w:r>
      <w:r w:rsidR="004B2DC4" w:rsidRPr="00FB4EFA">
        <w:rPr>
          <w:lang w:val="en-IE" w:eastAsia="en-GB"/>
        </w:rPr>
        <w:t xml:space="preserve"> Suffice to say, if one encounters speakers of Finnish with a profound understanding of the (especially, but not exclusively, Hungarian and Austrian) insanity du jour, it is thanks to her noble efforts that they have this insight. </w:t>
      </w:r>
      <w:r w:rsidR="00D547D4" w:rsidRPr="00FB4EFA">
        <w:rPr>
          <w:lang w:val="en-IE" w:eastAsia="en-GB"/>
        </w:rPr>
        <w:t xml:space="preserve">Figure </w:t>
      </w:r>
      <w:r w:rsidR="004D0C6C" w:rsidRPr="00FB4EFA">
        <w:rPr>
          <w:lang w:val="en-IE" w:eastAsia="en-GB"/>
        </w:rPr>
        <w:t>3</w:t>
      </w:r>
      <w:r w:rsidR="00D547D4" w:rsidRPr="00FB4EFA">
        <w:rPr>
          <w:lang w:val="en-IE" w:eastAsia="en-GB"/>
        </w:rPr>
        <w:t xml:space="preserve"> below, a word cloud extracted from her blog in December 2021,</w:t>
      </w:r>
      <w:r w:rsidR="004B2DC4" w:rsidRPr="00FB4EFA">
        <w:rPr>
          <w:lang w:val="en-IE" w:eastAsia="en-GB"/>
        </w:rPr>
        <w:t xml:space="preserve"> gives a more </w:t>
      </w:r>
      <w:r w:rsidR="00D547D4" w:rsidRPr="00FB4EFA">
        <w:rPr>
          <w:lang w:val="en-IE" w:eastAsia="en-GB"/>
        </w:rPr>
        <w:t>specific account of the spectres that have been haunting her over the last decade, or rather, the spectres that she has been haunting.</w:t>
      </w:r>
    </w:p>
    <w:p w14:paraId="025B6067" w14:textId="1A1BB8FE" w:rsidR="001473D0" w:rsidRPr="00FB4EFA" w:rsidRDefault="00000000" w:rsidP="00C632D5">
      <w:pPr>
        <w:keepLines/>
        <w:pBdr>
          <w:top w:val="single" w:sz="12" w:space="1" w:color="auto"/>
          <w:left w:val="single" w:sz="12" w:space="4" w:color="auto"/>
          <w:bottom w:val="single" w:sz="12" w:space="1" w:color="auto"/>
          <w:right w:val="single" w:sz="12" w:space="4" w:color="auto"/>
        </w:pBdr>
        <w:spacing w:line="240" w:lineRule="auto"/>
        <w:rPr>
          <w:rFonts w:cs="Charis SIL"/>
          <w:sz w:val="18"/>
          <w:szCs w:val="18"/>
          <w:lang w:val="en-IE"/>
        </w:rPr>
      </w:pPr>
      <w:hyperlink r:id="rId41" w:history="1">
        <w:r w:rsidR="001473D0" w:rsidRPr="00FB4EFA">
          <w:rPr>
            <w:sz w:val="20"/>
            <w:szCs w:val="20"/>
            <w:lang w:val="en-IE"/>
          </w:rPr>
          <w:t>1956</w:t>
        </w:r>
      </w:hyperlink>
      <w:r w:rsidR="001473D0" w:rsidRPr="00FB4EFA">
        <w:rPr>
          <w:sz w:val="18"/>
          <w:szCs w:val="18"/>
          <w:lang w:val="en-IE"/>
        </w:rPr>
        <w:t xml:space="preserve"> </w:t>
      </w:r>
      <w:hyperlink r:id="rId42" w:history="1">
        <w:r w:rsidR="001473D0" w:rsidRPr="00FB4EFA">
          <w:rPr>
            <w:sz w:val="14"/>
            <w:szCs w:val="14"/>
            <w:lang w:val="en-IE"/>
          </w:rPr>
          <w:t>Alexander Van der Bellen</w:t>
        </w:r>
      </w:hyperlink>
      <w:r w:rsidR="001473D0" w:rsidRPr="00FB4EFA">
        <w:rPr>
          <w:sz w:val="18"/>
          <w:szCs w:val="18"/>
          <w:lang w:val="en-IE"/>
        </w:rPr>
        <w:t xml:space="preserve"> </w:t>
      </w:r>
      <w:hyperlink r:id="rId43" w:history="1">
        <w:r w:rsidR="001473D0" w:rsidRPr="00FB4EFA">
          <w:rPr>
            <w:sz w:val="28"/>
            <w:szCs w:val="28"/>
            <w:lang w:val="en-IE"/>
          </w:rPr>
          <w:t>antisemitismi</w:t>
        </w:r>
      </w:hyperlink>
      <w:r w:rsidR="001473D0" w:rsidRPr="00FB4EFA">
        <w:rPr>
          <w:sz w:val="18"/>
          <w:szCs w:val="18"/>
          <w:lang w:val="en-IE"/>
        </w:rPr>
        <w:t xml:space="preserve"> </w:t>
      </w:r>
      <w:hyperlink r:id="rId44" w:history="1">
        <w:r w:rsidR="001473D0" w:rsidRPr="00FB4EFA">
          <w:rPr>
            <w:sz w:val="18"/>
            <w:szCs w:val="18"/>
            <w:lang w:val="en-IE"/>
          </w:rPr>
          <w:t>Central European University</w:t>
        </w:r>
      </w:hyperlink>
      <w:r w:rsidR="001473D0" w:rsidRPr="00FB4EFA">
        <w:rPr>
          <w:sz w:val="18"/>
          <w:szCs w:val="18"/>
          <w:lang w:val="en-IE"/>
        </w:rPr>
        <w:t xml:space="preserve"> </w:t>
      </w:r>
      <w:hyperlink r:id="rId45" w:history="1">
        <w:r w:rsidR="001473D0" w:rsidRPr="00FB4EFA">
          <w:rPr>
            <w:sz w:val="14"/>
            <w:szCs w:val="14"/>
            <w:lang w:val="en-IE"/>
          </w:rPr>
          <w:t>ensimmäinen maailmansota</w:t>
        </w:r>
      </w:hyperlink>
      <w:r w:rsidR="001473D0" w:rsidRPr="00FB4EFA">
        <w:rPr>
          <w:sz w:val="18"/>
          <w:szCs w:val="18"/>
          <w:lang w:val="en-IE"/>
        </w:rPr>
        <w:t xml:space="preserve"> </w:t>
      </w:r>
      <w:hyperlink r:id="rId46" w:history="1">
        <w:r w:rsidR="001473D0" w:rsidRPr="00FB4EFA">
          <w:rPr>
            <w:sz w:val="28"/>
            <w:szCs w:val="28"/>
            <w:lang w:val="en-IE"/>
          </w:rPr>
          <w:t>EU</w:t>
        </w:r>
      </w:hyperlink>
      <w:r w:rsidR="001473D0" w:rsidRPr="00FB4EFA">
        <w:rPr>
          <w:sz w:val="18"/>
          <w:szCs w:val="18"/>
          <w:lang w:val="en-IE"/>
        </w:rPr>
        <w:t xml:space="preserve"> </w:t>
      </w:r>
      <w:hyperlink r:id="rId47" w:history="1">
        <w:r w:rsidR="001473D0" w:rsidRPr="00FB4EFA">
          <w:rPr>
            <w:sz w:val="24"/>
            <w:szCs w:val="24"/>
            <w:lang w:val="en-IE"/>
          </w:rPr>
          <w:t>feminismi</w:t>
        </w:r>
      </w:hyperlink>
      <w:r w:rsidR="001473D0" w:rsidRPr="00FB4EFA">
        <w:rPr>
          <w:sz w:val="18"/>
          <w:szCs w:val="18"/>
          <w:lang w:val="en-IE"/>
        </w:rPr>
        <w:t xml:space="preserve"> </w:t>
      </w:r>
      <w:hyperlink r:id="rId48" w:history="1">
        <w:r w:rsidR="001473D0" w:rsidRPr="00FB4EFA">
          <w:rPr>
            <w:sz w:val="18"/>
            <w:szCs w:val="18"/>
            <w:lang w:val="en-IE"/>
          </w:rPr>
          <w:t>fidesz</w:t>
        </w:r>
      </w:hyperlink>
      <w:r w:rsidR="001473D0" w:rsidRPr="00FB4EFA">
        <w:rPr>
          <w:sz w:val="18"/>
          <w:szCs w:val="18"/>
          <w:lang w:val="en-IE"/>
        </w:rPr>
        <w:t xml:space="preserve"> </w:t>
      </w:r>
      <w:hyperlink r:id="rId49" w:history="1">
        <w:r w:rsidR="001473D0" w:rsidRPr="00FB4EFA">
          <w:rPr>
            <w:sz w:val="18"/>
            <w:lang w:val="en-IE"/>
          </w:rPr>
          <w:t>FPÖ</w:t>
        </w:r>
      </w:hyperlink>
      <w:r w:rsidR="001473D0" w:rsidRPr="00FB4EFA">
        <w:rPr>
          <w:sz w:val="18"/>
          <w:szCs w:val="18"/>
          <w:lang w:val="en-IE"/>
        </w:rPr>
        <w:t xml:space="preserve"> </w:t>
      </w:r>
      <w:hyperlink r:id="rId50" w:history="1">
        <w:r w:rsidR="001473D0" w:rsidRPr="00FB4EFA">
          <w:rPr>
            <w:sz w:val="18"/>
            <w:szCs w:val="18"/>
            <w:lang w:val="en-IE"/>
          </w:rPr>
          <w:t>gender</w:t>
        </w:r>
      </w:hyperlink>
      <w:r w:rsidR="001473D0" w:rsidRPr="00FB4EFA">
        <w:rPr>
          <w:sz w:val="18"/>
          <w:szCs w:val="18"/>
          <w:lang w:val="en-IE"/>
        </w:rPr>
        <w:t xml:space="preserve"> </w:t>
      </w:r>
      <w:hyperlink r:id="rId51" w:history="1">
        <w:r w:rsidR="001473D0" w:rsidRPr="00FB4EFA">
          <w:rPr>
            <w:sz w:val="24"/>
            <w:szCs w:val="24"/>
            <w:lang w:val="en-IE"/>
          </w:rPr>
          <w:t>György Soros</w:t>
        </w:r>
      </w:hyperlink>
      <w:r w:rsidR="001473D0" w:rsidRPr="00FB4EFA">
        <w:rPr>
          <w:sz w:val="18"/>
          <w:szCs w:val="18"/>
          <w:lang w:val="en-IE"/>
        </w:rPr>
        <w:t xml:space="preserve"> </w:t>
      </w:r>
      <w:hyperlink r:id="rId52" w:history="1">
        <w:r w:rsidR="001473D0" w:rsidRPr="00FB4EFA">
          <w:rPr>
            <w:sz w:val="28"/>
            <w:szCs w:val="28"/>
            <w:lang w:val="en-IE"/>
          </w:rPr>
          <w:t>HC Strache</w:t>
        </w:r>
      </w:hyperlink>
      <w:r w:rsidR="001473D0" w:rsidRPr="00FB4EFA">
        <w:rPr>
          <w:sz w:val="18"/>
          <w:szCs w:val="18"/>
          <w:lang w:val="en-IE"/>
        </w:rPr>
        <w:t xml:space="preserve"> </w:t>
      </w:r>
      <w:hyperlink r:id="rId53" w:history="1">
        <w:r w:rsidR="001473D0" w:rsidRPr="00FB4EFA">
          <w:rPr>
            <w:lang w:val="en-IE"/>
          </w:rPr>
          <w:t>holokausti</w:t>
        </w:r>
      </w:hyperlink>
      <w:r w:rsidR="001473D0" w:rsidRPr="00FB4EFA">
        <w:rPr>
          <w:sz w:val="18"/>
          <w:szCs w:val="18"/>
          <w:lang w:val="en-IE"/>
        </w:rPr>
        <w:t xml:space="preserve"> </w:t>
      </w:r>
      <w:hyperlink r:id="rId54" w:history="1">
        <w:r w:rsidR="001473D0" w:rsidRPr="00FB4EFA">
          <w:rPr>
            <w:sz w:val="20"/>
            <w:szCs w:val="20"/>
            <w:lang w:val="en-IE"/>
          </w:rPr>
          <w:t>huuhaatiede</w:t>
        </w:r>
      </w:hyperlink>
      <w:r w:rsidR="001473D0" w:rsidRPr="00FB4EFA">
        <w:rPr>
          <w:sz w:val="18"/>
          <w:szCs w:val="18"/>
          <w:lang w:val="en-IE"/>
        </w:rPr>
        <w:t xml:space="preserve"> </w:t>
      </w:r>
      <w:hyperlink r:id="rId55" w:history="1">
        <w:r w:rsidR="001473D0" w:rsidRPr="00FB4EFA">
          <w:rPr>
            <w:sz w:val="12"/>
            <w:szCs w:val="12"/>
            <w:lang w:val="en-IE"/>
          </w:rPr>
          <w:t>illiberaali demokratia</w:t>
        </w:r>
      </w:hyperlink>
      <w:r w:rsidR="001473D0" w:rsidRPr="00FB4EFA">
        <w:rPr>
          <w:sz w:val="18"/>
          <w:szCs w:val="18"/>
          <w:lang w:val="en-IE"/>
        </w:rPr>
        <w:t xml:space="preserve"> </w:t>
      </w:r>
      <w:hyperlink r:id="rId56" w:history="1">
        <w:r w:rsidR="001473D0" w:rsidRPr="00FB4EFA">
          <w:rPr>
            <w:sz w:val="20"/>
            <w:szCs w:val="20"/>
            <w:lang w:val="en-IE"/>
          </w:rPr>
          <w:t>islam</w:t>
        </w:r>
      </w:hyperlink>
      <w:r w:rsidR="001473D0" w:rsidRPr="00FB4EFA">
        <w:rPr>
          <w:sz w:val="18"/>
          <w:szCs w:val="18"/>
          <w:lang w:val="en-IE"/>
        </w:rPr>
        <w:t xml:space="preserve"> </w:t>
      </w:r>
      <w:hyperlink r:id="rId57" w:history="1">
        <w:r w:rsidR="001473D0" w:rsidRPr="00FB4EFA">
          <w:rPr>
            <w:sz w:val="16"/>
            <w:szCs w:val="16"/>
            <w:lang w:val="en-IE"/>
          </w:rPr>
          <w:t>jalkapallo</w:t>
        </w:r>
      </w:hyperlink>
      <w:r w:rsidR="001473D0" w:rsidRPr="00FB4EFA">
        <w:rPr>
          <w:sz w:val="18"/>
          <w:szCs w:val="18"/>
          <w:lang w:val="en-IE"/>
        </w:rPr>
        <w:t xml:space="preserve"> </w:t>
      </w:r>
      <w:hyperlink r:id="rId58" w:history="1">
        <w:r w:rsidR="001473D0" w:rsidRPr="00FB4EFA">
          <w:rPr>
            <w:sz w:val="18"/>
            <w:szCs w:val="18"/>
            <w:lang w:val="en-IE"/>
          </w:rPr>
          <w:t>Jobbik</w:t>
        </w:r>
      </w:hyperlink>
      <w:r w:rsidR="001473D0" w:rsidRPr="00FB4EFA">
        <w:rPr>
          <w:sz w:val="18"/>
          <w:szCs w:val="18"/>
          <w:lang w:val="en-IE"/>
        </w:rPr>
        <w:t xml:space="preserve"> </w:t>
      </w:r>
      <w:hyperlink r:id="rId59" w:history="1">
        <w:r w:rsidR="001473D0" w:rsidRPr="00FB4EFA">
          <w:rPr>
            <w:sz w:val="12"/>
            <w:szCs w:val="12"/>
            <w:lang w:val="en-IE"/>
          </w:rPr>
          <w:t>János Lázár</w:t>
        </w:r>
      </w:hyperlink>
      <w:r w:rsidR="001473D0" w:rsidRPr="00FB4EFA">
        <w:rPr>
          <w:sz w:val="18"/>
          <w:szCs w:val="18"/>
          <w:lang w:val="en-IE"/>
        </w:rPr>
        <w:t xml:space="preserve"> </w:t>
      </w:r>
      <w:hyperlink r:id="rId60" w:history="1">
        <w:r w:rsidR="001473D0" w:rsidRPr="00FB4EFA">
          <w:rPr>
            <w:sz w:val="12"/>
            <w:szCs w:val="12"/>
            <w:lang w:val="en-IE"/>
          </w:rPr>
          <w:t>Jörg Haider</w:t>
        </w:r>
      </w:hyperlink>
      <w:r w:rsidR="001473D0" w:rsidRPr="00FB4EFA">
        <w:rPr>
          <w:sz w:val="18"/>
          <w:szCs w:val="18"/>
          <w:lang w:val="en-IE"/>
        </w:rPr>
        <w:t xml:space="preserve"> </w:t>
      </w:r>
      <w:hyperlink r:id="rId61" w:history="1">
        <w:r w:rsidR="001473D0" w:rsidRPr="00FB4EFA">
          <w:rPr>
            <w:sz w:val="18"/>
            <w:szCs w:val="18"/>
            <w:lang w:val="en-IE"/>
          </w:rPr>
          <w:t>kansallinen konsultaatio</w:t>
        </w:r>
      </w:hyperlink>
      <w:r w:rsidR="001473D0" w:rsidRPr="00FB4EFA">
        <w:rPr>
          <w:sz w:val="18"/>
          <w:szCs w:val="18"/>
          <w:lang w:val="en-IE"/>
        </w:rPr>
        <w:t xml:space="preserve"> </w:t>
      </w:r>
      <w:hyperlink r:id="rId62" w:history="1">
        <w:r w:rsidR="001473D0" w:rsidRPr="00FB4EFA">
          <w:rPr>
            <w:sz w:val="20"/>
            <w:szCs w:val="20"/>
            <w:lang w:val="en-IE"/>
          </w:rPr>
          <w:t>kansanäänestys</w:t>
        </w:r>
      </w:hyperlink>
      <w:r w:rsidR="001473D0" w:rsidRPr="00FB4EFA">
        <w:rPr>
          <w:sz w:val="18"/>
          <w:szCs w:val="18"/>
          <w:lang w:val="en-IE"/>
        </w:rPr>
        <w:t xml:space="preserve"> </w:t>
      </w:r>
      <w:hyperlink r:id="rId63" w:history="1">
        <w:r w:rsidR="001473D0" w:rsidRPr="00FB4EFA">
          <w:rPr>
            <w:lang w:val="en-IE"/>
          </w:rPr>
          <w:t>kirjallisuus</w:t>
        </w:r>
      </w:hyperlink>
      <w:r w:rsidR="001473D0" w:rsidRPr="00FB4EFA">
        <w:rPr>
          <w:sz w:val="18"/>
          <w:szCs w:val="18"/>
          <w:lang w:val="en-IE"/>
        </w:rPr>
        <w:t xml:space="preserve"> </w:t>
      </w:r>
      <w:hyperlink r:id="rId64" w:history="1">
        <w:r w:rsidR="001473D0" w:rsidRPr="00FB4EFA">
          <w:rPr>
            <w:sz w:val="12"/>
            <w:szCs w:val="12"/>
            <w:lang w:val="en-IE"/>
          </w:rPr>
          <w:t>korkeakoulujärjestelmä</w:t>
        </w:r>
      </w:hyperlink>
      <w:r w:rsidR="001473D0" w:rsidRPr="00FB4EFA">
        <w:rPr>
          <w:sz w:val="18"/>
          <w:szCs w:val="18"/>
          <w:lang w:val="en-IE"/>
        </w:rPr>
        <w:t xml:space="preserve"> </w:t>
      </w:r>
      <w:hyperlink r:id="rId65" w:history="1">
        <w:r w:rsidR="001473D0" w:rsidRPr="00FB4EFA">
          <w:rPr>
            <w:sz w:val="24"/>
            <w:szCs w:val="24"/>
            <w:lang w:val="en-IE"/>
          </w:rPr>
          <w:t>koronavirus</w:t>
        </w:r>
      </w:hyperlink>
      <w:r w:rsidR="001473D0" w:rsidRPr="00FB4EFA">
        <w:rPr>
          <w:sz w:val="18"/>
          <w:szCs w:val="18"/>
          <w:lang w:val="en-IE"/>
        </w:rPr>
        <w:t xml:space="preserve"> </w:t>
      </w:r>
      <w:hyperlink r:id="rId66" w:history="1">
        <w:r w:rsidR="001473D0" w:rsidRPr="00FB4EFA">
          <w:rPr>
            <w:sz w:val="36"/>
            <w:szCs w:val="36"/>
            <w:lang w:val="en-IE"/>
          </w:rPr>
          <w:t>korruptio</w:t>
        </w:r>
      </w:hyperlink>
      <w:r w:rsidR="001473D0" w:rsidRPr="00FB4EFA">
        <w:rPr>
          <w:sz w:val="18"/>
          <w:szCs w:val="18"/>
          <w:lang w:val="en-IE"/>
        </w:rPr>
        <w:t xml:space="preserve"> </w:t>
      </w:r>
      <w:hyperlink r:id="rId67" w:history="1">
        <w:r w:rsidR="001473D0" w:rsidRPr="00FB4EFA">
          <w:rPr>
            <w:sz w:val="20"/>
            <w:szCs w:val="20"/>
            <w:lang w:val="en-IE"/>
          </w:rPr>
          <w:t>köyhyys</w:t>
        </w:r>
      </w:hyperlink>
      <w:r w:rsidR="001473D0" w:rsidRPr="00FB4EFA">
        <w:rPr>
          <w:sz w:val="18"/>
          <w:szCs w:val="18"/>
          <w:lang w:val="en-IE"/>
        </w:rPr>
        <w:t xml:space="preserve"> </w:t>
      </w:r>
      <w:hyperlink r:id="rId68" w:history="1">
        <w:r w:rsidR="001473D0" w:rsidRPr="00FB4EFA">
          <w:rPr>
            <w:sz w:val="14"/>
            <w:szCs w:val="14"/>
            <w:lang w:val="en-IE"/>
          </w:rPr>
          <w:t>lapset</w:t>
        </w:r>
      </w:hyperlink>
      <w:r w:rsidR="001473D0" w:rsidRPr="00FB4EFA">
        <w:rPr>
          <w:sz w:val="18"/>
          <w:szCs w:val="18"/>
          <w:lang w:val="en-IE"/>
        </w:rPr>
        <w:t xml:space="preserve"> </w:t>
      </w:r>
      <w:hyperlink r:id="rId69" w:history="1">
        <w:r w:rsidR="001473D0" w:rsidRPr="00FB4EFA">
          <w:rPr>
            <w:sz w:val="16"/>
            <w:szCs w:val="16"/>
            <w:lang w:val="en-IE"/>
          </w:rPr>
          <w:t>László Kövér</w:t>
        </w:r>
      </w:hyperlink>
      <w:r w:rsidR="001473D0" w:rsidRPr="00FB4EFA">
        <w:rPr>
          <w:sz w:val="18"/>
          <w:szCs w:val="18"/>
          <w:lang w:val="en-IE"/>
        </w:rPr>
        <w:t xml:space="preserve"> </w:t>
      </w:r>
      <w:hyperlink r:id="rId70" w:history="1">
        <w:r w:rsidR="001473D0" w:rsidRPr="00FB4EFA">
          <w:rPr>
            <w:sz w:val="24"/>
            <w:szCs w:val="24"/>
            <w:lang w:val="en-IE"/>
          </w:rPr>
          <w:t>maahanmuuttajat</w:t>
        </w:r>
      </w:hyperlink>
      <w:r w:rsidR="001473D0" w:rsidRPr="00FB4EFA">
        <w:rPr>
          <w:sz w:val="18"/>
          <w:szCs w:val="18"/>
          <w:lang w:val="en-IE"/>
        </w:rPr>
        <w:t xml:space="preserve"> </w:t>
      </w:r>
      <w:hyperlink r:id="rId71" w:history="1">
        <w:r w:rsidR="001473D0" w:rsidRPr="00FB4EFA">
          <w:rPr>
            <w:sz w:val="32"/>
            <w:szCs w:val="32"/>
            <w:lang w:val="en-IE"/>
          </w:rPr>
          <w:t>maahanmuutto</w:t>
        </w:r>
      </w:hyperlink>
      <w:r w:rsidR="001473D0" w:rsidRPr="00FB4EFA">
        <w:rPr>
          <w:sz w:val="18"/>
          <w:szCs w:val="18"/>
          <w:lang w:val="en-IE"/>
        </w:rPr>
        <w:t xml:space="preserve"> </w:t>
      </w:r>
      <w:hyperlink r:id="rId72" w:history="1">
        <w:r w:rsidR="001473D0" w:rsidRPr="00FB4EFA">
          <w:rPr>
            <w:sz w:val="32"/>
            <w:szCs w:val="32"/>
            <w:lang w:val="en-IE"/>
          </w:rPr>
          <w:t>media</w:t>
        </w:r>
      </w:hyperlink>
      <w:r w:rsidR="001473D0" w:rsidRPr="00FB4EFA">
        <w:rPr>
          <w:sz w:val="18"/>
          <w:szCs w:val="18"/>
          <w:lang w:val="en-IE"/>
        </w:rPr>
        <w:t xml:space="preserve"> </w:t>
      </w:r>
      <w:hyperlink r:id="rId73" w:history="1">
        <w:r w:rsidR="001473D0" w:rsidRPr="00FB4EFA">
          <w:rPr>
            <w:lang w:val="en-IE"/>
          </w:rPr>
          <w:t>mielenosoitus</w:t>
        </w:r>
      </w:hyperlink>
      <w:r w:rsidR="001473D0" w:rsidRPr="00FB4EFA">
        <w:rPr>
          <w:sz w:val="18"/>
          <w:szCs w:val="18"/>
          <w:lang w:val="en-IE"/>
        </w:rPr>
        <w:t xml:space="preserve"> </w:t>
      </w:r>
      <w:hyperlink r:id="rId74" w:history="1">
        <w:r w:rsidR="001473D0" w:rsidRPr="00FB4EFA">
          <w:rPr>
            <w:sz w:val="16"/>
            <w:szCs w:val="16"/>
            <w:lang w:val="en-IE"/>
          </w:rPr>
          <w:t>Miklós Horthy</w:t>
        </w:r>
      </w:hyperlink>
      <w:r w:rsidR="001473D0" w:rsidRPr="00FB4EFA">
        <w:rPr>
          <w:sz w:val="18"/>
          <w:szCs w:val="18"/>
          <w:lang w:val="en-IE"/>
        </w:rPr>
        <w:t xml:space="preserve"> </w:t>
      </w:r>
      <w:hyperlink r:id="rId75" w:history="1">
        <w:r w:rsidR="001473D0" w:rsidRPr="00FB4EFA">
          <w:rPr>
            <w:sz w:val="16"/>
            <w:szCs w:val="16"/>
            <w:lang w:val="en-IE"/>
          </w:rPr>
          <w:t>Miklós Kásler</w:t>
        </w:r>
      </w:hyperlink>
      <w:r w:rsidR="001473D0" w:rsidRPr="00FB4EFA">
        <w:rPr>
          <w:sz w:val="18"/>
          <w:szCs w:val="18"/>
          <w:lang w:val="en-IE"/>
        </w:rPr>
        <w:t xml:space="preserve"> </w:t>
      </w:r>
      <w:hyperlink r:id="rId76" w:history="1">
        <w:r w:rsidR="001473D0" w:rsidRPr="00FB4EFA">
          <w:rPr>
            <w:sz w:val="16"/>
            <w:szCs w:val="16"/>
            <w:lang w:val="en-IE"/>
          </w:rPr>
          <w:t>muistomerkki</w:t>
        </w:r>
      </w:hyperlink>
      <w:r w:rsidR="001473D0" w:rsidRPr="00FB4EFA">
        <w:rPr>
          <w:sz w:val="18"/>
          <w:szCs w:val="18"/>
          <w:lang w:val="en-IE"/>
        </w:rPr>
        <w:t xml:space="preserve"> </w:t>
      </w:r>
      <w:hyperlink r:id="rId77" w:history="1">
        <w:r w:rsidR="001473D0" w:rsidRPr="00FB4EFA">
          <w:rPr>
            <w:sz w:val="16"/>
            <w:szCs w:val="16"/>
            <w:lang w:val="en-IE"/>
          </w:rPr>
          <w:t>Mária Schmidt</w:t>
        </w:r>
      </w:hyperlink>
      <w:r w:rsidR="001473D0" w:rsidRPr="00FB4EFA">
        <w:rPr>
          <w:sz w:val="18"/>
          <w:szCs w:val="18"/>
          <w:lang w:val="en-IE"/>
        </w:rPr>
        <w:t xml:space="preserve"> </w:t>
      </w:r>
      <w:hyperlink r:id="rId78" w:history="1">
        <w:r w:rsidR="001473D0" w:rsidRPr="00FB4EFA">
          <w:rPr>
            <w:sz w:val="20"/>
            <w:szCs w:val="20"/>
            <w:lang w:val="en-IE"/>
          </w:rPr>
          <w:t>natsismi</w:t>
        </w:r>
      </w:hyperlink>
      <w:r w:rsidR="001473D0" w:rsidRPr="00FB4EFA">
        <w:rPr>
          <w:sz w:val="18"/>
          <w:szCs w:val="18"/>
          <w:lang w:val="en-IE"/>
        </w:rPr>
        <w:t xml:space="preserve"> </w:t>
      </w:r>
      <w:hyperlink r:id="rId79" w:history="1">
        <w:r w:rsidR="001473D0" w:rsidRPr="00FB4EFA">
          <w:rPr>
            <w:sz w:val="18"/>
            <w:szCs w:val="18"/>
            <w:lang w:val="en-IE"/>
          </w:rPr>
          <w:t>Norbert Hofer</w:t>
        </w:r>
      </w:hyperlink>
      <w:r w:rsidR="001473D0" w:rsidRPr="00FB4EFA">
        <w:rPr>
          <w:sz w:val="18"/>
          <w:szCs w:val="18"/>
          <w:lang w:val="en-IE"/>
        </w:rPr>
        <w:t xml:space="preserve"> </w:t>
      </w:r>
      <w:hyperlink r:id="rId80" w:history="1">
        <w:r w:rsidR="001473D0" w:rsidRPr="00FB4EFA">
          <w:rPr>
            <w:sz w:val="14"/>
            <w:szCs w:val="14"/>
            <w:lang w:val="en-IE"/>
          </w:rPr>
          <w:t>oikeusvaltio</w:t>
        </w:r>
      </w:hyperlink>
      <w:r w:rsidR="001473D0" w:rsidRPr="00FB4EFA">
        <w:rPr>
          <w:sz w:val="18"/>
          <w:szCs w:val="18"/>
          <w:lang w:val="en-IE"/>
        </w:rPr>
        <w:t xml:space="preserve"> </w:t>
      </w:r>
      <w:hyperlink r:id="rId81" w:history="1">
        <w:r w:rsidR="001473D0" w:rsidRPr="00FB4EFA">
          <w:rPr>
            <w:sz w:val="24"/>
            <w:szCs w:val="24"/>
            <w:lang w:val="en-IE"/>
          </w:rPr>
          <w:t>pakolaiskriisi</w:t>
        </w:r>
      </w:hyperlink>
      <w:r w:rsidR="001473D0" w:rsidRPr="00FB4EFA">
        <w:rPr>
          <w:sz w:val="18"/>
          <w:szCs w:val="18"/>
          <w:lang w:val="en-IE"/>
        </w:rPr>
        <w:t xml:space="preserve"> </w:t>
      </w:r>
      <w:hyperlink r:id="rId82" w:history="1">
        <w:r w:rsidR="001473D0" w:rsidRPr="00FB4EFA">
          <w:rPr>
            <w:sz w:val="14"/>
            <w:szCs w:val="14"/>
            <w:lang w:val="en-IE"/>
          </w:rPr>
          <w:t>perhepolitiikka</w:t>
        </w:r>
      </w:hyperlink>
      <w:r w:rsidR="001473D0" w:rsidRPr="00FB4EFA">
        <w:rPr>
          <w:sz w:val="18"/>
          <w:szCs w:val="18"/>
          <w:lang w:val="en-IE"/>
        </w:rPr>
        <w:t xml:space="preserve"> </w:t>
      </w:r>
      <w:hyperlink r:id="rId83" w:history="1">
        <w:r w:rsidR="001473D0" w:rsidRPr="00FB4EFA">
          <w:rPr>
            <w:sz w:val="16"/>
            <w:szCs w:val="16"/>
            <w:lang w:val="en-IE"/>
          </w:rPr>
          <w:t>perheväkivalta</w:t>
        </w:r>
      </w:hyperlink>
      <w:r w:rsidR="001473D0" w:rsidRPr="00FB4EFA">
        <w:rPr>
          <w:sz w:val="18"/>
          <w:szCs w:val="18"/>
          <w:lang w:val="en-IE"/>
        </w:rPr>
        <w:t xml:space="preserve"> </w:t>
      </w:r>
      <w:hyperlink r:id="rId84" w:history="1">
        <w:r w:rsidR="001473D0" w:rsidRPr="00FB4EFA">
          <w:rPr>
            <w:sz w:val="12"/>
            <w:szCs w:val="12"/>
            <w:lang w:val="en-IE"/>
          </w:rPr>
          <w:t>perustuslaki</w:t>
        </w:r>
      </w:hyperlink>
      <w:r w:rsidR="001473D0" w:rsidRPr="00FB4EFA">
        <w:rPr>
          <w:sz w:val="18"/>
          <w:szCs w:val="18"/>
          <w:lang w:val="en-IE"/>
        </w:rPr>
        <w:t xml:space="preserve"> </w:t>
      </w:r>
      <w:hyperlink r:id="rId85" w:history="1">
        <w:r w:rsidR="001473D0" w:rsidRPr="00FB4EFA">
          <w:rPr>
            <w:sz w:val="12"/>
            <w:szCs w:val="12"/>
            <w:lang w:val="en-IE"/>
          </w:rPr>
          <w:t>plagiaatti</w:t>
        </w:r>
      </w:hyperlink>
      <w:r w:rsidR="001473D0" w:rsidRPr="00FB4EFA">
        <w:rPr>
          <w:sz w:val="18"/>
          <w:szCs w:val="18"/>
          <w:lang w:val="en-IE"/>
        </w:rPr>
        <w:t xml:space="preserve"> </w:t>
      </w:r>
      <w:hyperlink r:id="rId86" w:history="1">
        <w:r w:rsidR="001473D0" w:rsidRPr="00FB4EFA">
          <w:rPr>
            <w:sz w:val="36"/>
            <w:szCs w:val="36"/>
            <w:lang w:val="en-IE"/>
          </w:rPr>
          <w:t>populismi</w:t>
        </w:r>
      </w:hyperlink>
      <w:r w:rsidR="001473D0" w:rsidRPr="00FB4EFA">
        <w:rPr>
          <w:sz w:val="18"/>
          <w:szCs w:val="18"/>
          <w:lang w:val="en-IE"/>
        </w:rPr>
        <w:t xml:space="preserve"> </w:t>
      </w:r>
      <w:hyperlink r:id="rId87" w:history="1">
        <w:r w:rsidR="001473D0" w:rsidRPr="00FB4EFA">
          <w:rPr>
            <w:sz w:val="16"/>
            <w:szCs w:val="16"/>
            <w:lang w:val="en-IE"/>
          </w:rPr>
          <w:t>propaganda</w:t>
        </w:r>
      </w:hyperlink>
      <w:r w:rsidR="001473D0" w:rsidRPr="00FB4EFA">
        <w:rPr>
          <w:sz w:val="18"/>
          <w:szCs w:val="18"/>
          <w:lang w:val="en-IE"/>
        </w:rPr>
        <w:t xml:space="preserve"> </w:t>
      </w:r>
      <w:hyperlink r:id="rId88" w:history="1">
        <w:r w:rsidR="001473D0" w:rsidRPr="00FB4EFA">
          <w:rPr>
            <w:sz w:val="14"/>
            <w:szCs w:val="14"/>
            <w:lang w:val="en-IE"/>
          </w:rPr>
          <w:t>Pál Schmitt</w:t>
        </w:r>
      </w:hyperlink>
      <w:r w:rsidR="001473D0" w:rsidRPr="00FB4EFA">
        <w:rPr>
          <w:sz w:val="18"/>
          <w:szCs w:val="18"/>
          <w:lang w:val="en-IE"/>
        </w:rPr>
        <w:t xml:space="preserve"> </w:t>
      </w:r>
      <w:hyperlink r:id="rId89" w:history="1">
        <w:r w:rsidR="001473D0" w:rsidRPr="00FB4EFA">
          <w:rPr>
            <w:sz w:val="28"/>
            <w:szCs w:val="28"/>
            <w:lang w:val="en-IE"/>
          </w:rPr>
          <w:t>rasismi</w:t>
        </w:r>
      </w:hyperlink>
      <w:r w:rsidR="001473D0" w:rsidRPr="00FB4EFA">
        <w:rPr>
          <w:sz w:val="18"/>
          <w:szCs w:val="18"/>
          <w:lang w:val="en-IE"/>
        </w:rPr>
        <w:t xml:space="preserve"> </w:t>
      </w:r>
      <w:hyperlink r:id="rId90" w:history="1">
        <w:r w:rsidR="001473D0" w:rsidRPr="00FB4EFA">
          <w:rPr>
            <w:sz w:val="16"/>
            <w:szCs w:val="16"/>
            <w:lang w:val="en-IE"/>
          </w:rPr>
          <w:t>rikollisuus</w:t>
        </w:r>
      </w:hyperlink>
      <w:r w:rsidR="001473D0" w:rsidRPr="00FB4EFA">
        <w:rPr>
          <w:sz w:val="18"/>
          <w:szCs w:val="18"/>
          <w:lang w:val="en-IE"/>
        </w:rPr>
        <w:t xml:space="preserve"> </w:t>
      </w:r>
      <w:hyperlink r:id="rId91" w:history="1">
        <w:r w:rsidR="001473D0" w:rsidRPr="00FB4EFA">
          <w:rPr>
            <w:sz w:val="16"/>
            <w:szCs w:val="16"/>
            <w:lang w:val="en-IE"/>
          </w:rPr>
          <w:t>romanit</w:t>
        </w:r>
      </w:hyperlink>
      <w:r w:rsidR="001473D0" w:rsidRPr="00FB4EFA">
        <w:rPr>
          <w:sz w:val="18"/>
          <w:szCs w:val="18"/>
          <w:lang w:val="en-IE"/>
        </w:rPr>
        <w:t xml:space="preserve"> </w:t>
      </w:r>
      <w:hyperlink r:id="rId92" w:history="1">
        <w:r w:rsidR="001473D0" w:rsidRPr="00FB4EFA">
          <w:rPr>
            <w:lang w:val="en-IE"/>
          </w:rPr>
          <w:t>sananvapaus</w:t>
        </w:r>
      </w:hyperlink>
      <w:r w:rsidR="001473D0" w:rsidRPr="00FB4EFA">
        <w:rPr>
          <w:sz w:val="18"/>
          <w:szCs w:val="18"/>
          <w:lang w:val="en-IE"/>
        </w:rPr>
        <w:t xml:space="preserve"> </w:t>
      </w:r>
      <w:hyperlink r:id="rId93" w:history="1">
        <w:r w:rsidR="001473D0" w:rsidRPr="00FB4EFA">
          <w:rPr>
            <w:sz w:val="20"/>
            <w:szCs w:val="20"/>
            <w:lang w:val="en-IE"/>
          </w:rPr>
          <w:t>Sebastian Kurz</w:t>
        </w:r>
      </w:hyperlink>
      <w:r w:rsidR="001473D0" w:rsidRPr="00FB4EFA">
        <w:rPr>
          <w:sz w:val="18"/>
          <w:szCs w:val="18"/>
          <w:lang w:val="en-IE"/>
        </w:rPr>
        <w:t xml:space="preserve"> </w:t>
      </w:r>
      <w:hyperlink r:id="rId94" w:history="1">
        <w:r w:rsidR="001473D0" w:rsidRPr="00FB4EFA">
          <w:rPr>
            <w:sz w:val="24"/>
            <w:szCs w:val="24"/>
            <w:lang w:val="en-IE"/>
          </w:rPr>
          <w:t>seksuaalivähemmistöt</w:t>
        </w:r>
      </w:hyperlink>
      <w:r w:rsidR="001473D0" w:rsidRPr="00FB4EFA">
        <w:rPr>
          <w:sz w:val="18"/>
          <w:szCs w:val="18"/>
          <w:lang w:val="en-IE"/>
        </w:rPr>
        <w:t xml:space="preserve"> </w:t>
      </w:r>
      <w:hyperlink r:id="rId95" w:history="1">
        <w:r w:rsidR="001473D0" w:rsidRPr="00FB4EFA">
          <w:rPr>
            <w:sz w:val="16"/>
            <w:szCs w:val="16"/>
            <w:lang w:val="en-IE"/>
          </w:rPr>
          <w:t>Szilárd Németh</w:t>
        </w:r>
      </w:hyperlink>
      <w:r w:rsidR="001473D0" w:rsidRPr="00FB4EFA">
        <w:rPr>
          <w:sz w:val="18"/>
          <w:szCs w:val="18"/>
          <w:lang w:val="en-IE"/>
        </w:rPr>
        <w:t xml:space="preserve"> </w:t>
      </w:r>
      <w:hyperlink r:id="rId96" w:history="1">
        <w:r w:rsidR="001473D0" w:rsidRPr="00FB4EFA">
          <w:rPr>
            <w:sz w:val="14"/>
            <w:szCs w:val="14"/>
            <w:lang w:val="en-IE"/>
          </w:rPr>
          <w:t>taide</w:t>
        </w:r>
      </w:hyperlink>
      <w:r w:rsidR="001473D0" w:rsidRPr="00FB4EFA">
        <w:rPr>
          <w:sz w:val="18"/>
          <w:szCs w:val="18"/>
          <w:lang w:val="en-IE"/>
        </w:rPr>
        <w:t xml:space="preserve"> </w:t>
      </w:r>
      <w:hyperlink r:id="rId97" w:history="1">
        <w:r w:rsidR="001473D0" w:rsidRPr="00FB4EFA">
          <w:rPr>
            <w:sz w:val="18"/>
            <w:szCs w:val="18"/>
            <w:lang w:val="en-IE"/>
          </w:rPr>
          <w:t>tasa-arvo</w:t>
        </w:r>
      </w:hyperlink>
      <w:r w:rsidR="001473D0" w:rsidRPr="00FB4EFA">
        <w:rPr>
          <w:sz w:val="18"/>
          <w:szCs w:val="18"/>
          <w:lang w:val="en-IE"/>
        </w:rPr>
        <w:t xml:space="preserve"> </w:t>
      </w:r>
      <w:hyperlink r:id="rId98" w:history="1">
        <w:r w:rsidR="001473D0" w:rsidRPr="00FB4EFA">
          <w:rPr>
            <w:sz w:val="16"/>
            <w:szCs w:val="16"/>
            <w:lang w:val="en-IE"/>
          </w:rPr>
          <w:t>teatteri</w:t>
        </w:r>
      </w:hyperlink>
      <w:r w:rsidR="001473D0" w:rsidRPr="00FB4EFA">
        <w:rPr>
          <w:sz w:val="18"/>
          <w:szCs w:val="18"/>
          <w:lang w:val="en-IE"/>
        </w:rPr>
        <w:t xml:space="preserve"> </w:t>
      </w:r>
      <w:hyperlink r:id="rId99" w:history="1">
        <w:r w:rsidR="001473D0" w:rsidRPr="00FB4EFA">
          <w:rPr>
            <w:sz w:val="18"/>
            <w:szCs w:val="18"/>
            <w:lang w:val="en-IE"/>
          </w:rPr>
          <w:t>terrorismi</w:t>
        </w:r>
      </w:hyperlink>
      <w:r w:rsidR="001473D0" w:rsidRPr="00FB4EFA">
        <w:rPr>
          <w:sz w:val="18"/>
          <w:szCs w:val="18"/>
          <w:lang w:val="en-IE"/>
        </w:rPr>
        <w:t xml:space="preserve"> </w:t>
      </w:r>
      <w:hyperlink r:id="rId100" w:history="1">
        <w:r w:rsidR="001473D0" w:rsidRPr="00FB4EFA">
          <w:rPr>
            <w:sz w:val="18"/>
            <w:lang w:val="en-IE"/>
          </w:rPr>
          <w:t>terveydenhuolto</w:t>
        </w:r>
      </w:hyperlink>
      <w:r w:rsidR="001473D0" w:rsidRPr="00FB4EFA">
        <w:rPr>
          <w:sz w:val="18"/>
          <w:szCs w:val="18"/>
          <w:lang w:val="en-IE"/>
        </w:rPr>
        <w:t xml:space="preserve"> </w:t>
      </w:r>
      <w:hyperlink r:id="rId101" w:history="1">
        <w:r w:rsidR="001473D0" w:rsidRPr="00FB4EFA">
          <w:rPr>
            <w:sz w:val="24"/>
            <w:szCs w:val="24"/>
            <w:lang w:val="en-IE"/>
          </w:rPr>
          <w:t>tiede</w:t>
        </w:r>
      </w:hyperlink>
      <w:r w:rsidR="001473D0" w:rsidRPr="00FB4EFA">
        <w:rPr>
          <w:sz w:val="18"/>
          <w:szCs w:val="18"/>
          <w:lang w:val="en-IE"/>
        </w:rPr>
        <w:t xml:space="preserve"> </w:t>
      </w:r>
      <w:hyperlink r:id="rId102" w:history="1">
        <w:r w:rsidR="001473D0" w:rsidRPr="00FB4EFA">
          <w:rPr>
            <w:sz w:val="18"/>
            <w:szCs w:val="18"/>
            <w:lang w:val="en-IE"/>
          </w:rPr>
          <w:t>toinen maailmansota</w:t>
        </w:r>
      </w:hyperlink>
      <w:r w:rsidR="001473D0" w:rsidRPr="00FB4EFA">
        <w:rPr>
          <w:sz w:val="18"/>
          <w:szCs w:val="18"/>
          <w:lang w:val="en-IE"/>
        </w:rPr>
        <w:t xml:space="preserve"> </w:t>
      </w:r>
      <w:hyperlink r:id="rId103" w:history="1">
        <w:r w:rsidR="001473D0" w:rsidRPr="00FB4EFA">
          <w:rPr>
            <w:sz w:val="20"/>
            <w:szCs w:val="20"/>
            <w:lang w:val="en-IE"/>
          </w:rPr>
          <w:t>Unkarin Tiedeakatemia</w:t>
        </w:r>
      </w:hyperlink>
      <w:r w:rsidR="001473D0" w:rsidRPr="00FB4EFA">
        <w:rPr>
          <w:sz w:val="18"/>
          <w:szCs w:val="18"/>
          <w:lang w:val="en-IE"/>
        </w:rPr>
        <w:t xml:space="preserve"> </w:t>
      </w:r>
      <w:hyperlink r:id="rId104" w:history="1">
        <w:r w:rsidR="001473D0" w:rsidRPr="00FB4EFA">
          <w:rPr>
            <w:lang w:val="en-IE"/>
          </w:rPr>
          <w:t>urheilu</w:t>
        </w:r>
      </w:hyperlink>
      <w:r w:rsidR="001473D0" w:rsidRPr="00FB4EFA">
        <w:rPr>
          <w:sz w:val="18"/>
          <w:szCs w:val="18"/>
          <w:lang w:val="en-IE"/>
        </w:rPr>
        <w:t xml:space="preserve"> </w:t>
      </w:r>
      <w:hyperlink r:id="rId105" w:history="1">
        <w:r w:rsidR="001473D0" w:rsidRPr="00FB4EFA">
          <w:rPr>
            <w:sz w:val="14"/>
            <w:szCs w:val="14"/>
            <w:lang w:val="en-IE"/>
          </w:rPr>
          <w:t>USA</w:t>
        </w:r>
      </w:hyperlink>
      <w:r w:rsidR="001473D0" w:rsidRPr="00FB4EFA">
        <w:rPr>
          <w:sz w:val="18"/>
          <w:szCs w:val="18"/>
          <w:lang w:val="en-IE"/>
        </w:rPr>
        <w:t xml:space="preserve"> </w:t>
      </w:r>
      <w:hyperlink r:id="rId106" w:history="1">
        <w:r w:rsidR="001473D0" w:rsidRPr="00FB4EFA">
          <w:rPr>
            <w:lang w:val="en-IE"/>
          </w:rPr>
          <w:t>uskonto</w:t>
        </w:r>
      </w:hyperlink>
      <w:r w:rsidR="001473D0" w:rsidRPr="00FB4EFA">
        <w:rPr>
          <w:sz w:val="18"/>
          <w:szCs w:val="18"/>
          <w:lang w:val="en-IE"/>
        </w:rPr>
        <w:t xml:space="preserve"> </w:t>
      </w:r>
      <w:hyperlink r:id="rId107" w:history="1">
        <w:r w:rsidR="001473D0" w:rsidRPr="00FB4EFA">
          <w:rPr>
            <w:sz w:val="18"/>
            <w:szCs w:val="18"/>
            <w:lang w:val="en-IE"/>
          </w:rPr>
          <w:t>uusnatsit</w:t>
        </w:r>
      </w:hyperlink>
      <w:r w:rsidR="001473D0" w:rsidRPr="00FB4EFA">
        <w:rPr>
          <w:sz w:val="18"/>
          <w:szCs w:val="18"/>
          <w:lang w:val="en-IE"/>
        </w:rPr>
        <w:t xml:space="preserve"> </w:t>
      </w:r>
      <w:hyperlink r:id="rId108" w:history="1">
        <w:r w:rsidR="001473D0" w:rsidRPr="00FB4EFA">
          <w:rPr>
            <w:sz w:val="32"/>
            <w:szCs w:val="32"/>
            <w:lang w:val="en-IE"/>
          </w:rPr>
          <w:t>vaalit</w:t>
        </w:r>
      </w:hyperlink>
      <w:r w:rsidR="001473D0" w:rsidRPr="00FB4EFA">
        <w:rPr>
          <w:sz w:val="18"/>
          <w:szCs w:val="18"/>
          <w:lang w:val="en-IE"/>
        </w:rPr>
        <w:t xml:space="preserve"> </w:t>
      </w:r>
      <w:hyperlink r:id="rId109" w:history="1">
        <w:r w:rsidR="001473D0" w:rsidRPr="00FB4EFA">
          <w:rPr>
            <w:sz w:val="14"/>
            <w:szCs w:val="14"/>
            <w:lang w:val="en-IE"/>
          </w:rPr>
          <w:t>Venäjä</w:t>
        </w:r>
      </w:hyperlink>
      <w:r w:rsidR="001473D0" w:rsidRPr="00FB4EFA">
        <w:rPr>
          <w:sz w:val="18"/>
          <w:szCs w:val="18"/>
          <w:lang w:val="en-IE"/>
        </w:rPr>
        <w:t xml:space="preserve"> </w:t>
      </w:r>
      <w:hyperlink r:id="rId110" w:history="1">
        <w:r w:rsidR="001473D0" w:rsidRPr="00FB4EFA">
          <w:rPr>
            <w:sz w:val="16"/>
            <w:szCs w:val="16"/>
            <w:lang w:val="en-IE"/>
          </w:rPr>
          <w:t>vihapuhe</w:t>
        </w:r>
      </w:hyperlink>
      <w:r w:rsidR="001473D0" w:rsidRPr="00FB4EFA">
        <w:rPr>
          <w:sz w:val="18"/>
          <w:szCs w:val="18"/>
          <w:lang w:val="en-IE"/>
        </w:rPr>
        <w:t xml:space="preserve"> </w:t>
      </w:r>
      <w:hyperlink r:id="rId111" w:history="1">
        <w:r w:rsidR="001473D0" w:rsidRPr="00FB4EFA">
          <w:rPr>
            <w:sz w:val="36"/>
            <w:szCs w:val="36"/>
            <w:lang w:val="en-IE"/>
          </w:rPr>
          <w:t>Viktor Orbán</w:t>
        </w:r>
      </w:hyperlink>
      <w:r w:rsidR="001473D0" w:rsidRPr="00FB4EFA">
        <w:rPr>
          <w:sz w:val="18"/>
          <w:szCs w:val="18"/>
          <w:lang w:val="en-IE"/>
        </w:rPr>
        <w:t xml:space="preserve"> </w:t>
      </w:r>
      <w:hyperlink r:id="rId112" w:history="1">
        <w:r w:rsidR="001473D0" w:rsidRPr="00FB4EFA">
          <w:rPr>
            <w:sz w:val="16"/>
            <w:szCs w:val="16"/>
            <w:lang w:val="en-IE"/>
          </w:rPr>
          <w:t>vähemmistöt</w:t>
        </w:r>
      </w:hyperlink>
      <w:r w:rsidR="001473D0" w:rsidRPr="00FB4EFA">
        <w:rPr>
          <w:sz w:val="18"/>
          <w:szCs w:val="18"/>
          <w:lang w:val="en-IE"/>
        </w:rPr>
        <w:t xml:space="preserve"> </w:t>
      </w:r>
      <w:hyperlink r:id="rId113" w:history="1">
        <w:r w:rsidR="001473D0" w:rsidRPr="00FB4EFA">
          <w:rPr>
            <w:sz w:val="14"/>
            <w:szCs w:val="14"/>
            <w:lang w:val="en-IE"/>
          </w:rPr>
          <w:t>väkivalta</w:t>
        </w:r>
      </w:hyperlink>
      <w:r w:rsidR="001473D0" w:rsidRPr="00FB4EFA">
        <w:rPr>
          <w:sz w:val="18"/>
          <w:szCs w:val="18"/>
          <w:lang w:val="en-IE"/>
        </w:rPr>
        <w:t xml:space="preserve"> </w:t>
      </w:r>
      <w:hyperlink r:id="rId114" w:history="1">
        <w:r w:rsidR="001473D0" w:rsidRPr="00FB4EFA">
          <w:rPr>
            <w:sz w:val="12"/>
            <w:szCs w:val="12"/>
            <w:lang w:val="en-IE"/>
          </w:rPr>
          <w:t>Zsolt Bayer</w:t>
        </w:r>
      </w:hyperlink>
      <w:r w:rsidR="001473D0" w:rsidRPr="00FB4EFA">
        <w:rPr>
          <w:sz w:val="18"/>
          <w:szCs w:val="18"/>
          <w:lang w:val="en-IE"/>
        </w:rPr>
        <w:t xml:space="preserve"> </w:t>
      </w:r>
      <w:hyperlink r:id="rId115" w:history="1">
        <w:r w:rsidR="001473D0" w:rsidRPr="00FB4EFA">
          <w:rPr>
            <w:rFonts w:cs="Charis SIL"/>
            <w:sz w:val="16"/>
            <w:szCs w:val="16"/>
            <w:lang w:val="en-IE"/>
          </w:rPr>
          <w:t>Zsolt Semjén</w:t>
        </w:r>
      </w:hyperlink>
    </w:p>
    <w:p w14:paraId="6A095EC3" w14:textId="295B4EBA" w:rsidR="001473D0" w:rsidRPr="00FB4EFA" w:rsidRDefault="0050108D" w:rsidP="00AF0CAD">
      <w:pPr>
        <w:spacing w:before="120" w:after="240"/>
        <w:jc w:val="center"/>
        <w:rPr>
          <w:rFonts w:cs="Charis SIL"/>
          <w:lang w:val="en-IE" w:eastAsia="en-GB"/>
        </w:rPr>
      </w:pPr>
      <w:r w:rsidRPr="00FB4EFA">
        <w:rPr>
          <w:rFonts w:cs="Charis SIL"/>
          <w:b/>
          <w:bCs/>
          <w:sz w:val="18"/>
          <w:szCs w:val="18"/>
          <w:lang w:val="en-IE"/>
        </w:rPr>
        <w:t xml:space="preserve">Figure </w:t>
      </w:r>
      <w:r w:rsidR="004D0C6C" w:rsidRPr="00FB4EFA">
        <w:rPr>
          <w:rFonts w:cs="Charis SIL"/>
          <w:b/>
          <w:bCs/>
          <w:sz w:val="18"/>
          <w:szCs w:val="18"/>
          <w:lang w:val="en-IE"/>
        </w:rPr>
        <w:t>3</w:t>
      </w:r>
      <w:r w:rsidRPr="00FB4EFA">
        <w:rPr>
          <w:rFonts w:cs="Charis SIL"/>
          <w:sz w:val="18"/>
          <w:szCs w:val="18"/>
          <w:lang w:val="en-IE"/>
        </w:rPr>
        <w:t xml:space="preserve">. Word cloud of the jubilarian’s </w:t>
      </w:r>
      <w:r w:rsidR="006D6A79" w:rsidRPr="00FB4EFA">
        <w:rPr>
          <w:rFonts w:cs="Charis SIL"/>
          <w:sz w:val="18"/>
          <w:szCs w:val="18"/>
          <w:lang w:val="en-IE"/>
        </w:rPr>
        <w:t>“political” blog</w:t>
      </w:r>
    </w:p>
    <w:p w14:paraId="192421C0" w14:textId="47DC7BBF" w:rsidR="00D547D4" w:rsidRPr="00FB4EFA" w:rsidRDefault="00737AD5" w:rsidP="00402EF4">
      <w:pPr>
        <w:spacing w:after="240"/>
        <w:rPr>
          <w:lang w:val="en-IE" w:eastAsia="en-GB"/>
        </w:rPr>
      </w:pPr>
      <w:r w:rsidRPr="00FB4EFA">
        <w:rPr>
          <w:rFonts w:cs="Charis SIL"/>
          <w:lang w:val="en-IE" w:eastAsia="en-GB"/>
        </w:rPr>
        <w:t>Furthermore</w:t>
      </w:r>
      <w:r w:rsidR="00D547D4" w:rsidRPr="00FB4EFA">
        <w:rPr>
          <w:rFonts w:cs="Charis SIL"/>
          <w:lang w:val="en-IE" w:eastAsia="en-GB"/>
        </w:rPr>
        <w:t>, Johanna has been operating a second Finnish-language blog</w:t>
      </w:r>
      <w:r w:rsidR="006D6A79" w:rsidRPr="00FB4EFA">
        <w:rPr>
          <w:rFonts w:cs="Charis SIL"/>
          <w:lang w:val="en-IE" w:eastAsia="en-GB"/>
        </w:rPr>
        <w:t>, Kieliö (</w:t>
      </w:r>
      <w:hyperlink r:id="rId116" w:history="1">
        <w:r w:rsidR="006D6A79" w:rsidRPr="00FB4EFA">
          <w:rPr>
            <w:rFonts w:cs="Charis SIL"/>
            <w:u w:val="single"/>
            <w:lang w:val="en-IE" w:eastAsia="en-GB"/>
          </w:rPr>
          <w:t>kielioblog.wordpress.com</w:t>
        </w:r>
      </w:hyperlink>
      <w:r w:rsidR="006D6A79" w:rsidRPr="00FB4EFA">
        <w:rPr>
          <w:lang w:val="en-IE" w:eastAsia="en-GB"/>
        </w:rPr>
        <w:t xml:space="preserve">), in which she </w:t>
      </w:r>
      <w:r w:rsidRPr="00FB4EFA">
        <w:rPr>
          <w:lang w:val="en-IE" w:eastAsia="en-GB"/>
        </w:rPr>
        <w:t>has been contributing</w:t>
      </w:r>
      <w:r w:rsidR="006D6A79" w:rsidRPr="00FB4EFA">
        <w:rPr>
          <w:lang w:val="en-IE" w:eastAsia="en-GB"/>
        </w:rPr>
        <w:t xml:space="preserve"> to the </w:t>
      </w:r>
      <w:r w:rsidR="00FA5166" w:rsidRPr="00FB4EFA">
        <w:rPr>
          <w:lang w:val="en-IE" w:eastAsia="en-GB"/>
        </w:rPr>
        <w:t>linguistic education of a Finnish-reading audience</w:t>
      </w:r>
      <w:r w:rsidR="00D92293" w:rsidRPr="00FB4EFA">
        <w:rPr>
          <w:lang w:val="en-IE" w:eastAsia="en-GB"/>
        </w:rPr>
        <w:t xml:space="preserve"> since 2016</w:t>
      </w:r>
      <w:r w:rsidR="00FA5166" w:rsidRPr="00FB4EFA">
        <w:rPr>
          <w:lang w:val="en-IE" w:eastAsia="en-GB"/>
        </w:rPr>
        <w:t>.</w:t>
      </w:r>
      <w:r w:rsidRPr="00FB4EFA">
        <w:rPr>
          <w:lang w:val="en-IE" w:eastAsia="en-GB"/>
        </w:rPr>
        <w:t xml:space="preserve"> </w:t>
      </w:r>
      <w:r w:rsidR="003B7034" w:rsidRPr="00FB4EFA">
        <w:rPr>
          <w:lang w:val="en-IE" w:eastAsia="en-GB"/>
        </w:rPr>
        <w:t xml:space="preserve">Figure 4 below illustrates its contents by means of word cloud. </w:t>
      </w:r>
      <w:r w:rsidRPr="00FB4EFA">
        <w:rPr>
          <w:lang w:val="en-IE" w:eastAsia="en-GB"/>
        </w:rPr>
        <w:t>Given her outspoken frustration with stereotypes about languages, language, and especially the Finnish language, both external and internal (“Finns don’t see gender because Mikael Agricola invented a gender-neutral pronoun”, “Finnish is impossible to learn because it has so many cases”), it makes sense that she would throw herself at this task while delivering further empirical evidence for Parkinson’s Law.</w:t>
      </w:r>
    </w:p>
    <w:p w14:paraId="78836FD7" w14:textId="65C4D505" w:rsidR="006D6A79" w:rsidRPr="00FB4EFA" w:rsidRDefault="00000000" w:rsidP="00CC7060">
      <w:pPr>
        <w:keepNext/>
        <w:keepLines/>
        <w:pBdr>
          <w:top w:val="single" w:sz="12" w:space="1" w:color="auto"/>
          <w:left w:val="single" w:sz="12" w:space="4" w:color="auto"/>
          <w:bottom w:val="single" w:sz="12" w:space="1" w:color="auto"/>
          <w:right w:val="single" w:sz="12" w:space="4" w:color="auto"/>
        </w:pBdr>
        <w:spacing w:line="240" w:lineRule="auto"/>
        <w:jc w:val="left"/>
        <w:rPr>
          <w:rFonts w:cs="Charis SIL"/>
          <w:lang w:val="en-IE"/>
        </w:rPr>
      </w:pPr>
      <w:hyperlink r:id="rId117" w:history="1">
        <w:r w:rsidR="006D6A79" w:rsidRPr="00FB4EFA">
          <w:rPr>
            <w:sz w:val="16"/>
            <w:szCs w:val="16"/>
            <w:lang w:val="en-IE"/>
          </w:rPr>
          <w:t>ammattinimikkeet</w:t>
        </w:r>
      </w:hyperlink>
      <w:r w:rsidR="006D6A79" w:rsidRPr="00FB4EFA">
        <w:rPr>
          <w:lang w:val="en-IE"/>
        </w:rPr>
        <w:t xml:space="preserve"> </w:t>
      </w:r>
      <w:hyperlink r:id="rId118" w:history="1">
        <w:r w:rsidR="006D6A79" w:rsidRPr="00FB4EFA">
          <w:rPr>
            <w:sz w:val="16"/>
            <w:szCs w:val="16"/>
            <w:lang w:val="en-IE"/>
          </w:rPr>
          <w:t>astevaihtelu</w:t>
        </w:r>
      </w:hyperlink>
      <w:r w:rsidR="006D6A79" w:rsidRPr="00FB4EFA">
        <w:rPr>
          <w:lang w:val="en-IE"/>
        </w:rPr>
        <w:t xml:space="preserve"> </w:t>
      </w:r>
      <w:hyperlink r:id="rId119" w:history="1">
        <w:r w:rsidR="006D6A79" w:rsidRPr="00FB4EFA">
          <w:rPr>
            <w:sz w:val="16"/>
            <w:szCs w:val="16"/>
            <w:lang w:val="en-IE"/>
          </w:rPr>
          <w:t>attritio</w:t>
        </w:r>
      </w:hyperlink>
      <w:r w:rsidR="006D6A79" w:rsidRPr="00FB4EFA">
        <w:rPr>
          <w:lang w:val="en-IE"/>
        </w:rPr>
        <w:t xml:space="preserve"> </w:t>
      </w:r>
      <w:hyperlink r:id="rId120" w:history="1">
        <w:r w:rsidR="006D6A79" w:rsidRPr="00FB4EFA">
          <w:rPr>
            <w:sz w:val="16"/>
            <w:szCs w:val="16"/>
            <w:lang w:val="en-IE"/>
          </w:rPr>
          <w:t>aurinko</w:t>
        </w:r>
      </w:hyperlink>
      <w:r w:rsidR="006D6A79" w:rsidRPr="00FB4EFA">
        <w:rPr>
          <w:lang w:val="en-IE"/>
        </w:rPr>
        <w:t xml:space="preserve"> </w:t>
      </w:r>
      <w:hyperlink r:id="rId121" w:history="1">
        <w:r w:rsidR="006D6A79" w:rsidRPr="00FB4EFA">
          <w:rPr>
            <w:sz w:val="16"/>
            <w:szCs w:val="16"/>
            <w:lang w:val="en-IE"/>
          </w:rPr>
          <w:t>Chomsky</w:t>
        </w:r>
      </w:hyperlink>
      <w:r w:rsidR="006D6A79" w:rsidRPr="00FB4EFA">
        <w:rPr>
          <w:lang w:val="en-IE"/>
        </w:rPr>
        <w:t xml:space="preserve"> </w:t>
      </w:r>
      <w:hyperlink r:id="rId122" w:history="1">
        <w:r w:rsidR="006D6A79" w:rsidRPr="00FB4EFA">
          <w:rPr>
            <w:sz w:val="16"/>
            <w:szCs w:val="16"/>
            <w:lang w:val="en-IE"/>
          </w:rPr>
          <w:t>deminutiivit</w:t>
        </w:r>
      </w:hyperlink>
      <w:r w:rsidR="006D6A79" w:rsidRPr="00FB4EFA">
        <w:rPr>
          <w:lang w:val="en-IE"/>
        </w:rPr>
        <w:t xml:space="preserve"> </w:t>
      </w:r>
      <w:hyperlink r:id="rId123" w:history="1">
        <w:r w:rsidR="006D6A79" w:rsidRPr="00FB4EFA">
          <w:rPr>
            <w:sz w:val="16"/>
            <w:szCs w:val="16"/>
            <w:lang w:val="en-IE"/>
          </w:rPr>
          <w:t>diminutiivit</w:t>
        </w:r>
      </w:hyperlink>
      <w:r w:rsidR="006D6A79" w:rsidRPr="00FB4EFA">
        <w:rPr>
          <w:lang w:val="en-IE"/>
        </w:rPr>
        <w:t xml:space="preserve"> </w:t>
      </w:r>
      <w:hyperlink r:id="rId124" w:history="1">
        <w:r w:rsidR="006D6A79" w:rsidRPr="00FB4EFA">
          <w:rPr>
            <w:sz w:val="16"/>
            <w:szCs w:val="16"/>
            <w:lang w:val="en-IE"/>
          </w:rPr>
          <w:t>diskurssi</w:t>
        </w:r>
      </w:hyperlink>
      <w:r w:rsidR="006D6A79" w:rsidRPr="00FB4EFA">
        <w:rPr>
          <w:lang w:val="en-IE"/>
        </w:rPr>
        <w:t xml:space="preserve"> </w:t>
      </w:r>
      <w:hyperlink r:id="rId125" w:history="1">
        <w:r w:rsidR="006D6A79" w:rsidRPr="00FB4EFA">
          <w:rPr>
            <w:sz w:val="16"/>
            <w:szCs w:val="16"/>
            <w:lang w:val="en-IE"/>
          </w:rPr>
          <w:t>elokuva</w:t>
        </w:r>
      </w:hyperlink>
      <w:r w:rsidR="006D6A79" w:rsidRPr="00FB4EFA">
        <w:rPr>
          <w:lang w:val="en-IE"/>
        </w:rPr>
        <w:t xml:space="preserve"> </w:t>
      </w:r>
      <w:hyperlink r:id="rId126" w:history="1">
        <w:r w:rsidR="006D6A79" w:rsidRPr="00FB4EFA">
          <w:rPr>
            <w:sz w:val="29"/>
            <w:szCs w:val="29"/>
            <w:lang w:val="en-IE"/>
          </w:rPr>
          <w:t>englanti</w:t>
        </w:r>
      </w:hyperlink>
      <w:r w:rsidR="006D6A79" w:rsidRPr="00FB4EFA">
        <w:rPr>
          <w:lang w:val="en-IE"/>
        </w:rPr>
        <w:t xml:space="preserve"> </w:t>
      </w:r>
      <w:hyperlink r:id="rId127" w:history="1">
        <w:r w:rsidR="006D6A79" w:rsidRPr="00FB4EFA">
          <w:rPr>
            <w:sz w:val="21"/>
            <w:szCs w:val="21"/>
            <w:lang w:val="en-IE"/>
          </w:rPr>
          <w:t>etunimet</w:t>
        </w:r>
      </w:hyperlink>
      <w:r w:rsidR="006D6A79" w:rsidRPr="00FB4EFA">
        <w:rPr>
          <w:lang w:val="en-IE"/>
        </w:rPr>
        <w:t xml:space="preserve"> </w:t>
      </w:r>
      <w:hyperlink r:id="rId128" w:history="1">
        <w:r w:rsidR="006D6A79" w:rsidRPr="00FB4EFA">
          <w:rPr>
            <w:sz w:val="44"/>
            <w:szCs w:val="44"/>
            <w:lang w:val="en-IE"/>
          </w:rPr>
          <w:t>etymologia</w:t>
        </w:r>
      </w:hyperlink>
      <w:r w:rsidR="006D6A79" w:rsidRPr="00FB4EFA">
        <w:rPr>
          <w:lang w:val="en-IE"/>
        </w:rPr>
        <w:t xml:space="preserve"> </w:t>
      </w:r>
      <w:hyperlink r:id="rId129" w:history="1">
        <w:r w:rsidR="006D6A79" w:rsidRPr="00FB4EFA">
          <w:rPr>
            <w:sz w:val="16"/>
            <w:szCs w:val="16"/>
            <w:lang w:val="en-IE"/>
          </w:rPr>
          <w:t>futuuri</w:t>
        </w:r>
      </w:hyperlink>
      <w:r w:rsidR="006D6A79" w:rsidRPr="00FB4EFA">
        <w:rPr>
          <w:lang w:val="en-IE"/>
        </w:rPr>
        <w:t xml:space="preserve"> </w:t>
      </w:r>
      <w:hyperlink r:id="rId130" w:history="1">
        <w:r w:rsidR="006D6A79" w:rsidRPr="00FB4EFA">
          <w:rPr>
            <w:sz w:val="16"/>
            <w:szCs w:val="16"/>
            <w:lang w:val="en-IE"/>
          </w:rPr>
          <w:t>genetiikka</w:t>
        </w:r>
      </w:hyperlink>
      <w:r w:rsidR="006D6A79" w:rsidRPr="00FB4EFA">
        <w:rPr>
          <w:lang w:val="en-IE"/>
        </w:rPr>
        <w:t xml:space="preserve"> </w:t>
      </w:r>
      <w:hyperlink r:id="rId131" w:history="1">
        <w:r w:rsidR="006D6A79" w:rsidRPr="00FB4EFA">
          <w:rPr>
            <w:sz w:val="21"/>
            <w:szCs w:val="21"/>
            <w:lang w:val="en-IE"/>
          </w:rPr>
          <w:t>historia</w:t>
        </w:r>
      </w:hyperlink>
      <w:r w:rsidR="006D6A79" w:rsidRPr="00FB4EFA">
        <w:rPr>
          <w:lang w:val="en-IE"/>
        </w:rPr>
        <w:t xml:space="preserve"> </w:t>
      </w:r>
      <w:hyperlink r:id="rId132" w:history="1">
        <w:r w:rsidR="006D6A79" w:rsidRPr="00FB4EFA">
          <w:rPr>
            <w:lang w:val="en-IE"/>
          </w:rPr>
          <w:t>historiallinen kielitiede</w:t>
        </w:r>
      </w:hyperlink>
      <w:r w:rsidR="006D6A79" w:rsidRPr="00FB4EFA">
        <w:rPr>
          <w:lang w:val="en-IE"/>
        </w:rPr>
        <w:t xml:space="preserve"> </w:t>
      </w:r>
      <w:hyperlink r:id="rId133" w:history="1">
        <w:r w:rsidR="006D6A79" w:rsidRPr="00FB4EFA">
          <w:rPr>
            <w:sz w:val="16"/>
            <w:szCs w:val="16"/>
            <w:lang w:val="en-IE"/>
          </w:rPr>
          <w:t>inhokkisanat</w:t>
        </w:r>
      </w:hyperlink>
      <w:r w:rsidR="006D6A79" w:rsidRPr="00FB4EFA">
        <w:rPr>
          <w:lang w:val="en-IE"/>
        </w:rPr>
        <w:t xml:space="preserve"> </w:t>
      </w:r>
      <w:hyperlink r:id="rId134" w:history="1">
        <w:r w:rsidR="006D6A79" w:rsidRPr="00FB4EFA">
          <w:rPr>
            <w:sz w:val="16"/>
            <w:szCs w:val="16"/>
            <w:lang w:val="en-IE"/>
          </w:rPr>
          <w:t>Itävalta</w:t>
        </w:r>
      </w:hyperlink>
      <w:r w:rsidR="006D6A79" w:rsidRPr="00FB4EFA">
        <w:rPr>
          <w:lang w:val="en-IE"/>
        </w:rPr>
        <w:t xml:space="preserve"> </w:t>
      </w:r>
      <w:hyperlink r:id="rId135" w:history="1">
        <w:r w:rsidR="006D6A79" w:rsidRPr="00FB4EFA">
          <w:rPr>
            <w:sz w:val="16"/>
            <w:szCs w:val="16"/>
            <w:lang w:val="en-IE"/>
          </w:rPr>
          <w:t>kakku</w:t>
        </w:r>
      </w:hyperlink>
      <w:r w:rsidR="006D6A79" w:rsidRPr="00FB4EFA">
        <w:rPr>
          <w:lang w:val="en-IE"/>
        </w:rPr>
        <w:t xml:space="preserve"> </w:t>
      </w:r>
      <w:hyperlink r:id="rId136" w:history="1">
        <w:r w:rsidR="006D6A79" w:rsidRPr="00FB4EFA">
          <w:rPr>
            <w:sz w:val="21"/>
            <w:szCs w:val="21"/>
            <w:lang w:val="en-IE"/>
          </w:rPr>
          <w:t>kansainvälisyys</w:t>
        </w:r>
      </w:hyperlink>
      <w:r w:rsidR="006D6A79" w:rsidRPr="00FB4EFA">
        <w:rPr>
          <w:lang w:val="en-IE"/>
        </w:rPr>
        <w:t xml:space="preserve"> </w:t>
      </w:r>
      <w:hyperlink r:id="rId137" w:history="1">
        <w:r w:rsidR="006D6A79" w:rsidRPr="00FB4EFA">
          <w:rPr>
            <w:sz w:val="27"/>
            <w:szCs w:val="27"/>
            <w:lang w:val="en-IE"/>
          </w:rPr>
          <w:t>kansanperinne</w:t>
        </w:r>
      </w:hyperlink>
      <w:r w:rsidR="006D6A79" w:rsidRPr="00FB4EFA">
        <w:rPr>
          <w:lang w:val="en-IE"/>
        </w:rPr>
        <w:t xml:space="preserve"> </w:t>
      </w:r>
      <w:hyperlink r:id="rId138" w:history="1">
        <w:r w:rsidR="006D6A79" w:rsidRPr="00FB4EFA">
          <w:rPr>
            <w:sz w:val="16"/>
            <w:szCs w:val="16"/>
            <w:lang w:val="en-IE"/>
          </w:rPr>
          <w:t>kantasuomi</w:t>
        </w:r>
      </w:hyperlink>
      <w:r w:rsidR="006D6A79" w:rsidRPr="00FB4EFA">
        <w:rPr>
          <w:lang w:val="en-IE"/>
        </w:rPr>
        <w:t xml:space="preserve"> </w:t>
      </w:r>
      <w:hyperlink r:id="rId139" w:history="1">
        <w:r w:rsidR="006D6A79" w:rsidRPr="00FB4EFA">
          <w:rPr>
            <w:sz w:val="16"/>
            <w:szCs w:val="16"/>
            <w:lang w:val="en-IE"/>
          </w:rPr>
          <w:t>karjala</w:t>
        </w:r>
      </w:hyperlink>
      <w:r w:rsidR="006D6A79" w:rsidRPr="00FB4EFA">
        <w:rPr>
          <w:lang w:val="en-IE"/>
        </w:rPr>
        <w:t xml:space="preserve"> </w:t>
      </w:r>
      <w:hyperlink r:id="rId140" w:history="1">
        <w:r w:rsidR="006D6A79" w:rsidRPr="00FB4EFA">
          <w:rPr>
            <w:sz w:val="16"/>
            <w:szCs w:val="16"/>
            <w:lang w:val="en-IE"/>
          </w:rPr>
          <w:t>keija</w:t>
        </w:r>
      </w:hyperlink>
      <w:r w:rsidR="006D6A79" w:rsidRPr="00FB4EFA">
        <w:rPr>
          <w:lang w:val="en-IE"/>
        </w:rPr>
        <w:t xml:space="preserve"> </w:t>
      </w:r>
      <w:hyperlink r:id="rId141" w:history="1">
        <w:r w:rsidR="006D6A79" w:rsidRPr="00FB4EFA">
          <w:rPr>
            <w:sz w:val="16"/>
            <w:szCs w:val="16"/>
            <w:lang w:val="en-IE"/>
          </w:rPr>
          <w:t>keksi</w:t>
        </w:r>
      </w:hyperlink>
      <w:r w:rsidR="006D6A79" w:rsidRPr="00FB4EFA">
        <w:rPr>
          <w:lang w:val="en-IE"/>
        </w:rPr>
        <w:t xml:space="preserve"> </w:t>
      </w:r>
      <w:hyperlink r:id="rId142" w:history="1">
        <w:r w:rsidR="006D6A79" w:rsidRPr="00FB4EFA">
          <w:rPr>
            <w:sz w:val="27"/>
            <w:szCs w:val="27"/>
            <w:lang w:val="en-IE"/>
          </w:rPr>
          <w:t>kielenhuolto</w:t>
        </w:r>
      </w:hyperlink>
      <w:r w:rsidR="006D6A79" w:rsidRPr="00FB4EFA">
        <w:rPr>
          <w:lang w:val="en-IE"/>
        </w:rPr>
        <w:t xml:space="preserve"> </w:t>
      </w:r>
      <w:hyperlink r:id="rId143" w:history="1">
        <w:r w:rsidR="006D6A79" w:rsidRPr="00FB4EFA">
          <w:rPr>
            <w:sz w:val="31"/>
            <w:szCs w:val="31"/>
            <w:lang w:val="en-IE"/>
          </w:rPr>
          <w:t>kielenopetus</w:t>
        </w:r>
      </w:hyperlink>
      <w:r w:rsidR="006D6A79" w:rsidRPr="00FB4EFA">
        <w:rPr>
          <w:lang w:val="en-IE"/>
        </w:rPr>
        <w:t xml:space="preserve"> </w:t>
      </w:r>
      <w:hyperlink r:id="rId144" w:history="1">
        <w:r w:rsidR="006D6A79" w:rsidRPr="00FB4EFA">
          <w:rPr>
            <w:sz w:val="29"/>
            <w:szCs w:val="29"/>
            <w:lang w:val="en-IE"/>
          </w:rPr>
          <w:t>kielihistoria</w:t>
        </w:r>
      </w:hyperlink>
      <w:r w:rsidR="006D6A79" w:rsidRPr="00FB4EFA">
        <w:rPr>
          <w:lang w:val="en-IE"/>
        </w:rPr>
        <w:t xml:space="preserve"> </w:t>
      </w:r>
      <w:hyperlink r:id="rId145" w:history="1">
        <w:r w:rsidR="006D6A79" w:rsidRPr="00FB4EFA">
          <w:rPr>
            <w:sz w:val="21"/>
            <w:szCs w:val="21"/>
            <w:lang w:val="en-IE"/>
          </w:rPr>
          <w:t>kielikuvat</w:t>
        </w:r>
      </w:hyperlink>
      <w:r w:rsidR="006D6A79" w:rsidRPr="00FB4EFA">
        <w:rPr>
          <w:lang w:val="en-IE"/>
        </w:rPr>
        <w:t xml:space="preserve"> </w:t>
      </w:r>
      <w:hyperlink r:id="rId146" w:history="1">
        <w:r w:rsidR="006D6A79" w:rsidRPr="00FB4EFA">
          <w:rPr>
            <w:sz w:val="16"/>
            <w:szCs w:val="16"/>
            <w:lang w:val="en-IE"/>
          </w:rPr>
          <w:t>kielirasismi</w:t>
        </w:r>
      </w:hyperlink>
      <w:r w:rsidR="006D6A79" w:rsidRPr="00FB4EFA">
        <w:rPr>
          <w:lang w:val="en-IE"/>
        </w:rPr>
        <w:t xml:space="preserve"> </w:t>
      </w:r>
      <w:hyperlink r:id="rId147" w:history="1">
        <w:r w:rsidR="006D6A79" w:rsidRPr="00FB4EFA">
          <w:rPr>
            <w:sz w:val="21"/>
            <w:szCs w:val="21"/>
            <w:lang w:val="en-IE"/>
          </w:rPr>
          <w:t>kielisukulaisuus</w:t>
        </w:r>
      </w:hyperlink>
      <w:r w:rsidR="006D6A79" w:rsidRPr="00FB4EFA">
        <w:rPr>
          <w:lang w:val="en-IE"/>
        </w:rPr>
        <w:t xml:space="preserve"> </w:t>
      </w:r>
      <w:hyperlink r:id="rId148" w:history="1">
        <w:r w:rsidR="006D6A79" w:rsidRPr="00FB4EFA">
          <w:rPr>
            <w:sz w:val="27"/>
            <w:szCs w:val="27"/>
            <w:lang w:val="en-IE"/>
          </w:rPr>
          <w:t>kielitieteestä melko yleisesti</w:t>
        </w:r>
      </w:hyperlink>
      <w:r w:rsidR="006D6A79" w:rsidRPr="00FB4EFA">
        <w:rPr>
          <w:lang w:val="en-IE"/>
        </w:rPr>
        <w:t xml:space="preserve"> </w:t>
      </w:r>
      <w:hyperlink r:id="rId149" w:history="1">
        <w:r w:rsidR="006D6A79" w:rsidRPr="00FB4EFA">
          <w:rPr>
            <w:lang w:val="en-IE"/>
          </w:rPr>
          <w:t>kielitypologia</w:t>
        </w:r>
      </w:hyperlink>
      <w:r w:rsidR="006D6A79" w:rsidRPr="00FB4EFA">
        <w:rPr>
          <w:lang w:val="en-IE"/>
        </w:rPr>
        <w:t xml:space="preserve"> </w:t>
      </w:r>
      <w:hyperlink r:id="rId150" w:history="1">
        <w:r w:rsidR="006D6A79" w:rsidRPr="00FB4EFA">
          <w:rPr>
            <w:sz w:val="21"/>
            <w:szCs w:val="21"/>
            <w:lang w:val="en-IE"/>
          </w:rPr>
          <w:t>koulu</w:t>
        </w:r>
      </w:hyperlink>
      <w:r w:rsidR="006D6A79" w:rsidRPr="00FB4EFA">
        <w:rPr>
          <w:lang w:val="en-IE"/>
        </w:rPr>
        <w:t xml:space="preserve"> </w:t>
      </w:r>
      <w:hyperlink r:id="rId151" w:history="1">
        <w:r w:rsidR="006D6A79" w:rsidRPr="00FB4EFA">
          <w:rPr>
            <w:sz w:val="21"/>
            <w:szCs w:val="21"/>
            <w:lang w:val="en-IE"/>
          </w:rPr>
          <w:t>lainasanat</w:t>
        </w:r>
      </w:hyperlink>
      <w:r w:rsidR="006D6A79" w:rsidRPr="00FB4EFA">
        <w:rPr>
          <w:lang w:val="en-IE"/>
        </w:rPr>
        <w:t xml:space="preserve"> </w:t>
      </w:r>
      <w:hyperlink r:id="rId152" w:history="1">
        <w:r w:rsidR="006D6A79" w:rsidRPr="00FB4EFA">
          <w:rPr>
            <w:sz w:val="16"/>
            <w:szCs w:val="16"/>
            <w:lang w:val="en-IE"/>
          </w:rPr>
          <w:t>lastenlorut</w:t>
        </w:r>
      </w:hyperlink>
      <w:r w:rsidR="006D6A79" w:rsidRPr="00FB4EFA">
        <w:rPr>
          <w:lang w:val="en-IE"/>
        </w:rPr>
        <w:t xml:space="preserve"> </w:t>
      </w:r>
      <w:hyperlink r:id="rId153" w:history="1">
        <w:r w:rsidR="006D6A79" w:rsidRPr="00FB4EFA">
          <w:rPr>
            <w:sz w:val="16"/>
            <w:szCs w:val="16"/>
            <w:lang w:val="en-IE"/>
          </w:rPr>
          <w:t>liivi</w:t>
        </w:r>
      </w:hyperlink>
      <w:r w:rsidR="006D6A79" w:rsidRPr="00FB4EFA">
        <w:rPr>
          <w:lang w:val="en-IE"/>
        </w:rPr>
        <w:t xml:space="preserve"> </w:t>
      </w:r>
      <w:hyperlink r:id="rId154" w:history="1">
        <w:r w:rsidR="006D6A79" w:rsidRPr="00FB4EFA">
          <w:rPr>
            <w:sz w:val="16"/>
            <w:szCs w:val="16"/>
            <w:lang w:val="en-IE"/>
          </w:rPr>
          <w:t>livvi</w:t>
        </w:r>
      </w:hyperlink>
      <w:r w:rsidR="006D6A79" w:rsidRPr="00FB4EFA">
        <w:rPr>
          <w:lang w:val="en-IE"/>
        </w:rPr>
        <w:t xml:space="preserve"> </w:t>
      </w:r>
      <w:hyperlink r:id="rId155" w:history="1">
        <w:r w:rsidR="006D6A79" w:rsidRPr="00FB4EFA">
          <w:rPr>
            <w:sz w:val="16"/>
            <w:szCs w:val="16"/>
            <w:lang w:val="en-IE"/>
          </w:rPr>
          <w:t>maahanmuuttajat</w:t>
        </w:r>
      </w:hyperlink>
      <w:r w:rsidR="006D6A79" w:rsidRPr="00FB4EFA">
        <w:rPr>
          <w:lang w:val="en-IE"/>
        </w:rPr>
        <w:t xml:space="preserve"> </w:t>
      </w:r>
      <w:hyperlink r:id="rId156" w:history="1">
        <w:r w:rsidR="006D6A79" w:rsidRPr="00FB4EFA">
          <w:rPr>
            <w:sz w:val="27"/>
            <w:szCs w:val="27"/>
            <w:lang w:val="en-IE"/>
          </w:rPr>
          <w:t>media</w:t>
        </w:r>
      </w:hyperlink>
      <w:r w:rsidR="006D6A79" w:rsidRPr="00FB4EFA">
        <w:rPr>
          <w:lang w:val="en-IE"/>
        </w:rPr>
        <w:t xml:space="preserve"> </w:t>
      </w:r>
      <w:hyperlink r:id="rId157" w:history="1">
        <w:r w:rsidR="006D6A79" w:rsidRPr="00FB4EFA">
          <w:rPr>
            <w:sz w:val="16"/>
            <w:szCs w:val="16"/>
            <w:lang w:val="en-IE"/>
          </w:rPr>
          <w:t>muoti</w:t>
        </w:r>
      </w:hyperlink>
      <w:r w:rsidR="006D6A79" w:rsidRPr="00FB4EFA">
        <w:rPr>
          <w:lang w:val="en-IE"/>
        </w:rPr>
        <w:t xml:space="preserve"> </w:t>
      </w:r>
      <w:hyperlink r:id="rId158" w:history="1">
        <w:r w:rsidR="006D6A79" w:rsidRPr="00FB4EFA">
          <w:rPr>
            <w:sz w:val="29"/>
            <w:szCs w:val="29"/>
            <w:lang w:val="en-IE"/>
          </w:rPr>
          <w:t>murteet</w:t>
        </w:r>
      </w:hyperlink>
      <w:r w:rsidR="006D6A79" w:rsidRPr="00FB4EFA">
        <w:rPr>
          <w:lang w:val="en-IE"/>
        </w:rPr>
        <w:t xml:space="preserve"> </w:t>
      </w:r>
      <w:hyperlink r:id="rId159" w:history="1">
        <w:r w:rsidR="006D6A79" w:rsidRPr="00FB4EFA">
          <w:rPr>
            <w:lang w:val="en-IE"/>
          </w:rPr>
          <w:t>nimet</w:t>
        </w:r>
      </w:hyperlink>
      <w:r w:rsidR="006D6A79" w:rsidRPr="00FB4EFA">
        <w:rPr>
          <w:lang w:val="en-IE"/>
        </w:rPr>
        <w:t xml:space="preserve"> </w:t>
      </w:r>
      <w:hyperlink r:id="rId160" w:history="1">
        <w:r w:rsidR="006D6A79" w:rsidRPr="00FB4EFA">
          <w:rPr>
            <w:sz w:val="21"/>
            <w:szCs w:val="21"/>
            <w:lang w:val="en-IE"/>
          </w:rPr>
          <w:t>omistusrakenteet</w:t>
        </w:r>
      </w:hyperlink>
      <w:r w:rsidR="006D6A79" w:rsidRPr="00FB4EFA">
        <w:rPr>
          <w:lang w:val="en-IE"/>
        </w:rPr>
        <w:t xml:space="preserve"> </w:t>
      </w:r>
      <w:hyperlink r:id="rId161" w:history="1">
        <w:r w:rsidR="006D6A79" w:rsidRPr="00FB4EFA">
          <w:rPr>
            <w:sz w:val="16"/>
            <w:szCs w:val="16"/>
            <w:lang w:val="en-IE"/>
          </w:rPr>
          <w:t>pakkoruotsi</w:t>
        </w:r>
      </w:hyperlink>
      <w:r w:rsidR="006D6A79" w:rsidRPr="00FB4EFA">
        <w:rPr>
          <w:lang w:val="en-IE"/>
        </w:rPr>
        <w:t xml:space="preserve"> </w:t>
      </w:r>
      <w:hyperlink r:id="rId162" w:history="1">
        <w:r w:rsidR="006D6A79" w:rsidRPr="00FB4EFA">
          <w:rPr>
            <w:sz w:val="16"/>
            <w:szCs w:val="16"/>
            <w:lang w:val="en-IE"/>
          </w:rPr>
          <w:t>petolliset ystävät</w:t>
        </w:r>
      </w:hyperlink>
      <w:r w:rsidR="006D6A79" w:rsidRPr="00FB4EFA">
        <w:rPr>
          <w:lang w:val="en-IE"/>
        </w:rPr>
        <w:t xml:space="preserve"> </w:t>
      </w:r>
      <w:hyperlink r:id="rId163" w:history="1">
        <w:r w:rsidR="006D6A79" w:rsidRPr="00FB4EFA">
          <w:rPr>
            <w:sz w:val="16"/>
            <w:szCs w:val="16"/>
            <w:lang w:val="en-IE"/>
          </w:rPr>
          <w:t>piirakka</w:t>
        </w:r>
      </w:hyperlink>
      <w:r w:rsidR="006D6A79" w:rsidRPr="00FB4EFA">
        <w:rPr>
          <w:lang w:val="en-IE"/>
        </w:rPr>
        <w:t xml:space="preserve"> </w:t>
      </w:r>
      <w:hyperlink r:id="rId164" w:history="1">
        <w:r w:rsidR="006D6A79" w:rsidRPr="00FB4EFA">
          <w:rPr>
            <w:sz w:val="21"/>
            <w:szCs w:val="21"/>
            <w:lang w:val="en-IE"/>
          </w:rPr>
          <w:t>populismi</w:t>
        </w:r>
      </w:hyperlink>
      <w:r w:rsidR="006D6A79" w:rsidRPr="00FB4EFA">
        <w:rPr>
          <w:lang w:val="en-IE"/>
        </w:rPr>
        <w:t xml:space="preserve"> </w:t>
      </w:r>
      <w:hyperlink r:id="rId165" w:history="1">
        <w:r w:rsidR="006D6A79" w:rsidRPr="00FB4EFA">
          <w:rPr>
            <w:sz w:val="16"/>
            <w:szCs w:val="16"/>
            <w:lang w:val="en-IE"/>
          </w:rPr>
          <w:t>puliveivata</w:t>
        </w:r>
      </w:hyperlink>
      <w:r w:rsidR="006D6A79" w:rsidRPr="00FB4EFA">
        <w:rPr>
          <w:lang w:val="en-IE"/>
        </w:rPr>
        <w:t xml:space="preserve"> </w:t>
      </w:r>
      <w:hyperlink r:id="rId166" w:history="1">
        <w:r w:rsidR="006D6A79" w:rsidRPr="00FB4EFA">
          <w:rPr>
            <w:sz w:val="16"/>
            <w:szCs w:val="16"/>
            <w:lang w:val="en-IE"/>
          </w:rPr>
          <w:t>pulju</w:t>
        </w:r>
      </w:hyperlink>
      <w:r w:rsidR="006D6A79" w:rsidRPr="00FB4EFA">
        <w:rPr>
          <w:lang w:val="en-IE"/>
        </w:rPr>
        <w:t xml:space="preserve"> </w:t>
      </w:r>
      <w:hyperlink r:id="rId167" w:history="1">
        <w:r w:rsidR="006D6A79" w:rsidRPr="00FB4EFA">
          <w:rPr>
            <w:sz w:val="16"/>
            <w:szCs w:val="16"/>
            <w:lang w:val="en-IE"/>
          </w:rPr>
          <w:t>pääsiäinen</w:t>
        </w:r>
      </w:hyperlink>
      <w:r w:rsidR="006D6A79" w:rsidRPr="00FB4EFA">
        <w:rPr>
          <w:lang w:val="en-IE"/>
        </w:rPr>
        <w:t xml:space="preserve"> </w:t>
      </w:r>
      <w:hyperlink r:id="rId168" w:history="1">
        <w:r w:rsidR="006D6A79" w:rsidRPr="00FB4EFA">
          <w:rPr>
            <w:sz w:val="16"/>
            <w:szCs w:val="16"/>
            <w:lang w:val="en-IE"/>
          </w:rPr>
          <w:t>rasismi</w:t>
        </w:r>
      </w:hyperlink>
      <w:r w:rsidR="006D6A79" w:rsidRPr="00FB4EFA">
        <w:rPr>
          <w:lang w:val="en-IE"/>
        </w:rPr>
        <w:t xml:space="preserve"> </w:t>
      </w:r>
      <w:hyperlink r:id="rId169" w:history="1">
        <w:r w:rsidR="006D6A79" w:rsidRPr="00FB4EFA">
          <w:rPr>
            <w:sz w:val="16"/>
            <w:szCs w:val="16"/>
            <w:lang w:val="en-IE"/>
          </w:rPr>
          <w:t>ruoka</w:t>
        </w:r>
      </w:hyperlink>
      <w:r w:rsidR="006D6A79" w:rsidRPr="00FB4EFA">
        <w:rPr>
          <w:lang w:val="en-IE"/>
        </w:rPr>
        <w:t xml:space="preserve"> </w:t>
      </w:r>
      <w:hyperlink r:id="rId170" w:history="1">
        <w:r w:rsidR="006D6A79" w:rsidRPr="00FB4EFA">
          <w:rPr>
            <w:sz w:val="33"/>
            <w:szCs w:val="33"/>
            <w:lang w:val="en-IE"/>
          </w:rPr>
          <w:t>ruotsi</w:t>
        </w:r>
      </w:hyperlink>
      <w:r w:rsidR="006D6A79" w:rsidRPr="00FB4EFA">
        <w:rPr>
          <w:lang w:val="en-IE"/>
        </w:rPr>
        <w:t xml:space="preserve"> </w:t>
      </w:r>
      <w:hyperlink r:id="rId171" w:history="1">
        <w:r w:rsidR="006D6A79" w:rsidRPr="00FB4EFA">
          <w:rPr>
            <w:sz w:val="16"/>
            <w:szCs w:val="16"/>
            <w:lang w:val="en-IE"/>
          </w:rPr>
          <w:t>Ruth Wodak</w:t>
        </w:r>
      </w:hyperlink>
      <w:r w:rsidR="006D6A79" w:rsidRPr="00FB4EFA">
        <w:rPr>
          <w:lang w:val="en-IE"/>
        </w:rPr>
        <w:t xml:space="preserve"> </w:t>
      </w:r>
      <w:hyperlink r:id="rId172" w:history="1">
        <w:r w:rsidR="006D6A79" w:rsidRPr="00FB4EFA">
          <w:rPr>
            <w:sz w:val="21"/>
            <w:szCs w:val="21"/>
            <w:lang w:val="en-IE"/>
          </w:rPr>
          <w:t>saame</w:t>
        </w:r>
      </w:hyperlink>
      <w:r w:rsidR="006D6A79" w:rsidRPr="00FB4EFA">
        <w:rPr>
          <w:lang w:val="en-IE"/>
        </w:rPr>
        <w:t xml:space="preserve"> </w:t>
      </w:r>
      <w:hyperlink r:id="rId173" w:history="1">
        <w:r w:rsidR="006D6A79" w:rsidRPr="00FB4EFA">
          <w:rPr>
            <w:sz w:val="36"/>
            <w:szCs w:val="36"/>
            <w:lang w:val="en-IE"/>
          </w:rPr>
          <w:t>saksa</w:t>
        </w:r>
      </w:hyperlink>
      <w:r w:rsidR="006D6A79" w:rsidRPr="00FB4EFA">
        <w:rPr>
          <w:lang w:val="en-IE"/>
        </w:rPr>
        <w:t xml:space="preserve"> </w:t>
      </w:r>
      <w:hyperlink r:id="rId174" w:history="1">
        <w:r w:rsidR="006D6A79" w:rsidRPr="00FB4EFA">
          <w:rPr>
            <w:sz w:val="21"/>
            <w:szCs w:val="21"/>
            <w:lang w:val="en-IE"/>
          </w:rPr>
          <w:t>sanakirjat</w:t>
        </w:r>
      </w:hyperlink>
      <w:r w:rsidR="006D6A79" w:rsidRPr="00FB4EFA">
        <w:rPr>
          <w:lang w:val="en-IE"/>
        </w:rPr>
        <w:t xml:space="preserve"> </w:t>
      </w:r>
      <w:hyperlink r:id="rId175" w:history="1">
        <w:r w:rsidR="006D6A79" w:rsidRPr="00FB4EFA">
          <w:rPr>
            <w:sz w:val="16"/>
            <w:szCs w:val="16"/>
            <w:lang w:val="en-IE"/>
          </w:rPr>
          <w:t>sananmuodostus</w:t>
        </w:r>
      </w:hyperlink>
      <w:r w:rsidR="006D6A79" w:rsidRPr="00FB4EFA">
        <w:rPr>
          <w:lang w:val="en-IE"/>
        </w:rPr>
        <w:t xml:space="preserve"> </w:t>
      </w:r>
      <w:hyperlink r:id="rId176" w:history="1">
        <w:r w:rsidR="006D6A79" w:rsidRPr="00FB4EFA">
          <w:rPr>
            <w:sz w:val="27"/>
            <w:szCs w:val="27"/>
            <w:lang w:val="en-IE"/>
          </w:rPr>
          <w:t>sanat</w:t>
        </w:r>
      </w:hyperlink>
      <w:r w:rsidR="006D6A79" w:rsidRPr="00FB4EFA">
        <w:rPr>
          <w:lang w:val="en-IE"/>
        </w:rPr>
        <w:t xml:space="preserve"> </w:t>
      </w:r>
      <w:hyperlink r:id="rId177" w:history="1">
        <w:r w:rsidR="006D6A79" w:rsidRPr="00FB4EFA">
          <w:rPr>
            <w:sz w:val="27"/>
            <w:szCs w:val="27"/>
            <w:lang w:val="en-IE"/>
          </w:rPr>
          <w:t>sanonnat</w:t>
        </w:r>
      </w:hyperlink>
      <w:r w:rsidR="006D6A79" w:rsidRPr="00FB4EFA">
        <w:rPr>
          <w:lang w:val="en-IE"/>
        </w:rPr>
        <w:t xml:space="preserve"> </w:t>
      </w:r>
      <w:hyperlink r:id="rId178" w:history="1">
        <w:r w:rsidR="006D6A79" w:rsidRPr="00FB4EFA">
          <w:rPr>
            <w:sz w:val="16"/>
            <w:szCs w:val="16"/>
            <w:lang w:val="en-IE"/>
          </w:rPr>
          <w:t>scifi</w:t>
        </w:r>
      </w:hyperlink>
      <w:r w:rsidR="006D6A79" w:rsidRPr="00FB4EFA">
        <w:rPr>
          <w:lang w:val="en-IE"/>
        </w:rPr>
        <w:t xml:space="preserve"> </w:t>
      </w:r>
      <w:hyperlink r:id="rId179" w:history="1">
        <w:r w:rsidR="006D6A79" w:rsidRPr="00FB4EFA">
          <w:rPr>
            <w:sz w:val="16"/>
            <w:szCs w:val="16"/>
            <w:lang w:val="en-IE"/>
          </w:rPr>
          <w:t>seksismi</w:t>
        </w:r>
      </w:hyperlink>
      <w:r w:rsidR="006D6A79" w:rsidRPr="00FB4EFA">
        <w:rPr>
          <w:lang w:val="en-IE"/>
        </w:rPr>
        <w:t xml:space="preserve"> </w:t>
      </w:r>
      <w:hyperlink r:id="rId180" w:history="1">
        <w:r w:rsidR="006D6A79" w:rsidRPr="00FB4EFA">
          <w:rPr>
            <w:sz w:val="29"/>
            <w:szCs w:val="29"/>
            <w:lang w:val="en-IE"/>
          </w:rPr>
          <w:t>sukupuoli</w:t>
        </w:r>
      </w:hyperlink>
      <w:r w:rsidR="006D6A79" w:rsidRPr="00FB4EFA">
        <w:rPr>
          <w:lang w:val="en-IE"/>
        </w:rPr>
        <w:t xml:space="preserve"> </w:t>
      </w:r>
      <w:hyperlink r:id="rId181" w:history="1">
        <w:r w:rsidR="006D6A79" w:rsidRPr="00FB4EFA">
          <w:rPr>
            <w:sz w:val="21"/>
            <w:szCs w:val="21"/>
            <w:lang w:val="en-IE"/>
          </w:rPr>
          <w:t>taivutus</w:t>
        </w:r>
      </w:hyperlink>
      <w:r w:rsidR="006D6A79" w:rsidRPr="00FB4EFA">
        <w:rPr>
          <w:lang w:val="en-IE"/>
        </w:rPr>
        <w:t xml:space="preserve"> </w:t>
      </w:r>
      <w:hyperlink r:id="rId182" w:history="1">
        <w:r w:rsidR="006D6A79" w:rsidRPr="00FB4EFA">
          <w:rPr>
            <w:sz w:val="21"/>
            <w:szCs w:val="21"/>
            <w:lang w:val="en-IE"/>
          </w:rPr>
          <w:t>tehokkuus</w:t>
        </w:r>
      </w:hyperlink>
      <w:r w:rsidR="006D6A79" w:rsidRPr="00FB4EFA">
        <w:rPr>
          <w:lang w:val="en-IE"/>
        </w:rPr>
        <w:t xml:space="preserve"> </w:t>
      </w:r>
      <w:hyperlink r:id="rId183" w:history="1">
        <w:r w:rsidR="006D6A79" w:rsidRPr="00FB4EFA">
          <w:rPr>
            <w:sz w:val="21"/>
            <w:szCs w:val="21"/>
            <w:lang w:val="en-IE"/>
          </w:rPr>
          <w:t>uhanalaisuus</w:t>
        </w:r>
      </w:hyperlink>
      <w:r w:rsidR="006D6A79" w:rsidRPr="00FB4EFA">
        <w:rPr>
          <w:lang w:val="en-IE"/>
        </w:rPr>
        <w:t xml:space="preserve"> </w:t>
      </w:r>
      <w:hyperlink r:id="rId184" w:history="1">
        <w:r w:rsidR="006D6A79" w:rsidRPr="00FB4EFA">
          <w:rPr>
            <w:sz w:val="16"/>
            <w:szCs w:val="16"/>
            <w:lang w:val="en-IE"/>
          </w:rPr>
          <w:t>ulkosuomalaiset</w:t>
        </w:r>
      </w:hyperlink>
      <w:r w:rsidR="006D6A79" w:rsidRPr="00FB4EFA">
        <w:rPr>
          <w:lang w:val="en-IE"/>
        </w:rPr>
        <w:t xml:space="preserve"> </w:t>
      </w:r>
      <w:hyperlink r:id="rId185" w:history="1">
        <w:r w:rsidR="006D6A79" w:rsidRPr="00FB4EFA">
          <w:rPr>
            <w:sz w:val="34"/>
            <w:szCs w:val="34"/>
            <w:lang w:val="en-IE"/>
          </w:rPr>
          <w:t>unkari</w:t>
        </w:r>
      </w:hyperlink>
      <w:r w:rsidR="006D6A79" w:rsidRPr="00FB4EFA">
        <w:rPr>
          <w:lang w:val="en-IE"/>
        </w:rPr>
        <w:t xml:space="preserve"> </w:t>
      </w:r>
      <w:hyperlink r:id="rId186" w:history="1">
        <w:r w:rsidR="006D6A79" w:rsidRPr="00FB4EFA">
          <w:rPr>
            <w:sz w:val="16"/>
            <w:szCs w:val="16"/>
            <w:lang w:val="en-IE"/>
          </w:rPr>
          <w:t>uudissanat</w:t>
        </w:r>
      </w:hyperlink>
      <w:r w:rsidR="006D6A79" w:rsidRPr="00FB4EFA">
        <w:rPr>
          <w:lang w:val="en-IE"/>
        </w:rPr>
        <w:t xml:space="preserve"> </w:t>
      </w:r>
      <w:hyperlink r:id="rId187" w:history="1">
        <w:r w:rsidR="006D6A79" w:rsidRPr="00FB4EFA">
          <w:rPr>
            <w:lang w:val="en-IE"/>
          </w:rPr>
          <w:t>Venäjä</w:t>
        </w:r>
      </w:hyperlink>
      <w:r w:rsidR="006D6A79" w:rsidRPr="00FB4EFA">
        <w:rPr>
          <w:lang w:val="en-IE"/>
        </w:rPr>
        <w:t xml:space="preserve"> </w:t>
      </w:r>
      <w:hyperlink r:id="rId188" w:history="1">
        <w:r w:rsidR="006D6A79" w:rsidRPr="00FB4EFA">
          <w:rPr>
            <w:sz w:val="29"/>
            <w:szCs w:val="29"/>
            <w:lang w:val="en-IE"/>
          </w:rPr>
          <w:t>viro</w:t>
        </w:r>
      </w:hyperlink>
      <w:r w:rsidR="006D6A79" w:rsidRPr="00FB4EFA">
        <w:rPr>
          <w:lang w:val="en-IE"/>
        </w:rPr>
        <w:t xml:space="preserve"> </w:t>
      </w:r>
      <w:hyperlink r:id="rId189" w:history="1">
        <w:r w:rsidR="006D6A79" w:rsidRPr="00FB4EFA">
          <w:rPr>
            <w:sz w:val="33"/>
            <w:szCs w:val="33"/>
            <w:lang w:val="en-IE"/>
          </w:rPr>
          <w:t>vähemmistökielet</w:t>
        </w:r>
      </w:hyperlink>
      <w:r w:rsidR="006D6A79" w:rsidRPr="00FB4EFA">
        <w:rPr>
          <w:lang w:val="en-IE"/>
        </w:rPr>
        <w:t xml:space="preserve"> </w:t>
      </w:r>
      <w:hyperlink r:id="rId190" w:history="1">
        <w:r w:rsidR="006D6A79" w:rsidRPr="00FB4EFA">
          <w:rPr>
            <w:rFonts w:cs="Charis SIL"/>
            <w:sz w:val="16"/>
            <w:szCs w:val="16"/>
            <w:lang w:val="en-IE"/>
          </w:rPr>
          <w:t>yhteiskunta</w:t>
        </w:r>
      </w:hyperlink>
      <w:r w:rsidR="006D6A79" w:rsidRPr="00FB4EFA">
        <w:rPr>
          <w:rFonts w:cs="Charis SIL"/>
          <w:lang w:val="en-IE"/>
        </w:rPr>
        <w:t xml:space="preserve"> </w:t>
      </w:r>
      <w:hyperlink r:id="rId191" w:history="1">
        <w:r w:rsidR="006D6A79" w:rsidRPr="00FB4EFA">
          <w:rPr>
            <w:rFonts w:cs="Charis SIL"/>
            <w:sz w:val="21"/>
            <w:szCs w:val="21"/>
            <w:lang w:val="en-IE"/>
          </w:rPr>
          <w:t>yleiskieli</w:t>
        </w:r>
      </w:hyperlink>
    </w:p>
    <w:p w14:paraId="0314C94A" w14:textId="26858F74" w:rsidR="006D6A79" w:rsidRPr="00FB4EFA" w:rsidRDefault="006D6A79" w:rsidP="00AF0CAD">
      <w:pPr>
        <w:spacing w:before="120" w:after="240"/>
        <w:jc w:val="center"/>
        <w:rPr>
          <w:rFonts w:cs="Charis SIL"/>
          <w:lang w:val="en-IE" w:eastAsia="en-GB"/>
        </w:rPr>
      </w:pPr>
      <w:r w:rsidRPr="00FB4EFA">
        <w:rPr>
          <w:rFonts w:cs="Charis SIL"/>
          <w:b/>
          <w:bCs/>
          <w:sz w:val="18"/>
          <w:szCs w:val="18"/>
          <w:lang w:val="en-IE"/>
        </w:rPr>
        <w:t xml:space="preserve">Figure </w:t>
      </w:r>
      <w:r w:rsidR="004D0C6C" w:rsidRPr="00FB4EFA">
        <w:rPr>
          <w:rFonts w:cs="Charis SIL"/>
          <w:b/>
          <w:bCs/>
          <w:sz w:val="18"/>
          <w:szCs w:val="18"/>
          <w:lang w:val="en-IE"/>
        </w:rPr>
        <w:t>4</w:t>
      </w:r>
      <w:r w:rsidRPr="00FB4EFA">
        <w:rPr>
          <w:rFonts w:cs="Charis SIL"/>
          <w:sz w:val="18"/>
          <w:szCs w:val="18"/>
          <w:lang w:val="en-IE"/>
        </w:rPr>
        <w:t>. Word cloud of the jubilarian’s linguistic blog</w:t>
      </w:r>
    </w:p>
    <w:p w14:paraId="256E245A" w14:textId="4F8B6C20" w:rsidR="00A5616C" w:rsidRPr="00FB4EFA" w:rsidRDefault="00A5616C" w:rsidP="00402EF4">
      <w:pPr>
        <w:spacing w:after="240"/>
        <w:rPr>
          <w:lang w:val="en-IE"/>
        </w:rPr>
      </w:pPr>
      <w:r w:rsidRPr="00FB4EFA">
        <w:rPr>
          <w:rFonts w:cs="Charis SIL"/>
          <w:lang w:val="en-IE"/>
        </w:rPr>
        <w:t xml:space="preserve">Fortunately, a non-Finnish-reading audience (or </w:t>
      </w:r>
      <w:r w:rsidRPr="00FB4EFA">
        <w:rPr>
          <w:lang w:val="en-IE"/>
        </w:rPr>
        <w:t xml:space="preserve">an audience that can read Finnish in a pinch but </w:t>
      </w:r>
      <w:r w:rsidR="002931C9" w:rsidRPr="00FB4EFA">
        <w:rPr>
          <w:lang w:val="en-IE"/>
        </w:rPr>
        <w:t>usually does not</w:t>
      </w:r>
      <w:r w:rsidRPr="00FB4EFA">
        <w:rPr>
          <w:lang w:val="en-IE"/>
        </w:rPr>
        <w:t xml:space="preserve">) has the occasional opportunity to keep up with her activities in the </w:t>
      </w:r>
      <w:r w:rsidR="00670F18" w:rsidRPr="00FB4EFA">
        <w:rPr>
          <w:lang w:val="en-IE"/>
        </w:rPr>
        <w:t>realm</w:t>
      </w:r>
      <w:r w:rsidRPr="00FB4EFA">
        <w:rPr>
          <w:lang w:val="en-IE"/>
        </w:rPr>
        <w:t xml:space="preserve"> of popular science, political commentary, and the intersection between the two. </w:t>
      </w:r>
      <w:r w:rsidR="00670F18" w:rsidRPr="00FB4EFA">
        <w:rPr>
          <w:lang w:val="en-IE"/>
        </w:rPr>
        <w:t>Every</w:t>
      </w:r>
      <w:r w:rsidRPr="00FB4EFA">
        <w:rPr>
          <w:lang w:val="en-IE"/>
        </w:rPr>
        <w:t xml:space="preserve"> so often, she will publish articles and translations in what she, to the confusion of her readers, calls “International Bad English” (leaving even native speakers of English looking for mistakes or even stylistic shortcomings in a panicked frenzy)</w:t>
      </w:r>
      <w:r w:rsidR="00870D37" w:rsidRPr="00FB4EFA">
        <w:rPr>
          <w:lang w:val="en-IE"/>
        </w:rPr>
        <w:t xml:space="preserve">, pertaining especially to bad arguments that are raised so frequently, it can be useful to </w:t>
      </w:r>
      <w:r w:rsidR="00670F18" w:rsidRPr="00FB4EFA">
        <w:rPr>
          <w:lang w:val="en-IE"/>
        </w:rPr>
        <w:t>always have a detailed dissection at your disposal</w:t>
      </w:r>
      <w:r w:rsidR="00870D37" w:rsidRPr="00FB4EFA">
        <w:rPr>
          <w:lang w:val="en-IE"/>
        </w:rPr>
        <w:t>. Three of her classics come to mind here. We have all encountered occasions when these articles gave just the arguments we needed; we have assigned these articles as mandatory reading to bachelor students in their first years of studies to inoculate them against the nonsense they are likely to encounter if they seek a future in our discipline</w:t>
      </w:r>
      <w:r w:rsidR="00095CEB" w:rsidRPr="00FB4EFA">
        <w:rPr>
          <w:lang w:val="en-IE"/>
        </w:rPr>
        <w:t>:</w:t>
      </w:r>
    </w:p>
    <w:p w14:paraId="1215724F" w14:textId="17E38D58" w:rsidR="00095CEB" w:rsidRPr="00FB4EFA" w:rsidRDefault="00095CEB" w:rsidP="00CC7060">
      <w:pPr>
        <w:keepNext/>
        <w:keepLines/>
        <w:numPr>
          <w:ilvl w:val="0"/>
          <w:numId w:val="8"/>
        </w:numPr>
        <w:ind w:left="284" w:hanging="284"/>
        <w:rPr>
          <w:lang w:val="en-IE"/>
        </w:rPr>
      </w:pPr>
      <w:r w:rsidRPr="00FB4EFA">
        <w:rPr>
          <w:lang w:val="en-IE"/>
        </w:rPr>
        <w:lastRenderedPageBreak/>
        <w:t>“The Land of Wonderbugs”, for when you find yourself shocked to discover that your entire course of studies and intended academic career is perceived as offensive by many Hungarians (</w:t>
      </w:r>
      <w:hyperlink r:id="rId192" w:history="1">
        <w:r w:rsidR="000C2655" w:rsidRPr="00FB4EFA">
          <w:rPr>
            <w:rStyle w:val="Hyperlink"/>
            <w:color w:val="auto"/>
          </w:rPr>
          <w:t>homepage.univie.ac.at/johanna.laakso/?page_id=74</w:t>
        </w:r>
      </w:hyperlink>
      <w:r w:rsidR="000C2655" w:rsidRPr="00FB4EFA">
        <w:t>)</w:t>
      </w:r>
    </w:p>
    <w:p w14:paraId="559E27E2" w14:textId="40198627" w:rsidR="00095CEB" w:rsidRPr="00FB4EFA" w:rsidRDefault="00095CEB" w:rsidP="00402EF4">
      <w:pPr>
        <w:numPr>
          <w:ilvl w:val="0"/>
          <w:numId w:val="8"/>
        </w:numPr>
        <w:ind w:left="284" w:hanging="284"/>
        <w:rPr>
          <w:lang w:val="en-IE"/>
        </w:rPr>
      </w:pPr>
      <w:r w:rsidRPr="00FB4EFA">
        <w:rPr>
          <w:lang w:val="en-IE"/>
        </w:rPr>
        <w:t xml:space="preserve">“Linguistic Shadow-boxing”, for when </w:t>
      </w:r>
      <w:r w:rsidR="00AC3430" w:rsidRPr="00FB4EFA">
        <w:rPr>
          <w:lang w:val="en-IE"/>
        </w:rPr>
        <w:t>you are told that there is actually an ongoing scientific debate as regards the genealogy of Hungarian</w:t>
      </w:r>
      <w:r w:rsidRPr="00FB4EFA">
        <w:rPr>
          <w:lang w:val="en-IE"/>
        </w:rPr>
        <w:t xml:space="preserve"> (</w:t>
      </w:r>
      <w:hyperlink r:id="rId193" w:history="1">
        <w:r w:rsidR="00130D86" w:rsidRPr="00FB4EFA">
          <w:rPr>
            <w:rStyle w:val="Hyperlink"/>
            <w:color w:val="auto"/>
          </w:rPr>
          <w:t>homepage.univie.ac.at/johanna.laakso/?page_id=94</w:t>
        </w:r>
      </w:hyperlink>
      <w:r w:rsidRPr="00FB4EFA">
        <w:rPr>
          <w:lang w:val="en-IE"/>
        </w:rPr>
        <w:t>)</w:t>
      </w:r>
    </w:p>
    <w:p w14:paraId="6CD4D19D" w14:textId="5EA62E1A" w:rsidR="00870D37" w:rsidRPr="00FB4EFA" w:rsidRDefault="00870D37" w:rsidP="00402EF4">
      <w:pPr>
        <w:numPr>
          <w:ilvl w:val="0"/>
          <w:numId w:val="8"/>
        </w:numPr>
        <w:ind w:left="284" w:hanging="284"/>
        <w:rPr>
          <w:lang w:val="en-IE"/>
        </w:rPr>
      </w:pPr>
      <w:r w:rsidRPr="00FB4EFA">
        <w:rPr>
          <w:lang w:val="en-IE"/>
        </w:rPr>
        <w:t>“The Finnish Inclusive Pronoun Hoax”</w:t>
      </w:r>
      <w:r w:rsidR="00095CEB" w:rsidRPr="00FB4EFA">
        <w:rPr>
          <w:lang w:val="en-IE"/>
        </w:rPr>
        <w:t>, for when somebody tells you that the allegedly esoteric absence of a gender-marked third person singular in Finnish is an egalitarian accomplishment ready for export</w:t>
      </w:r>
      <w:r w:rsidRPr="00FB4EFA">
        <w:rPr>
          <w:lang w:val="en-IE"/>
        </w:rPr>
        <w:t xml:space="preserve"> (</w:t>
      </w:r>
      <w:hyperlink r:id="rId194" w:history="1">
        <w:r w:rsidRPr="00FB4EFA">
          <w:rPr>
            <w:u w:val="single"/>
            <w:lang w:val="en-IE"/>
          </w:rPr>
          <w:t>kielioblog.wordpress.com/the-finnish-inclusive-pronoun-hoax</w:t>
        </w:r>
      </w:hyperlink>
      <w:r w:rsidRPr="00FB4EFA">
        <w:rPr>
          <w:lang w:val="en-IE"/>
        </w:rPr>
        <w:t>)</w:t>
      </w:r>
    </w:p>
    <w:p w14:paraId="3D480891" w14:textId="20F836A1" w:rsidR="00A5616C" w:rsidRPr="00FB4EFA" w:rsidRDefault="00A5616C" w:rsidP="00402EF4">
      <w:pPr>
        <w:rPr>
          <w:lang w:val="en-IE"/>
        </w:rPr>
      </w:pPr>
      <w:r w:rsidRPr="00FB4EFA">
        <w:rPr>
          <w:lang w:val="en-IE"/>
        </w:rPr>
        <w:t>It is up to us a</w:t>
      </w:r>
      <w:r w:rsidR="00AC3430" w:rsidRPr="00FB4EFA">
        <w:rPr>
          <w:lang w:val="en-IE"/>
        </w:rPr>
        <w:t>s her friends, admirers, and readers to make other gems of her Finnish-language science popularization efforts accessible to a wider audience.</w:t>
      </w:r>
    </w:p>
    <w:p w14:paraId="450650E3" w14:textId="40AE4610" w:rsidR="004167D8" w:rsidRPr="00FB4EFA" w:rsidRDefault="004167D8" w:rsidP="00545033">
      <w:pPr>
        <w:pStyle w:val="Heading2"/>
        <w:suppressAutoHyphens/>
        <w:spacing w:line="259" w:lineRule="auto"/>
        <w:rPr>
          <w:color w:val="auto"/>
          <w:lang w:val="en-IE"/>
        </w:rPr>
      </w:pPr>
      <w:r w:rsidRPr="00FB4EFA">
        <w:rPr>
          <w:color w:val="auto"/>
          <w:lang w:val="en-IE"/>
        </w:rPr>
        <w:t>Dictionar</w:t>
      </w:r>
      <w:r w:rsidR="00AC3430" w:rsidRPr="00FB4EFA">
        <w:rPr>
          <w:color w:val="auto"/>
          <w:lang w:val="en-IE"/>
        </w:rPr>
        <w:t>ies</w:t>
      </w:r>
    </w:p>
    <w:p w14:paraId="12A60094" w14:textId="0F9B75F7" w:rsidR="004167D8" w:rsidRPr="00FB4EFA" w:rsidRDefault="00AC3430" w:rsidP="00402EF4">
      <w:pPr>
        <w:spacing w:after="240"/>
        <w:rPr>
          <w:lang w:val="en-IE" w:eastAsia="en-GB"/>
        </w:rPr>
      </w:pPr>
      <w:r w:rsidRPr="00FB4EFA">
        <w:rPr>
          <w:lang w:val="en-IE" w:eastAsia="en-GB"/>
        </w:rPr>
        <w:t xml:space="preserve">Two of the jubilarian’s earliest publications (at least among those that the Internet remembers, survivorship bias </w:t>
      </w:r>
      <w:r w:rsidR="003B7034" w:rsidRPr="00FB4EFA">
        <w:rPr>
          <w:lang w:val="en-IE" w:eastAsia="en-GB"/>
        </w:rPr>
        <w:t>could</w:t>
      </w:r>
      <w:r w:rsidRPr="00FB4EFA">
        <w:rPr>
          <w:lang w:val="en-IE" w:eastAsia="en-GB"/>
        </w:rPr>
        <w:t xml:space="preserve"> be in effect here) might surpris</w:t>
      </w:r>
      <w:r w:rsidR="003B7034" w:rsidRPr="00FB4EFA">
        <w:rPr>
          <w:lang w:val="en-IE" w:eastAsia="en-GB"/>
        </w:rPr>
        <w:t>e</w:t>
      </w:r>
      <w:r w:rsidRPr="00FB4EFA">
        <w:rPr>
          <w:lang w:val="en-IE" w:eastAsia="en-GB"/>
        </w:rPr>
        <w:t xml:space="preserve"> scholars only familiar with her later work:</w:t>
      </w:r>
    </w:p>
    <w:p w14:paraId="1707DCD1" w14:textId="7F3E4ECB" w:rsidR="00CF7E1C" w:rsidRPr="00FB4EFA" w:rsidRDefault="00CF7E1C" w:rsidP="00AF0CAD">
      <w:pPr>
        <w:numPr>
          <w:ilvl w:val="0"/>
          <w:numId w:val="9"/>
        </w:numPr>
        <w:spacing w:line="240" w:lineRule="auto"/>
        <w:ind w:left="284" w:hanging="284"/>
        <w:rPr>
          <w:lang w:val="en-IE"/>
        </w:rPr>
      </w:pPr>
      <w:r w:rsidRPr="00FB4EFA">
        <w:rPr>
          <w:lang w:val="en-IE"/>
        </w:rPr>
        <w:t>Elomaa, Jarmo &amp; Johanna Laakso (eds</w:t>
      </w:r>
      <w:r w:rsidR="00A42483" w:rsidRPr="00FB4EFA">
        <w:rPr>
          <w:lang w:val="en-IE"/>
        </w:rPr>
        <w:t>.</w:t>
      </w:r>
      <w:r w:rsidRPr="00FB4EFA">
        <w:rPr>
          <w:lang w:val="en-IE"/>
        </w:rPr>
        <w:t>)</w:t>
      </w:r>
      <w:r w:rsidR="00265448" w:rsidRPr="00FB4EFA">
        <w:rPr>
          <w:lang w:val="en-IE"/>
        </w:rPr>
        <w:t>,</w:t>
      </w:r>
      <w:r w:rsidRPr="00FB4EFA">
        <w:rPr>
          <w:lang w:val="en-IE"/>
        </w:rPr>
        <w:t xml:space="preserve"> 1986. </w:t>
      </w:r>
      <w:r w:rsidRPr="00FB4EFA">
        <w:rPr>
          <w:i/>
          <w:iCs/>
          <w:lang w:val="en-IE"/>
        </w:rPr>
        <w:t>Lyydiläismurteiden käänteissanasto</w:t>
      </w:r>
      <w:r w:rsidRPr="00FB4EFA">
        <w:rPr>
          <w:lang w:val="en-IE"/>
        </w:rPr>
        <w:t>. [</w:t>
      </w:r>
      <w:r w:rsidR="00114F6C" w:rsidRPr="00FB4EFA">
        <w:rPr>
          <w:i/>
          <w:iCs/>
          <w:lang w:val="en-IE"/>
        </w:rPr>
        <w:t>R</w:t>
      </w:r>
      <w:r w:rsidR="00C26774" w:rsidRPr="00FB4EFA">
        <w:rPr>
          <w:i/>
          <w:iCs/>
          <w:lang w:val="en-IE"/>
        </w:rPr>
        <w:t>everse dictionary of Ludic varieties</w:t>
      </w:r>
      <w:r w:rsidR="00114F6C" w:rsidRPr="00FB4EFA">
        <w:rPr>
          <w:lang w:val="en-IE"/>
        </w:rPr>
        <w:t>.</w:t>
      </w:r>
      <w:r w:rsidRPr="00FB4EFA">
        <w:rPr>
          <w:lang w:val="en-IE"/>
        </w:rPr>
        <w:t>]</w:t>
      </w:r>
      <w:r w:rsidR="00C26774" w:rsidRPr="00FB4EFA">
        <w:rPr>
          <w:lang w:val="en-IE"/>
        </w:rPr>
        <w:t xml:space="preserve"> Lexica Societatis Fenno-Ugricae 2:</w:t>
      </w:r>
      <w:r w:rsidR="00DC75BE" w:rsidRPr="00FB4EFA">
        <w:rPr>
          <w:lang w:val="en-IE"/>
        </w:rPr>
        <w:t xml:space="preserve"> </w:t>
      </w:r>
      <w:r w:rsidR="00C26774" w:rsidRPr="00FB4EFA">
        <w:rPr>
          <w:lang w:val="en-IE"/>
        </w:rPr>
        <w:t>9. Helsinki: Suomalais-Ugrilainen Seura. 150 pages.</w:t>
      </w:r>
    </w:p>
    <w:p w14:paraId="19DAC891" w14:textId="1461B849" w:rsidR="00114F6C" w:rsidRPr="00FB4EFA" w:rsidRDefault="00C26774" w:rsidP="00AF0CAD">
      <w:pPr>
        <w:numPr>
          <w:ilvl w:val="0"/>
          <w:numId w:val="9"/>
        </w:numPr>
        <w:spacing w:line="240" w:lineRule="auto"/>
        <w:ind w:left="284" w:hanging="284"/>
        <w:rPr>
          <w:lang w:val="en-IE"/>
        </w:rPr>
      </w:pPr>
      <w:r w:rsidRPr="00FB4EFA">
        <w:rPr>
          <w:lang w:val="en-IE"/>
        </w:rPr>
        <w:t>Laakso, Johanna</w:t>
      </w:r>
      <w:r w:rsidR="00114F6C" w:rsidRPr="00FB4EFA">
        <w:rPr>
          <w:lang w:val="en-IE"/>
        </w:rPr>
        <w:t xml:space="preserve"> (ed.)</w:t>
      </w:r>
      <w:r w:rsidR="00265448" w:rsidRPr="00FB4EFA">
        <w:rPr>
          <w:lang w:val="en-IE"/>
        </w:rPr>
        <w:t>,</w:t>
      </w:r>
      <w:r w:rsidR="00114F6C" w:rsidRPr="00FB4EFA">
        <w:rPr>
          <w:lang w:val="en-IE"/>
        </w:rPr>
        <w:t xml:space="preserve"> </w:t>
      </w:r>
      <w:r w:rsidR="004D0C6C" w:rsidRPr="00FB4EFA">
        <w:rPr>
          <w:lang w:val="en-IE"/>
        </w:rPr>
        <w:t xml:space="preserve">1988. </w:t>
      </w:r>
      <w:r w:rsidR="00114F6C" w:rsidRPr="00FB4EFA">
        <w:rPr>
          <w:lang w:val="en-IE"/>
        </w:rPr>
        <w:t>Rückläufiges Wörterbuch des Livischen: Anhand des Livischen Wörterbuches von Lauri Kettunen. [</w:t>
      </w:r>
      <w:r w:rsidR="00114F6C" w:rsidRPr="00FB4EFA">
        <w:rPr>
          <w:i/>
          <w:iCs/>
          <w:lang w:val="en-IE"/>
        </w:rPr>
        <w:t>Reverse dictionary of Livonian: On the basis of Lauri Kettunen’s Livonian Dictionary</w:t>
      </w:r>
      <w:r w:rsidR="00114F6C" w:rsidRPr="00FB4EFA">
        <w:rPr>
          <w:lang w:val="en-IE"/>
        </w:rPr>
        <w:t>.] Lexica Societatis Fenno-Ugricae 2:</w:t>
      </w:r>
      <w:r w:rsidR="00DC75BE" w:rsidRPr="00FB4EFA">
        <w:rPr>
          <w:lang w:val="en-IE"/>
        </w:rPr>
        <w:t xml:space="preserve"> </w:t>
      </w:r>
      <w:r w:rsidR="00114F6C" w:rsidRPr="00FB4EFA">
        <w:rPr>
          <w:lang w:val="en-IE"/>
        </w:rPr>
        <w:t>5. Helsinki: Suomalais-Ugrilainen Seura. 180 pages.</w:t>
      </w:r>
    </w:p>
    <w:p w14:paraId="396FF826" w14:textId="384DA2D9" w:rsidR="008F73FD" w:rsidRPr="00FB4EFA" w:rsidRDefault="00114F6C" w:rsidP="00AF0CAD">
      <w:pPr>
        <w:spacing w:before="240"/>
        <w:rPr>
          <w:lang w:val="en-IE"/>
        </w:rPr>
      </w:pPr>
      <w:r w:rsidRPr="00FB4EFA">
        <w:rPr>
          <w:lang w:val="en-IE"/>
        </w:rPr>
        <w:t xml:space="preserve">The authors of this chapter postulate that a distinction can be made between </w:t>
      </w:r>
      <w:r w:rsidRPr="00FB4EFA">
        <w:rPr>
          <w:i/>
          <w:iCs/>
          <w:lang w:val="en-IE"/>
        </w:rPr>
        <w:t>white-collar linguistics</w:t>
      </w:r>
      <w:r w:rsidRPr="00FB4EFA">
        <w:rPr>
          <w:lang w:val="en-IE"/>
        </w:rPr>
        <w:t xml:space="preserve"> and </w:t>
      </w:r>
      <w:r w:rsidRPr="00FB4EFA">
        <w:rPr>
          <w:i/>
          <w:iCs/>
          <w:lang w:val="en-IE"/>
        </w:rPr>
        <w:t>blue-collar linguistics</w:t>
      </w:r>
      <w:r w:rsidRPr="00FB4EFA">
        <w:rPr>
          <w:lang w:val="en-IE"/>
        </w:rPr>
        <w:t xml:space="preserve">: while white-collar linguistics </w:t>
      </w:r>
      <w:r w:rsidR="0051657A" w:rsidRPr="00FB4EFA">
        <w:rPr>
          <w:lang w:val="en-IE"/>
        </w:rPr>
        <w:t xml:space="preserve">concern themselves with broadening our understanding of human language and by </w:t>
      </w:r>
      <w:r w:rsidR="00502FC0" w:rsidRPr="00FB4EFA">
        <w:rPr>
          <w:lang w:val="en-IE"/>
        </w:rPr>
        <w:t>extension</w:t>
      </w:r>
      <w:r w:rsidR="0051657A" w:rsidRPr="00FB4EFA">
        <w:rPr>
          <w:lang w:val="en-IE"/>
        </w:rPr>
        <w:t xml:space="preserve">, the human condition, blue-collar linguistics is </w:t>
      </w:r>
      <w:r w:rsidR="00502FC0" w:rsidRPr="00FB4EFA">
        <w:rPr>
          <w:lang w:val="en-IE"/>
        </w:rPr>
        <w:t xml:space="preserve">the time-consuming and strenuous </w:t>
      </w:r>
      <w:r w:rsidR="0051657A" w:rsidRPr="00FB4EFA">
        <w:rPr>
          <w:lang w:val="en-IE"/>
        </w:rPr>
        <w:t xml:space="preserve">shovelling and </w:t>
      </w:r>
      <w:r w:rsidR="00502FC0" w:rsidRPr="00FB4EFA">
        <w:rPr>
          <w:lang w:val="en-IE"/>
        </w:rPr>
        <w:t xml:space="preserve">stacking </w:t>
      </w:r>
      <w:r w:rsidR="004D0C6C" w:rsidRPr="00FB4EFA">
        <w:rPr>
          <w:lang w:val="en-IE"/>
        </w:rPr>
        <w:t xml:space="preserve">of </w:t>
      </w:r>
      <w:r w:rsidR="00502FC0" w:rsidRPr="00FB4EFA">
        <w:rPr>
          <w:lang w:val="en-IE"/>
        </w:rPr>
        <w:t xml:space="preserve">data with the aim of making (a) language more graspable to scholarly and speaker communities. Academic funding is heavily biased towards </w:t>
      </w:r>
      <w:r w:rsidR="00502FC0" w:rsidRPr="00FB4EFA">
        <w:rPr>
          <w:lang w:val="en-IE"/>
        </w:rPr>
        <w:lastRenderedPageBreak/>
        <w:t xml:space="preserve">white-collar linguistics, but the one cannot exist without the other: blue-collar linguistics create infrastructures that give us the possibility to gain insight into human language not just built on a small set of languages to which we have direct access. Should early-career scholars tasked with strenuous and repetitive blue-collar-linguistic </w:t>
      </w:r>
      <w:r w:rsidR="00A067C2" w:rsidRPr="00FB4EFA">
        <w:rPr>
          <w:lang w:val="en-IE"/>
        </w:rPr>
        <w:t>assignments</w:t>
      </w:r>
      <w:r w:rsidR="00502FC0" w:rsidRPr="00FB4EFA">
        <w:rPr>
          <w:lang w:val="en-IE"/>
        </w:rPr>
        <w:t xml:space="preserve"> find themselves frustrated and concerned with their future academic prospects</w:t>
      </w:r>
      <w:r w:rsidR="00A067C2" w:rsidRPr="00FB4EFA">
        <w:rPr>
          <w:lang w:val="en-IE"/>
        </w:rPr>
        <w:t>,</w:t>
      </w:r>
      <w:r w:rsidR="00502FC0" w:rsidRPr="00FB4EFA">
        <w:rPr>
          <w:lang w:val="en-IE"/>
        </w:rPr>
        <w:t xml:space="preserve"> when oftentimes it seems that such tasks “do not really count”, it can serve as an inspiration to them that even Johanna Laakso started her career poring over word lists and arranging them into reverse-sorted lists – and she did this with the technological means of the 1980s, rather than the technological means of today. She </w:t>
      </w:r>
      <w:r w:rsidR="00A067C2" w:rsidRPr="00FB4EFA">
        <w:rPr>
          <w:lang w:val="en-IE"/>
        </w:rPr>
        <w:t>has been</w:t>
      </w:r>
      <w:r w:rsidR="00502FC0" w:rsidRPr="00FB4EFA">
        <w:rPr>
          <w:lang w:val="en-IE"/>
        </w:rPr>
        <w:t xml:space="preserve"> a working-class heroine all along.</w:t>
      </w:r>
    </w:p>
    <w:p w14:paraId="57C530A8" w14:textId="4B08FF8F" w:rsidR="004949B6" w:rsidRPr="00FB4EFA" w:rsidRDefault="004949B6" w:rsidP="00402EF4">
      <w:pPr>
        <w:spacing w:before="240"/>
        <w:jc w:val="center"/>
        <w:rPr>
          <w:lang w:val="en-IE"/>
        </w:rPr>
      </w:pPr>
      <w:r w:rsidRPr="00FB4EFA">
        <w:rPr>
          <w:noProof/>
          <w:lang w:val="en-IE"/>
        </w:rPr>
        <w:drawing>
          <wp:inline distT="0" distB="0" distL="0" distR="0" wp14:anchorId="104B1B4F" wp14:editId="439221C4">
            <wp:extent cx="1854200" cy="2401504"/>
            <wp:effectExtent l="0" t="0" r="0" b="0"/>
            <wp:docPr id="26"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pic:cNvPicPr>
                      <a:picLocks noChangeAspect="1" noChangeArrowheads="1"/>
                    </pic:cNvPicPr>
                  </pic:nvPicPr>
                  <pic:blipFill>
                    <a:blip r:embed="rId195" cstate="print">
                      <a:extLst>
                        <a:ext uri="{BEBA8EAE-BF5A-486C-A8C5-ECC9F3942E4B}">
                          <a14:imgProps xmlns:a14="http://schemas.microsoft.com/office/drawing/2010/main">
                            <a14:imgLayer r:embed="rId19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855489" cy="2403173"/>
                    </a:xfrm>
                    <a:prstGeom prst="rect">
                      <a:avLst/>
                    </a:prstGeom>
                    <a:noFill/>
                    <a:ln>
                      <a:noFill/>
                    </a:ln>
                  </pic:spPr>
                </pic:pic>
              </a:graphicData>
            </a:graphic>
          </wp:inline>
        </w:drawing>
      </w:r>
    </w:p>
    <w:p w14:paraId="42BC27F0" w14:textId="4A693ACC" w:rsidR="004949B6" w:rsidRPr="00FB4EFA" w:rsidRDefault="004949B6" w:rsidP="00AF0CAD">
      <w:pPr>
        <w:spacing w:before="240"/>
        <w:jc w:val="center"/>
        <w:rPr>
          <w:lang w:val="en-IE"/>
        </w:rPr>
      </w:pPr>
      <w:r w:rsidRPr="00FB4EFA">
        <w:rPr>
          <w:rFonts w:cs="Charis SIL"/>
          <w:b/>
          <w:bCs/>
          <w:sz w:val="18"/>
          <w:szCs w:val="18"/>
          <w:lang w:val="en-IE"/>
        </w:rPr>
        <w:t xml:space="preserve">Figure </w:t>
      </w:r>
      <w:r w:rsidR="004D0C6C" w:rsidRPr="00FB4EFA">
        <w:rPr>
          <w:rFonts w:cs="Charis SIL"/>
          <w:b/>
          <w:bCs/>
          <w:sz w:val="18"/>
          <w:szCs w:val="18"/>
          <w:lang w:val="en-IE"/>
        </w:rPr>
        <w:t>5</w:t>
      </w:r>
      <w:r w:rsidRPr="00FB4EFA">
        <w:rPr>
          <w:rFonts w:cs="Charis SIL"/>
          <w:sz w:val="18"/>
          <w:szCs w:val="18"/>
          <w:lang w:val="en-IE"/>
        </w:rPr>
        <w:t>. Rosie the riveter, or Johanna the editor?</w:t>
      </w:r>
    </w:p>
    <w:p w14:paraId="0A08CB6D" w14:textId="77777777" w:rsidR="004949B6" w:rsidRPr="00FB4EFA" w:rsidRDefault="004949B6" w:rsidP="00402EF4">
      <w:pPr>
        <w:spacing w:before="240"/>
        <w:rPr>
          <w:lang w:val="en-IE"/>
        </w:rPr>
      </w:pPr>
    </w:p>
    <w:p w14:paraId="34149DC9" w14:textId="77777777" w:rsidR="00A96E85" w:rsidRPr="00FB4EFA" w:rsidRDefault="00A96E85" w:rsidP="00402EF4">
      <w:pPr>
        <w:spacing w:after="160"/>
        <w:jc w:val="center"/>
        <w:rPr>
          <w:smallCaps/>
          <w:sz w:val="48"/>
          <w:szCs w:val="48"/>
          <w:lang w:val="en-IE"/>
        </w:rPr>
        <w:sectPr w:rsidR="00A96E85" w:rsidRPr="00FB4EFA">
          <w:headerReference w:type="even" r:id="rId197"/>
          <w:headerReference w:type="default" r:id="rId198"/>
          <w:headerReference w:type="first" r:id="rId199"/>
          <w:footnotePr>
            <w:numRestart w:val="eachSect"/>
          </w:footnotePr>
          <w:pgSz w:w="9180" w:h="13302"/>
          <w:pgMar w:top="779" w:right="1133" w:bottom="1132" w:left="1133" w:header="744" w:footer="720" w:gutter="0"/>
          <w:cols w:space="720"/>
          <w:titlePg/>
        </w:sectPr>
      </w:pPr>
      <w:bookmarkStart w:id="14" w:name="_Toc87546997"/>
      <w:bookmarkEnd w:id="8"/>
    </w:p>
    <w:p w14:paraId="15F5E564" w14:textId="0F034A00" w:rsidR="00A96E85" w:rsidRPr="00FB4EFA" w:rsidRDefault="00A96E85" w:rsidP="00994E2A">
      <w:pPr>
        <w:pStyle w:val="Heading1"/>
        <w:suppressAutoHyphens/>
        <w:spacing w:line="259" w:lineRule="auto"/>
        <w:ind w:right="74"/>
        <w:rPr>
          <w:color w:val="auto"/>
          <w:lang w:val="de-AT"/>
        </w:rPr>
      </w:pPr>
      <w:bookmarkStart w:id="15" w:name="_Ref90999255"/>
      <w:r w:rsidRPr="00FB4EFA">
        <w:rPr>
          <w:color w:val="auto"/>
          <w:lang w:val="de-AT"/>
        </w:rPr>
        <w:lastRenderedPageBreak/>
        <w:t>Tabula gratulatoria</w:t>
      </w:r>
      <w:bookmarkEnd w:id="14"/>
      <w:bookmarkEnd w:id="15"/>
    </w:p>
    <w:p w14:paraId="3A6CAB44" w14:textId="1095B504" w:rsidR="00FD2C40" w:rsidRPr="00FB4EFA" w:rsidRDefault="00FD2C40" w:rsidP="00402EF4">
      <w:pPr>
        <w:jc w:val="center"/>
        <w:rPr>
          <w:rFonts w:cs="Charis SIL"/>
          <w:smallCaps/>
          <w:sz w:val="20"/>
          <w:szCs w:val="20"/>
        </w:rPr>
      </w:pPr>
      <w:r w:rsidRPr="00FB4EFA">
        <w:rPr>
          <w:rFonts w:cs="Charis SIL"/>
          <w:smallCaps/>
          <w:sz w:val="20"/>
          <w:szCs w:val="20"/>
        </w:rPr>
        <w:t xml:space="preserve">Abteilung </w:t>
      </w:r>
      <w:r w:rsidR="00E135BE" w:rsidRPr="00FB4EFA">
        <w:rPr>
          <w:rFonts w:cs="Charis SIL"/>
          <w:smallCaps/>
          <w:sz w:val="20"/>
          <w:szCs w:val="20"/>
        </w:rPr>
        <w:t xml:space="preserve">für </w:t>
      </w:r>
      <w:r w:rsidRPr="00FB4EFA">
        <w:rPr>
          <w:rFonts w:cs="Charis SIL"/>
          <w:smallCaps/>
          <w:sz w:val="20"/>
          <w:szCs w:val="20"/>
        </w:rPr>
        <w:t>Finno-Ugristik</w:t>
      </w:r>
      <w:r w:rsidR="000329BF" w:rsidRPr="00FB4EFA">
        <w:rPr>
          <w:rFonts w:cs="Charis SIL"/>
          <w:smallCaps/>
          <w:sz w:val="20"/>
          <w:szCs w:val="20"/>
        </w:rPr>
        <w:t xml:space="preserve"> an der</w:t>
      </w:r>
      <w:r w:rsidRPr="00FB4EFA">
        <w:rPr>
          <w:rFonts w:cs="Charis SIL"/>
          <w:smallCaps/>
          <w:sz w:val="20"/>
          <w:szCs w:val="20"/>
        </w:rPr>
        <w:t xml:space="preserve"> Universität Wien</w:t>
      </w:r>
    </w:p>
    <w:p w14:paraId="6036F7DB" w14:textId="4D867614" w:rsidR="00CF7A83" w:rsidRPr="00FB4EFA" w:rsidRDefault="00CF7A83" w:rsidP="00402EF4">
      <w:pPr>
        <w:jc w:val="center"/>
        <w:rPr>
          <w:rFonts w:cs="Charis SIL"/>
          <w:smallCaps/>
          <w:sz w:val="20"/>
          <w:szCs w:val="20"/>
        </w:rPr>
      </w:pPr>
      <w:r w:rsidRPr="00FB4EFA">
        <w:rPr>
          <w:rFonts w:cs="Charis SIL"/>
          <w:smallCaps/>
          <w:sz w:val="20"/>
          <w:szCs w:val="20"/>
        </w:rPr>
        <w:t>Eesti Rakenduslingvistika Ühing</w:t>
      </w:r>
    </w:p>
    <w:p w14:paraId="37CF6A72" w14:textId="469CDD6E" w:rsidR="00CF7A83" w:rsidRPr="00FB4EFA" w:rsidRDefault="00CF7A83" w:rsidP="00402EF4">
      <w:pPr>
        <w:jc w:val="center"/>
        <w:rPr>
          <w:rFonts w:cs="Charis SIL"/>
          <w:smallCaps/>
          <w:sz w:val="20"/>
          <w:szCs w:val="20"/>
        </w:rPr>
      </w:pPr>
      <w:r w:rsidRPr="00FB4EFA">
        <w:rPr>
          <w:rFonts w:cs="Charis SIL"/>
          <w:smallCaps/>
          <w:sz w:val="20"/>
          <w:szCs w:val="20"/>
        </w:rPr>
        <w:t>Emakeele Selts</w:t>
      </w:r>
    </w:p>
    <w:p w14:paraId="0AE79669" w14:textId="36F200F0" w:rsidR="00032DC9" w:rsidRPr="00FB4EFA" w:rsidRDefault="00032DC9" w:rsidP="00402EF4">
      <w:pPr>
        <w:jc w:val="center"/>
        <w:rPr>
          <w:rFonts w:cs="Charis SIL"/>
          <w:smallCaps/>
          <w:sz w:val="20"/>
          <w:szCs w:val="20"/>
        </w:rPr>
      </w:pPr>
      <w:r w:rsidRPr="00FB4EFA">
        <w:rPr>
          <w:rFonts w:cs="Charis SIL"/>
          <w:smallCaps/>
          <w:sz w:val="20"/>
          <w:szCs w:val="20"/>
        </w:rPr>
        <w:t>Eötvös Loránd Tudományegyetem, Finnugor Tanszék</w:t>
      </w:r>
    </w:p>
    <w:p w14:paraId="0AF95EC9" w14:textId="5AEC4124" w:rsidR="000808C8" w:rsidRPr="00FB4EFA" w:rsidRDefault="000808C8" w:rsidP="00402EF4">
      <w:pPr>
        <w:jc w:val="center"/>
        <w:rPr>
          <w:rFonts w:cs="Charis SIL"/>
          <w:smallCaps/>
          <w:sz w:val="20"/>
          <w:szCs w:val="20"/>
        </w:rPr>
      </w:pPr>
      <w:r w:rsidRPr="00FB4EFA">
        <w:rPr>
          <w:rFonts w:cs="Charis SIL"/>
          <w:smallCaps/>
          <w:sz w:val="20"/>
          <w:szCs w:val="20"/>
        </w:rPr>
        <w:t>Institutionen för moderna språk, Uppsala universitet</w:t>
      </w:r>
    </w:p>
    <w:p w14:paraId="7913DC69" w14:textId="5245368E" w:rsidR="007273A6" w:rsidRPr="00FB4EFA" w:rsidRDefault="007273A6" w:rsidP="00402EF4">
      <w:pPr>
        <w:jc w:val="center"/>
        <w:rPr>
          <w:rFonts w:cs="Charis SIL"/>
          <w:smallCaps/>
          <w:sz w:val="20"/>
          <w:szCs w:val="20"/>
        </w:rPr>
      </w:pPr>
      <w:r w:rsidRPr="00FB4EFA">
        <w:rPr>
          <w:rFonts w:cs="Charis SIL"/>
          <w:smallCaps/>
          <w:sz w:val="20"/>
          <w:szCs w:val="20"/>
        </w:rPr>
        <w:t>International Association of Hungarian Studies</w:t>
      </w:r>
    </w:p>
    <w:p w14:paraId="2B3361BF" w14:textId="77777777" w:rsidR="00CF7A83" w:rsidRPr="00FB4EFA" w:rsidRDefault="00CF7A83" w:rsidP="00402EF4">
      <w:pPr>
        <w:jc w:val="center"/>
        <w:rPr>
          <w:rFonts w:cs="Charis SIL"/>
          <w:smallCaps/>
          <w:sz w:val="20"/>
          <w:szCs w:val="20"/>
        </w:rPr>
      </w:pPr>
      <w:r w:rsidRPr="00FB4EFA">
        <w:rPr>
          <w:rFonts w:cs="Charis SIL"/>
          <w:smallCaps/>
          <w:sz w:val="20"/>
          <w:szCs w:val="20"/>
        </w:rPr>
        <w:t>Keel ja Kirjandus</w:t>
      </w:r>
    </w:p>
    <w:p w14:paraId="6D39970E" w14:textId="78F85B6A" w:rsidR="00CF7A83" w:rsidRPr="00FB4EFA" w:rsidRDefault="00CF7A83" w:rsidP="00402EF4">
      <w:pPr>
        <w:jc w:val="center"/>
        <w:rPr>
          <w:rFonts w:cs="Charis SIL"/>
          <w:smallCaps/>
          <w:sz w:val="20"/>
          <w:szCs w:val="20"/>
        </w:rPr>
      </w:pPr>
      <w:r w:rsidRPr="00FB4EFA">
        <w:rPr>
          <w:rFonts w:cs="Charis SIL"/>
          <w:smallCaps/>
          <w:sz w:val="20"/>
          <w:szCs w:val="20"/>
        </w:rPr>
        <w:t>Kotikielen Seura ja Virittäjä</w:t>
      </w:r>
    </w:p>
    <w:p w14:paraId="6AD7F05C" w14:textId="67729D3A" w:rsidR="00032DC9" w:rsidRPr="00FB4EFA" w:rsidRDefault="00032DC9" w:rsidP="00402EF4">
      <w:pPr>
        <w:jc w:val="center"/>
        <w:rPr>
          <w:rFonts w:cs="Charis SIL"/>
          <w:smallCaps/>
          <w:sz w:val="20"/>
          <w:szCs w:val="20"/>
        </w:rPr>
      </w:pPr>
      <w:r w:rsidRPr="00FB4EFA">
        <w:rPr>
          <w:rFonts w:cs="Charis SIL"/>
          <w:smallCaps/>
          <w:sz w:val="20"/>
          <w:szCs w:val="20"/>
        </w:rPr>
        <w:t>Kotimaisten kielten keskus</w:t>
      </w:r>
    </w:p>
    <w:p w14:paraId="5564D68A" w14:textId="194B39D6" w:rsidR="00CF7A83" w:rsidRPr="00FB4EFA" w:rsidRDefault="00CF7A83" w:rsidP="00402EF4">
      <w:pPr>
        <w:jc w:val="center"/>
        <w:rPr>
          <w:rFonts w:cs="Charis SIL"/>
          <w:smallCaps/>
          <w:sz w:val="20"/>
          <w:szCs w:val="20"/>
        </w:rPr>
      </w:pPr>
      <w:r w:rsidRPr="00FB4EFA">
        <w:rPr>
          <w:rFonts w:cs="Charis SIL"/>
          <w:smallCaps/>
          <w:sz w:val="20"/>
          <w:szCs w:val="20"/>
        </w:rPr>
        <w:t>Opetushallitus / Suomen kieli ja kulttuuri</w:t>
      </w:r>
    </w:p>
    <w:p w14:paraId="75F686BA" w14:textId="16E05DD2" w:rsidR="007273A6" w:rsidRPr="00FB4EFA" w:rsidRDefault="007273A6" w:rsidP="00402EF4">
      <w:pPr>
        <w:jc w:val="center"/>
        <w:rPr>
          <w:rFonts w:cs="Charis SIL"/>
          <w:smallCaps/>
          <w:sz w:val="20"/>
          <w:szCs w:val="20"/>
        </w:rPr>
      </w:pPr>
      <w:r w:rsidRPr="00FB4EFA">
        <w:rPr>
          <w:rFonts w:cs="Charis SIL"/>
          <w:smallCaps/>
          <w:sz w:val="20"/>
          <w:szCs w:val="20"/>
        </w:rPr>
        <w:t>Österreichisches Institut für Ungarische Studien</w:t>
      </w:r>
    </w:p>
    <w:p w14:paraId="1887600D" w14:textId="034E20B0" w:rsidR="00CF7A83" w:rsidRPr="00FB4EFA" w:rsidRDefault="00CF7A83" w:rsidP="00402EF4">
      <w:pPr>
        <w:jc w:val="center"/>
        <w:rPr>
          <w:rFonts w:cs="Charis SIL"/>
          <w:smallCaps/>
          <w:sz w:val="20"/>
          <w:szCs w:val="20"/>
        </w:rPr>
      </w:pPr>
      <w:r w:rsidRPr="00FB4EFA">
        <w:rPr>
          <w:rFonts w:cs="Charis SIL"/>
          <w:smallCaps/>
          <w:sz w:val="20"/>
          <w:szCs w:val="20"/>
        </w:rPr>
        <w:t>Suomalais-Ugrilainen Seura</w:t>
      </w:r>
    </w:p>
    <w:p w14:paraId="6748C492" w14:textId="1FAC1D64" w:rsidR="009A29B6" w:rsidRPr="00FB4EFA" w:rsidRDefault="009A29B6" w:rsidP="00402EF4">
      <w:pPr>
        <w:jc w:val="center"/>
        <w:rPr>
          <w:rFonts w:cs="Charis SIL"/>
          <w:smallCaps/>
          <w:sz w:val="20"/>
          <w:szCs w:val="20"/>
        </w:rPr>
      </w:pPr>
      <w:r w:rsidRPr="00FB4EFA">
        <w:rPr>
          <w:rFonts w:cs="Charis SIL"/>
          <w:smallCaps/>
          <w:sz w:val="20"/>
          <w:szCs w:val="20"/>
        </w:rPr>
        <w:t>Suomen kieli ja suomalais-ugrilainen kielentutkimus, Turun yliopisto</w:t>
      </w:r>
    </w:p>
    <w:p w14:paraId="13FFFBF4" w14:textId="5EB1BFCC" w:rsidR="00FD2C40" w:rsidRPr="00FB4EFA" w:rsidRDefault="00CF7A83" w:rsidP="001F5B57">
      <w:pPr>
        <w:spacing w:after="240"/>
        <w:jc w:val="center"/>
        <w:rPr>
          <w:rFonts w:cs="Charis SIL"/>
          <w:smallCaps/>
          <w:sz w:val="20"/>
          <w:szCs w:val="20"/>
        </w:rPr>
      </w:pPr>
      <w:r w:rsidRPr="00FB4EFA">
        <w:rPr>
          <w:rFonts w:cs="Charis SIL"/>
          <w:smallCaps/>
          <w:sz w:val="20"/>
          <w:szCs w:val="20"/>
        </w:rPr>
        <w:t>Tartu Ülikooli eesti ja üldkeeleteaduse instituut</w:t>
      </w:r>
    </w:p>
    <w:p w14:paraId="5A0F0E32" w14:textId="77777777" w:rsidR="00CF7A83" w:rsidRPr="00FB4EFA" w:rsidRDefault="00CF7A83" w:rsidP="00402EF4">
      <w:pPr>
        <w:tabs>
          <w:tab w:val="left" w:pos="1467"/>
          <w:tab w:val="left" w:pos="2866"/>
        </w:tabs>
        <w:ind w:left="108"/>
        <w:rPr>
          <w:rFonts w:eastAsia="Times New Roman" w:cs="Charis SIL"/>
          <w:lang w:val="en-GB" w:eastAsia="en-GB"/>
        </w:rPr>
        <w:sectPr w:rsidR="00CF7A83" w:rsidRPr="00FB4EFA">
          <w:headerReference w:type="even" r:id="rId200"/>
          <w:headerReference w:type="default" r:id="rId201"/>
          <w:headerReference w:type="first" r:id="rId202"/>
          <w:footnotePr>
            <w:numRestart w:val="eachSect"/>
          </w:footnotePr>
          <w:pgSz w:w="9180" w:h="13302"/>
          <w:pgMar w:top="779" w:right="1133" w:bottom="1132" w:left="1133" w:header="744" w:footer="720" w:gutter="0"/>
          <w:cols w:space="720"/>
          <w:titlePg/>
        </w:sectPr>
      </w:pPr>
    </w:p>
    <w:p w14:paraId="6A30EBF5" w14:textId="33094656" w:rsidR="008443EE" w:rsidRPr="00C6355D" w:rsidRDefault="008443EE" w:rsidP="00402EF4">
      <w:pPr>
        <w:tabs>
          <w:tab w:val="left" w:pos="1467"/>
          <w:tab w:val="left" w:pos="2866"/>
        </w:tabs>
        <w:jc w:val="center"/>
        <w:rPr>
          <w:rFonts w:eastAsia="Times New Roman" w:cs="Charis SIL"/>
          <w:sz w:val="18"/>
          <w:szCs w:val="18"/>
          <w:lang w:val="en-GB" w:eastAsia="en-GB"/>
        </w:rPr>
      </w:pPr>
      <w:bookmarkStart w:id="16" w:name="_Hlk117984504"/>
      <w:r w:rsidRPr="00C6355D">
        <w:rPr>
          <w:rFonts w:eastAsia="Times New Roman" w:cs="Charis SIL"/>
          <w:sz w:val="18"/>
          <w:szCs w:val="18"/>
          <w:lang w:val="en-GB" w:eastAsia="en-GB"/>
        </w:rPr>
        <w:t xml:space="preserve">Luobbal Sámmol Sámmol Ánte (Ante </w:t>
      </w:r>
      <w:r w:rsidRPr="00C6355D">
        <w:rPr>
          <w:rFonts w:eastAsia="Times New Roman" w:cs="Charis SIL"/>
          <w:smallCaps/>
          <w:sz w:val="18"/>
          <w:szCs w:val="18"/>
          <w:lang w:val="en-GB" w:eastAsia="en-GB"/>
        </w:rPr>
        <w:t>Aikio</w:t>
      </w:r>
      <w:r w:rsidRPr="00C6355D">
        <w:rPr>
          <w:rFonts w:eastAsia="Times New Roman" w:cs="Charis SIL"/>
          <w:sz w:val="18"/>
          <w:szCs w:val="18"/>
          <w:lang w:val="en-GB" w:eastAsia="en-GB"/>
        </w:rPr>
        <w:t>)</w:t>
      </w:r>
    </w:p>
    <w:p w14:paraId="466217DD" w14:textId="7A6AB1B8" w:rsidR="00CF7A83" w:rsidRPr="00C6355D" w:rsidRDefault="00CF7A83" w:rsidP="00402EF4">
      <w:pPr>
        <w:tabs>
          <w:tab w:val="left" w:pos="1467"/>
          <w:tab w:val="left" w:pos="2866"/>
        </w:tabs>
        <w:jc w:val="center"/>
        <w:rPr>
          <w:rFonts w:eastAsia="Times New Roman" w:cs="Charis SIL"/>
          <w:smallCaps/>
          <w:sz w:val="18"/>
          <w:szCs w:val="18"/>
          <w:lang w:val="en-GB" w:eastAsia="en-GB"/>
        </w:rPr>
      </w:pPr>
      <w:r w:rsidRPr="00C6355D">
        <w:rPr>
          <w:rFonts w:eastAsia="Times New Roman" w:cs="Charis SIL"/>
          <w:sz w:val="18"/>
          <w:szCs w:val="18"/>
          <w:lang w:val="en-GB" w:eastAsia="en-GB"/>
        </w:rPr>
        <w:t xml:space="preserve">Rigina </w:t>
      </w:r>
      <w:r w:rsidRPr="00C6355D">
        <w:rPr>
          <w:rFonts w:eastAsia="Times New Roman" w:cs="Charis SIL"/>
          <w:smallCaps/>
          <w:sz w:val="18"/>
          <w:szCs w:val="18"/>
          <w:lang w:val="en-GB" w:eastAsia="en-GB"/>
        </w:rPr>
        <w:t>Ajanki</w:t>
      </w:r>
    </w:p>
    <w:p w14:paraId="3C3A585F"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Bába </w:t>
      </w:r>
      <w:r w:rsidRPr="00FB4EFA">
        <w:rPr>
          <w:rFonts w:eastAsia="Times New Roman" w:cs="Charis SIL"/>
          <w:sz w:val="18"/>
          <w:szCs w:val="18"/>
          <w:lang w:val="en-GB" w:eastAsia="en-GB"/>
        </w:rPr>
        <w:t>Laura</w:t>
      </w:r>
    </w:p>
    <w:p w14:paraId="56F03B34" w14:textId="2550DA1F" w:rsidR="000329BF" w:rsidRPr="00FB4EFA" w:rsidRDefault="000329BF"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Bakró</w:t>
      </w:r>
      <w:r w:rsidRPr="00FB4EFA">
        <w:rPr>
          <w:rFonts w:eastAsia="Times New Roman" w:cs="Charis SIL"/>
          <w:sz w:val="18"/>
          <w:szCs w:val="18"/>
          <w:lang w:val="en-GB" w:eastAsia="en-GB"/>
        </w:rPr>
        <w:t>-</w:t>
      </w:r>
      <w:r w:rsidRPr="00FB4EFA">
        <w:rPr>
          <w:rFonts w:eastAsia="Times New Roman" w:cs="Charis SIL"/>
          <w:smallCaps/>
          <w:sz w:val="18"/>
          <w:szCs w:val="18"/>
          <w:lang w:val="en-GB" w:eastAsia="en-GB"/>
        </w:rPr>
        <w:t>Nagy</w:t>
      </w:r>
      <w:r w:rsidRPr="00FB4EFA">
        <w:rPr>
          <w:rFonts w:eastAsia="Times New Roman" w:cs="Charis SIL"/>
          <w:sz w:val="18"/>
          <w:szCs w:val="18"/>
          <w:lang w:val="en-GB" w:eastAsia="en-GB"/>
        </w:rPr>
        <w:t xml:space="preserve"> Marianne</w:t>
      </w:r>
    </w:p>
    <w:p w14:paraId="29CCA1D1" w14:textId="282293F2" w:rsidR="00880705" w:rsidRPr="00FB4EFA" w:rsidRDefault="00880705"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Barát</w:t>
      </w:r>
      <w:r w:rsidRPr="00FB4EFA">
        <w:rPr>
          <w:rFonts w:eastAsia="Times New Roman" w:cs="Charis SIL"/>
          <w:sz w:val="18"/>
          <w:szCs w:val="18"/>
          <w:lang w:val="en-GB" w:eastAsia="en-GB"/>
        </w:rPr>
        <w:t xml:space="preserve"> Erzsébet</w:t>
      </w:r>
    </w:p>
    <w:p w14:paraId="255CFB3F" w14:textId="7B005600"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Rodolfo </w:t>
      </w:r>
      <w:r w:rsidRPr="00FB4EFA">
        <w:rPr>
          <w:rFonts w:eastAsia="Times New Roman" w:cs="Charis SIL"/>
          <w:smallCaps/>
          <w:sz w:val="18"/>
          <w:szCs w:val="18"/>
          <w:lang w:val="en-GB" w:eastAsia="en-GB"/>
        </w:rPr>
        <w:t>Basile</w:t>
      </w:r>
    </w:p>
    <w:p w14:paraId="7B1F6558"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Bereczki </w:t>
      </w:r>
      <w:r w:rsidRPr="00FB4EFA">
        <w:rPr>
          <w:rFonts w:eastAsia="Times New Roman" w:cs="Charis SIL"/>
          <w:sz w:val="18"/>
          <w:szCs w:val="18"/>
          <w:lang w:val="en-GB" w:eastAsia="en-GB"/>
        </w:rPr>
        <w:t>András</w:t>
      </w:r>
    </w:p>
    <w:p w14:paraId="7E7FC96A"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Béres </w:t>
      </w:r>
      <w:r w:rsidRPr="00FB4EFA">
        <w:rPr>
          <w:rFonts w:eastAsia="Times New Roman" w:cs="Charis SIL"/>
          <w:sz w:val="18"/>
          <w:szCs w:val="18"/>
          <w:lang w:val="en-GB" w:eastAsia="en-GB"/>
        </w:rPr>
        <w:t>Mátyás</w:t>
      </w:r>
    </w:p>
    <w:p w14:paraId="075EEFCE"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Bíró </w:t>
      </w:r>
      <w:r w:rsidRPr="00FB4EFA">
        <w:rPr>
          <w:rFonts w:eastAsia="Times New Roman" w:cs="Charis SIL"/>
          <w:sz w:val="18"/>
          <w:szCs w:val="18"/>
          <w:lang w:val="en-GB" w:eastAsia="en-GB"/>
        </w:rPr>
        <w:t>Bernadett</w:t>
      </w:r>
    </w:p>
    <w:p w14:paraId="602274E5" w14:textId="77777777" w:rsidR="00CF7A83" w:rsidRPr="00FB4EFA" w:rsidRDefault="00CF7A83" w:rsidP="00402EF4">
      <w:pPr>
        <w:tabs>
          <w:tab w:val="left" w:pos="1467"/>
          <w:tab w:val="left" w:pos="2866"/>
        </w:tabs>
        <w:jc w:val="center"/>
        <w:rPr>
          <w:rFonts w:eastAsia="Times New Roman" w:cs="Charis SIL"/>
          <w:sz w:val="18"/>
          <w:szCs w:val="18"/>
          <w:lang w:val="hu-HU" w:eastAsia="en-GB"/>
        </w:rPr>
      </w:pPr>
      <w:r w:rsidRPr="00FB4EFA">
        <w:rPr>
          <w:rFonts w:eastAsia="Times New Roman" w:cs="Charis SIL"/>
          <w:smallCaps/>
          <w:sz w:val="18"/>
          <w:szCs w:val="18"/>
          <w:lang w:val="hu-HU" w:eastAsia="en-GB"/>
        </w:rPr>
        <w:t xml:space="preserve">Blaskó </w:t>
      </w:r>
      <w:r w:rsidRPr="00FB4EFA">
        <w:rPr>
          <w:rFonts w:eastAsia="Times New Roman" w:cs="Charis SIL"/>
          <w:sz w:val="18"/>
          <w:szCs w:val="18"/>
          <w:lang w:val="hu-HU" w:eastAsia="en-GB"/>
        </w:rPr>
        <w:t>Katalin</w:t>
      </w:r>
    </w:p>
    <w:p w14:paraId="24EB64D6" w14:textId="77777777" w:rsidR="00CF7A83" w:rsidRPr="00FB4EFA" w:rsidRDefault="00CF7A83" w:rsidP="00402EF4">
      <w:pPr>
        <w:tabs>
          <w:tab w:val="left" w:pos="1467"/>
          <w:tab w:val="left" w:pos="2866"/>
        </w:tabs>
        <w:jc w:val="center"/>
        <w:rPr>
          <w:rFonts w:eastAsia="Times New Roman" w:cs="Charis SIL"/>
          <w:smallCaps/>
          <w:sz w:val="18"/>
          <w:szCs w:val="18"/>
          <w:lang w:val="hu-HU" w:eastAsia="en-GB"/>
        </w:rPr>
      </w:pPr>
      <w:r w:rsidRPr="00FB4EFA">
        <w:rPr>
          <w:rFonts w:eastAsia="Times New Roman" w:cs="Charis SIL"/>
          <w:sz w:val="18"/>
          <w:szCs w:val="18"/>
          <w:lang w:val="hu-HU" w:eastAsia="en-GB"/>
        </w:rPr>
        <w:t xml:space="preserve">Rogier </w:t>
      </w:r>
      <w:r w:rsidRPr="00FB4EFA">
        <w:rPr>
          <w:rFonts w:eastAsia="Times New Roman" w:cs="Charis SIL"/>
          <w:smallCaps/>
          <w:sz w:val="18"/>
          <w:szCs w:val="18"/>
          <w:lang w:val="hu-HU" w:eastAsia="en-GB"/>
        </w:rPr>
        <w:t>Blokland</w:t>
      </w:r>
    </w:p>
    <w:p w14:paraId="758831F1" w14:textId="77777777" w:rsidR="00CF7A83" w:rsidRPr="00FB4EFA" w:rsidRDefault="00CF7A83" w:rsidP="00402EF4">
      <w:pPr>
        <w:tabs>
          <w:tab w:val="left" w:pos="1467"/>
          <w:tab w:val="left" w:pos="2866"/>
        </w:tabs>
        <w:jc w:val="center"/>
        <w:rPr>
          <w:rFonts w:eastAsia="Times New Roman" w:cs="Charis SIL"/>
          <w:smallCaps/>
          <w:sz w:val="18"/>
          <w:szCs w:val="18"/>
          <w:lang w:val="hu-HU" w:eastAsia="en-GB"/>
        </w:rPr>
      </w:pPr>
      <w:r w:rsidRPr="00FB4EFA">
        <w:rPr>
          <w:rFonts w:eastAsia="Times New Roman" w:cs="Charis SIL"/>
          <w:sz w:val="18"/>
          <w:szCs w:val="18"/>
          <w:lang w:val="hu-HU" w:eastAsia="en-GB"/>
        </w:rPr>
        <w:t xml:space="preserve">Jeremy </w:t>
      </w:r>
      <w:r w:rsidRPr="00FB4EFA">
        <w:rPr>
          <w:rFonts w:eastAsia="Times New Roman" w:cs="Charis SIL"/>
          <w:smallCaps/>
          <w:sz w:val="18"/>
          <w:szCs w:val="18"/>
          <w:lang w:val="hu-HU" w:eastAsia="en-GB"/>
        </w:rPr>
        <w:t>Bradley</w:t>
      </w:r>
    </w:p>
    <w:p w14:paraId="04F0E058" w14:textId="77777777" w:rsidR="00CF7A83" w:rsidRPr="00FB4EFA" w:rsidRDefault="00CF7A83" w:rsidP="00402EF4">
      <w:pPr>
        <w:tabs>
          <w:tab w:val="left" w:pos="1467"/>
          <w:tab w:val="left" w:pos="2866"/>
        </w:tabs>
        <w:jc w:val="center"/>
        <w:rPr>
          <w:rFonts w:eastAsia="Times New Roman" w:cs="Charis SIL"/>
          <w:smallCaps/>
          <w:sz w:val="18"/>
          <w:szCs w:val="18"/>
          <w:lang w:val="hu-HU" w:eastAsia="en-GB"/>
        </w:rPr>
      </w:pPr>
      <w:r w:rsidRPr="00FB4EFA">
        <w:rPr>
          <w:rFonts w:eastAsia="Times New Roman" w:cs="Charis SIL"/>
          <w:sz w:val="18"/>
          <w:szCs w:val="18"/>
          <w:lang w:val="hu-HU" w:eastAsia="en-GB"/>
        </w:rPr>
        <w:t xml:space="preserve">Lyle </w:t>
      </w:r>
      <w:r w:rsidRPr="00FB4EFA">
        <w:rPr>
          <w:rFonts w:eastAsia="Times New Roman" w:cs="Charis SIL"/>
          <w:smallCaps/>
          <w:sz w:val="18"/>
          <w:szCs w:val="18"/>
          <w:lang w:val="hu-HU" w:eastAsia="en-GB"/>
        </w:rPr>
        <w:t>Campbell</w:t>
      </w:r>
    </w:p>
    <w:p w14:paraId="27DB31C3" w14:textId="77777777" w:rsidR="00CF7A83" w:rsidRPr="00FB4EFA" w:rsidRDefault="00CF7A83" w:rsidP="00402EF4">
      <w:pPr>
        <w:tabs>
          <w:tab w:val="left" w:pos="1467"/>
          <w:tab w:val="left" w:pos="2866"/>
        </w:tabs>
        <w:jc w:val="center"/>
        <w:rPr>
          <w:rFonts w:eastAsia="Times New Roman" w:cs="Charis SIL"/>
          <w:sz w:val="18"/>
          <w:szCs w:val="18"/>
          <w:lang w:val="hu-HU" w:eastAsia="en-GB"/>
        </w:rPr>
      </w:pPr>
      <w:r w:rsidRPr="00FB4EFA">
        <w:rPr>
          <w:rFonts w:eastAsia="Times New Roman" w:cs="Charis SIL"/>
          <w:smallCaps/>
          <w:sz w:val="18"/>
          <w:szCs w:val="18"/>
          <w:lang w:val="hu-HU" w:eastAsia="en-GB"/>
        </w:rPr>
        <w:t xml:space="preserve">Csepregi </w:t>
      </w:r>
      <w:r w:rsidRPr="00FB4EFA">
        <w:rPr>
          <w:rFonts w:eastAsia="Times New Roman" w:cs="Charis SIL"/>
          <w:sz w:val="18"/>
          <w:szCs w:val="18"/>
          <w:lang w:val="hu-HU" w:eastAsia="en-GB"/>
        </w:rPr>
        <w:t>Márta</w:t>
      </w:r>
    </w:p>
    <w:p w14:paraId="1F10DC9C" w14:textId="77777777" w:rsidR="00CF7A83" w:rsidRPr="00FB4EFA" w:rsidRDefault="00CF7A83" w:rsidP="00402EF4">
      <w:pPr>
        <w:tabs>
          <w:tab w:val="left" w:pos="1467"/>
          <w:tab w:val="left" w:pos="2866"/>
        </w:tabs>
        <w:jc w:val="center"/>
        <w:rPr>
          <w:rFonts w:eastAsia="Times New Roman" w:cs="Charis SIL"/>
          <w:sz w:val="18"/>
          <w:szCs w:val="18"/>
          <w:lang w:val="hu-HU" w:eastAsia="en-GB"/>
        </w:rPr>
      </w:pPr>
      <w:r w:rsidRPr="00FB4EFA">
        <w:rPr>
          <w:rFonts w:eastAsia="Times New Roman" w:cs="Charis SIL"/>
          <w:smallCaps/>
          <w:sz w:val="18"/>
          <w:szCs w:val="18"/>
          <w:lang w:val="hu-HU" w:eastAsia="en-GB"/>
        </w:rPr>
        <w:t xml:space="preserve">Csire </w:t>
      </w:r>
      <w:r w:rsidRPr="00FB4EFA">
        <w:rPr>
          <w:rFonts w:eastAsia="Times New Roman" w:cs="Charis SIL"/>
          <w:sz w:val="18"/>
          <w:szCs w:val="18"/>
          <w:lang w:val="hu-HU" w:eastAsia="en-GB"/>
        </w:rPr>
        <w:t>Márta</w:t>
      </w:r>
    </w:p>
    <w:p w14:paraId="64EC0D2F" w14:textId="77777777" w:rsidR="00CF7A83" w:rsidRPr="00FB4EFA" w:rsidRDefault="00CF7A83" w:rsidP="00402EF4">
      <w:pPr>
        <w:tabs>
          <w:tab w:val="left" w:pos="1467"/>
          <w:tab w:val="left" w:pos="2866"/>
        </w:tabs>
        <w:jc w:val="center"/>
        <w:rPr>
          <w:rFonts w:eastAsia="Times New Roman" w:cs="Charis SIL"/>
          <w:smallCaps/>
          <w:sz w:val="18"/>
          <w:szCs w:val="18"/>
          <w:lang w:val="hu-HU" w:eastAsia="en-GB"/>
        </w:rPr>
      </w:pPr>
      <w:r w:rsidRPr="00FB4EFA">
        <w:rPr>
          <w:rFonts w:eastAsia="Times New Roman" w:cs="Charis SIL"/>
          <w:sz w:val="18"/>
          <w:szCs w:val="18"/>
          <w:lang w:val="hu-HU" w:eastAsia="en-GB"/>
        </w:rPr>
        <w:t xml:space="preserve">Christopher </w:t>
      </w:r>
      <w:r w:rsidRPr="00FB4EFA">
        <w:rPr>
          <w:rFonts w:eastAsia="Times New Roman" w:cs="Charis SIL"/>
          <w:smallCaps/>
          <w:sz w:val="18"/>
          <w:szCs w:val="18"/>
          <w:lang w:val="hu-HU" w:eastAsia="en-GB"/>
        </w:rPr>
        <w:t>Culver</w:t>
      </w:r>
    </w:p>
    <w:p w14:paraId="1D72B1B0" w14:textId="423F174B" w:rsidR="00CF7A83" w:rsidRPr="00FB4EFA" w:rsidRDefault="00CF7A83" w:rsidP="00402EF4">
      <w:pPr>
        <w:tabs>
          <w:tab w:val="left" w:pos="1467"/>
          <w:tab w:val="left" w:pos="2866"/>
        </w:tabs>
        <w:jc w:val="center"/>
        <w:rPr>
          <w:rFonts w:eastAsia="Times New Roman" w:cs="Charis SIL"/>
          <w:sz w:val="18"/>
          <w:szCs w:val="18"/>
          <w:lang w:val="hu-HU" w:eastAsia="en-GB"/>
        </w:rPr>
      </w:pPr>
      <w:r w:rsidRPr="00FB4EFA">
        <w:rPr>
          <w:rFonts w:eastAsia="Times New Roman" w:cs="Charis SIL"/>
          <w:smallCaps/>
          <w:sz w:val="18"/>
          <w:szCs w:val="18"/>
          <w:lang w:val="hu-HU" w:eastAsia="en-GB"/>
        </w:rPr>
        <w:t xml:space="preserve">Deréky </w:t>
      </w:r>
      <w:r w:rsidRPr="00FB4EFA">
        <w:rPr>
          <w:rFonts w:eastAsia="Times New Roman" w:cs="Charis SIL"/>
          <w:sz w:val="18"/>
          <w:szCs w:val="18"/>
          <w:lang w:val="hu-HU" w:eastAsia="en-GB"/>
        </w:rPr>
        <w:t>Melinda</w:t>
      </w:r>
    </w:p>
    <w:p w14:paraId="12E7797D" w14:textId="77777777" w:rsidR="00E0099C" w:rsidRPr="00FB4EFA" w:rsidRDefault="00E0099C"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Deréky </w:t>
      </w:r>
      <w:r w:rsidRPr="00FB4EFA">
        <w:rPr>
          <w:rFonts w:eastAsia="Times New Roman" w:cs="Charis SIL"/>
          <w:sz w:val="18"/>
          <w:szCs w:val="18"/>
          <w:lang w:val="en-GB" w:eastAsia="en-GB"/>
        </w:rPr>
        <w:t>Pál</w:t>
      </w:r>
    </w:p>
    <w:p w14:paraId="54176F9F"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Domokos </w:t>
      </w:r>
      <w:r w:rsidRPr="00FB4EFA">
        <w:rPr>
          <w:rFonts w:eastAsia="Times New Roman" w:cs="Charis SIL"/>
          <w:sz w:val="18"/>
          <w:szCs w:val="18"/>
          <w:lang w:val="en-GB" w:eastAsia="en-GB"/>
        </w:rPr>
        <w:t>Johanna</w:t>
      </w:r>
    </w:p>
    <w:p w14:paraId="222219EE"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Erika </w:t>
      </w:r>
      <w:r w:rsidRPr="00FB4EFA">
        <w:rPr>
          <w:rFonts w:eastAsia="Times New Roman" w:cs="Charis SIL"/>
          <w:smallCaps/>
          <w:sz w:val="18"/>
          <w:szCs w:val="18"/>
          <w:lang w:val="en-GB" w:eastAsia="en-GB"/>
        </w:rPr>
        <w:t>Erlinghagen</w:t>
      </w:r>
    </w:p>
    <w:p w14:paraId="114979E8"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F. Gulyás </w:t>
      </w:r>
      <w:r w:rsidRPr="00FB4EFA">
        <w:rPr>
          <w:rFonts w:eastAsia="Times New Roman" w:cs="Charis SIL"/>
          <w:sz w:val="18"/>
          <w:szCs w:val="18"/>
          <w:lang w:val="en-GB" w:eastAsia="en-GB"/>
        </w:rPr>
        <w:t>Nikolett</w:t>
      </w:r>
    </w:p>
    <w:p w14:paraId="4AD686D5"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Fónyad </w:t>
      </w:r>
      <w:r w:rsidRPr="00FB4EFA">
        <w:rPr>
          <w:rFonts w:eastAsia="Times New Roman" w:cs="Charis SIL"/>
          <w:sz w:val="18"/>
          <w:szCs w:val="18"/>
          <w:lang w:val="en-GB" w:eastAsia="en-GB"/>
        </w:rPr>
        <w:t>Gábor</w:t>
      </w:r>
    </w:p>
    <w:p w14:paraId="22FF7325"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Forgács </w:t>
      </w:r>
      <w:r w:rsidRPr="00FB4EFA">
        <w:rPr>
          <w:rFonts w:eastAsia="Times New Roman" w:cs="Charis SIL"/>
          <w:sz w:val="18"/>
          <w:szCs w:val="18"/>
          <w:lang w:val="en-GB" w:eastAsia="en-GB"/>
        </w:rPr>
        <w:t>Tamás</w:t>
      </w:r>
    </w:p>
    <w:p w14:paraId="3CF11D25" w14:textId="0010FD3D"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Ulla-Maija </w:t>
      </w:r>
      <w:r w:rsidRPr="00FB4EFA">
        <w:rPr>
          <w:rFonts w:eastAsia="Times New Roman" w:cs="Charis SIL"/>
          <w:smallCaps/>
          <w:sz w:val="18"/>
          <w:szCs w:val="18"/>
          <w:lang w:val="en-GB" w:eastAsia="en-GB"/>
        </w:rPr>
        <w:t>Forsberg</w:t>
      </w:r>
    </w:p>
    <w:p w14:paraId="0C6E4FC3" w14:textId="77777777" w:rsidR="00556D76" w:rsidRPr="00FB4EFA" w:rsidRDefault="00556D76" w:rsidP="00556D76">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Pirkko </w:t>
      </w:r>
      <w:r w:rsidRPr="00FB4EFA">
        <w:rPr>
          <w:rFonts w:eastAsia="Times New Roman" w:cs="Charis SIL"/>
          <w:smallCaps/>
          <w:sz w:val="18"/>
          <w:szCs w:val="18"/>
          <w:lang w:val="en-GB" w:eastAsia="en-GB"/>
        </w:rPr>
        <w:t>Forsman Svensson</w:t>
      </w:r>
    </w:p>
    <w:p w14:paraId="08F7F1F5"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Gasparics </w:t>
      </w:r>
      <w:r w:rsidRPr="00FB4EFA">
        <w:rPr>
          <w:rFonts w:eastAsia="Times New Roman" w:cs="Charis SIL"/>
          <w:sz w:val="18"/>
          <w:szCs w:val="18"/>
          <w:lang w:val="en-GB" w:eastAsia="en-GB"/>
        </w:rPr>
        <w:t>Judit</w:t>
      </w:r>
    </w:p>
    <w:p w14:paraId="2B09EB7E"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Natalia </w:t>
      </w:r>
      <w:r w:rsidRPr="00FB4EFA">
        <w:rPr>
          <w:rFonts w:eastAsia="Times New Roman" w:cs="Charis SIL"/>
          <w:smallCaps/>
          <w:sz w:val="18"/>
          <w:szCs w:val="18"/>
          <w:lang w:val="en-GB" w:eastAsia="en-GB"/>
        </w:rPr>
        <w:t>Glukhova</w:t>
      </w:r>
    </w:p>
    <w:p w14:paraId="369C100C"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Görbe </w:t>
      </w:r>
      <w:r w:rsidRPr="00FB4EFA">
        <w:rPr>
          <w:rFonts w:eastAsia="Times New Roman" w:cs="Charis SIL"/>
          <w:sz w:val="18"/>
          <w:szCs w:val="18"/>
          <w:lang w:val="en-GB" w:eastAsia="en-GB"/>
        </w:rPr>
        <w:t>Tamás</w:t>
      </w:r>
    </w:p>
    <w:p w14:paraId="1C207CF2"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Gróf </w:t>
      </w:r>
      <w:r w:rsidRPr="00FB4EFA">
        <w:rPr>
          <w:rFonts w:eastAsia="Times New Roman" w:cs="Charis SIL"/>
          <w:sz w:val="18"/>
          <w:szCs w:val="18"/>
          <w:lang w:val="en-GB" w:eastAsia="en-GB"/>
        </w:rPr>
        <w:t>Annamária</w:t>
      </w:r>
    </w:p>
    <w:p w14:paraId="56633C13" w14:textId="0E9D7E8E"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Riho </w:t>
      </w:r>
      <w:r w:rsidRPr="00FB4EFA">
        <w:rPr>
          <w:rFonts w:eastAsia="Times New Roman" w:cs="Charis SIL"/>
          <w:smallCaps/>
          <w:sz w:val="18"/>
          <w:szCs w:val="18"/>
          <w:lang w:val="en-GB" w:eastAsia="en-GB"/>
        </w:rPr>
        <w:t>Grünthal</w:t>
      </w:r>
    </w:p>
    <w:p w14:paraId="7C17183C" w14:textId="77777777" w:rsidR="00E0099C" w:rsidRPr="00FB4EFA" w:rsidRDefault="00E0099C"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Satu </w:t>
      </w:r>
      <w:r w:rsidRPr="00FB4EFA">
        <w:rPr>
          <w:rFonts w:eastAsia="Times New Roman" w:cs="Charis SIL"/>
          <w:smallCaps/>
          <w:sz w:val="18"/>
          <w:szCs w:val="18"/>
          <w:lang w:val="en-GB" w:eastAsia="en-GB"/>
        </w:rPr>
        <w:t>Grünthal</w:t>
      </w:r>
    </w:p>
    <w:p w14:paraId="380494D9"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Gyuris </w:t>
      </w:r>
      <w:r w:rsidRPr="00FB4EFA">
        <w:rPr>
          <w:rFonts w:eastAsia="Times New Roman" w:cs="Charis SIL"/>
          <w:sz w:val="18"/>
          <w:szCs w:val="18"/>
          <w:lang w:val="en-GB" w:eastAsia="en-GB"/>
        </w:rPr>
        <w:t>Beáta</w:t>
      </w:r>
    </w:p>
    <w:p w14:paraId="22CF0A8C"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Külli </w:t>
      </w:r>
      <w:r w:rsidRPr="00FB4EFA">
        <w:rPr>
          <w:rFonts w:eastAsia="Times New Roman" w:cs="Charis SIL"/>
          <w:smallCaps/>
          <w:sz w:val="18"/>
          <w:szCs w:val="18"/>
          <w:lang w:val="en-GB" w:eastAsia="en-GB"/>
        </w:rPr>
        <w:t>Habicht</w:t>
      </w:r>
    </w:p>
    <w:p w14:paraId="7BD45BCC"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Luan </w:t>
      </w:r>
      <w:r w:rsidRPr="00FB4EFA">
        <w:rPr>
          <w:rFonts w:eastAsia="Times New Roman" w:cs="Charis SIL"/>
          <w:smallCaps/>
          <w:sz w:val="18"/>
          <w:szCs w:val="18"/>
          <w:lang w:val="en-GB" w:eastAsia="en-GB"/>
        </w:rPr>
        <w:t>Hammer</w:t>
      </w:r>
    </w:p>
    <w:p w14:paraId="1CD29121"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Hárs </w:t>
      </w:r>
      <w:r w:rsidRPr="00FB4EFA">
        <w:rPr>
          <w:rFonts w:eastAsia="Times New Roman" w:cs="Charis SIL"/>
          <w:sz w:val="18"/>
          <w:szCs w:val="18"/>
          <w:lang w:val="en-GB" w:eastAsia="en-GB"/>
        </w:rPr>
        <w:t>Endre</w:t>
      </w:r>
    </w:p>
    <w:p w14:paraId="551667BE"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Cornelius </w:t>
      </w:r>
      <w:r w:rsidRPr="00FB4EFA">
        <w:rPr>
          <w:rFonts w:eastAsia="Times New Roman" w:cs="Charis SIL"/>
          <w:smallCaps/>
          <w:sz w:val="18"/>
          <w:szCs w:val="18"/>
          <w:lang w:val="en-GB" w:eastAsia="en-GB"/>
        </w:rPr>
        <w:t>Hasselblatt</w:t>
      </w:r>
    </w:p>
    <w:p w14:paraId="5796CC2C" w14:textId="3B68216B"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Havas </w:t>
      </w:r>
      <w:r w:rsidRPr="00FB4EFA">
        <w:rPr>
          <w:rFonts w:eastAsia="Times New Roman" w:cs="Charis SIL"/>
          <w:sz w:val="18"/>
          <w:szCs w:val="18"/>
          <w:lang w:val="en-GB" w:eastAsia="en-GB"/>
        </w:rPr>
        <w:t>Ferenc</w:t>
      </w:r>
    </w:p>
    <w:p w14:paraId="24D6EC9A" w14:textId="53DAAB58" w:rsidR="00C27C96" w:rsidRPr="00FB4EFA" w:rsidRDefault="00C27C96"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Havasréti</w:t>
      </w:r>
      <w:r w:rsidRPr="00FB4EFA">
        <w:rPr>
          <w:rFonts w:eastAsia="Times New Roman" w:cs="Charis SIL"/>
          <w:sz w:val="18"/>
          <w:szCs w:val="18"/>
          <w:lang w:val="en-GB" w:eastAsia="en-GB"/>
        </w:rPr>
        <w:t xml:space="preserve"> József</w:t>
      </w:r>
    </w:p>
    <w:p w14:paraId="4F23A041"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lastRenderedPageBreak/>
        <w:t xml:space="preserve">Hegedűs </w:t>
      </w:r>
      <w:r w:rsidRPr="00FB4EFA">
        <w:rPr>
          <w:rFonts w:eastAsia="Times New Roman" w:cs="Charis SIL"/>
          <w:sz w:val="18"/>
          <w:szCs w:val="18"/>
          <w:lang w:val="en-GB" w:eastAsia="en-GB"/>
        </w:rPr>
        <w:t>Rita</w:t>
      </w:r>
    </w:p>
    <w:p w14:paraId="24C7C983"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Heinike </w:t>
      </w:r>
      <w:r w:rsidRPr="00FB4EFA">
        <w:rPr>
          <w:rFonts w:eastAsia="Times New Roman" w:cs="Charis SIL"/>
          <w:smallCaps/>
          <w:sz w:val="18"/>
          <w:szCs w:val="18"/>
          <w:lang w:val="en-GB" w:eastAsia="en-GB"/>
        </w:rPr>
        <w:t>Heinsoo</w:t>
      </w:r>
    </w:p>
    <w:p w14:paraId="1F8A6FA6"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Johannes </w:t>
      </w:r>
      <w:r w:rsidRPr="00FB4EFA">
        <w:rPr>
          <w:rFonts w:eastAsia="Times New Roman" w:cs="Charis SIL"/>
          <w:smallCaps/>
          <w:sz w:val="18"/>
          <w:szCs w:val="18"/>
          <w:lang w:val="en-GB" w:eastAsia="en-GB"/>
        </w:rPr>
        <w:t>Hirvonen</w:t>
      </w:r>
    </w:p>
    <w:p w14:paraId="1CE9EA9B"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Sampsa </w:t>
      </w:r>
      <w:r w:rsidRPr="00FB4EFA">
        <w:rPr>
          <w:rFonts w:eastAsia="Times New Roman" w:cs="Charis SIL"/>
          <w:smallCaps/>
          <w:sz w:val="18"/>
          <w:szCs w:val="18"/>
          <w:lang w:val="en-GB" w:eastAsia="en-GB"/>
        </w:rPr>
        <w:t>Holopainen</w:t>
      </w:r>
    </w:p>
    <w:p w14:paraId="498EA190" w14:textId="1DC471F1" w:rsidR="00C638DD" w:rsidRPr="00FB4EFA" w:rsidRDefault="00C638DD" w:rsidP="00402EF4">
      <w:pPr>
        <w:tabs>
          <w:tab w:val="left" w:pos="1467"/>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Anja-Leena </w:t>
      </w:r>
      <w:r w:rsidRPr="00FB4EFA">
        <w:rPr>
          <w:rFonts w:eastAsia="Times New Roman" w:cs="Charis SIL"/>
          <w:smallCaps/>
          <w:sz w:val="18"/>
          <w:szCs w:val="18"/>
          <w:lang w:val="en-GB" w:eastAsia="en-GB"/>
        </w:rPr>
        <w:t>Holtari</w:t>
      </w:r>
    </w:p>
    <w:p w14:paraId="54D9F1BB" w14:textId="4403317F"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Laura </w:t>
      </w:r>
      <w:r w:rsidRPr="00FB4EFA">
        <w:rPr>
          <w:rFonts w:eastAsia="Times New Roman" w:cs="Charis SIL"/>
          <w:smallCaps/>
          <w:sz w:val="18"/>
          <w:szCs w:val="18"/>
          <w:lang w:val="en-GB" w:eastAsia="en-GB"/>
        </w:rPr>
        <w:t>Homan</w:t>
      </w:r>
    </w:p>
    <w:p w14:paraId="481B8054"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Horvat </w:t>
      </w:r>
      <w:r w:rsidRPr="00FB4EFA">
        <w:rPr>
          <w:rFonts w:eastAsia="Times New Roman" w:cs="Charis SIL"/>
          <w:sz w:val="18"/>
          <w:szCs w:val="18"/>
          <w:lang w:val="en-GB" w:eastAsia="en-GB"/>
        </w:rPr>
        <w:t>Livija</w:t>
      </w:r>
    </w:p>
    <w:p w14:paraId="6216F7D9"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Horváth </w:t>
      </w:r>
      <w:r w:rsidRPr="00FB4EFA">
        <w:rPr>
          <w:rFonts w:eastAsia="Times New Roman" w:cs="Charis SIL"/>
          <w:sz w:val="18"/>
          <w:szCs w:val="18"/>
          <w:lang w:val="en-GB" w:eastAsia="en-GB"/>
        </w:rPr>
        <w:t>Laura</w:t>
      </w:r>
    </w:p>
    <w:p w14:paraId="262F17CD" w14:textId="70C52926"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Heikki </w:t>
      </w:r>
      <w:r w:rsidRPr="00FB4EFA">
        <w:rPr>
          <w:rFonts w:eastAsia="Times New Roman" w:cs="Charis SIL"/>
          <w:smallCaps/>
          <w:sz w:val="18"/>
          <w:szCs w:val="18"/>
          <w:lang w:val="en-GB" w:eastAsia="en-GB"/>
        </w:rPr>
        <w:t>Hurtta</w:t>
      </w:r>
    </w:p>
    <w:p w14:paraId="61D4E8C3" w14:textId="122C30DD" w:rsidR="00E0099C" w:rsidRPr="00FB4EFA" w:rsidRDefault="00E0099C"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Lotta </w:t>
      </w:r>
      <w:r w:rsidRPr="00FB4EFA">
        <w:rPr>
          <w:rFonts w:eastAsia="Times New Roman" w:cs="Charis SIL"/>
          <w:smallCaps/>
          <w:sz w:val="18"/>
          <w:szCs w:val="18"/>
          <w:lang w:val="en-GB" w:eastAsia="en-GB"/>
        </w:rPr>
        <w:t>Jalava</w:t>
      </w:r>
    </w:p>
    <w:p w14:paraId="4929B322" w14:textId="6DEAE088" w:rsidR="00C27C96" w:rsidRPr="00FB4EFA" w:rsidRDefault="00C27C96"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Marja </w:t>
      </w:r>
      <w:r w:rsidRPr="00FB4EFA">
        <w:rPr>
          <w:rFonts w:eastAsia="Times New Roman" w:cs="Charis SIL"/>
          <w:smallCaps/>
          <w:sz w:val="18"/>
          <w:szCs w:val="18"/>
          <w:lang w:val="en-GB" w:eastAsia="en-GB"/>
        </w:rPr>
        <w:t>Järventausta</w:t>
      </w:r>
    </w:p>
    <w:p w14:paraId="1320A5A9" w14:textId="77777777" w:rsidR="000121EA"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Santeri </w:t>
      </w:r>
      <w:r w:rsidRPr="00FB4EFA">
        <w:rPr>
          <w:rFonts w:eastAsia="Times New Roman" w:cs="Charis SIL"/>
          <w:smallCaps/>
          <w:sz w:val="18"/>
          <w:szCs w:val="18"/>
          <w:lang w:val="en-GB" w:eastAsia="en-GB"/>
        </w:rPr>
        <w:t>Junttila</w:t>
      </w:r>
    </w:p>
    <w:p w14:paraId="77B0D063" w14:textId="594DA786"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Kaisu </w:t>
      </w:r>
      <w:r w:rsidRPr="00FB4EFA">
        <w:rPr>
          <w:rFonts w:eastAsia="Times New Roman" w:cs="Charis SIL"/>
          <w:smallCaps/>
          <w:sz w:val="18"/>
          <w:szCs w:val="18"/>
          <w:lang w:val="en-GB" w:eastAsia="en-GB"/>
        </w:rPr>
        <w:t>Juusela</w:t>
      </w:r>
    </w:p>
    <w:p w14:paraId="4F099C3E" w14:textId="77777777" w:rsidR="00E0099C" w:rsidRPr="00FB4EFA" w:rsidRDefault="00E0099C"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Markus </w:t>
      </w:r>
      <w:r w:rsidRPr="00FB4EFA">
        <w:rPr>
          <w:rFonts w:eastAsia="Times New Roman" w:cs="Charis SIL"/>
          <w:smallCaps/>
          <w:sz w:val="18"/>
          <w:szCs w:val="18"/>
          <w:lang w:val="en-GB" w:eastAsia="en-GB"/>
        </w:rPr>
        <w:t>Juutinen</w:t>
      </w:r>
    </w:p>
    <w:p w14:paraId="553759A7"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Jüvä </w:t>
      </w:r>
      <w:r w:rsidRPr="00FB4EFA">
        <w:rPr>
          <w:rFonts w:eastAsia="Times New Roman" w:cs="Charis SIL"/>
          <w:sz w:val="18"/>
          <w:szCs w:val="18"/>
          <w:lang w:val="en-GB" w:eastAsia="en-GB"/>
        </w:rPr>
        <w:t>Sullõv</w:t>
      </w:r>
    </w:p>
    <w:p w14:paraId="477746E4"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Annekatrin </w:t>
      </w:r>
      <w:r w:rsidRPr="00FB4EFA">
        <w:rPr>
          <w:rFonts w:eastAsia="Times New Roman" w:cs="Charis SIL"/>
          <w:smallCaps/>
          <w:sz w:val="18"/>
          <w:szCs w:val="18"/>
          <w:lang w:val="en-GB" w:eastAsia="en-GB"/>
        </w:rPr>
        <w:t>Kaivapalu</w:t>
      </w:r>
    </w:p>
    <w:p w14:paraId="45E76FE5"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Mikko </w:t>
      </w:r>
      <w:r w:rsidRPr="00FB4EFA">
        <w:rPr>
          <w:rFonts w:eastAsia="Times New Roman" w:cs="Charis SIL"/>
          <w:smallCaps/>
          <w:sz w:val="18"/>
          <w:szCs w:val="18"/>
          <w:lang w:val="en-GB" w:eastAsia="en-GB"/>
        </w:rPr>
        <w:t>Kajander</w:t>
      </w:r>
    </w:p>
    <w:p w14:paraId="5ABC8094"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Petri </w:t>
      </w:r>
      <w:r w:rsidRPr="00FB4EFA">
        <w:rPr>
          <w:rFonts w:eastAsia="Times New Roman" w:cs="Charis SIL"/>
          <w:smallCaps/>
          <w:sz w:val="18"/>
          <w:szCs w:val="18"/>
          <w:lang w:val="en-GB" w:eastAsia="en-GB"/>
        </w:rPr>
        <w:t>Kallio</w:t>
      </w:r>
    </w:p>
    <w:p w14:paraId="0C9D862F"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Anneli </w:t>
      </w:r>
      <w:r w:rsidRPr="00FB4EFA">
        <w:rPr>
          <w:rFonts w:eastAsia="Times New Roman" w:cs="Charis SIL"/>
          <w:smallCaps/>
          <w:sz w:val="18"/>
          <w:szCs w:val="18"/>
          <w:lang w:val="en-GB" w:eastAsia="en-GB"/>
        </w:rPr>
        <w:t>Kauppinen</w:t>
      </w:r>
    </w:p>
    <w:p w14:paraId="12317971"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Alexandra </w:t>
      </w:r>
      <w:r w:rsidRPr="00FB4EFA">
        <w:rPr>
          <w:rFonts w:eastAsia="Times New Roman" w:cs="Charis SIL"/>
          <w:smallCaps/>
          <w:sz w:val="18"/>
          <w:szCs w:val="18"/>
          <w:lang w:val="en-GB" w:eastAsia="en-GB"/>
        </w:rPr>
        <w:t>Kellner</w:t>
      </w:r>
    </w:p>
    <w:p w14:paraId="0F0C98A7" w14:textId="3C946402"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Kerčmar Furjan </w:t>
      </w:r>
      <w:r w:rsidRPr="00FB4EFA">
        <w:rPr>
          <w:rFonts w:eastAsia="Times New Roman" w:cs="Charis SIL"/>
          <w:sz w:val="18"/>
          <w:szCs w:val="18"/>
          <w:lang w:val="en-GB" w:eastAsia="en-GB"/>
        </w:rPr>
        <w:t>Žužana</w:t>
      </w:r>
    </w:p>
    <w:p w14:paraId="27D5161D" w14:textId="77777777" w:rsidR="00CF588F" w:rsidRPr="00FB4EFA" w:rsidRDefault="00CF588F" w:rsidP="00CF588F">
      <w:pPr>
        <w:tabs>
          <w:tab w:val="left" w:pos="1467"/>
          <w:tab w:val="left" w:pos="2866"/>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Seppo </w:t>
      </w:r>
      <w:r w:rsidRPr="00FB4EFA">
        <w:rPr>
          <w:rFonts w:eastAsia="Times New Roman" w:cs="Charis SIL"/>
          <w:smallCaps/>
          <w:sz w:val="18"/>
          <w:szCs w:val="18"/>
          <w:lang w:val="en-GB" w:eastAsia="en-GB"/>
        </w:rPr>
        <w:t>Kittilä</w:t>
      </w:r>
    </w:p>
    <w:p w14:paraId="714905C6"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Ilona </w:t>
      </w:r>
      <w:r w:rsidRPr="00FB4EFA">
        <w:rPr>
          <w:rFonts w:eastAsia="Times New Roman" w:cs="Charis SIL"/>
          <w:smallCaps/>
          <w:sz w:val="18"/>
          <w:szCs w:val="18"/>
          <w:lang w:val="en-GB" w:eastAsia="en-GB"/>
        </w:rPr>
        <w:t>Kivinen</w:t>
      </w:r>
    </w:p>
    <w:p w14:paraId="196F653C" w14:textId="58353048"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Birute </w:t>
      </w:r>
      <w:r w:rsidRPr="00FB4EFA">
        <w:rPr>
          <w:rFonts w:eastAsia="Times New Roman" w:cs="Charis SIL"/>
          <w:smallCaps/>
          <w:sz w:val="18"/>
          <w:szCs w:val="18"/>
          <w:lang w:val="en-GB" w:eastAsia="en-GB"/>
        </w:rPr>
        <w:t>Klaas-Lang</w:t>
      </w:r>
    </w:p>
    <w:p w14:paraId="618B5C47"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Gerson </w:t>
      </w:r>
      <w:r w:rsidRPr="00FB4EFA">
        <w:rPr>
          <w:rFonts w:eastAsia="Times New Roman" w:cs="Charis SIL"/>
          <w:smallCaps/>
          <w:sz w:val="18"/>
          <w:szCs w:val="18"/>
          <w:lang w:val="en-GB" w:eastAsia="en-GB"/>
        </w:rPr>
        <w:t>Klumpp</w:t>
      </w:r>
    </w:p>
    <w:p w14:paraId="3A5FF373"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Kókai </w:t>
      </w:r>
      <w:r w:rsidRPr="00FB4EFA">
        <w:rPr>
          <w:rFonts w:eastAsia="Times New Roman" w:cs="Charis SIL"/>
          <w:sz w:val="18"/>
          <w:szCs w:val="18"/>
          <w:lang w:val="en-GB" w:eastAsia="en-GB"/>
        </w:rPr>
        <w:t>Károly</w:t>
      </w:r>
    </w:p>
    <w:p w14:paraId="0E0B4C96" w14:textId="0A199156"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Kolláth </w:t>
      </w:r>
      <w:r w:rsidRPr="00FB4EFA">
        <w:rPr>
          <w:rFonts w:eastAsia="Times New Roman" w:cs="Charis SIL"/>
          <w:sz w:val="18"/>
          <w:szCs w:val="18"/>
          <w:lang w:val="en-GB" w:eastAsia="en-GB"/>
        </w:rPr>
        <w:t>Anna</w:t>
      </w:r>
    </w:p>
    <w:p w14:paraId="11E93DA7" w14:textId="0C20626E" w:rsidR="00DC75BE" w:rsidRPr="00FB4EFA" w:rsidRDefault="00DC75BE"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Eino </w:t>
      </w:r>
      <w:r w:rsidRPr="00FB4EFA">
        <w:rPr>
          <w:rFonts w:eastAsia="Times New Roman" w:cs="Charis SIL"/>
          <w:smallCaps/>
          <w:sz w:val="18"/>
          <w:szCs w:val="18"/>
          <w:lang w:val="en-GB" w:eastAsia="en-GB"/>
        </w:rPr>
        <w:t>Koponen</w:t>
      </w:r>
    </w:p>
    <w:p w14:paraId="6285C6BF"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Kadri </w:t>
      </w:r>
      <w:r w:rsidRPr="00FB4EFA">
        <w:rPr>
          <w:rFonts w:eastAsia="Times New Roman" w:cs="Charis SIL"/>
          <w:smallCaps/>
          <w:sz w:val="18"/>
          <w:szCs w:val="18"/>
          <w:lang w:val="en-GB" w:eastAsia="en-GB"/>
        </w:rPr>
        <w:t>Koreinik</w:t>
      </w:r>
    </w:p>
    <w:p w14:paraId="79306F4A"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Maria </w:t>
      </w:r>
      <w:r w:rsidRPr="00FB4EFA">
        <w:rPr>
          <w:rFonts w:eastAsia="Times New Roman" w:cs="Charis SIL"/>
          <w:smallCaps/>
          <w:sz w:val="18"/>
          <w:szCs w:val="18"/>
          <w:lang w:val="en-GB" w:eastAsia="en-GB"/>
        </w:rPr>
        <w:t>Köstlbauer</w:t>
      </w:r>
    </w:p>
    <w:p w14:paraId="40ED4D20" w14:textId="070081FC" w:rsidR="001E1694" w:rsidRPr="00FB4EFA" w:rsidRDefault="001E1694"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Wynfrid </w:t>
      </w:r>
      <w:r w:rsidRPr="00FB4EFA">
        <w:rPr>
          <w:rFonts w:eastAsia="Times New Roman" w:cs="Charis SIL"/>
          <w:smallCaps/>
          <w:sz w:val="18"/>
          <w:szCs w:val="18"/>
          <w:lang w:val="en-GB" w:eastAsia="en-GB"/>
        </w:rPr>
        <w:t>Kriegleder</w:t>
      </w:r>
    </w:p>
    <w:p w14:paraId="522A74B9" w14:textId="3B40D30C"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Christina </w:t>
      </w:r>
      <w:r w:rsidRPr="00FB4EFA">
        <w:rPr>
          <w:rFonts w:eastAsia="Times New Roman" w:cs="Charis SIL"/>
          <w:smallCaps/>
          <w:sz w:val="18"/>
          <w:szCs w:val="18"/>
          <w:lang w:val="en-GB" w:eastAsia="en-GB"/>
        </w:rPr>
        <w:t>Kunze</w:t>
      </w:r>
    </w:p>
    <w:p w14:paraId="41CCCD60"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Juha </w:t>
      </w:r>
      <w:r w:rsidRPr="00FB4EFA">
        <w:rPr>
          <w:rFonts w:eastAsia="Times New Roman" w:cs="Charis SIL"/>
          <w:smallCaps/>
          <w:sz w:val="18"/>
          <w:szCs w:val="18"/>
          <w:lang w:val="en-GB" w:eastAsia="en-GB"/>
        </w:rPr>
        <w:t>Kuokkala</w:t>
      </w:r>
    </w:p>
    <w:p w14:paraId="68EFB27D"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Nikolay </w:t>
      </w:r>
      <w:r w:rsidRPr="00FB4EFA">
        <w:rPr>
          <w:rFonts w:eastAsia="Times New Roman" w:cs="Charis SIL"/>
          <w:smallCaps/>
          <w:sz w:val="18"/>
          <w:szCs w:val="18"/>
          <w:lang w:val="en-GB" w:eastAsia="en-GB"/>
        </w:rPr>
        <w:t>Kuznetsov</w:t>
      </w:r>
    </w:p>
    <w:p w14:paraId="4E9F64B6"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Klaus </w:t>
      </w:r>
      <w:r w:rsidRPr="00FB4EFA">
        <w:rPr>
          <w:rFonts w:eastAsia="Times New Roman" w:cs="Charis SIL"/>
          <w:smallCaps/>
          <w:sz w:val="18"/>
          <w:szCs w:val="18"/>
          <w:lang w:val="en-GB" w:eastAsia="en-GB"/>
        </w:rPr>
        <w:t>Laalo</w:t>
      </w:r>
    </w:p>
    <w:p w14:paraId="53E78B42"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Heli </w:t>
      </w:r>
      <w:r w:rsidRPr="00FB4EFA">
        <w:rPr>
          <w:rFonts w:eastAsia="Times New Roman" w:cs="Charis SIL"/>
          <w:smallCaps/>
          <w:sz w:val="18"/>
          <w:szCs w:val="18"/>
          <w:lang w:val="en-GB" w:eastAsia="en-GB"/>
        </w:rPr>
        <w:t>Laanekask</w:t>
      </w:r>
    </w:p>
    <w:p w14:paraId="74D64774"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Saarni </w:t>
      </w:r>
      <w:r w:rsidRPr="00FB4EFA">
        <w:rPr>
          <w:rFonts w:eastAsia="Times New Roman" w:cs="Charis SIL"/>
          <w:smallCaps/>
          <w:sz w:val="18"/>
          <w:szCs w:val="18"/>
          <w:lang w:val="en-GB" w:eastAsia="en-GB"/>
        </w:rPr>
        <w:t>Laitinen</w:t>
      </w:r>
    </w:p>
    <w:p w14:paraId="2768B14C" w14:textId="38F249BA" w:rsidR="000329BF" w:rsidRPr="00FB4EFA" w:rsidRDefault="000329BF" w:rsidP="00402EF4">
      <w:pPr>
        <w:tabs>
          <w:tab w:val="left" w:pos="1467"/>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Stefanie </w:t>
      </w:r>
      <w:r w:rsidRPr="00FB4EFA">
        <w:rPr>
          <w:rFonts w:eastAsia="Times New Roman" w:cs="Charis SIL"/>
          <w:smallCaps/>
          <w:sz w:val="18"/>
          <w:szCs w:val="18"/>
          <w:lang w:val="en-GB" w:eastAsia="en-GB"/>
        </w:rPr>
        <w:t>Lammer</w:t>
      </w:r>
    </w:p>
    <w:p w14:paraId="5B801D3B" w14:textId="6CCD9F64"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Margit </w:t>
      </w:r>
      <w:r w:rsidRPr="00FB4EFA">
        <w:rPr>
          <w:rFonts w:eastAsia="Times New Roman" w:cs="Charis SIL"/>
          <w:smallCaps/>
          <w:sz w:val="18"/>
          <w:szCs w:val="18"/>
          <w:lang w:val="en-GB" w:eastAsia="en-GB"/>
        </w:rPr>
        <w:t>Langemets</w:t>
      </w:r>
    </w:p>
    <w:p w14:paraId="5CEE5672"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Petri </w:t>
      </w:r>
      <w:r w:rsidRPr="00FB4EFA">
        <w:rPr>
          <w:rFonts w:eastAsia="Times New Roman" w:cs="Charis SIL"/>
          <w:smallCaps/>
          <w:sz w:val="18"/>
          <w:szCs w:val="18"/>
          <w:lang w:val="en-GB" w:eastAsia="en-GB"/>
        </w:rPr>
        <w:t>Lauerma</w:t>
      </w:r>
    </w:p>
    <w:p w14:paraId="3E77307A"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Yrjö </w:t>
      </w:r>
      <w:r w:rsidRPr="00FB4EFA">
        <w:rPr>
          <w:rFonts w:eastAsia="Times New Roman" w:cs="Charis SIL"/>
          <w:smallCaps/>
          <w:sz w:val="18"/>
          <w:szCs w:val="18"/>
          <w:lang w:val="en-GB" w:eastAsia="en-GB"/>
        </w:rPr>
        <w:t>Lauranto</w:t>
      </w:r>
    </w:p>
    <w:p w14:paraId="7D8B82B8"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Heini </w:t>
      </w:r>
      <w:r w:rsidRPr="00FB4EFA">
        <w:rPr>
          <w:rFonts w:eastAsia="Times New Roman" w:cs="Charis SIL"/>
          <w:smallCaps/>
          <w:sz w:val="18"/>
          <w:szCs w:val="18"/>
          <w:lang w:val="en-GB" w:eastAsia="en-GB"/>
        </w:rPr>
        <w:t>Lehtonen</w:t>
      </w:r>
    </w:p>
    <w:p w14:paraId="6C22DB35" w14:textId="55EF951D"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Unni </w:t>
      </w:r>
      <w:r w:rsidRPr="00FB4EFA">
        <w:rPr>
          <w:rFonts w:eastAsia="Times New Roman" w:cs="Charis SIL"/>
          <w:smallCaps/>
          <w:sz w:val="18"/>
          <w:szCs w:val="18"/>
          <w:lang w:val="en-GB" w:eastAsia="en-GB"/>
        </w:rPr>
        <w:t>Leino</w:t>
      </w:r>
    </w:p>
    <w:p w14:paraId="2D8FE8AB" w14:textId="3F441759" w:rsidR="00A067C2" w:rsidRPr="00FB4EFA" w:rsidRDefault="00A067C2" w:rsidP="00A067C2">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Heidelinde </w:t>
      </w:r>
      <w:r w:rsidRPr="00FB4EFA">
        <w:rPr>
          <w:rFonts w:eastAsia="Times New Roman" w:cs="Charis SIL"/>
          <w:smallCaps/>
          <w:sz w:val="18"/>
          <w:szCs w:val="18"/>
          <w:lang w:val="en-GB" w:eastAsia="en-GB"/>
        </w:rPr>
        <w:t>Lindorfer</w:t>
      </w:r>
    </w:p>
    <w:p w14:paraId="10405E98"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Maria-Maren </w:t>
      </w:r>
      <w:r w:rsidRPr="00FB4EFA">
        <w:rPr>
          <w:rFonts w:eastAsia="Times New Roman" w:cs="Charis SIL"/>
          <w:smallCaps/>
          <w:sz w:val="18"/>
          <w:szCs w:val="18"/>
          <w:lang w:val="en-GB" w:eastAsia="en-GB"/>
        </w:rPr>
        <w:t>Linkgreim</w:t>
      </w:r>
    </w:p>
    <w:p w14:paraId="107994B6"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Kristina </w:t>
      </w:r>
      <w:r w:rsidRPr="00FB4EFA">
        <w:rPr>
          <w:rFonts w:eastAsia="Times New Roman" w:cs="Charis SIL"/>
          <w:smallCaps/>
          <w:sz w:val="18"/>
          <w:szCs w:val="18"/>
          <w:lang w:val="en-GB" w:eastAsia="en-GB"/>
        </w:rPr>
        <w:t>Malmio</w:t>
      </w:r>
    </w:p>
    <w:p w14:paraId="234AB308"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Harri </w:t>
      </w:r>
      <w:r w:rsidRPr="00FB4EFA">
        <w:rPr>
          <w:rFonts w:eastAsia="Times New Roman" w:cs="Charis SIL"/>
          <w:smallCaps/>
          <w:sz w:val="18"/>
          <w:szCs w:val="18"/>
          <w:lang w:val="en-GB" w:eastAsia="en-GB"/>
        </w:rPr>
        <w:t>Mantila</w:t>
      </w:r>
    </w:p>
    <w:p w14:paraId="03C2F421"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Elena </w:t>
      </w:r>
      <w:r w:rsidRPr="00FB4EFA">
        <w:rPr>
          <w:rFonts w:eastAsia="Times New Roman" w:cs="Charis SIL"/>
          <w:smallCaps/>
          <w:sz w:val="18"/>
          <w:szCs w:val="18"/>
          <w:lang w:val="en-GB" w:eastAsia="en-GB"/>
        </w:rPr>
        <w:t>Markus</w:t>
      </w:r>
    </w:p>
    <w:p w14:paraId="7E0182FA"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Mikke </w:t>
      </w:r>
      <w:r w:rsidRPr="00FB4EFA">
        <w:rPr>
          <w:rFonts w:eastAsia="Times New Roman" w:cs="Charis SIL"/>
          <w:smallCaps/>
          <w:sz w:val="18"/>
          <w:szCs w:val="18"/>
          <w:lang w:val="en-GB" w:eastAsia="en-GB"/>
        </w:rPr>
        <w:t>Mayer</w:t>
      </w:r>
    </w:p>
    <w:p w14:paraId="1B0AA0C4" w14:textId="2C2C168D"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Helle </w:t>
      </w:r>
      <w:r w:rsidRPr="00FB4EFA">
        <w:rPr>
          <w:rFonts w:eastAsia="Times New Roman" w:cs="Charis SIL"/>
          <w:smallCaps/>
          <w:sz w:val="18"/>
          <w:szCs w:val="18"/>
          <w:lang w:val="en-GB" w:eastAsia="en-GB"/>
        </w:rPr>
        <w:t>Metslang</w:t>
      </w:r>
    </w:p>
    <w:p w14:paraId="3269E9DA" w14:textId="4B90C097" w:rsidR="00032DC9" w:rsidRPr="00FB4EFA" w:rsidRDefault="00032DC9"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mallCaps/>
          <w:sz w:val="18"/>
          <w:szCs w:val="18"/>
          <w:lang w:val="en-GB" w:eastAsia="en-GB"/>
        </w:rPr>
        <w:t xml:space="preserve">Molnár </w:t>
      </w:r>
      <w:r w:rsidRPr="00FB4EFA">
        <w:rPr>
          <w:rFonts w:eastAsia="Times New Roman" w:cs="Charis SIL"/>
          <w:sz w:val="18"/>
          <w:szCs w:val="18"/>
          <w:lang w:val="en-GB" w:eastAsia="en-GB"/>
        </w:rPr>
        <w:t>Zoltán</w:t>
      </w:r>
    </w:p>
    <w:p w14:paraId="01C64112"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Wolfgang </w:t>
      </w:r>
      <w:r w:rsidRPr="00FB4EFA">
        <w:rPr>
          <w:rFonts w:eastAsia="Times New Roman" w:cs="Charis SIL"/>
          <w:smallCaps/>
          <w:sz w:val="18"/>
          <w:szCs w:val="18"/>
          <w:lang w:val="en-GB" w:eastAsia="en-GB"/>
        </w:rPr>
        <w:t>Müller-Funk</w:t>
      </w:r>
    </w:p>
    <w:p w14:paraId="46768421" w14:textId="1B2E6C39" w:rsidR="00FD2C40" w:rsidRPr="00FB4EFA" w:rsidRDefault="00FD2C40" w:rsidP="00402EF4">
      <w:pPr>
        <w:tabs>
          <w:tab w:val="left" w:pos="1467"/>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Maximilian </w:t>
      </w:r>
      <w:r w:rsidRPr="00FB4EFA">
        <w:rPr>
          <w:rFonts w:eastAsia="Times New Roman" w:cs="Charis SIL"/>
          <w:smallCaps/>
          <w:sz w:val="18"/>
          <w:szCs w:val="18"/>
          <w:lang w:val="en-GB" w:eastAsia="en-GB"/>
        </w:rPr>
        <w:t>Murmann</w:t>
      </w:r>
    </w:p>
    <w:p w14:paraId="2DBAF60E" w14:textId="339717BD"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Merit </w:t>
      </w:r>
      <w:r w:rsidRPr="00FB4EFA">
        <w:rPr>
          <w:rFonts w:eastAsia="Times New Roman" w:cs="Charis SIL"/>
          <w:smallCaps/>
          <w:sz w:val="18"/>
          <w:szCs w:val="18"/>
          <w:lang w:val="en-GB" w:eastAsia="en-GB"/>
        </w:rPr>
        <w:t>Niinemägi</w:t>
      </w:r>
    </w:p>
    <w:p w14:paraId="787E387F"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Miina </w:t>
      </w:r>
      <w:r w:rsidRPr="00FB4EFA">
        <w:rPr>
          <w:rFonts w:eastAsia="Times New Roman" w:cs="Charis SIL"/>
          <w:smallCaps/>
          <w:sz w:val="18"/>
          <w:szCs w:val="18"/>
          <w:lang w:val="en-GB" w:eastAsia="en-GB"/>
        </w:rPr>
        <w:t>Norvik</w:t>
      </w:r>
    </w:p>
    <w:p w14:paraId="1D4A66EF"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Pirkko </w:t>
      </w:r>
      <w:r w:rsidRPr="00FB4EFA">
        <w:rPr>
          <w:rFonts w:eastAsia="Times New Roman" w:cs="Charis SIL"/>
          <w:smallCaps/>
          <w:sz w:val="18"/>
          <w:szCs w:val="18"/>
          <w:lang w:val="en-GB" w:eastAsia="en-GB"/>
        </w:rPr>
        <w:t>Nuolijärvi</w:t>
      </w:r>
    </w:p>
    <w:p w14:paraId="4A5BAFF9"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Marja-Liisa </w:t>
      </w:r>
      <w:r w:rsidRPr="00FB4EFA">
        <w:rPr>
          <w:rFonts w:eastAsia="Times New Roman" w:cs="Charis SIL"/>
          <w:smallCaps/>
          <w:sz w:val="18"/>
          <w:szCs w:val="18"/>
          <w:lang w:val="en-GB" w:eastAsia="en-GB"/>
        </w:rPr>
        <w:t>Olthuis</w:t>
      </w:r>
    </w:p>
    <w:p w14:paraId="3A7AB26F"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Tiina </w:t>
      </w:r>
      <w:r w:rsidRPr="00FB4EFA">
        <w:rPr>
          <w:rFonts w:eastAsia="Times New Roman" w:cs="Charis SIL"/>
          <w:smallCaps/>
          <w:sz w:val="18"/>
          <w:szCs w:val="18"/>
          <w:lang w:val="en-GB" w:eastAsia="en-GB"/>
        </w:rPr>
        <w:t>Onikki-Rantajääskö</w:t>
      </w:r>
    </w:p>
    <w:p w14:paraId="101C1109" w14:textId="40D7D712"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Ötvös </w:t>
      </w:r>
      <w:r w:rsidRPr="00FB4EFA">
        <w:rPr>
          <w:rFonts w:eastAsia="Times New Roman" w:cs="Charis SIL"/>
          <w:sz w:val="18"/>
          <w:szCs w:val="18"/>
          <w:lang w:val="en-GB" w:eastAsia="en-GB"/>
        </w:rPr>
        <w:t>Péter</w:t>
      </w:r>
    </w:p>
    <w:p w14:paraId="3293381B" w14:textId="77777777" w:rsidR="00AF49B0" w:rsidRPr="00FB4EFA" w:rsidRDefault="00AF49B0" w:rsidP="00AF49B0">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Karl </w:t>
      </w:r>
      <w:r w:rsidRPr="00FB4EFA">
        <w:rPr>
          <w:rFonts w:eastAsia="Times New Roman" w:cs="Charis SIL"/>
          <w:smallCaps/>
          <w:sz w:val="18"/>
          <w:szCs w:val="18"/>
          <w:lang w:val="en-GB" w:eastAsia="en-GB"/>
        </w:rPr>
        <w:t>Pajusalu</w:t>
      </w:r>
    </w:p>
    <w:p w14:paraId="1FC64F67"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Renate </w:t>
      </w:r>
      <w:r w:rsidRPr="00FB4EFA">
        <w:rPr>
          <w:rFonts w:eastAsia="Times New Roman" w:cs="Charis SIL"/>
          <w:smallCaps/>
          <w:sz w:val="18"/>
          <w:szCs w:val="18"/>
          <w:lang w:val="en-GB" w:eastAsia="en-GB"/>
        </w:rPr>
        <w:t>Pajusalu</w:t>
      </w:r>
    </w:p>
    <w:p w14:paraId="6F18713D"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Marjatta </w:t>
      </w:r>
      <w:r w:rsidRPr="00FB4EFA">
        <w:rPr>
          <w:rFonts w:eastAsia="Times New Roman" w:cs="Charis SIL"/>
          <w:smallCaps/>
          <w:sz w:val="18"/>
          <w:szCs w:val="18"/>
          <w:lang w:val="en-GB" w:eastAsia="en-GB"/>
        </w:rPr>
        <w:t>Palander</w:t>
      </w:r>
    </w:p>
    <w:p w14:paraId="17BD1EEF"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Niko </w:t>
      </w:r>
      <w:r w:rsidRPr="00FB4EFA">
        <w:rPr>
          <w:rFonts w:eastAsia="Times New Roman" w:cs="Charis SIL"/>
          <w:smallCaps/>
          <w:sz w:val="18"/>
          <w:szCs w:val="18"/>
          <w:lang w:val="en-GB" w:eastAsia="en-GB"/>
        </w:rPr>
        <w:t>Partanen</w:t>
      </w:r>
    </w:p>
    <w:p w14:paraId="2A2F5E7F" w14:textId="7ECA9536" w:rsidR="00E0099C" w:rsidRPr="00FB4EFA" w:rsidRDefault="00E0099C"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Annika </w:t>
      </w:r>
      <w:r w:rsidRPr="00FB4EFA">
        <w:rPr>
          <w:rFonts w:eastAsia="Times New Roman" w:cs="Charis SIL"/>
          <w:smallCaps/>
          <w:sz w:val="18"/>
          <w:szCs w:val="18"/>
          <w:lang w:val="en-GB" w:eastAsia="en-GB"/>
        </w:rPr>
        <w:t>Pasanen</w:t>
      </w:r>
    </w:p>
    <w:p w14:paraId="4D586E58" w14:textId="3284C2BB"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Pesti </w:t>
      </w:r>
      <w:r w:rsidRPr="00FB4EFA">
        <w:rPr>
          <w:rFonts w:eastAsia="Times New Roman" w:cs="Charis SIL"/>
          <w:sz w:val="18"/>
          <w:szCs w:val="18"/>
          <w:lang w:val="en-GB" w:eastAsia="en-GB"/>
        </w:rPr>
        <w:t>Brigitta</w:t>
      </w:r>
    </w:p>
    <w:p w14:paraId="548E16A9"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Christian </w:t>
      </w:r>
      <w:r w:rsidRPr="00FB4EFA">
        <w:rPr>
          <w:rFonts w:eastAsia="Times New Roman" w:cs="Charis SIL"/>
          <w:smallCaps/>
          <w:sz w:val="18"/>
          <w:szCs w:val="18"/>
          <w:lang w:val="en-GB" w:eastAsia="en-GB"/>
        </w:rPr>
        <w:t>Pischlöger</w:t>
      </w:r>
    </w:p>
    <w:p w14:paraId="6A08326D"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Helen </w:t>
      </w:r>
      <w:r w:rsidRPr="00FB4EFA">
        <w:rPr>
          <w:rFonts w:eastAsia="Times New Roman" w:cs="Charis SIL"/>
          <w:smallCaps/>
          <w:sz w:val="18"/>
          <w:szCs w:val="18"/>
          <w:lang w:val="en-GB" w:eastAsia="en-GB"/>
        </w:rPr>
        <w:t>Plado</w:t>
      </w:r>
    </w:p>
    <w:p w14:paraId="6655807C"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Kristiina </w:t>
      </w:r>
      <w:r w:rsidRPr="00FB4EFA">
        <w:rPr>
          <w:rFonts w:eastAsia="Times New Roman" w:cs="Charis SIL"/>
          <w:smallCaps/>
          <w:sz w:val="18"/>
          <w:szCs w:val="18"/>
          <w:lang w:val="en-GB" w:eastAsia="en-GB"/>
        </w:rPr>
        <w:t>Praakli</w:t>
      </w:r>
    </w:p>
    <w:p w14:paraId="792F073C"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Timo </w:t>
      </w:r>
      <w:r w:rsidRPr="00FB4EFA">
        <w:rPr>
          <w:rFonts w:eastAsia="Times New Roman" w:cs="Charis SIL"/>
          <w:smallCaps/>
          <w:sz w:val="18"/>
          <w:szCs w:val="18"/>
          <w:lang w:val="en-GB" w:eastAsia="en-GB"/>
        </w:rPr>
        <w:t>Rantanen</w:t>
      </w:r>
    </w:p>
    <w:p w14:paraId="1C35821C"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Timothy </w:t>
      </w:r>
      <w:r w:rsidRPr="00FB4EFA">
        <w:rPr>
          <w:rFonts w:eastAsia="Times New Roman" w:cs="Charis SIL"/>
          <w:smallCaps/>
          <w:sz w:val="18"/>
          <w:szCs w:val="18"/>
          <w:lang w:val="en-GB" w:eastAsia="en-GB"/>
        </w:rPr>
        <w:t>Riese</w:t>
      </w:r>
    </w:p>
    <w:p w14:paraId="4BCD22A5"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Riikka </w:t>
      </w:r>
      <w:r w:rsidRPr="00FB4EFA">
        <w:rPr>
          <w:rFonts w:eastAsia="Times New Roman" w:cs="Charis SIL"/>
          <w:smallCaps/>
          <w:sz w:val="18"/>
          <w:szCs w:val="18"/>
          <w:lang w:val="en-GB" w:eastAsia="en-GB"/>
        </w:rPr>
        <w:t>Rossi</w:t>
      </w:r>
    </w:p>
    <w:p w14:paraId="17B6EFCE"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Sara </w:t>
      </w:r>
      <w:r w:rsidRPr="00FB4EFA">
        <w:rPr>
          <w:rFonts w:eastAsia="Times New Roman" w:cs="Charis SIL"/>
          <w:smallCaps/>
          <w:sz w:val="18"/>
          <w:szCs w:val="18"/>
          <w:lang w:val="en-GB" w:eastAsia="en-GB"/>
        </w:rPr>
        <w:t>Routarinne</w:t>
      </w:r>
    </w:p>
    <w:p w14:paraId="601A7FD6"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lastRenderedPageBreak/>
        <w:t xml:space="preserve">Fedor </w:t>
      </w:r>
      <w:r w:rsidRPr="00FB4EFA">
        <w:rPr>
          <w:rFonts w:eastAsia="Times New Roman" w:cs="Charis SIL"/>
          <w:smallCaps/>
          <w:sz w:val="18"/>
          <w:szCs w:val="18"/>
          <w:lang w:val="en-GB" w:eastAsia="en-GB"/>
        </w:rPr>
        <w:t>Rozhanskiy</w:t>
      </w:r>
    </w:p>
    <w:p w14:paraId="704D8E74" w14:textId="4DB69F4F" w:rsidR="00032DC9" w:rsidRPr="00FB4EFA" w:rsidRDefault="00032DC9"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Klaas </w:t>
      </w:r>
      <w:r w:rsidRPr="00FB4EFA">
        <w:rPr>
          <w:rFonts w:eastAsia="Times New Roman" w:cs="Charis SIL"/>
          <w:smallCaps/>
          <w:sz w:val="18"/>
          <w:szCs w:val="18"/>
          <w:lang w:val="en-GB" w:eastAsia="en-GB"/>
        </w:rPr>
        <w:t>Ruppel</w:t>
      </w:r>
    </w:p>
    <w:p w14:paraId="73A711F3" w14:textId="5C422335"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Eva </w:t>
      </w:r>
      <w:r w:rsidRPr="00FB4EFA">
        <w:rPr>
          <w:rFonts w:eastAsia="Times New Roman" w:cs="Charis SIL"/>
          <w:smallCaps/>
          <w:sz w:val="18"/>
          <w:szCs w:val="18"/>
          <w:lang w:val="en-GB" w:eastAsia="en-GB"/>
        </w:rPr>
        <w:t>Saar</w:t>
      </w:r>
    </w:p>
    <w:p w14:paraId="6B6895FB"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Janne </w:t>
      </w:r>
      <w:r w:rsidRPr="00FB4EFA">
        <w:rPr>
          <w:rFonts w:eastAsia="Times New Roman" w:cs="Charis SIL"/>
          <w:smallCaps/>
          <w:sz w:val="18"/>
          <w:szCs w:val="18"/>
          <w:lang w:val="en-GB" w:eastAsia="en-GB"/>
        </w:rPr>
        <w:t>Saarikivi</w:t>
      </w:r>
    </w:p>
    <w:p w14:paraId="264E9E05" w14:textId="4E5C257E"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Sirkka </w:t>
      </w:r>
      <w:r w:rsidRPr="00FB4EFA">
        <w:rPr>
          <w:rFonts w:eastAsia="Times New Roman" w:cs="Charis SIL"/>
          <w:smallCaps/>
          <w:sz w:val="18"/>
          <w:szCs w:val="18"/>
          <w:lang w:val="en-GB" w:eastAsia="en-GB"/>
        </w:rPr>
        <w:t>Saarinen</w:t>
      </w:r>
    </w:p>
    <w:p w14:paraId="3110E595"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Pekka </w:t>
      </w:r>
      <w:r w:rsidRPr="00FB4EFA">
        <w:rPr>
          <w:rFonts w:eastAsia="Times New Roman" w:cs="Charis SIL"/>
          <w:smallCaps/>
          <w:sz w:val="18"/>
          <w:szCs w:val="18"/>
          <w:lang w:val="en-GB" w:eastAsia="en-GB"/>
        </w:rPr>
        <w:t>Sammallahti</w:t>
      </w:r>
    </w:p>
    <w:p w14:paraId="70444EB5"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Sándor </w:t>
      </w:r>
      <w:r w:rsidRPr="00FB4EFA">
        <w:rPr>
          <w:rFonts w:eastAsia="Times New Roman" w:cs="Charis SIL"/>
          <w:sz w:val="18"/>
          <w:szCs w:val="18"/>
          <w:lang w:val="en-GB" w:eastAsia="en-GB"/>
        </w:rPr>
        <w:t>Klára</w:t>
      </w:r>
    </w:p>
    <w:p w14:paraId="0C6FBA51"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Anneli </w:t>
      </w:r>
      <w:r w:rsidRPr="00FB4EFA">
        <w:rPr>
          <w:rFonts w:eastAsia="Times New Roman" w:cs="Charis SIL"/>
          <w:smallCaps/>
          <w:sz w:val="18"/>
          <w:szCs w:val="18"/>
          <w:lang w:val="en-GB" w:eastAsia="en-GB"/>
        </w:rPr>
        <w:t>Sarhimaa</w:t>
      </w:r>
    </w:p>
    <w:p w14:paraId="2B939A1B"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Schein </w:t>
      </w:r>
      <w:r w:rsidRPr="00FB4EFA">
        <w:rPr>
          <w:rFonts w:eastAsia="Times New Roman" w:cs="Charis SIL"/>
          <w:sz w:val="18"/>
          <w:szCs w:val="18"/>
          <w:lang w:val="en-GB" w:eastAsia="en-GB"/>
        </w:rPr>
        <w:t>Gábor</w:t>
      </w:r>
    </w:p>
    <w:p w14:paraId="588BC451"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Andrea </w:t>
      </w:r>
      <w:r w:rsidRPr="00FB4EFA">
        <w:rPr>
          <w:rFonts w:eastAsia="Times New Roman" w:cs="Charis SIL"/>
          <w:smallCaps/>
          <w:sz w:val="18"/>
          <w:szCs w:val="18"/>
          <w:lang w:val="en-GB" w:eastAsia="en-GB"/>
        </w:rPr>
        <w:t>Seidler</w:t>
      </w:r>
    </w:p>
    <w:p w14:paraId="04F72E59"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Tõnu </w:t>
      </w:r>
      <w:r w:rsidRPr="00FB4EFA">
        <w:rPr>
          <w:rFonts w:eastAsia="Times New Roman" w:cs="Charis SIL"/>
          <w:smallCaps/>
          <w:sz w:val="18"/>
          <w:szCs w:val="18"/>
          <w:lang w:val="en-GB" w:eastAsia="en-GB"/>
        </w:rPr>
        <w:t>Seilenthal</w:t>
      </w:r>
    </w:p>
    <w:p w14:paraId="19B9B46C"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Ksenia </w:t>
      </w:r>
      <w:r w:rsidRPr="00FB4EFA">
        <w:rPr>
          <w:rFonts w:eastAsia="Times New Roman" w:cs="Charis SIL"/>
          <w:smallCaps/>
          <w:sz w:val="18"/>
          <w:szCs w:val="18"/>
          <w:lang w:val="en-GB" w:eastAsia="en-GB"/>
        </w:rPr>
        <w:t>Shagal</w:t>
      </w:r>
    </w:p>
    <w:p w14:paraId="044B4D88"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Susanna </w:t>
      </w:r>
      <w:r w:rsidRPr="00FB4EFA">
        <w:rPr>
          <w:rFonts w:eastAsia="Times New Roman" w:cs="Charis SIL"/>
          <w:smallCaps/>
          <w:sz w:val="18"/>
          <w:szCs w:val="18"/>
          <w:lang w:val="en-GB" w:eastAsia="en-GB"/>
        </w:rPr>
        <w:t>Shore</w:t>
      </w:r>
    </w:p>
    <w:p w14:paraId="57EA1A05"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Mari </w:t>
      </w:r>
      <w:r w:rsidRPr="00FB4EFA">
        <w:rPr>
          <w:rFonts w:eastAsia="Times New Roman" w:cs="Charis SIL"/>
          <w:smallCaps/>
          <w:sz w:val="18"/>
          <w:szCs w:val="18"/>
          <w:lang w:val="en-GB" w:eastAsia="en-GB"/>
        </w:rPr>
        <w:t>Siiroinen</w:t>
      </w:r>
    </w:p>
    <w:p w14:paraId="4AF513D3"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Sipőcz </w:t>
      </w:r>
      <w:r w:rsidRPr="00FB4EFA">
        <w:rPr>
          <w:rFonts w:eastAsia="Times New Roman" w:cs="Charis SIL"/>
          <w:sz w:val="18"/>
          <w:szCs w:val="18"/>
          <w:lang w:val="en-GB" w:eastAsia="en-GB"/>
        </w:rPr>
        <w:t>Katalin</w:t>
      </w:r>
    </w:p>
    <w:p w14:paraId="542D1D7D" w14:textId="1E6022B2" w:rsidR="000329BF" w:rsidRPr="00FB4EFA" w:rsidRDefault="000329BF"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z w:val="18"/>
          <w:szCs w:val="18"/>
          <w:lang w:val="en-GB" w:eastAsia="en-GB"/>
        </w:rPr>
        <w:t xml:space="preserve">Elena </w:t>
      </w:r>
      <w:r w:rsidRPr="00FB4EFA">
        <w:rPr>
          <w:rFonts w:eastAsia="Times New Roman" w:cs="Charis SIL"/>
          <w:smallCaps/>
          <w:sz w:val="18"/>
          <w:szCs w:val="18"/>
          <w:lang w:val="en-GB" w:eastAsia="en-GB"/>
        </w:rPr>
        <w:t>Skribnik</w:t>
      </w:r>
    </w:p>
    <w:p w14:paraId="37064F9C" w14:textId="17A9479D"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Marja-Leena </w:t>
      </w:r>
      <w:r w:rsidRPr="00FB4EFA">
        <w:rPr>
          <w:rFonts w:eastAsia="Times New Roman" w:cs="Charis SIL"/>
          <w:smallCaps/>
          <w:sz w:val="18"/>
          <w:szCs w:val="18"/>
          <w:lang w:val="en-GB" w:eastAsia="en-GB"/>
        </w:rPr>
        <w:t>Sorjonen</w:t>
      </w:r>
    </w:p>
    <w:p w14:paraId="0828D1DE"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Sia </w:t>
      </w:r>
      <w:r w:rsidRPr="00FB4EFA">
        <w:rPr>
          <w:rFonts w:eastAsia="Times New Roman" w:cs="Charis SIL"/>
          <w:smallCaps/>
          <w:sz w:val="18"/>
          <w:szCs w:val="18"/>
          <w:lang w:val="en-GB" w:eastAsia="en-GB"/>
        </w:rPr>
        <w:t>Spiliopoulou Åkermark</w:t>
      </w:r>
    </w:p>
    <w:p w14:paraId="0C3BEBBF" w14:textId="54B2B4E0"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Szeverényi </w:t>
      </w:r>
      <w:r w:rsidRPr="00FB4EFA">
        <w:rPr>
          <w:rFonts w:eastAsia="Times New Roman" w:cs="Charis SIL"/>
          <w:sz w:val="18"/>
          <w:szCs w:val="18"/>
          <w:lang w:val="en-GB" w:eastAsia="en-GB"/>
        </w:rPr>
        <w:t>Sándor</w:t>
      </w:r>
    </w:p>
    <w:p w14:paraId="458F1E13"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Timár </w:t>
      </w:r>
      <w:r w:rsidRPr="00FB4EFA">
        <w:rPr>
          <w:rFonts w:eastAsia="Times New Roman" w:cs="Charis SIL"/>
          <w:sz w:val="18"/>
          <w:szCs w:val="18"/>
          <w:lang w:val="en-GB" w:eastAsia="en-GB"/>
        </w:rPr>
        <w:t>Bogáta</w:t>
      </w:r>
    </w:p>
    <w:p w14:paraId="1E819C57"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Reetta </w:t>
      </w:r>
      <w:r w:rsidRPr="00FB4EFA">
        <w:rPr>
          <w:rFonts w:eastAsia="Times New Roman" w:cs="Charis SIL"/>
          <w:smallCaps/>
          <w:sz w:val="18"/>
          <w:szCs w:val="18"/>
          <w:lang w:val="en-GB" w:eastAsia="en-GB"/>
        </w:rPr>
        <w:t>Toivanen</w:t>
      </w:r>
    </w:p>
    <w:p w14:paraId="6D577C7C"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Trond </w:t>
      </w:r>
      <w:r w:rsidRPr="00FB4EFA">
        <w:rPr>
          <w:rFonts w:eastAsia="Times New Roman" w:cs="Charis SIL"/>
          <w:smallCaps/>
          <w:sz w:val="18"/>
          <w:szCs w:val="18"/>
          <w:lang w:val="en-GB" w:eastAsia="en-GB"/>
        </w:rPr>
        <w:t>Trosterud</w:t>
      </w:r>
    </w:p>
    <w:p w14:paraId="504F9ACE"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Jüri </w:t>
      </w:r>
      <w:r w:rsidRPr="00FB4EFA">
        <w:rPr>
          <w:rFonts w:eastAsia="Times New Roman" w:cs="Charis SIL"/>
          <w:smallCaps/>
          <w:sz w:val="18"/>
          <w:szCs w:val="18"/>
          <w:lang w:val="en-GB" w:eastAsia="en-GB"/>
        </w:rPr>
        <w:t>Valge</w:t>
      </w:r>
    </w:p>
    <w:p w14:paraId="18F2B11F"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Outi </w:t>
      </w:r>
      <w:r w:rsidRPr="00FB4EFA">
        <w:rPr>
          <w:rFonts w:eastAsia="Times New Roman" w:cs="Charis SIL"/>
          <w:smallCaps/>
          <w:sz w:val="18"/>
          <w:szCs w:val="18"/>
          <w:lang w:val="en-GB" w:eastAsia="en-GB"/>
        </w:rPr>
        <w:t>Vesakoski</w:t>
      </w:r>
    </w:p>
    <w:p w14:paraId="3181B566"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Eva </w:t>
      </w:r>
      <w:r w:rsidRPr="00FB4EFA">
        <w:rPr>
          <w:rFonts w:eastAsia="Times New Roman" w:cs="Charis SIL"/>
          <w:smallCaps/>
          <w:sz w:val="18"/>
          <w:szCs w:val="18"/>
          <w:lang w:val="en-GB" w:eastAsia="en-GB"/>
        </w:rPr>
        <w:t>Vetter</w:t>
      </w:r>
    </w:p>
    <w:p w14:paraId="5818DA4D" w14:textId="4E69D126"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Triinu </w:t>
      </w:r>
      <w:r w:rsidRPr="00FB4EFA">
        <w:rPr>
          <w:rFonts w:eastAsia="Times New Roman" w:cs="Charis SIL"/>
          <w:smallCaps/>
          <w:sz w:val="18"/>
          <w:szCs w:val="18"/>
          <w:lang w:val="en-GB" w:eastAsia="en-GB"/>
        </w:rPr>
        <w:t>Viilukas</w:t>
      </w:r>
    </w:p>
    <w:p w14:paraId="52BD8E67" w14:textId="54342DBE" w:rsidR="003144A9" w:rsidRPr="00FB4EFA" w:rsidRDefault="003144A9"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Maria </w:t>
      </w:r>
      <w:r w:rsidRPr="00FB4EFA">
        <w:rPr>
          <w:rFonts w:eastAsia="Times New Roman" w:cs="Charis SIL"/>
          <w:smallCaps/>
          <w:sz w:val="18"/>
          <w:szCs w:val="18"/>
          <w:lang w:val="en-GB" w:eastAsia="en-GB"/>
        </w:rPr>
        <w:t>Vilkuna</w:t>
      </w:r>
    </w:p>
    <w:p w14:paraId="4C7BAA6B"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Vincze </w:t>
      </w:r>
      <w:r w:rsidRPr="00FB4EFA">
        <w:rPr>
          <w:rFonts w:eastAsia="Times New Roman" w:cs="Charis SIL"/>
          <w:sz w:val="18"/>
          <w:szCs w:val="18"/>
          <w:lang w:val="en-GB" w:eastAsia="en-GB"/>
        </w:rPr>
        <w:t>Ferenc</w:t>
      </w:r>
    </w:p>
    <w:p w14:paraId="3F459AAC"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Susanna </w:t>
      </w:r>
      <w:r w:rsidRPr="00FB4EFA">
        <w:rPr>
          <w:rFonts w:eastAsia="Times New Roman" w:cs="Charis SIL"/>
          <w:smallCaps/>
          <w:sz w:val="18"/>
          <w:szCs w:val="18"/>
          <w:lang w:val="en-GB" w:eastAsia="en-GB"/>
        </w:rPr>
        <w:t>Virtanen</w:t>
      </w:r>
    </w:p>
    <w:p w14:paraId="6C4B7D1E" w14:textId="788F64B9"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mallCaps/>
          <w:sz w:val="18"/>
          <w:szCs w:val="18"/>
          <w:lang w:val="en-GB" w:eastAsia="en-GB"/>
        </w:rPr>
        <w:t>Vojter</w:t>
      </w:r>
      <w:r w:rsidR="00BB7B49" w:rsidRPr="00FB4EFA">
        <w:rPr>
          <w:rFonts w:eastAsia="Times New Roman" w:cs="Charis SIL"/>
          <w:smallCaps/>
          <w:sz w:val="18"/>
          <w:szCs w:val="18"/>
          <w:lang w:val="en-GB" w:eastAsia="en-GB"/>
        </w:rPr>
        <w:t xml:space="preserve"> </w:t>
      </w:r>
      <w:r w:rsidR="00BB7B49" w:rsidRPr="00FB4EFA">
        <w:rPr>
          <w:rFonts w:eastAsia="Times New Roman" w:cs="Charis SIL"/>
          <w:sz w:val="18"/>
          <w:szCs w:val="18"/>
          <w:lang w:val="en-GB" w:eastAsia="en-GB"/>
        </w:rPr>
        <w:t>Kitti</w:t>
      </w:r>
    </w:p>
    <w:p w14:paraId="270BD06D"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Wagner-Nagy </w:t>
      </w:r>
      <w:r w:rsidRPr="00FB4EFA">
        <w:rPr>
          <w:rFonts w:eastAsia="Times New Roman" w:cs="Charis SIL"/>
          <w:sz w:val="18"/>
          <w:szCs w:val="18"/>
          <w:lang w:val="en-GB" w:eastAsia="en-GB"/>
        </w:rPr>
        <w:t>Beáta</w:t>
      </w:r>
    </w:p>
    <w:p w14:paraId="0B47A810" w14:textId="77777777" w:rsidR="00CF7A83" w:rsidRPr="00FB4EFA" w:rsidRDefault="00CF7A83" w:rsidP="00402EF4">
      <w:pPr>
        <w:tabs>
          <w:tab w:val="left" w:pos="1467"/>
          <w:tab w:val="left" w:pos="2866"/>
        </w:tabs>
        <w:jc w:val="center"/>
        <w:rPr>
          <w:rFonts w:eastAsia="Times New Roman" w:cs="Charis SIL"/>
          <w:sz w:val="18"/>
          <w:szCs w:val="18"/>
          <w:lang w:val="en-GB" w:eastAsia="en-GB"/>
        </w:rPr>
      </w:pPr>
      <w:r w:rsidRPr="00FB4EFA">
        <w:rPr>
          <w:rFonts w:eastAsia="Times New Roman" w:cs="Charis SIL"/>
          <w:smallCaps/>
          <w:sz w:val="18"/>
          <w:szCs w:val="18"/>
          <w:lang w:val="en-GB" w:eastAsia="en-GB"/>
        </w:rPr>
        <w:t xml:space="preserve">Wirker-Dobány </w:t>
      </w:r>
      <w:r w:rsidRPr="00FB4EFA">
        <w:rPr>
          <w:rFonts w:eastAsia="Times New Roman" w:cs="Charis SIL"/>
          <w:sz w:val="18"/>
          <w:szCs w:val="18"/>
          <w:lang w:val="en-GB" w:eastAsia="en-GB"/>
        </w:rPr>
        <w:t>Katalin</w:t>
      </w:r>
    </w:p>
    <w:p w14:paraId="570725B5" w14:textId="77777777" w:rsidR="00CF7A83" w:rsidRPr="00FB4EFA" w:rsidRDefault="00CF7A83" w:rsidP="00402EF4">
      <w:pPr>
        <w:tabs>
          <w:tab w:val="left" w:pos="1467"/>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Antje </w:t>
      </w:r>
      <w:r w:rsidRPr="00FB4EFA">
        <w:rPr>
          <w:rFonts w:eastAsia="Times New Roman" w:cs="Charis SIL"/>
          <w:smallCaps/>
          <w:sz w:val="18"/>
          <w:szCs w:val="18"/>
          <w:lang w:val="en-GB" w:eastAsia="en-GB"/>
        </w:rPr>
        <w:t>Wischmann</w:t>
      </w:r>
    </w:p>
    <w:p w14:paraId="483E7DED"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Ruth </w:t>
      </w:r>
      <w:r w:rsidRPr="00FB4EFA">
        <w:rPr>
          <w:rFonts w:eastAsia="Times New Roman" w:cs="Charis SIL"/>
          <w:smallCaps/>
          <w:sz w:val="18"/>
          <w:szCs w:val="18"/>
          <w:lang w:val="en-GB" w:eastAsia="en-GB"/>
        </w:rPr>
        <w:t>Wodak</w:t>
      </w:r>
    </w:p>
    <w:p w14:paraId="2071B987" w14:textId="77777777" w:rsidR="00CF7A83" w:rsidRPr="00FB4EFA" w:rsidRDefault="00CF7A83" w:rsidP="00402EF4">
      <w:pPr>
        <w:tabs>
          <w:tab w:val="left" w:pos="1467"/>
          <w:tab w:val="left" w:pos="2866"/>
        </w:tabs>
        <w:jc w:val="center"/>
        <w:rPr>
          <w:rFonts w:eastAsia="Times New Roman" w:cs="Charis SIL"/>
          <w:smallCaps/>
          <w:sz w:val="18"/>
          <w:szCs w:val="18"/>
          <w:lang w:val="en-GB" w:eastAsia="en-GB"/>
        </w:rPr>
      </w:pPr>
      <w:r w:rsidRPr="00FB4EFA">
        <w:rPr>
          <w:rFonts w:eastAsia="Times New Roman" w:cs="Charis SIL"/>
          <w:sz w:val="18"/>
          <w:szCs w:val="18"/>
          <w:lang w:val="en-GB" w:eastAsia="en-GB"/>
        </w:rPr>
        <w:t xml:space="preserve">Jussi </w:t>
      </w:r>
      <w:r w:rsidRPr="00FB4EFA">
        <w:rPr>
          <w:rFonts w:eastAsia="Times New Roman" w:cs="Charis SIL"/>
          <w:smallCaps/>
          <w:sz w:val="18"/>
          <w:szCs w:val="18"/>
          <w:lang w:val="en-GB" w:eastAsia="en-GB"/>
        </w:rPr>
        <w:t>Ylikoski</w:t>
      </w:r>
    </w:p>
    <w:bookmarkEnd w:id="16"/>
    <w:p w14:paraId="0EA085FC" w14:textId="77777777" w:rsidR="00CF7A83" w:rsidRPr="00FB4EFA" w:rsidRDefault="00CF7A83" w:rsidP="00402EF4">
      <w:pPr>
        <w:sectPr w:rsidR="00CF7A83" w:rsidRPr="00FB4EFA" w:rsidSect="001E3989">
          <w:footnotePr>
            <w:numRestart w:val="eachSect"/>
          </w:footnotePr>
          <w:type w:val="continuous"/>
          <w:pgSz w:w="9180" w:h="13302"/>
          <w:pgMar w:top="779" w:right="1133" w:bottom="1132" w:left="1133" w:header="744" w:footer="720" w:gutter="0"/>
          <w:cols w:num="2" w:space="104"/>
          <w:titlePg/>
        </w:sectPr>
      </w:pPr>
    </w:p>
    <w:p w14:paraId="687C17D8" w14:textId="77777777" w:rsidR="00A96E85" w:rsidRPr="00FB4EFA" w:rsidRDefault="00A96E85" w:rsidP="00402EF4"/>
    <w:p w14:paraId="7BABA716" w14:textId="77777777" w:rsidR="00A96E85" w:rsidRPr="00FB4EFA" w:rsidRDefault="00A96E85" w:rsidP="00402EF4">
      <w:pPr>
        <w:spacing w:after="160"/>
        <w:jc w:val="center"/>
        <w:rPr>
          <w:smallCaps/>
          <w:sz w:val="48"/>
          <w:szCs w:val="48"/>
        </w:rPr>
        <w:sectPr w:rsidR="00A96E85" w:rsidRPr="00FB4EFA" w:rsidSect="00CF7A83">
          <w:footnotePr>
            <w:numRestart w:val="eachSect"/>
          </w:footnotePr>
          <w:type w:val="continuous"/>
          <w:pgSz w:w="9180" w:h="13302"/>
          <w:pgMar w:top="779" w:right="1133" w:bottom="1132" w:left="1133" w:header="744" w:footer="720" w:gutter="0"/>
          <w:cols w:space="720"/>
          <w:titlePg/>
        </w:sectPr>
      </w:pPr>
    </w:p>
    <w:p w14:paraId="0335ED3C" w14:textId="77777777" w:rsidR="00A96E85" w:rsidRPr="00FB4EFA" w:rsidRDefault="00A96E85" w:rsidP="00AF0CAD">
      <w:pPr>
        <w:pStyle w:val="Authors"/>
        <w:spacing w:line="259" w:lineRule="auto"/>
        <w:rPr>
          <w:color w:val="auto"/>
        </w:rPr>
      </w:pPr>
      <w:r w:rsidRPr="00FB4EFA">
        <w:rPr>
          <w:color w:val="auto"/>
        </w:rPr>
        <w:lastRenderedPageBreak/>
        <w:t>Petri Kallio</w:t>
      </w:r>
    </w:p>
    <w:p w14:paraId="46DABC30" w14:textId="77777777" w:rsidR="00A96E85" w:rsidRPr="00FB4EFA" w:rsidRDefault="00A96E85" w:rsidP="00402EF4"/>
    <w:p w14:paraId="5072496B" w14:textId="77777777" w:rsidR="00A96E85" w:rsidRPr="00FB4EFA" w:rsidRDefault="00A96E85" w:rsidP="00AC1192">
      <w:pPr>
        <w:pStyle w:val="Heading1"/>
        <w:suppressAutoHyphens/>
        <w:spacing w:line="259" w:lineRule="auto"/>
        <w:ind w:right="74"/>
        <w:rPr>
          <w:color w:val="auto"/>
          <w:lang w:val="en-IE"/>
        </w:rPr>
      </w:pPr>
      <w:bookmarkStart w:id="17" w:name="_Toc87546998"/>
      <w:bookmarkStart w:id="18" w:name="_Ref90999260"/>
      <w:r w:rsidRPr="00FB4EFA">
        <w:rPr>
          <w:color w:val="auto"/>
          <w:lang w:val="en-IE"/>
        </w:rPr>
        <w:t xml:space="preserve">The etymology of Finnish </w:t>
      </w:r>
      <w:r w:rsidRPr="00FB4EFA">
        <w:rPr>
          <w:i/>
          <w:color w:val="auto"/>
          <w:lang w:val="en-IE"/>
        </w:rPr>
        <w:t>laakso</w:t>
      </w:r>
      <w:r w:rsidRPr="00FB4EFA">
        <w:rPr>
          <w:color w:val="auto"/>
          <w:lang w:val="en-IE"/>
        </w:rPr>
        <w:t xml:space="preserve"> ‘valley’</w:t>
      </w:r>
      <w:r w:rsidRPr="00FB4EFA">
        <w:rPr>
          <w:rFonts w:ascii="Cambria" w:hAnsi="Cambria"/>
          <w:color w:val="auto"/>
          <w:vertAlign w:val="superscript"/>
          <w:lang w:val="en-IE"/>
        </w:rPr>
        <w:footnoteReference w:id="11"/>
      </w:r>
      <w:bookmarkEnd w:id="17"/>
      <w:bookmarkEnd w:id="18"/>
    </w:p>
    <w:p w14:paraId="4B775F65" w14:textId="77777777" w:rsidR="00A96E85" w:rsidRPr="00FB4EFA" w:rsidRDefault="00A96E85" w:rsidP="002B5C82">
      <w:pPr>
        <w:spacing w:line="240" w:lineRule="auto"/>
        <w:ind w:left="2608"/>
        <w:rPr>
          <w:sz w:val="20"/>
          <w:szCs w:val="20"/>
          <w:lang w:val="en-IE"/>
        </w:rPr>
      </w:pPr>
      <w:r w:rsidRPr="00FB4EFA">
        <w:rPr>
          <w:sz w:val="20"/>
          <w:szCs w:val="20"/>
          <w:lang w:val="en-IE"/>
        </w:rPr>
        <w:t>Words for ‘valley’ are mostly connected with words applied to curved, hollow shapes, from a common notion of ‘bend, curve’.</w:t>
      </w:r>
    </w:p>
    <w:p w14:paraId="3D937125" w14:textId="77777777" w:rsidR="00A96E85" w:rsidRPr="00FB4EFA" w:rsidRDefault="00A96E85" w:rsidP="002B5C82">
      <w:pPr>
        <w:spacing w:after="240" w:line="240" w:lineRule="auto"/>
        <w:jc w:val="right"/>
        <w:rPr>
          <w:sz w:val="20"/>
          <w:szCs w:val="20"/>
          <w:lang w:val="en-IE"/>
        </w:rPr>
      </w:pPr>
      <w:r w:rsidRPr="00FB4EFA">
        <w:rPr>
          <w:sz w:val="20"/>
          <w:szCs w:val="20"/>
          <w:lang w:val="en-IE"/>
        </w:rPr>
        <w:t>Carl Darling Buck 1949</w:t>
      </w:r>
    </w:p>
    <w:p w14:paraId="5C686EE8" w14:textId="298BB210" w:rsidR="00A96E85" w:rsidRPr="00FB4EFA" w:rsidRDefault="00A96E85" w:rsidP="00AF0CAD">
      <w:pPr>
        <w:spacing w:after="240"/>
        <w:rPr>
          <w:lang w:val="en-IE"/>
        </w:rPr>
      </w:pPr>
      <w:r w:rsidRPr="00FB4EFA">
        <w:rPr>
          <w:lang w:val="en-IE"/>
        </w:rPr>
        <w:t xml:space="preserve">Thanks to our esteemed jubilarian, the world knows the Finnish word </w:t>
      </w:r>
      <w:r w:rsidRPr="00FB4EFA">
        <w:rPr>
          <w:i/>
          <w:lang w:val="en-IE"/>
        </w:rPr>
        <w:t>laakso</w:t>
      </w:r>
      <w:r w:rsidR="00A067C2" w:rsidRPr="00FB4EFA">
        <w:rPr>
          <w:iCs/>
          <w:lang w:val="en-IE"/>
        </w:rPr>
        <w:t>,</w:t>
      </w:r>
      <w:r w:rsidRPr="00FB4EFA">
        <w:rPr>
          <w:lang w:val="en-IE"/>
        </w:rPr>
        <w:t xml:space="preserve"> meaning ‘valley, lowland, glen, dell’, in the South Ostrobothnian dialect also ‘pond, puddle’. The long vowel is not only secondary but also recent, since throughout the 16</w:t>
      </w:r>
      <w:r w:rsidR="00EA1F7E" w:rsidRPr="00FB4EFA">
        <w:rPr>
          <w:vertAlign w:val="superscript"/>
          <w:lang w:val="en-IE"/>
        </w:rPr>
        <w:t>th</w:t>
      </w:r>
      <w:r w:rsidRPr="00FB4EFA">
        <w:rPr>
          <w:lang w:val="en-IE"/>
        </w:rPr>
        <w:t xml:space="preserve"> and 17</w:t>
      </w:r>
      <w:r w:rsidR="00EA1F7E" w:rsidRPr="00FB4EFA">
        <w:rPr>
          <w:vertAlign w:val="superscript"/>
          <w:lang w:val="en-IE"/>
        </w:rPr>
        <w:t>th</w:t>
      </w:r>
      <w:r w:rsidRPr="00FB4EFA">
        <w:rPr>
          <w:lang w:val="en-IE"/>
        </w:rPr>
        <w:t xml:space="preserve"> centuries the word was always written as </w:t>
      </w:r>
      <w:r w:rsidRPr="00FB4EFA">
        <w:rPr>
          <w:i/>
          <w:lang w:val="en-IE"/>
        </w:rPr>
        <w:t>laxo</w:t>
      </w:r>
      <w:r w:rsidRPr="00FB4EFA">
        <w:rPr>
          <w:lang w:val="en-IE"/>
        </w:rPr>
        <w:t xml:space="preserve">, whereas </w:t>
      </w:r>
      <w:r w:rsidRPr="00FB4EFA">
        <w:rPr>
          <w:i/>
          <w:lang w:val="en-IE"/>
        </w:rPr>
        <w:t>laaxo</w:t>
      </w:r>
      <w:r w:rsidRPr="00FB4EFA">
        <w:rPr>
          <w:lang w:val="en-IE"/>
        </w:rPr>
        <w:t xml:space="preserve"> did not become common until the 18</w:t>
      </w:r>
      <w:r w:rsidR="00EA1F7E" w:rsidRPr="00FB4EFA">
        <w:rPr>
          <w:vertAlign w:val="superscript"/>
          <w:lang w:val="en-IE"/>
        </w:rPr>
        <w:t>th</w:t>
      </w:r>
      <w:r w:rsidR="00EA1F7E" w:rsidRPr="00FB4EFA">
        <w:rPr>
          <w:lang w:val="en-IE"/>
        </w:rPr>
        <w:t xml:space="preserve"> </w:t>
      </w:r>
      <w:r w:rsidRPr="00FB4EFA">
        <w:rPr>
          <w:lang w:val="en-IE"/>
        </w:rPr>
        <w:t xml:space="preserve">century (VKS s.v. </w:t>
      </w:r>
      <w:r w:rsidRPr="00FB4EFA">
        <w:rPr>
          <w:i/>
          <w:lang w:val="en-IE"/>
        </w:rPr>
        <w:t>laakso</w:t>
      </w:r>
      <w:r w:rsidRPr="00FB4EFA">
        <w:rPr>
          <w:lang w:val="en-IE"/>
        </w:rPr>
        <w:t xml:space="preserve">). The primary short-vowel form </w:t>
      </w:r>
      <w:r w:rsidRPr="00FB4EFA">
        <w:rPr>
          <w:i/>
          <w:lang w:val="en-IE"/>
        </w:rPr>
        <w:t>lakso</w:t>
      </w:r>
      <w:r w:rsidRPr="00FB4EFA">
        <w:rPr>
          <w:lang w:val="en-IE"/>
        </w:rPr>
        <w:t xml:space="preserve"> is still dialectally widespread and, </w:t>
      </w:r>
      <w:r w:rsidR="00A067C2" w:rsidRPr="00FB4EFA">
        <w:rPr>
          <w:lang w:val="en-IE"/>
        </w:rPr>
        <w:t>above</w:t>
      </w:r>
      <w:r w:rsidRPr="00FB4EFA">
        <w:rPr>
          <w:lang w:val="en-IE"/>
        </w:rPr>
        <w:t xml:space="preserve"> all, attested in the geographically most peripheral dialects from Ingria to Finnmark (SMS s.v. </w:t>
      </w:r>
      <w:r w:rsidRPr="00FB4EFA">
        <w:rPr>
          <w:i/>
          <w:lang w:val="en-IE"/>
        </w:rPr>
        <w:t>laakso</w:t>
      </w:r>
      <w:r w:rsidRPr="00FB4EFA">
        <w:rPr>
          <w:lang w:val="en-IE"/>
        </w:rPr>
        <w:t xml:space="preserve">). Furthermore, the cognates in the other Finnic languages unambiguously point to the short-vowel reconstruction </w:t>
      </w:r>
      <w:r w:rsidRPr="00FB4EFA">
        <w:rPr>
          <w:i/>
          <w:lang w:val="en-IE"/>
        </w:rPr>
        <w:t>*lakso</w:t>
      </w:r>
      <w:r w:rsidRPr="00FB4EFA">
        <w:rPr>
          <w:lang w:val="en-IE"/>
        </w:rPr>
        <w:t xml:space="preserve"> </w:t>
      </w:r>
      <w:r w:rsidRPr="00FB4EFA">
        <w:rPr>
          <w:rFonts w:cs="Times New Roman"/>
          <w:lang w:val="en-IE"/>
        </w:rPr>
        <w:t>~</w:t>
      </w:r>
      <w:r w:rsidRPr="00FB4EFA">
        <w:rPr>
          <w:lang w:val="en-IE"/>
        </w:rPr>
        <w:t xml:space="preserve"> </w:t>
      </w:r>
      <w:r w:rsidRPr="00FB4EFA">
        <w:rPr>
          <w:i/>
          <w:lang w:val="en-IE"/>
        </w:rPr>
        <w:t>*laksu</w:t>
      </w:r>
      <w:r w:rsidRPr="00FB4EFA">
        <w:rPr>
          <w:lang w:val="en-IE"/>
        </w:rPr>
        <w:t xml:space="preserve"> (SSA 1995: 32):</w:t>
      </w:r>
    </w:p>
    <w:p w14:paraId="2D73ABA6" w14:textId="77777777" w:rsidR="00A96E85" w:rsidRPr="00FB4EFA" w:rsidRDefault="00A96E85" w:rsidP="00AF0CAD">
      <w:pPr>
        <w:keepNext/>
        <w:numPr>
          <w:ilvl w:val="0"/>
          <w:numId w:val="1"/>
        </w:numPr>
        <w:ind w:left="714" w:hanging="357"/>
        <w:rPr>
          <w:lang w:val="en-IE"/>
        </w:rPr>
      </w:pPr>
      <w:r w:rsidRPr="00FB4EFA">
        <w:rPr>
          <w:lang w:val="en-IE"/>
        </w:rPr>
        <w:t xml:space="preserve">Ingrian </w:t>
      </w:r>
      <w:r w:rsidRPr="00FB4EFA">
        <w:rPr>
          <w:i/>
          <w:lang w:val="en-IE"/>
        </w:rPr>
        <w:t>laksu</w:t>
      </w:r>
      <w:r w:rsidRPr="00FB4EFA">
        <w:rPr>
          <w:lang w:val="en-IE"/>
        </w:rPr>
        <w:t xml:space="preserve">, </w:t>
      </w:r>
      <w:r w:rsidRPr="00FB4EFA">
        <w:rPr>
          <w:i/>
          <w:lang w:val="en-IE"/>
        </w:rPr>
        <w:t>lakso</w:t>
      </w:r>
      <w:r w:rsidRPr="00FB4EFA">
        <w:rPr>
          <w:lang w:val="en-IE"/>
        </w:rPr>
        <w:t xml:space="preserve"> ‘glade, field’ (Nirvi 1971: 246).</w:t>
      </w:r>
    </w:p>
    <w:p w14:paraId="498CD253" w14:textId="7E0546AE" w:rsidR="00A96E85" w:rsidRPr="00FB4EFA" w:rsidRDefault="00A96E85" w:rsidP="00AF0CAD">
      <w:pPr>
        <w:keepNext/>
        <w:numPr>
          <w:ilvl w:val="0"/>
          <w:numId w:val="1"/>
        </w:numPr>
        <w:ind w:left="714" w:hanging="357"/>
        <w:rPr>
          <w:lang w:val="en-IE"/>
        </w:rPr>
      </w:pPr>
      <w:r w:rsidRPr="00FB4EFA">
        <w:rPr>
          <w:lang w:val="en-IE"/>
        </w:rPr>
        <w:t xml:space="preserve">Karelian </w:t>
      </w:r>
      <w:r w:rsidRPr="00FB4EFA">
        <w:rPr>
          <w:i/>
          <w:lang w:val="en-IE"/>
        </w:rPr>
        <w:t>lak</w:t>
      </w:r>
      <w:r w:rsidR="004D0C6C" w:rsidRPr="00FB4EFA">
        <w:rPr>
          <w:i/>
          <w:lang w:val="en-IE"/>
        </w:rPr>
        <w:t>š</w:t>
      </w:r>
      <w:r w:rsidRPr="00FB4EFA">
        <w:rPr>
          <w:i/>
          <w:lang w:val="en-IE"/>
        </w:rPr>
        <w:t>u</w:t>
      </w:r>
      <w:r w:rsidRPr="00FB4EFA">
        <w:rPr>
          <w:lang w:val="en-IE"/>
        </w:rPr>
        <w:t xml:space="preserve"> ‘glen, bog hole’ (KKS s.v. </w:t>
      </w:r>
      <w:r w:rsidRPr="00FB4EFA">
        <w:rPr>
          <w:i/>
          <w:lang w:val="en-IE"/>
        </w:rPr>
        <w:t>lak</w:t>
      </w:r>
      <w:r w:rsidR="004D0C6C" w:rsidRPr="00FB4EFA">
        <w:rPr>
          <w:i/>
          <w:lang w:val="en-IE"/>
        </w:rPr>
        <w:t>š</w:t>
      </w:r>
      <w:r w:rsidRPr="00FB4EFA">
        <w:rPr>
          <w:i/>
          <w:lang w:val="en-IE"/>
        </w:rPr>
        <w:t>u</w:t>
      </w:r>
      <w:r w:rsidRPr="00FB4EFA">
        <w:rPr>
          <w:lang w:val="en-IE"/>
        </w:rPr>
        <w:t>).</w:t>
      </w:r>
    </w:p>
    <w:p w14:paraId="3A6D9DE2" w14:textId="77777777" w:rsidR="00A96E85" w:rsidRPr="00FB4EFA" w:rsidRDefault="00A96E85" w:rsidP="00AF0CAD">
      <w:pPr>
        <w:keepNext/>
        <w:numPr>
          <w:ilvl w:val="0"/>
          <w:numId w:val="1"/>
        </w:numPr>
        <w:ind w:left="714" w:hanging="357"/>
        <w:rPr>
          <w:lang w:val="en-IE"/>
        </w:rPr>
      </w:pPr>
      <w:r w:rsidRPr="00FB4EFA">
        <w:rPr>
          <w:lang w:val="en-IE"/>
        </w:rPr>
        <w:t xml:space="preserve">Veps </w:t>
      </w:r>
      <w:r w:rsidRPr="00FB4EFA">
        <w:rPr>
          <w:i/>
          <w:lang w:val="en-IE"/>
        </w:rPr>
        <w:t>laks</w:t>
      </w:r>
      <w:r w:rsidRPr="00FB4EFA">
        <w:rPr>
          <w:lang w:val="en-IE"/>
        </w:rPr>
        <w:t xml:space="preserve"> (gen. </w:t>
      </w:r>
      <w:r w:rsidRPr="00FB4EFA">
        <w:rPr>
          <w:i/>
          <w:lang w:val="en-IE"/>
        </w:rPr>
        <w:t>lakson</w:t>
      </w:r>
      <w:r w:rsidRPr="00FB4EFA">
        <w:rPr>
          <w:lang w:val="en-IE"/>
        </w:rPr>
        <w:t>) ‘ravine’ (Zaiceva 2010: 208).</w:t>
      </w:r>
    </w:p>
    <w:p w14:paraId="1A4EB7E0" w14:textId="77777777" w:rsidR="00A96E85" w:rsidRPr="00FB4EFA" w:rsidRDefault="00A96E85" w:rsidP="00AF0CAD">
      <w:pPr>
        <w:keepNext/>
        <w:numPr>
          <w:ilvl w:val="0"/>
          <w:numId w:val="1"/>
        </w:numPr>
        <w:ind w:left="714" w:hanging="357"/>
        <w:rPr>
          <w:lang w:val="en-IE"/>
        </w:rPr>
      </w:pPr>
      <w:r w:rsidRPr="00FB4EFA">
        <w:rPr>
          <w:lang w:val="en-IE"/>
        </w:rPr>
        <w:t xml:space="preserve">Votic </w:t>
      </w:r>
      <w:r w:rsidRPr="00FB4EFA">
        <w:rPr>
          <w:i/>
          <w:lang w:val="en-IE"/>
        </w:rPr>
        <w:t>laksu</w:t>
      </w:r>
      <w:r w:rsidRPr="00FB4EFA">
        <w:rPr>
          <w:lang w:val="en-IE"/>
        </w:rPr>
        <w:t xml:space="preserve">, </w:t>
      </w:r>
      <w:r w:rsidRPr="00FB4EFA">
        <w:rPr>
          <w:i/>
          <w:lang w:val="en-IE"/>
        </w:rPr>
        <w:t>laksi</w:t>
      </w:r>
      <w:r w:rsidRPr="00FB4EFA">
        <w:rPr>
          <w:lang w:val="en-IE"/>
        </w:rPr>
        <w:t xml:space="preserve">, </w:t>
      </w:r>
      <w:r w:rsidRPr="00FB4EFA">
        <w:rPr>
          <w:i/>
          <w:lang w:val="en-IE"/>
        </w:rPr>
        <w:t>lakso</w:t>
      </w:r>
      <w:r w:rsidRPr="00FB4EFA">
        <w:rPr>
          <w:lang w:val="en-IE"/>
        </w:rPr>
        <w:t xml:space="preserve"> ‘glade’ (VOT 2013: 571–572).</w:t>
      </w:r>
    </w:p>
    <w:p w14:paraId="58F0DEDF" w14:textId="77777777" w:rsidR="00A96E85" w:rsidRPr="00FB4EFA" w:rsidRDefault="00A96E85" w:rsidP="00AF0CAD">
      <w:pPr>
        <w:numPr>
          <w:ilvl w:val="0"/>
          <w:numId w:val="1"/>
        </w:numPr>
        <w:rPr>
          <w:lang w:val="en-IE"/>
        </w:rPr>
      </w:pPr>
      <w:r w:rsidRPr="00FB4EFA">
        <w:rPr>
          <w:lang w:val="en-IE"/>
        </w:rPr>
        <w:t xml:space="preserve">Estonian (Martna) </w:t>
      </w:r>
      <w:r w:rsidRPr="00FB4EFA">
        <w:rPr>
          <w:i/>
          <w:lang w:val="en-IE"/>
        </w:rPr>
        <w:t>laks</w:t>
      </w:r>
      <w:r w:rsidRPr="00FB4EFA">
        <w:rPr>
          <w:lang w:val="en-IE"/>
        </w:rPr>
        <w:t xml:space="preserve"> (gen. </w:t>
      </w:r>
      <w:r w:rsidRPr="00FB4EFA">
        <w:rPr>
          <w:i/>
          <w:lang w:val="en-IE"/>
        </w:rPr>
        <w:t>laksu</w:t>
      </w:r>
      <w:r w:rsidRPr="00FB4EFA">
        <w:rPr>
          <w:lang w:val="en-IE"/>
        </w:rPr>
        <w:t xml:space="preserve">, </w:t>
      </w:r>
      <w:r w:rsidRPr="00FB4EFA">
        <w:rPr>
          <w:i/>
          <w:lang w:val="en-IE"/>
        </w:rPr>
        <w:t>lakso</w:t>
      </w:r>
      <w:r w:rsidRPr="00FB4EFA">
        <w:rPr>
          <w:lang w:val="en-IE"/>
        </w:rPr>
        <w:t xml:space="preserve">) ‘pond, puddle’ (EMS s.v. </w:t>
      </w:r>
      <w:r w:rsidRPr="00FB4EFA">
        <w:rPr>
          <w:i/>
          <w:lang w:val="en-IE"/>
        </w:rPr>
        <w:t>laks</w:t>
      </w:r>
      <w:r w:rsidRPr="00FB4EFA">
        <w:rPr>
          <w:rFonts w:cs="Times New Roman"/>
          <w:lang w:val="en-IE"/>
        </w:rPr>
        <w:t>₆</w:t>
      </w:r>
      <w:r w:rsidRPr="00FB4EFA">
        <w:rPr>
          <w:lang w:val="en-IE"/>
        </w:rPr>
        <w:t>).</w:t>
      </w:r>
      <w:r w:rsidRPr="00FB4EFA">
        <w:rPr>
          <w:vertAlign w:val="superscript"/>
          <w:lang w:val="en-IE"/>
        </w:rPr>
        <w:footnoteReference w:id="12"/>
      </w:r>
    </w:p>
    <w:p w14:paraId="2BA2EA54" w14:textId="7DA35280" w:rsidR="00A96E85" w:rsidRPr="00FB4EFA" w:rsidRDefault="00A96E85" w:rsidP="00AF0CAD">
      <w:pPr>
        <w:spacing w:before="240"/>
        <w:rPr>
          <w:lang w:val="en-IE"/>
        </w:rPr>
      </w:pPr>
      <w:r w:rsidRPr="00FB4EFA">
        <w:rPr>
          <w:lang w:val="en-IE"/>
        </w:rPr>
        <w:t xml:space="preserve">The Votic words (not mentioned by SSA) are evidently borrowings from Ingrian because in inherited vocabulary we would expect the shift </w:t>
      </w:r>
      <w:r w:rsidRPr="00FB4EFA">
        <w:rPr>
          <w:i/>
          <w:lang w:val="en-IE"/>
        </w:rPr>
        <w:t>ks</w:t>
      </w:r>
      <w:r w:rsidRPr="00FB4EFA">
        <w:rPr>
          <w:lang w:val="en-IE"/>
        </w:rPr>
        <w:t xml:space="preserve"> &gt; </w:t>
      </w:r>
      <w:r w:rsidRPr="00FB4EFA">
        <w:rPr>
          <w:i/>
          <w:lang w:val="en-IE"/>
        </w:rPr>
        <w:t>hs</w:t>
      </w:r>
      <w:r w:rsidRPr="00FB4EFA">
        <w:rPr>
          <w:lang w:val="en-IE"/>
        </w:rPr>
        <w:t xml:space="preserve">. As Estonian </w:t>
      </w:r>
      <w:r w:rsidRPr="00FB4EFA">
        <w:rPr>
          <w:i/>
          <w:lang w:val="en-IE"/>
        </w:rPr>
        <w:t>laks</w:t>
      </w:r>
      <w:r w:rsidRPr="00FB4EFA">
        <w:rPr>
          <w:lang w:val="en-IE"/>
        </w:rPr>
        <w:t xml:space="preserve"> is attested in only one (former) parish, the distribution of the word family is therefore almost limited to North Finnic. Namely, all the suggested extra-Finnic cognates have already been rejected: Komi </w:t>
      </w:r>
      <w:r w:rsidRPr="00FB4EFA">
        <w:rPr>
          <w:rFonts w:cs="Times New Roman"/>
          <w:i/>
          <w:lang w:val="en-IE"/>
        </w:rPr>
        <w:t>лос</w:t>
      </w:r>
      <w:r w:rsidRPr="00FB4EFA">
        <w:rPr>
          <w:lang w:val="en-IE"/>
        </w:rPr>
        <w:t xml:space="preserve"> </w:t>
      </w:r>
      <w:r w:rsidRPr="00FB4EFA">
        <w:rPr>
          <w:lang w:val="en-IE"/>
        </w:rPr>
        <w:lastRenderedPageBreak/>
        <w:t xml:space="preserve">‘moist lowland’ by UEW (1988: 683), </w:t>
      </w:r>
      <w:r w:rsidR="00B750B1" w:rsidRPr="00FB4EFA">
        <w:rPr>
          <w:lang w:val="en-IE"/>
        </w:rPr>
        <w:t xml:space="preserve">Hill </w:t>
      </w:r>
      <w:r w:rsidRPr="00FB4EFA">
        <w:rPr>
          <w:lang w:val="en-IE"/>
        </w:rPr>
        <w:t xml:space="preserve">Mari </w:t>
      </w:r>
      <w:r w:rsidRPr="00FB4EFA">
        <w:rPr>
          <w:rFonts w:cs="Times New Roman"/>
          <w:i/>
          <w:lang w:val="en-IE"/>
        </w:rPr>
        <w:t>лаксы</w:t>
      </w:r>
      <w:r w:rsidRPr="00FB4EFA">
        <w:rPr>
          <w:lang w:val="en-IE"/>
        </w:rPr>
        <w:t xml:space="preserve"> ‘pit, hollow’ by Riho Grünthal (1992: 225–227), and</w:t>
      </w:r>
      <w:r w:rsidR="00345F6D" w:rsidRPr="00FB4EFA">
        <w:rPr>
          <w:lang w:val="en-IE"/>
        </w:rPr>
        <w:t xml:space="preserve"> North</w:t>
      </w:r>
      <w:r w:rsidRPr="00FB4EFA">
        <w:rPr>
          <w:lang w:val="en-IE"/>
        </w:rPr>
        <w:t xml:space="preserve"> Saami </w:t>
      </w:r>
      <w:r w:rsidRPr="00FB4EFA">
        <w:rPr>
          <w:i/>
          <w:lang w:val="en-IE"/>
        </w:rPr>
        <w:t>leakšá</w:t>
      </w:r>
      <w:r w:rsidRPr="00FB4EFA">
        <w:rPr>
          <w:lang w:val="en-IE"/>
        </w:rPr>
        <w:t xml:space="preserve"> ‘boggy valley’ by Janne Saarikivi (2001: 101).</w:t>
      </w:r>
    </w:p>
    <w:p w14:paraId="1E83E854" w14:textId="5620148E" w:rsidR="00BE66D2" w:rsidRPr="00FB4EFA" w:rsidRDefault="00A96E85" w:rsidP="00AF0CAD">
      <w:pPr>
        <w:ind w:firstLine="709"/>
        <w:rPr>
          <w:lang w:val="en-IE"/>
        </w:rPr>
      </w:pPr>
      <w:r w:rsidRPr="00FB4EFA">
        <w:rPr>
          <w:lang w:val="en-IE"/>
        </w:rPr>
        <w:t xml:space="preserve">What we have left is dialectal Finnic </w:t>
      </w:r>
      <w:r w:rsidRPr="00FB4EFA">
        <w:rPr>
          <w:i/>
          <w:lang w:val="en-IE"/>
        </w:rPr>
        <w:t>*lakso</w:t>
      </w:r>
      <w:r w:rsidRPr="00FB4EFA">
        <w:rPr>
          <w:lang w:val="en-IE"/>
        </w:rPr>
        <w:t xml:space="preserve"> with no generally accepted external or internal etymology. For instance, the suggested Germanic source </w:t>
      </w:r>
      <w:r w:rsidRPr="00FB4EFA">
        <w:rPr>
          <w:i/>
          <w:lang w:val="en-IE"/>
        </w:rPr>
        <w:t>*slaga(n)-</w:t>
      </w:r>
      <w:r w:rsidRPr="00FB4EFA">
        <w:rPr>
          <w:lang w:val="en-IE"/>
        </w:rPr>
        <w:t xml:space="preserve"> ‘wetness’ (Katz 1990: 40) presupposes such a bizarre metathesis that any further criticism would be a waste of ammo (see already </w:t>
      </w:r>
      <w:r w:rsidR="002B5C82" w:rsidRPr="00FB4EFA">
        <w:rPr>
          <w:lang w:val="en-IE"/>
        </w:rPr>
        <w:t xml:space="preserve">LÄGLOS </w:t>
      </w:r>
      <w:r w:rsidRPr="00FB4EFA">
        <w:rPr>
          <w:lang w:val="en-IE"/>
        </w:rPr>
        <w:t xml:space="preserve">1996: 146–147). On the other hand, the rival idea to connect </w:t>
      </w:r>
      <w:r w:rsidRPr="00FB4EFA">
        <w:rPr>
          <w:i/>
          <w:lang w:val="en-IE"/>
        </w:rPr>
        <w:t>*lakso</w:t>
      </w:r>
      <w:r w:rsidRPr="00FB4EFA">
        <w:rPr>
          <w:lang w:val="en-IE"/>
        </w:rPr>
        <w:t xml:space="preserve"> with </w:t>
      </w:r>
      <w:r w:rsidRPr="00FB4EFA">
        <w:rPr>
          <w:i/>
          <w:lang w:val="en-IE"/>
        </w:rPr>
        <w:t>*la(a)këda</w:t>
      </w:r>
      <w:r w:rsidRPr="00FB4EFA">
        <w:rPr>
          <w:lang w:val="en-IE"/>
        </w:rPr>
        <w:t xml:space="preserve"> ‘flat, wide’ (Nikkilä 1998: 95–96) is based on the concept of “suffix alternation” stretching the standard word-formation rules (</w:t>
      </w:r>
      <w:r w:rsidR="00466236" w:rsidRPr="00FB4EFA">
        <w:rPr>
          <w:lang w:val="en-IE"/>
        </w:rPr>
        <w:t>cf. </w:t>
      </w:r>
      <w:r w:rsidRPr="00FB4EFA">
        <w:rPr>
          <w:lang w:val="en-IE"/>
        </w:rPr>
        <w:t>Laakso 2017: 138–141).</w:t>
      </w:r>
      <w:r w:rsidRPr="00FB4EFA">
        <w:rPr>
          <w:vertAlign w:val="superscript"/>
          <w:lang w:val="en-IE"/>
        </w:rPr>
        <w:footnoteReference w:id="13"/>
      </w:r>
    </w:p>
    <w:p w14:paraId="56DAFECD" w14:textId="73A01E47" w:rsidR="00A96E85" w:rsidRPr="00FB4EFA" w:rsidRDefault="00A96E85" w:rsidP="00AF0CAD">
      <w:pPr>
        <w:spacing w:after="240"/>
        <w:ind w:firstLine="709"/>
        <w:rPr>
          <w:lang w:val="en-IE"/>
        </w:rPr>
      </w:pPr>
      <w:r w:rsidRPr="00FB4EFA">
        <w:rPr>
          <w:lang w:val="en-IE"/>
        </w:rPr>
        <w:t xml:space="preserve">Hence, </w:t>
      </w:r>
      <w:r w:rsidRPr="00FB4EFA">
        <w:rPr>
          <w:i/>
          <w:lang w:val="en-IE"/>
        </w:rPr>
        <w:t>*lakso</w:t>
      </w:r>
      <w:r w:rsidRPr="00FB4EFA">
        <w:rPr>
          <w:lang w:val="en-IE"/>
        </w:rPr>
        <w:t xml:space="preserve"> lacks a convincing etymology, but does this automatically mean that it belongs to the most ancient autochthonous vocabulary (</w:t>
      </w:r>
      <w:r w:rsidR="00466236" w:rsidRPr="00FB4EFA">
        <w:rPr>
          <w:lang w:val="en-IE"/>
        </w:rPr>
        <w:t>cf. </w:t>
      </w:r>
      <w:r w:rsidRPr="00FB4EFA">
        <w:rPr>
          <w:lang w:val="en-IE"/>
        </w:rPr>
        <w:t>NES 2004: 552)? True, this is exactly what most Uralicists have traditionally thought, whereas most Indo-Europeanists would take such a word for a borrowing from some unknown source language. While both of these conclusions are admittedly based on negative evidence, it should not be too difficult to choose between “native” and “borrowed” (</w:t>
      </w:r>
      <w:r w:rsidR="00466236" w:rsidRPr="00FB4EFA">
        <w:rPr>
          <w:lang w:val="en-IE"/>
        </w:rPr>
        <w:t>cf. </w:t>
      </w:r>
      <w:r w:rsidRPr="00FB4EFA">
        <w:rPr>
          <w:lang w:val="en-IE"/>
        </w:rPr>
        <w:t>Laakso 2001) when our two alternatives are as follows:</w:t>
      </w:r>
      <w:r w:rsidRPr="00FB4EFA">
        <w:rPr>
          <w:vertAlign w:val="superscript"/>
          <w:lang w:val="en-IE"/>
        </w:rPr>
        <w:footnoteReference w:id="14"/>
      </w:r>
    </w:p>
    <w:p w14:paraId="2A6DF071" w14:textId="45C67E59" w:rsidR="00A96E85" w:rsidRPr="00FB4EFA" w:rsidRDefault="00A96E85" w:rsidP="00AF0CAD">
      <w:pPr>
        <w:ind w:left="851" w:hanging="567"/>
        <w:rPr>
          <w:lang w:val="en-IE"/>
        </w:rPr>
      </w:pPr>
      <w:r w:rsidRPr="00FB4EFA">
        <w:rPr>
          <w:iCs/>
          <w:lang w:val="en-IE"/>
        </w:rPr>
        <w:t>a)</w:t>
      </w:r>
      <w:r w:rsidRPr="00FB4EFA">
        <w:rPr>
          <w:iCs/>
          <w:lang w:val="en-IE"/>
        </w:rPr>
        <w:tab/>
      </w:r>
      <w:r w:rsidRPr="00FB4EFA">
        <w:rPr>
          <w:i/>
          <w:lang w:val="en-IE"/>
        </w:rPr>
        <w:t>*lakso</w:t>
      </w:r>
      <w:r w:rsidRPr="00FB4EFA">
        <w:rPr>
          <w:lang w:val="en-IE"/>
        </w:rPr>
        <w:t xml:space="preserve"> was inherited from Proto-Uralic but </w:t>
      </w:r>
      <w:r w:rsidR="00C23406" w:rsidRPr="00FB4EFA">
        <w:rPr>
          <w:lang w:val="en-IE"/>
        </w:rPr>
        <w:t xml:space="preserve">was </w:t>
      </w:r>
      <w:r w:rsidRPr="00FB4EFA">
        <w:rPr>
          <w:lang w:val="en-IE"/>
        </w:rPr>
        <w:t>later lost everywhere else in the Uralic language family apart from the Finnic languages mentioned above.</w:t>
      </w:r>
    </w:p>
    <w:p w14:paraId="56ADDD17" w14:textId="77777777" w:rsidR="00A96E85" w:rsidRPr="00FB4EFA" w:rsidRDefault="00A96E85" w:rsidP="00AF0CAD">
      <w:pPr>
        <w:ind w:left="851" w:hanging="567"/>
        <w:rPr>
          <w:lang w:val="en-IE"/>
        </w:rPr>
      </w:pPr>
      <w:r w:rsidRPr="00FB4EFA">
        <w:rPr>
          <w:iCs/>
          <w:lang w:val="en-IE"/>
        </w:rPr>
        <w:t>b)</w:t>
      </w:r>
      <w:r w:rsidRPr="00FB4EFA">
        <w:rPr>
          <w:iCs/>
          <w:lang w:val="en-IE"/>
        </w:rPr>
        <w:tab/>
      </w:r>
      <w:r w:rsidRPr="00FB4EFA">
        <w:rPr>
          <w:i/>
          <w:lang w:val="en-IE"/>
        </w:rPr>
        <w:t>*lakso</w:t>
      </w:r>
      <w:r w:rsidRPr="00FB4EFA">
        <w:rPr>
          <w:lang w:val="en-IE"/>
        </w:rPr>
        <w:t xml:space="preserve"> was borrowed into North-Central Finnic from some unknown source language which later became extinct.</w:t>
      </w:r>
    </w:p>
    <w:p w14:paraId="6707A47A" w14:textId="05E27E40" w:rsidR="00A96E85" w:rsidRPr="00FB4EFA" w:rsidRDefault="00A96E85" w:rsidP="00AF0CAD">
      <w:pPr>
        <w:spacing w:before="240"/>
        <w:rPr>
          <w:lang w:val="en-IE"/>
        </w:rPr>
      </w:pPr>
      <w:r w:rsidRPr="00FB4EFA">
        <w:rPr>
          <w:lang w:val="en-IE"/>
        </w:rPr>
        <w:lastRenderedPageBreak/>
        <w:t xml:space="preserve">It goes without saying that the latter alternative makes more sense </w:t>
      </w:r>
      <w:r w:rsidR="005101CF" w:rsidRPr="00FB4EFA">
        <w:rPr>
          <w:lang w:val="en-IE"/>
        </w:rPr>
        <w:t>–</w:t>
      </w:r>
      <w:r w:rsidRPr="00FB4EFA">
        <w:rPr>
          <w:lang w:val="en-IE"/>
        </w:rPr>
        <w:t xml:space="preserve"> especially now when the Uralic language family has been shown to be a Bronze-Age newcomer in the eastern Baltic Sea region (Lang 2018)</w:t>
      </w:r>
      <w:r w:rsidR="00C23406" w:rsidRPr="00FB4EFA">
        <w:rPr>
          <w:lang w:val="en-IE"/>
        </w:rPr>
        <w:t>,</w:t>
      </w:r>
      <w:r w:rsidRPr="00FB4EFA">
        <w:rPr>
          <w:lang w:val="en-IE"/>
        </w:rPr>
        <w:t xml:space="preserve"> whose earlier languages were assimilated by Finnic as well as Saami. Such an assimilation process must have left linguistic traces known as substrate features, for which </w:t>
      </w:r>
      <w:r w:rsidRPr="00FB4EFA">
        <w:rPr>
          <w:i/>
          <w:lang w:val="en-IE"/>
        </w:rPr>
        <w:t>*lakso</w:t>
      </w:r>
      <w:r w:rsidR="00C23406" w:rsidRPr="00FB4EFA">
        <w:rPr>
          <w:iCs/>
          <w:lang w:val="en-IE"/>
        </w:rPr>
        <w:t>, as a geographic term,</w:t>
      </w:r>
      <w:r w:rsidRPr="00FB4EFA">
        <w:rPr>
          <w:lang w:val="en-IE"/>
        </w:rPr>
        <w:t xml:space="preserve"> is an excellent candidate (Saarikivi 2004: 203). Besides, Saami </w:t>
      </w:r>
      <w:r w:rsidRPr="00FB4EFA">
        <w:rPr>
          <w:i/>
          <w:lang w:val="en-IE"/>
        </w:rPr>
        <w:t>leakšá</w:t>
      </w:r>
      <w:r w:rsidRPr="00FB4EFA">
        <w:rPr>
          <w:lang w:val="en-IE"/>
        </w:rPr>
        <w:t xml:space="preserve">, too, has already been mentioned as a potential substrate word (Aikio 2004: 11), and although it cannot go back to the same proto-form as Finnic </w:t>
      </w:r>
      <w:r w:rsidRPr="00FB4EFA">
        <w:rPr>
          <w:i/>
          <w:lang w:val="en-IE"/>
        </w:rPr>
        <w:t>*lakso</w:t>
      </w:r>
      <w:r w:rsidRPr="00FB4EFA">
        <w:rPr>
          <w:lang w:val="en-IE"/>
        </w:rPr>
        <w:t>, their irregular sound correspondences could be explained by borrowing from the same unknown source language.</w:t>
      </w:r>
    </w:p>
    <w:p w14:paraId="2B3DD674" w14:textId="304B8A22" w:rsidR="00A96E85" w:rsidRPr="00FB4EFA" w:rsidRDefault="00A96E85" w:rsidP="00AF0CAD">
      <w:pPr>
        <w:ind w:firstLine="709"/>
        <w:rPr>
          <w:lang w:val="en-IE"/>
        </w:rPr>
      </w:pPr>
      <w:r w:rsidRPr="00FB4EFA">
        <w:rPr>
          <w:lang w:val="en-IE"/>
        </w:rPr>
        <w:t xml:space="preserve">While all this sounds perfectly plausible, there is of course a problem of circularity: Finnic </w:t>
      </w:r>
      <w:r w:rsidRPr="00FB4EFA">
        <w:rPr>
          <w:i/>
          <w:lang w:val="en-IE"/>
        </w:rPr>
        <w:t>*lakso</w:t>
      </w:r>
      <w:r w:rsidRPr="00FB4EFA">
        <w:rPr>
          <w:lang w:val="en-IE"/>
        </w:rPr>
        <w:t xml:space="preserve"> and Saami </w:t>
      </w:r>
      <w:r w:rsidRPr="00FB4EFA">
        <w:rPr>
          <w:i/>
          <w:lang w:val="en-IE"/>
        </w:rPr>
        <w:t>leakšá</w:t>
      </w:r>
      <w:r w:rsidRPr="00FB4EFA">
        <w:rPr>
          <w:lang w:val="en-IE"/>
        </w:rPr>
        <w:t xml:space="preserve"> are our only evidence of the word from which they were allegedly borrowed. Even worse, it is a methodological pitfall to posit unknown languages in order to explain irregular sound correspondences in known languages. Despite making more linguistic sense, the explanatory value of such substrate arguments is not really higher than that of all those sporadic sound changes posited by old-school Uralicists in order to explain everything. As far as Saami is concerned, there are fortunately hundreds of other possible substrate words making the case stronger (see Aikio 2004, 2012: 80–88).</w:t>
      </w:r>
    </w:p>
    <w:p w14:paraId="0C24A3E3" w14:textId="36479D61" w:rsidR="00BE66D2" w:rsidRPr="00FB4EFA" w:rsidRDefault="00A96E85" w:rsidP="00AF0CAD">
      <w:pPr>
        <w:ind w:firstLine="709"/>
        <w:rPr>
          <w:lang w:val="en-IE"/>
        </w:rPr>
      </w:pPr>
      <w:r w:rsidRPr="00FB4EFA">
        <w:rPr>
          <w:lang w:val="en-IE"/>
        </w:rPr>
        <w:t xml:space="preserve">Yet Finnic is another story because the number of potential substrate words is considerably smaller, not to mention that hardly anything in their phonology, word formation, etc. points to a non-Uralic origin. Meanwhile, Finnic has a couple of hundreds of borrowings from Baltic, traditionally interpreted as superstrate words. This interpretation was perfectly reasonable as long as Uralic was thought to have arrived near the Baltic Sea before Indo-European. Since things have now changed, the Baltic loanwords in Finnic should be reanalysed as substrate words </w:t>
      </w:r>
      <w:r w:rsidR="00120273" w:rsidRPr="00FB4EFA">
        <w:rPr>
          <w:lang w:val="en-IE"/>
        </w:rPr>
        <w:br/>
      </w:r>
      <w:r w:rsidRPr="00FB4EFA">
        <w:rPr>
          <w:lang w:val="en-IE"/>
        </w:rPr>
        <w:t>(Parpola 2012: 133; Kallio 2015: 87–90). Among other things, they include particularly many geographical terms typical of substrate influence (Vaba 2011: 756–757).</w:t>
      </w:r>
    </w:p>
    <w:p w14:paraId="36E81EF1" w14:textId="601B7360" w:rsidR="00A96E85" w:rsidRPr="00FB4EFA" w:rsidRDefault="00A96E85" w:rsidP="00AF0CAD">
      <w:pPr>
        <w:spacing w:after="240"/>
        <w:ind w:firstLine="709"/>
        <w:rPr>
          <w:lang w:val="en-IE"/>
        </w:rPr>
      </w:pPr>
      <w:r w:rsidRPr="00FB4EFA">
        <w:rPr>
          <w:lang w:val="en-IE"/>
        </w:rPr>
        <w:t xml:space="preserve">One of the Finnic geographical terms of Baltic origin is Finno-Saamic </w:t>
      </w:r>
      <w:r w:rsidRPr="00FB4EFA">
        <w:rPr>
          <w:i/>
          <w:lang w:val="en-IE"/>
        </w:rPr>
        <w:t>*lakt</w:t>
      </w:r>
      <w:r w:rsidRPr="00FB4EFA">
        <w:rPr>
          <w:rFonts w:cs="Times New Roman"/>
          <w:i/>
          <w:lang w:val="en-IE"/>
        </w:rPr>
        <w:t>ə̑</w:t>
      </w:r>
      <w:r w:rsidRPr="00FB4EFA">
        <w:rPr>
          <w:lang w:val="en-IE"/>
        </w:rPr>
        <w:t xml:space="preserve"> ‘bay’ &gt; Finnish </w:t>
      </w:r>
      <w:r w:rsidRPr="00FB4EFA">
        <w:rPr>
          <w:i/>
          <w:lang w:val="en-IE"/>
        </w:rPr>
        <w:t>laksi</w:t>
      </w:r>
      <w:r w:rsidRPr="00FB4EFA">
        <w:rPr>
          <w:lang w:val="en-IE"/>
        </w:rPr>
        <w:t xml:space="preserve"> (replaced by </w:t>
      </w:r>
      <w:r w:rsidRPr="00FB4EFA">
        <w:rPr>
          <w:i/>
          <w:lang w:val="en-IE"/>
        </w:rPr>
        <w:t>lahti</w:t>
      </w:r>
      <w:r w:rsidRPr="00FB4EFA">
        <w:rPr>
          <w:lang w:val="en-IE"/>
        </w:rPr>
        <w:t xml:space="preserve"> due to the analogy of the oblique stem </w:t>
      </w:r>
      <w:r w:rsidRPr="00FB4EFA">
        <w:rPr>
          <w:i/>
          <w:lang w:val="en-IE"/>
        </w:rPr>
        <w:t>lahte-</w:t>
      </w:r>
      <w:r w:rsidRPr="00FB4EFA">
        <w:rPr>
          <w:lang w:val="en-IE"/>
        </w:rPr>
        <w:t xml:space="preserve">), </w:t>
      </w:r>
      <w:r w:rsidR="00345F6D" w:rsidRPr="00FB4EFA">
        <w:rPr>
          <w:lang w:val="en-IE"/>
        </w:rPr>
        <w:t xml:space="preserve">North </w:t>
      </w:r>
      <w:r w:rsidRPr="00FB4EFA">
        <w:rPr>
          <w:lang w:val="en-IE"/>
        </w:rPr>
        <w:t xml:space="preserve">Saami </w:t>
      </w:r>
      <w:r w:rsidRPr="00FB4EFA">
        <w:rPr>
          <w:i/>
          <w:lang w:val="en-IE"/>
        </w:rPr>
        <w:t>luokta</w:t>
      </w:r>
      <w:r w:rsidRPr="00FB4EFA">
        <w:rPr>
          <w:lang w:val="en-IE"/>
        </w:rPr>
        <w:t xml:space="preserve">, etc. Lauri Posti (1977: 267–268) connected this word with Latvian (Curonianism) </w:t>
      </w:r>
      <w:r w:rsidRPr="00FB4EFA">
        <w:rPr>
          <w:i/>
          <w:lang w:val="en-IE"/>
        </w:rPr>
        <w:t>lañktis</w:t>
      </w:r>
      <w:r w:rsidRPr="00FB4EFA">
        <w:rPr>
          <w:lang w:val="en-IE"/>
        </w:rPr>
        <w:t xml:space="preserve"> ‘yarn wind</w:t>
      </w:r>
      <w:r w:rsidRPr="00FB4EFA">
        <w:rPr>
          <w:lang w:val="en-IE"/>
        </w:rPr>
        <w:lastRenderedPageBreak/>
        <w:t xml:space="preserve">er’, Lithuanian </w:t>
      </w:r>
      <w:r w:rsidRPr="00FB4EFA">
        <w:rPr>
          <w:i/>
          <w:lang w:val="en-IE"/>
        </w:rPr>
        <w:t>lañktis</w:t>
      </w:r>
      <w:r w:rsidRPr="00FB4EFA">
        <w:rPr>
          <w:lang w:val="en-IE"/>
        </w:rPr>
        <w:t xml:space="preserve"> ‘yarn winder’, and Old Prussian </w:t>
      </w:r>
      <w:r w:rsidRPr="00FB4EFA">
        <w:rPr>
          <w:i/>
          <w:lang w:val="en-IE"/>
        </w:rPr>
        <w:t>lanctis</w:t>
      </w:r>
      <w:r w:rsidRPr="00FB4EFA">
        <w:rPr>
          <w:lang w:val="en-IE"/>
        </w:rPr>
        <w:t xml:space="preserve"> ‘oven fork’. His etymology only makes semantic sense if one knows that all these words go back to the Baltic word for ‘bend, curve’ derived from the verbal root </w:t>
      </w:r>
      <w:r w:rsidRPr="00FB4EFA">
        <w:rPr>
          <w:i/>
          <w:lang w:val="en-IE"/>
        </w:rPr>
        <w:t>*lenk-</w:t>
      </w:r>
      <w:r w:rsidRPr="00FB4EFA">
        <w:rPr>
          <w:lang w:val="en-IE"/>
        </w:rPr>
        <w:t xml:space="preserve"> ‘to bend’ whose derivatives also include Latvian </w:t>
      </w:r>
      <w:r w:rsidRPr="00FB4EFA">
        <w:rPr>
          <w:i/>
          <w:lang w:val="en-IE"/>
        </w:rPr>
        <w:t>l</w:t>
      </w:r>
      <w:r w:rsidRPr="00FB4EFA">
        <w:rPr>
          <w:rFonts w:cs="Times New Roman"/>
          <w:i/>
          <w:lang w:val="en-IE"/>
        </w:rPr>
        <w:t>ī</w:t>
      </w:r>
      <w:r w:rsidRPr="00FB4EFA">
        <w:rPr>
          <w:i/>
          <w:lang w:val="en-IE"/>
        </w:rPr>
        <w:t>cis</w:t>
      </w:r>
      <w:r w:rsidRPr="00FB4EFA">
        <w:rPr>
          <w:lang w:val="en-IE"/>
        </w:rPr>
        <w:t xml:space="preserve"> and </w:t>
      </w:r>
      <w:r w:rsidRPr="00FB4EFA">
        <w:rPr>
          <w:rFonts w:cs="Charis SIL"/>
          <w:lang w:val="en-IE"/>
        </w:rPr>
        <w:t>Lithuanian</w:t>
      </w:r>
      <w:r w:rsidR="00EF0FBC" w:rsidRPr="00FB4EFA">
        <w:rPr>
          <w:rFonts w:cs="Charis SIL"/>
          <w:lang w:val="en-IE"/>
        </w:rPr>
        <w:t xml:space="preserve"> </w:t>
      </w:r>
      <w:bookmarkStart w:id="19" w:name="_Hlk104307386"/>
      <w:r w:rsidR="00FB2F9E" w:rsidRPr="00FB4EFA">
        <w:rPr>
          <w:rFonts w:cs="Charis SIL"/>
          <w:i/>
          <w:lang w:val="en-IE"/>
        </w:rPr>
        <w:t>į́lanka</w:t>
      </w:r>
      <w:bookmarkEnd w:id="19"/>
      <w:r w:rsidRPr="00FB4EFA">
        <w:rPr>
          <w:rFonts w:cs="Charis SIL"/>
          <w:lang w:val="en-IE"/>
        </w:rPr>
        <w:t xml:space="preserve">, both meaning ‘bay’. However, the derivatives of </w:t>
      </w:r>
      <w:r w:rsidRPr="00FB4EFA">
        <w:rPr>
          <w:rFonts w:cs="Charis SIL"/>
          <w:i/>
          <w:lang w:val="en-IE"/>
        </w:rPr>
        <w:t>*lenk-</w:t>
      </w:r>
      <w:r w:rsidRPr="00FB4EFA">
        <w:rPr>
          <w:rFonts w:cs="Charis SIL"/>
          <w:lang w:val="en-IE"/>
        </w:rPr>
        <w:t xml:space="preserve"> do not end here, but</w:t>
      </w:r>
      <w:r w:rsidRPr="00FB4EFA">
        <w:rPr>
          <w:lang w:val="en-IE"/>
        </w:rPr>
        <w:t xml:space="preserve"> especially the following are semantically interesting (Derksen 2015: 272–273, 280, 287):</w:t>
      </w:r>
    </w:p>
    <w:p w14:paraId="01F7D9CC" w14:textId="77777777" w:rsidR="00A96E85" w:rsidRPr="00FB4EFA" w:rsidRDefault="00A96E85" w:rsidP="00AF0CAD">
      <w:pPr>
        <w:numPr>
          <w:ilvl w:val="0"/>
          <w:numId w:val="2"/>
        </w:numPr>
        <w:rPr>
          <w:lang w:val="en-IE"/>
        </w:rPr>
      </w:pPr>
      <w:r w:rsidRPr="00FB4EFA">
        <w:rPr>
          <w:lang w:val="en-IE"/>
        </w:rPr>
        <w:t xml:space="preserve">Latvian </w:t>
      </w:r>
      <w:bookmarkStart w:id="20" w:name="_Hlk104307418"/>
      <w:r w:rsidRPr="00FB4EFA">
        <w:rPr>
          <w:i/>
          <w:lang w:val="en-IE"/>
        </w:rPr>
        <w:t>lañka</w:t>
      </w:r>
      <w:r w:rsidRPr="00FB4EFA">
        <w:rPr>
          <w:lang w:val="en-IE"/>
        </w:rPr>
        <w:t xml:space="preserve"> </w:t>
      </w:r>
      <w:bookmarkEnd w:id="20"/>
      <w:r w:rsidRPr="00FB4EFA">
        <w:rPr>
          <w:lang w:val="en-IE"/>
        </w:rPr>
        <w:t>‘bend of a river, big low-lying meadow, big puddle’.</w:t>
      </w:r>
    </w:p>
    <w:p w14:paraId="1C6B1D36" w14:textId="77777777" w:rsidR="00A96E85" w:rsidRPr="00FB4EFA" w:rsidRDefault="00A96E85" w:rsidP="00AF0CAD">
      <w:pPr>
        <w:numPr>
          <w:ilvl w:val="0"/>
          <w:numId w:val="2"/>
        </w:numPr>
        <w:rPr>
          <w:lang w:val="en-IE"/>
        </w:rPr>
      </w:pPr>
      <w:r w:rsidRPr="00FB4EFA">
        <w:rPr>
          <w:lang w:val="en-IE"/>
        </w:rPr>
        <w:t xml:space="preserve">Lithuanian </w:t>
      </w:r>
      <w:r w:rsidRPr="00FB4EFA">
        <w:rPr>
          <w:i/>
          <w:lang w:val="en-IE"/>
        </w:rPr>
        <w:t>lankà</w:t>
      </w:r>
      <w:r w:rsidRPr="00FB4EFA">
        <w:rPr>
          <w:lang w:val="en-IE"/>
        </w:rPr>
        <w:t xml:space="preserve"> ‘water-meadow, swamp, valley, vale’; </w:t>
      </w:r>
      <w:r w:rsidRPr="00FB4EFA">
        <w:rPr>
          <w:i/>
          <w:lang w:val="en-IE"/>
        </w:rPr>
        <w:t>lénk</w:t>
      </w:r>
      <w:r w:rsidRPr="00FB4EFA">
        <w:rPr>
          <w:rFonts w:cs="Times New Roman"/>
          <w:i/>
          <w:lang w:val="en-IE"/>
        </w:rPr>
        <w:t>ė</w:t>
      </w:r>
      <w:r w:rsidRPr="00FB4EFA">
        <w:rPr>
          <w:lang w:val="en-IE"/>
        </w:rPr>
        <w:t xml:space="preserve"> ‘vale, depression, moist and boggy place, meadow, marsh’; </w:t>
      </w:r>
      <w:r w:rsidRPr="00FB4EFA">
        <w:rPr>
          <w:i/>
          <w:lang w:val="en-IE"/>
        </w:rPr>
        <w:t>lìnka</w:t>
      </w:r>
      <w:r w:rsidRPr="00FB4EFA">
        <w:rPr>
          <w:lang w:val="en-IE"/>
        </w:rPr>
        <w:t xml:space="preserve"> ‘hollow, depression’; </w:t>
      </w:r>
      <w:r w:rsidRPr="00FB4EFA">
        <w:rPr>
          <w:i/>
          <w:lang w:val="en-IE"/>
        </w:rPr>
        <w:t>lìnkis</w:t>
      </w:r>
      <w:r w:rsidRPr="00FB4EFA">
        <w:rPr>
          <w:lang w:val="en-IE"/>
        </w:rPr>
        <w:t xml:space="preserve"> ‘bend, curve, vale, dale’.</w:t>
      </w:r>
    </w:p>
    <w:p w14:paraId="138D23DD" w14:textId="56D8A1CC" w:rsidR="00BE66D2" w:rsidRPr="00FB4EFA" w:rsidRDefault="00A96E85" w:rsidP="00AF0CAD">
      <w:pPr>
        <w:spacing w:before="240"/>
        <w:rPr>
          <w:lang w:val="en-IE"/>
        </w:rPr>
      </w:pPr>
      <w:r w:rsidRPr="00FB4EFA">
        <w:rPr>
          <w:lang w:val="en-IE"/>
        </w:rPr>
        <w:t xml:space="preserve">Indeed, we are now suspiciously close to the meanings of North-Central Finnic </w:t>
      </w:r>
      <w:r w:rsidRPr="00FB4EFA">
        <w:rPr>
          <w:i/>
          <w:lang w:val="en-IE"/>
        </w:rPr>
        <w:t>*lakso</w:t>
      </w:r>
      <w:r w:rsidRPr="00FB4EFA">
        <w:rPr>
          <w:lang w:val="en-IE"/>
        </w:rPr>
        <w:t>. Thus, let us follow Posti’s footsteps: since Lithuanian</w:t>
      </w:r>
      <w:r w:rsidRPr="00FB4EFA">
        <w:rPr>
          <w:i/>
          <w:lang w:val="en-IE"/>
        </w:rPr>
        <w:t xml:space="preserve"> lañktis</w:t>
      </w:r>
      <w:r w:rsidRPr="00FB4EFA">
        <w:rPr>
          <w:lang w:val="en-IE"/>
        </w:rPr>
        <w:t xml:space="preserve"> (gen. </w:t>
      </w:r>
      <w:r w:rsidRPr="00FB4EFA">
        <w:rPr>
          <w:i/>
          <w:lang w:val="en-IE"/>
        </w:rPr>
        <w:t>lañk</w:t>
      </w:r>
      <w:r w:rsidRPr="00FB4EFA">
        <w:rPr>
          <w:rFonts w:cs="Times New Roman"/>
          <w:i/>
          <w:lang w:val="en-IE"/>
        </w:rPr>
        <w:t>č</w:t>
      </w:r>
      <w:r w:rsidRPr="00FB4EFA">
        <w:rPr>
          <w:i/>
          <w:lang w:val="en-IE"/>
        </w:rPr>
        <w:t>io</w:t>
      </w:r>
      <w:r w:rsidRPr="00FB4EFA">
        <w:rPr>
          <w:lang w:val="en-IE"/>
        </w:rPr>
        <w:t xml:space="preserve">) is a </w:t>
      </w:r>
      <w:r w:rsidRPr="00FB4EFA">
        <w:rPr>
          <w:i/>
          <w:lang w:val="en-IE"/>
        </w:rPr>
        <w:t>ja</w:t>
      </w:r>
      <w:r w:rsidRPr="00FB4EFA">
        <w:rPr>
          <w:lang w:val="en-IE"/>
        </w:rPr>
        <w:t xml:space="preserve">-stem, the Baltic proto-form can be reconstructed as </w:t>
      </w:r>
      <w:r w:rsidRPr="00FB4EFA">
        <w:rPr>
          <w:i/>
          <w:lang w:val="en-IE"/>
        </w:rPr>
        <w:t>*lanktja-</w:t>
      </w:r>
      <w:r w:rsidRPr="00FB4EFA">
        <w:rPr>
          <w:lang w:val="en-IE"/>
        </w:rPr>
        <w:t xml:space="preserve"> which would have been borrowed as Early or Middle Proto-Finnic </w:t>
      </w:r>
      <w:r w:rsidRPr="00FB4EFA">
        <w:rPr>
          <w:i/>
          <w:lang w:val="en-IE"/>
        </w:rPr>
        <w:t>*lak</w:t>
      </w:r>
      <w:r w:rsidRPr="00FB4EFA">
        <w:rPr>
          <w:rFonts w:cs="Times New Roman"/>
          <w:i/>
          <w:lang w:val="en-IE"/>
        </w:rPr>
        <w:t>ć</w:t>
      </w:r>
      <w:r w:rsidRPr="00FB4EFA">
        <w:rPr>
          <w:i/>
          <w:lang w:val="en-IE"/>
        </w:rPr>
        <w:t>a</w:t>
      </w:r>
      <w:r w:rsidRPr="00FB4EFA">
        <w:rPr>
          <w:lang w:val="en-IE"/>
        </w:rPr>
        <w:t xml:space="preserve"> or </w:t>
      </w:r>
      <w:r w:rsidRPr="00FB4EFA">
        <w:rPr>
          <w:i/>
          <w:lang w:val="en-IE"/>
        </w:rPr>
        <w:t>*lakca</w:t>
      </w:r>
      <w:r w:rsidRPr="00FB4EFA">
        <w:rPr>
          <w:lang w:val="en-IE"/>
        </w:rPr>
        <w:t xml:space="preserve">, because heavier consonant clusters were impossible. As for word-medial consonantism, Middle and Late Proto-Finnic </w:t>
      </w:r>
      <w:r w:rsidRPr="00FB4EFA">
        <w:rPr>
          <w:i/>
          <w:lang w:val="en-IE"/>
        </w:rPr>
        <w:t>*kc</w:t>
      </w:r>
      <w:r w:rsidRPr="00FB4EFA">
        <w:rPr>
          <w:lang w:val="en-IE"/>
        </w:rPr>
        <w:t xml:space="preserve"> yielded </w:t>
      </w:r>
      <w:r w:rsidRPr="00FB4EFA">
        <w:rPr>
          <w:i/>
          <w:lang w:val="en-IE"/>
        </w:rPr>
        <w:t>ks</w:t>
      </w:r>
      <w:r w:rsidRPr="00FB4EFA">
        <w:rPr>
          <w:lang w:val="en-IE"/>
        </w:rPr>
        <w:t xml:space="preserve"> except for South Estonian where we find </w:t>
      </w:r>
      <w:r w:rsidRPr="00FB4EFA">
        <w:rPr>
          <w:i/>
          <w:lang w:val="en-IE"/>
        </w:rPr>
        <w:t>ts</w:t>
      </w:r>
      <w:r w:rsidRPr="00FB4EFA">
        <w:rPr>
          <w:lang w:val="en-IE"/>
        </w:rPr>
        <w:t xml:space="preserve"> (</w:t>
      </w:r>
      <w:r w:rsidR="00466236" w:rsidRPr="00FB4EFA">
        <w:rPr>
          <w:lang w:val="en-IE"/>
        </w:rPr>
        <w:t>cf. </w:t>
      </w:r>
      <w:r w:rsidRPr="00FB4EFA">
        <w:rPr>
          <w:lang w:val="en-IE"/>
        </w:rPr>
        <w:t xml:space="preserve">Finnic </w:t>
      </w:r>
      <w:r w:rsidRPr="00FB4EFA">
        <w:rPr>
          <w:i/>
          <w:lang w:val="en-IE"/>
        </w:rPr>
        <w:t>*ükci</w:t>
      </w:r>
      <w:r w:rsidRPr="00FB4EFA">
        <w:rPr>
          <w:lang w:val="en-IE"/>
        </w:rPr>
        <w:t xml:space="preserve"> &gt; Finnish </w:t>
      </w:r>
      <w:r w:rsidRPr="00FB4EFA">
        <w:rPr>
          <w:i/>
          <w:lang w:val="en-IE"/>
        </w:rPr>
        <w:t>yksi</w:t>
      </w:r>
      <w:r w:rsidRPr="00FB4EFA">
        <w:rPr>
          <w:lang w:val="en-IE"/>
        </w:rPr>
        <w:t xml:space="preserve">, Võro </w:t>
      </w:r>
      <w:r w:rsidRPr="00FB4EFA">
        <w:rPr>
          <w:i/>
          <w:lang w:val="en-IE"/>
        </w:rPr>
        <w:t>üt</w:t>
      </w:r>
      <w:r w:rsidRPr="00FB4EFA">
        <w:rPr>
          <w:rFonts w:cs="Times New Roman"/>
          <w:i/>
          <w:lang w:val="en-IE"/>
        </w:rPr>
        <w:t>ś</w:t>
      </w:r>
      <w:r w:rsidRPr="00FB4EFA">
        <w:rPr>
          <w:lang w:val="en-IE"/>
        </w:rPr>
        <w:t xml:space="preserve"> ‘one’), but this time there is no South Estonian cognate. As for second-syllable vocalism, the labial vowel could be considered suffixal, judging from the irregular variation between </w:t>
      </w:r>
      <w:r w:rsidRPr="00FB4EFA">
        <w:rPr>
          <w:i/>
          <w:lang w:val="en-IE"/>
        </w:rPr>
        <w:t>*o</w:t>
      </w:r>
      <w:r w:rsidRPr="00FB4EFA">
        <w:rPr>
          <w:lang w:val="en-IE"/>
        </w:rPr>
        <w:t xml:space="preserve"> and </w:t>
      </w:r>
      <w:r w:rsidRPr="00FB4EFA">
        <w:rPr>
          <w:i/>
          <w:lang w:val="en-IE"/>
        </w:rPr>
        <w:t>*u</w:t>
      </w:r>
      <w:r w:rsidRPr="00FB4EFA">
        <w:rPr>
          <w:lang w:val="en-IE"/>
        </w:rPr>
        <w:t>.</w:t>
      </w:r>
    </w:p>
    <w:p w14:paraId="036A941D" w14:textId="77777777" w:rsidR="00BE66D2" w:rsidRPr="00FB4EFA" w:rsidRDefault="00A96E85" w:rsidP="00AF0CAD">
      <w:pPr>
        <w:ind w:firstLine="709"/>
        <w:rPr>
          <w:lang w:val="en-IE"/>
        </w:rPr>
      </w:pPr>
      <w:r w:rsidRPr="00FB4EFA">
        <w:rPr>
          <w:lang w:val="en-IE"/>
        </w:rPr>
        <w:t xml:space="preserve">Hence, there are no phonological problems to derive Finnic </w:t>
      </w:r>
      <w:r w:rsidRPr="00FB4EFA">
        <w:rPr>
          <w:i/>
          <w:lang w:val="en-IE"/>
        </w:rPr>
        <w:t>*lakco</w:t>
      </w:r>
      <w:r w:rsidRPr="00FB4EFA">
        <w:rPr>
          <w:lang w:val="en-IE"/>
        </w:rPr>
        <w:t xml:space="preserve"> from the similar Baltic source from which Posti derived Finno-Saamic </w:t>
      </w:r>
      <w:r w:rsidRPr="00FB4EFA">
        <w:rPr>
          <w:i/>
          <w:lang w:val="en-IE"/>
        </w:rPr>
        <w:t>*lakt</w:t>
      </w:r>
      <w:r w:rsidRPr="00FB4EFA">
        <w:rPr>
          <w:rFonts w:cs="Times New Roman"/>
          <w:i/>
          <w:lang w:val="en-IE"/>
        </w:rPr>
        <w:t>ə̑</w:t>
      </w:r>
      <w:r w:rsidRPr="00FB4EFA">
        <w:rPr>
          <w:lang w:val="en-IE"/>
        </w:rPr>
        <w:t>, the latter of which was probably an earlier borrowing due to its wider distribution.</w:t>
      </w:r>
      <w:r w:rsidRPr="00FB4EFA">
        <w:rPr>
          <w:vertAlign w:val="superscript"/>
          <w:lang w:val="en-IE"/>
        </w:rPr>
        <w:footnoteReference w:id="15"/>
      </w:r>
      <w:r w:rsidRPr="00FB4EFA">
        <w:rPr>
          <w:lang w:val="en-IE"/>
        </w:rPr>
        <w:t xml:space="preserve"> There are no semantic problems either because the shift from ‘bend’ to ‘valley’ is as well-attested as that from ‘bend’ to ‘bay’ (Buck 1949: 27–28, 38–39). Before anyone asks, the answer is no as to whether </w:t>
      </w:r>
      <w:r w:rsidRPr="00FB4EFA">
        <w:rPr>
          <w:i/>
          <w:lang w:val="en-IE"/>
        </w:rPr>
        <w:t>*lakco</w:t>
      </w:r>
      <w:r w:rsidRPr="00FB4EFA">
        <w:rPr>
          <w:lang w:val="en-IE"/>
        </w:rPr>
        <w:t xml:space="preserve"> could have been derived from </w:t>
      </w:r>
      <w:r w:rsidRPr="00FB4EFA">
        <w:rPr>
          <w:i/>
          <w:lang w:val="en-IE"/>
        </w:rPr>
        <w:t>*lakci</w:t>
      </w:r>
      <w:r w:rsidRPr="00FB4EFA">
        <w:rPr>
          <w:lang w:val="en-IE"/>
        </w:rPr>
        <w:t xml:space="preserve"> (&lt; </w:t>
      </w:r>
      <w:r w:rsidRPr="00FB4EFA">
        <w:rPr>
          <w:i/>
          <w:lang w:val="en-IE"/>
        </w:rPr>
        <w:t>*lakt</w:t>
      </w:r>
      <w:r w:rsidRPr="00FB4EFA">
        <w:rPr>
          <w:rFonts w:cs="Times New Roman"/>
          <w:i/>
          <w:lang w:val="en-IE"/>
        </w:rPr>
        <w:t>ə̑</w:t>
      </w:r>
      <w:r w:rsidRPr="00FB4EFA">
        <w:rPr>
          <w:lang w:val="en-IE"/>
        </w:rPr>
        <w:t xml:space="preserve">), because suffixal </w:t>
      </w:r>
      <w:r w:rsidRPr="00FB4EFA">
        <w:rPr>
          <w:i/>
          <w:lang w:val="en-IE"/>
        </w:rPr>
        <w:t>*o</w:t>
      </w:r>
      <w:r w:rsidRPr="00FB4EFA">
        <w:rPr>
          <w:lang w:val="en-IE"/>
        </w:rPr>
        <w:t xml:space="preserve"> would in no way have been added to the nominative </w:t>
      </w:r>
      <w:r w:rsidRPr="00FB4EFA">
        <w:rPr>
          <w:i/>
          <w:lang w:val="en-IE"/>
        </w:rPr>
        <w:t>*lakci</w:t>
      </w:r>
      <w:r w:rsidRPr="00FB4EFA">
        <w:rPr>
          <w:lang w:val="en-IE"/>
        </w:rPr>
        <w:t xml:space="preserve"> but to the oblique stem </w:t>
      </w:r>
      <w:r w:rsidRPr="00FB4EFA">
        <w:rPr>
          <w:i/>
          <w:lang w:val="en-IE"/>
        </w:rPr>
        <w:t>*laktë-</w:t>
      </w:r>
      <w:r w:rsidRPr="00FB4EFA">
        <w:rPr>
          <w:lang w:val="en-IE"/>
        </w:rPr>
        <w:t xml:space="preserve">, thus leading to </w:t>
      </w:r>
      <w:r w:rsidRPr="00FB4EFA">
        <w:rPr>
          <w:i/>
          <w:lang w:val="en-IE"/>
        </w:rPr>
        <w:t>**lakto</w:t>
      </w:r>
      <w:r w:rsidRPr="00FB4EFA">
        <w:rPr>
          <w:lang w:val="en-IE"/>
        </w:rPr>
        <w:t>.</w:t>
      </w:r>
    </w:p>
    <w:p w14:paraId="66CC35A3" w14:textId="6BAA6C16" w:rsidR="00BE66D2" w:rsidRPr="00FB4EFA" w:rsidRDefault="00A96E85" w:rsidP="00AF0CAD">
      <w:pPr>
        <w:ind w:firstLine="709"/>
        <w:rPr>
          <w:lang w:val="en-IE"/>
        </w:rPr>
      </w:pPr>
      <w:r w:rsidRPr="00FB4EFA">
        <w:rPr>
          <w:lang w:val="en-IE"/>
        </w:rPr>
        <w:lastRenderedPageBreak/>
        <w:t xml:space="preserve">Although Posti’s etymology for Finno-Saamic </w:t>
      </w:r>
      <w:r w:rsidRPr="00FB4EFA">
        <w:rPr>
          <w:i/>
          <w:lang w:val="en-IE"/>
        </w:rPr>
        <w:t>*lakt</w:t>
      </w:r>
      <w:r w:rsidRPr="00FB4EFA">
        <w:rPr>
          <w:rFonts w:cs="Times New Roman"/>
          <w:i/>
          <w:lang w:val="en-IE"/>
        </w:rPr>
        <w:t>ə̑</w:t>
      </w:r>
      <w:r w:rsidRPr="00FB4EFA">
        <w:rPr>
          <w:lang w:val="en-IE"/>
        </w:rPr>
        <w:t xml:space="preserve"> is now universally accepted, it was not an instant hit (see the appendix of Junttila 2015). It was not even mentioned by UEW (1988: 234)</w:t>
      </w:r>
      <w:r w:rsidR="00C23406" w:rsidRPr="00FB4EFA">
        <w:rPr>
          <w:lang w:val="en-IE"/>
        </w:rPr>
        <w:t>,</w:t>
      </w:r>
      <w:r w:rsidRPr="00FB4EFA">
        <w:rPr>
          <w:lang w:val="en-IE"/>
        </w:rPr>
        <w:t xml:space="preserve"> which instead offered Ob-Ugric look-alikes no longer recycled in today’s etymological dictionaries (SSA 1995: 36; NES 2004: 558; EES 2012: 222). The last of the Mohicans was Janne Saarikivi who earlier called Posti’s etymology “questionable” (2001: 90) or “somewhat uncertain” (2004: 200) but who now calls it “correct” (2006: 288), just to give something to think about for those who are planning to tattoo Saarikivi’s etymologies.</w:t>
      </w:r>
    </w:p>
    <w:p w14:paraId="3FA5CB82" w14:textId="7CFBE6A5" w:rsidR="00A96E85" w:rsidRPr="00FB4EFA" w:rsidRDefault="00A96E85" w:rsidP="00AF0CAD">
      <w:pPr>
        <w:ind w:firstLine="709"/>
        <w:rPr>
          <w:lang w:val="en-IE"/>
        </w:rPr>
      </w:pPr>
      <w:r w:rsidRPr="00FB4EFA">
        <w:rPr>
          <w:lang w:val="en-IE"/>
        </w:rPr>
        <w:t xml:space="preserve">As our jubilarian has often pointed out, etymologies are not necessarily accepted or rejected on etymological grounds, but there is a lot of favouritism between “native” and “borrowed”, Baltic and Germanic, etc. (Laakso 2001, forthcoming). In Finland, however, we also have this thing called </w:t>
      </w:r>
      <w:r w:rsidRPr="00FB4EFA">
        <w:rPr>
          <w:i/>
          <w:lang w:val="en-IE"/>
        </w:rPr>
        <w:t>pärstäkerroin</w:t>
      </w:r>
      <w:r w:rsidRPr="00FB4EFA">
        <w:rPr>
          <w:lang w:val="en-IE"/>
        </w:rPr>
        <w:t xml:space="preserve"> ‘subjective assessment of personal acceptability’. In other words, the name of an etymologist can matter more than the quality of an etymology, although “even Homer sometimes nods”, whereas “even a blind squirrel can find a nut once in a while”. As for me and my etymology, only the future will tell.</w:t>
      </w:r>
    </w:p>
    <w:p w14:paraId="567D0DEC" w14:textId="77777777" w:rsidR="00A96E85" w:rsidRPr="00FB4EFA" w:rsidRDefault="00A96E85" w:rsidP="00545033">
      <w:pPr>
        <w:pStyle w:val="Heading2"/>
        <w:suppressAutoHyphens/>
        <w:spacing w:line="259" w:lineRule="auto"/>
        <w:rPr>
          <w:color w:val="auto"/>
          <w:lang w:val="en-IE"/>
        </w:rPr>
      </w:pPr>
      <w:r w:rsidRPr="00FB4EFA">
        <w:rPr>
          <w:color w:val="auto"/>
          <w:lang w:val="en-IE"/>
        </w:rPr>
        <w:t>References</w:t>
      </w:r>
    </w:p>
    <w:p w14:paraId="168BEC75" w14:textId="5AD0DC43" w:rsidR="00A96E85" w:rsidRPr="00FB4EFA" w:rsidRDefault="00A96E85" w:rsidP="00120273">
      <w:pPr>
        <w:suppressAutoHyphens/>
        <w:spacing w:line="240" w:lineRule="auto"/>
        <w:ind w:left="426" w:hanging="426"/>
        <w:rPr>
          <w:lang w:val="en-IE"/>
        </w:rPr>
      </w:pPr>
      <w:r w:rsidRPr="00FB4EFA">
        <w:rPr>
          <w:lang w:val="en-IE"/>
        </w:rPr>
        <w:t xml:space="preserve">Aikio, Ante. 2004. An essay on substrate studies and the origin of Saami. In Irma Hyvärinen, Petri Kallio &amp; Jarmo Korhonen (eds.), </w:t>
      </w:r>
      <w:r w:rsidRPr="00FB4EFA">
        <w:rPr>
          <w:i/>
          <w:lang w:val="en-IE"/>
        </w:rPr>
        <w:t>Etymologie, Entlehnungen und Entwicklungen: Festschrift für Jorma Koivulehto zum 70. Geburtstag</w:t>
      </w:r>
      <w:r w:rsidRPr="00FB4EFA">
        <w:rPr>
          <w:lang w:val="en-IE"/>
        </w:rPr>
        <w:t xml:space="preserve">, 5–34. </w:t>
      </w:r>
      <w:r w:rsidR="006B0534" w:rsidRPr="00FB4EFA">
        <w:rPr>
          <w:lang w:val="en-IE"/>
        </w:rPr>
        <w:t xml:space="preserve">Mémoires de la Société Néophilologique de Helsinki 63. </w:t>
      </w:r>
      <w:r w:rsidRPr="00FB4EFA">
        <w:rPr>
          <w:lang w:val="en-IE"/>
        </w:rPr>
        <w:t>Helsinki: Société Néophilologique.</w:t>
      </w:r>
    </w:p>
    <w:p w14:paraId="10FAF031" w14:textId="752AB8A0" w:rsidR="00A96E85" w:rsidRPr="00FB4EFA" w:rsidRDefault="00A96E85" w:rsidP="00120273">
      <w:pPr>
        <w:suppressAutoHyphens/>
        <w:spacing w:line="240" w:lineRule="auto"/>
        <w:ind w:left="426" w:hanging="426"/>
        <w:rPr>
          <w:lang w:val="en-IE"/>
        </w:rPr>
      </w:pPr>
      <w:r w:rsidRPr="00FB4EFA">
        <w:rPr>
          <w:lang w:val="en-IE"/>
        </w:rPr>
        <w:t xml:space="preserve">Aikio, Ante. 2012. An essay on Saami ethnolinguistic prehistory. In Riho Grünthal &amp; Petri Kallio (eds.), </w:t>
      </w:r>
      <w:r w:rsidRPr="00FB4EFA">
        <w:rPr>
          <w:i/>
          <w:lang w:val="en-IE"/>
        </w:rPr>
        <w:t>A Linguistic Map of Prehistoric Northern Europe</w:t>
      </w:r>
      <w:r w:rsidRPr="00FB4EFA">
        <w:rPr>
          <w:lang w:val="en-IE"/>
        </w:rPr>
        <w:t xml:space="preserve">, 63–117. </w:t>
      </w:r>
      <w:r w:rsidR="004D007D" w:rsidRPr="00FB4EFA">
        <w:rPr>
          <w:rFonts w:eastAsia="Times New Roman" w:cs="Charis SIL"/>
          <w:lang w:val="en-IE"/>
        </w:rPr>
        <w:t>Suomalais-Ugrilaisen Seuran Toimituksia</w:t>
      </w:r>
      <w:r w:rsidR="004D007D" w:rsidRPr="00FB4EFA">
        <w:rPr>
          <w:rFonts w:eastAsia="TimesNewRomanPSMT" w:cs="Charis SIL"/>
          <w:lang w:val="en-IE"/>
        </w:rPr>
        <w:t xml:space="preserve"> </w:t>
      </w:r>
      <w:r w:rsidR="006B0534" w:rsidRPr="00FB4EFA">
        <w:rPr>
          <w:lang w:val="en-IE"/>
        </w:rPr>
        <w:t xml:space="preserve">266. </w:t>
      </w:r>
      <w:r w:rsidRPr="00FB4EFA">
        <w:rPr>
          <w:lang w:val="en-IE"/>
        </w:rPr>
        <w:t xml:space="preserve">Helsinki: </w:t>
      </w:r>
      <w:r w:rsidR="004D007D" w:rsidRPr="00FB4EFA">
        <w:rPr>
          <w:rFonts w:eastAsia="Times New Roman" w:cs="Charis SIL"/>
          <w:lang w:val="en-IE"/>
        </w:rPr>
        <w:t>Suomalais-Ugrilainen Seura</w:t>
      </w:r>
      <w:r w:rsidRPr="00FB4EFA">
        <w:rPr>
          <w:lang w:val="en-IE"/>
        </w:rPr>
        <w:t>.</w:t>
      </w:r>
    </w:p>
    <w:p w14:paraId="05DD374F" w14:textId="77777777" w:rsidR="00A96E85" w:rsidRPr="00FB4EFA" w:rsidRDefault="00A96E85" w:rsidP="00120273">
      <w:pPr>
        <w:suppressAutoHyphens/>
        <w:spacing w:line="240" w:lineRule="auto"/>
        <w:ind w:left="426" w:hanging="426"/>
        <w:rPr>
          <w:lang w:val="en-IE"/>
        </w:rPr>
      </w:pPr>
      <w:r w:rsidRPr="00FB4EFA">
        <w:rPr>
          <w:lang w:val="en-IE"/>
        </w:rPr>
        <w:t xml:space="preserve">Buck, Carl Darling. 1949. </w:t>
      </w:r>
      <w:r w:rsidRPr="00FB4EFA">
        <w:rPr>
          <w:i/>
          <w:lang w:val="en-IE"/>
        </w:rPr>
        <w:t>A Dictionary of Selected Synonyms in the Principal Indo-European Languages</w:t>
      </w:r>
      <w:r w:rsidRPr="00FB4EFA">
        <w:rPr>
          <w:lang w:val="en-IE"/>
        </w:rPr>
        <w:t>. Chicago: University of Chicago Press.</w:t>
      </w:r>
    </w:p>
    <w:p w14:paraId="129F8B52" w14:textId="6156FD43" w:rsidR="00A96E85" w:rsidRPr="00FB4EFA" w:rsidRDefault="00A96E85" w:rsidP="00120273">
      <w:pPr>
        <w:suppressAutoHyphens/>
        <w:spacing w:line="240" w:lineRule="auto"/>
        <w:ind w:left="426" w:hanging="426"/>
        <w:rPr>
          <w:lang w:val="en-IE"/>
        </w:rPr>
      </w:pPr>
      <w:r w:rsidRPr="00FB4EFA">
        <w:rPr>
          <w:lang w:val="en-IE"/>
        </w:rPr>
        <w:t xml:space="preserve">Derksen, Rick. 2015. </w:t>
      </w:r>
      <w:r w:rsidRPr="00FB4EFA">
        <w:rPr>
          <w:i/>
          <w:lang w:val="en-IE"/>
        </w:rPr>
        <w:t>Etymological Dictionary of the Baltic Inherited Lexicon</w:t>
      </w:r>
      <w:r w:rsidR="00A75644" w:rsidRPr="00FB4EFA">
        <w:rPr>
          <w:iCs/>
          <w:lang w:val="en-IE"/>
        </w:rPr>
        <w:t>.</w:t>
      </w:r>
      <w:r w:rsidRPr="00FB4EFA">
        <w:rPr>
          <w:lang w:val="en-IE"/>
        </w:rPr>
        <w:t xml:space="preserve"> Leiden Indo-European Etymological Dictionary Series 13. Leiden: Brill.</w:t>
      </w:r>
    </w:p>
    <w:p w14:paraId="0DB0966B" w14:textId="77777777" w:rsidR="00A96E85" w:rsidRPr="00FB4EFA" w:rsidRDefault="00A96E85" w:rsidP="00120273">
      <w:pPr>
        <w:suppressAutoHyphens/>
        <w:spacing w:line="240" w:lineRule="auto"/>
        <w:ind w:left="426" w:hanging="426"/>
        <w:rPr>
          <w:lang w:val="en-IE"/>
        </w:rPr>
      </w:pPr>
      <w:r w:rsidRPr="00FB4EFA">
        <w:rPr>
          <w:lang w:val="en-IE"/>
        </w:rPr>
        <w:t xml:space="preserve">EES = Iris Metsmägi, Meeli Sedrik &amp; Sven-Erik Soosaar. 2012. </w:t>
      </w:r>
      <w:r w:rsidRPr="00FB4EFA">
        <w:rPr>
          <w:i/>
          <w:lang w:val="en-IE"/>
        </w:rPr>
        <w:t>Eesti etümoloogiasõnaraamat</w:t>
      </w:r>
      <w:r w:rsidRPr="00FB4EFA">
        <w:rPr>
          <w:lang w:val="en-IE"/>
        </w:rPr>
        <w:t>. Tallinn: Eesti Keele Sihtasutus.</w:t>
      </w:r>
    </w:p>
    <w:p w14:paraId="4A87413D" w14:textId="6BF57F69" w:rsidR="00A96E85" w:rsidRPr="00FB4EFA" w:rsidRDefault="00A96E85" w:rsidP="00120273">
      <w:pPr>
        <w:suppressAutoHyphens/>
        <w:spacing w:line="240" w:lineRule="auto"/>
        <w:ind w:left="426" w:hanging="426"/>
        <w:rPr>
          <w:lang w:val="en-IE"/>
        </w:rPr>
      </w:pPr>
      <w:r w:rsidRPr="00FB4EFA">
        <w:rPr>
          <w:lang w:val="en-IE"/>
        </w:rPr>
        <w:t xml:space="preserve">EMS = </w:t>
      </w:r>
      <w:r w:rsidRPr="00FB4EFA">
        <w:rPr>
          <w:i/>
          <w:lang w:val="en-IE"/>
        </w:rPr>
        <w:t>Eesti murrete sõnaraamat</w:t>
      </w:r>
      <w:r w:rsidRPr="00FB4EFA">
        <w:rPr>
          <w:lang w:val="en-IE"/>
        </w:rPr>
        <w:t xml:space="preserve">. </w:t>
      </w:r>
      <w:hyperlink r:id="rId203" w:history="1">
        <w:r w:rsidR="005E0B9B" w:rsidRPr="00FB4EFA">
          <w:rPr>
            <w:rFonts w:eastAsia="Calibri" w:cs="Calibri"/>
            <w:u w:val="single"/>
            <w:lang w:val="en-IE" w:eastAsia="en-GB"/>
          </w:rPr>
          <w:t>www.eki.ee/dict/ems/</w:t>
        </w:r>
      </w:hyperlink>
      <w:r w:rsidR="00C73044" w:rsidRPr="00FB4EFA">
        <w:rPr>
          <w:lang w:val="en-IE"/>
        </w:rPr>
        <w:t>.</w:t>
      </w:r>
    </w:p>
    <w:p w14:paraId="41DEAE1B" w14:textId="77777777" w:rsidR="00A96E85" w:rsidRPr="00FB4EFA" w:rsidRDefault="00A96E85" w:rsidP="00120273">
      <w:pPr>
        <w:suppressAutoHyphens/>
        <w:spacing w:line="240" w:lineRule="auto"/>
        <w:ind w:left="426" w:hanging="426"/>
        <w:rPr>
          <w:lang w:val="en-IE"/>
        </w:rPr>
      </w:pPr>
      <w:r w:rsidRPr="00FB4EFA">
        <w:rPr>
          <w:lang w:val="en-IE"/>
        </w:rPr>
        <w:lastRenderedPageBreak/>
        <w:t xml:space="preserve">Grünthal, Riho. 1992. </w:t>
      </w:r>
      <w:r w:rsidRPr="00FB4EFA">
        <w:rPr>
          <w:iCs/>
          <w:lang w:val="en-IE"/>
        </w:rPr>
        <w:t>Laakso, kuje ja hyvä.</w:t>
      </w:r>
      <w:r w:rsidRPr="00FB4EFA">
        <w:rPr>
          <w:lang w:val="en-IE"/>
        </w:rPr>
        <w:t xml:space="preserve"> </w:t>
      </w:r>
      <w:r w:rsidRPr="00FB4EFA">
        <w:rPr>
          <w:i/>
          <w:lang w:val="en-IE"/>
        </w:rPr>
        <w:t>Virittäjä</w:t>
      </w:r>
      <w:r w:rsidRPr="00FB4EFA">
        <w:rPr>
          <w:lang w:val="en-IE"/>
        </w:rPr>
        <w:t xml:space="preserve"> 96. 225–233.</w:t>
      </w:r>
    </w:p>
    <w:p w14:paraId="16CA1FB2" w14:textId="77777777" w:rsidR="00A96E85" w:rsidRPr="00FB4EFA" w:rsidRDefault="00A96E85" w:rsidP="00120273">
      <w:pPr>
        <w:suppressAutoHyphens/>
        <w:spacing w:line="240" w:lineRule="auto"/>
        <w:ind w:left="426" w:hanging="426"/>
        <w:rPr>
          <w:lang w:val="en-IE"/>
        </w:rPr>
      </w:pPr>
      <w:r w:rsidRPr="00FB4EFA">
        <w:rPr>
          <w:lang w:val="en-IE"/>
        </w:rPr>
        <w:t xml:space="preserve">Hupel, August Wilhelm. 1780. </w:t>
      </w:r>
      <w:r w:rsidRPr="00FB4EFA">
        <w:rPr>
          <w:i/>
          <w:lang w:val="en-IE"/>
        </w:rPr>
        <w:t>Ehstnische Sprachlehre für beide Hauptdialekte den revalschen und den dörptschen; nebst einem vollständigen Wörterbuch</w:t>
      </w:r>
      <w:r w:rsidRPr="00FB4EFA">
        <w:rPr>
          <w:lang w:val="en-IE"/>
        </w:rPr>
        <w:t>. Riga: Johann Friedrich Hartknoch.</w:t>
      </w:r>
    </w:p>
    <w:p w14:paraId="632EB9FE" w14:textId="77777777" w:rsidR="00A96E85" w:rsidRPr="00FB4EFA" w:rsidRDefault="00A96E85" w:rsidP="00120273">
      <w:pPr>
        <w:suppressAutoHyphens/>
        <w:spacing w:line="240" w:lineRule="auto"/>
        <w:ind w:left="426" w:hanging="426"/>
        <w:rPr>
          <w:lang w:val="en-IE"/>
        </w:rPr>
      </w:pPr>
      <w:r w:rsidRPr="00FB4EFA">
        <w:rPr>
          <w:lang w:val="en-IE"/>
        </w:rPr>
        <w:t xml:space="preserve">Junttila, Santeri. 2015. </w:t>
      </w:r>
      <w:r w:rsidRPr="00FB4EFA">
        <w:rPr>
          <w:i/>
          <w:lang w:val="en-IE"/>
        </w:rPr>
        <w:t>Tiedon kumuloituminen ja trendit lainasanatutkimuksessa: Kantasuomen balttilaislainojen tutkimushistoria</w:t>
      </w:r>
      <w:r w:rsidRPr="00FB4EFA">
        <w:rPr>
          <w:lang w:val="en-IE"/>
        </w:rPr>
        <w:t>. Helsinki: Helsingin yliopisto.</w:t>
      </w:r>
    </w:p>
    <w:p w14:paraId="12A2264F" w14:textId="5F6A7222" w:rsidR="00A96E85" w:rsidRPr="00FB4EFA" w:rsidRDefault="00A96E85" w:rsidP="00120273">
      <w:pPr>
        <w:suppressAutoHyphens/>
        <w:spacing w:line="240" w:lineRule="auto"/>
        <w:ind w:left="426" w:hanging="426"/>
        <w:rPr>
          <w:lang w:val="en-IE"/>
        </w:rPr>
      </w:pPr>
      <w:r w:rsidRPr="00FB4EFA">
        <w:rPr>
          <w:lang w:val="en-IE"/>
        </w:rPr>
        <w:t xml:space="preserve">Kallio, Petri. 2015. The language contact situation in prehistoric Northeastern Europe. In Robert Mailhammer, Theo Vennemann gen. Nierfeld &amp; Birgit Anette Olsen (eds.), </w:t>
      </w:r>
      <w:r w:rsidRPr="00FB4EFA">
        <w:rPr>
          <w:i/>
          <w:lang w:val="en-IE"/>
        </w:rPr>
        <w:t>The Linguistic Roots of Europe: Origin and Development of European Languages</w:t>
      </w:r>
      <w:r w:rsidRPr="00FB4EFA">
        <w:rPr>
          <w:lang w:val="en-IE"/>
        </w:rPr>
        <w:t xml:space="preserve">, 77–102. </w:t>
      </w:r>
      <w:r w:rsidR="00C95A41" w:rsidRPr="00FB4EFA">
        <w:rPr>
          <w:lang w:val="en-IE"/>
        </w:rPr>
        <w:t xml:space="preserve">Copenhagen Studies in Indo-European 6. </w:t>
      </w:r>
      <w:r w:rsidRPr="00FB4EFA">
        <w:rPr>
          <w:lang w:val="en-IE"/>
        </w:rPr>
        <w:t>Copenhagen: Museum Tusculanum Press.</w:t>
      </w:r>
    </w:p>
    <w:p w14:paraId="71A460CA" w14:textId="77777777" w:rsidR="00A96E85" w:rsidRPr="00FB4EFA" w:rsidRDefault="00A96E85" w:rsidP="00120273">
      <w:pPr>
        <w:suppressAutoHyphens/>
        <w:spacing w:line="240" w:lineRule="auto"/>
        <w:ind w:left="426" w:hanging="426"/>
        <w:rPr>
          <w:lang w:val="en-IE"/>
        </w:rPr>
      </w:pPr>
      <w:r w:rsidRPr="00FB4EFA">
        <w:rPr>
          <w:lang w:val="en-IE"/>
        </w:rPr>
        <w:t xml:space="preserve">Katz, Hartmut. 1990. </w:t>
      </w:r>
      <w:r w:rsidRPr="00FB4EFA">
        <w:rPr>
          <w:i/>
          <w:lang w:val="en-IE"/>
        </w:rPr>
        <w:t>Bume und Korpsion: Zur Behandlung konsonantischer Anlautkluster in den urgermanischen Lehnwörtern des Ostseefinnischen</w:t>
      </w:r>
      <w:r w:rsidRPr="00FB4EFA">
        <w:rPr>
          <w:lang w:val="en-IE"/>
        </w:rPr>
        <w:t>. Innsbruck: Anreiter.</w:t>
      </w:r>
    </w:p>
    <w:p w14:paraId="4A221926" w14:textId="7A6F3CAA" w:rsidR="00A96E85" w:rsidRPr="00FB4EFA" w:rsidRDefault="00A96E85" w:rsidP="00120273">
      <w:pPr>
        <w:suppressAutoHyphens/>
        <w:spacing w:line="240" w:lineRule="auto"/>
        <w:ind w:left="426" w:hanging="426"/>
        <w:rPr>
          <w:lang w:val="en-IE"/>
        </w:rPr>
      </w:pPr>
      <w:r w:rsidRPr="00FB4EFA">
        <w:rPr>
          <w:lang w:val="en-IE"/>
        </w:rPr>
        <w:t xml:space="preserve">KKS = </w:t>
      </w:r>
      <w:r w:rsidRPr="00FB4EFA">
        <w:rPr>
          <w:i/>
          <w:lang w:val="en-IE"/>
        </w:rPr>
        <w:t>Karjalan kielen sanakirja</w:t>
      </w:r>
      <w:r w:rsidRPr="00FB4EFA">
        <w:rPr>
          <w:lang w:val="en-IE"/>
        </w:rPr>
        <w:t xml:space="preserve">. </w:t>
      </w:r>
      <w:hyperlink r:id="rId204" w:history="1">
        <w:r w:rsidRPr="00FB4EFA">
          <w:rPr>
            <w:rStyle w:val="AuthorsChar"/>
            <w:rFonts w:ascii="Cambria" w:hAnsi="Cambria"/>
            <w:i w:val="0"/>
            <w:iCs/>
            <w:color w:val="auto"/>
            <w:u w:val="single"/>
            <w:lang w:val="en-IE"/>
          </w:rPr>
          <w:t>kaino.kotus.fi/kks/</w:t>
        </w:r>
      </w:hyperlink>
      <w:r w:rsidR="00BB7053" w:rsidRPr="00FB4EFA">
        <w:rPr>
          <w:lang w:val="en-IE"/>
        </w:rPr>
        <w:t>.</w:t>
      </w:r>
    </w:p>
    <w:p w14:paraId="192B92B6" w14:textId="615329B1" w:rsidR="00A96E85" w:rsidRPr="00FB4EFA" w:rsidRDefault="00A96E85" w:rsidP="00120273">
      <w:pPr>
        <w:suppressAutoHyphens/>
        <w:spacing w:line="240" w:lineRule="auto"/>
        <w:ind w:left="426" w:hanging="426"/>
        <w:rPr>
          <w:lang w:val="en-IE"/>
        </w:rPr>
      </w:pPr>
      <w:r w:rsidRPr="00FB4EFA">
        <w:rPr>
          <w:lang w:val="en-IE"/>
        </w:rPr>
        <w:t xml:space="preserve">Laakso, Johanna. 2001. Native or borrowed, or both </w:t>
      </w:r>
      <w:r w:rsidR="00A62A6B" w:rsidRPr="00FB4EFA">
        <w:rPr>
          <w:lang w:val="en-US"/>
        </w:rPr>
        <w:t>–</w:t>
      </w:r>
      <w:r w:rsidRPr="00FB4EFA">
        <w:rPr>
          <w:lang w:val="en-IE"/>
        </w:rPr>
        <w:t xml:space="preserve"> is it possible to have many mothers? </w:t>
      </w:r>
      <w:r w:rsidRPr="00FB4EFA">
        <w:rPr>
          <w:i/>
          <w:lang w:val="en-IE"/>
        </w:rPr>
        <w:t>Word</w:t>
      </w:r>
      <w:r w:rsidRPr="00FB4EFA">
        <w:rPr>
          <w:lang w:val="en-IE"/>
        </w:rPr>
        <w:t xml:space="preserve"> 52. 197–212.</w:t>
      </w:r>
    </w:p>
    <w:p w14:paraId="37A803AB" w14:textId="49A261F9" w:rsidR="00A96E85" w:rsidRPr="00FB4EFA" w:rsidRDefault="00A96E85" w:rsidP="00120273">
      <w:pPr>
        <w:keepLines/>
        <w:suppressAutoHyphens/>
        <w:spacing w:line="240" w:lineRule="auto"/>
        <w:ind w:left="425" w:hanging="425"/>
        <w:rPr>
          <w:lang w:val="en-IE"/>
        </w:rPr>
      </w:pPr>
      <w:r w:rsidRPr="00FB4EFA">
        <w:rPr>
          <w:lang w:val="en-IE"/>
        </w:rPr>
        <w:t xml:space="preserve">Laakso, Johanna. 2017. Back to the roots? Critical reflections on the ‘root’ in Finno-Ugric linguistics. In Kristiina Praakli, Tõnu Tender &amp; Valter Lang (eds.), </w:t>
      </w:r>
      <w:r w:rsidRPr="00FB4EFA">
        <w:rPr>
          <w:i/>
          <w:lang w:val="en-IE"/>
        </w:rPr>
        <w:t>Highlands of Language: Festschrift for Professor Birute Klaas-Lang on the Occasion of her 60</w:t>
      </w:r>
      <w:r w:rsidRPr="00FB4EFA">
        <w:rPr>
          <w:i/>
          <w:vertAlign w:val="superscript"/>
          <w:lang w:val="en-IE"/>
        </w:rPr>
        <w:t>th</w:t>
      </w:r>
      <w:r w:rsidRPr="00FB4EFA">
        <w:rPr>
          <w:i/>
          <w:lang w:val="en-IE"/>
        </w:rPr>
        <w:t xml:space="preserve"> Birthday</w:t>
      </w:r>
      <w:r w:rsidR="00C95A41" w:rsidRPr="00FB4EFA">
        <w:rPr>
          <w:lang w:val="en-IE"/>
        </w:rPr>
        <w:t>, 133–148</w:t>
      </w:r>
      <w:r w:rsidR="00C95A41" w:rsidRPr="00FB4EFA">
        <w:rPr>
          <w:iCs/>
          <w:lang w:val="en-IE"/>
        </w:rPr>
        <w:t>.</w:t>
      </w:r>
      <w:r w:rsidRPr="00FB4EFA">
        <w:rPr>
          <w:lang w:val="en-IE"/>
        </w:rPr>
        <w:t xml:space="preserve"> Journal of Estonian and Finno-Ugric Linguistics 8:</w:t>
      </w:r>
      <w:r w:rsidR="00DC75BE" w:rsidRPr="00FB4EFA">
        <w:rPr>
          <w:lang w:val="en-IE"/>
        </w:rPr>
        <w:t xml:space="preserve"> </w:t>
      </w:r>
      <w:r w:rsidRPr="00FB4EFA">
        <w:rPr>
          <w:lang w:val="en-IE"/>
        </w:rPr>
        <w:t>1. Tartu: University of Tartu Press.</w:t>
      </w:r>
    </w:p>
    <w:p w14:paraId="43A18FC3" w14:textId="77777777" w:rsidR="00A96E85" w:rsidRPr="00FB4EFA" w:rsidRDefault="00A96E85" w:rsidP="00120273">
      <w:pPr>
        <w:suppressAutoHyphens/>
        <w:spacing w:line="240" w:lineRule="auto"/>
        <w:ind w:left="426" w:hanging="426"/>
        <w:rPr>
          <w:lang w:val="en-IE"/>
        </w:rPr>
      </w:pPr>
      <w:r w:rsidRPr="00FB4EFA">
        <w:rPr>
          <w:lang w:val="en-IE"/>
        </w:rPr>
        <w:t xml:space="preserve">Laakso, Johanna. Forthcoming. Borrowing and historical-linguistic ideology. In Camiel Hamans &amp; Hans Henrich Hock (eds.), </w:t>
      </w:r>
      <w:r w:rsidRPr="00FB4EFA">
        <w:rPr>
          <w:i/>
          <w:lang w:val="en-IE"/>
        </w:rPr>
        <w:t>Language, History, Ideology: The Use and Misuse of Historical-Comparative Linguistics</w:t>
      </w:r>
      <w:r w:rsidRPr="00FB4EFA">
        <w:rPr>
          <w:lang w:val="en-IE"/>
        </w:rPr>
        <w:t>. Oxford: Oxford University Press.</w:t>
      </w:r>
    </w:p>
    <w:p w14:paraId="2815011C" w14:textId="4551AEE9" w:rsidR="00A96E85" w:rsidRPr="00FB4EFA" w:rsidRDefault="002B5C82" w:rsidP="00120273">
      <w:pPr>
        <w:suppressAutoHyphens/>
        <w:spacing w:line="240" w:lineRule="auto"/>
        <w:ind w:left="426" w:hanging="426"/>
        <w:rPr>
          <w:lang w:val="en-IE"/>
        </w:rPr>
      </w:pPr>
      <w:r w:rsidRPr="00FB4EFA">
        <w:rPr>
          <w:lang w:val="en-IE"/>
        </w:rPr>
        <w:t xml:space="preserve">LÄGLOS </w:t>
      </w:r>
      <w:r w:rsidR="00A96E85" w:rsidRPr="00FB4EFA">
        <w:rPr>
          <w:lang w:val="en-IE"/>
        </w:rPr>
        <w:t xml:space="preserve">= A. D. Kylstra, Sirkka-Liisa Hahmo, Tette Hofstra &amp; Osmo Nikkilä. 1991–2012. </w:t>
      </w:r>
      <w:r w:rsidR="00A96E85" w:rsidRPr="00FB4EFA">
        <w:rPr>
          <w:i/>
          <w:lang w:val="en-IE"/>
        </w:rPr>
        <w:t>Lexikon der älteren germanischen Lehnwörter in den ostseefinnischen Sprachen</w:t>
      </w:r>
      <w:r w:rsidR="00A96E85" w:rsidRPr="00FB4EFA">
        <w:rPr>
          <w:lang w:val="en-IE"/>
        </w:rPr>
        <w:t>. Amsterdam: Rodopi.</w:t>
      </w:r>
    </w:p>
    <w:p w14:paraId="48D85DC5" w14:textId="7413B56A" w:rsidR="00A96E85" w:rsidRPr="00FB4EFA" w:rsidRDefault="00A96E85" w:rsidP="00120273">
      <w:pPr>
        <w:suppressAutoHyphens/>
        <w:spacing w:line="240" w:lineRule="auto"/>
        <w:ind w:left="426" w:hanging="426"/>
        <w:rPr>
          <w:lang w:val="en-IE"/>
        </w:rPr>
      </w:pPr>
      <w:r w:rsidRPr="00FB4EFA">
        <w:rPr>
          <w:lang w:val="en-IE"/>
        </w:rPr>
        <w:t xml:space="preserve">Lang, Valter. 2018. </w:t>
      </w:r>
      <w:r w:rsidRPr="00FB4EFA">
        <w:rPr>
          <w:i/>
          <w:lang w:val="en-IE"/>
        </w:rPr>
        <w:t>Läänemeresoome tulemised</w:t>
      </w:r>
      <w:r w:rsidR="00A75644" w:rsidRPr="00FB4EFA">
        <w:rPr>
          <w:lang w:val="en-IE"/>
        </w:rPr>
        <w:t xml:space="preserve">. </w:t>
      </w:r>
      <w:r w:rsidRPr="00FB4EFA">
        <w:rPr>
          <w:lang w:val="en-IE"/>
        </w:rPr>
        <w:t>Muinasaja teadus 28. Tartu: Tartu Ülikooli Kirjastus.</w:t>
      </w:r>
    </w:p>
    <w:p w14:paraId="2F923D29" w14:textId="77777777" w:rsidR="00A96E85" w:rsidRPr="00FB4EFA" w:rsidRDefault="00A96E85" w:rsidP="00120273">
      <w:pPr>
        <w:suppressAutoHyphens/>
        <w:spacing w:line="240" w:lineRule="auto"/>
        <w:ind w:left="426" w:hanging="426"/>
        <w:rPr>
          <w:lang w:val="en-IE"/>
        </w:rPr>
      </w:pPr>
      <w:r w:rsidRPr="00FB4EFA">
        <w:rPr>
          <w:lang w:val="en-IE"/>
        </w:rPr>
        <w:t xml:space="preserve">NES = Kaisa Häkkinen. 2004. </w:t>
      </w:r>
      <w:r w:rsidRPr="00FB4EFA">
        <w:rPr>
          <w:i/>
          <w:lang w:val="en-IE"/>
        </w:rPr>
        <w:t>Nykysuomen etymologinen sanakirja</w:t>
      </w:r>
      <w:r w:rsidRPr="00FB4EFA">
        <w:rPr>
          <w:lang w:val="en-IE"/>
        </w:rPr>
        <w:t>. Helsinki: WSOY.</w:t>
      </w:r>
    </w:p>
    <w:p w14:paraId="18412BA2" w14:textId="24304084" w:rsidR="00A96E85" w:rsidRPr="00FB4EFA" w:rsidRDefault="00A96E85" w:rsidP="00120273">
      <w:pPr>
        <w:suppressAutoHyphens/>
        <w:spacing w:line="240" w:lineRule="auto"/>
        <w:ind w:left="426" w:hanging="426"/>
        <w:rPr>
          <w:lang w:val="en-IE"/>
        </w:rPr>
      </w:pPr>
      <w:r w:rsidRPr="00FB4EFA">
        <w:rPr>
          <w:lang w:val="en-IE"/>
        </w:rPr>
        <w:t xml:space="preserve">Nikkilä, Osmo. 1998. Suffiksinvaihto ja suomen sanojen etymologiointi. </w:t>
      </w:r>
      <w:r w:rsidRPr="00FB4EFA">
        <w:rPr>
          <w:rFonts w:cs="Baskerville Old Face"/>
          <w:lang w:val="en-IE"/>
        </w:rPr>
        <w:t>In</w:t>
      </w:r>
      <w:r w:rsidRPr="00FB4EFA">
        <w:rPr>
          <w:lang w:val="en-IE"/>
        </w:rPr>
        <w:t xml:space="preserve"> Urho M</w:t>
      </w:r>
      <w:r w:rsidRPr="00FB4EFA">
        <w:rPr>
          <w:rFonts w:cs="Baskerville Old Face"/>
          <w:lang w:val="en-IE"/>
        </w:rPr>
        <w:t>ää</w:t>
      </w:r>
      <w:r w:rsidRPr="00FB4EFA">
        <w:rPr>
          <w:lang w:val="en-IE"/>
        </w:rPr>
        <w:t>tt</w:t>
      </w:r>
      <w:r w:rsidRPr="00FB4EFA">
        <w:rPr>
          <w:rFonts w:cs="Baskerville Old Face"/>
          <w:lang w:val="en-IE"/>
        </w:rPr>
        <w:t>ä</w:t>
      </w:r>
      <w:r w:rsidRPr="00FB4EFA">
        <w:rPr>
          <w:lang w:val="en-IE"/>
        </w:rPr>
        <w:t xml:space="preserve"> &amp; Klaus Laalo (eds.), </w:t>
      </w:r>
      <w:r w:rsidRPr="00FB4EFA">
        <w:rPr>
          <w:i/>
          <w:lang w:val="en-IE"/>
        </w:rPr>
        <w:t>Kirjoituksia muoto- ja merkitysopista</w:t>
      </w:r>
      <w:r w:rsidRPr="00FB4EFA">
        <w:rPr>
          <w:lang w:val="en-IE"/>
        </w:rPr>
        <w:t xml:space="preserve">, 77–101. </w:t>
      </w:r>
      <w:r w:rsidR="00C95A41" w:rsidRPr="00FB4EFA">
        <w:rPr>
          <w:lang w:val="en-IE"/>
        </w:rPr>
        <w:t xml:space="preserve">Folia Fennistica &amp; Linguistica 21. </w:t>
      </w:r>
      <w:r w:rsidRPr="00FB4EFA">
        <w:rPr>
          <w:lang w:val="en-IE"/>
        </w:rPr>
        <w:t>Tampere: Tampereen yliopiston suomen kielen ja yleisen kielitieteen laitos.</w:t>
      </w:r>
    </w:p>
    <w:p w14:paraId="1733A23F" w14:textId="41D59824" w:rsidR="00A96E85" w:rsidRPr="00FB4EFA" w:rsidRDefault="00A96E85" w:rsidP="00120273">
      <w:pPr>
        <w:suppressAutoHyphens/>
        <w:spacing w:line="240" w:lineRule="auto"/>
        <w:ind w:left="426" w:hanging="426"/>
        <w:rPr>
          <w:lang w:val="en-IE"/>
        </w:rPr>
      </w:pPr>
      <w:r w:rsidRPr="00FB4EFA">
        <w:rPr>
          <w:lang w:val="en-IE"/>
        </w:rPr>
        <w:t xml:space="preserve">Nirvi, R. E. 1971. </w:t>
      </w:r>
      <w:r w:rsidRPr="00FB4EFA">
        <w:rPr>
          <w:i/>
          <w:lang w:val="en-IE"/>
        </w:rPr>
        <w:t>Inkeroismurteiden sanakirja</w:t>
      </w:r>
      <w:r w:rsidR="00A75644" w:rsidRPr="00FB4EFA">
        <w:rPr>
          <w:lang w:val="en-IE"/>
        </w:rPr>
        <w:t xml:space="preserve">. </w:t>
      </w:r>
      <w:r w:rsidRPr="00FB4EFA">
        <w:rPr>
          <w:lang w:val="en-IE"/>
        </w:rPr>
        <w:t xml:space="preserve">Lexica Societatis Fenno-Ugricae 18. Helsinki: </w:t>
      </w:r>
      <w:r w:rsidR="004D007D" w:rsidRPr="00FB4EFA">
        <w:rPr>
          <w:lang w:val="en-IE"/>
        </w:rPr>
        <w:t>Suomalais-Ugrilainen Seura</w:t>
      </w:r>
      <w:r w:rsidRPr="00FB4EFA">
        <w:rPr>
          <w:lang w:val="en-IE"/>
        </w:rPr>
        <w:t>.</w:t>
      </w:r>
    </w:p>
    <w:p w14:paraId="32E40DCC" w14:textId="5134E39B" w:rsidR="00A96E85" w:rsidRPr="00FB4EFA" w:rsidRDefault="00A96E85" w:rsidP="00120273">
      <w:pPr>
        <w:keepLines/>
        <w:suppressAutoHyphens/>
        <w:spacing w:line="240" w:lineRule="auto"/>
        <w:ind w:left="425" w:hanging="425"/>
        <w:rPr>
          <w:lang w:val="en-IE"/>
        </w:rPr>
      </w:pPr>
      <w:r w:rsidRPr="00FB4EFA">
        <w:rPr>
          <w:lang w:val="en-IE"/>
        </w:rPr>
        <w:lastRenderedPageBreak/>
        <w:t xml:space="preserve">Parpola, Asko. 2012. Formation of the Indo-European and Uralic (Finno-Ugric) language families in the light of archaeology: Revised and integrated ‘total’ correlations. In Riho Grünthal &amp; Petri Kallio (eds.), </w:t>
      </w:r>
      <w:r w:rsidRPr="00FB4EFA">
        <w:rPr>
          <w:i/>
          <w:lang w:val="en-IE"/>
        </w:rPr>
        <w:t>A Linguistic Map of Prehistoric Northern Europe</w:t>
      </w:r>
      <w:r w:rsidRPr="00FB4EFA">
        <w:rPr>
          <w:lang w:val="en-IE"/>
        </w:rPr>
        <w:t xml:space="preserve">, 119–184. </w:t>
      </w:r>
      <w:r w:rsidR="004D007D" w:rsidRPr="00FB4EFA">
        <w:rPr>
          <w:rFonts w:eastAsia="Times New Roman" w:cs="Charis SIL"/>
          <w:lang w:val="en-IE"/>
        </w:rPr>
        <w:t>Suomalais-Ugrilaisen Seuran Toimituksia</w:t>
      </w:r>
      <w:r w:rsidR="004D007D" w:rsidRPr="00FB4EFA">
        <w:rPr>
          <w:rFonts w:eastAsia="TimesNewRomanPSMT" w:cs="Charis SIL"/>
          <w:lang w:val="en-IE"/>
        </w:rPr>
        <w:t xml:space="preserve"> </w:t>
      </w:r>
      <w:r w:rsidR="004D007D" w:rsidRPr="00FB4EFA">
        <w:rPr>
          <w:lang w:val="en-IE"/>
        </w:rPr>
        <w:t xml:space="preserve">266. </w:t>
      </w:r>
      <w:r w:rsidRPr="00FB4EFA">
        <w:rPr>
          <w:lang w:val="en-IE"/>
        </w:rPr>
        <w:t xml:space="preserve">Helsinki: </w:t>
      </w:r>
      <w:r w:rsidR="004D007D" w:rsidRPr="00FB4EFA">
        <w:rPr>
          <w:lang w:val="en-IE"/>
        </w:rPr>
        <w:t>Suomalais-Ugrilainen Seura</w:t>
      </w:r>
      <w:r w:rsidRPr="00FB4EFA">
        <w:rPr>
          <w:lang w:val="en-IE"/>
        </w:rPr>
        <w:t>.</w:t>
      </w:r>
    </w:p>
    <w:p w14:paraId="71F22CD0" w14:textId="77777777" w:rsidR="00A96E85" w:rsidRPr="00FB4EFA" w:rsidRDefault="00A96E85" w:rsidP="00120273">
      <w:pPr>
        <w:suppressAutoHyphens/>
        <w:spacing w:line="240" w:lineRule="auto"/>
        <w:ind w:left="426" w:hanging="426"/>
        <w:rPr>
          <w:lang w:val="en-IE"/>
        </w:rPr>
      </w:pPr>
      <w:r w:rsidRPr="00FB4EFA">
        <w:rPr>
          <w:lang w:val="en-IE"/>
        </w:rPr>
        <w:t xml:space="preserve">Posti, Lauri. 1977. Some new contributions to the stock of Baltic loanwords in Finnic languages. </w:t>
      </w:r>
      <w:r w:rsidRPr="00FB4EFA">
        <w:rPr>
          <w:i/>
          <w:lang w:val="en-IE"/>
        </w:rPr>
        <w:t>Baltistica</w:t>
      </w:r>
      <w:r w:rsidRPr="00FB4EFA">
        <w:rPr>
          <w:lang w:val="en-IE"/>
        </w:rPr>
        <w:t xml:space="preserve"> 13. 263</w:t>
      </w:r>
      <w:r w:rsidRPr="00FB4EFA">
        <w:rPr>
          <w:rFonts w:cs="Baskerville Old Face"/>
          <w:lang w:val="en-IE"/>
        </w:rPr>
        <w:t>–2</w:t>
      </w:r>
      <w:r w:rsidRPr="00FB4EFA">
        <w:rPr>
          <w:lang w:val="en-IE"/>
        </w:rPr>
        <w:t>70.</w:t>
      </w:r>
    </w:p>
    <w:p w14:paraId="72AE225E" w14:textId="373100F1" w:rsidR="00A96E85" w:rsidRPr="00FB4EFA" w:rsidRDefault="00A96E85" w:rsidP="00120273">
      <w:pPr>
        <w:keepLines/>
        <w:suppressAutoHyphens/>
        <w:spacing w:line="240" w:lineRule="auto"/>
        <w:ind w:left="425" w:hanging="425"/>
        <w:rPr>
          <w:lang w:val="en-IE"/>
        </w:rPr>
      </w:pPr>
      <w:r w:rsidRPr="00FB4EFA">
        <w:rPr>
          <w:lang w:val="en-IE"/>
        </w:rPr>
        <w:t xml:space="preserve">Saarikivi, Janne. 2001. Maastoappellatiivit proprien ja appellatiivien välisenä rajapintana: Kontaktilingvistiikan ja etymologian näkökulmia. In Kaija Mallat, Terhi Ainiala &amp; Eero Kiviniemi (eds.), </w:t>
      </w:r>
      <w:r w:rsidRPr="00FB4EFA">
        <w:rPr>
          <w:i/>
          <w:lang w:val="en-IE"/>
        </w:rPr>
        <w:t>Nimien maailmasta</w:t>
      </w:r>
      <w:r w:rsidRPr="00FB4EFA">
        <w:rPr>
          <w:lang w:val="en-IE"/>
        </w:rPr>
        <w:t xml:space="preserve">, 76–105. </w:t>
      </w:r>
      <w:r w:rsidR="004D007D" w:rsidRPr="00FB4EFA">
        <w:rPr>
          <w:lang w:val="en-IE"/>
        </w:rPr>
        <w:t xml:space="preserve">Kieli 14. </w:t>
      </w:r>
      <w:r w:rsidRPr="00FB4EFA">
        <w:rPr>
          <w:lang w:val="en-IE"/>
        </w:rPr>
        <w:t>Helsinki: Helsingin yliopiston suomen kielen laitos.</w:t>
      </w:r>
    </w:p>
    <w:p w14:paraId="1D696544" w14:textId="4DCE86B0" w:rsidR="00A96E85" w:rsidRPr="00FB4EFA" w:rsidRDefault="00A96E85" w:rsidP="00120273">
      <w:pPr>
        <w:suppressAutoHyphens/>
        <w:spacing w:line="240" w:lineRule="auto"/>
        <w:ind w:left="426" w:hanging="426"/>
        <w:rPr>
          <w:lang w:val="en-IE"/>
        </w:rPr>
      </w:pPr>
      <w:r w:rsidRPr="00FB4EFA">
        <w:rPr>
          <w:lang w:val="en-IE"/>
        </w:rPr>
        <w:t xml:space="preserve">Saarikivi, Janne. 2004. Is there Palaeo-European substratum interference in western branches of Uralic? </w:t>
      </w:r>
      <w:r w:rsidRPr="00FB4EFA">
        <w:rPr>
          <w:i/>
          <w:lang w:val="en-IE"/>
        </w:rPr>
        <w:t>Journal de la Société Finno-Ougrienne</w:t>
      </w:r>
      <w:r w:rsidRPr="00FB4EFA">
        <w:rPr>
          <w:lang w:val="en-IE"/>
        </w:rPr>
        <w:t xml:space="preserve"> 90. 187–214.</w:t>
      </w:r>
    </w:p>
    <w:p w14:paraId="6F5E9194" w14:textId="309DF984" w:rsidR="00A96E85" w:rsidRPr="00FB4EFA" w:rsidRDefault="00A96E85" w:rsidP="00120273">
      <w:pPr>
        <w:suppressAutoHyphens/>
        <w:spacing w:line="240" w:lineRule="auto"/>
        <w:ind w:left="426" w:hanging="426"/>
        <w:rPr>
          <w:lang w:val="en-IE"/>
        </w:rPr>
      </w:pPr>
      <w:r w:rsidRPr="00FB4EFA">
        <w:rPr>
          <w:lang w:val="en-IE"/>
        </w:rPr>
        <w:t xml:space="preserve">Saarikivi, Janne. 2006. </w:t>
      </w:r>
      <w:r w:rsidRPr="00FB4EFA">
        <w:rPr>
          <w:i/>
          <w:lang w:val="en-IE"/>
        </w:rPr>
        <w:t>Substrata Uralica: Studies on Finno-Ugrian Substrate in Northern Russian Dialects</w:t>
      </w:r>
      <w:r w:rsidRPr="00FB4EFA">
        <w:rPr>
          <w:lang w:val="en-IE"/>
        </w:rPr>
        <w:t>. Helsinki: University of Helsinki.</w:t>
      </w:r>
    </w:p>
    <w:p w14:paraId="1A03DD98" w14:textId="317EEECE" w:rsidR="00A96E85" w:rsidRPr="00FB4EFA" w:rsidRDefault="00A96E85" w:rsidP="00120273">
      <w:pPr>
        <w:suppressAutoHyphens/>
        <w:spacing w:line="240" w:lineRule="auto"/>
        <w:ind w:left="426" w:hanging="426"/>
        <w:rPr>
          <w:lang w:val="en-IE"/>
        </w:rPr>
      </w:pPr>
      <w:r w:rsidRPr="00FB4EFA">
        <w:rPr>
          <w:lang w:val="en-IE"/>
        </w:rPr>
        <w:t xml:space="preserve">SMS = </w:t>
      </w:r>
      <w:r w:rsidRPr="00FB4EFA">
        <w:rPr>
          <w:i/>
          <w:lang w:val="en-IE"/>
        </w:rPr>
        <w:t>Suomen murteiden sanakirja</w:t>
      </w:r>
      <w:r w:rsidRPr="00FB4EFA">
        <w:rPr>
          <w:lang w:val="en-IE"/>
        </w:rPr>
        <w:t xml:space="preserve">. </w:t>
      </w:r>
      <w:hyperlink r:id="rId205" w:history="1">
        <w:r w:rsidR="00F66F17" w:rsidRPr="00FB4EFA">
          <w:rPr>
            <w:u w:val="single"/>
            <w:lang w:val="en-IE"/>
          </w:rPr>
          <w:t>kaino.kotus.fi/sms/</w:t>
        </w:r>
      </w:hyperlink>
      <w:r w:rsidR="00BB7053" w:rsidRPr="00FB4EFA">
        <w:rPr>
          <w:lang w:val="en-IE"/>
        </w:rPr>
        <w:t>.</w:t>
      </w:r>
    </w:p>
    <w:p w14:paraId="139D092E" w14:textId="656BF09B" w:rsidR="008F73FD" w:rsidRPr="00FB4EFA" w:rsidRDefault="00A96E85" w:rsidP="00120273">
      <w:pPr>
        <w:suppressAutoHyphens/>
        <w:spacing w:line="240" w:lineRule="auto"/>
        <w:ind w:left="426" w:hanging="426"/>
        <w:rPr>
          <w:lang w:val="en-IE"/>
        </w:rPr>
      </w:pPr>
      <w:r w:rsidRPr="00FB4EFA">
        <w:rPr>
          <w:lang w:val="en-IE"/>
        </w:rPr>
        <w:t xml:space="preserve">SSA = Erkki Itkonen &amp; Ulla-Maija Kulonen. 1992–2000. </w:t>
      </w:r>
      <w:r w:rsidRPr="00FB4EFA">
        <w:rPr>
          <w:i/>
          <w:lang w:val="en-IE"/>
        </w:rPr>
        <w:t>Suomen sanojen alkuperä: Etymologinen sanakirja</w:t>
      </w:r>
      <w:r w:rsidR="008E6C33" w:rsidRPr="00FB4EFA">
        <w:rPr>
          <w:lang w:val="en-IE"/>
        </w:rPr>
        <w:t xml:space="preserve">. </w:t>
      </w:r>
      <w:r w:rsidRPr="00FB4EFA">
        <w:rPr>
          <w:lang w:val="en-IE"/>
        </w:rPr>
        <w:t xml:space="preserve">Suomalaisen Kirjallisuuden Seuran Toimituksia 556. Helsinki: </w:t>
      </w:r>
      <w:r w:rsidR="00F9255F" w:rsidRPr="00FB4EFA">
        <w:rPr>
          <w:lang w:val="en-IE"/>
        </w:rPr>
        <w:t>SKS</w:t>
      </w:r>
      <w:r w:rsidRPr="00FB4EFA">
        <w:rPr>
          <w:lang w:val="en-IE"/>
        </w:rPr>
        <w:t>.</w:t>
      </w:r>
    </w:p>
    <w:p w14:paraId="6632CB81" w14:textId="36B68870" w:rsidR="00A96E85" w:rsidRPr="00FB4EFA" w:rsidRDefault="00A96E85" w:rsidP="00120273">
      <w:pPr>
        <w:suppressAutoHyphens/>
        <w:spacing w:line="240" w:lineRule="auto"/>
        <w:ind w:left="426" w:hanging="426"/>
        <w:rPr>
          <w:lang w:val="en-IE"/>
        </w:rPr>
      </w:pPr>
      <w:r w:rsidRPr="00FB4EFA">
        <w:rPr>
          <w:lang w:val="en-IE"/>
        </w:rPr>
        <w:t>UEW = Károly Rédei. 1988–1991. Uralisches etymologisches Wörterbuch. Wiesbaden: Harrassowitz.</w:t>
      </w:r>
    </w:p>
    <w:p w14:paraId="45B60D52" w14:textId="46819606" w:rsidR="00A96E85" w:rsidRPr="00FB4EFA" w:rsidRDefault="00A96E85" w:rsidP="00120273">
      <w:pPr>
        <w:suppressAutoHyphens/>
        <w:spacing w:line="240" w:lineRule="auto"/>
        <w:ind w:left="426" w:hanging="426"/>
        <w:rPr>
          <w:lang w:val="en-IE"/>
        </w:rPr>
      </w:pPr>
      <w:r w:rsidRPr="00FB4EFA">
        <w:rPr>
          <w:lang w:val="en-IE"/>
        </w:rPr>
        <w:t xml:space="preserve">Vaba, Lembit. 2011. Balti laenude uurimine avab meie kauget minevikku. </w:t>
      </w:r>
      <w:r w:rsidRPr="00FB4EFA">
        <w:rPr>
          <w:i/>
          <w:lang w:val="en-IE"/>
        </w:rPr>
        <w:t>Keel ja Kirjandus</w:t>
      </w:r>
      <w:r w:rsidRPr="00FB4EFA">
        <w:rPr>
          <w:lang w:val="en-IE"/>
        </w:rPr>
        <w:t xml:space="preserve"> 10. 734</w:t>
      </w:r>
      <w:r w:rsidRPr="00FB4EFA">
        <w:rPr>
          <w:rFonts w:cs="Baskerville Old Face"/>
          <w:lang w:val="en-IE"/>
        </w:rPr>
        <w:t>–</w:t>
      </w:r>
      <w:r w:rsidRPr="00FB4EFA">
        <w:rPr>
          <w:lang w:val="en-IE"/>
        </w:rPr>
        <w:t>763.</w:t>
      </w:r>
    </w:p>
    <w:p w14:paraId="7429ED7C" w14:textId="18C93647" w:rsidR="00A96E85" w:rsidRPr="00FB4EFA" w:rsidRDefault="00A96E85" w:rsidP="00120273">
      <w:pPr>
        <w:suppressAutoHyphens/>
        <w:spacing w:line="240" w:lineRule="auto"/>
        <w:ind w:left="426" w:hanging="426"/>
        <w:rPr>
          <w:lang w:val="en-IE"/>
        </w:rPr>
      </w:pPr>
      <w:r w:rsidRPr="00FB4EFA">
        <w:rPr>
          <w:lang w:val="en-IE"/>
        </w:rPr>
        <w:t xml:space="preserve">VKS = </w:t>
      </w:r>
      <w:r w:rsidRPr="00FB4EFA">
        <w:rPr>
          <w:i/>
          <w:lang w:val="en-IE"/>
        </w:rPr>
        <w:t>Vanhan kirjasuomen sanakirja</w:t>
      </w:r>
      <w:r w:rsidRPr="00FB4EFA">
        <w:rPr>
          <w:lang w:val="en-IE"/>
        </w:rPr>
        <w:t xml:space="preserve">. </w:t>
      </w:r>
      <w:hyperlink r:id="rId206" w:history="1">
        <w:r w:rsidR="00F66F17" w:rsidRPr="00FB4EFA">
          <w:rPr>
            <w:u w:val="single"/>
            <w:lang w:val="en-IE"/>
          </w:rPr>
          <w:t>kaino.kotus.fi/vks/</w:t>
        </w:r>
      </w:hyperlink>
      <w:r w:rsidR="00BB7053" w:rsidRPr="00FB4EFA">
        <w:rPr>
          <w:lang w:val="en-IE"/>
        </w:rPr>
        <w:t>.</w:t>
      </w:r>
    </w:p>
    <w:p w14:paraId="0788A111" w14:textId="77777777" w:rsidR="00A96E85" w:rsidRPr="00FB4EFA" w:rsidRDefault="00A96E85" w:rsidP="00120273">
      <w:pPr>
        <w:suppressAutoHyphens/>
        <w:spacing w:line="240" w:lineRule="auto"/>
        <w:ind w:left="426" w:hanging="426"/>
        <w:rPr>
          <w:lang w:val="en-IE"/>
        </w:rPr>
      </w:pPr>
      <w:r w:rsidRPr="00FB4EFA">
        <w:rPr>
          <w:lang w:val="en-IE"/>
        </w:rPr>
        <w:t xml:space="preserve">VOT = Silja Grünberg. 2013. </w:t>
      </w:r>
      <w:r w:rsidRPr="00FB4EFA">
        <w:rPr>
          <w:i/>
          <w:lang w:val="en-IE"/>
        </w:rPr>
        <w:t>Vadja keele sõnaraamat: 2., täiendatud ja parandatud trükk</w:t>
      </w:r>
      <w:r w:rsidRPr="00FB4EFA">
        <w:rPr>
          <w:lang w:val="en-IE"/>
        </w:rPr>
        <w:t>. Tallinn: Eesti Keele Instituut.</w:t>
      </w:r>
    </w:p>
    <w:p w14:paraId="1F97B5C3" w14:textId="77777777" w:rsidR="00A96E85" w:rsidRPr="00FB4EFA" w:rsidRDefault="00A96E85" w:rsidP="00120273">
      <w:pPr>
        <w:suppressAutoHyphens/>
        <w:spacing w:line="240" w:lineRule="auto"/>
        <w:ind w:left="426" w:hanging="426"/>
        <w:rPr>
          <w:lang w:val="en-IE"/>
        </w:rPr>
      </w:pPr>
      <w:r w:rsidRPr="00FB4EFA">
        <w:rPr>
          <w:lang w:val="en-IE"/>
        </w:rPr>
        <w:t xml:space="preserve">Wiedemann, Ferdinand Johann. 1869. </w:t>
      </w:r>
      <w:r w:rsidRPr="00FB4EFA">
        <w:rPr>
          <w:i/>
          <w:lang w:val="en-IE"/>
        </w:rPr>
        <w:t>Ehstnisch-deutsches Wörterbuch</w:t>
      </w:r>
      <w:r w:rsidRPr="00FB4EFA">
        <w:rPr>
          <w:lang w:val="en-IE"/>
        </w:rPr>
        <w:t>. St. Petersburg: Kaiserliche Akademie der Wissenschaften.</w:t>
      </w:r>
    </w:p>
    <w:p w14:paraId="1A24B03E" w14:textId="77777777" w:rsidR="00A96E85" w:rsidRPr="00FB4EFA" w:rsidRDefault="00A96E85" w:rsidP="00120273">
      <w:pPr>
        <w:suppressAutoHyphens/>
        <w:spacing w:line="240" w:lineRule="auto"/>
        <w:ind w:left="426" w:hanging="426"/>
        <w:rPr>
          <w:lang w:val="en-IE"/>
        </w:rPr>
      </w:pPr>
      <w:r w:rsidRPr="00FB4EFA">
        <w:rPr>
          <w:lang w:val="en-IE"/>
        </w:rPr>
        <w:t xml:space="preserve">Zaiceva, Nina. 2010. </w:t>
      </w:r>
      <w:r w:rsidRPr="00FB4EFA">
        <w:rPr>
          <w:i/>
          <w:lang w:val="en-IE"/>
        </w:rPr>
        <w:t>Uz’ vepsä-venälaine vajehnik</w:t>
      </w:r>
      <w:r w:rsidRPr="00FB4EFA">
        <w:rPr>
          <w:lang w:val="en-IE"/>
        </w:rPr>
        <w:t>. Petroskoi: Periodika.</w:t>
      </w:r>
    </w:p>
    <w:p w14:paraId="0C89E90F" w14:textId="77777777" w:rsidR="00A96E85" w:rsidRPr="00FB4EFA" w:rsidRDefault="00A96E85" w:rsidP="00402EF4">
      <w:pPr>
        <w:rPr>
          <w:lang w:val="en-IE"/>
        </w:rPr>
      </w:pPr>
    </w:p>
    <w:p w14:paraId="21BE9036" w14:textId="77777777" w:rsidR="00A96E85" w:rsidRPr="00FB4EFA" w:rsidRDefault="00A96E85" w:rsidP="00402EF4">
      <w:pPr>
        <w:spacing w:after="160"/>
        <w:jc w:val="center"/>
        <w:rPr>
          <w:smallCaps/>
          <w:sz w:val="48"/>
          <w:szCs w:val="48"/>
          <w:lang w:val="en-IE"/>
        </w:rPr>
        <w:sectPr w:rsidR="00A96E85" w:rsidRPr="00FB4EFA">
          <w:headerReference w:type="even" r:id="rId207"/>
          <w:headerReference w:type="default" r:id="rId208"/>
          <w:headerReference w:type="first" r:id="rId209"/>
          <w:footnotePr>
            <w:numRestart w:val="eachSect"/>
          </w:footnotePr>
          <w:pgSz w:w="9180" w:h="13302"/>
          <w:pgMar w:top="779" w:right="1133" w:bottom="1132" w:left="1133" w:header="744" w:footer="720" w:gutter="0"/>
          <w:cols w:space="720"/>
          <w:titlePg/>
        </w:sectPr>
      </w:pPr>
    </w:p>
    <w:p w14:paraId="26AF1E18" w14:textId="77777777" w:rsidR="00A96E85" w:rsidRPr="00FB4EFA" w:rsidRDefault="00A96E85" w:rsidP="00AF0CAD">
      <w:pPr>
        <w:pStyle w:val="Authors"/>
        <w:spacing w:line="259" w:lineRule="auto"/>
        <w:rPr>
          <w:color w:val="auto"/>
          <w:lang w:val="en-IE"/>
        </w:rPr>
      </w:pPr>
      <w:r w:rsidRPr="00FB4EFA">
        <w:rPr>
          <w:color w:val="auto"/>
          <w:lang w:val="en-IE"/>
        </w:rPr>
        <w:lastRenderedPageBreak/>
        <w:t>Imar Koutchoukali</w:t>
      </w:r>
    </w:p>
    <w:p w14:paraId="27223438" w14:textId="77777777" w:rsidR="00A96E85" w:rsidRPr="00FB4EFA" w:rsidRDefault="00A96E85" w:rsidP="00402EF4">
      <w:pPr>
        <w:rPr>
          <w:lang w:val="en-IE"/>
        </w:rPr>
      </w:pPr>
    </w:p>
    <w:p w14:paraId="663A1658" w14:textId="2504ECDD" w:rsidR="00A96E85" w:rsidRPr="00FB4EFA" w:rsidRDefault="002512F0" w:rsidP="00AC1192">
      <w:pPr>
        <w:pStyle w:val="Heading1"/>
        <w:suppressAutoHyphens/>
        <w:spacing w:line="259" w:lineRule="auto"/>
        <w:ind w:right="74"/>
        <w:rPr>
          <w:i/>
          <w:iCs/>
          <w:color w:val="auto"/>
          <w:lang w:val="en-IE"/>
        </w:rPr>
      </w:pPr>
      <w:bookmarkStart w:id="21" w:name="_Ref101890831"/>
      <w:bookmarkStart w:id="22" w:name="_Hlk101879577"/>
      <w:r w:rsidRPr="00FB4EFA">
        <w:rPr>
          <w:color w:val="auto"/>
          <w:lang w:val="en-IE"/>
        </w:rPr>
        <w:t xml:space="preserve">The name </w:t>
      </w:r>
      <w:r w:rsidRPr="00FB4EFA">
        <w:rPr>
          <w:i/>
          <w:iCs/>
          <w:color w:val="auto"/>
          <w:lang w:val="en-IE"/>
        </w:rPr>
        <w:t>Johanna</w:t>
      </w:r>
      <w:r w:rsidRPr="00FB4EFA">
        <w:rPr>
          <w:color w:val="auto"/>
          <w:lang w:val="en-IE"/>
        </w:rPr>
        <w:t>: some historical, etymological, and cultural notes</w:t>
      </w:r>
      <w:bookmarkEnd w:id="21"/>
    </w:p>
    <w:p w14:paraId="578E4996" w14:textId="3DA0EB12" w:rsidR="000121EA" w:rsidRPr="00FB4EFA" w:rsidRDefault="0098366C" w:rsidP="00AF0CAD">
      <w:pPr>
        <w:rPr>
          <w:lang w:val="en-IE"/>
        </w:rPr>
      </w:pPr>
      <w:r w:rsidRPr="00FB4EFA">
        <w:rPr>
          <w:b/>
          <w:bCs/>
          <w:lang w:val="en-IE"/>
        </w:rPr>
        <w:t>Etymology</w:t>
      </w:r>
      <w:r w:rsidRPr="00FB4EFA">
        <w:rPr>
          <w:lang w:val="en-IE"/>
        </w:rPr>
        <w:t xml:space="preserve">: Though the name </w:t>
      </w:r>
      <w:r w:rsidRPr="00FB4EFA">
        <w:rPr>
          <w:i/>
          <w:iCs/>
          <w:lang w:val="en-IE"/>
        </w:rPr>
        <w:t>Johanna</w:t>
      </w:r>
      <w:r w:rsidRPr="00FB4EFA">
        <w:rPr>
          <w:lang w:val="en-IE"/>
        </w:rPr>
        <w:t xml:space="preserve"> </w:t>
      </w:r>
      <w:r w:rsidR="001C59C1" w:rsidRPr="00FB4EFA">
        <w:rPr>
          <w:lang w:val="en-IE"/>
        </w:rPr>
        <w:t>might</w:t>
      </w:r>
      <w:r w:rsidRPr="00FB4EFA">
        <w:rPr>
          <w:lang w:val="en-IE"/>
        </w:rPr>
        <w:t xml:space="preserve"> appear to be the feminine form of the name </w:t>
      </w:r>
      <w:r w:rsidRPr="00FB4EFA">
        <w:rPr>
          <w:i/>
          <w:iCs/>
          <w:lang w:val="en-IE"/>
        </w:rPr>
        <w:t>Johannes</w:t>
      </w:r>
      <w:r w:rsidRPr="00FB4EFA">
        <w:rPr>
          <w:lang w:val="en-IE"/>
        </w:rPr>
        <w:t xml:space="preserve">, these two names were originally distinct. </w:t>
      </w:r>
      <w:r w:rsidR="00120273" w:rsidRPr="00FB4EFA">
        <w:rPr>
          <w:lang w:val="en-IE"/>
        </w:rPr>
        <w:br/>
      </w:r>
      <w:r w:rsidRPr="00FB4EFA">
        <w:rPr>
          <w:i/>
          <w:iCs/>
          <w:lang w:val="en-IE"/>
        </w:rPr>
        <w:t>Joannes</w:t>
      </w:r>
      <w:r w:rsidRPr="00FB4EFA">
        <w:rPr>
          <w:lang w:val="en-IE"/>
        </w:rPr>
        <w:t xml:space="preserve"> is the Hellenized version of the name </w:t>
      </w:r>
      <w:r w:rsidRPr="00FB4EFA">
        <w:rPr>
          <w:i/>
          <w:iCs/>
          <w:lang w:val="en-IE"/>
        </w:rPr>
        <w:t>Yōḥānān</w:t>
      </w:r>
      <w:r w:rsidRPr="00FB4EFA">
        <w:rPr>
          <w:lang w:val="en-IE"/>
        </w:rPr>
        <w:t xml:space="preserve">, as can be ascertained from the typical Greek ending </w:t>
      </w:r>
      <w:r w:rsidRPr="00FB4EFA">
        <w:rPr>
          <w:i/>
          <w:iCs/>
          <w:lang w:val="en-IE"/>
        </w:rPr>
        <w:t>-s</w:t>
      </w:r>
      <w:r w:rsidRPr="00FB4EFA">
        <w:rPr>
          <w:lang w:val="en-IE"/>
        </w:rPr>
        <w:t>.</w:t>
      </w:r>
      <w:r w:rsidRPr="00FB4EFA">
        <w:rPr>
          <w:rStyle w:val="FootnoteReference"/>
          <w:lang w:val="en-IE"/>
        </w:rPr>
        <w:footnoteReference w:id="16"/>
      </w:r>
      <w:r w:rsidRPr="00FB4EFA">
        <w:rPr>
          <w:lang w:val="en-IE"/>
        </w:rPr>
        <w:t xml:space="preserve"> </w:t>
      </w:r>
      <w:r w:rsidRPr="00FB4EFA">
        <w:rPr>
          <w:i/>
          <w:iCs/>
          <w:lang w:val="en-IE"/>
        </w:rPr>
        <w:t>Ioānna</w:t>
      </w:r>
      <w:r w:rsidRPr="00FB4EFA">
        <w:rPr>
          <w:lang w:val="en-IE"/>
        </w:rPr>
        <w:t xml:space="preserve">, on the other hand, almost certainly goes back to an already feminine form of the same name, </w:t>
      </w:r>
      <w:r w:rsidR="00466236" w:rsidRPr="00FB4EFA">
        <w:rPr>
          <w:lang w:val="en-IE"/>
        </w:rPr>
        <w:t>i.e., </w:t>
      </w:r>
      <w:r w:rsidRPr="00FB4EFA">
        <w:rPr>
          <w:i/>
          <w:iCs/>
          <w:lang w:val="en-IE"/>
        </w:rPr>
        <w:t>Yōḥānā</w:t>
      </w:r>
      <w:r w:rsidRPr="00FB4EFA">
        <w:rPr>
          <w:lang w:val="en-IE"/>
        </w:rPr>
        <w:t xml:space="preserve">. Both of these names have a further antecedent, namely the compound name </w:t>
      </w:r>
      <w:r w:rsidRPr="00FB4EFA">
        <w:rPr>
          <w:i/>
          <w:iCs/>
          <w:lang w:val="en-IE"/>
        </w:rPr>
        <w:t>Yəhōḥānān</w:t>
      </w:r>
      <w:r w:rsidRPr="00FB4EFA">
        <w:rPr>
          <w:lang w:val="en-IE"/>
        </w:rPr>
        <w:t>, “Yahweh is gracious” (Rogers 2009: 4209–4211). As the phonological system of Greek does not generally represent the Hebrew’s guttural consonants (</w:t>
      </w:r>
      <w:r w:rsidR="00466236" w:rsidRPr="00FB4EFA">
        <w:rPr>
          <w:lang w:val="en-IE"/>
        </w:rPr>
        <w:t>i.e., </w:t>
      </w:r>
      <w:r w:rsidRPr="00FB4EFA">
        <w:rPr>
          <w:lang w:val="en-IE"/>
        </w:rPr>
        <w:t>/ʔ/, /h/, /ḥ/</w:t>
      </w:r>
      <w:r w:rsidR="001C59C1" w:rsidRPr="00FB4EFA">
        <w:rPr>
          <w:lang w:val="en-IE"/>
        </w:rPr>
        <w:t>,</w:t>
      </w:r>
      <w:r w:rsidRPr="00FB4EFA">
        <w:rPr>
          <w:lang w:val="en-IE"/>
        </w:rPr>
        <w:t xml:space="preserve"> and /ʕ/)</w:t>
      </w:r>
      <w:r w:rsidR="001050CA" w:rsidRPr="00FB4EFA">
        <w:rPr>
          <w:lang w:val="en-IE"/>
        </w:rPr>
        <w:t>, the relevant consonant</w:t>
      </w:r>
      <w:r w:rsidRPr="00FB4EFA">
        <w:rPr>
          <w:lang w:val="en-IE"/>
        </w:rPr>
        <w:t xml:space="preserve"> was elided, leading to Greek </w:t>
      </w:r>
      <w:r w:rsidRPr="00FB4EFA">
        <w:rPr>
          <w:i/>
          <w:iCs/>
          <w:lang w:val="en-IE"/>
        </w:rPr>
        <w:t>Ioānna</w:t>
      </w:r>
      <w:r w:rsidRPr="00FB4EFA">
        <w:rPr>
          <w:lang w:val="en-IE"/>
        </w:rPr>
        <w:t xml:space="preserve"> (Wolters 2008:</w:t>
      </w:r>
      <w:r w:rsidR="005D7E18" w:rsidRPr="00FB4EFA">
        <w:rPr>
          <w:lang w:val="en-IE"/>
        </w:rPr>
        <w:t xml:space="preserve"> </w:t>
      </w:r>
      <w:r w:rsidRPr="00FB4EFA">
        <w:rPr>
          <w:lang w:val="en-IE"/>
        </w:rPr>
        <w:t>398)</w:t>
      </w:r>
      <w:r w:rsidR="001050CA" w:rsidRPr="00FB4EFA">
        <w:rPr>
          <w:lang w:val="en-IE"/>
        </w:rPr>
        <w:t>.</w:t>
      </w:r>
      <w:r w:rsidRPr="00FB4EFA">
        <w:rPr>
          <w:lang w:val="en-IE"/>
        </w:rPr>
        <w:t xml:space="preserve"> </w:t>
      </w:r>
      <w:r w:rsidR="001050CA" w:rsidRPr="00FB4EFA">
        <w:rPr>
          <w:lang w:val="en-IE"/>
        </w:rPr>
        <w:t xml:space="preserve">The /h/ was re-inserted in the Latinized </w:t>
      </w:r>
      <w:r w:rsidR="001050CA" w:rsidRPr="00FB4EFA">
        <w:rPr>
          <w:i/>
          <w:iCs/>
          <w:lang w:val="en-IE"/>
        </w:rPr>
        <w:t>Johanna</w:t>
      </w:r>
      <w:r w:rsidR="001050CA" w:rsidRPr="00FB4EFA">
        <w:rPr>
          <w:lang w:val="en-IE"/>
        </w:rPr>
        <w:t xml:space="preserve"> in analogy with </w:t>
      </w:r>
      <w:r w:rsidR="001050CA" w:rsidRPr="00FB4EFA">
        <w:rPr>
          <w:i/>
          <w:iCs/>
          <w:lang w:val="en-IE"/>
        </w:rPr>
        <w:t>Johannes</w:t>
      </w:r>
      <w:r w:rsidR="001050CA" w:rsidRPr="00FB4EFA">
        <w:rPr>
          <w:lang w:val="en-IE"/>
        </w:rPr>
        <w:t>.</w:t>
      </w:r>
    </w:p>
    <w:p w14:paraId="7266616C" w14:textId="4AF29496" w:rsidR="0098366C" w:rsidRPr="00FB4EFA" w:rsidRDefault="0098366C" w:rsidP="00AF0CAD">
      <w:pPr>
        <w:ind w:firstLine="709"/>
        <w:rPr>
          <w:lang w:val="en-IE"/>
        </w:rPr>
      </w:pPr>
      <w:r w:rsidRPr="00FB4EFA">
        <w:rPr>
          <w:lang w:val="en-IE"/>
        </w:rPr>
        <w:t xml:space="preserve">The Hebrew Bible mentions eight persons that bear the name </w:t>
      </w:r>
      <w:r w:rsidRPr="00FB4EFA">
        <w:rPr>
          <w:i/>
          <w:iCs/>
          <w:lang w:val="en-IE"/>
        </w:rPr>
        <w:t>Yəhōḥānān</w:t>
      </w:r>
      <w:r w:rsidRPr="00FB4EFA">
        <w:rPr>
          <w:lang w:val="en-IE"/>
        </w:rPr>
        <w:t xml:space="preserve">: these included several high priests as well as members of the Hasmonean dynasty, which came to rule Judea following the Maccabean Revolt up to the Roman period (140–37 BCE). It is likely due to its </w:t>
      </w:r>
      <w:r w:rsidR="00120273" w:rsidRPr="00FB4EFA">
        <w:rPr>
          <w:lang w:val="en-IE"/>
        </w:rPr>
        <w:br/>
      </w:r>
      <w:r w:rsidRPr="00FB4EFA">
        <w:rPr>
          <w:lang w:val="en-IE"/>
        </w:rPr>
        <w:t>popularity amongst the Jewish elite that we find the name in the New Testament, specifically in the Gospel of Luke (8:3). This passage refers to a Joanna, wife of Chuza, one of the stewards of King Herod.</w:t>
      </w:r>
      <w:r w:rsidRPr="00FB4EFA">
        <w:rPr>
          <w:rStyle w:val="FootnoteReference"/>
          <w:lang w:val="en-IE"/>
        </w:rPr>
        <w:footnoteReference w:id="17"/>
      </w:r>
      <w:r w:rsidRPr="00FB4EFA">
        <w:rPr>
          <w:lang w:val="en-IE"/>
        </w:rPr>
        <w:t xml:space="preserve"> The Gospel of Luke refers to her again (24:10) as one of the women who were present when the tomb of Jesus was found empty (Khoury 2008:</w:t>
      </w:r>
      <w:r w:rsidR="005D7E18" w:rsidRPr="00FB4EFA">
        <w:rPr>
          <w:lang w:val="en-IE"/>
        </w:rPr>
        <w:t xml:space="preserve"> </w:t>
      </w:r>
      <w:r w:rsidRPr="00FB4EFA">
        <w:rPr>
          <w:lang w:val="en-IE"/>
        </w:rPr>
        <w:t>480).</w:t>
      </w:r>
    </w:p>
    <w:p w14:paraId="5CB45475" w14:textId="3E7AE2FE" w:rsidR="0098366C" w:rsidRPr="00FB4EFA" w:rsidRDefault="0098366C" w:rsidP="00402EF4">
      <w:pPr>
        <w:ind w:firstLine="709"/>
        <w:rPr>
          <w:lang w:val="en-IE"/>
        </w:rPr>
      </w:pPr>
      <w:r w:rsidRPr="00FB4EFA">
        <w:rPr>
          <w:lang w:val="en-IE"/>
        </w:rPr>
        <w:t xml:space="preserve">Although little is known about Chuza, King Herod’s steward, it is clear that the Jo[h]anna mentioned here was an early follower of Christ amongst Judea’s upper class. The fact that the Gospel of Luke mentions that Joanna, along with several other women, travelled with Jesus Christ is significant. The notion of a woman abandoning her family to travel with and serve a rabbi would have been unacceptable in traditional </w:t>
      </w:r>
      <w:r w:rsidR="00120273" w:rsidRPr="00FB4EFA">
        <w:rPr>
          <w:lang w:val="en-IE"/>
        </w:rPr>
        <w:br/>
      </w:r>
      <w:r w:rsidRPr="00FB4EFA">
        <w:rPr>
          <w:lang w:val="en-IE"/>
        </w:rPr>
        <w:t>Jewish circles (Witherington 1998:</w:t>
      </w:r>
      <w:r w:rsidR="005D7E18" w:rsidRPr="00FB4EFA">
        <w:rPr>
          <w:lang w:val="en-IE"/>
        </w:rPr>
        <w:t xml:space="preserve"> </w:t>
      </w:r>
      <w:r w:rsidRPr="00FB4EFA">
        <w:rPr>
          <w:lang w:val="en-IE"/>
        </w:rPr>
        <w:t>117).</w:t>
      </w:r>
    </w:p>
    <w:p w14:paraId="0D18FFD2" w14:textId="6B2D21E8" w:rsidR="0098366C" w:rsidRPr="00FB4EFA" w:rsidRDefault="0098366C" w:rsidP="00402EF4">
      <w:pPr>
        <w:ind w:firstLine="709"/>
        <w:rPr>
          <w:lang w:val="en-IE"/>
        </w:rPr>
      </w:pPr>
      <w:r w:rsidRPr="00FB4EFA">
        <w:rPr>
          <w:lang w:val="en-IE"/>
        </w:rPr>
        <w:lastRenderedPageBreak/>
        <w:t xml:space="preserve">On account of Joanna’s devotion to Christ, she came to be revered in both the Catholic and Orthodox Churches, where she is known as Saint Joanna the Myrrhbearer. </w:t>
      </w:r>
      <w:r w:rsidR="00F75F3B" w:rsidRPr="00FB4EFA">
        <w:rPr>
          <w:lang w:val="en-IE"/>
        </w:rPr>
        <w:t>In Europe,</w:t>
      </w:r>
      <w:r w:rsidRPr="00FB4EFA">
        <w:rPr>
          <w:lang w:val="en-IE"/>
        </w:rPr>
        <w:t xml:space="preserve"> given name Johanna only gained popularity in Europe from the 12</w:t>
      </w:r>
      <w:r w:rsidRPr="00FB4EFA">
        <w:rPr>
          <w:vertAlign w:val="superscript"/>
          <w:lang w:val="en-IE"/>
        </w:rPr>
        <w:t>th</w:t>
      </w:r>
      <w:r w:rsidRPr="00FB4EFA">
        <w:rPr>
          <w:lang w:val="en-IE"/>
        </w:rPr>
        <w:t xml:space="preserve"> century onwards, starting in the southwest of France and spreading from there across the continent (Yonge 1863:</w:t>
      </w:r>
      <w:r w:rsidR="005D7E18" w:rsidRPr="00FB4EFA">
        <w:rPr>
          <w:lang w:val="en-IE"/>
        </w:rPr>
        <w:t xml:space="preserve"> </w:t>
      </w:r>
      <w:r w:rsidRPr="00FB4EFA">
        <w:rPr>
          <w:lang w:val="en-IE"/>
        </w:rPr>
        <w:t>112). At this point, the name was phonologically adapted to Europe’s different languages, such as Jeanne (French), Joan (English), Sinéad (Irish)</w:t>
      </w:r>
      <w:r w:rsidR="00F75F3B" w:rsidRPr="00FB4EFA">
        <w:rPr>
          <w:lang w:val="en-IE"/>
        </w:rPr>
        <w:t>,</w:t>
      </w:r>
      <w:r w:rsidRPr="00FB4EFA">
        <w:rPr>
          <w:lang w:val="en-IE"/>
        </w:rPr>
        <w:t xml:space="preserve"> and Jaana (Finnish).</w:t>
      </w:r>
    </w:p>
    <w:p w14:paraId="131AE3AC" w14:textId="14BAC4DA" w:rsidR="0098366C" w:rsidRPr="00FB4EFA" w:rsidRDefault="0098366C" w:rsidP="00AF0CAD">
      <w:pPr>
        <w:spacing w:before="240"/>
        <w:rPr>
          <w:lang w:val="en-IE"/>
        </w:rPr>
      </w:pPr>
      <w:r w:rsidRPr="00FB4EFA">
        <w:rPr>
          <w:b/>
          <w:bCs/>
          <w:lang w:val="en-IE"/>
        </w:rPr>
        <w:t>Parallels in Semitic</w:t>
      </w:r>
      <w:r w:rsidRPr="00FB4EFA">
        <w:rPr>
          <w:lang w:val="en-IE"/>
        </w:rPr>
        <w:t xml:space="preserve">: The root </w:t>
      </w:r>
      <w:r w:rsidRPr="00FB4EFA">
        <w:rPr>
          <w:i/>
          <w:iCs/>
          <w:lang w:val="en-IE"/>
        </w:rPr>
        <w:t>ḥ-n-n</w:t>
      </w:r>
      <w:r w:rsidRPr="00FB4EFA">
        <w:rPr>
          <w:lang w:val="en-IE"/>
        </w:rPr>
        <w:t xml:space="preserve"> is in fact preserved in many Semitic languages, ranging from Akkadian </w:t>
      </w:r>
      <w:r w:rsidRPr="00FB4EFA">
        <w:rPr>
          <w:i/>
          <w:iCs/>
          <w:lang w:val="en-IE"/>
        </w:rPr>
        <w:t>ʾennum</w:t>
      </w:r>
      <w:r w:rsidRPr="00FB4EFA">
        <w:rPr>
          <w:lang w:val="en-IE"/>
        </w:rPr>
        <w:t xml:space="preserve">, “kindness” to Arabic </w:t>
      </w:r>
      <w:r w:rsidRPr="00FB4EFA">
        <w:rPr>
          <w:i/>
          <w:iCs/>
          <w:lang w:val="en-IE"/>
        </w:rPr>
        <w:t>ḥanān</w:t>
      </w:r>
      <w:r w:rsidRPr="00FB4EFA">
        <w:rPr>
          <w:lang w:val="en-IE"/>
        </w:rPr>
        <w:t xml:space="preserve"> (also a popular personal name)</w:t>
      </w:r>
      <w:r w:rsidR="00F75F3B" w:rsidRPr="00FB4EFA">
        <w:rPr>
          <w:lang w:val="en-IE"/>
        </w:rPr>
        <w:t>,</w:t>
      </w:r>
      <w:r w:rsidRPr="00FB4EFA">
        <w:rPr>
          <w:lang w:val="en-IE"/>
        </w:rPr>
        <w:t xml:space="preserve"> “sympathy” (Olmo Lete et al. 2004:</w:t>
      </w:r>
      <w:r w:rsidR="005D7E18" w:rsidRPr="00FB4EFA">
        <w:rPr>
          <w:lang w:val="en-IE"/>
        </w:rPr>
        <w:t xml:space="preserve"> </w:t>
      </w:r>
      <w:r w:rsidRPr="00FB4EFA">
        <w:rPr>
          <w:lang w:val="en-IE"/>
        </w:rPr>
        <w:t>360</w:t>
      </w:r>
      <w:r w:rsidR="00D910B9" w:rsidRPr="00FB4EFA">
        <w:rPr>
          <w:lang w:val="en-IE"/>
        </w:rPr>
        <w:t>–3</w:t>
      </w:r>
      <w:r w:rsidRPr="00FB4EFA">
        <w:rPr>
          <w:lang w:val="en-IE"/>
        </w:rPr>
        <w:t>61; Wehr</w:t>
      </w:r>
      <w:r w:rsidR="005D7E18" w:rsidRPr="00FB4EFA">
        <w:rPr>
          <w:lang w:val="en-IE"/>
        </w:rPr>
        <w:t xml:space="preserve"> &amp; Cowan 1994</w:t>
      </w:r>
      <w:r w:rsidRPr="00FB4EFA">
        <w:rPr>
          <w:lang w:val="en-IE"/>
        </w:rPr>
        <w:t>:</w:t>
      </w:r>
      <w:r w:rsidR="005D7E18" w:rsidRPr="00FB4EFA">
        <w:rPr>
          <w:lang w:val="en-IE"/>
        </w:rPr>
        <w:t xml:space="preserve"> 244–245</w:t>
      </w:r>
      <w:r w:rsidRPr="00FB4EFA">
        <w:rPr>
          <w:lang w:val="en-IE"/>
        </w:rPr>
        <w:t>). The root’s original meaning appears to be “to be kind; to be benevolent, gr</w:t>
      </w:r>
      <w:r w:rsidRPr="00FB4EFA">
        <w:rPr>
          <w:rFonts w:cs="Charis SIL"/>
          <w:lang w:val="en-IE"/>
        </w:rPr>
        <w:t>aceful”.</w:t>
      </w:r>
      <w:r w:rsidRPr="00FB4EFA">
        <w:rPr>
          <w:rStyle w:val="FootnoteReference"/>
          <w:rFonts w:cs="Charis SIL"/>
          <w:lang w:val="en-IE"/>
        </w:rPr>
        <w:footnoteReference w:id="18"/>
      </w:r>
      <w:r w:rsidRPr="00FB4EFA">
        <w:rPr>
          <w:rFonts w:cs="Charis SIL"/>
          <w:lang w:val="en-IE"/>
        </w:rPr>
        <w:t xml:space="preserve"> Consequently</w:t>
      </w:r>
      <w:r w:rsidRPr="00FB4EFA">
        <w:rPr>
          <w:lang w:val="en-IE"/>
        </w:rPr>
        <w:t>, the root occurs in many theophoric names. Possibly the oldest occurence of such a name is found in Ugaritic, in use between the 14</w:t>
      </w:r>
      <w:r w:rsidRPr="00FB4EFA">
        <w:rPr>
          <w:vertAlign w:val="superscript"/>
          <w:lang w:val="en-IE"/>
        </w:rPr>
        <w:t>th</w:t>
      </w:r>
      <w:r w:rsidRPr="00FB4EFA">
        <w:rPr>
          <w:lang w:val="en-IE"/>
        </w:rPr>
        <w:t xml:space="preserve"> and 12</w:t>
      </w:r>
      <w:r w:rsidRPr="00FB4EFA">
        <w:rPr>
          <w:vertAlign w:val="superscript"/>
          <w:lang w:val="en-IE"/>
        </w:rPr>
        <w:t>th</w:t>
      </w:r>
      <w:r w:rsidRPr="00FB4EFA">
        <w:rPr>
          <w:lang w:val="en-IE"/>
        </w:rPr>
        <w:t xml:space="preserve"> century BCE. Here we find the name ḥnʾil, “May El be graceful”. This name is in fact semantically identical to the Hebrew </w:t>
      </w:r>
      <w:r w:rsidRPr="00FB4EFA">
        <w:rPr>
          <w:i/>
          <w:iCs/>
          <w:lang w:val="en-IE"/>
        </w:rPr>
        <w:t>yəhōḥānān</w:t>
      </w:r>
      <w:r w:rsidRPr="00FB4EFA">
        <w:rPr>
          <w:lang w:val="en-IE"/>
        </w:rPr>
        <w:t>.</w:t>
      </w:r>
    </w:p>
    <w:p w14:paraId="099D02CC" w14:textId="4D8BA299" w:rsidR="0098366C" w:rsidRPr="00FB4EFA" w:rsidRDefault="0098366C" w:rsidP="00AF0CAD">
      <w:pPr>
        <w:ind w:firstLine="709"/>
        <w:rPr>
          <w:lang w:val="en-IE"/>
        </w:rPr>
      </w:pPr>
      <w:r w:rsidRPr="00FB4EFA">
        <w:rPr>
          <w:lang w:val="en-IE"/>
        </w:rPr>
        <w:t xml:space="preserve">On the other side of the Mediterranean, names with this root were also in use. Undoubtedly the most famous example of this comes to us again through Latin: Hannibal. This name, taken from Punic, a form of Phoenician </w:t>
      </w:r>
      <w:r w:rsidR="00F75F3B" w:rsidRPr="00FB4EFA">
        <w:rPr>
          <w:lang w:val="en-IE"/>
        </w:rPr>
        <w:t xml:space="preserve">that was </w:t>
      </w:r>
      <w:r w:rsidRPr="00FB4EFA">
        <w:rPr>
          <w:lang w:val="en-IE"/>
        </w:rPr>
        <w:t xml:space="preserve">in use in North Africa, consists of the elements </w:t>
      </w:r>
      <w:r w:rsidRPr="00FB4EFA">
        <w:rPr>
          <w:i/>
          <w:iCs/>
          <w:lang w:val="en-IE"/>
        </w:rPr>
        <w:t>ḥanni</w:t>
      </w:r>
      <w:r w:rsidRPr="00FB4EFA">
        <w:rPr>
          <w:lang w:val="en-IE"/>
        </w:rPr>
        <w:t xml:space="preserve"> and </w:t>
      </w:r>
      <w:r w:rsidRPr="00FB4EFA">
        <w:rPr>
          <w:i/>
          <w:iCs/>
          <w:lang w:val="en-IE"/>
        </w:rPr>
        <w:t>baʿl</w:t>
      </w:r>
      <w:r w:rsidRPr="00FB4EFA">
        <w:rPr>
          <w:lang w:val="en-IE"/>
        </w:rPr>
        <w:t xml:space="preserve">, “lord”, and is recorded in the unvocalized Punic inscriptions as </w:t>
      </w:r>
      <w:r w:rsidRPr="00FB4EFA">
        <w:rPr>
          <w:i/>
          <w:iCs/>
          <w:lang w:val="en-IE"/>
        </w:rPr>
        <w:t>ḥnbʿl</w:t>
      </w:r>
      <w:r w:rsidRPr="00FB4EFA">
        <w:rPr>
          <w:lang w:val="en-IE"/>
        </w:rPr>
        <w:t xml:space="preserve">. It is a historical irony that this name, which we can translate as “May Baʿal be graceful” is now associated either with Rome’s greatest enemy or with the cannibal antagonist of Thomas Harris’ 1981 </w:t>
      </w:r>
      <w:r w:rsidR="00120273" w:rsidRPr="00FB4EFA">
        <w:rPr>
          <w:lang w:val="en-IE"/>
        </w:rPr>
        <w:br/>
      </w:r>
      <w:r w:rsidRPr="00FB4EFA">
        <w:rPr>
          <w:lang w:val="en-IE"/>
        </w:rPr>
        <w:t xml:space="preserve">novels </w:t>
      </w:r>
      <w:r w:rsidRPr="00FB4EFA">
        <w:rPr>
          <w:i/>
          <w:iCs/>
          <w:lang w:val="en-IE"/>
        </w:rPr>
        <w:t>Red Dragon</w:t>
      </w:r>
      <w:r w:rsidRPr="00FB4EFA">
        <w:rPr>
          <w:lang w:val="en-IE"/>
        </w:rPr>
        <w:t xml:space="preserve"> and (more prominently) </w:t>
      </w:r>
      <w:r w:rsidRPr="00FB4EFA">
        <w:rPr>
          <w:i/>
          <w:iCs/>
          <w:lang w:val="en-IE"/>
        </w:rPr>
        <w:t>The Silence of the Lambs</w:t>
      </w:r>
      <w:r w:rsidRPr="00FB4EFA">
        <w:rPr>
          <w:lang w:val="en-IE"/>
        </w:rPr>
        <w:t xml:space="preserve"> (Harris 1988:</w:t>
      </w:r>
      <w:r w:rsidR="005D7E18" w:rsidRPr="00FB4EFA">
        <w:rPr>
          <w:lang w:val="en-IE"/>
        </w:rPr>
        <w:t xml:space="preserve"> </w:t>
      </w:r>
      <w:r w:rsidRPr="00FB4EFA">
        <w:rPr>
          <w:lang w:val="en-IE"/>
        </w:rPr>
        <w:t>2).</w:t>
      </w:r>
    </w:p>
    <w:p w14:paraId="67810042" w14:textId="77777777" w:rsidR="0098366C" w:rsidRPr="00FB4EFA" w:rsidRDefault="0098366C" w:rsidP="00545033">
      <w:pPr>
        <w:pStyle w:val="Heading2"/>
        <w:keepLines/>
        <w:suppressAutoHyphens/>
        <w:spacing w:line="259" w:lineRule="auto"/>
        <w:rPr>
          <w:color w:val="auto"/>
          <w:lang w:val="en-IE"/>
        </w:rPr>
      </w:pPr>
      <w:r w:rsidRPr="00FB4EFA">
        <w:rPr>
          <w:color w:val="auto"/>
          <w:lang w:val="en-IE"/>
        </w:rPr>
        <w:lastRenderedPageBreak/>
        <w:t>References</w:t>
      </w:r>
    </w:p>
    <w:p w14:paraId="5AF3CE00" w14:textId="77777777" w:rsidR="0098366C" w:rsidRPr="00FB4EFA" w:rsidRDefault="0098366C" w:rsidP="00120273">
      <w:pPr>
        <w:keepNext/>
        <w:keepLines/>
        <w:suppressAutoHyphens/>
        <w:spacing w:line="240" w:lineRule="auto"/>
        <w:ind w:left="426" w:hanging="426"/>
        <w:rPr>
          <w:lang w:val="en-IE"/>
        </w:rPr>
      </w:pPr>
      <w:r w:rsidRPr="00FB4EFA">
        <w:rPr>
          <w:lang w:val="en-IE"/>
        </w:rPr>
        <w:t xml:space="preserve">Harris, Thomas. 1988. </w:t>
      </w:r>
      <w:r w:rsidRPr="00FB4EFA">
        <w:rPr>
          <w:i/>
          <w:iCs/>
          <w:lang w:val="en-IE"/>
        </w:rPr>
        <w:t>The Silence of the Lambs</w:t>
      </w:r>
      <w:r w:rsidRPr="00FB4EFA">
        <w:rPr>
          <w:lang w:val="en-IE"/>
        </w:rPr>
        <w:t>. 1</w:t>
      </w:r>
      <w:r w:rsidRPr="00FB4EFA">
        <w:rPr>
          <w:vertAlign w:val="superscript"/>
          <w:lang w:val="en-IE"/>
        </w:rPr>
        <w:t>st</w:t>
      </w:r>
      <w:r w:rsidRPr="00FB4EFA">
        <w:rPr>
          <w:lang w:val="en-IE"/>
        </w:rPr>
        <w:t xml:space="preserve"> ed. New York: St. Martin’s Press.</w:t>
      </w:r>
    </w:p>
    <w:p w14:paraId="5632B0AA" w14:textId="77777777" w:rsidR="0098366C" w:rsidRPr="00FB4EFA" w:rsidRDefault="0098366C" w:rsidP="00120273">
      <w:pPr>
        <w:keepNext/>
        <w:keepLines/>
        <w:suppressAutoHyphens/>
        <w:spacing w:line="240" w:lineRule="auto"/>
        <w:ind w:left="426" w:hanging="426"/>
        <w:rPr>
          <w:lang w:val="en-IE"/>
        </w:rPr>
      </w:pPr>
      <w:r w:rsidRPr="00FB4EFA">
        <w:rPr>
          <w:lang w:val="en-IE"/>
        </w:rPr>
        <w:t xml:space="preserve">Khoury, Demetri Matta. 2008. </w:t>
      </w:r>
      <w:r w:rsidRPr="00FB4EFA">
        <w:rPr>
          <w:i/>
          <w:iCs/>
          <w:lang w:val="en-IE"/>
        </w:rPr>
        <w:t>A Cloud of Witnesses: Saints and Martyrs from the Holy Land</w:t>
      </w:r>
      <w:r w:rsidRPr="00FB4EFA">
        <w:rPr>
          <w:lang w:val="en-IE"/>
        </w:rPr>
        <w:t>. Bloomington, IN: AuthorHouse.</w:t>
      </w:r>
    </w:p>
    <w:p w14:paraId="71B03B5A" w14:textId="63839E0C" w:rsidR="0098366C" w:rsidRPr="00FB4EFA" w:rsidRDefault="0098366C" w:rsidP="00120273">
      <w:pPr>
        <w:keepNext/>
        <w:keepLines/>
        <w:suppressAutoHyphens/>
        <w:spacing w:line="240" w:lineRule="auto"/>
        <w:ind w:left="426" w:hanging="426"/>
        <w:rPr>
          <w:lang w:val="en-IE"/>
        </w:rPr>
      </w:pPr>
      <w:r w:rsidRPr="00FB4EFA">
        <w:rPr>
          <w:lang w:val="en-IE"/>
        </w:rPr>
        <w:t xml:space="preserve">Olmo Lete, Gregorio del, Joaquín Sanmartín, Hartwig Altenmüller, Bertold Spuler &amp; Gregorio del Olmo Lete. 2004. Handbook of Oriental Studies = Handbuch Der Orientalistik. Sect. 1 Vol. 67 Pt. 2: The Near and Middle East / Ed. by H. Altenmüller </w:t>
      </w:r>
      <w:r w:rsidR="00950296" w:rsidRPr="00FB4EFA">
        <w:rPr>
          <w:lang w:val="en-IE"/>
        </w:rPr>
        <w:t>…</w:t>
      </w:r>
      <w:r w:rsidRPr="00FB4EFA">
        <w:rPr>
          <w:lang w:val="en-IE"/>
        </w:rPr>
        <w:t xml:space="preserve"> </w:t>
      </w:r>
      <w:r w:rsidRPr="00FB4EFA">
        <w:rPr>
          <w:i/>
          <w:iCs/>
          <w:lang w:val="en-IE"/>
        </w:rPr>
        <w:t>A Dictionary of the Ugaritic Language in the Alphabetic Tradition</w:t>
      </w:r>
      <w:r w:rsidRPr="00FB4EFA">
        <w:rPr>
          <w:lang w:val="en-IE"/>
        </w:rPr>
        <w:t xml:space="preserve"> / by Gregorio Del Olmo Lete and Joaquín Sanmartín l </w:t>
      </w:r>
      <w:r w:rsidR="00466236" w:rsidRPr="00FB4EFA">
        <w:rPr>
          <w:lang w:val="en-IE"/>
        </w:rPr>
        <w:t>–</w:t>
      </w:r>
      <w:r w:rsidRPr="00FB4EFA">
        <w:rPr>
          <w:lang w:val="en-IE"/>
        </w:rPr>
        <w:t xml:space="preserve"> ẓ. Vol. 67. 2. rev. ed. Leiden: Brill.</w:t>
      </w:r>
    </w:p>
    <w:p w14:paraId="10E1E47C" w14:textId="77777777" w:rsidR="0098366C" w:rsidRPr="00FB4EFA" w:rsidRDefault="0098366C" w:rsidP="00120273">
      <w:pPr>
        <w:suppressAutoHyphens/>
        <w:spacing w:line="240" w:lineRule="auto"/>
        <w:ind w:left="426" w:hanging="426"/>
        <w:rPr>
          <w:lang w:val="en-IE"/>
        </w:rPr>
      </w:pPr>
      <w:r w:rsidRPr="00FB4EFA">
        <w:rPr>
          <w:lang w:val="en-IE"/>
        </w:rPr>
        <w:t xml:space="preserve">Rogers, J. S. 2009. </w:t>
      </w:r>
      <w:r w:rsidRPr="00FB4EFA">
        <w:rPr>
          <w:i/>
          <w:iCs/>
          <w:lang w:val="en-IE"/>
        </w:rPr>
        <w:t xml:space="preserve">The Anchor Yale Bible Dictionary. </w:t>
      </w:r>
      <w:r w:rsidRPr="00FB4EFA">
        <w:rPr>
          <w:lang w:val="en-IE"/>
        </w:rPr>
        <w:t>3: H-J. Edited by D. N. Freedman. New Haven, CT: Yale University Press.</w:t>
      </w:r>
    </w:p>
    <w:p w14:paraId="45071508" w14:textId="01BCBE55" w:rsidR="0098366C" w:rsidRPr="00FB4EFA" w:rsidRDefault="0098366C" w:rsidP="00120273">
      <w:pPr>
        <w:keepLines/>
        <w:suppressAutoHyphens/>
        <w:spacing w:line="240" w:lineRule="auto"/>
        <w:ind w:left="425" w:hanging="425"/>
        <w:rPr>
          <w:lang w:val="en-IE"/>
        </w:rPr>
      </w:pPr>
      <w:r w:rsidRPr="00FB4EFA">
        <w:rPr>
          <w:lang w:val="en-IE"/>
        </w:rPr>
        <w:t xml:space="preserve">Wehr, Hans </w:t>
      </w:r>
      <w:r w:rsidR="005D7E18" w:rsidRPr="00FB4EFA">
        <w:rPr>
          <w:lang w:val="en-IE"/>
        </w:rPr>
        <w:t>&amp;</w:t>
      </w:r>
      <w:r w:rsidRPr="00FB4EFA">
        <w:rPr>
          <w:lang w:val="en-IE"/>
        </w:rPr>
        <w:t xml:space="preserve"> J. M. Cowan</w:t>
      </w:r>
      <w:r w:rsidR="002544DA" w:rsidRPr="00FB4EFA">
        <w:rPr>
          <w:lang w:val="en-IE"/>
        </w:rPr>
        <w:t>.</w:t>
      </w:r>
      <w:r w:rsidRPr="00FB4EFA">
        <w:rPr>
          <w:lang w:val="en-IE"/>
        </w:rPr>
        <w:t xml:space="preserve"> 1994. </w:t>
      </w:r>
      <w:r w:rsidRPr="00FB4EFA">
        <w:rPr>
          <w:i/>
          <w:iCs/>
          <w:lang w:val="en-IE"/>
        </w:rPr>
        <w:t xml:space="preserve">A Dictionary of Modern Written Arabic: Arabic </w:t>
      </w:r>
      <w:r w:rsidR="00466236" w:rsidRPr="00FB4EFA">
        <w:rPr>
          <w:lang w:val="en-IE"/>
        </w:rPr>
        <w:t>–</w:t>
      </w:r>
      <w:r w:rsidRPr="00FB4EFA">
        <w:rPr>
          <w:i/>
          <w:iCs/>
          <w:lang w:val="en-IE"/>
        </w:rPr>
        <w:t xml:space="preserve"> English</w:t>
      </w:r>
      <w:r w:rsidRPr="00FB4EFA">
        <w:rPr>
          <w:lang w:val="en-IE"/>
        </w:rPr>
        <w:t>. 4. ed., considerably enl. and amended by the author. edited by J. Milton Cowan. Ithaca, NY: Spoken Language Services.</w:t>
      </w:r>
    </w:p>
    <w:p w14:paraId="3BBE9F49" w14:textId="77777777" w:rsidR="0098366C" w:rsidRPr="00FB4EFA" w:rsidRDefault="0098366C" w:rsidP="00120273">
      <w:pPr>
        <w:suppressAutoHyphens/>
        <w:spacing w:line="240" w:lineRule="auto"/>
        <w:ind w:left="426" w:hanging="426"/>
        <w:rPr>
          <w:lang w:val="en-IE"/>
        </w:rPr>
      </w:pPr>
      <w:r w:rsidRPr="00FB4EFA">
        <w:rPr>
          <w:lang w:val="en-IE"/>
        </w:rPr>
        <w:t xml:space="preserve">Witherington, Ben. 1998. </w:t>
      </w:r>
      <w:r w:rsidRPr="00FB4EFA">
        <w:rPr>
          <w:i/>
          <w:iCs/>
          <w:lang w:val="en-IE"/>
        </w:rPr>
        <w:t>Women in the Ministry of Jesus: A Study of Jesus’ Attitudes to Women and Their Roles as Reflected in His Earthly Life</w:t>
      </w:r>
      <w:r w:rsidRPr="00FB4EFA">
        <w:rPr>
          <w:lang w:val="en-IE"/>
        </w:rPr>
        <w:t>. Reprinted. Cambridge: Cambridge Univ. Press.</w:t>
      </w:r>
    </w:p>
    <w:p w14:paraId="4D43ABD1" w14:textId="367D67EE" w:rsidR="00BC5B01" w:rsidRPr="00FB4EFA" w:rsidRDefault="00BC5B01" w:rsidP="00120273">
      <w:pPr>
        <w:suppressAutoHyphens/>
        <w:spacing w:line="240" w:lineRule="auto"/>
        <w:ind w:left="426" w:hanging="426"/>
        <w:rPr>
          <w:lang w:val="en-IE"/>
        </w:rPr>
      </w:pPr>
      <w:r w:rsidRPr="00FB4EFA">
        <w:rPr>
          <w:lang w:val="en-IE"/>
        </w:rPr>
        <w:t xml:space="preserve">Wolters, Al. </w:t>
      </w:r>
      <w:r w:rsidR="0098366C" w:rsidRPr="00FB4EFA">
        <w:rPr>
          <w:lang w:val="en-IE"/>
        </w:rPr>
        <w:t xml:space="preserve">2008. </w:t>
      </w:r>
      <w:r w:rsidR="0098366C" w:rsidRPr="00FB4EFA">
        <w:rPr>
          <w:rFonts w:cs="Cambria"/>
          <w:lang w:val="en-IE"/>
        </w:rPr>
        <w:t>ΙΟϒΝΙΑΝ</w:t>
      </w:r>
      <w:r w:rsidR="0098366C" w:rsidRPr="00FB4EFA">
        <w:rPr>
          <w:lang w:val="en-IE"/>
        </w:rPr>
        <w:t xml:space="preserve"> (Romans 16:7) and the Hebrew Name ‘</w:t>
      </w:r>
      <w:r w:rsidR="0098366C" w:rsidRPr="00FB4EFA">
        <w:rPr>
          <w:i/>
          <w:iCs/>
          <w:lang w:val="en-IE"/>
        </w:rPr>
        <w:t>Yĕḥunnī</w:t>
      </w:r>
      <w:r w:rsidR="0098366C" w:rsidRPr="00FB4EFA">
        <w:rPr>
          <w:lang w:val="en-IE"/>
        </w:rPr>
        <w:t xml:space="preserve">. </w:t>
      </w:r>
      <w:r w:rsidR="0098366C" w:rsidRPr="00FB4EFA">
        <w:rPr>
          <w:i/>
          <w:iCs/>
          <w:lang w:val="en-IE"/>
        </w:rPr>
        <w:t xml:space="preserve">Journal of Biblical Literature </w:t>
      </w:r>
      <w:r w:rsidR="0098366C" w:rsidRPr="00FB4EFA">
        <w:rPr>
          <w:lang w:val="en-IE"/>
        </w:rPr>
        <w:t>127</w:t>
      </w:r>
      <w:r w:rsidR="00875DD7" w:rsidRPr="00FB4EFA">
        <w:rPr>
          <w:lang w:val="en-IE"/>
        </w:rPr>
        <w:t xml:space="preserve"> </w:t>
      </w:r>
      <w:r w:rsidR="0098366C" w:rsidRPr="00FB4EFA">
        <w:rPr>
          <w:lang w:val="en-IE"/>
        </w:rPr>
        <w:t>(2)</w:t>
      </w:r>
      <w:r w:rsidR="00875DD7" w:rsidRPr="00FB4EFA">
        <w:rPr>
          <w:lang w:val="en-IE"/>
        </w:rPr>
        <w:t xml:space="preserve">. </w:t>
      </w:r>
      <w:r w:rsidR="0098366C" w:rsidRPr="00FB4EFA">
        <w:rPr>
          <w:lang w:val="en-IE"/>
        </w:rPr>
        <w:t xml:space="preserve">397–408. </w:t>
      </w:r>
      <w:hyperlink r:id="rId210" w:history="1">
        <w:r w:rsidRPr="00FB4EFA">
          <w:rPr>
            <w:rStyle w:val="Hyperlink"/>
            <w:color w:val="auto"/>
            <w:lang w:val="en-IE"/>
          </w:rPr>
          <w:t>doi.org/10.2307/25610127</w:t>
        </w:r>
      </w:hyperlink>
      <w:r w:rsidRPr="00FB4EFA">
        <w:rPr>
          <w:lang w:val="en-IE"/>
        </w:rPr>
        <w:t>.</w:t>
      </w:r>
    </w:p>
    <w:p w14:paraId="14F37F84" w14:textId="3BA53DE1" w:rsidR="00A96E85" w:rsidRPr="00FB4EFA" w:rsidRDefault="0098366C" w:rsidP="00120273">
      <w:pPr>
        <w:suppressAutoHyphens/>
        <w:spacing w:line="240" w:lineRule="auto"/>
        <w:ind w:left="426" w:hanging="426"/>
        <w:rPr>
          <w:lang w:val="en-IE"/>
        </w:rPr>
      </w:pPr>
      <w:r w:rsidRPr="00FB4EFA">
        <w:rPr>
          <w:lang w:val="en-IE"/>
        </w:rPr>
        <w:t xml:space="preserve">Yonge, Charlotte Mary. 1863. </w:t>
      </w:r>
      <w:r w:rsidRPr="00FB4EFA">
        <w:rPr>
          <w:i/>
          <w:iCs/>
          <w:lang w:val="en-IE"/>
        </w:rPr>
        <w:t>History of Christian Names</w:t>
      </w:r>
      <w:r w:rsidRPr="00FB4EFA">
        <w:rPr>
          <w:lang w:val="en-IE"/>
        </w:rPr>
        <w:t>. I–II. London: Barker, Son and Bourn, West Strand.</w:t>
      </w:r>
    </w:p>
    <w:p w14:paraId="5D780B2E" w14:textId="7F8463BE" w:rsidR="00875DD7" w:rsidRPr="00FB4EFA" w:rsidRDefault="00875DD7" w:rsidP="00534E67">
      <w:pPr>
        <w:ind w:left="426" w:hanging="426"/>
        <w:rPr>
          <w:smallCaps/>
          <w:sz w:val="48"/>
          <w:szCs w:val="48"/>
          <w:lang w:val="en-IE"/>
        </w:rPr>
        <w:sectPr w:rsidR="00875DD7" w:rsidRPr="00FB4EFA">
          <w:headerReference w:type="even" r:id="rId211"/>
          <w:headerReference w:type="default" r:id="rId212"/>
          <w:headerReference w:type="first" r:id="rId213"/>
          <w:footnotePr>
            <w:numRestart w:val="eachSect"/>
          </w:footnotePr>
          <w:pgSz w:w="9180" w:h="13302"/>
          <w:pgMar w:top="779" w:right="1133" w:bottom="1132" w:left="1133" w:header="744" w:footer="720" w:gutter="0"/>
          <w:cols w:space="720"/>
          <w:titlePg/>
        </w:sectPr>
      </w:pPr>
    </w:p>
    <w:p w14:paraId="6151BC0D" w14:textId="77777777" w:rsidR="00A96E85" w:rsidRPr="00FB4EFA" w:rsidRDefault="00A96E85" w:rsidP="00402EF4">
      <w:pPr>
        <w:spacing w:after="160"/>
        <w:jc w:val="left"/>
        <w:rPr>
          <w:lang w:val="en-IE"/>
        </w:rPr>
      </w:pPr>
    </w:p>
    <w:p w14:paraId="722295CD" w14:textId="77777777" w:rsidR="00EA1695" w:rsidRDefault="00EA1695" w:rsidP="00994E2A">
      <w:pPr>
        <w:pStyle w:val="Heading1"/>
        <w:suppressAutoHyphens/>
        <w:spacing w:after="360" w:line="259" w:lineRule="auto"/>
        <w:jc w:val="center"/>
        <w:rPr>
          <w:rFonts w:ascii="Cambria" w:hAnsi="Cambria"/>
          <w:color w:val="auto"/>
          <w:sz w:val="48"/>
          <w:szCs w:val="48"/>
          <w:lang w:val="de-AT"/>
        </w:rPr>
        <w:sectPr w:rsidR="00EA1695">
          <w:headerReference w:type="even" r:id="rId214"/>
          <w:headerReference w:type="default" r:id="rId215"/>
          <w:headerReference w:type="first" r:id="rId216"/>
          <w:footnotePr>
            <w:numRestart w:val="eachSect"/>
          </w:footnotePr>
          <w:pgSz w:w="9180" w:h="13302"/>
          <w:pgMar w:top="779" w:right="1133" w:bottom="1132" w:left="1133" w:header="744" w:footer="720" w:gutter="0"/>
          <w:cols w:space="720"/>
          <w:titlePg/>
        </w:sectPr>
      </w:pPr>
      <w:bookmarkStart w:id="23" w:name="_Toc87547000"/>
      <w:bookmarkEnd w:id="22"/>
    </w:p>
    <w:p w14:paraId="17A81E7C" w14:textId="4635C9E6" w:rsidR="00A96E85" w:rsidRPr="00FB4EFA" w:rsidRDefault="00A96E85" w:rsidP="00994E2A">
      <w:pPr>
        <w:pStyle w:val="Heading1"/>
        <w:suppressAutoHyphens/>
        <w:spacing w:after="360" w:line="259" w:lineRule="auto"/>
        <w:jc w:val="center"/>
        <w:rPr>
          <w:rFonts w:ascii="Cambria" w:hAnsi="Cambria"/>
          <w:color w:val="auto"/>
          <w:sz w:val="48"/>
          <w:szCs w:val="48"/>
          <w:lang w:val="de-AT"/>
        </w:rPr>
      </w:pPr>
      <w:r w:rsidRPr="00FB4EFA">
        <w:rPr>
          <w:rFonts w:ascii="Cambria" w:hAnsi="Cambria"/>
          <w:color w:val="auto"/>
          <w:sz w:val="48"/>
          <w:szCs w:val="48"/>
          <w:lang w:val="de-AT"/>
        </w:rPr>
        <w:lastRenderedPageBreak/>
        <w:t>II.</w:t>
      </w:r>
      <w:bookmarkEnd w:id="23"/>
    </w:p>
    <w:p w14:paraId="78967F18" w14:textId="77777777" w:rsidR="008F73FD" w:rsidRPr="00FB4EFA" w:rsidRDefault="00B44A46" w:rsidP="00AF0CAD">
      <w:pPr>
        <w:pStyle w:val="Authors"/>
        <w:spacing w:line="259" w:lineRule="auto"/>
        <w:rPr>
          <w:color w:val="auto"/>
          <w:lang w:val="de-AT"/>
        </w:rPr>
      </w:pPr>
      <w:r w:rsidRPr="00FB4EFA">
        <w:rPr>
          <w:noProof/>
          <w:color w:val="auto"/>
        </w:rPr>
        <w:drawing>
          <wp:inline distT="0" distB="0" distL="0" distR="0" wp14:anchorId="08FD90C5" wp14:editId="02A77F61">
            <wp:extent cx="4389963" cy="4784141"/>
            <wp:effectExtent l="0" t="0" r="0" b="0"/>
            <wp:docPr id="5" name="Picture 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15895" b="7102"/>
                    <a:stretch/>
                  </pic:blipFill>
                  <pic:spPr bwMode="auto">
                    <a:xfrm>
                      <a:off x="0" y="0"/>
                      <a:ext cx="4390390" cy="4784606"/>
                    </a:xfrm>
                    <a:prstGeom prst="rect">
                      <a:avLst/>
                    </a:prstGeom>
                    <a:noFill/>
                    <a:ln>
                      <a:noFill/>
                    </a:ln>
                    <a:extLst>
                      <a:ext uri="{53640926-AAD7-44D8-BBD7-CCE9431645EC}">
                        <a14:shadowObscured xmlns:a14="http://schemas.microsoft.com/office/drawing/2010/main"/>
                      </a:ext>
                    </a:extLst>
                  </pic:spPr>
                </pic:pic>
              </a:graphicData>
            </a:graphic>
          </wp:inline>
        </w:drawing>
      </w:r>
    </w:p>
    <w:p w14:paraId="7814C268" w14:textId="62A54009" w:rsidR="00A96E85" w:rsidRPr="00FB4EFA" w:rsidRDefault="00A96E85" w:rsidP="00402EF4"/>
    <w:p w14:paraId="4F7317ED" w14:textId="77777777" w:rsidR="00A96E85" w:rsidRPr="00FB4EFA" w:rsidRDefault="00A96E85" w:rsidP="00402EF4">
      <w:pPr>
        <w:spacing w:after="160"/>
        <w:jc w:val="center"/>
        <w:rPr>
          <w:smallCaps/>
          <w:sz w:val="48"/>
          <w:szCs w:val="48"/>
        </w:rPr>
      </w:pPr>
      <w:r w:rsidRPr="00FB4EFA">
        <w:rPr>
          <w:smallCaps/>
          <w:sz w:val="48"/>
          <w:szCs w:val="48"/>
        </w:rPr>
        <w:t>Berichte</w:t>
      </w:r>
    </w:p>
    <w:p w14:paraId="0D69BA97" w14:textId="77777777" w:rsidR="00A96E85" w:rsidRPr="00FB4EFA" w:rsidRDefault="00A96E85" w:rsidP="00402EF4">
      <w:pPr>
        <w:spacing w:after="160"/>
        <w:jc w:val="center"/>
        <w:rPr>
          <w:smallCaps/>
          <w:sz w:val="48"/>
          <w:szCs w:val="48"/>
        </w:rPr>
        <w:sectPr w:rsidR="00A96E85" w:rsidRPr="00FB4EFA" w:rsidSect="00EA1695">
          <w:footnotePr>
            <w:numRestart w:val="eachSect"/>
          </w:footnotePr>
          <w:type w:val="oddPage"/>
          <w:pgSz w:w="9180" w:h="13302"/>
          <w:pgMar w:top="779" w:right="1133" w:bottom="1132" w:left="1133" w:header="744" w:footer="720" w:gutter="0"/>
          <w:cols w:space="720"/>
          <w:titlePg/>
        </w:sectPr>
      </w:pPr>
    </w:p>
    <w:p w14:paraId="2C27DE04" w14:textId="69274776" w:rsidR="00A96E85" w:rsidRPr="00FB4EFA" w:rsidRDefault="00A96E85" w:rsidP="00AF0CAD">
      <w:pPr>
        <w:pStyle w:val="Authors"/>
        <w:spacing w:line="259" w:lineRule="auto"/>
        <w:rPr>
          <w:color w:val="auto"/>
          <w:lang w:val="en-US"/>
        </w:rPr>
      </w:pPr>
      <w:bookmarkStart w:id="24" w:name="_Hlk95169769"/>
      <w:r w:rsidRPr="00FB4EFA">
        <w:rPr>
          <w:color w:val="auto"/>
          <w:lang w:val="en-US"/>
        </w:rPr>
        <w:lastRenderedPageBreak/>
        <w:t>Jeremy Bradley, Rogier Blokland</w:t>
      </w:r>
    </w:p>
    <w:p w14:paraId="2B28B1C6" w14:textId="77777777" w:rsidR="000121EA" w:rsidRPr="00FB4EFA" w:rsidRDefault="000121EA" w:rsidP="000121EA">
      <w:pPr>
        <w:rPr>
          <w:lang w:val="en-GB"/>
        </w:rPr>
      </w:pPr>
      <w:bookmarkStart w:id="25" w:name="_Toc87547001"/>
      <w:bookmarkStart w:id="26" w:name="_Ref90999273"/>
    </w:p>
    <w:p w14:paraId="28183CC0" w14:textId="712B7077" w:rsidR="00A96E85" w:rsidRPr="00FB4EFA" w:rsidRDefault="00A96E85" w:rsidP="00AC1192">
      <w:pPr>
        <w:pStyle w:val="Heading1"/>
        <w:suppressAutoHyphens/>
        <w:spacing w:line="259" w:lineRule="auto"/>
        <w:ind w:right="74"/>
        <w:rPr>
          <w:color w:val="auto"/>
          <w:lang w:val="en-IE"/>
        </w:rPr>
      </w:pPr>
      <w:r w:rsidRPr="00FB4EFA">
        <w:rPr>
          <w:color w:val="auto"/>
          <w:lang w:val="en-IE"/>
        </w:rPr>
        <w:t xml:space="preserve">Children of the </w:t>
      </w:r>
      <w:r w:rsidRPr="00FB4EFA">
        <w:rPr>
          <w:i/>
          <w:iCs/>
          <w:color w:val="auto"/>
          <w:lang w:val="en-IE"/>
        </w:rPr>
        <w:t>Hexenkreis</w:t>
      </w:r>
      <w:r w:rsidRPr="00FB4EFA">
        <w:rPr>
          <w:color w:val="auto"/>
          <w:lang w:val="en-IE"/>
        </w:rPr>
        <w:t xml:space="preserve">: </w:t>
      </w:r>
      <w:r w:rsidR="00C7324A" w:rsidRPr="00FB4EFA">
        <w:rPr>
          <w:color w:val="auto"/>
          <w:lang w:val="en-IE"/>
        </w:rPr>
        <w:t xml:space="preserve">INFUSE, </w:t>
      </w:r>
      <w:r w:rsidRPr="00FB4EFA">
        <w:rPr>
          <w:color w:val="auto"/>
          <w:lang w:val="en-IE"/>
        </w:rPr>
        <w:t>COPIUS, REMODUS, and beyond</w:t>
      </w:r>
      <w:bookmarkEnd w:id="25"/>
      <w:bookmarkEnd w:id="26"/>
    </w:p>
    <w:p w14:paraId="120278C9" w14:textId="10E2E45D" w:rsidR="000D0357" w:rsidRPr="00FB4EFA" w:rsidRDefault="009A29B6" w:rsidP="00402EF4">
      <w:pPr>
        <w:rPr>
          <w:lang w:val="en-IE" w:eastAsia="en-GB"/>
        </w:rPr>
      </w:pPr>
      <w:r w:rsidRPr="00FB4EFA">
        <w:rPr>
          <w:lang w:val="en-IE" w:eastAsia="en-GB"/>
        </w:rPr>
        <w:t xml:space="preserve">For the purpose at hand, it has been lost to the mists of time when exactly the </w:t>
      </w:r>
      <w:r w:rsidR="000D0357" w:rsidRPr="00FB4EFA">
        <w:rPr>
          <w:lang w:val="en-IE" w:eastAsia="en-GB"/>
        </w:rPr>
        <w:t xml:space="preserve">unholy trinity of Marianne Bakró-Nagy, Elena Skribnik, and the jubilarian took shape in a meaningful manner. That is to say: we, the authors, consulted the two named individuals, but they both agreed that the only member of their group who would remember the details is the jubilarian. </w:t>
      </w:r>
      <w:r w:rsidR="00137F6C" w:rsidRPr="00FB4EFA">
        <w:rPr>
          <w:lang w:val="en-IE" w:eastAsia="en-GB"/>
        </w:rPr>
        <w:t>Coaxing details out of her would have wholly jeopardized the clandestine nature of this enterprise.</w:t>
      </w:r>
    </w:p>
    <w:p w14:paraId="2004B9E0" w14:textId="1F61BD17" w:rsidR="000D0357" w:rsidRPr="00FB4EFA" w:rsidRDefault="000D0357" w:rsidP="00AF0CAD">
      <w:pPr>
        <w:ind w:firstLine="709"/>
        <w:rPr>
          <w:lang w:val="en-IE" w:eastAsia="en-GB"/>
        </w:rPr>
      </w:pPr>
      <w:r w:rsidRPr="00FB4EFA">
        <w:rPr>
          <w:lang w:val="en-IE" w:eastAsia="en-GB"/>
        </w:rPr>
        <w:t xml:space="preserve">Be it as it may, by the early 2010s, these three scholars had established a firm alliance, self-described as a </w:t>
      </w:r>
      <w:r w:rsidRPr="00FB4EFA">
        <w:rPr>
          <w:i/>
          <w:iCs/>
          <w:lang w:val="en-IE" w:eastAsia="en-GB"/>
        </w:rPr>
        <w:t>Hexenkreis</w:t>
      </w:r>
      <w:r w:rsidRPr="00FB4EFA">
        <w:rPr>
          <w:vertAlign w:val="superscript"/>
          <w:lang w:val="en-IE" w:eastAsia="en-GB"/>
        </w:rPr>
        <w:footnoteReference w:id="19"/>
      </w:r>
      <w:r w:rsidRPr="00FB4EFA">
        <w:rPr>
          <w:lang w:val="en-IE" w:eastAsia="en-GB"/>
        </w:rPr>
        <w:t>,</w:t>
      </w:r>
      <w:r w:rsidR="009236B3" w:rsidRPr="00FB4EFA">
        <w:rPr>
          <w:lang w:val="en-IE" w:eastAsia="en-GB"/>
        </w:rPr>
        <w:t xml:space="preserve"> that had a clearly established mission: </w:t>
      </w:r>
      <w:r w:rsidR="009236B3" w:rsidRPr="00FB4EFA">
        <w:rPr>
          <w:i/>
          <w:iCs/>
          <w:lang w:val="en-IE" w:eastAsia="en-GB"/>
        </w:rPr>
        <w:t>to do stuff</w:t>
      </w:r>
      <w:r w:rsidR="009236B3" w:rsidRPr="00FB4EFA">
        <w:rPr>
          <w:lang w:val="en-IE" w:eastAsia="en-GB"/>
        </w:rPr>
        <w:t xml:space="preserve">. One central undertaking spearheaded by the three scholars, the </w:t>
      </w:r>
      <w:r w:rsidR="009236B3" w:rsidRPr="00FB4EFA">
        <w:rPr>
          <w:i/>
          <w:iCs/>
          <w:lang w:val="en-IE" w:eastAsia="en-GB"/>
        </w:rPr>
        <w:t xml:space="preserve">Oxford Guide to Uralic </w:t>
      </w:r>
      <w:r w:rsidR="00210577" w:rsidRPr="00FB4EFA">
        <w:rPr>
          <w:i/>
          <w:iCs/>
          <w:lang w:val="en-IE" w:eastAsia="en-GB"/>
        </w:rPr>
        <w:t>L</w:t>
      </w:r>
      <w:r w:rsidR="009236B3" w:rsidRPr="00FB4EFA">
        <w:rPr>
          <w:i/>
          <w:iCs/>
          <w:lang w:val="en-IE" w:eastAsia="en-GB"/>
        </w:rPr>
        <w:t>anguages</w:t>
      </w:r>
      <w:r w:rsidR="009236B3" w:rsidRPr="00FB4EFA">
        <w:rPr>
          <w:lang w:val="en-IE" w:eastAsia="en-GB"/>
        </w:rPr>
        <w:t xml:space="preserve"> (published in 2022), is described in the annotated bibliography contained in this </w:t>
      </w:r>
      <w:r w:rsidR="00BD2D5A">
        <w:rPr>
          <w:lang w:val="en-IE" w:eastAsia="en-GB"/>
        </w:rPr>
        <w:br/>
      </w:r>
      <w:r w:rsidR="009236B3" w:rsidRPr="00FB4EFA">
        <w:rPr>
          <w:lang w:val="en-IE" w:eastAsia="en-GB"/>
        </w:rPr>
        <w:t>volume (see page</w:t>
      </w:r>
      <w:r w:rsidR="005B6880">
        <w:rPr>
          <w:lang w:val="en-IE" w:eastAsia="en-GB"/>
        </w:rPr>
        <w:t xml:space="preserve"> </w:t>
      </w:r>
      <w:r w:rsidR="005B6880">
        <w:rPr>
          <w:lang w:val="en-IE" w:eastAsia="en-GB"/>
        </w:rPr>
        <w:fldChar w:fldCharType="begin"/>
      </w:r>
      <w:r w:rsidR="005B6880">
        <w:rPr>
          <w:lang w:val="en-IE" w:eastAsia="en-GB"/>
        </w:rPr>
        <w:instrText xml:space="preserve"> PAGEREF _Ref93595730 \h </w:instrText>
      </w:r>
      <w:r w:rsidR="005B6880">
        <w:rPr>
          <w:lang w:val="en-IE" w:eastAsia="en-GB"/>
        </w:rPr>
      </w:r>
      <w:r w:rsidR="005B6880">
        <w:rPr>
          <w:lang w:val="en-IE" w:eastAsia="en-GB"/>
        </w:rPr>
        <w:fldChar w:fldCharType="separate"/>
      </w:r>
      <w:r w:rsidR="00507346">
        <w:rPr>
          <w:noProof/>
          <w:lang w:val="en-IE" w:eastAsia="en-GB"/>
        </w:rPr>
        <w:t>41</w:t>
      </w:r>
      <w:r w:rsidR="005B6880">
        <w:rPr>
          <w:lang w:val="en-IE" w:eastAsia="en-GB"/>
        </w:rPr>
        <w:fldChar w:fldCharType="end"/>
      </w:r>
      <w:r w:rsidR="009236B3" w:rsidRPr="00FB4EFA">
        <w:rPr>
          <w:lang w:val="en-IE" w:eastAsia="en-GB"/>
        </w:rPr>
        <w:t xml:space="preserve">). </w:t>
      </w:r>
      <w:r w:rsidR="00C7324A" w:rsidRPr="00FB4EFA">
        <w:rPr>
          <w:lang w:val="en-IE" w:eastAsia="en-GB"/>
        </w:rPr>
        <w:t>The other big thing cooked up in their cauldron were the Winter Schools of Finno-Ugric Studies</w:t>
      </w:r>
      <w:r w:rsidR="001F5A1F" w:rsidRPr="00FB4EFA">
        <w:rPr>
          <w:lang w:val="en-IE" w:eastAsia="en-GB"/>
        </w:rPr>
        <w:t xml:space="preserve">, which were the starting shot of an internationalization effort in our discipline which continues till today. In this contribution, we as scholars in the network that were, </w:t>
      </w:r>
      <w:r w:rsidR="00BD2D5A">
        <w:rPr>
          <w:lang w:val="en-IE" w:eastAsia="en-GB"/>
        </w:rPr>
        <w:br/>
      </w:r>
      <w:r w:rsidR="001F5A1F" w:rsidRPr="00FB4EFA">
        <w:rPr>
          <w:lang w:val="en-IE" w:eastAsia="en-GB"/>
        </w:rPr>
        <w:t xml:space="preserve">however, not involved in the </w:t>
      </w:r>
      <w:r w:rsidR="00C54C3C" w:rsidRPr="00FB4EFA">
        <w:rPr>
          <w:lang w:val="en-IE" w:eastAsia="en-GB"/>
        </w:rPr>
        <w:t>conception</w:t>
      </w:r>
      <w:r w:rsidR="001F5A1F" w:rsidRPr="00FB4EFA">
        <w:rPr>
          <w:lang w:val="en-IE" w:eastAsia="en-GB"/>
        </w:rPr>
        <w:t xml:space="preserve"> of said network, wish to share some impressions on how </w:t>
      </w:r>
      <w:r w:rsidR="00C54C3C" w:rsidRPr="00FB4EFA">
        <w:rPr>
          <w:lang w:val="en-IE" w:eastAsia="en-GB"/>
        </w:rPr>
        <w:t>this infrastructure</w:t>
      </w:r>
      <w:r w:rsidR="001F5A1F" w:rsidRPr="00FB4EFA">
        <w:rPr>
          <w:lang w:val="en-IE" w:eastAsia="en-GB"/>
        </w:rPr>
        <w:t xml:space="preserve"> changed us, and changed our discipline.</w:t>
      </w:r>
    </w:p>
    <w:p w14:paraId="246DA7B5" w14:textId="70B60796" w:rsidR="006537FD" w:rsidRPr="00FB4EFA" w:rsidRDefault="006537FD" w:rsidP="00545033">
      <w:pPr>
        <w:pStyle w:val="Heading2"/>
        <w:suppressAutoHyphens/>
        <w:spacing w:line="259" w:lineRule="auto"/>
        <w:rPr>
          <w:color w:val="auto"/>
          <w:lang w:val="en-IE"/>
        </w:rPr>
      </w:pPr>
      <w:r w:rsidRPr="00FB4EFA">
        <w:rPr>
          <w:color w:val="auto"/>
          <w:lang w:val="en-IE"/>
        </w:rPr>
        <w:t>Inception of internationalization</w:t>
      </w:r>
    </w:p>
    <w:p w14:paraId="0CFC9D69" w14:textId="5F68E889" w:rsidR="00C443E4" w:rsidRPr="00FB4EFA" w:rsidRDefault="008122C2" w:rsidP="00AF0CAD">
      <w:pPr>
        <w:rPr>
          <w:lang w:val="en-IE" w:eastAsia="en-GB"/>
        </w:rPr>
      </w:pPr>
      <w:r w:rsidRPr="00FB4EFA">
        <w:rPr>
          <w:lang w:val="en-IE" w:eastAsia="en-GB"/>
        </w:rPr>
        <w:t>Thanks to funds from the EU Lifelong Learning Programme procured by the jubilarian, t</w:t>
      </w:r>
      <w:r w:rsidR="001F5A1F" w:rsidRPr="00FB4EFA">
        <w:rPr>
          <w:lang w:val="en-IE" w:eastAsia="en-GB"/>
        </w:rPr>
        <w:t>he 1</w:t>
      </w:r>
      <w:r w:rsidR="001F5A1F" w:rsidRPr="00FB4EFA">
        <w:rPr>
          <w:vertAlign w:val="superscript"/>
          <w:lang w:val="en-IE" w:eastAsia="en-GB"/>
        </w:rPr>
        <w:t>st</w:t>
      </w:r>
      <w:r w:rsidR="001F5A1F" w:rsidRPr="00FB4EFA">
        <w:rPr>
          <w:lang w:val="en-IE" w:eastAsia="en-GB"/>
        </w:rPr>
        <w:t xml:space="preserve"> Winter School of Finno-Ugric Studies</w:t>
      </w:r>
      <w:r w:rsidR="001F5A1F" w:rsidRPr="00FB4EFA">
        <w:rPr>
          <w:vertAlign w:val="superscript"/>
          <w:lang w:val="en-IE" w:eastAsia="en-GB"/>
        </w:rPr>
        <w:footnoteReference w:id="20"/>
      </w:r>
      <w:r w:rsidR="001F5A1F" w:rsidRPr="00FB4EFA">
        <w:rPr>
          <w:lang w:val="en-IE" w:eastAsia="en-GB"/>
        </w:rPr>
        <w:t xml:space="preserve"> took place in Vienna </w:t>
      </w:r>
      <w:r w:rsidR="00F8220B" w:rsidRPr="00FB4EFA">
        <w:rPr>
          <w:lang w:val="en-IE" w:eastAsia="en-GB"/>
        </w:rPr>
        <w:t xml:space="preserve">between 17 February and 2 March 2013. It involved scholars and students from (in alphabetical order) </w:t>
      </w:r>
      <w:r w:rsidR="00161AA8" w:rsidRPr="00FB4EFA">
        <w:rPr>
          <w:b/>
          <w:bCs/>
          <w:lang w:val="en-IE" w:eastAsia="en-GB"/>
        </w:rPr>
        <w:t>Hamburg</w:t>
      </w:r>
      <w:r w:rsidR="00161AA8" w:rsidRPr="00FB4EFA">
        <w:rPr>
          <w:lang w:val="en-IE" w:eastAsia="en-GB"/>
        </w:rPr>
        <w:t xml:space="preserve">, </w:t>
      </w:r>
      <w:r w:rsidR="00F8220B" w:rsidRPr="00FB4EFA">
        <w:rPr>
          <w:b/>
          <w:bCs/>
          <w:lang w:val="en-IE" w:eastAsia="en-GB"/>
        </w:rPr>
        <w:t>Helsinki</w:t>
      </w:r>
      <w:r w:rsidR="00F8220B" w:rsidRPr="00FB4EFA">
        <w:rPr>
          <w:lang w:val="en-IE" w:eastAsia="en-GB"/>
        </w:rPr>
        <w:t xml:space="preserve">, </w:t>
      </w:r>
      <w:r w:rsidR="00F8220B" w:rsidRPr="00FB4EFA">
        <w:rPr>
          <w:b/>
          <w:bCs/>
          <w:lang w:val="en-IE" w:eastAsia="en-GB"/>
        </w:rPr>
        <w:t>Munich</w:t>
      </w:r>
      <w:r w:rsidR="00F8220B" w:rsidRPr="00FB4EFA">
        <w:rPr>
          <w:lang w:val="en-IE" w:eastAsia="en-GB"/>
        </w:rPr>
        <w:t xml:space="preserve">, </w:t>
      </w:r>
      <w:r w:rsidR="00120273" w:rsidRPr="00FB4EFA">
        <w:rPr>
          <w:lang w:val="en-IE" w:eastAsia="en-GB"/>
        </w:rPr>
        <w:br/>
      </w:r>
      <w:r w:rsidR="00F8220B" w:rsidRPr="00FB4EFA">
        <w:rPr>
          <w:b/>
          <w:bCs/>
          <w:lang w:val="en-IE" w:eastAsia="en-GB"/>
        </w:rPr>
        <w:t>Szeged</w:t>
      </w:r>
      <w:r w:rsidR="00F8220B" w:rsidRPr="00FB4EFA">
        <w:rPr>
          <w:lang w:val="en-IE" w:eastAsia="en-GB"/>
        </w:rPr>
        <w:t xml:space="preserve">, </w:t>
      </w:r>
      <w:r w:rsidR="00F8220B" w:rsidRPr="00FB4EFA">
        <w:rPr>
          <w:b/>
          <w:bCs/>
          <w:lang w:val="en-IE" w:eastAsia="en-GB"/>
        </w:rPr>
        <w:t>Tartu</w:t>
      </w:r>
      <w:r w:rsidR="00F8220B" w:rsidRPr="00FB4EFA">
        <w:rPr>
          <w:lang w:val="en-IE" w:eastAsia="en-GB"/>
        </w:rPr>
        <w:t xml:space="preserve">, and </w:t>
      </w:r>
      <w:r w:rsidR="00F8220B" w:rsidRPr="00FB4EFA">
        <w:rPr>
          <w:b/>
          <w:bCs/>
          <w:lang w:val="en-IE" w:eastAsia="en-GB"/>
        </w:rPr>
        <w:t>Vienna</w:t>
      </w:r>
      <w:r w:rsidR="00F8220B" w:rsidRPr="00FB4EFA">
        <w:rPr>
          <w:lang w:val="en-IE" w:eastAsia="en-GB"/>
        </w:rPr>
        <w:t xml:space="preserve">. The two-week course </w:t>
      </w:r>
      <w:r w:rsidR="00855724" w:rsidRPr="00FB4EFA">
        <w:rPr>
          <w:lang w:val="en-IE" w:eastAsia="en-GB"/>
        </w:rPr>
        <w:t>featured two week-</w:t>
      </w:r>
      <w:r w:rsidR="00855724" w:rsidRPr="00FB4EFA">
        <w:rPr>
          <w:lang w:val="en-IE" w:eastAsia="en-GB"/>
        </w:rPr>
        <w:lastRenderedPageBreak/>
        <w:t>long language courses (Northern Khanty taught by Zsófia Schön, Mária Sipos</w:t>
      </w:r>
      <w:r w:rsidR="00161AA8" w:rsidRPr="00FB4EFA">
        <w:rPr>
          <w:lang w:val="en-IE" w:eastAsia="en-GB"/>
        </w:rPr>
        <w:t>,</w:t>
      </w:r>
      <w:r w:rsidR="00855724" w:rsidRPr="00FB4EFA">
        <w:rPr>
          <w:lang w:val="en-IE" w:eastAsia="en-GB"/>
        </w:rPr>
        <w:t xml:space="preserve"> and Valentina Solova</w:t>
      </w:r>
      <w:r w:rsidR="0026127D" w:rsidRPr="00FB4EFA">
        <w:rPr>
          <w:lang w:val="en-IE" w:eastAsia="en-GB"/>
        </w:rPr>
        <w:t>r</w:t>
      </w:r>
      <w:r w:rsidR="00855724" w:rsidRPr="00FB4EFA">
        <w:rPr>
          <w:lang w:val="en-IE" w:eastAsia="en-GB"/>
        </w:rPr>
        <w:t xml:space="preserve">; Nganasan taught by Beáta Wagner-Nagy and Sándor Szeverényi) as well as myriad </w:t>
      </w:r>
      <w:r w:rsidR="00C443E4" w:rsidRPr="00FB4EFA">
        <w:rPr>
          <w:lang w:val="en-IE" w:eastAsia="en-GB"/>
        </w:rPr>
        <w:t xml:space="preserve">thematic </w:t>
      </w:r>
      <w:r w:rsidR="00855724" w:rsidRPr="00FB4EFA">
        <w:rPr>
          <w:lang w:val="en-IE" w:eastAsia="en-GB"/>
        </w:rPr>
        <w:t>workshops and lectures</w:t>
      </w:r>
      <w:r w:rsidR="00E41CF1" w:rsidRPr="00FB4EFA">
        <w:rPr>
          <w:lang w:val="en-IE" w:eastAsia="en-GB"/>
        </w:rPr>
        <w:t xml:space="preserve"> on topics such as language revitalization (Janne Saarikivi</w:t>
      </w:r>
      <w:r w:rsidR="000A66F4" w:rsidRPr="00FB4EFA">
        <w:rPr>
          <w:lang w:val="en-IE" w:eastAsia="en-GB"/>
        </w:rPr>
        <w:t xml:space="preserve"> and</w:t>
      </w:r>
      <w:r w:rsidR="00E41CF1" w:rsidRPr="00FB4EFA">
        <w:rPr>
          <w:lang w:val="en-IE" w:eastAsia="en-GB"/>
        </w:rPr>
        <w:t xml:space="preserve"> </w:t>
      </w:r>
      <w:r w:rsidR="00120273" w:rsidRPr="00FB4EFA">
        <w:rPr>
          <w:lang w:val="en-IE" w:eastAsia="en-GB"/>
        </w:rPr>
        <w:br/>
      </w:r>
      <w:r w:rsidR="00E41CF1" w:rsidRPr="00FB4EFA">
        <w:rPr>
          <w:lang w:val="en-IE" w:eastAsia="en-GB"/>
        </w:rPr>
        <w:t>Annika Pasanen), e-grammars (Veronika Bauer</w:t>
      </w:r>
      <w:r w:rsidR="000A66F4" w:rsidRPr="00FB4EFA">
        <w:rPr>
          <w:lang w:val="en-IE" w:eastAsia="en-GB"/>
        </w:rPr>
        <w:t xml:space="preserve"> and</w:t>
      </w:r>
      <w:r w:rsidR="00E41CF1" w:rsidRPr="00FB4EFA">
        <w:rPr>
          <w:lang w:val="en-IE" w:eastAsia="en-GB"/>
        </w:rPr>
        <w:t xml:space="preserve"> Gábor Fónyad), historical </w:t>
      </w:r>
      <w:r w:rsidR="00210577" w:rsidRPr="00FB4EFA">
        <w:rPr>
          <w:lang w:val="en-IE" w:eastAsia="en-GB"/>
        </w:rPr>
        <w:t>l</w:t>
      </w:r>
      <w:r w:rsidR="00E41CF1" w:rsidRPr="00FB4EFA">
        <w:rPr>
          <w:lang w:val="en-IE" w:eastAsia="en-GB"/>
        </w:rPr>
        <w:t>inguistics (Marianne Bakró-Nagy</w:t>
      </w:r>
      <w:r w:rsidR="000A66F4" w:rsidRPr="00FB4EFA">
        <w:rPr>
          <w:lang w:val="en-IE" w:eastAsia="en-GB"/>
        </w:rPr>
        <w:t xml:space="preserve"> and</w:t>
      </w:r>
      <w:r w:rsidR="00E41CF1" w:rsidRPr="00FB4EFA">
        <w:rPr>
          <w:lang w:val="en-IE" w:eastAsia="en-GB"/>
        </w:rPr>
        <w:t xml:space="preserve"> Johanna Laakso), and poster design (Veronika Bauer)</w:t>
      </w:r>
      <w:r w:rsidR="00855724" w:rsidRPr="00FB4EFA">
        <w:rPr>
          <w:lang w:val="en-IE" w:eastAsia="en-GB"/>
        </w:rPr>
        <w:t xml:space="preserve">. </w:t>
      </w:r>
      <w:r w:rsidR="00C443E4" w:rsidRPr="00FB4EFA">
        <w:rPr>
          <w:lang w:val="en-IE" w:eastAsia="en-GB"/>
        </w:rPr>
        <w:t xml:space="preserve">Everything taught at the winter school had one thing in common: it was something you could learn at </w:t>
      </w:r>
      <w:r w:rsidR="00C443E4" w:rsidRPr="00FB4EFA">
        <w:rPr>
          <w:i/>
          <w:iCs/>
          <w:lang w:val="en-IE" w:eastAsia="en-GB"/>
        </w:rPr>
        <w:t>one</w:t>
      </w:r>
      <w:r w:rsidR="00C443E4" w:rsidRPr="00FB4EFA">
        <w:rPr>
          <w:lang w:val="en-IE" w:eastAsia="en-GB"/>
        </w:rPr>
        <w:t xml:space="preserve"> university in the consortium, but not at </w:t>
      </w:r>
      <w:r w:rsidR="00C443E4" w:rsidRPr="00FB4EFA">
        <w:rPr>
          <w:i/>
          <w:iCs/>
          <w:lang w:val="en-IE" w:eastAsia="en-GB"/>
        </w:rPr>
        <w:t>all</w:t>
      </w:r>
      <w:r w:rsidR="00C443E4" w:rsidRPr="00FB4EFA">
        <w:rPr>
          <w:lang w:val="en-IE" w:eastAsia="en-GB"/>
        </w:rPr>
        <w:t xml:space="preserve"> universities in the consortium. It was conceived as an international sharing of know-how; it aimed to broaden the thematic range available to students at participating universities without changing anything on the ground</w:t>
      </w:r>
      <w:r w:rsidRPr="00FB4EFA">
        <w:rPr>
          <w:lang w:val="en-IE" w:eastAsia="en-GB"/>
        </w:rPr>
        <w:t xml:space="preserve"> (</w:t>
      </w:r>
      <w:r w:rsidR="00466236" w:rsidRPr="00FB4EFA">
        <w:rPr>
          <w:lang w:val="en-IE" w:eastAsia="en-GB"/>
        </w:rPr>
        <w:t>e.g., </w:t>
      </w:r>
      <w:r w:rsidRPr="00FB4EFA">
        <w:rPr>
          <w:lang w:val="en-IE" w:eastAsia="en-GB"/>
        </w:rPr>
        <w:t>curricula)</w:t>
      </w:r>
      <w:r w:rsidR="00C443E4" w:rsidRPr="00FB4EFA">
        <w:rPr>
          <w:lang w:val="en-IE" w:eastAsia="en-GB"/>
        </w:rPr>
        <w:t xml:space="preserve"> at any one </w:t>
      </w:r>
      <w:r w:rsidR="00120273" w:rsidRPr="00FB4EFA">
        <w:rPr>
          <w:lang w:val="en-IE" w:eastAsia="en-GB"/>
        </w:rPr>
        <w:br/>
      </w:r>
      <w:r w:rsidR="00C443E4" w:rsidRPr="00FB4EFA">
        <w:rPr>
          <w:lang w:val="en-IE" w:eastAsia="en-GB"/>
        </w:rPr>
        <w:t>participating university.</w:t>
      </w:r>
    </w:p>
    <w:p w14:paraId="57576E15" w14:textId="5EE37BC6" w:rsidR="00F8220B" w:rsidRPr="00FB4EFA" w:rsidRDefault="00137F6C" w:rsidP="00AF0CAD">
      <w:pPr>
        <w:ind w:firstLine="709"/>
        <w:rPr>
          <w:lang w:val="en-IE" w:eastAsia="en-GB"/>
        </w:rPr>
      </w:pPr>
      <w:r w:rsidRPr="00FB4EFA">
        <w:rPr>
          <w:lang w:val="en-IE" w:eastAsia="en-GB"/>
        </w:rPr>
        <w:t>Students from the various participating universities seemed to enjoy the courses (and the possibility to engage in extra-curricular activities with others studying the same arcane subjects), and so roughly one year later and within the same financial framework, the 2</w:t>
      </w:r>
      <w:r w:rsidRPr="00FB4EFA">
        <w:rPr>
          <w:vertAlign w:val="superscript"/>
          <w:lang w:val="en-IE" w:eastAsia="en-GB"/>
        </w:rPr>
        <w:t>nd</w:t>
      </w:r>
      <w:r w:rsidRPr="00FB4EFA">
        <w:rPr>
          <w:lang w:val="en-IE" w:eastAsia="en-GB"/>
        </w:rPr>
        <w:t xml:space="preserve"> Winter School of Finno-Ugric Studies</w:t>
      </w:r>
      <w:r w:rsidR="00C443E4" w:rsidRPr="00FB4EFA">
        <w:rPr>
          <w:vertAlign w:val="superscript"/>
          <w:lang w:val="en-IE" w:eastAsia="en-GB"/>
        </w:rPr>
        <w:footnoteReference w:id="21"/>
      </w:r>
      <w:r w:rsidR="00C443E4" w:rsidRPr="00FB4EFA">
        <w:rPr>
          <w:lang w:val="en-IE" w:eastAsia="en-GB"/>
        </w:rPr>
        <w:t xml:space="preserve"> </w:t>
      </w:r>
      <w:r w:rsidRPr="00FB4EFA">
        <w:rPr>
          <w:lang w:val="en-IE" w:eastAsia="en-GB"/>
        </w:rPr>
        <w:t>took place</w:t>
      </w:r>
      <w:r w:rsidR="00C443E4" w:rsidRPr="00FB4EFA">
        <w:rPr>
          <w:lang w:val="en-IE" w:eastAsia="en-GB"/>
        </w:rPr>
        <w:t xml:space="preserve"> from 19 January to 1 February 2014 in Szeged, featuring </w:t>
      </w:r>
      <w:r w:rsidR="00A05AF6" w:rsidRPr="00FB4EFA">
        <w:rPr>
          <w:lang w:val="en-IE" w:eastAsia="en-GB"/>
        </w:rPr>
        <w:t xml:space="preserve">courses </w:t>
      </w:r>
      <w:r w:rsidR="00C443E4" w:rsidRPr="00FB4EFA">
        <w:rPr>
          <w:lang w:val="en-IE" w:eastAsia="en-GB"/>
        </w:rPr>
        <w:t xml:space="preserve">on both Meadow and Hill Mari (taught by </w:t>
      </w:r>
      <w:r w:rsidR="00095A60">
        <w:rPr>
          <w:lang w:val="en-IE" w:eastAsia="en-GB"/>
        </w:rPr>
        <w:br/>
      </w:r>
      <w:r w:rsidR="00C443E4" w:rsidRPr="00FB4EFA">
        <w:rPr>
          <w:lang w:val="en-IE" w:eastAsia="en-GB"/>
        </w:rPr>
        <w:t>Jeremy Bradley, Tatiana Yefremova, and Julia Kuprina) and Nenets (taught by Lotta Jalava)</w:t>
      </w:r>
      <w:r w:rsidR="00A05AF6" w:rsidRPr="00FB4EFA">
        <w:rPr>
          <w:lang w:val="en-IE" w:eastAsia="en-GB"/>
        </w:rPr>
        <w:t>, and once again a wide range of thematic lectures</w:t>
      </w:r>
      <w:r w:rsidR="00D8429E" w:rsidRPr="00FB4EFA">
        <w:rPr>
          <w:lang w:val="en-IE" w:eastAsia="en-GB"/>
        </w:rPr>
        <w:t xml:space="preserve"> (Janne Saarikivi: “Ethnographic knowledge &amp; fieldwork”, Anna Fenyvesi: </w:t>
      </w:r>
      <w:r w:rsidR="00120273" w:rsidRPr="00FB4EFA">
        <w:rPr>
          <w:lang w:val="en-IE" w:eastAsia="en-GB"/>
        </w:rPr>
        <w:br/>
      </w:r>
      <w:r w:rsidR="00D8429E" w:rsidRPr="00FB4EFA">
        <w:rPr>
          <w:lang w:val="en-IE" w:eastAsia="en-GB"/>
        </w:rPr>
        <w:t xml:space="preserve">“Bi- and Multilingualism”, Elena Skribnik </w:t>
      </w:r>
      <w:r w:rsidR="006E20E9" w:rsidRPr="00FB4EFA">
        <w:rPr>
          <w:lang w:val="en-IE" w:eastAsia="en-GB"/>
        </w:rPr>
        <w:t>and</w:t>
      </w:r>
      <w:r w:rsidR="00D8429E" w:rsidRPr="00FB4EFA">
        <w:rPr>
          <w:lang w:val="en-IE" w:eastAsia="en-GB"/>
        </w:rPr>
        <w:t xml:space="preserve"> Gerson Klumpp (Tartu): “Typology and Finno-Ugric Studies”)</w:t>
      </w:r>
      <w:r w:rsidR="00A05AF6" w:rsidRPr="00FB4EFA">
        <w:rPr>
          <w:lang w:val="en-IE" w:eastAsia="en-GB"/>
        </w:rPr>
        <w:t xml:space="preserve"> and workshops</w:t>
      </w:r>
      <w:r w:rsidR="006F22F9" w:rsidRPr="00FB4EFA">
        <w:rPr>
          <w:lang w:val="en-IE" w:eastAsia="en-GB"/>
        </w:rPr>
        <w:t xml:space="preserve"> (Peter Austin, Elena Skribnik</w:t>
      </w:r>
      <w:r w:rsidR="006E20E9" w:rsidRPr="00FB4EFA">
        <w:rPr>
          <w:lang w:val="en-IE" w:eastAsia="en-GB"/>
        </w:rPr>
        <w:t>, and</w:t>
      </w:r>
      <w:r w:rsidR="006F22F9" w:rsidRPr="00FB4EFA">
        <w:rPr>
          <w:lang w:val="en-IE" w:eastAsia="en-GB"/>
        </w:rPr>
        <w:t xml:space="preserve"> Zsófia Schön: “Methods of linguistic field work”, Johanna Laakso </w:t>
      </w:r>
      <w:r w:rsidR="006E20E9" w:rsidRPr="00FB4EFA">
        <w:rPr>
          <w:lang w:val="en-IE" w:eastAsia="en-GB"/>
        </w:rPr>
        <w:t>and</w:t>
      </w:r>
      <w:r w:rsidR="006F22F9" w:rsidRPr="00FB4EFA">
        <w:rPr>
          <w:lang w:val="en-IE" w:eastAsia="en-GB"/>
        </w:rPr>
        <w:t xml:space="preserve"> Jeremy Bradley: “Scientific writing”, the </w:t>
      </w:r>
      <w:r w:rsidR="006F22F9" w:rsidRPr="00FB4EFA">
        <w:rPr>
          <w:i/>
          <w:iCs/>
          <w:lang w:val="en-IE" w:eastAsia="en-GB"/>
        </w:rPr>
        <w:t>Hexenkreis</w:t>
      </w:r>
      <w:r w:rsidR="006F22F9" w:rsidRPr="00FB4EFA">
        <w:rPr>
          <w:lang w:val="en-IE" w:eastAsia="en-GB"/>
        </w:rPr>
        <w:t xml:space="preserve">: </w:t>
      </w:r>
      <w:r w:rsidR="00120273" w:rsidRPr="00FB4EFA">
        <w:rPr>
          <w:lang w:val="en-IE" w:eastAsia="en-GB"/>
        </w:rPr>
        <w:br/>
      </w:r>
      <w:r w:rsidR="006F22F9" w:rsidRPr="00FB4EFA">
        <w:rPr>
          <w:lang w:val="en-IE" w:eastAsia="en-GB"/>
        </w:rPr>
        <w:t>“Language change under language contact”).</w:t>
      </w:r>
      <w:r w:rsidR="00C443E4" w:rsidRPr="00FB4EFA">
        <w:rPr>
          <w:lang w:val="en-IE" w:eastAsia="en-GB"/>
        </w:rPr>
        <w:t xml:space="preserve"> It was immediately clear that the 2013 Winter School was not a flash in the pan, but that there was persistent appetite for such an event within our scene.</w:t>
      </w:r>
    </w:p>
    <w:p w14:paraId="5F7F57F8" w14:textId="155E69F2" w:rsidR="001F5A1F" w:rsidRPr="00FB4EFA" w:rsidRDefault="00C7324A" w:rsidP="00AC1192">
      <w:pPr>
        <w:pStyle w:val="Heading2"/>
        <w:suppressAutoHyphens/>
        <w:spacing w:line="259" w:lineRule="auto"/>
        <w:rPr>
          <w:color w:val="auto"/>
          <w:lang w:val="en-IE"/>
        </w:rPr>
      </w:pPr>
      <w:r w:rsidRPr="00FB4EFA">
        <w:rPr>
          <w:i/>
          <w:iCs/>
          <w:color w:val="auto"/>
          <w:lang w:val="en-IE"/>
        </w:rPr>
        <w:t>For lack of a grant</w:t>
      </w:r>
      <w:r w:rsidRPr="00FB4EFA">
        <w:rPr>
          <w:color w:val="auto"/>
          <w:lang w:val="en-IE"/>
        </w:rPr>
        <w:t xml:space="preserve"> …</w:t>
      </w:r>
    </w:p>
    <w:p w14:paraId="2C31EF86" w14:textId="14125CBC" w:rsidR="00855724" w:rsidRPr="00FB4EFA" w:rsidRDefault="001F5A1F" w:rsidP="005C57E5">
      <w:pPr>
        <w:rPr>
          <w:lang w:val="en-IE" w:eastAsia="en-GB"/>
        </w:rPr>
      </w:pPr>
      <w:r w:rsidRPr="00FB4EFA">
        <w:rPr>
          <w:lang w:val="en-IE" w:eastAsia="en-GB"/>
        </w:rPr>
        <w:t xml:space="preserve">By February 2015, the EU Lifelong Learning Programme had </w:t>
      </w:r>
      <w:r w:rsidR="00595233" w:rsidRPr="00FB4EFA">
        <w:rPr>
          <w:lang w:val="en-IE" w:eastAsia="en-GB"/>
        </w:rPr>
        <w:t>come to an end</w:t>
      </w:r>
      <w:r w:rsidRPr="00FB4EFA">
        <w:rPr>
          <w:lang w:val="en-IE" w:eastAsia="en-GB"/>
        </w:rPr>
        <w:t xml:space="preserve">. </w:t>
      </w:r>
      <w:r w:rsidR="00855724" w:rsidRPr="00FB4EFA">
        <w:rPr>
          <w:lang w:val="en-IE" w:eastAsia="en-GB"/>
        </w:rPr>
        <w:t xml:space="preserve">In only two years, however, the Winter Schools had become an institution – involved scholars could no longer envision the discipline without </w:t>
      </w:r>
      <w:r w:rsidR="00855724" w:rsidRPr="00FB4EFA">
        <w:rPr>
          <w:lang w:val="en-IE" w:eastAsia="en-GB"/>
        </w:rPr>
        <w:lastRenderedPageBreak/>
        <w:t>them</w:t>
      </w:r>
      <w:r w:rsidR="00137F6C" w:rsidRPr="00FB4EFA">
        <w:rPr>
          <w:lang w:val="en-IE" w:eastAsia="en-GB"/>
        </w:rPr>
        <w:t>, and students at Finno-Ugric institutes all over Europe would ask when and where the next one would take place</w:t>
      </w:r>
      <w:r w:rsidR="00855724" w:rsidRPr="00FB4EFA">
        <w:rPr>
          <w:lang w:val="en-IE" w:eastAsia="en-GB"/>
        </w:rPr>
        <w:t>. It was thus decided to try to make one Winter School work somehow, in complete absence of centralized funding, by making use of travel grants etc. available at participating universities. The third Winter School of Finno-Ugric Studies was carried out between 9 and 14 February 2015 in Munich and featured</w:t>
      </w:r>
      <w:r w:rsidR="006F22F9" w:rsidRPr="00FB4EFA">
        <w:rPr>
          <w:lang w:val="en-IE" w:eastAsia="en-GB"/>
        </w:rPr>
        <w:t xml:space="preserve"> </w:t>
      </w:r>
      <w:r w:rsidR="00855724" w:rsidRPr="00FB4EFA">
        <w:rPr>
          <w:lang w:val="en-IE" w:eastAsia="en-GB"/>
        </w:rPr>
        <w:t>a course on Kildin Saami taught by Michael Rießler</w:t>
      </w:r>
      <w:r w:rsidR="006F22F9" w:rsidRPr="00FB4EFA">
        <w:rPr>
          <w:lang w:val="en-IE" w:eastAsia="en-GB"/>
        </w:rPr>
        <w:t xml:space="preserve">, workshops on new approaches in historical Uralic phonology and etymology (Ante Aikio, Marianne Bakró-Nagy, Janne Saarikivi) and corpus linguistics (Jeremy Bradley, Maximilian Murmann, </w:t>
      </w:r>
      <w:r w:rsidR="005C57E5" w:rsidRPr="00FB4EFA">
        <w:rPr>
          <w:lang w:val="en-IE" w:eastAsia="en-GB"/>
        </w:rPr>
        <w:t xml:space="preserve">and </w:t>
      </w:r>
      <w:r w:rsidR="006F22F9" w:rsidRPr="00FB4EFA">
        <w:rPr>
          <w:lang w:val="en-IE" w:eastAsia="en-GB"/>
        </w:rPr>
        <w:t xml:space="preserve">Zsófia Schön), as well as three guest lectures: “Corpus linguistics and its theoretical basis” (Hans-Jörg Schmid), “Uralic </w:t>
      </w:r>
      <w:r w:rsidR="00210577" w:rsidRPr="00FB4EFA">
        <w:rPr>
          <w:lang w:val="en-IE" w:eastAsia="en-GB"/>
        </w:rPr>
        <w:t>h</w:t>
      </w:r>
      <w:r w:rsidR="006F22F9" w:rsidRPr="00FB4EFA">
        <w:rPr>
          <w:lang w:val="en-IE" w:eastAsia="en-GB"/>
        </w:rPr>
        <w:t xml:space="preserve">istorical phonology and the search for new etymological cognate words” (Ante Aikio), “Language change and motion charts” (Martin Hilpert). </w:t>
      </w:r>
      <w:r w:rsidR="0026127D" w:rsidRPr="00FB4EFA">
        <w:rPr>
          <w:lang w:val="en-IE" w:eastAsia="en-GB"/>
        </w:rPr>
        <w:t xml:space="preserve">The latter lecture was the first online lecture held at a winter school and was a harbinger of things to come. </w:t>
      </w:r>
      <w:r w:rsidR="00855724" w:rsidRPr="00FB4EFA">
        <w:rPr>
          <w:lang w:val="en-IE" w:eastAsia="en-GB"/>
        </w:rPr>
        <w:t xml:space="preserve">The consortium was widened, with </w:t>
      </w:r>
      <w:r w:rsidR="00855724" w:rsidRPr="00FB4EFA">
        <w:rPr>
          <w:b/>
          <w:bCs/>
          <w:lang w:val="en-IE" w:eastAsia="en-GB"/>
        </w:rPr>
        <w:t>Turku</w:t>
      </w:r>
      <w:r w:rsidR="00855724" w:rsidRPr="00FB4EFA">
        <w:rPr>
          <w:lang w:val="en-IE" w:eastAsia="en-GB"/>
        </w:rPr>
        <w:t xml:space="preserve"> and </w:t>
      </w:r>
      <w:r w:rsidR="00855724" w:rsidRPr="00FB4EFA">
        <w:rPr>
          <w:b/>
          <w:bCs/>
          <w:lang w:val="en-IE" w:eastAsia="en-GB"/>
        </w:rPr>
        <w:t>Uppsala</w:t>
      </w:r>
      <w:r w:rsidR="00855724" w:rsidRPr="00FB4EFA">
        <w:rPr>
          <w:lang w:val="en-IE" w:eastAsia="en-GB"/>
        </w:rPr>
        <w:t xml:space="preserve"> joining the club and sending staff and students</w:t>
      </w:r>
      <w:r w:rsidR="005C57E5" w:rsidRPr="00FB4EFA">
        <w:rPr>
          <w:lang w:val="en-IE" w:eastAsia="en-GB"/>
        </w:rPr>
        <w:t>,</w:t>
      </w:r>
      <w:r w:rsidR="00855724" w:rsidRPr="00FB4EFA">
        <w:rPr>
          <w:lang w:val="en-IE" w:eastAsia="en-GB"/>
        </w:rPr>
        <w:t xml:space="preserve"> who vividly contributed to the Winter School and the surrounding social program. Given the financial constraints, this winter school lasted only one week, but it was plainly evident that this was </w:t>
      </w:r>
      <w:r w:rsidR="00137F6C" w:rsidRPr="00FB4EFA">
        <w:rPr>
          <w:lang w:val="en-IE" w:eastAsia="en-GB"/>
        </w:rPr>
        <w:t xml:space="preserve">also </w:t>
      </w:r>
      <w:r w:rsidR="00855724" w:rsidRPr="00FB4EFA">
        <w:rPr>
          <w:lang w:val="en-IE" w:eastAsia="en-GB"/>
        </w:rPr>
        <w:t>preferable: while it limited the amount of material we could cover, it also greatly reduced logistical headaches that had surrounded the two previous winter schools</w:t>
      </w:r>
      <w:r w:rsidR="008122C2" w:rsidRPr="00FB4EFA">
        <w:rPr>
          <w:lang w:val="en-IE" w:eastAsia="en-GB"/>
        </w:rPr>
        <w:t xml:space="preserve"> and gave more students the possibility to participate</w:t>
      </w:r>
      <w:r w:rsidR="00137F6C" w:rsidRPr="00FB4EFA">
        <w:rPr>
          <w:lang w:val="en-IE" w:eastAsia="en-GB"/>
        </w:rPr>
        <w:t>; many also said that two weeks w</w:t>
      </w:r>
      <w:r w:rsidR="005C57E5" w:rsidRPr="00FB4EFA">
        <w:rPr>
          <w:lang w:val="en-IE" w:eastAsia="en-GB"/>
        </w:rPr>
        <w:t>ere</w:t>
      </w:r>
      <w:r w:rsidR="00137F6C" w:rsidRPr="00FB4EFA">
        <w:rPr>
          <w:lang w:val="en-IE" w:eastAsia="en-GB"/>
        </w:rPr>
        <w:t xml:space="preserve"> just too long</w:t>
      </w:r>
      <w:r w:rsidR="00855724" w:rsidRPr="00FB4EFA">
        <w:rPr>
          <w:lang w:val="en-IE" w:eastAsia="en-GB"/>
        </w:rPr>
        <w:t xml:space="preserve">. It was decided that, going forth, our internationalization efforts would be distributed: </w:t>
      </w:r>
      <w:r w:rsidR="00210577" w:rsidRPr="00FB4EFA">
        <w:rPr>
          <w:lang w:val="en-IE" w:eastAsia="en-GB"/>
        </w:rPr>
        <w:t>i</w:t>
      </w:r>
      <w:r w:rsidR="00855724" w:rsidRPr="00FB4EFA">
        <w:rPr>
          <w:lang w:val="en-IE" w:eastAsia="en-GB"/>
        </w:rPr>
        <w:t xml:space="preserve">n addition to the now shorter winter schools, we would aim to carry out other in-person </w:t>
      </w:r>
      <w:r w:rsidR="005C57E5" w:rsidRPr="00FB4EFA">
        <w:rPr>
          <w:lang w:val="en-IE" w:eastAsia="en-GB"/>
        </w:rPr>
        <w:t>as well as</w:t>
      </w:r>
      <w:r w:rsidR="00855724" w:rsidRPr="00FB4EFA">
        <w:rPr>
          <w:lang w:val="en-IE" w:eastAsia="en-GB"/>
        </w:rPr>
        <w:t xml:space="preserve"> online teaching events throughout the </w:t>
      </w:r>
      <w:r w:rsidR="008122C2" w:rsidRPr="00FB4EFA">
        <w:rPr>
          <w:lang w:val="en-IE" w:eastAsia="en-GB"/>
        </w:rPr>
        <w:t>academic year</w:t>
      </w:r>
      <w:r w:rsidR="00855724" w:rsidRPr="00FB4EFA">
        <w:rPr>
          <w:lang w:val="en-IE" w:eastAsia="en-GB"/>
        </w:rPr>
        <w:t>.</w:t>
      </w:r>
    </w:p>
    <w:p w14:paraId="2D335CC9" w14:textId="00515AEE" w:rsidR="00855724" w:rsidRPr="00FB4EFA" w:rsidRDefault="00855724" w:rsidP="00402EF4">
      <w:pPr>
        <w:ind w:firstLine="709"/>
        <w:rPr>
          <w:lang w:val="en-IE" w:eastAsia="en-GB"/>
        </w:rPr>
      </w:pPr>
      <w:r w:rsidRPr="00FB4EFA">
        <w:rPr>
          <w:lang w:val="en-IE" w:eastAsia="en-GB"/>
        </w:rPr>
        <w:t>We can only hope that the improvi</w:t>
      </w:r>
      <w:r w:rsidR="008C4F74" w:rsidRPr="00FB4EFA">
        <w:rPr>
          <w:lang w:val="en-IE" w:eastAsia="en-GB"/>
        </w:rPr>
        <w:t>z</w:t>
      </w:r>
      <w:r w:rsidRPr="00FB4EFA">
        <w:rPr>
          <w:lang w:val="en-IE" w:eastAsia="en-GB"/>
        </w:rPr>
        <w:t>ed 2015 Winter School never is taken as evidence that Uralicists are so assiduous</w:t>
      </w:r>
      <w:r w:rsidR="005C57E5" w:rsidRPr="00FB4EFA">
        <w:rPr>
          <w:lang w:val="en-IE" w:eastAsia="en-GB"/>
        </w:rPr>
        <w:t xml:space="preserve"> that </w:t>
      </w:r>
      <w:r w:rsidRPr="00FB4EFA">
        <w:rPr>
          <w:lang w:val="en-IE" w:eastAsia="en-GB"/>
        </w:rPr>
        <w:t>they do not actually need funding – they will</w:t>
      </w:r>
      <w:r w:rsidR="00137F6C" w:rsidRPr="00FB4EFA">
        <w:rPr>
          <w:lang w:val="en-IE" w:eastAsia="en-GB"/>
        </w:rPr>
        <w:t xml:space="preserve"> </w:t>
      </w:r>
      <w:r w:rsidRPr="00FB4EFA">
        <w:rPr>
          <w:lang w:val="en-IE" w:eastAsia="en-GB"/>
        </w:rPr>
        <w:t>keep on doing cool stuff no matter what.</w:t>
      </w:r>
    </w:p>
    <w:p w14:paraId="677D9BC5" w14:textId="231C9A8D" w:rsidR="009A29B6" w:rsidRPr="00FB4EFA" w:rsidRDefault="009A29B6" w:rsidP="00545033">
      <w:pPr>
        <w:pStyle w:val="Heading2"/>
        <w:suppressAutoHyphens/>
        <w:spacing w:line="259" w:lineRule="auto"/>
        <w:rPr>
          <w:color w:val="auto"/>
          <w:lang w:val="en-IE"/>
        </w:rPr>
      </w:pPr>
      <w:r w:rsidRPr="00FB4EFA">
        <w:rPr>
          <w:color w:val="auto"/>
          <w:lang w:val="en-IE"/>
        </w:rPr>
        <w:t>INFUSE-ing our discipline with</w:t>
      </w:r>
      <w:r w:rsidR="006537FD" w:rsidRPr="00FB4EFA">
        <w:rPr>
          <w:color w:val="auto"/>
          <w:lang w:val="en-IE"/>
        </w:rPr>
        <w:t xml:space="preserve"> new</w:t>
      </w:r>
      <w:r w:rsidRPr="00FB4EFA">
        <w:rPr>
          <w:color w:val="auto"/>
          <w:lang w:val="en-IE"/>
        </w:rPr>
        <w:t xml:space="preserve"> life</w:t>
      </w:r>
    </w:p>
    <w:p w14:paraId="1B61E01A" w14:textId="107E0884" w:rsidR="00F8220B" w:rsidRPr="00FB4EFA" w:rsidRDefault="00C443E4" w:rsidP="005C57E5">
      <w:pPr>
        <w:spacing w:after="240"/>
        <w:rPr>
          <w:lang w:val="en-IE" w:eastAsia="en-GB"/>
        </w:rPr>
      </w:pPr>
      <w:r w:rsidRPr="00FB4EFA">
        <w:rPr>
          <w:lang w:val="en-IE" w:eastAsia="en-GB"/>
        </w:rPr>
        <w:t xml:space="preserve">From 1 September 2015 to 31 August 2018, the European Union’s </w:t>
      </w:r>
      <w:r w:rsidR="005C57E5" w:rsidRPr="00FB4EFA">
        <w:rPr>
          <w:lang w:val="en-IE" w:eastAsia="en-GB"/>
        </w:rPr>
        <w:br/>
      </w:r>
      <w:r w:rsidRPr="00FB4EFA">
        <w:rPr>
          <w:lang w:val="en-IE" w:eastAsia="en-GB"/>
        </w:rPr>
        <w:t xml:space="preserve">Erasmus+ programme graced us with a formal and financial framework for our discipline: the strategic partnership </w:t>
      </w:r>
      <w:r w:rsidRPr="00FB4EFA">
        <w:rPr>
          <w:i/>
          <w:iCs/>
          <w:lang w:val="en-IE" w:eastAsia="en-GB"/>
        </w:rPr>
        <w:t xml:space="preserve">Integrating Finno-Ugric </w:t>
      </w:r>
      <w:r w:rsidR="006B2EA3" w:rsidRPr="00FB4EFA">
        <w:rPr>
          <w:i/>
          <w:iCs/>
          <w:lang w:val="en-IE" w:eastAsia="en-GB"/>
        </w:rPr>
        <w:br/>
      </w:r>
      <w:r w:rsidRPr="00FB4EFA">
        <w:rPr>
          <w:i/>
          <w:iCs/>
          <w:lang w:val="en-IE" w:eastAsia="en-GB"/>
        </w:rPr>
        <w:lastRenderedPageBreak/>
        <w:t>Studies in Europe (INFUSE)</w:t>
      </w:r>
      <w:r w:rsidRPr="00FB4EFA">
        <w:rPr>
          <w:lang w:val="en-IE" w:eastAsia="en-GB"/>
        </w:rPr>
        <w:t>,</w:t>
      </w:r>
      <w:r w:rsidRPr="00FB4EFA">
        <w:rPr>
          <w:vertAlign w:val="superscript"/>
          <w:lang w:val="en-IE" w:eastAsia="en-GB"/>
        </w:rPr>
        <w:footnoteReference w:id="22"/>
      </w:r>
      <w:r w:rsidRPr="00FB4EFA">
        <w:rPr>
          <w:lang w:val="en-IE" w:eastAsia="en-GB"/>
        </w:rPr>
        <w:t xml:space="preserve"> headed by Elena Skribnik at Ludwig Maximilian University of Munich</w:t>
      </w:r>
      <w:r w:rsidR="00137F6C" w:rsidRPr="00FB4EFA">
        <w:rPr>
          <w:lang w:val="en-IE" w:eastAsia="en-GB"/>
        </w:rPr>
        <w:t>,</w:t>
      </w:r>
      <w:r w:rsidRPr="00FB4EFA">
        <w:rPr>
          <w:lang w:val="en-IE" w:eastAsia="en-GB"/>
        </w:rPr>
        <w:t xml:space="preserve"> but conceived by our consortium as a whole, gave us the means to organize three more winter schools:</w:t>
      </w:r>
    </w:p>
    <w:p w14:paraId="449DB6E9" w14:textId="12FD5411" w:rsidR="00B3294E" w:rsidRPr="00FB4EFA" w:rsidRDefault="008145AE" w:rsidP="005C57E5">
      <w:pPr>
        <w:numPr>
          <w:ilvl w:val="0"/>
          <w:numId w:val="2"/>
        </w:numPr>
        <w:ind w:left="284" w:hanging="284"/>
        <w:rPr>
          <w:lang w:val="en-IE"/>
        </w:rPr>
      </w:pPr>
      <w:r w:rsidRPr="00FB4EFA">
        <w:rPr>
          <w:lang w:val="en-IE"/>
        </w:rPr>
        <w:t>4</w:t>
      </w:r>
      <w:r w:rsidRPr="00FB4EFA">
        <w:rPr>
          <w:vertAlign w:val="superscript"/>
          <w:lang w:val="en-IE"/>
        </w:rPr>
        <w:t>th</w:t>
      </w:r>
      <w:r w:rsidRPr="00FB4EFA">
        <w:rPr>
          <w:lang w:val="en-IE"/>
        </w:rPr>
        <w:t xml:space="preserve"> Winter School of Finno-Ugric Studies, Tartu, 1 – 6 February 2016, featuring Komi (taught by Nikolay Kuznetsov)</w:t>
      </w:r>
      <w:r w:rsidR="00192055" w:rsidRPr="00FB4EFA">
        <w:rPr>
          <w:lang w:val="en-IE"/>
        </w:rPr>
        <w:t>, workshops on t</w:t>
      </w:r>
      <w:r w:rsidR="00B3294E" w:rsidRPr="00FB4EFA">
        <w:rPr>
          <w:lang w:val="en-IE"/>
        </w:rPr>
        <w:t xml:space="preserve">ranscription, transliteration, </w:t>
      </w:r>
      <w:r w:rsidR="005C57E5" w:rsidRPr="00FB4EFA">
        <w:rPr>
          <w:lang w:val="en-IE"/>
        </w:rPr>
        <w:t xml:space="preserve">and </w:t>
      </w:r>
      <w:r w:rsidR="00B3294E" w:rsidRPr="00FB4EFA">
        <w:rPr>
          <w:lang w:val="en-IE"/>
        </w:rPr>
        <w:t xml:space="preserve">orthographies (Jeremy </w:t>
      </w:r>
      <w:r w:rsidR="00192055" w:rsidRPr="00FB4EFA">
        <w:rPr>
          <w:lang w:val="en-IE"/>
        </w:rPr>
        <w:t>Bradley,</w:t>
      </w:r>
      <w:r w:rsidR="00B3294E" w:rsidRPr="00FB4EFA">
        <w:rPr>
          <w:lang w:val="en-IE"/>
        </w:rPr>
        <w:t xml:space="preserve"> Gwen Eva Janda, Elena Skribni</w:t>
      </w:r>
      <w:r w:rsidR="00192055" w:rsidRPr="00FB4EFA">
        <w:rPr>
          <w:lang w:val="en-IE"/>
        </w:rPr>
        <w:t>k</w:t>
      </w:r>
      <w:r w:rsidR="00B3294E" w:rsidRPr="00FB4EFA">
        <w:rPr>
          <w:lang w:val="en-IE"/>
        </w:rPr>
        <w:t xml:space="preserve">, </w:t>
      </w:r>
      <w:r w:rsidR="007A3444" w:rsidRPr="00FB4EFA">
        <w:rPr>
          <w:lang w:val="en-IE"/>
        </w:rPr>
        <w:t xml:space="preserve">and </w:t>
      </w:r>
      <w:r w:rsidR="00B3294E" w:rsidRPr="00FB4EFA">
        <w:rPr>
          <w:lang w:val="en-IE"/>
        </w:rPr>
        <w:t>Johanna Laakso)</w:t>
      </w:r>
      <w:r w:rsidR="00192055" w:rsidRPr="00FB4EFA">
        <w:rPr>
          <w:lang w:val="en-IE"/>
        </w:rPr>
        <w:t xml:space="preserve"> and </w:t>
      </w:r>
      <w:r w:rsidR="00B3294E" w:rsidRPr="00FB4EFA">
        <w:rPr>
          <w:lang w:val="en-IE"/>
        </w:rPr>
        <w:t>Uralic syntax</w:t>
      </w:r>
      <w:r w:rsidR="00192055" w:rsidRPr="00FB4EFA">
        <w:rPr>
          <w:lang w:val="en-IE"/>
        </w:rPr>
        <w:t xml:space="preserve"> &amp;</w:t>
      </w:r>
      <w:r w:rsidR="00B3294E" w:rsidRPr="00FB4EFA">
        <w:rPr>
          <w:lang w:val="en-IE"/>
        </w:rPr>
        <w:t xml:space="preserve"> information structure (Elena Skribnik, Gerson Klumpp)</w:t>
      </w:r>
      <w:r w:rsidR="00192055" w:rsidRPr="00FB4EFA">
        <w:rPr>
          <w:lang w:val="en-IE"/>
        </w:rPr>
        <w:t xml:space="preserve"> as well as the lec</w:t>
      </w:r>
      <w:r w:rsidR="00B3294E" w:rsidRPr="00FB4EFA">
        <w:rPr>
          <w:lang w:val="en-IE"/>
        </w:rPr>
        <w:t>tures</w:t>
      </w:r>
      <w:r w:rsidR="00192055" w:rsidRPr="00FB4EFA">
        <w:rPr>
          <w:lang w:val="en-IE"/>
        </w:rPr>
        <w:t xml:space="preserve"> “Uralic phonetic studies: state of the art”</w:t>
      </w:r>
      <w:r w:rsidR="00B3294E" w:rsidRPr="00FB4EFA">
        <w:rPr>
          <w:lang w:val="en-IE"/>
        </w:rPr>
        <w:t xml:space="preserve"> </w:t>
      </w:r>
      <w:r w:rsidR="00192055" w:rsidRPr="00FB4EFA">
        <w:rPr>
          <w:lang w:val="en-IE"/>
        </w:rPr>
        <w:t>(</w:t>
      </w:r>
      <w:r w:rsidR="00B3294E" w:rsidRPr="00FB4EFA">
        <w:rPr>
          <w:lang w:val="en-IE"/>
        </w:rPr>
        <w:t xml:space="preserve">Pärtel Lippus </w:t>
      </w:r>
      <w:r w:rsidR="007A3444" w:rsidRPr="00FB4EFA">
        <w:rPr>
          <w:lang w:val="en-IE"/>
        </w:rPr>
        <w:t>and</w:t>
      </w:r>
      <w:r w:rsidR="00B3294E" w:rsidRPr="00FB4EFA">
        <w:rPr>
          <w:lang w:val="en-IE"/>
        </w:rPr>
        <w:t xml:space="preserve"> Eva Liina Asu-Garcia)</w:t>
      </w:r>
      <w:r w:rsidR="00192055" w:rsidRPr="00FB4EFA">
        <w:rPr>
          <w:lang w:val="en-IE"/>
        </w:rPr>
        <w:t xml:space="preserve"> and “</w:t>
      </w:r>
      <w:r w:rsidR="00B3294E" w:rsidRPr="00FB4EFA">
        <w:rPr>
          <w:lang w:val="en-IE"/>
        </w:rPr>
        <w:t>The criteria of a loanword etymology</w:t>
      </w:r>
      <w:r w:rsidR="00192055" w:rsidRPr="00FB4EFA">
        <w:rPr>
          <w:lang w:val="en-IE"/>
        </w:rPr>
        <w:t>” (Santeri Junttila)</w:t>
      </w:r>
      <w:r w:rsidR="007A3444" w:rsidRPr="00FB4EFA">
        <w:rPr>
          <w:lang w:val="en-IE"/>
        </w:rPr>
        <w:t>.</w:t>
      </w:r>
    </w:p>
    <w:p w14:paraId="627C90D9" w14:textId="1B0D56CA" w:rsidR="00B3294E" w:rsidRPr="00FB4EFA" w:rsidRDefault="008145AE" w:rsidP="00402EF4">
      <w:pPr>
        <w:numPr>
          <w:ilvl w:val="0"/>
          <w:numId w:val="2"/>
        </w:numPr>
        <w:ind w:left="284" w:hanging="284"/>
        <w:rPr>
          <w:lang w:val="en-IE"/>
        </w:rPr>
      </w:pPr>
      <w:r w:rsidRPr="00FB4EFA">
        <w:rPr>
          <w:lang w:val="en-IE"/>
        </w:rPr>
        <w:t>5</w:t>
      </w:r>
      <w:r w:rsidRPr="00FB4EFA">
        <w:rPr>
          <w:vertAlign w:val="superscript"/>
          <w:lang w:val="en-IE"/>
        </w:rPr>
        <w:t>th</w:t>
      </w:r>
      <w:r w:rsidRPr="00FB4EFA">
        <w:rPr>
          <w:lang w:val="en-IE"/>
        </w:rPr>
        <w:t xml:space="preserve"> Winter School of Finno-Ugric Studies, Turku, 27 February – 4 March 2017, featuring Moksha (taught by Valentina Katainen),</w:t>
      </w:r>
      <w:r w:rsidR="00192055" w:rsidRPr="00FB4EFA">
        <w:rPr>
          <w:lang w:val="en-IE"/>
        </w:rPr>
        <w:t xml:space="preserve"> workshops on cognitive linguistics </w:t>
      </w:r>
      <w:r w:rsidR="00B3294E" w:rsidRPr="00FB4EFA">
        <w:rPr>
          <w:lang w:val="en-IE"/>
        </w:rPr>
        <w:t>(Krista Ojutkangas, Tuomas Huumo)</w:t>
      </w:r>
      <w:r w:rsidR="00B042A1" w:rsidRPr="00FB4EFA">
        <w:rPr>
          <w:lang w:val="en-IE"/>
        </w:rPr>
        <w:t xml:space="preserve"> and</w:t>
      </w:r>
      <w:r w:rsidR="00192055" w:rsidRPr="00FB4EFA">
        <w:rPr>
          <w:lang w:val="en-IE"/>
        </w:rPr>
        <w:t xml:space="preserve"> t</w:t>
      </w:r>
      <w:r w:rsidR="00B3294E" w:rsidRPr="00FB4EFA">
        <w:rPr>
          <w:lang w:val="en-IE"/>
        </w:rPr>
        <w:t xml:space="preserve">ext analysis </w:t>
      </w:r>
      <w:r w:rsidR="007A3444" w:rsidRPr="00FB4EFA">
        <w:rPr>
          <w:lang w:val="en-IE"/>
        </w:rPr>
        <w:t>&amp;</w:t>
      </w:r>
      <w:r w:rsidR="00B3294E" w:rsidRPr="00FB4EFA">
        <w:rPr>
          <w:lang w:val="en-IE"/>
        </w:rPr>
        <w:t xml:space="preserve"> corpora (Jorma Luutonen)</w:t>
      </w:r>
      <w:r w:rsidR="007A3444" w:rsidRPr="00FB4EFA">
        <w:rPr>
          <w:lang w:val="en-IE"/>
        </w:rPr>
        <w:t>,</w:t>
      </w:r>
      <w:r w:rsidR="00192055" w:rsidRPr="00FB4EFA">
        <w:rPr>
          <w:lang w:val="en-IE"/>
        </w:rPr>
        <w:t xml:space="preserve"> as well as the lectures </w:t>
      </w:r>
      <w:r w:rsidR="007A3444" w:rsidRPr="00FB4EFA">
        <w:rPr>
          <w:lang w:val="en-IE"/>
        </w:rPr>
        <w:br/>
      </w:r>
      <w:r w:rsidR="00192055" w:rsidRPr="00FB4EFA">
        <w:rPr>
          <w:lang w:val="en-IE"/>
        </w:rPr>
        <w:t>“Etymology and expressive words” (Ulla-Maija Forsberg) and “(Finnish) folkloristics within Uralistics and beyond” (Sirkka Saarinen).</w:t>
      </w:r>
    </w:p>
    <w:p w14:paraId="1213CD14" w14:textId="3EE79E9F" w:rsidR="00B3294E" w:rsidRPr="00FB4EFA" w:rsidRDefault="008145AE" w:rsidP="005E7D32">
      <w:pPr>
        <w:keepLines/>
        <w:numPr>
          <w:ilvl w:val="0"/>
          <w:numId w:val="2"/>
        </w:numPr>
        <w:ind w:left="284" w:hanging="284"/>
        <w:rPr>
          <w:lang w:val="en-IE"/>
        </w:rPr>
      </w:pPr>
      <w:r w:rsidRPr="00FB4EFA">
        <w:rPr>
          <w:lang w:val="en-IE"/>
        </w:rPr>
        <w:t>6</w:t>
      </w:r>
      <w:r w:rsidRPr="00FB4EFA">
        <w:rPr>
          <w:vertAlign w:val="superscript"/>
          <w:lang w:val="en-IE"/>
        </w:rPr>
        <w:t>th</w:t>
      </w:r>
      <w:r w:rsidRPr="00FB4EFA">
        <w:rPr>
          <w:lang w:val="en-IE"/>
        </w:rPr>
        <w:t xml:space="preserve"> Winter School of Finno-Ugric Studies, Vienna (again), 26 February – 3 March 2018, featuring Udmurt (taught by Dmitri Efremov and Christian Pischlöger)</w:t>
      </w:r>
      <w:r w:rsidR="00192055" w:rsidRPr="00FB4EFA">
        <w:rPr>
          <w:lang w:val="en-IE"/>
        </w:rPr>
        <w:t>, workshops on t</w:t>
      </w:r>
      <w:r w:rsidR="00B3294E" w:rsidRPr="00FB4EFA">
        <w:rPr>
          <w:lang w:val="en-IE"/>
        </w:rPr>
        <w:t xml:space="preserve">he </w:t>
      </w:r>
      <w:r w:rsidR="00192055" w:rsidRPr="00FB4EFA">
        <w:rPr>
          <w:lang w:val="en-IE"/>
        </w:rPr>
        <w:t>g</w:t>
      </w:r>
      <w:r w:rsidR="00B3294E" w:rsidRPr="00FB4EFA">
        <w:rPr>
          <w:lang w:val="en-IE"/>
        </w:rPr>
        <w:t xml:space="preserve">rammar of </w:t>
      </w:r>
      <w:r w:rsidR="00192055" w:rsidRPr="00FB4EFA">
        <w:rPr>
          <w:lang w:val="en-IE"/>
        </w:rPr>
        <w:t>s</w:t>
      </w:r>
      <w:r w:rsidR="00B3294E" w:rsidRPr="00FB4EFA">
        <w:rPr>
          <w:lang w:val="en-IE"/>
        </w:rPr>
        <w:t xml:space="preserve">ocial </w:t>
      </w:r>
      <w:r w:rsidR="00192055" w:rsidRPr="00FB4EFA">
        <w:rPr>
          <w:lang w:val="en-IE"/>
        </w:rPr>
        <w:t>c</w:t>
      </w:r>
      <w:r w:rsidR="00B3294E" w:rsidRPr="00FB4EFA">
        <w:rPr>
          <w:lang w:val="en-IE"/>
        </w:rPr>
        <w:t>ognition (Elena Skribnik, Nicholas Evans, Danielle Barth)</w:t>
      </w:r>
      <w:r w:rsidR="00192055" w:rsidRPr="00FB4EFA">
        <w:rPr>
          <w:lang w:val="en-IE"/>
        </w:rPr>
        <w:t xml:space="preserve"> and m</w:t>
      </w:r>
      <w:r w:rsidR="00B3294E" w:rsidRPr="00FB4EFA">
        <w:rPr>
          <w:lang w:val="en-IE"/>
        </w:rPr>
        <w:t xml:space="preserve">inority </w:t>
      </w:r>
      <w:r w:rsidR="006B2EA3" w:rsidRPr="00FB4EFA">
        <w:rPr>
          <w:lang w:val="en-IE"/>
        </w:rPr>
        <w:br/>
      </w:r>
      <w:r w:rsidR="00B3294E" w:rsidRPr="00FB4EFA">
        <w:rPr>
          <w:lang w:val="en-IE"/>
        </w:rPr>
        <w:t>languages, multilingualism, language policy (Johanna Laakso)</w:t>
      </w:r>
      <w:r w:rsidR="00192055" w:rsidRPr="00FB4EFA">
        <w:rPr>
          <w:lang w:val="en-IE"/>
        </w:rPr>
        <w:t>, as well as the lectures “Language maintenance as an object of sociolinguistic study” (Eva Vetter) and “Minority, majority, or foreign: Languages in education” (Anneli Sarhimaa).</w:t>
      </w:r>
    </w:p>
    <w:p w14:paraId="1CD26599" w14:textId="77777777" w:rsidR="0045341B" w:rsidRPr="00FB4EFA" w:rsidRDefault="0045341B" w:rsidP="00402EF4">
      <w:pPr>
        <w:spacing w:before="240" w:after="240"/>
        <w:rPr>
          <w:lang w:val="en-IE"/>
        </w:rPr>
      </w:pPr>
      <w:r w:rsidRPr="00FB4EFA">
        <w:rPr>
          <w:lang w:val="en-IE"/>
        </w:rPr>
        <w:t>By the time we wrote our application for INFUSE, a yearly week of Finno-Ugric Woodstock no longer was commensurate with the role our network played in the scene. We thus committed ourselves to carrying out a string of blended learning teaching events: a semester of e-learning was capped off by a week-long summer workshop at one of the participating universities. The three blended learning events were:</w:t>
      </w:r>
    </w:p>
    <w:p w14:paraId="33EE3DDD" w14:textId="35A8623D" w:rsidR="00B3294E" w:rsidRPr="00FB4EFA" w:rsidRDefault="00B865EA" w:rsidP="00402EF4">
      <w:pPr>
        <w:numPr>
          <w:ilvl w:val="0"/>
          <w:numId w:val="2"/>
        </w:numPr>
        <w:ind w:left="284" w:hanging="284"/>
        <w:rPr>
          <w:lang w:val="en-IE"/>
        </w:rPr>
      </w:pPr>
      <w:r w:rsidRPr="00FB4EFA">
        <w:rPr>
          <w:lang w:val="en-IE"/>
        </w:rPr>
        <w:lastRenderedPageBreak/>
        <w:t>Lexical typology</w:t>
      </w:r>
      <w:r w:rsidR="0045341B" w:rsidRPr="00FB4EFA">
        <w:rPr>
          <w:lang w:val="en-IE"/>
        </w:rPr>
        <w:t xml:space="preserve"> (summer term 2016 with concluding workshop in Szeged, 6–10 June 2016)</w:t>
      </w:r>
      <w:r w:rsidR="007A3444" w:rsidRPr="00FB4EFA">
        <w:rPr>
          <w:lang w:val="en-IE"/>
        </w:rPr>
        <w:t>.</w:t>
      </w:r>
    </w:p>
    <w:p w14:paraId="494C4C11" w14:textId="2F86E74C" w:rsidR="0045341B" w:rsidRPr="00FB4EFA" w:rsidRDefault="0045341B" w:rsidP="00AF0CAD">
      <w:pPr>
        <w:numPr>
          <w:ilvl w:val="0"/>
          <w:numId w:val="2"/>
        </w:numPr>
        <w:ind w:left="284" w:hanging="284"/>
        <w:rPr>
          <w:lang w:val="en-IE"/>
        </w:rPr>
      </w:pPr>
      <w:r w:rsidRPr="00FB4EFA">
        <w:rPr>
          <w:lang w:val="en-IE"/>
        </w:rPr>
        <w:t xml:space="preserve">Samoyedic (summer term 2017 with concluding workshop in </w:t>
      </w:r>
      <w:r w:rsidR="006B2EA3" w:rsidRPr="00FB4EFA">
        <w:rPr>
          <w:lang w:val="en-IE"/>
        </w:rPr>
        <w:br/>
      </w:r>
      <w:r w:rsidRPr="00FB4EFA">
        <w:rPr>
          <w:lang w:val="en-IE"/>
        </w:rPr>
        <w:t>Hamburg, 18–22 September 2017)</w:t>
      </w:r>
      <w:r w:rsidR="007A3444" w:rsidRPr="00FB4EFA">
        <w:rPr>
          <w:lang w:val="en-IE"/>
        </w:rPr>
        <w:t>.</w:t>
      </w:r>
    </w:p>
    <w:p w14:paraId="0053B916" w14:textId="5241B833" w:rsidR="0045341B" w:rsidRPr="00FB4EFA" w:rsidRDefault="00210577" w:rsidP="00402EF4">
      <w:pPr>
        <w:numPr>
          <w:ilvl w:val="0"/>
          <w:numId w:val="2"/>
        </w:numPr>
        <w:ind w:left="284" w:hanging="284"/>
        <w:rPr>
          <w:lang w:val="en-IE"/>
        </w:rPr>
      </w:pPr>
      <w:r w:rsidRPr="00FB4EFA">
        <w:rPr>
          <w:lang w:val="en-IE"/>
        </w:rPr>
        <w:t>Minor</w:t>
      </w:r>
      <w:r w:rsidR="0045341B" w:rsidRPr="00FB4EFA">
        <w:rPr>
          <w:lang w:val="en-IE"/>
        </w:rPr>
        <w:t xml:space="preserve"> Finnic languages (summer term 2018 with concluding </w:t>
      </w:r>
      <w:r w:rsidR="006B2EA3" w:rsidRPr="00FB4EFA">
        <w:rPr>
          <w:lang w:val="en-IE"/>
        </w:rPr>
        <w:br/>
      </w:r>
      <w:r w:rsidR="0045341B" w:rsidRPr="00FB4EFA">
        <w:rPr>
          <w:lang w:val="en-IE"/>
        </w:rPr>
        <w:t>workshop in Uppsala, 18–22 June 2018)</w:t>
      </w:r>
      <w:r w:rsidR="007A3444" w:rsidRPr="00FB4EFA">
        <w:rPr>
          <w:lang w:val="en-IE"/>
        </w:rPr>
        <w:t>.</w:t>
      </w:r>
    </w:p>
    <w:p w14:paraId="0BFCE585" w14:textId="77777777" w:rsidR="005850AE" w:rsidRPr="00FB4EFA" w:rsidRDefault="005850AE" w:rsidP="00545033">
      <w:pPr>
        <w:pStyle w:val="Heading2"/>
        <w:shd w:val="clear" w:color="auto" w:fill="FFFFFF" w:themeFill="background1"/>
        <w:suppressAutoHyphens/>
        <w:spacing w:line="259" w:lineRule="auto"/>
        <w:rPr>
          <w:color w:val="auto"/>
          <w:lang w:val="en-IE"/>
        </w:rPr>
      </w:pPr>
      <w:r w:rsidRPr="00FB4EFA">
        <w:rPr>
          <w:color w:val="auto"/>
          <w:lang w:val="en-IE"/>
        </w:rPr>
        <w:t>More perfect than the Permyak, more COPIUS than the Komi.</w:t>
      </w:r>
    </w:p>
    <w:p w14:paraId="0DC92E7B" w14:textId="542557B0" w:rsidR="008145AE" w:rsidRPr="00FB4EFA" w:rsidRDefault="008145AE" w:rsidP="00AF0CAD">
      <w:pPr>
        <w:keepLines/>
        <w:spacing w:after="240"/>
        <w:rPr>
          <w:lang w:val="en-IE" w:eastAsia="en-GB"/>
        </w:rPr>
      </w:pPr>
      <w:r w:rsidRPr="00FB4EFA">
        <w:rPr>
          <w:lang w:val="en-IE" w:eastAsia="en-GB"/>
        </w:rPr>
        <w:t xml:space="preserve">With </w:t>
      </w:r>
      <w:r w:rsidR="008122C2" w:rsidRPr="00FB4EFA">
        <w:rPr>
          <w:lang w:val="en-IE" w:eastAsia="en-GB"/>
        </w:rPr>
        <w:t>ELTE</w:t>
      </w:r>
      <w:r w:rsidRPr="00FB4EFA">
        <w:rPr>
          <w:lang w:val="en-IE" w:eastAsia="en-GB"/>
        </w:rPr>
        <w:t xml:space="preserve"> University (</w:t>
      </w:r>
      <w:r w:rsidRPr="00FB4EFA">
        <w:rPr>
          <w:b/>
          <w:bCs/>
          <w:lang w:val="en-IE" w:eastAsia="en-GB"/>
        </w:rPr>
        <w:t>Budapest</w:t>
      </w:r>
      <w:r w:rsidRPr="00FB4EFA">
        <w:rPr>
          <w:lang w:val="en-IE" w:eastAsia="en-GB"/>
        </w:rPr>
        <w:t xml:space="preserve">) joining our consortium on the way, the now nine universities successfully put forth a continuation of previous efforts: the strategic partnership </w:t>
      </w:r>
      <w:r w:rsidRPr="00FB4EFA">
        <w:rPr>
          <w:i/>
          <w:iCs/>
          <w:lang w:val="en-IE" w:eastAsia="en-GB"/>
        </w:rPr>
        <w:t>COPIUS “Community of Practice in Uralic Studies”</w:t>
      </w:r>
      <w:r w:rsidR="006211CE" w:rsidRPr="00FB4EFA">
        <w:rPr>
          <w:vertAlign w:val="superscript"/>
          <w:lang w:val="en-IE"/>
        </w:rPr>
        <w:footnoteReference w:id="23"/>
      </w:r>
      <w:r w:rsidRPr="00FB4EFA">
        <w:rPr>
          <w:lang w:val="en-IE" w:eastAsia="en-GB"/>
        </w:rPr>
        <w:t xml:space="preserve">, headed by Rogier Blokland at Uppsala University but once again conceived by our consortium at large, received funding from the </w:t>
      </w:r>
      <w:r w:rsidR="006B2EA3" w:rsidRPr="00FB4EFA">
        <w:rPr>
          <w:lang w:val="en-IE" w:eastAsia="en-GB"/>
        </w:rPr>
        <w:br/>
      </w:r>
      <w:r w:rsidRPr="00FB4EFA">
        <w:rPr>
          <w:lang w:val="en-IE" w:eastAsia="en-GB"/>
        </w:rPr>
        <w:t xml:space="preserve">Erasmus+ programme from </w:t>
      </w:r>
      <w:r w:rsidRPr="00FB4EFA">
        <w:rPr>
          <w:lang w:val="en-IE"/>
        </w:rPr>
        <w:t>1 September 2018 to 31 August 2021.</w:t>
      </w:r>
      <w:r w:rsidR="0045341B" w:rsidRPr="00FB4EFA">
        <w:rPr>
          <w:lang w:val="en-IE"/>
        </w:rPr>
        <w:t xml:space="preserve"> </w:t>
      </w:r>
      <w:r w:rsidR="00B042A1" w:rsidRPr="00FB4EFA">
        <w:rPr>
          <w:lang w:val="en-IE"/>
        </w:rPr>
        <w:t xml:space="preserve">Readers of this contribution who spent at least part of this time window as inhabitants of Planet Earth might already suspect that internationalization efforts and academic mobility were especially challenging in this round of our </w:t>
      </w:r>
      <w:r w:rsidR="00166902" w:rsidRPr="00FB4EFA">
        <w:rPr>
          <w:lang w:val="en-IE"/>
        </w:rPr>
        <w:t>collaboration</w:t>
      </w:r>
      <w:r w:rsidR="00B042A1" w:rsidRPr="00FB4EFA">
        <w:rPr>
          <w:lang w:val="en-IE"/>
        </w:rPr>
        <w:t>, but nevertheless, we could successfully carry out three winter schools once again:</w:t>
      </w:r>
    </w:p>
    <w:p w14:paraId="789E710E" w14:textId="6AC9F905" w:rsidR="000121EA" w:rsidRPr="00FB4EFA" w:rsidRDefault="00DF3DFC" w:rsidP="007A3444">
      <w:pPr>
        <w:numPr>
          <w:ilvl w:val="0"/>
          <w:numId w:val="2"/>
        </w:numPr>
        <w:ind w:left="284" w:hanging="284"/>
        <w:rPr>
          <w:lang w:val="en-IE"/>
        </w:rPr>
      </w:pPr>
      <w:r w:rsidRPr="00FB4EFA">
        <w:rPr>
          <w:lang w:val="en-IE"/>
        </w:rPr>
        <w:t>7</w:t>
      </w:r>
      <w:r w:rsidRPr="00FB4EFA">
        <w:rPr>
          <w:vertAlign w:val="superscript"/>
          <w:lang w:val="en-IE"/>
        </w:rPr>
        <w:t>th</w:t>
      </w:r>
      <w:r w:rsidRPr="00FB4EFA">
        <w:rPr>
          <w:lang w:val="en-IE"/>
        </w:rPr>
        <w:t xml:space="preserve"> Winter School of Finno-Ugric Studies, </w:t>
      </w:r>
      <w:r w:rsidR="0026127D" w:rsidRPr="00FB4EFA">
        <w:rPr>
          <w:lang w:val="en-IE"/>
        </w:rPr>
        <w:t>Hamburg</w:t>
      </w:r>
      <w:r w:rsidRPr="00FB4EFA">
        <w:rPr>
          <w:lang w:val="en-IE"/>
        </w:rPr>
        <w:t>, 4–9 February 2019, featuring Nganasan (taught by Josefina Budzisch and Beáta Wagner-Nagy),</w:t>
      </w:r>
      <w:r w:rsidR="00B042A1" w:rsidRPr="00FB4EFA">
        <w:rPr>
          <w:lang w:val="en-IE"/>
        </w:rPr>
        <w:t xml:space="preserve"> workshops on</w:t>
      </w:r>
      <w:r w:rsidR="00192055" w:rsidRPr="00FB4EFA">
        <w:rPr>
          <w:lang w:val="en-IE"/>
        </w:rPr>
        <w:t xml:space="preserve"> </w:t>
      </w:r>
      <w:r w:rsidR="00B042A1" w:rsidRPr="00FB4EFA">
        <w:rPr>
          <w:lang w:val="en-IE"/>
        </w:rPr>
        <w:t>i</w:t>
      </w:r>
      <w:r w:rsidR="00192055" w:rsidRPr="00FB4EFA">
        <w:rPr>
          <w:lang w:val="en-IE"/>
        </w:rPr>
        <w:t xml:space="preserve">nformation structure and </w:t>
      </w:r>
      <w:r w:rsidR="00B042A1" w:rsidRPr="00FB4EFA">
        <w:rPr>
          <w:lang w:val="en-IE"/>
        </w:rPr>
        <w:t>i</w:t>
      </w:r>
      <w:r w:rsidR="00192055" w:rsidRPr="00FB4EFA">
        <w:rPr>
          <w:lang w:val="en-IE"/>
        </w:rPr>
        <w:t>nformation status (Hannah Wegener</w:t>
      </w:r>
      <w:r w:rsidR="007A3444" w:rsidRPr="00FB4EFA">
        <w:rPr>
          <w:lang w:val="en-IE"/>
        </w:rPr>
        <w:t xml:space="preserve"> and</w:t>
      </w:r>
      <w:r w:rsidR="00B042A1" w:rsidRPr="00FB4EFA">
        <w:rPr>
          <w:lang w:val="en-IE"/>
        </w:rPr>
        <w:t xml:space="preserve"> </w:t>
      </w:r>
      <w:r w:rsidR="00192055" w:rsidRPr="00FB4EFA">
        <w:rPr>
          <w:lang w:val="en-IE"/>
        </w:rPr>
        <w:t>Chris Lasse Däbritz)</w:t>
      </w:r>
      <w:r w:rsidR="00B042A1" w:rsidRPr="00FB4EFA">
        <w:rPr>
          <w:lang w:val="en-IE"/>
        </w:rPr>
        <w:t>, e</w:t>
      </w:r>
      <w:r w:rsidR="00192055" w:rsidRPr="00FB4EFA">
        <w:rPr>
          <w:lang w:val="en-IE"/>
        </w:rPr>
        <w:t xml:space="preserve">videntiality </w:t>
      </w:r>
      <w:r w:rsidR="007A3444" w:rsidRPr="00FB4EFA">
        <w:rPr>
          <w:lang w:val="en-IE"/>
        </w:rPr>
        <w:br/>
      </w:r>
      <w:r w:rsidR="00192055" w:rsidRPr="00FB4EFA">
        <w:rPr>
          <w:lang w:val="en-IE"/>
        </w:rPr>
        <w:t>(Sándor Szeverényi</w:t>
      </w:r>
      <w:r w:rsidR="007A3444" w:rsidRPr="00FB4EFA">
        <w:rPr>
          <w:lang w:val="en-IE"/>
        </w:rPr>
        <w:t xml:space="preserve"> and</w:t>
      </w:r>
      <w:r w:rsidR="00B042A1" w:rsidRPr="00FB4EFA">
        <w:rPr>
          <w:lang w:val="en-IE"/>
        </w:rPr>
        <w:t xml:space="preserve"> </w:t>
      </w:r>
      <w:r w:rsidR="00192055" w:rsidRPr="00FB4EFA">
        <w:rPr>
          <w:lang w:val="en-IE"/>
        </w:rPr>
        <w:t>Katalin Sipőcz)</w:t>
      </w:r>
      <w:r w:rsidR="00B042A1" w:rsidRPr="00FB4EFA">
        <w:rPr>
          <w:lang w:val="en-IE"/>
        </w:rPr>
        <w:t xml:space="preserve">, and the </w:t>
      </w:r>
      <w:r w:rsidR="00192055" w:rsidRPr="00FB4EFA">
        <w:rPr>
          <w:lang w:val="en-IE"/>
        </w:rPr>
        <w:t xml:space="preserve">CLARIN </w:t>
      </w:r>
      <w:r w:rsidR="00B042A1" w:rsidRPr="00FB4EFA">
        <w:rPr>
          <w:lang w:val="en-IE"/>
        </w:rPr>
        <w:t xml:space="preserve">infrastructure </w:t>
      </w:r>
      <w:r w:rsidR="00192055" w:rsidRPr="00FB4EFA">
        <w:rPr>
          <w:lang w:val="en-IE"/>
        </w:rPr>
        <w:t>(Hanna Hedeland</w:t>
      </w:r>
      <w:r w:rsidR="007A3444" w:rsidRPr="00FB4EFA">
        <w:rPr>
          <w:lang w:val="en-IE"/>
        </w:rPr>
        <w:t xml:space="preserve"> and</w:t>
      </w:r>
      <w:r w:rsidR="00192055" w:rsidRPr="00FB4EFA">
        <w:rPr>
          <w:lang w:val="en-IE"/>
        </w:rPr>
        <w:t xml:space="preserve"> Jack Rueter)</w:t>
      </w:r>
      <w:r w:rsidR="00B042A1" w:rsidRPr="00FB4EFA">
        <w:rPr>
          <w:lang w:val="en-IE"/>
        </w:rPr>
        <w:t xml:space="preserve">, as well as the lectures </w:t>
      </w:r>
      <w:r w:rsidR="007A3444" w:rsidRPr="00FB4EFA">
        <w:rPr>
          <w:lang w:val="en-IE"/>
        </w:rPr>
        <w:br/>
      </w:r>
      <w:r w:rsidR="00B042A1" w:rsidRPr="00FB4EFA">
        <w:rPr>
          <w:lang w:val="en-IE"/>
        </w:rPr>
        <w:t>“Evidentiality and its relation to modality – what is known thus far?” (</w:t>
      </w:r>
      <w:r w:rsidR="00192055" w:rsidRPr="00FB4EFA">
        <w:rPr>
          <w:lang w:val="en-IE"/>
        </w:rPr>
        <w:t>Vladimir Plungian)</w:t>
      </w:r>
      <w:r w:rsidR="00B042A1" w:rsidRPr="00FB4EFA">
        <w:rPr>
          <w:lang w:val="en-IE"/>
        </w:rPr>
        <w:t xml:space="preserve"> and “Patterns of multilingualism on the Taimyr Peninsula” (</w:t>
      </w:r>
      <w:r w:rsidR="00192055" w:rsidRPr="00FB4EFA">
        <w:rPr>
          <w:lang w:val="en-IE"/>
        </w:rPr>
        <w:t>Eugénie Stapert)</w:t>
      </w:r>
      <w:r w:rsidR="007A3444" w:rsidRPr="00FB4EFA">
        <w:rPr>
          <w:lang w:val="en-IE"/>
        </w:rPr>
        <w:t>.</w:t>
      </w:r>
    </w:p>
    <w:p w14:paraId="0C18E548" w14:textId="1917793E" w:rsidR="00192055" w:rsidRPr="00FB4EFA" w:rsidRDefault="00DF3DFC" w:rsidP="005E7D32">
      <w:pPr>
        <w:keepLines/>
        <w:numPr>
          <w:ilvl w:val="0"/>
          <w:numId w:val="2"/>
        </w:numPr>
        <w:ind w:left="284" w:hanging="284"/>
        <w:rPr>
          <w:lang w:val="en-IE"/>
        </w:rPr>
      </w:pPr>
      <w:r w:rsidRPr="00FB4EFA">
        <w:rPr>
          <w:lang w:val="en-IE"/>
        </w:rPr>
        <w:lastRenderedPageBreak/>
        <w:t>8</w:t>
      </w:r>
      <w:r w:rsidRPr="00FB4EFA">
        <w:rPr>
          <w:vertAlign w:val="superscript"/>
          <w:lang w:val="en-IE"/>
        </w:rPr>
        <w:t>th</w:t>
      </w:r>
      <w:r w:rsidRPr="00FB4EFA">
        <w:rPr>
          <w:lang w:val="en-IE"/>
        </w:rPr>
        <w:t xml:space="preserve"> Winter School of Finno-Ugric Studies, Budapest, 27 January – 1 February 2020, featuring Komi-Permyak (taught by Nikolett F. Gulyás and Vasily Epanov),</w:t>
      </w:r>
      <w:r w:rsidR="00B042A1" w:rsidRPr="00FB4EFA">
        <w:rPr>
          <w:lang w:val="en-IE"/>
        </w:rPr>
        <w:t xml:space="preserve"> workshops on l</w:t>
      </w:r>
      <w:r w:rsidR="00192055" w:rsidRPr="00FB4EFA">
        <w:rPr>
          <w:lang w:val="en-IE"/>
        </w:rPr>
        <w:t>inguistic typology and Finno-Ugric languages (Erika Asztalos, Nikolett F. Gulyás, Laura Horváth)</w:t>
      </w:r>
      <w:r w:rsidR="00B042A1" w:rsidRPr="00FB4EFA">
        <w:rPr>
          <w:lang w:val="en-IE"/>
        </w:rPr>
        <w:t xml:space="preserve"> and l</w:t>
      </w:r>
      <w:r w:rsidR="00192055" w:rsidRPr="00FB4EFA">
        <w:rPr>
          <w:lang w:val="en-IE"/>
        </w:rPr>
        <w:t>inguistic contacts between Uralic and Turkic (András Czentnár)</w:t>
      </w:r>
      <w:r w:rsidR="007A3444" w:rsidRPr="00FB4EFA">
        <w:rPr>
          <w:lang w:val="en-IE"/>
        </w:rPr>
        <w:t>,</w:t>
      </w:r>
      <w:r w:rsidR="00B042A1" w:rsidRPr="00FB4EFA">
        <w:rPr>
          <w:lang w:val="en-IE"/>
        </w:rPr>
        <w:t xml:space="preserve"> as well as the lectures “Typology to the rescue” (Ksenia Shagal) and “Identity, archeology, and related questions” (Bence Gulyás)</w:t>
      </w:r>
      <w:r w:rsidR="007A3444" w:rsidRPr="00FB4EFA">
        <w:rPr>
          <w:lang w:val="en-IE"/>
        </w:rPr>
        <w:t>.</w:t>
      </w:r>
    </w:p>
    <w:p w14:paraId="3FA0F162" w14:textId="0A315DE8" w:rsidR="00DF3DFC" w:rsidRPr="00FB4EFA" w:rsidRDefault="00DF3DFC" w:rsidP="00AF0CAD">
      <w:pPr>
        <w:numPr>
          <w:ilvl w:val="0"/>
          <w:numId w:val="2"/>
        </w:numPr>
        <w:ind w:left="284" w:hanging="284"/>
        <w:rPr>
          <w:lang w:val="en-IE"/>
        </w:rPr>
      </w:pPr>
      <w:r w:rsidRPr="00FB4EFA">
        <w:rPr>
          <w:lang w:val="en-IE"/>
        </w:rPr>
        <w:t>9</w:t>
      </w:r>
      <w:r w:rsidRPr="00FB4EFA">
        <w:rPr>
          <w:vertAlign w:val="superscript"/>
          <w:lang w:val="en-IE"/>
        </w:rPr>
        <w:t>th</w:t>
      </w:r>
      <w:r w:rsidRPr="00FB4EFA">
        <w:rPr>
          <w:lang w:val="en-IE"/>
        </w:rPr>
        <w:t xml:space="preserve"> Winter School of Finno-Ugric Studies, the vast expanses of the Internet (but organized by Helsinki), 1–5 February 202</w:t>
      </w:r>
      <w:r w:rsidR="009B2476" w:rsidRPr="00FB4EFA">
        <w:rPr>
          <w:lang w:val="en-IE"/>
        </w:rPr>
        <w:t>1</w:t>
      </w:r>
      <w:r w:rsidRPr="00FB4EFA">
        <w:rPr>
          <w:lang w:val="en-IE"/>
        </w:rPr>
        <w:t>, featuring Inari Saami (taught by Petteri Morottaja)</w:t>
      </w:r>
      <w:r w:rsidR="00B042A1" w:rsidRPr="00FB4EFA">
        <w:rPr>
          <w:lang w:val="en-IE"/>
        </w:rPr>
        <w:t xml:space="preserve"> and a workshop “Online resources for Uralic languages” (Ksenia Shagal), as well </w:t>
      </w:r>
      <w:r w:rsidR="0026127D" w:rsidRPr="00FB4EFA">
        <w:rPr>
          <w:lang w:val="en-IE"/>
        </w:rPr>
        <w:t xml:space="preserve">as </w:t>
      </w:r>
      <w:r w:rsidR="009B2476" w:rsidRPr="00FB4EFA">
        <w:rPr>
          <w:lang w:val="en-IE"/>
        </w:rPr>
        <w:t xml:space="preserve">the lecture “Online </w:t>
      </w:r>
      <w:r w:rsidR="006B2EA3" w:rsidRPr="00FB4EFA">
        <w:rPr>
          <w:lang w:val="en-IE"/>
        </w:rPr>
        <w:br/>
      </w:r>
      <w:r w:rsidR="009B2476" w:rsidRPr="00FB4EFA">
        <w:rPr>
          <w:lang w:val="en-IE"/>
        </w:rPr>
        <w:t>resources for Uralic languages” (Trond Trosterud)</w:t>
      </w:r>
      <w:r w:rsidR="007A3444" w:rsidRPr="00FB4EFA">
        <w:rPr>
          <w:lang w:val="en-IE"/>
        </w:rPr>
        <w:t>.</w:t>
      </w:r>
    </w:p>
    <w:p w14:paraId="4FB8EC2D" w14:textId="79C15550" w:rsidR="00192055" w:rsidRPr="00FB4EFA" w:rsidRDefault="009B2476" w:rsidP="00402EF4">
      <w:pPr>
        <w:spacing w:before="240"/>
        <w:rPr>
          <w:lang w:val="en-IE"/>
        </w:rPr>
      </w:pPr>
      <w:r w:rsidRPr="00FB4EFA">
        <w:rPr>
          <w:lang w:val="en-IE"/>
        </w:rPr>
        <w:t xml:space="preserve">As obnoxious as it is when calamities are framed as opportunities, it is hard to deny that COVID-19 pandemic forced even our most digitally </w:t>
      </w:r>
      <w:r w:rsidR="00137F6C" w:rsidRPr="00FB4EFA">
        <w:rPr>
          <w:lang w:val="en-IE"/>
        </w:rPr>
        <w:t>diffident</w:t>
      </w:r>
      <w:r w:rsidRPr="00FB4EFA">
        <w:rPr>
          <w:lang w:val="en-IE"/>
        </w:rPr>
        <w:t xml:space="preserve"> friends and colleagues to appreciate the value of, and acquire skills in, online teaching. When we met for the 2020 Winter School in Budapest, COVID-19 was a faraway s</w:t>
      </w:r>
      <w:r w:rsidR="00D86D39" w:rsidRPr="00FB4EFA">
        <w:rPr>
          <w:lang w:val="en-IE"/>
        </w:rPr>
        <w:t>pectre with implications that were still too abstract to comprehend. When we were supposed to meet for the 2021 Winter School in Helsinki, not only were no explanations necessary (neither for prospective students no</w:t>
      </w:r>
      <w:r w:rsidR="00137F6C" w:rsidRPr="00FB4EFA">
        <w:rPr>
          <w:lang w:val="en-IE"/>
        </w:rPr>
        <w:t>r</w:t>
      </w:r>
      <w:r w:rsidR="00D86D39" w:rsidRPr="00FB4EFA">
        <w:rPr>
          <w:lang w:val="en-IE"/>
        </w:rPr>
        <w:t xml:space="preserve"> for our </w:t>
      </w:r>
      <w:r w:rsidR="00EC71AC" w:rsidRPr="00FB4EFA">
        <w:rPr>
          <w:lang w:val="en-IE"/>
        </w:rPr>
        <w:t>financiers</w:t>
      </w:r>
      <w:r w:rsidR="00D86D39" w:rsidRPr="00FB4EFA">
        <w:rPr>
          <w:lang w:val="en-IE"/>
        </w:rPr>
        <w:t xml:space="preserve"> in Brussels) as to why this would not be feasible, everybody already </w:t>
      </w:r>
      <w:r w:rsidR="007A3444" w:rsidRPr="00FB4EFA">
        <w:rPr>
          <w:lang w:val="en-IE"/>
        </w:rPr>
        <w:t xml:space="preserve">had </w:t>
      </w:r>
      <w:r w:rsidR="00D86D39" w:rsidRPr="00FB4EFA">
        <w:rPr>
          <w:lang w:val="en-IE"/>
        </w:rPr>
        <w:t xml:space="preserve">had almost a year of experience dealing with learning and teaching in </w:t>
      </w:r>
      <w:r w:rsidR="00FC6386" w:rsidRPr="00FB4EFA">
        <w:rPr>
          <w:lang w:val="en-IE"/>
        </w:rPr>
        <w:t xml:space="preserve">digital environments. Consequently, while the online winter school could </w:t>
      </w:r>
      <w:r w:rsidR="00137F6C" w:rsidRPr="00FB4EFA">
        <w:rPr>
          <w:lang w:val="en-IE"/>
        </w:rPr>
        <w:t xml:space="preserve">of course </w:t>
      </w:r>
      <w:r w:rsidR="00FC6386" w:rsidRPr="00FB4EFA">
        <w:rPr>
          <w:lang w:val="en-IE"/>
        </w:rPr>
        <w:t>not fully live up to the experience the previous winter schools had been, it still feels like a highly successful event worth mentioning in one breath with all the other winter schools.</w:t>
      </w:r>
      <w:r w:rsidR="0026127D" w:rsidRPr="00FB4EFA">
        <w:rPr>
          <w:lang w:val="en-IE"/>
        </w:rPr>
        <w:t xml:space="preserve"> </w:t>
      </w:r>
      <w:r w:rsidR="00986D35" w:rsidRPr="00FB4EFA">
        <w:rPr>
          <w:lang w:val="en-IE"/>
        </w:rPr>
        <w:t xml:space="preserve">Ksenia Shagal deserves special praise here for not only managing to organize the academic side of a winter school in an online environment, but the social one as well: the online social events </w:t>
      </w:r>
      <w:r w:rsidR="00137F6C" w:rsidRPr="00FB4EFA">
        <w:rPr>
          <w:lang w:val="en-IE"/>
        </w:rPr>
        <w:t xml:space="preserve">she organized </w:t>
      </w:r>
      <w:r w:rsidR="00986D35" w:rsidRPr="00FB4EFA">
        <w:rPr>
          <w:lang w:val="en-IE"/>
        </w:rPr>
        <w:t>were warmly received by staff and students.</w:t>
      </w:r>
    </w:p>
    <w:p w14:paraId="6B65E42C" w14:textId="37B063DD" w:rsidR="009B2476" w:rsidRPr="00FB4EFA" w:rsidRDefault="00FC6386" w:rsidP="00402EF4">
      <w:pPr>
        <w:spacing w:after="240"/>
        <w:ind w:firstLine="709"/>
        <w:rPr>
          <w:lang w:val="en-IE"/>
        </w:rPr>
      </w:pPr>
      <w:r w:rsidRPr="00FB4EFA">
        <w:rPr>
          <w:lang w:val="en-IE"/>
        </w:rPr>
        <w:t>As was the case with INFUSE, we had committed ourselves to carrying out hybrid teaching events in COPIUS – only the first of these, however, could be carried out as intended. The second and third teaching events had to be turned into online-only events. The topics covered were:</w:t>
      </w:r>
    </w:p>
    <w:p w14:paraId="64F02E38" w14:textId="07D79A1B" w:rsidR="00192055" w:rsidRPr="00FB4EFA" w:rsidRDefault="00FC6386" w:rsidP="00402EF4">
      <w:pPr>
        <w:numPr>
          <w:ilvl w:val="0"/>
          <w:numId w:val="2"/>
        </w:numPr>
        <w:ind w:left="284" w:hanging="284"/>
        <w:rPr>
          <w:lang w:val="en-IE"/>
        </w:rPr>
      </w:pPr>
      <w:r w:rsidRPr="00FB4EFA">
        <w:rPr>
          <w:lang w:val="en-IE"/>
        </w:rPr>
        <w:lastRenderedPageBreak/>
        <w:t xml:space="preserve">(Meadow and Hill) Mari (summer term 2019 with concluding workshop in Turku, </w:t>
      </w:r>
      <w:r w:rsidR="00233538" w:rsidRPr="00FB4EFA">
        <w:rPr>
          <w:lang w:val="en-IE"/>
        </w:rPr>
        <w:t>10–14 June 2019)</w:t>
      </w:r>
      <w:r w:rsidR="007A3444" w:rsidRPr="00FB4EFA">
        <w:rPr>
          <w:lang w:val="en-IE"/>
        </w:rPr>
        <w:t>.</w:t>
      </w:r>
    </w:p>
    <w:p w14:paraId="0226C9EB" w14:textId="61541EFE" w:rsidR="00233538" w:rsidRPr="00FB4EFA" w:rsidRDefault="00233538" w:rsidP="00402EF4">
      <w:pPr>
        <w:numPr>
          <w:ilvl w:val="0"/>
          <w:numId w:val="2"/>
        </w:numPr>
        <w:ind w:left="284" w:hanging="284"/>
        <w:rPr>
          <w:lang w:val="en-IE"/>
        </w:rPr>
      </w:pPr>
      <w:r w:rsidRPr="00FB4EFA">
        <w:rPr>
          <w:lang w:val="en-IE"/>
        </w:rPr>
        <w:t>Linguistic fieldwork (summer term 2020 with concluding online workshop organized from Tartu, 17–21 May 2021)</w:t>
      </w:r>
      <w:r w:rsidR="007A3444" w:rsidRPr="00FB4EFA">
        <w:rPr>
          <w:lang w:val="en-IE"/>
        </w:rPr>
        <w:t>.</w:t>
      </w:r>
    </w:p>
    <w:p w14:paraId="493E23D2" w14:textId="622B5785" w:rsidR="00233538" w:rsidRPr="00FB4EFA" w:rsidRDefault="00233538" w:rsidP="00402EF4">
      <w:pPr>
        <w:numPr>
          <w:ilvl w:val="0"/>
          <w:numId w:val="2"/>
        </w:numPr>
        <w:ind w:left="284" w:hanging="284"/>
        <w:rPr>
          <w:lang w:val="en-IE"/>
        </w:rPr>
      </w:pPr>
      <w:r w:rsidRPr="00FB4EFA">
        <w:rPr>
          <w:lang w:val="en-IE"/>
        </w:rPr>
        <w:t>Etymology (online workshop organized from Vienna, 9–13 August 2021)</w:t>
      </w:r>
      <w:r w:rsidR="003551C8" w:rsidRPr="00FB4EFA">
        <w:rPr>
          <w:lang w:val="en-IE"/>
        </w:rPr>
        <w:t>.</w:t>
      </w:r>
    </w:p>
    <w:p w14:paraId="0994F703" w14:textId="141D2C98" w:rsidR="00233538" w:rsidRPr="00FB4EFA" w:rsidRDefault="008C383E" w:rsidP="00AF0CAD">
      <w:pPr>
        <w:spacing w:before="240" w:after="240"/>
        <w:rPr>
          <w:lang w:val="en-IE"/>
        </w:rPr>
      </w:pPr>
      <w:r w:rsidRPr="00FB4EFA">
        <w:rPr>
          <w:lang w:val="en-IE"/>
        </w:rPr>
        <w:t xml:space="preserve">A silver lining of the necessity to move all our teaching events into digital spaces </w:t>
      </w:r>
      <w:r w:rsidR="007A3444" w:rsidRPr="00FB4EFA">
        <w:rPr>
          <w:lang w:val="en-IE"/>
        </w:rPr>
        <w:t>was</w:t>
      </w:r>
      <w:r w:rsidRPr="00FB4EFA">
        <w:rPr>
          <w:lang w:val="en-IE"/>
        </w:rPr>
        <w:t xml:space="preserve"> that we had to prepare teaching materials for online tuition and presentation anyway. This allowed us to go far beyond our initial ambitions and promises in creating the COPIUS </w:t>
      </w:r>
      <w:r w:rsidR="009450B9" w:rsidRPr="00FB4EFA">
        <w:rPr>
          <w:lang w:val="en-IE"/>
        </w:rPr>
        <w:t xml:space="preserve">website, </w:t>
      </w:r>
      <w:hyperlink r:id="rId218" w:history="1">
        <w:r w:rsidR="009450B9" w:rsidRPr="00FB4EFA">
          <w:rPr>
            <w:u w:val="single"/>
            <w:lang w:val="en-IE"/>
          </w:rPr>
          <w:t>www.copius.eu</w:t>
        </w:r>
      </w:hyperlink>
      <w:r w:rsidRPr="00FB4EFA">
        <w:rPr>
          <w:lang w:val="en-IE"/>
        </w:rPr>
        <w:t>:</w:t>
      </w:r>
      <w:r w:rsidR="009450B9" w:rsidRPr="00FB4EFA">
        <w:rPr>
          <w:lang w:val="en-IE"/>
        </w:rPr>
        <w:t xml:space="preserve"> </w:t>
      </w:r>
      <w:r w:rsidRPr="00FB4EFA">
        <w:rPr>
          <w:lang w:val="en-IE"/>
        </w:rPr>
        <w:t>it</w:t>
      </w:r>
      <w:r w:rsidR="009450B9" w:rsidRPr="00FB4EFA">
        <w:rPr>
          <w:lang w:val="en-IE"/>
        </w:rPr>
        <w:t xml:space="preserve"> bec</w:t>
      </w:r>
      <w:r w:rsidRPr="00FB4EFA">
        <w:rPr>
          <w:lang w:val="en-IE"/>
        </w:rPr>
        <w:t>a</w:t>
      </w:r>
      <w:r w:rsidR="009450B9" w:rsidRPr="00FB4EFA">
        <w:rPr>
          <w:lang w:val="en-IE"/>
        </w:rPr>
        <w:t xml:space="preserve">me a </w:t>
      </w:r>
      <w:r w:rsidR="009450B9" w:rsidRPr="00FB4EFA">
        <w:rPr>
          <w:i/>
          <w:iCs/>
          <w:lang w:val="en-IE"/>
        </w:rPr>
        <w:t xml:space="preserve">Collection of Pretty Interesting Uralic Stuff </w:t>
      </w:r>
      <w:r w:rsidR="009450B9" w:rsidRPr="00FB4EFA">
        <w:rPr>
          <w:lang w:val="en-IE"/>
        </w:rPr>
        <w:t>that remains pertinent beyond the end of this partnership</w:t>
      </w:r>
      <w:r w:rsidRPr="00FB4EFA">
        <w:rPr>
          <w:lang w:val="en-IE"/>
        </w:rPr>
        <w:t>.</w:t>
      </w:r>
      <w:r w:rsidR="009450B9" w:rsidRPr="00FB4EFA">
        <w:rPr>
          <w:lang w:val="en-IE"/>
        </w:rPr>
        <w:t xml:space="preserve"> </w:t>
      </w:r>
      <w:r w:rsidRPr="00FB4EFA">
        <w:rPr>
          <w:lang w:val="en-IE"/>
        </w:rPr>
        <w:t>I</w:t>
      </w:r>
      <w:r w:rsidR="009450B9" w:rsidRPr="00FB4EFA">
        <w:rPr>
          <w:lang w:val="en-IE"/>
        </w:rPr>
        <w:t>t gives a home not only to the deliverables we had committed ourselves to publishing, but also to materials we as a consortium agreed should be openly accessible throughout our scientific community and beyond, but that were just too miscellaneous for any of the existing publication channels:</w:t>
      </w:r>
    </w:p>
    <w:p w14:paraId="6FFB6F7B" w14:textId="6325C0DC" w:rsidR="00233538" w:rsidRPr="00FB4EFA" w:rsidRDefault="00B6079A" w:rsidP="00AF0CAD">
      <w:pPr>
        <w:numPr>
          <w:ilvl w:val="0"/>
          <w:numId w:val="2"/>
        </w:numPr>
        <w:ind w:left="284" w:hanging="284"/>
        <w:rPr>
          <w:lang w:val="en-IE"/>
        </w:rPr>
      </w:pPr>
      <w:r w:rsidRPr="00FB4EFA">
        <w:rPr>
          <w:i/>
          <w:iCs/>
          <w:lang w:val="en-IE"/>
        </w:rPr>
        <w:t>Introduction to Uralic (Finno-Ugric) Studies</w:t>
      </w:r>
      <w:r w:rsidRPr="00FB4EFA">
        <w:rPr>
          <w:lang w:val="en-IE"/>
        </w:rPr>
        <w:t xml:space="preserve"> </w:t>
      </w:r>
      <w:r w:rsidR="00A13EEF" w:rsidRPr="00FB4EFA">
        <w:rPr>
          <w:lang w:val="en-IE"/>
        </w:rPr>
        <w:t>(</w:t>
      </w:r>
      <w:hyperlink r:id="rId219" w:history="1">
        <w:r w:rsidR="00C63CFB" w:rsidRPr="00FB4EFA">
          <w:rPr>
            <w:u w:val="single"/>
            <w:lang w:val="en-IE"/>
          </w:rPr>
          <w:t>www.copius.eu/intro</w:t>
        </w:r>
      </w:hyperlink>
      <w:r w:rsidR="00A13EEF" w:rsidRPr="00FB4EFA">
        <w:rPr>
          <w:lang w:val="en-IE"/>
        </w:rPr>
        <w:t>)</w:t>
      </w:r>
      <w:r w:rsidRPr="00FB4EFA">
        <w:rPr>
          <w:lang w:val="en-IE"/>
        </w:rPr>
        <w:t xml:space="preserve">, </w:t>
      </w:r>
      <w:r w:rsidR="001549E6" w:rsidRPr="00FB4EFA">
        <w:rPr>
          <w:lang w:val="en-IE"/>
        </w:rPr>
        <w:t>a slide set that represents a general introduction to the discipline of Uralic studies for students, scholars, and enthusiast with no prior knowledge of Uralic languages and linguistics. It was compiled by Bogáta Timár based on teaching materials used throughout our consortium.</w:t>
      </w:r>
    </w:p>
    <w:p w14:paraId="27F8AF42" w14:textId="42E96A12" w:rsidR="000121EA" w:rsidRPr="00FB4EFA" w:rsidRDefault="00A13EEF" w:rsidP="00AF0CAD">
      <w:pPr>
        <w:numPr>
          <w:ilvl w:val="0"/>
          <w:numId w:val="2"/>
        </w:numPr>
        <w:ind w:left="284" w:hanging="284"/>
        <w:rPr>
          <w:lang w:val="en-IE"/>
        </w:rPr>
      </w:pPr>
      <w:r w:rsidRPr="00FB4EFA">
        <w:rPr>
          <w:i/>
          <w:iCs/>
          <w:lang w:val="en-IE"/>
        </w:rPr>
        <w:t>Mari</w:t>
      </w:r>
      <w:r w:rsidRPr="00FB4EFA">
        <w:rPr>
          <w:lang w:val="en-IE"/>
        </w:rPr>
        <w:t xml:space="preserve"> (</w:t>
      </w:r>
      <w:hyperlink r:id="rId220" w:history="1">
        <w:r w:rsidRPr="00FB4EFA">
          <w:rPr>
            <w:u w:val="single"/>
            <w:lang w:val="en-IE"/>
          </w:rPr>
          <w:t>www.copius.eu/mari</w:t>
        </w:r>
      </w:hyperlink>
      <w:r w:rsidRPr="00FB4EFA">
        <w:rPr>
          <w:lang w:val="en-IE"/>
        </w:rPr>
        <w:t>)</w:t>
      </w:r>
      <w:r w:rsidR="00B6079A" w:rsidRPr="00FB4EFA">
        <w:rPr>
          <w:lang w:val="en-IE"/>
        </w:rPr>
        <w:t xml:space="preserve">, </w:t>
      </w:r>
      <w:r w:rsidR="001549E6" w:rsidRPr="00FB4EFA">
        <w:rPr>
          <w:lang w:val="en-IE"/>
        </w:rPr>
        <w:t xml:space="preserve">an audio-visual course of (Meadow) Mari consisting of over </w:t>
      </w:r>
      <w:r w:rsidR="00D138C6" w:rsidRPr="00FB4EFA">
        <w:rPr>
          <w:lang w:val="en-IE"/>
        </w:rPr>
        <w:t>92</w:t>
      </w:r>
      <w:r w:rsidR="001549E6" w:rsidRPr="00FB4EFA">
        <w:rPr>
          <w:lang w:val="en-IE"/>
        </w:rPr>
        <w:t xml:space="preserve"> hours of thematically indexed video material. It was created by Jeremy Bradley and edited by Mikke Mayer </w:t>
      </w:r>
      <w:r w:rsidR="004F379B" w:rsidRPr="00FB4EFA">
        <w:rPr>
          <w:lang w:val="en-IE"/>
        </w:rPr>
        <w:t>based on</w:t>
      </w:r>
      <w:r w:rsidR="001549E6" w:rsidRPr="00FB4EFA">
        <w:rPr>
          <w:lang w:val="en-IE"/>
        </w:rPr>
        <w:t xml:space="preserve"> classroom recordings made in the Meadow Mari e-learning course held for COPIUS.</w:t>
      </w:r>
      <w:r w:rsidR="004F379B" w:rsidRPr="00FB4EFA">
        <w:rPr>
          <w:lang w:val="en-IE"/>
        </w:rPr>
        <w:t xml:space="preserve"> It allows future autodidacts of Mari using teaching </w:t>
      </w:r>
      <w:r w:rsidR="007A3444" w:rsidRPr="00FB4EFA">
        <w:rPr>
          <w:lang w:val="en-IE"/>
        </w:rPr>
        <w:t>m</w:t>
      </w:r>
      <w:r w:rsidR="004F379B" w:rsidRPr="00FB4EFA">
        <w:rPr>
          <w:lang w:val="en-IE"/>
        </w:rPr>
        <w:t>aterials of the Mari Web Project (</w:t>
      </w:r>
      <w:hyperlink r:id="rId221" w:history="1">
        <w:r w:rsidR="004F379B" w:rsidRPr="00FB4EFA">
          <w:rPr>
            <w:u w:val="single"/>
            <w:lang w:val="en-IE"/>
          </w:rPr>
          <w:t>www.mari-language.com</w:t>
        </w:r>
      </w:hyperlink>
      <w:r w:rsidR="004F379B" w:rsidRPr="00FB4EFA">
        <w:rPr>
          <w:lang w:val="en-IE"/>
        </w:rPr>
        <w:t>) to vicariously join a learning group from years gone by.</w:t>
      </w:r>
    </w:p>
    <w:p w14:paraId="61A2F32B" w14:textId="2E0D1392" w:rsidR="00A13EEF" w:rsidRPr="00FB4EFA" w:rsidRDefault="001549E6" w:rsidP="00AF0CAD">
      <w:pPr>
        <w:keepLines/>
        <w:numPr>
          <w:ilvl w:val="0"/>
          <w:numId w:val="2"/>
        </w:numPr>
        <w:ind w:left="284" w:hanging="284"/>
        <w:rPr>
          <w:lang w:val="en-IE"/>
        </w:rPr>
      </w:pPr>
      <w:r w:rsidRPr="00FB4EFA">
        <w:rPr>
          <w:i/>
          <w:iCs/>
          <w:lang w:val="en-IE"/>
        </w:rPr>
        <w:lastRenderedPageBreak/>
        <w:t>The Fieldwork Manual</w:t>
      </w:r>
      <w:r w:rsidR="00C63CFB" w:rsidRPr="00FB4EFA">
        <w:rPr>
          <w:lang w:val="en-IE"/>
        </w:rPr>
        <w:t xml:space="preserve"> (</w:t>
      </w:r>
      <w:hyperlink r:id="rId222" w:history="1">
        <w:r w:rsidR="00C63CFB" w:rsidRPr="00FB4EFA">
          <w:rPr>
            <w:u w:val="single"/>
            <w:lang w:val="en-IE"/>
          </w:rPr>
          <w:t>www.copius.eu/field</w:t>
        </w:r>
      </w:hyperlink>
      <w:r w:rsidR="00C63CFB" w:rsidRPr="00FB4EFA">
        <w:rPr>
          <w:lang w:val="en-IE"/>
        </w:rPr>
        <w:t>)</w:t>
      </w:r>
      <w:r w:rsidRPr="00FB4EFA">
        <w:rPr>
          <w:lang w:val="en-IE"/>
        </w:rPr>
        <w:t>, compiled by Fedor Rozhanskiy, introduces readers, both from Uralic studies and other linguistic disciplines, into methods of linguistic fieldwork</w:t>
      </w:r>
      <w:r w:rsidR="004F379B" w:rsidRPr="00FB4EFA">
        <w:rPr>
          <w:lang w:val="en-IE"/>
        </w:rPr>
        <w:t xml:space="preserve"> as presented by a scholar with an ample amount of hands-on experience with </w:t>
      </w:r>
      <w:r w:rsidR="006B2EA3" w:rsidRPr="00FB4EFA">
        <w:rPr>
          <w:lang w:val="en-IE"/>
        </w:rPr>
        <w:br/>
      </w:r>
      <w:r w:rsidR="004F379B" w:rsidRPr="00FB4EFA">
        <w:rPr>
          <w:lang w:val="en-IE"/>
        </w:rPr>
        <w:t>the matter at hand</w:t>
      </w:r>
      <w:r w:rsidR="00137F6C" w:rsidRPr="00FB4EFA">
        <w:rPr>
          <w:lang w:val="en-IE"/>
        </w:rPr>
        <w:t xml:space="preserve">; it is the only fieldwork manual with specific </w:t>
      </w:r>
      <w:r w:rsidR="006B2EA3" w:rsidRPr="00FB4EFA">
        <w:rPr>
          <w:lang w:val="en-IE"/>
        </w:rPr>
        <w:br/>
      </w:r>
      <w:r w:rsidR="00137F6C" w:rsidRPr="00FB4EFA">
        <w:rPr>
          <w:lang w:val="en-IE"/>
        </w:rPr>
        <w:t>Uralic examples</w:t>
      </w:r>
      <w:r w:rsidR="004F379B" w:rsidRPr="00FB4EFA">
        <w:rPr>
          <w:lang w:val="en-IE"/>
        </w:rPr>
        <w:t>.</w:t>
      </w:r>
    </w:p>
    <w:p w14:paraId="4F3D3455" w14:textId="196B5528" w:rsidR="003E77E6" w:rsidRPr="00FB4EFA" w:rsidRDefault="004F379B" w:rsidP="00AF0CAD">
      <w:pPr>
        <w:numPr>
          <w:ilvl w:val="0"/>
          <w:numId w:val="2"/>
        </w:numPr>
        <w:ind w:left="284" w:hanging="284"/>
        <w:rPr>
          <w:lang w:val="en-IE"/>
        </w:rPr>
      </w:pPr>
      <w:r w:rsidRPr="00FB4EFA">
        <w:rPr>
          <w:i/>
          <w:iCs/>
          <w:lang w:val="en-IE"/>
        </w:rPr>
        <w:t>Foundations of Uralic Etymology</w:t>
      </w:r>
      <w:r w:rsidRPr="00FB4EFA">
        <w:rPr>
          <w:lang w:val="en-IE"/>
        </w:rPr>
        <w:t xml:space="preserve"> </w:t>
      </w:r>
      <w:r w:rsidR="00C63CFB" w:rsidRPr="00FB4EFA">
        <w:rPr>
          <w:lang w:val="en-IE"/>
        </w:rPr>
        <w:t>(</w:t>
      </w:r>
      <w:hyperlink r:id="rId223" w:history="1">
        <w:r w:rsidR="00982775" w:rsidRPr="00FB4EFA">
          <w:rPr>
            <w:u w:val="single"/>
            <w:lang w:val="en-IE"/>
          </w:rPr>
          <w:t>www.copius.eu/etymology</w:t>
        </w:r>
      </w:hyperlink>
      <w:r w:rsidR="00982775" w:rsidRPr="00FB4EFA">
        <w:rPr>
          <w:lang w:val="en-IE"/>
        </w:rPr>
        <w:t>)</w:t>
      </w:r>
      <w:r w:rsidRPr="00FB4EFA">
        <w:rPr>
          <w:lang w:val="en-IE"/>
        </w:rPr>
        <w:t xml:space="preserve">, compiled by Janne Saarikivi and Niklas Metsäranta, is an expansive slide set aiming to make </w:t>
      </w:r>
      <w:r w:rsidR="003E77E6" w:rsidRPr="00FB4EFA">
        <w:rPr>
          <w:lang w:val="en-IE"/>
        </w:rPr>
        <w:t>the diachronic study of Uralic languages more accessible to individuals who do not happen to be bearded young men living in Helsinki.</w:t>
      </w:r>
    </w:p>
    <w:p w14:paraId="5BC7C420" w14:textId="56A375E1" w:rsidR="00986D35" w:rsidRPr="00FB4EFA" w:rsidRDefault="003E77E6" w:rsidP="00AF0CAD">
      <w:pPr>
        <w:numPr>
          <w:ilvl w:val="0"/>
          <w:numId w:val="2"/>
        </w:numPr>
        <w:ind w:left="284" w:hanging="284"/>
        <w:rPr>
          <w:lang w:val="en-IE"/>
        </w:rPr>
      </w:pPr>
      <w:r w:rsidRPr="00FB4EFA">
        <w:rPr>
          <w:i/>
          <w:iCs/>
          <w:lang w:val="en-IE"/>
        </w:rPr>
        <w:t>COPIUS: Lessons learned</w:t>
      </w:r>
      <w:r w:rsidRPr="00FB4EFA">
        <w:rPr>
          <w:lang w:val="en-IE"/>
        </w:rPr>
        <w:t xml:space="preserve"> (</w:t>
      </w:r>
      <w:hyperlink r:id="rId224" w:history="1">
        <w:r w:rsidRPr="00FB4EFA">
          <w:rPr>
            <w:u w:val="single"/>
            <w:lang w:val="en-IE"/>
          </w:rPr>
          <w:t>www.copius.eu/lessons/</w:t>
        </w:r>
      </w:hyperlink>
      <w:r w:rsidRPr="00FB4EFA">
        <w:rPr>
          <w:lang w:val="en-IE"/>
        </w:rPr>
        <w:t>)</w:t>
      </w:r>
      <w:r w:rsidR="004F379B" w:rsidRPr="00FB4EFA">
        <w:rPr>
          <w:lang w:val="en-IE"/>
        </w:rPr>
        <w:t xml:space="preserve"> </w:t>
      </w:r>
      <w:r w:rsidRPr="00FB4EFA">
        <w:rPr>
          <w:lang w:val="en-IE"/>
        </w:rPr>
        <w:t>is a hexalingual (English, German, Swedish, Finnish, Estonian, Hungarian) ~20</w:t>
      </w:r>
      <w:r w:rsidR="00EC71AC" w:rsidRPr="00FB4EFA">
        <w:rPr>
          <w:lang w:val="en-IE"/>
        </w:rPr>
        <w:noBreakHyphen/>
        <w:t>page</w:t>
      </w:r>
      <w:r w:rsidRPr="00FB4EFA">
        <w:rPr>
          <w:lang w:val="en-IE"/>
        </w:rPr>
        <w:t xml:space="preserve"> overview of the critical experiences we gained during this phase of our collaboration. Given that we present our network as a model for other low-volume disciplines, our aim here was to give prospective </w:t>
      </w:r>
      <w:r w:rsidR="006B2EA3" w:rsidRPr="00FB4EFA">
        <w:rPr>
          <w:lang w:val="en-IE"/>
        </w:rPr>
        <w:br/>
      </w:r>
      <w:r w:rsidRPr="00FB4EFA">
        <w:rPr>
          <w:lang w:val="en-IE"/>
        </w:rPr>
        <w:t>emulators an honest glance at what worked well, and what worked less well, for us.</w:t>
      </w:r>
    </w:p>
    <w:p w14:paraId="6CA30DC5" w14:textId="63DB42F8" w:rsidR="00986D35" w:rsidRPr="00FB4EFA" w:rsidRDefault="00397C39" w:rsidP="00AF0CAD">
      <w:pPr>
        <w:numPr>
          <w:ilvl w:val="0"/>
          <w:numId w:val="2"/>
        </w:numPr>
        <w:ind w:left="284" w:hanging="284"/>
        <w:rPr>
          <w:lang w:val="en-IE"/>
        </w:rPr>
      </w:pPr>
      <w:r w:rsidRPr="00FB4EFA">
        <w:rPr>
          <w:i/>
          <w:iCs/>
          <w:lang w:val="en-IE"/>
        </w:rPr>
        <w:t>A. N. Balandins Einführung in das Mansische</w:t>
      </w:r>
      <w:r w:rsidRPr="00FB4EFA">
        <w:rPr>
          <w:lang w:val="en-IE"/>
        </w:rPr>
        <w:t xml:space="preserve"> </w:t>
      </w:r>
      <w:r w:rsidR="00C63CFB" w:rsidRPr="00FB4EFA">
        <w:rPr>
          <w:lang w:val="en-IE"/>
        </w:rPr>
        <w:t>(</w:t>
      </w:r>
      <w:hyperlink r:id="rId225" w:history="1">
        <w:r w:rsidR="002C4CC9" w:rsidRPr="00FB4EFA">
          <w:rPr>
            <w:rStyle w:val="Hyperlink"/>
            <w:color w:val="auto"/>
            <w:lang w:val="en-IE"/>
          </w:rPr>
          <w:t>www.copius.eu/mansi</w:t>
        </w:r>
      </w:hyperlink>
      <w:r w:rsidR="00C63CFB" w:rsidRPr="00FB4EFA">
        <w:rPr>
          <w:lang w:val="en-IE"/>
        </w:rPr>
        <w:t>)</w:t>
      </w:r>
      <w:r w:rsidRPr="00FB4EFA">
        <w:rPr>
          <w:lang w:val="en-IE"/>
        </w:rPr>
        <w:t xml:space="preserve"> is a German-language adaptation and translation of A. N. Balandin’s 1960 Russian-language Mansi textbook. Timothy Riese had created a rough version of this adaptation for his many Mansi classes at the University of Vienna; Jeremy Bradley edited it for online publication with substantial help from his students as part of a classroom project.</w:t>
      </w:r>
    </w:p>
    <w:p w14:paraId="5A5C1009" w14:textId="713AE2A0" w:rsidR="00986D35" w:rsidRPr="00FB4EFA" w:rsidRDefault="00397C39" w:rsidP="00AF0CAD">
      <w:pPr>
        <w:numPr>
          <w:ilvl w:val="0"/>
          <w:numId w:val="2"/>
        </w:numPr>
        <w:ind w:left="284" w:hanging="284"/>
        <w:rPr>
          <w:lang w:val="en-IE"/>
        </w:rPr>
      </w:pPr>
      <w:r w:rsidRPr="00FB4EFA">
        <w:rPr>
          <w:i/>
          <w:iCs/>
          <w:lang w:val="en-IE"/>
        </w:rPr>
        <w:t>Марым, лэся… – Udmurt for Beginners</w:t>
      </w:r>
      <w:r w:rsidRPr="00FB4EFA">
        <w:rPr>
          <w:lang w:val="en-IE"/>
        </w:rPr>
        <w:t xml:space="preserve"> </w:t>
      </w:r>
      <w:r w:rsidR="00C63CFB" w:rsidRPr="00FB4EFA">
        <w:rPr>
          <w:lang w:val="en-IE"/>
        </w:rPr>
        <w:t>(</w:t>
      </w:r>
      <w:hyperlink r:id="rId226" w:history="1">
        <w:r w:rsidR="008816D8" w:rsidRPr="00FB4EFA">
          <w:rPr>
            <w:u w:val="single"/>
            <w:lang w:val="en-IE"/>
          </w:rPr>
          <w:t>www.copius.eu/udmurt</w:t>
        </w:r>
      </w:hyperlink>
      <w:r w:rsidR="008816D8" w:rsidRPr="00FB4EFA">
        <w:rPr>
          <w:lang w:val="en-IE"/>
        </w:rPr>
        <w:t>)</w:t>
      </w:r>
      <w:r w:rsidRPr="00FB4EFA">
        <w:rPr>
          <w:lang w:val="en-IE"/>
        </w:rPr>
        <w:t xml:space="preserve"> is the start of an English-language adaptation of Igor’ Ganeyev and Yuriy Perevozchikov’s Udmurt textbook, created by Christian Pischlöger and Jeremy Bradley for the 2018 Winter School – </w:t>
      </w:r>
      <w:r w:rsidR="00466236" w:rsidRPr="00FB4EFA">
        <w:rPr>
          <w:lang w:val="en-IE"/>
        </w:rPr>
        <w:t>i.e., </w:t>
      </w:r>
      <w:r w:rsidRPr="00FB4EFA">
        <w:rPr>
          <w:lang w:val="en-IE"/>
        </w:rPr>
        <w:t xml:space="preserve">its creation preceded the COPIUS partnership, but the COPIUS website was deemed a more logical </w:t>
      </w:r>
      <w:r w:rsidR="00EC71AC" w:rsidRPr="00FB4EFA">
        <w:rPr>
          <w:lang w:val="en-IE"/>
        </w:rPr>
        <w:t>space</w:t>
      </w:r>
      <w:r w:rsidRPr="00FB4EFA">
        <w:rPr>
          <w:lang w:val="en-IE"/>
        </w:rPr>
        <w:t xml:space="preserve"> for it. An Udmurt paradigm generator was created as well and was published alongside the proto-textbook.</w:t>
      </w:r>
    </w:p>
    <w:p w14:paraId="1D7AEBCD" w14:textId="24250FF2" w:rsidR="00986D35" w:rsidRPr="00FB4EFA" w:rsidRDefault="00397C39" w:rsidP="00AF0CAD">
      <w:pPr>
        <w:numPr>
          <w:ilvl w:val="0"/>
          <w:numId w:val="2"/>
        </w:numPr>
        <w:ind w:left="284" w:hanging="284"/>
        <w:rPr>
          <w:lang w:val="en-IE"/>
        </w:rPr>
      </w:pPr>
      <w:r w:rsidRPr="00FB4EFA">
        <w:rPr>
          <w:lang w:val="en-IE"/>
        </w:rPr>
        <w:t xml:space="preserve">The </w:t>
      </w:r>
      <w:r w:rsidRPr="00FB4EFA">
        <w:rPr>
          <w:i/>
          <w:iCs/>
          <w:lang w:val="en-IE"/>
        </w:rPr>
        <w:t>Transcription &amp; orthography toolset</w:t>
      </w:r>
      <w:r w:rsidR="00982775" w:rsidRPr="00FB4EFA">
        <w:rPr>
          <w:lang w:val="en-IE"/>
        </w:rPr>
        <w:t xml:space="preserve"> (</w:t>
      </w:r>
      <w:hyperlink r:id="rId227" w:history="1">
        <w:r w:rsidR="00982775" w:rsidRPr="00FB4EFA">
          <w:rPr>
            <w:u w:val="single"/>
            <w:lang w:val="en-IE"/>
          </w:rPr>
          <w:t>www.copius.eu/ortho</w:t>
        </w:r>
      </w:hyperlink>
      <w:r w:rsidR="00982775" w:rsidRPr="00FB4EFA">
        <w:rPr>
          <w:lang w:val="en-IE"/>
        </w:rPr>
        <w:t>)</w:t>
      </w:r>
      <w:r w:rsidRPr="00FB4EFA">
        <w:rPr>
          <w:lang w:val="en-IE"/>
        </w:rPr>
        <w:t xml:space="preserve"> is a collection of tools assisting in the transcription and transliteration between different writing systems used for a number of Uralic languages (Mari, Udmurt, Komi, Erzya, Moksha, Mansi) and important contact languages (Russian, Tatar, Bashkir, Chuvash). It was originally created </w:t>
      </w:r>
      <w:r w:rsidRPr="00FB4EFA">
        <w:rPr>
          <w:lang w:val="en-IE"/>
        </w:rPr>
        <w:lastRenderedPageBreak/>
        <w:t xml:space="preserve">and published for the Mari Web Project </w:t>
      </w:r>
      <w:r w:rsidR="007913D8" w:rsidRPr="00FB4EFA">
        <w:rPr>
          <w:lang w:val="en-IE"/>
        </w:rPr>
        <w:t>(</w:t>
      </w:r>
      <w:hyperlink r:id="rId228" w:history="1">
        <w:r w:rsidR="007913D8" w:rsidRPr="00FB4EFA">
          <w:rPr>
            <w:u w:val="single"/>
            <w:lang w:val="en-IE"/>
          </w:rPr>
          <w:t>trans.mari-language.com</w:t>
        </w:r>
      </w:hyperlink>
      <w:r w:rsidR="007913D8" w:rsidRPr="00FB4EFA">
        <w:rPr>
          <w:lang w:val="en-IE"/>
        </w:rPr>
        <w:t>), but given the wide range of applications for these tools that have nothing to do with Mari, the COPIUS website seemed like a more accessible home for them.</w:t>
      </w:r>
    </w:p>
    <w:p w14:paraId="2776055F" w14:textId="31AF4DFD" w:rsidR="00A13EEF" w:rsidRPr="00FB4EFA" w:rsidRDefault="007913D8" w:rsidP="00AF0CAD">
      <w:pPr>
        <w:numPr>
          <w:ilvl w:val="0"/>
          <w:numId w:val="2"/>
        </w:numPr>
        <w:ind w:left="284" w:hanging="284"/>
        <w:rPr>
          <w:lang w:val="en-IE"/>
        </w:rPr>
      </w:pPr>
      <w:r w:rsidRPr="00FB4EFA">
        <w:rPr>
          <w:lang w:val="en-IE"/>
        </w:rPr>
        <w:t xml:space="preserve">The </w:t>
      </w:r>
      <w:r w:rsidRPr="00FB4EFA">
        <w:rPr>
          <w:i/>
          <w:iCs/>
          <w:lang w:val="en-IE"/>
        </w:rPr>
        <w:t>Uralic Core Bibliography</w:t>
      </w:r>
      <w:r w:rsidR="00982775" w:rsidRPr="00FB4EFA">
        <w:rPr>
          <w:i/>
          <w:iCs/>
          <w:lang w:val="en-IE"/>
        </w:rPr>
        <w:t xml:space="preserve"> </w:t>
      </w:r>
      <w:r w:rsidR="00982775" w:rsidRPr="00FB4EFA">
        <w:rPr>
          <w:lang w:val="en-IE"/>
        </w:rPr>
        <w:t>(</w:t>
      </w:r>
      <w:hyperlink r:id="rId229" w:history="1">
        <w:r w:rsidR="00982775" w:rsidRPr="00FB4EFA">
          <w:rPr>
            <w:u w:val="single"/>
            <w:lang w:val="en-IE"/>
          </w:rPr>
          <w:t>www.copius.eu/biblio</w:t>
        </w:r>
      </w:hyperlink>
      <w:r w:rsidR="00982775" w:rsidRPr="00FB4EFA">
        <w:rPr>
          <w:lang w:val="en-IE"/>
        </w:rPr>
        <w:t>)</w:t>
      </w:r>
      <w:r w:rsidRPr="00FB4EFA">
        <w:rPr>
          <w:lang w:val="en-IE"/>
        </w:rPr>
        <w:t xml:space="preserve"> is a 2000+ page </w:t>
      </w:r>
      <w:r w:rsidR="00137F6C" w:rsidRPr="00FB4EFA">
        <w:rPr>
          <w:lang w:val="en-IE"/>
        </w:rPr>
        <w:t xml:space="preserve">(living) </w:t>
      </w:r>
      <w:r w:rsidRPr="00FB4EFA">
        <w:rPr>
          <w:lang w:val="en-IE"/>
        </w:rPr>
        <w:t>document containing a listing of the issues of the most important series pertaining to Uralic studies, and the indices of the most important journals. Jeremy Bradley created this document during a systematic literature survey during his doctoral studies; it seemed like a shame not to make it accessible to future generations of scholars and spare them hours and hours spent digitizing the indexes of all accessible Uralic journals and series</w:t>
      </w:r>
      <w:r w:rsidR="003A283C" w:rsidRPr="00FB4EFA">
        <w:rPr>
          <w:vertAlign w:val="superscript"/>
          <w:lang w:val="en-IE"/>
        </w:rPr>
        <w:footnoteReference w:id="24"/>
      </w:r>
      <w:r w:rsidRPr="00FB4EFA">
        <w:rPr>
          <w:lang w:val="en-IE"/>
        </w:rPr>
        <w:t>.</w:t>
      </w:r>
    </w:p>
    <w:p w14:paraId="5C1CD430" w14:textId="132CE655" w:rsidR="000121EA" w:rsidRPr="00FB4EFA" w:rsidRDefault="007913D8" w:rsidP="00402EF4">
      <w:pPr>
        <w:spacing w:before="240"/>
        <w:rPr>
          <w:lang w:val="en-IE"/>
        </w:rPr>
      </w:pPr>
      <w:r w:rsidRPr="00FB4EFA">
        <w:rPr>
          <w:lang w:val="en-IE"/>
        </w:rPr>
        <w:t xml:space="preserve">All of these materials were published online in late 2021, </w:t>
      </w:r>
      <w:r w:rsidR="00466236" w:rsidRPr="00FB4EFA">
        <w:rPr>
          <w:lang w:val="en-IE"/>
        </w:rPr>
        <w:t>i.e., </w:t>
      </w:r>
      <w:r w:rsidRPr="00FB4EFA">
        <w:rPr>
          <w:lang w:val="en-IE"/>
        </w:rPr>
        <w:t>at the worst possible time for in-person promotion events. We remain hopeful, but not confident, that calmer times lie ahead</w:t>
      </w:r>
      <w:r w:rsidR="00796AD3" w:rsidRPr="00FB4EFA">
        <w:rPr>
          <w:lang w:val="en-IE"/>
        </w:rPr>
        <w:t>,</w:t>
      </w:r>
      <w:r w:rsidRPr="00FB4EFA">
        <w:rPr>
          <w:lang w:val="en-IE"/>
        </w:rPr>
        <w:t xml:space="preserve"> in which we can give these materials the promotion they deserve.</w:t>
      </w:r>
    </w:p>
    <w:p w14:paraId="33B168AB" w14:textId="0A683DF0" w:rsidR="00F8220B" w:rsidRPr="00FB4EFA" w:rsidRDefault="009A29B6" w:rsidP="00545033">
      <w:pPr>
        <w:pStyle w:val="Heading2"/>
        <w:suppressAutoHyphens/>
        <w:spacing w:line="259" w:lineRule="auto"/>
        <w:rPr>
          <w:color w:val="auto"/>
          <w:lang w:val="en-IE"/>
        </w:rPr>
      </w:pPr>
      <w:r w:rsidRPr="00FB4EFA">
        <w:rPr>
          <w:color w:val="auto"/>
          <w:lang w:val="en-IE"/>
        </w:rPr>
        <w:t>Looking ahead: REMODUS and beyond</w:t>
      </w:r>
    </w:p>
    <w:p w14:paraId="2835CDE4" w14:textId="07651F35" w:rsidR="00A13EEF" w:rsidRPr="00FB4EFA" w:rsidRDefault="00F8220B" w:rsidP="00796AD3">
      <w:pPr>
        <w:rPr>
          <w:lang w:val="en-IE"/>
        </w:rPr>
      </w:pPr>
      <w:r w:rsidRPr="00FB4EFA">
        <w:rPr>
          <w:lang w:val="en-IE"/>
        </w:rPr>
        <w:t>Sometimes, lightni</w:t>
      </w:r>
      <w:r w:rsidR="0039586F" w:rsidRPr="00FB4EFA">
        <w:rPr>
          <w:lang w:val="en-IE"/>
        </w:rPr>
        <w:t>ng</w:t>
      </w:r>
      <w:r w:rsidRPr="00FB4EFA">
        <w:rPr>
          <w:lang w:val="en-IE"/>
        </w:rPr>
        <w:t xml:space="preserve"> </w:t>
      </w:r>
      <w:r w:rsidR="00855724" w:rsidRPr="00FB4EFA">
        <w:rPr>
          <w:lang w:val="en-IE"/>
        </w:rPr>
        <w:t>will even strike</w:t>
      </w:r>
      <w:r w:rsidRPr="00FB4EFA">
        <w:rPr>
          <w:lang w:val="en-IE"/>
        </w:rPr>
        <w:t xml:space="preserve"> thrice: </w:t>
      </w:r>
      <w:r w:rsidR="00F053C0" w:rsidRPr="00FB4EFA">
        <w:rPr>
          <w:lang w:val="en-IE"/>
        </w:rPr>
        <w:t xml:space="preserve">on 29 September 2021, we were informed that our application </w:t>
      </w:r>
      <w:r w:rsidR="00F053C0" w:rsidRPr="00FB4EFA">
        <w:rPr>
          <w:i/>
          <w:iCs/>
          <w:lang w:val="en-IE"/>
        </w:rPr>
        <w:t xml:space="preserve">The (Re-)Making of a Discipline. </w:t>
      </w:r>
      <w:r w:rsidR="00796AD3" w:rsidRPr="00FB4EFA">
        <w:rPr>
          <w:i/>
          <w:iCs/>
          <w:lang w:val="en-IE"/>
        </w:rPr>
        <w:br/>
      </w:r>
      <w:r w:rsidR="00F053C0" w:rsidRPr="00FB4EFA">
        <w:rPr>
          <w:i/>
          <w:iCs/>
          <w:lang w:val="en-IE"/>
        </w:rPr>
        <w:t xml:space="preserve">Digital Transformation and Internationalization in and beyond Uralic </w:t>
      </w:r>
      <w:r w:rsidR="006B2EA3" w:rsidRPr="00FB4EFA">
        <w:rPr>
          <w:i/>
          <w:iCs/>
          <w:lang w:val="en-IE"/>
        </w:rPr>
        <w:br/>
      </w:r>
      <w:r w:rsidR="00F053C0" w:rsidRPr="00FB4EFA">
        <w:rPr>
          <w:i/>
          <w:iCs/>
          <w:lang w:val="en-IE"/>
        </w:rPr>
        <w:t>Studies (REMODUS)</w:t>
      </w:r>
      <w:r w:rsidR="00F053C0" w:rsidRPr="00FB4EFA">
        <w:rPr>
          <w:lang w:val="en-IE"/>
        </w:rPr>
        <w:t xml:space="preserve"> was going to receive funding from Erasmus+. With all previously involved universities still </w:t>
      </w:r>
      <w:r w:rsidR="00796AD3" w:rsidRPr="00FB4EFA">
        <w:rPr>
          <w:lang w:val="en-IE"/>
        </w:rPr>
        <w:t>on board</w:t>
      </w:r>
      <w:r w:rsidR="00F053C0" w:rsidRPr="00FB4EFA">
        <w:rPr>
          <w:lang w:val="en-IE"/>
        </w:rPr>
        <w:t xml:space="preserve">, and now also </w:t>
      </w:r>
      <w:r w:rsidR="003A283C" w:rsidRPr="00FB4EFA">
        <w:rPr>
          <w:lang w:val="en-IE"/>
        </w:rPr>
        <w:t xml:space="preserve">enhanced by the participation of </w:t>
      </w:r>
      <w:r w:rsidR="00F053C0" w:rsidRPr="00FB4EFA">
        <w:rPr>
          <w:lang w:val="en-IE"/>
        </w:rPr>
        <w:t>the University of Latvia (</w:t>
      </w:r>
      <w:r w:rsidR="00F053C0" w:rsidRPr="00FB4EFA">
        <w:rPr>
          <w:b/>
          <w:bCs/>
          <w:lang w:val="en-IE"/>
        </w:rPr>
        <w:t>Riga</w:t>
      </w:r>
      <w:r w:rsidR="00F053C0" w:rsidRPr="00FB4EFA">
        <w:rPr>
          <w:lang w:val="en-IE"/>
        </w:rPr>
        <w:t xml:space="preserve">), our </w:t>
      </w:r>
      <w:r w:rsidR="00855724" w:rsidRPr="00FB4EFA">
        <w:rPr>
          <w:lang w:val="en-IE"/>
        </w:rPr>
        <w:t xml:space="preserve">10-member consortium is now </w:t>
      </w:r>
      <w:r w:rsidR="003A283C" w:rsidRPr="00FB4EFA">
        <w:rPr>
          <w:lang w:val="en-IE"/>
        </w:rPr>
        <w:t>inching ever</w:t>
      </w:r>
      <w:r w:rsidR="00855724" w:rsidRPr="00FB4EFA">
        <w:rPr>
          <w:lang w:val="en-IE"/>
        </w:rPr>
        <w:t xml:space="preserve"> closer to encompassing Uralic/Finno-Ugric academia within the European Union in its totality. The partnership launched on 1 January 2022 and is scheduled to last up to and including 31 December 2024. If you are reading this contribution within that time window, you can inform yourself of your activities from our website</w:t>
      </w:r>
      <w:r w:rsidR="00855724" w:rsidRPr="00FB4EFA">
        <w:rPr>
          <w:vertAlign w:val="superscript"/>
          <w:lang w:val="en-IE"/>
        </w:rPr>
        <w:footnoteReference w:id="25"/>
      </w:r>
      <w:r w:rsidR="00855724" w:rsidRPr="00FB4EFA">
        <w:rPr>
          <w:lang w:val="en-IE"/>
        </w:rPr>
        <w:t xml:space="preserve"> – unless, of course, you, esteemed reader, are the jubilarian herself. In this case you already know all about it. If you are reading this contribution at </w:t>
      </w:r>
      <w:r w:rsidR="00855724" w:rsidRPr="00FB4EFA">
        <w:rPr>
          <w:lang w:val="en-IE"/>
        </w:rPr>
        <w:lastRenderedPageBreak/>
        <w:t>some point after the runtime of the strategic partnership, you can inform yourself of our activities from many of the numerous sustainable proliferation channels we are sure to have picked and developed during the project.</w:t>
      </w:r>
    </w:p>
    <w:p w14:paraId="54EE537E" w14:textId="1644CFB3" w:rsidR="003551C8" w:rsidRPr="00FB4EFA" w:rsidRDefault="00F8220B" w:rsidP="00402EF4">
      <w:pPr>
        <w:ind w:firstLine="709"/>
        <w:rPr>
          <w:lang w:val="en-IE"/>
        </w:rPr>
      </w:pPr>
      <w:r w:rsidRPr="00FB4EFA">
        <w:rPr>
          <w:lang w:val="en-IE"/>
        </w:rPr>
        <w:t xml:space="preserve">At the time of us writing this </w:t>
      </w:r>
      <w:r w:rsidR="00A13EEF" w:rsidRPr="00FB4EFA">
        <w:rPr>
          <w:lang w:val="en-IE"/>
        </w:rPr>
        <w:t>contribution, the 10</w:t>
      </w:r>
      <w:r w:rsidR="00A13EEF" w:rsidRPr="00FB4EFA">
        <w:rPr>
          <w:vertAlign w:val="superscript"/>
          <w:lang w:val="en-IE"/>
        </w:rPr>
        <w:t>th</w:t>
      </w:r>
      <w:r w:rsidR="00A13EEF" w:rsidRPr="00FB4EFA">
        <w:rPr>
          <w:lang w:val="en-IE"/>
        </w:rPr>
        <w:t xml:space="preserve"> </w:t>
      </w:r>
      <w:r w:rsidR="00B04C13" w:rsidRPr="00FB4EFA">
        <w:rPr>
          <w:lang w:val="en-IE"/>
        </w:rPr>
        <w:t>Seasonal</w:t>
      </w:r>
      <w:r w:rsidR="00A13EEF" w:rsidRPr="00FB4EFA">
        <w:rPr>
          <w:lang w:val="en-IE"/>
        </w:rPr>
        <w:t xml:space="preserve"> School of Finno-Ugric Studies</w:t>
      </w:r>
      <w:r w:rsidR="00B04C13" w:rsidRPr="00FB4EFA">
        <w:rPr>
          <w:lang w:val="en-IE"/>
        </w:rPr>
        <w:t xml:space="preserve"> (held in spring rather than winter due to the ongoing pandemic, though the weather deities were not informed of </w:t>
      </w:r>
      <w:r w:rsidR="00C63CFB" w:rsidRPr="00FB4EFA">
        <w:rPr>
          <w:lang w:val="en-IE"/>
        </w:rPr>
        <w:t>this,</w:t>
      </w:r>
      <w:r w:rsidR="00B04C13" w:rsidRPr="00FB4EFA">
        <w:rPr>
          <w:lang w:val="en-IE"/>
        </w:rPr>
        <w:t xml:space="preserve"> and we received more snow than usual during the week) was held in Tartu from 4–9 April 2022. It featured a course o</w:t>
      </w:r>
      <w:r w:rsidR="00A05A7D" w:rsidRPr="00FB4EFA">
        <w:rPr>
          <w:lang w:val="en-IE"/>
        </w:rPr>
        <w:t>n</w:t>
      </w:r>
      <w:r w:rsidR="00B04C13" w:rsidRPr="00FB4EFA">
        <w:rPr>
          <w:lang w:val="en-IE"/>
        </w:rPr>
        <w:t xml:space="preserve"> Old Komi (taught by Gerson Klumpp), an extensive workshop on genetics, linguistics &amp; </w:t>
      </w:r>
      <w:r w:rsidR="006B2EA3" w:rsidRPr="00FB4EFA">
        <w:rPr>
          <w:lang w:val="en-IE"/>
        </w:rPr>
        <w:br/>
      </w:r>
      <w:r w:rsidR="00B04C13" w:rsidRPr="00FB4EFA">
        <w:rPr>
          <w:lang w:val="en-IE"/>
        </w:rPr>
        <w:t>prehistory</w:t>
      </w:r>
      <w:r w:rsidR="00986D35" w:rsidRPr="00FB4EFA">
        <w:rPr>
          <w:lang w:val="en-IE"/>
        </w:rPr>
        <w:t xml:space="preserve"> including an introduction to R and mapmaking</w:t>
      </w:r>
      <w:r w:rsidR="00B04C13" w:rsidRPr="00FB4EFA">
        <w:rPr>
          <w:lang w:val="en-IE"/>
        </w:rPr>
        <w:t xml:space="preserve"> (Outi Vesakoski, Meeli Roose, Timo Rantanen, Michael Dunn, Yingqi Jing,</w:t>
      </w:r>
      <w:r w:rsidR="00796AD3" w:rsidRPr="00FB4EFA">
        <w:rPr>
          <w:lang w:val="en-IE"/>
        </w:rPr>
        <w:t xml:space="preserve"> and</w:t>
      </w:r>
      <w:r w:rsidR="00B04C13" w:rsidRPr="00FB4EFA">
        <w:rPr>
          <w:lang w:val="en-IE"/>
        </w:rPr>
        <w:t xml:space="preserve"> Miina Norvik), and </w:t>
      </w:r>
      <w:r w:rsidR="00796AD3" w:rsidRPr="00FB4EFA">
        <w:rPr>
          <w:lang w:val="en-IE"/>
        </w:rPr>
        <w:t>the</w:t>
      </w:r>
      <w:r w:rsidR="00B04C13" w:rsidRPr="00FB4EFA">
        <w:rPr>
          <w:lang w:val="en-IE"/>
        </w:rPr>
        <w:t xml:space="preserve"> lecture “Genetic diversity of North-Western Eurasia” by Kristiina Tambets. With this being the 10</w:t>
      </w:r>
      <w:r w:rsidR="00B04C13" w:rsidRPr="00FB4EFA">
        <w:rPr>
          <w:vertAlign w:val="superscript"/>
          <w:lang w:val="en-IE"/>
        </w:rPr>
        <w:t>th</w:t>
      </w:r>
      <w:r w:rsidR="00B04C13" w:rsidRPr="00FB4EFA">
        <w:rPr>
          <w:lang w:val="en-IE"/>
        </w:rPr>
        <w:t xml:space="preserve"> event of its kind, we resisted the temptation to commit an off-by-one error and celebrate the 10-year anniversary of our network a mere nine years </w:t>
      </w:r>
      <w:r w:rsidR="00815E5F" w:rsidRPr="00FB4EFA">
        <w:rPr>
          <w:lang w:val="en-IE"/>
        </w:rPr>
        <w:t>and two months after the first winter school.</w:t>
      </w:r>
      <w:r w:rsidR="003551C8" w:rsidRPr="00FB4EFA">
        <w:rPr>
          <w:lang w:val="en-IE"/>
        </w:rPr>
        <w:t xml:space="preserve"> A special challenge at this winter school was that it was attended by the jubilarian during the hottest phase of this volume’s editorial process, and the editor-in-chief frequently had to share his screen with both the lecture hall and online participants (and every time had to fear that something on his computer screen would give the whole operation away), and on more than one occasion found himself discussing the volume with fellow scholars when the jubilarian was closer than anticipated. As far as we can tell, though, we did not actually unwittingly reveal the enterprise to the jubilarian</w:t>
      </w:r>
      <w:r w:rsidR="00595233" w:rsidRPr="00FB4EFA">
        <w:rPr>
          <w:lang w:val="en-IE"/>
        </w:rPr>
        <w:t xml:space="preserve"> – and if we did, she has been kind enough not to tell us, in spite of the ample opportunities she would have had</w:t>
      </w:r>
      <w:r w:rsidR="003551C8" w:rsidRPr="00FB4EFA">
        <w:rPr>
          <w:vertAlign w:val="superscript"/>
          <w:lang w:val="en-IE"/>
        </w:rPr>
        <w:footnoteReference w:id="26"/>
      </w:r>
      <w:r w:rsidR="003551C8" w:rsidRPr="00FB4EFA">
        <w:rPr>
          <w:lang w:val="en-IE"/>
        </w:rPr>
        <w:t>.</w:t>
      </w:r>
    </w:p>
    <w:p w14:paraId="0CCD7A33" w14:textId="21176921" w:rsidR="00815E5F" w:rsidRPr="00FB4EFA" w:rsidRDefault="00815E5F" w:rsidP="00AF0CAD">
      <w:pPr>
        <w:ind w:firstLine="709"/>
        <w:rPr>
          <w:lang w:val="en-IE"/>
        </w:rPr>
      </w:pPr>
      <w:r w:rsidRPr="00FB4EFA">
        <w:rPr>
          <w:lang w:val="en-IE"/>
        </w:rPr>
        <w:t xml:space="preserve">The brave new world in which </w:t>
      </w:r>
      <w:r w:rsidR="003551C8" w:rsidRPr="00FB4EFA">
        <w:rPr>
          <w:lang w:val="en-IE"/>
        </w:rPr>
        <w:t xml:space="preserve">our teaching events take place have allowed us to embrace internationalization beyond the limitations of our funding framework. While our consortium still formally “only” spans ten universities in seven EU countries, the hybrid and digital </w:t>
      </w:r>
      <w:r w:rsidR="006B2EA3" w:rsidRPr="00FB4EFA">
        <w:rPr>
          <w:lang w:val="en-IE"/>
        </w:rPr>
        <w:br/>
      </w:r>
      <w:r w:rsidR="003551C8" w:rsidRPr="00FB4EFA">
        <w:rPr>
          <w:lang w:val="en-IE"/>
        </w:rPr>
        <w:lastRenderedPageBreak/>
        <w:t xml:space="preserve">nature of our teaching events </w:t>
      </w:r>
      <w:r w:rsidR="00C63CFB" w:rsidRPr="00FB4EFA">
        <w:rPr>
          <w:lang w:val="en-IE"/>
        </w:rPr>
        <w:t>allow us to welcome scholars from across the globe</w:t>
      </w:r>
      <w:r w:rsidR="00796AD3" w:rsidRPr="00FB4EFA">
        <w:rPr>
          <w:lang w:val="en-IE"/>
        </w:rPr>
        <w:t>,</w:t>
      </w:r>
      <w:r w:rsidR="00C63CFB" w:rsidRPr="00FB4EFA">
        <w:rPr>
          <w:lang w:val="en-IE"/>
        </w:rPr>
        <w:t xml:space="preserve"> provided they have the needed technological means, language competencies, and academic foundation. In our various teaching events, we have been able to welcome scholars and students</w:t>
      </w:r>
      <w:r w:rsidRPr="00FB4EFA">
        <w:rPr>
          <w:lang w:val="en-IE"/>
        </w:rPr>
        <w:t xml:space="preserve"> from </w:t>
      </w:r>
      <w:r w:rsidR="006211CE" w:rsidRPr="00FB4EFA">
        <w:rPr>
          <w:lang w:val="en-IE"/>
        </w:rPr>
        <w:t xml:space="preserve">Brazil, </w:t>
      </w:r>
      <w:r w:rsidRPr="00FB4EFA">
        <w:rPr>
          <w:lang w:val="en-IE"/>
        </w:rPr>
        <w:t xml:space="preserve">the Czech Republic, Denmark, France, India, the Netherlands, Poland, Russia, Ukraine, </w:t>
      </w:r>
      <w:r w:rsidR="006211CE" w:rsidRPr="00FB4EFA">
        <w:rPr>
          <w:lang w:val="en-IE"/>
        </w:rPr>
        <w:t xml:space="preserve">the United Kingdom, </w:t>
      </w:r>
      <w:r w:rsidRPr="00FB4EFA">
        <w:rPr>
          <w:lang w:val="en-IE"/>
        </w:rPr>
        <w:t xml:space="preserve">and the United States. </w:t>
      </w:r>
      <w:r w:rsidR="00C63CFB" w:rsidRPr="00FB4EFA">
        <w:rPr>
          <w:lang w:val="en-IE"/>
        </w:rPr>
        <w:t xml:space="preserve">Our consortium has become </w:t>
      </w:r>
      <w:r w:rsidR="00C63CFB" w:rsidRPr="00FB4EFA">
        <w:rPr>
          <w:i/>
          <w:iCs/>
          <w:lang w:val="en-IE"/>
        </w:rPr>
        <w:t>Uralic Studies Without Borders</w:t>
      </w:r>
      <w:r w:rsidR="00C63CFB" w:rsidRPr="00FB4EFA">
        <w:rPr>
          <w:lang w:val="en-IE"/>
        </w:rPr>
        <w:t>.</w:t>
      </w:r>
    </w:p>
    <w:p w14:paraId="327E2496" w14:textId="00F52BB8" w:rsidR="000121EA" w:rsidRPr="00FB4EFA" w:rsidRDefault="00137F6C" w:rsidP="00402EF4">
      <w:pPr>
        <w:shd w:val="clear" w:color="auto" w:fill="FFFFFF" w:themeFill="background1"/>
        <w:ind w:firstLine="709"/>
        <w:rPr>
          <w:lang w:val="en-IE"/>
        </w:rPr>
      </w:pPr>
      <w:r w:rsidRPr="00FB4EFA">
        <w:rPr>
          <w:lang w:val="en-IE"/>
        </w:rPr>
        <w:t xml:space="preserve">The ultimate aim of these endeavours has been to make everything which we teach at all our universities available to all students, and the most logical way to advance towards this impossible goal has been through the concept of the ‘winter school’ and ‘summer workshop’. That these are well-received we know because we are there ourselves and see how much fun everybody is having. The slightly (but only slightly) more official student evaluations, carried out at the end of these events, have then also always made for interesting and profitable reading, but interestingly many of the comments there would be equally valid </w:t>
      </w:r>
      <w:r w:rsidRPr="00FB4EFA">
        <w:rPr>
          <w:rFonts w:cs="Charis SIL"/>
          <w:lang w:val="en-IE"/>
        </w:rPr>
        <w:t xml:space="preserve">from the teachers’ point of view, such as this one from </w:t>
      </w:r>
      <w:r w:rsidR="00796AD3" w:rsidRPr="00FB4EFA">
        <w:rPr>
          <w:rFonts w:cs="Charis SIL"/>
          <w:lang w:val="en-IE"/>
        </w:rPr>
        <w:t xml:space="preserve">the </w:t>
      </w:r>
      <w:r w:rsidRPr="00FB4EFA">
        <w:rPr>
          <w:rFonts w:cs="Charis SIL"/>
          <w:lang w:val="en-IE"/>
        </w:rPr>
        <w:t xml:space="preserve">Tartu 2022 </w:t>
      </w:r>
      <w:r w:rsidR="006B2EA3" w:rsidRPr="00FB4EFA">
        <w:rPr>
          <w:rFonts w:cs="Charis SIL"/>
          <w:lang w:val="en-IE"/>
        </w:rPr>
        <w:br/>
      </w:r>
      <w:r w:rsidRPr="00FB4EFA">
        <w:rPr>
          <w:rFonts w:cs="Charis SIL"/>
          <w:lang w:val="en-IE"/>
        </w:rPr>
        <w:t xml:space="preserve">winter school, which seems to sum up the whole decade-long project perfectly: “I met very interesting people and I became very interested </w:t>
      </w:r>
      <w:r w:rsidR="006B2EA3" w:rsidRPr="00FB4EFA">
        <w:rPr>
          <w:rFonts w:cs="Charis SIL"/>
          <w:lang w:val="en-IE"/>
        </w:rPr>
        <w:br/>
      </w:r>
      <w:r w:rsidRPr="00FB4EFA">
        <w:rPr>
          <w:rFonts w:cs="Charis SIL"/>
          <w:lang w:val="en-IE"/>
        </w:rPr>
        <w:t>in linguistics.”</w:t>
      </w:r>
    </w:p>
    <w:p w14:paraId="0F3CB21B" w14:textId="5715D6A2" w:rsidR="0039586F" w:rsidRPr="00FB4EFA" w:rsidRDefault="00A13EEF" w:rsidP="00AF0CAD">
      <w:pPr>
        <w:ind w:firstLine="709"/>
        <w:rPr>
          <w:lang w:val="en-IE"/>
        </w:rPr>
      </w:pPr>
      <w:r w:rsidRPr="00FB4EFA">
        <w:rPr>
          <w:lang w:val="en-IE"/>
        </w:rPr>
        <w:t>As of today</w:t>
      </w:r>
      <w:r w:rsidR="00F8220B" w:rsidRPr="00FB4EFA">
        <w:rPr>
          <w:lang w:val="en-IE"/>
        </w:rPr>
        <w:t xml:space="preserve">, two thirds of the </w:t>
      </w:r>
      <w:r w:rsidR="00F8220B" w:rsidRPr="00FB4EFA">
        <w:rPr>
          <w:i/>
          <w:iCs/>
          <w:lang w:val="en-IE"/>
        </w:rPr>
        <w:t>Hexenrunde</w:t>
      </w:r>
      <w:r w:rsidR="00F8220B" w:rsidRPr="00FB4EFA">
        <w:rPr>
          <w:lang w:val="en-IE"/>
        </w:rPr>
        <w:t xml:space="preserve">, though still active and vivacious as ever, have formally retired. The jubilarian is the only member of the trinity still holding the position from which the internationalization effort was launched. As most people who receive a </w:t>
      </w:r>
      <w:r w:rsidR="00F8220B" w:rsidRPr="00FB4EFA">
        <w:rPr>
          <w:i/>
          <w:iCs/>
          <w:lang w:val="en-IE"/>
        </w:rPr>
        <w:t>Festschrift</w:t>
      </w:r>
      <w:r w:rsidR="00F8220B" w:rsidRPr="00FB4EFA">
        <w:rPr>
          <w:lang w:val="en-IE"/>
        </w:rPr>
        <w:t>, though, her retirement is also on the horizon. What is not, however, on the horizon is an end of the internationalization effort started by the jubilarian and her colleagues all those years ago: seemingly impervious to friction, that ball just keeps on rolling.</w:t>
      </w:r>
      <w:r w:rsidR="0039586F" w:rsidRPr="00FB4EFA">
        <w:rPr>
          <w:lang w:val="en-IE"/>
        </w:rPr>
        <w:t xml:space="preserve"> While we cannot say what exactly we will do, and where exactly we will be, once REMODUS has been concluded (given that this partnership, at the time of this contribution being authored, was only one month into its 36-month run time, contemplations on the time after the project are premature and a distraction from the tasks acutely at hand right now), but we are confident that the </w:t>
      </w:r>
      <w:r w:rsidR="006B2EA3" w:rsidRPr="00FB4EFA">
        <w:rPr>
          <w:lang w:val="en-IE"/>
        </w:rPr>
        <w:br/>
      </w:r>
      <w:r w:rsidR="0039586F" w:rsidRPr="00FB4EFA">
        <w:rPr>
          <w:lang w:val="en-IE"/>
        </w:rPr>
        <w:t xml:space="preserve">Children of the </w:t>
      </w:r>
      <w:r w:rsidR="0039586F" w:rsidRPr="00FB4EFA">
        <w:rPr>
          <w:i/>
          <w:iCs/>
          <w:lang w:val="en-IE"/>
        </w:rPr>
        <w:t>Hexenkreis</w:t>
      </w:r>
      <w:r w:rsidR="0039586F" w:rsidRPr="00FB4EFA">
        <w:rPr>
          <w:lang w:val="en-IE"/>
        </w:rPr>
        <w:t xml:space="preserve"> will persist.</w:t>
      </w:r>
    </w:p>
    <w:bookmarkEnd w:id="24"/>
    <w:p w14:paraId="6F074566" w14:textId="77777777" w:rsidR="00A96E85" w:rsidRPr="00FB4EFA" w:rsidRDefault="00A96E85" w:rsidP="00402EF4">
      <w:pPr>
        <w:spacing w:after="160"/>
        <w:jc w:val="center"/>
        <w:rPr>
          <w:smallCaps/>
          <w:sz w:val="48"/>
          <w:szCs w:val="48"/>
          <w:lang w:val="en-IE"/>
        </w:rPr>
        <w:sectPr w:rsidR="00A96E85" w:rsidRPr="00FB4EFA">
          <w:headerReference w:type="even" r:id="rId230"/>
          <w:headerReference w:type="default" r:id="rId231"/>
          <w:headerReference w:type="first" r:id="rId232"/>
          <w:footnotePr>
            <w:numRestart w:val="eachSect"/>
          </w:footnotePr>
          <w:pgSz w:w="9180" w:h="13302"/>
          <w:pgMar w:top="779" w:right="1133" w:bottom="1132" w:left="1133" w:header="744" w:footer="720" w:gutter="0"/>
          <w:cols w:space="720"/>
          <w:titlePg/>
        </w:sectPr>
      </w:pPr>
    </w:p>
    <w:p w14:paraId="55AC6612" w14:textId="77777777" w:rsidR="000121EA" w:rsidRPr="00FB4EFA" w:rsidRDefault="003364A0" w:rsidP="00AF0CAD">
      <w:pPr>
        <w:pStyle w:val="Authors"/>
        <w:spacing w:line="259" w:lineRule="auto"/>
        <w:rPr>
          <w:color w:val="auto"/>
          <w:lang w:val="en-IE"/>
        </w:rPr>
      </w:pPr>
      <w:r w:rsidRPr="00FB4EFA">
        <w:rPr>
          <w:color w:val="auto"/>
          <w:lang w:val="en-IE"/>
        </w:rPr>
        <w:lastRenderedPageBreak/>
        <w:t xml:space="preserve">Márta Csire, </w:t>
      </w:r>
      <w:r w:rsidR="00882B0E" w:rsidRPr="00FB4EFA">
        <w:rPr>
          <w:color w:val="auto"/>
          <w:lang w:val="en-IE"/>
        </w:rPr>
        <w:t>Katalin Wirker-Do</w:t>
      </w:r>
      <w:r w:rsidR="00EE7FDF" w:rsidRPr="00FB4EFA">
        <w:rPr>
          <w:color w:val="auto"/>
          <w:lang w:val="en-IE"/>
        </w:rPr>
        <w:t>b</w:t>
      </w:r>
      <w:r w:rsidR="00882B0E" w:rsidRPr="00FB4EFA">
        <w:rPr>
          <w:color w:val="auto"/>
          <w:lang w:val="en-IE"/>
        </w:rPr>
        <w:t>ány</w:t>
      </w:r>
    </w:p>
    <w:p w14:paraId="556D3B59" w14:textId="2C4E5F57" w:rsidR="00882B0E" w:rsidRPr="00FB4EFA" w:rsidRDefault="00882B0E" w:rsidP="00402EF4">
      <w:pPr>
        <w:rPr>
          <w:lang w:val="en-IE"/>
        </w:rPr>
      </w:pPr>
    </w:p>
    <w:p w14:paraId="53057312" w14:textId="5F164C79" w:rsidR="007D7738" w:rsidRPr="00FB4EFA" w:rsidRDefault="00EE7FDF" w:rsidP="00994E2A">
      <w:pPr>
        <w:pStyle w:val="Heading1"/>
        <w:suppressAutoHyphens/>
        <w:spacing w:line="259" w:lineRule="auto"/>
        <w:rPr>
          <w:rFonts w:cs="Arial"/>
          <w:color w:val="auto"/>
          <w:lang w:val="vi-VN"/>
        </w:rPr>
      </w:pPr>
      <w:bookmarkStart w:id="27" w:name="_Ref101890852"/>
      <w:bookmarkStart w:id="28" w:name="_Toc87547002"/>
      <w:bookmarkStart w:id="29" w:name="_Ref90999285"/>
      <w:r w:rsidRPr="00FB4EFA">
        <w:rPr>
          <w:color w:val="auto"/>
          <w:lang w:val="de-AT"/>
        </w:rPr>
        <w:t xml:space="preserve">Sprachentwicklung von ungarisch- und deutschsprachigen Volksschulkindern – Bericht </w:t>
      </w:r>
      <w:r w:rsidRPr="00FB4EFA">
        <w:rPr>
          <w:color w:val="auto"/>
          <w:lang w:val="de-AT"/>
        </w:rPr>
        <w:br/>
        <w:t xml:space="preserve">zu einem laufenden Projekt </w:t>
      </w:r>
      <w:r w:rsidRPr="00FB4EFA">
        <w:rPr>
          <w:color w:val="auto"/>
          <w:lang w:val="de-AT"/>
        </w:rPr>
        <w:br/>
        <w:t>über die kindliche Zweisprachigkeit</w:t>
      </w:r>
      <w:bookmarkEnd w:id="27"/>
    </w:p>
    <w:p w14:paraId="4889EB49" w14:textId="3AED6CE0" w:rsidR="00376306" w:rsidRPr="00FB4EFA" w:rsidRDefault="00376306" w:rsidP="00402EF4">
      <w:r w:rsidRPr="00FB4EFA">
        <w:rPr>
          <w:lang w:val="de-DE"/>
        </w:rPr>
        <w:t xml:space="preserve">Im September 2021 nahm ein zweiköpfiges </w:t>
      </w:r>
      <w:r w:rsidR="00075A57" w:rsidRPr="00FB4EFA">
        <w:rPr>
          <w:lang w:val="de-DE"/>
        </w:rPr>
        <w:t>Team</w:t>
      </w:r>
      <w:r w:rsidRPr="00FB4EFA">
        <w:rPr>
          <w:lang w:val="de-DE"/>
        </w:rPr>
        <w:t xml:space="preserve"> der Hungarologie an der Universität Wien unter der Leitung von Johanna Laakso ein Projekt auf, das sich mit der Sprachentwicklung von ungarisch- und deutschsprachigen Volksschulkindern beschäftigt. Die Laufzeit des Projekts beträgt ein Jahr (September 2021</w:t>
      </w:r>
      <w:r w:rsidR="00075A57" w:rsidRPr="00FB4EFA">
        <w:rPr>
          <w:lang w:val="de-DE"/>
        </w:rPr>
        <w:t xml:space="preserve"> </w:t>
      </w:r>
      <w:r w:rsidRPr="00FB4EFA">
        <w:rPr>
          <w:lang w:val="de-DE"/>
        </w:rPr>
        <w:t>–</w:t>
      </w:r>
      <w:r w:rsidR="00075A57" w:rsidRPr="00FB4EFA">
        <w:rPr>
          <w:lang w:val="de-DE"/>
        </w:rPr>
        <w:t xml:space="preserve"> </w:t>
      </w:r>
      <w:r w:rsidRPr="00FB4EFA">
        <w:rPr>
          <w:lang w:val="de-DE"/>
        </w:rPr>
        <w:t xml:space="preserve">September 2022), es wird von der Stadt Wien finanziert. Im Rahmen des Projekts werden sprachliche Kompetenzen multilingualer Schüler*innen einer ersten Volksschulklasse in der Bunten Schule (Wien, 18. Bezirk) sowohl in deutscher als auch in ungarischer Sprache erfasst und analysiert. Im Folgenden möchten wir die Hintergründe der </w:t>
      </w:r>
      <w:r w:rsidR="00075A57" w:rsidRPr="00FB4EFA">
        <w:rPr>
          <w:lang w:val="de-DE"/>
        </w:rPr>
        <w:t xml:space="preserve">Entstehung des Projekts, dessen Methoden und Ziele und die damit verbundenen </w:t>
      </w:r>
      <w:r w:rsidRPr="00FB4EFA">
        <w:rPr>
          <w:lang w:val="de-DE"/>
        </w:rPr>
        <w:t xml:space="preserve">Probleme vorstellen sowie über die bisherigen </w:t>
      </w:r>
      <w:r w:rsidR="006B2EA3" w:rsidRPr="00FB4EFA">
        <w:rPr>
          <w:lang w:val="de-DE"/>
        </w:rPr>
        <w:br/>
      </w:r>
      <w:r w:rsidRPr="00FB4EFA">
        <w:rPr>
          <w:lang w:val="de-DE"/>
        </w:rPr>
        <w:t>Erfahrungen berichten.</w:t>
      </w:r>
    </w:p>
    <w:p w14:paraId="6E143379" w14:textId="77777777" w:rsidR="00376306" w:rsidRPr="00FB4EFA" w:rsidRDefault="00376306" w:rsidP="00545033">
      <w:pPr>
        <w:pStyle w:val="Heading2"/>
        <w:suppressAutoHyphens/>
        <w:spacing w:line="259" w:lineRule="auto"/>
        <w:rPr>
          <w:color w:val="auto"/>
        </w:rPr>
      </w:pPr>
      <w:r w:rsidRPr="00FB4EFA">
        <w:rPr>
          <w:color w:val="auto"/>
          <w:lang w:val="de-DE"/>
        </w:rPr>
        <w:t>Zur Aktualität des Forschungsthemas</w:t>
      </w:r>
    </w:p>
    <w:p w14:paraId="18078EA3" w14:textId="29793105" w:rsidR="00376306" w:rsidRPr="00FB4EFA" w:rsidRDefault="00376306" w:rsidP="00402EF4">
      <w:r w:rsidRPr="00FB4EFA">
        <w:rPr>
          <w:lang w:val="de-DE" w:eastAsia="x-none"/>
        </w:rPr>
        <w:t xml:space="preserve">Wien – die fünftgrößte Stadt der Europäischen Union – weist </w:t>
      </w:r>
      <w:r w:rsidR="005A203D" w:rsidRPr="00FB4EFA">
        <w:rPr>
          <w:lang w:val="de-DE" w:eastAsia="x-none"/>
        </w:rPr>
        <w:t xml:space="preserve">mit </w:t>
      </w:r>
      <w:r w:rsidRPr="00FB4EFA">
        <w:rPr>
          <w:lang w:val="de-DE" w:eastAsia="x-none"/>
        </w:rPr>
        <w:t xml:space="preserve">einem </w:t>
      </w:r>
      <w:r w:rsidR="005A203D" w:rsidRPr="00FB4EFA">
        <w:rPr>
          <w:lang w:val="de-DE" w:eastAsia="x-none"/>
        </w:rPr>
        <w:t>Bevölkerungsa</w:t>
      </w:r>
      <w:r w:rsidRPr="00FB4EFA">
        <w:rPr>
          <w:lang w:val="de-DE" w:eastAsia="x-none"/>
        </w:rPr>
        <w:t xml:space="preserve">nteil </w:t>
      </w:r>
      <w:r w:rsidR="005A203D" w:rsidRPr="00FB4EFA">
        <w:rPr>
          <w:lang w:val="de-DE" w:eastAsia="x-none"/>
        </w:rPr>
        <w:t xml:space="preserve">mit Migrationshintergrund </w:t>
      </w:r>
      <w:r w:rsidRPr="00FB4EFA">
        <w:rPr>
          <w:lang w:val="de-DE" w:eastAsia="x-none"/>
        </w:rPr>
        <w:t>von 43,9</w:t>
      </w:r>
      <w:r w:rsidR="00075A57" w:rsidRPr="00FB4EFA">
        <w:rPr>
          <w:lang w:val="de-DE" w:eastAsia="x-none"/>
        </w:rPr>
        <w:t xml:space="preserve"> </w:t>
      </w:r>
      <w:r w:rsidRPr="00FB4EFA">
        <w:rPr>
          <w:lang w:val="de-DE" w:eastAsia="x-none"/>
        </w:rPr>
        <w:t>%</w:t>
      </w:r>
      <w:r w:rsidRPr="00FB4EFA">
        <w:rPr>
          <w:rFonts w:cs="Times New Roman (Textkörper CS)"/>
          <w:vertAlign w:val="superscript"/>
          <w:lang w:val="de-DE" w:eastAsia="x-none"/>
        </w:rPr>
        <w:footnoteReference w:id="27"/>
      </w:r>
      <w:r w:rsidRPr="00FB4EFA">
        <w:rPr>
          <w:lang w:val="de-DE" w:eastAsia="x-none"/>
        </w:rPr>
        <w:t xml:space="preserve"> eine hohe Diversität auf. Der Anteil an Ungar*innen (laut der statistischen Erfassung der Bevölkerung von Wien nach Staatsangehörigkeit) lag zu Jahresbeginn 2022 mit 26.178 Personen</w:t>
      </w:r>
      <w:r w:rsidRPr="00FB4EFA">
        <w:rPr>
          <w:rFonts w:cs="Times New Roman (Textkörper CS)"/>
          <w:vertAlign w:val="superscript"/>
          <w:lang w:val="de-DE" w:eastAsia="x-none"/>
        </w:rPr>
        <w:footnoteReference w:id="28"/>
      </w:r>
      <w:r w:rsidRPr="00FB4EFA">
        <w:rPr>
          <w:lang w:val="de-DE" w:eastAsia="x-none"/>
        </w:rPr>
        <w:t xml:space="preserve"> auf dem siebenten Platz</w:t>
      </w:r>
      <w:r w:rsidRPr="00FB4EFA">
        <w:rPr>
          <w:rFonts w:cs="Times New Roman (Textkörper CS)"/>
          <w:vertAlign w:val="superscript"/>
          <w:lang w:val="de-DE" w:eastAsia="x-none"/>
        </w:rPr>
        <w:footnoteReference w:id="29"/>
      </w:r>
      <w:r w:rsidRPr="00FB4EFA">
        <w:rPr>
          <w:lang w:val="de-DE" w:eastAsia="x-none"/>
        </w:rPr>
        <w:t xml:space="preserve"> der Bevölkerungsgruppe mit Migrationshintergrund.</w:t>
      </w:r>
    </w:p>
    <w:p w14:paraId="74F7C96B" w14:textId="081C892F" w:rsidR="00376306" w:rsidRPr="00FB4EFA" w:rsidRDefault="00376306" w:rsidP="00AF0CAD">
      <w:pPr>
        <w:ind w:firstLine="709"/>
      </w:pPr>
      <w:r w:rsidRPr="00FB4EFA">
        <w:rPr>
          <w:lang w:val="de-DE" w:eastAsia="x-none"/>
        </w:rPr>
        <w:lastRenderedPageBreak/>
        <w:t xml:space="preserve">Die statistischen Zahlen, die die Zusammensetzung der Stadtbevölkerung erfassen, lassen vermuten, dass diese Diversität auch in den Wiener Schulen präsent ist. Dieser Umstand änderte in den Schulen </w:t>
      </w:r>
      <w:r w:rsidR="006B2EA3" w:rsidRPr="00FB4EFA">
        <w:rPr>
          <w:lang w:val="de-DE" w:eastAsia="x-none"/>
        </w:rPr>
        <w:br/>
      </w:r>
      <w:r w:rsidRPr="00FB4EFA">
        <w:rPr>
          <w:lang w:val="de-DE" w:eastAsia="x-none"/>
        </w:rPr>
        <w:t xml:space="preserve">allerdings nichts an deren Praxis und der bestehende </w:t>
      </w:r>
      <w:r w:rsidRPr="00FB4EFA">
        <w:rPr>
          <w:i/>
          <w:iCs/>
          <w:lang w:val="de-DE" w:eastAsia="x-none"/>
        </w:rPr>
        <w:t xml:space="preserve">monolinguale </w:t>
      </w:r>
      <w:r w:rsidR="006B2EA3" w:rsidRPr="00FB4EFA">
        <w:rPr>
          <w:i/>
          <w:iCs/>
          <w:lang w:val="de-DE" w:eastAsia="x-none"/>
        </w:rPr>
        <w:br/>
      </w:r>
      <w:r w:rsidRPr="00FB4EFA">
        <w:rPr>
          <w:i/>
          <w:iCs/>
          <w:lang w:val="de-DE" w:eastAsia="x-none"/>
        </w:rPr>
        <w:t>Habitus</w:t>
      </w:r>
      <w:r w:rsidRPr="00FB4EFA">
        <w:rPr>
          <w:rFonts w:cs="Times New Roman (Textkörper CS)"/>
          <w:vertAlign w:val="superscript"/>
          <w:lang w:val="de-DE" w:eastAsia="x-none"/>
        </w:rPr>
        <w:footnoteReference w:id="30"/>
      </w:r>
      <w:r w:rsidRPr="00FB4EFA">
        <w:rPr>
          <w:lang w:val="de-DE" w:eastAsia="x-none"/>
        </w:rPr>
        <w:t xml:space="preserve"> wurde noch immer nicht durchbrochen. Sichtbar wird dies unter anderem durch den seit 2019 verpflichtenden Einsatz der monolingualen Sprachstanderhebung, der sogenannten MIKA-D</w:t>
      </w:r>
      <w:r w:rsidRPr="00FB4EFA">
        <w:rPr>
          <w:rFonts w:cs="Times New Roman (Textkörper CS)"/>
          <w:vertAlign w:val="superscript"/>
          <w:lang w:val="de-DE" w:eastAsia="x-none"/>
        </w:rPr>
        <w:footnoteReference w:id="31"/>
      </w:r>
      <w:r w:rsidRPr="00FB4EFA">
        <w:rPr>
          <w:lang w:val="de-DE" w:eastAsia="x-none"/>
        </w:rPr>
        <w:t xml:space="preserve"> Zugangs</w:t>
      </w:r>
      <w:r w:rsidRPr="00FB4EFA">
        <w:rPr>
          <w:iCs/>
          <w:lang w:val="de-DE" w:eastAsia="x-none"/>
        </w:rPr>
        <w:t>testung</w:t>
      </w:r>
      <w:r w:rsidRPr="00FB4EFA">
        <w:rPr>
          <w:lang w:val="de-DE" w:eastAsia="x-none"/>
        </w:rPr>
        <w:t xml:space="preserve">, die im Zuge der Schuleinschreibung bzw. zu Semesterende bei Schüler*innen mit mangelnden Deutschkenntnissen eingesetzt wird. Diese Momentaufnahme entscheidet darüber, ob das jeweilige Kind den </w:t>
      </w:r>
      <w:r w:rsidRPr="00FB4EFA">
        <w:rPr>
          <w:i/>
          <w:iCs/>
          <w:lang w:val="de-DE" w:eastAsia="x-none"/>
        </w:rPr>
        <w:t>außerordentlichen</w:t>
      </w:r>
      <w:r w:rsidRPr="00FB4EFA">
        <w:rPr>
          <w:lang w:val="de-DE" w:eastAsia="x-none"/>
        </w:rPr>
        <w:t xml:space="preserve"> Status erhält oder beibehält und als Folge dessen einer Deutschförderklasse oder einem Deutschförderkurs zugeteilt wird.</w:t>
      </w:r>
    </w:p>
    <w:p w14:paraId="638114ED" w14:textId="297413C0" w:rsidR="000121EA" w:rsidRPr="00FB4EFA" w:rsidRDefault="00376306" w:rsidP="00AF0CAD">
      <w:pPr>
        <w:spacing w:after="240"/>
        <w:rPr>
          <w:lang w:val="de-DE"/>
        </w:rPr>
      </w:pPr>
      <w:r w:rsidRPr="00FB4EFA">
        <w:rPr>
          <w:lang w:val="de-DE"/>
        </w:rPr>
        <w:t>Die sich darauf beziehenden Kritiken von Forscher*innen und Lehrer*innen wurde</w:t>
      </w:r>
      <w:r w:rsidR="00407478" w:rsidRPr="00FB4EFA">
        <w:rPr>
          <w:lang w:val="de-DE"/>
        </w:rPr>
        <w:t>n</w:t>
      </w:r>
      <w:r w:rsidRPr="00FB4EFA">
        <w:rPr>
          <w:lang w:val="de-DE"/>
        </w:rPr>
        <w:t xml:space="preserve"> im Februar 2022 auf der internationalen Tagung </w:t>
      </w:r>
      <w:r w:rsidR="006B2EA3" w:rsidRPr="00FB4EFA">
        <w:rPr>
          <w:lang w:val="de-DE"/>
        </w:rPr>
        <w:br/>
      </w:r>
      <w:r w:rsidRPr="00FB4EFA">
        <w:rPr>
          <w:i/>
          <w:lang w:val="de-DE"/>
        </w:rPr>
        <w:t>Messen – Bewerten – Prüfen im Kontext von Deutsch als Zweitsprache</w:t>
      </w:r>
      <w:r w:rsidRPr="00FB4EFA">
        <w:rPr>
          <w:lang w:val="de-DE"/>
        </w:rPr>
        <w:t xml:space="preserve"> diskutiert, gesammelt und in einem Forderungskatalog zusammengefasst. Die zweite und sechste dieser </w:t>
      </w:r>
      <w:r w:rsidR="00784070" w:rsidRPr="00FB4EFA">
        <w:rPr>
          <w:lang w:val="de-DE"/>
        </w:rPr>
        <w:t>sechs</w:t>
      </w:r>
      <w:r w:rsidRPr="00FB4EFA">
        <w:rPr>
          <w:lang w:val="de-DE"/>
        </w:rPr>
        <w:t xml:space="preserve"> Forderungen</w:t>
      </w:r>
      <w:r w:rsidRPr="00FB4EFA">
        <w:rPr>
          <w:rFonts w:cs="Times New Roman (Textkörper CS)"/>
          <w:vertAlign w:val="superscript"/>
          <w:lang w:val="de-DE"/>
        </w:rPr>
        <w:footnoteReference w:id="32"/>
      </w:r>
      <w:r w:rsidRPr="00FB4EFA">
        <w:rPr>
          <w:lang w:val="de-DE"/>
        </w:rPr>
        <w:t xml:space="preserve"> lauten:</w:t>
      </w:r>
    </w:p>
    <w:p w14:paraId="02061384" w14:textId="51D495BB" w:rsidR="00376306" w:rsidRPr="00FB4EFA" w:rsidRDefault="00376306" w:rsidP="00402EF4">
      <w:pPr>
        <w:ind w:left="1134" w:hanging="425"/>
      </w:pPr>
      <w:r w:rsidRPr="00FB4EFA">
        <w:rPr>
          <w:lang w:val="de-DE"/>
        </w:rPr>
        <w:t>2.</w:t>
      </w:r>
      <w:r w:rsidRPr="00FB4EFA">
        <w:rPr>
          <w:lang w:val="de-DE"/>
        </w:rPr>
        <w:tab/>
        <w:t>Vielfältige Migrationsrealitäten und diverse Bildungssprachen anerkennen.</w:t>
      </w:r>
    </w:p>
    <w:p w14:paraId="3E2767C0" w14:textId="77777777" w:rsidR="00376306" w:rsidRPr="00FB4EFA" w:rsidRDefault="00376306" w:rsidP="00402EF4">
      <w:pPr>
        <w:ind w:left="1134" w:hanging="425"/>
      </w:pPr>
      <w:r w:rsidRPr="00FB4EFA">
        <w:rPr>
          <w:lang w:val="de-DE"/>
        </w:rPr>
        <w:t>6.</w:t>
      </w:r>
      <w:r w:rsidRPr="00FB4EFA">
        <w:rPr>
          <w:lang w:val="de-DE"/>
        </w:rPr>
        <w:tab/>
        <w:t>Förderdiagnostik entwickeln statt Selektion durch Testungen.</w:t>
      </w:r>
    </w:p>
    <w:p w14:paraId="08C3FE75" w14:textId="77777777" w:rsidR="00376306" w:rsidRPr="00FB4EFA" w:rsidRDefault="00376306" w:rsidP="00402EF4">
      <w:pPr>
        <w:spacing w:before="240"/>
      </w:pPr>
      <w:r w:rsidRPr="00FB4EFA">
        <w:rPr>
          <w:lang w:val="de-DE"/>
        </w:rPr>
        <w:t>Statt Testung und Zuweisungsdiagnostik, so die Erkenntnisse der Forschung und der Tagung, sollte mehrsprachige Förderdiagnostik angewandt und prozessbegleitend eingesetzt werden. Unser Projektthema ist demnach für den österreichischen Bildungsbereich von höchster Aktualität.</w:t>
      </w:r>
      <w:r w:rsidRPr="00FB4EFA">
        <w:rPr>
          <w:lang w:val="de-DE" w:eastAsia="x-none"/>
        </w:rPr>
        <w:t xml:space="preserve"> Es ist ein erster Ansatz,</w:t>
      </w:r>
      <w:r w:rsidRPr="00FB4EFA">
        <w:rPr>
          <w:rFonts w:cstheme="minorHAnsi"/>
          <w:lang w:val="de-DE"/>
        </w:rPr>
        <w:t xml:space="preserve"> die sprachlichen Kompetenzen der multilingualen Schüler*innen einer ersten Volksschulklasse nicht nur in deutscher, sondern auch in ungarischer Sprache aufzunehmen, </w:t>
      </w:r>
      <w:r w:rsidRPr="00FB4EFA">
        <w:rPr>
          <w:rFonts w:cs="Arial"/>
          <w:lang w:val="de-DE"/>
        </w:rPr>
        <w:t xml:space="preserve">um so ihre individuellen sprachlichen Kompetenzen zu erfassen und den Kindern </w:t>
      </w:r>
      <w:r w:rsidRPr="00FB4EFA">
        <w:rPr>
          <w:rFonts w:cs="Arial"/>
          <w:lang w:val="de-DE"/>
        </w:rPr>
        <w:lastRenderedPageBreak/>
        <w:t>dadurch zu ermöglichen, ihre sprachlichen Fähigkeiten bestmöglich nutzen und entfalten zu können.</w:t>
      </w:r>
    </w:p>
    <w:p w14:paraId="6205807B" w14:textId="4654BC78" w:rsidR="00376306" w:rsidRPr="00FB4EFA" w:rsidRDefault="00376306" w:rsidP="00AF0CAD">
      <w:pPr>
        <w:ind w:firstLine="708"/>
      </w:pPr>
      <w:r w:rsidRPr="00FB4EFA">
        <w:rPr>
          <w:lang w:val="de-DE" w:eastAsia="x-none"/>
        </w:rPr>
        <w:t>Die bloße Erhebung des Geburtslandes bzw. der Nationalität zeichnet jedoch kein vollständiges Bild der Diversität und Heterogenität einer Schulklasse. Die Schüler*innen innerhalb einer Migrant*innen</w:t>
      </w:r>
      <w:r w:rsidR="00260644" w:rsidRPr="00FB4EFA">
        <w:rPr>
          <w:lang w:val="de-DE" w:eastAsia="x-none"/>
        </w:rPr>
        <w:softHyphen/>
      </w:r>
      <w:r w:rsidRPr="00FB4EFA">
        <w:rPr>
          <w:lang w:val="de-DE" w:eastAsia="x-none"/>
        </w:rPr>
        <w:t xml:space="preserve">gruppe weisen ungleiche mehrsprachige Kompetenzen </w:t>
      </w:r>
      <w:r w:rsidRPr="00FB4EFA">
        <w:rPr>
          <w:lang w:val="de-DE"/>
        </w:rPr>
        <w:t xml:space="preserve">hinsichtlich ihrer </w:t>
      </w:r>
      <w:r w:rsidRPr="00FB4EFA">
        <w:rPr>
          <w:i/>
          <w:iCs/>
          <w:lang w:val="de-DE"/>
        </w:rPr>
        <w:t>mitgebrachten</w:t>
      </w:r>
      <w:r w:rsidRPr="00FB4EFA">
        <w:rPr>
          <w:lang w:val="de-DE"/>
        </w:rPr>
        <w:t xml:space="preserve"> Kompetenzen auf, die auf familiären Hintergründen beruhen</w:t>
      </w:r>
      <w:r w:rsidRPr="00FB4EFA">
        <w:rPr>
          <w:lang w:val="de-DE" w:eastAsia="x-none"/>
        </w:rPr>
        <w:t>. Lehrende sollten nun die Lernenden, unabhängig von ihrer Altersgruppe, immer genau dort abholen, wo sie stehen. Bei der vorliegenden Heterogenität ist dies jedoch schwierig bis unmöglich. Es ist eindeutig, dass eine zielgerichtete Unterstützung der multilingualen Sprachkompetenz dieser Schüler*innen eine große Herausforderung darstellt.</w:t>
      </w:r>
    </w:p>
    <w:p w14:paraId="081ECE72" w14:textId="77777777" w:rsidR="00376306" w:rsidRPr="00FB4EFA" w:rsidRDefault="00376306" w:rsidP="00402EF4">
      <w:pPr>
        <w:ind w:firstLine="709"/>
      </w:pPr>
      <w:r w:rsidRPr="00FB4EFA">
        <w:rPr>
          <w:lang w:val="de-DE"/>
        </w:rPr>
        <w:t>Das auf das Ungarische adaptierte Diagnostikverfahren VASE 6–8 kann uns einen Einblick in typische Stärken und korrigierbare Schwächen dieser Heterogenität geben. Es hilft dabei, die gezielte Förderung methodisch zu erarbeiten.</w:t>
      </w:r>
    </w:p>
    <w:p w14:paraId="05679AED" w14:textId="77777777" w:rsidR="000121EA" w:rsidRPr="00FB4EFA" w:rsidRDefault="00376306" w:rsidP="00545033">
      <w:pPr>
        <w:pStyle w:val="Heading2"/>
        <w:suppressAutoHyphens/>
        <w:spacing w:line="259" w:lineRule="auto"/>
        <w:rPr>
          <w:color w:val="auto"/>
          <w:lang w:val="de-DE"/>
        </w:rPr>
      </w:pPr>
      <w:r w:rsidRPr="00FB4EFA">
        <w:rPr>
          <w:color w:val="auto"/>
          <w:lang w:val="de-DE"/>
        </w:rPr>
        <w:t>Situation der ungarischen Sprache an Wiener Volksschulen</w:t>
      </w:r>
    </w:p>
    <w:p w14:paraId="31BF9973" w14:textId="0DBA6D75" w:rsidR="00376306" w:rsidRPr="00FB4EFA" w:rsidRDefault="00376306" w:rsidP="00AF0CAD">
      <w:r w:rsidRPr="00FB4EFA">
        <w:rPr>
          <w:lang w:val="de-DE" w:eastAsia="x-none"/>
        </w:rPr>
        <w:t xml:space="preserve">Die Wiener Ungar*innen sind seit 1992 als Teil der ungarischen Volksgruppe in Österreich anerkannt. </w:t>
      </w:r>
      <w:r w:rsidRPr="00FB4EFA">
        <w:rPr>
          <w:lang w:val="de-DE"/>
        </w:rPr>
        <w:t xml:space="preserve">Laut Gesetzgebung gibt es für die Kinder der Volksgruppen in Wien Möglichkeiten, </w:t>
      </w:r>
      <w:r w:rsidR="005A203D" w:rsidRPr="00FB4EFA">
        <w:rPr>
          <w:lang w:val="de-DE"/>
        </w:rPr>
        <w:t xml:space="preserve">sowohl in den Volksschulen als auch in den höheren Schulen </w:t>
      </w:r>
      <w:r w:rsidRPr="00FB4EFA">
        <w:rPr>
          <w:lang w:val="de-DE"/>
        </w:rPr>
        <w:t xml:space="preserve">Unterricht in den Minderheitensprachen </w:t>
      </w:r>
      <w:r w:rsidR="009963FB" w:rsidRPr="00FB4EFA">
        <w:rPr>
          <w:lang w:val="de-DE"/>
        </w:rPr>
        <w:br/>
      </w:r>
      <w:r w:rsidRPr="00FB4EFA">
        <w:rPr>
          <w:lang w:val="de-DE"/>
        </w:rPr>
        <w:t xml:space="preserve">in Anspruch zu nehmen. Volksschulkinder hätten die Möglichkeit, </w:t>
      </w:r>
      <w:r w:rsidR="009963FB" w:rsidRPr="00FB4EFA">
        <w:rPr>
          <w:lang w:val="de-DE"/>
        </w:rPr>
        <w:br/>
      </w:r>
      <w:r w:rsidRPr="00FB4EFA">
        <w:rPr>
          <w:i/>
          <w:iCs/>
          <w:lang w:val="de-DE"/>
        </w:rPr>
        <w:t>muttersprachlichen Unterricht</w:t>
      </w:r>
      <w:r w:rsidRPr="00FB4EFA">
        <w:rPr>
          <w:lang w:val="de-DE"/>
        </w:rPr>
        <w:t xml:space="preserve"> im Ausmaß von 2–3 Wochenstunden, nach Anmeldung seitens der Eltern, als unverbindliche Übungen ohne Benotung zu besuchen.</w:t>
      </w:r>
      <w:r w:rsidRPr="00FB4EFA">
        <w:rPr>
          <w:rFonts w:cs="Calibri (Textkörper)"/>
          <w:vertAlign w:val="superscript"/>
          <w:lang w:val="de-DE"/>
        </w:rPr>
        <w:footnoteReference w:id="33"/>
      </w:r>
      <w:r w:rsidRPr="00FB4EFA">
        <w:rPr>
          <w:lang w:val="de-DE"/>
        </w:rPr>
        <w:t xml:space="preserve"> Sieben Kinder reichen für das Zustandekommen einer Klasse aus. Trotz der Vorteile, die dieser Status mit sich bringt, sind solche Gruppen in den letzten Jahren mangels Anmeldungen eine Rarität.</w:t>
      </w:r>
    </w:p>
    <w:p w14:paraId="1E6E963D" w14:textId="4E40D366" w:rsidR="00376306" w:rsidRPr="00FB4EFA" w:rsidRDefault="00376306" w:rsidP="00AF0CAD">
      <w:pPr>
        <w:ind w:firstLine="709"/>
      </w:pPr>
      <w:r w:rsidRPr="00FB4EFA">
        <w:rPr>
          <w:lang w:val="de-DE"/>
        </w:rPr>
        <w:t xml:space="preserve">Eine weitere außercurriculare Möglichkeit zur sprachlichen </w:t>
      </w:r>
      <w:r w:rsidR="009963FB" w:rsidRPr="00FB4EFA">
        <w:rPr>
          <w:lang w:val="de-DE"/>
        </w:rPr>
        <w:br/>
      </w:r>
      <w:r w:rsidRPr="00FB4EFA">
        <w:rPr>
          <w:lang w:val="de-DE"/>
        </w:rPr>
        <w:t xml:space="preserve">Förderung der Kinder besteht in Form von freiwilligen schulexternen Ungarisch-Stunden in den verschiedenen </w:t>
      </w:r>
      <w:r w:rsidRPr="00FB4EFA">
        <w:rPr>
          <w:i/>
          <w:iCs/>
          <w:lang w:val="de-DE"/>
        </w:rPr>
        <w:t>Wochenendschulen</w:t>
      </w:r>
      <w:r w:rsidRPr="00FB4EFA">
        <w:rPr>
          <w:vertAlign w:val="superscript"/>
          <w:lang w:val="de-DE"/>
        </w:rPr>
        <w:footnoteReference w:id="34"/>
      </w:r>
      <w:r w:rsidRPr="00FB4EFA">
        <w:rPr>
          <w:lang w:val="de-DE"/>
        </w:rPr>
        <w:t>.</w:t>
      </w:r>
    </w:p>
    <w:p w14:paraId="13866440" w14:textId="77777777" w:rsidR="00376306" w:rsidRPr="00FB4EFA" w:rsidRDefault="00376306" w:rsidP="00545033">
      <w:pPr>
        <w:pStyle w:val="Heading2"/>
        <w:suppressAutoHyphens/>
        <w:spacing w:line="259" w:lineRule="auto"/>
        <w:rPr>
          <w:color w:val="auto"/>
        </w:rPr>
      </w:pPr>
      <w:r w:rsidRPr="00FB4EFA">
        <w:rPr>
          <w:color w:val="auto"/>
          <w:lang w:val="de-DE"/>
        </w:rPr>
        <w:lastRenderedPageBreak/>
        <w:t>Projektort Bunte Schule Währing</w:t>
      </w:r>
    </w:p>
    <w:p w14:paraId="25C0A6AC" w14:textId="6FD382D1" w:rsidR="00376306" w:rsidRPr="00FB4EFA" w:rsidRDefault="00376306" w:rsidP="00AF0CAD">
      <w:r w:rsidRPr="00FB4EFA">
        <w:rPr>
          <w:lang w:val="de-DE"/>
        </w:rPr>
        <w:t xml:space="preserve">Im September 2019 wurde als eine gemeinsame Initiative der ungarischsprachigen Bevölkerung Wiens und des Bundesministeriums für Bildung, Wissenschaft und Forschung (Abteilung für Sprachliche Bildung, Diversität und Minderheitenschulwesen) sowie des Volksgruppenbeirats der ungarischen Volksgruppe ein langersehntes Projekt verwirklicht: In der Bunten Schule im 18. Bezirk startete die erste zweisprachige Schulklasse mit Schwerpunkt Ungarisch. Als Unterrichtsmodell wurde die Lehrmethode </w:t>
      </w:r>
      <w:r w:rsidRPr="00FB4EFA">
        <w:rPr>
          <w:i/>
          <w:lang w:val="de-DE"/>
        </w:rPr>
        <w:t>Content and Language Integrated Learnings</w:t>
      </w:r>
      <w:r w:rsidRPr="00FB4EFA">
        <w:rPr>
          <w:lang w:val="de-DE"/>
        </w:rPr>
        <w:t xml:space="preserve"> (CLIL) adaptiert, die Fremdsprach</w:t>
      </w:r>
      <w:r w:rsidR="00CF217F" w:rsidRPr="00FB4EFA">
        <w:rPr>
          <w:lang w:val="de-DE"/>
        </w:rPr>
        <w:t>en</w:t>
      </w:r>
      <w:r w:rsidRPr="00FB4EFA">
        <w:rPr>
          <w:lang w:val="de-DE"/>
        </w:rPr>
        <w:t>unterricht mit weiteren Schulfächern kombiniert</w:t>
      </w:r>
      <w:r w:rsidRPr="00FB4EFA">
        <w:rPr>
          <w:rFonts w:cs="Times New Roman (Textkörper CS)"/>
          <w:vertAlign w:val="superscript"/>
          <w:lang w:val="de-DE"/>
        </w:rPr>
        <w:footnoteReference w:id="35"/>
      </w:r>
      <w:r w:rsidRPr="00FB4EFA">
        <w:rPr>
          <w:lang w:val="de-DE"/>
        </w:rPr>
        <w:t xml:space="preserve">. In unserem Fall bedeutet das, dass bestimmte Fächer in beiden Sprachen getrennt unterrichtet werden. Sowohl Deutsch als auch Ungarisch kommen als Unterrichtssprachen bei der Vermittlung von Inhalten zum </w:t>
      </w:r>
      <w:r w:rsidR="009963FB" w:rsidRPr="00FB4EFA">
        <w:rPr>
          <w:lang w:val="de-DE"/>
        </w:rPr>
        <w:br/>
      </w:r>
      <w:r w:rsidRPr="00FB4EFA">
        <w:rPr>
          <w:lang w:val="de-DE"/>
        </w:rPr>
        <w:t>Einsatz. Das Modell hat sich als erfolgreich erwiesen und so begann im September 2021 schon die dritte zweisprachige Klasse ihr Schuljahr.</w:t>
      </w:r>
    </w:p>
    <w:p w14:paraId="6AC6C988" w14:textId="77777777" w:rsidR="00376306" w:rsidRPr="00FB4EFA" w:rsidRDefault="00376306" w:rsidP="00545033">
      <w:pPr>
        <w:pStyle w:val="Heading2"/>
        <w:suppressAutoHyphens/>
        <w:spacing w:line="259" w:lineRule="auto"/>
        <w:rPr>
          <w:color w:val="auto"/>
        </w:rPr>
      </w:pPr>
      <w:r w:rsidRPr="00FB4EFA">
        <w:rPr>
          <w:color w:val="auto"/>
          <w:lang w:val="de-DE"/>
        </w:rPr>
        <w:t>Sprecher*innenvielfalt in der Schulklasse</w:t>
      </w:r>
    </w:p>
    <w:p w14:paraId="672E5752" w14:textId="7E36A771" w:rsidR="00376306" w:rsidRPr="00FB4EFA" w:rsidRDefault="00376306" w:rsidP="00AF0CAD">
      <w:r w:rsidRPr="00FB4EFA">
        <w:rPr>
          <w:lang w:val="de-DE"/>
        </w:rPr>
        <w:t xml:space="preserve">Die Zusammensetzung der Schüler*innen in den ersten Schulstufen der zweisprachigen Klassen ermöglicht einen ausführlichen Überblick über die Kompetenzvielfalt der ungarisch-deutschen Zweisprachigkeit. Am Diagnostikverfahren nehmen mit Einverständnis der Eltern 13 bilingual aufwachsende Kinder aus der ersten Klasse teil. </w:t>
      </w:r>
      <w:r w:rsidRPr="00FB4EFA">
        <w:rPr>
          <w:lang w:val="de-DE" w:eastAsia="de-DE"/>
        </w:rPr>
        <w:t xml:space="preserve">Das Alter der Kinder liegt zwischen sechs und sieben Jahren. Ihr Sprachstand wird dabei nicht an ihrem Lebensalter gemessen. Stattdessen ist bei zweisprachigen Kindern der Faktor </w:t>
      </w:r>
      <w:r w:rsidRPr="00FB4EFA">
        <w:rPr>
          <w:i/>
          <w:lang w:val="de-DE" w:eastAsia="de-DE"/>
        </w:rPr>
        <w:t>age of ons</w:t>
      </w:r>
      <w:r w:rsidRPr="00FB4EFA">
        <w:rPr>
          <w:i/>
          <w:iCs/>
          <w:lang w:val="de-DE" w:eastAsia="de-DE"/>
        </w:rPr>
        <w:t>et</w:t>
      </w:r>
      <w:r w:rsidRPr="00FB4EFA">
        <w:rPr>
          <w:lang w:val="de-DE" w:eastAsia="de-DE"/>
        </w:rPr>
        <w:t>, also das Alter bei Beginn des Spracherwerbs, für die Messung des Erfolgs von großer Bedeutung.</w:t>
      </w:r>
      <w:r w:rsidRPr="00FB4EFA">
        <w:rPr>
          <w:rFonts w:cs="Times New Roman (Textkörper CS)"/>
          <w:vertAlign w:val="superscript"/>
          <w:lang w:val="de-DE" w:eastAsia="de-DE"/>
        </w:rPr>
        <w:footnoteReference w:id="36"/>
      </w:r>
      <w:r w:rsidRPr="00FB4EFA">
        <w:rPr>
          <w:lang w:val="de-DE" w:eastAsia="de-DE"/>
        </w:rPr>
        <w:t xml:space="preserve"> Neben der Kontaktdauer entscheidet auch die Kontaktintensität der zwei Sprachen über den Sprachstand, das heißt</w:t>
      </w:r>
      <w:r w:rsidR="00A23DBC" w:rsidRPr="00FB4EFA">
        <w:rPr>
          <w:lang w:val="de-DE" w:eastAsia="de-DE"/>
        </w:rPr>
        <w:t>, in</w:t>
      </w:r>
      <w:r w:rsidRPr="00FB4EFA">
        <w:rPr>
          <w:lang w:val="de-DE" w:eastAsia="de-DE"/>
        </w:rPr>
        <w:t xml:space="preserve"> welche</w:t>
      </w:r>
      <w:r w:rsidR="00A23DBC" w:rsidRPr="00FB4EFA">
        <w:rPr>
          <w:lang w:val="de-DE" w:eastAsia="de-DE"/>
        </w:rPr>
        <w:t>m</w:t>
      </w:r>
      <w:r w:rsidRPr="00FB4EFA">
        <w:rPr>
          <w:lang w:val="de-DE" w:eastAsia="de-DE"/>
        </w:rPr>
        <w:t xml:space="preserve"> Lebensalter </w:t>
      </w:r>
      <w:r w:rsidR="00A23DBC" w:rsidRPr="00FB4EFA">
        <w:rPr>
          <w:lang w:val="de-DE" w:eastAsia="de-DE"/>
        </w:rPr>
        <w:t>des</w:t>
      </w:r>
      <w:r w:rsidRPr="00FB4EFA">
        <w:rPr>
          <w:lang w:val="de-DE" w:eastAsia="de-DE"/>
        </w:rPr>
        <w:t xml:space="preserve"> Kind</w:t>
      </w:r>
      <w:r w:rsidR="00A23DBC" w:rsidRPr="00FB4EFA">
        <w:rPr>
          <w:lang w:val="de-DE" w:eastAsia="de-DE"/>
        </w:rPr>
        <w:t>es</w:t>
      </w:r>
      <w:r w:rsidRPr="00FB4EFA">
        <w:rPr>
          <w:lang w:val="de-DE" w:eastAsia="de-DE"/>
        </w:rPr>
        <w:t xml:space="preserve"> </w:t>
      </w:r>
      <w:r w:rsidR="00A23DBC" w:rsidRPr="00FB4EFA">
        <w:rPr>
          <w:lang w:val="de-DE" w:eastAsia="de-DE"/>
        </w:rPr>
        <w:t>der</w:t>
      </w:r>
      <w:r w:rsidRPr="00FB4EFA">
        <w:rPr>
          <w:lang w:val="de-DE" w:eastAsia="de-DE"/>
        </w:rPr>
        <w:t xml:space="preserve"> Kontaktbeginn mit einer Sprache</w:t>
      </w:r>
      <w:r w:rsidR="00A23DBC" w:rsidRPr="00FB4EFA">
        <w:rPr>
          <w:lang w:val="de-DE" w:eastAsia="de-DE"/>
        </w:rPr>
        <w:t xml:space="preserve"> stattfand</w:t>
      </w:r>
      <w:r w:rsidRPr="00FB4EFA">
        <w:rPr>
          <w:lang w:val="de-DE" w:eastAsia="de-DE"/>
        </w:rPr>
        <w:t xml:space="preserve"> bzw. welche </w:t>
      </w:r>
      <w:r w:rsidRPr="00FB4EFA">
        <w:rPr>
          <w:i/>
          <w:lang w:val="de-DE" w:eastAsia="de-DE"/>
        </w:rPr>
        <w:t>Qualität</w:t>
      </w:r>
      <w:r w:rsidRPr="00FB4EFA">
        <w:rPr>
          <w:lang w:val="de-DE" w:eastAsia="de-DE"/>
        </w:rPr>
        <w:t xml:space="preserve"> und </w:t>
      </w:r>
      <w:r w:rsidRPr="00FB4EFA">
        <w:rPr>
          <w:i/>
          <w:lang w:val="de-DE" w:eastAsia="de-DE"/>
        </w:rPr>
        <w:t xml:space="preserve">Quantität </w:t>
      </w:r>
      <w:r w:rsidRPr="00FB4EFA">
        <w:rPr>
          <w:lang w:val="de-DE" w:eastAsia="de-DE"/>
        </w:rPr>
        <w:lastRenderedPageBreak/>
        <w:t>die sprachlichen Kontakte in dieser Zeit</w:t>
      </w:r>
      <w:r w:rsidR="00A23DBC" w:rsidRPr="00FB4EFA">
        <w:rPr>
          <w:lang w:val="de-DE" w:eastAsia="de-DE"/>
        </w:rPr>
        <w:t xml:space="preserve"> hatten</w:t>
      </w:r>
      <w:r w:rsidRPr="00FB4EFA">
        <w:rPr>
          <w:lang w:val="de-DE" w:eastAsia="de-DE"/>
        </w:rPr>
        <w:t>. Aus diesem Grund wurden die Schüler*innen je nach Sprachvermögen, laut Informationen aus den Interviews bzw. Fragebögen der Eltern, in Gruppen eingeteilt. Damit können die Ergebnisse der Untersuchung später nicht nur individuell, sondern möglicherweise auch gruppenspezifisch analysiert werden.</w:t>
      </w:r>
    </w:p>
    <w:p w14:paraId="46B7E89B" w14:textId="1D152458" w:rsidR="000121EA" w:rsidRPr="00FB4EFA" w:rsidRDefault="00376306" w:rsidP="00402EF4">
      <w:pPr>
        <w:ind w:firstLine="709"/>
        <w:rPr>
          <w:lang w:val="de-DE" w:eastAsia="de-DE"/>
        </w:rPr>
      </w:pPr>
      <w:r w:rsidRPr="00FB4EFA">
        <w:rPr>
          <w:lang w:val="de-DE" w:eastAsia="de-DE"/>
        </w:rPr>
        <w:t xml:space="preserve">Die untersuchten Schüler*Innen wurden in folgende </w:t>
      </w:r>
      <w:r w:rsidR="009963FB" w:rsidRPr="00FB4EFA">
        <w:rPr>
          <w:lang w:val="de-DE" w:eastAsia="de-DE"/>
        </w:rPr>
        <w:br/>
      </w:r>
      <w:r w:rsidRPr="00FB4EFA">
        <w:rPr>
          <w:lang w:val="de-DE" w:eastAsia="de-DE"/>
        </w:rPr>
        <w:t>Sprecher*innengruppen eingeteilt:</w:t>
      </w:r>
    </w:p>
    <w:p w14:paraId="554EC788" w14:textId="3B3DBB95" w:rsidR="00376306" w:rsidRPr="00FB4EFA" w:rsidRDefault="00376306" w:rsidP="00AF0CAD">
      <w:pPr>
        <w:pStyle w:val="Heading3"/>
        <w:spacing w:line="259" w:lineRule="auto"/>
        <w:jc w:val="left"/>
      </w:pPr>
      <w:r w:rsidRPr="00FB4EFA">
        <w:rPr>
          <w:lang w:val="de-DE"/>
        </w:rPr>
        <w:t xml:space="preserve">Sprecher*innengruppe A: </w:t>
      </w:r>
      <w:r w:rsidR="00A23DBC" w:rsidRPr="00FB4EFA">
        <w:rPr>
          <w:lang w:val="de-DE"/>
        </w:rPr>
        <w:t>s</w:t>
      </w:r>
      <w:r w:rsidRPr="00FB4EFA">
        <w:rPr>
          <w:lang w:val="de-DE"/>
        </w:rPr>
        <w:t>imultaner zweisprachiger Spracherwerb</w:t>
      </w:r>
    </w:p>
    <w:p w14:paraId="4A499D53" w14:textId="4834B2C6" w:rsidR="00376306" w:rsidRPr="00FB4EFA" w:rsidRDefault="00376306" w:rsidP="00AF0CAD">
      <w:r w:rsidRPr="00FB4EFA">
        <w:rPr>
          <w:rFonts w:cs="Arial"/>
          <w:lang w:val="de-DE"/>
        </w:rPr>
        <w:t xml:space="preserve">Bilinguale Kinder, die sich seit ihrer Geburt durch einen Elternteil die deutsche Sprache und durch </w:t>
      </w:r>
      <w:r w:rsidR="00A23DBC" w:rsidRPr="00FB4EFA">
        <w:rPr>
          <w:rFonts w:cs="Arial"/>
          <w:lang w:val="de-DE"/>
        </w:rPr>
        <w:t>den</w:t>
      </w:r>
      <w:r w:rsidRPr="00FB4EFA">
        <w:rPr>
          <w:rFonts w:cs="Arial"/>
          <w:lang w:val="de-DE"/>
        </w:rPr>
        <w:t xml:space="preserve"> anderen Elternteil die ungarische Sprache parallel aneignen. In diesem Fall haben die Schüler*innen eine dominante Kompetenzausprägung der deutschen Sprache, da sie ihren Alltag (Spielplatz, Einkauf etc.) in der deutschen Sprache erleben, daher ist dies ihre </w:t>
      </w:r>
      <w:r w:rsidRPr="00FB4EFA">
        <w:rPr>
          <w:rFonts w:cs="Arial"/>
          <w:i/>
          <w:iCs/>
          <w:lang w:val="de-DE"/>
        </w:rPr>
        <w:t>Umgebungssprache</w:t>
      </w:r>
      <w:r w:rsidRPr="00FB4EFA">
        <w:rPr>
          <w:rFonts w:cs="Arial"/>
          <w:lang w:val="de-DE"/>
        </w:rPr>
        <w:t>.</w:t>
      </w:r>
    </w:p>
    <w:p w14:paraId="052548BB" w14:textId="498D5A85" w:rsidR="00376306" w:rsidRPr="00FB4EFA" w:rsidRDefault="00376306" w:rsidP="00AF0CAD">
      <w:pPr>
        <w:pStyle w:val="Heading3"/>
        <w:spacing w:line="259" w:lineRule="auto"/>
        <w:jc w:val="left"/>
      </w:pPr>
      <w:r w:rsidRPr="00FB4EFA">
        <w:rPr>
          <w:lang w:val="de-DE"/>
        </w:rPr>
        <w:t xml:space="preserve">Sprecher*innengruppe B: </w:t>
      </w:r>
      <w:r w:rsidR="00A23DBC" w:rsidRPr="00FB4EFA">
        <w:rPr>
          <w:lang w:val="de-DE"/>
        </w:rPr>
        <w:t>s</w:t>
      </w:r>
      <w:r w:rsidRPr="00FB4EFA">
        <w:rPr>
          <w:lang w:val="de-DE"/>
        </w:rPr>
        <w:t>imultaner dreisprachiger Spracherwerb</w:t>
      </w:r>
    </w:p>
    <w:p w14:paraId="0263DDAB" w14:textId="77777777" w:rsidR="00376306" w:rsidRPr="00FB4EFA" w:rsidRDefault="00376306" w:rsidP="00402EF4">
      <w:r w:rsidRPr="00FB4EFA">
        <w:rPr>
          <w:rFonts w:cs="Arial"/>
          <w:lang w:val="de-DE"/>
        </w:rPr>
        <w:t>Mehrsprachiges Kind, das ab der Geburt simultan drei Sprachen erwirbt. Im konkreten Fall ist ein Elternteil zweisprachig (ungarisch und deutsch) und redet mit dem Kind beide Sprachen. Der andere Elternteil spricht mit dem Kind eine weitere Sprache.</w:t>
      </w:r>
    </w:p>
    <w:p w14:paraId="4C3B9148" w14:textId="12981F0C" w:rsidR="00376306" w:rsidRPr="00FB4EFA" w:rsidRDefault="00376306" w:rsidP="00AF0CAD">
      <w:pPr>
        <w:pStyle w:val="Heading3"/>
        <w:spacing w:line="259" w:lineRule="auto"/>
        <w:jc w:val="left"/>
      </w:pPr>
      <w:r w:rsidRPr="00FB4EFA">
        <w:rPr>
          <w:lang w:val="de-DE"/>
        </w:rPr>
        <w:t xml:space="preserve">Sprecher*innengruppe C: </w:t>
      </w:r>
      <w:r w:rsidR="00A23DBC" w:rsidRPr="00FB4EFA">
        <w:rPr>
          <w:lang w:val="de-DE"/>
        </w:rPr>
        <w:t>s</w:t>
      </w:r>
      <w:r w:rsidRPr="00FB4EFA">
        <w:rPr>
          <w:lang w:val="de-DE"/>
        </w:rPr>
        <w:t>ukzessiver zweisprachiger Spracherwerb</w:t>
      </w:r>
    </w:p>
    <w:p w14:paraId="24415EC9" w14:textId="2848B0CD" w:rsidR="00376306" w:rsidRPr="00FB4EFA" w:rsidRDefault="00376306" w:rsidP="00402EF4">
      <w:r w:rsidRPr="00FB4EFA">
        <w:rPr>
          <w:rFonts w:cs="Arial"/>
          <w:lang w:val="de-DE"/>
        </w:rPr>
        <w:t xml:space="preserve">Bilinguale Kinder, die Ungarisch als Erstsprache und Deutsch als Zweitsprache </w:t>
      </w:r>
      <w:r w:rsidR="00A23DBC" w:rsidRPr="00FB4EFA">
        <w:rPr>
          <w:rFonts w:cs="Arial"/>
          <w:lang w:val="de-DE"/>
        </w:rPr>
        <w:t>mit</w:t>
      </w:r>
      <w:r w:rsidRPr="00FB4EFA">
        <w:rPr>
          <w:rFonts w:cs="Arial"/>
          <w:lang w:val="de-DE"/>
        </w:rPr>
        <w:t xml:space="preserve"> unterschiedlich</w:t>
      </w:r>
      <w:r w:rsidR="00A23DBC" w:rsidRPr="00FB4EFA">
        <w:rPr>
          <w:rFonts w:cs="Arial"/>
          <w:lang w:val="de-DE"/>
        </w:rPr>
        <w:t>er</w:t>
      </w:r>
      <w:r w:rsidRPr="00FB4EFA">
        <w:rPr>
          <w:rFonts w:cs="Arial"/>
          <w:lang w:val="de-DE"/>
        </w:rPr>
        <w:t xml:space="preserve"> Kontaktdauer aufweisen. Diese Kinder haben keinen deutschsprachigen Elternteil und dadurch eine geringere Kontaktintensivität. Innerhalb dieser Gruppe findet man enorme Unterschiede bei den Sprachkenntnissen.</w:t>
      </w:r>
    </w:p>
    <w:p w14:paraId="7ADE1783" w14:textId="1F4B012B" w:rsidR="00376306" w:rsidRPr="00FB4EFA" w:rsidRDefault="00376306" w:rsidP="00AF0CAD">
      <w:pPr>
        <w:pStyle w:val="Heading3"/>
        <w:spacing w:line="259" w:lineRule="auto"/>
        <w:jc w:val="left"/>
      </w:pPr>
      <w:r w:rsidRPr="00FB4EFA">
        <w:rPr>
          <w:lang w:val="de-DE"/>
        </w:rPr>
        <w:t xml:space="preserve">Sprecher*innengruppe D: </w:t>
      </w:r>
      <w:r w:rsidR="00A23DBC" w:rsidRPr="00FB4EFA">
        <w:rPr>
          <w:lang w:val="de-DE"/>
        </w:rPr>
        <w:t>s</w:t>
      </w:r>
      <w:r w:rsidRPr="00FB4EFA">
        <w:rPr>
          <w:lang w:val="de-DE"/>
        </w:rPr>
        <w:t>ukzessiver dreisprachiger Spracherwerb</w:t>
      </w:r>
    </w:p>
    <w:p w14:paraId="3538FC45" w14:textId="77777777" w:rsidR="00376306" w:rsidRPr="00FB4EFA" w:rsidRDefault="00376306" w:rsidP="00402EF4">
      <w:r w:rsidRPr="00FB4EFA">
        <w:rPr>
          <w:lang w:val="de-DE"/>
        </w:rPr>
        <w:t xml:space="preserve">Mehrsprachige Kinder, die durch die Eltern die ungarische Sprache als Erstsprache erworben haben. Durch das Umfeld bzw. mit dem Beginn des Kindergartens haben sie begonnen, </w:t>
      </w:r>
      <w:r w:rsidRPr="00FB4EFA">
        <w:t>die</w:t>
      </w:r>
      <w:r w:rsidRPr="00FB4EFA">
        <w:rPr>
          <w:lang w:val="de-DE"/>
        </w:rPr>
        <w:t xml:space="preserve"> deutsche Sprache zu erwerben. Durch die zweisprachige Erziehung im Kindergarten wurde auch die englische Sprache Teil ihres sprachlichen Repertoires.</w:t>
      </w:r>
    </w:p>
    <w:p w14:paraId="6632AA52" w14:textId="79BF03C4" w:rsidR="00376306" w:rsidRPr="00FB4EFA" w:rsidRDefault="00376306" w:rsidP="00AF0CAD">
      <w:pPr>
        <w:pStyle w:val="Heading3"/>
        <w:spacing w:line="259" w:lineRule="auto"/>
        <w:jc w:val="left"/>
      </w:pPr>
      <w:r w:rsidRPr="00FB4EFA">
        <w:rPr>
          <w:lang w:val="de-DE"/>
        </w:rPr>
        <w:lastRenderedPageBreak/>
        <w:t xml:space="preserve">Sprecher*innengruppe E: </w:t>
      </w:r>
      <w:r w:rsidR="00A23DBC" w:rsidRPr="00FB4EFA">
        <w:rPr>
          <w:lang w:val="de-DE"/>
        </w:rPr>
        <w:t>m</w:t>
      </w:r>
      <w:r w:rsidRPr="00FB4EFA">
        <w:rPr>
          <w:lang w:val="de-DE"/>
        </w:rPr>
        <w:t>onolinguale (ungarischsprachige) Kinder</w:t>
      </w:r>
    </w:p>
    <w:p w14:paraId="40BD0207" w14:textId="78121FD0" w:rsidR="00376306" w:rsidRPr="00FB4EFA" w:rsidRDefault="00376306" w:rsidP="00402EF4">
      <w:r w:rsidRPr="00FB4EFA">
        <w:rPr>
          <w:rFonts w:cs="Arial"/>
          <w:lang w:val="de-DE"/>
        </w:rPr>
        <w:t>Monolinguale Kinder mit Erstsprache Ungarisch, die vor kurzer Zeit, in jedem Fall aber vor dem Schulbeginn, aus Ungarn nach Österreich kamen, wenig bis gar keinen deutschsprachigen Kontakt hatten und bei denen Deutsch somit als noch werdende Zweitsprache zu betrachten ist. Bei diesen Schüler*innen ist anzunehmen, dass sie sich auf dem normalen Erwerbsstand der ungarischen Sprache befinden, aber dafür (enorme) Rückstände gegenüber de</w:t>
      </w:r>
      <w:r w:rsidR="00092550" w:rsidRPr="00FB4EFA">
        <w:rPr>
          <w:rFonts w:cs="Arial"/>
          <w:lang w:val="de-DE"/>
        </w:rPr>
        <w:t>n altersentsprechenden Deutschkenntnissen</w:t>
      </w:r>
      <w:r w:rsidRPr="00FB4EFA">
        <w:rPr>
          <w:rFonts w:cs="Arial"/>
          <w:lang w:val="de-DE"/>
        </w:rPr>
        <w:t xml:space="preserve"> </w:t>
      </w:r>
      <w:r w:rsidR="00092550" w:rsidRPr="00FB4EFA">
        <w:rPr>
          <w:rFonts w:cs="Arial"/>
          <w:lang w:val="de-DE"/>
        </w:rPr>
        <w:t xml:space="preserve">von Kindern mit Deutsch als Muttersprache </w:t>
      </w:r>
      <w:r w:rsidRPr="00FB4EFA">
        <w:rPr>
          <w:rFonts w:cs="Arial"/>
          <w:lang w:val="de-DE"/>
        </w:rPr>
        <w:t>und den Sprachgruppen A&amp;B aufweisen.</w:t>
      </w:r>
    </w:p>
    <w:p w14:paraId="2E039226" w14:textId="77777777" w:rsidR="00376306" w:rsidRPr="00FB4EFA" w:rsidRDefault="00376306" w:rsidP="00545033">
      <w:pPr>
        <w:pStyle w:val="Heading2"/>
        <w:suppressAutoHyphens/>
        <w:spacing w:line="259" w:lineRule="auto"/>
        <w:rPr>
          <w:color w:val="auto"/>
        </w:rPr>
      </w:pPr>
      <w:r w:rsidRPr="00FB4EFA">
        <w:rPr>
          <w:color w:val="auto"/>
          <w:lang w:val="de-DE"/>
        </w:rPr>
        <w:t>Methode der Sprachstandserhebung</w:t>
      </w:r>
    </w:p>
    <w:p w14:paraId="5A0A79D8" w14:textId="2B25ED96" w:rsidR="00376306" w:rsidRPr="00FB4EFA" w:rsidRDefault="00376306" w:rsidP="00AF0CAD">
      <w:r w:rsidRPr="00FB4EFA">
        <w:rPr>
          <w:lang w:val="de-DE"/>
        </w:rPr>
        <w:t xml:space="preserve">Für unser Projekt haben wir uns für das </w:t>
      </w:r>
      <w:r w:rsidRPr="00FB4EFA">
        <w:rPr>
          <w:i/>
          <w:iCs/>
          <w:lang w:val="de-DE"/>
        </w:rPr>
        <w:t>Verfahren zur Analyse der Sprachenentwicklung mit Bildimpulsen</w:t>
      </w:r>
      <w:r w:rsidRPr="00FB4EFA">
        <w:rPr>
          <w:lang w:val="de-DE"/>
        </w:rPr>
        <w:t xml:space="preserve"> (VASE 6–8)</w:t>
      </w:r>
      <w:r w:rsidRPr="00FB4EFA">
        <w:rPr>
          <w:rFonts w:cs="Times New Roman (Textkörper CS)"/>
          <w:vertAlign w:val="superscript"/>
          <w:lang w:val="de-DE"/>
        </w:rPr>
        <w:footnoteReference w:id="37"/>
      </w:r>
      <w:r w:rsidRPr="00FB4EFA">
        <w:rPr>
          <w:lang w:val="de-DE"/>
        </w:rPr>
        <w:t xml:space="preserve"> entschieden. VASE ist ein standardisiertes und normiertes Diagnoseverfahren, das eine sich wiederholende Sprachstandanalyse mit den gleichen Kriterien ermöglicht. Das Verfahren wurde in Anlehnung an das Hamburger Verfahren zur Analyse des Sprachstands (HAVAS 5)</w:t>
      </w:r>
      <w:r w:rsidRPr="00FB4EFA">
        <w:rPr>
          <w:rFonts w:cs="Times New Roman (Textkörper CS)"/>
          <w:vertAlign w:val="superscript"/>
          <w:lang w:val="de-DE"/>
        </w:rPr>
        <w:footnoteReference w:id="38"/>
      </w:r>
      <w:r w:rsidRPr="00FB4EFA">
        <w:rPr>
          <w:lang w:val="de-DE"/>
        </w:rPr>
        <w:t xml:space="preserve"> am Hamburger Institut für </w:t>
      </w:r>
      <w:r w:rsidR="009963FB" w:rsidRPr="00FB4EFA">
        <w:rPr>
          <w:lang w:val="de-DE"/>
        </w:rPr>
        <w:br/>
      </w:r>
      <w:r w:rsidRPr="00FB4EFA">
        <w:rPr>
          <w:lang w:val="de-DE"/>
        </w:rPr>
        <w:t>Bildungsmonitoring und Qualitätsentwicklung entwickelt.</w:t>
      </w:r>
    </w:p>
    <w:p w14:paraId="5EF13C97" w14:textId="6CDA6047" w:rsidR="00376306" w:rsidRPr="00FB4EFA" w:rsidRDefault="00376306" w:rsidP="00260644">
      <w:pPr>
        <w:ind w:firstLine="709"/>
      </w:pPr>
      <w:r w:rsidRPr="00FB4EFA">
        <w:rPr>
          <w:lang w:val="de-DE"/>
        </w:rPr>
        <w:t xml:space="preserve">Das HAVAS 5 wurde bisher für sieben Sprachen (Deutsch, Italienisch, Polnisch, Portugiesisch, Russisch, Spanisch, Türkisch) adaptiert und ermöglicht die Erforschung von </w:t>
      </w:r>
      <w:r w:rsidR="003B76FA" w:rsidRPr="00FB4EFA">
        <w:rPr>
          <w:lang w:val="de-DE"/>
        </w:rPr>
        <w:t>bilingualen</w:t>
      </w:r>
      <w:r w:rsidRPr="00FB4EFA">
        <w:rPr>
          <w:lang w:val="de-DE"/>
        </w:rPr>
        <w:t xml:space="preserve"> Sprachkompetenzen. Da das HAVAS 5 sowie das VASE-Verfahren noch nicht auf das Ungarische angewandt wurden, stellt die Adaptation der sprachlichen Auswertungskategorien für das Ungarische einen wichtigen Teil unseres Projektes dar.</w:t>
      </w:r>
    </w:p>
    <w:p w14:paraId="67AE66FD" w14:textId="77777777" w:rsidR="00376306" w:rsidRPr="00FB4EFA" w:rsidRDefault="00376306" w:rsidP="00545033">
      <w:pPr>
        <w:pStyle w:val="Heading2"/>
        <w:suppressAutoHyphens/>
        <w:spacing w:line="259" w:lineRule="auto"/>
        <w:rPr>
          <w:color w:val="auto"/>
        </w:rPr>
      </w:pPr>
      <w:r w:rsidRPr="00FB4EFA">
        <w:rPr>
          <w:color w:val="auto"/>
          <w:lang w:val="de-DE"/>
        </w:rPr>
        <w:lastRenderedPageBreak/>
        <w:t>Interviewführung</w:t>
      </w:r>
    </w:p>
    <w:p w14:paraId="28B1D499" w14:textId="1AA0DDF8" w:rsidR="00376306" w:rsidRPr="00FB4EFA" w:rsidRDefault="00376306" w:rsidP="00402EF4">
      <w:r w:rsidRPr="00FB4EFA">
        <w:rPr>
          <w:lang w:val="de-DE"/>
        </w:rPr>
        <w:t>Die erste vom Projektteam durchgeführte Interviewführung mit den Kindern fand zu Beginn des Schuljahres 2021/22 statt. Ende Mai</w:t>
      </w:r>
      <w:r w:rsidR="003B76FA" w:rsidRPr="00FB4EFA">
        <w:rPr>
          <w:lang w:val="de-DE"/>
        </w:rPr>
        <w:t xml:space="preserve"> </w:t>
      </w:r>
      <w:r w:rsidRPr="00FB4EFA">
        <w:rPr>
          <w:lang w:val="de-DE"/>
        </w:rPr>
        <w:t>/</w:t>
      </w:r>
      <w:r w:rsidR="003B76FA" w:rsidRPr="00FB4EFA">
        <w:rPr>
          <w:lang w:val="de-DE"/>
        </w:rPr>
        <w:t xml:space="preserve"> </w:t>
      </w:r>
      <w:r w:rsidRPr="00FB4EFA">
        <w:rPr>
          <w:lang w:val="de-DE"/>
        </w:rPr>
        <w:t>Anfang Juni 2022 wird erneut eine Sprachstanderhebung in beiden Sprachen durchgeführt.</w:t>
      </w:r>
    </w:p>
    <w:p w14:paraId="4935BF82" w14:textId="77777777" w:rsidR="00376306" w:rsidRPr="00FB4EFA" w:rsidRDefault="00376306" w:rsidP="00260644">
      <w:pPr>
        <w:ind w:firstLine="709"/>
      </w:pPr>
      <w:r w:rsidRPr="00FB4EFA">
        <w:rPr>
          <w:lang w:val="de-DE"/>
        </w:rPr>
        <w:t>Jede*r einzelne Schüler*in bekam durch zwei verschiedene Personen, die jeweils eine Sprache repräsentierten, getrennt in beiden Sprachen dieselbe Bildergeschichte zum Nacherzählen vorgelegt. Beide Gespräche wurden audiovisuell aufgenommen und danach transkribiert.</w:t>
      </w:r>
    </w:p>
    <w:p w14:paraId="2E00B478" w14:textId="77777777" w:rsidR="00376306" w:rsidRPr="00FB4EFA" w:rsidRDefault="00376306" w:rsidP="00402EF4">
      <w:pPr>
        <w:ind w:firstLine="709"/>
      </w:pPr>
      <w:r w:rsidRPr="00FB4EFA">
        <w:rPr>
          <w:lang w:val="de-DE"/>
        </w:rPr>
        <w:t>Im ersten Durchgang des Interviews erzählte das Kind eigenständig, ohne Unterbrechungen bzw. Zwischenfragen und zusammenhängend die Bildfolge mit ihren Handlungsträgern sowie dazugehörigen Handlungen.</w:t>
      </w:r>
    </w:p>
    <w:p w14:paraId="37B8E522" w14:textId="77777777" w:rsidR="000121EA" w:rsidRPr="00FB4EFA" w:rsidRDefault="00376306" w:rsidP="00402EF4">
      <w:pPr>
        <w:ind w:firstLine="709"/>
        <w:rPr>
          <w:lang w:val="de-DE"/>
        </w:rPr>
      </w:pPr>
      <w:r w:rsidRPr="00FB4EFA">
        <w:rPr>
          <w:lang w:val="de-DE"/>
        </w:rPr>
        <w:t>Im zweiten Durchgang wurde laut VASE 6–8 nur mehr auf die im ersten Gespräch nicht genannten Punkte eingegangen und dazu Fragen gestellt. Damit hatte das Kind eine weitere Chance, seine Geschichte zu ergänzen.</w:t>
      </w:r>
    </w:p>
    <w:p w14:paraId="78C4C477" w14:textId="18636225" w:rsidR="00376306" w:rsidRPr="00FB4EFA" w:rsidRDefault="00376306" w:rsidP="00402EF4">
      <w:r w:rsidRPr="00FB4EFA">
        <w:rPr>
          <w:lang w:val="de-DE"/>
        </w:rPr>
        <w:t>Basierend auf den Erfahrungen einigten wir uns im Projekt darauf, keine expliziten Fragen mehr zu stellen, wie dies im HAVAS empfohlen wird, da die Antworten erfahrungsgemäß vor allem in Einwortsätzen ausfallen. Es wurden spezielle, aber einfache Fragen zu jedem Bild entwickelt, die erneute Anreize für längere, zusammenhängende Antworten schaffen sollten.</w:t>
      </w:r>
    </w:p>
    <w:p w14:paraId="2FB21247" w14:textId="77777777" w:rsidR="00376306" w:rsidRPr="00FB4EFA" w:rsidRDefault="00376306" w:rsidP="00260644">
      <w:pPr>
        <w:ind w:firstLine="709"/>
      </w:pPr>
      <w:r w:rsidRPr="00FB4EFA">
        <w:rPr>
          <w:lang w:val="de-DE"/>
        </w:rPr>
        <w:t>Durch die Abschlussfrage wurde unter anderem auch überprüft, ob das Kind die Pointe der Geschichte verstanden hat.</w:t>
      </w:r>
    </w:p>
    <w:p w14:paraId="5D73E9CF" w14:textId="77777777" w:rsidR="00376306" w:rsidRPr="00FB4EFA" w:rsidRDefault="00376306" w:rsidP="00545033">
      <w:pPr>
        <w:pStyle w:val="Heading2"/>
        <w:tabs>
          <w:tab w:val="left" w:pos="567"/>
        </w:tabs>
        <w:suppressAutoHyphens/>
        <w:spacing w:line="259" w:lineRule="auto"/>
        <w:rPr>
          <w:color w:val="auto"/>
        </w:rPr>
      </w:pPr>
      <w:r w:rsidRPr="00FB4EFA">
        <w:rPr>
          <w:color w:val="auto"/>
          <w:lang w:val="de-DE"/>
        </w:rPr>
        <w:t>Auswertung und Analyse: Kriterien und Probleme</w:t>
      </w:r>
    </w:p>
    <w:p w14:paraId="42DD96FF" w14:textId="7E9CE75F" w:rsidR="00376306" w:rsidRPr="00FB4EFA" w:rsidRDefault="00376306" w:rsidP="00402EF4">
      <w:pPr>
        <w:spacing w:after="240"/>
      </w:pPr>
      <w:r w:rsidRPr="00FB4EFA">
        <w:rPr>
          <w:lang w:val="de-DE"/>
        </w:rPr>
        <w:t>Ein Teil der aufgenommenen Erzählungen wurde bereits ausgewertet und analysiert; ein anderer Teil der Daten befindet sich noch in diesem Prozess. Dabei kommen Auswertungskriterien zur Anwendung, die die sieben sprachlichen Basisqualifikationen nach Ehlich</w:t>
      </w:r>
      <w:r w:rsidRPr="00FB4EFA">
        <w:rPr>
          <w:rFonts w:cs="Times New Roman (Textkörper CS)"/>
          <w:vertAlign w:val="superscript"/>
          <w:lang w:val="de-DE"/>
        </w:rPr>
        <w:footnoteReference w:id="39"/>
      </w:r>
      <w:r w:rsidRPr="00FB4EFA">
        <w:rPr>
          <w:smallCaps/>
          <w:lang w:val="de-DE"/>
        </w:rPr>
        <w:t xml:space="preserve"> </w:t>
      </w:r>
      <w:r w:rsidRPr="00FB4EFA">
        <w:rPr>
          <w:lang w:val="de-DE"/>
        </w:rPr>
        <w:t xml:space="preserve">berücksichtigen. </w:t>
      </w:r>
      <w:r w:rsidRPr="00FB4EFA">
        <w:rPr>
          <w:lang w:val="de-DE"/>
        </w:rPr>
        <w:lastRenderedPageBreak/>
        <w:t xml:space="preserve">Diese Qualifikationen müssen sich Kinder </w:t>
      </w:r>
      <w:r w:rsidR="003B76FA" w:rsidRPr="00FB4EFA">
        <w:rPr>
          <w:lang w:val="de-DE"/>
        </w:rPr>
        <w:t>von</w:t>
      </w:r>
      <w:r w:rsidRPr="00FB4EFA">
        <w:rPr>
          <w:lang w:val="de-DE"/>
        </w:rPr>
        <w:t xml:space="preserve"> 3 </w:t>
      </w:r>
      <w:r w:rsidR="003B76FA" w:rsidRPr="00FB4EFA">
        <w:rPr>
          <w:lang w:val="de-DE"/>
        </w:rPr>
        <w:t>bis</w:t>
      </w:r>
      <w:r w:rsidRPr="00FB4EFA">
        <w:rPr>
          <w:lang w:val="de-DE"/>
        </w:rPr>
        <w:t xml:space="preserve"> 11 Jahren im Laufe ihres Spracherwerbsprozesses überlappend und gefächert aneignen.</w:t>
      </w:r>
      <w:r w:rsidRPr="00FB4EFA">
        <w:rPr>
          <w:vertAlign w:val="superscript"/>
          <w:lang w:val="de-DE"/>
        </w:rPr>
        <w:footnoteReference w:id="40"/>
      </w:r>
    </w:p>
    <w:tbl>
      <w:tblPr>
        <w:tblW w:w="5000" w:type="pct"/>
        <w:jc w:val="center"/>
        <w:tblBorders>
          <w:insideH w:val="single" w:sz="4" w:space="0" w:color="auto"/>
          <w:insideV w:val="single" w:sz="4" w:space="0" w:color="auto"/>
        </w:tblBorders>
        <w:tblLook w:val="04A0" w:firstRow="1" w:lastRow="0" w:firstColumn="1" w:lastColumn="0" w:noHBand="0" w:noVBand="1"/>
      </w:tblPr>
      <w:tblGrid>
        <w:gridCol w:w="3631"/>
        <w:gridCol w:w="3499"/>
      </w:tblGrid>
      <w:tr w:rsidR="00FB4EFA" w:rsidRPr="00FB4EFA" w14:paraId="4251E318" w14:textId="77777777" w:rsidTr="00EC74AD">
        <w:trPr>
          <w:jc w:val="center"/>
        </w:trPr>
        <w:tc>
          <w:tcPr>
            <w:tcW w:w="2546" w:type="pct"/>
            <w:tcBorders>
              <w:top w:val="nil"/>
              <w:bottom w:val="single" w:sz="12" w:space="0" w:color="auto"/>
              <w:right w:val="single" w:sz="12" w:space="0" w:color="auto"/>
            </w:tcBorders>
          </w:tcPr>
          <w:p w14:paraId="49F68496" w14:textId="77777777" w:rsidR="00376306" w:rsidRPr="00FB4EFA" w:rsidRDefault="00376306" w:rsidP="00AF0CAD">
            <w:pPr>
              <w:keepNext/>
              <w:widowControl w:val="0"/>
              <w:rPr>
                <w:rFonts w:cs="Charis SIL"/>
                <w:b/>
                <w:lang w:val="de-DE"/>
              </w:rPr>
            </w:pPr>
            <w:r w:rsidRPr="00FB4EFA">
              <w:rPr>
                <w:rFonts w:cs="Charis SIL"/>
                <w:b/>
                <w:lang w:val="de-DE" w:eastAsia="en-GB"/>
              </w:rPr>
              <w:t>Auswertungskriterium</w:t>
            </w:r>
          </w:p>
        </w:tc>
        <w:tc>
          <w:tcPr>
            <w:tcW w:w="2454" w:type="pct"/>
            <w:tcBorders>
              <w:top w:val="nil"/>
              <w:left w:val="single" w:sz="12" w:space="0" w:color="auto"/>
              <w:bottom w:val="single" w:sz="12" w:space="0" w:color="auto"/>
            </w:tcBorders>
          </w:tcPr>
          <w:p w14:paraId="11494111" w14:textId="77777777" w:rsidR="00376306" w:rsidRPr="00FB4EFA" w:rsidRDefault="00376306" w:rsidP="00AF0CAD">
            <w:pPr>
              <w:keepNext/>
              <w:widowControl w:val="0"/>
              <w:rPr>
                <w:rFonts w:cs="Charis SIL"/>
                <w:b/>
                <w:lang w:val="de-DE"/>
              </w:rPr>
            </w:pPr>
            <w:r w:rsidRPr="00FB4EFA">
              <w:rPr>
                <w:rFonts w:cs="Charis SIL"/>
                <w:b/>
                <w:lang w:val="de-DE" w:eastAsia="en-GB"/>
              </w:rPr>
              <w:t>Basisqualifikation</w:t>
            </w:r>
          </w:p>
        </w:tc>
      </w:tr>
      <w:tr w:rsidR="00FB4EFA" w:rsidRPr="00FB4EFA" w14:paraId="6370F44C" w14:textId="77777777" w:rsidTr="00EC74AD">
        <w:trPr>
          <w:jc w:val="center"/>
        </w:trPr>
        <w:tc>
          <w:tcPr>
            <w:tcW w:w="2546" w:type="pct"/>
            <w:tcBorders>
              <w:top w:val="single" w:sz="12" w:space="0" w:color="auto"/>
              <w:right w:val="single" w:sz="12" w:space="0" w:color="auto"/>
            </w:tcBorders>
          </w:tcPr>
          <w:p w14:paraId="5A81F937" w14:textId="77777777" w:rsidR="00376306" w:rsidRPr="00FB4EFA" w:rsidRDefault="00376306" w:rsidP="00402EF4">
            <w:pPr>
              <w:keepNext/>
              <w:widowControl w:val="0"/>
              <w:tabs>
                <w:tab w:val="left" w:pos="315"/>
              </w:tabs>
              <w:rPr>
                <w:rFonts w:cs="Charis SIL"/>
                <w:lang w:val="de-DE"/>
              </w:rPr>
            </w:pPr>
            <w:r w:rsidRPr="00FB4EFA">
              <w:rPr>
                <w:rFonts w:cs="Charis SIL"/>
                <w:lang w:val="de-DE" w:eastAsia="en-GB"/>
              </w:rPr>
              <w:t>A)</w:t>
            </w:r>
            <w:r w:rsidRPr="00FB4EFA">
              <w:rPr>
                <w:lang w:val="de-DE"/>
              </w:rPr>
              <w:tab/>
            </w:r>
            <w:r w:rsidRPr="00FB4EFA">
              <w:rPr>
                <w:rFonts w:cs="Charis SIL"/>
                <w:lang w:val="de-DE" w:eastAsia="en-GB"/>
              </w:rPr>
              <w:t>Aufgabenbewältigung</w:t>
            </w:r>
          </w:p>
        </w:tc>
        <w:tc>
          <w:tcPr>
            <w:tcW w:w="2454" w:type="pct"/>
            <w:tcBorders>
              <w:top w:val="single" w:sz="12" w:space="0" w:color="auto"/>
              <w:left w:val="single" w:sz="12" w:space="0" w:color="auto"/>
            </w:tcBorders>
          </w:tcPr>
          <w:p w14:paraId="4742A998" w14:textId="77777777" w:rsidR="00376306" w:rsidRPr="00FB4EFA" w:rsidRDefault="00376306" w:rsidP="00402EF4">
            <w:pPr>
              <w:keepNext/>
              <w:widowControl w:val="0"/>
              <w:rPr>
                <w:rFonts w:cs="Charis SIL"/>
                <w:lang w:val="de-DE"/>
              </w:rPr>
            </w:pPr>
            <w:r w:rsidRPr="00FB4EFA">
              <w:rPr>
                <w:rFonts w:cs="Charis SIL"/>
                <w:lang w:val="de-DE" w:eastAsia="en-GB"/>
              </w:rPr>
              <w:t>pragmatische BQ I&amp;II</w:t>
            </w:r>
          </w:p>
        </w:tc>
      </w:tr>
      <w:tr w:rsidR="00FB4EFA" w:rsidRPr="00FB4EFA" w14:paraId="53F7A410" w14:textId="77777777" w:rsidTr="00EC74AD">
        <w:trPr>
          <w:jc w:val="center"/>
        </w:trPr>
        <w:tc>
          <w:tcPr>
            <w:tcW w:w="2546" w:type="pct"/>
            <w:tcBorders>
              <w:right w:val="single" w:sz="12" w:space="0" w:color="auto"/>
            </w:tcBorders>
          </w:tcPr>
          <w:p w14:paraId="7F58FDC5" w14:textId="77777777" w:rsidR="00376306" w:rsidRPr="00FB4EFA" w:rsidRDefault="00376306" w:rsidP="00402EF4">
            <w:pPr>
              <w:keepNext/>
              <w:widowControl w:val="0"/>
              <w:tabs>
                <w:tab w:val="left" w:pos="315"/>
              </w:tabs>
              <w:ind w:left="315" w:hanging="315"/>
              <w:jc w:val="left"/>
              <w:rPr>
                <w:rFonts w:cs="Charis SIL"/>
                <w:lang w:val="de-DE" w:eastAsia="en-GB"/>
              </w:rPr>
            </w:pPr>
            <w:r w:rsidRPr="00FB4EFA">
              <w:rPr>
                <w:rFonts w:cs="Charis SIL"/>
                <w:lang w:val="de-DE" w:eastAsia="en-GB"/>
              </w:rPr>
              <w:t>B)</w:t>
            </w:r>
            <w:r w:rsidRPr="00FB4EFA">
              <w:rPr>
                <w:lang w:val="de-DE"/>
              </w:rPr>
              <w:tab/>
            </w:r>
            <w:r w:rsidRPr="00FB4EFA">
              <w:rPr>
                <w:rFonts w:cs="Charis SIL"/>
                <w:lang w:val="de-DE" w:eastAsia="en-GB"/>
              </w:rPr>
              <w:t>Bewältigung der Gesprächs-</w:t>
            </w:r>
          </w:p>
          <w:p w14:paraId="140C5991" w14:textId="77777777" w:rsidR="00376306" w:rsidRPr="00FB4EFA" w:rsidRDefault="00376306" w:rsidP="00402EF4">
            <w:pPr>
              <w:keepNext/>
              <w:widowControl w:val="0"/>
              <w:tabs>
                <w:tab w:val="left" w:pos="315"/>
              </w:tabs>
              <w:ind w:left="315" w:hanging="315"/>
              <w:jc w:val="left"/>
              <w:rPr>
                <w:rFonts w:cs="Charis SIL"/>
                <w:lang w:val="de-DE"/>
              </w:rPr>
            </w:pPr>
            <w:r w:rsidRPr="00FB4EFA">
              <w:rPr>
                <w:lang w:val="de-DE"/>
              </w:rPr>
              <w:tab/>
            </w:r>
            <w:r w:rsidRPr="00FB4EFA">
              <w:rPr>
                <w:rFonts w:cs="Charis SIL"/>
                <w:lang w:val="de-DE" w:eastAsia="en-GB"/>
              </w:rPr>
              <w:t>situation</w:t>
            </w:r>
          </w:p>
        </w:tc>
        <w:tc>
          <w:tcPr>
            <w:tcW w:w="2454" w:type="pct"/>
            <w:tcBorders>
              <w:left w:val="single" w:sz="12" w:space="0" w:color="auto"/>
            </w:tcBorders>
          </w:tcPr>
          <w:p w14:paraId="38D4D1D7" w14:textId="77777777" w:rsidR="00376306" w:rsidRPr="00FB4EFA" w:rsidRDefault="00376306" w:rsidP="00402EF4">
            <w:pPr>
              <w:keepNext/>
              <w:widowControl w:val="0"/>
              <w:rPr>
                <w:rFonts w:cs="Charis SIL"/>
                <w:lang w:val="de-DE"/>
              </w:rPr>
            </w:pPr>
            <w:r w:rsidRPr="00FB4EFA">
              <w:rPr>
                <w:rFonts w:cs="Charis SIL"/>
                <w:lang w:val="de-DE" w:eastAsia="en-GB"/>
              </w:rPr>
              <w:t>phonetische, semantische,</w:t>
            </w:r>
          </w:p>
          <w:p w14:paraId="5782E77E" w14:textId="77777777" w:rsidR="00376306" w:rsidRPr="00FB4EFA" w:rsidRDefault="00376306" w:rsidP="00402EF4">
            <w:pPr>
              <w:keepNext/>
              <w:widowControl w:val="0"/>
              <w:rPr>
                <w:rFonts w:cs="Charis SIL"/>
                <w:lang w:val="de-DE"/>
              </w:rPr>
            </w:pPr>
            <w:r w:rsidRPr="00FB4EFA">
              <w:rPr>
                <w:rFonts w:cs="Charis SIL"/>
                <w:lang w:val="de-DE" w:eastAsia="en-GB"/>
              </w:rPr>
              <w:t>diskursive literarische BQ I</w:t>
            </w:r>
          </w:p>
        </w:tc>
      </w:tr>
      <w:tr w:rsidR="00FB4EFA" w:rsidRPr="00FB4EFA" w14:paraId="4A4FE554" w14:textId="77777777" w:rsidTr="00EC74AD">
        <w:trPr>
          <w:jc w:val="center"/>
        </w:trPr>
        <w:tc>
          <w:tcPr>
            <w:tcW w:w="2546" w:type="pct"/>
            <w:tcBorders>
              <w:right w:val="single" w:sz="12" w:space="0" w:color="auto"/>
            </w:tcBorders>
          </w:tcPr>
          <w:p w14:paraId="5E5DEB1A" w14:textId="77777777" w:rsidR="00376306" w:rsidRPr="00FB4EFA" w:rsidRDefault="00376306" w:rsidP="00402EF4">
            <w:pPr>
              <w:keepNext/>
              <w:widowControl w:val="0"/>
              <w:tabs>
                <w:tab w:val="left" w:pos="315"/>
              </w:tabs>
              <w:rPr>
                <w:rFonts w:cs="Charis SIL"/>
                <w:lang w:val="de-DE"/>
              </w:rPr>
            </w:pPr>
            <w:r w:rsidRPr="00FB4EFA">
              <w:rPr>
                <w:rFonts w:cs="Charis SIL"/>
                <w:lang w:val="de-DE" w:eastAsia="en-GB"/>
              </w:rPr>
              <w:t>C)</w:t>
            </w:r>
            <w:r w:rsidRPr="00FB4EFA">
              <w:rPr>
                <w:lang w:val="de-DE"/>
              </w:rPr>
              <w:tab/>
            </w:r>
            <w:r w:rsidRPr="00FB4EFA">
              <w:rPr>
                <w:rFonts w:cs="Charis SIL"/>
                <w:lang w:val="de-DE" w:eastAsia="en-GB"/>
              </w:rPr>
              <w:t>Verbaler Wortschatz</w:t>
            </w:r>
          </w:p>
        </w:tc>
        <w:tc>
          <w:tcPr>
            <w:tcW w:w="2454" w:type="pct"/>
            <w:tcBorders>
              <w:left w:val="single" w:sz="12" w:space="0" w:color="auto"/>
            </w:tcBorders>
          </w:tcPr>
          <w:p w14:paraId="541136DC" w14:textId="77777777" w:rsidR="00376306" w:rsidRPr="00FB4EFA" w:rsidRDefault="00376306" w:rsidP="00402EF4">
            <w:pPr>
              <w:keepNext/>
              <w:widowControl w:val="0"/>
              <w:rPr>
                <w:rFonts w:cs="Charis SIL"/>
                <w:lang w:val="de-DE"/>
              </w:rPr>
            </w:pPr>
            <w:r w:rsidRPr="00FB4EFA">
              <w:rPr>
                <w:rFonts w:cs="Charis SIL"/>
                <w:lang w:val="de-DE" w:eastAsia="en-GB"/>
              </w:rPr>
              <w:t>pragmatische BQ I&amp;II,</w:t>
            </w:r>
          </w:p>
          <w:p w14:paraId="33727DC6" w14:textId="77777777" w:rsidR="00376306" w:rsidRPr="00FB4EFA" w:rsidRDefault="00376306" w:rsidP="00402EF4">
            <w:pPr>
              <w:keepNext/>
              <w:widowControl w:val="0"/>
              <w:rPr>
                <w:rFonts w:cs="Charis SIL"/>
                <w:lang w:val="de-DE"/>
              </w:rPr>
            </w:pPr>
            <w:r w:rsidRPr="00FB4EFA">
              <w:rPr>
                <w:rFonts w:cs="Charis SIL"/>
                <w:lang w:val="de-DE" w:eastAsia="en-GB"/>
              </w:rPr>
              <w:t>semantische, literarische BQ I</w:t>
            </w:r>
          </w:p>
        </w:tc>
      </w:tr>
      <w:tr w:rsidR="00FB4EFA" w:rsidRPr="00FB4EFA" w14:paraId="64A05FE8" w14:textId="77777777" w:rsidTr="00EC74AD">
        <w:trPr>
          <w:jc w:val="center"/>
        </w:trPr>
        <w:tc>
          <w:tcPr>
            <w:tcW w:w="2546" w:type="pct"/>
            <w:tcBorders>
              <w:right w:val="single" w:sz="12" w:space="0" w:color="auto"/>
            </w:tcBorders>
          </w:tcPr>
          <w:p w14:paraId="761D9D88" w14:textId="77777777" w:rsidR="00376306" w:rsidRPr="00FB4EFA" w:rsidRDefault="00376306" w:rsidP="00402EF4">
            <w:pPr>
              <w:keepNext/>
              <w:widowControl w:val="0"/>
              <w:tabs>
                <w:tab w:val="left" w:pos="315"/>
              </w:tabs>
              <w:rPr>
                <w:rFonts w:cs="Charis SIL"/>
                <w:lang w:val="de-DE"/>
              </w:rPr>
            </w:pPr>
            <w:r w:rsidRPr="00FB4EFA">
              <w:rPr>
                <w:rFonts w:cs="Charis SIL"/>
                <w:lang w:val="de-DE" w:eastAsia="en-GB"/>
              </w:rPr>
              <w:t>D)</w:t>
            </w:r>
            <w:r w:rsidRPr="00FB4EFA">
              <w:rPr>
                <w:lang w:val="de-DE"/>
              </w:rPr>
              <w:tab/>
            </w:r>
            <w:r w:rsidRPr="00FB4EFA">
              <w:rPr>
                <w:rFonts w:cs="Charis SIL"/>
                <w:lang w:val="de-DE" w:eastAsia="en-GB"/>
              </w:rPr>
              <w:t>Formen und Stellung des Verbs</w:t>
            </w:r>
          </w:p>
        </w:tc>
        <w:tc>
          <w:tcPr>
            <w:tcW w:w="2454" w:type="pct"/>
            <w:tcBorders>
              <w:left w:val="single" w:sz="12" w:space="0" w:color="auto"/>
            </w:tcBorders>
          </w:tcPr>
          <w:p w14:paraId="69315853" w14:textId="77777777" w:rsidR="00376306" w:rsidRPr="00FB4EFA" w:rsidRDefault="00376306" w:rsidP="00402EF4">
            <w:pPr>
              <w:keepNext/>
              <w:widowControl w:val="0"/>
              <w:rPr>
                <w:rFonts w:cs="Charis SIL"/>
                <w:lang w:val="de-DE"/>
              </w:rPr>
            </w:pPr>
            <w:r w:rsidRPr="00FB4EFA">
              <w:rPr>
                <w:rFonts w:cs="Charis SIL"/>
                <w:lang w:val="de-DE" w:eastAsia="en-GB"/>
              </w:rPr>
              <w:t>pragmatische BQ I&amp;II,</w:t>
            </w:r>
          </w:p>
          <w:p w14:paraId="251653FA" w14:textId="77777777" w:rsidR="00376306" w:rsidRPr="00FB4EFA" w:rsidRDefault="00376306" w:rsidP="00402EF4">
            <w:pPr>
              <w:keepNext/>
              <w:widowControl w:val="0"/>
              <w:rPr>
                <w:rFonts w:cs="Charis SIL"/>
                <w:lang w:val="de-DE"/>
              </w:rPr>
            </w:pPr>
            <w:r w:rsidRPr="00FB4EFA">
              <w:rPr>
                <w:rFonts w:cs="Charis SIL"/>
                <w:lang w:val="de-DE" w:eastAsia="en-GB"/>
              </w:rPr>
              <w:t>morphologisch-syntaktische, diskursive BQ</w:t>
            </w:r>
          </w:p>
        </w:tc>
      </w:tr>
      <w:tr w:rsidR="00FB4EFA" w:rsidRPr="00FB4EFA" w14:paraId="43F04EB3" w14:textId="77777777" w:rsidTr="00EC74AD">
        <w:trPr>
          <w:jc w:val="center"/>
        </w:trPr>
        <w:tc>
          <w:tcPr>
            <w:tcW w:w="2546" w:type="pct"/>
            <w:tcBorders>
              <w:right w:val="single" w:sz="12" w:space="0" w:color="auto"/>
            </w:tcBorders>
          </w:tcPr>
          <w:p w14:paraId="778C290F" w14:textId="77777777" w:rsidR="00376306" w:rsidRPr="00FB4EFA" w:rsidRDefault="00376306" w:rsidP="00402EF4">
            <w:pPr>
              <w:keepNext/>
              <w:widowControl w:val="0"/>
              <w:tabs>
                <w:tab w:val="left" w:pos="315"/>
              </w:tabs>
              <w:rPr>
                <w:rFonts w:cs="Charis SIL"/>
                <w:lang w:val="de-DE"/>
              </w:rPr>
            </w:pPr>
            <w:r w:rsidRPr="00FB4EFA">
              <w:rPr>
                <w:rFonts w:cs="Charis SIL"/>
                <w:lang w:val="de-DE" w:eastAsia="en-GB"/>
              </w:rPr>
              <w:t>E)</w:t>
            </w:r>
            <w:r w:rsidRPr="00FB4EFA">
              <w:rPr>
                <w:lang w:val="de-DE"/>
              </w:rPr>
              <w:tab/>
            </w:r>
            <w:r w:rsidRPr="00FB4EFA">
              <w:rPr>
                <w:rFonts w:cs="Charis SIL"/>
                <w:lang w:val="de-DE" w:eastAsia="en-GB"/>
              </w:rPr>
              <w:t>Verbindung von Sätzen</w:t>
            </w:r>
          </w:p>
        </w:tc>
        <w:tc>
          <w:tcPr>
            <w:tcW w:w="2454" w:type="pct"/>
            <w:tcBorders>
              <w:left w:val="single" w:sz="12" w:space="0" w:color="auto"/>
              <w:bottom w:val="nil"/>
            </w:tcBorders>
          </w:tcPr>
          <w:p w14:paraId="57102639" w14:textId="77777777" w:rsidR="00376306" w:rsidRPr="00FB4EFA" w:rsidRDefault="00376306" w:rsidP="00402EF4">
            <w:pPr>
              <w:keepNext/>
              <w:widowControl w:val="0"/>
              <w:rPr>
                <w:rFonts w:cs="Charis SIL"/>
                <w:lang w:val="de-DE"/>
              </w:rPr>
            </w:pPr>
            <w:r w:rsidRPr="00FB4EFA">
              <w:rPr>
                <w:rFonts w:cs="Charis SIL"/>
                <w:lang w:val="de-DE" w:eastAsia="en-GB"/>
              </w:rPr>
              <w:t>morphologisch-syntaktische,</w:t>
            </w:r>
          </w:p>
          <w:p w14:paraId="219749A0" w14:textId="77777777" w:rsidR="00376306" w:rsidRPr="00FB4EFA" w:rsidRDefault="00376306" w:rsidP="00402EF4">
            <w:pPr>
              <w:keepNext/>
              <w:widowControl w:val="0"/>
              <w:rPr>
                <w:rFonts w:cs="Charis SIL"/>
                <w:lang w:val="de-DE"/>
              </w:rPr>
            </w:pPr>
            <w:r w:rsidRPr="00FB4EFA">
              <w:rPr>
                <w:rFonts w:cs="Charis SIL"/>
                <w:lang w:val="de-DE" w:eastAsia="en-GB"/>
              </w:rPr>
              <w:t>diskursive BQ</w:t>
            </w:r>
          </w:p>
        </w:tc>
      </w:tr>
    </w:tbl>
    <w:p w14:paraId="7507FF1E" w14:textId="77777777" w:rsidR="00376306" w:rsidRPr="00FB4EFA" w:rsidRDefault="00376306" w:rsidP="00AC1192">
      <w:pPr>
        <w:suppressAutoHyphens/>
        <w:spacing w:before="120" w:after="240"/>
        <w:jc w:val="center"/>
        <w:rPr>
          <w:b/>
          <w:sz w:val="18"/>
          <w:szCs w:val="18"/>
          <w:lang w:val="de-DE"/>
        </w:rPr>
      </w:pPr>
      <w:r w:rsidRPr="00FB4EFA">
        <w:rPr>
          <w:b/>
          <w:sz w:val="18"/>
          <w:szCs w:val="18"/>
          <w:lang w:val="de-DE"/>
        </w:rPr>
        <w:t>Tabelle 1</w:t>
      </w:r>
      <w:r w:rsidRPr="00FB4EFA">
        <w:rPr>
          <w:bCs/>
          <w:sz w:val="18"/>
          <w:szCs w:val="18"/>
          <w:lang w:val="de-DE"/>
        </w:rPr>
        <w:t>: Auswertungskriterien und Basisqualifikationen</w:t>
      </w:r>
    </w:p>
    <w:p w14:paraId="4ED316C9" w14:textId="5B84A540" w:rsidR="00376306" w:rsidRPr="00FB4EFA" w:rsidRDefault="00376306" w:rsidP="00402EF4">
      <w:r w:rsidRPr="00FB4EFA">
        <w:rPr>
          <w:lang w:val="de-DE"/>
        </w:rPr>
        <w:t xml:space="preserve">Die ersten drei Auswertungskriterien </w:t>
      </w:r>
      <w:r w:rsidR="0099245C" w:rsidRPr="00FB4EFA">
        <w:rPr>
          <w:lang w:val="de-DE"/>
        </w:rPr>
        <w:t>wurden</w:t>
      </w:r>
      <w:r w:rsidRPr="00FB4EFA">
        <w:rPr>
          <w:lang w:val="de-DE"/>
        </w:rPr>
        <w:t xml:space="preserve"> bereits für das Ungarische adaptiert. Damit konnten </w:t>
      </w:r>
      <w:r w:rsidR="0099245C" w:rsidRPr="00FB4EFA">
        <w:rPr>
          <w:lang w:val="de-DE"/>
        </w:rPr>
        <w:t xml:space="preserve">sowohl </w:t>
      </w:r>
      <w:r w:rsidRPr="00FB4EFA">
        <w:rPr>
          <w:lang w:val="de-DE"/>
        </w:rPr>
        <w:t>die Interviews</w:t>
      </w:r>
      <w:r w:rsidR="0099245C" w:rsidRPr="00FB4EFA">
        <w:rPr>
          <w:lang w:val="de-DE"/>
        </w:rPr>
        <w:t xml:space="preserve"> in deutscher Sprache als auch die Interviews in ungarischer Sprache</w:t>
      </w:r>
      <w:r w:rsidRPr="00FB4EFA">
        <w:rPr>
          <w:lang w:val="de-DE"/>
        </w:rPr>
        <w:t xml:space="preserve"> individuell ausgewertet </w:t>
      </w:r>
      <w:r w:rsidR="0099245C" w:rsidRPr="00FB4EFA">
        <w:rPr>
          <w:lang w:val="de-DE"/>
        </w:rPr>
        <w:br/>
      </w:r>
      <w:r w:rsidRPr="00FB4EFA">
        <w:rPr>
          <w:lang w:val="de-DE"/>
        </w:rPr>
        <w:t>werden.</w:t>
      </w:r>
    </w:p>
    <w:p w14:paraId="131E04A6" w14:textId="77777777" w:rsidR="00376306" w:rsidRPr="00FB4EFA" w:rsidRDefault="00376306" w:rsidP="00AF0CAD">
      <w:pPr>
        <w:pStyle w:val="Heading3"/>
        <w:spacing w:line="259" w:lineRule="auto"/>
      </w:pPr>
      <w:bookmarkStart w:id="30" w:name="_Toc96588825"/>
      <w:r w:rsidRPr="00FB4EFA">
        <w:rPr>
          <w:lang w:val="de-DE" w:bidi="hi-IN"/>
        </w:rPr>
        <w:t>A) Aufgabenbewältigung</w:t>
      </w:r>
      <w:bookmarkEnd w:id="30"/>
    </w:p>
    <w:p w14:paraId="01A50FCD" w14:textId="356BC677" w:rsidR="00376306" w:rsidRPr="00FB4EFA" w:rsidRDefault="00376306" w:rsidP="00402EF4">
      <w:r w:rsidRPr="00FB4EFA">
        <w:rPr>
          <w:rFonts w:cs="Arial"/>
          <w:lang w:val="de-DE" w:eastAsia="de-DE"/>
        </w:rPr>
        <w:t>Mithilfe von abgebildeten Vorgängen, Situationen und Impulsen konnte ermittelt werden, inwieweit die Aufgabe der sprachlichen Darstellung umgesetzt werden konnte. Die über diese mündlichen Schilderungsfähigkeiten gewonnenen Informationen der Kinder konnten in beiden Sprachen direkt miteinander verglichen werden, da die sprachpragmatischen und diskursiven Fähigkeiten nicht an Einzelsprachen gebunden sind.</w:t>
      </w:r>
    </w:p>
    <w:p w14:paraId="345BE77E" w14:textId="77777777" w:rsidR="00376306" w:rsidRPr="00FB4EFA" w:rsidRDefault="00376306" w:rsidP="00AF0CAD">
      <w:pPr>
        <w:pStyle w:val="Heading3"/>
        <w:spacing w:line="259" w:lineRule="auto"/>
      </w:pPr>
      <w:bookmarkStart w:id="31" w:name="_Toc96588826"/>
      <w:r w:rsidRPr="00FB4EFA">
        <w:rPr>
          <w:lang w:val="de-DE" w:bidi="hi-IN"/>
        </w:rPr>
        <w:t>B) Bewältigung der Gesprächssituation</w:t>
      </w:r>
      <w:bookmarkEnd w:id="31"/>
    </w:p>
    <w:p w14:paraId="44CC9335" w14:textId="5455A0A9" w:rsidR="00376306" w:rsidRPr="00FB4EFA" w:rsidRDefault="00376306" w:rsidP="00402EF4">
      <w:r w:rsidRPr="00FB4EFA">
        <w:rPr>
          <w:rFonts w:cs="Arial"/>
          <w:lang w:val="de-DE" w:eastAsia="de-DE"/>
        </w:rPr>
        <w:t>Dieser Punkt ging auf die sprachliche Handlungsfähigkeit der Kinder ein, die hier in Bezug auf die Initiative während des Gesprächs, die Kontinuität de</w:t>
      </w:r>
      <w:r w:rsidR="0099245C" w:rsidRPr="00FB4EFA">
        <w:rPr>
          <w:rFonts w:cs="Arial"/>
          <w:lang w:val="de-DE" w:eastAsia="de-DE"/>
        </w:rPr>
        <w:t>r</w:t>
      </w:r>
      <w:r w:rsidRPr="00FB4EFA">
        <w:rPr>
          <w:rFonts w:cs="Arial"/>
          <w:lang w:val="de-DE" w:eastAsia="de-DE"/>
        </w:rPr>
        <w:t xml:space="preserve"> Sprecher</w:t>
      </w:r>
      <w:r w:rsidR="0099245C" w:rsidRPr="00FB4EFA">
        <w:rPr>
          <w:rFonts w:cs="Arial"/>
          <w:lang w:val="de-DE" w:eastAsia="de-DE"/>
        </w:rPr>
        <w:t>*innen</w:t>
      </w:r>
      <w:r w:rsidRPr="00FB4EFA">
        <w:rPr>
          <w:rFonts w:cs="Arial"/>
          <w:lang w:val="de-DE" w:eastAsia="de-DE"/>
        </w:rPr>
        <w:t xml:space="preserve">, die Flüssigkeit des Sprechens und die Deutlichkeit der Aussprache sowie die Anwendung von Strategien bei fehlenden </w:t>
      </w:r>
      <w:r w:rsidRPr="00FB4EFA">
        <w:rPr>
          <w:rFonts w:cs="Arial"/>
          <w:lang w:val="de-DE" w:eastAsia="de-DE"/>
        </w:rPr>
        <w:lastRenderedPageBreak/>
        <w:t xml:space="preserve">Ausdrücken beobachtet wird. </w:t>
      </w:r>
      <w:r w:rsidR="0099245C" w:rsidRPr="00FB4EFA">
        <w:rPr>
          <w:rFonts w:cs="Arial"/>
          <w:lang w:val="de-DE" w:eastAsia="de-DE"/>
        </w:rPr>
        <w:t>Die im Projekt gemachten Erfahrungen ermöglichten es, weitere Subkriterien hinzuzufügen.</w:t>
      </w:r>
    </w:p>
    <w:p w14:paraId="773833B3" w14:textId="77777777" w:rsidR="00376306" w:rsidRPr="00FB4EFA" w:rsidRDefault="00376306" w:rsidP="00AF0CAD">
      <w:pPr>
        <w:pStyle w:val="Heading3"/>
        <w:spacing w:line="259" w:lineRule="auto"/>
      </w:pPr>
      <w:bookmarkStart w:id="32" w:name="_Toc96588827"/>
      <w:r w:rsidRPr="00FB4EFA">
        <w:rPr>
          <w:lang w:val="de-DE" w:bidi="hi-IN"/>
        </w:rPr>
        <w:t>C) Verbaler Wortschatz</w:t>
      </w:r>
      <w:bookmarkEnd w:id="32"/>
    </w:p>
    <w:p w14:paraId="422461A6" w14:textId="25D7062E" w:rsidR="00376306" w:rsidRPr="00FB4EFA" w:rsidRDefault="00376306" w:rsidP="00402EF4">
      <w:r w:rsidRPr="00FB4EFA">
        <w:rPr>
          <w:rFonts w:cs="Arial"/>
          <w:lang w:val="de-DE" w:eastAsia="de-DE"/>
        </w:rPr>
        <w:t xml:space="preserve">Der Umfang und die Differenziertheit des Wortschatzes eines Kindes ist ein wichtiger Indikator für seinen Entwicklungsstand, </w:t>
      </w:r>
      <w:r w:rsidR="00653A96" w:rsidRPr="00FB4EFA">
        <w:rPr>
          <w:rFonts w:cs="Arial"/>
          <w:lang w:val="de-DE" w:eastAsia="de-DE"/>
        </w:rPr>
        <w:t xml:space="preserve">wobei </w:t>
      </w:r>
      <w:r w:rsidRPr="00FB4EFA">
        <w:rPr>
          <w:rFonts w:cs="Arial"/>
          <w:lang w:val="de-DE" w:eastAsia="de-DE"/>
        </w:rPr>
        <w:t>der Bereich der Verben als besonders aussagekräftig</w:t>
      </w:r>
      <w:r w:rsidR="00653A96" w:rsidRPr="00FB4EFA">
        <w:rPr>
          <w:rFonts w:cs="Arial"/>
          <w:lang w:val="de-DE" w:eastAsia="de-DE"/>
        </w:rPr>
        <w:t xml:space="preserve"> gilt</w:t>
      </w:r>
      <w:r w:rsidRPr="00FB4EFA">
        <w:rPr>
          <w:rFonts w:cs="Arial"/>
          <w:lang w:val="de-DE" w:eastAsia="de-DE"/>
        </w:rPr>
        <w:t xml:space="preserve">. Das Vorkommen der einfachen Verben, Modalverben, reflexiven Verben sowie der komplexen Verben wird in der deutschen Diagnostik erhoben. Da in diesem Punkt kein einfacher Transfer zwischen den beiden Sprachen stattfindet, wurden hier die Verbkategorien an die in der ungarischen Sprache vorkommenden adaptiert. Die ungarischen Verben werden gesondert als einfache Verben, Modal- </w:t>
      </w:r>
      <w:r w:rsidR="00653A96" w:rsidRPr="00FB4EFA">
        <w:rPr>
          <w:rFonts w:cs="Arial"/>
          <w:lang w:val="de-DE" w:eastAsia="de-DE"/>
        </w:rPr>
        <w:t>und</w:t>
      </w:r>
      <w:r w:rsidRPr="00FB4EFA">
        <w:rPr>
          <w:rFonts w:cs="Arial"/>
          <w:lang w:val="de-DE" w:eastAsia="de-DE"/>
        </w:rPr>
        <w:t xml:space="preserve"> Kopulaverben und Präfixverben gesammelt.</w:t>
      </w:r>
    </w:p>
    <w:p w14:paraId="08C2EE75" w14:textId="77777777" w:rsidR="00376306" w:rsidRPr="00FB4EFA" w:rsidRDefault="00376306" w:rsidP="00AF0CAD">
      <w:pPr>
        <w:pStyle w:val="Heading3"/>
        <w:spacing w:line="259" w:lineRule="auto"/>
      </w:pPr>
      <w:r w:rsidRPr="00FB4EFA">
        <w:rPr>
          <w:lang w:val="de-DE" w:bidi="hi-IN"/>
        </w:rPr>
        <w:t>D) Formen und Stellung des Verbs &amp; E) Verbindung von Sätzen</w:t>
      </w:r>
    </w:p>
    <w:p w14:paraId="3942A71E" w14:textId="1C173841" w:rsidR="00376306" w:rsidRPr="00FB4EFA" w:rsidRDefault="00376306" w:rsidP="00402EF4">
      <w:r w:rsidRPr="00FB4EFA">
        <w:rPr>
          <w:lang w:val="de-DE"/>
        </w:rPr>
        <w:t xml:space="preserve">Die Kriterien D </w:t>
      </w:r>
      <w:r w:rsidR="00653A96" w:rsidRPr="00FB4EFA">
        <w:rPr>
          <w:lang w:val="de-DE"/>
        </w:rPr>
        <w:t>und</w:t>
      </w:r>
      <w:r w:rsidRPr="00FB4EFA">
        <w:rPr>
          <w:lang w:val="de-DE"/>
        </w:rPr>
        <w:t xml:space="preserve"> E, das heißt die sprachsystemgebundenen Analysen, stellen vermutlich die größten Herausforderungen dieses Projektes dar. Diese sind bereits in Erarbeitung und werden in der ungarischen Adaptation wahrscheinlich um einige Kriterien, unter anderem durch die Analyse der ungarischen Spracherwerbsprozessforschung sowie durch die Erkenntnisse der geführten Interviews der Kinder, ergänzt bzw. </w:t>
      </w:r>
      <w:r w:rsidR="00653A96" w:rsidRPr="00FB4EFA">
        <w:rPr>
          <w:lang w:val="de-DE"/>
        </w:rPr>
        <w:br/>
      </w:r>
      <w:r w:rsidRPr="00FB4EFA">
        <w:rPr>
          <w:lang w:val="de-DE"/>
        </w:rPr>
        <w:t>modifiziert.</w:t>
      </w:r>
      <w:bookmarkStart w:id="33" w:name="_Toc96588828"/>
      <w:bookmarkEnd w:id="33"/>
    </w:p>
    <w:p w14:paraId="4D11EE9B" w14:textId="77777777" w:rsidR="00376306" w:rsidRPr="00FB4EFA" w:rsidRDefault="00376306" w:rsidP="00545033">
      <w:pPr>
        <w:pStyle w:val="Heading2"/>
        <w:suppressAutoHyphens/>
        <w:spacing w:line="259" w:lineRule="auto"/>
        <w:rPr>
          <w:color w:val="auto"/>
        </w:rPr>
      </w:pPr>
      <w:r w:rsidRPr="00FB4EFA">
        <w:rPr>
          <w:color w:val="auto"/>
          <w:lang w:val="de-DE" w:bidi="hi-IN"/>
        </w:rPr>
        <w:t>Weitere Forschungsaufgaben</w:t>
      </w:r>
    </w:p>
    <w:p w14:paraId="3346C891" w14:textId="3C43CF9F" w:rsidR="000121EA" w:rsidRPr="00FB4EFA" w:rsidRDefault="00376306" w:rsidP="00402EF4">
      <w:pPr>
        <w:rPr>
          <w:rFonts w:cstheme="minorHAnsi"/>
          <w:lang w:val="de-DE"/>
        </w:rPr>
      </w:pPr>
      <w:r w:rsidRPr="00FB4EFA">
        <w:rPr>
          <w:lang w:val="de-DE"/>
        </w:rPr>
        <w:t xml:space="preserve">In diesem Beitrag wurde der erste Teilbericht über die erste Schulklasse mit ungarisch-deutschen Unterrichtssprachen der Bunten Schule in Wien vorgestellt. </w:t>
      </w:r>
      <w:r w:rsidRPr="00FB4EFA">
        <w:rPr>
          <w:rFonts w:cstheme="minorHAnsi"/>
          <w:lang w:val="de-DE"/>
        </w:rPr>
        <w:t>Die ersten Interviews mit den Kindern wurden auf Ungarisch</w:t>
      </w:r>
      <w:r w:rsidR="00653A96" w:rsidRPr="00FB4EFA">
        <w:rPr>
          <w:rFonts w:cstheme="minorHAnsi"/>
          <w:lang w:val="de-DE"/>
        </w:rPr>
        <w:t xml:space="preserve"> bzw. </w:t>
      </w:r>
      <w:r w:rsidRPr="00FB4EFA">
        <w:rPr>
          <w:rFonts w:cstheme="minorHAnsi"/>
          <w:lang w:val="de-DE"/>
        </w:rPr>
        <w:t xml:space="preserve">Deutsch durchgeführt und transkribiert. Die Adaptation der sprachlichen Auswertungskategorien für das Ungarische läuft gerade. Mit deren Abschluss ist eine wichtige Vorbereitungsphase des Projektes erfüllt. </w:t>
      </w:r>
      <w:r w:rsidRPr="00FB4EFA">
        <w:rPr>
          <w:rFonts w:cs="Arial"/>
          <w:lang w:val="de-DE" w:eastAsia="de-DE"/>
        </w:rPr>
        <w:t xml:space="preserve">Ein weiterer Interviewdurchgang wird Ende des Schuljahres 2021/2022 durchgeführt. </w:t>
      </w:r>
      <w:r w:rsidRPr="00FB4EFA">
        <w:rPr>
          <w:rFonts w:cstheme="minorHAnsi"/>
          <w:lang w:val="de-DE"/>
        </w:rPr>
        <w:t xml:space="preserve">Die wichtigste und arbeitsaufwendigste Projektphase ist bis zum </w:t>
      </w:r>
      <w:r w:rsidRPr="00FB4EFA">
        <w:t>Ende</w:t>
      </w:r>
      <w:r w:rsidRPr="00FB4EFA">
        <w:rPr>
          <w:rFonts w:cstheme="minorHAnsi"/>
          <w:lang w:val="de-DE"/>
        </w:rPr>
        <w:t xml:space="preserve"> der Projektlaufzeit (September 2022) zu erfüllen: die individuelle Diagnostik sowie der Vergleich der zweisprachigen Interviews.</w:t>
      </w:r>
    </w:p>
    <w:p w14:paraId="272E601A" w14:textId="4B3B0BF6" w:rsidR="00376306" w:rsidRPr="00FB4EFA" w:rsidRDefault="00376306" w:rsidP="00402EF4">
      <w:pPr>
        <w:ind w:firstLine="709"/>
      </w:pPr>
      <w:r w:rsidRPr="00FB4EFA">
        <w:rPr>
          <w:rFonts w:cstheme="minorHAnsi"/>
          <w:lang w:val="de-DE"/>
        </w:rPr>
        <w:t xml:space="preserve">Aufgrund der Auswertung und des Vergleichs der Sprachmaterialien hoffen wir, dem Projektziel entsprechend, ein genaueres Bild der </w:t>
      </w:r>
      <w:r w:rsidRPr="00FB4EFA">
        <w:rPr>
          <w:rFonts w:cstheme="minorHAnsi"/>
          <w:lang w:val="de-DE"/>
        </w:rPr>
        <w:lastRenderedPageBreak/>
        <w:t>sprachlichen Entwicklung der Kinder unserer speziellen Zielgruppe zeichnen zu können.</w:t>
      </w:r>
    </w:p>
    <w:p w14:paraId="39299D1D" w14:textId="77777777" w:rsidR="00376306" w:rsidRPr="00FB4EFA" w:rsidRDefault="00376306" w:rsidP="00402EF4">
      <w:pPr>
        <w:ind w:firstLine="708"/>
      </w:pPr>
      <w:r w:rsidRPr="00FB4EFA">
        <w:rPr>
          <w:rFonts w:cstheme="minorHAnsi"/>
          <w:lang w:val="de-DE"/>
        </w:rPr>
        <w:t>Die Forschungsergebnisse werden laufend publiziert.</w:t>
      </w:r>
    </w:p>
    <w:p w14:paraId="0C7D28F2" w14:textId="77777777" w:rsidR="00376306" w:rsidRPr="00FB4EFA" w:rsidRDefault="00376306" w:rsidP="00545033">
      <w:pPr>
        <w:pStyle w:val="Heading2"/>
        <w:suppressAutoHyphens/>
        <w:spacing w:line="259" w:lineRule="auto"/>
        <w:rPr>
          <w:color w:val="auto"/>
        </w:rPr>
      </w:pPr>
      <w:r w:rsidRPr="00FB4EFA">
        <w:rPr>
          <w:color w:val="auto"/>
          <w:lang w:val="de-DE" w:bidi="hi-IN"/>
        </w:rPr>
        <w:t>Danksagung</w:t>
      </w:r>
    </w:p>
    <w:p w14:paraId="3898835D" w14:textId="729A9DDE" w:rsidR="00376306" w:rsidRPr="00FB4EFA" w:rsidRDefault="00376306" w:rsidP="00402EF4">
      <w:r w:rsidRPr="00FB4EFA">
        <w:rPr>
          <w:lang w:val="de-DE" w:eastAsia="de-DE"/>
        </w:rPr>
        <w:t xml:space="preserve">An dieser Stelle möchten wir uns bei der Direktorin und den </w:t>
      </w:r>
      <w:r w:rsidR="009963FB" w:rsidRPr="00FB4EFA">
        <w:rPr>
          <w:lang w:val="de-DE" w:eastAsia="de-DE"/>
        </w:rPr>
        <w:br/>
      </w:r>
      <w:r w:rsidRPr="00FB4EFA">
        <w:rPr>
          <w:lang w:val="de-DE" w:eastAsia="de-DE"/>
        </w:rPr>
        <w:t>Lehrer*innen der Bunten Schule bedanken, die unser Projekt von Beginn an freundlich unterstützt haben.</w:t>
      </w:r>
    </w:p>
    <w:p w14:paraId="4DF44A25" w14:textId="77777777" w:rsidR="00376306" w:rsidRPr="00FB4EFA" w:rsidRDefault="00376306" w:rsidP="00402EF4">
      <w:pPr>
        <w:spacing w:after="160"/>
        <w:ind w:firstLine="709"/>
      </w:pPr>
      <w:r w:rsidRPr="00FB4EFA">
        <w:rPr>
          <w:lang w:val="de-DE" w:eastAsia="de-DE" w:bidi="hi-IN"/>
        </w:rPr>
        <w:t>Außerdem danken wir allen Eltern, die durch ihr Einverständnis unsere Untersuchungen erst ermöglicht haben.</w:t>
      </w:r>
    </w:p>
    <w:p w14:paraId="21116A76" w14:textId="77777777" w:rsidR="00A72143" w:rsidRPr="00FB4EFA" w:rsidRDefault="00A72143" w:rsidP="00402EF4">
      <w:pPr>
        <w:spacing w:after="160"/>
        <w:jc w:val="center"/>
        <w:rPr>
          <w:shd w:val="clear" w:color="auto" w:fill="FFFFFF"/>
          <w:lang w:val="de-DE" w:eastAsia="de-DE" w:bidi="hi-IN"/>
        </w:rPr>
      </w:pPr>
    </w:p>
    <w:p w14:paraId="66DB3C70" w14:textId="02340787" w:rsidR="00A72143" w:rsidRPr="00FB4EFA" w:rsidRDefault="00A72143" w:rsidP="00402EF4">
      <w:pPr>
        <w:spacing w:after="160"/>
        <w:jc w:val="center"/>
        <w:rPr>
          <w:smallCaps/>
          <w:sz w:val="48"/>
          <w:szCs w:val="48"/>
        </w:rPr>
        <w:sectPr w:rsidR="00A72143" w:rsidRPr="00FB4EFA">
          <w:headerReference w:type="even" r:id="rId233"/>
          <w:headerReference w:type="default" r:id="rId234"/>
          <w:headerReference w:type="first" r:id="rId235"/>
          <w:footnotePr>
            <w:numRestart w:val="eachSect"/>
          </w:footnotePr>
          <w:pgSz w:w="9180" w:h="13302"/>
          <w:pgMar w:top="779" w:right="1133" w:bottom="1132" w:left="1133" w:header="744" w:footer="720" w:gutter="0"/>
          <w:cols w:space="720"/>
          <w:titlePg/>
        </w:sectPr>
      </w:pPr>
    </w:p>
    <w:p w14:paraId="03AA84EF" w14:textId="77777777" w:rsidR="007D7738" w:rsidRPr="00FB4EFA" w:rsidRDefault="007D7738" w:rsidP="00AF0CAD">
      <w:pPr>
        <w:pStyle w:val="Authors"/>
        <w:spacing w:line="259" w:lineRule="auto"/>
        <w:rPr>
          <w:color w:val="auto"/>
          <w:lang w:val="de-AT"/>
        </w:rPr>
      </w:pPr>
      <w:r w:rsidRPr="00FB4EFA">
        <w:rPr>
          <w:color w:val="auto"/>
          <w:lang w:val="de-AT"/>
        </w:rPr>
        <w:lastRenderedPageBreak/>
        <w:t>Santeri Junttila</w:t>
      </w:r>
    </w:p>
    <w:p w14:paraId="3FBA7C0C" w14:textId="77777777" w:rsidR="007D7738" w:rsidRPr="00FB4EFA" w:rsidRDefault="007D7738" w:rsidP="00402EF4">
      <w:bookmarkStart w:id="34" w:name="_Hlk104310595"/>
    </w:p>
    <w:p w14:paraId="74787B47" w14:textId="34A81D78" w:rsidR="00A96E85" w:rsidRPr="00FB4EFA" w:rsidRDefault="00165DE0" w:rsidP="00065E48">
      <w:pPr>
        <w:pStyle w:val="Heading1"/>
        <w:suppressAutoHyphens/>
        <w:spacing w:line="259" w:lineRule="auto"/>
        <w:rPr>
          <w:color w:val="auto"/>
          <w:lang w:val="fi-FI"/>
        </w:rPr>
      </w:pPr>
      <w:bookmarkStart w:id="35" w:name="_Ref101426801"/>
      <w:bookmarkEnd w:id="34"/>
      <w:r w:rsidRPr="00FB4EFA">
        <w:rPr>
          <w:color w:val="auto"/>
          <w:lang w:val="fi-FI"/>
        </w:rPr>
        <w:t>J</w:t>
      </w:r>
      <w:r w:rsidR="008D02E8" w:rsidRPr="00FB4EFA">
        <w:rPr>
          <w:color w:val="auto"/>
          <w:lang w:val="fi-FI"/>
        </w:rPr>
        <w:t xml:space="preserve">ohdatus </w:t>
      </w:r>
      <w:r w:rsidR="00A96E85" w:rsidRPr="00FB4EFA">
        <w:rPr>
          <w:color w:val="auto"/>
          <w:lang w:val="fi-FI"/>
        </w:rPr>
        <w:t>kuilinalaiseen kielentutkimukseen</w:t>
      </w:r>
      <w:bookmarkEnd w:id="28"/>
      <w:bookmarkEnd w:id="29"/>
      <w:bookmarkEnd w:id="35"/>
    </w:p>
    <w:p w14:paraId="4D92D0A6" w14:textId="665724C3" w:rsidR="00EF1775" w:rsidRPr="00FB4EFA" w:rsidRDefault="00EF1775" w:rsidP="00065E48">
      <w:pPr>
        <w:pStyle w:val="Heading2"/>
        <w:suppressAutoHyphens/>
        <w:rPr>
          <w:rFonts w:ascii="OS Jeremy" w:hAnsi="OS Jeremy" w:cs="Old Standard TT"/>
          <w:color w:val="auto"/>
          <w:lang w:val="fi-FI"/>
        </w:rPr>
      </w:pPr>
      <w:bookmarkStart w:id="36" w:name="_Hlk117781407"/>
      <w:r w:rsidRPr="00FB4EFA">
        <w:rPr>
          <w:rFonts w:ascii="OS Jeremy" w:hAnsi="OS Jeremy" w:cs="Cambria"/>
          <w:color w:val="auto"/>
          <w:lang w:val="fi-FI"/>
        </w:rPr>
        <w:t>Рєбє</w:t>
      </w:r>
      <w:r w:rsidRPr="00FB4EFA">
        <w:rPr>
          <w:rFonts w:ascii="OS Jeremy" w:hAnsi="OS Jeremy" w:cs="Old Standard TT"/>
          <w:color w:val="auto"/>
          <w:lang w:val="fi-FI"/>
        </w:rPr>
        <w:t>-</w:t>
      </w:r>
      <w:r w:rsidRPr="00FB4EFA">
        <w:rPr>
          <w:rFonts w:ascii="OS Jeremy" w:hAnsi="OS Jeremy" w:cs="Cambria"/>
          <w:color w:val="auto"/>
          <w:lang w:val="fi-FI"/>
        </w:rPr>
        <w:t>ѥмє</w:t>
      </w:r>
      <w:r w:rsidRPr="00FB4EFA">
        <w:rPr>
          <w:rFonts w:ascii="OS Jeremy" w:hAnsi="OS Jeremy" w:cs="Old Standard TT"/>
          <w:color w:val="auto"/>
          <w:lang w:val="fi-FI"/>
        </w:rPr>
        <w:t xml:space="preserve"> </w:t>
      </w:r>
      <w:r w:rsidRPr="00FB4EFA">
        <w:rPr>
          <w:rFonts w:ascii="OS Jeremy" w:hAnsi="OS Jeremy" w:cs="Cambria"/>
          <w:color w:val="auto"/>
          <w:lang w:val="fi-FI"/>
        </w:rPr>
        <w:t>л</w:t>
      </w:r>
      <w:r w:rsidR="005D00B9" w:rsidRPr="00FB4EFA">
        <w:rPr>
          <w:rFonts w:ascii="OS Jeremy" w:hAnsi="OS Jeremy" w:cs="Old Standard TT"/>
          <w:color w:val="auto"/>
          <w:lang w:val="fi-FI"/>
        </w:rPr>
        <w:t>ҥӹ</w:t>
      </w:r>
      <w:r w:rsidRPr="00FB4EFA">
        <w:rPr>
          <w:rFonts w:ascii="OS Jeremy" w:hAnsi="OS Jeremy" w:cs="Cambria"/>
          <w:color w:val="auto"/>
          <w:lang w:val="fi-FI"/>
        </w:rPr>
        <w:t>ьнѧ</w:t>
      </w:r>
      <w:r w:rsidR="00096E39" w:rsidRPr="00FB4EFA">
        <w:rPr>
          <w:rFonts w:ascii="OS Jeremy" w:hAnsi="OS Jeremy" w:cs="Cambria"/>
          <w:color w:val="auto"/>
          <w:lang w:val="fi-FI"/>
        </w:rPr>
        <w:t>ž</w:t>
      </w:r>
      <w:r w:rsidR="005D00B9" w:rsidRPr="00FB4EFA">
        <w:rPr>
          <w:rFonts w:ascii="OS Jeremy" w:hAnsi="OS Jeremy" w:cs="Old Standard TT"/>
          <w:color w:val="auto"/>
          <w:lang w:val="fi-FI"/>
        </w:rPr>
        <w:t>ҥ</w:t>
      </w:r>
    </w:p>
    <w:p w14:paraId="145B444D" w14:textId="77777777" w:rsidR="00EF1775" w:rsidRPr="00FB4EFA" w:rsidRDefault="00EF1775" w:rsidP="00A219CF">
      <w:pPr>
        <w:rPr>
          <w:lang w:val="fi-FI"/>
        </w:rPr>
      </w:pPr>
      <w:r w:rsidRPr="00FB4EFA">
        <w:rPr>
          <w:lang w:val="fi-FI"/>
        </w:rPr>
        <w:t>Syntymäpäiväsankari Johanna on osoittautunut muovailemieni kielten suurimmaksi ystäväksi, joka Facebookissa jakaa Spekulatiivista lingvistiikkaa -blogini päivityksiä tuoreeltaan niin mieltäkiinnittävin saatetekstein, että Johannaa saanen kiittää melkoisesta määrästä lukijoita. Päätinkin omistaa tässä päivänsankarille uusimmat spekulointini, joitten tuloksena syntyi kokonainen fiktiivinen uuskantasuomalainen kielipesye.</w:t>
      </w:r>
    </w:p>
    <w:p w14:paraId="0C580934" w14:textId="535D7C2B" w:rsidR="00EF1775" w:rsidRPr="00FB4EFA" w:rsidRDefault="00EF1775" w:rsidP="00A219CF">
      <w:pPr>
        <w:ind w:firstLine="709"/>
        <w:rPr>
          <w:lang w:val="fi-FI"/>
        </w:rPr>
      </w:pPr>
      <w:r w:rsidRPr="00FB4EFA">
        <w:rPr>
          <w:lang w:val="fi-FI"/>
        </w:rPr>
        <w:t>Luonnollinen kieli ehtii muuntua niin nopeasti, että ainekirjoituksen miinuspisteitten pelossa yökaudet kieliopin ja oikeinkirjoituksen knoppeja päntänneet ovat seuraavan koululaispolven syntyessä jo ehtineet järkyttyä äidinkielensä kiihtyvästä rappiosta ja perustaa someen toimintaryhmiä sen paljastamiseksi ja päivittelemiseksi. Niinpä minun ei tähänastisissa kielifantasioissani ole tarvinnut hakea vaihtoehtohistoriani nollapistettä, kehitykselle kuvittelemaani käännettä yleensä kovin kaukaa menneisyydestä, parista muutamaan vuosisataan on riittänyt.</w:t>
      </w:r>
    </w:p>
    <w:p w14:paraId="2865D174" w14:textId="3652185D" w:rsidR="00EF1775" w:rsidRPr="00FB4EFA" w:rsidRDefault="00EF1775" w:rsidP="00A219CF">
      <w:pPr>
        <w:ind w:firstLine="709"/>
        <w:rPr>
          <w:lang w:val="fi-FI"/>
        </w:rPr>
      </w:pPr>
      <w:r w:rsidRPr="00FB4EFA">
        <w:rPr>
          <w:lang w:val="fi-FI"/>
        </w:rPr>
        <w:t>Tällä kertaa haen kuitenkin pistokkaan aina kantasuomesta saakka juurruttaakseni sen erityisen hedelmälliseen maaperään, josta kieliä on versonut valtavalle alueelle Sentroopasta Siperiaan. Rokitnon soita ei pidetä erityisen vetovoimaisena alueena, saati että se yhdistettäisiin muinaisen kultakauden kukoistavaan kulttuuriin, mutta tässäpä tämä juuri onkin: kielten alkukodit eivät olleet myyttisiä paratiiseja vaan päin vastoin suhteellisen epämiellyttäviä asuinpaikkoja. Miksipä muuten olisivat ihmiset lähteneet niistä kaikkiin mahdollisiin suuntiin kieltänsä levittämään?</w:t>
      </w:r>
    </w:p>
    <w:p w14:paraId="65212681" w14:textId="4E1402A4" w:rsidR="00EF1775" w:rsidRPr="00FB4EFA" w:rsidRDefault="00EF1775" w:rsidP="00A219CF">
      <w:pPr>
        <w:ind w:firstLine="709"/>
        <w:rPr>
          <w:lang w:val="fi-FI"/>
        </w:rPr>
      </w:pPr>
      <w:r w:rsidRPr="00FB4EFA">
        <w:rPr>
          <w:lang w:val="fi-FI"/>
        </w:rPr>
        <w:t>Minun on siis oletettava, että joskus ensimmäisen vuosituhannen puolessavälissä kantaslaavin puhujat jossain Pripjetin latvoilla saivat kuulla kantasuomea ja ihastuivat siihen niin, että oitis vaihtoivat sen omaksi kieleksensä. Mahdotontako? Ei toki, suunnilleen yhtä hämärästä syystähän Tonavan tasangon slaavi vaihdettiin ugrilaiseen kieleen muutamaa vuosisataa myöhemmin.</w:t>
      </w:r>
    </w:p>
    <w:p w14:paraId="43CF1B20" w14:textId="77777777" w:rsidR="00EF1775" w:rsidRPr="00FB4EFA" w:rsidRDefault="00EF1775" w:rsidP="00A219CF">
      <w:pPr>
        <w:ind w:firstLine="709"/>
        <w:rPr>
          <w:lang w:val="fi-FI"/>
        </w:rPr>
      </w:pPr>
      <w:r w:rsidRPr="00FB4EFA">
        <w:rPr>
          <w:lang w:val="fi-FI"/>
        </w:rPr>
        <w:lastRenderedPageBreak/>
        <w:t xml:space="preserve">Kuten Johanna ja muutama muukin lukija varmaan tietää, tämä siirto tuo minut lähemmäs </w:t>
      </w:r>
      <w:r w:rsidRPr="00FB4EFA">
        <w:rPr>
          <w:rFonts w:cs="Cambria"/>
          <w:lang w:val="fi-FI"/>
        </w:rPr>
        <w:t>ž</w:t>
      </w:r>
      <w:r w:rsidRPr="00FB4EFA">
        <w:rPr>
          <w:lang w:val="fi-FI"/>
        </w:rPr>
        <w:t>angrini, aposteriorisen fantasiakielen ydint</w:t>
      </w:r>
      <w:r w:rsidRPr="00FB4EFA">
        <w:rPr>
          <w:rFonts w:cs="Old Standard TT"/>
          <w:lang w:val="fi-FI"/>
        </w:rPr>
        <w:t>ä</w:t>
      </w:r>
      <w:r w:rsidRPr="00FB4EFA">
        <w:rPr>
          <w:lang w:val="fi-FI"/>
        </w:rPr>
        <w:t xml:space="preserve"> ja prototyyppi</w:t>
      </w:r>
      <w:r w:rsidRPr="00FB4EFA">
        <w:rPr>
          <w:rFonts w:cs="Old Standard TT"/>
          <w:lang w:val="fi-FI"/>
        </w:rPr>
        <w:t>ä</w:t>
      </w:r>
      <w:r w:rsidRPr="00FB4EFA">
        <w:rPr>
          <w:lang w:val="fi-FI"/>
        </w:rPr>
        <w:t>. Taiteen ja leikin nimiss</w:t>
      </w:r>
      <w:r w:rsidRPr="00FB4EFA">
        <w:rPr>
          <w:rFonts w:cs="Old Standard TT"/>
          <w:lang w:val="fi-FI"/>
        </w:rPr>
        <w:t>ä</w:t>
      </w:r>
      <w:r w:rsidRPr="00FB4EFA">
        <w:rPr>
          <w:lang w:val="fi-FI"/>
        </w:rPr>
        <w:t xml:space="preserve"> kehiteltyj</w:t>
      </w:r>
      <w:r w:rsidRPr="00FB4EFA">
        <w:rPr>
          <w:rFonts w:cs="Old Standard TT"/>
          <w:lang w:val="fi-FI"/>
        </w:rPr>
        <w:t>ä</w:t>
      </w:r>
      <w:r w:rsidRPr="00FB4EFA">
        <w:rPr>
          <w:lang w:val="fi-FI"/>
        </w:rPr>
        <w:t xml:space="preserve"> kieli</w:t>
      </w:r>
      <w:r w:rsidRPr="00FB4EFA">
        <w:rPr>
          <w:rFonts w:cs="Old Standard TT"/>
          <w:lang w:val="fi-FI"/>
        </w:rPr>
        <w:t>ä</w:t>
      </w:r>
      <w:r w:rsidRPr="00FB4EFA">
        <w:rPr>
          <w:lang w:val="fi-FI"/>
        </w:rPr>
        <w:t>h</w:t>
      </w:r>
      <w:r w:rsidRPr="00FB4EFA">
        <w:rPr>
          <w:rFonts w:cs="Old Standard TT"/>
          <w:lang w:val="fi-FI"/>
        </w:rPr>
        <w:t>ä</w:t>
      </w:r>
      <w:r w:rsidRPr="00FB4EFA">
        <w:rPr>
          <w:lang w:val="fi-FI"/>
        </w:rPr>
        <w:t xml:space="preserve">n on kahdenlaisia, joista karkeasti ottaen aprioriset eli </w:t>
      </w:r>
      <w:r w:rsidRPr="00FB4EFA">
        <w:rPr>
          <w:rFonts w:cs="Old Standard TT"/>
          <w:lang w:val="fi-FI"/>
        </w:rPr>
        <w:t>”</w:t>
      </w:r>
      <w:r w:rsidRPr="00FB4EFA">
        <w:rPr>
          <w:lang w:val="fi-FI"/>
        </w:rPr>
        <w:t>tyhj</w:t>
      </w:r>
      <w:r w:rsidRPr="00FB4EFA">
        <w:rPr>
          <w:rFonts w:cs="Old Standard TT"/>
          <w:lang w:val="fi-FI"/>
        </w:rPr>
        <w:t>ä</w:t>
      </w:r>
      <w:r w:rsidRPr="00FB4EFA">
        <w:rPr>
          <w:lang w:val="fi-FI"/>
        </w:rPr>
        <w:t>st</w:t>
      </w:r>
      <w:r w:rsidRPr="00FB4EFA">
        <w:rPr>
          <w:rFonts w:cs="Old Standard TT"/>
          <w:lang w:val="fi-FI"/>
        </w:rPr>
        <w:t>ä</w:t>
      </w:r>
      <w:r w:rsidRPr="00FB4EFA">
        <w:rPr>
          <w:lang w:val="fi-FI"/>
        </w:rPr>
        <w:t xml:space="preserve"> nyhj</w:t>
      </w:r>
      <w:r w:rsidRPr="00FB4EFA">
        <w:rPr>
          <w:rFonts w:cs="Old Standard TT"/>
          <w:lang w:val="fi-FI"/>
        </w:rPr>
        <w:t>ä</w:t>
      </w:r>
      <w:r w:rsidRPr="00FB4EFA">
        <w:rPr>
          <w:lang w:val="fi-FI"/>
        </w:rPr>
        <w:t>istyt</w:t>
      </w:r>
      <w:r w:rsidRPr="00FB4EFA">
        <w:rPr>
          <w:rFonts w:cs="Old Standard TT"/>
          <w:lang w:val="fi-FI"/>
        </w:rPr>
        <w:t>”</w:t>
      </w:r>
      <w:r w:rsidRPr="00FB4EFA">
        <w:rPr>
          <w:lang w:val="fi-FI"/>
        </w:rPr>
        <w:t xml:space="preserve"> kielet kiinnostavat eniten kielitypologeja, nämä aposterioriset – joissa varastettua tavaraa naamioidaan niin kauan kunnes se alkaa näyttää omalta – taas meitä diakroonikkoja. Yksi aposterioristen kielten klassikko on alankomaalaisen Jan van Steenbergin kehittämä wenedyk, jonka pohjana oleva vulgaarilatina on joutunut saman höykytyksen kohteeksi kuin kantaslaavi muuntuessansa vuosisatojen kuluessa puolaksi. Asiaan tietysti kuuluu, että wenedykia kirjoitetaan puolan ortografialla.</w:t>
      </w:r>
    </w:p>
    <w:p w14:paraId="7B50628E" w14:textId="390BA42D" w:rsidR="00EF1775" w:rsidRPr="00FB4EFA" w:rsidRDefault="00EF1775" w:rsidP="00A219CF">
      <w:pPr>
        <w:ind w:firstLine="709"/>
        <w:rPr>
          <w:lang w:val="fi-FI"/>
        </w:rPr>
      </w:pPr>
      <w:r w:rsidRPr="00FB4EFA">
        <w:rPr>
          <w:lang w:val="fi-FI"/>
        </w:rPr>
        <w:t>Minulle ei puola vielä riittänyt, vaan halusin muovailla kantasuomesta koko slaavilaisen kieliperheen. Slaavi tarjoaa kielten kehittäjille hienon valmiin muottien sarjan, koska sen äännehistoria on perusteellisesti selvitetty yhteiseen kantamuotoon saakka (lukuun ottamatta painajaismaisia painotussuhteita, joitten tausta on jossain tiedon rajamailla) ja sanastoakin tutkittu niin paljon, että etymologisia hakuteoksia slaavilaiskielistä lienee enemmän kuin mistään muusta kieliperheestä. Olen hieman onnistunut hillitsemään suuruudenhulluuttani ja valinnut pakollisen muinaiskirkkoslaavin lisäksi vain kaksi eniten puhuttua kieltä jokaisesta kolmesta haarasta.</w:t>
      </w:r>
    </w:p>
    <w:p w14:paraId="55E1C9CF" w14:textId="77777777" w:rsidR="00EF1775" w:rsidRPr="00FB4EFA" w:rsidRDefault="00EF1775" w:rsidP="00A219CF">
      <w:pPr>
        <w:ind w:firstLine="709"/>
        <w:rPr>
          <w:lang w:val="fi-FI"/>
        </w:rPr>
      </w:pPr>
      <w:r w:rsidRPr="00FB4EFA">
        <w:rPr>
          <w:lang w:val="fi-FI"/>
        </w:rPr>
        <w:t>Kuten aposterioristen kielten rakentelijoille on tyypillistä, luomillani kielillä on lähes valmiit fonologiset perustukset, harvahko morfologis-syntaktinen kehikko sekä kulissimaisena koristeena hieman sanojakin. Tekstiaineistonani on uralisteille vanha tuttu G.I. Jermu</w:t>
      </w:r>
      <w:r w:rsidRPr="00FB4EFA">
        <w:rPr>
          <w:rFonts w:cs="Cambria"/>
          <w:lang w:val="fi-FI"/>
        </w:rPr>
        <w:t>š</w:t>
      </w:r>
      <w:r w:rsidRPr="00FB4EFA">
        <w:rPr>
          <w:lang w:val="fi-FI"/>
        </w:rPr>
        <w:t>kinin laatima kettusatu,</w:t>
      </w:r>
      <w:r w:rsidRPr="00FB4EFA">
        <w:rPr>
          <w:rStyle w:val="Alaviitteenankkuri"/>
          <w:rFonts w:cs="Charis SIL"/>
          <w:lang w:val="fi-FI"/>
        </w:rPr>
        <w:footnoteReference w:id="41"/>
      </w:r>
      <w:r w:rsidRPr="00FB4EFA">
        <w:rPr>
          <w:lang w:val="fi-FI"/>
        </w:rPr>
        <w:t xml:space="preserve"> tarkemmin (tekijänsä yöunien säästämiseksi) vain sen viisi ensimmäistä numeroitua ”jaetta”, jotka minulla on paitsi alkuteoksensa kielillä, Jüvä Sullõvin ansiosta myös võroksi. Jakeitten kantasuomentaminen onnistui minulta kollegojemme, erityisesti Petri Kallion suosiollisella avustuksella. Niinpä sanastokulissieni rakennusaineet ovat kuitenkin tavanomaista monipuolisemmat: kaikki ei ole yhdestä ja samasta kielestä, vaan kettusadun kaikista itämerensuomalaisista käännöksistä. Niistä olen poiminut mukaan Yhteissuomalaisen sanaston mainitsemat sanat, </w:t>
      </w:r>
      <w:r w:rsidRPr="00FB4EFA">
        <w:rPr>
          <w:lang w:val="fi-FI"/>
        </w:rPr>
        <w:lastRenderedPageBreak/>
        <w:t>niitten vanhanoloiset johdokset ja muutaman muunkin mahdollisesti yli puolentoista vuosituhannen ikäisen sanan.</w:t>
      </w:r>
    </w:p>
    <w:p w14:paraId="5207FD83" w14:textId="43FC8FCA" w:rsidR="00EF1775" w:rsidRPr="00FB4EFA" w:rsidRDefault="00EF1775" w:rsidP="00A219CF">
      <w:pPr>
        <w:ind w:firstLine="709"/>
        <w:rPr>
          <w:lang w:val="fi-FI"/>
        </w:rPr>
      </w:pPr>
      <w:r w:rsidRPr="00FB4EFA">
        <w:rPr>
          <w:lang w:val="fi-FI"/>
        </w:rPr>
        <w:t xml:space="preserve">Sekä sanaston että lauserakenteitten konstruoimisessa pääsin perfektionismin polun alkuun, koska alkuteksti on venäjää ja minulla monikielisiä ystäviä, jotka ovat ne siitä tai suomesta slaavilaisille äidinkielillensä kääntäneet. Käännökset ovat artikkelini sykkivä sydän. Kiitos </w:t>
      </w:r>
      <w:r w:rsidRPr="00FB4EFA">
        <w:rPr>
          <w:rFonts w:cs="Charis SIL"/>
          <w:lang w:val="fi-FI"/>
        </w:rPr>
        <w:t>Ǔ</w:t>
      </w:r>
      <w:r w:rsidRPr="00FB4EFA">
        <w:rPr>
          <w:lang w:val="fi-FI"/>
        </w:rPr>
        <w:t xml:space="preserve">ladko </w:t>
      </w:r>
      <w:r w:rsidRPr="00FB4EFA">
        <w:rPr>
          <w:rFonts w:cs="Cambria"/>
          <w:lang w:val="fi-FI"/>
        </w:rPr>
        <w:t>Ž</w:t>
      </w:r>
      <w:r w:rsidRPr="00FB4EFA">
        <w:rPr>
          <w:lang w:val="fi-FI"/>
        </w:rPr>
        <w:t>urba, Martyna Dani</w:t>
      </w:r>
      <w:r w:rsidRPr="00FB4EFA">
        <w:rPr>
          <w:rFonts w:cs="Cambria"/>
          <w:lang w:val="fi-FI"/>
        </w:rPr>
        <w:t>ł</w:t>
      </w:r>
      <w:r w:rsidRPr="00FB4EFA">
        <w:rPr>
          <w:lang w:val="fi-FI"/>
        </w:rPr>
        <w:t>owicz, Lucie Hradeck</w:t>
      </w:r>
      <w:r w:rsidRPr="00FB4EFA">
        <w:rPr>
          <w:rFonts w:cs="Old Standard TT"/>
          <w:lang w:val="fi-FI"/>
        </w:rPr>
        <w:t>á</w:t>
      </w:r>
      <w:r w:rsidRPr="00FB4EFA">
        <w:rPr>
          <w:lang w:val="fi-FI"/>
        </w:rPr>
        <w:t>, Viktor Martinovi</w:t>
      </w:r>
      <w:r w:rsidRPr="00FB4EFA">
        <w:rPr>
          <w:rFonts w:cs="Cambria"/>
          <w:lang w:val="fi-FI"/>
        </w:rPr>
        <w:t>ć</w:t>
      </w:r>
      <w:r w:rsidRPr="00FB4EFA">
        <w:rPr>
          <w:lang w:val="fi-FI"/>
        </w:rPr>
        <w:t xml:space="preserve"> ja Petar Keha</w:t>
      </w:r>
      <w:r w:rsidR="006219BF" w:rsidRPr="00FB4EFA">
        <w:rPr>
          <w:lang w:val="fi-FI"/>
        </w:rPr>
        <w:t>y</w:t>
      </w:r>
      <w:r w:rsidRPr="00FB4EFA">
        <w:rPr>
          <w:lang w:val="fi-FI"/>
        </w:rPr>
        <w:t>ov! K</w:t>
      </w:r>
      <w:r w:rsidRPr="00FB4EFA">
        <w:rPr>
          <w:rFonts w:cs="Old Standard TT"/>
          <w:lang w:val="fi-FI"/>
        </w:rPr>
        <w:t>ää</w:t>
      </w:r>
      <w:r w:rsidRPr="00FB4EFA">
        <w:rPr>
          <w:lang w:val="fi-FI"/>
        </w:rPr>
        <w:t>nt</w:t>
      </w:r>
      <w:r w:rsidRPr="00FB4EFA">
        <w:rPr>
          <w:rFonts w:cs="Old Standard TT"/>
          <w:lang w:val="fi-FI"/>
        </w:rPr>
        <w:t>ä</w:t>
      </w:r>
      <w:r w:rsidRPr="00FB4EFA">
        <w:rPr>
          <w:lang w:val="fi-FI"/>
        </w:rPr>
        <w:t>m</w:t>
      </w:r>
      <w:r w:rsidRPr="00FB4EFA">
        <w:rPr>
          <w:rFonts w:cs="Old Standard TT"/>
          <w:lang w:val="fi-FI"/>
        </w:rPr>
        <w:t>ä</w:t>
      </w:r>
      <w:r w:rsidRPr="00FB4EFA">
        <w:rPr>
          <w:lang w:val="fi-FI"/>
        </w:rPr>
        <w:t>tt</w:t>
      </w:r>
      <w:r w:rsidRPr="00FB4EFA">
        <w:rPr>
          <w:rFonts w:cs="Old Standard TT"/>
          <w:lang w:val="fi-FI"/>
        </w:rPr>
        <w:t>ä</w:t>
      </w:r>
      <w:r w:rsidRPr="00FB4EFA">
        <w:rPr>
          <w:lang w:val="fi-FI"/>
        </w:rPr>
        <w:t xml:space="preserve"> kettusatu j</w:t>
      </w:r>
      <w:r w:rsidRPr="00FB4EFA">
        <w:rPr>
          <w:rFonts w:cs="Old Standard TT"/>
          <w:lang w:val="fi-FI"/>
        </w:rPr>
        <w:t>ä</w:t>
      </w:r>
      <w:r w:rsidRPr="00FB4EFA">
        <w:rPr>
          <w:lang w:val="fi-FI"/>
        </w:rPr>
        <w:t>i vain muinaiskirkkoslaaviksi, jota puhu</w:t>
      </w:r>
      <w:r w:rsidR="00EB247B" w:rsidRPr="00FB4EFA">
        <w:rPr>
          <w:lang w:val="fi-FI"/>
        </w:rPr>
        <w:t>v</w:t>
      </w:r>
      <w:r w:rsidRPr="00FB4EFA">
        <w:rPr>
          <w:lang w:val="fi-FI"/>
        </w:rPr>
        <w:t>ia ei yst</w:t>
      </w:r>
      <w:r w:rsidRPr="00FB4EFA">
        <w:rPr>
          <w:rFonts w:cs="Old Standard TT"/>
          <w:lang w:val="fi-FI"/>
        </w:rPr>
        <w:t>ä</w:t>
      </w:r>
      <w:r w:rsidRPr="00FB4EFA">
        <w:rPr>
          <w:lang w:val="fi-FI"/>
        </w:rPr>
        <w:t>v</w:t>
      </w:r>
      <w:r w:rsidRPr="00FB4EFA">
        <w:rPr>
          <w:rFonts w:cs="Old Standard TT"/>
          <w:lang w:val="fi-FI"/>
        </w:rPr>
        <w:t>ä</w:t>
      </w:r>
      <w:r w:rsidRPr="00FB4EFA">
        <w:rPr>
          <w:lang w:val="fi-FI"/>
        </w:rPr>
        <w:t>piiriini tiet</w:t>
      </w:r>
      <w:r w:rsidRPr="00FB4EFA">
        <w:rPr>
          <w:rFonts w:cs="Old Standard TT"/>
          <w:lang w:val="fi-FI"/>
        </w:rPr>
        <w:t>ää</w:t>
      </w:r>
      <w:r w:rsidRPr="00FB4EFA">
        <w:rPr>
          <w:lang w:val="fi-FI"/>
        </w:rPr>
        <w:t>kseni kuulu. Ainoa l</w:t>
      </w:r>
      <w:r w:rsidRPr="00FB4EFA">
        <w:rPr>
          <w:rFonts w:cs="Old Standard TT"/>
          <w:lang w:val="fi-FI"/>
        </w:rPr>
        <w:t>ö</w:t>
      </w:r>
      <w:r w:rsidRPr="00FB4EFA">
        <w:rPr>
          <w:lang w:val="fi-FI"/>
        </w:rPr>
        <w:t>yt</w:t>
      </w:r>
      <w:r w:rsidRPr="00FB4EFA">
        <w:rPr>
          <w:rFonts w:cs="Old Standard TT"/>
          <w:lang w:val="fi-FI"/>
        </w:rPr>
        <w:t>ä</w:t>
      </w:r>
      <w:r w:rsidRPr="00FB4EFA">
        <w:rPr>
          <w:lang w:val="fi-FI"/>
        </w:rPr>
        <w:t>m</w:t>
      </w:r>
      <w:r w:rsidRPr="00FB4EFA">
        <w:rPr>
          <w:rFonts w:cs="Old Standard TT"/>
          <w:lang w:val="fi-FI"/>
        </w:rPr>
        <w:t>ä</w:t>
      </w:r>
      <w:r w:rsidRPr="00FB4EFA">
        <w:rPr>
          <w:lang w:val="fi-FI"/>
        </w:rPr>
        <w:t>ni onomasiologinen esitys muinaiskirkkoslaavin sanastosta oli Buckin indoeurooppalaisten kielten etymologisessa hakuteoksessa. Lauserakenteita silmäilin Jouko Lindstedtin tuoreesta oppikirjasta.</w:t>
      </w:r>
    </w:p>
    <w:p w14:paraId="17957956" w14:textId="779A8BD8" w:rsidR="00EF1775" w:rsidRPr="00FB4EFA" w:rsidRDefault="00EF1775" w:rsidP="00A219CF">
      <w:pPr>
        <w:ind w:firstLine="709"/>
        <w:rPr>
          <w:rStyle w:val="tojvnm2t"/>
          <w:lang w:val="fi-FI"/>
        </w:rPr>
      </w:pPr>
      <w:r w:rsidRPr="00FB4EFA">
        <w:rPr>
          <w:rStyle w:val="tojvnm2t"/>
          <w:lang w:val="fi-FI"/>
        </w:rPr>
        <w:t xml:space="preserve">Käännösten sanojen taustoja olen tutkinut etymologisista sanakirjoista ja valinnut niitten vastineiksi sopivat itämerensuomen sanat slaavilaisten sanojen levikkiä ja välillä lähtömerkitystäkin noudattaen. </w:t>
      </w:r>
      <w:r w:rsidRPr="00FB4EFA">
        <w:rPr>
          <w:rFonts w:cs="Cambria"/>
          <w:lang w:val="fi-FI"/>
        </w:rPr>
        <w:t>Ž</w:t>
      </w:r>
      <w:r w:rsidRPr="00FB4EFA">
        <w:rPr>
          <w:lang w:val="fi-FI"/>
        </w:rPr>
        <w:t>angrini helmasynnin, pelkist</w:t>
      </w:r>
      <w:r w:rsidRPr="00FB4EFA">
        <w:rPr>
          <w:rFonts w:cs="Old Standard TT"/>
          <w:lang w:val="fi-FI"/>
        </w:rPr>
        <w:t>ä</w:t>
      </w:r>
      <w:r w:rsidRPr="00FB4EFA">
        <w:rPr>
          <w:lang w:val="fi-FI"/>
        </w:rPr>
        <w:t xml:space="preserve"> arkaismeista kokoonpannun sanaston, olen v</w:t>
      </w:r>
      <w:r w:rsidRPr="00FB4EFA">
        <w:rPr>
          <w:rFonts w:cs="Old Standard TT"/>
          <w:lang w:val="fi-FI"/>
        </w:rPr>
        <w:t>ä</w:t>
      </w:r>
      <w:r w:rsidRPr="00FB4EFA">
        <w:rPr>
          <w:lang w:val="fi-FI"/>
        </w:rPr>
        <w:t>ltt</w:t>
      </w:r>
      <w:r w:rsidRPr="00FB4EFA">
        <w:rPr>
          <w:rFonts w:cs="Old Standard TT"/>
          <w:lang w:val="fi-FI"/>
        </w:rPr>
        <w:t>ä</w:t>
      </w:r>
      <w:r w:rsidRPr="00FB4EFA">
        <w:rPr>
          <w:lang w:val="fi-FI"/>
        </w:rPr>
        <w:t>nyt lainaamalla estoitta sielt</w:t>
      </w:r>
      <w:r w:rsidRPr="00FB4EFA">
        <w:rPr>
          <w:rFonts w:cs="Old Standard TT"/>
          <w:lang w:val="fi-FI"/>
        </w:rPr>
        <w:t>ä</w:t>
      </w:r>
      <w:r w:rsidRPr="00FB4EFA">
        <w:rPr>
          <w:lang w:val="fi-FI"/>
        </w:rPr>
        <w:t xml:space="preserve"> mist</w:t>
      </w:r>
      <w:r w:rsidRPr="00FB4EFA">
        <w:rPr>
          <w:rFonts w:cs="Old Standard TT"/>
          <w:lang w:val="fi-FI"/>
        </w:rPr>
        <w:t>ä</w:t>
      </w:r>
      <w:r w:rsidRPr="00FB4EFA">
        <w:rPr>
          <w:lang w:val="fi-FI"/>
        </w:rPr>
        <w:t xml:space="preserve"> slaavilaisetkin kielet ovat lainanneet. Luontoaiheesta huolimatta tekstin k</w:t>
      </w:r>
      <w:r w:rsidRPr="00FB4EFA">
        <w:rPr>
          <w:rFonts w:cs="Old Standard TT"/>
          <w:lang w:val="fi-FI"/>
        </w:rPr>
        <w:t>ää</w:t>
      </w:r>
      <w:r w:rsidRPr="00FB4EFA">
        <w:rPr>
          <w:lang w:val="fi-FI"/>
        </w:rPr>
        <w:t>nn</w:t>
      </w:r>
      <w:r w:rsidRPr="00FB4EFA">
        <w:rPr>
          <w:rFonts w:cs="Old Standard TT"/>
          <w:lang w:val="fi-FI"/>
        </w:rPr>
        <w:t>ö</w:t>
      </w:r>
      <w:r w:rsidRPr="00FB4EFA">
        <w:rPr>
          <w:lang w:val="fi-FI"/>
        </w:rPr>
        <w:t>ksiss</w:t>
      </w:r>
      <w:r w:rsidRPr="00FB4EFA">
        <w:rPr>
          <w:rFonts w:cs="Old Standard TT"/>
          <w:lang w:val="fi-FI"/>
        </w:rPr>
        <w:t>ä</w:t>
      </w:r>
      <w:r w:rsidRPr="00FB4EFA">
        <w:rPr>
          <w:lang w:val="fi-FI"/>
        </w:rPr>
        <w:t xml:space="preserve"> on lainoja saksasta, latinasta, iranilaisista ja turkkilaiskielistä. Itämerensuomessa lienee eri käsitteille synonyymisia ilmaisuja suunnilleen saman verran kuin slaavissakin, mutta </w:t>
      </w:r>
      <w:r w:rsidRPr="00FB4EFA">
        <w:rPr>
          <w:rStyle w:val="tojvnm2t"/>
          <w:lang w:val="fi-FI"/>
        </w:rPr>
        <w:t>eri kielikunnissa varioivat eri semeemit. Päänvaivaa aiheutti esimerkiksi (yhden turkkilaislainan lisäksi) neljän eri perintösanan keksiminen ’kynnen’ merkitykseen. Toisaalta itämerensuomen rikkaampi adjektiivisto merkityksissä ’pieni’ ja ’ohut’ meni harmillisesti hukkaan, kun slaavilaiskielistä en löytänyt vastaavanlaajuista variaatiota.</w:t>
      </w:r>
    </w:p>
    <w:p w14:paraId="5C5C9D8D" w14:textId="791135EF" w:rsidR="00EF1775" w:rsidRPr="00FB4EFA" w:rsidRDefault="00EF1775" w:rsidP="00A219CF">
      <w:pPr>
        <w:ind w:firstLine="709"/>
        <w:rPr>
          <w:rStyle w:val="tojvnm2t"/>
          <w:lang w:val="fi-FI"/>
        </w:rPr>
      </w:pPr>
      <w:r w:rsidRPr="00FB4EFA">
        <w:rPr>
          <w:rStyle w:val="tojvnm2t"/>
          <w:lang w:val="fi-FI"/>
        </w:rPr>
        <w:t>Aposteriorista kieltä luotaessa tarvitaan siis pistokaskieleksi jokin nykyinen, historiallinen tai rekonstruoitavissa oleva kielimuoto, sekä sitä lannoittamaan sopiva substraattikieli. Historiallista uskottavuutta tavoiteltaessa näitten kahden kielen pitää tietenkin olla samanaikaisia. Kielenistutuksen onnistumista tämä ei kuitenkaan takaa, etenkään kun pyritään – kuten on tapana – substraatiksi valitun kielen jälkeläisen kuuloiseen ja näköiseen lopputulokseen. Mikä tahansa pistokkaan ja substraatin yhdistelmä ei kelpaa, vaan kielillä on oltava samankaltainen foneemisto ja ennen kaikkea samantyyppinen tavurakenne. Esimerkiksi suomi sopii suhteellisen hyvin latinan pariksi, koska kummassakin on sanan</w:t>
      </w:r>
      <w:r w:rsidRPr="00FB4EFA">
        <w:rPr>
          <w:rStyle w:val="tojvnm2t"/>
          <w:lang w:val="fi-FI"/>
        </w:rPr>
        <w:lastRenderedPageBreak/>
        <w:t>painosta riippumaton pituusoppositio niin vokaaleilla kuin konsonanteillakin. (Tästä asetelmasta tein lukioikäisenä ensimmäiset kokeiluni aposteriorisilla kielillä</w:t>
      </w:r>
      <w:r w:rsidR="00EB247B" w:rsidRPr="00FB4EFA">
        <w:rPr>
          <w:rStyle w:val="tojvnm2t"/>
          <w:lang w:val="fi-FI"/>
        </w:rPr>
        <w:t>.</w:t>
      </w:r>
      <w:r w:rsidRPr="00FB4EFA">
        <w:rPr>
          <w:rStyle w:val="tojvnm2t"/>
          <w:lang w:val="fi-FI"/>
        </w:rPr>
        <w:t>) Täysin toivotonta taas olisi sovittaa vaikkapa indoeurooppalaisen kantakielen äännekehityksiä kantauraliin, koska niillä ei ole äännerakenteellisesti juuri mitään yhteistä.</w:t>
      </w:r>
    </w:p>
    <w:p w14:paraId="681504BC" w14:textId="459E4054" w:rsidR="00EF1775" w:rsidRPr="00FB4EFA" w:rsidRDefault="00EF1775" w:rsidP="00A219CF">
      <w:pPr>
        <w:ind w:firstLine="709"/>
        <w:rPr>
          <w:lang w:val="fi-FI"/>
        </w:rPr>
      </w:pPr>
      <w:r w:rsidRPr="00FB4EFA">
        <w:rPr>
          <w:lang w:val="fi-FI"/>
        </w:rPr>
        <w:t xml:space="preserve">Myöhäinen keskikantasuomi istuu kantaslaavin matriisiin itse asiassa varsin hyvin, sillä kummassakin oli vokaaleilla pituusoppositio – kunhan lähdetään kyllin myöhäisestä kantasuomen vaiheesta. Kantasuomen konsonanttien pituusoppositio taas muuntuu varsin triviaalin äänteenmuutoksen kautta kantaslaavin soinnillisuusoppositioksi. Sananalkuisten soinnillisten obstruenttien tuottamiseen vaaditaan vain vähän harvinaisempaa äännekehitystä, britanniankeltistä tuttua mutaatiota, jonka alkeet ovat Rauma ngiäleski: nasaalikonsonantin voi ajatella soinnillistaneen esimerkiksi genetiivirakenteitten pääsanat, joita tosin tässä tekstissä ovat vain postpositiot. Vokaalivalikoimaa on hieman supistettava ja konsonantistoa kasvatettava – mutta ei niin paljon, kuin nykyslaavilaisten kielten perusteella voisi luulla. Ei tarvita edes varhaisten kielentasojemme </w:t>
      </w:r>
      <w:r w:rsidRPr="00FB4EFA">
        <w:rPr>
          <w:rFonts w:cs="Cambria"/>
          <w:i/>
          <w:iCs/>
          <w:lang w:val="fi-FI"/>
        </w:rPr>
        <w:t>š</w:t>
      </w:r>
      <w:r w:rsidR="003D6A52" w:rsidRPr="00FB4EFA">
        <w:rPr>
          <w:lang w:val="fi-FI"/>
        </w:rPr>
        <w:noBreakHyphen/>
      </w:r>
      <w:r w:rsidRPr="00FB4EFA">
        <w:rPr>
          <w:lang w:val="fi-FI"/>
        </w:rPr>
        <w:t xml:space="preserve">äännettä, sillä kaikki suhusibilantit ja -affrikaatat ovat slaaviin syntyneet vasta myöhemmin. Itse asiassa </w:t>
      </w:r>
      <w:r w:rsidRPr="00FB4EFA">
        <w:rPr>
          <w:i/>
          <w:iCs/>
          <w:lang w:val="fi-FI"/>
        </w:rPr>
        <w:t>h</w:t>
      </w:r>
      <w:r w:rsidRPr="00FB4EFA">
        <w:rPr>
          <w:lang w:val="fi-FI"/>
        </w:rPr>
        <w:t xml:space="preserve"> on tärkeämpi, koska sopii tuottamaan sekä kantaslaavin </w:t>
      </w:r>
      <w:r w:rsidRPr="00FB4EFA">
        <w:rPr>
          <w:i/>
          <w:iCs/>
          <w:lang w:val="fi-FI"/>
        </w:rPr>
        <w:t>x</w:t>
      </w:r>
      <w:r w:rsidR="003D6A52" w:rsidRPr="00FB4EFA">
        <w:rPr>
          <w:lang w:val="fi-FI"/>
        </w:rPr>
        <w:noBreakHyphen/>
      </w:r>
      <w:r w:rsidRPr="00FB4EFA">
        <w:rPr>
          <w:lang w:val="fi-FI"/>
        </w:rPr>
        <w:t xml:space="preserve">frikatiivia vastaavan äänteen että siitä etuvokaalin edellä syntyneen </w:t>
      </w:r>
      <w:r w:rsidRPr="00FB4EFA">
        <w:rPr>
          <w:rFonts w:cs="Cambria"/>
          <w:i/>
          <w:iCs/>
          <w:lang w:val="fi-FI"/>
        </w:rPr>
        <w:t>š</w:t>
      </w:r>
      <w:r w:rsidRPr="00FB4EFA">
        <w:rPr>
          <w:lang w:val="fi-FI"/>
        </w:rPr>
        <w:t xml:space="preserve">:n (ja </w:t>
      </w:r>
      <w:r w:rsidRPr="00FB4EFA">
        <w:rPr>
          <w:i/>
          <w:iCs/>
          <w:lang w:val="fi-FI"/>
        </w:rPr>
        <w:t>s</w:t>
      </w:r>
      <w:r w:rsidRPr="00FB4EFA">
        <w:rPr>
          <w:lang w:val="fi-FI"/>
        </w:rPr>
        <w:t>:n).</w:t>
      </w:r>
    </w:p>
    <w:p w14:paraId="09638A53" w14:textId="1A6FC0BB" w:rsidR="00EF1775" w:rsidRPr="00FB4EFA" w:rsidRDefault="00EF1775" w:rsidP="00A219CF">
      <w:pPr>
        <w:ind w:firstLine="709"/>
        <w:rPr>
          <w:lang w:val="fi-FI"/>
        </w:rPr>
      </w:pPr>
      <w:r w:rsidRPr="00FB4EFA">
        <w:rPr>
          <w:lang w:val="fi-FI"/>
        </w:rPr>
        <w:t xml:space="preserve">Jotta uudesta kielikunnasta voisi puhua tästä pidemmälle, sille täytyy antaa nimi. Lähdetään siis sanasta </w:t>
      </w:r>
      <w:r w:rsidRPr="00FB4EFA">
        <w:rPr>
          <w:rFonts w:ascii="OS Jeremy" w:hAnsi="OS Jeremy" w:cs="Cambria"/>
          <w:i/>
          <w:iCs/>
          <w:lang w:val="fi-FI"/>
        </w:rPr>
        <w:t>словѣньскъ</w:t>
      </w:r>
      <w:r w:rsidRPr="00FB4EFA">
        <w:rPr>
          <w:rFonts w:ascii="OS Jeremy" w:hAnsi="OS Jeremy" w:cstheme="minorHAnsi"/>
          <w:lang w:val="fi-FI"/>
        </w:rPr>
        <w:t xml:space="preserve"> </w:t>
      </w:r>
      <w:r w:rsidRPr="00FB4EFA">
        <w:rPr>
          <w:rFonts w:cstheme="minorHAnsi"/>
          <w:lang w:val="fi-FI"/>
        </w:rPr>
        <w:t xml:space="preserve">’slaavilainen’, joka liittyy verbiin </w:t>
      </w:r>
      <w:r w:rsidRPr="00FB4EFA">
        <w:rPr>
          <w:rFonts w:ascii="OS Jeremy" w:hAnsi="OS Jeremy" w:cs="Cambria"/>
          <w:i/>
          <w:iCs/>
          <w:lang w:val="fi-FI"/>
        </w:rPr>
        <w:t>слъ</w:t>
      </w:r>
      <w:r w:rsidRPr="00FB4EFA">
        <w:rPr>
          <w:rFonts w:ascii="OS Jeremy" w:hAnsi="OS Jeremy" w:cs="Old Standard TT"/>
          <w:i/>
          <w:iCs/>
          <w:lang w:val="fi-FI"/>
        </w:rPr>
        <w:t>ı</w:t>
      </w:r>
      <w:r w:rsidRPr="00FB4EFA">
        <w:rPr>
          <w:rFonts w:ascii="OS Jeremy" w:hAnsi="OS Jeremy" w:cs="Cambria"/>
          <w:i/>
          <w:iCs/>
          <w:lang w:val="fi-FI"/>
        </w:rPr>
        <w:t>ш</w:t>
      </w:r>
      <w:r w:rsidR="005D00B9" w:rsidRPr="00FB4EFA">
        <w:rPr>
          <w:rFonts w:ascii="OS Jeremy" w:hAnsi="OS Jeremy" w:cs="Old Standard TT"/>
          <w:i/>
          <w:iCs/>
          <w:lang w:val="fi-FI"/>
        </w:rPr>
        <w:t>ҥ</w:t>
      </w:r>
      <w:r w:rsidRPr="00FB4EFA">
        <w:rPr>
          <w:rFonts w:ascii="OS Jeremy" w:hAnsi="OS Jeremy" w:cs="Cambria"/>
          <w:i/>
          <w:iCs/>
          <w:lang w:val="fi-FI"/>
        </w:rPr>
        <w:t>ти</w:t>
      </w:r>
      <w:r w:rsidRPr="00FB4EFA">
        <w:rPr>
          <w:rFonts w:ascii="OS Jeremy" w:hAnsi="OS Jeremy"/>
          <w:lang w:val="fi-FI"/>
        </w:rPr>
        <w:t xml:space="preserve"> </w:t>
      </w:r>
      <w:r w:rsidRPr="00FB4EFA">
        <w:rPr>
          <w:lang w:val="fi-FI"/>
        </w:rPr>
        <w:t xml:space="preserve">’kuulla’ samoin kuin </w:t>
      </w:r>
      <w:r w:rsidRPr="00FB4EFA">
        <w:rPr>
          <w:rFonts w:ascii="OS Jeremy" w:hAnsi="OS Jeremy" w:cs="Cambria"/>
          <w:i/>
          <w:iCs/>
          <w:lang w:val="fi-FI"/>
        </w:rPr>
        <w:t>сл</w:t>
      </w:r>
      <w:r w:rsidR="005D00B9" w:rsidRPr="00FB4EFA">
        <w:rPr>
          <w:rFonts w:ascii="OS Jeremy" w:hAnsi="OS Jeremy" w:cs="Old Standard TT"/>
          <w:i/>
          <w:iCs/>
          <w:lang w:val="fi-FI"/>
        </w:rPr>
        <w:t>ҥ</w:t>
      </w:r>
      <w:r w:rsidRPr="00FB4EFA">
        <w:rPr>
          <w:rFonts w:ascii="OS Jeremy" w:hAnsi="OS Jeremy" w:cs="Cambria"/>
          <w:i/>
          <w:iCs/>
          <w:lang w:val="fi-FI"/>
        </w:rPr>
        <w:t>в</w:t>
      </w:r>
      <w:r w:rsidR="005D00B9" w:rsidRPr="00FB4EFA">
        <w:rPr>
          <w:rFonts w:ascii="OS Jeremy" w:hAnsi="OS Jeremy" w:cs="Old Standard TT"/>
          <w:i/>
          <w:iCs/>
          <w:lang w:val="fi-FI"/>
        </w:rPr>
        <w:t>ҥ</w:t>
      </w:r>
      <w:r w:rsidRPr="00FB4EFA">
        <w:rPr>
          <w:rFonts w:ascii="OS Jeremy" w:hAnsi="OS Jeremy"/>
          <w:lang w:val="fi-FI"/>
        </w:rPr>
        <w:t xml:space="preserve"> </w:t>
      </w:r>
      <w:r w:rsidRPr="00FB4EFA">
        <w:rPr>
          <w:lang w:val="fi-FI"/>
        </w:rPr>
        <w:t xml:space="preserve">’maine, kunnia’ ja </w:t>
      </w:r>
      <w:r w:rsidRPr="00FB4EFA">
        <w:rPr>
          <w:rFonts w:ascii="OS Jeremy" w:hAnsi="OS Jeremy" w:cs="Cambria"/>
          <w:i/>
          <w:iCs/>
          <w:lang w:val="fi-FI"/>
        </w:rPr>
        <w:t>слово</w:t>
      </w:r>
      <w:r w:rsidRPr="00FB4EFA">
        <w:rPr>
          <w:lang w:val="fi-FI"/>
        </w:rPr>
        <w:t xml:space="preserve"> ’sana’. Muodostetaan vastaavasti kantasuomen *</w:t>
      </w:r>
      <w:r w:rsidRPr="00FB4EFA">
        <w:rPr>
          <w:i/>
          <w:iCs/>
          <w:lang w:val="fi-FI"/>
        </w:rPr>
        <w:t>kuule̮</w:t>
      </w:r>
      <w:r w:rsidRPr="00FB4EFA">
        <w:rPr>
          <w:lang w:val="fi-FI"/>
        </w:rPr>
        <w:t>-verbistä substantiivi *</w:t>
      </w:r>
      <w:r w:rsidRPr="00FB4EFA">
        <w:rPr>
          <w:i/>
          <w:iCs/>
          <w:lang w:val="fi-FI"/>
        </w:rPr>
        <w:t>kuulu</w:t>
      </w:r>
      <w:r w:rsidRPr="00FB4EFA">
        <w:rPr>
          <w:lang w:val="fi-FI"/>
        </w:rPr>
        <w:t xml:space="preserve"> ja siitä edelleen adjektiivi *</w:t>
      </w:r>
      <w:r w:rsidRPr="00FB4EFA">
        <w:rPr>
          <w:i/>
          <w:iCs/>
          <w:lang w:val="fi-FI"/>
        </w:rPr>
        <w:t>kuulujne̮n</w:t>
      </w:r>
      <w:r w:rsidRPr="00FB4EFA">
        <w:rPr>
          <w:lang w:val="fi-FI"/>
        </w:rPr>
        <w:t xml:space="preserve">, jonka kantaslaaviin istuttamalla saamme kehitettyä muodon </w:t>
      </w:r>
      <w:r w:rsidRPr="00FB4EFA">
        <w:rPr>
          <w:rFonts w:ascii="OS Jeremy" w:hAnsi="OS Jeremy" w:cs="Cambria"/>
          <w:i/>
          <w:iCs/>
          <w:lang w:val="fi-FI"/>
        </w:rPr>
        <w:t>къ</w:t>
      </w:r>
      <w:r w:rsidRPr="00FB4EFA">
        <w:rPr>
          <w:rFonts w:ascii="OS Jeremy" w:hAnsi="OS Jeremy" w:cs="Old Standard TT"/>
          <w:i/>
          <w:iCs/>
          <w:lang w:val="fi-FI"/>
        </w:rPr>
        <w:t>ı</w:t>
      </w:r>
      <w:r w:rsidRPr="00FB4EFA">
        <w:rPr>
          <w:rFonts w:ascii="OS Jeremy" w:hAnsi="OS Jeremy" w:cs="Cambria"/>
          <w:i/>
          <w:iCs/>
          <w:lang w:val="fi-FI"/>
        </w:rPr>
        <w:t>линѧ</w:t>
      </w:r>
      <w:r w:rsidRPr="00FB4EFA">
        <w:rPr>
          <w:rFonts w:ascii="OS Jeremy" w:hAnsi="OS Jeremy"/>
          <w:lang w:val="fi-FI"/>
        </w:rPr>
        <w:t xml:space="preserve"> </w:t>
      </w:r>
      <w:r w:rsidRPr="00FB4EFA">
        <w:rPr>
          <w:lang w:val="fi-FI"/>
        </w:rPr>
        <w:t xml:space="preserve">(olemme jo siirtyneet spekulaation maailmaan, joten emme tarvitse tässä kahta asteriskia), jonka lainaamme muodossa </w:t>
      </w:r>
      <w:r w:rsidRPr="00FB4EFA">
        <w:rPr>
          <w:i/>
          <w:iCs/>
          <w:lang w:val="fi-FI"/>
        </w:rPr>
        <w:t>kuilina</w:t>
      </w:r>
      <w:r w:rsidRPr="00FB4EFA">
        <w:rPr>
          <w:lang w:val="fi-FI"/>
        </w:rPr>
        <w:t>. Tämä olkoon kielikunnan nimi. Tässä käsittelemäni kielet ovat siis kirkkokuilina, venekuilina, rajakuilina, peltokuilina, bööminkuilina, etelänkuilina ja balkaninkuilina.</w:t>
      </w:r>
    </w:p>
    <w:p w14:paraId="4ABE4674" w14:textId="77777777" w:rsidR="00EF1775" w:rsidRPr="00FB4EFA" w:rsidRDefault="00EF1775" w:rsidP="00A219CF">
      <w:pPr>
        <w:ind w:firstLine="709"/>
        <w:rPr>
          <w:lang w:val="fi-FI"/>
        </w:rPr>
      </w:pPr>
      <w:r w:rsidRPr="00FB4EFA">
        <w:rPr>
          <w:lang w:val="fi-FI"/>
        </w:rPr>
        <w:t xml:space="preserve">Kuilina ei liene sellaisenaan ymmärrettävää edes itämerensuomen parhaille asiantuntijoille, joten aluksi teen aivan lyhyen johdatuksen kantakuilinaan ja sen äänteenmuutoksiin. Kantakuilina perustuu kantasuomeen, mutta ei tietenkään ole identtinen sen kanssa. Pitäähän kantakuilinalla olla kantaslaavin äänteistö ja suurin piirtein fonotaksikin. </w:t>
      </w:r>
      <w:r w:rsidRPr="00FB4EFA">
        <w:rPr>
          <w:lang w:val="fi-FI"/>
        </w:rPr>
        <w:lastRenderedPageBreak/>
        <w:t xml:space="preserve">Tämä on luomisprosessin kriittisin vaihe, joka perustuu useaan yritysten ja erehdysten sarjaan. En ole vieläkään täysin tyytyväinen siihen enkä siis vaadi tälle kielenluomeelleni mitään lopullista statusta, päinvastoin ”sydämeni </w:t>
      </w:r>
      <w:r w:rsidRPr="00FB4EFA">
        <w:rPr>
          <w:rFonts w:cs="Charis SIL"/>
          <w:lang w:val="fi-FI"/>
        </w:rPr>
        <w:t>iloitsisi”</w:t>
      </w:r>
      <w:r w:rsidRPr="00FB4EFA">
        <w:rPr>
          <w:rStyle w:val="Alaviitteenankkuri"/>
          <w:rFonts w:cs="Charis SIL"/>
          <w:lang w:val="fi-FI"/>
        </w:rPr>
        <w:footnoteReference w:id="42"/>
      </w:r>
      <w:r w:rsidRPr="00FB4EFA">
        <w:rPr>
          <w:rFonts w:cs="Charis SIL"/>
          <w:lang w:val="fi-FI"/>
        </w:rPr>
        <w:t xml:space="preserve"> jos</w:t>
      </w:r>
      <w:r w:rsidRPr="00FB4EFA">
        <w:rPr>
          <w:lang w:val="fi-FI"/>
        </w:rPr>
        <w:t xml:space="preserve"> joku kehittäisi kuilinaa vielä kauniimmaksi ja slaavilaisemmaksi.</w:t>
      </w:r>
    </w:p>
    <w:p w14:paraId="00A1A1BE"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Kantasuomesta</w:t>
      </w:r>
      <w:r w:rsidRPr="00FB4EFA">
        <w:rPr>
          <w:rFonts w:ascii="Charis SIL" w:hAnsi="Charis SIL"/>
          <w:color w:val="auto"/>
          <w:lang w:val="fi-FI"/>
        </w:rPr>
        <w:t xml:space="preserve"> </w:t>
      </w:r>
      <w:r w:rsidRPr="00FB4EFA">
        <w:rPr>
          <w:color w:val="auto"/>
          <w:lang w:val="fi-FI"/>
        </w:rPr>
        <w:t>kantakuilinaan</w:t>
      </w:r>
    </w:p>
    <w:p w14:paraId="53C6A215" w14:textId="1B74F004" w:rsidR="00EF1775" w:rsidRPr="00FB4EFA" w:rsidRDefault="00EF1775" w:rsidP="00A219CF">
      <w:pPr>
        <w:spacing w:after="240"/>
        <w:rPr>
          <w:lang w:val="fi-FI"/>
        </w:rPr>
      </w:pPr>
      <w:r w:rsidRPr="00FB4EFA">
        <w:rPr>
          <w:lang w:val="fi-FI"/>
        </w:rPr>
        <w:t>Ensinnä siis alkuteksti kantasuomeksi. Tässä rekonstruktiossa eivät ole mukana kaikki kuilinankielisissä teksteissä esiintyvät sanat, vaan ainoastaan ne, joita tässä yhteydessä olisi voitu käyttää jo kantasuomessa. Deminutiivipäätteitä en varmuuden vuoksi ole rekonstruoinut minnekään, vaikka niitä varmasti olisi tällaisessa tekstissä käytetty. Kuilinankielisiin käännöksiin olen niitä lisännyt slaavilaisten esikuvakieltensä mukaisesti niin uskollisesti kuin mahdollista, mutta vanhan *</w:t>
      </w:r>
      <w:r w:rsidRPr="00FB4EFA">
        <w:rPr>
          <w:i/>
          <w:lang w:val="fi-FI"/>
        </w:rPr>
        <w:t>i</w:t>
      </w:r>
      <w:r w:rsidRPr="00FB4EFA">
        <w:rPr>
          <w:lang w:val="fi-FI"/>
        </w:rPr>
        <w:t>- ~ *</w:t>
      </w:r>
      <w:r w:rsidRPr="00FB4EFA">
        <w:rPr>
          <w:i/>
          <w:iCs/>
          <w:lang w:val="fi-FI"/>
        </w:rPr>
        <w:t>oi</w:t>
      </w:r>
      <w:r w:rsidRPr="00FB4EFA">
        <w:rPr>
          <w:lang w:val="fi-FI"/>
        </w:rPr>
        <w:t xml:space="preserve">-deminutiivinpäätteen olisivat niitten äännekehitykset kalunneet käyttökelvottomaksi, enkä ole kantasuomeen asti uskaltanut muita </w:t>
      </w:r>
      <w:r w:rsidR="00A219CF" w:rsidRPr="00FB4EFA">
        <w:rPr>
          <w:lang w:val="fi-FI"/>
        </w:rPr>
        <w:br/>
      </w:r>
      <w:r w:rsidRPr="00FB4EFA">
        <w:rPr>
          <w:lang w:val="fi-FI"/>
        </w:rPr>
        <w:t>rekonstruoida.</w:t>
      </w:r>
    </w:p>
    <w:p w14:paraId="0644D1FB" w14:textId="3CA1BCF6" w:rsidR="00EF1775" w:rsidRPr="00FB4EFA" w:rsidRDefault="00EF1775" w:rsidP="00065E48">
      <w:pPr>
        <w:suppressAutoHyphens/>
        <w:spacing w:line="240" w:lineRule="auto"/>
        <w:ind w:left="709"/>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Repä lewci onte̮(lo)n/kolon/awkkon jämetän/paksun jalakan/küntäppäsen alta, kajwoj/uurci maase̮n hawtan/awkkon/ kooppan ja teki/ehtätti/kokoci/rakke̮nci/lakitti sinnek icellen pesän/pahnan/pahtakse̮n. 2</w:t>
      </w:r>
      <w:r w:rsidR="00545033" w:rsidRPr="00FB4EFA">
        <w:rPr>
          <w:sz w:val="20"/>
          <w:szCs w:val="20"/>
          <w:lang w:val="fi-FI"/>
        </w:rPr>
        <w:t>.</w:t>
      </w:r>
      <w:r w:rsidRPr="00FB4EFA">
        <w:rPr>
          <w:sz w:val="20"/>
          <w:szCs w:val="20"/>
          <w:lang w:val="fi-FI"/>
        </w:rPr>
        <w:t xml:space="preserve"> Päjwän-pajste̮kice̮na suwi/kesi-päjwänä sillen/sänellen süntewisen neljä pojkojta. 3</w:t>
      </w:r>
      <w:r w:rsidR="00545033" w:rsidRPr="00FB4EFA">
        <w:rPr>
          <w:sz w:val="20"/>
          <w:szCs w:val="20"/>
          <w:lang w:val="fi-FI"/>
        </w:rPr>
        <w:t>.</w:t>
      </w:r>
      <w:r w:rsidRPr="00FB4EFA">
        <w:rPr>
          <w:sz w:val="20"/>
          <w:szCs w:val="20"/>
          <w:lang w:val="fi-FI"/>
        </w:rPr>
        <w:t xml:space="preserve"> Net/söö omat niin kawnise̮t/somat: niillä/ sejllä/näjllä on teräwät korwat, nanat ja huule̮t mustat, häntät/hantat/saparat/taparat ke̮ltajce̮t, wakan häntän/hantan/saparan/taparan-päät/occat walke̮tat, jalkat/käppät peenet/pickujt, küntet ohute̮t. 4</w:t>
      </w:r>
      <w:r w:rsidR="00545033" w:rsidRPr="00FB4EFA">
        <w:rPr>
          <w:sz w:val="20"/>
          <w:szCs w:val="20"/>
          <w:lang w:val="fi-FI"/>
        </w:rPr>
        <w:t>.</w:t>
      </w:r>
      <w:r w:rsidRPr="00FB4EFA">
        <w:rPr>
          <w:sz w:val="20"/>
          <w:szCs w:val="20"/>
          <w:lang w:val="fi-FI"/>
        </w:rPr>
        <w:t xml:space="preserve"> Repä-emä kacce̮le̮pi/kaje̮le̮pi/ wanitte̮le̮pi niitä/sejtä/ näjtä ja sen sütän ilojcce̮kse̮n. 5</w:t>
      </w:r>
      <w:r w:rsidR="00545033" w:rsidRPr="00FB4EFA">
        <w:rPr>
          <w:sz w:val="20"/>
          <w:szCs w:val="20"/>
          <w:lang w:val="fi-FI"/>
        </w:rPr>
        <w:t>.</w:t>
      </w:r>
      <w:r w:rsidRPr="00FB4EFA">
        <w:rPr>
          <w:sz w:val="20"/>
          <w:szCs w:val="20"/>
          <w:lang w:val="fi-FI"/>
        </w:rPr>
        <w:t xml:space="preserve"> Ja repä päätti näkewttätäk lapcitansak kaje̮kkille̮n/ hamojlle̮n pe̮ltoj/nurmi ja me̮cci eläjillen.</w:t>
      </w:r>
    </w:p>
    <w:p w14:paraId="19383AAA" w14:textId="77777777" w:rsidR="00EF1775" w:rsidRPr="00FB4EFA" w:rsidRDefault="00EF1775" w:rsidP="00A219CF">
      <w:pPr>
        <w:spacing w:before="240"/>
        <w:rPr>
          <w:lang w:val="fi-FI"/>
        </w:rPr>
      </w:pPr>
      <w:r w:rsidRPr="00FB4EFA">
        <w:rPr>
          <w:lang w:val="fi-FI"/>
        </w:rPr>
        <w:t>Kantasuomen slaavilaistamisen – tai oikeammin kuilinoinnin – olen suorittanut pääpiirteissään seuraavasti:</w:t>
      </w:r>
    </w:p>
    <w:p w14:paraId="1D2F533E" w14:textId="2FB58BA3" w:rsidR="00EF1775" w:rsidRPr="00FB4EFA" w:rsidRDefault="00EF1775" w:rsidP="00A219CF">
      <w:pPr>
        <w:ind w:firstLine="708"/>
        <w:rPr>
          <w:lang w:val="fi-FI"/>
        </w:rPr>
      </w:pPr>
      <w:r w:rsidRPr="00FB4EFA">
        <w:rPr>
          <w:lang w:val="fi-FI"/>
        </w:rPr>
        <w:lastRenderedPageBreak/>
        <w:t xml:space="preserve">Sanansisäiset yksittäisklusiilit, affrikaatat ja -sibilantit soinnillistuvat. Painottoman vokaalin jäljessä ne osoittautuvat heikommiksi (kuten itämerensuomalaisissakin kielissä) ja muuttuvat puolivokaaleiksi: </w:t>
      </w:r>
      <w:r w:rsidRPr="00FB4EFA">
        <w:rPr>
          <w:i/>
          <w:iCs/>
          <w:lang w:val="fi-FI"/>
        </w:rPr>
        <w:t>k</w:t>
      </w:r>
      <w:r w:rsidRPr="00FB4EFA">
        <w:rPr>
          <w:lang w:val="fi-FI"/>
        </w:rPr>
        <w:t xml:space="preserve"> &gt; </w:t>
      </w:r>
      <w:r w:rsidRPr="00FB4EFA">
        <w:rPr>
          <w:i/>
          <w:iCs/>
          <w:lang w:val="fi-FI"/>
        </w:rPr>
        <w:t>j</w:t>
      </w:r>
      <w:r w:rsidRPr="00FB4EFA">
        <w:rPr>
          <w:lang w:val="fi-FI"/>
        </w:rPr>
        <w:t xml:space="preserve">, </w:t>
      </w:r>
      <w:r w:rsidRPr="00FB4EFA">
        <w:rPr>
          <w:i/>
          <w:iCs/>
          <w:lang w:val="fi-FI"/>
        </w:rPr>
        <w:t>p</w:t>
      </w:r>
      <w:r w:rsidRPr="00FB4EFA">
        <w:rPr>
          <w:lang w:val="fi-FI"/>
        </w:rPr>
        <w:t xml:space="preserve"> &gt; </w:t>
      </w:r>
      <w:r w:rsidRPr="00FB4EFA">
        <w:rPr>
          <w:i/>
          <w:iCs/>
          <w:lang w:val="fi-FI"/>
        </w:rPr>
        <w:t>w</w:t>
      </w:r>
      <w:r w:rsidRPr="00FB4EFA">
        <w:rPr>
          <w:lang w:val="fi-FI"/>
        </w:rPr>
        <w:t xml:space="preserve">; </w:t>
      </w:r>
      <w:r w:rsidRPr="00FB4EFA">
        <w:rPr>
          <w:i/>
          <w:iCs/>
          <w:lang w:val="fi-FI"/>
        </w:rPr>
        <w:t>t</w:t>
      </w:r>
      <w:r w:rsidRPr="00FB4EFA">
        <w:rPr>
          <w:lang w:val="fi-FI"/>
        </w:rPr>
        <w:t xml:space="preserve"> ja </w:t>
      </w:r>
      <w:r w:rsidRPr="00FB4EFA">
        <w:rPr>
          <w:i/>
          <w:iCs/>
          <w:lang w:val="fi-FI"/>
        </w:rPr>
        <w:t>s</w:t>
      </w:r>
      <w:r w:rsidRPr="00FB4EFA">
        <w:rPr>
          <w:lang w:val="fi-FI"/>
        </w:rPr>
        <w:t xml:space="preserve"> katoavat ensin, mutta edustuvat sittemmin hiatusäänteeksi syntyneenä </w:t>
      </w:r>
      <w:r w:rsidRPr="00FB4EFA">
        <w:rPr>
          <w:i/>
          <w:iCs/>
          <w:lang w:val="fi-FI"/>
        </w:rPr>
        <w:t>j</w:t>
      </w:r>
      <w:r w:rsidRPr="00FB4EFA">
        <w:rPr>
          <w:lang w:val="fi-FI"/>
        </w:rPr>
        <w:t>:nä. Samalla katoaa *</w:t>
      </w:r>
      <w:r w:rsidRPr="00FB4EFA">
        <w:rPr>
          <w:i/>
          <w:iCs/>
          <w:lang w:val="fi-FI"/>
        </w:rPr>
        <w:t>sän</w:t>
      </w:r>
      <w:r w:rsidR="003D6A52" w:rsidRPr="00FB4EFA">
        <w:rPr>
          <w:lang w:val="fi-FI"/>
        </w:rPr>
        <w:noBreakHyphen/>
      </w:r>
      <w:r w:rsidRPr="00FB4EFA">
        <w:rPr>
          <w:lang w:val="fi-FI"/>
        </w:rPr>
        <w:t xml:space="preserve">pronominin sananalkuinen </w:t>
      </w:r>
      <w:r w:rsidRPr="00FB4EFA">
        <w:rPr>
          <w:i/>
          <w:iCs/>
          <w:lang w:val="fi-FI"/>
        </w:rPr>
        <w:t>s</w:t>
      </w:r>
      <w:r w:rsidRPr="00FB4EFA">
        <w:rPr>
          <w:lang w:val="fi-FI"/>
        </w:rPr>
        <w:t xml:space="preserve">. Kantaslaavista puuttuneet affrikaatat </w:t>
      </w:r>
      <w:r w:rsidRPr="00FB4EFA">
        <w:rPr>
          <w:i/>
          <w:iCs/>
          <w:lang w:val="fi-FI"/>
        </w:rPr>
        <w:t>cc</w:t>
      </w:r>
      <w:r w:rsidRPr="00FB4EFA">
        <w:rPr>
          <w:lang w:val="fi-FI"/>
        </w:rPr>
        <w:t xml:space="preserve"> ja </w:t>
      </w:r>
      <w:r w:rsidRPr="00FB4EFA">
        <w:rPr>
          <w:i/>
          <w:iCs/>
          <w:lang w:val="fi-FI"/>
        </w:rPr>
        <w:t>c</w:t>
      </w:r>
      <w:r w:rsidRPr="00FB4EFA">
        <w:rPr>
          <w:lang w:val="fi-FI"/>
        </w:rPr>
        <w:t xml:space="preserve"> edustuvat konsonanttiyhtyminä </w:t>
      </w:r>
      <w:r w:rsidRPr="00FB4EFA">
        <w:rPr>
          <w:i/>
          <w:iCs/>
          <w:lang w:val="fi-FI"/>
        </w:rPr>
        <w:t>ttj</w:t>
      </w:r>
      <w:r w:rsidRPr="00FB4EFA">
        <w:rPr>
          <w:lang w:val="fi-FI"/>
        </w:rPr>
        <w:t xml:space="preserve"> ja </w:t>
      </w:r>
      <w:r w:rsidRPr="00FB4EFA">
        <w:rPr>
          <w:i/>
          <w:iCs/>
          <w:lang w:val="fi-FI"/>
        </w:rPr>
        <w:t>dj</w:t>
      </w:r>
      <w:r w:rsidRPr="00FB4EFA">
        <w:rPr>
          <w:lang w:val="fi-FI"/>
        </w:rPr>
        <w:t>.</w:t>
      </w:r>
    </w:p>
    <w:p w14:paraId="3B992FF0" w14:textId="77777777" w:rsidR="00EF1775" w:rsidRPr="00FB4EFA" w:rsidRDefault="00EF1775" w:rsidP="00A219CF">
      <w:pPr>
        <w:ind w:firstLine="708"/>
        <w:rPr>
          <w:lang w:val="fi-FI"/>
        </w:rPr>
      </w:pPr>
      <w:r w:rsidRPr="00FB4EFA">
        <w:rPr>
          <w:lang w:val="fi-FI"/>
        </w:rPr>
        <w:t xml:space="preserve">Pyöreät etuvokaalit </w:t>
      </w:r>
      <w:r w:rsidRPr="00FB4EFA">
        <w:rPr>
          <w:i/>
          <w:iCs/>
          <w:lang w:val="fi-FI"/>
        </w:rPr>
        <w:t>ü</w:t>
      </w:r>
      <w:r w:rsidRPr="00FB4EFA">
        <w:rPr>
          <w:lang w:val="fi-FI"/>
        </w:rPr>
        <w:t xml:space="preserve"> ja </w:t>
      </w:r>
      <w:r w:rsidRPr="00FB4EFA">
        <w:rPr>
          <w:i/>
          <w:iCs/>
          <w:lang w:val="fi-FI"/>
        </w:rPr>
        <w:t>ö</w:t>
      </w:r>
      <w:r w:rsidRPr="00FB4EFA">
        <w:rPr>
          <w:lang w:val="fi-FI"/>
        </w:rPr>
        <w:t xml:space="preserve"> muuttuvat laveiksi vastineiksensa </w:t>
      </w:r>
      <w:r w:rsidRPr="00FB4EFA">
        <w:rPr>
          <w:i/>
          <w:iCs/>
          <w:lang w:val="fi-FI"/>
        </w:rPr>
        <w:t>i</w:t>
      </w:r>
      <w:r w:rsidRPr="00FB4EFA">
        <w:rPr>
          <w:lang w:val="fi-FI"/>
        </w:rPr>
        <w:t xml:space="preserve"> ja </w:t>
      </w:r>
      <w:r w:rsidRPr="00FB4EFA">
        <w:rPr>
          <w:i/>
          <w:iCs/>
          <w:lang w:val="fi-FI"/>
        </w:rPr>
        <w:t>e</w:t>
      </w:r>
      <w:r w:rsidRPr="00FB4EFA">
        <w:rPr>
          <w:lang w:val="fi-FI"/>
        </w:rPr>
        <w:t xml:space="preserve">, lavea takavokaali </w:t>
      </w:r>
      <w:r w:rsidRPr="00FB4EFA">
        <w:rPr>
          <w:i/>
          <w:iCs/>
          <w:lang w:val="fi-FI"/>
        </w:rPr>
        <w:t>e</w:t>
      </w:r>
      <w:r w:rsidRPr="00FB4EFA">
        <w:rPr>
          <w:rFonts w:cs="Times New Roman"/>
          <w:i/>
          <w:iCs/>
          <w:lang w:val="fi-FI"/>
        </w:rPr>
        <w:t>̮</w:t>
      </w:r>
      <w:r w:rsidRPr="00FB4EFA">
        <w:rPr>
          <w:lang w:val="fi-FI"/>
        </w:rPr>
        <w:t xml:space="preserve"> taas pyöreäksi </w:t>
      </w:r>
      <w:r w:rsidRPr="00FB4EFA">
        <w:rPr>
          <w:i/>
          <w:iCs/>
          <w:lang w:val="fi-FI"/>
        </w:rPr>
        <w:t>o</w:t>
      </w:r>
      <w:r w:rsidRPr="00FB4EFA">
        <w:rPr>
          <w:lang w:val="fi-FI"/>
        </w:rPr>
        <w:t xml:space="preserve">:ksi. Puolisuppeat vokaalit </w:t>
      </w:r>
      <w:r w:rsidRPr="00FB4EFA">
        <w:rPr>
          <w:i/>
          <w:iCs/>
          <w:lang w:val="fi-FI"/>
        </w:rPr>
        <w:t>o</w:t>
      </w:r>
      <w:r w:rsidRPr="00FB4EFA">
        <w:rPr>
          <w:lang w:val="fi-FI"/>
        </w:rPr>
        <w:t xml:space="preserve">, </w:t>
      </w:r>
      <w:r w:rsidRPr="00FB4EFA">
        <w:rPr>
          <w:i/>
          <w:iCs/>
          <w:lang w:val="fi-FI"/>
        </w:rPr>
        <w:t>e</w:t>
      </w:r>
      <w:r w:rsidRPr="00FB4EFA">
        <w:rPr>
          <w:rFonts w:cs="Times New Roman"/>
          <w:i/>
          <w:iCs/>
          <w:lang w:val="fi-FI"/>
        </w:rPr>
        <w:t>̮</w:t>
      </w:r>
      <w:r w:rsidRPr="00FB4EFA">
        <w:rPr>
          <w:lang w:val="fi-FI"/>
        </w:rPr>
        <w:t xml:space="preserve">, </w:t>
      </w:r>
      <w:r w:rsidRPr="00FB4EFA">
        <w:rPr>
          <w:i/>
          <w:iCs/>
          <w:lang w:val="fi-FI"/>
        </w:rPr>
        <w:t>ö</w:t>
      </w:r>
      <w:r w:rsidRPr="00FB4EFA">
        <w:rPr>
          <w:lang w:val="fi-FI"/>
        </w:rPr>
        <w:t xml:space="preserve">, </w:t>
      </w:r>
      <w:r w:rsidRPr="00FB4EFA">
        <w:rPr>
          <w:i/>
          <w:iCs/>
          <w:lang w:val="fi-FI"/>
        </w:rPr>
        <w:t>e</w:t>
      </w:r>
      <w:r w:rsidRPr="00FB4EFA">
        <w:rPr>
          <w:lang w:val="fi-FI"/>
        </w:rPr>
        <w:t xml:space="preserve"> väljentyvät. Kantasuomessa vielä harvinaiset pitkät puolisuppeat vokaalit </w:t>
      </w:r>
      <w:r w:rsidRPr="00FB4EFA">
        <w:rPr>
          <w:i/>
          <w:iCs/>
          <w:lang w:val="fi-FI"/>
        </w:rPr>
        <w:t>oo</w:t>
      </w:r>
      <w:r w:rsidRPr="00FB4EFA">
        <w:rPr>
          <w:lang w:val="fi-FI"/>
        </w:rPr>
        <w:t xml:space="preserve">, </w:t>
      </w:r>
      <w:r w:rsidRPr="00FB4EFA">
        <w:rPr>
          <w:i/>
          <w:iCs/>
          <w:lang w:val="fi-FI"/>
        </w:rPr>
        <w:t>e</w:t>
      </w:r>
      <w:r w:rsidRPr="00FB4EFA">
        <w:rPr>
          <w:rFonts w:cs="Times New Roman"/>
          <w:i/>
          <w:iCs/>
          <w:lang w:val="fi-FI"/>
        </w:rPr>
        <w:t>̮</w:t>
      </w:r>
      <w:r w:rsidRPr="00FB4EFA">
        <w:rPr>
          <w:i/>
          <w:iCs/>
          <w:lang w:val="fi-FI"/>
        </w:rPr>
        <w:t>e</w:t>
      </w:r>
      <w:r w:rsidRPr="00FB4EFA">
        <w:rPr>
          <w:rFonts w:cs="Times New Roman"/>
          <w:i/>
          <w:iCs/>
          <w:lang w:val="fi-FI"/>
        </w:rPr>
        <w:t>̮</w:t>
      </w:r>
      <w:r w:rsidRPr="00FB4EFA">
        <w:rPr>
          <w:lang w:val="fi-FI"/>
        </w:rPr>
        <w:t xml:space="preserve">, </w:t>
      </w:r>
      <w:r w:rsidRPr="00FB4EFA">
        <w:rPr>
          <w:i/>
          <w:iCs/>
          <w:lang w:val="fi-FI"/>
        </w:rPr>
        <w:t>öö</w:t>
      </w:r>
      <w:r w:rsidRPr="00FB4EFA">
        <w:rPr>
          <w:lang w:val="fi-FI"/>
        </w:rPr>
        <w:t xml:space="preserve">, </w:t>
      </w:r>
      <w:r w:rsidRPr="00FB4EFA">
        <w:rPr>
          <w:i/>
          <w:iCs/>
          <w:lang w:val="fi-FI"/>
        </w:rPr>
        <w:t>ee</w:t>
      </w:r>
      <w:r w:rsidRPr="00FB4EFA">
        <w:rPr>
          <w:lang w:val="fi-FI"/>
        </w:rPr>
        <w:t xml:space="preserve"> sitä vastoin supistuvat. Näitten konsonantti- ja vokaalikehitysten jäljiltä teksti näyttää nyt jo kantaslaavilaisemmalta.</w:t>
      </w:r>
    </w:p>
    <w:p w14:paraId="7ED0EFC9" w14:textId="26718130" w:rsidR="00EF1775" w:rsidRPr="00FB4EFA" w:rsidRDefault="00EF1775" w:rsidP="00065E48">
      <w:pPr>
        <w:suppressAutoHyphens/>
        <w:spacing w:before="240" w:after="240" w:line="240" w:lineRule="auto"/>
        <w:ind w:left="709"/>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Räbä läwdji anda(la)n/kalan/awkkan jämäjän/paksun jalajan/ kindäppäzän alda, kajwaj/wurdji maazan hawdan/awkkan/kuuppan ja tägi/ähdätti/kogodji/rakkondji/ lagitti sinnäk idjällän päzän/ pahnan/pahdaksan. 2</w:t>
      </w:r>
      <w:r w:rsidR="00545033" w:rsidRPr="00FB4EFA">
        <w:rPr>
          <w:sz w:val="20"/>
          <w:szCs w:val="20"/>
          <w:lang w:val="fi-FI"/>
        </w:rPr>
        <w:t>.</w:t>
      </w:r>
      <w:r w:rsidRPr="00FB4EFA">
        <w:rPr>
          <w:sz w:val="20"/>
          <w:szCs w:val="20"/>
          <w:lang w:val="fi-FI"/>
        </w:rPr>
        <w:t xml:space="preserve"> Päjwän-pajstajidjana suwi/käzi-päjwänä sillän/ änällän sindäwizän näljä pajgajja. 3</w:t>
      </w:r>
      <w:r w:rsidR="00545033" w:rsidRPr="00FB4EFA">
        <w:rPr>
          <w:sz w:val="20"/>
          <w:szCs w:val="20"/>
          <w:lang w:val="fi-FI"/>
        </w:rPr>
        <w:t>.</w:t>
      </w:r>
      <w:r w:rsidRPr="00FB4EFA">
        <w:rPr>
          <w:sz w:val="20"/>
          <w:szCs w:val="20"/>
          <w:lang w:val="fi-FI"/>
        </w:rPr>
        <w:t xml:space="preserve"> Nät/ii amat niin kawnijat/samat: niillä/sejllä/näjllä an täräwät karwat, nanat ja huulat mustat, händät/handat/sabarat/tabarat kaldajdjat, wagan händän/handan/ sabaran/tabaran-päät/attjat walgajat, jalgat/käppät piinät/pitjkujt, kindät ahujat. 4</w:t>
      </w:r>
      <w:r w:rsidR="00545033" w:rsidRPr="00FB4EFA">
        <w:rPr>
          <w:sz w:val="20"/>
          <w:szCs w:val="20"/>
          <w:lang w:val="fi-FI"/>
        </w:rPr>
        <w:t>.</w:t>
      </w:r>
      <w:r w:rsidRPr="00FB4EFA">
        <w:rPr>
          <w:sz w:val="20"/>
          <w:szCs w:val="20"/>
          <w:lang w:val="fi-FI"/>
        </w:rPr>
        <w:t xml:space="preserve"> Räbä-ämä kattjalabi/kajalabi/wanittalawi niidä/ säjdä/näjdä ja sän sidän ilajttjaksan. 5</w:t>
      </w:r>
      <w:r w:rsidR="00545033" w:rsidRPr="00FB4EFA">
        <w:rPr>
          <w:sz w:val="20"/>
          <w:szCs w:val="20"/>
          <w:lang w:val="fi-FI"/>
        </w:rPr>
        <w:t>.</w:t>
      </w:r>
      <w:r w:rsidRPr="00FB4EFA">
        <w:rPr>
          <w:sz w:val="20"/>
          <w:szCs w:val="20"/>
          <w:lang w:val="fi-FI"/>
        </w:rPr>
        <w:t xml:space="preserve"> Ja räbä päätti nägewttädäk laptjijanzak kajakkillan/hamajllan paldaj/nurmi ja mattji äläjillän.</w:t>
      </w:r>
    </w:p>
    <w:p w14:paraId="308BFDE9" w14:textId="77777777" w:rsidR="00EF1775" w:rsidRPr="00FB4EFA" w:rsidRDefault="00EF1775" w:rsidP="00A219CF">
      <w:pPr>
        <w:rPr>
          <w:lang w:val="fi-FI"/>
        </w:rPr>
      </w:pPr>
      <w:r w:rsidRPr="00FB4EFA">
        <w:rPr>
          <w:lang w:val="fi-FI"/>
        </w:rPr>
        <w:t>Seuraa hankalin kohta: kantasuomen yksitotisesta trokeemitasta pitäisi kasvattaa koko kantaslaavin pahamaineinen aksentologia, josta kaikkien sukupolvien slavistit ovat kirjoittaneet yhteensä kymmeniä tuhansia sivuja eikä sitä silti ole kukaan vielä täysin ymmärtänyt. Tiedetään kuitenkin, että jo ennen kantaslaavia syntyi ominaisuus nimeltä akuuttius. Kukaan ei osaa sanoa, miltä akuuttius kuulosti, mutta se lienee syntynyt jo kantabaltoslaavissa muinaisen konsonanttisen aineksen kuten laryngaalien ja aspiraation kadotessa ja pidentäessä edeltämäänsä vokaalia.</w:t>
      </w:r>
    </w:p>
    <w:p w14:paraId="0598B248" w14:textId="77777777" w:rsidR="00EF1775" w:rsidRPr="00FB4EFA" w:rsidRDefault="00EF1775" w:rsidP="00A219CF">
      <w:pPr>
        <w:ind w:firstLine="708"/>
        <w:rPr>
          <w:lang w:val="fi-FI"/>
        </w:rPr>
      </w:pPr>
      <w:r w:rsidRPr="00FB4EFA">
        <w:rPr>
          <w:lang w:val="fi-FI"/>
        </w:rPr>
        <w:t>Vasta paljon akuuttiuden syntyä myöhemmin esikantaslaavi ryhtyi pyrkimään eroon kaikista tavunloppuisista konsonanteistaan. Koska kantasuomessa näitä oli erityisen paljon, voisi ajatella, että niitten katoa kompensoimaan syntyi vastaava piirre. Niinpä olen yhdistänyt tavunloppuisten konsonanttien katoon edeltäneen lyhyen vokaalin muuttumisen pitkäksi akuutiksi, vaikka tämä ei kantaslaavia edeltänyttä, joka tapauk</w:t>
      </w:r>
      <w:r w:rsidRPr="00FB4EFA">
        <w:rPr>
          <w:lang w:val="fi-FI"/>
        </w:rPr>
        <w:lastRenderedPageBreak/>
        <w:t>sessa jo kauan ennen luomaani kielenvaihtoa vastaakaa</w:t>
      </w:r>
      <w:r w:rsidRPr="00FB4EFA">
        <w:rPr>
          <w:rFonts w:cs="Charis SIL"/>
          <w:lang w:val="fi-FI"/>
        </w:rPr>
        <w:t>n.</w:t>
      </w:r>
      <w:r w:rsidRPr="00FB4EFA">
        <w:rPr>
          <w:rStyle w:val="Alaviitteenankkuri"/>
          <w:rFonts w:cs="Charis SIL"/>
          <w:lang w:val="fi-FI"/>
        </w:rPr>
        <w:footnoteReference w:id="43"/>
      </w:r>
      <w:r w:rsidRPr="00FB4EFA">
        <w:rPr>
          <w:rFonts w:cs="Charis SIL"/>
          <w:lang w:val="fi-FI"/>
        </w:rPr>
        <w:t xml:space="preserve"> </w:t>
      </w:r>
      <w:r w:rsidRPr="00FB4EFA">
        <w:rPr>
          <w:lang w:val="fi-FI"/>
        </w:rPr>
        <w:t xml:space="preserve">Tietämättömyyden hämärässä taiteilija uskaltaa tehdä enemmän kuin kirkkaassa päivänvalossa. Olen akuutistanut myös pitkät vokaalit ja diftongit, joitten jäljestä on kadonnut tavunloppuinen konsonantti (tässä vaiheessa kantasuomea tällaiset tavut olivat jo mahdollisia). </w:t>
      </w:r>
      <w:r w:rsidRPr="00FB4EFA">
        <w:rPr>
          <w:i/>
          <w:iCs/>
          <w:lang w:val="fi-FI"/>
        </w:rPr>
        <w:t>Ä</w:t>
      </w:r>
      <w:r w:rsidRPr="00FB4EFA">
        <w:rPr>
          <w:lang w:val="fi-FI"/>
        </w:rPr>
        <w:t xml:space="preserve">:n sijasta kirjoitan tästä eteenpäin </w:t>
      </w:r>
      <w:r w:rsidRPr="00FB4EFA">
        <w:rPr>
          <w:i/>
          <w:iCs/>
          <w:lang w:val="fi-FI"/>
        </w:rPr>
        <w:t>e</w:t>
      </w:r>
      <w:r w:rsidRPr="00FB4EFA">
        <w:rPr>
          <w:lang w:val="fi-FI"/>
        </w:rPr>
        <w:t>:n, jonka päällä akuutti aksentti näkyy paremmin.</w:t>
      </w:r>
    </w:p>
    <w:p w14:paraId="4DFC3771" w14:textId="3B2993F3" w:rsidR="00EF1775" w:rsidRPr="00FB4EFA" w:rsidRDefault="00EF1775" w:rsidP="00065E48">
      <w:pPr>
        <w:suppressAutoHyphens/>
        <w:spacing w:before="240" w:after="240" w:line="240" w:lineRule="auto"/>
        <w:ind w:left="708"/>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Rebe lewdji anda(la)n/kalan/aẃkan jemejen/paásun jalajan/ kindeépezen alda, kajwaj/wurdji maazan hawdan/aẃkan/kuúpan ja tegi/eédeéti/kogodji/raákondji/lagiíti siíneé idjeélen pezen/paánan/ paádaása. 2</w:t>
      </w:r>
      <w:r w:rsidR="00545033" w:rsidRPr="00FB4EFA">
        <w:rPr>
          <w:sz w:val="20"/>
          <w:szCs w:val="20"/>
          <w:lang w:val="fi-FI"/>
        </w:rPr>
        <w:t>.</w:t>
      </w:r>
      <w:r w:rsidRPr="00FB4EFA">
        <w:rPr>
          <w:sz w:val="20"/>
          <w:szCs w:val="20"/>
          <w:lang w:val="fi-FI"/>
        </w:rPr>
        <w:t xml:space="preserve"> Pejwen-pajstajidjana suwi/kezi-pejwene siílen/eneélen sindewizen nelje pajgajja. 3</w:t>
      </w:r>
      <w:r w:rsidR="00545033" w:rsidRPr="00FB4EFA">
        <w:rPr>
          <w:sz w:val="20"/>
          <w:szCs w:val="20"/>
          <w:lang w:val="fi-FI"/>
        </w:rPr>
        <w:t>.</w:t>
      </w:r>
      <w:r w:rsidRPr="00FB4EFA">
        <w:rPr>
          <w:sz w:val="20"/>
          <w:szCs w:val="20"/>
          <w:lang w:val="fi-FI"/>
        </w:rPr>
        <w:t xml:space="preserve"> Neé/ii amaá niin kawnijaá/samaá: niíle/ej́le/ nej́le an terewe</w:t>
      </w:r>
      <w:r w:rsidRPr="00FB4EFA">
        <w:rPr>
          <w:rFonts w:cs="Old Standard TT"/>
          <w:sz w:val="20"/>
          <w:szCs w:val="20"/>
          <w:lang w:val="fi-FI"/>
        </w:rPr>
        <w:t>é</w:t>
      </w:r>
      <w:r w:rsidRPr="00FB4EFA">
        <w:rPr>
          <w:sz w:val="20"/>
          <w:szCs w:val="20"/>
          <w:lang w:val="fi-FI"/>
        </w:rPr>
        <w:t xml:space="preserve"> karwa</w:t>
      </w:r>
      <w:r w:rsidRPr="00FB4EFA">
        <w:rPr>
          <w:rFonts w:cs="Old Standard TT"/>
          <w:sz w:val="20"/>
          <w:szCs w:val="20"/>
          <w:lang w:val="fi-FI"/>
        </w:rPr>
        <w:t>á</w:t>
      </w:r>
      <w:r w:rsidRPr="00FB4EFA">
        <w:rPr>
          <w:sz w:val="20"/>
          <w:szCs w:val="20"/>
          <w:lang w:val="fi-FI"/>
        </w:rPr>
        <w:t>, nana</w:t>
      </w:r>
      <w:r w:rsidRPr="00FB4EFA">
        <w:rPr>
          <w:rFonts w:cs="Old Standard TT"/>
          <w:sz w:val="20"/>
          <w:szCs w:val="20"/>
          <w:lang w:val="fi-FI"/>
        </w:rPr>
        <w:t>á</w:t>
      </w:r>
      <w:r w:rsidRPr="00FB4EFA">
        <w:rPr>
          <w:sz w:val="20"/>
          <w:szCs w:val="20"/>
          <w:lang w:val="fi-FI"/>
        </w:rPr>
        <w:t>/nene</w:t>
      </w:r>
      <w:r w:rsidRPr="00FB4EFA">
        <w:rPr>
          <w:rFonts w:cs="Old Standard TT"/>
          <w:sz w:val="20"/>
          <w:szCs w:val="20"/>
          <w:lang w:val="fi-FI"/>
        </w:rPr>
        <w:t>é</w:t>
      </w:r>
      <w:r w:rsidRPr="00FB4EFA">
        <w:rPr>
          <w:sz w:val="20"/>
          <w:szCs w:val="20"/>
          <w:lang w:val="fi-FI"/>
        </w:rPr>
        <w:t xml:space="preserve"> ja huula</w:t>
      </w:r>
      <w:r w:rsidRPr="00FB4EFA">
        <w:rPr>
          <w:rFonts w:cs="Old Standard TT"/>
          <w:sz w:val="20"/>
          <w:szCs w:val="20"/>
          <w:lang w:val="fi-FI"/>
        </w:rPr>
        <w:t>á</w:t>
      </w:r>
      <w:r w:rsidRPr="00FB4EFA">
        <w:rPr>
          <w:sz w:val="20"/>
          <w:szCs w:val="20"/>
          <w:lang w:val="fi-FI"/>
        </w:rPr>
        <w:t xml:space="preserve"> musta</w:t>
      </w:r>
      <w:r w:rsidRPr="00FB4EFA">
        <w:rPr>
          <w:rFonts w:cs="Old Standard TT"/>
          <w:sz w:val="20"/>
          <w:szCs w:val="20"/>
          <w:lang w:val="fi-FI"/>
        </w:rPr>
        <w:t>á</w:t>
      </w:r>
      <w:r w:rsidRPr="00FB4EFA">
        <w:rPr>
          <w:sz w:val="20"/>
          <w:szCs w:val="20"/>
          <w:lang w:val="fi-FI"/>
        </w:rPr>
        <w:t>, hende</w:t>
      </w:r>
      <w:r w:rsidRPr="00FB4EFA">
        <w:rPr>
          <w:rFonts w:cs="Old Standard TT"/>
          <w:sz w:val="20"/>
          <w:szCs w:val="20"/>
          <w:lang w:val="fi-FI"/>
        </w:rPr>
        <w:t>é</w:t>
      </w:r>
      <w:r w:rsidRPr="00FB4EFA">
        <w:rPr>
          <w:sz w:val="20"/>
          <w:szCs w:val="20"/>
          <w:lang w:val="fi-FI"/>
        </w:rPr>
        <w:t>/handa</w:t>
      </w:r>
      <w:r w:rsidRPr="00FB4EFA">
        <w:rPr>
          <w:rFonts w:cs="Old Standard TT"/>
          <w:sz w:val="20"/>
          <w:szCs w:val="20"/>
          <w:lang w:val="fi-FI"/>
        </w:rPr>
        <w:t>á</w:t>
      </w:r>
      <w:r w:rsidRPr="00FB4EFA">
        <w:rPr>
          <w:sz w:val="20"/>
          <w:szCs w:val="20"/>
          <w:lang w:val="fi-FI"/>
        </w:rPr>
        <w:t>/sabaraá/tabaraá kaldajdjaá, wagan henden/handan/ sabaran/tabaran-peé/a</w:t>
      </w:r>
      <w:r w:rsidRPr="00FB4EFA">
        <w:rPr>
          <w:rFonts w:cs="Old Standard TT"/>
          <w:sz w:val="20"/>
          <w:szCs w:val="20"/>
          <w:lang w:val="fi-FI"/>
        </w:rPr>
        <w:t>á</w:t>
      </w:r>
      <w:r w:rsidRPr="00FB4EFA">
        <w:rPr>
          <w:sz w:val="20"/>
          <w:szCs w:val="20"/>
          <w:lang w:val="fi-FI"/>
        </w:rPr>
        <w:t>tja</w:t>
      </w:r>
      <w:r w:rsidRPr="00FB4EFA">
        <w:rPr>
          <w:rFonts w:cs="Old Standard TT"/>
          <w:sz w:val="20"/>
          <w:szCs w:val="20"/>
          <w:lang w:val="fi-FI"/>
        </w:rPr>
        <w:t>á</w:t>
      </w:r>
      <w:r w:rsidRPr="00FB4EFA">
        <w:rPr>
          <w:sz w:val="20"/>
          <w:szCs w:val="20"/>
          <w:lang w:val="fi-FI"/>
        </w:rPr>
        <w:t xml:space="preserve"> walgaja</w:t>
      </w:r>
      <w:r w:rsidRPr="00FB4EFA">
        <w:rPr>
          <w:rFonts w:cs="Old Standard TT"/>
          <w:sz w:val="20"/>
          <w:szCs w:val="20"/>
          <w:lang w:val="fi-FI"/>
        </w:rPr>
        <w:t>á</w:t>
      </w:r>
      <w:r w:rsidRPr="00FB4EFA">
        <w:rPr>
          <w:sz w:val="20"/>
          <w:szCs w:val="20"/>
          <w:lang w:val="fi-FI"/>
        </w:rPr>
        <w:t>, jalga</w:t>
      </w:r>
      <w:r w:rsidRPr="00FB4EFA">
        <w:rPr>
          <w:rFonts w:cs="Old Standard TT"/>
          <w:sz w:val="20"/>
          <w:szCs w:val="20"/>
          <w:lang w:val="fi-FI"/>
        </w:rPr>
        <w:t>á</w:t>
      </w:r>
      <w:r w:rsidRPr="00FB4EFA">
        <w:rPr>
          <w:sz w:val="20"/>
          <w:szCs w:val="20"/>
          <w:lang w:val="fi-FI"/>
        </w:rPr>
        <w:t>/ke</w:t>
      </w:r>
      <w:r w:rsidRPr="00FB4EFA">
        <w:rPr>
          <w:rFonts w:cs="Old Standard TT"/>
          <w:sz w:val="20"/>
          <w:szCs w:val="20"/>
          <w:lang w:val="fi-FI"/>
        </w:rPr>
        <w:t>é</w:t>
      </w:r>
      <w:r w:rsidRPr="00FB4EFA">
        <w:rPr>
          <w:sz w:val="20"/>
          <w:szCs w:val="20"/>
          <w:lang w:val="fi-FI"/>
        </w:rPr>
        <w:t>pe</w:t>
      </w:r>
      <w:r w:rsidRPr="00FB4EFA">
        <w:rPr>
          <w:rFonts w:cs="Old Standard TT"/>
          <w:sz w:val="20"/>
          <w:szCs w:val="20"/>
          <w:lang w:val="fi-FI"/>
        </w:rPr>
        <w:t>é</w:t>
      </w:r>
      <w:r w:rsidRPr="00FB4EFA">
        <w:rPr>
          <w:sz w:val="20"/>
          <w:szCs w:val="20"/>
          <w:lang w:val="fi-FI"/>
        </w:rPr>
        <w:t xml:space="preserve"> piine</w:t>
      </w:r>
      <w:r w:rsidRPr="00FB4EFA">
        <w:rPr>
          <w:rFonts w:cs="Old Standard TT"/>
          <w:sz w:val="20"/>
          <w:szCs w:val="20"/>
          <w:lang w:val="fi-FI"/>
        </w:rPr>
        <w:t>é</w:t>
      </w:r>
      <w:r w:rsidRPr="00FB4EFA">
        <w:rPr>
          <w:sz w:val="20"/>
          <w:szCs w:val="20"/>
          <w:lang w:val="fi-FI"/>
        </w:rPr>
        <w:t>/pi</w:t>
      </w:r>
      <w:r w:rsidRPr="00FB4EFA">
        <w:rPr>
          <w:rFonts w:cs="Old Standard TT"/>
          <w:sz w:val="20"/>
          <w:szCs w:val="20"/>
          <w:lang w:val="fi-FI"/>
        </w:rPr>
        <w:t>í</w:t>
      </w:r>
      <w:r w:rsidRPr="00FB4EFA">
        <w:rPr>
          <w:sz w:val="20"/>
          <w:szCs w:val="20"/>
          <w:lang w:val="fi-FI"/>
        </w:rPr>
        <w:t>kuj́, kinde</w:t>
      </w:r>
      <w:r w:rsidRPr="00FB4EFA">
        <w:rPr>
          <w:rFonts w:cs="Old Standard TT"/>
          <w:sz w:val="20"/>
          <w:szCs w:val="20"/>
          <w:lang w:val="fi-FI"/>
        </w:rPr>
        <w:t>é</w:t>
      </w:r>
      <w:r w:rsidRPr="00FB4EFA">
        <w:rPr>
          <w:sz w:val="20"/>
          <w:szCs w:val="20"/>
          <w:lang w:val="fi-FI"/>
        </w:rPr>
        <w:t xml:space="preserve"> ahuja</w:t>
      </w:r>
      <w:r w:rsidRPr="00FB4EFA">
        <w:rPr>
          <w:rFonts w:cs="Old Standard TT"/>
          <w:sz w:val="20"/>
          <w:szCs w:val="20"/>
          <w:lang w:val="fi-FI"/>
        </w:rPr>
        <w:t>á</w:t>
      </w:r>
      <w:r w:rsidRPr="00FB4EFA">
        <w:rPr>
          <w:sz w:val="20"/>
          <w:szCs w:val="20"/>
          <w:lang w:val="fi-FI"/>
        </w:rPr>
        <w:t>. 4</w:t>
      </w:r>
      <w:r w:rsidR="00545033" w:rsidRPr="00FB4EFA">
        <w:rPr>
          <w:sz w:val="20"/>
          <w:szCs w:val="20"/>
          <w:lang w:val="fi-FI"/>
        </w:rPr>
        <w:t>.</w:t>
      </w:r>
      <w:r w:rsidRPr="00FB4EFA">
        <w:rPr>
          <w:sz w:val="20"/>
          <w:szCs w:val="20"/>
          <w:lang w:val="fi-FI"/>
        </w:rPr>
        <w:t xml:space="preserve"> Rebe-eme kaátjalabi/kajalabi/wani</w:t>
      </w:r>
      <w:r w:rsidRPr="00FB4EFA">
        <w:rPr>
          <w:rFonts w:cs="Old Standard TT"/>
          <w:sz w:val="20"/>
          <w:szCs w:val="20"/>
          <w:lang w:val="fi-FI"/>
        </w:rPr>
        <w:t>í</w:t>
      </w:r>
      <w:r w:rsidRPr="00FB4EFA">
        <w:rPr>
          <w:sz w:val="20"/>
          <w:szCs w:val="20"/>
          <w:lang w:val="fi-FI"/>
        </w:rPr>
        <w:t>talawi niide/ ejde/nejde ja sen siden ilaj́tja</w:t>
      </w:r>
      <w:r w:rsidRPr="00FB4EFA">
        <w:rPr>
          <w:rFonts w:cs="Old Standard TT"/>
          <w:sz w:val="20"/>
          <w:szCs w:val="20"/>
          <w:lang w:val="fi-FI"/>
        </w:rPr>
        <w:t>á</w:t>
      </w:r>
      <w:r w:rsidRPr="00FB4EFA">
        <w:rPr>
          <w:sz w:val="20"/>
          <w:szCs w:val="20"/>
          <w:lang w:val="fi-FI"/>
        </w:rPr>
        <w:t>san. 5</w:t>
      </w:r>
      <w:r w:rsidR="00545033" w:rsidRPr="00FB4EFA">
        <w:rPr>
          <w:sz w:val="20"/>
          <w:szCs w:val="20"/>
          <w:lang w:val="fi-FI"/>
        </w:rPr>
        <w:t>.</w:t>
      </w:r>
      <w:r w:rsidRPr="00FB4EFA">
        <w:rPr>
          <w:sz w:val="20"/>
          <w:szCs w:val="20"/>
          <w:lang w:val="fi-FI"/>
        </w:rPr>
        <w:t xml:space="preserve"> Ja rebe peéti negeẃtede</w:t>
      </w:r>
      <w:r w:rsidRPr="00FB4EFA">
        <w:rPr>
          <w:rFonts w:cs="Old Standard TT"/>
          <w:sz w:val="20"/>
          <w:szCs w:val="20"/>
          <w:lang w:val="fi-FI"/>
        </w:rPr>
        <w:t>é</w:t>
      </w:r>
      <w:r w:rsidRPr="00FB4EFA">
        <w:rPr>
          <w:sz w:val="20"/>
          <w:szCs w:val="20"/>
          <w:lang w:val="fi-FI"/>
        </w:rPr>
        <w:t xml:space="preserve"> la</w:t>
      </w:r>
      <w:r w:rsidRPr="00FB4EFA">
        <w:rPr>
          <w:rFonts w:cs="Old Standard TT"/>
          <w:sz w:val="20"/>
          <w:szCs w:val="20"/>
          <w:lang w:val="fi-FI"/>
        </w:rPr>
        <w:t>á</w:t>
      </w:r>
      <w:r w:rsidRPr="00FB4EFA">
        <w:rPr>
          <w:sz w:val="20"/>
          <w:szCs w:val="20"/>
          <w:lang w:val="fi-FI"/>
        </w:rPr>
        <w:t>tjijanzaá kajaákiílan/hamaj́lan paldaj/nurmi ja ma</w:t>
      </w:r>
      <w:r w:rsidRPr="00FB4EFA">
        <w:rPr>
          <w:rFonts w:cs="Old Standard TT"/>
          <w:sz w:val="20"/>
          <w:szCs w:val="20"/>
          <w:lang w:val="fi-FI"/>
        </w:rPr>
        <w:t>á</w:t>
      </w:r>
      <w:r w:rsidRPr="00FB4EFA">
        <w:rPr>
          <w:sz w:val="20"/>
          <w:szCs w:val="20"/>
          <w:lang w:val="fi-FI"/>
        </w:rPr>
        <w:t>tji elejiílen.</w:t>
      </w:r>
    </w:p>
    <w:p w14:paraId="5FE7C83C" w14:textId="77777777" w:rsidR="00EF1775" w:rsidRPr="00FB4EFA" w:rsidRDefault="00EF1775" w:rsidP="00A219CF">
      <w:pPr>
        <w:rPr>
          <w:lang w:val="fi-FI"/>
        </w:rPr>
      </w:pPr>
      <w:r w:rsidRPr="00FB4EFA">
        <w:rPr>
          <w:lang w:val="fi-FI"/>
        </w:rPr>
        <w:t xml:space="preserve">Akuuttius ei ole yhtä kuin sananpaino, vaan esikantaslaavissa akuutteja saattoivat olla sekä painolliset että painottomat tavut, kunhan vokaali vain oli pitkä. Akuuttius kuitenkin veti sananpainoa puoleensa. Kun pääpaino oli ensitavulla, kuten kantasuomessa aina, se tällä myös pysyi, jos tämä oli akuutti. Ei-akuutilta ensitavulta paino siirtyi seuraavalle tavulle (Dybon laki), jonka jälkeen paino palasi ei-akuutilta tavulta, paitsi lyhyen </w:t>
      </w:r>
      <w:r w:rsidRPr="00FB4EFA">
        <w:rPr>
          <w:i/>
          <w:iCs/>
          <w:lang w:val="fi-FI"/>
        </w:rPr>
        <w:t>a</w:t>
      </w:r>
      <w:r w:rsidRPr="00FB4EFA">
        <w:rPr>
          <w:lang w:val="fi-FI"/>
        </w:rPr>
        <w:t xml:space="preserve">:n ja </w:t>
      </w:r>
      <w:r w:rsidRPr="00FB4EFA">
        <w:rPr>
          <w:i/>
          <w:iCs/>
          <w:lang w:val="fi-FI"/>
        </w:rPr>
        <w:t>e</w:t>
      </w:r>
      <w:r w:rsidRPr="00FB4EFA">
        <w:rPr>
          <w:lang w:val="fi-FI"/>
        </w:rPr>
        <w:t>:n päältä, takaisin alkutavulle (Iv</w:t>
      </w:r>
      <w:r w:rsidRPr="00FB4EFA">
        <w:rPr>
          <w:rFonts w:cs="Cambria"/>
          <w:lang w:val="fi-FI"/>
        </w:rPr>
        <w:t>š</w:t>
      </w:r>
      <w:r w:rsidRPr="00FB4EFA">
        <w:rPr>
          <w:lang w:val="fi-FI"/>
        </w:rPr>
        <w:t>i</w:t>
      </w:r>
      <w:r w:rsidRPr="00FB4EFA">
        <w:rPr>
          <w:rFonts w:cs="Cambria"/>
          <w:lang w:val="fi-FI"/>
        </w:rPr>
        <w:t>ć</w:t>
      </w:r>
      <w:r w:rsidRPr="00FB4EFA">
        <w:rPr>
          <w:lang w:val="fi-FI"/>
        </w:rPr>
        <w:t>in laki). Dybon lakia en t</w:t>
      </w:r>
      <w:r w:rsidRPr="00FB4EFA">
        <w:rPr>
          <w:rFonts w:cs="Old Standard TT"/>
          <w:lang w:val="fi-FI"/>
        </w:rPr>
        <w:t>ä</w:t>
      </w:r>
      <w:r w:rsidRPr="00FB4EFA">
        <w:rPr>
          <w:lang w:val="fi-FI"/>
        </w:rPr>
        <w:t>ss</w:t>
      </w:r>
      <w:r w:rsidRPr="00FB4EFA">
        <w:rPr>
          <w:rFonts w:cs="Old Standard TT"/>
          <w:lang w:val="fi-FI"/>
        </w:rPr>
        <w:t>ä</w:t>
      </w:r>
      <w:r w:rsidRPr="00FB4EFA">
        <w:rPr>
          <w:lang w:val="fi-FI"/>
        </w:rPr>
        <w:t xml:space="preserve"> kuitenkaan sovella sellaisenaan, vaan siirr</w:t>
      </w:r>
      <w:r w:rsidRPr="00FB4EFA">
        <w:rPr>
          <w:rFonts w:cs="Old Standard TT"/>
          <w:lang w:val="fi-FI"/>
        </w:rPr>
        <w:t>ä</w:t>
      </w:r>
      <w:r w:rsidRPr="00FB4EFA">
        <w:rPr>
          <w:lang w:val="fi-FI"/>
        </w:rPr>
        <w:t xml:space="preserve">n painon ei-akuutilta ensitavulta aina akuutille tavulle asti </w:t>
      </w:r>
      <w:r w:rsidRPr="00FB4EFA">
        <w:rPr>
          <w:rFonts w:cs="Old Standard TT"/>
          <w:lang w:val="fi-FI"/>
        </w:rPr>
        <w:t>–</w:t>
      </w:r>
      <w:r w:rsidRPr="00FB4EFA">
        <w:rPr>
          <w:lang w:val="fi-FI"/>
        </w:rPr>
        <w:t xml:space="preserve"> jos sanassa semmoinen on </w:t>
      </w:r>
      <w:r w:rsidRPr="00FB4EFA">
        <w:rPr>
          <w:rFonts w:cs="Old Standard TT"/>
          <w:lang w:val="fi-FI"/>
        </w:rPr>
        <w:t>–</w:t>
      </w:r>
      <w:r w:rsidRPr="00FB4EFA">
        <w:rPr>
          <w:lang w:val="fi-FI"/>
        </w:rPr>
        <w:t xml:space="preserve"> saadakseni aikaan kantaslaavissa tavallisia loppupainoisia muotoja.</w:t>
      </w:r>
    </w:p>
    <w:p w14:paraId="59F98BFF"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Kantakuilina</w:t>
      </w:r>
    </w:p>
    <w:p w14:paraId="557CAC8C" w14:textId="77777777" w:rsidR="00EF1775" w:rsidRPr="00FB4EFA" w:rsidRDefault="00EF1775" w:rsidP="00A219CF">
      <w:pPr>
        <w:rPr>
          <w:lang w:val="fi-FI"/>
        </w:rPr>
      </w:pPr>
      <w:r w:rsidRPr="00FB4EFA">
        <w:rPr>
          <w:lang w:val="fi-FI"/>
        </w:rPr>
        <w:t>Seuraava versio tekstistä on vihdoin kantakuilinaa. Sen olen saanut paitsi soveltamalla aksentinsiirtymissääntöjä myös kopioimalla kantaslaavin kehityksestä ensimmäiseksi palatalisaatioksi kutsutun konsonantinmuu</w:t>
      </w:r>
      <w:r w:rsidRPr="00FB4EFA">
        <w:rPr>
          <w:lang w:val="fi-FI"/>
        </w:rPr>
        <w:lastRenderedPageBreak/>
        <w:t xml:space="preserve">toksen sekä sitä seuranneet vokaalinmuutokset. Palatalisaatioksi tätä kantaslaavilaista muutosta perinteisesti kutsutaan, vaikka oikeastaan siinä jo valmiiksi palatalisoituneet klusiilit muuttuvat affrikaatoiksi ja frikatiivi sibilantiksi: </w:t>
      </w:r>
      <w:r w:rsidRPr="00FB4EFA">
        <w:rPr>
          <w:i/>
          <w:iCs/>
          <w:lang w:val="fi-FI"/>
        </w:rPr>
        <w:t>k</w:t>
      </w:r>
      <w:r w:rsidRPr="00FB4EFA">
        <w:rPr>
          <w:lang w:val="fi-FI"/>
        </w:rPr>
        <w:t xml:space="preserve">, </w:t>
      </w:r>
      <w:r w:rsidRPr="00FB4EFA">
        <w:rPr>
          <w:i/>
          <w:iCs/>
          <w:lang w:val="fi-FI"/>
        </w:rPr>
        <w:t>g</w:t>
      </w:r>
      <w:r w:rsidRPr="00FB4EFA">
        <w:rPr>
          <w:lang w:val="fi-FI"/>
        </w:rPr>
        <w:t xml:space="preserve"> ja </w:t>
      </w:r>
      <w:r w:rsidRPr="00FB4EFA">
        <w:rPr>
          <w:i/>
          <w:iCs/>
          <w:lang w:val="fi-FI"/>
        </w:rPr>
        <w:t>x</w:t>
      </w:r>
      <w:r w:rsidRPr="00FB4EFA">
        <w:rPr>
          <w:lang w:val="fi-FI"/>
        </w:rPr>
        <w:t xml:space="preserve"> etuvokaalin ja </w:t>
      </w:r>
      <w:r w:rsidRPr="00FB4EFA">
        <w:rPr>
          <w:i/>
          <w:iCs/>
          <w:lang w:val="fi-FI"/>
        </w:rPr>
        <w:t>j</w:t>
      </w:r>
      <w:r w:rsidRPr="00FB4EFA">
        <w:rPr>
          <w:lang w:val="fi-FI"/>
        </w:rPr>
        <w:t xml:space="preserve">:n edellä &gt; </w:t>
      </w:r>
      <w:r w:rsidRPr="00FB4EFA">
        <w:rPr>
          <w:rFonts w:cs="Cambria"/>
          <w:i/>
          <w:iCs/>
          <w:lang w:val="fi-FI"/>
        </w:rPr>
        <w:t>ťś</w:t>
      </w:r>
      <w:r w:rsidRPr="00FB4EFA">
        <w:rPr>
          <w:lang w:val="fi-FI"/>
        </w:rPr>
        <w:t xml:space="preserve">, </w:t>
      </w:r>
      <w:r w:rsidRPr="00FB4EFA">
        <w:rPr>
          <w:rFonts w:cs="Cambria"/>
          <w:i/>
          <w:iCs/>
          <w:lang w:val="fi-FI"/>
        </w:rPr>
        <w:t>ďź</w:t>
      </w:r>
      <w:r w:rsidRPr="00FB4EFA">
        <w:rPr>
          <w:lang w:val="fi-FI"/>
        </w:rPr>
        <w:t xml:space="preserve">, </w:t>
      </w:r>
      <w:r w:rsidRPr="00FB4EFA">
        <w:rPr>
          <w:rFonts w:cs="Cambria"/>
          <w:i/>
          <w:iCs/>
          <w:lang w:val="fi-FI"/>
        </w:rPr>
        <w:t>ś</w:t>
      </w:r>
      <w:r w:rsidRPr="00FB4EFA">
        <w:rPr>
          <w:lang w:val="fi-FI"/>
        </w:rPr>
        <w:t xml:space="preserve">. Samalla myös yhtymät </w:t>
      </w:r>
      <w:r w:rsidRPr="00FB4EFA">
        <w:rPr>
          <w:i/>
          <w:iCs/>
          <w:lang w:val="fi-FI"/>
        </w:rPr>
        <w:t>tj</w:t>
      </w:r>
      <w:r w:rsidRPr="00FB4EFA">
        <w:rPr>
          <w:lang w:val="fi-FI"/>
        </w:rPr>
        <w:t xml:space="preserve"> ja </w:t>
      </w:r>
      <w:r w:rsidRPr="00FB4EFA">
        <w:rPr>
          <w:i/>
          <w:iCs/>
          <w:lang w:val="fi-FI"/>
        </w:rPr>
        <w:t>dj</w:t>
      </w:r>
      <w:r w:rsidRPr="00FB4EFA">
        <w:rPr>
          <w:lang w:val="fi-FI"/>
        </w:rPr>
        <w:t xml:space="preserve"> muuttuivat &gt; </w:t>
      </w:r>
      <w:r w:rsidRPr="00FB4EFA">
        <w:rPr>
          <w:rFonts w:cs="Cambria"/>
          <w:i/>
          <w:iCs/>
          <w:lang w:val="fi-FI"/>
        </w:rPr>
        <w:t>śť</w:t>
      </w:r>
      <w:r w:rsidRPr="00FB4EFA">
        <w:rPr>
          <w:lang w:val="fi-FI"/>
        </w:rPr>
        <w:t xml:space="preserve">, </w:t>
      </w:r>
      <w:r w:rsidRPr="00FB4EFA">
        <w:rPr>
          <w:rFonts w:cs="Cambria"/>
          <w:i/>
          <w:iCs/>
          <w:lang w:val="fi-FI"/>
        </w:rPr>
        <w:t>źď</w:t>
      </w:r>
      <w:r w:rsidRPr="00FB4EFA">
        <w:rPr>
          <w:lang w:val="fi-FI"/>
        </w:rPr>
        <w:t xml:space="preserve">. Ensimmäisen palatalisaation jälkeen vokaalit sekä </w:t>
      </w:r>
      <w:r w:rsidRPr="00FB4EFA">
        <w:rPr>
          <w:i/>
          <w:lang w:val="fi-FI"/>
        </w:rPr>
        <w:t>j</w:t>
      </w:r>
      <w:r w:rsidRPr="00FB4EFA">
        <w:rPr>
          <w:lang w:val="fi-FI"/>
        </w:rPr>
        <w:t xml:space="preserve">:n että näitten affrikaattojen ja frikatiivien jäljessä muuttivat etisyyttänsä niin, että </w:t>
      </w:r>
      <w:r w:rsidRPr="00FB4EFA">
        <w:rPr>
          <w:i/>
          <w:iCs/>
          <w:lang w:val="fi-FI"/>
        </w:rPr>
        <w:t>a</w:t>
      </w:r>
      <w:r w:rsidRPr="00FB4EFA">
        <w:rPr>
          <w:lang w:val="fi-FI"/>
        </w:rPr>
        <w:t xml:space="preserve">, </w:t>
      </w:r>
      <w:r w:rsidRPr="00FB4EFA">
        <w:rPr>
          <w:i/>
          <w:iCs/>
          <w:lang w:val="fi-FI"/>
        </w:rPr>
        <w:t>u</w:t>
      </w:r>
      <w:r w:rsidRPr="00FB4EFA">
        <w:rPr>
          <w:lang w:val="fi-FI"/>
        </w:rPr>
        <w:t xml:space="preserve"> ja </w:t>
      </w:r>
      <w:r w:rsidRPr="00FB4EFA">
        <w:rPr>
          <w:i/>
          <w:iCs/>
          <w:lang w:val="fi-FI"/>
        </w:rPr>
        <w:t>ū</w:t>
      </w:r>
      <w:r w:rsidRPr="00FB4EFA">
        <w:rPr>
          <w:lang w:val="fi-FI"/>
        </w:rPr>
        <w:t xml:space="preserve"> etistyivät &gt; </w:t>
      </w:r>
      <w:r w:rsidRPr="00FB4EFA">
        <w:rPr>
          <w:i/>
          <w:iCs/>
          <w:lang w:val="fi-FI"/>
        </w:rPr>
        <w:t>e</w:t>
      </w:r>
      <w:r w:rsidRPr="00FB4EFA">
        <w:rPr>
          <w:lang w:val="fi-FI"/>
        </w:rPr>
        <w:t xml:space="preserve">, </w:t>
      </w:r>
      <w:r w:rsidRPr="00FB4EFA">
        <w:rPr>
          <w:i/>
          <w:iCs/>
          <w:lang w:val="fi-FI"/>
        </w:rPr>
        <w:t>i</w:t>
      </w:r>
      <w:r w:rsidRPr="00FB4EFA">
        <w:rPr>
          <w:lang w:val="fi-FI"/>
        </w:rPr>
        <w:t xml:space="preserve">, </w:t>
      </w:r>
      <w:r w:rsidRPr="00FB4EFA">
        <w:rPr>
          <w:i/>
          <w:iCs/>
          <w:lang w:val="fi-FI"/>
        </w:rPr>
        <w:t>ī</w:t>
      </w:r>
      <w:r w:rsidRPr="00FB4EFA">
        <w:rPr>
          <w:lang w:val="fi-FI"/>
        </w:rPr>
        <w:t xml:space="preserve">, mutta </w:t>
      </w:r>
      <w:r w:rsidRPr="00FB4EFA">
        <w:rPr>
          <w:i/>
          <w:iCs/>
          <w:lang w:val="fi-FI"/>
        </w:rPr>
        <w:t>ew</w:t>
      </w:r>
      <w:r w:rsidRPr="00FB4EFA">
        <w:rPr>
          <w:lang w:val="fi-FI"/>
        </w:rPr>
        <w:t xml:space="preserve"> ja </w:t>
      </w:r>
      <w:r w:rsidRPr="00FB4EFA">
        <w:rPr>
          <w:i/>
          <w:iCs/>
          <w:lang w:val="fi-FI"/>
        </w:rPr>
        <w:t>ē</w:t>
      </w:r>
      <w:r w:rsidRPr="00FB4EFA">
        <w:rPr>
          <w:lang w:val="fi-FI"/>
        </w:rPr>
        <w:t xml:space="preserve"> takaistuivat &gt; </w:t>
      </w:r>
      <w:r w:rsidRPr="00FB4EFA">
        <w:rPr>
          <w:i/>
          <w:iCs/>
          <w:lang w:val="fi-FI"/>
        </w:rPr>
        <w:t>aw</w:t>
      </w:r>
      <w:r w:rsidRPr="00FB4EFA">
        <w:rPr>
          <w:lang w:val="fi-FI"/>
        </w:rPr>
        <w:t xml:space="preserve">, </w:t>
      </w:r>
      <w:r w:rsidRPr="00FB4EFA">
        <w:rPr>
          <w:i/>
          <w:iCs/>
          <w:lang w:val="fi-FI"/>
        </w:rPr>
        <w:t>ā</w:t>
      </w:r>
      <w:r w:rsidRPr="00FB4EFA">
        <w:rPr>
          <w:lang w:val="fi-FI"/>
        </w:rPr>
        <w:t xml:space="preserve">; muualla </w:t>
      </w:r>
      <w:r w:rsidRPr="00FB4EFA">
        <w:rPr>
          <w:i/>
          <w:iCs/>
          <w:lang w:val="fi-FI"/>
        </w:rPr>
        <w:t>ew</w:t>
      </w:r>
      <w:r w:rsidRPr="00FB4EFA">
        <w:rPr>
          <w:lang w:val="fi-FI"/>
        </w:rPr>
        <w:t xml:space="preserve"> &gt; </w:t>
      </w:r>
      <w:r w:rsidRPr="00FB4EFA">
        <w:rPr>
          <w:i/>
          <w:iCs/>
          <w:lang w:val="fi-FI"/>
        </w:rPr>
        <w:t>jaw</w:t>
      </w:r>
      <w:r w:rsidRPr="00FB4EFA">
        <w:rPr>
          <w:lang w:val="fi-FI"/>
        </w:rPr>
        <w:t xml:space="preserve">, ja sanan alussa myös </w:t>
      </w:r>
      <w:r w:rsidRPr="00FB4EFA">
        <w:rPr>
          <w:i/>
          <w:iCs/>
          <w:lang w:val="fi-FI"/>
        </w:rPr>
        <w:t>ē</w:t>
      </w:r>
      <w:r w:rsidRPr="00FB4EFA">
        <w:rPr>
          <w:lang w:val="fi-FI"/>
        </w:rPr>
        <w:t xml:space="preserve"> &gt; </w:t>
      </w:r>
      <w:r w:rsidRPr="00FB4EFA">
        <w:rPr>
          <w:i/>
          <w:iCs/>
          <w:lang w:val="fi-FI"/>
        </w:rPr>
        <w:t>jā</w:t>
      </w:r>
      <w:r w:rsidRPr="00FB4EFA">
        <w:rPr>
          <w:lang w:val="fi-FI"/>
        </w:rPr>
        <w:t>.</w:t>
      </w:r>
    </w:p>
    <w:p w14:paraId="2AF45AD1" w14:textId="461D7DC3" w:rsidR="00EF1775" w:rsidRPr="00FB4EFA" w:rsidRDefault="00EF1775" w:rsidP="00065E48">
      <w:pPr>
        <w:suppressAutoHyphens/>
        <w:spacing w:before="240" w:after="240" w:line="240" w:lineRule="auto"/>
        <w:ind w:left="708"/>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Rebè ljàw</w:t>
      </w:r>
      <w:r w:rsidRPr="00FB4EFA">
        <w:rPr>
          <w:rFonts w:cs="Cambria"/>
          <w:sz w:val="20"/>
          <w:szCs w:val="20"/>
          <w:lang w:val="fi-FI"/>
        </w:rPr>
        <w:t>źď</w:t>
      </w:r>
      <w:r w:rsidRPr="00FB4EFA">
        <w:rPr>
          <w:sz w:val="20"/>
          <w:szCs w:val="20"/>
          <w:lang w:val="fi-FI"/>
        </w:rPr>
        <w:t>i àndan/andàlan/kàlan/aẃkan jemèjen/paásun jelàjen/</w:t>
      </w:r>
      <w:r w:rsidRPr="00FB4EFA">
        <w:rPr>
          <w:rFonts w:cs="Cambria"/>
          <w:sz w:val="20"/>
          <w:szCs w:val="20"/>
          <w:lang w:val="fi-FI"/>
        </w:rPr>
        <w:t>ťś</w:t>
      </w:r>
      <w:r w:rsidRPr="00FB4EFA">
        <w:rPr>
          <w:sz w:val="20"/>
          <w:szCs w:val="20"/>
          <w:lang w:val="fi-FI"/>
        </w:rPr>
        <w:t>indeépezen aldà, kàjwaj/wùr</w:t>
      </w:r>
      <w:r w:rsidRPr="00FB4EFA">
        <w:rPr>
          <w:rFonts w:cs="Cambria"/>
          <w:sz w:val="20"/>
          <w:szCs w:val="20"/>
          <w:lang w:val="fi-FI"/>
        </w:rPr>
        <w:t>źď</w:t>
      </w:r>
      <w:r w:rsidRPr="00FB4EFA">
        <w:rPr>
          <w:sz w:val="20"/>
          <w:szCs w:val="20"/>
          <w:lang w:val="fi-FI"/>
        </w:rPr>
        <w:t>i màazan hàwdan/aẃkan/ kuúpan je tè</w:t>
      </w:r>
      <w:r w:rsidRPr="00FB4EFA">
        <w:rPr>
          <w:rFonts w:cs="Times New Roman"/>
          <w:sz w:val="20"/>
          <w:szCs w:val="20"/>
          <w:lang w:val="fi-FI"/>
        </w:rPr>
        <w:t>ďź</w:t>
      </w:r>
      <w:r w:rsidRPr="00FB4EFA">
        <w:rPr>
          <w:sz w:val="20"/>
          <w:szCs w:val="20"/>
          <w:lang w:val="fi-FI"/>
        </w:rPr>
        <w:t>i/ja</w:t>
      </w:r>
      <w:r w:rsidRPr="00FB4EFA">
        <w:rPr>
          <w:rFonts w:cs="Old Standard TT"/>
          <w:sz w:val="20"/>
          <w:szCs w:val="20"/>
          <w:lang w:val="fi-FI"/>
        </w:rPr>
        <w:t>á</w:t>
      </w:r>
      <w:r w:rsidRPr="00FB4EFA">
        <w:rPr>
          <w:sz w:val="20"/>
          <w:szCs w:val="20"/>
          <w:lang w:val="fi-FI"/>
        </w:rPr>
        <w:t>de</w:t>
      </w:r>
      <w:r w:rsidRPr="00FB4EFA">
        <w:rPr>
          <w:rFonts w:cs="Old Standard TT"/>
          <w:sz w:val="20"/>
          <w:szCs w:val="20"/>
          <w:lang w:val="fi-FI"/>
        </w:rPr>
        <w:t>é</w:t>
      </w:r>
      <w:r w:rsidRPr="00FB4EFA">
        <w:rPr>
          <w:sz w:val="20"/>
          <w:szCs w:val="20"/>
          <w:lang w:val="fi-FI"/>
        </w:rPr>
        <w:t>ti</w:t>
      </w:r>
      <w:r w:rsidRPr="00FB4EFA">
        <w:rPr>
          <w:rStyle w:val="Alaviitteenankkuri"/>
          <w:rFonts w:cs="Charis SIL"/>
          <w:sz w:val="20"/>
          <w:szCs w:val="20"/>
          <w:lang w:val="fi-FI"/>
        </w:rPr>
        <w:footnoteReference w:id="44"/>
      </w:r>
      <w:r w:rsidRPr="00FB4EFA">
        <w:rPr>
          <w:sz w:val="20"/>
          <w:szCs w:val="20"/>
          <w:lang w:val="fi-FI"/>
        </w:rPr>
        <w:t>/kogò</w:t>
      </w:r>
      <w:r w:rsidRPr="00FB4EFA">
        <w:rPr>
          <w:rFonts w:cs="Cambria"/>
          <w:sz w:val="20"/>
          <w:szCs w:val="20"/>
          <w:lang w:val="fi-FI"/>
        </w:rPr>
        <w:t>źď</w:t>
      </w:r>
      <w:r w:rsidRPr="00FB4EFA">
        <w:rPr>
          <w:sz w:val="20"/>
          <w:szCs w:val="20"/>
          <w:lang w:val="fi-FI"/>
        </w:rPr>
        <w:t>i/ra</w:t>
      </w:r>
      <w:r w:rsidRPr="00FB4EFA">
        <w:rPr>
          <w:rFonts w:cs="Old Standard TT"/>
          <w:sz w:val="20"/>
          <w:szCs w:val="20"/>
          <w:lang w:val="fi-FI"/>
        </w:rPr>
        <w:t>á</w:t>
      </w:r>
      <w:r w:rsidRPr="00FB4EFA">
        <w:rPr>
          <w:sz w:val="20"/>
          <w:szCs w:val="20"/>
          <w:lang w:val="fi-FI"/>
        </w:rPr>
        <w:t>kon</w:t>
      </w:r>
      <w:r w:rsidRPr="00FB4EFA">
        <w:rPr>
          <w:rFonts w:cs="Cambria"/>
          <w:sz w:val="20"/>
          <w:szCs w:val="20"/>
          <w:lang w:val="fi-FI"/>
        </w:rPr>
        <w:t>źď</w:t>
      </w:r>
      <w:r w:rsidRPr="00FB4EFA">
        <w:rPr>
          <w:sz w:val="20"/>
          <w:szCs w:val="20"/>
          <w:lang w:val="fi-FI"/>
        </w:rPr>
        <w:t>i/la</w:t>
      </w:r>
      <w:r w:rsidRPr="00FB4EFA">
        <w:rPr>
          <w:rFonts w:cs="Cambria"/>
          <w:sz w:val="20"/>
          <w:szCs w:val="20"/>
          <w:lang w:val="fi-FI"/>
        </w:rPr>
        <w:t>ďź</w:t>
      </w:r>
      <w:r w:rsidRPr="00FB4EFA">
        <w:rPr>
          <w:sz w:val="20"/>
          <w:szCs w:val="20"/>
          <w:lang w:val="fi-FI"/>
        </w:rPr>
        <w:t>iíti si</w:t>
      </w:r>
      <w:r w:rsidRPr="00FB4EFA">
        <w:rPr>
          <w:rFonts w:cs="Old Standard TT"/>
          <w:sz w:val="20"/>
          <w:szCs w:val="20"/>
          <w:lang w:val="fi-FI"/>
        </w:rPr>
        <w:t>í</w:t>
      </w:r>
      <w:r w:rsidRPr="00FB4EFA">
        <w:rPr>
          <w:sz w:val="20"/>
          <w:szCs w:val="20"/>
          <w:lang w:val="fi-FI"/>
        </w:rPr>
        <w:t>ne</w:t>
      </w:r>
      <w:r w:rsidRPr="00FB4EFA">
        <w:rPr>
          <w:rFonts w:cs="Old Standard TT"/>
          <w:sz w:val="20"/>
          <w:szCs w:val="20"/>
          <w:lang w:val="fi-FI"/>
        </w:rPr>
        <w:t>é</w:t>
      </w:r>
      <w:r w:rsidRPr="00FB4EFA">
        <w:rPr>
          <w:sz w:val="20"/>
          <w:szCs w:val="20"/>
          <w:lang w:val="fi-FI"/>
        </w:rPr>
        <w:t xml:space="preserve"> i</w:t>
      </w:r>
      <w:r w:rsidRPr="00FB4EFA">
        <w:rPr>
          <w:rFonts w:cs="Cambria"/>
          <w:sz w:val="20"/>
          <w:szCs w:val="20"/>
          <w:lang w:val="fi-FI"/>
        </w:rPr>
        <w:t>źď</w:t>
      </w:r>
      <w:r w:rsidRPr="00FB4EFA">
        <w:rPr>
          <w:sz w:val="20"/>
          <w:szCs w:val="20"/>
          <w:lang w:val="fi-FI"/>
        </w:rPr>
        <w:t>a</w:t>
      </w:r>
      <w:r w:rsidRPr="00FB4EFA">
        <w:rPr>
          <w:rFonts w:cs="Old Standard TT"/>
          <w:sz w:val="20"/>
          <w:szCs w:val="20"/>
          <w:lang w:val="fi-FI"/>
        </w:rPr>
        <w:t>á</w:t>
      </w:r>
      <w:r w:rsidRPr="00FB4EFA">
        <w:rPr>
          <w:sz w:val="20"/>
          <w:szCs w:val="20"/>
          <w:lang w:val="fi-FI"/>
        </w:rPr>
        <w:t>len pèzen/pa</w:t>
      </w:r>
      <w:r w:rsidRPr="00FB4EFA">
        <w:rPr>
          <w:rFonts w:cs="Old Standard TT"/>
          <w:sz w:val="20"/>
          <w:szCs w:val="20"/>
          <w:lang w:val="fi-FI"/>
        </w:rPr>
        <w:t>á</w:t>
      </w:r>
      <w:r w:rsidRPr="00FB4EFA">
        <w:rPr>
          <w:sz w:val="20"/>
          <w:szCs w:val="20"/>
          <w:lang w:val="fi-FI"/>
        </w:rPr>
        <w:t>nan/pa</w:t>
      </w:r>
      <w:r w:rsidRPr="00FB4EFA">
        <w:rPr>
          <w:rFonts w:cs="Old Standard TT"/>
          <w:sz w:val="20"/>
          <w:szCs w:val="20"/>
          <w:lang w:val="fi-FI"/>
        </w:rPr>
        <w:t>á</w:t>
      </w:r>
      <w:r w:rsidRPr="00FB4EFA">
        <w:rPr>
          <w:sz w:val="20"/>
          <w:szCs w:val="20"/>
          <w:lang w:val="fi-FI"/>
        </w:rPr>
        <w:t>da</w:t>
      </w:r>
      <w:r w:rsidRPr="00FB4EFA">
        <w:rPr>
          <w:rFonts w:cs="Old Standard TT"/>
          <w:sz w:val="20"/>
          <w:szCs w:val="20"/>
          <w:lang w:val="fi-FI"/>
        </w:rPr>
        <w:t>á</w:t>
      </w:r>
      <w:r w:rsidRPr="00FB4EFA">
        <w:rPr>
          <w:sz w:val="20"/>
          <w:szCs w:val="20"/>
          <w:lang w:val="fi-FI"/>
        </w:rPr>
        <w:t>sa. 2</w:t>
      </w:r>
      <w:r w:rsidR="00545033" w:rsidRPr="00FB4EFA">
        <w:rPr>
          <w:sz w:val="20"/>
          <w:szCs w:val="20"/>
          <w:lang w:val="fi-FI"/>
        </w:rPr>
        <w:t>.</w:t>
      </w:r>
      <w:r w:rsidRPr="00FB4EFA">
        <w:rPr>
          <w:sz w:val="20"/>
          <w:szCs w:val="20"/>
          <w:lang w:val="fi-FI"/>
        </w:rPr>
        <w:t xml:space="preserve"> Pèjwen-pajstàji</w:t>
      </w:r>
      <w:r w:rsidRPr="00FB4EFA">
        <w:rPr>
          <w:rFonts w:cs="Cambria"/>
          <w:sz w:val="20"/>
          <w:szCs w:val="20"/>
          <w:lang w:val="fi-FI"/>
        </w:rPr>
        <w:t>źď</w:t>
      </w:r>
      <w:r w:rsidRPr="00FB4EFA">
        <w:rPr>
          <w:sz w:val="20"/>
          <w:szCs w:val="20"/>
          <w:lang w:val="fi-FI"/>
        </w:rPr>
        <w:t>ena sùwi/</w:t>
      </w:r>
      <w:r w:rsidRPr="00FB4EFA">
        <w:rPr>
          <w:rFonts w:cs="Cambria"/>
          <w:sz w:val="20"/>
          <w:szCs w:val="20"/>
          <w:lang w:val="fi-FI"/>
        </w:rPr>
        <w:t>ťś</w:t>
      </w:r>
      <w:r w:rsidRPr="00FB4EFA">
        <w:rPr>
          <w:sz w:val="20"/>
          <w:szCs w:val="20"/>
          <w:lang w:val="fi-FI"/>
        </w:rPr>
        <w:t>èzi-pejwène si</w:t>
      </w:r>
      <w:r w:rsidRPr="00FB4EFA">
        <w:rPr>
          <w:rFonts w:cs="Old Standard TT"/>
          <w:sz w:val="20"/>
          <w:szCs w:val="20"/>
          <w:lang w:val="fi-FI"/>
        </w:rPr>
        <w:t>í</w:t>
      </w:r>
      <w:r w:rsidRPr="00FB4EFA">
        <w:rPr>
          <w:sz w:val="20"/>
          <w:szCs w:val="20"/>
          <w:lang w:val="fi-FI"/>
        </w:rPr>
        <w:t>len/ene</w:t>
      </w:r>
      <w:r w:rsidRPr="00FB4EFA">
        <w:rPr>
          <w:rFonts w:cs="Old Standard TT"/>
          <w:sz w:val="20"/>
          <w:szCs w:val="20"/>
          <w:lang w:val="fi-FI"/>
        </w:rPr>
        <w:t>é</w:t>
      </w:r>
      <w:r w:rsidRPr="00FB4EFA">
        <w:rPr>
          <w:sz w:val="20"/>
          <w:szCs w:val="20"/>
          <w:lang w:val="fi-FI"/>
        </w:rPr>
        <w:t>len sindèwizen neljè pàjgajje. 3</w:t>
      </w:r>
      <w:r w:rsidR="00545033" w:rsidRPr="00FB4EFA">
        <w:rPr>
          <w:sz w:val="20"/>
          <w:szCs w:val="20"/>
          <w:lang w:val="fi-FI"/>
        </w:rPr>
        <w:t>.</w:t>
      </w:r>
      <w:r w:rsidRPr="00FB4EFA">
        <w:rPr>
          <w:sz w:val="20"/>
          <w:szCs w:val="20"/>
          <w:lang w:val="fi-FI"/>
        </w:rPr>
        <w:t xml:space="preserve"> Ne</w:t>
      </w:r>
      <w:r w:rsidRPr="00FB4EFA">
        <w:rPr>
          <w:rFonts w:cs="Old Standard TT"/>
          <w:sz w:val="20"/>
          <w:szCs w:val="20"/>
          <w:lang w:val="fi-FI"/>
        </w:rPr>
        <w:t>é</w:t>
      </w:r>
      <w:r w:rsidRPr="00FB4EFA">
        <w:rPr>
          <w:sz w:val="20"/>
          <w:szCs w:val="20"/>
          <w:lang w:val="fi-FI"/>
        </w:rPr>
        <w:t>/ii ama</w:t>
      </w:r>
      <w:r w:rsidRPr="00FB4EFA">
        <w:rPr>
          <w:rFonts w:cs="Old Standard TT"/>
          <w:sz w:val="20"/>
          <w:szCs w:val="20"/>
          <w:lang w:val="fi-FI"/>
        </w:rPr>
        <w:t>á</w:t>
      </w:r>
      <w:r w:rsidRPr="00FB4EFA">
        <w:rPr>
          <w:sz w:val="20"/>
          <w:szCs w:val="20"/>
          <w:lang w:val="fi-FI"/>
        </w:rPr>
        <w:t xml:space="preserve"> nìin kawnija</w:t>
      </w:r>
      <w:r w:rsidRPr="00FB4EFA">
        <w:rPr>
          <w:rFonts w:cs="Old Standard TT"/>
          <w:sz w:val="20"/>
          <w:szCs w:val="20"/>
          <w:lang w:val="fi-FI"/>
        </w:rPr>
        <w:t>á</w:t>
      </w:r>
      <w:r w:rsidRPr="00FB4EFA">
        <w:rPr>
          <w:sz w:val="20"/>
          <w:szCs w:val="20"/>
          <w:lang w:val="fi-FI"/>
        </w:rPr>
        <w:t>/sama</w:t>
      </w:r>
      <w:r w:rsidRPr="00FB4EFA">
        <w:rPr>
          <w:rFonts w:cs="Old Standard TT"/>
          <w:sz w:val="20"/>
          <w:szCs w:val="20"/>
          <w:lang w:val="fi-FI"/>
        </w:rPr>
        <w:t>á</w:t>
      </w:r>
      <w:r w:rsidRPr="00FB4EFA">
        <w:rPr>
          <w:sz w:val="20"/>
          <w:szCs w:val="20"/>
          <w:lang w:val="fi-FI"/>
        </w:rPr>
        <w:t>: ni</w:t>
      </w:r>
      <w:r w:rsidRPr="00FB4EFA">
        <w:rPr>
          <w:rFonts w:cs="Old Standard TT"/>
          <w:sz w:val="20"/>
          <w:szCs w:val="20"/>
          <w:lang w:val="fi-FI"/>
        </w:rPr>
        <w:t>í</w:t>
      </w:r>
      <w:r w:rsidRPr="00FB4EFA">
        <w:rPr>
          <w:sz w:val="20"/>
          <w:szCs w:val="20"/>
          <w:lang w:val="fi-FI"/>
        </w:rPr>
        <w:t>le/ej́le/nej́le an terewe</w:t>
      </w:r>
      <w:r w:rsidRPr="00FB4EFA">
        <w:rPr>
          <w:rFonts w:cs="Old Standard TT"/>
          <w:sz w:val="20"/>
          <w:szCs w:val="20"/>
          <w:lang w:val="fi-FI"/>
        </w:rPr>
        <w:t>é</w:t>
      </w:r>
      <w:r w:rsidRPr="00FB4EFA">
        <w:rPr>
          <w:sz w:val="20"/>
          <w:szCs w:val="20"/>
          <w:lang w:val="fi-FI"/>
        </w:rPr>
        <w:t xml:space="preserve"> karwa</w:t>
      </w:r>
      <w:r w:rsidRPr="00FB4EFA">
        <w:rPr>
          <w:rFonts w:cs="Old Standard TT"/>
          <w:sz w:val="20"/>
          <w:szCs w:val="20"/>
          <w:lang w:val="fi-FI"/>
        </w:rPr>
        <w:t>á</w:t>
      </w:r>
      <w:r w:rsidRPr="00FB4EFA">
        <w:rPr>
          <w:sz w:val="20"/>
          <w:szCs w:val="20"/>
          <w:lang w:val="fi-FI"/>
        </w:rPr>
        <w:t>, nana</w:t>
      </w:r>
      <w:r w:rsidRPr="00FB4EFA">
        <w:rPr>
          <w:rFonts w:cs="Old Standard TT"/>
          <w:sz w:val="20"/>
          <w:szCs w:val="20"/>
          <w:lang w:val="fi-FI"/>
        </w:rPr>
        <w:t>á</w:t>
      </w:r>
      <w:r w:rsidRPr="00FB4EFA">
        <w:rPr>
          <w:sz w:val="20"/>
          <w:szCs w:val="20"/>
          <w:lang w:val="fi-FI"/>
        </w:rPr>
        <w:t xml:space="preserve"> je huula</w:t>
      </w:r>
      <w:r w:rsidRPr="00FB4EFA">
        <w:rPr>
          <w:rFonts w:cs="Old Standard TT"/>
          <w:sz w:val="20"/>
          <w:szCs w:val="20"/>
          <w:lang w:val="fi-FI"/>
        </w:rPr>
        <w:t>á</w:t>
      </w:r>
      <w:r w:rsidRPr="00FB4EFA">
        <w:rPr>
          <w:sz w:val="20"/>
          <w:szCs w:val="20"/>
          <w:lang w:val="fi-FI"/>
        </w:rPr>
        <w:t xml:space="preserve"> musta</w:t>
      </w:r>
      <w:r w:rsidRPr="00FB4EFA">
        <w:rPr>
          <w:rFonts w:cs="Old Standard TT"/>
          <w:sz w:val="20"/>
          <w:szCs w:val="20"/>
          <w:lang w:val="fi-FI"/>
        </w:rPr>
        <w:t>á</w:t>
      </w:r>
      <w:r w:rsidRPr="00FB4EFA">
        <w:rPr>
          <w:sz w:val="20"/>
          <w:szCs w:val="20"/>
          <w:lang w:val="fi-FI"/>
        </w:rPr>
        <w:t xml:space="preserve">, </w:t>
      </w:r>
      <w:r w:rsidRPr="00FB4EFA">
        <w:rPr>
          <w:rFonts w:cs="Cambria"/>
          <w:sz w:val="20"/>
          <w:szCs w:val="20"/>
          <w:lang w:val="fi-FI"/>
        </w:rPr>
        <w:t>ś</w:t>
      </w:r>
      <w:r w:rsidRPr="00FB4EFA">
        <w:rPr>
          <w:sz w:val="20"/>
          <w:szCs w:val="20"/>
          <w:lang w:val="fi-FI"/>
        </w:rPr>
        <w:t>ende</w:t>
      </w:r>
      <w:r w:rsidRPr="00FB4EFA">
        <w:rPr>
          <w:rFonts w:cs="Old Standard TT"/>
          <w:sz w:val="20"/>
          <w:szCs w:val="20"/>
          <w:lang w:val="fi-FI"/>
        </w:rPr>
        <w:t>é</w:t>
      </w:r>
      <w:r w:rsidRPr="00FB4EFA">
        <w:rPr>
          <w:sz w:val="20"/>
          <w:szCs w:val="20"/>
          <w:lang w:val="fi-FI"/>
        </w:rPr>
        <w:t>/handa</w:t>
      </w:r>
      <w:r w:rsidRPr="00FB4EFA">
        <w:rPr>
          <w:rFonts w:cs="Old Standard TT"/>
          <w:sz w:val="20"/>
          <w:szCs w:val="20"/>
          <w:lang w:val="fi-FI"/>
        </w:rPr>
        <w:t>á</w:t>
      </w:r>
      <w:r w:rsidRPr="00FB4EFA">
        <w:rPr>
          <w:sz w:val="20"/>
          <w:szCs w:val="20"/>
          <w:lang w:val="fi-FI"/>
        </w:rPr>
        <w:t>/sabara</w:t>
      </w:r>
      <w:r w:rsidRPr="00FB4EFA">
        <w:rPr>
          <w:rFonts w:cs="Old Standard TT"/>
          <w:sz w:val="20"/>
          <w:szCs w:val="20"/>
          <w:lang w:val="fi-FI"/>
        </w:rPr>
        <w:t>á</w:t>
      </w:r>
      <w:r w:rsidRPr="00FB4EFA">
        <w:rPr>
          <w:sz w:val="20"/>
          <w:szCs w:val="20"/>
          <w:lang w:val="fi-FI"/>
        </w:rPr>
        <w:t>/ tabara</w:t>
      </w:r>
      <w:r w:rsidRPr="00FB4EFA">
        <w:rPr>
          <w:rFonts w:cs="Old Standard TT"/>
          <w:sz w:val="20"/>
          <w:szCs w:val="20"/>
          <w:lang w:val="fi-FI"/>
        </w:rPr>
        <w:t>á</w:t>
      </w:r>
      <w:r w:rsidRPr="00FB4EFA">
        <w:rPr>
          <w:sz w:val="20"/>
          <w:szCs w:val="20"/>
          <w:lang w:val="fi-FI"/>
        </w:rPr>
        <w:t xml:space="preserve"> kaldaj</w:t>
      </w:r>
      <w:r w:rsidRPr="00FB4EFA">
        <w:rPr>
          <w:rFonts w:cs="Cambria"/>
          <w:sz w:val="20"/>
          <w:szCs w:val="20"/>
          <w:lang w:val="fi-FI"/>
        </w:rPr>
        <w:t>źď</w:t>
      </w:r>
      <w:r w:rsidRPr="00FB4EFA">
        <w:rPr>
          <w:sz w:val="20"/>
          <w:szCs w:val="20"/>
          <w:lang w:val="fi-FI"/>
        </w:rPr>
        <w:t>a</w:t>
      </w:r>
      <w:r w:rsidRPr="00FB4EFA">
        <w:rPr>
          <w:rFonts w:cs="Old Standard TT"/>
          <w:sz w:val="20"/>
          <w:szCs w:val="20"/>
          <w:lang w:val="fi-FI"/>
        </w:rPr>
        <w:t>á</w:t>
      </w:r>
      <w:r w:rsidRPr="00FB4EFA">
        <w:rPr>
          <w:sz w:val="20"/>
          <w:szCs w:val="20"/>
          <w:lang w:val="fi-FI"/>
        </w:rPr>
        <w:t xml:space="preserve">, wàgan </w:t>
      </w:r>
      <w:r w:rsidRPr="00FB4EFA">
        <w:rPr>
          <w:rFonts w:cs="Cambria"/>
          <w:sz w:val="20"/>
          <w:szCs w:val="20"/>
          <w:lang w:val="fi-FI"/>
        </w:rPr>
        <w:t>ś</w:t>
      </w:r>
      <w:r w:rsidRPr="00FB4EFA">
        <w:rPr>
          <w:sz w:val="20"/>
          <w:szCs w:val="20"/>
          <w:lang w:val="fi-FI"/>
        </w:rPr>
        <w:t>ènden/hàndan/sabàran/tabàran-peé/a</w:t>
      </w:r>
      <w:r w:rsidRPr="00FB4EFA">
        <w:rPr>
          <w:rFonts w:cs="Old Standard TT"/>
          <w:sz w:val="20"/>
          <w:szCs w:val="20"/>
          <w:lang w:val="fi-FI"/>
        </w:rPr>
        <w:t>á</w:t>
      </w:r>
      <w:r w:rsidRPr="00FB4EFA">
        <w:rPr>
          <w:rFonts w:cs="Cambria"/>
          <w:sz w:val="20"/>
          <w:szCs w:val="20"/>
          <w:lang w:val="fi-FI"/>
        </w:rPr>
        <w:t>śť</w:t>
      </w:r>
      <w:r w:rsidRPr="00FB4EFA">
        <w:rPr>
          <w:sz w:val="20"/>
          <w:szCs w:val="20"/>
          <w:lang w:val="fi-FI"/>
        </w:rPr>
        <w:t>a</w:t>
      </w:r>
      <w:r w:rsidRPr="00FB4EFA">
        <w:rPr>
          <w:rFonts w:cs="Old Standard TT"/>
          <w:sz w:val="20"/>
          <w:szCs w:val="20"/>
          <w:lang w:val="fi-FI"/>
        </w:rPr>
        <w:t>á</w:t>
      </w:r>
      <w:r w:rsidRPr="00FB4EFA">
        <w:rPr>
          <w:sz w:val="20"/>
          <w:szCs w:val="20"/>
          <w:lang w:val="fi-FI"/>
        </w:rPr>
        <w:t xml:space="preserve"> walgaja</w:t>
      </w:r>
      <w:r w:rsidRPr="00FB4EFA">
        <w:rPr>
          <w:rFonts w:cs="Old Standard TT"/>
          <w:sz w:val="20"/>
          <w:szCs w:val="20"/>
          <w:lang w:val="fi-FI"/>
        </w:rPr>
        <w:t>á</w:t>
      </w:r>
      <w:r w:rsidRPr="00FB4EFA">
        <w:rPr>
          <w:sz w:val="20"/>
          <w:szCs w:val="20"/>
          <w:lang w:val="fi-FI"/>
        </w:rPr>
        <w:t>, jelga</w:t>
      </w:r>
      <w:r w:rsidRPr="00FB4EFA">
        <w:rPr>
          <w:rFonts w:cs="Old Standard TT"/>
          <w:sz w:val="20"/>
          <w:szCs w:val="20"/>
          <w:lang w:val="fi-FI"/>
        </w:rPr>
        <w:t>á</w:t>
      </w:r>
      <w:r w:rsidRPr="00FB4EFA">
        <w:rPr>
          <w:sz w:val="20"/>
          <w:szCs w:val="20"/>
          <w:lang w:val="fi-FI"/>
        </w:rPr>
        <w:t>/</w:t>
      </w:r>
      <w:r w:rsidRPr="00FB4EFA">
        <w:rPr>
          <w:rFonts w:cs="Cambria"/>
          <w:sz w:val="20"/>
          <w:szCs w:val="20"/>
          <w:lang w:val="fi-FI"/>
        </w:rPr>
        <w:t>ťś</w:t>
      </w:r>
      <w:r w:rsidRPr="00FB4EFA">
        <w:rPr>
          <w:sz w:val="20"/>
          <w:szCs w:val="20"/>
          <w:lang w:val="fi-FI"/>
        </w:rPr>
        <w:t>a</w:t>
      </w:r>
      <w:r w:rsidRPr="00FB4EFA">
        <w:rPr>
          <w:rFonts w:cs="Old Standard TT"/>
          <w:sz w:val="20"/>
          <w:szCs w:val="20"/>
          <w:lang w:val="fi-FI"/>
        </w:rPr>
        <w:t>á</w:t>
      </w:r>
      <w:r w:rsidRPr="00FB4EFA">
        <w:rPr>
          <w:sz w:val="20"/>
          <w:szCs w:val="20"/>
          <w:lang w:val="fi-FI"/>
        </w:rPr>
        <w:t>pe</w:t>
      </w:r>
      <w:r w:rsidRPr="00FB4EFA">
        <w:rPr>
          <w:rFonts w:cs="Old Standard TT"/>
          <w:sz w:val="20"/>
          <w:szCs w:val="20"/>
          <w:lang w:val="fi-FI"/>
        </w:rPr>
        <w:t>é</w:t>
      </w:r>
      <w:r w:rsidRPr="00FB4EFA">
        <w:rPr>
          <w:sz w:val="20"/>
          <w:szCs w:val="20"/>
          <w:lang w:val="fi-FI"/>
        </w:rPr>
        <w:t xml:space="preserve"> piine</w:t>
      </w:r>
      <w:r w:rsidRPr="00FB4EFA">
        <w:rPr>
          <w:rFonts w:cs="Old Standard TT"/>
          <w:sz w:val="20"/>
          <w:szCs w:val="20"/>
          <w:lang w:val="fi-FI"/>
        </w:rPr>
        <w:t>é</w:t>
      </w:r>
      <w:r w:rsidRPr="00FB4EFA">
        <w:rPr>
          <w:sz w:val="20"/>
          <w:szCs w:val="20"/>
          <w:lang w:val="fi-FI"/>
        </w:rPr>
        <w:t>/pi</w:t>
      </w:r>
      <w:r w:rsidRPr="00FB4EFA">
        <w:rPr>
          <w:rFonts w:cs="Old Standard TT"/>
          <w:sz w:val="20"/>
          <w:szCs w:val="20"/>
          <w:lang w:val="fi-FI"/>
        </w:rPr>
        <w:t>í</w:t>
      </w:r>
      <w:r w:rsidRPr="00FB4EFA">
        <w:rPr>
          <w:sz w:val="20"/>
          <w:szCs w:val="20"/>
          <w:lang w:val="fi-FI"/>
        </w:rPr>
        <w:t xml:space="preserve">kuj́, </w:t>
      </w:r>
      <w:r w:rsidRPr="00FB4EFA">
        <w:rPr>
          <w:rFonts w:cs="Cambria"/>
          <w:sz w:val="20"/>
          <w:szCs w:val="20"/>
          <w:lang w:val="fi-FI"/>
        </w:rPr>
        <w:t>ťś</w:t>
      </w:r>
      <w:r w:rsidRPr="00FB4EFA">
        <w:rPr>
          <w:sz w:val="20"/>
          <w:szCs w:val="20"/>
          <w:lang w:val="fi-FI"/>
        </w:rPr>
        <w:t>inde</w:t>
      </w:r>
      <w:r w:rsidRPr="00FB4EFA">
        <w:rPr>
          <w:rFonts w:cs="Old Standard TT"/>
          <w:sz w:val="20"/>
          <w:szCs w:val="20"/>
          <w:lang w:val="fi-FI"/>
        </w:rPr>
        <w:t>é</w:t>
      </w:r>
      <w:r w:rsidRPr="00FB4EFA">
        <w:rPr>
          <w:sz w:val="20"/>
          <w:szCs w:val="20"/>
          <w:lang w:val="fi-FI"/>
        </w:rPr>
        <w:t xml:space="preserve"> ahuja</w:t>
      </w:r>
      <w:r w:rsidRPr="00FB4EFA">
        <w:rPr>
          <w:rFonts w:cs="Old Standard TT"/>
          <w:sz w:val="20"/>
          <w:szCs w:val="20"/>
          <w:lang w:val="fi-FI"/>
        </w:rPr>
        <w:t>á</w:t>
      </w:r>
      <w:r w:rsidRPr="00FB4EFA">
        <w:rPr>
          <w:sz w:val="20"/>
          <w:szCs w:val="20"/>
          <w:lang w:val="fi-FI"/>
        </w:rPr>
        <w:t>. 4</w:t>
      </w:r>
      <w:r w:rsidR="00545033" w:rsidRPr="00FB4EFA">
        <w:rPr>
          <w:sz w:val="20"/>
          <w:szCs w:val="20"/>
          <w:lang w:val="fi-FI"/>
        </w:rPr>
        <w:t>.</w:t>
      </w:r>
      <w:r w:rsidRPr="00FB4EFA">
        <w:rPr>
          <w:sz w:val="20"/>
          <w:szCs w:val="20"/>
          <w:lang w:val="fi-FI"/>
        </w:rPr>
        <w:t xml:space="preserve"> Rèbe-eme kaá</w:t>
      </w:r>
      <w:r w:rsidRPr="00FB4EFA">
        <w:rPr>
          <w:rFonts w:cs="Times New Roman"/>
          <w:sz w:val="20"/>
          <w:szCs w:val="20"/>
          <w:lang w:val="fi-FI"/>
        </w:rPr>
        <w:t>śť</w:t>
      </w:r>
      <w:r w:rsidRPr="00FB4EFA">
        <w:rPr>
          <w:sz w:val="20"/>
          <w:szCs w:val="20"/>
          <w:lang w:val="fi-FI"/>
        </w:rPr>
        <w:t>elabi/kaj</w:t>
      </w:r>
      <w:r w:rsidRPr="00FB4EFA">
        <w:rPr>
          <w:rFonts w:cs="Old Standard TT"/>
          <w:sz w:val="20"/>
          <w:szCs w:val="20"/>
          <w:lang w:val="fi-FI"/>
        </w:rPr>
        <w:t>è</w:t>
      </w:r>
      <w:r w:rsidRPr="00FB4EFA">
        <w:rPr>
          <w:sz w:val="20"/>
          <w:szCs w:val="20"/>
          <w:lang w:val="fi-FI"/>
        </w:rPr>
        <w:t>labi/ wani</w:t>
      </w:r>
      <w:r w:rsidRPr="00FB4EFA">
        <w:rPr>
          <w:rFonts w:cs="Old Standard TT"/>
          <w:sz w:val="20"/>
          <w:szCs w:val="20"/>
          <w:lang w:val="fi-FI"/>
        </w:rPr>
        <w:t>í</w:t>
      </w:r>
      <w:r w:rsidRPr="00FB4EFA">
        <w:rPr>
          <w:sz w:val="20"/>
          <w:szCs w:val="20"/>
          <w:lang w:val="fi-FI"/>
        </w:rPr>
        <w:t>talawi niidè/ejdè/ nejdè je sen sìden ilaj́</w:t>
      </w:r>
      <w:r w:rsidRPr="00FB4EFA">
        <w:rPr>
          <w:rFonts w:cs="Times New Roman"/>
          <w:sz w:val="20"/>
          <w:szCs w:val="20"/>
          <w:lang w:val="fi-FI"/>
        </w:rPr>
        <w:t>śť</w:t>
      </w:r>
      <w:r w:rsidRPr="00FB4EFA">
        <w:rPr>
          <w:sz w:val="20"/>
          <w:szCs w:val="20"/>
          <w:lang w:val="fi-FI"/>
        </w:rPr>
        <w:t>a</w:t>
      </w:r>
      <w:r w:rsidRPr="00FB4EFA">
        <w:rPr>
          <w:rFonts w:cs="Old Standard TT"/>
          <w:sz w:val="20"/>
          <w:szCs w:val="20"/>
          <w:lang w:val="fi-FI"/>
        </w:rPr>
        <w:t>á</w:t>
      </w:r>
      <w:r w:rsidRPr="00FB4EFA">
        <w:rPr>
          <w:sz w:val="20"/>
          <w:szCs w:val="20"/>
          <w:lang w:val="fi-FI"/>
        </w:rPr>
        <w:t>san. 5</w:t>
      </w:r>
      <w:r w:rsidR="00545033" w:rsidRPr="00FB4EFA">
        <w:rPr>
          <w:sz w:val="20"/>
          <w:szCs w:val="20"/>
          <w:lang w:val="fi-FI"/>
        </w:rPr>
        <w:t>.</w:t>
      </w:r>
      <w:r w:rsidRPr="00FB4EFA">
        <w:rPr>
          <w:sz w:val="20"/>
          <w:szCs w:val="20"/>
          <w:lang w:val="fi-FI"/>
        </w:rPr>
        <w:t xml:space="preserve"> Je rèbe peéti ne</w:t>
      </w:r>
      <w:r w:rsidRPr="00FB4EFA">
        <w:rPr>
          <w:rFonts w:cs="Cambria"/>
          <w:sz w:val="20"/>
          <w:szCs w:val="20"/>
          <w:lang w:val="fi-FI"/>
        </w:rPr>
        <w:t>ďź</w:t>
      </w:r>
      <w:r w:rsidRPr="00FB4EFA">
        <w:rPr>
          <w:sz w:val="20"/>
          <w:szCs w:val="20"/>
          <w:lang w:val="fi-FI"/>
        </w:rPr>
        <w:t>aẃtede</w:t>
      </w:r>
      <w:r w:rsidRPr="00FB4EFA">
        <w:rPr>
          <w:rFonts w:cs="Old Standard TT"/>
          <w:sz w:val="20"/>
          <w:szCs w:val="20"/>
          <w:lang w:val="fi-FI"/>
        </w:rPr>
        <w:t>é</w:t>
      </w:r>
      <w:r w:rsidRPr="00FB4EFA">
        <w:rPr>
          <w:sz w:val="20"/>
          <w:szCs w:val="20"/>
          <w:lang w:val="fi-FI"/>
        </w:rPr>
        <w:t xml:space="preserve"> la</w:t>
      </w:r>
      <w:r w:rsidRPr="00FB4EFA">
        <w:rPr>
          <w:rFonts w:cs="Old Standard TT"/>
          <w:sz w:val="20"/>
          <w:szCs w:val="20"/>
          <w:lang w:val="fi-FI"/>
        </w:rPr>
        <w:t>á</w:t>
      </w:r>
      <w:r w:rsidRPr="00FB4EFA">
        <w:rPr>
          <w:rFonts w:cs="Cambria"/>
          <w:sz w:val="20"/>
          <w:szCs w:val="20"/>
          <w:lang w:val="fi-FI"/>
        </w:rPr>
        <w:t>śť</w:t>
      </w:r>
      <w:r w:rsidRPr="00FB4EFA">
        <w:rPr>
          <w:sz w:val="20"/>
          <w:szCs w:val="20"/>
          <w:lang w:val="fi-FI"/>
        </w:rPr>
        <w:t>ijenzaá kajaá</w:t>
      </w:r>
      <w:r w:rsidRPr="00FB4EFA">
        <w:rPr>
          <w:rFonts w:cs="Cambria"/>
          <w:sz w:val="20"/>
          <w:szCs w:val="20"/>
          <w:lang w:val="fi-FI"/>
        </w:rPr>
        <w:t>ťś</w:t>
      </w:r>
      <w:r w:rsidRPr="00FB4EFA">
        <w:rPr>
          <w:sz w:val="20"/>
          <w:szCs w:val="20"/>
          <w:lang w:val="fi-FI"/>
        </w:rPr>
        <w:t>i</w:t>
      </w:r>
      <w:r w:rsidRPr="00FB4EFA">
        <w:rPr>
          <w:rFonts w:cs="Old Standard TT"/>
          <w:sz w:val="20"/>
          <w:szCs w:val="20"/>
          <w:lang w:val="fi-FI"/>
        </w:rPr>
        <w:t>í</w:t>
      </w:r>
      <w:r w:rsidRPr="00FB4EFA">
        <w:rPr>
          <w:sz w:val="20"/>
          <w:szCs w:val="20"/>
          <w:lang w:val="fi-FI"/>
        </w:rPr>
        <w:t>lan/hamaj́lan p</w:t>
      </w:r>
      <w:r w:rsidRPr="00FB4EFA">
        <w:rPr>
          <w:rFonts w:cs="Old Standard TT"/>
          <w:sz w:val="20"/>
          <w:szCs w:val="20"/>
          <w:lang w:val="fi-FI"/>
        </w:rPr>
        <w:t>à</w:t>
      </w:r>
      <w:r w:rsidRPr="00FB4EFA">
        <w:rPr>
          <w:sz w:val="20"/>
          <w:szCs w:val="20"/>
          <w:lang w:val="fi-FI"/>
        </w:rPr>
        <w:t>ldaj/nùrmi je ma</w:t>
      </w:r>
      <w:r w:rsidRPr="00FB4EFA">
        <w:rPr>
          <w:rFonts w:cs="Old Standard TT"/>
          <w:sz w:val="20"/>
          <w:szCs w:val="20"/>
          <w:lang w:val="fi-FI"/>
        </w:rPr>
        <w:t>á</w:t>
      </w:r>
      <w:r w:rsidRPr="00FB4EFA">
        <w:rPr>
          <w:rFonts w:cs="Cambria"/>
          <w:sz w:val="20"/>
          <w:szCs w:val="20"/>
          <w:lang w:val="fi-FI"/>
        </w:rPr>
        <w:t>śť</w:t>
      </w:r>
      <w:r w:rsidRPr="00FB4EFA">
        <w:rPr>
          <w:sz w:val="20"/>
          <w:szCs w:val="20"/>
          <w:lang w:val="fi-FI"/>
        </w:rPr>
        <w:t>i elejiílen.</w:t>
      </w:r>
    </w:p>
    <w:p w14:paraId="7B4CC33D" w14:textId="77777777" w:rsidR="00EF1775" w:rsidRPr="00FB4EFA" w:rsidRDefault="00EF1775" w:rsidP="00A219CF">
      <w:pPr>
        <w:rPr>
          <w:lang w:val="fi-FI"/>
        </w:rPr>
      </w:pPr>
      <w:r w:rsidRPr="00FB4EFA">
        <w:rPr>
          <w:lang w:val="fi-FI"/>
        </w:rPr>
        <w:t>Monista sanamuodoista (</w:t>
      </w:r>
      <w:r w:rsidRPr="00FB4EFA">
        <w:rPr>
          <w:i/>
          <w:lang w:val="fi-FI"/>
        </w:rPr>
        <w:t>jelàjen</w:t>
      </w:r>
      <w:r w:rsidRPr="00FB4EFA">
        <w:rPr>
          <w:lang w:val="fi-FI"/>
        </w:rPr>
        <w:t xml:space="preserve">, </w:t>
      </w:r>
      <w:r w:rsidRPr="00FB4EFA">
        <w:rPr>
          <w:i/>
          <w:lang w:val="fi-FI"/>
        </w:rPr>
        <w:t>jaádeéti</w:t>
      </w:r>
      <w:r w:rsidRPr="00FB4EFA">
        <w:rPr>
          <w:lang w:val="fi-FI"/>
        </w:rPr>
        <w:t xml:space="preserve">) jo näkyy vokaalinmuutosten horjuttaneen kantasuomesta periytynyttä vokaalisointua. Vielä suurempi mullistus oli kuitenkin tulossa: diftongit oikenivat. Kaikista </w:t>
      </w:r>
      <w:r w:rsidRPr="00FB4EFA">
        <w:rPr>
          <w:i/>
          <w:iCs/>
          <w:lang w:val="fi-FI"/>
        </w:rPr>
        <w:t>j</w:t>
      </w:r>
      <w:r w:rsidRPr="00FB4EFA">
        <w:rPr>
          <w:lang w:val="fi-FI"/>
        </w:rPr>
        <w:t xml:space="preserve">-diftongeista tuli etuvokaaleita: slaavilaisittain </w:t>
      </w:r>
      <w:r w:rsidRPr="00FB4EFA">
        <w:rPr>
          <w:i/>
          <w:iCs/>
          <w:lang w:val="fi-FI"/>
        </w:rPr>
        <w:t>aj</w:t>
      </w:r>
      <w:r w:rsidRPr="00FB4EFA">
        <w:rPr>
          <w:lang w:val="fi-FI"/>
        </w:rPr>
        <w:t xml:space="preserve"> &gt; </w:t>
      </w:r>
      <w:r w:rsidRPr="00FB4EFA">
        <w:rPr>
          <w:i/>
          <w:iCs/>
          <w:lang w:val="fi-FI"/>
        </w:rPr>
        <w:t>ē</w:t>
      </w:r>
      <w:r w:rsidRPr="00FB4EFA">
        <w:rPr>
          <w:lang w:val="fi-FI"/>
        </w:rPr>
        <w:t xml:space="preserve"> ja </w:t>
      </w:r>
      <w:r w:rsidRPr="00FB4EFA">
        <w:rPr>
          <w:i/>
          <w:iCs/>
          <w:lang w:val="fi-FI"/>
        </w:rPr>
        <w:t>ej</w:t>
      </w:r>
      <w:r w:rsidRPr="00FB4EFA">
        <w:rPr>
          <w:lang w:val="fi-FI"/>
        </w:rPr>
        <w:t xml:space="preserve"> &gt; </w:t>
      </w:r>
      <w:r w:rsidRPr="00FB4EFA">
        <w:rPr>
          <w:i/>
          <w:iCs/>
          <w:lang w:val="fi-FI"/>
        </w:rPr>
        <w:t>ī</w:t>
      </w:r>
      <w:r w:rsidRPr="00FB4EFA">
        <w:rPr>
          <w:lang w:val="fi-FI"/>
        </w:rPr>
        <w:t xml:space="preserve">, mutta kantakuilinassa oli myös </w:t>
      </w:r>
      <w:r w:rsidRPr="00FB4EFA">
        <w:rPr>
          <w:i/>
          <w:iCs/>
          <w:lang w:val="fi-FI"/>
        </w:rPr>
        <w:t>uj</w:t>
      </w:r>
      <w:r w:rsidRPr="00FB4EFA">
        <w:rPr>
          <w:lang w:val="fi-FI"/>
        </w:rPr>
        <w:t xml:space="preserve">, josta &gt; </w:t>
      </w:r>
      <w:r w:rsidRPr="00FB4EFA">
        <w:rPr>
          <w:i/>
          <w:iCs/>
          <w:lang w:val="fi-FI"/>
        </w:rPr>
        <w:t>ī</w:t>
      </w:r>
      <w:r w:rsidRPr="00FB4EFA">
        <w:rPr>
          <w:lang w:val="fi-FI"/>
        </w:rPr>
        <w:t xml:space="preserve">. Diftongin </w:t>
      </w:r>
      <w:r w:rsidRPr="00FB4EFA">
        <w:rPr>
          <w:i/>
          <w:iCs/>
          <w:lang w:val="fi-FI"/>
        </w:rPr>
        <w:t>aw</w:t>
      </w:r>
      <w:r w:rsidRPr="00FB4EFA">
        <w:rPr>
          <w:lang w:val="fi-FI"/>
        </w:rPr>
        <w:t xml:space="preserve"> oietessa </w:t>
      </w:r>
      <w:r w:rsidRPr="00FB4EFA">
        <w:rPr>
          <w:i/>
          <w:iCs/>
          <w:lang w:val="fi-FI"/>
        </w:rPr>
        <w:t>ū</w:t>
      </w:r>
      <w:r w:rsidRPr="00FB4EFA">
        <w:rPr>
          <w:lang w:val="fi-FI"/>
        </w:rPr>
        <w:t xml:space="preserve">:ksi tuli aiemmasta </w:t>
      </w:r>
      <w:r w:rsidRPr="00FB4EFA">
        <w:rPr>
          <w:i/>
          <w:iCs/>
          <w:lang w:val="fi-FI"/>
        </w:rPr>
        <w:t>ū</w:t>
      </w:r>
      <w:r w:rsidRPr="00FB4EFA">
        <w:rPr>
          <w:lang w:val="fi-FI"/>
        </w:rPr>
        <w:t xml:space="preserve">:sta takainen lavea </w:t>
      </w:r>
      <w:r w:rsidRPr="00FB4EFA">
        <w:rPr>
          <w:i/>
          <w:iCs/>
          <w:lang w:val="fi-FI"/>
        </w:rPr>
        <w:t>ī̮</w:t>
      </w:r>
      <w:r w:rsidRPr="00FB4EFA">
        <w:rPr>
          <w:lang w:val="fi-FI"/>
        </w:rPr>
        <w:t xml:space="preserve">. Näitten muutosten jälkeen tapahtui ns. toinen palatalisaatio, kun </w:t>
      </w:r>
      <w:r w:rsidRPr="00FB4EFA">
        <w:rPr>
          <w:i/>
          <w:iCs/>
          <w:lang w:val="fi-FI"/>
        </w:rPr>
        <w:t>k</w:t>
      </w:r>
      <w:r w:rsidRPr="00FB4EFA">
        <w:rPr>
          <w:lang w:val="fi-FI"/>
        </w:rPr>
        <w:t xml:space="preserve">, </w:t>
      </w:r>
      <w:r w:rsidRPr="00FB4EFA">
        <w:rPr>
          <w:i/>
          <w:iCs/>
          <w:lang w:val="fi-FI"/>
        </w:rPr>
        <w:t>g</w:t>
      </w:r>
      <w:r w:rsidRPr="00FB4EFA">
        <w:rPr>
          <w:lang w:val="fi-FI"/>
        </w:rPr>
        <w:t xml:space="preserve"> ja </w:t>
      </w:r>
      <w:r w:rsidRPr="00FB4EFA">
        <w:rPr>
          <w:i/>
          <w:iCs/>
          <w:lang w:val="fi-FI"/>
        </w:rPr>
        <w:t>x</w:t>
      </w:r>
      <w:r w:rsidRPr="00FB4EFA">
        <w:rPr>
          <w:lang w:val="fi-FI"/>
        </w:rPr>
        <w:t xml:space="preserve"> muuttuivat uusien </w:t>
      </w:r>
      <w:r w:rsidRPr="00FB4EFA">
        <w:rPr>
          <w:i/>
          <w:iCs/>
          <w:lang w:val="fi-FI"/>
        </w:rPr>
        <w:t>ē</w:t>
      </w:r>
      <w:r w:rsidRPr="00FB4EFA">
        <w:rPr>
          <w:lang w:val="fi-FI"/>
        </w:rPr>
        <w:t xml:space="preserve">- ja </w:t>
      </w:r>
      <w:r w:rsidRPr="00FB4EFA">
        <w:rPr>
          <w:i/>
          <w:iCs/>
          <w:lang w:val="fi-FI"/>
        </w:rPr>
        <w:t>ī</w:t>
      </w:r>
      <w:r w:rsidRPr="00FB4EFA">
        <w:rPr>
          <w:lang w:val="fi-FI"/>
        </w:rPr>
        <w:t xml:space="preserve">-vokaalien edellä &gt; </w:t>
      </w:r>
      <w:r w:rsidRPr="00FB4EFA">
        <w:rPr>
          <w:i/>
          <w:iCs/>
          <w:lang w:val="fi-FI"/>
        </w:rPr>
        <w:t>c</w:t>
      </w:r>
      <w:r w:rsidRPr="00FB4EFA">
        <w:rPr>
          <w:lang w:val="fi-FI"/>
        </w:rPr>
        <w:t xml:space="preserve">, </w:t>
      </w:r>
      <w:r w:rsidRPr="00FB4EFA">
        <w:rPr>
          <w:i/>
          <w:iCs/>
          <w:lang w:val="fi-FI"/>
        </w:rPr>
        <w:t>dz</w:t>
      </w:r>
      <w:r w:rsidRPr="00FB4EFA">
        <w:rPr>
          <w:lang w:val="fi-FI"/>
        </w:rPr>
        <w:t xml:space="preserve">, </w:t>
      </w:r>
      <w:r w:rsidRPr="00FB4EFA">
        <w:rPr>
          <w:i/>
          <w:iCs/>
          <w:lang w:val="fi-FI"/>
        </w:rPr>
        <w:t>s</w:t>
      </w:r>
      <w:r w:rsidRPr="00FB4EFA">
        <w:rPr>
          <w:lang w:val="fi-FI"/>
        </w:rPr>
        <w:t>. Nyt ei vokaalisoinnusta ollut jäljellä kuin rippeet, mutta useimmista tavua muodostaneista taivutuspäätteistä oli edelleen etu- ja takavokaalinen pari. Nominitaivutuksessa näistä pitkistä päätteistä takaiset vakiintuivat yleisesti substantiivien, etiset taas pronominien ja adjektiivien taivutukseen.</w:t>
      </w:r>
    </w:p>
    <w:p w14:paraId="4AEAE7A8"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lastRenderedPageBreak/>
        <w:t>Muinaiskirkkokuilina</w:t>
      </w:r>
    </w:p>
    <w:p w14:paraId="30C5F279" w14:textId="7A044E5E" w:rsidR="00EF1775" w:rsidRPr="00FB4EFA" w:rsidRDefault="00EF1775" w:rsidP="00065E48">
      <w:pPr>
        <w:suppressAutoHyphens/>
        <w:spacing w:line="240" w:lineRule="auto"/>
        <w:ind w:left="709"/>
        <w:rPr>
          <w:rFonts w:ascii="OS Jeremy" w:hAnsi="OS Jeremy" w:cs="Times New Roman"/>
          <w:sz w:val="20"/>
          <w:szCs w:val="20"/>
          <w:lang w:val="fi-FI"/>
        </w:rPr>
      </w:pPr>
      <w:r w:rsidRPr="00FB4EFA">
        <w:rPr>
          <w:rFonts w:ascii="OS Jeremy" w:hAnsi="OS Jeremy" w:cs="Times New Roman"/>
          <w:sz w:val="20"/>
          <w:szCs w:val="20"/>
          <w:lang w:val="fi-FI"/>
        </w:rPr>
        <w:t>1</w:t>
      </w:r>
      <w:r w:rsidR="00545033" w:rsidRPr="00FB4EFA">
        <w:rPr>
          <w:rFonts w:ascii="OS Jeremy" w:hAnsi="OS Jeremy" w:cs="Times New Roman"/>
          <w:sz w:val="20"/>
          <w:szCs w:val="20"/>
          <w:lang w:val="fi-FI"/>
        </w:rPr>
        <w:t>.</w:t>
      </w:r>
      <w:r w:rsidRPr="00FB4EFA">
        <w:rPr>
          <w:rFonts w:ascii="OS Jeremy" w:hAnsi="OS Jeremy" w:cs="Times New Roman"/>
          <w:sz w:val="20"/>
          <w:szCs w:val="20"/>
          <w:lang w:val="fi-FI"/>
        </w:rPr>
        <w:t xml:space="preserve"> Рєбє люждь ѫдѫ ѥмєѩ чѧдѣпєѩ л</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до ѥ цѣвѣтъѩзо м</w:t>
      </w:r>
      <w:r w:rsidR="005D00B9" w:rsidRPr="00FB4EFA">
        <w:rPr>
          <w:rFonts w:ascii="OS Jeremy" w:hAnsi="OS Jeremy" w:cs="Times New Roman"/>
          <w:sz w:val="20"/>
          <w:szCs w:val="20"/>
          <w:lang w:val="fi-FI"/>
        </w:rPr>
        <w:t>ҥ</w:t>
      </w:r>
      <w:r w:rsidR="00096E39" w:rsidRPr="00FB4EFA">
        <w:rPr>
          <w:rFonts w:ascii="OS Jeremy" w:hAnsi="OS Jeremy" w:cs="Cambria"/>
          <w:sz w:val="20"/>
          <w:szCs w:val="20"/>
          <w:lang w:val="fi-FI"/>
        </w:rPr>
        <w:t>ž</w:t>
      </w:r>
      <w:r w:rsidRPr="00FB4EFA">
        <w:rPr>
          <w:rFonts w:ascii="OS Jeremy" w:hAnsi="OS Jeremy" w:cs="Times New Roman"/>
          <w:sz w:val="20"/>
          <w:szCs w:val="20"/>
          <w:lang w:val="fi-FI"/>
        </w:rPr>
        <w:t>ѫ п</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xml:space="preserve">нѫ </w:t>
      </w:r>
      <w:r w:rsidR="000162EB" w:rsidRPr="00FB4EFA">
        <w:rPr>
          <w:rFonts w:ascii="OS Jeremy" w:hAnsi="OS Jeremy" w:cs="OS Jeremy"/>
          <w:sz w:val="20"/>
          <w:szCs w:val="20"/>
          <w:lang w:val="fi-FI"/>
        </w:rPr>
        <w:t>ӓ</w:t>
      </w:r>
      <w:r w:rsidRPr="00FB4EFA">
        <w:rPr>
          <w:rFonts w:ascii="OS Jeremy" w:hAnsi="OS Jeremy" w:cs="Times New Roman"/>
          <w:sz w:val="20"/>
          <w:szCs w:val="20"/>
          <w:lang w:val="fi-FI"/>
        </w:rPr>
        <w:t>дѣть синє ижд</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лѧ пє</w:t>
      </w:r>
      <w:r w:rsidR="00096E39" w:rsidRPr="00FB4EFA">
        <w:rPr>
          <w:rFonts w:ascii="OS Jeremy" w:hAnsi="OS Jeremy" w:cs="Cambria"/>
          <w:sz w:val="20"/>
          <w:szCs w:val="20"/>
          <w:lang w:val="fi-FI"/>
        </w:rPr>
        <w:t>ž</w:t>
      </w:r>
      <w:r w:rsidRPr="00FB4EFA">
        <w:rPr>
          <w:rFonts w:ascii="OS Jeremy" w:hAnsi="OS Jeremy" w:cs="Times New Roman"/>
          <w:sz w:val="20"/>
          <w:szCs w:val="20"/>
          <w:lang w:val="fi-FI"/>
        </w:rPr>
        <w:t>ѧ. 2</w:t>
      </w:r>
      <w:r w:rsidR="00545033" w:rsidRPr="00FB4EFA">
        <w:rPr>
          <w:rFonts w:ascii="OS Jeremy" w:hAnsi="OS Jeremy" w:cs="Times New Roman"/>
          <w:sz w:val="20"/>
          <w:szCs w:val="20"/>
          <w:lang w:val="fi-FI"/>
        </w:rPr>
        <w:t>.</w:t>
      </w:r>
      <w:r w:rsidRPr="00FB4EFA">
        <w:rPr>
          <w:rFonts w:ascii="OS Jeremy" w:hAnsi="OS Jeremy" w:cs="Times New Roman"/>
          <w:sz w:val="20"/>
          <w:szCs w:val="20"/>
          <w:lang w:val="fi-FI"/>
        </w:rPr>
        <w:t xml:space="preserve"> Пивѣждѧ-пѣстоиждєнє чє</w:t>
      </w:r>
      <w:r w:rsidR="00096E39" w:rsidRPr="00FB4EFA">
        <w:rPr>
          <w:rFonts w:ascii="OS Jeremy" w:hAnsi="OS Jeremy" w:cs="Cambria"/>
          <w:sz w:val="20"/>
          <w:szCs w:val="20"/>
          <w:lang w:val="fi-FI"/>
        </w:rPr>
        <w:t>ž</w:t>
      </w:r>
      <w:r w:rsidRPr="00FB4EFA">
        <w:rPr>
          <w:rFonts w:ascii="OS Jeremy" w:hAnsi="OS Jeremy" w:cs="Times New Roman"/>
          <w:sz w:val="20"/>
          <w:szCs w:val="20"/>
          <w:lang w:val="fi-FI"/>
        </w:rPr>
        <w:t>ь-пивєно сѧдєвьѩ єнѣлѧ нєл҄є рєбѣсто. 3</w:t>
      </w:r>
      <w:r w:rsidR="00545033" w:rsidRPr="00FB4EFA">
        <w:rPr>
          <w:rFonts w:ascii="OS Jeremy" w:hAnsi="OS Jeremy" w:cs="Times New Roman"/>
          <w:sz w:val="20"/>
          <w:szCs w:val="20"/>
          <w:lang w:val="fi-FI"/>
        </w:rPr>
        <w:t>.</w:t>
      </w:r>
      <w:r w:rsidRPr="00FB4EFA">
        <w:rPr>
          <w:rFonts w:ascii="OS Jeremy" w:hAnsi="OS Jeremy" w:cs="Times New Roman"/>
          <w:sz w:val="20"/>
          <w:szCs w:val="20"/>
          <w:lang w:val="fi-FI"/>
        </w:rPr>
        <w:t xml:space="preserve"> Нє ом</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xml:space="preserve"> нѧ хол</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к</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илє ѫ тєрєвѣ кр</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в</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нон</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xml:space="preserve"> ѥ съıл</w:t>
      </w:r>
      <w:r w:rsidR="005D00B9" w:rsidRPr="00FB4EFA">
        <w:rPr>
          <w:rFonts w:ascii="OS Jeremy" w:hAnsi="OS Jeremy" w:cs="Times New Roman"/>
          <w:sz w:val="20"/>
          <w:szCs w:val="20"/>
          <w:lang w:val="fi-FI"/>
        </w:rPr>
        <w:t>ҥ</w:t>
      </w:r>
      <w:r w:rsidR="000162EB" w:rsidRPr="00FB4EFA">
        <w:rPr>
          <w:rFonts w:ascii="OS Jeremy" w:hAnsi="OS Jeremy" w:cs="OS Jeremy"/>
          <w:sz w:val="20"/>
          <w:szCs w:val="20"/>
          <w:lang w:val="fi-FI"/>
        </w:rPr>
        <w:t>ӓ</w:t>
      </w:r>
      <w:r w:rsidRPr="00FB4EFA">
        <w:rPr>
          <w:rFonts w:ascii="OS Jeremy" w:hAnsi="OS Jeremy" w:cs="Times New Roman"/>
          <w:sz w:val="20"/>
          <w:szCs w:val="20"/>
          <w:lang w:val="fi-FI"/>
        </w:rPr>
        <w:t xml:space="preserve"> мъст</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собориц</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xml:space="preserve"> кл</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дѣжд</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вогѫ соборѫ-н</w:t>
      </w:r>
      <w:r w:rsidR="005D00B9" w:rsidRPr="00FB4EFA">
        <w:rPr>
          <w:rFonts w:ascii="OS Jeremy" w:hAnsi="OS Jeremy" w:cs="Times New Roman"/>
          <w:sz w:val="20"/>
          <w:szCs w:val="20"/>
          <w:lang w:val="fi-FI"/>
        </w:rPr>
        <w:t>ҥӹҥ</w:t>
      </w:r>
      <w:r w:rsidRPr="00FB4EFA">
        <w:rPr>
          <w:rFonts w:ascii="OS Jeremy" w:hAnsi="OS Jeremy" w:cs="Times New Roman"/>
          <w:sz w:val="20"/>
          <w:szCs w:val="20"/>
          <w:lang w:val="fi-FI"/>
        </w:rPr>
        <w:t xml:space="preserve"> вл</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го</w:t>
      </w:r>
      <w:r w:rsidR="000162EB" w:rsidRPr="00FB4EFA">
        <w:rPr>
          <w:rFonts w:ascii="OS Jeremy" w:hAnsi="OS Jeremy" w:cs="OS Jeremy"/>
          <w:sz w:val="20"/>
          <w:szCs w:val="20"/>
          <w:lang w:val="fi-FI"/>
        </w:rPr>
        <w:t>ӓ</w:t>
      </w:r>
      <w:r w:rsidRPr="00FB4EFA">
        <w:rPr>
          <w:rFonts w:ascii="OS Jeremy" w:hAnsi="OS Jeremy" w:cs="Times New Roman"/>
          <w:sz w:val="20"/>
          <w:szCs w:val="20"/>
          <w:lang w:val="fi-FI"/>
        </w:rPr>
        <w:t>, илѣг</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xml:space="preserve"> пинѣ, чѫдѣ охъ</w:t>
      </w:r>
      <w:r w:rsidR="000162EB" w:rsidRPr="00FB4EFA">
        <w:rPr>
          <w:rFonts w:ascii="OS Jeremy" w:hAnsi="OS Jeremy" w:cs="OS Jeremy"/>
          <w:sz w:val="20"/>
          <w:szCs w:val="20"/>
          <w:lang w:val="fi-FI"/>
        </w:rPr>
        <w:t>ӓ</w:t>
      </w:r>
      <w:r w:rsidRPr="00FB4EFA">
        <w:rPr>
          <w:rFonts w:ascii="OS Jeremy" w:hAnsi="OS Jeremy" w:cs="Times New Roman"/>
          <w:sz w:val="20"/>
          <w:szCs w:val="20"/>
          <w:lang w:val="fi-FI"/>
        </w:rPr>
        <w:t>. 4</w:t>
      </w:r>
      <w:r w:rsidR="00545033" w:rsidRPr="00FB4EFA">
        <w:rPr>
          <w:rFonts w:ascii="OS Jeremy" w:hAnsi="OS Jeremy" w:cs="Times New Roman"/>
          <w:sz w:val="20"/>
          <w:szCs w:val="20"/>
          <w:lang w:val="fi-FI"/>
        </w:rPr>
        <w:t>.</w:t>
      </w:r>
      <w:r w:rsidRPr="00FB4EFA">
        <w:rPr>
          <w:rFonts w:ascii="OS Jeremy" w:hAnsi="OS Jeremy" w:cs="Times New Roman"/>
          <w:sz w:val="20"/>
          <w:szCs w:val="20"/>
          <w:lang w:val="fi-FI"/>
        </w:rPr>
        <w:t xml:space="preserve"> Рєбє-</w:t>
      </w:r>
      <w:r w:rsidRPr="00FB4EFA">
        <w:rPr>
          <w:rFonts w:ascii="OS Jeremy" w:hAnsi="OS Jeremy" w:cs="Cambria"/>
          <w:sz w:val="20"/>
          <w:szCs w:val="20"/>
          <w:lang w:val="fi-FI"/>
        </w:rPr>
        <w:t>ѥ</w:t>
      </w:r>
      <w:r w:rsidRPr="00FB4EFA">
        <w:rPr>
          <w:rFonts w:ascii="OS Jeremy" w:hAnsi="OS Jeremy" w:cs="Times New Roman"/>
          <w:sz w:val="20"/>
          <w:szCs w:val="20"/>
          <w:lang w:val="fi-FI"/>
        </w:rPr>
        <w:t>мѧ идє шєрлѣдє</w:t>
      </w:r>
      <w:r w:rsidR="00096E39" w:rsidRPr="00FB4EFA">
        <w:rPr>
          <w:rFonts w:ascii="OS Jeremy" w:hAnsi="OS Jeremy" w:cs="Cambria"/>
          <w:sz w:val="20"/>
          <w:szCs w:val="20"/>
          <w:lang w:val="fi-FI"/>
        </w:rPr>
        <w:t>ž</w:t>
      </w:r>
      <w:r w:rsidRPr="00FB4EFA">
        <w:rPr>
          <w:rFonts w:ascii="OS Jeremy" w:hAnsi="OS Jeremy" w:cs="Times New Roman"/>
          <w:sz w:val="20"/>
          <w:szCs w:val="20"/>
          <w:lang w:val="fi-FI"/>
        </w:rPr>
        <w:t>но сѧ сьдѧ илѣ</w:t>
      </w:r>
      <w:r w:rsidR="005D00B9" w:rsidRPr="00FB4EFA">
        <w:rPr>
          <w:rFonts w:ascii="OS Jeremy" w:hAnsi="OS Jeremy" w:cs="Times New Roman"/>
          <w:sz w:val="20"/>
          <w:szCs w:val="20"/>
          <w:lang w:val="fi-FI"/>
        </w:rPr>
        <w:t>ӹҥ</w:t>
      </w:r>
      <w:r w:rsidRPr="00FB4EFA">
        <w:rPr>
          <w:rFonts w:ascii="OS Jeremy" w:hAnsi="OS Jeremy" w:cs="Times New Roman"/>
          <w:sz w:val="20"/>
          <w:szCs w:val="20"/>
          <w:lang w:val="fi-FI"/>
        </w:rPr>
        <w:t>сѧ. 5</w:t>
      </w:r>
      <w:r w:rsidR="00545033" w:rsidRPr="00FB4EFA">
        <w:rPr>
          <w:rFonts w:ascii="OS Jeremy" w:hAnsi="OS Jeremy" w:cs="Times New Roman"/>
          <w:sz w:val="20"/>
          <w:szCs w:val="20"/>
          <w:lang w:val="fi-FI"/>
        </w:rPr>
        <w:t>.</w:t>
      </w:r>
      <w:r w:rsidRPr="00FB4EFA">
        <w:rPr>
          <w:rFonts w:ascii="OS Jeremy" w:hAnsi="OS Jeremy" w:cs="Times New Roman"/>
          <w:sz w:val="20"/>
          <w:szCs w:val="20"/>
          <w:lang w:val="fi-FI"/>
        </w:rPr>
        <w:t xml:space="preserve"> Ѥ р</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цѣждь рєбє нєжѹтє</w:t>
      </w:r>
      <w:r w:rsidR="000162EB" w:rsidRPr="00FB4EFA">
        <w:rPr>
          <w:rFonts w:ascii="OS Jeremy" w:hAnsi="OS Jeremy" w:cs="OS Jeremy"/>
          <w:sz w:val="20"/>
          <w:szCs w:val="20"/>
          <w:lang w:val="fi-FI"/>
        </w:rPr>
        <w:t>ӓ</w:t>
      </w:r>
      <w:r w:rsidRPr="00FB4EFA">
        <w:rPr>
          <w:rFonts w:ascii="OS Jeremy" w:hAnsi="OS Jeremy" w:cs="Times New Roman"/>
          <w:sz w:val="20"/>
          <w:szCs w:val="20"/>
          <w:lang w:val="fi-FI"/>
        </w:rPr>
        <w:t xml:space="preserve"> л</w:t>
      </w:r>
      <w:r w:rsidR="005D00B9" w:rsidRPr="00FB4EFA">
        <w:rPr>
          <w:rFonts w:ascii="OS Jeremy" w:hAnsi="OS Jeremy" w:cs="Times New Roman"/>
          <w:sz w:val="20"/>
          <w:szCs w:val="20"/>
          <w:lang w:val="fi-FI"/>
        </w:rPr>
        <w:t>ҥӹ</w:t>
      </w:r>
      <w:r w:rsidRPr="00FB4EFA">
        <w:rPr>
          <w:rFonts w:ascii="OS Jeremy" w:hAnsi="OS Jeremy" w:cs="Times New Roman"/>
          <w:sz w:val="20"/>
          <w:szCs w:val="20"/>
          <w:lang w:val="fi-FI"/>
        </w:rPr>
        <w:t>ьѩ</w:t>
      </w:r>
      <w:r w:rsidR="00096E39" w:rsidRPr="00FB4EFA">
        <w:rPr>
          <w:rFonts w:ascii="OS Jeremy" w:hAnsi="OS Jeremy" w:cs="Cambria"/>
          <w:sz w:val="20"/>
          <w:szCs w:val="20"/>
          <w:lang w:val="fi-FI"/>
        </w:rPr>
        <w:t>ž</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 xml:space="preserve"> ко</w:t>
      </w:r>
      <w:r w:rsidR="000162EB" w:rsidRPr="00FB4EFA">
        <w:rPr>
          <w:rFonts w:ascii="OS Jeremy" w:hAnsi="OS Jeremy" w:cs="OS Jeremy"/>
          <w:sz w:val="20"/>
          <w:szCs w:val="20"/>
          <w:lang w:val="fi-FI"/>
        </w:rPr>
        <w:t>ӓ</w:t>
      </w:r>
      <w:r w:rsidRPr="00FB4EFA">
        <w:rPr>
          <w:rFonts w:ascii="OS Jeremy" w:hAnsi="OS Jeremy" w:cs="Times New Roman"/>
          <w:sz w:val="20"/>
          <w:szCs w:val="20"/>
          <w:lang w:val="fi-FI"/>
        </w:rPr>
        <w:t>чилѧ пл</w:t>
      </w:r>
      <w:r w:rsidR="005D00B9" w:rsidRPr="00FB4EFA">
        <w:rPr>
          <w:rFonts w:ascii="OS Jeremy" w:hAnsi="OS Jeremy" w:cs="Times New Roman"/>
          <w:sz w:val="20"/>
          <w:szCs w:val="20"/>
          <w:lang w:val="fi-FI"/>
        </w:rPr>
        <w:t>ҥ</w:t>
      </w:r>
      <w:r w:rsidRPr="00FB4EFA">
        <w:rPr>
          <w:rFonts w:ascii="OS Jeremy" w:hAnsi="OS Jeremy" w:cs="Times New Roman"/>
          <w:sz w:val="20"/>
          <w:szCs w:val="20"/>
          <w:lang w:val="fi-FI"/>
        </w:rPr>
        <w:t>дѣ ѥ м</w:t>
      </w:r>
      <w:r w:rsidR="005D00B9" w:rsidRPr="00FB4EFA">
        <w:rPr>
          <w:rFonts w:ascii="OS Jeremy" w:hAnsi="OS Jeremy" w:cs="Times New Roman"/>
          <w:sz w:val="20"/>
          <w:szCs w:val="20"/>
          <w:lang w:val="fi-FI"/>
        </w:rPr>
        <w:t>ҥӹ</w:t>
      </w:r>
      <w:r w:rsidRPr="00FB4EFA">
        <w:rPr>
          <w:rFonts w:ascii="OS Jeremy" w:hAnsi="OS Jeremy" w:cs="Times New Roman"/>
          <w:sz w:val="20"/>
          <w:szCs w:val="20"/>
          <w:lang w:val="fi-FI"/>
        </w:rPr>
        <w:t>ь єлєилѫ.</w:t>
      </w:r>
    </w:p>
    <w:p w14:paraId="34F3C8A6" w14:textId="77777777" w:rsidR="00EF1775" w:rsidRPr="00FB4EFA" w:rsidRDefault="00EF1775" w:rsidP="00A219CF">
      <w:pPr>
        <w:spacing w:before="240"/>
        <w:rPr>
          <w:lang w:val="fi-FI"/>
        </w:rPr>
      </w:pPr>
      <w:r w:rsidRPr="00FB4EFA">
        <w:rPr>
          <w:lang w:val="fi-FI"/>
        </w:rPr>
        <w:t>Muinaiskirkkokuilina on tavallaan muuta kuilinaa spekulatiivisempi kieli, koska sen konstruoinnin tueksi ei kettusadusta ole suoraa käännöstä. Toisaalta se on paljon lähempänä kantasuomea kuin nykykuilina, eliväthän sen kuvitteelliset puhujat jo vuosituhat sitten, vain puolen vuosituhannen mitan päässä kantasuomen loppuvaiheesta.</w:t>
      </w:r>
    </w:p>
    <w:p w14:paraId="07656718" w14:textId="191AEF8A" w:rsidR="00EF1775" w:rsidRPr="00FB4EFA" w:rsidRDefault="00EF1775" w:rsidP="00A219CF">
      <w:pPr>
        <w:ind w:firstLine="709"/>
        <w:rPr>
          <w:rFonts w:cstheme="minorHAnsi"/>
          <w:lang w:val="fi-FI"/>
        </w:rPr>
      </w:pPr>
      <w:r w:rsidRPr="00FB4EFA">
        <w:rPr>
          <w:lang w:val="fi-FI"/>
        </w:rPr>
        <w:t xml:space="preserve">Muinaiskirkkokuilinan kirjallinen esikuva oli klassinen kreikka. Tekstissä tämä näkyy verbien nominaalirakenteitten suosimisena ei vain sivulauseitten vaan rinnasteistenkin lauseitten korvaajana: </w:t>
      </w:r>
      <w:r w:rsidRPr="00FB4EFA">
        <w:rPr>
          <w:rFonts w:ascii="OS Jeremy" w:hAnsi="OS Jeremy" w:cs="Cambria"/>
          <w:i/>
          <w:iCs/>
          <w:lang w:val="fi-FI"/>
        </w:rPr>
        <w:t>цѣвѣтъѩзо</w:t>
      </w:r>
      <w:r w:rsidRPr="00FB4EFA">
        <w:rPr>
          <w:lang w:val="fi-FI"/>
        </w:rPr>
        <w:t xml:space="preserve"> </w:t>
      </w:r>
      <w:r w:rsidRPr="00FB4EFA">
        <w:rPr>
          <w:rFonts w:ascii="OS Jeremy" w:hAnsi="OS Jeremy" w:cs="Cambria"/>
          <w:i/>
          <w:iCs/>
          <w:lang w:val="fi-FI"/>
        </w:rPr>
        <w:t>м</w:t>
      </w:r>
      <w:r w:rsidR="005D00B9" w:rsidRPr="00FB4EFA">
        <w:rPr>
          <w:rFonts w:ascii="OS Jeremy" w:hAnsi="OS Jeremy" w:cs="Old Standard TT"/>
          <w:i/>
          <w:iCs/>
          <w:lang w:val="fi-FI"/>
        </w:rPr>
        <w:t>ҥ</w:t>
      </w:r>
      <w:r w:rsidR="00096E39" w:rsidRPr="00FB4EFA">
        <w:rPr>
          <w:rFonts w:ascii="OS Jeremy" w:hAnsi="OS Jeremy" w:cs="Cambria"/>
          <w:i/>
          <w:iCs/>
          <w:lang w:val="fi-FI"/>
        </w:rPr>
        <w:t>ž</w:t>
      </w:r>
      <w:r w:rsidRPr="00FB4EFA">
        <w:rPr>
          <w:rFonts w:ascii="OS Jeremy" w:hAnsi="OS Jeremy" w:cs="Cambria"/>
          <w:i/>
          <w:iCs/>
          <w:lang w:val="fi-FI"/>
        </w:rPr>
        <w:t>ѫ</w:t>
      </w:r>
      <w:r w:rsidRPr="00FB4EFA">
        <w:rPr>
          <w:lang w:val="fi-FI"/>
        </w:rPr>
        <w:t xml:space="preserve"> </w:t>
      </w:r>
      <w:r w:rsidRPr="00FB4EFA">
        <w:rPr>
          <w:rFonts w:ascii="OS Jeremy" w:hAnsi="OS Jeremy" w:cs="Cambria"/>
          <w:i/>
          <w:iCs/>
          <w:lang w:val="fi-FI"/>
        </w:rPr>
        <w:t>п</w:t>
      </w:r>
      <w:r w:rsidR="005D00B9" w:rsidRPr="00FB4EFA">
        <w:rPr>
          <w:rFonts w:ascii="OS Jeremy" w:hAnsi="OS Jeremy" w:cs="Old Standard TT"/>
          <w:i/>
          <w:iCs/>
          <w:lang w:val="fi-FI"/>
        </w:rPr>
        <w:t>ҥ</w:t>
      </w:r>
      <w:r w:rsidRPr="00FB4EFA">
        <w:rPr>
          <w:rFonts w:ascii="OS Jeremy" w:hAnsi="OS Jeremy" w:cs="Cambria"/>
          <w:i/>
          <w:iCs/>
          <w:lang w:val="fi-FI"/>
        </w:rPr>
        <w:t>нѫ</w:t>
      </w:r>
      <w:r w:rsidRPr="00FB4EFA">
        <w:rPr>
          <w:rFonts w:cstheme="minorHAnsi"/>
          <w:lang w:val="fi-FI"/>
        </w:rPr>
        <w:t xml:space="preserve"> ’kaivettuansa maahan kuopan’, </w:t>
      </w:r>
      <w:r w:rsidRPr="00FB4EFA">
        <w:rPr>
          <w:rFonts w:ascii="OS Jeremy" w:hAnsi="OS Jeremy" w:cs="Cambria"/>
          <w:i/>
          <w:iCs/>
          <w:lang w:val="fi-FI"/>
        </w:rPr>
        <w:t>рєбє</w:t>
      </w:r>
      <w:r w:rsidRPr="00FB4EFA">
        <w:rPr>
          <w:rFonts w:ascii="OS Jeremy" w:hAnsi="OS Jeremy" w:cstheme="minorHAnsi"/>
          <w:i/>
          <w:iCs/>
          <w:lang w:val="fi-FI"/>
        </w:rPr>
        <w:t>-</w:t>
      </w:r>
      <w:r w:rsidRPr="00FB4EFA">
        <w:rPr>
          <w:rFonts w:ascii="OS Jeremy" w:hAnsi="OS Jeremy" w:cs="Cambria"/>
          <w:i/>
          <w:iCs/>
          <w:lang w:val="fi-FI"/>
        </w:rPr>
        <w:t>ѥмѧ</w:t>
      </w:r>
      <w:r w:rsidRPr="00FB4EFA">
        <w:rPr>
          <w:rFonts w:ascii="OS Jeremy" w:hAnsi="OS Jeremy" w:cstheme="minorHAnsi"/>
          <w:i/>
          <w:iCs/>
          <w:lang w:val="fi-FI"/>
        </w:rPr>
        <w:t xml:space="preserve"> </w:t>
      </w:r>
      <w:r w:rsidRPr="00FB4EFA">
        <w:rPr>
          <w:rFonts w:ascii="OS Jeremy" w:hAnsi="OS Jeremy" w:cs="Cambria"/>
          <w:i/>
          <w:iCs/>
          <w:lang w:val="fi-FI"/>
        </w:rPr>
        <w:t>идє</w:t>
      </w:r>
      <w:r w:rsidRPr="00FB4EFA">
        <w:rPr>
          <w:rFonts w:ascii="OS Jeremy" w:hAnsi="OS Jeremy"/>
          <w:lang w:val="fi-FI"/>
        </w:rPr>
        <w:t xml:space="preserve"> </w:t>
      </w:r>
      <w:r w:rsidRPr="00FB4EFA">
        <w:rPr>
          <w:rFonts w:ascii="OS Jeremy" w:hAnsi="OS Jeremy" w:cs="Cambria"/>
          <w:i/>
          <w:iCs/>
          <w:lang w:val="fi-FI"/>
        </w:rPr>
        <w:t>шєрлѣдо</w:t>
      </w:r>
      <w:r w:rsidR="00096E39" w:rsidRPr="00FB4EFA">
        <w:rPr>
          <w:rFonts w:ascii="OS Jeremy" w:hAnsi="OS Jeremy" w:cs="Cambria"/>
          <w:i/>
          <w:iCs/>
          <w:lang w:val="fi-FI"/>
        </w:rPr>
        <w:t>ž</w:t>
      </w:r>
      <w:r w:rsidRPr="00FB4EFA">
        <w:rPr>
          <w:rFonts w:ascii="OS Jeremy" w:hAnsi="OS Jeremy" w:cs="Cambria"/>
          <w:i/>
          <w:iCs/>
          <w:lang w:val="fi-FI"/>
        </w:rPr>
        <w:t>но</w:t>
      </w:r>
      <w:r w:rsidRPr="00FB4EFA">
        <w:rPr>
          <w:lang w:val="fi-FI"/>
        </w:rPr>
        <w:t xml:space="preserve"> ’kettuemon niitä katsellessa’. Jälkimmäisessä esimerkkilauseessa näkyy kantaslaavin </w:t>
      </w:r>
      <w:r w:rsidRPr="00FB4EFA">
        <w:rPr>
          <w:rFonts w:cstheme="minorHAnsi"/>
          <w:lang w:val="fi-FI"/>
        </w:rPr>
        <w:t xml:space="preserve">verbin </w:t>
      </w:r>
      <w:r w:rsidR="00096E39" w:rsidRPr="00FB4EFA">
        <w:rPr>
          <w:rFonts w:ascii="OS Jeremy" w:hAnsi="OS Jeremy" w:cs="Cambria"/>
          <w:i/>
          <w:iCs/>
          <w:lang w:val="fi-FI"/>
        </w:rPr>
        <w:t>ž</w:t>
      </w:r>
      <w:r w:rsidRPr="00FB4EFA">
        <w:rPr>
          <w:rFonts w:ascii="OS Jeremy" w:hAnsi="OS Jeremy" w:cs="Cambria"/>
          <w:i/>
          <w:iCs/>
          <w:lang w:val="fi-FI"/>
        </w:rPr>
        <w:t>ьрѣти</w:t>
      </w:r>
      <w:r w:rsidRPr="00FB4EFA">
        <w:rPr>
          <w:rFonts w:cstheme="minorHAnsi"/>
          <w:lang w:val="fi-FI"/>
        </w:rPr>
        <w:t xml:space="preserve"> ’nähdä’ toissijaista transitiivista käyttöä vastaamassa sen lainavastine </w:t>
      </w:r>
      <w:r w:rsidRPr="00FB4EFA">
        <w:rPr>
          <w:rFonts w:ascii="OS Jeremy" w:hAnsi="OS Jeremy" w:cs="Cambria"/>
          <w:i/>
          <w:iCs/>
          <w:lang w:val="fi-FI"/>
        </w:rPr>
        <w:t>шєрѣт</w:t>
      </w:r>
      <w:r w:rsidR="005D00B9" w:rsidRPr="00FB4EFA">
        <w:rPr>
          <w:rFonts w:ascii="OS Jeremy" w:hAnsi="OS Jeremy" w:cs="Old Standard TT"/>
          <w:i/>
          <w:iCs/>
          <w:lang w:val="fi-FI"/>
        </w:rPr>
        <w:t>ҥ</w:t>
      </w:r>
      <w:r w:rsidRPr="00FB4EFA">
        <w:rPr>
          <w:rFonts w:cstheme="minorHAnsi"/>
          <w:lang w:val="fi-FI"/>
        </w:rPr>
        <w:t xml:space="preserve"> &lt; *</w:t>
      </w:r>
      <w:r w:rsidRPr="00FB4EFA">
        <w:rPr>
          <w:rFonts w:cs="Cambria"/>
          <w:i/>
          <w:iCs/>
          <w:lang w:val="fi-FI"/>
        </w:rPr>
        <w:t>š</w:t>
      </w:r>
      <w:r w:rsidRPr="00FB4EFA">
        <w:rPr>
          <w:rFonts w:cstheme="minorHAnsi"/>
          <w:i/>
          <w:iCs/>
          <w:lang w:val="fi-FI"/>
        </w:rPr>
        <w:t>er</w:t>
      </w:r>
      <w:r w:rsidRPr="00FB4EFA">
        <w:rPr>
          <w:rFonts w:cs="Old Standard TT"/>
          <w:i/>
          <w:iCs/>
          <w:lang w:val="fi-FI"/>
        </w:rPr>
        <w:t>ä</w:t>
      </w:r>
      <w:r w:rsidRPr="00FB4EFA">
        <w:rPr>
          <w:rFonts w:cstheme="minorHAnsi"/>
          <w:i/>
          <w:iCs/>
          <w:lang w:val="fi-FI"/>
        </w:rPr>
        <w:t>it-t</w:t>
      </w:r>
      <w:r w:rsidRPr="00FB4EFA">
        <w:rPr>
          <w:rFonts w:cs="Old Standard TT"/>
          <w:i/>
          <w:iCs/>
          <w:lang w:val="fi-FI"/>
        </w:rPr>
        <w:t>ä</w:t>
      </w:r>
      <w:r w:rsidRPr="00FB4EFA">
        <w:rPr>
          <w:rFonts w:cstheme="minorHAnsi"/>
          <w:i/>
          <w:iCs/>
          <w:lang w:val="fi-FI"/>
        </w:rPr>
        <w:t>k</w:t>
      </w:r>
      <w:r w:rsidRPr="00FB4EFA">
        <w:rPr>
          <w:rFonts w:cstheme="minorHAnsi"/>
          <w:lang w:val="fi-FI"/>
        </w:rPr>
        <w:t xml:space="preserve"> (&gt; sm </w:t>
      </w:r>
      <w:r w:rsidRPr="00FB4EFA">
        <w:rPr>
          <w:rFonts w:cstheme="minorHAnsi"/>
          <w:i/>
          <w:iCs/>
          <w:lang w:val="fi-FI"/>
        </w:rPr>
        <w:t>herätä</w:t>
      </w:r>
      <w:r w:rsidRPr="00FB4EFA">
        <w:rPr>
          <w:rFonts w:cstheme="minorHAnsi"/>
          <w:lang w:val="fi-FI"/>
        </w:rPr>
        <w:t>), jolla on ’näkemisen, katsomisen’ käyttöä viron murteissakin (</w:t>
      </w:r>
      <w:r w:rsidRPr="00FB4EFA">
        <w:rPr>
          <w:rFonts w:cstheme="minorHAnsi"/>
          <w:i/>
          <w:iCs/>
          <w:lang w:val="fi-FI"/>
        </w:rPr>
        <w:t>ergata</w:t>
      </w:r>
      <w:r w:rsidRPr="00FB4EFA">
        <w:rPr>
          <w:rFonts w:cstheme="minorHAnsi"/>
          <w:lang w:val="fi-FI"/>
        </w:rPr>
        <w:t>).</w:t>
      </w:r>
      <w:r w:rsidRPr="00FB4EFA">
        <w:rPr>
          <w:rStyle w:val="Alaviitteenankkuri"/>
          <w:rFonts w:cs="Charis SIL"/>
          <w:lang w:val="fi-FI"/>
        </w:rPr>
        <w:footnoteReference w:id="45"/>
      </w:r>
    </w:p>
    <w:p w14:paraId="5830AE94" w14:textId="5BF3FD13" w:rsidR="00EF1775" w:rsidRPr="00FB4EFA" w:rsidRDefault="00EF1775" w:rsidP="00A219CF">
      <w:pPr>
        <w:ind w:firstLine="709"/>
        <w:rPr>
          <w:rFonts w:cstheme="minorHAnsi"/>
          <w:lang w:val="fi-FI"/>
        </w:rPr>
      </w:pPr>
      <w:r w:rsidRPr="00FB4EFA">
        <w:rPr>
          <w:rFonts w:cstheme="minorHAnsi"/>
          <w:lang w:val="fi-FI"/>
        </w:rPr>
        <w:t>Tarkemmin ottaen tekstin verbi ei ole</w:t>
      </w:r>
      <w:r w:rsidRPr="00FB4EFA">
        <w:rPr>
          <w:rFonts w:cstheme="minorHAnsi"/>
          <w:i/>
          <w:iCs/>
          <w:lang w:val="fi-FI"/>
        </w:rPr>
        <w:t xml:space="preserve"> </w:t>
      </w:r>
      <w:r w:rsidRPr="00FB4EFA">
        <w:rPr>
          <w:rFonts w:ascii="OS Jeremy" w:hAnsi="OS Jeremy" w:cs="Cambria"/>
          <w:i/>
          <w:iCs/>
          <w:lang w:val="fi-FI"/>
        </w:rPr>
        <w:t>шєрѣт</w:t>
      </w:r>
      <w:r w:rsidR="005D00B9" w:rsidRPr="00FB4EFA">
        <w:rPr>
          <w:rFonts w:ascii="OS Jeremy" w:hAnsi="OS Jeremy" w:cs="Old Standard TT"/>
          <w:i/>
          <w:iCs/>
          <w:lang w:val="fi-FI"/>
        </w:rPr>
        <w:t>ҥ</w:t>
      </w:r>
      <w:r w:rsidRPr="00FB4EFA">
        <w:rPr>
          <w:rFonts w:cstheme="minorHAnsi"/>
          <w:lang w:val="fi-FI"/>
        </w:rPr>
        <w:t xml:space="preserve"> vaan sen imperfektiivinen pari </w:t>
      </w:r>
      <w:r w:rsidRPr="00FB4EFA">
        <w:rPr>
          <w:rFonts w:ascii="OS Jeremy" w:hAnsi="OS Jeremy" w:cs="Cambria"/>
          <w:i/>
          <w:iCs/>
          <w:lang w:val="fi-FI"/>
        </w:rPr>
        <w:t>шєрлѣд</w:t>
      </w:r>
      <w:r w:rsidR="005D00B9" w:rsidRPr="00FB4EFA">
        <w:rPr>
          <w:rFonts w:ascii="OS Jeremy" w:hAnsi="OS Jeremy" w:cs="Old Standard TT"/>
          <w:i/>
          <w:iCs/>
          <w:lang w:val="fi-FI"/>
        </w:rPr>
        <w:t>ҥ</w:t>
      </w:r>
      <w:r w:rsidRPr="00FB4EFA">
        <w:rPr>
          <w:rFonts w:cstheme="minorHAnsi"/>
          <w:lang w:val="fi-FI"/>
        </w:rPr>
        <w:t xml:space="preserve">, alun perin frekventatiivijohdos. Kuten slaavissa, myös kuilinassa aspekti on keskeinen osa verbintaivutusta, niin, että useimmista verbeistä on perfektiivinen ja imperfektiivinen pari. Useimmiten, joskaan ei aina, kantaverbillä on perfektiivinen aspekti ja imperfektiivisen parinsa se on saanut </w:t>
      </w:r>
      <w:r w:rsidRPr="00FB4EFA">
        <w:rPr>
          <w:rFonts w:cstheme="minorHAnsi"/>
          <w:i/>
          <w:iCs/>
          <w:lang w:val="fi-FI"/>
        </w:rPr>
        <w:t>i</w:t>
      </w:r>
      <w:r w:rsidRPr="00FB4EFA">
        <w:rPr>
          <w:rFonts w:cstheme="minorHAnsi"/>
          <w:lang w:val="fi-FI"/>
        </w:rPr>
        <w:t xml:space="preserve">-kontinuatiivijohdoksesta tai </w:t>
      </w:r>
      <w:r w:rsidRPr="00FB4EFA">
        <w:rPr>
          <w:rFonts w:cstheme="minorHAnsi"/>
          <w:i/>
          <w:iCs/>
          <w:lang w:val="fi-FI"/>
        </w:rPr>
        <w:t>ElE</w:t>
      </w:r>
      <w:r w:rsidR="00D70954" w:rsidRPr="00FB4EFA">
        <w:rPr>
          <w:rFonts w:cstheme="minorHAnsi"/>
          <w:lang w:val="fi-FI"/>
        </w:rPr>
        <w:noBreakHyphen/>
      </w:r>
      <w:r w:rsidRPr="00FB4EFA">
        <w:rPr>
          <w:rFonts w:cstheme="minorHAnsi"/>
          <w:lang w:val="fi-FI"/>
        </w:rPr>
        <w:t>frekventatiivijohdoksesta.</w:t>
      </w:r>
    </w:p>
    <w:p w14:paraId="5EA639B5" w14:textId="38634798" w:rsidR="00EF1775" w:rsidRPr="00FB4EFA" w:rsidRDefault="00EF1775" w:rsidP="00A219CF">
      <w:pPr>
        <w:ind w:firstLine="709"/>
        <w:rPr>
          <w:lang w:val="fi-FI"/>
        </w:rPr>
      </w:pPr>
      <w:r w:rsidRPr="00FB4EFA">
        <w:rPr>
          <w:rFonts w:cstheme="minorHAnsi"/>
          <w:lang w:val="fi-FI"/>
        </w:rPr>
        <w:t xml:space="preserve">Infinitiivit </w:t>
      </w:r>
      <w:r w:rsidRPr="00FB4EFA">
        <w:rPr>
          <w:rFonts w:ascii="OS Jeremy" w:hAnsi="OS Jeremy" w:cs="Cambria"/>
          <w:i/>
          <w:iCs/>
          <w:lang w:val="fi-FI"/>
        </w:rPr>
        <w:t>шєрѣт</w:t>
      </w:r>
      <w:r w:rsidR="005D00B9" w:rsidRPr="00FB4EFA">
        <w:rPr>
          <w:rFonts w:ascii="OS Jeremy" w:hAnsi="OS Jeremy" w:cs="Old Standard TT"/>
          <w:i/>
          <w:iCs/>
          <w:lang w:val="fi-FI"/>
        </w:rPr>
        <w:t>ҥ</w:t>
      </w:r>
      <w:r w:rsidRPr="00FB4EFA">
        <w:rPr>
          <w:rFonts w:cstheme="minorHAnsi"/>
          <w:lang w:val="fi-FI"/>
        </w:rPr>
        <w:t xml:space="preserve"> ja </w:t>
      </w:r>
      <w:r w:rsidRPr="00FB4EFA">
        <w:rPr>
          <w:rFonts w:ascii="OS Jeremy" w:hAnsi="OS Jeremy" w:cs="Cambria"/>
          <w:i/>
          <w:iCs/>
          <w:lang w:val="fi-FI"/>
        </w:rPr>
        <w:t>шєрлѣд</w:t>
      </w:r>
      <w:r w:rsidR="005D00B9" w:rsidRPr="00FB4EFA">
        <w:rPr>
          <w:rFonts w:ascii="OS Jeremy" w:hAnsi="OS Jeremy" w:cs="Old Standard TT"/>
          <w:i/>
          <w:iCs/>
          <w:lang w:val="fi-FI"/>
        </w:rPr>
        <w:t>ҥ</w:t>
      </w:r>
      <w:r w:rsidRPr="00FB4EFA">
        <w:rPr>
          <w:lang w:val="fi-FI"/>
        </w:rPr>
        <w:t xml:space="preserve"> </w:t>
      </w:r>
      <w:r w:rsidRPr="00FB4EFA">
        <w:rPr>
          <w:rFonts w:cstheme="minorHAnsi"/>
          <w:lang w:val="fi-FI"/>
        </w:rPr>
        <w:t>eivät myöskään sellaisinansa palaudu kantasuomeen, vaan niillä on etuvokaaliseen vartaloon liittynyt takavokaalinen infinitiivin pääte. Samanlaisia analogiamuotoja ovat myös substantiivit</w:t>
      </w:r>
      <w:r w:rsidRPr="00FB4EFA">
        <w:rPr>
          <w:lang w:val="fi-FI"/>
        </w:rPr>
        <w:t xml:space="preserve"> </w:t>
      </w:r>
      <w:r w:rsidRPr="00FB4EFA">
        <w:rPr>
          <w:rFonts w:ascii="OS Jeremy" w:hAnsi="OS Jeremy"/>
          <w:i/>
          <w:iCs/>
          <w:lang w:val="fi-FI"/>
        </w:rPr>
        <w:t>(</w:t>
      </w:r>
      <w:r w:rsidRPr="00FB4EFA">
        <w:rPr>
          <w:rFonts w:ascii="OS Jeremy" w:hAnsi="OS Jeremy" w:cs="Cambria"/>
          <w:i/>
          <w:iCs/>
          <w:lang w:val="fi-FI"/>
        </w:rPr>
        <w:t>чє</w:t>
      </w:r>
      <w:r w:rsidR="00096E39" w:rsidRPr="00FB4EFA">
        <w:rPr>
          <w:rFonts w:ascii="OS Jeremy" w:hAnsi="OS Jeremy" w:cs="Cambria"/>
          <w:i/>
          <w:iCs/>
          <w:lang w:val="fi-FI"/>
        </w:rPr>
        <w:t>ž</w:t>
      </w:r>
      <w:r w:rsidRPr="00FB4EFA">
        <w:rPr>
          <w:rFonts w:ascii="OS Jeremy" w:hAnsi="OS Jeremy" w:cs="Cambria"/>
          <w:i/>
          <w:iCs/>
          <w:lang w:val="fi-FI"/>
        </w:rPr>
        <w:t>ь</w:t>
      </w:r>
      <w:r w:rsidRPr="00FB4EFA">
        <w:rPr>
          <w:rFonts w:ascii="OS Jeremy" w:hAnsi="OS Jeremy"/>
          <w:lang w:val="fi-FI"/>
        </w:rPr>
        <w:t>-)</w:t>
      </w:r>
      <w:r w:rsidRPr="00FB4EFA">
        <w:rPr>
          <w:rFonts w:ascii="OS Jeremy" w:hAnsi="OS Jeremy" w:cs="Cambria"/>
          <w:i/>
          <w:iCs/>
          <w:lang w:val="fi-FI"/>
        </w:rPr>
        <w:t>пивє</w:t>
      </w:r>
      <w:r w:rsidRPr="00FB4EFA">
        <w:rPr>
          <w:rFonts w:ascii="OS Jeremy" w:hAnsi="OS Jeremy" w:cs="Cambria"/>
          <w:i/>
          <w:iCs/>
          <w:u w:val="single"/>
          <w:lang w:val="fi-FI"/>
        </w:rPr>
        <w:t>но</w:t>
      </w:r>
      <w:r w:rsidRPr="00FB4EFA">
        <w:rPr>
          <w:lang w:val="fi-FI"/>
        </w:rPr>
        <w:t xml:space="preserve">, </w:t>
      </w:r>
      <w:r w:rsidRPr="00FB4EFA">
        <w:rPr>
          <w:rFonts w:ascii="OS Jeremy" w:hAnsi="OS Jeremy" w:cs="Cambria"/>
          <w:i/>
          <w:iCs/>
          <w:lang w:val="fi-FI"/>
        </w:rPr>
        <w:t>рєбѣ</w:t>
      </w:r>
      <w:r w:rsidRPr="00FB4EFA">
        <w:rPr>
          <w:rFonts w:ascii="OS Jeremy" w:hAnsi="OS Jeremy" w:cs="Cambria"/>
          <w:i/>
          <w:iCs/>
          <w:u w:val="single"/>
          <w:lang w:val="fi-FI"/>
        </w:rPr>
        <w:t>сто</w:t>
      </w:r>
      <w:r w:rsidRPr="00FB4EFA">
        <w:rPr>
          <w:rFonts w:cstheme="minorHAnsi"/>
          <w:lang w:val="fi-FI"/>
        </w:rPr>
        <w:t xml:space="preserve">, </w:t>
      </w:r>
      <w:r w:rsidRPr="00FB4EFA">
        <w:rPr>
          <w:rFonts w:ascii="OS Jeremy" w:hAnsi="OS Jeremy" w:cs="Cambria"/>
          <w:i/>
          <w:iCs/>
          <w:lang w:val="fi-FI"/>
        </w:rPr>
        <w:t>єлєи</w:t>
      </w:r>
      <w:r w:rsidRPr="00FB4EFA">
        <w:rPr>
          <w:rFonts w:ascii="OS Jeremy" w:hAnsi="OS Jeremy" w:cs="Cambria"/>
          <w:i/>
          <w:iCs/>
          <w:u w:val="single"/>
          <w:lang w:val="fi-FI"/>
        </w:rPr>
        <w:t>лѫ</w:t>
      </w:r>
      <w:r w:rsidRPr="00FB4EFA">
        <w:rPr>
          <w:rFonts w:cstheme="minorHAnsi"/>
          <w:lang w:val="fi-FI"/>
        </w:rPr>
        <w:t xml:space="preserve">, kvanttori </w:t>
      </w:r>
      <w:r w:rsidRPr="00FB4EFA">
        <w:rPr>
          <w:rFonts w:ascii="OS Jeremy" w:hAnsi="OS Jeremy" w:cs="Cambria"/>
          <w:i/>
          <w:iCs/>
          <w:lang w:val="fi-FI"/>
        </w:rPr>
        <w:t>ко</w:t>
      </w:r>
      <w:r w:rsidR="000162EB" w:rsidRPr="00FB4EFA">
        <w:rPr>
          <w:rFonts w:ascii="OS Jeremy" w:hAnsi="OS Jeremy" w:cs="Cambria"/>
          <w:i/>
          <w:iCs/>
          <w:lang w:val="fi-FI"/>
        </w:rPr>
        <w:t>ӓ</w:t>
      </w:r>
      <w:r w:rsidRPr="00FB4EFA">
        <w:rPr>
          <w:rFonts w:ascii="OS Jeremy" w:hAnsi="OS Jeremy" w:cs="Cambria"/>
          <w:i/>
          <w:iCs/>
          <w:lang w:val="fi-FI"/>
        </w:rPr>
        <w:t>чи</w:t>
      </w:r>
      <w:r w:rsidRPr="00FB4EFA">
        <w:rPr>
          <w:rFonts w:ascii="OS Jeremy" w:hAnsi="OS Jeremy" w:cs="Cambria"/>
          <w:i/>
          <w:iCs/>
          <w:u w:val="single"/>
          <w:lang w:val="fi-FI"/>
        </w:rPr>
        <w:t>лѧ</w:t>
      </w:r>
      <w:r w:rsidRPr="00FB4EFA">
        <w:rPr>
          <w:rFonts w:cstheme="minorHAnsi"/>
          <w:lang w:val="fi-FI"/>
        </w:rPr>
        <w:t>, adjek</w:t>
      </w:r>
      <w:r w:rsidRPr="00FB4EFA">
        <w:rPr>
          <w:rFonts w:cstheme="minorHAnsi"/>
          <w:lang w:val="fi-FI"/>
        </w:rPr>
        <w:lastRenderedPageBreak/>
        <w:t xml:space="preserve">tiivi </w:t>
      </w:r>
      <w:r w:rsidRPr="00FB4EFA">
        <w:rPr>
          <w:rFonts w:ascii="OS Jeremy" w:hAnsi="OS Jeremy" w:cstheme="minorHAnsi"/>
          <w:lang w:val="fi-FI"/>
        </w:rPr>
        <w:t>(</w:t>
      </w:r>
      <w:r w:rsidRPr="00FB4EFA">
        <w:rPr>
          <w:rFonts w:ascii="OS Jeremy" w:hAnsi="OS Jeremy" w:cs="Cambria"/>
          <w:i/>
          <w:iCs/>
          <w:lang w:val="fi-FI"/>
        </w:rPr>
        <w:t>пивѣждѧ</w:t>
      </w:r>
      <w:r w:rsidRPr="00FB4EFA">
        <w:rPr>
          <w:rFonts w:ascii="OS Jeremy" w:hAnsi="OS Jeremy"/>
          <w:lang w:val="fi-FI"/>
        </w:rPr>
        <w:t>-)</w:t>
      </w:r>
      <w:r w:rsidRPr="00FB4EFA">
        <w:rPr>
          <w:rFonts w:ascii="OS Jeremy" w:hAnsi="OS Jeremy" w:cs="Cambria"/>
          <w:i/>
          <w:iCs/>
          <w:lang w:val="fi-FI"/>
        </w:rPr>
        <w:t>пѣстоиждє</w:t>
      </w:r>
      <w:r w:rsidRPr="00FB4EFA">
        <w:rPr>
          <w:rFonts w:ascii="OS Jeremy" w:hAnsi="OS Jeremy" w:cs="Cambria"/>
          <w:i/>
          <w:iCs/>
          <w:u w:val="single"/>
          <w:lang w:val="fi-FI"/>
        </w:rPr>
        <w:t>нє</w:t>
      </w:r>
      <w:r w:rsidRPr="00FB4EFA">
        <w:rPr>
          <w:lang w:val="fi-FI"/>
        </w:rPr>
        <w:t xml:space="preserve"> </w:t>
      </w:r>
      <w:r w:rsidRPr="00FB4EFA">
        <w:rPr>
          <w:rFonts w:cstheme="minorHAnsi"/>
          <w:lang w:val="fi-FI"/>
        </w:rPr>
        <w:t xml:space="preserve">sekä nominaalimuoto </w:t>
      </w:r>
      <w:r w:rsidRPr="00FB4EFA">
        <w:rPr>
          <w:rFonts w:ascii="OS Jeremy" w:hAnsi="OS Jeremy" w:cs="Cambria"/>
          <w:i/>
          <w:iCs/>
          <w:lang w:val="fi-FI"/>
        </w:rPr>
        <w:t>шєрлѣд</w:t>
      </w:r>
      <w:r w:rsidRPr="00FB4EFA">
        <w:rPr>
          <w:rFonts w:ascii="OS Jeremy" w:hAnsi="OS Jeremy" w:cs="Cambria"/>
          <w:i/>
          <w:iCs/>
          <w:u w:val="single"/>
          <w:lang w:val="fi-FI"/>
        </w:rPr>
        <w:t>о</w:t>
      </w:r>
      <w:r w:rsidR="00096E39" w:rsidRPr="00FB4EFA">
        <w:rPr>
          <w:rFonts w:ascii="OS Jeremy" w:hAnsi="OS Jeremy" w:cs="Cambria"/>
          <w:i/>
          <w:iCs/>
          <w:u w:val="single"/>
          <w:lang w:val="fi-FI"/>
        </w:rPr>
        <w:t>ž</w:t>
      </w:r>
      <w:r w:rsidRPr="00FB4EFA">
        <w:rPr>
          <w:rFonts w:ascii="OS Jeremy" w:hAnsi="OS Jeremy" w:cs="Cambria"/>
          <w:i/>
          <w:iCs/>
          <w:u w:val="single"/>
          <w:lang w:val="fi-FI"/>
        </w:rPr>
        <w:t>но</w:t>
      </w:r>
      <w:r w:rsidRPr="00FB4EFA">
        <w:rPr>
          <w:lang w:val="fi-FI"/>
        </w:rPr>
        <w:t>. Toisenlaista analogiaa on kolmannen tavun jälkeinen -</w:t>
      </w:r>
      <w:r w:rsidRPr="00FB4EFA">
        <w:rPr>
          <w:i/>
          <w:iCs/>
          <w:lang w:val="fi-FI"/>
        </w:rPr>
        <w:t>j</w:t>
      </w:r>
      <w:r w:rsidRPr="00FB4EFA">
        <w:rPr>
          <w:lang w:val="fi-FI"/>
        </w:rPr>
        <w:t xml:space="preserve">- yksikön genetiivissä </w:t>
      </w:r>
      <w:r w:rsidRPr="00FB4EFA">
        <w:rPr>
          <w:rFonts w:ascii="OS Jeremy" w:hAnsi="OS Jeremy" w:cs="Cambria"/>
          <w:i/>
          <w:iCs/>
          <w:lang w:val="fi-FI"/>
        </w:rPr>
        <w:t>чѧдѣпєѩ</w:t>
      </w:r>
      <w:r w:rsidRPr="00FB4EFA">
        <w:rPr>
          <w:rFonts w:cstheme="minorHAnsi"/>
          <w:lang w:val="fi-FI"/>
        </w:rPr>
        <w:t xml:space="preserve"> (nom. </w:t>
      </w:r>
      <w:r w:rsidRPr="00FB4EFA">
        <w:rPr>
          <w:rFonts w:ascii="OS Jeremy" w:hAnsi="OS Jeremy" w:cs="Cambria"/>
          <w:i/>
          <w:iCs/>
          <w:lang w:val="fi-FI"/>
        </w:rPr>
        <w:t>чѧдѣпѣ</w:t>
      </w:r>
      <w:r w:rsidRPr="00FB4EFA">
        <w:rPr>
          <w:rFonts w:cstheme="minorHAnsi"/>
          <w:lang w:val="fi-FI"/>
        </w:rPr>
        <w:t>), preteritin kolmannen persoonan refleksiivisessä muodossa</w:t>
      </w:r>
      <w:r w:rsidRPr="00FB4EFA">
        <w:rPr>
          <w:lang w:val="fi-FI"/>
        </w:rPr>
        <w:t xml:space="preserve"> </w:t>
      </w:r>
      <w:r w:rsidRPr="00FB4EFA">
        <w:rPr>
          <w:rFonts w:ascii="OS Jeremy" w:hAnsi="OS Jeremy" w:cs="Cambria"/>
          <w:i/>
          <w:iCs/>
          <w:lang w:val="fi-FI"/>
        </w:rPr>
        <w:t>сѧдєвьѩ</w:t>
      </w:r>
      <w:r w:rsidRPr="00FB4EFA">
        <w:rPr>
          <w:lang w:val="fi-FI"/>
        </w:rPr>
        <w:t xml:space="preserve"> (inf. </w:t>
      </w:r>
      <w:r w:rsidRPr="00FB4EFA">
        <w:rPr>
          <w:rFonts w:ascii="OS Jeremy" w:hAnsi="OS Jeremy" w:cs="Cambria"/>
          <w:i/>
          <w:iCs/>
          <w:lang w:val="fi-FI"/>
        </w:rPr>
        <w:t>сѧждѹ</w:t>
      </w:r>
      <w:r w:rsidR="000162EB" w:rsidRPr="00FB4EFA">
        <w:rPr>
          <w:rFonts w:ascii="OS Jeremy" w:hAnsi="OS Jeremy" w:cs="OS Jeremy"/>
          <w:i/>
          <w:iCs/>
          <w:lang w:val="fi-FI"/>
        </w:rPr>
        <w:t>ӓ</w:t>
      </w:r>
      <w:r w:rsidRPr="00FB4EFA">
        <w:rPr>
          <w:lang w:val="fi-FI"/>
        </w:rPr>
        <w:t xml:space="preserve">) ja infinitiivissä </w:t>
      </w:r>
      <w:r w:rsidRPr="00FB4EFA">
        <w:rPr>
          <w:rFonts w:ascii="OS Jeremy" w:hAnsi="OS Jeremy" w:cs="Cambria"/>
          <w:i/>
          <w:iCs/>
          <w:lang w:val="fi-FI"/>
        </w:rPr>
        <w:t>нєжѹтє</w:t>
      </w:r>
      <w:r w:rsidR="000162EB" w:rsidRPr="00FB4EFA">
        <w:rPr>
          <w:rFonts w:ascii="OS Jeremy" w:hAnsi="OS Jeremy" w:cs="OS Jeremy"/>
          <w:i/>
          <w:iCs/>
          <w:lang w:val="fi-FI"/>
        </w:rPr>
        <w:t>ӓ</w:t>
      </w:r>
      <w:r w:rsidRPr="00FB4EFA">
        <w:rPr>
          <w:rFonts w:cstheme="minorHAnsi"/>
          <w:lang w:val="fi-FI"/>
        </w:rPr>
        <w:t xml:space="preserve">: </w:t>
      </w:r>
      <w:r w:rsidR="00D23C57" w:rsidRPr="00FB4EFA">
        <w:rPr>
          <w:rFonts w:cstheme="minorHAnsi"/>
          <w:lang w:val="fi-FI"/>
        </w:rPr>
        <w:noBreakHyphen/>
      </w:r>
      <w:r w:rsidRPr="00FB4EFA">
        <w:rPr>
          <w:rFonts w:cstheme="minorHAnsi"/>
          <w:i/>
          <w:iCs/>
          <w:lang w:val="fi-FI"/>
        </w:rPr>
        <w:t>j</w:t>
      </w:r>
      <w:r w:rsidR="00D23C57" w:rsidRPr="00FB4EFA">
        <w:rPr>
          <w:rFonts w:cstheme="minorHAnsi"/>
          <w:lang w:val="fi-FI"/>
        </w:rPr>
        <w:noBreakHyphen/>
      </w:r>
      <w:r w:rsidRPr="00FB4EFA">
        <w:rPr>
          <w:rFonts w:cstheme="minorHAnsi"/>
          <w:lang w:val="fi-FI"/>
        </w:rPr>
        <w:t xml:space="preserve"> on levinnyt toisen tavun jälkeisistä asemista näihin muotoihin odotuksenmukaisen -</w:t>
      </w:r>
      <w:r w:rsidRPr="00FB4EFA">
        <w:rPr>
          <w:rFonts w:cstheme="minorHAnsi"/>
          <w:i/>
          <w:iCs/>
          <w:lang w:val="fi-FI"/>
        </w:rPr>
        <w:t>z</w:t>
      </w:r>
      <w:r w:rsidRPr="00FB4EFA">
        <w:rPr>
          <w:rFonts w:cstheme="minorHAnsi"/>
          <w:lang w:val="fi-FI"/>
        </w:rPr>
        <w:t>-n tai -</w:t>
      </w:r>
      <w:r w:rsidRPr="00FB4EFA">
        <w:rPr>
          <w:rFonts w:cstheme="minorHAnsi"/>
          <w:i/>
          <w:iCs/>
          <w:lang w:val="fi-FI"/>
        </w:rPr>
        <w:t>d</w:t>
      </w:r>
      <w:r w:rsidRPr="00FB4EFA">
        <w:rPr>
          <w:rFonts w:cstheme="minorHAnsi"/>
          <w:lang w:val="fi-FI"/>
        </w:rPr>
        <w:t>-n tilalle.</w:t>
      </w:r>
    </w:p>
    <w:p w14:paraId="2A00BBB5"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Venekuilina</w:t>
      </w:r>
    </w:p>
    <w:p w14:paraId="792DD841" w14:textId="4A25E491" w:rsidR="00EF1775" w:rsidRPr="00FB4EFA" w:rsidRDefault="00EF1775" w:rsidP="00065E48">
      <w:pPr>
        <w:suppressAutoHyphens/>
        <w:spacing w:line="240" w:lineRule="auto"/>
        <w:ind w:left="709"/>
        <w:rPr>
          <w:rFonts w:ascii="OS Jeremy" w:hAnsi="OS Jeremy"/>
          <w:sz w:val="20"/>
          <w:szCs w:val="20"/>
          <w:lang w:val="fi-FI"/>
        </w:rPr>
      </w:pPr>
      <w:r w:rsidRPr="00FB4EFA">
        <w:rPr>
          <w:rFonts w:ascii="OS Jeremy" w:hAnsi="OS Jeremy"/>
          <w:sz w:val="20"/>
          <w:szCs w:val="20"/>
          <w:lang w:val="fi-FI"/>
        </w:rPr>
        <w:t>1</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Тыл</w:t>
      </w:r>
      <w:r w:rsidRPr="00FB4EFA">
        <w:rPr>
          <w:rFonts w:ascii="OS Jeremy" w:hAnsi="OS Jeremy"/>
          <w:sz w:val="20"/>
          <w:szCs w:val="20"/>
          <w:lang w:val="fi-FI"/>
        </w:rPr>
        <w:t xml:space="preserve"> </w:t>
      </w:r>
      <w:r w:rsidRPr="00FB4EFA">
        <w:rPr>
          <w:rFonts w:ascii="OS Jeremy" w:hAnsi="OS Jeremy" w:cs="Cambria"/>
          <w:sz w:val="20"/>
          <w:szCs w:val="20"/>
          <w:lang w:val="fi-FI"/>
        </w:rPr>
        <w:t>ребь</w:t>
      </w:r>
      <w:r w:rsidRPr="00FB4EFA">
        <w:rPr>
          <w:rFonts w:ascii="OS Jeremy" w:hAnsi="OS Jeremy"/>
          <w:sz w:val="20"/>
          <w:szCs w:val="20"/>
          <w:lang w:val="fi-FI"/>
        </w:rPr>
        <w:t xml:space="preserve"> </w:t>
      </w:r>
      <w:r w:rsidRPr="00FB4EFA">
        <w:rPr>
          <w:rFonts w:ascii="OS Jeremy" w:hAnsi="OS Jeremy" w:cs="Cambria"/>
          <w:sz w:val="20"/>
          <w:szCs w:val="20"/>
          <w:lang w:val="fi-FI"/>
        </w:rPr>
        <w:t>у</w:t>
      </w:r>
      <w:r w:rsidRPr="00FB4EFA">
        <w:rPr>
          <w:rFonts w:ascii="OS Jeremy" w:hAnsi="OS Jeremy"/>
          <w:sz w:val="20"/>
          <w:szCs w:val="20"/>
          <w:lang w:val="fi-FI"/>
        </w:rPr>
        <w:t>́</w:t>
      </w:r>
      <w:r w:rsidRPr="00FB4EFA">
        <w:rPr>
          <w:rFonts w:ascii="OS Jeremy" w:hAnsi="OS Jeremy" w:cs="Cambria"/>
          <w:sz w:val="20"/>
          <w:szCs w:val="20"/>
          <w:lang w:val="fi-FI"/>
        </w:rPr>
        <w:t>ду</w:t>
      </w:r>
      <w:r w:rsidRPr="00FB4EFA">
        <w:rPr>
          <w:rFonts w:ascii="OS Jeremy" w:hAnsi="OS Jeremy"/>
          <w:sz w:val="20"/>
          <w:szCs w:val="20"/>
          <w:lang w:val="fi-FI"/>
        </w:rPr>
        <w:t xml:space="preserve"> </w:t>
      </w:r>
      <w:r w:rsidRPr="00FB4EFA">
        <w:rPr>
          <w:rFonts w:ascii="OS Jeremy" w:hAnsi="OS Jeremy" w:cs="Cambria"/>
          <w:sz w:val="20"/>
          <w:szCs w:val="20"/>
          <w:lang w:val="fi-FI"/>
        </w:rPr>
        <w:t>и</w:t>
      </w:r>
      <w:r w:rsidRPr="00FB4EFA">
        <w:rPr>
          <w:rFonts w:ascii="OS Jeremy" w:hAnsi="OS Jeremy"/>
          <w:sz w:val="20"/>
          <w:szCs w:val="20"/>
          <w:lang w:val="fi-FI"/>
        </w:rPr>
        <w:t>́</w:t>
      </w:r>
      <w:r w:rsidRPr="00FB4EFA">
        <w:rPr>
          <w:rFonts w:ascii="OS Jeremy" w:hAnsi="OS Jeremy" w:cs="Cambria"/>
          <w:sz w:val="20"/>
          <w:szCs w:val="20"/>
          <w:lang w:val="fi-FI"/>
        </w:rPr>
        <w:t>ля</w:t>
      </w:r>
      <w:r w:rsidRPr="00FB4EFA">
        <w:rPr>
          <w:rFonts w:ascii="OS Jeremy" w:hAnsi="OS Jeremy"/>
          <w:sz w:val="20"/>
          <w:szCs w:val="20"/>
          <w:lang w:val="fi-FI"/>
        </w:rPr>
        <w:t xml:space="preserve"> </w:t>
      </w:r>
      <w:r w:rsidRPr="00FB4EFA">
        <w:rPr>
          <w:rFonts w:ascii="OS Jeremy" w:hAnsi="OS Jeremy" w:cs="Cambria"/>
          <w:sz w:val="20"/>
          <w:szCs w:val="20"/>
          <w:lang w:val="fi-FI"/>
        </w:rPr>
        <w:t>по</w:t>
      </w:r>
      <w:r w:rsidRPr="00FB4EFA">
        <w:rPr>
          <w:rFonts w:ascii="OS Jeremy" w:hAnsi="OS Jeremy"/>
          <w:sz w:val="20"/>
          <w:szCs w:val="20"/>
          <w:lang w:val="fi-FI"/>
        </w:rPr>
        <w:t>́</w:t>
      </w:r>
      <w:r w:rsidRPr="00FB4EFA">
        <w:rPr>
          <w:rFonts w:ascii="OS Jeremy" w:hAnsi="OS Jeremy" w:cs="Cambria"/>
          <w:sz w:val="20"/>
          <w:szCs w:val="20"/>
          <w:lang w:val="fi-FI"/>
        </w:rPr>
        <w:t>су</w:t>
      </w:r>
      <w:r w:rsidRPr="00FB4EFA">
        <w:rPr>
          <w:rFonts w:ascii="OS Jeremy" w:hAnsi="OS Jeremy"/>
          <w:sz w:val="20"/>
          <w:szCs w:val="20"/>
          <w:lang w:val="fi-FI"/>
        </w:rPr>
        <w:t xml:space="preserve"> </w:t>
      </w:r>
      <w:r w:rsidRPr="00FB4EFA">
        <w:rPr>
          <w:rFonts w:ascii="OS Jeremy" w:hAnsi="OS Jeremy" w:cs="Cambria"/>
          <w:sz w:val="20"/>
          <w:szCs w:val="20"/>
          <w:lang w:val="fi-FI"/>
        </w:rPr>
        <w:t>оло</w:t>
      </w:r>
      <w:r w:rsidRPr="00FB4EFA">
        <w:rPr>
          <w:rFonts w:ascii="OS Jeremy" w:hAnsi="OS Jeremy"/>
          <w:sz w:val="20"/>
          <w:szCs w:val="20"/>
          <w:lang w:val="fi-FI"/>
        </w:rPr>
        <w:t>́</w:t>
      </w:r>
      <w:r w:rsidRPr="00FB4EFA">
        <w:rPr>
          <w:rFonts w:ascii="OS Jeremy" w:hAnsi="OS Jeremy" w:cs="Cambria"/>
          <w:sz w:val="20"/>
          <w:szCs w:val="20"/>
          <w:lang w:val="fi-FI"/>
        </w:rPr>
        <w:t>ю</w:t>
      </w:r>
      <w:r w:rsidRPr="00FB4EFA">
        <w:rPr>
          <w:rFonts w:ascii="OS Jeremy" w:hAnsi="OS Jeremy"/>
          <w:sz w:val="20"/>
          <w:szCs w:val="20"/>
          <w:lang w:val="fi-FI"/>
        </w:rPr>
        <w:t xml:space="preserve"> </w:t>
      </w:r>
      <w:r w:rsidRPr="00FB4EFA">
        <w:rPr>
          <w:rFonts w:ascii="OS Jeremy" w:hAnsi="OS Jeremy" w:cs="Cambria"/>
          <w:sz w:val="20"/>
          <w:szCs w:val="20"/>
          <w:lang w:val="fi-FI"/>
        </w:rPr>
        <w:t>ладо</w:t>
      </w:r>
      <w:r w:rsidRPr="00FB4EFA">
        <w:rPr>
          <w:rFonts w:ascii="OS Jeremy" w:hAnsi="OS Jeremy"/>
          <w:sz w:val="20"/>
          <w:szCs w:val="20"/>
          <w:lang w:val="fi-FI"/>
        </w:rPr>
        <w:t xml:space="preserve">́, </w:t>
      </w:r>
      <w:r w:rsidRPr="00FB4EFA">
        <w:rPr>
          <w:rFonts w:ascii="OS Jeremy" w:hAnsi="OS Jeremy" w:cs="Cambria"/>
          <w:sz w:val="20"/>
          <w:szCs w:val="20"/>
          <w:lang w:val="fi-FI"/>
        </w:rPr>
        <w:t>цево</w:t>
      </w:r>
      <w:r w:rsidRPr="00FB4EFA">
        <w:rPr>
          <w:rFonts w:ascii="OS Jeremy" w:hAnsi="OS Jeremy"/>
          <w:sz w:val="20"/>
          <w:szCs w:val="20"/>
          <w:lang w:val="fi-FI"/>
        </w:rPr>
        <w:t>́</w:t>
      </w:r>
      <w:r w:rsidRPr="00FB4EFA">
        <w:rPr>
          <w:rFonts w:ascii="OS Jeremy" w:hAnsi="OS Jeremy" w:cs="Cambria"/>
          <w:sz w:val="20"/>
          <w:szCs w:val="20"/>
          <w:lang w:val="fi-FI"/>
        </w:rPr>
        <w:t>н</w:t>
      </w:r>
      <w:r w:rsidRPr="00FB4EFA">
        <w:rPr>
          <w:rFonts w:ascii="OS Jeremy" w:hAnsi="OS Jeremy"/>
          <w:sz w:val="20"/>
          <w:szCs w:val="20"/>
          <w:lang w:val="fi-FI"/>
        </w:rPr>
        <w:t xml:space="preserve"> </w:t>
      </w:r>
      <w:r w:rsidRPr="00FB4EFA">
        <w:rPr>
          <w:rFonts w:ascii="OS Jeremy" w:hAnsi="OS Jeremy" w:cs="Cambria"/>
          <w:sz w:val="20"/>
          <w:szCs w:val="20"/>
          <w:lang w:val="fi-FI"/>
        </w:rPr>
        <w:t>ма</w:t>
      </w:r>
      <w:r w:rsidRPr="00FB4EFA">
        <w:rPr>
          <w:rFonts w:ascii="OS Jeremy" w:hAnsi="OS Jeremy"/>
          <w:sz w:val="20"/>
          <w:szCs w:val="20"/>
          <w:lang w:val="fi-FI"/>
        </w:rPr>
        <w:t>́</w:t>
      </w:r>
      <w:r w:rsidRPr="00FB4EFA">
        <w:rPr>
          <w:rFonts w:ascii="OS Jeremy" w:hAnsi="OS Jeremy" w:cs="Cambria"/>
          <w:sz w:val="20"/>
          <w:szCs w:val="20"/>
          <w:lang w:val="fi-FI"/>
        </w:rPr>
        <w:t>зу</w:t>
      </w:r>
      <w:r w:rsidRPr="00FB4EFA">
        <w:rPr>
          <w:rFonts w:ascii="OS Jeremy" w:hAnsi="OS Jeremy"/>
          <w:sz w:val="20"/>
          <w:szCs w:val="20"/>
          <w:lang w:val="fi-FI"/>
        </w:rPr>
        <w:t xml:space="preserve"> </w:t>
      </w:r>
      <w:r w:rsidRPr="00FB4EFA">
        <w:rPr>
          <w:rFonts w:ascii="OS Jeremy" w:hAnsi="OS Jeremy" w:cs="Cambria"/>
          <w:sz w:val="20"/>
          <w:szCs w:val="20"/>
          <w:lang w:val="fi-FI"/>
        </w:rPr>
        <w:t>ху</w:t>
      </w:r>
      <w:r w:rsidRPr="00FB4EFA">
        <w:rPr>
          <w:rFonts w:ascii="OS Jeremy" w:hAnsi="OS Jeremy"/>
          <w:sz w:val="20"/>
          <w:szCs w:val="20"/>
          <w:lang w:val="fi-FI"/>
        </w:rPr>
        <w:t>́</w:t>
      </w:r>
      <w:r w:rsidRPr="00FB4EFA">
        <w:rPr>
          <w:rFonts w:ascii="OS Jeremy" w:hAnsi="OS Jeremy" w:cs="Cambria"/>
          <w:sz w:val="20"/>
          <w:szCs w:val="20"/>
          <w:lang w:val="fi-FI"/>
        </w:rPr>
        <w:t>ду</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sz w:val="20"/>
          <w:szCs w:val="20"/>
          <w:lang w:val="fi-FI"/>
        </w:rPr>
        <w:t xml:space="preserve"> </w:t>
      </w:r>
      <w:r w:rsidRPr="00FB4EFA">
        <w:rPr>
          <w:rFonts w:ascii="OS Jeremy" w:hAnsi="OS Jeremy" w:cs="Cambria"/>
          <w:sz w:val="20"/>
          <w:szCs w:val="20"/>
          <w:lang w:val="fi-FI"/>
        </w:rPr>
        <w:t>кога</w:t>
      </w:r>
      <w:r w:rsidRPr="00FB4EFA">
        <w:rPr>
          <w:rFonts w:ascii="OS Jeremy" w:hAnsi="OS Jeremy"/>
          <w:sz w:val="20"/>
          <w:szCs w:val="20"/>
          <w:lang w:val="fi-FI"/>
        </w:rPr>
        <w:t>́</w:t>
      </w:r>
      <w:r w:rsidRPr="00FB4EFA">
        <w:rPr>
          <w:rFonts w:ascii="OS Jeremy" w:hAnsi="OS Jeremy" w:cs="Cambria"/>
          <w:sz w:val="20"/>
          <w:szCs w:val="20"/>
          <w:lang w:val="fi-FI"/>
        </w:rPr>
        <w:t>н</w:t>
      </w:r>
      <w:r w:rsidRPr="00FB4EFA">
        <w:rPr>
          <w:rFonts w:ascii="OS Jeremy" w:hAnsi="OS Jeremy"/>
          <w:sz w:val="20"/>
          <w:szCs w:val="20"/>
          <w:lang w:val="fi-FI"/>
        </w:rPr>
        <w:t xml:space="preserve"> </w:t>
      </w:r>
      <w:r w:rsidRPr="00FB4EFA">
        <w:rPr>
          <w:rFonts w:ascii="OS Jeremy" w:hAnsi="OS Jeremy" w:cs="Cambria"/>
          <w:sz w:val="20"/>
          <w:szCs w:val="20"/>
          <w:lang w:val="fi-FI"/>
        </w:rPr>
        <w:t>же</w:t>
      </w:r>
      <w:r w:rsidRPr="00FB4EFA">
        <w:rPr>
          <w:rFonts w:ascii="OS Jeremy" w:hAnsi="OS Jeremy"/>
          <w:sz w:val="20"/>
          <w:szCs w:val="20"/>
          <w:lang w:val="fi-FI"/>
        </w:rPr>
        <w:t>́</w:t>
      </w:r>
      <w:r w:rsidRPr="00FB4EFA">
        <w:rPr>
          <w:rFonts w:ascii="OS Jeremy" w:hAnsi="OS Jeremy" w:cs="Cambria"/>
          <w:sz w:val="20"/>
          <w:szCs w:val="20"/>
          <w:lang w:val="fi-FI"/>
        </w:rPr>
        <w:t>ля</w:t>
      </w:r>
      <w:r w:rsidRPr="00FB4EFA">
        <w:rPr>
          <w:rFonts w:ascii="OS Jeremy" w:hAnsi="OS Jeremy"/>
          <w:sz w:val="20"/>
          <w:szCs w:val="20"/>
          <w:lang w:val="fi-FI"/>
        </w:rPr>
        <w:t xml:space="preserve"> </w:t>
      </w:r>
      <w:r w:rsidRPr="00FB4EFA">
        <w:rPr>
          <w:rFonts w:ascii="OS Jeremy" w:hAnsi="OS Jeremy" w:cs="Cambria"/>
          <w:sz w:val="20"/>
          <w:szCs w:val="20"/>
          <w:lang w:val="fi-FI"/>
        </w:rPr>
        <w:t>пе</w:t>
      </w:r>
      <w:r w:rsidRPr="00FB4EFA">
        <w:rPr>
          <w:rFonts w:ascii="OS Jeremy" w:hAnsi="OS Jeremy"/>
          <w:sz w:val="20"/>
          <w:szCs w:val="20"/>
          <w:lang w:val="fi-FI"/>
        </w:rPr>
        <w:t>́</w:t>
      </w:r>
      <w:r w:rsidRPr="00FB4EFA">
        <w:rPr>
          <w:rFonts w:ascii="OS Jeremy" w:hAnsi="OS Jeremy" w:cs="Cambria"/>
          <w:sz w:val="20"/>
          <w:szCs w:val="20"/>
          <w:lang w:val="fi-FI"/>
        </w:rPr>
        <w:t>зя</w:t>
      </w:r>
      <w:r w:rsidRPr="00FB4EFA">
        <w:rPr>
          <w:rFonts w:ascii="OS Jeremy" w:hAnsi="OS Jeremy"/>
          <w:sz w:val="20"/>
          <w:szCs w:val="20"/>
          <w:lang w:val="fi-FI"/>
        </w:rPr>
        <w:t>. 2</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Пи</w:t>
      </w:r>
      <w:r w:rsidRPr="00FB4EFA">
        <w:rPr>
          <w:rFonts w:ascii="OS Jeremy" w:hAnsi="OS Jeremy"/>
          <w:sz w:val="20"/>
          <w:szCs w:val="20"/>
          <w:lang w:val="fi-FI"/>
        </w:rPr>
        <w:t>́</w:t>
      </w:r>
      <w:r w:rsidRPr="00FB4EFA">
        <w:rPr>
          <w:rFonts w:ascii="OS Jeremy" w:hAnsi="OS Jeremy" w:cs="Cambria"/>
          <w:sz w:val="20"/>
          <w:szCs w:val="20"/>
          <w:lang w:val="fi-FI"/>
        </w:rPr>
        <w:t>вежа</w:t>
      </w:r>
      <w:r w:rsidRPr="00FB4EFA">
        <w:rPr>
          <w:rFonts w:ascii="OS Jeremy" w:hAnsi="OS Jeremy"/>
          <w:sz w:val="20"/>
          <w:szCs w:val="20"/>
          <w:lang w:val="fi-FI"/>
        </w:rPr>
        <w:t>-</w:t>
      </w:r>
      <w:r w:rsidRPr="00FB4EFA">
        <w:rPr>
          <w:rFonts w:ascii="OS Jeremy" w:hAnsi="OS Jeremy" w:cs="Cambria"/>
          <w:sz w:val="20"/>
          <w:szCs w:val="20"/>
          <w:lang w:val="fi-FI"/>
        </w:rPr>
        <w:t>песто</w:t>
      </w:r>
      <w:r w:rsidRPr="00FB4EFA">
        <w:rPr>
          <w:rFonts w:ascii="OS Jeremy" w:hAnsi="OS Jeremy"/>
          <w:sz w:val="20"/>
          <w:szCs w:val="20"/>
          <w:lang w:val="fi-FI"/>
        </w:rPr>
        <w:t>́</w:t>
      </w:r>
      <w:r w:rsidRPr="00FB4EFA">
        <w:rPr>
          <w:rFonts w:ascii="OS Jeremy" w:hAnsi="OS Jeremy" w:cs="Cambria"/>
          <w:sz w:val="20"/>
          <w:szCs w:val="20"/>
          <w:lang w:val="fi-FI"/>
        </w:rPr>
        <w:t>йжея</w:t>
      </w:r>
      <w:r w:rsidRPr="00FB4EFA">
        <w:rPr>
          <w:rFonts w:ascii="OS Jeremy" w:hAnsi="OS Jeremy"/>
          <w:sz w:val="20"/>
          <w:szCs w:val="20"/>
          <w:lang w:val="fi-FI"/>
        </w:rPr>
        <w:t xml:space="preserve"> </w:t>
      </w:r>
      <w:r w:rsidRPr="00FB4EFA">
        <w:rPr>
          <w:rFonts w:ascii="OS Jeremy" w:hAnsi="OS Jeremy" w:cs="Cambria"/>
          <w:sz w:val="20"/>
          <w:szCs w:val="20"/>
          <w:lang w:val="fi-FI"/>
        </w:rPr>
        <w:t>совь</w:t>
      </w:r>
      <w:r w:rsidRPr="00FB4EFA">
        <w:rPr>
          <w:rFonts w:ascii="OS Jeremy" w:hAnsi="OS Jeremy"/>
          <w:sz w:val="20"/>
          <w:szCs w:val="20"/>
          <w:lang w:val="fi-FI"/>
        </w:rPr>
        <w:t>-</w:t>
      </w:r>
      <w:r w:rsidRPr="00FB4EFA">
        <w:rPr>
          <w:rFonts w:ascii="OS Jeremy" w:hAnsi="OS Jeremy" w:cs="Cambria"/>
          <w:sz w:val="20"/>
          <w:szCs w:val="20"/>
          <w:lang w:val="fi-FI"/>
        </w:rPr>
        <w:t>пиве</w:t>
      </w:r>
      <w:r w:rsidRPr="00FB4EFA">
        <w:rPr>
          <w:rFonts w:ascii="OS Jeremy" w:hAnsi="OS Jeremy"/>
          <w:sz w:val="20"/>
          <w:szCs w:val="20"/>
          <w:lang w:val="fi-FI"/>
        </w:rPr>
        <w:t>́</w:t>
      </w:r>
      <w:r w:rsidRPr="00FB4EFA">
        <w:rPr>
          <w:rFonts w:ascii="OS Jeremy" w:hAnsi="OS Jeremy" w:cs="Cambria"/>
          <w:sz w:val="20"/>
          <w:szCs w:val="20"/>
          <w:lang w:val="fi-FI"/>
        </w:rPr>
        <w:t>я</w:t>
      </w:r>
      <w:r w:rsidRPr="00FB4EFA">
        <w:rPr>
          <w:rFonts w:ascii="OS Jeremy" w:hAnsi="OS Jeremy"/>
          <w:sz w:val="20"/>
          <w:szCs w:val="20"/>
          <w:lang w:val="fi-FI"/>
        </w:rPr>
        <w:t xml:space="preserve"> </w:t>
      </w:r>
      <w:r w:rsidRPr="00FB4EFA">
        <w:rPr>
          <w:rFonts w:ascii="OS Jeremy" w:hAnsi="OS Jeremy" w:cs="Cambria"/>
          <w:sz w:val="20"/>
          <w:szCs w:val="20"/>
          <w:lang w:val="fi-FI"/>
        </w:rPr>
        <w:t>сяжу</w:t>
      </w:r>
      <w:r w:rsidRPr="00FB4EFA">
        <w:rPr>
          <w:rFonts w:ascii="OS Jeremy" w:hAnsi="OS Jeremy"/>
          <w:sz w:val="20"/>
          <w:szCs w:val="20"/>
          <w:lang w:val="fi-FI"/>
        </w:rPr>
        <w:t>́</w:t>
      </w:r>
      <w:r w:rsidRPr="00FB4EFA">
        <w:rPr>
          <w:rFonts w:ascii="OS Jeremy" w:hAnsi="OS Jeremy" w:cs="Cambria"/>
          <w:sz w:val="20"/>
          <w:szCs w:val="20"/>
          <w:lang w:val="fi-FI"/>
        </w:rPr>
        <w:t>н</w:t>
      </w:r>
      <w:r w:rsidRPr="00FB4EFA">
        <w:rPr>
          <w:rFonts w:ascii="OS Jeremy" w:hAnsi="OS Jeremy"/>
          <w:sz w:val="20"/>
          <w:szCs w:val="20"/>
          <w:lang w:val="fi-FI"/>
        </w:rPr>
        <w:t xml:space="preserve"> </w:t>
      </w:r>
      <w:r w:rsidRPr="00FB4EFA">
        <w:rPr>
          <w:rFonts w:ascii="OS Jeremy" w:hAnsi="OS Jeremy" w:cs="Cambria"/>
          <w:sz w:val="20"/>
          <w:szCs w:val="20"/>
          <w:lang w:val="fi-FI"/>
        </w:rPr>
        <w:t>не</w:t>
      </w:r>
      <w:r w:rsidRPr="00FB4EFA">
        <w:rPr>
          <w:rFonts w:ascii="OS Jeremy" w:hAnsi="OS Jeremy"/>
          <w:sz w:val="20"/>
          <w:szCs w:val="20"/>
          <w:lang w:val="fi-FI"/>
        </w:rPr>
        <w:t>́</w:t>
      </w:r>
      <w:r w:rsidRPr="00FB4EFA">
        <w:rPr>
          <w:rFonts w:ascii="OS Jeremy" w:hAnsi="OS Jeremy" w:cs="Cambria"/>
          <w:sz w:val="20"/>
          <w:szCs w:val="20"/>
          <w:lang w:val="fi-FI"/>
        </w:rPr>
        <w:t>ля</w:t>
      </w:r>
      <w:r w:rsidRPr="00FB4EFA">
        <w:rPr>
          <w:rFonts w:ascii="OS Jeremy" w:hAnsi="OS Jeremy"/>
          <w:sz w:val="20"/>
          <w:szCs w:val="20"/>
          <w:lang w:val="fi-FI"/>
        </w:rPr>
        <w:t xml:space="preserve"> </w:t>
      </w:r>
      <w:r w:rsidRPr="00FB4EFA">
        <w:rPr>
          <w:rFonts w:ascii="OS Jeremy" w:hAnsi="OS Jeremy" w:cs="Cambria"/>
          <w:sz w:val="20"/>
          <w:szCs w:val="20"/>
          <w:lang w:val="fi-FI"/>
        </w:rPr>
        <w:t>нел</w:t>
      </w:r>
      <w:r w:rsidRPr="00FB4EFA">
        <w:rPr>
          <w:rFonts w:ascii="OS Jeremy" w:hAnsi="OS Jeremy"/>
          <w:sz w:val="20"/>
          <w:szCs w:val="20"/>
          <w:lang w:val="fi-FI"/>
        </w:rPr>
        <w:t xml:space="preserve">ë </w:t>
      </w:r>
      <w:r w:rsidRPr="00FB4EFA">
        <w:rPr>
          <w:rFonts w:ascii="OS Jeremy" w:hAnsi="OS Jeremy" w:cs="Cambria"/>
          <w:sz w:val="20"/>
          <w:szCs w:val="20"/>
          <w:lang w:val="fi-FI"/>
        </w:rPr>
        <w:t>ре</w:t>
      </w:r>
      <w:r w:rsidRPr="00FB4EFA">
        <w:rPr>
          <w:rFonts w:ascii="OS Jeremy" w:hAnsi="OS Jeremy"/>
          <w:sz w:val="20"/>
          <w:szCs w:val="20"/>
          <w:lang w:val="fi-FI"/>
        </w:rPr>
        <w:t>́</w:t>
      </w:r>
      <w:r w:rsidRPr="00FB4EFA">
        <w:rPr>
          <w:rFonts w:ascii="OS Jeremy" w:hAnsi="OS Jeremy" w:cs="Cambria"/>
          <w:sz w:val="20"/>
          <w:szCs w:val="20"/>
          <w:lang w:val="fi-FI"/>
        </w:rPr>
        <w:t>бесто</w:t>
      </w:r>
      <w:r w:rsidRPr="00FB4EFA">
        <w:rPr>
          <w:rFonts w:ascii="OS Jeremy" w:hAnsi="OS Jeremy"/>
          <w:sz w:val="20"/>
          <w:szCs w:val="20"/>
          <w:lang w:val="fi-FI"/>
        </w:rPr>
        <w:t>. 3</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И</w:t>
      </w:r>
      <w:r w:rsidRPr="00FB4EFA">
        <w:rPr>
          <w:rFonts w:ascii="OS Jeremy" w:hAnsi="OS Jeremy"/>
          <w:sz w:val="20"/>
          <w:szCs w:val="20"/>
          <w:lang w:val="fi-FI"/>
        </w:rPr>
        <w:t xml:space="preserve"> </w:t>
      </w:r>
      <w:r w:rsidRPr="00FB4EFA">
        <w:rPr>
          <w:rFonts w:ascii="OS Jeremy" w:hAnsi="OS Jeremy" w:cs="Cambria"/>
          <w:sz w:val="20"/>
          <w:szCs w:val="20"/>
          <w:lang w:val="fi-FI"/>
        </w:rPr>
        <w:t>могома</w:t>
      </w:r>
      <w:r w:rsidRPr="00FB4EFA">
        <w:rPr>
          <w:rFonts w:ascii="OS Jeremy" w:hAnsi="OS Jeremy"/>
          <w:sz w:val="20"/>
          <w:szCs w:val="20"/>
          <w:lang w:val="fi-FI"/>
        </w:rPr>
        <w:t xml:space="preserve">́ </w:t>
      </w:r>
      <w:r w:rsidRPr="00FB4EFA">
        <w:rPr>
          <w:rFonts w:ascii="OS Jeremy" w:hAnsi="OS Jeremy" w:cs="Cambria"/>
          <w:sz w:val="20"/>
          <w:szCs w:val="20"/>
          <w:lang w:val="fi-FI"/>
        </w:rPr>
        <w:t>шеле</w:t>
      </w:r>
      <w:r w:rsidRPr="00FB4EFA">
        <w:rPr>
          <w:rFonts w:ascii="OS Jeremy" w:hAnsi="OS Jeremy"/>
          <w:sz w:val="20"/>
          <w:szCs w:val="20"/>
          <w:lang w:val="fi-FI"/>
        </w:rPr>
        <w:t>́</w:t>
      </w:r>
      <w:r w:rsidRPr="00FB4EFA">
        <w:rPr>
          <w:rFonts w:ascii="OS Jeremy" w:hAnsi="OS Jeremy" w:cs="Cambria"/>
          <w:sz w:val="20"/>
          <w:szCs w:val="20"/>
          <w:lang w:val="fi-FI"/>
        </w:rPr>
        <w:t>я</w:t>
      </w:r>
      <w:r w:rsidRPr="00FB4EFA">
        <w:rPr>
          <w:rFonts w:ascii="OS Jeremy" w:hAnsi="OS Jeremy"/>
          <w:sz w:val="20"/>
          <w:szCs w:val="20"/>
          <w:lang w:val="fi-FI"/>
        </w:rPr>
        <w:t xml:space="preserve">: </w:t>
      </w:r>
      <w:r w:rsidRPr="00FB4EFA">
        <w:rPr>
          <w:rFonts w:ascii="OS Jeremy" w:hAnsi="OS Jeremy" w:cs="Cambria"/>
          <w:sz w:val="20"/>
          <w:szCs w:val="20"/>
          <w:lang w:val="fi-FI"/>
        </w:rPr>
        <w:t>корова</w:t>
      </w:r>
      <w:r w:rsidRPr="00FB4EFA">
        <w:rPr>
          <w:rFonts w:ascii="OS Jeremy" w:hAnsi="OS Jeremy"/>
          <w:sz w:val="20"/>
          <w:szCs w:val="20"/>
          <w:lang w:val="fi-FI"/>
        </w:rPr>
        <w:t>́</w:t>
      </w:r>
      <w:r w:rsidRPr="00FB4EFA">
        <w:rPr>
          <w:rFonts w:ascii="OS Jeremy" w:hAnsi="OS Jeremy" w:cs="Cambria"/>
          <w:sz w:val="20"/>
          <w:szCs w:val="20"/>
          <w:lang w:val="fi-FI"/>
        </w:rPr>
        <w:t>ка</w:t>
      </w:r>
      <w:r w:rsidRPr="00FB4EFA">
        <w:rPr>
          <w:rFonts w:ascii="OS Jeremy" w:hAnsi="OS Jeremy"/>
          <w:sz w:val="20"/>
          <w:szCs w:val="20"/>
          <w:lang w:val="fi-FI"/>
        </w:rPr>
        <w:t xml:space="preserve"> </w:t>
      </w:r>
      <w:r w:rsidRPr="00FB4EFA">
        <w:rPr>
          <w:rFonts w:ascii="OS Jeremy" w:hAnsi="OS Jeremy" w:cs="Cambria"/>
          <w:sz w:val="20"/>
          <w:szCs w:val="20"/>
          <w:lang w:val="fi-FI"/>
        </w:rPr>
        <w:t>и</w:t>
      </w:r>
      <w:r w:rsidRPr="00FB4EFA">
        <w:rPr>
          <w:rFonts w:ascii="OS Jeremy" w:hAnsi="OS Jeremy"/>
          <w:sz w:val="20"/>
          <w:szCs w:val="20"/>
          <w:lang w:val="fi-FI"/>
        </w:rPr>
        <w:t>́</w:t>
      </w:r>
      <w:r w:rsidRPr="00FB4EFA">
        <w:rPr>
          <w:rFonts w:ascii="OS Jeremy" w:hAnsi="OS Jeremy" w:cs="Cambria"/>
          <w:sz w:val="20"/>
          <w:szCs w:val="20"/>
          <w:lang w:val="fi-FI"/>
        </w:rPr>
        <w:t>л</w:t>
      </w:r>
      <w:r w:rsidRPr="00FB4EFA">
        <w:rPr>
          <w:rFonts w:ascii="OS Jeremy" w:hAnsi="OS Jeremy"/>
          <w:sz w:val="20"/>
          <w:szCs w:val="20"/>
          <w:lang w:val="fi-FI"/>
        </w:rPr>
        <w:t xml:space="preserve">e </w:t>
      </w:r>
      <w:r w:rsidRPr="00FB4EFA">
        <w:rPr>
          <w:rFonts w:ascii="OS Jeremy" w:hAnsi="OS Jeremy" w:cs="Cambria"/>
          <w:sz w:val="20"/>
          <w:szCs w:val="20"/>
          <w:lang w:val="fi-FI"/>
        </w:rPr>
        <w:t>тереве</w:t>
      </w:r>
      <w:r w:rsidRPr="00FB4EFA">
        <w:rPr>
          <w:rFonts w:ascii="OS Jeremy" w:hAnsi="OS Jeremy"/>
          <w:sz w:val="20"/>
          <w:szCs w:val="20"/>
          <w:lang w:val="fi-FI"/>
        </w:rPr>
        <w:t xml:space="preserve">́, </w:t>
      </w:r>
      <w:r w:rsidRPr="00FB4EFA">
        <w:rPr>
          <w:rFonts w:ascii="OS Jeremy" w:hAnsi="OS Jeremy" w:cs="Cambria"/>
          <w:sz w:val="20"/>
          <w:szCs w:val="20"/>
          <w:lang w:val="fi-FI"/>
        </w:rPr>
        <w:t>нона</w:t>
      </w:r>
      <w:r w:rsidRPr="00FB4EFA">
        <w:rPr>
          <w:rFonts w:ascii="OS Jeremy" w:hAnsi="OS Jeremy"/>
          <w:sz w:val="20"/>
          <w:szCs w:val="20"/>
          <w:lang w:val="fi-FI"/>
        </w:rPr>
        <w:t>́</w:t>
      </w:r>
      <w:r w:rsidRPr="00FB4EFA">
        <w:rPr>
          <w:rFonts w:ascii="OS Jeremy" w:hAnsi="OS Jeremy" w:cs="Cambria"/>
          <w:sz w:val="20"/>
          <w:szCs w:val="20"/>
          <w:lang w:val="fi-FI"/>
        </w:rPr>
        <w:t>ка</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sz w:val="20"/>
          <w:szCs w:val="20"/>
          <w:lang w:val="fi-FI"/>
        </w:rPr>
        <w:t xml:space="preserve"> </w:t>
      </w:r>
      <w:r w:rsidRPr="00FB4EFA">
        <w:rPr>
          <w:rFonts w:ascii="OS Jeremy" w:hAnsi="OS Jeremy" w:cs="Cambria"/>
          <w:sz w:val="20"/>
          <w:szCs w:val="20"/>
          <w:lang w:val="fi-FI"/>
        </w:rPr>
        <w:t>хили</w:t>
      </w:r>
      <w:r w:rsidRPr="00FB4EFA">
        <w:rPr>
          <w:rFonts w:ascii="OS Jeremy" w:hAnsi="OS Jeremy"/>
          <w:sz w:val="20"/>
          <w:szCs w:val="20"/>
          <w:lang w:val="fi-FI"/>
        </w:rPr>
        <w:t>́</w:t>
      </w:r>
      <w:r w:rsidRPr="00FB4EFA">
        <w:rPr>
          <w:rFonts w:ascii="OS Jeremy" w:hAnsi="OS Jeremy" w:cs="Cambria"/>
          <w:sz w:val="20"/>
          <w:szCs w:val="20"/>
          <w:lang w:val="fi-FI"/>
        </w:rPr>
        <w:t>ца</w:t>
      </w:r>
      <w:r w:rsidRPr="00FB4EFA">
        <w:rPr>
          <w:rFonts w:ascii="OS Jeremy" w:hAnsi="OS Jeremy"/>
          <w:sz w:val="20"/>
          <w:szCs w:val="20"/>
          <w:lang w:val="fi-FI"/>
        </w:rPr>
        <w:t xml:space="preserve"> </w:t>
      </w:r>
      <w:r w:rsidRPr="00FB4EFA">
        <w:rPr>
          <w:rFonts w:ascii="OS Jeremy" w:hAnsi="OS Jeremy" w:cs="Cambria"/>
          <w:sz w:val="20"/>
          <w:szCs w:val="20"/>
          <w:lang w:val="fi-FI"/>
        </w:rPr>
        <w:t>мста</w:t>
      </w:r>
      <w:r w:rsidRPr="00FB4EFA">
        <w:rPr>
          <w:rFonts w:ascii="OS Jeremy" w:hAnsi="OS Jeremy"/>
          <w:sz w:val="20"/>
          <w:szCs w:val="20"/>
          <w:lang w:val="fi-FI"/>
        </w:rPr>
        <w:t xml:space="preserve">, </w:t>
      </w:r>
      <w:r w:rsidRPr="00FB4EFA">
        <w:rPr>
          <w:rFonts w:ascii="OS Jeremy" w:hAnsi="OS Jeremy" w:cs="Cambria"/>
          <w:sz w:val="20"/>
          <w:szCs w:val="20"/>
          <w:lang w:val="fi-FI"/>
        </w:rPr>
        <w:t>худа</w:t>
      </w:r>
      <w:r w:rsidRPr="00FB4EFA">
        <w:rPr>
          <w:rFonts w:ascii="OS Jeremy" w:hAnsi="OS Jeremy"/>
          <w:sz w:val="20"/>
          <w:szCs w:val="20"/>
          <w:lang w:val="fi-FI"/>
        </w:rPr>
        <w:t>́</w:t>
      </w:r>
      <w:r w:rsidRPr="00FB4EFA">
        <w:rPr>
          <w:rFonts w:ascii="OS Jeremy" w:hAnsi="OS Jeremy" w:cs="Cambria"/>
          <w:sz w:val="20"/>
          <w:szCs w:val="20"/>
          <w:lang w:val="fi-FI"/>
        </w:rPr>
        <w:t>ка</w:t>
      </w:r>
      <w:r w:rsidRPr="00FB4EFA">
        <w:rPr>
          <w:rFonts w:ascii="OS Jeremy" w:hAnsi="OS Jeremy"/>
          <w:sz w:val="20"/>
          <w:szCs w:val="20"/>
          <w:lang w:val="fi-FI"/>
        </w:rPr>
        <w:t xml:space="preserve"> </w:t>
      </w:r>
      <w:r w:rsidRPr="00FB4EFA">
        <w:rPr>
          <w:rFonts w:ascii="OS Jeremy" w:hAnsi="OS Jeremy" w:cs="Cambria"/>
          <w:sz w:val="20"/>
          <w:szCs w:val="20"/>
          <w:lang w:val="fi-FI"/>
        </w:rPr>
        <w:t>кладежа</w:t>
      </w:r>
      <w:r w:rsidRPr="00FB4EFA">
        <w:rPr>
          <w:rFonts w:ascii="OS Jeremy" w:hAnsi="OS Jeremy"/>
          <w:sz w:val="20"/>
          <w:szCs w:val="20"/>
          <w:lang w:val="fi-FI"/>
        </w:rPr>
        <w:t xml:space="preserve">́, </w:t>
      </w:r>
      <w:r w:rsidRPr="00FB4EFA">
        <w:rPr>
          <w:rFonts w:ascii="OS Jeremy" w:hAnsi="OS Jeremy" w:cs="Cambria"/>
          <w:sz w:val="20"/>
          <w:szCs w:val="20"/>
          <w:lang w:val="fi-FI"/>
        </w:rPr>
        <w:t>а</w:t>
      </w:r>
      <w:r w:rsidRPr="00FB4EFA">
        <w:rPr>
          <w:rFonts w:ascii="OS Jeremy" w:hAnsi="OS Jeremy"/>
          <w:sz w:val="20"/>
          <w:szCs w:val="20"/>
          <w:lang w:val="fi-FI"/>
        </w:rPr>
        <w:t xml:space="preserve"> </w:t>
      </w:r>
      <w:r w:rsidRPr="00FB4EFA">
        <w:rPr>
          <w:rFonts w:ascii="OS Jeremy" w:hAnsi="OS Jeremy" w:cs="Cambria"/>
          <w:sz w:val="20"/>
          <w:szCs w:val="20"/>
          <w:lang w:val="fi-FI"/>
        </w:rPr>
        <w:t>ху</w:t>
      </w:r>
      <w:r w:rsidRPr="00FB4EFA">
        <w:rPr>
          <w:rFonts w:ascii="OS Jeremy" w:hAnsi="OS Jeremy"/>
          <w:sz w:val="20"/>
          <w:szCs w:val="20"/>
          <w:lang w:val="fi-FI"/>
        </w:rPr>
        <w:t>́</w:t>
      </w:r>
      <w:r w:rsidRPr="00FB4EFA">
        <w:rPr>
          <w:rFonts w:ascii="OS Jeremy" w:hAnsi="OS Jeremy" w:cs="Cambria"/>
          <w:sz w:val="20"/>
          <w:szCs w:val="20"/>
          <w:lang w:val="fi-FI"/>
        </w:rPr>
        <w:t>дя</w:t>
      </w:r>
      <w:r w:rsidRPr="00FB4EFA">
        <w:rPr>
          <w:rFonts w:ascii="OS Jeremy" w:hAnsi="OS Jeremy"/>
          <w:sz w:val="20"/>
          <w:szCs w:val="20"/>
          <w:lang w:val="fi-FI"/>
        </w:rPr>
        <w:t>-</w:t>
      </w:r>
      <w:r w:rsidRPr="00FB4EFA">
        <w:rPr>
          <w:rFonts w:ascii="OS Jeremy" w:hAnsi="OS Jeremy" w:cs="Cambria"/>
          <w:sz w:val="20"/>
          <w:szCs w:val="20"/>
          <w:lang w:val="fi-FI"/>
        </w:rPr>
        <w:t>бека</w:t>
      </w:r>
      <w:r w:rsidRPr="00FB4EFA">
        <w:rPr>
          <w:rFonts w:ascii="OS Jeremy" w:hAnsi="OS Jeremy"/>
          <w:sz w:val="20"/>
          <w:szCs w:val="20"/>
          <w:lang w:val="fi-FI"/>
        </w:rPr>
        <w:t xml:space="preserve">́ </w:t>
      </w:r>
      <w:r w:rsidRPr="00FB4EFA">
        <w:rPr>
          <w:rFonts w:ascii="OS Jeremy" w:hAnsi="OS Jeremy" w:cs="Cambria"/>
          <w:sz w:val="20"/>
          <w:szCs w:val="20"/>
          <w:lang w:val="fi-FI"/>
        </w:rPr>
        <w:t>влагоя</w:t>
      </w:r>
      <w:r w:rsidRPr="00FB4EFA">
        <w:rPr>
          <w:rFonts w:ascii="OS Jeremy" w:hAnsi="OS Jeremy"/>
          <w:sz w:val="20"/>
          <w:szCs w:val="20"/>
          <w:lang w:val="fi-FI"/>
        </w:rPr>
        <w:t xml:space="preserve">́, </w:t>
      </w:r>
      <w:r w:rsidRPr="00FB4EFA">
        <w:rPr>
          <w:rFonts w:ascii="OS Jeremy" w:hAnsi="OS Jeremy" w:cs="Cambria"/>
          <w:sz w:val="20"/>
          <w:szCs w:val="20"/>
          <w:lang w:val="fi-FI"/>
        </w:rPr>
        <w:t>олога</w:t>
      </w:r>
      <w:r w:rsidRPr="00FB4EFA">
        <w:rPr>
          <w:rFonts w:ascii="OS Jeremy" w:hAnsi="OS Jeremy"/>
          <w:sz w:val="20"/>
          <w:szCs w:val="20"/>
          <w:lang w:val="fi-FI"/>
        </w:rPr>
        <w:t>́</w:t>
      </w:r>
      <w:r w:rsidRPr="00FB4EFA">
        <w:rPr>
          <w:rFonts w:ascii="OS Jeremy" w:hAnsi="OS Jeremy" w:cs="Cambria"/>
          <w:sz w:val="20"/>
          <w:szCs w:val="20"/>
          <w:lang w:val="fi-FI"/>
        </w:rPr>
        <w:t>ка</w:t>
      </w:r>
      <w:r w:rsidRPr="00FB4EFA">
        <w:rPr>
          <w:rFonts w:ascii="OS Jeremy" w:hAnsi="OS Jeremy"/>
          <w:sz w:val="20"/>
          <w:szCs w:val="20"/>
          <w:lang w:val="fi-FI"/>
        </w:rPr>
        <w:t xml:space="preserve"> </w:t>
      </w:r>
      <w:r w:rsidRPr="00FB4EFA">
        <w:rPr>
          <w:rFonts w:ascii="OS Jeremy" w:hAnsi="OS Jeremy" w:cs="Cambria"/>
          <w:sz w:val="20"/>
          <w:szCs w:val="20"/>
          <w:lang w:val="fi-FI"/>
        </w:rPr>
        <w:t>пинежа</w:t>
      </w:r>
      <w:r w:rsidRPr="00FB4EFA">
        <w:rPr>
          <w:rFonts w:ascii="OS Jeremy" w:hAnsi="OS Jeremy"/>
          <w:sz w:val="20"/>
          <w:szCs w:val="20"/>
          <w:lang w:val="fi-FI"/>
        </w:rPr>
        <w:t xml:space="preserve">́, </w:t>
      </w:r>
      <w:r w:rsidRPr="00FB4EFA">
        <w:rPr>
          <w:rFonts w:ascii="OS Jeremy" w:hAnsi="OS Jeremy" w:cs="Cambria"/>
          <w:sz w:val="20"/>
          <w:szCs w:val="20"/>
          <w:lang w:val="fi-FI"/>
        </w:rPr>
        <w:t>я</w:t>
      </w:r>
      <w:r w:rsidRPr="00FB4EFA">
        <w:rPr>
          <w:rFonts w:ascii="OS Jeremy" w:hAnsi="OS Jeremy"/>
          <w:sz w:val="20"/>
          <w:szCs w:val="20"/>
          <w:lang w:val="fi-FI"/>
        </w:rPr>
        <w:t>́</w:t>
      </w:r>
      <w:r w:rsidRPr="00FB4EFA">
        <w:rPr>
          <w:rFonts w:ascii="OS Jeremy" w:hAnsi="OS Jeremy" w:cs="Cambria"/>
          <w:sz w:val="20"/>
          <w:szCs w:val="20"/>
          <w:lang w:val="fi-FI"/>
        </w:rPr>
        <w:t>койца</w:t>
      </w:r>
      <w:r w:rsidRPr="00FB4EFA">
        <w:rPr>
          <w:rFonts w:ascii="OS Jeremy" w:hAnsi="OS Jeremy"/>
          <w:sz w:val="20"/>
          <w:szCs w:val="20"/>
          <w:lang w:val="fi-FI"/>
        </w:rPr>
        <w:t xml:space="preserve"> </w:t>
      </w:r>
      <w:r w:rsidRPr="00FB4EFA">
        <w:rPr>
          <w:rFonts w:ascii="OS Jeremy" w:hAnsi="OS Jeremy" w:cs="Cambria"/>
          <w:sz w:val="20"/>
          <w:szCs w:val="20"/>
          <w:lang w:val="fi-FI"/>
        </w:rPr>
        <w:t>охи</w:t>
      </w:r>
      <w:r w:rsidRPr="00FB4EFA">
        <w:rPr>
          <w:rFonts w:ascii="OS Jeremy" w:hAnsi="OS Jeremy"/>
          <w:sz w:val="20"/>
          <w:szCs w:val="20"/>
          <w:lang w:val="fi-FI"/>
        </w:rPr>
        <w:t>́</w:t>
      </w:r>
      <w:r w:rsidRPr="00FB4EFA">
        <w:rPr>
          <w:rFonts w:ascii="OS Jeremy" w:hAnsi="OS Jeremy" w:cs="Cambria"/>
          <w:sz w:val="20"/>
          <w:szCs w:val="20"/>
          <w:lang w:val="fi-FI"/>
        </w:rPr>
        <w:t>цежа</w:t>
      </w:r>
      <w:r w:rsidRPr="00FB4EFA">
        <w:rPr>
          <w:rFonts w:ascii="OS Jeremy" w:hAnsi="OS Jeremy"/>
          <w:sz w:val="20"/>
          <w:szCs w:val="20"/>
          <w:lang w:val="fi-FI"/>
        </w:rPr>
        <w:t>. 4</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Ка</w:t>
      </w:r>
      <w:r w:rsidRPr="00FB4EFA">
        <w:rPr>
          <w:rFonts w:ascii="OS Jeremy" w:hAnsi="OS Jeremy"/>
          <w:sz w:val="20"/>
          <w:szCs w:val="20"/>
          <w:lang w:val="fi-FI"/>
        </w:rPr>
        <w:t>́</w:t>
      </w:r>
      <w:r w:rsidRPr="00FB4EFA">
        <w:rPr>
          <w:rFonts w:ascii="OS Jeremy" w:hAnsi="OS Jeremy" w:cs="Cambria"/>
          <w:sz w:val="20"/>
          <w:szCs w:val="20"/>
          <w:lang w:val="fi-FI"/>
        </w:rPr>
        <w:t>челов</w:t>
      </w:r>
      <w:r w:rsidRPr="00FB4EFA">
        <w:rPr>
          <w:rFonts w:ascii="OS Jeremy" w:hAnsi="OS Jeremy"/>
          <w:sz w:val="20"/>
          <w:szCs w:val="20"/>
          <w:lang w:val="fi-FI"/>
        </w:rPr>
        <w:t xml:space="preserve"> </w:t>
      </w:r>
      <w:r w:rsidRPr="00FB4EFA">
        <w:rPr>
          <w:rFonts w:ascii="OS Jeremy" w:hAnsi="OS Jeremy" w:cs="Cambria"/>
          <w:sz w:val="20"/>
          <w:szCs w:val="20"/>
          <w:lang w:val="fi-FI"/>
        </w:rPr>
        <w:t>ид</w:t>
      </w:r>
      <w:r w:rsidRPr="00FB4EFA">
        <w:rPr>
          <w:rFonts w:ascii="OS Jeremy" w:hAnsi="OS Jeremy"/>
          <w:sz w:val="20"/>
          <w:szCs w:val="20"/>
          <w:lang w:val="fi-FI"/>
        </w:rPr>
        <w:t xml:space="preserve">ë </w:t>
      </w:r>
      <w:r w:rsidRPr="00FB4EFA">
        <w:rPr>
          <w:rFonts w:ascii="OS Jeremy" w:hAnsi="OS Jeremy" w:cs="Cambria"/>
          <w:sz w:val="20"/>
          <w:szCs w:val="20"/>
          <w:lang w:val="fi-FI"/>
        </w:rPr>
        <w:t>ребь</w:t>
      </w:r>
      <w:r w:rsidRPr="00FB4EFA">
        <w:rPr>
          <w:rFonts w:ascii="OS Jeremy" w:hAnsi="OS Jeremy"/>
          <w:sz w:val="20"/>
          <w:szCs w:val="20"/>
          <w:lang w:val="fi-FI"/>
        </w:rPr>
        <w:t>-</w:t>
      </w:r>
      <w:r w:rsidRPr="00FB4EFA">
        <w:rPr>
          <w:rFonts w:ascii="OS Jeremy" w:hAnsi="OS Jeremy" w:cs="Cambria"/>
          <w:sz w:val="20"/>
          <w:szCs w:val="20"/>
          <w:lang w:val="fi-FI"/>
        </w:rPr>
        <w:t>оми</w:t>
      </w:r>
      <w:r w:rsidRPr="00FB4EFA">
        <w:rPr>
          <w:rFonts w:ascii="OS Jeremy" w:hAnsi="OS Jeremy"/>
          <w:sz w:val="20"/>
          <w:szCs w:val="20"/>
          <w:lang w:val="fi-FI"/>
        </w:rPr>
        <w:t>́</w:t>
      </w:r>
      <w:r w:rsidRPr="00FB4EFA">
        <w:rPr>
          <w:rFonts w:ascii="OS Jeremy" w:hAnsi="OS Jeremy" w:cs="Cambria"/>
          <w:sz w:val="20"/>
          <w:szCs w:val="20"/>
          <w:lang w:val="fi-FI"/>
        </w:rPr>
        <w:t>це</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sz w:val="20"/>
          <w:szCs w:val="20"/>
          <w:lang w:val="fi-FI"/>
        </w:rPr>
        <w:t xml:space="preserve"> </w:t>
      </w:r>
      <w:r w:rsidRPr="00FB4EFA">
        <w:rPr>
          <w:rFonts w:ascii="OS Jeremy" w:hAnsi="OS Jeremy" w:cs="Cambria"/>
          <w:sz w:val="20"/>
          <w:szCs w:val="20"/>
          <w:lang w:val="fi-FI"/>
        </w:rPr>
        <w:t>не</w:t>
      </w:r>
      <w:r w:rsidRPr="00FB4EFA">
        <w:rPr>
          <w:rFonts w:ascii="OS Jeremy" w:hAnsi="OS Jeremy"/>
          <w:sz w:val="20"/>
          <w:szCs w:val="20"/>
          <w:lang w:val="fi-FI"/>
        </w:rPr>
        <w:t>́</w:t>
      </w:r>
      <w:r w:rsidRPr="00FB4EFA">
        <w:rPr>
          <w:rFonts w:ascii="OS Jeremy" w:hAnsi="OS Jeremy" w:cs="Cambria"/>
          <w:sz w:val="20"/>
          <w:szCs w:val="20"/>
          <w:lang w:val="fi-FI"/>
        </w:rPr>
        <w:t>ле</w:t>
      </w:r>
      <w:r w:rsidRPr="00FB4EFA">
        <w:rPr>
          <w:rFonts w:ascii="OS Jeremy" w:hAnsi="OS Jeremy"/>
          <w:sz w:val="20"/>
          <w:szCs w:val="20"/>
          <w:lang w:val="fi-FI"/>
        </w:rPr>
        <w:t xml:space="preserve"> </w:t>
      </w:r>
      <w:r w:rsidRPr="00FB4EFA">
        <w:rPr>
          <w:rFonts w:ascii="OS Jeremy" w:hAnsi="OS Jeremy" w:cs="Cambria"/>
          <w:sz w:val="20"/>
          <w:szCs w:val="20"/>
          <w:lang w:val="fi-FI"/>
        </w:rPr>
        <w:t>здя</w:t>
      </w:r>
      <w:r w:rsidRPr="00FB4EFA">
        <w:rPr>
          <w:rFonts w:ascii="OS Jeremy" w:hAnsi="OS Jeremy"/>
          <w:sz w:val="20"/>
          <w:szCs w:val="20"/>
          <w:lang w:val="fi-FI"/>
        </w:rPr>
        <w:t xml:space="preserve"> </w:t>
      </w:r>
      <w:r w:rsidRPr="00FB4EFA">
        <w:rPr>
          <w:rFonts w:ascii="OS Jeremy" w:hAnsi="OS Jeremy" w:cs="Cambria"/>
          <w:sz w:val="20"/>
          <w:szCs w:val="20"/>
          <w:lang w:val="fi-FI"/>
        </w:rPr>
        <w:t>иле</w:t>
      </w:r>
      <w:r w:rsidRPr="00FB4EFA">
        <w:rPr>
          <w:rFonts w:ascii="OS Jeremy" w:hAnsi="OS Jeremy"/>
          <w:sz w:val="20"/>
          <w:szCs w:val="20"/>
          <w:lang w:val="fi-FI"/>
        </w:rPr>
        <w:t>́</w:t>
      </w:r>
      <w:r w:rsidRPr="00FB4EFA">
        <w:rPr>
          <w:rFonts w:ascii="OS Jeremy" w:hAnsi="OS Jeremy" w:cs="Cambria"/>
          <w:sz w:val="20"/>
          <w:szCs w:val="20"/>
          <w:lang w:val="fi-FI"/>
        </w:rPr>
        <w:t>щася</w:t>
      </w:r>
      <w:r w:rsidRPr="00FB4EFA">
        <w:rPr>
          <w:rFonts w:ascii="OS Jeremy" w:hAnsi="OS Jeremy"/>
          <w:sz w:val="20"/>
          <w:szCs w:val="20"/>
          <w:lang w:val="fi-FI"/>
        </w:rPr>
        <w:t>. 5</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sz w:val="20"/>
          <w:szCs w:val="20"/>
          <w:lang w:val="fi-FI"/>
        </w:rPr>
        <w:t xml:space="preserve"> </w:t>
      </w:r>
      <w:r w:rsidRPr="00FB4EFA">
        <w:rPr>
          <w:rFonts w:ascii="OS Jeremy" w:hAnsi="OS Jeremy" w:cs="Cambria"/>
          <w:sz w:val="20"/>
          <w:szCs w:val="20"/>
          <w:lang w:val="fi-FI"/>
        </w:rPr>
        <w:t>ра</w:t>
      </w:r>
      <w:r w:rsidRPr="00FB4EFA">
        <w:rPr>
          <w:rFonts w:ascii="OS Jeremy" w:hAnsi="OS Jeremy"/>
          <w:sz w:val="20"/>
          <w:szCs w:val="20"/>
          <w:lang w:val="fi-FI"/>
        </w:rPr>
        <w:t>́</w:t>
      </w:r>
      <w:r w:rsidRPr="00FB4EFA">
        <w:rPr>
          <w:rFonts w:ascii="OS Jeremy" w:hAnsi="OS Jeremy" w:cs="Cambria"/>
          <w:sz w:val="20"/>
          <w:szCs w:val="20"/>
          <w:lang w:val="fi-FI"/>
        </w:rPr>
        <w:t>цезн</w:t>
      </w:r>
      <w:r w:rsidRPr="00FB4EFA">
        <w:rPr>
          <w:rFonts w:ascii="OS Jeremy" w:hAnsi="OS Jeremy"/>
          <w:sz w:val="20"/>
          <w:szCs w:val="20"/>
          <w:lang w:val="fi-FI"/>
        </w:rPr>
        <w:t xml:space="preserve"> </w:t>
      </w:r>
      <w:r w:rsidRPr="00FB4EFA">
        <w:rPr>
          <w:rFonts w:ascii="OS Jeremy" w:hAnsi="OS Jeremy" w:cs="Cambria"/>
          <w:sz w:val="20"/>
          <w:szCs w:val="20"/>
          <w:lang w:val="fi-FI"/>
        </w:rPr>
        <w:t>ребь</w:t>
      </w:r>
      <w:r w:rsidRPr="00FB4EFA">
        <w:rPr>
          <w:rFonts w:ascii="OS Jeremy" w:hAnsi="OS Jeremy"/>
          <w:sz w:val="20"/>
          <w:szCs w:val="20"/>
          <w:lang w:val="fi-FI"/>
        </w:rPr>
        <w:t xml:space="preserve"> </w:t>
      </w:r>
      <w:r w:rsidRPr="00FB4EFA">
        <w:rPr>
          <w:rFonts w:ascii="OS Jeremy" w:hAnsi="OS Jeremy" w:cs="Cambria"/>
          <w:sz w:val="20"/>
          <w:szCs w:val="20"/>
          <w:lang w:val="fi-FI"/>
        </w:rPr>
        <w:t>нежу</w:t>
      </w:r>
      <w:r w:rsidRPr="00FB4EFA">
        <w:rPr>
          <w:rFonts w:ascii="OS Jeremy" w:hAnsi="OS Jeremy" w:cstheme="minorHAnsi"/>
          <w:sz w:val="20"/>
          <w:szCs w:val="20"/>
          <w:lang w:val="fi-FI"/>
        </w:rPr>
        <w:t>́</w:t>
      </w:r>
      <w:r w:rsidRPr="00FB4EFA">
        <w:rPr>
          <w:rFonts w:ascii="OS Jeremy" w:hAnsi="OS Jeremy" w:cs="Cambria"/>
          <w:sz w:val="20"/>
          <w:szCs w:val="20"/>
          <w:lang w:val="fi-FI"/>
        </w:rPr>
        <w:t>тея</w:t>
      </w:r>
      <w:r w:rsidRPr="00FB4EFA">
        <w:rPr>
          <w:rFonts w:ascii="OS Jeremy" w:hAnsi="OS Jeremy"/>
          <w:sz w:val="20"/>
          <w:szCs w:val="20"/>
          <w:lang w:val="fi-FI"/>
        </w:rPr>
        <w:t xml:space="preserve"> </w:t>
      </w:r>
      <w:r w:rsidRPr="00FB4EFA">
        <w:rPr>
          <w:rFonts w:ascii="OS Jeremy" w:hAnsi="OS Jeremy" w:cs="Cambria"/>
          <w:sz w:val="20"/>
          <w:szCs w:val="20"/>
          <w:lang w:val="fi-FI"/>
        </w:rPr>
        <w:t>ла</w:t>
      </w:r>
      <w:r w:rsidRPr="00FB4EFA">
        <w:rPr>
          <w:rFonts w:ascii="OS Jeremy" w:hAnsi="OS Jeremy"/>
          <w:sz w:val="20"/>
          <w:szCs w:val="20"/>
          <w:lang w:val="fi-FI"/>
        </w:rPr>
        <w:t>́</w:t>
      </w:r>
      <w:r w:rsidRPr="00FB4EFA">
        <w:rPr>
          <w:rFonts w:ascii="OS Jeremy" w:hAnsi="OS Jeremy" w:cs="Cambria"/>
          <w:sz w:val="20"/>
          <w:szCs w:val="20"/>
          <w:lang w:val="fi-FI"/>
        </w:rPr>
        <w:t>чьяза</w:t>
      </w:r>
      <w:r w:rsidRPr="00FB4EFA">
        <w:rPr>
          <w:rFonts w:ascii="OS Jeremy" w:hAnsi="OS Jeremy"/>
          <w:sz w:val="20"/>
          <w:szCs w:val="20"/>
          <w:lang w:val="fi-FI"/>
        </w:rPr>
        <w:t xml:space="preserve"> </w:t>
      </w:r>
      <w:r w:rsidRPr="00FB4EFA">
        <w:rPr>
          <w:rFonts w:ascii="OS Jeremy" w:hAnsi="OS Jeremy" w:cs="Cambria"/>
          <w:sz w:val="20"/>
          <w:szCs w:val="20"/>
          <w:lang w:val="fi-FI"/>
        </w:rPr>
        <w:t>коя</w:t>
      </w:r>
      <w:r w:rsidRPr="00FB4EFA">
        <w:rPr>
          <w:rFonts w:ascii="OS Jeremy" w:hAnsi="OS Jeremy"/>
          <w:sz w:val="20"/>
          <w:szCs w:val="20"/>
          <w:lang w:val="fi-FI"/>
        </w:rPr>
        <w:t>́</w:t>
      </w:r>
      <w:r w:rsidRPr="00FB4EFA">
        <w:rPr>
          <w:rFonts w:ascii="OS Jeremy" w:hAnsi="OS Jeremy" w:cs="Cambria"/>
          <w:sz w:val="20"/>
          <w:szCs w:val="20"/>
          <w:lang w:val="fi-FI"/>
        </w:rPr>
        <w:t>чиля</w:t>
      </w:r>
      <w:r w:rsidRPr="00FB4EFA">
        <w:rPr>
          <w:rFonts w:ascii="OS Jeremy" w:hAnsi="OS Jeremy"/>
          <w:sz w:val="20"/>
          <w:szCs w:val="20"/>
          <w:lang w:val="fi-FI"/>
        </w:rPr>
        <w:t xml:space="preserve"> </w:t>
      </w:r>
      <w:r w:rsidRPr="00FB4EFA">
        <w:rPr>
          <w:rFonts w:ascii="OS Jeremy" w:hAnsi="OS Jeremy" w:cs="Cambria"/>
          <w:sz w:val="20"/>
          <w:szCs w:val="20"/>
          <w:lang w:val="fi-FI"/>
        </w:rPr>
        <w:t>по</w:t>
      </w:r>
      <w:r w:rsidRPr="00FB4EFA">
        <w:rPr>
          <w:rFonts w:ascii="OS Jeremy" w:hAnsi="OS Jeremy"/>
          <w:sz w:val="20"/>
          <w:szCs w:val="20"/>
          <w:lang w:val="fi-FI"/>
        </w:rPr>
        <w:t>́</w:t>
      </w:r>
      <w:r w:rsidRPr="00FB4EFA">
        <w:rPr>
          <w:rFonts w:ascii="OS Jeremy" w:hAnsi="OS Jeremy" w:cs="Cambria"/>
          <w:sz w:val="20"/>
          <w:szCs w:val="20"/>
          <w:lang w:val="fi-FI"/>
        </w:rPr>
        <w:t>лоде</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sz w:val="20"/>
          <w:szCs w:val="20"/>
          <w:lang w:val="fi-FI"/>
        </w:rPr>
        <w:t xml:space="preserve"> </w:t>
      </w:r>
      <w:r w:rsidRPr="00FB4EFA">
        <w:rPr>
          <w:rFonts w:ascii="OS Jeremy" w:hAnsi="OS Jeremy" w:cs="Cambria"/>
          <w:sz w:val="20"/>
          <w:szCs w:val="20"/>
          <w:lang w:val="fi-FI"/>
        </w:rPr>
        <w:t>мачь</w:t>
      </w:r>
      <w:r w:rsidRPr="00FB4EFA">
        <w:rPr>
          <w:rFonts w:ascii="OS Jeremy" w:hAnsi="OS Jeremy"/>
          <w:sz w:val="20"/>
          <w:szCs w:val="20"/>
          <w:lang w:val="fi-FI"/>
        </w:rPr>
        <w:t xml:space="preserve"> </w:t>
      </w:r>
      <w:r w:rsidRPr="00FB4EFA">
        <w:rPr>
          <w:rFonts w:ascii="OS Jeremy" w:hAnsi="OS Jeremy" w:cs="Cambria"/>
          <w:sz w:val="20"/>
          <w:szCs w:val="20"/>
          <w:lang w:val="fi-FI"/>
        </w:rPr>
        <w:t>олеи</w:t>
      </w:r>
      <w:r w:rsidRPr="00FB4EFA">
        <w:rPr>
          <w:rFonts w:ascii="OS Jeremy" w:hAnsi="OS Jeremy"/>
          <w:sz w:val="20"/>
          <w:szCs w:val="20"/>
          <w:lang w:val="fi-FI"/>
        </w:rPr>
        <w:t>́</w:t>
      </w:r>
      <w:r w:rsidRPr="00FB4EFA">
        <w:rPr>
          <w:rFonts w:ascii="OS Jeremy" w:hAnsi="OS Jeremy" w:cs="Cambria"/>
          <w:sz w:val="20"/>
          <w:szCs w:val="20"/>
          <w:lang w:val="fi-FI"/>
        </w:rPr>
        <w:t>лу</w:t>
      </w:r>
      <w:r w:rsidRPr="00FB4EFA">
        <w:rPr>
          <w:rFonts w:ascii="OS Jeremy" w:hAnsi="OS Jeremy"/>
          <w:sz w:val="20"/>
          <w:szCs w:val="20"/>
          <w:lang w:val="fi-FI"/>
        </w:rPr>
        <w:t>.</w:t>
      </w:r>
    </w:p>
    <w:p w14:paraId="6ECE3D15" w14:textId="543F4858" w:rsidR="00EF1775" w:rsidRPr="00FB4EFA" w:rsidRDefault="00EF1775" w:rsidP="00A219CF">
      <w:pPr>
        <w:spacing w:before="240"/>
        <w:rPr>
          <w:lang w:val="fi-FI"/>
        </w:rPr>
      </w:pPr>
      <w:r w:rsidRPr="00FB4EFA">
        <w:rPr>
          <w:lang w:val="fi-FI"/>
        </w:rPr>
        <w:t xml:space="preserve">Suurin kuilinakielistä on säilynyt yllättävän vähin muutoksin, erityisesti sananpainossa, vaikka ero akuuttien ja muitten painollisten tavujen välillä onkin kadonnut. Venekuilinassa näkyy koko nykykuilinalle yhteinen lyhyitten suppeitten vokaalien </w:t>
      </w:r>
      <w:r w:rsidRPr="00FB4EFA">
        <w:rPr>
          <w:i/>
          <w:iCs/>
          <w:lang w:val="fi-FI"/>
        </w:rPr>
        <w:t>i</w:t>
      </w:r>
      <w:r w:rsidRPr="00FB4EFA">
        <w:rPr>
          <w:lang w:val="fi-FI"/>
        </w:rPr>
        <w:t xml:space="preserve">:n ja </w:t>
      </w:r>
      <w:r w:rsidRPr="00FB4EFA">
        <w:rPr>
          <w:i/>
          <w:iCs/>
          <w:lang w:val="fi-FI"/>
        </w:rPr>
        <w:t>u</w:t>
      </w:r>
      <w:r w:rsidRPr="00FB4EFA">
        <w:rPr>
          <w:lang w:val="fi-FI"/>
        </w:rPr>
        <w:t>:n (</w:t>
      </w:r>
      <w:r w:rsidRPr="00FB4EFA">
        <w:rPr>
          <w:rFonts w:ascii="OS Jeremy" w:hAnsi="OS Jeremy" w:cs="Cambria"/>
          <w:i/>
          <w:iCs/>
          <w:lang w:val="fi-FI"/>
        </w:rPr>
        <w:t>ь</w:t>
      </w:r>
      <w:r w:rsidRPr="00FB4EFA">
        <w:rPr>
          <w:rFonts w:ascii="OS Jeremy" w:hAnsi="OS Jeremy"/>
          <w:lang w:val="fi-FI"/>
        </w:rPr>
        <w:t xml:space="preserve">, </w:t>
      </w:r>
      <w:r w:rsidRPr="00FB4EFA">
        <w:rPr>
          <w:rFonts w:ascii="OS Jeremy" w:hAnsi="OS Jeremy" w:cs="Cambria"/>
          <w:i/>
          <w:iCs/>
          <w:lang w:val="fi-FI"/>
        </w:rPr>
        <w:t>ъ</w:t>
      </w:r>
      <w:r w:rsidRPr="00FB4EFA">
        <w:rPr>
          <w:lang w:val="fi-FI"/>
        </w:rPr>
        <w:t xml:space="preserve">) kato heikoista asemista: vain kadonneen vokaalin edellä ne ovat täysvokaalistuneet: </w:t>
      </w:r>
      <w:r w:rsidRPr="00FB4EFA">
        <w:rPr>
          <w:rFonts w:ascii="OS Jeremy" w:hAnsi="OS Jeremy" w:cs="Cambria"/>
          <w:i/>
          <w:iCs/>
          <w:lang w:val="fi-FI"/>
        </w:rPr>
        <w:t>съвь</w:t>
      </w:r>
      <w:r w:rsidRPr="00FB4EFA">
        <w:rPr>
          <w:lang w:val="fi-FI"/>
        </w:rPr>
        <w:t xml:space="preserve"> &gt; </w:t>
      </w:r>
      <w:r w:rsidRPr="00FB4EFA">
        <w:rPr>
          <w:rFonts w:ascii="OS Jeremy" w:hAnsi="OS Jeremy" w:cs="Cambria"/>
          <w:i/>
          <w:iCs/>
          <w:lang w:val="fi-FI"/>
        </w:rPr>
        <w:t>совь</w:t>
      </w:r>
      <w:r w:rsidRPr="00FB4EFA">
        <w:rPr>
          <w:rFonts w:ascii="OS Jeremy" w:hAnsi="OS Jeremy"/>
          <w:lang w:val="fi-FI"/>
        </w:rPr>
        <w:t xml:space="preserve"> </w:t>
      </w:r>
      <w:r w:rsidRPr="00FB4EFA">
        <w:rPr>
          <w:lang w:val="fi-FI"/>
        </w:rPr>
        <w:t xml:space="preserve">[sov’]. Myös </w:t>
      </w:r>
      <w:r w:rsidRPr="00FB4EFA">
        <w:rPr>
          <w:i/>
          <w:iCs/>
          <w:lang w:val="fi-FI"/>
        </w:rPr>
        <w:t>ǟ</w:t>
      </w:r>
      <w:r w:rsidRPr="00FB4EFA">
        <w:rPr>
          <w:lang w:val="fi-FI"/>
        </w:rPr>
        <w:t xml:space="preserve"> (</w:t>
      </w:r>
      <w:r w:rsidRPr="00FB4EFA">
        <w:rPr>
          <w:rFonts w:ascii="OS Jeremy" w:hAnsi="OS Jeremy" w:cs="Cambria"/>
          <w:i/>
          <w:iCs/>
          <w:lang w:val="fi-FI"/>
        </w:rPr>
        <w:t>ѣ</w:t>
      </w:r>
      <w:r w:rsidRPr="00FB4EFA">
        <w:rPr>
          <w:lang w:val="fi-FI"/>
        </w:rPr>
        <w:t xml:space="preserve">) menetti itsenäisen vokaalin statuksensa useimmissa kielimuodoissa ja yhtyi useimmiten </w:t>
      </w:r>
      <w:r w:rsidRPr="00FB4EFA">
        <w:rPr>
          <w:i/>
          <w:iCs/>
          <w:lang w:val="fi-FI"/>
        </w:rPr>
        <w:t>e</w:t>
      </w:r>
      <w:r w:rsidRPr="00FB4EFA">
        <w:rPr>
          <w:lang w:val="fi-FI"/>
        </w:rPr>
        <w:t>:hen (</w:t>
      </w:r>
      <w:r w:rsidRPr="00FB4EFA">
        <w:rPr>
          <w:rFonts w:ascii="OS Jeremy" w:hAnsi="OS Jeremy" w:cs="Cambria"/>
          <w:i/>
          <w:iCs/>
          <w:lang w:val="fi-FI"/>
        </w:rPr>
        <w:t>є</w:t>
      </w:r>
      <w:r w:rsidRPr="00FB4EFA">
        <w:rPr>
          <w:lang w:val="fi-FI"/>
        </w:rPr>
        <w:t xml:space="preserve">). Tällöin vanhoilta </w:t>
      </w:r>
      <w:r w:rsidRPr="00FB4EFA">
        <w:rPr>
          <w:i/>
          <w:iCs/>
          <w:lang w:val="fi-FI"/>
        </w:rPr>
        <w:t>ä</w:t>
      </w:r>
      <w:r w:rsidR="00D70954" w:rsidRPr="00FB4EFA">
        <w:rPr>
          <w:lang w:val="fi-FI"/>
        </w:rPr>
        <w:noBreakHyphen/>
      </w:r>
      <w:r w:rsidRPr="00FB4EFA">
        <w:rPr>
          <w:lang w:val="fi-FI"/>
        </w:rPr>
        <w:t>vartaloisilta nomineilta hävisi ero yksikön ja monikon nominatiivin väliltä (</w:t>
      </w:r>
      <w:r w:rsidRPr="00FB4EFA">
        <w:rPr>
          <w:rFonts w:ascii="OS Jeremy" w:hAnsi="OS Jeremy" w:cs="Cambria"/>
          <w:i/>
          <w:iCs/>
          <w:lang w:val="fi-FI"/>
        </w:rPr>
        <w:t>рєбє</w:t>
      </w:r>
      <w:r w:rsidRPr="00FB4EFA">
        <w:rPr>
          <w:rFonts w:ascii="OS Jeremy" w:hAnsi="OS Jeremy"/>
          <w:lang w:val="fi-FI"/>
        </w:rPr>
        <w:t xml:space="preserve"> : </w:t>
      </w:r>
      <w:r w:rsidRPr="00FB4EFA">
        <w:rPr>
          <w:rFonts w:ascii="OS Jeremy" w:hAnsi="OS Jeremy" w:cs="Cambria"/>
          <w:i/>
          <w:iCs/>
          <w:lang w:val="fi-FI"/>
        </w:rPr>
        <w:t>рєбѣ</w:t>
      </w:r>
      <w:r w:rsidRPr="00FB4EFA">
        <w:rPr>
          <w:lang w:val="fi-FI"/>
        </w:rPr>
        <w:t xml:space="preserve">), joka siirsi ne vanhojen </w:t>
      </w:r>
      <w:r w:rsidRPr="00FB4EFA">
        <w:rPr>
          <w:i/>
          <w:iCs/>
          <w:lang w:val="fi-FI"/>
        </w:rPr>
        <w:t>e</w:t>
      </w:r>
      <w:r w:rsidRPr="00FB4EFA">
        <w:rPr>
          <w:lang w:val="fi-FI"/>
        </w:rPr>
        <w:t>-vartaloitten (</w:t>
      </w:r>
      <w:r w:rsidRPr="00FB4EFA">
        <w:rPr>
          <w:rFonts w:ascii="OS Jeremy" w:hAnsi="OS Jeremy" w:cs="Cambria"/>
          <w:i/>
          <w:iCs/>
          <w:lang w:val="fi-FI"/>
        </w:rPr>
        <w:t>мєрь</w:t>
      </w:r>
      <w:r w:rsidRPr="00FB4EFA">
        <w:rPr>
          <w:rFonts w:ascii="OS Jeremy" w:hAnsi="OS Jeremy"/>
          <w:lang w:val="fi-FI"/>
        </w:rPr>
        <w:t xml:space="preserve"> : </w:t>
      </w:r>
      <w:r w:rsidRPr="00FB4EFA">
        <w:rPr>
          <w:rFonts w:ascii="OS Jeremy" w:hAnsi="OS Jeremy" w:cs="Cambria"/>
          <w:i/>
          <w:iCs/>
          <w:lang w:val="fi-FI"/>
        </w:rPr>
        <w:t>мєрѣ</w:t>
      </w:r>
      <w:r w:rsidRPr="00FB4EFA">
        <w:rPr>
          <w:lang w:val="fi-FI"/>
        </w:rPr>
        <w:t>) taivutustyyppiin. Analoginen yksikön nominatiivi</w:t>
      </w:r>
      <w:r w:rsidRPr="00FB4EFA">
        <w:rPr>
          <w:i/>
          <w:iCs/>
          <w:lang w:val="fi-FI"/>
        </w:rPr>
        <w:t xml:space="preserve"> </w:t>
      </w:r>
      <w:r w:rsidRPr="00FB4EFA">
        <w:rPr>
          <w:rFonts w:ascii="OS Jeremy" w:hAnsi="OS Jeremy" w:cs="Cambria"/>
          <w:i/>
          <w:iCs/>
          <w:lang w:val="fi-FI"/>
        </w:rPr>
        <w:t>ребь</w:t>
      </w:r>
      <w:r w:rsidRPr="00FB4EFA">
        <w:rPr>
          <w:rFonts w:ascii="OS Jeremy" w:hAnsi="OS Jeremy"/>
          <w:lang w:val="fi-FI"/>
        </w:rPr>
        <w:t xml:space="preserve"> </w:t>
      </w:r>
      <w:r w:rsidRPr="00FB4EFA">
        <w:rPr>
          <w:lang w:val="fi-FI"/>
        </w:rPr>
        <w:t xml:space="preserve">on lähes koko </w:t>
      </w:r>
      <w:r w:rsidR="00D70954" w:rsidRPr="00FB4EFA">
        <w:rPr>
          <w:lang w:val="fi-FI"/>
        </w:rPr>
        <w:br/>
      </w:r>
      <w:r w:rsidRPr="00FB4EFA">
        <w:rPr>
          <w:lang w:val="fi-FI"/>
        </w:rPr>
        <w:t>nykykuilinalle yhteinen.</w:t>
      </w:r>
    </w:p>
    <w:p w14:paraId="790A380D" w14:textId="73E63EF6" w:rsidR="00EF1775" w:rsidRPr="00FB4EFA" w:rsidRDefault="00EF1775" w:rsidP="00A219CF">
      <w:pPr>
        <w:ind w:firstLine="709"/>
        <w:rPr>
          <w:lang w:val="fi-FI"/>
        </w:rPr>
      </w:pPr>
      <w:r w:rsidRPr="00FB4EFA">
        <w:rPr>
          <w:lang w:val="fi-FI"/>
        </w:rPr>
        <w:t xml:space="preserve">Suurin ero muinaiskirkkokuilinaan verrattuna näkyy verbimuodoista. Vanha </w:t>
      </w:r>
      <w:r w:rsidRPr="00FB4EFA">
        <w:rPr>
          <w:i/>
          <w:iCs/>
          <w:lang w:val="fi-FI"/>
        </w:rPr>
        <w:t>i</w:t>
      </w:r>
      <w:r w:rsidRPr="00FB4EFA">
        <w:rPr>
          <w:lang w:val="fi-FI"/>
        </w:rPr>
        <w:t xml:space="preserve">-preteriti on nimittäin suurimmasta osasta nykykuilinaa kadonnut täysin, ja sen tilalla on </w:t>
      </w:r>
      <w:r w:rsidRPr="00FB4EFA">
        <w:rPr>
          <w:i/>
          <w:iCs/>
          <w:lang w:val="fi-FI"/>
        </w:rPr>
        <w:t>nU</w:t>
      </w:r>
      <w:r w:rsidRPr="00FB4EFA">
        <w:rPr>
          <w:lang w:val="fi-FI"/>
        </w:rPr>
        <w:t xml:space="preserve">-partisiippiin perustuva menneen ajan muoto: </w:t>
      </w:r>
      <w:r w:rsidRPr="00FB4EFA">
        <w:rPr>
          <w:rFonts w:ascii="OS Jeremy" w:hAnsi="OS Jeremy" w:cs="Cambria"/>
          <w:i/>
          <w:iCs/>
          <w:lang w:val="fi-FI"/>
        </w:rPr>
        <w:t>тыл</w:t>
      </w:r>
      <w:r w:rsidRPr="00FB4EFA">
        <w:rPr>
          <w:rFonts w:ascii="OS Jeremy" w:hAnsi="OS Jeremy"/>
          <w:lang w:val="fi-FI"/>
        </w:rPr>
        <w:t>,</w:t>
      </w:r>
      <w:r w:rsidRPr="00FB4EFA">
        <w:rPr>
          <w:lang w:val="fi-FI"/>
        </w:rPr>
        <w:t xml:space="preserve"> </w:t>
      </w:r>
      <w:r w:rsidRPr="00FB4EFA">
        <w:rPr>
          <w:rFonts w:ascii="OS Jeremy" w:hAnsi="OS Jeremy" w:cs="Cambria"/>
          <w:i/>
          <w:iCs/>
          <w:lang w:val="fi-FI"/>
        </w:rPr>
        <w:t>цево</w:t>
      </w:r>
      <w:r w:rsidRPr="00FB4EFA">
        <w:rPr>
          <w:rFonts w:ascii="OS Jeremy" w:hAnsi="OS Jeremy"/>
          <w:i/>
          <w:iCs/>
          <w:lang w:val="fi-FI"/>
        </w:rPr>
        <w:t>́</w:t>
      </w:r>
      <w:r w:rsidRPr="00FB4EFA">
        <w:rPr>
          <w:rFonts w:ascii="OS Jeremy" w:hAnsi="OS Jeremy" w:cs="Cambria"/>
          <w:i/>
          <w:iCs/>
          <w:lang w:val="fi-FI"/>
        </w:rPr>
        <w:t>н</w:t>
      </w:r>
      <w:r w:rsidRPr="00FB4EFA">
        <w:rPr>
          <w:rFonts w:ascii="OS Jeremy" w:hAnsi="OS Jeremy"/>
          <w:lang w:val="fi-FI"/>
        </w:rPr>
        <w:t>,</w:t>
      </w:r>
      <w:r w:rsidRPr="00FB4EFA">
        <w:rPr>
          <w:lang w:val="fi-FI"/>
        </w:rPr>
        <w:t xml:space="preserve"> </w:t>
      </w:r>
      <w:r w:rsidRPr="00FB4EFA">
        <w:rPr>
          <w:rFonts w:ascii="OS Jeremy" w:hAnsi="OS Jeremy" w:cs="Cambria"/>
          <w:i/>
          <w:iCs/>
          <w:lang w:val="fi-FI"/>
        </w:rPr>
        <w:t>кога</w:t>
      </w:r>
      <w:r w:rsidRPr="00FB4EFA">
        <w:rPr>
          <w:rFonts w:ascii="OS Jeremy" w:hAnsi="OS Jeremy"/>
          <w:i/>
          <w:iCs/>
          <w:lang w:val="fi-FI"/>
        </w:rPr>
        <w:t>́</w:t>
      </w:r>
      <w:r w:rsidRPr="00FB4EFA">
        <w:rPr>
          <w:rFonts w:ascii="OS Jeremy" w:hAnsi="OS Jeremy" w:cs="Cambria"/>
          <w:i/>
          <w:iCs/>
          <w:lang w:val="fi-FI"/>
        </w:rPr>
        <w:t>н</w:t>
      </w:r>
      <w:r w:rsidRPr="00FB4EFA">
        <w:rPr>
          <w:rFonts w:ascii="OS Jeremy" w:hAnsi="OS Jeremy"/>
          <w:lang w:val="fi-FI"/>
        </w:rPr>
        <w:t>,</w:t>
      </w:r>
      <w:r w:rsidRPr="00FB4EFA">
        <w:rPr>
          <w:lang w:val="fi-FI"/>
        </w:rPr>
        <w:t xml:space="preserve"> </w:t>
      </w:r>
      <w:r w:rsidRPr="00FB4EFA">
        <w:rPr>
          <w:rFonts w:ascii="OS Jeremy" w:hAnsi="OS Jeremy" w:cs="Cambria"/>
          <w:i/>
          <w:iCs/>
          <w:lang w:val="fi-FI"/>
        </w:rPr>
        <w:t>сяжу</w:t>
      </w:r>
      <w:r w:rsidRPr="00FB4EFA">
        <w:rPr>
          <w:rFonts w:ascii="OS Jeremy" w:hAnsi="OS Jeremy"/>
          <w:i/>
          <w:iCs/>
          <w:lang w:val="fi-FI"/>
        </w:rPr>
        <w:t>́</w:t>
      </w:r>
      <w:r w:rsidRPr="00FB4EFA">
        <w:rPr>
          <w:rFonts w:ascii="OS Jeremy" w:hAnsi="OS Jeremy" w:cs="Cambria"/>
          <w:i/>
          <w:iCs/>
          <w:lang w:val="fi-FI"/>
        </w:rPr>
        <w:t>н</w:t>
      </w:r>
      <w:r w:rsidRPr="00FB4EFA">
        <w:rPr>
          <w:rFonts w:ascii="OS Jeremy" w:hAnsi="OS Jeremy"/>
          <w:lang w:val="fi-FI"/>
        </w:rPr>
        <w:t>,</w:t>
      </w:r>
      <w:r w:rsidRPr="00FB4EFA">
        <w:rPr>
          <w:lang w:val="fi-FI"/>
        </w:rPr>
        <w:t xml:space="preserve"> </w:t>
      </w:r>
      <w:r w:rsidRPr="00FB4EFA">
        <w:rPr>
          <w:rFonts w:ascii="OS Jeremy" w:hAnsi="OS Jeremy" w:cs="Cambria"/>
          <w:i/>
          <w:iCs/>
          <w:lang w:val="fi-FI"/>
        </w:rPr>
        <w:t>ра</w:t>
      </w:r>
      <w:r w:rsidRPr="00FB4EFA">
        <w:rPr>
          <w:rFonts w:ascii="OS Jeremy" w:hAnsi="OS Jeremy"/>
          <w:i/>
          <w:iCs/>
          <w:lang w:val="fi-FI"/>
        </w:rPr>
        <w:t>́</w:t>
      </w:r>
      <w:r w:rsidRPr="00FB4EFA">
        <w:rPr>
          <w:rFonts w:ascii="OS Jeremy" w:hAnsi="OS Jeremy" w:cs="Cambria"/>
          <w:i/>
          <w:iCs/>
          <w:lang w:val="fi-FI"/>
        </w:rPr>
        <w:t>цезн</w:t>
      </w:r>
      <w:r w:rsidRPr="00FB4EFA">
        <w:rPr>
          <w:rFonts w:ascii="OS Jeremy" w:hAnsi="OS Jeremy"/>
          <w:lang w:val="fi-FI"/>
        </w:rPr>
        <w:t>.</w:t>
      </w:r>
      <w:r w:rsidRPr="00FB4EFA">
        <w:rPr>
          <w:lang w:val="fi-FI"/>
        </w:rPr>
        <w:t xml:space="preserve"> (Loppu-</w:t>
      </w:r>
      <w:r w:rsidRPr="00FB4EFA">
        <w:rPr>
          <w:i/>
          <w:iCs/>
          <w:lang w:val="fi-FI"/>
        </w:rPr>
        <w:t>t</w:t>
      </w:r>
      <w:r w:rsidRPr="00FB4EFA">
        <w:rPr>
          <w:lang w:val="fi-FI"/>
        </w:rPr>
        <w:t>:n edustumattomuutta tässä muodossa voi yrittää selittää monellakin tapaa). Tämä on oikeastaan liittomuoto, joka eteläkuilinassa tarvitsee yleensä kopulan, samoin länsikuilinassa ensimmäisissä ja toisissa persoonissa, mutta täältä itäkuilinasta kopula on kadonnut kokonaan.</w:t>
      </w:r>
    </w:p>
    <w:p w14:paraId="18153A72" w14:textId="77777777" w:rsidR="00EF1775" w:rsidRPr="00FB4EFA" w:rsidRDefault="00EF1775" w:rsidP="00A219CF">
      <w:pPr>
        <w:ind w:firstLine="709"/>
        <w:rPr>
          <w:lang w:val="fi-FI"/>
        </w:rPr>
      </w:pPr>
      <w:r w:rsidRPr="00FB4EFA">
        <w:rPr>
          <w:lang w:val="fi-FI"/>
        </w:rPr>
        <w:t xml:space="preserve">Venekuilinassa käytetään paljon deminutiivipäätteitä. Substantiiveilla ne pohjautuvat yleensä kantasuomen </w:t>
      </w:r>
      <w:r w:rsidRPr="00FB4EFA">
        <w:rPr>
          <w:i/>
          <w:iCs/>
          <w:lang w:val="fi-FI"/>
        </w:rPr>
        <w:t>kkA</w:t>
      </w:r>
      <w:r w:rsidRPr="00FB4EFA">
        <w:rPr>
          <w:lang w:val="fi-FI"/>
        </w:rPr>
        <w:t xml:space="preserve">-päätteeseen, joka on </w:t>
      </w:r>
      <w:r w:rsidRPr="00FB4EFA">
        <w:rPr>
          <w:lang w:val="fi-FI"/>
        </w:rPr>
        <w:lastRenderedPageBreak/>
        <w:t xml:space="preserve">tuottanut kaksi säännöllistä varianttia </w:t>
      </w:r>
      <w:r w:rsidRPr="00FB4EFA">
        <w:rPr>
          <w:rFonts w:ascii="OS Jeremy" w:hAnsi="OS Jeremy"/>
          <w:lang w:val="fi-FI"/>
        </w:rPr>
        <w:t>-</w:t>
      </w:r>
      <w:r w:rsidRPr="00FB4EFA">
        <w:rPr>
          <w:rFonts w:ascii="OS Jeremy" w:hAnsi="OS Jeremy" w:cs="Cambria"/>
          <w:i/>
          <w:iCs/>
          <w:lang w:val="fi-FI"/>
        </w:rPr>
        <w:t>ко</w:t>
      </w:r>
      <w:r w:rsidRPr="00FB4EFA">
        <w:rPr>
          <w:rFonts w:ascii="OS Jeremy" w:hAnsi="OS Jeremy"/>
          <w:lang w:val="fi-FI"/>
        </w:rPr>
        <w:t xml:space="preserve"> </w:t>
      </w:r>
      <w:r w:rsidRPr="00FB4EFA">
        <w:rPr>
          <w:lang w:val="fi-FI"/>
        </w:rPr>
        <w:t xml:space="preserve">ja </w:t>
      </w:r>
      <w:r w:rsidRPr="00FB4EFA">
        <w:rPr>
          <w:rFonts w:ascii="OS Jeremy" w:hAnsi="OS Jeremy"/>
          <w:lang w:val="fi-FI"/>
        </w:rPr>
        <w:t>-</w:t>
      </w:r>
      <w:r w:rsidRPr="00FB4EFA">
        <w:rPr>
          <w:rFonts w:ascii="OS Jeremy" w:hAnsi="OS Jeremy" w:cs="Cambria"/>
          <w:i/>
          <w:iCs/>
          <w:lang w:val="fi-FI"/>
        </w:rPr>
        <w:t>це</w:t>
      </w:r>
      <w:r w:rsidRPr="00FB4EFA">
        <w:rPr>
          <w:rFonts w:ascii="OS Jeremy" w:hAnsi="OS Jeremy"/>
          <w:lang w:val="fi-FI"/>
        </w:rPr>
        <w:t>.</w:t>
      </w:r>
      <w:r w:rsidRPr="00FB4EFA">
        <w:rPr>
          <w:lang w:val="fi-FI"/>
        </w:rPr>
        <w:t xml:space="preserve"> Jälkimmäisen päätteen äänneasuun on vaikuttanut niin sanottu kolmas palatalisaatio, jossa </w:t>
      </w:r>
      <w:r w:rsidRPr="00FB4EFA">
        <w:rPr>
          <w:i/>
          <w:iCs/>
          <w:lang w:val="fi-FI"/>
        </w:rPr>
        <w:t>i</w:t>
      </w:r>
      <w:r w:rsidRPr="00FB4EFA">
        <w:rPr>
          <w:lang w:val="fi-FI"/>
        </w:rPr>
        <w:t xml:space="preserve"> on muuttanut sitä seuranneen </w:t>
      </w:r>
      <w:r w:rsidRPr="00FB4EFA">
        <w:rPr>
          <w:i/>
          <w:iCs/>
          <w:lang w:val="fi-FI"/>
        </w:rPr>
        <w:t>k</w:t>
      </w:r>
      <w:r w:rsidRPr="00FB4EFA">
        <w:rPr>
          <w:lang w:val="fi-FI"/>
        </w:rPr>
        <w:t xml:space="preserve">:n </w:t>
      </w:r>
      <w:r w:rsidRPr="00FB4EFA">
        <w:rPr>
          <w:i/>
          <w:iCs/>
          <w:lang w:val="fi-FI"/>
        </w:rPr>
        <w:t>c</w:t>
      </w:r>
      <w:r w:rsidRPr="00FB4EFA">
        <w:rPr>
          <w:lang w:val="fi-FI"/>
        </w:rPr>
        <w:t xml:space="preserve">:ksi. Monilla adjektiiveillakin on deminutiivimuotonsa, jotka muodostetaan vanhalla </w:t>
      </w:r>
      <w:r w:rsidRPr="00FB4EFA">
        <w:rPr>
          <w:i/>
          <w:iCs/>
          <w:lang w:val="fi-FI"/>
        </w:rPr>
        <w:t>icE</w:t>
      </w:r>
      <w:r w:rsidRPr="00FB4EFA">
        <w:rPr>
          <w:lang w:val="fi-FI"/>
        </w:rPr>
        <w:t>-johtimella (</w:t>
      </w:r>
      <w:r w:rsidRPr="00FB4EFA">
        <w:rPr>
          <w:rFonts w:ascii="OS Jeremy" w:hAnsi="OS Jeremy" w:cs="Cambria"/>
          <w:i/>
          <w:iCs/>
          <w:lang w:val="fi-FI"/>
        </w:rPr>
        <w:t>пи</w:t>
      </w:r>
      <w:r w:rsidRPr="00FB4EFA">
        <w:rPr>
          <w:rFonts w:ascii="OS Jeremy" w:hAnsi="OS Jeremy"/>
          <w:i/>
          <w:iCs/>
          <w:lang w:val="fi-FI"/>
        </w:rPr>
        <w:t>́</w:t>
      </w:r>
      <w:r w:rsidRPr="00FB4EFA">
        <w:rPr>
          <w:rFonts w:ascii="OS Jeremy" w:hAnsi="OS Jeremy" w:cs="Cambria"/>
          <w:i/>
          <w:iCs/>
          <w:lang w:val="fi-FI"/>
        </w:rPr>
        <w:t>неня</w:t>
      </w:r>
      <w:r w:rsidRPr="00FB4EFA">
        <w:rPr>
          <w:rFonts w:ascii="OS Jeremy" w:hAnsi="OS Jeremy"/>
          <w:lang w:val="fi-FI"/>
        </w:rPr>
        <w:t>,</w:t>
      </w:r>
      <w:r w:rsidRPr="00FB4EFA">
        <w:rPr>
          <w:lang w:val="fi-FI"/>
        </w:rPr>
        <w:t xml:space="preserve"> mon. </w:t>
      </w:r>
      <w:r w:rsidRPr="00FB4EFA">
        <w:rPr>
          <w:rFonts w:ascii="OS Jeremy" w:hAnsi="OS Jeremy" w:cs="Cambria"/>
          <w:i/>
          <w:iCs/>
          <w:lang w:val="fi-FI"/>
        </w:rPr>
        <w:t>пинежа</w:t>
      </w:r>
      <w:r w:rsidRPr="00FB4EFA">
        <w:rPr>
          <w:rFonts w:ascii="OS Jeremy" w:hAnsi="OS Jeremy"/>
          <w:i/>
          <w:iCs/>
          <w:lang w:val="fi-FI"/>
        </w:rPr>
        <w:t>́</w:t>
      </w:r>
      <w:r w:rsidRPr="00FB4EFA">
        <w:rPr>
          <w:rFonts w:ascii="OS Jeremy" w:hAnsi="OS Jeremy"/>
          <w:lang w:val="fi-FI"/>
        </w:rPr>
        <w:t xml:space="preserve"> </w:t>
      </w:r>
      <w:r w:rsidRPr="00FB4EFA">
        <w:rPr>
          <w:rFonts w:ascii="Cambria Math" w:hAnsi="Cambria Math" w:cs="Cambria Math"/>
          <w:lang w:val="fi-FI"/>
        </w:rPr>
        <w:t>⇐</w:t>
      </w:r>
      <w:r w:rsidRPr="00FB4EFA">
        <w:rPr>
          <w:lang w:val="fi-FI"/>
        </w:rPr>
        <w:t xml:space="preserve"> </w:t>
      </w:r>
      <w:r w:rsidRPr="00FB4EFA">
        <w:rPr>
          <w:rFonts w:ascii="OS Jeremy" w:hAnsi="OS Jeremy" w:cs="Cambria"/>
          <w:i/>
          <w:iCs/>
          <w:lang w:val="fi-FI"/>
        </w:rPr>
        <w:t>пинь</w:t>
      </w:r>
      <w:r w:rsidRPr="00FB4EFA">
        <w:rPr>
          <w:rFonts w:ascii="OS Jeremy" w:hAnsi="OS Jeremy"/>
          <w:lang w:val="fi-FI"/>
        </w:rPr>
        <w:t>)</w:t>
      </w:r>
      <w:r w:rsidRPr="00FB4EFA">
        <w:rPr>
          <w:lang w:val="fi-FI"/>
        </w:rPr>
        <w:t xml:space="preserve"> ja joskus senkin edessä on -</w:t>
      </w:r>
      <w:r w:rsidRPr="00FB4EFA">
        <w:rPr>
          <w:i/>
          <w:iCs/>
          <w:lang w:val="fi-FI"/>
        </w:rPr>
        <w:t>kkA</w:t>
      </w:r>
      <w:r w:rsidRPr="00FB4EFA">
        <w:rPr>
          <w:lang w:val="fi-FI"/>
        </w:rPr>
        <w:t>- (</w:t>
      </w:r>
      <w:r w:rsidRPr="00FB4EFA">
        <w:rPr>
          <w:rFonts w:ascii="OS Jeremy" w:hAnsi="OS Jeremy" w:cs="Cambria"/>
          <w:i/>
          <w:iCs/>
          <w:lang w:val="fi-FI"/>
        </w:rPr>
        <w:t>охи</w:t>
      </w:r>
      <w:r w:rsidRPr="00FB4EFA">
        <w:rPr>
          <w:rFonts w:ascii="OS Jeremy" w:hAnsi="OS Jeremy"/>
          <w:i/>
          <w:iCs/>
          <w:lang w:val="fi-FI"/>
        </w:rPr>
        <w:t>́</w:t>
      </w:r>
      <w:r w:rsidRPr="00FB4EFA">
        <w:rPr>
          <w:rFonts w:ascii="OS Jeremy" w:hAnsi="OS Jeremy" w:cs="Cambria"/>
          <w:i/>
          <w:iCs/>
          <w:lang w:val="fi-FI"/>
        </w:rPr>
        <w:t>ценя</w:t>
      </w:r>
      <w:r w:rsidRPr="00FB4EFA">
        <w:rPr>
          <w:rFonts w:ascii="OS Jeremy" w:hAnsi="OS Jeremy"/>
          <w:lang w:val="fi-FI"/>
        </w:rPr>
        <w:t xml:space="preserve"> </w:t>
      </w:r>
      <w:r w:rsidRPr="00FB4EFA">
        <w:rPr>
          <w:rFonts w:ascii="Cambria Math" w:hAnsi="Cambria Math" w:cs="Cambria Math"/>
          <w:lang w:val="fi-FI"/>
        </w:rPr>
        <w:t>⇐</w:t>
      </w:r>
      <w:r w:rsidRPr="00FB4EFA">
        <w:rPr>
          <w:lang w:val="fi-FI"/>
        </w:rPr>
        <w:t xml:space="preserve"> </w:t>
      </w:r>
      <w:r w:rsidRPr="00FB4EFA">
        <w:rPr>
          <w:rFonts w:ascii="OS Jeremy" w:hAnsi="OS Jeremy" w:cs="Cambria"/>
          <w:i/>
          <w:iCs/>
          <w:lang w:val="fi-FI"/>
        </w:rPr>
        <w:t>охи</w:t>
      </w:r>
      <w:r w:rsidRPr="00FB4EFA">
        <w:rPr>
          <w:rFonts w:ascii="OS Jeremy" w:hAnsi="OS Jeremy"/>
          <w:i/>
          <w:iCs/>
          <w:lang w:val="fi-FI"/>
        </w:rPr>
        <w:t>́</w:t>
      </w:r>
      <w:r w:rsidRPr="00FB4EFA">
        <w:rPr>
          <w:rFonts w:ascii="OS Jeremy" w:hAnsi="OS Jeremy"/>
          <w:lang w:val="fi-FI"/>
        </w:rPr>
        <w:t>)</w:t>
      </w:r>
      <w:r w:rsidRPr="00FB4EFA">
        <w:rPr>
          <w:lang w:val="fi-FI"/>
        </w:rPr>
        <w:t xml:space="preserve">. Useimmat </w:t>
      </w:r>
      <w:r w:rsidRPr="00FB4EFA">
        <w:rPr>
          <w:i/>
          <w:iCs/>
          <w:lang w:val="fi-FI"/>
        </w:rPr>
        <w:t>icE</w:t>
      </w:r>
      <w:r w:rsidRPr="00FB4EFA">
        <w:rPr>
          <w:lang w:val="fi-FI"/>
        </w:rPr>
        <w:t xml:space="preserve">-päätteiset adjektiivit eivät kuitenkaan ole deminutiiveja, esim. </w:t>
      </w:r>
      <w:r w:rsidRPr="00FB4EFA">
        <w:rPr>
          <w:rFonts w:ascii="OS Jeremy" w:hAnsi="OS Jeremy" w:cs="Cambria"/>
          <w:i/>
          <w:iCs/>
          <w:lang w:val="fi-FI"/>
        </w:rPr>
        <w:t>ко</w:t>
      </w:r>
      <w:r w:rsidRPr="00FB4EFA">
        <w:rPr>
          <w:rFonts w:ascii="OS Jeremy" w:hAnsi="OS Jeremy"/>
          <w:i/>
          <w:iCs/>
          <w:lang w:val="fi-FI"/>
        </w:rPr>
        <w:t>́</w:t>
      </w:r>
      <w:r w:rsidRPr="00FB4EFA">
        <w:rPr>
          <w:rFonts w:ascii="OS Jeremy" w:hAnsi="OS Jeremy" w:cs="Cambria"/>
          <w:i/>
          <w:iCs/>
          <w:lang w:val="fi-FI"/>
        </w:rPr>
        <w:t>лоденя</w:t>
      </w:r>
      <w:r w:rsidRPr="00FB4EFA">
        <w:rPr>
          <w:rFonts w:ascii="OS Jeremy" w:hAnsi="OS Jeremy"/>
          <w:lang w:val="fi-FI"/>
        </w:rPr>
        <w:t>,</w:t>
      </w:r>
      <w:r w:rsidRPr="00FB4EFA">
        <w:rPr>
          <w:lang w:val="fi-FI"/>
        </w:rPr>
        <w:t xml:space="preserve"> mon. </w:t>
      </w:r>
      <w:r w:rsidRPr="00FB4EFA">
        <w:rPr>
          <w:rFonts w:ascii="OS Jeremy" w:hAnsi="OS Jeremy" w:cs="Cambria"/>
          <w:i/>
          <w:iCs/>
          <w:lang w:val="fi-FI"/>
        </w:rPr>
        <w:t>колодежа</w:t>
      </w:r>
      <w:r w:rsidRPr="00FB4EFA">
        <w:rPr>
          <w:rFonts w:ascii="OS Jeremy" w:hAnsi="OS Jeremy"/>
          <w:i/>
          <w:iCs/>
          <w:lang w:val="fi-FI"/>
        </w:rPr>
        <w:t>́</w:t>
      </w:r>
      <w:r w:rsidRPr="00FB4EFA">
        <w:rPr>
          <w:rFonts w:ascii="OS Jeremy" w:hAnsi="OS Jeremy"/>
          <w:lang w:val="fi-FI"/>
        </w:rPr>
        <w:t>,</w:t>
      </w:r>
      <w:r w:rsidRPr="00FB4EFA">
        <w:rPr>
          <w:lang w:val="fi-FI"/>
        </w:rPr>
        <w:t xml:space="preserve"> ja myös eläinten poikasten nimet muodostetaan </w:t>
      </w:r>
      <w:r w:rsidRPr="00FB4EFA">
        <w:rPr>
          <w:i/>
          <w:iCs/>
          <w:lang w:val="fi-FI"/>
        </w:rPr>
        <w:t>icE</w:t>
      </w:r>
      <w:r w:rsidRPr="00FB4EFA">
        <w:rPr>
          <w:lang w:val="fi-FI"/>
        </w:rPr>
        <w:t xml:space="preserve">-päätteellä, kuten </w:t>
      </w:r>
      <w:r w:rsidRPr="00FB4EFA">
        <w:rPr>
          <w:rFonts w:ascii="OS Jeremy" w:hAnsi="OS Jeremy" w:cs="Cambria"/>
          <w:i/>
          <w:iCs/>
          <w:lang w:val="fi-FI"/>
        </w:rPr>
        <w:t>ре</w:t>
      </w:r>
      <w:r w:rsidRPr="00FB4EFA">
        <w:rPr>
          <w:rFonts w:ascii="OS Jeremy" w:hAnsi="OS Jeremy"/>
          <w:i/>
          <w:iCs/>
          <w:lang w:val="fi-FI"/>
        </w:rPr>
        <w:t>́</w:t>
      </w:r>
      <w:r w:rsidRPr="00FB4EFA">
        <w:rPr>
          <w:rFonts w:ascii="OS Jeremy" w:hAnsi="OS Jeremy" w:cs="Cambria"/>
          <w:i/>
          <w:iCs/>
          <w:lang w:val="fi-FI"/>
        </w:rPr>
        <w:t>бену</w:t>
      </w:r>
      <w:r w:rsidRPr="00FB4EFA">
        <w:rPr>
          <w:rFonts w:ascii="OS Jeremy" w:hAnsi="OS Jeremy"/>
          <w:lang w:val="fi-FI"/>
        </w:rPr>
        <w:t>,</w:t>
      </w:r>
      <w:r w:rsidRPr="00FB4EFA">
        <w:rPr>
          <w:lang w:val="fi-FI"/>
        </w:rPr>
        <w:t xml:space="preserve"> mon. </w:t>
      </w:r>
      <w:r w:rsidRPr="00FB4EFA">
        <w:rPr>
          <w:rFonts w:ascii="OS Jeremy" w:hAnsi="OS Jeremy" w:cs="Cambria"/>
          <w:i/>
          <w:iCs/>
          <w:lang w:val="fi-FI"/>
        </w:rPr>
        <w:t>ребежа</w:t>
      </w:r>
      <w:r w:rsidRPr="00FB4EFA">
        <w:rPr>
          <w:rFonts w:ascii="OS Jeremy" w:hAnsi="OS Jeremy"/>
          <w:i/>
          <w:iCs/>
          <w:lang w:val="fi-FI"/>
        </w:rPr>
        <w:t>́</w:t>
      </w:r>
      <w:r w:rsidRPr="00FB4EFA">
        <w:rPr>
          <w:rFonts w:ascii="OS Jeremy" w:hAnsi="OS Jeremy"/>
          <w:lang w:val="fi-FI"/>
        </w:rPr>
        <w:t>.</w:t>
      </w:r>
    </w:p>
    <w:p w14:paraId="016FD44D"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Rajakuilina</w:t>
      </w:r>
    </w:p>
    <w:p w14:paraId="3A3039E2" w14:textId="6C665F70" w:rsidR="00EF1775" w:rsidRPr="00FB4EFA" w:rsidRDefault="00EF1775" w:rsidP="00065E48">
      <w:pPr>
        <w:keepLines/>
        <w:suppressAutoHyphens/>
        <w:spacing w:line="240" w:lineRule="auto"/>
        <w:ind w:left="709"/>
        <w:rPr>
          <w:rFonts w:ascii="OS Jeremy" w:hAnsi="OS Jeremy"/>
          <w:sz w:val="20"/>
          <w:szCs w:val="20"/>
          <w:lang w:val="fi-FI"/>
        </w:rPr>
      </w:pPr>
      <w:r w:rsidRPr="00FB4EFA">
        <w:rPr>
          <w:rFonts w:ascii="OS Jeremy" w:hAnsi="OS Jeremy"/>
          <w:sz w:val="20"/>
          <w:szCs w:val="20"/>
          <w:lang w:val="fi-FI"/>
        </w:rPr>
        <w:t>1</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Тил</w:t>
      </w:r>
      <w:r w:rsidRPr="00FB4EFA">
        <w:rPr>
          <w:rFonts w:ascii="OS Jeremy" w:hAnsi="OS Jeremy"/>
          <w:sz w:val="20"/>
          <w:szCs w:val="20"/>
          <w:lang w:val="fi-FI"/>
        </w:rPr>
        <w:t xml:space="preserve"> </w:t>
      </w:r>
      <w:r w:rsidRPr="00FB4EFA">
        <w:rPr>
          <w:rFonts w:ascii="OS Jeremy" w:hAnsi="OS Jeremy" w:cs="Cambria"/>
          <w:sz w:val="20"/>
          <w:szCs w:val="20"/>
          <w:lang w:val="fi-FI"/>
        </w:rPr>
        <w:t>р</w:t>
      </w:r>
      <w:r w:rsidRPr="00FB4EFA">
        <w:rPr>
          <w:rFonts w:ascii="OS Jeremy" w:hAnsi="OS Jeremy"/>
          <w:sz w:val="20"/>
          <w:szCs w:val="20"/>
          <w:lang w:val="fi-FI"/>
        </w:rPr>
        <w:t>і</w:t>
      </w:r>
      <w:r w:rsidRPr="00FB4EFA">
        <w:rPr>
          <w:rFonts w:ascii="OS Jeremy" w:hAnsi="OS Jeremy" w:cs="Cambria"/>
          <w:sz w:val="20"/>
          <w:szCs w:val="20"/>
          <w:lang w:val="fi-FI"/>
        </w:rPr>
        <w:t>бе</w:t>
      </w:r>
      <w:r w:rsidRPr="00FB4EFA">
        <w:rPr>
          <w:rFonts w:ascii="OS Jeremy" w:hAnsi="OS Jeremy"/>
          <w:sz w:val="20"/>
          <w:szCs w:val="20"/>
          <w:lang w:val="fi-FI"/>
        </w:rPr>
        <w:t>́</w:t>
      </w:r>
      <w:r w:rsidRPr="00FB4EFA">
        <w:rPr>
          <w:rFonts w:ascii="OS Jeremy" w:hAnsi="OS Jeremy" w:cs="Cambria"/>
          <w:sz w:val="20"/>
          <w:szCs w:val="20"/>
          <w:lang w:val="fi-FI"/>
        </w:rPr>
        <w:t>че</w:t>
      </w:r>
      <w:r w:rsidRPr="00FB4EFA">
        <w:rPr>
          <w:rFonts w:ascii="OS Jeremy" w:hAnsi="OS Jeremy"/>
          <w:sz w:val="20"/>
          <w:szCs w:val="20"/>
          <w:lang w:val="fi-FI"/>
        </w:rPr>
        <w:t xml:space="preserve"> </w:t>
      </w:r>
      <w:r w:rsidRPr="00FB4EFA">
        <w:rPr>
          <w:rFonts w:ascii="OS Jeremy" w:hAnsi="OS Jeremy" w:cs="Cambria"/>
          <w:sz w:val="20"/>
          <w:szCs w:val="20"/>
          <w:lang w:val="fi-FI"/>
        </w:rPr>
        <w:t>у</w:t>
      </w:r>
      <w:r w:rsidRPr="00FB4EFA">
        <w:rPr>
          <w:rFonts w:ascii="OS Jeremy" w:hAnsi="OS Jeremy"/>
          <w:sz w:val="20"/>
          <w:szCs w:val="20"/>
          <w:lang w:val="fi-FI"/>
        </w:rPr>
        <w:t>́</w:t>
      </w:r>
      <w:r w:rsidRPr="00FB4EFA">
        <w:rPr>
          <w:rFonts w:ascii="OS Jeremy" w:hAnsi="OS Jeremy" w:cs="Cambria"/>
          <w:sz w:val="20"/>
          <w:szCs w:val="20"/>
          <w:lang w:val="fi-FI"/>
        </w:rPr>
        <w:t>ду</w:t>
      </w:r>
      <w:r w:rsidRPr="00FB4EFA">
        <w:rPr>
          <w:rFonts w:ascii="OS Jeremy" w:hAnsi="OS Jeremy"/>
          <w:sz w:val="20"/>
          <w:szCs w:val="20"/>
          <w:lang w:val="fi-FI"/>
        </w:rPr>
        <w:t xml:space="preserve"> </w:t>
      </w:r>
      <w:r w:rsidRPr="00FB4EFA">
        <w:rPr>
          <w:rFonts w:ascii="OS Jeremy" w:hAnsi="OS Jeremy" w:cs="Cambria"/>
          <w:sz w:val="20"/>
          <w:szCs w:val="20"/>
          <w:lang w:val="fi-FI"/>
        </w:rPr>
        <w:t>б</w:t>
      </w:r>
      <w:r w:rsidRPr="00FB4EFA">
        <w:rPr>
          <w:rFonts w:ascii="OS Jeremy" w:hAnsi="OS Jeremy"/>
          <w:sz w:val="20"/>
          <w:szCs w:val="20"/>
          <w:lang w:val="fi-FI"/>
        </w:rPr>
        <w:t>í</w:t>
      </w:r>
      <w:r w:rsidRPr="00FB4EFA">
        <w:rPr>
          <w:rFonts w:ascii="OS Jeremy" w:hAnsi="OS Jeremy" w:cs="Cambria"/>
          <w:sz w:val="20"/>
          <w:szCs w:val="20"/>
          <w:lang w:val="fi-FI"/>
        </w:rPr>
        <w:t>ля</w:t>
      </w:r>
      <w:r w:rsidRPr="00FB4EFA">
        <w:rPr>
          <w:rFonts w:ascii="OS Jeremy" w:hAnsi="OS Jeremy"/>
          <w:sz w:val="20"/>
          <w:szCs w:val="20"/>
          <w:lang w:val="fi-FI"/>
        </w:rPr>
        <w:t xml:space="preserve"> </w:t>
      </w:r>
      <w:r w:rsidRPr="00FB4EFA">
        <w:rPr>
          <w:rFonts w:ascii="OS Jeremy" w:hAnsi="OS Jeremy" w:cs="Cambria"/>
          <w:sz w:val="20"/>
          <w:szCs w:val="20"/>
          <w:lang w:val="fi-FI"/>
        </w:rPr>
        <w:t>по</w:t>
      </w:r>
      <w:r w:rsidRPr="00FB4EFA">
        <w:rPr>
          <w:rFonts w:ascii="OS Jeremy" w:hAnsi="OS Jeremy"/>
          <w:sz w:val="20"/>
          <w:szCs w:val="20"/>
          <w:lang w:val="fi-FI"/>
        </w:rPr>
        <w:t>́</w:t>
      </w:r>
      <w:r w:rsidRPr="00FB4EFA">
        <w:rPr>
          <w:rFonts w:ascii="OS Jeremy" w:hAnsi="OS Jeremy" w:cs="Cambria"/>
          <w:sz w:val="20"/>
          <w:szCs w:val="20"/>
          <w:lang w:val="fi-FI"/>
        </w:rPr>
        <w:t>су</w:t>
      </w:r>
      <w:r w:rsidRPr="00FB4EFA">
        <w:rPr>
          <w:rFonts w:ascii="OS Jeremy" w:hAnsi="OS Jeremy"/>
          <w:sz w:val="20"/>
          <w:szCs w:val="20"/>
          <w:lang w:val="fi-FI"/>
        </w:rPr>
        <w:t xml:space="preserve"> </w:t>
      </w:r>
      <w:r w:rsidRPr="00FB4EFA">
        <w:rPr>
          <w:rFonts w:ascii="OS Jeremy" w:hAnsi="OS Jeremy" w:cs="Cambria"/>
          <w:sz w:val="20"/>
          <w:szCs w:val="20"/>
          <w:lang w:val="fi-FI"/>
        </w:rPr>
        <w:t>оло</w:t>
      </w:r>
      <w:r w:rsidRPr="00FB4EFA">
        <w:rPr>
          <w:rFonts w:ascii="OS Jeremy" w:hAnsi="OS Jeremy"/>
          <w:sz w:val="20"/>
          <w:szCs w:val="20"/>
          <w:lang w:val="fi-FI"/>
        </w:rPr>
        <w:t>́</w:t>
      </w:r>
      <w:r w:rsidRPr="00FB4EFA">
        <w:rPr>
          <w:rFonts w:ascii="OS Jeremy" w:hAnsi="OS Jeremy" w:cs="Cambria"/>
          <w:sz w:val="20"/>
          <w:szCs w:val="20"/>
          <w:lang w:val="fi-FI"/>
        </w:rPr>
        <w:t>ю</w:t>
      </w:r>
      <w:r w:rsidRPr="00FB4EFA">
        <w:rPr>
          <w:rFonts w:ascii="OS Jeremy" w:hAnsi="OS Jeremy"/>
          <w:sz w:val="20"/>
          <w:szCs w:val="20"/>
          <w:lang w:val="fi-FI"/>
        </w:rPr>
        <w:t xml:space="preserve"> </w:t>
      </w:r>
      <w:r w:rsidRPr="00FB4EFA">
        <w:rPr>
          <w:rFonts w:ascii="OS Jeremy" w:hAnsi="OS Jeremy" w:cs="Cambria"/>
          <w:sz w:val="20"/>
          <w:szCs w:val="20"/>
          <w:lang w:val="fi-FI"/>
        </w:rPr>
        <w:t>лодо</w:t>
      </w:r>
      <w:r w:rsidRPr="00FB4EFA">
        <w:rPr>
          <w:rFonts w:ascii="OS Jeremy" w:hAnsi="OS Jeremy"/>
          <w:sz w:val="20"/>
          <w:szCs w:val="20"/>
          <w:lang w:val="fi-FI"/>
        </w:rPr>
        <w:t xml:space="preserve">́, </w:t>
      </w:r>
      <w:r w:rsidRPr="00FB4EFA">
        <w:rPr>
          <w:rFonts w:ascii="OS Jeremy" w:hAnsi="OS Jeremy" w:cs="Cambria"/>
          <w:sz w:val="20"/>
          <w:szCs w:val="20"/>
          <w:lang w:val="fi-FI"/>
        </w:rPr>
        <w:t>ціві</w:t>
      </w:r>
      <w:r w:rsidRPr="00FB4EFA">
        <w:rPr>
          <w:rFonts w:ascii="OS Jeremy" w:hAnsi="OS Jeremy"/>
          <w:sz w:val="20"/>
          <w:szCs w:val="20"/>
          <w:lang w:val="fi-FI"/>
        </w:rPr>
        <w:t>́</w:t>
      </w:r>
      <w:r w:rsidRPr="00FB4EFA">
        <w:rPr>
          <w:rFonts w:ascii="OS Jeremy" w:hAnsi="OS Jeremy" w:cs="Cambria"/>
          <w:sz w:val="20"/>
          <w:szCs w:val="20"/>
          <w:lang w:val="fi-FI"/>
        </w:rPr>
        <w:t>н</w:t>
      </w:r>
      <w:r w:rsidRPr="00FB4EFA">
        <w:rPr>
          <w:rFonts w:ascii="OS Jeremy" w:hAnsi="OS Jeremy"/>
          <w:sz w:val="20"/>
          <w:szCs w:val="20"/>
          <w:lang w:val="fi-FI"/>
        </w:rPr>
        <w:t xml:space="preserve"> </w:t>
      </w:r>
      <w:r w:rsidRPr="00FB4EFA">
        <w:rPr>
          <w:rFonts w:ascii="OS Jeremy" w:hAnsi="OS Jeremy" w:cs="Cambria"/>
          <w:sz w:val="20"/>
          <w:szCs w:val="20"/>
          <w:lang w:val="fi-FI"/>
        </w:rPr>
        <w:t>ма</w:t>
      </w:r>
      <w:r w:rsidRPr="00FB4EFA">
        <w:rPr>
          <w:rFonts w:ascii="OS Jeremy" w:hAnsi="OS Jeremy"/>
          <w:sz w:val="20"/>
          <w:szCs w:val="20"/>
          <w:lang w:val="fi-FI"/>
        </w:rPr>
        <w:t>́</w:t>
      </w:r>
      <w:r w:rsidRPr="00FB4EFA">
        <w:rPr>
          <w:rFonts w:ascii="OS Jeremy" w:hAnsi="OS Jeremy" w:cs="Cambria"/>
          <w:sz w:val="20"/>
          <w:szCs w:val="20"/>
          <w:lang w:val="fi-FI"/>
        </w:rPr>
        <w:t>зу</w:t>
      </w:r>
      <w:r w:rsidRPr="00FB4EFA">
        <w:rPr>
          <w:rFonts w:ascii="OS Jeremy" w:hAnsi="OS Jeremy"/>
          <w:sz w:val="20"/>
          <w:szCs w:val="20"/>
          <w:lang w:val="fi-FI"/>
        </w:rPr>
        <w:t xml:space="preserve"> </w:t>
      </w:r>
      <w:r w:rsidRPr="00FB4EFA">
        <w:rPr>
          <w:rFonts w:ascii="OS Jeremy" w:hAnsi="OS Jeremy" w:cs="Cambria"/>
          <w:sz w:val="20"/>
          <w:szCs w:val="20"/>
          <w:lang w:val="fi-FI"/>
        </w:rPr>
        <w:t>ху</w:t>
      </w:r>
      <w:r w:rsidRPr="00FB4EFA">
        <w:rPr>
          <w:rFonts w:ascii="OS Jeremy" w:hAnsi="OS Jeremy"/>
          <w:sz w:val="20"/>
          <w:szCs w:val="20"/>
          <w:lang w:val="fi-FI"/>
        </w:rPr>
        <w:t>́</w:t>
      </w:r>
      <w:r w:rsidRPr="00FB4EFA">
        <w:rPr>
          <w:rFonts w:ascii="OS Jeremy" w:hAnsi="OS Jeremy" w:cs="Cambria"/>
          <w:sz w:val="20"/>
          <w:szCs w:val="20"/>
          <w:lang w:val="fi-FI"/>
        </w:rPr>
        <w:t>ду</w:t>
      </w:r>
      <w:r w:rsidRPr="00FB4EFA">
        <w:rPr>
          <w:rFonts w:ascii="OS Jeremy" w:hAnsi="OS Jeremy"/>
          <w:sz w:val="20"/>
          <w:szCs w:val="20"/>
          <w:lang w:val="fi-FI"/>
        </w:rPr>
        <w:t xml:space="preserve"> </w:t>
      </w:r>
      <w:r w:rsidRPr="00FB4EFA">
        <w:rPr>
          <w:rFonts w:ascii="OS Jeremy" w:hAnsi="OS Jeremy" w:cs="Cambria"/>
          <w:sz w:val="20"/>
          <w:szCs w:val="20"/>
          <w:lang w:val="fi-FI"/>
        </w:rPr>
        <w:t>є</w:t>
      </w:r>
      <w:r w:rsidRPr="00FB4EFA">
        <w:rPr>
          <w:rFonts w:ascii="OS Jeremy" w:hAnsi="OS Jeremy"/>
          <w:sz w:val="20"/>
          <w:szCs w:val="20"/>
          <w:lang w:val="fi-FI"/>
        </w:rPr>
        <w:t xml:space="preserve"> </w:t>
      </w:r>
      <w:r w:rsidRPr="00FB4EFA">
        <w:rPr>
          <w:rFonts w:ascii="OS Jeremy" w:hAnsi="OS Jeremy" w:cs="Cambria"/>
          <w:sz w:val="20"/>
          <w:szCs w:val="20"/>
          <w:lang w:val="fi-FI"/>
        </w:rPr>
        <w:t>ложи</w:t>
      </w:r>
      <w:r w:rsidRPr="00FB4EFA">
        <w:rPr>
          <w:rFonts w:ascii="OS Jeremy" w:hAnsi="OS Jeremy"/>
          <w:sz w:val="20"/>
          <w:szCs w:val="20"/>
          <w:lang w:val="fi-FI"/>
        </w:rPr>
        <w:t>́</w:t>
      </w:r>
      <w:r w:rsidRPr="00FB4EFA">
        <w:rPr>
          <w:rFonts w:ascii="OS Jeremy" w:hAnsi="OS Jeremy" w:cs="Cambria"/>
          <w:sz w:val="20"/>
          <w:szCs w:val="20"/>
          <w:lang w:val="fi-FI"/>
        </w:rPr>
        <w:t>тін</w:t>
      </w:r>
      <w:r w:rsidRPr="00FB4EFA">
        <w:rPr>
          <w:rFonts w:ascii="OS Jeremy" w:hAnsi="OS Jeremy"/>
          <w:sz w:val="20"/>
          <w:szCs w:val="20"/>
          <w:lang w:val="fi-FI"/>
        </w:rPr>
        <w:t xml:space="preserve"> </w:t>
      </w:r>
      <w:r w:rsidRPr="00FB4EFA">
        <w:rPr>
          <w:rFonts w:ascii="OS Jeremy" w:hAnsi="OS Jeremy" w:cs="Cambria"/>
          <w:sz w:val="20"/>
          <w:szCs w:val="20"/>
          <w:lang w:val="fi-FI"/>
        </w:rPr>
        <w:t>джі</w:t>
      </w:r>
      <w:r w:rsidRPr="00FB4EFA">
        <w:rPr>
          <w:rFonts w:ascii="OS Jeremy" w:hAnsi="OS Jeremy"/>
          <w:sz w:val="20"/>
          <w:szCs w:val="20"/>
          <w:lang w:val="fi-FI"/>
        </w:rPr>
        <w:t>́</w:t>
      </w:r>
      <w:r w:rsidRPr="00FB4EFA">
        <w:rPr>
          <w:rFonts w:ascii="OS Jeremy" w:hAnsi="OS Jeremy" w:cs="Cambria"/>
          <w:sz w:val="20"/>
          <w:szCs w:val="20"/>
          <w:lang w:val="fi-FI"/>
        </w:rPr>
        <w:t>ля</w:t>
      </w:r>
      <w:r w:rsidRPr="00FB4EFA">
        <w:rPr>
          <w:rFonts w:ascii="OS Jeremy" w:hAnsi="OS Jeremy"/>
          <w:sz w:val="20"/>
          <w:szCs w:val="20"/>
          <w:lang w:val="fi-FI"/>
        </w:rPr>
        <w:t xml:space="preserve"> </w:t>
      </w:r>
      <w:r w:rsidRPr="00FB4EFA">
        <w:rPr>
          <w:rFonts w:ascii="OS Jeremy" w:hAnsi="OS Jeremy" w:cs="Cambria"/>
          <w:sz w:val="20"/>
          <w:szCs w:val="20"/>
          <w:lang w:val="fi-FI"/>
        </w:rPr>
        <w:t>пе</w:t>
      </w:r>
      <w:r w:rsidRPr="00FB4EFA">
        <w:rPr>
          <w:rFonts w:ascii="OS Jeremy" w:hAnsi="OS Jeremy"/>
          <w:sz w:val="20"/>
          <w:szCs w:val="20"/>
          <w:lang w:val="fi-FI"/>
        </w:rPr>
        <w:t>́</w:t>
      </w:r>
      <w:r w:rsidRPr="00FB4EFA">
        <w:rPr>
          <w:rFonts w:ascii="OS Jeremy" w:hAnsi="OS Jeremy" w:cs="Cambria"/>
          <w:sz w:val="20"/>
          <w:szCs w:val="20"/>
          <w:lang w:val="fi-FI"/>
        </w:rPr>
        <w:t>зя</w:t>
      </w:r>
      <w:r w:rsidRPr="00FB4EFA">
        <w:rPr>
          <w:rFonts w:ascii="OS Jeremy" w:hAnsi="OS Jeremy"/>
          <w:sz w:val="20"/>
          <w:szCs w:val="20"/>
          <w:lang w:val="fi-FI"/>
        </w:rPr>
        <w:t>. 2</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Пи</w:t>
      </w:r>
      <w:r w:rsidRPr="00FB4EFA">
        <w:rPr>
          <w:rFonts w:ascii="OS Jeremy" w:hAnsi="OS Jeremy"/>
          <w:sz w:val="20"/>
          <w:szCs w:val="20"/>
          <w:lang w:val="fi-FI"/>
        </w:rPr>
        <w:t>́</w:t>
      </w:r>
      <w:r w:rsidRPr="00FB4EFA">
        <w:rPr>
          <w:rFonts w:ascii="OS Jeremy" w:hAnsi="OS Jeremy" w:cs="Cambria"/>
          <w:sz w:val="20"/>
          <w:szCs w:val="20"/>
          <w:lang w:val="fi-FI"/>
        </w:rPr>
        <w:t>віжа</w:t>
      </w:r>
      <w:r w:rsidRPr="00FB4EFA">
        <w:rPr>
          <w:rFonts w:ascii="OS Jeremy" w:hAnsi="OS Jeremy"/>
          <w:sz w:val="20"/>
          <w:szCs w:val="20"/>
          <w:lang w:val="fi-FI"/>
        </w:rPr>
        <w:t>-</w:t>
      </w:r>
      <w:r w:rsidRPr="00FB4EFA">
        <w:rPr>
          <w:rFonts w:ascii="OS Jeremy" w:hAnsi="OS Jeremy" w:cs="Cambria"/>
          <w:sz w:val="20"/>
          <w:szCs w:val="20"/>
          <w:lang w:val="fi-FI"/>
        </w:rPr>
        <w:t>пісті</w:t>
      </w:r>
      <w:r w:rsidRPr="00FB4EFA">
        <w:rPr>
          <w:rFonts w:ascii="OS Jeremy" w:hAnsi="OS Jeremy"/>
          <w:sz w:val="20"/>
          <w:szCs w:val="20"/>
          <w:lang w:val="fi-FI"/>
        </w:rPr>
        <w:t>́</w:t>
      </w:r>
      <w:r w:rsidRPr="00FB4EFA">
        <w:rPr>
          <w:rFonts w:ascii="OS Jeremy" w:hAnsi="OS Jeremy" w:cs="Cambria"/>
          <w:sz w:val="20"/>
          <w:szCs w:val="20"/>
          <w:lang w:val="fi-FI"/>
        </w:rPr>
        <w:t>йжон</w:t>
      </w:r>
      <w:r w:rsidRPr="00FB4EFA">
        <w:rPr>
          <w:rFonts w:ascii="OS Jeremy" w:hAnsi="OS Jeremy"/>
          <w:sz w:val="20"/>
          <w:szCs w:val="20"/>
          <w:lang w:val="fi-FI"/>
        </w:rPr>
        <w:t xml:space="preserve">е </w:t>
      </w:r>
      <w:r w:rsidRPr="00FB4EFA">
        <w:rPr>
          <w:rFonts w:ascii="OS Jeremy" w:hAnsi="OS Jeremy" w:cs="Cambria"/>
          <w:sz w:val="20"/>
          <w:szCs w:val="20"/>
          <w:lang w:val="fi-FI"/>
        </w:rPr>
        <w:t>сов</w:t>
      </w:r>
      <w:r w:rsidRPr="00FB4EFA">
        <w:rPr>
          <w:rFonts w:ascii="OS Jeremy" w:hAnsi="OS Jeremy"/>
          <w:sz w:val="20"/>
          <w:szCs w:val="20"/>
          <w:lang w:val="fi-FI"/>
        </w:rPr>
        <w:t>-</w:t>
      </w:r>
      <w:r w:rsidRPr="00FB4EFA">
        <w:rPr>
          <w:rFonts w:ascii="OS Jeremy" w:hAnsi="OS Jeremy" w:cs="Cambria"/>
          <w:sz w:val="20"/>
          <w:szCs w:val="20"/>
          <w:lang w:val="fi-FI"/>
        </w:rPr>
        <w:t>пиве</w:t>
      </w:r>
      <w:r w:rsidRPr="00FB4EFA">
        <w:rPr>
          <w:rFonts w:ascii="OS Jeremy" w:hAnsi="OS Jeremy"/>
          <w:sz w:val="20"/>
          <w:szCs w:val="20"/>
          <w:lang w:val="fi-FI"/>
        </w:rPr>
        <w:t>́</w:t>
      </w:r>
      <w:r w:rsidRPr="00FB4EFA">
        <w:rPr>
          <w:rFonts w:ascii="OS Jeremy" w:hAnsi="OS Jeremy" w:cs="Cambria"/>
          <w:sz w:val="20"/>
          <w:szCs w:val="20"/>
          <w:lang w:val="fi-FI"/>
        </w:rPr>
        <w:t>н</w:t>
      </w:r>
      <w:r w:rsidRPr="00FB4EFA">
        <w:rPr>
          <w:rFonts w:ascii="OS Jeremy" w:hAnsi="OS Jeremy"/>
          <w:sz w:val="20"/>
          <w:szCs w:val="20"/>
          <w:lang w:val="fi-FI"/>
        </w:rPr>
        <w:t xml:space="preserve">п </w:t>
      </w:r>
      <w:r w:rsidRPr="00FB4EFA">
        <w:rPr>
          <w:rFonts w:ascii="OS Jeremy" w:hAnsi="OS Jeremy" w:cs="Cambria"/>
          <w:sz w:val="20"/>
          <w:szCs w:val="20"/>
          <w:lang w:val="fi-FI"/>
        </w:rPr>
        <w:t>сяджу</w:t>
      </w:r>
      <w:r w:rsidRPr="00FB4EFA">
        <w:rPr>
          <w:rFonts w:ascii="OS Jeremy" w:hAnsi="OS Jeremy"/>
          <w:sz w:val="20"/>
          <w:szCs w:val="20"/>
          <w:lang w:val="fi-FI"/>
        </w:rPr>
        <w:t>́</w:t>
      </w:r>
      <w:r w:rsidRPr="00FB4EFA">
        <w:rPr>
          <w:rFonts w:ascii="OS Jeremy" w:hAnsi="OS Jeremy" w:cs="Cambria"/>
          <w:sz w:val="20"/>
          <w:szCs w:val="20"/>
          <w:lang w:val="fi-FI"/>
        </w:rPr>
        <w:t>н</w:t>
      </w:r>
      <w:r w:rsidRPr="00FB4EFA">
        <w:rPr>
          <w:rFonts w:ascii="OS Jeremy" w:hAnsi="OS Jeremy"/>
          <w:sz w:val="20"/>
          <w:szCs w:val="20"/>
          <w:lang w:val="fi-FI"/>
        </w:rPr>
        <w:t xml:space="preserve"> </w:t>
      </w:r>
      <w:r w:rsidRPr="00FB4EFA">
        <w:rPr>
          <w:rFonts w:ascii="OS Jeremy" w:hAnsi="OS Jeremy" w:cs="Cambria"/>
          <w:sz w:val="20"/>
          <w:szCs w:val="20"/>
          <w:lang w:val="fi-FI"/>
        </w:rPr>
        <w:t>н</w:t>
      </w:r>
      <w:r w:rsidRPr="00FB4EFA">
        <w:rPr>
          <w:rFonts w:ascii="OS Jeremy" w:hAnsi="OS Jeremy"/>
          <w:sz w:val="20"/>
          <w:szCs w:val="20"/>
          <w:lang w:val="fi-FI"/>
        </w:rPr>
        <w:t>í</w:t>
      </w:r>
      <w:r w:rsidRPr="00FB4EFA">
        <w:rPr>
          <w:rFonts w:ascii="OS Jeremy" w:hAnsi="OS Jeremy" w:cs="Cambria"/>
          <w:sz w:val="20"/>
          <w:szCs w:val="20"/>
          <w:lang w:val="fi-FI"/>
        </w:rPr>
        <w:t>ля</w:t>
      </w:r>
      <w:r w:rsidRPr="00FB4EFA">
        <w:rPr>
          <w:rFonts w:ascii="OS Jeremy" w:hAnsi="OS Jeremy"/>
          <w:sz w:val="20"/>
          <w:szCs w:val="20"/>
          <w:lang w:val="fi-FI"/>
        </w:rPr>
        <w:t xml:space="preserve"> </w:t>
      </w:r>
      <w:r w:rsidRPr="00FB4EFA">
        <w:rPr>
          <w:rFonts w:ascii="OS Jeremy" w:hAnsi="OS Jeremy" w:cs="Cambria"/>
          <w:sz w:val="20"/>
          <w:szCs w:val="20"/>
          <w:lang w:val="fi-FI"/>
        </w:rPr>
        <w:t>неле</w:t>
      </w:r>
      <w:r w:rsidRPr="00FB4EFA">
        <w:rPr>
          <w:rFonts w:ascii="OS Jeremy" w:hAnsi="OS Jeremy"/>
          <w:sz w:val="20"/>
          <w:szCs w:val="20"/>
          <w:lang w:val="fi-FI"/>
        </w:rPr>
        <w:t xml:space="preserve">́ </w:t>
      </w:r>
      <w:r w:rsidRPr="00FB4EFA">
        <w:rPr>
          <w:rFonts w:ascii="OS Jeremy" w:hAnsi="OS Jeremy" w:cs="Cambria"/>
          <w:sz w:val="20"/>
          <w:szCs w:val="20"/>
          <w:lang w:val="fi-FI"/>
        </w:rPr>
        <w:t>ребе</w:t>
      </w:r>
      <w:r w:rsidRPr="00FB4EFA">
        <w:rPr>
          <w:rFonts w:ascii="OS Jeremy" w:hAnsi="OS Jeremy"/>
          <w:sz w:val="20"/>
          <w:szCs w:val="20"/>
          <w:lang w:val="fi-FI"/>
        </w:rPr>
        <w:t>́</w:t>
      </w:r>
      <w:r w:rsidRPr="00FB4EFA">
        <w:rPr>
          <w:rFonts w:ascii="OS Jeremy" w:hAnsi="OS Jeremy" w:cs="Cambria"/>
          <w:sz w:val="20"/>
          <w:szCs w:val="20"/>
          <w:lang w:val="fi-FI"/>
        </w:rPr>
        <w:t>л</w:t>
      </w:r>
      <w:r w:rsidRPr="00FB4EFA">
        <w:rPr>
          <w:rFonts w:ascii="OS Jeremy" w:hAnsi="OS Jeremy"/>
          <w:sz w:val="20"/>
          <w:szCs w:val="20"/>
          <w:lang w:val="fi-FI"/>
        </w:rPr>
        <w:t>і</w:t>
      </w:r>
      <w:r w:rsidRPr="00FB4EFA">
        <w:rPr>
          <w:rFonts w:ascii="OS Jeremy" w:hAnsi="OS Jeremy" w:cs="Cambria"/>
          <w:sz w:val="20"/>
          <w:szCs w:val="20"/>
          <w:lang w:val="fi-FI"/>
        </w:rPr>
        <w:t>ст</w:t>
      </w:r>
      <w:r w:rsidRPr="00FB4EFA">
        <w:rPr>
          <w:rFonts w:ascii="OS Jeremy" w:hAnsi="OS Jeremy"/>
          <w:sz w:val="20"/>
          <w:szCs w:val="20"/>
          <w:lang w:val="fi-FI"/>
        </w:rPr>
        <w:t>о. 3</w:t>
      </w:r>
      <w:r w:rsidR="00545033" w:rsidRPr="00FB4EFA">
        <w:rPr>
          <w:rFonts w:ascii="OS Jeremy" w:hAnsi="OS Jeremy"/>
          <w:sz w:val="20"/>
          <w:szCs w:val="20"/>
          <w:lang w:val="fi-FI"/>
        </w:rPr>
        <w:t>.</w:t>
      </w:r>
      <w:r w:rsidRPr="00FB4EFA">
        <w:rPr>
          <w:rFonts w:ascii="OS Jeremy" w:hAnsi="OS Jeremy"/>
          <w:sz w:val="20"/>
          <w:szCs w:val="20"/>
          <w:lang w:val="fi-FI"/>
        </w:rPr>
        <w:t xml:space="preserve"> І </w:t>
      </w:r>
      <w:r w:rsidRPr="00FB4EFA">
        <w:rPr>
          <w:rFonts w:ascii="OS Jeremy" w:hAnsi="OS Jeremy" w:cs="Cambria"/>
          <w:sz w:val="20"/>
          <w:szCs w:val="20"/>
          <w:lang w:val="fi-FI"/>
        </w:rPr>
        <w:t>лійже</w:t>
      </w:r>
      <w:r w:rsidRPr="00FB4EFA">
        <w:rPr>
          <w:rFonts w:ascii="OS Jeremy" w:hAnsi="OS Jeremy"/>
          <w:sz w:val="20"/>
          <w:szCs w:val="20"/>
          <w:lang w:val="fi-FI"/>
        </w:rPr>
        <w:t xml:space="preserve">́ </w:t>
      </w:r>
      <w:r w:rsidRPr="00FB4EFA">
        <w:rPr>
          <w:rFonts w:ascii="OS Jeremy" w:hAnsi="OS Jeremy" w:cs="Cambria"/>
          <w:sz w:val="20"/>
          <w:szCs w:val="20"/>
          <w:lang w:val="fi-FI"/>
        </w:rPr>
        <w:t>куння</w:t>
      </w:r>
      <w:r w:rsidRPr="00FB4EFA">
        <w:rPr>
          <w:rFonts w:ascii="OS Jeremy" w:hAnsi="OS Jeremy"/>
          <w:sz w:val="20"/>
          <w:szCs w:val="20"/>
          <w:lang w:val="fi-FI"/>
        </w:rPr>
        <w:t xml:space="preserve">́: </w:t>
      </w:r>
      <w:r w:rsidRPr="00FB4EFA">
        <w:rPr>
          <w:rFonts w:ascii="OS Jeremy" w:hAnsi="OS Jeremy" w:cs="Cambria"/>
          <w:sz w:val="20"/>
          <w:szCs w:val="20"/>
          <w:lang w:val="fi-FI"/>
        </w:rPr>
        <w:t>коровака</w:t>
      </w:r>
      <w:r w:rsidRPr="00FB4EFA">
        <w:rPr>
          <w:rFonts w:ascii="OS Jeremy" w:hAnsi="OS Jeremy"/>
          <w:sz w:val="20"/>
          <w:szCs w:val="20"/>
          <w:lang w:val="fi-FI"/>
        </w:rPr>
        <w:t>́ ї</w:t>
      </w:r>
      <w:r w:rsidRPr="00FB4EFA">
        <w:rPr>
          <w:rFonts w:ascii="OS Jeremy" w:hAnsi="OS Jeremy" w:cs="Cambria"/>
          <w:sz w:val="20"/>
          <w:szCs w:val="20"/>
          <w:lang w:val="fi-FI"/>
        </w:rPr>
        <w:t>л</w:t>
      </w:r>
      <w:r w:rsidRPr="00FB4EFA">
        <w:rPr>
          <w:rFonts w:ascii="OS Jeremy" w:hAnsi="OS Jeremy"/>
          <w:sz w:val="20"/>
          <w:szCs w:val="20"/>
          <w:lang w:val="fi-FI"/>
        </w:rPr>
        <w:t xml:space="preserve">е </w:t>
      </w:r>
      <w:r w:rsidRPr="00FB4EFA">
        <w:rPr>
          <w:rFonts w:ascii="OS Jeremy" w:hAnsi="OS Jeremy" w:cs="Cambria"/>
          <w:sz w:val="20"/>
          <w:szCs w:val="20"/>
          <w:lang w:val="fi-FI"/>
        </w:rPr>
        <w:t>тереві</w:t>
      </w:r>
      <w:r w:rsidRPr="00FB4EFA">
        <w:rPr>
          <w:rFonts w:ascii="OS Jeremy" w:hAnsi="OS Jeremy"/>
          <w:sz w:val="20"/>
          <w:szCs w:val="20"/>
          <w:lang w:val="fi-FI"/>
        </w:rPr>
        <w:t xml:space="preserve">́, </w:t>
      </w:r>
      <w:r w:rsidRPr="00FB4EFA">
        <w:rPr>
          <w:rFonts w:ascii="OS Jeremy" w:hAnsi="OS Jeremy" w:cs="Cambria"/>
          <w:sz w:val="20"/>
          <w:szCs w:val="20"/>
          <w:lang w:val="fi-FI"/>
        </w:rPr>
        <w:t>нона</w:t>
      </w:r>
      <w:r w:rsidRPr="00FB4EFA">
        <w:rPr>
          <w:rFonts w:ascii="OS Jeremy" w:hAnsi="OS Jeremy"/>
          <w:sz w:val="20"/>
          <w:szCs w:val="20"/>
          <w:lang w:val="fi-FI"/>
        </w:rPr>
        <w:t>́</w:t>
      </w:r>
      <w:r w:rsidRPr="00FB4EFA">
        <w:rPr>
          <w:rFonts w:ascii="OS Jeremy" w:hAnsi="OS Jeremy" w:cs="Cambria"/>
          <w:sz w:val="20"/>
          <w:szCs w:val="20"/>
          <w:lang w:val="fi-FI"/>
        </w:rPr>
        <w:t>ка</w:t>
      </w:r>
      <w:r w:rsidRPr="00FB4EFA">
        <w:rPr>
          <w:rFonts w:ascii="OS Jeremy" w:hAnsi="OS Jeremy"/>
          <w:sz w:val="20"/>
          <w:szCs w:val="20"/>
          <w:lang w:val="fi-FI"/>
        </w:rPr>
        <w:t xml:space="preserve"> </w:t>
      </w:r>
      <w:r w:rsidRPr="00FB4EFA">
        <w:rPr>
          <w:rFonts w:ascii="OS Jeremy" w:hAnsi="OS Jeremy" w:cs="Cambria"/>
          <w:sz w:val="20"/>
          <w:szCs w:val="20"/>
          <w:lang w:val="fi-FI"/>
        </w:rPr>
        <w:t>є</w:t>
      </w:r>
      <w:r w:rsidRPr="00FB4EFA">
        <w:rPr>
          <w:rFonts w:ascii="OS Jeremy" w:hAnsi="OS Jeremy"/>
          <w:sz w:val="20"/>
          <w:szCs w:val="20"/>
          <w:lang w:val="fi-FI"/>
        </w:rPr>
        <w:t xml:space="preserve"> </w:t>
      </w:r>
      <w:r w:rsidRPr="00FB4EFA">
        <w:rPr>
          <w:rFonts w:ascii="OS Jeremy" w:hAnsi="OS Jeremy" w:cs="Cambria"/>
          <w:sz w:val="20"/>
          <w:szCs w:val="20"/>
          <w:lang w:val="fi-FI"/>
        </w:rPr>
        <w:t>хили</w:t>
      </w:r>
      <w:r w:rsidRPr="00FB4EFA">
        <w:rPr>
          <w:rFonts w:ascii="OS Jeremy" w:hAnsi="OS Jeremy"/>
          <w:sz w:val="20"/>
          <w:szCs w:val="20"/>
          <w:lang w:val="fi-FI"/>
        </w:rPr>
        <w:t>́</w:t>
      </w:r>
      <w:r w:rsidRPr="00FB4EFA">
        <w:rPr>
          <w:rFonts w:ascii="OS Jeremy" w:hAnsi="OS Jeremy" w:cs="Cambria"/>
          <w:sz w:val="20"/>
          <w:szCs w:val="20"/>
          <w:lang w:val="fi-FI"/>
        </w:rPr>
        <w:t>ця</w:t>
      </w:r>
      <w:r w:rsidRPr="00FB4EFA">
        <w:rPr>
          <w:rFonts w:ascii="OS Jeremy" w:hAnsi="OS Jeremy"/>
          <w:sz w:val="20"/>
          <w:szCs w:val="20"/>
          <w:lang w:val="fi-FI"/>
        </w:rPr>
        <w:t xml:space="preserve"> </w:t>
      </w:r>
      <w:r w:rsidRPr="00FB4EFA">
        <w:rPr>
          <w:rFonts w:ascii="OS Jeremy" w:hAnsi="OS Jeremy" w:cs="Cambria"/>
          <w:sz w:val="20"/>
          <w:szCs w:val="20"/>
          <w:lang w:val="fi-FI"/>
        </w:rPr>
        <w:t>мста</w:t>
      </w:r>
      <w:r w:rsidRPr="00FB4EFA">
        <w:rPr>
          <w:rFonts w:ascii="OS Jeremy" w:hAnsi="OS Jeremy"/>
          <w:sz w:val="20"/>
          <w:szCs w:val="20"/>
          <w:lang w:val="fi-FI"/>
        </w:rPr>
        <w:t xml:space="preserve">, </w:t>
      </w:r>
      <w:r w:rsidRPr="00FB4EFA">
        <w:rPr>
          <w:rFonts w:ascii="OS Jeremy" w:hAnsi="OS Jeremy" w:cs="Cambria"/>
          <w:sz w:val="20"/>
          <w:szCs w:val="20"/>
          <w:lang w:val="fi-FI"/>
        </w:rPr>
        <w:t>худа</w:t>
      </w:r>
      <w:r w:rsidRPr="00FB4EFA">
        <w:rPr>
          <w:rFonts w:ascii="OS Jeremy" w:hAnsi="OS Jeremy"/>
          <w:sz w:val="20"/>
          <w:szCs w:val="20"/>
          <w:lang w:val="fi-FI"/>
        </w:rPr>
        <w:t>́</w:t>
      </w:r>
      <w:r w:rsidRPr="00FB4EFA">
        <w:rPr>
          <w:rFonts w:ascii="OS Jeremy" w:hAnsi="OS Jeremy" w:cs="Cambria"/>
          <w:sz w:val="20"/>
          <w:szCs w:val="20"/>
          <w:lang w:val="fi-FI"/>
        </w:rPr>
        <w:t>ка</w:t>
      </w:r>
      <w:r w:rsidRPr="00FB4EFA">
        <w:rPr>
          <w:rFonts w:ascii="OS Jeremy" w:hAnsi="OS Jeremy"/>
          <w:sz w:val="20"/>
          <w:szCs w:val="20"/>
          <w:lang w:val="fi-FI"/>
        </w:rPr>
        <w:t xml:space="preserve"> </w:t>
      </w:r>
      <w:r w:rsidRPr="00FB4EFA">
        <w:rPr>
          <w:rFonts w:ascii="OS Jeremy" w:hAnsi="OS Jeremy" w:cs="Cambria"/>
          <w:sz w:val="20"/>
          <w:szCs w:val="20"/>
          <w:lang w:val="fi-FI"/>
        </w:rPr>
        <w:t>колодіжа</w:t>
      </w:r>
      <w:r w:rsidRPr="00FB4EFA">
        <w:rPr>
          <w:rFonts w:ascii="OS Jeremy" w:hAnsi="OS Jeremy"/>
          <w:sz w:val="20"/>
          <w:szCs w:val="20"/>
          <w:lang w:val="fi-FI"/>
        </w:rPr>
        <w:t xml:space="preserve">́, </w:t>
      </w:r>
      <w:r w:rsidRPr="00FB4EFA">
        <w:rPr>
          <w:rFonts w:ascii="OS Jeremy" w:hAnsi="OS Jeremy" w:cs="Cambria"/>
          <w:sz w:val="20"/>
          <w:szCs w:val="20"/>
          <w:lang w:val="fi-FI"/>
        </w:rPr>
        <w:t>ху</w:t>
      </w:r>
      <w:r w:rsidRPr="00FB4EFA">
        <w:rPr>
          <w:rFonts w:ascii="OS Jeremy" w:hAnsi="OS Jeremy"/>
          <w:sz w:val="20"/>
          <w:szCs w:val="20"/>
          <w:lang w:val="fi-FI"/>
        </w:rPr>
        <w:t>́</w:t>
      </w:r>
      <w:r w:rsidRPr="00FB4EFA">
        <w:rPr>
          <w:rFonts w:ascii="OS Jeremy" w:hAnsi="OS Jeremy" w:cs="Cambria"/>
          <w:sz w:val="20"/>
          <w:szCs w:val="20"/>
          <w:lang w:val="fi-FI"/>
        </w:rPr>
        <w:t>дя</w:t>
      </w:r>
      <w:r w:rsidRPr="00FB4EFA">
        <w:rPr>
          <w:rFonts w:ascii="OS Jeremy" w:hAnsi="OS Jeremy"/>
          <w:sz w:val="20"/>
          <w:szCs w:val="20"/>
          <w:lang w:val="fi-FI"/>
        </w:rPr>
        <w:t>-</w:t>
      </w:r>
      <w:r w:rsidRPr="00FB4EFA">
        <w:rPr>
          <w:rFonts w:ascii="OS Jeremy" w:hAnsi="OS Jeremy" w:cs="Cambria"/>
          <w:sz w:val="20"/>
          <w:szCs w:val="20"/>
          <w:lang w:val="fi-FI"/>
        </w:rPr>
        <w:t>біча</w:t>
      </w:r>
      <w:r w:rsidRPr="00FB4EFA">
        <w:rPr>
          <w:rFonts w:ascii="OS Jeremy" w:hAnsi="OS Jeremy"/>
          <w:sz w:val="20"/>
          <w:szCs w:val="20"/>
          <w:lang w:val="fi-FI"/>
        </w:rPr>
        <w:t xml:space="preserve">́ </w:t>
      </w:r>
      <w:r w:rsidRPr="00FB4EFA">
        <w:rPr>
          <w:rFonts w:ascii="OS Jeremy" w:hAnsi="OS Jeremy" w:cs="Cambria"/>
          <w:sz w:val="20"/>
          <w:szCs w:val="20"/>
          <w:lang w:val="fi-FI"/>
        </w:rPr>
        <w:t>волога</w:t>
      </w:r>
      <w:r w:rsidRPr="00FB4EFA">
        <w:rPr>
          <w:rFonts w:ascii="OS Jeremy" w:hAnsi="OS Jeremy"/>
          <w:sz w:val="20"/>
          <w:szCs w:val="20"/>
          <w:lang w:val="fi-FI"/>
        </w:rPr>
        <w:t>́, о</w:t>
      </w:r>
      <w:r w:rsidRPr="00FB4EFA">
        <w:rPr>
          <w:rFonts w:ascii="OS Jeremy" w:hAnsi="OS Jeremy" w:cs="Cambria"/>
          <w:sz w:val="20"/>
          <w:szCs w:val="20"/>
          <w:lang w:val="fi-FI"/>
        </w:rPr>
        <w:t>логака</w:t>
      </w:r>
      <w:r w:rsidRPr="00FB4EFA">
        <w:rPr>
          <w:rFonts w:ascii="OS Jeremy" w:hAnsi="OS Jeremy"/>
          <w:sz w:val="20"/>
          <w:szCs w:val="20"/>
          <w:lang w:val="fi-FI"/>
        </w:rPr>
        <w:t xml:space="preserve">́ </w:t>
      </w:r>
      <w:r w:rsidRPr="00FB4EFA">
        <w:rPr>
          <w:rFonts w:ascii="OS Jeremy" w:hAnsi="OS Jeremy" w:cs="Cambria"/>
          <w:sz w:val="20"/>
          <w:szCs w:val="20"/>
          <w:lang w:val="fi-FI"/>
        </w:rPr>
        <w:t>пиніжа</w:t>
      </w:r>
      <w:r w:rsidRPr="00FB4EFA">
        <w:rPr>
          <w:rFonts w:ascii="OS Jeremy" w:hAnsi="OS Jeremy"/>
          <w:sz w:val="20"/>
          <w:szCs w:val="20"/>
          <w:lang w:val="fi-FI"/>
        </w:rPr>
        <w:t xml:space="preserve">́, </w:t>
      </w:r>
      <w:r w:rsidRPr="00FB4EFA">
        <w:rPr>
          <w:rFonts w:ascii="OS Jeremy" w:hAnsi="OS Jeremy" w:cs="Cambria"/>
          <w:sz w:val="20"/>
          <w:szCs w:val="20"/>
          <w:lang w:val="fi-FI"/>
        </w:rPr>
        <w:t>я</w:t>
      </w:r>
      <w:r w:rsidRPr="00FB4EFA">
        <w:rPr>
          <w:rFonts w:ascii="OS Jeremy" w:hAnsi="OS Jeremy"/>
          <w:sz w:val="20"/>
          <w:szCs w:val="20"/>
          <w:lang w:val="fi-FI"/>
        </w:rPr>
        <w:t>́</w:t>
      </w:r>
      <w:r w:rsidRPr="00FB4EFA">
        <w:rPr>
          <w:rFonts w:ascii="OS Jeremy" w:hAnsi="OS Jeremy" w:cs="Cambria"/>
          <w:sz w:val="20"/>
          <w:szCs w:val="20"/>
          <w:lang w:val="fi-FI"/>
        </w:rPr>
        <w:t>кийця</w:t>
      </w:r>
      <w:r w:rsidRPr="00FB4EFA">
        <w:rPr>
          <w:rFonts w:ascii="OS Jeremy" w:hAnsi="OS Jeremy"/>
          <w:sz w:val="20"/>
          <w:szCs w:val="20"/>
          <w:lang w:val="fi-FI"/>
        </w:rPr>
        <w:t xml:space="preserve"> </w:t>
      </w:r>
      <w:r w:rsidRPr="00FB4EFA">
        <w:rPr>
          <w:rFonts w:ascii="OS Jeremy" w:hAnsi="OS Jeremy" w:cs="Cambria"/>
          <w:sz w:val="20"/>
          <w:szCs w:val="20"/>
          <w:lang w:val="fi-FI"/>
        </w:rPr>
        <w:t>вохи</w:t>
      </w:r>
      <w:r w:rsidRPr="00FB4EFA">
        <w:rPr>
          <w:rFonts w:ascii="OS Jeremy" w:hAnsi="OS Jeremy"/>
          <w:sz w:val="20"/>
          <w:szCs w:val="20"/>
          <w:lang w:val="fi-FI"/>
        </w:rPr>
        <w:t>́</w:t>
      </w:r>
      <w:r w:rsidRPr="00FB4EFA">
        <w:rPr>
          <w:rFonts w:ascii="OS Jeremy" w:hAnsi="OS Jeremy" w:cs="Cambria"/>
          <w:sz w:val="20"/>
          <w:szCs w:val="20"/>
          <w:lang w:val="fi-FI"/>
        </w:rPr>
        <w:t>ціжа</w:t>
      </w:r>
      <w:r w:rsidRPr="00FB4EFA">
        <w:rPr>
          <w:rFonts w:ascii="OS Jeremy" w:hAnsi="OS Jeremy"/>
          <w:sz w:val="20"/>
          <w:szCs w:val="20"/>
          <w:lang w:val="fi-FI"/>
        </w:rPr>
        <w:t>. 4</w:t>
      </w:r>
      <w:r w:rsidR="00545033" w:rsidRPr="00FB4EFA">
        <w:rPr>
          <w:rFonts w:ascii="OS Jeremy" w:hAnsi="OS Jeremy"/>
          <w:sz w:val="20"/>
          <w:szCs w:val="20"/>
          <w:lang w:val="fi-FI"/>
        </w:rPr>
        <w:t>.</w:t>
      </w:r>
      <w:r w:rsidRPr="00FB4EFA">
        <w:rPr>
          <w:rFonts w:ascii="OS Jeremy" w:hAnsi="OS Jeremy"/>
          <w:sz w:val="20"/>
          <w:szCs w:val="20"/>
          <w:lang w:val="fi-FI"/>
        </w:rPr>
        <w:t xml:space="preserve"> І</w:t>
      </w:r>
      <w:r w:rsidRPr="00FB4EFA">
        <w:rPr>
          <w:rFonts w:ascii="OS Jeremy" w:hAnsi="OS Jeremy" w:cs="Cambria"/>
          <w:sz w:val="20"/>
          <w:szCs w:val="20"/>
          <w:lang w:val="fi-FI"/>
        </w:rPr>
        <w:t>мі</w:t>
      </w:r>
      <w:r w:rsidRPr="00FB4EFA">
        <w:rPr>
          <w:rFonts w:ascii="OS Jeremy" w:hAnsi="OS Jeremy"/>
          <w:sz w:val="20"/>
          <w:szCs w:val="20"/>
          <w:lang w:val="fi-FI"/>
        </w:rPr>
        <w:t>́</w:t>
      </w:r>
      <w:r w:rsidRPr="00FB4EFA">
        <w:rPr>
          <w:rFonts w:ascii="OS Jeremy" w:hAnsi="OS Jeremy" w:cs="Cambria"/>
          <w:sz w:val="20"/>
          <w:szCs w:val="20"/>
          <w:lang w:val="fi-FI"/>
        </w:rPr>
        <w:t>делеся</w:t>
      </w:r>
      <w:r w:rsidRPr="00FB4EFA">
        <w:rPr>
          <w:rFonts w:ascii="OS Jeremy" w:hAnsi="OS Jeremy"/>
          <w:sz w:val="20"/>
          <w:szCs w:val="20"/>
          <w:lang w:val="fi-FI"/>
        </w:rPr>
        <w:t xml:space="preserve"> ї</w:t>
      </w:r>
      <w:r w:rsidRPr="00FB4EFA">
        <w:rPr>
          <w:rFonts w:ascii="OS Jeremy" w:hAnsi="OS Jeremy" w:cs="Cambria"/>
          <w:sz w:val="20"/>
          <w:szCs w:val="20"/>
          <w:lang w:val="fi-FI"/>
        </w:rPr>
        <w:t>де</w:t>
      </w:r>
      <w:r w:rsidRPr="00FB4EFA">
        <w:rPr>
          <w:rFonts w:ascii="OS Jeremy" w:hAnsi="OS Jeremy"/>
          <w:sz w:val="20"/>
          <w:szCs w:val="20"/>
          <w:lang w:val="fi-FI"/>
        </w:rPr>
        <w:t xml:space="preserve">́ </w:t>
      </w:r>
      <w:r w:rsidRPr="00FB4EFA">
        <w:rPr>
          <w:rFonts w:ascii="OS Jeremy" w:hAnsi="OS Jeremy" w:cs="Cambria"/>
          <w:sz w:val="20"/>
          <w:szCs w:val="20"/>
          <w:lang w:val="fi-FI"/>
        </w:rPr>
        <w:t>р</w:t>
      </w:r>
      <w:r w:rsidRPr="00FB4EFA">
        <w:rPr>
          <w:rFonts w:ascii="OS Jeremy" w:hAnsi="OS Jeremy"/>
          <w:sz w:val="20"/>
          <w:szCs w:val="20"/>
          <w:lang w:val="fi-FI"/>
        </w:rPr>
        <w:t>і</w:t>
      </w:r>
      <w:r w:rsidRPr="00FB4EFA">
        <w:rPr>
          <w:rFonts w:ascii="OS Jeremy" w:hAnsi="OS Jeremy" w:cs="Cambria"/>
          <w:sz w:val="20"/>
          <w:szCs w:val="20"/>
          <w:lang w:val="fi-FI"/>
        </w:rPr>
        <w:t>б</w:t>
      </w:r>
      <w:r w:rsidRPr="00FB4EFA">
        <w:rPr>
          <w:rFonts w:ascii="OS Jeremy" w:hAnsi="OS Jeremy"/>
          <w:sz w:val="20"/>
          <w:szCs w:val="20"/>
          <w:lang w:val="fi-FI"/>
        </w:rPr>
        <w:t>-</w:t>
      </w:r>
      <w:r w:rsidRPr="00FB4EFA">
        <w:rPr>
          <w:rFonts w:ascii="OS Jeremy" w:hAnsi="OS Jeremy" w:cs="Cambria"/>
          <w:sz w:val="20"/>
          <w:szCs w:val="20"/>
          <w:lang w:val="fi-FI"/>
        </w:rPr>
        <w:t>оме</w:t>
      </w:r>
      <w:r w:rsidRPr="00FB4EFA">
        <w:rPr>
          <w:rFonts w:ascii="OS Jeremy" w:hAnsi="OS Jeremy"/>
          <w:sz w:val="20"/>
          <w:szCs w:val="20"/>
          <w:lang w:val="fi-FI"/>
        </w:rPr>
        <w:t>́</w:t>
      </w:r>
      <w:r w:rsidRPr="00FB4EFA">
        <w:rPr>
          <w:rFonts w:ascii="OS Jeremy" w:hAnsi="OS Jeremy" w:cs="Cambria"/>
          <w:sz w:val="20"/>
          <w:szCs w:val="20"/>
          <w:lang w:val="fi-FI"/>
        </w:rPr>
        <w:t>че</w:t>
      </w:r>
      <w:r w:rsidRPr="00FB4EFA">
        <w:rPr>
          <w:rFonts w:ascii="OS Jeremy" w:hAnsi="OS Jeremy"/>
          <w:sz w:val="20"/>
          <w:szCs w:val="20"/>
          <w:lang w:val="fi-FI"/>
        </w:rPr>
        <w:t xml:space="preserve"> </w:t>
      </w:r>
      <w:r w:rsidRPr="00FB4EFA">
        <w:rPr>
          <w:rFonts w:ascii="OS Jeremy" w:hAnsi="OS Jeremy" w:cs="Cambria"/>
          <w:sz w:val="20"/>
          <w:szCs w:val="20"/>
          <w:lang w:val="fi-FI"/>
        </w:rPr>
        <w:t>є</w:t>
      </w:r>
      <w:r w:rsidRPr="00FB4EFA">
        <w:rPr>
          <w:rFonts w:ascii="OS Jeremy" w:hAnsi="OS Jeremy"/>
          <w:sz w:val="20"/>
          <w:szCs w:val="20"/>
          <w:lang w:val="fi-FI"/>
        </w:rPr>
        <w:t xml:space="preserve"> </w:t>
      </w:r>
      <w:r w:rsidRPr="00FB4EFA">
        <w:rPr>
          <w:rFonts w:ascii="OS Jeremy" w:hAnsi="OS Jeremy" w:cs="Cambria"/>
          <w:sz w:val="20"/>
          <w:szCs w:val="20"/>
          <w:lang w:val="fi-FI"/>
        </w:rPr>
        <w:t>н</w:t>
      </w:r>
      <w:r w:rsidRPr="00FB4EFA">
        <w:rPr>
          <w:rFonts w:ascii="OS Jeremy" w:hAnsi="OS Jeremy"/>
          <w:sz w:val="20"/>
          <w:szCs w:val="20"/>
          <w:lang w:val="fi-FI"/>
        </w:rPr>
        <w:t>í</w:t>
      </w:r>
      <w:r w:rsidRPr="00FB4EFA">
        <w:rPr>
          <w:rFonts w:ascii="OS Jeremy" w:hAnsi="OS Jeremy" w:cs="Cambria"/>
          <w:sz w:val="20"/>
          <w:szCs w:val="20"/>
          <w:lang w:val="fi-FI"/>
        </w:rPr>
        <w:t>ле</w:t>
      </w:r>
      <w:r w:rsidRPr="00FB4EFA">
        <w:rPr>
          <w:rFonts w:ascii="OS Jeremy" w:hAnsi="OS Jeremy"/>
          <w:sz w:val="20"/>
          <w:szCs w:val="20"/>
          <w:lang w:val="fi-FI"/>
        </w:rPr>
        <w:t xml:space="preserve"> </w:t>
      </w:r>
      <w:r w:rsidRPr="00FB4EFA">
        <w:rPr>
          <w:rFonts w:ascii="OS Jeremy" w:hAnsi="OS Jeremy" w:cs="Cambria"/>
          <w:sz w:val="20"/>
          <w:szCs w:val="20"/>
          <w:lang w:val="fi-FI"/>
        </w:rPr>
        <w:t>здя</w:t>
      </w:r>
      <w:r w:rsidRPr="00FB4EFA">
        <w:rPr>
          <w:rFonts w:ascii="OS Jeremy" w:hAnsi="OS Jeremy"/>
          <w:sz w:val="20"/>
          <w:szCs w:val="20"/>
          <w:lang w:val="fi-FI"/>
        </w:rPr>
        <w:t xml:space="preserve"> </w:t>
      </w:r>
      <w:r w:rsidRPr="00FB4EFA">
        <w:rPr>
          <w:rFonts w:ascii="OS Jeremy" w:hAnsi="OS Jeremy" w:cs="Cambria"/>
          <w:sz w:val="20"/>
          <w:szCs w:val="20"/>
          <w:lang w:val="fi-FI"/>
        </w:rPr>
        <w:t>і</w:t>
      </w:r>
      <w:r w:rsidRPr="00FB4EFA">
        <w:rPr>
          <w:rFonts w:ascii="OS Jeremy" w:hAnsi="OS Jeremy"/>
          <w:sz w:val="20"/>
          <w:szCs w:val="20"/>
          <w:lang w:val="fi-FI"/>
        </w:rPr>
        <w:t>́</w:t>
      </w:r>
      <w:r w:rsidRPr="00FB4EFA">
        <w:rPr>
          <w:rFonts w:ascii="OS Jeremy" w:hAnsi="OS Jeremy" w:cs="Cambria"/>
          <w:sz w:val="20"/>
          <w:szCs w:val="20"/>
          <w:lang w:val="fi-FI"/>
        </w:rPr>
        <w:t>лічася</w:t>
      </w:r>
      <w:r w:rsidRPr="00FB4EFA">
        <w:rPr>
          <w:rFonts w:ascii="OS Jeremy" w:hAnsi="OS Jeremy"/>
          <w:sz w:val="20"/>
          <w:szCs w:val="20"/>
          <w:lang w:val="fi-FI"/>
        </w:rPr>
        <w:t>. 5</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Є</w:t>
      </w:r>
      <w:r w:rsidRPr="00FB4EFA">
        <w:rPr>
          <w:rFonts w:ascii="OS Jeremy" w:hAnsi="OS Jeremy"/>
          <w:sz w:val="20"/>
          <w:szCs w:val="20"/>
          <w:lang w:val="fi-FI"/>
        </w:rPr>
        <w:t xml:space="preserve"> </w:t>
      </w:r>
      <w:r w:rsidRPr="00FB4EFA">
        <w:rPr>
          <w:rFonts w:ascii="OS Jeremy" w:hAnsi="OS Jeremy" w:cs="Cambria"/>
          <w:sz w:val="20"/>
          <w:szCs w:val="20"/>
          <w:lang w:val="fi-FI"/>
        </w:rPr>
        <w:t>ра</w:t>
      </w:r>
      <w:r w:rsidRPr="00FB4EFA">
        <w:rPr>
          <w:rFonts w:ascii="OS Jeremy" w:hAnsi="OS Jeremy"/>
          <w:sz w:val="20"/>
          <w:szCs w:val="20"/>
          <w:lang w:val="fi-FI"/>
        </w:rPr>
        <w:t>́</w:t>
      </w:r>
      <w:r w:rsidRPr="00FB4EFA">
        <w:rPr>
          <w:rFonts w:ascii="OS Jeremy" w:hAnsi="OS Jeremy" w:cs="Cambria"/>
          <w:sz w:val="20"/>
          <w:szCs w:val="20"/>
          <w:lang w:val="fi-FI"/>
        </w:rPr>
        <w:t>ц</w:t>
      </w:r>
      <w:r w:rsidRPr="00FB4EFA">
        <w:rPr>
          <w:rFonts w:ascii="OS Jeremy" w:hAnsi="OS Jeremy"/>
          <w:sz w:val="20"/>
          <w:szCs w:val="20"/>
          <w:lang w:val="fi-FI"/>
        </w:rPr>
        <w:t>і</w:t>
      </w:r>
      <w:r w:rsidRPr="00FB4EFA">
        <w:rPr>
          <w:rFonts w:ascii="OS Jeremy" w:hAnsi="OS Jeremy" w:cs="Cambria"/>
          <w:sz w:val="20"/>
          <w:szCs w:val="20"/>
          <w:lang w:val="fi-FI"/>
        </w:rPr>
        <w:t>зн</w:t>
      </w:r>
      <w:r w:rsidRPr="00FB4EFA">
        <w:rPr>
          <w:rFonts w:ascii="OS Jeremy" w:hAnsi="OS Jeremy"/>
          <w:sz w:val="20"/>
          <w:szCs w:val="20"/>
          <w:lang w:val="fi-FI"/>
        </w:rPr>
        <w:t xml:space="preserve"> </w:t>
      </w:r>
      <w:r w:rsidRPr="00FB4EFA">
        <w:rPr>
          <w:rFonts w:ascii="OS Jeremy" w:hAnsi="OS Jeremy" w:cs="Cambria"/>
          <w:sz w:val="20"/>
          <w:szCs w:val="20"/>
          <w:lang w:val="fi-FI"/>
        </w:rPr>
        <w:t>р</w:t>
      </w:r>
      <w:r w:rsidRPr="00FB4EFA">
        <w:rPr>
          <w:rFonts w:ascii="OS Jeremy" w:hAnsi="OS Jeremy"/>
          <w:sz w:val="20"/>
          <w:szCs w:val="20"/>
          <w:lang w:val="fi-FI"/>
        </w:rPr>
        <w:t>і</w:t>
      </w:r>
      <w:r w:rsidRPr="00FB4EFA">
        <w:rPr>
          <w:rFonts w:ascii="OS Jeremy" w:hAnsi="OS Jeremy" w:cs="Cambria"/>
          <w:sz w:val="20"/>
          <w:szCs w:val="20"/>
          <w:lang w:val="fi-FI"/>
        </w:rPr>
        <w:t>бе</w:t>
      </w:r>
      <w:r w:rsidRPr="00FB4EFA">
        <w:rPr>
          <w:rFonts w:ascii="OS Jeremy" w:hAnsi="OS Jeremy"/>
          <w:sz w:val="20"/>
          <w:szCs w:val="20"/>
          <w:lang w:val="fi-FI"/>
        </w:rPr>
        <w:t>́</w:t>
      </w:r>
      <w:r w:rsidRPr="00FB4EFA">
        <w:rPr>
          <w:rFonts w:ascii="OS Jeremy" w:hAnsi="OS Jeremy" w:cs="Cambria"/>
          <w:sz w:val="20"/>
          <w:szCs w:val="20"/>
          <w:lang w:val="fi-FI"/>
        </w:rPr>
        <w:t>че</w:t>
      </w:r>
      <w:r w:rsidRPr="00FB4EFA">
        <w:rPr>
          <w:rFonts w:ascii="OS Jeremy" w:hAnsi="OS Jeremy"/>
          <w:sz w:val="20"/>
          <w:szCs w:val="20"/>
          <w:lang w:val="fi-FI"/>
        </w:rPr>
        <w:t xml:space="preserve"> </w:t>
      </w:r>
      <w:r w:rsidRPr="00FB4EFA">
        <w:rPr>
          <w:rFonts w:ascii="OS Jeremy" w:hAnsi="OS Jeremy" w:cs="Cambria"/>
          <w:sz w:val="20"/>
          <w:szCs w:val="20"/>
          <w:lang w:val="fi-FI"/>
        </w:rPr>
        <w:t>нежу</w:t>
      </w:r>
      <w:r w:rsidRPr="00FB4EFA">
        <w:rPr>
          <w:rFonts w:ascii="OS Jeremy" w:hAnsi="OS Jeremy" w:cstheme="minorHAnsi"/>
          <w:sz w:val="20"/>
          <w:szCs w:val="20"/>
          <w:lang w:val="fi-FI"/>
        </w:rPr>
        <w:t>́</w:t>
      </w:r>
      <w:r w:rsidRPr="00FB4EFA">
        <w:rPr>
          <w:rFonts w:ascii="OS Jeremy" w:hAnsi="OS Jeremy" w:cs="Cambria"/>
          <w:sz w:val="20"/>
          <w:szCs w:val="20"/>
          <w:lang w:val="fi-FI"/>
        </w:rPr>
        <w:t>тя</w:t>
      </w:r>
      <w:r w:rsidRPr="00FB4EFA">
        <w:rPr>
          <w:rFonts w:ascii="OS Jeremy" w:hAnsi="OS Jeremy"/>
          <w:sz w:val="20"/>
          <w:szCs w:val="20"/>
          <w:lang w:val="fi-FI"/>
        </w:rPr>
        <w:t xml:space="preserve"> </w:t>
      </w:r>
      <w:r w:rsidRPr="00FB4EFA">
        <w:rPr>
          <w:rFonts w:ascii="OS Jeremy" w:hAnsi="OS Jeremy" w:cs="Cambria"/>
          <w:sz w:val="20"/>
          <w:szCs w:val="20"/>
          <w:lang w:val="fi-FI"/>
        </w:rPr>
        <w:t>ла</w:t>
      </w:r>
      <w:r w:rsidRPr="00FB4EFA">
        <w:rPr>
          <w:rFonts w:ascii="OS Jeremy" w:hAnsi="OS Jeremy"/>
          <w:sz w:val="20"/>
          <w:szCs w:val="20"/>
          <w:lang w:val="fi-FI"/>
        </w:rPr>
        <w:t>́</w:t>
      </w:r>
      <w:r w:rsidRPr="00FB4EFA">
        <w:rPr>
          <w:rFonts w:ascii="OS Jeremy" w:hAnsi="OS Jeremy" w:cs="Cambria"/>
          <w:sz w:val="20"/>
          <w:szCs w:val="20"/>
          <w:lang w:val="fi-FI"/>
        </w:rPr>
        <w:t>ччяза</w:t>
      </w:r>
      <w:r w:rsidRPr="00FB4EFA">
        <w:rPr>
          <w:rFonts w:ascii="OS Jeremy" w:hAnsi="OS Jeremy"/>
          <w:sz w:val="20"/>
          <w:szCs w:val="20"/>
          <w:lang w:val="fi-FI"/>
        </w:rPr>
        <w:t xml:space="preserve"> </w:t>
      </w:r>
      <w:r w:rsidRPr="00FB4EFA">
        <w:rPr>
          <w:rFonts w:ascii="OS Jeremy" w:hAnsi="OS Jeremy" w:cs="Cambria"/>
          <w:sz w:val="20"/>
          <w:szCs w:val="20"/>
          <w:lang w:val="fi-FI"/>
        </w:rPr>
        <w:t>коя</w:t>
      </w:r>
      <w:r w:rsidRPr="00FB4EFA">
        <w:rPr>
          <w:rFonts w:ascii="OS Jeremy" w:hAnsi="OS Jeremy"/>
          <w:sz w:val="20"/>
          <w:szCs w:val="20"/>
          <w:lang w:val="fi-FI"/>
        </w:rPr>
        <w:t>́</w:t>
      </w:r>
      <w:r w:rsidRPr="00FB4EFA">
        <w:rPr>
          <w:rFonts w:ascii="OS Jeremy" w:hAnsi="OS Jeremy" w:cs="Cambria"/>
          <w:sz w:val="20"/>
          <w:szCs w:val="20"/>
          <w:lang w:val="fi-FI"/>
        </w:rPr>
        <w:t>чиля</w:t>
      </w:r>
      <w:r w:rsidRPr="00FB4EFA">
        <w:rPr>
          <w:rFonts w:ascii="OS Jeremy" w:hAnsi="OS Jeremy"/>
          <w:sz w:val="20"/>
          <w:szCs w:val="20"/>
          <w:lang w:val="fi-FI"/>
        </w:rPr>
        <w:t xml:space="preserve"> </w:t>
      </w:r>
      <w:r w:rsidRPr="00FB4EFA">
        <w:rPr>
          <w:rFonts w:ascii="OS Jeremy" w:hAnsi="OS Jeremy" w:cs="Cambria"/>
          <w:sz w:val="20"/>
          <w:szCs w:val="20"/>
          <w:lang w:val="fi-FI"/>
        </w:rPr>
        <w:t>по</w:t>
      </w:r>
      <w:r w:rsidRPr="00FB4EFA">
        <w:rPr>
          <w:rFonts w:ascii="OS Jeremy" w:hAnsi="OS Jeremy"/>
          <w:sz w:val="20"/>
          <w:szCs w:val="20"/>
          <w:lang w:val="fi-FI"/>
        </w:rPr>
        <w:t>́</w:t>
      </w:r>
      <w:r w:rsidRPr="00FB4EFA">
        <w:rPr>
          <w:rFonts w:ascii="OS Jeremy" w:hAnsi="OS Jeremy" w:cs="Cambria"/>
          <w:sz w:val="20"/>
          <w:szCs w:val="20"/>
          <w:lang w:val="fi-FI"/>
        </w:rPr>
        <w:t>лоді</w:t>
      </w:r>
      <w:r w:rsidRPr="00FB4EFA">
        <w:rPr>
          <w:rFonts w:ascii="OS Jeremy" w:hAnsi="OS Jeremy"/>
          <w:sz w:val="20"/>
          <w:szCs w:val="20"/>
          <w:lang w:val="fi-FI"/>
        </w:rPr>
        <w:t xml:space="preserve"> </w:t>
      </w:r>
      <w:r w:rsidRPr="00FB4EFA">
        <w:rPr>
          <w:rFonts w:ascii="OS Jeremy" w:hAnsi="OS Jeremy" w:cs="Cambria"/>
          <w:sz w:val="20"/>
          <w:szCs w:val="20"/>
          <w:lang w:val="fi-FI"/>
        </w:rPr>
        <w:t>є</w:t>
      </w:r>
      <w:r w:rsidRPr="00FB4EFA">
        <w:rPr>
          <w:rFonts w:ascii="OS Jeremy" w:hAnsi="OS Jeremy"/>
          <w:sz w:val="20"/>
          <w:szCs w:val="20"/>
          <w:lang w:val="fi-FI"/>
        </w:rPr>
        <w:t xml:space="preserve"> </w:t>
      </w:r>
      <w:r w:rsidRPr="00FB4EFA">
        <w:rPr>
          <w:rFonts w:ascii="OS Jeremy" w:hAnsi="OS Jeremy" w:cs="Cambria"/>
          <w:sz w:val="20"/>
          <w:szCs w:val="20"/>
          <w:lang w:val="fi-FI"/>
        </w:rPr>
        <w:t>мачь</w:t>
      </w:r>
      <w:r w:rsidRPr="00FB4EFA">
        <w:rPr>
          <w:rFonts w:ascii="OS Jeremy" w:hAnsi="OS Jeremy"/>
          <w:sz w:val="20"/>
          <w:szCs w:val="20"/>
          <w:lang w:val="fi-FI"/>
        </w:rPr>
        <w:t xml:space="preserve"> </w:t>
      </w:r>
      <w:r w:rsidRPr="00FB4EFA">
        <w:rPr>
          <w:rFonts w:ascii="OS Jeremy" w:hAnsi="OS Jeremy" w:cs="Cambria"/>
          <w:sz w:val="20"/>
          <w:szCs w:val="20"/>
          <w:lang w:val="fi-FI"/>
        </w:rPr>
        <w:t>вози</w:t>
      </w:r>
      <w:r w:rsidRPr="00FB4EFA">
        <w:rPr>
          <w:rFonts w:ascii="OS Jeremy" w:hAnsi="OS Jeremy"/>
          <w:sz w:val="20"/>
          <w:szCs w:val="20"/>
          <w:lang w:val="fi-FI"/>
        </w:rPr>
        <w:t>́</w:t>
      </w:r>
      <w:r w:rsidRPr="00FB4EFA">
        <w:rPr>
          <w:rFonts w:ascii="OS Jeremy" w:hAnsi="OS Jeremy" w:cs="Cambria"/>
          <w:sz w:val="20"/>
          <w:szCs w:val="20"/>
          <w:lang w:val="fi-FI"/>
        </w:rPr>
        <w:t>ко</w:t>
      </w:r>
      <w:r w:rsidRPr="00FB4EFA">
        <w:rPr>
          <w:rFonts w:ascii="OS Jeremy" w:hAnsi="OS Jeremy" w:cs="Old Standard TT"/>
          <w:sz w:val="20"/>
          <w:szCs w:val="20"/>
          <w:lang w:val="fi-FI"/>
        </w:rPr>
        <w:t>ї</w:t>
      </w:r>
      <w:r w:rsidRPr="00FB4EFA">
        <w:rPr>
          <w:rFonts w:ascii="OS Jeremy" w:hAnsi="OS Jeremy" w:cs="Cambria"/>
          <w:sz w:val="20"/>
          <w:szCs w:val="20"/>
          <w:lang w:val="fi-FI"/>
        </w:rPr>
        <w:t>лу</w:t>
      </w:r>
      <w:r w:rsidRPr="00FB4EFA">
        <w:rPr>
          <w:rFonts w:ascii="OS Jeremy" w:hAnsi="OS Jeremy"/>
          <w:sz w:val="20"/>
          <w:szCs w:val="20"/>
          <w:lang w:val="fi-FI"/>
        </w:rPr>
        <w:t>.</w:t>
      </w:r>
    </w:p>
    <w:p w14:paraId="67295783" w14:textId="611DA568" w:rsidR="00EF1775" w:rsidRPr="00FB4EFA" w:rsidRDefault="00EF1775" w:rsidP="00A219CF">
      <w:pPr>
        <w:spacing w:before="240"/>
        <w:rPr>
          <w:lang w:val="fi-FI"/>
        </w:rPr>
      </w:pPr>
      <w:r w:rsidRPr="00FB4EFA">
        <w:rPr>
          <w:lang w:val="fi-FI"/>
        </w:rPr>
        <w:t xml:space="preserve">Rajakuilina on siltä osin murteenomaisessa suhteessa venekuilinaan, että kaikki venekuilinankieliset nimet muutetaan rajakuilinaa puhuttaessa rajakuilinaisiin asuihin ja päinvastoin. Sanasto ja painotus ovat niin samanlaiset, että toisen näistä käännöksistä olisi voinut jättää ilman painomerkkejäkin. Suurin ero on vokaalistossa, joka rajakuilinassa on liikehtinyt aika vilkkaasti: vanhasta </w:t>
      </w:r>
      <w:r w:rsidRPr="00FB4EFA">
        <w:rPr>
          <w:i/>
          <w:iCs/>
          <w:lang w:val="fi-FI"/>
        </w:rPr>
        <w:t>ǟ</w:t>
      </w:r>
      <w:r w:rsidRPr="00FB4EFA">
        <w:rPr>
          <w:lang w:val="fi-FI"/>
        </w:rPr>
        <w:t>:stä (</w:t>
      </w:r>
      <w:r w:rsidRPr="00FB4EFA">
        <w:rPr>
          <w:rFonts w:ascii="OS Jeremy" w:hAnsi="OS Jeremy" w:cs="Cambria"/>
          <w:i/>
          <w:iCs/>
          <w:lang w:val="fi-FI"/>
        </w:rPr>
        <w:t>ѣ</w:t>
      </w:r>
      <w:r w:rsidRPr="00FB4EFA">
        <w:rPr>
          <w:lang w:val="fi-FI"/>
        </w:rPr>
        <w:t xml:space="preserve">) on tullut </w:t>
      </w:r>
      <w:r w:rsidRPr="00FB4EFA">
        <w:rPr>
          <w:i/>
          <w:iCs/>
          <w:lang w:val="fi-FI"/>
        </w:rPr>
        <w:t>i</w:t>
      </w:r>
      <w:r w:rsidRPr="00FB4EFA">
        <w:rPr>
          <w:lang w:val="fi-FI"/>
        </w:rPr>
        <w:t xml:space="preserve"> (</w:t>
      </w:r>
      <w:r w:rsidRPr="00FB4EFA">
        <w:rPr>
          <w:rFonts w:ascii="OS Jeremy" w:hAnsi="OS Jeremy"/>
          <w:i/>
          <w:iCs/>
          <w:lang w:val="fi-FI"/>
        </w:rPr>
        <w:t>i</w:t>
      </w:r>
      <w:r w:rsidRPr="00FB4EFA">
        <w:rPr>
          <w:rFonts w:ascii="OS Jeremy" w:hAnsi="OS Jeremy"/>
          <w:lang w:val="fi-FI"/>
        </w:rPr>
        <w:t>)</w:t>
      </w:r>
      <w:r w:rsidRPr="00FB4EFA">
        <w:rPr>
          <w:lang w:val="fi-FI"/>
        </w:rPr>
        <w:t xml:space="preserve">, samoin suljetuissa painollisissa tavuissa </w:t>
      </w:r>
      <w:r w:rsidRPr="00FB4EFA">
        <w:rPr>
          <w:i/>
          <w:iCs/>
          <w:lang w:val="fi-FI"/>
        </w:rPr>
        <w:t>e</w:t>
      </w:r>
      <w:r w:rsidRPr="00FB4EFA">
        <w:rPr>
          <w:lang w:val="fi-FI"/>
        </w:rPr>
        <w:t>:stä (</w:t>
      </w:r>
      <w:r w:rsidRPr="00FB4EFA">
        <w:rPr>
          <w:rFonts w:ascii="OS Jeremy" w:hAnsi="OS Jeremy" w:cs="Cambria"/>
          <w:i/>
          <w:iCs/>
          <w:lang w:val="fi-FI"/>
        </w:rPr>
        <w:t>є</w:t>
      </w:r>
      <w:r w:rsidRPr="00FB4EFA">
        <w:rPr>
          <w:lang w:val="fi-FI"/>
        </w:rPr>
        <w:t xml:space="preserve">) ja </w:t>
      </w:r>
      <w:r w:rsidRPr="00FB4EFA">
        <w:rPr>
          <w:i/>
          <w:iCs/>
          <w:lang w:val="fi-FI"/>
        </w:rPr>
        <w:t>o</w:t>
      </w:r>
      <w:r w:rsidRPr="00FB4EFA">
        <w:rPr>
          <w:lang w:val="fi-FI"/>
        </w:rPr>
        <w:t>:sta (</w:t>
      </w:r>
      <w:r w:rsidRPr="00FB4EFA">
        <w:rPr>
          <w:rFonts w:ascii="OS Jeremy" w:hAnsi="OS Jeremy" w:cs="Cambria"/>
          <w:i/>
          <w:iCs/>
          <w:lang w:val="fi-FI"/>
        </w:rPr>
        <w:t>о</w:t>
      </w:r>
      <w:r w:rsidRPr="00FB4EFA">
        <w:rPr>
          <w:lang w:val="fi-FI"/>
        </w:rPr>
        <w:t xml:space="preserve">). Sen sijaan aiemmasta </w:t>
      </w:r>
      <w:r w:rsidRPr="00FB4EFA">
        <w:rPr>
          <w:i/>
          <w:iCs/>
          <w:lang w:val="fi-FI"/>
        </w:rPr>
        <w:t>ī</w:t>
      </w:r>
      <w:r w:rsidRPr="00FB4EFA">
        <w:rPr>
          <w:lang w:val="fi-FI"/>
        </w:rPr>
        <w:t>:stä (</w:t>
      </w:r>
      <w:r w:rsidRPr="00FB4EFA">
        <w:rPr>
          <w:rFonts w:ascii="OS Jeremy" w:hAnsi="OS Jeremy" w:cs="Cambria"/>
          <w:i/>
          <w:iCs/>
          <w:lang w:val="fi-FI"/>
        </w:rPr>
        <w:t>и</w:t>
      </w:r>
      <w:r w:rsidRPr="00FB4EFA">
        <w:rPr>
          <w:lang w:val="fi-FI"/>
        </w:rPr>
        <w:t xml:space="preserve">) onkin </w:t>
      </w:r>
      <w:r w:rsidRPr="00FB4EFA">
        <w:rPr>
          <w:rFonts w:cs="Charis SIL"/>
          <w:lang w:val="fi-FI"/>
        </w:rPr>
        <w:t xml:space="preserve">tullut </w:t>
      </w:r>
      <w:r w:rsidRPr="00FB4EFA">
        <w:rPr>
          <w:rFonts w:cs="Charis SIL"/>
          <w:i/>
          <w:iCs/>
          <w:lang w:val="fi-FI"/>
        </w:rPr>
        <w:t>i̮</w:t>
      </w:r>
      <w:r w:rsidRPr="00FB4EFA">
        <w:rPr>
          <w:rFonts w:cs="Charis SIL"/>
          <w:lang w:val="fi-FI"/>
        </w:rPr>
        <w:t xml:space="preserve"> ja myös</w:t>
      </w:r>
      <w:r w:rsidRPr="00FB4EFA">
        <w:rPr>
          <w:lang w:val="fi-FI"/>
        </w:rPr>
        <w:t xml:space="preserve"> sen kirjain on siirtynyt </w:t>
      </w:r>
      <w:r w:rsidRPr="00FB4EFA">
        <w:rPr>
          <w:i/>
          <w:iCs/>
          <w:lang w:val="fi-FI"/>
        </w:rPr>
        <w:t>i</w:t>
      </w:r>
      <w:r w:rsidRPr="00FB4EFA">
        <w:rPr>
          <w:rFonts w:cs="Times New Roman"/>
          <w:i/>
          <w:iCs/>
          <w:lang w:val="fi-FI"/>
        </w:rPr>
        <w:t>̮</w:t>
      </w:r>
      <w:r w:rsidRPr="00FB4EFA">
        <w:rPr>
          <w:lang w:val="fi-FI"/>
        </w:rPr>
        <w:t xml:space="preserve">:n merkiksi. Näitten vokaalinmuutosten ansiosta rajakuilinan ei ole tarvinnut luopua </w:t>
      </w:r>
      <w:r w:rsidRPr="00FB4EFA">
        <w:rPr>
          <w:i/>
          <w:iCs/>
          <w:lang w:val="fi-FI"/>
        </w:rPr>
        <w:t>ä</w:t>
      </w:r>
      <w:r w:rsidRPr="00FB4EFA">
        <w:rPr>
          <w:lang w:val="fi-FI"/>
        </w:rPr>
        <w:t xml:space="preserve">-vartaloista, koska niitten yksikön ja monikon nominatiivin ero on säilynyt: </w:t>
      </w:r>
      <w:r w:rsidRPr="00FB4EFA">
        <w:rPr>
          <w:rFonts w:ascii="OS Jeremy" w:hAnsi="OS Jeremy" w:cs="Cambria"/>
          <w:i/>
          <w:iCs/>
          <w:lang w:val="fi-FI"/>
        </w:rPr>
        <w:t>ребе</w:t>
      </w:r>
      <w:r w:rsidRPr="00FB4EFA">
        <w:rPr>
          <w:rFonts w:ascii="OS Jeremy" w:hAnsi="OS Jeremy"/>
          <w:lang w:val="fi-FI"/>
        </w:rPr>
        <w:t xml:space="preserve"> : </w:t>
      </w:r>
      <w:r w:rsidRPr="00FB4EFA">
        <w:rPr>
          <w:rFonts w:ascii="OS Jeremy" w:hAnsi="OS Jeremy" w:cs="Cambria"/>
          <w:i/>
          <w:iCs/>
          <w:lang w:val="fi-FI"/>
        </w:rPr>
        <w:t>реб</w:t>
      </w:r>
      <w:r w:rsidRPr="00FB4EFA">
        <w:rPr>
          <w:rFonts w:ascii="OS Jeremy" w:hAnsi="OS Jeremy" w:cstheme="minorHAnsi"/>
          <w:i/>
          <w:iCs/>
          <w:lang w:val="fi-FI"/>
        </w:rPr>
        <w:t>i</w:t>
      </w:r>
      <w:r w:rsidRPr="00FB4EFA">
        <w:rPr>
          <w:rFonts w:ascii="OS Jeremy" w:hAnsi="OS Jeremy"/>
          <w:lang w:val="fi-FI"/>
        </w:rPr>
        <w:t>.</w:t>
      </w:r>
      <w:r w:rsidRPr="00FB4EFA">
        <w:rPr>
          <w:lang w:val="fi-FI"/>
        </w:rPr>
        <w:t xml:space="preserve"> Tällä tyypillä on myös erillinen deminutiivinpäätteensä </w:t>
      </w:r>
      <w:r w:rsidR="00545033" w:rsidRPr="00FB4EFA">
        <w:rPr>
          <w:rFonts w:ascii="OS Jeremy" w:hAnsi="OS Jeremy"/>
          <w:lang w:val="fi-FI"/>
        </w:rPr>
        <w:noBreakHyphen/>
      </w:r>
      <w:r w:rsidRPr="00FB4EFA">
        <w:rPr>
          <w:rFonts w:ascii="OS Jeremy" w:hAnsi="OS Jeremy" w:cs="Cambria"/>
          <w:i/>
          <w:iCs/>
          <w:lang w:val="fi-FI"/>
        </w:rPr>
        <w:t>че</w:t>
      </w:r>
      <w:r w:rsidRPr="00FB4EFA">
        <w:rPr>
          <w:rFonts w:ascii="OS Jeremy" w:hAnsi="OS Jeremy"/>
          <w:lang w:val="fi-FI"/>
        </w:rPr>
        <w:t>.</w:t>
      </w:r>
    </w:p>
    <w:p w14:paraId="380F1BAD" w14:textId="77777777" w:rsidR="00EF1775" w:rsidRPr="00FB4EFA" w:rsidRDefault="00EF1775" w:rsidP="00A219CF">
      <w:pPr>
        <w:ind w:firstLine="709"/>
        <w:rPr>
          <w:lang w:val="fi-FI"/>
        </w:rPr>
      </w:pPr>
      <w:r w:rsidRPr="00FB4EFA">
        <w:rPr>
          <w:lang w:val="fi-FI"/>
        </w:rPr>
        <w:t xml:space="preserve">Rajakuilinan kirjakielellä ei ole kovinkaan pitkää traditiota, vaan se pohjautuu hyvin suoraan toistasataa vuotta sitten puhuttuihin murteisiin. Tämän ansiosta sen vertailu paljon kauemmin kirjallisesti viljeltyyn venekuilinaan paljastaa tähän vuosisatojen saatossa tarttuneet kirkkokuilinismit. Rajakuilinan muodot </w:t>
      </w:r>
      <w:r w:rsidRPr="00FB4EFA">
        <w:rPr>
          <w:rFonts w:ascii="OS Jeremy" w:hAnsi="OS Jeremy" w:cs="Cambria"/>
          <w:i/>
          <w:iCs/>
          <w:lang w:val="fi-FI"/>
        </w:rPr>
        <w:t>лодо</w:t>
      </w:r>
      <w:r w:rsidRPr="00FB4EFA">
        <w:rPr>
          <w:rFonts w:ascii="OS Jeremy" w:hAnsi="OS Jeremy"/>
          <w:i/>
          <w:iCs/>
          <w:lang w:val="fi-FI"/>
        </w:rPr>
        <w:t>́</w:t>
      </w:r>
      <w:r w:rsidRPr="00FB4EFA">
        <w:rPr>
          <w:rFonts w:ascii="OS Jeremy" w:hAnsi="OS Jeremy"/>
          <w:lang w:val="fi-FI"/>
        </w:rPr>
        <w:t>,</w:t>
      </w:r>
      <w:r w:rsidRPr="00FB4EFA">
        <w:rPr>
          <w:lang w:val="fi-FI"/>
        </w:rPr>
        <w:t xml:space="preserve"> </w:t>
      </w:r>
      <w:r w:rsidRPr="00FB4EFA">
        <w:rPr>
          <w:rFonts w:ascii="OS Jeremy" w:hAnsi="OS Jeremy" w:cs="Cambria"/>
          <w:i/>
          <w:iCs/>
          <w:lang w:val="fi-FI"/>
        </w:rPr>
        <w:t>колодіжа</w:t>
      </w:r>
      <w:r w:rsidRPr="00FB4EFA">
        <w:rPr>
          <w:rFonts w:ascii="OS Jeremy" w:hAnsi="OS Jeremy"/>
          <w:i/>
          <w:iCs/>
          <w:lang w:val="fi-FI"/>
        </w:rPr>
        <w:t>́</w:t>
      </w:r>
      <w:r w:rsidRPr="00FB4EFA">
        <w:rPr>
          <w:rFonts w:ascii="OS Jeremy" w:hAnsi="OS Jeremy"/>
          <w:lang w:val="fi-FI"/>
        </w:rPr>
        <w:t>,</w:t>
      </w:r>
      <w:r w:rsidRPr="00FB4EFA">
        <w:rPr>
          <w:lang w:val="fi-FI"/>
        </w:rPr>
        <w:t xml:space="preserve"> </w:t>
      </w:r>
      <w:r w:rsidRPr="00FB4EFA">
        <w:rPr>
          <w:rFonts w:ascii="OS Jeremy" w:hAnsi="OS Jeremy" w:cs="Cambria"/>
          <w:i/>
          <w:iCs/>
          <w:lang w:val="fi-FI"/>
        </w:rPr>
        <w:t>волога</w:t>
      </w:r>
      <w:r w:rsidRPr="00FB4EFA">
        <w:rPr>
          <w:rFonts w:ascii="OS Jeremy" w:hAnsi="OS Jeremy"/>
          <w:i/>
          <w:iCs/>
          <w:lang w:val="fi-FI"/>
        </w:rPr>
        <w:t>́</w:t>
      </w:r>
      <w:r w:rsidRPr="00FB4EFA">
        <w:rPr>
          <w:rFonts w:ascii="OS Jeremy" w:hAnsi="OS Jeremy"/>
          <w:lang w:val="fi-FI"/>
        </w:rPr>
        <w:t xml:space="preserve"> </w:t>
      </w:r>
      <w:r w:rsidRPr="00FB4EFA">
        <w:rPr>
          <w:lang w:val="fi-FI"/>
        </w:rPr>
        <w:t xml:space="preserve">ja </w:t>
      </w:r>
      <w:r w:rsidRPr="00FB4EFA">
        <w:rPr>
          <w:rFonts w:ascii="OS Jeremy" w:hAnsi="OS Jeremy" w:cs="Cambria"/>
          <w:i/>
          <w:iCs/>
          <w:lang w:val="fi-FI"/>
        </w:rPr>
        <w:t>і</w:t>
      </w:r>
      <w:r w:rsidRPr="00FB4EFA">
        <w:rPr>
          <w:rFonts w:ascii="OS Jeremy" w:hAnsi="OS Jeremy"/>
          <w:i/>
          <w:iCs/>
          <w:lang w:val="fi-FI"/>
        </w:rPr>
        <w:t>́</w:t>
      </w:r>
      <w:r w:rsidRPr="00FB4EFA">
        <w:rPr>
          <w:rFonts w:ascii="OS Jeremy" w:hAnsi="OS Jeremy" w:cs="Cambria"/>
          <w:i/>
          <w:iCs/>
          <w:lang w:val="fi-FI"/>
        </w:rPr>
        <w:t>лічася</w:t>
      </w:r>
      <w:r w:rsidRPr="00FB4EFA">
        <w:rPr>
          <w:rFonts w:ascii="OS Jeremy" w:hAnsi="OS Jeremy"/>
          <w:lang w:val="fi-FI"/>
        </w:rPr>
        <w:t xml:space="preserve"> </w:t>
      </w:r>
      <w:r w:rsidRPr="00FB4EFA">
        <w:rPr>
          <w:lang w:val="fi-FI"/>
        </w:rPr>
        <w:t xml:space="preserve">tulevat lähemmäs venekuilinan puhekielessä, etenkin maaseudulla säilyneitä muotoja </w:t>
      </w:r>
      <w:r w:rsidRPr="00FB4EFA">
        <w:rPr>
          <w:rFonts w:ascii="OS Jeremy" w:hAnsi="OS Jeremy" w:cs="Cambria"/>
          <w:i/>
          <w:iCs/>
          <w:lang w:val="fi-FI"/>
        </w:rPr>
        <w:t>лодо</w:t>
      </w:r>
      <w:r w:rsidRPr="00FB4EFA">
        <w:rPr>
          <w:rFonts w:ascii="OS Jeremy" w:hAnsi="OS Jeremy"/>
          <w:i/>
          <w:iCs/>
          <w:lang w:val="fi-FI"/>
        </w:rPr>
        <w:t>́</w:t>
      </w:r>
      <w:r w:rsidRPr="00FB4EFA">
        <w:rPr>
          <w:rFonts w:ascii="OS Jeremy" w:hAnsi="OS Jeremy"/>
          <w:lang w:val="fi-FI"/>
        </w:rPr>
        <w:t>,</w:t>
      </w:r>
      <w:r w:rsidRPr="00FB4EFA">
        <w:rPr>
          <w:lang w:val="fi-FI"/>
        </w:rPr>
        <w:t xml:space="preserve"> </w:t>
      </w:r>
      <w:r w:rsidRPr="00FB4EFA">
        <w:rPr>
          <w:rFonts w:ascii="OS Jeremy" w:hAnsi="OS Jeremy" w:cs="Cambria"/>
          <w:i/>
          <w:iCs/>
          <w:lang w:val="fi-FI"/>
        </w:rPr>
        <w:t>колодежа</w:t>
      </w:r>
      <w:r w:rsidRPr="00FB4EFA">
        <w:rPr>
          <w:rFonts w:ascii="OS Jeremy" w:hAnsi="OS Jeremy"/>
          <w:i/>
          <w:iCs/>
          <w:lang w:val="fi-FI"/>
        </w:rPr>
        <w:t>́</w:t>
      </w:r>
      <w:r w:rsidRPr="00FB4EFA">
        <w:rPr>
          <w:rFonts w:ascii="OS Jeremy" w:hAnsi="OS Jeremy"/>
          <w:lang w:val="fi-FI"/>
        </w:rPr>
        <w:t>,</w:t>
      </w:r>
      <w:r w:rsidRPr="00FB4EFA">
        <w:rPr>
          <w:lang w:val="fi-FI"/>
        </w:rPr>
        <w:t xml:space="preserve"> </w:t>
      </w:r>
      <w:r w:rsidRPr="00FB4EFA">
        <w:rPr>
          <w:rFonts w:ascii="OS Jeremy" w:hAnsi="OS Jeremy" w:cs="Cambria"/>
          <w:i/>
          <w:iCs/>
          <w:lang w:val="fi-FI"/>
        </w:rPr>
        <w:t>вологоя</w:t>
      </w:r>
      <w:r w:rsidRPr="00FB4EFA">
        <w:rPr>
          <w:rFonts w:ascii="OS Jeremy" w:hAnsi="OS Jeremy"/>
          <w:i/>
          <w:iCs/>
          <w:lang w:val="fi-FI"/>
        </w:rPr>
        <w:t>́</w:t>
      </w:r>
      <w:r w:rsidRPr="00FB4EFA">
        <w:rPr>
          <w:rFonts w:ascii="OS Jeremy" w:hAnsi="OS Jeremy"/>
          <w:lang w:val="fi-FI"/>
        </w:rPr>
        <w:t xml:space="preserve"> </w:t>
      </w:r>
      <w:r w:rsidRPr="00FB4EFA">
        <w:rPr>
          <w:lang w:val="fi-FI"/>
        </w:rPr>
        <w:t xml:space="preserve">ja </w:t>
      </w:r>
      <w:r w:rsidRPr="00FB4EFA">
        <w:rPr>
          <w:rFonts w:ascii="OS Jeremy" w:hAnsi="OS Jeremy" w:cs="Cambria"/>
          <w:i/>
          <w:iCs/>
          <w:lang w:val="fi-FI"/>
        </w:rPr>
        <w:t>иле</w:t>
      </w:r>
      <w:r w:rsidRPr="00FB4EFA">
        <w:rPr>
          <w:rFonts w:ascii="OS Jeremy" w:hAnsi="OS Jeremy"/>
          <w:i/>
          <w:iCs/>
          <w:lang w:val="fi-FI"/>
        </w:rPr>
        <w:t>́</w:t>
      </w:r>
      <w:r w:rsidRPr="00FB4EFA">
        <w:rPr>
          <w:rFonts w:ascii="OS Jeremy" w:hAnsi="OS Jeremy" w:cs="Cambria"/>
          <w:i/>
          <w:iCs/>
          <w:lang w:val="fi-FI"/>
        </w:rPr>
        <w:t>чася</w:t>
      </w:r>
      <w:r w:rsidRPr="00FB4EFA">
        <w:rPr>
          <w:rFonts w:ascii="OS Jeremy" w:hAnsi="OS Jeremy"/>
          <w:lang w:val="fi-FI"/>
        </w:rPr>
        <w:t xml:space="preserve"> </w:t>
      </w:r>
      <w:r w:rsidRPr="00FB4EFA">
        <w:rPr>
          <w:lang w:val="fi-FI"/>
        </w:rPr>
        <w:t xml:space="preserve">kuin muinaiskirkkokuilinan kirjallista perintöä edustavat venekuilinan </w:t>
      </w:r>
      <w:r w:rsidRPr="00FB4EFA">
        <w:rPr>
          <w:rFonts w:ascii="OS Jeremy" w:hAnsi="OS Jeremy" w:cs="Cambria"/>
          <w:i/>
          <w:iCs/>
          <w:lang w:val="fi-FI"/>
        </w:rPr>
        <w:t>ладо</w:t>
      </w:r>
      <w:r w:rsidRPr="00FB4EFA">
        <w:rPr>
          <w:rFonts w:ascii="OS Jeremy" w:hAnsi="OS Jeremy"/>
          <w:i/>
          <w:iCs/>
          <w:lang w:val="fi-FI"/>
        </w:rPr>
        <w:t>́</w:t>
      </w:r>
      <w:r w:rsidRPr="00FB4EFA">
        <w:rPr>
          <w:rFonts w:ascii="OS Jeremy" w:hAnsi="OS Jeremy"/>
          <w:lang w:val="fi-FI"/>
        </w:rPr>
        <w:t>,</w:t>
      </w:r>
      <w:r w:rsidRPr="00FB4EFA">
        <w:rPr>
          <w:lang w:val="fi-FI"/>
        </w:rPr>
        <w:t xml:space="preserve"> </w:t>
      </w:r>
      <w:r w:rsidRPr="00FB4EFA">
        <w:rPr>
          <w:rFonts w:ascii="OS Jeremy" w:hAnsi="OS Jeremy" w:cs="Cambria"/>
          <w:i/>
          <w:iCs/>
          <w:lang w:val="fi-FI"/>
        </w:rPr>
        <w:t>кладежа</w:t>
      </w:r>
      <w:r w:rsidRPr="00FB4EFA">
        <w:rPr>
          <w:rFonts w:ascii="OS Jeremy" w:hAnsi="OS Jeremy"/>
          <w:i/>
          <w:iCs/>
          <w:lang w:val="fi-FI"/>
        </w:rPr>
        <w:t>́</w:t>
      </w:r>
      <w:r w:rsidRPr="00FB4EFA">
        <w:rPr>
          <w:rFonts w:ascii="OS Jeremy" w:hAnsi="OS Jeremy"/>
          <w:lang w:val="fi-FI"/>
        </w:rPr>
        <w:t>,</w:t>
      </w:r>
      <w:r w:rsidRPr="00FB4EFA">
        <w:rPr>
          <w:lang w:val="fi-FI"/>
        </w:rPr>
        <w:t xml:space="preserve"> </w:t>
      </w:r>
      <w:r w:rsidRPr="00FB4EFA">
        <w:rPr>
          <w:rFonts w:ascii="OS Jeremy" w:hAnsi="OS Jeremy" w:cs="Cambria"/>
          <w:i/>
          <w:iCs/>
          <w:lang w:val="fi-FI"/>
        </w:rPr>
        <w:t>влагоя</w:t>
      </w:r>
      <w:r w:rsidRPr="00FB4EFA">
        <w:rPr>
          <w:rFonts w:ascii="OS Jeremy" w:hAnsi="OS Jeremy"/>
          <w:i/>
          <w:iCs/>
          <w:lang w:val="fi-FI"/>
        </w:rPr>
        <w:t>́</w:t>
      </w:r>
      <w:r w:rsidRPr="00FB4EFA">
        <w:rPr>
          <w:rFonts w:ascii="OS Jeremy" w:hAnsi="OS Jeremy"/>
          <w:lang w:val="fi-FI"/>
        </w:rPr>
        <w:t xml:space="preserve"> </w:t>
      </w:r>
      <w:r w:rsidRPr="00FB4EFA">
        <w:rPr>
          <w:lang w:val="fi-FI"/>
        </w:rPr>
        <w:t xml:space="preserve">ja </w:t>
      </w:r>
      <w:r w:rsidRPr="00FB4EFA">
        <w:rPr>
          <w:rFonts w:ascii="OS Jeremy" w:hAnsi="OS Jeremy" w:cs="Cambria"/>
          <w:i/>
          <w:iCs/>
          <w:lang w:val="fi-FI"/>
        </w:rPr>
        <w:t>иле</w:t>
      </w:r>
      <w:r w:rsidRPr="00FB4EFA">
        <w:rPr>
          <w:rFonts w:ascii="OS Jeremy" w:hAnsi="OS Jeremy"/>
          <w:i/>
          <w:iCs/>
          <w:lang w:val="fi-FI"/>
        </w:rPr>
        <w:t>́</w:t>
      </w:r>
      <w:r w:rsidRPr="00FB4EFA">
        <w:rPr>
          <w:rFonts w:ascii="OS Jeremy" w:hAnsi="OS Jeremy" w:cs="Cambria"/>
          <w:i/>
          <w:iCs/>
          <w:lang w:val="fi-FI"/>
        </w:rPr>
        <w:t>щася</w:t>
      </w:r>
      <w:r w:rsidRPr="00FB4EFA">
        <w:rPr>
          <w:rFonts w:ascii="OS Jeremy" w:hAnsi="OS Jeremy"/>
          <w:lang w:val="fi-FI"/>
        </w:rPr>
        <w:t>.</w:t>
      </w:r>
    </w:p>
    <w:p w14:paraId="36A58295"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lastRenderedPageBreak/>
        <w:t>Peltokuilina</w:t>
      </w:r>
    </w:p>
    <w:p w14:paraId="068F5397" w14:textId="1B92C027" w:rsidR="00EF1775" w:rsidRPr="00FB4EFA" w:rsidRDefault="00EF1775" w:rsidP="00065E48">
      <w:pPr>
        <w:suppressAutoHyphens/>
        <w:spacing w:line="240" w:lineRule="auto"/>
        <w:ind w:left="708"/>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Rzeb ty</w:t>
      </w:r>
      <w:r w:rsidRPr="00FB4EFA">
        <w:rPr>
          <w:rFonts w:cs="Cambria"/>
          <w:sz w:val="20"/>
          <w:szCs w:val="20"/>
          <w:lang w:val="fi-FI"/>
        </w:rPr>
        <w:t>ł</w:t>
      </w:r>
      <w:r w:rsidRPr="00FB4EFA">
        <w:rPr>
          <w:sz w:val="20"/>
          <w:szCs w:val="20"/>
          <w:lang w:val="fi-FI"/>
        </w:rPr>
        <w:t xml:space="preserve"> w</w:t>
      </w:r>
      <w:r w:rsidRPr="00FB4EFA">
        <w:rPr>
          <w:rFonts w:cs="Cambria"/>
          <w:sz w:val="20"/>
          <w:szCs w:val="20"/>
          <w:lang w:val="fi-FI"/>
        </w:rPr>
        <w:t>ę</w:t>
      </w:r>
      <w:r w:rsidRPr="00FB4EFA">
        <w:rPr>
          <w:sz w:val="20"/>
          <w:szCs w:val="20"/>
          <w:lang w:val="fi-FI"/>
        </w:rPr>
        <w:t>dzie</w:t>
      </w:r>
      <w:r w:rsidRPr="00FB4EFA">
        <w:rPr>
          <w:rFonts w:cs="Cambria"/>
          <w:sz w:val="20"/>
          <w:szCs w:val="20"/>
          <w:lang w:val="fi-FI"/>
        </w:rPr>
        <w:t>łę</w:t>
      </w:r>
      <w:r w:rsidRPr="00FB4EFA">
        <w:rPr>
          <w:sz w:val="20"/>
          <w:szCs w:val="20"/>
          <w:lang w:val="fi-FI"/>
        </w:rPr>
        <w:t xml:space="preserve"> biele jemierz</w:t>
      </w:r>
      <w:r w:rsidRPr="00FB4EFA">
        <w:rPr>
          <w:rFonts w:cs="Cambria"/>
          <w:sz w:val="20"/>
          <w:szCs w:val="20"/>
          <w:lang w:val="fi-FI"/>
        </w:rPr>
        <w:t>ę</w:t>
      </w:r>
      <w:r w:rsidRPr="00FB4EFA">
        <w:rPr>
          <w:sz w:val="20"/>
          <w:szCs w:val="20"/>
          <w:lang w:val="fi-FI"/>
        </w:rPr>
        <w:t xml:space="preserve"> je</w:t>
      </w:r>
      <w:r w:rsidRPr="00FB4EFA">
        <w:rPr>
          <w:rFonts w:cs="Cambria"/>
          <w:sz w:val="20"/>
          <w:szCs w:val="20"/>
          <w:lang w:val="fi-FI"/>
        </w:rPr>
        <w:t>łą</w:t>
      </w:r>
      <w:r w:rsidRPr="00FB4EFA">
        <w:rPr>
          <w:sz w:val="20"/>
          <w:szCs w:val="20"/>
          <w:lang w:val="fi-FI"/>
        </w:rPr>
        <w:t xml:space="preserve"> </w:t>
      </w:r>
      <w:r w:rsidRPr="00FB4EFA">
        <w:rPr>
          <w:rFonts w:cs="Cambria"/>
          <w:sz w:val="20"/>
          <w:szCs w:val="20"/>
          <w:lang w:val="fi-FI"/>
        </w:rPr>
        <w:t>ł</w:t>
      </w:r>
      <w:r w:rsidRPr="00FB4EFA">
        <w:rPr>
          <w:sz w:val="20"/>
          <w:szCs w:val="20"/>
          <w:lang w:val="fi-FI"/>
        </w:rPr>
        <w:t>odo, cew</w:t>
      </w:r>
      <w:r w:rsidRPr="00FB4EFA">
        <w:rPr>
          <w:rFonts w:cs="Old Standard TT"/>
          <w:sz w:val="20"/>
          <w:szCs w:val="20"/>
          <w:lang w:val="fi-FI"/>
        </w:rPr>
        <w:t>ó</w:t>
      </w:r>
      <w:r w:rsidRPr="00FB4EFA">
        <w:rPr>
          <w:sz w:val="20"/>
          <w:szCs w:val="20"/>
          <w:lang w:val="fi-FI"/>
        </w:rPr>
        <w:t>n uk</w:t>
      </w:r>
      <w:r w:rsidRPr="00FB4EFA">
        <w:rPr>
          <w:rFonts w:cs="Cambria"/>
          <w:sz w:val="20"/>
          <w:szCs w:val="20"/>
          <w:lang w:val="fi-FI"/>
        </w:rPr>
        <w:t>ę</w:t>
      </w:r>
      <w:r w:rsidRPr="00FB4EFA">
        <w:rPr>
          <w:sz w:val="20"/>
          <w:szCs w:val="20"/>
          <w:lang w:val="fi-FI"/>
        </w:rPr>
        <w:t xml:space="preserve"> maz</w:t>
      </w:r>
      <w:r w:rsidRPr="00FB4EFA">
        <w:rPr>
          <w:rFonts w:cs="Cambria"/>
          <w:sz w:val="20"/>
          <w:szCs w:val="20"/>
          <w:lang w:val="fi-FI"/>
        </w:rPr>
        <w:t>ę</w:t>
      </w:r>
      <w:r w:rsidRPr="00FB4EFA">
        <w:rPr>
          <w:sz w:val="20"/>
          <w:szCs w:val="20"/>
          <w:lang w:val="fi-FI"/>
        </w:rPr>
        <w:t xml:space="preserve"> ja budan dzal</w:t>
      </w:r>
      <w:r w:rsidRPr="00FB4EFA">
        <w:rPr>
          <w:rFonts w:cs="Cambria"/>
          <w:sz w:val="20"/>
          <w:szCs w:val="20"/>
          <w:lang w:val="fi-FI"/>
        </w:rPr>
        <w:t>ę</w:t>
      </w:r>
      <w:r w:rsidRPr="00FB4EFA">
        <w:rPr>
          <w:sz w:val="20"/>
          <w:szCs w:val="20"/>
          <w:lang w:val="fi-FI"/>
        </w:rPr>
        <w:t xml:space="preserve"> sinie </w:t>
      </w:r>
      <w:r w:rsidRPr="00FB4EFA">
        <w:rPr>
          <w:rFonts w:cs="Cambria"/>
          <w:sz w:val="20"/>
          <w:szCs w:val="20"/>
          <w:lang w:val="fi-FI"/>
        </w:rPr>
        <w:t>ł</w:t>
      </w:r>
      <w:r w:rsidRPr="00FB4EFA">
        <w:rPr>
          <w:sz w:val="20"/>
          <w:szCs w:val="20"/>
          <w:lang w:val="fi-FI"/>
        </w:rPr>
        <w:t>y</w:t>
      </w:r>
      <w:r w:rsidRPr="00FB4EFA">
        <w:rPr>
          <w:rFonts w:cs="Cambria"/>
          <w:sz w:val="20"/>
          <w:szCs w:val="20"/>
          <w:lang w:val="fi-FI"/>
        </w:rPr>
        <w:t>łę</w:t>
      </w:r>
      <w:r w:rsidRPr="00FB4EFA">
        <w:rPr>
          <w:sz w:val="20"/>
          <w:szCs w:val="20"/>
          <w:lang w:val="fi-FI"/>
        </w:rPr>
        <w:t>. 2</w:t>
      </w:r>
      <w:r w:rsidR="00545033" w:rsidRPr="00FB4EFA">
        <w:rPr>
          <w:sz w:val="20"/>
          <w:szCs w:val="20"/>
          <w:lang w:val="fi-FI"/>
        </w:rPr>
        <w:t>.</w:t>
      </w:r>
      <w:r w:rsidRPr="00FB4EFA">
        <w:rPr>
          <w:sz w:val="20"/>
          <w:szCs w:val="20"/>
          <w:lang w:val="fi-FI"/>
        </w:rPr>
        <w:t xml:space="preserve"> Jerzenie piwiedz</w:t>
      </w:r>
      <w:r w:rsidRPr="00FB4EFA">
        <w:rPr>
          <w:rFonts w:cs="Cambria"/>
          <w:sz w:val="20"/>
          <w:szCs w:val="20"/>
          <w:lang w:val="fi-FI"/>
        </w:rPr>
        <w:t>ę</w:t>
      </w:r>
      <w:r w:rsidRPr="00FB4EFA">
        <w:rPr>
          <w:sz w:val="20"/>
          <w:szCs w:val="20"/>
          <w:lang w:val="fi-FI"/>
        </w:rPr>
        <w:t>-piastójdzenie sew-piwiano siedzun niel</w:t>
      </w:r>
      <w:r w:rsidRPr="00FB4EFA">
        <w:rPr>
          <w:rFonts w:cs="Cambria"/>
          <w:sz w:val="20"/>
          <w:szCs w:val="20"/>
          <w:lang w:val="fi-FI"/>
        </w:rPr>
        <w:t>ę</w:t>
      </w:r>
      <w:r w:rsidRPr="00FB4EFA">
        <w:rPr>
          <w:sz w:val="20"/>
          <w:szCs w:val="20"/>
          <w:lang w:val="fi-FI"/>
        </w:rPr>
        <w:t xml:space="preserve"> niele rzebiedzyka. 3</w:t>
      </w:r>
      <w:r w:rsidR="00545033" w:rsidRPr="00FB4EFA">
        <w:rPr>
          <w:sz w:val="20"/>
          <w:szCs w:val="20"/>
          <w:lang w:val="fi-FI"/>
        </w:rPr>
        <w:t>.</w:t>
      </w:r>
      <w:r w:rsidRPr="00FB4EFA">
        <w:rPr>
          <w:sz w:val="20"/>
          <w:szCs w:val="20"/>
          <w:lang w:val="fi-FI"/>
        </w:rPr>
        <w:t xml:space="preserve"> I oma wiecz</w:t>
      </w:r>
      <w:r w:rsidRPr="00FB4EFA">
        <w:rPr>
          <w:rFonts w:cs="Cambria"/>
          <w:sz w:val="20"/>
          <w:szCs w:val="20"/>
          <w:lang w:val="fi-FI"/>
        </w:rPr>
        <w:t>ę</w:t>
      </w:r>
      <w:r w:rsidRPr="00FB4EFA">
        <w:rPr>
          <w:sz w:val="20"/>
          <w:szCs w:val="20"/>
          <w:lang w:val="fi-FI"/>
        </w:rPr>
        <w:t xml:space="preserve"> iledze: miewa spiczedza krowaka, msta nonaka ja kunaka, pinie, k</w:t>
      </w:r>
      <w:r w:rsidRPr="00FB4EFA">
        <w:rPr>
          <w:rFonts w:cs="Cambria"/>
          <w:sz w:val="20"/>
          <w:szCs w:val="20"/>
          <w:lang w:val="fi-FI"/>
        </w:rPr>
        <w:t>ł</w:t>
      </w:r>
      <w:r w:rsidRPr="00FB4EFA">
        <w:rPr>
          <w:sz w:val="20"/>
          <w:szCs w:val="20"/>
          <w:lang w:val="fi-FI"/>
        </w:rPr>
        <w:t xml:space="preserve">odziedza </w:t>
      </w:r>
      <w:r w:rsidRPr="00FB4EFA">
        <w:rPr>
          <w:rFonts w:cs="Cambria"/>
          <w:sz w:val="20"/>
          <w:szCs w:val="20"/>
          <w:lang w:val="fi-FI"/>
        </w:rPr>
        <w:t>ł</w:t>
      </w:r>
      <w:r w:rsidRPr="00FB4EFA">
        <w:rPr>
          <w:sz w:val="20"/>
          <w:szCs w:val="20"/>
          <w:lang w:val="fi-FI"/>
        </w:rPr>
        <w:t>uchmica, wag</w:t>
      </w:r>
      <w:r w:rsidRPr="00FB4EFA">
        <w:rPr>
          <w:rFonts w:cs="Cambria"/>
          <w:sz w:val="20"/>
          <w:szCs w:val="20"/>
          <w:lang w:val="fi-FI"/>
        </w:rPr>
        <w:t>ę</w:t>
      </w:r>
      <w:r w:rsidRPr="00FB4EFA">
        <w:rPr>
          <w:sz w:val="20"/>
          <w:szCs w:val="20"/>
          <w:lang w:val="fi-FI"/>
        </w:rPr>
        <w:t xml:space="preserve"> w</w:t>
      </w:r>
      <w:r w:rsidRPr="00FB4EFA">
        <w:rPr>
          <w:rFonts w:cs="Cambria"/>
          <w:sz w:val="20"/>
          <w:szCs w:val="20"/>
          <w:lang w:val="fi-FI"/>
        </w:rPr>
        <w:t>ł</w:t>
      </w:r>
      <w:r w:rsidRPr="00FB4EFA">
        <w:rPr>
          <w:sz w:val="20"/>
          <w:szCs w:val="20"/>
          <w:lang w:val="fi-FI"/>
        </w:rPr>
        <w:t>ogój pieczedz g</w:t>
      </w:r>
      <w:r w:rsidRPr="00FB4EFA">
        <w:rPr>
          <w:rFonts w:cs="Cambria"/>
          <w:sz w:val="20"/>
          <w:szCs w:val="20"/>
          <w:lang w:val="fi-FI"/>
        </w:rPr>
        <w:t>ą</w:t>
      </w:r>
      <w:r w:rsidRPr="00FB4EFA">
        <w:rPr>
          <w:sz w:val="20"/>
          <w:szCs w:val="20"/>
          <w:lang w:val="fi-FI"/>
        </w:rPr>
        <w:t>zno, pinie czapica ja ocha czanica. 4</w:t>
      </w:r>
      <w:r w:rsidR="00545033" w:rsidRPr="00FB4EFA">
        <w:rPr>
          <w:sz w:val="20"/>
          <w:szCs w:val="20"/>
          <w:lang w:val="fi-FI"/>
        </w:rPr>
        <w:t>.</w:t>
      </w:r>
      <w:r w:rsidRPr="00FB4EFA">
        <w:rPr>
          <w:sz w:val="20"/>
          <w:szCs w:val="20"/>
          <w:lang w:val="fi-FI"/>
        </w:rPr>
        <w:t xml:space="preserve"> Rzeb-jemie koje</w:t>
      </w:r>
      <w:r w:rsidRPr="00FB4EFA">
        <w:rPr>
          <w:rFonts w:cs="Cambria"/>
          <w:sz w:val="20"/>
          <w:szCs w:val="20"/>
          <w:lang w:val="fi-FI"/>
        </w:rPr>
        <w:t>ł</w:t>
      </w:r>
      <w:r w:rsidRPr="00FB4EFA">
        <w:rPr>
          <w:rFonts w:cs="Old Standard TT"/>
          <w:sz w:val="20"/>
          <w:szCs w:val="20"/>
          <w:lang w:val="fi-FI"/>
        </w:rPr>
        <w:t>ó</w:t>
      </w:r>
      <w:r w:rsidRPr="00FB4EFA">
        <w:rPr>
          <w:sz w:val="20"/>
          <w:szCs w:val="20"/>
          <w:lang w:val="fi-FI"/>
        </w:rPr>
        <w:t>w idzie ja si</w:t>
      </w:r>
      <w:r w:rsidRPr="00FB4EFA">
        <w:rPr>
          <w:rFonts w:cs="Cambria"/>
          <w:sz w:val="20"/>
          <w:szCs w:val="20"/>
          <w:lang w:val="fi-FI"/>
        </w:rPr>
        <w:t>ę</w:t>
      </w:r>
      <w:r w:rsidRPr="00FB4EFA">
        <w:rPr>
          <w:sz w:val="20"/>
          <w:szCs w:val="20"/>
          <w:lang w:val="fi-FI"/>
        </w:rPr>
        <w:t xml:space="preserve"> </w:t>
      </w:r>
      <w:r w:rsidRPr="00FB4EFA">
        <w:rPr>
          <w:rFonts w:cs="Cambria"/>
          <w:sz w:val="20"/>
          <w:szCs w:val="20"/>
          <w:lang w:val="fi-FI"/>
        </w:rPr>
        <w:t>ź</w:t>
      </w:r>
      <w:r w:rsidRPr="00FB4EFA">
        <w:rPr>
          <w:sz w:val="20"/>
          <w:szCs w:val="20"/>
          <w:lang w:val="fi-FI"/>
        </w:rPr>
        <w:t>dzi</w:t>
      </w:r>
      <w:r w:rsidRPr="00FB4EFA">
        <w:rPr>
          <w:rFonts w:cs="Cambria"/>
          <w:sz w:val="20"/>
          <w:szCs w:val="20"/>
          <w:lang w:val="fi-FI"/>
        </w:rPr>
        <w:t>ą</w:t>
      </w:r>
      <w:r w:rsidRPr="00FB4EFA">
        <w:rPr>
          <w:sz w:val="20"/>
          <w:szCs w:val="20"/>
          <w:lang w:val="fi-FI"/>
        </w:rPr>
        <w:t xml:space="preserve"> rymicasi</w:t>
      </w:r>
      <w:r w:rsidRPr="00FB4EFA">
        <w:rPr>
          <w:rFonts w:cs="Cambria"/>
          <w:sz w:val="20"/>
          <w:szCs w:val="20"/>
          <w:lang w:val="fi-FI"/>
        </w:rPr>
        <w:t>ę</w:t>
      </w:r>
      <w:r w:rsidRPr="00FB4EFA">
        <w:rPr>
          <w:sz w:val="20"/>
          <w:szCs w:val="20"/>
          <w:lang w:val="fi-FI"/>
        </w:rPr>
        <w:t>. 5. Wyrost</w:t>
      </w:r>
      <w:r w:rsidRPr="00FB4EFA">
        <w:rPr>
          <w:rFonts w:cs="Cambria"/>
          <w:sz w:val="20"/>
          <w:szCs w:val="20"/>
          <w:lang w:val="fi-FI"/>
        </w:rPr>
        <w:t>ą</w:t>
      </w:r>
      <w:r w:rsidRPr="00FB4EFA">
        <w:rPr>
          <w:sz w:val="20"/>
          <w:szCs w:val="20"/>
          <w:lang w:val="fi-FI"/>
        </w:rPr>
        <w:t>zo rzeb decydan nie</w:t>
      </w:r>
      <w:r w:rsidRPr="00FB4EFA">
        <w:rPr>
          <w:rFonts w:cs="Cambria"/>
          <w:sz w:val="20"/>
          <w:szCs w:val="20"/>
          <w:lang w:val="fi-FI"/>
        </w:rPr>
        <w:t>ż</w:t>
      </w:r>
      <w:r w:rsidRPr="00FB4EFA">
        <w:rPr>
          <w:sz w:val="20"/>
          <w:szCs w:val="20"/>
          <w:lang w:val="fi-FI"/>
        </w:rPr>
        <w:t xml:space="preserve">ucieja </w:t>
      </w:r>
      <w:r w:rsidRPr="00FB4EFA">
        <w:rPr>
          <w:rFonts w:cs="Cambria"/>
          <w:sz w:val="20"/>
          <w:szCs w:val="20"/>
          <w:lang w:val="fi-FI"/>
        </w:rPr>
        <w:t>ł</w:t>
      </w:r>
      <w:r w:rsidRPr="00FB4EFA">
        <w:rPr>
          <w:sz w:val="20"/>
          <w:szCs w:val="20"/>
          <w:lang w:val="fi-FI"/>
        </w:rPr>
        <w:t>acj</w:t>
      </w:r>
      <w:r w:rsidRPr="00FB4EFA">
        <w:rPr>
          <w:rFonts w:cs="Cambria"/>
          <w:sz w:val="20"/>
          <w:szCs w:val="20"/>
          <w:lang w:val="fi-FI"/>
        </w:rPr>
        <w:t>ę</w:t>
      </w:r>
      <w:r w:rsidRPr="00FB4EFA">
        <w:rPr>
          <w:sz w:val="20"/>
          <w:szCs w:val="20"/>
          <w:lang w:val="fi-FI"/>
        </w:rPr>
        <w:t>za chomia</w:t>
      </w:r>
      <w:r w:rsidRPr="00FB4EFA">
        <w:rPr>
          <w:rFonts w:cs="Cambria"/>
          <w:sz w:val="20"/>
          <w:szCs w:val="20"/>
          <w:lang w:val="fi-FI"/>
        </w:rPr>
        <w:t>łę</w:t>
      </w:r>
      <w:r w:rsidRPr="00FB4EFA">
        <w:rPr>
          <w:sz w:val="20"/>
          <w:szCs w:val="20"/>
          <w:lang w:val="fi-FI"/>
        </w:rPr>
        <w:t xml:space="preserve"> p</w:t>
      </w:r>
      <w:r w:rsidRPr="00FB4EFA">
        <w:rPr>
          <w:rFonts w:cs="Cambria"/>
          <w:sz w:val="20"/>
          <w:szCs w:val="20"/>
          <w:lang w:val="fi-FI"/>
        </w:rPr>
        <w:t>ł</w:t>
      </w:r>
      <w:r w:rsidRPr="00FB4EFA">
        <w:rPr>
          <w:sz w:val="20"/>
          <w:szCs w:val="20"/>
          <w:lang w:val="fi-FI"/>
        </w:rPr>
        <w:t>odzie ja mac ozukój</w:t>
      </w:r>
      <w:r w:rsidRPr="00FB4EFA">
        <w:rPr>
          <w:rFonts w:cs="Cambria"/>
          <w:sz w:val="20"/>
          <w:szCs w:val="20"/>
          <w:lang w:val="fi-FI"/>
        </w:rPr>
        <w:t>łę</w:t>
      </w:r>
      <w:r w:rsidRPr="00FB4EFA">
        <w:rPr>
          <w:sz w:val="20"/>
          <w:szCs w:val="20"/>
          <w:lang w:val="fi-FI"/>
        </w:rPr>
        <w:t>.</w:t>
      </w:r>
    </w:p>
    <w:p w14:paraId="438689F1" w14:textId="77777777" w:rsidR="00EF1775" w:rsidRPr="00FB4EFA" w:rsidRDefault="00EF1775" w:rsidP="00A219CF">
      <w:pPr>
        <w:spacing w:before="240"/>
        <w:rPr>
          <w:lang w:val="fi-FI"/>
        </w:rPr>
      </w:pPr>
      <w:r w:rsidRPr="00FB4EFA">
        <w:rPr>
          <w:lang w:val="fi-FI"/>
        </w:rPr>
        <w:t xml:space="preserve">Peltokuilinan sanat eivät ole niin pitkiä kuin miltä ne maallikolle näyttävät, koska moni konsonantti kirjoitetaan kahdella kirjaimella: näitä digrafeja ovat esimerkiksi </w:t>
      </w:r>
      <w:r w:rsidRPr="00FB4EFA">
        <w:rPr>
          <w:i/>
          <w:lang w:val="fi-FI"/>
        </w:rPr>
        <w:t>sz</w:t>
      </w:r>
      <w:r w:rsidRPr="00FB4EFA">
        <w:rPr>
          <w:lang w:val="fi-FI"/>
        </w:rPr>
        <w:t xml:space="preserve"> [</w:t>
      </w:r>
      <w:r w:rsidRPr="00FB4EFA">
        <w:rPr>
          <w:rFonts w:cs="Cambria"/>
          <w:lang w:val="fi-FI"/>
        </w:rPr>
        <w:t>š</w:t>
      </w:r>
      <w:r w:rsidRPr="00FB4EFA">
        <w:rPr>
          <w:lang w:val="fi-FI"/>
        </w:rPr>
        <w:t xml:space="preserve">], </w:t>
      </w:r>
      <w:r w:rsidRPr="00FB4EFA">
        <w:rPr>
          <w:i/>
          <w:lang w:val="fi-FI"/>
        </w:rPr>
        <w:t>cz</w:t>
      </w:r>
      <w:r w:rsidRPr="00FB4EFA">
        <w:rPr>
          <w:lang w:val="fi-FI"/>
        </w:rPr>
        <w:t xml:space="preserve"> [</w:t>
      </w:r>
      <w:r w:rsidRPr="00FB4EFA">
        <w:rPr>
          <w:rFonts w:cs="Cambria"/>
          <w:lang w:val="fi-FI"/>
        </w:rPr>
        <w:t>č</w:t>
      </w:r>
      <w:r w:rsidRPr="00FB4EFA">
        <w:rPr>
          <w:lang w:val="fi-FI"/>
        </w:rPr>
        <w:t xml:space="preserve">] ja </w:t>
      </w:r>
      <w:r w:rsidRPr="00FB4EFA">
        <w:rPr>
          <w:i/>
          <w:lang w:val="fi-FI"/>
        </w:rPr>
        <w:t>rz</w:t>
      </w:r>
      <w:r w:rsidRPr="00FB4EFA">
        <w:rPr>
          <w:lang w:val="fi-FI"/>
        </w:rPr>
        <w:t xml:space="preserve"> [</w:t>
      </w:r>
      <w:r w:rsidRPr="00FB4EFA">
        <w:rPr>
          <w:rFonts w:cs="Cambria"/>
          <w:lang w:val="fi-FI"/>
        </w:rPr>
        <w:t>ž</w:t>
      </w:r>
      <w:r w:rsidRPr="00FB4EFA">
        <w:rPr>
          <w:lang w:val="fi-FI"/>
        </w:rPr>
        <w:t>]. Itse asiassa kaikissa l</w:t>
      </w:r>
      <w:r w:rsidRPr="00FB4EFA">
        <w:rPr>
          <w:rFonts w:cs="Old Standard TT"/>
          <w:lang w:val="fi-FI"/>
        </w:rPr>
        <w:t>ä</w:t>
      </w:r>
      <w:r w:rsidRPr="00FB4EFA">
        <w:rPr>
          <w:lang w:val="fi-FI"/>
        </w:rPr>
        <w:t>nsi- ja etel</w:t>
      </w:r>
      <w:r w:rsidRPr="00FB4EFA">
        <w:rPr>
          <w:rFonts w:cs="Old Standard TT"/>
          <w:lang w:val="fi-FI"/>
        </w:rPr>
        <w:t>ä</w:t>
      </w:r>
      <w:r w:rsidRPr="00FB4EFA">
        <w:rPr>
          <w:lang w:val="fi-FI"/>
        </w:rPr>
        <w:t>kuilinaisissa kieliss</w:t>
      </w:r>
      <w:r w:rsidRPr="00FB4EFA">
        <w:rPr>
          <w:rFonts w:cs="Old Standard TT"/>
          <w:lang w:val="fi-FI"/>
        </w:rPr>
        <w:t>ä</w:t>
      </w:r>
      <w:r w:rsidRPr="00FB4EFA">
        <w:rPr>
          <w:lang w:val="fi-FI"/>
        </w:rPr>
        <w:t xml:space="preserve"> sanamuodot ovat lyhyempi</w:t>
      </w:r>
      <w:r w:rsidRPr="00FB4EFA">
        <w:rPr>
          <w:rFonts w:cs="Old Standard TT"/>
          <w:lang w:val="fi-FI"/>
        </w:rPr>
        <w:t>ä</w:t>
      </w:r>
      <w:r w:rsidRPr="00FB4EFA">
        <w:rPr>
          <w:lang w:val="fi-FI"/>
        </w:rPr>
        <w:t xml:space="preserve"> kuin it</w:t>
      </w:r>
      <w:r w:rsidRPr="00FB4EFA">
        <w:rPr>
          <w:rFonts w:cs="Old Standard TT"/>
          <w:lang w:val="fi-FI"/>
        </w:rPr>
        <w:t>ä</w:t>
      </w:r>
      <w:r w:rsidRPr="00FB4EFA">
        <w:rPr>
          <w:lang w:val="fi-FI"/>
        </w:rPr>
        <w:t>kuilinassa, jossa vokaalien v</w:t>
      </w:r>
      <w:r w:rsidRPr="00FB4EFA">
        <w:rPr>
          <w:rFonts w:cs="Old Standard TT"/>
          <w:lang w:val="fi-FI"/>
        </w:rPr>
        <w:t>ä</w:t>
      </w:r>
      <w:r w:rsidRPr="00FB4EFA">
        <w:rPr>
          <w:lang w:val="fi-FI"/>
        </w:rPr>
        <w:t xml:space="preserve">linen </w:t>
      </w:r>
      <w:r w:rsidRPr="00FB4EFA">
        <w:rPr>
          <w:i/>
          <w:lang w:val="fi-FI"/>
        </w:rPr>
        <w:t>j</w:t>
      </w:r>
      <w:r w:rsidRPr="00FB4EFA">
        <w:rPr>
          <w:lang w:val="fi-FI"/>
        </w:rPr>
        <w:t xml:space="preserve"> on säilynyt kaikissa asemissa. Erityisen yleinen tämä -</w:t>
      </w:r>
      <w:r w:rsidRPr="00FB4EFA">
        <w:rPr>
          <w:i/>
          <w:lang w:val="fi-FI"/>
        </w:rPr>
        <w:t>j</w:t>
      </w:r>
      <w:r w:rsidRPr="00FB4EFA">
        <w:rPr>
          <w:lang w:val="fi-FI"/>
        </w:rPr>
        <w:t xml:space="preserve">- on painottoman vokaalin jäljessä kantasuomen klusiilin tai sibilantin paikalla. Sen kadotessa muodostui länsikuilinaan uusia pitkiä vokaaleja. Lisäksi vokaali piteni aina kadonneita </w:t>
      </w:r>
      <w:r w:rsidRPr="00FB4EFA">
        <w:rPr>
          <w:i/>
          <w:iCs/>
          <w:lang w:val="fi-FI"/>
        </w:rPr>
        <w:t>i</w:t>
      </w:r>
      <w:r w:rsidRPr="00FB4EFA">
        <w:rPr>
          <w:lang w:val="fi-FI"/>
        </w:rPr>
        <w:t xml:space="preserve">:tä ja </w:t>
      </w:r>
      <w:r w:rsidRPr="00FB4EFA">
        <w:rPr>
          <w:i/>
          <w:iCs/>
          <w:lang w:val="fi-FI"/>
        </w:rPr>
        <w:t>u</w:t>
      </w:r>
      <w:r w:rsidRPr="00FB4EFA">
        <w:rPr>
          <w:lang w:val="fi-FI"/>
        </w:rPr>
        <w:t>:ta (</w:t>
      </w:r>
      <w:r w:rsidRPr="00FB4EFA">
        <w:rPr>
          <w:rFonts w:ascii="OS Jeremy" w:hAnsi="OS Jeremy" w:cs="Cambria"/>
          <w:i/>
          <w:iCs/>
          <w:lang w:val="fi-FI"/>
        </w:rPr>
        <w:t>ь</w:t>
      </w:r>
      <w:r w:rsidRPr="00FB4EFA">
        <w:rPr>
          <w:rFonts w:ascii="OS Jeremy" w:hAnsi="OS Jeremy"/>
          <w:lang w:val="fi-FI"/>
        </w:rPr>
        <w:t xml:space="preserve">, </w:t>
      </w:r>
      <w:r w:rsidRPr="00FB4EFA">
        <w:rPr>
          <w:rFonts w:ascii="OS Jeremy" w:hAnsi="OS Jeremy" w:cs="Cambria"/>
          <w:i/>
          <w:iCs/>
          <w:lang w:val="fi-FI"/>
        </w:rPr>
        <w:t>ъ</w:t>
      </w:r>
      <w:r w:rsidRPr="00FB4EFA">
        <w:rPr>
          <w:lang w:val="fi-FI"/>
        </w:rPr>
        <w:t>) edeltäneessä tavussa.</w:t>
      </w:r>
    </w:p>
    <w:p w14:paraId="1B66C456" w14:textId="77777777" w:rsidR="00EF1775" w:rsidRPr="00FB4EFA" w:rsidRDefault="00EF1775" w:rsidP="00A219CF">
      <w:pPr>
        <w:ind w:firstLine="709"/>
        <w:rPr>
          <w:lang w:val="fi-FI"/>
        </w:rPr>
      </w:pPr>
      <w:r w:rsidRPr="00FB4EFA">
        <w:rPr>
          <w:lang w:val="fi-FI"/>
        </w:rPr>
        <w:t xml:space="preserve">Peltokuilinan tekevät erityisen viehättäväksi siinä säilyneet nasaalivokaalit </w:t>
      </w:r>
      <w:r w:rsidRPr="00FB4EFA">
        <w:rPr>
          <w:rFonts w:cs="Cambria"/>
          <w:i/>
          <w:iCs/>
          <w:lang w:val="fi-FI"/>
        </w:rPr>
        <w:t>ą</w:t>
      </w:r>
      <w:r w:rsidRPr="00FB4EFA">
        <w:rPr>
          <w:lang w:val="fi-FI"/>
        </w:rPr>
        <w:t xml:space="preserve"> ja </w:t>
      </w:r>
      <w:r w:rsidRPr="00FB4EFA">
        <w:rPr>
          <w:rFonts w:cs="Cambria"/>
          <w:i/>
          <w:iCs/>
          <w:lang w:val="fi-FI"/>
        </w:rPr>
        <w:t>ę</w:t>
      </w:r>
      <w:r w:rsidRPr="00FB4EFA">
        <w:rPr>
          <w:lang w:val="fi-FI"/>
        </w:rPr>
        <w:t xml:space="preserve">, olkoonkin, että moni foneetikko niitten aitouden kiistää: kuuluvat tarkasti ottaen olevan nasaaliloppuisia diftongeja. Niitten jakaumakaan ei ole sama kuin muinaiskirkkokuilinan alkuperäisten nasaalivokaalien </w:t>
      </w:r>
      <w:r w:rsidRPr="00FB4EFA">
        <w:rPr>
          <w:rFonts w:cs="Cambria"/>
          <w:i/>
          <w:iCs/>
          <w:lang w:val="fi-FI"/>
        </w:rPr>
        <w:t>ą</w:t>
      </w:r>
      <w:r w:rsidRPr="00FB4EFA">
        <w:rPr>
          <w:rFonts w:cstheme="minorHAnsi"/>
          <w:lang w:val="fi-FI"/>
        </w:rPr>
        <w:t xml:space="preserve"> </w:t>
      </w:r>
      <w:r w:rsidRPr="00FB4EFA">
        <w:rPr>
          <w:lang w:val="fi-FI"/>
        </w:rPr>
        <w:t>(</w:t>
      </w:r>
      <w:r w:rsidRPr="00FB4EFA">
        <w:rPr>
          <w:rFonts w:ascii="OS Jeremy" w:hAnsi="OS Jeremy" w:cs="Cambria"/>
          <w:i/>
          <w:iCs/>
          <w:lang w:val="fi-FI"/>
        </w:rPr>
        <w:t>ѫ</w:t>
      </w:r>
      <w:r w:rsidRPr="00FB4EFA">
        <w:rPr>
          <w:lang w:val="fi-FI"/>
        </w:rPr>
        <w:t xml:space="preserve">) ja </w:t>
      </w:r>
      <w:r w:rsidRPr="00FB4EFA">
        <w:rPr>
          <w:rFonts w:cs="Cambria"/>
          <w:i/>
          <w:iCs/>
          <w:lang w:val="fi-FI"/>
        </w:rPr>
        <w:t>ę</w:t>
      </w:r>
      <w:r w:rsidRPr="00FB4EFA">
        <w:rPr>
          <w:rFonts w:cstheme="minorHAnsi"/>
          <w:lang w:val="fi-FI"/>
        </w:rPr>
        <w:t xml:space="preserve"> </w:t>
      </w:r>
      <w:r w:rsidRPr="00FB4EFA">
        <w:rPr>
          <w:lang w:val="fi-FI"/>
        </w:rPr>
        <w:t>(</w:t>
      </w:r>
      <w:r w:rsidRPr="00FB4EFA">
        <w:rPr>
          <w:rFonts w:ascii="OS Jeremy" w:hAnsi="OS Jeremy" w:cs="Cambria"/>
          <w:i/>
          <w:iCs/>
          <w:lang w:val="fi-FI"/>
        </w:rPr>
        <w:t>ѧ</w:t>
      </w:r>
      <w:r w:rsidRPr="00FB4EFA">
        <w:rPr>
          <w:lang w:val="fi-FI"/>
        </w:rPr>
        <w:t>), vaan nämä ovat ensin langenneet yhteen ja sitten niihin on muinaispeltokuilinassa syntynyt pituusero. Nykyinen</w:t>
      </w:r>
      <w:r w:rsidRPr="00FB4EFA">
        <w:rPr>
          <w:i/>
          <w:iCs/>
          <w:lang w:val="fi-FI"/>
        </w:rPr>
        <w:t xml:space="preserve"> </w:t>
      </w:r>
      <w:r w:rsidRPr="00FB4EFA">
        <w:rPr>
          <w:rFonts w:cs="Cambria"/>
          <w:i/>
          <w:iCs/>
          <w:lang w:val="fi-FI"/>
        </w:rPr>
        <w:t>ą</w:t>
      </w:r>
      <w:r w:rsidRPr="00FB4EFA">
        <w:rPr>
          <w:lang w:val="fi-FI"/>
        </w:rPr>
        <w:t xml:space="preserve"> jatkaa pitkää ja</w:t>
      </w:r>
      <w:r w:rsidRPr="00FB4EFA">
        <w:rPr>
          <w:i/>
          <w:iCs/>
          <w:lang w:val="fi-FI"/>
        </w:rPr>
        <w:t xml:space="preserve"> </w:t>
      </w:r>
      <w:r w:rsidRPr="00FB4EFA">
        <w:rPr>
          <w:rFonts w:cs="Cambria"/>
          <w:i/>
          <w:iCs/>
          <w:lang w:val="fi-FI"/>
        </w:rPr>
        <w:t>ę</w:t>
      </w:r>
      <w:r w:rsidRPr="00FB4EFA">
        <w:rPr>
          <w:lang w:val="fi-FI"/>
        </w:rPr>
        <w:t xml:space="preserve"> lyhyttä nasaalivokaalia. Vastaavasti </w:t>
      </w:r>
      <w:r w:rsidRPr="00FB4EFA">
        <w:rPr>
          <w:i/>
          <w:iCs/>
          <w:lang w:val="fi-FI"/>
        </w:rPr>
        <w:t>ó</w:t>
      </w:r>
      <w:r w:rsidRPr="00FB4EFA">
        <w:rPr>
          <w:lang w:val="fi-FI"/>
        </w:rPr>
        <w:t xml:space="preserve"> [</w:t>
      </w:r>
      <w:r w:rsidRPr="00FB4EFA">
        <w:rPr>
          <w:i/>
          <w:iCs/>
          <w:lang w:val="fi-FI"/>
        </w:rPr>
        <w:t>u</w:t>
      </w:r>
      <w:r w:rsidRPr="00FB4EFA">
        <w:rPr>
          <w:lang w:val="fi-FI"/>
        </w:rPr>
        <w:t xml:space="preserve">] on syntynyt aiemmasta pitkästä </w:t>
      </w:r>
      <w:r w:rsidRPr="00FB4EFA">
        <w:rPr>
          <w:i/>
          <w:iCs/>
          <w:lang w:val="fi-FI"/>
        </w:rPr>
        <w:t>o</w:t>
      </w:r>
      <w:r w:rsidRPr="00FB4EFA">
        <w:rPr>
          <w:lang w:val="fi-FI"/>
        </w:rPr>
        <w:t xml:space="preserve">:sta ja vaihtelee paradigmoissa </w:t>
      </w:r>
      <w:r w:rsidRPr="00FB4EFA">
        <w:rPr>
          <w:i/>
          <w:iCs/>
          <w:lang w:val="fi-FI"/>
        </w:rPr>
        <w:t>o</w:t>
      </w:r>
      <w:r w:rsidRPr="00FB4EFA">
        <w:rPr>
          <w:lang w:val="fi-FI"/>
        </w:rPr>
        <w:t xml:space="preserve">:n kanssa, vaikkapa sanassa </w:t>
      </w:r>
      <w:r w:rsidRPr="00FB4EFA">
        <w:rPr>
          <w:i/>
          <w:iCs/>
          <w:lang w:val="fi-FI"/>
        </w:rPr>
        <w:t>mó</w:t>
      </w:r>
      <w:r w:rsidRPr="00FB4EFA">
        <w:rPr>
          <w:rFonts w:cs="Cambria"/>
          <w:i/>
          <w:iCs/>
          <w:lang w:val="fi-FI"/>
        </w:rPr>
        <w:t>ń</w:t>
      </w:r>
      <w:r w:rsidRPr="00FB4EFA">
        <w:rPr>
          <w:lang w:val="fi-FI"/>
        </w:rPr>
        <w:t xml:space="preserve"> ’moni’ : </w:t>
      </w:r>
      <w:r w:rsidRPr="00FB4EFA">
        <w:rPr>
          <w:i/>
          <w:iCs/>
          <w:lang w:val="fi-FI"/>
        </w:rPr>
        <w:t>mona</w:t>
      </w:r>
      <w:r w:rsidRPr="00FB4EFA">
        <w:rPr>
          <w:lang w:val="fi-FI"/>
        </w:rPr>
        <w:t xml:space="preserve"> ’monet’.</w:t>
      </w:r>
    </w:p>
    <w:p w14:paraId="5086CC4A" w14:textId="77777777" w:rsidR="00EF1775" w:rsidRPr="00FB4EFA" w:rsidRDefault="00EF1775" w:rsidP="00A219CF">
      <w:pPr>
        <w:rPr>
          <w:lang w:val="fi-FI"/>
        </w:rPr>
      </w:pPr>
      <w:r w:rsidRPr="00FB4EFA">
        <w:rPr>
          <w:lang w:val="fi-FI"/>
        </w:rPr>
        <w:t xml:space="preserve">Katolisen keskieurooppalaisen maan kielenä peltokuilina on lainannut paljon latinasta ja saksasta, joitten sanastollinen vaikutus näkyy tässäkin tekstissä: </w:t>
      </w:r>
      <w:r w:rsidRPr="00FB4EFA">
        <w:rPr>
          <w:i/>
          <w:iCs/>
          <w:lang w:val="fi-FI"/>
        </w:rPr>
        <w:t xml:space="preserve">miewa </w:t>
      </w:r>
      <w:r w:rsidRPr="00FB4EFA">
        <w:rPr>
          <w:i/>
          <w:iCs/>
          <w:u w:val="single"/>
          <w:lang w:val="fi-FI"/>
        </w:rPr>
        <w:t>spiczedza</w:t>
      </w:r>
      <w:r w:rsidRPr="00FB4EFA">
        <w:rPr>
          <w:i/>
          <w:iCs/>
          <w:lang w:val="fi-FI"/>
        </w:rPr>
        <w:t xml:space="preserve"> krowaka</w:t>
      </w:r>
      <w:r w:rsidRPr="00FB4EFA">
        <w:rPr>
          <w:lang w:val="fi-FI"/>
        </w:rPr>
        <w:t xml:space="preserve">, </w:t>
      </w:r>
      <w:r w:rsidRPr="00FB4EFA">
        <w:rPr>
          <w:i/>
          <w:iCs/>
          <w:lang w:val="fi-FI"/>
        </w:rPr>
        <w:t xml:space="preserve">rzeb </w:t>
      </w:r>
      <w:r w:rsidRPr="00FB4EFA">
        <w:rPr>
          <w:i/>
          <w:iCs/>
          <w:u w:val="single"/>
          <w:lang w:val="fi-FI"/>
        </w:rPr>
        <w:t>decydan</w:t>
      </w:r>
      <w:r w:rsidRPr="00FB4EFA">
        <w:rPr>
          <w:i/>
          <w:iCs/>
          <w:lang w:val="fi-FI"/>
        </w:rPr>
        <w:t xml:space="preserve"> nie</w:t>
      </w:r>
      <w:r w:rsidRPr="00FB4EFA">
        <w:rPr>
          <w:rFonts w:cs="Cambria"/>
          <w:i/>
          <w:iCs/>
          <w:lang w:val="fi-FI"/>
        </w:rPr>
        <w:t>ż</w:t>
      </w:r>
      <w:r w:rsidRPr="00FB4EFA">
        <w:rPr>
          <w:i/>
          <w:iCs/>
          <w:lang w:val="fi-FI"/>
        </w:rPr>
        <w:t>ucieja</w:t>
      </w:r>
      <w:r w:rsidRPr="00FB4EFA">
        <w:rPr>
          <w:lang w:val="fi-FI"/>
        </w:rPr>
        <w:t>. Latinaa peltokuilina muistuttaa rytmiltänsäkin, joka kuitenkin on säännöllisempää: sanan pääpaino osuu aina toiseksi viimeiselle tavulle.</w:t>
      </w:r>
    </w:p>
    <w:p w14:paraId="5E5823CC" w14:textId="77777777" w:rsidR="00EF1775" w:rsidRPr="00FB4EFA" w:rsidRDefault="00EF1775" w:rsidP="00A219CF">
      <w:pPr>
        <w:ind w:firstLine="709"/>
        <w:rPr>
          <w:lang w:val="fi-FI"/>
        </w:rPr>
      </w:pPr>
      <w:r w:rsidRPr="00FB4EFA">
        <w:rPr>
          <w:lang w:val="fi-FI"/>
        </w:rPr>
        <w:t xml:space="preserve">Yleisemminkään eivät indoeurooppalaisten kielten läheisyydessä puhuttavat läntiset ja eteläiset kuilinakielet ole voineet vastustaa monia niitten houkuttelevia ominaisuuksia, joista yksi näkyvimmistä on </w:t>
      </w:r>
      <w:r w:rsidRPr="00FB4EFA">
        <w:rPr>
          <w:i/>
          <w:iCs/>
          <w:lang w:val="fi-FI"/>
        </w:rPr>
        <w:t>habeo</w:t>
      </w:r>
      <w:r w:rsidRPr="00FB4EFA">
        <w:rPr>
          <w:lang w:val="fi-FI"/>
        </w:rPr>
        <w:t xml:space="preserve">-rakenne. Niinpä peltokuilinassakin </w:t>
      </w:r>
      <w:r w:rsidRPr="00FB4EFA">
        <w:rPr>
          <w:i/>
          <w:iCs/>
          <w:lang w:val="fi-FI"/>
        </w:rPr>
        <w:t>rzebiedzyka</w:t>
      </w:r>
      <w:r w:rsidRPr="00FB4EFA">
        <w:rPr>
          <w:lang w:val="fi-FI"/>
        </w:rPr>
        <w:t xml:space="preserve">, ketunpennut, </w:t>
      </w:r>
      <w:r w:rsidRPr="00FB4EFA">
        <w:rPr>
          <w:i/>
          <w:iCs/>
          <w:u w:val="single"/>
          <w:lang w:val="fi-FI"/>
        </w:rPr>
        <w:t>miewa</w:t>
      </w:r>
      <w:r w:rsidRPr="00FB4EFA">
        <w:rPr>
          <w:i/>
          <w:iCs/>
          <w:lang w:val="fi-FI"/>
        </w:rPr>
        <w:t xml:space="preserve"> spiczedza krowaka</w:t>
      </w:r>
      <w:r w:rsidRPr="00FB4EFA">
        <w:rPr>
          <w:lang w:val="fi-FI"/>
        </w:rPr>
        <w:t>. Tämä monikkomuoto on oikeastaan analogiaa yksi</w:t>
      </w:r>
      <w:r w:rsidRPr="00FB4EFA">
        <w:rPr>
          <w:lang w:val="fi-FI"/>
        </w:rPr>
        <w:lastRenderedPageBreak/>
        <w:t xml:space="preserve">kön kolmannen persoonan muodosta </w:t>
      </w:r>
      <w:r w:rsidRPr="00FB4EFA">
        <w:rPr>
          <w:i/>
          <w:iCs/>
          <w:lang w:val="fi-FI"/>
        </w:rPr>
        <w:t>miew</w:t>
      </w:r>
      <w:r w:rsidRPr="00FB4EFA">
        <w:rPr>
          <w:lang w:val="fi-FI"/>
        </w:rPr>
        <w:t>. Vaikka konsonanttiyhtymät peltokuilinan herkkua ovatkin, ei sekään aivan kaikkiruokainen ole, joten äännelaillinen *</w:t>
      </w:r>
      <w:r w:rsidRPr="00FB4EFA">
        <w:rPr>
          <w:i/>
          <w:iCs/>
          <w:lang w:val="fi-FI"/>
        </w:rPr>
        <w:t>mwa</w:t>
      </w:r>
      <w:r w:rsidRPr="00FB4EFA">
        <w:rPr>
          <w:lang w:val="fi-FI"/>
        </w:rPr>
        <w:t xml:space="preserve"> on saanut väistyä. Infinitiivi on </w:t>
      </w:r>
      <w:r w:rsidRPr="00FB4EFA">
        <w:rPr>
          <w:i/>
          <w:iCs/>
          <w:lang w:val="fi-FI"/>
        </w:rPr>
        <w:t>omie</w:t>
      </w:r>
      <w:r w:rsidRPr="00FB4EFA">
        <w:rPr>
          <w:lang w:val="fi-FI"/>
        </w:rPr>
        <w:t xml:space="preserve">, mikä paljastaa sanan suomen </w:t>
      </w:r>
      <w:r w:rsidRPr="00FB4EFA">
        <w:rPr>
          <w:i/>
          <w:iCs/>
          <w:lang w:val="fi-FI"/>
        </w:rPr>
        <w:t>omia</w:t>
      </w:r>
      <w:r w:rsidRPr="00FB4EFA">
        <w:rPr>
          <w:lang w:val="fi-FI"/>
        </w:rPr>
        <w:t>-verbin vastineeksi; sananalkuisen vokaalin kato on peltokuilinassa epäsäännöllistä, muttei vallan tavatonta.</w:t>
      </w:r>
    </w:p>
    <w:p w14:paraId="76623F0B"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Bööminkuilina</w:t>
      </w:r>
    </w:p>
    <w:p w14:paraId="32198574" w14:textId="77D777DD" w:rsidR="00EF1775" w:rsidRPr="00FB4EFA" w:rsidRDefault="00EF1775" w:rsidP="00065E48">
      <w:pPr>
        <w:suppressAutoHyphens/>
        <w:spacing w:line="240" w:lineRule="auto"/>
        <w:ind w:left="708"/>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Řebíce týl ouku </w:t>
      </w:r>
      <w:r w:rsidRPr="00FB4EFA">
        <w:rPr>
          <w:rFonts w:cs="Old Standard TT"/>
          <w:sz w:val="20"/>
          <w:szCs w:val="20"/>
          <w:lang w:val="fi-FI"/>
        </w:rPr>
        <w:t>í</w:t>
      </w:r>
      <w:r w:rsidRPr="00FB4EFA">
        <w:rPr>
          <w:sz w:val="20"/>
          <w:szCs w:val="20"/>
          <w:lang w:val="fi-FI"/>
        </w:rPr>
        <w:t>la suk</w:t>
      </w:r>
      <w:r w:rsidRPr="00FB4EFA">
        <w:rPr>
          <w:rFonts w:cs="Old Standard TT"/>
          <w:sz w:val="20"/>
          <w:szCs w:val="20"/>
          <w:lang w:val="fi-FI"/>
        </w:rPr>
        <w:t>á</w:t>
      </w:r>
      <w:r w:rsidRPr="00FB4EFA">
        <w:rPr>
          <w:sz w:val="20"/>
          <w:szCs w:val="20"/>
          <w:lang w:val="fi-FI"/>
        </w:rPr>
        <w:t xml:space="preserve"> jilma lodo, vrd</w:t>
      </w:r>
      <w:r w:rsidRPr="00FB4EFA">
        <w:rPr>
          <w:rFonts w:cs="Cambria"/>
          <w:sz w:val="20"/>
          <w:szCs w:val="20"/>
          <w:lang w:val="fi-FI"/>
        </w:rPr>
        <w:t>ů</w:t>
      </w:r>
      <w:r w:rsidRPr="00FB4EFA">
        <w:rPr>
          <w:sz w:val="20"/>
          <w:szCs w:val="20"/>
          <w:lang w:val="fi-FI"/>
        </w:rPr>
        <w:t>n m</w:t>
      </w:r>
      <w:r w:rsidRPr="00FB4EFA">
        <w:rPr>
          <w:rFonts w:cs="Old Standard TT"/>
          <w:sz w:val="20"/>
          <w:szCs w:val="20"/>
          <w:lang w:val="fi-FI"/>
        </w:rPr>
        <w:t>á</w:t>
      </w:r>
      <w:r w:rsidRPr="00FB4EFA">
        <w:rPr>
          <w:sz w:val="20"/>
          <w:szCs w:val="20"/>
          <w:lang w:val="fi-FI"/>
        </w:rPr>
        <w:t>zu chudu je t</w:t>
      </w:r>
      <w:r w:rsidRPr="00FB4EFA">
        <w:rPr>
          <w:rFonts w:cs="Old Standard TT"/>
          <w:sz w:val="20"/>
          <w:szCs w:val="20"/>
          <w:lang w:val="fi-FI"/>
        </w:rPr>
        <w:t>í</w:t>
      </w:r>
      <w:r w:rsidRPr="00FB4EFA">
        <w:rPr>
          <w:sz w:val="20"/>
          <w:szCs w:val="20"/>
          <w:lang w:val="fi-FI"/>
        </w:rPr>
        <w:t>ň jzala síní p</w:t>
      </w:r>
      <w:r w:rsidRPr="00FB4EFA">
        <w:rPr>
          <w:rFonts w:cs="Old Standard TT"/>
          <w:sz w:val="20"/>
          <w:szCs w:val="20"/>
          <w:lang w:val="fi-FI"/>
        </w:rPr>
        <w:t>á</w:t>
      </w:r>
      <w:r w:rsidRPr="00FB4EFA">
        <w:rPr>
          <w:sz w:val="20"/>
          <w:szCs w:val="20"/>
          <w:lang w:val="fi-FI"/>
        </w:rPr>
        <w:t>nu. 2</w:t>
      </w:r>
      <w:r w:rsidR="00545033" w:rsidRPr="00FB4EFA">
        <w:rPr>
          <w:sz w:val="20"/>
          <w:szCs w:val="20"/>
          <w:lang w:val="fi-FI"/>
        </w:rPr>
        <w:t>.</w:t>
      </w:r>
      <w:r w:rsidRPr="00FB4EFA">
        <w:rPr>
          <w:sz w:val="20"/>
          <w:szCs w:val="20"/>
          <w:lang w:val="fi-FI"/>
        </w:rPr>
        <w:t xml:space="preserve"> J</w:t>
      </w:r>
      <w:r w:rsidRPr="00FB4EFA">
        <w:rPr>
          <w:rFonts w:cs="Old Standard TT"/>
          <w:sz w:val="20"/>
          <w:szCs w:val="20"/>
          <w:lang w:val="fi-FI"/>
        </w:rPr>
        <w:t>í</w:t>
      </w:r>
      <w:r w:rsidRPr="00FB4EFA">
        <w:rPr>
          <w:sz w:val="20"/>
          <w:szCs w:val="20"/>
          <w:lang w:val="fi-FI"/>
        </w:rPr>
        <w:t>teně pivězá-pěst</w:t>
      </w:r>
      <w:r w:rsidRPr="00FB4EFA">
        <w:rPr>
          <w:rFonts w:cs="Cambria"/>
          <w:sz w:val="20"/>
          <w:szCs w:val="20"/>
          <w:lang w:val="fi-FI"/>
        </w:rPr>
        <w:t>ů</w:t>
      </w:r>
      <w:r w:rsidRPr="00FB4EFA">
        <w:rPr>
          <w:sz w:val="20"/>
          <w:szCs w:val="20"/>
          <w:lang w:val="fi-FI"/>
        </w:rPr>
        <w:t>jzeně sevpivěno sazun něla něle Řeběsto. 3</w:t>
      </w:r>
      <w:r w:rsidR="00545033" w:rsidRPr="00FB4EFA">
        <w:rPr>
          <w:sz w:val="20"/>
          <w:szCs w:val="20"/>
          <w:lang w:val="fi-FI"/>
        </w:rPr>
        <w:t>.</w:t>
      </w:r>
      <w:r w:rsidRPr="00FB4EFA">
        <w:rPr>
          <w:sz w:val="20"/>
          <w:szCs w:val="20"/>
          <w:lang w:val="fi-FI"/>
        </w:rPr>
        <w:t xml:space="preserve"> Om</w:t>
      </w:r>
      <w:r w:rsidRPr="00FB4EFA">
        <w:rPr>
          <w:rFonts w:cs="Old Standard TT"/>
          <w:sz w:val="20"/>
          <w:szCs w:val="20"/>
          <w:lang w:val="fi-FI"/>
        </w:rPr>
        <w:t>á</w:t>
      </w:r>
      <w:r w:rsidRPr="00FB4EFA">
        <w:rPr>
          <w:sz w:val="20"/>
          <w:szCs w:val="20"/>
          <w:lang w:val="fi-FI"/>
        </w:rPr>
        <w:t xml:space="preserve"> ň</w:t>
      </w:r>
      <w:r w:rsidRPr="00FB4EFA">
        <w:rPr>
          <w:rFonts w:cs="Old Standard TT"/>
          <w:sz w:val="20"/>
          <w:szCs w:val="20"/>
          <w:lang w:val="fi-FI"/>
        </w:rPr>
        <w:t>á</w:t>
      </w:r>
      <w:r w:rsidRPr="00FB4EFA">
        <w:rPr>
          <w:sz w:val="20"/>
          <w:szCs w:val="20"/>
          <w:lang w:val="fi-FI"/>
        </w:rPr>
        <w:t xml:space="preserve"> </w:t>
      </w:r>
      <w:r w:rsidRPr="00FB4EFA">
        <w:rPr>
          <w:rFonts w:cs="Cambria"/>
          <w:sz w:val="20"/>
          <w:szCs w:val="20"/>
          <w:lang w:val="fi-FI"/>
        </w:rPr>
        <w:t>š</w:t>
      </w:r>
      <w:r w:rsidRPr="00FB4EFA">
        <w:rPr>
          <w:sz w:val="20"/>
          <w:szCs w:val="20"/>
          <w:lang w:val="fi-FI"/>
        </w:rPr>
        <w:t>el</w:t>
      </w:r>
      <w:r w:rsidRPr="00FB4EFA">
        <w:rPr>
          <w:rFonts w:cs="Old Standard TT"/>
          <w:sz w:val="20"/>
          <w:szCs w:val="20"/>
          <w:lang w:val="fi-FI"/>
        </w:rPr>
        <w:t>í</w:t>
      </w:r>
      <w:r w:rsidRPr="00FB4EFA">
        <w:rPr>
          <w:sz w:val="20"/>
          <w:szCs w:val="20"/>
          <w:lang w:val="fi-FI"/>
        </w:rPr>
        <w:t>c</w:t>
      </w:r>
      <w:r w:rsidRPr="00FB4EFA">
        <w:rPr>
          <w:rFonts w:cs="Old Standard TT"/>
          <w:sz w:val="20"/>
          <w:szCs w:val="20"/>
          <w:lang w:val="fi-FI"/>
        </w:rPr>
        <w:t>í</w:t>
      </w:r>
      <w:r w:rsidRPr="00FB4EFA">
        <w:rPr>
          <w:sz w:val="20"/>
          <w:szCs w:val="20"/>
          <w:lang w:val="fi-FI"/>
        </w:rPr>
        <w:t>: krav</w:t>
      </w:r>
      <w:r w:rsidRPr="00FB4EFA">
        <w:rPr>
          <w:rFonts w:cs="Old Standard TT"/>
          <w:sz w:val="20"/>
          <w:szCs w:val="20"/>
          <w:lang w:val="fi-FI"/>
        </w:rPr>
        <w:t>á</w:t>
      </w:r>
      <w:r w:rsidRPr="00FB4EFA">
        <w:rPr>
          <w:sz w:val="20"/>
          <w:szCs w:val="20"/>
          <w:lang w:val="fi-FI"/>
        </w:rPr>
        <w:t>k</w:t>
      </w:r>
      <w:r w:rsidRPr="00FB4EFA">
        <w:rPr>
          <w:rFonts w:cs="Old Standard TT"/>
          <w:sz w:val="20"/>
          <w:szCs w:val="20"/>
          <w:lang w:val="fi-FI"/>
        </w:rPr>
        <w:t>á</w:t>
      </w:r>
      <w:r w:rsidRPr="00FB4EFA">
        <w:rPr>
          <w:sz w:val="20"/>
          <w:szCs w:val="20"/>
          <w:lang w:val="fi-FI"/>
        </w:rPr>
        <w:t xml:space="preserve"> mev</w:t>
      </w:r>
      <w:r w:rsidRPr="00FB4EFA">
        <w:rPr>
          <w:rFonts w:cs="Old Standard TT"/>
          <w:sz w:val="20"/>
          <w:szCs w:val="20"/>
          <w:lang w:val="fi-FI"/>
        </w:rPr>
        <w:t>á</w:t>
      </w:r>
      <w:r w:rsidRPr="00FB4EFA">
        <w:rPr>
          <w:sz w:val="20"/>
          <w:szCs w:val="20"/>
          <w:lang w:val="fi-FI"/>
        </w:rPr>
        <w:t xml:space="preserve"> </w:t>
      </w:r>
      <w:r w:rsidRPr="00FB4EFA">
        <w:rPr>
          <w:rStyle w:val="tojvnm2t"/>
          <w:rFonts w:cs="Cambria"/>
          <w:sz w:val="20"/>
          <w:szCs w:val="20"/>
          <w:lang w:val="fi-FI"/>
        </w:rPr>
        <w:t>š</w:t>
      </w:r>
      <w:r w:rsidRPr="00FB4EFA">
        <w:rPr>
          <w:rStyle w:val="tojvnm2t"/>
          <w:sz w:val="20"/>
          <w:szCs w:val="20"/>
          <w:lang w:val="fi-FI"/>
        </w:rPr>
        <w:t>pi</w:t>
      </w:r>
      <w:r w:rsidRPr="00FB4EFA">
        <w:rPr>
          <w:rStyle w:val="tojvnm2t"/>
          <w:rFonts w:cs="Cambria"/>
          <w:sz w:val="20"/>
          <w:szCs w:val="20"/>
          <w:lang w:val="fi-FI"/>
        </w:rPr>
        <w:t>č</w:t>
      </w:r>
      <w:r w:rsidRPr="00FB4EFA">
        <w:rPr>
          <w:rStyle w:val="tojvnm2t"/>
          <w:sz w:val="20"/>
          <w:szCs w:val="20"/>
          <w:lang w:val="fi-FI"/>
        </w:rPr>
        <w:t>ez</w:t>
      </w:r>
      <w:r w:rsidRPr="00FB4EFA">
        <w:rPr>
          <w:rStyle w:val="tojvnm2t"/>
          <w:rFonts w:cs="Old Standard TT"/>
          <w:sz w:val="20"/>
          <w:szCs w:val="20"/>
          <w:lang w:val="fi-FI"/>
        </w:rPr>
        <w:t>á</w:t>
      </w:r>
      <w:r w:rsidRPr="00FB4EFA">
        <w:rPr>
          <w:sz w:val="20"/>
          <w:szCs w:val="20"/>
          <w:lang w:val="fi-FI"/>
        </w:rPr>
        <w:t>, nonáká je trbáká mstá, toboráká kladěz</w:t>
      </w:r>
      <w:r w:rsidRPr="00FB4EFA">
        <w:rPr>
          <w:rFonts w:cs="Old Standard TT"/>
          <w:sz w:val="20"/>
          <w:szCs w:val="20"/>
          <w:lang w:val="fi-FI"/>
        </w:rPr>
        <w:t>á</w:t>
      </w:r>
      <w:r w:rsidRPr="00FB4EFA">
        <w:rPr>
          <w:sz w:val="20"/>
          <w:szCs w:val="20"/>
          <w:lang w:val="fi-FI"/>
        </w:rPr>
        <w:t>, vohu n</w:t>
      </w:r>
      <w:r w:rsidRPr="00FB4EFA">
        <w:rPr>
          <w:rFonts w:cs="Old Standard TT"/>
          <w:sz w:val="20"/>
          <w:szCs w:val="20"/>
          <w:lang w:val="fi-FI"/>
        </w:rPr>
        <w:t>í</w:t>
      </w:r>
      <w:r w:rsidRPr="00FB4EFA">
        <w:rPr>
          <w:sz w:val="20"/>
          <w:szCs w:val="20"/>
          <w:lang w:val="fi-FI"/>
        </w:rPr>
        <w:t xml:space="preserve"> </w:t>
      </w:r>
      <w:r w:rsidRPr="00FB4EFA">
        <w:rPr>
          <w:rFonts w:cs="Cambria"/>
          <w:sz w:val="20"/>
          <w:szCs w:val="20"/>
          <w:lang w:val="fi-FI"/>
        </w:rPr>
        <w:t>š</w:t>
      </w:r>
      <w:r w:rsidRPr="00FB4EFA">
        <w:rPr>
          <w:sz w:val="20"/>
          <w:szCs w:val="20"/>
          <w:lang w:val="fi-FI"/>
        </w:rPr>
        <w:t>pi</w:t>
      </w:r>
      <w:r w:rsidRPr="00FB4EFA">
        <w:rPr>
          <w:rFonts w:cs="Cambria"/>
          <w:sz w:val="20"/>
          <w:szCs w:val="20"/>
          <w:lang w:val="fi-FI"/>
        </w:rPr>
        <w:t>č</w:t>
      </w:r>
      <w:r w:rsidRPr="00FB4EFA">
        <w:rPr>
          <w:rFonts w:cs="Old Standard TT"/>
          <w:sz w:val="20"/>
          <w:szCs w:val="20"/>
          <w:lang w:val="fi-FI"/>
        </w:rPr>
        <w:t>í</w:t>
      </w:r>
      <w:r w:rsidRPr="00FB4EFA">
        <w:rPr>
          <w:sz w:val="20"/>
          <w:szCs w:val="20"/>
          <w:lang w:val="fi-FI"/>
        </w:rPr>
        <w:t>ca vlah</w:t>
      </w:r>
      <w:r w:rsidRPr="00FB4EFA">
        <w:rPr>
          <w:rFonts w:cs="Old Standard TT"/>
          <w:sz w:val="20"/>
          <w:szCs w:val="20"/>
          <w:lang w:val="fi-FI"/>
        </w:rPr>
        <w:t>á</w:t>
      </w:r>
      <w:r w:rsidRPr="00FB4EFA">
        <w:rPr>
          <w:sz w:val="20"/>
          <w:szCs w:val="20"/>
          <w:lang w:val="fi-FI"/>
        </w:rPr>
        <w:t>, jleh</w:t>
      </w:r>
      <w:r w:rsidRPr="00FB4EFA">
        <w:rPr>
          <w:rFonts w:cs="Old Standard TT"/>
          <w:sz w:val="20"/>
          <w:szCs w:val="20"/>
          <w:lang w:val="fi-FI"/>
        </w:rPr>
        <w:t>á</w:t>
      </w:r>
      <w:r w:rsidRPr="00FB4EFA">
        <w:rPr>
          <w:sz w:val="20"/>
          <w:szCs w:val="20"/>
          <w:lang w:val="fi-FI"/>
        </w:rPr>
        <w:t>k</w:t>
      </w:r>
      <w:r w:rsidRPr="00FB4EFA">
        <w:rPr>
          <w:rFonts w:cs="Old Standard TT"/>
          <w:sz w:val="20"/>
          <w:szCs w:val="20"/>
          <w:lang w:val="fi-FI"/>
        </w:rPr>
        <w:t>á</w:t>
      </w:r>
      <w:r w:rsidRPr="00FB4EFA">
        <w:rPr>
          <w:sz w:val="20"/>
          <w:szCs w:val="20"/>
          <w:lang w:val="fi-FI"/>
        </w:rPr>
        <w:t xml:space="preserve"> mev</w:t>
      </w:r>
      <w:r w:rsidRPr="00FB4EFA">
        <w:rPr>
          <w:rFonts w:cs="Old Standard TT"/>
          <w:sz w:val="20"/>
          <w:szCs w:val="20"/>
          <w:lang w:val="fi-FI"/>
        </w:rPr>
        <w:t>á</w:t>
      </w:r>
      <w:r w:rsidRPr="00FB4EFA">
        <w:rPr>
          <w:sz w:val="20"/>
          <w:szCs w:val="20"/>
          <w:lang w:val="fi-FI"/>
        </w:rPr>
        <w:t xml:space="preserve"> piněz</w:t>
      </w:r>
      <w:r w:rsidRPr="00FB4EFA">
        <w:rPr>
          <w:rFonts w:cs="Old Standard TT"/>
          <w:sz w:val="20"/>
          <w:szCs w:val="20"/>
          <w:lang w:val="fi-FI"/>
        </w:rPr>
        <w:t>á</w:t>
      </w:r>
      <w:r w:rsidRPr="00FB4EFA">
        <w:rPr>
          <w:sz w:val="20"/>
          <w:szCs w:val="20"/>
          <w:lang w:val="fi-FI"/>
        </w:rPr>
        <w:t xml:space="preserve"> je r</w:t>
      </w:r>
      <w:r w:rsidRPr="00FB4EFA">
        <w:rPr>
          <w:rFonts w:cs="Old Standard TT"/>
          <w:sz w:val="20"/>
          <w:szCs w:val="20"/>
          <w:lang w:val="fi-FI"/>
        </w:rPr>
        <w:t>á</w:t>
      </w:r>
      <w:r w:rsidRPr="00FB4EFA">
        <w:rPr>
          <w:sz w:val="20"/>
          <w:szCs w:val="20"/>
          <w:lang w:val="fi-FI"/>
        </w:rPr>
        <w:t>pák</w:t>
      </w:r>
      <w:r w:rsidRPr="00FB4EFA">
        <w:rPr>
          <w:rFonts w:cs="Old Standard TT"/>
          <w:sz w:val="20"/>
          <w:szCs w:val="20"/>
          <w:lang w:val="fi-FI"/>
        </w:rPr>
        <w:t>á</w:t>
      </w:r>
      <w:r w:rsidRPr="00FB4EFA">
        <w:rPr>
          <w:sz w:val="20"/>
          <w:szCs w:val="20"/>
          <w:lang w:val="fi-FI"/>
        </w:rPr>
        <w:t xml:space="preserve"> och</w:t>
      </w:r>
      <w:r w:rsidRPr="00FB4EFA">
        <w:rPr>
          <w:rFonts w:cs="Old Standard TT"/>
          <w:sz w:val="20"/>
          <w:szCs w:val="20"/>
          <w:lang w:val="fi-FI"/>
        </w:rPr>
        <w:t>ý</w:t>
      </w:r>
      <w:r w:rsidRPr="00FB4EFA">
        <w:rPr>
          <w:rFonts w:cs="Cambria"/>
          <w:sz w:val="20"/>
          <w:szCs w:val="20"/>
          <w:lang w:val="fi-FI"/>
        </w:rPr>
        <w:t>č</w:t>
      </w:r>
      <w:r w:rsidRPr="00FB4EFA">
        <w:rPr>
          <w:sz w:val="20"/>
          <w:szCs w:val="20"/>
          <w:lang w:val="fi-FI"/>
        </w:rPr>
        <w:t>ez</w:t>
      </w:r>
      <w:r w:rsidRPr="00FB4EFA">
        <w:rPr>
          <w:rFonts w:cs="Old Standard TT"/>
          <w:sz w:val="20"/>
          <w:szCs w:val="20"/>
          <w:lang w:val="fi-FI"/>
        </w:rPr>
        <w:t>á</w:t>
      </w:r>
      <w:r w:rsidRPr="00FB4EFA">
        <w:rPr>
          <w:sz w:val="20"/>
          <w:szCs w:val="20"/>
          <w:lang w:val="fi-FI"/>
        </w:rPr>
        <w:t>. 4</w:t>
      </w:r>
      <w:r w:rsidR="00545033" w:rsidRPr="00FB4EFA">
        <w:rPr>
          <w:sz w:val="20"/>
          <w:szCs w:val="20"/>
          <w:lang w:val="fi-FI"/>
        </w:rPr>
        <w:t>.</w:t>
      </w:r>
      <w:r w:rsidRPr="00FB4EFA">
        <w:rPr>
          <w:sz w:val="20"/>
          <w:szCs w:val="20"/>
          <w:lang w:val="fi-FI"/>
        </w:rPr>
        <w:t xml:space="preserve"> Řeb-jeměňa jm</w:t>
      </w:r>
      <w:r w:rsidRPr="00FB4EFA">
        <w:rPr>
          <w:rFonts w:cs="Old Standard TT"/>
          <w:sz w:val="20"/>
          <w:szCs w:val="20"/>
          <w:lang w:val="fi-FI"/>
        </w:rPr>
        <w:t>í</w:t>
      </w:r>
      <w:r w:rsidRPr="00FB4EFA">
        <w:rPr>
          <w:sz w:val="20"/>
          <w:szCs w:val="20"/>
          <w:lang w:val="fi-FI"/>
        </w:rPr>
        <w:t xml:space="preserve">dělev jidě je se zdě </w:t>
      </w:r>
      <w:r w:rsidRPr="00FB4EFA">
        <w:rPr>
          <w:rFonts w:cs="Cambria"/>
          <w:sz w:val="20"/>
          <w:szCs w:val="20"/>
          <w:lang w:val="fi-FI"/>
        </w:rPr>
        <w:t>š</w:t>
      </w:r>
      <w:r w:rsidRPr="00FB4EFA">
        <w:rPr>
          <w:rFonts w:cs="Old Standard TT"/>
          <w:sz w:val="20"/>
          <w:szCs w:val="20"/>
          <w:lang w:val="fi-FI"/>
        </w:rPr>
        <w:t>í</w:t>
      </w:r>
      <w:r w:rsidRPr="00FB4EFA">
        <w:rPr>
          <w:sz w:val="20"/>
          <w:szCs w:val="20"/>
          <w:lang w:val="fi-FI"/>
        </w:rPr>
        <w:t>p</w:t>
      </w:r>
      <w:r w:rsidRPr="00FB4EFA">
        <w:rPr>
          <w:rFonts w:cs="Old Standard TT"/>
          <w:sz w:val="20"/>
          <w:szCs w:val="20"/>
          <w:lang w:val="fi-FI"/>
        </w:rPr>
        <w:t>í</w:t>
      </w:r>
      <w:r w:rsidRPr="00FB4EFA">
        <w:rPr>
          <w:sz w:val="20"/>
          <w:szCs w:val="20"/>
          <w:lang w:val="fi-FI"/>
        </w:rPr>
        <w:t>se. 5</w:t>
      </w:r>
      <w:r w:rsidR="00545033" w:rsidRPr="00FB4EFA">
        <w:rPr>
          <w:sz w:val="20"/>
          <w:szCs w:val="20"/>
          <w:lang w:val="fi-FI"/>
        </w:rPr>
        <w:t>.</w:t>
      </w:r>
      <w:r w:rsidRPr="00FB4EFA">
        <w:rPr>
          <w:sz w:val="20"/>
          <w:szCs w:val="20"/>
          <w:lang w:val="fi-FI"/>
        </w:rPr>
        <w:t xml:space="preserve"> Je ň</w:t>
      </w:r>
      <w:r w:rsidRPr="00FB4EFA">
        <w:rPr>
          <w:rFonts w:cs="Old Standard TT"/>
          <w:sz w:val="20"/>
          <w:szCs w:val="20"/>
          <w:lang w:val="fi-FI"/>
        </w:rPr>
        <w:t>á</w:t>
      </w:r>
      <w:r w:rsidRPr="00FB4EFA">
        <w:rPr>
          <w:sz w:val="20"/>
          <w:szCs w:val="20"/>
          <w:lang w:val="fi-FI"/>
        </w:rPr>
        <w:t xml:space="preserve"> Řebíce rov</w:t>
      </w:r>
      <w:r w:rsidRPr="00FB4EFA">
        <w:rPr>
          <w:rFonts w:cs="Old Standard TT"/>
          <w:sz w:val="20"/>
          <w:szCs w:val="20"/>
          <w:lang w:val="fi-FI"/>
        </w:rPr>
        <w:t>á</w:t>
      </w:r>
      <w:r w:rsidRPr="00FB4EFA">
        <w:rPr>
          <w:sz w:val="20"/>
          <w:szCs w:val="20"/>
          <w:lang w:val="fi-FI"/>
        </w:rPr>
        <w:t>n ně</w:t>
      </w:r>
      <w:r w:rsidRPr="00FB4EFA">
        <w:rPr>
          <w:rFonts w:cs="Times New Roman"/>
          <w:sz w:val="20"/>
          <w:szCs w:val="20"/>
          <w:lang w:val="fi-FI"/>
        </w:rPr>
        <w:t>ž</w:t>
      </w:r>
      <w:r w:rsidRPr="00FB4EFA">
        <w:rPr>
          <w:sz w:val="20"/>
          <w:szCs w:val="20"/>
          <w:lang w:val="fi-FI"/>
        </w:rPr>
        <w:t>out</w:t>
      </w:r>
      <w:r w:rsidRPr="00FB4EFA">
        <w:rPr>
          <w:rFonts w:cs="Old Standard TT"/>
          <w:sz w:val="20"/>
          <w:szCs w:val="20"/>
          <w:lang w:val="fi-FI"/>
        </w:rPr>
        <w:t>á</w:t>
      </w:r>
      <w:r w:rsidRPr="00FB4EFA">
        <w:rPr>
          <w:sz w:val="20"/>
          <w:szCs w:val="20"/>
          <w:lang w:val="fi-FI"/>
        </w:rPr>
        <w:t xml:space="preserve"> lacézá kácíla pladě je m</w:t>
      </w:r>
      <w:r w:rsidRPr="00FB4EFA">
        <w:rPr>
          <w:rFonts w:cs="Old Standard TT"/>
          <w:sz w:val="20"/>
          <w:szCs w:val="20"/>
          <w:lang w:val="fi-FI"/>
        </w:rPr>
        <w:t>á</w:t>
      </w:r>
      <w:r w:rsidRPr="00FB4EFA">
        <w:rPr>
          <w:sz w:val="20"/>
          <w:szCs w:val="20"/>
          <w:lang w:val="fi-FI"/>
        </w:rPr>
        <w:t>c olel</w:t>
      </w:r>
      <w:r w:rsidRPr="00FB4EFA">
        <w:rPr>
          <w:rFonts w:cs="Cambria"/>
          <w:sz w:val="20"/>
          <w:szCs w:val="20"/>
          <w:lang w:val="fi-FI"/>
        </w:rPr>
        <w:t>ů</w:t>
      </w:r>
      <w:r w:rsidRPr="00FB4EFA">
        <w:rPr>
          <w:sz w:val="20"/>
          <w:szCs w:val="20"/>
          <w:lang w:val="fi-FI"/>
        </w:rPr>
        <w:t>jlu.</w:t>
      </w:r>
    </w:p>
    <w:p w14:paraId="182181BE" w14:textId="067D4019" w:rsidR="00EF1775" w:rsidRPr="00FB4EFA" w:rsidRDefault="00EF1775" w:rsidP="00A219CF">
      <w:pPr>
        <w:spacing w:before="240"/>
        <w:rPr>
          <w:lang w:val="fi-FI"/>
        </w:rPr>
      </w:pPr>
      <w:r w:rsidRPr="00FB4EFA">
        <w:rPr>
          <w:lang w:val="fi-FI"/>
        </w:rPr>
        <w:t xml:space="preserve">Bööminkuilina ja sen lähisukulainen kuilakki muodostavat länsikuilinan eteläisen haaran, joka selvästi eroaa pohjoisemmasta peltokuilinasta. Sanan pääpaino on täällä tutusti ensi tavulla, ja kun vielä vokaalit voivat olla asemastansa riippumatta lyhyitä tai pitkiä, on eteläisen länsikuilinan puherytmi suomalaiselle mukavan kotoinen. Eksotiikkaa näihin kieliin luovat vaikeasti tuotettava konsonantti </w:t>
      </w:r>
      <w:r w:rsidRPr="00FB4EFA">
        <w:rPr>
          <w:i/>
          <w:iCs/>
          <w:lang w:val="fi-FI"/>
        </w:rPr>
        <w:t>Ř</w:t>
      </w:r>
      <w:r w:rsidRPr="00FB4EFA">
        <w:rPr>
          <w:lang w:val="fi-FI"/>
        </w:rPr>
        <w:t xml:space="preserve"> vaikkapa sanassa </w:t>
      </w:r>
      <w:r w:rsidRPr="00FB4EFA">
        <w:rPr>
          <w:i/>
          <w:iCs/>
          <w:lang w:val="fi-FI"/>
        </w:rPr>
        <w:t>Řeb</w:t>
      </w:r>
      <w:r w:rsidRPr="00FB4EFA">
        <w:rPr>
          <w:lang w:val="fi-FI"/>
        </w:rPr>
        <w:t xml:space="preserve">, sekä vokaalit </w:t>
      </w:r>
      <w:r w:rsidRPr="00FB4EFA">
        <w:rPr>
          <w:i/>
          <w:iCs/>
          <w:lang w:val="fi-FI"/>
        </w:rPr>
        <w:t>r</w:t>
      </w:r>
      <w:r w:rsidRPr="00FB4EFA">
        <w:rPr>
          <w:lang w:val="fi-FI"/>
        </w:rPr>
        <w:t xml:space="preserve"> ja </w:t>
      </w:r>
      <w:r w:rsidRPr="00FB4EFA">
        <w:rPr>
          <w:i/>
          <w:iCs/>
          <w:lang w:val="fi-FI"/>
        </w:rPr>
        <w:t>l</w:t>
      </w:r>
      <w:r w:rsidRPr="00FB4EFA">
        <w:rPr>
          <w:lang w:val="fi-FI"/>
        </w:rPr>
        <w:t xml:space="preserve">, joista ensin mainittu esiintyy käännöksessämmekin: </w:t>
      </w:r>
      <w:r w:rsidRPr="00FB4EFA">
        <w:rPr>
          <w:i/>
          <w:iCs/>
          <w:lang w:val="fi-FI"/>
        </w:rPr>
        <w:t>vrd</w:t>
      </w:r>
      <w:r w:rsidRPr="00FB4EFA">
        <w:rPr>
          <w:rFonts w:cs="Cambria"/>
          <w:i/>
          <w:iCs/>
          <w:lang w:val="fi-FI"/>
        </w:rPr>
        <w:t>ů</w:t>
      </w:r>
      <w:r w:rsidRPr="00FB4EFA">
        <w:rPr>
          <w:i/>
          <w:iCs/>
          <w:lang w:val="fi-FI"/>
        </w:rPr>
        <w:t>n</w:t>
      </w:r>
      <w:r w:rsidRPr="00FB4EFA">
        <w:rPr>
          <w:lang w:val="fi-FI"/>
        </w:rPr>
        <w:t xml:space="preserve">, </w:t>
      </w:r>
      <w:r w:rsidRPr="00FB4EFA">
        <w:rPr>
          <w:i/>
          <w:iCs/>
          <w:lang w:val="fi-FI"/>
        </w:rPr>
        <w:t>trbáká</w:t>
      </w:r>
      <w:r w:rsidRPr="00FB4EFA">
        <w:rPr>
          <w:lang w:val="fi-FI"/>
        </w:rPr>
        <w:t xml:space="preserve">. Bööminkuilinan </w:t>
      </w:r>
      <w:r w:rsidRPr="00FB4EFA">
        <w:rPr>
          <w:rFonts w:cs="Cambria"/>
          <w:i/>
          <w:iCs/>
          <w:lang w:val="fi-FI"/>
        </w:rPr>
        <w:t>ů</w:t>
      </w:r>
      <w:r w:rsidRPr="00FB4EFA">
        <w:rPr>
          <w:lang w:val="fi-FI"/>
        </w:rPr>
        <w:t xml:space="preserve">-kirjaimella eli pallo-uulla merkitään pitkästä </w:t>
      </w:r>
      <w:r w:rsidRPr="00FB4EFA">
        <w:rPr>
          <w:i/>
          <w:iCs/>
          <w:lang w:val="fi-FI"/>
        </w:rPr>
        <w:t>o</w:t>
      </w:r>
      <w:r w:rsidR="003D6A52" w:rsidRPr="00FB4EFA">
        <w:rPr>
          <w:lang w:val="fi-FI"/>
        </w:rPr>
        <w:noBreakHyphen/>
      </w:r>
      <w:r w:rsidRPr="00FB4EFA">
        <w:rPr>
          <w:lang w:val="fi-FI"/>
        </w:rPr>
        <w:t xml:space="preserve">vokaalista syntynyttä pitkää </w:t>
      </w:r>
      <w:r w:rsidRPr="00FB4EFA">
        <w:rPr>
          <w:i/>
          <w:iCs/>
          <w:lang w:val="fi-FI"/>
        </w:rPr>
        <w:t>u</w:t>
      </w:r>
      <w:r w:rsidRPr="00FB4EFA">
        <w:rPr>
          <w:lang w:val="fi-FI"/>
        </w:rPr>
        <w:t xml:space="preserve">:ta, peltokuilinan </w:t>
      </w:r>
      <w:r w:rsidRPr="00FB4EFA">
        <w:rPr>
          <w:i/>
          <w:iCs/>
          <w:lang w:val="fi-FI"/>
        </w:rPr>
        <w:t>ó</w:t>
      </w:r>
      <w:r w:rsidRPr="00FB4EFA">
        <w:rPr>
          <w:lang w:val="fi-FI"/>
        </w:rPr>
        <w:t>:n vastinetta (</w:t>
      </w:r>
      <w:r w:rsidRPr="00FB4EFA">
        <w:rPr>
          <w:i/>
          <w:iCs/>
          <w:lang w:val="fi-FI"/>
        </w:rPr>
        <w:t>pěst</w:t>
      </w:r>
      <w:r w:rsidRPr="00FB4EFA">
        <w:rPr>
          <w:rFonts w:cs="Cambria"/>
          <w:i/>
          <w:iCs/>
          <w:lang w:val="fi-FI"/>
        </w:rPr>
        <w:t>ů</w:t>
      </w:r>
      <w:r w:rsidRPr="00FB4EFA">
        <w:rPr>
          <w:i/>
          <w:iCs/>
          <w:lang w:val="fi-FI"/>
        </w:rPr>
        <w:t>jzeně</w:t>
      </w:r>
      <w:r w:rsidRPr="00FB4EFA">
        <w:rPr>
          <w:lang w:val="fi-FI"/>
        </w:rPr>
        <w:t xml:space="preserve"> = </w:t>
      </w:r>
      <w:r w:rsidRPr="00FB4EFA">
        <w:rPr>
          <w:i/>
          <w:iCs/>
          <w:lang w:val="fi-FI"/>
        </w:rPr>
        <w:t>piastójdzenie</w:t>
      </w:r>
      <w:r w:rsidRPr="00FB4EFA">
        <w:rPr>
          <w:lang w:val="fi-FI"/>
        </w:rPr>
        <w:t>).</w:t>
      </w:r>
    </w:p>
    <w:p w14:paraId="587B1E41" w14:textId="77777777" w:rsidR="00EF1775" w:rsidRPr="00FB4EFA" w:rsidRDefault="00EF1775" w:rsidP="00A219CF">
      <w:pPr>
        <w:ind w:firstLine="709"/>
        <w:rPr>
          <w:lang w:val="fi-FI"/>
        </w:rPr>
      </w:pPr>
      <w:r w:rsidRPr="00FB4EFA">
        <w:rPr>
          <w:lang w:val="fi-FI"/>
        </w:rPr>
        <w:t xml:space="preserve">Aiempi pitkä </w:t>
      </w:r>
      <w:r w:rsidRPr="00FB4EFA">
        <w:rPr>
          <w:i/>
          <w:iCs/>
          <w:lang w:val="fi-FI"/>
        </w:rPr>
        <w:t>u</w:t>
      </w:r>
      <w:r w:rsidRPr="00FB4EFA">
        <w:rPr>
          <w:lang w:val="fi-FI"/>
        </w:rPr>
        <w:t xml:space="preserve"> on puolestaan muuttunut diftongiksi </w:t>
      </w:r>
      <w:r w:rsidRPr="00FB4EFA">
        <w:rPr>
          <w:i/>
          <w:iCs/>
          <w:lang w:val="fi-FI"/>
        </w:rPr>
        <w:t>ou</w:t>
      </w:r>
      <w:r w:rsidRPr="00FB4EFA">
        <w:rPr>
          <w:lang w:val="fi-FI"/>
        </w:rPr>
        <w:t xml:space="preserve">, joka näkyy sanoissa </w:t>
      </w:r>
      <w:r w:rsidRPr="00FB4EFA">
        <w:rPr>
          <w:i/>
          <w:iCs/>
          <w:lang w:val="fi-FI"/>
        </w:rPr>
        <w:t>ouku</w:t>
      </w:r>
      <w:r w:rsidRPr="00FB4EFA">
        <w:rPr>
          <w:lang w:val="fi-FI"/>
        </w:rPr>
        <w:t xml:space="preserve"> ja </w:t>
      </w:r>
      <w:r w:rsidRPr="00FB4EFA">
        <w:rPr>
          <w:i/>
          <w:iCs/>
          <w:lang w:val="fi-FI"/>
        </w:rPr>
        <w:t>ně</w:t>
      </w:r>
      <w:r w:rsidRPr="00FB4EFA">
        <w:rPr>
          <w:rFonts w:cs="Times New Roman"/>
          <w:i/>
          <w:iCs/>
          <w:lang w:val="fi-FI"/>
        </w:rPr>
        <w:t>ž</w:t>
      </w:r>
      <w:r w:rsidRPr="00FB4EFA">
        <w:rPr>
          <w:i/>
          <w:iCs/>
          <w:lang w:val="fi-FI"/>
        </w:rPr>
        <w:t>out</w:t>
      </w:r>
      <w:r w:rsidRPr="00FB4EFA">
        <w:rPr>
          <w:rFonts w:cs="Old Standard TT"/>
          <w:i/>
          <w:iCs/>
          <w:lang w:val="fi-FI"/>
        </w:rPr>
        <w:t>á</w:t>
      </w:r>
      <w:r w:rsidRPr="00FB4EFA">
        <w:rPr>
          <w:lang w:val="fi-FI"/>
        </w:rPr>
        <w:t xml:space="preserve">. Vastaavasti myös pitkä </w:t>
      </w:r>
      <w:r w:rsidRPr="00FB4EFA">
        <w:rPr>
          <w:i/>
          <w:iCs/>
          <w:lang w:val="fi-FI"/>
        </w:rPr>
        <w:t>i</w:t>
      </w:r>
      <w:r w:rsidRPr="00FB4EFA">
        <w:rPr>
          <w:lang w:val="fi-FI"/>
        </w:rPr>
        <w:t xml:space="preserve"> ja sen kanssa yhteen langennut </w:t>
      </w:r>
      <w:r w:rsidRPr="00FB4EFA">
        <w:rPr>
          <w:i/>
          <w:iCs/>
          <w:lang w:val="fi-FI"/>
        </w:rPr>
        <w:t>y</w:t>
      </w:r>
      <w:r w:rsidRPr="00FB4EFA">
        <w:rPr>
          <w:lang w:val="fi-FI"/>
        </w:rPr>
        <w:t xml:space="preserve"> ovat muuttuneet diftongiksi </w:t>
      </w:r>
      <w:r w:rsidRPr="00FB4EFA">
        <w:rPr>
          <w:i/>
          <w:iCs/>
          <w:lang w:val="fi-FI"/>
        </w:rPr>
        <w:t>ei</w:t>
      </w:r>
      <w:r w:rsidRPr="00FB4EFA">
        <w:rPr>
          <w:lang w:val="fi-FI"/>
        </w:rPr>
        <w:t>, mutta tämä ei näy bööminkuilinan kirjakielestä, joka on päätetty pitää suunnilleen sellaisena kuin sitä puolisen vuosituhatta sitten kirjoitettiin. Tämän päätöksen seurauksena yleisimmin puhuttu bööminkuilina on nykyään oikeastaan eri kieli kuin kirjoitettu bööminkuilina, mutta tällainen tilannehan ei ole meille nykysuomalaisillekaan erityisen outo.</w:t>
      </w:r>
    </w:p>
    <w:p w14:paraId="0644815A" w14:textId="77777777" w:rsidR="00EF1775" w:rsidRPr="00FB4EFA" w:rsidRDefault="00EF1775" w:rsidP="00A219CF">
      <w:pPr>
        <w:ind w:firstLine="709"/>
        <w:rPr>
          <w:lang w:val="fi-FI"/>
        </w:rPr>
      </w:pPr>
      <w:r w:rsidRPr="00FB4EFA">
        <w:rPr>
          <w:lang w:val="fi-FI"/>
        </w:rPr>
        <w:t xml:space="preserve">Bööminkuilina on saanut paljon sanastoa erityisesti saksasta: ylempää peltokuilinan kappaleesta tuttu sana on </w:t>
      </w:r>
      <w:r w:rsidRPr="00FB4EFA">
        <w:rPr>
          <w:rFonts w:cs="Cambria"/>
          <w:i/>
          <w:iCs/>
          <w:lang w:val="fi-FI"/>
        </w:rPr>
        <w:t>š</w:t>
      </w:r>
      <w:r w:rsidRPr="00FB4EFA">
        <w:rPr>
          <w:i/>
          <w:iCs/>
          <w:lang w:val="fi-FI"/>
        </w:rPr>
        <w:t>pi</w:t>
      </w:r>
      <w:r w:rsidRPr="00FB4EFA">
        <w:rPr>
          <w:rFonts w:cs="Cambria"/>
          <w:i/>
          <w:iCs/>
          <w:lang w:val="fi-FI"/>
        </w:rPr>
        <w:t>č</w:t>
      </w:r>
      <w:r w:rsidRPr="00FB4EFA">
        <w:rPr>
          <w:lang w:val="fi-FI"/>
        </w:rPr>
        <w:t xml:space="preserve"> (demin. mon. </w:t>
      </w:r>
      <w:r w:rsidRPr="00FB4EFA">
        <w:rPr>
          <w:rFonts w:cs="Cambria"/>
          <w:i/>
          <w:iCs/>
          <w:lang w:val="fi-FI"/>
        </w:rPr>
        <w:t>š</w:t>
      </w:r>
      <w:r w:rsidRPr="00FB4EFA">
        <w:rPr>
          <w:i/>
          <w:iCs/>
          <w:lang w:val="fi-FI"/>
        </w:rPr>
        <w:t>pi</w:t>
      </w:r>
      <w:r w:rsidRPr="00FB4EFA">
        <w:rPr>
          <w:rFonts w:cs="Cambria"/>
          <w:i/>
          <w:iCs/>
          <w:lang w:val="fi-FI"/>
        </w:rPr>
        <w:t>č</w:t>
      </w:r>
      <w:r w:rsidRPr="00FB4EFA">
        <w:rPr>
          <w:rFonts w:cs="Old Standard TT"/>
          <w:i/>
          <w:iCs/>
          <w:lang w:val="fi-FI"/>
        </w:rPr>
        <w:t>í</w:t>
      </w:r>
      <w:r w:rsidRPr="00FB4EFA">
        <w:rPr>
          <w:i/>
          <w:iCs/>
          <w:lang w:val="fi-FI"/>
        </w:rPr>
        <w:t>ca</w:t>
      </w:r>
      <w:r w:rsidRPr="00FB4EFA">
        <w:rPr>
          <w:lang w:val="fi-FI"/>
        </w:rPr>
        <w:t xml:space="preserve">), kun taas bööminkuilinaan rajoittuu </w:t>
      </w:r>
      <w:r w:rsidRPr="00FB4EFA">
        <w:rPr>
          <w:i/>
          <w:iCs/>
          <w:lang w:val="fi-FI"/>
        </w:rPr>
        <w:t>jilm</w:t>
      </w:r>
      <w:r w:rsidRPr="00FB4EFA">
        <w:rPr>
          <w:lang w:val="fi-FI"/>
        </w:rPr>
        <w:t xml:space="preserve"> (gen. </w:t>
      </w:r>
      <w:r w:rsidRPr="00FB4EFA">
        <w:rPr>
          <w:i/>
          <w:iCs/>
          <w:lang w:val="fi-FI"/>
        </w:rPr>
        <w:t>jilma</w:t>
      </w:r>
      <w:r w:rsidRPr="00FB4EFA">
        <w:rPr>
          <w:lang w:val="fi-FI"/>
        </w:rPr>
        <w:t xml:space="preserve">; peltokuilinassa </w:t>
      </w:r>
      <w:r w:rsidRPr="00FB4EFA">
        <w:rPr>
          <w:i/>
          <w:iCs/>
          <w:lang w:val="fi-FI"/>
        </w:rPr>
        <w:t>je</w:t>
      </w:r>
      <w:r w:rsidRPr="00FB4EFA">
        <w:rPr>
          <w:rFonts w:cs="Cambria"/>
          <w:i/>
          <w:iCs/>
          <w:lang w:val="fi-FI"/>
        </w:rPr>
        <w:t>ł</w:t>
      </w:r>
      <w:r w:rsidRPr="00FB4EFA">
        <w:rPr>
          <w:i/>
          <w:iCs/>
          <w:lang w:val="fi-FI"/>
        </w:rPr>
        <w:t>a</w:t>
      </w:r>
      <w:r w:rsidRPr="00FB4EFA">
        <w:rPr>
          <w:lang w:val="fi-FI"/>
        </w:rPr>
        <w:t xml:space="preserve">, gen. </w:t>
      </w:r>
      <w:r w:rsidRPr="00FB4EFA">
        <w:rPr>
          <w:i/>
          <w:iCs/>
          <w:lang w:val="fi-FI"/>
        </w:rPr>
        <w:t>je</w:t>
      </w:r>
      <w:r w:rsidRPr="00FB4EFA">
        <w:rPr>
          <w:rFonts w:cs="Cambria"/>
          <w:i/>
          <w:iCs/>
          <w:lang w:val="fi-FI"/>
        </w:rPr>
        <w:t>łą</w:t>
      </w:r>
      <w:r w:rsidRPr="00FB4EFA">
        <w:rPr>
          <w:lang w:val="fi-FI"/>
        </w:rPr>
        <w:t xml:space="preserve">). Tässäkin kirjakieli eroaa tosin puhekielestä, jossa saksalaislainoja on vielä enemmän, kansankielessä kun niitä ei ole ollut </w:t>
      </w:r>
      <w:r w:rsidRPr="00FB4EFA">
        <w:rPr>
          <w:lang w:val="fi-FI"/>
        </w:rPr>
        <w:lastRenderedPageBreak/>
        <w:t>yhtä helppo korvata uudissanoilla ja idempää kierrätetyillä vanhoilla kuilinismeilla.</w:t>
      </w:r>
    </w:p>
    <w:p w14:paraId="0D231617"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Etelänkuilina</w:t>
      </w:r>
    </w:p>
    <w:p w14:paraId="16133345" w14:textId="47D833F6" w:rsidR="00EF1775" w:rsidRPr="00FB4EFA" w:rsidRDefault="00EF1775" w:rsidP="00065E48">
      <w:pPr>
        <w:suppressAutoHyphens/>
        <w:spacing w:line="240" w:lineRule="auto"/>
        <w:ind w:left="708"/>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Til u reb kolu ile jeme </w:t>
      </w:r>
      <w:r w:rsidRPr="00FB4EFA">
        <w:rPr>
          <w:rFonts w:cs="Cambria"/>
          <w:sz w:val="20"/>
          <w:szCs w:val="20"/>
          <w:lang w:val="fi-FI"/>
        </w:rPr>
        <w:t>č</w:t>
      </w:r>
      <w:r w:rsidRPr="00FB4EFA">
        <w:rPr>
          <w:sz w:val="20"/>
          <w:szCs w:val="20"/>
          <w:lang w:val="fi-FI"/>
        </w:rPr>
        <w:t>edjepe lado, cjevon u mazu kipu ja rakudon sinje i</w:t>
      </w:r>
      <w:r w:rsidRPr="00FB4EFA">
        <w:rPr>
          <w:rFonts w:cs="Cambria"/>
          <w:sz w:val="20"/>
          <w:szCs w:val="20"/>
          <w:lang w:val="fi-FI"/>
        </w:rPr>
        <w:t>đ</w:t>
      </w:r>
      <w:r w:rsidRPr="00FB4EFA">
        <w:rPr>
          <w:sz w:val="20"/>
          <w:szCs w:val="20"/>
          <w:lang w:val="fi-FI"/>
        </w:rPr>
        <w:t>ale peze. 2</w:t>
      </w:r>
      <w:r w:rsidR="00545033" w:rsidRPr="00FB4EFA">
        <w:rPr>
          <w:sz w:val="20"/>
          <w:szCs w:val="20"/>
          <w:lang w:val="fi-FI"/>
        </w:rPr>
        <w:t>.</w:t>
      </w:r>
      <w:r w:rsidRPr="00FB4EFA">
        <w:rPr>
          <w:sz w:val="20"/>
          <w:szCs w:val="20"/>
          <w:lang w:val="fi-FI"/>
        </w:rPr>
        <w:t xml:space="preserve"> Ićenje u pivje</w:t>
      </w:r>
      <w:r w:rsidRPr="00FB4EFA">
        <w:rPr>
          <w:rFonts w:cs="Cambria"/>
          <w:sz w:val="20"/>
          <w:szCs w:val="20"/>
          <w:lang w:val="fi-FI"/>
        </w:rPr>
        <w:t>đ</w:t>
      </w:r>
      <w:r w:rsidRPr="00FB4EFA">
        <w:rPr>
          <w:sz w:val="20"/>
          <w:szCs w:val="20"/>
          <w:lang w:val="fi-FI"/>
        </w:rPr>
        <w:t>a-pjestoj</w:t>
      </w:r>
      <w:r w:rsidRPr="00FB4EFA">
        <w:rPr>
          <w:rFonts w:cs="Cambria"/>
          <w:sz w:val="20"/>
          <w:szCs w:val="20"/>
          <w:lang w:val="fi-FI"/>
        </w:rPr>
        <w:t>đ</w:t>
      </w:r>
      <w:r w:rsidRPr="00FB4EFA">
        <w:rPr>
          <w:sz w:val="20"/>
          <w:szCs w:val="20"/>
          <w:lang w:val="fi-FI"/>
        </w:rPr>
        <w:t>ene sav-piveno se</w:t>
      </w:r>
      <w:r w:rsidRPr="00FB4EFA">
        <w:rPr>
          <w:rFonts w:cs="Cambria"/>
          <w:sz w:val="20"/>
          <w:szCs w:val="20"/>
          <w:lang w:val="fi-FI"/>
        </w:rPr>
        <w:t>đ</w:t>
      </w:r>
      <w:r w:rsidRPr="00FB4EFA">
        <w:rPr>
          <w:sz w:val="20"/>
          <w:szCs w:val="20"/>
          <w:lang w:val="fi-FI"/>
        </w:rPr>
        <w:t>unj nelje pjeza. 3</w:t>
      </w:r>
      <w:r w:rsidR="00545033" w:rsidRPr="00FB4EFA">
        <w:rPr>
          <w:sz w:val="20"/>
          <w:szCs w:val="20"/>
          <w:lang w:val="fi-FI"/>
        </w:rPr>
        <w:t>.</w:t>
      </w:r>
      <w:r w:rsidRPr="00FB4EFA">
        <w:rPr>
          <w:sz w:val="20"/>
          <w:szCs w:val="20"/>
          <w:lang w:val="fi-FI"/>
        </w:rPr>
        <w:t xml:space="preserve"> Ne oma soma: krava il oma terevje, nona ja sila masta, </w:t>
      </w:r>
      <w:r w:rsidRPr="00FB4EFA">
        <w:rPr>
          <w:rFonts w:cs="Cambria"/>
          <w:sz w:val="20"/>
          <w:szCs w:val="20"/>
          <w:lang w:val="fi-FI"/>
        </w:rPr>
        <w:t>š</w:t>
      </w:r>
      <w:r w:rsidRPr="00FB4EFA">
        <w:rPr>
          <w:sz w:val="20"/>
          <w:szCs w:val="20"/>
          <w:lang w:val="fi-FI"/>
        </w:rPr>
        <w:t>eda kladje</w:t>
      </w:r>
      <w:r w:rsidRPr="00FB4EFA">
        <w:rPr>
          <w:rFonts w:cs="Cambria"/>
          <w:sz w:val="20"/>
          <w:szCs w:val="20"/>
          <w:lang w:val="fi-FI"/>
        </w:rPr>
        <w:t>đ</w:t>
      </w:r>
      <w:r w:rsidRPr="00FB4EFA">
        <w:rPr>
          <w:sz w:val="20"/>
          <w:szCs w:val="20"/>
          <w:lang w:val="fi-FI"/>
        </w:rPr>
        <w:t xml:space="preserve">a, a </w:t>
      </w:r>
      <w:r w:rsidRPr="00FB4EFA">
        <w:rPr>
          <w:rFonts w:cs="Cambria"/>
          <w:sz w:val="20"/>
          <w:szCs w:val="20"/>
          <w:lang w:val="fi-FI"/>
        </w:rPr>
        <w:t>š</w:t>
      </w:r>
      <w:r w:rsidRPr="00FB4EFA">
        <w:rPr>
          <w:sz w:val="20"/>
          <w:szCs w:val="20"/>
          <w:lang w:val="fi-FI"/>
        </w:rPr>
        <w:t>ed a</w:t>
      </w:r>
      <w:r w:rsidRPr="00FB4EFA">
        <w:rPr>
          <w:rFonts w:cs="Cambria"/>
          <w:sz w:val="20"/>
          <w:szCs w:val="20"/>
          <w:lang w:val="fi-FI"/>
        </w:rPr>
        <w:t>ć</w:t>
      </w:r>
      <w:r w:rsidRPr="00FB4EFA">
        <w:rPr>
          <w:sz w:val="20"/>
          <w:szCs w:val="20"/>
          <w:lang w:val="fi-FI"/>
        </w:rPr>
        <w:t xml:space="preserve">a vlaga, iljega pinje, </w:t>
      </w:r>
      <w:r w:rsidRPr="00FB4EFA">
        <w:rPr>
          <w:rStyle w:val="tojvnm2t"/>
          <w:sz w:val="20"/>
          <w:szCs w:val="20"/>
          <w:lang w:val="fi-FI"/>
        </w:rPr>
        <w:t>kand</w:t>
      </w:r>
      <w:r w:rsidRPr="00FB4EFA">
        <w:rPr>
          <w:rStyle w:val="tojvnm2t"/>
          <w:rFonts w:cs="Cambria"/>
          <w:sz w:val="20"/>
          <w:szCs w:val="20"/>
          <w:lang w:val="fi-FI"/>
        </w:rPr>
        <w:t>ž</w:t>
      </w:r>
      <w:r w:rsidRPr="00FB4EFA">
        <w:rPr>
          <w:rStyle w:val="tojvnm2t"/>
          <w:sz w:val="20"/>
          <w:szCs w:val="20"/>
          <w:lang w:val="fi-FI"/>
        </w:rPr>
        <w:t xml:space="preserve">e </w:t>
      </w:r>
      <w:r w:rsidRPr="00FB4EFA">
        <w:rPr>
          <w:sz w:val="20"/>
          <w:szCs w:val="20"/>
          <w:lang w:val="fi-FI"/>
        </w:rPr>
        <w:t>ahija. 4</w:t>
      </w:r>
      <w:r w:rsidR="00545033" w:rsidRPr="00FB4EFA">
        <w:rPr>
          <w:sz w:val="20"/>
          <w:szCs w:val="20"/>
          <w:lang w:val="fi-FI"/>
        </w:rPr>
        <w:t>.</w:t>
      </w:r>
      <w:r w:rsidRPr="00FB4EFA">
        <w:rPr>
          <w:sz w:val="20"/>
          <w:szCs w:val="20"/>
          <w:lang w:val="fi-FI"/>
        </w:rPr>
        <w:t xml:space="preserve"> Vonitelev id reb-jeme ja se zde </w:t>
      </w:r>
      <w:r w:rsidRPr="00FB4EFA">
        <w:rPr>
          <w:rFonts w:cs="Cambria"/>
          <w:sz w:val="20"/>
          <w:szCs w:val="20"/>
          <w:lang w:val="fi-FI"/>
        </w:rPr>
        <w:t>š</w:t>
      </w:r>
      <w:r w:rsidRPr="00FB4EFA">
        <w:rPr>
          <w:sz w:val="20"/>
          <w:szCs w:val="20"/>
          <w:lang w:val="fi-FI"/>
        </w:rPr>
        <w:t>ivjelijese. 5</w:t>
      </w:r>
      <w:r w:rsidR="00545033" w:rsidRPr="00FB4EFA">
        <w:rPr>
          <w:sz w:val="20"/>
          <w:szCs w:val="20"/>
          <w:lang w:val="fi-FI"/>
        </w:rPr>
        <w:t>.</w:t>
      </w:r>
      <w:r w:rsidRPr="00FB4EFA">
        <w:rPr>
          <w:sz w:val="20"/>
          <w:szCs w:val="20"/>
          <w:lang w:val="fi-FI"/>
        </w:rPr>
        <w:t xml:space="preserve"> Ja jerjeton reb ne</w:t>
      </w:r>
      <w:r w:rsidRPr="00FB4EFA">
        <w:rPr>
          <w:rFonts w:cs="Cambria"/>
          <w:sz w:val="20"/>
          <w:szCs w:val="20"/>
          <w:lang w:val="fi-FI"/>
        </w:rPr>
        <w:t>ž</w:t>
      </w:r>
      <w:r w:rsidRPr="00FB4EFA">
        <w:rPr>
          <w:sz w:val="20"/>
          <w:szCs w:val="20"/>
          <w:lang w:val="fi-FI"/>
        </w:rPr>
        <w:t>uta la</w:t>
      </w:r>
      <w:r w:rsidRPr="00FB4EFA">
        <w:rPr>
          <w:rFonts w:cs="Cambria"/>
          <w:sz w:val="20"/>
          <w:szCs w:val="20"/>
          <w:lang w:val="fi-FI"/>
        </w:rPr>
        <w:t>ć</w:t>
      </w:r>
      <w:r w:rsidRPr="00FB4EFA">
        <w:rPr>
          <w:sz w:val="20"/>
          <w:szCs w:val="20"/>
          <w:lang w:val="fi-FI"/>
        </w:rPr>
        <w:t>eza koja</w:t>
      </w:r>
      <w:r w:rsidRPr="00FB4EFA">
        <w:rPr>
          <w:rFonts w:cs="Cambria"/>
          <w:sz w:val="20"/>
          <w:szCs w:val="20"/>
          <w:lang w:val="fi-FI"/>
        </w:rPr>
        <w:t>č</w:t>
      </w:r>
      <w:r w:rsidRPr="00FB4EFA">
        <w:rPr>
          <w:sz w:val="20"/>
          <w:szCs w:val="20"/>
          <w:lang w:val="fi-FI"/>
        </w:rPr>
        <w:t>ilu pladja ja lu</w:t>
      </w:r>
      <w:r w:rsidRPr="00FB4EFA">
        <w:rPr>
          <w:rFonts w:cs="Cambria"/>
          <w:sz w:val="20"/>
          <w:szCs w:val="20"/>
          <w:lang w:val="fi-FI"/>
        </w:rPr>
        <w:t>ć</w:t>
      </w:r>
      <w:r w:rsidRPr="00FB4EFA">
        <w:rPr>
          <w:sz w:val="20"/>
          <w:szCs w:val="20"/>
          <w:lang w:val="fi-FI"/>
        </w:rPr>
        <w:t>a pi</w:t>
      </w:r>
      <w:r w:rsidRPr="00FB4EFA">
        <w:rPr>
          <w:rFonts w:cs="Cambria"/>
          <w:sz w:val="20"/>
          <w:szCs w:val="20"/>
          <w:lang w:val="fi-FI"/>
        </w:rPr>
        <w:t>ž</w:t>
      </w:r>
      <w:r w:rsidRPr="00FB4EFA">
        <w:rPr>
          <w:sz w:val="20"/>
          <w:szCs w:val="20"/>
          <w:lang w:val="fi-FI"/>
        </w:rPr>
        <w:t>uvje</w:t>
      </w:r>
      <w:r w:rsidRPr="00FB4EFA">
        <w:rPr>
          <w:rFonts w:cs="Cambria"/>
          <w:sz w:val="20"/>
          <w:szCs w:val="20"/>
          <w:lang w:val="fi-FI"/>
        </w:rPr>
        <w:t>đ</w:t>
      </w:r>
      <w:r w:rsidRPr="00FB4EFA">
        <w:rPr>
          <w:sz w:val="20"/>
          <w:szCs w:val="20"/>
          <w:lang w:val="fi-FI"/>
        </w:rPr>
        <w:t>ilu.</w:t>
      </w:r>
    </w:p>
    <w:p w14:paraId="79A29968" w14:textId="77777777" w:rsidR="00EF1775" w:rsidRPr="00FB4EFA" w:rsidRDefault="00EF1775" w:rsidP="00A219CF">
      <w:pPr>
        <w:spacing w:before="240"/>
        <w:rPr>
          <w:lang w:val="fi-FI"/>
        </w:rPr>
      </w:pPr>
      <w:r w:rsidRPr="00FB4EFA">
        <w:rPr>
          <w:lang w:val="fi-FI"/>
        </w:rPr>
        <w:t>Etelänkuilina on erotettava eteläkuilinasta, koko kuilinan eteläisestä haarasta, johon kuuluvat etelänkuilinan lisäksi myös kuileeni ja balkaninkuilina. Näin läheiset sanat tietenkin helposti sekottuvat käytössä. Asiaintilaa ei ainakaan helpota se, että etelänkuilinaa ovat viime vuosisadan poliittiset käänteet rikastaneet monella kirjallisella standardilla, joista valtiollisissa yhteyksissä puhutaan eri kielinä. Tässä ei ole tilaa perehtyä näitten kielten yksityiskohtaisiin eroihin: todettakoon vain, että toisia niistä kirjoitetaan kyrillisin, toisia latinalaisin kirjaimin, ja ääritapauksissa voi havaita jopa glagolitsan käyttöä. Tässä on käännös tehty läntiseen varianttiin ja sekin on esitettävä toistamiseen kielen hienostuneitten painotussuhteitten osoittamiseksi, sillä erilaisten aksenttimerkkien alta voi olla vaikea erottaa itse kirjaimia:</w:t>
      </w:r>
    </w:p>
    <w:p w14:paraId="6DE42596" w14:textId="1C763EFC" w:rsidR="00EF1775" w:rsidRPr="00FB4EFA" w:rsidRDefault="00EF1775" w:rsidP="00065E48">
      <w:pPr>
        <w:suppressAutoHyphens/>
        <w:spacing w:before="240" w:after="240" w:line="240" w:lineRule="auto"/>
        <w:ind w:left="708"/>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Tī̀l u rḕb kòlu ìle jémē </w:t>
      </w:r>
      <w:r w:rsidRPr="00FB4EFA">
        <w:rPr>
          <w:rFonts w:cs="Cambria"/>
          <w:sz w:val="20"/>
          <w:szCs w:val="20"/>
          <w:lang w:val="fi-FI"/>
        </w:rPr>
        <w:t>č</w:t>
      </w:r>
      <w:r w:rsidRPr="00FB4EFA">
        <w:rPr>
          <w:rFonts w:cs="Old Standard TT"/>
          <w:sz w:val="20"/>
          <w:szCs w:val="20"/>
          <w:lang w:val="fi-FI"/>
        </w:rPr>
        <w:t>é</w:t>
      </w:r>
      <w:r w:rsidRPr="00FB4EFA">
        <w:rPr>
          <w:sz w:val="20"/>
          <w:szCs w:val="20"/>
          <w:lang w:val="fi-FI"/>
        </w:rPr>
        <w:t>djepē ládo, cj</w:t>
      </w:r>
      <w:r w:rsidRPr="00FB4EFA">
        <w:rPr>
          <w:rFonts w:cs="Old Standard TT"/>
          <w:sz w:val="20"/>
          <w:szCs w:val="20"/>
          <w:lang w:val="fi-FI"/>
        </w:rPr>
        <w:t>é</w:t>
      </w:r>
      <w:r w:rsidRPr="00FB4EFA">
        <w:rPr>
          <w:sz w:val="20"/>
          <w:szCs w:val="20"/>
          <w:lang w:val="fi-FI"/>
        </w:rPr>
        <w:t>vōn u màzu k</w:t>
      </w:r>
      <w:r w:rsidRPr="00FB4EFA">
        <w:rPr>
          <w:rFonts w:cs="Old Standard TT"/>
          <w:sz w:val="20"/>
          <w:szCs w:val="20"/>
          <w:lang w:val="fi-FI"/>
        </w:rPr>
        <w:t>ì</w:t>
      </w:r>
      <w:r w:rsidRPr="00FB4EFA">
        <w:rPr>
          <w:sz w:val="20"/>
          <w:szCs w:val="20"/>
          <w:lang w:val="fi-FI"/>
        </w:rPr>
        <w:t>pu ja ràkudon sìnje í</w:t>
      </w:r>
      <w:r w:rsidRPr="00FB4EFA">
        <w:rPr>
          <w:rFonts w:cs="Cambria"/>
          <w:sz w:val="20"/>
          <w:szCs w:val="20"/>
          <w:lang w:val="fi-FI"/>
        </w:rPr>
        <w:t>đ</w:t>
      </w:r>
      <w:r w:rsidRPr="00FB4EFA">
        <w:rPr>
          <w:sz w:val="20"/>
          <w:szCs w:val="20"/>
          <w:lang w:val="fi-FI"/>
        </w:rPr>
        <w:t>ale pèze. 2</w:t>
      </w:r>
      <w:r w:rsidR="00545033" w:rsidRPr="00FB4EFA">
        <w:rPr>
          <w:sz w:val="20"/>
          <w:szCs w:val="20"/>
          <w:lang w:val="fi-FI"/>
        </w:rPr>
        <w:t>.</w:t>
      </w:r>
      <w:r w:rsidRPr="00FB4EFA">
        <w:rPr>
          <w:sz w:val="20"/>
          <w:szCs w:val="20"/>
          <w:lang w:val="fi-FI"/>
        </w:rPr>
        <w:t xml:space="preserve"> Ìćenje u p</w:t>
      </w:r>
      <w:r w:rsidRPr="00FB4EFA">
        <w:rPr>
          <w:rFonts w:cs="Old Standard TT"/>
          <w:sz w:val="20"/>
          <w:szCs w:val="20"/>
          <w:lang w:val="fi-FI"/>
        </w:rPr>
        <w:t>ì</w:t>
      </w:r>
      <w:r w:rsidRPr="00FB4EFA">
        <w:rPr>
          <w:sz w:val="20"/>
          <w:szCs w:val="20"/>
          <w:lang w:val="fi-FI"/>
        </w:rPr>
        <w:t>vje</w:t>
      </w:r>
      <w:r w:rsidRPr="00FB4EFA">
        <w:rPr>
          <w:rFonts w:cs="Cambria"/>
          <w:sz w:val="20"/>
          <w:szCs w:val="20"/>
          <w:lang w:val="fi-FI"/>
        </w:rPr>
        <w:t>đ</w:t>
      </w:r>
      <w:r w:rsidRPr="00FB4EFA">
        <w:rPr>
          <w:sz w:val="20"/>
          <w:szCs w:val="20"/>
          <w:lang w:val="fi-FI"/>
        </w:rPr>
        <w:t>a-pj</w:t>
      </w:r>
      <w:r w:rsidRPr="00FB4EFA">
        <w:rPr>
          <w:rFonts w:cs="Old Standard TT"/>
          <w:sz w:val="20"/>
          <w:szCs w:val="20"/>
          <w:lang w:val="fi-FI"/>
        </w:rPr>
        <w:t>é</w:t>
      </w:r>
      <w:r w:rsidRPr="00FB4EFA">
        <w:rPr>
          <w:sz w:val="20"/>
          <w:szCs w:val="20"/>
          <w:lang w:val="fi-FI"/>
        </w:rPr>
        <w:t>stōj</w:t>
      </w:r>
      <w:r w:rsidRPr="00FB4EFA">
        <w:rPr>
          <w:rFonts w:cs="Cambria"/>
          <w:sz w:val="20"/>
          <w:szCs w:val="20"/>
          <w:lang w:val="fi-FI"/>
        </w:rPr>
        <w:t>đ</w:t>
      </w:r>
      <w:r w:rsidRPr="00FB4EFA">
        <w:rPr>
          <w:sz w:val="20"/>
          <w:szCs w:val="20"/>
          <w:lang w:val="fi-FI"/>
        </w:rPr>
        <w:t>ene sā̀v-p</w:t>
      </w:r>
      <w:r w:rsidRPr="00FB4EFA">
        <w:rPr>
          <w:rFonts w:cs="Old Standard TT"/>
          <w:sz w:val="20"/>
          <w:szCs w:val="20"/>
          <w:lang w:val="fi-FI"/>
        </w:rPr>
        <w:t>í</w:t>
      </w:r>
      <w:r w:rsidRPr="00FB4EFA">
        <w:rPr>
          <w:sz w:val="20"/>
          <w:szCs w:val="20"/>
          <w:lang w:val="fi-FI"/>
        </w:rPr>
        <w:t>veno s</w:t>
      </w:r>
      <w:r w:rsidRPr="00FB4EFA">
        <w:rPr>
          <w:rFonts w:cs="Old Standard TT"/>
          <w:sz w:val="20"/>
          <w:szCs w:val="20"/>
          <w:lang w:val="fi-FI"/>
        </w:rPr>
        <w:t>è</w:t>
      </w:r>
      <w:r w:rsidRPr="00FB4EFA">
        <w:rPr>
          <w:rFonts w:cs="Cambria"/>
          <w:sz w:val="20"/>
          <w:szCs w:val="20"/>
          <w:lang w:val="fi-FI"/>
        </w:rPr>
        <w:t>đ</w:t>
      </w:r>
      <w:r w:rsidRPr="00FB4EFA">
        <w:rPr>
          <w:sz w:val="20"/>
          <w:szCs w:val="20"/>
          <w:lang w:val="fi-FI"/>
        </w:rPr>
        <w:t>ūnj nélje pj</w:t>
      </w:r>
      <w:r w:rsidRPr="00FB4EFA">
        <w:rPr>
          <w:rFonts w:cs="Old Standard TT"/>
          <w:sz w:val="20"/>
          <w:szCs w:val="20"/>
          <w:lang w:val="fi-FI"/>
        </w:rPr>
        <w:t>è</w:t>
      </w:r>
      <w:r w:rsidRPr="00FB4EFA">
        <w:rPr>
          <w:sz w:val="20"/>
          <w:szCs w:val="20"/>
          <w:lang w:val="fi-FI"/>
        </w:rPr>
        <w:t>zā. 3</w:t>
      </w:r>
      <w:r w:rsidR="00545033" w:rsidRPr="00FB4EFA">
        <w:rPr>
          <w:sz w:val="20"/>
          <w:szCs w:val="20"/>
          <w:lang w:val="fi-FI"/>
        </w:rPr>
        <w:t>.</w:t>
      </w:r>
      <w:r w:rsidRPr="00FB4EFA">
        <w:rPr>
          <w:sz w:val="20"/>
          <w:szCs w:val="20"/>
          <w:lang w:val="fi-FI"/>
        </w:rPr>
        <w:t xml:space="preserve"> Ne </w:t>
      </w:r>
      <w:r w:rsidRPr="00FB4EFA">
        <w:rPr>
          <w:rFonts w:cs="Old Standard TT"/>
          <w:sz w:val="20"/>
          <w:szCs w:val="20"/>
          <w:lang w:val="fi-FI"/>
        </w:rPr>
        <w:t>ó</w:t>
      </w:r>
      <w:r w:rsidRPr="00FB4EFA">
        <w:rPr>
          <w:sz w:val="20"/>
          <w:szCs w:val="20"/>
          <w:lang w:val="fi-FI"/>
        </w:rPr>
        <w:t>ma s</w:t>
      </w:r>
      <w:r w:rsidRPr="00FB4EFA">
        <w:rPr>
          <w:rFonts w:cs="Old Standard TT"/>
          <w:sz w:val="20"/>
          <w:szCs w:val="20"/>
          <w:lang w:val="fi-FI"/>
        </w:rPr>
        <w:t>ó</w:t>
      </w:r>
      <w:r w:rsidRPr="00FB4EFA">
        <w:rPr>
          <w:sz w:val="20"/>
          <w:szCs w:val="20"/>
          <w:lang w:val="fi-FI"/>
        </w:rPr>
        <w:t xml:space="preserve">ma: kráva il </w:t>
      </w:r>
      <w:r w:rsidRPr="00FB4EFA">
        <w:rPr>
          <w:rFonts w:cs="Old Standard TT"/>
          <w:sz w:val="20"/>
          <w:szCs w:val="20"/>
          <w:lang w:val="fi-FI"/>
        </w:rPr>
        <w:t>ó</w:t>
      </w:r>
      <w:r w:rsidRPr="00FB4EFA">
        <w:rPr>
          <w:sz w:val="20"/>
          <w:szCs w:val="20"/>
          <w:lang w:val="fi-FI"/>
        </w:rPr>
        <w:t>ma terévje, n</w:t>
      </w:r>
      <w:r w:rsidRPr="00FB4EFA">
        <w:rPr>
          <w:rFonts w:cs="Old Standard TT"/>
          <w:sz w:val="20"/>
          <w:szCs w:val="20"/>
          <w:lang w:val="fi-FI"/>
        </w:rPr>
        <w:t>ó</w:t>
      </w:r>
      <w:r w:rsidRPr="00FB4EFA">
        <w:rPr>
          <w:sz w:val="20"/>
          <w:szCs w:val="20"/>
          <w:lang w:val="fi-FI"/>
        </w:rPr>
        <w:t>na ja s</w:t>
      </w:r>
      <w:r w:rsidRPr="00FB4EFA">
        <w:rPr>
          <w:rFonts w:cs="Old Standard TT"/>
          <w:sz w:val="20"/>
          <w:szCs w:val="20"/>
          <w:lang w:val="fi-FI"/>
        </w:rPr>
        <w:t>ì</w:t>
      </w:r>
      <w:r w:rsidRPr="00FB4EFA">
        <w:rPr>
          <w:sz w:val="20"/>
          <w:szCs w:val="20"/>
          <w:lang w:val="fi-FI"/>
        </w:rPr>
        <w:t>lā m</w:t>
      </w:r>
      <w:r w:rsidRPr="00FB4EFA">
        <w:rPr>
          <w:rFonts w:cs="Old Standard TT"/>
          <w:sz w:val="20"/>
          <w:szCs w:val="20"/>
          <w:lang w:val="fi-FI"/>
        </w:rPr>
        <w:t>á</w:t>
      </w:r>
      <w:r w:rsidRPr="00FB4EFA">
        <w:rPr>
          <w:sz w:val="20"/>
          <w:szCs w:val="20"/>
          <w:lang w:val="fi-FI"/>
        </w:rPr>
        <w:t xml:space="preserve">sta, </w:t>
      </w:r>
      <w:r w:rsidRPr="00FB4EFA">
        <w:rPr>
          <w:rFonts w:cs="Cambria"/>
          <w:sz w:val="20"/>
          <w:szCs w:val="20"/>
          <w:lang w:val="fi-FI"/>
        </w:rPr>
        <w:t>š</w:t>
      </w:r>
      <w:r w:rsidRPr="00FB4EFA">
        <w:rPr>
          <w:sz w:val="20"/>
          <w:szCs w:val="20"/>
          <w:lang w:val="fi-FI"/>
        </w:rPr>
        <w:t>éda kladj</w:t>
      </w:r>
      <w:r w:rsidRPr="00FB4EFA">
        <w:rPr>
          <w:rFonts w:cs="Old Standard TT"/>
          <w:sz w:val="20"/>
          <w:szCs w:val="20"/>
          <w:lang w:val="fi-FI"/>
        </w:rPr>
        <w:t>é</w:t>
      </w:r>
      <w:r w:rsidRPr="00FB4EFA">
        <w:rPr>
          <w:rFonts w:cs="Cambria"/>
          <w:sz w:val="20"/>
          <w:szCs w:val="20"/>
          <w:lang w:val="fi-FI"/>
        </w:rPr>
        <w:t>đ</w:t>
      </w:r>
      <w:r w:rsidRPr="00FB4EFA">
        <w:rPr>
          <w:sz w:val="20"/>
          <w:szCs w:val="20"/>
          <w:lang w:val="fi-FI"/>
        </w:rPr>
        <w:t xml:space="preserve">a, a </w:t>
      </w:r>
      <w:r w:rsidRPr="00FB4EFA">
        <w:rPr>
          <w:rFonts w:cs="Cambria"/>
          <w:sz w:val="20"/>
          <w:szCs w:val="20"/>
          <w:lang w:val="fi-FI"/>
        </w:rPr>
        <w:t>š</w:t>
      </w:r>
      <w:r w:rsidRPr="00FB4EFA">
        <w:rPr>
          <w:sz w:val="20"/>
          <w:szCs w:val="20"/>
          <w:lang w:val="fi-FI"/>
        </w:rPr>
        <w:t>ḕd à</w:t>
      </w:r>
      <w:r w:rsidRPr="00FB4EFA">
        <w:rPr>
          <w:rFonts w:cs="Times New Roman"/>
          <w:sz w:val="20"/>
          <w:szCs w:val="20"/>
          <w:lang w:val="fi-FI"/>
        </w:rPr>
        <w:t>ć</w:t>
      </w:r>
      <w:r w:rsidRPr="00FB4EFA">
        <w:rPr>
          <w:sz w:val="20"/>
          <w:szCs w:val="20"/>
          <w:lang w:val="fi-FI"/>
        </w:rPr>
        <w:t>a vlágā, ilj</w:t>
      </w:r>
      <w:r w:rsidRPr="00FB4EFA">
        <w:rPr>
          <w:rFonts w:cs="Old Standard TT"/>
          <w:sz w:val="20"/>
          <w:szCs w:val="20"/>
          <w:lang w:val="fi-FI"/>
        </w:rPr>
        <w:t>é</w:t>
      </w:r>
      <w:r w:rsidRPr="00FB4EFA">
        <w:rPr>
          <w:sz w:val="20"/>
          <w:szCs w:val="20"/>
          <w:lang w:val="fi-FI"/>
        </w:rPr>
        <w:t xml:space="preserve">ga pínje, </w:t>
      </w:r>
      <w:r w:rsidRPr="00FB4EFA">
        <w:rPr>
          <w:rStyle w:val="tojvnm2t"/>
          <w:sz w:val="20"/>
          <w:szCs w:val="20"/>
          <w:lang w:val="fi-FI"/>
        </w:rPr>
        <w:t>kánd</w:t>
      </w:r>
      <w:r w:rsidRPr="00FB4EFA">
        <w:rPr>
          <w:rStyle w:val="tojvnm2t"/>
          <w:rFonts w:cs="Cambria"/>
          <w:sz w:val="20"/>
          <w:szCs w:val="20"/>
          <w:lang w:val="fi-FI"/>
        </w:rPr>
        <w:t>ž</w:t>
      </w:r>
      <w:r w:rsidRPr="00FB4EFA">
        <w:rPr>
          <w:rStyle w:val="tojvnm2t"/>
          <w:sz w:val="20"/>
          <w:szCs w:val="20"/>
          <w:lang w:val="fi-FI"/>
        </w:rPr>
        <w:t xml:space="preserve">a </w:t>
      </w:r>
      <w:r w:rsidRPr="00FB4EFA">
        <w:rPr>
          <w:sz w:val="20"/>
          <w:szCs w:val="20"/>
          <w:lang w:val="fi-FI"/>
        </w:rPr>
        <w:t>áhija. 4</w:t>
      </w:r>
      <w:r w:rsidR="00545033" w:rsidRPr="00FB4EFA">
        <w:rPr>
          <w:sz w:val="20"/>
          <w:szCs w:val="20"/>
          <w:lang w:val="fi-FI"/>
        </w:rPr>
        <w:t>.</w:t>
      </w:r>
      <w:r w:rsidRPr="00FB4EFA">
        <w:rPr>
          <w:sz w:val="20"/>
          <w:szCs w:val="20"/>
          <w:lang w:val="fi-FI"/>
        </w:rPr>
        <w:t xml:space="preserve"> Vónitelev id rḕb-jéme ja se zdè </w:t>
      </w:r>
      <w:r w:rsidRPr="00FB4EFA">
        <w:rPr>
          <w:rFonts w:cs="Cambria"/>
          <w:sz w:val="20"/>
          <w:szCs w:val="20"/>
          <w:lang w:val="fi-FI"/>
        </w:rPr>
        <w:t>š</w:t>
      </w:r>
      <w:r w:rsidRPr="00FB4EFA">
        <w:rPr>
          <w:sz w:val="20"/>
          <w:szCs w:val="20"/>
          <w:lang w:val="fi-FI"/>
        </w:rPr>
        <w:t>ivj</w:t>
      </w:r>
      <w:r w:rsidRPr="00FB4EFA">
        <w:rPr>
          <w:rFonts w:cs="Old Standard TT"/>
          <w:sz w:val="20"/>
          <w:szCs w:val="20"/>
          <w:lang w:val="fi-FI"/>
        </w:rPr>
        <w:t>é</w:t>
      </w:r>
      <w:r w:rsidRPr="00FB4EFA">
        <w:rPr>
          <w:sz w:val="20"/>
          <w:szCs w:val="20"/>
          <w:lang w:val="fi-FI"/>
        </w:rPr>
        <w:t>lijese. 5</w:t>
      </w:r>
      <w:r w:rsidR="00545033" w:rsidRPr="00FB4EFA">
        <w:rPr>
          <w:sz w:val="20"/>
          <w:szCs w:val="20"/>
          <w:lang w:val="fi-FI"/>
        </w:rPr>
        <w:t>.</w:t>
      </w:r>
      <w:r w:rsidRPr="00FB4EFA">
        <w:rPr>
          <w:sz w:val="20"/>
          <w:szCs w:val="20"/>
          <w:lang w:val="fi-FI"/>
        </w:rPr>
        <w:t xml:space="preserve"> Ja jérjetōn rḕb né</w:t>
      </w:r>
      <w:r w:rsidRPr="00FB4EFA">
        <w:rPr>
          <w:rFonts w:cs="Times New Roman"/>
          <w:sz w:val="20"/>
          <w:szCs w:val="20"/>
          <w:lang w:val="fi-FI"/>
        </w:rPr>
        <w:t>ž</w:t>
      </w:r>
      <w:r w:rsidRPr="00FB4EFA">
        <w:rPr>
          <w:sz w:val="20"/>
          <w:szCs w:val="20"/>
          <w:lang w:val="fi-FI"/>
        </w:rPr>
        <w:t>utā lā̀</w:t>
      </w:r>
      <w:r w:rsidRPr="00FB4EFA">
        <w:rPr>
          <w:rFonts w:cs="Times New Roman"/>
          <w:sz w:val="20"/>
          <w:szCs w:val="20"/>
          <w:lang w:val="fi-FI"/>
        </w:rPr>
        <w:t>ć</w:t>
      </w:r>
      <w:r w:rsidRPr="00FB4EFA">
        <w:rPr>
          <w:sz w:val="20"/>
          <w:szCs w:val="20"/>
          <w:lang w:val="fi-FI"/>
        </w:rPr>
        <w:t>eza k</w:t>
      </w:r>
      <w:r w:rsidRPr="00FB4EFA">
        <w:rPr>
          <w:rFonts w:cs="Old Standard TT"/>
          <w:sz w:val="20"/>
          <w:szCs w:val="20"/>
          <w:lang w:val="fi-FI"/>
        </w:rPr>
        <w:t>ó</w:t>
      </w:r>
      <w:r w:rsidRPr="00FB4EFA">
        <w:rPr>
          <w:sz w:val="20"/>
          <w:szCs w:val="20"/>
          <w:lang w:val="fi-FI"/>
        </w:rPr>
        <w:t>ja</w:t>
      </w:r>
      <w:r w:rsidRPr="00FB4EFA">
        <w:rPr>
          <w:rFonts w:cs="Cambria"/>
          <w:sz w:val="20"/>
          <w:szCs w:val="20"/>
          <w:lang w:val="fi-FI"/>
        </w:rPr>
        <w:t>č</w:t>
      </w:r>
      <w:r w:rsidRPr="00FB4EFA">
        <w:rPr>
          <w:sz w:val="20"/>
          <w:szCs w:val="20"/>
          <w:lang w:val="fi-FI"/>
        </w:rPr>
        <w:t>ilu pl</w:t>
      </w:r>
      <w:r w:rsidRPr="00FB4EFA">
        <w:rPr>
          <w:rFonts w:cs="Old Standard TT"/>
          <w:sz w:val="20"/>
          <w:szCs w:val="20"/>
          <w:lang w:val="fi-FI"/>
        </w:rPr>
        <w:t>à</w:t>
      </w:r>
      <w:r w:rsidRPr="00FB4EFA">
        <w:rPr>
          <w:sz w:val="20"/>
          <w:szCs w:val="20"/>
          <w:lang w:val="fi-FI"/>
        </w:rPr>
        <w:t>djā ja lù</w:t>
      </w:r>
      <w:r w:rsidRPr="00FB4EFA">
        <w:rPr>
          <w:rFonts w:cs="Times New Roman"/>
          <w:sz w:val="20"/>
          <w:szCs w:val="20"/>
          <w:lang w:val="fi-FI"/>
        </w:rPr>
        <w:t>ć</w:t>
      </w:r>
      <w:r w:rsidRPr="00FB4EFA">
        <w:rPr>
          <w:sz w:val="20"/>
          <w:szCs w:val="20"/>
          <w:lang w:val="fi-FI"/>
        </w:rPr>
        <w:t>ā pi</w:t>
      </w:r>
      <w:r w:rsidRPr="00FB4EFA">
        <w:rPr>
          <w:rFonts w:cs="Cambria"/>
          <w:sz w:val="20"/>
          <w:szCs w:val="20"/>
          <w:lang w:val="fi-FI"/>
        </w:rPr>
        <w:t>ž</w:t>
      </w:r>
      <w:r w:rsidRPr="00FB4EFA">
        <w:rPr>
          <w:sz w:val="20"/>
          <w:szCs w:val="20"/>
          <w:lang w:val="fi-FI"/>
        </w:rPr>
        <w:t>uvj</w:t>
      </w:r>
      <w:r w:rsidRPr="00FB4EFA">
        <w:rPr>
          <w:rFonts w:cs="Old Standard TT"/>
          <w:sz w:val="20"/>
          <w:szCs w:val="20"/>
          <w:lang w:val="fi-FI"/>
        </w:rPr>
        <w:t>é</w:t>
      </w:r>
      <w:r w:rsidRPr="00FB4EFA">
        <w:rPr>
          <w:rFonts w:cs="Cambria"/>
          <w:sz w:val="20"/>
          <w:szCs w:val="20"/>
          <w:lang w:val="fi-FI"/>
        </w:rPr>
        <w:t>đ</w:t>
      </w:r>
      <w:r w:rsidRPr="00FB4EFA">
        <w:rPr>
          <w:sz w:val="20"/>
          <w:szCs w:val="20"/>
          <w:lang w:val="fi-FI"/>
        </w:rPr>
        <w:t>īlu.</w:t>
      </w:r>
    </w:p>
    <w:p w14:paraId="6482E09A" w14:textId="77777777" w:rsidR="00EF1775" w:rsidRPr="00FB4EFA" w:rsidRDefault="00EF1775" w:rsidP="00A219CF">
      <w:pPr>
        <w:rPr>
          <w:lang w:val="fi-FI"/>
        </w:rPr>
      </w:pPr>
      <w:r w:rsidRPr="00FB4EFA">
        <w:rPr>
          <w:lang w:val="fi-FI"/>
        </w:rPr>
        <w:t xml:space="preserve">Yllä olevalla olen ansainnut päälleni kaikkien aksentologian auktoriteettien vihan: en nimittäin ole käyttänyt perinteistä merkintätapaa, jossa laskevalla merkillä `merkitään nousevaa painoa, kaksinkertaisella </w:t>
      </w:r>
      <w:r w:rsidRPr="00FB4EFA">
        <w:rPr>
          <w:rFonts w:cs="Charis SIL"/>
          <w:lang w:val="fi-FI"/>
        </w:rPr>
        <w:t>aksenttimerkillä `̏lyhintä</w:t>
      </w:r>
      <w:r w:rsidRPr="00FB4EFA">
        <w:rPr>
          <w:lang w:val="fi-FI"/>
        </w:rPr>
        <w:t xml:space="preserve"> mahdollista painoa jne. jne., koska sit</w:t>
      </w:r>
      <w:r w:rsidRPr="00FB4EFA">
        <w:rPr>
          <w:rFonts w:cs="Old Standard TT"/>
          <w:lang w:val="fi-FI"/>
        </w:rPr>
        <w:t>ä</w:t>
      </w:r>
      <w:r w:rsidRPr="00FB4EFA">
        <w:rPr>
          <w:lang w:val="fi-FI"/>
        </w:rPr>
        <w:t xml:space="preserve"> on mahdotonta olla lukematta t</w:t>
      </w:r>
      <w:r w:rsidRPr="00FB4EFA">
        <w:rPr>
          <w:rFonts w:cs="Old Standard TT"/>
          <w:lang w:val="fi-FI"/>
        </w:rPr>
        <w:t>ä</w:t>
      </w:r>
      <w:r w:rsidRPr="00FB4EFA">
        <w:rPr>
          <w:lang w:val="fi-FI"/>
        </w:rPr>
        <w:t>ysin p</w:t>
      </w:r>
      <w:r w:rsidRPr="00FB4EFA">
        <w:rPr>
          <w:rFonts w:cs="Old Standard TT"/>
          <w:lang w:val="fi-FI"/>
        </w:rPr>
        <w:t>ä</w:t>
      </w:r>
      <w:r w:rsidRPr="00FB4EFA">
        <w:rPr>
          <w:lang w:val="fi-FI"/>
        </w:rPr>
        <w:t>invastoin kuin pit</w:t>
      </w:r>
      <w:r w:rsidRPr="00FB4EFA">
        <w:rPr>
          <w:rFonts w:cs="Old Standard TT"/>
          <w:lang w:val="fi-FI"/>
        </w:rPr>
        <w:t>ä</w:t>
      </w:r>
      <w:r w:rsidRPr="00FB4EFA">
        <w:rPr>
          <w:lang w:val="fi-FI"/>
        </w:rPr>
        <w:t>isi. Olen vain merkinnyt nousevan painon nousevalla aksentilla, laskevan laskevalla ja pitkät tavut pituusmerkein. Älkää tehkö perässä.</w:t>
      </w:r>
    </w:p>
    <w:p w14:paraId="0BEF708E" w14:textId="77777777" w:rsidR="00EF1775" w:rsidRPr="00FB4EFA" w:rsidRDefault="00EF1775" w:rsidP="00A219CF">
      <w:pPr>
        <w:ind w:firstLine="709"/>
        <w:rPr>
          <w:lang w:val="fi-FI"/>
        </w:rPr>
      </w:pPr>
      <w:r w:rsidRPr="00FB4EFA">
        <w:rPr>
          <w:lang w:val="fi-FI"/>
        </w:rPr>
        <w:lastRenderedPageBreak/>
        <w:t>Vertailu kantakuilinan rekonstruktioon paljastaa etelänkuilinan puhujain kärsimättömyyden: pääpaino on järjestään ennakoitu edellisen tavun loppuun, paitsi jos se on ollut jo ensimmäisellä tavulla, jolloin se on vedetty aivan tavun alkuun. Tavun alun painottaminen on yhtä kuin laskeva ja tavun lopun painottaminen yhtä kuin nouseva paino.</w:t>
      </w:r>
    </w:p>
    <w:p w14:paraId="7BBDADAE" w14:textId="77777777" w:rsidR="00EF1775" w:rsidRPr="00FB4EFA" w:rsidRDefault="00EF1775" w:rsidP="00A219CF">
      <w:pPr>
        <w:ind w:firstLine="709"/>
        <w:rPr>
          <w:lang w:val="fi-FI"/>
        </w:rPr>
      </w:pPr>
      <w:r w:rsidRPr="00FB4EFA">
        <w:rPr>
          <w:lang w:val="fi-FI"/>
        </w:rPr>
        <w:t xml:space="preserve">Etelänkuilinassa on paljon muutakin kiinnostavaa kuin painotussuhteet, jotka sitä paitsi ovat useimmilta kielenpuhujilta jo katoamassa. Yksi jännittävä piirre on sanajärjestyksessä. Lyhyt kopula </w:t>
      </w:r>
      <w:r w:rsidRPr="00FB4EFA">
        <w:rPr>
          <w:i/>
          <w:iCs/>
          <w:lang w:val="fi-FI"/>
        </w:rPr>
        <w:t>u</w:t>
      </w:r>
      <w:r w:rsidRPr="00FB4EFA">
        <w:rPr>
          <w:lang w:val="fi-FI"/>
        </w:rPr>
        <w:t xml:space="preserve"> asettuu lauseessa aina ensimmäisen sanan perään, vaikka tulisi samalla keskeyttäneeksi kiinteän nominaalilausekkeen: </w:t>
      </w:r>
      <w:r w:rsidRPr="00FB4EFA">
        <w:rPr>
          <w:i/>
          <w:iCs/>
          <w:lang w:val="fi-FI"/>
        </w:rPr>
        <w:t xml:space="preserve">Ićenje </w:t>
      </w:r>
      <w:r w:rsidRPr="00FB4EFA">
        <w:rPr>
          <w:i/>
          <w:iCs/>
          <w:u w:val="single"/>
          <w:lang w:val="fi-FI"/>
        </w:rPr>
        <w:t>u</w:t>
      </w:r>
      <w:r w:rsidRPr="00FB4EFA">
        <w:rPr>
          <w:i/>
          <w:iCs/>
          <w:lang w:val="fi-FI"/>
        </w:rPr>
        <w:t xml:space="preserve"> pivje</w:t>
      </w:r>
      <w:r w:rsidRPr="00FB4EFA">
        <w:rPr>
          <w:rFonts w:cs="Cambria"/>
          <w:i/>
          <w:iCs/>
          <w:lang w:val="fi-FI"/>
        </w:rPr>
        <w:t>đ</w:t>
      </w:r>
      <w:r w:rsidRPr="00FB4EFA">
        <w:rPr>
          <w:i/>
          <w:iCs/>
          <w:lang w:val="fi-FI"/>
        </w:rPr>
        <w:t>a-pjestoj</w:t>
      </w:r>
      <w:r w:rsidRPr="00FB4EFA">
        <w:rPr>
          <w:rFonts w:cs="Cambria"/>
          <w:i/>
          <w:iCs/>
          <w:lang w:val="fi-FI"/>
        </w:rPr>
        <w:t>đ</w:t>
      </w:r>
      <w:r w:rsidRPr="00FB4EFA">
        <w:rPr>
          <w:i/>
          <w:iCs/>
          <w:lang w:val="fi-FI"/>
        </w:rPr>
        <w:t>ene sav-piveno</w:t>
      </w:r>
      <w:r w:rsidRPr="00FB4EFA">
        <w:rPr>
          <w:lang w:val="fi-FI"/>
        </w:rPr>
        <w:t xml:space="preserve">... Sama koskee myös persoonapronominin </w:t>
      </w:r>
      <w:r w:rsidRPr="00FB4EFA">
        <w:rPr>
          <w:i/>
          <w:iCs/>
          <w:lang w:val="fi-FI"/>
        </w:rPr>
        <w:t>je</w:t>
      </w:r>
      <w:r w:rsidRPr="00FB4EFA">
        <w:rPr>
          <w:lang w:val="fi-FI"/>
        </w:rPr>
        <w:t xml:space="preserve">, mon. </w:t>
      </w:r>
      <w:r w:rsidRPr="00FB4EFA">
        <w:rPr>
          <w:i/>
          <w:iCs/>
          <w:lang w:val="fi-FI"/>
        </w:rPr>
        <w:t>i</w:t>
      </w:r>
      <w:r w:rsidRPr="00FB4EFA">
        <w:rPr>
          <w:lang w:val="fi-FI"/>
        </w:rPr>
        <w:t xml:space="preserve">, muotoja, jotka etelänkuilinassa ovat lyhentyneet yksitavuisiksi kliiteiksi: </w:t>
      </w:r>
      <w:r w:rsidRPr="00FB4EFA">
        <w:rPr>
          <w:i/>
          <w:iCs/>
          <w:lang w:val="fi-FI"/>
        </w:rPr>
        <w:t xml:space="preserve">krava </w:t>
      </w:r>
      <w:r w:rsidRPr="00FB4EFA">
        <w:rPr>
          <w:i/>
          <w:iCs/>
          <w:u w:val="single"/>
          <w:lang w:val="fi-FI"/>
        </w:rPr>
        <w:t>il</w:t>
      </w:r>
      <w:r w:rsidRPr="00FB4EFA">
        <w:rPr>
          <w:i/>
          <w:iCs/>
          <w:lang w:val="fi-FI"/>
        </w:rPr>
        <w:t xml:space="preserve"> oma terevje</w:t>
      </w:r>
      <w:r w:rsidRPr="00FB4EFA">
        <w:rPr>
          <w:lang w:val="fi-FI"/>
        </w:rPr>
        <w:t xml:space="preserve">, </w:t>
      </w:r>
      <w:r w:rsidRPr="00FB4EFA">
        <w:rPr>
          <w:i/>
          <w:iCs/>
          <w:lang w:val="fi-FI"/>
        </w:rPr>
        <w:t xml:space="preserve">vonitelev </w:t>
      </w:r>
      <w:r w:rsidRPr="00FB4EFA">
        <w:rPr>
          <w:i/>
          <w:iCs/>
          <w:u w:val="single"/>
          <w:lang w:val="fi-FI"/>
        </w:rPr>
        <w:t>id</w:t>
      </w:r>
      <w:r w:rsidRPr="00FB4EFA">
        <w:rPr>
          <w:i/>
          <w:iCs/>
          <w:lang w:val="fi-FI"/>
        </w:rPr>
        <w:t xml:space="preserve"> reb-jeme</w:t>
      </w:r>
      <w:r w:rsidRPr="00FB4EFA">
        <w:rPr>
          <w:lang w:val="fi-FI"/>
        </w:rPr>
        <w:t>.</w:t>
      </w:r>
    </w:p>
    <w:p w14:paraId="36BCF1F5" w14:textId="77777777" w:rsidR="00EF1775" w:rsidRPr="00FB4EFA" w:rsidRDefault="00EF1775" w:rsidP="00A219CF">
      <w:pPr>
        <w:ind w:firstLine="709"/>
        <w:rPr>
          <w:lang w:val="fi-FI"/>
        </w:rPr>
      </w:pPr>
      <w:r w:rsidRPr="00FB4EFA">
        <w:rPr>
          <w:lang w:val="fi-FI"/>
        </w:rPr>
        <w:t xml:space="preserve">Etelänkuilina on saanut sanoja saksan, latinan ja monen muun eurooppalaisen kielen ohella turkista. Yksi näistä lainoista on päässyt tekstinäytteeseemmekin: </w:t>
      </w:r>
      <w:r w:rsidRPr="00FB4EFA">
        <w:rPr>
          <w:rStyle w:val="tojvnm2t"/>
          <w:i/>
          <w:iCs/>
          <w:lang w:val="fi-FI"/>
        </w:rPr>
        <w:t>kand</w:t>
      </w:r>
      <w:r w:rsidRPr="00FB4EFA">
        <w:rPr>
          <w:rStyle w:val="tojvnm2t"/>
          <w:rFonts w:cs="Cambria"/>
          <w:i/>
          <w:iCs/>
          <w:lang w:val="fi-FI"/>
        </w:rPr>
        <w:t>ž</w:t>
      </w:r>
      <w:r w:rsidRPr="00FB4EFA">
        <w:rPr>
          <w:rStyle w:val="tojvnm2t"/>
          <w:i/>
          <w:iCs/>
          <w:lang w:val="fi-FI"/>
        </w:rPr>
        <w:t>e</w:t>
      </w:r>
      <w:r w:rsidRPr="00FB4EFA">
        <w:rPr>
          <w:lang w:val="fi-FI"/>
        </w:rPr>
        <w:t xml:space="preserve">, mon. </w:t>
      </w:r>
      <w:r w:rsidRPr="00FB4EFA">
        <w:rPr>
          <w:rStyle w:val="tojvnm2t"/>
          <w:i/>
          <w:iCs/>
          <w:lang w:val="fi-FI"/>
        </w:rPr>
        <w:t>kand</w:t>
      </w:r>
      <w:r w:rsidRPr="00FB4EFA">
        <w:rPr>
          <w:rStyle w:val="tojvnm2t"/>
          <w:rFonts w:cs="Cambria"/>
          <w:i/>
          <w:iCs/>
          <w:lang w:val="fi-FI"/>
        </w:rPr>
        <w:t>ž</w:t>
      </w:r>
      <w:r w:rsidRPr="00FB4EFA">
        <w:rPr>
          <w:rStyle w:val="tojvnm2t"/>
          <w:i/>
          <w:iCs/>
          <w:lang w:val="fi-FI"/>
        </w:rPr>
        <w:t>a</w:t>
      </w:r>
      <w:r w:rsidRPr="00FB4EFA">
        <w:rPr>
          <w:lang w:val="fi-FI"/>
        </w:rPr>
        <w:t xml:space="preserve">. Sen äänteellinen läheisyys suomen </w:t>
      </w:r>
      <w:r w:rsidRPr="00FB4EFA">
        <w:rPr>
          <w:i/>
          <w:iCs/>
          <w:lang w:val="fi-FI"/>
        </w:rPr>
        <w:t>kynsi</w:t>
      </w:r>
      <w:r w:rsidRPr="00FB4EFA">
        <w:rPr>
          <w:lang w:val="fi-FI"/>
        </w:rPr>
        <w:t xml:space="preserve">-sanaan ja sen peltokuilinan säännölliseen vastineeseen </w:t>
      </w:r>
      <w:r w:rsidRPr="00FB4EFA">
        <w:rPr>
          <w:i/>
          <w:iCs/>
          <w:lang w:val="fi-FI"/>
        </w:rPr>
        <w:t>cz</w:t>
      </w:r>
      <w:r w:rsidRPr="00FB4EFA">
        <w:rPr>
          <w:rFonts w:cs="Cambria"/>
          <w:i/>
          <w:iCs/>
          <w:lang w:val="fi-FI"/>
        </w:rPr>
        <w:t>ą</w:t>
      </w:r>
      <w:r w:rsidRPr="00FB4EFA">
        <w:rPr>
          <w:i/>
          <w:iCs/>
          <w:lang w:val="fi-FI"/>
        </w:rPr>
        <w:t>dz</w:t>
      </w:r>
      <w:r w:rsidRPr="00FB4EFA">
        <w:rPr>
          <w:lang w:val="fi-FI"/>
        </w:rPr>
        <w:t xml:space="preserve"> (tekstissä demin. mon. </w:t>
      </w:r>
      <w:r w:rsidRPr="00FB4EFA">
        <w:rPr>
          <w:i/>
          <w:iCs/>
          <w:lang w:val="fi-FI"/>
        </w:rPr>
        <w:t>czanica</w:t>
      </w:r>
      <w:r w:rsidRPr="00FB4EFA">
        <w:rPr>
          <w:lang w:val="fi-FI"/>
        </w:rPr>
        <w:t>) on siis vain sattuman satoa (etelänkuilinassa odottaisi muotoa *</w:t>
      </w:r>
      <w:r w:rsidRPr="00FB4EFA">
        <w:rPr>
          <w:rFonts w:cs="Cambria"/>
          <w:i/>
          <w:iCs/>
          <w:lang w:val="fi-FI"/>
        </w:rPr>
        <w:t>č</w:t>
      </w:r>
      <w:r w:rsidRPr="00FB4EFA">
        <w:rPr>
          <w:i/>
          <w:iCs/>
          <w:lang w:val="fi-FI"/>
        </w:rPr>
        <w:t>e</w:t>
      </w:r>
      <w:r w:rsidRPr="00FB4EFA">
        <w:rPr>
          <w:rFonts w:cs="Cambria"/>
          <w:i/>
          <w:iCs/>
          <w:lang w:val="fi-FI"/>
        </w:rPr>
        <w:t>đ</w:t>
      </w:r>
      <w:r w:rsidRPr="00FB4EFA">
        <w:rPr>
          <w:lang w:val="fi-FI"/>
        </w:rPr>
        <w:t>).</w:t>
      </w:r>
    </w:p>
    <w:p w14:paraId="099B26B0" w14:textId="77777777" w:rsidR="00EF1775" w:rsidRPr="00FB4EFA" w:rsidRDefault="00EF1775" w:rsidP="00A219CF">
      <w:pPr>
        <w:ind w:firstLine="709"/>
        <w:rPr>
          <w:lang w:val="fi-FI"/>
        </w:rPr>
      </w:pPr>
      <w:r w:rsidRPr="00FB4EFA">
        <w:rPr>
          <w:lang w:val="fi-FI"/>
        </w:rPr>
        <w:t>On mahdollista, että etelänkuilinassa viljellään vähemmän deminutiiveja kuin sen lähisukukielissä. Ei silti ole poissuljettua, että joku toinen kääntäjä olisi tässä tekstissä päättänyt deminutiiveja käyttää.</w:t>
      </w:r>
    </w:p>
    <w:p w14:paraId="2027E9E2"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Balkaninkuilina</w:t>
      </w:r>
    </w:p>
    <w:p w14:paraId="36444291" w14:textId="6A31C8B8" w:rsidR="00EF1775" w:rsidRPr="00FB4EFA" w:rsidRDefault="00EF1775" w:rsidP="00065E48">
      <w:pPr>
        <w:keepLines/>
        <w:suppressAutoHyphens/>
        <w:spacing w:line="240" w:lineRule="auto"/>
        <w:ind w:left="709"/>
        <w:rPr>
          <w:sz w:val="20"/>
          <w:szCs w:val="20"/>
          <w:lang w:val="fi-FI"/>
        </w:rPr>
      </w:pPr>
      <w:r w:rsidRPr="00FB4EFA">
        <w:rPr>
          <w:rFonts w:ascii="OS Jeremy" w:hAnsi="OS Jeremy"/>
          <w:sz w:val="20"/>
          <w:szCs w:val="20"/>
          <w:lang w:val="fi-FI"/>
        </w:rPr>
        <w:t>1</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Ребицете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мит</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еме</w:t>
      </w:r>
      <w:r w:rsidRPr="00FB4EFA">
        <w:rPr>
          <w:rFonts w:ascii="OS Jeremy" w:hAnsi="OS Jeremy"/>
          <w:sz w:val="20"/>
          <w:szCs w:val="20"/>
          <w:lang w:val="fi-FI"/>
        </w:rPr>
        <w:t xml:space="preserve"> </w:t>
      </w:r>
      <w:r w:rsidRPr="00FB4EFA">
        <w:rPr>
          <w:rFonts w:ascii="OS Jeremy" w:hAnsi="OS Jeremy" w:cs="Cambria"/>
          <w:sz w:val="20"/>
          <w:szCs w:val="20"/>
          <w:lang w:val="fi-FI"/>
        </w:rPr>
        <w:t>чедепе</w:t>
      </w:r>
      <w:r w:rsidRPr="00FB4EFA">
        <w:rPr>
          <w:rFonts w:ascii="OS Jeremy" w:hAnsi="OS Jeremy"/>
          <w:sz w:val="20"/>
          <w:szCs w:val="20"/>
          <w:lang w:val="fi-FI"/>
        </w:rPr>
        <w:t xml:space="preserve"> </w:t>
      </w:r>
      <w:r w:rsidRPr="00FB4EFA">
        <w:rPr>
          <w:rFonts w:ascii="OS Jeremy" w:hAnsi="OS Jeremy" w:cs="Cambria"/>
          <w:sz w:val="20"/>
          <w:szCs w:val="20"/>
          <w:lang w:val="fi-FI"/>
        </w:rPr>
        <w:t>ладо</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кухице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иле</w:t>
      </w:r>
      <w:r w:rsidRPr="00FB4EFA">
        <w:rPr>
          <w:rFonts w:ascii="OS Jeremy" w:hAnsi="OS Jeremy"/>
          <w:sz w:val="20"/>
          <w:szCs w:val="20"/>
          <w:lang w:val="fi-FI"/>
        </w:rPr>
        <w:t xml:space="preserve">, </w:t>
      </w:r>
      <w:r w:rsidRPr="00FB4EFA">
        <w:rPr>
          <w:rFonts w:ascii="OS Jeremy" w:hAnsi="OS Jeremy" w:cs="Cambria"/>
          <w:sz w:val="20"/>
          <w:szCs w:val="20"/>
          <w:lang w:val="fi-FI"/>
        </w:rPr>
        <w:t>цеве</w:t>
      </w:r>
      <w:r w:rsidRPr="00FB4EFA">
        <w:rPr>
          <w:rFonts w:ascii="OS Jeremy" w:hAnsi="OS Jeremy"/>
          <w:sz w:val="20"/>
          <w:szCs w:val="20"/>
          <w:lang w:val="fi-FI"/>
        </w:rPr>
        <w:t xml:space="preserve"> </w:t>
      </w:r>
      <w:r w:rsidRPr="00FB4EFA">
        <w:rPr>
          <w:rFonts w:ascii="OS Jeremy" w:hAnsi="OS Jeremy" w:cs="Cambria"/>
          <w:sz w:val="20"/>
          <w:szCs w:val="20"/>
          <w:lang w:val="fi-FI"/>
        </w:rPr>
        <w:t>мазо</w:t>
      </w:r>
      <w:r w:rsidRPr="00FB4EFA">
        <w:rPr>
          <w:rFonts w:ascii="OS Jeremy" w:hAnsi="OS Jeremy"/>
          <w:sz w:val="20"/>
          <w:szCs w:val="20"/>
          <w:lang w:val="fi-FI"/>
        </w:rPr>
        <w:t xml:space="preserve"> </w:t>
      </w:r>
      <w:r w:rsidRPr="00FB4EFA">
        <w:rPr>
          <w:rFonts w:ascii="OS Jeremy" w:hAnsi="OS Jeremy" w:cs="Cambria"/>
          <w:sz w:val="20"/>
          <w:szCs w:val="20"/>
          <w:lang w:val="fi-FI"/>
        </w:rPr>
        <w:t>пано</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sz w:val="20"/>
          <w:szCs w:val="20"/>
          <w:lang w:val="fi-FI"/>
        </w:rPr>
        <w:t xml:space="preserve"> </w:t>
      </w:r>
      <w:r w:rsidRPr="00FB4EFA">
        <w:rPr>
          <w:rFonts w:ascii="OS Jeremy" w:hAnsi="OS Jeremy" w:cs="Cambria"/>
          <w:sz w:val="20"/>
          <w:szCs w:val="20"/>
          <w:lang w:val="fi-FI"/>
        </w:rPr>
        <w:t>жделе</w:t>
      </w:r>
      <w:r w:rsidRPr="00FB4EFA">
        <w:rPr>
          <w:rFonts w:ascii="OS Jeremy" w:hAnsi="OS Jeremy"/>
          <w:sz w:val="20"/>
          <w:szCs w:val="20"/>
          <w:lang w:val="fi-FI"/>
        </w:rPr>
        <w:t xml:space="preserve"> </w:t>
      </w:r>
      <w:r w:rsidRPr="00FB4EFA">
        <w:rPr>
          <w:rFonts w:ascii="OS Jeremy" w:hAnsi="OS Jeremy" w:cs="Cambria"/>
          <w:sz w:val="20"/>
          <w:szCs w:val="20"/>
          <w:lang w:val="fi-FI"/>
        </w:rPr>
        <w:t>ракъжд</w:t>
      </w:r>
      <w:r w:rsidRPr="00FB4EFA">
        <w:rPr>
          <w:rFonts w:ascii="OS Jeremy" w:hAnsi="OS Jeremy"/>
          <w:sz w:val="20"/>
          <w:szCs w:val="20"/>
          <w:lang w:val="fi-FI"/>
        </w:rPr>
        <w:t xml:space="preserve"> </w:t>
      </w:r>
      <w:r w:rsidRPr="00FB4EFA">
        <w:rPr>
          <w:rFonts w:ascii="OS Jeremy" w:hAnsi="OS Jeremy" w:cs="Cambria"/>
          <w:sz w:val="20"/>
          <w:szCs w:val="20"/>
          <w:lang w:val="fi-FI"/>
        </w:rPr>
        <w:t>згеле</w:t>
      </w:r>
      <w:r w:rsidRPr="00FB4EFA">
        <w:rPr>
          <w:rFonts w:ascii="OS Jeremy" w:hAnsi="OS Jeremy"/>
          <w:sz w:val="20"/>
          <w:szCs w:val="20"/>
          <w:lang w:val="fi-FI"/>
        </w:rPr>
        <w:t xml:space="preserve"> </w:t>
      </w:r>
      <w:r w:rsidRPr="00FB4EFA">
        <w:rPr>
          <w:rFonts w:ascii="OS Jeremy" w:hAnsi="OS Jeremy" w:cs="Cambria"/>
          <w:sz w:val="20"/>
          <w:szCs w:val="20"/>
          <w:lang w:val="fi-FI"/>
        </w:rPr>
        <w:t>пада</w:t>
      </w:r>
      <w:r w:rsidRPr="00FB4EFA">
        <w:rPr>
          <w:rFonts w:ascii="OS Jeremy" w:hAnsi="OS Jeremy"/>
          <w:sz w:val="20"/>
          <w:szCs w:val="20"/>
          <w:lang w:val="fi-FI"/>
        </w:rPr>
        <w:t>. 2</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Ищ</w:t>
      </w:r>
      <w:r w:rsidRPr="00FB4EFA">
        <w:rPr>
          <w:rFonts w:ascii="OS Jeremy" w:hAnsi="OS Jeremy"/>
          <w:sz w:val="20"/>
          <w:szCs w:val="20"/>
          <w:lang w:val="fi-FI"/>
        </w:rPr>
        <w:t xml:space="preserve"> </w:t>
      </w:r>
      <w:r w:rsidRPr="00FB4EFA">
        <w:rPr>
          <w:rFonts w:ascii="OS Jeremy" w:hAnsi="OS Jeremy" w:cs="Cambria"/>
          <w:sz w:val="20"/>
          <w:szCs w:val="20"/>
          <w:lang w:val="fi-FI"/>
        </w:rPr>
        <w:t>пивежде</w:t>
      </w:r>
      <w:r w:rsidRPr="00FB4EFA">
        <w:rPr>
          <w:rFonts w:ascii="OS Jeremy" w:hAnsi="OS Jeremy"/>
          <w:sz w:val="20"/>
          <w:szCs w:val="20"/>
          <w:lang w:val="fi-FI"/>
        </w:rPr>
        <w:t>-</w:t>
      </w:r>
      <w:r w:rsidRPr="00FB4EFA">
        <w:rPr>
          <w:rFonts w:ascii="OS Jeremy" w:hAnsi="OS Jeremy" w:cs="Cambria"/>
          <w:sz w:val="20"/>
          <w:szCs w:val="20"/>
          <w:lang w:val="fi-FI"/>
        </w:rPr>
        <w:t>пестойжде</w:t>
      </w:r>
      <w:r w:rsidRPr="00FB4EFA">
        <w:rPr>
          <w:rFonts w:ascii="OS Jeremy" w:hAnsi="OS Jeremy"/>
          <w:sz w:val="20"/>
          <w:szCs w:val="20"/>
          <w:lang w:val="fi-FI"/>
        </w:rPr>
        <w:t xml:space="preserve"> </w:t>
      </w:r>
      <w:r w:rsidRPr="00FB4EFA">
        <w:rPr>
          <w:rFonts w:ascii="OS Jeremy" w:hAnsi="OS Jeremy" w:cs="Cambria"/>
          <w:sz w:val="20"/>
          <w:szCs w:val="20"/>
          <w:lang w:val="fi-FI"/>
        </w:rPr>
        <w:t>съв</w:t>
      </w:r>
      <w:r w:rsidRPr="00FB4EFA">
        <w:rPr>
          <w:rFonts w:ascii="OS Jeremy" w:hAnsi="OS Jeremy"/>
          <w:sz w:val="20"/>
          <w:szCs w:val="20"/>
          <w:lang w:val="fi-FI"/>
        </w:rPr>
        <w:t>-</w:t>
      </w:r>
      <w:r w:rsidRPr="00FB4EFA">
        <w:rPr>
          <w:rFonts w:ascii="OS Jeremy" w:hAnsi="OS Jeremy" w:cs="Cambria"/>
          <w:sz w:val="20"/>
          <w:szCs w:val="20"/>
          <w:lang w:val="fi-FI"/>
        </w:rPr>
        <w:t>пивезо</w:t>
      </w:r>
      <w:r w:rsidRPr="00FB4EFA">
        <w:rPr>
          <w:rFonts w:ascii="OS Jeremy" w:hAnsi="OS Jeremy"/>
          <w:sz w:val="20"/>
          <w:szCs w:val="20"/>
          <w:lang w:val="fi-FI"/>
        </w:rPr>
        <w:t xml:space="preserve"> </w:t>
      </w:r>
      <w:r w:rsidRPr="00FB4EFA">
        <w:rPr>
          <w:rFonts w:ascii="OS Jeremy" w:hAnsi="OS Jeremy" w:cs="Cambria"/>
          <w:sz w:val="20"/>
          <w:szCs w:val="20"/>
          <w:lang w:val="fi-FI"/>
        </w:rPr>
        <w:t>теле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седевзе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неле</w:t>
      </w:r>
      <w:r w:rsidRPr="00FB4EFA">
        <w:rPr>
          <w:rFonts w:ascii="OS Jeremy" w:hAnsi="OS Jeremy"/>
          <w:sz w:val="20"/>
          <w:szCs w:val="20"/>
          <w:lang w:val="fi-FI"/>
        </w:rPr>
        <w:t xml:space="preserve"> </w:t>
      </w:r>
      <w:r w:rsidRPr="00FB4EFA">
        <w:rPr>
          <w:rFonts w:ascii="OS Jeremy" w:hAnsi="OS Jeremy" w:cs="Cambria"/>
          <w:sz w:val="20"/>
          <w:szCs w:val="20"/>
          <w:lang w:val="fi-FI"/>
        </w:rPr>
        <w:t>ребежда</w:t>
      </w:r>
      <w:r w:rsidRPr="00FB4EFA">
        <w:rPr>
          <w:rFonts w:ascii="OS Jeremy" w:hAnsi="OS Jeremy"/>
          <w:sz w:val="20"/>
          <w:szCs w:val="20"/>
          <w:lang w:val="fi-FI"/>
        </w:rPr>
        <w:t>. 3</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Не</w:t>
      </w:r>
      <w:r w:rsidRPr="00FB4EFA">
        <w:rPr>
          <w:rFonts w:ascii="OS Jeremy" w:hAnsi="OS Jeremy"/>
          <w:sz w:val="20"/>
          <w:szCs w:val="20"/>
          <w:lang w:val="fi-FI"/>
        </w:rPr>
        <w:t xml:space="preserve"> </w:t>
      </w:r>
      <w:r w:rsidRPr="00FB4EFA">
        <w:rPr>
          <w:rFonts w:ascii="OS Jeremy" w:hAnsi="OS Jeremy" w:cs="Cambria"/>
          <w:sz w:val="20"/>
          <w:szCs w:val="20"/>
          <w:lang w:val="fi-FI"/>
        </w:rPr>
        <w:t>ома</w:t>
      </w:r>
      <w:r w:rsidRPr="00FB4EFA">
        <w:rPr>
          <w:rFonts w:ascii="OS Jeremy" w:hAnsi="OS Jeremy"/>
          <w:sz w:val="20"/>
          <w:szCs w:val="20"/>
          <w:lang w:val="fi-FI"/>
        </w:rPr>
        <w:t xml:space="preserve"> </w:t>
      </w:r>
      <w:r w:rsidRPr="00FB4EFA">
        <w:rPr>
          <w:rFonts w:ascii="OS Jeremy" w:hAnsi="OS Jeremy" w:cs="Cambria"/>
          <w:sz w:val="20"/>
          <w:szCs w:val="20"/>
          <w:lang w:val="fi-FI"/>
        </w:rPr>
        <w:t>палести</w:t>
      </w:r>
      <w:r w:rsidRPr="00FB4EFA">
        <w:rPr>
          <w:rFonts w:ascii="OS Jeremy" w:hAnsi="OS Jeremy"/>
          <w:sz w:val="20"/>
          <w:szCs w:val="20"/>
          <w:lang w:val="fi-FI"/>
        </w:rPr>
        <w:t xml:space="preserve"> </w:t>
      </w:r>
      <w:r w:rsidRPr="00FB4EFA">
        <w:rPr>
          <w:rFonts w:ascii="OS Jeremy" w:hAnsi="OS Jeremy" w:cs="Cambria"/>
          <w:sz w:val="20"/>
          <w:szCs w:val="20"/>
          <w:lang w:val="fi-FI"/>
        </w:rPr>
        <w:t>хубажда</w:t>
      </w:r>
      <w:r w:rsidRPr="00FB4EFA">
        <w:rPr>
          <w:rFonts w:ascii="OS Jeremy" w:hAnsi="OS Jeremy"/>
          <w:sz w:val="20"/>
          <w:szCs w:val="20"/>
          <w:lang w:val="fi-FI"/>
        </w:rPr>
        <w:t xml:space="preserve">: </w:t>
      </w:r>
      <w:r w:rsidRPr="00FB4EFA">
        <w:rPr>
          <w:rFonts w:ascii="OS Jeremy" w:hAnsi="OS Jeremy" w:cs="Cambria"/>
          <w:sz w:val="20"/>
          <w:szCs w:val="20"/>
          <w:lang w:val="fi-FI"/>
        </w:rPr>
        <w:t>омева</w:t>
      </w:r>
      <w:r w:rsidRPr="00FB4EFA">
        <w:rPr>
          <w:rFonts w:ascii="OS Jeremy" w:hAnsi="OS Jeremy"/>
          <w:sz w:val="20"/>
          <w:szCs w:val="20"/>
          <w:lang w:val="fi-FI"/>
        </w:rPr>
        <w:t xml:space="preserve"> </w:t>
      </w:r>
      <w:r w:rsidRPr="00FB4EFA">
        <w:rPr>
          <w:rFonts w:ascii="OS Jeremy" w:hAnsi="OS Jeremy" w:cs="Cambria"/>
          <w:sz w:val="20"/>
          <w:szCs w:val="20"/>
          <w:lang w:val="fi-FI"/>
        </w:rPr>
        <w:t>тереве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крава</w:t>
      </w:r>
      <w:r w:rsidRPr="00FB4EFA">
        <w:rPr>
          <w:rFonts w:ascii="OS Jeremy" w:hAnsi="OS Jeremy"/>
          <w:sz w:val="20"/>
          <w:szCs w:val="20"/>
          <w:lang w:val="fi-FI"/>
        </w:rPr>
        <w:t xml:space="preserve">, </w:t>
      </w:r>
      <w:r w:rsidRPr="00FB4EFA">
        <w:rPr>
          <w:rFonts w:ascii="OS Jeremy" w:hAnsi="OS Jeremy" w:cs="Cambria"/>
          <w:sz w:val="20"/>
          <w:szCs w:val="20"/>
          <w:lang w:val="fi-FI"/>
        </w:rPr>
        <w:t>нонуране</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sz w:val="20"/>
          <w:szCs w:val="20"/>
          <w:lang w:val="fi-FI"/>
        </w:rPr>
        <w:t xml:space="preserve"> </w:t>
      </w:r>
      <w:r w:rsidRPr="00FB4EFA">
        <w:rPr>
          <w:rFonts w:ascii="OS Jeremy" w:hAnsi="OS Jeremy" w:cs="Cambria"/>
          <w:sz w:val="20"/>
          <w:szCs w:val="20"/>
          <w:lang w:val="fi-FI"/>
        </w:rPr>
        <w:t>силане</w:t>
      </w:r>
      <w:r w:rsidRPr="00FB4EFA">
        <w:rPr>
          <w:rFonts w:ascii="OS Jeremy" w:hAnsi="OS Jeremy"/>
          <w:sz w:val="20"/>
          <w:szCs w:val="20"/>
          <w:lang w:val="fi-FI"/>
        </w:rPr>
        <w:t xml:space="preserve"> </w:t>
      </w:r>
      <w:r w:rsidRPr="00FB4EFA">
        <w:rPr>
          <w:rFonts w:ascii="OS Jeremy" w:hAnsi="OS Jeremy" w:cs="Cambria"/>
          <w:sz w:val="20"/>
          <w:szCs w:val="20"/>
          <w:lang w:val="fi-FI"/>
        </w:rPr>
        <w:t>ниле</w:t>
      </w:r>
      <w:r w:rsidRPr="00FB4EFA">
        <w:rPr>
          <w:rFonts w:ascii="OS Jeremy" w:hAnsi="OS Jeremy"/>
          <w:sz w:val="20"/>
          <w:szCs w:val="20"/>
          <w:lang w:val="fi-FI"/>
        </w:rPr>
        <w:t xml:space="preserve"> </w:t>
      </w:r>
      <w:r w:rsidRPr="00FB4EFA">
        <w:rPr>
          <w:rFonts w:ascii="OS Jeremy" w:hAnsi="OS Jeremy" w:cs="Cambria"/>
          <w:sz w:val="20"/>
          <w:szCs w:val="20"/>
          <w:lang w:val="fi-FI"/>
        </w:rPr>
        <w:t>ома</w:t>
      </w:r>
      <w:r w:rsidRPr="00FB4EFA">
        <w:rPr>
          <w:rFonts w:ascii="OS Jeremy" w:hAnsi="OS Jeremy"/>
          <w:sz w:val="20"/>
          <w:szCs w:val="20"/>
          <w:lang w:val="fi-FI"/>
        </w:rPr>
        <w:t xml:space="preserve"> </w:t>
      </w:r>
      <w:r w:rsidRPr="00FB4EFA">
        <w:rPr>
          <w:rFonts w:ascii="OS Jeremy" w:hAnsi="OS Jeremy" w:cs="Cambria"/>
          <w:sz w:val="20"/>
          <w:szCs w:val="20"/>
          <w:lang w:val="fi-FI"/>
        </w:rPr>
        <w:t>мста</w:t>
      </w:r>
      <w:r w:rsidRPr="00FB4EFA">
        <w:rPr>
          <w:rFonts w:ascii="OS Jeremy" w:hAnsi="OS Jeremy"/>
          <w:sz w:val="20"/>
          <w:szCs w:val="20"/>
          <w:lang w:val="fi-FI"/>
        </w:rPr>
        <w:t xml:space="preserve">, </w:t>
      </w:r>
      <w:r w:rsidRPr="00FB4EFA">
        <w:rPr>
          <w:rFonts w:ascii="OS Jeremy" w:hAnsi="OS Jeremy" w:cs="Cambria"/>
          <w:sz w:val="20"/>
          <w:szCs w:val="20"/>
          <w:lang w:val="fi-FI"/>
        </w:rPr>
        <w:t>соборицане</w:t>
      </w:r>
      <w:r w:rsidRPr="00FB4EFA">
        <w:rPr>
          <w:rFonts w:ascii="OS Jeremy" w:hAnsi="OS Jeremy"/>
          <w:sz w:val="20"/>
          <w:szCs w:val="20"/>
          <w:lang w:val="fi-FI"/>
        </w:rPr>
        <w:t xml:space="preserve"> </w:t>
      </w:r>
      <w:r w:rsidRPr="00FB4EFA">
        <w:rPr>
          <w:rFonts w:ascii="OS Jeremy" w:hAnsi="OS Jeremy" w:cs="Cambria"/>
          <w:sz w:val="20"/>
          <w:szCs w:val="20"/>
          <w:lang w:val="fi-FI"/>
        </w:rPr>
        <w:t>клодежда</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мито</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ящакане</w:t>
      </w:r>
      <w:r w:rsidRPr="00FB4EFA">
        <w:rPr>
          <w:rFonts w:ascii="OS Jeremy" w:hAnsi="OS Jeremy"/>
          <w:sz w:val="20"/>
          <w:szCs w:val="20"/>
          <w:lang w:val="fi-FI"/>
        </w:rPr>
        <w:t xml:space="preserve"> </w:t>
      </w:r>
      <w:r w:rsidRPr="00FB4EFA">
        <w:rPr>
          <w:rFonts w:ascii="OS Jeremy" w:hAnsi="OS Jeremy" w:cs="Cambria"/>
          <w:sz w:val="20"/>
          <w:szCs w:val="20"/>
          <w:lang w:val="fi-FI"/>
        </w:rPr>
        <w:t>ниле</w:t>
      </w:r>
      <w:r w:rsidRPr="00FB4EFA">
        <w:rPr>
          <w:rFonts w:ascii="OS Jeremy" w:hAnsi="OS Jeremy"/>
          <w:sz w:val="20"/>
          <w:szCs w:val="20"/>
          <w:lang w:val="fi-FI"/>
        </w:rPr>
        <w:t xml:space="preserve"> </w:t>
      </w:r>
      <w:r w:rsidRPr="00FB4EFA">
        <w:rPr>
          <w:rFonts w:ascii="OS Jeremy" w:hAnsi="OS Jeremy" w:cs="Cambria"/>
          <w:sz w:val="20"/>
          <w:szCs w:val="20"/>
          <w:lang w:val="fi-FI"/>
        </w:rPr>
        <w:t>влагоя</w:t>
      </w:r>
      <w:r w:rsidRPr="00FB4EFA">
        <w:rPr>
          <w:rFonts w:ascii="OS Jeremy" w:hAnsi="OS Jeremy"/>
          <w:sz w:val="20"/>
          <w:szCs w:val="20"/>
          <w:lang w:val="fi-FI"/>
        </w:rPr>
        <w:t xml:space="preserve">, </w:t>
      </w:r>
      <w:r w:rsidRPr="00FB4EFA">
        <w:rPr>
          <w:rFonts w:ascii="OS Jeremy" w:hAnsi="OS Jeremy" w:cs="Cambria"/>
          <w:sz w:val="20"/>
          <w:szCs w:val="20"/>
          <w:lang w:val="fi-FI"/>
        </w:rPr>
        <w:t>серулене</w:t>
      </w:r>
      <w:r w:rsidRPr="00FB4EFA">
        <w:rPr>
          <w:rFonts w:ascii="OS Jeremy" w:hAnsi="OS Jeremy"/>
          <w:sz w:val="20"/>
          <w:szCs w:val="20"/>
          <w:lang w:val="fi-FI"/>
        </w:rPr>
        <w:t xml:space="preserve"> </w:t>
      </w:r>
      <w:r w:rsidRPr="00FB4EFA">
        <w:rPr>
          <w:rFonts w:ascii="OS Jeremy" w:hAnsi="OS Jeremy" w:cs="Cambria"/>
          <w:sz w:val="20"/>
          <w:szCs w:val="20"/>
          <w:lang w:val="fi-FI"/>
        </w:rPr>
        <w:t>ниле</w:t>
      </w:r>
      <w:r w:rsidRPr="00FB4EFA">
        <w:rPr>
          <w:rFonts w:ascii="OS Jeremy" w:hAnsi="OS Jeremy"/>
          <w:sz w:val="20"/>
          <w:szCs w:val="20"/>
          <w:lang w:val="fi-FI"/>
        </w:rPr>
        <w:t xml:space="preserve"> </w:t>
      </w:r>
      <w:r w:rsidRPr="00FB4EFA">
        <w:rPr>
          <w:rFonts w:ascii="OS Jeremy" w:hAnsi="OS Jeremy" w:cs="Cambria"/>
          <w:sz w:val="20"/>
          <w:szCs w:val="20"/>
          <w:lang w:val="fi-FI"/>
        </w:rPr>
        <w:t>ома</w:t>
      </w:r>
      <w:r w:rsidRPr="00FB4EFA">
        <w:rPr>
          <w:rFonts w:ascii="OS Jeremy" w:hAnsi="OS Jeremy"/>
          <w:sz w:val="20"/>
          <w:szCs w:val="20"/>
          <w:lang w:val="fi-FI"/>
        </w:rPr>
        <w:t xml:space="preserve"> </w:t>
      </w:r>
      <w:r w:rsidRPr="00FB4EFA">
        <w:rPr>
          <w:rFonts w:ascii="OS Jeremy" w:hAnsi="OS Jeremy" w:cs="Cambria"/>
          <w:sz w:val="20"/>
          <w:szCs w:val="20"/>
          <w:lang w:val="fi-FI"/>
        </w:rPr>
        <w:t>псцижда</w:t>
      </w:r>
      <w:r w:rsidRPr="00FB4EFA">
        <w:rPr>
          <w:rFonts w:ascii="OS Jeremy" w:hAnsi="OS Jeremy"/>
          <w:sz w:val="20"/>
          <w:szCs w:val="20"/>
          <w:lang w:val="fi-FI"/>
        </w:rPr>
        <w:t xml:space="preserve">, </w:t>
      </w:r>
      <w:r w:rsidRPr="00FB4EFA">
        <w:rPr>
          <w:rFonts w:ascii="OS Jeremy" w:hAnsi="OS Jeremy" w:cs="Cambria"/>
          <w:sz w:val="20"/>
          <w:szCs w:val="20"/>
          <w:lang w:val="fi-FI"/>
        </w:rPr>
        <w:t>а</w:t>
      </w:r>
      <w:r w:rsidRPr="00FB4EFA">
        <w:rPr>
          <w:rFonts w:ascii="OS Jeremy" w:hAnsi="OS Jeremy"/>
          <w:sz w:val="20"/>
          <w:szCs w:val="20"/>
          <w:lang w:val="fi-FI"/>
        </w:rPr>
        <w:t xml:space="preserve"> </w:t>
      </w:r>
      <w:r w:rsidRPr="00FB4EFA">
        <w:rPr>
          <w:rFonts w:ascii="OS Jeremy" w:hAnsi="OS Jeremy" w:cs="Cambria"/>
          <w:sz w:val="20"/>
          <w:szCs w:val="20"/>
          <w:lang w:val="fi-FI"/>
        </w:rPr>
        <w:t>чъдене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охиежда</w:t>
      </w:r>
      <w:r w:rsidRPr="00FB4EFA">
        <w:rPr>
          <w:rFonts w:ascii="OS Jeremy" w:hAnsi="OS Jeremy"/>
          <w:sz w:val="20"/>
          <w:szCs w:val="20"/>
          <w:lang w:val="fi-FI"/>
        </w:rPr>
        <w:t>. 4</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Ребице</w:t>
      </w:r>
      <w:r w:rsidRPr="00FB4EFA">
        <w:rPr>
          <w:rFonts w:ascii="OS Jeremy" w:hAnsi="OS Jeremy" w:cstheme="minorHAnsi"/>
          <w:sz w:val="20"/>
          <w:szCs w:val="20"/>
          <w:lang w:val="fi-FI"/>
        </w:rPr>
        <w:t>-</w:t>
      </w:r>
      <w:r w:rsidRPr="00FB4EFA">
        <w:rPr>
          <w:rFonts w:ascii="OS Jeremy" w:hAnsi="OS Jeremy" w:cs="Cambria"/>
          <w:sz w:val="20"/>
          <w:szCs w:val="20"/>
          <w:lang w:val="fi-FI"/>
        </w:rPr>
        <w:t>еменете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ниде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вонитолов</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теле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здете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илещесе</w:t>
      </w:r>
      <w:r w:rsidRPr="00FB4EFA">
        <w:rPr>
          <w:rFonts w:ascii="OS Jeremy" w:hAnsi="OS Jeremy"/>
          <w:sz w:val="20"/>
          <w:szCs w:val="20"/>
          <w:lang w:val="fi-FI"/>
        </w:rPr>
        <w:t>. 5</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тести</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рацежд</w:t>
      </w:r>
      <w:r w:rsidRPr="00FB4EFA">
        <w:rPr>
          <w:rFonts w:ascii="OS Jeremy" w:hAnsi="OS Jeremy" w:cstheme="minorHAnsi"/>
          <w:sz w:val="20"/>
          <w:szCs w:val="20"/>
          <w:lang w:val="fi-FI"/>
        </w:rPr>
        <w:t xml:space="preserve"> </w:t>
      </w:r>
      <w:r w:rsidRPr="00FB4EFA">
        <w:rPr>
          <w:rFonts w:ascii="OS Jeremy" w:hAnsi="OS Jeremy" w:cs="Cambria"/>
          <w:sz w:val="20"/>
          <w:szCs w:val="20"/>
          <w:lang w:val="fi-FI"/>
        </w:rPr>
        <w:t>ет</w:t>
      </w:r>
      <w:r w:rsidRPr="00FB4EFA">
        <w:rPr>
          <w:rFonts w:ascii="OS Jeremy" w:hAnsi="OS Jeremy"/>
          <w:sz w:val="20"/>
          <w:szCs w:val="20"/>
          <w:lang w:val="fi-FI"/>
        </w:rPr>
        <w:t xml:space="preserve"> </w:t>
      </w:r>
      <w:r w:rsidRPr="00FB4EFA">
        <w:rPr>
          <w:rFonts w:ascii="OS Jeremy" w:hAnsi="OS Jeremy" w:cs="Cambria"/>
          <w:sz w:val="20"/>
          <w:szCs w:val="20"/>
          <w:lang w:val="fi-FI"/>
        </w:rPr>
        <w:t>нежутев</w:t>
      </w:r>
      <w:r w:rsidRPr="00FB4EFA">
        <w:rPr>
          <w:rFonts w:ascii="OS Jeremy" w:hAnsi="OS Jeremy"/>
          <w:sz w:val="20"/>
          <w:szCs w:val="20"/>
          <w:lang w:val="fi-FI"/>
        </w:rPr>
        <w:t xml:space="preserve"> </w:t>
      </w:r>
      <w:r w:rsidRPr="00FB4EFA">
        <w:rPr>
          <w:rFonts w:ascii="OS Jeremy" w:hAnsi="OS Jeremy" w:cs="Cambria"/>
          <w:sz w:val="20"/>
          <w:szCs w:val="20"/>
          <w:lang w:val="fi-FI"/>
        </w:rPr>
        <w:t>лащезане</w:t>
      </w:r>
      <w:r w:rsidRPr="00FB4EFA">
        <w:rPr>
          <w:rFonts w:ascii="OS Jeremy" w:hAnsi="OS Jeremy"/>
          <w:sz w:val="20"/>
          <w:szCs w:val="20"/>
          <w:lang w:val="fi-FI"/>
        </w:rPr>
        <w:t xml:space="preserve"> </w:t>
      </w:r>
      <w:r w:rsidRPr="00FB4EFA">
        <w:rPr>
          <w:rFonts w:ascii="OS Jeremy" w:hAnsi="OS Jeremy" w:cs="Cambria"/>
          <w:sz w:val="20"/>
          <w:szCs w:val="20"/>
          <w:lang w:val="fi-FI"/>
        </w:rPr>
        <w:t>коеч</w:t>
      </w:r>
      <w:r w:rsidRPr="00FB4EFA">
        <w:rPr>
          <w:rFonts w:ascii="OS Jeremy" w:hAnsi="OS Jeremy"/>
          <w:sz w:val="20"/>
          <w:szCs w:val="20"/>
          <w:lang w:val="fi-FI"/>
        </w:rPr>
        <w:t xml:space="preserve"> </w:t>
      </w:r>
      <w:r w:rsidRPr="00FB4EFA">
        <w:rPr>
          <w:rFonts w:ascii="OS Jeremy" w:hAnsi="OS Jeremy" w:cs="Cambria"/>
          <w:sz w:val="20"/>
          <w:szCs w:val="20"/>
          <w:lang w:val="fi-FI"/>
        </w:rPr>
        <w:t>олелоело</w:t>
      </w:r>
      <w:r w:rsidRPr="00FB4EFA">
        <w:rPr>
          <w:rFonts w:ascii="OS Jeremy" w:hAnsi="OS Jeremy"/>
          <w:sz w:val="20"/>
          <w:szCs w:val="20"/>
          <w:lang w:val="fi-FI"/>
        </w:rPr>
        <w:t xml:space="preserve"> </w:t>
      </w:r>
      <w:r w:rsidRPr="00FB4EFA">
        <w:rPr>
          <w:rFonts w:ascii="OS Jeremy" w:hAnsi="OS Jeremy" w:cs="Cambria"/>
          <w:sz w:val="20"/>
          <w:szCs w:val="20"/>
          <w:lang w:val="fi-FI"/>
        </w:rPr>
        <w:t>нръманеле</w:t>
      </w:r>
      <w:r w:rsidRPr="00FB4EFA">
        <w:rPr>
          <w:rFonts w:ascii="OS Jeremy" w:hAnsi="OS Jeremy"/>
          <w:sz w:val="20"/>
          <w:szCs w:val="20"/>
          <w:lang w:val="fi-FI"/>
        </w:rPr>
        <w:t xml:space="preserve"> </w:t>
      </w:r>
      <w:r w:rsidRPr="00FB4EFA">
        <w:rPr>
          <w:rFonts w:ascii="OS Jeremy" w:hAnsi="OS Jeremy" w:cs="Cambria"/>
          <w:sz w:val="20"/>
          <w:szCs w:val="20"/>
          <w:lang w:val="fi-FI"/>
        </w:rPr>
        <w:t>е</w:t>
      </w:r>
      <w:r w:rsidRPr="00FB4EFA">
        <w:rPr>
          <w:rFonts w:ascii="OS Jeremy" w:hAnsi="OS Jeremy"/>
          <w:sz w:val="20"/>
          <w:szCs w:val="20"/>
          <w:lang w:val="fi-FI"/>
        </w:rPr>
        <w:t xml:space="preserve"> </w:t>
      </w:r>
      <w:r w:rsidRPr="00FB4EFA">
        <w:rPr>
          <w:rFonts w:ascii="OS Jeremy" w:hAnsi="OS Jeremy" w:cs="Cambria"/>
          <w:sz w:val="20"/>
          <w:szCs w:val="20"/>
          <w:lang w:val="fi-FI"/>
        </w:rPr>
        <w:t>крабанеле</w:t>
      </w:r>
      <w:r w:rsidRPr="00FB4EFA">
        <w:rPr>
          <w:rFonts w:ascii="OS Jeremy" w:hAnsi="OS Jeremy"/>
          <w:sz w:val="20"/>
          <w:szCs w:val="20"/>
          <w:lang w:val="fi-FI"/>
        </w:rPr>
        <w:t>.</w:t>
      </w:r>
    </w:p>
    <w:p w14:paraId="73BA88BE" w14:textId="39E914B6" w:rsidR="00EF1775" w:rsidRPr="00FB4EFA" w:rsidRDefault="00EF1775" w:rsidP="00A219CF">
      <w:pPr>
        <w:spacing w:before="240"/>
        <w:rPr>
          <w:lang w:val="fi-FI"/>
        </w:rPr>
      </w:pPr>
      <w:r w:rsidRPr="00FB4EFA">
        <w:rPr>
          <w:lang w:val="fi-FI"/>
        </w:rPr>
        <w:t xml:space="preserve">Balkaninkuilinan kieliopissa on kaikki päinvastoin kuin muualla. Infinitiivit ovat kadonneet kokonaan ja korvautuneet käytössä </w:t>
      </w:r>
      <w:r w:rsidRPr="00FB4EFA">
        <w:rPr>
          <w:i/>
          <w:lang w:val="fi-FI"/>
        </w:rPr>
        <w:t>että</w:t>
      </w:r>
      <w:r w:rsidRPr="00FB4EFA">
        <w:rPr>
          <w:lang w:val="fi-FI"/>
        </w:rPr>
        <w:t xml:space="preserve">-rakenteilla: </w:t>
      </w:r>
      <w:r w:rsidRPr="00FB4EFA">
        <w:rPr>
          <w:rFonts w:ascii="OS Jeremy" w:hAnsi="OS Jeremy" w:cs="Cambria"/>
          <w:i/>
          <w:iCs/>
          <w:lang w:val="fi-FI"/>
        </w:rPr>
        <w:t>рацежд</w:t>
      </w:r>
      <w:r w:rsidRPr="00FB4EFA">
        <w:rPr>
          <w:rFonts w:ascii="OS Jeremy" w:hAnsi="OS Jeremy" w:cstheme="minorHAnsi"/>
          <w:i/>
          <w:iCs/>
          <w:lang w:val="fi-FI"/>
        </w:rPr>
        <w:t xml:space="preserve"> </w:t>
      </w:r>
      <w:r w:rsidRPr="00FB4EFA">
        <w:rPr>
          <w:rFonts w:ascii="OS Jeremy" w:hAnsi="OS Jeremy" w:cs="Cambria"/>
          <w:i/>
          <w:iCs/>
          <w:lang w:val="fi-FI"/>
        </w:rPr>
        <w:t>ет</w:t>
      </w:r>
      <w:r w:rsidRPr="00FB4EFA">
        <w:rPr>
          <w:rFonts w:ascii="OS Jeremy" w:hAnsi="OS Jeremy"/>
          <w:i/>
          <w:iCs/>
          <w:lang w:val="fi-FI"/>
        </w:rPr>
        <w:t xml:space="preserve"> </w:t>
      </w:r>
      <w:r w:rsidRPr="00FB4EFA">
        <w:rPr>
          <w:rFonts w:ascii="OS Jeremy" w:hAnsi="OS Jeremy" w:cs="Cambria"/>
          <w:i/>
          <w:iCs/>
          <w:lang w:val="fi-FI"/>
        </w:rPr>
        <w:t>нежутев</w:t>
      </w:r>
      <w:r w:rsidRPr="00FB4EFA">
        <w:rPr>
          <w:rFonts w:ascii="OS Jeremy" w:hAnsi="OS Jeremy" w:cstheme="minorHAnsi"/>
          <w:lang w:val="fi-FI"/>
        </w:rPr>
        <w:t>,</w:t>
      </w:r>
      <w:r w:rsidRPr="00FB4EFA">
        <w:rPr>
          <w:rFonts w:cstheme="minorHAnsi"/>
          <w:lang w:val="fi-FI"/>
        </w:rPr>
        <w:t xml:space="preserve"> vrt. muinaiskirkkokuilinan </w:t>
      </w:r>
      <w:r w:rsidRPr="00FB4EFA">
        <w:rPr>
          <w:rFonts w:ascii="OS Jeremy" w:hAnsi="OS Jeremy" w:cs="Cambria"/>
          <w:i/>
          <w:iCs/>
          <w:lang w:val="fi-FI"/>
        </w:rPr>
        <w:t>р</w:t>
      </w:r>
      <w:r w:rsidR="005D00B9" w:rsidRPr="00FB4EFA">
        <w:rPr>
          <w:rFonts w:ascii="OS Jeremy" w:hAnsi="OS Jeremy" w:cs="Old Standard TT"/>
          <w:i/>
          <w:iCs/>
          <w:lang w:val="fi-FI"/>
        </w:rPr>
        <w:t>ҥ</w:t>
      </w:r>
      <w:r w:rsidRPr="00FB4EFA">
        <w:rPr>
          <w:rFonts w:ascii="OS Jeremy" w:hAnsi="OS Jeremy" w:cs="Cambria"/>
          <w:i/>
          <w:iCs/>
          <w:lang w:val="fi-FI"/>
        </w:rPr>
        <w:t>цѣждь</w:t>
      </w:r>
      <w:r w:rsidRPr="00FB4EFA">
        <w:rPr>
          <w:rFonts w:ascii="OS Jeremy" w:hAnsi="OS Jeremy"/>
          <w:lang w:val="fi-FI"/>
        </w:rPr>
        <w:t xml:space="preserve"> </w:t>
      </w:r>
      <w:r w:rsidRPr="00FB4EFA">
        <w:rPr>
          <w:rFonts w:ascii="OS Jeremy" w:hAnsi="OS Jeremy" w:cs="Times New Roman"/>
          <w:lang w:val="fi-FI"/>
        </w:rPr>
        <w:t>…</w:t>
      </w:r>
      <w:r w:rsidRPr="00FB4EFA">
        <w:rPr>
          <w:lang w:val="fi-FI"/>
        </w:rPr>
        <w:t xml:space="preserve"> </w:t>
      </w:r>
      <w:r w:rsidRPr="00FB4EFA">
        <w:rPr>
          <w:rFonts w:ascii="OS Jeremy" w:hAnsi="OS Jeremy" w:cs="Cambria"/>
          <w:i/>
          <w:iCs/>
          <w:lang w:val="fi-FI"/>
        </w:rPr>
        <w:t>нєжѹтє</w:t>
      </w:r>
      <w:r w:rsidR="000162EB" w:rsidRPr="00FB4EFA">
        <w:rPr>
          <w:rFonts w:ascii="OS Jeremy" w:hAnsi="OS Jeremy" w:cs="OS Jeremy"/>
          <w:i/>
          <w:iCs/>
          <w:lang w:val="fi-FI"/>
        </w:rPr>
        <w:t>ӓ</w:t>
      </w:r>
      <w:r w:rsidRPr="00FB4EFA">
        <w:rPr>
          <w:rFonts w:cstheme="minorHAnsi"/>
          <w:lang w:val="fi-FI"/>
        </w:rPr>
        <w:t>.</w:t>
      </w:r>
      <w:r w:rsidRPr="00FB4EFA">
        <w:rPr>
          <w:lang w:val="fi-FI"/>
        </w:rPr>
        <w:t xml:space="preserve"> Toisaalta täältä löytyvät vielä muista nykykielistä kadonneet, lyhyet </w:t>
      </w:r>
      <w:r w:rsidRPr="00FB4EFA">
        <w:rPr>
          <w:i/>
          <w:iCs/>
          <w:lang w:val="fi-FI"/>
        </w:rPr>
        <w:t>i</w:t>
      </w:r>
      <w:r w:rsidRPr="00FB4EFA">
        <w:rPr>
          <w:lang w:val="fi-FI"/>
        </w:rPr>
        <w:t xml:space="preserve">-preteritit: </w:t>
      </w:r>
      <w:r w:rsidRPr="00FB4EFA">
        <w:rPr>
          <w:rFonts w:ascii="OS Jeremy" w:hAnsi="OS Jeremy" w:cs="Cambria"/>
          <w:i/>
          <w:iCs/>
          <w:lang w:val="fi-FI"/>
        </w:rPr>
        <w:t>мит</w:t>
      </w:r>
      <w:r w:rsidRPr="00FB4EFA">
        <w:rPr>
          <w:rFonts w:ascii="OS Jeremy" w:hAnsi="OS Jeremy" w:cstheme="minorHAnsi"/>
          <w:lang w:val="fi-FI"/>
        </w:rPr>
        <w:t>,</w:t>
      </w:r>
      <w:r w:rsidRPr="00FB4EFA">
        <w:rPr>
          <w:rFonts w:cstheme="minorHAnsi"/>
          <w:lang w:val="fi-FI"/>
        </w:rPr>
        <w:t xml:space="preserve"> </w:t>
      </w:r>
      <w:r w:rsidRPr="00FB4EFA">
        <w:rPr>
          <w:rFonts w:ascii="OS Jeremy" w:hAnsi="OS Jeremy" w:cs="Cambria"/>
          <w:i/>
          <w:iCs/>
          <w:lang w:val="fi-FI"/>
        </w:rPr>
        <w:t>цеве</w:t>
      </w:r>
      <w:r w:rsidRPr="00FB4EFA">
        <w:rPr>
          <w:rFonts w:ascii="OS Jeremy" w:hAnsi="OS Jeremy" w:cstheme="minorHAnsi"/>
          <w:lang w:val="fi-FI"/>
        </w:rPr>
        <w:t>,</w:t>
      </w:r>
      <w:r w:rsidRPr="00FB4EFA">
        <w:rPr>
          <w:rFonts w:cstheme="minorHAnsi"/>
          <w:lang w:val="fi-FI"/>
        </w:rPr>
        <w:t xml:space="preserve"> </w:t>
      </w:r>
      <w:r w:rsidRPr="00FB4EFA">
        <w:rPr>
          <w:rFonts w:ascii="OS Jeremy" w:hAnsi="OS Jeremy" w:cs="Cambria"/>
          <w:i/>
          <w:iCs/>
          <w:lang w:val="fi-FI"/>
        </w:rPr>
        <w:t>ракъжд</w:t>
      </w:r>
      <w:r w:rsidRPr="00FB4EFA">
        <w:rPr>
          <w:rFonts w:ascii="OS Jeremy" w:hAnsi="OS Jeremy"/>
          <w:lang w:val="fi-FI"/>
        </w:rPr>
        <w:t>,</w:t>
      </w:r>
      <w:r w:rsidRPr="00FB4EFA">
        <w:rPr>
          <w:lang w:val="fi-FI"/>
        </w:rPr>
        <w:t xml:space="preserve"> </w:t>
      </w:r>
      <w:r w:rsidRPr="00FB4EFA">
        <w:rPr>
          <w:rFonts w:ascii="OS Jeremy" w:hAnsi="OS Jeremy" w:cs="Cambria"/>
          <w:i/>
          <w:iCs/>
          <w:lang w:val="fi-FI"/>
        </w:rPr>
        <w:t>рацежд</w:t>
      </w:r>
      <w:r w:rsidRPr="00FB4EFA">
        <w:rPr>
          <w:rFonts w:ascii="OS Jeremy" w:hAnsi="OS Jeremy" w:cstheme="minorHAnsi"/>
          <w:lang w:val="fi-FI"/>
        </w:rPr>
        <w:t xml:space="preserve"> </w:t>
      </w:r>
      <w:r w:rsidRPr="00FB4EFA">
        <w:rPr>
          <w:rFonts w:cstheme="minorHAnsi"/>
          <w:lang w:val="fi-FI"/>
        </w:rPr>
        <w:t>ja refleksiivinen</w:t>
      </w:r>
      <w:r w:rsidRPr="00FB4EFA">
        <w:rPr>
          <w:lang w:val="fi-FI"/>
        </w:rPr>
        <w:t xml:space="preserve"> </w:t>
      </w:r>
      <w:r w:rsidRPr="00FB4EFA">
        <w:rPr>
          <w:rFonts w:ascii="OS Jeremy" w:hAnsi="OS Jeremy" w:cs="Cambria"/>
          <w:i/>
          <w:iCs/>
          <w:lang w:val="fi-FI"/>
        </w:rPr>
        <w:t>седевзе</w:t>
      </w:r>
      <w:r w:rsidRPr="00FB4EFA">
        <w:rPr>
          <w:rFonts w:ascii="OS Jeremy" w:hAnsi="OS Jeremy"/>
          <w:lang w:val="fi-FI"/>
        </w:rPr>
        <w:t>.</w:t>
      </w:r>
      <w:r w:rsidRPr="00FB4EFA">
        <w:rPr>
          <w:lang w:val="fi-FI"/>
        </w:rPr>
        <w:t xml:space="preserve"> </w:t>
      </w:r>
      <w:r w:rsidRPr="00FB4EFA">
        <w:rPr>
          <w:lang w:val="fi-FI"/>
        </w:rPr>
        <w:lastRenderedPageBreak/>
        <w:t xml:space="preserve">Eri asia on, että itse </w:t>
      </w:r>
      <w:r w:rsidRPr="00FB4EFA">
        <w:rPr>
          <w:i/>
          <w:iCs/>
          <w:lang w:val="fi-FI"/>
        </w:rPr>
        <w:t>i</w:t>
      </w:r>
      <w:r w:rsidRPr="00FB4EFA">
        <w:rPr>
          <w:lang w:val="fi-FI"/>
        </w:rPr>
        <w:t>-tunnuksesta ei useimmissa yksikön kolmannen persoonan ei-refleksiivisissä muodoissa ole enää jälkeäkään.</w:t>
      </w:r>
    </w:p>
    <w:p w14:paraId="561CD995" w14:textId="078359E0" w:rsidR="00EF1775" w:rsidRPr="00FB4EFA" w:rsidRDefault="00EF1775" w:rsidP="00A219CF">
      <w:pPr>
        <w:ind w:firstLine="709"/>
        <w:rPr>
          <w:lang w:val="fi-FI"/>
        </w:rPr>
      </w:pPr>
      <w:r w:rsidRPr="00FB4EFA">
        <w:rPr>
          <w:lang w:val="fi-FI"/>
        </w:rPr>
        <w:t>Vielä kovemmin on koeteltu nominintaivutusta: muun kuilinan 12–15 sijamuodosta jäljellä ovat (muualla kuin persoonapronomineilla) vain nominatiivi, inessiivi-illatiivi (-</w:t>
      </w:r>
      <w:r w:rsidRPr="00FB4EFA">
        <w:rPr>
          <w:rFonts w:ascii="OS Jeremy" w:hAnsi="OS Jeremy" w:cs="Cambria"/>
          <w:i/>
          <w:iCs/>
          <w:lang w:val="fi-FI"/>
        </w:rPr>
        <w:t>зо</w:t>
      </w:r>
      <w:r w:rsidRPr="00FB4EFA">
        <w:rPr>
          <w:rFonts w:ascii="OS Jeremy" w:hAnsi="OS Jeremy"/>
          <w:lang w:val="fi-FI"/>
        </w:rPr>
        <w:t>)</w:t>
      </w:r>
      <w:r w:rsidRPr="00FB4EFA">
        <w:rPr>
          <w:lang w:val="fi-FI"/>
        </w:rPr>
        <w:t>, elatiivi (-</w:t>
      </w:r>
      <w:r w:rsidRPr="00FB4EFA">
        <w:rPr>
          <w:rFonts w:ascii="OS Jeremy" w:hAnsi="OS Jeremy" w:cs="Cambria"/>
          <w:i/>
          <w:iCs/>
          <w:lang w:val="fi-FI"/>
        </w:rPr>
        <w:t>сто</w:t>
      </w:r>
      <w:r w:rsidRPr="00FB4EFA">
        <w:rPr>
          <w:rFonts w:ascii="OS Jeremy" w:hAnsi="OS Jeremy"/>
          <w:lang w:val="fi-FI"/>
        </w:rPr>
        <w:t>)</w:t>
      </w:r>
      <w:r w:rsidRPr="00FB4EFA">
        <w:rPr>
          <w:lang w:val="fi-FI"/>
        </w:rPr>
        <w:t>, adessiivi-allatiivi (</w:t>
      </w:r>
      <w:r w:rsidR="00D23C57" w:rsidRPr="00FB4EFA">
        <w:rPr>
          <w:lang w:val="fi-FI"/>
        </w:rPr>
        <w:noBreakHyphen/>
      </w:r>
      <w:r w:rsidRPr="00FB4EFA">
        <w:rPr>
          <w:rFonts w:ascii="OS Jeremy" w:hAnsi="OS Jeremy" w:cs="Cambria"/>
          <w:i/>
          <w:iCs/>
          <w:lang w:val="fi-FI"/>
        </w:rPr>
        <w:t>ло</w:t>
      </w:r>
      <w:r w:rsidRPr="00FB4EFA">
        <w:rPr>
          <w:rFonts w:ascii="OS Jeremy" w:hAnsi="OS Jeremy"/>
          <w:lang w:val="fi-FI"/>
        </w:rPr>
        <w:t>)</w:t>
      </w:r>
      <w:r w:rsidRPr="00FB4EFA">
        <w:rPr>
          <w:lang w:val="fi-FI"/>
        </w:rPr>
        <w:t xml:space="preserve"> ja ablatiivi (-</w:t>
      </w:r>
      <w:r w:rsidRPr="00FB4EFA">
        <w:rPr>
          <w:rFonts w:ascii="OS Jeremy" w:hAnsi="OS Jeremy" w:cs="Cambria"/>
          <w:i/>
          <w:iCs/>
          <w:lang w:val="fi-FI"/>
        </w:rPr>
        <w:t>лдо</w:t>
      </w:r>
      <w:r w:rsidRPr="00FB4EFA">
        <w:rPr>
          <w:rFonts w:ascii="OS Jeremy" w:hAnsi="OS Jeremy"/>
          <w:lang w:val="fi-FI"/>
        </w:rPr>
        <w:t>)</w:t>
      </w:r>
      <w:r w:rsidRPr="00FB4EFA">
        <w:rPr>
          <w:lang w:val="fi-FI"/>
        </w:rPr>
        <w:t xml:space="preserve">. Erityisen monikäyttöinen on adessiivi-allatiivi, jota käytetään myös muun kuilinan genetiivin tehtävissä. Sijataivutuksesta on kokonaan kadonnut kongruenssi, ja sijapääte liitetään vain lausekkeen pääsanaan: </w:t>
      </w:r>
      <w:r w:rsidRPr="00FB4EFA">
        <w:rPr>
          <w:rFonts w:ascii="OS Jeremy" w:hAnsi="OS Jeremy" w:cs="Cambria"/>
          <w:i/>
          <w:iCs/>
          <w:lang w:val="fi-FI"/>
        </w:rPr>
        <w:t>ищ</w:t>
      </w:r>
      <w:r w:rsidRPr="00FB4EFA">
        <w:rPr>
          <w:rFonts w:ascii="OS Jeremy" w:hAnsi="OS Jeremy"/>
          <w:i/>
          <w:iCs/>
          <w:lang w:val="fi-FI"/>
        </w:rPr>
        <w:t xml:space="preserve"> </w:t>
      </w:r>
      <w:r w:rsidRPr="00FB4EFA">
        <w:rPr>
          <w:rFonts w:ascii="OS Jeremy" w:hAnsi="OS Jeremy" w:cs="Cambria"/>
          <w:i/>
          <w:iCs/>
          <w:lang w:val="fi-FI"/>
        </w:rPr>
        <w:t>пивежде</w:t>
      </w:r>
      <w:r w:rsidRPr="00FB4EFA">
        <w:rPr>
          <w:rFonts w:ascii="OS Jeremy" w:hAnsi="OS Jeremy"/>
          <w:i/>
          <w:iCs/>
          <w:lang w:val="fi-FI"/>
        </w:rPr>
        <w:t>-</w:t>
      </w:r>
      <w:r w:rsidRPr="00FB4EFA">
        <w:rPr>
          <w:rFonts w:ascii="OS Jeremy" w:hAnsi="OS Jeremy" w:cs="Cambria"/>
          <w:i/>
          <w:iCs/>
          <w:lang w:val="fi-FI"/>
        </w:rPr>
        <w:t>пестойжде</w:t>
      </w:r>
      <w:r w:rsidRPr="00FB4EFA">
        <w:rPr>
          <w:rFonts w:ascii="OS Jeremy" w:hAnsi="OS Jeremy"/>
          <w:i/>
          <w:iCs/>
          <w:lang w:val="fi-FI"/>
        </w:rPr>
        <w:t xml:space="preserve"> </w:t>
      </w:r>
      <w:r w:rsidRPr="00FB4EFA">
        <w:rPr>
          <w:rFonts w:ascii="OS Jeremy" w:hAnsi="OS Jeremy" w:cs="Cambria"/>
          <w:i/>
          <w:iCs/>
          <w:lang w:val="fi-FI"/>
        </w:rPr>
        <w:t>съв</w:t>
      </w:r>
      <w:r w:rsidRPr="00FB4EFA">
        <w:rPr>
          <w:rFonts w:ascii="OS Jeremy" w:hAnsi="OS Jeremy"/>
          <w:i/>
          <w:iCs/>
          <w:lang w:val="fi-FI"/>
        </w:rPr>
        <w:t>-</w:t>
      </w:r>
      <w:r w:rsidRPr="00FB4EFA">
        <w:rPr>
          <w:rFonts w:ascii="OS Jeremy" w:hAnsi="OS Jeremy" w:cs="Cambria"/>
          <w:i/>
          <w:iCs/>
          <w:lang w:val="fi-FI"/>
        </w:rPr>
        <w:t>пиве</w:t>
      </w:r>
      <w:r w:rsidRPr="00FB4EFA">
        <w:rPr>
          <w:rFonts w:ascii="OS Jeremy" w:hAnsi="OS Jeremy" w:cs="Cambria"/>
          <w:i/>
          <w:iCs/>
          <w:u w:val="single"/>
          <w:lang w:val="fi-FI"/>
        </w:rPr>
        <w:t>зо</w:t>
      </w:r>
      <w:r w:rsidRPr="00FB4EFA">
        <w:rPr>
          <w:rFonts w:ascii="OS Jeremy" w:hAnsi="OS Jeremy"/>
          <w:lang w:val="fi-FI"/>
        </w:rPr>
        <w:t>.</w:t>
      </w:r>
    </w:p>
    <w:p w14:paraId="2BD40D03" w14:textId="77777777" w:rsidR="00EF1775" w:rsidRPr="00FB4EFA" w:rsidRDefault="00EF1775" w:rsidP="00A219CF">
      <w:pPr>
        <w:ind w:firstLine="709"/>
        <w:rPr>
          <w:lang w:val="fi-FI"/>
        </w:rPr>
      </w:pPr>
      <w:r w:rsidRPr="00FB4EFA">
        <w:rPr>
          <w:lang w:val="fi-FI"/>
        </w:rPr>
        <w:t xml:space="preserve">Balkaninkuilinan tunnistaa helposti tekstissä erittäin yleisestä määräisestä pääteartikkelista </w:t>
      </w:r>
      <w:r w:rsidRPr="00FB4EFA">
        <w:rPr>
          <w:rFonts w:ascii="OS Jeremy" w:hAnsi="OS Jeremy" w:cs="Cambria"/>
          <w:i/>
          <w:iCs/>
          <w:lang w:val="fi-FI"/>
        </w:rPr>
        <w:t>те</w:t>
      </w:r>
      <w:r w:rsidRPr="00FB4EFA">
        <w:rPr>
          <w:rFonts w:ascii="OS Jeremy" w:hAnsi="OS Jeremy"/>
          <w:lang w:val="fi-FI"/>
        </w:rPr>
        <w:t>,</w:t>
      </w:r>
      <w:r w:rsidRPr="00FB4EFA">
        <w:rPr>
          <w:lang w:val="fi-FI"/>
        </w:rPr>
        <w:t xml:space="preserve"> monikossa </w:t>
      </w:r>
      <w:r w:rsidRPr="00FB4EFA">
        <w:rPr>
          <w:rFonts w:ascii="OS Jeremy" w:hAnsi="OS Jeremy" w:cs="Cambria"/>
          <w:i/>
          <w:iCs/>
          <w:lang w:val="fi-FI"/>
        </w:rPr>
        <w:t>не</w:t>
      </w:r>
      <w:r w:rsidRPr="00FB4EFA">
        <w:rPr>
          <w:rFonts w:ascii="OS Jeremy" w:hAnsi="OS Jeremy"/>
          <w:lang w:val="fi-FI"/>
        </w:rPr>
        <w:t>.</w:t>
      </w:r>
      <w:r w:rsidRPr="00FB4EFA">
        <w:rPr>
          <w:lang w:val="fi-FI"/>
        </w:rPr>
        <w:t xml:space="preserve"> Artikkeli vie pääsanaltansa taivutuspäätteen ja taipuu itse etuvokaalisin päättein: </w:t>
      </w:r>
      <w:r w:rsidRPr="00FB4EFA">
        <w:rPr>
          <w:rFonts w:ascii="OS Jeremy" w:hAnsi="OS Jeremy" w:cs="Cambria"/>
          <w:i/>
          <w:iCs/>
          <w:lang w:val="fi-FI"/>
        </w:rPr>
        <w:t>нръманеле</w:t>
      </w:r>
      <w:r w:rsidRPr="00FB4EFA">
        <w:rPr>
          <w:rFonts w:ascii="OS Jeremy" w:hAnsi="OS Jeremy"/>
          <w:i/>
          <w:iCs/>
          <w:lang w:val="fi-FI"/>
        </w:rPr>
        <w:t xml:space="preserve"> </w:t>
      </w:r>
      <w:r w:rsidRPr="00FB4EFA">
        <w:rPr>
          <w:rFonts w:ascii="OS Jeremy" w:hAnsi="OS Jeremy" w:cs="Cambria"/>
          <w:i/>
          <w:iCs/>
          <w:lang w:val="fi-FI"/>
        </w:rPr>
        <w:t>е</w:t>
      </w:r>
      <w:r w:rsidRPr="00FB4EFA">
        <w:rPr>
          <w:rFonts w:ascii="OS Jeremy" w:hAnsi="OS Jeremy"/>
          <w:i/>
          <w:iCs/>
          <w:lang w:val="fi-FI"/>
        </w:rPr>
        <w:t xml:space="preserve"> </w:t>
      </w:r>
      <w:r w:rsidRPr="00FB4EFA">
        <w:rPr>
          <w:rFonts w:ascii="OS Jeremy" w:hAnsi="OS Jeremy" w:cs="Cambria"/>
          <w:i/>
          <w:iCs/>
          <w:lang w:val="fi-FI"/>
        </w:rPr>
        <w:t>крабанеле</w:t>
      </w:r>
      <w:r w:rsidRPr="00FB4EFA">
        <w:rPr>
          <w:rFonts w:ascii="OS Jeremy" w:hAnsi="OS Jeremy"/>
          <w:lang w:val="fi-FI"/>
        </w:rPr>
        <w:t>.</w:t>
      </w:r>
      <w:r w:rsidRPr="00FB4EFA">
        <w:rPr>
          <w:lang w:val="fi-FI"/>
        </w:rPr>
        <w:t xml:space="preserve"> Kohdasta </w:t>
      </w:r>
      <w:r w:rsidRPr="00FB4EFA">
        <w:rPr>
          <w:rFonts w:ascii="OS Jeremy" w:hAnsi="OS Jeremy" w:cs="Cambria"/>
          <w:i/>
          <w:iCs/>
          <w:lang w:val="fi-FI"/>
        </w:rPr>
        <w:t>олелоело</w:t>
      </w:r>
      <w:r w:rsidRPr="00FB4EFA">
        <w:rPr>
          <w:rFonts w:ascii="OS Jeremy" w:hAnsi="OS Jeremy"/>
          <w:i/>
          <w:iCs/>
          <w:lang w:val="fi-FI"/>
        </w:rPr>
        <w:t xml:space="preserve"> </w:t>
      </w:r>
      <w:r w:rsidRPr="00FB4EFA">
        <w:rPr>
          <w:rFonts w:ascii="OS Jeremy" w:hAnsi="OS Jeremy" w:cs="Cambria"/>
          <w:i/>
          <w:iCs/>
          <w:lang w:val="fi-FI"/>
        </w:rPr>
        <w:t>нръманеле</w:t>
      </w:r>
      <w:r w:rsidRPr="00FB4EFA">
        <w:rPr>
          <w:rFonts w:ascii="OS Jeremy" w:hAnsi="OS Jeremy"/>
          <w:i/>
          <w:iCs/>
          <w:lang w:val="fi-FI"/>
        </w:rPr>
        <w:t xml:space="preserve"> </w:t>
      </w:r>
      <w:r w:rsidRPr="00FB4EFA">
        <w:rPr>
          <w:lang w:val="fi-FI"/>
        </w:rPr>
        <w:t>näkyy myös yhteys adessiivi-allatiivin ja genetiivin välillä: suomeksikin sen voisi kääntää paitsi ’peltojen asukkaille’ myös kömpelömmin ’asukkaille pelloilla’.</w:t>
      </w:r>
    </w:p>
    <w:p w14:paraId="0103E471" w14:textId="77777777" w:rsidR="00EF1775" w:rsidRPr="00FB4EFA" w:rsidRDefault="00EF1775" w:rsidP="00A219CF">
      <w:pPr>
        <w:ind w:firstLine="709"/>
        <w:rPr>
          <w:rFonts w:cstheme="minorHAnsi"/>
          <w:lang w:val="fi-FI"/>
        </w:rPr>
      </w:pPr>
      <w:r w:rsidRPr="00FB4EFA">
        <w:rPr>
          <w:lang w:val="fi-FI"/>
        </w:rPr>
        <w:t xml:space="preserve">Määräinen artikkeli on alkuaan sama kuin kolmannen persoonan pronomini </w:t>
      </w:r>
      <w:r w:rsidRPr="00FB4EFA">
        <w:rPr>
          <w:rFonts w:ascii="OS Jeremy" w:hAnsi="OS Jeremy" w:cs="Cambria"/>
          <w:i/>
          <w:iCs/>
          <w:lang w:val="fi-FI"/>
        </w:rPr>
        <w:t>те</w:t>
      </w:r>
      <w:r w:rsidRPr="00FB4EFA">
        <w:rPr>
          <w:rFonts w:ascii="OS Jeremy" w:hAnsi="OS Jeremy"/>
          <w:lang w:val="fi-FI"/>
        </w:rPr>
        <w:t>,</w:t>
      </w:r>
      <w:r w:rsidRPr="00FB4EFA">
        <w:rPr>
          <w:lang w:val="fi-FI"/>
        </w:rPr>
        <w:t xml:space="preserve"> </w:t>
      </w:r>
      <w:r w:rsidRPr="00FB4EFA">
        <w:rPr>
          <w:rFonts w:ascii="OS Jeremy" w:hAnsi="OS Jeremy" w:cs="Cambria"/>
          <w:i/>
          <w:iCs/>
          <w:lang w:val="fi-FI"/>
        </w:rPr>
        <w:t>не</w:t>
      </w:r>
      <w:r w:rsidRPr="00FB4EFA">
        <w:rPr>
          <w:rFonts w:ascii="OS Jeremy" w:hAnsi="OS Jeremy"/>
          <w:lang w:val="fi-FI"/>
        </w:rPr>
        <w:t>,</w:t>
      </w:r>
      <w:r w:rsidRPr="00FB4EFA">
        <w:rPr>
          <w:lang w:val="fi-FI"/>
        </w:rPr>
        <w:t xml:space="preserve"> jota muissa kuilinakielissä käytetään demonstratiivina. Vanha kolmannen persoonan </w:t>
      </w:r>
      <w:r w:rsidRPr="00FB4EFA">
        <w:rPr>
          <w:rFonts w:ascii="OS Jeremy" w:hAnsi="OS Jeremy" w:cs="Cambria"/>
          <w:i/>
          <w:lang w:val="fi-FI"/>
        </w:rPr>
        <w:t>ѩ</w:t>
      </w:r>
      <w:r w:rsidRPr="00FB4EFA">
        <w:rPr>
          <w:lang w:val="fi-FI"/>
        </w:rPr>
        <w:t xml:space="preserve">, </w:t>
      </w:r>
      <w:r w:rsidRPr="00FB4EFA">
        <w:rPr>
          <w:rFonts w:ascii="OS Jeremy" w:hAnsi="OS Jeremy" w:cs="Cambria"/>
          <w:i/>
          <w:lang w:val="fi-FI"/>
        </w:rPr>
        <w:t>и</w:t>
      </w:r>
      <w:r w:rsidRPr="00FB4EFA">
        <w:rPr>
          <w:lang w:val="fi-FI"/>
        </w:rPr>
        <w:t xml:space="preserve"> on balkaninkuilinasta hävinnyt. (Muinaiskirkkokuilinan </w:t>
      </w:r>
      <w:r w:rsidRPr="00FB4EFA">
        <w:rPr>
          <w:rFonts w:ascii="OS Jeremy" w:hAnsi="OS Jeremy" w:cs="Cambria"/>
          <w:i/>
          <w:iCs/>
          <w:lang w:val="fi-FI"/>
        </w:rPr>
        <w:t>сє</w:t>
      </w:r>
      <w:r w:rsidRPr="00FB4EFA">
        <w:rPr>
          <w:lang w:val="fi-FI"/>
        </w:rPr>
        <w:t xml:space="preserve">, </w:t>
      </w:r>
      <w:r w:rsidRPr="00FB4EFA">
        <w:rPr>
          <w:rFonts w:ascii="OS Jeremy" w:hAnsi="OS Jeremy" w:cs="Cambria"/>
          <w:i/>
          <w:iCs/>
          <w:lang w:val="fi-FI"/>
        </w:rPr>
        <w:t>нє</w:t>
      </w:r>
      <w:r w:rsidRPr="00FB4EFA">
        <w:rPr>
          <w:rFonts w:cstheme="minorHAnsi"/>
          <w:lang w:val="fi-FI"/>
        </w:rPr>
        <w:t xml:space="preserve"> ’tämä’ on eri pronomini, jonka nominatiivi ja koko monikko on kaikkialta muualta kuilinasta kadonnut. Etelänkuilinan käännöstekstissä esiintyvä </w:t>
      </w:r>
      <w:r w:rsidRPr="00FB4EFA">
        <w:rPr>
          <w:rFonts w:cstheme="minorHAnsi"/>
          <w:i/>
          <w:iCs/>
          <w:lang w:val="fi-FI"/>
        </w:rPr>
        <w:t>ne</w:t>
      </w:r>
      <w:r w:rsidRPr="00FB4EFA">
        <w:rPr>
          <w:rFonts w:cstheme="minorHAnsi"/>
          <w:lang w:val="fi-FI"/>
        </w:rPr>
        <w:t xml:space="preserve"> taas ei ole pronomini lainkaan, vaan vahvistuspartikkeli ’niin’).</w:t>
      </w:r>
    </w:p>
    <w:p w14:paraId="0D5F66F2" w14:textId="4ED06D52" w:rsidR="00EF1775" w:rsidRPr="00FB4EFA" w:rsidRDefault="00EF1775" w:rsidP="00A219CF">
      <w:pPr>
        <w:ind w:firstLine="709"/>
        <w:rPr>
          <w:lang w:val="fi-FI"/>
        </w:rPr>
      </w:pPr>
      <w:r w:rsidRPr="00FB4EFA">
        <w:rPr>
          <w:lang w:val="fi-FI"/>
        </w:rPr>
        <w:t xml:space="preserve">Balkaninkuilinassa käytetään paljon ja monenlaisia deminutiivimuotoja, joita tässäkin tekstissä on montaa lajia: </w:t>
      </w:r>
      <w:r w:rsidRPr="00FB4EFA">
        <w:rPr>
          <w:rFonts w:ascii="OS Jeremy" w:hAnsi="OS Jeremy" w:cs="Cambria"/>
          <w:i/>
          <w:iCs/>
          <w:lang w:val="fi-FI"/>
        </w:rPr>
        <w:t>кух</w:t>
      </w:r>
      <w:r w:rsidRPr="00FB4EFA">
        <w:rPr>
          <w:rFonts w:ascii="OS Jeremy" w:hAnsi="OS Jeremy" w:cs="Cambria"/>
          <w:i/>
          <w:iCs/>
          <w:u w:val="single"/>
          <w:lang w:val="fi-FI"/>
        </w:rPr>
        <w:t>ице</w:t>
      </w:r>
      <w:r w:rsidRPr="00FB4EFA">
        <w:rPr>
          <w:rFonts w:ascii="OS Jeremy" w:hAnsi="OS Jeremy" w:cstheme="minorHAnsi"/>
          <w:lang w:val="fi-FI"/>
        </w:rPr>
        <w:t>,</w:t>
      </w:r>
      <w:r w:rsidRPr="00FB4EFA">
        <w:rPr>
          <w:rFonts w:cstheme="minorHAnsi"/>
          <w:lang w:val="fi-FI"/>
        </w:rPr>
        <w:t xml:space="preserve"> </w:t>
      </w:r>
      <w:r w:rsidRPr="00FB4EFA">
        <w:rPr>
          <w:rFonts w:ascii="OS Jeremy" w:hAnsi="OS Jeremy" w:cs="Cambria"/>
          <w:i/>
          <w:iCs/>
          <w:lang w:val="fi-FI"/>
        </w:rPr>
        <w:t>собор</w:t>
      </w:r>
      <w:r w:rsidRPr="00FB4EFA">
        <w:rPr>
          <w:rFonts w:ascii="OS Jeremy" w:hAnsi="OS Jeremy" w:cs="Cambria"/>
          <w:i/>
          <w:iCs/>
          <w:u w:val="single"/>
          <w:lang w:val="fi-FI"/>
        </w:rPr>
        <w:t>ице</w:t>
      </w:r>
      <w:r w:rsidRPr="00FB4EFA">
        <w:rPr>
          <w:rFonts w:ascii="OS Jeremy" w:hAnsi="OS Jeremy" w:cstheme="minorHAnsi"/>
          <w:lang w:val="fi-FI"/>
        </w:rPr>
        <w:t>,</w:t>
      </w:r>
      <w:r w:rsidRPr="00FB4EFA">
        <w:rPr>
          <w:rFonts w:cstheme="minorHAnsi"/>
          <w:lang w:val="fi-FI"/>
        </w:rPr>
        <w:t xml:space="preserve"> </w:t>
      </w:r>
      <w:r w:rsidRPr="00FB4EFA">
        <w:rPr>
          <w:rFonts w:ascii="OS Jeremy" w:hAnsi="OS Jeremy" w:cs="Cambria"/>
          <w:i/>
          <w:iCs/>
          <w:lang w:val="fi-FI"/>
        </w:rPr>
        <w:t>нон</w:t>
      </w:r>
      <w:r w:rsidRPr="00FB4EFA">
        <w:rPr>
          <w:rFonts w:ascii="OS Jeremy" w:hAnsi="OS Jeremy" w:cs="Cambria"/>
          <w:i/>
          <w:iCs/>
          <w:u w:val="single"/>
          <w:lang w:val="fi-FI"/>
        </w:rPr>
        <w:t>ур</w:t>
      </w:r>
      <w:r w:rsidRPr="00FB4EFA">
        <w:rPr>
          <w:rFonts w:ascii="OS Jeremy" w:hAnsi="OS Jeremy"/>
          <w:i/>
          <w:iCs/>
          <w:u w:val="single"/>
          <w:lang w:val="fi-FI"/>
        </w:rPr>
        <w:t>o</w:t>
      </w:r>
      <w:r w:rsidRPr="00FB4EFA">
        <w:rPr>
          <w:rFonts w:ascii="OS Jeremy" w:hAnsi="OS Jeremy"/>
          <w:lang w:val="fi-FI"/>
        </w:rPr>
        <w:t>,</w:t>
      </w:r>
      <w:r w:rsidRPr="00FB4EFA">
        <w:rPr>
          <w:lang w:val="fi-FI"/>
        </w:rPr>
        <w:t xml:space="preserve"> </w:t>
      </w:r>
      <w:r w:rsidRPr="00FB4EFA">
        <w:rPr>
          <w:rFonts w:ascii="OS Jeremy" w:hAnsi="OS Jeremy" w:cs="Cambria"/>
          <w:i/>
          <w:iCs/>
          <w:lang w:val="fi-FI"/>
        </w:rPr>
        <w:t>ящ</w:t>
      </w:r>
      <w:r w:rsidRPr="00FB4EFA">
        <w:rPr>
          <w:rFonts w:ascii="OS Jeremy" w:hAnsi="OS Jeremy" w:cs="Cambria"/>
          <w:i/>
          <w:iCs/>
          <w:u w:val="single"/>
          <w:lang w:val="fi-FI"/>
        </w:rPr>
        <w:t>ак</w:t>
      </w:r>
      <w:r w:rsidRPr="00FB4EFA">
        <w:rPr>
          <w:rFonts w:ascii="OS Jeremy" w:hAnsi="OS Jeremy"/>
          <w:i/>
          <w:iCs/>
          <w:u w:val="single"/>
          <w:lang w:val="fi-FI"/>
        </w:rPr>
        <w:t>o</w:t>
      </w:r>
      <w:r w:rsidRPr="00FB4EFA">
        <w:rPr>
          <w:rFonts w:ascii="OS Jeremy" w:hAnsi="OS Jeremy"/>
          <w:lang w:val="fi-FI"/>
        </w:rPr>
        <w:t>,</w:t>
      </w:r>
      <w:r w:rsidRPr="00FB4EFA">
        <w:rPr>
          <w:lang w:val="fi-FI"/>
        </w:rPr>
        <w:t xml:space="preserve"> </w:t>
      </w:r>
      <w:r w:rsidRPr="00FB4EFA">
        <w:rPr>
          <w:rFonts w:ascii="OS Jeremy" w:hAnsi="OS Jeremy" w:cs="Cambria"/>
          <w:i/>
          <w:iCs/>
          <w:lang w:val="fi-FI"/>
        </w:rPr>
        <w:t>сер</w:t>
      </w:r>
      <w:r w:rsidRPr="00FB4EFA">
        <w:rPr>
          <w:rFonts w:ascii="OS Jeremy" w:hAnsi="OS Jeremy" w:cs="Cambria"/>
          <w:i/>
          <w:iCs/>
          <w:u w:val="single"/>
          <w:lang w:val="fi-FI"/>
        </w:rPr>
        <w:t>ул</w:t>
      </w:r>
      <w:r w:rsidRPr="00FB4EFA">
        <w:rPr>
          <w:rFonts w:ascii="OS Jeremy" w:hAnsi="OS Jeremy"/>
          <w:lang w:val="fi-FI"/>
        </w:rPr>
        <w:t>,</w:t>
      </w:r>
      <w:r w:rsidRPr="00FB4EFA">
        <w:rPr>
          <w:lang w:val="fi-FI"/>
        </w:rPr>
        <w:t xml:space="preserve"> </w:t>
      </w:r>
      <w:r w:rsidRPr="00FB4EFA">
        <w:rPr>
          <w:rFonts w:ascii="OS Jeremy" w:hAnsi="OS Jeremy" w:cs="Cambria"/>
          <w:i/>
          <w:iCs/>
          <w:lang w:val="fi-FI"/>
        </w:rPr>
        <w:t>ем</w:t>
      </w:r>
      <w:r w:rsidRPr="00FB4EFA">
        <w:rPr>
          <w:rFonts w:ascii="OS Jeremy" w:hAnsi="OS Jeremy" w:cs="Cambria"/>
          <w:i/>
          <w:iCs/>
          <w:u w:val="single"/>
          <w:lang w:val="fi-FI"/>
        </w:rPr>
        <w:t>ене</w:t>
      </w:r>
      <w:r w:rsidRPr="00FB4EFA">
        <w:rPr>
          <w:rFonts w:ascii="OS Jeremy" w:hAnsi="OS Jeremy"/>
          <w:lang w:val="fi-FI"/>
        </w:rPr>
        <w:t>.</w:t>
      </w:r>
      <w:r w:rsidRPr="00FB4EFA">
        <w:rPr>
          <w:lang w:val="fi-FI"/>
        </w:rPr>
        <w:t xml:space="preserve"> Lainavaikutusta balkaninkuilinassa on paljon turkista ja vielä enemmän kreikasta, mutta kettusatuun on sattunut yksi mahdollisesti iranilainen laina, adjektiivi </w:t>
      </w:r>
      <w:r w:rsidRPr="00FB4EFA">
        <w:rPr>
          <w:rFonts w:ascii="OS Jeremy" w:hAnsi="OS Jeremy" w:cs="Cambria"/>
          <w:i/>
          <w:iCs/>
          <w:lang w:val="fi-FI"/>
        </w:rPr>
        <w:t>хубажде</w:t>
      </w:r>
      <w:r w:rsidRPr="00FB4EFA">
        <w:rPr>
          <w:rFonts w:ascii="OS Jeremy" w:hAnsi="OS Jeremy"/>
          <w:lang w:val="fi-FI"/>
        </w:rPr>
        <w:t>.</w:t>
      </w:r>
      <w:r w:rsidRPr="00FB4EFA">
        <w:rPr>
          <w:lang w:val="fi-FI"/>
        </w:rPr>
        <w:t xml:space="preserve"> Sen -</w:t>
      </w:r>
      <w:r w:rsidRPr="00FB4EFA">
        <w:rPr>
          <w:rFonts w:ascii="OS Jeremy" w:hAnsi="OS Jeremy" w:cs="Cambria"/>
          <w:i/>
          <w:iCs/>
          <w:lang w:val="fi-FI"/>
        </w:rPr>
        <w:t>жде</w:t>
      </w:r>
      <w:r w:rsidRPr="00FB4EFA">
        <w:rPr>
          <w:rFonts w:ascii="OS Jeremy" w:hAnsi="OS Jeremy"/>
          <w:lang w:val="fi-FI"/>
        </w:rPr>
        <w:t xml:space="preserve"> </w:t>
      </w:r>
      <w:r w:rsidRPr="00FB4EFA">
        <w:rPr>
          <w:lang w:val="fi-FI"/>
        </w:rPr>
        <w:t xml:space="preserve">on toki kuilinalainen adjektiivinjohdin, sama kuin muinaiskirkkokuilinan </w:t>
      </w:r>
      <w:r w:rsidR="00545033" w:rsidRPr="00FB4EFA">
        <w:rPr>
          <w:rFonts w:ascii="OS Jeremy" w:hAnsi="OS Jeremy"/>
          <w:lang w:val="fi-FI"/>
        </w:rPr>
        <w:noBreakHyphen/>
      </w:r>
      <w:r w:rsidRPr="00FB4EFA">
        <w:rPr>
          <w:rFonts w:ascii="OS Jeremy" w:hAnsi="OS Jeremy" w:cs="Cambria"/>
          <w:i/>
          <w:iCs/>
          <w:lang w:val="fi-FI"/>
        </w:rPr>
        <w:t>нѧ</w:t>
      </w:r>
      <w:r w:rsidRPr="00FB4EFA">
        <w:rPr>
          <w:rFonts w:cstheme="minorHAnsi"/>
          <w:lang w:val="fi-FI"/>
        </w:rPr>
        <w:t xml:space="preserve">, mon. </w:t>
      </w:r>
      <w:r w:rsidR="00545033" w:rsidRPr="00FB4EFA">
        <w:rPr>
          <w:rFonts w:ascii="OS Jeremy" w:hAnsi="OS Jeremy" w:cstheme="minorHAnsi"/>
          <w:lang w:val="fi-FI"/>
        </w:rPr>
        <w:noBreakHyphen/>
      </w:r>
      <w:r w:rsidRPr="00FB4EFA">
        <w:rPr>
          <w:rFonts w:ascii="OS Jeremy" w:hAnsi="OS Jeremy" w:cs="Cambria"/>
          <w:i/>
          <w:iCs/>
          <w:lang w:val="fi-FI"/>
        </w:rPr>
        <w:t>жд</w:t>
      </w:r>
      <w:r w:rsidR="005D00B9" w:rsidRPr="00FB4EFA">
        <w:rPr>
          <w:rFonts w:ascii="OS Jeremy" w:hAnsi="OS Jeremy"/>
          <w:i/>
          <w:iCs/>
          <w:lang w:val="fi-FI"/>
        </w:rPr>
        <w:t>ҥ</w:t>
      </w:r>
      <w:r w:rsidRPr="00FB4EFA">
        <w:rPr>
          <w:rFonts w:cstheme="minorHAnsi"/>
          <w:lang w:val="fi-FI"/>
        </w:rPr>
        <w:t>.</w:t>
      </w:r>
    </w:p>
    <w:p w14:paraId="1FFD059E"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Lopuksi</w:t>
      </w:r>
    </w:p>
    <w:p w14:paraId="48CD4A1D" w14:textId="77777777" w:rsidR="00EF1775" w:rsidRPr="00FB4EFA" w:rsidRDefault="00EF1775" w:rsidP="00A219CF">
      <w:pPr>
        <w:rPr>
          <w:lang w:val="fi-FI"/>
        </w:rPr>
      </w:pPr>
      <w:r w:rsidRPr="00FB4EFA">
        <w:rPr>
          <w:lang w:val="fi-FI"/>
        </w:rPr>
        <w:t>Saatuani valmiiksi kuilinankielisten tekstien ensimmäisen version tulin ajatelleeksi, että nehän tavallaan auttavat meitä hahmottamaan, miltä slaavilaiset kielet näyttävät liettuan puhujalle. Liettua on konservatiivinen kieli suunnilleen samassa määrin kuin suomikin, joten liettuankielis</w:t>
      </w:r>
      <w:r w:rsidRPr="00FB4EFA">
        <w:rPr>
          <w:lang w:val="fi-FI"/>
        </w:rPr>
        <w:lastRenderedPageBreak/>
        <w:t xml:space="preserve">ten pitäisi ymmärtää slaavia suunnilleen saman verran kuin suomenpuhujain kuilinaa – latviankielisten taas suunnilleen saman verran kuin mitä vironpuhujat saavat kuilinasta arvoa. Erona on toki se, että niin liettuassa kuin lätissäkin on slaavilaisia lainoja, jotka helpottavat ymmärtämistä. Toisaalta kuitenkin slaavissa on jonkin verran myös liettuasta ja lätistä kadonnutta indoeurooppalaista sanastoa, mitä vastaisi se, että olisin tuonut kuilinaan itämerensuomesta puuttuvia sanoja muista uralilaisista kielistä. Se jäi nyt tekemättä – vain bööminkuilinan </w:t>
      </w:r>
      <w:r w:rsidRPr="00FB4EFA">
        <w:rPr>
          <w:i/>
          <w:lang w:val="fi-FI"/>
        </w:rPr>
        <w:t>trbá</w:t>
      </w:r>
      <w:r w:rsidRPr="00FB4EFA">
        <w:rPr>
          <w:lang w:val="fi-FI"/>
        </w:rPr>
        <w:t>-sanan kohdalla ajattelin hieman mordvaa – mutta kuilinan tarinahan on vasta alussa.</w:t>
      </w:r>
    </w:p>
    <w:p w14:paraId="06A11637" w14:textId="77777777" w:rsidR="00EF1775" w:rsidRPr="00FB4EFA" w:rsidRDefault="00EF1775" w:rsidP="00065E48">
      <w:pPr>
        <w:suppressAutoHyphens/>
        <w:ind w:firstLine="709"/>
        <w:rPr>
          <w:rFonts w:ascii="OS Jeremy" w:hAnsi="OS Jeremy"/>
          <w:lang w:val="fi-FI"/>
        </w:rPr>
      </w:pPr>
      <w:r w:rsidRPr="00FB4EFA">
        <w:rPr>
          <w:rFonts w:ascii="OS Jeremy" w:hAnsi="OS Jeremy" w:cs="Cambria"/>
          <w:lang w:val="fi-FI"/>
        </w:rPr>
        <w:t>Сѧждѹмопивьнождь</w:t>
      </w:r>
      <w:r w:rsidRPr="00FB4EFA">
        <w:rPr>
          <w:rFonts w:ascii="OS Jeremy" w:hAnsi="OS Jeremy"/>
          <w:lang w:val="fi-FI"/>
        </w:rPr>
        <w:t>!</w:t>
      </w:r>
    </w:p>
    <w:p w14:paraId="6CDDE557"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Lähteenä</w:t>
      </w:r>
      <w:r w:rsidRPr="00FB4EFA">
        <w:rPr>
          <w:rFonts w:ascii="Charis SIL" w:hAnsi="Charis SIL"/>
          <w:color w:val="auto"/>
          <w:lang w:val="fi-FI"/>
        </w:rPr>
        <w:t xml:space="preserve"> </w:t>
      </w:r>
      <w:r w:rsidRPr="00FB4EFA">
        <w:rPr>
          <w:color w:val="auto"/>
          <w:lang w:val="fi-FI"/>
        </w:rPr>
        <w:t>käytettyä</w:t>
      </w:r>
      <w:r w:rsidRPr="00FB4EFA">
        <w:rPr>
          <w:rFonts w:ascii="Charis SIL" w:hAnsi="Charis SIL"/>
          <w:color w:val="auto"/>
          <w:lang w:val="fi-FI"/>
        </w:rPr>
        <w:t xml:space="preserve"> </w:t>
      </w:r>
      <w:r w:rsidRPr="00FB4EFA">
        <w:rPr>
          <w:color w:val="auto"/>
          <w:lang w:val="fi-FI"/>
        </w:rPr>
        <w:t>kirjallisuutta</w:t>
      </w:r>
    </w:p>
    <w:p w14:paraId="17B41EA3" w14:textId="77777777" w:rsidR="00EF1775" w:rsidRPr="00FB4EFA" w:rsidRDefault="00EF1775" w:rsidP="00065E48">
      <w:pPr>
        <w:keepNext/>
        <w:suppressAutoHyphens/>
        <w:spacing w:line="240" w:lineRule="auto"/>
        <w:ind w:left="425" w:hanging="425"/>
        <w:rPr>
          <w:rFonts w:cs="Charis SIL"/>
          <w:lang w:val="fi-FI"/>
        </w:rPr>
      </w:pPr>
      <w:r w:rsidRPr="00FB4EFA">
        <w:rPr>
          <w:rFonts w:cs="Charis SIL"/>
          <w:lang w:val="fi-FI"/>
        </w:rPr>
        <w:t xml:space="preserve">Brückner, Aleksander. 1927. </w:t>
      </w:r>
      <w:r w:rsidRPr="00FB4EFA">
        <w:rPr>
          <w:rFonts w:cs="Charis SIL"/>
          <w:i/>
          <w:iCs/>
          <w:lang w:val="fi-FI"/>
        </w:rPr>
        <w:t>Słownik etymologiczny języka polskiego</w:t>
      </w:r>
      <w:r w:rsidRPr="00FB4EFA">
        <w:rPr>
          <w:rFonts w:cs="Charis SIL"/>
          <w:lang w:val="fi-FI"/>
        </w:rPr>
        <w:t>. Kraków: Krakowska Spółka Wydawnicza.</w:t>
      </w:r>
    </w:p>
    <w:p w14:paraId="74081992"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Buck, Carl Darling. 1949. </w:t>
      </w:r>
      <w:r w:rsidRPr="00FB4EFA">
        <w:rPr>
          <w:rFonts w:cs="Charis SIL"/>
          <w:i/>
          <w:iCs/>
          <w:lang w:val="fi-FI"/>
        </w:rPr>
        <w:t>A dictionary of selected synonyms in the principal Indo–European languages. A contribution to the history of ideas</w:t>
      </w:r>
      <w:r w:rsidRPr="00FB4EFA">
        <w:rPr>
          <w:rFonts w:cs="Charis SIL"/>
          <w:lang w:val="fi-FI"/>
        </w:rPr>
        <w:t>. Chicago, IL: University of Chicago Press.</w:t>
      </w:r>
    </w:p>
    <w:p w14:paraId="75C9E561"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Derksen, Rick. 2008. </w:t>
      </w:r>
      <w:r w:rsidRPr="00FB4EFA">
        <w:rPr>
          <w:rFonts w:cs="Charis SIL"/>
          <w:i/>
          <w:iCs/>
          <w:lang w:val="fi-FI"/>
        </w:rPr>
        <w:t>Etymological Dictionary of the Slavic Inherited Lexicon</w:t>
      </w:r>
      <w:r w:rsidRPr="00FB4EFA">
        <w:rPr>
          <w:rFonts w:cs="Charis SIL"/>
          <w:lang w:val="fi-FI"/>
        </w:rPr>
        <w:t>. Leiden Indo-European Etymological Dictionary Series 4. Leiden: Brill.</w:t>
      </w:r>
    </w:p>
    <w:p w14:paraId="5D71B771"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Holopainen, Sampsa &amp; Junttila, Santeri. (Tulossa.). </w:t>
      </w:r>
      <w:r w:rsidRPr="00FB4EFA">
        <w:rPr>
          <w:rFonts w:cs="Charis SIL"/>
          <w:i/>
          <w:iCs/>
          <w:lang w:val="fi-FI"/>
        </w:rPr>
        <w:t>Über die ältesten arischen und baltischen Lehnverben der uralischen Sprachen</w:t>
      </w:r>
      <w:r w:rsidRPr="00FB4EFA">
        <w:rPr>
          <w:rFonts w:cs="Charis SIL"/>
          <w:lang w:val="fi-FI"/>
        </w:rPr>
        <w:t>.</w:t>
      </w:r>
    </w:p>
    <w:p w14:paraId="6E9757F8" w14:textId="7D5157AB" w:rsidR="00EF1775" w:rsidRPr="00FB4EFA" w:rsidRDefault="00EF1775" w:rsidP="00902BAB">
      <w:pPr>
        <w:suppressAutoHyphens/>
        <w:spacing w:line="240" w:lineRule="auto"/>
        <w:ind w:left="425" w:hanging="425"/>
        <w:jc w:val="left"/>
        <w:rPr>
          <w:rFonts w:cs="Charis SIL"/>
          <w:u w:val="single"/>
          <w:lang w:val="fi-FI"/>
        </w:rPr>
      </w:pPr>
      <w:r w:rsidRPr="00FB4EFA">
        <w:rPr>
          <w:rFonts w:cs="Charis SIL"/>
          <w:lang w:val="fi-FI"/>
        </w:rPr>
        <w:t xml:space="preserve">Kallio, Petri. 2019–. </w:t>
      </w:r>
      <w:r w:rsidRPr="00FB4EFA">
        <w:rPr>
          <w:rFonts w:cs="Charis SIL"/>
          <w:i/>
          <w:iCs/>
          <w:lang w:val="fi-FI"/>
        </w:rPr>
        <w:t>Yhteissuomalainen sanasto</w:t>
      </w:r>
      <w:r w:rsidRPr="00FB4EFA">
        <w:rPr>
          <w:rFonts w:cs="Charis SIL"/>
          <w:lang w:val="fi-FI"/>
        </w:rPr>
        <w:t>.</w:t>
      </w:r>
      <w:r w:rsidR="00902BAB">
        <w:rPr>
          <w:rFonts w:cs="Charis SIL"/>
          <w:lang w:val="fi-FI"/>
        </w:rPr>
        <w:br/>
      </w:r>
      <w:hyperlink r:id="rId236" w:history="1">
        <w:r w:rsidR="00982A7F" w:rsidRPr="00982A7F">
          <w:rPr>
            <w:rStyle w:val="Hyperlink"/>
            <w:rFonts w:cs="Charis SIL"/>
            <w:color w:val="auto"/>
            <w:lang w:val="fi-FI"/>
          </w:rPr>
          <w:t>sanat.csc.fi/w/index.php?title=Luokka:Yhteissuomalainen_sanasto</w:t>
        </w:r>
      </w:hyperlink>
      <w:r w:rsidR="00545033" w:rsidRPr="00982A7F">
        <w:rPr>
          <w:rFonts w:cs="Charis SIL"/>
          <w:lang w:val="fi-FI"/>
        </w:rPr>
        <w:t>.</w:t>
      </w:r>
    </w:p>
    <w:p w14:paraId="3F16B0D7"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Klotz, Emanuel. 2017. </w:t>
      </w:r>
      <w:r w:rsidRPr="00FB4EFA">
        <w:rPr>
          <w:rFonts w:cs="Charis SIL"/>
          <w:i/>
          <w:iCs/>
          <w:lang w:val="fi-FI"/>
        </w:rPr>
        <w:t>Urslawisches Wörterbuch</w:t>
      </w:r>
      <w:r w:rsidRPr="00FB4EFA">
        <w:rPr>
          <w:rFonts w:cs="Charis SIL"/>
          <w:lang w:val="fi-FI"/>
        </w:rPr>
        <w:t>. Wien: Facultas.</w:t>
      </w:r>
    </w:p>
    <w:p w14:paraId="648B09BC"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Lindstedt, Jouko. 2020. </w:t>
      </w:r>
      <w:r w:rsidRPr="00FB4EFA">
        <w:rPr>
          <w:rFonts w:cs="Charis SIL"/>
          <w:i/>
          <w:iCs/>
          <w:lang w:val="fi-FI"/>
        </w:rPr>
        <w:t>Izide slovo se. Johdatus muinaiskirkkoslaaviin ja slaavien varhaiseen kieli- ja kulttuurihistoriaan</w:t>
      </w:r>
      <w:r w:rsidRPr="00FB4EFA">
        <w:rPr>
          <w:rFonts w:cs="Charis SIL"/>
          <w:lang w:val="fi-FI"/>
        </w:rPr>
        <w:t>. Slavia Helsingiensia Supplementum V. Helsinki: Helsingin yliopisto.</w:t>
      </w:r>
    </w:p>
    <w:p w14:paraId="45016523"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Nuorluoto, Jussi. 2012. </w:t>
      </w:r>
      <w:r w:rsidRPr="00FB4EFA">
        <w:rPr>
          <w:rFonts w:cs="Charis SIL"/>
          <w:i/>
          <w:iCs/>
          <w:lang w:val="fi-FI"/>
        </w:rPr>
        <w:t>De slaviska standardspråkens framväxt. Idéhistoriska och språksociologiska kontexter och koncept</w:t>
      </w:r>
      <w:r w:rsidRPr="00FB4EFA">
        <w:rPr>
          <w:rFonts w:cs="Charis SIL"/>
          <w:lang w:val="fi-FI"/>
        </w:rPr>
        <w:t>. Uppsala: Institutet för moderna språk.</w:t>
      </w:r>
    </w:p>
    <w:p w14:paraId="6191C282"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Nuorluoto, Jussi. 2019. </w:t>
      </w:r>
      <w:r w:rsidRPr="00FB4EFA">
        <w:rPr>
          <w:rFonts w:cs="Charis SIL"/>
          <w:i/>
          <w:iCs/>
          <w:lang w:val="fi-FI"/>
        </w:rPr>
        <w:t>Slavisk historisk ljudlära</w:t>
      </w:r>
      <w:r w:rsidRPr="00FB4EFA">
        <w:rPr>
          <w:rFonts w:cs="Charis SIL"/>
          <w:lang w:val="fi-FI"/>
        </w:rPr>
        <w:t>. Uppsala: Institutet för moderna språk.</w:t>
      </w:r>
    </w:p>
    <w:p w14:paraId="2FDFEA6A"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Rejzek, Jiři. 2001. </w:t>
      </w:r>
      <w:r w:rsidRPr="00FB4EFA">
        <w:rPr>
          <w:rFonts w:cs="Charis SIL"/>
          <w:i/>
          <w:iCs/>
          <w:lang w:val="fi-FI"/>
        </w:rPr>
        <w:t>Český etymologický slovník</w:t>
      </w:r>
      <w:r w:rsidRPr="00FB4EFA">
        <w:rPr>
          <w:rFonts w:cs="Charis SIL"/>
          <w:lang w:val="fi-FI"/>
        </w:rPr>
        <w:t>. Brno / Praha: Leda.</w:t>
      </w:r>
    </w:p>
    <w:p w14:paraId="3C30C1A5"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Skok, Petar. 1971–1988. </w:t>
      </w:r>
      <w:r w:rsidRPr="00FB4EFA">
        <w:rPr>
          <w:rFonts w:cs="Charis SIL"/>
          <w:i/>
          <w:iCs/>
          <w:lang w:val="fi-FI"/>
        </w:rPr>
        <w:t>Etimologijski rječnik hrvatskoga ili srpskoga jezika</w:t>
      </w:r>
      <w:r w:rsidRPr="00FB4EFA">
        <w:rPr>
          <w:rFonts w:cs="Charis SIL"/>
          <w:lang w:val="fi-FI"/>
        </w:rPr>
        <w:t xml:space="preserve"> I–III. Zagreb: Jugoslavenska akademija znanosti i umjetnosti.</w:t>
      </w:r>
    </w:p>
    <w:p w14:paraId="3581A851"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lastRenderedPageBreak/>
        <w:t xml:space="preserve">SSA = Erkki Itkonen &amp; Ulla-Maija Kulonen (toim.). 1992–2000: </w:t>
      </w:r>
      <w:r w:rsidRPr="00FB4EFA">
        <w:rPr>
          <w:rFonts w:cs="Charis SIL"/>
          <w:i/>
          <w:lang w:val="fi-FI"/>
        </w:rPr>
        <w:t>Suomen sanojen alkuperä. Etymologinen sanakirja</w:t>
      </w:r>
      <w:r w:rsidRPr="00FB4EFA">
        <w:rPr>
          <w:rFonts w:cs="Charis SIL"/>
          <w:lang w:val="fi-FI"/>
        </w:rPr>
        <w:t>. 1–3. Helsinki: SKS &amp; Kotimaisten kielten tutkimuskeskus.</w:t>
      </w:r>
    </w:p>
    <w:p w14:paraId="4A22E8F1"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Sussex, Roland &amp; Paul Cubberley. 2006. </w:t>
      </w:r>
      <w:r w:rsidRPr="00FB4EFA">
        <w:rPr>
          <w:rFonts w:cs="Charis SIL"/>
          <w:i/>
          <w:iCs/>
          <w:lang w:val="fi-FI"/>
        </w:rPr>
        <w:t>The Slavic Languages</w:t>
      </w:r>
      <w:r w:rsidRPr="00FB4EFA">
        <w:rPr>
          <w:rFonts w:cs="Charis SIL"/>
          <w:lang w:val="fi-FI"/>
        </w:rPr>
        <w:t>. Cambridge: Cambridge University Press.</w:t>
      </w:r>
    </w:p>
    <w:p w14:paraId="384F4443"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Vasmer, Max. 1953–1958: </w:t>
      </w:r>
      <w:r w:rsidRPr="00FB4EFA">
        <w:rPr>
          <w:rFonts w:cs="Charis SIL"/>
          <w:i/>
          <w:iCs/>
          <w:lang w:val="fi-FI"/>
        </w:rPr>
        <w:t>Russisches etymologisches Wörterbuch</w:t>
      </w:r>
      <w:r w:rsidRPr="00FB4EFA">
        <w:rPr>
          <w:rFonts w:cs="Charis SIL"/>
          <w:lang w:val="fi-FI"/>
        </w:rPr>
        <w:t xml:space="preserve"> I–III. Heidelberg: Carl Winter.</w:t>
      </w:r>
    </w:p>
    <w:p w14:paraId="53FA8898"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БЕР = V.I. Georgijev, M. Račeva &amp; T.A.Todorov (päätoim.). 1971–2010–. </w:t>
      </w:r>
      <w:r w:rsidRPr="00FB4EFA">
        <w:rPr>
          <w:rFonts w:cs="Charis SIL"/>
          <w:i/>
          <w:iCs/>
          <w:lang w:val="fi-FI"/>
        </w:rPr>
        <w:t>Български етимологичен речник</w:t>
      </w:r>
      <w:r w:rsidRPr="00FB4EFA">
        <w:rPr>
          <w:rFonts w:cs="Charis SIL"/>
          <w:lang w:val="fi-FI"/>
        </w:rPr>
        <w:t xml:space="preserve"> I–VII–. Софиа: Издателство на Блгарската академия на науките / Марин Дринов.</w:t>
      </w:r>
    </w:p>
    <w:p w14:paraId="4D570948" w14:textId="77777777" w:rsidR="00EF1775" w:rsidRPr="00FB4EFA" w:rsidRDefault="00EF1775" w:rsidP="00065E48">
      <w:pPr>
        <w:suppressAutoHyphens/>
        <w:spacing w:line="240" w:lineRule="auto"/>
        <w:ind w:left="425" w:hanging="425"/>
        <w:rPr>
          <w:rFonts w:cs="Charis SIL"/>
          <w:lang w:val="fi-FI"/>
        </w:rPr>
      </w:pPr>
      <w:r w:rsidRPr="00FB4EFA">
        <w:rPr>
          <w:rFonts w:cs="Charis SIL"/>
          <w:lang w:val="fi-FI"/>
        </w:rPr>
        <w:t xml:space="preserve">ОФУЯ = V.I. Lytkin (päätoim.). 1974. </w:t>
      </w:r>
      <w:r w:rsidRPr="00FB4EFA">
        <w:rPr>
          <w:rFonts w:cs="Charis SIL"/>
          <w:i/>
          <w:lang w:val="fi-FI"/>
        </w:rPr>
        <w:t>Основы финно-угорского языкознания. Вопросы происхождения и развития финно-угорских языков</w:t>
      </w:r>
      <w:r w:rsidRPr="00FB4EFA">
        <w:rPr>
          <w:rFonts w:cs="Charis SIL"/>
          <w:lang w:val="fi-FI"/>
        </w:rPr>
        <w:t>. Москва: Наука.</w:t>
      </w:r>
    </w:p>
    <w:p w14:paraId="1F0BF5BC" w14:textId="77777777" w:rsidR="00EF1775" w:rsidRPr="00FB4EFA" w:rsidRDefault="00EF1775" w:rsidP="00065E48">
      <w:pPr>
        <w:pStyle w:val="Heading2"/>
        <w:suppressAutoHyphens/>
        <w:rPr>
          <w:rFonts w:ascii="Charis SIL" w:hAnsi="Charis SIL"/>
          <w:color w:val="auto"/>
          <w:lang w:val="fi-FI"/>
        </w:rPr>
      </w:pPr>
      <w:r w:rsidRPr="00FB4EFA">
        <w:rPr>
          <w:color w:val="auto"/>
          <w:lang w:val="fi-FI"/>
        </w:rPr>
        <w:t>Kettusatu</w:t>
      </w:r>
      <w:r w:rsidRPr="00FB4EFA">
        <w:rPr>
          <w:rFonts w:ascii="Charis SIL" w:hAnsi="Charis SIL"/>
          <w:color w:val="auto"/>
          <w:lang w:val="fi-FI"/>
        </w:rPr>
        <w:t xml:space="preserve"> </w:t>
      </w:r>
      <w:r w:rsidRPr="00FB4EFA">
        <w:rPr>
          <w:color w:val="auto"/>
          <w:lang w:val="fi-FI"/>
        </w:rPr>
        <w:t>slaavilaisilla</w:t>
      </w:r>
      <w:r w:rsidRPr="00FB4EFA">
        <w:rPr>
          <w:rFonts w:ascii="Charis SIL" w:hAnsi="Charis SIL"/>
          <w:color w:val="auto"/>
          <w:lang w:val="fi-FI"/>
        </w:rPr>
        <w:t xml:space="preserve"> </w:t>
      </w:r>
      <w:r w:rsidRPr="00FB4EFA">
        <w:rPr>
          <w:color w:val="auto"/>
          <w:lang w:val="fi-FI"/>
        </w:rPr>
        <w:t>kielillä</w:t>
      </w:r>
      <w:r w:rsidRPr="00FB4EFA">
        <w:rPr>
          <w:rFonts w:ascii="Charis SIL" w:hAnsi="Charis SIL"/>
          <w:color w:val="auto"/>
          <w:lang w:val="fi-FI"/>
        </w:rPr>
        <w:t xml:space="preserve"> </w:t>
      </w:r>
      <w:r w:rsidRPr="00FB4EFA">
        <w:rPr>
          <w:color w:val="auto"/>
          <w:lang w:val="fi-FI"/>
        </w:rPr>
        <w:t>ja</w:t>
      </w:r>
      <w:r w:rsidRPr="00FB4EFA">
        <w:rPr>
          <w:rFonts w:ascii="Charis SIL" w:hAnsi="Charis SIL"/>
          <w:color w:val="auto"/>
          <w:lang w:val="fi-FI"/>
        </w:rPr>
        <w:t xml:space="preserve"> </w:t>
      </w:r>
      <w:r w:rsidRPr="00FB4EFA">
        <w:rPr>
          <w:color w:val="auto"/>
          <w:lang w:val="fi-FI"/>
        </w:rPr>
        <w:t>suomeksi</w:t>
      </w:r>
    </w:p>
    <w:p w14:paraId="28DEFA53" w14:textId="50E73CC5" w:rsidR="00EF1775" w:rsidRPr="00FB4EFA" w:rsidRDefault="00EF1775" w:rsidP="00065E48">
      <w:pPr>
        <w:suppressAutoHyphens/>
        <w:spacing w:line="240" w:lineRule="auto"/>
        <w:ind w:left="709"/>
        <w:rPr>
          <w:rFonts w:ascii="OS Jeremy" w:hAnsi="OS Jeremy"/>
          <w:sz w:val="20"/>
          <w:szCs w:val="20"/>
          <w:lang w:val="fi-FI"/>
        </w:rPr>
      </w:pPr>
      <w:r w:rsidRPr="00FB4EFA">
        <w:rPr>
          <w:rFonts w:ascii="OS Jeremy" w:hAnsi="OS Jeremy"/>
          <w:sz w:val="20"/>
          <w:szCs w:val="20"/>
          <w:lang w:val="fi-FI"/>
        </w:rPr>
        <w:t>1</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Нашла</w:t>
      </w:r>
      <w:r w:rsidRPr="00FB4EFA">
        <w:rPr>
          <w:rFonts w:ascii="OS Jeremy" w:hAnsi="OS Jeremy"/>
          <w:sz w:val="20"/>
          <w:szCs w:val="20"/>
          <w:lang w:val="fi-FI"/>
        </w:rPr>
        <w:t xml:space="preserve"> </w:t>
      </w:r>
      <w:r w:rsidRPr="00FB4EFA">
        <w:rPr>
          <w:rFonts w:ascii="OS Jeremy" w:hAnsi="OS Jeremy" w:cs="Cambria"/>
          <w:sz w:val="20"/>
          <w:szCs w:val="20"/>
          <w:lang w:val="fi-FI"/>
        </w:rPr>
        <w:t>лиса</w:t>
      </w:r>
      <w:r w:rsidRPr="00FB4EFA">
        <w:rPr>
          <w:rFonts w:ascii="OS Jeremy" w:hAnsi="OS Jeremy"/>
          <w:sz w:val="20"/>
          <w:szCs w:val="20"/>
          <w:lang w:val="fi-FI"/>
        </w:rPr>
        <w:t xml:space="preserve"> </w:t>
      </w:r>
      <w:r w:rsidRPr="00FB4EFA">
        <w:rPr>
          <w:rFonts w:ascii="OS Jeremy" w:hAnsi="OS Jeremy" w:cs="Cambria"/>
          <w:sz w:val="20"/>
          <w:szCs w:val="20"/>
          <w:lang w:val="fi-FI"/>
        </w:rPr>
        <w:t>дупло</w:t>
      </w:r>
      <w:r w:rsidRPr="00FB4EFA">
        <w:rPr>
          <w:rFonts w:ascii="OS Jeremy" w:hAnsi="OS Jeremy"/>
          <w:sz w:val="20"/>
          <w:szCs w:val="20"/>
          <w:lang w:val="fi-FI"/>
        </w:rPr>
        <w:t xml:space="preserve"> </w:t>
      </w:r>
      <w:r w:rsidRPr="00FB4EFA">
        <w:rPr>
          <w:rFonts w:ascii="OS Jeremy" w:hAnsi="OS Jeremy" w:cs="Cambria"/>
          <w:sz w:val="20"/>
          <w:szCs w:val="20"/>
          <w:lang w:val="fi-FI"/>
        </w:rPr>
        <w:t>под</w:t>
      </w:r>
      <w:r w:rsidRPr="00FB4EFA">
        <w:rPr>
          <w:rFonts w:ascii="OS Jeremy" w:hAnsi="OS Jeremy"/>
          <w:sz w:val="20"/>
          <w:szCs w:val="20"/>
          <w:lang w:val="fi-FI"/>
        </w:rPr>
        <w:t xml:space="preserve"> </w:t>
      </w:r>
      <w:r w:rsidRPr="00FB4EFA">
        <w:rPr>
          <w:rFonts w:ascii="OS Jeremy" w:hAnsi="OS Jeremy" w:cs="Cambria"/>
          <w:sz w:val="20"/>
          <w:szCs w:val="20"/>
          <w:lang w:val="fi-FI"/>
        </w:rPr>
        <w:t>толстым</w:t>
      </w:r>
      <w:r w:rsidRPr="00FB4EFA">
        <w:rPr>
          <w:rFonts w:ascii="OS Jeremy" w:hAnsi="OS Jeremy"/>
          <w:sz w:val="20"/>
          <w:szCs w:val="20"/>
          <w:lang w:val="fi-FI"/>
        </w:rPr>
        <w:t xml:space="preserve"> </w:t>
      </w:r>
      <w:r w:rsidRPr="00FB4EFA">
        <w:rPr>
          <w:rFonts w:ascii="OS Jeremy" w:hAnsi="OS Jeremy" w:cs="Cambria"/>
          <w:sz w:val="20"/>
          <w:szCs w:val="20"/>
          <w:lang w:val="fi-FI"/>
        </w:rPr>
        <w:t>вязом</w:t>
      </w:r>
      <w:r w:rsidRPr="00FB4EFA">
        <w:rPr>
          <w:rFonts w:ascii="OS Jeremy" w:hAnsi="OS Jeremy"/>
          <w:sz w:val="20"/>
          <w:szCs w:val="20"/>
          <w:lang w:val="fi-FI"/>
        </w:rPr>
        <w:t xml:space="preserve">, </w:t>
      </w:r>
      <w:r w:rsidRPr="00FB4EFA">
        <w:rPr>
          <w:rFonts w:ascii="OS Jeremy" w:hAnsi="OS Jeremy" w:cs="Cambria"/>
          <w:sz w:val="20"/>
          <w:szCs w:val="20"/>
          <w:lang w:val="fi-FI"/>
        </w:rPr>
        <w:t>выкопала</w:t>
      </w:r>
      <w:r w:rsidRPr="00FB4EFA">
        <w:rPr>
          <w:rFonts w:ascii="OS Jeremy" w:hAnsi="OS Jeremy"/>
          <w:sz w:val="20"/>
          <w:szCs w:val="20"/>
          <w:lang w:val="fi-FI"/>
        </w:rPr>
        <w:t xml:space="preserve"> </w:t>
      </w:r>
      <w:r w:rsidRPr="00FB4EFA">
        <w:rPr>
          <w:rFonts w:ascii="OS Jeremy" w:hAnsi="OS Jeremy" w:cs="Cambria"/>
          <w:sz w:val="20"/>
          <w:szCs w:val="20"/>
          <w:lang w:val="fi-FI"/>
        </w:rPr>
        <w:t>в</w:t>
      </w:r>
      <w:r w:rsidRPr="00FB4EFA">
        <w:rPr>
          <w:rFonts w:ascii="OS Jeremy" w:hAnsi="OS Jeremy"/>
          <w:sz w:val="20"/>
          <w:szCs w:val="20"/>
          <w:lang w:val="fi-FI"/>
        </w:rPr>
        <w:t xml:space="preserve"> </w:t>
      </w:r>
      <w:r w:rsidRPr="00FB4EFA">
        <w:rPr>
          <w:rFonts w:ascii="OS Jeremy" w:hAnsi="OS Jeremy" w:cs="Cambria"/>
          <w:sz w:val="20"/>
          <w:szCs w:val="20"/>
          <w:lang w:val="fi-FI"/>
        </w:rPr>
        <w:t>земле</w:t>
      </w:r>
      <w:r w:rsidRPr="00FB4EFA">
        <w:rPr>
          <w:rFonts w:ascii="OS Jeremy" w:hAnsi="OS Jeremy"/>
          <w:sz w:val="20"/>
          <w:szCs w:val="20"/>
          <w:lang w:val="fi-FI"/>
        </w:rPr>
        <w:t xml:space="preserve"> </w:t>
      </w:r>
      <w:r w:rsidRPr="00FB4EFA">
        <w:rPr>
          <w:rFonts w:ascii="OS Jeremy" w:hAnsi="OS Jeremy" w:cs="Cambria"/>
          <w:sz w:val="20"/>
          <w:szCs w:val="20"/>
          <w:lang w:val="fi-FI"/>
        </w:rPr>
        <w:t>ямку</w:t>
      </w:r>
      <w:r w:rsidRPr="00FB4EFA">
        <w:rPr>
          <w:rFonts w:ascii="OS Jeremy" w:hAnsi="OS Jeremy"/>
          <w:sz w:val="20"/>
          <w:szCs w:val="20"/>
          <w:lang w:val="fi-FI"/>
        </w:rPr>
        <w:t xml:space="preserve"> </w:t>
      </w:r>
      <w:r w:rsidRPr="00FB4EFA">
        <w:rPr>
          <w:rFonts w:ascii="OS Jeremy" w:hAnsi="OS Jeremy" w:cs="Cambria"/>
          <w:sz w:val="20"/>
          <w:szCs w:val="20"/>
          <w:lang w:val="fi-FI"/>
        </w:rPr>
        <w:t>и</w:t>
      </w:r>
      <w:r w:rsidRPr="00FB4EFA">
        <w:rPr>
          <w:rFonts w:ascii="OS Jeremy" w:hAnsi="OS Jeremy"/>
          <w:sz w:val="20"/>
          <w:szCs w:val="20"/>
          <w:lang w:val="fi-FI"/>
        </w:rPr>
        <w:t xml:space="preserve"> </w:t>
      </w:r>
      <w:r w:rsidRPr="00FB4EFA">
        <w:rPr>
          <w:rFonts w:ascii="OS Jeremy" w:hAnsi="OS Jeremy" w:cs="Cambria"/>
          <w:sz w:val="20"/>
          <w:szCs w:val="20"/>
          <w:lang w:val="fi-FI"/>
        </w:rPr>
        <w:t>устроила</w:t>
      </w:r>
      <w:r w:rsidRPr="00FB4EFA">
        <w:rPr>
          <w:rFonts w:ascii="OS Jeremy" w:hAnsi="OS Jeremy"/>
          <w:sz w:val="20"/>
          <w:szCs w:val="20"/>
          <w:lang w:val="fi-FI"/>
        </w:rPr>
        <w:t xml:space="preserve"> </w:t>
      </w:r>
      <w:r w:rsidRPr="00FB4EFA">
        <w:rPr>
          <w:rFonts w:ascii="OS Jeremy" w:hAnsi="OS Jeremy" w:cs="Cambria"/>
          <w:sz w:val="20"/>
          <w:szCs w:val="20"/>
          <w:lang w:val="fi-FI"/>
        </w:rPr>
        <w:t>себе</w:t>
      </w:r>
      <w:r w:rsidRPr="00FB4EFA">
        <w:rPr>
          <w:rFonts w:ascii="OS Jeremy" w:hAnsi="OS Jeremy"/>
          <w:sz w:val="20"/>
          <w:szCs w:val="20"/>
          <w:lang w:val="fi-FI"/>
        </w:rPr>
        <w:t xml:space="preserve"> </w:t>
      </w:r>
      <w:r w:rsidRPr="00FB4EFA">
        <w:rPr>
          <w:rFonts w:ascii="OS Jeremy" w:hAnsi="OS Jeremy" w:cs="Cambria"/>
          <w:sz w:val="20"/>
          <w:szCs w:val="20"/>
          <w:lang w:val="fi-FI"/>
        </w:rPr>
        <w:t>гнездо</w:t>
      </w:r>
      <w:r w:rsidRPr="00FB4EFA">
        <w:rPr>
          <w:rFonts w:ascii="OS Jeremy" w:hAnsi="OS Jeremy"/>
          <w:sz w:val="20"/>
          <w:szCs w:val="20"/>
          <w:lang w:val="fi-FI"/>
        </w:rPr>
        <w:t>. 2</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В</w:t>
      </w:r>
      <w:r w:rsidRPr="00FB4EFA">
        <w:rPr>
          <w:rFonts w:ascii="OS Jeremy" w:hAnsi="OS Jeremy"/>
          <w:sz w:val="20"/>
          <w:szCs w:val="20"/>
          <w:lang w:val="fi-FI"/>
        </w:rPr>
        <w:t xml:space="preserve"> </w:t>
      </w:r>
      <w:r w:rsidRPr="00FB4EFA">
        <w:rPr>
          <w:rFonts w:ascii="OS Jeremy" w:hAnsi="OS Jeremy" w:cs="Cambria"/>
          <w:sz w:val="20"/>
          <w:szCs w:val="20"/>
          <w:lang w:val="fi-FI"/>
        </w:rPr>
        <w:t>солнечный</w:t>
      </w:r>
      <w:r w:rsidRPr="00FB4EFA">
        <w:rPr>
          <w:rFonts w:ascii="OS Jeremy" w:hAnsi="OS Jeremy"/>
          <w:sz w:val="20"/>
          <w:szCs w:val="20"/>
          <w:lang w:val="fi-FI"/>
        </w:rPr>
        <w:t xml:space="preserve"> </w:t>
      </w:r>
      <w:r w:rsidRPr="00FB4EFA">
        <w:rPr>
          <w:rFonts w:ascii="OS Jeremy" w:hAnsi="OS Jeremy" w:cs="Cambria"/>
          <w:sz w:val="20"/>
          <w:szCs w:val="20"/>
          <w:lang w:val="fi-FI"/>
        </w:rPr>
        <w:t>летний</w:t>
      </w:r>
      <w:r w:rsidRPr="00FB4EFA">
        <w:rPr>
          <w:rFonts w:ascii="OS Jeremy" w:hAnsi="OS Jeremy"/>
          <w:sz w:val="20"/>
          <w:szCs w:val="20"/>
          <w:lang w:val="fi-FI"/>
        </w:rPr>
        <w:t xml:space="preserve"> </w:t>
      </w:r>
      <w:r w:rsidRPr="00FB4EFA">
        <w:rPr>
          <w:rFonts w:ascii="OS Jeremy" w:hAnsi="OS Jeremy" w:cs="Cambria"/>
          <w:sz w:val="20"/>
          <w:szCs w:val="20"/>
          <w:lang w:val="fi-FI"/>
        </w:rPr>
        <w:t>день</w:t>
      </w:r>
      <w:r w:rsidRPr="00FB4EFA">
        <w:rPr>
          <w:rFonts w:ascii="OS Jeremy" w:hAnsi="OS Jeremy"/>
          <w:sz w:val="20"/>
          <w:szCs w:val="20"/>
          <w:lang w:val="fi-FI"/>
        </w:rPr>
        <w:t xml:space="preserve"> </w:t>
      </w:r>
      <w:r w:rsidRPr="00FB4EFA">
        <w:rPr>
          <w:rFonts w:ascii="OS Jeremy" w:hAnsi="OS Jeremy" w:cs="Cambria"/>
          <w:sz w:val="20"/>
          <w:szCs w:val="20"/>
          <w:lang w:val="fi-FI"/>
        </w:rPr>
        <w:t>народилось</w:t>
      </w:r>
      <w:r w:rsidRPr="00FB4EFA">
        <w:rPr>
          <w:rFonts w:ascii="OS Jeremy" w:hAnsi="OS Jeremy"/>
          <w:sz w:val="20"/>
          <w:szCs w:val="20"/>
          <w:lang w:val="fi-FI"/>
        </w:rPr>
        <w:t xml:space="preserve"> </w:t>
      </w:r>
      <w:r w:rsidRPr="00FB4EFA">
        <w:rPr>
          <w:rFonts w:ascii="OS Jeremy" w:hAnsi="OS Jeremy" w:cs="Cambria"/>
          <w:sz w:val="20"/>
          <w:szCs w:val="20"/>
          <w:lang w:val="fi-FI"/>
        </w:rPr>
        <w:t>у</w:t>
      </w:r>
      <w:r w:rsidRPr="00FB4EFA">
        <w:rPr>
          <w:rFonts w:ascii="OS Jeremy" w:hAnsi="OS Jeremy"/>
          <w:sz w:val="20"/>
          <w:szCs w:val="20"/>
          <w:lang w:val="fi-FI"/>
        </w:rPr>
        <w:t xml:space="preserve"> </w:t>
      </w:r>
      <w:r w:rsidRPr="00FB4EFA">
        <w:rPr>
          <w:rFonts w:ascii="OS Jeremy" w:hAnsi="OS Jeremy" w:cs="Cambria"/>
          <w:sz w:val="20"/>
          <w:szCs w:val="20"/>
          <w:lang w:val="fi-FI"/>
        </w:rPr>
        <w:t>неё</w:t>
      </w:r>
      <w:r w:rsidRPr="00FB4EFA">
        <w:rPr>
          <w:rFonts w:ascii="OS Jeremy" w:hAnsi="OS Jeremy"/>
          <w:sz w:val="20"/>
          <w:szCs w:val="20"/>
          <w:lang w:val="fi-FI"/>
        </w:rPr>
        <w:t xml:space="preserve"> </w:t>
      </w:r>
      <w:r w:rsidRPr="00FB4EFA">
        <w:rPr>
          <w:rFonts w:ascii="OS Jeremy" w:hAnsi="OS Jeremy" w:cs="Cambria"/>
          <w:sz w:val="20"/>
          <w:szCs w:val="20"/>
          <w:lang w:val="fi-FI"/>
        </w:rPr>
        <w:t>четверо</w:t>
      </w:r>
      <w:r w:rsidRPr="00FB4EFA">
        <w:rPr>
          <w:rFonts w:ascii="OS Jeremy" w:hAnsi="OS Jeremy"/>
          <w:sz w:val="20"/>
          <w:szCs w:val="20"/>
          <w:lang w:val="fi-FI"/>
        </w:rPr>
        <w:t xml:space="preserve"> </w:t>
      </w:r>
      <w:r w:rsidRPr="00FB4EFA">
        <w:rPr>
          <w:rFonts w:ascii="OS Jeremy" w:hAnsi="OS Jeremy" w:cs="Cambria"/>
          <w:sz w:val="20"/>
          <w:szCs w:val="20"/>
          <w:lang w:val="fi-FI"/>
        </w:rPr>
        <w:t>лисят</w:t>
      </w:r>
      <w:r w:rsidRPr="00FB4EFA">
        <w:rPr>
          <w:rFonts w:ascii="OS Jeremy" w:hAnsi="OS Jeremy"/>
          <w:sz w:val="20"/>
          <w:szCs w:val="20"/>
          <w:lang w:val="fi-FI"/>
        </w:rPr>
        <w:t>. 3</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Они</w:t>
      </w:r>
      <w:r w:rsidRPr="00FB4EFA">
        <w:rPr>
          <w:rFonts w:ascii="OS Jeremy" w:hAnsi="OS Jeremy"/>
          <w:sz w:val="20"/>
          <w:szCs w:val="20"/>
          <w:lang w:val="fi-FI"/>
        </w:rPr>
        <w:t xml:space="preserve"> </w:t>
      </w:r>
      <w:r w:rsidRPr="00FB4EFA">
        <w:rPr>
          <w:rFonts w:ascii="OS Jeremy" w:hAnsi="OS Jeremy" w:cs="Cambria"/>
          <w:sz w:val="20"/>
          <w:szCs w:val="20"/>
          <w:lang w:val="fi-FI"/>
        </w:rPr>
        <w:t>такие</w:t>
      </w:r>
      <w:r w:rsidRPr="00FB4EFA">
        <w:rPr>
          <w:rFonts w:ascii="OS Jeremy" w:hAnsi="OS Jeremy"/>
          <w:sz w:val="20"/>
          <w:szCs w:val="20"/>
          <w:lang w:val="fi-FI"/>
        </w:rPr>
        <w:t xml:space="preserve"> </w:t>
      </w:r>
      <w:r w:rsidRPr="00FB4EFA">
        <w:rPr>
          <w:rFonts w:ascii="OS Jeremy" w:hAnsi="OS Jeremy" w:cs="Cambria"/>
          <w:sz w:val="20"/>
          <w:szCs w:val="20"/>
          <w:lang w:val="fi-FI"/>
        </w:rPr>
        <w:t>красивые</w:t>
      </w:r>
      <w:r w:rsidRPr="00FB4EFA">
        <w:rPr>
          <w:rFonts w:ascii="OS Jeremy" w:hAnsi="OS Jeremy"/>
          <w:sz w:val="20"/>
          <w:szCs w:val="20"/>
          <w:lang w:val="fi-FI"/>
        </w:rPr>
        <w:t xml:space="preserve">: </w:t>
      </w:r>
      <w:r w:rsidRPr="00FB4EFA">
        <w:rPr>
          <w:rFonts w:ascii="OS Jeremy" w:hAnsi="OS Jeremy" w:cs="Cambria"/>
          <w:sz w:val="20"/>
          <w:szCs w:val="20"/>
          <w:lang w:val="fi-FI"/>
        </w:rPr>
        <w:t>ушки</w:t>
      </w:r>
      <w:r w:rsidRPr="00FB4EFA">
        <w:rPr>
          <w:rFonts w:ascii="OS Jeremy" w:hAnsi="OS Jeremy"/>
          <w:sz w:val="20"/>
          <w:szCs w:val="20"/>
          <w:lang w:val="fi-FI"/>
        </w:rPr>
        <w:t xml:space="preserve"> </w:t>
      </w:r>
      <w:r w:rsidRPr="00FB4EFA">
        <w:rPr>
          <w:rFonts w:ascii="OS Jeremy" w:hAnsi="OS Jeremy" w:cs="Cambria"/>
          <w:sz w:val="20"/>
          <w:szCs w:val="20"/>
          <w:lang w:val="fi-FI"/>
        </w:rPr>
        <w:t>у</w:t>
      </w:r>
      <w:r w:rsidRPr="00FB4EFA">
        <w:rPr>
          <w:rFonts w:ascii="OS Jeremy" w:hAnsi="OS Jeremy"/>
          <w:sz w:val="20"/>
          <w:szCs w:val="20"/>
          <w:lang w:val="fi-FI"/>
        </w:rPr>
        <w:t xml:space="preserve"> </w:t>
      </w:r>
      <w:r w:rsidRPr="00FB4EFA">
        <w:rPr>
          <w:rFonts w:ascii="OS Jeremy" w:hAnsi="OS Jeremy" w:cs="Cambria"/>
          <w:sz w:val="20"/>
          <w:szCs w:val="20"/>
          <w:lang w:val="fi-FI"/>
        </w:rPr>
        <w:t>них</w:t>
      </w:r>
      <w:r w:rsidRPr="00FB4EFA">
        <w:rPr>
          <w:rFonts w:ascii="OS Jeremy" w:hAnsi="OS Jeremy"/>
          <w:sz w:val="20"/>
          <w:szCs w:val="20"/>
          <w:lang w:val="fi-FI"/>
        </w:rPr>
        <w:t xml:space="preserve"> </w:t>
      </w:r>
      <w:r w:rsidRPr="00FB4EFA">
        <w:rPr>
          <w:rFonts w:ascii="OS Jeremy" w:hAnsi="OS Jeremy" w:cs="Cambria"/>
          <w:sz w:val="20"/>
          <w:szCs w:val="20"/>
          <w:lang w:val="fi-FI"/>
        </w:rPr>
        <w:t>острые</w:t>
      </w:r>
      <w:r w:rsidRPr="00FB4EFA">
        <w:rPr>
          <w:rFonts w:ascii="OS Jeremy" w:hAnsi="OS Jeremy"/>
          <w:sz w:val="20"/>
          <w:szCs w:val="20"/>
          <w:lang w:val="fi-FI"/>
        </w:rPr>
        <w:t xml:space="preserve">, </w:t>
      </w:r>
      <w:r w:rsidRPr="00FB4EFA">
        <w:rPr>
          <w:rFonts w:ascii="OS Jeremy" w:hAnsi="OS Jeremy" w:cs="Cambria"/>
          <w:sz w:val="20"/>
          <w:szCs w:val="20"/>
          <w:lang w:val="fi-FI"/>
        </w:rPr>
        <w:t>носики</w:t>
      </w:r>
      <w:r w:rsidRPr="00FB4EFA">
        <w:rPr>
          <w:rFonts w:ascii="OS Jeremy" w:hAnsi="OS Jeremy"/>
          <w:sz w:val="20"/>
          <w:szCs w:val="20"/>
          <w:lang w:val="fi-FI"/>
        </w:rPr>
        <w:t xml:space="preserve"> </w:t>
      </w:r>
      <w:r w:rsidRPr="00FB4EFA">
        <w:rPr>
          <w:rFonts w:ascii="OS Jeremy" w:hAnsi="OS Jeremy" w:cs="Cambria"/>
          <w:sz w:val="20"/>
          <w:szCs w:val="20"/>
          <w:lang w:val="fi-FI"/>
        </w:rPr>
        <w:t>и</w:t>
      </w:r>
      <w:r w:rsidRPr="00FB4EFA">
        <w:rPr>
          <w:rFonts w:ascii="OS Jeremy" w:hAnsi="OS Jeremy"/>
          <w:sz w:val="20"/>
          <w:szCs w:val="20"/>
          <w:lang w:val="fi-FI"/>
        </w:rPr>
        <w:t xml:space="preserve"> </w:t>
      </w:r>
      <w:r w:rsidRPr="00FB4EFA">
        <w:rPr>
          <w:rFonts w:ascii="OS Jeremy" w:hAnsi="OS Jeremy" w:cs="Cambria"/>
          <w:sz w:val="20"/>
          <w:szCs w:val="20"/>
          <w:lang w:val="fi-FI"/>
        </w:rPr>
        <w:t>губки</w:t>
      </w:r>
      <w:r w:rsidRPr="00FB4EFA">
        <w:rPr>
          <w:rFonts w:ascii="OS Jeremy" w:hAnsi="OS Jeremy"/>
          <w:sz w:val="20"/>
          <w:szCs w:val="20"/>
          <w:lang w:val="fi-FI"/>
        </w:rPr>
        <w:t xml:space="preserve"> </w:t>
      </w:r>
      <w:r w:rsidRPr="00FB4EFA">
        <w:rPr>
          <w:rFonts w:ascii="OS Jeremy" w:hAnsi="OS Jeremy" w:cs="Cambria"/>
          <w:sz w:val="20"/>
          <w:szCs w:val="20"/>
          <w:lang w:val="fi-FI"/>
        </w:rPr>
        <w:t>чёрные</w:t>
      </w:r>
      <w:r w:rsidRPr="00FB4EFA">
        <w:rPr>
          <w:rFonts w:ascii="OS Jeremy" w:hAnsi="OS Jeremy"/>
          <w:sz w:val="20"/>
          <w:szCs w:val="20"/>
          <w:lang w:val="fi-FI"/>
        </w:rPr>
        <w:t xml:space="preserve">, </w:t>
      </w:r>
      <w:r w:rsidRPr="00FB4EFA">
        <w:rPr>
          <w:rFonts w:ascii="OS Jeremy" w:hAnsi="OS Jeremy" w:cs="Cambria"/>
          <w:sz w:val="20"/>
          <w:szCs w:val="20"/>
          <w:lang w:val="fi-FI"/>
        </w:rPr>
        <w:t>хвостики</w:t>
      </w:r>
      <w:r w:rsidRPr="00FB4EFA">
        <w:rPr>
          <w:rFonts w:ascii="OS Jeremy" w:hAnsi="OS Jeremy"/>
          <w:sz w:val="20"/>
          <w:szCs w:val="20"/>
          <w:lang w:val="fi-FI"/>
        </w:rPr>
        <w:t xml:space="preserve"> </w:t>
      </w:r>
      <w:r w:rsidRPr="00FB4EFA">
        <w:rPr>
          <w:rFonts w:ascii="OS Jeremy" w:hAnsi="OS Jeremy" w:cs="Cambria"/>
          <w:sz w:val="20"/>
          <w:szCs w:val="20"/>
          <w:lang w:val="fi-FI"/>
        </w:rPr>
        <w:t>жёлтые</w:t>
      </w:r>
      <w:r w:rsidRPr="00FB4EFA">
        <w:rPr>
          <w:rFonts w:ascii="OS Jeremy" w:hAnsi="OS Jeremy"/>
          <w:sz w:val="20"/>
          <w:szCs w:val="20"/>
          <w:lang w:val="fi-FI"/>
        </w:rPr>
        <w:t xml:space="preserve">, </w:t>
      </w:r>
      <w:r w:rsidRPr="00FB4EFA">
        <w:rPr>
          <w:rFonts w:ascii="OS Jeremy" w:hAnsi="OS Jeremy" w:cs="Cambria"/>
          <w:sz w:val="20"/>
          <w:szCs w:val="20"/>
          <w:lang w:val="fi-FI"/>
        </w:rPr>
        <w:t>а</w:t>
      </w:r>
      <w:r w:rsidRPr="00FB4EFA">
        <w:rPr>
          <w:rFonts w:ascii="OS Jeremy" w:hAnsi="OS Jeremy"/>
          <w:sz w:val="20"/>
          <w:szCs w:val="20"/>
          <w:lang w:val="fi-FI"/>
        </w:rPr>
        <w:t xml:space="preserve"> </w:t>
      </w:r>
      <w:r w:rsidRPr="00FB4EFA">
        <w:rPr>
          <w:rFonts w:ascii="OS Jeremy" w:hAnsi="OS Jeremy" w:cs="Cambria"/>
          <w:sz w:val="20"/>
          <w:szCs w:val="20"/>
          <w:lang w:val="fi-FI"/>
        </w:rPr>
        <w:t>кончики</w:t>
      </w:r>
      <w:r w:rsidRPr="00FB4EFA">
        <w:rPr>
          <w:rFonts w:ascii="OS Jeremy" w:hAnsi="OS Jeremy"/>
          <w:sz w:val="20"/>
          <w:szCs w:val="20"/>
          <w:lang w:val="fi-FI"/>
        </w:rPr>
        <w:t xml:space="preserve"> </w:t>
      </w:r>
      <w:r w:rsidRPr="00FB4EFA">
        <w:rPr>
          <w:rFonts w:ascii="OS Jeremy" w:hAnsi="OS Jeremy" w:cs="Cambria"/>
          <w:sz w:val="20"/>
          <w:szCs w:val="20"/>
          <w:lang w:val="fi-FI"/>
        </w:rPr>
        <w:t>хвостов</w:t>
      </w:r>
      <w:r w:rsidRPr="00FB4EFA">
        <w:rPr>
          <w:rFonts w:ascii="OS Jeremy" w:hAnsi="OS Jeremy"/>
          <w:sz w:val="20"/>
          <w:szCs w:val="20"/>
          <w:lang w:val="fi-FI"/>
        </w:rPr>
        <w:t xml:space="preserve"> </w:t>
      </w:r>
      <w:r w:rsidRPr="00FB4EFA">
        <w:rPr>
          <w:rFonts w:ascii="OS Jeremy" w:hAnsi="OS Jeremy" w:cs="Cambria"/>
          <w:sz w:val="20"/>
          <w:szCs w:val="20"/>
          <w:lang w:val="fi-FI"/>
        </w:rPr>
        <w:t>белые</w:t>
      </w:r>
      <w:r w:rsidRPr="00FB4EFA">
        <w:rPr>
          <w:rFonts w:ascii="OS Jeremy" w:hAnsi="OS Jeremy"/>
          <w:sz w:val="20"/>
          <w:szCs w:val="20"/>
          <w:lang w:val="fi-FI"/>
        </w:rPr>
        <w:t xml:space="preserve">, </w:t>
      </w:r>
      <w:r w:rsidRPr="00FB4EFA">
        <w:rPr>
          <w:rFonts w:ascii="OS Jeremy" w:hAnsi="OS Jeremy" w:cs="Cambria"/>
          <w:sz w:val="20"/>
          <w:szCs w:val="20"/>
          <w:lang w:val="fi-FI"/>
        </w:rPr>
        <w:t>ножки</w:t>
      </w:r>
      <w:r w:rsidRPr="00FB4EFA">
        <w:rPr>
          <w:rFonts w:ascii="OS Jeremy" w:hAnsi="OS Jeremy"/>
          <w:sz w:val="20"/>
          <w:szCs w:val="20"/>
          <w:lang w:val="fi-FI"/>
        </w:rPr>
        <w:t xml:space="preserve"> </w:t>
      </w:r>
      <w:r w:rsidRPr="00FB4EFA">
        <w:rPr>
          <w:rFonts w:ascii="OS Jeremy" w:hAnsi="OS Jeremy" w:cs="Cambria"/>
          <w:sz w:val="20"/>
          <w:szCs w:val="20"/>
          <w:lang w:val="fi-FI"/>
        </w:rPr>
        <w:t>маленькие</w:t>
      </w:r>
      <w:r w:rsidRPr="00FB4EFA">
        <w:rPr>
          <w:rFonts w:ascii="OS Jeremy" w:hAnsi="OS Jeremy"/>
          <w:sz w:val="20"/>
          <w:szCs w:val="20"/>
          <w:lang w:val="fi-FI"/>
        </w:rPr>
        <w:t xml:space="preserve">, </w:t>
      </w:r>
      <w:r w:rsidRPr="00FB4EFA">
        <w:rPr>
          <w:rFonts w:ascii="OS Jeremy" w:hAnsi="OS Jeremy" w:cs="Cambria"/>
          <w:sz w:val="20"/>
          <w:szCs w:val="20"/>
          <w:lang w:val="fi-FI"/>
        </w:rPr>
        <w:t>коготки</w:t>
      </w:r>
      <w:r w:rsidRPr="00FB4EFA">
        <w:rPr>
          <w:rFonts w:ascii="OS Jeremy" w:hAnsi="OS Jeremy"/>
          <w:sz w:val="20"/>
          <w:szCs w:val="20"/>
          <w:lang w:val="fi-FI"/>
        </w:rPr>
        <w:t xml:space="preserve"> </w:t>
      </w:r>
      <w:r w:rsidRPr="00FB4EFA">
        <w:rPr>
          <w:rFonts w:ascii="OS Jeremy" w:hAnsi="OS Jeremy" w:cs="Cambria"/>
          <w:sz w:val="20"/>
          <w:szCs w:val="20"/>
          <w:lang w:val="fi-FI"/>
        </w:rPr>
        <w:t>тоненькие</w:t>
      </w:r>
      <w:r w:rsidRPr="00FB4EFA">
        <w:rPr>
          <w:rFonts w:ascii="OS Jeremy" w:hAnsi="OS Jeremy"/>
          <w:sz w:val="20"/>
          <w:szCs w:val="20"/>
          <w:lang w:val="fi-FI"/>
        </w:rPr>
        <w:t>. 4</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Смотрит</w:t>
      </w:r>
      <w:r w:rsidRPr="00FB4EFA">
        <w:rPr>
          <w:rFonts w:ascii="OS Jeremy" w:hAnsi="OS Jeremy"/>
          <w:sz w:val="20"/>
          <w:szCs w:val="20"/>
          <w:lang w:val="fi-FI"/>
        </w:rPr>
        <w:t xml:space="preserve"> </w:t>
      </w:r>
      <w:r w:rsidRPr="00FB4EFA">
        <w:rPr>
          <w:rFonts w:ascii="OS Jeremy" w:hAnsi="OS Jeremy" w:cs="Cambria"/>
          <w:sz w:val="20"/>
          <w:szCs w:val="20"/>
          <w:lang w:val="fi-FI"/>
        </w:rPr>
        <w:t>на</w:t>
      </w:r>
      <w:r w:rsidRPr="00FB4EFA">
        <w:rPr>
          <w:rFonts w:ascii="OS Jeremy" w:hAnsi="OS Jeremy"/>
          <w:sz w:val="20"/>
          <w:szCs w:val="20"/>
          <w:lang w:val="fi-FI"/>
        </w:rPr>
        <w:t xml:space="preserve"> </w:t>
      </w:r>
      <w:r w:rsidRPr="00FB4EFA">
        <w:rPr>
          <w:rFonts w:ascii="OS Jeremy" w:hAnsi="OS Jeremy" w:cs="Cambria"/>
          <w:sz w:val="20"/>
          <w:szCs w:val="20"/>
          <w:lang w:val="fi-FI"/>
        </w:rPr>
        <w:t>них</w:t>
      </w:r>
      <w:r w:rsidRPr="00FB4EFA">
        <w:rPr>
          <w:rFonts w:ascii="OS Jeremy" w:hAnsi="OS Jeremy"/>
          <w:sz w:val="20"/>
          <w:szCs w:val="20"/>
          <w:lang w:val="fi-FI"/>
        </w:rPr>
        <w:t xml:space="preserve"> </w:t>
      </w:r>
      <w:r w:rsidRPr="00FB4EFA">
        <w:rPr>
          <w:rFonts w:ascii="OS Jeremy" w:hAnsi="OS Jeremy" w:cs="Cambria"/>
          <w:sz w:val="20"/>
          <w:szCs w:val="20"/>
          <w:lang w:val="fi-FI"/>
        </w:rPr>
        <w:t>лисичка</w:t>
      </w:r>
      <w:r w:rsidRPr="00FB4EFA">
        <w:rPr>
          <w:rFonts w:ascii="OS Jeremy" w:hAnsi="OS Jeremy"/>
          <w:sz w:val="20"/>
          <w:szCs w:val="20"/>
          <w:lang w:val="fi-FI"/>
        </w:rPr>
        <w:t xml:space="preserve">, </w:t>
      </w:r>
      <w:r w:rsidRPr="00FB4EFA">
        <w:rPr>
          <w:rFonts w:ascii="OS Jeremy" w:hAnsi="OS Jeremy" w:cs="Cambria"/>
          <w:sz w:val="20"/>
          <w:szCs w:val="20"/>
          <w:lang w:val="fi-FI"/>
        </w:rPr>
        <w:t>и</w:t>
      </w:r>
      <w:r w:rsidRPr="00FB4EFA">
        <w:rPr>
          <w:rFonts w:ascii="OS Jeremy" w:hAnsi="OS Jeremy"/>
          <w:sz w:val="20"/>
          <w:szCs w:val="20"/>
          <w:lang w:val="fi-FI"/>
        </w:rPr>
        <w:t xml:space="preserve"> </w:t>
      </w:r>
      <w:r w:rsidRPr="00FB4EFA">
        <w:rPr>
          <w:rFonts w:ascii="OS Jeremy" w:hAnsi="OS Jeremy" w:cs="Cambria"/>
          <w:sz w:val="20"/>
          <w:szCs w:val="20"/>
          <w:lang w:val="fi-FI"/>
        </w:rPr>
        <w:t>у</w:t>
      </w:r>
      <w:r w:rsidRPr="00FB4EFA">
        <w:rPr>
          <w:rFonts w:ascii="OS Jeremy" w:hAnsi="OS Jeremy"/>
          <w:sz w:val="20"/>
          <w:szCs w:val="20"/>
          <w:lang w:val="fi-FI"/>
        </w:rPr>
        <w:t xml:space="preserve"> </w:t>
      </w:r>
      <w:r w:rsidRPr="00FB4EFA">
        <w:rPr>
          <w:rFonts w:ascii="OS Jeremy" w:hAnsi="OS Jeremy" w:cs="Cambria"/>
          <w:sz w:val="20"/>
          <w:szCs w:val="20"/>
          <w:lang w:val="fi-FI"/>
        </w:rPr>
        <w:t>неё</w:t>
      </w:r>
      <w:r w:rsidRPr="00FB4EFA">
        <w:rPr>
          <w:rFonts w:ascii="OS Jeremy" w:hAnsi="OS Jeremy"/>
          <w:sz w:val="20"/>
          <w:szCs w:val="20"/>
          <w:lang w:val="fi-FI"/>
        </w:rPr>
        <w:t xml:space="preserve"> </w:t>
      </w:r>
      <w:r w:rsidRPr="00FB4EFA">
        <w:rPr>
          <w:rFonts w:ascii="OS Jeremy" w:hAnsi="OS Jeremy" w:cs="Cambria"/>
          <w:sz w:val="20"/>
          <w:szCs w:val="20"/>
          <w:lang w:val="fi-FI"/>
        </w:rPr>
        <w:t>сердце</w:t>
      </w:r>
      <w:r w:rsidRPr="00FB4EFA">
        <w:rPr>
          <w:rFonts w:ascii="OS Jeremy" w:hAnsi="OS Jeremy"/>
          <w:sz w:val="20"/>
          <w:szCs w:val="20"/>
          <w:lang w:val="fi-FI"/>
        </w:rPr>
        <w:t xml:space="preserve"> </w:t>
      </w:r>
      <w:r w:rsidRPr="00FB4EFA">
        <w:rPr>
          <w:rFonts w:ascii="OS Jeremy" w:hAnsi="OS Jeremy" w:cs="Cambria"/>
          <w:sz w:val="20"/>
          <w:szCs w:val="20"/>
          <w:lang w:val="fi-FI"/>
        </w:rPr>
        <w:t>радуется</w:t>
      </w:r>
      <w:r w:rsidRPr="00FB4EFA">
        <w:rPr>
          <w:rFonts w:ascii="OS Jeremy" w:hAnsi="OS Jeremy"/>
          <w:sz w:val="20"/>
          <w:szCs w:val="20"/>
          <w:lang w:val="fi-FI"/>
        </w:rPr>
        <w:t>. 5</w:t>
      </w:r>
      <w:r w:rsidR="00545033" w:rsidRPr="00FB4EFA">
        <w:rPr>
          <w:rFonts w:ascii="OS Jeremy" w:hAnsi="OS Jeremy"/>
          <w:sz w:val="20"/>
          <w:szCs w:val="20"/>
          <w:lang w:val="fi-FI"/>
        </w:rPr>
        <w:t>.</w:t>
      </w:r>
      <w:r w:rsidRPr="00FB4EFA">
        <w:rPr>
          <w:rFonts w:ascii="OS Jeremy" w:hAnsi="OS Jeremy"/>
          <w:sz w:val="20"/>
          <w:szCs w:val="20"/>
          <w:lang w:val="fi-FI"/>
        </w:rPr>
        <w:t xml:space="preserve"> </w:t>
      </w:r>
      <w:r w:rsidRPr="00FB4EFA">
        <w:rPr>
          <w:rFonts w:ascii="OS Jeremy" w:hAnsi="OS Jeremy" w:cs="Cambria"/>
          <w:sz w:val="20"/>
          <w:szCs w:val="20"/>
          <w:lang w:val="fi-FI"/>
        </w:rPr>
        <w:t>И</w:t>
      </w:r>
      <w:r w:rsidRPr="00FB4EFA">
        <w:rPr>
          <w:rFonts w:ascii="OS Jeremy" w:hAnsi="OS Jeremy"/>
          <w:sz w:val="20"/>
          <w:szCs w:val="20"/>
          <w:lang w:val="fi-FI"/>
        </w:rPr>
        <w:t xml:space="preserve"> </w:t>
      </w:r>
      <w:r w:rsidRPr="00FB4EFA">
        <w:rPr>
          <w:rFonts w:ascii="OS Jeremy" w:hAnsi="OS Jeremy" w:cs="Cambria"/>
          <w:sz w:val="20"/>
          <w:szCs w:val="20"/>
          <w:lang w:val="fi-FI"/>
        </w:rPr>
        <w:t>решила</w:t>
      </w:r>
      <w:r w:rsidRPr="00FB4EFA">
        <w:rPr>
          <w:rFonts w:ascii="OS Jeremy" w:hAnsi="OS Jeremy"/>
          <w:sz w:val="20"/>
          <w:szCs w:val="20"/>
          <w:lang w:val="fi-FI"/>
        </w:rPr>
        <w:t xml:space="preserve"> </w:t>
      </w:r>
      <w:r w:rsidRPr="00FB4EFA">
        <w:rPr>
          <w:rFonts w:ascii="OS Jeremy" w:hAnsi="OS Jeremy" w:cs="Cambria"/>
          <w:sz w:val="20"/>
          <w:szCs w:val="20"/>
          <w:lang w:val="fi-FI"/>
        </w:rPr>
        <w:t>лиса</w:t>
      </w:r>
      <w:r w:rsidRPr="00FB4EFA">
        <w:rPr>
          <w:rFonts w:ascii="OS Jeremy" w:hAnsi="OS Jeremy"/>
          <w:sz w:val="20"/>
          <w:szCs w:val="20"/>
          <w:lang w:val="fi-FI"/>
        </w:rPr>
        <w:t xml:space="preserve"> </w:t>
      </w:r>
      <w:r w:rsidRPr="00FB4EFA">
        <w:rPr>
          <w:rFonts w:ascii="OS Jeremy" w:hAnsi="OS Jeremy" w:cs="Cambria"/>
          <w:sz w:val="20"/>
          <w:szCs w:val="20"/>
          <w:lang w:val="fi-FI"/>
        </w:rPr>
        <w:t>показать</w:t>
      </w:r>
      <w:r w:rsidRPr="00FB4EFA">
        <w:rPr>
          <w:rFonts w:ascii="OS Jeremy" w:hAnsi="OS Jeremy"/>
          <w:sz w:val="20"/>
          <w:szCs w:val="20"/>
          <w:lang w:val="fi-FI"/>
        </w:rPr>
        <w:t xml:space="preserve"> </w:t>
      </w:r>
      <w:r w:rsidRPr="00FB4EFA">
        <w:rPr>
          <w:rFonts w:ascii="OS Jeremy" w:hAnsi="OS Jeremy" w:cs="Cambria"/>
          <w:sz w:val="20"/>
          <w:szCs w:val="20"/>
          <w:lang w:val="fi-FI"/>
        </w:rPr>
        <w:t>своих</w:t>
      </w:r>
      <w:r w:rsidRPr="00FB4EFA">
        <w:rPr>
          <w:rFonts w:ascii="OS Jeremy" w:hAnsi="OS Jeremy"/>
          <w:sz w:val="20"/>
          <w:szCs w:val="20"/>
          <w:lang w:val="fi-FI"/>
        </w:rPr>
        <w:t xml:space="preserve"> </w:t>
      </w:r>
      <w:r w:rsidRPr="00FB4EFA">
        <w:rPr>
          <w:rFonts w:ascii="OS Jeremy" w:hAnsi="OS Jeremy" w:cs="Cambria"/>
          <w:sz w:val="20"/>
          <w:szCs w:val="20"/>
          <w:lang w:val="fi-FI"/>
        </w:rPr>
        <w:t>детей</w:t>
      </w:r>
      <w:r w:rsidRPr="00FB4EFA">
        <w:rPr>
          <w:rFonts w:ascii="OS Jeremy" w:hAnsi="OS Jeremy"/>
          <w:sz w:val="20"/>
          <w:szCs w:val="20"/>
          <w:lang w:val="fi-FI"/>
        </w:rPr>
        <w:t xml:space="preserve"> </w:t>
      </w:r>
      <w:r w:rsidRPr="00FB4EFA">
        <w:rPr>
          <w:rFonts w:ascii="OS Jeremy" w:hAnsi="OS Jeremy" w:cs="Cambria"/>
          <w:sz w:val="20"/>
          <w:szCs w:val="20"/>
          <w:lang w:val="fi-FI"/>
        </w:rPr>
        <w:t>всем</w:t>
      </w:r>
      <w:r w:rsidRPr="00FB4EFA">
        <w:rPr>
          <w:rFonts w:ascii="OS Jeremy" w:hAnsi="OS Jeremy"/>
          <w:sz w:val="20"/>
          <w:szCs w:val="20"/>
          <w:lang w:val="fi-FI"/>
        </w:rPr>
        <w:t xml:space="preserve"> </w:t>
      </w:r>
      <w:r w:rsidRPr="00FB4EFA">
        <w:rPr>
          <w:rFonts w:ascii="OS Jeremy" w:hAnsi="OS Jeremy" w:cs="Cambria"/>
          <w:sz w:val="20"/>
          <w:szCs w:val="20"/>
          <w:lang w:val="fi-FI"/>
        </w:rPr>
        <w:t>жителям</w:t>
      </w:r>
      <w:r w:rsidRPr="00FB4EFA">
        <w:rPr>
          <w:rFonts w:ascii="OS Jeremy" w:hAnsi="OS Jeremy"/>
          <w:sz w:val="20"/>
          <w:szCs w:val="20"/>
          <w:lang w:val="fi-FI"/>
        </w:rPr>
        <w:t xml:space="preserve"> </w:t>
      </w:r>
      <w:r w:rsidRPr="00FB4EFA">
        <w:rPr>
          <w:rFonts w:ascii="OS Jeremy" w:hAnsi="OS Jeremy" w:cs="Cambria"/>
          <w:sz w:val="20"/>
          <w:szCs w:val="20"/>
          <w:lang w:val="fi-FI"/>
        </w:rPr>
        <w:t>полей</w:t>
      </w:r>
      <w:r w:rsidRPr="00FB4EFA">
        <w:rPr>
          <w:rFonts w:ascii="OS Jeremy" w:hAnsi="OS Jeremy"/>
          <w:sz w:val="20"/>
          <w:szCs w:val="20"/>
          <w:lang w:val="fi-FI"/>
        </w:rPr>
        <w:t xml:space="preserve"> </w:t>
      </w:r>
      <w:r w:rsidRPr="00FB4EFA">
        <w:rPr>
          <w:rFonts w:ascii="OS Jeremy" w:hAnsi="OS Jeremy" w:cs="Cambria"/>
          <w:sz w:val="20"/>
          <w:szCs w:val="20"/>
          <w:lang w:val="fi-FI"/>
        </w:rPr>
        <w:t>и</w:t>
      </w:r>
      <w:r w:rsidRPr="00FB4EFA">
        <w:rPr>
          <w:rFonts w:ascii="OS Jeremy" w:hAnsi="OS Jeremy"/>
          <w:sz w:val="20"/>
          <w:szCs w:val="20"/>
          <w:lang w:val="fi-FI"/>
        </w:rPr>
        <w:t xml:space="preserve"> </w:t>
      </w:r>
      <w:r w:rsidRPr="00FB4EFA">
        <w:rPr>
          <w:rFonts w:ascii="OS Jeremy" w:hAnsi="OS Jeremy" w:cs="Cambria"/>
          <w:sz w:val="20"/>
          <w:szCs w:val="20"/>
          <w:lang w:val="fi-FI"/>
        </w:rPr>
        <w:t>лесов</w:t>
      </w:r>
      <w:r w:rsidRPr="00FB4EFA">
        <w:rPr>
          <w:rFonts w:ascii="OS Jeremy" w:hAnsi="OS Jeremy"/>
          <w:sz w:val="20"/>
          <w:szCs w:val="20"/>
          <w:lang w:val="fi-FI"/>
        </w:rPr>
        <w:t>.</w:t>
      </w:r>
    </w:p>
    <w:p w14:paraId="0D361181" w14:textId="312C9F04" w:rsidR="00EF1775" w:rsidRPr="00FB4EFA" w:rsidRDefault="00EF1775" w:rsidP="00065E48">
      <w:pPr>
        <w:suppressAutoHyphens/>
        <w:spacing w:before="240" w:line="240" w:lineRule="auto"/>
        <w:ind w:left="709"/>
        <w:rPr>
          <w:rFonts w:ascii="OS Jeremy" w:hAnsi="OS Jeremy"/>
          <w:sz w:val="20"/>
          <w:szCs w:val="20"/>
          <w:lang w:val="fi-FI"/>
        </w:rPr>
      </w:pPr>
      <w:r w:rsidRPr="00FB4EFA">
        <w:rPr>
          <w:rFonts w:ascii="OS Jeremy" w:hAnsi="OS Jeremy"/>
          <w:sz w:val="20"/>
          <w:szCs w:val="20"/>
          <w:lang w:val="fi-FI"/>
        </w:rPr>
        <w:t xml:space="preserve">1. </w:t>
      </w:r>
      <w:r w:rsidRPr="00FB4EFA">
        <w:rPr>
          <w:rFonts w:ascii="OS Jeremy" w:hAnsi="OS Jeremy" w:cs="Cambria"/>
          <w:sz w:val="20"/>
          <w:szCs w:val="20"/>
          <w:lang w:val="fi-FI"/>
        </w:rPr>
        <w:t>Знайшла</w:t>
      </w:r>
      <w:r w:rsidRPr="00FB4EFA">
        <w:rPr>
          <w:rFonts w:ascii="OS Jeremy" w:hAnsi="OS Jeremy"/>
          <w:sz w:val="20"/>
          <w:szCs w:val="20"/>
          <w:lang w:val="fi-FI"/>
        </w:rPr>
        <w:t xml:space="preserve"> </w:t>
      </w:r>
      <w:r w:rsidRPr="00FB4EFA">
        <w:rPr>
          <w:rFonts w:ascii="OS Jeremy" w:hAnsi="OS Jeremy" w:cs="Cambria"/>
          <w:sz w:val="20"/>
          <w:szCs w:val="20"/>
          <w:lang w:val="fi-FI"/>
        </w:rPr>
        <w:t>лисиця</w:t>
      </w:r>
      <w:r w:rsidRPr="00FB4EFA">
        <w:rPr>
          <w:rFonts w:ascii="OS Jeremy" w:hAnsi="OS Jeremy"/>
          <w:sz w:val="20"/>
          <w:szCs w:val="20"/>
          <w:lang w:val="fi-FI"/>
        </w:rPr>
        <w:t xml:space="preserve"> </w:t>
      </w:r>
      <w:r w:rsidRPr="00FB4EFA">
        <w:rPr>
          <w:rFonts w:ascii="OS Jeremy" w:hAnsi="OS Jeremy" w:cs="Cambria"/>
          <w:sz w:val="20"/>
          <w:szCs w:val="20"/>
          <w:lang w:val="fi-FI"/>
        </w:rPr>
        <w:t>дупло</w:t>
      </w:r>
      <w:r w:rsidRPr="00FB4EFA">
        <w:rPr>
          <w:rFonts w:ascii="OS Jeremy" w:hAnsi="OS Jeremy"/>
          <w:sz w:val="20"/>
          <w:szCs w:val="20"/>
          <w:lang w:val="fi-FI"/>
        </w:rPr>
        <w:t xml:space="preserve"> </w:t>
      </w:r>
      <w:r w:rsidRPr="00FB4EFA">
        <w:rPr>
          <w:rFonts w:ascii="OS Jeremy" w:hAnsi="OS Jeremy" w:cs="Cambria"/>
          <w:sz w:val="20"/>
          <w:szCs w:val="20"/>
          <w:lang w:val="fi-FI"/>
        </w:rPr>
        <w:t>під</w:t>
      </w:r>
      <w:r w:rsidRPr="00FB4EFA">
        <w:rPr>
          <w:rFonts w:ascii="OS Jeremy" w:hAnsi="OS Jeremy"/>
          <w:sz w:val="20"/>
          <w:szCs w:val="20"/>
          <w:lang w:val="fi-FI"/>
        </w:rPr>
        <w:t xml:space="preserve"> </w:t>
      </w:r>
      <w:r w:rsidRPr="00FB4EFA">
        <w:rPr>
          <w:rFonts w:ascii="OS Jeremy" w:hAnsi="OS Jeremy" w:cs="Cambria"/>
          <w:sz w:val="20"/>
          <w:szCs w:val="20"/>
          <w:lang w:val="fi-FI"/>
        </w:rPr>
        <w:t>товстим</w:t>
      </w:r>
      <w:r w:rsidRPr="00FB4EFA">
        <w:rPr>
          <w:rFonts w:ascii="OS Jeremy" w:hAnsi="OS Jeremy"/>
          <w:sz w:val="20"/>
          <w:szCs w:val="20"/>
          <w:lang w:val="fi-FI"/>
        </w:rPr>
        <w:t xml:space="preserve"> </w:t>
      </w:r>
      <w:r w:rsidRPr="00FB4EFA">
        <w:rPr>
          <w:rFonts w:ascii="OS Jeremy" w:hAnsi="OS Jeremy" w:cs="Cambria"/>
          <w:sz w:val="20"/>
          <w:szCs w:val="20"/>
          <w:lang w:val="fi-FI"/>
        </w:rPr>
        <w:t>в</w:t>
      </w:r>
      <w:r w:rsidRPr="00FB4EFA">
        <w:rPr>
          <w:rFonts w:ascii="OS Jeremy" w:hAnsi="OS Jeremy"/>
          <w:sz w:val="20"/>
          <w:szCs w:val="20"/>
          <w:lang w:val="fi-FI"/>
        </w:rPr>
        <w:t>'</w:t>
      </w:r>
      <w:r w:rsidRPr="00FB4EFA">
        <w:rPr>
          <w:rFonts w:ascii="OS Jeremy" w:hAnsi="OS Jeremy" w:cs="Cambria"/>
          <w:sz w:val="20"/>
          <w:szCs w:val="20"/>
          <w:lang w:val="fi-FI"/>
        </w:rPr>
        <w:t>язом</w:t>
      </w:r>
      <w:r w:rsidRPr="00FB4EFA">
        <w:rPr>
          <w:rFonts w:ascii="OS Jeremy" w:hAnsi="OS Jeremy"/>
          <w:sz w:val="20"/>
          <w:szCs w:val="20"/>
          <w:lang w:val="fi-FI"/>
        </w:rPr>
        <w:t xml:space="preserve">, </w:t>
      </w:r>
      <w:r w:rsidRPr="00FB4EFA">
        <w:rPr>
          <w:rFonts w:ascii="OS Jeremy" w:hAnsi="OS Jeremy" w:cs="Cambria"/>
          <w:sz w:val="20"/>
          <w:szCs w:val="20"/>
          <w:lang w:val="fi-FI"/>
        </w:rPr>
        <w:t>викопала</w:t>
      </w:r>
      <w:r w:rsidRPr="00FB4EFA">
        <w:rPr>
          <w:rFonts w:ascii="OS Jeremy" w:hAnsi="OS Jeremy"/>
          <w:sz w:val="20"/>
          <w:szCs w:val="20"/>
          <w:lang w:val="fi-FI"/>
        </w:rPr>
        <w:t xml:space="preserve"> </w:t>
      </w:r>
      <w:r w:rsidRPr="00FB4EFA">
        <w:rPr>
          <w:rFonts w:ascii="OS Jeremy" w:hAnsi="OS Jeremy" w:cs="Cambria"/>
          <w:sz w:val="20"/>
          <w:szCs w:val="20"/>
          <w:lang w:val="fi-FI"/>
        </w:rPr>
        <w:t>в</w:t>
      </w:r>
      <w:r w:rsidRPr="00FB4EFA">
        <w:rPr>
          <w:rFonts w:ascii="OS Jeremy" w:hAnsi="OS Jeremy"/>
          <w:sz w:val="20"/>
          <w:szCs w:val="20"/>
          <w:lang w:val="fi-FI"/>
        </w:rPr>
        <w:t xml:space="preserve"> </w:t>
      </w:r>
      <w:r w:rsidRPr="00FB4EFA">
        <w:rPr>
          <w:rFonts w:ascii="OS Jeremy" w:hAnsi="OS Jeremy" w:cs="Cambria"/>
          <w:sz w:val="20"/>
          <w:szCs w:val="20"/>
          <w:lang w:val="fi-FI"/>
        </w:rPr>
        <w:t>землі</w:t>
      </w:r>
      <w:r w:rsidRPr="00FB4EFA">
        <w:rPr>
          <w:rFonts w:ascii="OS Jeremy" w:hAnsi="OS Jeremy"/>
          <w:sz w:val="20"/>
          <w:szCs w:val="20"/>
          <w:lang w:val="fi-FI"/>
        </w:rPr>
        <w:t xml:space="preserve"> </w:t>
      </w:r>
      <w:r w:rsidRPr="00FB4EFA">
        <w:rPr>
          <w:rFonts w:ascii="OS Jeremy" w:hAnsi="OS Jeremy" w:cs="Cambria"/>
          <w:sz w:val="20"/>
          <w:szCs w:val="20"/>
          <w:lang w:val="fi-FI"/>
        </w:rPr>
        <w:t>ямку</w:t>
      </w:r>
      <w:r w:rsidRPr="00FB4EFA">
        <w:rPr>
          <w:rFonts w:ascii="OS Jeremy" w:hAnsi="OS Jeremy"/>
          <w:sz w:val="20"/>
          <w:szCs w:val="20"/>
          <w:lang w:val="fi-FI"/>
        </w:rPr>
        <w:t xml:space="preserve"> </w:t>
      </w:r>
      <w:r w:rsidRPr="00FB4EFA">
        <w:rPr>
          <w:rFonts w:ascii="OS Jeremy" w:hAnsi="OS Jeremy" w:cs="Cambria"/>
          <w:sz w:val="20"/>
          <w:szCs w:val="20"/>
          <w:lang w:val="fi-FI"/>
        </w:rPr>
        <w:t>і</w:t>
      </w:r>
      <w:r w:rsidRPr="00FB4EFA">
        <w:rPr>
          <w:rFonts w:ascii="OS Jeremy" w:hAnsi="OS Jeremy"/>
          <w:sz w:val="20"/>
          <w:szCs w:val="20"/>
          <w:lang w:val="fi-FI"/>
        </w:rPr>
        <w:t xml:space="preserve"> </w:t>
      </w:r>
      <w:r w:rsidRPr="00FB4EFA">
        <w:rPr>
          <w:rFonts w:ascii="OS Jeremy" w:hAnsi="OS Jeremy" w:cs="Cambria"/>
          <w:sz w:val="20"/>
          <w:szCs w:val="20"/>
          <w:lang w:val="fi-FI"/>
        </w:rPr>
        <w:t>влаштувала</w:t>
      </w:r>
      <w:r w:rsidRPr="00FB4EFA">
        <w:rPr>
          <w:rFonts w:ascii="OS Jeremy" w:hAnsi="OS Jeremy"/>
          <w:sz w:val="20"/>
          <w:szCs w:val="20"/>
          <w:lang w:val="fi-FI"/>
        </w:rPr>
        <w:t xml:space="preserve"> </w:t>
      </w:r>
      <w:r w:rsidRPr="00FB4EFA">
        <w:rPr>
          <w:rFonts w:ascii="OS Jeremy" w:hAnsi="OS Jeremy" w:cs="Cambria"/>
          <w:sz w:val="20"/>
          <w:szCs w:val="20"/>
          <w:lang w:val="fi-FI"/>
        </w:rPr>
        <w:t>собі</w:t>
      </w:r>
      <w:r w:rsidRPr="00FB4EFA">
        <w:rPr>
          <w:rFonts w:ascii="OS Jeremy" w:hAnsi="OS Jeremy"/>
          <w:sz w:val="20"/>
          <w:szCs w:val="20"/>
          <w:lang w:val="fi-FI"/>
        </w:rPr>
        <w:t xml:space="preserve"> </w:t>
      </w:r>
      <w:r w:rsidRPr="00FB4EFA">
        <w:rPr>
          <w:rFonts w:ascii="OS Jeremy" w:hAnsi="OS Jeremy" w:cs="Cambria"/>
          <w:sz w:val="20"/>
          <w:szCs w:val="20"/>
          <w:lang w:val="fi-FI"/>
        </w:rPr>
        <w:t>гніздо</w:t>
      </w:r>
      <w:r w:rsidRPr="00FB4EFA">
        <w:rPr>
          <w:rFonts w:ascii="OS Jeremy" w:hAnsi="OS Jeremy"/>
          <w:sz w:val="20"/>
          <w:szCs w:val="20"/>
          <w:lang w:val="fi-FI"/>
        </w:rPr>
        <w:t xml:space="preserve">. 2. </w:t>
      </w:r>
      <w:r w:rsidRPr="00FB4EFA">
        <w:rPr>
          <w:rFonts w:ascii="OS Jeremy" w:hAnsi="OS Jeremy" w:cs="Cambria"/>
          <w:sz w:val="20"/>
          <w:szCs w:val="20"/>
          <w:lang w:val="fi-FI"/>
        </w:rPr>
        <w:t>Сонячного</w:t>
      </w:r>
      <w:r w:rsidRPr="00FB4EFA">
        <w:rPr>
          <w:rFonts w:ascii="OS Jeremy" w:hAnsi="OS Jeremy"/>
          <w:sz w:val="20"/>
          <w:szCs w:val="20"/>
          <w:lang w:val="fi-FI"/>
        </w:rPr>
        <w:t xml:space="preserve"> </w:t>
      </w:r>
      <w:r w:rsidRPr="00FB4EFA">
        <w:rPr>
          <w:rFonts w:ascii="OS Jeremy" w:hAnsi="OS Jeremy" w:cs="Cambria"/>
          <w:sz w:val="20"/>
          <w:szCs w:val="20"/>
          <w:lang w:val="fi-FI"/>
        </w:rPr>
        <w:t>літнього</w:t>
      </w:r>
      <w:r w:rsidRPr="00FB4EFA">
        <w:rPr>
          <w:rFonts w:ascii="OS Jeremy" w:hAnsi="OS Jeremy"/>
          <w:sz w:val="20"/>
          <w:szCs w:val="20"/>
          <w:lang w:val="fi-FI"/>
        </w:rPr>
        <w:t xml:space="preserve"> </w:t>
      </w:r>
      <w:r w:rsidRPr="00FB4EFA">
        <w:rPr>
          <w:rFonts w:ascii="OS Jeremy" w:hAnsi="OS Jeremy" w:cs="Cambria"/>
          <w:sz w:val="20"/>
          <w:szCs w:val="20"/>
          <w:lang w:val="fi-FI"/>
        </w:rPr>
        <w:t>дня</w:t>
      </w:r>
      <w:r w:rsidRPr="00FB4EFA">
        <w:rPr>
          <w:rFonts w:ascii="OS Jeremy" w:hAnsi="OS Jeremy"/>
          <w:sz w:val="20"/>
          <w:szCs w:val="20"/>
          <w:lang w:val="fi-FI"/>
        </w:rPr>
        <w:t xml:space="preserve"> </w:t>
      </w:r>
      <w:r w:rsidRPr="00FB4EFA">
        <w:rPr>
          <w:rFonts w:ascii="OS Jeremy" w:hAnsi="OS Jeremy" w:cs="Cambria"/>
          <w:sz w:val="20"/>
          <w:szCs w:val="20"/>
          <w:lang w:val="fi-FI"/>
        </w:rPr>
        <w:t>народилось</w:t>
      </w:r>
      <w:r w:rsidRPr="00FB4EFA">
        <w:rPr>
          <w:rFonts w:ascii="OS Jeremy" w:hAnsi="OS Jeremy"/>
          <w:sz w:val="20"/>
          <w:szCs w:val="20"/>
          <w:lang w:val="fi-FI"/>
        </w:rPr>
        <w:t xml:space="preserve"> </w:t>
      </w:r>
      <w:r w:rsidRPr="00FB4EFA">
        <w:rPr>
          <w:rFonts w:ascii="OS Jeremy" w:hAnsi="OS Jeremy" w:cs="Cambria"/>
          <w:sz w:val="20"/>
          <w:szCs w:val="20"/>
          <w:lang w:val="fi-FI"/>
        </w:rPr>
        <w:t>у</w:t>
      </w:r>
      <w:r w:rsidRPr="00FB4EFA">
        <w:rPr>
          <w:rFonts w:ascii="OS Jeremy" w:hAnsi="OS Jeremy"/>
          <w:sz w:val="20"/>
          <w:szCs w:val="20"/>
          <w:lang w:val="fi-FI"/>
        </w:rPr>
        <w:t xml:space="preserve"> </w:t>
      </w:r>
      <w:r w:rsidRPr="00FB4EFA">
        <w:rPr>
          <w:rFonts w:ascii="OS Jeremy" w:hAnsi="OS Jeremy" w:cs="Cambria"/>
          <w:sz w:val="20"/>
          <w:szCs w:val="20"/>
          <w:lang w:val="fi-FI"/>
        </w:rPr>
        <w:t>неї</w:t>
      </w:r>
      <w:r w:rsidRPr="00FB4EFA">
        <w:rPr>
          <w:rFonts w:ascii="OS Jeremy" w:hAnsi="OS Jeremy"/>
          <w:sz w:val="20"/>
          <w:szCs w:val="20"/>
          <w:lang w:val="fi-FI"/>
        </w:rPr>
        <w:t xml:space="preserve"> </w:t>
      </w:r>
      <w:r w:rsidRPr="00FB4EFA">
        <w:rPr>
          <w:rFonts w:ascii="OS Jeremy" w:hAnsi="OS Jeremy" w:cs="Cambria"/>
          <w:sz w:val="20"/>
          <w:szCs w:val="20"/>
          <w:lang w:val="fi-FI"/>
        </w:rPr>
        <w:t>четверо</w:t>
      </w:r>
      <w:r w:rsidRPr="00FB4EFA">
        <w:rPr>
          <w:rFonts w:ascii="OS Jeremy" w:hAnsi="OS Jeremy"/>
          <w:sz w:val="20"/>
          <w:szCs w:val="20"/>
          <w:lang w:val="fi-FI"/>
        </w:rPr>
        <w:t xml:space="preserve"> </w:t>
      </w:r>
      <w:r w:rsidRPr="00FB4EFA">
        <w:rPr>
          <w:rFonts w:ascii="OS Jeremy" w:hAnsi="OS Jeremy" w:cs="Cambria"/>
          <w:sz w:val="20"/>
          <w:szCs w:val="20"/>
          <w:lang w:val="fi-FI"/>
        </w:rPr>
        <w:t>лисенят</w:t>
      </w:r>
      <w:r w:rsidRPr="00FB4EFA">
        <w:rPr>
          <w:rFonts w:ascii="OS Jeremy" w:hAnsi="OS Jeremy"/>
          <w:sz w:val="20"/>
          <w:szCs w:val="20"/>
          <w:lang w:val="fi-FI"/>
        </w:rPr>
        <w:t xml:space="preserve">. 3. </w:t>
      </w:r>
      <w:r w:rsidRPr="00FB4EFA">
        <w:rPr>
          <w:rFonts w:ascii="OS Jeremy" w:hAnsi="OS Jeremy" w:cs="Cambria"/>
          <w:sz w:val="20"/>
          <w:szCs w:val="20"/>
          <w:lang w:val="fi-FI"/>
        </w:rPr>
        <w:t>Вони</w:t>
      </w:r>
      <w:r w:rsidRPr="00FB4EFA">
        <w:rPr>
          <w:rFonts w:ascii="OS Jeremy" w:hAnsi="OS Jeremy"/>
          <w:sz w:val="20"/>
          <w:szCs w:val="20"/>
          <w:lang w:val="fi-FI"/>
        </w:rPr>
        <w:t xml:space="preserve"> </w:t>
      </w:r>
      <w:r w:rsidRPr="00FB4EFA">
        <w:rPr>
          <w:rFonts w:ascii="OS Jeremy" w:hAnsi="OS Jeremy" w:cs="Cambria"/>
          <w:sz w:val="20"/>
          <w:szCs w:val="20"/>
          <w:lang w:val="fi-FI"/>
        </w:rPr>
        <w:t>такі</w:t>
      </w:r>
      <w:r w:rsidRPr="00FB4EFA">
        <w:rPr>
          <w:rFonts w:ascii="OS Jeremy" w:hAnsi="OS Jeremy"/>
          <w:sz w:val="20"/>
          <w:szCs w:val="20"/>
          <w:lang w:val="fi-FI"/>
        </w:rPr>
        <w:t xml:space="preserve"> </w:t>
      </w:r>
      <w:r w:rsidRPr="00FB4EFA">
        <w:rPr>
          <w:rFonts w:ascii="OS Jeremy" w:hAnsi="OS Jeremy" w:cs="Cambria"/>
          <w:sz w:val="20"/>
          <w:szCs w:val="20"/>
          <w:lang w:val="fi-FI"/>
        </w:rPr>
        <w:t>гарні</w:t>
      </w:r>
      <w:r w:rsidRPr="00FB4EFA">
        <w:rPr>
          <w:rFonts w:ascii="OS Jeremy" w:hAnsi="OS Jeremy"/>
          <w:sz w:val="20"/>
          <w:szCs w:val="20"/>
          <w:lang w:val="fi-FI"/>
        </w:rPr>
        <w:t xml:space="preserve">: </w:t>
      </w:r>
      <w:r w:rsidRPr="00FB4EFA">
        <w:rPr>
          <w:rFonts w:ascii="OS Jeremy" w:hAnsi="OS Jeremy" w:cs="Cambria"/>
          <w:sz w:val="20"/>
          <w:szCs w:val="20"/>
          <w:lang w:val="fi-FI"/>
        </w:rPr>
        <w:t>вушка</w:t>
      </w:r>
      <w:r w:rsidRPr="00FB4EFA">
        <w:rPr>
          <w:rFonts w:ascii="OS Jeremy" w:hAnsi="OS Jeremy"/>
          <w:sz w:val="20"/>
          <w:szCs w:val="20"/>
          <w:lang w:val="fi-FI"/>
        </w:rPr>
        <w:t xml:space="preserve"> </w:t>
      </w:r>
      <w:r w:rsidRPr="00FB4EFA">
        <w:rPr>
          <w:rFonts w:ascii="OS Jeremy" w:hAnsi="OS Jeremy" w:cs="Cambria"/>
          <w:sz w:val="20"/>
          <w:szCs w:val="20"/>
          <w:lang w:val="fi-FI"/>
        </w:rPr>
        <w:t>в</w:t>
      </w:r>
      <w:r w:rsidRPr="00FB4EFA">
        <w:rPr>
          <w:rFonts w:ascii="OS Jeremy" w:hAnsi="OS Jeremy"/>
          <w:sz w:val="20"/>
          <w:szCs w:val="20"/>
          <w:lang w:val="fi-FI"/>
        </w:rPr>
        <w:t xml:space="preserve"> </w:t>
      </w:r>
      <w:r w:rsidRPr="00FB4EFA">
        <w:rPr>
          <w:rFonts w:ascii="OS Jeremy" w:hAnsi="OS Jeremy" w:cs="Cambria"/>
          <w:sz w:val="20"/>
          <w:szCs w:val="20"/>
          <w:lang w:val="fi-FI"/>
        </w:rPr>
        <w:t>них</w:t>
      </w:r>
      <w:r w:rsidRPr="00FB4EFA">
        <w:rPr>
          <w:rFonts w:ascii="OS Jeremy" w:hAnsi="OS Jeremy"/>
          <w:sz w:val="20"/>
          <w:szCs w:val="20"/>
          <w:lang w:val="fi-FI"/>
        </w:rPr>
        <w:t xml:space="preserve"> </w:t>
      </w:r>
      <w:r w:rsidRPr="00FB4EFA">
        <w:rPr>
          <w:rFonts w:ascii="OS Jeremy" w:hAnsi="OS Jeremy" w:cs="Cambria"/>
          <w:sz w:val="20"/>
          <w:szCs w:val="20"/>
          <w:lang w:val="fi-FI"/>
        </w:rPr>
        <w:t>гострі</w:t>
      </w:r>
      <w:r w:rsidRPr="00FB4EFA">
        <w:rPr>
          <w:rFonts w:ascii="OS Jeremy" w:hAnsi="OS Jeremy"/>
          <w:sz w:val="20"/>
          <w:szCs w:val="20"/>
          <w:lang w:val="fi-FI"/>
        </w:rPr>
        <w:t xml:space="preserve">, </w:t>
      </w:r>
      <w:r w:rsidRPr="00FB4EFA">
        <w:rPr>
          <w:rFonts w:ascii="OS Jeremy" w:hAnsi="OS Jeremy" w:cs="Cambria"/>
          <w:sz w:val="20"/>
          <w:szCs w:val="20"/>
          <w:lang w:val="fi-FI"/>
        </w:rPr>
        <w:t>носики</w:t>
      </w:r>
      <w:r w:rsidRPr="00FB4EFA">
        <w:rPr>
          <w:rFonts w:ascii="OS Jeremy" w:hAnsi="OS Jeremy"/>
          <w:sz w:val="20"/>
          <w:szCs w:val="20"/>
          <w:lang w:val="fi-FI"/>
        </w:rPr>
        <w:t xml:space="preserve"> </w:t>
      </w:r>
      <w:r w:rsidRPr="00FB4EFA">
        <w:rPr>
          <w:rFonts w:ascii="OS Jeremy" w:hAnsi="OS Jeremy" w:cs="Cambria"/>
          <w:sz w:val="20"/>
          <w:szCs w:val="20"/>
          <w:lang w:val="fi-FI"/>
        </w:rPr>
        <w:t>й</w:t>
      </w:r>
      <w:r w:rsidRPr="00FB4EFA">
        <w:rPr>
          <w:rFonts w:ascii="OS Jeremy" w:hAnsi="OS Jeremy"/>
          <w:sz w:val="20"/>
          <w:szCs w:val="20"/>
          <w:lang w:val="fi-FI"/>
        </w:rPr>
        <w:t xml:space="preserve"> </w:t>
      </w:r>
      <w:r w:rsidRPr="00FB4EFA">
        <w:rPr>
          <w:rFonts w:ascii="OS Jeremy" w:hAnsi="OS Jeremy" w:cs="Cambria"/>
          <w:sz w:val="20"/>
          <w:szCs w:val="20"/>
          <w:lang w:val="fi-FI"/>
        </w:rPr>
        <w:t>губки</w:t>
      </w:r>
      <w:r w:rsidRPr="00FB4EFA">
        <w:rPr>
          <w:rFonts w:ascii="OS Jeremy" w:hAnsi="OS Jeremy"/>
          <w:sz w:val="20"/>
          <w:szCs w:val="20"/>
          <w:lang w:val="fi-FI"/>
        </w:rPr>
        <w:t xml:space="preserve"> </w:t>
      </w:r>
      <w:r w:rsidRPr="00FB4EFA">
        <w:rPr>
          <w:rFonts w:ascii="OS Jeremy" w:hAnsi="OS Jeremy" w:cs="Cambria"/>
          <w:sz w:val="20"/>
          <w:szCs w:val="20"/>
          <w:lang w:val="fi-FI"/>
        </w:rPr>
        <w:t>чорні</w:t>
      </w:r>
      <w:r w:rsidRPr="00FB4EFA">
        <w:rPr>
          <w:rFonts w:ascii="OS Jeremy" w:hAnsi="OS Jeremy"/>
          <w:sz w:val="20"/>
          <w:szCs w:val="20"/>
          <w:lang w:val="fi-FI"/>
        </w:rPr>
        <w:t xml:space="preserve">, </w:t>
      </w:r>
      <w:r w:rsidRPr="00FB4EFA">
        <w:rPr>
          <w:rFonts w:ascii="OS Jeremy" w:hAnsi="OS Jeremy" w:cs="Cambria"/>
          <w:sz w:val="20"/>
          <w:szCs w:val="20"/>
          <w:lang w:val="fi-FI"/>
        </w:rPr>
        <w:t>хвостики</w:t>
      </w:r>
      <w:r w:rsidRPr="00FB4EFA">
        <w:rPr>
          <w:rFonts w:ascii="OS Jeremy" w:hAnsi="OS Jeremy"/>
          <w:sz w:val="20"/>
          <w:szCs w:val="20"/>
          <w:lang w:val="fi-FI"/>
        </w:rPr>
        <w:t xml:space="preserve"> </w:t>
      </w:r>
      <w:r w:rsidRPr="00FB4EFA">
        <w:rPr>
          <w:rFonts w:ascii="OS Jeremy" w:hAnsi="OS Jeremy" w:cs="Cambria"/>
          <w:sz w:val="20"/>
          <w:szCs w:val="20"/>
          <w:lang w:val="fi-FI"/>
        </w:rPr>
        <w:t>жовті</w:t>
      </w:r>
      <w:r w:rsidRPr="00FB4EFA">
        <w:rPr>
          <w:rFonts w:ascii="OS Jeremy" w:hAnsi="OS Jeremy"/>
          <w:sz w:val="20"/>
          <w:szCs w:val="20"/>
          <w:lang w:val="fi-FI"/>
        </w:rPr>
        <w:t xml:space="preserve">, </w:t>
      </w:r>
      <w:r w:rsidRPr="00FB4EFA">
        <w:rPr>
          <w:rFonts w:ascii="OS Jeremy" w:hAnsi="OS Jeremy" w:cs="Cambria"/>
          <w:sz w:val="20"/>
          <w:szCs w:val="20"/>
          <w:lang w:val="fi-FI"/>
        </w:rPr>
        <w:t>а</w:t>
      </w:r>
      <w:r w:rsidRPr="00FB4EFA">
        <w:rPr>
          <w:rFonts w:ascii="OS Jeremy" w:hAnsi="OS Jeremy"/>
          <w:sz w:val="20"/>
          <w:szCs w:val="20"/>
          <w:lang w:val="fi-FI"/>
        </w:rPr>
        <w:t xml:space="preserve"> </w:t>
      </w:r>
      <w:r w:rsidRPr="00FB4EFA">
        <w:rPr>
          <w:rFonts w:ascii="OS Jeremy" w:hAnsi="OS Jeremy" w:cs="Cambria"/>
          <w:sz w:val="20"/>
          <w:szCs w:val="20"/>
          <w:lang w:val="fi-FI"/>
        </w:rPr>
        <w:t>кінчики</w:t>
      </w:r>
      <w:r w:rsidRPr="00FB4EFA">
        <w:rPr>
          <w:rFonts w:ascii="OS Jeremy" w:hAnsi="OS Jeremy"/>
          <w:sz w:val="20"/>
          <w:szCs w:val="20"/>
          <w:lang w:val="fi-FI"/>
        </w:rPr>
        <w:t xml:space="preserve"> </w:t>
      </w:r>
      <w:r w:rsidRPr="00FB4EFA">
        <w:rPr>
          <w:rFonts w:ascii="OS Jeremy" w:hAnsi="OS Jeremy" w:cs="Cambria"/>
          <w:sz w:val="20"/>
          <w:szCs w:val="20"/>
          <w:lang w:val="fi-FI"/>
        </w:rPr>
        <w:t>хвостів</w:t>
      </w:r>
      <w:r w:rsidRPr="00FB4EFA">
        <w:rPr>
          <w:rFonts w:ascii="OS Jeremy" w:hAnsi="OS Jeremy"/>
          <w:sz w:val="20"/>
          <w:szCs w:val="20"/>
          <w:lang w:val="fi-FI"/>
        </w:rPr>
        <w:t xml:space="preserve"> </w:t>
      </w:r>
      <w:r w:rsidRPr="00FB4EFA">
        <w:rPr>
          <w:rFonts w:ascii="OS Jeremy" w:hAnsi="OS Jeremy" w:cs="Cambria"/>
          <w:sz w:val="20"/>
          <w:szCs w:val="20"/>
          <w:lang w:val="fi-FI"/>
        </w:rPr>
        <w:t>білі</w:t>
      </w:r>
      <w:r w:rsidRPr="00FB4EFA">
        <w:rPr>
          <w:rFonts w:ascii="OS Jeremy" w:hAnsi="OS Jeremy"/>
          <w:sz w:val="20"/>
          <w:szCs w:val="20"/>
          <w:lang w:val="fi-FI"/>
        </w:rPr>
        <w:t xml:space="preserve">, </w:t>
      </w:r>
      <w:r w:rsidRPr="00FB4EFA">
        <w:rPr>
          <w:rFonts w:ascii="OS Jeremy" w:hAnsi="OS Jeremy" w:cs="Cambria"/>
          <w:sz w:val="20"/>
          <w:szCs w:val="20"/>
          <w:lang w:val="fi-FI"/>
        </w:rPr>
        <w:t>ніжки</w:t>
      </w:r>
      <w:r w:rsidRPr="00FB4EFA">
        <w:rPr>
          <w:rFonts w:ascii="OS Jeremy" w:hAnsi="OS Jeremy"/>
          <w:sz w:val="20"/>
          <w:szCs w:val="20"/>
          <w:lang w:val="fi-FI"/>
        </w:rPr>
        <w:t xml:space="preserve"> </w:t>
      </w:r>
      <w:r w:rsidRPr="00FB4EFA">
        <w:rPr>
          <w:rFonts w:ascii="OS Jeremy" w:hAnsi="OS Jeremy" w:cs="Cambria"/>
          <w:sz w:val="20"/>
          <w:szCs w:val="20"/>
          <w:lang w:val="fi-FI"/>
        </w:rPr>
        <w:t>маленькі</w:t>
      </w:r>
      <w:r w:rsidRPr="00FB4EFA">
        <w:rPr>
          <w:rFonts w:ascii="OS Jeremy" w:hAnsi="OS Jeremy"/>
          <w:sz w:val="20"/>
          <w:szCs w:val="20"/>
          <w:lang w:val="fi-FI"/>
        </w:rPr>
        <w:t xml:space="preserve">, </w:t>
      </w:r>
      <w:r w:rsidRPr="00FB4EFA">
        <w:rPr>
          <w:rFonts w:ascii="OS Jeremy" w:hAnsi="OS Jeremy" w:cs="Cambria"/>
          <w:sz w:val="20"/>
          <w:szCs w:val="20"/>
          <w:lang w:val="fi-FI"/>
        </w:rPr>
        <w:t>кігтики</w:t>
      </w:r>
      <w:r w:rsidRPr="00FB4EFA">
        <w:rPr>
          <w:rFonts w:ascii="OS Jeremy" w:hAnsi="OS Jeremy"/>
          <w:sz w:val="20"/>
          <w:szCs w:val="20"/>
          <w:lang w:val="fi-FI"/>
        </w:rPr>
        <w:t xml:space="preserve"> </w:t>
      </w:r>
      <w:r w:rsidRPr="00FB4EFA">
        <w:rPr>
          <w:rFonts w:ascii="OS Jeremy" w:hAnsi="OS Jeremy" w:cs="Cambria"/>
          <w:sz w:val="20"/>
          <w:szCs w:val="20"/>
          <w:lang w:val="fi-FI"/>
        </w:rPr>
        <w:t>тоненькі</w:t>
      </w:r>
      <w:r w:rsidRPr="00FB4EFA">
        <w:rPr>
          <w:rFonts w:ascii="OS Jeremy" w:hAnsi="OS Jeremy"/>
          <w:sz w:val="20"/>
          <w:szCs w:val="20"/>
          <w:lang w:val="fi-FI"/>
        </w:rPr>
        <w:t xml:space="preserve">. 4. </w:t>
      </w:r>
      <w:r w:rsidRPr="00FB4EFA">
        <w:rPr>
          <w:rFonts w:ascii="OS Jeremy" w:hAnsi="OS Jeremy" w:cs="Cambria"/>
          <w:sz w:val="20"/>
          <w:szCs w:val="20"/>
          <w:lang w:val="fi-FI"/>
        </w:rPr>
        <w:t>Дивиться</w:t>
      </w:r>
      <w:r w:rsidRPr="00FB4EFA">
        <w:rPr>
          <w:rFonts w:ascii="OS Jeremy" w:hAnsi="OS Jeremy"/>
          <w:sz w:val="20"/>
          <w:szCs w:val="20"/>
          <w:lang w:val="fi-FI"/>
        </w:rPr>
        <w:t xml:space="preserve"> </w:t>
      </w:r>
      <w:r w:rsidRPr="00FB4EFA">
        <w:rPr>
          <w:rFonts w:ascii="OS Jeremy" w:hAnsi="OS Jeremy" w:cs="Cambria"/>
          <w:sz w:val="20"/>
          <w:szCs w:val="20"/>
          <w:lang w:val="fi-FI"/>
        </w:rPr>
        <w:t>на</w:t>
      </w:r>
      <w:r w:rsidRPr="00FB4EFA">
        <w:rPr>
          <w:rFonts w:ascii="OS Jeremy" w:hAnsi="OS Jeremy"/>
          <w:sz w:val="20"/>
          <w:szCs w:val="20"/>
          <w:lang w:val="fi-FI"/>
        </w:rPr>
        <w:t xml:space="preserve"> </w:t>
      </w:r>
      <w:r w:rsidRPr="00FB4EFA">
        <w:rPr>
          <w:rFonts w:ascii="OS Jeremy" w:hAnsi="OS Jeremy" w:cs="Cambria"/>
          <w:sz w:val="20"/>
          <w:szCs w:val="20"/>
          <w:lang w:val="fi-FI"/>
        </w:rPr>
        <w:t>них</w:t>
      </w:r>
      <w:r w:rsidRPr="00FB4EFA">
        <w:rPr>
          <w:rFonts w:ascii="OS Jeremy" w:hAnsi="OS Jeremy"/>
          <w:sz w:val="20"/>
          <w:szCs w:val="20"/>
          <w:lang w:val="fi-FI"/>
        </w:rPr>
        <w:t xml:space="preserve"> </w:t>
      </w:r>
      <w:r w:rsidRPr="00FB4EFA">
        <w:rPr>
          <w:rFonts w:ascii="OS Jeremy" w:hAnsi="OS Jeremy" w:cs="Cambria"/>
          <w:sz w:val="20"/>
          <w:szCs w:val="20"/>
          <w:lang w:val="fi-FI"/>
        </w:rPr>
        <w:t>лисичка</w:t>
      </w:r>
      <w:r w:rsidRPr="00FB4EFA">
        <w:rPr>
          <w:rFonts w:ascii="OS Jeremy" w:hAnsi="OS Jeremy"/>
          <w:sz w:val="20"/>
          <w:szCs w:val="20"/>
          <w:lang w:val="fi-FI"/>
        </w:rPr>
        <w:t xml:space="preserve">, </w:t>
      </w:r>
      <w:r w:rsidRPr="00FB4EFA">
        <w:rPr>
          <w:rFonts w:ascii="OS Jeremy" w:hAnsi="OS Jeremy" w:cs="Cambria"/>
          <w:sz w:val="20"/>
          <w:szCs w:val="20"/>
          <w:lang w:val="fi-FI"/>
        </w:rPr>
        <w:t>і</w:t>
      </w:r>
      <w:r w:rsidRPr="00FB4EFA">
        <w:rPr>
          <w:rFonts w:ascii="OS Jeremy" w:hAnsi="OS Jeremy"/>
          <w:sz w:val="20"/>
          <w:szCs w:val="20"/>
          <w:lang w:val="fi-FI"/>
        </w:rPr>
        <w:t xml:space="preserve"> </w:t>
      </w:r>
      <w:r w:rsidRPr="00FB4EFA">
        <w:rPr>
          <w:rFonts w:ascii="OS Jeremy" w:hAnsi="OS Jeremy" w:cs="Cambria"/>
          <w:sz w:val="20"/>
          <w:szCs w:val="20"/>
          <w:lang w:val="fi-FI"/>
        </w:rPr>
        <w:t>в</w:t>
      </w:r>
      <w:r w:rsidRPr="00FB4EFA">
        <w:rPr>
          <w:rFonts w:ascii="OS Jeremy" w:hAnsi="OS Jeremy"/>
          <w:sz w:val="20"/>
          <w:szCs w:val="20"/>
          <w:lang w:val="fi-FI"/>
        </w:rPr>
        <w:t xml:space="preserve"> </w:t>
      </w:r>
      <w:r w:rsidRPr="00FB4EFA">
        <w:rPr>
          <w:rFonts w:ascii="OS Jeremy" w:hAnsi="OS Jeremy" w:cs="Cambria"/>
          <w:sz w:val="20"/>
          <w:szCs w:val="20"/>
          <w:lang w:val="fi-FI"/>
        </w:rPr>
        <w:t>неї</w:t>
      </w:r>
      <w:r w:rsidRPr="00FB4EFA">
        <w:rPr>
          <w:rFonts w:ascii="OS Jeremy" w:hAnsi="OS Jeremy"/>
          <w:sz w:val="20"/>
          <w:szCs w:val="20"/>
          <w:lang w:val="fi-FI"/>
        </w:rPr>
        <w:t xml:space="preserve"> </w:t>
      </w:r>
      <w:r w:rsidRPr="00FB4EFA">
        <w:rPr>
          <w:rFonts w:ascii="OS Jeremy" w:hAnsi="OS Jeremy" w:cs="Cambria"/>
          <w:sz w:val="20"/>
          <w:szCs w:val="20"/>
          <w:lang w:val="fi-FI"/>
        </w:rPr>
        <w:t>серце</w:t>
      </w:r>
      <w:r w:rsidRPr="00FB4EFA">
        <w:rPr>
          <w:rFonts w:ascii="OS Jeremy" w:hAnsi="OS Jeremy"/>
          <w:sz w:val="20"/>
          <w:szCs w:val="20"/>
          <w:lang w:val="fi-FI"/>
        </w:rPr>
        <w:t xml:space="preserve"> </w:t>
      </w:r>
      <w:r w:rsidRPr="00FB4EFA">
        <w:rPr>
          <w:rFonts w:ascii="OS Jeremy" w:hAnsi="OS Jeremy" w:cs="Cambria"/>
          <w:sz w:val="20"/>
          <w:szCs w:val="20"/>
          <w:lang w:val="fi-FI"/>
        </w:rPr>
        <w:t>радіє</w:t>
      </w:r>
      <w:r w:rsidRPr="00FB4EFA">
        <w:rPr>
          <w:rFonts w:ascii="OS Jeremy" w:hAnsi="OS Jeremy"/>
          <w:sz w:val="20"/>
          <w:szCs w:val="20"/>
          <w:lang w:val="fi-FI"/>
        </w:rPr>
        <w:t xml:space="preserve">. </w:t>
      </w:r>
      <w:r w:rsidRPr="00FB4EFA">
        <w:rPr>
          <w:rFonts w:ascii="OS Jeremy" w:hAnsi="OS Jeremy" w:cs="Cambria"/>
          <w:sz w:val="20"/>
          <w:szCs w:val="20"/>
          <w:lang w:val="fi-FI"/>
        </w:rPr>
        <w:t>5. І</w:t>
      </w:r>
      <w:r w:rsidRPr="00FB4EFA">
        <w:rPr>
          <w:rFonts w:ascii="OS Jeremy" w:hAnsi="OS Jeremy"/>
          <w:sz w:val="20"/>
          <w:szCs w:val="20"/>
          <w:lang w:val="fi-FI"/>
        </w:rPr>
        <w:t xml:space="preserve"> </w:t>
      </w:r>
      <w:r w:rsidRPr="00FB4EFA">
        <w:rPr>
          <w:rFonts w:ascii="OS Jeremy" w:hAnsi="OS Jeremy" w:cs="Cambria"/>
          <w:sz w:val="20"/>
          <w:szCs w:val="20"/>
          <w:lang w:val="fi-FI"/>
        </w:rPr>
        <w:t>вирішила</w:t>
      </w:r>
      <w:r w:rsidRPr="00FB4EFA">
        <w:rPr>
          <w:rFonts w:ascii="OS Jeremy" w:hAnsi="OS Jeremy"/>
          <w:sz w:val="20"/>
          <w:szCs w:val="20"/>
          <w:lang w:val="fi-FI"/>
        </w:rPr>
        <w:t xml:space="preserve"> </w:t>
      </w:r>
      <w:r w:rsidRPr="00FB4EFA">
        <w:rPr>
          <w:rFonts w:ascii="OS Jeremy" w:hAnsi="OS Jeremy" w:cs="Cambria"/>
          <w:sz w:val="20"/>
          <w:szCs w:val="20"/>
          <w:lang w:val="fi-FI"/>
        </w:rPr>
        <w:t>лисиця</w:t>
      </w:r>
      <w:r w:rsidRPr="00FB4EFA">
        <w:rPr>
          <w:rFonts w:ascii="OS Jeremy" w:hAnsi="OS Jeremy"/>
          <w:sz w:val="20"/>
          <w:szCs w:val="20"/>
          <w:lang w:val="fi-FI"/>
        </w:rPr>
        <w:t xml:space="preserve"> </w:t>
      </w:r>
      <w:r w:rsidRPr="00FB4EFA">
        <w:rPr>
          <w:rFonts w:ascii="OS Jeremy" w:hAnsi="OS Jeremy" w:cs="Cambria"/>
          <w:sz w:val="20"/>
          <w:szCs w:val="20"/>
          <w:lang w:val="fi-FI"/>
        </w:rPr>
        <w:t>показати</w:t>
      </w:r>
      <w:r w:rsidRPr="00FB4EFA">
        <w:rPr>
          <w:rFonts w:ascii="OS Jeremy" w:hAnsi="OS Jeremy"/>
          <w:sz w:val="20"/>
          <w:szCs w:val="20"/>
          <w:lang w:val="fi-FI"/>
        </w:rPr>
        <w:t xml:space="preserve"> </w:t>
      </w:r>
      <w:r w:rsidRPr="00FB4EFA">
        <w:rPr>
          <w:rFonts w:ascii="OS Jeremy" w:hAnsi="OS Jeremy" w:cs="Cambria"/>
          <w:sz w:val="20"/>
          <w:szCs w:val="20"/>
          <w:lang w:val="fi-FI"/>
        </w:rPr>
        <w:t>своїх</w:t>
      </w:r>
      <w:r w:rsidRPr="00FB4EFA">
        <w:rPr>
          <w:rFonts w:ascii="OS Jeremy" w:hAnsi="OS Jeremy"/>
          <w:sz w:val="20"/>
          <w:szCs w:val="20"/>
          <w:lang w:val="fi-FI"/>
        </w:rPr>
        <w:t xml:space="preserve"> </w:t>
      </w:r>
      <w:r w:rsidRPr="00FB4EFA">
        <w:rPr>
          <w:rFonts w:ascii="OS Jeremy" w:hAnsi="OS Jeremy" w:cs="Cambria"/>
          <w:sz w:val="20"/>
          <w:szCs w:val="20"/>
          <w:lang w:val="fi-FI"/>
        </w:rPr>
        <w:t>дітей</w:t>
      </w:r>
      <w:r w:rsidRPr="00FB4EFA">
        <w:rPr>
          <w:rFonts w:ascii="OS Jeremy" w:hAnsi="OS Jeremy"/>
          <w:sz w:val="20"/>
          <w:szCs w:val="20"/>
          <w:lang w:val="fi-FI"/>
        </w:rPr>
        <w:t xml:space="preserve"> </w:t>
      </w:r>
      <w:r w:rsidRPr="00FB4EFA">
        <w:rPr>
          <w:rFonts w:ascii="OS Jeremy" w:hAnsi="OS Jeremy" w:cs="Cambria"/>
          <w:sz w:val="20"/>
          <w:szCs w:val="20"/>
          <w:lang w:val="fi-FI"/>
        </w:rPr>
        <w:t>усім</w:t>
      </w:r>
      <w:r w:rsidRPr="00FB4EFA">
        <w:rPr>
          <w:rFonts w:ascii="OS Jeremy" w:hAnsi="OS Jeremy"/>
          <w:sz w:val="20"/>
          <w:szCs w:val="20"/>
          <w:lang w:val="fi-FI"/>
        </w:rPr>
        <w:t xml:space="preserve"> </w:t>
      </w:r>
      <w:r w:rsidRPr="00FB4EFA">
        <w:rPr>
          <w:rFonts w:ascii="OS Jeremy" w:hAnsi="OS Jeremy" w:cs="Cambria"/>
          <w:sz w:val="20"/>
          <w:szCs w:val="20"/>
          <w:lang w:val="fi-FI"/>
        </w:rPr>
        <w:t>жителям</w:t>
      </w:r>
      <w:r w:rsidRPr="00FB4EFA">
        <w:rPr>
          <w:rFonts w:ascii="OS Jeremy" w:hAnsi="OS Jeremy"/>
          <w:sz w:val="20"/>
          <w:szCs w:val="20"/>
          <w:lang w:val="fi-FI"/>
        </w:rPr>
        <w:t xml:space="preserve"> </w:t>
      </w:r>
      <w:r w:rsidRPr="00FB4EFA">
        <w:rPr>
          <w:rFonts w:ascii="OS Jeremy" w:hAnsi="OS Jeremy" w:cs="Cambria"/>
          <w:sz w:val="20"/>
          <w:szCs w:val="20"/>
          <w:lang w:val="fi-FI"/>
        </w:rPr>
        <w:t>полів</w:t>
      </w:r>
      <w:r w:rsidRPr="00FB4EFA">
        <w:rPr>
          <w:rFonts w:ascii="OS Jeremy" w:hAnsi="OS Jeremy"/>
          <w:sz w:val="20"/>
          <w:szCs w:val="20"/>
          <w:lang w:val="fi-FI"/>
        </w:rPr>
        <w:t xml:space="preserve"> </w:t>
      </w:r>
      <w:r w:rsidRPr="00FB4EFA">
        <w:rPr>
          <w:rFonts w:ascii="OS Jeremy" w:hAnsi="OS Jeremy" w:cs="Cambria"/>
          <w:sz w:val="20"/>
          <w:szCs w:val="20"/>
          <w:lang w:val="fi-FI"/>
        </w:rPr>
        <w:t>і</w:t>
      </w:r>
      <w:r w:rsidRPr="00FB4EFA">
        <w:rPr>
          <w:rFonts w:ascii="OS Jeremy" w:hAnsi="OS Jeremy"/>
          <w:sz w:val="20"/>
          <w:szCs w:val="20"/>
          <w:lang w:val="fi-FI"/>
        </w:rPr>
        <w:t xml:space="preserve"> </w:t>
      </w:r>
      <w:r w:rsidRPr="00FB4EFA">
        <w:rPr>
          <w:rFonts w:ascii="OS Jeremy" w:hAnsi="OS Jeremy" w:cs="Cambria"/>
          <w:sz w:val="20"/>
          <w:szCs w:val="20"/>
          <w:lang w:val="fi-FI"/>
        </w:rPr>
        <w:t>лісів</w:t>
      </w:r>
      <w:r w:rsidRPr="00FB4EFA">
        <w:rPr>
          <w:rFonts w:ascii="OS Jeremy" w:hAnsi="OS Jeremy"/>
          <w:sz w:val="20"/>
          <w:szCs w:val="20"/>
          <w:lang w:val="fi-FI"/>
        </w:rPr>
        <w:t>.</w:t>
      </w:r>
    </w:p>
    <w:p w14:paraId="6E4A430C" w14:textId="1B5E385C" w:rsidR="00EF1775" w:rsidRPr="00FB4EFA" w:rsidRDefault="00EF1775" w:rsidP="00065E48">
      <w:pPr>
        <w:keepLines/>
        <w:suppressAutoHyphens/>
        <w:spacing w:before="240" w:line="240" w:lineRule="auto"/>
        <w:ind w:left="709"/>
        <w:rPr>
          <w:sz w:val="20"/>
          <w:szCs w:val="20"/>
          <w:lang w:val="fi-FI"/>
        </w:rPr>
      </w:pPr>
      <w:r w:rsidRPr="00FB4EFA">
        <w:rPr>
          <w:sz w:val="20"/>
          <w:szCs w:val="20"/>
          <w:lang w:val="fi-FI"/>
        </w:rPr>
        <w:t>1</w:t>
      </w:r>
      <w:r w:rsidR="00545033" w:rsidRPr="00FB4EFA">
        <w:rPr>
          <w:sz w:val="20"/>
          <w:szCs w:val="20"/>
          <w:lang w:val="fi-FI"/>
        </w:rPr>
        <w:t>.</w:t>
      </w:r>
      <w:r w:rsidRPr="00FB4EFA">
        <w:rPr>
          <w:sz w:val="20"/>
          <w:szCs w:val="20"/>
          <w:lang w:val="fi-FI"/>
        </w:rPr>
        <w:t xml:space="preserve"> Lis znalaz</w:t>
      </w:r>
      <w:r w:rsidRPr="00FB4EFA">
        <w:rPr>
          <w:rFonts w:cs="Cambria"/>
          <w:sz w:val="20"/>
          <w:szCs w:val="20"/>
          <w:lang w:val="fi-FI"/>
        </w:rPr>
        <w:t>ł</w:t>
      </w:r>
      <w:r w:rsidRPr="00FB4EFA">
        <w:rPr>
          <w:sz w:val="20"/>
          <w:szCs w:val="20"/>
          <w:lang w:val="fi-FI"/>
        </w:rPr>
        <w:t xml:space="preserve"> dziupl</w:t>
      </w:r>
      <w:r w:rsidRPr="00FB4EFA">
        <w:rPr>
          <w:rFonts w:cs="Cambria"/>
          <w:sz w:val="20"/>
          <w:szCs w:val="20"/>
          <w:lang w:val="fi-FI"/>
        </w:rPr>
        <w:t>ę</w:t>
      </w:r>
      <w:r w:rsidRPr="00FB4EFA">
        <w:rPr>
          <w:sz w:val="20"/>
          <w:szCs w:val="20"/>
          <w:lang w:val="fi-FI"/>
        </w:rPr>
        <w:t xml:space="preserve"> pod grubym wi</w:t>
      </w:r>
      <w:r w:rsidRPr="00FB4EFA">
        <w:rPr>
          <w:rFonts w:cs="Cambria"/>
          <w:sz w:val="20"/>
          <w:szCs w:val="20"/>
          <w:lang w:val="fi-FI"/>
        </w:rPr>
        <w:t>ą</w:t>
      </w:r>
      <w:r w:rsidRPr="00FB4EFA">
        <w:rPr>
          <w:sz w:val="20"/>
          <w:szCs w:val="20"/>
          <w:lang w:val="fi-FI"/>
        </w:rPr>
        <w:t>zem, wykopa</w:t>
      </w:r>
      <w:r w:rsidRPr="00FB4EFA">
        <w:rPr>
          <w:rFonts w:cs="Cambria"/>
          <w:sz w:val="20"/>
          <w:szCs w:val="20"/>
          <w:lang w:val="fi-FI"/>
        </w:rPr>
        <w:t>ł</w:t>
      </w:r>
      <w:r w:rsidRPr="00FB4EFA">
        <w:rPr>
          <w:sz w:val="20"/>
          <w:szCs w:val="20"/>
          <w:lang w:val="fi-FI"/>
        </w:rPr>
        <w:t xml:space="preserve"> dziur</w:t>
      </w:r>
      <w:r w:rsidRPr="00FB4EFA">
        <w:rPr>
          <w:rFonts w:cs="Cambria"/>
          <w:sz w:val="20"/>
          <w:szCs w:val="20"/>
          <w:lang w:val="fi-FI"/>
        </w:rPr>
        <w:t>ę</w:t>
      </w:r>
      <w:r w:rsidRPr="00FB4EFA">
        <w:rPr>
          <w:sz w:val="20"/>
          <w:szCs w:val="20"/>
          <w:lang w:val="fi-FI"/>
        </w:rPr>
        <w:t xml:space="preserve"> w ziemi i zbudowa</w:t>
      </w:r>
      <w:r w:rsidRPr="00FB4EFA">
        <w:rPr>
          <w:rFonts w:cs="Cambria"/>
          <w:sz w:val="20"/>
          <w:szCs w:val="20"/>
          <w:lang w:val="fi-FI"/>
        </w:rPr>
        <w:t>ł</w:t>
      </w:r>
      <w:r w:rsidRPr="00FB4EFA">
        <w:rPr>
          <w:sz w:val="20"/>
          <w:szCs w:val="20"/>
          <w:lang w:val="fi-FI"/>
        </w:rPr>
        <w:t xml:space="preserve"> sobie z niej nor</w:t>
      </w:r>
      <w:r w:rsidRPr="00FB4EFA">
        <w:rPr>
          <w:rFonts w:cs="Cambria"/>
          <w:sz w:val="20"/>
          <w:szCs w:val="20"/>
          <w:lang w:val="fi-FI"/>
        </w:rPr>
        <w:t>ę</w:t>
      </w:r>
      <w:r w:rsidRPr="00FB4EFA">
        <w:rPr>
          <w:sz w:val="20"/>
          <w:szCs w:val="20"/>
          <w:lang w:val="fi-FI"/>
        </w:rPr>
        <w:t>. 2</w:t>
      </w:r>
      <w:r w:rsidR="00545033" w:rsidRPr="00FB4EFA">
        <w:rPr>
          <w:sz w:val="20"/>
          <w:szCs w:val="20"/>
          <w:lang w:val="fi-FI"/>
        </w:rPr>
        <w:t>.</w:t>
      </w:r>
      <w:r w:rsidRPr="00FB4EFA">
        <w:rPr>
          <w:sz w:val="20"/>
          <w:szCs w:val="20"/>
          <w:lang w:val="fi-FI"/>
        </w:rPr>
        <w:t xml:space="preserve"> Pewnego s</w:t>
      </w:r>
      <w:r w:rsidRPr="00FB4EFA">
        <w:rPr>
          <w:rFonts w:cs="Cambria"/>
          <w:sz w:val="20"/>
          <w:szCs w:val="20"/>
          <w:lang w:val="fi-FI"/>
        </w:rPr>
        <w:t>ł</w:t>
      </w:r>
      <w:r w:rsidRPr="00FB4EFA">
        <w:rPr>
          <w:sz w:val="20"/>
          <w:szCs w:val="20"/>
          <w:lang w:val="fi-FI"/>
        </w:rPr>
        <w:t>onecznego letniego dnia urodzi</w:t>
      </w:r>
      <w:r w:rsidRPr="00FB4EFA">
        <w:rPr>
          <w:rFonts w:cs="Cambria"/>
          <w:sz w:val="20"/>
          <w:szCs w:val="20"/>
          <w:lang w:val="fi-FI"/>
        </w:rPr>
        <w:t>ł</w:t>
      </w:r>
      <w:r w:rsidRPr="00FB4EFA">
        <w:rPr>
          <w:sz w:val="20"/>
          <w:szCs w:val="20"/>
          <w:lang w:val="fi-FI"/>
        </w:rPr>
        <w:t>y mu si</w:t>
      </w:r>
      <w:r w:rsidRPr="00FB4EFA">
        <w:rPr>
          <w:rFonts w:cs="Cambria"/>
          <w:sz w:val="20"/>
          <w:szCs w:val="20"/>
          <w:lang w:val="fi-FI"/>
        </w:rPr>
        <w:t>ę</w:t>
      </w:r>
      <w:r w:rsidRPr="00FB4EFA">
        <w:rPr>
          <w:sz w:val="20"/>
          <w:szCs w:val="20"/>
          <w:lang w:val="fi-FI"/>
        </w:rPr>
        <w:t xml:space="preserve"> czworo lisi</w:t>
      </w:r>
      <w:r w:rsidRPr="00FB4EFA">
        <w:rPr>
          <w:rFonts w:cs="Cambria"/>
          <w:sz w:val="20"/>
          <w:szCs w:val="20"/>
          <w:lang w:val="fi-FI"/>
        </w:rPr>
        <w:t>ą</w:t>
      </w:r>
      <w:r w:rsidRPr="00FB4EFA">
        <w:rPr>
          <w:sz w:val="20"/>
          <w:szCs w:val="20"/>
          <w:lang w:val="fi-FI"/>
        </w:rPr>
        <w:t>tek. 3</w:t>
      </w:r>
      <w:r w:rsidR="00545033" w:rsidRPr="00FB4EFA">
        <w:rPr>
          <w:sz w:val="20"/>
          <w:szCs w:val="20"/>
          <w:lang w:val="fi-FI"/>
        </w:rPr>
        <w:t>.</w:t>
      </w:r>
      <w:r w:rsidRPr="00FB4EFA">
        <w:rPr>
          <w:sz w:val="20"/>
          <w:szCs w:val="20"/>
          <w:lang w:val="fi-FI"/>
        </w:rPr>
        <w:t xml:space="preserve"> One s</w:t>
      </w:r>
      <w:r w:rsidRPr="00FB4EFA">
        <w:rPr>
          <w:rFonts w:cs="Cambria"/>
          <w:sz w:val="20"/>
          <w:szCs w:val="20"/>
          <w:lang w:val="fi-FI"/>
        </w:rPr>
        <w:t>ą</w:t>
      </w:r>
      <w:r w:rsidRPr="00FB4EFA">
        <w:rPr>
          <w:sz w:val="20"/>
          <w:szCs w:val="20"/>
          <w:lang w:val="fi-FI"/>
        </w:rPr>
        <w:t xml:space="preserve"> bardzo pi</w:t>
      </w:r>
      <w:r w:rsidRPr="00FB4EFA">
        <w:rPr>
          <w:rFonts w:cs="Cambria"/>
          <w:sz w:val="20"/>
          <w:szCs w:val="20"/>
          <w:lang w:val="fi-FI"/>
        </w:rPr>
        <w:t>ę</w:t>
      </w:r>
      <w:r w:rsidRPr="00FB4EFA">
        <w:rPr>
          <w:sz w:val="20"/>
          <w:szCs w:val="20"/>
          <w:lang w:val="fi-FI"/>
        </w:rPr>
        <w:t>kne: maj</w:t>
      </w:r>
      <w:r w:rsidRPr="00FB4EFA">
        <w:rPr>
          <w:rFonts w:cs="Cambria"/>
          <w:sz w:val="20"/>
          <w:szCs w:val="20"/>
          <w:lang w:val="fi-FI"/>
        </w:rPr>
        <w:t>ą</w:t>
      </w:r>
      <w:r w:rsidRPr="00FB4EFA">
        <w:rPr>
          <w:sz w:val="20"/>
          <w:szCs w:val="20"/>
          <w:lang w:val="fi-FI"/>
        </w:rPr>
        <w:t xml:space="preserve"> spiczaste uszka, czarne noski i wargi, ma</w:t>
      </w:r>
      <w:r w:rsidRPr="00FB4EFA">
        <w:rPr>
          <w:rFonts w:cs="Cambria"/>
          <w:sz w:val="20"/>
          <w:szCs w:val="20"/>
          <w:lang w:val="fi-FI"/>
        </w:rPr>
        <w:t>ł</w:t>
      </w:r>
      <w:r w:rsidRPr="00FB4EFA">
        <w:rPr>
          <w:sz w:val="20"/>
          <w:szCs w:val="20"/>
          <w:lang w:val="fi-FI"/>
        </w:rPr>
        <w:t xml:space="preserve">e, </w:t>
      </w:r>
      <w:r w:rsidRPr="00FB4EFA">
        <w:rPr>
          <w:rFonts w:cs="Cambria"/>
          <w:sz w:val="20"/>
          <w:szCs w:val="20"/>
          <w:lang w:val="fi-FI"/>
        </w:rPr>
        <w:t>ż</w:t>
      </w:r>
      <w:r w:rsidRPr="00FB4EFA">
        <w:rPr>
          <w:rFonts w:cs="Old Standard TT"/>
          <w:sz w:val="20"/>
          <w:szCs w:val="20"/>
          <w:lang w:val="fi-FI"/>
        </w:rPr>
        <w:t>ó</w:t>
      </w:r>
      <w:r w:rsidRPr="00FB4EFA">
        <w:rPr>
          <w:rFonts w:cs="Cambria"/>
          <w:sz w:val="20"/>
          <w:szCs w:val="20"/>
          <w:lang w:val="fi-FI"/>
        </w:rPr>
        <w:t>ł</w:t>
      </w:r>
      <w:r w:rsidRPr="00FB4EFA">
        <w:rPr>
          <w:sz w:val="20"/>
          <w:szCs w:val="20"/>
          <w:lang w:val="fi-FI"/>
        </w:rPr>
        <w:t>te kitki, ale z bia</w:t>
      </w:r>
      <w:r w:rsidRPr="00FB4EFA">
        <w:rPr>
          <w:rFonts w:cs="Cambria"/>
          <w:sz w:val="20"/>
          <w:szCs w:val="20"/>
          <w:lang w:val="fi-FI"/>
        </w:rPr>
        <w:t>ł</w:t>
      </w:r>
      <w:r w:rsidRPr="00FB4EFA">
        <w:rPr>
          <w:sz w:val="20"/>
          <w:szCs w:val="20"/>
          <w:lang w:val="fi-FI"/>
        </w:rPr>
        <w:t>ymi ko</w:t>
      </w:r>
      <w:r w:rsidRPr="00FB4EFA">
        <w:rPr>
          <w:rFonts w:cs="Cambria"/>
          <w:sz w:val="20"/>
          <w:szCs w:val="20"/>
          <w:lang w:val="fi-FI"/>
        </w:rPr>
        <w:t>ń</w:t>
      </w:r>
      <w:r w:rsidRPr="00FB4EFA">
        <w:rPr>
          <w:sz w:val="20"/>
          <w:szCs w:val="20"/>
          <w:lang w:val="fi-FI"/>
        </w:rPr>
        <w:t>c</w:t>
      </w:r>
      <w:r w:rsidRPr="00FB4EFA">
        <w:rPr>
          <w:rFonts w:cs="Old Standard TT"/>
          <w:sz w:val="20"/>
          <w:szCs w:val="20"/>
          <w:lang w:val="fi-FI"/>
        </w:rPr>
        <w:t>ó</w:t>
      </w:r>
      <w:r w:rsidRPr="00FB4EFA">
        <w:rPr>
          <w:sz w:val="20"/>
          <w:szCs w:val="20"/>
          <w:lang w:val="fi-FI"/>
        </w:rPr>
        <w:t>wkami, ma</w:t>
      </w:r>
      <w:r w:rsidRPr="00FB4EFA">
        <w:rPr>
          <w:rFonts w:cs="Cambria"/>
          <w:sz w:val="20"/>
          <w:szCs w:val="20"/>
          <w:lang w:val="fi-FI"/>
        </w:rPr>
        <w:t>ł</w:t>
      </w:r>
      <w:r w:rsidRPr="00FB4EFA">
        <w:rPr>
          <w:sz w:val="20"/>
          <w:szCs w:val="20"/>
          <w:lang w:val="fi-FI"/>
        </w:rPr>
        <w:t xml:space="preserve">e </w:t>
      </w:r>
      <w:r w:rsidRPr="00FB4EFA">
        <w:rPr>
          <w:rFonts w:cs="Cambria"/>
          <w:sz w:val="20"/>
          <w:szCs w:val="20"/>
          <w:lang w:val="fi-FI"/>
        </w:rPr>
        <w:t>ł</w:t>
      </w:r>
      <w:r w:rsidRPr="00FB4EFA">
        <w:rPr>
          <w:sz w:val="20"/>
          <w:szCs w:val="20"/>
          <w:lang w:val="fi-FI"/>
        </w:rPr>
        <w:t>apki i cienkie pazurki. 4</w:t>
      </w:r>
      <w:r w:rsidR="00545033" w:rsidRPr="00FB4EFA">
        <w:rPr>
          <w:sz w:val="20"/>
          <w:szCs w:val="20"/>
          <w:lang w:val="fi-FI"/>
        </w:rPr>
        <w:t>.</w:t>
      </w:r>
      <w:r w:rsidRPr="00FB4EFA">
        <w:rPr>
          <w:sz w:val="20"/>
          <w:szCs w:val="20"/>
          <w:lang w:val="fi-FI"/>
        </w:rPr>
        <w:t xml:space="preserve"> Lisica patrzy na nie i jej serce si</w:t>
      </w:r>
      <w:r w:rsidRPr="00FB4EFA">
        <w:rPr>
          <w:rFonts w:cs="Cambria"/>
          <w:sz w:val="20"/>
          <w:szCs w:val="20"/>
          <w:lang w:val="fi-FI"/>
        </w:rPr>
        <w:t>ę</w:t>
      </w:r>
      <w:r w:rsidRPr="00FB4EFA">
        <w:rPr>
          <w:sz w:val="20"/>
          <w:szCs w:val="20"/>
          <w:lang w:val="fi-FI"/>
        </w:rPr>
        <w:t xml:space="preserve"> raduje. 5</w:t>
      </w:r>
      <w:r w:rsidR="00545033" w:rsidRPr="00FB4EFA">
        <w:rPr>
          <w:sz w:val="20"/>
          <w:szCs w:val="20"/>
          <w:lang w:val="fi-FI"/>
        </w:rPr>
        <w:t>.</w:t>
      </w:r>
      <w:r w:rsidRPr="00FB4EFA">
        <w:rPr>
          <w:sz w:val="20"/>
          <w:szCs w:val="20"/>
          <w:lang w:val="fi-FI"/>
        </w:rPr>
        <w:t xml:space="preserve"> Z kolei lis postanowi</w:t>
      </w:r>
      <w:r w:rsidRPr="00FB4EFA">
        <w:rPr>
          <w:rFonts w:cs="Cambria"/>
          <w:sz w:val="20"/>
          <w:szCs w:val="20"/>
          <w:lang w:val="fi-FI"/>
        </w:rPr>
        <w:t>ł</w:t>
      </w:r>
      <w:r w:rsidRPr="00FB4EFA">
        <w:rPr>
          <w:sz w:val="20"/>
          <w:szCs w:val="20"/>
          <w:lang w:val="fi-FI"/>
        </w:rPr>
        <w:t xml:space="preserve"> pokaza</w:t>
      </w:r>
      <w:r w:rsidRPr="00FB4EFA">
        <w:rPr>
          <w:rFonts w:cs="Cambria"/>
          <w:sz w:val="20"/>
          <w:szCs w:val="20"/>
          <w:lang w:val="fi-FI"/>
        </w:rPr>
        <w:t>ć</w:t>
      </w:r>
      <w:r w:rsidRPr="00FB4EFA">
        <w:rPr>
          <w:sz w:val="20"/>
          <w:szCs w:val="20"/>
          <w:lang w:val="fi-FI"/>
        </w:rPr>
        <w:t xml:space="preserve"> swoje dzieci wszystkim mieszka</w:t>
      </w:r>
      <w:r w:rsidRPr="00FB4EFA">
        <w:rPr>
          <w:rFonts w:cs="Cambria"/>
          <w:sz w:val="20"/>
          <w:szCs w:val="20"/>
          <w:lang w:val="fi-FI"/>
        </w:rPr>
        <w:t>ń</w:t>
      </w:r>
      <w:r w:rsidRPr="00FB4EFA">
        <w:rPr>
          <w:sz w:val="20"/>
          <w:szCs w:val="20"/>
          <w:lang w:val="fi-FI"/>
        </w:rPr>
        <w:t>com p</w:t>
      </w:r>
      <w:r w:rsidRPr="00FB4EFA">
        <w:rPr>
          <w:rFonts w:cs="Old Standard TT"/>
          <w:sz w:val="20"/>
          <w:szCs w:val="20"/>
          <w:lang w:val="fi-FI"/>
        </w:rPr>
        <w:t>ó</w:t>
      </w:r>
      <w:r w:rsidRPr="00FB4EFA">
        <w:rPr>
          <w:sz w:val="20"/>
          <w:szCs w:val="20"/>
          <w:lang w:val="fi-FI"/>
        </w:rPr>
        <w:t>l i las</w:t>
      </w:r>
      <w:r w:rsidRPr="00FB4EFA">
        <w:rPr>
          <w:rFonts w:cs="Old Standard TT"/>
          <w:sz w:val="20"/>
          <w:szCs w:val="20"/>
          <w:lang w:val="fi-FI"/>
        </w:rPr>
        <w:t>ó</w:t>
      </w:r>
      <w:r w:rsidRPr="00FB4EFA">
        <w:rPr>
          <w:sz w:val="20"/>
          <w:szCs w:val="20"/>
          <w:lang w:val="fi-FI"/>
        </w:rPr>
        <w:t>w.</w:t>
      </w:r>
    </w:p>
    <w:p w14:paraId="31FB249D" w14:textId="39B276AD" w:rsidR="00EF1775" w:rsidRPr="00FB4EFA" w:rsidRDefault="00EF1775" w:rsidP="00065E48">
      <w:pPr>
        <w:keepLines/>
        <w:suppressAutoHyphens/>
        <w:spacing w:before="240" w:line="240" w:lineRule="auto"/>
        <w:ind w:left="709"/>
        <w:rPr>
          <w:rStyle w:val="tojvnm2t"/>
          <w:sz w:val="20"/>
          <w:szCs w:val="20"/>
          <w:lang w:val="fi-FI"/>
        </w:rPr>
      </w:pPr>
      <w:r w:rsidRPr="00FB4EFA">
        <w:rPr>
          <w:rStyle w:val="tojvnm2t"/>
          <w:sz w:val="20"/>
          <w:szCs w:val="20"/>
          <w:lang w:val="fi-FI"/>
        </w:rPr>
        <w:lastRenderedPageBreak/>
        <w:t>1</w:t>
      </w:r>
      <w:r w:rsidR="00545033" w:rsidRPr="00FB4EFA">
        <w:rPr>
          <w:rStyle w:val="tojvnm2t"/>
          <w:sz w:val="20"/>
          <w:szCs w:val="20"/>
          <w:lang w:val="fi-FI"/>
        </w:rPr>
        <w:t>.</w:t>
      </w:r>
      <w:r w:rsidRPr="00FB4EFA">
        <w:rPr>
          <w:rStyle w:val="tojvnm2t"/>
          <w:sz w:val="20"/>
          <w:szCs w:val="20"/>
          <w:lang w:val="fi-FI"/>
        </w:rPr>
        <w:t xml:space="preserve"> Li</w:t>
      </w:r>
      <w:r w:rsidRPr="00FB4EFA">
        <w:rPr>
          <w:rStyle w:val="tojvnm2t"/>
          <w:rFonts w:cs="Cambria"/>
          <w:sz w:val="20"/>
          <w:szCs w:val="20"/>
          <w:lang w:val="fi-FI"/>
        </w:rPr>
        <w:t>š</w:t>
      </w:r>
      <w:r w:rsidRPr="00FB4EFA">
        <w:rPr>
          <w:rStyle w:val="tojvnm2t"/>
          <w:sz w:val="20"/>
          <w:szCs w:val="20"/>
          <w:lang w:val="fi-FI"/>
        </w:rPr>
        <w:t>ka na</w:t>
      </w:r>
      <w:r w:rsidRPr="00FB4EFA">
        <w:rPr>
          <w:rStyle w:val="tojvnm2t"/>
          <w:rFonts w:cs="Cambria"/>
          <w:sz w:val="20"/>
          <w:szCs w:val="20"/>
          <w:lang w:val="fi-FI"/>
        </w:rPr>
        <w:t>š</w:t>
      </w:r>
      <w:r w:rsidRPr="00FB4EFA">
        <w:rPr>
          <w:rStyle w:val="tojvnm2t"/>
          <w:sz w:val="20"/>
          <w:szCs w:val="20"/>
          <w:lang w:val="fi-FI"/>
        </w:rPr>
        <w:t>la dutinu pod statn</w:t>
      </w:r>
      <w:r w:rsidRPr="00FB4EFA">
        <w:rPr>
          <w:rStyle w:val="tojvnm2t"/>
          <w:rFonts w:cs="Old Standard TT"/>
          <w:sz w:val="20"/>
          <w:szCs w:val="20"/>
          <w:lang w:val="fi-FI"/>
        </w:rPr>
        <w:t>ý</w:t>
      </w:r>
      <w:r w:rsidRPr="00FB4EFA">
        <w:rPr>
          <w:rStyle w:val="tojvnm2t"/>
          <w:sz w:val="20"/>
          <w:szCs w:val="20"/>
          <w:lang w:val="fi-FI"/>
        </w:rPr>
        <w:t>m jilmem, vyhrabala v zemi jamku a ud</w:t>
      </w:r>
      <w:r w:rsidRPr="00FB4EFA">
        <w:rPr>
          <w:rStyle w:val="tojvnm2t"/>
          <w:rFonts w:cs="Cambria"/>
          <w:sz w:val="20"/>
          <w:szCs w:val="20"/>
          <w:lang w:val="fi-FI"/>
        </w:rPr>
        <w:t>ě</w:t>
      </w:r>
      <w:r w:rsidRPr="00FB4EFA">
        <w:rPr>
          <w:rStyle w:val="tojvnm2t"/>
          <w:sz w:val="20"/>
          <w:szCs w:val="20"/>
          <w:lang w:val="fi-FI"/>
        </w:rPr>
        <w:t>lala si v n</w:t>
      </w:r>
      <w:r w:rsidRPr="00FB4EFA">
        <w:rPr>
          <w:rStyle w:val="tojvnm2t"/>
          <w:rFonts w:cs="Old Standard TT"/>
          <w:sz w:val="20"/>
          <w:szCs w:val="20"/>
          <w:lang w:val="fi-FI"/>
        </w:rPr>
        <w:t>í</w:t>
      </w:r>
      <w:r w:rsidRPr="00FB4EFA">
        <w:rPr>
          <w:rStyle w:val="tojvnm2t"/>
          <w:sz w:val="20"/>
          <w:szCs w:val="20"/>
          <w:lang w:val="fi-FI"/>
        </w:rPr>
        <w:t xml:space="preserve"> doup</w:t>
      </w:r>
      <w:r w:rsidRPr="00FB4EFA">
        <w:rPr>
          <w:rStyle w:val="tojvnm2t"/>
          <w:rFonts w:cs="Cambria"/>
          <w:sz w:val="20"/>
          <w:szCs w:val="20"/>
          <w:lang w:val="fi-FI"/>
        </w:rPr>
        <w:t>ě</w:t>
      </w:r>
      <w:r w:rsidRPr="00FB4EFA">
        <w:rPr>
          <w:rStyle w:val="tojvnm2t"/>
          <w:sz w:val="20"/>
          <w:szCs w:val="20"/>
          <w:lang w:val="fi-FI"/>
        </w:rPr>
        <w:t>.</w:t>
      </w:r>
      <w:r w:rsidRPr="00FB4EFA">
        <w:rPr>
          <w:sz w:val="20"/>
          <w:szCs w:val="20"/>
          <w:lang w:val="fi-FI"/>
        </w:rPr>
        <w:t xml:space="preserve"> </w:t>
      </w:r>
      <w:r w:rsidRPr="00FB4EFA">
        <w:rPr>
          <w:rStyle w:val="tojvnm2t"/>
          <w:sz w:val="20"/>
          <w:szCs w:val="20"/>
          <w:lang w:val="fi-FI"/>
        </w:rPr>
        <w:t>2</w:t>
      </w:r>
      <w:r w:rsidR="00545033" w:rsidRPr="00FB4EFA">
        <w:rPr>
          <w:rStyle w:val="tojvnm2t"/>
          <w:sz w:val="20"/>
          <w:szCs w:val="20"/>
          <w:lang w:val="fi-FI"/>
        </w:rPr>
        <w:t>.</w:t>
      </w:r>
      <w:r w:rsidRPr="00FB4EFA">
        <w:rPr>
          <w:rStyle w:val="tojvnm2t"/>
          <w:sz w:val="20"/>
          <w:szCs w:val="20"/>
          <w:lang w:val="fi-FI"/>
        </w:rPr>
        <w:t xml:space="preserve"> Jednoho slune</w:t>
      </w:r>
      <w:r w:rsidRPr="00FB4EFA">
        <w:rPr>
          <w:rStyle w:val="tojvnm2t"/>
          <w:rFonts w:cs="Cambria"/>
          <w:sz w:val="20"/>
          <w:szCs w:val="20"/>
          <w:lang w:val="fi-FI"/>
        </w:rPr>
        <w:t>č</w:t>
      </w:r>
      <w:r w:rsidRPr="00FB4EFA">
        <w:rPr>
          <w:rStyle w:val="tojvnm2t"/>
          <w:sz w:val="20"/>
          <w:szCs w:val="20"/>
          <w:lang w:val="fi-FI"/>
        </w:rPr>
        <w:t>n</w:t>
      </w:r>
      <w:r w:rsidRPr="00FB4EFA">
        <w:rPr>
          <w:rStyle w:val="tojvnm2t"/>
          <w:rFonts w:cs="Old Standard TT"/>
          <w:sz w:val="20"/>
          <w:szCs w:val="20"/>
          <w:lang w:val="fi-FI"/>
        </w:rPr>
        <w:t>é</w:t>
      </w:r>
      <w:r w:rsidRPr="00FB4EFA">
        <w:rPr>
          <w:rStyle w:val="tojvnm2t"/>
          <w:sz w:val="20"/>
          <w:szCs w:val="20"/>
          <w:lang w:val="fi-FI"/>
        </w:rPr>
        <w:t>ho letn</w:t>
      </w:r>
      <w:r w:rsidRPr="00FB4EFA">
        <w:rPr>
          <w:rStyle w:val="tojvnm2t"/>
          <w:rFonts w:cs="Old Standard TT"/>
          <w:sz w:val="20"/>
          <w:szCs w:val="20"/>
          <w:lang w:val="fi-FI"/>
        </w:rPr>
        <w:t>í</w:t>
      </w:r>
      <w:r w:rsidRPr="00FB4EFA">
        <w:rPr>
          <w:rStyle w:val="tojvnm2t"/>
          <w:sz w:val="20"/>
          <w:szCs w:val="20"/>
          <w:lang w:val="fi-FI"/>
        </w:rPr>
        <w:t>ho dne se j</w:t>
      </w:r>
      <w:r w:rsidRPr="00FB4EFA">
        <w:rPr>
          <w:rStyle w:val="tojvnm2t"/>
          <w:rFonts w:cs="Old Standard TT"/>
          <w:sz w:val="20"/>
          <w:szCs w:val="20"/>
          <w:lang w:val="fi-FI"/>
        </w:rPr>
        <w:t>í</w:t>
      </w:r>
      <w:r w:rsidRPr="00FB4EFA">
        <w:rPr>
          <w:rStyle w:val="tojvnm2t"/>
          <w:sz w:val="20"/>
          <w:szCs w:val="20"/>
          <w:lang w:val="fi-FI"/>
        </w:rPr>
        <w:t xml:space="preserve"> narodila </w:t>
      </w:r>
      <w:r w:rsidRPr="00FB4EFA">
        <w:rPr>
          <w:rStyle w:val="tojvnm2t"/>
          <w:rFonts w:cs="Cambria"/>
          <w:sz w:val="20"/>
          <w:szCs w:val="20"/>
          <w:lang w:val="fi-FI"/>
        </w:rPr>
        <w:t>č</w:t>
      </w:r>
      <w:r w:rsidRPr="00FB4EFA">
        <w:rPr>
          <w:rStyle w:val="tojvnm2t"/>
          <w:sz w:val="20"/>
          <w:szCs w:val="20"/>
          <w:lang w:val="fi-FI"/>
        </w:rPr>
        <w:t>ty</w:t>
      </w:r>
      <w:r w:rsidRPr="00FB4EFA">
        <w:rPr>
          <w:rStyle w:val="tojvnm2t"/>
          <w:rFonts w:cs="Cambria"/>
          <w:sz w:val="20"/>
          <w:szCs w:val="20"/>
          <w:lang w:val="fi-FI"/>
        </w:rPr>
        <w:t>ř</w:t>
      </w:r>
      <w:r w:rsidRPr="00FB4EFA">
        <w:rPr>
          <w:rStyle w:val="tojvnm2t"/>
          <w:sz w:val="20"/>
          <w:szCs w:val="20"/>
          <w:lang w:val="fi-FI"/>
        </w:rPr>
        <w:t>i li</w:t>
      </w:r>
      <w:r w:rsidRPr="00FB4EFA">
        <w:rPr>
          <w:rStyle w:val="tojvnm2t"/>
          <w:rFonts w:cs="Cambria"/>
          <w:sz w:val="20"/>
          <w:szCs w:val="20"/>
          <w:lang w:val="fi-FI"/>
        </w:rPr>
        <w:t>šč</w:t>
      </w:r>
      <w:r w:rsidRPr="00FB4EFA">
        <w:rPr>
          <w:rStyle w:val="tojvnm2t"/>
          <w:rFonts w:cs="Old Standard TT"/>
          <w:sz w:val="20"/>
          <w:szCs w:val="20"/>
          <w:lang w:val="fi-FI"/>
        </w:rPr>
        <w:t>á</w:t>
      </w:r>
      <w:r w:rsidRPr="00FB4EFA">
        <w:rPr>
          <w:rStyle w:val="tojvnm2t"/>
          <w:sz w:val="20"/>
          <w:szCs w:val="20"/>
          <w:lang w:val="fi-FI"/>
        </w:rPr>
        <w:t>tka. 3</w:t>
      </w:r>
      <w:r w:rsidR="00545033" w:rsidRPr="00FB4EFA">
        <w:rPr>
          <w:rStyle w:val="tojvnm2t"/>
          <w:sz w:val="20"/>
          <w:szCs w:val="20"/>
          <w:lang w:val="fi-FI"/>
        </w:rPr>
        <w:t>.</w:t>
      </w:r>
      <w:r w:rsidRPr="00FB4EFA">
        <w:rPr>
          <w:rStyle w:val="tojvnm2t"/>
          <w:sz w:val="20"/>
          <w:szCs w:val="20"/>
          <w:lang w:val="fi-FI"/>
        </w:rPr>
        <w:t xml:space="preserve"> Jsou tak kr</w:t>
      </w:r>
      <w:r w:rsidRPr="00FB4EFA">
        <w:rPr>
          <w:rStyle w:val="tojvnm2t"/>
          <w:rFonts w:cs="Old Standard TT"/>
          <w:sz w:val="20"/>
          <w:szCs w:val="20"/>
          <w:lang w:val="fi-FI"/>
        </w:rPr>
        <w:t>á</w:t>
      </w:r>
      <w:r w:rsidRPr="00FB4EFA">
        <w:rPr>
          <w:rStyle w:val="tojvnm2t"/>
          <w:sz w:val="20"/>
          <w:szCs w:val="20"/>
          <w:lang w:val="fi-FI"/>
        </w:rPr>
        <w:t>sn</w:t>
      </w:r>
      <w:r w:rsidRPr="00FB4EFA">
        <w:rPr>
          <w:rStyle w:val="tojvnm2t"/>
          <w:rFonts w:cs="Old Standard TT"/>
          <w:sz w:val="20"/>
          <w:szCs w:val="20"/>
          <w:lang w:val="fi-FI"/>
        </w:rPr>
        <w:t>á</w:t>
      </w:r>
      <w:r w:rsidRPr="00FB4EFA">
        <w:rPr>
          <w:rStyle w:val="tojvnm2t"/>
          <w:sz w:val="20"/>
          <w:szCs w:val="20"/>
          <w:lang w:val="fi-FI"/>
        </w:rPr>
        <w:t>: ou</w:t>
      </w:r>
      <w:r w:rsidRPr="00FB4EFA">
        <w:rPr>
          <w:rStyle w:val="tojvnm2t"/>
          <w:rFonts w:cs="Cambria"/>
          <w:sz w:val="20"/>
          <w:szCs w:val="20"/>
          <w:lang w:val="fi-FI"/>
        </w:rPr>
        <w:t>š</w:t>
      </w:r>
      <w:r w:rsidRPr="00FB4EFA">
        <w:rPr>
          <w:rStyle w:val="tojvnm2t"/>
          <w:sz w:val="20"/>
          <w:szCs w:val="20"/>
          <w:lang w:val="fi-FI"/>
        </w:rPr>
        <w:t>ka maj</w:t>
      </w:r>
      <w:r w:rsidRPr="00FB4EFA">
        <w:rPr>
          <w:rStyle w:val="tojvnm2t"/>
          <w:rFonts w:cs="Old Standard TT"/>
          <w:sz w:val="20"/>
          <w:szCs w:val="20"/>
          <w:lang w:val="fi-FI"/>
        </w:rPr>
        <w:t>í</w:t>
      </w:r>
      <w:r w:rsidRPr="00FB4EFA">
        <w:rPr>
          <w:rStyle w:val="tojvnm2t"/>
          <w:sz w:val="20"/>
          <w:szCs w:val="20"/>
          <w:lang w:val="fi-FI"/>
        </w:rPr>
        <w:t xml:space="preserve"> </w:t>
      </w:r>
      <w:r w:rsidRPr="00FB4EFA">
        <w:rPr>
          <w:rStyle w:val="tojvnm2t"/>
          <w:rFonts w:cs="Cambria"/>
          <w:sz w:val="20"/>
          <w:szCs w:val="20"/>
          <w:lang w:val="fi-FI"/>
        </w:rPr>
        <w:t>š</w:t>
      </w:r>
      <w:r w:rsidRPr="00FB4EFA">
        <w:rPr>
          <w:rStyle w:val="tojvnm2t"/>
          <w:sz w:val="20"/>
          <w:szCs w:val="20"/>
          <w:lang w:val="fi-FI"/>
        </w:rPr>
        <w:t>pi</w:t>
      </w:r>
      <w:r w:rsidRPr="00FB4EFA">
        <w:rPr>
          <w:rStyle w:val="tojvnm2t"/>
          <w:rFonts w:cs="Cambria"/>
          <w:sz w:val="20"/>
          <w:szCs w:val="20"/>
          <w:lang w:val="fi-FI"/>
        </w:rPr>
        <w:t>č</w:t>
      </w:r>
      <w:r w:rsidRPr="00FB4EFA">
        <w:rPr>
          <w:rStyle w:val="tojvnm2t"/>
          <w:sz w:val="20"/>
          <w:szCs w:val="20"/>
          <w:lang w:val="fi-FI"/>
        </w:rPr>
        <w:t>at</w:t>
      </w:r>
      <w:r w:rsidRPr="00FB4EFA">
        <w:rPr>
          <w:rStyle w:val="tojvnm2t"/>
          <w:rFonts w:cs="Old Standard TT"/>
          <w:sz w:val="20"/>
          <w:szCs w:val="20"/>
          <w:lang w:val="fi-FI"/>
        </w:rPr>
        <w:t>á</w:t>
      </w:r>
      <w:r w:rsidRPr="00FB4EFA">
        <w:rPr>
          <w:rStyle w:val="tojvnm2t"/>
          <w:sz w:val="20"/>
          <w:szCs w:val="20"/>
          <w:lang w:val="fi-FI"/>
        </w:rPr>
        <w:t>, nos</w:t>
      </w:r>
      <w:r w:rsidRPr="00FB4EFA">
        <w:rPr>
          <w:rStyle w:val="tojvnm2t"/>
          <w:rFonts w:cs="Old Standard TT"/>
          <w:sz w:val="20"/>
          <w:szCs w:val="20"/>
          <w:lang w:val="fi-FI"/>
        </w:rPr>
        <w:t>í</w:t>
      </w:r>
      <w:r w:rsidRPr="00FB4EFA">
        <w:rPr>
          <w:rStyle w:val="tojvnm2t"/>
          <w:sz w:val="20"/>
          <w:szCs w:val="20"/>
          <w:lang w:val="fi-FI"/>
        </w:rPr>
        <w:t>ky a rt</w:t>
      </w:r>
      <w:r w:rsidRPr="00FB4EFA">
        <w:rPr>
          <w:rStyle w:val="tojvnm2t"/>
          <w:rFonts w:cs="Old Standard TT"/>
          <w:sz w:val="20"/>
          <w:szCs w:val="20"/>
          <w:lang w:val="fi-FI"/>
        </w:rPr>
        <w:t>í</w:t>
      </w:r>
      <w:r w:rsidRPr="00FB4EFA">
        <w:rPr>
          <w:rStyle w:val="tojvnm2t"/>
          <w:sz w:val="20"/>
          <w:szCs w:val="20"/>
          <w:lang w:val="fi-FI"/>
        </w:rPr>
        <w:t xml:space="preserve">ky </w:t>
      </w:r>
      <w:r w:rsidRPr="00FB4EFA">
        <w:rPr>
          <w:rStyle w:val="tojvnm2t"/>
          <w:rFonts w:cs="Cambria"/>
          <w:sz w:val="20"/>
          <w:szCs w:val="20"/>
          <w:lang w:val="fi-FI"/>
        </w:rPr>
        <w:t>č</w:t>
      </w:r>
      <w:r w:rsidRPr="00FB4EFA">
        <w:rPr>
          <w:rStyle w:val="tojvnm2t"/>
          <w:sz w:val="20"/>
          <w:szCs w:val="20"/>
          <w:lang w:val="fi-FI"/>
        </w:rPr>
        <w:t>ern</w:t>
      </w:r>
      <w:r w:rsidRPr="00FB4EFA">
        <w:rPr>
          <w:rStyle w:val="tojvnm2t"/>
          <w:rFonts w:cs="Old Standard TT"/>
          <w:sz w:val="20"/>
          <w:szCs w:val="20"/>
          <w:lang w:val="fi-FI"/>
        </w:rPr>
        <w:t>é</w:t>
      </w:r>
      <w:r w:rsidRPr="00FB4EFA">
        <w:rPr>
          <w:rStyle w:val="tojvnm2t"/>
          <w:sz w:val="20"/>
          <w:szCs w:val="20"/>
          <w:lang w:val="fi-FI"/>
        </w:rPr>
        <w:t>, oc</w:t>
      </w:r>
      <w:r w:rsidRPr="00FB4EFA">
        <w:rPr>
          <w:rStyle w:val="tojvnm2t"/>
          <w:rFonts w:cs="Old Standard TT"/>
          <w:sz w:val="20"/>
          <w:szCs w:val="20"/>
          <w:lang w:val="fi-FI"/>
        </w:rPr>
        <w:t>á</w:t>
      </w:r>
      <w:r w:rsidRPr="00FB4EFA">
        <w:rPr>
          <w:rStyle w:val="tojvnm2t"/>
          <w:sz w:val="20"/>
          <w:szCs w:val="20"/>
          <w:lang w:val="fi-FI"/>
        </w:rPr>
        <w:t xml:space="preserve">sky </w:t>
      </w:r>
      <w:r w:rsidRPr="00FB4EFA">
        <w:rPr>
          <w:rStyle w:val="tojvnm2t"/>
          <w:rFonts w:cs="Cambria"/>
          <w:sz w:val="20"/>
          <w:szCs w:val="20"/>
          <w:lang w:val="fi-FI"/>
        </w:rPr>
        <w:t>ž</w:t>
      </w:r>
      <w:r w:rsidRPr="00FB4EFA">
        <w:rPr>
          <w:rStyle w:val="tojvnm2t"/>
          <w:sz w:val="20"/>
          <w:szCs w:val="20"/>
          <w:lang w:val="fi-FI"/>
        </w:rPr>
        <w:t>lut</w:t>
      </w:r>
      <w:r w:rsidRPr="00FB4EFA">
        <w:rPr>
          <w:rStyle w:val="tojvnm2t"/>
          <w:rFonts w:cs="Old Standard TT"/>
          <w:sz w:val="20"/>
          <w:szCs w:val="20"/>
          <w:lang w:val="fi-FI"/>
        </w:rPr>
        <w:t>é</w:t>
      </w:r>
      <w:r w:rsidRPr="00FB4EFA">
        <w:rPr>
          <w:rStyle w:val="tojvnm2t"/>
          <w:sz w:val="20"/>
          <w:szCs w:val="20"/>
          <w:lang w:val="fi-FI"/>
        </w:rPr>
        <w:t xml:space="preserve">, ale na </w:t>
      </w:r>
      <w:r w:rsidRPr="00FB4EFA">
        <w:rPr>
          <w:rStyle w:val="tojvnm2t"/>
          <w:rFonts w:cs="Cambria"/>
          <w:sz w:val="20"/>
          <w:szCs w:val="20"/>
          <w:lang w:val="fi-FI"/>
        </w:rPr>
        <w:t>š</w:t>
      </w:r>
      <w:r w:rsidRPr="00FB4EFA">
        <w:rPr>
          <w:rStyle w:val="tojvnm2t"/>
          <w:sz w:val="20"/>
          <w:szCs w:val="20"/>
          <w:lang w:val="fi-FI"/>
        </w:rPr>
        <w:t>pi</w:t>
      </w:r>
      <w:r w:rsidRPr="00FB4EFA">
        <w:rPr>
          <w:rStyle w:val="tojvnm2t"/>
          <w:rFonts w:cs="Cambria"/>
          <w:sz w:val="20"/>
          <w:szCs w:val="20"/>
          <w:lang w:val="fi-FI"/>
        </w:rPr>
        <w:t>č</w:t>
      </w:r>
      <w:r w:rsidRPr="00FB4EFA">
        <w:rPr>
          <w:rStyle w:val="tojvnm2t"/>
          <w:sz w:val="20"/>
          <w:szCs w:val="20"/>
          <w:lang w:val="fi-FI"/>
        </w:rPr>
        <w:t>ce b</w:t>
      </w:r>
      <w:r w:rsidRPr="00FB4EFA">
        <w:rPr>
          <w:rStyle w:val="tojvnm2t"/>
          <w:rFonts w:cs="Old Standard TT"/>
          <w:sz w:val="20"/>
          <w:szCs w:val="20"/>
          <w:lang w:val="fi-FI"/>
        </w:rPr>
        <w:t>í</w:t>
      </w:r>
      <w:r w:rsidRPr="00FB4EFA">
        <w:rPr>
          <w:rStyle w:val="tojvnm2t"/>
          <w:sz w:val="20"/>
          <w:szCs w:val="20"/>
          <w:lang w:val="fi-FI"/>
        </w:rPr>
        <w:t>l</w:t>
      </w:r>
      <w:r w:rsidRPr="00FB4EFA">
        <w:rPr>
          <w:rStyle w:val="tojvnm2t"/>
          <w:rFonts w:cs="Old Standard TT"/>
          <w:sz w:val="20"/>
          <w:szCs w:val="20"/>
          <w:lang w:val="fi-FI"/>
        </w:rPr>
        <w:t>é</w:t>
      </w:r>
      <w:r w:rsidRPr="00FB4EFA">
        <w:rPr>
          <w:rStyle w:val="tojvnm2t"/>
          <w:sz w:val="20"/>
          <w:szCs w:val="20"/>
          <w:lang w:val="fi-FI"/>
        </w:rPr>
        <w:t>, no</w:t>
      </w:r>
      <w:r w:rsidRPr="00FB4EFA">
        <w:rPr>
          <w:rStyle w:val="tojvnm2t"/>
          <w:rFonts w:cs="Cambria"/>
          <w:sz w:val="20"/>
          <w:szCs w:val="20"/>
          <w:lang w:val="fi-FI"/>
        </w:rPr>
        <w:t>ž</w:t>
      </w:r>
      <w:r w:rsidRPr="00FB4EFA">
        <w:rPr>
          <w:rStyle w:val="tojvnm2t"/>
          <w:sz w:val="20"/>
          <w:szCs w:val="20"/>
          <w:lang w:val="fi-FI"/>
        </w:rPr>
        <w:t>i</w:t>
      </w:r>
      <w:r w:rsidRPr="00FB4EFA">
        <w:rPr>
          <w:rStyle w:val="tojvnm2t"/>
          <w:rFonts w:cs="Cambria"/>
          <w:sz w:val="20"/>
          <w:szCs w:val="20"/>
          <w:lang w:val="fi-FI"/>
        </w:rPr>
        <w:t>č</w:t>
      </w:r>
      <w:r w:rsidRPr="00FB4EFA">
        <w:rPr>
          <w:rStyle w:val="tojvnm2t"/>
          <w:sz w:val="20"/>
          <w:szCs w:val="20"/>
          <w:lang w:val="fi-FI"/>
        </w:rPr>
        <w:t>ky maj</w:t>
      </w:r>
      <w:r w:rsidRPr="00FB4EFA">
        <w:rPr>
          <w:rStyle w:val="tojvnm2t"/>
          <w:rFonts w:cs="Old Standard TT"/>
          <w:sz w:val="20"/>
          <w:szCs w:val="20"/>
          <w:lang w:val="fi-FI"/>
        </w:rPr>
        <w:t>í</w:t>
      </w:r>
      <w:r w:rsidRPr="00FB4EFA">
        <w:rPr>
          <w:rStyle w:val="tojvnm2t"/>
          <w:sz w:val="20"/>
          <w:szCs w:val="20"/>
          <w:lang w:val="fi-FI"/>
        </w:rPr>
        <w:t xml:space="preserve"> malink</w:t>
      </w:r>
      <w:r w:rsidRPr="00FB4EFA">
        <w:rPr>
          <w:rStyle w:val="tojvnm2t"/>
          <w:rFonts w:cs="Old Standard TT"/>
          <w:sz w:val="20"/>
          <w:szCs w:val="20"/>
          <w:lang w:val="fi-FI"/>
        </w:rPr>
        <w:t>é</w:t>
      </w:r>
      <w:r w:rsidRPr="00FB4EFA">
        <w:rPr>
          <w:rStyle w:val="tojvnm2t"/>
          <w:sz w:val="20"/>
          <w:szCs w:val="20"/>
          <w:lang w:val="fi-FI"/>
        </w:rPr>
        <w:t xml:space="preserve"> a dr</w:t>
      </w:r>
      <w:r w:rsidRPr="00FB4EFA">
        <w:rPr>
          <w:rStyle w:val="tojvnm2t"/>
          <w:rFonts w:cs="Old Standard TT"/>
          <w:sz w:val="20"/>
          <w:szCs w:val="20"/>
          <w:lang w:val="fi-FI"/>
        </w:rPr>
        <w:t>á</w:t>
      </w:r>
      <w:r w:rsidRPr="00FB4EFA">
        <w:rPr>
          <w:rStyle w:val="tojvnm2t"/>
          <w:sz w:val="20"/>
          <w:szCs w:val="20"/>
          <w:lang w:val="fi-FI"/>
        </w:rPr>
        <w:t>pky tenounk</w:t>
      </w:r>
      <w:r w:rsidRPr="00FB4EFA">
        <w:rPr>
          <w:rStyle w:val="tojvnm2t"/>
          <w:rFonts w:cs="Old Standard TT"/>
          <w:sz w:val="20"/>
          <w:szCs w:val="20"/>
          <w:lang w:val="fi-FI"/>
        </w:rPr>
        <w:t>é</w:t>
      </w:r>
      <w:r w:rsidRPr="00FB4EFA">
        <w:rPr>
          <w:rStyle w:val="tojvnm2t"/>
          <w:sz w:val="20"/>
          <w:szCs w:val="20"/>
          <w:lang w:val="fi-FI"/>
        </w:rPr>
        <w:t>. 4</w:t>
      </w:r>
      <w:r w:rsidR="00545033" w:rsidRPr="00FB4EFA">
        <w:rPr>
          <w:rStyle w:val="tojvnm2t"/>
          <w:sz w:val="20"/>
          <w:szCs w:val="20"/>
          <w:lang w:val="fi-FI"/>
        </w:rPr>
        <w:t>.</w:t>
      </w:r>
      <w:r w:rsidRPr="00FB4EFA">
        <w:rPr>
          <w:rStyle w:val="tojvnm2t"/>
          <w:sz w:val="20"/>
          <w:szCs w:val="20"/>
          <w:lang w:val="fi-FI"/>
        </w:rPr>
        <w:t xml:space="preserve"> Li</w:t>
      </w:r>
      <w:r w:rsidRPr="00FB4EFA">
        <w:rPr>
          <w:rStyle w:val="tojvnm2t"/>
          <w:rFonts w:cs="Cambria"/>
          <w:sz w:val="20"/>
          <w:szCs w:val="20"/>
          <w:lang w:val="fi-FI"/>
        </w:rPr>
        <w:t>š</w:t>
      </w:r>
      <w:r w:rsidRPr="00FB4EFA">
        <w:rPr>
          <w:rStyle w:val="tojvnm2t"/>
          <w:sz w:val="20"/>
          <w:szCs w:val="20"/>
          <w:lang w:val="fi-FI"/>
        </w:rPr>
        <w:t>ti</w:t>
      </w:r>
      <w:r w:rsidRPr="00FB4EFA">
        <w:rPr>
          <w:rStyle w:val="tojvnm2t"/>
          <w:rFonts w:cs="Cambria"/>
          <w:sz w:val="20"/>
          <w:szCs w:val="20"/>
          <w:lang w:val="fi-FI"/>
        </w:rPr>
        <w:t>č</w:t>
      </w:r>
      <w:r w:rsidRPr="00FB4EFA">
        <w:rPr>
          <w:rStyle w:val="tojvnm2t"/>
          <w:sz w:val="20"/>
          <w:szCs w:val="20"/>
          <w:lang w:val="fi-FI"/>
        </w:rPr>
        <w:t>ka se na n</w:t>
      </w:r>
      <w:r w:rsidRPr="00FB4EFA">
        <w:rPr>
          <w:rStyle w:val="tojvnm2t"/>
          <w:rFonts w:cs="Cambria"/>
          <w:sz w:val="20"/>
          <w:szCs w:val="20"/>
          <w:lang w:val="fi-FI"/>
        </w:rPr>
        <w:t>ě</w:t>
      </w:r>
      <w:r w:rsidRPr="00FB4EFA">
        <w:rPr>
          <w:rStyle w:val="tojvnm2t"/>
          <w:sz w:val="20"/>
          <w:szCs w:val="20"/>
          <w:lang w:val="fi-FI"/>
        </w:rPr>
        <w:t xml:space="preserve"> d</w:t>
      </w:r>
      <w:r w:rsidRPr="00FB4EFA">
        <w:rPr>
          <w:rStyle w:val="tojvnm2t"/>
          <w:rFonts w:cs="Old Standard TT"/>
          <w:sz w:val="20"/>
          <w:szCs w:val="20"/>
          <w:lang w:val="fi-FI"/>
        </w:rPr>
        <w:t>í</w:t>
      </w:r>
      <w:r w:rsidRPr="00FB4EFA">
        <w:rPr>
          <w:rStyle w:val="tojvnm2t"/>
          <w:sz w:val="20"/>
          <w:szCs w:val="20"/>
          <w:lang w:val="fi-FI"/>
        </w:rPr>
        <w:t>v</w:t>
      </w:r>
      <w:r w:rsidRPr="00FB4EFA">
        <w:rPr>
          <w:rStyle w:val="tojvnm2t"/>
          <w:rFonts w:cs="Old Standard TT"/>
          <w:sz w:val="20"/>
          <w:szCs w:val="20"/>
          <w:lang w:val="fi-FI"/>
        </w:rPr>
        <w:t>á</w:t>
      </w:r>
      <w:r w:rsidRPr="00FB4EFA">
        <w:rPr>
          <w:rStyle w:val="tojvnm2t"/>
          <w:sz w:val="20"/>
          <w:szCs w:val="20"/>
          <w:lang w:val="fi-FI"/>
        </w:rPr>
        <w:t xml:space="preserve"> a jej</w:t>
      </w:r>
      <w:r w:rsidRPr="00FB4EFA">
        <w:rPr>
          <w:rStyle w:val="tojvnm2t"/>
          <w:rFonts w:cs="Old Standard TT"/>
          <w:sz w:val="20"/>
          <w:szCs w:val="20"/>
          <w:lang w:val="fi-FI"/>
        </w:rPr>
        <w:t>í</w:t>
      </w:r>
      <w:r w:rsidRPr="00FB4EFA">
        <w:rPr>
          <w:rStyle w:val="tojvnm2t"/>
          <w:sz w:val="20"/>
          <w:szCs w:val="20"/>
          <w:lang w:val="fi-FI"/>
        </w:rPr>
        <w:t xml:space="preserve"> srdce ples</w:t>
      </w:r>
      <w:r w:rsidRPr="00FB4EFA">
        <w:rPr>
          <w:rStyle w:val="tojvnm2t"/>
          <w:rFonts w:cs="Old Standard TT"/>
          <w:sz w:val="20"/>
          <w:szCs w:val="20"/>
          <w:lang w:val="fi-FI"/>
        </w:rPr>
        <w:t>á</w:t>
      </w:r>
      <w:r w:rsidRPr="00FB4EFA">
        <w:rPr>
          <w:rStyle w:val="tojvnm2t"/>
          <w:sz w:val="20"/>
          <w:szCs w:val="20"/>
          <w:lang w:val="fi-FI"/>
        </w:rPr>
        <w:t>. 5. A tak se li</w:t>
      </w:r>
      <w:r w:rsidRPr="00FB4EFA">
        <w:rPr>
          <w:rStyle w:val="tojvnm2t"/>
          <w:rFonts w:cs="Cambria"/>
          <w:sz w:val="20"/>
          <w:szCs w:val="20"/>
          <w:lang w:val="fi-FI"/>
        </w:rPr>
        <w:t>š</w:t>
      </w:r>
      <w:r w:rsidRPr="00FB4EFA">
        <w:rPr>
          <w:rStyle w:val="tojvnm2t"/>
          <w:sz w:val="20"/>
          <w:szCs w:val="20"/>
          <w:lang w:val="fi-FI"/>
        </w:rPr>
        <w:t>ka rozhodla ukázat své d</w:t>
      </w:r>
      <w:r w:rsidRPr="00FB4EFA">
        <w:rPr>
          <w:rStyle w:val="tojvnm2t"/>
          <w:rFonts w:cs="Cambria"/>
          <w:sz w:val="20"/>
          <w:szCs w:val="20"/>
          <w:lang w:val="fi-FI"/>
        </w:rPr>
        <w:t>ě</w:t>
      </w:r>
      <w:r w:rsidRPr="00FB4EFA">
        <w:rPr>
          <w:rStyle w:val="tojvnm2t"/>
          <w:sz w:val="20"/>
          <w:szCs w:val="20"/>
          <w:lang w:val="fi-FI"/>
        </w:rPr>
        <w:t>ti v</w:t>
      </w:r>
      <w:r w:rsidRPr="00FB4EFA">
        <w:rPr>
          <w:rStyle w:val="tojvnm2t"/>
          <w:rFonts w:cs="Cambria"/>
          <w:sz w:val="20"/>
          <w:szCs w:val="20"/>
          <w:lang w:val="fi-FI"/>
        </w:rPr>
        <w:t>š</w:t>
      </w:r>
      <w:r w:rsidRPr="00FB4EFA">
        <w:rPr>
          <w:rStyle w:val="tojvnm2t"/>
          <w:sz w:val="20"/>
          <w:szCs w:val="20"/>
          <w:lang w:val="fi-FI"/>
        </w:rPr>
        <w:t>em obyvatel</w:t>
      </w:r>
      <w:r w:rsidRPr="00FB4EFA">
        <w:rPr>
          <w:rStyle w:val="tojvnm2t"/>
          <w:rFonts w:cs="Cambria"/>
          <w:sz w:val="20"/>
          <w:szCs w:val="20"/>
          <w:lang w:val="fi-FI"/>
        </w:rPr>
        <w:t>ů</w:t>
      </w:r>
      <w:r w:rsidRPr="00FB4EFA">
        <w:rPr>
          <w:rStyle w:val="tojvnm2t"/>
          <w:sz w:val="20"/>
          <w:szCs w:val="20"/>
          <w:lang w:val="fi-FI"/>
        </w:rPr>
        <w:t>m pol</w:t>
      </w:r>
      <w:r w:rsidRPr="00FB4EFA">
        <w:rPr>
          <w:rStyle w:val="tojvnm2t"/>
          <w:rFonts w:cs="Old Standard TT"/>
          <w:sz w:val="20"/>
          <w:szCs w:val="20"/>
          <w:lang w:val="fi-FI"/>
        </w:rPr>
        <w:t>í</w:t>
      </w:r>
      <w:r w:rsidRPr="00FB4EFA">
        <w:rPr>
          <w:rStyle w:val="tojvnm2t"/>
          <w:sz w:val="20"/>
          <w:szCs w:val="20"/>
          <w:lang w:val="fi-FI"/>
        </w:rPr>
        <w:t xml:space="preserve"> a les</w:t>
      </w:r>
      <w:r w:rsidRPr="00FB4EFA">
        <w:rPr>
          <w:rStyle w:val="tojvnm2t"/>
          <w:rFonts w:cs="Cambria"/>
          <w:sz w:val="20"/>
          <w:szCs w:val="20"/>
          <w:lang w:val="fi-FI"/>
        </w:rPr>
        <w:t>ů</w:t>
      </w:r>
      <w:r w:rsidRPr="00FB4EFA">
        <w:rPr>
          <w:rStyle w:val="tojvnm2t"/>
          <w:sz w:val="20"/>
          <w:szCs w:val="20"/>
          <w:lang w:val="fi-FI"/>
        </w:rPr>
        <w:t>.</w:t>
      </w:r>
    </w:p>
    <w:p w14:paraId="0AB85B41" w14:textId="596C85BB" w:rsidR="00EF1775" w:rsidRPr="00FB4EFA" w:rsidRDefault="00EF1775" w:rsidP="00065E48">
      <w:pPr>
        <w:suppressAutoHyphens/>
        <w:spacing w:before="240" w:line="240" w:lineRule="auto"/>
        <w:ind w:left="709"/>
        <w:rPr>
          <w:rStyle w:val="tojvnm2t"/>
          <w:sz w:val="20"/>
          <w:szCs w:val="20"/>
          <w:lang w:val="fi-FI"/>
        </w:rPr>
      </w:pPr>
      <w:r w:rsidRPr="00FB4EFA">
        <w:rPr>
          <w:rStyle w:val="tojvnm2t"/>
          <w:sz w:val="20"/>
          <w:szCs w:val="20"/>
          <w:lang w:val="fi-FI"/>
        </w:rPr>
        <w:t>1</w:t>
      </w:r>
      <w:r w:rsidR="00545033" w:rsidRPr="00FB4EFA">
        <w:rPr>
          <w:rStyle w:val="tojvnm2t"/>
          <w:sz w:val="20"/>
          <w:szCs w:val="20"/>
          <w:lang w:val="fi-FI"/>
        </w:rPr>
        <w:t>.</w:t>
      </w:r>
      <w:r w:rsidRPr="00FB4EFA">
        <w:rPr>
          <w:rStyle w:val="tojvnm2t"/>
          <w:sz w:val="20"/>
          <w:szCs w:val="20"/>
          <w:lang w:val="fi-FI"/>
        </w:rPr>
        <w:t xml:space="preserve"> Na</w:t>
      </w:r>
      <w:r w:rsidRPr="00FB4EFA">
        <w:rPr>
          <w:rStyle w:val="tojvnm2t"/>
          <w:rFonts w:cs="Cambria"/>
          <w:sz w:val="20"/>
          <w:szCs w:val="20"/>
          <w:lang w:val="fi-FI"/>
        </w:rPr>
        <w:t>š</w:t>
      </w:r>
      <w:r w:rsidRPr="00FB4EFA">
        <w:rPr>
          <w:rStyle w:val="tojvnm2t"/>
          <w:sz w:val="20"/>
          <w:szCs w:val="20"/>
          <w:lang w:val="fi-FI"/>
        </w:rPr>
        <w:t xml:space="preserve">la je lija </w:t>
      </w:r>
      <w:r w:rsidRPr="00FB4EFA">
        <w:rPr>
          <w:rStyle w:val="tojvnm2t"/>
          <w:rFonts w:cs="Cambria"/>
          <w:sz w:val="20"/>
          <w:szCs w:val="20"/>
          <w:lang w:val="fi-FI"/>
        </w:rPr>
        <w:t>š</w:t>
      </w:r>
      <w:r w:rsidRPr="00FB4EFA">
        <w:rPr>
          <w:rStyle w:val="tojvnm2t"/>
          <w:sz w:val="20"/>
          <w:szCs w:val="20"/>
          <w:lang w:val="fi-FI"/>
        </w:rPr>
        <w:t>upalj ispod debelog brijesta, kopala je rupu u zemlju i napravila sebi gnijezdo. 2</w:t>
      </w:r>
      <w:r w:rsidR="00545033" w:rsidRPr="00FB4EFA">
        <w:rPr>
          <w:rStyle w:val="tojvnm2t"/>
          <w:sz w:val="20"/>
          <w:szCs w:val="20"/>
          <w:lang w:val="fi-FI"/>
        </w:rPr>
        <w:t>.</w:t>
      </w:r>
      <w:r w:rsidRPr="00FB4EFA">
        <w:rPr>
          <w:rStyle w:val="tojvnm2t"/>
          <w:sz w:val="20"/>
          <w:szCs w:val="20"/>
          <w:lang w:val="fi-FI"/>
        </w:rPr>
        <w:t xml:space="preserve"> Jednog je sun</w:t>
      </w:r>
      <w:r w:rsidRPr="00FB4EFA">
        <w:rPr>
          <w:rStyle w:val="tojvnm2t"/>
          <w:rFonts w:cs="Cambria"/>
          <w:sz w:val="20"/>
          <w:szCs w:val="20"/>
          <w:lang w:val="fi-FI"/>
        </w:rPr>
        <w:t>č</w:t>
      </w:r>
      <w:r w:rsidRPr="00FB4EFA">
        <w:rPr>
          <w:rStyle w:val="tojvnm2t"/>
          <w:sz w:val="20"/>
          <w:szCs w:val="20"/>
          <w:lang w:val="fi-FI"/>
        </w:rPr>
        <w:t xml:space="preserve">anog ljetnog dana rodila </w:t>
      </w:r>
      <w:r w:rsidRPr="00FB4EFA">
        <w:rPr>
          <w:rStyle w:val="tojvnm2t"/>
          <w:rFonts w:cs="Cambria"/>
          <w:sz w:val="20"/>
          <w:szCs w:val="20"/>
          <w:lang w:val="fi-FI"/>
        </w:rPr>
        <w:t>č</w:t>
      </w:r>
      <w:r w:rsidRPr="00FB4EFA">
        <w:rPr>
          <w:rStyle w:val="tojvnm2t"/>
          <w:sz w:val="20"/>
          <w:szCs w:val="20"/>
          <w:lang w:val="fi-FI"/>
        </w:rPr>
        <w:t>etiri mladunca. 3</w:t>
      </w:r>
      <w:r w:rsidR="00545033" w:rsidRPr="00FB4EFA">
        <w:rPr>
          <w:rStyle w:val="tojvnm2t"/>
          <w:sz w:val="20"/>
          <w:szCs w:val="20"/>
          <w:lang w:val="fi-FI"/>
        </w:rPr>
        <w:t>.</w:t>
      </w:r>
      <w:r w:rsidRPr="00FB4EFA">
        <w:rPr>
          <w:rStyle w:val="tojvnm2t"/>
          <w:sz w:val="20"/>
          <w:szCs w:val="20"/>
          <w:lang w:val="fi-FI"/>
        </w:rPr>
        <w:t xml:space="preserve"> Tako su lijepe: u</w:t>
      </w:r>
      <w:r w:rsidRPr="00FB4EFA">
        <w:rPr>
          <w:rStyle w:val="tojvnm2t"/>
          <w:rFonts w:cs="Cambria"/>
          <w:sz w:val="20"/>
          <w:szCs w:val="20"/>
          <w:lang w:val="fi-FI"/>
        </w:rPr>
        <w:t>š</w:t>
      </w:r>
      <w:r w:rsidRPr="00FB4EFA">
        <w:rPr>
          <w:rStyle w:val="tojvnm2t"/>
          <w:sz w:val="20"/>
          <w:szCs w:val="20"/>
          <w:lang w:val="fi-FI"/>
        </w:rPr>
        <w:t>i im su o</w:t>
      </w:r>
      <w:r w:rsidRPr="00FB4EFA">
        <w:rPr>
          <w:rStyle w:val="tojvnm2t"/>
          <w:rFonts w:cs="Cambria"/>
          <w:sz w:val="20"/>
          <w:szCs w:val="20"/>
          <w:lang w:val="fi-FI"/>
        </w:rPr>
        <w:t>š</w:t>
      </w:r>
      <w:r w:rsidRPr="00FB4EFA">
        <w:rPr>
          <w:rStyle w:val="tojvnm2t"/>
          <w:sz w:val="20"/>
          <w:szCs w:val="20"/>
          <w:lang w:val="fi-FI"/>
        </w:rPr>
        <w:t xml:space="preserve">tre, nos i usne crni, repovi </w:t>
      </w:r>
      <w:r w:rsidRPr="00FB4EFA">
        <w:rPr>
          <w:rStyle w:val="tojvnm2t"/>
          <w:rFonts w:cs="Cambria"/>
          <w:sz w:val="20"/>
          <w:szCs w:val="20"/>
          <w:lang w:val="fi-FI"/>
        </w:rPr>
        <w:t>ž</w:t>
      </w:r>
      <w:r w:rsidRPr="00FB4EFA">
        <w:rPr>
          <w:rStyle w:val="tojvnm2t"/>
          <w:sz w:val="20"/>
          <w:szCs w:val="20"/>
          <w:lang w:val="fi-FI"/>
        </w:rPr>
        <w:t>uti, a vrhovi repa bijeli, noge male, kand</w:t>
      </w:r>
      <w:r w:rsidRPr="00FB4EFA">
        <w:rPr>
          <w:rStyle w:val="tojvnm2t"/>
          <w:rFonts w:cs="Cambria"/>
          <w:sz w:val="20"/>
          <w:szCs w:val="20"/>
          <w:lang w:val="fi-FI"/>
        </w:rPr>
        <w:t>ž</w:t>
      </w:r>
      <w:r w:rsidRPr="00FB4EFA">
        <w:rPr>
          <w:rStyle w:val="tojvnm2t"/>
          <w:sz w:val="20"/>
          <w:szCs w:val="20"/>
          <w:lang w:val="fi-FI"/>
        </w:rPr>
        <w:t>e tanke. 4</w:t>
      </w:r>
      <w:r w:rsidR="00545033" w:rsidRPr="00FB4EFA">
        <w:rPr>
          <w:rStyle w:val="tojvnm2t"/>
          <w:sz w:val="20"/>
          <w:szCs w:val="20"/>
          <w:lang w:val="fi-FI"/>
        </w:rPr>
        <w:t>.</w:t>
      </w:r>
      <w:r w:rsidRPr="00FB4EFA">
        <w:rPr>
          <w:rStyle w:val="tojvnm2t"/>
          <w:sz w:val="20"/>
          <w:szCs w:val="20"/>
          <w:lang w:val="fi-FI"/>
        </w:rPr>
        <w:t xml:space="preserve"> Gleda ih lija i srce joj se veseli. 5</w:t>
      </w:r>
      <w:r w:rsidR="00545033" w:rsidRPr="00FB4EFA">
        <w:rPr>
          <w:rStyle w:val="tojvnm2t"/>
          <w:sz w:val="20"/>
          <w:szCs w:val="20"/>
          <w:lang w:val="fi-FI"/>
        </w:rPr>
        <w:t>.</w:t>
      </w:r>
      <w:r w:rsidRPr="00FB4EFA">
        <w:rPr>
          <w:rStyle w:val="tojvnm2t"/>
          <w:sz w:val="20"/>
          <w:szCs w:val="20"/>
          <w:lang w:val="fi-FI"/>
        </w:rPr>
        <w:t xml:space="preserve"> I odlu</w:t>
      </w:r>
      <w:r w:rsidRPr="00FB4EFA">
        <w:rPr>
          <w:rStyle w:val="tojvnm2t"/>
          <w:rFonts w:cs="Cambria"/>
          <w:sz w:val="20"/>
          <w:szCs w:val="20"/>
          <w:lang w:val="fi-FI"/>
        </w:rPr>
        <w:t>č</w:t>
      </w:r>
      <w:r w:rsidRPr="00FB4EFA">
        <w:rPr>
          <w:rStyle w:val="tojvnm2t"/>
          <w:sz w:val="20"/>
          <w:szCs w:val="20"/>
          <w:lang w:val="fi-FI"/>
        </w:rPr>
        <w:t xml:space="preserve">ila je lija pokazati svoju djecu svim stanovnicima polja i </w:t>
      </w:r>
      <w:r w:rsidRPr="00FB4EFA">
        <w:rPr>
          <w:rStyle w:val="tojvnm2t"/>
          <w:rFonts w:cs="Cambria"/>
          <w:sz w:val="20"/>
          <w:szCs w:val="20"/>
          <w:lang w:val="fi-FI"/>
        </w:rPr>
        <w:t>š</w:t>
      </w:r>
      <w:r w:rsidRPr="00FB4EFA">
        <w:rPr>
          <w:rStyle w:val="tojvnm2t"/>
          <w:sz w:val="20"/>
          <w:szCs w:val="20"/>
          <w:lang w:val="fi-FI"/>
        </w:rPr>
        <w:t>uma.</w:t>
      </w:r>
    </w:p>
    <w:p w14:paraId="5D917346" w14:textId="074F8F32" w:rsidR="00EF1775" w:rsidRPr="00FB4EFA" w:rsidRDefault="00EF1775" w:rsidP="00065E48">
      <w:pPr>
        <w:keepLines/>
        <w:suppressAutoHyphens/>
        <w:spacing w:before="240" w:line="240" w:lineRule="auto"/>
        <w:ind w:left="709"/>
        <w:rPr>
          <w:rStyle w:val="tojvnm2t"/>
          <w:rFonts w:ascii="OS Jeremy" w:hAnsi="OS Jeremy"/>
          <w:sz w:val="20"/>
          <w:szCs w:val="20"/>
          <w:lang w:val="fi-FI"/>
        </w:rPr>
      </w:pPr>
      <w:r w:rsidRPr="00FB4EFA">
        <w:rPr>
          <w:rStyle w:val="tojvnm2t"/>
          <w:rFonts w:ascii="OS Jeremy" w:hAnsi="OS Jeremy"/>
          <w:sz w:val="20"/>
          <w:szCs w:val="20"/>
          <w:lang w:val="fi-FI"/>
        </w:rPr>
        <w:t>1</w:t>
      </w:r>
      <w:r w:rsidR="00545033" w:rsidRPr="00FB4EFA">
        <w:rPr>
          <w:rStyle w:val="tojvnm2t"/>
          <w:rFonts w:ascii="OS Jeremy" w:hAnsi="OS Jeremy"/>
          <w:sz w:val="20"/>
          <w:szCs w:val="20"/>
          <w:lang w:val="fi-FI"/>
        </w:rPr>
        <w:t>.</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Лисицата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намери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под</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дебелия</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бряст</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кухина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изкопа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в</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земята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дупка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направи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там</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бърлога</w:t>
      </w:r>
      <w:r w:rsidRPr="00FB4EFA">
        <w:rPr>
          <w:rStyle w:val="tojvnm2t"/>
          <w:rFonts w:ascii="OS Jeremy" w:hAnsi="OS Jeremy"/>
          <w:sz w:val="20"/>
          <w:szCs w:val="20"/>
          <w:lang w:val="fi-FI"/>
        </w:rPr>
        <w:t>. 2</w:t>
      </w:r>
      <w:r w:rsidR="00545033" w:rsidRPr="00FB4EFA">
        <w:rPr>
          <w:rStyle w:val="tojvnm2t"/>
          <w:rFonts w:ascii="OS Jeremy" w:hAnsi="OS Jeremy"/>
          <w:sz w:val="20"/>
          <w:szCs w:val="20"/>
          <w:lang w:val="fi-FI"/>
        </w:rPr>
        <w:t>.</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В</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един</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слънчев</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летен</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ден</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се</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родиха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четири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лисичета</w:t>
      </w:r>
      <w:r w:rsidRPr="00FB4EFA">
        <w:rPr>
          <w:rStyle w:val="tojvnm2t"/>
          <w:rFonts w:ascii="OS Jeremy" w:hAnsi="OS Jeremy"/>
          <w:sz w:val="20"/>
          <w:szCs w:val="20"/>
          <w:lang w:val="fi-FI"/>
        </w:rPr>
        <w:t>. 3</w:t>
      </w:r>
      <w:r w:rsidR="00545033" w:rsidRPr="00FB4EFA">
        <w:rPr>
          <w:rStyle w:val="tojvnm2t"/>
          <w:rFonts w:ascii="OS Jeremy" w:hAnsi="OS Jeremy"/>
          <w:sz w:val="20"/>
          <w:szCs w:val="20"/>
          <w:lang w:val="fi-FI"/>
        </w:rPr>
        <w:t>.</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Те</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толкова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хубави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имат</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остри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уши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нослетата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устните</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им</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черни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опашчиците</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жълти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но</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връхчетата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им</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бели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краченцата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им</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мънички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ноктите</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тънички</w:t>
      </w:r>
      <w:r w:rsidRPr="00FB4EFA">
        <w:rPr>
          <w:rStyle w:val="tojvnm2t"/>
          <w:rFonts w:ascii="OS Jeremy" w:hAnsi="OS Jeremy"/>
          <w:sz w:val="20"/>
          <w:szCs w:val="20"/>
          <w:lang w:val="fi-FI"/>
        </w:rPr>
        <w:t>. 4</w:t>
      </w:r>
      <w:r w:rsidR="00545033" w:rsidRPr="00FB4EFA">
        <w:rPr>
          <w:rStyle w:val="tojvnm2t"/>
          <w:rFonts w:ascii="OS Jeremy" w:hAnsi="OS Jeremy"/>
          <w:sz w:val="20"/>
          <w:szCs w:val="20"/>
          <w:lang w:val="fi-FI"/>
        </w:rPr>
        <w:t>.</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Майката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лисица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ги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гледа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сърцето</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се</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радва</w:t>
      </w:r>
      <w:r w:rsidRPr="00FB4EFA">
        <w:rPr>
          <w:rStyle w:val="tojvnm2t"/>
          <w:rFonts w:ascii="OS Jeremy" w:hAnsi="OS Jeremy"/>
          <w:sz w:val="20"/>
          <w:szCs w:val="20"/>
          <w:lang w:val="fi-FI"/>
        </w:rPr>
        <w:t>. 5</w:t>
      </w:r>
      <w:r w:rsidR="00545033" w:rsidRPr="00FB4EFA">
        <w:rPr>
          <w:rStyle w:val="tojvnm2t"/>
          <w:rFonts w:ascii="OS Jeremy" w:hAnsi="OS Jeremy"/>
          <w:sz w:val="20"/>
          <w:szCs w:val="20"/>
          <w:lang w:val="fi-FI"/>
        </w:rPr>
        <w:t>.</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тогава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реши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да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покаже</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децата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си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на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всички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обитатели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на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полетата</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и</w:t>
      </w:r>
      <w:r w:rsidRPr="00FB4EFA">
        <w:rPr>
          <w:rStyle w:val="tojvnm2t"/>
          <w:rFonts w:ascii="OS Jeremy" w:hAnsi="OS Jeremy"/>
          <w:sz w:val="20"/>
          <w:szCs w:val="20"/>
          <w:lang w:val="fi-FI"/>
        </w:rPr>
        <w:t xml:space="preserve"> </w:t>
      </w:r>
      <w:r w:rsidRPr="00FB4EFA">
        <w:rPr>
          <w:rStyle w:val="tojvnm2t"/>
          <w:rFonts w:ascii="OS Jeremy" w:hAnsi="OS Jeremy" w:cs="Cambria"/>
          <w:sz w:val="20"/>
          <w:szCs w:val="20"/>
          <w:lang w:val="fi-FI"/>
        </w:rPr>
        <w:t>горите</w:t>
      </w:r>
      <w:r w:rsidRPr="00FB4EFA">
        <w:rPr>
          <w:rStyle w:val="tojvnm2t"/>
          <w:rFonts w:ascii="OS Jeremy" w:hAnsi="OS Jeremy"/>
          <w:sz w:val="20"/>
          <w:szCs w:val="20"/>
          <w:lang w:val="fi-FI"/>
        </w:rPr>
        <w:t>.</w:t>
      </w:r>
    </w:p>
    <w:p w14:paraId="29AB26A1" w14:textId="620AD1D4" w:rsidR="00165DE0" w:rsidRPr="00FB4EFA" w:rsidRDefault="00EF1775" w:rsidP="00065E48">
      <w:pPr>
        <w:suppressAutoHyphens/>
        <w:spacing w:before="240" w:line="240" w:lineRule="auto"/>
        <w:ind w:left="709"/>
        <w:rPr>
          <w:sz w:val="20"/>
          <w:szCs w:val="20"/>
          <w:lang w:val="fi-FI" w:eastAsia="en-GB"/>
        </w:rPr>
      </w:pPr>
      <w:r w:rsidRPr="00FB4EFA">
        <w:rPr>
          <w:sz w:val="20"/>
          <w:szCs w:val="20"/>
          <w:lang w:val="fi-FI"/>
        </w:rPr>
        <w:t>1</w:t>
      </w:r>
      <w:r w:rsidR="00545033" w:rsidRPr="00FB4EFA">
        <w:rPr>
          <w:sz w:val="20"/>
          <w:szCs w:val="20"/>
          <w:lang w:val="fi-FI"/>
        </w:rPr>
        <w:t>.</w:t>
      </w:r>
      <w:r w:rsidRPr="00FB4EFA">
        <w:rPr>
          <w:sz w:val="20"/>
          <w:szCs w:val="20"/>
          <w:lang w:val="fi-FI"/>
        </w:rPr>
        <w:t xml:space="preserve"> Kettu löysi kolon paksun jalavan alta, kaivoi maahan kuopan ja laittoi sinne itselleen pesän. 2</w:t>
      </w:r>
      <w:r w:rsidR="00545033" w:rsidRPr="00FB4EFA">
        <w:rPr>
          <w:sz w:val="20"/>
          <w:szCs w:val="20"/>
          <w:lang w:val="fi-FI"/>
        </w:rPr>
        <w:t>.</w:t>
      </w:r>
      <w:r w:rsidRPr="00FB4EFA">
        <w:rPr>
          <w:sz w:val="20"/>
          <w:szCs w:val="20"/>
          <w:lang w:val="fi-FI"/>
        </w:rPr>
        <w:t xml:space="preserve"> Aurinkoisena kesäpäivänä sille syntyi neljä ketunpoikasta. 3</w:t>
      </w:r>
      <w:r w:rsidR="00545033" w:rsidRPr="00FB4EFA">
        <w:rPr>
          <w:sz w:val="20"/>
          <w:szCs w:val="20"/>
          <w:lang w:val="fi-FI"/>
        </w:rPr>
        <w:t>.</w:t>
      </w:r>
      <w:r w:rsidRPr="00FB4EFA">
        <w:rPr>
          <w:sz w:val="20"/>
          <w:szCs w:val="20"/>
          <w:lang w:val="fi-FI"/>
        </w:rPr>
        <w:t xml:space="preserve"> Ne ovat niin kauniit: niillä on terävät korvat, nenänpäät ja huulet ovat mustat, pikkuhännät keltaiset, mutta hännänpäät valkoiset, jalat ovat pienet, kynnet ohkaiset. 4</w:t>
      </w:r>
      <w:r w:rsidR="00545033" w:rsidRPr="00FB4EFA">
        <w:rPr>
          <w:sz w:val="20"/>
          <w:szCs w:val="20"/>
          <w:lang w:val="fi-FI"/>
        </w:rPr>
        <w:t>.</w:t>
      </w:r>
      <w:r w:rsidRPr="00FB4EFA">
        <w:rPr>
          <w:sz w:val="20"/>
          <w:szCs w:val="20"/>
          <w:lang w:val="fi-FI"/>
        </w:rPr>
        <w:t xml:space="preserve"> Kettuemo katsoo niitä ja sen sydän iloitsee. 5</w:t>
      </w:r>
      <w:r w:rsidR="00545033" w:rsidRPr="00FB4EFA">
        <w:rPr>
          <w:sz w:val="20"/>
          <w:szCs w:val="20"/>
          <w:lang w:val="fi-FI"/>
        </w:rPr>
        <w:t>.</w:t>
      </w:r>
      <w:r w:rsidRPr="00FB4EFA">
        <w:rPr>
          <w:sz w:val="20"/>
          <w:szCs w:val="20"/>
          <w:lang w:val="fi-FI"/>
        </w:rPr>
        <w:t xml:space="preserve"> Niinpä kettu päätti näyttää lapsiaan kaikille peltojen ja metsien asukkaille.</w:t>
      </w:r>
    </w:p>
    <w:p w14:paraId="0A171E00" w14:textId="77777777" w:rsidR="00A96E85" w:rsidRPr="00FB4EFA" w:rsidRDefault="00A96E85" w:rsidP="00065E48">
      <w:pPr>
        <w:suppressAutoHyphens/>
        <w:spacing w:after="160"/>
        <w:rPr>
          <w:smallCaps/>
          <w:sz w:val="48"/>
          <w:szCs w:val="48"/>
          <w:lang w:val="fi-FI"/>
        </w:rPr>
        <w:sectPr w:rsidR="00A96E85" w:rsidRPr="00FB4EFA">
          <w:headerReference w:type="even" r:id="rId237"/>
          <w:headerReference w:type="default" r:id="rId238"/>
          <w:headerReference w:type="first" r:id="rId239"/>
          <w:footnotePr>
            <w:numRestart w:val="eachSect"/>
          </w:footnotePr>
          <w:pgSz w:w="9180" w:h="13302"/>
          <w:pgMar w:top="779" w:right="1133" w:bottom="1132" w:left="1133" w:header="744" w:footer="720" w:gutter="0"/>
          <w:cols w:space="720"/>
          <w:titlePg/>
        </w:sectPr>
      </w:pPr>
      <w:bookmarkStart w:id="38" w:name="_Toc87547003"/>
      <w:bookmarkEnd w:id="36"/>
    </w:p>
    <w:p w14:paraId="3D0BE96F" w14:textId="77777777" w:rsidR="00EA1695" w:rsidRDefault="00EA1695" w:rsidP="00994E2A">
      <w:pPr>
        <w:pStyle w:val="Heading1"/>
        <w:suppressAutoHyphens/>
        <w:spacing w:after="1080" w:line="259" w:lineRule="auto"/>
        <w:jc w:val="center"/>
        <w:rPr>
          <w:rFonts w:ascii="Cambria" w:hAnsi="Cambria"/>
          <w:color w:val="auto"/>
          <w:sz w:val="48"/>
          <w:szCs w:val="48"/>
          <w:lang w:val="de-AT"/>
        </w:rPr>
        <w:sectPr w:rsidR="00EA1695">
          <w:headerReference w:type="even" r:id="rId240"/>
          <w:headerReference w:type="default" r:id="rId241"/>
          <w:headerReference w:type="first" r:id="rId242"/>
          <w:footnotePr>
            <w:numRestart w:val="eachSect"/>
          </w:footnotePr>
          <w:pgSz w:w="9180" w:h="13302"/>
          <w:pgMar w:top="779" w:right="1133" w:bottom="1132" w:left="1133" w:header="744" w:footer="720" w:gutter="0"/>
          <w:cols w:space="720"/>
          <w:titlePg/>
        </w:sectPr>
      </w:pPr>
    </w:p>
    <w:p w14:paraId="33E6926F" w14:textId="70831652" w:rsidR="00A96E85" w:rsidRPr="00FB4EFA" w:rsidRDefault="00A96E85" w:rsidP="00994E2A">
      <w:pPr>
        <w:pStyle w:val="Heading1"/>
        <w:suppressAutoHyphens/>
        <w:spacing w:after="1080" w:line="259" w:lineRule="auto"/>
        <w:jc w:val="center"/>
        <w:rPr>
          <w:rFonts w:ascii="Cambria" w:hAnsi="Cambria"/>
          <w:color w:val="auto"/>
          <w:sz w:val="48"/>
          <w:szCs w:val="48"/>
          <w:lang w:val="de-AT"/>
        </w:rPr>
      </w:pPr>
      <w:r w:rsidRPr="00FB4EFA">
        <w:rPr>
          <w:rFonts w:ascii="Cambria" w:hAnsi="Cambria"/>
          <w:color w:val="auto"/>
          <w:sz w:val="48"/>
          <w:szCs w:val="48"/>
          <w:lang w:val="de-AT"/>
        </w:rPr>
        <w:lastRenderedPageBreak/>
        <w:t>III.</w:t>
      </w:r>
      <w:bookmarkEnd w:id="38"/>
    </w:p>
    <w:p w14:paraId="2F8C7B26" w14:textId="77777777" w:rsidR="00A96E85" w:rsidRPr="00FB4EFA" w:rsidRDefault="00A96E85" w:rsidP="00402EF4"/>
    <w:p w14:paraId="3B5D3DF1" w14:textId="77777777" w:rsidR="00A96E85" w:rsidRPr="00FB4EFA" w:rsidRDefault="00A96E85" w:rsidP="00402EF4">
      <w:r w:rsidRPr="00FB4EFA">
        <w:rPr>
          <w:noProof/>
          <w:sz w:val="48"/>
          <w:szCs w:val="48"/>
        </w:rPr>
        <w:drawing>
          <wp:inline distT="0" distB="0" distL="0" distR="0" wp14:anchorId="40CCB6D4" wp14:editId="088EB225">
            <wp:extent cx="4390390" cy="3073717"/>
            <wp:effectExtent l="0" t="0" r="0" b="0"/>
            <wp:docPr id="8" name="Picture 8" descr="A picture containing text,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window&#10;&#10;Description automatically generated"/>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390390" cy="3073717"/>
                    </a:xfrm>
                    <a:prstGeom prst="rect">
                      <a:avLst/>
                    </a:prstGeom>
                    <a:noFill/>
                    <a:ln>
                      <a:noFill/>
                    </a:ln>
                  </pic:spPr>
                </pic:pic>
              </a:graphicData>
            </a:graphic>
          </wp:inline>
        </w:drawing>
      </w:r>
    </w:p>
    <w:p w14:paraId="031E17ED" w14:textId="77777777" w:rsidR="00A96E85" w:rsidRPr="00FB4EFA" w:rsidRDefault="00A96E85" w:rsidP="00AF0CAD">
      <w:pPr>
        <w:pStyle w:val="Authors"/>
        <w:spacing w:line="259" w:lineRule="auto"/>
        <w:rPr>
          <w:color w:val="auto"/>
          <w:lang w:val="de-AT"/>
        </w:rPr>
      </w:pPr>
      <w:r w:rsidRPr="00FB4EFA">
        <w:rPr>
          <w:color w:val="auto"/>
          <w:lang w:val="de-AT"/>
        </w:rPr>
        <w:t>(Luan Hammer)</w:t>
      </w:r>
    </w:p>
    <w:p w14:paraId="34889C9D" w14:textId="77777777" w:rsidR="00A96E85" w:rsidRPr="00FB4EFA" w:rsidRDefault="00A96E85" w:rsidP="00402EF4"/>
    <w:p w14:paraId="77ED11BE" w14:textId="77777777" w:rsidR="00A96E85" w:rsidRPr="00FB4EFA" w:rsidRDefault="00A96E85" w:rsidP="00402EF4">
      <w:pPr>
        <w:spacing w:before="1080" w:after="240"/>
        <w:jc w:val="center"/>
        <w:rPr>
          <w:smallCaps/>
          <w:sz w:val="48"/>
          <w:szCs w:val="48"/>
        </w:rPr>
      </w:pPr>
      <w:r w:rsidRPr="00FB4EFA">
        <w:rPr>
          <w:smallCaps/>
          <w:sz w:val="48"/>
          <w:szCs w:val="48"/>
        </w:rPr>
        <w:t>Sprachwissenschaft</w:t>
      </w:r>
    </w:p>
    <w:p w14:paraId="5CCEADA4" w14:textId="77777777" w:rsidR="00A96E85" w:rsidRPr="00FB4EFA" w:rsidRDefault="00A96E85" w:rsidP="00402EF4">
      <w:pPr>
        <w:spacing w:after="160"/>
        <w:jc w:val="center"/>
        <w:rPr>
          <w:smallCaps/>
          <w:sz w:val="48"/>
          <w:szCs w:val="48"/>
        </w:rPr>
        <w:sectPr w:rsidR="00A96E85" w:rsidRPr="00FB4EFA" w:rsidSect="00EA1695">
          <w:footnotePr>
            <w:numRestart w:val="eachSect"/>
          </w:footnotePr>
          <w:type w:val="oddPage"/>
          <w:pgSz w:w="9180" w:h="13302"/>
          <w:pgMar w:top="779" w:right="1133" w:bottom="1132" w:left="1133" w:header="744" w:footer="720" w:gutter="0"/>
          <w:cols w:space="720"/>
          <w:titlePg/>
        </w:sectPr>
      </w:pPr>
    </w:p>
    <w:p w14:paraId="7FE86416" w14:textId="77777777" w:rsidR="00A96E85" w:rsidRPr="00FB4EFA" w:rsidRDefault="00A96E85" w:rsidP="00AF0CAD">
      <w:pPr>
        <w:pStyle w:val="Authors"/>
        <w:spacing w:line="259" w:lineRule="auto"/>
        <w:rPr>
          <w:color w:val="auto"/>
          <w:lang w:val="de-AT"/>
        </w:rPr>
      </w:pPr>
      <w:r w:rsidRPr="00FB4EFA">
        <w:rPr>
          <w:color w:val="auto"/>
          <w:lang w:val="de-AT"/>
        </w:rPr>
        <w:lastRenderedPageBreak/>
        <w:t>Rigina Ajanki</w:t>
      </w:r>
    </w:p>
    <w:p w14:paraId="4BF03BAB" w14:textId="77777777" w:rsidR="000121EA" w:rsidRPr="00FB4EFA" w:rsidRDefault="000121EA" w:rsidP="000121EA">
      <w:pPr>
        <w:rPr>
          <w:lang w:val="en-GB"/>
        </w:rPr>
      </w:pPr>
      <w:bookmarkStart w:id="39" w:name="_Toc87547004"/>
      <w:bookmarkStart w:id="40" w:name="_Ref90999293"/>
    </w:p>
    <w:p w14:paraId="74F1A2BC" w14:textId="383B1FCE" w:rsidR="00A96E85" w:rsidRPr="00FB4EFA" w:rsidRDefault="00A96E85" w:rsidP="00AC1192">
      <w:pPr>
        <w:pStyle w:val="Heading1"/>
        <w:suppressAutoHyphens/>
        <w:spacing w:line="259" w:lineRule="auto"/>
        <w:ind w:right="74"/>
        <w:rPr>
          <w:color w:val="auto"/>
          <w:lang w:val="fi-FI"/>
        </w:rPr>
      </w:pPr>
      <w:r w:rsidRPr="00FB4EFA">
        <w:rPr>
          <w:color w:val="auto"/>
          <w:lang w:val="fi-FI"/>
        </w:rPr>
        <w:t>Preesenstunnuksesta *</w:t>
      </w:r>
      <w:r w:rsidR="00E82DE3" w:rsidRPr="00FB4EFA">
        <w:rPr>
          <w:color w:val="auto"/>
          <w:lang w:val="fi-FI"/>
        </w:rPr>
        <w:t>-</w:t>
      </w:r>
      <w:r w:rsidRPr="00FB4EFA">
        <w:rPr>
          <w:i/>
          <w:iCs/>
          <w:color w:val="auto"/>
          <w:lang w:val="fi-FI"/>
        </w:rPr>
        <w:t>k</w:t>
      </w:r>
      <w:r w:rsidR="00E82DE3" w:rsidRPr="00FB4EFA">
        <w:rPr>
          <w:i/>
          <w:iCs/>
          <w:color w:val="auto"/>
          <w:lang w:val="fi-FI"/>
        </w:rPr>
        <w:t>-</w:t>
      </w:r>
      <w:r w:rsidRPr="00FB4EFA">
        <w:rPr>
          <w:color w:val="auto"/>
          <w:lang w:val="fi-FI"/>
        </w:rPr>
        <w:t xml:space="preserve"> ja persoonatunnusten muutoksesta länsiuralissa</w:t>
      </w:r>
      <w:bookmarkEnd w:id="39"/>
      <w:bookmarkEnd w:id="40"/>
    </w:p>
    <w:p w14:paraId="4F74ACA9" w14:textId="774CD92F" w:rsidR="0076526E" w:rsidRPr="00FB4EFA" w:rsidRDefault="0076526E" w:rsidP="00AF0CAD">
      <w:pPr>
        <w:rPr>
          <w:lang w:val="fi-FI"/>
        </w:rPr>
      </w:pPr>
      <w:r w:rsidRPr="00FB4EFA">
        <w:rPr>
          <w:lang w:val="fi-FI"/>
        </w:rPr>
        <w:t>Pohdin kirjoituksessani verbintaivutuksen kehitystä kantauralista länsiuralilaisiin kieliin ja länsiuralista itämerensuomalaisiin, saamelais- ja mordvalaiskieliin. Erityisesti tarkastelen oletettua *</w:t>
      </w:r>
      <w:r w:rsidR="00E82DE3" w:rsidRPr="00FB4EFA">
        <w:rPr>
          <w:lang w:val="fi-FI"/>
        </w:rPr>
        <w:t>-</w:t>
      </w:r>
      <w:r w:rsidRPr="00FB4EFA">
        <w:rPr>
          <w:i/>
          <w:iCs/>
          <w:lang w:val="fi-FI"/>
        </w:rPr>
        <w:t>k</w:t>
      </w:r>
      <w:r w:rsidRPr="00FB4EFA">
        <w:rPr>
          <w:lang w:val="fi-FI"/>
        </w:rPr>
        <w:t>-preesenstunnusta sekä persoonan ja luvun merkintää verbin preesenstaivutuksessa.</w:t>
      </w:r>
    </w:p>
    <w:p w14:paraId="4A10B539" w14:textId="5E4B9F2F" w:rsidR="0076526E" w:rsidRPr="00FB4EFA" w:rsidRDefault="0076526E" w:rsidP="00402EF4">
      <w:pPr>
        <w:ind w:firstLine="709"/>
        <w:rPr>
          <w:lang w:val="fi-FI"/>
        </w:rPr>
      </w:pPr>
      <w:r w:rsidRPr="00FB4EFA">
        <w:rPr>
          <w:lang w:val="fi-FI"/>
        </w:rPr>
        <w:t>Lähden liikkeelle siitä, miten verbi taipui preesensissä kantauralissa. Kuten Johanna Laaksokin (1997) toteaa, uskon, että kantauralissa on tehty ero nominien ja verbien välille. Yhtenä vasta-argumenttina on usein nostettu esiin nomen-verbumit, jotka Laakso (1997: 71) määrittelee vartaloiksi, jotka voivat toimia sekä nominina että verbinä. Sen lisäksi, että on sanoja, jotka ovat voineet syntaktisesta asemastaan riippuen taipua sekä verbien että nominien tapaan, on myös seikkoja, joiden perusteella voi olettaa, että predikaattiasemassa oleva sana on voinut taipua samalla tavalla riippumatta siitä, onko se verbi vai nomini. Se, että tietyissä syntaktisissa funktioissa taivutus on samankaltaista sanaluokasta huolimatta, ei todista, että sanaluokkaeroja ei tehdä tai olisi tehty. Koska sanojen taipumista on tarkasteltava niiden kaikissa eri funktioissa, ei vain predikaattiasemassa, huomaa pian, että esim. verbit ovat muissa funktioissa, kuten lauseen subjektina, vaatineet nominaalistamista jo kantauralissa. Verbin nominaalistajia löytyy useita ja ne ovat myös laajalevikkisiä (Kangasmaa-Minn 1988)</w:t>
      </w:r>
      <w:r w:rsidR="00A8325C" w:rsidRPr="00FB4EFA">
        <w:rPr>
          <w:lang w:val="fi-FI"/>
        </w:rPr>
        <w:t>.</w:t>
      </w:r>
      <w:r w:rsidRPr="00FB4EFA">
        <w:rPr>
          <w:lang w:val="fi-FI"/>
        </w:rPr>
        <w:t xml:space="preserve"> Lisäksi, kuten Laaksokin (1997) osoittaa, kantauraliin rekonstruoidut verbin johdinainekset ovat laajalevikkisiä ja niitä on runsaasti.</w:t>
      </w:r>
    </w:p>
    <w:p w14:paraId="7E051FC6" w14:textId="77777777" w:rsidR="0076526E" w:rsidRPr="00FB4EFA" w:rsidRDefault="0076526E" w:rsidP="00402EF4">
      <w:pPr>
        <w:ind w:firstLine="720"/>
        <w:rPr>
          <w:rFonts w:cs="Times New Roman"/>
          <w:szCs w:val="24"/>
          <w:lang w:val="fi-FI"/>
        </w:rPr>
      </w:pPr>
      <w:r w:rsidRPr="00FB4EFA">
        <w:rPr>
          <w:rFonts w:cs="Times New Roman"/>
          <w:szCs w:val="24"/>
          <w:lang w:val="fi-FI"/>
        </w:rPr>
        <w:t>Eri puolilta kielikuntaa on näyttöä siitä, että verbien nominaaliset muodot ja nominipredikaattien morfosyntaksi vaikuttavat verbipredikaatteihin. Predikaattiasemaiset nominaaliset lauseenjäsenet lisäävät morfeemivarantoa, josta uralilaiset kielet voivat louhia morfeemeja finiittiverbin taivutukseen, kuten alempana osoitan. Osassa kieliä taas verbin finiittinen taivutus on laajentunut nominaalistenkin predikaattien käyttöön; tällä tarkoitan mordvalais- ja samojedikielten nominikonjugaatiota.</w:t>
      </w:r>
    </w:p>
    <w:p w14:paraId="25A0E77E" w14:textId="77777777" w:rsidR="0076526E" w:rsidRPr="00FB4EFA" w:rsidRDefault="0076526E" w:rsidP="00402EF4">
      <w:pPr>
        <w:ind w:firstLine="709"/>
        <w:rPr>
          <w:lang w:val="en-US"/>
        </w:rPr>
      </w:pPr>
      <w:r w:rsidRPr="00FB4EFA">
        <w:rPr>
          <w:lang w:val="fi-FI"/>
        </w:rPr>
        <w:lastRenderedPageBreak/>
        <w:t xml:space="preserve">Predikaattirakenteiden hyödyntäminen toimii siis uralilaiskielissä kaksisuuntaisesti: kopulattomien nominaalisten predikaattirakenteiden morfeemit, kuten preesenspartisiippi ja monikon nominatiivi, reanalysoidaan usein tempus- ja persoonatunnuksiksi; kopulallisista nominaalipredikaattirakenteista taas saadaan uusia tempuksia ja moduksia. Myös Laakso on käsitellyt laajassa tuotannossaan mm. verbinjohtamista ja sanaluokkaeroja. </w:t>
      </w:r>
      <w:r w:rsidRPr="00FB4EFA">
        <w:rPr>
          <w:lang w:val="en-US"/>
        </w:rPr>
        <w:t>Laakso (1997: 297) kirjoittaa:</w:t>
      </w:r>
    </w:p>
    <w:p w14:paraId="28DD8A4B" w14:textId="54B5C896" w:rsidR="0076526E" w:rsidRPr="00FB4EFA" w:rsidRDefault="00D7279E" w:rsidP="00CC79AF">
      <w:pPr>
        <w:spacing w:before="240" w:after="240" w:line="240" w:lineRule="auto"/>
        <w:ind w:left="720"/>
        <w:rPr>
          <w:rFonts w:cs="Times New Roman"/>
          <w:sz w:val="20"/>
          <w:lang w:val="en-US"/>
        </w:rPr>
      </w:pPr>
      <w:r w:rsidRPr="00FB4EFA">
        <w:rPr>
          <w:rFonts w:cs="Times New Roman"/>
          <w:sz w:val="20"/>
          <w:lang w:val="en-US"/>
        </w:rPr>
        <w:t>”</w:t>
      </w:r>
      <w:r w:rsidR="0076526E" w:rsidRPr="00FB4EFA">
        <w:rPr>
          <w:rFonts w:cs="Times New Roman"/>
          <w:sz w:val="20"/>
          <w:lang w:val="en-US"/>
        </w:rPr>
        <w:t>It is especially worth noting that the history of Uralic derivational morphology cannot be described (only) as a directional development from phase A to phase B – e.g. along a universal grammaticalization path that would include (only) reduction of form and either specialization or widening of semantic features. On the contrary, it seems that at least these derivational suffixes either retain or repeatedly recreate their structure and function.”</w:t>
      </w:r>
    </w:p>
    <w:p w14:paraId="560F1797" w14:textId="77777777" w:rsidR="0076526E" w:rsidRPr="00FB4EFA" w:rsidRDefault="0076526E" w:rsidP="00402EF4">
      <w:pPr>
        <w:rPr>
          <w:lang w:val="fi-FI"/>
        </w:rPr>
      </w:pPr>
      <w:r w:rsidRPr="00FB4EFA">
        <w:rPr>
          <w:lang w:val="fi-FI"/>
        </w:rPr>
        <w:t>Johtomorfologian muutosprosessien ohessa myös verbien persoonataivutuksessa tapahtuvat muutokset ovat vaikeasti kuvattavissa kieliopillistumisen kautta. Vaikka persoonaan viittaavat ainekset ovat alkujaan oletettavasti kieliopillistuneet vapaista persoonapronomineista, nykykielten varioivat paradigmat osoittavat, että verbintaivutuselementit ovat olleet muutoksessa kautta historian. Muutoksiin liittyy äänteellistä kulumista ja kieliopillistumista, mutta myös muutoksia, joissa nominaalisten predikaattirakenteiden morfeemit ja finiittitaivutuksen morfeemit liikkuvat nominaalisista rakenteista verbipredikaatteihin ja verbeistä nomineihin.</w:t>
      </w:r>
    </w:p>
    <w:p w14:paraId="1C08EC7A" w14:textId="77777777" w:rsidR="0076526E" w:rsidRPr="00FB4EFA" w:rsidRDefault="0076526E" w:rsidP="00402EF4">
      <w:pPr>
        <w:ind w:firstLine="709"/>
        <w:rPr>
          <w:lang w:val="fi-FI"/>
        </w:rPr>
      </w:pPr>
      <w:r w:rsidRPr="00FB4EFA">
        <w:rPr>
          <w:lang w:val="fi-FI"/>
        </w:rPr>
        <w:t>Vaikka mordvalais- ja samojedikielissä nominit taipuvat persoonassa predikaattiasemassa, persoonan merkintä morfologisin tunnuksin on uralilaiskielissä tyypillistä etupäässä verbeille. Persoonatunnuksina esiintyy uralilaisissa kielissä sekä subjektia koodaavia morfeemeja että morfeemeja, joissa yhdistyy tieto sekä subjektista että objektista. Käsittelen tässä tekstissä ainoastaan subjektikonjugaation rakennuselementtejä.</w:t>
      </w:r>
    </w:p>
    <w:p w14:paraId="1D64B806" w14:textId="77777777" w:rsidR="0076526E" w:rsidRPr="00FB4EFA" w:rsidRDefault="0076526E" w:rsidP="00402EF4">
      <w:pPr>
        <w:ind w:firstLine="709"/>
        <w:rPr>
          <w:lang w:val="fi-FI"/>
        </w:rPr>
      </w:pPr>
      <w:r w:rsidRPr="00FB4EFA">
        <w:rPr>
          <w:lang w:val="fi-FI"/>
        </w:rPr>
        <w:t>Persoonatunnukset säilyvät hyvin etenkin yksikössä, kun taas monikollisen subjektin kohdalla näyttää siltä, että niitä luodaan toistuvasti uudelleen. Kolmannen persoonan muodot taas ovat uralilaiskielissä yleisesti diakronisesta näkökulmasta verbien nominaalisia muotoja ja persoonan suhteen morfologisesti merkitsemättömiä.</w:t>
      </w:r>
    </w:p>
    <w:p w14:paraId="3BF47E65" w14:textId="5EADA67F" w:rsidR="0076526E" w:rsidRPr="00FB4EFA" w:rsidRDefault="0076526E" w:rsidP="00AF0CAD">
      <w:pPr>
        <w:ind w:firstLine="709"/>
        <w:rPr>
          <w:lang w:val="fi-FI"/>
        </w:rPr>
      </w:pPr>
      <w:r w:rsidRPr="00FB4EFA">
        <w:rPr>
          <w:lang w:val="fi-FI"/>
        </w:rPr>
        <w:t xml:space="preserve">Kirjoitukseni yksityiskohtaisin osa keskittyy kuitenkin persoonataivutuksen rinnalla esiintyvään, toiseen predikaateille ominaiseen </w:t>
      </w:r>
      <w:r w:rsidRPr="00FB4EFA">
        <w:rPr>
          <w:lang w:val="fi-FI"/>
        </w:rPr>
        <w:lastRenderedPageBreak/>
        <w:t>kategoriaan eli tempukseen, tarkemmin määritellen preesenstunnukseen, joskus kantasuomeen ja toisinaan kantauraliinkin rekonstruoituun suffiksiin *</w:t>
      </w:r>
      <w:r w:rsidR="00E82DE3" w:rsidRPr="00FB4EFA">
        <w:rPr>
          <w:lang w:val="fi-FI"/>
        </w:rPr>
        <w:t>-</w:t>
      </w:r>
      <w:r w:rsidRPr="00FB4EFA">
        <w:rPr>
          <w:i/>
          <w:iCs/>
          <w:lang w:val="fi-FI"/>
        </w:rPr>
        <w:t>k</w:t>
      </w:r>
      <w:r w:rsidR="00E82DE3" w:rsidRPr="00FB4EFA">
        <w:rPr>
          <w:i/>
          <w:iCs/>
          <w:lang w:val="fi-FI"/>
        </w:rPr>
        <w:t>-</w:t>
      </w:r>
      <w:r w:rsidRPr="00FB4EFA">
        <w:rPr>
          <w:lang w:val="fi-FI"/>
        </w:rPr>
        <w:t xml:space="preserve"> (Hakulinen 2000 (1979): 246–247; Häkkinen 2011). Tämä tempustunnus kietoutuu yhteen persoonanmerkinnän ja nominikonjugaation muodostumisen kanssa ja esitän tässä oman hypoteesini, jonka mukaan länsiuralilaisten kielten perusteella vaikuttaa siltä, että kantasuomeen rekonstruoitu monikollisissa preesensissä taipuvissa predikaateissa ennen persoonaan viittaavaa ainesta esiintyvä *</w:t>
      </w:r>
      <w:r w:rsidR="00E82DE3" w:rsidRPr="00FB4EFA">
        <w:rPr>
          <w:lang w:val="fi-FI"/>
        </w:rPr>
        <w:t>-</w:t>
      </w:r>
      <w:r w:rsidRPr="00FB4EFA">
        <w:rPr>
          <w:i/>
          <w:iCs/>
          <w:lang w:val="fi-FI"/>
        </w:rPr>
        <w:t>k</w:t>
      </w:r>
      <w:r w:rsidRPr="00FB4EFA">
        <w:rPr>
          <w:lang w:val="fi-FI"/>
        </w:rPr>
        <w:t>-aines saattaakin olla alkuperältään monikon nominatiivin tunnus *</w:t>
      </w:r>
      <w:r w:rsidR="00E82DE3" w:rsidRPr="00FB4EFA">
        <w:rPr>
          <w:lang w:val="fi-FI"/>
        </w:rPr>
        <w:t>-</w:t>
      </w:r>
      <w:r w:rsidRPr="00FB4EFA">
        <w:rPr>
          <w:i/>
          <w:iCs/>
          <w:lang w:val="fi-FI"/>
        </w:rPr>
        <w:t>t</w:t>
      </w:r>
      <w:r w:rsidRPr="00FB4EFA">
        <w:rPr>
          <w:lang w:val="fi-FI"/>
        </w:rPr>
        <w:t>.</w:t>
      </w:r>
    </w:p>
    <w:p w14:paraId="2DA1B5B8" w14:textId="218F2867" w:rsidR="0076526E" w:rsidRPr="00FB4EFA" w:rsidRDefault="0076526E" w:rsidP="00402EF4">
      <w:pPr>
        <w:ind w:firstLine="709"/>
        <w:rPr>
          <w:lang w:val="fi-FI"/>
        </w:rPr>
      </w:pPr>
      <w:r w:rsidRPr="00FB4EFA">
        <w:rPr>
          <w:lang w:val="fi-FI"/>
        </w:rPr>
        <w:t xml:space="preserve">Tämän tutkimuksen aihion rakenne on seuraavanlainen. Luvussa 1 käsitellään kantauralin verbintaivutusta preesensin merkinnän valossa ja luvussa 2 persoonan näkökulmasta. Sen jälkeen tarkastelen luvussa 3 länsiuralilaisten kielten preesenstaivutuksen morfeemeja ja lopuksi </w:t>
      </w:r>
      <w:r w:rsidR="00030518" w:rsidRPr="00FB4EFA">
        <w:rPr>
          <w:lang w:val="fi-FI"/>
        </w:rPr>
        <w:br/>
      </w:r>
      <w:r w:rsidRPr="00FB4EFA">
        <w:rPr>
          <w:lang w:val="fi-FI"/>
        </w:rPr>
        <w:t>kokoan yhteen tärkeimmät huomiot.</w:t>
      </w:r>
    </w:p>
    <w:p w14:paraId="2FC52332" w14:textId="5B6FC0CD" w:rsidR="0076526E" w:rsidRPr="00FB4EFA" w:rsidRDefault="0076526E" w:rsidP="00AC1192">
      <w:pPr>
        <w:pStyle w:val="Heading2"/>
        <w:numPr>
          <w:ilvl w:val="0"/>
          <w:numId w:val="14"/>
        </w:numPr>
        <w:tabs>
          <w:tab w:val="clear" w:pos="0"/>
        </w:tabs>
        <w:suppressAutoHyphens/>
        <w:spacing w:line="259" w:lineRule="auto"/>
        <w:rPr>
          <w:color w:val="auto"/>
          <w:lang w:val="fi-FI"/>
        </w:rPr>
      </w:pPr>
      <w:r w:rsidRPr="00FB4EFA">
        <w:rPr>
          <w:color w:val="auto"/>
          <w:lang w:val="fi-FI"/>
        </w:rPr>
        <w:t>Oliko kantauralissa *</w:t>
      </w:r>
      <w:r w:rsidR="00E82DE3" w:rsidRPr="00FB4EFA">
        <w:rPr>
          <w:color w:val="auto"/>
          <w:lang w:val="fi-FI"/>
        </w:rPr>
        <w:t>-</w:t>
      </w:r>
      <w:r w:rsidRPr="00FB4EFA">
        <w:rPr>
          <w:i/>
          <w:iCs/>
          <w:color w:val="auto"/>
          <w:lang w:val="fi-FI"/>
        </w:rPr>
        <w:t>k</w:t>
      </w:r>
      <w:r w:rsidRPr="00FB4EFA">
        <w:rPr>
          <w:color w:val="auto"/>
          <w:lang w:val="fi-FI"/>
        </w:rPr>
        <w:t>-preesens?</w:t>
      </w:r>
    </w:p>
    <w:p w14:paraId="38E3F65A" w14:textId="77777777" w:rsidR="0076526E" w:rsidRPr="00FB4EFA" w:rsidRDefault="0076526E" w:rsidP="00402EF4">
      <w:pPr>
        <w:rPr>
          <w:lang w:val="fi-FI"/>
        </w:rPr>
      </w:pPr>
      <w:r w:rsidRPr="00FB4EFA">
        <w:rPr>
          <w:lang w:val="fi-FI"/>
        </w:rPr>
        <w:t>Collinder (1960: 303) tiivistää kantauralin verbintaivutuksen rekonstruoinnin ongelmat: yhtenäistä persoona- ja tempustaivutusta on vaikea rekonstruoida, mutta yhteisiä suffikseja voidaan löytää ja niille voidaan osoittaa mahdollisia funktioita. Sekä Bartens (1993: 21) että Janhunen (1982: 36) olettavat, että uralilaisessa kantakielessä on ollut sekä tunnusmerkitön ja tempusarvoltaan verbin semanttisesta sisällöstä riippuvainen aoristi että varsinaisia tunnuksellisia, deverbaalisten nominien varaan rakentuvia tempuksia. Korhonen (1981: 286) toteaa, että mitään yhteistä preesenstunnusta ei ole ja persoonamuotojen rakenne eroaa toisistaan ikään kuin preesenskonjugaatio olisi vasta myöhään vakiintunut eri kielissä omanlaisekseen.</w:t>
      </w:r>
    </w:p>
    <w:p w14:paraId="1C6EB596" w14:textId="3CA904B8" w:rsidR="0076526E" w:rsidRPr="00FB4EFA" w:rsidRDefault="0076526E" w:rsidP="00AF0CAD">
      <w:pPr>
        <w:ind w:firstLine="709"/>
        <w:rPr>
          <w:lang w:val="fi-FI"/>
        </w:rPr>
      </w:pPr>
      <w:r w:rsidRPr="00FB4EFA">
        <w:rPr>
          <w:lang w:val="fi-FI"/>
        </w:rPr>
        <w:t>Erityisesti uralilaisen kielikunnan itäisimmissä haaroissa esiintyy preesenstunnuksia. Kaisa Häkkisen (1985: 113) mukaan alun perin on ollut kaksi tapaa muodostaa preesensmuotoja: tunnukseton Ø-preesens ja *</w:t>
      </w:r>
      <w:r w:rsidR="00E82DE3" w:rsidRPr="00FB4EFA">
        <w:rPr>
          <w:lang w:val="fi-FI"/>
        </w:rPr>
        <w:t>-</w:t>
      </w:r>
      <w:r w:rsidRPr="00FB4EFA">
        <w:rPr>
          <w:i/>
          <w:iCs/>
          <w:lang w:val="fi-FI"/>
        </w:rPr>
        <w:t>k</w:t>
      </w:r>
      <w:r w:rsidRPr="00FB4EFA">
        <w:rPr>
          <w:lang w:val="fi-FI"/>
        </w:rPr>
        <w:t>-preesens, joka näyttää esiintyvän erityisesti kielteisen taivutuksen ja 3. persoonan yhteydessä. Collinderin (1960: 303–304) mukaan *</w:t>
      </w:r>
      <w:r w:rsidR="00E82DE3" w:rsidRPr="00FB4EFA">
        <w:rPr>
          <w:lang w:val="fi-FI"/>
        </w:rPr>
        <w:t>-</w:t>
      </w:r>
      <w:r w:rsidRPr="00FB4EFA">
        <w:rPr>
          <w:i/>
          <w:iCs/>
          <w:lang w:val="fi-FI"/>
        </w:rPr>
        <w:t>k</w:t>
      </w:r>
      <w:r w:rsidRPr="00FB4EFA">
        <w:rPr>
          <w:lang w:val="fi-FI"/>
        </w:rPr>
        <w:t>-morfeemilla on ollut kantauralin verbintaivutuksessa kaksi funktiota: toisaalta sillä merkittiin preesensiä ja toisaalta imperatiivia. Imperatiivin funktiota Collider (1960: 304) pitää myöhäsyntyisempänä.</w:t>
      </w:r>
    </w:p>
    <w:p w14:paraId="5E38FBA1" w14:textId="4ECD19B2" w:rsidR="0076526E" w:rsidRPr="00FB4EFA" w:rsidRDefault="0076526E" w:rsidP="00AF0CAD">
      <w:pPr>
        <w:ind w:firstLine="709"/>
        <w:rPr>
          <w:lang w:val="fi-FI"/>
        </w:rPr>
      </w:pPr>
      <w:r w:rsidRPr="00FB4EFA">
        <w:rPr>
          <w:lang w:val="fi-FI"/>
        </w:rPr>
        <w:lastRenderedPageBreak/>
        <w:t>Aikion (2022: 17) mukaan morfeemina *</w:t>
      </w:r>
      <w:r w:rsidR="00E82DE3" w:rsidRPr="00FB4EFA">
        <w:rPr>
          <w:lang w:val="fi-FI"/>
        </w:rPr>
        <w:t>-</w:t>
      </w:r>
      <w:r w:rsidRPr="00FB4EFA">
        <w:rPr>
          <w:i/>
          <w:iCs/>
          <w:lang w:val="fi-FI"/>
        </w:rPr>
        <w:t>k</w:t>
      </w:r>
      <w:r w:rsidR="00E82DE3" w:rsidRPr="00FB4EFA">
        <w:rPr>
          <w:lang w:val="fi-FI"/>
        </w:rPr>
        <w:t>-</w:t>
      </w:r>
      <w:r w:rsidRPr="00FB4EFA">
        <w:rPr>
          <w:lang w:val="fi-FI"/>
        </w:rPr>
        <w:t xml:space="preserve"> rekonstruoidaan useaan eri funktioon kantauraliin. Imperatiivin tunnuksena *</w:t>
      </w:r>
      <w:r w:rsidR="00E82DE3" w:rsidRPr="00FB4EFA">
        <w:rPr>
          <w:lang w:val="fi-FI"/>
        </w:rPr>
        <w:t>-</w:t>
      </w:r>
      <w:r w:rsidRPr="00FB4EFA">
        <w:rPr>
          <w:i/>
          <w:iCs/>
          <w:lang w:val="fi-FI"/>
        </w:rPr>
        <w:t>k</w:t>
      </w:r>
      <w:r w:rsidRPr="00FB4EFA">
        <w:rPr>
          <w:lang w:val="fi-FI"/>
        </w:rPr>
        <w:t xml:space="preserve"> voidaan rekonstruoida kantauraliin luotettavasti, PU *</w:t>
      </w:r>
      <w:r w:rsidRPr="00FB4EFA">
        <w:rPr>
          <w:i/>
          <w:iCs/>
          <w:lang w:val="fi-FI"/>
        </w:rPr>
        <w:t>meni-k</w:t>
      </w:r>
      <w:r w:rsidRPr="00FB4EFA">
        <w:rPr>
          <w:lang w:val="fi-FI"/>
        </w:rPr>
        <w:t xml:space="preserve"> ’mene!’ (&gt; eteläsaame </w:t>
      </w:r>
      <w:r w:rsidRPr="00FB4EFA">
        <w:rPr>
          <w:i/>
          <w:iCs/>
          <w:lang w:val="fi-FI"/>
        </w:rPr>
        <w:t>mïnnh</w:t>
      </w:r>
      <w:r w:rsidRPr="00FB4EFA">
        <w:rPr>
          <w:lang w:val="fi-FI"/>
        </w:rPr>
        <w:t xml:space="preserve">, suomi </w:t>
      </w:r>
      <w:r w:rsidRPr="00FB4EFA">
        <w:rPr>
          <w:i/>
          <w:iCs/>
          <w:lang w:val="fi-FI"/>
        </w:rPr>
        <w:t>mene(ʔ)</w:t>
      </w:r>
      <w:r w:rsidRPr="00FB4EFA">
        <w:rPr>
          <w:lang w:val="fi-FI"/>
        </w:rPr>
        <w:t xml:space="preserve">, tundranenetsi </w:t>
      </w:r>
      <w:r w:rsidRPr="00FB4EFA">
        <w:rPr>
          <w:i/>
          <w:iCs/>
          <w:lang w:val="fi-FI"/>
        </w:rPr>
        <w:t>mʲinᵊʔ</w:t>
      </w:r>
      <w:r w:rsidRPr="00FB4EFA">
        <w:rPr>
          <w:lang w:val="fi-FI"/>
        </w:rPr>
        <w:t>. Aikion mukaan imperatiivin *</w:t>
      </w:r>
      <w:r w:rsidR="00E82DE3" w:rsidRPr="00FB4EFA">
        <w:rPr>
          <w:lang w:val="fi-FI"/>
        </w:rPr>
        <w:t>-</w:t>
      </w:r>
      <w:r w:rsidRPr="00FB4EFA">
        <w:rPr>
          <w:i/>
          <w:iCs/>
          <w:lang w:val="fi-FI"/>
        </w:rPr>
        <w:t>k</w:t>
      </w:r>
      <w:r w:rsidRPr="00FB4EFA">
        <w:rPr>
          <w:lang w:val="fi-FI"/>
        </w:rPr>
        <w:t xml:space="preserve"> on mahdollisesti sukua konnegatiivimuodon suffiksille *</w:t>
      </w:r>
      <w:r w:rsidR="00E82DE3" w:rsidRPr="00FB4EFA">
        <w:rPr>
          <w:lang w:val="fi-FI"/>
        </w:rPr>
        <w:t>-</w:t>
      </w:r>
      <w:r w:rsidRPr="00FB4EFA">
        <w:rPr>
          <w:i/>
          <w:iCs/>
          <w:lang w:val="fi-FI"/>
        </w:rPr>
        <w:t>k</w:t>
      </w:r>
      <w:r w:rsidRPr="00FB4EFA">
        <w:rPr>
          <w:lang w:val="fi-FI"/>
        </w:rPr>
        <w:t xml:space="preserve"> ja preesenstunnukselle *</w:t>
      </w:r>
      <w:r w:rsidR="00E82DE3" w:rsidRPr="00FB4EFA">
        <w:rPr>
          <w:lang w:val="fi-FI"/>
        </w:rPr>
        <w:t>-</w:t>
      </w:r>
      <w:r w:rsidRPr="00FB4EFA">
        <w:rPr>
          <w:i/>
          <w:iCs/>
          <w:lang w:val="fi-FI"/>
        </w:rPr>
        <w:t>k</w:t>
      </w:r>
      <w:r w:rsidR="00E82DE3" w:rsidRPr="00FB4EFA">
        <w:rPr>
          <w:lang w:val="fi-FI"/>
        </w:rPr>
        <w:t>-</w:t>
      </w:r>
      <w:r w:rsidRPr="00FB4EFA">
        <w:rPr>
          <w:lang w:val="fi-FI"/>
        </w:rPr>
        <w:t>, tai sitten ainoastaan homonyyminen näiden kanssa. Aikio toteaa edelleen, että yksikön toisen persoonan imperatiivi *</w:t>
      </w:r>
      <w:r w:rsidR="00E82DE3" w:rsidRPr="00FB4EFA">
        <w:rPr>
          <w:lang w:val="fi-FI"/>
        </w:rPr>
        <w:t>-</w:t>
      </w:r>
      <w:r w:rsidRPr="00FB4EFA">
        <w:rPr>
          <w:i/>
          <w:iCs/>
          <w:lang w:val="fi-FI"/>
        </w:rPr>
        <w:t>k</w:t>
      </w:r>
      <w:r w:rsidRPr="00FB4EFA">
        <w:rPr>
          <w:lang w:val="fi-FI"/>
        </w:rPr>
        <w:t>, konnegatiivin suffiksi *</w:t>
      </w:r>
      <w:r w:rsidR="00E82DE3" w:rsidRPr="00FB4EFA">
        <w:rPr>
          <w:lang w:val="fi-FI"/>
        </w:rPr>
        <w:t>-</w:t>
      </w:r>
      <w:r w:rsidRPr="00FB4EFA">
        <w:rPr>
          <w:i/>
          <w:iCs/>
          <w:lang w:val="fi-FI"/>
        </w:rPr>
        <w:t>k</w:t>
      </w:r>
      <w:r w:rsidRPr="00FB4EFA">
        <w:rPr>
          <w:lang w:val="fi-FI"/>
        </w:rPr>
        <w:t xml:space="preserve"> ja preesensin tunnus *</w:t>
      </w:r>
      <w:r w:rsidR="00E82DE3" w:rsidRPr="00FB4EFA">
        <w:rPr>
          <w:lang w:val="fi-FI"/>
        </w:rPr>
        <w:t>-</w:t>
      </w:r>
      <w:r w:rsidRPr="00FB4EFA">
        <w:rPr>
          <w:i/>
          <w:iCs/>
          <w:lang w:val="fi-FI"/>
        </w:rPr>
        <w:t>k</w:t>
      </w:r>
      <w:r w:rsidR="00E82DE3" w:rsidRPr="00FB4EFA">
        <w:rPr>
          <w:lang w:val="fi-FI"/>
        </w:rPr>
        <w:t>-</w:t>
      </w:r>
      <w:r w:rsidRPr="00FB4EFA">
        <w:rPr>
          <w:lang w:val="fi-FI"/>
        </w:rPr>
        <w:t xml:space="preserve"> on usein yhdistetty sen sijaan, että olisi rekonstruoitu kolme homonyymista suffiksia, vaikka näiden suffiksien semanttiset ja funktionaaliset yhteydet ovat kaikkea muuta kuin läpinäkyviä.</w:t>
      </w:r>
    </w:p>
    <w:p w14:paraId="50CD14B3" w14:textId="77777777" w:rsidR="000121EA" w:rsidRPr="00FB4EFA" w:rsidRDefault="0076526E" w:rsidP="00AF0CAD">
      <w:pPr>
        <w:ind w:firstLine="709"/>
        <w:rPr>
          <w:lang w:val="fi-FI"/>
        </w:rPr>
      </w:pPr>
      <w:r w:rsidRPr="00FB4EFA">
        <w:rPr>
          <w:lang w:val="fi-FI"/>
        </w:rPr>
        <w:t>Samojedikielten tempusjärjestelmä kuitenkin poikkeaa muutenkin muista uralilaisista kielistä, sillä tempussysteemiin liittyy myös aspektin merkitseminen. Samojedikielissä aoristia merkitään suffikseilla, joiden alkuperä on epäselvä (kantasamojedin *-</w:t>
      </w:r>
      <w:r w:rsidRPr="00FB4EFA">
        <w:rPr>
          <w:i/>
          <w:iCs/>
          <w:lang w:val="fi-FI"/>
        </w:rPr>
        <w:t>j</w:t>
      </w:r>
      <w:r w:rsidRPr="00FB4EFA">
        <w:rPr>
          <w:lang w:val="fi-FI"/>
        </w:rPr>
        <w:t>-, *-</w:t>
      </w:r>
      <w:r w:rsidRPr="00FB4EFA">
        <w:rPr>
          <w:rFonts w:cs="Cambria"/>
          <w:i/>
          <w:iCs/>
          <w:lang w:val="fi-FI"/>
        </w:rPr>
        <w:t>ŋ</w:t>
      </w:r>
      <w:r w:rsidRPr="00FB4EFA">
        <w:rPr>
          <w:i/>
          <w:iCs/>
          <w:lang w:val="fi-FI"/>
        </w:rPr>
        <w:t>A</w:t>
      </w:r>
      <w:r w:rsidRPr="00FB4EFA">
        <w:rPr>
          <w:lang w:val="fi-FI"/>
        </w:rPr>
        <w:t>- ja *-</w:t>
      </w:r>
      <w:r w:rsidRPr="00FB4EFA">
        <w:rPr>
          <w:rFonts w:cs="Cambria"/>
          <w:i/>
          <w:iCs/>
          <w:lang w:val="fi-FI"/>
        </w:rPr>
        <w:t>ǝ</w:t>
      </w:r>
      <w:r w:rsidRPr="00FB4EFA">
        <w:rPr>
          <w:lang w:val="fi-FI"/>
        </w:rPr>
        <w:t>-). Janhunen (1998: 471–472) pitää tätä samojedikielten piirrettä innovaationa, mutta Aikio (2022: 17) toteaa, että kantauralinkaan preesens ei välttämättä ollut morfologisesti merkitsemätön. Tällöin on oletettava, että preesenstaivutus olisi läntisemmissä tytärkielissä menettänyt tunnuksensa.</w:t>
      </w:r>
    </w:p>
    <w:p w14:paraId="48792D1D" w14:textId="3D89213E" w:rsidR="0076526E" w:rsidRPr="00FB4EFA" w:rsidRDefault="0076526E" w:rsidP="00AF0CAD">
      <w:pPr>
        <w:spacing w:after="240"/>
        <w:ind w:firstLine="709"/>
        <w:rPr>
          <w:lang w:val="fi-FI"/>
        </w:rPr>
      </w:pPr>
      <w:r w:rsidRPr="00FB4EFA">
        <w:rPr>
          <w:lang w:val="fi-FI"/>
        </w:rPr>
        <w:t>Hantissa preesenstunnus on -</w:t>
      </w:r>
      <w:r w:rsidRPr="00FB4EFA">
        <w:rPr>
          <w:i/>
          <w:iCs/>
          <w:lang w:val="fi-FI"/>
        </w:rPr>
        <w:t>l</w:t>
      </w:r>
      <w:r w:rsidRPr="00FB4EFA">
        <w:rPr>
          <w:lang w:val="fi-FI"/>
        </w:rPr>
        <w:t>-</w:t>
      </w:r>
      <w:r w:rsidRPr="00FB4EFA">
        <w:rPr>
          <w:i/>
          <w:iCs/>
          <w:lang w:val="fi-FI"/>
        </w:rPr>
        <w:t xml:space="preserve">, </w:t>
      </w:r>
      <w:r w:rsidRPr="00FB4EFA">
        <w:rPr>
          <w:lang w:val="fi-FI"/>
        </w:rPr>
        <w:t>joka Hontin (1998: 346) mukaan on alun perin johdinaines. Mansista löytyy *</w:t>
      </w:r>
      <w:r w:rsidR="00E82DE3" w:rsidRPr="00FB4EFA">
        <w:rPr>
          <w:lang w:val="fi-FI"/>
        </w:rPr>
        <w:t>-</w:t>
      </w:r>
      <w:r w:rsidRPr="00FB4EFA">
        <w:rPr>
          <w:i/>
          <w:iCs/>
          <w:lang w:val="fi-FI"/>
        </w:rPr>
        <w:t>k</w:t>
      </w:r>
      <w:r w:rsidRPr="00FB4EFA">
        <w:rPr>
          <w:lang w:val="fi-FI"/>
        </w:rPr>
        <w:t xml:space="preserve">-preesens, joka on olennainen aiheeni kannalta. </w:t>
      </w:r>
      <w:bookmarkStart w:id="41" w:name="_Hlk104305310"/>
      <w:r w:rsidRPr="00FB4EFA">
        <w:rPr>
          <w:lang w:val="fi-FI"/>
        </w:rPr>
        <w:t xml:space="preserve">Hontin (1998: 346) mukaan mansin preesenstunnus </w:t>
      </w:r>
      <w:r w:rsidR="00E82DE3" w:rsidRPr="00FB4EFA">
        <w:rPr>
          <w:lang w:val="fi-FI"/>
        </w:rPr>
        <w:t>-</w:t>
      </w:r>
      <w:r w:rsidR="00EB3AA5" w:rsidRPr="00FB4EFA">
        <w:rPr>
          <w:rFonts w:cs="Times New Roman"/>
          <w:i/>
          <w:iCs/>
          <w:lang w:val="fi-FI"/>
        </w:rPr>
        <w:t>γ</w:t>
      </w:r>
      <w:r w:rsidR="00E82DE3" w:rsidRPr="00FB4EFA">
        <w:rPr>
          <w:lang w:val="fi-FI"/>
        </w:rPr>
        <w:t>-</w:t>
      </w:r>
      <w:r w:rsidRPr="00FB4EFA">
        <w:rPr>
          <w:lang w:val="fi-FI"/>
        </w:rPr>
        <w:t xml:space="preserve"> saattaa olla suomalais-ugrilaisen preesenstunnuksen *</w:t>
      </w:r>
      <w:r w:rsidR="00EB3AA5" w:rsidRPr="00FB4EFA">
        <w:rPr>
          <w:lang w:val="fi-FI"/>
        </w:rPr>
        <w:t>-</w:t>
      </w:r>
      <w:r w:rsidRPr="00FB4EFA">
        <w:rPr>
          <w:i/>
          <w:iCs/>
          <w:lang w:val="fi-FI"/>
        </w:rPr>
        <w:t>k</w:t>
      </w:r>
      <w:r w:rsidR="00EB3AA5" w:rsidRPr="00FB4EFA">
        <w:rPr>
          <w:lang w:val="fi-FI"/>
        </w:rPr>
        <w:t>-</w:t>
      </w:r>
      <w:r w:rsidRPr="00FB4EFA">
        <w:rPr>
          <w:lang w:val="fi-FI"/>
        </w:rPr>
        <w:t xml:space="preserve"> jatkaja. </w:t>
      </w:r>
      <w:bookmarkEnd w:id="41"/>
      <w:r w:rsidRPr="00FB4EFA">
        <w:rPr>
          <w:lang w:val="fi-FI"/>
        </w:rPr>
        <w:t>Samoilla linjoilla on Majtinskaja (1974: 300). Taulukko 1. esittää pohjoismansin verbintaivutuksen subjektikonjugaation preesensissä.</w:t>
      </w:r>
    </w:p>
    <w:tbl>
      <w:tblPr>
        <w:tblW w:w="5251" w:type="dxa"/>
        <w:jc w:val="center"/>
        <w:tblLayout w:type="fixed"/>
        <w:tblLook w:val="04A0" w:firstRow="1" w:lastRow="0" w:firstColumn="1" w:lastColumn="0" w:noHBand="0" w:noVBand="1"/>
      </w:tblPr>
      <w:tblGrid>
        <w:gridCol w:w="1200"/>
        <w:gridCol w:w="1367"/>
        <w:gridCol w:w="1350"/>
        <w:gridCol w:w="1334"/>
      </w:tblGrid>
      <w:tr w:rsidR="00FB4EFA" w:rsidRPr="00FB4EFA" w14:paraId="67B6579F" w14:textId="77777777" w:rsidTr="00EC74AD">
        <w:trPr>
          <w:trHeight w:val="55"/>
          <w:jc w:val="center"/>
        </w:trPr>
        <w:tc>
          <w:tcPr>
            <w:tcW w:w="1199" w:type="dxa"/>
            <w:tcBorders>
              <w:bottom w:val="single" w:sz="12" w:space="0" w:color="000000"/>
              <w:right w:val="single" w:sz="12" w:space="0" w:color="000000"/>
            </w:tcBorders>
          </w:tcPr>
          <w:p w14:paraId="6BC498B6" w14:textId="77777777" w:rsidR="0076526E" w:rsidRPr="00FB4EFA" w:rsidRDefault="0076526E" w:rsidP="00402EF4">
            <w:pPr>
              <w:widowControl w:val="0"/>
              <w:jc w:val="center"/>
              <w:rPr>
                <w:rFonts w:ascii="Times New Roman" w:hAnsi="Times New Roman" w:cs="Times New Roman"/>
                <w:sz w:val="20"/>
                <w:szCs w:val="20"/>
                <w:lang w:val="fi-FI"/>
              </w:rPr>
            </w:pPr>
          </w:p>
        </w:tc>
        <w:tc>
          <w:tcPr>
            <w:tcW w:w="1367" w:type="dxa"/>
            <w:tcBorders>
              <w:left w:val="single" w:sz="12" w:space="0" w:color="000000"/>
              <w:bottom w:val="single" w:sz="12" w:space="0" w:color="000000"/>
              <w:right w:val="single" w:sz="4" w:space="0" w:color="000000"/>
            </w:tcBorders>
          </w:tcPr>
          <w:p w14:paraId="70235C86" w14:textId="77777777" w:rsidR="0076526E" w:rsidRPr="00FB4EFA" w:rsidRDefault="0076526E" w:rsidP="00AC1192">
            <w:pPr>
              <w:widowControl w:val="0"/>
              <w:suppressAutoHyphens/>
              <w:jc w:val="center"/>
              <w:rPr>
                <w:rFonts w:ascii="Times New Roman" w:hAnsi="Times New Roman" w:cs="Times New Roman"/>
                <w:b/>
                <w:bCs/>
                <w:sz w:val="20"/>
                <w:szCs w:val="20"/>
                <w:lang w:val="fi-FI"/>
              </w:rPr>
            </w:pPr>
            <w:r w:rsidRPr="00FB4EFA">
              <w:rPr>
                <w:rFonts w:cs="Times New Roman"/>
                <w:b/>
                <w:bCs/>
                <w:sz w:val="20"/>
                <w:szCs w:val="20"/>
                <w:lang w:val="fi-FI"/>
              </w:rPr>
              <w:t>1.</w:t>
            </w:r>
          </w:p>
        </w:tc>
        <w:tc>
          <w:tcPr>
            <w:tcW w:w="1350" w:type="dxa"/>
            <w:tcBorders>
              <w:left w:val="single" w:sz="4" w:space="0" w:color="000000"/>
              <w:bottom w:val="single" w:sz="12" w:space="0" w:color="000000"/>
              <w:right w:val="single" w:sz="4" w:space="0" w:color="000000"/>
            </w:tcBorders>
          </w:tcPr>
          <w:p w14:paraId="17A17BCA" w14:textId="77777777" w:rsidR="0076526E" w:rsidRPr="00FB4EFA" w:rsidRDefault="0076526E" w:rsidP="00AC1192">
            <w:pPr>
              <w:widowControl w:val="0"/>
              <w:suppressAutoHyphens/>
              <w:jc w:val="center"/>
              <w:rPr>
                <w:rFonts w:ascii="Times New Roman" w:hAnsi="Times New Roman" w:cs="Times New Roman"/>
                <w:b/>
                <w:bCs/>
                <w:sz w:val="20"/>
                <w:szCs w:val="20"/>
                <w:lang w:val="fi-FI"/>
              </w:rPr>
            </w:pPr>
            <w:r w:rsidRPr="00FB4EFA">
              <w:rPr>
                <w:rFonts w:cs="Times New Roman"/>
                <w:b/>
                <w:bCs/>
                <w:sz w:val="20"/>
                <w:szCs w:val="20"/>
                <w:lang w:val="fi-FI"/>
              </w:rPr>
              <w:t>2.</w:t>
            </w:r>
          </w:p>
        </w:tc>
        <w:tc>
          <w:tcPr>
            <w:tcW w:w="1334" w:type="dxa"/>
            <w:tcBorders>
              <w:left w:val="single" w:sz="4" w:space="0" w:color="000000"/>
              <w:bottom w:val="single" w:sz="12" w:space="0" w:color="000000"/>
            </w:tcBorders>
          </w:tcPr>
          <w:p w14:paraId="2916B8A5" w14:textId="77777777" w:rsidR="0076526E" w:rsidRPr="00FB4EFA" w:rsidRDefault="0076526E" w:rsidP="00AC1192">
            <w:pPr>
              <w:widowControl w:val="0"/>
              <w:suppressAutoHyphens/>
              <w:jc w:val="center"/>
              <w:rPr>
                <w:rFonts w:cs="Times New Roman"/>
                <w:b/>
                <w:bCs/>
                <w:sz w:val="20"/>
                <w:szCs w:val="20"/>
                <w:lang w:val="fi-FI"/>
              </w:rPr>
            </w:pPr>
            <w:r w:rsidRPr="00FB4EFA">
              <w:rPr>
                <w:rFonts w:cs="Times New Roman"/>
                <w:b/>
                <w:bCs/>
                <w:sz w:val="20"/>
                <w:szCs w:val="20"/>
                <w:lang w:val="fi-FI"/>
              </w:rPr>
              <w:t>3.</w:t>
            </w:r>
          </w:p>
        </w:tc>
      </w:tr>
      <w:tr w:rsidR="00FB4EFA" w:rsidRPr="00FB4EFA" w14:paraId="4EE04F54" w14:textId="77777777" w:rsidTr="00EC74AD">
        <w:trPr>
          <w:trHeight w:val="25"/>
          <w:jc w:val="center"/>
        </w:trPr>
        <w:tc>
          <w:tcPr>
            <w:tcW w:w="1199" w:type="dxa"/>
            <w:tcBorders>
              <w:top w:val="single" w:sz="12" w:space="0" w:color="000000"/>
              <w:bottom w:val="single" w:sz="4" w:space="0" w:color="000000"/>
              <w:right w:val="single" w:sz="12" w:space="0" w:color="000000"/>
            </w:tcBorders>
          </w:tcPr>
          <w:p w14:paraId="594C6C1E" w14:textId="77777777" w:rsidR="0076526E" w:rsidRPr="00FB4EFA" w:rsidRDefault="0076526E" w:rsidP="00AC1192">
            <w:pPr>
              <w:widowControl w:val="0"/>
              <w:suppressAutoHyphens/>
              <w:jc w:val="center"/>
              <w:rPr>
                <w:rFonts w:ascii="Times New Roman" w:hAnsi="Times New Roman" w:cs="Times New Roman"/>
                <w:b/>
                <w:bCs/>
                <w:sz w:val="20"/>
                <w:szCs w:val="20"/>
                <w:lang w:val="fi-FI"/>
              </w:rPr>
            </w:pPr>
            <w:r w:rsidRPr="00FB4EFA">
              <w:rPr>
                <w:rFonts w:cs="Times New Roman"/>
                <w:b/>
                <w:bCs/>
                <w:sz w:val="20"/>
                <w:szCs w:val="20"/>
                <w:lang w:val="fi-FI"/>
              </w:rPr>
              <w:t>Sg</w:t>
            </w:r>
          </w:p>
        </w:tc>
        <w:tc>
          <w:tcPr>
            <w:tcW w:w="1367" w:type="dxa"/>
            <w:tcBorders>
              <w:top w:val="single" w:sz="12" w:space="0" w:color="000000"/>
              <w:left w:val="single" w:sz="12" w:space="0" w:color="000000"/>
              <w:bottom w:val="single" w:sz="4" w:space="0" w:color="000000"/>
              <w:right w:val="single" w:sz="4" w:space="0" w:color="000000"/>
            </w:tcBorders>
          </w:tcPr>
          <w:p w14:paraId="63DC9051" w14:textId="77777777" w:rsidR="0076526E" w:rsidRPr="00FB4EFA" w:rsidRDefault="0076526E" w:rsidP="00AC1192">
            <w:pPr>
              <w:widowControl w:val="0"/>
              <w:suppressAutoHyphens/>
              <w:jc w:val="center"/>
              <w:rPr>
                <w:rFonts w:ascii="Times New Roman" w:hAnsi="Times New Roman" w:cs="Times New Roman"/>
                <w:i/>
                <w:iCs/>
                <w:sz w:val="20"/>
                <w:szCs w:val="20"/>
                <w:lang w:val="fi-FI"/>
              </w:rPr>
            </w:pPr>
            <w:r w:rsidRPr="00FB4EFA">
              <w:rPr>
                <w:rFonts w:cs="Times New Roman"/>
                <w:i/>
                <w:iCs/>
                <w:sz w:val="20"/>
                <w:szCs w:val="20"/>
                <w:lang w:val="fi-FI"/>
              </w:rPr>
              <w:t>mineegøm</w:t>
            </w:r>
          </w:p>
        </w:tc>
        <w:tc>
          <w:tcPr>
            <w:tcW w:w="1350" w:type="dxa"/>
            <w:tcBorders>
              <w:top w:val="single" w:sz="12" w:space="0" w:color="000000"/>
              <w:left w:val="single" w:sz="4" w:space="0" w:color="000000"/>
              <w:bottom w:val="single" w:sz="4" w:space="0" w:color="000000"/>
              <w:right w:val="single" w:sz="4" w:space="0" w:color="000000"/>
            </w:tcBorders>
          </w:tcPr>
          <w:p w14:paraId="1F994FF7" w14:textId="77777777" w:rsidR="0076526E" w:rsidRPr="00FB4EFA" w:rsidRDefault="0076526E" w:rsidP="00AC1192">
            <w:pPr>
              <w:widowControl w:val="0"/>
              <w:suppressAutoHyphens/>
              <w:jc w:val="center"/>
              <w:rPr>
                <w:rFonts w:ascii="Times New Roman" w:hAnsi="Times New Roman" w:cs="Times New Roman"/>
                <w:i/>
                <w:iCs/>
                <w:sz w:val="20"/>
                <w:szCs w:val="20"/>
                <w:lang w:val="fi-FI"/>
              </w:rPr>
            </w:pPr>
            <w:r w:rsidRPr="00FB4EFA">
              <w:rPr>
                <w:rFonts w:cs="Times New Roman"/>
                <w:i/>
                <w:iCs/>
                <w:sz w:val="20"/>
                <w:szCs w:val="20"/>
                <w:lang w:val="fi-FI"/>
              </w:rPr>
              <w:t>mineegøn</w:t>
            </w:r>
          </w:p>
        </w:tc>
        <w:tc>
          <w:tcPr>
            <w:tcW w:w="1334" w:type="dxa"/>
            <w:tcBorders>
              <w:top w:val="single" w:sz="12" w:space="0" w:color="000000"/>
              <w:left w:val="single" w:sz="4" w:space="0" w:color="000000"/>
              <w:bottom w:val="single" w:sz="4" w:space="0" w:color="000000"/>
            </w:tcBorders>
          </w:tcPr>
          <w:p w14:paraId="579D76B8" w14:textId="77777777" w:rsidR="0076526E" w:rsidRPr="00FB4EFA" w:rsidRDefault="0076526E" w:rsidP="00AC1192">
            <w:pPr>
              <w:widowControl w:val="0"/>
              <w:suppressAutoHyphens/>
              <w:jc w:val="center"/>
              <w:rPr>
                <w:rFonts w:cs="Times New Roman"/>
                <w:i/>
                <w:iCs/>
                <w:sz w:val="20"/>
                <w:szCs w:val="20"/>
                <w:lang w:val="fi-FI"/>
              </w:rPr>
            </w:pPr>
            <w:r w:rsidRPr="00FB4EFA">
              <w:rPr>
                <w:rFonts w:cs="Times New Roman"/>
                <w:i/>
                <w:iCs/>
                <w:sz w:val="20"/>
                <w:szCs w:val="20"/>
                <w:lang w:val="fi-FI"/>
              </w:rPr>
              <w:t>mini</w:t>
            </w:r>
          </w:p>
        </w:tc>
      </w:tr>
      <w:tr w:rsidR="00FB4EFA" w:rsidRPr="00FB4EFA" w14:paraId="548FD137" w14:textId="77777777" w:rsidTr="00EC74AD">
        <w:trPr>
          <w:trHeight w:val="45"/>
          <w:jc w:val="center"/>
        </w:trPr>
        <w:tc>
          <w:tcPr>
            <w:tcW w:w="1199" w:type="dxa"/>
            <w:tcBorders>
              <w:top w:val="single" w:sz="4" w:space="0" w:color="000000"/>
              <w:bottom w:val="single" w:sz="4" w:space="0" w:color="000000"/>
              <w:right w:val="single" w:sz="12" w:space="0" w:color="000000"/>
            </w:tcBorders>
          </w:tcPr>
          <w:p w14:paraId="0E50253B" w14:textId="77777777" w:rsidR="0076526E" w:rsidRPr="00FB4EFA" w:rsidRDefault="0076526E" w:rsidP="00AC1192">
            <w:pPr>
              <w:widowControl w:val="0"/>
              <w:suppressAutoHyphens/>
              <w:jc w:val="center"/>
              <w:rPr>
                <w:rFonts w:ascii="Times New Roman" w:hAnsi="Times New Roman" w:cs="Times New Roman"/>
                <w:b/>
                <w:bCs/>
                <w:sz w:val="20"/>
                <w:szCs w:val="20"/>
                <w:lang w:val="fi-FI"/>
              </w:rPr>
            </w:pPr>
            <w:r w:rsidRPr="00FB4EFA">
              <w:rPr>
                <w:rFonts w:cs="Times New Roman"/>
                <w:b/>
                <w:bCs/>
                <w:sz w:val="20"/>
                <w:szCs w:val="20"/>
                <w:lang w:val="fi-FI"/>
              </w:rPr>
              <w:t>Du</w:t>
            </w:r>
          </w:p>
        </w:tc>
        <w:tc>
          <w:tcPr>
            <w:tcW w:w="1367" w:type="dxa"/>
            <w:tcBorders>
              <w:top w:val="single" w:sz="4" w:space="0" w:color="000000"/>
              <w:left w:val="single" w:sz="12" w:space="0" w:color="000000"/>
              <w:bottom w:val="single" w:sz="4" w:space="0" w:color="000000"/>
              <w:right w:val="single" w:sz="4" w:space="0" w:color="000000"/>
            </w:tcBorders>
          </w:tcPr>
          <w:p w14:paraId="33B10880" w14:textId="77777777" w:rsidR="0076526E" w:rsidRPr="00FB4EFA" w:rsidRDefault="0076526E" w:rsidP="00AC1192">
            <w:pPr>
              <w:widowControl w:val="0"/>
              <w:suppressAutoHyphens/>
              <w:jc w:val="center"/>
              <w:rPr>
                <w:rFonts w:ascii="Times New Roman" w:hAnsi="Times New Roman" w:cs="Times New Roman"/>
                <w:i/>
                <w:iCs/>
                <w:sz w:val="20"/>
                <w:szCs w:val="20"/>
                <w:lang w:val="fi-FI"/>
              </w:rPr>
            </w:pPr>
            <w:r w:rsidRPr="00FB4EFA">
              <w:rPr>
                <w:rFonts w:cs="Times New Roman"/>
                <w:i/>
                <w:iCs/>
                <w:sz w:val="20"/>
                <w:szCs w:val="20"/>
                <w:lang w:val="fi-FI"/>
              </w:rPr>
              <w:t>minimeen</w:t>
            </w:r>
          </w:p>
        </w:tc>
        <w:tc>
          <w:tcPr>
            <w:tcW w:w="1350" w:type="dxa"/>
            <w:tcBorders>
              <w:top w:val="single" w:sz="4" w:space="0" w:color="000000"/>
              <w:left w:val="single" w:sz="4" w:space="0" w:color="000000"/>
              <w:bottom w:val="single" w:sz="4" w:space="0" w:color="000000"/>
              <w:right w:val="single" w:sz="4" w:space="0" w:color="000000"/>
            </w:tcBorders>
          </w:tcPr>
          <w:p w14:paraId="299FD597" w14:textId="77777777" w:rsidR="0076526E" w:rsidRPr="00FB4EFA" w:rsidRDefault="0076526E" w:rsidP="00AC1192">
            <w:pPr>
              <w:widowControl w:val="0"/>
              <w:suppressAutoHyphens/>
              <w:jc w:val="center"/>
              <w:rPr>
                <w:rFonts w:ascii="Times New Roman" w:hAnsi="Times New Roman" w:cs="Times New Roman"/>
                <w:i/>
                <w:iCs/>
                <w:sz w:val="20"/>
                <w:szCs w:val="20"/>
                <w:lang w:val="fi-FI"/>
              </w:rPr>
            </w:pPr>
            <w:r w:rsidRPr="00FB4EFA">
              <w:rPr>
                <w:rFonts w:cs="Times New Roman"/>
                <w:i/>
                <w:iCs/>
                <w:sz w:val="20"/>
                <w:szCs w:val="20"/>
                <w:lang w:val="fi-FI"/>
              </w:rPr>
              <w:t>mineen</w:t>
            </w:r>
          </w:p>
        </w:tc>
        <w:tc>
          <w:tcPr>
            <w:tcW w:w="1334" w:type="dxa"/>
            <w:tcBorders>
              <w:top w:val="single" w:sz="4" w:space="0" w:color="000000"/>
              <w:left w:val="single" w:sz="4" w:space="0" w:color="000000"/>
              <w:bottom w:val="single" w:sz="4" w:space="0" w:color="000000"/>
            </w:tcBorders>
          </w:tcPr>
          <w:p w14:paraId="73D1D972" w14:textId="77777777" w:rsidR="0076526E" w:rsidRPr="00FB4EFA" w:rsidRDefault="0076526E" w:rsidP="00AC1192">
            <w:pPr>
              <w:widowControl w:val="0"/>
              <w:suppressAutoHyphens/>
              <w:jc w:val="center"/>
              <w:rPr>
                <w:rFonts w:cs="Times New Roman"/>
                <w:i/>
                <w:iCs/>
                <w:sz w:val="20"/>
                <w:szCs w:val="20"/>
                <w:lang w:val="fi-FI"/>
              </w:rPr>
            </w:pPr>
            <w:r w:rsidRPr="00FB4EFA">
              <w:rPr>
                <w:rFonts w:cs="Times New Roman"/>
                <w:i/>
                <w:iCs/>
                <w:sz w:val="20"/>
                <w:szCs w:val="20"/>
                <w:lang w:val="fi-FI"/>
              </w:rPr>
              <w:t>mineeg</w:t>
            </w:r>
          </w:p>
        </w:tc>
      </w:tr>
      <w:tr w:rsidR="00FB4EFA" w:rsidRPr="00FB4EFA" w14:paraId="0CDD9800" w14:textId="77777777" w:rsidTr="00EC74AD">
        <w:trPr>
          <w:trHeight w:val="45"/>
          <w:jc w:val="center"/>
        </w:trPr>
        <w:tc>
          <w:tcPr>
            <w:tcW w:w="1199" w:type="dxa"/>
            <w:tcBorders>
              <w:top w:val="single" w:sz="4" w:space="0" w:color="000000"/>
              <w:right w:val="single" w:sz="12" w:space="0" w:color="000000"/>
            </w:tcBorders>
          </w:tcPr>
          <w:p w14:paraId="2C5A0CEA" w14:textId="77777777" w:rsidR="0076526E" w:rsidRPr="00FB4EFA" w:rsidRDefault="0076526E" w:rsidP="00AC1192">
            <w:pPr>
              <w:widowControl w:val="0"/>
              <w:suppressAutoHyphens/>
              <w:jc w:val="center"/>
              <w:rPr>
                <w:rFonts w:ascii="Times New Roman" w:hAnsi="Times New Roman" w:cs="Times New Roman"/>
                <w:b/>
                <w:bCs/>
                <w:sz w:val="20"/>
                <w:szCs w:val="20"/>
                <w:lang w:val="fi-FI"/>
              </w:rPr>
            </w:pPr>
            <w:r w:rsidRPr="00FB4EFA">
              <w:rPr>
                <w:rFonts w:cs="Times New Roman"/>
                <w:b/>
                <w:bCs/>
                <w:sz w:val="20"/>
                <w:szCs w:val="20"/>
                <w:lang w:val="fi-FI"/>
              </w:rPr>
              <w:t>Pl</w:t>
            </w:r>
          </w:p>
        </w:tc>
        <w:tc>
          <w:tcPr>
            <w:tcW w:w="1367" w:type="dxa"/>
            <w:tcBorders>
              <w:top w:val="single" w:sz="4" w:space="0" w:color="000000"/>
              <w:left w:val="single" w:sz="12" w:space="0" w:color="000000"/>
              <w:right w:val="single" w:sz="4" w:space="0" w:color="000000"/>
            </w:tcBorders>
          </w:tcPr>
          <w:p w14:paraId="15AE2FFF" w14:textId="77777777" w:rsidR="0076526E" w:rsidRPr="00FB4EFA" w:rsidRDefault="0076526E" w:rsidP="00AC1192">
            <w:pPr>
              <w:widowControl w:val="0"/>
              <w:suppressAutoHyphens/>
              <w:jc w:val="center"/>
              <w:rPr>
                <w:rFonts w:ascii="Times New Roman" w:hAnsi="Times New Roman" w:cs="Times New Roman"/>
                <w:i/>
                <w:iCs/>
                <w:sz w:val="20"/>
                <w:szCs w:val="20"/>
                <w:lang w:val="fi-FI"/>
              </w:rPr>
            </w:pPr>
            <w:r w:rsidRPr="00FB4EFA">
              <w:rPr>
                <w:rFonts w:cs="Times New Roman"/>
                <w:i/>
                <w:iCs/>
                <w:sz w:val="20"/>
                <w:szCs w:val="20"/>
                <w:lang w:val="fi-FI"/>
              </w:rPr>
              <w:t>mineew</w:t>
            </w:r>
          </w:p>
        </w:tc>
        <w:tc>
          <w:tcPr>
            <w:tcW w:w="1350" w:type="dxa"/>
            <w:tcBorders>
              <w:top w:val="single" w:sz="4" w:space="0" w:color="000000"/>
              <w:left w:val="single" w:sz="4" w:space="0" w:color="000000"/>
              <w:right w:val="single" w:sz="4" w:space="0" w:color="000000"/>
            </w:tcBorders>
          </w:tcPr>
          <w:p w14:paraId="56740BF2" w14:textId="77777777" w:rsidR="0076526E" w:rsidRPr="00FB4EFA" w:rsidRDefault="0076526E" w:rsidP="00AC1192">
            <w:pPr>
              <w:widowControl w:val="0"/>
              <w:suppressAutoHyphens/>
              <w:jc w:val="center"/>
              <w:rPr>
                <w:rFonts w:ascii="Times New Roman" w:hAnsi="Times New Roman" w:cs="Times New Roman"/>
                <w:i/>
                <w:iCs/>
                <w:sz w:val="20"/>
                <w:szCs w:val="20"/>
                <w:lang w:val="fi-FI"/>
              </w:rPr>
            </w:pPr>
            <w:r w:rsidRPr="00FB4EFA">
              <w:rPr>
                <w:rFonts w:cs="Times New Roman"/>
                <w:i/>
                <w:iCs/>
                <w:sz w:val="20"/>
                <w:szCs w:val="20"/>
                <w:lang w:val="fi-FI"/>
              </w:rPr>
              <w:t>mineen</w:t>
            </w:r>
          </w:p>
        </w:tc>
        <w:tc>
          <w:tcPr>
            <w:tcW w:w="1334" w:type="dxa"/>
            <w:tcBorders>
              <w:top w:val="single" w:sz="4" w:space="0" w:color="000000"/>
              <w:left w:val="single" w:sz="4" w:space="0" w:color="000000"/>
            </w:tcBorders>
          </w:tcPr>
          <w:p w14:paraId="3CFB399A" w14:textId="77777777" w:rsidR="0076526E" w:rsidRPr="00FB4EFA" w:rsidRDefault="0076526E" w:rsidP="00AC1192">
            <w:pPr>
              <w:widowControl w:val="0"/>
              <w:suppressAutoHyphens/>
              <w:jc w:val="center"/>
              <w:rPr>
                <w:rFonts w:cs="Times New Roman"/>
                <w:i/>
                <w:iCs/>
                <w:sz w:val="20"/>
                <w:szCs w:val="20"/>
                <w:lang w:val="fi-FI"/>
              </w:rPr>
            </w:pPr>
            <w:r w:rsidRPr="00FB4EFA">
              <w:rPr>
                <w:rFonts w:cs="Times New Roman"/>
                <w:i/>
                <w:iCs/>
                <w:sz w:val="20"/>
                <w:szCs w:val="20"/>
                <w:lang w:val="fi-FI"/>
              </w:rPr>
              <w:t>mineegøt</w:t>
            </w:r>
          </w:p>
        </w:tc>
      </w:tr>
    </w:tbl>
    <w:p w14:paraId="2C1CDD51" w14:textId="77777777" w:rsidR="0076526E" w:rsidRPr="00FB4EFA" w:rsidRDefault="0076526E" w:rsidP="00AC1192">
      <w:pPr>
        <w:suppressAutoHyphens/>
        <w:spacing w:before="120" w:line="240" w:lineRule="auto"/>
        <w:jc w:val="center"/>
        <w:rPr>
          <w:sz w:val="18"/>
          <w:szCs w:val="18"/>
          <w:lang w:val="fi-FI"/>
        </w:rPr>
      </w:pPr>
      <w:r w:rsidRPr="00FB4EFA">
        <w:rPr>
          <w:b/>
          <w:bCs/>
          <w:sz w:val="18"/>
          <w:szCs w:val="18"/>
          <w:lang w:val="fi-FI"/>
        </w:rPr>
        <w:t>Taulukko 1</w:t>
      </w:r>
      <w:r w:rsidRPr="00FB4EFA">
        <w:rPr>
          <w:sz w:val="18"/>
          <w:szCs w:val="18"/>
          <w:lang w:val="fi-FI"/>
        </w:rPr>
        <w:t>. Pohjoismansin verbintaivutus, ’mennä’-verbi subjektikonjugaatio, preesens (Kulonen 2007: 99).</w:t>
      </w:r>
    </w:p>
    <w:p w14:paraId="6A63316F" w14:textId="2D837CAA" w:rsidR="0076526E" w:rsidRPr="00FB4EFA" w:rsidRDefault="0076526E" w:rsidP="00AF0CAD">
      <w:pPr>
        <w:spacing w:before="240"/>
        <w:rPr>
          <w:lang w:val="fi-FI"/>
        </w:rPr>
      </w:pPr>
      <w:r w:rsidRPr="00FB4EFA">
        <w:rPr>
          <w:lang w:val="fi-FI"/>
        </w:rPr>
        <w:t>Preesensin *</w:t>
      </w:r>
      <w:r w:rsidR="00EB3AA5" w:rsidRPr="00FB4EFA">
        <w:rPr>
          <w:lang w:val="fi-FI"/>
        </w:rPr>
        <w:t>-</w:t>
      </w:r>
      <w:r w:rsidRPr="00FB4EFA">
        <w:rPr>
          <w:i/>
          <w:iCs/>
          <w:lang w:val="fi-FI"/>
        </w:rPr>
        <w:t>k</w:t>
      </w:r>
      <w:r w:rsidR="00EB3AA5" w:rsidRPr="00FB4EFA">
        <w:rPr>
          <w:i/>
          <w:iCs/>
          <w:lang w:val="fi-FI"/>
        </w:rPr>
        <w:t>-</w:t>
      </w:r>
      <w:r w:rsidRPr="00FB4EFA">
        <w:rPr>
          <w:lang w:val="fi-FI"/>
        </w:rPr>
        <w:t xml:space="preserve"> esiintyy tutkimuskirjallisuudessa erityisesti itämerensuomen verbin preesensin monikkomuotojen rekonstruktioissa. Tällä tarkoitetaan finiittiverbiin ennen persoonapäätettä liittyvää morfeemia, </w:t>
      </w:r>
      <w:r w:rsidRPr="00FB4EFA">
        <w:rPr>
          <w:lang w:val="fi-FI"/>
        </w:rPr>
        <w:lastRenderedPageBreak/>
        <w:t>joka kantasuomeen on rekonstruoitu ennen geminaatallista monikon 1. ja 2. persoonapäätettä, -</w:t>
      </w:r>
      <w:r w:rsidRPr="00FB4EFA">
        <w:rPr>
          <w:i/>
          <w:iCs/>
          <w:lang w:val="fi-FI"/>
        </w:rPr>
        <w:t>mme</w:t>
      </w:r>
      <w:r w:rsidRPr="00FB4EFA">
        <w:rPr>
          <w:lang w:val="fi-FI"/>
        </w:rPr>
        <w:t xml:space="preserve"> &lt; *-</w:t>
      </w:r>
      <w:r w:rsidRPr="00FB4EFA">
        <w:rPr>
          <w:i/>
          <w:iCs/>
          <w:lang w:val="fi-FI"/>
        </w:rPr>
        <w:t>k</w:t>
      </w:r>
      <w:r w:rsidR="00EB3AA5" w:rsidRPr="00FB4EFA">
        <w:rPr>
          <w:i/>
          <w:iCs/>
          <w:lang w:val="fi-FI"/>
        </w:rPr>
        <w:t>-</w:t>
      </w:r>
      <w:r w:rsidRPr="00FB4EFA">
        <w:rPr>
          <w:lang w:val="fi-FI"/>
        </w:rPr>
        <w:t>+</w:t>
      </w:r>
      <w:r w:rsidR="00EB3AA5" w:rsidRPr="00FB4EFA">
        <w:rPr>
          <w:i/>
          <w:iCs/>
          <w:lang w:val="fi-FI"/>
        </w:rPr>
        <w:t>-</w:t>
      </w:r>
      <w:r w:rsidRPr="00FB4EFA">
        <w:rPr>
          <w:i/>
          <w:iCs/>
          <w:lang w:val="fi-FI"/>
        </w:rPr>
        <w:t>mek</w:t>
      </w:r>
      <w:r w:rsidRPr="00FB4EFA">
        <w:rPr>
          <w:lang w:val="fi-FI"/>
        </w:rPr>
        <w:t>, -</w:t>
      </w:r>
      <w:r w:rsidRPr="00FB4EFA">
        <w:rPr>
          <w:i/>
          <w:iCs/>
          <w:lang w:val="fi-FI"/>
        </w:rPr>
        <w:t>tte</w:t>
      </w:r>
      <w:r w:rsidRPr="00FB4EFA">
        <w:rPr>
          <w:lang w:val="fi-FI"/>
        </w:rPr>
        <w:t xml:space="preserve"> &lt; *</w:t>
      </w:r>
      <w:r w:rsidR="00EB3AA5" w:rsidRPr="00FB4EFA">
        <w:rPr>
          <w:i/>
          <w:iCs/>
          <w:lang w:val="fi-FI"/>
        </w:rPr>
        <w:t>-</w:t>
      </w:r>
      <w:r w:rsidRPr="00FB4EFA">
        <w:rPr>
          <w:i/>
          <w:iCs/>
          <w:lang w:val="fi-FI"/>
        </w:rPr>
        <w:t>k</w:t>
      </w:r>
      <w:r w:rsidR="00EB3AA5" w:rsidRPr="00FB4EFA">
        <w:rPr>
          <w:i/>
          <w:iCs/>
          <w:lang w:val="fi-FI"/>
        </w:rPr>
        <w:t>-</w:t>
      </w:r>
      <w:r w:rsidRPr="00FB4EFA">
        <w:rPr>
          <w:lang w:val="fi-FI"/>
        </w:rPr>
        <w:t>+</w:t>
      </w:r>
      <w:r w:rsidR="00EB3AA5" w:rsidRPr="00FB4EFA">
        <w:rPr>
          <w:i/>
          <w:iCs/>
          <w:lang w:val="fi-FI"/>
        </w:rPr>
        <w:t>-</w:t>
      </w:r>
      <w:r w:rsidRPr="00FB4EFA">
        <w:rPr>
          <w:i/>
          <w:iCs/>
          <w:lang w:val="fi-FI"/>
        </w:rPr>
        <w:t>tek</w:t>
      </w:r>
      <w:r w:rsidRPr="00FB4EFA">
        <w:rPr>
          <w:lang w:val="fi-FI"/>
        </w:rPr>
        <w:t>. Suffiksia *</w:t>
      </w:r>
      <w:r w:rsidR="00EB3AA5" w:rsidRPr="00FB4EFA">
        <w:rPr>
          <w:i/>
          <w:iCs/>
          <w:lang w:val="fi-FI"/>
        </w:rPr>
        <w:t>-</w:t>
      </w:r>
      <w:r w:rsidRPr="00FB4EFA">
        <w:rPr>
          <w:i/>
          <w:iCs/>
          <w:lang w:val="fi-FI"/>
        </w:rPr>
        <w:t>k</w:t>
      </w:r>
      <w:r w:rsidR="00EB3AA5" w:rsidRPr="00FB4EFA">
        <w:rPr>
          <w:i/>
          <w:iCs/>
          <w:lang w:val="fi-FI"/>
        </w:rPr>
        <w:t>-</w:t>
      </w:r>
      <w:r w:rsidRPr="00FB4EFA">
        <w:rPr>
          <w:lang w:val="fi-FI"/>
        </w:rPr>
        <w:t xml:space="preserve"> on pidetty preesensin tunnuksena. (Hakulinen 2000 (1978): 246–247; Häkkinen, J. 2011; Häkkinen, K. 1985; Lehtinen 2007: 90–91. Murteiden perusteella imperfekti, konditionaali ja imperatiivi ovat muodostuneet yksittäiskonsonantista ja vokaalista, *</w:t>
      </w:r>
      <w:r w:rsidR="00EB3AA5" w:rsidRPr="00FB4EFA">
        <w:rPr>
          <w:i/>
          <w:iCs/>
          <w:lang w:val="fi-FI"/>
        </w:rPr>
        <w:t>-</w:t>
      </w:r>
      <w:r w:rsidRPr="00FB4EFA">
        <w:rPr>
          <w:i/>
          <w:iCs/>
          <w:lang w:val="fi-FI"/>
        </w:rPr>
        <w:t>mA</w:t>
      </w:r>
      <w:r w:rsidRPr="00FB4EFA">
        <w:rPr>
          <w:lang w:val="fi-FI"/>
        </w:rPr>
        <w:t>, *</w:t>
      </w:r>
      <w:r w:rsidR="00EB3AA5" w:rsidRPr="00FB4EFA">
        <w:rPr>
          <w:i/>
          <w:iCs/>
          <w:lang w:val="fi-FI"/>
        </w:rPr>
        <w:t>-</w:t>
      </w:r>
      <w:r w:rsidRPr="00FB4EFA">
        <w:rPr>
          <w:i/>
          <w:iCs/>
          <w:lang w:val="fi-FI"/>
        </w:rPr>
        <w:t>tA</w:t>
      </w:r>
      <w:r w:rsidRPr="00FB4EFA">
        <w:rPr>
          <w:lang w:val="fi-FI"/>
        </w:rPr>
        <w:t>. Analogian vaikutuksesta preesenstaivutuksen monikon geminaatalliset suffiksit, joissa esiintyy historiallisesti katsottuna preesenstunnus *</w:t>
      </w:r>
      <w:r w:rsidR="00EB3AA5" w:rsidRPr="00FB4EFA">
        <w:rPr>
          <w:i/>
          <w:iCs/>
          <w:lang w:val="fi-FI"/>
        </w:rPr>
        <w:t>-</w:t>
      </w:r>
      <w:r w:rsidRPr="00FB4EFA">
        <w:rPr>
          <w:i/>
          <w:iCs/>
          <w:lang w:val="fi-FI"/>
        </w:rPr>
        <w:t>k</w:t>
      </w:r>
      <w:r w:rsidR="00EB3AA5" w:rsidRPr="00FB4EFA">
        <w:rPr>
          <w:i/>
          <w:iCs/>
          <w:lang w:val="fi-FI"/>
        </w:rPr>
        <w:t>-</w:t>
      </w:r>
      <w:r w:rsidRPr="00FB4EFA">
        <w:rPr>
          <w:lang w:val="fi-FI"/>
        </w:rPr>
        <w:t>, ovat levinneet myös imperfektiin, konditionaaliin ja imperatiiviin (Hakulinen 2000 (1978): 246).</w:t>
      </w:r>
    </w:p>
    <w:p w14:paraId="7A6C5453" w14:textId="2471F579" w:rsidR="0076526E" w:rsidRPr="00FB4EFA" w:rsidRDefault="0076526E" w:rsidP="00AF0CAD">
      <w:pPr>
        <w:ind w:firstLine="709"/>
        <w:rPr>
          <w:lang w:val="fi-FI"/>
        </w:rPr>
      </w:pPr>
      <w:r w:rsidRPr="00FB4EFA">
        <w:rPr>
          <w:lang w:val="fi-FI"/>
        </w:rPr>
        <w:t>Jo Setälä (1889: 51) pystyi tekemään yhteenvetoa geminaattojen alkuperää koskevista tutkimuksista. Siteeraan aiempaa tutkimusta tässä Setälän kautta: Lönnrotin (1841: 43) mukaan monikon 1. ja 2. persoonan päätteet ovat liittyneet kolmannen persoonan suffiksiin *-</w:t>
      </w:r>
      <w:r w:rsidRPr="00FB4EFA">
        <w:rPr>
          <w:i/>
          <w:iCs/>
          <w:lang w:val="fi-FI"/>
        </w:rPr>
        <w:t>he</w:t>
      </w:r>
      <w:r w:rsidRPr="00FB4EFA">
        <w:rPr>
          <w:lang w:val="fi-FI"/>
        </w:rPr>
        <w:t xml:space="preserve"> (*-</w:t>
      </w:r>
      <w:r w:rsidRPr="00FB4EFA">
        <w:rPr>
          <w:i/>
          <w:iCs/>
          <w:lang w:val="fi-FI"/>
        </w:rPr>
        <w:t>heme</w:t>
      </w:r>
      <w:r w:rsidRPr="00FB4EFA">
        <w:rPr>
          <w:lang w:val="fi-FI"/>
        </w:rPr>
        <w:t xml:space="preserve"> &gt; *</w:t>
      </w:r>
      <w:r w:rsidR="00545033" w:rsidRPr="00FB4EFA">
        <w:rPr>
          <w:lang w:val="fi-FI"/>
        </w:rPr>
        <w:noBreakHyphen/>
      </w:r>
      <w:r w:rsidRPr="00FB4EFA">
        <w:rPr>
          <w:i/>
          <w:iCs/>
          <w:lang w:val="fi-FI"/>
        </w:rPr>
        <w:t>hme</w:t>
      </w:r>
      <w:r w:rsidRPr="00FB4EFA">
        <w:rPr>
          <w:lang w:val="fi-FI"/>
        </w:rPr>
        <w:t xml:space="preserve"> &gt; -</w:t>
      </w:r>
      <w:r w:rsidRPr="00FB4EFA">
        <w:rPr>
          <w:i/>
          <w:iCs/>
          <w:lang w:val="fi-FI"/>
        </w:rPr>
        <w:t>mme</w:t>
      </w:r>
      <w:r w:rsidRPr="00FB4EFA">
        <w:rPr>
          <w:lang w:val="fi-FI"/>
        </w:rPr>
        <w:t>, *-</w:t>
      </w:r>
      <w:r w:rsidRPr="00FB4EFA">
        <w:rPr>
          <w:i/>
          <w:iCs/>
          <w:lang w:val="fi-FI"/>
        </w:rPr>
        <w:t>hete</w:t>
      </w:r>
      <w:r w:rsidRPr="00FB4EFA">
        <w:rPr>
          <w:lang w:val="fi-FI"/>
        </w:rPr>
        <w:t xml:space="preserve"> &gt; *-</w:t>
      </w:r>
      <w:r w:rsidRPr="00FB4EFA">
        <w:rPr>
          <w:i/>
          <w:iCs/>
          <w:lang w:val="fi-FI"/>
        </w:rPr>
        <w:t>hte</w:t>
      </w:r>
      <w:r w:rsidRPr="00FB4EFA">
        <w:rPr>
          <w:lang w:val="fi-FI"/>
        </w:rPr>
        <w:t xml:space="preserve"> &gt; </w:t>
      </w:r>
      <w:r w:rsidR="00B407D0" w:rsidRPr="00FB4EFA">
        <w:rPr>
          <w:lang w:val="fi-FI"/>
        </w:rPr>
        <w:noBreakHyphen/>
      </w:r>
      <w:r w:rsidRPr="00FB4EFA">
        <w:rPr>
          <w:i/>
          <w:iCs/>
          <w:lang w:val="fi-FI"/>
        </w:rPr>
        <w:t>tte</w:t>
      </w:r>
      <w:r w:rsidRPr="00FB4EFA">
        <w:rPr>
          <w:lang w:val="fi-FI"/>
        </w:rPr>
        <w:t>). Castrénin (1850: 66) mukaan muodot olisivat syntyneet yksikön 1. persoonan suffiksin nasaalista ja siihen liittyneestä monikon 1. ja 2. persoonasta (*</w:t>
      </w:r>
      <w:r w:rsidR="00B407D0" w:rsidRPr="00FB4EFA">
        <w:rPr>
          <w:i/>
          <w:iCs/>
          <w:lang w:val="fi-FI"/>
        </w:rPr>
        <w:t>-</w:t>
      </w:r>
      <w:r w:rsidRPr="00FB4EFA">
        <w:rPr>
          <w:i/>
          <w:iCs/>
          <w:lang w:val="fi-FI"/>
        </w:rPr>
        <w:t>m</w:t>
      </w:r>
      <w:r w:rsidRPr="00FB4EFA">
        <w:rPr>
          <w:lang w:val="fi-FI"/>
        </w:rPr>
        <w:t xml:space="preserve"> (&gt; </w:t>
      </w:r>
      <w:r w:rsidR="00B407D0" w:rsidRPr="00FB4EFA">
        <w:rPr>
          <w:i/>
          <w:iCs/>
          <w:lang w:val="fi-FI"/>
        </w:rPr>
        <w:t>-</w:t>
      </w:r>
      <w:r w:rsidRPr="00FB4EFA">
        <w:rPr>
          <w:i/>
          <w:iCs/>
          <w:lang w:val="fi-FI"/>
        </w:rPr>
        <w:t>n</w:t>
      </w:r>
      <w:r w:rsidRPr="00FB4EFA">
        <w:rPr>
          <w:lang w:val="fi-FI"/>
        </w:rPr>
        <w:t xml:space="preserve">) + </w:t>
      </w:r>
      <w:r w:rsidR="00B407D0" w:rsidRPr="00FB4EFA">
        <w:rPr>
          <w:i/>
          <w:iCs/>
          <w:lang w:val="fi-FI"/>
        </w:rPr>
        <w:t>-</w:t>
      </w:r>
      <w:r w:rsidRPr="00FB4EFA">
        <w:rPr>
          <w:i/>
          <w:iCs/>
          <w:lang w:val="fi-FI"/>
        </w:rPr>
        <w:t>me</w:t>
      </w:r>
      <w:r w:rsidRPr="00FB4EFA">
        <w:rPr>
          <w:lang w:val="fi-FI"/>
        </w:rPr>
        <w:t xml:space="preserve"> = </w:t>
      </w:r>
      <w:r w:rsidR="00B407D0" w:rsidRPr="00FB4EFA">
        <w:rPr>
          <w:i/>
          <w:iCs/>
          <w:lang w:val="fi-FI"/>
        </w:rPr>
        <w:t>-</w:t>
      </w:r>
      <w:r w:rsidRPr="00FB4EFA">
        <w:rPr>
          <w:i/>
          <w:iCs/>
          <w:lang w:val="fi-FI"/>
        </w:rPr>
        <w:t>mme</w:t>
      </w:r>
      <w:r w:rsidRPr="00FB4EFA">
        <w:rPr>
          <w:lang w:val="fi-FI"/>
        </w:rPr>
        <w:t>; *</w:t>
      </w:r>
      <w:r w:rsidR="00B407D0" w:rsidRPr="00FB4EFA">
        <w:rPr>
          <w:i/>
          <w:iCs/>
          <w:lang w:val="fi-FI"/>
        </w:rPr>
        <w:t>-</w:t>
      </w:r>
      <w:r w:rsidRPr="00FB4EFA">
        <w:rPr>
          <w:i/>
          <w:iCs/>
          <w:lang w:val="fi-FI"/>
        </w:rPr>
        <w:t>m</w:t>
      </w:r>
      <w:r w:rsidRPr="00FB4EFA">
        <w:rPr>
          <w:lang w:val="fi-FI"/>
        </w:rPr>
        <w:t xml:space="preserve"> (&gt; </w:t>
      </w:r>
      <w:r w:rsidR="00B407D0" w:rsidRPr="00FB4EFA">
        <w:rPr>
          <w:i/>
          <w:iCs/>
          <w:lang w:val="fi-FI"/>
        </w:rPr>
        <w:t>-</w:t>
      </w:r>
      <w:r w:rsidRPr="00FB4EFA">
        <w:rPr>
          <w:i/>
          <w:iCs/>
          <w:lang w:val="fi-FI"/>
        </w:rPr>
        <w:t>n</w:t>
      </w:r>
      <w:r w:rsidRPr="00FB4EFA">
        <w:rPr>
          <w:lang w:val="fi-FI"/>
        </w:rPr>
        <w:t xml:space="preserve">) + </w:t>
      </w:r>
      <w:r w:rsidR="00B407D0" w:rsidRPr="00FB4EFA">
        <w:rPr>
          <w:i/>
          <w:iCs/>
          <w:lang w:val="fi-FI"/>
        </w:rPr>
        <w:t>-</w:t>
      </w:r>
      <w:r w:rsidRPr="00FB4EFA">
        <w:rPr>
          <w:i/>
          <w:iCs/>
          <w:lang w:val="fi-FI"/>
        </w:rPr>
        <w:t>te</w:t>
      </w:r>
      <w:r w:rsidRPr="00FB4EFA">
        <w:rPr>
          <w:lang w:val="fi-FI"/>
        </w:rPr>
        <w:t xml:space="preserve"> = </w:t>
      </w:r>
      <w:r w:rsidR="00B407D0" w:rsidRPr="00FB4EFA">
        <w:rPr>
          <w:i/>
          <w:iCs/>
          <w:lang w:val="fi-FI"/>
        </w:rPr>
        <w:t>-</w:t>
      </w:r>
      <w:r w:rsidRPr="00FB4EFA">
        <w:rPr>
          <w:i/>
          <w:iCs/>
          <w:lang w:val="fi-FI"/>
        </w:rPr>
        <w:t>tte</w:t>
      </w:r>
      <w:r w:rsidRPr="00FB4EFA">
        <w:rPr>
          <w:lang w:val="fi-FI"/>
        </w:rPr>
        <w:t>). Ahlqvistin (1863: 47) ensimmäisen selityksen mukaan geminaatta on syntynyt possessiivisuffiksien monta omistettua ilmaisevan geminaatan mukaan analogisesti (</w:t>
      </w:r>
      <w:r w:rsidR="00B407D0" w:rsidRPr="00FB4EFA">
        <w:rPr>
          <w:i/>
          <w:iCs/>
          <w:lang w:val="fi-FI"/>
        </w:rPr>
        <w:t>-</w:t>
      </w:r>
      <w:r w:rsidRPr="00FB4EFA">
        <w:rPr>
          <w:i/>
          <w:iCs/>
          <w:lang w:val="fi-FI"/>
        </w:rPr>
        <w:t>m</w:t>
      </w:r>
      <w:r w:rsidRPr="00FB4EFA">
        <w:rPr>
          <w:lang w:val="fi-FI"/>
        </w:rPr>
        <w:t>+</w:t>
      </w:r>
      <w:r w:rsidR="00B407D0" w:rsidRPr="00FB4EFA">
        <w:rPr>
          <w:i/>
          <w:iCs/>
          <w:lang w:val="fi-FI"/>
        </w:rPr>
        <w:t>-</w:t>
      </w:r>
      <w:r w:rsidRPr="00FB4EFA">
        <w:rPr>
          <w:i/>
          <w:iCs/>
          <w:lang w:val="fi-FI"/>
        </w:rPr>
        <w:t>m</w:t>
      </w:r>
      <w:r w:rsidRPr="00FB4EFA">
        <w:rPr>
          <w:lang w:val="fi-FI"/>
        </w:rPr>
        <w:t xml:space="preserve"> = </w:t>
      </w:r>
      <w:r w:rsidR="00B407D0" w:rsidRPr="00FB4EFA">
        <w:rPr>
          <w:i/>
          <w:iCs/>
          <w:lang w:val="fi-FI"/>
        </w:rPr>
        <w:t>-</w:t>
      </w:r>
      <w:r w:rsidRPr="00FB4EFA">
        <w:rPr>
          <w:i/>
          <w:iCs/>
          <w:lang w:val="fi-FI"/>
        </w:rPr>
        <w:t>mme</w:t>
      </w:r>
      <w:r w:rsidRPr="00FB4EFA">
        <w:rPr>
          <w:lang w:val="fi-FI"/>
        </w:rPr>
        <w:t xml:space="preserve">, </w:t>
      </w:r>
      <w:r w:rsidR="00B407D0" w:rsidRPr="00FB4EFA">
        <w:rPr>
          <w:i/>
          <w:iCs/>
          <w:lang w:val="fi-FI"/>
        </w:rPr>
        <w:t>-</w:t>
      </w:r>
      <w:r w:rsidRPr="00FB4EFA">
        <w:rPr>
          <w:i/>
          <w:iCs/>
          <w:lang w:val="fi-FI"/>
        </w:rPr>
        <w:t>t</w:t>
      </w:r>
      <w:r w:rsidRPr="00FB4EFA">
        <w:rPr>
          <w:lang w:val="fi-FI"/>
        </w:rPr>
        <w:t>+</w:t>
      </w:r>
      <w:r w:rsidR="00B407D0" w:rsidRPr="00FB4EFA">
        <w:rPr>
          <w:i/>
          <w:iCs/>
          <w:lang w:val="fi-FI"/>
        </w:rPr>
        <w:t>-</w:t>
      </w:r>
      <w:r w:rsidRPr="00FB4EFA">
        <w:rPr>
          <w:i/>
          <w:iCs/>
          <w:lang w:val="fi-FI"/>
        </w:rPr>
        <w:t>t</w:t>
      </w:r>
      <w:r w:rsidRPr="00FB4EFA">
        <w:rPr>
          <w:lang w:val="fi-FI"/>
        </w:rPr>
        <w:t>=</w:t>
      </w:r>
      <w:r w:rsidR="00B407D0" w:rsidRPr="00FB4EFA">
        <w:rPr>
          <w:i/>
          <w:iCs/>
          <w:lang w:val="fi-FI"/>
        </w:rPr>
        <w:t>-</w:t>
      </w:r>
      <w:r w:rsidRPr="00FB4EFA">
        <w:rPr>
          <w:i/>
          <w:iCs/>
          <w:lang w:val="fi-FI"/>
        </w:rPr>
        <w:t>tte</w:t>
      </w:r>
      <w:r w:rsidRPr="00FB4EFA">
        <w:rPr>
          <w:lang w:val="fi-FI"/>
        </w:rPr>
        <w:t>), mutta myöhemmin Ahlqvist (1871: 12) on muuttanut kantaansa ja uskoo, että monikon 1. ja 2. persoonan suffiksit -</w:t>
      </w:r>
      <w:r w:rsidRPr="00FB4EFA">
        <w:rPr>
          <w:i/>
          <w:iCs/>
          <w:lang w:val="fi-FI"/>
        </w:rPr>
        <w:t>me</w:t>
      </w:r>
      <w:r w:rsidRPr="00FB4EFA">
        <w:rPr>
          <w:lang w:val="fi-FI"/>
        </w:rPr>
        <w:t xml:space="preserve"> ja -</w:t>
      </w:r>
      <w:r w:rsidRPr="00FB4EFA">
        <w:rPr>
          <w:i/>
          <w:iCs/>
          <w:lang w:val="fi-FI"/>
        </w:rPr>
        <w:t>te</w:t>
      </w:r>
      <w:r w:rsidRPr="00FB4EFA">
        <w:rPr>
          <w:lang w:val="fi-FI"/>
        </w:rPr>
        <w:t xml:space="preserve"> ovat liittyneet vastaaviin yksikön persoonamuotoihin: </w:t>
      </w:r>
      <w:r w:rsidRPr="00FB4EFA">
        <w:rPr>
          <w:i/>
          <w:iCs/>
          <w:lang w:val="fi-FI"/>
        </w:rPr>
        <w:t>sanon</w:t>
      </w:r>
      <w:r w:rsidRPr="00FB4EFA">
        <w:rPr>
          <w:lang w:val="fi-FI"/>
        </w:rPr>
        <w:t xml:space="preserve"> + </w:t>
      </w:r>
      <w:r w:rsidR="00B407D0" w:rsidRPr="00FB4EFA">
        <w:rPr>
          <w:i/>
          <w:iCs/>
          <w:lang w:val="fi-FI"/>
        </w:rPr>
        <w:t>-</w:t>
      </w:r>
      <w:r w:rsidRPr="00FB4EFA">
        <w:rPr>
          <w:i/>
          <w:iCs/>
          <w:lang w:val="fi-FI"/>
        </w:rPr>
        <w:t>me</w:t>
      </w:r>
      <w:r w:rsidRPr="00FB4EFA">
        <w:rPr>
          <w:lang w:val="fi-FI"/>
        </w:rPr>
        <w:t xml:space="preserve"> = </w:t>
      </w:r>
      <w:r w:rsidRPr="00FB4EFA">
        <w:rPr>
          <w:i/>
          <w:iCs/>
          <w:lang w:val="fi-FI"/>
        </w:rPr>
        <w:t>sanomme</w:t>
      </w:r>
      <w:r w:rsidRPr="00FB4EFA">
        <w:rPr>
          <w:lang w:val="fi-FI"/>
        </w:rPr>
        <w:t xml:space="preserve">, </w:t>
      </w:r>
      <w:r w:rsidRPr="00FB4EFA">
        <w:rPr>
          <w:i/>
          <w:iCs/>
          <w:lang w:val="fi-FI"/>
        </w:rPr>
        <w:t>sanot</w:t>
      </w:r>
      <w:r w:rsidRPr="00FB4EFA">
        <w:rPr>
          <w:lang w:val="fi-FI"/>
        </w:rPr>
        <w:t xml:space="preserve"> + </w:t>
      </w:r>
      <w:r w:rsidR="00B407D0" w:rsidRPr="00FB4EFA">
        <w:rPr>
          <w:i/>
          <w:iCs/>
          <w:lang w:val="fi-FI"/>
        </w:rPr>
        <w:t>-</w:t>
      </w:r>
      <w:r w:rsidRPr="00FB4EFA">
        <w:rPr>
          <w:i/>
          <w:iCs/>
          <w:lang w:val="fi-FI"/>
        </w:rPr>
        <w:t>te</w:t>
      </w:r>
      <w:r w:rsidRPr="00FB4EFA">
        <w:rPr>
          <w:lang w:val="fi-FI"/>
        </w:rPr>
        <w:t xml:space="preserve"> = </w:t>
      </w:r>
      <w:r w:rsidRPr="00FB4EFA">
        <w:rPr>
          <w:i/>
          <w:iCs/>
          <w:lang w:val="fi-FI"/>
        </w:rPr>
        <w:t>sanotte</w:t>
      </w:r>
      <w:r w:rsidRPr="00FB4EFA">
        <w:rPr>
          <w:lang w:val="fi-FI"/>
        </w:rPr>
        <w:t>. Setälän (1889: 53) oman käsityksen mukaan monikon 1. ja 2. persoonan muodoissa on preesenssuffiksi -</w:t>
      </w:r>
      <w:r w:rsidRPr="00FB4EFA">
        <w:rPr>
          <w:i/>
          <w:iCs/>
          <w:lang w:val="fi-FI"/>
        </w:rPr>
        <w:t>ka</w:t>
      </w:r>
      <w:r w:rsidR="00B407D0" w:rsidRPr="00FB4EFA">
        <w:rPr>
          <w:i/>
          <w:iCs/>
          <w:lang w:val="fi-FI"/>
        </w:rPr>
        <w:t>-</w:t>
      </w:r>
      <w:r w:rsidRPr="00FB4EFA">
        <w:rPr>
          <w:lang w:val="fi-FI"/>
        </w:rPr>
        <w:t xml:space="preserve"> &gt; </w:t>
      </w:r>
      <w:r w:rsidR="00B407D0" w:rsidRPr="00FB4EFA">
        <w:rPr>
          <w:i/>
          <w:iCs/>
          <w:lang w:val="fi-FI"/>
        </w:rPr>
        <w:t>-</w:t>
      </w:r>
      <w:r w:rsidRPr="00FB4EFA">
        <w:rPr>
          <w:i/>
          <w:iCs/>
          <w:lang w:val="fi-FI"/>
        </w:rPr>
        <w:t>k</w:t>
      </w:r>
      <w:r w:rsidR="00B407D0" w:rsidRPr="00FB4EFA">
        <w:rPr>
          <w:i/>
          <w:iCs/>
          <w:lang w:val="fi-FI"/>
        </w:rPr>
        <w:t>-</w:t>
      </w:r>
      <w:r w:rsidRPr="00FB4EFA">
        <w:rPr>
          <w:lang w:val="fi-FI"/>
        </w:rPr>
        <w:t xml:space="preserve"> &gt; glottaaliklusiili, joka on assimilaation myötä johtanut geminaattojen syntyyn: </w:t>
      </w:r>
      <w:r w:rsidRPr="00FB4EFA">
        <w:rPr>
          <w:i/>
          <w:iCs/>
          <w:lang w:val="fi-FI"/>
        </w:rPr>
        <w:t>otamme</w:t>
      </w:r>
      <w:r w:rsidRPr="00FB4EFA">
        <w:rPr>
          <w:lang w:val="fi-FI"/>
        </w:rPr>
        <w:t xml:space="preserve"> (-</w:t>
      </w:r>
      <w:r w:rsidRPr="00FB4EFA">
        <w:rPr>
          <w:i/>
          <w:iCs/>
          <w:lang w:val="fi-FI"/>
        </w:rPr>
        <w:t>mma</w:t>
      </w:r>
      <w:r w:rsidRPr="00FB4EFA">
        <w:rPr>
          <w:lang w:val="fi-FI"/>
        </w:rPr>
        <w:t>) &lt; *</w:t>
      </w:r>
      <w:r w:rsidRPr="00FB4EFA">
        <w:rPr>
          <w:i/>
          <w:iCs/>
          <w:lang w:val="fi-FI"/>
        </w:rPr>
        <w:t>otaʔ</w:t>
      </w:r>
      <w:r w:rsidR="00545033" w:rsidRPr="00FB4EFA">
        <w:rPr>
          <w:lang w:val="fi-FI"/>
        </w:rPr>
        <w:noBreakHyphen/>
      </w:r>
      <w:r w:rsidRPr="00FB4EFA">
        <w:rPr>
          <w:i/>
          <w:iCs/>
          <w:lang w:val="fi-FI"/>
        </w:rPr>
        <w:t>me</w:t>
      </w:r>
      <w:r w:rsidRPr="00FB4EFA">
        <w:rPr>
          <w:lang w:val="fi-FI"/>
        </w:rPr>
        <w:t xml:space="preserve"> (-</w:t>
      </w:r>
      <w:r w:rsidRPr="00FB4EFA">
        <w:rPr>
          <w:i/>
          <w:iCs/>
          <w:lang w:val="fi-FI"/>
        </w:rPr>
        <w:t>ma</w:t>
      </w:r>
      <w:r w:rsidRPr="00FB4EFA">
        <w:rPr>
          <w:lang w:val="fi-FI"/>
        </w:rPr>
        <w:t xml:space="preserve">), </w:t>
      </w:r>
      <w:r w:rsidRPr="00FB4EFA">
        <w:rPr>
          <w:i/>
          <w:iCs/>
          <w:lang w:val="fi-FI"/>
        </w:rPr>
        <w:t>otatte</w:t>
      </w:r>
      <w:r w:rsidRPr="00FB4EFA">
        <w:rPr>
          <w:lang w:val="fi-FI"/>
        </w:rPr>
        <w:t xml:space="preserve"> (-</w:t>
      </w:r>
      <w:r w:rsidRPr="00FB4EFA">
        <w:rPr>
          <w:i/>
          <w:iCs/>
          <w:lang w:val="fi-FI"/>
        </w:rPr>
        <w:t>tta</w:t>
      </w:r>
      <w:r w:rsidRPr="00FB4EFA">
        <w:rPr>
          <w:lang w:val="fi-FI"/>
        </w:rPr>
        <w:t>) &lt; *</w:t>
      </w:r>
      <w:r w:rsidRPr="00FB4EFA">
        <w:rPr>
          <w:i/>
          <w:iCs/>
          <w:lang w:val="fi-FI"/>
        </w:rPr>
        <w:t>otaʔ</w:t>
      </w:r>
      <w:r w:rsidRPr="00FB4EFA">
        <w:rPr>
          <w:lang w:val="fi-FI"/>
        </w:rPr>
        <w:t>-</w:t>
      </w:r>
      <w:r w:rsidRPr="00FB4EFA">
        <w:rPr>
          <w:i/>
          <w:iCs/>
          <w:lang w:val="fi-FI"/>
        </w:rPr>
        <w:t>te</w:t>
      </w:r>
      <w:r w:rsidRPr="00FB4EFA">
        <w:rPr>
          <w:lang w:val="fi-FI"/>
        </w:rPr>
        <w:t xml:space="preserve"> (-</w:t>
      </w:r>
      <w:r w:rsidRPr="00FB4EFA">
        <w:rPr>
          <w:i/>
          <w:iCs/>
          <w:lang w:val="fi-FI"/>
        </w:rPr>
        <w:t>ta</w:t>
      </w:r>
      <w:r w:rsidRPr="00FB4EFA">
        <w:rPr>
          <w:lang w:val="fi-FI"/>
        </w:rPr>
        <w:t>).</w:t>
      </w:r>
    </w:p>
    <w:p w14:paraId="28EBEEA9" w14:textId="6AE04E75" w:rsidR="0076526E" w:rsidRPr="00FB4EFA" w:rsidRDefault="0076526E" w:rsidP="00AF0CAD">
      <w:pPr>
        <w:ind w:firstLine="709"/>
        <w:rPr>
          <w:lang w:val="fi-FI"/>
        </w:rPr>
      </w:pPr>
      <w:r w:rsidRPr="00FB4EFA">
        <w:rPr>
          <w:lang w:val="fi-FI"/>
        </w:rPr>
        <w:t>Vaihtoehtoiseksi geminaatan etymologiaksi on esitetty, että ko. muodoissa esiintyy nominaalistava *</w:t>
      </w:r>
      <w:r w:rsidR="00B407D0" w:rsidRPr="00FB4EFA">
        <w:rPr>
          <w:i/>
          <w:iCs/>
          <w:lang w:val="fi-FI"/>
        </w:rPr>
        <w:t>-</w:t>
      </w:r>
      <w:r w:rsidRPr="00FB4EFA">
        <w:rPr>
          <w:i/>
          <w:iCs/>
          <w:lang w:val="fi-FI"/>
        </w:rPr>
        <w:t>k</w:t>
      </w:r>
      <w:r w:rsidR="00B407D0" w:rsidRPr="00FB4EFA">
        <w:rPr>
          <w:i/>
          <w:iCs/>
          <w:lang w:val="fi-FI"/>
        </w:rPr>
        <w:t>-</w:t>
      </w:r>
      <w:r w:rsidRPr="00FB4EFA">
        <w:rPr>
          <w:lang w:val="fi-FI"/>
        </w:rPr>
        <w:t xml:space="preserve"> (Korhonen 1981: 285). Tällainen *</w:t>
      </w:r>
      <w:r w:rsidR="00B407D0" w:rsidRPr="00FB4EFA">
        <w:rPr>
          <w:i/>
          <w:iCs/>
          <w:lang w:val="fi-FI"/>
        </w:rPr>
        <w:t>-</w:t>
      </w:r>
      <w:r w:rsidRPr="00FB4EFA">
        <w:rPr>
          <w:i/>
          <w:iCs/>
          <w:lang w:val="fi-FI"/>
        </w:rPr>
        <w:t>k</w:t>
      </w:r>
      <w:r w:rsidR="00B407D0" w:rsidRPr="00FB4EFA">
        <w:rPr>
          <w:i/>
          <w:iCs/>
          <w:lang w:val="fi-FI"/>
        </w:rPr>
        <w:t>-</w:t>
      </w:r>
      <w:r w:rsidRPr="00FB4EFA">
        <w:rPr>
          <w:lang w:val="fi-FI"/>
        </w:rPr>
        <w:t xml:space="preserve"> olisi alkujaan ollut yksikön 3. persoonan muodoissa, jotka tiedetään typologisen tutkimuksen kautta toimivan usein analogian mallina (esim. Garrett 2000: 126). Itämerensuomen *</w:t>
      </w:r>
      <w:r w:rsidR="00B407D0" w:rsidRPr="00FB4EFA">
        <w:rPr>
          <w:i/>
          <w:iCs/>
          <w:lang w:val="fi-FI"/>
        </w:rPr>
        <w:t>-</w:t>
      </w:r>
      <w:r w:rsidRPr="00FB4EFA">
        <w:rPr>
          <w:i/>
          <w:iCs/>
          <w:lang w:val="fi-FI"/>
        </w:rPr>
        <w:t>k</w:t>
      </w:r>
      <w:r w:rsidRPr="00FB4EFA">
        <w:rPr>
          <w:lang w:val="fi-FI"/>
        </w:rPr>
        <w:t>-preesensin edustus on siinä mielessä hataralla pohjalla, että yksikön 3. persoonan verbit eivät taivu *</w:t>
      </w:r>
      <w:r w:rsidR="00545033" w:rsidRPr="00FB4EFA">
        <w:rPr>
          <w:i/>
          <w:iCs/>
          <w:lang w:val="fi-FI"/>
        </w:rPr>
        <w:noBreakHyphen/>
      </w:r>
      <w:r w:rsidRPr="00FB4EFA">
        <w:rPr>
          <w:i/>
          <w:iCs/>
          <w:lang w:val="fi-FI"/>
        </w:rPr>
        <w:t>k</w:t>
      </w:r>
      <w:r w:rsidRPr="00FB4EFA">
        <w:rPr>
          <w:lang w:val="fi-FI"/>
        </w:rPr>
        <w:t>-suffiksillisissa muodoissa, vaan ne ovat partisiippeja, ks. alla.</w:t>
      </w:r>
    </w:p>
    <w:p w14:paraId="7E2FA2A1" w14:textId="423B245C" w:rsidR="0076526E" w:rsidRPr="00FB4EFA" w:rsidRDefault="0076526E" w:rsidP="00AF0CAD">
      <w:pPr>
        <w:ind w:firstLine="709"/>
        <w:rPr>
          <w:lang w:val="fi-FI"/>
        </w:rPr>
      </w:pPr>
      <w:r w:rsidRPr="00FB4EFA">
        <w:rPr>
          <w:lang w:val="fi-FI"/>
        </w:rPr>
        <w:t>En pysty vastaamaan tässä kysymykseen, miten mansin preesenstaivutuksen *</w:t>
      </w:r>
      <w:r w:rsidR="00B407D0" w:rsidRPr="00FB4EFA">
        <w:rPr>
          <w:i/>
          <w:iCs/>
          <w:lang w:val="fi-FI"/>
        </w:rPr>
        <w:t>-</w:t>
      </w:r>
      <w:r w:rsidRPr="00FB4EFA">
        <w:rPr>
          <w:i/>
          <w:iCs/>
          <w:lang w:val="fi-FI"/>
        </w:rPr>
        <w:t>k</w:t>
      </w:r>
      <w:r w:rsidR="00B407D0" w:rsidRPr="00FB4EFA">
        <w:rPr>
          <w:i/>
          <w:iCs/>
          <w:lang w:val="fi-FI"/>
        </w:rPr>
        <w:t>-</w:t>
      </w:r>
      <w:r w:rsidRPr="00FB4EFA">
        <w:rPr>
          <w:lang w:val="fi-FI"/>
        </w:rPr>
        <w:t xml:space="preserve"> liittyy itämerensuomalaisten kielten monikkomuodoissa esiintyvään *</w:t>
      </w:r>
      <w:r w:rsidR="00B407D0" w:rsidRPr="00FB4EFA">
        <w:rPr>
          <w:i/>
          <w:iCs/>
          <w:lang w:val="fi-FI"/>
        </w:rPr>
        <w:t>-</w:t>
      </w:r>
      <w:r w:rsidRPr="00FB4EFA">
        <w:rPr>
          <w:i/>
          <w:iCs/>
          <w:lang w:val="fi-FI"/>
        </w:rPr>
        <w:t>k</w:t>
      </w:r>
      <w:r w:rsidRPr="00FB4EFA">
        <w:rPr>
          <w:lang w:val="fi-FI"/>
        </w:rPr>
        <w:t xml:space="preserve">-tunnukseen, tai 3. persoonan ja konnegatiivien </w:t>
      </w:r>
      <w:r w:rsidRPr="00FB4EFA">
        <w:rPr>
          <w:lang w:val="fi-FI"/>
        </w:rPr>
        <w:lastRenderedPageBreak/>
        <w:t>*</w:t>
      </w:r>
      <w:r w:rsidR="00545033" w:rsidRPr="00FB4EFA">
        <w:rPr>
          <w:i/>
          <w:iCs/>
          <w:lang w:val="fi-FI"/>
        </w:rPr>
        <w:noBreakHyphen/>
      </w:r>
      <w:r w:rsidRPr="00FB4EFA">
        <w:rPr>
          <w:i/>
          <w:iCs/>
          <w:lang w:val="fi-FI"/>
        </w:rPr>
        <w:t>k</w:t>
      </w:r>
      <w:r w:rsidR="00545033" w:rsidRPr="00FB4EFA">
        <w:rPr>
          <w:lang w:val="fi-FI"/>
        </w:rPr>
        <w:noBreakHyphen/>
      </w:r>
      <w:r w:rsidRPr="00FB4EFA">
        <w:rPr>
          <w:lang w:val="fi-FI"/>
        </w:rPr>
        <w:t>morfeemeihin. Voidaan olettaa, että uralilaisessa kantakielessä olisi ollut preesensin *</w:t>
      </w:r>
      <w:r w:rsidR="00B407D0" w:rsidRPr="00FB4EFA">
        <w:rPr>
          <w:i/>
          <w:iCs/>
          <w:lang w:val="fi-FI"/>
        </w:rPr>
        <w:t>-</w:t>
      </w:r>
      <w:r w:rsidRPr="00FB4EFA">
        <w:rPr>
          <w:i/>
          <w:iCs/>
          <w:lang w:val="fi-FI"/>
        </w:rPr>
        <w:t>k</w:t>
      </w:r>
      <w:r w:rsidR="00B407D0" w:rsidRPr="00FB4EFA">
        <w:rPr>
          <w:i/>
          <w:iCs/>
          <w:lang w:val="fi-FI"/>
        </w:rPr>
        <w:t>-</w:t>
      </w:r>
      <w:r w:rsidRPr="00FB4EFA">
        <w:rPr>
          <w:lang w:val="fi-FI"/>
        </w:rPr>
        <w:t>, joka säilyy vain mansissa ja itämerensuomalaisten kielten 1. ja 2. persoonan monikkomuodoissa. Tällainen levikki ei ole mielestäni riittävä peruste olettaa kantauraliin *</w:t>
      </w:r>
      <w:r w:rsidR="00B407D0" w:rsidRPr="00FB4EFA">
        <w:rPr>
          <w:i/>
          <w:iCs/>
          <w:lang w:val="fi-FI"/>
        </w:rPr>
        <w:t>-</w:t>
      </w:r>
      <w:r w:rsidRPr="00FB4EFA">
        <w:rPr>
          <w:i/>
          <w:iCs/>
          <w:lang w:val="fi-FI"/>
        </w:rPr>
        <w:t>k</w:t>
      </w:r>
      <w:r w:rsidRPr="00FB4EFA">
        <w:rPr>
          <w:lang w:val="fi-FI"/>
        </w:rPr>
        <w:t>-preesensiä. Sen sijaan mielestäni on todennäköistä, että kantauralissa on ollut verbin nominaalistava *</w:t>
      </w:r>
      <w:r w:rsidR="00B407D0" w:rsidRPr="00FB4EFA">
        <w:rPr>
          <w:i/>
          <w:iCs/>
          <w:lang w:val="fi-FI"/>
        </w:rPr>
        <w:t>-</w:t>
      </w:r>
      <w:r w:rsidRPr="00FB4EFA">
        <w:rPr>
          <w:i/>
          <w:iCs/>
          <w:lang w:val="fi-FI"/>
        </w:rPr>
        <w:t>k</w:t>
      </w:r>
      <w:r w:rsidRPr="00FB4EFA">
        <w:rPr>
          <w:lang w:val="fi-FI"/>
        </w:rPr>
        <w:t>-morfeemi, joka esiintyy 3. persoonissa ja konnegatiiveissa ja mahdollisesti mansissa preesenstunnuksena.</w:t>
      </w:r>
    </w:p>
    <w:p w14:paraId="047F0782" w14:textId="72B0F5AB" w:rsidR="0076526E" w:rsidRPr="00FB4EFA" w:rsidRDefault="0076526E" w:rsidP="00AF0CAD">
      <w:pPr>
        <w:ind w:firstLine="709"/>
        <w:rPr>
          <w:lang w:val="fi-FI"/>
        </w:rPr>
      </w:pPr>
      <w:r w:rsidRPr="00FB4EFA">
        <w:rPr>
          <w:lang w:val="fi-FI"/>
        </w:rPr>
        <w:t>Oleellinen kysymys onkin, onko aihetta olettaa, että kantauralissa tai jossain myöhemmässä kantakielivaiheessa olisi käytetty preesenstunnusta, ja jos sellaista oletetaan, olisiko se ollut nimenomaan *</w:t>
      </w:r>
      <w:r w:rsidR="00B407D0" w:rsidRPr="00FB4EFA">
        <w:rPr>
          <w:i/>
          <w:iCs/>
          <w:lang w:val="fi-FI"/>
        </w:rPr>
        <w:t>-</w:t>
      </w:r>
      <w:r w:rsidRPr="00FB4EFA">
        <w:rPr>
          <w:i/>
          <w:iCs/>
          <w:lang w:val="fi-FI"/>
        </w:rPr>
        <w:t>k</w:t>
      </w:r>
      <w:r w:rsidR="00B407D0" w:rsidRPr="00FB4EFA">
        <w:rPr>
          <w:i/>
          <w:iCs/>
          <w:lang w:val="fi-FI"/>
        </w:rPr>
        <w:t>-</w:t>
      </w:r>
      <w:r w:rsidRPr="00FB4EFA">
        <w:rPr>
          <w:lang w:val="fi-FI"/>
        </w:rPr>
        <w:t>. Preesenstunnusta tarvitaan kantasuomeen selittämään preesensin monikon 1. ja 2. persoonan päätteiden geminaatat, mutta kantasuomessa, saamelais-, mordvalais-, marilais- ja permiläiskielissä ei muutoin ole elementtiä, joka viittaisi *</w:t>
      </w:r>
      <w:r w:rsidR="00B407D0" w:rsidRPr="00FB4EFA">
        <w:rPr>
          <w:i/>
          <w:iCs/>
          <w:lang w:val="fi-FI"/>
        </w:rPr>
        <w:t>-</w:t>
      </w:r>
      <w:r w:rsidRPr="00FB4EFA">
        <w:rPr>
          <w:i/>
          <w:iCs/>
          <w:lang w:val="fi-FI"/>
        </w:rPr>
        <w:t>k</w:t>
      </w:r>
      <w:r w:rsidRPr="00FB4EFA">
        <w:rPr>
          <w:lang w:val="fi-FI"/>
        </w:rPr>
        <w:t>-preesensiin. Jos sellaista ei oleteta, on löydettävä vaihtoehtoinen selitys geminaatalle itämerensuomalaisten kielten preesensin monikon 1. ja 2. persoonan päätteissä.</w:t>
      </w:r>
    </w:p>
    <w:p w14:paraId="184FB403" w14:textId="46766820" w:rsidR="0076526E" w:rsidRPr="00FB4EFA" w:rsidRDefault="0076526E" w:rsidP="00AF0CAD">
      <w:pPr>
        <w:ind w:firstLine="709"/>
        <w:rPr>
          <w:lang w:val="fi-FI"/>
        </w:rPr>
      </w:pPr>
      <w:r w:rsidRPr="00FB4EFA">
        <w:rPr>
          <w:lang w:val="fi-FI"/>
        </w:rPr>
        <w:t>Jos itämerensuomen monikon 1. ja 2. persoonan suffiksien geminaatan takana ei ole *</w:t>
      </w:r>
      <w:r w:rsidR="00B407D0" w:rsidRPr="00FB4EFA">
        <w:rPr>
          <w:i/>
          <w:iCs/>
          <w:lang w:val="fi-FI"/>
        </w:rPr>
        <w:t>-</w:t>
      </w:r>
      <w:r w:rsidRPr="00FB4EFA">
        <w:rPr>
          <w:i/>
          <w:iCs/>
          <w:lang w:val="fi-FI"/>
        </w:rPr>
        <w:t>k</w:t>
      </w:r>
      <w:r w:rsidR="00B407D0" w:rsidRPr="00FB4EFA">
        <w:rPr>
          <w:i/>
          <w:iCs/>
          <w:lang w:val="fi-FI"/>
        </w:rPr>
        <w:t>-</w:t>
      </w:r>
      <w:r w:rsidRPr="00FB4EFA">
        <w:rPr>
          <w:lang w:val="fi-FI"/>
        </w:rPr>
        <w:t>, mikä sitten? Äänteellisesti ei ole mahdotonta olettaa, että velaariklusiilin sijaan kyseessä oleva äänne olisikin ollut dentaaliklusiili *</w:t>
      </w:r>
      <w:r w:rsidR="00B407D0" w:rsidRPr="00FB4EFA">
        <w:rPr>
          <w:i/>
          <w:iCs/>
          <w:lang w:val="fi-FI"/>
        </w:rPr>
        <w:t>-</w:t>
      </w:r>
      <w:r w:rsidRPr="00FB4EFA">
        <w:rPr>
          <w:i/>
          <w:iCs/>
          <w:lang w:val="fi-FI"/>
        </w:rPr>
        <w:t>t</w:t>
      </w:r>
      <w:r w:rsidR="00B407D0" w:rsidRPr="00FB4EFA">
        <w:rPr>
          <w:i/>
          <w:iCs/>
          <w:lang w:val="fi-FI"/>
        </w:rPr>
        <w:t>-</w:t>
      </w:r>
      <w:r w:rsidRPr="00FB4EFA">
        <w:rPr>
          <w:lang w:val="fi-FI"/>
        </w:rPr>
        <w:t>. Oman hypoteesini mukaan itämerensuomalaisten kielten geminaatalliset monikon 1. ja 2. persoonan päätteet ovat syntyneet siten, että verbivartalon lopussa olisi ollut monikon nominatiivin *</w:t>
      </w:r>
      <w:r w:rsidR="00B407D0" w:rsidRPr="00FB4EFA">
        <w:rPr>
          <w:i/>
          <w:iCs/>
          <w:lang w:val="fi-FI"/>
        </w:rPr>
        <w:t>-</w:t>
      </w:r>
      <w:r w:rsidRPr="00FB4EFA">
        <w:rPr>
          <w:i/>
          <w:iCs/>
          <w:lang w:val="fi-FI"/>
        </w:rPr>
        <w:t>t</w:t>
      </w:r>
      <w:r w:rsidRPr="00FB4EFA">
        <w:rPr>
          <w:lang w:val="fi-FI"/>
        </w:rPr>
        <w:t xml:space="preserve"> preesenstunnuksen *</w:t>
      </w:r>
      <w:r w:rsidR="00B407D0" w:rsidRPr="00FB4EFA">
        <w:rPr>
          <w:i/>
          <w:iCs/>
          <w:lang w:val="fi-FI"/>
        </w:rPr>
        <w:t>-</w:t>
      </w:r>
      <w:r w:rsidRPr="00FB4EFA">
        <w:rPr>
          <w:i/>
          <w:iCs/>
          <w:lang w:val="fi-FI"/>
        </w:rPr>
        <w:t>k</w:t>
      </w:r>
      <w:r w:rsidR="00B407D0" w:rsidRPr="00FB4EFA">
        <w:rPr>
          <w:i/>
          <w:iCs/>
          <w:lang w:val="fi-FI"/>
        </w:rPr>
        <w:t>-</w:t>
      </w:r>
      <w:r w:rsidRPr="00FB4EFA">
        <w:rPr>
          <w:lang w:val="fi-FI"/>
        </w:rPr>
        <w:t xml:space="preserve"> sijaan. Aiemman tutkimuksen perusteella voidaan mielestäni uskottavasti olettaa, että geminaatat ovat syntyneet joko konsonanttiyhtymistä monikon 1. persoonassa *-</w:t>
      </w:r>
      <w:r w:rsidRPr="00FB4EFA">
        <w:rPr>
          <w:i/>
          <w:iCs/>
          <w:lang w:val="fi-FI"/>
        </w:rPr>
        <w:t>km</w:t>
      </w:r>
      <w:r w:rsidRPr="00FB4EFA">
        <w:rPr>
          <w:lang w:val="fi-FI"/>
        </w:rPr>
        <w:t>- &gt; -</w:t>
      </w:r>
      <w:r w:rsidRPr="00FB4EFA">
        <w:rPr>
          <w:i/>
          <w:iCs/>
          <w:lang w:val="fi-FI"/>
        </w:rPr>
        <w:t>mm</w:t>
      </w:r>
      <w:r w:rsidRPr="00FB4EFA">
        <w:rPr>
          <w:lang w:val="fi-FI"/>
        </w:rPr>
        <w:t>- ja monikon 2. persoonassa *-</w:t>
      </w:r>
      <w:r w:rsidRPr="00FB4EFA">
        <w:rPr>
          <w:i/>
          <w:iCs/>
          <w:lang w:val="fi-FI"/>
        </w:rPr>
        <w:t>kt</w:t>
      </w:r>
      <w:r w:rsidRPr="00FB4EFA">
        <w:rPr>
          <w:lang w:val="fi-FI"/>
        </w:rPr>
        <w:t xml:space="preserve">- &gt; </w:t>
      </w:r>
      <w:r w:rsidR="00B407D0" w:rsidRPr="00FB4EFA">
        <w:rPr>
          <w:i/>
          <w:iCs/>
          <w:lang w:val="fi-FI"/>
        </w:rPr>
        <w:t>-</w:t>
      </w:r>
      <w:r w:rsidRPr="00FB4EFA">
        <w:rPr>
          <w:i/>
          <w:iCs/>
          <w:lang w:val="fi-FI"/>
        </w:rPr>
        <w:t>tt</w:t>
      </w:r>
      <w:r w:rsidR="00B407D0" w:rsidRPr="00FB4EFA">
        <w:rPr>
          <w:i/>
          <w:iCs/>
          <w:lang w:val="fi-FI"/>
        </w:rPr>
        <w:t>-</w:t>
      </w:r>
      <w:r w:rsidRPr="00FB4EFA">
        <w:rPr>
          <w:lang w:val="fi-FI"/>
        </w:rPr>
        <w:t>, tai vaihtoehtoisesti monikon 1. persoonassa *-</w:t>
      </w:r>
      <w:r w:rsidRPr="00FB4EFA">
        <w:rPr>
          <w:i/>
          <w:iCs/>
          <w:lang w:val="fi-FI"/>
        </w:rPr>
        <w:t>tm</w:t>
      </w:r>
      <w:r w:rsidRPr="00FB4EFA">
        <w:rPr>
          <w:lang w:val="fi-FI"/>
        </w:rPr>
        <w:t xml:space="preserve">- &gt; </w:t>
      </w:r>
      <w:r w:rsidR="00545033" w:rsidRPr="00FB4EFA">
        <w:rPr>
          <w:lang w:val="fi-FI"/>
        </w:rPr>
        <w:noBreakHyphen/>
      </w:r>
      <w:r w:rsidRPr="00FB4EFA">
        <w:rPr>
          <w:i/>
          <w:iCs/>
          <w:lang w:val="fi-FI"/>
        </w:rPr>
        <w:t>mm</w:t>
      </w:r>
      <w:r w:rsidRPr="00FB4EFA">
        <w:rPr>
          <w:lang w:val="fi-FI"/>
        </w:rPr>
        <w:t>-; monikon 2. persoonan muoto -</w:t>
      </w:r>
      <w:r w:rsidRPr="00FB4EFA">
        <w:rPr>
          <w:i/>
          <w:iCs/>
          <w:lang w:val="fi-FI"/>
        </w:rPr>
        <w:t>tt</w:t>
      </w:r>
      <w:r w:rsidRPr="00FB4EFA">
        <w:rPr>
          <w:lang w:val="fi-FI"/>
        </w:rPr>
        <w:t>- olisi säilynyt sellaisenaan. Seuraavaksi siirryn tarkastelemaan persoonatunnuksia kantauralissa ja sitten länsiuralissa ja pohdin, olisiko ja millä perustein mahdollista olettaa, että finiittiverbiin liittyisi monikon nominatiivin *</w:t>
      </w:r>
      <w:r w:rsidR="00B407D0" w:rsidRPr="00FB4EFA">
        <w:rPr>
          <w:i/>
          <w:iCs/>
          <w:lang w:val="fi-FI"/>
        </w:rPr>
        <w:t>-</w:t>
      </w:r>
      <w:r w:rsidRPr="00FB4EFA">
        <w:rPr>
          <w:i/>
          <w:iCs/>
          <w:lang w:val="fi-FI"/>
        </w:rPr>
        <w:t>t</w:t>
      </w:r>
      <w:r w:rsidRPr="00FB4EFA">
        <w:rPr>
          <w:lang w:val="fi-FI"/>
        </w:rPr>
        <w:t xml:space="preserve"> ennen persoonapäätettä.</w:t>
      </w:r>
    </w:p>
    <w:p w14:paraId="44B989E4" w14:textId="58F742C8" w:rsidR="0076526E" w:rsidRPr="00FB4EFA" w:rsidRDefault="0076526E" w:rsidP="00545033">
      <w:pPr>
        <w:pStyle w:val="Heading2"/>
        <w:numPr>
          <w:ilvl w:val="0"/>
          <w:numId w:val="14"/>
        </w:numPr>
        <w:tabs>
          <w:tab w:val="clear" w:pos="0"/>
        </w:tabs>
        <w:suppressAutoHyphens/>
        <w:spacing w:line="259" w:lineRule="auto"/>
        <w:rPr>
          <w:color w:val="auto"/>
          <w:lang w:val="fi-FI"/>
        </w:rPr>
      </w:pPr>
      <w:r w:rsidRPr="00FB4EFA">
        <w:rPr>
          <w:color w:val="auto"/>
          <w:lang w:val="fi-FI"/>
        </w:rPr>
        <w:lastRenderedPageBreak/>
        <w:t>Preesensin persoonatunnukset kantauralissa ja tytärkielissä</w:t>
      </w:r>
    </w:p>
    <w:p w14:paraId="1CEBCF84" w14:textId="77777777" w:rsidR="0076526E" w:rsidRPr="00FB4EFA" w:rsidRDefault="0076526E" w:rsidP="00402EF4">
      <w:pPr>
        <w:rPr>
          <w:lang w:val="fi-FI"/>
        </w:rPr>
      </w:pPr>
      <w:r w:rsidRPr="00FB4EFA">
        <w:rPr>
          <w:lang w:val="fi-FI"/>
        </w:rPr>
        <w:t>Uralilaiskielissä verbit, mordvalais- ja samojedikielissä lisäksi myös nominit, taipuvat predikaattiasemassa tekijän mukaan. Verbintaivutuksen morfeemien varioiminen uralilaisissa kielissä on herättänyt ajatuksen, että kantauralia on pidettävä kielimuotona, jossa eroa yksikön ja monikon persoonatunnusten välillä ei tehty lainkaan (esim. Abáffy 1991: 122). Tällaisia horisontaalisen homonymian paradigmoja maailman kielistä löytyy kyllä mutta ei Euraasiasta (Cysouw 2009: 129), enkä pidä sitä todennäköisenä. Pikemminkin Laakson yllä siteeraamani ajatuksen mukaisesti ajattelen, että persoonapäätteitä luodaan yhä uudelleen.</w:t>
      </w:r>
    </w:p>
    <w:p w14:paraId="05E2669C" w14:textId="66DD97CE" w:rsidR="0076526E" w:rsidRPr="00FB4EFA" w:rsidRDefault="0076526E" w:rsidP="00AF0CAD">
      <w:pPr>
        <w:spacing w:after="240"/>
        <w:ind w:firstLine="720"/>
        <w:rPr>
          <w:rFonts w:cs="Times New Roman"/>
          <w:lang w:val="fi-FI"/>
        </w:rPr>
      </w:pPr>
      <w:r w:rsidRPr="00FB4EFA">
        <w:rPr>
          <w:rFonts w:cs="Times New Roman"/>
          <w:lang w:val="fi-FI"/>
        </w:rPr>
        <w:t>Vaikka luvussa 1. todetaankin, että uralilaiskielten preesenstaivutus on varioivaa ja hankala rekonstruoida, on silti selvää, että persoonataivutuksen elementit ovat osittain samaa alkuperää. Tarkastelen ensin ensimmäisiä ja toisia persoonia, jotka on esitetty taulukossa 2. Selkeästi erottuu laajalevikkinen yksikön 1. persoonan tunnus *</w:t>
      </w:r>
      <w:r w:rsidR="00DC19A4" w:rsidRPr="00FB4EFA">
        <w:rPr>
          <w:rFonts w:cs="Times New Roman"/>
          <w:lang w:val="fi-FI"/>
        </w:rPr>
        <w:t>-</w:t>
      </w:r>
      <w:r w:rsidRPr="00FB4EFA">
        <w:rPr>
          <w:rFonts w:cs="Times New Roman"/>
          <w:i/>
          <w:iCs/>
          <w:lang w:val="fi-FI"/>
        </w:rPr>
        <w:t>m</w:t>
      </w:r>
      <w:r w:rsidRPr="00FB4EFA">
        <w:rPr>
          <w:rFonts w:cs="Times New Roman"/>
          <w:lang w:val="fi-FI"/>
        </w:rPr>
        <w:t xml:space="preserve"> ja yksikön toisen persoonan tunnukset, jotka muodostetaan kahdella päätteellä, joko laajempilevikkisellä dentaaliklusiililla *</w:t>
      </w:r>
      <w:r w:rsidR="006E1E3A" w:rsidRPr="00FB4EFA">
        <w:rPr>
          <w:rFonts w:cs="Times New Roman"/>
          <w:lang w:val="fi-FI"/>
        </w:rPr>
        <w:t>-</w:t>
      </w:r>
      <w:r w:rsidRPr="00FB4EFA">
        <w:rPr>
          <w:rFonts w:cs="Times New Roman"/>
          <w:i/>
          <w:iCs/>
          <w:lang w:val="fi-FI"/>
        </w:rPr>
        <w:t>t</w:t>
      </w:r>
      <w:r w:rsidRPr="00FB4EFA">
        <w:rPr>
          <w:rFonts w:cs="Times New Roman"/>
          <w:lang w:val="fi-FI"/>
        </w:rPr>
        <w:t xml:space="preserve"> tai suppeampilevikkisellä nasaalilla *</w:t>
      </w:r>
      <w:r w:rsidR="006E1E3A" w:rsidRPr="00FB4EFA">
        <w:rPr>
          <w:rFonts w:cs="Times New Roman"/>
          <w:lang w:val="fi-FI"/>
        </w:rPr>
        <w:t>-</w:t>
      </w:r>
      <w:r w:rsidRPr="00FB4EFA">
        <w:rPr>
          <w:rFonts w:cs="Times New Roman"/>
          <w:i/>
          <w:iCs/>
          <w:lang w:val="fi-FI"/>
        </w:rPr>
        <w:t>n</w:t>
      </w:r>
      <w:r w:rsidRPr="00FB4EFA">
        <w:rPr>
          <w:rFonts w:cs="Times New Roman"/>
          <w:lang w:val="fi-FI"/>
        </w:rPr>
        <w:t>. Monikossa sen sijaan esiintyy variaatiota enemmän. Monikon 1. persoonan muodot sisältävät nasaaleja ja 2. persoonan muodot dentaaleja, mutta kantauraliin monikon ensimmäisen ja toisen persoonan suffikseja on hyvin vaikea rekonstruoida. Duaalin rekonstruoiminen on hankalaa taas siksi, että kategoria on useimmista uralilaiskielistä kadonnut.</w:t>
      </w:r>
    </w:p>
    <w:tbl>
      <w:tblPr>
        <w:tblW w:w="0" w:type="auto"/>
        <w:jc w:val="center"/>
        <w:tblLook w:val="04A0" w:firstRow="1" w:lastRow="0" w:firstColumn="1" w:lastColumn="0" w:noHBand="0" w:noVBand="1"/>
      </w:tblPr>
      <w:tblGrid>
        <w:gridCol w:w="1253"/>
        <w:gridCol w:w="900"/>
        <w:gridCol w:w="852"/>
        <w:gridCol w:w="1007"/>
        <w:gridCol w:w="1220"/>
        <w:gridCol w:w="1400"/>
      </w:tblGrid>
      <w:tr w:rsidR="00FB4EFA" w:rsidRPr="00FB4EFA" w14:paraId="378EA241" w14:textId="77777777" w:rsidTr="0076526E">
        <w:trPr>
          <w:jc w:val="center"/>
        </w:trPr>
        <w:tc>
          <w:tcPr>
            <w:tcW w:w="0" w:type="auto"/>
            <w:tcBorders>
              <w:bottom w:val="single" w:sz="12" w:space="0" w:color="000000"/>
              <w:right w:val="single" w:sz="12" w:space="0" w:color="000000"/>
            </w:tcBorders>
          </w:tcPr>
          <w:p w14:paraId="598733C1" w14:textId="77777777" w:rsidR="0076526E" w:rsidRPr="00FB4EFA" w:rsidRDefault="0076526E" w:rsidP="00402EF4">
            <w:pPr>
              <w:keepNext/>
              <w:widowControl w:val="0"/>
              <w:rPr>
                <w:sz w:val="20"/>
                <w:szCs w:val="20"/>
                <w:lang w:val="fi-FI"/>
              </w:rPr>
            </w:pPr>
          </w:p>
        </w:tc>
        <w:tc>
          <w:tcPr>
            <w:tcW w:w="0" w:type="auto"/>
            <w:tcBorders>
              <w:left w:val="single" w:sz="12" w:space="0" w:color="000000"/>
              <w:bottom w:val="single" w:sz="12" w:space="0" w:color="000000"/>
              <w:right w:val="single" w:sz="4" w:space="0" w:color="000000"/>
            </w:tcBorders>
          </w:tcPr>
          <w:p w14:paraId="32D95F16"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Sg1</w:t>
            </w:r>
          </w:p>
        </w:tc>
        <w:tc>
          <w:tcPr>
            <w:tcW w:w="0" w:type="auto"/>
            <w:tcBorders>
              <w:left w:val="single" w:sz="4" w:space="0" w:color="000000"/>
              <w:bottom w:val="single" w:sz="12" w:space="0" w:color="000000"/>
              <w:right w:val="single" w:sz="4" w:space="0" w:color="000000"/>
            </w:tcBorders>
          </w:tcPr>
          <w:p w14:paraId="58219F04"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Sg2</w:t>
            </w:r>
          </w:p>
        </w:tc>
        <w:tc>
          <w:tcPr>
            <w:tcW w:w="0" w:type="auto"/>
            <w:tcBorders>
              <w:left w:val="single" w:sz="4" w:space="0" w:color="000000"/>
              <w:bottom w:val="single" w:sz="12" w:space="0" w:color="000000"/>
              <w:right w:val="single" w:sz="4" w:space="0" w:color="000000"/>
            </w:tcBorders>
          </w:tcPr>
          <w:p w14:paraId="1CDE35FF"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Pl1</w:t>
            </w:r>
          </w:p>
        </w:tc>
        <w:tc>
          <w:tcPr>
            <w:tcW w:w="0" w:type="auto"/>
            <w:tcBorders>
              <w:left w:val="single" w:sz="4" w:space="0" w:color="000000"/>
              <w:bottom w:val="single" w:sz="12" w:space="0" w:color="000000"/>
              <w:right w:val="single" w:sz="4" w:space="0" w:color="000000"/>
            </w:tcBorders>
          </w:tcPr>
          <w:p w14:paraId="13CA2D70"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Pl2</w:t>
            </w:r>
          </w:p>
        </w:tc>
        <w:tc>
          <w:tcPr>
            <w:tcW w:w="0" w:type="auto"/>
            <w:tcBorders>
              <w:left w:val="single" w:sz="4" w:space="0" w:color="000000"/>
              <w:bottom w:val="single" w:sz="12" w:space="0" w:color="000000"/>
            </w:tcBorders>
          </w:tcPr>
          <w:p w14:paraId="4E3DE533"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(Du1, 2)</w:t>
            </w:r>
          </w:p>
        </w:tc>
      </w:tr>
      <w:tr w:rsidR="00FB4EFA" w:rsidRPr="00FB4EFA" w14:paraId="6B4D0B4F" w14:textId="77777777" w:rsidTr="0076526E">
        <w:trPr>
          <w:jc w:val="center"/>
        </w:trPr>
        <w:tc>
          <w:tcPr>
            <w:tcW w:w="0" w:type="auto"/>
            <w:tcBorders>
              <w:top w:val="single" w:sz="12" w:space="0" w:color="000000"/>
              <w:bottom w:val="single" w:sz="4" w:space="0" w:color="000000"/>
              <w:right w:val="single" w:sz="12" w:space="0" w:color="000000"/>
            </w:tcBorders>
            <w:vAlign w:val="center"/>
          </w:tcPr>
          <w:p w14:paraId="75F37173"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suomi</w:t>
            </w:r>
          </w:p>
        </w:tc>
        <w:tc>
          <w:tcPr>
            <w:tcW w:w="0" w:type="auto"/>
            <w:tcBorders>
              <w:top w:val="single" w:sz="12" w:space="0" w:color="000000"/>
              <w:left w:val="single" w:sz="12" w:space="0" w:color="000000"/>
              <w:bottom w:val="single" w:sz="4" w:space="0" w:color="000000"/>
              <w:right w:val="single" w:sz="4" w:space="0" w:color="000000"/>
            </w:tcBorders>
            <w:vAlign w:val="center"/>
          </w:tcPr>
          <w:p w14:paraId="175440D1"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menen</w:t>
            </w:r>
          </w:p>
        </w:tc>
        <w:tc>
          <w:tcPr>
            <w:tcW w:w="0" w:type="auto"/>
            <w:tcBorders>
              <w:top w:val="single" w:sz="12" w:space="0" w:color="000000"/>
              <w:left w:val="single" w:sz="4" w:space="0" w:color="000000"/>
              <w:bottom w:val="single" w:sz="4" w:space="0" w:color="000000"/>
              <w:right w:val="single" w:sz="4" w:space="0" w:color="000000"/>
            </w:tcBorders>
            <w:vAlign w:val="center"/>
          </w:tcPr>
          <w:p w14:paraId="1647451B"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menet</w:t>
            </w:r>
          </w:p>
        </w:tc>
        <w:tc>
          <w:tcPr>
            <w:tcW w:w="0" w:type="auto"/>
            <w:tcBorders>
              <w:top w:val="single" w:sz="12" w:space="0" w:color="000000"/>
              <w:left w:val="single" w:sz="4" w:space="0" w:color="000000"/>
              <w:bottom w:val="single" w:sz="4" w:space="0" w:color="000000"/>
              <w:right w:val="single" w:sz="4" w:space="0" w:color="000000"/>
            </w:tcBorders>
            <w:vAlign w:val="center"/>
          </w:tcPr>
          <w:p w14:paraId="4732D29B"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menemme</w:t>
            </w:r>
          </w:p>
        </w:tc>
        <w:tc>
          <w:tcPr>
            <w:tcW w:w="0" w:type="auto"/>
            <w:tcBorders>
              <w:top w:val="single" w:sz="12" w:space="0" w:color="000000"/>
              <w:left w:val="single" w:sz="4" w:space="0" w:color="000000"/>
              <w:bottom w:val="single" w:sz="4" w:space="0" w:color="000000"/>
              <w:right w:val="single" w:sz="4" w:space="0" w:color="000000"/>
            </w:tcBorders>
            <w:vAlign w:val="center"/>
          </w:tcPr>
          <w:p w14:paraId="03C66E30"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menette</w:t>
            </w:r>
          </w:p>
        </w:tc>
        <w:tc>
          <w:tcPr>
            <w:tcW w:w="0" w:type="auto"/>
            <w:tcBorders>
              <w:top w:val="single" w:sz="12" w:space="0" w:color="000000"/>
              <w:left w:val="single" w:sz="4" w:space="0" w:color="000000"/>
              <w:bottom w:val="single" w:sz="4" w:space="0" w:color="000000"/>
            </w:tcBorders>
            <w:vAlign w:val="center"/>
          </w:tcPr>
          <w:p w14:paraId="6E7DCDCC" w14:textId="77777777" w:rsidR="0076526E" w:rsidRPr="00FB4EFA" w:rsidRDefault="0076526E" w:rsidP="00402EF4">
            <w:pPr>
              <w:keepNext/>
              <w:widowControl w:val="0"/>
              <w:jc w:val="left"/>
              <w:rPr>
                <w:rFonts w:cs="Charis SIL"/>
                <w:sz w:val="18"/>
                <w:szCs w:val="18"/>
                <w:lang w:val="fi-FI"/>
              </w:rPr>
            </w:pPr>
          </w:p>
        </w:tc>
      </w:tr>
      <w:tr w:rsidR="00FB4EFA" w:rsidRPr="00FB4EFA" w14:paraId="2FD36E70"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05B7CDD0"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Psaame</w:t>
            </w:r>
          </w:p>
        </w:tc>
        <w:tc>
          <w:tcPr>
            <w:tcW w:w="0" w:type="auto"/>
            <w:tcBorders>
              <w:top w:val="single" w:sz="4" w:space="0" w:color="000000"/>
              <w:left w:val="single" w:sz="12" w:space="0" w:color="000000"/>
              <w:bottom w:val="single" w:sz="4" w:space="0" w:color="000000"/>
              <w:right w:val="single" w:sz="4" w:space="0" w:color="000000"/>
            </w:tcBorders>
            <w:vAlign w:val="center"/>
          </w:tcPr>
          <w:p w14:paraId="775F5EA1"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manan</w:t>
            </w:r>
          </w:p>
        </w:tc>
        <w:tc>
          <w:tcPr>
            <w:tcW w:w="0" w:type="auto"/>
            <w:tcBorders>
              <w:top w:val="single" w:sz="4" w:space="0" w:color="000000"/>
              <w:left w:val="single" w:sz="4" w:space="0" w:color="000000"/>
              <w:bottom w:val="single" w:sz="4" w:space="0" w:color="000000"/>
              <w:right w:val="single" w:sz="4" w:space="0" w:color="000000"/>
            </w:tcBorders>
            <w:vAlign w:val="center"/>
          </w:tcPr>
          <w:p w14:paraId="20BE3DED"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manat</w:t>
            </w:r>
          </w:p>
        </w:tc>
        <w:tc>
          <w:tcPr>
            <w:tcW w:w="0" w:type="auto"/>
            <w:tcBorders>
              <w:top w:val="single" w:sz="4" w:space="0" w:color="000000"/>
              <w:left w:val="single" w:sz="4" w:space="0" w:color="000000"/>
              <w:bottom w:val="single" w:sz="4" w:space="0" w:color="000000"/>
              <w:right w:val="single" w:sz="4" w:space="0" w:color="000000"/>
            </w:tcBorders>
            <w:vAlign w:val="center"/>
          </w:tcPr>
          <w:p w14:paraId="3D5A7541"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mannat</w:t>
            </w:r>
          </w:p>
        </w:tc>
        <w:tc>
          <w:tcPr>
            <w:tcW w:w="0" w:type="auto"/>
            <w:tcBorders>
              <w:top w:val="single" w:sz="4" w:space="0" w:color="000000"/>
              <w:left w:val="single" w:sz="4" w:space="0" w:color="000000"/>
              <w:bottom w:val="single" w:sz="4" w:space="0" w:color="000000"/>
              <w:right w:val="single" w:sz="4" w:space="0" w:color="000000"/>
            </w:tcBorders>
            <w:vAlign w:val="center"/>
          </w:tcPr>
          <w:p w14:paraId="52511561"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mannabehtet</w:t>
            </w:r>
          </w:p>
        </w:tc>
        <w:tc>
          <w:tcPr>
            <w:tcW w:w="0" w:type="auto"/>
            <w:tcBorders>
              <w:top w:val="single" w:sz="4" w:space="0" w:color="000000"/>
              <w:left w:val="single" w:sz="4" w:space="0" w:color="000000"/>
              <w:bottom w:val="single" w:sz="4" w:space="0" w:color="000000"/>
            </w:tcBorders>
            <w:vAlign w:val="center"/>
          </w:tcPr>
          <w:p w14:paraId="0BAE111E" w14:textId="77777777" w:rsidR="0076526E" w:rsidRPr="00FB4EFA" w:rsidRDefault="0076526E" w:rsidP="00AC1192">
            <w:pPr>
              <w:keepNext/>
              <w:widowControl w:val="0"/>
              <w:suppressAutoHyphens/>
              <w:jc w:val="left"/>
              <w:rPr>
                <w:rFonts w:cs="Charis SIL"/>
                <w:sz w:val="18"/>
                <w:szCs w:val="18"/>
                <w:lang w:val="fi-FI"/>
              </w:rPr>
            </w:pPr>
            <w:r w:rsidRPr="00FB4EFA">
              <w:rPr>
                <w:rFonts w:cs="Charis SIL"/>
                <w:sz w:val="18"/>
                <w:szCs w:val="18"/>
                <w:lang w:val="fi-FI"/>
              </w:rPr>
              <w:t>(-</w:t>
            </w:r>
            <w:r w:rsidRPr="00FB4EFA">
              <w:rPr>
                <w:rFonts w:cs="Charis SIL"/>
                <w:i/>
                <w:iCs/>
                <w:sz w:val="18"/>
                <w:szCs w:val="18"/>
                <w:lang w:val="fi-FI"/>
              </w:rPr>
              <w:t>e</w:t>
            </w:r>
            <w:r w:rsidRPr="00FB4EFA">
              <w:rPr>
                <w:rFonts w:cs="Charis SIL"/>
                <w:sz w:val="18"/>
                <w:szCs w:val="18"/>
                <w:lang w:val="fi-FI"/>
              </w:rPr>
              <w:t>, -</w:t>
            </w:r>
            <w:r w:rsidRPr="00FB4EFA">
              <w:rPr>
                <w:rFonts w:cs="Charis SIL"/>
                <w:i/>
                <w:iCs/>
                <w:sz w:val="18"/>
                <w:szCs w:val="18"/>
                <w:lang w:val="fi-FI"/>
              </w:rPr>
              <w:t>(a)beahtti</w:t>
            </w:r>
            <w:r w:rsidRPr="00FB4EFA">
              <w:rPr>
                <w:rFonts w:cs="Charis SIL"/>
                <w:sz w:val="18"/>
                <w:szCs w:val="18"/>
                <w:lang w:val="fi-FI"/>
              </w:rPr>
              <w:t>)</w:t>
            </w:r>
          </w:p>
        </w:tc>
      </w:tr>
      <w:tr w:rsidR="00FB4EFA" w:rsidRPr="00FB4EFA" w14:paraId="000465D4"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5D407D8D"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ersä</w:t>
            </w:r>
          </w:p>
        </w:tc>
        <w:tc>
          <w:tcPr>
            <w:tcW w:w="0" w:type="auto"/>
            <w:tcBorders>
              <w:top w:val="single" w:sz="4" w:space="0" w:color="000000"/>
              <w:left w:val="single" w:sz="12" w:space="0" w:color="000000"/>
              <w:bottom w:val="single" w:sz="4" w:space="0" w:color="000000"/>
              <w:right w:val="single" w:sz="4" w:space="0" w:color="000000"/>
            </w:tcBorders>
            <w:vAlign w:val="center"/>
          </w:tcPr>
          <w:p w14:paraId="0E1D7347"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palan</w:t>
            </w:r>
          </w:p>
        </w:tc>
        <w:tc>
          <w:tcPr>
            <w:tcW w:w="0" w:type="auto"/>
            <w:tcBorders>
              <w:top w:val="single" w:sz="4" w:space="0" w:color="000000"/>
              <w:left w:val="single" w:sz="4" w:space="0" w:color="000000"/>
              <w:bottom w:val="single" w:sz="4" w:space="0" w:color="000000"/>
              <w:right w:val="single" w:sz="4" w:space="0" w:color="000000"/>
            </w:tcBorders>
            <w:vAlign w:val="center"/>
          </w:tcPr>
          <w:p w14:paraId="1ADC113C"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palat</w:t>
            </w:r>
          </w:p>
        </w:tc>
        <w:tc>
          <w:tcPr>
            <w:tcW w:w="0" w:type="auto"/>
            <w:tcBorders>
              <w:top w:val="single" w:sz="4" w:space="0" w:color="000000"/>
              <w:left w:val="single" w:sz="4" w:space="0" w:color="000000"/>
              <w:bottom w:val="single" w:sz="4" w:space="0" w:color="000000"/>
              <w:right w:val="single" w:sz="4" w:space="0" w:color="000000"/>
            </w:tcBorders>
            <w:vAlign w:val="center"/>
          </w:tcPr>
          <w:p w14:paraId="078DE53F"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palatamk</w:t>
            </w:r>
          </w:p>
        </w:tc>
        <w:tc>
          <w:tcPr>
            <w:tcW w:w="0" w:type="auto"/>
            <w:tcBorders>
              <w:top w:val="single" w:sz="4" w:space="0" w:color="000000"/>
              <w:left w:val="single" w:sz="4" w:space="0" w:color="000000"/>
              <w:bottom w:val="single" w:sz="4" w:space="0" w:color="000000"/>
              <w:right w:val="single" w:sz="4" w:space="0" w:color="000000"/>
            </w:tcBorders>
            <w:vAlign w:val="center"/>
          </w:tcPr>
          <w:p w14:paraId="69A04912"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palatado</w:t>
            </w:r>
          </w:p>
        </w:tc>
        <w:tc>
          <w:tcPr>
            <w:tcW w:w="0" w:type="auto"/>
            <w:tcBorders>
              <w:top w:val="single" w:sz="4" w:space="0" w:color="000000"/>
              <w:left w:val="single" w:sz="4" w:space="0" w:color="000000"/>
              <w:bottom w:val="single" w:sz="4" w:space="0" w:color="000000"/>
            </w:tcBorders>
            <w:vAlign w:val="center"/>
          </w:tcPr>
          <w:p w14:paraId="452037AB" w14:textId="77777777" w:rsidR="0076526E" w:rsidRPr="00FB4EFA" w:rsidRDefault="0076526E" w:rsidP="00402EF4">
            <w:pPr>
              <w:keepNext/>
              <w:widowControl w:val="0"/>
              <w:jc w:val="left"/>
              <w:rPr>
                <w:rFonts w:cs="Charis SIL"/>
                <w:sz w:val="18"/>
                <w:szCs w:val="18"/>
                <w:lang w:val="fi-FI"/>
              </w:rPr>
            </w:pPr>
          </w:p>
        </w:tc>
      </w:tr>
      <w:tr w:rsidR="00FB4EFA" w:rsidRPr="00FB4EFA" w14:paraId="2B42E062"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43C32D2A"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mari</w:t>
            </w:r>
          </w:p>
        </w:tc>
        <w:tc>
          <w:tcPr>
            <w:tcW w:w="0" w:type="auto"/>
            <w:tcBorders>
              <w:top w:val="single" w:sz="4" w:space="0" w:color="000000"/>
              <w:left w:val="single" w:sz="12" w:space="0" w:color="000000"/>
              <w:bottom w:val="single" w:sz="4" w:space="0" w:color="000000"/>
              <w:right w:val="single" w:sz="4" w:space="0" w:color="000000"/>
            </w:tcBorders>
            <w:vAlign w:val="center"/>
          </w:tcPr>
          <w:p w14:paraId="31A8721C"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toləm</w:t>
            </w:r>
          </w:p>
        </w:tc>
        <w:tc>
          <w:tcPr>
            <w:tcW w:w="0" w:type="auto"/>
            <w:tcBorders>
              <w:top w:val="single" w:sz="4" w:space="0" w:color="000000"/>
              <w:left w:val="single" w:sz="4" w:space="0" w:color="000000"/>
              <w:bottom w:val="single" w:sz="4" w:space="0" w:color="000000"/>
              <w:right w:val="single" w:sz="4" w:space="0" w:color="000000"/>
            </w:tcBorders>
            <w:vAlign w:val="center"/>
          </w:tcPr>
          <w:p w14:paraId="262E794F"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tolət</w:t>
            </w:r>
          </w:p>
        </w:tc>
        <w:tc>
          <w:tcPr>
            <w:tcW w:w="0" w:type="auto"/>
            <w:tcBorders>
              <w:top w:val="single" w:sz="4" w:space="0" w:color="000000"/>
              <w:left w:val="single" w:sz="4" w:space="0" w:color="000000"/>
              <w:bottom w:val="single" w:sz="4" w:space="0" w:color="000000"/>
              <w:right w:val="single" w:sz="4" w:space="0" w:color="000000"/>
            </w:tcBorders>
            <w:vAlign w:val="center"/>
          </w:tcPr>
          <w:p w14:paraId="5FF09D12"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toləna</w:t>
            </w:r>
          </w:p>
        </w:tc>
        <w:tc>
          <w:tcPr>
            <w:tcW w:w="0" w:type="auto"/>
            <w:tcBorders>
              <w:top w:val="single" w:sz="4" w:space="0" w:color="000000"/>
              <w:left w:val="single" w:sz="4" w:space="0" w:color="000000"/>
              <w:bottom w:val="single" w:sz="4" w:space="0" w:color="000000"/>
              <w:right w:val="single" w:sz="4" w:space="0" w:color="000000"/>
            </w:tcBorders>
            <w:vAlign w:val="center"/>
          </w:tcPr>
          <w:p w14:paraId="2CC69F6C"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toləδa</w:t>
            </w:r>
          </w:p>
        </w:tc>
        <w:tc>
          <w:tcPr>
            <w:tcW w:w="0" w:type="auto"/>
            <w:tcBorders>
              <w:top w:val="single" w:sz="4" w:space="0" w:color="000000"/>
              <w:left w:val="single" w:sz="4" w:space="0" w:color="000000"/>
              <w:bottom w:val="single" w:sz="4" w:space="0" w:color="000000"/>
            </w:tcBorders>
            <w:vAlign w:val="center"/>
          </w:tcPr>
          <w:p w14:paraId="5ADEAA94" w14:textId="77777777" w:rsidR="0076526E" w:rsidRPr="00FB4EFA" w:rsidRDefault="0076526E" w:rsidP="00402EF4">
            <w:pPr>
              <w:keepNext/>
              <w:widowControl w:val="0"/>
              <w:jc w:val="left"/>
              <w:rPr>
                <w:rFonts w:cs="Charis SIL"/>
                <w:sz w:val="18"/>
                <w:szCs w:val="18"/>
                <w:lang w:val="fi-FI"/>
              </w:rPr>
            </w:pPr>
          </w:p>
        </w:tc>
      </w:tr>
      <w:tr w:rsidR="00FB4EFA" w:rsidRPr="00FB4EFA" w14:paraId="64F5F306"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3FA6E9AA"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udm.</w:t>
            </w:r>
          </w:p>
        </w:tc>
        <w:tc>
          <w:tcPr>
            <w:tcW w:w="0" w:type="auto"/>
            <w:tcBorders>
              <w:top w:val="single" w:sz="4" w:space="0" w:color="000000"/>
              <w:left w:val="single" w:sz="12" w:space="0" w:color="000000"/>
              <w:bottom w:val="single" w:sz="4" w:space="0" w:color="000000"/>
              <w:right w:val="single" w:sz="4" w:space="0" w:color="000000"/>
            </w:tcBorders>
            <w:vAlign w:val="center"/>
          </w:tcPr>
          <w:p w14:paraId="015F0557"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mi̮no(m)</w:t>
            </w:r>
          </w:p>
        </w:tc>
        <w:tc>
          <w:tcPr>
            <w:tcW w:w="0" w:type="auto"/>
            <w:tcBorders>
              <w:top w:val="single" w:sz="4" w:space="0" w:color="000000"/>
              <w:left w:val="single" w:sz="4" w:space="0" w:color="000000"/>
              <w:bottom w:val="single" w:sz="4" w:space="0" w:color="000000"/>
              <w:right w:val="single" w:sz="4" w:space="0" w:color="000000"/>
            </w:tcBorders>
            <w:vAlign w:val="center"/>
          </w:tcPr>
          <w:p w14:paraId="355C8145"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mi̮nod</w:t>
            </w:r>
          </w:p>
        </w:tc>
        <w:tc>
          <w:tcPr>
            <w:tcW w:w="0" w:type="auto"/>
            <w:tcBorders>
              <w:top w:val="single" w:sz="4" w:space="0" w:color="000000"/>
              <w:left w:val="single" w:sz="4" w:space="0" w:color="000000"/>
              <w:bottom w:val="single" w:sz="4" w:space="0" w:color="000000"/>
              <w:right w:val="single" w:sz="4" w:space="0" w:color="000000"/>
            </w:tcBorders>
            <w:vAlign w:val="center"/>
          </w:tcPr>
          <w:p w14:paraId="38D8036B"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mi̮nom</w:t>
            </w:r>
          </w:p>
        </w:tc>
        <w:tc>
          <w:tcPr>
            <w:tcW w:w="0" w:type="auto"/>
            <w:tcBorders>
              <w:top w:val="single" w:sz="4" w:space="0" w:color="000000"/>
              <w:left w:val="single" w:sz="4" w:space="0" w:color="000000"/>
              <w:bottom w:val="single" w:sz="4" w:space="0" w:color="000000"/>
              <w:right w:val="single" w:sz="4" w:space="0" w:color="000000"/>
            </w:tcBorders>
            <w:vAlign w:val="center"/>
          </w:tcPr>
          <w:p w14:paraId="5207EC8F"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mi̮nodi̮</w:t>
            </w:r>
          </w:p>
        </w:tc>
        <w:tc>
          <w:tcPr>
            <w:tcW w:w="0" w:type="auto"/>
            <w:tcBorders>
              <w:top w:val="single" w:sz="4" w:space="0" w:color="000000"/>
              <w:left w:val="single" w:sz="4" w:space="0" w:color="000000"/>
              <w:bottom w:val="single" w:sz="4" w:space="0" w:color="000000"/>
            </w:tcBorders>
            <w:vAlign w:val="center"/>
          </w:tcPr>
          <w:p w14:paraId="150B1374" w14:textId="77777777" w:rsidR="0076526E" w:rsidRPr="00FB4EFA" w:rsidRDefault="0076526E" w:rsidP="00402EF4">
            <w:pPr>
              <w:keepNext/>
              <w:widowControl w:val="0"/>
              <w:jc w:val="left"/>
              <w:rPr>
                <w:rFonts w:cs="Charis SIL"/>
                <w:sz w:val="18"/>
                <w:szCs w:val="18"/>
                <w:lang w:val="fi-FI"/>
              </w:rPr>
            </w:pPr>
          </w:p>
        </w:tc>
      </w:tr>
      <w:tr w:rsidR="00FB4EFA" w:rsidRPr="00FB4EFA" w14:paraId="0E829C1B"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4A791BA0"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komi</w:t>
            </w:r>
          </w:p>
        </w:tc>
        <w:tc>
          <w:tcPr>
            <w:tcW w:w="0" w:type="auto"/>
            <w:tcBorders>
              <w:top w:val="single" w:sz="4" w:space="0" w:color="000000"/>
              <w:left w:val="single" w:sz="12" w:space="0" w:color="000000"/>
              <w:bottom w:val="single" w:sz="4" w:space="0" w:color="000000"/>
              <w:right w:val="single" w:sz="4" w:space="0" w:color="000000"/>
            </w:tcBorders>
            <w:vAlign w:val="center"/>
          </w:tcPr>
          <w:p w14:paraId="232598ED"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muna</w:t>
            </w:r>
          </w:p>
        </w:tc>
        <w:tc>
          <w:tcPr>
            <w:tcW w:w="0" w:type="auto"/>
            <w:tcBorders>
              <w:top w:val="single" w:sz="4" w:space="0" w:color="000000"/>
              <w:left w:val="single" w:sz="4" w:space="0" w:color="000000"/>
              <w:bottom w:val="single" w:sz="4" w:space="0" w:color="000000"/>
              <w:right w:val="single" w:sz="4" w:space="0" w:color="000000"/>
            </w:tcBorders>
            <w:vAlign w:val="center"/>
          </w:tcPr>
          <w:p w14:paraId="746880BB"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munan</w:t>
            </w:r>
          </w:p>
        </w:tc>
        <w:tc>
          <w:tcPr>
            <w:tcW w:w="0" w:type="auto"/>
            <w:tcBorders>
              <w:top w:val="single" w:sz="4" w:space="0" w:color="000000"/>
              <w:left w:val="single" w:sz="4" w:space="0" w:color="000000"/>
              <w:bottom w:val="single" w:sz="4" w:space="0" w:color="000000"/>
              <w:right w:val="single" w:sz="4" w:space="0" w:color="000000"/>
            </w:tcBorders>
            <w:vAlign w:val="center"/>
          </w:tcPr>
          <w:p w14:paraId="681F6E75"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munam(e̮)</w:t>
            </w:r>
          </w:p>
        </w:tc>
        <w:tc>
          <w:tcPr>
            <w:tcW w:w="0" w:type="auto"/>
            <w:tcBorders>
              <w:top w:val="single" w:sz="4" w:space="0" w:color="000000"/>
              <w:left w:val="single" w:sz="4" w:space="0" w:color="000000"/>
              <w:bottom w:val="single" w:sz="4" w:space="0" w:color="000000"/>
              <w:right w:val="single" w:sz="4" w:space="0" w:color="000000"/>
            </w:tcBorders>
            <w:vAlign w:val="center"/>
          </w:tcPr>
          <w:p w14:paraId="18DD6755"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munad(e̮)</w:t>
            </w:r>
          </w:p>
        </w:tc>
        <w:tc>
          <w:tcPr>
            <w:tcW w:w="0" w:type="auto"/>
            <w:tcBorders>
              <w:top w:val="single" w:sz="4" w:space="0" w:color="000000"/>
              <w:left w:val="single" w:sz="4" w:space="0" w:color="000000"/>
              <w:bottom w:val="single" w:sz="4" w:space="0" w:color="000000"/>
            </w:tcBorders>
            <w:vAlign w:val="center"/>
          </w:tcPr>
          <w:p w14:paraId="00D1DFC8" w14:textId="77777777" w:rsidR="0076526E" w:rsidRPr="00FB4EFA" w:rsidRDefault="0076526E" w:rsidP="00402EF4">
            <w:pPr>
              <w:keepNext/>
              <w:widowControl w:val="0"/>
              <w:jc w:val="left"/>
              <w:rPr>
                <w:rFonts w:cs="Charis SIL"/>
                <w:sz w:val="18"/>
                <w:szCs w:val="18"/>
                <w:lang w:val="fi-FI"/>
              </w:rPr>
            </w:pPr>
          </w:p>
        </w:tc>
      </w:tr>
      <w:tr w:rsidR="00FB4EFA" w:rsidRPr="00FB4EFA" w14:paraId="54C8008D"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43AB5DE0"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mansi</w:t>
            </w:r>
          </w:p>
        </w:tc>
        <w:tc>
          <w:tcPr>
            <w:tcW w:w="0" w:type="auto"/>
            <w:tcBorders>
              <w:top w:val="single" w:sz="4" w:space="0" w:color="000000"/>
              <w:left w:val="single" w:sz="12" w:space="0" w:color="000000"/>
              <w:bottom w:val="single" w:sz="4" w:space="0" w:color="000000"/>
              <w:right w:val="single" w:sz="4" w:space="0" w:color="000000"/>
            </w:tcBorders>
            <w:vAlign w:val="center"/>
          </w:tcPr>
          <w:p w14:paraId="203D23D8"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mineγəm</w:t>
            </w:r>
          </w:p>
        </w:tc>
        <w:tc>
          <w:tcPr>
            <w:tcW w:w="0" w:type="auto"/>
            <w:tcBorders>
              <w:top w:val="single" w:sz="4" w:space="0" w:color="000000"/>
              <w:left w:val="single" w:sz="4" w:space="0" w:color="000000"/>
              <w:bottom w:val="single" w:sz="4" w:space="0" w:color="000000"/>
              <w:right w:val="single" w:sz="4" w:space="0" w:color="000000"/>
            </w:tcBorders>
            <w:vAlign w:val="center"/>
          </w:tcPr>
          <w:p w14:paraId="6494DFF2" w14:textId="3DBCB258"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mine</w:t>
            </w:r>
            <w:r w:rsidR="002B68BC" w:rsidRPr="00FB4EFA">
              <w:rPr>
                <w:rFonts w:cs="Charis SIL"/>
                <w:i/>
                <w:iCs/>
                <w:sz w:val="18"/>
                <w:szCs w:val="18"/>
                <w:lang w:val="fi-FI"/>
              </w:rPr>
              <w:t>γ</w:t>
            </w:r>
            <w:r w:rsidRPr="00FB4EFA">
              <w:rPr>
                <w:rFonts w:cs="Charis SIL"/>
                <w:i/>
                <w:iCs/>
                <w:sz w:val="18"/>
                <w:szCs w:val="18"/>
                <w:lang w:val="fi-FI"/>
              </w:rPr>
              <w:t>ən</w:t>
            </w:r>
          </w:p>
        </w:tc>
        <w:tc>
          <w:tcPr>
            <w:tcW w:w="0" w:type="auto"/>
            <w:tcBorders>
              <w:top w:val="single" w:sz="4" w:space="0" w:color="000000"/>
              <w:left w:val="single" w:sz="4" w:space="0" w:color="000000"/>
              <w:bottom w:val="single" w:sz="4" w:space="0" w:color="000000"/>
              <w:right w:val="single" w:sz="4" w:space="0" w:color="000000"/>
            </w:tcBorders>
            <w:vAlign w:val="center"/>
          </w:tcPr>
          <w:p w14:paraId="3E6035E2"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minew</w:t>
            </w:r>
          </w:p>
        </w:tc>
        <w:tc>
          <w:tcPr>
            <w:tcW w:w="0" w:type="auto"/>
            <w:tcBorders>
              <w:top w:val="single" w:sz="4" w:space="0" w:color="000000"/>
              <w:left w:val="single" w:sz="4" w:space="0" w:color="000000"/>
              <w:bottom w:val="single" w:sz="4" w:space="0" w:color="000000"/>
              <w:right w:val="single" w:sz="4" w:space="0" w:color="000000"/>
            </w:tcBorders>
            <w:vAlign w:val="center"/>
          </w:tcPr>
          <w:p w14:paraId="0BFFF952"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minen</w:t>
            </w:r>
          </w:p>
        </w:tc>
        <w:tc>
          <w:tcPr>
            <w:tcW w:w="0" w:type="auto"/>
            <w:tcBorders>
              <w:top w:val="single" w:sz="4" w:space="0" w:color="000000"/>
              <w:left w:val="single" w:sz="4" w:space="0" w:color="000000"/>
              <w:bottom w:val="single" w:sz="4" w:space="0" w:color="000000"/>
            </w:tcBorders>
            <w:vAlign w:val="center"/>
          </w:tcPr>
          <w:p w14:paraId="760C6693" w14:textId="77777777" w:rsidR="0076526E" w:rsidRPr="00FB4EFA" w:rsidRDefault="0076526E" w:rsidP="00AC1192">
            <w:pPr>
              <w:keepNext/>
              <w:widowControl w:val="0"/>
              <w:suppressAutoHyphens/>
              <w:jc w:val="left"/>
              <w:rPr>
                <w:rFonts w:cs="Charis SIL"/>
                <w:sz w:val="18"/>
                <w:szCs w:val="18"/>
                <w:lang w:val="fi-FI"/>
              </w:rPr>
            </w:pPr>
            <w:r w:rsidRPr="00FB4EFA">
              <w:rPr>
                <w:rFonts w:cs="Charis SIL"/>
                <w:sz w:val="18"/>
                <w:szCs w:val="18"/>
                <w:lang w:val="fi-FI"/>
              </w:rPr>
              <w:t>(-</w:t>
            </w:r>
            <w:r w:rsidRPr="00FB4EFA">
              <w:rPr>
                <w:rFonts w:cs="Charis SIL"/>
                <w:i/>
                <w:iCs/>
                <w:sz w:val="18"/>
                <w:szCs w:val="18"/>
                <w:lang w:val="fi-FI"/>
              </w:rPr>
              <w:t>men</w:t>
            </w:r>
            <w:r w:rsidRPr="00FB4EFA">
              <w:rPr>
                <w:rFonts w:cs="Charis SIL"/>
                <w:sz w:val="18"/>
                <w:szCs w:val="18"/>
                <w:lang w:val="fi-FI"/>
              </w:rPr>
              <w:t>, -</w:t>
            </w:r>
            <w:r w:rsidRPr="00FB4EFA">
              <w:rPr>
                <w:rFonts w:cs="Charis SIL"/>
                <w:i/>
                <w:iCs/>
                <w:sz w:val="18"/>
                <w:szCs w:val="18"/>
                <w:lang w:val="fi-FI"/>
              </w:rPr>
              <w:t>en</w:t>
            </w:r>
            <w:r w:rsidRPr="00FB4EFA">
              <w:rPr>
                <w:rFonts w:cs="Charis SIL"/>
                <w:sz w:val="18"/>
                <w:szCs w:val="18"/>
                <w:lang w:val="fi-FI"/>
              </w:rPr>
              <w:t>)</w:t>
            </w:r>
          </w:p>
        </w:tc>
      </w:tr>
      <w:tr w:rsidR="00FB4EFA" w:rsidRPr="00FB4EFA" w14:paraId="3F79790A"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17C9F179"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hanti</w:t>
            </w:r>
          </w:p>
        </w:tc>
        <w:tc>
          <w:tcPr>
            <w:tcW w:w="0" w:type="auto"/>
            <w:tcBorders>
              <w:top w:val="single" w:sz="4" w:space="0" w:color="000000"/>
              <w:left w:val="single" w:sz="12" w:space="0" w:color="000000"/>
              <w:bottom w:val="single" w:sz="4" w:space="0" w:color="000000"/>
              <w:right w:val="single" w:sz="4" w:space="0" w:color="000000"/>
            </w:tcBorders>
            <w:vAlign w:val="center"/>
          </w:tcPr>
          <w:p w14:paraId="3941770A"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mănлəm</w:t>
            </w:r>
          </w:p>
        </w:tc>
        <w:tc>
          <w:tcPr>
            <w:tcW w:w="0" w:type="auto"/>
            <w:tcBorders>
              <w:top w:val="single" w:sz="4" w:space="0" w:color="000000"/>
              <w:left w:val="single" w:sz="4" w:space="0" w:color="000000"/>
              <w:bottom w:val="single" w:sz="4" w:space="0" w:color="000000"/>
              <w:right w:val="single" w:sz="4" w:space="0" w:color="000000"/>
            </w:tcBorders>
            <w:vAlign w:val="center"/>
          </w:tcPr>
          <w:p w14:paraId="1F808A6F"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mănлən</w:t>
            </w:r>
          </w:p>
        </w:tc>
        <w:tc>
          <w:tcPr>
            <w:tcW w:w="0" w:type="auto"/>
            <w:tcBorders>
              <w:top w:val="single" w:sz="4" w:space="0" w:color="000000"/>
              <w:left w:val="single" w:sz="4" w:space="0" w:color="000000"/>
              <w:bottom w:val="single" w:sz="4" w:space="0" w:color="000000"/>
              <w:right w:val="single" w:sz="4" w:space="0" w:color="000000"/>
            </w:tcBorders>
            <w:vAlign w:val="center"/>
          </w:tcPr>
          <w:p w14:paraId="214B88F6"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mănлəw</w:t>
            </w:r>
          </w:p>
        </w:tc>
        <w:tc>
          <w:tcPr>
            <w:tcW w:w="0" w:type="auto"/>
            <w:tcBorders>
              <w:top w:val="single" w:sz="4" w:space="0" w:color="000000"/>
              <w:left w:val="single" w:sz="4" w:space="0" w:color="000000"/>
              <w:bottom w:val="single" w:sz="4" w:space="0" w:color="000000"/>
              <w:right w:val="single" w:sz="4" w:space="0" w:color="000000"/>
            </w:tcBorders>
            <w:vAlign w:val="center"/>
          </w:tcPr>
          <w:p w14:paraId="69D20787"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mănлətĭ</w:t>
            </w:r>
          </w:p>
        </w:tc>
        <w:tc>
          <w:tcPr>
            <w:tcW w:w="0" w:type="auto"/>
            <w:tcBorders>
              <w:top w:val="single" w:sz="4" w:space="0" w:color="000000"/>
              <w:left w:val="single" w:sz="4" w:space="0" w:color="000000"/>
              <w:bottom w:val="single" w:sz="4" w:space="0" w:color="000000"/>
            </w:tcBorders>
            <w:vAlign w:val="center"/>
          </w:tcPr>
          <w:p w14:paraId="3977AECB" w14:textId="77777777" w:rsidR="0076526E" w:rsidRPr="00FB4EFA" w:rsidRDefault="0076526E" w:rsidP="00AC1192">
            <w:pPr>
              <w:keepNext/>
              <w:widowControl w:val="0"/>
              <w:suppressAutoHyphens/>
              <w:jc w:val="left"/>
              <w:rPr>
                <w:rFonts w:cs="Charis SIL"/>
                <w:sz w:val="18"/>
                <w:szCs w:val="18"/>
                <w:lang w:val="fi-FI"/>
              </w:rPr>
            </w:pPr>
            <w:r w:rsidRPr="00FB4EFA">
              <w:rPr>
                <w:rFonts w:cs="Charis SIL"/>
                <w:sz w:val="18"/>
                <w:szCs w:val="18"/>
                <w:lang w:val="fi-FI"/>
              </w:rPr>
              <w:t>(-</w:t>
            </w:r>
            <w:r w:rsidRPr="00FB4EFA">
              <w:rPr>
                <w:rFonts w:cs="Charis SIL"/>
                <w:i/>
                <w:iCs/>
                <w:sz w:val="18"/>
                <w:szCs w:val="18"/>
                <w:lang w:val="fi-FI"/>
              </w:rPr>
              <w:t>mən</w:t>
            </w:r>
            <w:r w:rsidRPr="00FB4EFA">
              <w:rPr>
                <w:rFonts w:cs="Charis SIL"/>
                <w:sz w:val="18"/>
                <w:szCs w:val="18"/>
                <w:lang w:val="fi-FI"/>
              </w:rPr>
              <w:t>, -</w:t>
            </w:r>
            <w:r w:rsidRPr="00FB4EFA">
              <w:rPr>
                <w:rFonts w:cs="Charis SIL"/>
                <w:i/>
                <w:iCs/>
                <w:sz w:val="18"/>
                <w:szCs w:val="18"/>
                <w:lang w:val="fi-FI"/>
              </w:rPr>
              <w:t>tən</w:t>
            </w:r>
            <w:r w:rsidRPr="00FB4EFA">
              <w:rPr>
                <w:rFonts w:cs="Charis SIL"/>
                <w:sz w:val="18"/>
                <w:szCs w:val="18"/>
                <w:lang w:val="fi-FI"/>
              </w:rPr>
              <w:t>)</w:t>
            </w:r>
          </w:p>
        </w:tc>
      </w:tr>
      <w:tr w:rsidR="00FB4EFA" w:rsidRPr="00FB4EFA" w14:paraId="533C0D37"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32253F90"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unkari</w:t>
            </w:r>
          </w:p>
        </w:tc>
        <w:tc>
          <w:tcPr>
            <w:tcW w:w="0" w:type="auto"/>
            <w:tcBorders>
              <w:top w:val="single" w:sz="4" w:space="0" w:color="000000"/>
              <w:left w:val="single" w:sz="12" w:space="0" w:color="000000"/>
              <w:bottom w:val="single" w:sz="4" w:space="0" w:color="000000"/>
              <w:right w:val="single" w:sz="4" w:space="0" w:color="000000"/>
            </w:tcBorders>
            <w:vAlign w:val="center"/>
          </w:tcPr>
          <w:p w14:paraId="5A04435D"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megyek</w:t>
            </w:r>
          </w:p>
        </w:tc>
        <w:tc>
          <w:tcPr>
            <w:tcW w:w="0" w:type="auto"/>
            <w:tcBorders>
              <w:top w:val="single" w:sz="4" w:space="0" w:color="000000"/>
              <w:left w:val="single" w:sz="4" w:space="0" w:color="000000"/>
              <w:bottom w:val="single" w:sz="4" w:space="0" w:color="000000"/>
              <w:right w:val="single" w:sz="4" w:space="0" w:color="000000"/>
            </w:tcBorders>
            <w:vAlign w:val="center"/>
          </w:tcPr>
          <w:p w14:paraId="70992EA2"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mész</w:t>
            </w:r>
          </w:p>
        </w:tc>
        <w:tc>
          <w:tcPr>
            <w:tcW w:w="0" w:type="auto"/>
            <w:tcBorders>
              <w:top w:val="single" w:sz="4" w:space="0" w:color="000000"/>
              <w:left w:val="single" w:sz="4" w:space="0" w:color="000000"/>
              <w:bottom w:val="single" w:sz="4" w:space="0" w:color="000000"/>
              <w:right w:val="single" w:sz="4" w:space="0" w:color="000000"/>
            </w:tcBorders>
            <w:vAlign w:val="center"/>
          </w:tcPr>
          <w:p w14:paraId="3F9EF39D"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megyünk</w:t>
            </w:r>
          </w:p>
        </w:tc>
        <w:tc>
          <w:tcPr>
            <w:tcW w:w="0" w:type="auto"/>
            <w:tcBorders>
              <w:top w:val="single" w:sz="4" w:space="0" w:color="000000"/>
              <w:left w:val="single" w:sz="4" w:space="0" w:color="000000"/>
              <w:bottom w:val="single" w:sz="4" w:space="0" w:color="000000"/>
              <w:right w:val="single" w:sz="4" w:space="0" w:color="000000"/>
            </w:tcBorders>
            <w:vAlign w:val="center"/>
          </w:tcPr>
          <w:p w14:paraId="4FF4A421"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mentek</w:t>
            </w:r>
          </w:p>
        </w:tc>
        <w:tc>
          <w:tcPr>
            <w:tcW w:w="0" w:type="auto"/>
            <w:tcBorders>
              <w:top w:val="single" w:sz="4" w:space="0" w:color="000000"/>
              <w:left w:val="single" w:sz="4" w:space="0" w:color="000000"/>
              <w:bottom w:val="single" w:sz="4" w:space="0" w:color="000000"/>
            </w:tcBorders>
            <w:vAlign w:val="center"/>
          </w:tcPr>
          <w:p w14:paraId="77495483" w14:textId="77777777" w:rsidR="0076526E" w:rsidRPr="00FB4EFA" w:rsidRDefault="0076526E" w:rsidP="00402EF4">
            <w:pPr>
              <w:keepNext/>
              <w:widowControl w:val="0"/>
              <w:jc w:val="left"/>
              <w:rPr>
                <w:rFonts w:cs="Charis SIL"/>
                <w:sz w:val="18"/>
                <w:szCs w:val="18"/>
                <w:lang w:val="fi-FI"/>
              </w:rPr>
            </w:pPr>
          </w:p>
        </w:tc>
      </w:tr>
      <w:tr w:rsidR="00FB4EFA" w:rsidRPr="00FB4EFA" w14:paraId="78546DA2" w14:textId="77777777" w:rsidTr="0076526E">
        <w:trPr>
          <w:jc w:val="center"/>
        </w:trPr>
        <w:tc>
          <w:tcPr>
            <w:tcW w:w="0" w:type="auto"/>
            <w:tcBorders>
              <w:top w:val="single" w:sz="4" w:space="0" w:color="000000"/>
              <w:bottom w:val="single" w:sz="4" w:space="0" w:color="000000"/>
              <w:right w:val="single" w:sz="12" w:space="0" w:color="000000"/>
            </w:tcBorders>
            <w:vAlign w:val="center"/>
          </w:tcPr>
          <w:p w14:paraId="41D3D8E9"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nenetsi</w:t>
            </w:r>
          </w:p>
        </w:tc>
        <w:tc>
          <w:tcPr>
            <w:tcW w:w="0" w:type="auto"/>
            <w:tcBorders>
              <w:top w:val="single" w:sz="4" w:space="0" w:color="000000"/>
              <w:left w:val="single" w:sz="12" w:space="0" w:color="000000"/>
              <w:bottom w:val="single" w:sz="4" w:space="0" w:color="000000"/>
              <w:right w:val="single" w:sz="4" w:space="0" w:color="000000"/>
            </w:tcBorders>
            <w:vAlign w:val="center"/>
          </w:tcPr>
          <w:p w14:paraId="77354BFE"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meød°m</w:t>
            </w:r>
          </w:p>
        </w:tc>
        <w:tc>
          <w:tcPr>
            <w:tcW w:w="0" w:type="auto"/>
            <w:tcBorders>
              <w:top w:val="single" w:sz="4" w:space="0" w:color="000000"/>
              <w:left w:val="single" w:sz="4" w:space="0" w:color="000000"/>
              <w:bottom w:val="single" w:sz="4" w:space="0" w:color="000000"/>
              <w:right w:val="single" w:sz="4" w:space="0" w:color="000000"/>
            </w:tcBorders>
            <w:vAlign w:val="center"/>
          </w:tcPr>
          <w:p w14:paraId="52B137F3"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meøn°</w:t>
            </w:r>
          </w:p>
        </w:tc>
        <w:tc>
          <w:tcPr>
            <w:tcW w:w="0" w:type="auto"/>
            <w:tcBorders>
              <w:top w:val="single" w:sz="4" w:space="0" w:color="000000"/>
              <w:left w:val="single" w:sz="4" w:space="0" w:color="000000"/>
              <w:bottom w:val="single" w:sz="4" w:space="0" w:color="000000"/>
              <w:right w:val="single" w:sz="4" w:space="0" w:color="000000"/>
            </w:tcBorders>
            <w:vAlign w:val="center"/>
          </w:tcPr>
          <w:p w14:paraId="73BC35AC"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me°waq</w:t>
            </w:r>
          </w:p>
        </w:tc>
        <w:tc>
          <w:tcPr>
            <w:tcW w:w="0" w:type="auto"/>
            <w:tcBorders>
              <w:top w:val="single" w:sz="4" w:space="0" w:color="000000"/>
              <w:left w:val="single" w:sz="4" w:space="0" w:color="000000"/>
              <w:bottom w:val="single" w:sz="4" w:space="0" w:color="000000"/>
              <w:right w:val="single" w:sz="4" w:space="0" w:color="000000"/>
            </w:tcBorders>
            <w:vAlign w:val="center"/>
          </w:tcPr>
          <w:p w14:paraId="166403DE" w14:textId="77777777" w:rsidR="0076526E" w:rsidRPr="00FB4EFA" w:rsidRDefault="0076526E" w:rsidP="00AC1192">
            <w:pPr>
              <w:keepNext/>
              <w:widowControl w:val="0"/>
              <w:suppressAutoHyphens/>
              <w:jc w:val="left"/>
              <w:rPr>
                <w:rFonts w:cs="Charis SIL"/>
                <w:i/>
                <w:iCs/>
                <w:sz w:val="18"/>
                <w:szCs w:val="18"/>
                <w:lang w:val="fi-FI"/>
              </w:rPr>
            </w:pPr>
            <w:r w:rsidRPr="00FB4EFA">
              <w:rPr>
                <w:rFonts w:cs="Charis SIL"/>
                <w:i/>
                <w:iCs/>
                <w:sz w:val="18"/>
                <w:szCs w:val="18"/>
                <w:lang w:val="fi-FI"/>
              </w:rPr>
              <w:t>me°daq</w:t>
            </w:r>
          </w:p>
        </w:tc>
        <w:tc>
          <w:tcPr>
            <w:tcW w:w="0" w:type="auto"/>
            <w:tcBorders>
              <w:top w:val="single" w:sz="4" w:space="0" w:color="000000"/>
              <w:left w:val="single" w:sz="4" w:space="0" w:color="000000"/>
              <w:bottom w:val="single" w:sz="4" w:space="0" w:color="000000"/>
            </w:tcBorders>
            <w:vAlign w:val="center"/>
          </w:tcPr>
          <w:p w14:paraId="15F52335" w14:textId="77777777" w:rsidR="0076526E" w:rsidRPr="00FB4EFA" w:rsidRDefault="0076526E" w:rsidP="00AC1192">
            <w:pPr>
              <w:keepNext/>
              <w:widowControl w:val="0"/>
              <w:suppressAutoHyphens/>
              <w:jc w:val="left"/>
              <w:rPr>
                <w:rFonts w:cs="Charis SIL"/>
                <w:sz w:val="18"/>
                <w:szCs w:val="18"/>
                <w:lang w:val="fi-FI"/>
              </w:rPr>
            </w:pPr>
            <w:r w:rsidRPr="00FB4EFA">
              <w:rPr>
                <w:rFonts w:cs="Charis SIL"/>
                <w:sz w:val="18"/>
                <w:szCs w:val="18"/>
                <w:lang w:val="fi-FI"/>
              </w:rPr>
              <w:t>(-</w:t>
            </w:r>
            <w:r w:rsidRPr="00FB4EFA">
              <w:rPr>
                <w:rFonts w:cs="Charis SIL"/>
                <w:i/>
                <w:iCs/>
                <w:sz w:val="18"/>
                <w:szCs w:val="18"/>
                <w:lang w:val="fi-FI"/>
              </w:rPr>
              <w:t>nyih</w:t>
            </w:r>
            <w:r w:rsidRPr="00FB4EFA">
              <w:rPr>
                <w:rFonts w:cs="Charis SIL"/>
                <w:sz w:val="18"/>
                <w:szCs w:val="18"/>
                <w:lang w:val="fi-FI"/>
              </w:rPr>
              <w:t>, -</w:t>
            </w:r>
            <w:r w:rsidRPr="00FB4EFA">
              <w:rPr>
                <w:rFonts w:cs="Charis SIL"/>
                <w:i/>
                <w:iCs/>
                <w:sz w:val="18"/>
                <w:szCs w:val="18"/>
                <w:lang w:val="fi-FI"/>
              </w:rPr>
              <w:t>dyih</w:t>
            </w:r>
            <w:r w:rsidRPr="00FB4EFA">
              <w:rPr>
                <w:rFonts w:cs="Charis SIL"/>
                <w:sz w:val="18"/>
                <w:szCs w:val="18"/>
                <w:lang w:val="fi-FI"/>
              </w:rPr>
              <w:t>)</w:t>
            </w:r>
          </w:p>
        </w:tc>
      </w:tr>
      <w:tr w:rsidR="00FB4EFA" w:rsidRPr="00FB4EFA" w14:paraId="6DB31C45" w14:textId="77777777" w:rsidTr="0076526E">
        <w:trPr>
          <w:jc w:val="center"/>
        </w:trPr>
        <w:tc>
          <w:tcPr>
            <w:tcW w:w="0" w:type="auto"/>
            <w:tcBorders>
              <w:top w:val="single" w:sz="4" w:space="0" w:color="000000"/>
              <w:right w:val="single" w:sz="12" w:space="0" w:color="000000"/>
            </w:tcBorders>
            <w:vAlign w:val="center"/>
          </w:tcPr>
          <w:p w14:paraId="59FEE7B2"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kanta-urali</w:t>
            </w:r>
          </w:p>
        </w:tc>
        <w:tc>
          <w:tcPr>
            <w:tcW w:w="0" w:type="auto"/>
            <w:tcBorders>
              <w:top w:val="single" w:sz="4" w:space="0" w:color="000000"/>
              <w:left w:val="single" w:sz="12" w:space="0" w:color="000000"/>
              <w:right w:val="single" w:sz="4" w:space="0" w:color="000000"/>
            </w:tcBorders>
            <w:vAlign w:val="center"/>
          </w:tcPr>
          <w:p w14:paraId="230B7DA5" w14:textId="77777777" w:rsidR="0076526E" w:rsidRPr="00FB4EFA" w:rsidRDefault="0076526E" w:rsidP="00402EF4">
            <w:pPr>
              <w:keepNext/>
              <w:widowControl w:val="0"/>
              <w:jc w:val="left"/>
              <w:rPr>
                <w:rFonts w:cs="Charis SIL"/>
                <w:sz w:val="18"/>
                <w:szCs w:val="18"/>
                <w:lang w:val="fi-FI"/>
              </w:rPr>
            </w:pPr>
            <w:r w:rsidRPr="00FB4EFA">
              <w:rPr>
                <w:rFonts w:cs="Charis SIL"/>
                <w:sz w:val="18"/>
                <w:szCs w:val="18"/>
                <w:lang w:val="fi-FI"/>
              </w:rPr>
              <w:t>*-m</w:t>
            </w:r>
          </w:p>
        </w:tc>
        <w:tc>
          <w:tcPr>
            <w:tcW w:w="0" w:type="auto"/>
            <w:tcBorders>
              <w:top w:val="single" w:sz="4" w:space="0" w:color="000000"/>
              <w:left w:val="single" w:sz="4" w:space="0" w:color="000000"/>
              <w:right w:val="single" w:sz="4" w:space="0" w:color="000000"/>
            </w:tcBorders>
            <w:vAlign w:val="center"/>
          </w:tcPr>
          <w:p w14:paraId="0ADFDE97" w14:textId="77777777" w:rsidR="0076526E" w:rsidRPr="00FB4EFA" w:rsidRDefault="0076526E" w:rsidP="00402EF4">
            <w:pPr>
              <w:keepNext/>
              <w:widowControl w:val="0"/>
              <w:jc w:val="left"/>
              <w:rPr>
                <w:rFonts w:cs="Charis SIL"/>
                <w:sz w:val="18"/>
                <w:szCs w:val="18"/>
                <w:lang w:val="fi-FI"/>
              </w:rPr>
            </w:pPr>
            <w:r w:rsidRPr="00FB4EFA">
              <w:rPr>
                <w:rFonts w:cs="Charis SIL"/>
                <w:sz w:val="18"/>
                <w:szCs w:val="18"/>
                <w:lang w:val="fi-FI"/>
              </w:rPr>
              <w:t>*-t</w:t>
            </w:r>
          </w:p>
        </w:tc>
        <w:tc>
          <w:tcPr>
            <w:tcW w:w="0" w:type="auto"/>
            <w:tcBorders>
              <w:top w:val="single" w:sz="4" w:space="0" w:color="000000"/>
              <w:left w:val="single" w:sz="4" w:space="0" w:color="000000"/>
              <w:right w:val="single" w:sz="4" w:space="0" w:color="000000"/>
            </w:tcBorders>
            <w:vAlign w:val="center"/>
          </w:tcPr>
          <w:p w14:paraId="496AEA72" w14:textId="77777777" w:rsidR="0076526E" w:rsidRPr="00FB4EFA" w:rsidRDefault="0076526E" w:rsidP="00AC1192">
            <w:pPr>
              <w:keepNext/>
              <w:widowControl w:val="0"/>
              <w:suppressAutoHyphens/>
              <w:jc w:val="left"/>
              <w:rPr>
                <w:rFonts w:cs="Charis SIL"/>
                <w:sz w:val="18"/>
                <w:szCs w:val="18"/>
                <w:lang w:val="fi-FI"/>
              </w:rPr>
            </w:pPr>
            <w:r w:rsidRPr="00FB4EFA">
              <w:rPr>
                <w:rFonts w:cs="Charis SIL"/>
                <w:sz w:val="18"/>
                <w:szCs w:val="18"/>
                <w:lang w:val="fi-FI"/>
              </w:rPr>
              <w:t>*-</w:t>
            </w:r>
            <w:r w:rsidRPr="00FB4EFA">
              <w:rPr>
                <w:rFonts w:cs="Charis SIL"/>
                <w:i/>
                <w:iCs/>
                <w:sz w:val="18"/>
                <w:szCs w:val="18"/>
                <w:lang w:val="fi-FI"/>
              </w:rPr>
              <w:t>mVk</w:t>
            </w:r>
          </w:p>
        </w:tc>
        <w:tc>
          <w:tcPr>
            <w:tcW w:w="0" w:type="auto"/>
            <w:tcBorders>
              <w:top w:val="single" w:sz="4" w:space="0" w:color="000000"/>
              <w:left w:val="single" w:sz="4" w:space="0" w:color="000000"/>
              <w:right w:val="single" w:sz="4" w:space="0" w:color="000000"/>
            </w:tcBorders>
            <w:vAlign w:val="center"/>
          </w:tcPr>
          <w:p w14:paraId="25B0FBF8" w14:textId="77777777" w:rsidR="0076526E" w:rsidRPr="00FB4EFA" w:rsidRDefault="0076526E" w:rsidP="00AC1192">
            <w:pPr>
              <w:keepNext/>
              <w:widowControl w:val="0"/>
              <w:suppressAutoHyphens/>
              <w:jc w:val="left"/>
              <w:rPr>
                <w:rFonts w:cs="Charis SIL"/>
                <w:sz w:val="18"/>
                <w:szCs w:val="18"/>
                <w:lang w:val="fi-FI"/>
              </w:rPr>
            </w:pPr>
            <w:r w:rsidRPr="00FB4EFA">
              <w:rPr>
                <w:rFonts w:cs="Charis SIL"/>
                <w:sz w:val="18"/>
                <w:szCs w:val="18"/>
                <w:lang w:val="fi-FI"/>
              </w:rPr>
              <w:t>*-</w:t>
            </w:r>
            <w:r w:rsidRPr="00FB4EFA">
              <w:rPr>
                <w:rFonts w:cs="Charis SIL"/>
                <w:i/>
                <w:iCs/>
                <w:sz w:val="18"/>
                <w:szCs w:val="18"/>
                <w:lang w:val="fi-FI"/>
              </w:rPr>
              <w:t>tVk</w:t>
            </w:r>
          </w:p>
        </w:tc>
        <w:tc>
          <w:tcPr>
            <w:tcW w:w="0" w:type="auto"/>
            <w:tcBorders>
              <w:top w:val="single" w:sz="4" w:space="0" w:color="000000"/>
              <w:left w:val="single" w:sz="4" w:space="0" w:color="000000"/>
            </w:tcBorders>
            <w:vAlign w:val="center"/>
          </w:tcPr>
          <w:p w14:paraId="11BF29CB" w14:textId="77777777" w:rsidR="0076526E" w:rsidRPr="00FB4EFA" w:rsidRDefault="0076526E" w:rsidP="00AC1192">
            <w:pPr>
              <w:keepNext/>
              <w:widowControl w:val="0"/>
              <w:suppressAutoHyphens/>
              <w:jc w:val="left"/>
              <w:rPr>
                <w:rFonts w:cs="Charis SIL"/>
                <w:sz w:val="18"/>
                <w:szCs w:val="18"/>
                <w:lang w:val="fi-FI"/>
              </w:rPr>
            </w:pPr>
            <w:r w:rsidRPr="00FB4EFA">
              <w:rPr>
                <w:rFonts w:cs="Charis SIL"/>
                <w:sz w:val="18"/>
                <w:szCs w:val="18"/>
                <w:lang w:val="fi-FI"/>
              </w:rPr>
              <w:t>(*-</w:t>
            </w:r>
            <w:r w:rsidRPr="00FB4EFA">
              <w:rPr>
                <w:rFonts w:cs="Charis SIL"/>
                <w:i/>
                <w:iCs/>
                <w:sz w:val="18"/>
                <w:szCs w:val="18"/>
                <w:lang w:val="fi-FI"/>
              </w:rPr>
              <w:t>mVn</w:t>
            </w:r>
            <w:r w:rsidRPr="00FB4EFA">
              <w:rPr>
                <w:rFonts w:cs="Charis SIL"/>
                <w:sz w:val="18"/>
                <w:szCs w:val="18"/>
                <w:lang w:val="fi-FI"/>
              </w:rPr>
              <w:t>, -</w:t>
            </w:r>
            <w:r w:rsidRPr="00FB4EFA">
              <w:rPr>
                <w:rFonts w:cs="Charis SIL"/>
                <w:i/>
                <w:iCs/>
                <w:sz w:val="18"/>
                <w:szCs w:val="18"/>
                <w:lang w:val="fi-FI"/>
              </w:rPr>
              <w:t>tVn</w:t>
            </w:r>
            <w:r w:rsidRPr="00FB4EFA">
              <w:rPr>
                <w:rFonts w:cs="Charis SIL"/>
                <w:sz w:val="18"/>
                <w:szCs w:val="18"/>
                <w:lang w:val="fi-FI"/>
              </w:rPr>
              <w:t>)</w:t>
            </w:r>
          </w:p>
        </w:tc>
      </w:tr>
    </w:tbl>
    <w:p w14:paraId="0B5086DE" w14:textId="77777777" w:rsidR="0076526E" w:rsidRPr="00FB4EFA" w:rsidRDefault="0076526E" w:rsidP="00AC1192">
      <w:pPr>
        <w:suppressAutoHyphens/>
        <w:spacing w:before="120" w:line="240" w:lineRule="auto"/>
        <w:jc w:val="center"/>
        <w:rPr>
          <w:rFonts w:cs="Times New Roman"/>
          <w:sz w:val="18"/>
          <w:szCs w:val="18"/>
          <w:lang w:val="fi-FI"/>
        </w:rPr>
      </w:pPr>
      <w:r w:rsidRPr="00FB4EFA">
        <w:rPr>
          <w:b/>
          <w:bCs/>
          <w:sz w:val="18"/>
          <w:szCs w:val="18"/>
          <w:lang w:val="fi-FI"/>
        </w:rPr>
        <w:t>Taulukko 2</w:t>
      </w:r>
      <w:r w:rsidRPr="00FB4EFA">
        <w:rPr>
          <w:sz w:val="18"/>
          <w:szCs w:val="18"/>
          <w:lang w:val="fi-FI"/>
        </w:rPr>
        <w:t xml:space="preserve">. </w:t>
      </w:r>
      <w:r w:rsidRPr="00FB4EFA">
        <w:rPr>
          <w:rFonts w:cs="Times New Roman"/>
          <w:sz w:val="18"/>
          <w:szCs w:val="18"/>
          <w:lang w:val="fi-FI"/>
        </w:rPr>
        <w:t>Verbin preesenstaivutus uralilaisissa kielissä 1. ja 2. persoonissa (Ulla-Maija Forsbergin luentomoniste).</w:t>
      </w:r>
    </w:p>
    <w:p w14:paraId="2B52B99B" w14:textId="447E942A" w:rsidR="0076526E" w:rsidRPr="00FB4EFA" w:rsidRDefault="0076526E" w:rsidP="00AF0CAD">
      <w:pPr>
        <w:spacing w:before="240" w:after="240"/>
        <w:rPr>
          <w:rFonts w:eastAsia="Courier New"/>
          <w:lang w:val="fi-FI"/>
        </w:rPr>
      </w:pPr>
      <w:r w:rsidRPr="00FB4EFA">
        <w:rPr>
          <w:lang w:val="fi-FI"/>
        </w:rPr>
        <w:t>Taulukosta 3. näkyy uralilaiskielten 3. persoonan muodot. Kolmatta persoonaa tarkasteltaessa on selkeää, että varsinaista persoonaan viittaavaa tunnusta ei ole ollut kantauralissa. Uralilaiskielissä on käytössä kolmansissa persoonissa kantakieleen palautuvia preesenspartisiippeja (*</w:t>
      </w:r>
      <w:r w:rsidR="006E1E3A" w:rsidRPr="00FB4EFA">
        <w:rPr>
          <w:lang w:val="fi-FI"/>
        </w:rPr>
        <w:t>-</w:t>
      </w:r>
      <w:r w:rsidRPr="00FB4EFA">
        <w:rPr>
          <w:i/>
          <w:iCs/>
          <w:lang w:val="fi-FI"/>
        </w:rPr>
        <w:t>pA</w:t>
      </w:r>
      <w:r w:rsidRPr="00FB4EFA">
        <w:rPr>
          <w:lang w:val="fi-FI"/>
        </w:rPr>
        <w:t xml:space="preserve"> ja *</w:t>
      </w:r>
      <w:r w:rsidR="006E1E3A" w:rsidRPr="00FB4EFA">
        <w:rPr>
          <w:lang w:val="fi-FI"/>
        </w:rPr>
        <w:t>-</w:t>
      </w:r>
      <w:r w:rsidRPr="00FB4EFA">
        <w:rPr>
          <w:i/>
          <w:iCs/>
          <w:lang w:val="fi-FI"/>
        </w:rPr>
        <w:t>jA</w:t>
      </w:r>
      <w:r w:rsidRPr="00FB4EFA">
        <w:rPr>
          <w:lang w:val="fi-FI"/>
        </w:rPr>
        <w:t>), yksikön 3. persoonan possessiivisuffiksia (*</w:t>
      </w:r>
      <w:r w:rsidR="006E1E3A" w:rsidRPr="00FB4EFA">
        <w:rPr>
          <w:lang w:val="fi-FI"/>
        </w:rPr>
        <w:t>-</w:t>
      </w:r>
      <w:r w:rsidRPr="00FB4EFA">
        <w:rPr>
          <w:i/>
          <w:iCs/>
          <w:lang w:val="fi-FI"/>
        </w:rPr>
        <w:t>sA</w:t>
      </w:r>
      <w:r w:rsidRPr="00FB4EFA">
        <w:rPr>
          <w:lang w:val="fi-FI"/>
        </w:rPr>
        <w:t xml:space="preserve">) tai pelkkä verbivartalo. Näistä elementeistä on kehittynyt suffikseja, jotka synkronisesta näkökulmasta voidaan tulkita preesens- ja persoonatunnuksiksi. </w:t>
      </w:r>
      <w:r w:rsidRPr="00FB4EFA">
        <w:rPr>
          <w:rFonts w:eastAsia="Courier New"/>
          <w:lang w:val="fi-FI"/>
        </w:rPr>
        <w:t>Lakó (1934; siteerattu Bartensin 1979: 225 kautta) mukaan permiläiskielten yksikön kolmannen persoonan preesensissä on aiemmin päättynyt konsonanttiin *</w:t>
      </w:r>
      <w:r w:rsidR="00B407D0" w:rsidRPr="00FB4EFA">
        <w:rPr>
          <w:i/>
          <w:iCs/>
          <w:lang w:val="fi-FI"/>
        </w:rPr>
        <w:t>-</w:t>
      </w:r>
      <w:r w:rsidRPr="00FB4EFA">
        <w:rPr>
          <w:rFonts w:eastAsia="Courier New"/>
          <w:i/>
          <w:iCs/>
          <w:lang w:val="fi-FI"/>
        </w:rPr>
        <w:t>k</w:t>
      </w:r>
      <w:r w:rsidRPr="00FB4EFA">
        <w:rPr>
          <w:rFonts w:eastAsia="Courier New"/>
          <w:lang w:val="fi-FI"/>
        </w:rPr>
        <w:t>, joka on preesenstunnus, ja monikon 3. persoonan muoto on ilmeisesti edellisen monikko.</w:t>
      </w:r>
    </w:p>
    <w:tbl>
      <w:tblPr>
        <w:tblW w:w="0" w:type="auto"/>
        <w:tblLook w:val="04A0" w:firstRow="1" w:lastRow="0" w:firstColumn="1" w:lastColumn="0" w:noHBand="0" w:noVBand="1"/>
      </w:tblPr>
      <w:tblGrid>
        <w:gridCol w:w="1353"/>
        <w:gridCol w:w="932"/>
        <w:gridCol w:w="1092"/>
        <w:gridCol w:w="861"/>
        <w:gridCol w:w="957"/>
        <w:gridCol w:w="1146"/>
      </w:tblGrid>
      <w:tr w:rsidR="00FB4EFA" w:rsidRPr="00FB4EFA" w14:paraId="3C7B344E" w14:textId="77777777" w:rsidTr="0076526E">
        <w:tc>
          <w:tcPr>
            <w:tcW w:w="0" w:type="auto"/>
            <w:tcBorders>
              <w:bottom w:val="single" w:sz="12" w:space="0" w:color="000000"/>
              <w:right w:val="single" w:sz="12" w:space="0" w:color="000000"/>
            </w:tcBorders>
          </w:tcPr>
          <w:p w14:paraId="1FA749AD" w14:textId="77777777" w:rsidR="0076526E" w:rsidRPr="00FB4EFA" w:rsidRDefault="0076526E" w:rsidP="00AF0CAD">
            <w:pPr>
              <w:keepNext/>
              <w:widowControl w:val="0"/>
              <w:rPr>
                <w:b/>
                <w:bCs/>
                <w:lang w:val="fi-FI"/>
              </w:rPr>
            </w:pPr>
          </w:p>
        </w:tc>
        <w:tc>
          <w:tcPr>
            <w:tcW w:w="0" w:type="auto"/>
            <w:gridSpan w:val="2"/>
            <w:tcBorders>
              <w:left w:val="single" w:sz="12" w:space="0" w:color="000000"/>
              <w:bottom w:val="single" w:sz="12" w:space="0" w:color="000000"/>
              <w:right w:val="single" w:sz="12" w:space="0" w:color="000000"/>
            </w:tcBorders>
          </w:tcPr>
          <w:p w14:paraId="6FC22792"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Sg3</w:t>
            </w:r>
          </w:p>
        </w:tc>
        <w:tc>
          <w:tcPr>
            <w:tcW w:w="0" w:type="auto"/>
            <w:gridSpan w:val="2"/>
            <w:tcBorders>
              <w:left w:val="single" w:sz="12" w:space="0" w:color="000000"/>
              <w:bottom w:val="single" w:sz="12" w:space="0" w:color="000000"/>
              <w:right w:val="single" w:sz="12" w:space="0" w:color="000000"/>
            </w:tcBorders>
          </w:tcPr>
          <w:p w14:paraId="0674EEF3"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Pl3</w:t>
            </w:r>
          </w:p>
        </w:tc>
        <w:tc>
          <w:tcPr>
            <w:tcW w:w="0" w:type="auto"/>
            <w:tcBorders>
              <w:left w:val="single" w:sz="12" w:space="0" w:color="000000"/>
              <w:bottom w:val="single" w:sz="12" w:space="0" w:color="000000"/>
            </w:tcBorders>
          </w:tcPr>
          <w:p w14:paraId="4EFF8AC3"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(Du3)</w:t>
            </w:r>
          </w:p>
        </w:tc>
      </w:tr>
      <w:tr w:rsidR="00FB4EFA" w:rsidRPr="00FB4EFA" w14:paraId="12FED111" w14:textId="77777777" w:rsidTr="0076526E">
        <w:tc>
          <w:tcPr>
            <w:tcW w:w="0" w:type="auto"/>
            <w:tcBorders>
              <w:top w:val="single" w:sz="12" w:space="0" w:color="000000"/>
              <w:bottom w:val="single" w:sz="4" w:space="0" w:color="000000"/>
              <w:right w:val="single" w:sz="12" w:space="0" w:color="000000"/>
            </w:tcBorders>
            <w:vAlign w:val="center"/>
          </w:tcPr>
          <w:p w14:paraId="5D926987"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suomi</w:t>
            </w:r>
          </w:p>
        </w:tc>
        <w:tc>
          <w:tcPr>
            <w:tcW w:w="0" w:type="auto"/>
            <w:tcBorders>
              <w:top w:val="single" w:sz="12" w:space="0" w:color="000000"/>
              <w:left w:val="single" w:sz="12" w:space="0" w:color="000000"/>
              <w:bottom w:val="single" w:sz="4" w:space="0" w:color="000000"/>
              <w:right w:val="single" w:sz="4" w:space="0" w:color="000000"/>
            </w:tcBorders>
            <w:vAlign w:val="center"/>
          </w:tcPr>
          <w:p w14:paraId="54E74E09"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menee</w:t>
            </w:r>
          </w:p>
        </w:tc>
        <w:tc>
          <w:tcPr>
            <w:tcW w:w="0" w:type="auto"/>
            <w:tcBorders>
              <w:top w:val="single" w:sz="12" w:space="0" w:color="000000"/>
              <w:left w:val="single" w:sz="4" w:space="0" w:color="000000"/>
              <w:bottom w:val="single" w:sz="4" w:space="0" w:color="000000"/>
              <w:right w:val="single" w:sz="12" w:space="0" w:color="000000"/>
            </w:tcBorders>
            <w:vAlign w:val="center"/>
          </w:tcPr>
          <w:p w14:paraId="48A9A1FC"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i/>
                <w:iCs/>
                <w:sz w:val="18"/>
                <w:szCs w:val="18"/>
                <w:lang w:val="fi-FI"/>
              </w:rPr>
              <w:t>pA</w:t>
            </w:r>
          </w:p>
        </w:tc>
        <w:tc>
          <w:tcPr>
            <w:tcW w:w="0" w:type="auto"/>
            <w:tcBorders>
              <w:top w:val="single" w:sz="12" w:space="0" w:color="000000"/>
              <w:left w:val="single" w:sz="12" w:space="0" w:color="000000"/>
              <w:bottom w:val="single" w:sz="4" w:space="0" w:color="000000"/>
              <w:right w:val="single" w:sz="4" w:space="0" w:color="000000"/>
            </w:tcBorders>
            <w:vAlign w:val="center"/>
          </w:tcPr>
          <w:p w14:paraId="2EB81DE9"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menevät</w:t>
            </w:r>
          </w:p>
        </w:tc>
        <w:tc>
          <w:tcPr>
            <w:tcW w:w="0" w:type="auto"/>
            <w:tcBorders>
              <w:top w:val="single" w:sz="12" w:space="0" w:color="000000"/>
              <w:left w:val="single" w:sz="4" w:space="0" w:color="000000"/>
              <w:bottom w:val="single" w:sz="4" w:space="0" w:color="000000"/>
              <w:right w:val="single" w:sz="12" w:space="0" w:color="000000"/>
            </w:tcBorders>
            <w:vAlign w:val="center"/>
          </w:tcPr>
          <w:p w14:paraId="6860338E"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i/>
                <w:iCs/>
                <w:sz w:val="18"/>
                <w:szCs w:val="18"/>
                <w:lang w:val="fi-FI"/>
              </w:rPr>
              <w:t>pAt</w:t>
            </w:r>
          </w:p>
        </w:tc>
        <w:tc>
          <w:tcPr>
            <w:tcW w:w="0" w:type="auto"/>
            <w:tcBorders>
              <w:top w:val="single" w:sz="12" w:space="0" w:color="000000"/>
              <w:left w:val="single" w:sz="12" w:space="0" w:color="000000"/>
              <w:bottom w:val="single" w:sz="4" w:space="0" w:color="000000"/>
            </w:tcBorders>
            <w:vAlign w:val="center"/>
          </w:tcPr>
          <w:p w14:paraId="4DA6CC77" w14:textId="77777777" w:rsidR="0076526E" w:rsidRPr="00FB4EFA" w:rsidRDefault="0076526E" w:rsidP="00402EF4">
            <w:pPr>
              <w:keepNext/>
              <w:widowControl w:val="0"/>
              <w:jc w:val="left"/>
              <w:rPr>
                <w:sz w:val="18"/>
                <w:szCs w:val="18"/>
                <w:lang w:val="fi-FI"/>
              </w:rPr>
            </w:pPr>
          </w:p>
        </w:tc>
      </w:tr>
      <w:tr w:rsidR="00FB4EFA" w:rsidRPr="00FB4EFA" w14:paraId="3FE97A92" w14:textId="77777777" w:rsidTr="0076526E">
        <w:tc>
          <w:tcPr>
            <w:tcW w:w="0" w:type="auto"/>
            <w:tcBorders>
              <w:top w:val="single" w:sz="4" w:space="0" w:color="000000"/>
              <w:bottom w:val="single" w:sz="4" w:space="0" w:color="000000"/>
              <w:right w:val="single" w:sz="12" w:space="0" w:color="000000"/>
            </w:tcBorders>
            <w:vAlign w:val="center"/>
          </w:tcPr>
          <w:p w14:paraId="54A738DD"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Psaame</w:t>
            </w:r>
          </w:p>
        </w:tc>
        <w:tc>
          <w:tcPr>
            <w:tcW w:w="0" w:type="auto"/>
            <w:tcBorders>
              <w:top w:val="single" w:sz="4" w:space="0" w:color="000000"/>
              <w:left w:val="single" w:sz="12" w:space="0" w:color="000000"/>
              <w:bottom w:val="single" w:sz="4" w:space="0" w:color="000000"/>
              <w:right w:val="single" w:sz="4" w:space="0" w:color="000000"/>
            </w:tcBorders>
            <w:vAlign w:val="center"/>
          </w:tcPr>
          <w:p w14:paraId="2E3D5F43"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manná</w:t>
            </w:r>
          </w:p>
        </w:tc>
        <w:tc>
          <w:tcPr>
            <w:tcW w:w="0" w:type="auto"/>
            <w:tcBorders>
              <w:top w:val="single" w:sz="4" w:space="0" w:color="000000"/>
              <w:left w:val="single" w:sz="4" w:space="0" w:color="000000"/>
              <w:bottom w:val="single" w:sz="4" w:space="0" w:color="000000"/>
              <w:right w:val="single" w:sz="12" w:space="0" w:color="000000"/>
            </w:tcBorders>
            <w:vAlign w:val="center"/>
          </w:tcPr>
          <w:p w14:paraId="037C532D"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jA</w:t>
            </w:r>
          </w:p>
        </w:tc>
        <w:tc>
          <w:tcPr>
            <w:tcW w:w="0" w:type="auto"/>
            <w:tcBorders>
              <w:top w:val="single" w:sz="4" w:space="0" w:color="000000"/>
              <w:left w:val="single" w:sz="12" w:space="0" w:color="000000"/>
              <w:bottom w:val="single" w:sz="4" w:space="0" w:color="000000"/>
              <w:right w:val="single" w:sz="4" w:space="0" w:color="000000"/>
            </w:tcBorders>
            <w:vAlign w:val="center"/>
          </w:tcPr>
          <w:p w14:paraId="538FA3E9"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mannet</w:t>
            </w:r>
          </w:p>
        </w:tc>
        <w:tc>
          <w:tcPr>
            <w:tcW w:w="0" w:type="auto"/>
            <w:tcBorders>
              <w:top w:val="single" w:sz="4" w:space="0" w:color="000000"/>
              <w:left w:val="single" w:sz="4" w:space="0" w:color="000000"/>
              <w:bottom w:val="single" w:sz="4" w:space="0" w:color="000000"/>
              <w:right w:val="single" w:sz="12" w:space="0" w:color="000000"/>
            </w:tcBorders>
            <w:vAlign w:val="center"/>
          </w:tcPr>
          <w:p w14:paraId="4890152F"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jA-k</w:t>
            </w:r>
          </w:p>
        </w:tc>
        <w:tc>
          <w:tcPr>
            <w:tcW w:w="0" w:type="auto"/>
            <w:tcBorders>
              <w:top w:val="single" w:sz="4" w:space="0" w:color="000000"/>
              <w:left w:val="single" w:sz="12" w:space="0" w:color="000000"/>
              <w:bottom w:val="single" w:sz="4" w:space="0" w:color="000000"/>
            </w:tcBorders>
            <w:vAlign w:val="center"/>
          </w:tcPr>
          <w:p w14:paraId="5A89895C"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i/>
                <w:iCs/>
                <w:sz w:val="18"/>
                <w:szCs w:val="18"/>
                <w:lang w:val="fi-FI"/>
              </w:rPr>
              <w:t>(a)ba</w:t>
            </w:r>
            <w:r w:rsidRPr="00FB4EFA">
              <w:rPr>
                <w:sz w:val="18"/>
                <w:szCs w:val="18"/>
                <w:lang w:val="fi-FI"/>
              </w:rPr>
              <w:t xml:space="preserve"> &lt;</w:t>
            </w:r>
          </w:p>
          <w:p w14:paraId="69676DBA"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i/>
                <w:iCs/>
                <w:sz w:val="18"/>
                <w:szCs w:val="18"/>
                <w:lang w:val="fi-FI"/>
              </w:rPr>
              <w:t>pA-n</w:t>
            </w:r>
          </w:p>
        </w:tc>
      </w:tr>
      <w:tr w:rsidR="00FB4EFA" w:rsidRPr="00FB4EFA" w14:paraId="4D753D2C" w14:textId="77777777" w:rsidTr="0076526E">
        <w:tc>
          <w:tcPr>
            <w:tcW w:w="0" w:type="auto"/>
            <w:tcBorders>
              <w:top w:val="single" w:sz="4" w:space="0" w:color="000000"/>
              <w:bottom w:val="single" w:sz="4" w:space="0" w:color="000000"/>
              <w:right w:val="single" w:sz="12" w:space="0" w:color="000000"/>
            </w:tcBorders>
            <w:vAlign w:val="center"/>
          </w:tcPr>
          <w:p w14:paraId="7B10127F"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ersä</w:t>
            </w:r>
          </w:p>
        </w:tc>
        <w:tc>
          <w:tcPr>
            <w:tcW w:w="0" w:type="auto"/>
            <w:tcBorders>
              <w:top w:val="single" w:sz="4" w:space="0" w:color="000000"/>
              <w:left w:val="single" w:sz="12" w:space="0" w:color="000000"/>
              <w:bottom w:val="single" w:sz="4" w:space="0" w:color="000000"/>
              <w:right w:val="single" w:sz="4" w:space="0" w:color="000000"/>
            </w:tcBorders>
            <w:vAlign w:val="center"/>
          </w:tcPr>
          <w:p w14:paraId="32A27BB6"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pali</w:t>
            </w:r>
          </w:p>
        </w:tc>
        <w:tc>
          <w:tcPr>
            <w:tcW w:w="0" w:type="auto"/>
            <w:tcBorders>
              <w:top w:val="single" w:sz="4" w:space="0" w:color="000000"/>
              <w:left w:val="single" w:sz="4" w:space="0" w:color="000000"/>
              <w:bottom w:val="single" w:sz="4" w:space="0" w:color="000000"/>
              <w:right w:val="single" w:sz="12" w:space="0" w:color="000000"/>
            </w:tcBorders>
            <w:vAlign w:val="center"/>
          </w:tcPr>
          <w:p w14:paraId="1E70CC69"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jA</w:t>
            </w:r>
          </w:p>
        </w:tc>
        <w:tc>
          <w:tcPr>
            <w:tcW w:w="0" w:type="auto"/>
            <w:tcBorders>
              <w:top w:val="single" w:sz="4" w:space="0" w:color="000000"/>
              <w:left w:val="single" w:sz="12" w:space="0" w:color="000000"/>
              <w:bottom w:val="single" w:sz="4" w:space="0" w:color="000000"/>
              <w:right w:val="single" w:sz="4" w:space="0" w:color="000000"/>
            </w:tcBorders>
            <w:vAlign w:val="center"/>
          </w:tcPr>
          <w:p w14:paraId="685EA312" w14:textId="2AFA3B6D"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palit</w:t>
            </w:r>
            <w:r w:rsidR="00EF0FBC" w:rsidRPr="00FB4EFA">
              <w:rPr>
                <w:i/>
                <w:iCs/>
                <w:sz w:val="18"/>
                <w:szCs w:val="18"/>
                <w:lang w:val="fi-FI"/>
              </w:rPr>
              <w:t>’</w:t>
            </w:r>
          </w:p>
        </w:tc>
        <w:tc>
          <w:tcPr>
            <w:tcW w:w="0" w:type="auto"/>
            <w:tcBorders>
              <w:top w:val="single" w:sz="4" w:space="0" w:color="000000"/>
              <w:left w:val="single" w:sz="4" w:space="0" w:color="000000"/>
              <w:bottom w:val="single" w:sz="4" w:space="0" w:color="000000"/>
              <w:right w:val="single" w:sz="12" w:space="0" w:color="000000"/>
            </w:tcBorders>
            <w:vAlign w:val="center"/>
          </w:tcPr>
          <w:p w14:paraId="11A2DBF5"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jAt</w:t>
            </w:r>
          </w:p>
        </w:tc>
        <w:tc>
          <w:tcPr>
            <w:tcW w:w="0" w:type="auto"/>
            <w:tcBorders>
              <w:top w:val="single" w:sz="4" w:space="0" w:color="000000"/>
              <w:left w:val="single" w:sz="12" w:space="0" w:color="000000"/>
              <w:bottom w:val="single" w:sz="4" w:space="0" w:color="000000"/>
            </w:tcBorders>
            <w:vAlign w:val="center"/>
          </w:tcPr>
          <w:p w14:paraId="2FDD077E" w14:textId="77777777" w:rsidR="0076526E" w:rsidRPr="00FB4EFA" w:rsidRDefault="0076526E" w:rsidP="00402EF4">
            <w:pPr>
              <w:keepNext/>
              <w:widowControl w:val="0"/>
              <w:jc w:val="left"/>
              <w:rPr>
                <w:sz w:val="18"/>
                <w:szCs w:val="18"/>
                <w:lang w:val="fi-FI"/>
              </w:rPr>
            </w:pPr>
          </w:p>
        </w:tc>
      </w:tr>
      <w:tr w:rsidR="00FB4EFA" w:rsidRPr="00FB4EFA" w14:paraId="67224F0C" w14:textId="77777777" w:rsidTr="0076526E">
        <w:tc>
          <w:tcPr>
            <w:tcW w:w="0" w:type="auto"/>
            <w:tcBorders>
              <w:top w:val="single" w:sz="4" w:space="0" w:color="000000"/>
              <w:bottom w:val="single" w:sz="4" w:space="0" w:color="000000"/>
              <w:right w:val="single" w:sz="12" w:space="0" w:color="000000"/>
            </w:tcBorders>
            <w:vAlign w:val="center"/>
          </w:tcPr>
          <w:p w14:paraId="25B89701"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mari</w:t>
            </w:r>
          </w:p>
        </w:tc>
        <w:tc>
          <w:tcPr>
            <w:tcW w:w="0" w:type="auto"/>
            <w:tcBorders>
              <w:top w:val="single" w:sz="4" w:space="0" w:color="000000"/>
              <w:left w:val="single" w:sz="12" w:space="0" w:color="000000"/>
              <w:bottom w:val="single" w:sz="4" w:space="0" w:color="000000"/>
              <w:right w:val="single" w:sz="4" w:space="0" w:color="000000"/>
            </w:tcBorders>
            <w:vAlign w:val="center"/>
          </w:tcPr>
          <w:p w14:paraId="3585C8EC"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toleš</w:t>
            </w:r>
          </w:p>
        </w:tc>
        <w:tc>
          <w:tcPr>
            <w:tcW w:w="0" w:type="auto"/>
            <w:tcBorders>
              <w:top w:val="single" w:sz="4" w:space="0" w:color="000000"/>
              <w:left w:val="single" w:sz="4" w:space="0" w:color="000000"/>
              <w:bottom w:val="single" w:sz="4" w:space="0" w:color="000000"/>
              <w:right w:val="single" w:sz="12" w:space="0" w:color="000000"/>
            </w:tcBorders>
            <w:vAlign w:val="center"/>
          </w:tcPr>
          <w:p w14:paraId="6879CB1E" w14:textId="5E6BCBCC"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00EF0FBC" w:rsidRPr="00FB4EFA">
              <w:rPr>
                <w:i/>
                <w:iCs/>
                <w:sz w:val="18"/>
                <w:szCs w:val="18"/>
                <w:lang w:val="fi-FI"/>
              </w:rPr>
              <w:t>ś</w:t>
            </w:r>
            <w:r w:rsidRPr="00FB4EFA">
              <w:rPr>
                <w:i/>
                <w:iCs/>
                <w:sz w:val="18"/>
                <w:szCs w:val="18"/>
                <w:lang w:val="fi-FI"/>
              </w:rPr>
              <w:t>A</w:t>
            </w:r>
          </w:p>
        </w:tc>
        <w:tc>
          <w:tcPr>
            <w:tcW w:w="0" w:type="auto"/>
            <w:tcBorders>
              <w:top w:val="single" w:sz="4" w:space="0" w:color="000000"/>
              <w:left w:val="single" w:sz="12" w:space="0" w:color="000000"/>
              <w:bottom w:val="single" w:sz="4" w:space="0" w:color="000000"/>
              <w:right w:val="single" w:sz="4" w:space="0" w:color="000000"/>
            </w:tcBorders>
            <w:vAlign w:val="center"/>
          </w:tcPr>
          <w:p w14:paraId="23721F62"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tol</w:t>
            </w:r>
            <w:r w:rsidRPr="00FB4EFA">
              <w:rPr>
                <w:rFonts w:cs="Times New Roman"/>
                <w:i/>
                <w:iCs/>
                <w:sz w:val="18"/>
                <w:szCs w:val="18"/>
                <w:lang w:val="fi-FI"/>
              </w:rPr>
              <w:t>ə̑</w:t>
            </w:r>
            <w:r w:rsidRPr="00FB4EFA">
              <w:rPr>
                <w:i/>
                <w:iCs/>
                <w:sz w:val="18"/>
                <w:szCs w:val="18"/>
                <w:lang w:val="fi-FI"/>
              </w:rPr>
              <w:t>t</w:t>
            </w:r>
          </w:p>
        </w:tc>
        <w:tc>
          <w:tcPr>
            <w:tcW w:w="0" w:type="auto"/>
            <w:tcBorders>
              <w:top w:val="single" w:sz="4" w:space="0" w:color="000000"/>
              <w:left w:val="single" w:sz="4" w:space="0" w:color="000000"/>
              <w:bottom w:val="single" w:sz="4" w:space="0" w:color="000000"/>
              <w:right w:val="single" w:sz="12" w:space="0" w:color="000000"/>
            </w:tcBorders>
            <w:vAlign w:val="center"/>
          </w:tcPr>
          <w:p w14:paraId="6C2AB223"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t</w:t>
            </w:r>
          </w:p>
        </w:tc>
        <w:tc>
          <w:tcPr>
            <w:tcW w:w="0" w:type="auto"/>
            <w:tcBorders>
              <w:top w:val="single" w:sz="4" w:space="0" w:color="000000"/>
              <w:left w:val="single" w:sz="12" w:space="0" w:color="000000"/>
              <w:bottom w:val="single" w:sz="4" w:space="0" w:color="000000"/>
            </w:tcBorders>
            <w:vAlign w:val="center"/>
          </w:tcPr>
          <w:p w14:paraId="3D00EA1E" w14:textId="77777777" w:rsidR="0076526E" w:rsidRPr="00FB4EFA" w:rsidRDefault="0076526E" w:rsidP="00402EF4">
            <w:pPr>
              <w:keepNext/>
              <w:widowControl w:val="0"/>
              <w:jc w:val="left"/>
              <w:rPr>
                <w:sz w:val="18"/>
                <w:szCs w:val="18"/>
                <w:lang w:val="fi-FI"/>
              </w:rPr>
            </w:pPr>
          </w:p>
        </w:tc>
      </w:tr>
      <w:tr w:rsidR="00FB4EFA" w:rsidRPr="00FB4EFA" w14:paraId="4FB491E8" w14:textId="77777777" w:rsidTr="0076526E">
        <w:tc>
          <w:tcPr>
            <w:tcW w:w="0" w:type="auto"/>
            <w:tcBorders>
              <w:top w:val="single" w:sz="4" w:space="0" w:color="000000"/>
              <w:bottom w:val="single" w:sz="4" w:space="0" w:color="000000"/>
              <w:right w:val="single" w:sz="12" w:space="0" w:color="000000"/>
            </w:tcBorders>
            <w:vAlign w:val="center"/>
          </w:tcPr>
          <w:p w14:paraId="2A3F6A82"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udm. (fut.)</w:t>
            </w:r>
          </w:p>
        </w:tc>
        <w:tc>
          <w:tcPr>
            <w:tcW w:w="0" w:type="auto"/>
            <w:tcBorders>
              <w:top w:val="single" w:sz="4" w:space="0" w:color="000000"/>
              <w:left w:val="single" w:sz="12" w:space="0" w:color="000000"/>
              <w:bottom w:val="single" w:sz="4" w:space="0" w:color="000000"/>
              <w:right w:val="single" w:sz="4" w:space="0" w:color="000000"/>
            </w:tcBorders>
            <w:vAlign w:val="center"/>
          </w:tcPr>
          <w:p w14:paraId="5DE5CD53"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mi</w:t>
            </w:r>
            <w:r w:rsidRPr="00FB4EFA">
              <w:rPr>
                <w:rFonts w:ascii="Times New Roman" w:hAnsi="Times New Roman" w:cs="Times New Roman"/>
                <w:i/>
                <w:iCs/>
                <w:sz w:val="18"/>
                <w:szCs w:val="18"/>
                <w:lang w:val="fi-FI"/>
              </w:rPr>
              <w:t>̮</w:t>
            </w:r>
            <w:r w:rsidRPr="00FB4EFA">
              <w:rPr>
                <w:i/>
                <w:iCs/>
                <w:sz w:val="18"/>
                <w:szCs w:val="18"/>
                <w:lang w:val="fi-FI"/>
              </w:rPr>
              <w:t>noz</w:t>
            </w:r>
          </w:p>
        </w:tc>
        <w:tc>
          <w:tcPr>
            <w:tcW w:w="0" w:type="auto"/>
            <w:tcBorders>
              <w:top w:val="single" w:sz="4" w:space="0" w:color="000000"/>
              <w:left w:val="single" w:sz="4" w:space="0" w:color="000000"/>
              <w:bottom w:val="single" w:sz="4" w:space="0" w:color="000000"/>
              <w:right w:val="single" w:sz="12" w:space="0" w:color="000000"/>
            </w:tcBorders>
            <w:vAlign w:val="center"/>
          </w:tcPr>
          <w:p w14:paraId="5402C9A9"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sA</w:t>
            </w:r>
          </w:p>
        </w:tc>
        <w:tc>
          <w:tcPr>
            <w:tcW w:w="0" w:type="auto"/>
            <w:tcBorders>
              <w:top w:val="single" w:sz="4" w:space="0" w:color="000000"/>
              <w:left w:val="single" w:sz="12" w:space="0" w:color="000000"/>
              <w:bottom w:val="single" w:sz="4" w:space="0" w:color="000000"/>
              <w:right w:val="single" w:sz="4" w:space="0" w:color="000000"/>
            </w:tcBorders>
            <w:vAlign w:val="center"/>
          </w:tcPr>
          <w:p w14:paraId="09FF3070"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mi</w:t>
            </w:r>
            <w:r w:rsidRPr="00FB4EFA">
              <w:rPr>
                <w:rFonts w:ascii="Times New Roman" w:hAnsi="Times New Roman" w:cs="Times New Roman"/>
                <w:i/>
                <w:iCs/>
                <w:sz w:val="18"/>
                <w:szCs w:val="18"/>
                <w:lang w:val="fi-FI"/>
              </w:rPr>
              <w:t>̮</w:t>
            </w:r>
            <w:r w:rsidRPr="00FB4EFA">
              <w:rPr>
                <w:i/>
                <w:iCs/>
                <w:sz w:val="18"/>
                <w:szCs w:val="18"/>
                <w:lang w:val="fi-FI"/>
              </w:rPr>
              <w:t>nozi</w:t>
            </w:r>
            <w:r w:rsidRPr="00FB4EFA">
              <w:rPr>
                <w:rFonts w:ascii="Times New Roman" w:hAnsi="Times New Roman" w:cs="Times New Roman"/>
                <w:i/>
                <w:iCs/>
                <w:sz w:val="18"/>
                <w:szCs w:val="18"/>
                <w:lang w:val="fi-FI"/>
              </w:rPr>
              <w:t>̮</w:t>
            </w:r>
          </w:p>
        </w:tc>
        <w:tc>
          <w:tcPr>
            <w:tcW w:w="0" w:type="auto"/>
            <w:tcBorders>
              <w:top w:val="single" w:sz="4" w:space="0" w:color="000000"/>
              <w:left w:val="single" w:sz="4" w:space="0" w:color="000000"/>
              <w:bottom w:val="single" w:sz="4" w:space="0" w:color="000000"/>
              <w:right w:val="single" w:sz="12" w:space="0" w:color="000000"/>
            </w:tcBorders>
            <w:vAlign w:val="center"/>
          </w:tcPr>
          <w:p w14:paraId="1DF1FC93"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sAk</w:t>
            </w:r>
          </w:p>
        </w:tc>
        <w:tc>
          <w:tcPr>
            <w:tcW w:w="0" w:type="auto"/>
            <w:tcBorders>
              <w:top w:val="single" w:sz="4" w:space="0" w:color="000000"/>
              <w:left w:val="single" w:sz="12" w:space="0" w:color="000000"/>
              <w:bottom w:val="single" w:sz="4" w:space="0" w:color="000000"/>
            </w:tcBorders>
            <w:vAlign w:val="center"/>
          </w:tcPr>
          <w:p w14:paraId="67735C9B" w14:textId="77777777" w:rsidR="0076526E" w:rsidRPr="00FB4EFA" w:rsidRDefault="0076526E" w:rsidP="00402EF4">
            <w:pPr>
              <w:keepNext/>
              <w:widowControl w:val="0"/>
              <w:jc w:val="left"/>
              <w:rPr>
                <w:sz w:val="18"/>
                <w:szCs w:val="18"/>
                <w:lang w:val="fi-FI"/>
              </w:rPr>
            </w:pPr>
          </w:p>
        </w:tc>
      </w:tr>
      <w:tr w:rsidR="00FB4EFA" w:rsidRPr="00FB4EFA" w14:paraId="3DCD8173" w14:textId="77777777" w:rsidTr="0076526E">
        <w:tc>
          <w:tcPr>
            <w:tcW w:w="0" w:type="auto"/>
            <w:tcBorders>
              <w:top w:val="single" w:sz="4" w:space="0" w:color="000000"/>
              <w:bottom w:val="single" w:sz="4" w:space="0" w:color="000000"/>
              <w:right w:val="single" w:sz="12" w:space="0" w:color="000000"/>
            </w:tcBorders>
            <w:vAlign w:val="center"/>
          </w:tcPr>
          <w:p w14:paraId="5D4E44D3"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udm. (pres.)</w:t>
            </w:r>
          </w:p>
        </w:tc>
        <w:tc>
          <w:tcPr>
            <w:tcW w:w="0" w:type="auto"/>
            <w:tcBorders>
              <w:top w:val="single" w:sz="4" w:space="0" w:color="000000"/>
              <w:left w:val="single" w:sz="12" w:space="0" w:color="000000"/>
              <w:bottom w:val="single" w:sz="4" w:space="0" w:color="000000"/>
              <w:right w:val="single" w:sz="4" w:space="0" w:color="000000"/>
            </w:tcBorders>
            <w:vAlign w:val="center"/>
          </w:tcPr>
          <w:p w14:paraId="1EB340CD"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mi</w:t>
            </w:r>
            <w:r w:rsidRPr="00FB4EFA">
              <w:rPr>
                <w:rFonts w:ascii="Times New Roman" w:hAnsi="Times New Roman" w:cs="Times New Roman"/>
                <w:i/>
                <w:iCs/>
                <w:sz w:val="18"/>
                <w:szCs w:val="18"/>
                <w:lang w:val="fi-FI"/>
              </w:rPr>
              <w:t>̮</w:t>
            </w:r>
            <w:r w:rsidRPr="00FB4EFA">
              <w:rPr>
                <w:i/>
                <w:iCs/>
                <w:sz w:val="18"/>
                <w:szCs w:val="18"/>
                <w:lang w:val="fi-FI"/>
              </w:rPr>
              <w:t>ne</w:t>
            </w:r>
          </w:p>
        </w:tc>
        <w:tc>
          <w:tcPr>
            <w:tcW w:w="0" w:type="auto"/>
            <w:tcBorders>
              <w:top w:val="single" w:sz="4" w:space="0" w:color="000000"/>
              <w:left w:val="single" w:sz="4" w:space="0" w:color="000000"/>
              <w:bottom w:val="single" w:sz="4" w:space="0" w:color="000000"/>
              <w:right w:val="single" w:sz="12" w:space="0" w:color="000000"/>
            </w:tcBorders>
            <w:vAlign w:val="center"/>
          </w:tcPr>
          <w:p w14:paraId="5DC9AC65"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k</w:t>
            </w:r>
          </w:p>
        </w:tc>
        <w:tc>
          <w:tcPr>
            <w:tcW w:w="0" w:type="auto"/>
            <w:tcBorders>
              <w:top w:val="single" w:sz="4" w:space="0" w:color="000000"/>
              <w:left w:val="single" w:sz="12" w:space="0" w:color="000000"/>
              <w:bottom w:val="single" w:sz="4" w:space="0" w:color="000000"/>
              <w:right w:val="single" w:sz="4" w:space="0" w:color="000000"/>
            </w:tcBorders>
            <w:vAlign w:val="center"/>
          </w:tcPr>
          <w:p w14:paraId="1CE79A2D"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mi</w:t>
            </w:r>
            <w:r w:rsidRPr="00FB4EFA">
              <w:rPr>
                <w:rFonts w:ascii="Times New Roman" w:hAnsi="Times New Roman" w:cs="Times New Roman"/>
                <w:i/>
                <w:iCs/>
                <w:sz w:val="18"/>
                <w:szCs w:val="18"/>
                <w:lang w:val="fi-FI"/>
              </w:rPr>
              <w:t>̮</w:t>
            </w:r>
            <w:r w:rsidRPr="00FB4EFA">
              <w:rPr>
                <w:i/>
                <w:iCs/>
                <w:sz w:val="18"/>
                <w:szCs w:val="18"/>
                <w:lang w:val="fi-FI"/>
              </w:rPr>
              <w:t>no</w:t>
            </w:r>
          </w:p>
        </w:tc>
        <w:tc>
          <w:tcPr>
            <w:tcW w:w="0" w:type="auto"/>
            <w:tcBorders>
              <w:top w:val="single" w:sz="4" w:space="0" w:color="000000"/>
              <w:left w:val="single" w:sz="4" w:space="0" w:color="000000"/>
              <w:bottom w:val="single" w:sz="4" w:space="0" w:color="000000"/>
              <w:right w:val="single" w:sz="12" w:space="0" w:color="000000"/>
            </w:tcBorders>
            <w:vAlign w:val="center"/>
          </w:tcPr>
          <w:p w14:paraId="7C127102" w14:textId="77777777" w:rsidR="0076526E" w:rsidRPr="00FB4EFA" w:rsidRDefault="0076526E" w:rsidP="00402EF4">
            <w:pPr>
              <w:keepNext/>
              <w:widowControl w:val="0"/>
              <w:jc w:val="left"/>
              <w:rPr>
                <w:sz w:val="18"/>
                <w:szCs w:val="18"/>
                <w:lang w:val="fi-FI"/>
              </w:rPr>
            </w:pPr>
            <w:r w:rsidRPr="00FB4EFA">
              <w:rPr>
                <w:sz w:val="18"/>
                <w:szCs w:val="18"/>
                <w:lang w:val="fi-FI"/>
              </w:rPr>
              <w:t>?</w:t>
            </w:r>
          </w:p>
        </w:tc>
        <w:tc>
          <w:tcPr>
            <w:tcW w:w="0" w:type="auto"/>
            <w:tcBorders>
              <w:top w:val="single" w:sz="4" w:space="0" w:color="000000"/>
              <w:left w:val="single" w:sz="12" w:space="0" w:color="000000"/>
              <w:bottom w:val="single" w:sz="4" w:space="0" w:color="000000"/>
            </w:tcBorders>
            <w:vAlign w:val="center"/>
          </w:tcPr>
          <w:p w14:paraId="6A865090" w14:textId="77777777" w:rsidR="0076526E" w:rsidRPr="00FB4EFA" w:rsidRDefault="0076526E" w:rsidP="00402EF4">
            <w:pPr>
              <w:keepNext/>
              <w:widowControl w:val="0"/>
              <w:jc w:val="left"/>
              <w:rPr>
                <w:sz w:val="18"/>
                <w:szCs w:val="18"/>
                <w:lang w:val="fi-FI"/>
              </w:rPr>
            </w:pPr>
          </w:p>
        </w:tc>
      </w:tr>
      <w:tr w:rsidR="00FB4EFA" w:rsidRPr="00FB4EFA" w14:paraId="7D31B21C" w14:textId="77777777" w:rsidTr="0076526E">
        <w:tc>
          <w:tcPr>
            <w:tcW w:w="0" w:type="auto"/>
            <w:tcBorders>
              <w:top w:val="single" w:sz="4" w:space="0" w:color="000000"/>
              <w:bottom w:val="single" w:sz="4" w:space="0" w:color="000000"/>
              <w:right w:val="single" w:sz="12" w:space="0" w:color="000000"/>
            </w:tcBorders>
            <w:vAlign w:val="center"/>
          </w:tcPr>
          <w:p w14:paraId="0FEBEA27"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komi (fut.)</w:t>
            </w:r>
          </w:p>
        </w:tc>
        <w:tc>
          <w:tcPr>
            <w:tcW w:w="0" w:type="auto"/>
            <w:tcBorders>
              <w:top w:val="single" w:sz="4" w:space="0" w:color="000000"/>
              <w:left w:val="single" w:sz="12" w:space="0" w:color="000000"/>
              <w:bottom w:val="single" w:sz="4" w:space="0" w:color="000000"/>
              <w:right w:val="single" w:sz="4" w:space="0" w:color="000000"/>
            </w:tcBorders>
            <w:vAlign w:val="center"/>
          </w:tcPr>
          <w:p w14:paraId="688297AF"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munas</w:t>
            </w:r>
          </w:p>
        </w:tc>
        <w:tc>
          <w:tcPr>
            <w:tcW w:w="0" w:type="auto"/>
            <w:tcBorders>
              <w:top w:val="single" w:sz="4" w:space="0" w:color="000000"/>
              <w:left w:val="single" w:sz="4" w:space="0" w:color="000000"/>
              <w:bottom w:val="single" w:sz="4" w:space="0" w:color="000000"/>
              <w:right w:val="single" w:sz="12" w:space="0" w:color="000000"/>
            </w:tcBorders>
            <w:vAlign w:val="center"/>
          </w:tcPr>
          <w:p w14:paraId="7501F348"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sA</w:t>
            </w:r>
          </w:p>
        </w:tc>
        <w:tc>
          <w:tcPr>
            <w:tcW w:w="0" w:type="auto"/>
            <w:tcBorders>
              <w:top w:val="single" w:sz="4" w:space="0" w:color="000000"/>
              <w:left w:val="single" w:sz="12" w:space="0" w:color="000000"/>
              <w:bottom w:val="single" w:sz="4" w:space="0" w:color="000000"/>
              <w:right w:val="single" w:sz="4" w:space="0" w:color="000000"/>
            </w:tcBorders>
            <w:vAlign w:val="center"/>
          </w:tcPr>
          <w:p w14:paraId="66DF01C5"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munasni</w:t>
            </w:r>
            <w:r w:rsidRPr="00FB4EFA">
              <w:rPr>
                <w:rFonts w:ascii="Times New Roman" w:hAnsi="Times New Roman" w:cs="Times New Roman"/>
                <w:i/>
                <w:iCs/>
                <w:sz w:val="18"/>
                <w:szCs w:val="18"/>
                <w:lang w:val="fi-FI"/>
              </w:rPr>
              <w:t>̮</w:t>
            </w:r>
          </w:p>
        </w:tc>
        <w:tc>
          <w:tcPr>
            <w:tcW w:w="0" w:type="auto"/>
            <w:tcBorders>
              <w:top w:val="single" w:sz="4" w:space="0" w:color="000000"/>
              <w:left w:val="single" w:sz="4" w:space="0" w:color="000000"/>
              <w:bottom w:val="single" w:sz="4" w:space="0" w:color="000000"/>
              <w:right w:val="single" w:sz="12" w:space="0" w:color="000000"/>
            </w:tcBorders>
            <w:vAlign w:val="center"/>
          </w:tcPr>
          <w:p w14:paraId="1453E312"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 px</w:t>
            </w:r>
          </w:p>
        </w:tc>
        <w:tc>
          <w:tcPr>
            <w:tcW w:w="0" w:type="auto"/>
            <w:tcBorders>
              <w:top w:val="single" w:sz="4" w:space="0" w:color="000000"/>
              <w:left w:val="single" w:sz="12" w:space="0" w:color="000000"/>
              <w:bottom w:val="single" w:sz="4" w:space="0" w:color="000000"/>
            </w:tcBorders>
            <w:vAlign w:val="center"/>
          </w:tcPr>
          <w:p w14:paraId="713AF0B8" w14:textId="77777777" w:rsidR="0076526E" w:rsidRPr="00FB4EFA" w:rsidRDefault="0076526E" w:rsidP="00402EF4">
            <w:pPr>
              <w:keepNext/>
              <w:widowControl w:val="0"/>
              <w:jc w:val="left"/>
              <w:rPr>
                <w:sz w:val="18"/>
                <w:szCs w:val="18"/>
                <w:lang w:val="fi-FI"/>
              </w:rPr>
            </w:pPr>
          </w:p>
        </w:tc>
      </w:tr>
      <w:tr w:rsidR="00FB4EFA" w:rsidRPr="00FB4EFA" w14:paraId="74A5DA50" w14:textId="77777777" w:rsidTr="0076526E">
        <w:tc>
          <w:tcPr>
            <w:tcW w:w="0" w:type="auto"/>
            <w:tcBorders>
              <w:top w:val="single" w:sz="4" w:space="0" w:color="000000"/>
              <w:bottom w:val="single" w:sz="4" w:space="0" w:color="000000"/>
              <w:right w:val="single" w:sz="12" w:space="0" w:color="000000"/>
            </w:tcBorders>
            <w:vAlign w:val="center"/>
          </w:tcPr>
          <w:p w14:paraId="768AD255"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komi (pres.)</w:t>
            </w:r>
          </w:p>
        </w:tc>
        <w:tc>
          <w:tcPr>
            <w:tcW w:w="0" w:type="auto"/>
            <w:tcBorders>
              <w:top w:val="single" w:sz="4" w:space="0" w:color="000000"/>
              <w:left w:val="single" w:sz="12" w:space="0" w:color="000000"/>
              <w:bottom w:val="single" w:sz="4" w:space="0" w:color="000000"/>
              <w:right w:val="single" w:sz="4" w:space="0" w:color="000000"/>
            </w:tcBorders>
            <w:vAlign w:val="center"/>
          </w:tcPr>
          <w:p w14:paraId="46B3F1F4"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mune</w:t>
            </w:r>
            <w:r w:rsidRPr="00FB4EFA">
              <w:rPr>
                <w:rFonts w:ascii="Times New Roman" w:hAnsi="Times New Roman" w:cs="Times New Roman"/>
                <w:i/>
                <w:iCs/>
                <w:sz w:val="18"/>
                <w:szCs w:val="18"/>
                <w:lang w:val="fi-FI"/>
              </w:rPr>
              <w:t>̮</w:t>
            </w:r>
          </w:p>
        </w:tc>
        <w:tc>
          <w:tcPr>
            <w:tcW w:w="0" w:type="auto"/>
            <w:tcBorders>
              <w:top w:val="single" w:sz="4" w:space="0" w:color="000000"/>
              <w:left w:val="single" w:sz="4" w:space="0" w:color="000000"/>
              <w:bottom w:val="single" w:sz="4" w:space="0" w:color="000000"/>
              <w:right w:val="single" w:sz="12" w:space="0" w:color="000000"/>
            </w:tcBorders>
            <w:vAlign w:val="center"/>
          </w:tcPr>
          <w:p w14:paraId="0055E6DA"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i/>
                <w:iCs/>
                <w:sz w:val="18"/>
                <w:szCs w:val="18"/>
                <w:lang w:val="fi-FI"/>
              </w:rPr>
              <w:t>k</w:t>
            </w:r>
          </w:p>
        </w:tc>
        <w:tc>
          <w:tcPr>
            <w:tcW w:w="0" w:type="auto"/>
            <w:tcBorders>
              <w:top w:val="single" w:sz="4" w:space="0" w:color="000000"/>
              <w:left w:val="single" w:sz="12" w:space="0" w:color="000000"/>
              <w:bottom w:val="single" w:sz="4" w:space="0" w:color="000000"/>
              <w:right w:val="single" w:sz="4" w:space="0" w:color="000000"/>
            </w:tcBorders>
            <w:vAlign w:val="center"/>
          </w:tcPr>
          <w:p w14:paraId="7A85D810"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mune</w:t>
            </w:r>
            <w:r w:rsidRPr="00FB4EFA">
              <w:rPr>
                <w:rFonts w:ascii="Times New Roman" w:hAnsi="Times New Roman" w:cs="Times New Roman"/>
                <w:i/>
                <w:iCs/>
                <w:sz w:val="18"/>
                <w:szCs w:val="18"/>
                <w:lang w:val="fi-FI"/>
              </w:rPr>
              <w:t>̮</w:t>
            </w:r>
            <w:r w:rsidRPr="00FB4EFA">
              <w:rPr>
                <w:i/>
                <w:iCs/>
                <w:sz w:val="18"/>
                <w:szCs w:val="18"/>
                <w:lang w:val="fi-FI"/>
              </w:rPr>
              <w:t>ni</w:t>
            </w:r>
            <w:r w:rsidRPr="00FB4EFA">
              <w:rPr>
                <w:rFonts w:ascii="Times New Roman" w:hAnsi="Times New Roman" w:cs="Times New Roman"/>
                <w:i/>
                <w:iCs/>
                <w:sz w:val="18"/>
                <w:szCs w:val="18"/>
                <w:lang w:val="fi-FI"/>
              </w:rPr>
              <w:t>̮</w:t>
            </w:r>
          </w:p>
        </w:tc>
        <w:tc>
          <w:tcPr>
            <w:tcW w:w="0" w:type="auto"/>
            <w:tcBorders>
              <w:top w:val="single" w:sz="4" w:space="0" w:color="000000"/>
              <w:left w:val="single" w:sz="4" w:space="0" w:color="000000"/>
              <w:bottom w:val="single" w:sz="4" w:space="0" w:color="000000"/>
              <w:right w:val="single" w:sz="12" w:space="0" w:color="000000"/>
            </w:tcBorders>
            <w:vAlign w:val="center"/>
          </w:tcPr>
          <w:p w14:paraId="7BBED7B8"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 px</w:t>
            </w:r>
          </w:p>
        </w:tc>
        <w:tc>
          <w:tcPr>
            <w:tcW w:w="0" w:type="auto"/>
            <w:tcBorders>
              <w:top w:val="single" w:sz="4" w:space="0" w:color="000000"/>
              <w:left w:val="single" w:sz="12" w:space="0" w:color="000000"/>
              <w:bottom w:val="single" w:sz="4" w:space="0" w:color="000000"/>
            </w:tcBorders>
            <w:vAlign w:val="center"/>
          </w:tcPr>
          <w:p w14:paraId="6366AA73" w14:textId="77777777" w:rsidR="0076526E" w:rsidRPr="00FB4EFA" w:rsidRDefault="0076526E" w:rsidP="00402EF4">
            <w:pPr>
              <w:keepNext/>
              <w:widowControl w:val="0"/>
              <w:jc w:val="left"/>
              <w:rPr>
                <w:sz w:val="18"/>
                <w:szCs w:val="18"/>
                <w:lang w:val="fi-FI"/>
              </w:rPr>
            </w:pPr>
          </w:p>
        </w:tc>
      </w:tr>
      <w:tr w:rsidR="00FB4EFA" w:rsidRPr="00FB4EFA" w14:paraId="55157669" w14:textId="77777777" w:rsidTr="0076526E">
        <w:tc>
          <w:tcPr>
            <w:tcW w:w="0" w:type="auto"/>
            <w:tcBorders>
              <w:top w:val="single" w:sz="4" w:space="0" w:color="000000"/>
              <w:bottom w:val="single" w:sz="4" w:space="0" w:color="000000"/>
              <w:right w:val="single" w:sz="12" w:space="0" w:color="000000"/>
            </w:tcBorders>
            <w:vAlign w:val="center"/>
          </w:tcPr>
          <w:p w14:paraId="19B5156B"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mansi</w:t>
            </w:r>
          </w:p>
        </w:tc>
        <w:tc>
          <w:tcPr>
            <w:tcW w:w="0" w:type="auto"/>
            <w:tcBorders>
              <w:top w:val="single" w:sz="4" w:space="0" w:color="000000"/>
              <w:left w:val="single" w:sz="12" w:space="0" w:color="000000"/>
              <w:bottom w:val="single" w:sz="4" w:space="0" w:color="000000"/>
              <w:right w:val="single" w:sz="4" w:space="0" w:color="000000"/>
            </w:tcBorders>
            <w:vAlign w:val="center"/>
          </w:tcPr>
          <w:p w14:paraId="53036224"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mini</w:t>
            </w:r>
          </w:p>
        </w:tc>
        <w:tc>
          <w:tcPr>
            <w:tcW w:w="0" w:type="auto"/>
            <w:tcBorders>
              <w:top w:val="single" w:sz="4" w:space="0" w:color="000000"/>
              <w:left w:val="single" w:sz="4" w:space="0" w:color="000000"/>
              <w:bottom w:val="single" w:sz="4" w:space="0" w:color="000000"/>
              <w:right w:val="single" w:sz="12" w:space="0" w:color="000000"/>
            </w:tcBorders>
            <w:vAlign w:val="center"/>
          </w:tcPr>
          <w:p w14:paraId="43D8E8BA"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i/>
                <w:iCs/>
                <w:sz w:val="18"/>
                <w:szCs w:val="18"/>
                <w:lang w:val="fi-FI"/>
              </w:rPr>
              <w:t>jA</w:t>
            </w:r>
            <w:r w:rsidRPr="00FB4EFA">
              <w:rPr>
                <w:sz w:val="18"/>
                <w:szCs w:val="18"/>
                <w:lang w:val="fi-FI"/>
              </w:rPr>
              <w:t>, ?*-</w:t>
            </w:r>
            <w:r w:rsidRPr="00FB4EFA">
              <w:rPr>
                <w:i/>
                <w:iCs/>
                <w:sz w:val="18"/>
                <w:szCs w:val="18"/>
                <w:lang w:val="fi-FI"/>
              </w:rPr>
              <w:t>k</w:t>
            </w:r>
          </w:p>
        </w:tc>
        <w:tc>
          <w:tcPr>
            <w:tcW w:w="0" w:type="auto"/>
            <w:tcBorders>
              <w:top w:val="single" w:sz="4" w:space="0" w:color="000000"/>
              <w:left w:val="single" w:sz="12" w:space="0" w:color="000000"/>
              <w:bottom w:val="single" w:sz="4" w:space="0" w:color="000000"/>
              <w:right w:val="single" w:sz="4" w:space="0" w:color="000000"/>
            </w:tcBorders>
            <w:vAlign w:val="center"/>
          </w:tcPr>
          <w:p w14:paraId="736505C1"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mine</w:t>
            </w:r>
            <w:r w:rsidRPr="00FB4EFA">
              <w:rPr>
                <w:rFonts w:cs="Cambria"/>
                <w:i/>
                <w:iCs/>
                <w:sz w:val="18"/>
                <w:szCs w:val="18"/>
                <w:lang w:val="fi-FI"/>
              </w:rPr>
              <w:t>γ</w:t>
            </w:r>
            <w:r w:rsidRPr="00FB4EFA">
              <w:rPr>
                <w:rFonts w:cs="Times New Roman"/>
                <w:i/>
                <w:iCs/>
                <w:sz w:val="18"/>
                <w:szCs w:val="18"/>
                <w:lang w:val="fi-FI"/>
              </w:rPr>
              <w:t>ə</w:t>
            </w:r>
            <w:r w:rsidRPr="00FB4EFA">
              <w:rPr>
                <w:i/>
                <w:iCs/>
                <w:sz w:val="18"/>
                <w:szCs w:val="18"/>
                <w:lang w:val="fi-FI"/>
              </w:rPr>
              <w:t>t</w:t>
            </w:r>
          </w:p>
        </w:tc>
        <w:tc>
          <w:tcPr>
            <w:tcW w:w="0" w:type="auto"/>
            <w:tcBorders>
              <w:top w:val="single" w:sz="4" w:space="0" w:color="000000"/>
              <w:left w:val="single" w:sz="4" w:space="0" w:color="000000"/>
              <w:bottom w:val="single" w:sz="4" w:space="0" w:color="000000"/>
              <w:right w:val="single" w:sz="12" w:space="0" w:color="000000"/>
            </w:tcBorders>
            <w:vAlign w:val="center"/>
          </w:tcPr>
          <w:p w14:paraId="059AA352"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t</w:t>
            </w:r>
          </w:p>
        </w:tc>
        <w:tc>
          <w:tcPr>
            <w:tcW w:w="0" w:type="auto"/>
            <w:tcBorders>
              <w:top w:val="single" w:sz="4" w:space="0" w:color="000000"/>
              <w:left w:val="single" w:sz="12" w:space="0" w:color="000000"/>
              <w:bottom w:val="single" w:sz="4" w:space="0" w:color="000000"/>
            </w:tcBorders>
            <w:vAlign w:val="center"/>
          </w:tcPr>
          <w:p w14:paraId="18782AFA"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i/>
                <w:iCs/>
                <w:sz w:val="18"/>
                <w:szCs w:val="18"/>
                <w:lang w:val="fi-FI"/>
              </w:rPr>
              <w:t>e</w:t>
            </w:r>
            <w:r w:rsidRPr="00FB4EFA">
              <w:rPr>
                <w:rFonts w:cs="Cambria"/>
                <w:i/>
                <w:iCs/>
                <w:sz w:val="18"/>
                <w:szCs w:val="18"/>
                <w:lang w:val="fi-FI"/>
              </w:rPr>
              <w:t>γ</w:t>
            </w:r>
            <w:r w:rsidRPr="00FB4EFA">
              <w:rPr>
                <w:sz w:val="18"/>
                <w:szCs w:val="18"/>
                <w:lang w:val="fi-FI"/>
              </w:rPr>
              <w:t xml:space="preserve"> &lt; *-</w:t>
            </w:r>
            <w:r w:rsidRPr="00FB4EFA">
              <w:rPr>
                <w:i/>
                <w:iCs/>
                <w:sz w:val="18"/>
                <w:szCs w:val="18"/>
                <w:lang w:val="fi-FI"/>
              </w:rPr>
              <w:t>kV</w:t>
            </w:r>
          </w:p>
        </w:tc>
      </w:tr>
      <w:tr w:rsidR="00FB4EFA" w:rsidRPr="00FB4EFA" w14:paraId="5861B442" w14:textId="77777777" w:rsidTr="0076526E">
        <w:tc>
          <w:tcPr>
            <w:tcW w:w="0" w:type="auto"/>
            <w:tcBorders>
              <w:top w:val="single" w:sz="4" w:space="0" w:color="000000"/>
              <w:bottom w:val="single" w:sz="4" w:space="0" w:color="000000"/>
              <w:right w:val="single" w:sz="12" w:space="0" w:color="000000"/>
            </w:tcBorders>
            <w:vAlign w:val="center"/>
          </w:tcPr>
          <w:p w14:paraId="336C7FD3"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hanti</w:t>
            </w:r>
          </w:p>
        </w:tc>
        <w:tc>
          <w:tcPr>
            <w:tcW w:w="0" w:type="auto"/>
            <w:tcBorders>
              <w:top w:val="single" w:sz="4" w:space="0" w:color="000000"/>
              <w:left w:val="single" w:sz="12" w:space="0" w:color="000000"/>
              <w:bottom w:val="single" w:sz="4" w:space="0" w:color="000000"/>
              <w:right w:val="single" w:sz="4" w:space="0" w:color="000000"/>
            </w:tcBorders>
            <w:vAlign w:val="center"/>
          </w:tcPr>
          <w:p w14:paraId="647087C9"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ma</w:t>
            </w:r>
            <w:r w:rsidRPr="00FB4EFA">
              <w:rPr>
                <w:rFonts w:ascii="Times New Roman" w:hAnsi="Times New Roman" w:cs="Times New Roman"/>
                <w:i/>
                <w:iCs/>
                <w:sz w:val="18"/>
                <w:szCs w:val="18"/>
                <w:lang w:val="fi-FI"/>
              </w:rPr>
              <w:t>̆</w:t>
            </w:r>
            <w:r w:rsidRPr="00FB4EFA">
              <w:rPr>
                <w:i/>
                <w:iCs/>
                <w:sz w:val="18"/>
                <w:szCs w:val="18"/>
                <w:lang w:val="fi-FI"/>
              </w:rPr>
              <w:t>n</w:t>
            </w:r>
            <w:r w:rsidRPr="00FB4EFA">
              <w:rPr>
                <w:rFonts w:cs="Times New Roman"/>
                <w:i/>
                <w:iCs/>
                <w:sz w:val="18"/>
                <w:szCs w:val="18"/>
                <w:lang w:val="fi-FI"/>
              </w:rPr>
              <w:t>ə</w:t>
            </w:r>
            <w:r w:rsidRPr="00FB4EFA">
              <w:rPr>
                <w:rFonts w:cs="Cambria"/>
                <w:i/>
                <w:iCs/>
                <w:sz w:val="18"/>
                <w:szCs w:val="18"/>
                <w:lang w:val="fi-FI"/>
              </w:rPr>
              <w:t>л</w:t>
            </w:r>
          </w:p>
        </w:tc>
        <w:tc>
          <w:tcPr>
            <w:tcW w:w="0" w:type="auto"/>
            <w:tcBorders>
              <w:top w:val="single" w:sz="4" w:space="0" w:color="000000"/>
              <w:left w:val="single" w:sz="4" w:space="0" w:color="000000"/>
              <w:bottom w:val="single" w:sz="4" w:space="0" w:color="000000"/>
              <w:right w:val="single" w:sz="12" w:space="0" w:color="000000"/>
            </w:tcBorders>
            <w:vAlign w:val="center"/>
          </w:tcPr>
          <w:p w14:paraId="4C160475" w14:textId="77777777" w:rsidR="0076526E" w:rsidRPr="00FB4EFA" w:rsidRDefault="0076526E" w:rsidP="00402EF4">
            <w:pPr>
              <w:keepNext/>
              <w:widowControl w:val="0"/>
              <w:jc w:val="left"/>
              <w:rPr>
                <w:sz w:val="18"/>
                <w:szCs w:val="18"/>
                <w:lang w:val="fi-FI"/>
              </w:rPr>
            </w:pPr>
            <w:r w:rsidRPr="00FB4EFA">
              <w:rPr>
                <w:sz w:val="18"/>
                <w:szCs w:val="18"/>
                <w:lang w:val="fi-FI"/>
              </w:rPr>
              <w:t>Ø</w:t>
            </w:r>
          </w:p>
        </w:tc>
        <w:tc>
          <w:tcPr>
            <w:tcW w:w="0" w:type="auto"/>
            <w:tcBorders>
              <w:top w:val="single" w:sz="4" w:space="0" w:color="000000"/>
              <w:left w:val="single" w:sz="12" w:space="0" w:color="000000"/>
              <w:bottom w:val="single" w:sz="4" w:space="0" w:color="000000"/>
              <w:right w:val="single" w:sz="4" w:space="0" w:color="000000"/>
            </w:tcBorders>
            <w:vAlign w:val="center"/>
          </w:tcPr>
          <w:p w14:paraId="03B5DF90"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ma</w:t>
            </w:r>
            <w:r w:rsidRPr="00FB4EFA">
              <w:rPr>
                <w:rFonts w:ascii="Times New Roman" w:hAnsi="Times New Roman" w:cs="Times New Roman"/>
                <w:i/>
                <w:iCs/>
                <w:sz w:val="18"/>
                <w:szCs w:val="18"/>
                <w:lang w:val="fi-FI"/>
              </w:rPr>
              <w:t>̆</w:t>
            </w:r>
            <w:r w:rsidRPr="00FB4EFA">
              <w:rPr>
                <w:i/>
                <w:iCs/>
                <w:sz w:val="18"/>
                <w:szCs w:val="18"/>
                <w:lang w:val="fi-FI"/>
              </w:rPr>
              <w:t>n</w:t>
            </w:r>
            <w:r w:rsidRPr="00FB4EFA">
              <w:rPr>
                <w:rFonts w:cs="Cambria"/>
                <w:i/>
                <w:iCs/>
                <w:sz w:val="18"/>
                <w:szCs w:val="18"/>
                <w:lang w:val="fi-FI"/>
              </w:rPr>
              <w:t>л</w:t>
            </w:r>
            <w:r w:rsidRPr="00FB4EFA">
              <w:rPr>
                <w:rFonts w:cs="Times New Roman"/>
                <w:i/>
                <w:iCs/>
                <w:sz w:val="18"/>
                <w:szCs w:val="18"/>
                <w:lang w:val="fi-FI"/>
              </w:rPr>
              <w:t>ə</w:t>
            </w:r>
            <w:r w:rsidRPr="00FB4EFA">
              <w:rPr>
                <w:i/>
                <w:iCs/>
                <w:sz w:val="18"/>
                <w:szCs w:val="18"/>
                <w:lang w:val="fi-FI"/>
              </w:rPr>
              <w:t>t</w:t>
            </w:r>
          </w:p>
        </w:tc>
        <w:tc>
          <w:tcPr>
            <w:tcW w:w="0" w:type="auto"/>
            <w:tcBorders>
              <w:top w:val="single" w:sz="4" w:space="0" w:color="000000"/>
              <w:left w:val="single" w:sz="4" w:space="0" w:color="000000"/>
              <w:bottom w:val="single" w:sz="4" w:space="0" w:color="000000"/>
              <w:right w:val="single" w:sz="12" w:space="0" w:color="000000"/>
            </w:tcBorders>
            <w:vAlign w:val="center"/>
          </w:tcPr>
          <w:p w14:paraId="734E4FBB"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t</w:t>
            </w:r>
          </w:p>
        </w:tc>
        <w:tc>
          <w:tcPr>
            <w:tcW w:w="0" w:type="auto"/>
            <w:tcBorders>
              <w:top w:val="single" w:sz="4" w:space="0" w:color="000000"/>
              <w:left w:val="single" w:sz="12" w:space="0" w:color="000000"/>
              <w:bottom w:val="single" w:sz="4" w:space="0" w:color="000000"/>
            </w:tcBorders>
            <w:vAlign w:val="center"/>
          </w:tcPr>
          <w:p w14:paraId="1E55B086"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rFonts w:cs="Times New Roman"/>
                <w:i/>
                <w:iCs/>
                <w:sz w:val="18"/>
                <w:szCs w:val="18"/>
                <w:lang w:val="fi-FI"/>
              </w:rPr>
              <w:t>γə</w:t>
            </w:r>
            <w:r w:rsidRPr="00FB4EFA">
              <w:rPr>
                <w:i/>
                <w:iCs/>
                <w:sz w:val="18"/>
                <w:szCs w:val="18"/>
                <w:lang w:val="fi-FI"/>
              </w:rPr>
              <w:t>n</w:t>
            </w:r>
            <w:r w:rsidRPr="00FB4EFA">
              <w:rPr>
                <w:sz w:val="18"/>
                <w:szCs w:val="18"/>
                <w:lang w:val="fi-FI"/>
              </w:rPr>
              <w:t xml:space="preserve"> &lt; *-</w:t>
            </w:r>
            <w:r w:rsidRPr="00FB4EFA">
              <w:rPr>
                <w:i/>
                <w:iCs/>
                <w:sz w:val="18"/>
                <w:szCs w:val="18"/>
                <w:lang w:val="fi-FI"/>
              </w:rPr>
              <w:t>kVn</w:t>
            </w:r>
          </w:p>
        </w:tc>
      </w:tr>
      <w:tr w:rsidR="00FB4EFA" w:rsidRPr="00FB4EFA" w14:paraId="7E9980AF" w14:textId="77777777" w:rsidTr="0076526E">
        <w:tc>
          <w:tcPr>
            <w:tcW w:w="0" w:type="auto"/>
            <w:tcBorders>
              <w:top w:val="single" w:sz="4" w:space="0" w:color="000000"/>
              <w:bottom w:val="single" w:sz="4" w:space="0" w:color="000000"/>
              <w:right w:val="single" w:sz="12" w:space="0" w:color="000000"/>
            </w:tcBorders>
            <w:vAlign w:val="center"/>
          </w:tcPr>
          <w:p w14:paraId="374D2EEE"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unkari</w:t>
            </w:r>
          </w:p>
        </w:tc>
        <w:tc>
          <w:tcPr>
            <w:tcW w:w="0" w:type="auto"/>
            <w:tcBorders>
              <w:top w:val="single" w:sz="4" w:space="0" w:color="000000"/>
              <w:left w:val="single" w:sz="12" w:space="0" w:color="000000"/>
              <w:bottom w:val="single" w:sz="4" w:space="0" w:color="000000"/>
              <w:right w:val="single" w:sz="4" w:space="0" w:color="000000"/>
            </w:tcBorders>
            <w:vAlign w:val="center"/>
          </w:tcPr>
          <w:p w14:paraId="270E29F8"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megy(en)</w:t>
            </w:r>
          </w:p>
        </w:tc>
        <w:tc>
          <w:tcPr>
            <w:tcW w:w="0" w:type="auto"/>
            <w:tcBorders>
              <w:top w:val="single" w:sz="4" w:space="0" w:color="000000"/>
              <w:left w:val="single" w:sz="4" w:space="0" w:color="000000"/>
              <w:bottom w:val="single" w:sz="4" w:space="0" w:color="000000"/>
              <w:right w:val="single" w:sz="12" w:space="0" w:color="000000"/>
            </w:tcBorders>
            <w:vAlign w:val="center"/>
          </w:tcPr>
          <w:p w14:paraId="656CC9D6" w14:textId="36F0B178" w:rsidR="0076526E" w:rsidRPr="00FB4EFA" w:rsidRDefault="0076526E" w:rsidP="00AC1192">
            <w:pPr>
              <w:keepNext/>
              <w:widowControl w:val="0"/>
              <w:suppressAutoHyphens/>
              <w:jc w:val="left"/>
              <w:rPr>
                <w:i/>
                <w:iCs/>
                <w:sz w:val="18"/>
                <w:szCs w:val="18"/>
                <w:lang w:val="fi-FI"/>
              </w:rPr>
            </w:pPr>
            <w:r w:rsidRPr="00FB4EFA">
              <w:rPr>
                <w:sz w:val="18"/>
                <w:szCs w:val="18"/>
                <w:lang w:val="fi-FI"/>
              </w:rPr>
              <w:t>Ø (~ *</w:t>
            </w:r>
            <w:r w:rsidR="00DC19A4" w:rsidRPr="00FB4EFA">
              <w:rPr>
                <w:sz w:val="18"/>
                <w:szCs w:val="18"/>
                <w:lang w:val="fi-FI"/>
              </w:rPr>
              <w:t>-</w:t>
            </w:r>
            <w:r w:rsidRPr="00FB4EFA">
              <w:rPr>
                <w:i/>
                <w:iCs/>
                <w:sz w:val="18"/>
                <w:szCs w:val="18"/>
                <w:lang w:val="fi-FI"/>
              </w:rPr>
              <w:t>nV</w:t>
            </w:r>
            <w:r w:rsidRPr="00FB4EFA">
              <w:rPr>
                <w:sz w:val="18"/>
                <w:szCs w:val="18"/>
                <w:lang w:val="fi-FI"/>
              </w:rPr>
              <w:t>?)</w:t>
            </w:r>
          </w:p>
        </w:tc>
        <w:tc>
          <w:tcPr>
            <w:tcW w:w="0" w:type="auto"/>
            <w:tcBorders>
              <w:top w:val="single" w:sz="4" w:space="0" w:color="000000"/>
              <w:left w:val="single" w:sz="12" w:space="0" w:color="000000"/>
              <w:bottom w:val="single" w:sz="4" w:space="0" w:color="000000"/>
              <w:right w:val="single" w:sz="4" w:space="0" w:color="000000"/>
            </w:tcBorders>
            <w:vAlign w:val="center"/>
          </w:tcPr>
          <w:p w14:paraId="1988002B"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mennek</w:t>
            </w:r>
          </w:p>
        </w:tc>
        <w:tc>
          <w:tcPr>
            <w:tcW w:w="0" w:type="auto"/>
            <w:tcBorders>
              <w:top w:val="single" w:sz="4" w:space="0" w:color="000000"/>
              <w:left w:val="single" w:sz="4" w:space="0" w:color="000000"/>
              <w:bottom w:val="single" w:sz="4" w:space="0" w:color="000000"/>
              <w:right w:val="single" w:sz="12" w:space="0" w:color="000000"/>
            </w:tcBorders>
            <w:vAlign w:val="center"/>
          </w:tcPr>
          <w:p w14:paraId="117B3AE7"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nV</w:t>
            </w:r>
            <w:r w:rsidRPr="00FB4EFA">
              <w:rPr>
                <w:sz w:val="18"/>
                <w:szCs w:val="18"/>
                <w:lang w:val="fi-FI"/>
              </w:rPr>
              <w:t>? + pl</w:t>
            </w:r>
          </w:p>
        </w:tc>
        <w:tc>
          <w:tcPr>
            <w:tcW w:w="0" w:type="auto"/>
            <w:tcBorders>
              <w:top w:val="single" w:sz="4" w:space="0" w:color="000000"/>
              <w:left w:val="single" w:sz="12" w:space="0" w:color="000000"/>
              <w:bottom w:val="single" w:sz="4" w:space="0" w:color="000000"/>
            </w:tcBorders>
            <w:vAlign w:val="center"/>
          </w:tcPr>
          <w:p w14:paraId="3F8F7C1F" w14:textId="77777777" w:rsidR="0076526E" w:rsidRPr="00FB4EFA" w:rsidRDefault="0076526E" w:rsidP="00402EF4">
            <w:pPr>
              <w:keepNext/>
              <w:widowControl w:val="0"/>
              <w:jc w:val="left"/>
              <w:rPr>
                <w:sz w:val="18"/>
                <w:szCs w:val="18"/>
                <w:lang w:val="fi-FI"/>
              </w:rPr>
            </w:pPr>
          </w:p>
        </w:tc>
      </w:tr>
      <w:tr w:rsidR="00FB4EFA" w:rsidRPr="00FB4EFA" w14:paraId="1ACCD771" w14:textId="77777777" w:rsidTr="0076526E">
        <w:tc>
          <w:tcPr>
            <w:tcW w:w="0" w:type="auto"/>
            <w:tcBorders>
              <w:top w:val="single" w:sz="4" w:space="0" w:color="000000"/>
              <w:right w:val="single" w:sz="12" w:space="0" w:color="000000"/>
            </w:tcBorders>
            <w:vAlign w:val="center"/>
          </w:tcPr>
          <w:p w14:paraId="61EAA817" w14:textId="77777777" w:rsidR="0076526E" w:rsidRPr="00FB4EFA" w:rsidRDefault="0076526E" w:rsidP="00AC1192">
            <w:pPr>
              <w:keepNext/>
              <w:widowControl w:val="0"/>
              <w:suppressAutoHyphens/>
              <w:jc w:val="center"/>
              <w:rPr>
                <w:b/>
                <w:bCs/>
                <w:sz w:val="20"/>
                <w:szCs w:val="20"/>
                <w:lang w:val="fi-FI"/>
              </w:rPr>
            </w:pPr>
            <w:r w:rsidRPr="00FB4EFA">
              <w:rPr>
                <w:b/>
                <w:bCs/>
                <w:sz w:val="20"/>
                <w:szCs w:val="20"/>
                <w:lang w:val="fi-FI"/>
              </w:rPr>
              <w:t>nenetsi</w:t>
            </w:r>
          </w:p>
        </w:tc>
        <w:tc>
          <w:tcPr>
            <w:tcW w:w="0" w:type="auto"/>
            <w:tcBorders>
              <w:top w:val="single" w:sz="4" w:space="0" w:color="000000"/>
              <w:left w:val="single" w:sz="12" w:space="0" w:color="000000"/>
              <w:right w:val="single" w:sz="4" w:space="0" w:color="000000"/>
            </w:tcBorders>
            <w:vAlign w:val="center"/>
          </w:tcPr>
          <w:p w14:paraId="023F7791"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me°</w:t>
            </w:r>
          </w:p>
        </w:tc>
        <w:tc>
          <w:tcPr>
            <w:tcW w:w="0" w:type="auto"/>
            <w:tcBorders>
              <w:top w:val="single" w:sz="4" w:space="0" w:color="000000"/>
              <w:left w:val="single" w:sz="4" w:space="0" w:color="000000"/>
              <w:right w:val="single" w:sz="12" w:space="0" w:color="000000"/>
            </w:tcBorders>
            <w:vAlign w:val="center"/>
          </w:tcPr>
          <w:p w14:paraId="57DA96CB"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Ø</w:t>
            </w:r>
          </w:p>
        </w:tc>
        <w:tc>
          <w:tcPr>
            <w:tcW w:w="0" w:type="auto"/>
            <w:tcBorders>
              <w:top w:val="single" w:sz="4" w:space="0" w:color="000000"/>
              <w:left w:val="single" w:sz="12" w:space="0" w:color="000000"/>
              <w:right w:val="single" w:sz="4" w:space="0" w:color="000000"/>
            </w:tcBorders>
            <w:vAlign w:val="center"/>
          </w:tcPr>
          <w:p w14:paraId="77D7CE86" w14:textId="77777777" w:rsidR="0076526E" w:rsidRPr="00FB4EFA" w:rsidRDefault="0076526E" w:rsidP="00AC1192">
            <w:pPr>
              <w:keepNext/>
              <w:widowControl w:val="0"/>
              <w:suppressAutoHyphens/>
              <w:jc w:val="left"/>
              <w:rPr>
                <w:i/>
                <w:iCs/>
                <w:sz w:val="18"/>
                <w:szCs w:val="18"/>
                <w:lang w:val="fi-FI"/>
              </w:rPr>
            </w:pPr>
            <w:r w:rsidRPr="00FB4EFA">
              <w:rPr>
                <w:i/>
                <w:iCs/>
                <w:sz w:val="18"/>
                <w:szCs w:val="18"/>
                <w:lang w:val="fi-FI"/>
              </w:rPr>
              <w:t>me°q</w:t>
            </w:r>
          </w:p>
        </w:tc>
        <w:tc>
          <w:tcPr>
            <w:tcW w:w="0" w:type="auto"/>
            <w:tcBorders>
              <w:top w:val="single" w:sz="4" w:space="0" w:color="000000"/>
              <w:left w:val="single" w:sz="4" w:space="0" w:color="000000"/>
              <w:right w:val="single" w:sz="12" w:space="0" w:color="000000"/>
            </w:tcBorders>
            <w:vAlign w:val="center"/>
          </w:tcPr>
          <w:p w14:paraId="2D1AE749" w14:textId="77777777" w:rsidR="0076526E" w:rsidRPr="00FB4EFA" w:rsidRDefault="0076526E" w:rsidP="00AC1192">
            <w:pPr>
              <w:keepNext/>
              <w:widowControl w:val="0"/>
              <w:suppressAutoHyphens/>
              <w:jc w:val="left"/>
              <w:rPr>
                <w:i/>
                <w:iCs/>
                <w:sz w:val="18"/>
                <w:szCs w:val="18"/>
                <w:lang w:val="fi-FI"/>
              </w:rPr>
            </w:pPr>
            <w:r w:rsidRPr="00FB4EFA">
              <w:rPr>
                <w:sz w:val="18"/>
                <w:szCs w:val="18"/>
                <w:lang w:val="fi-FI"/>
              </w:rPr>
              <w:t>*-</w:t>
            </w:r>
            <w:r w:rsidRPr="00FB4EFA">
              <w:rPr>
                <w:i/>
                <w:iCs/>
                <w:sz w:val="18"/>
                <w:szCs w:val="18"/>
                <w:lang w:val="fi-FI"/>
              </w:rPr>
              <w:t>t</w:t>
            </w:r>
          </w:p>
        </w:tc>
        <w:tc>
          <w:tcPr>
            <w:tcW w:w="0" w:type="auto"/>
            <w:tcBorders>
              <w:top w:val="single" w:sz="4" w:space="0" w:color="000000"/>
              <w:left w:val="single" w:sz="12" w:space="0" w:color="000000"/>
            </w:tcBorders>
            <w:vAlign w:val="center"/>
          </w:tcPr>
          <w:p w14:paraId="7C27B80D" w14:textId="77777777" w:rsidR="0076526E" w:rsidRPr="00FB4EFA" w:rsidRDefault="0076526E" w:rsidP="00AC1192">
            <w:pPr>
              <w:keepNext/>
              <w:widowControl w:val="0"/>
              <w:suppressAutoHyphens/>
              <w:jc w:val="left"/>
              <w:rPr>
                <w:sz w:val="18"/>
                <w:szCs w:val="18"/>
                <w:lang w:val="fi-FI"/>
              </w:rPr>
            </w:pPr>
            <w:r w:rsidRPr="00FB4EFA">
              <w:rPr>
                <w:sz w:val="18"/>
                <w:szCs w:val="18"/>
                <w:lang w:val="fi-FI"/>
              </w:rPr>
              <w:t>-</w:t>
            </w:r>
            <w:r w:rsidRPr="00FB4EFA">
              <w:rPr>
                <w:i/>
                <w:iCs/>
                <w:sz w:val="18"/>
                <w:szCs w:val="18"/>
                <w:lang w:val="fi-FI"/>
              </w:rPr>
              <w:t>nga</w:t>
            </w:r>
            <w:r w:rsidRPr="00FB4EFA">
              <w:rPr>
                <w:rFonts w:cs="Cambria"/>
                <w:i/>
                <w:iCs/>
                <w:sz w:val="18"/>
                <w:szCs w:val="18"/>
                <w:lang w:val="fi-FI"/>
              </w:rPr>
              <w:t>χ</w:t>
            </w:r>
            <w:r w:rsidRPr="00FB4EFA">
              <w:rPr>
                <w:i/>
                <w:iCs/>
                <w:sz w:val="18"/>
                <w:szCs w:val="18"/>
                <w:lang w:val="fi-FI"/>
              </w:rPr>
              <w:t>°h</w:t>
            </w:r>
          </w:p>
        </w:tc>
      </w:tr>
    </w:tbl>
    <w:p w14:paraId="3F71C253" w14:textId="77777777" w:rsidR="0076526E" w:rsidRPr="00FB4EFA" w:rsidRDefault="0076526E" w:rsidP="00AC1192">
      <w:pPr>
        <w:suppressAutoHyphens/>
        <w:spacing w:before="120" w:after="240" w:line="240" w:lineRule="auto"/>
        <w:jc w:val="center"/>
        <w:rPr>
          <w:rFonts w:cs="Times New Roman"/>
          <w:sz w:val="18"/>
          <w:szCs w:val="18"/>
          <w:lang w:val="fi-FI"/>
        </w:rPr>
      </w:pPr>
      <w:r w:rsidRPr="00FB4EFA">
        <w:rPr>
          <w:b/>
          <w:bCs/>
          <w:sz w:val="18"/>
          <w:szCs w:val="18"/>
          <w:lang w:val="fi-FI"/>
        </w:rPr>
        <w:t>Taulukko 3</w:t>
      </w:r>
      <w:r w:rsidRPr="00FB4EFA">
        <w:rPr>
          <w:sz w:val="18"/>
          <w:szCs w:val="18"/>
          <w:lang w:val="fi-FI"/>
        </w:rPr>
        <w:t xml:space="preserve">. </w:t>
      </w:r>
      <w:r w:rsidRPr="00FB4EFA">
        <w:rPr>
          <w:rFonts w:cs="Times New Roman"/>
          <w:sz w:val="18"/>
          <w:szCs w:val="18"/>
          <w:lang w:val="fi-FI"/>
        </w:rPr>
        <w:t>Verbin preesenstaivutus uralilaisissa kielissä 3.persoonissa. (Ulla-Maija Forsbergin luentomoniste.)</w:t>
      </w:r>
    </w:p>
    <w:p w14:paraId="0A38AD71" w14:textId="43683AE0" w:rsidR="0076526E" w:rsidRPr="00FB4EFA" w:rsidRDefault="0076526E" w:rsidP="00AF0CAD">
      <w:pPr>
        <w:rPr>
          <w:lang w:val="fi-FI"/>
        </w:rPr>
      </w:pPr>
      <w:r w:rsidRPr="00FB4EFA">
        <w:rPr>
          <w:lang w:val="fi-FI"/>
        </w:rPr>
        <w:t>Pidän todennäköisenä Korhosen (1981: 285) näkemystä, jonka mukaan yksikön kolmansissa esiintyvä *</w:t>
      </w:r>
      <w:r w:rsidR="00DC19A4" w:rsidRPr="00FB4EFA">
        <w:rPr>
          <w:lang w:val="fi-FI"/>
        </w:rPr>
        <w:t>-</w:t>
      </w:r>
      <w:r w:rsidRPr="00FB4EFA">
        <w:rPr>
          <w:i/>
          <w:iCs/>
          <w:lang w:val="fi-FI"/>
        </w:rPr>
        <w:t>k</w:t>
      </w:r>
      <w:r w:rsidRPr="00FB4EFA">
        <w:rPr>
          <w:lang w:val="fi-FI"/>
        </w:rPr>
        <w:t xml:space="preserve"> on nominaalistaja. Nominaalistava *</w:t>
      </w:r>
      <w:r w:rsidR="00DC19A4" w:rsidRPr="00FB4EFA">
        <w:rPr>
          <w:lang w:val="fi-FI"/>
        </w:rPr>
        <w:t>-</w:t>
      </w:r>
      <w:r w:rsidRPr="00FB4EFA">
        <w:rPr>
          <w:i/>
          <w:iCs/>
          <w:lang w:val="fi-FI"/>
        </w:rPr>
        <w:t>k</w:t>
      </w:r>
      <w:r w:rsidRPr="00FB4EFA">
        <w:rPr>
          <w:lang w:val="fi-FI"/>
        </w:rPr>
        <w:t xml:space="preserve"> esiintyisi luontevasti myös konnegatiivin *-</w:t>
      </w:r>
      <w:r w:rsidRPr="00FB4EFA">
        <w:rPr>
          <w:i/>
          <w:iCs/>
          <w:lang w:val="fi-FI"/>
        </w:rPr>
        <w:t>k</w:t>
      </w:r>
      <w:r w:rsidRPr="00FB4EFA">
        <w:rPr>
          <w:lang w:val="fi-FI"/>
        </w:rPr>
        <w:t>-loppuisessa varhemmassa asussa. On myös mahdollista, että nominaalistava *</w:t>
      </w:r>
      <w:r w:rsidR="00DC19A4" w:rsidRPr="00FB4EFA">
        <w:rPr>
          <w:lang w:val="fi-FI"/>
        </w:rPr>
        <w:t>-</w:t>
      </w:r>
      <w:r w:rsidRPr="00FB4EFA">
        <w:rPr>
          <w:i/>
          <w:iCs/>
          <w:lang w:val="fi-FI"/>
        </w:rPr>
        <w:t>k</w:t>
      </w:r>
      <w:r w:rsidRPr="00FB4EFA">
        <w:rPr>
          <w:lang w:val="fi-FI"/>
        </w:rPr>
        <w:t xml:space="preserve"> on yksikön kolmannesta levinnyt muihin persooniin, ja muuttunut preesenstunnukseksi. Itämerensuomen monikon 1. ja 2. persoonassa esiintyvä konsonantti on toki voinut olla ko. nominaalistava *</w:t>
      </w:r>
      <w:r w:rsidR="00DC19A4" w:rsidRPr="00FB4EFA">
        <w:rPr>
          <w:lang w:val="fi-FI"/>
        </w:rPr>
        <w:t>-</w:t>
      </w:r>
      <w:r w:rsidRPr="00FB4EFA">
        <w:rPr>
          <w:i/>
          <w:iCs/>
          <w:lang w:val="fi-FI"/>
        </w:rPr>
        <w:t>k</w:t>
      </w:r>
      <w:r w:rsidR="00DC19A4" w:rsidRPr="00FB4EFA">
        <w:rPr>
          <w:lang w:val="fi-FI"/>
        </w:rPr>
        <w:t>-</w:t>
      </w:r>
      <w:r w:rsidRPr="00FB4EFA">
        <w:rPr>
          <w:lang w:val="fi-FI"/>
        </w:rPr>
        <w:t xml:space="preserve">, mutta myös jokin muu konsonantti. Muita konsonantteja ehdotettiinkin ennen Setälän (1889) väitöskirjaa, kuten tämän tekstin luvusta 1. käy ilmi. </w:t>
      </w:r>
      <w:bookmarkStart w:id="42" w:name="_Hlk104305456"/>
      <w:r w:rsidRPr="00FB4EFA">
        <w:rPr>
          <w:lang w:val="fi-FI"/>
        </w:rPr>
        <w:t>Mansissa *</w:t>
      </w:r>
      <w:r w:rsidR="00DC19A4" w:rsidRPr="00FB4EFA">
        <w:rPr>
          <w:lang w:val="fi-FI"/>
        </w:rPr>
        <w:t>-</w:t>
      </w:r>
      <w:r w:rsidRPr="00FB4EFA">
        <w:rPr>
          <w:i/>
          <w:iCs/>
          <w:lang w:val="fi-FI"/>
        </w:rPr>
        <w:t>k</w:t>
      </w:r>
      <w:r w:rsidR="00DC19A4" w:rsidRPr="00FB4EFA">
        <w:rPr>
          <w:lang w:val="fi-FI"/>
        </w:rPr>
        <w:t>-</w:t>
      </w:r>
      <w:r w:rsidRPr="00FB4EFA">
        <w:rPr>
          <w:lang w:val="fi-FI"/>
        </w:rPr>
        <w:t xml:space="preserve"> </w:t>
      </w:r>
      <w:bookmarkEnd w:id="42"/>
      <w:r w:rsidRPr="00FB4EFA">
        <w:rPr>
          <w:lang w:val="fi-FI"/>
        </w:rPr>
        <w:t>taas on produktiivinen ja läpi verbiparadigman esiintyvä tunnus, jota ei voi synkronisesti katsoen pitää muuna kuin preesenstunnuksena.</w:t>
      </w:r>
    </w:p>
    <w:p w14:paraId="4CD07437" w14:textId="52B6FF5D" w:rsidR="0076526E" w:rsidRPr="00FB4EFA" w:rsidRDefault="0076526E" w:rsidP="00402EF4">
      <w:pPr>
        <w:ind w:firstLine="720"/>
        <w:rPr>
          <w:rFonts w:cs="Times New Roman"/>
          <w:lang w:val="fi-FI"/>
        </w:rPr>
      </w:pPr>
      <w:r w:rsidRPr="00FB4EFA">
        <w:rPr>
          <w:rFonts w:cs="Times New Roman"/>
          <w:lang w:val="fi-FI"/>
        </w:rPr>
        <w:t>Mistä preesenstaivutuksen morfeemien moninaisuus uralilaiskielissä johtuu? Persoonapäätteiden erilaisuus nykykielissä heijastaa käsittääkseni paradigmojen uudelleen rakentumista pikemmin kuin paradigmojen puuttumista kantakielestä. Nominaalisen predikaattirakenteen osuus verbin preesenstaivutuksen muodostumiseen on huomattu jo varhain (Setälä 1886; Ravila 1929, 1941) ja Korhonen (1981: 280–285) kuvaa ilmiötä tarkasti. Tutkailen seuraavassa vielä kerran nominipredikaa</w:t>
      </w:r>
      <w:r w:rsidRPr="00FB4EFA">
        <w:rPr>
          <w:rFonts w:cs="Times New Roman"/>
          <w:lang w:val="fi-FI"/>
        </w:rPr>
        <w:lastRenderedPageBreak/>
        <w:t>tion mahdollista vaikutusta keskittyen siihen, voiko se olla kantasuomen geminaatallisten monikon 1. ja 2. persoonan muotojen takana.</w:t>
      </w:r>
    </w:p>
    <w:p w14:paraId="74073287" w14:textId="7605EA8D" w:rsidR="0076526E" w:rsidRPr="00FB4EFA" w:rsidRDefault="0076526E" w:rsidP="00545033">
      <w:pPr>
        <w:pStyle w:val="Heading2"/>
        <w:numPr>
          <w:ilvl w:val="0"/>
          <w:numId w:val="14"/>
        </w:numPr>
        <w:suppressAutoHyphens/>
        <w:spacing w:line="259" w:lineRule="auto"/>
        <w:rPr>
          <w:rFonts w:cs="Times New Roman"/>
          <w:color w:val="auto"/>
          <w:lang w:val="fi-FI"/>
        </w:rPr>
      </w:pPr>
      <w:r w:rsidRPr="00FB4EFA">
        <w:rPr>
          <w:color w:val="auto"/>
        </w:rPr>
        <w:t>Länsiuralin verbintaivutus preesensissä</w:t>
      </w:r>
    </w:p>
    <w:p w14:paraId="183F4478" w14:textId="77777777" w:rsidR="0076526E" w:rsidRPr="00FB4EFA" w:rsidRDefault="0076526E" w:rsidP="008E3375">
      <w:pPr>
        <w:rPr>
          <w:rFonts w:cs="Times New Roman"/>
          <w:lang w:val="fi-FI"/>
        </w:rPr>
      </w:pPr>
      <w:r w:rsidRPr="00FB4EFA">
        <w:rPr>
          <w:rFonts w:cs="Times New Roman"/>
          <w:lang w:val="fi-FI"/>
        </w:rPr>
        <w:t>Kuinka laajasti nominipredikaation vaikutus näkyy uralilaiskielissä? Seuraavassa siirryn käsittelemään suomalais-saamelais-mordvalaiseen kantakieleen eli länsiuraliin palautuvaa verbin preesenstaivutusta. Länsiurali on terminä melko uusi (Häkkinen, J. 2007). Länsiurali on myös siinä mielessä hyvä termi, että se kuvastaa kielten areaalista levikkiä, millä on vaikutusta yhteisten piirteiden syntyyn ja leviämiseen. Lisäksi kantakielitason nimeämisessä pitäisi pyrkiä ratkaisuun, jossa minkään yksittäisen kieliryhmän nimitys ei korostu. Kallio (2007: 229) taas toteaa, että varhaiskantasuomi on perinteisesti ollut suomalais-saamelaisen kantakielen synonyymi ja se voidaan rinnastaa siihen kielentasoon, josta itämerensuomi ja saame ovat aloittaneet erilliskehityksensä riippumatta siitä, kuuluivatko samaan tasoon lisäksi mordva ja/tai mari. Olisikin hyvä, jos tämänkin luonnosmaisen tutkielman tematiikka pääsisi jatkossa syvemmän ja laajemman tutkimuksen kohteeksi, jotta käsityksemme mahdollisesta länsiuralilaisesta välikantakielestä tarkentuisi.</w:t>
      </w:r>
    </w:p>
    <w:p w14:paraId="4E325D4D" w14:textId="77777777" w:rsidR="0076526E" w:rsidRPr="00FB4EFA" w:rsidRDefault="0076526E" w:rsidP="008E3375">
      <w:pPr>
        <w:spacing w:after="240"/>
        <w:ind w:firstLine="720"/>
        <w:rPr>
          <w:rFonts w:cs="Times New Roman"/>
          <w:lang w:val="fi-FI"/>
        </w:rPr>
      </w:pPr>
      <w:r w:rsidRPr="00FB4EFA">
        <w:rPr>
          <w:rFonts w:cs="Times New Roman"/>
          <w:lang w:val="fi-FI"/>
        </w:rPr>
        <w:t>Kantasuomeen ja usein kantauraliinkin rekonstruoidut persoonapäätteet on esitelty taulukossa 4., itämerensuomalaisten kielten verbintaivutuksesta tarkemmin ks. (Laanest 1975: 149–150). Kantasaamen päätteet ovat taulukossa 5. ja kantamordvan päätteet taulukossa 6.</w:t>
      </w:r>
    </w:p>
    <w:tbl>
      <w:tblPr>
        <w:tblW w:w="6085" w:type="dxa"/>
        <w:jc w:val="center"/>
        <w:tblLayout w:type="fixed"/>
        <w:tblLook w:val="04A0" w:firstRow="1" w:lastRow="0" w:firstColumn="1" w:lastColumn="0" w:noHBand="0" w:noVBand="1"/>
      </w:tblPr>
      <w:tblGrid>
        <w:gridCol w:w="1175"/>
        <w:gridCol w:w="693"/>
        <w:gridCol w:w="967"/>
        <w:gridCol w:w="3250"/>
      </w:tblGrid>
      <w:tr w:rsidR="00FB4EFA" w:rsidRPr="00FB4EFA" w14:paraId="643CC4DF" w14:textId="77777777" w:rsidTr="0076526E">
        <w:trPr>
          <w:jc w:val="center"/>
        </w:trPr>
        <w:tc>
          <w:tcPr>
            <w:tcW w:w="1175" w:type="dxa"/>
            <w:tcBorders>
              <w:top w:val="nil"/>
              <w:left w:val="nil"/>
              <w:bottom w:val="single" w:sz="12" w:space="0" w:color="000000"/>
              <w:right w:val="single" w:sz="12" w:space="0" w:color="000000"/>
            </w:tcBorders>
            <w:vAlign w:val="center"/>
          </w:tcPr>
          <w:p w14:paraId="7D32252A"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persoona</w:t>
            </w:r>
          </w:p>
        </w:tc>
        <w:tc>
          <w:tcPr>
            <w:tcW w:w="693" w:type="dxa"/>
            <w:tcBorders>
              <w:top w:val="nil"/>
              <w:left w:val="single" w:sz="12" w:space="0" w:color="000000"/>
              <w:bottom w:val="single" w:sz="12" w:space="0" w:color="000000"/>
            </w:tcBorders>
            <w:vAlign w:val="center"/>
          </w:tcPr>
          <w:p w14:paraId="07C8C66E"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luku</w:t>
            </w:r>
          </w:p>
        </w:tc>
        <w:tc>
          <w:tcPr>
            <w:tcW w:w="967" w:type="dxa"/>
            <w:tcBorders>
              <w:top w:val="nil"/>
              <w:bottom w:val="single" w:sz="12" w:space="0" w:color="000000"/>
            </w:tcBorders>
            <w:vAlign w:val="center"/>
          </w:tcPr>
          <w:p w14:paraId="3C711B57"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tunnus</w:t>
            </w:r>
          </w:p>
        </w:tc>
        <w:tc>
          <w:tcPr>
            <w:tcW w:w="3250" w:type="dxa"/>
            <w:tcBorders>
              <w:top w:val="nil"/>
              <w:bottom w:val="single" w:sz="12" w:space="0" w:color="000000"/>
              <w:right w:val="nil"/>
            </w:tcBorders>
            <w:vAlign w:val="center"/>
          </w:tcPr>
          <w:p w14:paraId="5A32A6FB"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’mennä’-verbi, suomi (murt.)</w:t>
            </w:r>
          </w:p>
        </w:tc>
      </w:tr>
      <w:tr w:rsidR="00FB4EFA" w:rsidRPr="00FB4EFA" w14:paraId="29963DC0" w14:textId="77777777" w:rsidTr="0076526E">
        <w:trPr>
          <w:jc w:val="center"/>
        </w:trPr>
        <w:tc>
          <w:tcPr>
            <w:tcW w:w="1175" w:type="dxa"/>
            <w:vMerge w:val="restart"/>
            <w:tcBorders>
              <w:top w:val="single" w:sz="12" w:space="0" w:color="000000"/>
              <w:left w:val="nil"/>
              <w:bottom w:val="single" w:sz="12" w:space="0" w:color="000000"/>
              <w:right w:val="single" w:sz="12" w:space="0" w:color="000000"/>
            </w:tcBorders>
            <w:vAlign w:val="center"/>
          </w:tcPr>
          <w:p w14:paraId="0A59891D"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Sg</w:t>
            </w:r>
          </w:p>
        </w:tc>
        <w:tc>
          <w:tcPr>
            <w:tcW w:w="693" w:type="dxa"/>
            <w:tcBorders>
              <w:top w:val="single" w:sz="12" w:space="0" w:color="000000"/>
              <w:left w:val="single" w:sz="12" w:space="0" w:color="000000"/>
            </w:tcBorders>
            <w:vAlign w:val="center"/>
          </w:tcPr>
          <w:p w14:paraId="27EDD8CE"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1</w:t>
            </w:r>
          </w:p>
        </w:tc>
        <w:tc>
          <w:tcPr>
            <w:tcW w:w="967" w:type="dxa"/>
            <w:tcBorders>
              <w:top w:val="single" w:sz="12" w:space="0" w:color="000000"/>
            </w:tcBorders>
          </w:tcPr>
          <w:p w14:paraId="6AA3244F"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m</w:t>
            </w:r>
          </w:p>
        </w:tc>
        <w:tc>
          <w:tcPr>
            <w:tcW w:w="3250" w:type="dxa"/>
            <w:tcBorders>
              <w:top w:val="single" w:sz="12" w:space="0" w:color="000000"/>
              <w:right w:val="nil"/>
            </w:tcBorders>
          </w:tcPr>
          <w:p w14:paraId="0FB4E3DD"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mene-m</w:t>
            </w:r>
          </w:p>
        </w:tc>
      </w:tr>
      <w:tr w:rsidR="00FB4EFA" w:rsidRPr="00FB4EFA" w14:paraId="1FBE1A4A" w14:textId="77777777" w:rsidTr="0076526E">
        <w:trPr>
          <w:jc w:val="center"/>
        </w:trPr>
        <w:tc>
          <w:tcPr>
            <w:tcW w:w="1175" w:type="dxa"/>
            <w:vMerge/>
            <w:tcBorders>
              <w:left w:val="nil"/>
              <w:right w:val="single" w:sz="12" w:space="0" w:color="000000"/>
            </w:tcBorders>
            <w:vAlign w:val="center"/>
          </w:tcPr>
          <w:p w14:paraId="03CBA587" w14:textId="77777777" w:rsidR="0076526E" w:rsidRPr="00FB4EFA" w:rsidRDefault="0076526E" w:rsidP="00402EF4">
            <w:pPr>
              <w:keepNext/>
              <w:widowControl w:val="0"/>
              <w:jc w:val="center"/>
              <w:rPr>
                <w:rFonts w:cs="Times New Roman"/>
                <w:sz w:val="20"/>
                <w:szCs w:val="20"/>
                <w:lang w:val="fi-FI"/>
              </w:rPr>
            </w:pPr>
          </w:p>
        </w:tc>
        <w:tc>
          <w:tcPr>
            <w:tcW w:w="693" w:type="dxa"/>
            <w:tcBorders>
              <w:left w:val="single" w:sz="12" w:space="0" w:color="000000"/>
            </w:tcBorders>
            <w:vAlign w:val="center"/>
          </w:tcPr>
          <w:p w14:paraId="3699D70D"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2</w:t>
            </w:r>
          </w:p>
        </w:tc>
        <w:tc>
          <w:tcPr>
            <w:tcW w:w="967" w:type="dxa"/>
          </w:tcPr>
          <w:p w14:paraId="46DBF19A"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t</w:t>
            </w:r>
          </w:p>
        </w:tc>
        <w:tc>
          <w:tcPr>
            <w:tcW w:w="3250" w:type="dxa"/>
            <w:tcBorders>
              <w:right w:val="nil"/>
            </w:tcBorders>
          </w:tcPr>
          <w:p w14:paraId="7ED07FA7"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mene-t</w:t>
            </w:r>
          </w:p>
        </w:tc>
      </w:tr>
      <w:tr w:rsidR="00FB4EFA" w:rsidRPr="00FB4EFA" w14:paraId="2F44F749" w14:textId="77777777" w:rsidTr="0076526E">
        <w:trPr>
          <w:jc w:val="center"/>
        </w:trPr>
        <w:tc>
          <w:tcPr>
            <w:tcW w:w="1175" w:type="dxa"/>
            <w:vMerge/>
            <w:tcBorders>
              <w:left w:val="nil"/>
              <w:bottom w:val="single" w:sz="12" w:space="0" w:color="000000"/>
              <w:right w:val="single" w:sz="12" w:space="0" w:color="000000"/>
            </w:tcBorders>
            <w:vAlign w:val="center"/>
          </w:tcPr>
          <w:p w14:paraId="5B033CA8" w14:textId="77777777" w:rsidR="0076526E" w:rsidRPr="00FB4EFA" w:rsidRDefault="0076526E" w:rsidP="00402EF4">
            <w:pPr>
              <w:keepNext/>
              <w:widowControl w:val="0"/>
              <w:jc w:val="center"/>
              <w:rPr>
                <w:rFonts w:cs="Times New Roman"/>
                <w:sz w:val="20"/>
                <w:szCs w:val="20"/>
                <w:lang w:val="fi-FI"/>
              </w:rPr>
            </w:pPr>
          </w:p>
        </w:tc>
        <w:tc>
          <w:tcPr>
            <w:tcW w:w="693" w:type="dxa"/>
            <w:tcBorders>
              <w:left w:val="single" w:sz="12" w:space="0" w:color="000000"/>
              <w:bottom w:val="single" w:sz="12" w:space="0" w:color="000000"/>
            </w:tcBorders>
            <w:vAlign w:val="center"/>
          </w:tcPr>
          <w:p w14:paraId="263AE694"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3</w:t>
            </w:r>
          </w:p>
        </w:tc>
        <w:tc>
          <w:tcPr>
            <w:tcW w:w="967" w:type="dxa"/>
            <w:tcBorders>
              <w:bottom w:val="single" w:sz="12" w:space="0" w:color="000000"/>
            </w:tcBorders>
          </w:tcPr>
          <w:p w14:paraId="3CAC84AC"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pA</w:t>
            </w:r>
          </w:p>
        </w:tc>
        <w:tc>
          <w:tcPr>
            <w:tcW w:w="3250" w:type="dxa"/>
            <w:tcBorders>
              <w:bottom w:val="single" w:sz="12" w:space="0" w:color="000000"/>
              <w:right w:val="nil"/>
            </w:tcBorders>
          </w:tcPr>
          <w:p w14:paraId="416A8A35"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mene-pä</w:t>
            </w:r>
            <w:r w:rsidRPr="00FB4EFA">
              <w:rPr>
                <w:rFonts w:cs="Times New Roman"/>
                <w:lang w:val="fi-FI"/>
              </w:rPr>
              <w:t xml:space="preserve"> &gt; </w:t>
            </w:r>
            <w:r w:rsidRPr="00FB4EFA">
              <w:rPr>
                <w:rFonts w:cs="Times New Roman"/>
                <w:i/>
                <w:iCs/>
                <w:lang w:val="fi-FI"/>
              </w:rPr>
              <w:t>menee</w:t>
            </w:r>
          </w:p>
        </w:tc>
      </w:tr>
      <w:tr w:rsidR="00FB4EFA" w:rsidRPr="00FB4EFA" w14:paraId="72EC9F7F" w14:textId="77777777" w:rsidTr="0076526E">
        <w:trPr>
          <w:jc w:val="center"/>
        </w:trPr>
        <w:tc>
          <w:tcPr>
            <w:tcW w:w="1175" w:type="dxa"/>
            <w:vMerge w:val="restart"/>
            <w:tcBorders>
              <w:top w:val="single" w:sz="12" w:space="0" w:color="000000"/>
              <w:left w:val="nil"/>
              <w:bottom w:val="nil"/>
              <w:right w:val="single" w:sz="12" w:space="0" w:color="000000"/>
            </w:tcBorders>
            <w:vAlign w:val="center"/>
          </w:tcPr>
          <w:p w14:paraId="03CF71CE"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Pl</w:t>
            </w:r>
          </w:p>
        </w:tc>
        <w:tc>
          <w:tcPr>
            <w:tcW w:w="693" w:type="dxa"/>
            <w:tcBorders>
              <w:top w:val="single" w:sz="12" w:space="0" w:color="000000"/>
              <w:left w:val="single" w:sz="12" w:space="0" w:color="000000"/>
            </w:tcBorders>
            <w:vAlign w:val="center"/>
          </w:tcPr>
          <w:p w14:paraId="484DADD9"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1</w:t>
            </w:r>
          </w:p>
        </w:tc>
        <w:tc>
          <w:tcPr>
            <w:tcW w:w="967" w:type="dxa"/>
            <w:tcBorders>
              <w:top w:val="single" w:sz="12" w:space="0" w:color="000000"/>
            </w:tcBorders>
          </w:tcPr>
          <w:p w14:paraId="671338A5"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t-mAk</w:t>
            </w:r>
          </w:p>
        </w:tc>
        <w:tc>
          <w:tcPr>
            <w:tcW w:w="3250" w:type="dxa"/>
            <w:tcBorders>
              <w:top w:val="single" w:sz="12" w:space="0" w:color="000000"/>
              <w:right w:val="nil"/>
            </w:tcBorders>
          </w:tcPr>
          <w:p w14:paraId="6770F179"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mene-k-mäk</w:t>
            </w:r>
            <w:r w:rsidRPr="00FB4EFA">
              <w:rPr>
                <w:rFonts w:cs="Times New Roman"/>
                <w:lang w:val="fi-FI"/>
              </w:rPr>
              <w:t xml:space="preserve"> &gt; </w:t>
            </w:r>
            <w:r w:rsidRPr="00FB4EFA">
              <w:rPr>
                <w:rFonts w:cs="Times New Roman"/>
                <w:i/>
                <w:iCs/>
                <w:lang w:val="fi-FI"/>
              </w:rPr>
              <w:t>menemmä</w:t>
            </w:r>
          </w:p>
        </w:tc>
      </w:tr>
      <w:tr w:rsidR="00FB4EFA" w:rsidRPr="00FB4EFA" w14:paraId="6010549B" w14:textId="77777777" w:rsidTr="0076526E">
        <w:trPr>
          <w:jc w:val="center"/>
        </w:trPr>
        <w:tc>
          <w:tcPr>
            <w:tcW w:w="1175" w:type="dxa"/>
            <w:vMerge/>
            <w:tcBorders>
              <w:top w:val="single" w:sz="12" w:space="0" w:color="000000"/>
              <w:left w:val="nil"/>
              <w:bottom w:val="nil"/>
              <w:right w:val="single" w:sz="12" w:space="0" w:color="000000"/>
            </w:tcBorders>
            <w:vAlign w:val="center"/>
          </w:tcPr>
          <w:p w14:paraId="7AAFC498" w14:textId="77777777" w:rsidR="0076526E" w:rsidRPr="00FB4EFA" w:rsidRDefault="0076526E" w:rsidP="00402EF4">
            <w:pPr>
              <w:keepNext/>
              <w:widowControl w:val="0"/>
              <w:jc w:val="center"/>
              <w:rPr>
                <w:rFonts w:cs="Times New Roman"/>
                <w:sz w:val="20"/>
                <w:szCs w:val="20"/>
                <w:lang w:val="fi-FI"/>
              </w:rPr>
            </w:pPr>
          </w:p>
        </w:tc>
        <w:tc>
          <w:tcPr>
            <w:tcW w:w="693" w:type="dxa"/>
            <w:tcBorders>
              <w:left w:val="single" w:sz="12" w:space="0" w:color="000000"/>
            </w:tcBorders>
            <w:vAlign w:val="center"/>
          </w:tcPr>
          <w:p w14:paraId="4415E5FE"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2</w:t>
            </w:r>
          </w:p>
        </w:tc>
        <w:tc>
          <w:tcPr>
            <w:tcW w:w="967" w:type="dxa"/>
          </w:tcPr>
          <w:p w14:paraId="172514F9"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t-tAk</w:t>
            </w:r>
          </w:p>
        </w:tc>
        <w:tc>
          <w:tcPr>
            <w:tcW w:w="3250" w:type="dxa"/>
            <w:tcBorders>
              <w:right w:val="nil"/>
            </w:tcBorders>
          </w:tcPr>
          <w:p w14:paraId="04A243D1"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mene-k-täk</w:t>
            </w:r>
            <w:r w:rsidRPr="00FB4EFA">
              <w:rPr>
                <w:rFonts w:cs="Times New Roman"/>
                <w:lang w:val="fi-FI"/>
              </w:rPr>
              <w:t xml:space="preserve"> &gt; </w:t>
            </w:r>
            <w:r w:rsidRPr="00FB4EFA">
              <w:rPr>
                <w:rFonts w:cs="Times New Roman"/>
                <w:i/>
                <w:iCs/>
                <w:lang w:val="fi-FI"/>
              </w:rPr>
              <w:t>menettä</w:t>
            </w:r>
          </w:p>
        </w:tc>
      </w:tr>
      <w:tr w:rsidR="00FB4EFA" w:rsidRPr="00FB4EFA" w14:paraId="4A1D3FDA" w14:textId="77777777" w:rsidTr="0076526E">
        <w:trPr>
          <w:jc w:val="center"/>
        </w:trPr>
        <w:tc>
          <w:tcPr>
            <w:tcW w:w="1175" w:type="dxa"/>
            <w:vMerge/>
            <w:tcBorders>
              <w:top w:val="single" w:sz="12" w:space="0" w:color="000000"/>
              <w:left w:val="nil"/>
              <w:bottom w:val="nil"/>
              <w:right w:val="single" w:sz="12" w:space="0" w:color="000000"/>
            </w:tcBorders>
            <w:vAlign w:val="center"/>
          </w:tcPr>
          <w:p w14:paraId="6D8ABA8A" w14:textId="77777777" w:rsidR="0076526E" w:rsidRPr="00FB4EFA" w:rsidRDefault="0076526E" w:rsidP="00402EF4">
            <w:pPr>
              <w:keepNext/>
              <w:widowControl w:val="0"/>
              <w:jc w:val="center"/>
              <w:rPr>
                <w:rFonts w:cs="Times New Roman"/>
                <w:sz w:val="20"/>
                <w:szCs w:val="20"/>
                <w:lang w:val="fi-FI"/>
              </w:rPr>
            </w:pPr>
          </w:p>
        </w:tc>
        <w:tc>
          <w:tcPr>
            <w:tcW w:w="693" w:type="dxa"/>
            <w:tcBorders>
              <w:left w:val="single" w:sz="12" w:space="0" w:color="000000"/>
              <w:bottom w:val="nil"/>
            </w:tcBorders>
            <w:vAlign w:val="center"/>
          </w:tcPr>
          <w:p w14:paraId="7E23201D" w14:textId="77777777" w:rsidR="0076526E" w:rsidRPr="00FB4EFA" w:rsidRDefault="0076526E" w:rsidP="00AC1192">
            <w:pPr>
              <w:keepNext/>
              <w:widowControl w:val="0"/>
              <w:suppressAutoHyphens/>
              <w:jc w:val="center"/>
              <w:rPr>
                <w:rFonts w:cs="Times New Roman"/>
                <w:sz w:val="20"/>
                <w:szCs w:val="20"/>
                <w:lang w:val="fi-FI"/>
              </w:rPr>
            </w:pPr>
            <w:r w:rsidRPr="00FB4EFA">
              <w:rPr>
                <w:rFonts w:cs="Times New Roman"/>
                <w:b/>
                <w:bCs/>
                <w:sz w:val="20"/>
                <w:szCs w:val="20"/>
                <w:lang w:val="fi-FI"/>
              </w:rPr>
              <w:t>3</w:t>
            </w:r>
          </w:p>
        </w:tc>
        <w:tc>
          <w:tcPr>
            <w:tcW w:w="967" w:type="dxa"/>
            <w:tcBorders>
              <w:bottom w:val="nil"/>
            </w:tcBorders>
          </w:tcPr>
          <w:p w14:paraId="2493EC9A"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pA-t</w:t>
            </w:r>
          </w:p>
        </w:tc>
        <w:tc>
          <w:tcPr>
            <w:tcW w:w="3250" w:type="dxa"/>
            <w:tcBorders>
              <w:bottom w:val="nil"/>
              <w:right w:val="nil"/>
            </w:tcBorders>
          </w:tcPr>
          <w:p w14:paraId="59E8915B" w14:textId="77777777" w:rsidR="0076526E" w:rsidRPr="00FB4EFA" w:rsidRDefault="0076526E" w:rsidP="00AF0CAD">
            <w:pPr>
              <w:keepNext/>
              <w:widowControl w:val="0"/>
              <w:rPr>
                <w:rFonts w:cs="Times New Roman"/>
                <w:lang w:val="fi-FI"/>
              </w:rPr>
            </w:pPr>
            <w:r w:rsidRPr="00FB4EFA">
              <w:rPr>
                <w:rFonts w:cs="Times New Roman"/>
                <w:lang w:val="fi-FI"/>
              </w:rPr>
              <w:t>*</w:t>
            </w:r>
            <w:r w:rsidRPr="00FB4EFA">
              <w:rPr>
                <w:rFonts w:cs="Times New Roman"/>
                <w:i/>
                <w:iCs/>
                <w:lang w:val="fi-FI"/>
              </w:rPr>
              <w:t>mene-pä-t</w:t>
            </w:r>
            <w:r w:rsidRPr="00FB4EFA">
              <w:rPr>
                <w:rFonts w:cs="Times New Roman"/>
                <w:lang w:val="fi-FI"/>
              </w:rPr>
              <w:t xml:space="preserve"> &gt; </w:t>
            </w:r>
            <w:r w:rsidRPr="00FB4EFA">
              <w:rPr>
                <w:rFonts w:cs="Times New Roman"/>
                <w:i/>
                <w:iCs/>
                <w:lang w:val="fi-FI"/>
              </w:rPr>
              <w:t>menevät</w:t>
            </w:r>
          </w:p>
        </w:tc>
      </w:tr>
    </w:tbl>
    <w:p w14:paraId="5F276855" w14:textId="77777777" w:rsidR="0076526E" w:rsidRPr="00FB4EFA" w:rsidRDefault="0076526E" w:rsidP="00AC1192">
      <w:pPr>
        <w:suppressAutoHyphens/>
        <w:spacing w:before="120" w:after="240"/>
        <w:jc w:val="center"/>
        <w:rPr>
          <w:rFonts w:cs="Times New Roman"/>
          <w:sz w:val="18"/>
          <w:szCs w:val="18"/>
          <w:lang w:val="fi-FI"/>
        </w:rPr>
      </w:pPr>
      <w:r w:rsidRPr="00FB4EFA">
        <w:rPr>
          <w:rFonts w:cs="Times New Roman"/>
          <w:b/>
          <w:bCs/>
          <w:sz w:val="18"/>
          <w:szCs w:val="18"/>
          <w:lang w:val="fi-FI"/>
        </w:rPr>
        <w:t>Taulukko 4</w:t>
      </w:r>
      <w:r w:rsidRPr="00FB4EFA">
        <w:rPr>
          <w:rFonts w:cs="Times New Roman"/>
          <w:sz w:val="18"/>
          <w:szCs w:val="18"/>
          <w:lang w:val="fi-FI"/>
        </w:rPr>
        <w:t>. Kantasuomen verbin preesenstaivutus (Korhonen 1981: 285).</w:t>
      </w:r>
    </w:p>
    <w:p w14:paraId="05DA726E" w14:textId="0CEA29E5" w:rsidR="0076526E" w:rsidRPr="00FB4EFA" w:rsidRDefault="0076526E" w:rsidP="00AF0CAD">
      <w:pPr>
        <w:spacing w:before="240"/>
        <w:rPr>
          <w:rFonts w:cs="Times New Roman"/>
          <w:lang w:val="fi-FI"/>
        </w:rPr>
      </w:pPr>
      <w:r w:rsidRPr="00FB4EFA">
        <w:rPr>
          <w:rFonts w:cs="Times New Roman"/>
          <w:lang w:val="fi-FI"/>
        </w:rPr>
        <w:t>Saamelaiskielet hyödyntävät preesenstaivutuksessa molempia partisiippiaineksia *</w:t>
      </w:r>
      <w:r w:rsidR="00DC19A4" w:rsidRPr="00FB4EFA">
        <w:rPr>
          <w:lang w:val="fi-FI"/>
        </w:rPr>
        <w:t>-</w:t>
      </w:r>
      <w:r w:rsidRPr="00FB4EFA">
        <w:rPr>
          <w:rFonts w:cs="Times New Roman"/>
          <w:i/>
          <w:iCs/>
          <w:lang w:val="fi-FI"/>
        </w:rPr>
        <w:t>pA</w:t>
      </w:r>
      <w:r w:rsidRPr="00FB4EFA">
        <w:rPr>
          <w:rFonts w:cs="Times New Roman"/>
          <w:lang w:val="fi-FI"/>
        </w:rPr>
        <w:t xml:space="preserve"> ja *</w:t>
      </w:r>
      <w:r w:rsidR="00DC19A4" w:rsidRPr="00FB4EFA">
        <w:rPr>
          <w:lang w:val="fi-FI"/>
        </w:rPr>
        <w:t>-</w:t>
      </w:r>
      <w:r w:rsidRPr="00FB4EFA">
        <w:rPr>
          <w:rFonts w:cs="Times New Roman"/>
          <w:i/>
          <w:iCs/>
          <w:lang w:val="fi-FI"/>
        </w:rPr>
        <w:t>jA</w:t>
      </w:r>
      <w:r w:rsidRPr="00FB4EFA">
        <w:rPr>
          <w:rFonts w:cs="Times New Roman"/>
          <w:lang w:val="fi-FI"/>
        </w:rPr>
        <w:t>, itämerensuomi enimmäkseen partisiippia *</w:t>
      </w:r>
      <w:r w:rsidR="00DC19A4" w:rsidRPr="00FB4EFA">
        <w:rPr>
          <w:lang w:val="fi-FI"/>
        </w:rPr>
        <w:t>-</w:t>
      </w:r>
      <w:r w:rsidRPr="00FB4EFA">
        <w:rPr>
          <w:rFonts w:cs="Times New Roman"/>
          <w:i/>
          <w:iCs/>
          <w:lang w:val="fi-FI"/>
        </w:rPr>
        <w:t>pA</w:t>
      </w:r>
      <w:r w:rsidRPr="00FB4EFA">
        <w:rPr>
          <w:rFonts w:cs="Times New Roman"/>
          <w:lang w:val="fi-FI"/>
        </w:rPr>
        <w:t xml:space="preserve"> ja </w:t>
      </w:r>
      <w:r w:rsidRPr="00FB4EFA">
        <w:rPr>
          <w:rFonts w:cs="Times New Roman"/>
          <w:lang w:val="fi-FI"/>
        </w:rPr>
        <w:lastRenderedPageBreak/>
        <w:t>mordvalaiskielet vain partisiippia *</w:t>
      </w:r>
      <w:r w:rsidR="00DC19A4" w:rsidRPr="00FB4EFA">
        <w:rPr>
          <w:lang w:val="fi-FI"/>
        </w:rPr>
        <w:t>-</w:t>
      </w:r>
      <w:r w:rsidRPr="00FB4EFA">
        <w:rPr>
          <w:rFonts w:cs="Times New Roman"/>
          <w:i/>
          <w:iCs/>
          <w:lang w:val="fi-FI"/>
        </w:rPr>
        <w:t>jA</w:t>
      </w:r>
      <w:r w:rsidRPr="00FB4EFA">
        <w:rPr>
          <w:rFonts w:cs="Times New Roman"/>
          <w:lang w:val="fi-FI"/>
        </w:rPr>
        <w:t>. Saamelaiskielissä *</w:t>
      </w:r>
      <w:r w:rsidR="00DC19A4" w:rsidRPr="00FB4EFA">
        <w:rPr>
          <w:lang w:val="fi-FI"/>
        </w:rPr>
        <w:t>-</w:t>
      </w:r>
      <w:r w:rsidRPr="00FB4EFA">
        <w:rPr>
          <w:rFonts w:cs="Times New Roman"/>
          <w:i/>
          <w:iCs/>
          <w:lang w:val="fi-FI"/>
        </w:rPr>
        <w:t>jA</w:t>
      </w:r>
      <w:r w:rsidRPr="00FB4EFA">
        <w:rPr>
          <w:rFonts w:cs="Times New Roman"/>
          <w:lang w:val="fi-FI"/>
        </w:rPr>
        <w:t xml:space="preserve"> koodaa yksikön ja monikon 3. persoonia, mutta duaalin kolmatta persoonaa merkitään aineksella *</w:t>
      </w:r>
      <w:r w:rsidR="00DC19A4" w:rsidRPr="00FB4EFA">
        <w:rPr>
          <w:lang w:val="fi-FI"/>
        </w:rPr>
        <w:t>-</w:t>
      </w:r>
      <w:r w:rsidRPr="00FB4EFA">
        <w:rPr>
          <w:rFonts w:cs="Times New Roman"/>
          <w:i/>
          <w:iCs/>
          <w:lang w:val="fi-FI"/>
        </w:rPr>
        <w:t>pA</w:t>
      </w:r>
      <w:r w:rsidRPr="00FB4EFA">
        <w:rPr>
          <w:rFonts w:cs="Times New Roman"/>
          <w:lang w:val="fi-FI"/>
        </w:rPr>
        <w:t xml:space="preserve"> elementti ja duaalin 1. persoona sisältää *</w:t>
      </w:r>
      <w:r w:rsidR="00DC19A4" w:rsidRPr="00FB4EFA">
        <w:rPr>
          <w:lang w:val="fi-FI"/>
        </w:rPr>
        <w:t>-</w:t>
      </w:r>
      <w:r w:rsidRPr="00FB4EFA">
        <w:rPr>
          <w:rFonts w:cs="Times New Roman"/>
          <w:i/>
          <w:iCs/>
          <w:lang w:val="fi-FI"/>
        </w:rPr>
        <w:t>jA</w:t>
      </w:r>
      <w:r w:rsidRPr="00FB4EFA">
        <w:rPr>
          <w:rFonts w:cs="Times New Roman"/>
          <w:lang w:val="fi-FI"/>
        </w:rPr>
        <w:t xml:space="preserve"> elementin. *</w:t>
      </w:r>
      <w:r w:rsidR="00DC19A4" w:rsidRPr="00FB4EFA">
        <w:rPr>
          <w:lang w:val="fi-FI"/>
        </w:rPr>
        <w:t>-</w:t>
      </w:r>
      <w:r w:rsidRPr="00FB4EFA">
        <w:rPr>
          <w:rFonts w:cs="Times New Roman"/>
          <w:i/>
          <w:iCs/>
          <w:lang w:val="fi-FI"/>
        </w:rPr>
        <w:t>pA</w:t>
      </w:r>
      <w:r w:rsidRPr="00FB4EFA">
        <w:rPr>
          <w:rFonts w:cs="Times New Roman"/>
          <w:lang w:val="fi-FI"/>
        </w:rPr>
        <w:t xml:space="preserve"> esiintyy monikon 1. ja 2. persoonan muodoissa, sekä duaalin 2. ja 3. persoonan muodoissa. Korhosen (1981: 285) mukaan partisiippien epäjohdonmukainen esiintyminen johtuu siitä, että se ei ole alun perin mihinkään persoonaan viittaava aines.</w:t>
      </w:r>
    </w:p>
    <w:p w14:paraId="28648881" w14:textId="57A0B135" w:rsidR="0076526E" w:rsidRPr="00FB4EFA" w:rsidRDefault="0076526E" w:rsidP="00AF0CAD">
      <w:pPr>
        <w:ind w:firstLine="709"/>
        <w:rPr>
          <w:lang w:val="fi-FI"/>
        </w:rPr>
      </w:pPr>
      <w:r w:rsidRPr="00FB4EFA">
        <w:rPr>
          <w:lang w:val="fi-FI"/>
        </w:rPr>
        <w:t>Partisiippipohjaiset muodot ovat yleisiä uralilaiskielten kolmansissa persoonissa, mutta miten pelkkä partisiippi *</w:t>
      </w:r>
      <w:r w:rsidR="00DC19A4" w:rsidRPr="00FB4EFA">
        <w:rPr>
          <w:lang w:val="fi-FI"/>
        </w:rPr>
        <w:t>-</w:t>
      </w:r>
      <w:r w:rsidRPr="00FB4EFA">
        <w:rPr>
          <w:i/>
          <w:iCs/>
          <w:lang w:val="fi-FI"/>
        </w:rPr>
        <w:t>pA</w:t>
      </w:r>
      <w:r w:rsidRPr="00FB4EFA">
        <w:rPr>
          <w:lang w:val="fi-FI"/>
        </w:rPr>
        <w:t xml:space="preserve"> on voinut kehittyä monikon 1. persoonan muodoksi? Korhosen (1981: 285) mukaan varsinaisen persoonapäätteen puuttuminen on selitettävissä nominaalisen predikaation kautta.</w:t>
      </w:r>
    </w:p>
    <w:p w14:paraId="227F3A86" w14:textId="43430A06" w:rsidR="0076526E" w:rsidRPr="00FB4EFA" w:rsidRDefault="0076526E" w:rsidP="00AF0CAD">
      <w:pPr>
        <w:spacing w:after="240"/>
        <w:ind w:firstLine="720"/>
        <w:rPr>
          <w:rFonts w:eastAsia="Courier New" w:cs="Times New Roman"/>
          <w:lang w:val="fi-FI"/>
        </w:rPr>
      </w:pPr>
      <w:r w:rsidRPr="00FB4EFA">
        <w:rPr>
          <w:rFonts w:cs="Times New Roman"/>
          <w:lang w:val="fi-FI"/>
        </w:rPr>
        <w:t>Korhosen (1981: 285) mukaan tuntomerkittömänä persoonamuotona yksikön 3. persoona tarjoutuu helposti peruskategoriaksi, jolle muut persoonamuodot rakentuvat. Saamelaiskielistä monikon 1. persoona on persoonan ja luvun suhteen merkitsemätön, minkä Korhonen tulkitsee johtuvan siitä, että nominaalipredikaation kopulaton rakenne on tulkittu uudelleen: ”me menevät” on siis tulkittu ’me olemme menevät’ &gt; ’me menemme’. Ko</w:t>
      </w:r>
      <w:r w:rsidRPr="00FB4EFA">
        <w:rPr>
          <w:rFonts w:eastAsia="Courier New" w:cs="Times New Roman"/>
          <w:lang w:val="fi-FI"/>
        </w:rPr>
        <w:t>rhosen (1967: 303) mukaan monikon 1. persoonan muoto (*</w:t>
      </w:r>
      <w:r w:rsidR="006E1E3A" w:rsidRPr="00FB4EFA">
        <w:rPr>
          <w:lang w:val="fi-FI"/>
        </w:rPr>
        <w:t>-</w:t>
      </w:r>
      <w:r w:rsidRPr="00FB4EFA">
        <w:rPr>
          <w:rFonts w:eastAsia="Courier New" w:cs="Times New Roman"/>
          <w:i/>
          <w:iCs/>
          <w:lang w:val="fi-FI"/>
        </w:rPr>
        <w:t>pA</w:t>
      </w:r>
      <w:r w:rsidRPr="00FB4EFA">
        <w:rPr>
          <w:rFonts w:eastAsia="Courier New" w:cs="Times New Roman"/>
          <w:lang w:val="fi-FI"/>
        </w:rPr>
        <w:t xml:space="preserve">) on muodostettu pelkän partisiipin avulla, eikä ole pystytty osoittamaan, että sen perään olisi liittynyt mitään varsinaista </w:t>
      </w:r>
      <w:r w:rsidR="00030518" w:rsidRPr="00FB4EFA">
        <w:rPr>
          <w:rFonts w:eastAsia="Courier New" w:cs="Times New Roman"/>
          <w:lang w:val="fi-FI"/>
        </w:rPr>
        <w:br/>
      </w:r>
      <w:r w:rsidRPr="00FB4EFA">
        <w:rPr>
          <w:rFonts w:eastAsia="Courier New" w:cs="Times New Roman"/>
          <w:lang w:val="fi-FI"/>
        </w:rPr>
        <w:t xml:space="preserve">persoonatunnusta. Hänen mukaansa siis preesenspartisiippi, josta on itämerensuomalaisissa kielissä kehittynyt yksikön 3. persoonan muoto (esim. </w:t>
      </w:r>
      <w:r w:rsidRPr="00FB4EFA">
        <w:rPr>
          <w:rFonts w:eastAsia="Courier New" w:cs="Times New Roman"/>
          <w:i/>
          <w:iCs/>
          <w:lang w:val="fi-FI"/>
        </w:rPr>
        <w:t>palaa</w:t>
      </w:r>
      <w:r w:rsidRPr="00FB4EFA">
        <w:rPr>
          <w:rFonts w:eastAsia="Courier New" w:cs="Times New Roman"/>
          <w:lang w:val="fi-FI"/>
        </w:rPr>
        <w:t xml:space="preserve"> &lt; </w:t>
      </w:r>
      <w:r w:rsidRPr="00FB4EFA">
        <w:rPr>
          <w:rFonts w:eastAsia="Courier New" w:cs="Times New Roman"/>
          <w:i/>
          <w:iCs/>
          <w:lang w:val="fi-FI"/>
        </w:rPr>
        <w:t>palavi</w:t>
      </w:r>
      <w:r w:rsidRPr="00FB4EFA">
        <w:rPr>
          <w:rFonts w:eastAsia="Courier New" w:cs="Times New Roman"/>
          <w:lang w:val="fi-FI"/>
        </w:rPr>
        <w:t xml:space="preserve"> &lt; *</w:t>
      </w:r>
      <w:r w:rsidRPr="00FB4EFA">
        <w:rPr>
          <w:rFonts w:eastAsia="Courier New" w:cs="Times New Roman"/>
          <w:i/>
          <w:iCs/>
          <w:lang w:val="fi-FI"/>
        </w:rPr>
        <w:t>palapa</w:t>
      </w:r>
      <w:r w:rsidRPr="00FB4EFA">
        <w:rPr>
          <w:rFonts w:eastAsia="Courier New" w:cs="Times New Roman"/>
          <w:lang w:val="fi-FI"/>
        </w:rPr>
        <w:t>) ja saamelaisissa monikon 1. persoonan muoto, on molemmissa tapauksissa pelkkä preesenspartisiippi ilman lisätaivutusta.</w:t>
      </w:r>
    </w:p>
    <w:tbl>
      <w:tblPr>
        <w:tblW w:w="0" w:type="auto"/>
        <w:jc w:val="center"/>
        <w:tblLook w:val="04A0" w:firstRow="1" w:lastRow="0" w:firstColumn="1" w:lastColumn="0" w:noHBand="0" w:noVBand="1"/>
      </w:tblPr>
      <w:tblGrid>
        <w:gridCol w:w="1082"/>
        <w:gridCol w:w="635"/>
        <w:gridCol w:w="1092"/>
        <w:gridCol w:w="3077"/>
      </w:tblGrid>
      <w:tr w:rsidR="00FB4EFA" w:rsidRPr="00FB4EFA" w14:paraId="19B3AB0D" w14:textId="77777777" w:rsidTr="008E3375">
        <w:trPr>
          <w:jc w:val="center"/>
        </w:trPr>
        <w:tc>
          <w:tcPr>
            <w:tcW w:w="0" w:type="auto"/>
            <w:tcBorders>
              <w:top w:val="nil"/>
              <w:left w:val="nil"/>
              <w:bottom w:val="single" w:sz="12" w:space="0" w:color="000000"/>
              <w:right w:val="single" w:sz="12" w:space="0" w:color="000000"/>
            </w:tcBorders>
            <w:vAlign w:val="center"/>
          </w:tcPr>
          <w:p w14:paraId="05F4ECF7"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lastRenderedPageBreak/>
              <w:t>persoona</w:t>
            </w:r>
          </w:p>
        </w:tc>
        <w:tc>
          <w:tcPr>
            <w:tcW w:w="0" w:type="auto"/>
            <w:tcBorders>
              <w:top w:val="nil"/>
              <w:left w:val="single" w:sz="12" w:space="0" w:color="000000"/>
              <w:bottom w:val="single" w:sz="12" w:space="0" w:color="000000"/>
            </w:tcBorders>
            <w:vAlign w:val="center"/>
          </w:tcPr>
          <w:p w14:paraId="203381BF"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luku</w:t>
            </w:r>
          </w:p>
        </w:tc>
        <w:tc>
          <w:tcPr>
            <w:tcW w:w="0" w:type="auto"/>
            <w:tcBorders>
              <w:top w:val="nil"/>
              <w:bottom w:val="single" w:sz="12" w:space="0" w:color="000000"/>
            </w:tcBorders>
            <w:vAlign w:val="center"/>
          </w:tcPr>
          <w:p w14:paraId="730530D5"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tunnus</w:t>
            </w:r>
          </w:p>
        </w:tc>
        <w:tc>
          <w:tcPr>
            <w:tcW w:w="0" w:type="auto"/>
            <w:tcBorders>
              <w:top w:val="nil"/>
              <w:bottom w:val="single" w:sz="12" w:space="0" w:color="000000"/>
              <w:right w:val="nil"/>
            </w:tcBorders>
            <w:vAlign w:val="center"/>
          </w:tcPr>
          <w:p w14:paraId="292F6147"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’mennä’-verbi, pohjoissaame</w:t>
            </w:r>
          </w:p>
        </w:tc>
      </w:tr>
      <w:tr w:rsidR="00FB4EFA" w:rsidRPr="00FB4EFA" w14:paraId="4ED45884" w14:textId="77777777" w:rsidTr="008E3375">
        <w:trPr>
          <w:jc w:val="center"/>
        </w:trPr>
        <w:tc>
          <w:tcPr>
            <w:tcW w:w="0" w:type="auto"/>
            <w:vMerge w:val="restart"/>
            <w:tcBorders>
              <w:top w:val="single" w:sz="12" w:space="0" w:color="000000"/>
              <w:left w:val="nil"/>
              <w:bottom w:val="single" w:sz="12" w:space="0" w:color="000000"/>
              <w:right w:val="single" w:sz="12" w:space="0" w:color="000000"/>
            </w:tcBorders>
            <w:vAlign w:val="center"/>
          </w:tcPr>
          <w:p w14:paraId="1CB5C56D"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Sg</w:t>
            </w:r>
          </w:p>
        </w:tc>
        <w:tc>
          <w:tcPr>
            <w:tcW w:w="0" w:type="auto"/>
            <w:tcBorders>
              <w:top w:val="single" w:sz="12" w:space="0" w:color="000000"/>
              <w:left w:val="single" w:sz="12" w:space="0" w:color="000000"/>
            </w:tcBorders>
            <w:vAlign w:val="center"/>
          </w:tcPr>
          <w:p w14:paraId="0463A6D1"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1</w:t>
            </w:r>
          </w:p>
        </w:tc>
        <w:tc>
          <w:tcPr>
            <w:tcW w:w="0" w:type="auto"/>
            <w:tcBorders>
              <w:top w:val="single" w:sz="12" w:space="0" w:color="000000"/>
            </w:tcBorders>
          </w:tcPr>
          <w:p w14:paraId="7E034696"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m</w:t>
            </w:r>
          </w:p>
        </w:tc>
        <w:tc>
          <w:tcPr>
            <w:tcW w:w="0" w:type="auto"/>
            <w:tcBorders>
              <w:top w:val="single" w:sz="12" w:space="0" w:color="000000"/>
              <w:right w:val="nil"/>
            </w:tcBorders>
          </w:tcPr>
          <w:p w14:paraId="5EB7DE34"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me</w:t>
            </w:r>
            <w:r w:rsidRPr="00FB4EFA">
              <w:rPr>
                <w:rFonts w:ascii="Times New Roman" w:hAnsi="Times New Roman" w:cs="Times New Roman"/>
                <w:i/>
                <w:iCs/>
                <w:lang w:val="fi-FI"/>
              </w:rPr>
              <w:t>̭</w:t>
            </w:r>
            <w:r w:rsidRPr="00FB4EFA">
              <w:rPr>
                <w:rFonts w:cs="Times New Roman"/>
                <w:i/>
                <w:iCs/>
                <w:lang w:val="fi-FI"/>
              </w:rPr>
              <w:t>ne</w:t>
            </w:r>
            <w:r w:rsidRPr="00FB4EFA">
              <w:rPr>
                <w:rFonts w:ascii="Times New Roman" w:hAnsi="Times New Roman" w:cs="Times New Roman"/>
                <w:i/>
                <w:iCs/>
                <w:lang w:val="fi-FI"/>
              </w:rPr>
              <w:t>̭</w:t>
            </w:r>
            <w:r w:rsidRPr="00FB4EFA">
              <w:rPr>
                <w:rFonts w:cs="Times New Roman"/>
                <w:i/>
                <w:iCs/>
                <w:lang w:val="fi-FI"/>
              </w:rPr>
              <w:t>-m</w:t>
            </w:r>
            <w:r w:rsidRPr="00FB4EFA">
              <w:rPr>
                <w:rFonts w:cs="Times New Roman"/>
                <w:lang w:val="fi-FI"/>
              </w:rPr>
              <w:t xml:space="preserve"> &gt; </w:t>
            </w:r>
            <w:r w:rsidRPr="00FB4EFA">
              <w:rPr>
                <w:rFonts w:cs="Times New Roman"/>
                <w:i/>
                <w:iCs/>
                <w:lang w:val="fi-FI"/>
              </w:rPr>
              <w:t>manan</w:t>
            </w:r>
          </w:p>
        </w:tc>
      </w:tr>
      <w:tr w:rsidR="00FB4EFA" w:rsidRPr="00FB4EFA" w14:paraId="0E608EFD" w14:textId="77777777" w:rsidTr="008E3375">
        <w:trPr>
          <w:jc w:val="center"/>
        </w:trPr>
        <w:tc>
          <w:tcPr>
            <w:tcW w:w="0" w:type="auto"/>
            <w:vMerge/>
            <w:tcBorders>
              <w:left w:val="nil"/>
              <w:right w:val="single" w:sz="12" w:space="0" w:color="000000"/>
            </w:tcBorders>
            <w:vAlign w:val="center"/>
          </w:tcPr>
          <w:p w14:paraId="4354A1CF" w14:textId="77777777" w:rsidR="0076526E" w:rsidRPr="00FB4EFA" w:rsidRDefault="0076526E" w:rsidP="00AC1192">
            <w:pPr>
              <w:keepNext/>
              <w:widowControl w:val="0"/>
              <w:suppressAutoHyphens/>
              <w:jc w:val="center"/>
              <w:rPr>
                <w:rFonts w:cs="Times New Roman"/>
                <w:b/>
                <w:bCs/>
                <w:sz w:val="20"/>
                <w:szCs w:val="20"/>
                <w:lang w:val="fi-FI"/>
              </w:rPr>
            </w:pPr>
          </w:p>
        </w:tc>
        <w:tc>
          <w:tcPr>
            <w:tcW w:w="0" w:type="auto"/>
            <w:tcBorders>
              <w:left w:val="single" w:sz="12" w:space="0" w:color="000000"/>
            </w:tcBorders>
            <w:vAlign w:val="center"/>
          </w:tcPr>
          <w:p w14:paraId="20D06495"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2</w:t>
            </w:r>
          </w:p>
        </w:tc>
        <w:tc>
          <w:tcPr>
            <w:tcW w:w="0" w:type="auto"/>
          </w:tcPr>
          <w:p w14:paraId="75AF6E8F"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k</w:t>
            </w:r>
          </w:p>
        </w:tc>
        <w:tc>
          <w:tcPr>
            <w:tcW w:w="0" w:type="auto"/>
            <w:tcBorders>
              <w:right w:val="nil"/>
            </w:tcBorders>
          </w:tcPr>
          <w:p w14:paraId="66315A42"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me</w:t>
            </w:r>
            <w:r w:rsidRPr="00FB4EFA">
              <w:rPr>
                <w:rFonts w:ascii="Times New Roman" w:hAnsi="Times New Roman" w:cs="Times New Roman"/>
                <w:i/>
                <w:iCs/>
                <w:lang w:val="fi-FI"/>
              </w:rPr>
              <w:t>̭</w:t>
            </w:r>
            <w:r w:rsidRPr="00FB4EFA">
              <w:rPr>
                <w:rFonts w:cs="Times New Roman"/>
                <w:i/>
                <w:iCs/>
                <w:lang w:val="fi-FI"/>
              </w:rPr>
              <w:t>ne</w:t>
            </w:r>
            <w:r w:rsidRPr="00FB4EFA">
              <w:rPr>
                <w:rFonts w:ascii="Times New Roman" w:hAnsi="Times New Roman" w:cs="Times New Roman"/>
                <w:i/>
                <w:iCs/>
                <w:lang w:val="fi-FI"/>
              </w:rPr>
              <w:t>̭</w:t>
            </w:r>
            <w:r w:rsidRPr="00FB4EFA">
              <w:rPr>
                <w:rFonts w:cs="Times New Roman"/>
                <w:i/>
                <w:iCs/>
                <w:lang w:val="fi-FI"/>
              </w:rPr>
              <w:t>-k</w:t>
            </w:r>
            <w:r w:rsidRPr="00FB4EFA">
              <w:rPr>
                <w:rFonts w:cs="Times New Roman"/>
                <w:lang w:val="fi-FI"/>
              </w:rPr>
              <w:t xml:space="preserve"> &gt; </w:t>
            </w:r>
            <w:r w:rsidRPr="00FB4EFA">
              <w:rPr>
                <w:rFonts w:cs="Times New Roman"/>
                <w:i/>
                <w:iCs/>
                <w:lang w:val="fi-FI"/>
              </w:rPr>
              <w:t>manan</w:t>
            </w:r>
          </w:p>
        </w:tc>
      </w:tr>
      <w:tr w:rsidR="00FB4EFA" w:rsidRPr="00FB4EFA" w14:paraId="35FBAE93" w14:textId="77777777" w:rsidTr="008E3375">
        <w:trPr>
          <w:jc w:val="center"/>
        </w:trPr>
        <w:tc>
          <w:tcPr>
            <w:tcW w:w="0" w:type="auto"/>
            <w:vMerge/>
            <w:tcBorders>
              <w:left w:val="nil"/>
              <w:bottom w:val="single" w:sz="12" w:space="0" w:color="000000"/>
              <w:right w:val="single" w:sz="12" w:space="0" w:color="000000"/>
            </w:tcBorders>
            <w:vAlign w:val="center"/>
          </w:tcPr>
          <w:p w14:paraId="295A40CD" w14:textId="77777777" w:rsidR="0076526E" w:rsidRPr="00FB4EFA" w:rsidRDefault="0076526E" w:rsidP="00AC1192">
            <w:pPr>
              <w:keepNext/>
              <w:widowControl w:val="0"/>
              <w:suppressAutoHyphens/>
              <w:jc w:val="center"/>
              <w:rPr>
                <w:rFonts w:cs="Times New Roman"/>
                <w:b/>
                <w:bCs/>
                <w:sz w:val="20"/>
                <w:szCs w:val="20"/>
                <w:lang w:val="fi-FI"/>
              </w:rPr>
            </w:pPr>
          </w:p>
        </w:tc>
        <w:tc>
          <w:tcPr>
            <w:tcW w:w="0" w:type="auto"/>
            <w:tcBorders>
              <w:left w:val="single" w:sz="12" w:space="0" w:color="000000"/>
              <w:bottom w:val="single" w:sz="12" w:space="0" w:color="000000"/>
            </w:tcBorders>
            <w:vAlign w:val="center"/>
          </w:tcPr>
          <w:p w14:paraId="0674B77E"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3</w:t>
            </w:r>
          </w:p>
        </w:tc>
        <w:tc>
          <w:tcPr>
            <w:tcW w:w="0" w:type="auto"/>
            <w:tcBorders>
              <w:bottom w:val="single" w:sz="12" w:space="0" w:color="000000"/>
            </w:tcBorders>
          </w:tcPr>
          <w:p w14:paraId="46B00708"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jA</w:t>
            </w:r>
          </w:p>
        </w:tc>
        <w:tc>
          <w:tcPr>
            <w:tcW w:w="0" w:type="auto"/>
            <w:tcBorders>
              <w:bottom w:val="single" w:sz="12" w:space="0" w:color="000000"/>
              <w:right w:val="nil"/>
            </w:tcBorders>
          </w:tcPr>
          <w:p w14:paraId="6A0AA8D4"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me</w:t>
            </w:r>
            <w:r w:rsidRPr="00FB4EFA">
              <w:rPr>
                <w:rFonts w:ascii="Times New Roman" w:hAnsi="Times New Roman" w:cs="Times New Roman"/>
                <w:i/>
                <w:iCs/>
                <w:lang w:val="fi-FI"/>
              </w:rPr>
              <w:t>̭</w:t>
            </w:r>
            <w:r w:rsidRPr="00FB4EFA">
              <w:rPr>
                <w:rFonts w:cs="Times New Roman"/>
                <w:i/>
                <w:iCs/>
                <w:lang w:val="fi-FI"/>
              </w:rPr>
              <w:t>ne</w:t>
            </w:r>
            <w:r w:rsidRPr="00FB4EFA">
              <w:rPr>
                <w:rFonts w:ascii="Times New Roman" w:hAnsi="Times New Roman" w:cs="Times New Roman"/>
                <w:i/>
                <w:iCs/>
                <w:lang w:val="fi-FI"/>
              </w:rPr>
              <w:t>̭</w:t>
            </w:r>
            <w:r w:rsidRPr="00FB4EFA">
              <w:rPr>
                <w:rFonts w:cs="Times New Roman"/>
                <w:i/>
                <w:iCs/>
                <w:lang w:val="fi-FI"/>
              </w:rPr>
              <w:t>-j</w:t>
            </w:r>
            <w:r w:rsidRPr="00FB4EFA">
              <w:rPr>
                <w:rFonts w:cs="Baskerville Old Face"/>
                <w:i/>
                <w:iCs/>
                <w:lang w:val="fi-FI"/>
              </w:rPr>
              <w:t>ä</w:t>
            </w:r>
            <w:r w:rsidRPr="00FB4EFA">
              <w:rPr>
                <w:rFonts w:cs="Times New Roman"/>
                <w:lang w:val="fi-FI"/>
              </w:rPr>
              <w:t xml:space="preserve"> &gt; </w:t>
            </w:r>
            <w:r w:rsidRPr="00FB4EFA">
              <w:rPr>
                <w:rFonts w:cs="Times New Roman"/>
                <w:i/>
                <w:iCs/>
                <w:lang w:val="fi-FI"/>
              </w:rPr>
              <w:t>manná</w:t>
            </w:r>
          </w:p>
        </w:tc>
      </w:tr>
      <w:tr w:rsidR="00FB4EFA" w:rsidRPr="00FB4EFA" w14:paraId="4ADD2D1D" w14:textId="77777777" w:rsidTr="008E3375">
        <w:trPr>
          <w:jc w:val="center"/>
        </w:trPr>
        <w:tc>
          <w:tcPr>
            <w:tcW w:w="0" w:type="auto"/>
            <w:vMerge w:val="restart"/>
            <w:tcBorders>
              <w:top w:val="single" w:sz="12" w:space="0" w:color="000000"/>
              <w:left w:val="nil"/>
              <w:bottom w:val="single" w:sz="12" w:space="0" w:color="000000"/>
              <w:right w:val="single" w:sz="12" w:space="0" w:color="000000"/>
            </w:tcBorders>
            <w:vAlign w:val="center"/>
          </w:tcPr>
          <w:p w14:paraId="136503EA"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Du</w:t>
            </w:r>
          </w:p>
        </w:tc>
        <w:tc>
          <w:tcPr>
            <w:tcW w:w="0" w:type="auto"/>
            <w:tcBorders>
              <w:top w:val="single" w:sz="12" w:space="0" w:color="000000"/>
              <w:left w:val="single" w:sz="12" w:space="0" w:color="000000"/>
            </w:tcBorders>
            <w:vAlign w:val="center"/>
          </w:tcPr>
          <w:p w14:paraId="2553D890"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1</w:t>
            </w:r>
          </w:p>
        </w:tc>
        <w:tc>
          <w:tcPr>
            <w:tcW w:w="0" w:type="auto"/>
            <w:tcBorders>
              <w:top w:val="single" w:sz="12" w:space="0" w:color="000000"/>
            </w:tcBorders>
          </w:tcPr>
          <w:p w14:paraId="1CA7DAC4" w14:textId="77777777" w:rsidR="0076526E" w:rsidRPr="00FB4EFA" w:rsidRDefault="0076526E" w:rsidP="00AF0CAD">
            <w:pPr>
              <w:keepNext/>
              <w:widowControl w:val="0"/>
              <w:jc w:val="left"/>
              <w:rPr>
                <w:rFonts w:cs="Times New Roman"/>
                <w:i/>
                <w:iCs/>
                <w:lang w:val="fi-FI"/>
              </w:rPr>
            </w:pPr>
            <w:r w:rsidRPr="00FB4EFA">
              <w:rPr>
                <w:rFonts w:cs="Times New Roman"/>
                <w:lang w:val="fi-FI"/>
              </w:rPr>
              <w:t>*-</w:t>
            </w:r>
            <w:r w:rsidRPr="00FB4EFA">
              <w:rPr>
                <w:rFonts w:cs="Times New Roman"/>
                <w:i/>
                <w:iCs/>
                <w:lang w:val="fi-FI"/>
              </w:rPr>
              <w:t>jA-n</w:t>
            </w:r>
          </w:p>
        </w:tc>
        <w:tc>
          <w:tcPr>
            <w:tcW w:w="0" w:type="auto"/>
            <w:tcBorders>
              <w:top w:val="single" w:sz="12" w:space="0" w:color="000000"/>
              <w:right w:val="nil"/>
            </w:tcBorders>
          </w:tcPr>
          <w:p w14:paraId="6E804B7F"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me</w:t>
            </w:r>
            <w:r w:rsidRPr="00FB4EFA">
              <w:rPr>
                <w:rFonts w:ascii="Times New Roman" w:hAnsi="Times New Roman" w:cs="Times New Roman"/>
                <w:i/>
                <w:iCs/>
                <w:lang w:val="fi-FI"/>
              </w:rPr>
              <w:t>̭</w:t>
            </w:r>
            <w:r w:rsidRPr="00FB4EFA">
              <w:rPr>
                <w:rFonts w:cs="Times New Roman"/>
                <w:i/>
                <w:iCs/>
                <w:lang w:val="fi-FI"/>
              </w:rPr>
              <w:t>ne</w:t>
            </w:r>
            <w:r w:rsidRPr="00FB4EFA">
              <w:rPr>
                <w:rFonts w:ascii="Times New Roman" w:hAnsi="Times New Roman" w:cs="Times New Roman"/>
                <w:i/>
                <w:iCs/>
                <w:lang w:val="fi-FI"/>
              </w:rPr>
              <w:t>̭</w:t>
            </w:r>
            <w:r w:rsidRPr="00FB4EFA">
              <w:rPr>
                <w:rFonts w:cs="Times New Roman"/>
                <w:i/>
                <w:iCs/>
                <w:lang w:val="fi-FI"/>
              </w:rPr>
              <w:t>-ja-n</w:t>
            </w:r>
            <w:r w:rsidRPr="00FB4EFA">
              <w:rPr>
                <w:rFonts w:cs="Times New Roman"/>
                <w:lang w:val="fi-FI"/>
              </w:rPr>
              <w:t xml:space="preserve"> &gt; </w:t>
            </w:r>
            <w:r w:rsidRPr="00FB4EFA">
              <w:rPr>
                <w:rFonts w:cs="Times New Roman"/>
                <w:i/>
                <w:iCs/>
                <w:lang w:val="fi-FI"/>
              </w:rPr>
              <w:t>manne</w:t>
            </w:r>
          </w:p>
        </w:tc>
      </w:tr>
      <w:tr w:rsidR="00FB4EFA" w:rsidRPr="00FB4EFA" w14:paraId="4B8E42D0" w14:textId="77777777" w:rsidTr="008E3375">
        <w:trPr>
          <w:jc w:val="center"/>
        </w:trPr>
        <w:tc>
          <w:tcPr>
            <w:tcW w:w="0" w:type="auto"/>
            <w:vMerge/>
            <w:tcBorders>
              <w:left w:val="nil"/>
              <w:right w:val="single" w:sz="12" w:space="0" w:color="000000"/>
            </w:tcBorders>
            <w:vAlign w:val="center"/>
          </w:tcPr>
          <w:p w14:paraId="2218939E" w14:textId="77777777" w:rsidR="0076526E" w:rsidRPr="00FB4EFA" w:rsidRDefault="0076526E" w:rsidP="00AC1192">
            <w:pPr>
              <w:keepNext/>
              <w:widowControl w:val="0"/>
              <w:suppressAutoHyphens/>
              <w:jc w:val="center"/>
              <w:rPr>
                <w:rFonts w:cs="Times New Roman"/>
                <w:b/>
                <w:bCs/>
                <w:sz w:val="20"/>
                <w:szCs w:val="20"/>
                <w:lang w:val="fi-FI"/>
              </w:rPr>
            </w:pPr>
          </w:p>
        </w:tc>
        <w:tc>
          <w:tcPr>
            <w:tcW w:w="0" w:type="auto"/>
            <w:tcBorders>
              <w:left w:val="single" w:sz="12" w:space="0" w:color="000000"/>
            </w:tcBorders>
            <w:vAlign w:val="center"/>
          </w:tcPr>
          <w:p w14:paraId="23E3E553"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2</w:t>
            </w:r>
          </w:p>
        </w:tc>
        <w:tc>
          <w:tcPr>
            <w:tcW w:w="0" w:type="auto"/>
          </w:tcPr>
          <w:p w14:paraId="78E15B38" w14:textId="77777777" w:rsidR="0076526E" w:rsidRPr="00FB4EFA" w:rsidRDefault="0076526E" w:rsidP="00AF0CAD">
            <w:pPr>
              <w:keepNext/>
              <w:widowControl w:val="0"/>
              <w:jc w:val="left"/>
              <w:rPr>
                <w:rFonts w:cs="Times New Roman"/>
                <w:i/>
                <w:iCs/>
                <w:lang w:val="fi-FI"/>
              </w:rPr>
            </w:pPr>
            <w:r w:rsidRPr="00FB4EFA">
              <w:rPr>
                <w:rFonts w:cs="Times New Roman"/>
                <w:lang w:val="fi-FI"/>
              </w:rPr>
              <w:t>*-</w:t>
            </w:r>
            <w:r w:rsidRPr="00FB4EFA">
              <w:rPr>
                <w:rFonts w:cs="Times New Roman"/>
                <w:i/>
                <w:iCs/>
                <w:lang w:val="fi-FI"/>
              </w:rPr>
              <w:t>pA-tA-n</w:t>
            </w:r>
          </w:p>
        </w:tc>
        <w:tc>
          <w:tcPr>
            <w:tcW w:w="0" w:type="auto"/>
            <w:tcBorders>
              <w:right w:val="nil"/>
            </w:tcBorders>
          </w:tcPr>
          <w:p w14:paraId="78756AC7" w14:textId="77777777" w:rsidR="0076526E" w:rsidRPr="00FB4EFA" w:rsidRDefault="0076526E" w:rsidP="00AF0CAD">
            <w:pPr>
              <w:keepNext/>
              <w:widowControl w:val="0"/>
              <w:jc w:val="left"/>
              <w:rPr>
                <w:rFonts w:cs="Times New Roman"/>
                <w:lang w:val="sv-SE"/>
              </w:rPr>
            </w:pPr>
            <w:r w:rsidRPr="00FB4EFA">
              <w:rPr>
                <w:rFonts w:cs="Times New Roman"/>
                <w:lang w:val="sv-SE"/>
              </w:rPr>
              <w:t>*</w:t>
            </w:r>
            <w:r w:rsidRPr="00FB4EFA">
              <w:rPr>
                <w:rFonts w:cs="Times New Roman"/>
                <w:i/>
                <w:iCs/>
                <w:lang w:val="sv-SE"/>
              </w:rPr>
              <w:t>me</w:t>
            </w:r>
            <w:r w:rsidRPr="00FB4EFA">
              <w:rPr>
                <w:rFonts w:ascii="Times New Roman" w:hAnsi="Times New Roman" w:cs="Times New Roman"/>
                <w:i/>
                <w:iCs/>
                <w:lang w:val="sv-SE"/>
              </w:rPr>
              <w:t>̭</w:t>
            </w:r>
            <w:r w:rsidRPr="00FB4EFA">
              <w:rPr>
                <w:rFonts w:cs="Times New Roman"/>
                <w:i/>
                <w:iCs/>
                <w:lang w:val="sv-SE"/>
              </w:rPr>
              <w:t>ne</w:t>
            </w:r>
            <w:r w:rsidRPr="00FB4EFA">
              <w:rPr>
                <w:rFonts w:ascii="Times New Roman" w:hAnsi="Times New Roman" w:cs="Times New Roman"/>
                <w:i/>
                <w:iCs/>
                <w:lang w:val="sv-SE"/>
              </w:rPr>
              <w:t>̭</w:t>
            </w:r>
            <w:r w:rsidRPr="00FB4EFA">
              <w:rPr>
                <w:rFonts w:cs="Times New Roman"/>
                <w:i/>
                <w:iCs/>
                <w:lang w:val="sv-SE"/>
              </w:rPr>
              <w:t>-pa-ta-n</w:t>
            </w:r>
            <w:r w:rsidRPr="00FB4EFA">
              <w:rPr>
                <w:rFonts w:cs="Times New Roman"/>
                <w:lang w:val="sv-SE"/>
              </w:rPr>
              <w:t xml:space="preserve"> &gt; </w:t>
            </w:r>
            <w:r w:rsidRPr="00FB4EFA">
              <w:rPr>
                <w:rFonts w:cs="Times New Roman"/>
                <w:i/>
                <w:iCs/>
                <w:lang w:val="sv-SE"/>
              </w:rPr>
              <w:t>mannabeahtti</w:t>
            </w:r>
          </w:p>
        </w:tc>
      </w:tr>
      <w:tr w:rsidR="00FB4EFA" w:rsidRPr="00FB4EFA" w14:paraId="4BDA9C07" w14:textId="77777777" w:rsidTr="008E3375">
        <w:trPr>
          <w:jc w:val="center"/>
        </w:trPr>
        <w:tc>
          <w:tcPr>
            <w:tcW w:w="0" w:type="auto"/>
            <w:vMerge/>
            <w:tcBorders>
              <w:left w:val="nil"/>
              <w:bottom w:val="single" w:sz="12" w:space="0" w:color="000000"/>
              <w:right w:val="single" w:sz="12" w:space="0" w:color="000000"/>
            </w:tcBorders>
            <w:vAlign w:val="center"/>
          </w:tcPr>
          <w:p w14:paraId="2BA5FC68" w14:textId="77777777" w:rsidR="0076526E" w:rsidRPr="00FB4EFA" w:rsidRDefault="0076526E" w:rsidP="00AC1192">
            <w:pPr>
              <w:keepNext/>
              <w:widowControl w:val="0"/>
              <w:suppressAutoHyphens/>
              <w:jc w:val="center"/>
              <w:rPr>
                <w:rFonts w:cs="Times New Roman"/>
                <w:b/>
                <w:bCs/>
                <w:sz w:val="20"/>
                <w:szCs w:val="20"/>
                <w:lang w:val="sv-SE"/>
              </w:rPr>
            </w:pPr>
          </w:p>
        </w:tc>
        <w:tc>
          <w:tcPr>
            <w:tcW w:w="0" w:type="auto"/>
            <w:tcBorders>
              <w:left w:val="single" w:sz="12" w:space="0" w:color="000000"/>
              <w:bottom w:val="single" w:sz="12" w:space="0" w:color="000000"/>
            </w:tcBorders>
            <w:vAlign w:val="center"/>
          </w:tcPr>
          <w:p w14:paraId="19D0E944"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3</w:t>
            </w:r>
          </w:p>
        </w:tc>
        <w:tc>
          <w:tcPr>
            <w:tcW w:w="0" w:type="auto"/>
            <w:tcBorders>
              <w:bottom w:val="single" w:sz="12" w:space="0" w:color="000000"/>
            </w:tcBorders>
          </w:tcPr>
          <w:p w14:paraId="7E91941D" w14:textId="77777777" w:rsidR="0076526E" w:rsidRPr="00FB4EFA" w:rsidRDefault="0076526E" w:rsidP="00AF0CAD">
            <w:pPr>
              <w:keepNext/>
              <w:widowControl w:val="0"/>
              <w:jc w:val="left"/>
              <w:rPr>
                <w:rFonts w:cs="Times New Roman"/>
                <w:i/>
                <w:iCs/>
                <w:lang w:val="fi-FI"/>
              </w:rPr>
            </w:pPr>
            <w:r w:rsidRPr="00FB4EFA">
              <w:rPr>
                <w:rFonts w:cs="Times New Roman"/>
                <w:lang w:val="fi-FI"/>
              </w:rPr>
              <w:t>*-</w:t>
            </w:r>
            <w:r w:rsidRPr="00FB4EFA">
              <w:rPr>
                <w:rFonts w:cs="Times New Roman"/>
                <w:i/>
                <w:iCs/>
                <w:lang w:val="fi-FI"/>
              </w:rPr>
              <w:t>pA-n</w:t>
            </w:r>
          </w:p>
        </w:tc>
        <w:tc>
          <w:tcPr>
            <w:tcW w:w="0" w:type="auto"/>
            <w:tcBorders>
              <w:bottom w:val="single" w:sz="12" w:space="0" w:color="000000"/>
              <w:right w:val="nil"/>
            </w:tcBorders>
          </w:tcPr>
          <w:p w14:paraId="31EC2881"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me</w:t>
            </w:r>
            <w:r w:rsidRPr="00FB4EFA">
              <w:rPr>
                <w:rFonts w:ascii="Times New Roman" w:hAnsi="Times New Roman" w:cs="Times New Roman"/>
                <w:i/>
                <w:iCs/>
                <w:lang w:val="fi-FI"/>
              </w:rPr>
              <w:t>̭</w:t>
            </w:r>
            <w:r w:rsidRPr="00FB4EFA">
              <w:rPr>
                <w:rFonts w:cs="Times New Roman"/>
                <w:i/>
                <w:iCs/>
                <w:lang w:val="fi-FI"/>
              </w:rPr>
              <w:t>ne</w:t>
            </w:r>
            <w:r w:rsidRPr="00FB4EFA">
              <w:rPr>
                <w:rFonts w:ascii="Times New Roman" w:hAnsi="Times New Roman" w:cs="Times New Roman"/>
                <w:i/>
                <w:iCs/>
                <w:lang w:val="fi-FI"/>
              </w:rPr>
              <w:t>̭</w:t>
            </w:r>
            <w:r w:rsidRPr="00FB4EFA">
              <w:rPr>
                <w:rFonts w:cs="Times New Roman"/>
                <w:i/>
                <w:iCs/>
                <w:lang w:val="fi-FI"/>
              </w:rPr>
              <w:t>-pa-n</w:t>
            </w:r>
            <w:r w:rsidRPr="00FB4EFA">
              <w:rPr>
                <w:rFonts w:cs="Times New Roman"/>
                <w:lang w:val="fi-FI"/>
              </w:rPr>
              <w:t xml:space="preserve"> &gt; </w:t>
            </w:r>
            <w:r w:rsidRPr="00FB4EFA">
              <w:rPr>
                <w:rFonts w:cs="Times New Roman"/>
                <w:i/>
                <w:iCs/>
                <w:lang w:val="fi-FI"/>
              </w:rPr>
              <w:t>mannaba</w:t>
            </w:r>
          </w:p>
        </w:tc>
      </w:tr>
      <w:tr w:rsidR="00FB4EFA" w:rsidRPr="00FB4EFA" w14:paraId="69263EF3" w14:textId="77777777" w:rsidTr="008E3375">
        <w:trPr>
          <w:jc w:val="center"/>
        </w:trPr>
        <w:tc>
          <w:tcPr>
            <w:tcW w:w="0" w:type="auto"/>
            <w:vMerge w:val="restart"/>
            <w:tcBorders>
              <w:top w:val="single" w:sz="12" w:space="0" w:color="000000"/>
              <w:left w:val="nil"/>
              <w:bottom w:val="nil"/>
              <w:right w:val="single" w:sz="12" w:space="0" w:color="000000"/>
            </w:tcBorders>
            <w:vAlign w:val="center"/>
          </w:tcPr>
          <w:p w14:paraId="1CA0971B"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Pl</w:t>
            </w:r>
          </w:p>
        </w:tc>
        <w:tc>
          <w:tcPr>
            <w:tcW w:w="0" w:type="auto"/>
            <w:tcBorders>
              <w:top w:val="single" w:sz="12" w:space="0" w:color="000000"/>
              <w:left w:val="single" w:sz="12" w:space="0" w:color="000000"/>
            </w:tcBorders>
            <w:vAlign w:val="center"/>
          </w:tcPr>
          <w:p w14:paraId="57D1A320"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1</w:t>
            </w:r>
          </w:p>
        </w:tc>
        <w:tc>
          <w:tcPr>
            <w:tcW w:w="0" w:type="auto"/>
            <w:tcBorders>
              <w:top w:val="single" w:sz="12" w:space="0" w:color="000000"/>
            </w:tcBorders>
          </w:tcPr>
          <w:p w14:paraId="206BE4EF" w14:textId="77777777" w:rsidR="0076526E" w:rsidRPr="00FB4EFA" w:rsidRDefault="0076526E" w:rsidP="00AF0CAD">
            <w:pPr>
              <w:keepNext/>
              <w:widowControl w:val="0"/>
              <w:jc w:val="left"/>
              <w:rPr>
                <w:rFonts w:cs="Times New Roman"/>
                <w:i/>
                <w:iCs/>
                <w:lang w:val="fi-FI"/>
              </w:rPr>
            </w:pPr>
            <w:r w:rsidRPr="00FB4EFA">
              <w:rPr>
                <w:rFonts w:cs="Times New Roman"/>
                <w:lang w:val="fi-FI"/>
              </w:rPr>
              <w:t>*-</w:t>
            </w:r>
            <w:r w:rsidRPr="00FB4EFA">
              <w:rPr>
                <w:rFonts w:cs="Times New Roman"/>
                <w:i/>
                <w:iCs/>
                <w:lang w:val="fi-FI"/>
              </w:rPr>
              <w:t>pA(-k)</w:t>
            </w:r>
          </w:p>
        </w:tc>
        <w:tc>
          <w:tcPr>
            <w:tcW w:w="0" w:type="auto"/>
            <w:tcBorders>
              <w:top w:val="single" w:sz="12" w:space="0" w:color="000000"/>
              <w:right w:val="nil"/>
            </w:tcBorders>
          </w:tcPr>
          <w:p w14:paraId="663A6449"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me</w:t>
            </w:r>
            <w:r w:rsidRPr="00FB4EFA">
              <w:rPr>
                <w:rFonts w:ascii="Times New Roman" w:hAnsi="Times New Roman" w:cs="Times New Roman"/>
                <w:i/>
                <w:iCs/>
                <w:lang w:val="fi-FI"/>
              </w:rPr>
              <w:t>̭</w:t>
            </w:r>
            <w:r w:rsidRPr="00FB4EFA">
              <w:rPr>
                <w:rFonts w:cs="Times New Roman"/>
                <w:i/>
                <w:iCs/>
                <w:lang w:val="fi-FI"/>
              </w:rPr>
              <w:t>ne</w:t>
            </w:r>
            <w:r w:rsidRPr="00FB4EFA">
              <w:rPr>
                <w:rFonts w:ascii="Times New Roman" w:hAnsi="Times New Roman" w:cs="Times New Roman"/>
                <w:i/>
                <w:iCs/>
                <w:lang w:val="fi-FI"/>
              </w:rPr>
              <w:t>̭</w:t>
            </w:r>
            <w:r w:rsidRPr="00FB4EFA">
              <w:rPr>
                <w:rFonts w:cs="Times New Roman"/>
                <w:i/>
                <w:iCs/>
                <w:lang w:val="fi-FI"/>
              </w:rPr>
              <w:t>-pa(-k)</w:t>
            </w:r>
            <w:r w:rsidRPr="00FB4EFA">
              <w:rPr>
                <w:rFonts w:cs="Times New Roman"/>
                <w:lang w:val="fi-FI"/>
              </w:rPr>
              <w:t xml:space="preserve"> &gt; </w:t>
            </w:r>
            <w:r w:rsidRPr="00FB4EFA">
              <w:rPr>
                <w:rFonts w:cs="Times New Roman"/>
                <w:i/>
                <w:iCs/>
                <w:lang w:val="fi-FI"/>
              </w:rPr>
              <w:t>mannat</w:t>
            </w:r>
          </w:p>
        </w:tc>
      </w:tr>
      <w:tr w:rsidR="00FB4EFA" w:rsidRPr="00FB4EFA" w14:paraId="383D507B" w14:textId="77777777" w:rsidTr="008E3375">
        <w:trPr>
          <w:jc w:val="center"/>
        </w:trPr>
        <w:tc>
          <w:tcPr>
            <w:tcW w:w="0" w:type="auto"/>
            <w:vMerge/>
            <w:tcBorders>
              <w:left w:val="nil"/>
              <w:right w:val="single" w:sz="12" w:space="0" w:color="000000"/>
            </w:tcBorders>
            <w:vAlign w:val="center"/>
          </w:tcPr>
          <w:p w14:paraId="7B49E8D5" w14:textId="77777777" w:rsidR="0076526E" w:rsidRPr="00FB4EFA" w:rsidRDefault="0076526E" w:rsidP="00AC1192">
            <w:pPr>
              <w:keepNext/>
              <w:widowControl w:val="0"/>
              <w:suppressAutoHyphens/>
              <w:jc w:val="center"/>
              <w:rPr>
                <w:rFonts w:cs="Times New Roman"/>
                <w:b/>
                <w:bCs/>
                <w:sz w:val="20"/>
                <w:szCs w:val="20"/>
                <w:lang w:val="fi-FI"/>
              </w:rPr>
            </w:pPr>
          </w:p>
        </w:tc>
        <w:tc>
          <w:tcPr>
            <w:tcW w:w="0" w:type="auto"/>
            <w:tcBorders>
              <w:left w:val="single" w:sz="12" w:space="0" w:color="000000"/>
            </w:tcBorders>
            <w:vAlign w:val="center"/>
          </w:tcPr>
          <w:p w14:paraId="5D763D8C"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2</w:t>
            </w:r>
          </w:p>
        </w:tc>
        <w:tc>
          <w:tcPr>
            <w:tcW w:w="0" w:type="auto"/>
          </w:tcPr>
          <w:p w14:paraId="1C23FB9A" w14:textId="77777777" w:rsidR="0076526E" w:rsidRPr="00FB4EFA" w:rsidRDefault="0076526E" w:rsidP="00AF0CAD">
            <w:pPr>
              <w:keepNext/>
              <w:widowControl w:val="0"/>
              <w:jc w:val="left"/>
              <w:rPr>
                <w:rFonts w:cs="Times New Roman"/>
                <w:i/>
                <w:iCs/>
                <w:lang w:val="fi-FI"/>
              </w:rPr>
            </w:pPr>
            <w:r w:rsidRPr="00FB4EFA">
              <w:rPr>
                <w:rFonts w:cs="Times New Roman"/>
                <w:lang w:val="fi-FI"/>
              </w:rPr>
              <w:t>*-</w:t>
            </w:r>
            <w:r w:rsidRPr="00FB4EFA">
              <w:rPr>
                <w:rFonts w:cs="Times New Roman"/>
                <w:i/>
                <w:iCs/>
                <w:lang w:val="fi-FI"/>
              </w:rPr>
              <w:t>pA-tA-k</w:t>
            </w:r>
          </w:p>
        </w:tc>
        <w:tc>
          <w:tcPr>
            <w:tcW w:w="0" w:type="auto"/>
            <w:tcBorders>
              <w:right w:val="nil"/>
            </w:tcBorders>
          </w:tcPr>
          <w:p w14:paraId="2B781152" w14:textId="77777777" w:rsidR="0076526E" w:rsidRPr="00FB4EFA" w:rsidRDefault="0076526E" w:rsidP="00AF0CAD">
            <w:pPr>
              <w:keepNext/>
              <w:widowControl w:val="0"/>
              <w:jc w:val="left"/>
              <w:rPr>
                <w:rFonts w:cs="Times New Roman"/>
                <w:lang w:val="sv-SE"/>
              </w:rPr>
            </w:pPr>
            <w:r w:rsidRPr="00FB4EFA">
              <w:rPr>
                <w:rFonts w:cs="Times New Roman"/>
                <w:lang w:val="sv-SE"/>
              </w:rPr>
              <w:t>*</w:t>
            </w:r>
            <w:r w:rsidRPr="00FB4EFA">
              <w:rPr>
                <w:rFonts w:cs="Times New Roman"/>
                <w:i/>
                <w:iCs/>
                <w:lang w:val="sv-SE"/>
              </w:rPr>
              <w:t>me</w:t>
            </w:r>
            <w:r w:rsidRPr="00FB4EFA">
              <w:rPr>
                <w:rFonts w:ascii="Times New Roman" w:hAnsi="Times New Roman" w:cs="Times New Roman"/>
                <w:i/>
                <w:iCs/>
                <w:lang w:val="sv-SE"/>
              </w:rPr>
              <w:t>̭</w:t>
            </w:r>
            <w:r w:rsidRPr="00FB4EFA">
              <w:rPr>
                <w:rFonts w:cs="Times New Roman"/>
                <w:i/>
                <w:iCs/>
                <w:lang w:val="sv-SE"/>
              </w:rPr>
              <w:t>ne</w:t>
            </w:r>
            <w:r w:rsidRPr="00FB4EFA">
              <w:rPr>
                <w:rFonts w:ascii="Times New Roman" w:hAnsi="Times New Roman" w:cs="Times New Roman"/>
                <w:i/>
                <w:iCs/>
                <w:lang w:val="sv-SE"/>
              </w:rPr>
              <w:t>̭</w:t>
            </w:r>
            <w:r w:rsidRPr="00FB4EFA">
              <w:rPr>
                <w:rFonts w:cs="Times New Roman"/>
                <w:i/>
                <w:iCs/>
                <w:lang w:val="sv-SE"/>
              </w:rPr>
              <w:t>-pa-ta-k</w:t>
            </w:r>
            <w:r w:rsidRPr="00FB4EFA">
              <w:rPr>
                <w:rFonts w:cs="Times New Roman"/>
                <w:lang w:val="sv-SE"/>
              </w:rPr>
              <w:t xml:space="preserve"> &gt; </w:t>
            </w:r>
            <w:r w:rsidRPr="00FB4EFA">
              <w:rPr>
                <w:rFonts w:cs="Times New Roman"/>
                <w:i/>
                <w:iCs/>
                <w:lang w:val="sv-SE"/>
              </w:rPr>
              <w:t>mannabehtet</w:t>
            </w:r>
          </w:p>
        </w:tc>
      </w:tr>
      <w:tr w:rsidR="00FB4EFA" w:rsidRPr="00FB4EFA" w14:paraId="12F7503F" w14:textId="77777777" w:rsidTr="008E3375">
        <w:trPr>
          <w:jc w:val="center"/>
        </w:trPr>
        <w:tc>
          <w:tcPr>
            <w:tcW w:w="0" w:type="auto"/>
            <w:vMerge/>
            <w:tcBorders>
              <w:left w:val="nil"/>
              <w:bottom w:val="nil"/>
              <w:right w:val="single" w:sz="12" w:space="0" w:color="000000"/>
            </w:tcBorders>
            <w:vAlign w:val="center"/>
          </w:tcPr>
          <w:p w14:paraId="2345426C" w14:textId="77777777" w:rsidR="0076526E" w:rsidRPr="00FB4EFA" w:rsidRDefault="0076526E" w:rsidP="00AC1192">
            <w:pPr>
              <w:keepNext/>
              <w:widowControl w:val="0"/>
              <w:suppressAutoHyphens/>
              <w:jc w:val="center"/>
              <w:rPr>
                <w:rFonts w:cs="Times New Roman"/>
                <w:b/>
                <w:bCs/>
                <w:sz w:val="20"/>
                <w:szCs w:val="20"/>
                <w:lang w:val="sv-SE"/>
              </w:rPr>
            </w:pPr>
          </w:p>
        </w:tc>
        <w:tc>
          <w:tcPr>
            <w:tcW w:w="0" w:type="auto"/>
            <w:tcBorders>
              <w:left w:val="single" w:sz="12" w:space="0" w:color="000000"/>
              <w:bottom w:val="nil"/>
            </w:tcBorders>
            <w:vAlign w:val="center"/>
          </w:tcPr>
          <w:p w14:paraId="3311E481"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3</w:t>
            </w:r>
          </w:p>
        </w:tc>
        <w:tc>
          <w:tcPr>
            <w:tcW w:w="0" w:type="auto"/>
            <w:tcBorders>
              <w:bottom w:val="nil"/>
            </w:tcBorders>
          </w:tcPr>
          <w:p w14:paraId="5077F657" w14:textId="77777777" w:rsidR="0076526E" w:rsidRPr="00FB4EFA" w:rsidRDefault="0076526E" w:rsidP="00AF0CAD">
            <w:pPr>
              <w:keepNext/>
              <w:widowControl w:val="0"/>
              <w:jc w:val="left"/>
              <w:rPr>
                <w:rFonts w:cs="Times New Roman"/>
                <w:i/>
                <w:iCs/>
                <w:lang w:val="fi-FI"/>
              </w:rPr>
            </w:pPr>
            <w:r w:rsidRPr="00FB4EFA">
              <w:rPr>
                <w:rFonts w:cs="Times New Roman"/>
                <w:lang w:val="fi-FI"/>
              </w:rPr>
              <w:t>*-</w:t>
            </w:r>
            <w:r w:rsidRPr="00FB4EFA">
              <w:rPr>
                <w:rFonts w:cs="Times New Roman"/>
                <w:i/>
                <w:iCs/>
                <w:lang w:val="fi-FI"/>
              </w:rPr>
              <w:t>jA-k</w:t>
            </w:r>
          </w:p>
        </w:tc>
        <w:tc>
          <w:tcPr>
            <w:tcW w:w="0" w:type="auto"/>
            <w:tcBorders>
              <w:bottom w:val="nil"/>
              <w:right w:val="nil"/>
            </w:tcBorders>
          </w:tcPr>
          <w:p w14:paraId="25323A67" w14:textId="77777777" w:rsidR="0076526E" w:rsidRPr="00FB4EFA" w:rsidRDefault="0076526E" w:rsidP="00AF0CAD">
            <w:pPr>
              <w:keepNext/>
              <w:widowControl w:val="0"/>
              <w:jc w:val="left"/>
              <w:rPr>
                <w:rFonts w:cs="Times New Roman"/>
                <w:lang w:val="fi-FI"/>
              </w:rPr>
            </w:pPr>
            <w:r w:rsidRPr="00FB4EFA">
              <w:rPr>
                <w:rFonts w:cs="Times New Roman"/>
                <w:lang w:val="fi-FI"/>
              </w:rPr>
              <w:t>*</w:t>
            </w:r>
            <w:r w:rsidRPr="00FB4EFA">
              <w:rPr>
                <w:rFonts w:cs="Times New Roman"/>
                <w:i/>
                <w:iCs/>
                <w:lang w:val="fi-FI"/>
              </w:rPr>
              <w:t>me</w:t>
            </w:r>
            <w:r w:rsidRPr="00FB4EFA">
              <w:rPr>
                <w:rFonts w:ascii="Times New Roman" w:hAnsi="Times New Roman" w:cs="Times New Roman"/>
                <w:i/>
                <w:iCs/>
                <w:lang w:val="fi-FI"/>
              </w:rPr>
              <w:t>̭</w:t>
            </w:r>
            <w:r w:rsidRPr="00FB4EFA">
              <w:rPr>
                <w:rFonts w:cs="Times New Roman"/>
                <w:i/>
                <w:iCs/>
                <w:lang w:val="fi-FI"/>
              </w:rPr>
              <w:t>ne</w:t>
            </w:r>
            <w:r w:rsidRPr="00FB4EFA">
              <w:rPr>
                <w:rFonts w:ascii="Times New Roman" w:hAnsi="Times New Roman" w:cs="Times New Roman"/>
                <w:i/>
                <w:iCs/>
                <w:lang w:val="fi-FI"/>
              </w:rPr>
              <w:t>̭</w:t>
            </w:r>
            <w:r w:rsidRPr="00FB4EFA">
              <w:rPr>
                <w:rFonts w:cs="Times New Roman"/>
                <w:i/>
                <w:iCs/>
                <w:lang w:val="fi-FI"/>
              </w:rPr>
              <w:t>-ja-k</w:t>
            </w:r>
            <w:r w:rsidRPr="00FB4EFA">
              <w:rPr>
                <w:rFonts w:cs="Times New Roman"/>
                <w:lang w:val="fi-FI"/>
              </w:rPr>
              <w:t xml:space="preserve"> &gt; </w:t>
            </w:r>
            <w:r w:rsidRPr="00FB4EFA">
              <w:rPr>
                <w:rFonts w:cs="Times New Roman"/>
                <w:i/>
                <w:iCs/>
                <w:lang w:val="fi-FI"/>
              </w:rPr>
              <w:t>mannet</w:t>
            </w:r>
          </w:p>
        </w:tc>
      </w:tr>
    </w:tbl>
    <w:p w14:paraId="34CE37A9" w14:textId="77777777" w:rsidR="0076526E" w:rsidRPr="00FB4EFA" w:rsidRDefault="0076526E" w:rsidP="00AC1192">
      <w:pPr>
        <w:suppressAutoHyphens/>
        <w:spacing w:before="120" w:after="240"/>
        <w:jc w:val="center"/>
        <w:rPr>
          <w:sz w:val="18"/>
          <w:szCs w:val="18"/>
          <w:lang w:val="fi-FI"/>
        </w:rPr>
      </w:pPr>
      <w:r w:rsidRPr="00FB4EFA">
        <w:rPr>
          <w:b/>
          <w:bCs/>
          <w:sz w:val="18"/>
          <w:szCs w:val="18"/>
          <w:lang w:val="fi-FI"/>
        </w:rPr>
        <w:t> </w:t>
      </w:r>
      <w:r w:rsidRPr="00FB4EFA">
        <w:rPr>
          <w:rFonts w:cs="Times New Roman"/>
          <w:b/>
          <w:bCs/>
          <w:sz w:val="18"/>
          <w:szCs w:val="18"/>
          <w:lang w:val="fi-FI"/>
        </w:rPr>
        <w:t>Taulukko 5</w:t>
      </w:r>
      <w:r w:rsidRPr="00FB4EFA">
        <w:rPr>
          <w:rFonts w:cs="Times New Roman"/>
          <w:sz w:val="18"/>
          <w:szCs w:val="18"/>
          <w:lang w:val="fi-FI"/>
        </w:rPr>
        <w:t>. Verbin preesenstaivutus kantasaamessa (</w:t>
      </w:r>
      <w:r w:rsidRPr="00FB4EFA">
        <w:rPr>
          <w:sz w:val="18"/>
          <w:szCs w:val="18"/>
          <w:lang w:val="fi-FI"/>
        </w:rPr>
        <w:t>Sammallahti 1998: 213).</w:t>
      </w:r>
    </w:p>
    <w:p w14:paraId="663A1FC4" w14:textId="4B207DD3" w:rsidR="0076526E" w:rsidRPr="00FB4EFA" w:rsidRDefault="0076526E" w:rsidP="00AF0CAD">
      <w:pPr>
        <w:rPr>
          <w:shd w:val="clear" w:color="auto" w:fill="F4CCCC"/>
          <w:lang w:val="fi-FI"/>
        </w:rPr>
      </w:pPr>
      <w:r w:rsidRPr="00FB4EFA">
        <w:rPr>
          <w:lang w:val="fi-FI"/>
        </w:rPr>
        <w:t>Kantauralissa nominaalipredikaatin sisältävät preesenslauseet on muodostettu pelkkänä rinnastuksena, ilman persoona- ja tempustunnuksia. Nominaalinen predikaatti on todennäköisesti kongruoinut subjektin luvun suhteen, jolloin nominien monikollisuutta ilmaiseva *</w:t>
      </w:r>
      <w:r w:rsidR="006E1E3A" w:rsidRPr="00FB4EFA">
        <w:rPr>
          <w:lang w:val="fi-FI"/>
        </w:rPr>
        <w:t>-</w:t>
      </w:r>
      <w:r w:rsidRPr="00FB4EFA">
        <w:rPr>
          <w:i/>
          <w:iCs/>
          <w:lang w:val="fi-FI"/>
        </w:rPr>
        <w:t>t</w:t>
      </w:r>
      <w:r w:rsidRPr="00FB4EFA">
        <w:rPr>
          <w:lang w:val="fi-FI"/>
        </w:rPr>
        <w:t xml:space="preserve"> on liittynyt predikaattiin. Tällaiset kopulattomat preesensrakenteet ovat tyypillisiä nykyisissäkin uralilaiskielissä, esim. mdE </w:t>
      </w:r>
      <w:r w:rsidRPr="00FB4EFA">
        <w:rPr>
          <w:i/>
          <w:iCs/>
          <w:lang w:val="fi-FI"/>
        </w:rPr>
        <w:t>ton er’z’a</w:t>
      </w:r>
      <w:r w:rsidRPr="00FB4EFA">
        <w:rPr>
          <w:lang w:val="fi-FI"/>
        </w:rPr>
        <w:t xml:space="preserve"> ’sinä olet ersäläinen’, </w:t>
      </w:r>
      <w:r w:rsidRPr="00FB4EFA">
        <w:rPr>
          <w:i/>
          <w:iCs/>
          <w:lang w:val="fi-FI"/>
        </w:rPr>
        <w:t>tin’ er’z’at’</w:t>
      </w:r>
      <w:r w:rsidRPr="00FB4EFA">
        <w:rPr>
          <w:lang w:val="fi-FI"/>
        </w:rPr>
        <w:t xml:space="preserve"> ’te olette ersäläisiä’.</w:t>
      </w:r>
    </w:p>
    <w:p w14:paraId="5EE18615" w14:textId="0A757BDF" w:rsidR="0076526E" w:rsidRPr="00FB4EFA" w:rsidRDefault="0076526E" w:rsidP="00AF0CAD">
      <w:pPr>
        <w:spacing w:after="240"/>
        <w:ind w:firstLine="709"/>
        <w:rPr>
          <w:lang w:val="fi-FI"/>
        </w:rPr>
      </w:pPr>
      <w:r w:rsidRPr="00FB4EFA">
        <w:rPr>
          <w:lang w:val="fi-FI"/>
        </w:rPr>
        <w:t xml:space="preserve">Predikaattinominien vaikutus predikaattiverbien taipumiseen näkyy selkeästi juuri mordvalaiskielissä. Hamari (2007: 65–69) ehdottaa, että persoonan merkitseminen nominipredikaatiossa on syntynyt verbien ja nominaalisten predikaattien paradigmojen morfeemivarannon molemminsuuntaisesta vaikutuksesta. Nominien taipuminen predikaattiasemassa subjektin luvun suhteen on vaikuttanut verbien persoonapäätteiden kehitykseen ja nominien persoonapäätteet ovat syntyneet niin, että niissä näkyy juuri monikon merkintä ennen persoonan merkintää. Mordvalaiskielten nominikonjugaatio ei siis ole syntynyt siten, että verbien persoonapäätteet olisivat suoraan siirtyneet nominikonjugaatioon, vaan persoonapäätteiden laajentuminen predikaattinominiin on synnyttänyt rakenteen, johon kuuluu monikon nominatiivin </w:t>
      </w:r>
      <w:r w:rsidRPr="00FB4EFA">
        <w:rPr>
          <w:i/>
          <w:iCs/>
          <w:lang w:val="fi-FI"/>
        </w:rPr>
        <w:t>*</w:t>
      </w:r>
      <w:r w:rsidR="006E1E3A" w:rsidRPr="00FB4EFA">
        <w:rPr>
          <w:lang w:val="fi-FI"/>
        </w:rPr>
        <w:t>-</w:t>
      </w:r>
      <w:r w:rsidRPr="00FB4EFA">
        <w:rPr>
          <w:i/>
          <w:iCs/>
          <w:lang w:val="fi-FI"/>
        </w:rPr>
        <w:t>t: min’ er’z’a-t’a-no</w:t>
      </w:r>
      <w:r w:rsidRPr="00FB4EFA">
        <w:rPr>
          <w:lang w:val="fi-FI"/>
        </w:rPr>
        <w:t xml:space="preserve"> (me ersäläinen-</w:t>
      </w:r>
      <w:r w:rsidRPr="00FB4EFA">
        <w:rPr>
          <w:smallCaps/>
          <w:lang w:val="fi-FI"/>
        </w:rPr>
        <w:t>nom.pl-1pl</w:t>
      </w:r>
      <w:r w:rsidRPr="00FB4EFA">
        <w:rPr>
          <w:lang w:val="fi-FI"/>
        </w:rPr>
        <w:t xml:space="preserve">) ’me olemme ersäläisiä’, </w:t>
      </w:r>
      <w:r w:rsidRPr="00FB4EFA">
        <w:rPr>
          <w:i/>
          <w:iCs/>
          <w:lang w:val="fi-FI"/>
        </w:rPr>
        <w:t>tin’ er’z’a-t’a-do</w:t>
      </w:r>
      <w:r w:rsidRPr="00FB4EFA">
        <w:rPr>
          <w:lang w:val="fi-FI"/>
        </w:rPr>
        <w:t xml:space="preserve"> </w:t>
      </w:r>
      <w:r w:rsidR="00030518" w:rsidRPr="00FB4EFA">
        <w:rPr>
          <w:lang w:val="fi-FI"/>
        </w:rPr>
        <w:br/>
      </w:r>
      <w:r w:rsidRPr="00FB4EFA">
        <w:rPr>
          <w:lang w:val="fi-FI"/>
        </w:rPr>
        <w:t>(te ersäläinen-</w:t>
      </w:r>
      <w:r w:rsidRPr="00FB4EFA">
        <w:rPr>
          <w:smallCaps/>
          <w:lang w:val="fi-FI"/>
        </w:rPr>
        <w:t>nom.pl-2pl</w:t>
      </w:r>
      <w:r w:rsidRPr="00FB4EFA">
        <w:rPr>
          <w:lang w:val="fi-FI"/>
        </w:rPr>
        <w:t xml:space="preserve">). Seuraavaksi rakenne on otettu käyttöön myös predikaattiverbeissä: </w:t>
      </w:r>
      <w:r w:rsidRPr="00FB4EFA">
        <w:rPr>
          <w:i/>
          <w:iCs/>
          <w:lang w:val="fi-FI"/>
        </w:rPr>
        <w:t>min’ mora-ta-no</w:t>
      </w:r>
      <w:r w:rsidRPr="00FB4EFA">
        <w:rPr>
          <w:lang w:val="fi-FI"/>
        </w:rPr>
        <w:t xml:space="preserve"> (me laulaa-</w:t>
      </w:r>
      <w:r w:rsidRPr="00FB4EFA">
        <w:rPr>
          <w:smallCaps/>
          <w:lang w:val="fi-FI"/>
        </w:rPr>
        <w:t xml:space="preserve"> nom.pl-1pl</w:t>
      </w:r>
      <w:r w:rsidRPr="00FB4EFA">
        <w:rPr>
          <w:lang w:val="fi-FI"/>
        </w:rPr>
        <w:t xml:space="preserve">) ’me </w:t>
      </w:r>
      <w:r w:rsidR="00030518" w:rsidRPr="00FB4EFA">
        <w:rPr>
          <w:lang w:val="fi-FI"/>
        </w:rPr>
        <w:br/>
      </w:r>
      <w:r w:rsidRPr="00FB4EFA">
        <w:rPr>
          <w:lang w:val="fi-FI"/>
        </w:rPr>
        <w:t xml:space="preserve">laulamme’, </w:t>
      </w:r>
      <w:r w:rsidRPr="00FB4EFA">
        <w:rPr>
          <w:i/>
          <w:iCs/>
          <w:lang w:val="fi-FI"/>
        </w:rPr>
        <w:t>tin’ mora-ta-do</w:t>
      </w:r>
      <w:r w:rsidRPr="00FB4EFA">
        <w:rPr>
          <w:lang w:val="fi-FI"/>
        </w:rPr>
        <w:t xml:space="preserve"> (te laulaa-</w:t>
      </w:r>
      <w:r w:rsidRPr="00FB4EFA">
        <w:rPr>
          <w:smallCaps/>
          <w:lang w:val="fi-FI"/>
        </w:rPr>
        <w:t>nom.pl-2pl</w:t>
      </w:r>
      <w:r w:rsidRPr="00FB4EFA">
        <w:rPr>
          <w:lang w:val="fi-FI"/>
        </w:rPr>
        <w:t>) ’te laulatte’. Synkroni</w:t>
      </w:r>
      <w:r w:rsidRPr="00FB4EFA">
        <w:rPr>
          <w:lang w:val="fi-FI"/>
        </w:rPr>
        <w:lastRenderedPageBreak/>
        <w:t>sesti katsoen muotoihin ei analysoida monikon nominatiivia, vaan *</w:t>
      </w:r>
      <w:r w:rsidR="006E1E3A" w:rsidRPr="00FB4EFA">
        <w:rPr>
          <w:lang w:val="fi-FI"/>
        </w:rPr>
        <w:t>-</w:t>
      </w:r>
      <w:r w:rsidRPr="00FB4EFA">
        <w:rPr>
          <w:i/>
          <w:iCs/>
          <w:lang w:val="fi-FI"/>
        </w:rPr>
        <w:t>t</w:t>
      </w:r>
      <w:r w:rsidRPr="00FB4EFA">
        <w:rPr>
          <w:lang w:val="fi-FI"/>
        </w:rPr>
        <w:t>-elementti kuuluu osaksi persoonapäätettä. (Ersämordvassa esiintyy myös sellaisia monikon 1. persoonan muotoja, joissa monikon nominatiiviin yhdistyy persoonaa merkitsemään possessiivisuffiksi, *</w:t>
      </w:r>
      <w:r w:rsidR="006E1E3A" w:rsidRPr="00FB4EFA">
        <w:rPr>
          <w:lang w:val="fi-FI"/>
        </w:rPr>
        <w:t>-</w:t>
      </w:r>
      <w:r w:rsidRPr="00FB4EFA">
        <w:rPr>
          <w:i/>
          <w:iCs/>
          <w:lang w:val="fi-FI"/>
        </w:rPr>
        <w:t>t</w:t>
      </w:r>
      <w:r w:rsidR="006E1E3A" w:rsidRPr="00FB4EFA">
        <w:rPr>
          <w:lang w:val="fi-FI"/>
        </w:rPr>
        <w:noBreakHyphen/>
      </w:r>
      <w:r w:rsidRPr="00FB4EFA">
        <w:rPr>
          <w:lang w:val="fi-FI"/>
        </w:rPr>
        <w:t>+</w:t>
      </w:r>
      <w:r w:rsidRPr="00FB4EFA">
        <w:rPr>
          <w:smallCaps/>
          <w:lang w:val="fi-FI"/>
        </w:rPr>
        <w:t>1pl.px</w:t>
      </w:r>
      <w:r w:rsidRPr="00FB4EFA">
        <w:rPr>
          <w:lang w:val="fi-FI"/>
        </w:rPr>
        <w:t>.)</w:t>
      </w:r>
    </w:p>
    <w:tbl>
      <w:tblPr>
        <w:tblW w:w="6799" w:type="dxa"/>
        <w:tblLayout w:type="fixed"/>
        <w:tblLook w:val="04A0" w:firstRow="1" w:lastRow="0" w:firstColumn="1" w:lastColumn="0" w:noHBand="0" w:noVBand="1"/>
      </w:tblPr>
      <w:tblGrid>
        <w:gridCol w:w="729"/>
        <w:gridCol w:w="692"/>
        <w:gridCol w:w="2626"/>
        <w:gridCol w:w="2752"/>
      </w:tblGrid>
      <w:tr w:rsidR="00FB4EFA" w:rsidRPr="00FB4EFA" w14:paraId="4B34E4A7" w14:textId="77777777" w:rsidTr="00EC74AD">
        <w:tc>
          <w:tcPr>
            <w:tcW w:w="728" w:type="dxa"/>
            <w:tcBorders>
              <w:top w:val="nil"/>
              <w:left w:val="nil"/>
              <w:bottom w:val="single" w:sz="12" w:space="0" w:color="000000"/>
              <w:right w:val="single" w:sz="12" w:space="0" w:color="000000"/>
            </w:tcBorders>
            <w:vAlign w:val="center"/>
          </w:tcPr>
          <w:p w14:paraId="0CE1B257"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pers.</w:t>
            </w:r>
          </w:p>
        </w:tc>
        <w:tc>
          <w:tcPr>
            <w:tcW w:w="692" w:type="dxa"/>
            <w:tcBorders>
              <w:top w:val="nil"/>
              <w:left w:val="single" w:sz="12" w:space="0" w:color="000000"/>
              <w:bottom w:val="single" w:sz="12" w:space="0" w:color="000000"/>
            </w:tcBorders>
            <w:vAlign w:val="center"/>
          </w:tcPr>
          <w:p w14:paraId="49837DDC"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luku</w:t>
            </w:r>
          </w:p>
        </w:tc>
        <w:tc>
          <w:tcPr>
            <w:tcW w:w="2626" w:type="dxa"/>
            <w:tcBorders>
              <w:top w:val="nil"/>
              <w:bottom w:val="single" w:sz="12" w:space="0" w:color="000000"/>
            </w:tcBorders>
            <w:vAlign w:val="center"/>
          </w:tcPr>
          <w:p w14:paraId="54803AFC"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tunnus</w:t>
            </w:r>
          </w:p>
        </w:tc>
        <w:tc>
          <w:tcPr>
            <w:tcW w:w="2752" w:type="dxa"/>
            <w:tcBorders>
              <w:top w:val="nil"/>
              <w:bottom w:val="single" w:sz="12" w:space="0" w:color="000000"/>
              <w:right w:val="nil"/>
            </w:tcBorders>
            <w:vAlign w:val="center"/>
          </w:tcPr>
          <w:p w14:paraId="5663BC1F"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i/>
                <w:iCs/>
                <w:sz w:val="20"/>
                <w:szCs w:val="20"/>
                <w:lang w:val="fi-FI"/>
              </w:rPr>
              <w:t>morams</w:t>
            </w:r>
            <w:r w:rsidRPr="00FB4EFA">
              <w:rPr>
                <w:rFonts w:cs="Times New Roman"/>
                <w:b/>
                <w:bCs/>
                <w:sz w:val="20"/>
                <w:szCs w:val="20"/>
                <w:lang w:val="fi-FI"/>
              </w:rPr>
              <w:t xml:space="preserve"> ’laulaa’</w:t>
            </w:r>
          </w:p>
        </w:tc>
      </w:tr>
      <w:tr w:rsidR="00FB4EFA" w:rsidRPr="00FB4EFA" w14:paraId="5846332C" w14:textId="77777777" w:rsidTr="00EC74AD">
        <w:tc>
          <w:tcPr>
            <w:tcW w:w="728" w:type="dxa"/>
            <w:vMerge w:val="restart"/>
            <w:tcBorders>
              <w:top w:val="single" w:sz="12" w:space="0" w:color="000000"/>
              <w:left w:val="nil"/>
              <w:bottom w:val="single" w:sz="12" w:space="0" w:color="000000"/>
              <w:right w:val="single" w:sz="12" w:space="0" w:color="000000"/>
            </w:tcBorders>
            <w:vAlign w:val="center"/>
          </w:tcPr>
          <w:p w14:paraId="4734AA04"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Sg</w:t>
            </w:r>
          </w:p>
        </w:tc>
        <w:tc>
          <w:tcPr>
            <w:tcW w:w="692" w:type="dxa"/>
            <w:tcBorders>
              <w:top w:val="single" w:sz="12" w:space="0" w:color="000000"/>
              <w:left w:val="single" w:sz="12" w:space="0" w:color="000000"/>
            </w:tcBorders>
            <w:vAlign w:val="center"/>
          </w:tcPr>
          <w:p w14:paraId="4A6B4301"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1</w:t>
            </w:r>
          </w:p>
        </w:tc>
        <w:tc>
          <w:tcPr>
            <w:tcW w:w="2626" w:type="dxa"/>
            <w:tcBorders>
              <w:top w:val="single" w:sz="12" w:space="0" w:color="000000"/>
            </w:tcBorders>
            <w:vAlign w:val="center"/>
          </w:tcPr>
          <w:p w14:paraId="0FF65841" w14:textId="77777777" w:rsidR="0076526E" w:rsidRPr="00FB4EFA" w:rsidRDefault="0076526E" w:rsidP="00AC1192">
            <w:pPr>
              <w:keepNext/>
              <w:keepLines/>
              <w:widowControl w:val="0"/>
              <w:suppressAutoHyphens/>
              <w:jc w:val="left"/>
              <w:rPr>
                <w:sz w:val="18"/>
                <w:szCs w:val="18"/>
                <w:shd w:val="clear" w:color="auto" w:fill="F4CCCC"/>
                <w:lang w:val="fi-FI"/>
              </w:rPr>
            </w:pPr>
            <w:r w:rsidRPr="00FB4EFA">
              <w:rPr>
                <w:rFonts w:cs="Times New Roman"/>
                <w:sz w:val="18"/>
                <w:szCs w:val="18"/>
                <w:lang w:val="fi-FI"/>
              </w:rPr>
              <w:t>*-</w:t>
            </w:r>
            <w:r w:rsidRPr="00FB4EFA">
              <w:rPr>
                <w:rFonts w:cs="Times New Roman"/>
                <w:i/>
                <w:iCs/>
                <w:sz w:val="18"/>
                <w:szCs w:val="18"/>
                <w:lang w:val="fi-FI"/>
              </w:rPr>
              <w:t>m</w:t>
            </w:r>
            <w:r w:rsidRPr="00FB4EFA">
              <w:rPr>
                <w:rFonts w:cs="Times New Roman"/>
                <w:sz w:val="18"/>
                <w:szCs w:val="18"/>
                <w:lang w:val="fi-FI"/>
              </w:rPr>
              <w:t xml:space="preserve"> &gt; mdE, mdM </w:t>
            </w:r>
            <w:r w:rsidRPr="00FB4EFA">
              <w:rPr>
                <w:rFonts w:cs="Times New Roman"/>
                <w:i/>
                <w:iCs/>
                <w:sz w:val="18"/>
                <w:szCs w:val="18"/>
                <w:lang w:val="fi-FI"/>
              </w:rPr>
              <w:t>n</w:t>
            </w:r>
          </w:p>
        </w:tc>
        <w:tc>
          <w:tcPr>
            <w:tcW w:w="2752" w:type="dxa"/>
            <w:tcBorders>
              <w:top w:val="single" w:sz="12" w:space="0" w:color="000000"/>
              <w:right w:val="nil"/>
            </w:tcBorders>
            <w:vAlign w:val="center"/>
          </w:tcPr>
          <w:p w14:paraId="78A475C0" w14:textId="77777777" w:rsidR="0076526E" w:rsidRPr="00FB4EFA" w:rsidRDefault="0076526E" w:rsidP="00AC1192">
            <w:pPr>
              <w:keepNext/>
              <w:keepLines/>
              <w:widowControl w:val="0"/>
              <w:suppressAutoHyphens/>
              <w:jc w:val="left"/>
              <w:rPr>
                <w:sz w:val="18"/>
                <w:szCs w:val="18"/>
                <w:shd w:val="clear" w:color="auto" w:fill="F4CCCC"/>
                <w:lang w:val="sv-SE"/>
              </w:rPr>
            </w:pPr>
            <w:r w:rsidRPr="00FB4EFA">
              <w:rPr>
                <w:rFonts w:cs="Times New Roman"/>
                <w:sz w:val="18"/>
                <w:szCs w:val="18"/>
                <w:lang w:val="sv-SE"/>
              </w:rPr>
              <w:t>*</w:t>
            </w:r>
            <w:r w:rsidRPr="00FB4EFA">
              <w:rPr>
                <w:rFonts w:cs="Times New Roman"/>
                <w:i/>
                <w:iCs/>
                <w:sz w:val="18"/>
                <w:szCs w:val="18"/>
                <w:lang w:val="sv-SE"/>
              </w:rPr>
              <w:t>mora-m</w:t>
            </w:r>
            <w:r w:rsidRPr="00FB4EFA">
              <w:rPr>
                <w:rFonts w:cs="Times New Roman"/>
                <w:sz w:val="18"/>
                <w:szCs w:val="18"/>
                <w:lang w:val="sv-SE"/>
              </w:rPr>
              <w:t xml:space="preserve"> &gt; mdE, mdM </w:t>
            </w:r>
            <w:r w:rsidRPr="00FB4EFA">
              <w:rPr>
                <w:rFonts w:cs="Times New Roman"/>
                <w:i/>
                <w:iCs/>
                <w:sz w:val="18"/>
                <w:szCs w:val="18"/>
                <w:lang w:val="sv-SE"/>
              </w:rPr>
              <w:t>moran</w:t>
            </w:r>
          </w:p>
        </w:tc>
      </w:tr>
      <w:tr w:rsidR="00FB4EFA" w:rsidRPr="00FB4EFA" w14:paraId="3D8AC3F8" w14:textId="77777777" w:rsidTr="00EC74AD">
        <w:tc>
          <w:tcPr>
            <w:tcW w:w="728" w:type="dxa"/>
            <w:vMerge/>
            <w:tcBorders>
              <w:left w:val="nil"/>
              <w:bottom w:val="single" w:sz="12" w:space="0" w:color="000000"/>
              <w:right w:val="single" w:sz="12" w:space="0" w:color="000000"/>
            </w:tcBorders>
            <w:vAlign w:val="center"/>
          </w:tcPr>
          <w:p w14:paraId="1825F288" w14:textId="77777777" w:rsidR="0076526E" w:rsidRPr="00FB4EFA" w:rsidRDefault="0076526E" w:rsidP="00AC1192">
            <w:pPr>
              <w:keepNext/>
              <w:keepLines/>
              <w:widowControl w:val="0"/>
              <w:suppressAutoHyphens/>
              <w:jc w:val="center"/>
              <w:rPr>
                <w:b/>
                <w:bCs/>
                <w:sz w:val="20"/>
                <w:szCs w:val="20"/>
                <w:shd w:val="clear" w:color="auto" w:fill="F4CCCC"/>
                <w:lang w:val="sv-SE"/>
              </w:rPr>
            </w:pPr>
          </w:p>
        </w:tc>
        <w:tc>
          <w:tcPr>
            <w:tcW w:w="692" w:type="dxa"/>
            <w:tcBorders>
              <w:left w:val="single" w:sz="12" w:space="0" w:color="000000"/>
            </w:tcBorders>
            <w:vAlign w:val="center"/>
          </w:tcPr>
          <w:p w14:paraId="02D61331"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2</w:t>
            </w:r>
          </w:p>
        </w:tc>
        <w:tc>
          <w:tcPr>
            <w:tcW w:w="2626" w:type="dxa"/>
            <w:vAlign w:val="center"/>
          </w:tcPr>
          <w:p w14:paraId="69AAF2B9" w14:textId="77777777" w:rsidR="0076526E" w:rsidRPr="00FB4EFA" w:rsidRDefault="0076526E" w:rsidP="00AC1192">
            <w:pPr>
              <w:keepNext/>
              <w:keepLines/>
              <w:widowControl w:val="0"/>
              <w:suppressAutoHyphens/>
              <w:jc w:val="left"/>
              <w:rPr>
                <w:sz w:val="18"/>
                <w:szCs w:val="18"/>
                <w:shd w:val="clear" w:color="auto" w:fill="F4CCCC"/>
                <w:lang w:val="fi-FI"/>
              </w:rPr>
            </w:pPr>
            <w:r w:rsidRPr="00FB4EFA">
              <w:rPr>
                <w:rFonts w:cs="Times New Roman"/>
                <w:sz w:val="18"/>
                <w:szCs w:val="18"/>
                <w:lang w:val="fi-FI"/>
              </w:rPr>
              <w:t>*-</w:t>
            </w:r>
            <w:r w:rsidRPr="00FB4EFA">
              <w:rPr>
                <w:rFonts w:cs="Times New Roman"/>
                <w:i/>
                <w:iCs/>
                <w:sz w:val="18"/>
                <w:szCs w:val="18"/>
                <w:lang w:val="fi-FI"/>
              </w:rPr>
              <w:t>t</w:t>
            </w:r>
            <w:r w:rsidRPr="00FB4EFA">
              <w:rPr>
                <w:rFonts w:cs="Times New Roman"/>
                <w:sz w:val="18"/>
                <w:szCs w:val="18"/>
                <w:lang w:val="fi-FI"/>
              </w:rPr>
              <w:t xml:space="preserve"> &gt; mdE, mdM </w:t>
            </w:r>
            <w:r w:rsidRPr="00FB4EFA">
              <w:rPr>
                <w:rFonts w:cs="Times New Roman"/>
                <w:i/>
                <w:iCs/>
                <w:sz w:val="18"/>
                <w:szCs w:val="18"/>
                <w:lang w:val="fi-FI"/>
              </w:rPr>
              <w:t>t</w:t>
            </w:r>
          </w:p>
        </w:tc>
        <w:tc>
          <w:tcPr>
            <w:tcW w:w="2752" w:type="dxa"/>
            <w:tcBorders>
              <w:right w:val="nil"/>
            </w:tcBorders>
            <w:vAlign w:val="center"/>
          </w:tcPr>
          <w:p w14:paraId="5E2E9EB1" w14:textId="77777777" w:rsidR="0076526E" w:rsidRPr="00FB4EFA" w:rsidRDefault="0076526E" w:rsidP="00AC1192">
            <w:pPr>
              <w:keepNext/>
              <w:keepLines/>
              <w:widowControl w:val="0"/>
              <w:suppressAutoHyphens/>
              <w:jc w:val="left"/>
              <w:rPr>
                <w:sz w:val="18"/>
                <w:szCs w:val="18"/>
                <w:shd w:val="clear" w:color="auto" w:fill="F4CCCC"/>
                <w:lang w:val="sv-SE"/>
              </w:rPr>
            </w:pPr>
            <w:r w:rsidRPr="00FB4EFA">
              <w:rPr>
                <w:rFonts w:cs="Times New Roman"/>
                <w:sz w:val="18"/>
                <w:szCs w:val="18"/>
                <w:lang w:val="sv-SE"/>
              </w:rPr>
              <w:t>*</w:t>
            </w:r>
            <w:r w:rsidRPr="00FB4EFA">
              <w:rPr>
                <w:rFonts w:cs="Times New Roman"/>
                <w:i/>
                <w:iCs/>
                <w:sz w:val="18"/>
                <w:szCs w:val="18"/>
                <w:lang w:val="sv-SE"/>
              </w:rPr>
              <w:t>mora-t</w:t>
            </w:r>
            <w:r w:rsidRPr="00FB4EFA">
              <w:rPr>
                <w:rFonts w:cs="Times New Roman"/>
                <w:sz w:val="18"/>
                <w:szCs w:val="18"/>
                <w:lang w:val="sv-SE"/>
              </w:rPr>
              <w:t xml:space="preserve"> &gt; mdE, mdM </w:t>
            </w:r>
            <w:r w:rsidRPr="00FB4EFA">
              <w:rPr>
                <w:rFonts w:cs="Times New Roman"/>
                <w:i/>
                <w:iCs/>
                <w:sz w:val="18"/>
                <w:szCs w:val="18"/>
                <w:lang w:val="sv-SE"/>
              </w:rPr>
              <w:t>morat</w:t>
            </w:r>
          </w:p>
        </w:tc>
      </w:tr>
      <w:tr w:rsidR="00FB4EFA" w:rsidRPr="00FB4EFA" w14:paraId="1EB7DD49" w14:textId="77777777" w:rsidTr="00EC74AD">
        <w:tc>
          <w:tcPr>
            <w:tcW w:w="728" w:type="dxa"/>
            <w:vMerge/>
            <w:tcBorders>
              <w:left w:val="nil"/>
              <w:bottom w:val="single" w:sz="12" w:space="0" w:color="000000"/>
              <w:right w:val="single" w:sz="12" w:space="0" w:color="000000"/>
            </w:tcBorders>
            <w:vAlign w:val="center"/>
          </w:tcPr>
          <w:p w14:paraId="0F8CC881" w14:textId="77777777" w:rsidR="0076526E" w:rsidRPr="00FB4EFA" w:rsidRDefault="0076526E" w:rsidP="00AC1192">
            <w:pPr>
              <w:keepNext/>
              <w:keepLines/>
              <w:widowControl w:val="0"/>
              <w:suppressAutoHyphens/>
              <w:jc w:val="center"/>
              <w:rPr>
                <w:b/>
                <w:bCs/>
                <w:sz w:val="20"/>
                <w:szCs w:val="20"/>
                <w:shd w:val="clear" w:color="auto" w:fill="F4CCCC"/>
                <w:lang w:val="sv-SE"/>
              </w:rPr>
            </w:pPr>
          </w:p>
        </w:tc>
        <w:tc>
          <w:tcPr>
            <w:tcW w:w="692" w:type="dxa"/>
            <w:tcBorders>
              <w:left w:val="single" w:sz="12" w:space="0" w:color="000000"/>
              <w:bottom w:val="single" w:sz="12" w:space="0" w:color="000000"/>
            </w:tcBorders>
            <w:vAlign w:val="center"/>
          </w:tcPr>
          <w:p w14:paraId="26F4B450"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3</w:t>
            </w:r>
          </w:p>
        </w:tc>
        <w:tc>
          <w:tcPr>
            <w:tcW w:w="2626" w:type="dxa"/>
            <w:tcBorders>
              <w:bottom w:val="single" w:sz="12" w:space="0" w:color="000000"/>
            </w:tcBorders>
            <w:vAlign w:val="center"/>
          </w:tcPr>
          <w:p w14:paraId="14B6246D" w14:textId="77777777" w:rsidR="0076526E" w:rsidRPr="00FB4EFA" w:rsidRDefault="0076526E" w:rsidP="00AC1192">
            <w:pPr>
              <w:keepNext/>
              <w:keepLines/>
              <w:widowControl w:val="0"/>
              <w:suppressAutoHyphens/>
              <w:jc w:val="left"/>
              <w:rPr>
                <w:sz w:val="18"/>
                <w:szCs w:val="18"/>
                <w:shd w:val="clear" w:color="auto" w:fill="F4CCCC"/>
                <w:lang w:val="sv-SE"/>
              </w:rPr>
            </w:pPr>
            <w:r w:rsidRPr="00FB4EFA">
              <w:rPr>
                <w:rFonts w:cs="Times New Roman"/>
                <w:sz w:val="18"/>
                <w:szCs w:val="18"/>
                <w:lang w:val="sv-SE"/>
              </w:rPr>
              <w:t>*-</w:t>
            </w:r>
            <w:r w:rsidRPr="00FB4EFA">
              <w:rPr>
                <w:rFonts w:cs="Times New Roman"/>
                <w:i/>
                <w:iCs/>
                <w:sz w:val="18"/>
                <w:szCs w:val="18"/>
                <w:lang w:val="sv-SE"/>
              </w:rPr>
              <w:t>jA &gt; mdE i, mdM aj, i</w:t>
            </w:r>
          </w:p>
        </w:tc>
        <w:tc>
          <w:tcPr>
            <w:tcW w:w="2752" w:type="dxa"/>
            <w:tcBorders>
              <w:bottom w:val="single" w:sz="12" w:space="0" w:color="000000"/>
              <w:right w:val="nil"/>
            </w:tcBorders>
            <w:vAlign w:val="center"/>
          </w:tcPr>
          <w:p w14:paraId="2AA02864" w14:textId="77777777" w:rsidR="0076526E" w:rsidRPr="00FB4EFA" w:rsidRDefault="0076526E" w:rsidP="00AC1192">
            <w:pPr>
              <w:keepNext/>
              <w:keepLines/>
              <w:widowControl w:val="0"/>
              <w:suppressAutoHyphens/>
              <w:jc w:val="left"/>
              <w:rPr>
                <w:rFonts w:cs="Times New Roman"/>
                <w:sz w:val="18"/>
                <w:szCs w:val="18"/>
                <w:lang w:val="fi-FI"/>
              </w:rPr>
            </w:pPr>
            <w:r w:rsidRPr="00FB4EFA">
              <w:rPr>
                <w:rFonts w:cs="Times New Roman"/>
                <w:sz w:val="18"/>
                <w:szCs w:val="18"/>
                <w:lang w:val="fi-FI"/>
              </w:rPr>
              <w:t>*</w:t>
            </w:r>
            <w:r w:rsidRPr="00FB4EFA">
              <w:rPr>
                <w:rFonts w:cs="Times New Roman"/>
                <w:i/>
                <w:iCs/>
                <w:sz w:val="18"/>
                <w:szCs w:val="18"/>
                <w:lang w:val="fi-FI"/>
              </w:rPr>
              <w:t>mora-ja</w:t>
            </w:r>
            <w:r w:rsidRPr="00FB4EFA">
              <w:rPr>
                <w:rFonts w:cs="Times New Roman"/>
                <w:sz w:val="18"/>
                <w:szCs w:val="18"/>
                <w:lang w:val="fi-FI"/>
              </w:rPr>
              <w:t xml:space="preserve"> &gt; mdE </w:t>
            </w:r>
            <w:r w:rsidRPr="00FB4EFA">
              <w:rPr>
                <w:rFonts w:cs="Times New Roman"/>
                <w:i/>
                <w:iCs/>
                <w:sz w:val="18"/>
                <w:szCs w:val="18"/>
                <w:lang w:val="fi-FI"/>
              </w:rPr>
              <w:t>mori</w:t>
            </w:r>
            <w:r w:rsidRPr="00FB4EFA">
              <w:rPr>
                <w:rFonts w:cs="Times New Roman"/>
                <w:sz w:val="18"/>
                <w:szCs w:val="18"/>
                <w:lang w:val="fi-FI"/>
              </w:rPr>
              <w:t>,</w:t>
            </w:r>
          </w:p>
          <w:p w14:paraId="5D3A400B" w14:textId="77777777" w:rsidR="0076526E" w:rsidRPr="00FB4EFA" w:rsidRDefault="0076526E" w:rsidP="00AC1192">
            <w:pPr>
              <w:keepNext/>
              <w:keepLines/>
              <w:widowControl w:val="0"/>
              <w:suppressAutoHyphens/>
              <w:jc w:val="left"/>
              <w:rPr>
                <w:sz w:val="18"/>
                <w:szCs w:val="18"/>
                <w:shd w:val="clear" w:color="auto" w:fill="F4CCCC"/>
                <w:lang w:val="fi-FI"/>
              </w:rPr>
            </w:pPr>
            <w:r w:rsidRPr="00FB4EFA">
              <w:rPr>
                <w:rFonts w:cs="Times New Roman"/>
                <w:sz w:val="18"/>
                <w:szCs w:val="18"/>
                <w:lang w:val="fi-FI"/>
              </w:rPr>
              <w:t xml:space="preserve">mdM </w:t>
            </w:r>
            <w:r w:rsidRPr="00FB4EFA">
              <w:rPr>
                <w:rFonts w:cs="Times New Roman"/>
                <w:i/>
                <w:iCs/>
                <w:sz w:val="18"/>
                <w:szCs w:val="18"/>
                <w:lang w:val="fi-FI"/>
              </w:rPr>
              <w:t>moraj</w:t>
            </w:r>
            <w:r w:rsidRPr="00FB4EFA">
              <w:rPr>
                <w:rFonts w:cs="Times New Roman"/>
                <w:sz w:val="18"/>
                <w:szCs w:val="18"/>
                <w:lang w:val="fi-FI"/>
              </w:rPr>
              <w:t xml:space="preserve">, </w:t>
            </w:r>
            <w:r w:rsidRPr="00FB4EFA">
              <w:rPr>
                <w:rFonts w:cs="Times New Roman"/>
                <w:i/>
                <w:iCs/>
                <w:sz w:val="18"/>
                <w:szCs w:val="18"/>
                <w:lang w:val="fi-FI"/>
              </w:rPr>
              <w:t>mori</w:t>
            </w:r>
          </w:p>
        </w:tc>
      </w:tr>
      <w:tr w:rsidR="00FB4EFA" w:rsidRPr="00FB4EFA" w14:paraId="7F466ABD" w14:textId="77777777" w:rsidTr="00EC74AD">
        <w:tc>
          <w:tcPr>
            <w:tcW w:w="728" w:type="dxa"/>
            <w:vMerge w:val="restart"/>
            <w:tcBorders>
              <w:top w:val="single" w:sz="12" w:space="0" w:color="000000"/>
              <w:left w:val="nil"/>
              <w:bottom w:val="nil"/>
              <w:right w:val="single" w:sz="12" w:space="0" w:color="000000"/>
            </w:tcBorders>
            <w:vAlign w:val="center"/>
          </w:tcPr>
          <w:p w14:paraId="0EB0F398"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Pl</w:t>
            </w:r>
          </w:p>
        </w:tc>
        <w:tc>
          <w:tcPr>
            <w:tcW w:w="692" w:type="dxa"/>
            <w:tcBorders>
              <w:top w:val="single" w:sz="12" w:space="0" w:color="000000"/>
              <w:left w:val="single" w:sz="12" w:space="0" w:color="000000"/>
            </w:tcBorders>
            <w:vAlign w:val="center"/>
          </w:tcPr>
          <w:p w14:paraId="357DB8EE"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1</w:t>
            </w:r>
          </w:p>
        </w:tc>
        <w:tc>
          <w:tcPr>
            <w:tcW w:w="2626" w:type="dxa"/>
            <w:tcBorders>
              <w:top w:val="single" w:sz="12" w:space="0" w:color="000000"/>
            </w:tcBorders>
            <w:vAlign w:val="center"/>
          </w:tcPr>
          <w:p w14:paraId="332C4A78" w14:textId="77777777" w:rsidR="0076526E" w:rsidRPr="00FB4EFA" w:rsidRDefault="0076526E" w:rsidP="00AC1192">
            <w:pPr>
              <w:keepNext/>
              <w:keepLines/>
              <w:widowControl w:val="0"/>
              <w:suppressAutoHyphens/>
              <w:jc w:val="left"/>
              <w:rPr>
                <w:rFonts w:cs="Times New Roman"/>
                <w:i/>
                <w:iCs/>
                <w:sz w:val="18"/>
                <w:szCs w:val="18"/>
                <w:lang w:val="fi-FI"/>
              </w:rPr>
            </w:pPr>
            <w:r w:rsidRPr="00FB4EFA">
              <w:rPr>
                <w:rFonts w:cs="Times New Roman"/>
                <w:sz w:val="18"/>
                <w:szCs w:val="18"/>
                <w:lang w:val="fi-FI"/>
              </w:rPr>
              <w:t>*-</w:t>
            </w:r>
            <w:r w:rsidRPr="00FB4EFA">
              <w:rPr>
                <w:rFonts w:cs="Times New Roman"/>
                <w:i/>
                <w:iCs/>
                <w:sz w:val="18"/>
                <w:szCs w:val="18"/>
                <w:lang w:val="fi-FI"/>
              </w:rPr>
              <w:t>t-V-mAk &gt; mdM tama/t’ama</w:t>
            </w:r>
          </w:p>
          <w:p w14:paraId="4531A66D" w14:textId="77777777" w:rsidR="0076526E" w:rsidRPr="00FB4EFA" w:rsidRDefault="0076526E" w:rsidP="00AC1192">
            <w:pPr>
              <w:keepNext/>
              <w:keepLines/>
              <w:widowControl w:val="0"/>
              <w:suppressAutoHyphens/>
              <w:jc w:val="left"/>
              <w:rPr>
                <w:sz w:val="18"/>
                <w:szCs w:val="18"/>
                <w:shd w:val="clear" w:color="auto" w:fill="F4CCCC"/>
                <w:lang w:val="fi-FI"/>
              </w:rPr>
            </w:pPr>
            <w:r w:rsidRPr="00FB4EFA">
              <w:rPr>
                <w:rFonts w:cs="Times New Roman"/>
                <w:sz w:val="18"/>
                <w:szCs w:val="18"/>
                <w:lang w:val="fi-FI"/>
              </w:rPr>
              <w:t>*-</w:t>
            </w:r>
            <w:r w:rsidRPr="00FB4EFA">
              <w:rPr>
                <w:rFonts w:cs="Times New Roman"/>
                <w:i/>
                <w:iCs/>
                <w:sz w:val="18"/>
                <w:szCs w:val="18"/>
                <w:lang w:val="fi-FI"/>
              </w:rPr>
              <w:t xml:space="preserve">t-V-nok &gt; mdE tano/t’ano </w:t>
            </w:r>
          </w:p>
        </w:tc>
        <w:tc>
          <w:tcPr>
            <w:tcW w:w="2752" w:type="dxa"/>
            <w:tcBorders>
              <w:top w:val="single" w:sz="12" w:space="0" w:color="000000"/>
              <w:right w:val="nil"/>
            </w:tcBorders>
            <w:vAlign w:val="center"/>
          </w:tcPr>
          <w:p w14:paraId="1CCA6C5B" w14:textId="77777777" w:rsidR="0076526E" w:rsidRPr="00FB4EFA" w:rsidRDefault="0076526E" w:rsidP="00AC1192">
            <w:pPr>
              <w:keepNext/>
              <w:keepLines/>
              <w:widowControl w:val="0"/>
              <w:suppressAutoHyphens/>
              <w:jc w:val="left"/>
              <w:rPr>
                <w:rFonts w:cs="Times New Roman"/>
                <w:sz w:val="18"/>
                <w:szCs w:val="18"/>
                <w:lang w:val="sv-SE"/>
              </w:rPr>
            </w:pPr>
            <w:r w:rsidRPr="00FB4EFA">
              <w:rPr>
                <w:rFonts w:cs="Times New Roman"/>
                <w:sz w:val="18"/>
                <w:szCs w:val="18"/>
                <w:lang w:val="sv-SE"/>
              </w:rPr>
              <w:t>*</w:t>
            </w:r>
            <w:r w:rsidRPr="00FB4EFA">
              <w:rPr>
                <w:rFonts w:cs="Times New Roman"/>
                <w:i/>
                <w:iCs/>
                <w:sz w:val="18"/>
                <w:szCs w:val="18"/>
                <w:lang w:val="sv-SE"/>
              </w:rPr>
              <w:t>mora-tamak</w:t>
            </w:r>
            <w:r w:rsidRPr="00FB4EFA">
              <w:rPr>
                <w:rFonts w:cs="Times New Roman"/>
                <w:sz w:val="18"/>
                <w:szCs w:val="18"/>
                <w:lang w:val="sv-SE"/>
              </w:rPr>
              <w:t xml:space="preserve"> &gt; mdM </w:t>
            </w:r>
            <w:r w:rsidRPr="00FB4EFA">
              <w:rPr>
                <w:rFonts w:cs="Times New Roman"/>
                <w:i/>
                <w:iCs/>
                <w:sz w:val="18"/>
                <w:szCs w:val="18"/>
                <w:lang w:val="sv-SE"/>
              </w:rPr>
              <w:t>moratama</w:t>
            </w:r>
          </w:p>
          <w:p w14:paraId="1CABA0D9" w14:textId="77777777" w:rsidR="0076526E" w:rsidRPr="00FB4EFA" w:rsidRDefault="0076526E" w:rsidP="00AC1192">
            <w:pPr>
              <w:keepNext/>
              <w:keepLines/>
              <w:widowControl w:val="0"/>
              <w:suppressAutoHyphens/>
              <w:jc w:val="left"/>
              <w:rPr>
                <w:sz w:val="18"/>
                <w:szCs w:val="18"/>
                <w:shd w:val="clear" w:color="auto" w:fill="F4CCCC"/>
                <w:lang w:val="sv-SE"/>
              </w:rPr>
            </w:pPr>
            <w:r w:rsidRPr="00FB4EFA">
              <w:rPr>
                <w:rFonts w:cs="Times New Roman"/>
                <w:sz w:val="18"/>
                <w:szCs w:val="18"/>
                <w:lang w:val="sv-SE"/>
              </w:rPr>
              <w:t>*</w:t>
            </w:r>
            <w:r w:rsidRPr="00FB4EFA">
              <w:rPr>
                <w:rFonts w:cs="Times New Roman"/>
                <w:i/>
                <w:iCs/>
                <w:sz w:val="18"/>
                <w:szCs w:val="18"/>
                <w:lang w:val="sv-SE"/>
              </w:rPr>
              <w:t>mora-tanok</w:t>
            </w:r>
            <w:r w:rsidRPr="00FB4EFA">
              <w:rPr>
                <w:rFonts w:cs="Times New Roman"/>
                <w:sz w:val="18"/>
                <w:szCs w:val="18"/>
                <w:lang w:val="sv-SE"/>
              </w:rPr>
              <w:t xml:space="preserve"> &gt; mdE </w:t>
            </w:r>
            <w:r w:rsidRPr="00FB4EFA">
              <w:rPr>
                <w:rFonts w:cs="Times New Roman"/>
                <w:i/>
                <w:iCs/>
                <w:sz w:val="18"/>
                <w:szCs w:val="18"/>
                <w:lang w:val="sv-SE"/>
              </w:rPr>
              <w:t>moratano</w:t>
            </w:r>
          </w:p>
        </w:tc>
      </w:tr>
      <w:tr w:rsidR="00FB4EFA" w:rsidRPr="00FB4EFA" w14:paraId="5DCC61DC" w14:textId="77777777" w:rsidTr="00EC74AD">
        <w:tc>
          <w:tcPr>
            <w:tcW w:w="728" w:type="dxa"/>
            <w:vMerge/>
            <w:tcBorders>
              <w:left w:val="nil"/>
              <w:bottom w:val="single" w:sz="12" w:space="0" w:color="000000"/>
              <w:right w:val="single" w:sz="12" w:space="0" w:color="000000"/>
            </w:tcBorders>
            <w:vAlign w:val="center"/>
          </w:tcPr>
          <w:p w14:paraId="4B79C08E" w14:textId="77777777" w:rsidR="0076526E" w:rsidRPr="00FB4EFA" w:rsidRDefault="0076526E" w:rsidP="00AC1192">
            <w:pPr>
              <w:keepNext/>
              <w:keepLines/>
              <w:widowControl w:val="0"/>
              <w:suppressAutoHyphens/>
              <w:jc w:val="center"/>
              <w:rPr>
                <w:b/>
                <w:bCs/>
                <w:sz w:val="20"/>
                <w:szCs w:val="20"/>
                <w:shd w:val="clear" w:color="auto" w:fill="F4CCCC"/>
                <w:lang w:val="sv-SE"/>
              </w:rPr>
            </w:pPr>
          </w:p>
        </w:tc>
        <w:tc>
          <w:tcPr>
            <w:tcW w:w="692" w:type="dxa"/>
            <w:tcBorders>
              <w:left w:val="single" w:sz="12" w:space="0" w:color="000000"/>
            </w:tcBorders>
            <w:vAlign w:val="center"/>
          </w:tcPr>
          <w:p w14:paraId="18DCF702"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2</w:t>
            </w:r>
          </w:p>
        </w:tc>
        <w:tc>
          <w:tcPr>
            <w:tcW w:w="2626" w:type="dxa"/>
            <w:vAlign w:val="center"/>
          </w:tcPr>
          <w:p w14:paraId="6FFCBF05" w14:textId="77777777" w:rsidR="0076526E" w:rsidRPr="00FB4EFA" w:rsidRDefault="0076526E" w:rsidP="00AC1192">
            <w:pPr>
              <w:keepNext/>
              <w:keepLines/>
              <w:widowControl w:val="0"/>
              <w:suppressAutoHyphens/>
              <w:jc w:val="left"/>
              <w:rPr>
                <w:rFonts w:cs="Times New Roman"/>
                <w:i/>
                <w:iCs/>
                <w:sz w:val="18"/>
                <w:szCs w:val="18"/>
                <w:lang w:val="fi-FI"/>
              </w:rPr>
            </w:pPr>
            <w:r w:rsidRPr="00FB4EFA">
              <w:rPr>
                <w:rFonts w:cs="Times New Roman"/>
                <w:sz w:val="18"/>
                <w:szCs w:val="18"/>
                <w:lang w:val="fi-FI"/>
              </w:rPr>
              <w:t>*-</w:t>
            </w:r>
            <w:r w:rsidRPr="00FB4EFA">
              <w:rPr>
                <w:rFonts w:cs="Times New Roman"/>
                <w:i/>
                <w:iCs/>
                <w:sz w:val="18"/>
                <w:szCs w:val="18"/>
                <w:lang w:val="fi-FI"/>
              </w:rPr>
              <w:t>t -tAk &gt; mdE tado, t’ado,</w:t>
            </w:r>
          </w:p>
          <w:p w14:paraId="4E3924F7" w14:textId="77777777" w:rsidR="0076526E" w:rsidRPr="00FB4EFA" w:rsidRDefault="0076526E" w:rsidP="00AC1192">
            <w:pPr>
              <w:keepNext/>
              <w:keepLines/>
              <w:widowControl w:val="0"/>
              <w:suppressAutoHyphens/>
              <w:jc w:val="left"/>
              <w:rPr>
                <w:sz w:val="18"/>
                <w:szCs w:val="18"/>
                <w:shd w:val="clear" w:color="auto" w:fill="F4CCCC"/>
                <w:lang w:val="fi-FI"/>
              </w:rPr>
            </w:pPr>
            <w:r w:rsidRPr="00FB4EFA">
              <w:rPr>
                <w:rFonts w:cs="Times New Roman"/>
                <w:i/>
                <w:iCs/>
                <w:sz w:val="18"/>
                <w:szCs w:val="18"/>
                <w:lang w:val="fi-FI"/>
              </w:rPr>
              <w:t>mdM tada/t’ada</w:t>
            </w:r>
          </w:p>
        </w:tc>
        <w:tc>
          <w:tcPr>
            <w:tcW w:w="2752" w:type="dxa"/>
            <w:tcBorders>
              <w:right w:val="nil"/>
            </w:tcBorders>
            <w:vAlign w:val="center"/>
          </w:tcPr>
          <w:p w14:paraId="014C0534" w14:textId="77777777" w:rsidR="0076526E" w:rsidRPr="00FB4EFA" w:rsidRDefault="0076526E" w:rsidP="00AC1192">
            <w:pPr>
              <w:keepNext/>
              <w:keepLines/>
              <w:widowControl w:val="0"/>
              <w:suppressAutoHyphens/>
              <w:jc w:val="left"/>
              <w:rPr>
                <w:rFonts w:cs="Times New Roman"/>
                <w:sz w:val="18"/>
                <w:szCs w:val="18"/>
                <w:lang w:val="sv-SE"/>
              </w:rPr>
            </w:pPr>
            <w:r w:rsidRPr="00FB4EFA">
              <w:rPr>
                <w:rFonts w:cs="Times New Roman"/>
                <w:sz w:val="18"/>
                <w:szCs w:val="18"/>
                <w:lang w:val="sv-SE"/>
              </w:rPr>
              <w:t>*</w:t>
            </w:r>
            <w:r w:rsidRPr="00FB4EFA">
              <w:rPr>
                <w:rFonts w:cs="Times New Roman"/>
                <w:i/>
                <w:iCs/>
                <w:sz w:val="18"/>
                <w:szCs w:val="18"/>
                <w:lang w:val="sv-SE"/>
              </w:rPr>
              <w:t>moratada</w:t>
            </w:r>
            <w:r w:rsidRPr="00FB4EFA">
              <w:rPr>
                <w:rFonts w:cs="Times New Roman"/>
                <w:sz w:val="18"/>
                <w:szCs w:val="18"/>
                <w:lang w:val="sv-SE"/>
              </w:rPr>
              <w:t xml:space="preserve"> &gt; mdE </w:t>
            </w:r>
            <w:r w:rsidRPr="00FB4EFA">
              <w:rPr>
                <w:rFonts w:cs="Times New Roman"/>
                <w:i/>
                <w:iCs/>
                <w:sz w:val="18"/>
                <w:szCs w:val="18"/>
                <w:lang w:val="sv-SE"/>
              </w:rPr>
              <w:t>moratado</w:t>
            </w:r>
            <w:r w:rsidRPr="00FB4EFA">
              <w:rPr>
                <w:rFonts w:cs="Times New Roman"/>
                <w:sz w:val="18"/>
                <w:szCs w:val="18"/>
                <w:lang w:val="sv-SE"/>
              </w:rPr>
              <w:t>,</w:t>
            </w:r>
          </w:p>
          <w:p w14:paraId="5C705DD3" w14:textId="77777777" w:rsidR="0076526E" w:rsidRPr="00FB4EFA" w:rsidRDefault="0076526E" w:rsidP="00AC1192">
            <w:pPr>
              <w:keepNext/>
              <w:keepLines/>
              <w:widowControl w:val="0"/>
              <w:suppressAutoHyphens/>
              <w:jc w:val="left"/>
              <w:rPr>
                <w:sz w:val="18"/>
                <w:szCs w:val="18"/>
                <w:shd w:val="clear" w:color="auto" w:fill="F4CCCC"/>
                <w:lang w:val="sv-SE"/>
              </w:rPr>
            </w:pPr>
            <w:r w:rsidRPr="00FB4EFA">
              <w:rPr>
                <w:rFonts w:cs="Times New Roman"/>
                <w:sz w:val="18"/>
                <w:szCs w:val="18"/>
                <w:lang w:val="sv-SE"/>
              </w:rPr>
              <w:t xml:space="preserve">mdM </w:t>
            </w:r>
            <w:r w:rsidRPr="00FB4EFA">
              <w:rPr>
                <w:rFonts w:cs="Times New Roman"/>
                <w:i/>
                <w:iCs/>
                <w:sz w:val="18"/>
                <w:szCs w:val="18"/>
                <w:lang w:val="sv-SE"/>
              </w:rPr>
              <w:t>moratada</w:t>
            </w:r>
          </w:p>
        </w:tc>
      </w:tr>
      <w:tr w:rsidR="00FB4EFA" w:rsidRPr="00FB4EFA" w14:paraId="30940CF6" w14:textId="77777777" w:rsidTr="00EC74AD">
        <w:tc>
          <w:tcPr>
            <w:tcW w:w="728" w:type="dxa"/>
            <w:vMerge/>
            <w:tcBorders>
              <w:left w:val="nil"/>
              <w:bottom w:val="nil"/>
              <w:right w:val="single" w:sz="12" w:space="0" w:color="000000"/>
            </w:tcBorders>
            <w:vAlign w:val="center"/>
          </w:tcPr>
          <w:p w14:paraId="04D3240B" w14:textId="77777777" w:rsidR="0076526E" w:rsidRPr="00FB4EFA" w:rsidRDefault="0076526E" w:rsidP="00AC1192">
            <w:pPr>
              <w:keepNext/>
              <w:keepLines/>
              <w:widowControl w:val="0"/>
              <w:suppressAutoHyphens/>
              <w:jc w:val="center"/>
              <w:rPr>
                <w:b/>
                <w:bCs/>
                <w:sz w:val="20"/>
                <w:szCs w:val="20"/>
                <w:shd w:val="clear" w:color="auto" w:fill="F4CCCC"/>
                <w:lang w:val="sv-SE"/>
              </w:rPr>
            </w:pPr>
          </w:p>
        </w:tc>
        <w:tc>
          <w:tcPr>
            <w:tcW w:w="692" w:type="dxa"/>
            <w:tcBorders>
              <w:left w:val="single" w:sz="12" w:space="0" w:color="000000"/>
              <w:bottom w:val="nil"/>
            </w:tcBorders>
            <w:vAlign w:val="center"/>
          </w:tcPr>
          <w:p w14:paraId="331A7BC9" w14:textId="77777777" w:rsidR="0076526E" w:rsidRPr="00FB4EFA" w:rsidRDefault="0076526E" w:rsidP="00AC1192">
            <w:pPr>
              <w:keepNext/>
              <w:keepLines/>
              <w:widowControl w:val="0"/>
              <w:suppressAutoHyphens/>
              <w:jc w:val="center"/>
              <w:rPr>
                <w:b/>
                <w:bCs/>
                <w:sz w:val="20"/>
                <w:szCs w:val="20"/>
                <w:shd w:val="clear" w:color="auto" w:fill="F4CCCC"/>
                <w:lang w:val="fi-FI"/>
              </w:rPr>
            </w:pPr>
            <w:r w:rsidRPr="00FB4EFA">
              <w:rPr>
                <w:rFonts w:cs="Times New Roman"/>
                <w:b/>
                <w:bCs/>
                <w:sz w:val="20"/>
                <w:szCs w:val="20"/>
                <w:lang w:val="fi-FI"/>
              </w:rPr>
              <w:t>3</w:t>
            </w:r>
          </w:p>
        </w:tc>
        <w:tc>
          <w:tcPr>
            <w:tcW w:w="2626" w:type="dxa"/>
            <w:tcBorders>
              <w:bottom w:val="nil"/>
            </w:tcBorders>
            <w:vAlign w:val="center"/>
          </w:tcPr>
          <w:p w14:paraId="1A0B93EE" w14:textId="77777777" w:rsidR="0076526E" w:rsidRPr="00FB4EFA" w:rsidRDefault="0076526E" w:rsidP="00AC1192">
            <w:pPr>
              <w:keepNext/>
              <w:keepLines/>
              <w:widowControl w:val="0"/>
              <w:suppressAutoHyphens/>
              <w:jc w:val="left"/>
              <w:rPr>
                <w:rFonts w:cs="Times New Roman"/>
                <w:i/>
                <w:iCs/>
                <w:sz w:val="18"/>
                <w:szCs w:val="18"/>
                <w:lang w:val="fi-FI"/>
              </w:rPr>
            </w:pPr>
            <w:r w:rsidRPr="00FB4EFA">
              <w:rPr>
                <w:rFonts w:cs="Times New Roman"/>
                <w:sz w:val="18"/>
                <w:szCs w:val="18"/>
                <w:lang w:val="fi-FI"/>
              </w:rPr>
              <w:t>*-</w:t>
            </w:r>
            <w:r w:rsidRPr="00FB4EFA">
              <w:rPr>
                <w:rFonts w:cs="Times New Roman"/>
                <w:i/>
                <w:iCs/>
                <w:sz w:val="18"/>
                <w:szCs w:val="18"/>
                <w:lang w:val="fi-FI"/>
              </w:rPr>
              <w:t>jA-t &gt; mdE it/it’,</w:t>
            </w:r>
          </w:p>
          <w:p w14:paraId="4936D6FF" w14:textId="77777777" w:rsidR="0076526E" w:rsidRPr="00FB4EFA" w:rsidRDefault="0076526E" w:rsidP="00AC1192">
            <w:pPr>
              <w:keepNext/>
              <w:keepLines/>
              <w:widowControl w:val="0"/>
              <w:suppressAutoHyphens/>
              <w:jc w:val="left"/>
              <w:rPr>
                <w:sz w:val="18"/>
                <w:szCs w:val="18"/>
                <w:shd w:val="clear" w:color="auto" w:fill="F4CCCC"/>
                <w:lang w:val="fi-FI"/>
              </w:rPr>
            </w:pPr>
            <w:r w:rsidRPr="00FB4EFA">
              <w:rPr>
                <w:rFonts w:cs="Times New Roman"/>
                <w:i/>
                <w:iCs/>
                <w:sz w:val="18"/>
                <w:szCs w:val="18"/>
                <w:lang w:val="fi-FI"/>
              </w:rPr>
              <w:t>mdM ajt’/iJt’</w:t>
            </w:r>
          </w:p>
        </w:tc>
        <w:tc>
          <w:tcPr>
            <w:tcW w:w="2752" w:type="dxa"/>
            <w:tcBorders>
              <w:bottom w:val="nil"/>
              <w:right w:val="nil"/>
            </w:tcBorders>
            <w:vAlign w:val="center"/>
          </w:tcPr>
          <w:p w14:paraId="57E2BDB1" w14:textId="07A2586A" w:rsidR="0076526E" w:rsidRPr="00FB4EFA" w:rsidRDefault="0076526E" w:rsidP="00AC1192">
            <w:pPr>
              <w:keepNext/>
              <w:keepLines/>
              <w:widowControl w:val="0"/>
              <w:suppressAutoHyphens/>
              <w:jc w:val="left"/>
              <w:rPr>
                <w:sz w:val="18"/>
                <w:szCs w:val="18"/>
                <w:shd w:val="clear" w:color="auto" w:fill="F4CCCC"/>
                <w:lang w:val="fi-FI"/>
              </w:rPr>
            </w:pPr>
            <w:r w:rsidRPr="00FB4EFA">
              <w:rPr>
                <w:rFonts w:cs="Times New Roman"/>
                <w:sz w:val="18"/>
                <w:szCs w:val="18"/>
                <w:lang w:val="fi-FI"/>
              </w:rPr>
              <w:t xml:space="preserve">*morajat &gt; mdE </w:t>
            </w:r>
            <w:r w:rsidRPr="00FB4EFA">
              <w:rPr>
                <w:rFonts w:cs="Times New Roman"/>
                <w:i/>
                <w:iCs/>
                <w:sz w:val="18"/>
                <w:szCs w:val="18"/>
                <w:lang w:val="fi-FI"/>
              </w:rPr>
              <w:t>morit</w:t>
            </w:r>
            <w:r w:rsidRPr="00FB4EFA">
              <w:rPr>
                <w:rFonts w:cs="Times New Roman"/>
                <w:sz w:val="18"/>
                <w:szCs w:val="18"/>
                <w:lang w:val="fi-FI"/>
              </w:rPr>
              <w:t xml:space="preserve">, </w:t>
            </w:r>
            <w:r w:rsidRPr="00FB4EFA">
              <w:rPr>
                <w:rFonts w:cs="Times New Roman"/>
                <w:sz w:val="18"/>
                <w:szCs w:val="18"/>
                <w:lang w:val="fi-FI"/>
              </w:rPr>
              <w:br/>
              <w:t xml:space="preserve">mdM </w:t>
            </w:r>
            <w:r w:rsidRPr="00FB4EFA">
              <w:rPr>
                <w:rFonts w:cs="Times New Roman"/>
                <w:i/>
                <w:iCs/>
                <w:sz w:val="18"/>
                <w:szCs w:val="18"/>
                <w:lang w:val="fi-FI"/>
              </w:rPr>
              <w:t>moraJt’</w:t>
            </w:r>
            <w:r w:rsidRPr="00FB4EFA">
              <w:rPr>
                <w:rFonts w:cs="Times New Roman"/>
                <w:sz w:val="18"/>
                <w:szCs w:val="18"/>
                <w:lang w:val="fi-FI"/>
              </w:rPr>
              <w:t xml:space="preserve">, </w:t>
            </w:r>
            <w:r w:rsidRPr="00FB4EFA">
              <w:rPr>
                <w:rFonts w:cs="Times New Roman"/>
                <w:i/>
                <w:iCs/>
                <w:sz w:val="18"/>
                <w:szCs w:val="18"/>
                <w:lang w:val="fi-FI"/>
              </w:rPr>
              <w:t>moriJt’</w:t>
            </w:r>
          </w:p>
        </w:tc>
      </w:tr>
    </w:tbl>
    <w:p w14:paraId="3AC21528" w14:textId="329A6E07" w:rsidR="0076526E" w:rsidRPr="00FB4EFA" w:rsidRDefault="0076526E" w:rsidP="00AC1192">
      <w:pPr>
        <w:suppressAutoHyphens/>
        <w:spacing w:before="120" w:after="240" w:line="240" w:lineRule="auto"/>
        <w:jc w:val="center"/>
        <w:rPr>
          <w:rFonts w:cs="Times New Roman"/>
          <w:sz w:val="18"/>
          <w:szCs w:val="18"/>
          <w:lang w:val="fi-FI"/>
        </w:rPr>
      </w:pPr>
      <w:r w:rsidRPr="00FB4EFA">
        <w:rPr>
          <w:rFonts w:cs="Times New Roman"/>
          <w:b/>
          <w:bCs/>
          <w:sz w:val="18"/>
          <w:szCs w:val="18"/>
          <w:lang w:val="fi-FI"/>
        </w:rPr>
        <w:t>Taulukko 6</w:t>
      </w:r>
      <w:r w:rsidRPr="00FB4EFA">
        <w:rPr>
          <w:rFonts w:cs="Times New Roman"/>
          <w:sz w:val="18"/>
          <w:szCs w:val="18"/>
          <w:lang w:val="fi-FI"/>
        </w:rPr>
        <w:t>. Verbin preesenstaivutus kantamordvassa, subjektikonjugaatio (Bartens</w:t>
      </w:r>
      <w:r w:rsidR="00545033" w:rsidRPr="00FB4EFA">
        <w:rPr>
          <w:rFonts w:cs="Times New Roman"/>
          <w:sz w:val="18"/>
          <w:szCs w:val="18"/>
          <w:lang w:val="fi-FI"/>
        </w:rPr>
        <w:t> </w:t>
      </w:r>
      <w:r w:rsidRPr="00FB4EFA">
        <w:rPr>
          <w:rFonts w:cs="Times New Roman"/>
          <w:sz w:val="18"/>
          <w:szCs w:val="18"/>
          <w:lang w:val="fi-FI"/>
        </w:rPr>
        <w:t>1999: 123–125).</w:t>
      </w:r>
    </w:p>
    <w:p w14:paraId="42B26690" w14:textId="2B39D06F" w:rsidR="0076526E" w:rsidRPr="00FB4EFA" w:rsidRDefault="0076526E" w:rsidP="00AF0CAD">
      <w:pPr>
        <w:spacing w:after="240"/>
        <w:rPr>
          <w:lang w:val="fi-FI"/>
        </w:rPr>
      </w:pPr>
      <w:r w:rsidRPr="00FB4EFA">
        <w:rPr>
          <w:lang w:val="fi-FI"/>
        </w:rPr>
        <w:t>Taulukko 7. kokoaa aiemman tutkimuksen pohjalta verbivartaloon liittyvien morfeemien rekonstruoidut muodot niin, että preesensin *</w:t>
      </w:r>
      <w:r w:rsidR="00545033" w:rsidRPr="00FB4EFA">
        <w:rPr>
          <w:lang w:val="fi-FI"/>
        </w:rPr>
        <w:noBreakHyphen/>
      </w:r>
      <w:r w:rsidRPr="00FB4EFA">
        <w:rPr>
          <w:i/>
          <w:iCs/>
          <w:lang w:val="fi-FI"/>
        </w:rPr>
        <w:t>k</w:t>
      </w:r>
      <w:r w:rsidR="00545033" w:rsidRPr="00FB4EFA">
        <w:rPr>
          <w:lang w:val="fi-FI"/>
        </w:rPr>
        <w:noBreakHyphen/>
      </w:r>
      <w:r w:rsidRPr="00FB4EFA">
        <w:rPr>
          <w:lang w:val="fi-FI"/>
        </w:rPr>
        <w:t>tunnuksen sijaan kantasuomen monikon 1. ja 2. persoona sisältävät vaihtoehtoisesti monikon nominatiivin *</w:t>
      </w:r>
      <w:r w:rsidR="00DC19A4" w:rsidRPr="00FB4EFA">
        <w:rPr>
          <w:lang w:val="fi-FI"/>
        </w:rPr>
        <w:t>-</w:t>
      </w:r>
      <w:r w:rsidRPr="00FB4EFA">
        <w:rPr>
          <w:i/>
          <w:iCs/>
          <w:lang w:val="fi-FI"/>
        </w:rPr>
        <w:t>t</w:t>
      </w:r>
      <w:r w:rsidRPr="00FB4EFA">
        <w:rPr>
          <w:lang w:val="fi-FI"/>
        </w:rPr>
        <w:t>. Taulukosta 6. näkyy, että predikaattiasemaisten nominien ja verbien morfeemivarannot on valjastettu sekakäyttöön. Mordvalaiskielissä tämä sekakäyttö näkyy laajimpana nominikonjugaation muodossa, saamelaiskielissä taas nominaalistavien partisiippien laajana käyttönä verbintaivuksen persoonamuotoina tai osana niitä. Itämerensuomalaisissa kielissä nominaalista alkuperää olevia elementtejä on oletettu aiemmin vain kolmansiin persooniin, mutta ehdotan, että nominaalinen elementti *</w:t>
      </w:r>
      <w:r w:rsidR="006E1E3A" w:rsidRPr="00FB4EFA">
        <w:rPr>
          <w:lang w:val="fi-FI"/>
        </w:rPr>
        <w:noBreakHyphen/>
      </w:r>
      <w:r w:rsidRPr="00FB4EFA">
        <w:rPr>
          <w:i/>
          <w:iCs/>
          <w:lang w:val="fi-FI"/>
        </w:rPr>
        <w:t>t</w:t>
      </w:r>
      <w:r w:rsidR="006E1E3A" w:rsidRPr="00FB4EFA">
        <w:rPr>
          <w:i/>
          <w:iCs/>
          <w:lang w:val="fi-FI"/>
        </w:rPr>
        <w:noBreakHyphen/>
      </w:r>
      <w:r w:rsidRPr="00FB4EFA">
        <w:rPr>
          <w:lang w:val="fi-FI"/>
        </w:rPr>
        <w:t xml:space="preserve"> esiintyy monikon 1. ja 2. persoonan muodoissa. Näin itämerensuomi ja mordvalaiskielet rakentaisivat monikon 1. ja 2. persoonan monikon nominatiivin varaan, *</w:t>
      </w:r>
      <w:r w:rsidR="006E1E3A" w:rsidRPr="00FB4EFA">
        <w:rPr>
          <w:lang w:val="fi-FI"/>
        </w:rPr>
        <w:noBreakHyphen/>
      </w:r>
      <w:r w:rsidRPr="00FB4EFA">
        <w:rPr>
          <w:i/>
          <w:iCs/>
          <w:lang w:val="fi-FI"/>
        </w:rPr>
        <w:t>t</w:t>
      </w:r>
      <w:r w:rsidR="006E1E3A" w:rsidRPr="00FB4EFA">
        <w:rPr>
          <w:lang w:val="fi-FI"/>
        </w:rPr>
        <w:noBreakHyphen/>
      </w:r>
      <w:r w:rsidRPr="00FB4EFA">
        <w:rPr>
          <w:lang w:val="fi-FI"/>
        </w:rPr>
        <w:t xml:space="preserve"> + </w:t>
      </w:r>
      <w:r w:rsidRPr="00FB4EFA">
        <w:rPr>
          <w:i/>
          <w:iCs/>
          <w:lang w:val="fi-FI"/>
        </w:rPr>
        <w:t>Vx</w:t>
      </w:r>
      <w:r w:rsidRPr="00FB4EFA">
        <w:rPr>
          <w:lang w:val="fi-FI"/>
        </w:rPr>
        <w:t>. Tämä muodostustapa noudattaa samaa periaatetta kuin mordvalaiskielten preesenstaivutus, joissa ennen persoonaan viittaavaa ainesta esiintyy monikon nominatiivin *</w:t>
      </w:r>
      <w:r w:rsidR="006E1E3A" w:rsidRPr="00FB4EFA">
        <w:rPr>
          <w:lang w:val="fi-FI"/>
        </w:rPr>
        <w:noBreakHyphen/>
      </w:r>
      <w:r w:rsidRPr="00FB4EFA">
        <w:rPr>
          <w:i/>
          <w:iCs/>
          <w:lang w:val="fi-FI"/>
        </w:rPr>
        <w:t>t</w:t>
      </w:r>
      <w:r w:rsidRPr="00FB4EFA">
        <w:rPr>
          <w:lang w:val="fi-FI"/>
        </w:rPr>
        <w:t xml:space="preserve"> (Ravila 1929: 104). Mordvalaiskieliä ja kantasuomea yhdistää myös se, että monikon *</w:t>
      </w:r>
      <w:r w:rsidR="006E1E3A" w:rsidRPr="00FB4EFA">
        <w:rPr>
          <w:lang w:val="fi-FI"/>
        </w:rPr>
        <w:noBreakHyphen/>
      </w:r>
      <w:r w:rsidRPr="00FB4EFA">
        <w:rPr>
          <w:i/>
          <w:iCs/>
          <w:lang w:val="fi-FI"/>
        </w:rPr>
        <w:t>t</w:t>
      </w:r>
      <w:r w:rsidRPr="00FB4EFA">
        <w:rPr>
          <w:lang w:val="fi-FI"/>
        </w:rPr>
        <w:t xml:space="preserve"> suffiksoituu suoraan verbi</w:t>
      </w:r>
      <w:r w:rsidRPr="00FB4EFA">
        <w:rPr>
          <w:lang w:val="fi-FI"/>
        </w:rPr>
        <w:lastRenderedPageBreak/>
        <w:t xml:space="preserve">vartaloon. Menneessä ajassa monikon kolmansien persoonien verbit on kantasuomessa ja kantamordvassa muodostettu niin, että verbivartaloon liittyy imperfektin tunnuksen jälkeen monikon nominatiivin tunnus, esim. mdE </w:t>
      </w:r>
      <w:r w:rsidRPr="00FB4EFA">
        <w:rPr>
          <w:i/>
          <w:iCs/>
          <w:lang w:val="fi-FI"/>
        </w:rPr>
        <w:t>mol’-s’t’</w:t>
      </w:r>
      <w:r w:rsidRPr="00FB4EFA">
        <w:rPr>
          <w:lang w:val="fi-FI"/>
        </w:rPr>
        <w:t xml:space="preserve"> mennä-</w:t>
      </w:r>
      <w:r w:rsidRPr="00FB4EFA">
        <w:rPr>
          <w:smallCaps/>
          <w:lang w:val="fi-FI"/>
        </w:rPr>
        <w:t>1pst-pl</w:t>
      </w:r>
      <w:r w:rsidRPr="00FB4EFA">
        <w:rPr>
          <w:lang w:val="fi-FI"/>
        </w:rPr>
        <w:t xml:space="preserve">, sm, murt. </w:t>
      </w:r>
      <w:r w:rsidRPr="00FB4EFA">
        <w:rPr>
          <w:i/>
          <w:iCs/>
          <w:lang w:val="fi-FI"/>
        </w:rPr>
        <w:t>men-i-t</w:t>
      </w:r>
      <w:r w:rsidRPr="00FB4EFA">
        <w:rPr>
          <w:lang w:val="fi-FI"/>
        </w:rPr>
        <w:t xml:space="preserve"> mennä-</w:t>
      </w:r>
      <w:r w:rsidRPr="00FB4EFA">
        <w:rPr>
          <w:smallCaps/>
          <w:lang w:val="fi-FI"/>
        </w:rPr>
        <w:t>1pst-pl</w:t>
      </w:r>
      <w:r w:rsidRPr="00FB4EFA">
        <w:rPr>
          <w:lang w:val="fi-FI"/>
        </w:rPr>
        <w:t>.)</w:t>
      </w:r>
    </w:p>
    <w:tbl>
      <w:tblPr>
        <w:tblW w:w="6773" w:type="dxa"/>
        <w:tblInd w:w="110" w:type="dxa"/>
        <w:tblLayout w:type="fixed"/>
        <w:tblLook w:val="04A0" w:firstRow="1" w:lastRow="0" w:firstColumn="1" w:lastColumn="0" w:noHBand="0" w:noVBand="1"/>
      </w:tblPr>
      <w:tblGrid>
        <w:gridCol w:w="1175"/>
        <w:gridCol w:w="692"/>
        <w:gridCol w:w="1468"/>
        <w:gridCol w:w="1444"/>
        <w:gridCol w:w="1994"/>
      </w:tblGrid>
      <w:tr w:rsidR="00FB4EFA" w:rsidRPr="00FB4EFA" w14:paraId="46E0ABC1" w14:textId="77777777" w:rsidTr="00EC74AD">
        <w:tc>
          <w:tcPr>
            <w:tcW w:w="1175" w:type="dxa"/>
            <w:tcBorders>
              <w:top w:val="nil"/>
              <w:left w:val="nil"/>
              <w:bottom w:val="single" w:sz="12" w:space="0" w:color="000000"/>
              <w:right w:val="single" w:sz="12" w:space="0" w:color="000000"/>
            </w:tcBorders>
          </w:tcPr>
          <w:p w14:paraId="511583A5" w14:textId="77777777" w:rsidR="0076526E" w:rsidRPr="00FB4EFA" w:rsidRDefault="0076526E" w:rsidP="00AC1192">
            <w:pPr>
              <w:keepNext/>
              <w:widowControl w:val="0"/>
              <w:suppressAutoHyphens/>
              <w:jc w:val="center"/>
              <w:rPr>
                <w:rFonts w:cs="Times New Roman"/>
                <w:b/>
                <w:sz w:val="20"/>
                <w:szCs w:val="20"/>
                <w:lang w:val="fi-FI"/>
              </w:rPr>
            </w:pPr>
            <w:r w:rsidRPr="00FB4EFA">
              <w:rPr>
                <w:rFonts w:cs="Times New Roman"/>
                <w:b/>
                <w:sz w:val="20"/>
                <w:szCs w:val="20"/>
                <w:lang w:val="fi-FI"/>
              </w:rPr>
              <w:t>persoona</w:t>
            </w:r>
          </w:p>
        </w:tc>
        <w:tc>
          <w:tcPr>
            <w:tcW w:w="692" w:type="dxa"/>
            <w:tcBorders>
              <w:top w:val="nil"/>
              <w:left w:val="single" w:sz="12" w:space="0" w:color="000000"/>
              <w:bottom w:val="single" w:sz="12" w:space="0" w:color="000000"/>
            </w:tcBorders>
          </w:tcPr>
          <w:p w14:paraId="416828E8" w14:textId="77777777" w:rsidR="0076526E" w:rsidRPr="00FB4EFA" w:rsidRDefault="0076526E" w:rsidP="00AC1192">
            <w:pPr>
              <w:keepNext/>
              <w:widowControl w:val="0"/>
              <w:suppressAutoHyphens/>
              <w:jc w:val="center"/>
              <w:rPr>
                <w:rFonts w:cs="Times New Roman"/>
                <w:b/>
                <w:sz w:val="20"/>
                <w:szCs w:val="20"/>
                <w:lang w:val="fi-FI"/>
              </w:rPr>
            </w:pPr>
            <w:r w:rsidRPr="00FB4EFA">
              <w:rPr>
                <w:rFonts w:cs="Times New Roman"/>
                <w:b/>
                <w:sz w:val="20"/>
                <w:szCs w:val="20"/>
                <w:lang w:val="fi-FI"/>
              </w:rPr>
              <w:t>luku</w:t>
            </w:r>
          </w:p>
        </w:tc>
        <w:tc>
          <w:tcPr>
            <w:tcW w:w="1468" w:type="dxa"/>
            <w:tcBorders>
              <w:top w:val="nil"/>
              <w:bottom w:val="single" w:sz="12" w:space="0" w:color="000000"/>
            </w:tcBorders>
          </w:tcPr>
          <w:p w14:paraId="53F62F8F" w14:textId="77777777" w:rsidR="0076526E" w:rsidRPr="00FB4EFA" w:rsidRDefault="0076526E" w:rsidP="00AC1192">
            <w:pPr>
              <w:keepNext/>
              <w:widowControl w:val="0"/>
              <w:suppressAutoHyphens/>
              <w:jc w:val="center"/>
              <w:rPr>
                <w:rFonts w:cs="Times New Roman"/>
                <w:b/>
                <w:sz w:val="20"/>
                <w:szCs w:val="20"/>
                <w:lang w:val="fi-FI"/>
              </w:rPr>
            </w:pPr>
            <w:r w:rsidRPr="00FB4EFA">
              <w:rPr>
                <w:rFonts w:cs="Times New Roman"/>
                <w:b/>
                <w:sz w:val="20"/>
                <w:szCs w:val="20"/>
                <w:lang w:val="fi-FI"/>
              </w:rPr>
              <w:t>kantasaame</w:t>
            </w:r>
          </w:p>
        </w:tc>
        <w:tc>
          <w:tcPr>
            <w:tcW w:w="1444" w:type="dxa"/>
            <w:tcBorders>
              <w:top w:val="nil"/>
              <w:bottom w:val="single" w:sz="12" w:space="0" w:color="000000"/>
            </w:tcBorders>
          </w:tcPr>
          <w:p w14:paraId="268B74A4" w14:textId="77777777" w:rsidR="0076526E" w:rsidRPr="00FB4EFA" w:rsidRDefault="0076526E" w:rsidP="00AC1192">
            <w:pPr>
              <w:keepNext/>
              <w:widowControl w:val="0"/>
              <w:suppressAutoHyphens/>
              <w:jc w:val="center"/>
              <w:rPr>
                <w:rFonts w:cs="Times New Roman"/>
                <w:b/>
                <w:sz w:val="20"/>
                <w:szCs w:val="20"/>
                <w:lang w:val="fi-FI"/>
              </w:rPr>
            </w:pPr>
            <w:r w:rsidRPr="00FB4EFA">
              <w:rPr>
                <w:rFonts w:cs="Times New Roman"/>
                <w:b/>
                <w:sz w:val="20"/>
                <w:szCs w:val="20"/>
                <w:lang w:val="fi-FI"/>
              </w:rPr>
              <w:t>kantasuomi</w:t>
            </w:r>
          </w:p>
        </w:tc>
        <w:tc>
          <w:tcPr>
            <w:tcW w:w="1994" w:type="dxa"/>
            <w:tcBorders>
              <w:top w:val="nil"/>
              <w:bottom w:val="single" w:sz="12" w:space="0" w:color="000000"/>
              <w:right w:val="nil"/>
            </w:tcBorders>
          </w:tcPr>
          <w:p w14:paraId="4F067C70" w14:textId="77777777" w:rsidR="0076526E" w:rsidRPr="00FB4EFA" w:rsidRDefault="0076526E" w:rsidP="00AC1192">
            <w:pPr>
              <w:keepNext/>
              <w:widowControl w:val="0"/>
              <w:suppressAutoHyphens/>
              <w:jc w:val="center"/>
              <w:rPr>
                <w:rFonts w:cs="Times New Roman"/>
                <w:b/>
                <w:sz w:val="20"/>
                <w:szCs w:val="20"/>
                <w:lang w:val="fi-FI"/>
              </w:rPr>
            </w:pPr>
            <w:r w:rsidRPr="00FB4EFA">
              <w:rPr>
                <w:rFonts w:cs="Times New Roman"/>
                <w:b/>
                <w:sz w:val="20"/>
                <w:szCs w:val="20"/>
                <w:lang w:val="fi-FI"/>
              </w:rPr>
              <w:t>kantamordva</w:t>
            </w:r>
          </w:p>
        </w:tc>
      </w:tr>
      <w:tr w:rsidR="00FB4EFA" w:rsidRPr="00FB4EFA" w14:paraId="1BBABD75" w14:textId="77777777" w:rsidTr="00EC74AD">
        <w:tc>
          <w:tcPr>
            <w:tcW w:w="1175" w:type="dxa"/>
            <w:vMerge w:val="restart"/>
            <w:tcBorders>
              <w:top w:val="single" w:sz="12" w:space="0" w:color="000000"/>
              <w:left w:val="nil"/>
              <w:bottom w:val="single" w:sz="12" w:space="0" w:color="000000"/>
              <w:right w:val="single" w:sz="12" w:space="0" w:color="000000"/>
            </w:tcBorders>
            <w:vAlign w:val="center"/>
          </w:tcPr>
          <w:p w14:paraId="3429E780"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Sg</w:t>
            </w:r>
          </w:p>
        </w:tc>
        <w:tc>
          <w:tcPr>
            <w:tcW w:w="692" w:type="dxa"/>
            <w:tcBorders>
              <w:top w:val="single" w:sz="12" w:space="0" w:color="000000"/>
              <w:left w:val="single" w:sz="12" w:space="0" w:color="000000"/>
            </w:tcBorders>
            <w:vAlign w:val="center"/>
          </w:tcPr>
          <w:p w14:paraId="46A2F1EA"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1</w:t>
            </w:r>
          </w:p>
        </w:tc>
        <w:tc>
          <w:tcPr>
            <w:tcW w:w="1468" w:type="dxa"/>
            <w:tcBorders>
              <w:top w:val="single" w:sz="12" w:space="0" w:color="000000"/>
            </w:tcBorders>
          </w:tcPr>
          <w:p w14:paraId="742784BB"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m</w:t>
            </w:r>
          </w:p>
        </w:tc>
        <w:tc>
          <w:tcPr>
            <w:tcW w:w="1444" w:type="dxa"/>
            <w:tcBorders>
              <w:top w:val="single" w:sz="12" w:space="0" w:color="000000"/>
            </w:tcBorders>
          </w:tcPr>
          <w:p w14:paraId="2B1BFB43"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m</w:t>
            </w:r>
          </w:p>
        </w:tc>
        <w:tc>
          <w:tcPr>
            <w:tcW w:w="1994" w:type="dxa"/>
            <w:tcBorders>
              <w:top w:val="single" w:sz="12" w:space="0" w:color="000000"/>
              <w:right w:val="nil"/>
            </w:tcBorders>
          </w:tcPr>
          <w:p w14:paraId="6B830098"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 xml:space="preserve"> *-</w:t>
            </w:r>
            <w:r w:rsidRPr="00FB4EFA">
              <w:rPr>
                <w:rFonts w:cs="Times New Roman"/>
                <w:i/>
                <w:iCs/>
                <w:sz w:val="20"/>
                <w:szCs w:val="20"/>
                <w:lang w:val="fi-FI"/>
              </w:rPr>
              <w:t>m</w:t>
            </w:r>
            <w:r w:rsidRPr="00FB4EFA">
              <w:rPr>
                <w:rFonts w:cs="Times New Roman"/>
                <w:sz w:val="20"/>
                <w:szCs w:val="20"/>
                <w:lang w:val="fi-FI"/>
              </w:rPr>
              <w:t xml:space="preserve"> </w:t>
            </w:r>
          </w:p>
        </w:tc>
      </w:tr>
      <w:tr w:rsidR="00FB4EFA" w:rsidRPr="00FB4EFA" w14:paraId="6D38F30F" w14:textId="77777777" w:rsidTr="00EC74AD">
        <w:tc>
          <w:tcPr>
            <w:tcW w:w="1175" w:type="dxa"/>
            <w:vMerge/>
            <w:tcBorders>
              <w:left w:val="nil"/>
              <w:right w:val="single" w:sz="12" w:space="0" w:color="000000"/>
            </w:tcBorders>
            <w:vAlign w:val="center"/>
          </w:tcPr>
          <w:p w14:paraId="6602FD41" w14:textId="77777777" w:rsidR="0076526E" w:rsidRPr="00FB4EFA" w:rsidRDefault="0076526E" w:rsidP="00AC1192">
            <w:pPr>
              <w:keepNext/>
              <w:widowControl w:val="0"/>
              <w:suppressAutoHyphens/>
              <w:jc w:val="center"/>
              <w:rPr>
                <w:rFonts w:cs="Times New Roman"/>
                <w:b/>
                <w:bCs/>
                <w:sz w:val="20"/>
                <w:szCs w:val="20"/>
                <w:lang w:val="fi-FI"/>
              </w:rPr>
            </w:pPr>
          </w:p>
        </w:tc>
        <w:tc>
          <w:tcPr>
            <w:tcW w:w="692" w:type="dxa"/>
            <w:tcBorders>
              <w:left w:val="single" w:sz="12" w:space="0" w:color="000000"/>
            </w:tcBorders>
            <w:vAlign w:val="center"/>
          </w:tcPr>
          <w:p w14:paraId="1BBA98F5"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2</w:t>
            </w:r>
          </w:p>
        </w:tc>
        <w:tc>
          <w:tcPr>
            <w:tcW w:w="1468" w:type="dxa"/>
          </w:tcPr>
          <w:p w14:paraId="608AA985"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t</w:t>
            </w:r>
          </w:p>
        </w:tc>
        <w:tc>
          <w:tcPr>
            <w:tcW w:w="1444" w:type="dxa"/>
          </w:tcPr>
          <w:p w14:paraId="42964E33"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t</w:t>
            </w:r>
          </w:p>
        </w:tc>
        <w:tc>
          <w:tcPr>
            <w:tcW w:w="1994" w:type="dxa"/>
            <w:tcBorders>
              <w:right w:val="nil"/>
            </w:tcBorders>
          </w:tcPr>
          <w:p w14:paraId="1B42D02C"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 xml:space="preserve"> *-</w:t>
            </w:r>
            <w:r w:rsidRPr="00FB4EFA">
              <w:rPr>
                <w:rFonts w:cs="Times New Roman"/>
                <w:i/>
                <w:iCs/>
                <w:sz w:val="20"/>
                <w:szCs w:val="20"/>
                <w:lang w:val="fi-FI"/>
              </w:rPr>
              <w:t>t</w:t>
            </w:r>
          </w:p>
        </w:tc>
      </w:tr>
      <w:tr w:rsidR="00FB4EFA" w:rsidRPr="00FB4EFA" w14:paraId="0E279EF2" w14:textId="77777777" w:rsidTr="00EC74AD">
        <w:tc>
          <w:tcPr>
            <w:tcW w:w="1175" w:type="dxa"/>
            <w:vMerge/>
            <w:tcBorders>
              <w:left w:val="nil"/>
              <w:bottom w:val="single" w:sz="12" w:space="0" w:color="000000"/>
              <w:right w:val="single" w:sz="12" w:space="0" w:color="000000"/>
            </w:tcBorders>
            <w:vAlign w:val="center"/>
          </w:tcPr>
          <w:p w14:paraId="3CD186CD" w14:textId="77777777" w:rsidR="0076526E" w:rsidRPr="00FB4EFA" w:rsidRDefault="0076526E" w:rsidP="00AC1192">
            <w:pPr>
              <w:keepNext/>
              <w:widowControl w:val="0"/>
              <w:suppressAutoHyphens/>
              <w:jc w:val="center"/>
              <w:rPr>
                <w:rFonts w:cs="Times New Roman"/>
                <w:b/>
                <w:bCs/>
                <w:sz w:val="20"/>
                <w:szCs w:val="20"/>
                <w:lang w:val="fi-FI"/>
              </w:rPr>
            </w:pPr>
          </w:p>
        </w:tc>
        <w:tc>
          <w:tcPr>
            <w:tcW w:w="692" w:type="dxa"/>
            <w:tcBorders>
              <w:left w:val="single" w:sz="12" w:space="0" w:color="000000"/>
              <w:bottom w:val="single" w:sz="12" w:space="0" w:color="000000"/>
            </w:tcBorders>
            <w:vAlign w:val="center"/>
          </w:tcPr>
          <w:p w14:paraId="4D2D4628"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3</w:t>
            </w:r>
          </w:p>
        </w:tc>
        <w:tc>
          <w:tcPr>
            <w:tcW w:w="1468" w:type="dxa"/>
            <w:tcBorders>
              <w:bottom w:val="single" w:sz="12" w:space="0" w:color="000000"/>
            </w:tcBorders>
          </w:tcPr>
          <w:p w14:paraId="5CE944A5"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jA</w:t>
            </w:r>
          </w:p>
        </w:tc>
        <w:tc>
          <w:tcPr>
            <w:tcW w:w="1444" w:type="dxa"/>
            <w:tcBorders>
              <w:bottom w:val="single" w:sz="12" w:space="0" w:color="000000"/>
            </w:tcBorders>
          </w:tcPr>
          <w:p w14:paraId="7BFB5F28"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pA</w:t>
            </w:r>
          </w:p>
        </w:tc>
        <w:tc>
          <w:tcPr>
            <w:tcW w:w="1994" w:type="dxa"/>
            <w:tcBorders>
              <w:bottom w:val="single" w:sz="12" w:space="0" w:color="000000"/>
              <w:right w:val="nil"/>
            </w:tcBorders>
          </w:tcPr>
          <w:p w14:paraId="757E6CFA"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 xml:space="preserve"> *-</w:t>
            </w:r>
            <w:r w:rsidRPr="00FB4EFA">
              <w:rPr>
                <w:rFonts w:cs="Times New Roman"/>
                <w:i/>
                <w:iCs/>
                <w:sz w:val="20"/>
                <w:szCs w:val="20"/>
                <w:lang w:val="fi-FI"/>
              </w:rPr>
              <w:t>jA</w:t>
            </w:r>
            <w:r w:rsidRPr="00FB4EFA">
              <w:rPr>
                <w:rFonts w:cs="Times New Roman"/>
                <w:sz w:val="20"/>
                <w:szCs w:val="20"/>
                <w:lang w:val="fi-FI"/>
              </w:rPr>
              <w:t xml:space="preserve"> </w:t>
            </w:r>
          </w:p>
        </w:tc>
      </w:tr>
      <w:tr w:rsidR="00FB4EFA" w:rsidRPr="00FB4EFA" w14:paraId="763CC71A" w14:textId="77777777" w:rsidTr="00EC74AD">
        <w:tc>
          <w:tcPr>
            <w:tcW w:w="1175" w:type="dxa"/>
            <w:vMerge w:val="restart"/>
            <w:tcBorders>
              <w:top w:val="single" w:sz="12" w:space="0" w:color="000000"/>
              <w:left w:val="nil"/>
              <w:bottom w:val="single" w:sz="12" w:space="0" w:color="000000"/>
              <w:right w:val="single" w:sz="12" w:space="0" w:color="000000"/>
            </w:tcBorders>
            <w:vAlign w:val="center"/>
          </w:tcPr>
          <w:p w14:paraId="21096197"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Pl</w:t>
            </w:r>
          </w:p>
        </w:tc>
        <w:tc>
          <w:tcPr>
            <w:tcW w:w="692" w:type="dxa"/>
            <w:tcBorders>
              <w:top w:val="single" w:sz="12" w:space="0" w:color="000000"/>
              <w:left w:val="single" w:sz="12" w:space="0" w:color="000000"/>
            </w:tcBorders>
            <w:vAlign w:val="center"/>
          </w:tcPr>
          <w:p w14:paraId="7FF18FC1"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1</w:t>
            </w:r>
          </w:p>
        </w:tc>
        <w:tc>
          <w:tcPr>
            <w:tcW w:w="1468" w:type="dxa"/>
            <w:tcBorders>
              <w:top w:val="single" w:sz="12" w:space="0" w:color="000000"/>
            </w:tcBorders>
          </w:tcPr>
          <w:p w14:paraId="7124DE44"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pA</w:t>
            </w:r>
          </w:p>
        </w:tc>
        <w:tc>
          <w:tcPr>
            <w:tcW w:w="1444" w:type="dxa"/>
            <w:tcBorders>
              <w:top w:val="single" w:sz="12" w:space="0" w:color="000000"/>
            </w:tcBorders>
          </w:tcPr>
          <w:p w14:paraId="2E6FB9FC"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t-mAk</w:t>
            </w:r>
            <w:r w:rsidRPr="00FB4EFA">
              <w:rPr>
                <w:rFonts w:cs="Times New Roman"/>
                <w:sz w:val="20"/>
                <w:szCs w:val="20"/>
                <w:lang w:val="fi-FI"/>
              </w:rPr>
              <w:t>/</w:t>
            </w:r>
            <w:r w:rsidRPr="00FB4EFA">
              <w:rPr>
                <w:rFonts w:cs="Times New Roman"/>
                <w:i/>
                <w:iCs/>
                <w:sz w:val="20"/>
                <w:szCs w:val="20"/>
                <w:lang w:val="fi-FI"/>
              </w:rPr>
              <w:t>mAt</w:t>
            </w:r>
          </w:p>
        </w:tc>
        <w:tc>
          <w:tcPr>
            <w:tcW w:w="1994" w:type="dxa"/>
            <w:tcBorders>
              <w:top w:val="single" w:sz="12" w:space="0" w:color="000000"/>
              <w:right w:val="nil"/>
            </w:tcBorders>
          </w:tcPr>
          <w:p w14:paraId="0F3EC5F3"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t-V-mAk</w:t>
            </w:r>
            <w:r w:rsidRPr="00FB4EFA">
              <w:rPr>
                <w:rFonts w:cs="Times New Roman"/>
                <w:sz w:val="20"/>
                <w:szCs w:val="20"/>
                <w:lang w:val="fi-FI"/>
              </w:rPr>
              <w:t>, *-</w:t>
            </w:r>
            <w:r w:rsidRPr="00FB4EFA">
              <w:rPr>
                <w:rFonts w:cs="Times New Roman"/>
                <w:i/>
                <w:iCs/>
                <w:sz w:val="20"/>
                <w:szCs w:val="20"/>
                <w:lang w:val="fi-FI"/>
              </w:rPr>
              <w:t>t-V-nok</w:t>
            </w:r>
            <w:r w:rsidRPr="00FB4EFA">
              <w:rPr>
                <w:rFonts w:cs="Times New Roman"/>
                <w:sz w:val="20"/>
                <w:szCs w:val="20"/>
                <w:lang w:val="fi-FI"/>
              </w:rPr>
              <w:t xml:space="preserve"> </w:t>
            </w:r>
          </w:p>
        </w:tc>
      </w:tr>
      <w:tr w:rsidR="00FB4EFA" w:rsidRPr="00FB4EFA" w14:paraId="63FAB2A9" w14:textId="77777777" w:rsidTr="00EC74AD">
        <w:tc>
          <w:tcPr>
            <w:tcW w:w="1175" w:type="dxa"/>
            <w:vMerge/>
            <w:tcBorders>
              <w:left w:val="nil"/>
              <w:right w:val="single" w:sz="12" w:space="0" w:color="000000"/>
            </w:tcBorders>
            <w:vAlign w:val="center"/>
          </w:tcPr>
          <w:p w14:paraId="14AF29C2" w14:textId="77777777" w:rsidR="0076526E" w:rsidRPr="00FB4EFA" w:rsidRDefault="0076526E" w:rsidP="00AC1192">
            <w:pPr>
              <w:keepNext/>
              <w:widowControl w:val="0"/>
              <w:suppressAutoHyphens/>
              <w:jc w:val="center"/>
              <w:rPr>
                <w:rFonts w:cs="Times New Roman"/>
                <w:b/>
                <w:bCs/>
                <w:sz w:val="20"/>
                <w:szCs w:val="20"/>
                <w:lang w:val="fi-FI"/>
              </w:rPr>
            </w:pPr>
          </w:p>
        </w:tc>
        <w:tc>
          <w:tcPr>
            <w:tcW w:w="692" w:type="dxa"/>
            <w:tcBorders>
              <w:left w:val="single" w:sz="12" w:space="0" w:color="000000"/>
            </w:tcBorders>
            <w:vAlign w:val="center"/>
          </w:tcPr>
          <w:p w14:paraId="1EE1ADF4"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2</w:t>
            </w:r>
          </w:p>
        </w:tc>
        <w:tc>
          <w:tcPr>
            <w:tcW w:w="1468" w:type="dxa"/>
          </w:tcPr>
          <w:p w14:paraId="52DB1F23"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pA-tA</w:t>
            </w:r>
          </w:p>
        </w:tc>
        <w:tc>
          <w:tcPr>
            <w:tcW w:w="1444" w:type="dxa"/>
          </w:tcPr>
          <w:p w14:paraId="3B467614"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t-tAk</w:t>
            </w:r>
            <w:r w:rsidRPr="00FB4EFA">
              <w:rPr>
                <w:rFonts w:cs="Times New Roman"/>
                <w:sz w:val="20"/>
                <w:szCs w:val="20"/>
                <w:lang w:val="fi-FI"/>
              </w:rPr>
              <w:t>/</w:t>
            </w:r>
            <w:r w:rsidRPr="00FB4EFA">
              <w:rPr>
                <w:rFonts w:cs="Times New Roman"/>
                <w:i/>
                <w:iCs/>
                <w:sz w:val="20"/>
                <w:szCs w:val="20"/>
                <w:lang w:val="fi-FI"/>
              </w:rPr>
              <w:t>tAt</w:t>
            </w:r>
          </w:p>
        </w:tc>
        <w:tc>
          <w:tcPr>
            <w:tcW w:w="1994" w:type="dxa"/>
            <w:tcBorders>
              <w:right w:val="nil"/>
            </w:tcBorders>
          </w:tcPr>
          <w:p w14:paraId="192CBA7B"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 xml:space="preserve"> *-</w:t>
            </w:r>
            <w:r w:rsidRPr="00FB4EFA">
              <w:rPr>
                <w:rFonts w:cs="Times New Roman"/>
                <w:i/>
                <w:iCs/>
                <w:sz w:val="20"/>
                <w:szCs w:val="20"/>
                <w:lang w:val="fi-FI"/>
              </w:rPr>
              <w:t>t-tAk</w:t>
            </w:r>
            <w:r w:rsidRPr="00FB4EFA">
              <w:rPr>
                <w:rFonts w:cs="Times New Roman"/>
                <w:sz w:val="20"/>
                <w:szCs w:val="20"/>
                <w:lang w:val="fi-FI"/>
              </w:rPr>
              <w:t xml:space="preserve"> </w:t>
            </w:r>
          </w:p>
        </w:tc>
      </w:tr>
      <w:tr w:rsidR="00FB4EFA" w:rsidRPr="00FB4EFA" w14:paraId="495DED29" w14:textId="77777777" w:rsidTr="00EC74AD">
        <w:tc>
          <w:tcPr>
            <w:tcW w:w="1175" w:type="dxa"/>
            <w:vMerge/>
            <w:tcBorders>
              <w:left w:val="nil"/>
              <w:bottom w:val="single" w:sz="12" w:space="0" w:color="000000"/>
              <w:right w:val="single" w:sz="12" w:space="0" w:color="000000"/>
            </w:tcBorders>
            <w:vAlign w:val="center"/>
          </w:tcPr>
          <w:p w14:paraId="23A4DD28" w14:textId="77777777" w:rsidR="0076526E" w:rsidRPr="00FB4EFA" w:rsidRDefault="0076526E" w:rsidP="00AC1192">
            <w:pPr>
              <w:keepNext/>
              <w:widowControl w:val="0"/>
              <w:suppressAutoHyphens/>
              <w:jc w:val="center"/>
              <w:rPr>
                <w:rFonts w:cs="Times New Roman"/>
                <w:b/>
                <w:bCs/>
                <w:sz w:val="20"/>
                <w:szCs w:val="20"/>
                <w:lang w:val="fi-FI"/>
              </w:rPr>
            </w:pPr>
          </w:p>
        </w:tc>
        <w:tc>
          <w:tcPr>
            <w:tcW w:w="692" w:type="dxa"/>
            <w:tcBorders>
              <w:left w:val="single" w:sz="12" w:space="0" w:color="000000"/>
              <w:bottom w:val="single" w:sz="12" w:space="0" w:color="000000"/>
            </w:tcBorders>
            <w:vAlign w:val="center"/>
          </w:tcPr>
          <w:p w14:paraId="06C50041"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3</w:t>
            </w:r>
          </w:p>
        </w:tc>
        <w:tc>
          <w:tcPr>
            <w:tcW w:w="1468" w:type="dxa"/>
            <w:tcBorders>
              <w:bottom w:val="single" w:sz="12" w:space="0" w:color="000000"/>
            </w:tcBorders>
          </w:tcPr>
          <w:p w14:paraId="4EA78458"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jA-t</w:t>
            </w:r>
          </w:p>
        </w:tc>
        <w:tc>
          <w:tcPr>
            <w:tcW w:w="1444" w:type="dxa"/>
            <w:tcBorders>
              <w:bottom w:val="single" w:sz="12" w:space="0" w:color="000000"/>
            </w:tcBorders>
          </w:tcPr>
          <w:p w14:paraId="0B8D0FCB"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pA-t</w:t>
            </w:r>
          </w:p>
        </w:tc>
        <w:tc>
          <w:tcPr>
            <w:tcW w:w="1994" w:type="dxa"/>
            <w:tcBorders>
              <w:bottom w:val="single" w:sz="12" w:space="0" w:color="000000"/>
              <w:right w:val="nil"/>
            </w:tcBorders>
          </w:tcPr>
          <w:p w14:paraId="3DA3A0D5"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 xml:space="preserve"> *-</w:t>
            </w:r>
            <w:r w:rsidRPr="00FB4EFA">
              <w:rPr>
                <w:rFonts w:cs="Times New Roman"/>
                <w:i/>
                <w:iCs/>
                <w:sz w:val="20"/>
                <w:szCs w:val="20"/>
                <w:lang w:val="fi-FI"/>
              </w:rPr>
              <w:t>jA-t</w:t>
            </w:r>
            <w:r w:rsidRPr="00FB4EFA">
              <w:rPr>
                <w:rFonts w:cs="Times New Roman"/>
                <w:sz w:val="20"/>
                <w:szCs w:val="20"/>
                <w:lang w:val="fi-FI"/>
              </w:rPr>
              <w:t xml:space="preserve"> </w:t>
            </w:r>
          </w:p>
        </w:tc>
      </w:tr>
      <w:tr w:rsidR="00FB4EFA" w:rsidRPr="00FB4EFA" w14:paraId="4CEB7B16" w14:textId="77777777" w:rsidTr="00EC74AD">
        <w:tc>
          <w:tcPr>
            <w:tcW w:w="1175" w:type="dxa"/>
            <w:vMerge w:val="restart"/>
            <w:tcBorders>
              <w:top w:val="single" w:sz="12" w:space="0" w:color="000000"/>
              <w:left w:val="nil"/>
              <w:bottom w:val="nil"/>
              <w:right w:val="single" w:sz="12" w:space="0" w:color="000000"/>
            </w:tcBorders>
            <w:vAlign w:val="center"/>
          </w:tcPr>
          <w:p w14:paraId="3360194F"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Du</w:t>
            </w:r>
          </w:p>
        </w:tc>
        <w:tc>
          <w:tcPr>
            <w:tcW w:w="692" w:type="dxa"/>
            <w:tcBorders>
              <w:top w:val="single" w:sz="12" w:space="0" w:color="000000"/>
              <w:left w:val="single" w:sz="12" w:space="0" w:color="000000"/>
            </w:tcBorders>
            <w:vAlign w:val="center"/>
          </w:tcPr>
          <w:p w14:paraId="08B7B642"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1</w:t>
            </w:r>
          </w:p>
        </w:tc>
        <w:tc>
          <w:tcPr>
            <w:tcW w:w="1468" w:type="dxa"/>
            <w:tcBorders>
              <w:top w:val="single" w:sz="12" w:space="0" w:color="000000"/>
            </w:tcBorders>
          </w:tcPr>
          <w:p w14:paraId="0AD7AB31"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jA-n</w:t>
            </w:r>
          </w:p>
        </w:tc>
        <w:tc>
          <w:tcPr>
            <w:tcW w:w="1444" w:type="dxa"/>
            <w:tcBorders>
              <w:top w:val="single" w:sz="12" w:space="0" w:color="000000"/>
            </w:tcBorders>
          </w:tcPr>
          <w:p w14:paraId="0ECF2689" w14:textId="77777777" w:rsidR="0076526E" w:rsidRPr="00FB4EFA" w:rsidRDefault="0076526E" w:rsidP="00AC1192">
            <w:pPr>
              <w:keepNext/>
              <w:widowControl w:val="0"/>
              <w:suppressAutoHyphens/>
              <w:jc w:val="left"/>
              <w:rPr>
                <w:rFonts w:cs="Times New Roman"/>
                <w:b/>
                <w:sz w:val="20"/>
                <w:szCs w:val="20"/>
                <w:lang w:val="fi-FI"/>
              </w:rPr>
            </w:pPr>
          </w:p>
        </w:tc>
        <w:tc>
          <w:tcPr>
            <w:tcW w:w="1994" w:type="dxa"/>
            <w:tcBorders>
              <w:top w:val="single" w:sz="12" w:space="0" w:color="000000"/>
              <w:right w:val="nil"/>
            </w:tcBorders>
          </w:tcPr>
          <w:p w14:paraId="3C05FDEF" w14:textId="77777777" w:rsidR="0076526E" w:rsidRPr="00FB4EFA" w:rsidRDefault="0076526E" w:rsidP="00AC1192">
            <w:pPr>
              <w:keepNext/>
              <w:widowControl w:val="0"/>
              <w:suppressAutoHyphens/>
              <w:jc w:val="left"/>
              <w:rPr>
                <w:rFonts w:cs="Times New Roman"/>
                <w:b/>
                <w:sz w:val="20"/>
                <w:szCs w:val="20"/>
                <w:lang w:val="fi-FI"/>
              </w:rPr>
            </w:pPr>
          </w:p>
        </w:tc>
      </w:tr>
      <w:tr w:rsidR="00FB4EFA" w:rsidRPr="00FB4EFA" w14:paraId="7B9FAA87" w14:textId="77777777" w:rsidTr="00EC74AD">
        <w:tc>
          <w:tcPr>
            <w:tcW w:w="1175" w:type="dxa"/>
            <w:vMerge/>
            <w:tcBorders>
              <w:left w:val="nil"/>
              <w:right w:val="single" w:sz="12" w:space="0" w:color="000000"/>
            </w:tcBorders>
            <w:vAlign w:val="center"/>
          </w:tcPr>
          <w:p w14:paraId="00DDDCDA" w14:textId="77777777" w:rsidR="0076526E" w:rsidRPr="00FB4EFA" w:rsidRDefault="0076526E" w:rsidP="00AC1192">
            <w:pPr>
              <w:keepNext/>
              <w:widowControl w:val="0"/>
              <w:suppressAutoHyphens/>
              <w:jc w:val="center"/>
              <w:rPr>
                <w:rFonts w:cs="Times New Roman"/>
                <w:b/>
                <w:bCs/>
                <w:sz w:val="20"/>
                <w:szCs w:val="20"/>
                <w:lang w:val="fi-FI"/>
              </w:rPr>
            </w:pPr>
          </w:p>
        </w:tc>
        <w:tc>
          <w:tcPr>
            <w:tcW w:w="692" w:type="dxa"/>
            <w:tcBorders>
              <w:left w:val="single" w:sz="12" w:space="0" w:color="000000"/>
            </w:tcBorders>
            <w:vAlign w:val="center"/>
          </w:tcPr>
          <w:p w14:paraId="5A6E5336"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2</w:t>
            </w:r>
          </w:p>
        </w:tc>
        <w:tc>
          <w:tcPr>
            <w:tcW w:w="1468" w:type="dxa"/>
          </w:tcPr>
          <w:p w14:paraId="557B2B6A" w14:textId="77777777" w:rsidR="0076526E" w:rsidRPr="00FB4EFA" w:rsidRDefault="0076526E" w:rsidP="00AC1192">
            <w:pPr>
              <w:keepNext/>
              <w:widowControl w:val="0"/>
              <w:suppressAutoHyphens/>
              <w:jc w:val="left"/>
              <w:rPr>
                <w:rFonts w:cs="Times New Roman"/>
                <w:i/>
                <w:iCs/>
                <w:sz w:val="20"/>
                <w:szCs w:val="20"/>
                <w:lang w:val="fi-FI"/>
              </w:rPr>
            </w:pPr>
            <w:r w:rsidRPr="00FB4EFA">
              <w:rPr>
                <w:rFonts w:cs="Times New Roman"/>
                <w:sz w:val="20"/>
                <w:szCs w:val="20"/>
                <w:lang w:val="fi-FI"/>
              </w:rPr>
              <w:t>*-</w:t>
            </w:r>
            <w:r w:rsidRPr="00FB4EFA">
              <w:rPr>
                <w:rFonts w:cs="Times New Roman"/>
                <w:i/>
                <w:iCs/>
                <w:sz w:val="20"/>
                <w:szCs w:val="20"/>
                <w:lang w:val="fi-FI"/>
              </w:rPr>
              <w:t>pA-tA-n</w:t>
            </w:r>
          </w:p>
        </w:tc>
        <w:tc>
          <w:tcPr>
            <w:tcW w:w="1444" w:type="dxa"/>
          </w:tcPr>
          <w:p w14:paraId="713D5CEB" w14:textId="77777777" w:rsidR="0076526E" w:rsidRPr="00FB4EFA" w:rsidRDefault="0076526E" w:rsidP="00AC1192">
            <w:pPr>
              <w:keepNext/>
              <w:widowControl w:val="0"/>
              <w:suppressAutoHyphens/>
              <w:jc w:val="left"/>
              <w:rPr>
                <w:rFonts w:cs="Times New Roman"/>
                <w:b/>
                <w:sz w:val="20"/>
                <w:szCs w:val="20"/>
                <w:lang w:val="fi-FI"/>
              </w:rPr>
            </w:pPr>
          </w:p>
        </w:tc>
        <w:tc>
          <w:tcPr>
            <w:tcW w:w="1994" w:type="dxa"/>
            <w:tcBorders>
              <w:right w:val="nil"/>
            </w:tcBorders>
          </w:tcPr>
          <w:p w14:paraId="5A229449" w14:textId="77777777" w:rsidR="0076526E" w:rsidRPr="00FB4EFA" w:rsidRDefault="0076526E" w:rsidP="00AC1192">
            <w:pPr>
              <w:keepNext/>
              <w:widowControl w:val="0"/>
              <w:suppressAutoHyphens/>
              <w:jc w:val="left"/>
              <w:rPr>
                <w:rFonts w:cs="Times New Roman"/>
                <w:b/>
                <w:sz w:val="20"/>
                <w:szCs w:val="20"/>
                <w:lang w:val="fi-FI"/>
              </w:rPr>
            </w:pPr>
          </w:p>
        </w:tc>
      </w:tr>
      <w:tr w:rsidR="00FB4EFA" w:rsidRPr="00FB4EFA" w14:paraId="7B9A980A" w14:textId="77777777" w:rsidTr="00EC74AD">
        <w:tc>
          <w:tcPr>
            <w:tcW w:w="1175" w:type="dxa"/>
            <w:vMerge/>
            <w:tcBorders>
              <w:left w:val="nil"/>
              <w:bottom w:val="nil"/>
              <w:right w:val="single" w:sz="12" w:space="0" w:color="000000"/>
            </w:tcBorders>
            <w:vAlign w:val="center"/>
          </w:tcPr>
          <w:p w14:paraId="375E0078" w14:textId="77777777" w:rsidR="0076526E" w:rsidRPr="00FB4EFA" w:rsidRDefault="0076526E" w:rsidP="00AC1192">
            <w:pPr>
              <w:keepNext/>
              <w:widowControl w:val="0"/>
              <w:suppressAutoHyphens/>
              <w:jc w:val="center"/>
              <w:rPr>
                <w:rFonts w:cs="Times New Roman"/>
                <w:b/>
                <w:bCs/>
                <w:sz w:val="20"/>
                <w:szCs w:val="20"/>
                <w:lang w:val="fi-FI"/>
              </w:rPr>
            </w:pPr>
          </w:p>
        </w:tc>
        <w:tc>
          <w:tcPr>
            <w:tcW w:w="692" w:type="dxa"/>
            <w:tcBorders>
              <w:left w:val="single" w:sz="12" w:space="0" w:color="000000"/>
              <w:bottom w:val="nil"/>
            </w:tcBorders>
            <w:vAlign w:val="center"/>
          </w:tcPr>
          <w:p w14:paraId="2C44C626" w14:textId="77777777" w:rsidR="0076526E" w:rsidRPr="00FB4EFA" w:rsidRDefault="0076526E" w:rsidP="00AC1192">
            <w:pPr>
              <w:keepNext/>
              <w:widowControl w:val="0"/>
              <w:suppressAutoHyphens/>
              <w:jc w:val="center"/>
              <w:rPr>
                <w:rFonts w:cs="Times New Roman"/>
                <w:b/>
                <w:bCs/>
                <w:sz w:val="20"/>
                <w:szCs w:val="20"/>
                <w:lang w:val="fi-FI"/>
              </w:rPr>
            </w:pPr>
            <w:r w:rsidRPr="00FB4EFA">
              <w:rPr>
                <w:rFonts w:cs="Times New Roman"/>
                <w:b/>
                <w:bCs/>
                <w:sz w:val="20"/>
                <w:szCs w:val="20"/>
                <w:lang w:val="fi-FI"/>
              </w:rPr>
              <w:t>3</w:t>
            </w:r>
          </w:p>
        </w:tc>
        <w:tc>
          <w:tcPr>
            <w:tcW w:w="1468" w:type="dxa"/>
            <w:tcBorders>
              <w:bottom w:val="nil"/>
            </w:tcBorders>
          </w:tcPr>
          <w:p w14:paraId="65726F60" w14:textId="77777777" w:rsidR="0076526E" w:rsidRPr="00FB4EFA" w:rsidRDefault="0076526E" w:rsidP="00AC1192">
            <w:pPr>
              <w:keepNext/>
              <w:widowControl w:val="0"/>
              <w:suppressAutoHyphens/>
              <w:jc w:val="left"/>
              <w:rPr>
                <w:rFonts w:cs="Times New Roman"/>
                <w:sz w:val="20"/>
                <w:szCs w:val="20"/>
                <w:lang w:val="fi-FI"/>
              </w:rPr>
            </w:pPr>
            <w:r w:rsidRPr="00FB4EFA">
              <w:rPr>
                <w:rFonts w:cs="Times New Roman"/>
                <w:sz w:val="20"/>
                <w:szCs w:val="20"/>
                <w:lang w:val="fi-FI"/>
              </w:rPr>
              <w:t>*-</w:t>
            </w:r>
            <w:r w:rsidRPr="00FB4EFA">
              <w:rPr>
                <w:rFonts w:cs="Times New Roman"/>
                <w:i/>
                <w:iCs/>
                <w:sz w:val="20"/>
                <w:szCs w:val="20"/>
                <w:lang w:val="fi-FI"/>
              </w:rPr>
              <w:t>pA-n</w:t>
            </w:r>
          </w:p>
        </w:tc>
        <w:tc>
          <w:tcPr>
            <w:tcW w:w="1444" w:type="dxa"/>
            <w:tcBorders>
              <w:bottom w:val="nil"/>
            </w:tcBorders>
          </w:tcPr>
          <w:p w14:paraId="7227B254" w14:textId="77777777" w:rsidR="0076526E" w:rsidRPr="00FB4EFA" w:rsidRDefault="0076526E" w:rsidP="00AC1192">
            <w:pPr>
              <w:keepNext/>
              <w:widowControl w:val="0"/>
              <w:suppressAutoHyphens/>
              <w:jc w:val="left"/>
              <w:rPr>
                <w:rFonts w:cs="Times New Roman"/>
                <w:b/>
                <w:sz w:val="20"/>
                <w:szCs w:val="20"/>
                <w:lang w:val="fi-FI"/>
              </w:rPr>
            </w:pPr>
          </w:p>
        </w:tc>
        <w:tc>
          <w:tcPr>
            <w:tcW w:w="1994" w:type="dxa"/>
            <w:tcBorders>
              <w:bottom w:val="nil"/>
              <w:right w:val="nil"/>
            </w:tcBorders>
          </w:tcPr>
          <w:p w14:paraId="77F13567" w14:textId="77777777" w:rsidR="0076526E" w:rsidRPr="00FB4EFA" w:rsidRDefault="0076526E" w:rsidP="00AC1192">
            <w:pPr>
              <w:keepNext/>
              <w:widowControl w:val="0"/>
              <w:suppressAutoHyphens/>
              <w:jc w:val="left"/>
              <w:rPr>
                <w:rFonts w:cs="Times New Roman"/>
                <w:b/>
                <w:sz w:val="20"/>
                <w:szCs w:val="20"/>
                <w:lang w:val="fi-FI"/>
              </w:rPr>
            </w:pPr>
          </w:p>
        </w:tc>
      </w:tr>
    </w:tbl>
    <w:p w14:paraId="74C7BFED" w14:textId="77777777" w:rsidR="0076526E" w:rsidRPr="00FB4EFA" w:rsidRDefault="0076526E" w:rsidP="00AC1192">
      <w:pPr>
        <w:suppressAutoHyphens/>
        <w:spacing w:before="120" w:after="240"/>
        <w:jc w:val="center"/>
        <w:rPr>
          <w:rFonts w:cs="Times New Roman"/>
          <w:sz w:val="18"/>
          <w:szCs w:val="18"/>
          <w:lang w:val="fi-FI"/>
        </w:rPr>
      </w:pPr>
      <w:r w:rsidRPr="00FB4EFA">
        <w:rPr>
          <w:rFonts w:cs="Times New Roman"/>
          <w:b/>
          <w:bCs/>
          <w:sz w:val="18"/>
          <w:szCs w:val="18"/>
          <w:lang w:val="fi-FI"/>
        </w:rPr>
        <w:t>Taulukko 7</w:t>
      </w:r>
      <w:r w:rsidRPr="00FB4EFA">
        <w:rPr>
          <w:rFonts w:cs="Times New Roman"/>
          <w:sz w:val="18"/>
          <w:szCs w:val="18"/>
          <w:lang w:val="fi-FI"/>
        </w:rPr>
        <w:t>. Verbin preesenstaivutuksen morfologiset elementit länsiuralissa.</w:t>
      </w:r>
    </w:p>
    <w:p w14:paraId="2E1AD086" w14:textId="299C2352" w:rsidR="0076526E" w:rsidRPr="00FB4EFA" w:rsidRDefault="0076526E" w:rsidP="00545033">
      <w:pPr>
        <w:pStyle w:val="Heading2"/>
        <w:numPr>
          <w:ilvl w:val="0"/>
          <w:numId w:val="14"/>
        </w:numPr>
        <w:tabs>
          <w:tab w:val="clear" w:pos="0"/>
        </w:tabs>
        <w:suppressAutoHyphens/>
        <w:spacing w:line="259" w:lineRule="auto"/>
        <w:rPr>
          <w:smallCaps/>
          <w:color w:val="auto"/>
          <w:szCs w:val="28"/>
          <w:lang w:val="fi-FI"/>
        </w:rPr>
      </w:pPr>
      <w:r w:rsidRPr="00FB4EFA">
        <w:rPr>
          <w:color w:val="auto"/>
          <w:lang w:val="fi-FI"/>
        </w:rPr>
        <w:t>Nominipredikaation ja verbipredikaation suhteesta, analogian malleista ja verbintaivutuksen jatkuvasta uudistumisesta</w:t>
      </w:r>
    </w:p>
    <w:p w14:paraId="55BE6E09" w14:textId="3D6BC610" w:rsidR="0076526E" w:rsidRPr="00FB4EFA" w:rsidRDefault="0076526E" w:rsidP="00402EF4">
      <w:pPr>
        <w:rPr>
          <w:rFonts w:cs="Times New Roman"/>
          <w:lang w:val="fi-FI"/>
        </w:rPr>
      </w:pPr>
      <w:r w:rsidRPr="00FB4EFA">
        <w:rPr>
          <w:rFonts w:cs="Times New Roman"/>
          <w:lang w:val="fi-FI"/>
        </w:rPr>
        <w:t>Kopulaton rakenne oli preesensin nominipredikaattirakenteissa käytössä todennäköisesti kaikissa persoonissa vielä länsiuralilaisessa kantakielessä. Itämerensuomalaisten ja saamelaiskielten nykyinen malli, jossa preesensissäkin on kopula, on todennäköisesti germaanikontaktien aiheuttama innovaatio (Grünthal, tulossa). Preesensiin kopula on laajentunut osassa muitakin uralilaiskieliä vasta myöhemmin. Koska preesensin suffiksit sisältävät länsiuralilaisissa kielissä nominipredikaatiosta laajenneita elementtejä, ja konservatiivisemmat menneen ajan suffiksit eivät niinkään, syntyy päätelmä, että kahdensuuntaista vuorovaikutusta ei menneessä ajassa synny nomini- ja verbipredikaattien paradigmojen kesken yhtä helposti eikä samalla tavalla kuin preesensissä. Kun menneen ajan kopulalauseet liikkuvat verbipredikaation elementeiksi, mukana tulee myös kopulan jäänteitä. Kopuloiden osallistuvat verbintaivutus</w:t>
      </w:r>
      <w:r w:rsidR="00CC79AF" w:rsidRPr="00FB4EFA">
        <w:rPr>
          <w:rFonts w:cs="Times New Roman"/>
          <w:lang w:val="fi-FI"/>
        </w:rPr>
        <w:softHyphen/>
      </w:r>
      <w:r w:rsidRPr="00FB4EFA">
        <w:rPr>
          <w:rFonts w:cs="Times New Roman"/>
          <w:lang w:val="fi-FI"/>
        </w:rPr>
        <w:t>kategorioiden muodostamiseen niin tempusten kuin modusten raken</w:t>
      </w:r>
      <w:r w:rsidRPr="00FB4EFA">
        <w:rPr>
          <w:rFonts w:cs="Times New Roman"/>
          <w:lang w:val="fi-FI"/>
        </w:rPr>
        <w:lastRenderedPageBreak/>
        <w:t>nuselementtinä. Tämä on oman tutkimuksensa arvoinen teema, mutta totean tässä esimerkiksi mordvalaiskielten toisen menneen ajan muodostuneen nominipredikaattirakenteesta, jossa kopula on fuusioitunut predikaattinominiin, minkä jälkeen kopulasta ja persoonapäätteestä syntynyt morfeemi on voinut liittyä myös verbivartaloon (Bartens 1979: 74). Verbivartaloon liittyessään kopulasta syntynyt morfeemi on saanut uusia funktioita suhteessa ensimmäiseen menneeseen aikaan.</w:t>
      </w:r>
    </w:p>
    <w:p w14:paraId="05902272" w14:textId="2263B396" w:rsidR="0076526E" w:rsidRPr="00FB4EFA" w:rsidRDefault="0076526E" w:rsidP="00AF0CAD">
      <w:pPr>
        <w:ind w:firstLine="720"/>
        <w:rPr>
          <w:rFonts w:cs="Times New Roman"/>
          <w:lang w:val="fi-FI"/>
        </w:rPr>
      </w:pPr>
      <w:r w:rsidRPr="00FB4EFA">
        <w:rPr>
          <w:rFonts w:cs="Times New Roman"/>
          <w:lang w:val="fi-FI"/>
        </w:rPr>
        <w:t>Vaikka olenkin ehdottanut yllä, että kantasuomen monikollisten persoonapäätteiden edellä oleva suffiksi, joka aiheuttaa geminaatan, olisi *</w:t>
      </w:r>
      <w:r w:rsidR="00DC19A4" w:rsidRPr="00FB4EFA">
        <w:rPr>
          <w:lang w:val="fi-FI"/>
        </w:rPr>
        <w:t>-</w:t>
      </w:r>
      <w:r w:rsidRPr="00FB4EFA">
        <w:rPr>
          <w:rFonts w:cs="Times New Roman"/>
          <w:i/>
          <w:iCs/>
          <w:lang w:val="fi-FI"/>
        </w:rPr>
        <w:t>t</w:t>
      </w:r>
      <w:r w:rsidR="00DC19A4" w:rsidRPr="00FB4EFA">
        <w:rPr>
          <w:lang w:val="fi-FI"/>
        </w:rPr>
        <w:t>-</w:t>
      </w:r>
      <w:r w:rsidRPr="00FB4EFA">
        <w:rPr>
          <w:rFonts w:cs="Times New Roman"/>
          <w:lang w:val="fi-FI"/>
        </w:rPr>
        <w:t xml:space="preserve"> eikä *</w:t>
      </w:r>
      <w:r w:rsidR="00DC19A4" w:rsidRPr="00FB4EFA">
        <w:rPr>
          <w:lang w:val="fi-FI"/>
        </w:rPr>
        <w:t>-</w:t>
      </w:r>
      <w:r w:rsidRPr="00FB4EFA">
        <w:rPr>
          <w:rFonts w:cs="Times New Roman"/>
          <w:i/>
          <w:iCs/>
          <w:lang w:val="fi-FI"/>
        </w:rPr>
        <w:t>k</w:t>
      </w:r>
      <w:r w:rsidR="00DC19A4" w:rsidRPr="00FB4EFA">
        <w:rPr>
          <w:lang w:val="fi-FI"/>
        </w:rPr>
        <w:t>-</w:t>
      </w:r>
      <w:r w:rsidRPr="00FB4EFA">
        <w:rPr>
          <w:rFonts w:cs="Times New Roman"/>
          <w:lang w:val="fi-FI"/>
        </w:rPr>
        <w:t>, ja näin vähentänyt länsiuralin verbintaivutuksen morfeemivarantoa sekä yhtenäistänyt länsiuralin tapaa luoda persoonataivutusta, jää silti selittämättä se, miksi itämerensuomen, saamelaiskielten ja mordvalaiskielten persoonan merkintä predikaateissa on niin varioivaa. Itämerensuomi ja mordvalaiskielet muistuttavat toisiaan enemmän, mutta saamelais</w:t>
      </w:r>
      <w:r w:rsidR="00CC79AF" w:rsidRPr="00FB4EFA">
        <w:rPr>
          <w:rFonts w:cs="Times New Roman"/>
          <w:lang w:val="fi-FI"/>
        </w:rPr>
        <w:softHyphen/>
      </w:r>
      <w:r w:rsidRPr="00FB4EFA">
        <w:rPr>
          <w:rFonts w:cs="Times New Roman"/>
          <w:lang w:val="fi-FI"/>
        </w:rPr>
        <w:t>kielissä partisiippipohjaisia muotoja esiintyy laajemmin kuin itämerensuomessa ja mordvalaiskielissä. Länsiuralia yhdistävä seikka on, että nominaalisen predikaattirakenteen vaikutus verbien preesenstaivutuksessa on vahva.</w:t>
      </w:r>
    </w:p>
    <w:p w14:paraId="0586145C" w14:textId="77777777" w:rsidR="0076526E" w:rsidRPr="00FB4EFA" w:rsidRDefault="0076526E" w:rsidP="00AF0CAD">
      <w:pPr>
        <w:ind w:firstLine="720"/>
        <w:rPr>
          <w:rFonts w:cs="Times New Roman"/>
          <w:lang w:val="fi-FI"/>
        </w:rPr>
      </w:pPr>
      <w:r w:rsidRPr="00FB4EFA">
        <w:rPr>
          <w:rFonts w:cs="Times New Roman"/>
          <w:lang w:val="fi-FI"/>
        </w:rPr>
        <w:t xml:space="preserve">Monikollisten persoonamuotojen variaatio toistuu itämerensuomalaisissa kielissä vielä myöhemminkin. Verbintaivutusta luodaan uudelleen etenkin monikossa helposti. Uusiutumiskykyä osoittaa suhteellisen tuore suomen </w:t>
      </w:r>
      <w:r w:rsidRPr="00FB4EFA">
        <w:rPr>
          <w:rFonts w:cs="Times New Roman"/>
          <w:i/>
          <w:iCs/>
          <w:lang w:val="fi-FI"/>
        </w:rPr>
        <w:t>(me) mennään</w:t>
      </w:r>
      <w:r w:rsidRPr="00FB4EFA">
        <w:rPr>
          <w:rFonts w:cs="Times New Roman"/>
          <w:lang w:val="fi-FI"/>
        </w:rPr>
        <w:t xml:space="preserve"> &lt; (</w:t>
      </w:r>
      <w:r w:rsidRPr="00FB4EFA">
        <w:rPr>
          <w:rFonts w:cs="Times New Roman"/>
          <w:i/>
          <w:iCs/>
          <w:lang w:val="fi-FI"/>
        </w:rPr>
        <w:t>me</w:t>
      </w:r>
      <w:r w:rsidRPr="00FB4EFA">
        <w:rPr>
          <w:rFonts w:cs="Times New Roman"/>
          <w:lang w:val="fi-FI"/>
        </w:rPr>
        <w:t>) + verbi+passiivi (suomen ns. passiivista ks. Helasvuo &amp; Laitinen 2006). Verbintaivutus on monikossa uudistunut myös vepsässä ja karjalassa: samaisesta persoonattomasta mutta monikolliseen tekijään viittavasta passiivimuodosta on kehittynyt karjalasta monikon kolmannen persoonan muoto. Karjalassa passiivi on syrjäyttänyt aiemman monikon kolmannen persoonan verbintaivutusmuodon täysin, vepsässä monikon kolmatta koodataan passiivilla tai vanhemmalla persoonamuodolla aikamuodoista riippuen niin, että monikon kolmannen persoonan vanha muoto on saanut jäädä eläväksi, mutta vain imperfektissä. (Savijärvi 2001a, 2001b.)</w:t>
      </w:r>
    </w:p>
    <w:p w14:paraId="03C7AF98" w14:textId="28F50C07" w:rsidR="0076526E" w:rsidRPr="00FB4EFA" w:rsidRDefault="0076526E" w:rsidP="00402EF4">
      <w:pPr>
        <w:ind w:firstLine="720"/>
        <w:rPr>
          <w:rFonts w:cs="Times New Roman"/>
          <w:lang w:val="fi-FI"/>
        </w:rPr>
      </w:pPr>
      <w:r w:rsidRPr="00FB4EFA">
        <w:rPr>
          <w:rFonts w:cs="Times New Roman"/>
          <w:lang w:val="fi-FI"/>
        </w:rPr>
        <w:t>Kielenmuutokselle on tyypillistä, että taajaan käytetyt muodot säilyvät paremmin. Toisaalta useimmin esiintyvä rakenne toimii myös analogian mallina</w:t>
      </w:r>
      <w:r w:rsidR="006E5750" w:rsidRPr="00FB4EFA">
        <w:rPr>
          <w:rFonts w:cs="Times New Roman"/>
          <w:lang w:val="fi-FI"/>
        </w:rPr>
        <w:t xml:space="preserve">. </w:t>
      </w:r>
      <w:r w:rsidRPr="00FB4EFA">
        <w:rPr>
          <w:rFonts w:cs="Times New Roman"/>
          <w:lang w:val="fi-FI"/>
        </w:rPr>
        <w:t>On</w:t>
      </w:r>
      <w:r w:rsidR="000121EA" w:rsidRPr="00FB4EFA">
        <w:rPr>
          <w:rFonts w:cs="Times New Roman"/>
          <w:lang w:val="fi-FI"/>
        </w:rPr>
        <w:t xml:space="preserve"> </w:t>
      </w:r>
      <w:r w:rsidRPr="00FB4EFA">
        <w:rPr>
          <w:rFonts w:cs="Times New Roman"/>
          <w:lang w:val="fi-FI"/>
        </w:rPr>
        <w:t xml:space="preserve">myös huomattu, että uusia muotoja luodaan, jos olemassa olevia ei opita, omaksuta tai muisteta riittävän nopeasti. Voidaan ajatella, että morfologiset kategoriat, joilla on laajempi käyttöala tai </w:t>
      </w:r>
      <w:r w:rsidRPr="00FB4EFA">
        <w:rPr>
          <w:rFonts w:cs="Times New Roman"/>
          <w:lang w:val="fi-FI"/>
        </w:rPr>
        <w:lastRenderedPageBreak/>
        <w:t>vähemmän kompleksinen merkitys, ovat helpommin saavutettavissa kielen tuotossa, ja siksi ne toimivat uusien muotojen johtamisen perustana (Garrett 2008: 142). Yksikkö on monikkoa useimmin esiintyvä kategoria, ja yksikön 1. ja 2. persoonassa persoonatunnukset säilyvät monikkoa paremmin uralilaiskielissä. Yksikön 3. persoonassa puolestaan yhdistyy nominaalisen ja verbipredikaatin rakenne, koska persoonaa ei merkitä ja kopulaa ei tarvittu.</w:t>
      </w:r>
    </w:p>
    <w:p w14:paraId="1EA8071A" w14:textId="7F50917A" w:rsidR="0076526E" w:rsidRPr="00FB4EFA" w:rsidRDefault="0076526E" w:rsidP="00AF0CAD">
      <w:pPr>
        <w:ind w:firstLine="720"/>
        <w:rPr>
          <w:rFonts w:cs="Times New Roman"/>
          <w:lang w:val="fi-FI"/>
        </w:rPr>
      </w:pPr>
      <w:r w:rsidRPr="00FB4EFA">
        <w:rPr>
          <w:rFonts w:cs="Times New Roman"/>
          <w:lang w:val="fi-FI"/>
        </w:rPr>
        <w:t xml:space="preserve">Luvun kongruenssi on ollut olennaista sekä kantasuomessa että kantamordvassa, mutta nykysuomi käyttäytyy toisin. Puhuttu nykysuomi hävittää numeruksen kolmansista persoonista verbintaivutuksessa </w:t>
      </w:r>
      <w:r w:rsidR="00030518" w:rsidRPr="00FB4EFA">
        <w:rPr>
          <w:rFonts w:cs="Times New Roman"/>
          <w:lang w:val="fi-FI"/>
        </w:rPr>
        <w:br/>
      </w:r>
      <w:r w:rsidRPr="00FB4EFA">
        <w:rPr>
          <w:rFonts w:cs="Times New Roman"/>
          <w:lang w:val="fi-FI"/>
        </w:rPr>
        <w:t xml:space="preserve">(yksikön 3. persoona </w:t>
      </w:r>
      <w:r w:rsidRPr="00FB4EFA">
        <w:rPr>
          <w:rFonts w:cs="Times New Roman"/>
          <w:i/>
          <w:iCs/>
          <w:lang w:val="fi-FI"/>
        </w:rPr>
        <w:t>se/hän menee</w:t>
      </w:r>
      <w:r w:rsidRPr="00FB4EFA">
        <w:rPr>
          <w:rFonts w:cs="Times New Roman"/>
          <w:lang w:val="fi-FI"/>
        </w:rPr>
        <w:t>, monikon 3.</w:t>
      </w:r>
      <w:r w:rsidR="00CC79AF" w:rsidRPr="00FB4EFA">
        <w:t> </w:t>
      </w:r>
      <w:r w:rsidRPr="00FB4EFA">
        <w:rPr>
          <w:rFonts w:cs="Times New Roman"/>
          <w:lang w:val="fi-FI"/>
        </w:rPr>
        <w:t xml:space="preserve">persoona </w:t>
      </w:r>
      <w:r w:rsidRPr="00FB4EFA">
        <w:rPr>
          <w:rFonts w:cs="Times New Roman"/>
          <w:i/>
          <w:iCs/>
          <w:lang w:val="fi-FI"/>
        </w:rPr>
        <w:t>ne/he menee</w:t>
      </w:r>
      <w:r w:rsidRPr="00FB4EFA">
        <w:rPr>
          <w:rFonts w:cs="Times New Roman"/>
          <w:lang w:val="fi-FI"/>
        </w:rPr>
        <w:t>). Malli uusille persoonamuodoille ei tule nominaalisesta predikaatiosta, josta monikon nominatiivin tunnus *</w:t>
      </w:r>
      <w:r w:rsidR="006E1E3A" w:rsidRPr="00FB4EFA">
        <w:rPr>
          <w:lang w:val="fi-FI"/>
        </w:rPr>
        <w:noBreakHyphen/>
      </w:r>
      <w:r w:rsidRPr="00FB4EFA">
        <w:rPr>
          <w:rFonts w:cs="Times New Roman"/>
          <w:i/>
          <w:iCs/>
          <w:lang w:val="fi-FI"/>
        </w:rPr>
        <w:t>t</w:t>
      </w:r>
      <w:r w:rsidRPr="00FB4EFA">
        <w:rPr>
          <w:rFonts w:cs="Times New Roman"/>
          <w:lang w:val="fi-FI"/>
        </w:rPr>
        <w:t xml:space="preserve"> on muutenkin korvattu monikon partitiivilla. Nykysuomen tapa muodostaa monikon 1. persoonan muoto passiiviksi kutsutun muodon avulla saisi Garrettin (2008: 142) hypoteesista ainakin yhden selitysmallin, samoin karjalan ja vepsän monikon 3. persoonan muodot. Funktioiltaan passiivi ja muut monikkomuodot lankeavat osittain yhteen, mikä edesauttaa niiden laajentumista varsinaisiksi persoonamuodoiksi finiittitaivutukseen. Passiivin käyttö monikon 1. persoonan muotona muistuttaa niiltä osin kantasaamen monikon 1. persoonan muotoa, että se ei diakronisesti katsoen sisällä tekijän persoonaan tai lukuun viittaavaa ainesta.</w:t>
      </w:r>
    </w:p>
    <w:p w14:paraId="2F2542B8" w14:textId="77777777" w:rsidR="0076526E" w:rsidRPr="00FB4EFA" w:rsidRDefault="0076526E" w:rsidP="00402EF4">
      <w:pPr>
        <w:ind w:firstLine="720"/>
        <w:rPr>
          <w:rFonts w:cs="Times New Roman"/>
          <w:lang w:val="fi-FI"/>
        </w:rPr>
      </w:pPr>
      <w:r w:rsidRPr="00FB4EFA">
        <w:rPr>
          <w:rFonts w:cs="Times New Roman"/>
          <w:lang w:val="fi-FI"/>
        </w:rPr>
        <w:t>Uskon, että monikon paradigmat ovat kautta uralilaisten aikojen uusiutuneet helpommin kuin yksikön ja juuri siksi niitä on vaikea rekonstruoida. Koska itämerensuomessa ja saamelaiskielissä nominipredikaattirakenteet ovat nykyään kopulallisia preesensissäkin, nomini- ja verbipredikaation muutosprosesseissa korostuu kopuloiden lisääntyminen verbipredikaattien kategorioiden rakennusosina sen sijaan, että nominipredikaatio vaikuttaisi verbin preesensin koodaukseen. Nominipredikaattien sijaan on kuitenkin muita rakenteita, kuten passiivi, joita voi hyödyntää uusien persoonamuotojen lähteenä.</w:t>
      </w:r>
    </w:p>
    <w:p w14:paraId="437D5141" w14:textId="1EA79A00" w:rsidR="0076526E" w:rsidRPr="00FB4EFA" w:rsidRDefault="0076526E" w:rsidP="00545033">
      <w:pPr>
        <w:pStyle w:val="Heading2"/>
        <w:numPr>
          <w:ilvl w:val="0"/>
          <w:numId w:val="14"/>
        </w:numPr>
        <w:tabs>
          <w:tab w:val="clear" w:pos="0"/>
        </w:tabs>
        <w:suppressAutoHyphens/>
        <w:spacing w:line="259" w:lineRule="auto"/>
        <w:rPr>
          <w:color w:val="auto"/>
          <w:shd w:val="clear" w:color="auto" w:fill="F4CCCC"/>
        </w:rPr>
      </w:pPr>
      <w:r w:rsidRPr="00FB4EFA">
        <w:rPr>
          <w:color w:val="auto"/>
        </w:rPr>
        <w:t>Lopuksi</w:t>
      </w:r>
    </w:p>
    <w:p w14:paraId="39A2FE3C" w14:textId="77777777" w:rsidR="0076526E" w:rsidRPr="00FB4EFA" w:rsidRDefault="0076526E" w:rsidP="00402EF4">
      <w:pPr>
        <w:rPr>
          <w:rFonts w:cs="Times New Roman"/>
          <w:shd w:val="clear" w:color="auto" w:fill="F4CCCC"/>
          <w:lang w:val="fi-FI"/>
        </w:rPr>
      </w:pPr>
      <w:r w:rsidRPr="00FB4EFA">
        <w:rPr>
          <w:rFonts w:cs="Times New Roman"/>
          <w:lang w:val="fi-FI"/>
        </w:rPr>
        <w:t xml:space="preserve">Länsiuralissa verbintaivutusta luodaan uudelleen yhdistellen partisiippeja, monikon tunnusta ja persoonaan viittaavia elementtejä kuten myös </w:t>
      </w:r>
      <w:r w:rsidRPr="00FB4EFA">
        <w:rPr>
          <w:rFonts w:cs="Times New Roman"/>
          <w:lang w:val="fi-FI"/>
        </w:rPr>
        <w:lastRenderedPageBreak/>
        <w:t>refleksiivimuotoa, josta sittemmin on kehittynyt osassa itämerensuomea passiivi. Niissä kielimuodoissa, joissa kopulaa ei preesensissä käytetä tai käytetty nominipredikaatiossa, verbintaivutus rakentuu vuorovaikutuksessa nominaalisen predikaattirakenteen kanssa. Vastaavasti kopulalliset nominipredikaattirakenteet vaikuttavat verbintaivutukseen antaen uusia morfeemeja tempusten ja modusten muodostumiseksi.</w:t>
      </w:r>
    </w:p>
    <w:p w14:paraId="46D45B07" w14:textId="40FEF035" w:rsidR="0076526E" w:rsidRPr="00FB4EFA" w:rsidRDefault="0076526E" w:rsidP="00AF0CAD">
      <w:pPr>
        <w:ind w:firstLine="720"/>
        <w:rPr>
          <w:rFonts w:cs="Times New Roman"/>
          <w:lang w:val="fi-FI"/>
        </w:rPr>
      </w:pPr>
      <w:r w:rsidRPr="00FB4EFA">
        <w:rPr>
          <w:rFonts w:cs="Times New Roman"/>
          <w:lang w:val="fi-FI"/>
        </w:rPr>
        <w:t>Verbin preesenstaivutus on ratkaistu itämerensuomalaisissa, saamelaisissa ja mordvalaisissa kielissä erilaisin morfologisin keinoin. Kaikissa kieliryhmissä säilyy kuitenkin verbin preesenstaivutuksen muodostuksessa morfeemeja, joista näkee, että verbin preesensmuodot perustuvat osittain nominaalisiin elementteihin. Siksi ehdotan, että monikon 1. ja 2. persoonan preesenstaivukseen ennen persoonapäätettä esiintyvä *</w:t>
      </w:r>
      <w:r w:rsidR="00DC19A4" w:rsidRPr="00FB4EFA">
        <w:rPr>
          <w:lang w:val="fi-FI"/>
        </w:rPr>
        <w:t>-</w:t>
      </w:r>
      <w:r w:rsidRPr="00FB4EFA">
        <w:rPr>
          <w:rFonts w:cs="Times New Roman"/>
          <w:i/>
          <w:iCs/>
          <w:lang w:val="fi-FI"/>
        </w:rPr>
        <w:t>k-</w:t>
      </w:r>
      <w:r w:rsidRPr="00FB4EFA">
        <w:rPr>
          <w:rFonts w:cs="Times New Roman"/>
          <w:lang w:val="fi-FI"/>
        </w:rPr>
        <w:t>aines, jota on pidetty kantasuomeen palautuvana preesenstunnuksena ja jolle on mahdollisia kognaatteja mansissa, saattaa pikemminkin olla dentaaliklusiili *</w:t>
      </w:r>
      <w:r w:rsidR="00DC19A4" w:rsidRPr="00FB4EFA">
        <w:rPr>
          <w:lang w:val="fi-FI"/>
        </w:rPr>
        <w:t>-</w:t>
      </w:r>
      <w:r w:rsidRPr="00FB4EFA">
        <w:rPr>
          <w:rFonts w:cs="Times New Roman"/>
          <w:i/>
          <w:iCs/>
          <w:lang w:val="fi-FI"/>
        </w:rPr>
        <w:t>t</w:t>
      </w:r>
      <w:r w:rsidR="00DC19A4" w:rsidRPr="00FB4EFA">
        <w:rPr>
          <w:lang w:val="fi-FI"/>
        </w:rPr>
        <w:t>-</w:t>
      </w:r>
      <w:r w:rsidRPr="00FB4EFA">
        <w:rPr>
          <w:rFonts w:cs="Times New Roman"/>
          <w:lang w:val="fi-FI"/>
        </w:rPr>
        <w:t>. Kantasuomen ja kantamordvan verbin preesenstaivutuksessa olisi siis jaettu tapa muodostaa verbin preesensin monikkomuotoja: kummassakin persoonapääte liitetään monikon nominatiivin tunnuksen *</w:t>
      </w:r>
      <w:r w:rsidR="00DC19A4" w:rsidRPr="00FB4EFA">
        <w:rPr>
          <w:lang w:val="fi-FI"/>
        </w:rPr>
        <w:t>-</w:t>
      </w:r>
      <w:r w:rsidRPr="00FB4EFA">
        <w:rPr>
          <w:rFonts w:cs="Times New Roman"/>
          <w:i/>
          <w:iCs/>
          <w:lang w:val="fi-FI"/>
        </w:rPr>
        <w:t>t</w:t>
      </w:r>
      <w:r w:rsidRPr="00FB4EFA">
        <w:rPr>
          <w:rFonts w:cs="Times New Roman"/>
          <w:lang w:val="fi-FI"/>
        </w:rPr>
        <w:t xml:space="preserve"> perään. Hypoteesiani tukee se, että preesenstunnusta *</w:t>
      </w:r>
      <w:r w:rsidR="00DC19A4" w:rsidRPr="00FB4EFA">
        <w:rPr>
          <w:lang w:val="fi-FI"/>
        </w:rPr>
        <w:t>-</w:t>
      </w:r>
      <w:r w:rsidRPr="00FB4EFA">
        <w:rPr>
          <w:rFonts w:cs="Times New Roman"/>
          <w:i/>
          <w:iCs/>
          <w:lang w:val="fi-FI"/>
        </w:rPr>
        <w:t>k</w:t>
      </w:r>
      <w:r w:rsidR="00DC19A4" w:rsidRPr="00FB4EFA">
        <w:rPr>
          <w:lang w:val="fi-FI"/>
        </w:rPr>
        <w:t>-</w:t>
      </w:r>
      <w:r w:rsidRPr="00FB4EFA">
        <w:rPr>
          <w:rFonts w:cs="Times New Roman"/>
          <w:lang w:val="fi-FI"/>
        </w:rPr>
        <w:t>, joka itämerensuomalaisten kielten monikon 1. ja 2. persoonissa on rekonstruoitu varsinaisen persoonatunnuksen edelle, on hyvin hankala rekonstruoida uralilaiseen kantakieleen sisarkielten perusteella. Lisää tutkimusta tästä(kin) aiheesta kaivataan.</w:t>
      </w:r>
    </w:p>
    <w:p w14:paraId="5D105DCD" w14:textId="77777777" w:rsidR="008E3375" w:rsidRPr="00FB4EFA" w:rsidRDefault="008E3375" w:rsidP="00545033">
      <w:pPr>
        <w:pStyle w:val="Heading2"/>
        <w:suppressAutoHyphens/>
        <w:spacing w:line="259" w:lineRule="auto"/>
        <w:rPr>
          <w:color w:val="auto"/>
          <w:lang w:val="fi-FI"/>
        </w:rPr>
      </w:pPr>
      <w:r w:rsidRPr="00FB4EFA">
        <w:rPr>
          <w:color w:val="auto"/>
          <w:lang w:val="fi-FI"/>
        </w:rPr>
        <w:t>Kiitokset</w:t>
      </w:r>
    </w:p>
    <w:p w14:paraId="57EB7516" w14:textId="77777777" w:rsidR="008E3375" w:rsidRPr="00FB4EFA" w:rsidRDefault="008E3375" w:rsidP="008E3375">
      <w:pPr>
        <w:keepLines/>
        <w:rPr>
          <w:lang w:val="fi-FI"/>
        </w:rPr>
      </w:pPr>
      <w:r w:rsidRPr="00FB4EFA">
        <w:rPr>
          <w:lang w:val="fi-FI"/>
        </w:rPr>
        <w:t>Kiitän kahta anonyymiä refereetä hyödyllisistä ja eteenpäin auttaneista kommenteista ja lähteistä. Erityiset kiitokset FM Markus Juutiselle saamelaiskieliä koskevasta neuvonnasta. Hänen avullaan olen myös saanut tekstin parempaan kuntoon. Kiitän oppilaitani, joita ilman tätä artikkelia ei olisi syntynyt. Opiskelijat ovat kysymyksillään herättäneet minua ajattelemaan ja ylläpitäneet kiinnostustani uralilaiskielten historiallista morfosyntaksia kohtaan.</w:t>
      </w:r>
    </w:p>
    <w:p w14:paraId="5BB4F109" w14:textId="77777777" w:rsidR="0076526E" w:rsidRPr="00FB4EFA" w:rsidRDefault="0076526E" w:rsidP="00545033">
      <w:pPr>
        <w:pStyle w:val="Heading2"/>
        <w:suppressAutoHyphens/>
        <w:spacing w:line="259" w:lineRule="auto"/>
        <w:rPr>
          <w:color w:val="auto"/>
          <w:lang w:val="fi-FI"/>
        </w:rPr>
      </w:pPr>
      <w:r w:rsidRPr="00FB4EFA">
        <w:rPr>
          <w:color w:val="auto"/>
          <w:lang w:val="fi-FI"/>
        </w:rPr>
        <w:lastRenderedPageBreak/>
        <w:t>Lähdeluettelo</w:t>
      </w:r>
    </w:p>
    <w:p w14:paraId="478FC9C6" w14:textId="15EFBE28" w:rsidR="0076526E" w:rsidRPr="00FB4EFA" w:rsidRDefault="0076526E" w:rsidP="00030518">
      <w:pPr>
        <w:suppressAutoHyphens/>
        <w:spacing w:line="240" w:lineRule="auto"/>
        <w:ind w:left="426" w:hanging="426"/>
        <w:rPr>
          <w:rFonts w:eastAsia="Times New Roman" w:cs="Charis SIL"/>
          <w:lang w:val="fi-FI" w:eastAsia="fi-FI"/>
        </w:rPr>
      </w:pPr>
      <w:r w:rsidRPr="00FB4EFA">
        <w:rPr>
          <w:rFonts w:eastAsia="Times New Roman" w:cs="Charis SIL"/>
          <w:lang w:val="fi-FI" w:eastAsia="fi-FI"/>
        </w:rPr>
        <w:t xml:space="preserve">E. Abaffy, Erzsébet. 1991. Az igei személyragozás. </w:t>
      </w:r>
      <w:r w:rsidRPr="00FB4EFA">
        <w:rPr>
          <w:rFonts w:cs="Charis SIL"/>
          <w:lang w:val="fi-FI"/>
        </w:rPr>
        <w:t xml:space="preserve">Teoksessa </w:t>
      </w:r>
      <w:r w:rsidR="00342DAB" w:rsidRPr="00FB4EFA">
        <w:rPr>
          <w:rFonts w:eastAsia="Times New Roman" w:cs="Charis SIL"/>
          <w:lang w:val="fi-FI" w:eastAsia="fi-FI"/>
        </w:rPr>
        <w:t xml:space="preserve">Loránd </w:t>
      </w:r>
      <w:r w:rsidRPr="00FB4EFA">
        <w:rPr>
          <w:rFonts w:eastAsia="Times New Roman" w:cs="Charis SIL"/>
          <w:lang w:val="fi-FI" w:eastAsia="fi-FI"/>
        </w:rPr>
        <w:t xml:space="preserve">Benkö (päätoim.), </w:t>
      </w:r>
      <w:r w:rsidRPr="00FB4EFA">
        <w:rPr>
          <w:rFonts w:eastAsia="Times New Roman" w:cs="Charis SIL"/>
          <w:i/>
          <w:iCs/>
          <w:lang w:val="fi-FI" w:eastAsia="fi-FI"/>
        </w:rPr>
        <w:t>A magyar nyelv történeti nyelvtana 1. A korai ómagyar kor és előzményei.</w:t>
      </w:r>
      <w:r w:rsidRPr="00FB4EFA">
        <w:rPr>
          <w:rFonts w:eastAsia="Times New Roman" w:cs="Charis SIL"/>
          <w:lang w:val="fi-FI" w:eastAsia="fi-FI"/>
        </w:rPr>
        <w:t xml:space="preserve"> 122</w:t>
      </w:r>
      <w:r w:rsidRPr="00FB4EFA">
        <w:rPr>
          <w:rFonts w:cs="Charis SIL"/>
          <w:lang w:val="fi-FI"/>
        </w:rPr>
        <w:t>–</w:t>
      </w:r>
      <w:r w:rsidRPr="00FB4EFA">
        <w:rPr>
          <w:rFonts w:eastAsia="Times New Roman" w:cs="Charis SIL"/>
          <w:lang w:val="fi-FI" w:eastAsia="fi-FI"/>
        </w:rPr>
        <w:t>159. Budapest: Akadémiai Kiadó.</w:t>
      </w:r>
    </w:p>
    <w:p w14:paraId="723C9328" w14:textId="295E7776"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Ahlqvist, August. </w:t>
      </w:r>
      <w:r w:rsidRPr="00FB4EFA">
        <w:rPr>
          <w:rFonts w:cs="Charis SIL"/>
          <w:lang w:val="sv-SE"/>
        </w:rPr>
        <w:t xml:space="preserve">1863. Om Ungerska språket förvantskap med Finskan. </w:t>
      </w:r>
      <w:r w:rsidRPr="00FB4EFA">
        <w:rPr>
          <w:rFonts w:cs="Charis SIL"/>
          <w:i/>
          <w:iCs/>
          <w:lang w:val="fi-FI"/>
        </w:rPr>
        <w:t xml:space="preserve">Suomi. </w:t>
      </w:r>
      <w:r w:rsidRPr="00FB4EFA">
        <w:rPr>
          <w:rFonts w:cs="Charis SIL"/>
          <w:lang w:val="fi-FI"/>
        </w:rPr>
        <w:t xml:space="preserve">2. jakso, 1. osa. 1–60. Helsinki: </w:t>
      </w:r>
      <w:r w:rsidR="00F9255F" w:rsidRPr="00FB4EFA">
        <w:rPr>
          <w:rFonts w:cs="Charis SIL"/>
          <w:lang w:val="fi-FI"/>
        </w:rPr>
        <w:t>SKS</w:t>
      </w:r>
      <w:r w:rsidRPr="00FB4EFA">
        <w:rPr>
          <w:rFonts w:cs="Charis SIL"/>
          <w:lang w:val="fi-FI"/>
        </w:rPr>
        <w:t>.</w:t>
      </w:r>
    </w:p>
    <w:p w14:paraId="18E66AC2" w14:textId="288A307B"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Ahlqvist, August. 1871. Agricolan kielestä. </w:t>
      </w:r>
      <w:r w:rsidRPr="00FB4EFA">
        <w:rPr>
          <w:rFonts w:cs="Charis SIL"/>
          <w:i/>
          <w:iCs/>
          <w:lang w:val="fi-FI"/>
        </w:rPr>
        <w:t>Kieletär I. Tutkimuksia, arvosteluja ja muistutuksia Suomen kirjallisuuden ja kielitieteen alalta</w:t>
      </w:r>
      <w:r w:rsidRPr="00FB4EFA">
        <w:rPr>
          <w:rFonts w:cs="Charis SIL"/>
          <w:lang w:val="fi-FI"/>
        </w:rPr>
        <w:t xml:space="preserve">. 1–24. Helsinki: </w:t>
      </w:r>
      <w:r w:rsidR="00F9255F" w:rsidRPr="00FB4EFA">
        <w:rPr>
          <w:rFonts w:cs="Charis SIL"/>
          <w:lang w:val="fi-FI"/>
        </w:rPr>
        <w:t>SKS</w:t>
      </w:r>
      <w:r w:rsidRPr="00FB4EFA">
        <w:rPr>
          <w:rFonts w:cs="Charis SIL"/>
          <w:lang w:val="fi-FI"/>
        </w:rPr>
        <w:t>.</w:t>
      </w:r>
    </w:p>
    <w:p w14:paraId="5A9A4674" w14:textId="60B7B44F"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Aikio, Ante. 2022. Proto-Uralic. Teoksessa </w:t>
      </w:r>
      <w:r w:rsidR="00D31BDB" w:rsidRPr="00FB4EFA">
        <w:rPr>
          <w:rFonts w:cs="Charis SIL"/>
          <w:lang w:val="fi-FI"/>
        </w:rPr>
        <w:t xml:space="preserve">Marianne </w:t>
      </w:r>
      <w:r w:rsidRPr="00FB4EFA">
        <w:rPr>
          <w:rFonts w:cs="Charis SIL"/>
          <w:lang w:val="fi-FI"/>
        </w:rPr>
        <w:t xml:space="preserve">Bákro-Nagy, Johanna Laakso &amp; Elena Skribnik (toim.), </w:t>
      </w:r>
      <w:r w:rsidR="00D31BDB" w:rsidRPr="00FB4EFA">
        <w:rPr>
          <w:rFonts w:cs="Charis SIL"/>
          <w:i/>
          <w:iCs/>
          <w:lang w:val="fi-FI"/>
        </w:rPr>
        <w:t>Oxford Guide to the Uralic L</w:t>
      </w:r>
      <w:r w:rsidRPr="00FB4EFA">
        <w:rPr>
          <w:rFonts w:cs="Charis SIL"/>
          <w:i/>
          <w:iCs/>
          <w:lang w:val="fi-FI"/>
        </w:rPr>
        <w:t>anguages</w:t>
      </w:r>
      <w:r w:rsidRPr="00FB4EFA">
        <w:rPr>
          <w:rFonts w:cs="Charis SIL"/>
          <w:lang w:val="fi-FI"/>
        </w:rPr>
        <w:t xml:space="preserve">. </w:t>
      </w:r>
      <w:r w:rsidRPr="00FB4EFA">
        <w:rPr>
          <w:rFonts w:cs="Arial"/>
          <w:lang w:val="fi-FI"/>
        </w:rPr>
        <w:t>3</w:t>
      </w:r>
      <w:r w:rsidRPr="00FB4EFA">
        <w:rPr>
          <w:lang w:val="fi-FI"/>
        </w:rPr>
        <w:t>–</w:t>
      </w:r>
      <w:r w:rsidRPr="00FB4EFA">
        <w:rPr>
          <w:rFonts w:cs="Arial"/>
          <w:lang w:val="fi-FI"/>
        </w:rPr>
        <w:t xml:space="preserve">27. </w:t>
      </w:r>
      <w:r w:rsidRPr="00FB4EFA">
        <w:rPr>
          <w:rFonts w:cs="Charis SIL"/>
          <w:lang w:val="fi-FI"/>
        </w:rPr>
        <w:t>Oxford: Oxford University Press.</w:t>
      </w:r>
    </w:p>
    <w:p w14:paraId="6B8DAFE6" w14:textId="03544DBA"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Bartens, Raija. 1979. </w:t>
      </w:r>
      <w:r w:rsidRPr="00FB4EFA">
        <w:rPr>
          <w:rFonts w:cs="Charis SIL"/>
          <w:i/>
          <w:iCs/>
          <w:lang w:val="fi-FI"/>
        </w:rPr>
        <w:t>Mordvan, tšeremissin ja votjakin konjugaation infiniittisten muotojen syntaksi</w:t>
      </w:r>
      <w:r w:rsidRPr="00FB4EFA">
        <w:rPr>
          <w:rFonts w:cs="Charis SIL"/>
          <w:lang w:val="fi-FI"/>
        </w:rPr>
        <w:t>. Suomalais-Ugrilaisen Seuran Toimituksia 170. Helsinki: Suomalais-Ugrilainen Seura.</w:t>
      </w:r>
    </w:p>
    <w:p w14:paraId="35A1E9A4" w14:textId="0B367CA0" w:rsidR="0076526E" w:rsidRPr="00FB4EFA" w:rsidRDefault="0076526E" w:rsidP="00030518">
      <w:pPr>
        <w:keepLines/>
        <w:suppressAutoHyphens/>
        <w:spacing w:line="240" w:lineRule="auto"/>
        <w:ind w:left="425" w:hanging="425"/>
        <w:rPr>
          <w:rFonts w:cs="Charis SIL"/>
          <w:lang w:val="fi-FI"/>
        </w:rPr>
      </w:pPr>
      <w:r w:rsidRPr="00FB4EFA">
        <w:rPr>
          <w:rFonts w:cs="Charis SIL"/>
          <w:lang w:val="fi-FI"/>
        </w:rPr>
        <w:t xml:space="preserve">Bartens, Raija. 1993. Suomalais-ugrilaisten kielten tempuksista. Teoksessa </w:t>
      </w:r>
      <w:r w:rsidR="00D31BDB" w:rsidRPr="00FB4EFA">
        <w:rPr>
          <w:rFonts w:cs="Charis SIL"/>
          <w:lang w:val="fi-FI"/>
        </w:rPr>
        <w:t xml:space="preserve">Sirkka </w:t>
      </w:r>
      <w:r w:rsidRPr="00FB4EFA">
        <w:rPr>
          <w:rFonts w:cs="Charis SIL"/>
          <w:lang w:val="fi-FI"/>
        </w:rPr>
        <w:t xml:space="preserve">Saarinen, Jorma Luutonen &amp; Eeva Herrala (toim.), </w:t>
      </w:r>
      <w:r w:rsidRPr="00FB4EFA">
        <w:rPr>
          <w:rFonts w:cs="Charis SIL"/>
          <w:i/>
          <w:iCs/>
          <w:lang w:val="fi-FI"/>
        </w:rPr>
        <w:t>Systeemi ja poikkeama. Juhlakirja Alho Alhoniemen 60-vuotispäiväksi 14.5.1993</w:t>
      </w:r>
      <w:r w:rsidRPr="00FB4EFA">
        <w:rPr>
          <w:rFonts w:cs="Charis SIL"/>
          <w:lang w:val="fi-FI"/>
        </w:rPr>
        <w:t>. Turun yliopiston suomalaisen ja yleisen kielitieteen laitoksen julkaisuja 42. 21–37. Turku: Turun yliopisto.</w:t>
      </w:r>
    </w:p>
    <w:p w14:paraId="1F8CFF63" w14:textId="77777777" w:rsidR="0076526E" w:rsidRPr="00FB4EFA" w:rsidRDefault="0076526E" w:rsidP="00030518">
      <w:pPr>
        <w:suppressAutoHyphens/>
        <w:spacing w:line="240" w:lineRule="auto"/>
        <w:ind w:left="426" w:hanging="426"/>
        <w:rPr>
          <w:rFonts w:cs="Charis SIL"/>
          <w:i/>
          <w:iCs/>
          <w:lang w:val="fi-FI"/>
        </w:rPr>
      </w:pPr>
      <w:r w:rsidRPr="00FB4EFA">
        <w:rPr>
          <w:rFonts w:cs="Charis SIL"/>
          <w:lang w:val="fi-FI"/>
        </w:rPr>
        <w:t xml:space="preserve">Castrén, Matias Aleksanteri. 1850. </w:t>
      </w:r>
      <w:r w:rsidRPr="00FB4EFA">
        <w:rPr>
          <w:rFonts w:cs="Charis SIL"/>
          <w:i/>
          <w:iCs/>
          <w:lang w:val="fi-FI"/>
        </w:rPr>
        <w:t xml:space="preserve">De affixis personalibus linguarum Altaicarum. </w:t>
      </w:r>
      <w:r w:rsidRPr="00FB4EFA">
        <w:rPr>
          <w:rFonts w:cs="Charis SIL"/>
          <w:lang w:val="fi-FI"/>
        </w:rPr>
        <w:t>Helsinki: Helsingin yliopisto, väitöskirja.</w:t>
      </w:r>
    </w:p>
    <w:p w14:paraId="7F2E4563" w14:textId="3DF8AA53" w:rsidR="0076526E" w:rsidRPr="00FB4EFA" w:rsidRDefault="0076526E" w:rsidP="00030518">
      <w:pPr>
        <w:suppressAutoHyphens/>
        <w:spacing w:line="240" w:lineRule="auto"/>
        <w:ind w:left="426" w:hanging="426"/>
        <w:rPr>
          <w:rFonts w:cs="Charis SIL"/>
          <w:lang w:val="en-US"/>
        </w:rPr>
      </w:pPr>
      <w:r w:rsidRPr="00FB4EFA">
        <w:rPr>
          <w:rFonts w:cs="Charis SIL"/>
          <w:lang w:val="en-US"/>
        </w:rPr>
        <w:t>Collinder, Björn. 1960. ‎</w:t>
      </w:r>
      <w:r w:rsidRPr="00FB4EFA">
        <w:rPr>
          <w:rFonts w:cs="Charis SIL"/>
          <w:i/>
          <w:iCs/>
          <w:lang w:val="en-US"/>
        </w:rPr>
        <w:t>Comparative Grammar of the Uralic Languages.</w:t>
      </w:r>
      <w:r w:rsidRPr="00FB4EFA">
        <w:rPr>
          <w:rFonts w:cs="Charis SIL"/>
          <w:lang w:val="en-US"/>
        </w:rPr>
        <w:t xml:space="preserve"> Stockholm: Almqvist &amp; Wiksell.</w:t>
      </w:r>
    </w:p>
    <w:p w14:paraId="2D28F1A9" w14:textId="1FDDF57B" w:rsidR="0076526E" w:rsidRPr="00FB4EFA" w:rsidRDefault="0076526E" w:rsidP="00030518">
      <w:pPr>
        <w:keepLines/>
        <w:suppressAutoHyphens/>
        <w:spacing w:line="240" w:lineRule="auto"/>
        <w:ind w:left="425" w:hanging="425"/>
        <w:rPr>
          <w:rFonts w:cs="Charis SIL"/>
          <w:u w:val="single"/>
          <w:lang w:val="en-US"/>
        </w:rPr>
      </w:pPr>
      <w:r w:rsidRPr="00FB4EFA">
        <w:rPr>
          <w:rFonts w:cs="Charis SIL"/>
          <w:lang w:val="en-US"/>
        </w:rPr>
        <w:t xml:space="preserve">Cysouw, Michael. 2009. </w:t>
      </w:r>
      <w:r w:rsidRPr="00FB4EFA">
        <w:rPr>
          <w:rFonts w:cs="Charis SIL"/>
          <w:i/>
          <w:iCs/>
          <w:lang w:val="en-US"/>
        </w:rPr>
        <w:t>The paradigmatic structure of person marking.</w:t>
      </w:r>
      <w:r w:rsidRPr="00FB4EFA">
        <w:rPr>
          <w:rFonts w:cs="Charis SIL"/>
          <w:lang w:val="en-US"/>
        </w:rPr>
        <w:t xml:space="preserve"> Oxford Studies in Typology and Linguistic Theory. </w:t>
      </w:r>
      <w:hyperlink r:id="rId244">
        <w:r w:rsidRPr="00FB4EFA">
          <w:rPr>
            <w:rFonts w:cs="Charis SIL"/>
            <w:u w:val="single"/>
            <w:lang w:val="en-US"/>
          </w:rPr>
          <w:t>pure.mpg.de/rest/items/item_408269/component/file_408267/</w:t>
        </w:r>
        <w:r w:rsidRPr="00FB4EFA">
          <w:rPr>
            <w:rFonts w:cs="Charis SIL"/>
            <w:u w:val="single"/>
            <w:lang w:val="en-US"/>
          </w:rPr>
          <w:br/>
          <w:t>content</w:t>
        </w:r>
      </w:hyperlink>
      <w:r w:rsidR="00C73044" w:rsidRPr="00FB4EFA">
        <w:rPr>
          <w:rFonts w:cs="Charis SIL"/>
          <w:lang w:val="en-US"/>
        </w:rPr>
        <w:t>.</w:t>
      </w:r>
    </w:p>
    <w:p w14:paraId="16CB9C44" w14:textId="25A82DEC" w:rsidR="0076526E" w:rsidRPr="00FB4EFA" w:rsidRDefault="0076526E" w:rsidP="00030518">
      <w:pPr>
        <w:suppressAutoHyphens/>
        <w:spacing w:line="240" w:lineRule="auto"/>
        <w:ind w:left="426" w:hanging="426"/>
        <w:rPr>
          <w:rFonts w:cs="Charis SIL"/>
          <w:lang w:val="en-US"/>
        </w:rPr>
      </w:pPr>
      <w:r w:rsidRPr="00FB4EFA">
        <w:rPr>
          <w:rFonts w:cs="Charis SIL"/>
          <w:lang w:val="en-US"/>
        </w:rPr>
        <w:t xml:space="preserve">Garrett, Andrew. 2008. Paradigmatic Uniformity and Markedness. Teoksessa </w:t>
      </w:r>
      <w:r w:rsidR="00342DAB" w:rsidRPr="00FB4EFA">
        <w:rPr>
          <w:rFonts w:cs="Charis SIL"/>
          <w:lang w:val="en-US"/>
        </w:rPr>
        <w:t xml:space="preserve">Jeff </w:t>
      </w:r>
      <w:r w:rsidRPr="00FB4EFA">
        <w:rPr>
          <w:rFonts w:cs="Charis SIL"/>
          <w:lang w:val="en-US"/>
        </w:rPr>
        <w:t>Good (toim</w:t>
      </w:r>
      <w:r w:rsidRPr="00FB4EFA">
        <w:rPr>
          <w:rFonts w:cs="Charis SIL"/>
          <w:i/>
          <w:iCs/>
          <w:lang w:val="en-US"/>
        </w:rPr>
        <w:t>.), Linguistic Universals and Language Change</w:t>
      </w:r>
      <w:r w:rsidRPr="00FB4EFA">
        <w:rPr>
          <w:rFonts w:cs="Charis SIL"/>
          <w:lang w:val="en-US"/>
        </w:rPr>
        <w:t>. 125–143. Oxford: Oxford University Press.</w:t>
      </w:r>
    </w:p>
    <w:p w14:paraId="1C369534" w14:textId="77777777" w:rsidR="0076526E" w:rsidRPr="00FB4EFA" w:rsidRDefault="0076526E" w:rsidP="00030518">
      <w:pPr>
        <w:suppressAutoHyphens/>
        <w:spacing w:line="240" w:lineRule="auto"/>
        <w:ind w:left="426" w:hanging="426"/>
        <w:rPr>
          <w:rFonts w:cs="Charis SIL"/>
          <w:lang w:val="en-US"/>
        </w:rPr>
      </w:pPr>
      <w:r w:rsidRPr="00FB4EFA">
        <w:rPr>
          <w:rFonts w:cs="Charis SIL"/>
          <w:lang w:val="en-US"/>
        </w:rPr>
        <w:t>Grünthal, Riho. (Tulossa.) Early language contacts, grammatical change and the emergence of Finnic in the Northern Baltic Sea area.</w:t>
      </w:r>
    </w:p>
    <w:p w14:paraId="75069DB7" w14:textId="77777777" w:rsidR="0076526E" w:rsidRPr="00FB4EFA" w:rsidRDefault="0076526E" w:rsidP="00030518">
      <w:pPr>
        <w:suppressAutoHyphens/>
        <w:spacing w:line="240" w:lineRule="auto"/>
        <w:ind w:left="426" w:hanging="426"/>
        <w:rPr>
          <w:rFonts w:cs="Charis SIL"/>
          <w:lang w:val="en-US"/>
        </w:rPr>
      </w:pPr>
      <w:r w:rsidRPr="00FB4EFA">
        <w:rPr>
          <w:rFonts w:cs="Charis SIL"/>
          <w:lang w:val="en-US"/>
        </w:rPr>
        <w:t xml:space="preserve">Hajdú, Péter. 1988. </w:t>
      </w:r>
      <w:r w:rsidRPr="00FB4EFA">
        <w:rPr>
          <w:rFonts w:cs="Charis SIL"/>
          <w:i/>
          <w:iCs/>
          <w:lang w:val="en-US"/>
        </w:rPr>
        <w:t>Az uráli nyelvészet alapkérdései.</w:t>
      </w:r>
      <w:r w:rsidRPr="00FB4EFA">
        <w:rPr>
          <w:rFonts w:cs="Charis SIL"/>
          <w:lang w:val="en-US"/>
        </w:rPr>
        <w:t xml:space="preserve"> Második kiadás. Budapest: Tankönyvkiadó.</w:t>
      </w:r>
    </w:p>
    <w:p w14:paraId="19DD6DAB" w14:textId="421C242D" w:rsidR="0076526E" w:rsidRPr="00FB4EFA" w:rsidRDefault="0076526E" w:rsidP="00030518">
      <w:pPr>
        <w:suppressAutoHyphens/>
        <w:spacing w:line="240" w:lineRule="auto"/>
        <w:ind w:left="426" w:hanging="426"/>
        <w:rPr>
          <w:rFonts w:cs="Charis SIL"/>
          <w:lang w:val="fi-FI"/>
        </w:rPr>
      </w:pPr>
      <w:r w:rsidRPr="00FB4EFA">
        <w:rPr>
          <w:rFonts w:cs="Charis SIL"/>
          <w:lang w:val="en-US"/>
        </w:rPr>
        <w:t xml:space="preserve">Hakulinen, Lauri. </w:t>
      </w:r>
      <w:r w:rsidRPr="00FB4EFA">
        <w:rPr>
          <w:rFonts w:cs="Charis SIL"/>
          <w:lang w:val="fi-FI"/>
        </w:rPr>
        <w:t xml:space="preserve">2000 </w:t>
      </w:r>
      <w:r w:rsidR="008E6C33" w:rsidRPr="00FB4EFA">
        <w:rPr>
          <w:rFonts w:cs="Charis SIL"/>
          <w:lang w:val="fi-FI"/>
        </w:rPr>
        <w:t>[</w:t>
      </w:r>
      <w:r w:rsidRPr="00FB4EFA">
        <w:rPr>
          <w:rFonts w:cs="Charis SIL"/>
          <w:lang w:val="fi-FI"/>
        </w:rPr>
        <w:t>1979</w:t>
      </w:r>
      <w:r w:rsidR="008E6C33" w:rsidRPr="00FB4EFA">
        <w:rPr>
          <w:rFonts w:cs="Charis SIL"/>
          <w:lang w:val="fi-FI"/>
        </w:rPr>
        <w:t>]</w:t>
      </w:r>
      <w:r w:rsidRPr="00FB4EFA">
        <w:rPr>
          <w:rFonts w:cs="Charis SIL"/>
          <w:lang w:val="fi-FI"/>
        </w:rPr>
        <w:t xml:space="preserve">. </w:t>
      </w:r>
      <w:r w:rsidRPr="00FB4EFA">
        <w:rPr>
          <w:rFonts w:cs="Charis SIL"/>
          <w:i/>
          <w:iCs/>
          <w:lang w:val="fi-FI"/>
        </w:rPr>
        <w:t>Suomen kielen rakenne ja kehitys</w:t>
      </w:r>
      <w:r w:rsidRPr="00FB4EFA">
        <w:rPr>
          <w:rFonts w:cs="Charis SIL"/>
          <w:lang w:val="fi-FI"/>
        </w:rPr>
        <w:t>. 4., korjattu ja lisätty painos. Helsinki: Kustannusosakeyhtiö Otava.</w:t>
      </w:r>
    </w:p>
    <w:p w14:paraId="5EC4FA15"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Hamari, Arja. 2007. </w:t>
      </w:r>
      <w:r w:rsidRPr="00FB4EFA">
        <w:rPr>
          <w:rFonts w:cs="Charis SIL"/>
          <w:i/>
          <w:iCs/>
          <w:lang w:val="fi-FI"/>
        </w:rPr>
        <w:t>The negation of stative relation clauses in the Mordvin languages</w:t>
      </w:r>
      <w:r w:rsidRPr="00FB4EFA">
        <w:rPr>
          <w:rFonts w:cs="Charis SIL"/>
          <w:lang w:val="fi-FI"/>
        </w:rPr>
        <w:t>. Suomalais-Ugrilaisen Seuran Toimituksia 254. Helsinki: Suomalais-Ugrilainen Seura.</w:t>
      </w:r>
    </w:p>
    <w:p w14:paraId="45BAE3FA" w14:textId="56DA13F9" w:rsidR="0076526E" w:rsidRPr="00FB4EFA" w:rsidRDefault="0076526E" w:rsidP="00030518">
      <w:pPr>
        <w:suppressAutoHyphens/>
        <w:spacing w:line="240" w:lineRule="auto"/>
        <w:ind w:left="426" w:hanging="426"/>
        <w:rPr>
          <w:rFonts w:cs="Charis SIL"/>
          <w:lang w:val="en-US"/>
        </w:rPr>
      </w:pPr>
      <w:r w:rsidRPr="00FB4EFA">
        <w:rPr>
          <w:rFonts w:cs="Charis SIL"/>
          <w:lang w:val="fi-FI"/>
        </w:rPr>
        <w:lastRenderedPageBreak/>
        <w:t xml:space="preserve">Helasvuo, Marja-Liisa &amp; Laitinen, Lea. 2006. Person in Finnish. </w:t>
      </w:r>
      <w:r w:rsidRPr="00FB4EFA">
        <w:rPr>
          <w:rFonts w:cs="Charis SIL"/>
          <w:lang w:val="en-US"/>
        </w:rPr>
        <w:t xml:space="preserve">Paradigmatic and syntagmatic relations in interaction. Teoksessa </w:t>
      </w:r>
      <w:r w:rsidR="00342DAB" w:rsidRPr="00FB4EFA">
        <w:rPr>
          <w:rFonts w:cs="Charis SIL"/>
          <w:lang w:val="en-US"/>
        </w:rPr>
        <w:t xml:space="preserve">Marja-Liisa </w:t>
      </w:r>
      <w:r w:rsidRPr="00FB4EFA">
        <w:rPr>
          <w:rFonts w:cs="Charis SIL"/>
          <w:lang w:val="en-US"/>
        </w:rPr>
        <w:t xml:space="preserve">Helasvuo &amp; Lyle Campbell (toim.), </w:t>
      </w:r>
      <w:r w:rsidRPr="00FB4EFA">
        <w:rPr>
          <w:rFonts w:cs="Charis SIL"/>
          <w:i/>
          <w:lang w:val="en-US"/>
        </w:rPr>
        <w:t>Grammar from the Human Perspective. Case, space and person in Finnish</w:t>
      </w:r>
      <w:r w:rsidRPr="00FB4EFA">
        <w:rPr>
          <w:rFonts w:cs="Charis SIL"/>
          <w:lang w:val="en-US"/>
        </w:rPr>
        <w:t>. 73–207. Amsterdam: John Benjamins.</w:t>
      </w:r>
    </w:p>
    <w:p w14:paraId="2DC8BA53" w14:textId="2288C2C5" w:rsidR="0076526E" w:rsidRPr="00FB4EFA" w:rsidRDefault="0076526E" w:rsidP="00030518">
      <w:pPr>
        <w:suppressAutoHyphens/>
        <w:spacing w:line="240" w:lineRule="auto"/>
        <w:ind w:left="426" w:hanging="426"/>
        <w:rPr>
          <w:rFonts w:cs="Charis SIL"/>
          <w:lang w:val="fi-FI"/>
        </w:rPr>
      </w:pPr>
      <w:r w:rsidRPr="00FB4EFA">
        <w:rPr>
          <w:rFonts w:cs="Charis SIL"/>
          <w:lang w:val="en-US"/>
        </w:rPr>
        <w:t>Honti, László</w:t>
      </w:r>
      <w:r w:rsidR="002544DA" w:rsidRPr="00FB4EFA">
        <w:rPr>
          <w:rFonts w:cs="Charis SIL"/>
          <w:lang w:val="en-US"/>
        </w:rPr>
        <w:t>.</w:t>
      </w:r>
      <w:r w:rsidRPr="00FB4EFA">
        <w:rPr>
          <w:rFonts w:cs="Charis SIL"/>
          <w:lang w:val="en-US"/>
        </w:rPr>
        <w:t xml:space="preserve"> 1998</w:t>
      </w:r>
      <w:r w:rsidR="002544DA" w:rsidRPr="00FB4EFA">
        <w:rPr>
          <w:rFonts w:cs="Charis SIL"/>
          <w:lang w:val="en-US"/>
        </w:rPr>
        <w:t>.</w:t>
      </w:r>
      <w:r w:rsidRPr="00FB4EFA">
        <w:rPr>
          <w:rFonts w:cs="Charis SIL"/>
          <w:lang w:val="en-US"/>
        </w:rPr>
        <w:t xml:space="preserve"> Obugrian. Teoksessa </w:t>
      </w:r>
      <w:r w:rsidR="00466236" w:rsidRPr="00FB4EFA">
        <w:rPr>
          <w:rFonts w:cs="Charis SIL"/>
          <w:lang w:val="en-US"/>
        </w:rPr>
        <w:t xml:space="preserve">Daniel </w:t>
      </w:r>
      <w:r w:rsidRPr="00FB4EFA">
        <w:rPr>
          <w:rFonts w:cs="Charis SIL"/>
          <w:lang w:val="en-US"/>
        </w:rPr>
        <w:t xml:space="preserve">Abondolo (toim.), </w:t>
      </w:r>
      <w:r w:rsidRPr="00FB4EFA">
        <w:rPr>
          <w:rFonts w:cs="Charis SIL"/>
          <w:i/>
          <w:iCs/>
          <w:lang w:val="en-US"/>
        </w:rPr>
        <w:t>The Uralic languages</w:t>
      </w:r>
      <w:r w:rsidR="00466236" w:rsidRPr="00FB4EFA">
        <w:rPr>
          <w:rFonts w:cs="Charis SIL"/>
          <w:lang w:val="en-US"/>
        </w:rPr>
        <w:t>,</w:t>
      </w:r>
      <w:r w:rsidRPr="00FB4EFA">
        <w:rPr>
          <w:rFonts w:cs="Charis SIL"/>
          <w:lang w:val="en-US"/>
        </w:rPr>
        <w:t xml:space="preserve"> </w:t>
      </w:r>
      <w:r w:rsidRPr="00FB4EFA">
        <w:rPr>
          <w:rFonts w:cs="Charis SIL"/>
          <w:lang w:val="fi-FI"/>
        </w:rPr>
        <w:t>327–357. London: Routledge.</w:t>
      </w:r>
    </w:p>
    <w:p w14:paraId="08A0C717"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Häkkinen, Jaakko. 2007. </w:t>
      </w:r>
      <w:r w:rsidRPr="00FB4EFA">
        <w:rPr>
          <w:rFonts w:cs="Charis SIL"/>
          <w:i/>
          <w:lang w:val="fi-FI"/>
        </w:rPr>
        <w:t>Kantauralin murteutuminen vokaalivastaavuuksien valossa</w:t>
      </w:r>
      <w:r w:rsidRPr="00FB4EFA">
        <w:rPr>
          <w:rFonts w:cs="Charis SIL"/>
          <w:lang w:val="fi-FI"/>
        </w:rPr>
        <w:t>. Helsinki: Helsingin yliopisto, pro gradu -työ.</w:t>
      </w:r>
    </w:p>
    <w:p w14:paraId="1B027508" w14:textId="4418BC1C"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Häkkinen, Jaakko. 2011. </w:t>
      </w:r>
      <w:r w:rsidRPr="00FB4EFA">
        <w:rPr>
          <w:rFonts w:cs="Charis SIL"/>
          <w:i/>
          <w:iCs/>
          <w:lang w:val="fi-FI"/>
        </w:rPr>
        <w:t>Kantauralia ulkomaan eläville.</w:t>
      </w:r>
      <w:r w:rsidRPr="00FB4EFA">
        <w:rPr>
          <w:rFonts w:cs="Charis SIL"/>
          <w:lang w:val="fi-FI"/>
        </w:rPr>
        <w:t xml:space="preserve"> </w:t>
      </w:r>
      <w:hyperlink r:id="rId245">
        <w:r w:rsidRPr="00FB4EFA">
          <w:rPr>
            <w:rFonts w:cs="Charis SIL"/>
            <w:u w:val="single"/>
            <w:lang w:val="fi-FI"/>
          </w:rPr>
          <w:t>www.elisanet.fi/alkupera/Kantaurali.pdf</w:t>
        </w:r>
      </w:hyperlink>
      <w:r w:rsidR="00C73044" w:rsidRPr="00FB4EFA">
        <w:rPr>
          <w:rFonts w:cs="Charis SIL"/>
          <w:lang w:val="fi-FI"/>
        </w:rPr>
        <w:t>.</w:t>
      </w:r>
    </w:p>
    <w:p w14:paraId="485065CF"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Häkkinen, Kaisa. 1985. </w:t>
      </w:r>
      <w:r w:rsidRPr="00FB4EFA">
        <w:rPr>
          <w:rFonts w:cs="Charis SIL"/>
          <w:i/>
          <w:iCs/>
          <w:lang w:val="fi-FI"/>
        </w:rPr>
        <w:t xml:space="preserve">Suomen kielen äänne- ja muotorakenteen historiallista taustaa. </w:t>
      </w:r>
      <w:r w:rsidRPr="00FB4EFA">
        <w:rPr>
          <w:rFonts w:cs="Charis SIL"/>
          <w:lang w:val="fi-FI"/>
        </w:rPr>
        <w:t>Fennistica 6. Suomen kielen laitos. Turku: Åbo Akademi.</w:t>
      </w:r>
    </w:p>
    <w:p w14:paraId="4F5E8EFD" w14:textId="5E4B1A4C"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Janhunen, Juha. 1982. On the structure of Proto-Uralic. </w:t>
      </w:r>
      <w:r w:rsidRPr="00FB4EFA">
        <w:rPr>
          <w:rFonts w:cs="Charis SIL"/>
          <w:i/>
          <w:lang w:val="fi-FI"/>
        </w:rPr>
        <w:t>Finnisch-Ugrische Forschungen</w:t>
      </w:r>
      <w:r w:rsidRPr="00FB4EFA">
        <w:rPr>
          <w:rFonts w:cs="Charis SIL"/>
          <w:lang w:val="fi-FI"/>
        </w:rPr>
        <w:t xml:space="preserve"> 44</w:t>
      </w:r>
      <w:r w:rsidR="001B0884" w:rsidRPr="00FB4EFA">
        <w:rPr>
          <w:rFonts w:cs="Charis SIL"/>
          <w:lang w:val="fi-FI"/>
        </w:rPr>
        <w:t>.</w:t>
      </w:r>
      <w:r w:rsidRPr="00FB4EFA">
        <w:rPr>
          <w:rFonts w:cs="Charis SIL"/>
          <w:lang w:val="fi-FI"/>
        </w:rPr>
        <w:t xml:space="preserve"> 23–42.</w:t>
      </w:r>
    </w:p>
    <w:p w14:paraId="79A0631D" w14:textId="444BC90F" w:rsidR="0076526E" w:rsidRPr="00FB4EFA" w:rsidRDefault="0076526E" w:rsidP="00030518">
      <w:pPr>
        <w:suppressAutoHyphens/>
        <w:spacing w:line="240" w:lineRule="auto"/>
        <w:ind w:left="426" w:hanging="426"/>
        <w:rPr>
          <w:rFonts w:cs="Charis SIL"/>
          <w:lang w:val="fi-FI"/>
        </w:rPr>
      </w:pPr>
      <w:r w:rsidRPr="00FB4EFA">
        <w:rPr>
          <w:rFonts w:cs="Charis SIL"/>
          <w:lang w:val="en-US"/>
        </w:rPr>
        <w:t xml:space="preserve">Juha Janhunen. 1998. Samoyedic. Teoksessa </w:t>
      </w:r>
      <w:r w:rsidR="00466236" w:rsidRPr="00FB4EFA">
        <w:rPr>
          <w:rFonts w:cs="Charis SIL"/>
          <w:lang w:val="en-US"/>
        </w:rPr>
        <w:t xml:space="preserve">Daniel </w:t>
      </w:r>
      <w:r w:rsidRPr="00FB4EFA">
        <w:rPr>
          <w:rFonts w:cs="Charis SIL"/>
          <w:lang w:val="en-US"/>
        </w:rPr>
        <w:t xml:space="preserve">Abondolo (toim.), </w:t>
      </w:r>
      <w:r w:rsidRPr="00FB4EFA">
        <w:rPr>
          <w:rFonts w:cs="Charis SIL"/>
          <w:i/>
          <w:iCs/>
          <w:lang w:val="en-US"/>
        </w:rPr>
        <w:t>The Uralic Languages</w:t>
      </w:r>
      <w:r w:rsidR="001B0884" w:rsidRPr="00FB4EFA">
        <w:rPr>
          <w:rFonts w:cs="Charis SIL"/>
          <w:lang w:val="en-US"/>
        </w:rPr>
        <w:t>,</w:t>
      </w:r>
      <w:r w:rsidRPr="00FB4EFA">
        <w:rPr>
          <w:rFonts w:cs="Charis SIL"/>
          <w:lang w:val="en-US"/>
        </w:rPr>
        <w:t xml:space="preserve"> </w:t>
      </w:r>
      <w:r w:rsidRPr="00FB4EFA">
        <w:rPr>
          <w:rFonts w:cs="Charis SIL"/>
          <w:lang w:val="fi-FI"/>
        </w:rPr>
        <w:t xml:space="preserve">457–479. </w:t>
      </w:r>
      <w:r w:rsidR="00A82FE2" w:rsidRPr="00FB4EFA">
        <w:rPr>
          <w:rFonts w:cs="Charis SIL"/>
        </w:rPr>
        <w:t xml:space="preserve">London: </w:t>
      </w:r>
      <w:r w:rsidRPr="00FB4EFA">
        <w:rPr>
          <w:rFonts w:cs="Charis SIL"/>
          <w:lang w:val="fi-FI"/>
        </w:rPr>
        <w:t>Routledge</w:t>
      </w:r>
      <w:r w:rsidR="003863B8" w:rsidRPr="00FB4EFA">
        <w:rPr>
          <w:rFonts w:cs="Charis SIL"/>
          <w:lang w:val="fi-FI"/>
        </w:rPr>
        <w:t>.</w:t>
      </w:r>
    </w:p>
    <w:p w14:paraId="19073C42" w14:textId="2FA219BE" w:rsidR="0076526E" w:rsidRPr="00FB4EFA" w:rsidRDefault="0076526E" w:rsidP="00030518">
      <w:pPr>
        <w:suppressAutoHyphens/>
        <w:spacing w:line="240" w:lineRule="auto"/>
        <w:ind w:left="426" w:hanging="426"/>
        <w:rPr>
          <w:rFonts w:cs="Charis SIL"/>
          <w:lang w:val="fi-FI"/>
        </w:rPr>
      </w:pPr>
      <w:r w:rsidRPr="00FB4EFA">
        <w:rPr>
          <w:rFonts w:cs="Charis SIL"/>
          <w:lang w:val="fi-FI"/>
        </w:rPr>
        <w:t>Kallio, Petri. 2007. Kantasuomen konsonanttihistoriaa.</w:t>
      </w:r>
      <w:r w:rsidRPr="00FB4EFA">
        <w:rPr>
          <w:rFonts w:cs="Charis SIL"/>
          <w:i/>
          <w:lang w:val="fi-FI"/>
        </w:rPr>
        <w:t xml:space="preserve"> </w:t>
      </w:r>
      <w:r w:rsidR="00EF08F6" w:rsidRPr="00FB4EFA">
        <w:rPr>
          <w:rFonts w:cs="Charis SIL"/>
          <w:iCs/>
          <w:lang w:val="fi-FI"/>
        </w:rPr>
        <w:t xml:space="preserve">Teoksessa </w:t>
      </w:r>
      <w:r w:rsidR="001B0884" w:rsidRPr="00FB4EFA">
        <w:rPr>
          <w:rFonts w:cs="Charis SIL"/>
          <w:iCs/>
          <w:lang w:val="fi-FI"/>
        </w:rPr>
        <w:t>Jussi Ylikoski</w:t>
      </w:r>
      <w:r w:rsidR="00342DAB" w:rsidRPr="00FB4EFA">
        <w:rPr>
          <w:rFonts w:cs="Charis SIL"/>
          <w:iCs/>
          <w:lang w:val="fi-FI"/>
        </w:rPr>
        <w:t xml:space="preserve"> &amp;</w:t>
      </w:r>
      <w:r w:rsidR="001B0884" w:rsidRPr="00FB4EFA">
        <w:rPr>
          <w:rFonts w:cs="Charis SIL"/>
          <w:iCs/>
          <w:lang w:val="fi-FI"/>
        </w:rPr>
        <w:t xml:space="preserve"> Ante Aikio (toim.), </w:t>
      </w:r>
      <w:r w:rsidR="001B0884" w:rsidRPr="00FB4EFA">
        <w:rPr>
          <w:rFonts w:cs="Charis SIL"/>
          <w:i/>
          <w:lang w:val="fi-FI"/>
        </w:rPr>
        <w:t>Sámit, sánit, sátnehámit. Riepmočála Pekka Sammallahtii miessemánu 21. beaivve 2007</w:t>
      </w:r>
      <w:r w:rsidR="001B0884" w:rsidRPr="00FB4EFA">
        <w:rPr>
          <w:rFonts w:cs="Charis SIL"/>
          <w:iCs/>
          <w:lang w:val="fi-FI"/>
        </w:rPr>
        <w:t xml:space="preserve">, </w:t>
      </w:r>
      <w:r w:rsidR="001B0884" w:rsidRPr="00FB4EFA">
        <w:rPr>
          <w:rFonts w:cs="Charis SIL"/>
          <w:lang w:val="fi-FI"/>
        </w:rPr>
        <w:t xml:space="preserve">229–249. </w:t>
      </w:r>
      <w:r w:rsidRPr="00FB4EFA">
        <w:rPr>
          <w:rFonts w:cs="Charis SIL"/>
          <w:iCs/>
          <w:lang w:val="fi-FI"/>
        </w:rPr>
        <w:t>Suomalais-Ugrilaisen Seuran Toimituksia 253.</w:t>
      </w:r>
      <w:r w:rsidRPr="00FB4EFA">
        <w:rPr>
          <w:rFonts w:cs="Charis SIL"/>
          <w:lang w:val="fi-FI"/>
        </w:rPr>
        <w:t xml:space="preserve"> Helsinki: Suomalais-Ugrilainen Seura.</w:t>
      </w:r>
    </w:p>
    <w:p w14:paraId="459F7908"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Kangasmaa-Minn, Eeva. 1988. Suomalais-ugrilaisia aikasuhteita. </w:t>
      </w:r>
      <w:r w:rsidRPr="00FB4EFA">
        <w:rPr>
          <w:rFonts w:cs="Charis SIL"/>
          <w:i/>
          <w:iCs/>
          <w:lang w:val="fi-FI"/>
        </w:rPr>
        <w:t>Sananjalka 30 (1).</w:t>
      </w:r>
      <w:r w:rsidRPr="00FB4EFA">
        <w:rPr>
          <w:rFonts w:cs="Charis SIL"/>
          <w:lang w:val="fi-FI"/>
        </w:rPr>
        <w:t xml:space="preserve"> 17–26. Turku: Suomen Kielen Seura ry.</w:t>
      </w:r>
    </w:p>
    <w:p w14:paraId="11F30592"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sv-SE"/>
        </w:rPr>
        <w:t xml:space="preserve">Korhonen, Mikko. 1967. </w:t>
      </w:r>
      <w:r w:rsidRPr="00FB4EFA">
        <w:rPr>
          <w:rFonts w:eastAsia="Times New Roman" w:cs="Charis SIL"/>
          <w:i/>
          <w:iCs/>
          <w:lang w:val="sv-SE" w:eastAsia="fi-FI"/>
        </w:rPr>
        <w:t>Die Konjugation im Lappischen. Morphologisch-historische Untersuchung. I. Die finiten Formkategorien.</w:t>
      </w:r>
      <w:r w:rsidRPr="00FB4EFA">
        <w:rPr>
          <w:rFonts w:eastAsia="Times New Roman" w:cs="Charis SIL"/>
          <w:lang w:val="sv-SE" w:eastAsia="fi-FI"/>
        </w:rPr>
        <w:t xml:space="preserve"> </w:t>
      </w:r>
      <w:r w:rsidRPr="00FB4EFA">
        <w:rPr>
          <w:rFonts w:cs="Charis SIL"/>
          <w:lang w:val="fi-FI"/>
        </w:rPr>
        <w:t>Suomalais-Ugrilaisen Seuran Toimituksia</w:t>
      </w:r>
      <w:r w:rsidRPr="00FB4EFA">
        <w:rPr>
          <w:rFonts w:eastAsia="Times New Roman" w:cs="Charis SIL"/>
          <w:lang w:val="fi-FI" w:eastAsia="fi-FI"/>
        </w:rPr>
        <w:t xml:space="preserve"> 143. </w:t>
      </w:r>
      <w:r w:rsidRPr="00FB4EFA">
        <w:rPr>
          <w:rFonts w:cs="Charis SIL"/>
          <w:lang w:val="fi-FI"/>
        </w:rPr>
        <w:t>Helsinki: Suomalais-Ugrilainen Seura.</w:t>
      </w:r>
    </w:p>
    <w:p w14:paraId="33296777" w14:textId="61CCE67B" w:rsidR="0076526E" w:rsidRPr="00FB4EFA" w:rsidRDefault="0076526E" w:rsidP="00030518">
      <w:pPr>
        <w:suppressAutoHyphens/>
        <w:spacing w:line="240" w:lineRule="auto"/>
        <w:ind w:left="426" w:hanging="426"/>
        <w:rPr>
          <w:rFonts w:cs="Charis SIL"/>
          <w:lang w:val="fi-FI"/>
        </w:rPr>
      </w:pPr>
      <w:r w:rsidRPr="00FB4EFA">
        <w:rPr>
          <w:rFonts w:cs="Charis SIL"/>
          <w:lang w:val="fi-FI"/>
        </w:rPr>
        <w:t>Korhonen, Mikko. 1981.</w:t>
      </w:r>
      <w:hyperlink r:id="rId246">
        <w:r w:rsidRPr="00FB4EFA">
          <w:rPr>
            <w:rFonts w:cs="Charis SIL"/>
            <w:lang w:val="fi-FI"/>
          </w:rPr>
          <w:t xml:space="preserve"> </w:t>
        </w:r>
      </w:hyperlink>
      <w:hyperlink r:id="rId247">
        <w:r w:rsidRPr="00FB4EFA">
          <w:rPr>
            <w:rFonts w:cs="Charis SIL"/>
            <w:i/>
            <w:lang w:val="fi-FI"/>
          </w:rPr>
          <w:t>Johdatus lapin kielen historiaan</w:t>
        </w:r>
      </w:hyperlink>
      <w:r w:rsidRPr="00FB4EFA">
        <w:rPr>
          <w:rFonts w:cs="Charis SIL"/>
          <w:lang w:val="fi-FI"/>
        </w:rPr>
        <w:t xml:space="preserve">. Suomalaisen Kirjallisuuden Seuran Toimituksia 370. Helsinki: </w:t>
      </w:r>
      <w:r w:rsidR="00F9255F" w:rsidRPr="00FB4EFA">
        <w:rPr>
          <w:rFonts w:cs="Charis SIL"/>
          <w:lang w:val="fi-FI"/>
        </w:rPr>
        <w:t>SKS</w:t>
      </w:r>
      <w:r w:rsidRPr="00FB4EFA">
        <w:rPr>
          <w:rFonts w:cs="Charis SIL"/>
          <w:lang w:val="fi-FI"/>
        </w:rPr>
        <w:t>.</w:t>
      </w:r>
    </w:p>
    <w:p w14:paraId="56730743"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Kulonen, Ulla-Maija. 2007. </w:t>
      </w:r>
      <w:r w:rsidRPr="00FB4EFA">
        <w:rPr>
          <w:rFonts w:cs="Charis SIL"/>
          <w:i/>
          <w:iCs/>
          <w:lang w:val="fi-FI"/>
        </w:rPr>
        <w:t>Itämansin kielioppi ja tekstejä</w:t>
      </w:r>
      <w:r w:rsidRPr="00FB4EFA">
        <w:rPr>
          <w:rFonts w:cs="Charis SIL"/>
          <w:lang w:val="fi-FI"/>
        </w:rPr>
        <w:t>. Apuneuvoja suomalais-ugrilaisten kielten opintoja varten XV. Helsinki: Suomalais-Ugrilainen Seura.</w:t>
      </w:r>
    </w:p>
    <w:p w14:paraId="15EA76AD" w14:textId="35C51392"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Laakso, Johanna. 1997. On verbalizing nouns in Uralic. </w:t>
      </w:r>
      <w:r w:rsidRPr="00FB4EFA">
        <w:rPr>
          <w:rFonts w:cs="Charis SIL"/>
          <w:i/>
          <w:lang w:val="fi-FI"/>
        </w:rPr>
        <w:t>Finnisch-Ugrische Forschungen</w:t>
      </w:r>
      <w:r w:rsidRPr="00FB4EFA">
        <w:rPr>
          <w:rFonts w:cs="Charis SIL"/>
          <w:lang w:val="fi-FI"/>
        </w:rPr>
        <w:t xml:space="preserve"> 54</w:t>
      </w:r>
      <w:r w:rsidR="006E06D0" w:rsidRPr="00FB4EFA">
        <w:rPr>
          <w:rFonts w:cs="Charis SIL"/>
          <w:lang w:val="fi-FI"/>
        </w:rPr>
        <w:t xml:space="preserve"> (</w:t>
      </w:r>
      <w:r w:rsidRPr="00FB4EFA">
        <w:rPr>
          <w:rFonts w:cs="Charis SIL"/>
          <w:lang w:val="fi-FI"/>
        </w:rPr>
        <w:t>3</w:t>
      </w:r>
      <w:r w:rsidR="006E06D0" w:rsidRPr="00FB4EFA">
        <w:rPr>
          <w:rFonts w:cs="Charis SIL"/>
          <w:lang w:val="fi-FI"/>
        </w:rPr>
        <w:t>)</w:t>
      </w:r>
      <w:r w:rsidRPr="00FB4EFA">
        <w:rPr>
          <w:rFonts w:cs="Charis SIL"/>
          <w:lang w:val="fi-FI"/>
        </w:rPr>
        <w:t>.</w:t>
      </w:r>
      <w:r w:rsidRPr="00FB4EFA">
        <w:rPr>
          <w:rFonts w:cs="Charis SIL"/>
          <w:i/>
          <w:iCs/>
          <w:lang w:val="fi-FI"/>
        </w:rPr>
        <w:t xml:space="preserve"> </w:t>
      </w:r>
      <w:r w:rsidRPr="00FB4EFA">
        <w:rPr>
          <w:rFonts w:cs="Charis SIL"/>
          <w:lang w:val="fi-FI"/>
        </w:rPr>
        <w:t>267–304.</w:t>
      </w:r>
    </w:p>
    <w:p w14:paraId="5ED77C73"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Laanest, Arvo. 1975. </w:t>
      </w:r>
      <w:r w:rsidRPr="00FB4EFA">
        <w:rPr>
          <w:rFonts w:cs="Charis SIL"/>
          <w:i/>
          <w:iCs/>
          <w:lang w:val="fi-FI"/>
        </w:rPr>
        <w:t>Sissejuhatus läänemeresoome keeltesse</w:t>
      </w:r>
      <w:r w:rsidRPr="00FB4EFA">
        <w:rPr>
          <w:rFonts w:cs="Charis SIL"/>
          <w:lang w:val="fi-FI"/>
        </w:rPr>
        <w:t>. Tallinn: Eesti NSV teaduste akadeemia Keele ja kirjanduse instituut.</w:t>
      </w:r>
    </w:p>
    <w:p w14:paraId="0BCE2B10"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Lakó, György. 1934. </w:t>
      </w:r>
      <w:r w:rsidRPr="00FB4EFA">
        <w:rPr>
          <w:rFonts w:cs="Charis SIL"/>
          <w:i/>
          <w:iCs/>
          <w:lang w:val="fi-FI"/>
        </w:rPr>
        <w:t>A permi nyelvek szóvégi magánhangzói.</w:t>
      </w:r>
      <w:r w:rsidRPr="00FB4EFA">
        <w:rPr>
          <w:rFonts w:cs="Charis SIL"/>
          <w:lang w:val="fi-FI"/>
        </w:rPr>
        <w:t xml:space="preserve"> Különlenyomat Nyelvtudományi közlemények XLVII és XLIX kötetéb</w:t>
      </w:r>
      <w:r w:rsidRPr="00FB4EFA">
        <w:rPr>
          <w:rFonts w:eastAsia="Times New Roman" w:cs="Charis SIL"/>
          <w:lang w:val="fi-FI" w:eastAsia="fi-FI"/>
        </w:rPr>
        <w:t>ől. Budapest: Hornyánszky.</w:t>
      </w:r>
    </w:p>
    <w:p w14:paraId="7F56ABC6" w14:textId="5878A718" w:rsidR="0076526E" w:rsidRPr="00FB4EFA" w:rsidRDefault="0076526E" w:rsidP="00030518">
      <w:pPr>
        <w:suppressAutoHyphens/>
        <w:spacing w:line="240" w:lineRule="auto"/>
        <w:ind w:left="426" w:hanging="426"/>
        <w:rPr>
          <w:rFonts w:cs="Charis SIL"/>
          <w:lang w:val="fi-FI"/>
        </w:rPr>
      </w:pPr>
      <w:r w:rsidRPr="00FB4EFA">
        <w:rPr>
          <w:rFonts w:cs="Charis SIL"/>
          <w:lang w:val="fi-FI"/>
        </w:rPr>
        <w:lastRenderedPageBreak/>
        <w:t xml:space="preserve">Lehtinen, Tapani. 2007. </w:t>
      </w:r>
      <w:r w:rsidRPr="00FB4EFA">
        <w:rPr>
          <w:rFonts w:cs="Charis SIL"/>
          <w:i/>
          <w:iCs/>
          <w:lang w:val="fi-FI"/>
        </w:rPr>
        <w:t xml:space="preserve">Kielen vuosituhannet. Suomen kielen kehitys kantauralista varhaissuomeen. </w:t>
      </w:r>
      <w:r w:rsidRPr="00FB4EFA">
        <w:rPr>
          <w:rFonts w:cs="Charis SIL"/>
          <w:lang w:val="fi-FI"/>
        </w:rPr>
        <w:t xml:space="preserve">Tietolipas 215. Helsinki: </w:t>
      </w:r>
      <w:r w:rsidR="00F9255F" w:rsidRPr="00FB4EFA">
        <w:rPr>
          <w:rFonts w:cs="Charis SIL"/>
          <w:lang w:val="fi-FI"/>
        </w:rPr>
        <w:t>SKS</w:t>
      </w:r>
      <w:r w:rsidRPr="00FB4EFA">
        <w:rPr>
          <w:rFonts w:cs="Charis SIL"/>
          <w:lang w:val="fi-FI"/>
        </w:rPr>
        <w:t>.</w:t>
      </w:r>
    </w:p>
    <w:p w14:paraId="3B08B627" w14:textId="79C3A94A"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Lönnrot, Elias. 1841. Bidrag till finska språkets grammatik. </w:t>
      </w:r>
      <w:r w:rsidRPr="00FB4EFA">
        <w:rPr>
          <w:rFonts w:cs="Charis SIL"/>
          <w:i/>
          <w:iCs/>
          <w:lang w:val="fi-FI"/>
        </w:rPr>
        <w:t xml:space="preserve">Suomi. </w:t>
      </w:r>
      <w:r w:rsidRPr="00FB4EFA">
        <w:rPr>
          <w:rFonts w:cs="Charis SIL"/>
          <w:lang w:val="fi-FI"/>
        </w:rPr>
        <w:t xml:space="preserve">1. jakso, 5. osa. 20–47. Helsinki: </w:t>
      </w:r>
      <w:r w:rsidR="00F9255F" w:rsidRPr="00FB4EFA">
        <w:rPr>
          <w:rFonts w:cs="Charis SIL"/>
          <w:lang w:val="fi-FI"/>
        </w:rPr>
        <w:t>SKS</w:t>
      </w:r>
      <w:r w:rsidRPr="00FB4EFA">
        <w:rPr>
          <w:rFonts w:cs="Charis SIL"/>
          <w:lang w:val="fi-FI"/>
        </w:rPr>
        <w:t>.</w:t>
      </w:r>
    </w:p>
    <w:p w14:paraId="5840CD4F" w14:textId="0A7CC210" w:rsidR="0076526E" w:rsidRPr="00FB4EFA" w:rsidRDefault="0076526E" w:rsidP="00030518">
      <w:pPr>
        <w:suppressAutoHyphens/>
        <w:spacing w:line="240" w:lineRule="auto"/>
        <w:ind w:left="426" w:hanging="426"/>
        <w:rPr>
          <w:rFonts w:cs="Charis SIL"/>
          <w:i/>
          <w:iCs/>
          <w:lang w:val="fi-FI"/>
        </w:rPr>
      </w:pPr>
      <w:r w:rsidRPr="00FB4EFA">
        <w:rPr>
          <w:rFonts w:cs="Charis SIL"/>
          <w:lang w:val="fi-FI"/>
        </w:rPr>
        <w:t>Majtinskaja K.E. 1974. Sravnitel</w:t>
      </w:r>
      <w:r w:rsidR="00E77EA1" w:rsidRPr="00FB4EFA">
        <w:rPr>
          <w:rFonts w:cs="Charis SIL"/>
          <w:lang w:val="fi-FI"/>
        </w:rPr>
        <w:t>’</w:t>
      </w:r>
      <w:r w:rsidRPr="00FB4EFA">
        <w:rPr>
          <w:rFonts w:cs="Charis SIL"/>
          <w:lang w:val="fi-FI"/>
        </w:rPr>
        <w:t xml:space="preserve">naja morfologija finno-ugorskih jazykov. Teoksessa </w:t>
      </w:r>
      <w:r w:rsidRPr="00FB4EFA">
        <w:rPr>
          <w:rFonts w:cs="Charis SIL"/>
          <w:i/>
          <w:iCs/>
          <w:lang w:val="fi-FI"/>
        </w:rPr>
        <w:t>Osnovy finno-ugorskogo jazykoznanija</w:t>
      </w:r>
      <w:r w:rsidRPr="00FB4EFA">
        <w:rPr>
          <w:rFonts w:cs="Charis SIL"/>
          <w:lang w:val="fi-FI"/>
        </w:rPr>
        <w:t xml:space="preserve"> </w:t>
      </w:r>
      <w:r w:rsidR="00C95A41" w:rsidRPr="00FB4EFA">
        <w:rPr>
          <w:rFonts w:cs="Charis SIL"/>
          <w:lang w:val="fi-FI"/>
        </w:rPr>
        <w:t>I</w:t>
      </w:r>
      <w:r w:rsidR="00F9255F" w:rsidRPr="00FB4EFA">
        <w:rPr>
          <w:rFonts w:cs="Charis SIL"/>
          <w:lang w:val="fi-FI"/>
        </w:rPr>
        <w:t>,</w:t>
      </w:r>
      <w:r w:rsidRPr="00FB4EFA">
        <w:rPr>
          <w:rFonts w:cs="Charis SIL"/>
          <w:lang w:val="fi-FI"/>
        </w:rPr>
        <w:t xml:space="preserve"> 214–382. Moskova: Nauka.</w:t>
      </w:r>
    </w:p>
    <w:p w14:paraId="4911330E" w14:textId="4FB83463" w:rsidR="0076526E" w:rsidRPr="00FB4EFA" w:rsidRDefault="0076526E" w:rsidP="00030518">
      <w:pPr>
        <w:suppressAutoHyphens/>
        <w:spacing w:line="240" w:lineRule="auto"/>
        <w:ind w:left="426" w:hanging="426"/>
        <w:rPr>
          <w:rFonts w:cs="Charis SIL"/>
          <w:lang w:val="sv-SE"/>
        </w:rPr>
      </w:pPr>
      <w:r w:rsidRPr="00FB4EFA">
        <w:rPr>
          <w:rFonts w:cs="Charis SIL"/>
          <w:lang w:val="fi-FI"/>
        </w:rPr>
        <w:t xml:space="preserve">Ravila, Paavo. </w:t>
      </w:r>
      <w:r w:rsidRPr="00FB4EFA">
        <w:rPr>
          <w:rFonts w:cs="Charis SIL"/>
          <w:lang w:val="sv-SE"/>
        </w:rPr>
        <w:t xml:space="preserve">1941. Über die Verwendung der Numeruszeichen in den uralischen Sprachen. </w:t>
      </w:r>
      <w:r w:rsidRPr="00FB4EFA">
        <w:rPr>
          <w:rFonts w:cs="Charis SIL"/>
          <w:i/>
          <w:lang w:val="sv-SE"/>
        </w:rPr>
        <w:t xml:space="preserve">Finnisch-Ugrische Forschungen </w:t>
      </w:r>
      <w:r w:rsidRPr="00FB4EFA">
        <w:rPr>
          <w:rFonts w:cs="Charis SIL"/>
          <w:iCs/>
          <w:lang w:val="sv-SE"/>
        </w:rPr>
        <w:t>27.</w:t>
      </w:r>
      <w:r w:rsidRPr="00FB4EFA">
        <w:rPr>
          <w:rFonts w:cs="Charis SIL"/>
          <w:lang w:val="sv-SE"/>
        </w:rPr>
        <w:t xml:space="preserve"> 1–136.</w:t>
      </w:r>
    </w:p>
    <w:p w14:paraId="33E07462" w14:textId="1E65BD7C" w:rsidR="0076526E" w:rsidRPr="00FB4EFA" w:rsidRDefault="0076526E" w:rsidP="00030518">
      <w:pPr>
        <w:suppressAutoHyphens/>
        <w:spacing w:line="240" w:lineRule="auto"/>
        <w:ind w:left="426" w:hanging="426"/>
        <w:rPr>
          <w:rFonts w:cs="Charis SIL"/>
          <w:lang w:val="fi-FI"/>
        </w:rPr>
      </w:pPr>
      <w:r w:rsidRPr="00FB4EFA">
        <w:rPr>
          <w:rFonts w:cs="Charis SIL"/>
          <w:lang w:val="sv-SE"/>
        </w:rPr>
        <w:t xml:space="preserve">Ravila, Paavo. 1929. Über eine doppelte Vertretung des urfinnischwolgaischen </w:t>
      </w:r>
      <w:r w:rsidRPr="00FB4EFA">
        <w:rPr>
          <w:rFonts w:cs="Charis SIL"/>
          <w:i/>
          <w:lang w:val="sv-SE"/>
        </w:rPr>
        <w:t>*a</w:t>
      </w:r>
      <w:r w:rsidRPr="00FB4EFA">
        <w:rPr>
          <w:rFonts w:cs="Charis SIL"/>
          <w:lang w:val="sv-SE"/>
        </w:rPr>
        <w:t xml:space="preserve"> in der nichtersten Silbe im Mordwinischen. </w:t>
      </w:r>
      <w:r w:rsidRPr="00FB4EFA">
        <w:rPr>
          <w:rFonts w:cs="Charis SIL"/>
          <w:i/>
          <w:lang w:val="fi-FI"/>
        </w:rPr>
        <w:t>F Finnisch-Ugrische Forschungen</w:t>
      </w:r>
      <w:r w:rsidRPr="00FB4EFA">
        <w:rPr>
          <w:rFonts w:cs="Charis SIL"/>
          <w:lang w:val="fi-FI"/>
        </w:rPr>
        <w:t xml:space="preserve"> 20. 83–120.</w:t>
      </w:r>
    </w:p>
    <w:p w14:paraId="44DD9457" w14:textId="1233481D" w:rsidR="0076526E" w:rsidRPr="00FB4EFA" w:rsidRDefault="0076526E" w:rsidP="00030518">
      <w:pPr>
        <w:keepLines/>
        <w:suppressAutoHyphens/>
        <w:spacing w:line="240" w:lineRule="auto"/>
        <w:ind w:left="425" w:hanging="425"/>
        <w:rPr>
          <w:rFonts w:cs="Charis SIL"/>
          <w:lang w:val="en-US"/>
        </w:rPr>
      </w:pPr>
      <w:r w:rsidRPr="00FB4EFA">
        <w:rPr>
          <w:rFonts w:cs="Charis SIL"/>
          <w:lang w:val="en-US"/>
        </w:rPr>
        <w:t xml:space="preserve">Saarikivi, Janne. 2022. Uralic intermediate protolanguages: A descendent reconstruction. Teoksessa </w:t>
      </w:r>
      <w:r w:rsidR="00342DAB" w:rsidRPr="00FB4EFA">
        <w:rPr>
          <w:rFonts w:cs="Charis SIL"/>
          <w:lang w:val="en-US"/>
        </w:rPr>
        <w:t xml:space="preserve">Marianne </w:t>
      </w:r>
      <w:r w:rsidRPr="00FB4EFA">
        <w:rPr>
          <w:rFonts w:cs="Charis SIL"/>
          <w:lang w:val="en-US"/>
        </w:rPr>
        <w:t xml:space="preserve">Bákro-Nagy, Johanna Laakso &amp; Elena Skribnik (toim.), </w:t>
      </w:r>
      <w:r w:rsidRPr="00FB4EFA">
        <w:rPr>
          <w:rFonts w:cs="Charis SIL"/>
          <w:i/>
          <w:iCs/>
          <w:lang w:val="en-US"/>
        </w:rPr>
        <w:t>The Oxford guide to the Uralic languages</w:t>
      </w:r>
      <w:r w:rsidRPr="00FB4EFA">
        <w:rPr>
          <w:rFonts w:cs="Charis SIL"/>
          <w:lang w:val="en-US"/>
        </w:rPr>
        <w:t xml:space="preserve">. </w:t>
      </w:r>
      <w:r w:rsidRPr="00FB4EFA">
        <w:rPr>
          <w:rFonts w:cs="Charis SIL"/>
          <w:lang w:val="fi-FI"/>
        </w:rPr>
        <w:t>29–58.</w:t>
      </w:r>
      <w:r w:rsidRPr="00FB4EFA">
        <w:rPr>
          <w:rFonts w:cs="Charis SIL"/>
          <w:lang w:val="en-US"/>
        </w:rPr>
        <w:t xml:space="preserve"> Oxford: Oxford University Press.</w:t>
      </w:r>
    </w:p>
    <w:p w14:paraId="0390A50D" w14:textId="77777777" w:rsidR="0076526E" w:rsidRPr="00FB4EFA" w:rsidRDefault="0076526E" w:rsidP="00030518">
      <w:pPr>
        <w:suppressAutoHyphens/>
        <w:spacing w:line="240" w:lineRule="auto"/>
        <w:ind w:left="426" w:hanging="426"/>
        <w:rPr>
          <w:rFonts w:cs="Charis SIL"/>
          <w:lang w:val="en-US"/>
        </w:rPr>
      </w:pPr>
      <w:r w:rsidRPr="00FB4EFA">
        <w:rPr>
          <w:rFonts w:cs="Charis SIL"/>
          <w:lang w:val="en-US"/>
        </w:rPr>
        <w:t xml:space="preserve">Sammallahti, Pekka. 1998. </w:t>
      </w:r>
      <w:r w:rsidRPr="00FB4EFA">
        <w:rPr>
          <w:rFonts w:cs="Charis SIL"/>
          <w:i/>
          <w:iCs/>
          <w:lang w:val="en-US"/>
        </w:rPr>
        <w:t xml:space="preserve">The Saami Languages. An Introduction. </w:t>
      </w:r>
      <w:r w:rsidRPr="00FB4EFA">
        <w:rPr>
          <w:rFonts w:cs="Charis SIL"/>
          <w:lang w:val="en-US"/>
        </w:rPr>
        <w:t>Kárášjohka: Davvi Girji.</w:t>
      </w:r>
    </w:p>
    <w:p w14:paraId="5F189639" w14:textId="1BF54C55" w:rsidR="0076526E" w:rsidRPr="00FB4EFA" w:rsidRDefault="0076526E" w:rsidP="00030518">
      <w:pPr>
        <w:keepLines/>
        <w:suppressAutoHyphens/>
        <w:spacing w:line="240" w:lineRule="auto"/>
        <w:ind w:left="425" w:hanging="425"/>
        <w:rPr>
          <w:rFonts w:cs="Charis SIL"/>
          <w:lang w:val="fi-FI"/>
        </w:rPr>
      </w:pPr>
      <w:r w:rsidRPr="00FB4EFA">
        <w:rPr>
          <w:rFonts w:cs="Charis SIL"/>
          <w:lang w:val="en-US"/>
        </w:rPr>
        <w:t xml:space="preserve">Savijärvi, Ilkka. </w:t>
      </w:r>
      <w:r w:rsidRPr="00FB4EFA">
        <w:rPr>
          <w:rFonts w:cs="Charis SIL"/>
          <w:lang w:val="fi-FI"/>
        </w:rPr>
        <w:t xml:space="preserve">2001a. Passiivin ja monikkomuotojen suhteesta itäisissä ims. kielissä. Teoksessa </w:t>
      </w:r>
      <w:r w:rsidR="00342DAB" w:rsidRPr="00FB4EFA">
        <w:rPr>
          <w:rFonts w:cs="Charis SIL"/>
          <w:lang w:val="fi-FI"/>
        </w:rPr>
        <w:t xml:space="preserve">Marjatta </w:t>
      </w:r>
      <w:r w:rsidRPr="00FB4EFA">
        <w:rPr>
          <w:rFonts w:cs="Charis SIL"/>
          <w:lang w:val="fi-FI"/>
        </w:rPr>
        <w:t>Palander,</w:t>
      </w:r>
      <w:r w:rsidR="00342DAB" w:rsidRPr="00FB4EFA">
        <w:rPr>
          <w:rFonts w:cs="Charis SIL"/>
          <w:lang w:val="fi-FI"/>
        </w:rPr>
        <w:t xml:space="preserve"> Helka</w:t>
      </w:r>
      <w:r w:rsidRPr="00FB4EFA">
        <w:rPr>
          <w:rFonts w:cs="Charis SIL"/>
          <w:lang w:val="fi-FI"/>
        </w:rPr>
        <w:t xml:space="preserve"> Riionheimo &amp; </w:t>
      </w:r>
      <w:r w:rsidR="00342DAB" w:rsidRPr="00FB4EFA">
        <w:rPr>
          <w:rFonts w:cs="Charis SIL"/>
          <w:lang w:val="fi-FI"/>
        </w:rPr>
        <w:t xml:space="preserve">Ossi </w:t>
      </w:r>
      <w:r w:rsidRPr="00FB4EFA">
        <w:rPr>
          <w:rFonts w:cs="Charis SIL"/>
          <w:lang w:val="fi-FI"/>
        </w:rPr>
        <w:t xml:space="preserve">Kokko (toim.), </w:t>
      </w:r>
      <w:r w:rsidRPr="00FB4EFA">
        <w:rPr>
          <w:rFonts w:cs="Charis SIL"/>
          <w:i/>
          <w:iCs/>
          <w:lang w:val="fi-FI"/>
        </w:rPr>
        <w:t>Agricolasta Inkeriin: juhlakirja Ilkka Savijärven 60-vuotispäiväksi</w:t>
      </w:r>
      <w:r w:rsidR="00342DAB" w:rsidRPr="00FB4EFA">
        <w:rPr>
          <w:rFonts w:cs="Charis SIL"/>
          <w:lang w:val="fi-FI"/>
        </w:rPr>
        <w:t>, 248–253</w:t>
      </w:r>
      <w:r w:rsidRPr="00FB4EFA">
        <w:rPr>
          <w:rFonts w:cs="Charis SIL"/>
          <w:i/>
          <w:iCs/>
          <w:lang w:val="fi-FI"/>
        </w:rPr>
        <w:t>.</w:t>
      </w:r>
      <w:r w:rsidRPr="00FB4EFA">
        <w:rPr>
          <w:rFonts w:cs="Charis SIL"/>
          <w:lang w:val="fi-FI"/>
        </w:rPr>
        <w:t xml:space="preserve"> Studia Carelia Humanistica 17. Joensuu: Joensuun yliopisto.</w:t>
      </w:r>
    </w:p>
    <w:p w14:paraId="4D47F2E1" w14:textId="6E9400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Savijärvi, Ilkka. 2001b. Passiivin ja monikon 3. persoonan suhteesta vepsän kielessä. Teoksessa </w:t>
      </w:r>
      <w:r w:rsidR="00342DAB" w:rsidRPr="00FB4EFA">
        <w:rPr>
          <w:rFonts w:cs="Charis SIL"/>
          <w:lang w:val="fi-FI"/>
        </w:rPr>
        <w:t>Marjatta Palander, Helka Riionheimo &amp; Ossi Kokko</w:t>
      </w:r>
      <w:r w:rsidRPr="00FB4EFA">
        <w:rPr>
          <w:rFonts w:cs="Charis SIL"/>
          <w:lang w:val="fi-FI"/>
        </w:rPr>
        <w:t xml:space="preserve"> (toim.)</w:t>
      </w:r>
      <w:r w:rsidR="001306CD" w:rsidRPr="00FB4EFA">
        <w:rPr>
          <w:rFonts w:cs="Charis SIL"/>
          <w:lang w:val="fi-FI"/>
        </w:rPr>
        <w:t>,</w:t>
      </w:r>
      <w:r w:rsidRPr="00FB4EFA">
        <w:rPr>
          <w:rFonts w:cs="Charis SIL"/>
          <w:lang w:val="fi-FI"/>
        </w:rPr>
        <w:t xml:space="preserve"> </w:t>
      </w:r>
      <w:r w:rsidRPr="00FB4EFA">
        <w:rPr>
          <w:rFonts w:cs="Charis SIL"/>
          <w:i/>
          <w:iCs/>
          <w:lang w:val="fi-FI"/>
        </w:rPr>
        <w:t>Agricolasta Inkeriin: juhlakirja Ilkka Savijärven 60-vuotispäiväksi</w:t>
      </w:r>
      <w:r w:rsidR="001306CD" w:rsidRPr="00FB4EFA">
        <w:rPr>
          <w:rFonts w:cs="Charis SIL"/>
          <w:lang w:val="fi-FI"/>
        </w:rPr>
        <w:t>, 254–268</w:t>
      </w:r>
      <w:r w:rsidRPr="00FB4EFA">
        <w:rPr>
          <w:rFonts w:cs="Charis SIL"/>
          <w:i/>
          <w:iCs/>
          <w:lang w:val="fi-FI"/>
        </w:rPr>
        <w:t xml:space="preserve">. </w:t>
      </w:r>
      <w:r w:rsidRPr="00FB4EFA">
        <w:rPr>
          <w:rFonts w:cs="Charis SIL"/>
          <w:lang w:val="fi-FI"/>
        </w:rPr>
        <w:t>Studia Carelia Humanistica 17. Joensuu: Joensuun yliopisto.</w:t>
      </w:r>
    </w:p>
    <w:p w14:paraId="5C3D8A56" w14:textId="77777777" w:rsidR="0076526E" w:rsidRPr="00FB4EFA" w:rsidRDefault="0076526E" w:rsidP="00030518">
      <w:pPr>
        <w:suppressAutoHyphens/>
        <w:spacing w:line="240" w:lineRule="auto"/>
        <w:ind w:left="426" w:hanging="426"/>
        <w:rPr>
          <w:rFonts w:cs="Charis SIL"/>
          <w:lang w:val="fi-FI"/>
        </w:rPr>
      </w:pPr>
      <w:r w:rsidRPr="00FB4EFA">
        <w:rPr>
          <w:rFonts w:cs="Charis SIL"/>
          <w:lang w:val="fi-FI"/>
        </w:rPr>
        <w:t xml:space="preserve">Setälä, Emil Nestor. 1886. </w:t>
      </w:r>
      <w:r w:rsidRPr="00FB4EFA">
        <w:rPr>
          <w:rFonts w:cs="Charis SIL"/>
          <w:i/>
          <w:iCs/>
          <w:lang w:val="fi-FI"/>
        </w:rPr>
        <w:t>Zur Geschichte der Tempus- und Modusstammbildung in der finnisch-ugrischen Sprache</w:t>
      </w:r>
      <w:r w:rsidRPr="00FB4EFA">
        <w:rPr>
          <w:rFonts w:cs="Charis SIL"/>
          <w:lang w:val="fi-FI"/>
        </w:rPr>
        <w:t>. Suomalais-Ugrilaisen Seuran Aikakauskirja 2. Helsinki: Suomalais-Ugrilainen Seura.</w:t>
      </w:r>
    </w:p>
    <w:p w14:paraId="3EF94F6C" w14:textId="77777777" w:rsidR="00A96E85" w:rsidRPr="00FB4EFA" w:rsidRDefault="00A96E85" w:rsidP="00402EF4">
      <w:pPr>
        <w:spacing w:after="160"/>
        <w:jc w:val="center"/>
        <w:rPr>
          <w:smallCaps/>
          <w:sz w:val="48"/>
          <w:szCs w:val="48"/>
          <w:lang w:val="fi-FI"/>
        </w:rPr>
        <w:sectPr w:rsidR="00A96E85" w:rsidRPr="00FB4EFA">
          <w:headerReference w:type="even" r:id="rId248"/>
          <w:headerReference w:type="default" r:id="rId249"/>
          <w:headerReference w:type="first" r:id="rId250"/>
          <w:footnotePr>
            <w:numRestart w:val="eachSect"/>
          </w:footnotePr>
          <w:pgSz w:w="9180" w:h="13302"/>
          <w:pgMar w:top="779" w:right="1133" w:bottom="1132" w:left="1133" w:header="744" w:footer="720" w:gutter="0"/>
          <w:cols w:space="720"/>
          <w:titlePg/>
        </w:sectPr>
      </w:pPr>
    </w:p>
    <w:p w14:paraId="6ED09953" w14:textId="3DCB3E4E" w:rsidR="008F73FD" w:rsidRPr="00FB4EFA" w:rsidRDefault="00A96E85" w:rsidP="00AF0CAD">
      <w:pPr>
        <w:pStyle w:val="Authors"/>
        <w:spacing w:line="259" w:lineRule="auto"/>
        <w:rPr>
          <w:color w:val="auto"/>
        </w:rPr>
      </w:pPr>
      <w:bookmarkStart w:id="43" w:name="_Hlk93597132"/>
      <w:r w:rsidRPr="00FB4EFA">
        <w:rPr>
          <w:color w:val="auto"/>
          <w:lang w:val="fi-FI"/>
        </w:rPr>
        <w:lastRenderedPageBreak/>
        <w:t>Bernadett Bíró</w:t>
      </w:r>
      <w:r w:rsidR="005B26AB" w:rsidRPr="00FB4EFA">
        <w:rPr>
          <w:color w:val="auto"/>
          <w:lang w:val="fi-FI"/>
        </w:rPr>
        <w:t>, Katalin Sip</w:t>
      </w:r>
      <w:r w:rsidR="005B26AB" w:rsidRPr="00FB4EFA">
        <w:rPr>
          <w:rFonts w:cs="Cambria"/>
          <w:color w:val="auto"/>
          <w:lang w:val="fi-FI"/>
        </w:rPr>
        <w:t>ő</w:t>
      </w:r>
      <w:r w:rsidR="005B26AB" w:rsidRPr="00FB4EFA">
        <w:rPr>
          <w:color w:val="auto"/>
          <w:lang w:val="fi-FI"/>
        </w:rPr>
        <w:t>cz</w:t>
      </w:r>
      <w:r w:rsidRPr="00FB4EFA">
        <w:rPr>
          <w:color w:val="auto"/>
          <w:lang w:val="fi-FI"/>
        </w:rPr>
        <w:t>, Sándor Szeverényi</w:t>
      </w:r>
    </w:p>
    <w:p w14:paraId="34F8A29A" w14:textId="5A544B10" w:rsidR="00A96E85" w:rsidRPr="00FB4EFA" w:rsidRDefault="00A96E85" w:rsidP="00402EF4">
      <w:pPr>
        <w:jc w:val="right"/>
        <w:rPr>
          <w:lang w:val="fi-FI"/>
        </w:rPr>
      </w:pPr>
      <w:bookmarkStart w:id="44" w:name="_Hlk93597150"/>
      <w:bookmarkEnd w:id="43"/>
    </w:p>
    <w:p w14:paraId="4182C709" w14:textId="6E8B6F0A" w:rsidR="00A96E85" w:rsidRPr="00FB4EFA" w:rsidRDefault="00A96E85" w:rsidP="00994E2A">
      <w:pPr>
        <w:pStyle w:val="Heading1"/>
        <w:suppressAutoHyphens/>
        <w:spacing w:line="259" w:lineRule="auto"/>
        <w:ind w:right="74"/>
        <w:rPr>
          <w:color w:val="auto"/>
          <w:lang w:val="de-AT"/>
        </w:rPr>
      </w:pPr>
      <w:bookmarkStart w:id="45" w:name="_Toc87547005"/>
      <w:bookmarkStart w:id="46" w:name="_Ref90999300"/>
      <w:bookmarkStart w:id="47" w:name="_Hlk93597107"/>
      <w:bookmarkEnd w:id="44"/>
      <w:r w:rsidRPr="00FB4EFA">
        <w:rPr>
          <w:color w:val="auto"/>
          <w:lang w:val="de-AT"/>
        </w:rPr>
        <w:t>A Siberian River Runs Through It: Specific expressions of spatial relations/orientation in the Uralic languages of Western Siberian river valleys</w:t>
      </w:r>
      <w:bookmarkEnd w:id="45"/>
      <w:r w:rsidR="00B44A46" w:rsidRPr="00FB4EFA">
        <w:rPr>
          <w:color w:val="auto"/>
          <w:vertAlign w:val="superscript"/>
          <w:lang w:val="de-AT"/>
        </w:rPr>
        <w:footnoteReference w:id="46"/>
      </w:r>
      <w:bookmarkEnd w:id="46"/>
    </w:p>
    <w:p w14:paraId="0C48B46E" w14:textId="52368CA4" w:rsidR="00B44A46" w:rsidRPr="00FB4EFA" w:rsidRDefault="00B44A46" w:rsidP="00545033">
      <w:pPr>
        <w:pStyle w:val="Heading2"/>
        <w:numPr>
          <w:ilvl w:val="0"/>
          <w:numId w:val="3"/>
        </w:numPr>
        <w:suppressAutoHyphens/>
        <w:spacing w:line="259" w:lineRule="auto"/>
        <w:rPr>
          <w:color w:val="auto"/>
        </w:rPr>
      </w:pPr>
      <w:bookmarkStart w:id="48" w:name="_Toc60253035"/>
      <w:r w:rsidRPr="00FB4EFA">
        <w:rPr>
          <w:color w:val="auto"/>
        </w:rPr>
        <w:t>Introduction</w:t>
      </w:r>
    </w:p>
    <w:p w14:paraId="609AAFE1" w14:textId="77777777" w:rsidR="005B26AB" w:rsidRPr="00FB4EFA" w:rsidRDefault="005B26AB" w:rsidP="00402EF4">
      <w:pPr>
        <w:rPr>
          <w:lang w:val="en-US"/>
        </w:rPr>
      </w:pPr>
      <w:r w:rsidRPr="00FB4EFA">
        <w:rPr>
          <w:lang w:val="en-US"/>
        </w:rPr>
        <w:t>The aim of the present paper is to analyze the cultural and cognitive background of a unique spatial orientation system found in some Uralic languages spoken in Western Siberia. This paper is partly based on prior research (Csepregi 2009; Honti 2006; Ivanova 2013; Pevnov &amp; Urmanchieva 2011; Bíró et al. 2019), but our main aim is to present new data from speakers and recently compiled language corpora. Furthermore, we attempt to identify a similar phenomenon from other languages of the area (Paleosiberian and Manchu-Tungusic languages), which will be analyzed also from areal and cultural perspective. The areal and cultural factors of linguistic studies play an important role in the work of Johanna Laakso, and with our choice of topic and research method we wanted to connect to these areas of linguistics in honor of her.</w:t>
      </w:r>
    </w:p>
    <w:p w14:paraId="295A3450" w14:textId="77777777" w:rsidR="005B26AB" w:rsidRPr="00FB4EFA" w:rsidRDefault="005B26AB" w:rsidP="00B36705">
      <w:pPr>
        <w:pStyle w:val="Heading2"/>
        <w:numPr>
          <w:ilvl w:val="0"/>
          <w:numId w:val="3"/>
        </w:numPr>
        <w:suppressAutoHyphens/>
        <w:spacing w:line="259" w:lineRule="auto"/>
        <w:rPr>
          <w:color w:val="auto"/>
          <w:lang w:val="en-US"/>
        </w:rPr>
      </w:pPr>
      <w:r w:rsidRPr="00FB4EFA">
        <w:rPr>
          <w:color w:val="auto"/>
          <w:lang w:val="en-US"/>
        </w:rPr>
        <w:t>Languages and data</w:t>
      </w:r>
    </w:p>
    <w:p w14:paraId="0495B848" w14:textId="4786A43A" w:rsidR="005B26AB" w:rsidRPr="00FB4EFA" w:rsidRDefault="005B26AB" w:rsidP="00402EF4">
      <w:pPr>
        <w:spacing w:after="240"/>
        <w:rPr>
          <w:lang w:val="en-US"/>
        </w:rPr>
      </w:pPr>
      <w:r w:rsidRPr="00FB4EFA">
        <w:rPr>
          <w:lang w:val="en-US"/>
        </w:rPr>
        <w:t>In this paper we focus on three Uralic languages: Selkup, Khanty</w:t>
      </w:r>
      <w:r w:rsidR="00D6535A" w:rsidRPr="00FB4EFA">
        <w:rPr>
          <w:lang w:val="en-US"/>
        </w:rPr>
        <w:t>,</w:t>
      </w:r>
      <w:r w:rsidRPr="00FB4EFA">
        <w:rPr>
          <w:lang w:val="en-US"/>
        </w:rPr>
        <w:t xml:space="preserve"> and Mansi. These three Uralic languages have a special spatial system (see </w:t>
      </w:r>
      <w:r w:rsidR="00DE7479" w:rsidRPr="00FB4EFA">
        <w:rPr>
          <w:lang w:val="en-US"/>
        </w:rPr>
        <w:t>S</w:t>
      </w:r>
      <w:r w:rsidRPr="00FB4EFA">
        <w:rPr>
          <w:lang w:val="en-US"/>
        </w:rPr>
        <w:t>ection 4). All of them are highly endangered languages, the number of speakers of each is a few thousands or a few hundreds. The communities use mainly Russian, their Uralic language is generally restricted in use to the family domain. Table 1 demonstrates the radical decrease of the number of speakers.</w:t>
      </w:r>
    </w:p>
    <w:tbl>
      <w:tblPr>
        <w:tblW w:w="0" w:type="auto"/>
        <w:jc w:val="center"/>
        <w:tblBorders>
          <w:insideH w:val="single" w:sz="4" w:space="0" w:color="auto"/>
          <w:insideV w:val="single" w:sz="4" w:space="0" w:color="auto"/>
        </w:tblBorders>
        <w:tblLayout w:type="fixed"/>
        <w:tblLook w:val="04A0" w:firstRow="1" w:lastRow="0" w:firstColumn="1" w:lastColumn="0" w:noHBand="0" w:noVBand="1"/>
      </w:tblPr>
      <w:tblGrid>
        <w:gridCol w:w="988"/>
        <w:gridCol w:w="933"/>
        <w:gridCol w:w="933"/>
        <w:gridCol w:w="933"/>
        <w:gridCol w:w="933"/>
        <w:gridCol w:w="933"/>
        <w:gridCol w:w="933"/>
      </w:tblGrid>
      <w:tr w:rsidR="00FB4EFA" w:rsidRPr="00FB4EFA" w14:paraId="37CF4EEB" w14:textId="77777777" w:rsidTr="00EC74AD">
        <w:trPr>
          <w:jc w:val="center"/>
        </w:trPr>
        <w:tc>
          <w:tcPr>
            <w:tcW w:w="988" w:type="dxa"/>
            <w:tcBorders>
              <w:top w:val="nil"/>
              <w:left w:val="nil"/>
              <w:bottom w:val="nil"/>
              <w:right w:val="single" w:sz="12" w:space="0" w:color="auto"/>
            </w:tcBorders>
          </w:tcPr>
          <w:p w14:paraId="7ECB661D" w14:textId="77777777" w:rsidR="005B26AB" w:rsidRPr="00FB4EFA" w:rsidRDefault="005B26AB" w:rsidP="00D6535A">
            <w:pPr>
              <w:keepNext/>
              <w:keepLines/>
              <w:spacing w:line="240" w:lineRule="auto"/>
              <w:rPr>
                <w:rFonts w:cs="Charis SIL"/>
                <w:lang w:val="en-US"/>
              </w:rPr>
            </w:pPr>
          </w:p>
        </w:tc>
        <w:tc>
          <w:tcPr>
            <w:tcW w:w="1866" w:type="dxa"/>
            <w:gridSpan w:val="2"/>
            <w:tcBorders>
              <w:top w:val="nil"/>
              <w:left w:val="single" w:sz="12" w:space="0" w:color="auto"/>
              <w:bottom w:val="single" w:sz="4" w:space="0" w:color="auto"/>
              <w:right w:val="single" w:sz="12" w:space="0" w:color="auto"/>
            </w:tcBorders>
          </w:tcPr>
          <w:p w14:paraId="5C195D12" w14:textId="77777777" w:rsidR="005B26AB" w:rsidRPr="00FB4EFA" w:rsidRDefault="005B26AB" w:rsidP="00AF0CAD">
            <w:pPr>
              <w:keepNext/>
              <w:keepLines/>
              <w:spacing w:line="240" w:lineRule="auto"/>
              <w:jc w:val="center"/>
              <w:rPr>
                <w:rFonts w:cs="Charis SIL"/>
                <w:lang w:val="en-US"/>
              </w:rPr>
            </w:pPr>
            <w:r w:rsidRPr="00FB4EFA">
              <w:rPr>
                <w:rFonts w:eastAsia="Times New Roman" w:cs="Charis SIL"/>
                <w:b/>
                <w:lang w:val="en-US"/>
              </w:rPr>
              <w:t>1989</w:t>
            </w:r>
          </w:p>
        </w:tc>
        <w:tc>
          <w:tcPr>
            <w:tcW w:w="1866" w:type="dxa"/>
            <w:gridSpan w:val="2"/>
            <w:tcBorders>
              <w:top w:val="nil"/>
              <w:left w:val="single" w:sz="12" w:space="0" w:color="auto"/>
              <w:bottom w:val="single" w:sz="4" w:space="0" w:color="auto"/>
              <w:right w:val="single" w:sz="12" w:space="0" w:color="auto"/>
            </w:tcBorders>
          </w:tcPr>
          <w:p w14:paraId="5414632A" w14:textId="77777777" w:rsidR="005B26AB" w:rsidRPr="00FB4EFA" w:rsidRDefault="005B26AB" w:rsidP="00AF0CAD">
            <w:pPr>
              <w:keepNext/>
              <w:keepLines/>
              <w:spacing w:line="240" w:lineRule="auto"/>
              <w:jc w:val="center"/>
              <w:rPr>
                <w:rFonts w:cs="Charis SIL"/>
                <w:lang w:val="en-US"/>
              </w:rPr>
            </w:pPr>
            <w:r w:rsidRPr="00FB4EFA">
              <w:rPr>
                <w:rFonts w:eastAsia="Times New Roman" w:cs="Charis SIL"/>
                <w:b/>
                <w:lang w:val="en-US"/>
              </w:rPr>
              <w:t>2002</w:t>
            </w:r>
          </w:p>
        </w:tc>
        <w:tc>
          <w:tcPr>
            <w:tcW w:w="1866" w:type="dxa"/>
            <w:gridSpan w:val="2"/>
            <w:tcBorders>
              <w:top w:val="nil"/>
              <w:left w:val="single" w:sz="12" w:space="0" w:color="auto"/>
              <w:bottom w:val="single" w:sz="4" w:space="0" w:color="auto"/>
              <w:right w:val="nil"/>
            </w:tcBorders>
          </w:tcPr>
          <w:p w14:paraId="2D2D241E" w14:textId="77777777" w:rsidR="005B26AB" w:rsidRPr="00FB4EFA" w:rsidRDefault="005B26AB" w:rsidP="00AF0CAD">
            <w:pPr>
              <w:keepNext/>
              <w:keepLines/>
              <w:spacing w:line="240" w:lineRule="auto"/>
              <w:jc w:val="center"/>
              <w:rPr>
                <w:rFonts w:cs="Charis SIL"/>
                <w:lang w:val="en-US"/>
              </w:rPr>
            </w:pPr>
            <w:r w:rsidRPr="00FB4EFA">
              <w:rPr>
                <w:rFonts w:eastAsia="Times New Roman" w:cs="Charis SIL"/>
                <w:b/>
                <w:lang w:val="en-US"/>
              </w:rPr>
              <w:t>2010</w:t>
            </w:r>
          </w:p>
        </w:tc>
      </w:tr>
      <w:tr w:rsidR="00FB4EFA" w:rsidRPr="00FB4EFA" w14:paraId="5B855BC0" w14:textId="77777777" w:rsidTr="00EC74AD">
        <w:trPr>
          <w:jc w:val="center"/>
        </w:trPr>
        <w:tc>
          <w:tcPr>
            <w:tcW w:w="988" w:type="dxa"/>
            <w:tcBorders>
              <w:top w:val="nil"/>
              <w:left w:val="nil"/>
              <w:bottom w:val="single" w:sz="12" w:space="0" w:color="auto"/>
              <w:right w:val="single" w:sz="12" w:space="0" w:color="auto"/>
            </w:tcBorders>
          </w:tcPr>
          <w:p w14:paraId="271353CE" w14:textId="77777777" w:rsidR="005B26AB" w:rsidRPr="00FB4EFA" w:rsidRDefault="005B26AB" w:rsidP="00D6535A">
            <w:pPr>
              <w:keepNext/>
              <w:keepLines/>
              <w:spacing w:line="240" w:lineRule="auto"/>
              <w:rPr>
                <w:rFonts w:cs="Charis SIL"/>
                <w:lang w:val="en-US"/>
              </w:rPr>
            </w:pPr>
          </w:p>
        </w:tc>
        <w:tc>
          <w:tcPr>
            <w:tcW w:w="933" w:type="dxa"/>
            <w:tcBorders>
              <w:top w:val="single" w:sz="4" w:space="0" w:color="auto"/>
              <w:left w:val="single" w:sz="12" w:space="0" w:color="auto"/>
              <w:bottom w:val="single" w:sz="12" w:space="0" w:color="auto"/>
            </w:tcBorders>
          </w:tcPr>
          <w:p w14:paraId="2B82D5C9" w14:textId="77777777" w:rsidR="005B26AB" w:rsidRPr="00FB4EFA" w:rsidRDefault="005B26AB" w:rsidP="00D6535A">
            <w:pPr>
              <w:keepNext/>
              <w:keepLines/>
              <w:spacing w:line="240" w:lineRule="auto"/>
              <w:jc w:val="center"/>
              <w:rPr>
                <w:rFonts w:cs="Charis SIL"/>
                <w:sz w:val="18"/>
                <w:szCs w:val="18"/>
                <w:lang w:val="en-US"/>
              </w:rPr>
            </w:pPr>
            <w:r w:rsidRPr="00FB4EFA">
              <w:rPr>
                <w:rFonts w:cs="Charis SIL"/>
                <w:sz w:val="18"/>
                <w:szCs w:val="18"/>
                <w:lang w:val="en-US"/>
              </w:rPr>
              <w:t>Pop.</w:t>
            </w:r>
          </w:p>
        </w:tc>
        <w:tc>
          <w:tcPr>
            <w:tcW w:w="933" w:type="dxa"/>
            <w:tcBorders>
              <w:top w:val="single" w:sz="4" w:space="0" w:color="auto"/>
              <w:bottom w:val="single" w:sz="12" w:space="0" w:color="auto"/>
              <w:right w:val="single" w:sz="12" w:space="0" w:color="auto"/>
            </w:tcBorders>
          </w:tcPr>
          <w:p w14:paraId="55505297" w14:textId="77777777" w:rsidR="005B26AB" w:rsidRPr="00FB4EFA" w:rsidRDefault="005B26AB" w:rsidP="00D6535A">
            <w:pPr>
              <w:keepNext/>
              <w:keepLines/>
              <w:spacing w:line="240" w:lineRule="auto"/>
              <w:jc w:val="center"/>
              <w:rPr>
                <w:rFonts w:cs="Charis SIL"/>
                <w:sz w:val="18"/>
                <w:szCs w:val="18"/>
                <w:lang w:val="en-US"/>
              </w:rPr>
            </w:pPr>
            <w:r w:rsidRPr="00FB4EFA">
              <w:rPr>
                <w:rFonts w:cs="Charis SIL"/>
                <w:sz w:val="18"/>
                <w:szCs w:val="18"/>
                <w:lang w:val="en-US"/>
              </w:rPr>
              <w:t>Speakers</w:t>
            </w:r>
          </w:p>
        </w:tc>
        <w:tc>
          <w:tcPr>
            <w:tcW w:w="933" w:type="dxa"/>
            <w:tcBorders>
              <w:top w:val="single" w:sz="4" w:space="0" w:color="auto"/>
              <w:left w:val="single" w:sz="12" w:space="0" w:color="auto"/>
              <w:bottom w:val="single" w:sz="12" w:space="0" w:color="auto"/>
            </w:tcBorders>
          </w:tcPr>
          <w:p w14:paraId="057D4B24" w14:textId="77777777" w:rsidR="005B26AB" w:rsidRPr="00FB4EFA" w:rsidRDefault="005B26AB" w:rsidP="00D6535A">
            <w:pPr>
              <w:keepNext/>
              <w:keepLines/>
              <w:spacing w:line="240" w:lineRule="auto"/>
              <w:jc w:val="center"/>
              <w:rPr>
                <w:rFonts w:cs="Charis SIL"/>
                <w:sz w:val="18"/>
                <w:szCs w:val="18"/>
                <w:lang w:val="en-US"/>
              </w:rPr>
            </w:pPr>
            <w:r w:rsidRPr="00FB4EFA">
              <w:rPr>
                <w:rFonts w:cs="Charis SIL"/>
                <w:sz w:val="18"/>
                <w:szCs w:val="18"/>
                <w:lang w:val="en-US"/>
              </w:rPr>
              <w:t>Pop.</w:t>
            </w:r>
          </w:p>
        </w:tc>
        <w:tc>
          <w:tcPr>
            <w:tcW w:w="933" w:type="dxa"/>
            <w:tcBorders>
              <w:top w:val="single" w:sz="4" w:space="0" w:color="auto"/>
              <w:bottom w:val="single" w:sz="12" w:space="0" w:color="auto"/>
              <w:right w:val="single" w:sz="12" w:space="0" w:color="auto"/>
            </w:tcBorders>
          </w:tcPr>
          <w:p w14:paraId="32B86737" w14:textId="77777777" w:rsidR="005B26AB" w:rsidRPr="00FB4EFA" w:rsidRDefault="005B26AB" w:rsidP="00D6535A">
            <w:pPr>
              <w:keepNext/>
              <w:keepLines/>
              <w:spacing w:line="240" w:lineRule="auto"/>
              <w:jc w:val="center"/>
              <w:rPr>
                <w:rFonts w:cs="Charis SIL"/>
                <w:sz w:val="18"/>
                <w:szCs w:val="18"/>
                <w:lang w:val="en-US"/>
              </w:rPr>
            </w:pPr>
            <w:r w:rsidRPr="00FB4EFA">
              <w:rPr>
                <w:rFonts w:cs="Charis SIL"/>
                <w:sz w:val="18"/>
                <w:szCs w:val="18"/>
                <w:lang w:val="en-US"/>
              </w:rPr>
              <w:t>Speakers</w:t>
            </w:r>
          </w:p>
        </w:tc>
        <w:tc>
          <w:tcPr>
            <w:tcW w:w="933" w:type="dxa"/>
            <w:tcBorders>
              <w:top w:val="single" w:sz="4" w:space="0" w:color="auto"/>
              <w:left w:val="single" w:sz="12" w:space="0" w:color="auto"/>
              <w:bottom w:val="single" w:sz="12" w:space="0" w:color="auto"/>
            </w:tcBorders>
          </w:tcPr>
          <w:p w14:paraId="675C793A" w14:textId="77777777" w:rsidR="005B26AB" w:rsidRPr="00FB4EFA" w:rsidRDefault="005B26AB" w:rsidP="00D6535A">
            <w:pPr>
              <w:keepNext/>
              <w:keepLines/>
              <w:spacing w:line="240" w:lineRule="auto"/>
              <w:jc w:val="center"/>
              <w:rPr>
                <w:rFonts w:cs="Charis SIL"/>
                <w:sz w:val="18"/>
                <w:szCs w:val="18"/>
                <w:lang w:val="en-US"/>
              </w:rPr>
            </w:pPr>
            <w:r w:rsidRPr="00FB4EFA">
              <w:rPr>
                <w:rFonts w:cs="Charis SIL"/>
                <w:sz w:val="18"/>
                <w:szCs w:val="18"/>
                <w:lang w:val="en-US"/>
              </w:rPr>
              <w:t>Pop.</w:t>
            </w:r>
          </w:p>
        </w:tc>
        <w:tc>
          <w:tcPr>
            <w:tcW w:w="933" w:type="dxa"/>
            <w:tcBorders>
              <w:top w:val="single" w:sz="4" w:space="0" w:color="auto"/>
              <w:bottom w:val="single" w:sz="12" w:space="0" w:color="auto"/>
              <w:right w:val="nil"/>
            </w:tcBorders>
          </w:tcPr>
          <w:p w14:paraId="61A39483" w14:textId="77777777" w:rsidR="005B26AB" w:rsidRPr="00FB4EFA" w:rsidRDefault="005B26AB" w:rsidP="00D6535A">
            <w:pPr>
              <w:keepNext/>
              <w:keepLines/>
              <w:spacing w:line="240" w:lineRule="auto"/>
              <w:jc w:val="center"/>
              <w:rPr>
                <w:rFonts w:cs="Charis SIL"/>
                <w:sz w:val="18"/>
                <w:szCs w:val="18"/>
                <w:lang w:val="en-US"/>
              </w:rPr>
            </w:pPr>
            <w:r w:rsidRPr="00FB4EFA">
              <w:rPr>
                <w:rFonts w:cs="Charis SIL"/>
                <w:sz w:val="18"/>
                <w:szCs w:val="18"/>
                <w:lang w:val="en-US"/>
              </w:rPr>
              <w:t>Speakers</w:t>
            </w:r>
          </w:p>
        </w:tc>
      </w:tr>
      <w:tr w:rsidR="00FB4EFA" w:rsidRPr="00FB4EFA" w14:paraId="42C5C82F" w14:textId="77777777" w:rsidTr="00EC74AD">
        <w:trPr>
          <w:jc w:val="center"/>
        </w:trPr>
        <w:tc>
          <w:tcPr>
            <w:tcW w:w="988" w:type="dxa"/>
            <w:tcBorders>
              <w:top w:val="single" w:sz="12" w:space="0" w:color="auto"/>
              <w:left w:val="nil"/>
              <w:bottom w:val="single" w:sz="4" w:space="0" w:color="auto"/>
              <w:right w:val="single" w:sz="12" w:space="0" w:color="auto"/>
            </w:tcBorders>
            <w:vAlign w:val="center"/>
          </w:tcPr>
          <w:p w14:paraId="261DBFC0" w14:textId="77777777" w:rsidR="005B26AB" w:rsidRPr="00FB4EFA" w:rsidRDefault="005B26AB" w:rsidP="00AF0CAD">
            <w:pPr>
              <w:spacing w:line="240" w:lineRule="auto"/>
              <w:jc w:val="center"/>
              <w:rPr>
                <w:rFonts w:cs="Charis SIL"/>
                <w:b/>
                <w:bCs/>
                <w:lang w:val="en-US"/>
              </w:rPr>
            </w:pPr>
            <w:r w:rsidRPr="00FB4EFA">
              <w:rPr>
                <w:rFonts w:cs="Charis SIL"/>
                <w:b/>
                <w:bCs/>
                <w:lang w:val="en-US"/>
              </w:rPr>
              <w:t>Khanty</w:t>
            </w:r>
          </w:p>
        </w:tc>
        <w:tc>
          <w:tcPr>
            <w:tcW w:w="933" w:type="dxa"/>
            <w:tcBorders>
              <w:top w:val="single" w:sz="12" w:space="0" w:color="auto"/>
              <w:left w:val="single" w:sz="12" w:space="0" w:color="auto"/>
              <w:bottom w:val="single" w:sz="4" w:space="0" w:color="auto"/>
            </w:tcBorders>
          </w:tcPr>
          <w:p w14:paraId="5E51EAE9"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22,283</w:t>
            </w:r>
          </w:p>
        </w:tc>
        <w:tc>
          <w:tcPr>
            <w:tcW w:w="933" w:type="dxa"/>
            <w:tcBorders>
              <w:top w:val="single" w:sz="12" w:space="0" w:color="auto"/>
              <w:bottom w:val="single" w:sz="4" w:space="0" w:color="auto"/>
              <w:right w:val="single" w:sz="12" w:space="0" w:color="auto"/>
            </w:tcBorders>
          </w:tcPr>
          <w:p w14:paraId="07ADD566"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~14,000</w:t>
            </w:r>
            <w:r w:rsidRPr="00FB4EFA">
              <w:rPr>
                <w:rFonts w:eastAsia="Times New Roman" w:cs="Charis SIL"/>
                <w:sz w:val="18"/>
                <w:szCs w:val="18"/>
                <w:lang w:val="en-US"/>
              </w:rPr>
              <w:br/>
              <w:t>(60.5 %)</w:t>
            </w:r>
          </w:p>
        </w:tc>
        <w:tc>
          <w:tcPr>
            <w:tcW w:w="933" w:type="dxa"/>
            <w:tcBorders>
              <w:top w:val="single" w:sz="12" w:space="0" w:color="auto"/>
              <w:left w:val="single" w:sz="12" w:space="0" w:color="auto"/>
              <w:bottom w:val="single" w:sz="4" w:space="0" w:color="auto"/>
            </w:tcBorders>
          </w:tcPr>
          <w:p w14:paraId="32E05AFC"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28,678</w:t>
            </w:r>
          </w:p>
        </w:tc>
        <w:tc>
          <w:tcPr>
            <w:tcW w:w="933" w:type="dxa"/>
            <w:tcBorders>
              <w:top w:val="single" w:sz="12" w:space="0" w:color="auto"/>
              <w:bottom w:val="single" w:sz="4" w:space="0" w:color="auto"/>
              <w:right w:val="single" w:sz="12" w:space="0" w:color="auto"/>
            </w:tcBorders>
          </w:tcPr>
          <w:p w14:paraId="640F4079"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13,658</w:t>
            </w:r>
            <w:r w:rsidRPr="00FB4EFA">
              <w:rPr>
                <w:rFonts w:eastAsia="Times New Roman" w:cs="Charis SIL"/>
                <w:sz w:val="18"/>
                <w:szCs w:val="18"/>
                <w:lang w:val="en-US"/>
              </w:rPr>
              <w:br/>
              <w:t>(47 %)</w:t>
            </w:r>
          </w:p>
        </w:tc>
        <w:tc>
          <w:tcPr>
            <w:tcW w:w="933" w:type="dxa"/>
            <w:tcBorders>
              <w:top w:val="single" w:sz="12" w:space="0" w:color="auto"/>
              <w:left w:val="single" w:sz="12" w:space="0" w:color="auto"/>
              <w:bottom w:val="single" w:sz="4" w:space="0" w:color="auto"/>
            </w:tcBorders>
          </w:tcPr>
          <w:p w14:paraId="38295460"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30,943</w:t>
            </w:r>
          </w:p>
        </w:tc>
        <w:tc>
          <w:tcPr>
            <w:tcW w:w="933" w:type="dxa"/>
            <w:tcBorders>
              <w:top w:val="single" w:sz="12" w:space="0" w:color="auto"/>
              <w:bottom w:val="single" w:sz="4" w:space="0" w:color="auto"/>
              <w:right w:val="nil"/>
            </w:tcBorders>
          </w:tcPr>
          <w:p w14:paraId="2496A85D"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9,584</w:t>
            </w:r>
            <w:r w:rsidRPr="00FB4EFA">
              <w:rPr>
                <w:rFonts w:eastAsia="Times New Roman" w:cs="Charis SIL"/>
                <w:sz w:val="18"/>
                <w:szCs w:val="18"/>
                <w:lang w:val="en-US"/>
              </w:rPr>
              <w:br/>
              <w:t>(31 %)</w:t>
            </w:r>
          </w:p>
        </w:tc>
      </w:tr>
      <w:tr w:rsidR="00FB4EFA" w:rsidRPr="00FB4EFA" w14:paraId="183C5F65" w14:textId="77777777" w:rsidTr="00EC74AD">
        <w:trPr>
          <w:jc w:val="center"/>
        </w:trPr>
        <w:tc>
          <w:tcPr>
            <w:tcW w:w="988" w:type="dxa"/>
            <w:tcBorders>
              <w:top w:val="single" w:sz="4" w:space="0" w:color="auto"/>
              <w:left w:val="nil"/>
              <w:bottom w:val="single" w:sz="4" w:space="0" w:color="auto"/>
              <w:right w:val="single" w:sz="12" w:space="0" w:color="auto"/>
            </w:tcBorders>
            <w:vAlign w:val="center"/>
          </w:tcPr>
          <w:p w14:paraId="389D8918" w14:textId="77777777" w:rsidR="005B26AB" w:rsidRPr="00FB4EFA" w:rsidRDefault="005B26AB" w:rsidP="00AF0CAD">
            <w:pPr>
              <w:spacing w:line="240" w:lineRule="auto"/>
              <w:jc w:val="center"/>
              <w:rPr>
                <w:rFonts w:cs="Charis SIL"/>
                <w:b/>
                <w:bCs/>
                <w:lang w:val="en-US"/>
              </w:rPr>
            </w:pPr>
            <w:r w:rsidRPr="00FB4EFA">
              <w:rPr>
                <w:rFonts w:cs="Charis SIL"/>
                <w:b/>
                <w:bCs/>
                <w:lang w:val="en-US"/>
              </w:rPr>
              <w:t>Mansi</w:t>
            </w:r>
          </w:p>
        </w:tc>
        <w:tc>
          <w:tcPr>
            <w:tcW w:w="933" w:type="dxa"/>
            <w:tcBorders>
              <w:top w:val="single" w:sz="4" w:space="0" w:color="auto"/>
              <w:left w:val="single" w:sz="12" w:space="0" w:color="auto"/>
              <w:bottom w:val="single" w:sz="4" w:space="0" w:color="auto"/>
            </w:tcBorders>
          </w:tcPr>
          <w:p w14:paraId="0EA12547" w14:textId="77777777" w:rsidR="005B26AB" w:rsidRPr="00FB4EFA" w:rsidRDefault="005B26AB" w:rsidP="00D6535A">
            <w:pPr>
              <w:spacing w:line="240" w:lineRule="auto"/>
              <w:jc w:val="right"/>
              <w:rPr>
                <w:rFonts w:eastAsia="Times New Roman" w:cs="Times New Roman"/>
                <w:szCs w:val="24"/>
                <w:lang w:val="en-US"/>
              </w:rPr>
            </w:pPr>
            <w:r w:rsidRPr="00FB4EFA">
              <w:rPr>
                <w:rFonts w:eastAsia="Times New Roman" w:cs="Charis SIL"/>
                <w:sz w:val="18"/>
                <w:szCs w:val="18"/>
                <w:lang w:val="en-US"/>
              </w:rPr>
              <w:t>8,279</w:t>
            </w:r>
          </w:p>
        </w:tc>
        <w:tc>
          <w:tcPr>
            <w:tcW w:w="933" w:type="dxa"/>
            <w:tcBorders>
              <w:top w:val="single" w:sz="4" w:space="0" w:color="auto"/>
              <w:bottom w:val="single" w:sz="4" w:space="0" w:color="auto"/>
              <w:right w:val="single" w:sz="12" w:space="0" w:color="auto"/>
            </w:tcBorders>
          </w:tcPr>
          <w:p w14:paraId="571FDA2D" w14:textId="77777777" w:rsidR="005B26AB" w:rsidRPr="00FB4EFA" w:rsidRDefault="005B26AB" w:rsidP="00D6535A">
            <w:pPr>
              <w:spacing w:line="240" w:lineRule="auto"/>
              <w:jc w:val="right"/>
              <w:rPr>
                <w:rFonts w:eastAsia="Times New Roman" w:cs="Times New Roman"/>
                <w:szCs w:val="24"/>
                <w:lang w:val="en-US"/>
              </w:rPr>
            </w:pPr>
            <w:r w:rsidRPr="00FB4EFA">
              <w:rPr>
                <w:rFonts w:eastAsia="Times New Roman" w:cs="Charis SIL"/>
                <w:sz w:val="18"/>
                <w:szCs w:val="18"/>
                <w:lang w:val="en-US"/>
              </w:rPr>
              <w:t xml:space="preserve">~3,000 </w:t>
            </w:r>
            <w:r w:rsidRPr="00FB4EFA">
              <w:rPr>
                <w:rFonts w:eastAsia="Times New Roman" w:cs="Charis SIL"/>
                <w:sz w:val="18"/>
                <w:szCs w:val="18"/>
                <w:lang w:val="en-US"/>
              </w:rPr>
              <w:br/>
              <w:t>(38 %)</w:t>
            </w:r>
          </w:p>
        </w:tc>
        <w:tc>
          <w:tcPr>
            <w:tcW w:w="933" w:type="dxa"/>
            <w:tcBorders>
              <w:top w:val="single" w:sz="4" w:space="0" w:color="auto"/>
              <w:left w:val="single" w:sz="12" w:space="0" w:color="auto"/>
              <w:bottom w:val="single" w:sz="4" w:space="0" w:color="auto"/>
            </w:tcBorders>
          </w:tcPr>
          <w:p w14:paraId="7C01D1D3" w14:textId="77777777" w:rsidR="005B26AB" w:rsidRPr="00FB4EFA" w:rsidRDefault="005B26AB" w:rsidP="00D6535A">
            <w:pPr>
              <w:spacing w:line="240" w:lineRule="auto"/>
              <w:jc w:val="right"/>
              <w:rPr>
                <w:rFonts w:eastAsia="Times New Roman" w:cs="Times New Roman"/>
                <w:szCs w:val="24"/>
                <w:lang w:val="en-US"/>
              </w:rPr>
            </w:pPr>
            <w:r w:rsidRPr="00FB4EFA">
              <w:rPr>
                <w:rFonts w:eastAsia="Times New Roman" w:cs="Charis SIL"/>
                <w:sz w:val="18"/>
                <w:szCs w:val="18"/>
                <w:lang w:val="en-US"/>
              </w:rPr>
              <w:t>11,432</w:t>
            </w:r>
          </w:p>
        </w:tc>
        <w:tc>
          <w:tcPr>
            <w:tcW w:w="933" w:type="dxa"/>
            <w:tcBorders>
              <w:top w:val="single" w:sz="4" w:space="0" w:color="auto"/>
              <w:bottom w:val="single" w:sz="4" w:space="0" w:color="auto"/>
              <w:right w:val="single" w:sz="12" w:space="0" w:color="auto"/>
            </w:tcBorders>
          </w:tcPr>
          <w:p w14:paraId="6CDB97EA" w14:textId="77777777" w:rsidR="005B26AB" w:rsidRPr="00FB4EFA" w:rsidRDefault="005B26AB" w:rsidP="00D6535A">
            <w:pPr>
              <w:spacing w:line="240" w:lineRule="auto"/>
              <w:jc w:val="right"/>
              <w:rPr>
                <w:rFonts w:eastAsia="Times New Roman" w:cs="Times New Roman"/>
                <w:szCs w:val="24"/>
                <w:lang w:val="en-US"/>
              </w:rPr>
            </w:pPr>
            <w:r w:rsidRPr="00FB4EFA">
              <w:rPr>
                <w:rFonts w:eastAsia="Times New Roman" w:cs="Charis SIL"/>
                <w:sz w:val="18"/>
                <w:szCs w:val="18"/>
                <w:lang w:val="en-US"/>
              </w:rPr>
              <w:t xml:space="preserve">2,746 </w:t>
            </w:r>
            <w:r w:rsidRPr="00FB4EFA">
              <w:rPr>
                <w:rFonts w:eastAsia="Times New Roman" w:cs="Charis SIL"/>
                <w:sz w:val="18"/>
                <w:szCs w:val="18"/>
                <w:lang w:val="en-US"/>
              </w:rPr>
              <w:br/>
              <w:t>(24 %)</w:t>
            </w:r>
          </w:p>
        </w:tc>
        <w:tc>
          <w:tcPr>
            <w:tcW w:w="933" w:type="dxa"/>
            <w:tcBorders>
              <w:top w:val="single" w:sz="4" w:space="0" w:color="auto"/>
              <w:left w:val="single" w:sz="12" w:space="0" w:color="auto"/>
              <w:bottom w:val="single" w:sz="4" w:space="0" w:color="auto"/>
            </w:tcBorders>
          </w:tcPr>
          <w:p w14:paraId="3F5FED69" w14:textId="77777777" w:rsidR="005B26AB" w:rsidRPr="00FB4EFA" w:rsidRDefault="005B26AB" w:rsidP="00D6535A">
            <w:pPr>
              <w:spacing w:line="240" w:lineRule="auto"/>
              <w:jc w:val="right"/>
              <w:rPr>
                <w:rFonts w:eastAsia="Times New Roman" w:cs="Times New Roman"/>
                <w:szCs w:val="24"/>
                <w:lang w:val="en-US"/>
              </w:rPr>
            </w:pPr>
            <w:r w:rsidRPr="00FB4EFA">
              <w:rPr>
                <w:rFonts w:eastAsia="Times New Roman" w:cs="Charis SIL"/>
                <w:sz w:val="18"/>
                <w:szCs w:val="18"/>
                <w:lang w:val="en-US"/>
              </w:rPr>
              <w:t>12,269</w:t>
            </w:r>
          </w:p>
        </w:tc>
        <w:tc>
          <w:tcPr>
            <w:tcW w:w="933" w:type="dxa"/>
            <w:tcBorders>
              <w:top w:val="single" w:sz="4" w:space="0" w:color="auto"/>
              <w:bottom w:val="single" w:sz="4" w:space="0" w:color="auto"/>
              <w:right w:val="nil"/>
            </w:tcBorders>
          </w:tcPr>
          <w:p w14:paraId="5E23A34B" w14:textId="77777777" w:rsidR="005B26AB" w:rsidRPr="00FB4EFA" w:rsidRDefault="005B26AB" w:rsidP="00D6535A">
            <w:pPr>
              <w:spacing w:line="240" w:lineRule="auto"/>
              <w:jc w:val="right"/>
              <w:rPr>
                <w:rFonts w:eastAsia="Times New Roman" w:cs="Times New Roman"/>
                <w:szCs w:val="24"/>
                <w:lang w:val="en-US"/>
              </w:rPr>
            </w:pPr>
            <w:r w:rsidRPr="00FB4EFA">
              <w:rPr>
                <w:rFonts w:eastAsia="Times New Roman" w:cs="Charis SIL"/>
                <w:sz w:val="18"/>
                <w:szCs w:val="18"/>
                <w:lang w:val="en-US"/>
              </w:rPr>
              <w:t xml:space="preserve">938 </w:t>
            </w:r>
            <w:r w:rsidRPr="00FB4EFA">
              <w:rPr>
                <w:rFonts w:eastAsia="Times New Roman" w:cs="Charis SIL"/>
                <w:sz w:val="18"/>
                <w:szCs w:val="18"/>
                <w:lang w:val="en-US"/>
              </w:rPr>
              <w:br/>
              <w:t>(7.6 %)</w:t>
            </w:r>
          </w:p>
        </w:tc>
      </w:tr>
      <w:tr w:rsidR="00FB4EFA" w:rsidRPr="00FB4EFA" w14:paraId="5953CB8F" w14:textId="77777777" w:rsidTr="00EC74AD">
        <w:trPr>
          <w:jc w:val="center"/>
        </w:trPr>
        <w:tc>
          <w:tcPr>
            <w:tcW w:w="988" w:type="dxa"/>
            <w:tcBorders>
              <w:top w:val="single" w:sz="4" w:space="0" w:color="auto"/>
              <w:left w:val="nil"/>
              <w:bottom w:val="nil"/>
              <w:right w:val="single" w:sz="12" w:space="0" w:color="auto"/>
            </w:tcBorders>
            <w:vAlign w:val="center"/>
          </w:tcPr>
          <w:p w14:paraId="5F2475CA" w14:textId="77777777" w:rsidR="005B26AB" w:rsidRPr="00FB4EFA" w:rsidRDefault="005B26AB" w:rsidP="00AF0CAD">
            <w:pPr>
              <w:spacing w:line="240" w:lineRule="auto"/>
              <w:jc w:val="center"/>
              <w:rPr>
                <w:rFonts w:cs="Charis SIL"/>
                <w:b/>
                <w:bCs/>
                <w:lang w:val="en-US"/>
              </w:rPr>
            </w:pPr>
            <w:r w:rsidRPr="00FB4EFA">
              <w:rPr>
                <w:rFonts w:cs="Charis SIL"/>
                <w:b/>
                <w:bCs/>
                <w:lang w:val="en-US"/>
              </w:rPr>
              <w:t>Selkup</w:t>
            </w:r>
          </w:p>
        </w:tc>
        <w:tc>
          <w:tcPr>
            <w:tcW w:w="933" w:type="dxa"/>
            <w:tcBorders>
              <w:top w:val="single" w:sz="4" w:space="0" w:color="auto"/>
              <w:left w:val="single" w:sz="12" w:space="0" w:color="auto"/>
              <w:bottom w:val="nil"/>
            </w:tcBorders>
          </w:tcPr>
          <w:p w14:paraId="14C7A6E5"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3,564</w:t>
            </w:r>
          </w:p>
        </w:tc>
        <w:tc>
          <w:tcPr>
            <w:tcW w:w="933" w:type="dxa"/>
            <w:tcBorders>
              <w:top w:val="single" w:sz="4" w:space="0" w:color="auto"/>
              <w:bottom w:val="nil"/>
              <w:right w:val="single" w:sz="12" w:space="0" w:color="auto"/>
            </w:tcBorders>
          </w:tcPr>
          <w:p w14:paraId="4A5A50DE"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1,696</w:t>
            </w:r>
            <w:r w:rsidRPr="00FB4EFA">
              <w:rPr>
                <w:rFonts w:eastAsia="Times New Roman" w:cs="Charis SIL"/>
                <w:sz w:val="18"/>
                <w:szCs w:val="18"/>
                <w:lang w:val="en-US"/>
              </w:rPr>
              <w:br/>
              <w:t>(47.6 %)</w:t>
            </w:r>
          </w:p>
        </w:tc>
        <w:tc>
          <w:tcPr>
            <w:tcW w:w="933" w:type="dxa"/>
            <w:tcBorders>
              <w:top w:val="single" w:sz="4" w:space="0" w:color="auto"/>
              <w:left w:val="single" w:sz="12" w:space="0" w:color="auto"/>
              <w:bottom w:val="nil"/>
            </w:tcBorders>
          </w:tcPr>
          <w:p w14:paraId="05DD3EE7"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4,249</w:t>
            </w:r>
          </w:p>
        </w:tc>
        <w:tc>
          <w:tcPr>
            <w:tcW w:w="933" w:type="dxa"/>
            <w:tcBorders>
              <w:top w:val="single" w:sz="4" w:space="0" w:color="auto"/>
              <w:bottom w:val="nil"/>
              <w:right w:val="single" w:sz="12" w:space="0" w:color="auto"/>
            </w:tcBorders>
          </w:tcPr>
          <w:p w14:paraId="13C2C6C3"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1,614</w:t>
            </w:r>
            <w:r w:rsidRPr="00FB4EFA">
              <w:rPr>
                <w:rFonts w:eastAsia="Times New Roman" w:cs="Charis SIL"/>
                <w:sz w:val="18"/>
                <w:szCs w:val="18"/>
                <w:lang w:val="en-US"/>
              </w:rPr>
              <w:br/>
              <w:t>(38 %)</w:t>
            </w:r>
          </w:p>
        </w:tc>
        <w:tc>
          <w:tcPr>
            <w:tcW w:w="933" w:type="dxa"/>
            <w:tcBorders>
              <w:top w:val="single" w:sz="4" w:space="0" w:color="auto"/>
              <w:left w:val="single" w:sz="12" w:space="0" w:color="auto"/>
              <w:bottom w:val="nil"/>
            </w:tcBorders>
          </w:tcPr>
          <w:p w14:paraId="324FEC13"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3,649</w:t>
            </w:r>
          </w:p>
        </w:tc>
        <w:tc>
          <w:tcPr>
            <w:tcW w:w="933" w:type="dxa"/>
            <w:tcBorders>
              <w:top w:val="single" w:sz="4" w:space="0" w:color="auto"/>
              <w:bottom w:val="nil"/>
              <w:right w:val="nil"/>
            </w:tcBorders>
          </w:tcPr>
          <w:p w14:paraId="3F206873" w14:textId="77777777" w:rsidR="005B26AB" w:rsidRPr="00FB4EFA" w:rsidRDefault="005B26AB" w:rsidP="00D6535A">
            <w:pPr>
              <w:spacing w:line="240" w:lineRule="auto"/>
              <w:jc w:val="right"/>
              <w:rPr>
                <w:rFonts w:eastAsia="Times New Roman" w:cs="Charis SIL"/>
                <w:sz w:val="18"/>
                <w:szCs w:val="18"/>
                <w:lang w:val="en-US"/>
              </w:rPr>
            </w:pPr>
            <w:r w:rsidRPr="00FB4EFA">
              <w:rPr>
                <w:rFonts w:eastAsia="Times New Roman" w:cs="Charis SIL"/>
                <w:sz w:val="18"/>
                <w:szCs w:val="18"/>
                <w:lang w:val="en-US"/>
              </w:rPr>
              <w:t>1,023</w:t>
            </w:r>
            <w:r w:rsidRPr="00FB4EFA">
              <w:rPr>
                <w:rFonts w:eastAsia="Times New Roman" w:cs="Charis SIL"/>
                <w:sz w:val="18"/>
                <w:szCs w:val="18"/>
                <w:lang w:val="en-US"/>
              </w:rPr>
              <w:br/>
              <w:t>(28 %)</w:t>
            </w:r>
          </w:p>
        </w:tc>
      </w:tr>
    </w:tbl>
    <w:p w14:paraId="7EB5073C" w14:textId="77777777" w:rsidR="005B26AB" w:rsidRPr="00FB4EFA" w:rsidRDefault="005B26AB" w:rsidP="00AC1192">
      <w:pPr>
        <w:keepNext/>
        <w:suppressAutoHyphens/>
        <w:spacing w:before="120" w:after="240"/>
        <w:jc w:val="center"/>
        <w:rPr>
          <w:sz w:val="18"/>
          <w:szCs w:val="18"/>
          <w:lang w:val="en-US"/>
        </w:rPr>
      </w:pPr>
      <w:r w:rsidRPr="00FB4EFA">
        <w:rPr>
          <w:b/>
          <w:bCs/>
          <w:sz w:val="18"/>
          <w:szCs w:val="18"/>
          <w:lang w:val="en-US"/>
        </w:rPr>
        <w:t xml:space="preserve">Table 1. </w:t>
      </w:r>
      <w:r w:rsidRPr="00FB4EFA">
        <w:rPr>
          <w:sz w:val="18"/>
          <w:szCs w:val="18"/>
          <w:lang w:val="en-US"/>
        </w:rPr>
        <w:t>Demographic data from the 1989, 2002 &amp; 2010 Soviet/Russian censuses</w:t>
      </w:r>
    </w:p>
    <w:p w14:paraId="01E38448" w14:textId="2DD521FD" w:rsidR="005B26AB" w:rsidRPr="00FB4EFA" w:rsidRDefault="005B26AB" w:rsidP="00402EF4">
      <w:pPr>
        <w:rPr>
          <w:lang w:val="en-US"/>
        </w:rPr>
      </w:pPr>
      <w:r w:rsidRPr="00FB4EFA">
        <w:rPr>
          <w:lang w:val="en-US"/>
        </w:rPr>
        <w:t>Following the conventional classification, Khanty and Mansi are in the Ob-Ugric group within the Uralic language family, their closest relative is Hungarian. Selkup belongs to the Samoyedic group and is the only South Samoyedic language still spoken. Its closest relatives are the Northern Samoyedic languages: Nenets, Enets, and Nganasan.</w:t>
      </w:r>
    </w:p>
    <w:p w14:paraId="10567ED3" w14:textId="1C753133" w:rsidR="005B26AB" w:rsidRPr="00FB4EFA" w:rsidRDefault="005B26AB" w:rsidP="00545033">
      <w:pPr>
        <w:spacing w:after="240"/>
        <w:ind w:firstLine="709"/>
        <w:rPr>
          <w:lang w:val="en-US"/>
        </w:rPr>
      </w:pPr>
      <w:r w:rsidRPr="00FB4EFA">
        <w:rPr>
          <w:lang w:val="en-US"/>
        </w:rPr>
        <w:t>Khanty, Mansi, and Selkup are geographically neighboring languages; they are spoken along the river Ob and its tributaries (Map</w:t>
      </w:r>
      <w:r w:rsidR="008E3375" w:rsidRPr="00FB4EFA">
        <w:rPr>
          <w:lang w:val="en-US"/>
        </w:rPr>
        <w:t> </w:t>
      </w:r>
      <w:r w:rsidRPr="00FB4EFA">
        <w:rPr>
          <w:lang w:val="en-US"/>
        </w:rPr>
        <w:t>1).</w:t>
      </w:r>
    </w:p>
    <w:p w14:paraId="614C0EC3" w14:textId="77777777" w:rsidR="005B26AB" w:rsidRPr="00FB4EFA" w:rsidRDefault="005B26AB" w:rsidP="00402EF4">
      <w:pPr>
        <w:jc w:val="center"/>
        <w:rPr>
          <w:rFonts w:eastAsia="Times New Roman" w:cs="Times New Roman"/>
          <w:szCs w:val="24"/>
          <w:lang w:val="en-US"/>
        </w:rPr>
      </w:pPr>
      <w:r w:rsidRPr="00FB4EFA">
        <w:rPr>
          <w:noProof/>
          <w:lang w:val="hu-HU" w:eastAsia="hu-HU"/>
        </w:rPr>
        <w:drawing>
          <wp:inline distT="0" distB="0" distL="0" distR="0" wp14:anchorId="0B07A005" wp14:editId="00227DAE">
            <wp:extent cx="4320000" cy="2992050"/>
            <wp:effectExtent l="0" t="0" r="0" b="0"/>
            <wp:docPr id="16" name="image1.png" descr="Im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Image_2"/>
                    <pic:cNvPicPr preferRelativeResize="0"/>
                  </pic:nvPicPr>
                  <pic:blipFill rotWithShape="1">
                    <a:blip r:embed="rId251">
                      <a:extLst>
                        <a:ext uri="{BEBA8EAE-BF5A-486C-A8C5-ECC9F3942E4B}">
                          <a14:imgProps xmlns:a14="http://schemas.microsoft.com/office/drawing/2010/main">
                            <a14:imgLayer r:embed="rId252">
                              <a14:imgEffect>
                                <a14:saturation sat="0"/>
                              </a14:imgEffect>
                            </a14:imgLayer>
                          </a14:imgProps>
                        </a:ext>
                      </a:extLst>
                    </a:blip>
                    <a:srcRect l="14747" t="3282" r="11369" b="446"/>
                    <a:stretch/>
                  </pic:blipFill>
                  <pic:spPr bwMode="auto">
                    <a:xfrm>
                      <a:off x="0" y="0"/>
                      <a:ext cx="4320000" cy="2992050"/>
                    </a:xfrm>
                    <a:prstGeom prst="rect">
                      <a:avLst/>
                    </a:prstGeom>
                    <a:ln>
                      <a:noFill/>
                    </a:ln>
                    <a:extLst>
                      <a:ext uri="{53640926-AAD7-44D8-BBD7-CCE9431645EC}">
                        <a14:shadowObscured xmlns:a14="http://schemas.microsoft.com/office/drawing/2010/main"/>
                      </a:ext>
                    </a:extLst>
                  </pic:spPr>
                </pic:pic>
              </a:graphicData>
            </a:graphic>
          </wp:inline>
        </w:drawing>
      </w:r>
    </w:p>
    <w:p w14:paraId="3DDF42D4" w14:textId="77777777" w:rsidR="005B26AB" w:rsidRPr="00FB4EFA" w:rsidRDefault="005B26AB" w:rsidP="00AC1192">
      <w:pPr>
        <w:suppressAutoHyphens/>
        <w:spacing w:before="120" w:after="240"/>
        <w:jc w:val="center"/>
        <w:rPr>
          <w:sz w:val="18"/>
          <w:szCs w:val="18"/>
          <w:lang w:val="en-US"/>
        </w:rPr>
      </w:pPr>
      <w:r w:rsidRPr="00FB4EFA">
        <w:rPr>
          <w:b/>
          <w:bCs/>
          <w:sz w:val="18"/>
          <w:szCs w:val="18"/>
          <w:lang w:val="en-US"/>
        </w:rPr>
        <w:t xml:space="preserve">Map 1. </w:t>
      </w:r>
      <w:r w:rsidRPr="00FB4EFA">
        <w:rPr>
          <w:sz w:val="18"/>
          <w:szCs w:val="18"/>
          <w:lang w:val="en-US"/>
        </w:rPr>
        <w:t>The Uralic languages</w:t>
      </w:r>
      <w:r w:rsidRPr="00FB4EFA">
        <w:rPr>
          <w:sz w:val="18"/>
          <w:szCs w:val="18"/>
          <w:vertAlign w:val="superscript"/>
          <w:lang w:val="en-US"/>
        </w:rPr>
        <w:footnoteReference w:id="47"/>
      </w:r>
    </w:p>
    <w:p w14:paraId="39139FC0" w14:textId="0CCC7555" w:rsidR="005B26AB" w:rsidRPr="00FB4EFA" w:rsidRDefault="005B26AB" w:rsidP="00402EF4">
      <w:pPr>
        <w:rPr>
          <w:lang w:val="en-US"/>
        </w:rPr>
      </w:pPr>
      <w:r w:rsidRPr="00FB4EFA">
        <w:rPr>
          <w:lang w:val="en-US"/>
        </w:rPr>
        <w:lastRenderedPageBreak/>
        <w:t>Despite the low number of speakers, these languages have several regional dialects, and even the speakers of the same dialect are divided into several groups based on their culture and way of life (</w:t>
      </w:r>
      <w:r w:rsidR="00466236" w:rsidRPr="00FB4EFA">
        <w:rPr>
          <w:lang w:val="en-US"/>
        </w:rPr>
        <w:t>e.g., </w:t>
      </w:r>
      <w:r w:rsidRPr="00FB4EFA">
        <w:rPr>
          <w:lang w:val="en-US"/>
        </w:rPr>
        <w:t>there are both reindeer herders and hunting-fishing groups among the Ob-Ugric people speaking the northern dialects). Very often mutual intelligibility between the speakers of different dialects is missing. Some of the dialects are extinct or are on the verge of extinction. Typically, the northernmost dialects of the languages have the most speakers. Traditionally, Selkup is divided into three dialectal groups (and several subgroups): Northern, Central and Southern. The Ket dialect</w:t>
      </w:r>
      <w:r w:rsidRPr="00FB4EFA">
        <w:rPr>
          <w:vertAlign w:val="superscript"/>
          <w:lang w:val="en-US"/>
        </w:rPr>
        <w:footnoteReference w:id="48"/>
      </w:r>
      <w:r w:rsidRPr="00FB4EFA">
        <w:rPr>
          <w:lang w:val="en-US"/>
        </w:rPr>
        <w:t xml:space="preserve"> of Selkup is usually considered to be the member of the Southern dialectal group or as a separate dialectal group. Mansi has four main dialects: Northern Mansi, Western Mansi, Eastern Mansi, and Southern Mansi. As late as at the beginning of the 20</w:t>
      </w:r>
      <w:r w:rsidRPr="00FB4EFA">
        <w:rPr>
          <w:vertAlign w:val="superscript"/>
          <w:lang w:val="en-US"/>
        </w:rPr>
        <w:t>th</w:t>
      </w:r>
      <w:r w:rsidRPr="00FB4EFA">
        <w:rPr>
          <w:lang w:val="en-US"/>
        </w:rPr>
        <w:t xml:space="preserve"> century all dialects of Mansi were still spoken but today practically only the northern dialect is used. Traditionally, three dialect groups of Khanty are distinguished, and each of them is divided into further subdialects: Southern, Eastern and Northern Khanty dialects.</w:t>
      </w:r>
    </w:p>
    <w:p w14:paraId="40E44F55" w14:textId="77777777" w:rsidR="005B26AB" w:rsidRPr="00FB4EFA" w:rsidRDefault="005B26AB" w:rsidP="00B36705">
      <w:pPr>
        <w:pStyle w:val="Heading2"/>
        <w:numPr>
          <w:ilvl w:val="0"/>
          <w:numId w:val="3"/>
        </w:numPr>
        <w:suppressAutoHyphens/>
        <w:spacing w:line="259" w:lineRule="auto"/>
        <w:rPr>
          <w:color w:val="auto"/>
          <w:lang w:val="en-US"/>
        </w:rPr>
      </w:pPr>
      <w:r w:rsidRPr="00FB4EFA">
        <w:rPr>
          <w:color w:val="auto"/>
          <w:lang w:val="en-US"/>
        </w:rPr>
        <w:t>The corpora</w:t>
      </w:r>
    </w:p>
    <w:p w14:paraId="11C44DC4" w14:textId="5E74B9F6" w:rsidR="005B26AB" w:rsidRPr="00FB4EFA" w:rsidRDefault="005B26AB" w:rsidP="00402EF4">
      <w:pPr>
        <w:rPr>
          <w:lang w:val="en-US"/>
        </w:rPr>
      </w:pPr>
      <w:r w:rsidRPr="00FB4EFA">
        <w:rPr>
          <w:lang w:val="en-US"/>
        </w:rPr>
        <w:t xml:space="preserve">The data for our examination were on the one hand collected from dictionaries (Selkup: Erdélyi 1969, Alatalo 2004, Kazakevich &amp; Budyanskaya 2010; Khanty: DEWOS; Mansi: Munkácsi </w:t>
      </w:r>
      <w:r w:rsidRPr="00FB4EFA">
        <w:rPr>
          <w:shd w:val="clear" w:color="auto" w:fill="FFFFFF" w:themeFill="background1"/>
          <w:lang w:val="en-US"/>
        </w:rPr>
        <w:t>&amp;</w:t>
      </w:r>
      <w:r w:rsidRPr="00FB4EFA">
        <w:rPr>
          <w:lang w:val="en-US"/>
        </w:rPr>
        <w:t xml:space="preserve"> Kálmán 1986, Rombandeeva &amp; Kuzakova 1982), and on the other hand from written sources (Selkup Language Corpus – Budzisch et al. 2019, Lūimā Sēripos, Kálmán 1976), studies on this topic (Csepregi 1998, Pevnov &amp; Urmanchieva 2011) and from two Mansi native speakers.</w:t>
      </w:r>
    </w:p>
    <w:p w14:paraId="32E82288" w14:textId="77777777" w:rsidR="005B26AB" w:rsidRPr="00FB4EFA" w:rsidRDefault="005B26AB" w:rsidP="00B36705">
      <w:pPr>
        <w:pStyle w:val="Heading2"/>
        <w:numPr>
          <w:ilvl w:val="0"/>
          <w:numId w:val="3"/>
        </w:numPr>
        <w:suppressAutoHyphens/>
        <w:spacing w:line="259" w:lineRule="auto"/>
        <w:rPr>
          <w:color w:val="auto"/>
          <w:lang w:val="en-US"/>
        </w:rPr>
      </w:pPr>
      <w:r w:rsidRPr="00FB4EFA">
        <w:rPr>
          <w:color w:val="auto"/>
          <w:lang w:val="en-US"/>
        </w:rPr>
        <w:t>The spatial system</w:t>
      </w:r>
    </w:p>
    <w:p w14:paraId="0E819C71" w14:textId="77777777" w:rsidR="005B26AB" w:rsidRPr="00FB4EFA" w:rsidRDefault="005B26AB" w:rsidP="00402EF4">
      <w:pPr>
        <w:rPr>
          <w:lang w:val="en-US"/>
        </w:rPr>
      </w:pPr>
      <w:r w:rsidRPr="00FB4EFA">
        <w:rPr>
          <w:lang w:val="en-US"/>
        </w:rPr>
        <w:t>The investigated unique spatial system used in the Selkup and Ob-Ugric languages is a pair of adverbs and verbal prefixes (preverbs)</w:t>
      </w:r>
      <w:r w:rsidRPr="00FB4EFA">
        <w:rPr>
          <w:vertAlign w:val="superscript"/>
          <w:lang w:val="en-US"/>
        </w:rPr>
        <w:footnoteReference w:id="49"/>
      </w:r>
      <w:r w:rsidRPr="00FB4EFA">
        <w:rPr>
          <w:lang w:val="en-US"/>
        </w:rPr>
        <w:t xml:space="preserve"> which basi</w:t>
      </w:r>
      <w:r w:rsidRPr="00FB4EFA">
        <w:rPr>
          <w:lang w:val="en-US"/>
        </w:rPr>
        <w:lastRenderedPageBreak/>
        <w:t>cally have the same meanings and the same functions in all three languages. In the semantics of these adverbs/preverbs the role of the river is dominant.</w:t>
      </w:r>
    </w:p>
    <w:p w14:paraId="1D5B5725" w14:textId="77777777" w:rsidR="005B26AB" w:rsidRPr="00FB4EFA" w:rsidRDefault="005B26AB" w:rsidP="00402EF4">
      <w:pPr>
        <w:ind w:firstLine="709"/>
        <w:rPr>
          <w:lang w:val="en-US"/>
        </w:rPr>
      </w:pPr>
      <w:r w:rsidRPr="00FB4EFA">
        <w:rPr>
          <w:lang w:val="en-US"/>
        </w:rPr>
        <w:t xml:space="preserve">One member of the examined adverb/preverb pairs is Khanty </w:t>
      </w:r>
      <w:r w:rsidRPr="00FB4EFA">
        <w:rPr>
          <w:smallCaps/>
          <w:lang w:val="en-US"/>
        </w:rPr>
        <w:t>nik</w:t>
      </w:r>
      <w:r w:rsidRPr="00FB4EFA">
        <w:rPr>
          <w:lang w:val="en-US"/>
        </w:rPr>
        <w:t xml:space="preserve">, Mansi </w:t>
      </w:r>
      <w:r w:rsidRPr="00FB4EFA">
        <w:rPr>
          <w:smallCaps/>
          <w:lang w:val="en-US"/>
        </w:rPr>
        <w:t>nāluw,</w:t>
      </w:r>
      <w:r w:rsidRPr="00FB4EFA">
        <w:rPr>
          <w:lang w:val="en-US"/>
        </w:rPr>
        <w:t xml:space="preserve"> and Selkup </w:t>
      </w:r>
      <w:r w:rsidRPr="00FB4EFA">
        <w:rPr>
          <w:smallCaps/>
          <w:lang w:val="en-US"/>
        </w:rPr>
        <w:t>karrä</w:t>
      </w:r>
      <w:r w:rsidRPr="00FB4EFA">
        <w:rPr>
          <w:vertAlign w:val="superscript"/>
          <w:lang w:val="en-US"/>
        </w:rPr>
        <w:footnoteReference w:id="50"/>
      </w:r>
      <w:r w:rsidRPr="00FB4EFA">
        <w:rPr>
          <w:lang w:val="en-US"/>
        </w:rPr>
        <w:t xml:space="preserve"> which have the following meanings:</w:t>
      </w:r>
    </w:p>
    <w:p w14:paraId="542AF3D7" w14:textId="77777777" w:rsidR="005B26AB" w:rsidRPr="00FB4EFA" w:rsidRDefault="005B26AB" w:rsidP="00AF0CAD">
      <w:pPr>
        <w:spacing w:line="240" w:lineRule="auto"/>
        <w:ind w:left="426"/>
        <w:rPr>
          <w:rFonts w:cs="Charis SIL"/>
          <w:lang w:val="en-US"/>
        </w:rPr>
      </w:pPr>
      <w:r w:rsidRPr="00FB4EFA">
        <w:rPr>
          <w:rFonts w:cs="Charis SIL"/>
          <w:b/>
          <w:lang w:val="en-US"/>
        </w:rPr>
        <w:t>A</w:t>
      </w:r>
      <w:r w:rsidRPr="00FB4EFA">
        <w:rPr>
          <w:rFonts w:cs="Charis SIL"/>
          <w:lang w:val="en-US"/>
        </w:rPr>
        <w:t xml:space="preserve"> ‘down to the river’; ‘from the riverbank to the river’; ‘from the port to the boat’; ‘from the tributary to the main river/lake/sea’; ‘down on the river/downstream’; ‘down from the hill’; ‘from a closed place to an open place, to the river, to the lake, to the swamp’; ‘from the forest to the tundra’;</w:t>
      </w:r>
    </w:p>
    <w:p w14:paraId="0ED9714D" w14:textId="77777777" w:rsidR="005B26AB" w:rsidRPr="00FB4EFA" w:rsidRDefault="005B26AB" w:rsidP="00CC79AF">
      <w:pPr>
        <w:spacing w:before="200" w:line="240" w:lineRule="auto"/>
        <w:ind w:left="426" w:hanging="426"/>
        <w:rPr>
          <w:rFonts w:cs="Charis SIL"/>
          <w:lang w:val="en-US"/>
        </w:rPr>
      </w:pPr>
      <w:r w:rsidRPr="00FB4EFA">
        <w:rPr>
          <w:rFonts w:eastAsia="Times New Roman" w:cs="Charis SIL"/>
          <w:lang w:val="en-US"/>
        </w:rPr>
        <w:t>Selkup (Central, Vasyugan)</w:t>
      </w:r>
    </w:p>
    <w:p w14:paraId="46DC438E" w14:textId="47EF4C92" w:rsidR="005B26AB" w:rsidRPr="00FB4EFA" w:rsidRDefault="005B26AB" w:rsidP="00AF0CAD">
      <w:pPr>
        <w:tabs>
          <w:tab w:val="left" w:pos="1701"/>
          <w:tab w:val="left" w:pos="3119"/>
          <w:tab w:val="left" w:pos="4536"/>
        </w:tabs>
        <w:spacing w:after="120" w:line="240" w:lineRule="auto"/>
        <w:ind w:left="426" w:hanging="426"/>
        <w:rPr>
          <w:rFonts w:eastAsia="Times New Roman" w:cs="Charis SIL"/>
          <w:lang w:val="en-US"/>
        </w:rPr>
      </w:pPr>
      <w:r w:rsidRPr="00FB4EFA">
        <w:rPr>
          <w:rFonts w:eastAsia="Times New Roman" w:cs="Charis SIL"/>
          <w:lang w:val="en-US"/>
        </w:rPr>
        <w:t>(1)</w:t>
      </w:r>
      <w:r w:rsidRPr="00FB4EFA">
        <w:rPr>
          <w:rFonts w:eastAsia="Times New Roman" w:cs="Charis SIL"/>
          <w:lang w:val="en-US"/>
        </w:rPr>
        <w:tab/>
      </w:r>
      <w:r w:rsidRPr="00FB4EFA">
        <w:rPr>
          <w:rFonts w:eastAsia="Times New Roman" w:cs="Charis SIL"/>
          <w:i/>
          <w:lang w:val="en-US"/>
        </w:rPr>
        <w:t>Tabe-</w:t>
      </w:r>
      <w:r w:rsidR="003C3714" w:rsidRPr="00FB4EFA">
        <w:rPr>
          <w:rFonts w:eastAsia="Times New Roman" w:cs="Charis SIL"/>
          <w:i/>
          <w:lang w:val="en-US"/>
        </w:rPr>
        <w:t>γ</w:t>
      </w:r>
      <w:r w:rsidRPr="00FB4EFA">
        <w:rPr>
          <w:rFonts w:eastAsia="Times New Roman" w:cs="Charis SIL"/>
          <w:i/>
          <w:lang w:val="en-US"/>
        </w:rPr>
        <w:tab/>
      </w:r>
      <w:r w:rsidRPr="00FB4EFA">
        <w:rPr>
          <w:rFonts w:eastAsia="Times New Roman" w:cs="Charis SIL"/>
          <w:b/>
          <w:i/>
          <w:lang w:val="en-US"/>
        </w:rPr>
        <w:t>kare</w:t>
      </w:r>
      <w:r w:rsidRPr="00FB4EFA">
        <w:rPr>
          <w:rFonts w:eastAsia="Times New Roman" w:cs="Charis SIL"/>
          <w:i/>
          <w:lang w:val="en-US"/>
        </w:rPr>
        <w:tab/>
        <w:t>to-nde</w:t>
      </w:r>
      <w:r w:rsidRPr="00FB4EFA">
        <w:rPr>
          <w:rFonts w:eastAsia="Times New Roman" w:cs="Charis SIL"/>
          <w:i/>
          <w:lang w:val="en-US"/>
        </w:rPr>
        <w:tab/>
        <w:t>tö-mba-</w:t>
      </w:r>
      <w:r w:rsidR="003C3714" w:rsidRPr="00FB4EFA">
        <w:rPr>
          <w:rFonts w:eastAsia="Times New Roman" w:cs="Charis SIL"/>
          <w:i/>
          <w:lang w:val="en-US"/>
        </w:rPr>
        <w:t>γ</w:t>
      </w:r>
      <w:r w:rsidRPr="00FB4EFA">
        <w:rPr>
          <w:rFonts w:eastAsia="Times New Roman" w:cs="Charis SIL"/>
          <w:i/>
          <w:lang w:val="en-US"/>
        </w:rPr>
        <w:t>,</w:t>
      </w:r>
      <w:r w:rsidRPr="00FB4EFA">
        <w:rPr>
          <w:rFonts w:eastAsia="Times New Roman" w:cs="Charis SIL"/>
          <w:i/>
          <w:lang w:val="en-US"/>
        </w:rPr>
        <w:br/>
      </w:r>
      <w:r w:rsidRPr="00FB4EFA">
        <w:rPr>
          <w:rFonts w:eastAsia="Times New Roman" w:cs="Charis SIL"/>
          <w:lang w:val="en-US"/>
        </w:rPr>
        <w:t>s/he-</w:t>
      </w:r>
      <w:r w:rsidRPr="00FB4EFA">
        <w:rPr>
          <w:rFonts w:eastAsia="Times New Roman" w:cs="Charis SIL"/>
          <w:smallCaps/>
          <w:lang w:val="en-US"/>
        </w:rPr>
        <w:t>du</w:t>
      </w:r>
      <w:r w:rsidRPr="00FB4EFA">
        <w:rPr>
          <w:rFonts w:eastAsia="Times New Roman" w:cs="Charis SIL"/>
          <w:lang w:val="en-US"/>
        </w:rPr>
        <w:tab/>
        <w:t>to.the.river</w:t>
      </w:r>
      <w:r w:rsidRPr="00FB4EFA">
        <w:rPr>
          <w:rFonts w:eastAsia="Times New Roman" w:cs="Charis SIL"/>
          <w:lang w:val="en-US"/>
        </w:rPr>
        <w:tab/>
        <w:t>lake-</w:t>
      </w:r>
      <w:r w:rsidRPr="00FB4EFA">
        <w:rPr>
          <w:rFonts w:eastAsia="Times New Roman" w:cs="Charis SIL"/>
          <w:smallCaps/>
          <w:lang w:val="en-US"/>
        </w:rPr>
        <w:t>ill</w:t>
      </w:r>
      <w:r w:rsidRPr="00FB4EFA">
        <w:rPr>
          <w:rFonts w:eastAsia="Times New Roman" w:cs="Charis SIL"/>
          <w:lang w:val="en-US"/>
        </w:rPr>
        <w:tab/>
        <w:t>come-</w:t>
      </w:r>
      <w:r w:rsidRPr="00FB4EFA">
        <w:rPr>
          <w:rFonts w:eastAsia="Times New Roman" w:cs="Charis SIL"/>
          <w:smallCaps/>
          <w:lang w:val="en-US"/>
        </w:rPr>
        <w:t>pst</w:t>
      </w:r>
      <w:r w:rsidRPr="00FB4EFA">
        <w:rPr>
          <w:rFonts w:eastAsia="Times New Roman" w:cs="Charis SIL"/>
          <w:lang w:val="en-US"/>
        </w:rPr>
        <w:t>.</w:t>
      </w:r>
      <w:r w:rsidRPr="00FB4EFA">
        <w:rPr>
          <w:rFonts w:eastAsia="Times New Roman" w:cs="Charis SIL"/>
          <w:smallCaps/>
          <w:lang w:val="en-US"/>
        </w:rPr>
        <w:t>rep</w:t>
      </w:r>
      <w:r w:rsidRPr="00FB4EFA">
        <w:rPr>
          <w:rFonts w:eastAsia="Times New Roman" w:cs="Charis SIL"/>
          <w:lang w:val="en-US"/>
        </w:rPr>
        <w:t>-</w:t>
      </w:r>
      <w:r w:rsidRPr="00FB4EFA">
        <w:rPr>
          <w:rFonts w:eastAsia="Times New Roman" w:cs="Charis SIL"/>
          <w:smallCaps/>
          <w:lang w:val="en-US"/>
        </w:rPr>
        <w:t>3du</w:t>
      </w:r>
    </w:p>
    <w:p w14:paraId="0B187B5A" w14:textId="77777777" w:rsidR="005B26AB" w:rsidRPr="00FB4EFA" w:rsidRDefault="005B26AB" w:rsidP="00AF0CAD">
      <w:pPr>
        <w:tabs>
          <w:tab w:val="left" w:pos="1701"/>
          <w:tab w:val="left" w:pos="4253"/>
        </w:tabs>
        <w:spacing w:line="240" w:lineRule="auto"/>
        <w:ind w:left="426" w:hanging="426"/>
        <w:rPr>
          <w:rFonts w:eastAsia="Times New Roman" w:cs="Charis SIL"/>
          <w:i/>
          <w:lang w:val="en-US"/>
        </w:rPr>
      </w:pPr>
      <w:r w:rsidRPr="00FB4EFA">
        <w:rPr>
          <w:rFonts w:eastAsia="Times New Roman" w:cs="Charis SIL"/>
          <w:lang w:val="en-US"/>
        </w:rPr>
        <w:tab/>
      </w:r>
      <w:r w:rsidRPr="00FB4EFA">
        <w:rPr>
          <w:rFonts w:eastAsia="Times New Roman" w:cs="Charis SIL"/>
          <w:i/>
          <w:lang w:val="en-US"/>
        </w:rPr>
        <w:t>onǯe</w:t>
      </w:r>
      <w:r w:rsidRPr="00FB4EFA">
        <w:rPr>
          <w:rFonts w:eastAsia="Times New Roman" w:cs="Charis SIL"/>
          <w:i/>
          <w:lang w:val="en-US"/>
        </w:rPr>
        <w:tab/>
        <w:t>pire-m-de</w:t>
      </w:r>
      <w:r w:rsidRPr="00FB4EFA">
        <w:rPr>
          <w:rFonts w:eastAsia="Times New Roman" w:cs="Charis SIL"/>
          <w:i/>
          <w:lang w:val="en-US"/>
        </w:rPr>
        <w:tab/>
      </w:r>
      <w:r w:rsidRPr="00FB4EFA">
        <w:rPr>
          <w:rFonts w:eastAsia="Times New Roman" w:cs="Charis SIL"/>
          <w:i/>
          <w:lang w:val="en-US"/>
        </w:rPr>
        <w:tab/>
        <w:t>mulǯɨ-gu</w:t>
      </w:r>
    </w:p>
    <w:p w14:paraId="4540DA3A" w14:textId="77777777" w:rsidR="005B26AB" w:rsidRPr="00FB4EFA" w:rsidRDefault="005B26AB" w:rsidP="00CC79AF">
      <w:pPr>
        <w:tabs>
          <w:tab w:val="left" w:pos="1701"/>
          <w:tab w:val="left" w:pos="4253"/>
        </w:tabs>
        <w:spacing w:line="240" w:lineRule="auto"/>
        <w:ind w:left="426" w:hanging="426"/>
        <w:rPr>
          <w:rFonts w:eastAsia="Times New Roman" w:cs="Charis SIL"/>
          <w:lang w:val="en-US"/>
        </w:rPr>
      </w:pPr>
      <w:r w:rsidRPr="00FB4EFA">
        <w:rPr>
          <w:rFonts w:eastAsia="Times New Roman" w:cs="Charis SIL"/>
          <w:lang w:val="en-US"/>
        </w:rPr>
        <w:tab/>
        <w:t>himself</w:t>
      </w:r>
      <w:r w:rsidRPr="00FB4EFA">
        <w:rPr>
          <w:rFonts w:eastAsia="Times New Roman" w:cs="Charis SIL"/>
          <w:lang w:val="en-US"/>
        </w:rPr>
        <w:tab/>
        <w:t>oneself-</w:t>
      </w:r>
      <w:r w:rsidRPr="00FB4EFA">
        <w:rPr>
          <w:rFonts w:eastAsia="Times New Roman" w:cs="Charis SIL"/>
          <w:smallCaps/>
          <w:lang w:val="en-US"/>
        </w:rPr>
        <w:t>acc</w:t>
      </w:r>
      <w:r w:rsidRPr="00FB4EFA">
        <w:rPr>
          <w:rFonts w:eastAsia="Times New Roman" w:cs="Charis SIL"/>
          <w:lang w:val="en-US"/>
        </w:rPr>
        <w:t>-</w:t>
      </w:r>
      <w:r w:rsidRPr="00FB4EFA">
        <w:rPr>
          <w:rFonts w:eastAsia="Times New Roman" w:cs="Charis SIL"/>
          <w:smallCaps/>
          <w:lang w:val="en-US"/>
        </w:rPr>
        <w:t>px3sg</w:t>
      </w:r>
      <w:r w:rsidRPr="00FB4EFA">
        <w:rPr>
          <w:rFonts w:eastAsia="Times New Roman" w:cs="Charis SIL"/>
          <w:lang w:val="en-US"/>
        </w:rPr>
        <w:tab/>
      </w:r>
      <w:r w:rsidRPr="00FB4EFA">
        <w:rPr>
          <w:rFonts w:eastAsia="Times New Roman" w:cs="Charis SIL"/>
          <w:lang w:val="en-US"/>
        </w:rPr>
        <w:tab/>
        <w:t>wash-</w:t>
      </w:r>
      <w:r w:rsidRPr="00FB4EFA">
        <w:rPr>
          <w:rFonts w:eastAsia="Times New Roman" w:cs="Charis SIL"/>
          <w:smallCaps/>
          <w:lang w:val="en-US"/>
        </w:rPr>
        <w:t>inf</w:t>
      </w:r>
    </w:p>
    <w:p w14:paraId="6400B531" w14:textId="77777777" w:rsidR="005B26AB" w:rsidRPr="00FB4EFA" w:rsidRDefault="005B26AB" w:rsidP="00CC79AF">
      <w:pPr>
        <w:spacing w:line="240" w:lineRule="auto"/>
        <w:ind w:left="426" w:hanging="426"/>
        <w:jc w:val="left"/>
        <w:rPr>
          <w:rFonts w:eastAsia="Times New Roman" w:cs="Charis SIL"/>
          <w:lang w:val="en-US"/>
        </w:rPr>
      </w:pPr>
      <w:r w:rsidRPr="00FB4EFA">
        <w:rPr>
          <w:rFonts w:eastAsia="Times New Roman" w:cs="Charis SIL"/>
          <w:lang w:val="en-US"/>
        </w:rPr>
        <w:tab/>
        <w:t>They went to the river to wash themselves.’ (ChDN_1983_Nikita_flk.045)</w:t>
      </w:r>
    </w:p>
    <w:p w14:paraId="0A33F5A4" w14:textId="77777777" w:rsidR="005B26AB" w:rsidRPr="00FB4EFA" w:rsidRDefault="005B26AB" w:rsidP="00CC79AF">
      <w:pPr>
        <w:keepNext/>
        <w:spacing w:before="240" w:line="240" w:lineRule="auto"/>
        <w:rPr>
          <w:rFonts w:cs="Charis SIL"/>
          <w:lang w:val="en-US"/>
        </w:rPr>
      </w:pPr>
      <w:r w:rsidRPr="00FB4EFA">
        <w:rPr>
          <w:rFonts w:eastAsia="Times New Roman" w:cs="Charis SIL"/>
          <w:lang w:val="en-US"/>
        </w:rPr>
        <w:t>Khanty (Eastern, Surgut)</w:t>
      </w:r>
    </w:p>
    <w:p w14:paraId="06634A15" w14:textId="77777777" w:rsidR="005B26AB" w:rsidRPr="00FB4EFA" w:rsidRDefault="005B26AB" w:rsidP="00AF0CAD">
      <w:pPr>
        <w:keepNext/>
        <w:tabs>
          <w:tab w:val="left" w:pos="709"/>
          <w:tab w:val="left" w:pos="1560"/>
          <w:tab w:val="left" w:pos="2835"/>
          <w:tab w:val="left" w:pos="4678"/>
        </w:tabs>
        <w:spacing w:line="240" w:lineRule="auto"/>
        <w:rPr>
          <w:rFonts w:eastAsia="Times New Roman" w:cs="Charis SIL"/>
          <w:lang w:val="en-US"/>
        </w:rPr>
      </w:pPr>
      <w:r w:rsidRPr="00FB4EFA">
        <w:rPr>
          <w:rFonts w:eastAsia="Times New Roman" w:cs="Charis SIL"/>
          <w:lang w:val="en-US"/>
        </w:rPr>
        <w:t>(2)</w:t>
      </w:r>
      <w:r w:rsidRPr="00FB4EFA">
        <w:rPr>
          <w:rFonts w:eastAsia="Times New Roman" w:cs="Charis SIL"/>
          <w:lang w:val="en-US"/>
        </w:rPr>
        <w:tab/>
      </w:r>
      <w:r w:rsidRPr="00FB4EFA">
        <w:rPr>
          <w:rFonts w:eastAsia="Times New Roman" w:cs="Charis SIL"/>
          <w:i/>
          <w:lang w:val="en-US"/>
        </w:rPr>
        <w:t>Jăwən</w:t>
      </w:r>
      <w:r w:rsidRPr="00FB4EFA">
        <w:rPr>
          <w:rFonts w:eastAsia="Times New Roman" w:cs="Charis SIL"/>
          <w:i/>
          <w:lang w:val="en-US"/>
        </w:rPr>
        <w:tab/>
        <w:t>kånəŋ-a</w:t>
      </w:r>
      <w:r w:rsidRPr="00FB4EFA">
        <w:rPr>
          <w:rFonts w:eastAsia="Times New Roman" w:cs="Charis SIL"/>
          <w:i/>
          <w:lang w:val="en-US"/>
        </w:rPr>
        <w:tab/>
      </w:r>
      <w:r w:rsidRPr="00FB4EFA">
        <w:rPr>
          <w:rFonts w:eastAsia="Times New Roman" w:cs="Charis SIL"/>
          <w:b/>
          <w:i/>
          <w:lang w:val="en-US"/>
        </w:rPr>
        <w:t>nik</w:t>
      </w:r>
      <w:r w:rsidRPr="00FB4EFA">
        <w:rPr>
          <w:rFonts w:eastAsia="Times New Roman" w:cs="Charis SIL"/>
          <w:b/>
          <w:i/>
          <w:lang w:val="en-US"/>
        </w:rPr>
        <w:tab/>
      </w:r>
      <w:r w:rsidRPr="00FB4EFA">
        <w:rPr>
          <w:rFonts w:eastAsia="Times New Roman" w:cs="Charis SIL"/>
          <w:i/>
          <w:lang w:val="en-US"/>
        </w:rPr>
        <w:t>mən</w:t>
      </w:r>
    </w:p>
    <w:p w14:paraId="2A1DAF45" w14:textId="0F55B685" w:rsidR="005B26AB" w:rsidRPr="00FB4EFA" w:rsidRDefault="005B26AB" w:rsidP="00CC79AF">
      <w:pPr>
        <w:keepNext/>
        <w:pBdr>
          <w:top w:val="nil"/>
          <w:left w:val="nil"/>
          <w:bottom w:val="nil"/>
          <w:right w:val="nil"/>
          <w:between w:val="nil"/>
        </w:pBdr>
        <w:tabs>
          <w:tab w:val="left" w:pos="709"/>
          <w:tab w:val="left" w:pos="1560"/>
          <w:tab w:val="left" w:pos="2835"/>
          <w:tab w:val="left" w:pos="4678"/>
        </w:tabs>
        <w:spacing w:line="240" w:lineRule="auto"/>
        <w:ind w:firstLine="700"/>
        <w:rPr>
          <w:rFonts w:eastAsia="Times New Roman" w:cs="Charis SIL"/>
          <w:lang w:val="en-US"/>
        </w:rPr>
      </w:pPr>
      <w:r w:rsidRPr="00FB4EFA">
        <w:rPr>
          <w:rFonts w:eastAsia="Times New Roman" w:cs="Charis SIL"/>
          <w:lang w:val="en-US"/>
        </w:rPr>
        <w:t>river</w:t>
      </w:r>
      <w:r w:rsidRPr="00FB4EFA">
        <w:rPr>
          <w:rFonts w:eastAsia="Times New Roman" w:cs="Charis SIL"/>
          <w:lang w:val="en-US"/>
        </w:rPr>
        <w:tab/>
        <w:t>shore-</w:t>
      </w:r>
      <w:r w:rsidRPr="00FB4EFA">
        <w:rPr>
          <w:rFonts w:eastAsia="Times New Roman" w:cs="Charis SIL"/>
          <w:smallCaps/>
          <w:lang w:val="en-US"/>
        </w:rPr>
        <w:t>lat</w:t>
      </w:r>
      <w:r w:rsidRPr="00FB4EFA">
        <w:rPr>
          <w:rFonts w:eastAsia="Times New Roman" w:cs="Charis SIL"/>
          <w:lang w:val="en-US"/>
        </w:rPr>
        <w:tab/>
        <w:t>down.to.the.river</w:t>
      </w:r>
      <w:r w:rsidRPr="00FB4EFA">
        <w:rPr>
          <w:rFonts w:eastAsia="Times New Roman" w:cs="Charis SIL"/>
          <w:lang w:val="en-US"/>
        </w:rPr>
        <w:tab/>
        <w:t>go</w:t>
      </w:r>
      <w:r w:rsidR="00545033" w:rsidRPr="00FB4EFA">
        <w:rPr>
          <w:rFonts w:eastAsia="Times New Roman" w:cs="Charis SIL"/>
          <w:lang w:val="en-US"/>
        </w:rPr>
        <w:t>.</w:t>
      </w:r>
      <w:r w:rsidRPr="00FB4EFA">
        <w:rPr>
          <w:rFonts w:eastAsia="Times New Roman" w:cs="Charis SIL"/>
          <w:smallCaps/>
          <w:lang w:val="en-US"/>
        </w:rPr>
        <w:t>prt</w:t>
      </w:r>
      <w:r w:rsidRPr="00FB4EFA">
        <w:rPr>
          <w:rFonts w:eastAsia="Times New Roman" w:cs="Charis SIL"/>
          <w:lang w:val="en-US"/>
        </w:rPr>
        <w:t>.</w:t>
      </w:r>
      <w:r w:rsidRPr="00FB4EFA">
        <w:rPr>
          <w:rFonts w:eastAsia="Times New Roman" w:cs="Charis SIL"/>
          <w:smallCaps/>
          <w:lang w:val="en-US"/>
        </w:rPr>
        <w:t>3sg</w:t>
      </w:r>
    </w:p>
    <w:p w14:paraId="4FD9A0EA" w14:textId="77777777" w:rsidR="005B26AB" w:rsidRPr="00FB4EFA" w:rsidRDefault="005B26AB" w:rsidP="00CC79AF">
      <w:pPr>
        <w:keepNext/>
        <w:tabs>
          <w:tab w:val="left" w:pos="709"/>
          <w:tab w:val="left" w:pos="1560"/>
          <w:tab w:val="left" w:pos="2835"/>
          <w:tab w:val="left" w:pos="4678"/>
        </w:tabs>
        <w:spacing w:line="240" w:lineRule="auto"/>
        <w:ind w:firstLine="700"/>
        <w:rPr>
          <w:rFonts w:eastAsia="Times New Roman" w:cs="Charis SIL"/>
          <w:lang w:val="en-US"/>
        </w:rPr>
      </w:pPr>
      <w:r w:rsidRPr="00FB4EFA">
        <w:rPr>
          <w:rFonts w:eastAsia="Times New Roman" w:cs="Charis SIL"/>
          <w:lang w:val="en-US"/>
        </w:rPr>
        <w:t>‘He/She went down to the riverbank.’</w:t>
      </w:r>
    </w:p>
    <w:p w14:paraId="6AFF0959" w14:textId="77777777" w:rsidR="005B26AB" w:rsidRPr="00FB4EFA" w:rsidRDefault="005B26AB" w:rsidP="00CC79AF">
      <w:pPr>
        <w:tabs>
          <w:tab w:val="left" w:pos="709"/>
          <w:tab w:val="left" w:pos="1560"/>
          <w:tab w:val="left" w:pos="2835"/>
          <w:tab w:val="left" w:pos="4678"/>
        </w:tabs>
        <w:spacing w:line="240" w:lineRule="auto"/>
        <w:ind w:firstLine="700"/>
        <w:rPr>
          <w:rFonts w:cs="Charis SIL"/>
          <w:lang w:val="en-US"/>
        </w:rPr>
      </w:pPr>
      <w:r w:rsidRPr="00FB4EFA">
        <w:rPr>
          <w:rFonts w:eastAsia="Times New Roman" w:cs="Charis SIL"/>
          <w:lang w:val="en-US"/>
        </w:rPr>
        <w:t>(Csepregi 2009: 148; Cepregi 1998: 64)</w:t>
      </w:r>
    </w:p>
    <w:p w14:paraId="55167B17" w14:textId="77777777" w:rsidR="005B26AB" w:rsidRPr="00FB4EFA" w:rsidRDefault="005B26AB" w:rsidP="00CC79AF">
      <w:pPr>
        <w:spacing w:before="240" w:line="240" w:lineRule="auto"/>
        <w:rPr>
          <w:rFonts w:eastAsia="Times New Roman" w:cs="Charis SIL"/>
          <w:lang w:val="en-US"/>
        </w:rPr>
      </w:pPr>
      <w:r w:rsidRPr="00FB4EFA">
        <w:rPr>
          <w:rFonts w:eastAsia="Times New Roman" w:cs="Charis SIL"/>
          <w:lang w:val="en-US"/>
        </w:rPr>
        <w:t>Mansi (Northern)</w:t>
      </w:r>
    </w:p>
    <w:p w14:paraId="5A7D0097" w14:textId="08B7D017" w:rsidR="005B26AB" w:rsidRPr="00FB4EFA" w:rsidRDefault="005B26AB" w:rsidP="00AF0CAD">
      <w:pPr>
        <w:tabs>
          <w:tab w:val="left" w:pos="709"/>
          <w:tab w:val="left" w:pos="1560"/>
          <w:tab w:val="left" w:pos="3119"/>
          <w:tab w:val="left" w:pos="4111"/>
          <w:tab w:val="left" w:pos="5245"/>
        </w:tabs>
        <w:spacing w:line="240" w:lineRule="auto"/>
        <w:rPr>
          <w:rFonts w:eastAsia="Times New Roman" w:cs="Charis SIL"/>
          <w:lang w:val="en-US"/>
        </w:rPr>
      </w:pPr>
      <w:r w:rsidRPr="00FB4EFA">
        <w:rPr>
          <w:rFonts w:eastAsia="Times New Roman" w:cs="Charis SIL"/>
          <w:lang w:val="en-US"/>
        </w:rPr>
        <w:t>(3)</w:t>
      </w:r>
      <w:r w:rsidRPr="00FB4EFA">
        <w:rPr>
          <w:rFonts w:eastAsia="Times New Roman" w:cs="Charis SIL"/>
          <w:lang w:val="en-US"/>
        </w:rPr>
        <w:tab/>
      </w:r>
      <w:r w:rsidR="002B68BC" w:rsidRPr="00FB4EFA">
        <w:rPr>
          <w:rFonts w:eastAsia="Times New Roman" w:cs="Charis SIL"/>
          <w:i/>
          <w:lang w:val="en-US"/>
        </w:rPr>
        <w:t>X</w:t>
      </w:r>
      <w:r w:rsidRPr="00FB4EFA">
        <w:rPr>
          <w:rFonts w:eastAsia="Times New Roman" w:cs="Charis SIL"/>
          <w:i/>
          <w:lang w:val="en-US"/>
        </w:rPr>
        <w:t>uń</w:t>
      </w:r>
      <w:r w:rsidRPr="00FB4EFA">
        <w:rPr>
          <w:rFonts w:eastAsia="Times New Roman" w:cs="Charis SIL"/>
          <w:i/>
          <w:lang w:val="en-US"/>
        </w:rPr>
        <w:tab/>
        <w:t>sāliŋ</w:t>
      </w:r>
      <w:r w:rsidRPr="00FB4EFA">
        <w:rPr>
          <w:rFonts w:eastAsia="Times New Roman" w:cs="Charis SIL"/>
          <w:i/>
          <w:lang w:val="en-US"/>
        </w:rPr>
        <w:tab/>
        <w:t>māχum</w:t>
      </w:r>
      <w:r w:rsidRPr="00FB4EFA">
        <w:rPr>
          <w:rFonts w:eastAsia="Times New Roman" w:cs="Charis SIL"/>
          <w:i/>
          <w:lang w:val="en-US"/>
        </w:rPr>
        <w:tab/>
        <w:t>tēli</w:t>
      </w:r>
      <w:r w:rsidRPr="00FB4EFA">
        <w:rPr>
          <w:rFonts w:eastAsia="Times New Roman" w:cs="Charis SIL"/>
          <w:i/>
          <w:lang w:val="en-US"/>
        </w:rPr>
        <w:tab/>
        <w:t>ńōr-nəl</w:t>
      </w:r>
      <w:r w:rsidRPr="00FB4EFA">
        <w:rPr>
          <w:rFonts w:eastAsia="Times New Roman" w:cs="Charis SIL"/>
          <w:i/>
          <w:lang w:val="en-US"/>
        </w:rPr>
        <w:br/>
      </w:r>
      <w:r w:rsidRPr="00FB4EFA">
        <w:rPr>
          <w:rFonts w:eastAsia="Times New Roman" w:cs="Charis SIL"/>
          <w:b/>
          <w:i/>
          <w:lang w:val="en-US"/>
        </w:rPr>
        <w:tab/>
      </w:r>
      <w:r w:rsidRPr="00FB4EFA">
        <w:rPr>
          <w:rFonts w:eastAsia="Times New Roman" w:cs="Charis SIL"/>
          <w:lang w:val="en-US"/>
        </w:rPr>
        <w:t>when</w:t>
      </w:r>
      <w:r w:rsidRPr="00FB4EFA">
        <w:rPr>
          <w:rFonts w:eastAsia="Times New Roman" w:cs="Charis SIL"/>
          <w:lang w:val="en-US"/>
        </w:rPr>
        <w:tab/>
        <w:t>with.reindeers</w:t>
      </w:r>
      <w:r w:rsidRPr="00FB4EFA">
        <w:rPr>
          <w:rFonts w:eastAsia="Times New Roman" w:cs="Charis SIL"/>
          <w:i/>
          <w:lang w:val="en-US"/>
        </w:rPr>
        <w:tab/>
      </w:r>
      <w:r w:rsidRPr="00FB4EFA">
        <w:rPr>
          <w:rFonts w:eastAsia="Times New Roman" w:cs="Charis SIL"/>
          <w:lang w:val="en-US"/>
        </w:rPr>
        <w:t>people</w:t>
      </w:r>
      <w:r w:rsidRPr="00FB4EFA">
        <w:rPr>
          <w:rFonts w:eastAsia="Times New Roman" w:cs="Charis SIL"/>
          <w:lang w:val="en-US"/>
        </w:rPr>
        <w:tab/>
        <w:t>winter</w:t>
      </w:r>
      <w:r w:rsidRPr="00FB4EFA">
        <w:rPr>
          <w:rFonts w:eastAsia="Times New Roman" w:cs="Charis SIL"/>
          <w:lang w:val="en-US"/>
        </w:rPr>
        <w:tab/>
        <w:t>hill-</w:t>
      </w:r>
      <w:r w:rsidRPr="00FB4EFA">
        <w:rPr>
          <w:rFonts w:eastAsia="Times New Roman" w:cs="Charis SIL"/>
          <w:smallCaps/>
          <w:lang w:val="en-US"/>
        </w:rPr>
        <w:t>abl</w:t>
      </w:r>
      <w:r w:rsidRPr="00FB4EFA">
        <w:rPr>
          <w:rFonts w:eastAsia="Times New Roman" w:cs="Charis SIL"/>
          <w:lang w:val="en-US"/>
        </w:rPr>
        <w:tab/>
      </w:r>
    </w:p>
    <w:p w14:paraId="088C7587" w14:textId="55D5E243" w:rsidR="005B26AB" w:rsidRPr="00FB4EFA" w:rsidRDefault="005B26AB" w:rsidP="00AF0CAD">
      <w:pPr>
        <w:tabs>
          <w:tab w:val="left" w:pos="709"/>
          <w:tab w:val="left" w:pos="3261"/>
        </w:tabs>
        <w:spacing w:line="240" w:lineRule="auto"/>
        <w:ind w:left="700" w:hanging="700"/>
        <w:rPr>
          <w:rFonts w:eastAsia="Times New Roman" w:cs="Charis SIL"/>
          <w:lang w:val="en-US"/>
        </w:rPr>
      </w:pPr>
      <w:r w:rsidRPr="00FB4EFA">
        <w:rPr>
          <w:rFonts w:eastAsia="Times New Roman" w:cs="Charis SIL"/>
          <w:b/>
          <w:i/>
          <w:lang w:val="en-US"/>
        </w:rPr>
        <w:tab/>
        <w:t>nāluw</w:t>
      </w:r>
      <w:r w:rsidRPr="00FB4EFA">
        <w:rPr>
          <w:rFonts w:eastAsia="Times New Roman" w:cs="Charis SIL"/>
          <w:b/>
          <w:i/>
          <w:lang w:val="en-US"/>
        </w:rPr>
        <w:tab/>
      </w:r>
      <w:r w:rsidRPr="00FB4EFA">
        <w:rPr>
          <w:rFonts w:eastAsia="Times New Roman" w:cs="Charis SIL"/>
          <w:i/>
          <w:lang w:val="en-US"/>
        </w:rPr>
        <w:t>wā</w:t>
      </w:r>
      <w:r w:rsidR="003C3714" w:rsidRPr="00FB4EFA">
        <w:rPr>
          <w:rFonts w:eastAsia="Times New Roman" w:cs="Charis SIL"/>
          <w:i/>
          <w:lang w:val="en-US"/>
        </w:rPr>
        <w:t>γ</w:t>
      </w:r>
      <w:r w:rsidRPr="00FB4EFA">
        <w:rPr>
          <w:rFonts w:eastAsia="Times New Roman" w:cs="Charis SIL"/>
          <w:i/>
          <w:lang w:val="en-US"/>
        </w:rPr>
        <w:t>l-ē</w:t>
      </w:r>
      <w:r w:rsidR="003C3714" w:rsidRPr="00FB4EFA">
        <w:rPr>
          <w:rFonts w:eastAsia="Times New Roman" w:cs="Charis SIL"/>
          <w:i/>
          <w:lang w:val="en-US"/>
        </w:rPr>
        <w:t>γ</w:t>
      </w:r>
      <w:r w:rsidRPr="00FB4EFA">
        <w:rPr>
          <w:rFonts w:eastAsia="Times New Roman" w:cs="Charis SIL"/>
          <w:i/>
          <w:lang w:val="en-US"/>
        </w:rPr>
        <w:t>ət</w:t>
      </w:r>
      <w:r w:rsidR="00950296" w:rsidRPr="00FB4EFA">
        <w:rPr>
          <w:rFonts w:eastAsia="Times New Roman" w:cs="Charis SIL"/>
          <w:i/>
          <w:lang w:val="en-US"/>
        </w:rPr>
        <w:t>…</w:t>
      </w:r>
      <w:r w:rsidRPr="00FB4EFA">
        <w:rPr>
          <w:rFonts w:eastAsia="Times New Roman" w:cs="Charis SIL"/>
          <w:i/>
          <w:lang w:val="en-US"/>
        </w:rPr>
        <w:br/>
      </w:r>
      <w:r w:rsidRPr="00FB4EFA">
        <w:rPr>
          <w:rFonts w:eastAsia="Times New Roman" w:cs="Charis SIL"/>
          <w:lang w:val="en-US"/>
        </w:rPr>
        <w:t>down.from.the.hill</w:t>
      </w:r>
      <w:r w:rsidRPr="00FB4EFA">
        <w:rPr>
          <w:rFonts w:eastAsia="Times New Roman" w:cs="Charis SIL"/>
          <w:lang w:val="en-US"/>
        </w:rPr>
        <w:tab/>
        <w:t>descend-</w:t>
      </w:r>
      <w:r w:rsidRPr="00FB4EFA">
        <w:rPr>
          <w:rFonts w:eastAsia="Times New Roman" w:cs="Charis SIL"/>
          <w:smallCaps/>
          <w:lang w:val="en-US"/>
        </w:rPr>
        <w:t>3pl</w:t>
      </w:r>
    </w:p>
    <w:p w14:paraId="0F857943" w14:textId="76299C86" w:rsidR="005B26AB" w:rsidRPr="00FB4EFA" w:rsidRDefault="005B26AB" w:rsidP="00CC79AF">
      <w:pPr>
        <w:tabs>
          <w:tab w:val="left" w:pos="709"/>
          <w:tab w:val="left" w:pos="1560"/>
          <w:tab w:val="left" w:pos="2410"/>
          <w:tab w:val="left" w:pos="3686"/>
          <w:tab w:val="left" w:pos="5245"/>
        </w:tabs>
        <w:spacing w:line="240" w:lineRule="auto"/>
        <w:ind w:left="700"/>
        <w:rPr>
          <w:rFonts w:cs="Charis SIL"/>
          <w:lang w:val="en-US"/>
        </w:rPr>
      </w:pPr>
      <w:r w:rsidRPr="00FB4EFA">
        <w:rPr>
          <w:rFonts w:eastAsia="Times New Roman" w:cs="Charis SIL"/>
          <w:lang w:val="en-US"/>
        </w:rPr>
        <w:t>‘When the reindeer breeders come down from the hill in winter</w:t>
      </w:r>
      <w:r w:rsidR="00796AD3" w:rsidRPr="00FB4EFA">
        <w:rPr>
          <w:rFonts w:eastAsia="Times New Roman" w:cs="Charis SIL"/>
          <w:lang w:val="en-US"/>
        </w:rPr>
        <w:t xml:space="preserve"> </w:t>
      </w:r>
      <w:r w:rsidR="00950296" w:rsidRPr="00FB4EFA">
        <w:rPr>
          <w:rFonts w:eastAsia="Times New Roman" w:cs="Charis SIL"/>
          <w:lang w:val="en-US"/>
        </w:rPr>
        <w:t>…</w:t>
      </w:r>
      <w:r w:rsidRPr="00FB4EFA">
        <w:rPr>
          <w:rFonts w:eastAsia="Times New Roman" w:cs="Charis SIL"/>
          <w:lang w:val="en-US"/>
        </w:rPr>
        <w:t>’ (LS 2017/12: 11)</w:t>
      </w:r>
    </w:p>
    <w:p w14:paraId="0E89C22E" w14:textId="77777777" w:rsidR="005B26AB" w:rsidRPr="00FB4EFA" w:rsidRDefault="005B26AB" w:rsidP="00AF0CAD">
      <w:pPr>
        <w:spacing w:before="240" w:line="240" w:lineRule="auto"/>
        <w:ind w:firstLine="700"/>
        <w:rPr>
          <w:rFonts w:cs="Charis SIL"/>
          <w:lang w:val="en-US"/>
        </w:rPr>
      </w:pPr>
      <w:r w:rsidRPr="00FB4EFA">
        <w:rPr>
          <w:rFonts w:cs="Charis SIL"/>
          <w:b/>
          <w:lang w:val="en-US"/>
        </w:rPr>
        <w:lastRenderedPageBreak/>
        <w:t>B</w:t>
      </w:r>
      <w:r w:rsidRPr="00FB4EFA">
        <w:rPr>
          <w:rFonts w:cs="Charis SIL"/>
          <w:lang w:val="en-US"/>
        </w:rPr>
        <w:t xml:space="preserve"> ‘from the inner part of the house/room to the door’;</w:t>
      </w:r>
    </w:p>
    <w:p w14:paraId="55EB1316" w14:textId="77777777" w:rsidR="005B26AB" w:rsidRPr="00FB4EFA" w:rsidRDefault="005B26AB" w:rsidP="00CC79AF">
      <w:pPr>
        <w:spacing w:before="240" w:line="240" w:lineRule="auto"/>
        <w:rPr>
          <w:rFonts w:eastAsia="Times New Roman" w:cs="Charis SIL"/>
          <w:lang w:val="en-US"/>
        </w:rPr>
      </w:pPr>
      <w:r w:rsidRPr="00FB4EFA">
        <w:rPr>
          <w:rFonts w:eastAsia="Times New Roman" w:cs="Charis SIL"/>
          <w:lang w:val="en-US"/>
        </w:rPr>
        <w:t>Mansi (Northern)</w:t>
      </w:r>
    </w:p>
    <w:p w14:paraId="36480B8F" w14:textId="14C3199C" w:rsidR="005B26AB" w:rsidRPr="00FB4EFA" w:rsidRDefault="005B26AB" w:rsidP="00AF0CAD">
      <w:pPr>
        <w:tabs>
          <w:tab w:val="left" w:pos="709"/>
          <w:tab w:val="left" w:pos="2694"/>
          <w:tab w:val="left" w:pos="3969"/>
          <w:tab w:val="left" w:pos="4678"/>
          <w:tab w:val="left" w:pos="5529"/>
        </w:tabs>
        <w:spacing w:line="240" w:lineRule="auto"/>
        <w:rPr>
          <w:rFonts w:eastAsia="Times New Roman" w:cs="Charis SIL"/>
          <w:lang w:val="en-US"/>
        </w:rPr>
      </w:pPr>
      <w:r w:rsidRPr="00FB4EFA">
        <w:rPr>
          <w:rFonts w:eastAsia="Times New Roman" w:cs="Charis SIL"/>
          <w:lang w:val="en-US"/>
        </w:rPr>
        <w:t>(4)</w:t>
      </w:r>
      <w:r w:rsidRPr="00FB4EFA">
        <w:rPr>
          <w:rFonts w:eastAsia="Times New Roman" w:cs="Charis SIL"/>
          <w:lang w:val="en-US"/>
        </w:rPr>
        <w:tab/>
      </w:r>
      <w:r w:rsidRPr="00FB4EFA">
        <w:rPr>
          <w:rFonts w:eastAsia="Times New Roman" w:cs="Charis SIL"/>
          <w:i/>
          <w:lang w:val="en-US"/>
        </w:rPr>
        <w:t>Sasi</w:t>
      </w:r>
      <w:r w:rsidR="003C3714" w:rsidRPr="00FB4EFA">
        <w:rPr>
          <w:rFonts w:eastAsia="Times New Roman" w:cs="Charis SIL"/>
          <w:i/>
          <w:lang w:val="en-US"/>
        </w:rPr>
        <w:t>γ</w:t>
      </w:r>
      <w:r w:rsidRPr="00FB4EFA">
        <w:rPr>
          <w:rFonts w:eastAsia="Times New Roman" w:cs="Charis SIL"/>
          <w:i/>
          <w:lang w:val="en-US"/>
        </w:rPr>
        <w:t>-ťe-m</w:t>
      </w:r>
      <w:r w:rsidRPr="00FB4EFA">
        <w:rPr>
          <w:rFonts w:eastAsia="Times New Roman" w:cs="Charis SIL"/>
          <w:i/>
          <w:lang w:val="en-US"/>
        </w:rPr>
        <w:tab/>
        <w:t>kol-t</w:t>
      </w:r>
      <w:r w:rsidRPr="00FB4EFA">
        <w:rPr>
          <w:rFonts w:eastAsia="Times New Roman" w:cs="Charis SIL"/>
          <w:i/>
          <w:lang w:val="en-US"/>
        </w:rPr>
        <w:tab/>
        <w:t>ńāl</w:t>
      </w:r>
      <w:r w:rsidRPr="00FB4EFA">
        <w:rPr>
          <w:rFonts w:eastAsia="Times New Roman" w:cs="Charis SIL"/>
          <w:i/>
          <w:lang w:val="en-US"/>
        </w:rPr>
        <w:tab/>
        <w:t>pā</w:t>
      </w:r>
      <w:r w:rsidR="003C3714" w:rsidRPr="00FB4EFA">
        <w:rPr>
          <w:rFonts w:eastAsia="Times New Roman" w:cs="Charis SIL"/>
          <w:i/>
          <w:lang w:val="en-US"/>
        </w:rPr>
        <w:t>γ</w:t>
      </w:r>
      <w:r w:rsidRPr="00FB4EFA">
        <w:rPr>
          <w:rFonts w:eastAsia="Times New Roman" w:cs="Charis SIL"/>
          <w:i/>
          <w:lang w:val="en-US"/>
        </w:rPr>
        <w:t>ľe</w:t>
      </w:r>
      <w:r w:rsidRPr="00FB4EFA">
        <w:rPr>
          <w:rFonts w:eastAsia="Times New Roman" w:cs="Charis SIL"/>
          <w:i/>
          <w:lang w:val="en-US"/>
        </w:rPr>
        <w:tab/>
        <w:t>li</w:t>
      </w:r>
      <w:r w:rsidR="003C3714" w:rsidRPr="00FB4EFA">
        <w:rPr>
          <w:rFonts w:eastAsia="Times New Roman" w:cs="Charis SIL"/>
          <w:i/>
          <w:lang w:val="en-US"/>
        </w:rPr>
        <w:t>γ</w:t>
      </w:r>
      <w:r w:rsidRPr="00FB4EFA">
        <w:rPr>
          <w:rFonts w:eastAsia="Times New Roman" w:cs="Charis SIL"/>
          <w:i/>
          <w:lang w:val="en-US"/>
        </w:rPr>
        <w:t>-əm,</w:t>
      </w:r>
      <w:r w:rsidRPr="00FB4EFA">
        <w:rPr>
          <w:rFonts w:eastAsia="Times New Roman" w:cs="Charis SIL"/>
          <w:i/>
          <w:lang w:val="en-US"/>
        </w:rPr>
        <w:br/>
      </w:r>
      <w:r w:rsidRPr="00FB4EFA">
        <w:rPr>
          <w:rFonts w:eastAsia="Times New Roman" w:cs="Charis SIL"/>
          <w:i/>
          <w:lang w:val="en-US"/>
        </w:rPr>
        <w:tab/>
      </w:r>
      <w:r w:rsidRPr="00FB4EFA">
        <w:rPr>
          <w:rFonts w:eastAsia="Times New Roman" w:cs="Charis SIL"/>
          <w:lang w:val="en-US"/>
        </w:rPr>
        <w:t>uncle-</w:t>
      </w:r>
      <w:r w:rsidRPr="00FB4EFA">
        <w:rPr>
          <w:rFonts w:eastAsia="Times New Roman" w:cs="Charis SIL"/>
          <w:smallCaps/>
          <w:lang w:val="en-US"/>
        </w:rPr>
        <w:t>dim</w:t>
      </w:r>
      <w:r w:rsidRPr="00FB4EFA">
        <w:rPr>
          <w:rFonts w:eastAsia="Times New Roman" w:cs="Charis SIL"/>
          <w:lang w:val="en-US"/>
        </w:rPr>
        <w:t>-</w:t>
      </w:r>
      <w:r w:rsidRPr="00FB4EFA">
        <w:rPr>
          <w:rFonts w:eastAsia="Times New Roman" w:cs="Charis SIL"/>
          <w:smallCaps/>
          <w:lang w:val="en-US"/>
        </w:rPr>
        <w:t>px1sg</w:t>
      </w:r>
      <w:r w:rsidRPr="00FB4EFA">
        <w:rPr>
          <w:rFonts w:eastAsia="Times New Roman" w:cs="Charis SIL"/>
          <w:lang w:val="en-US"/>
        </w:rPr>
        <w:tab/>
        <w:t>house-</w:t>
      </w:r>
      <w:r w:rsidRPr="00FB4EFA">
        <w:rPr>
          <w:rFonts w:eastAsia="Times New Roman" w:cs="Charis SIL"/>
          <w:smallCaps/>
          <w:lang w:val="en-US"/>
        </w:rPr>
        <w:t>loc</w:t>
      </w:r>
      <w:r w:rsidRPr="00FB4EFA">
        <w:rPr>
          <w:rFonts w:eastAsia="Times New Roman" w:cs="Charis SIL"/>
          <w:lang w:val="en-US"/>
        </w:rPr>
        <w:tab/>
        <w:t>arrow</w:t>
      </w:r>
      <w:r w:rsidRPr="00FB4EFA">
        <w:rPr>
          <w:rFonts w:eastAsia="Times New Roman" w:cs="Charis SIL"/>
          <w:lang w:val="en-US"/>
        </w:rPr>
        <w:tab/>
        <w:t>inward</w:t>
      </w:r>
      <w:r w:rsidRPr="00FB4EFA">
        <w:rPr>
          <w:rFonts w:eastAsia="Times New Roman" w:cs="Charis SIL"/>
          <w:lang w:val="en-US"/>
        </w:rPr>
        <w:tab/>
        <w:t>shoot-</w:t>
      </w:r>
      <w:r w:rsidRPr="00FB4EFA">
        <w:rPr>
          <w:rFonts w:eastAsia="Times New Roman" w:cs="Charis SIL"/>
          <w:smallCaps/>
          <w:lang w:val="en-US"/>
        </w:rPr>
        <w:t>1sg</w:t>
      </w:r>
    </w:p>
    <w:p w14:paraId="04F03B41" w14:textId="6DF84212" w:rsidR="005B26AB" w:rsidRPr="00FB4EFA" w:rsidRDefault="005B26AB" w:rsidP="00AF0CAD">
      <w:pPr>
        <w:tabs>
          <w:tab w:val="left" w:pos="1560"/>
          <w:tab w:val="left" w:pos="2268"/>
          <w:tab w:val="left" w:pos="3119"/>
          <w:tab w:val="left" w:pos="4678"/>
          <w:tab w:val="left" w:pos="5387"/>
        </w:tabs>
        <w:spacing w:line="240" w:lineRule="auto"/>
        <w:ind w:firstLine="720"/>
        <w:rPr>
          <w:rFonts w:eastAsia="Times New Roman" w:cs="Charis SIL"/>
          <w:i/>
          <w:lang w:val="en-US"/>
        </w:rPr>
      </w:pPr>
      <w:r w:rsidRPr="00FB4EFA">
        <w:rPr>
          <w:rFonts w:eastAsia="Times New Roman" w:cs="Charis SIL"/>
          <w:i/>
          <w:lang w:val="en-US"/>
        </w:rPr>
        <w:t>nas</w:t>
      </w:r>
      <w:r w:rsidRPr="00FB4EFA">
        <w:rPr>
          <w:rFonts w:eastAsia="Times New Roman" w:cs="Charis SIL"/>
          <w:i/>
          <w:lang w:val="en-US"/>
        </w:rPr>
        <w:tab/>
        <w:t>lūratāl-i,</w:t>
      </w:r>
      <w:r w:rsidRPr="00FB4EFA">
        <w:rPr>
          <w:rFonts w:eastAsia="Times New Roman" w:cs="Charis SIL"/>
          <w:i/>
          <w:lang w:val="en-US"/>
        </w:rPr>
        <w:tab/>
      </w:r>
      <w:r w:rsidRPr="00FB4EFA">
        <w:rPr>
          <w:rFonts w:eastAsia="Times New Roman" w:cs="Charis SIL"/>
          <w:b/>
          <w:i/>
          <w:lang w:val="en-US"/>
        </w:rPr>
        <w:t>nālwaľ</w:t>
      </w:r>
      <w:r w:rsidRPr="00FB4EFA">
        <w:rPr>
          <w:rFonts w:eastAsia="Times New Roman" w:cs="Charis SIL"/>
          <w:b/>
          <w:i/>
          <w:lang w:val="en-US"/>
        </w:rPr>
        <w:tab/>
      </w:r>
      <w:r w:rsidRPr="00FB4EFA">
        <w:rPr>
          <w:rFonts w:eastAsia="Times New Roman" w:cs="Charis SIL"/>
          <w:i/>
          <w:lang w:val="en-US"/>
        </w:rPr>
        <w:t>li</w:t>
      </w:r>
      <w:r w:rsidR="003C3714" w:rsidRPr="00FB4EFA">
        <w:rPr>
          <w:rFonts w:eastAsia="Times New Roman" w:cs="Charis SIL"/>
          <w:i/>
          <w:lang w:val="en-US"/>
        </w:rPr>
        <w:t>γ</w:t>
      </w:r>
      <w:r w:rsidRPr="00FB4EFA">
        <w:rPr>
          <w:rFonts w:eastAsia="Times New Roman" w:cs="Charis SIL"/>
          <w:i/>
          <w:lang w:val="en-US"/>
        </w:rPr>
        <w:t>-ləm,</w:t>
      </w:r>
    </w:p>
    <w:p w14:paraId="0F1DD8F9" w14:textId="4004B501" w:rsidR="005B26AB" w:rsidRPr="00FB4EFA" w:rsidRDefault="005B26AB" w:rsidP="00CC79AF">
      <w:pPr>
        <w:tabs>
          <w:tab w:val="left" w:pos="1560"/>
          <w:tab w:val="left" w:pos="2268"/>
          <w:tab w:val="left" w:pos="3119"/>
          <w:tab w:val="left" w:pos="4678"/>
          <w:tab w:val="left" w:pos="5387"/>
        </w:tabs>
        <w:spacing w:line="240" w:lineRule="auto"/>
        <w:ind w:firstLine="720"/>
        <w:rPr>
          <w:rFonts w:eastAsia="Times New Roman" w:cs="Charis SIL"/>
          <w:lang w:val="en-US"/>
        </w:rPr>
      </w:pPr>
      <w:r w:rsidRPr="00FB4EFA">
        <w:rPr>
          <w:rFonts w:eastAsia="Times New Roman" w:cs="Charis SIL"/>
          <w:lang w:val="en-US"/>
        </w:rPr>
        <w:t>just</w:t>
      </w:r>
      <w:r w:rsidRPr="00FB4EFA">
        <w:rPr>
          <w:rFonts w:eastAsia="Times New Roman" w:cs="Charis SIL"/>
          <w:lang w:val="en-US"/>
        </w:rPr>
        <w:tab/>
        <w:t>twang-</w:t>
      </w:r>
      <w:r w:rsidRPr="00FB4EFA">
        <w:rPr>
          <w:rFonts w:eastAsia="Times New Roman" w:cs="Charis SIL"/>
          <w:smallCaps/>
          <w:lang w:val="en-US"/>
        </w:rPr>
        <w:t>3sg</w:t>
      </w:r>
      <w:r w:rsidRPr="00FB4EFA">
        <w:rPr>
          <w:rFonts w:eastAsia="Times New Roman" w:cs="Charis SIL"/>
          <w:lang w:val="en-US"/>
        </w:rPr>
        <w:tab/>
        <w:t>outward</w:t>
      </w:r>
      <w:r w:rsidRPr="00FB4EFA">
        <w:rPr>
          <w:rFonts w:eastAsia="Times New Roman" w:cs="Charis SIL"/>
          <w:lang w:val="en-US"/>
        </w:rPr>
        <w:tab/>
        <w:t>shoot-</w:t>
      </w:r>
      <w:r w:rsidRPr="00FB4EFA">
        <w:rPr>
          <w:rFonts w:eastAsia="Times New Roman" w:cs="Charis SIL"/>
          <w:smallCaps/>
          <w:lang w:val="en-US"/>
        </w:rPr>
        <w:t>sg</w:t>
      </w:r>
      <w:r w:rsidRPr="00FB4EFA">
        <w:rPr>
          <w:rFonts w:eastAsia="Times New Roman" w:cs="Charis SIL"/>
          <w:lang w:val="en-US"/>
        </w:rPr>
        <w:t>.</w:t>
      </w:r>
      <w:r w:rsidRPr="00FB4EFA">
        <w:rPr>
          <w:rFonts w:eastAsia="Times New Roman" w:cs="Charis SIL"/>
          <w:smallCaps/>
          <w:lang w:val="en-US"/>
        </w:rPr>
        <w:t>1sg</w:t>
      </w:r>
    </w:p>
    <w:p w14:paraId="07199051" w14:textId="77777777" w:rsidR="005B26AB" w:rsidRPr="00FB4EFA" w:rsidRDefault="005B26AB" w:rsidP="00AF0CAD">
      <w:pPr>
        <w:tabs>
          <w:tab w:val="left" w:pos="1560"/>
          <w:tab w:val="left" w:pos="2268"/>
          <w:tab w:val="left" w:pos="3261"/>
          <w:tab w:val="left" w:pos="4962"/>
          <w:tab w:val="left" w:pos="5387"/>
        </w:tabs>
        <w:spacing w:line="240" w:lineRule="auto"/>
        <w:ind w:firstLine="720"/>
        <w:rPr>
          <w:rFonts w:eastAsia="Times New Roman" w:cs="Charis SIL"/>
          <w:i/>
          <w:lang w:val="en-US"/>
        </w:rPr>
      </w:pPr>
      <w:r w:rsidRPr="00FB4EFA">
        <w:rPr>
          <w:rFonts w:eastAsia="Times New Roman" w:cs="Charis SIL"/>
          <w:i/>
          <w:lang w:val="en-US"/>
        </w:rPr>
        <w:t>nas</w:t>
      </w:r>
      <w:r w:rsidRPr="00FB4EFA">
        <w:rPr>
          <w:rFonts w:eastAsia="Times New Roman" w:cs="Charis SIL"/>
          <w:i/>
          <w:lang w:val="en-US"/>
        </w:rPr>
        <w:tab/>
        <w:t>lūratāl-i</w:t>
      </w:r>
    </w:p>
    <w:p w14:paraId="7AC22E51" w14:textId="4F1742C5" w:rsidR="005B26AB" w:rsidRPr="00FB4EFA" w:rsidRDefault="005B26AB" w:rsidP="00CC79AF">
      <w:pPr>
        <w:tabs>
          <w:tab w:val="left" w:pos="1560"/>
          <w:tab w:val="left" w:pos="2268"/>
          <w:tab w:val="left" w:pos="3261"/>
          <w:tab w:val="left" w:pos="4962"/>
          <w:tab w:val="left" w:pos="5387"/>
        </w:tabs>
        <w:spacing w:line="240" w:lineRule="auto"/>
        <w:ind w:firstLine="720"/>
        <w:rPr>
          <w:rFonts w:eastAsia="Times New Roman" w:cs="Charis SIL"/>
          <w:lang w:val="en-US"/>
        </w:rPr>
      </w:pPr>
      <w:r w:rsidRPr="00FB4EFA">
        <w:rPr>
          <w:rFonts w:eastAsia="Times New Roman" w:cs="Charis SIL"/>
          <w:lang w:val="en-US"/>
        </w:rPr>
        <w:t>just</w:t>
      </w:r>
      <w:r w:rsidRPr="00FB4EFA">
        <w:rPr>
          <w:rFonts w:eastAsia="Times New Roman" w:cs="Charis SIL"/>
          <w:lang w:val="en-US"/>
        </w:rPr>
        <w:tab/>
        <w:t>twang-</w:t>
      </w:r>
      <w:r w:rsidRPr="00FB4EFA">
        <w:rPr>
          <w:rFonts w:eastAsia="Times New Roman" w:cs="Charis SIL"/>
          <w:smallCaps/>
          <w:lang w:val="en-US"/>
        </w:rPr>
        <w:t>3sg</w:t>
      </w:r>
    </w:p>
    <w:p w14:paraId="0677D0CA" w14:textId="77777777" w:rsidR="005B26AB" w:rsidRPr="00FB4EFA" w:rsidRDefault="005B26AB" w:rsidP="00CC79AF">
      <w:pPr>
        <w:spacing w:line="240" w:lineRule="auto"/>
        <w:ind w:left="720"/>
        <w:rPr>
          <w:rFonts w:eastAsia="Times New Roman" w:cs="Charis SIL"/>
          <w:lang w:val="en-US"/>
        </w:rPr>
      </w:pPr>
      <w:r w:rsidRPr="00FB4EFA">
        <w:rPr>
          <w:rFonts w:eastAsia="Times New Roman" w:cs="Charis SIL"/>
          <w:lang w:val="en-US"/>
        </w:rPr>
        <w:t>‘In my uncle’s house if I shoot an arrow inward it just twangs, if I shoot it outwards it also just twangs.’ (Kálmán 1976: 66)</w:t>
      </w:r>
    </w:p>
    <w:p w14:paraId="3D91967F" w14:textId="77777777" w:rsidR="005B26AB" w:rsidRPr="00FB4EFA" w:rsidRDefault="005B26AB" w:rsidP="00CC79AF">
      <w:pPr>
        <w:keepNext/>
        <w:spacing w:before="240" w:line="240" w:lineRule="auto"/>
        <w:rPr>
          <w:rFonts w:eastAsia="Times New Roman" w:cs="Charis SIL"/>
          <w:lang w:val="en-US"/>
        </w:rPr>
      </w:pPr>
      <w:r w:rsidRPr="00FB4EFA">
        <w:rPr>
          <w:rFonts w:eastAsia="Times New Roman" w:cs="Charis SIL"/>
          <w:lang w:val="en-US"/>
        </w:rPr>
        <w:t>Khanty (Northern, Synya)</w:t>
      </w:r>
    </w:p>
    <w:p w14:paraId="15475A0F" w14:textId="77777777" w:rsidR="005B26AB" w:rsidRPr="00FB4EFA" w:rsidRDefault="005B26AB" w:rsidP="00AF0CAD">
      <w:pPr>
        <w:keepNext/>
        <w:tabs>
          <w:tab w:val="left" w:pos="709"/>
          <w:tab w:val="left" w:pos="2977"/>
          <w:tab w:val="left" w:pos="4678"/>
        </w:tabs>
        <w:spacing w:line="240" w:lineRule="auto"/>
        <w:rPr>
          <w:rFonts w:eastAsia="Times New Roman" w:cs="Charis SIL"/>
          <w:lang w:val="en-US"/>
        </w:rPr>
      </w:pPr>
      <w:r w:rsidRPr="00FB4EFA">
        <w:rPr>
          <w:rFonts w:eastAsia="Times New Roman" w:cs="Charis SIL"/>
          <w:lang w:val="en-US"/>
        </w:rPr>
        <w:t>(5)</w:t>
      </w:r>
      <w:r w:rsidRPr="00FB4EFA">
        <w:rPr>
          <w:rFonts w:eastAsia="Times New Roman" w:cs="Charis SIL"/>
          <w:lang w:val="en-US"/>
        </w:rPr>
        <w:tab/>
      </w:r>
      <w:r w:rsidRPr="00FB4EFA">
        <w:rPr>
          <w:rFonts w:eastAsia="Times New Roman" w:cs="Charis SIL"/>
          <w:i/>
          <w:lang w:val="en-US"/>
        </w:rPr>
        <w:t>Nē-lal-n</w:t>
      </w:r>
      <w:r w:rsidRPr="00FB4EFA">
        <w:rPr>
          <w:rFonts w:eastAsia="Times New Roman" w:cs="Charis SIL"/>
          <w:i/>
          <w:lang w:val="en-US"/>
        </w:rPr>
        <w:tab/>
      </w:r>
      <w:r w:rsidRPr="00FB4EFA">
        <w:rPr>
          <w:rFonts w:eastAsia="Times New Roman" w:cs="Charis SIL"/>
          <w:b/>
          <w:i/>
          <w:lang w:val="en-US"/>
        </w:rPr>
        <w:t>nik</w:t>
      </w:r>
      <w:r w:rsidRPr="00FB4EFA">
        <w:rPr>
          <w:rFonts w:eastAsia="Times New Roman" w:cs="Charis SIL"/>
          <w:b/>
          <w:i/>
          <w:lang w:val="en-US"/>
        </w:rPr>
        <w:tab/>
      </w:r>
      <w:r w:rsidRPr="00FB4EFA">
        <w:rPr>
          <w:rFonts w:eastAsia="Times New Roman" w:cs="Charis SIL"/>
          <w:i/>
          <w:lang w:val="en-US"/>
        </w:rPr>
        <w:t>ńaremə-s-a,</w:t>
      </w:r>
      <w:r w:rsidRPr="00FB4EFA">
        <w:rPr>
          <w:rFonts w:eastAsia="Times New Roman" w:cs="Charis SIL"/>
          <w:i/>
          <w:lang w:val="en-US"/>
        </w:rPr>
        <w:br/>
      </w:r>
      <w:r w:rsidRPr="00FB4EFA">
        <w:rPr>
          <w:rFonts w:eastAsia="Times New Roman" w:cs="Charis SIL"/>
          <w:lang w:val="en-US"/>
        </w:rPr>
        <w:tab/>
        <w:t>woman-</w:t>
      </w:r>
      <w:r w:rsidRPr="00FB4EFA">
        <w:rPr>
          <w:rFonts w:eastAsia="Times New Roman" w:cs="Charis SIL"/>
          <w:smallCaps/>
          <w:lang w:val="en-US"/>
        </w:rPr>
        <w:t>pxpl.3pl-loc</w:t>
      </w:r>
      <w:r w:rsidRPr="00FB4EFA">
        <w:rPr>
          <w:rFonts w:eastAsia="Times New Roman" w:cs="Charis SIL"/>
          <w:lang w:val="en-US"/>
        </w:rPr>
        <w:tab/>
        <w:t>out.of.the.house</w:t>
      </w:r>
      <w:r w:rsidRPr="00FB4EFA">
        <w:rPr>
          <w:rFonts w:eastAsia="Times New Roman" w:cs="Charis SIL"/>
          <w:lang w:val="en-US"/>
        </w:rPr>
        <w:tab/>
        <w:t>drag-</w:t>
      </w:r>
      <w:r w:rsidRPr="00FB4EFA">
        <w:rPr>
          <w:rFonts w:eastAsia="Times New Roman" w:cs="Charis SIL"/>
          <w:smallCaps/>
          <w:lang w:val="en-US"/>
        </w:rPr>
        <w:t>pst</w:t>
      </w:r>
      <w:r w:rsidRPr="00FB4EFA">
        <w:rPr>
          <w:rFonts w:eastAsia="Times New Roman" w:cs="Charis SIL"/>
          <w:lang w:val="en-US"/>
        </w:rPr>
        <w:t>-</w:t>
      </w:r>
      <w:r w:rsidRPr="00FB4EFA">
        <w:rPr>
          <w:rFonts w:eastAsia="Times New Roman" w:cs="Charis SIL"/>
          <w:smallCaps/>
          <w:lang w:val="en-US"/>
        </w:rPr>
        <w:t>pass</w:t>
      </w:r>
      <w:r w:rsidRPr="00FB4EFA">
        <w:rPr>
          <w:rFonts w:eastAsia="Times New Roman" w:cs="Charis SIL"/>
          <w:lang w:val="en-US"/>
        </w:rPr>
        <w:t>.</w:t>
      </w:r>
      <w:r w:rsidRPr="00FB4EFA">
        <w:rPr>
          <w:rFonts w:eastAsia="Times New Roman" w:cs="Charis SIL"/>
          <w:smallCaps/>
          <w:lang w:val="en-US"/>
        </w:rPr>
        <w:t>3sg</w:t>
      </w:r>
    </w:p>
    <w:p w14:paraId="6D56B5B5" w14:textId="77777777" w:rsidR="005B26AB" w:rsidRPr="00FB4EFA" w:rsidRDefault="005B26AB" w:rsidP="00AF0CAD">
      <w:pPr>
        <w:keepNext/>
        <w:tabs>
          <w:tab w:val="left" w:pos="709"/>
          <w:tab w:val="left" w:pos="1701"/>
          <w:tab w:val="left" w:pos="3402"/>
          <w:tab w:val="left" w:pos="4678"/>
        </w:tabs>
        <w:spacing w:line="240" w:lineRule="auto"/>
        <w:ind w:firstLine="700"/>
        <w:rPr>
          <w:rFonts w:eastAsia="Times New Roman" w:cs="Charis SIL"/>
          <w:i/>
          <w:lang w:val="en-US"/>
        </w:rPr>
      </w:pPr>
      <w:r w:rsidRPr="00FB4EFA">
        <w:rPr>
          <w:rFonts w:eastAsia="Times New Roman" w:cs="Charis SIL"/>
          <w:i/>
          <w:lang w:val="en-US"/>
        </w:rPr>
        <w:t>χon</w:t>
      </w:r>
      <w:r w:rsidRPr="00FB4EFA">
        <w:rPr>
          <w:rFonts w:eastAsia="Times New Roman" w:cs="Charis SIL"/>
          <w:i/>
          <w:lang w:val="en-US"/>
        </w:rPr>
        <w:tab/>
        <w:t>pate-l</w:t>
      </w:r>
      <w:r w:rsidRPr="00FB4EFA">
        <w:rPr>
          <w:rFonts w:eastAsia="Times New Roman" w:cs="Charis SIL"/>
          <w:i/>
          <w:lang w:val="en-US"/>
        </w:rPr>
        <w:tab/>
        <w:t>kāwrəm</w:t>
      </w:r>
      <w:r w:rsidRPr="00FB4EFA">
        <w:rPr>
          <w:rFonts w:eastAsia="Times New Roman" w:cs="Charis SIL"/>
          <w:i/>
          <w:lang w:val="en-US"/>
        </w:rPr>
        <w:tab/>
        <w:t>ńoχij-n</w:t>
      </w:r>
      <w:r w:rsidRPr="00FB4EFA">
        <w:rPr>
          <w:rFonts w:eastAsia="Times New Roman" w:cs="Charis SIL"/>
          <w:i/>
          <w:lang w:val="en-US"/>
        </w:rPr>
        <w:tab/>
      </w:r>
    </w:p>
    <w:p w14:paraId="3285CCCD" w14:textId="77777777" w:rsidR="005B26AB" w:rsidRPr="00FB4EFA" w:rsidRDefault="005B26AB" w:rsidP="00CC79AF">
      <w:pPr>
        <w:keepNext/>
        <w:tabs>
          <w:tab w:val="left" w:pos="709"/>
          <w:tab w:val="left" w:pos="1701"/>
          <w:tab w:val="left" w:pos="3402"/>
          <w:tab w:val="left" w:pos="4678"/>
        </w:tabs>
        <w:spacing w:line="240" w:lineRule="auto"/>
        <w:ind w:left="720"/>
        <w:rPr>
          <w:rFonts w:eastAsia="Times New Roman" w:cs="Charis SIL"/>
          <w:lang w:val="en-US"/>
        </w:rPr>
      </w:pPr>
      <w:r w:rsidRPr="00FB4EFA">
        <w:rPr>
          <w:rFonts w:eastAsia="Times New Roman" w:cs="Charis SIL"/>
          <w:lang w:val="en-US"/>
        </w:rPr>
        <w:t>belly</w:t>
      </w:r>
      <w:r w:rsidRPr="00FB4EFA">
        <w:rPr>
          <w:rFonts w:eastAsia="Times New Roman" w:cs="Charis SIL"/>
          <w:lang w:val="en-US"/>
        </w:rPr>
        <w:tab/>
        <w:t>base-</w:t>
      </w:r>
      <w:r w:rsidRPr="00FB4EFA">
        <w:rPr>
          <w:rFonts w:eastAsia="Times New Roman" w:cs="Charis SIL"/>
          <w:smallCaps/>
          <w:lang w:val="en-US"/>
        </w:rPr>
        <w:t>px3sg</w:t>
      </w:r>
      <w:r w:rsidRPr="00FB4EFA">
        <w:rPr>
          <w:rFonts w:eastAsia="Times New Roman" w:cs="Charis SIL"/>
          <w:lang w:val="en-US"/>
        </w:rPr>
        <w:tab/>
        <w:t>hot</w:t>
      </w:r>
      <w:r w:rsidRPr="00FB4EFA">
        <w:rPr>
          <w:rFonts w:eastAsia="Times New Roman" w:cs="Charis SIL"/>
          <w:lang w:val="en-US"/>
        </w:rPr>
        <w:tab/>
        <w:t>meat-</w:t>
      </w:r>
      <w:r w:rsidRPr="00FB4EFA">
        <w:rPr>
          <w:rFonts w:eastAsia="Times New Roman" w:cs="Charis SIL"/>
          <w:smallCaps/>
          <w:lang w:val="en-US"/>
        </w:rPr>
        <w:t>loc</w:t>
      </w:r>
      <w:r w:rsidRPr="00FB4EFA">
        <w:rPr>
          <w:rFonts w:eastAsia="Times New Roman" w:cs="Charis SIL"/>
          <w:lang w:val="en-US"/>
        </w:rPr>
        <w:tab/>
      </w:r>
    </w:p>
    <w:p w14:paraId="520EAB9D" w14:textId="77777777" w:rsidR="005B26AB" w:rsidRPr="00FB4EFA" w:rsidRDefault="005B26AB" w:rsidP="00AF0CAD">
      <w:pPr>
        <w:keepNext/>
        <w:tabs>
          <w:tab w:val="left" w:pos="709"/>
          <w:tab w:val="left" w:pos="2977"/>
          <w:tab w:val="left" w:pos="4111"/>
        </w:tabs>
        <w:spacing w:line="240" w:lineRule="auto"/>
        <w:ind w:left="720"/>
        <w:rPr>
          <w:rFonts w:eastAsia="Times New Roman" w:cs="Charis SIL"/>
          <w:i/>
          <w:lang w:val="en-US"/>
        </w:rPr>
      </w:pPr>
      <w:r w:rsidRPr="00FB4EFA">
        <w:rPr>
          <w:rFonts w:eastAsia="Times New Roman" w:cs="Charis SIL"/>
          <w:i/>
          <w:lang w:val="en-US"/>
        </w:rPr>
        <w:t>χɔt-s-a</w:t>
      </w:r>
      <w:r w:rsidRPr="00FB4EFA">
        <w:rPr>
          <w:rFonts w:eastAsia="Times New Roman" w:cs="Charis SIL"/>
          <w:i/>
          <w:lang w:val="en-US"/>
        </w:rPr>
        <w:tab/>
        <w:t>ān</w:t>
      </w:r>
      <w:r w:rsidRPr="00FB4EFA">
        <w:rPr>
          <w:rFonts w:eastAsia="Times New Roman" w:cs="Charis SIL"/>
          <w:i/>
          <w:lang w:val="en-US"/>
        </w:rPr>
        <w:tab/>
        <w:t>jukana</w:t>
      </w:r>
    </w:p>
    <w:p w14:paraId="17DA8965" w14:textId="77777777" w:rsidR="005B26AB" w:rsidRPr="00FB4EFA" w:rsidRDefault="005B26AB" w:rsidP="00CC79AF">
      <w:pPr>
        <w:keepNext/>
        <w:tabs>
          <w:tab w:val="left" w:pos="709"/>
          <w:tab w:val="left" w:pos="2977"/>
          <w:tab w:val="left" w:pos="4111"/>
        </w:tabs>
        <w:spacing w:line="240" w:lineRule="auto"/>
        <w:ind w:left="720"/>
        <w:rPr>
          <w:rFonts w:eastAsia="Times New Roman" w:cs="Charis SIL"/>
          <w:lang w:val="en-US"/>
        </w:rPr>
      </w:pPr>
      <w:r w:rsidRPr="00FB4EFA">
        <w:rPr>
          <w:rFonts w:eastAsia="Times New Roman" w:cs="Charis SIL"/>
          <w:lang w:val="en-US"/>
        </w:rPr>
        <w:t>scoop-</w:t>
      </w:r>
      <w:r w:rsidRPr="00FB4EFA">
        <w:rPr>
          <w:rFonts w:eastAsia="Times New Roman" w:cs="Charis SIL"/>
          <w:smallCaps/>
          <w:lang w:val="en-US"/>
        </w:rPr>
        <w:t>pst</w:t>
      </w:r>
      <w:r w:rsidRPr="00FB4EFA">
        <w:rPr>
          <w:rFonts w:eastAsia="Times New Roman" w:cs="Charis SIL"/>
          <w:lang w:val="en-US"/>
        </w:rPr>
        <w:t>-</w:t>
      </w:r>
      <w:r w:rsidRPr="00FB4EFA">
        <w:rPr>
          <w:rFonts w:eastAsia="Times New Roman" w:cs="Charis SIL"/>
          <w:smallCaps/>
          <w:lang w:val="en-US"/>
        </w:rPr>
        <w:t>pass</w:t>
      </w:r>
      <w:r w:rsidRPr="00FB4EFA">
        <w:rPr>
          <w:rFonts w:eastAsia="Times New Roman" w:cs="Charis SIL"/>
          <w:lang w:val="en-US"/>
        </w:rPr>
        <w:t>.</w:t>
      </w:r>
      <w:r w:rsidRPr="00FB4EFA">
        <w:rPr>
          <w:rFonts w:eastAsia="Times New Roman" w:cs="Charis SIL"/>
          <w:smallCaps/>
          <w:lang w:val="en-US"/>
        </w:rPr>
        <w:t>3sg</w:t>
      </w:r>
      <w:r w:rsidRPr="00FB4EFA">
        <w:rPr>
          <w:rFonts w:eastAsia="Times New Roman" w:cs="Charis SIL"/>
          <w:lang w:val="en-US"/>
        </w:rPr>
        <w:tab/>
        <w:t>plate</w:t>
      </w:r>
      <w:r w:rsidRPr="00FB4EFA">
        <w:rPr>
          <w:rFonts w:eastAsia="Times New Roman" w:cs="Charis SIL"/>
          <w:lang w:val="en-US"/>
        </w:rPr>
        <w:tab/>
        <w:t>as</w:t>
      </w:r>
    </w:p>
    <w:p w14:paraId="35D595A0" w14:textId="77777777" w:rsidR="005B26AB" w:rsidRPr="00FB4EFA" w:rsidRDefault="005B26AB" w:rsidP="00CC79AF">
      <w:pPr>
        <w:spacing w:line="240" w:lineRule="auto"/>
        <w:ind w:left="720"/>
        <w:rPr>
          <w:rFonts w:eastAsia="Times New Roman" w:cs="Charis SIL"/>
          <w:lang w:val="en-US"/>
        </w:rPr>
      </w:pPr>
      <w:r w:rsidRPr="00FB4EFA">
        <w:rPr>
          <w:rFonts w:eastAsia="Times New Roman" w:cs="Charis SIL"/>
          <w:lang w:val="en-US"/>
        </w:rPr>
        <w:t>‘The women dragged him to the front (of the house), they laid hot meat on his belly, not on a plate.’</w:t>
      </w:r>
    </w:p>
    <w:p w14:paraId="5DD9DBDD" w14:textId="77777777" w:rsidR="005B26AB" w:rsidRPr="00FB4EFA" w:rsidRDefault="005B26AB" w:rsidP="00CC79AF">
      <w:pPr>
        <w:spacing w:line="240" w:lineRule="auto"/>
        <w:ind w:firstLine="720"/>
        <w:rPr>
          <w:rFonts w:cs="Charis SIL"/>
          <w:lang w:val="en-US"/>
        </w:rPr>
      </w:pPr>
      <w:r w:rsidRPr="00FB4EFA">
        <w:rPr>
          <w:rFonts w:eastAsia="Times New Roman" w:cs="Charis SIL"/>
          <w:lang w:val="en-US"/>
        </w:rPr>
        <w:t>(Steinitz 1975: 89, cited by Pevnov &amp; Urmanchieva 2011: 535)</w:t>
      </w:r>
    </w:p>
    <w:p w14:paraId="09D484BB" w14:textId="77777777" w:rsidR="005B26AB" w:rsidRPr="00FB4EFA" w:rsidRDefault="005B26AB" w:rsidP="00AF0CAD">
      <w:pPr>
        <w:spacing w:before="240" w:line="240" w:lineRule="auto"/>
        <w:ind w:firstLine="700"/>
        <w:rPr>
          <w:rFonts w:eastAsia="Times New Roman" w:cs="Charis SIL"/>
          <w:lang w:val="en-US"/>
        </w:rPr>
      </w:pPr>
      <w:r w:rsidRPr="00FB4EFA">
        <w:rPr>
          <w:rFonts w:eastAsia="Times New Roman" w:cs="Charis SIL"/>
          <w:b/>
          <w:lang w:val="en-US"/>
        </w:rPr>
        <w:t>C</w:t>
      </w:r>
      <w:r w:rsidRPr="00FB4EFA">
        <w:rPr>
          <w:rFonts w:eastAsia="Times New Roman" w:cs="Charis SIL"/>
          <w:lang w:val="en-US"/>
        </w:rPr>
        <w:t xml:space="preserve"> ‘(put something) on the fire, on the stove’; ‘to cook, to fry’</w:t>
      </w:r>
    </w:p>
    <w:p w14:paraId="38F4AC70" w14:textId="77777777" w:rsidR="005B26AB" w:rsidRPr="00FB4EFA" w:rsidRDefault="005B26AB" w:rsidP="00CC79AF">
      <w:pPr>
        <w:spacing w:before="240" w:line="240" w:lineRule="auto"/>
        <w:rPr>
          <w:rFonts w:eastAsia="Times New Roman" w:cs="Charis SIL"/>
          <w:lang w:val="en-US"/>
        </w:rPr>
      </w:pPr>
      <w:r w:rsidRPr="00FB4EFA">
        <w:rPr>
          <w:rFonts w:eastAsia="Times New Roman" w:cs="Charis SIL"/>
          <w:lang w:val="en-US"/>
        </w:rPr>
        <w:t>Mansi (Northern)</w:t>
      </w:r>
    </w:p>
    <w:p w14:paraId="1D880880" w14:textId="61B520C3" w:rsidR="005B26AB" w:rsidRPr="00FB4EFA" w:rsidRDefault="005B26AB" w:rsidP="00AF0CAD">
      <w:pPr>
        <w:tabs>
          <w:tab w:val="left" w:pos="709"/>
          <w:tab w:val="left" w:pos="2127"/>
          <w:tab w:val="left" w:pos="3402"/>
          <w:tab w:val="left" w:pos="4253"/>
          <w:tab w:val="left" w:pos="4678"/>
          <w:tab w:val="left" w:pos="5670"/>
        </w:tabs>
        <w:spacing w:line="240" w:lineRule="auto"/>
        <w:rPr>
          <w:rFonts w:eastAsia="Times New Roman" w:cs="Charis SIL"/>
          <w:lang w:val="en-US"/>
        </w:rPr>
      </w:pPr>
      <w:r w:rsidRPr="00FB4EFA">
        <w:rPr>
          <w:rFonts w:eastAsia="Times New Roman" w:cs="Charis SIL"/>
          <w:lang w:val="en-US"/>
        </w:rPr>
        <w:t>(6)</w:t>
      </w:r>
      <w:r w:rsidRPr="00FB4EFA">
        <w:rPr>
          <w:rFonts w:eastAsia="Times New Roman" w:cs="Charis SIL"/>
          <w:lang w:val="en-US"/>
        </w:rPr>
        <w:tab/>
      </w:r>
      <w:r w:rsidRPr="00FB4EFA">
        <w:rPr>
          <w:rFonts w:eastAsia="Times New Roman" w:cs="Charis SIL"/>
          <w:i/>
          <w:lang w:val="en-US"/>
        </w:rPr>
        <w:t>Mōś-ne</w:t>
      </w:r>
      <w:r w:rsidRPr="00FB4EFA">
        <w:rPr>
          <w:rFonts w:eastAsia="Times New Roman" w:cs="Charis SIL"/>
          <w:i/>
          <w:lang w:val="en-US"/>
        </w:rPr>
        <w:tab/>
        <w:t>ā</w:t>
      </w:r>
      <w:r w:rsidR="003C3714" w:rsidRPr="00FB4EFA">
        <w:rPr>
          <w:rFonts w:eastAsia="Times New Roman" w:cs="Charis SIL"/>
          <w:i/>
          <w:lang w:val="en-US"/>
        </w:rPr>
        <w:t>γ</w:t>
      </w:r>
      <w:r w:rsidRPr="00FB4EFA">
        <w:rPr>
          <w:rFonts w:eastAsia="Times New Roman" w:cs="Charis SIL"/>
          <w:i/>
          <w:lang w:val="en-US"/>
        </w:rPr>
        <w:t>i-ji</w:t>
      </w:r>
      <w:r w:rsidR="003C3714" w:rsidRPr="00FB4EFA">
        <w:rPr>
          <w:rFonts w:eastAsia="Times New Roman" w:cs="Charis SIL"/>
          <w:i/>
          <w:lang w:val="en-US"/>
        </w:rPr>
        <w:t>γ</w:t>
      </w:r>
      <w:r w:rsidRPr="00FB4EFA">
        <w:rPr>
          <w:rFonts w:eastAsia="Times New Roman" w:cs="Charis SIL"/>
          <w:i/>
          <w:lang w:val="en-US"/>
        </w:rPr>
        <w:t xml:space="preserve"> </w:t>
      </w:r>
      <w:r w:rsidRPr="00FB4EFA">
        <w:rPr>
          <w:rFonts w:eastAsia="Times New Roman" w:cs="Charis SIL"/>
          <w:i/>
          <w:lang w:val="en-US"/>
        </w:rPr>
        <w:tab/>
        <w:t>pi</w:t>
      </w:r>
      <w:r w:rsidR="003C3714" w:rsidRPr="00FB4EFA">
        <w:rPr>
          <w:rFonts w:eastAsia="Times New Roman" w:cs="Charis SIL"/>
          <w:i/>
          <w:lang w:val="en-US"/>
        </w:rPr>
        <w:t>γ</w:t>
      </w:r>
      <w:r w:rsidRPr="00FB4EFA">
        <w:rPr>
          <w:rFonts w:eastAsia="Times New Roman" w:cs="Charis SIL"/>
          <w:i/>
          <w:lang w:val="en-US"/>
        </w:rPr>
        <w:t>-i</w:t>
      </w:r>
      <w:r w:rsidR="003C3714" w:rsidRPr="00FB4EFA">
        <w:rPr>
          <w:rFonts w:eastAsia="Times New Roman" w:cs="Charis SIL"/>
          <w:i/>
          <w:lang w:val="en-US"/>
        </w:rPr>
        <w:t>γ</w:t>
      </w:r>
      <w:r w:rsidRPr="00FB4EFA">
        <w:rPr>
          <w:rFonts w:eastAsia="Times New Roman" w:cs="Charis SIL"/>
          <w:i/>
          <w:lang w:val="en-US"/>
        </w:rPr>
        <w:tab/>
        <w:t>ōs</w:t>
      </w:r>
      <w:r w:rsidRPr="00FB4EFA">
        <w:rPr>
          <w:rFonts w:eastAsia="Times New Roman" w:cs="Charis SIL"/>
          <w:i/>
          <w:lang w:val="en-US"/>
        </w:rPr>
        <w:tab/>
      </w:r>
      <w:r w:rsidRPr="00FB4EFA">
        <w:rPr>
          <w:rFonts w:eastAsia="Times New Roman" w:cs="Charis SIL"/>
          <w:b/>
          <w:i/>
          <w:lang w:val="en-US"/>
        </w:rPr>
        <w:t>nāluw</w:t>
      </w:r>
      <w:r w:rsidRPr="00FB4EFA">
        <w:rPr>
          <w:rFonts w:eastAsia="Times New Roman" w:cs="Charis SIL"/>
          <w:i/>
          <w:lang w:val="en-US"/>
        </w:rPr>
        <w:tab/>
        <w:t>pājti-ja</w:t>
      </w:r>
      <w:r w:rsidR="003C3714" w:rsidRPr="00FB4EFA">
        <w:rPr>
          <w:rFonts w:eastAsia="Times New Roman" w:cs="Charis SIL"/>
          <w:i/>
          <w:lang w:val="en-US"/>
        </w:rPr>
        <w:t>γ</w:t>
      </w:r>
      <w:r w:rsidRPr="00FB4EFA">
        <w:rPr>
          <w:rFonts w:eastAsia="Times New Roman" w:cs="Charis SIL"/>
          <w:i/>
          <w:lang w:val="en-US"/>
        </w:rPr>
        <w:t>uw</w:t>
      </w:r>
      <w:r w:rsidRPr="00FB4EFA">
        <w:rPr>
          <w:rFonts w:eastAsia="Times New Roman" w:cs="Charis SIL"/>
          <w:i/>
          <w:lang w:val="en-US"/>
        </w:rPr>
        <w:br/>
      </w:r>
      <w:r w:rsidRPr="00FB4EFA">
        <w:rPr>
          <w:rFonts w:eastAsia="Times New Roman" w:cs="Charis SIL"/>
          <w:i/>
          <w:lang w:val="en-US"/>
        </w:rPr>
        <w:tab/>
      </w:r>
      <w:r w:rsidRPr="00FB4EFA">
        <w:rPr>
          <w:rFonts w:eastAsia="Times New Roman" w:cs="Charis SIL"/>
          <w:lang w:val="en-US"/>
        </w:rPr>
        <w:t>Moś-woman</w:t>
      </w:r>
      <w:r w:rsidRPr="00FB4EFA">
        <w:rPr>
          <w:rFonts w:eastAsia="Times New Roman" w:cs="Charis SIL"/>
          <w:lang w:val="en-US"/>
        </w:rPr>
        <w:tab/>
        <w:t>daughter-</w:t>
      </w:r>
      <w:r w:rsidRPr="00FB4EFA">
        <w:rPr>
          <w:rFonts w:eastAsia="Times New Roman" w:cs="Charis SIL"/>
          <w:smallCaps/>
          <w:lang w:val="en-US"/>
        </w:rPr>
        <w:t>du</w:t>
      </w:r>
      <w:r w:rsidRPr="00FB4EFA">
        <w:rPr>
          <w:rFonts w:eastAsia="Times New Roman" w:cs="Charis SIL"/>
          <w:lang w:val="en-US"/>
        </w:rPr>
        <w:tab/>
        <w:t>son-</w:t>
      </w:r>
      <w:r w:rsidRPr="00FB4EFA">
        <w:rPr>
          <w:rFonts w:eastAsia="Times New Roman" w:cs="Charis SIL"/>
          <w:smallCaps/>
          <w:lang w:val="en-US"/>
        </w:rPr>
        <w:t>du</w:t>
      </w:r>
      <w:r w:rsidRPr="00FB4EFA">
        <w:rPr>
          <w:rFonts w:eastAsia="Times New Roman" w:cs="Charis SIL"/>
          <w:lang w:val="en-US"/>
        </w:rPr>
        <w:tab/>
        <w:t>too</w:t>
      </w:r>
      <w:r w:rsidRPr="00FB4EFA">
        <w:rPr>
          <w:rFonts w:eastAsia="Times New Roman" w:cs="Charis SIL"/>
          <w:lang w:val="en-US"/>
        </w:rPr>
        <w:tab/>
        <w:t>to.the.fire</w:t>
      </w:r>
      <w:r w:rsidRPr="00FB4EFA">
        <w:rPr>
          <w:rFonts w:eastAsia="Times New Roman" w:cs="Charis SIL"/>
          <w:lang w:val="en-US"/>
        </w:rPr>
        <w:tab/>
        <w:t>cook-</w:t>
      </w:r>
      <w:r w:rsidRPr="00FB4EFA">
        <w:rPr>
          <w:rFonts w:eastAsia="Times New Roman" w:cs="Charis SIL"/>
          <w:smallCaps/>
          <w:lang w:val="en-US"/>
        </w:rPr>
        <w:t>du</w:t>
      </w:r>
      <w:r w:rsidRPr="00FB4EFA">
        <w:rPr>
          <w:rFonts w:eastAsia="Times New Roman" w:cs="Charis SIL"/>
          <w:lang w:val="en-US"/>
        </w:rPr>
        <w:t>.</w:t>
      </w:r>
      <w:r w:rsidRPr="00FB4EFA">
        <w:rPr>
          <w:rFonts w:eastAsia="Times New Roman" w:cs="Charis SIL"/>
          <w:smallCaps/>
          <w:lang w:val="en-US"/>
        </w:rPr>
        <w:t>1pl</w:t>
      </w:r>
    </w:p>
    <w:p w14:paraId="49199404" w14:textId="6EE6683C" w:rsidR="005B26AB" w:rsidRPr="00FB4EFA" w:rsidRDefault="005B26AB" w:rsidP="00CC79AF">
      <w:pPr>
        <w:spacing w:line="240" w:lineRule="auto"/>
        <w:ind w:left="709" w:firstLine="11"/>
        <w:rPr>
          <w:rFonts w:eastAsia="Times New Roman" w:cs="Charis SIL"/>
          <w:lang w:val="en-US"/>
        </w:rPr>
      </w:pPr>
      <w:r w:rsidRPr="00FB4EFA">
        <w:rPr>
          <w:rFonts w:eastAsia="Times New Roman" w:cs="Charis SIL"/>
          <w:lang w:val="en-US"/>
        </w:rPr>
        <w:t>‘We are going to cook the Moś-woman’s daughter and son, too.’</w:t>
      </w:r>
      <w:r w:rsidR="00CC79AF" w:rsidRPr="00FB4EFA">
        <w:rPr>
          <w:rFonts w:eastAsia="Times New Roman" w:cs="Charis SIL"/>
          <w:lang w:val="en-US"/>
        </w:rPr>
        <w:t xml:space="preserve"> </w:t>
      </w:r>
      <w:r w:rsidRPr="00FB4EFA">
        <w:rPr>
          <w:rFonts w:eastAsia="Times New Roman" w:cs="Charis SIL"/>
          <w:lang w:val="en-US"/>
        </w:rPr>
        <w:t>(Kálmán 1976: 60)</w:t>
      </w:r>
    </w:p>
    <w:p w14:paraId="7550309F" w14:textId="77777777" w:rsidR="005B26AB" w:rsidRPr="00FB4EFA" w:rsidRDefault="005B26AB" w:rsidP="00CC79AF">
      <w:pPr>
        <w:spacing w:before="240" w:line="240" w:lineRule="auto"/>
        <w:rPr>
          <w:rFonts w:eastAsia="Times New Roman" w:cs="Charis SIL"/>
          <w:lang w:val="en-US"/>
        </w:rPr>
      </w:pPr>
      <w:r w:rsidRPr="00FB4EFA">
        <w:rPr>
          <w:rFonts w:eastAsia="Times New Roman" w:cs="Charis SIL"/>
          <w:lang w:val="en-US"/>
        </w:rPr>
        <w:t>Selkup (Northern, Taz)</w:t>
      </w:r>
    </w:p>
    <w:p w14:paraId="2066356E" w14:textId="77777777" w:rsidR="005B26AB" w:rsidRPr="00FB4EFA" w:rsidRDefault="005B26AB" w:rsidP="00AF0CAD">
      <w:pPr>
        <w:tabs>
          <w:tab w:val="left" w:pos="709"/>
          <w:tab w:val="left" w:pos="1560"/>
          <w:tab w:val="left" w:pos="2694"/>
          <w:tab w:val="left" w:pos="3969"/>
          <w:tab w:val="left" w:pos="5103"/>
        </w:tabs>
        <w:spacing w:line="240" w:lineRule="auto"/>
        <w:rPr>
          <w:rFonts w:eastAsia="Times New Roman" w:cs="Charis SIL"/>
          <w:i/>
          <w:lang w:val="en-US"/>
        </w:rPr>
      </w:pPr>
      <w:r w:rsidRPr="00FB4EFA">
        <w:rPr>
          <w:rFonts w:eastAsia="Times New Roman" w:cs="Charis SIL"/>
          <w:lang w:val="en-US"/>
        </w:rPr>
        <w:t>(7)</w:t>
      </w:r>
      <w:r w:rsidRPr="00FB4EFA">
        <w:rPr>
          <w:rFonts w:eastAsia="Times New Roman" w:cs="Charis SIL"/>
          <w:lang w:val="en-US"/>
        </w:rPr>
        <w:tab/>
      </w:r>
      <w:r w:rsidRPr="00FB4EFA">
        <w:rPr>
          <w:rFonts w:eastAsia="Times New Roman" w:cs="Charis SIL"/>
          <w:i/>
          <w:lang w:val="en-US"/>
        </w:rPr>
        <w:t>Nɨːnɨ</w:t>
      </w:r>
      <w:r w:rsidRPr="00FB4EFA">
        <w:rPr>
          <w:rFonts w:eastAsia="Times New Roman" w:cs="Charis SIL"/>
          <w:i/>
          <w:lang w:val="en-US"/>
        </w:rPr>
        <w:tab/>
        <w:t>räkɨ</w:t>
      </w:r>
      <w:r w:rsidRPr="00FB4EFA">
        <w:rPr>
          <w:rFonts w:eastAsia="Times New Roman" w:cs="Charis SIL"/>
          <w:i/>
          <w:lang w:val="en-US"/>
        </w:rPr>
        <w:tab/>
        <w:t xml:space="preserve">či-ntɨ </w:t>
      </w:r>
      <w:r w:rsidRPr="00FB4EFA">
        <w:rPr>
          <w:rFonts w:eastAsia="Times New Roman" w:cs="Charis SIL"/>
          <w:i/>
          <w:lang w:val="en-US"/>
        </w:rPr>
        <w:tab/>
      </w:r>
      <w:r w:rsidRPr="00FB4EFA">
        <w:rPr>
          <w:rFonts w:eastAsia="Times New Roman" w:cs="Charis SIL"/>
          <w:b/>
          <w:i/>
          <w:lang w:val="en-US"/>
        </w:rPr>
        <w:t>karrä</w:t>
      </w:r>
      <w:r w:rsidRPr="00FB4EFA">
        <w:rPr>
          <w:rFonts w:eastAsia="Times New Roman" w:cs="Charis SIL"/>
          <w:i/>
          <w:lang w:val="en-US"/>
        </w:rPr>
        <w:tab/>
        <w:t>pot-tɛː-ŋɨ-tɨ</w:t>
      </w:r>
    </w:p>
    <w:p w14:paraId="0C1C8592" w14:textId="77777777" w:rsidR="005B26AB" w:rsidRPr="00FB4EFA" w:rsidRDefault="005B26AB" w:rsidP="00CC79AF">
      <w:pPr>
        <w:tabs>
          <w:tab w:val="left" w:pos="709"/>
          <w:tab w:val="left" w:pos="1560"/>
          <w:tab w:val="left" w:pos="2694"/>
          <w:tab w:val="left" w:pos="3969"/>
          <w:tab w:val="left" w:pos="5103"/>
        </w:tabs>
        <w:spacing w:line="240" w:lineRule="auto"/>
        <w:ind w:firstLine="720"/>
        <w:rPr>
          <w:rFonts w:eastAsia="Times New Roman" w:cs="Charis SIL"/>
          <w:lang w:val="en-US"/>
        </w:rPr>
      </w:pPr>
      <w:r w:rsidRPr="00FB4EFA">
        <w:rPr>
          <w:rFonts w:eastAsia="Times New Roman" w:cs="Charis SIL"/>
          <w:lang w:val="en-US"/>
        </w:rPr>
        <w:t>then</w:t>
      </w:r>
      <w:r w:rsidRPr="00FB4EFA">
        <w:rPr>
          <w:rFonts w:eastAsia="Times New Roman" w:cs="Charis SIL"/>
          <w:lang w:val="en-US"/>
        </w:rPr>
        <w:tab/>
        <w:t>big.stove</w:t>
      </w:r>
      <w:r w:rsidRPr="00FB4EFA">
        <w:rPr>
          <w:rFonts w:eastAsia="Times New Roman" w:cs="Charis SIL"/>
          <w:lang w:val="en-US"/>
        </w:rPr>
        <w:tab/>
        <w:t>copper-</w:t>
      </w:r>
      <w:r w:rsidRPr="00FB4EFA">
        <w:rPr>
          <w:rFonts w:eastAsia="Times New Roman" w:cs="Charis SIL"/>
          <w:smallCaps/>
          <w:lang w:val="en-US"/>
        </w:rPr>
        <w:t>ill</w:t>
      </w:r>
      <w:r w:rsidRPr="00FB4EFA">
        <w:rPr>
          <w:rFonts w:eastAsia="Times New Roman" w:cs="Charis SIL"/>
          <w:lang w:val="en-US"/>
        </w:rPr>
        <w:tab/>
        <w:t>on.the.fire</w:t>
      </w:r>
      <w:r w:rsidRPr="00FB4EFA">
        <w:rPr>
          <w:rFonts w:eastAsia="Times New Roman" w:cs="Charis SIL"/>
          <w:lang w:val="en-US"/>
        </w:rPr>
        <w:tab/>
        <w:t>put-</w:t>
      </w:r>
      <w:r w:rsidRPr="00FB4EFA">
        <w:rPr>
          <w:rFonts w:eastAsia="Times New Roman" w:cs="Charis SIL"/>
          <w:smallCaps/>
          <w:lang w:val="en-US"/>
        </w:rPr>
        <w:t>ipfv</w:t>
      </w:r>
      <w:r w:rsidRPr="00FB4EFA">
        <w:rPr>
          <w:rFonts w:eastAsia="Times New Roman" w:cs="Charis SIL"/>
          <w:lang w:val="en-US"/>
        </w:rPr>
        <w:t>-</w:t>
      </w:r>
      <w:r w:rsidRPr="00FB4EFA">
        <w:rPr>
          <w:rFonts w:eastAsia="Times New Roman" w:cs="Charis SIL"/>
          <w:smallCaps/>
          <w:lang w:val="en-US"/>
        </w:rPr>
        <w:t>aor</w:t>
      </w:r>
      <w:r w:rsidRPr="00FB4EFA">
        <w:rPr>
          <w:rFonts w:eastAsia="Times New Roman" w:cs="Charis SIL"/>
          <w:lang w:val="en-US"/>
        </w:rPr>
        <w:t>-</w:t>
      </w:r>
      <w:r w:rsidRPr="00FB4EFA">
        <w:rPr>
          <w:rFonts w:eastAsia="Times New Roman" w:cs="Charis SIL"/>
          <w:smallCaps/>
          <w:lang w:val="en-US"/>
        </w:rPr>
        <w:t>3sg</w:t>
      </w:r>
    </w:p>
    <w:p w14:paraId="3D3CE5E4" w14:textId="77777777" w:rsidR="005B26AB" w:rsidRPr="00FB4EFA" w:rsidRDefault="005B26AB" w:rsidP="00CC79AF">
      <w:pPr>
        <w:tabs>
          <w:tab w:val="left" w:pos="709"/>
          <w:tab w:val="left" w:pos="1560"/>
          <w:tab w:val="left" w:pos="2694"/>
          <w:tab w:val="left" w:pos="3969"/>
          <w:tab w:val="left" w:pos="5103"/>
        </w:tabs>
        <w:spacing w:line="240" w:lineRule="auto"/>
        <w:ind w:firstLine="720"/>
        <w:rPr>
          <w:rFonts w:eastAsia="Times New Roman" w:cs="Charis SIL"/>
          <w:lang w:val="en-US"/>
        </w:rPr>
      </w:pPr>
      <w:r w:rsidRPr="00FB4EFA">
        <w:rPr>
          <w:rFonts w:eastAsia="Times New Roman" w:cs="Charis SIL"/>
          <w:lang w:val="en-US"/>
        </w:rPr>
        <w:t>‘Then he put the big pot on the fire.’</w:t>
      </w:r>
    </w:p>
    <w:p w14:paraId="644C29FA" w14:textId="77777777" w:rsidR="005B26AB" w:rsidRPr="00FB4EFA" w:rsidRDefault="005B26AB" w:rsidP="00CC79AF">
      <w:pPr>
        <w:tabs>
          <w:tab w:val="left" w:pos="709"/>
          <w:tab w:val="left" w:pos="1560"/>
          <w:tab w:val="left" w:pos="2694"/>
          <w:tab w:val="left" w:pos="3969"/>
          <w:tab w:val="left" w:pos="5103"/>
        </w:tabs>
        <w:spacing w:line="240" w:lineRule="auto"/>
        <w:ind w:firstLine="720"/>
        <w:rPr>
          <w:rFonts w:eastAsia="Times New Roman" w:cs="Charis SIL"/>
          <w:lang w:val="en-US"/>
        </w:rPr>
      </w:pPr>
      <w:r w:rsidRPr="00FB4EFA">
        <w:rPr>
          <w:rFonts w:eastAsia="Times New Roman" w:cs="Charis SIL"/>
          <w:lang w:val="en-US"/>
        </w:rPr>
        <w:t>(KMP_1971_Ichkyta_flk.044)</w:t>
      </w:r>
    </w:p>
    <w:p w14:paraId="58F346F7" w14:textId="77777777" w:rsidR="005B26AB" w:rsidRPr="00FB4EFA" w:rsidRDefault="005B26AB" w:rsidP="00402EF4">
      <w:pPr>
        <w:keepNext/>
        <w:keepLines/>
        <w:spacing w:before="240"/>
        <w:rPr>
          <w:lang w:val="en-US"/>
        </w:rPr>
      </w:pPr>
      <w:r w:rsidRPr="00FB4EFA">
        <w:rPr>
          <w:lang w:val="en-US"/>
        </w:rPr>
        <w:lastRenderedPageBreak/>
        <w:t xml:space="preserve">The other member of the examined adverb/preverb pairs is the Khanty </w:t>
      </w:r>
      <w:r w:rsidRPr="00FB4EFA">
        <w:rPr>
          <w:smallCaps/>
          <w:lang w:val="en-US"/>
        </w:rPr>
        <w:t>ute</w:t>
      </w:r>
      <w:r w:rsidRPr="00FB4EFA">
        <w:rPr>
          <w:lang w:val="en-US"/>
        </w:rPr>
        <w:t xml:space="preserve">, Mansi </w:t>
      </w:r>
      <w:r w:rsidRPr="00FB4EFA">
        <w:rPr>
          <w:smallCaps/>
          <w:lang w:val="en-US"/>
        </w:rPr>
        <w:t>pāgh</w:t>
      </w:r>
      <w:r w:rsidRPr="00FB4EFA">
        <w:rPr>
          <w:lang w:val="en-US"/>
        </w:rPr>
        <w:t xml:space="preserve"> and Selkup </w:t>
      </w:r>
      <w:r w:rsidRPr="00FB4EFA">
        <w:rPr>
          <w:smallCaps/>
          <w:lang w:val="en-US"/>
        </w:rPr>
        <w:t>konnä</w:t>
      </w:r>
      <w:r w:rsidRPr="00FB4EFA">
        <w:rPr>
          <w:lang w:val="en-US"/>
        </w:rPr>
        <w:t>, with the following meanings:</w:t>
      </w:r>
    </w:p>
    <w:p w14:paraId="07F66832" w14:textId="638EB6EA" w:rsidR="005B26AB" w:rsidRPr="00FB4EFA" w:rsidRDefault="005B26AB" w:rsidP="00AF0CAD">
      <w:pPr>
        <w:keepNext/>
        <w:keepLines/>
        <w:spacing w:line="240" w:lineRule="auto"/>
        <w:ind w:left="709"/>
        <w:rPr>
          <w:rFonts w:cs="Charis SIL"/>
          <w:lang w:val="en-US"/>
        </w:rPr>
      </w:pPr>
      <w:r w:rsidRPr="00FB4EFA">
        <w:rPr>
          <w:rFonts w:cs="Charis SIL"/>
          <w:b/>
          <w:lang w:val="en-US"/>
        </w:rPr>
        <w:t>A</w:t>
      </w:r>
      <w:r w:rsidRPr="00FB4EFA">
        <w:rPr>
          <w:rFonts w:cs="Charis SIL"/>
          <w:lang w:val="en-US"/>
        </w:rPr>
        <w:t xml:space="preserve"> ‘from the water/river/boat to the riverbank’; ‘from the riverbank to the inner part of the land’; ‘up the hill’; ‘from the </w:t>
      </w:r>
      <w:r w:rsidR="00C17973" w:rsidRPr="00FB4EFA">
        <w:rPr>
          <w:rFonts w:cs="Charis SIL"/>
          <w:lang w:val="en-US"/>
        </w:rPr>
        <w:br/>
      </w:r>
      <w:r w:rsidRPr="00FB4EFA">
        <w:rPr>
          <w:rFonts w:cs="Charis SIL"/>
          <w:lang w:val="en-US"/>
        </w:rPr>
        <w:t xml:space="preserve">river (situated on the riverbank) to the inner part of the land’; </w:t>
      </w:r>
      <w:r w:rsidR="00C17973" w:rsidRPr="00FB4EFA">
        <w:rPr>
          <w:rFonts w:cs="Charis SIL"/>
          <w:lang w:val="en-US"/>
        </w:rPr>
        <w:br/>
      </w:r>
      <w:r w:rsidRPr="00FB4EFA">
        <w:rPr>
          <w:rFonts w:cs="Charis SIL"/>
          <w:lang w:val="en-US"/>
        </w:rPr>
        <w:t>‘into the forest’</w:t>
      </w:r>
    </w:p>
    <w:p w14:paraId="13080050" w14:textId="77777777" w:rsidR="005B26AB" w:rsidRPr="00FB4EFA" w:rsidRDefault="005B26AB" w:rsidP="00CC79AF">
      <w:pPr>
        <w:spacing w:before="240" w:line="240" w:lineRule="auto"/>
        <w:rPr>
          <w:rFonts w:eastAsia="Times New Roman" w:cs="Charis SIL"/>
          <w:lang w:val="en-US"/>
        </w:rPr>
      </w:pPr>
      <w:r w:rsidRPr="00FB4EFA">
        <w:rPr>
          <w:rFonts w:eastAsia="Times New Roman" w:cs="Charis SIL"/>
          <w:lang w:val="en-US"/>
        </w:rPr>
        <w:t>Mansi (Northern)</w:t>
      </w:r>
    </w:p>
    <w:p w14:paraId="3500AEBE" w14:textId="066FE47C" w:rsidR="005B26AB" w:rsidRPr="00FB4EFA" w:rsidRDefault="005B26AB" w:rsidP="00AF0CAD">
      <w:pPr>
        <w:tabs>
          <w:tab w:val="left" w:pos="709"/>
          <w:tab w:val="left" w:pos="2127"/>
          <w:tab w:val="left" w:pos="3686"/>
          <w:tab w:val="left" w:pos="5529"/>
        </w:tabs>
        <w:spacing w:line="240" w:lineRule="auto"/>
        <w:rPr>
          <w:rFonts w:eastAsia="Times New Roman" w:cs="Charis SIL"/>
          <w:lang w:val="en-US"/>
        </w:rPr>
      </w:pPr>
      <w:r w:rsidRPr="00FB4EFA">
        <w:rPr>
          <w:rFonts w:eastAsia="Times New Roman" w:cs="Charis SIL"/>
          <w:lang w:val="en-US"/>
        </w:rPr>
        <w:t>(8)</w:t>
      </w:r>
      <w:r w:rsidRPr="00FB4EFA">
        <w:rPr>
          <w:rFonts w:eastAsia="Times New Roman" w:cs="Charis SIL"/>
          <w:lang w:val="en-US"/>
        </w:rPr>
        <w:tab/>
      </w:r>
      <w:r w:rsidRPr="00FB4EFA">
        <w:rPr>
          <w:rFonts w:eastAsia="Times New Roman" w:cs="Charis SIL"/>
          <w:i/>
          <w:lang w:val="en-US"/>
        </w:rPr>
        <w:t>Mōś-ne</w:t>
      </w:r>
      <w:r w:rsidRPr="00FB4EFA">
        <w:rPr>
          <w:rFonts w:eastAsia="Times New Roman" w:cs="Charis SIL"/>
          <w:i/>
          <w:lang w:val="en-US"/>
        </w:rPr>
        <w:tab/>
        <w:t>ā</w:t>
      </w:r>
      <w:r w:rsidR="003C3714" w:rsidRPr="00FB4EFA">
        <w:rPr>
          <w:rFonts w:eastAsia="Times New Roman" w:cs="Charis SIL"/>
          <w:i/>
          <w:lang w:val="en-US"/>
        </w:rPr>
        <w:t>γ</w:t>
      </w:r>
      <w:r w:rsidRPr="00FB4EFA">
        <w:rPr>
          <w:rFonts w:eastAsia="Times New Roman" w:cs="Charis SIL"/>
          <w:i/>
          <w:lang w:val="en-US"/>
        </w:rPr>
        <w:t xml:space="preserve">i-kwe </w:t>
      </w:r>
      <w:r w:rsidRPr="00FB4EFA">
        <w:rPr>
          <w:rFonts w:eastAsia="Times New Roman" w:cs="Charis SIL"/>
          <w:i/>
          <w:lang w:val="en-US"/>
        </w:rPr>
        <w:tab/>
      </w:r>
      <w:r w:rsidRPr="00FB4EFA">
        <w:rPr>
          <w:rFonts w:eastAsia="Times New Roman" w:cs="Charis SIL"/>
          <w:b/>
          <w:i/>
          <w:lang w:val="en-US"/>
        </w:rPr>
        <w:t>pā</w:t>
      </w:r>
      <w:r w:rsidR="003C3714" w:rsidRPr="00FB4EFA">
        <w:rPr>
          <w:rFonts w:eastAsia="Times New Roman" w:cs="Charis SIL"/>
          <w:b/>
          <w:bCs/>
          <w:i/>
          <w:lang w:val="en-US"/>
        </w:rPr>
        <w:t>γ</w:t>
      </w:r>
      <w:r w:rsidRPr="00FB4EFA">
        <w:rPr>
          <w:rFonts w:eastAsia="Times New Roman" w:cs="Charis SIL"/>
          <w:i/>
          <w:lang w:val="en-US"/>
        </w:rPr>
        <w:tab/>
        <w:t>kwāl-əs</w:t>
      </w:r>
      <w:r w:rsidRPr="00FB4EFA">
        <w:rPr>
          <w:rFonts w:eastAsia="Times New Roman" w:cs="Charis SIL"/>
          <w:i/>
          <w:lang w:val="en-US"/>
        </w:rPr>
        <w:br/>
      </w:r>
      <w:r w:rsidRPr="00FB4EFA">
        <w:rPr>
          <w:rFonts w:eastAsia="Times New Roman" w:cs="Charis SIL"/>
          <w:i/>
          <w:lang w:val="en-US"/>
        </w:rPr>
        <w:tab/>
      </w:r>
      <w:r w:rsidRPr="00FB4EFA">
        <w:rPr>
          <w:rFonts w:eastAsia="Times New Roman" w:cs="Charis SIL"/>
          <w:lang w:val="en-US"/>
        </w:rPr>
        <w:t>Moś-woman</w:t>
      </w:r>
      <w:r w:rsidRPr="00FB4EFA">
        <w:rPr>
          <w:rFonts w:eastAsia="Times New Roman" w:cs="Charis SIL"/>
          <w:lang w:val="en-US"/>
        </w:rPr>
        <w:tab/>
        <w:t>daughter-</w:t>
      </w:r>
      <w:r w:rsidRPr="00FB4EFA">
        <w:rPr>
          <w:rFonts w:eastAsia="Times New Roman" w:cs="Charis SIL"/>
          <w:smallCaps/>
          <w:lang w:val="en-US"/>
        </w:rPr>
        <w:t>dim</w:t>
      </w:r>
      <w:r w:rsidRPr="00FB4EFA">
        <w:rPr>
          <w:rFonts w:eastAsia="Times New Roman" w:cs="Charis SIL"/>
          <w:lang w:val="en-US"/>
        </w:rPr>
        <w:tab/>
        <w:t>to.the.riverbank</w:t>
      </w:r>
      <w:r w:rsidRPr="00FB4EFA">
        <w:rPr>
          <w:rFonts w:eastAsia="Times New Roman" w:cs="Charis SIL"/>
          <w:lang w:val="en-US"/>
        </w:rPr>
        <w:tab/>
        <w:t>go-</w:t>
      </w:r>
      <w:r w:rsidRPr="00FB4EFA">
        <w:rPr>
          <w:rFonts w:eastAsia="Times New Roman" w:cs="Charis SIL"/>
          <w:smallCaps/>
          <w:lang w:val="en-US"/>
        </w:rPr>
        <w:t>pst</w:t>
      </w:r>
      <w:r w:rsidRPr="00FB4EFA">
        <w:rPr>
          <w:rFonts w:eastAsia="Times New Roman" w:cs="Charis SIL"/>
          <w:lang w:val="en-US"/>
        </w:rPr>
        <w:t>.</w:t>
      </w:r>
      <w:r w:rsidRPr="00FB4EFA">
        <w:rPr>
          <w:rFonts w:eastAsia="Times New Roman" w:cs="Charis SIL"/>
          <w:smallCaps/>
          <w:lang w:val="en-US"/>
        </w:rPr>
        <w:t>3sg</w:t>
      </w:r>
    </w:p>
    <w:p w14:paraId="763C72E8" w14:textId="77777777" w:rsidR="005B26AB" w:rsidRPr="00FB4EFA" w:rsidRDefault="005B26AB" w:rsidP="00CC79AF">
      <w:pPr>
        <w:tabs>
          <w:tab w:val="left" w:pos="709"/>
          <w:tab w:val="left" w:pos="2127"/>
        </w:tabs>
        <w:spacing w:line="240" w:lineRule="auto"/>
        <w:ind w:left="709"/>
        <w:rPr>
          <w:rFonts w:eastAsia="Times New Roman" w:cs="Charis SIL"/>
          <w:lang w:val="en-US"/>
        </w:rPr>
      </w:pPr>
      <w:r w:rsidRPr="00FB4EFA">
        <w:rPr>
          <w:rFonts w:eastAsia="Times New Roman" w:cs="Charis SIL"/>
          <w:lang w:val="en-US"/>
        </w:rPr>
        <w:t>‘The Moś-woman’s daughter stepped on the land (from the water).’ (Kálmán 1976: 62)</w:t>
      </w:r>
    </w:p>
    <w:p w14:paraId="08111DDA" w14:textId="77777777" w:rsidR="005B26AB" w:rsidRPr="00FB4EFA" w:rsidRDefault="005B26AB" w:rsidP="00CC79AF">
      <w:pPr>
        <w:keepNext/>
        <w:spacing w:before="240" w:line="240" w:lineRule="auto"/>
        <w:rPr>
          <w:rFonts w:eastAsia="Times New Roman" w:cs="Charis SIL"/>
          <w:lang w:val="en-US"/>
        </w:rPr>
      </w:pPr>
      <w:r w:rsidRPr="00FB4EFA">
        <w:rPr>
          <w:rFonts w:eastAsia="Times New Roman" w:cs="Charis SIL"/>
          <w:lang w:val="en-US"/>
        </w:rPr>
        <w:t>Selkup (Central, Narym)</w:t>
      </w:r>
    </w:p>
    <w:p w14:paraId="13B2F982" w14:textId="77777777" w:rsidR="005B26AB" w:rsidRPr="00FB4EFA" w:rsidRDefault="005B26AB" w:rsidP="00AF0CAD">
      <w:pPr>
        <w:keepNext/>
        <w:tabs>
          <w:tab w:val="left" w:pos="709"/>
          <w:tab w:val="left" w:pos="1701"/>
          <w:tab w:val="left" w:pos="3402"/>
          <w:tab w:val="left" w:pos="5954"/>
        </w:tabs>
        <w:spacing w:line="240" w:lineRule="auto"/>
        <w:rPr>
          <w:rFonts w:eastAsia="Times New Roman" w:cs="Charis SIL"/>
          <w:i/>
          <w:lang w:val="en-US"/>
        </w:rPr>
      </w:pPr>
      <w:r w:rsidRPr="00FB4EFA">
        <w:rPr>
          <w:rFonts w:eastAsia="Times New Roman" w:cs="Charis SIL"/>
          <w:lang w:val="en-US"/>
        </w:rPr>
        <w:t>(9)</w:t>
      </w:r>
      <w:r w:rsidRPr="00FB4EFA">
        <w:rPr>
          <w:rFonts w:eastAsia="Times New Roman" w:cs="Charis SIL"/>
          <w:lang w:val="en-US"/>
        </w:rPr>
        <w:tab/>
      </w:r>
      <w:r w:rsidRPr="00FB4EFA">
        <w:rPr>
          <w:rFonts w:eastAsia="Times New Roman" w:cs="Charis SIL"/>
          <w:i/>
          <w:lang w:val="en-US"/>
        </w:rPr>
        <w:t>Kɨbače</w:t>
      </w:r>
      <w:r w:rsidRPr="00FB4EFA">
        <w:rPr>
          <w:rFonts w:eastAsia="Times New Roman" w:cs="Charis SIL"/>
          <w:i/>
          <w:lang w:val="en-US"/>
        </w:rPr>
        <w:tab/>
        <w:t>udo-un-d</w:t>
      </w:r>
      <w:r w:rsidRPr="00FB4EFA">
        <w:rPr>
          <w:rFonts w:eastAsia="Times New Roman" w:cs="Charis SIL"/>
          <w:i/>
          <w:lang w:val="en-US"/>
        </w:rPr>
        <w:tab/>
        <w:t>ora-l-ba-t</w:t>
      </w:r>
      <w:r w:rsidRPr="00FB4EFA">
        <w:rPr>
          <w:rFonts w:eastAsia="Times New Roman" w:cs="Charis SIL"/>
          <w:i/>
          <w:lang w:val="en-US"/>
        </w:rPr>
        <w:tab/>
        <w:t>tabɨ-p,</w:t>
      </w:r>
    </w:p>
    <w:p w14:paraId="541AA460" w14:textId="77777777" w:rsidR="005B26AB" w:rsidRPr="00FB4EFA" w:rsidRDefault="005B26AB" w:rsidP="00CC79AF">
      <w:pPr>
        <w:keepNext/>
        <w:tabs>
          <w:tab w:val="left" w:pos="709"/>
          <w:tab w:val="left" w:pos="1701"/>
          <w:tab w:val="left" w:pos="3402"/>
          <w:tab w:val="left" w:pos="5954"/>
        </w:tabs>
        <w:spacing w:line="240" w:lineRule="auto"/>
        <w:ind w:firstLine="720"/>
        <w:rPr>
          <w:rFonts w:eastAsia="Times New Roman" w:cs="Charis SIL"/>
          <w:lang w:val="en-US"/>
        </w:rPr>
      </w:pPr>
      <w:r w:rsidRPr="00FB4EFA">
        <w:rPr>
          <w:rFonts w:eastAsia="Times New Roman" w:cs="Charis SIL"/>
          <w:lang w:val="en-US"/>
        </w:rPr>
        <w:t>boy</w:t>
      </w:r>
      <w:r w:rsidRPr="00FB4EFA">
        <w:rPr>
          <w:rFonts w:eastAsia="Times New Roman" w:cs="Charis SIL"/>
          <w:lang w:val="en-US"/>
        </w:rPr>
        <w:tab/>
        <w:t>hand-</w:t>
      </w:r>
      <w:r w:rsidRPr="00FB4EFA">
        <w:rPr>
          <w:rFonts w:eastAsia="Times New Roman" w:cs="Charis SIL"/>
          <w:smallCaps/>
          <w:lang w:val="en-US"/>
        </w:rPr>
        <w:t>prol</w:t>
      </w:r>
      <w:r w:rsidRPr="00FB4EFA">
        <w:rPr>
          <w:rFonts w:eastAsia="Times New Roman" w:cs="Charis SIL"/>
          <w:lang w:val="en-US"/>
        </w:rPr>
        <w:t>-</w:t>
      </w:r>
      <w:r w:rsidRPr="00FB4EFA">
        <w:rPr>
          <w:rFonts w:eastAsia="Times New Roman" w:cs="Charis SIL"/>
          <w:smallCaps/>
          <w:lang w:val="en-US"/>
        </w:rPr>
        <w:t>3sg</w:t>
      </w:r>
      <w:r w:rsidRPr="00FB4EFA">
        <w:rPr>
          <w:rFonts w:eastAsia="Times New Roman" w:cs="Charis SIL"/>
          <w:lang w:val="en-US"/>
        </w:rPr>
        <w:tab/>
        <w:t>hold-</w:t>
      </w:r>
      <w:r w:rsidRPr="00FB4EFA">
        <w:rPr>
          <w:rFonts w:eastAsia="Times New Roman" w:cs="Charis SIL"/>
          <w:smallCaps/>
          <w:lang w:val="en-US"/>
        </w:rPr>
        <w:t>inch</w:t>
      </w:r>
      <w:r w:rsidRPr="00FB4EFA">
        <w:rPr>
          <w:rFonts w:eastAsia="Times New Roman" w:cs="Charis SIL"/>
          <w:lang w:val="en-US"/>
        </w:rPr>
        <w:t>-</w:t>
      </w:r>
      <w:r w:rsidRPr="00FB4EFA">
        <w:rPr>
          <w:rFonts w:eastAsia="Times New Roman" w:cs="Charis SIL"/>
          <w:smallCaps/>
          <w:lang w:val="en-US"/>
        </w:rPr>
        <w:t>pst</w:t>
      </w:r>
      <w:r w:rsidRPr="00FB4EFA">
        <w:rPr>
          <w:rFonts w:eastAsia="Times New Roman" w:cs="Charis SIL"/>
          <w:lang w:val="en-US"/>
        </w:rPr>
        <w:t>.</w:t>
      </w:r>
      <w:r w:rsidRPr="00FB4EFA">
        <w:rPr>
          <w:rFonts w:eastAsia="Times New Roman" w:cs="Charis SIL"/>
          <w:smallCaps/>
          <w:lang w:val="en-US"/>
        </w:rPr>
        <w:t>rep</w:t>
      </w:r>
      <w:r w:rsidRPr="00FB4EFA">
        <w:rPr>
          <w:rFonts w:eastAsia="Times New Roman" w:cs="Charis SIL"/>
          <w:lang w:val="en-US"/>
        </w:rPr>
        <w:t>-</w:t>
      </w:r>
      <w:r w:rsidRPr="00FB4EFA">
        <w:rPr>
          <w:rFonts w:eastAsia="Times New Roman" w:cs="Charis SIL"/>
          <w:smallCaps/>
          <w:lang w:val="en-US"/>
        </w:rPr>
        <w:t>3sg</w:t>
      </w:r>
      <w:r w:rsidRPr="00FB4EFA">
        <w:rPr>
          <w:rFonts w:eastAsia="Times New Roman" w:cs="Charis SIL"/>
          <w:lang w:val="en-US"/>
        </w:rPr>
        <w:t>.</w:t>
      </w:r>
      <w:r w:rsidRPr="00FB4EFA">
        <w:rPr>
          <w:rFonts w:eastAsia="Times New Roman" w:cs="Charis SIL"/>
          <w:smallCaps/>
          <w:lang w:val="en-US"/>
        </w:rPr>
        <w:t>o</w:t>
      </w:r>
      <w:r w:rsidRPr="00FB4EFA">
        <w:rPr>
          <w:rFonts w:eastAsia="Times New Roman" w:cs="Charis SIL"/>
          <w:lang w:val="en-US"/>
        </w:rPr>
        <w:tab/>
        <w:t>s/he-</w:t>
      </w:r>
      <w:r w:rsidRPr="00FB4EFA">
        <w:rPr>
          <w:rFonts w:eastAsia="Times New Roman" w:cs="Charis SIL"/>
          <w:smallCaps/>
          <w:lang w:val="en-US"/>
        </w:rPr>
        <w:t>acc</w:t>
      </w:r>
    </w:p>
    <w:p w14:paraId="1D20E0E7" w14:textId="77777777" w:rsidR="005B26AB" w:rsidRPr="00FB4EFA" w:rsidRDefault="005B26AB" w:rsidP="00AF0CAD">
      <w:pPr>
        <w:tabs>
          <w:tab w:val="left" w:pos="2410"/>
        </w:tabs>
        <w:spacing w:before="120" w:line="240" w:lineRule="auto"/>
        <w:ind w:left="709" w:firstLine="11"/>
        <w:rPr>
          <w:rFonts w:eastAsia="Times New Roman" w:cs="Charis SIL"/>
          <w:lang w:val="en-US"/>
        </w:rPr>
      </w:pPr>
      <w:r w:rsidRPr="00FB4EFA">
        <w:rPr>
          <w:rFonts w:eastAsia="Times New Roman" w:cs="Charis SIL"/>
          <w:b/>
          <w:i/>
          <w:lang w:val="en-US"/>
        </w:rPr>
        <w:t>konne</w:t>
      </w:r>
      <w:r w:rsidRPr="00FB4EFA">
        <w:rPr>
          <w:rFonts w:eastAsia="Times New Roman" w:cs="Charis SIL"/>
          <w:i/>
          <w:lang w:val="en-US"/>
        </w:rPr>
        <w:tab/>
        <w:t>čančɨ-mba-q</w:t>
      </w:r>
      <w:r w:rsidRPr="00FB4EFA">
        <w:rPr>
          <w:rFonts w:eastAsia="Times New Roman" w:cs="Charis SIL"/>
          <w:i/>
          <w:lang w:val="en-US"/>
        </w:rPr>
        <w:br/>
      </w:r>
      <w:r w:rsidRPr="00FB4EFA">
        <w:rPr>
          <w:rFonts w:eastAsia="Times New Roman" w:cs="Charis SIL"/>
          <w:lang w:val="en-US"/>
        </w:rPr>
        <w:t>uphill</w:t>
      </w:r>
      <w:r w:rsidRPr="00FB4EFA">
        <w:rPr>
          <w:rFonts w:eastAsia="Times New Roman" w:cs="Charis SIL"/>
          <w:lang w:val="en-US"/>
        </w:rPr>
        <w:tab/>
        <w:t>go.out-</w:t>
      </w:r>
      <w:r w:rsidRPr="00FB4EFA">
        <w:rPr>
          <w:rFonts w:eastAsia="Times New Roman" w:cs="Charis SIL"/>
          <w:smallCaps/>
          <w:lang w:val="en-US"/>
        </w:rPr>
        <w:t>pst</w:t>
      </w:r>
      <w:r w:rsidRPr="00FB4EFA">
        <w:rPr>
          <w:rFonts w:eastAsia="Times New Roman" w:cs="Charis SIL"/>
          <w:lang w:val="en-US"/>
        </w:rPr>
        <w:t>.</w:t>
      </w:r>
      <w:r w:rsidRPr="00FB4EFA">
        <w:rPr>
          <w:rFonts w:eastAsia="Times New Roman" w:cs="Charis SIL"/>
          <w:smallCaps/>
          <w:lang w:val="en-US"/>
        </w:rPr>
        <w:t>rep</w:t>
      </w:r>
      <w:r w:rsidRPr="00FB4EFA">
        <w:rPr>
          <w:rFonts w:eastAsia="Times New Roman" w:cs="Charis SIL"/>
          <w:lang w:val="en-US"/>
        </w:rPr>
        <w:t>-</w:t>
      </w:r>
      <w:r w:rsidRPr="00FB4EFA">
        <w:rPr>
          <w:rFonts w:eastAsia="Times New Roman" w:cs="Charis SIL"/>
          <w:smallCaps/>
          <w:lang w:val="en-US"/>
        </w:rPr>
        <w:t>3du</w:t>
      </w:r>
    </w:p>
    <w:p w14:paraId="1160B239" w14:textId="77777777" w:rsidR="005B26AB" w:rsidRPr="00FB4EFA" w:rsidRDefault="005B26AB" w:rsidP="00CC79AF">
      <w:pPr>
        <w:spacing w:line="240" w:lineRule="auto"/>
        <w:ind w:firstLine="720"/>
        <w:rPr>
          <w:rFonts w:eastAsia="Times New Roman" w:cs="Charis SIL"/>
          <w:lang w:val="en-US"/>
        </w:rPr>
      </w:pPr>
      <w:r w:rsidRPr="00FB4EFA">
        <w:rPr>
          <w:rFonts w:eastAsia="Times New Roman" w:cs="Charis SIL"/>
          <w:lang w:val="en-US"/>
        </w:rPr>
        <w:t>‘The boy took her by the hand, they went uphill.’</w:t>
      </w:r>
    </w:p>
    <w:p w14:paraId="45A1DFF1" w14:textId="77777777" w:rsidR="005B26AB" w:rsidRPr="00FB4EFA" w:rsidRDefault="005B26AB" w:rsidP="00CC79AF">
      <w:pPr>
        <w:spacing w:line="240" w:lineRule="auto"/>
        <w:ind w:firstLine="700"/>
        <w:rPr>
          <w:rFonts w:eastAsia="Times New Roman" w:cs="Charis SIL"/>
          <w:lang w:val="en-US"/>
        </w:rPr>
      </w:pPr>
      <w:r w:rsidRPr="00FB4EFA">
        <w:rPr>
          <w:rFonts w:eastAsia="Times New Roman" w:cs="Charis SIL"/>
          <w:lang w:val="en-US"/>
        </w:rPr>
        <w:t>(MNS_1984_BrotherSister_flk.059)</w:t>
      </w:r>
    </w:p>
    <w:p w14:paraId="6E18F2F8" w14:textId="77777777" w:rsidR="005B26AB" w:rsidRPr="00FB4EFA" w:rsidRDefault="005B26AB" w:rsidP="00AF0CAD">
      <w:pPr>
        <w:spacing w:before="240" w:line="240" w:lineRule="auto"/>
        <w:ind w:left="697"/>
        <w:rPr>
          <w:rFonts w:eastAsia="Times New Roman" w:cs="Charis SIL"/>
          <w:lang w:val="en-US"/>
        </w:rPr>
      </w:pPr>
      <w:r w:rsidRPr="00FB4EFA">
        <w:rPr>
          <w:rFonts w:eastAsia="Times New Roman" w:cs="Charis SIL"/>
          <w:b/>
          <w:lang w:val="en-US"/>
        </w:rPr>
        <w:t>B</w:t>
      </w:r>
      <w:r w:rsidRPr="00FB4EFA">
        <w:rPr>
          <w:rFonts w:eastAsia="Times New Roman" w:cs="Charis SIL"/>
          <w:lang w:val="en-US"/>
        </w:rPr>
        <w:t xml:space="preserve"> ‘(from the door) to the back part of the house, towards the room (where the sacred place is situated)’;</w:t>
      </w:r>
    </w:p>
    <w:p w14:paraId="4E2E0CCD" w14:textId="77777777" w:rsidR="005B26AB" w:rsidRPr="00FB4EFA" w:rsidRDefault="005B26AB" w:rsidP="00CC79AF">
      <w:pPr>
        <w:keepNext/>
        <w:spacing w:before="240" w:line="240" w:lineRule="auto"/>
        <w:rPr>
          <w:rFonts w:eastAsia="Times New Roman" w:cs="Charis SIL"/>
          <w:lang w:val="en-US"/>
        </w:rPr>
      </w:pPr>
      <w:r w:rsidRPr="00FB4EFA">
        <w:rPr>
          <w:rFonts w:eastAsia="Times New Roman" w:cs="Charis SIL"/>
          <w:lang w:val="en-US"/>
        </w:rPr>
        <w:t>Khanty (Northern, Sherkaly)</w:t>
      </w:r>
    </w:p>
    <w:p w14:paraId="57AE064A" w14:textId="77777777" w:rsidR="005B26AB" w:rsidRPr="00FB4EFA" w:rsidRDefault="005B26AB" w:rsidP="00AF0CAD">
      <w:pPr>
        <w:keepNext/>
        <w:tabs>
          <w:tab w:val="left" w:pos="709"/>
          <w:tab w:val="left" w:pos="2127"/>
          <w:tab w:val="left" w:pos="3686"/>
          <w:tab w:val="left" w:pos="4678"/>
        </w:tabs>
        <w:spacing w:line="240" w:lineRule="auto"/>
        <w:rPr>
          <w:rFonts w:eastAsia="Times New Roman" w:cs="Charis SIL"/>
          <w:smallCaps/>
          <w:lang w:val="en-US"/>
        </w:rPr>
      </w:pPr>
      <w:r w:rsidRPr="00FB4EFA">
        <w:rPr>
          <w:rFonts w:eastAsia="Times New Roman" w:cs="Charis SIL"/>
          <w:lang w:val="en-US"/>
        </w:rPr>
        <w:t>(10)</w:t>
      </w:r>
      <w:r w:rsidRPr="00FB4EFA">
        <w:rPr>
          <w:rFonts w:eastAsia="Times New Roman" w:cs="Charis SIL"/>
          <w:lang w:val="en-US"/>
        </w:rPr>
        <w:tab/>
      </w:r>
      <w:r w:rsidRPr="00FB4EFA">
        <w:rPr>
          <w:rFonts w:eastAsia="Times New Roman" w:cs="Charis SIL"/>
          <w:i/>
          <w:lang w:val="en-US"/>
        </w:rPr>
        <w:t>Mil-tat</w:t>
      </w:r>
      <w:r w:rsidRPr="00FB4EFA">
        <w:rPr>
          <w:rFonts w:eastAsia="Times New Roman" w:cs="Charis SIL"/>
          <w:i/>
          <w:lang w:val="en-US"/>
        </w:rPr>
        <w:tab/>
        <w:t>pɔs-ta</w:t>
      </w:r>
      <w:r w:rsidRPr="00FB4EFA">
        <w:rPr>
          <w:rFonts w:eastAsia="Times New Roman" w:cs="Charis SIL"/>
          <w:i/>
          <w:lang w:val="en-US"/>
        </w:rPr>
        <w:tab/>
        <w:t>antəp-tat</w:t>
      </w:r>
      <w:r w:rsidRPr="00FB4EFA">
        <w:rPr>
          <w:rFonts w:eastAsia="Times New Roman" w:cs="Charis SIL"/>
          <w:i/>
          <w:lang w:val="en-US"/>
        </w:rPr>
        <w:br/>
      </w:r>
      <w:r w:rsidRPr="00FB4EFA">
        <w:rPr>
          <w:rFonts w:eastAsia="Times New Roman" w:cs="Charis SIL"/>
          <w:i/>
          <w:lang w:val="en-US"/>
        </w:rPr>
        <w:tab/>
      </w:r>
      <w:r w:rsidRPr="00FB4EFA">
        <w:rPr>
          <w:rFonts w:eastAsia="Times New Roman" w:cs="Charis SIL"/>
          <w:lang w:val="en-US"/>
        </w:rPr>
        <w:t>cap-</w:t>
      </w:r>
      <w:r w:rsidRPr="00FB4EFA">
        <w:rPr>
          <w:rFonts w:eastAsia="Times New Roman" w:cs="Charis SIL"/>
          <w:smallCaps/>
          <w:lang w:val="en-US"/>
        </w:rPr>
        <w:t>pxpl</w:t>
      </w:r>
      <w:r w:rsidRPr="00FB4EFA">
        <w:rPr>
          <w:rFonts w:eastAsia="Times New Roman" w:cs="Charis SIL"/>
          <w:lang w:val="en-US"/>
        </w:rPr>
        <w:t>.</w:t>
      </w:r>
      <w:r w:rsidRPr="00FB4EFA">
        <w:rPr>
          <w:rFonts w:eastAsia="Times New Roman" w:cs="Charis SIL"/>
          <w:smallCaps/>
          <w:lang w:val="en-US"/>
        </w:rPr>
        <w:t>3pl</w:t>
      </w:r>
      <w:r w:rsidRPr="00FB4EFA">
        <w:rPr>
          <w:rFonts w:eastAsia="Times New Roman" w:cs="Charis SIL"/>
          <w:lang w:val="en-US"/>
        </w:rPr>
        <w:tab/>
        <w:t>glove-</w:t>
      </w:r>
      <w:r w:rsidRPr="00FB4EFA">
        <w:rPr>
          <w:rFonts w:eastAsia="Times New Roman" w:cs="Charis SIL"/>
          <w:smallCaps/>
          <w:lang w:val="en-US"/>
        </w:rPr>
        <w:t>pxpl</w:t>
      </w:r>
      <w:r w:rsidRPr="00FB4EFA">
        <w:rPr>
          <w:rFonts w:eastAsia="Times New Roman" w:cs="Charis SIL"/>
          <w:lang w:val="en-US"/>
        </w:rPr>
        <w:t>.</w:t>
      </w:r>
      <w:r w:rsidRPr="00FB4EFA">
        <w:rPr>
          <w:rFonts w:eastAsia="Times New Roman" w:cs="Charis SIL"/>
          <w:smallCaps/>
          <w:lang w:val="en-US"/>
        </w:rPr>
        <w:t>3pl</w:t>
      </w:r>
      <w:r w:rsidRPr="00FB4EFA">
        <w:rPr>
          <w:rFonts w:eastAsia="Times New Roman" w:cs="Charis SIL"/>
          <w:lang w:val="en-US"/>
        </w:rPr>
        <w:tab/>
        <w:t>belt-</w:t>
      </w:r>
      <w:r w:rsidRPr="00FB4EFA">
        <w:rPr>
          <w:rFonts w:eastAsia="Times New Roman" w:cs="Charis SIL"/>
          <w:smallCaps/>
          <w:lang w:val="en-US"/>
        </w:rPr>
        <w:t>pxpl</w:t>
      </w:r>
      <w:r w:rsidRPr="00FB4EFA">
        <w:rPr>
          <w:rFonts w:eastAsia="Times New Roman" w:cs="Charis SIL"/>
          <w:lang w:val="en-US"/>
        </w:rPr>
        <w:t>.</w:t>
      </w:r>
      <w:r w:rsidRPr="00FB4EFA">
        <w:rPr>
          <w:rFonts w:eastAsia="Times New Roman" w:cs="Charis SIL"/>
          <w:smallCaps/>
          <w:lang w:val="en-US"/>
        </w:rPr>
        <w:t>3pl</w:t>
      </w:r>
    </w:p>
    <w:p w14:paraId="4A341B5A" w14:textId="77777777" w:rsidR="005B26AB" w:rsidRPr="00FB4EFA" w:rsidRDefault="005B26AB" w:rsidP="00AF0CAD">
      <w:pPr>
        <w:keepNext/>
        <w:tabs>
          <w:tab w:val="left" w:pos="709"/>
          <w:tab w:val="left" w:pos="2127"/>
          <w:tab w:val="left" w:pos="3686"/>
          <w:tab w:val="left" w:pos="4678"/>
        </w:tabs>
        <w:spacing w:before="120" w:line="240" w:lineRule="auto"/>
        <w:ind w:left="709" w:hanging="709"/>
        <w:rPr>
          <w:rFonts w:eastAsia="Times New Roman" w:cs="Charis SIL"/>
          <w:lang w:val="en-US"/>
        </w:rPr>
      </w:pPr>
      <w:r w:rsidRPr="00FB4EFA">
        <w:rPr>
          <w:rFonts w:eastAsia="Times New Roman" w:cs="Charis SIL"/>
          <w:lang w:val="en-US"/>
        </w:rPr>
        <w:tab/>
      </w:r>
      <w:r w:rsidRPr="00FB4EFA">
        <w:rPr>
          <w:rFonts w:eastAsia="Times New Roman" w:cs="Charis SIL"/>
          <w:b/>
          <w:i/>
          <w:lang w:val="en-US"/>
        </w:rPr>
        <w:t>wut</w:t>
      </w:r>
      <w:r w:rsidRPr="00FB4EFA">
        <w:rPr>
          <w:rFonts w:eastAsia="Times New Roman" w:cs="Charis SIL"/>
          <w:b/>
          <w:i/>
          <w:lang w:val="en-US"/>
        </w:rPr>
        <w:tab/>
      </w:r>
      <w:r w:rsidRPr="00FB4EFA">
        <w:rPr>
          <w:rFonts w:eastAsia="Times New Roman" w:cs="Charis SIL"/>
          <w:i/>
          <w:lang w:val="en-US"/>
        </w:rPr>
        <w:t>norij-a</w:t>
      </w:r>
      <w:r w:rsidRPr="00FB4EFA">
        <w:rPr>
          <w:rFonts w:eastAsia="Times New Roman" w:cs="Charis SIL"/>
          <w:i/>
          <w:lang w:val="en-US"/>
        </w:rPr>
        <w:tab/>
        <w:t xml:space="preserve">āt </w:t>
      </w:r>
      <w:r w:rsidRPr="00FB4EFA">
        <w:rPr>
          <w:rFonts w:eastAsia="Times New Roman" w:cs="Charis SIL"/>
          <w:i/>
          <w:lang w:val="en-US"/>
        </w:rPr>
        <w:tab/>
        <w:t>iχət-t-ətte!</w:t>
      </w:r>
      <w:r w:rsidRPr="00FB4EFA">
        <w:rPr>
          <w:rFonts w:eastAsia="Times New Roman" w:cs="Charis SIL"/>
          <w:i/>
          <w:lang w:val="en-US"/>
        </w:rPr>
        <w:br/>
      </w:r>
      <w:r w:rsidRPr="00FB4EFA">
        <w:rPr>
          <w:rFonts w:eastAsia="Times New Roman" w:cs="Charis SIL"/>
          <w:lang w:val="en-US"/>
        </w:rPr>
        <w:t>inner.part</w:t>
      </w:r>
      <w:r w:rsidRPr="00FB4EFA">
        <w:rPr>
          <w:rFonts w:eastAsia="Times New Roman" w:cs="Charis SIL"/>
          <w:lang w:val="en-US"/>
        </w:rPr>
        <w:tab/>
        <w:t>beam-</w:t>
      </w:r>
      <w:r w:rsidRPr="00FB4EFA">
        <w:rPr>
          <w:rFonts w:eastAsia="Times New Roman" w:cs="Charis SIL"/>
          <w:smallCaps/>
          <w:lang w:val="en-US"/>
        </w:rPr>
        <w:t>lat</w:t>
      </w:r>
      <w:r w:rsidRPr="00FB4EFA">
        <w:rPr>
          <w:rFonts w:eastAsia="Times New Roman" w:cs="Charis SIL"/>
          <w:lang w:val="en-US"/>
        </w:rPr>
        <w:tab/>
      </w:r>
      <w:r w:rsidRPr="00FB4EFA">
        <w:rPr>
          <w:rFonts w:eastAsia="Times New Roman" w:cs="Charis SIL"/>
          <w:smallCaps/>
          <w:lang w:val="en-US"/>
        </w:rPr>
        <w:t>adh</w:t>
      </w:r>
      <w:r w:rsidRPr="00FB4EFA">
        <w:rPr>
          <w:rFonts w:eastAsia="Times New Roman" w:cs="Charis SIL"/>
          <w:smallCaps/>
          <w:lang w:val="en-US"/>
        </w:rPr>
        <w:tab/>
      </w:r>
      <w:r w:rsidRPr="00FB4EFA">
        <w:rPr>
          <w:rFonts w:eastAsia="Times New Roman" w:cs="Charis SIL"/>
          <w:lang w:val="en-US"/>
        </w:rPr>
        <w:t>hang-</w:t>
      </w:r>
      <w:r w:rsidRPr="00FB4EFA">
        <w:rPr>
          <w:rFonts w:eastAsia="Times New Roman" w:cs="Charis SIL"/>
          <w:smallCaps/>
          <w:lang w:val="en-US"/>
        </w:rPr>
        <w:t>prs</w:t>
      </w:r>
      <w:r w:rsidRPr="00FB4EFA">
        <w:rPr>
          <w:rFonts w:eastAsia="Times New Roman" w:cs="Charis SIL"/>
          <w:lang w:val="en-US"/>
        </w:rPr>
        <w:t>-</w:t>
      </w:r>
      <w:r w:rsidRPr="00FB4EFA">
        <w:rPr>
          <w:rFonts w:eastAsia="Times New Roman" w:cs="Charis SIL"/>
          <w:smallCaps/>
          <w:lang w:val="en-US"/>
        </w:rPr>
        <w:t>3sg</w:t>
      </w:r>
      <w:r w:rsidRPr="00FB4EFA">
        <w:rPr>
          <w:rFonts w:eastAsia="Times New Roman" w:cs="Charis SIL"/>
          <w:lang w:val="en-US"/>
        </w:rPr>
        <w:t>.</w:t>
      </w:r>
      <w:r w:rsidRPr="00FB4EFA">
        <w:rPr>
          <w:rFonts w:eastAsia="Times New Roman" w:cs="Charis SIL"/>
          <w:smallCaps/>
          <w:lang w:val="en-US"/>
        </w:rPr>
        <w:t>o</w:t>
      </w:r>
    </w:p>
    <w:p w14:paraId="3A15A40C" w14:textId="5B80A2F5" w:rsidR="005B26AB" w:rsidRPr="00FB4EFA" w:rsidRDefault="005B26AB" w:rsidP="00545033">
      <w:pPr>
        <w:spacing w:line="240" w:lineRule="auto"/>
        <w:ind w:left="720"/>
        <w:rPr>
          <w:rFonts w:cs="Charis SIL"/>
          <w:lang w:val="en-US"/>
        </w:rPr>
      </w:pPr>
      <w:r w:rsidRPr="00FB4EFA">
        <w:rPr>
          <w:rFonts w:eastAsia="Times New Roman" w:cs="Charis SIL"/>
          <w:lang w:val="en-US"/>
        </w:rPr>
        <w:t>‘Let him hang his cap, his gloves, and his belt on the beam (in the part of the house meant for guests).’</w:t>
      </w:r>
      <w:r w:rsidRPr="00FB4EFA">
        <w:rPr>
          <w:rFonts w:eastAsia="Times New Roman" w:cs="Charis SIL"/>
          <w:vertAlign w:val="superscript"/>
          <w:lang w:val="en-US"/>
        </w:rPr>
        <w:footnoteReference w:id="51"/>
      </w:r>
      <w:r w:rsidR="00CC79AF" w:rsidRPr="00FB4EFA">
        <w:rPr>
          <w:rFonts w:eastAsia="Times New Roman" w:cs="Charis SIL"/>
          <w:lang w:val="en-US"/>
        </w:rPr>
        <w:t xml:space="preserve"> </w:t>
      </w:r>
      <w:r w:rsidRPr="00FB4EFA">
        <w:rPr>
          <w:rFonts w:eastAsia="Times New Roman" w:cs="Charis SIL"/>
          <w:lang w:val="en-US"/>
        </w:rPr>
        <w:t>(Steinitz 1975: 292, cited by Pevnov &amp; Urmanchieva 2011: 534)</w:t>
      </w:r>
    </w:p>
    <w:p w14:paraId="6B434416" w14:textId="77777777" w:rsidR="005B26AB" w:rsidRPr="00FB4EFA" w:rsidRDefault="005B26AB" w:rsidP="00545033">
      <w:pPr>
        <w:keepNext/>
        <w:spacing w:before="240" w:line="240" w:lineRule="auto"/>
        <w:rPr>
          <w:rFonts w:eastAsia="Times New Roman" w:cs="Charis SIL"/>
          <w:lang w:val="en-US"/>
        </w:rPr>
      </w:pPr>
      <w:r w:rsidRPr="00FB4EFA">
        <w:rPr>
          <w:rFonts w:eastAsia="Times New Roman" w:cs="Charis SIL"/>
          <w:lang w:val="en-US"/>
        </w:rPr>
        <w:lastRenderedPageBreak/>
        <w:t>Mansi (Northern)</w:t>
      </w:r>
    </w:p>
    <w:p w14:paraId="0E97F722" w14:textId="77777777" w:rsidR="005B26AB" w:rsidRPr="00FB4EFA" w:rsidRDefault="005B26AB" w:rsidP="00AF0CAD">
      <w:pPr>
        <w:keepNext/>
        <w:tabs>
          <w:tab w:val="left" w:pos="709"/>
          <w:tab w:val="left" w:pos="2835"/>
          <w:tab w:val="left" w:pos="4962"/>
        </w:tabs>
        <w:spacing w:line="240" w:lineRule="auto"/>
        <w:rPr>
          <w:rFonts w:eastAsia="Times New Roman" w:cs="Charis SIL"/>
          <w:i/>
          <w:lang w:val="en-US"/>
        </w:rPr>
      </w:pPr>
      <w:r w:rsidRPr="00FB4EFA">
        <w:rPr>
          <w:rFonts w:eastAsia="Times New Roman" w:cs="Charis SIL"/>
          <w:lang w:val="en-US"/>
        </w:rPr>
        <w:t>(11)</w:t>
      </w:r>
      <w:r w:rsidRPr="00FB4EFA">
        <w:rPr>
          <w:rFonts w:eastAsia="Times New Roman" w:cs="Charis SIL"/>
          <w:lang w:val="en-US"/>
        </w:rPr>
        <w:tab/>
      </w:r>
      <w:r w:rsidRPr="00FB4EFA">
        <w:rPr>
          <w:rFonts w:eastAsia="Times New Roman" w:cs="Charis SIL"/>
          <w:i/>
          <w:lang w:val="en-US"/>
        </w:rPr>
        <w:t xml:space="preserve">Śalt-en </w:t>
      </w:r>
      <w:r w:rsidRPr="00FB4EFA">
        <w:rPr>
          <w:rFonts w:eastAsia="Times New Roman" w:cs="Charis SIL"/>
          <w:i/>
          <w:lang w:val="en-US"/>
        </w:rPr>
        <w:tab/>
        <w:t xml:space="preserve">śalt-en, </w:t>
      </w:r>
      <w:r w:rsidRPr="00FB4EFA">
        <w:rPr>
          <w:rFonts w:eastAsia="Times New Roman" w:cs="Charis SIL"/>
          <w:i/>
          <w:lang w:val="en-US"/>
        </w:rPr>
        <w:tab/>
        <w:t xml:space="preserve">jij-en, </w:t>
      </w:r>
      <w:r w:rsidRPr="00FB4EFA">
        <w:rPr>
          <w:rFonts w:eastAsia="Times New Roman" w:cs="Charis SIL"/>
          <w:i/>
          <w:lang w:val="en-US"/>
        </w:rPr>
        <w:tab/>
      </w:r>
    </w:p>
    <w:p w14:paraId="76F07FA2" w14:textId="77777777" w:rsidR="005B26AB" w:rsidRPr="00FB4EFA" w:rsidRDefault="005B26AB" w:rsidP="00545033">
      <w:pPr>
        <w:keepNext/>
        <w:tabs>
          <w:tab w:val="left" w:pos="709"/>
          <w:tab w:val="left" w:pos="2835"/>
          <w:tab w:val="left" w:pos="4962"/>
        </w:tabs>
        <w:spacing w:line="240" w:lineRule="auto"/>
        <w:ind w:firstLine="720"/>
        <w:rPr>
          <w:rFonts w:eastAsia="Times New Roman" w:cs="Charis SIL"/>
          <w:lang w:val="en-US"/>
        </w:rPr>
      </w:pPr>
      <w:r w:rsidRPr="00FB4EFA">
        <w:rPr>
          <w:rFonts w:eastAsia="Times New Roman" w:cs="Charis SIL"/>
          <w:lang w:val="en-US"/>
        </w:rPr>
        <w:t>step.inside-</w:t>
      </w:r>
      <w:r w:rsidRPr="00FB4EFA">
        <w:rPr>
          <w:rFonts w:eastAsia="Times New Roman" w:cs="Charis SIL"/>
          <w:smallCaps/>
          <w:lang w:val="en-US"/>
        </w:rPr>
        <w:t>imp</w:t>
      </w:r>
      <w:r w:rsidRPr="00FB4EFA">
        <w:rPr>
          <w:rFonts w:eastAsia="Times New Roman" w:cs="Charis SIL"/>
          <w:lang w:val="en-US"/>
        </w:rPr>
        <w:t>.</w:t>
      </w:r>
      <w:r w:rsidRPr="00FB4EFA">
        <w:rPr>
          <w:rFonts w:eastAsia="Times New Roman" w:cs="Charis SIL"/>
          <w:smallCaps/>
          <w:lang w:val="en-US"/>
        </w:rPr>
        <w:t>2sg</w:t>
      </w:r>
      <w:r w:rsidRPr="00FB4EFA">
        <w:rPr>
          <w:rFonts w:eastAsia="Times New Roman" w:cs="Charis SIL"/>
          <w:lang w:val="en-US"/>
        </w:rPr>
        <w:tab/>
        <w:t>step.inside-</w:t>
      </w:r>
      <w:r w:rsidRPr="00FB4EFA">
        <w:rPr>
          <w:rFonts w:eastAsia="Times New Roman" w:cs="Charis SIL"/>
          <w:smallCaps/>
          <w:lang w:val="en-US"/>
        </w:rPr>
        <w:t>imp</w:t>
      </w:r>
      <w:r w:rsidRPr="00FB4EFA">
        <w:rPr>
          <w:rFonts w:eastAsia="Times New Roman" w:cs="Charis SIL"/>
          <w:lang w:val="en-US"/>
        </w:rPr>
        <w:t>.</w:t>
      </w:r>
      <w:r w:rsidRPr="00FB4EFA">
        <w:rPr>
          <w:rFonts w:eastAsia="Times New Roman" w:cs="Charis SIL"/>
          <w:smallCaps/>
          <w:lang w:val="en-US"/>
        </w:rPr>
        <w:t>2sg</w:t>
      </w:r>
      <w:r w:rsidRPr="00FB4EFA">
        <w:rPr>
          <w:rFonts w:eastAsia="Times New Roman" w:cs="Charis SIL"/>
          <w:lang w:val="en-US"/>
        </w:rPr>
        <w:tab/>
      </w:r>
      <w:r w:rsidRPr="00FB4EFA">
        <w:rPr>
          <w:rFonts w:eastAsia="Times New Roman" w:cs="Charis SIL"/>
          <w:lang w:val="en-US"/>
        </w:rPr>
        <w:tab/>
        <w:t>come-</w:t>
      </w:r>
      <w:r w:rsidRPr="00FB4EFA">
        <w:rPr>
          <w:rFonts w:eastAsia="Times New Roman" w:cs="Charis SIL"/>
          <w:smallCaps/>
          <w:lang w:val="en-US"/>
        </w:rPr>
        <w:t>imp.2sg</w:t>
      </w:r>
    </w:p>
    <w:p w14:paraId="035D511B" w14:textId="648B0CC2" w:rsidR="005B26AB" w:rsidRPr="00FB4EFA" w:rsidRDefault="005B26AB" w:rsidP="00AF0CAD">
      <w:pPr>
        <w:keepNext/>
        <w:tabs>
          <w:tab w:val="left" w:pos="709"/>
          <w:tab w:val="left" w:pos="2268"/>
          <w:tab w:val="left" w:pos="4253"/>
        </w:tabs>
        <w:spacing w:before="120" w:line="240" w:lineRule="auto"/>
        <w:ind w:firstLine="720"/>
        <w:rPr>
          <w:rFonts w:eastAsia="Times New Roman" w:cs="Charis SIL"/>
          <w:i/>
          <w:lang w:val="en-US"/>
        </w:rPr>
      </w:pPr>
      <w:r w:rsidRPr="00FB4EFA">
        <w:rPr>
          <w:rFonts w:eastAsia="Times New Roman" w:cs="Charis SIL"/>
          <w:i/>
          <w:lang w:val="en-US"/>
        </w:rPr>
        <w:t>jij-en,</w:t>
      </w:r>
      <w:r w:rsidRPr="00FB4EFA">
        <w:rPr>
          <w:rFonts w:eastAsia="Times New Roman" w:cs="Charis SIL"/>
          <w:b/>
          <w:i/>
          <w:lang w:val="en-US"/>
        </w:rPr>
        <w:t xml:space="preserve"> </w:t>
      </w:r>
      <w:r w:rsidRPr="00FB4EFA">
        <w:rPr>
          <w:rFonts w:eastAsia="Times New Roman" w:cs="Charis SIL"/>
          <w:b/>
          <w:i/>
          <w:lang w:val="en-US"/>
        </w:rPr>
        <w:tab/>
        <w:t>pā</w:t>
      </w:r>
      <w:r w:rsidR="003C3714" w:rsidRPr="00FB4EFA">
        <w:rPr>
          <w:rFonts w:eastAsia="Times New Roman" w:cs="Charis SIL"/>
          <w:b/>
          <w:bCs/>
          <w:i/>
          <w:lang w:val="en-US"/>
        </w:rPr>
        <w:t>γ</w:t>
      </w:r>
      <w:r w:rsidRPr="00FB4EFA">
        <w:rPr>
          <w:rFonts w:eastAsia="Times New Roman" w:cs="Charis SIL"/>
          <w:i/>
          <w:lang w:val="en-US"/>
        </w:rPr>
        <w:tab/>
        <w:t>jij-en!</w:t>
      </w:r>
    </w:p>
    <w:p w14:paraId="2DFD37F9" w14:textId="77777777" w:rsidR="005B26AB" w:rsidRPr="00FB4EFA" w:rsidRDefault="005B26AB" w:rsidP="00545033">
      <w:pPr>
        <w:keepNext/>
        <w:tabs>
          <w:tab w:val="left" w:pos="709"/>
          <w:tab w:val="left" w:pos="2268"/>
          <w:tab w:val="left" w:pos="4253"/>
        </w:tabs>
        <w:spacing w:line="240" w:lineRule="auto"/>
        <w:ind w:firstLine="720"/>
        <w:rPr>
          <w:rFonts w:eastAsia="Times New Roman" w:cs="Charis SIL"/>
          <w:lang w:val="en-US"/>
        </w:rPr>
      </w:pPr>
      <w:r w:rsidRPr="00FB4EFA">
        <w:rPr>
          <w:rFonts w:eastAsia="Times New Roman" w:cs="Charis SIL"/>
          <w:lang w:val="en-US"/>
        </w:rPr>
        <w:t>come-</w:t>
      </w:r>
      <w:r w:rsidRPr="00FB4EFA">
        <w:rPr>
          <w:rFonts w:eastAsia="Times New Roman" w:cs="Charis SIL"/>
          <w:smallCaps/>
          <w:lang w:val="en-US"/>
        </w:rPr>
        <w:t>imp</w:t>
      </w:r>
      <w:r w:rsidRPr="00FB4EFA">
        <w:rPr>
          <w:rFonts w:eastAsia="Times New Roman" w:cs="Charis SIL"/>
          <w:lang w:val="en-US"/>
        </w:rPr>
        <w:t>.</w:t>
      </w:r>
      <w:r w:rsidRPr="00FB4EFA">
        <w:rPr>
          <w:rFonts w:eastAsia="Times New Roman" w:cs="Charis SIL"/>
          <w:smallCaps/>
          <w:lang w:val="en-US"/>
        </w:rPr>
        <w:t>2sg</w:t>
      </w:r>
      <w:r w:rsidRPr="00FB4EFA">
        <w:rPr>
          <w:rFonts w:eastAsia="Times New Roman" w:cs="Charis SIL"/>
          <w:lang w:val="en-US"/>
        </w:rPr>
        <w:tab/>
        <w:t>into.the.house</w:t>
      </w:r>
      <w:r w:rsidRPr="00FB4EFA">
        <w:rPr>
          <w:rFonts w:eastAsia="Times New Roman" w:cs="Charis SIL"/>
          <w:lang w:val="en-US"/>
        </w:rPr>
        <w:tab/>
        <w:t>come-</w:t>
      </w:r>
      <w:r w:rsidRPr="00FB4EFA">
        <w:rPr>
          <w:rFonts w:eastAsia="Times New Roman" w:cs="Charis SIL"/>
          <w:smallCaps/>
          <w:lang w:val="en-US"/>
        </w:rPr>
        <w:t>imp</w:t>
      </w:r>
      <w:r w:rsidRPr="00FB4EFA">
        <w:rPr>
          <w:rFonts w:eastAsia="Times New Roman" w:cs="Charis SIL"/>
          <w:lang w:val="en-US"/>
        </w:rPr>
        <w:t>.</w:t>
      </w:r>
      <w:r w:rsidRPr="00FB4EFA">
        <w:rPr>
          <w:rFonts w:eastAsia="Times New Roman" w:cs="Charis SIL"/>
          <w:smallCaps/>
          <w:lang w:val="en-US"/>
        </w:rPr>
        <w:t>2sg</w:t>
      </w:r>
    </w:p>
    <w:p w14:paraId="66592A04" w14:textId="77777777" w:rsidR="005B26AB" w:rsidRPr="00FB4EFA" w:rsidRDefault="005B26AB" w:rsidP="00545033">
      <w:pPr>
        <w:keepNext/>
        <w:spacing w:line="240" w:lineRule="auto"/>
        <w:ind w:firstLine="720"/>
        <w:rPr>
          <w:rFonts w:eastAsia="Times New Roman" w:cs="Charis SIL"/>
          <w:lang w:val="en-US"/>
        </w:rPr>
      </w:pPr>
      <w:r w:rsidRPr="00FB4EFA">
        <w:rPr>
          <w:rFonts w:eastAsia="Times New Roman" w:cs="Charis SIL"/>
          <w:lang w:val="en-US"/>
        </w:rPr>
        <w:t>‘Step inside, step inside, come, come, come into the house!’</w:t>
      </w:r>
    </w:p>
    <w:p w14:paraId="05ADBE23" w14:textId="77777777" w:rsidR="005B26AB" w:rsidRPr="00FB4EFA" w:rsidRDefault="005B26AB" w:rsidP="00CC79AF">
      <w:pPr>
        <w:spacing w:line="240" w:lineRule="auto"/>
        <w:ind w:firstLine="700"/>
        <w:rPr>
          <w:rFonts w:cs="Charis SIL"/>
          <w:lang w:val="en-US"/>
        </w:rPr>
      </w:pPr>
      <w:r w:rsidRPr="00FB4EFA">
        <w:rPr>
          <w:rFonts w:eastAsia="Times New Roman" w:cs="Charis SIL"/>
          <w:lang w:val="en-US"/>
        </w:rPr>
        <w:t>(LS 2015/14: 14)</w:t>
      </w:r>
    </w:p>
    <w:p w14:paraId="756400A8" w14:textId="77777777" w:rsidR="005B26AB" w:rsidRPr="00FB4EFA" w:rsidRDefault="005B26AB" w:rsidP="00CC79AF">
      <w:pPr>
        <w:spacing w:before="240" w:line="240" w:lineRule="auto"/>
        <w:rPr>
          <w:rFonts w:eastAsia="Times New Roman" w:cs="Charis SIL"/>
          <w:iCs/>
          <w:lang w:val="en-US"/>
        </w:rPr>
      </w:pPr>
      <w:r w:rsidRPr="00FB4EFA">
        <w:rPr>
          <w:rFonts w:eastAsia="Times New Roman" w:cs="Charis SIL"/>
          <w:iCs/>
          <w:lang w:val="en-US"/>
        </w:rPr>
        <w:t>Selkup (Northern, Taz)</w:t>
      </w:r>
    </w:p>
    <w:p w14:paraId="187A12DD" w14:textId="77777777" w:rsidR="005B26AB" w:rsidRPr="00FB4EFA" w:rsidRDefault="005B26AB" w:rsidP="00AF0CAD">
      <w:pPr>
        <w:tabs>
          <w:tab w:val="left" w:pos="709"/>
          <w:tab w:val="left" w:pos="1843"/>
          <w:tab w:val="left" w:pos="3402"/>
        </w:tabs>
        <w:spacing w:line="240" w:lineRule="auto"/>
        <w:rPr>
          <w:rFonts w:eastAsia="Times New Roman" w:cs="Charis SIL"/>
          <w:i/>
          <w:lang w:val="en-US"/>
        </w:rPr>
      </w:pPr>
      <w:r w:rsidRPr="00FB4EFA">
        <w:rPr>
          <w:rFonts w:eastAsia="Times New Roman" w:cs="Charis SIL"/>
          <w:iCs/>
          <w:lang w:val="en-US"/>
        </w:rPr>
        <w:t>(12)</w:t>
      </w:r>
      <w:r w:rsidRPr="00FB4EFA">
        <w:rPr>
          <w:rFonts w:eastAsia="Times New Roman" w:cs="Charis SIL"/>
          <w:iCs/>
          <w:lang w:val="en-US"/>
        </w:rPr>
        <w:tab/>
      </w:r>
      <w:r w:rsidRPr="00FB4EFA">
        <w:rPr>
          <w:rFonts w:eastAsia="Times New Roman" w:cs="Charis SIL"/>
          <w:i/>
          <w:lang w:val="en-US"/>
        </w:rPr>
        <w:t>Qälɨ</w:t>
      </w:r>
      <w:r w:rsidRPr="00FB4EFA">
        <w:rPr>
          <w:rFonts w:eastAsia="Times New Roman" w:cs="Charis SIL"/>
          <w:i/>
          <w:lang w:val="en-US"/>
        </w:rPr>
        <w:tab/>
        <w:t>ira</w:t>
      </w:r>
      <w:r w:rsidRPr="00FB4EFA">
        <w:rPr>
          <w:rFonts w:eastAsia="Times New Roman" w:cs="Charis SIL"/>
          <w:i/>
          <w:lang w:val="en-US"/>
        </w:rPr>
        <w:tab/>
      </w:r>
      <w:r w:rsidRPr="00FB4EFA">
        <w:rPr>
          <w:rFonts w:eastAsia="Times New Roman" w:cs="Charis SIL"/>
          <w:b/>
          <w:bCs/>
          <w:i/>
          <w:lang w:val="en-US"/>
        </w:rPr>
        <w:t>konnät</w:t>
      </w:r>
      <w:r w:rsidRPr="00FB4EFA">
        <w:rPr>
          <w:rFonts w:eastAsia="Times New Roman" w:cs="Charis SIL"/>
          <w:i/>
          <w:lang w:val="en-US"/>
        </w:rPr>
        <w:t>,</w:t>
      </w:r>
    </w:p>
    <w:p w14:paraId="1E325612" w14:textId="77777777" w:rsidR="005B26AB" w:rsidRPr="00FB4EFA" w:rsidRDefault="005B26AB" w:rsidP="00CC79AF">
      <w:pPr>
        <w:tabs>
          <w:tab w:val="left" w:pos="1843"/>
          <w:tab w:val="left" w:pos="3402"/>
        </w:tabs>
        <w:spacing w:line="240" w:lineRule="auto"/>
        <w:ind w:left="720"/>
        <w:rPr>
          <w:rFonts w:eastAsia="Times New Roman" w:cs="Charis SIL"/>
          <w:iCs/>
          <w:lang w:val="en-US"/>
        </w:rPr>
      </w:pPr>
      <w:r w:rsidRPr="00FB4EFA">
        <w:rPr>
          <w:rFonts w:eastAsia="Times New Roman" w:cs="Charis SIL"/>
          <w:iCs/>
          <w:lang w:val="en-US"/>
        </w:rPr>
        <w:t>Nenets</w:t>
      </w:r>
      <w:r w:rsidRPr="00FB4EFA">
        <w:rPr>
          <w:rFonts w:eastAsia="Times New Roman" w:cs="Charis SIL"/>
          <w:iCs/>
          <w:lang w:val="en-US"/>
        </w:rPr>
        <w:tab/>
        <w:t>old.man</w:t>
      </w:r>
      <w:r w:rsidRPr="00FB4EFA">
        <w:rPr>
          <w:rFonts w:eastAsia="Times New Roman" w:cs="Charis SIL"/>
          <w:iCs/>
          <w:lang w:val="en-US"/>
        </w:rPr>
        <w:tab/>
        <w:t>upwards</w:t>
      </w:r>
    </w:p>
    <w:p w14:paraId="0C1CA358" w14:textId="77777777" w:rsidR="005B26AB" w:rsidRPr="00FB4EFA" w:rsidRDefault="005B26AB" w:rsidP="00AF0CAD">
      <w:pPr>
        <w:tabs>
          <w:tab w:val="left" w:pos="1843"/>
          <w:tab w:val="left" w:pos="3402"/>
          <w:tab w:val="left" w:pos="5670"/>
        </w:tabs>
        <w:spacing w:before="120" w:line="240" w:lineRule="auto"/>
        <w:ind w:left="720"/>
        <w:rPr>
          <w:rFonts w:eastAsia="Times New Roman" w:cs="Charis SIL"/>
          <w:i/>
          <w:lang w:val="en-US"/>
        </w:rPr>
      </w:pPr>
      <w:r w:rsidRPr="00FB4EFA">
        <w:rPr>
          <w:rFonts w:eastAsia="Times New Roman" w:cs="Charis SIL"/>
          <w:i/>
          <w:lang w:val="en-US"/>
        </w:rPr>
        <w:t>qälɨ</w:t>
      </w:r>
      <w:r w:rsidRPr="00FB4EFA">
        <w:rPr>
          <w:rFonts w:eastAsia="Times New Roman" w:cs="Charis SIL"/>
          <w:i/>
          <w:lang w:val="en-US"/>
        </w:rPr>
        <w:tab/>
        <w:t>ira</w:t>
      </w:r>
      <w:r w:rsidRPr="00FB4EFA">
        <w:rPr>
          <w:rFonts w:eastAsia="Times New Roman" w:cs="Charis SIL"/>
          <w:i/>
          <w:lang w:val="en-US"/>
        </w:rPr>
        <w:tab/>
        <w:t>qonnɨ-mpa</w:t>
      </w:r>
      <w:r w:rsidRPr="00FB4EFA">
        <w:rPr>
          <w:rFonts w:eastAsia="Times New Roman" w:cs="Charis SIL"/>
          <w:i/>
          <w:lang w:val="en-US"/>
        </w:rPr>
        <w:tab/>
        <w:t>mɔːt-qɨn.</w:t>
      </w:r>
    </w:p>
    <w:p w14:paraId="41B3204A" w14:textId="77777777" w:rsidR="005B26AB" w:rsidRPr="00FB4EFA" w:rsidRDefault="005B26AB" w:rsidP="00CC79AF">
      <w:pPr>
        <w:tabs>
          <w:tab w:val="left" w:pos="1843"/>
          <w:tab w:val="left" w:pos="3402"/>
          <w:tab w:val="left" w:pos="5670"/>
        </w:tabs>
        <w:spacing w:line="240" w:lineRule="auto"/>
        <w:ind w:left="720"/>
        <w:rPr>
          <w:rFonts w:eastAsia="Times New Roman" w:cs="Charis SIL"/>
          <w:iCs/>
          <w:lang w:val="en-US"/>
        </w:rPr>
      </w:pPr>
      <w:r w:rsidRPr="00FB4EFA">
        <w:rPr>
          <w:rFonts w:eastAsia="Times New Roman" w:cs="Charis SIL"/>
          <w:iCs/>
          <w:lang w:val="en-US"/>
        </w:rPr>
        <w:t>Nenets</w:t>
      </w:r>
      <w:r w:rsidRPr="00FB4EFA">
        <w:rPr>
          <w:rFonts w:eastAsia="Times New Roman" w:cs="Charis SIL"/>
          <w:iCs/>
          <w:lang w:val="en-US"/>
        </w:rPr>
        <w:tab/>
        <w:t>old.man</w:t>
      </w:r>
      <w:r w:rsidRPr="00FB4EFA">
        <w:rPr>
          <w:rFonts w:eastAsia="Times New Roman" w:cs="Charis SIL"/>
          <w:iCs/>
          <w:lang w:val="en-US"/>
        </w:rPr>
        <w:tab/>
        <w:t>sleep-</w:t>
      </w:r>
      <w:r w:rsidRPr="00FB4EFA">
        <w:rPr>
          <w:rFonts w:eastAsia="Times New Roman" w:cs="Charis SIL"/>
          <w:iCs/>
          <w:smallCaps/>
          <w:lang w:val="en-US"/>
        </w:rPr>
        <w:t>pst</w:t>
      </w:r>
      <w:r w:rsidRPr="00FB4EFA">
        <w:rPr>
          <w:rFonts w:eastAsia="Times New Roman" w:cs="Charis SIL"/>
          <w:iCs/>
          <w:lang w:val="en-US"/>
        </w:rPr>
        <w:t>.</w:t>
      </w:r>
      <w:r w:rsidRPr="00FB4EFA">
        <w:rPr>
          <w:rFonts w:eastAsia="Times New Roman" w:cs="Charis SIL"/>
          <w:iCs/>
          <w:smallCaps/>
          <w:lang w:val="en-US"/>
        </w:rPr>
        <w:t>nar</w:t>
      </w:r>
      <w:r w:rsidRPr="00FB4EFA">
        <w:rPr>
          <w:rFonts w:eastAsia="Times New Roman" w:cs="Charis SIL"/>
          <w:iCs/>
          <w:lang w:val="en-US"/>
        </w:rPr>
        <w:t>.</w:t>
      </w:r>
      <w:r w:rsidRPr="00FB4EFA">
        <w:rPr>
          <w:rFonts w:eastAsia="Times New Roman" w:cs="Charis SIL"/>
          <w:iCs/>
          <w:smallCaps/>
          <w:lang w:val="en-US"/>
        </w:rPr>
        <w:t>3sg</w:t>
      </w:r>
      <w:r w:rsidRPr="00FB4EFA">
        <w:rPr>
          <w:rFonts w:eastAsia="Times New Roman" w:cs="Charis SIL"/>
          <w:iCs/>
          <w:lang w:val="en-US"/>
        </w:rPr>
        <w:tab/>
        <w:t>tent-</w:t>
      </w:r>
      <w:r w:rsidRPr="00FB4EFA">
        <w:rPr>
          <w:rFonts w:eastAsia="Times New Roman" w:cs="Charis SIL"/>
          <w:iCs/>
          <w:smallCaps/>
          <w:lang w:val="en-US"/>
        </w:rPr>
        <w:t>loc</w:t>
      </w:r>
    </w:p>
    <w:p w14:paraId="0FEA8F00" w14:textId="77777777" w:rsidR="005B26AB" w:rsidRPr="00FB4EFA" w:rsidRDefault="005B26AB" w:rsidP="00CC79AF">
      <w:pPr>
        <w:spacing w:line="240" w:lineRule="auto"/>
        <w:ind w:left="720"/>
        <w:rPr>
          <w:rFonts w:eastAsia="Times New Roman" w:cs="Charis SIL"/>
          <w:iCs/>
          <w:lang w:val="en-US"/>
        </w:rPr>
      </w:pPr>
      <w:r w:rsidRPr="00FB4EFA">
        <w:rPr>
          <w:rFonts w:eastAsia="Times New Roman" w:cs="Charis SIL"/>
          <w:iCs/>
          <w:lang w:val="en-US"/>
        </w:rPr>
        <w:t>‘The old Nenets man was sleeping up there, in the tent.’</w:t>
      </w:r>
    </w:p>
    <w:p w14:paraId="347CBDDB" w14:textId="77777777" w:rsidR="005B26AB" w:rsidRPr="00FB4EFA" w:rsidRDefault="005B26AB" w:rsidP="00CC79AF">
      <w:pPr>
        <w:spacing w:line="240" w:lineRule="auto"/>
        <w:ind w:left="720"/>
        <w:rPr>
          <w:rFonts w:eastAsia="Times New Roman" w:cs="Charis SIL"/>
          <w:iCs/>
          <w:lang w:val="en-US"/>
        </w:rPr>
      </w:pPr>
      <w:r w:rsidRPr="00FB4EFA">
        <w:rPr>
          <w:rFonts w:eastAsia="Times New Roman" w:cs="Charis SIL"/>
          <w:iCs/>
          <w:lang w:val="en-US"/>
        </w:rPr>
        <w:t>(NEP_196X_NenetsAndWhiteBear2_flk.171)</w:t>
      </w:r>
      <w:r w:rsidRPr="00FB4EFA">
        <w:rPr>
          <w:rFonts w:eastAsia="Times New Roman" w:cs="Charis SIL"/>
          <w:iCs/>
          <w:vertAlign w:val="superscript"/>
          <w:lang w:val="en-US"/>
        </w:rPr>
        <w:footnoteReference w:id="52"/>
      </w:r>
    </w:p>
    <w:p w14:paraId="308C3FA5" w14:textId="77777777" w:rsidR="005B26AB" w:rsidRPr="00FB4EFA" w:rsidRDefault="005B26AB" w:rsidP="00AF0CAD">
      <w:pPr>
        <w:spacing w:before="240" w:line="240" w:lineRule="auto"/>
        <w:ind w:left="709" w:hanging="9"/>
        <w:rPr>
          <w:rFonts w:cs="Charis SIL"/>
          <w:vertAlign w:val="superscript"/>
          <w:lang w:val="en-US"/>
        </w:rPr>
      </w:pPr>
      <w:r w:rsidRPr="00FB4EFA">
        <w:rPr>
          <w:rFonts w:eastAsia="Times New Roman" w:cs="Charis SIL"/>
          <w:b/>
          <w:lang w:val="en-US"/>
        </w:rPr>
        <w:t>C</w:t>
      </w:r>
      <w:r w:rsidRPr="00FB4EFA">
        <w:rPr>
          <w:rFonts w:eastAsia="Times New Roman" w:cs="Charis SIL"/>
          <w:lang w:val="en-US"/>
        </w:rPr>
        <w:t xml:space="preserve"> ‘(away) from the fire, from the stove’; ‘take something from the fire/stove’.</w:t>
      </w:r>
    </w:p>
    <w:p w14:paraId="0F72628E" w14:textId="77777777" w:rsidR="005B26AB" w:rsidRPr="00FB4EFA" w:rsidRDefault="005B26AB" w:rsidP="00CC79AF">
      <w:pPr>
        <w:spacing w:before="240" w:line="240" w:lineRule="auto"/>
        <w:rPr>
          <w:rFonts w:eastAsia="Times New Roman" w:cs="Charis SIL"/>
          <w:lang w:val="en-US"/>
        </w:rPr>
      </w:pPr>
      <w:r w:rsidRPr="00FB4EFA">
        <w:rPr>
          <w:rFonts w:eastAsia="Times New Roman" w:cs="Charis SIL"/>
          <w:lang w:val="en-US"/>
        </w:rPr>
        <w:t>Khanty (Eastern, Surgut)</w:t>
      </w:r>
    </w:p>
    <w:p w14:paraId="323B8B3F" w14:textId="77777777" w:rsidR="005B26AB" w:rsidRPr="00FB4EFA" w:rsidRDefault="005B26AB" w:rsidP="00AF0CAD">
      <w:pPr>
        <w:tabs>
          <w:tab w:val="left" w:pos="709"/>
          <w:tab w:val="left" w:pos="1418"/>
          <w:tab w:val="left" w:pos="2835"/>
          <w:tab w:val="left" w:pos="4820"/>
        </w:tabs>
        <w:spacing w:line="240" w:lineRule="auto"/>
        <w:rPr>
          <w:rFonts w:eastAsia="Times New Roman" w:cs="Charis SIL"/>
          <w:i/>
          <w:lang w:val="en-US"/>
        </w:rPr>
      </w:pPr>
      <w:r w:rsidRPr="00FB4EFA">
        <w:rPr>
          <w:rFonts w:eastAsia="Times New Roman" w:cs="Charis SIL"/>
          <w:lang w:val="en-US"/>
        </w:rPr>
        <w:t>(13)</w:t>
      </w:r>
      <w:r w:rsidRPr="00FB4EFA">
        <w:rPr>
          <w:rFonts w:eastAsia="Times New Roman" w:cs="Charis SIL"/>
          <w:lang w:val="en-US"/>
        </w:rPr>
        <w:tab/>
      </w:r>
      <w:r w:rsidRPr="00FB4EFA">
        <w:rPr>
          <w:rFonts w:eastAsia="Times New Roman" w:cs="Charis SIL"/>
          <w:i/>
          <w:lang w:val="en-US"/>
        </w:rPr>
        <w:t>ťi</w:t>
      </w:r>
      <w:r w:rsidRPr="00FB4EFA">
        <w:rPr>
          <w:rFonts w:eastAsia="Times New Roman" w:cs="Charis SIL"/>
          <w:i/>
          <w:lang w:val="en-US"/>
        </w:rPr>
        <w:tab/>
        <w:t>put-ət</w:t>
      </w:r>
      <w:r w:rsidRPr="00FB4EFA">
        <w:rPr>
          <w:rFonts w:eastAsia="Times New Roman" w:cs="Charis SIL"/>
          <w:i/>
          <w:lang w:val="en-US"/>
        </w:rPr>
        <w:tab/>
      </w:r>
      <w:r w:rsidRPr="00FB4EFA">
        <w:rPr>
          <w:rFonts w:eastAsia="Times New Roman" w:cs="Charis SIL"/>
          <w:b/>
          <w:i/>
          <w:lang w:val="en-US"/>
        </w:rPr>
        <w:t>utə</w:t>
      </w:r>
      <w:r w:rsidRPr="00FB4EFA">
        <w:rPr>
          <w:rFonts w:eastAsia="Times New Roman" w:cs="Charis SIL"/>
          <w:b/>
          <w:i/>
          <w:lang w:val="en-US"/>
        </w:rPr>
        <w:tab/>
      </w:r>
      <w:r w:rsidRPr="00FB4EFA">
        <w:rPr>
          <w:rFonts w:eastAsia="Times New Roman" w:cs="Charis SIL"/>
          <w:i/>
          <w:lang w:val="en-US"/>
        </w:rPr>
        <w:t>wəj-iʌən!</w:t>
      </w:r>
    </w:p>
    <w:p w14:paraId="3159C96D" w14:textId="77777777" w:rsidR="005B26AB" w:rsidRPr="00FB4EFA" w:rsidRDefault="005B26AB" w:rsidP="00AF0CAD">
      <w:pPr>
        <w:tabs>
          <w:tab w:val="left" w:pos="709"/>
          <w:tab w:val="left" w:pos="1418"/>
          <w:tab w:val="left" w:pos="2835"/>
          <w:tab w:val="left" w:pos="4820"/>
        </w:tabs>
        <w:spacing w:line="240" w:lineRule="auto"/>
        <w:rPr>
          <w:rFonts w:eastAsia="Times New Roman" w:cs="Charis SIL"/>
          <w:lang w:val="en-US"/>
        </w:rPr>
      </w:pPr>
      <w:r w:rsidRPr="00FB4EFA">
        <w:rPr>
          <w:rFonts w:eastAsia="Times New Roman" w:cs="Charis SIL"/>
          <w:i/>
          <w:lang w:val="en-US"/>
        </w:rPr>
        <w:tab/>
      </w:r>
      <w:r w:rsidRPr="00FB4EFA">
        <w:rPr>
          <w:rFonts w:eastAsia="Times New Roman" w:cs="Charis SIL"/>
          <w:lang w:val="en-US"/>
        </w:rPr>
        <w:t xml:space="preserve">this </w:t>
      </w:r>
      <w:r w:rsidRPr="00FB4EFA">
        <w:rPr>
          <w:rFonts w:eastAsia="Times New Roman" w:cs="Charis SIL"/>
          <w:lang w:val="en-US"/>
        </w:rPr>
        <w:tab/>
        <w:t>cauldron-</w:t>
      </w:r>
      <w:r w:rsidRPr="00FB4EFA">
        <w:rPr>
          <w:rFonts w:eastAsia="Times New Roman" w:cs="Charis SIL"/>
          <w:smallCaps/>
          <w:lang w:val="en-US"/>
        </w:rPr>
        <w:t>pl</w:t>
      </w:r>
      <w:r w:rsidRPr="00FB4EFA">
        <w:rPr>
          <w:rFonts w:eastAsia="Times New Roman" w:cs="Charis SIL"/>
          <w:lang w:val="en-US"/>
        </w:rPr>
        <w:tab/>
        <w:t>up.from.the.fire</w:t>
      </w:r>
      <w:r w:rsidRPr="00FB4EFA">
        <w:rPr>
          <w:rFonts w:eastAsia="Times New Roman" w:cs="Charis SIL"/>
          <w:lang w:val="en-US"/>
        </w:rPr>
        <w:tab/>
        <w:t>take-</w:t>
      </w:r>
      <w:r w:rsidRPr="00FB4EFA">
        <w:rPr>
          <w:rFonts w:eastAsia="Times New Roman" w:cs="Charis SIL"/>
          <w:smallCaps/>
          <w:lang w:val="en-US"/>
        </w:rPr>
        <w:t>imp</w:t>
      </w:r>
      <w:r w:rsidRPr="00FB4EFA">
        <w:rPr>
          <w:rFonts w:eastAsia="Times New Roman" w:cs="Charis SIL"/>
          <w:lang w:val="en-US"/>
        </w:rPr>
        <w:t>.</w:t>
      </w:r>
      <w:r w:rsidRPr="00FB4EFA">
        <w:rPr>
          <w:rFonts w:eastAsia="Times New Roman" w:cs="Charis SIL"/>
          <w:smallCaps/>
          <w:lang w:val="en-US"/>
        </w:rPr>
        <w:t>pl</w:t>
      </w:r>
      <w:r w:rsidRPr="00FB4EFA">
        <w:rPr>
          <w:rFonts w:eastAsia="Times New Roman" w:cs="Charis SIL"/>
          <w:lang w:val="en-US"/>
        </w:rPr>
        <w:t>.</w:t>
      </w:r>
      <w:r w:rsidRPr="00FB4EFA">
        <w:rPr>
          <w:rFonts w:eastAsia="Times New Roman" w:cs="Charis SIL"/>
          <w:smallCaps/>
          <w:lang w:val="en-US"/>
        </w:rPr>
        <w:t>2pl</w:t>
      </w:r>
    </w:p>
    <w:p w14:paraId="5C9136C2" w14:textId="77777777" w:rsidR="005B26AB" w:rsidRPr="00FB4EFA" w:rsidRDefault="005B26AB" w:rsidP="00CC79AF">
      <w:pPr>
        <w:spacing w:line="240" w:lineRule="auto"/>
        <w:ind w:firstLine="700"/>
        <w:rPr>
          <w:rFonts w:eastAsia="Times New Roman" w:cs="Charis SIL"/>
          <w:lang w:val="en-US"/>
        </w:rPr>
      </w:pPr>
      <w:r w:rsidRPr="00FB4EFA">
        <w:rPr>
          <w:rFonts w:eastAsia="Times New Roman" w:cs="Charis SIL"/>
          <w:lang w:val="en-US"/>
        </w:rPr>
        <w:t>‘Take these cauldrons from the fire!’</w:t>
      </w:r>
    </w:p>
    <w:p w14:paraId="49EE9A5A" w14:textId="77777777" w:rsidR="005B26AB" w:rsidRPr="00FB4EFA" w:rsidRDefault="005B26AB" w:rsidP="00CC79AF">
      <w:pPr>
        <w:spacing w:line="240" w:lineRule="auto"/>
        <w:ind w:firstLine="700"/>
        <w:rPr>
          <w:rFonts w:cs="Charis SIL"/>
          <w:lang w:val="en-US"/>
        </w:rPr>
      </w:pPr>
      <w:r w:rsidRPr="00FB4EFA">
        <w:rPr>
          <w:rFonts w:eastAsia="Times New Roman" w:cs="Charis SIL"/>
          <w:lang w:val="en-US"/>
        </w:rPr>
        <w:t>(Csepregi 2009: 149; Paasonen &amp; Vértes 2001: 72)</w:t>
      </w:r>
    </w:p>
    <w:p w14:paraId="61A43B6C" w14:textId="77777777" w:rsidR="005B26AB" w:rsidRPr="00FB4EFA" w:rsidRDefault="005B26AB" w:rsidP="00CC79AF">
      <w:pPr>
        <w:spacing w:before="240" w:line="240" w:lineRule="auto"/>
        <w:rPr>
          <w:rFonts w:eastAsia="Times New Roman" w:cs="Charis SIL"/>
          <w:lang w:val="en-US"/>
        </w:rPr>
      </w:pPr>
      <w:r w:rsidRPr="00FB4EFA">
        <w:rPr>
          <w:rFonts w:eastAsia="Times New Roman" w:cs="Charis SIL"/>
          <w:lang w:val="en-US"/>
        </w:rPr>
        <w:t>Selkup (Southern, Ket)</w:t>
      </w:r>
    </w:p>
    <w:p w14:paraId="74887812" w14:textId="3BA61542" w:rsidR="005B26AB" w:rsidRPr="00FB4EFA" w:rsidRDefault="005B26AB" w:rsidP="00AF0CAD">
      <w:pPr>
        <w:tabs>
          <w:tab w:val="left" w:pos="709"/>
          <w:tab w:val="left" w:pos="1843"/>
          <w:tab w:val="left" w:pos="3544"/>
          <w:tab w:val="left" w:pos="5387"/>
        </w:tabs>
        <w:spacing w:line="240" w:lineRule="auto"/>
        <w:rPr>
          <w:rFonts w:eastAsia="Times New Roman" w:cs="Charis SIL"/>
          <w:i/>
          <w:lang w:val="en-US"/>
        </w:rPr>
      </w:pPr>
      <w:r w:rsidRPr="00FB4EFA">
        <w:rPr>
          <w:rFonts w:eastAsia="Times New Roman" w:cs="Charis SIL"/>
          <w:lang w:val="en-US"/>
        </w:rPr>
        <w:t>(14)</w:t>
      </w:r>
      <w:r w:rsidRPr="00FB4EFA">
        <w:rPr>
          <w:rFonts w:eastAsia="Times New Roman" w:cs="Charis SIL"/>
          <w:lang w:val="en-US"/>
        </w:rPr>
        <w:tab/>
      </w:r>
      <w:r w:rsidRPr="00FB4EFA">
        <w:rPr>
          <w:rFonts w:eastAsia="Times New Roman" w:cs="Charis SIL"/>
          <w:i/>
          <w:lang w:val="en-US"/>
        </w:rPr>
        <w:t>qwäldi</w:t>
      </w:r>
      <w:r w:rsidRPr="00FB4EFA">
        <w:rPr>
          <w:rFonts w:eastAsia="Times New Roman" w:cs="Charis SIL"/>
          <w:i/>
          <w:lang w:val="en-US"/>
        </w:rPr>
        <w:tab/>
        <w:t>müːs-sa-ŋ</w:t>
      </w:r>
      <w:r w:rsidRPr="00FB4EFA">
        <w:rPr>
          <w:rFonts w:eastAsia="Times New Roman" w:cs="Charis SIL"/>
          <w:i/>
          <w:lang w:val="en-US"/>
        </w:rPr>
        <w:tab/>
      </w:r>
      <w:r w:rsidRPr="00FB4EFA">
        <w:rPr>
          <w:rFonts w:eastAsia="Times New Roman" w:cs="Charis SIL"/>
          <w:b/>
          <w:i/>
          <w:lang w:val="en-US"/>
        </w:rPr>
        <w:t>qonnä</w:t>
      </w:r>
      <w:r w:rsidRPr="00FB4EFA">
        <w:rPr>
          <w:rFonts w:eastAsia="Times New Roman" w:cs="Charis SIL"/>
          <w:b/>
          <w:i/>
          <w:lang w:val="en-US"/>
        </w:rPr>
        <w:tab/>
      </w:r>
      <w:r w:rsidRPr="00FB4EFA">
        <w:rPr>
          <w:rFonts w:eastAsia="Times New Roman" w:cs="Charis SIL"/>
          <w:i/>
          <w:lang w:val="en-US"/>
        </w:rPr>
        <w:t>iː-</w:t>
      </w:r>
      <w:r w:rsidR="003C3714" w:rsidRPr="00FB4EFA">
        <w:rPr>
          <w:rFonts w:eastAsia="Times New Roman" w:cs="Charis SIL"/>
          <w:i/>
          <w:lang w:val="en-US"/>
        </w:rPr>
        <w:t>γ</w:t>
      </w:r>
      <w:r w:rsidRPr="00FB4EFA">
        <w:rPr>
          <w:rFonts w:eastAsia="Times New Roman" w:cs="Charis SIL"/>
          <w:i/>
          <w:lang w:val="en-US"/>
        </w:rPr>
        <w:t>ə-t</w:t>
      </w:r>
    </w:p>
    <w:p w14:paraId="32734293" w14:textId="77777777" w:rsidR="005B26AB" w:rsidRPr="00FB4EFA" w:rsidRDefault="005B26AB" w:rsidP="00CC79AF">
      <w:pPr>
        <w:tabs>
          <w:tab w:val="left" w:pos="709"/>
          <w:tab w:val="left" w:pos="1843"/>
          <w:tab w:val="left" w:pos="3544"/>
          <w:tab w:val="left" w:pos="5387"/>
        </w:tabs>
        <w:spacing w:line="240" w:lineRule="auto"/>
        <w:ind w:firstLine="720"/>
        <w:rPr>
          <w:rFonts w:eastAsia="Times New Roman" w:cs="Charis SIL"/>
          <w:lang w:val="en-US"/>
        </w:rPr>
      </w:pPr>
      <w:r w:rsidRPr="00FB4EFA">
        <w:rPr>
          <w:rFonts w:eastAsia="Times New Roman" w:cs="Charis SIL"/>
          <w:lang w:val="en-US"/>
        </w:rPr>
        <w:t>kettle</w:t>
      </w:r>
      <w:r w:rsidRPr="00FB4EFA">
        <w:rPr>
          <w:rFonts w:eastAsia="Times New Roman" w:cs="Charis SIL"/>
          <w:lang w:val="en-US"/>
        </w:rPr>
        <w:tab/>
        <w:t>cook-</w:t>
      </w:r>
      <w:r w:rsidRPr="00FB4EFA">
        <w:rPr>
          <w:rFonts w:eastAsia="Times New Roman" w:cs="Charis SIL"/>
          <w:smallCaps/>
          <w:lang w:val="en-US"/>
        </w:rPr>
        <w:t>pst</w:t>
      </w:r>
      <w:r w:rsidRPr="00FB4EFA">
        <w:rPr>
          <w:rFonts w:eastAsia="Times New Roman" w:cs="Charis SIL"/>
          <w:lang w:val="en-US"/>
        </w:rPr>
        <w:t>-</w:t>
      </w:r>
      <w:r w:rsidRPr="00FB4EFA">
        <w:rPr>
          <w:rFonts w:eastAsia="Times New Roman" w:cs="Charis SIL"/>
          <w:smallCaps/>
          <w:lang w:val="en-US"/>
        </w:rPr>
        <w:t>3sg</w:t>
      </w:r>
      <w:r w:rsidRPr="00FB4EFA">
        <w:rPr>
          <w:rFonts w:eastAsia="Times New Roman" w:cs="Charis SIL"/>
          <w:lang w:val="en-US"/>
        </w:rPr>
        <w:t>.</w:t>
      </w:r>
      <w:r w:rsidRPr="00FB4EFA">
        <w:rPr>
          <w:rFonts w:eastAsia="Times New Roman" w:cs="Charis SIL"/>
          <w:smallCaps/>
          <w:lang w:val="en-US"/>
        </w:rPr>
        <w:t>s</w:t>
      </w:r>
      <w:r w:rsidRPr="00FB4EFA">
        <w:rPr>
          <w:rFonts w:eastAsia="Times New Roman" w:cs="Charis SIL"/>
          <w:lang w:val="en-US"/>
        </w:rPr>
        <w:tab/>
        <w:t>up.from.the.fire</w:t>
      </w:r>
      <w:r w:rsidRPr="00FB4EFA">
        <w:rPr>
          <w:rFonts w:eastAsia="Times New Roman" w:cs="Charis SIL"/>
          <w:lang w:val="en-US"/>
        </w:rPr>
        <w:tab/>
        <w:t>take-</w:t>
      </w:r>
      <w:r w:rsidRPr="00FB4EFA">
        <w:rPr>
          <w:rFonts w:eastAsia="Times New Roman" w:cs="Charis SIL"/>
          <w:smallCaps/>
          <w:lang w:val="en-US"/>
        </w:rPr>
        <w:t>aor</w:t>
      </w:r>
      <w:r w:rsidRPr="00FB4EFA">
        <w:rPr>
          <w:rFonts w:eastAsia="Times New Roman" w:cs="Charis SIL"/>
          <w:lang w:val="en-US"/>
        </w:rPr>
        <w:t>-</w:t>
      </w:r>
      <w:r w:rsidRPr="00FB4EFA">
        <w:rPr>
          <w:rFonts w:eastAsia="Times New Roman" w:cs="Charis SIL"/>
          <w:smallCaps/>
          <w:lang w:val="en-US"/>
        </w:rPr>
        <w:t>3sg</w:t>
      </w:r>
    </w:p>
    <w:p w14:paraId="0ACDDAF2" w14:textId="77777777" w:rsidR="005B26AB" w:rsidRPr="00FB4EFA" w:rsidRDefault="005B26AB" w:rsidP="00CC79AF">
      <w:pPr>
        <w:spacing w:line="240" w:lineRule="auto"/>
        <w:ind w:firstLine="720"/>
        <w:rPr>
          <w:rFonts w:eastAsia="Times New Roman" w:cs="Charis SIL"/>
          <w:lang w:val="en-US"/>
        </w:rPr>
      </w:pPr>
      <w:r w:rsidRPr="00FB4EFA">
        <w:rPr>
          <w:rFonts w:eastAsia="Times New Roman" w:cs="Charis SIL"/>
          <w:lang w:val="en-US"/>
        </w:rPr>
        <w:t>‘The pot was boiling, he picked it up (= took it off).’</w:t>
      </w:r>
    </w:p>
    <w:p w14:paraId="16552BB7" w14:textId="77777777" w:rsidR="005B26AB" w:rsidRPr="00FB4EFA" w:rsidRDefault="005B26AB" w:rsidP="00CC79AF">
      <w:pPr>
        <w:spacing w:line="240" w:lineRule="auto"/>
        <w:ind w:firstLine="720"/>
        <w:rPr>
          <w:rFonts w:eastAsia="Times New Roman" w:cs="Charis SIL"/>
          <w:lang w:val="en-US"/>
        </w:rPr>
      </w:pPr>
      <w:r w:rsidRPr="00FB4EFA">
        <w:rPr>
          <w:rFonts w:eastAsia="Times New Roman" w:cs="Charis SIL"/>
          <w:lang w:val="en-US"/>
        </w:rPr>
        <w:t>(KNI_1964_ItjaCapeOfWorms_flk.031)</w:t>
      </w:r>
    </w:p>
    <w:p w14:paraId="5C7ACEFD" w14:textId="72D9E1C8" w:rsidR="005B26AB" w:rsidRPr="00FB4EFA" w:rsidRDefault="005B26AB" w:rsidP="00402EF4">
      <w:pPr>
        <w:spacing w:before="240"/>
        <w:rPr>
          <w:lang w:val="en-US"/>
        </w:rPr>
      </w:pPr>
      <w:r w:rsidRPr="00FB4EFA">
        <w:rPr>
          <w:lang w:val="en-US"/>
        </w:rPr>
        <w:t xml:space="preserve">It must be noted, though, that not all above-mentioned meanings are present equally in all three languages and all dialects. For example, the Selkup words have an additional meaning, namely, ‘to a visible place’ vs. ‘to a non-visible place’. Not identical but similar meanings (‘to the forest from the riverbank’ vs. ‘to the riverbank from the forest’) have also been observed in Ob-Ugric languages (see </w:t>
      </w:r>
      <w:r w:rsidR="00DE7479" w:rsidRPr="00FB4EFA">
        <w:rPr>
          <w:lang w:val="en-US"/>
        </w:rPr>
        <w:t>S</w:t>
      </w:r>
      <w:r w:rsidRPr="00FB4EFA">
        <w:rPr>
          <w:lang w:val="en-US"/>
        </w:rPr>
        <w:t xml:space="preserve">ection 7). On the whole, the spatial </w:t>
      </w:r>
      <w:r w:rsidRPr="00FB4EFA">
        <w:rPr>
          <w:lang w:val="en-US"/>
        </w:rPr>
        <w:lastRenderedPageBreak/>
        <w:t>system and logic is, however, basically the same in all the examined languages.</w:t>
      </w:r>
    </w:p>
    <w:p w14:paraId="6E63B2FF" w14:textId="77777777" w:rsidR="005B26AB" w:rsidRPr="00FB4EFA" w:rsidRDefault="005B26AB" w:rsidP="00B36705">
      <w:pPr>
        <w:pStyle w:val="Heading2"/>
        <w:numPr>
          <w:ilvl w:val="0"/>
          <w:numId w:val="3"/>
        </w:numPr>
        <w:suppressAutoHyphens/>
        <w:spacing w:line="259" w:lineRule="auto"/>
        <w:rPr>
          <w:color w:val="auto"/>
          <w:lang w:val="en-US"/>
        </w:rPr>
      </w:pPr>
      <w:r w:rsidRPr="00FB4EFA">
        <w:rPr>
          <w:color w:val="auto"/>
          <w:lang w:val="en-US"/>
        </w:rPr>
        <w:t>Contemporary language use</w:t>
      </w:r>
    </w:p>
    <w:p w14:paraId="01D6E0D8" w14:textId="024BB3F8" w:rsidR="005B26AB" w:rsidRPr="00FB4EFA" w:rsidRDefault="005B26AB" w:rsidP="00D91A96">
      <w:pPr>
        <w:rPr>
          <w:lang w:val="en-US"/>
        </w:rPr>
      </w:pPr>
      <w:r w:rsidRPr="00FB4EFA">
        <w:rPr>
          <w:lang w:val="en-US"/>
        </w:rPr>
        <w:t xml:space="preserve">Regarding the use of these adverbs/preverbs, it seems that in the folklore texts all above-mentioned meanings are represented. Concerning the present-day language use, we examined the Mansi data more thoroughly on the basis of the Mansi newspaper </w:t>
      </w:r>
      <w:r w:rsidRPr="00FB4EFA">
        <w:rPr>
          <w:i/>
          <w:lang w:val="en-US"/>
        </w:rPr>
        <w:t>Lūimā Sēripos</w:t>
      </w:r>
      <w:r w:rsidRPr="00FB4EFA">
        <w:rPr>
          <w:vertAlign w:val="superscript"/>
          <w:lang w:val="en-US"/>
        </w:rPr>
        <w:footnoteReference w:id="53"/>
      </w:r>
      <w:r w:rsidRPr="00FB4EFA">
        <w:rPr>
          <w:lang w:val="en-US"/>
        </w:rPr>
        <w:t xml:space="preserve"> and consultations with two Mansi native speakers.</w:t>
      </w:r>
      <w:r w:rsidRPr="00FB4EFA">
        <w:rPr>
          <w:i/>
          <w:lang w:val="en-US"/>
        </w:rPr>
        <w:t xml:space="preserve"> </w:t>
      </w:r>
      <w:r w:rsidRPr="00FB4EFA">
        <w:rPr>
          <w:lang w:val="en-US"/>
        </w:rPr>
        <w:t xml:space="preserve">We found that in the newspaper mainly meanings related to the outside world were represented. Based on 20 issues of the newspaper, we created a database in which the following data were found: 23 occurrences of the examined morphemes appeared, of which 12 were </w:t>
      </w:r>
      <w:r w:rsidRPr="00FB4EFA">
        <w:rPr>
          <w:smallCaps/>
          <w:lang w:val="en-US"/>
        </w:rPr>
        <w:t>nāluw</w:t>
      </w:r>
      <w:r w:rsidRPr="00FB4EFA">
        <w:rPr>
          <w:lang w:val="en-US"/>
        </w:rPr>
        <w:t xml:space="preserve"> and 11 were </w:t>
      </w:r>
      <w:r w:rsidRPr="00FB4EFA">
        <w:rPr>
          <w:smallCaps/>
          <w:lang w:val="en-US"/>
        </w:rPr>
        <w:t>pāgh</w:t>
      </w:r>
      <w:r w:rsidRPr="00FB4EFA">
        <w:rPr>
          <w:lang w:val="en-US"/>
        </w:rPr>
        <w:t xml:space="preserve">. In the case of </w:t>
      </w:r>
      <w:r w:rsidRPr="00FB4EFA">
        <w:rPr>
          <w:smallCaps/>
          <w:lang w:val="en-US"/>
        </w:rPr>
        <w:t>nāluw</w:t>
      </w:r>
      <w:r w:rsidRPr="00FB4EFA">
        <w:rPr>
          <w:lang w:val="en-US"/>
        </w:rPr>
        <w:t xml:space="preserve">, the form </w:t>
      </w:r>
      <w:r w:rsidRPr="00FB4EFA">
        <w:rPr>
          <w:i/>
          <w:lang w:val="en-US"/>
        </w:rPr>
        <w:t>nālmi wāta</w:t>
      </w:r>
      <w:r w:rsidRPr="00FB4EFA">
        <w:rPr>
          <w:lang w:val="en-US"/>
        </w:rPr>
        <w:t>- ‘riverbank’ was used with different local suffixes (</w:t>
      </w:r>
      <w:r w:rsidR="00466236" w:rsidRPr="00FB4EFA">
        <w:rPr>
          <w:lang w:val="en-US"/>
        </w:rPr>
        <w:t>e.g., </w:t>
      </w:r>
      <w:r w:rsidRPr="00FB4EFA">
        <w:rPr>
          <w:i/>
          <w:lang w:val="en-US"/>
        </w:rPr>
        <w:t>nālmi wāta-n</w:t>
      </w:r>
      <w:r w:rsidRPr="00FB4EFA">
        <w:rPr>
          <w:lang w:val="en-US"/>
        </w:rPr>
        <w:t xml:space="preserve"> ‘to the water, waterfront’), </w:t>
      </w:r>
      <w:r w:rsidRPr="00FB4EFA">
        <w:rPr>
          <w:i/>
          <w:lang w:val="en-US"/>
        </w:rPr>
        <w:t xml:space="preserve">nālwaľ </w:t>
      </w:r>
      <w:r w:rsidRPr="00FB4EFA">
        <w:rPr>
          <w:lang w:val="en-US"/>
        </w:rPr>
        <w:t xml:space="preserve">expressed the lative direction and </w:t>
      </w:r>
      <w:r w:rsidRPr="00FB4EFA">
        <w:rPr>
          <w:i/>
          <w:iCs/>
          <w:lang w:val="en-US"/>
        </w:rPr>
        <w:t>nāluw</w:t>
      </w:r>
      <w:r w:rsidRPr="00FB4EFA">
        <w:rPr>
          <w:i/>
          <w:lang w:val="en-US"/>
        </w:rPr>
        <w:t xml:space="preserve"> </w:t>
      </w:r>
      <w:r w:rsidRPr="00FB4EFA">
        <w:rPr>
          <w:lang w:val="en-US"/>
        </w:rPr>
        <w:t xml:space="preserve">appeared with 4 occurrences, in each case, it marked the descent of reindeer herder Mansis from the Ural Mountains. As for </w:t>
      </w:r>
      <w:r w:rsidRPr="00FB4EFA">
        <w:rPr>
          <w:smallCaps/>
          <w:lang w:val="en-US"/>
        </w:rPr>
        <w:t>pāgh</w:t>
      </w:r>
      <w:r w:rsidRPr="00FB4EFA">
        <w:rPr>
          <w:lang w:val="en-US"/>
        </w:rPr>
        <w:t>, it appeared in the meaning ‘on the river shore’, but in several cases it was related to the mooring of a boat or boats. In one fairy tale, the intended meaning was ‘(entering) into the house’ (</w:t>
      </w:r>
      <w:r w:rsidR="00466236" w:rsidRPr="00FB4EFA">
        <w:rPr>
          <w:lang w:val="en-US"/>
        </w:rPr>
        <w:t>cf. </w:t>
      </w:r>
      <w:r w:rsidRPr="00FB4EFA">
        <w:rPr>
          <w:lang w:val="en-US"/>
        </w:rPr>
        <w:t>Example 11).</w:t>
      </w:r>
    </w:p>
    <w:p w14:paraId="2B7C69DB" w14:textId="77777777" w:rsidR="005B26AB" w:rsidRPr="00FB4EFA" w:rsidRDefault="005B26AB" w:rsidP="00402EF4">
      <w:pPr>
        <w:ind w:firstLine="709"/>
        <w:rPr>
          <w:rFonts w:eastAsia="Times New Roman" w:cs="Times New Roman"/>
          <w:szCs w:val="24"/>
          <w:lang w:val="en-US"/>
        </w:rPr>
      </w:pPr>
      <w:r w:rsidRPr="00FB4EFA">
        <w:rPr>
          <w:rFonts w:eastAsia="Times New Roman" w:cs="Times New Roman"/>
          <w:szCs w:val="24"/>
          <w:lang w:val="en-US"/>
        </w:rPr>
        <w:t xml:space="preserve">We also had the opportunity to consult with Mansi native speakers. They had to explain situations and translate expressions containing the examined morphemes from Mansi to Russian and from Russian to </w:t>
      </w:r>
      <w:r w:rsidRPr="00FB4EFA">
        <w:rPr>
          <w:rFonts w:eastAsia="Times New Roman" w:cs="Times New Roman"/>
          <w:szCs w:val="24"/>
          <w:lang w:val="en-US"/>
        </w:rPr>
        <w:lastRenderedPageBreak/>
        <w:t xml:space="preserve">Mansi. Data collected from speakers show that they were basically only familiar with meanings related to the river. It is especially noteworthy that even in the case of example (11), where from the context </w:t>
      </w:r>
      <w:r w:rsidRPr="00FB4EFA">
        <w:rPr>
          <w:rFonts w:eastAsia="Times New Roman" w:cs="Times New Roman"/>
          <w:smallCaps/>
          <w:szCs w:val="24"/>
          <w:lang w:val="en-US"/>
        </w:rPr>
        <w:t>pāgh</w:t>
      </w:r>
      <w:r w:rsidRPr="00FB4EFA">
        <w:rPr>
          <w:rFonts w:eastAsia="Times New Roman" w:cs="Times New Roman"/>
          <w:szCs w:val="24"/>
          <w:lang w:val="en-US"/>
        </w:rPr>
        <w:t xml:space="preserve"> clearly has the meaning ‘into the house,’ the informants translated it as ‘to the riverbank.’ Also, when </w:t>
      </w:r>
      <w:r w:rsidRPr="00FB4EFA">
        <w:rPr>
          <w:rFonts w:eastAsia="Times New Roman" w:cs="Times New Roman"/>
          <w:smallCaps/>
          <w:szCs w:val="24"/>
          <w:lang w:val="en-US"/>
        </w:rPr>
        <w:t>nāluw</w:t>
      </w:r>
      <w:r w:rsidRPr="00FB4EFA">
        <w:rPr>
          <w:rFonts w:eastAsia="Times New Roman" w:cs="Times New Roman"/>
          <w:szCs w:val="24"/>
          <w:lang w:val="en-US"/>
        </w:rPr>
        <w:t xml:space="preserve"> was combined with the verb ‘to cook’ (the intended meaning being ‘to cook (completely),’ example (15)), our informants still translated it as ‘to cook on the riverbank’.</w:t>
      </w:r>
    </w:p>
    <w:p w14:paraId="5EF5B08E" w14:textId="77777777" w:rsidR="005B26AB" w:rsidRPr="00FB4EFA" w:rsidRDefault="005B26AB" w:rsidP="00AF0CAD">
      <w:pPr>
        <w:tabs>
          <w:tab w:val="left" w:pos="709"/>
          <w:tab w:val="left" w:pos="2410"/>
        </w:tabs>
        <w:spacing w:before="240" w:line="240" w:lineRule="auto"/>
        <w:rPr>
          <w:rFonts w:eastAsia="Times New Roman" w:cs="Times New Roman"/>
          <w:szCs w:val="24"/>
          <w:lang w:val="en-US"/>
        </w:rPr>
      </w:pPr>
      <w:r w:rsidRPr="00FB4EFA">
        <w:rPr>
          <w:rFonts w:eastAsia="Times New Roman" w:cs="Times New Roman"/>
          <w:szCs w:val="24"/>
          <w:lang w:val="en-US"/>
        </w:rPr>
        <w:t>(15)</w:t>
      </w:r>
      <w:r w:rsidRPr="00FB4EFA">
        <w:rPr>
          <w:rFonts w:eastAsia="Times New Roman" w:cs="Times New Roman"/>
          <w:szCs w:val="24"/>
          <w:lang w:val="en-US"/>
        </w:rPr>
        <w:tab/>
      </w:r>
      <w:r w:rsidRPr="00FB4EFA">
        <w:rPr>
          <w:rFonts w:eastAsia="Times New Roman" w:cs="Times New Roman"/>
          <w:b/>
          <w:i/>
          <w:szCs w:val="24"/>
          <w:lang w:val="en-US"/>
        </w:rPr>
        <w:t xml:space="preserve">nāluw </w:t>
      </w:r>
      <w:r w:rsidRPr="00FB4EFA">
        <w:rPr>
          <w:rFonts w:eastAsia="Times New Roman" w:cs="Times New Roman"/>
          <w:b/>
          <w:i/>
          <w:szCs w:val="24"/>
          <w:lang w:val="en-US"/>
        </w:rPr>
        <w:tab/>
      </w:r>
      <w:r w:rsidRPr="00FB4EFA">
        <w:rPr>
          <w:rFonts w:eastAsia="Times New Roman" w:cs="Times New Roman"/>
          <w:i/>
          <w:szCs w:val="24"/>
          <w:lang w:val="en-US"/>
        </w:rPr>
        <w:t>pajti</w:t>
      </w:r>
      <w:r w:rsidRPr="00FB4EFA">
        <w:rPr>
          <w:rFonts w:eastAsia="Times New Roman" w:cs="Times New Roman"/>
          <w:i/>
          <w:szCs w:val="24"/>
          <w:lang w:val="en-US"/>
        </w:rPr>
        <w:br/>
      </w:r>
      <w:r w:rsidRPr="00FB4EFA">
        <w:rPr>
          <w:rFonts w:eastAsia="Times New Roman" w:cs="Times New Roman"/>
          <w:szCs w:val="24"/>
          <w:lang w:val="en-US"/>
        </w:rPr>
        <w:tab/>
        <w:t>to.the.fire</w:t>
      </w:r>
      <w:r w:rsidRPr="00FB4EFA">
        <w:rPr>
          <w:rFonts w:eastAsia="Times New Roman" w:cs="Times New Roman"/>
          <w:szCs w:val="24"/>
          <w:lang w:val="en-US"/>
        </w:rPr>
        <w:tab/>
        <w:t>cook-</w:t>
      </w:r>
      <w:r w:rsidRPr="00FB4EFA">
        <w:rPr>
          <w:rFonts w:eastAsia="Times New Roman" w:cs="Times New Roman"/>
          <w:smallCaps/>
          <w:szCs w:val="24"/>
          <w:lang w:val="en-US"/>
        </w:rPr>
        <w:t>3sg</w:t>
      </w:r>
    </w:p>
    <w:p w14:paraId="128318B2" w14:textId="66B378D0" w:rsidR="005B26AB" w:rsidRPr="00FB4EFA" w:rsidRDefault="005B26AB" w:rsidP="00402EF4">
      <w:pPr>
        <w:spacing w:before="240"/>
        <w:rPr>
          <w:rFonts w:eastAsia="Times New Roman" w:cs="Times New Roman"/>
          <w:szCs w:val="24"/>
          <w:lang w:val="en-US"/>
        </w:rPr>
      </w:pPr>
      <w:r w:rsidRPr="00FB4EFA">
        <w:rPr>
          <w:rFonts w:eastAsia="Times New Roman" w:cs="Times New Roman"/>
          <w:szCs w:val="24"/>
          <w:lang w:val="en-US"/>
        </w:rPr>
        <w:t xml:space="preserve">Finally, it is noteworthy that our Mansi consultants also mentioned further meanings of the examined words, namely: </w:t>
      </w:r>
      <w:r w:rsidRPr="00FB4EFA">
        <w:rPr>
          <w:rFonts w:eastAsia="Times New Roman" w:cs="Times New Roman"/>
          <w:smallCaps/>
          <w:szCs w:val="24"/>
          <w:lang w:val="en-US"/>
        </w:rPr>
        <w:t>nāluw</w:t>
      </w:r>
      <w:r w:rsidRPr="00FB4EFA">
        <w:rPr>
          <w:rFonts w:eastAsia="Times New Roman" w:cs="Times New Roman"/>
          <w:szCs w:val="24"/>
          <w:lang w:val="en-US"/>
        </w:rPr>
        <w:t xml:space="preserve"> ‘to the outer side of the bed’/</w:t>
      </w:r>
      <w:r w:rsidRPr="00FB4EFA">
        <w:rPr>
          <w:rFonts w:eastAsia="Times New Roman" w:cs="Times New Roman"/>
          <w:smallCaps/>
          <w:szCs w:val="24"/>
          <w:lang w:val="en-US"/>
        </w:rPr>
        <w:t>pāgh</w:t>
      </w:r>
      <w:r w:rsidRPr="00FB4EFA">
        <w:rPr>
          <w:rFonts w:eastAsia="Times New Roman" w:cs="Times New Roman"/>
          <w:szCs w:val="24"/>
          <w:lang w:val="en-US"/>
        </w:rPr>
        <w:t xml:space="preserve"> ‘</w:t>
      </w:r>
      <w:r w:rsidR="00B36705" w:rsidRPr="00FB4EFA">
        <w:rPr>
          <w:rFonts w:eastAsia="Times New Roman" w:cs="Times New Roman"/>
          <w:szCs w:val="24"/>
          <w:lang w:val="en-US"/>
        </w:rPr>
        <w:t>to the side of the bed closer to the wall</w:t>
      </w:r>
      <w:r w:rsidRPr="00FB4EFA">
        <w:rPr>
          <w:rFonts w:eastAsia="Times New Roman" w:cs="Times New Roman"/>
          <w:szCs w:val="24"/>
          <w:lang w:val="en-US"/>
        </w:rPr>
        <w:t>’. These meanings are absent from the written sources. Thus, it seems that in contemporary Mansi language use mainly the meanings related to the river/riverbank have remained, while in folklore texts these elements are used in various meanings discussed above.</w:t>
      </w:r>
    </w:p>
    <w:p w14:paraId="4A5727B9" w14:textId="77777777" w:rsidR="005B26AB" w:rsidRPr="00FB4EFA" w:rsidRDefault="005B26AB" w:rsidP="00B36705">
      <w:pPr>
        <w:pStyle w:val="Heading2"/>
        <w:numPr>
          <w:ilvl w:val="0"/>
          <w:numId w:val="3"/>
        </w:numPr>
        <w:suppressAutoHyphens/>
        <w:spacing w:line="259" w:lineRule="auto"/>
        <w:rPr>
          <w:color w:val="auto"/>
          <w:lang w:val="en-US"/>
        </w:rPr>
      </w:pPr>
      <w:r w:rsidRPr="00FB4EFA">
        <w:rPr>
          <w:color w:val="auto"/>
          <w:lang w:val="en-US"/>
        </w:rPr>
        <w:t>Etymology</w:t>
      </w:r>
    </w:p>
    <w:p w14:paraId="0C9BD3DB" w14:textId="477D4BA0" w:rsidR="005B26AB" w:rsidRPr="00FB4EFA" w:rsidRDefault="005B26AB" w:rsidP="00D91A96">
      <w:pPr>
        <w:rPr>
          <w:lang w:val="en-US"/>
        </w:rPr>
      </w:pPr>
      <w:r w:rsidRPr="00FB4EFA">
        <w:rPr>
          <w:lang w:val="en-US"/>
        </w:rPr>
        <w:t xml:space="preserve">We will not go into detail about the etymology of these words, but it can be stated that the investigated lexemes are mostly not etymologically related. The Ob-Ugric words, Mansi </w:t>
      </w:r>
      <w:r w:rsidRPr="00FB4EFA">
        <w:rPr>
          <w:smallCaps/>
          <w:lang w:val="en-US"/>
        </w:rPr>
        <w:t>pāgh</w:t>
      </w:r>
      <w:r w:rsidRPr="00FB4EFA">
        <w:rPr>
          <w:lang w:val="en-US"/>
        </w:rPr>
        <w:t xml:space="preserve"> and Khanty </w:t>
      </w:r>
      <w:r w:rsidRPr="00FB4EFA">
        <w:rPr>
          <w:smallCaps/>
          <w:lang w:val="en-US"/>
        </w:rPr>
        <w:t>ute</w:t>
      </w:r>
      <w:r w:rsidRPr="00FB4EFA">
        <w:rPr>
          <w:lang w:val="en-US"/>
        </w:rPr>
        <w:t xml:space="preserve">, have uncertain etymologies, while </w:t>
      </w:r>
      <w:r w:rsidRPr="00FB4EFA">
        <w:rPr>
          <w:smallCaps/>
          <w:lang w:val="en-US"/>
        </w:rPr>
        <w:t>nāluw</w:t>
      </w:r>
      <w:r w:rsidRPr="00FB4EFA">
        <w:rPr>
          <w:lang w:val="en-US"/>
        </w:rPr>
        <w:t xml:space="preserve"> and </w:t>
      </w:r>
      <w:r w:rsidRPr="00FB4EFA">
        <w:rPr>
          <w:smallCaps/>
          <w:lang w:val="en-US"/>
        </w:rPr>
        <w:t>nik</w:t>
      </w:r>
      <w:r w:rsidRPr="00FB4EFA">
        <w:rPr>
          <w:lang w:val="en-US"/>
        </w:rPr>
        <w:t xml:space="preserve"> may historically be cognates, </w:t>
      </w:r>
      <w:r w:rsidR="00466236" w:rsidRPr="00FB4EFA">
        <w:rPr>
          <w:lang w:val="en-US"/>
        </w:rPr>
        <w:t>cf. </w:t>
      </w:r>
      <w:r w:rsidRPr="00FB4EFA">
        <w:rPr>
          <w:lang w:val="en-US"/>
        </w:rPr>
        <w:t>*</w:t>
      </w:r>
      <w:r w:rsidRPr="00FB4EFA">
        <w:rPr>
          <w:i/>
          <w:iCs/>
          <w:lang w:val="en-US"/>
        </w:rPr>
        <w:t>näm</w:t>
      </w:r>
      <w:r w:rsidRPr="00FB4EFA">
        <w:rPr>
          <w:lang w:val="en-US"/>
        </w:rPr>
        <w:t xml:space="preserve"> ‘here, right here’ (‘hierher, in die Nähe; hier, in der nähe’, </w:t>
      </w:r>
      <w:r w:rsidR="00466236" w:rsidRPr="00FB4EFA">
        <w:rPr>
          <w:lang w:val="en-US"/>
        </w:rPr>
        <w:t>cf. </w:t>
      </w:r>
      <w:r w:rsidRPr="00FB4EFA">
        <w:rPr>
          <w:lang w:val="en-US"/>
        </w:rPr>
        <w:t xml:space="preserve">Honti 2006) &gt; </w:t>
      </w:r>
      <w:r w:rsidRPr="00FB4EFA">
        <w:rPr>
          <w:i/>
          <w:iCs/>
          <w:lang w:val="en-US"/>
        </w:rPr>
        <w:t>nä</w:t>
      </w:r>
      <w:r w:rsidRPr="00FB4EFA">
        <w:rPr>
          <w:lang w:val="en-US"/>
        </w:rPr>
        <w:t xml:space="preserve"> ‘the place right here’ (‘Nähe’).</w:t>
      </w:r>
    </w:p>
    <w:p w14:paraId="511B1E66" w14:textId="55BE127E" w:rsidR="005B26AB" w:rsidRPr="00FB4EFA" w:rsidRDefault="005B26AB" w:rsidP="00D91A96">
      <w:pPr>
        <w:ind w:firstLine="851"/>
        <w:rPr>
          <w:lang w:val="en-US"/>
        </w:rPr>
      </w:pPr>
      <w:r w:rsidRPr="00FB4EFA">
        <w:rPr>
          <w:lang w:val="en-US"/>
        </w:rPr>
        <w:t>Regarding Selkup, the etymologies are also uncertain. There might have been an unattested Proto-Selkup stem *</w:t>
      </w:r>
      <w:r w:rsidRPr="00FB4EFA">
        <w:rPr>
          <w:i/>
          <w:iCs/>
          <w:lang w:val="en-US"/>
        </w:rPr>
        <w:t>k̹arä</w:t>
      </w:r>
      <w:r w:rsidRPr="00FB4EFA">
        <w:rPr>
          <w:lang w:val="en-US"/>
        </w:rPr>
        <w:t xml:space="preserve"> ‘bis auf eine Fläche: ins Wasser etc.</w:t>
      </w:r>
      <w:r w:rsidR="00B530B7" w:rsidRPr="00FB4EFA">
        <w:rPr>
          <w:lang w:val="en-US"/>
        </w:rPr>
        <w:t>’</w:t>
      </w:r>
      <w:r w:rsidRPr="00FB4EFA">
        <w:rPr>
          <w:lang w:val="en-US"/>
        </w:rPr>
        <w:t xml:space="preserve"> (Alatalo 2004: 323/2224) from which the word </w:t>
      </w:r>
      <w:r w:rsidRPr="00FB4EFA">
        <w:rPr>
          <w:smallCaps/>
          <w:lang w:val="en-US"/>
        </w:rPr>
        <w:t>karrä</w:t>
      </w:r>
      <w:r w:rsidRPr="00FB4EFA">
        <w:rPr>
          <w:lang w:val="en-US"/>
        </w:rPr>
        <w:t xml:space="preserve"> might have originated. In contemporary Selkup there is no such word as *</w:t>
      </w:r>
      <w:r w:rsidRPr="00FB4EFA">
        <w:rPr>
          <w:i/>
          <w:iCs/>
          <w:lang w:val="en-US"/>
        </w:rPr>
        <w:t>kar</w:t>
      </w:r>
      <w:r w:rsidRPr="00FB4EFA">
        <w:rPr>
          <w:lang w:val="en-US"/>
        </w:rPr>
        <w:t xml:space="preserve"> with the meaning ‘bank’ or ‘riverbank’, thus the basic </w:t>
      </w:r>
      <w:r w:rsidR="00C17973" w:rsidRPr="00FB4EFA">
        <w:rPr>
          <w:lang w:val="en-US"/>
        </w:rPr>
        <w:br/>
      </w:r>
      <w:r w:rsidRPr="00FB4EFA">
        <w:rPr>
          <w:lang w:val="en-US"/>
        </w:rPr>
        <w:t xml:space="preserve">interpretation of </w:t>
      </w:r>
      <w:r w:rsidRPr="00FB4EFA">
        <w:rPr>
          <w:smallCaps/>
          <w:lang w:val="en-US"/>
        </w:rPr>
        <w:t>karrä</w:t>
      </w:r>
      <w:r w:rsidRPr="00FB4EFA">
        <w:rPr>
          <w:lang w:val="en-US"/>
        </w:rPr>
        <w:t xml:space="preserve"> is related to the river, not to the riverbank or </w:t>
      </w:r>
      <w:r w:rsidR="00C17973" w:rsidRPr="00FB4EFA">
        <w:rPr>
          <w:lang w:val="en-US"/>
        </w:rPr>
        <w:br/>
      </w:r>
      <w:r w:rsidRPr="00FB4EFA">
        <w:rPr>
          <w:lang w:val="en-US"/>
        </w:rPr>
        <w:t>to the hill.</w:t>
      </w:r>
    </w:p>
    <w:p w14:paraId="1869FE7B" w14:textId="77777777" w:rsidR="005B26AB" w:rsidRPr="00FB4EFA" w:rsidRDefault="005B26AB" w:rsidP="00B36705">
      <w:pPr>
        <w:pStyle w:val="Heading2"/>
        <w:numPr>
          <w:ilvl w:val="0"/>
          <w:numId w:val="3"/>
        </w:numPr>
        <w:suppressAutoHyphens/>
        <w:spacing w:line="259" w:lineRule="auto"/>
        <w:rPr>
          <w:color w:val="auto"/>
          <w:lang w:val="en-US"/>
        </w:rPr>
      </w:pPr>
      <w:r w:rsidRPr="00FB4EFA">
        <w:rPr>
          <w:color w:val="auto"/>
          <w:lang w:val="en-US"/>
        </w:rPr>
        <w:lastRenderedPageBreak/>
        <w:t>Explanation</w:t>
      </w:r>
    </w:p>
    <w:p w14:paraId="35547CD7" w14:textId="7B8D8EA1" w:rsidR="005B26AB" w:rsidRPr="00FB4EFA" w:rsidRDefault="005B26AB" w:rsidP="0033008B">
      <w:pPr>
        <w:rPr>
          <w:rFonts w:eastAsia="Times New Roman" w:cs="Times New Roman"/>
          <w:szCs w:val="24"/>
          <w:lang w:val="en-US"/>
        </w:rPr>
      </w:pPr>
      <w:r w:rsidRPr="00FB4EFA">
        <w:rPr>
          <w:rFonts w:eastAsia="Times New Roman" w:cs="Times New Roman"/>
          <w:szCs w:val="24"/>
          <w:lang w:val="en-US"/>
        </w:rPr>
        <w:t xml:space="preserve">The question is how these correlations can be explained. There have already been some attempts in the literature. The first to raise the issue was Prokofjev (1937: 122–123), who suggested that the meanings are connected via the archaic cave dwellings of Selkups, the </w:t>
      </w:r>
      <w:r w:rsidRPr="00FB4EFA">
        <w:rPr>
          <w:rFonts w:eastAsia="Times New Roman" w:cs="Times New Roman"/>
          <w:i/>
          <w:szCs w:val="24"/>
          <w:lang w:val="en-US"/>
        </w:rPr>
        <w:t>karamo</w:t>
      </w:r>
      <w:r w:rsidRPr="00FB4EFA">
        <w:rPr>
          <w:rFonts w:eastAsia="Times New Roman" w:cs="Times New Roman"/>
          <w:szCs w:val="24"/>
          <w:lang w:val="en-US"/>
        </w:rPr>
        <w:t xml:space="preserve"> </w:t>
      </w:r>
      <w:r w:rsidR="00B36705" w:rsidRPr="00FB4EFA">
        <w:rPr>
          <w:rFonts w:eastAsia="Times New Roman" w:cs="Times New Roman"/>
          <w:szCs w:val="24"/>
          <w:lang w:val="en-US"/>
        </w:rPr>
        <w:br/>
      </w:r>
      <w:r w:rsidRPr="00FB4EFA">
        <w:rPr>
          <w:rFonts w:eastAsia="Times New Roman" w:cs="Times New Roman"/>
          <w:szCs w:val="24"/>
          <w:lang w:val="en-US"/>
        </w:rPr>
        <w:t xml:space="preserve">dwellings. </w:t>
      </w:r>
      <w:r w:rsidRPr="00FB4EFA">
        <w:rPr>
          <w:rFonts w:eastAsia="Times New Roman" w:cs="Times New Roman"/>
          <w:i/>
          <w:szCs w:val="24"/>
          <w:lang w:val="en-US"/>
        </w:rPr>
        <w:t>Karamo</w:t>
      </w:r>
      <w:r w:rsidRPr="00FB4EFA">
        <w:rPr>
          <w:rFonts w:eastAsia="Times New Roman" w:cs="Times New Roman"/>
          <w:szCs w:val="24"/>
          <w:lang w:val="en-US"/>
        </w:rPr>
        <w:t xml:space="preserve"> is a special – but not the only – dwelling type of the Selkup people, which is built on steep riverbanks in the ground. Its definition is “dug-out earthen hut,” or, more precisely, “a frame-type self-supporting prism sunk into the ground” (Napolskih et al. 2007: 18). As can be seen in Figure 1, a </w:t>
      </w:r>
      <w:r w:rsidRPr="00FB4EFA">
        <w:rPr>
          <w:rFonts w:eastAsia="Times New Roman" w:cs="Times New Roman"/>
          <w:i/>
          <w:szCs w:val="24"/>
          <w:lang w:val="en-US"/>
        </w:rPr>
        <w:t>karamo</w:t>
      </w:r>
      <w:r w:rsidRPr="00FB4EFA">
        <w:rPr>
          <w:rFonts w:eastAsia="Times New Roman" w:cs="Times New Roman"/>
          <w:szCs w:val="24"/>
          <w:lang w:val="en-US"/>
        </w:rPr>
        <w:t xml:space="preserve"> has one door facing the river – this is the lowest point of the building. The other parts, such as the fireplace, can be found on the left or right side at the door or in the centr</w:t>
      </w:r>
      <w:r w:rsidR="007F30A7" w:rsidRPr="00FB4EFA">
        <w:rPr>
          <w:rFonts w:eastAsia="Times New Roman" w:cs="Times New Roman"/>
          <w:szCs w:val="24"/>
          <w:lang w:val="en-US"/>
        </w:rPr>
        <w:t>e</w:t>
      </w:r>
      <w:r w:rsidRPr="00FB4EFA">
        <w:rPr>
          <w:rFonts w:eastAsia="Times New Roman" w:cs="Times New Roman"/>
          <w:szCs w:val="24"/>
          <w:lang w:val="en-US"/>
        </w:rPr>
        <w:t xml:space="preserve"> of the </w:t>
      </w:r>
      <w:r w:rsidR="00B36705" w:rsidRPr="00FB4EFA">
        <w:rPr>
          <w:rFonts w:eastAsia="Times New Roman" w:cs="Times New Roman"/>
          <w:szCs w:val="24"/>
          <w:lang w:val="en-US"/>
        </w:rPr>
        <w:br/>
      </w:r>
      <w:r w:rsidRPr="00FB4EFA">
        <w:rPr>
          <w:rFonts w:eastAsia="Times New Roman" w:cs="Times New Roman"/>
          <w:i/>
          <w:szCs w:val="24"/>
          <w:lang w:val="en-US"/>
        </w:rPr>
        <w:t>karamo</w:t>
      </w:r>
      <w:r w:rsidRPr="00FB4EFA">
        <w:rPr>
          <w:rFonts w:eastAsia="Times New Roman" w:cs="Times New Roman"/>
          <w:szCs w:val="24"/>
          <w:lang w:val="en-US"/>
        </w:rPr>
        <w:t xml:space="preserve"> (Tuchkova 2012: 131). Thus, when Selkup people put a pot on the fire, they had to take it </w:t>
      </w:r>
      <w:r w:rsidRPr="00FB4EFA">
        <w:rPr>
          <w:rFonts w:eastAsia="Times New Roman" w:cs="Times New Roman"/>
          <w:smallCaps/>
          <w:szCs w:val="24"/>
          <w:lang w:val="en-US"/>
        </w:rPr>
        <w:t>down</w:t>
      </w:r>
      <w:r w:rsidRPr="00FB4EFA">
        <w:rPr>
          <w:rFonts w:eastAsia="Times New Roman" w:cs="Times New Roman"/>
          <w:szCs w:val="24"/>
          <w:lang w:val="en-US"/>
        </w:rPr>
        <w:t xml:space="preserve">. This schematic figure illustrates the location of a </w:t>
      </w:r>
      <w:r w:rsidRPr="00FB4EFA">
        <w:rPr>
          <w:rFonts w:eastAsia="Times New Roman" w:cs="Times New Roman"/>
          <w:i/>
          <w:szCs w:val="24"/>
          <w:lang w:val="en-US"/>
        </w:rPr>
        <w:t>karamo</w:t>
      </w:r>
      <w:r w:rsidRPr="00FB4EFA">
        <w:rPr>
          <w:rFonts w:eastAsia="Times New Roman" w:cs="Times New Roman"/>
          <w:szCs w:val="24"/>
          <w:lang w:val="en-US"/>
        </w:rPr>
        <w:t xml:space="preserve"> on a steep riverbank:</w:t>
      </w:r>
    </w:p>
    <w:p w14:paraId="05461AE0" w14:textId="77777777" w:rsidR="005B26AB" w:rsidRPr="00FB4EFA" w:rsidRDefault="005B26AB" w:rsidP="00402EF4">
      <w:pPr>
        <w:jc w:val="center"/>
        <w:rPr>
          <w:rFonts w:eastAsia="Times New Roman" w:cs="Times New Roman"/>
          <w:szCs w:val="24"/>
          <w:lang w:val="en-US"/>
        </w:rPr>
      </w:pPr>
      <w:r w:rsidRPr="00FB4EFA">
        <w:rPr>
          <w:rFonts w:eastAsia="Times New Roman" w:cs="Times New Roman"/>
          <w:noProof/>
          <w:szCs w:val="24"/>
          <w:lang w:val="hu-HU" w:eastAsia="hu-HU"/>
        </w:rPr>
        <w:drawing>
          <wp:inline distT="0" distB="0" distL="0" distR="0" wp14:anchorId="1B0954D0" wp14:editId="0777D692">
            <wp:extent cx="3448049" cy="2179122"/>
            <wp:effectExtent l="0" t="0" r="0" b="0"/>
            <wp:docPr id="17" name="Kép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ép 1" descr="Chart, line chart&#10;&#10;Description automatically generated"/>
                    <pic:cNvPicPr/>
                  </pic:nvPicPr>
                  <pic:blipFill rotWithShape="1">
                    <a:blip r:embed="rId253">
                      <a:extLst>
                        <a:ext uri="{BEBA8EAE-BF5A-486C-A8C5-ECC9F3942E4B}">
                          <a14:imgProps xmlns:a14="http://schemas.microsoft.com/office/drawing/2010/main">
                            <a14:imgLayer r:embed="rId254">
                              <a14:imgEffect>
                                <a14:saturation sat="0"/>
                              </a14:imgEffect>
                            </a14:imgLayer>
                          </a14:imgProps>
                        </a:ext>
                        <a:ext uri="{28A0092B-C50C-407E-A947-70E740481C1C}">
                          <a14:useLocalDpi xmlns:a14="http://schemas.microsoft.com/office/drawing/2010/main" val="0"/>
                        </a:ext>
                      </a:extLst>
                    </a:blip>
                    <a:srcRect b="9929"/>
                    <a:stretch/>
                  </pic:blipFill>
                  <pic:spPr bwMode="auto">
                    <a:xfrm>
                      <a:off x="0" y="0"/>
                      <a:ext cx="3448531" cy="2179426"/>
                    </a:xfrm>
                    <a:prstGeom prst="rect">
                      <a:avLst/>
                    </a:prstGeom>
                    <a:ln>
                      <a:noFill/>
                    </a:ln>
                    <a:extLst>
                      <a:ext uri="{53640926-AAD7-44D8-BBD7-CCE9431645EC}">
                        <a14:shadowObscured xmlns:a14="http://schemas.microsoft.com/office/drawing/2010/main"/>
                      </a:ext>
                    </a:extLst>
                  </pic:spPr>
                </pic:pic>
              </a:graphicData>
            </a:graphic>
          </wp:inline>
        </w:drawing>
      </w:r>
    </w:p>
    <w:p w14:paraId="6D81C3E3" w14:textId="77777777" w:rsidR="005B26AB" w:rsidRPr="00FB4EFA" w:rsidRDefault="005B26AB" w:rsidP="00AC1192">
      <w:pPr>
        <w:keepNext/>
        <w:suppressAutoHyphens/>
        <w:spacing w:before="120" w:after="240"/>
        <w:jc w:val="center"/>
        <w:rPr>
          <w:sz w:val="18"/>
          <w:szCs w:val="18"/>
          <w:lang w:val="en-US"/>
        </w:rPr>
      </w:pPr>
      <w:r w:rsidRPr="00FB4EFA">
        <w:rPr>
          <w:b/>
          <w:bCs/>
          <w:sz w:val="18"/>
          <w:szCs w:val="18"/>
          <w:lang w:val="en-US"/>
        </w:rPr>
        <w:t xml:space="preserve">Figure 1. </w:t>
      </w:r>
      <w:r w:rsidRPr="00FB4EFA">
        <w:rPr>
          <w:sz w:val="18"/>
          <w:szCs w:val="18"/>
          <w:lang w:val="en-US"/>
        </w:rPr>
        <w:t xml:space="preserve">A typical riverbank with a </w:t>
      </w:r>
      <w:r w:rsidRPr="00FB4EFA">
        <w:rPr>
          <w:i/>
          <w:iCs/>
          <w:sz w:val="18"/>
          <w:szCs w:val="18"/>
          <w:lang w:val="en-US"/>
        </w:rPr>
        <w:t>karamo</w:t>
      </w:r>
    </w:p>
    <w:p w14:paraId="2644C45E" w14:textId="2FF420D4" w:rsidR="005B26AB" w:rsidRPr="00FB4EFA" w:rsidRDefault="005B26AB" w:rsidP="0033008B">
      <w:pPr>
        <w:rPr>
          <w:rFonts w:eastAsia="Times New Roman" w:cs="Times New Roman"/>
          <w:szCs w:val="24"/>
          <w:lang w:val="en-US"/>
        </w:rPr>
      </w:pPr>
      <w:r w:rsidRPr="00FB4EFA">
        <w:rPr>
          <w:rFonts w:eastAsia="Times New Roman" w:cs="Times New Roman"/>
          <w:szCs w:val="24"/>
          <w:lang w:val="en-US"/>
        </w:rPr>
        <w:t xml:space="preserve">Csepregi (2009) accepts Prokofjev’s explanation and adds that, according to ethnographic research (Sokolova 1998; Tuchkova 2012), Ob-Ugric and Selkup architecture has several similar characteristics. Based on this concept, the meanings of the spatial lexemes under investigation originally indicated the direction of movement within the dwelling, and when </w:t>
      </w:r>
      <w:r w:rsidR="0033008B" w:rsidRPr="00FB4EFA">
        <w:rPr>
          <w:rFonts w:eastAsia="Times New Roman" w:cs="Times New Roman"/>
          <w:szCs w:val="24"/>
          <w:lang w:val="en-US"/>
        </w:rPr>
        <w:br/>
      </w:r>
      <w:r w:rsidRPr="00FB4EFA">
        <w:rPr>
          <w:rFonts w:eastAsia="Times New Roman" w:cs="Times New Roman"/>
          <w:i/>
          <w:szCs w:val="24"/>
          <w:lang w:val="en-US"/>
        </w:rPr>
        <w:t>karamo</w:t>
      </w:r>
      <w:r w:rsidRPr="00FB4EFA">
        <w:rPr>
          <w:rFonts w:eastAsia="Times New Roman" w:cs="Times New Roman"/>
          <w:szCs w:val="24"/>
          <w:lang w:val="en-US"/>
        </w:rPr>
        <w:t xml:space="preserve"> dwellings were no longer used, the lexemes came to be used for indicating directions from the river up to the riverbank and from the </w:t>
      </w:r>
      <w:r w:rsidRPr="00FB4EFA">
        <w:rPr>
          <w:rFonts w:eastAsia="Times New Roman" w:cs="Times New Roman"/>
          <w:szCs w:val="24"/>
          <w:lang w:val="en-US"/>
        </w:rPr>
        <w:lastRenderedPageBreak/>
        <w:t>riverbank down to the river. The basically conservative characteristics of language explain the fact that in the case of movement inside the dwelling, the use of these lexemes remained the same even in horizontally situated dwellings. Due to their contacts and similar way of life (including the dwelling types), Ob-Ugric people, much like the Selkups, also have a similar spatial system in their languages, using their own linguistic elements. This could explain the near identical meanings of the lexemes in spite of their distinct etymologies.</w:t>
      </w:r>
    </w:p>
    <w:p w14:paraId="372E0904" w14:textId="11E9F755" w:rsidR="005B26AB" w:rsidRPr="00FB4EFA" w:rsidRDefault="005B26AB" w:rsidP="0033008B">
      <w:pPr>
        <w:ind w:firstLine="709"/>
        <w:rPr>
          <w:lang w:val="en-US"/>
        </w:rPr>
      </w:pPr>
      <w:r w:rsidRPr="00FB4EFA">
        <w:rPr>
          <w:lang w:val="en-US"/>
        </w:rPr>
        <w:t>Pevnov and Urmanchieva (2011) reject this explanation. In their study, they investigated several Siberian languages in addition to Khanty and Selkup, discovering in them the same lexical phenomenon, which they call isopolysemy.</w:t>
      </w:r>
      <w:r w:rsidRPr="00FB4EFA">
        <w:rPr>
          <w:vertAlign w:val="superscript"/>
          <w:lang w:val="en-US"/>
        </w:rPr>
        <w:footnoteReference w:id="54"/>
      </w:r>
      <w:r w:rsidRPr="00FB4EFA">
        <w:rPr>
          <w:lang w:val="en-US"/>
        </w:rPr>
        <w:t xml:space="preserve"> They explain its recurrence in various languages with areal contact and ascribe its development to different scenarios. They believe that the two directions constitute two values: one of them is the safer zone, the direction of water, believed to be more positive, whereas the other one is its opposite, pointing towards the forest, which was considered dangerous. The analogy of the outer world was repeated inside the house: the fireplace, which is usually found in the middle of the house, is analogous to the river of the outer world. This is the safe zone; going towards the wall from it is analogous to going from the river to the forest. The back wall of the house is a forbidden zone for several Siberian peoples as that is where they store sacred objects (see below). Thus, the direction pointing to the fireplace is indicated with the lexeme originally used for the direction of the water, whereas the direction away from the fireplace is indicated with the lexeme originally used to indicate the direction of the riverbank and the forest from the water (Pevnov &amp; Urmanchieva 2011: 526–</w:t>
      </w:r>
      <w:r w:rsidR="005D7E18" w:rsidRPr="00FB4EFA">
        <w:rPr>
          <w:lang w:val="en-US"/>
        </w:rPr>
        <w:t>52</w:t>
      </w:r>
      <w:r w:rsidRPr="00FB4EFA">
        <w:rPr>
          <w:lang w:val="en-US"/>
        </w:rPr>
        <w:t xml:space="preserve">7). In all three Uralic languages under investigation dictionaries list meanings which can support this explanation, </w:t>
      </w:r>
      <w:r w:rsidR="00466236" w:rsidRPr="00FB4EFA">
        <w:rPr>
          <w:lang w:val="en-US"/>
        </w:rPr>
        <w:t>cf. </w:t>
      </w:r>
      <w:r w:rsidRPr="00FB4EFA">
        <w:rPr>
          <w:lang w:val="en-US"/>
        </w:rPr>
        <w:t xml:space="preserve">in the outer world: Selkup </w:t>
      </w:r>
      <w:r w:rsidRPr="00FB4EFA">
        <w:rPr>
          <w:smallCaps/>
          <w:lang w:val="en-US"/>
        </w:rPr>
        <w:t>konnä</w:t>
      </w:r>
      <w:r w:rsidRPr="00FB4EFA">
        <w:rPr>
          <w:lang w:val="en-US"/>
        </w:rPr>
        <w:t xml:space="preserve"> ‘from the settlement to the forest’, ‘to a non-visible place’ / </w:t>
      </w:r>
      <w:r w:rsidRPr="00FB4EFA">
        <w:rPr>
          <w:smallCaps/>
          <w:lang w:val="en-US"/>
        </w:rPr>
        <w:t>karra</w:t>
      </w:r>
      <w:r w:rsidRPr="00FB4EFA">
        <w:rPr>
          <w:i/>
          <w:lang w:val="en-US"/>
        </w:rPr>
        <w:t xml:space="preserve"> </w:t>
      </w:r>
      <w:r w:rsidRPr="00FB4EFA">
        <w:rPr>
          <w:lang w:val="en-US"/>
        </w:rPr>
        <w:t xml:space="preserve">‘from the forest to the dwelling’, ‘to a visible place’ ; Khanty </w:t>
      </w:r>
      <w:r w:rsidRPr="00FB4EFA">
        <w:rPr>
          <w:smallCaps/>
          <w:lang w:val="en-US"/>
        </w:rPr>
        <w:t>ute</w:t>
      </w:r>
      <w:r w:rsidRPr="00FB4EFA">
        <w:rPr>
          <w:lang w:val="en-US"/>
        </w:rPr>
        <w:t xml:space="preserve"> ‘vom (am Ufer gelegen</w:t>
      </w:r>
      <w:r w:rsidR="00547352" w:rsidRPr="00FB4EFA">
        <w:rPr>
          <w:lang w:val="en-US"/>
        </w:rPr>
        <w:t>en</w:t>
      </w:r>
      <w:r w:rsidRPr="00FB4EFA">
        <w:rPr>
          <w:lang w:val="en-US"/>
        </w:rPr>
        <w:t xml:space="preserve">) Dorf her landeinwärts’ / </w:t>
      </w:r>
      <w:r w:rsidRPr="00FB4EFA">
        <w:rPr>
          <w:rFonts w:cstheme="minorHAnsi"/>
          <w:iCs/>
          <w:smallCaps/>
          <w:lang w:val="en-US"/>
        </w:rPr>
        <w:t>nik</w:t>
      </w:r>
      <w:r w:rsidRPr="00FB4EFA">
        <w:rPr>
          <w:lang w:val="en-US"/>
        </w:rPr>
        <w:t xml:space="preserve"> ‘zu einem freien Platz hin’ (DEWOS 210, 984–</w:t>
      </w:r>
      <w:r w:rsidR="005D7E18" w:rsidRPr="00FB4EFA">
        <w:rPr>
          <w:lang w:val="en-US"/>
        </w:rPr>
        <w:t>98</w:t>
      </w:r>
      <w:r w:rsidRPr="00FB4EFA">
        <w:rPr>
          <w:lang w:val="en-US"/>
        </w:rPr>
        <w:t xml:space="preserve">5), Mansi </w:t>
      </w:r>
      <w:r w:rsidRPr="00FB4EFA">
        <w:rPr>
          <w:smallCaps/>
          <w:lang w:val="en-US"/>
        </w:rPr>
        <w:t>pāgh</w:t>
      </w:r>
      <w:r w:rsidRPr="00FB4EFA">
        <w:rPr>
          <w:lang w:val="en-US"/>
        </w:rPr>
        <w:t xml:space="preserve"> ‘hinein in den Wald’ (Kálmán 1976: 280) – inside the house: Khanty </w:t>
      </w:r>
      <w:r w:rsidRPr="00FB4EFA">
        <w:rPr>
          <w:smallCaps/>
          <w:lang w:val="en-US"/>
        </w:rPr>
        <w:t>ute</w:t>
      </w:r>
      <w:r w:rsidRPr="00FB4EFA">
        <w:rPr>
          <w:i/>
          <w:lang w:val="en-US"/>
        </w:rPr>
        <w:t xml:space="preserve"> </w:t>
      </w:r>
      <w:r w:rsidRPr="00FB4EFA">
        <w:rPr>
          <w:lang w:val="en-US"/>
        </w:rPr>
        <w:t xml:space="preserve">‘nach dem hinteren Teil des Hauses, der Stube hin’ (DEWOS 210), Mansi </w:t>
      </w:r>
      <w:r w:rsidRPr="00FB4EFA">
        <w:rPr>
          <w:smallCaps/>
          <w:lang w:val="en-US"/>
        </w:rPr>
        <w:t>pāgh</w:t>
      </w:r>
      <w:r w:rsidRPr="00FB4EFA">
        <w:rPr>
          <w:lang w:val="en-US"/>
        </w:rPr>
        <w:t xml:space="preserve"> ‘gegen </w:t>
      </w:r>
      <w:r w:rsidRPr="00FB4EFA">
        <w:rPr>
          <w:lang w:val="en-US"/>
        </w:rPr>
        <w:lastRenderedPageBreak/>
        <w:t xml:space="preserve">die Tür’ (Kálmán 1976: 280) </w:t>
      </w:r>
      <w:r w:rsidRPr="00FB4EFA">
        <w:rPr>
          <w:i/>
          <w:lang w:val="en-US"/>
        </w:rPr>
        <w:t>nāluw</w:t>
      </w:r>
      <w:r w:rsidRPr="00FB4EFA">
        <w:rPr>
          <w:lang w:val="en-US"/>
        </w:rPr>
        <w:t xml:space="preserve"> ‘von der Wand zum Inneren der Stube’ (Munkácsi &amp; Kálmán </w:t>
      </w:r>
      <w:r w:rsidRPr="00FB4EFA">
        <w:rPr>
          <w:rFonts w:eastAsia="Times New Roman" w:cs="Times New Roman"/>
          <w:szCs w:val="24"/>
          <w:lang w:val="en-US"/>
        </w:rPr>
        <w:t xml:space="preserve">1986: </w:t>
      </w:r>
      <w:r w:rsidRPr="00FB4EFA">
        <w:rPr>
          <w:lang w:val="en-US"/>
        </w:rPr>
        <w:t>326).)</w:t>
      </w:r>
    </w:p>
    <w:p w14:paraId="7C1CA123" w14:textId="77777777" w:rsidR="005B26AB" w:rsidRPr="00FB4EFA" w:rsidRDefault="005B26AB" w:rsidP="00402EF4">
      <w:pPr>
        <w:ind w:firstLine="709"/>
        <w:rPr>
          <w:lang w:val="en-US"/>
        </w:rPr>
      </w:pPr>
      <w:r w:rsidRPr="00FB4EFA">
        <w:rPr>
          <w:rFonts w:eastAsia="Times New Roman" w:cs="Times New Roman"/>
          <w:szCs w:val="24"/>
          <w:lang w:val="en-US"/>
        </w:rPr>
        <w:t>Pevnov and Urmanchieva (2011) presuppose the opposition “one’s own” vs. “not one’s own” to be at the basis of the dichotomy: in the outer world, the direction from the forest (the “not one’s own” sphere) goes to the river, its bank and down to the water and one’s boat, which is truly “one’s own”. Within the house, the same direction goes from the wall to the fireplace and the pot on it (Pevnov &amp; Urmanchieva 2011: 542).</w:t>
      </w:r>
    </w:p>
    <w:p w14:paraId="715EAEE0" w14:textId="0C57612D" w:rsidR="005B26AB" w:rsidRPr="00FB4EFA" w:rsidRDefault="005B26AB" w:rsidP="0033008B">
      <w:pPr>
        <w:ind w:firstLine="709"/>
        <w:rPr>
          <w:lang w:val="en-US"/>
        </w:rPr>
      </w:pPr>
      <w:r w:rsidRPr="00FB4EFA">
        <w:rPr>
          <w:rFonts w:eastAsia="Times New Roman" w:cs="Times New Roman"/>
          <w:szCs w:val="24"/>
          <w:lang w:val="en-US"/>
        </w:rPr>
        <w:t xml:space="preserve">Independently of the above authors, Ivanova (2013) uses similar features in her analysis of these lexemes in Mansi. Being a native speaker of the language, she connects a value system to the words, connecting this value system to the traditional lifestyle and worldview of the Mansi people. In this worldview, the world is divided into three vertical spheres: the middle one is inhabited by humans, the upper one by gods, and the lower one by the dead and by evil beings. In the horizontal divisions of the middle sphere the river has an important role. For the Mansi, who lived in settlements by rivers, the forested parts farther away from the river were connected to the lower sphere, for instance, </w:t>
      </w:r>
      <w:r w:rsidRPr="00FB4EFA">
        <w:rPr>
          <w:smallCaps/>
          <w:lang w:val="en-US"/>
        </w:rPr>
        <w:t>pāgh</w:t>
      </w:r>
      <w:r w:rsidRPr="00FB4EFA">
        <w:rPr>
          <w:rFonts w:eastAsia="Times New Roman" w:cs="Times New Roman"/>
          <w:szCs w:val="24"/>
          <w:lang w:val="en-US"/>
        </w:rPr>
        <w:t xml:space="preserve">: </w:t>
      </w:r>
      <w:r w:rsidRPr="00FB4EFA">
        <w:rPr>
          <w:rFonts w:eastAsia="Times New Roman" w:cs="Times New Roman"/>
          <w:i/>
          <w:szCs w:val="24"/>
          <w:lang w:val="en-US"/>
        </w:rPr>
        <w:t>pāg pat-</w:t>
      </w:r>
      <w:r w:rsidRPr="00FB4EFA">
        <w:rPr>
          <w:rFonts w:eastAsia="Times New Roman" w:cs="Times New Roman"/>
          <w:szCs w:val="24"/>
          <w:lang w:val="en-US"/>
        </w:rPr>
        <w:t xml:space="preserve"> ‘die’ (Rombandeeva &amp; Kuzakova 1982: 86). In this worldview, the river indicates the livelihood, the future, and the positive pole. For those living in forested areas in the vicinity of the Ural Mountains, all of this is the other way around: the forested area provides the pasture, the animals, and thus, the livelihood, whereas the water and the river are associated with the lower world. For those living by the river, </w:t>
      </w:r>
      <w:r w:rsidRPr="00FB4EFA">
        <w:rPr>
          <w:smallCaps/>
          <w:lang w:val="en-US"/>
        </w:rPr>
        <w:t>nāluw</w:t>
      </w:r>
      <w:r w:rsidRPr="00FB4EFA">
        <w:rPr>
          <w:rFonts w:eastAsia="Times New Roman" w:cs="Times New Roman"/>
          <w:szCs w:val="24"/>
          <w:lang w:val="en-US"/>
        </w:rPr>
        <w:t xml:space="preserve"> is the positive sphere, and </w:t>
      </w:r>
      <w:r w:rsidRPr="00FB4EFA">
        <w:rPr>
          <w:smallCaps/>
          <w:lang w:val="en-US"/>
        </w:rPr>
        <w:t>pāgh</w:t>
      </w:r>
      <w:r w:rsidRPr="00FB4EFA">
        <w:rPr>
          <w:lang w:val="en-US"/>
        </w:rPr>
        <w:t xml:space="preserve"> </w:t>
      </w:r>
      <w:r w:rsidRPr="00FB4EFA">
        <w:rPr>
          <w:rFonts w:eastAsia="Times New Roman" w:cs="Times New Roman"/>
          <w:szCs w:val="24"/>
          <w:lang w:val="en-US"/>
        </w:rPr>
        <w:t xml:space="preserve">is the negative one, while for those living in the forested mountains, it is the other way around: </w:t>
      </w:r>
      <w:r w:rsidRPr="00FB4EFA">
        <w:rPr>
          <w:smallCaps/>
          <w:lang w:val="en-US"/>
        </w:rPr>
        <w:t>pāgh</w:t>
      </w:r>
      <w:r w:rsidRPr="00FB4EFA">
        <w:rPr>
          <w:lang w:val="en-US"/>
        </w:rPr>
        <w:t xml:space="preserve"> </w:t>
      </w:r>
      <w:r w:rsidRPr="00FB4EFA">
        <w:rPr>
          <w:rFonts w:eastAsia="Times New Roman" w:cs="Times New Roman"/>
          <w:szCs w:val="24"/>
          <w:lang w:val="en-US"/>
        </w:rPr>
        <w:t xml:space="preserve">indicates the positive and </w:t>
      </w:r>
      <w:r w:rsidRPr="00FB4EFA">
        <w:rPr>
          <w:smallCaps/>
          <w:lang w:val="en-US"/>
        </w:rPr>
        <w:t>nāluw</w:t>
      </w:r>
      <w:r w:rsidRPr="00FB4EFA">
        <w:rPr>
          <w:rFonts w:eastAsia="Times New Roman" w:cs="Times New Roman"/>
          <w:szCs w:val="24"/>
          <w:lang w:val="en-US"/>
        </w:rPr>
        <w:t xml:space="preserve"> the negative direction. Ivanova (2013) describes but does not explain relations inside the house: </w:t>
      </w:r>
      <w:r w:rsidRPr="00FB4EFA">
        <w:rPr>
          <w:smallCaps/>
          <w:lang w:val="en-US"/>
        </w:rPr>
        <w:t>pāgh</w:t>
      </w:r>
      <w:r w:rsidRPr="00FB4EFA">
        <w:rPr>
          <w:lang w:val="en-US"/>
        </w:rPr>
        <w:t xml:space="preserve"> </w:t>
      </w:r>
      <w:r w:rsidRPr="00FB4EFA">
        <w:rPr>
          <w:rFonts w:eastAsia="Times New Roman" w:cs="Times New Roman"/>
          <w:szCs w:val="24"/>
          <w:lang w:val="en-US"/>
        </w:rPr>
        <w:t>indicates the direction from the door to the interior part of the house as well as to the sacred place at the back of the house. Here (</w:t>
      </w:r>
      <w:r w:rsidRPr="00FB4EFA">
        <w:rPr>
          <w:rFonts w:eastAsia="Times New Roman" w:cs="Times New Roman"/>
          <w:b/>
          <w:i/>
          <w:szCs w:val="24"/>
          <w:lang w:val="en-US"/>
        </w:rPr>
        <w:t>puji</w:t>
      </w:r>
      <w:r w:rsidRPr="00FB4EFA">
        <w:rPr>
          <w:rFonts w:eastAsia="Times New Roman" w:cs="Times New Roman"/>
          <w:bCs/>
          <w:szCs w:val="24"/>
          <w:vertAlign w:val="superscript"/>
          <w:lang w:val="en-US"/>
        </w:rPr>
        <w:footnoteReference w:id="55"/>
      </w:r>
      <w:r w:rsidRPr="00FB4EFA">
        <w:rPr>
          <w:rFonts w:eastAsia="Times New Roman" w:cs="Times New Roman"/>
          <w:i/>
          <w:szCs w:val="24"/>
          <w:lang w:val="en-US"/>
        </w:rPr>
        <w:t xml:space="preserve"> kol sam</w:t>
      </w:r>
      <w:r w:rsidRPr="00FB4EFA">
        <w:rPr>
          <w:rFonts w:eastAsia="Times New Roman" w:cs="Times New Roman"/>
          <w:szCs w:val="24"/>
          <w:lang w:val="en-US"/>
        </w:rPr>
        <w:t xml:space="preserve"> ‘back part of the house’) is where </w:t>
      </w:r>
      <w:r w:rsidRPr="00FB4EFA">
        <w:rPr>
          <w:rFonts w:eastAsia="Times New Roman" w:cs="Times New Roman"/>
          <w:szCs w:val="24"/>
          <w:lang w:val="en-US"/>
        </w:rPr>
        <w:lastRenderedPageBreak/>
        <w:t>the sacred objects such as the idols are kept and where only clean people in the sacral sense can enter (young women cannot enter here at all). The part of the house next to the entrance (</w:t>
      </w:r>
      <w:r w:rsidRPr="00FB4EFA">
        <w:rPr>
          <w:rFonts w:eastAsia="Times New Roman" w:cs="Times New Roman"/>
          <w:b/>
          <w:i/>
          <w:szCs w:val="24"/>
          <w:lang w:val="en-US"/>
        </w:rPr>
        <w:t>nalwal</w:t>
      </w:r>
      <w:r w:rsidRPr="00FB4EFA">
        <w:rPr>
          <w:rFonts w:eastAsia="Times New Roman" w:cs="Times New Roman"/>
          <w:i/>
          <w:szCs w:val="24"/>
          <w:lang w:val="en-US"/>
        </w:rPr>
        <w:t xml:space="preserve"> olne kol sam</w:t>
      </w:r>
      <w:r w:rsidRPr="00FB4EFA">
        <w:rPr>
          <w:rFonts w:eastAsia="Times New Roman" w:cs="Times New Roman"/>
          <w:szCs w:val="24"/>
          <w:lang w:val="en-US"/>
        </w:rPr>
        <w:t xml:space="preserve"> ‘frontal part of the house’) is the opposite: this is where, for instance, women can hang the objects they use. According to Ivanova (2008), the back part of the house is associated with the upper sphere, that of the gods. In harmony with Pevnov and Urmanchieva’s (2011) ideas discussed above, this is the part of the house which is least “one’s own”.</w:t>
      </w:r>
    </w:p>
    <w:p w14:paraId="5867CE9F" w14:textId="77777777" w:rsidR="005B26AB" w:rsidRPr="00FB4EFA" w:rsidRDefault="005B26AB" w:rsidP="00B36705">
      <w:pPr>
        <w:pStyle w:val="Heading2"/>
        <w:numPr>
          <w:ilvl w:val="0"/>
          <w:numId w:val="3"/>
        </w:numPr>
        <w:suppressAutoHyphens/>
        <w:spacing w:line="259" w:lineRule="auto"/>
        <w:rPr>
          <w:color w:val="auto"/>
          <w:lang w:val="en-US"/>
        </w:rPr>
      </w:pPr>
      <w:r w:rsidRPr="00FB4EFA">
        <w:rPr>
          <w:color w:val="auto"/>
          <w:lang w:val="en-US"/>
        </w:rPr>
        <w:t>Areal parallels</w:t>
      </w:r>
    </w:p>
    <w:p w14:paraId="216E7E5C" w14:textId="77777777" w:rsidR="005B26AB" w:rsidRPr="00FB4EFA" w:rsidRDefault="005B26AB" w:rsidP="00402EF4">
      <w:pPr>
        <w:rPr>
          <w:lang w:val="en-US"/>
        </w:rPr>
      </w:pPr>
      <w:r w:rsidRPr="00FB4EFA">
        <w:rPr>
          <w:lang w:val="en-US"/>
        </w:rPr>
        <w:t>In the previous sections we have concentrated on the three Uralic languages in which this system of orientation is present. Now we proceed to discuss whether this system can be regarded as an areal feature, that is, whether there are non-Uralic languages in Siberia with similar systems, and, if so, how this ties in with the explanations provided above.</w:t>
      </w:r>
    </w:p>
    <w:p w14:paraId="26F245AC" w14:textId="77777777" w:rsidR="005B26AB" w:rsidRPr="00FB4EFA" w:rsidRDefault="005B26AB" w:rsidP="00402EF4">
      <w:pPr>
        <w:spacing w:after="240"/>
        <w:ind w:firstLine="709"/>
        <w:rPr>
          <w:lang w:val="en-US"/>
        </w:rPr>
      </w:pPr>
      <w:r w:rsidRPr="00FB4EFA">
        <w:rPr>
          <w:lang w:val="en-US"/>
        </w:rPr>
        <w:t>The Finno-Ugric linguistic literature (see references above) avoided areal investigations into our topic for a long time, but Pevnov and Urmanchieva (2011) published a longer paper about it. In their work, they demonstrated through a great amount of linguistic data that this phenomenon is more widespread than had been thought before. They examined the languages of two smaller regions and one extended geographical area from a contact linguistic point of view (see Map 2). One of the smaller regions is the Ostyak</w:t>
      </w:r>
      <w:r w:rsidRPr="00FB4EFA">
        <w:rPr>
          <w:vertAlign w:val="superscript"/>
          <w:lang w:val="en-US"/>
        </w:rPr>
        <w:footnoteReference w:id="56"/>
      </w:r>
      <w:r w:rsidRPr="00FB4EFA">
        <w:rPr>
          <w:lang w:val="en-US"/>
        </w:rPr>
        <w:t xml:space="preserve"> region of Western Siberia where the Ob-Ugric languages Khanty and Mansi, Samoyedic Selkup, and Yenisseian Ket are spoken (2 on the Map 2). These languages were in direct contact with one another. It is important to note that, of the Uralic languages, Pevnov and Urmanchieva (2011) mention only Khanty and Selkup and exclude Mansi – incorrectly, since Mansi has the same system, as we have demonstrated above. The other area they examine is the Far East, primar</w:t>
      </w:r>
      <w:r w:rsidRPr="00FB4EFA">
        <w:rPr>
          <w:lang w:val="en-US"/>
        </w:rPr>
        <w:lastRenderedPageBreak/>
        <w:t>ily through Nivkh and Manchu-Tungusic languages (3 on the Map 2). Finally, a third, extended area needs to be established, which includes the Evenki and Even languages (1 on the Map 2). The latter have been in contact with both other areas; this would explain how similar systems of orientation have developed at the two opposite ends of a vast region.</w:t>
      </w:r>
    </w:p>
    <w:p w14:paraId="37679E71" w14:textId="77777777" w:rsidR="005B26AB" w:rsidRPr="00FB4EFA" w:rsidRDefault="005B26AB" w:rsidP="00402EF4">
      <w:pPr>
        <w:jc w:val="center"/>
        <w:rPr>
          <w:lang w:val="en-US"/>
        </w:rPr>
      </w:pPr>
      <w:r w:rsidRPr="00FB4EFA">
        <w:rPr>
          <w:noProof/>
          <w:lang w:val="hu-HU" w:eastAsia="hu-HU"/>
        </w:rPr>
        <w:drawing>
          <wp:inline distT="0" distB="0" distL="0" distR="0" wp14:anchorId="493DE7F9" wp14:editId="4CE5199A">
            <wp:extent cx="3396343" cy="2185984"/>
            <wp:effectExtent l="0" t="0" r="0" b="0"/>
            <wp:docPr id="18" name="Kép 2" descr="A képen tér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1" descr="A képen térkép látható&#10;&#10;Automatikusan generált leírás"/>
                    <pic:cNvPicPr/>
                  </pic:nvPicPr>
                  <pic:blipFill>
                    <a:blip r:embed="rId255" cstate="print">
                      <a:extLst>
                        <a:ext uri="{BEBA8EAE-BF5A-486C-A8C5-ECC9F3942E4B}">
                          <a14:imgProps xmlns:a14="http://schemas.microsoft.com/office/drawing/2010/main">
                            <a14:imgLayer r:embed="rId25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407178" cy="2192958"/>
                    </a:xfrm>
                    <a:prstGeom prst="rect">
                      <a:avLst/>
                    </a:prstGeom>
                  </pic:spPr>
                </pic:pic>
              </a:graphicData>
            </a:graphic>
          </wp:inline>
        </w:drawing>
      </w:r>
    </w:p>
    <w:p w14:paraId="1D362F6B" w14:textId="77777777" w:rsidR="005B26AB" w:rsidRPr="00FB4EFA" w:rsidRDefault="005B26AB" w:rsidP="00AC1192">
      <w:pPr>
        <w:keepNext/>
        <w:suppressAutoHyphens/>
        <w:spacing w:before="120" w:after="240"/>
        <w:jc w:val="center"/>
        <w:rPr>
          <w:sz w:val="18"/>
          <w:szCs w:val="18"/>
          <w:lang w:val="en-US"/>
        </w:rPr>
      </w:pPr>
      <w:r w:rsidRPr="00FB4EFA">
        <w:rPr>
          <w:b/>
          <w:bCs/>
          <w:sz w:val="18"/>
          <w:szCs w:val="18"/>
          <w:lang w:val="en-US"/>
        </w:rPr>
        <w:t xml:space="preserve">Map 2. </w:t>
      </w:r>
      <w:r w:rsidRPr="00FB4EFA">
        <w:rPr>
          <w:sz w:val="18"/>
          <w:szCs w:val="18"/>
          <w:lang w:val="en-US"/>
        </w:rPr>
        <w:t>The three relevant areas of Siberia</w:t>
      </w:r>
      <w:r w:rsidRPr="00FB4EFA">
        <w:rPr>
          <w:sz w:val="18"/>
          <w:szCs w:val="18"/>
          <w:vertAlign w:val="superscript"/>
          <w:lang w:val="en-US"/>
        </w:rPr>
        <w:footnoteReference w:id="57"/>
      </w:r>
    </w:p>
    <w:p w14:paraId="42C5D198" w14:textId="77777777" w:rsidR="005B26AB" w:rsidRPr="00FB4EFA" w:rsidRDefault="005B26AB" w:rsidP="00402EF4">
      <w:pPr>
        <w:rPr>
          <w:lang w:val="en-US"/>
        </w:rPr>
      </w:pPr>
      <w:r w:rsidRPr="00FB4EFA">
        <w:rPr>
          <w:lang w:val="en-US"/>
        </w:rPr>
        <w:t>For Ket (a Yeniseian language, isolated) the following meanings are mentioned (Pevnov &amp; Urmanchieva 2011: 539–541):</w:t>
      </w:r>
    </w:p>
    <w:p w14:paraId="3A069720" w14:textId="77777777" w:rsidR="005B26AB" w:rsidRPr="00FB4EFA" w:rsidRDefault="005B26AB" w:rsidP="00545033">
      <w:pPr>
        <w:keepNext/>
        <w:ind w:left="567" w:hanging="567"/>
        <w:rPr>
          <w:rFonts w:eastAsia="Times New Roman" w:cs="Times New Roman"/>
          <w:szCs w:val="24"/>
          <w:lang w:val="en-US"/>
        </w:rPr>
      </w:pPr>
      <w:r w:rsidRPr="00FB4EFA">
        <w:rPr>
          <w:rFonts w:eastAsia="Times New Roman" w:cs="Times New Roman"/>
          <w:szCs w:val="24"/>
          <w:lang w:val="en-US"/>
        </w:rPr>
        <w:t>1.</w:t>
      </w:r>
      <w:r w:rsidRPr="00FB4EFA">
        <w:rPr>
          <w:rFonts w:eastAsia="Times New Roman" w:cs="Times New Roman"/>
          <w:szCs w:val="24"/>
          <w:lang w:val="en-US"/>
        </w:rPr>
        <w:tab/>
        <w:t>in relation with water:</w:t>
      </w:r>
    </w:p>
    <w:p w14:paraId="763C1D97" w14:textId="046FD516" w:rsidR="005B26AB" w:rsidRPr="00FB4EFA" w:rsidRDefault="005B26AB" w:rsidP="00545033">
      <w:pPr>
        <w:keepNext/>
        <w:ind w:left="567"/>
        <w:rPr>
          <w:rFonts w:eastAsia="Times New Roman" w:cs="Times New Roman"/>
          <w:szCs w:val="24"/>
          <w:lang w:val="en-US"/>
        </w:rPr>
      </w:pPr>
      <w:r w:rsidRPr="00FB4EFA">
        <w:rPr>
          <w:rFonts w:eastAsia="Times New Roman" w:cs="Times New Roman"/>
          <w:szCs w:val="24"/>
          <w:lang w:val="en-US"/>
        </w:rPr>
        <w:t>‘from the water to the riverbank/land’</w:t>
      </w:r>
      <w:r w:rsidR="00D91A96" w:rsidRPr="00FB4EFA">
        <w:rPr>
          <w:rFonts w:eastAsia="Times New Roman" w:cs="Times New Roman"/>
          <w:szCs w:val="24"/>
          <w:lang w:val="en-US"/>
        </w:rPr>
        <w:t xml:space="preserve">, </w:t>
      </w:r>
      <w:r w:rsidRPr="00FB4EFA">
        <w:rPr>
          <w:rFonts w:eastAsia="Times New Roman" w:cs="Times New Roman"/>
          <w:szCs w:val="24"/>
          <w:lang w:val="en-US"/>
        </w:rPr>
        <w:t>‘from the water along the riverbank to the forest (upward)’</w:t>
      </w:r>
      <w:r w:rsidR="00D91A96" w:rsidRPr="00FB4EFA">
        <w:rPr>
          <w:rFonts w:eastAsia="Times New Roman" w:cs="Times New Roman"/>
          <w:szCs w:val="24"/>
          <w:lang w:val="en-US"/>
        </w:rPr>
        <w:t xml:space="preserve">, </w:t>
      </w:r>
      <w:r w:rsidRPr="00FB4EFA">
        <w:rPr>
          <w:rFonts w:eastAsia="Times New Roman" w:cs="Times New Roman"/>
          <w:szCs w:val="24"/>
          <w:lang w:val="en-US"/>
        </w:rPr>
        <w:t>‘into the forest’</w:t>
      </w:r>
      <w:r w:rsidR="00D91A96" w:rsidRPr="00FB4EFA">
        <w:rPr>
          <w:rFonts w:eastAsia="Times New Roman" w:cs="Times New Roman"/>
          <w:szCs w:val="24"/>
          <w:lang w:val="en-US"/>
        </w:rPr>
        <w:t xml:space="preserve">, </w:t>
      </w:r>
      <w:r w:rsidRPr="00FB4EFA">
        <w:rPr>
          <w:rFonts w:eastAsia="Times New Roman" w:cs="Times New Roman"/>
          <w:szCs w:val="24"/>
          <w:lang w:val="en-US"/>
        </w:rPr>
        <w:t>‘upstream’</w:t>
      </w:r>
    </w:p>
    <w:sdt>
      <w:sdtPr>
        <w:rPr>
          <w:lang w:val="en-US"/>
        </w:rPr>
        <w:tag w:val="goog_rdk_0"/>
        <w:id w:val="-1033336791"/>
      </w:sdtPr>
      <w:sdtContent>
        <w:p w14:paraId="7B481C91" w14:textId="1CE40983" w:rsidR="005B26AB" w:rsidRPr="00FB4EFA" w:rsidRDefault="00C077DA" w:rsidP="0033008B">
          <w:pPr>
            <w:keepNext/>
            <w:ind w:left="567"/>
            <w:rPr>
              <w:rFonts w:eastAsia="Times New Roman" w:cs="Times New Roman"/>
              <w:szCs w:val="24"/>
              <w:lang w:val="en-US"/>
            </w:rPr>
          </w:pPr>
          <w:r w:rsidRPr="00FB4EFA">
            <w:rPr>
              <w:rFonts w:cs="Charis SIL"/>
              <w:lang w:val="en-US"/>
            </w:rPr>
            <w:sym w:font="Wingdings" w:char="F0DF"/>
          </w:r>
          <w:r w:rsidRPr="00FB4EFA">
            <w:rPr>
              <w:rFonts w:cs="Charis SIL"/>
              <w:lang w:val="en-US"/>
            </w:rPr>
            <w:sym w:font="Wingdings" w:char="F0E0"/>
          </w:r>
        </w:p>
      </w:sdtContent>
    </w:sdt>
    <w:p w14:paraId="1A6FAB29" w14:textId="1BBC0B82" w:rsidR="005B26AB" w:rsidRPr="00FB4EFA" w:rsidRDefault="005B26AB" w:rsidP="00D91A96">
      <w:pPr>
        <w:keepNext/>
        <w:ind w:left="567"/>
        <w:rPr>
          <w:rFonts w:eastAsia="Times New Roman" w:cs="Times New Roman"/>
          <w:szCs w:val="24"/>
          <w:lang w:val="en-US"/>
        </w:rPr>
      </w:pPr>
      <w:r w:rsidRPr="00FB4EFA">
        <w:rPr>
          <w:rFonts w:eastAsia="Times New Roman" w:cs="Times New Roman"/>
          <w:szCs w:val="24"/>
          <w:lang w:val="en-US"/>
        </w:rPr>
        <w:t>‘to the water from the riverbank’</w:t>
      </w:r>
      <w:r w:rsidR="00D91A96" w:rsidRPr="00FB4EFA">
        <w:rPr>
          <w:rFonts w:eastAsia="Times New Roman" w:cs="Times New Roman"/>
          <w:szCs w:val="24"/>
          <w:lang w:val="en-US"/>
        </w:rPr>
        <w:t xml:space="preserve">, </w:t>
      </w:r>
      <w:r w:rsidRPr="00FB4EFA">
        <w:rPr>
          <w:rFonts w:eastAsia="Times New Roman" w:cs="Times New Roman"/>
          <w:szCs w:val="24"/>
          <w:lang w:val="en-US"/>
        </w:rPr>
        <w:t>‘to the water along the riverbank from the forest (downward)’</w:t>
      </w:r>
      <w:r w:rsidR="00D91A96" w:rsidRPr="00FB4EFA">
        <w:rPr>
          <w:rFonts w:eastAsia="Times New Roman" w:cs="Times New Roman"/>
          <w:szCs w:val="24"/>
          <w:lang w:val="en-US"/>
        </w:rPr>
        <w:t xml:space="preserve">, </w:t>
      </w:r>
      <w:r w:rsidRPr="00FB4EFA">
        <w:rPr>
          <w:rFonts w:eastAsia="Times New Roman" w:cs="Times New Roman"/>
          <w:szCs w:val="24"/>
          <w:lang w:val="en-US"/>
        </w:rPr>
        <w:t>‘downstream’</w:t>
      </w:r>
    </w:p>
    <w:p w14:paraId="26CBAE8A" w14:textId="0BF80A04" w:rsidR="005B26AB" w:rsidRPr="00FB4EFA" w:rsidRDefault="005B26AB" w:rsidP="00D91A96">
      <w:pPr>
        <w:ind w:left="567" w:hanging="567"/>
        <w:rPr>
          <w:rFonts w:eastAsia="Times New Roman" w:cs="Charis SIL"/>
          <w:lang w:val="en-US"/>
        </w:rPr>
      </w:pPr>
      <w:r w:rsidRPr="00FB4EFA">
        <w:rPr>
          <w:rFonts w:eastAsia="Times New Roman" w:cs="Times New Roman"/>
          <w:szCs w:val="24"/>
          <w:lang w:val="en-US"/>
        </w:rPr>
        <w:t>2.</w:t>
      </w:r>
      <w:r w:rsidRPr="00FB4EFA">
        <w:rPr>
          <w:rFonts w:eastAsia="Times New Roman" w:cs="Times New Roman"/>
          <w:szCs w:val="24"/>
          <w:lang w:val="en-US"/>
        </w:rPr>
        <w:tab/>
        <w:t>in relation to the fire/stove</w:t>
      </w:r>
      <w:r w:rsidR="00D91A96" w:rsidRPr="00FB4EFA">
        <w:rPr>
          <w:rFonts w:eastAsia="Times New Roman" w:cs="Times New Roman"/>
          <w:szCs w:val="24"/>
          <w:lang w:val="en-US"/>
        </w:rPr>
        <w:t xml:space="preserve">, </w:t>
      </w:r>
      <w:r w:rsidRPr="00FB4EFA">
        <w:rPr>
          <w:rFonts w:eastAsia="Times New Roman" w:cs="Times New Roman"/>
          <w:szCs w:val="24"/>
          <w:lang w:val="en-US"/>
        </w:rPr>
        <w:t>‘at the fire/stove’</w:t>
      </w:r>
      <w:r w:rsidR="00D91A96" w:rsidRPr="00FB4EFA">
        <w:rPr>
          <w:rFonts w:eastAsia="Times New Roman" w:cs="Times New Roman"/>
          <w:szCs w:val="24"/>
          <w:lang w:val="en-US"/>
        </w:rPr>
        <w:t xml:space="preserve">, </w:t>
      </w:r>
      <w:r w:rsidRPr="00FB4EFA">
        <w:rPr>
          <w:rFonts w:eastAsia="Times New Roman" w:cs="Charis SIL"/>
          <w:lang w:val="en-US"/>
        </w:rPr>
        <w:t>‘above the fire/stove’</w:t>
      </w:r>
      <w:r w:rsidR="00D91A96" w:rsidRPr="00FB4EFA">
        <w:rPr>
          <w:rFonts w:eastAsia="Times New Roman" w:cs="Times New Roman"/>
          <w:szCs w:val="24"/>
          <w:lang w:val="en-US"/>
        </w:rPr>
        <w:t xml:space="preserve">, </w:t>
      </w:r>
      <w:r w:rsidRPr="00FB4EFA">
        <w:rPr>
          <w:rFonts w:eastAsia="Times New Roman" w:cs="Charis SIL"/>
          <w:lang w:val="en-US"/>
        </w:rPr>
        <w:t>‘into the pot above the fire/stove’</w:t>
      </w:r>
    </w:p>
    <w:p w14:paraId="6EF3B953" w14:textId="50166A04" w:rsidR="005B26AB" w:rsidRPr="00FB4EFA" w:rsidRDefault="005B26AB" w:rsidP="00D91A96">
      <w:pPr>
        <w:ind w:left="567" w:hanging="567"/>
        <w:rPr>
          <w:rFonts w:eastAsia="Times New Roman" w:cs="Times New Roman"/>
          <w:szCs w:val="24"/>
          <w:lang w:val="en-US"/>
        </w:rPr>
      </w:pPr>
      <w:r w:rsidRPr="00FB4EFA">
        <w:rPr>
          <w:rFonts w:eastAsia="Cardo" w:cs="Charis SIL"/>
          <w:lang w:val="en-US"/>
        </w:rPr>
        <w:t>3.</w:t>
      </w:r>
      <w:r w:rsidRPr="00FB4EFA">
        <w:rPr>
          <w:rFonts w:eastAsia="Cardo" w:cs="Charis SIL"/>
          <w:lang w:val="en-US"/>
        </w:rPr>
        <w:tab/>
        <w:t xml:space="preserve">‘at the dwelling, at people’ </w:t>
      </w:r>
      <w:sdt>
        <w:sdtPr>
          <w:rPr>
            <w:lang w:val="en-US"/>
          </w:rPr>
          <w:tag w:val="goog_rdk_4"/>
          <w:id w:val="-263006825"/>
        </w:sdtPr>
        <w:sdtContent>
          <w:r w:rsidR="00C077DA" w:rsidRPr="00FB4EFA">
            <w:rPr>
              <w:rFonts w:cs="Charis SIL"/>
              <w:lang w:val="en-US"/>
            </w:rPr>
            <w:sym w:font="Wingdings" w:char="F0DF"/>
          </w:r>
          <w:r w:rsidR="00C077DA" w:rsidRPr="00FB4EFA">
            <w:rPr>
              <w:rFonts w:cs="Charis SIL"/>
              <w:lang w:val="en-US"/>
            </w:rPr>
            <w:sym w:font="Wingdings" w:char="F0E0"/>
          </w:r>
        </w:sdtContent>
      </w:sdt>
      <w:r w:rsidRPr="00FB4EFA">
        <w:rPr>
          <w:rFonts w:eastAsia="Cardo" w:cs="Charis SIL"/>
          <w:lang w:val="en-US"/>
        </w:rPr>
        <w:t xml:space="preserve"> ‘in the forest, in the taiga’</w:t>
      </w:r>
    </w:p>
    <w:p w14:paraId="17199326" w14:textId="77777777" w:rsidR="005B26AB" w:rsidRPr="00FB4EFA" w:rsidRDefault="005B26AB" w:rsidP="00402EF4">
      <w:pPr>
        <w:spacing w:before="240"/>
        <w:rPr>
          <w:rFonts w:eastAsia="Times New Roman" w:cs="Charis SIL"/>
          <w:lang w:val="en-US"/>
        </w:rPr>
      </w:pPr>
      <w:r w:rsidRPr="00FB4EFA">
        <w:rPr>
          <w:rFonts w:eastAsia="Times New Roman" w:cs="Charis SIL"/>
          <w:lang w:val="en-US"/>
        </w:rPr>
        <w:t xml:space="preserve">The third group of meanings would be especially interesting; however, it is mentioned only very tentatively. At the same time, it is clear that relations regarding water and the fireplace are the same as the systems in </w:t>
      </w:r>
      <w:r w:rsidRPr="00FB4EFA">
        <w:rPr>
          <w:rFonts w:eastAsia="Times New Roman" w:cs="Charis SIL"/>
          <w:lang w:val="en-US"/>
        </w:rPr>
        <w:lastRenderedPageBreak/>
        <w:t>Uralic languages discussed above. The situation is the same in the case of Manchu-Tungusic languages:</w:t>
      </w:r>
    </w:p>
    <w:p w14:paraId="4B2EE528" w14:textId="1FA629DD" w:rsidR="005B26AB" w:rsidRPr="00FB4EFA" w:rsidRDefault="005B26AB" w:rsidP="00402EF4">
      <w:pPr>
        <w:spacing w:before="240"/>
        <w:rPr>
          <w:lang w:val="en-US"/>
        </w:rPr>
      </w:pPr>
      <w:r w:rsidRPr="00FB4EFA">
        <w:rPr>
          <w:lang w:val="en-US"/>
        </w:rPr>
        <w:t xml:space="preserve">Manchu-Tungusic languages (Pevnov </w:t>
      </w:r>
      <w:r w:rsidR="00D6535A" w:rsidRPr="00FB4EFA">
        <w:rPr>
          <w:lang w:val="en-US"/>
        </w:rPr>
        <w:t>&amp;</w:t>
      </w:r>
      <w:r w:rsidRPr="00FB4EFA">
        <w:rPr>
          <w:lang w:val="en-US"/>
        </w:rPr>
        <w:t xml:space="preserve"> Urmanchieva 2011: 523–524):</w:t>
      </w:r>
    </w:p>
    <w:p w14:paraId="611A0CE4" w14:textId="77777777" w:rsidR="005B26AB" w:rsidRPr="00FB4EFA" w:rsidRDefault="005B26AB" w:rsidP="00402EF4">
      <w:pPr>
        <w:spacing w:before="240"/>
        <w:rPr>
          <w:rFonts w:eastAsia="Times New Roman" w:cs="Times New Roman"/>
          <w:szCs w:val="24"/>
          <w:lang w:val="en-US"/>
        </w:rPr>
      </w:pPr>
      <w:r w:rsidRPr="00FB4EFA">
        <w:rPr>
          <w:rFonts w:eastAsia="Times New Roman" w:cs="Times New Roman"/>
          <w:szCs w:val="24"/>
          <w:lang w:val="en-US"/>
        </w:rPr>
        <w:t>Evenki, Even</w:t>
      </w:r>
    </w:p>
    <w:p w14:paraId="3F6D6D1B" w14:textId="77777777" w:rsidR="005B26AB" w:rsidRPr="00FB4EFA" w:rsidRDefault="005B26AB" w:rsidP="0033008B">
      <w:pPr>
        <w:ind w:left="567"/>
        <w:rPr>
          <w:rFonts w:eastAsia="Times New Roman" w:cs="Times New Roman"/>
          <w:szCs w:val="24"/>
          <w:lang w:val="en-US"/>
        </w:rPr>
      </w:pPr>
      <w:r w:rsidRPr="00FB4EFA">
        <w:rPr>
          <w:rFonts w:eastAsia="Times New Roman" w:cs="Times New Roman"/>
          <w:szCs w:val="24"/>
          <w:lang w:val="en-US"/>
        </w:rPr>
        <w:t>‘downhill’, ‘down to the riverbank to the water’, ‘from the land to the water’, ‘to the fire/stove’</w:t>
      </w:r>
    </w:p>
    <w:sdt>
      <w:sdtPr>
        <w:rPr>
          <w:lang w:val="en-US"/>
        </w:rPr>
        <w:tag w:val="goog_rdk_2"/>
        <w:id w:val="1524829450"/>
      </w:sdtPr>
      <w:sdtContent>
        <w:p w14:paraId="63FF7C53" w14:textId="67BF65BB" w:rsidR="005B26AB" w:rsidRPr="00FB4EFA" w:rsidRDefault="00C077DA" w:rsidP="0033008B">
          <w:pPr>
            <w:ind w:left="567"/>
            <w:rPr>
              <w:rFonts w:eastAsia="Times New Roman" w:cs="Times New Roman"/>
              <w:szCs w:val="24"/>
              <w:lang w:val="en-US"/>
            </w:rPr>
          </w:pPr>
          <w:r w:rsidRPr="00FB4EFA">
            <w:rPr>
              <w:rFonts w:cs="Charis SIL"/>
              <w:lang w:val="en-US"/>
            </w:rPr>
            <w:sym w:font="Wingdings" w:char="F0DF"/>
          </w:r>
          <w:r w:rsidRPr="00FB4EFA">
            <w:rPr>
              <w:rFonts w:cs="Charis SIL"/>
              <w:lang w:val="en-US"/>
            </w:rPr>
            <w:sym w:font="Wingdings" w:char="F0E0"/>
          </w:r>
        </w:p>
      </w:sdtContent>
    </w:sdt>
    <w:p w14:paraId="5B515BFC" w14:textId="77777777" w:rsidR="005B26AB" w:rsidRPr="00FB4EFA" w:rsidRDefault="005B26AB" w:rsidP="0033008B">
      <w:pPr>
        <w:ind w:left="567"/>
        <w:rPr>
          <w:rFonts w:eastAsia="Times New Roman" w:cs="Times New Roman"/>
          <w:szCs w:val="24"/>
          <w:lang w:val="en-US"/>
        </w:rPr>
      </w:pPr>
      <w:r w:rsidRPr="00FB4EFA">
        <w:rPr>
          <w:rFonts w:eastAsia="Times New Roman" w:cs="Times New Roman"/>
          <w:szCs w:val="24"/>
          <w:lang w:val="en-US"/>
        </w:rPr>
        <w:t>‘into the forest’, ‘up to the riverbank from the water’, ‘from the water to the land’, ‘from the fire/stove’</w:t>
      </w:r>
    </w:p>
    <w:p w14:paraId="5B42B899" w14:textId="77777777" w:rsidR="005B26AB" w:rsidRPr="00FB4EFA" w:rsidRDefault="005B26AB" w:rsidP="00402EF4">
      <w:pPr>
        <w:keepNext/>
        <w:spacing w:before="240"/>
        <w:rPr>
          <w:rFonts w:eastAsia="Times New Roman" w:cs="Times New Roman"/>
          <w:szCs w:val="24"/>
          <w:lang w:val="en-US"/>
        </w:rPr>
      </w:pPr>
      <w:r w:rsidRPr="00FB4EFA">
        <w:rPr>
          <w:rFonts w:eastAsia="Times New Roman" w:cs="Times New Roman"/>
          <w:szCs w:val="24"/>
          <w:lang w:val="en-US"/>
        </w:rPr>
        <w:t>Udeghe</w:t>
      </w:r>
    </w:p>
    <w:p w14:paraId="29B0AE8F" w14:textId="77777777" w:rsidR="005B26AB" w:rsidRPr="00FB4EFA" w:rsidRDefault="005B26AB" w:rsidP="0033008B">
      <w:pPr>
        <w:keepNext/>
        <w:ind w:left="567"/>
        <w:rPr>
          <w:rFonts w:eastAsia="Times New Roman" w:cs="Times New Roman"/>
          <w:szCs w:val="24"/>
          <w:lang w:val="en-US"/>
        </w:rPr>
      </w:pPr>
      <w:r w:rsidRPr="00FB4EFA">
        <w:rPr>
          <w:rFonts w:eastAsia="Times New Roman" w:cs="Times New Roman"/>
          <w:szCs w:val="24"/>
          <w:lang w:val="en-US"/>
        </w:rPr>
        <w:t>‘down to the riverbank to the water’, ‘to the fire/stove’</w:t>
      </w:r>
    </w:p>
    <w:sdt>
      <w:sdtPr>
        <w:rPr>
          <w:lang w:val="en-US"/>
        </w:rPr>
        <w:tag w:val="goog_rdk_3"/>
        <w:id w:val="-2116818910"/>
      </w:sdtPr>
      <w:sdtEndPr>
        <w:rPr>
          <w:rFonts w:cs="Charis SIL"/>
        </w:rPr>
      </w:sdtEndPr>
      <w:sdtContent>
        <w:p w14:paraId="7A2569C7" w14:textId="48700072" w:rsidR="005B26AB" w:rsidRPr="00FB4EFA" w:rsidRDefault="00000000" w:rsidP="0033008B">
          <w:pPr>
            <w:ind w:left="567"/>
            <w:rPr>
              <w:rFonts w:eastAsia="Times New Roman" w:cs="Times New Roman"/>
              <w:szCs w:val="24"/>
              <w:lang w:val="en-US"/>
            </w:rPr>
          </w:pPr>
          <w:sdt>
            <w:sdtPr>
              <w:rPr>
                <w:lang w:val="en-US"/>
              </w:rPr>
              <w:tag w:val="goog_rdk_4"/>
              <w:id w:val="-1942599401"/>
            </w:sdtPr>
            <w:sdtContent>
              <w:r w:rsidR="00C077DA" w:rsidRPr="00FB4EFA">
                <w:rPr>
                  <w:rFonts w:cs="Charis SIL"/>
                  <w:lang w:val="en-US"/>
                </w:rPr>
                <w:sym w:font="Wingdings" w:char="F0DF"/>
              </w:r>
              <w:r w:rsidR="00C077DA" w:rsidRPr="00FB4EFA">
                <w:rPr>
                  <w:rFonts w:cs="Charis SIL"/>
                  <w:lang w:val="en-US"/>
                </w:rPr>
                <w:sym w:font="Wingdings" w:char="F0E0"/>
              </w:r>
            </w:sdtContent>
          </w:sdt>
        </w:p>
      </w:sdtContent>
    </w:sdt>
    <w:p w14:paraId="08580297" w14:textId="77777777" w:rsidR="005B26AB" w:rsidRPr="00FB4EFA" w:rsidRDefault="005B26AB" w:rsidP="00AF0CAD">
      <w:pPr>
        <w:ind w:left="567"/>
        <w:rPr>
          <w:rFonts w:eastAsia="Times New Roman" w:cs="Times New Roman"/>
          <w:b/>
          <w:szCs w:val="24"/>
          <w:lang w:val="en-US"/>
        </w:rPr>
      </w:pPr>
      <w:r w:rsidRPr="00FB4EFA">
        <w:rPr>
          <w:rFonts w:eastAsia="Times New Roman" w:cs="Times New Roman"/>
          <w:szCs w:val="24"/>
          <w:lang w:val="en-US"/>
        </w:rPr>
        <w:t>‘up to the riverbank from the water’, ‘from the fire/stove’</w:t>
      </w:r>
    </w:p>
    <w:p w14:paraId="336801BF" w14:textId="77777777" w:rsidR="005B26AB" w:rsidRPr="00FB4EFA" w:rsidRDefault="005B26AB" w:rsidP="00545033">
      <w:pPr>
        <w:keepNext/>
        <w:spacing w:before="240"/>
        <w:rPr>
          <w:rFonts w:eastAsia="Times New Roman" w:cs="Times New Roman"/>
          <w:szCs w:val="24"/>
          <w:lang w:val="en-US"/>
        </w:rPr>
      </w:pPr>
      <w:r w:rsidRPr="00FB4EFA">
        <w:rPr>
          <w:rFonts w:eastAsia="Times New Roman" w:cs="Times New Roman"/>
          <w:szCs w:val="24"/>
          <w:lang w:val="en-US"/>
        </w:rPr>
        <w:t>Negidal, Oroch, Ulchi</w:t>
      </w:r>
    </w:p>
    <w:p w14:paraId="3817BA47" w14:textId="77777777" w:rsidR="005B26AB" w:rsidRPr="00FB4EFA" w:rsidRDefault="005B26AB" w:rsidP="0033008B">
      <w:pPr>
        <w:keepNext/>
        <w:ind w:left="567"/>
        <w:rPr>
          <w:rFonts w:eastAsia="Times New Roman" w:cs="Times New Roman"/>
          <w:szCs w:val="24"/>
          <w:lang w:val="en-US"/>
        </w:rPr>
      </w:pPr>
      <w:r w:rsidRPr="00FB4EFA">
        <w:rPr>
          <w:rFonts w:eastAsia="Times New Roman" w:cs="Times New Roman"/>
          <w:szCs w:val="24"/>
          <w:lang w:val="en-US"/>
        </w:rPr>
        <w:t>‘downhill’, ‘down to the riverbank to the water’</w:t>
      </w:r>
    </w:p>
    <w:p w14:paraId="015210FC" w14:textId="6A50EBC5" w:rsidR="005B26AB" w:rsidRPr="00FB4EFA" w:rsidRDefault="00000000" w:rsidP="0033008B">
      <w:pPr>
        <w:keepNext/>
        <w:ind w:left="567"/>
        <w:rPr>
          <w:rFonts w:eastAsia="Times New Roman" w:cs="Times New Roman"/>
          <w:szCs w:val="24"/>
          <w:lang w:val="en-US"/>
        </w:rPr>
      </w:pPr>
      <w:sdt>
        <w:sdtPr>
          <w:rPr>
            <w:lang w:val="en-US"/>
          </w:rPr>
          <w:tag w:val="goog_rdk_4"/>
          <w:id w:val="-908455983"/>
        </w:sdtPr>
        <w:sdtContent>
          <w:r w:rsidR="00C077DA" w:rsidRPr="00FB4EFA">
            <w:rPr>
              <w:rFonts w:cs="Charis SIL"/>
              <w:lang w:val="en-US"/>
            </w:rPr>
            <w:sym w:font="Wingdings" w:char="F0DF"/>
          </w:r>
          <w:r w:rsidR="00C077DA" w:rsidRPr="00FB4EFA">
            <w:rPr>
              <w:rFonts w:cs="Charis SIL"/>
              <w:lang w:val="en-US"/>
            </w:rPr>
            <w:sym w:font="Wingdings" w:char="F0E0"/>
          </w:r>
        </w:sdtContent>
      </w:sdt>
    </w:p>
    <w:p w14:paraId="44624932" w14:textId="77777777" w:rsidR="005B26AB" w:rsidRPr="00FB4EFA" w:rsidRDefault="005B26AB" w:rsidP="0033008B">
      <w:pPr>
        <w:ind w:left="567"/>
        <w:rPr>
          <w:rFonts w:eastAsia="Times New Roman" w:cs="Times New Roman"/>
          <w:szCs w:val="24"/>
          <w:lang w:val="en-US"/>
        </w:rPr>
      </w:pPr>
      <w:r w:rsidRPr="00FB4EFA">
        <w:rPr>
          <w:rFonts w:eastAsia="Times New Roman" w:cs="Times New Roman"/>
          <w:szCs w:val="24"/>
          <w:lang w:val="en-US"/>
        </w:rPr>
        <w:t>‘uphill’, ‘up to the riverbank from the water’</w:t>
      </w:r>
    </w:p>
    <w:p w14:paraId="099EDF1B" w14:textId="710DFB38" w:rsidR="005B26AB" w:rsidRPr="00FB4EFA" w:rsidRDefault="005B26AB" w:rsidP="00402EF4">
      <w:pPr>
        <w:spacing w:before="240"/>
        <w:rPr>
          <w:rFonts w:eastAsia="Times New Roman" w:cs="Times New Roman"/>
          <w:szCs w:val="24"/>
          <w:lang w:val="en-US"/>
        </w:rPr>
      </w:pPr>
      <w:r w:rsidRPr="00FB4EFA">
        <w:rPr>
          <w:rFonts w:eastAsia="Times New Roman" w:cs="Times New Roman"/>
          <w:szCs w:val="24"/>
          <w:lang w:val="en-US"/>
        </w:rPr>
        <w:t>In the Manchu-Tungusic languages of the Far East (</w:t>
      </w:r>
      <w:r w:rsidR="00466236" w:rsidRPr="00FB4EFA">
        <w:rPr>
          <w:rFonts w:eastAsia="Times New Roman" w:cs="Times New Roman"/>
          <w:szCs w:val="24"/>
          <w:lang w:val="en-US"/>
        </w:rPr>
        <w:t>e.g., </w:t>
      </w:r>
      <w:r w:rsidRPr="00FB4EFA">
        <w:rPr>
          <w:rFonts w:eastAsia="Times New Roman" w:cs="Times New Roman"/>
          <w:szCs w:val="24"/>
          <w:lang w:val="en-US"/>
        </w:rPr>
        <w:t>Nanai, Orok) and in the Nivkh language (isolated) some similar features can be detected: there are verbs with the meaning ‘to dock (a boat); to pull something from the water to the riverbank, to take from the fire/stove (a pot)’.</w:t>
      </w:r>
    </w:p>
    <w:p w14:paraId="2EE1C8E1" w14:textId="086F7D35" w:rsidR="005B26AB" w:rsidRPr="00FB4EFA" w:rsidRDefault="005B26AB" w:rsidP="00402EF4">
      <w:pPr>
        <w:ind w:firstLine="709"/>
        <w:rPr>
          <w:rFonts w:eastAsia="Times New Roman" w:cs="Times New Roman"/>
          <w:szCs w:val="24"/>
          <w:lang w:val="en-US"/>
        </w:rPr>
      </w:pPr>
      <w:r w:rsidRPr="00FB4EFA">
        <w:rPr>
          <w:rFonts w:eastAsia="Times New Roman" w:cs="Times New Roman"/>
          <w:szCs w:val="24"/>
          <w:lang w:val="en-US"/>
        </w:rPr>
        <w:t xml:space="preserve">The explanation based on the ancient language contact effect, however, is somewhat weakened by Fortescue’s (2011) findings. He distinguishes several orientation systems when examining the languages of the North Pacific. He devotes a separate chapter to terms related to water and fire and refers to Pevnov and Urmanchieva’s study (2011) as he also mentions languages from the region in which fire and water play a role in the construction of the orientation system (Fortescue 2011: 98–107). Such languages are for example Tlingit, Haida, and Northern Wakasa (among other languages, see Fortescue 2011). Since these languages are spoken in North America, an explanation based on language contact cannot be seriously suggested. (Although it should be noted that the Tlingit </w:t>
      </w:r>
      <w:r w:rsidRPr="00FB4EFA">
        <w:rPr>
          <w:rFonts w:eastAsia="Times New Roman" w:cs="Times New Roman"/>
          <w:szCs w:val="24"/>
          <w:lang w:val="en-US"/>
        </w:rPr>
        <w:lastRenderedPageBreak/>
        <w:t xml:space="preserve">and Haida languages belong to the Na-Dene language family, whose very distant kinship with the Yenisei languages has been postulated recently, </w:t>
      </w:r>
      <w:r w:rsidR="00466236" w:rsidRPr="00FB4EFA">
        <w:rPr>
          <w:rFonts w:eastAsia="Times New Roman" w:cs="Times New Roman"/>
          <w:szCs w:val="24"/>
          <w:lang w:val="en-US"/>
        </w:rPr>
        <w:t>cf. e.g., </w:t>
      </w:r>
      <w:r w:rsidRPr="00FB4EFA">
        <w:rPr>
          <w:rFonts w:eastAsia="Times New Roman" w:cs="Times New Roman"/>
          <w:szCs w:val="24"/>
          <w:lang w:val="en-US"/>
        </w:rPr>
        <w:t xml:space="preserve">Karri 2011.) Fortescue cannot provide an exact explanation either, but he </w:t>
      </w:r>
      <w:r w:rsidRPr="00FB4EFA">
        <w:rPr>
          <w:rFonts w:eastAsia="Times New Roman" w:cs="Charis SIL"/>
          <w:szCs w:val="24"/>
          <w:lang w:val="en-US"/>
        </w:rPr>
        <w:t xml:space="preserve">does not exclude </w:t>
      </w:r>
      <w:r w:rsidRPr="00FB4EFA">
        <w:rPr>
          <w:rFonts w:eastAsia="Times New Roman" w:cs="Charis SIL"/>
          <w:lang w:val="en-US"/>
        </w:rPr>
        <w:t>–</w:t>
      </w:r>
      <w:r w:rsidRPr="00FB4EFA">
        <w:rPr>
          <w:rFonts w:eastAsia="Times New Roman" w:cs="Charis SIL"/>
          <w:szCs w:val="24"/>
          <w:lang w:val="en-US"/>
        </w:rPr>
        <w:t xml:space="preserve"> citing Nichols (1992: 260) </w:t>
      </w:r>
      <w:r w:rsidRPr="00FB4EFA">
        <w:rPr>
          <w:rFonts w:eastAsia="Times New Roman" w:cs="Charis SIL"/>
          <w:lang w:val="en-US"/>
        </w:rPr>
        <w:t>–</w:t>
      </w:r>
      <w:r w:rsidRPr="00FB4EFA">
        <w:rPr>
          <w:rFonts w:eastAsia="Times New Roman" w:cs="Charis SIL"/>
          <w:szCs w:val="24"/>
          <w:lang w:val="en-US"/>
        </w:rPr>
        <w:t xml:space="preserve"> the possibility of the imprint of very ancient genetic</w:t>
      </w:r>
      <w:r w:rsidRPr="00FB4EFA">
        <w:rPr>
          <w:rFonts w:eastAsia="Times New Roman" w:cs="Times New Roman"/>
          <w:szCs w:val="24"/>
          <w:lang w:val="en-US"/>
        </w:rPr>
        <w:t xml:space="preserve"> and/or areal relationships, as the specific orientation system related to fire and water cannot be ex</w:t>
      </w:r>
      <w:r w:rsidR="00634518" w:rsidRPr="00FB4EFA">
        <w:rPr>
          <w:rFonts w:eastAsia="Times New Roman" w:cs="Times New Roman"/>
          <w:szCs w:val="24"/>
          <w:lang w:val="en-US"/>
        </w:rPr>
        <w:softHyphen/>
      </w:r>
      <w:r w:rsidRPr="00FB4EFA">
        <w:rPr>
          <w:rFonts w:eastAsia="Times New Roman" w:cs="Times New Roman"/>
          <w:szCs w:val="24"/>
          <w:lang w:val="en-US"/>
        </w:rPr>
        <w:t>plained by the influence of a similar geographical environment only.</w:t>
      </w:r>
    </w:p>
    <w:p w14:paraId="26E430D0" w14:textId="77777777" w:rsidR="005B26AB" w:rsidRPr="00FB4EFA" w:rsidRDefault="005B26AB" w:rsidP="00402EF4">
      <w:pPr>
        <w:ind w:firstLine="709"/>
        <w:rPr>
          <w:rFonts w:eastAsia="Times New Roman" w:cs="Times New Roman"/>
          <w:szCs w:val="24"/>
          <w:lang w:val="en-US"/>
        </w:rPr>
      </w:pPr>
      <w:r w:rsidRPr="00FB4EFA">
        <w:rPr>
          <w:rFonts w:eastAsia="Times New Roman" w:cs="Times New Roman"/>
          <w:szCs w:val="24"/>
          <w:lang w:val="en-US"/>
        </w:rPr>
        <w:t>According to Fortescue (2011), peoples using such an orientation system distinguish two spheres which are represented also in the language. These spheres are the space/relations inside the house (microcosm) and the space/relations outside the house (macrocosm). The similarly constructed residential buildings may also have played a role in the development of this system. Concerning the parallels between Nivkh, Tlingit, and Haida, Fortescue (2011) mentions the same type of residence: a rectangular-based coastal building with only one entrance (the entrance not always facing the shore).</w:t>
      </w:r>
    </w:p>
    <w:p w14:paraId="1B316392" w14:textId="37799C9C" w:rsidR="005B26AB" w:rsidRPr="00FB4EFA" w:rsidRDefault="005B26AB" w:rsidP="00402EF4">
      <w:pPr>
        <w:ind w:firstLine="720"/>
        <w:rPr>
          <w:rFonts w:eastAsia="Times New Roman" w:cs="Times New Roman"/>
          <w:szCs w:val="24"/>
          <w:lang w:val="en-US"/>
        </w:rPr>
      </w:pPr>
      <w:r w:rsidRPr="00FB4EFA">
        <w:rPr>
          <w:rFonts w:eastAsia="Times New Roman" w:cs="Times New Roman"/>
          <w:szCs w:val="24"/>
          <w:lang w:val="en-US"/>
        </w:rPr>
        <w:t>Overall, we can state the following</w:t>
      </w:r>
      <w:r w:rsidR="0033008B" w:rsidRPr="00FB4EFA">
        <w:rPr>
          <w:rFonts w:eastAsia="Times New Roman" w:cs="Times New Roman"/>
          <w:szCs w:val="24"/>
          <w:lang w:val="en-US"/>
        </w:rPr>
        <w:t>:</w:t>
      </w:r>
      <w:r w:rsidRPr="00FB4EFA">
        <w:rPr>
          <w:rFonts w:eastAsia="Times New Roman" w:cs="Times New Roman"/>
          <w:szCs w:val="24"/>
          <w:lang w:val="en-US"/>
        </w:rPr>
        <w:t xml:space="preserve"> </w:t>
      </w:r>
      <w:r w:rsidR="0033008B" w:rsidRPr="00FB4EFA">
        <w:rPr>
          <w:rFonts w:eastAsia="Times New Roman" w:cs="Times New Roman"/>
          <w:szCs w:val="24"/>
          <w:lang w:val="en-US"/>
        </w:rPr>
        <w:t>t</w:t>
      </w:r>
      <w:r w:rsidRPr="00FB4EFA">
        <w:rPr>
          <w:rFonts w:eastAsia="Times New Roman" w:cs="Times New Roman"/>
          <w:szCs w:val="24"/>
          <w:lang w:val="en-US"/>
        </w:rPr>
        <w:t>he orientation system presented above is essentially missing from the Arctic tundra languages. It cannot be found in the Northern Samoyedic branch of the Uralic languages (</w:t>
      </w:r>
      <w:r w:rsidR="00466236" w:rsidRPr="00FB4EFA">
        <w:rPr>
          <w:rFonts w:eastAsia="Times New Roman" w:cs="Times New Roman"/>
          <w:szCs w:val="24"/>
          <w:lang w:val="en-US"/>
        </w:rPr>
        <w:t>i.e., </w:t>
      </w:r>
      <w:r w:rsidRPr="00FB4EFA">
        <w:rPr>
          <w:rFonts w:eastAsia="Times New Roman" w:cs="Times New Roman"/>
          <w:szCs w:val="24"/>
          <w:lang w:val="en-US"/>
        </w:rPr>
        <w:t>Nenets, Enets, and Nganasan) or in Paleosiberian languages of the tundra (Chukchi-Kamchatkan languages, Yukaghir, and the Eskimo</w:t>
      </w:r>
      <w:r w:rsidR="00B530B7" w:rsidRPr="00FB4EFA">
        <w:rPr>
          <w:rFonts w:eastAsia="Times New Roman" w:cs="Times New Roman"/>
          <w:szCs w:val="24"/>
          <w:lang w:val="en-US"/>
        </w:rPr>
        <w:t>-Aleut</w:t>
      </w:r>
      <w:r w:rsidRPr="00FB4EFA">
        <w:rPr>
          <w:rFonts w:eastAsia="Times New Roman" w:cs="Times New Roman"/>
          <w:szCs w:val="24"/>
          <w:lang w:val="en-US"/>
        </w:rPr>
        <w:t xml:space="preserve"> languages) on the other hand. It seems quite clear that life along the river is less relevant to these peoples. An orientation system related to fire and water is found in a much larger area and in more languages than previously thought, but at the same time these peoples are connected not only by a similar geographical environment but also by very old or still existing areal or linguistic genealogical relationships. Thus we may never fully know the “starting point”.</w:t>
      </w:r>
    </w:p>
    <w:p w14:paraId="50C5A0DE" w14:textId="77777777" w:rsidR="005B26AB" w:rsidRPr="00FB4EFA" w:rsidRDefault="005B26AB" w:rsidP="00B36705">
      <w:pPr>
        <w:pStyle w:val="Heading2"/>
        <w:numPr>
          <w:ilvl w:val="0"/>
          <w:numId w:val="3"/>
        </w:numPr>
        <w:suppressAutoHyphens/>
        <w:spacing w:line="259" w:lineRule="auto"/>
        <w:rPr>
          <w:color w:val="auto"/>
          <w:lang w:val="en-US"/>
        </w:rPr>
      </w:pPr>
      <w:r w:rsidRPr="00FB4EFA">
        <w:rPr>
          <w:color w:val="auto"/>
          <w:lang w:val="en-US"/>
        </w:rPr>
        <w:t>Conclusion</w:t>
      </w:r>
    </w:p>
    <w:p w14:paraId="48B953C4" w14:textId="1037BFE0" w:rsidR="005B26AB" w:rsidRPr="00FB4EFA" w:rsidRDefault="00B530B7" w:rsidP="00AF0CAD">
      <w:pPr>
        <w:rPr>
          <w:lang w:val="en-US"/>
        </w:rPr>
      </w:pPr>
      <w:r w:rsidRPr="00FB4EFA">
        <w:rPr>
          <w:rFonts w:eastAsia="Times New Roman" w:cs="Times New Roman"/>
          <w:szCs w:val="24"/>
          <w:lang w:val="en-US"/>
        </w:rPr>
        <w:t xml:space="preserve">Although the stems used in the orientation systems under investigation are not generally etymologically connected, the systems still show striking similarities to one another. </w:t>
      </w:r>
      <w:r w:rsidR="005B26AB" w:rsidRPr="00FB4EFA">
        <w:rPr>
          <w:rFonts w:eastAsia="Times New Roman" w:cs="Times New Roman"/>
          <w:szCs w:val="24"/>
          <w:lang w:val="en-US"/>
        </w:rPr>
        <w:t>The</w:t>
      </w:r>
      <w:r w:rsidR="005B26AB" w:rsidRPr="00FB4EFA">
        <w:rPr>
          <w:lang w:val="en-US"/>
        </w:rPr>
        <w:t xml:space="preserve"> reason for their parallel </w:t>
      </w:r>
      <w:r w:rsidR="005B26AB" w:rsidRPr="00FB4EFA">
        <w:rPr>
          <w:rFonts w:cs="Charis SIL"/>
          <w:lang w:val="en-US"/>
        </w:rPr>
        <w:t>development could be language contact on the one hand – since certain groups of these languages have been in contact with each</w:t>
      </w:r>
      <w:r w:rsidR="0033008B" w:rsidRPr="00FB4EFA">
        <w:rPr>
          <w:rFonts w:cs="Charis SIL"/>
          <w:lang w:val="en-US"/>
        </w:rPr>
        <w:t xml:space="preserve"> </w:t>
      </w:r>
      <w:r w:rsidR="005B26AB" w:rsidRPr="00FB4EFA">
        <w:rPr>
          <w:rFonts w:cs="Charis SIL"/>
          <w:lang w:val="en-US"/>
        </w:rPr>
        <w:t xml:space="preserve">other for centuries – and the </w:t>
      </w:r>
      <w:r w:rsidR="005B26AB" w:rsidRPr="00FB4EFA">
        <w:rPr>
          <w:rFonts w:cs="Charis SIL"/>
          <w:lang w:val="en-US"/>
        </w:rPr>
        <w:lastRenderedPageBreak/>
        <w:t>individual geographical conditions of the given peoples on the other: namely that they all live (or traditionally</w:t>
      </w:r>
      <w:r w:rsidR="005B26AB" w:rsidRPr="00FB4EFA" w:rsidDel="00C82DA6">
        <w:rPr>
          <w:rFonts w:cs="Charis SIL"/>
          <w:lang w:val="en-US"/>
        </w:rPr>
        <w:t xml:space="preserve"> </w:t>
      </w:r>
      <w:r w:rsidR="005B26AB" w:rsidRPr="00FB4EFA">
        <w:rPr>
          <w:rFonts w:cs="Charis SIL"/>
          <w:lang w:val="en-US"/>
        </w:rPr>
        <w:t>lived) on steep</w:t>
      </w:r>
      <w:r w:rsidR="005B26AB" w:rsidRPr="00FB4EFA">
        <w:rPr>
          <w:lang w:val="en-US"/>
        </w:rPr>
        <w:t xml:space="preserve"> riverbanks. The lexemes with the same meanings developed in parallel in each language</w:t>
      </w:r>
      <w:r w:rsidR="0030017E" w:rsidRPr="00FB4EFA">
        <w:rPr>
          <w:lang w:val="en-US"/>
        </w:rPr>
        <w:t xml:space="preserve">; </w:t>
      </w:r>
      <w:r w:rsidR="005B26AB" w:rsidRPr="00FB4EFA">
        <w:rPr>
          <w:lang w:val="en-US"/>
        </w:rPr>
        <w:t>their etymologies are generally not connected</w:t>
      </w:r>
      <w:r w:rsidR="0030017E" w:rsidRPr="00FB4EFA">
        <w:rPr>
          <w:lang w:val="en-US"/>
        </w:rPr>
        <w:t>. Nevertheless,</w:t>
      </w:r>
      <w:r w:rsidR="005B26AB" w:rsidRPr="00FB4EFA">
        <w:rPr>
          <w:lang w:val="en-US"/>
        </w:rPr>
        <w:t xml:space="preserve"> the structure of the orientation system is still almost completely identical. It is connected with the traditional lifestyle of the indigenous peoples of Western Siberia. The basic conception of the system can be associated with rivers and residential buildings such as the </w:t>
      </w:r>
      <w:r w:rsidR="005B26AB" w:rsidRPr="00FB4EFA">
        <w:rPr>
          <w:i/>
          <w:lang w:val="en-US"/>
        </w:rPr>
        <w:t>karamo,</w:t>
      </w:r>
      <w:r w:rsidR="005B26AB" w:rsidRPr="00FB4EFA">
        <w:rPr>
          <w:lang w:val="en-US"/>
        </w:rPr>
        <w:t xml:space="preserve"> the archaic cave dwelling of Selkups. Similar buildings with a rectangular base can be found in the Far East and in North America as well; similar orientation systems are used in languages of cultures living in these. This fact also shows that the development of the system is a more complex process than previously thought. It reflects not only the effect of the immediate environment but also a special worldview. At the same time, the </w:t>
      </w:r>
      <w:r w:rsidR="00B36705" w:rsidRPr="00FB4EFA">
        <w:rPr>
          <w:lang w:val="en-US"/>
        </w:rPr>
        <w:br/>
      </w:r>
      <w:r w:rsidR="005B26AB" w:rsidRPr="00FB4EFA">
        <w:rPr>
          <w:lang w:val="en-US"/>
        </w:rPr>
        <w:t xml:space="preserve">examined orientation system is an areal feature. This claim is also </w:t>
      </w:r>
      <w:r w:rsidR="00B36705" w:rsidRPr="00FB4EFA">
        <w:rPr>
          <w:lang w:val="en-US"/>
        </w:rPr>
        <w:br/>
      </w:r>
      <w:r w:rsidR="005B26AB" w:rsidRPr="00FB4EFA">
        <w:rPr>
          <w:lang w:val="en-US"/>
        </w:rPr>
        <w:t>supported by the fact that this system is completely absent in the closest linguistic relatives of Selkup, the Northern Samoyedic languages (Nenets, Enets, and Nganasan). This fact is connected with the completely different traditional lifestyle of the Northern Samoyeds: it is subarctic, nomadic or half-nomadic, and based on reindeer husbandry. Meanwhile the speakers of the languages examined in this study lead a subarctic, fishing-hunting lifestyle and live in the forests and along the rivers of the taiga.</w:t>
      </w:r>
    </w:p>
    <w:p w14:paraId="08CF6E5B" w14:textId="77777777" w:rsidR="005B26AB" w:rsidRPr="00FB4EFA" w:rsidRDefault="005B26AB" w:rsidP="00402EF4">
      <w:pPr>
        <w:ind w:firstLine="709"/>
        <w:rPr>
          <w:lang w:val="en-US"/>
        </w:rPr>
      </w:pPr>
      <w:r w:rsidRPr="00FB4EFA">
        <w:rPr>
          <w:lang w:val="en-US"/>
        </w:rPr>
        <w:t>It can be furthermore stated that due to the disappearance of the traditional culture and the process of language loss, simplification and decomposition of the examined orientation system can be observed in the given languages.</w:t>
      </w:r>
    </w:p>
    <w:p w14:paraId="18C95EF8" w14:textId="77777777" w:rsidR="005B26AB" w:rsidRPr="00FB4EFA" w:rsidRDefault="005B26AB" w:rsidP="00545033">
      <w:pPr>
        <w:pStyle w:val="Heading2"/>
        <w:suppressAutoHyphens/>
        <w:spacing w:line="259" w:lineRule="auto"/>
        <w:rPr>
          <w:color w:val="auto"/>
          <w:lang w:val="en-US"/>
        </w:rPr>
      </w:pPr>
      <w:r w:rsidRPr="00FB4EFA">
        <w:rPr>
          <w:color w:val="auto"/>
          <w:lang w:val="en-US"/>
        </w:rPr>
        <w:t>Abbreviations</w:t>
      </w:r>
    </w:p>
    <w:p w14:paraId="004D15A2" w14:textId="77777777" w:rsidR="005B26AB" w:rsidRPr="00FB4EFA" w:rsidRDefault="005B26AB" w:rsidP="00402EF4">
      <w:pPr>
        <w:rPr>
          <w:rFonts w:eastAsia="Times New Roman" w:cs="Times New Roman"/>
          <w:smallCaps/>
          <w:szCs w:val="24"/>
          <w:lang w:val="en-US"/>
        </w:rPr>
        <w:sectPr w:rsidR="005B26AB" w:rsidRPr="00FB4EFA">
          <w:headerReference w:type="even" r:id="rId257"/>
          <w:headerReference w:type="default" r:id="rId258"/>
          <w:headerReference w:type="first" r:id="rId259"/>
          <w:footnotePr>
            <w:numRestart w:val="eachSect"/>
          </w:footnotePr>
          <w:pgSz w:w="9180" w:h="13302"/>
          <w:pgMar w:top="779" w:right="1133" w:bottom="1132" w:left="1133" w:header="744" w:footer="720" w:gutter="0"/>
          <w:cols w:space="720"/>
          <w:titlePg/>
        </w:sectPr>
      </w:pPr>
    </w:p>
    <w:p w14:paraId="28438A8C"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abl</w:t>
      </w:r>
      <w:r w:rsidRPr="00FB4EFA">
        <w:rPr>
          <w:rFonts w:eastAsia="Times New Roman" w:cs="Times New Roman"/>
          <w:szCs w:val="24"/>
          <w:lang w:val="en-US"/>
        </w:rPr>
        <w:tab/>
        <w:t>ablative</w:t>
      </w:r>
    </w:p>
    <w:p w14:paraId="4226D428"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acc</w:t>
      </w:r>
      <w:r w:rsidRPr="00FB4EFA">
        <w:rPr>
          <w:rFonts w:eastAsia="Times New Roman" w:cs="Times New Roman"/>
          <w:szCs w:val="24"/>
          <w:lang w:val="en-US"/>
        </w:rPr>
        <w:tab/>
        <w:t>accusative</w:t>
      </w:r>
    </w:p>
    <w:p w14:paraId="66A5ECB4"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adh</w:t>
      </w:r>
      <w:r w:rsidRPr="00FB4EFA">
        <w:rPr>
          <w:rFonts w:eastAsia="Times New Roman" w:cs="Times New Roman"/>
          <w:szCs w:val="24"/>
          <w:lang w:val="en-US"/>
        </w:rPr>
        <w:tab/>
        <w:t>adhortative particle</w:t>
      </w:r>
    </w:p>
    <w:p w14:paraId="06769DFF"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aor</w:t>
      </w:r>
      <w:r w:rsidRPr="00FB4EFA">
        <w:rPr>
          <w:rFonts w:eastAsia="Times New Roman" w:cs="Times New Roman"/>
          <w:szCs w:val="24"/>
          <w:lang w:val="en-US"/>
        </w:rPr>
        <w:tab/>
        <w:t>aorist</w:t>
      </w:r>
    </w:p>
    <w:p w14:paraId="0F97E2A2"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dim</w:t>
      </w:r>
      <w:r w:rsidRPr="00FB4EFA">
        <w:rPr>
          <w:rFonts w:eastAsia="Times New Roman" w:cs="Times New Roman"/>
          <w:szCs w:val="24"/>
          <w:lang w:val="en-US"/>
        </w:rPr>
        <w:tab/>
        <w:t>diminutive</w:t>
      </w:r>
    </w:p>
    <w:p w14:paraId="50DE0DA8"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du</w:t>
      </w:r>
      <w:r w:rsidRPr="00FB4EFA">
        <w:rPr>
          <w:rFonts w:eastAsia="Times New Roman" w:cs="Times New Roman"/>
          <w:szCs w:val="24"/>
          <w:lang w:val="en-US"/>
        </w:rPr>
        <w:tab/>
        <w:t>dual</w:t>
      </w:r>
    </w:p>
    <w:p w14:paraId="71BED7B2"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ill</w:t>
      </w:r>
      <w:r w:rsidRPr="00FB4EFA">
        <w:rPr>
          <w:rFonts w:eastAsia="Times New Roman" w:cs="Times New Roman"/>
          <w:szCs w:val="24"/>
          <w:lang w:val="en-US"/>
        </w:rPr>
        <w:tab/>
        <w:t>illative</w:t>
      </w:r>
    </w:p>
    <w:p w14:paraId="4165B68F"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imp</w:t>
      </w:r>
      <w:r w:rsidRPr="00FB4EFA">
        <w:rPr>
          <w:rFonts w:eastAsia="Times New Roman" w:cs="Times New Roman"/>
          <w:szCs w:val="24"/>
          <w:lang w:val="en-US"/>
        </w:rPr>
        <w:tab/>
        <w:t>imperative</w:t>
      </w:r>
    </w:p>
    <w:p w14:paraId="76195F31"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inch</w:t>
      </w:r>
      <w:r w:rsidRPr="00FB4EFA">
        <w:rPr>
          <w:rFonts w:eastAsia="Times New Roman" w:cs="Times New Roman"/>
          <w:szCs w:val="24"/>
          <w:lang w:val="en-US"/>
        </w:rPr>
        <w:tab/>
        <w:t>inchoative</w:t>
      </w:r>
    </w:p>
    <w:p w14:paraId="4665D36F"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inf</w:t>
      </w:r>
      <w:r w:rsidRPr="00FB4EFA">
        <w:rPr>
          <w:rFonts w:eastAsia="Times New Roman" w:cs="Times New Roman"/>
          <w:szCs w:val="24"/>
          <w:lang w:val="en-US"/>
        </w:rPr>
        <w:tab/>
        <w:t>infinitive</w:t>
      </w:r>
    </w:p>
    <w:p w14:paraId="4B6D343F"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ipfv</w:t>
      </w:r>
      <w:r w:rsidRPr="00FB4EFA">
        <w:rPr>
          <w:rFonts w:eastAsia="Times New Roman" w:cs="Times New Roman"/>
          <w:szCs w:val="24"/>
          <w:lang w:val="en-US"/>
        </w:rPr>
        <w:t xml:space="preserve"> </w:t>
      </w:r>
      <w:r w:rsidRPr="00FB4EFA">
        <w:rPr>
          <w:rFonts w:eastAsia="Times New Roman" w:cs="Times New Roman"/>
          <w:szCs w:val="24"/>
          <w:lang w:val="en-US"/>
        </w:rPr>
        <w:tab/>
        <w:t>imperfective derivation</w:t>
      </w:r>
    </w:p>
    <w:p w14:paraId="377A3672"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lat</w:t>
      </w:r>
      <w:r w:rsidRPr="00FB4EFA">
        <w:rPr>
          <w:rFonts w:eastAsia="Times New Roman" w:cs="Times New Roman"/>
          <w:smallCaps/>
          <w:szCs w:val="24"/>
          <w:lang w:val="en-US"/>
        </w:rPr>
        <w:tab/>
      </w:r>
      <w:r w:rsidRPr="00FB4EFA">
        <w:rPr>
          <w:rFonts w:eastAsia="Times New Roman" w:cs="Times New Roman"/>
          <w:szCs w:val="24"/>
          <w:lang w:val="en-US"/>
        </w:rPr>
        <w:t>lative</w:t>
      </w:r>
    </w:p>
    <w:p w14:paraId="668779EB"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loc</w:t>
      </w:r>
      <w:r w:rsidRPr="00FB4EFA">
        <w:rPr>
          <w:rFonts w:eastAsia="Times New Roman" w:cs="Times New Roman"/>
          <w:szCs w:val="24"/>
          <w:lang w:val="en-US"/>
        </w:rPr>
        <w:tab/>
        <w:t>locative</w:t>
      </w:r>
    </w:p>
    <w:p w14:paraId="765D29A6"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nar</w:t>
      </w:r>
      <w:r w:rsidRPr="00FB4EFA">
        <w:rPr>
          <w:rFonts w:eastAsia="Times New Roman" w:cs="Times New Roman"/>
          <w:szCs w:val="24"/>
          <w:lang w:val="en-US"/>
        </w:rPr>
        <w:tab/>
        <w:t>narrative</w:t>
      </w:r>
    </w:p>
    <w:p w14:paraId="6F13BA1E"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o</w:t>
      </w:r>
      <w:r w:rsidRPr="00FB4EFA">
        <w:rPr>
          <w:rFonts w:eastAsia="Times New Roman" w:cs="Times New Roman"/>
          <w:szCs w:val="24"/>
          <w:lang w:val="en-US"/>
        </w:rPr>
        <w:tab/>
        <w:t>objective conjugation</w:t>
      </w:r>
    </w:p>
    <w:p w14:paraId="62D7F1A1"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pass</w:t>
      </w:r>
      <w:r w:rsidRPr="00FB4EFA">
        <w:rPr>
          <w:rFonts w:eastAsia="Times New Roman" w:cs="Times New Roman"/>
          <w:szCs w:val="24"/>
          <w:lang w:val="en-US"/>
        </w:rPr>
        <w:tab/>
        <w:t>passive</w:t>
      </w:r>
    </w:p>
    <w:p w14:paraId="115D9A83"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prol</w:t>
      </w:r>
      <w:r w:rsidRPr="00FB4EFA">
        <w:rPr>
          <w:rFonts w:eastAsia="Times New Roman" w:cs="Times New Roman"/>
          <w:szCs w:val="24"/>
          <w:lang w:val="en-US"/>
        </w:rPr>
        <w:tab/>
        <w:t>prolative</w:t>
      </w:r>
    </w:p>
    <w:p w14:paraId="473FD6C3" w14:textId="0EF96C53" w:rsidR="003C3714" w:rsidRPr="00FB4EFA" w:rsidRDefault="003C3714" w:rsidP="00CC79AF">
      <w:pPr>
        <w:spacing w:line="240" w:lineRule="auto"/>
        <w:rPr>
          <w:rFonts w:eastAsia="Times New Roman" w:cs="Times New Roman"/>
          <w:smallCaps/>
          <w:szCs w:val="24"/>
          <w:lang w:val="en-US"/>
        </w:rPr>
      </w:pPr>
      <w:r w:rsidRPr="00FB4EFA">
        <w:rPr>
          <w:rFonts w:eastAsia="Times New Roman" w:cs="Times New Roman"/>
          <w:smallCaps/>
          <w:szCs w:val="24"/>
          <w:lang w:val="en-US"/>
        </w:rPr>
        <w:t>prs</w:t>
      </w:r>
      <w:r w:rsidRPr="00FB4EFA">
        <w:rPr>
          <w:rFonts w:eastAsia="Times New Roman" w:cs="Times New Roman"/>
          <w:szCs w:val="24"/>
          <w:lang w:val="en-US"/>
        </w:rPr>
        <w:tab/>
        <w:t>present</w:t>
      </w:r>
    </w:p>
    <w:p w14:paraId="4EFD5214" w14:textId="59DE7BCA"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lastRenderedPageBreak/>
        <w:t>prt</w:t>
      </w:r>
      <w:r w:rsidRPr="00FB4EFA">
        <w:rPr>
          <w:rFonts w:eastAsia="Times New Roman" w:cs="Times New Roman"/>
          <w:szCs w:val="24"/>
          <w:lang w:val="en-US"/>
        </w:rPr>
        <w:tab/>
        <w:t>participle</w:t>
      </w:r>
    </w:p>
    <w:p w14:paraId="6742B5D6"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ptcl</w:t>
      </w:r>
      <w:r w:rsidRPr="00FB4EFA">
        <w:rPr>
          <w:rFonts w:eastAsia="Times New Roman" w:cs="Times New Roman"/>
          <w:szCs w:val="24"/>
          <w:lang w:val="en-US"/>
        </w:rPr>
        <w:tab/>
        <w:t>particle</w:t>
      </w:r>
    </w:p>
    <w:p w14:paraId="0546B427"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pl</w:t>
      </w:r>
      <w:r w:rsidRPr="00FB4EFA">
        <w:rPr>
          <w:rFonts w:eastAsia="Times New Roman" w:cs="Times New Roman"/>
          <w:szCs w:val="24"/>
          <w:lang w:val="en-US"/>
        </w:rPr>
        <w:tab/>
        <w:t>plural</w:t>
      </w:r>
    </w:p>
    <w:p w14:paraId="0479F4BE"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px</w:t>
      </w:r>
      <w:r w:rsidRPr="00FB4EFA">
        <w:rPr>
          <w:rFonts w:eastAsia="Times New Roman" w:cs="Times New Roman"/>
          <w:szCs w:val="24"/>
          <w:lang w:val="en-US"/>
        </w:rPr>
        <w:tab/>
        <w:t>possessive suffix</w:t>
      </w:r>
    </w:p>
    <w:p w14:paraId="55AED5D1"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rep</w:t>
      </w:r>
      <w:r w:rsidRPr="00FB4EFA">
        <w:rPr>
          <w:rFonts w:eastAsia="Times New Roman" w:cs="Times New Roman"/>
          <w:szCs w:val="24"/>
          <w:lang w:val="en-US"/>
        </w:rPr>
        <w:tab/>
        <w:t>reportative</w:t>
      </w:r>
    </w:p>
    <w:p w14:paraId="2F4DA6FE" w14:textId="77777777" w:rsidR="005B26AB" w:rsidRPr="00FB4EFA" w:rsidRDefault="005B26AB" w:rsidP="00CC79AF">
      <w:pPr>
        <w:spacing w:line="240" w:lineRule="auto"/>
        <w:rPr>
          <w:rFonts w:eastAsia="Times New Roman" w:cs="Times New Roman"/>
          <w:szCs w:val="24"/>
          <w:lang w:val="en-US"/>
        </w:rPr>
      </w:pPr>
      <w:r w:rsidRPr="00FB4EFA">
        <w:rPr>
          <w:rFonts w:eastAsia="Times New Roman" w:cs="Times New Roman"/>
          <w:smallCaps/>
          <w:szCs w:val="24"/>
          <w:lang w:val="en-US"/>
        </w:rPr>
        <w:t>s</w:t>
      </w:r>
      <w:r w:rsidRPr="00FB4EFA">
        <w:rPr>
          <w:rFonts w:eastAsia="Times New Roman" w:cs="Times New Roman"/>
          <w:szCs w:val="24"/>
          <w:lang w:val="en-US"/>
        </w:rPr>
        <w:tab/>
        <w:t>subjective conjugation</w:t>
      </w:r>
    </w:p>
    <w:p w14:paraId="510C1F9C" w14:textId="77777777" w:rsidR="005B26AB" w:rsidRPr="00FB4EFA" w:rsidRDefault="005B26AB" w:rsidP="00CC79AF">
      <w:pPr>
        <w:spacing w:line="240" w:lineRule="auto"/>
        <w:rPr>
          <w:lang w:val="en-US"/>
        </w:rPr>
      </w:pPr>
      <w:r w:rsidRPr="00FB4EFA">
        <w:rPr>
          <w:rFonts w:eastAsia="Times New Roman" w:cs="Times New Roman"/>
          <w:smallCaps/>
          <w:szCs w:val="24"/>
          <w:lang w:val="en-US"/>
        </w:rPr>
        <w:t>sg</w:t>
      </w:r>
      <w:r w:rsidRPr="00FB4EFA">
        <w:rPr>
          <w:rFonts w:eastAsia="Times New Roman" w:cs="Times New Roman"/>
          <w:szCs w:val="24"/>
          <w:lang w:val="en-US"/>
        </w:rPr>
        <w:tab/>
      </w:r>
      <w:r w:rsidRPr="00FB4EFA">
        <w:rPr>
          <w:lang w:val="en-US"/>
        </w:rPr>
        <w:t>singular</w:t>
      </w:r>
    </w:p>
    <w:p w14:paraId="59258C7F" w14:textId="77777777" w:rsidR="005B26AB" w:rsidRPr="00FB4EFA" w:rsidRDefault="005B26AB" w:rsidP="00402EF4">
      <w:pPr>
        <w:rPr>
          <w:lang w:val="en-US"/>
        </w:rPr>
        <w:sectPr w:rsidR="005B26AB" w:rsidRPr="00FB4EFA" w:rsidSect="009C5E51">
          <w:footnotePr>
            <w:numRestart w:val="eachSect"/>
          </w:footnotePr>
          <w:type w:val="continuous"/>
          <w:pgSz w:w="9180" w:h="13302"/>
          <w:pgMar w:top="779" w:right="1133" w:bottom="1132" w:left="1133" w:header="744" w:footer="720" w:gutter="0"/>
          <w:cols w:num="2" w:space="720"/>
          <w:titlePg/>
        </w:sectPr>
      </w:pPr>
      <w:bookmarkStart w:id="49" w:name="_Ref90999332"/>
    </w:p>
    <w:bookmarkEnd w:id="49"/>
    <w:p w14:paraId="108BC266" w14:textId="77777777" w:rsidR="005B26AB" w:rsidRPr="00FB4EFA" w:rsidRDefault="005B26AB" w:rsidP="00545033">
      <w:pPr>
        <w:pStyle w:val="Heading2"/>
        <w:suppressAutoHyphens/>
        <w:spacing w:line="259" w:lineRule="auto"/>
        <w:rPr>
          <w:color w:val="auto"/>
          <w:lang w:val="en-US"/>
        </w:rPr>
      </w:pPr>
      <w:r w:rsidRPr="00FB4EFA">
        <w:rPr>
          <w:color w:val="auto"/>
          <w:lang w:val="en-US"/>
        </w:rPr>
        <w:t>References</w:t>
      </w:r>
    </w:p>
    <w:p w14:paraId="5CAD89DC" w14:textId="68C1F46D" w:rsidR="005B26AB" w:rsidRPr="00FB4EFA" w:rsidRDefault="005B26AB" w:rsidP="00C17973">
      <w:pPr>
        <w:keepLines/>
        <w:suppressAutoHyphens/>
        <w:spacing w:line="240" w:lineRule="auto"/>
        <w:ind w:left="425" w:hanging="425"/>
        <w:rPr>
          <w:rFonts w:eastAsia="Times New Roman" w:cs="Times New Roman"/>
          <w:szCs w:val="24"/>
          <w:lang w:val="en-US"/>
        </w:rPr>
      </w:pPr>
      <w:r w:rsidRPr="00FB4EFA">
        <w:rPr>
          <w:rFonts w:eastAsia="Times New Roman" w:cs="Times New Roman"/>
          <w:szCs w:val="24"/>
          <w:lang w:val="en-US"/>
        </w:rPr>
        <w:t xml:space="preserve">Alatalo, Jarmo; Kai Donner &amp; U. T. Sirelius. 2004. </w:t>
      </w:r>
      <w:r w:rsidRPr="00FB4EFA">
        <w:rPr>
          <w:rFonts w:eastAsia="Times New Roman" w:cs="Times New Roman"/>
          <w:i/>
          <w:szCs w:val="24"/>
          <w:lang w:val="en-US"/>
        </w:rPr>
        <w:t>Sölkupisches Wörterbuch aus Aufzeichnungen von K.D., U. T. S. und J.A. Zusammengestellt und herausgegeben von J. A.</w:t>
      </w:r>
      <w:r w:rsidRPr="00FB4EFA">
        <w:rPr>
          <w:rFonts w:eastAsia="Times New Roman" w:cs="Times New Roman"/>
          <w:szCs w:val="24"/>
          <w:lang w:val="en-US"/>
        </w:rPr>
        <w:t xml:space="preserve"> Lexica Societatis Fenno-Ugricae </w:t>
      </w:r>
      <w:r w:rsidR="00DC75BE" w:rsidRPr="00FB4EFA">
        <w:rPr>
          <w:rFonts w:eastAsia="Times New Roman" w:cs="Times New Roman"/>
          <w:szCs w:val="24"/>
          <w:lang w:val="en-US"/>
        </w:rPr>
        <w:t>30</w:t>
      </w:r>
      <w:r w:rsidRPr="00FB4EFA">
        <w:rPr>
          <w:rFonts w:eastAsia="Times New Roman" w:cs="Times New Roman"/>
          <w:szCs w:val="24"/>
          <w:lang w:val="en-US"/>
        </w:rPr>
        <w:t>. Helsinki: Suomalais-Ugrilainen Seura.</w:t>
      </w:r>
    </w:p>
    <w:p w14:paraId="088EAFB7" w14:textId="44A8D22C"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Budzisch, Josefina, Anja Harder &amp; Beáta Wagner-Nagy. 2019. Selkup Language Corpus (SLC). Archived in Hamburger Zentrum für Sprachkoropra. Version 1.0.0. Publication date 2019-02-08. </w:t>
      </w:r>
      <w:hyperlink r:id="rId260" w:history="1">
        <w:r w:rsidRPr="00FB4EFA">
          <w:rPr>
            <w:rFonts w:eastAsia="Times New Roman" w:cs="Times New Roman"/>
            <w:szCs w:val="24"/>
            <w:u w:val="single"/>
            <w:lang w:val="en-US"/>
          </w:rPr>
          <w:t>hdl.handle.net/11022/0000-0007-D009-4</w:t>
        </w:r>
      </w:hyperlink>
      <w:r w:rsidRPr="00FB4EFA">
        <w:rPr>
          <w:rFonts w:eastAsia="Times New Roman" w:cs="Times New Roman"/>
          <w:szCs w:val="24"/>
          <w:lang w:val="en-US"/>
        </w:rPr>
        <w:t>.</w:t>
      </w:r>
    </w:p>
    <w:p w14:paraId="64F7BD72" w14:textId="57CDCA35"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Bíró, Bernadett, Katalin Sipőcz, &amp; Sándor Szeverényi. 2019. Nyugat-szibériai uráli nyelvek térbeli orientációs rendszere. </w:t>
      </w:r>
      <w:r w:rsidRPr="00FB4EFA">
        <w:rPr>
          <w:rFonts w:eastAsia="Times New Roman" w:cs="Times New Roman"/>
          <w:i/>
          <w:szCs w:val="24"/>
          <w:lang w:val="en-US"/>
        </w:rPr>
        <w:t>Folia Uralica Debreceniensia</w:t>
      </w:r>
      <w:r w:rsidRPr="00FB4EFA">
        <w:rPr>
          <w:rFonts w:eastAsia="Times New Roman" w:cs="Times New Roman"/>
          <w:szCs w:val="24"/>
          <w:lang w:val="en-US"/>
        </w:rPr>
        <w:t xml:space="preserve"> 26. 2</w:t>
      </w:r>
      <w:r w:rsidR="00C65823" w:rsidRPr="00FB4EFA">
        <w:rPr>
          <w:rFonts w:eastAsia="Times New Roman" w:cs="Times New Roman"/>
          <w:szCs w:val="24"/>
          <w:lang w:val="en-US"/>
        </w:rPr>
        <w:t>9–4</w:t>
      </w:r>
      <w:r w:rsidRPr="00FB4EFA">
        <w:rPr>
          <w:rFonts w:eastAsia="Times New Roman" w:cs="Times New Roman"/>
          <w:szCs w:val="24"/>
          <w:lang w:val="en-US"/>
        </w:rPr>
        <w:t>4.</w:t>
      </w:r>
    </w:p>
    <w:p w14:paraId="0F2BA093" w14:textId="0E51570D"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Brykina, Maria, Svetlana Orlova</w:t>
      </w:r>
      <w:r w:rsidR="00653A96" w:rsidRPr="00FB4EFA">
        <w:rPr>
          <w:rFonts w:eastAsia="Times New Roman" w:cs="Times New Roman"/>
          <w:szCs w:val="24"/>
          <w:lang w:val="en-US"/>
        </w:rPr>
        <w:t xml:space="preserve"> </w:t>
      </w:r>
      <w:r w:rsidRPr="00FB4EFA">
        <w:rPr>
          <w:rFonts w:eastAsia="Times New Roman" w:cs="Times New Roman"/>
          <w:szCs w:val="24"/>
          <w:lang w:val="en-US"/>
        </w:rPr>
        <w:t xml:space="preserve">&amp; Beáta Wagner-Nagy. 2020. INEL Selkup Corpus. Version 1.0. Publication date 2020-06-30. Archived in Hamburger Zentrum für Sprachkorpora. </w:t>
      </w:r>
      <w:hyperlink r:id="rId261" w:history="1">
        <w:r w:rsidR="00BB7053" w:rsidRPr="00FB4EFA">
          <w:rPr>
            <w:rStyle w:val="Hyperlink"/>
            <w:rFonts w:eastAsia="Times New Roman" w:cs="Times New Roman"/>
            <w:color w:val="auto"/>
            <w:szCs w:val="24"/>
            <w:lang w:val="en-US"/>
          </w:rPr>
          <w:t>hdl.handle.net/11022/0000-0007-E1D5-A</w:t>
        </w:r>
      </w:hyperlink>
      <w:r w:rsidRPr="00FB4EFA">
        <w:rPr>
          <w:rFonts w:eastAsia="Times New Roman" w:cs="Times New Roman"/>
          <w:szCs w:val="24"/>
          <w:lang w:val="en-US"/>
        </w:rPr>
        <w:t>. In Beáta Wagner-Nagy, Alexandre Arkhipov, Anne Ferger, Daniel Jettka &amp; Timm</w:t>
      </w:r>
      <w:r w:rsidR="002544DA" w:rsidRPr="00FB4EFA">
        <w:rPr>
          <w:rFonts w:eastAsia="Times New Roman" w:cs="Times New Roman"/>
          <w:szCs w:val="24"/>
          <w:lang w:val="en-US"/>
        </w:rPr>
        <w:t xml:space="preserve"> </w:t>
      </w:r>
      <w:r w:rsidRPr="00FB4EFA">
        <w:rPr>
          <w:rFonts w:eastAsia="Times New Roman" w:cs="Times New Roman"/>
          <w:szCs w:val="24"/>
          <w:lang w:val="en-US"/>
        </w:rPr>
        <w:t>Lehmberg</w:t>
      </w:r>
      <w:r w:rsidR="002544DA" w:rsidRPr="00FB4EFA">
        <w:rPr>
          <w:rFonts w:eastAsia="Times New Roman" w:cs="Times New Roman"/>
          <w:szCs w:val="24"/>
          <w:lang w:val="en-US"/>
        </w:rPr>
        <w:t xml:space="preserve"> </w:t>
      </w:r>
      <w:r w:rsidRPr="00FB4EFA">
        <w:rPr>
          <w:rFonts w:eastAsia="Times New Roman" w:cs="Times New Roman"/>
          <w:szCs w:val="24"/>
          <w:lang w:val="en-US"/>
        </w:rPr>
        <w:t xml:space="preserve">(eds.), </w:t>
      </w:r>
      <w:r w:rsidRPr="00FB4EFA">
        <w:rPr>
          <w:rFonts w:eastAsia="Times New Roman" w:cs="Times New Roman"/>
          <w:i/>
          <w:iCs/>
          <w:szCs w:val="24"/>
          <w:lang w:val="en-US"/>
        </w:rPr>
        <w:t>The INEL corpora of indigenous Northern Eurasian languages</w:t>
      </w:r>
      <w:r w:rsidRPr="00FB4EFA">
        <w:rPr>
          <w:rFonts w:eastAsia="Times New Roman" w:cs="Times New Roman"/>
          <w:szCs w:val="24"/>
          <w:lang w:val="en-US"/>
        </w:rPr>
        <w:t>.</w:t>
      </w:r>
    </w:p>
    <w:p w14:paraId="17BBD8EF" w14:textId="77777777"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Csepregi, Márta. 1998. </w:t>
      </w:r>
      <w:r w:rsidRPr="00FB4EFA">
        <w:rPr>
          <w:rFonts w:eastAsia="Times New Roman" w:cs="Times New Roman"/>
          <w:i/>
          <w:szCs w:val="24"/>
          <w:lang w:val="en-US"/>
        </w:rPr>
        <w:t>Szurguti osztják chrestomathia. Studia uralo-altaica Supplementum 6</w:t>
      </w:r>
      <w:r w:rsidRPr="00FB4EFA">
        <w:rPr>
          <w:rFonts w:eastAsia="Times New Roman" w:cs="Times New Roman"/>
          <w:szCs w:val="24"/>
          <w:lang w:val="en-US"/>
        </w:rPr>
        <w:t>. Szeged: University of Szeged.</w:t>
      </w:r>
    </w:p>
    <w:p w14:paraId="1C7DFEC6" w14:textId="30183031"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Csepregi, Márta. 2009. Egy obi-ugor igekötőpár – kognitív szempontból. In Éva Fancsaly (ed.)</w:t>
      </w:r>
      <w:r w:rsidR="001306CD" w:rsidRPr="00FB4EFA">
        <w:rPr>
          <w:rFonts w:eastAsia="Times New Roman" w:cs="Times New Roman"/>
          <w:szCs w:val="24"/>
          <w:lang w:val="en-US"/>
        </w:rPr>
        <w:t>,</w:t>
      </w:r>
      <w:r w:rsidRPr="00FB4EFA">
        <w:rPr>
          <w:rFonts w:eastAsia="Times New Roman" w:cs="Times New Roman"/>
          <w:szCs w:val="24"/>
          <w:lang w:val="en-US"/>
        </w:rPr>
        <w:t xml:space="preserve"> </w:t>
      </w:r>
      <w:r w:rsidRPr="00FB4EFA">
        <w:rPr>
          <w:rFonts w:eastAsia="Times New Roman" w:cs="Times New Roman"/>
          <w:i/>
          <w:szCs w:val="24"/>
          <w:lang w:val="en-US"/>
        </w:rPr>
        <w:t>Tanár és tanítvány. Írások Györke József és Hajdú Péter tiszteletére</w:t>
      </w:r>
      <w:r w:rsidR="00E963B8" w:rsidRPr="00FB4EFA">
        <w:rPr>
          <w:rFonts w:eastAsia="Times New Roman" w:cs="Times New Roman"/>
          <w:i/>
          <w:szCs w:val="24"/>
          <w:lang w:val="en-US"/>
        </w:rPr>
        <w:t xml:space="preserve"> 2002–2007</w:t>
      </w:r>
      <w:r w:rsidR="00E963B8" w:rsidRPr="00FB4EFA">
        <w:rPr>
          <w:rFonts w:eastAsia="Times New Roman" w:cs="Times New Roman"/>
          <w:iCs/>
          <w:szCs w:val="24"/>
          <w:lang w:val="en-US"/>
        </w:rPr>
        <w:t>,</w:t>
      </w:r>
      <w:r w:rsidR="00E963B8" w:rsidRPr="00FB4EFA">
        <w:rPr>
          <w:rFonts w:eastAsia="Times New Roman" w:cs="Times New Roman"/>
          <w:i/>
          <w:szCs w:val="24"/>
          <w:lang w:val="en-US"/>
        </w:rPr>
        <w:t xml:space="preserve"> </w:t>
      </w:r>
      <w:r w:rsidR="00E963B8" w:rsidRPr="00FB4EFA">
        <w:rPr>
          <w:rFonts w:eastAsia="Times New Roman" w:cs="Times New Roman"/>
          <w:szCs w:val="24"/>
          <w:lang w:val="en-US"/>
        </w:rPr>
        <w:t>146–156.</w:t>
      </w:r>
      <w:r w:rsidRPr="00FB4EFA">
        <w:rPr>
          <w:rFonts w:eastAsia="Times New Roman" w:cs="Times New Roman"/>
          <w:i/>
          <w:szCs w:val="24"/>
          <w:lang w:val="en-US"/>
        </w:rPr>
        <w:t xml:space="preserve"> </w:t>
      </w:r>
      <w:r w:rsidRPr="00FB4EFA">
        <w:rPr>
          <w:rFonts w:eastAsia="Times New Roman" w:cs="Times New Roman"/>
          <w:iCs/>
          <w:szCs w:val="24"/>
          <w:lang w:val="en-US"/>
        </w:rPr>
        <w:t>Studia Lingusitica</w:t>
      </w:r>
      <w:r w:rsidRPr="00FB4EFA">
        <w:rPr>
          <w:rFonts w:eastAsia="Times New Roman" w:cs="Times New Roman"/>
          <w:szCs w:val="24"/>
          <w:lang w:val="en-US"/>
        </w:rPr>
        <w:t>. Pécs: Dialóg Campus.</w:t>
      </w:r>
    </w:p>
    <w:p w14:paraId="28A3C361" w14:textId="323F015F"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DEWOS = </w:t>
      </w:r>
      <w:r w:rsidR="00054818" w:rsidRPr="00FB4EFA">
        <w:rPr>
          <w:rFonts w:eastAsia="Times New Roman" w:cs="Times New Roman"/>
          <w:szCs w:val="24"/>
          <w:lang w:val="en-US"/>
        </w:rPr>
        <w:t xml:space="preserve">Wolfgang </w:t>
      </w:r>
      <w:r w:rsidRPr="00FB4EFA">
        <w:rPr>
          <w:rFonts w:eastAsia="Times New Roman" w:cs="Times New Roman"/>
          <w:szCs w:val="24"/>
          <w:lang w:val="en-US"/>
        </w:rPr>
        <w:t xml:space="preserve">Steinitz. 1967–1993. </w:t>
      </w:r>
      <w:r w:rsidRPr="00FB4EFA">
        <w:rPr>
          <w:rFonts w:eastAsia="Times New Roman" w:cs="Times New Roman"/>
          <w:i/>
          <w:szCs w:val="24"/>
          <w:lang w:val="en-US"/>
        </w:rPr>
        <w:t>Dialektologisches und etymologisches Wörterbuch der ostjakischen Sprache</w:t>
      </w:r>
      <w:r w:rsidRPr="00FB4EFA">
        <w:rPr>
          <w:rFonts w:eastAsia="Times New Roman" w:cs="Times New Roman"/>
          <w:szCs w:val="24"/>
          <w:lang w:val="en-US"/>
        </w:rPr>
        <w:t>. 1–15. Lieferungen. Berlin: Akademie Verlag.</w:t>
      </w:r>
    </w:p>
    <w:p w14:paraId="2D8B24B9" w14:textId="46FDEA6F"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Erdélyi, István</w:t>
      </w:r>
      <w:r w:rsidR="002544DA" w:rsidRPr="00FB4EFA">
        <w:rPr>
          <w:rFonts w:eastAsia="Times New Roman" w:cs="Times New Roman"/>
          <w:szCs w:val="24"/>
          <w:lang w:val="en-US"/>
        </w:rPr>
        <w:t>.</w:t>
      </w:r>
      <w:r w:rsidRPr="00FB4EFA">
        <w:rPr>
          <w:rFonts w:eastAsia="Times New Roman" w:cs="Times New Roman"/>
          <w:szCs w:val="24"/>
          <w:lang w:val="en-US"/>
        </w:rPr>
        <w:t xml:space="preserve"> 1969. </w:t>
      </w:r>
      <w:r w:rsidRPr="00FB4EFA">
        <w:rPr>
          <w:rFonts w:eastAsia="Times New Roman" w:cs="Times New Roman"/>
          <w:i/>
          <w:szCs w:val="24"/>
          <w:lang w:val="en-US"/>
        </w:rPr>
        <w:t>Selkupisches Wörterverzeichnis. Tas-Dialekt.</w:t>
      </w:r>
      <w:r w:rsidRPr="00FB4EFA">
        <w:rPr>
          <w:rFonts w:eastAsia="Times New Roman" w:cs="Times New Roman"/>
          <w:szCs w:val="24"/>
          <w:lang w:val="en-US"/>
        </w:rPr>
        <w:t xml:space="preserve"> Budapest: Akadémiai Kiadó.</w:t>
      </w:r>
    </w:p>
    <w:p w14:paraId="4E0CA7CB" w14:textId="42AEE3A3"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Fortescue, Michael</w:t>
      </w:r>
      <w:r w:rsidR="002544DA" w:rsidRPr="00FB4EFA">
        <w:rPr>
          <w:rFonts w:eastAsia="Times New Roman" w:cs="Times New Roman"/>
          <w:szCs w:val="24"/>
          <w:lang w:val="en-US"/>
        </w:rPr>
        <w:t>.</w:t>
      </w:r>
      <w:r w:rsidRPr="00FB4EFA">
        <w:rPr>
          <w:rFonts w:eastAsia="Times New Roman" w:cs="Times New Roman"/>
          <w:szCs w:val="24"/>
          <w:lang w:val="en-US"/>
        </w:rPr>
        <w:t xml:space="preserve"> 2011. </w:t>
      </w:r>
      <w:r w:rsidRPr="00FB4EFA">
        <w:rPr>
          <w:rFonts w:eastAsia="Times New Roman" w:cs="Times New Roman"/>
          <w:i/>
          <w:szCs w:val="24"/>
          <w:lang w:val="en-US"/>
        </w:rPr>
        <w:t>Orientation systems of the North Pacific Rim</w:t>
      </w:r>
      <w:r w:rsidRPr="00FB4EFA">
        <w:rPr>
          <w:rFonts w:eastAsia="Times New Roman" w:cs="Times New Roman"/>
          <w:szCs w:val="24"/>
          <w:lang w:val="en-US"/>
        </w:rPr>
        <w:t>. Copenhagen: Museum Tusculanum Press.</w:t>
      </w:r>
    </w:p>
    <w:p w14:paraId="568E07BD" w14:textId="25FE4A8D" w:rsidR="005B26AB" w:rsidRPr="00FB4EFA" w:rsidRDefault="005B26AB" w:rsidP="00C17973">
      <w:pPr>
        <w:suppressAutoHyphens/>
        <w:spacing w:line="240" w:lineRule="auto"/>
        <w:ind w:left="426" w:hanging="426"/>
        <w:rPr>
          <w:lang w:val="en-US"/>
        </w:rPr>
      </w:pPr>
      <w:r w:rsidRPr="00FB4EFA">
        <w:rPr>
          <w:rFonts w:eastAsia="Times New Roman" w:cs="Times New Roman"/>
          <w:szCs w:val="24"/>
          <w:lang w:val="en-US"/>
        </w:rPr>
        <w:t>Honti, László</w:t>
      </w:r>
      <w:r w:rsidR="002544DA" w:rsidRPr="00FB4EFA">
        <w:rPr>
          <w:rFonts w:eastAsia="Times New Roman" w:cs="Times New Roman"/>
          <w:szCs w:val="24"/>
          <w:lang w:val="en-US"/>
        </w:rPr>
        <w:t>.</w:t>
      </w:r>
      <w:r w:rsidRPr="00FB4EFA">
        <w:rPr>
          <w:rFonts w:eastAsia="Times New Roman" w:cs="Times New Roman"/>
          <w:szCs w:val="24"/>
          <w:lang w:val="en-US"/>
        </w:rPr>
        <w:t xml:space="preserve"> 2006. Eräästä ugrilaisten kielten postpositioperäisestä kaasussuffiksien perheestä. </w:t>
      </w:r>
      <w:r w:rsidRPr="00FB4EFA">
        <w:rPr>
          <w:rFonts w:eastAsia="Times New Roman" w:cs="Times New Roman"/>
          <w:i/>
          <w:szCs w:val="24"/>
          <w:lang w:val="en-US"/>
        </w:rPr>
        <w:t>Journal de la Société Finno-Ougrienne</w:t>
      </w:r>
      <w:r w:rsidRPr="00FB4EFA">
        <w:rPr>
          <w:rFonts w:eastAsia="Times New Roman" w:cs="Times New Roman"/>
          <w:szCs w:val="24"/>
          <w:lang w:val="en-US"/>
        </w:rPr>
        <w:t xml:space="preserve"> 91. 81–91.</w:t>
      </w:r>
    </w:p>
    <w:p w14:paraId="21CBB434" w14:textId="2FED7368"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lastRenderedPageBreak/>
        <w:t xml:space="preserve">Ivanova, V.S. 2008. Obitateli Nizhnego mira v mirovozzrenii severnyx mansi. </w:t>
      </w:r>
      <w:r w:rsidRPr="00FB4EFA">
        <w:rPr>
          <w:rFonts w:eastAsia="Times New Roman" w:cs="Times New Roman"/>
          <w:i/>
          <w:szCs w:val="24"/>
          <w:lang w:val="en-US"/>
        </w:rPr>
        <w:t>Izvestiya PGPU im. Gercena. Aspirantskie tetradi. Nauchnyj zhurnal</w:t>
      </w:r>
      <w:r w:rsidRPr="00FB4EFA">
        <w:rPr>
          <w:rFonts w:eastAsia="Times New Roman" w:cs="Times New Roman"/>
          <w:szCs w:val="24"/>
          <w:lang w:val="en-US"/>
        </w:rPr>
        <w:t xml:space="preserve"> 23 (54). 75–79.</w:t>
      </w:r>
    </w:p>
    <w:p w14:paraId="1ECD00DD" w14:textId="57D214E2"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Ivanova, V.S. 2013. Rol’ leksem </w:t>
      </w:r>
      <w:r w:rsidRPr="00FB4EFA">
        <w:rPr>
          <w:rFonts w:eastAsia="Times New Roman" w:cs="Times New Roman"/>
          <w:i/>
          <w:szCs w:val="24"/>
          <w:lang w:val="en-US"/>
        </w:rPr>
        <w:t>паагле</w:t>
      </w:r>
      <w:r w:rsidRPr="00FB4EFA">
        <w:rPr>
          <w:rFonts w:eastAsia="Times New Roman" w:cs="Times New Roman"/>
          <w:szCs w:val="24"/>
          <w:lang w:val="en-US"/>
        </w:rPr>
        <w:t xml:space="preserve"> i </w:t>
      </w:r>
      <w:r w:rsidRPr="00FB4EFA">
        <w:rPr>
          <w:rFonts w:eastAsia="Times New Roman" w:cs="Times New Roman"/>
          <w:i/>
          <w:szCs w:val="24"/>
          <w:lang w:val="en-US"/>
        </w:rPr>
        <w:t>налваль</w:t>
      </w:r>
      <w:r w:rsidRPr="00FB4EFA">
        <w:rPr>
          <w:rFonts w:eastAsia="Times New Roman" w:cs="Times New Roman"/>
          <w:szCs w:val="24"/>
          <w:lang w:val="en-US"/>
        </w:rPr>
        <w:t xml:space="preserve"> v semantike mansijskogo jazyka. In </w:t>
      </w:r>
      <w:r w:rsidRPr="00FB4EFA">
        <w:rPr>
          <w:rFonts w:eastAsia="Times New Roman" w:cs="Times New Roman"/>
          <w:i/>
          <w:szCs w:val="24"/>
          <w:lang w:val="en-US"/>
        </w:rPr>
        <w:t>Korennye malochislennye narody Severa, Sibiri i Dal’nego Vostoka: tradicii I innovacii: materialy NPK XI Jugorskie Chtenija</w:t>
      </w:r>
      <w:r w:rsidR="006E06D0" w:rsidRPr="00FB4EFA">
        <w:rPr>
          <w:rFonts w:eastAsia="Times New Roman" w:cs="Times New Roman"/>
          <w:szCs w:val="24"/>
          <w:lang w:val="en-US"/>
        </w:rPr>
        <w:t>, 52–56.</w:t>
      </w:r>
      <w:r w:rsidRPr="00FB4EFA">
        <w:rPr>
          <w:rFonts w:eastAsia="Times New Roman" w:cs="Times New Roman"/>
          <w:szCs w:val="24"/>
          <w:lang w:val="en-US"/>
        </w:rPr>
        <w:t xml:space="preserve"> (20 December 2012, Khanty-Mansijsk</w:t>
      </w:r>
      <w:r w:rsidR="006E06D0" w:rsidRPr="00FB4EFA">
        <w:rPr>
          <w:rFonts w:eastAsia="Times New Roman" w:cs="Times New Roman"/>
          <w:szCs w:val="24"/>
          <w:lang w:val="en-US"/>
        </w:rPr>
        <w:t>.</w:t>
      </w:r>
      <w:r w:rsidRPr="00FB4EFA">
        <w:rPr>
          <w:rFonts w:eastAsia="Times New Roman" w:cs="Times New Roman"/>
          <w:szCs w:val="24"/>
          <w:lang w:val="en-US"/>
        </w:rPr>
        <w:t>) Khanty-Mansijsk: ООО “Tehnopolis”.</w:t>
      </w:r>
    </w:p>
    <w:p w14:paraId="39A6ED2F" w14:textId="77777777"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Kálmán, Béla. 1976. </w:t>
      </w:r>
      <w:r w:rsidRPr="00FB4EFA">
        <w:rPr>
          <w:rFonts w:eastAsia="Times New Roman" w:cs="Times New Roman"/>
          <w:i/>
          <w:szCs w:val="24"/>
          <w:lang w:val="en-US"/>
        </w:rPr>
        <w:t>Wogulische Texte mit einem Glossar</w:t>
      </w:r>
      <w:r w:rsidRPr="00FB4EFA">
        <w:rPr>
          <w:rFonts w:eastAsia="Times New Roman" w:cs="Times New Roman"/>
          <w:szCs w:val="24"/>
          <w:lang w:val="en-US"/>
        </w:rPr>
        <w:t>. Budapest: Akadémiai Kiadó.</w:t>
      </w:r>
    </w:p>
    <w:p w14:paraId="53E6082D" w14:textId="367964F0"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Kazakevich, O.A. &amp; E.M. Bud’anskaja 2010. </w:t>
      </w:r>
      <w:r w:rsidRPr="00FB4EFA">
        <w:rPr>
          <w:rFonts w:eastAsia="Times New Roman" w:cs="Times New Roman"/>
          <w:i/>
          <w:szCs w:val="24"/>
          <w:lang w:val="en-US"/>
        </w:rPr>
        <w:t>Dialektologicheski slovar’ sel’kupskogo jazyka (severnoe narechie)</w:t>
      </w:r>
      <w:r w:rsidRPr="00FB4EFA">
        <w:rPr>
          <w:rFonts w:eastAsia="Times New Roman" w:cs="Times New Roman"/>
          <w:szCs w:val="24"/>
          <w:lang w:val="en-US"/>
        </w:rPr>
        <w:t>. Yekaterinburg: Basko.</w:t>
      </w:r>
    </w:p>
    <w:p w14:paraId="3AD499F6" w14:textId="77777777"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Kuznetsova, Ariadna I., Eugene A. Helimski &amp; Elena V. Grushkina. 1980. </w:t>
      </w:r>
      <w:r w:rsidRPr="00FB4EFA">
        <w:rPr>
          <w:rFonts w:eastAsia="Times New Roman" w:cs="Times New Roman"/>
          <w:i/>
          <w:szCs w:val="24"/>
          <w:lang w:val="en-US"/>
        </w:rPr>
        <w:t xml:space="preserve">Ocherki po seľkupskomu jazyku. </w:t>
      </w:r>
      <w:r w:rsidRPr="00FB4EFA">
        <w:rPr>
          <w:rFonts w:eastAsia="Times New Roman" w:cs="Times New Roman"/>
          <w:szCs w:val="24"/>
          <w:lang w:val="en-US"/>
        </w:rPr>
        <w:t>Vol. 1. Moscow: Izdatel’stvo Moskovskogo Universiteta.</w:t>
      </w:r>
    </w:p>
    <w:p w14:paraId="092356A0" w14:textId="50C9CBB3" w:rsidR="005B26AB" w:rsidRPr="00FB4EFA" w:rsidRDefault="005B26AB" w:rsidP="00C17973">
      <w:pPr>
        <w:suppressAutoHyphens/>
        <w:spacing w:line="240" w:lineRule="auto"/>
        <w:ind w:left="426" w:hanging="426"/>
        <w:rPr>
          <w:lang w:val="en-US"/>
        </w:rPr>
      </w:pPr>
      <w:r w:rsidRPr="00FB4EFA">
        <w:rPr>
          <w:rFonts w:eastAsia="Times New Roman" w:cs="Times New Roman"/>
          <w:szCs w:val="24"/>
          <w:lang w:val="en-US"/>
        </w:rPr>
        <w:t xml:space="preserve">LS: </w:t>
      </w:r>
      <w:r w:rsidRPr="00FB4EFA">
        <w:rPr>
          <w:rFonts w:eastAsia="Times New Roman" w:cs="Times New Roman"/>
          <w:i/>
          <w:szCs w:val="24"/>
          <w:lang w:val="en-US"/>
        </w:rPr>
        <w:t>Lūimā Sēripos</w:t>
      </w:r>
      <w:r w:rsidRPr="00FB4EFA">
        <w:rPr>
          <w:rFonts w:eastAsia="Times New Roman" w:cs="Times New Roman"/>
          <w:szCs w:val="24"/>
          <w:lang w:val="en-US"/>
        </w:rPr>
        <w:t xml:space="preserve">. Mansi language newspaper. Khanty-Mansiysk. </w:t>
      </w:r>
      <w:hyperlink r:id="rId262" w:history="1">
        <w:r w:rsidR="00BB7053" w:rsidRPr="00FB4EFA">
          <w:rPr>
            <w:rStyle w:val="Hyperlink"/>
            <w:color w:val="auto"/>
          </w:rPr>
          <w:t>khanty-yasang.ru</w:t>
        </w:r>
      </w:hyperlink>
      <w:r w:rsidR="00BB7053" w:rsidRPr="00FB4EFA">
        <w:t>.</w:t>
      </w:r>
    </w:p>
    <w:p w14:paraId="2BBEECF3" w14:textId="77777777"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Munkácsi, Bernát &amp; Béla Kálmán. 1986. </w:t>
      </w:r>
      <w:r w:rsidRPr="00FB4EFA">
        <w:rPr>
          <w:rFonts w:eastAsia="Times New Roman" w:cs="Times New Roman"/>
          <w:i/>
          <w:szCs w:val="24"/>
          <w:lang w:val="en-US"/>
        </w:rPr>
        <w:t>Wogulisches Wörterbuch</w:t>
      </w:r>
      <w:r w:rsidRPr="00FB4EFA">
        <w:rPr>
          <w:rFonts w:eastAsia="Times New Roman" w:cs="Times New Roman"/>
          <w:szCs w:val="24"/>
          <w:lang w:val="en-US"/>
        </w:rPr>
        <w:t>. Budapest: Akadémiai Kiadó.</w:t>
      </w:r>
    </w:p>
    <w:p w14:paraId="5695024A" w14:textId="4C9655A0" w:rsidR="005B26AB" w:rsidRPr="00FB4EFA" w:rsidRDefault="005B26AB" w:rsidP="00C17973">
      <w:pPr>
        <w:suppressAutoHyphens/>
        <w:spacing w:line="240" w:lineRule="auto"/>
        <w:ind w:left="426" w:hanging="426"/>
        <w:rPr>
          <w:rFonts w:eastAsia="Times New Roman" w:cs="Charis SIL"/>
          <w:szCs w:val="24"/>
          <w:lang w:val="en-US"/>
        </w:rPr>
      </w:pPr>
      <w:r w:rsidRPr="00FB4EFA">
        <w:rPr>
          <w:rFonts w:eastAsia="Times New Roman" w:cs="Times New Roman"/>
          <w:szCs w:val="24"/>
          <w:lang w:val="en-US"/>
        </w:rPr>
        <w:t>Napolskih, Vladimir, Mihály Hoppál &amp; Anna-Liisa Siikala (eds.)</w:t>
      </w:r>
      <w:r w:rsidR="00265448" w:rsidRPr="00FB4EFA">
        <w:rPr>
          <w:rFonts w:eastAsia="Times New Roman" w:cs="Times New Roman"/>
          <w:szCs w:val="24"/>
          <w:lang w:val="en-US"/>
        </w:rPr>
        <w:t>,</w:t>
      </w:r>
      <w:r w:rsidRPr="00FB4EFA">
        <w:rPr>
          <w:rFonts w:eastAsia="Times New Roman" w:cs="Times New Roman"/>
          <w:szCs w:val="24"/>
          <w:lang w:val="en-US"/>
        </w:rPr>
        <w:t xml:space="preserve"> 2007. </w:t>
      </w:r>
      <w:r w:rsidRPr="00FB4EFA">
        <w:rPr>
          <w:rFonts w:eastAsia="Times New Roman" w:cs="Times New Roman"/>
          <w:i/>
          <w:szCs w:val="24"/>
          <w:lang w:val="en-US"/>
        </w:rPr>
        <w:t xml:space="preserve">Selkup </w:t>
      </w:r>
      <w:r w:rsidRPr="00FB4EFA">
        <w:rPr>
          <w:rFonts w:eastAsia="Times New Roman" w:cs="Charis SIL"/>
          <w:i/>
          <w:szCs w:val="24"/>
          <w:lang w:val="en-US"/>
        </w:rPr>
        <w:t>Mythology.</w:t>
      </w:r>
      <w:r w:rsidRPr="00FB4EFA">
        <w:rPr>
          <w:rFonts w:eastAsia="Times New Roman" w:cs="Charis SIL"/>
          <w:szCs w:val="24"/>
          <w:lang w:val="en-US"/>
        </w:rPr>
        <w:t xml:space="preserve"> Budapest &amp; Helsinki: Akadémiai Kiadó.</w:t>
      </w:r>
    </w:p>
    <w:p w14:paraId="2D85ACD2" w14:textId="4E226A25" w:rsidR="005B26AB" w:rsidRPr="00FB4EFA" w:rsidRDefault="005B26AB" w:rsidP="00C17973">
      <w:pPr>
        <w:suppressAutoHyphens/>
        <w:spacing w:line="240" w:lineRule="auto"/>
        <w:ind w:left="426" w:hanging="426"/>
        <w:rPr>
          <w:rFonts w:eastAsia="Times New Roman" w:cs="Charis SIL"/>
          <w:szCs w:val="24"/>
          <w:lang w:val="en-US"/>
        </w:rPr>
      </w:pPr>
      <w:r w:rsidRPr="00FB4EFA">
        <w:rPr>
          <w:rFonts w:eastAsia="Times New Roman" w:cs="Charis SIL"/>
          <w:szCs w:val="24"/>
          <w:lang w:val="en-US"/>
        </w:rPr>
        <w:t xml:space="preserve">Paasonen, Heikki &amp; Edit Vértes. 2001. </w:t>
      </w:r>
      <w:r w:rsidRPr="00FB4EFA">
        <w:rPr>
          <w:rFonts w:eastAsia="Times New Roman" w:cs="Charis SIL"/>
          <w:i/>
          <w:szCs w:val="24"/>
          <w:lang w:val="en-US"/>
        </w:rPr>
        <w:t>H. Paasonens surgutostjakische Textsammlungen am Jugan</w:t>
      </w:r>
      <w:r w:rsidRPr="00FB4EFA">
        <w:rPr>
          <w:rFonts w:eastAsia="Times New Roman" w:cs="Charis SIL"/>
          <w:szCs w:val="24"/>
          <w:lang w:val="en-US"/>
        </w:rPr>
        <w:t xml:space="preserve">. </w:t>
      </w:r>
      <w:r w:rsidRPr="00FB4EFA">
        <w:rPr>
          <w:rFonts w:eastAsia="Times New Roman" w:cs="Charis SIL"/>
          <w:lang w:val="en-US"/>
        </w:rPr>
        <w:t xml:space="preserve">Suomalais-Ugrilaisen Seuran Toimituksia </w:t>
      </w:r>
      <w:r w:rsidRPr="00FB4EFA">
        <w:rPr>
          <w:rFonts w:eastAsia="Times New Roman" w:cs="Charis SIL"/>
          <w:szCs w:val="24"/>
          <w:lang w:val="en-US"/>
        </w:rPr>
        <w:t>240. Helsinki: Suomalais-Ugrilainen Seura.</w:t>
      </w:r>
    </w:p>
    <w:p w14:paraId="7C43C941" w14:textId="36C44392" w:rsidR="005B26AB" w:rsidRPr="00FB4EFA" w:rsidRDefault="005B26AB" w:rsidP="00C17973">
      <w:pPr>
        <w:suppressAutoHyphens/>
        <w:spacing w:line="240" w:lineRule="auto"/>
        <w:ind w:left="426" w:hanging="426"/>
        <w:rPr>
          <w:rFonts w:eastAsia="Times New Roman" w:cs="Charis SIL"/>
          <w:szCs w:val="24"/>
          <w:lang w:val="en-US"/>
        </w:rPr>
      </w:pPr>
      <w:r w:rsidRPr="00FB4EFA">
        <w:rPr>
          <w:rFonts w:eastAsia="Times New Roman" w:cs="Charis SIL"/>
          <w:szCs w:val="24"/>
          <w:lang w:val="en-US"/>
        </w:rPr>
        <w:t xml:space="preserve">Pevnov, A.M. &amp; A. Ju. Urmanchieva. 2011. “Neordinarnaja izopolisemija v nekotoryх jazykaх severnoj Azii”. </w:t>
      </w:r>
      <w:r w:rsidRPr="00FB4EFA">
        <w:rPr>
          <w:rFonts w:eastAsia="Times New Roman" w:cs="Charis SIL"/>
          <w:i/>
          <w:szCs w:val="24"/>
          <w:lang w:val="en-US"/>
        </w:rPr>
        <w:t>Finnisch-Ugrische Mitteilungen</w:t>
      </w:r>
      <w:r w:rsidRPr="00FB4EFA">
        <w:rPr>
          <w:rFonts w:eastAsia="Times New Roman" w:cs="Charis SIL"/>
          <w:szCs w:val="24"/>
          <w:lang w:val="en-US"/>
        </w:rPr>
        <w:t xml:space="preserve"> 32/33. 519–556.</w:t>
      </w:r>
    </w:p>
    <w:p w14:paraId="4F8CC211" w14:textId="3431A995"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Charis SIL"/>
          <w:szCs w:val="24"/>
          <w:lang w:val="en-US"/>
        </w:rPr>
        <w:t>Prokofjev, G.N. 1937. Seľkupskij (ostjako</w:t>
      </w:r>
      <w:r w:rsidRPr="00FB4EFA">
        <w:rPr>
          <w:rFonts w:eastAsia="Times New Roman" w:cs="Times New Roman"/>
          <w:szCs w:val="24"/>
          <w:lang w:val="en-US"/>
        </w:rPr>
        <w:t>-samoedskij) jazyk. In</w:t>
      </w:r>
      <w:r w:rsidRPr="00FB4EFA">
        <w:rPr>
          <w:rFonts w:eastAsia="Times New Roman" w:cs="Times New Roman"/>
          <w:i/>
          <w:szCs w:val="24"/>
          <w:lang w:val="en-US"/>
        </w:rPr>
        <w:t xml:space="preserve"> Jazyki i pismennost’ narodov Severa </w:t>
      </w:r>
      <w:r w:rsidRPr="00FB4EFA">
        <w:rPr>
          <w:rFonts w:eastAsia="Times New Roman" w:cs="Times New Roman"/>
          <w:szCs w:val="24"/>
          <w:lang w:val="en-US"/>
        </w:rPr>
        <w:t>1. 91–124. Moskva – Leningrad: Uchpedgiz.</w:t>
      </w:r>
    </w:p>
    <w:p w14:paraId="65FDDEF7" w14:textId="518F656D"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Rombandeeva, E.I. &amp; E.A. Kuzakova. 1982. </w:t>
      </w:r>
      <w:r w:rsidRPr="00FB4EFA">
        <w:rPr>
          <w:rFonts w:eastAsia="Times New Roman" w:cs="Times New Roman"/>
          <w:i/>
          <w:szCs w:val="24"/>
          <w:lang w:val="en-US"/>
        </w:rPr>
        <w:t>Mansijsko-russkij i russko-mansijskij slovar’</w:t>
      </w:r>
      <w:r w:rsidRPr="00FB4EFA">
        <w:rPr>
          <w:rFonts w:eastAsia="Times New Roman" w:cs="Times New Roman"/>
          <w:szCs w:val="24"/>
          <w:lang w:val="en-US"/>
        </w:rPr>
        <w:t>. Leningrad: Prosveshenie.</w:t>
      </w:r>
    </w:p>
    <w:p w14:paraId="575F8CEF" w14:textId="2C6C5FE3"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Sokolova, Z.P. 1998. </w:t>
      </w:r>
      <w:r w:rsidRPr="00FB4EFA">
        <w:rPr>
          <w:rFonts w:eastAsia="Times New Roman" w:cs="Times New Roman"/>
          <w:i/>
          <w:szCs w:val="24"/>
          <w:lang w:val="en-US"/>
        </w:rPr>
        <w:t>Zhilische narodov Sibiri</w:t>
      </w:r>
      <w:r w:rsidRPr="00FB4EFA">
        <w:rPr>
          <w:rFonts w:eastAsia="Times New Roman" w:cs="Times New Roman"/>
          <w:szCs w:val="24"/>
          <w:lang w:val="en-US"/>
        </w:rPr>
        <w:t>. Moscow: IPA “Tri L”.</w:t>
      </w:r>
    </w:p>
    <w:p w14:paraId="07AE998D" w14:textId="77777777"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 xml:space="preserve">Steinitz, W. 1975. </w:t>
      </w:r>
      <w:r w:rsidRPr="00FB4EFA">
        <w:rPr>
          <w:rFonts w:eastAsia="Times New Roman" w:cs="Times New Roman"/>
          <w:i/>
          <w:iCs/>
          <w:szCs w:val="24"/>
          <w:lang w:val="en-US"/>
        </w:rPr>
        <w:t>Ostjakologische Arbeiten. Band I: Ostjakische Volksdichtung und Erzählungen aus zwei Dialekten. Texte</w:t>
      </w:r>
      <w:r w:rsidRPr="00FB4EFA">
        <w:rPr>
          <w:rFonts w:eastAsia="Times New Roman" w:cs="Times New Roman"/>
          <w:szCs w:val="24"/>
          <w:lang w:val="en-US"/>
        </w:rPr>
        <w:t>. Berlin: Akademie-Verlag.</w:t>
      </w:r>
    </w:p>
    <w:p w14:paraId="504558D7" w14:textId="60531BD6" w:rsidR="005B26AB" w:rsidRPr="00FB4EFA" w:rsidRDefault="005B26AB" w:rsidP="00C17973">
      <w:pPr>
        <w:suppressAutoHyphens/>
        <w:spacing w:line="240" w:lineRule="auto"/>
        <w:ind w:left="426" w:hanging="426"/>
        <w:rPr>
          <w:rFonts w:eastAsia="Times New Roman" w:cs="Times New Roman"/>
          <w:szCs w:val="24"/>
          <w:lang w:val="en-US"/>
        </w:rPr>
      </w:pPr>
      <w:r w:rsidRPr="00FB4EFA">
        <w:rPr>
          <w:rFonts w:eastAsia="Times New Roman" w:cs="Times New Roman"/>
          <w:szCs w:val="24"/>
          <w:lang w:val="en-US"/>
        </w:rPr>
        <w:t>Tuchkova, N.A. n.</w:t>
      </w:r>
      <w:r w:rsidR="00B530B7" w:rsidRPr="00FB4EFA">
        <w:rPr>
          <w:rFonts w:eastAsia="Times New Roman" w:cs="Times New Roman"/>
          <w:szCs w:val="24"/>
          <w:lang w:val="en-US"/>
        </w:rPr>
        <w:t>d.</w:t>
      </w:r>
      <w:r w:rsidRPr="00FB4EFA">
        <w:rPr>
          <w:rFonts w:eastAsia="Times New Roman" w:cs="Times New Roman"/>
          <w:szCs w:val="24"/>
          <w:lang w:val="en-US"/>
        </w:rPr>
        <w:t xml:space="preserve"> </w:t>
      </w:r>
      <w:r w:rsidRPr="00FB4EFA">
        <w:rPr>
          <w:rFonts w:eastAsia="Times New Roman" w:cs="Times New Roman"/>
          <w:i/>
          <w:szCs w:val="24"/>
          <w:lang w:val="en-US"/>
        </w:rPr>
        <w:t>Zhilischa juzhnyх seľkupov</w:t>
      </w:r>
      <w:r w:rsidRPr="00FB4EFA">
        <w:rPr>
          <w:rFonts w:eastAsia="Times New Roman" w:cs="Times New Roman"/>
          <w:szCs w:val="24"/>
          <w:lang w:val="en-US"/>
        </w:rPr>
        <w:t>. Tomsk. Manuscript.</w:t>
      </w:r>
    </w:p>
    <w:p w14:paraId="0F6E06CD" w14:textId="503395CD" w:rsidR="005B26AB" w:rsidRPr="00FB4EFA" w:rsidRDefault="005B26AB" w:rsidP="00C17973">
      <w:pPr>
        <w:suppressAutoHyphens/>
        <w:spacing w:line="240" w:lineRule="auto"/>
        <w:ind w:left="426" w:hanging="426"/>
        <w:rPr>
          <w:smallCaps/>
          <w:lang w:val="en-US"/>
        </w:rPr>
      </w:pPr>
      <w:r w:rsidRPr="00FB4EFA">
        <w:rPr>
          <w:rFonts w:eastAsia="Times New Roman" w:cs="Times New Roman"/>
          <w:szCs w:val="24"/>
          <w:lang w:val="en-US"/>
        </w:rPr>
        <w:t xml:space="preserve">Tuchkova, N.A. 2012. Poselenija i zhilischa. In N.А. Тuchkova, S.V. Glushkov, Е.Ju. Kosheleva, А.V. Golovnev, А.V. Bajdak &amp; N.P. Maksimova (eds.), </w:t>
      </w:r>
      <w:r w:rsidRPr="00FB4EFA">
        <w:rPr>
          <w:rFonts w:eastAsia="Times New Roman" w:cs="Times New Roman"/>
          <w:i/>
          <w:szCs w:val="24"/>
          <w:lang w:val="en-US"/>
        </w:rPr>
        <w:t>Seľkupy. Ocherki tradicionnoj kuľtury seľkupskogo jazyka</w:t>
      </w:r>
      <w:r w:rsidR="006E06D0" w:rsidRPr="00FB4EFA">
        <w:rPr>
          <w:rFonts w:eastAsia="Times New Roman" w:cs="Times New Roman"/>
          <w:iCs/>
          <w:szCs w:val="24"/>
          <w:lang w:val="en-US"/>
        </w:rPr>
        <w:t>,</w:t>
      </w:r>
      <w:r w:rsidR="006E06D0" w:rsidRPr="00FB4EFA">
        <w:rPr>
          <w:rFonts w:eastAsia="Times New Roman" w:cs="Times New Roman"/>
          <w:i/>
          <w:szCs w:val="24"/>
          <w:lang w:val="en-US"/>
        </w:rPr>
        <w:t xml:space="preserve"> </w:t>
      </w:r>
      <w:r w:rsidR="006E06D0" w:rsidRPr="00FB4EFA">
        <w:rPr>
          <w:rFonts w:eastAsia="Times New Roman" w:cs="Times New Roman"/>
          <w:szCs w:val="24"/>
          <w:lang w:val="en-US"/>
        </w:rPr>
        <w:t>117–152.</w:t>
      </w:r>
      <w:r w:rsidRPr="00FB4EFA">
        <w:rPr>
          <w:rFonts w:eastAsia="Times New Roman" w:cs="Times New Roman"/>
          <w:szCs w:val="24"/>
          <w:lang w:val="en-US"/>
        </w:rPr>
        <w:t xml:space="preserve"> Тomsk: Izdatel’stvo Тomskogo politeхnicheskogo universiteta.</w:t>
      </w:r>
    </w:p>
    <w:p w14:paraId="2DD2DF1C" w14:textId="77777777" w:rsidR="00A96E85" w:rsidRPr="00FB4EFA" w:rsidRDefault="00A96E85" w:rsidP="00402EF4">
      <w:pPr>
        <w:spacing w:after="160"/>
        <w:jc w:val="center"/>
        <w:rPr>
          <w:smallCaps/>
          <w:sz w:val="48"/>
          <w:szCs w:val="48"/>
        </w:rPr>
        <w:sectPr w:rsidR="00A96E85" w:rsidRPr="00FB4EFA" w:rsidSect="00810763">
          <w:headerReference w:type="even" r:id="rId263"/>
          <w:headerReference w:type="default" r:id="rId264"/>
          <w:headerReference w:type="first" r:id="rId265"/>
          <w:footnotePr>
            <w:numRestart w:val="eachSect"/>
          </w:footnotePr>
          <w:type w:val="continuous"/>
          <w:pgSz w:w="9180" w:h="13302"/>
          <w:pgMar w:top="779" w:right="1133" w:bottom="1132" w:left="1133" w:header="744" w:footer="720" w:gutter="0"/>
          <w:cols w:space="720"/>
          <w:docGrid w:linePitch="299"/>
        </w:sectPr>
      </w:pPr>
    </w:p>
    <w:p w14:paraId="3B44E850" w14:textId="77777777" w:rsidR="007662D7" w:rsidRPr="00FB4EFA" w:rsidRDefault="007662D7" w:rsidP="00AF0CAD">
      <w:pPr>
        <w:pStyle w:val="Authors"/>
        <w:spacing w:line="259" w:lineRule="auto"/>
        <w:rPr>
          <w:color w:val="auto"/>
          <w:lang w:val="de-AT"/>
        </w:rPr>
        <w:sectPr w:rsidR="007662D7" w:rsidRPr="00FB4EFA" w:rsidSect="004053DF">
          <w:headerReference w:type="even" r:id="rId266"/>
          <w:headerReference w:type="default" r:id="rId267"/>
          <w:headerReference w:type="first" r:id="rId268"/>
          <w:footnotePr>
            <w:numRestart w:val="eachSect"/>
          </w:footnotePr>
          <w:type w:val="continuous"/>
          <w:pgSz w:w="9180" w:h="13302"/>
          <w:pgMar w:top="779" w:right="1133" w:bottom="1132" w:left="1133" w:header="744" w:footer="720" w:gutter="0"/>
          <w:cols w:space="720"/>
          <w:titlePg/>
        </w:sectPr>
      </w:pPr>
    </w:p>
    <w:p w14:paraId="0DC5F769" w14:textId="77777777" w:rsidR="00A96E85" w:rsidRPr="00FB4EFA" w:rsidRDefault="00A96E85" w:rsidP="00AF0CAD">
      <w:pPr>
        <w:pStyle w:val="Authors"/>
        <w:spacing w:line="259" w:lineRule="auto"/>
        <w:rPr>
          <w:color w:val="auto"/>
          <w:lang w:val="de-AT"/>
        </w:rPr>
      </w:pPr>
      <w:r w:rsidRPr="00FB4EFA">
        <w:rPr>
          <w:color w:val="auto"/>
          <w:lang w:val="de-AT"/>
        </w:rPr>
        <w:lastRenderedPageBreak/>
        <w:t>Tamás Forgács</w:t>
      </w:r>
    </w:p>
    <w:p w14:paraId="7EB1407F" w14:textId="77777777" w:rsidR="00A96E85" w:rsidRPr="00FB4EFA" w:rsidRDefault="00A96E85" w:rsidP="00402EF4"/>
    <w:p w14:paraId="710441AB" w14:textId="77777777" w:rsidR="00A96E85" w:rsidRPr="00FB4EFA" w:rsidRDefault="00A96E85" w:rsidP="00994E2A">
      <w:pPr>
        <w:pStyle w:val="Heading1"/>
        <w:suppressAutoHyphens/>
        <w:spacing w:line="259" w:lineRule="auto"/>
        <w:ind w:right="74"/>
        <w:rPr>
          <w:color w:val="auto"/>
          <w:lang w:val="de-AT"/>
        </w:rPr>
      </w:pPr>
      <w:bookmarkStart w:id="50" w:name="_Toc87547006"/>
      <w:bookmarkStart w:id="51" w:name="_Ref90999319"/>
      <w:bookmarkEnd w:id="47"/>
      <w:r w:rsidRPr="00FB4EFA">
        <w:rPr>
          <w:color w:val="auto"/>
          <w:lang w:val="de-AT"/>
        </w:rPr>
        <w:t>Lexikologische Ursachen für Rückgang und Schwund von phraseologischen Einheiten</w:t>
      </w:r>
      <w:bookmarkEnd w:id="50"/>
      <w:bookmarkEnd w:id="51"/>
    </w:p>
    <w:bookmarkEnd w:id="48"/>
    <w:p w14:paraId="25A84751" w14:textId="3C84BA90" w:rsidR="00CB6469" w:rsidRPr="00FB4EFA" w:rsidRDefault="00CB6469" w:rsidP="00402EF4">
      <w:r w:rsidRPr="00FB4EFA">
        <w:rPr>
          <w:lang w:val="de-DE"/>
        </w:rPr>
        <w:t>Historische Aspekte der Phraseologie (z.</w:t>
      </w:r>
      <w:r w:rsidR="0030017E" w:rsidRPr="00FB4EFA">
        <w:rPr>
          <w:lang w:val="de-DE"/>
        </w:rPr>
        <w:t> </w:t>
      </w:r>
      <w:r w:rsidRPr="00FB4EFA">
        <w:rPr>
          <w:lang w:val="de-DE"/>
        </w:rPr>
        <w:t xml:space="preserve">B. Entstehung, Wandel oder Schwund von phraseologischen Einheiten) sind relativ wenig erforscht. Die Ursachen dafür rühren von mehreren Seiten her: </w:t>
      </w:r>
      <w:r w:rsidR="00E03986" w:rsidRPr="00FB4EFA">
        <w:rPr>
          <w:lang w:val="de-DE"/>
        </w:rPr>
        <w:t>D</w:t>
      </w:r>
      <w:r w:rsidRPr="00FB4EFA">
        <w:rPr>
          <w:lang w:val="de-DE"/>
        </w:rPr>
        <w:t>ie historische Sprachwissenschaft hat zwar den phonologischen und semantischen Wandel von Lexemen ziemlich gründlich erforscht, aber kaum Interesse für den Wandel von phraseologischen Wendungen gezeigt. Es wurde höchstens nach dem metaphorischen bzw. metonymischen Hintergrund dieser Wendungen geforscht,</w:t>
      </w:r>
      <w:r w:rsidR="000121EA" w:rsidRPr="00FB4EFA">
        <w:rPr>
          <w:lang w:val="de-DE"/>
        </w:rPr>
        <w:t xml:space="preserve"> </w:t>
      </w:r>
      <w:r w:rsidRPr="00FB4EFA">
        <w:rPr>
          <w:lang w:val="de-DE"/>
        </w:rPr>
        <w:t xml:space="preserve">meistens jedoch nur von Folkloristen und Kulturhistorikern. Aber auch die – im 20. Jahrhundert wesentlich erstarkte – Phraseologie zeigte wenig Interesse an der Beschreibung des historischen Wandels von Phrasemen. So sind in der phraseologischen Forschung in den letzten Jahrzehnten Stimmen lauter geworden, die sich eine verstärkte Zuwendung zu sprachhistorischen Fragen der Phraseologie gewünscht haben (vgl. </w:t>
      </w:r>
      <w:r w:rsidR="0030017E" w:rsidRPr="00FB4EFA">
        <w:rPr>
          <w:lang w:val="de-DE"/>
        </w:rPr>
        <w:t>z. B.</w:t>
      </w:r>
      <w:r w:rsidRPr="00FB4EFA">
        <w:rPr>
          <w:lang w:val="de-DE"/>
        </w:rPr>
        <w:t xml:space="preserve"> Burger 1977, Hadrovics 1992, Filatkina 2007, Mokienko 2002). In Forgács 2021 habe ich mich mit der Problematik der historischen Phraseologie detailliert beschäftigt und möchte im vorliegenden Beitrag auch einen historischen Aspekt, nämlich den Rückgang bzw. Schwund von Phraseologismen untersuchen.</w:t>
      </w:r>
    </w:p>
    <w:p w14:paraId="43C4C053" w14:textId="569EB26C" w:rsidR="00CB6469" w:rsidRPr="00FB4EFA" w:rsidRDefault="00CB6469" w:rsidP="00402EF4">
      <w:pPr>
        <w:ind w:firstLine="709"/>
      </w:pPr>
      <w:r w:rsidRPr="00FB4EFA">
        <w:rPr>
          <w:lang w:val="de-DE"/>
        </w:rPr>
        <w:t xml:space="preserve">Der Schwund von Phraseologismen kann unterschiedliche Ursachen haben, an dieser Stelle möchte ich diejenigen (intra)linguistischen bzw. lexikologischen Aspekte unter die Lupe nehmen, die im Sprachgebrauch selbst verwurzelt sind. Extralinguistische Aspekte, wie </w:t>
      </w:r>
      <w:r w:rsidR="0030017E" w:rsidRPr="00FB4EFA">
        <w:rPr>
          <w:lang w:val="de-DE"/>
        </w:rPr>
        <w:t>z. B.</w:t>
      </w:r>
      <w:r w:rsidRPr="00FB4EFA">
        <w:rPr>
          <w:lang w:val="de-DE"/>
        </w:rPr>
        <w:t xml:space="preserve"> der Schwund von alten Bräuchen oder gewissen Realien, werden in diesem Artikel nur begrenzt berücksichtigt.</w:t>
      </w:r>
      <w:bookmarkStart w:id="52" w:name="_Toc60253037"/>
    </w:p>
    <w:p w14:paraId="6E12F815" w14:textId="579C91E5" w:rsidR="00CB6469" w:rsidRPr="00FB4EFA" w:rsidRDefault="00CB6469" w:rsidP="00AC1192">
      <w:pPr>
        <w:pStyle w:val="Heading2"/>
        <w:numPr>
          <w:ilvl w:val="0"/>
          <w:numId w:val="27"/>
        </w:numPr>
        <w:suppressAutoHyphens/>
        <w:spacing w:line="259" w:lineRule="auto"/>
        <w:rPr>
          <w:b/>
          <w:color w:val="auto"/>
          <w:lang w:val="de-DE"/>
        </w:rPr>
      </w:pPr>
      <w:r w:rsidRPr="00FB4EFA">
        <w:rPr>
          <w:color w:val="auto"/>
        </w:rPr>
        <w:t>Univer</w:t>
      </w:r>
      <w:bookmarkEnd w:id="52"/>
      <w:r w:rsidRPr="00FB4EFA">
        <w:rPr>
          <w:color w:val="auto"/>
        </w:rPr>
        <w:t>bierung</w:t>
      </w:r>
    </w:p>
    <w:p w14:paraId="68C425DA" w14:textId="77777777" w:rsidR="00CB6469" w:rsidRPr="00FB4EFA" w:rsidRDefault="00CB6469" w:rsidP="00402EF4">
      <w:pPr>
        <w:rPr>
          <w:lang w:val="de-DE"/>
        </w:rPr>
      </w:pPr>
      <w:r w:rsidRPr="00FB4EFA">
        <w:rPr>
          <w:lang w:val="de-DE"/>
        </w:rPr>
        <w:t>Im Falle der Univerbierung schmelzen phraseologische Einheiten zu einem Wort zusammen. Dadurch verschwinden sie also nur aus dem phraseologischen System einer Sprache, bleiben aber im Wortschatz erhalten.</w:t>
      </w:r>
    </w:p>
    <w:p w14:paraId="47ED0F83" w14:textId="640AAC04" w:rsidR="00CB6469" w:rsidRPr="00FB4EFA" w:rsidRDefault="00CB6469" w:rsidP="004E44CC">
      <w:pPr>
        <w:ind w:firstLine="709"/>
      </w:pPr>
      <w:r w:rsidRPr="00FB4EFA">
        <w:rPr>
          <w:lang w:val="de-DE"/>
        </w:rPr>
        <w:lastRenderedPageBreak/>
        <w:t>Laut Jesko (2007: 1102) tritt Univerbierung besonders h</w:t>
      </w:r>
      <w:r w:rsidRPr="00FB4EFA">
        <w:rPr>
          <w:rFonts w:cs="Baskerville Old Face"/>
          <w:lang w:val="de-DE"/>
        </w:rPr>
        <w:t>ä</w:t>
      </w:r>
      <w:r w:rsidRPr="00FB4EFA">
        <w:rPr>
          <w:lang w:val="de-DE"/>
        </w:rPr>
        <w:t xml:space="preserve">ufig bei synsemantischen Phrasemen und Kollokationen auf. Hierher gehören vor allem die in der phraseologischen </w:t>
      </w:r>
      <w:r w:rsidRPr="00FB4EFA">
        <w:rPr>
          <w:rFonts w:eastAsia="Times New Roman" w:cs="Times New Roman"/>
          <w:lang w:val="de-DE" w:eastAsia="hu-HU"/>
        </w:rPr>
        <w:t xml:space="preserve">Literatur (vgl. </w:t>
      </w:r>
      <w:r w:rsidR="0030017E" w:rsidRPr="00FB4EFA">
        <w:rPr>
          <w:rFonts w:eastAsia="Times New Roman" w:cs="Times New Roman"/>
          <w:lang w:val="de-DE" w:eastAsia="hu-HU"/>
        </w:rPr>
        <w:t>z. B.</w:t>
      </w:r>
      <w:r w:rsidRPr="00FB4EFA">
        <w:rPr>
          <w:rFonts w:eastAsia="Times New Roman" w:cs="Times New Roman"/>
          <w:lang w:val="de-DE" w:eastAsia="hu-HU"/>
        </w:rPr>
        <w:t xml:space="preserve"> Burger 1988: 41) </w:t>
      </w:r>
      <w:r w:rsidRPr="00FB4EFA">
        <w:rPr>
          <w:rFonts w:eastAsia="Times New Roman" w:cs="Times New Roman"/>
          <w:i/>
          <w:lang w:val="de-DE" w:eastAsia="hu-HU"/>
        </w:rPr>
        <w:t>strukturelle Phraseologismen</w:t>
      </w:r>
      <w:r w:rsidRPr="00FB4EFA">
        <w:rPr>
          <w:rFonts w:eastAsia="Times New Roman" w:cs="Times New Roman"/>
          <w:lang w:val="de-DE" w:eastAsia="hu-HU"/>
        </w:rPr>
        <w:t xml:space="preserve"> genannten Einheiten, die meistens die Funktion einer Präposition (</w:t>
      </w:r>
      <w:r w:rsidRPr="00FB4EFA">
        <w:rPr>
          <w:rFonts w:eastAsia="Times New Roman" w:cs="Times New Roman"/>
          <w:i/>
          <w:lang w:val="de-DE" w:eastAsia="hu-HU"/>
        </w:rPr>
        <w:t>im Laufe, an Hand</w:t>
      </w:r>
      <w:r w:rsidRPr="00FB4EFA">
        <w:rPr>
          <w:rFonts w:eastAsia="Times New Roman" w:cs="Times New Roman"/>
          <w:lang w:val="de-DE" w:eastAsia="hu-HU"/>
        </w:rPr>
        <w:t>) oder Konjunktion (</w:t>
      </w:r>
      <w:r w:rsidRPr="00FB4EFA">
        <w:rPr>
          <w:rFonts w:eastAsia="Times New Roman" w:cs="Times New Roman"/>
          <w:i/>
          <w:lang w:val="de-DE" w:eastAsia="hu-HU"/>
        </w:rPr>
        <w:t>wenn auch, um zu</w:t>
      </w:r>
      <w:r w:rsidRPr="00FB4EFA">
        <w:rPr>
          <w:rFonts w:eastAsia="Times New Roman" w:cs="Times New Roman"/>
          <w:lang w:val="de-DE" w:eastAsia="hu-HU"/>
        </w:rPr>
        <w:t xml:space="preserve">) haben. Unter diesen befinden sich auch solche Formationen, </w:t>
      </w:r>
      <w:r w:rsidRPr="00FB4EFA">
        <w:rPr>
          <w:lang w:val="de-DE"/>
        </w:rPr>
        <w:t xml:space="preserve">die früher aus mehreren Komponenten bestanden, heute aber schon verdunkelte Komposita sind, </w:t>
      </w:r>
      <w:r w:rsidR="0030017E" w:rsidRPr="00FB4EFA">
        <w:rPr>
          <w:lang w:val="de-DE"/>
        </w:rPr>
        <w:t>z. B.</w:t>
      </w:r>
      <w:r w:rsidRPr="00FB4EFA">
        <w:rPr>
          <w:lang w:val="de-DE"/>
        </w:rPr>
        <w:t xml:space="preserve"> dt. </w:t>
      </w:r>
      <w:r w:rsidRPr="00FB4EFA">
        <w:rPr>
          <w:i/>
          <w:lang w:val="de-DE"/>
        </w:rPr>
        <w:t xml:space="preserve">sît her </w:t>
      </w:r>
      <w:r w:rsidRPr="00FB4EFA">
        <w:rPr>
          <w:lang w:val="de-DE"/>
        </w:rPr>
        <w:t xml:space="preserve">→ </w:t>
      </w:r>
      <w:r w:rsidRPr="00FB4EFA">
        <w:rPr>
          <w:i/>
          <w:lang w:val="de-DE"/>
        </w:rPr>
        <w:t>seither</w:t>
      </w:r>
      <w:r w:rsidRPr="00FB4EFA">
        <w:rPr>
          <w:lang w:val="de-DE"/>
        </w:rPr>
        <w:t xml:space="preserve">, </w:t>
      </w:r>
      <w:r w:rsidRPr="00FB4EFA">
        <w:rPr>
          <w:i/>
          <w:lang w:val="de-DE"/>
        </w:rPr>
        <w:t>under des/diu</w:t>
      </w:r>
      <w:r w:rsidRPr="00FB4EFA">
        <w:rPr>
          <w:lang w:val="de-DE"/>
        </w:rPr>
        <w:t xml:space="preserve"> → </w:t>
      </w:r>
      <w:r w:rsidR="004E44CC" w:rsidRPr="00FB4EFA">
        <w:rPr>
          <w:lang w:val="de-DE"/>
        </w:rPr>
        <w:br/>
      </w:r>
      <w:r w:rsidRPr="00FB4EFA">
        <w:rPr>
          <w:i/>
          <w:lang w:val="de-DE"/>
        </w:rPr>
        <w:t>unterdessen</w:t>
      </w:r>
      <w:r w:rsidRPr="00FB4EFA">
        <w:rPr>
          <w:lang w:val="de-DE"/>
        </w:rPr>
        <w:t xml:space="preserve">, </w:t>
      </w:r>
      <w:r w:rsidRPr="00FB4EFA">
        <w:rPr>
          <w:i/>
          <w:lang w:val="de-DE"/>
        </w:rPr>
        <w:t>war umbe</w:t>
      </w:r>
      <w:r w:rsidRPr="00FB4EFA">
        <w:rPr>
          <w:lang w:val="de-DE"/>
        </w:rPr>
        <w:t xml:space="preserve"> → </w:t>
      </w:r>
      <w:r w:rsidRPr="00FB4EFA">
        <w:rPr>
          <w:i/>
          <w:lang w:val="de-DE"/>
        </w:rPr>
        <w:t>warum</w:t>
      </w:r>
      <w:r w:rsidRPr="00FB4EFA">
        <w:rPr>
          <w:lang w:val="de-DE"/>
        </w:rPr>
        <w:t xml:space="preserve">, </w:t>
      </w:r>
      <w:r w:rsidRPr="00FB4EFA">
        <w:rPr>
          <w:i/>
          <w:lang w:val="de-DE"/>
        </w:rPr>
        <w:t>in eban</w:t>
      </w:r>
      <w:r w:rsidRPr="00FB4EFA">
        <w:rPr>
          <w:lang w:val="de-DE"/>
        </w:rPr>
        <w:t xml:space="preserve"> → </w:t>
      </w:r>
      <w:r w:rsidRPr="00FB4EFA">
        <w:rPr>
          <w:i/>
          <w:lang w:val="de-DE"/>
        </w:rPr>
        <w:t xml:space="preserve">neben </w:t>
      </w:r>
      <w:r w:rsidRPr="00FB4EFA">
        <w:rPr>
          <w:lang w:val="de-DE"/>
        </w:rPr>
        <w:t xml:space="preserve">usw. Aber auch jene univerbierten Formen gehören hierher, die durch die 1996 eingeführte deutsche Rechtschreibreform geschaffen wurden, wie </w:t>
      </w:r>
      <w:r w:rsidRPr="00FB4EFA">
        <w:rPr>
          <w:i/>
          <w:lang w:val="de-DE"/>
        </w:rPr>
        <w:t>zurzeit,</w:t>
      </w:r>
      <w:r w:rsidRPr="00FB4EFA">
        <w:rPr>
          <w:lang w:val="de-DE"/>
        </w:rPr>
        <w:t xml:space="preserve"> </w:t>
      </w:r>
      <w:r w:rsidRPr="00FB4EFA">
        <w:rPr>
          <w:i/>
          <w:lang w:val="de-DE"/>
        </w:rPr>
        <w:t xml:space="preserve">sodass, </w:t>
      </w:r>
      <w:r w:rsidRPr="00FB4EFA">
        <w:rPr>
          <w:lang w:val="de-DE"/>
        </w:rPr>
        <w:t>obwohl die Regelung bei letzteren flexibel ist und auch die Getrenntschreibung zulässt (</w:t>
      </w:r>
      <w:r w:rsidRPr="00FB4EFA">
        <w:rPr>
          <w:i/>
          <w:lang w:val="de-DE"/>
        </w:rPr>
        <w:t>zur Zeit, so dass</w:t>
      </w:r>
      <w:r w:rsidRPr="00FB4EFA">
        <w:rPr>
          <w:lang w:val="de-DE"/>
        </w:rPr>
        <w:t>).</w:t>
      </w:r>
    </w:p>
    <w:p w14:paraId="6C78DCF8" w14:textId="52D30F6A" w:rsidR="00CB6469" w:rsidRPr="00FB4EFA" w:rsidRDefault="00CB6469" w:rsidP="004E44CC">
      <w:pPr>
        <w:ind w:firstLine="709"/>
      </w:pPr>
      <w:r w:rsidRPr="00FB4EFA">
        <w:rPr>
          <w:caps/>
          <w:lang w:val="de-DE"/>
        </w:rPr>
        <w:t>Ä</w:t>
      </w:r>
      <w:r w:rsidRPr="00FB4EFA">
        <w:rPr>
          <w:lang w:val="de-DE"/>
        </w:rPr>
        <w:t xml:space="preserve">hnliche Beispiele im Ungarischen wären solche – von ihrer Etymologie her zusammengesetzte – Konjunktionen, wie </w:t>
      </w:r>
      <w:r w:rsidRPr="00FB4EFA">
        <w:rPr>
          <w:i/>
          <w:lang w:val="de-DE"/>
        </w:rPr>
        <w:t>holott</w:t>
      </w:r>
      <w:r w:rsidRPr="00FB4EFA">
        <w:rPr>
          <w:lang w:val="de-DE"/>
        </w:rPr>
        <w:t xml:space="preserve"> </w:t>
      </w:r>
      <w:r w:rsidR="006057AB" w:rsidRPr="00FB4EFA">
        <w:rPr>
          <w:lang w:val="de-DE"/>
        </w:rPr>
        <w:t>‘</w:t>
      </w:r>
      <w:r w:rsidRPr="00FB4EFA">
        <w:rPr>
          <w:lang w:val="de-DE"/>
        </w:rPr>
        <w:t>obwohl</w:t>
      </w:r>
      <w:r w:rsidR="006057AB" w:rsidRPr="00FB4EFA">
        <w:rPr>
          <w:lang w:val="de-DE"/>
        </w:rPr>
        <w:t>’</w:t>
      </w:r>
      <w:r w:rsidRPr="00FB4EFA">
        <w:rPr>
          <w:lang w:val="de-DE"/>
        </w:rPr>
        <w:t xml:space="preserve"> (urspr</w:t>
      </w:r>
      <w:r w:rsidRPr="00FB4EFA">
        <w:rPr>
          <w:rFonts w:cs="Baskerville Old Face"/>
          <w:lang w:val="de-DE"/>
        </w:rPr>
        <w:t>ü</w:t>
      </w:r>
      <w:r w:rsidRPr="00FB4EFA">
        <w:rPr>
          <w:lang w:val="de-DE"/>
        </w:rPr>
        <w:t xml:space="preserve">nglich Lokaladverb aus </w:t>
      </w:r>
      <w:r w:rsidRPr="00FB4EFA">
        <w:rPr>
          <w:i/>
          <w:lang w:val="de-DE"/>
        </w:rPr>
        <w:t>hol + ott</w:t>
      </w:r>
      <w:r w:rsidRPr="00FB4EFA">
        <w:rPr>
          <w:lang w:val="de-DE"/>
        </w:rPr>
        <w:t xml:space="preserve"> </w:t>
      </w:r>
      <w:r w:rsidR="006057AB" w:rsidRPr="00FB4EFA">
        <w:rPr>
          <w:lang w:val="de-DE"/>
        </w:rPr>
        <w:t>‘</w:t>
      </w:r>
      <w:r w:rsidRPr="00FB4EFA">
        <w:rPr>
          <w:lang w:val="de-DE"/>
        </w:rPr>
        <w:t>wo + dort</w:t>
      </w:r>
      <w:r w:rsidR="006057AB" w:rsidRPr="00FB4EFA">
        <w:rPr>
          <w:lang w:val="de-DE"/>
        </w:rPr>
        <w:t>’</w:t>
      </w:r>
      <w:r w:rsidRPr="00FB4EFA">
        <w:rPr>
          <w:lang w:val="de-DE"/>
        </w:rPr>
        <w:t>, sp</w:t>
      </w:r>
      <w:r w:rsidRPr="00FB4EFA">
        <w:rPr>
          <w:rFonts w:cs="Baskerville Old Face"/>
          <w:lang w:val="de-DE"/>
        </w:rPr>
        <w:t>ä</w:t>
      </w:r>
      <w:r w:rsidRPr="00FB4EFA">
        <w:rPr>
          <w:lang w:val="de-DE"/>
        </w:rPr>
        <w:t xml:space="preserve">ter Temporaladverb, heute Konjunktion mit konzessiver Bedeutung), </w:t>
      </w:r>
      <w:r w:rsidRPr="00FB4EFA">
        <w:rPr>
          <w:i/>
          <w:lang w:val="de-DE"/>
        </w:rPr>
        <w:t>noha</w:t>
      </w:r>
      <w:r w:rsidRPr="00FB4EFA">
        <w:rPr>
          <w:lang w:val="de-DE"/>
        </w:rPr>
        <w:t xml:space="preserve"> </w:t>
      </w:r>
      <w:r w:rsidR="006057AB" w:rsidRPr="00FB4EFA">
        <w:rPr>
          <w:lang w:val="de-DE"/>
        </w:rPr>
        <w:t>‘</w:t>
      </w:r>
      <w:r w:rsidRPr="00FB4EFA">
        <w:rPr>
          <w:lang w:val="de-DE"/>
        </w:rPr>
        <w:t>obwohl</w:t>
      </w:r>
      <w:r w:rsidR="006057AB" w:rsidRPr="00FB4EFA">
        <w:rPr>
          <w:lang w:val="de-DE"/>
        </w:rPr>
        <w:t>’</w:t>
      </w:r>
      <w:r w:rsidRPr="00FB4EFA">
        <w:rPr>
          <w:lang w:val="de-DE"/>
        </w:rPr>
        <w:t xml:space="preserve"> (aus der Partikel </w:t>
      </w:r>
      <w:r w:rsidRPr="00FB4EFA">
        <w:rPr>
          <w:i/>
          <w:lang w:val="de-DE"/>
        </w:rPr>
        <w:t>no</w:t>
      </w:r>
      <w:r w:rsidRPr="00FB4EFA">
        <w:rPr>
          <w:lang w:val="de-DE"/>
        </w:rPr>
        <w:t xml:space="preserve"> </w:t>
      </w:r>
      <w:r w:rsidR="006057AB" w:rsidRPr="00FB4EFA">
        <w:rPr>
          <w:lang w:val="de-DE"/>
        </w:rPr>
        <w:t>‘</w:t>
      </w:r>
      <w:r w:rsidRPr="00FB4EFA">
        <w:rPr>
          <w:lang w:val="de-DE"/>
        </w:rPr>
        <w:t>nun</w:t>
      </w:r>
      <w:r w:rsidR="006057AB" w:rsidRPr="00FB4EFA">
        <w:rPr>
          <w:lang w:val="de-DE"/>
        </w:rPr>
        <w:t>’</w:t>
      </w:r>
      <w:r w:rsidRPr="00FB4EFA">
        <w:rPr>
          <w:lang w:val="de-DE"/>
        </w:rPr>
        <w:t xml:space="preserve"> + der Konjunktion </w:t>
      </w:r>
      <w:r w:rsidRPr="00FB4EFA">
        <w:rPr>
          <w:i/>
          <w:lang w:val="de-DE"/>
        </w:rPr>
        <w:t xml:space="preserve">ha </w:t>
      </w:r>
      <w:r w:rsidR="006057AB" w:rsidRPr="00FB4EFA">
        <w:rPr>
          <w:lang w:val="de-DE"/>
        </w:rPr>
        <w:t>‘</w:t>
      </w:r>
      <w:r w:rsidRPr="00FB4EFA">
        <w:rPr>
          <w:lang w:val="de-DE"/>
        </w:rPr>
        <w:t>wenn</w:t>
      </w:r>
      <w:r w:rsidR="006057AB" w:rsidRPr="00FB4EFA">
        <w:rPr>
          <w:lang w:val="de-DE"/>
        </w:rPr>
        <w:t>’</w:t>
      </w:r>
      <w:r w:rsidRPr="00FB4EFA">
        <w:rPr>
          <w:lang w:val="de-DE"/>
        </w:rPr>
        <w:t xml:space="preserve">) oder </w:t>
      </w:r>
      <w:r w:rsidRPr="00FB4EFA">
        <w:rPr>
          <w:i/>
          <w:lang w:val="de-DE"/>
        </w:rPr>
        <w:t>mintegy</w:t>
      </w:r>
      <w:r w:rsidRPr="00FB4EFA">
        <w:rPr>
          <w:lang w:val="de-DE"/>
        </w:rPr>
        <w:t xml:space="preserve"> (aus der Konjunktion </w:t>
      </w:r>
      <w:r w:rsidRPr="00FB4EFA">
        <w:rPr>
          <w:i/>
          <w:lang w:val="de-DE"/>
        </w:rPr>
        <w:t>mint</w:t>
      </w:r>
      <w:r w:rsidR="000121EA" w:rsidRPr="00FB4EFA">
        <w:rPr>
          <w:lang w:val="de-DE"/>
        </w:rPr>
        <w:t xml:space="preserve"> </w:t>
      </w:r>
      <w:r w:rsidR="006057AB" w:rsidRPr="00FB4EFA">
        <w:rPr>
          <w:lang w:val="de-DE"/>
        </w:rPr>
        <w:t>‘</w:t>
      </w:r>
      <w:r w:rsidRPr="00FB4EFA">
        <w:rPr>
          <w:lang w:val="de-DE"/>
        </w:rPr>
        <w:t>wie</w:t>
      </w:r>
      <w:r w:rsidR="006057AB" w:rsidRPr="00FB4EFA">
        <w:rPr>
          <w:lang w:val="de-DE"/>
        </w:rPr>
        <w:t>’</w:t>
      </w:r>
      <w:r w:rsidRPr="00FB4EFA">
        <w:rPr>
          <w:lang w:val="de-DE"/>
        </w:rPr>
        <w:t xml:space="preserve"> + dem unbestimmten Artikel </w:t>
      </w:r>
      <w:r w:rsidRPr="00FB4EFA">
        <w:rPr>
          <w:i/>
          <w:lang w:val="de-DE"/>
        </w:rPr>
        <w:t xml:space="preserve">egy </w:t>
      </w:r>
      <w:r w:rsidR="006057AB" w:rsidRPr="00FB4EFA">
        <w:rPr>
          <w:lang w:val="de-DE"/>
        </w:rPr>
        <w:t>‘</w:t>
      </w:r>
      <w:r w:rsidRPr="00FB4EFA">
        <w:rPr>
          <w:lang w:val="de-DE"/>
        </w:rPr>
        <w:t>ein(e)</w:t>
      </w:r>
      <w:r w:rsidR="006057AB" w:rsidRPr="00FB4EFA">
        <w:rPr>
          <w:lang w:val="de-DE"/>
        </w:rPr>
        <w:t>’</w:t>
      </w:r>
      <w:r w:rsidRPr="00FB4EFA">
        <w:rPr>
          <w:lang w:val="de-DE"/>
        </w:rPr>
        <w:t xml:space="preserve">). Diese werden jedoch in der ungarischen Linguistik eher als verdunkelte Komposita und weniger als frühere Phraseme behandelt. Das hängt auch damit zusammen, dass </w:t>
      </w:r>
      <w:r w:rsidR="006A7893" w:rsidRPr="00FB4EFA">
        <w:rPr>
          <w:lang w:val="de-DE"/>
        </w:rPr>
        <w:t>sich die</w:t>
      </w:r>
      <w:r w:rsidRPr="00FB4EFA">
        <w:rPr>
          <w:lang w:val="de-DE"/>
        </w:rPr>
        <w:t xml:space="preserve"> ungarische Forschung nicht mit strukturellen Phraseologismen </w:t>
      </w:r>
      <w:r w:rsidR="006A7893" w:rsidRPr="00FB4EFA">
        <w:rPr>
          <w:lang w:val="de-DE"/>
        </w:rPr>
        <w:t>beschäftigt</w:t>
      </w:r>
      <w:r w:rsidRPr="00FB4EFA">
        <w:rPr>
          <w:lang w:val="de-DE"/>
        </w:rPr>
        <w:t>.</w:t>
      </w:r>
    </w:p>
    <w:p w14:paraId="73C201C3" w14:textId="0FB9FB91" w:rsidR="00CB6469" w:rsidRPr="00FB4EFA" w:rsidRDefault="00CB6469" w:rsidP="004E44CC">
      <w:pPr>
        <w:ind w:firstLine="709"/>
      </w:pPr>
      <w:r w:rsidRPr="00FB4EFA">
        <w:rPr>
          <w:lang w:val="de-DE"/>
        </w:rPr>
        <w:t xml:space="preserve">Ein Fall von Univerbierung ist jedoch im Ungarischen in der aus dem Deutschen entlehnten früheren militärischen Frageform </w:t>
      </w:r>
      <w:r w:rsidRPr="00FB4EFA">
        <w:rPr>
          <w:i/>
          <w:lang w:val="de-DE"/>
        </w:rPr>
        <w:t>berdó</w:t>
      </w:r>
      <w:r w:rsidRPr="00FB4EFA">
        <w:rPr>
          <w:lang w:val="de-DE"/>
        </w:rPr>
        <w:t xml:space="preserve"> zu beobachten (&lt; </w:t>
      </w:r>
      <w:r w:rsidRPr="00FB4EFA">
        <w:rPr>
          <w:i/>
          <w:lang w:val="de-DE"/>
        </w:rPr>
        <w:t>Wer da?</w:t>
      </w:r>
      <w:r w:rsidRPr="00FB4EFA">
        <w:rPr>
          <w:lang w:val="de-DE"/>
        </w:rPr>
        <w:t xml:space="preserve">) oder in der etwas spöttischen Bezeichnung für Handlungsreisende </w:t>
      </w:r>
      <w:r w:rsidRPr="00FB4EFA">
        <w:rPr>
          <w:i/>
          <w:lang w:val="de-DE"/>
        </w:rPr>
        <w:t xml:space="preserve">vigéc </w:t>
      </w:r>
      <w:r w:rsidRPr="00FB4EFA">
        <w:rPr>
          <w:lang w:val="de-DE"/>
        </w:rPr>
        <w:t xml:space="preserve">(&lt; </w:t>
      </w:r>
      <w:r w:rsidRPr="00FB4EFA">
        <w:rPr>
          <w:i/>
          <w:lang w:val="de-DE"/>
        </w:rPr>
        <w:t>Wie geht</w:t>
      </w:r>
      <w:r w:rsidR="008C6F01" w:rsidRPr="00FB4EFA">
        <w:rPr>
          <w:lang w:val="de-DE"/>
        </w:rPr>
        <w:t>‘</w:t>
      </w:r>
      <w:r w:rsidRPr="00FB4EFA">
        <w:rPr>
          <w:i/>
          <w:lang w:val="de-DE"/>
        </w:rPr>
        <w:t>s?</w:t>
      </w:r>
      <w:r w:rsidRPr="00FB4EFA">
        <w:rPr>
          <w:lang w:val="de-DE"/>
        </w:rPr>
        <w:t xml:space="preserve">) bzw. in der Grußformel </w:t>
      </w:r>
      <w:r w:rsidR="004E44CC" w:rsidRPr="00FB4EFA">
        <w:rPr>
          <w:lang w:val="de-DE"/>
        </w:rPr>
        <w:br/>
      </w:r>
      <w:r w:rsidRPr="00FB4EFA">
        <w:rPr>
          <w:i/>
          <w:lang w:val="de-DE"/>
        </w:rPr>
        <w:t>kisztihand</w:t>
      </w:r>
      <w:r w:rsidRPr="00FB4EFA">
        <w:rPr>
          <w:lang w:val="de-DE"/>
        </w:rPr>
        <w:t xml:space="preserve"> (&lt; </w:t>
      </w:r>
      <w:r w:rsidRPr="00FB4EFA">
        <w:rPr>
          <w:i/>
          <w:lang w:val="de-DE"/>
        </w:rPr>
        <w:t>küsse die Hand</w:t>
      </w:r>
      <w:r w:rsidRPr="00FB4EFA">
        <w:rPr>
          <w:lang w:val="de-DE"/>
        </w:rPr>
        <w:t xml:space="preserve">). Aber nicht nur unter den entlehnten Phraseologismen findet man solche Formen, sondern auch die heute schon ausgestorbenen, im 17. Jahrhundert jedoch noch gängigen Formen </w:t>
      </w:r>
      <w:r w:rsidR="00C17973" w:rsidRPr="00FB4EFA">
        <w:rPr>
          <w:lang w:val="de-DE"/>
        </w:rPr>
        <w:br/>
      </w:r>
      <w:r w:rsidRPr="00FB4EFA">
        <w:rPr>
          <w:i/>
          <w:lang w:val="de-DE"/>
        </w:rPr>
        <w:t>metzek</w:t>
      </w:r>
      <w:r w:rsidRPr="00FB4EFA">
        <w:rPr>
          <w:lang w:val="de-DE"/>
        </w:rPr>
        <w:t xml:space="preserve">, </w:t>
      </w:r>
      <w:r w:rsidRPr="00FB4EFA">
        <w:rPr>
          <w:i/>
          <w:lang w:val="de-DE"/>
        </w:rPr>
        <w:t xml:space="preserve">me(c)cek </w:t>
      </w:r>
      <w:r w:rsidRPr="00FB4EFA">
        <w:rPr>
          <w:lang w:val="de-DE"/>
        </w:rPr>
        <w:t xml:space="preserve">bzw. </w:t>
      </w:r>
      <w:r w:rsidRPr="00FB4EFA">
        <w:rPr>
          <w:i/>
          <w:lang w:val="de-DE"/>
        </w:rPr>
        <w:t>medgyek</w:t>
      </w:r>
      <w:r w:rsidRPr="00FB4EFA">
        <w:rPr>
          <w:lang w:val="de-DE"/>
        </w:rPr>
        <w:t xml:space="preserve">, </w:t>
      </w:r>
      <w:r w:rsidRPr="00FB4EFA">
        <w:rPr>
          <w:i/>
          <w:lang w:val="de-DE"/>
        </w:rPr>
        <w:t xml:space="preserve">me(g)gyek </w:t>
      </w:r>
      <w:r w:rsidRPr="00FB4EFA">
        <w:rPr>
          <w:lang w:val="de-DE"/>
        </w:rPr>
        <w:t xml:space="preserve">(&lt; </w:t>
      </w:r>
      <w:r w:rsidRPr="00FB4EFA">
        <w:rPr>
          <w:i/>
          <w:lang w:val="de-DE"/>
        </w:rPr>
        <w:t>mit tegyek?</w:t>
      </w:r>
      <w:r w:rsidR="000121EA" w:rsidRPr="00FB4EFA">
        <w:rPr>
          <w:i/>
          <w:lang w:val="de-DE"/>
        </w:rPr>
        <w:t xml:space="preserve"> </w:t>
      </w:r>
      <w:r w:rsidR="006057AB" w:rsidRPr="00FB4EFA">
        <w:rPr>
          <w:lang w:val="de-DE"/>
        </w:rPr>
        <w:t>‘</w:t>
      </w:r>
      <w:r w:rsidRPr="00FB4EFA">
        <w:rPr>
          <w:lang w:val="de-DE"/>
        </w:rPr>
        <w:t>was soll ich machen?</w:t>
      </w:r>
      <w:r w:rsidR="006057AB" w:rsidRPr="00FB4EFA">
        <w:rPr>
          <w:lang w:val="de-DE"/>
        </w:rPr>
        <w:t>’</w:t>
      </w:r>
      <w:r w:rsidRPr="00FB4EFA">
        <w:rPr>
          <w:lang w:val="de-DE"/>
        </w:rPr>
        <w:t>) gehören dazu. In diesen Formen verschwindet die ursprüngliche morphologische Struktur bzw. semantische Motiviertheit vollständig.</w:t>
      </w:r>
    </w:p>
    <w:p w14:paraId="74CA96CA" w14:textId="111F4ED7" w:rsidR="00CB6469" w:rsidRPr="00FB4EFA" w:rsidRDefault="00CB6469" w:rsidP="00402EF4">
      <w:pPr>
        <w:spacing w:after="240"/>
        <w:ind w:firstLine="567"/>
        <w:rPr>
          <w:lang w:val="de-DE"/>
        </w:rPr>
      </w:pPr>
      <w:r w:rsidRPr="00FB4EFA">
        <w:rPr>
          <w:lang w:val="de-DE"/>
        </w:rPr>
        <w:t xml:space="preserve">Es gibt jedoch auch Fälle, in denen eher nur der morphologische Charakter der Verbindung verändert wird: aus einer phraseologischen Einheit entsteht ein Kompositum (vgl. auch Károly 1980: 150). Diese </w:t>
      </w:r>
      <w:r w:rsidRPr="00FB4EFA">
        <w:rPr>
          <w:lang w:val="de-DE"/>
        </w:rPr>
        <w:lastRenderedPageBreak/>
        <w:t xml:space="preserve">Entwicklung kann sowohl bei subordinierenden, als auch bei koordinierenden Komposita beobachtet werden, vgl. </w:t>
      </w:r>
      <w:r w:rsidR="0030017E" w:rsidRPr="00FB4EFA">
        <w:rPr>
          <w:lang w:val="de-DE"/>
        </w:rPr>
        <w:t>z. B.</w:t>
      </w:r>
    </w:p>
    <w:p w14:paraId="1B07B474" w14:textId="77777777" w:rsidR="00CB6469" w:rsidRPr="00FB4EFA" w:rsidRDefault="00CB6469" w:rsidP="00634518">
      <w:pPr>
        <w:spacing w:line="240" w:lineRule="auto"/>
        <w:ind w:left="709" w:hanging="142"/>
      </w:pPr>
      <w:r w:rsidRPr="00FB4EFA">
        <w:t xml:space="preserve">a) </w:t>
      </w:r>
      <w:r w:rsidRPr="00FB4EFA">
        <w:rPr>
          <w:lang w:val="de-DE"/>
        </w:rPr>
        <w:t>subordinierend</w:t>
      </w:r>
      <w:r w:rsidRPr="00FB4EFA">
        <w:t>:</w:t>
      </w:r>
    </w:p>
    <w:p w14:paraId="11A27D5E" w14:textId="1D0FD1D2" w:rsidR="00CB6469" w:rsidRPr="00FB4EFA" w:rsidRDefault="00CB6469" w:rsidP="00AF0CAD">
      <w:pPr>
        <w:spacing w:line="240" w:lineRule="auto"/>
        <w:ind w:left="1004" w:hanging="295"/>
        <w:rPr>
          <w:rFonts w:cs="Charis SIL"/>
        </w:rPr>
      </w:pPr>
      <w:r w:rsidRPr="00FB4EFA">
        <w:rPr>
          <w:rFonts w:cs="Charis SIL"/>
          <w:i/>
          <w:iCs/>
        </w:rPr>
        <w:t>végbe megy</w:t>
      </w:r>
      <w:r w:rsidRPr="00FB4EFA">
        <w:rPr>
          <w:rFonts w:cs="Charis SIL"/>
          <w:i/>
          <w:iCs/>
        </w:rPr>
        <w:tab/>
      </w:r>
      <w:r w:rsidRPr="00FB4EFA">
        <w:rPr>
          <w:rFonts w:cs="Charis SIL"/>
          <w:iCs/>
        </w:rPr>
        <w:t>→</w:t>
      </w:r>
      <w:r w:rsidRPr="00FB4EFA">
        <w:rPr>
          <w:rFonts w:cs="Charis SIL"/>
          <w:iCs/>
        </w:rPr>
        <w:tab/>
      </w:r>
      <w:r w:rsidRPr="00FB4EFA">
        <w:rPr>
          <w:rFonts w:cs="Charis SIL"/>
          <w:i/>
          <w:iCs/>
        </w:rPr>
        <w:t>végbe|megy</w:t>
      </w:r>
      <w:r w:rsidRPr="00FB4EFA">
        <w:rPr>
          <w:rFonts w:cs="Charis SIL"/>
          <w:iCs/>
        </w:rPr>
        <w:t xml:space="preserve"> </w:t>
      </w:r>
      <w:r w:rsidR="006057AB" w:rsidRPr="00FB4EFA">
        <w:rPr>
          <w:rFonts w:cs="Charis SIL"/>
          <w:iCs/>
        </w:rPr>
        <w:t>‘</w:t>
      </w:r>
      <w:r w:rsidRPr="00FB4EFA">
        <w:rPr>
          <w:rFonts w:cs="Charis SIL"/>
          <w:iCs/>
        </w:rPr>
        <w:t>vonstatten gehen</w:t>
      </w:r>
      <w:r w:rsidR="006057AB" w:rsidRPr="00FB4EFA">
        <w:rPr>
          <w:rFonts w:cs="Charis SIL"/>
          <w:iCs/>
        </w:rPr>
        <w:t>’</w:t>
      </w:r>
    </w:p>
    <w:p w14:paraId="21B02D9B" w14:textId="537639F1" w:rsidR="00CB6469" w:rsidRPr="00FB4EFA" w:rsidRDefault="00CB6469" w:rsidP="00AF0CAD">
      <w:pPr>
        <w:spacing w:line="240" w:lineRule="auto"/>
        <w:ind w:left="1004" w:hanging="295"/>
        <w:rPr>
          <w:rFonts w:cs="Charis SIL"/>
        </w:rPr>
      </w:pPr>
      <w:r w:rsidRPr="00FB4EFA">
        <w:rPr>
          <w:rFonts w:cs="Charis SIL"/>
          <w:i/>
        </w:rPr>
        <w:t>tönkre megy</w:t>
      </w:r>
      <w:r w:rsidRPr="00FB4EFA">
        <w:rPr>
          <w:rFonts w:cs="Charis SIL"/>
          <w:i/>
        </w:rPr>
        <w:tab/>
      </w:r>
      <w:r w:rsidRPr="00FB4EFA">
        <w:rPr>
          <w:rFonts w:cs="Charis SIL"/>
        </w:rPr>
        <w:t>→</w:t>
      </w:r>
      <w:r w:rsidRPr="00FB4EFA">
        <w:rPr>
          <w:rFonts w:cs="Charis SIL"/>
        </w:rPr>
        <w:tab/>
      </w:r>
      <w:r w:rsidRPr="00FB4EFA">
        <w:rPr>
          <w:rFonts w:cs="Charis SIL"/>
          <w:i/>
        </w:rPr>
        <w:t>tönkre|megy</w:t>
      </w:r>
      <w:r w:rsidRPr="00FB4EFA">
        <w:rPr>
          <w:rFonts w:cs="Charis SIL"/>
        </w:rPr>
        <w:t xml:space="preserve"> </w:t>
      </w:r>
      <w:r w:rsidR="006057AB" w:rsidRPr="00FB4EFA">
        <w:rPr>
          <w:rFonts w:cs="Charis SIL"/>
        </w:rPr>
        <w:t>‘</w:t>
      </w:r>
      <w:r w:rsidRPr="00FB4EFA">
        <w:rPr>
          <w:rFonts w:cs="Charis SIL"/>
        </w:rPr>
        <w:t>kaputt gehen</w:t>
      </w:r>
      <w:r w:rsidR="006057AB" w:rsidRPr="00FB4EFA">
        <w:rPr>
          <w:rFonts w:cs="Charis SIL"/>
        </w:rPr>
        <w:t>’</w:t>
      </w:r>
    </w:p>
    <w:p w14:paraId="7ED25E75" w14:textId="0BD68E84" w:rsidR="00CB6469" w:rsidRPr="00FB4EFA" w:rsidRDefault="00CB6469" w:rsidP="00AF0CAD">
      <w:pPr>
        <w:spacing w:line="240" w:lineRule="auto"/>
        <w:ind w:left="1004" w:hanging="295"/>
        <w:rPr>
          <w:rFonts w:cs="Charis SIL"/>
        </w:rPr>
      </w:pPr>
      <w:r w:rsidRPr="00FB4EFA">
        <w:rPr>
          <w:rFonts w:cs="Charis SIL"/>
          <w:i/>
        </w:rPr>
        <w:t>agyon ver</w:t>
      </w:r>
      <w:r w:rsidRPr="00FB4EFA">
        <w:rPr>
          <w:rFonts w:cs="Charis SIL"/>
          <w:i/>
        </w:rPr>
        <w:tab/>
      </w:r>
      <w:r w:rsidRPr="00FB4EFA">
        <w:rPr>
          <w:rFonts w:cs="Charis SIL"/>
        </w:rPr>
        <w:t>→</w:t>
      </w:r>
      <w:r w:rsidRPr="00FB4EFA">
        <w:rPr>
          <w:rFonts w:cs="Charis SIL"/>
        </w:rPr>
        <w:tab/>
      </w:r>
      <w:r w:rsidRPr="00FB4EFA">
        <w:rPr>
          <w:rFonts w:cs="Charis SIL"/>
          <w:i/>
        </w:rPr>
        <w:t>agyon|ver</w:t>
      </w:r>
      <w:r w:rsidRPr="00FB4EFA">
        <w:rPr>
          <w:rFonts w:cs="Charis SIL"/>
        </w:rPr>
        <w:t xml:space="preserve"> </w:t>
      </w:r>
      <w:r w:rsidR="006057AB" w:rsidRPr="00FB4EFA">
        <w:rPr>
          <w:rFonts w:cs="Charis SIL"/>
        </w:rPr>
        <w:t>‘</w:t>
      </w:r>
      <w:r w:rsidRPr="00FB4EFA">
        <w:rPr>
          <w:rFonts w:cs="Charis SIL"/>
        </w:rPr>
        <w:t>totschlagen</w:t>
      </w:r>
      <w:r w:rsidR="006057AB" w:rsidRPr="00FB4EFA">
        <w:rPr>
          <w:rFonts w:cs="Charis SIL"/>
        </w:rPr>
        <w:t>’</w:t>
      </w:r>
    </w:p>
    <w:p w14:paraId="677EB5D3" w14:textId="77777777" w:rsidR="00CB6469" w:rsidRPr="00FB4EFA" w:rsidRDefault="00CB6469" w:rsidP="00402EF4">
      <w:pPr>
        <w:spacing w:before="240"/>
      </w:pPr>
      <w:r w:rsidRPr="00FB4EFA">
        <w:rPr>
          <w:lang w:val="de-DE"/>
        </w:rPr>
        <w:t>Wie die letzten beiden Beispiele zeigen, kann diese Entwicklung auch dazu führen, dass die Vorderglieder ihren autosemantischen Charakter verlieren und zu synsemantischen Einheiten, in diesem Falle – durch ihre Produktivität – zu Verbalpräfixen werden. In diesen Fällen wird also Univerbierung gleichzeitig zu einem Fall von Grammatikalisierung.</w:t>
      </w:r>
    </w:p>
    <w:p w14:paraId="03123B4B" w14:textId="1CA12021" w:rsidR="00CB6469" w:rsidRPr="00FB4EFA" w:rsidRDefault="00CB6469" w:rsidP="00F60DD5">
      <w:pPr>
        <w:ind w:firstLine="567"/>
        <w:rPr>
          <w:rFonts w:cs="Charis SIL"/>
        </w:rPr>
      </w:pPr>
      <w:r w:rsidRPr="00FB4EFA">
        <w:rPr>
          <w:lang w:val="de-DE"/>
        </w:rPr>
        <w:t>Es gibt jedoch weitere Beispiele, wo lediglich</w:t>
      </w:r>
      <w:r w:rsidR="000121EA" w:rsidRPr="00FB4EFA">
        <w:rPr>
          <w:lang w:val="de-DE"/>
        </w:rPr>
        <w:t xml:space="preserve"> </w:t>
      </w:r>
      <w:r w:rsidRPr="00FB4EFA">
        <w:rPr>
          <w:lang w:val="de-DE"/>
        </w:rPr>
        <w:t xml:space="preserve">Univerbierung </w:t>
      </w:r>
      <w:r w:rsidRPr="00FB4EFA">
        <w:rPr>
          <w:rFonts w:cs="Charis SIL"/>
          <w:lang w:val="de-DE"/>
        </w:rPr>
        <w:t xml:space="preserve">stattfindet, jedoch keine Grammatikalisierung, </w:t>
      </w:r>
      <w:r w:rsidR="0030017E" w:rsidRPr="00FB4EFA">
        <w:rPr>
          <w:rFonts w:cs="Charis SIL"/>
          <w:lang w:val="de-DE"/>
        </w:rPr>
        <w:t>z. B.</w:t>
      </w:r>
      <w:r w:rsidRPr="00FB4EFA">
        <w:rPr>
          <w:rFonts w:cs="Charis SIL"/>
          <w:lang w:val="de-DE"/>
        </w:rPr>
        <w:t xml:space="preserve"> </w:t>
      </w:r>
      <w:r w:rsidRPr="00FB4EFA">
        <w:rPr>
          <w:rFonts w:cs="Charis SIL"/>
          <w:i/>
          <w:lang w:val="de-DE"/>
        </w:rPr>
        <w:t xml:space="preserve">jóvá|hagy </w:t>
      </w:r>
      <w:r w:rsidR="006057AB" w:rsidRPr="00FB4EFA">
        <w:rPr>
          <w:rFonts w:cs="Charis SIL"/>
          <w:iCs/>
          <w:lang w:val="de-DE"/>
        </w:rPr>
        <w:t>‘</w:t>
      </w:r>
      <w:r w:rsidRPr="00FB4EFA">
        <w:rPr>
          <w:rFonts w:cs="Charis SIL"/>
          <w:iCs/>
          <w:lang w:val="de-DE"/>
        </w:rPr>
        <w:t>zulassen</w:t>
      </w:r>
      <w:r w:rsidR="006057AB" w:rsidRPr="00FB4EFA">
        <w:rPr>
          <w:rFonts w:cs="Charis SIL"/>
          <w:iCs/>
          <w:lang w:val="de-DE"/>
        </w:rPr>
        <w:t>’</w:t>
      </w:r>
      <w:r w:rsidRPr="00FB4EFA">
        <w:rPr>
          <w:rFonts w:cs="Charis SIL"/>
          <w:i/>
          <w:lang w:val="de-DE"/>
        </w:rPr>
        <w:t xml:space="preserve">, jóvá|ír </w:t>
      </w:r>
      <w:r w:rsidR="006057AB" w:rsidRPr="00FB4EFA">
        <w:rPr>
          <w:rFonts w:cs="Charis SIL"/>
          <w:iCs/>
          <w:lang w:val="de-DE"/>
        </w:rPr>
        <w:t>‘</w:t>
      </w:r>
      <w:r w:rsidRPr="00FB4EFA">
        <w:rPr>
          <w:rFonts w:cs="Charis SIL"/>
          <w:iCs/>
          <w:lang w:val="de-DE"/>
        </w:rPr>
        <w:t>gutschreiben</w:t>
      </w:r>
      <w:r w:rsidR="006057AB" w:rsidRPr="00FB4EFA">
        <w:rPr>
          <w:rFonts w:cs="Charis SIL"/>
          <w:iCs/>
          <w:lang w:val="de-DE"/>
        </w:rPr>
        <w:t>’</w:t>
      </w:r>
      <w:r w:rsidRPr="00FB4EFA">
        <w:rPr>
          <w:rFonts w:cs="Charis SIL"/>
          <w:i/>
          <w:lang w:val="de-DE"/>
        </w:rPr>
        <w:t xml:space="preserve">, jóvá|tesz </w:t>
      </w:r>
      <w:r w:rsidR="006057AB" w:rsidRPr="00FB4EFA">
        <w:rPr>
          <w:rFonts w:cs="Charis SIL"/>
          <w:iCs/>
          <w:lang w:val="de-DE"/>
        </w:rPr>
        <w:t>‘</w:t>
      </w:r>
      <w:r w:rsidRPr="00FB4EFA">
        <w:rPr>
          <w:rFonts w:cs="Charis SIL"/>
          <w:iCs/>
          <w:lang w:val="de-DE"/>
        </w:rPr>
        <w:t>ausbessern</w:t>
      </w:r>
      <w:r w:rsidR="006057AB" w:rsidRPr="00FB4EFA">
        <w:rPr>
          <w:rFonts w:cs="Charis SIL"/>
          <w:iCs/>
          <w:lang w:val="de-DE"/>
        </w:rPr>
        <w:t>’</w:t>
      </w:r>
      <w:r w:rsidRPr="00FB4EFA">
        <w:rPr>
          <w:rFonts w:cs="Charis SIL"/>
          <w:i/>
          <w:lang w:val="de-DE"/>
        </w:rPr>
        <w:t xml:space="preserve">, jót|áll </w:t>
      </w:r>
      <w:r w:rsidR="006057AB" w:rsidRPr="00FB4EFA">
        <w:rPr>
          <w:rFonts w:cs="Charis SIL"/>
          <w:iCs/>
          <w:lang w:val="de-DE"/>
        </w:rPr>
        <w:t>‘</w:t>
      </w:r>
      <w:r w:rsidRPr="00FB4EFA">
        <w:rPr>
          <w:rFonts w:cs="Charis SIL"/>
          <w:iCs/>
          <w:lang w:val="de-DE"/>
        </w:rPr>
        <w:t>bürgen</w:t>
      </w:r>
      <w:r w:rsidR="006057AB" w:rsidRPr="00FB4EFA">
        <w:rPr>
          <w:rFonts w:cs="Charis SIL"/>
          <w:iCs/>
          <w:lang w:val="de-DE"/>
        </w:rPr>
        <w:t>’</w:t>
      </w:r>
      <w:r w:rsidRPr="00FB4EFA">
        <w:rPr>
          <w:rFonts w:cs="Charis SIL"/>
          <w:i/>
          <w:lang w:val="de-DE"/>
        </w:rPr>
        <w:t xml:space="preserve">, észre|vesz </w:t>
      </w:r>
      <w:r w:rsidR="006057AB" w:rsidRPr="00FB4EFA">
        <w:rPr>
          <w:rFonts w:cs="Charis SIL"/>
          <w:iCs/>
          <w:lang w:val="de-DE"/>
        </w:rPr>
        <w:t>‘</w:t>
      </w:r>
      <w:r w:rsidRPr="00FB4EFA">
        <w:rPr>
          <w:rFonts w:cs="Charis SIL"/>
          <w:iCs/>
          <w:lang w:val="de-DE"/>
        </w:rPr>
        <w:t>(be)merken</w:t>
      </w:r>
      <w:r w:rsidR="006057AB" w:rsidRPr="00FB4EFA">
        <w:rPr>
          <w:rFonts w:cs="Charis SIL"/>
          <w:iCs/>
          <w:lang w:val="de-DE"/>
        </w:rPr>
        <w:t>’</w:t>
      </w:r>
      <w:r w:rsidRPr="00FB4EFA">
        <w:rPr>
          <w:rFonts w:cs="Charis SIL"/>
          <w:lang w:val="de-DE"/>
        </w:rPr>
        <w:t xml:space="preserve">. Natürlich kann Univerbierung nicht nur bei verbalen Phraseologismen eintreten, vgl. </w:t>
      </w:r>
      <w:r w:rsidR="0030017E" w:rsidRPr="00FB4EFA">
        <w:rPr>
          <w:rFonts w:cs="Charis SIL"/>
          <w:lang w:val="de-DE"/>
        </w:rPr>
        <w:t>z. B.</w:t>
      </w:r>
      <w:r w:rsidRPr="00FB4EFA">
        <w:rPr>
          <w:rFonts w:cs="Charis SIL"/>
          <w:lang w:val="de-DE"/>
        </w:rPr>
        <w:t xml:space="preserve"> </w:t>
      </w:r>
      <w:r w:rsidRPr="00FB4EFA">
        <w:rPr>
          <w:rFonts w:cs="Charis SIL"/>
          <w:i/>
          <w:lang w:val="de-DE"/>
        </w:rPr>
        <w:t xml:space="preserve">ágról|szakadt </w:t>
      </w:r>
      <w:r w:rsidR="006057AB" w:rsidRPr="00FB4EFA">
        <w:rPr>
          <w:rFonts w:cs="Charis SIL"/>
          <w:iCs/>
          <w:lang w:val="de-DE"/>
        </w:rPr>
        <w:t>‘</w:t>
      </w:r>
      <w:r w:rsidRPr="00FB4EFA">
        <w:rPr>
          <w:rFonts w:cs="Charis SIL"/>
          <w:iCs/>
          <w:lang w:val="de-DE"/>
        </w:rPr>
        <w:t>(arm und) zerlumpt</w:t>
      </w:r>
      <w:r w:rsidR="006057AB" w:rsidRPr="00FB4EFA">
        <w:rPr>
          <w:rFonts w:cs="Charis SIL"/>
          <w:iCs/>
          <w:lang w:val="de-DE"/>
        </w:rPr>
        <w:t>’</w:t>
      </w:r>
      <w:r w:rsidRPr="00FB4EFA">
        <w:rPr>
          <w:rFonts w:cs="Charis SIL"/>
          <w:lang w:val="de-DE"/>
        </w:rPr>
        <w:t>,</w:t>
      </w:r>
      <w:r w:rsidRPr="00FB4EFA">
        <w:rPr>
          <w:rFonts w:cs="Charis SIL"/>
          <w:i/>
          <w:lang w:val="de-DE"/>
        </w:rPr>
        <w:t xml:space="preserve"> </w:t>
      </w:r>
      <w:r w:rsidR="00F60DD5" w:rsidRPr="00FB4EFA">
        <w:rPr>
          <w:rFonts w:cs="Charis SIL"/>
          <w:i/>
          <w:lang w:val="de-DE"/>
        </w:rPr>
        <w:br/>
      </w:r>
      <w:r w:rsidRPr="00FB4EFA">
        <w:rPr>
          <w:rFonts w:cs="Charis SIL"/>
          <w:i/>
          <w:lang w:val="de-DE"/>
        </w:rPr>
        <w:t xml:space="preserve">tagba|szakadt </w:t>
      </w:r>
      <w:r w:rsidR="006057AB" w:rsidRPr="00FB4EFA">
        <w:rPr>
          <w:rFonts w:cs="Charis SIL"/>
          <w:iCs/>
          <w:lang w:val="de-DE"/>
        </w:rPr>
        <w:t>‘</w:t>
      </w:r>
      <w:r w:rsidRPr="00FB4EFA">
        <w:rPr>
          <w:rFonts w:cs="Charis SIL"/>
          <w:iCs/>
          <w:lang w:val="de-DE"/>
        </w:rPr>
        <w:t>stämmig</w:t>
      </w:r>
      <w:r w:rsidR="006057AB" w:rsidRPr="00FB4EFA">
        <w:rPr>
          <w:rFonts w:cs="Charis SIL"/>
          <w:iCs/>
          <w:lang w:val="de-DE"/>
        </w:rPr>
        <w:t>’</w:t>
      </w:r>
      <w:r w:rsidRPr="00FB4EFA">
        <w:rPr>
          <w:rFonts w:cs="Charis SIL"/>
          <w:i/>
          <w:lang w:val="de-DE"/>
        </w:rPr>
        <w:t xml:space="preserve">, semmire|kellő </w:t>
      </w:r>
      <w:r w:rsidR="006057AB" w:rsidRPr="00FB4EFA">
        <w:rPr>
          <w:rFonts w:cs="Charis SIL"/>
          <w:iCs/>
          <w:lang w:val="de-DE"/>
        </w:rPr>
        <w:t>‘</w:t>
      </w:r>
      <w:r w:rsidRPr="00FB4EFA">
        <w:rPr>
          <w:rFonts w:cs="Charis SIL"/>
          <w:iCs/>
          <w:lang w:val="de-DE"/>
        </w:rPr>
        <w:t>nichtsnutzig</w:t>
      </w:r>
      <w:r w:rsidR="006057AB" w:rsidRPr="00FB4EFA">
        <w:rPr>
          <w:rFonts w:cs="Charis SIL"/>
          <w:iCs/>
          <w:lang w:val="de-DE"/>
        </w:rPr>
        <w:t>’</w:t>
      </w:r>
      <w:r w:rsidRPr="00FB4EFA">
        <w:rPr>
          <w:rFonts w:cs="Charis SIL"/>
          <w:iCs/>
          <w:lang w:val="de-DE"/>
        </w:rPr>
        <w:t xml:space="preserve"> </w:t>
      </w:r>
      <w:r w:rsidRPr="00FB4EFA">
        <w:rPr>
          <w:rFonts w:cs="Charis SIL"/>
          <w:lang w:val="de-DE"/>
        </w:rPr>
        <w:t>usw.</w:t>
      </w:r>
    </w:p>
    <w:p w14:paraId="6D796557" w14:textId="77777777" w:rsidR="00CB6469" w:rsidRPr="00FB4EFA" w:rsidRDefault="00CB6469" w:rsidP="00634518">
      <w:pPr>
        <w:spacing w:before="120" w:line="240" w:lineRule="auto"/>
        <w:ind w:left="993" w:hanging="284"/>
        <w:rPr>
          <w:rFonts w:cs="Charis SIL"/>
        </w:rPr>
      </w:pPr>
      <w:r w:rsidRPr="00FB4EFA">
        <w:rPr>
          <w:rFonts w:cs="Charis SIL"/>
        </w:rPr>
        <w:t xml:space="preserve">b) </w:t>
      </w:r>
      <w:r w:rsidRPr="00FB4EFA">
        <w:rPr>
          <w:rFonts w:cs="Charis SIL"/>
          <w:lang w:val="de-DE"/>
        </w:rPr>
        <w:t>koordinierend</w:t>
      </w:r>
      <w:r w:rsidRPr="00FB4EFA">
        <w:rPr>
          <w:rFonts w:cs="Charis SIL"/>
        </w:rPr>
        <w:t>:</w:t>
      </w:r>
    </w:p>
    <w:p w14:paraId="6531A42E" w14:textId="0BA84420" w:rsidR="00CB6469" w:rsidRPr="00FB4EFA" w:rsidRDefault="00CB6469" w:rsidP="00AF0CAD">
      <w:pPr>
        <w:tabs>
          <w:tab w:val="left" w:pos="2552"/>
          <w:tab w:val="left" w:pos="3119"/>
        </w:tabs>
        <w:spacing w:line="240" w:lineRule="auto"/>
        <w:ind w:left="993"/>
        <w:rPr>
          <w:rFonts w:cs="Charis SIL"/>
          <w:iCs/>
        </w:rPr>
      </w:pPr>
      <w:r w:rsidRPr="00FB4EFA">
        <w:rPr>
          <w:rFonts w:cs="Charis SIL"/>
          <w:i/>
          <w:iCs/>
        </w:rPr>
        <w:t>hébe hóba</w:t>
      </w:r>
      <w:r w:rsidRPr="00FB4EFA">
        <w:rPr>
          <w:rFonts w:cs="Charis SIL"/>
        </w:rPr>
        <w:tab/>
      </w:r>
      <w:r w:rsidRPr="00FB4EFA">
        <w:rPr>
          <w:rFonts w:cs="Charis SIL"/>
          <w:iCs/>
        </w:rPr>
        <w:t>→</w:t>
      </w:r>
      <w:r w:rsidRPr="00FB4EFA">
        <w:rPr>
          <w:rFonts w:cs="Charis SIL"/>
        </w:rPr>
        <w:tab/>
      </w:r>
      <w:r w:rsidRPr="00FB4EFA">
        <w:rPr>
          <w:rFonts w:cs="Charis SIL"/>
          <w:i/>
        </w:rPr>
        <w:t>h</w:t>
      </w:r>
      <w:r w:rsidRPr="00FB4EFA">
        <w:rPr>
          <w:rFonts w:cs="Charis SIL"/>
          <w:i/>
          <w:iCs/>
        </w:rPr>
        <w:t>ébe-hóba</w:t>
      </w:r>
      <w:r w:rsidRPr="00FB4EFA">
        <w:rPr>
          <w:rFonts w:eastAsiaTheme="majorEastAsia" w:cs="Charis SIL"/>
          <w:iCs/>
          <w:vertAlign w:val="superscript"/>
        </w:rPr>
        <w:footnoteReference w:id="58"/>
      </w:r>
      <w:r w:rsidRPr="00FB4EFA">
        <w:rPr>
          <w:rFonts w:cs="Charis SIL"/>
          <w:i/>
          <w:iCs/>
        </w:rPr>
        <w:t xml:space="preserve"> </w:t>
      </w:r>
      <w:r w:rsidR="006057AB" w:rsidRPr="00FB4EFA">
        <w:rPr>
          <w:rFonts w:cs="Charis SIL"/>
          <w:iCs/>
        </w:rPr>
        <w:t>‘</w:t>
      </w:r>
      <w:r w:rsidRPr="00FB4EFA">
        <w:rPr>
          <w:rFonts w:cs="Charis SIL"/>
          <w:iCs/>
        </w:rPr>
        <w:t>selten</w:t>
      </w:r>
      <w:r w:rsidR="006057AB" w:rsidRPr="00FB4EFA">
        <w:rPr>
          <w:rFonts w:cs="Charis SIL"/>
          <w:iCs/>
        </w:rPr>
        <w:t>’</w:t>
      </w:r>
    </w:p>
    <w:p w14:paraId="3C7466EE" w14:textId="23D2D9B5" w:rsidR="00CB6469" w:rsidRPr="00FB4EFA" w:rsidRDefault="00CB6469" w:rsidP="00AF0CAD">
      <w:pPr>
        <w:tabs>
          <w:tab w:val="left" w:pos="2552"/>
          <w:tab w:val="left" w:pos="3119"/>
        </w:tabs>
        <w:spacing w:line="240" w:lineRule="auto"/>
        <w:ind w:left="993"/>
        <w:rPr>
          <w:rFonts w:cs="Charis SIL"/>
          <w:i/>
          <w:iCs/>
        </w:rPr>
      </w:pPr>
      <w:r w:rsidRPr="00FB4EFA">
        <w:rPr>
          <w:rFonts w:cs="Charis SIL"/>
          <w:i/>
          <w:iCs/>
        </w:rPr>
        <w:t>üggyel bajjal</w:t>
      </w:r>
      <w:r w:rsidRPr="00FB4EFA">
        <w:rPr>
          <w:rFonts w:cs="Charis SIL"/>
          <w:i/>
          <w:iCs/>
        </w:rPr>
        <w:tab/>
      </w:r>
      <w:r w:rsidRPr="00FB4EFA">
        <w:rPr>
          <w:rFonts w:cs="Charis SIL"/>
          <w:iCs/>
        </w:rPr>
        <w:t>→</w:t>
      </w:r>
      <w:r w:rsidRPr="00FB4EFA">
        <w:rPr>
          <w:rFonts w:cs="Charis SIL"/>
          <w:iCs/>
        </w:rPr>
        <w:tab/>
      </w:r>
      <w:r w:rsidRPr="00FB4EFA">
        <w:rPr>
          <w:rFonts w:cs="Charis SIL"/>
          <w:i/>
          <w:iCs/>
        </w:rPr>
        <w:t xml:space="preserve">üggyel-bajjal </w:t>
      </w:r>
      <w:r w:rsidR="006057AB" w:rsidRPr="00FB4EFA">
        <w:rPr>
          <w:rFonts w:cs="Charis SIL"/>
          <w:iCs/>
        </w:rPr>
        <w:t>‘</w:t>
      </w:r>
      <w:r w:rsidRPr="00FB4EFA">
        <w:rPr>
          <w:rFonts w:cs="Charis SIL"/>
          <w:iCs/>
        </w:rPr>
        <w:t>mit Ach und Krach</w:t>
      </w:r>
      <w:r w:rsidR="006057AB" w:rsidRPr="00FB4EFA">
        <w:rPr>
          <w:rFonts w:cs="Charis SIL"/>
          <w:iCs/>
        </w:rPr>
        <w:t>’</w:t>
      </w:r>
    </w:p>
    <w:p w14:paraId="589D99B7" w14:textId="07559B0E" w:rsidR="00CB6469" w:rsidRPr="00FB4EFA" w:rsidRDefault="00CB6469" w:rsidP="00AF0CAD">
      <w:pPr>
        <w:tabs>
          <w:tab w:val="left" w:pos="2552"/>
          <w:tab w:val="left" w:pos="3119"/>
        </w:tabs>
        <w:spacing w:line="240" w:lineRule="auto"/>
        <w:ind w:left="993"/>
        <w:rPr>
          <w:rFonts w:cs="Charis SIL"/>
        </w:rPr>
      </w:pPr>
      <w:r w:rsidRPr="00FB4EFA">
        <w:rPr>
          <w:rFonts w:cs="Charis SIL"/>
          <w:i/>
          <w:iCs/>
        </w:rPr>
        <w:t>agyba főbe</w:t>
      </w:r>
      <w:r w:rsidRPr="00FB4EFA">
        <w:rPr>
          <w:rFonts w:cs="Charis SIL"/>
          <w:iCs/>
        </w:rPr>
        <w:tab/>
        <w:t>→</w:t>
      </w:r>
      <w:r w:rsidRPr="00FB4EFA">
        <w:rPr>
          <w:rFonts w:cs="Charis SIL"/>
          <w:iCs/>
        </w:rPr>
        <w:tab/>
      </w:r>
      <w:r w:rsidRPr="00FB4EFA">
        <w:rPr>
          <w:rFonts w:cs="Charis SIL"/>
          <w:i/>
          <w:iCs/>
        </w:rPr>
        <w:t>agyba-főbe</w:t>
      </w:r>
      <w:r w:rsidRPr="00FB4EFA">
        <w:rPr>
          <w:rFonts w:cs="Charis SIL"/>
          <w:iCs/>
        </w:rPr>
        <w:t xml:space="preserve"> </w:t>
      </w:r>
      <w:r w:rsidR="006057AB" w:rsidRPr="00FB4EFA">
        <w:rPr>
          <w:rFonts w:cs="Charis SIL"/>
          <w:iCs/>
        </w:rPr>
        <w:t>‘</w:t>
      </w:r>
      <w:r w:rsidRPr="00FB4EFA">
        <w:rPr>
          <w:rFonts w:cs="Charis SIL"/>
          <w:iCs/>
        </w:rPr>
        <w:t>windelweich</w:t>
      </w:r>
      <w:r w:rsidR="006057AB" w:rsidRPr="00FB4EFA">
        <w:rPr>
          <w:rFonts w:cs="Charis SIL"/>
          <w:iCs/>
        </w:rPr>
        <w:t>’</w:t>
      </w:r>
    </w:p>
    <w:p w14:paraId="216C8060" w14:textId="261F0607" w:rsidR="000121EA" w:rsidRPr="00FB4EFA" w:rsidRDefault="00CB6469" w:rsidP="00AF0CAD">
      <w:pPr>
        <w:spacing w:before="120" w:line="240" w:lineRule="auto"/>
        <w:ind w:left="709"/>
        <w:rPr>
          <w:rFonts w:cs="Charis SIL"/>
        </w:rPr>
      </w:pPr>
      <w:r w:rsidRPr="00FB4EFA">
        <w:rPr>
          <w:rFonts w:cs="Charis SIL"/>
        </w:rPr>
        <w:t xml:space="preserve">Vgl. noch </w:t>
      </w:r>
      <w:r w:rsidRPr="00FB4EFA">
        <w:rPr>
          <w:rFonts w:cs="Charis SIL"/>
          <w:i/>
          <w:iCs/>
        </w:rPr>
        <w:t xml:space="preserve">nyakra-főre </w:t>
      </w:r>
      <w:r w:rsidR="006057AB" w:rsidRPr="00FB4EFA">
        <w:rPr>
          <w:rFonts w:cs="Charis SIL"/>
          <w:iCs/>
        </w:rPr>
        <w:t>‘</w:t>
      </w:r>
      <w:r w:rsidRPr="00FB4EFA">
        <w:rPr>
          <w:rFonts w:cs="Charis SIL"/>
          <w:iCs/>
        </w:rPr>
        <w:t>immer wieder</w:t>
      </w:r>
      <w:r w:rsidR="006057AB" w:rsidRPr="00FB4EFA">
        <w:rPr>
          <w:rFonts w:cs="Charis SIL"/>
          <w:iCs/>
        </w:rPr>
        <w:t>’</w:t>
      </w:r>
      <w:r w:rsidRPr="00FB4EFA">
        <w:rPr>
          <w:rFonts w:cs="Charis SIL"/>
          <w:iCs/>
        </w:rPr>
        <w:t>,</w:t>
      </w:r>
      <w:r w:rsidRPr="00FB4EFA">
        <w:rPr>
          <w:rFonts w:cs="Charis SIL"/>
          <w:i/>
          <w:iCs/>
        </w:rPr>
        <w:t xml:space="preserve"> apait-anyait (belead vmibe) </w:t>
      </w:r>
      <w:r w:rsidR="006057AB" w:rsidRPr="00FB4EFA">
        <w:rPr>
          <w:rFonts w:cs="Charis SIL"/>
          <w:iCs/>
        </w:rPr>
        <w:t>‘</w:t>
      </w:r>
      <w:r w:rsidRPr="00FB4EFA">
        <w:rPr>
          <w:rFonts w:cs="Charis SIL"/>
          <w:iCs/>
        </w:rPr>
        <w:t>alles hineinstecken</w:t>
      </w:r>
      <w:r w:rsidR="006057AB" w:rsidRPr="00FB4EFA">
        <w:rPr>
          <w:rFonts w:cs="Charis SIL"/>
          <w:iCs/>
        </w:rPr>
        <w:t>’</w:t>
      </w:r>
      <w:r w:rsidRPr="00FB4EFA">
        <w:rPr>
          <w:rFonts w:cs="Charis SIL"/>
          <w:iCs/>
        </w:rPr>
        <w:t>,</w:t>
      </w:r>
      <w:r w:rsidRPr="00FB4EFA">
        <w:rPr>
          <w:rFonts w:cs="Charis SIL"/>
          <w:i/>
          <w:iCs/>
        </w:rPr>
        <w:t xml:space="preserve"> csapot-papot (otthagy) </w:t>
      </w:r>
      <w:r w:rsidR="006057AB" w:rsidRPr="00FB4EFA">
        <w:rPr>
          <w:rFonts w:cs="Charis SIL"/>
          <w:iCs/>
        </w:rPr>
        <w:t>‘</w:t>
      </w:r>
      <w:r w:rsidRPr="00FB4EFA">
        <w:rPr>
          <w:rFonts w:cs="Charis SIL"/>
          <w:iCs/>
        </w:rPr>
        <w:t>alles dalassen</w:t>
      </w:r>
      <w:r w:rsidR="006057AB" w:rsidRPr="00FB4EFA">
        <w:rPr>
          <w:rFonts w:cs="Charis SIL"/>
          <w:iCs/>
        </w:rPr>
        <w:t>’</w:t>
      </w:r>
      <w:r w:rsidRPr="00FB4EFA">
        <w:rPr>
          <w:rFonts w:cs="Charis SIL"/>
          <w:iCs/>
        </w:rPr>
        <w:t xml:space="preserve"> </w:t>
      </w:r>
      <w:r w:rsidRPr="00FB4EFA">
        <w:rPr>
          <w:rFonts w:cs="Charis SIL"/>
        </w:rPr>
        <w:t>usw.</w:t>
      </w:r>
    </w:p>
    <w:p w14:paraId="0C3D3783" w14:textId="4B531B3E" w:rsidR="00CB6469" w:rsidRPr="00FB4EFA" w:rsidRDefault="00CB6469" w:rsidP="00F60DD5">
      <w:pPr>
        <w:spacing w:before="240" w:after="240"/>
      </w:pPr>
      <w:r w:rsidRPr="00FB4EFA">
        <w:rPr>
          <w:rFonts w:cs="Charis SIL"/>
          <w:szCs w:val="24"/>
          <w:lang w:val="de-DE"/>
        </w:rPr>
        <w:t>Die Univerbierung ist jedoch kein irreversibler Prozess, denn wenn die morphologische Struktur nicht undurchsichtig wird, sondern sich nur der morphologische Charakter der Beziehung ändert (Getrenntschreibung → Zusammenschreibung), kann eine Recht</w:t>
      </w:r>
      <w:r w:rsidR="0087477B" w:rsidRPr="00FB4EFA">
        <w:rPr>
          <w:rFonts w:cs="Charis SIL"/>
          <w:szCs w:val="24"/>
          <w:lang w:val="de-DE"/>
        </w:rPr>
        <w:softHyphen/>
      </w:r>
      <w:r w:rsidRPr="00FB4EFA">
        <w:rPr>
          <w:rFonts w:cs="Charis SIL"/>
          <w:szCs w:val="24"/>
          <w:lang w:val="de-DE"/>
        </w:rPr>
        <w:t xml:space="preserve">schreibreform früher bereits zu Komposita gewordene Formen wieder in Phraseologismen umwandeln. Das geschah im Ungarischen mit den Wortverbindungen </w:t>
      </w:r>
      <w:r w:rsidRPr="00FB4EFA">
        <w:rPr>
          <w:rFonts w:cs="Charis SIL"/>
          <w:i/>
          <w:szCs w:val="24"/>
          <w:lang w:val="de-DE"/>
        </w:rPr>
        <w:t>cserben hagy</w:t>
      </w:r>
      <w:r w:rsidRPr="00FB4EFA">
        <w:rPr>
          <w:rFonts w:cs="Charis SIL"/>
          <w:szCs w:val="24"/>
          <w:lang w:val="de-DE"/>
        </w:rPr>
        <w:t xml:space="preserve"> </w:t>
      </w:r>
      <w:r w:rsidR="006057AB" w:rsidRPr="00FB4EFA">
        <w:rPr>
          <w:rFonts w:cs="Charis SIL"/>
          <w:szCs w:val="24"/>
          <w:lang w:val="de-DE"/>
        </w:rPr>
        <w:t>‘</w:t>
      </w:r>
      <w:r w:rsidRPr="00FB4EFA">
        <w:rPr>
          <w:rFonts w:cs="Charis SIL"/>
          <w:szCs w:val="24"/>
          <w:lang w:val="de-DE"/>
        </w:rPr>
        <w:t>im Stich lassen</w:t>
      </w:r>
      <w:r w:rsidR="006057AB" w:rsidRPr="00FB4EFA">
        <w:rPr>
          <w:rFonts w:cs="Charis SIL"/>
          <w:szCs w:val="24"/>
          <w:lang w:val="de-DE"/>
        </w:rPr>
        <w:t>’</w:t>
      </w:r>
      <w:r w:rsidRPr="00FB4EFA">
        <w:rPr>
          <w:rFonts w:cs="Charis SIL"/>
          <w:szCs w:val="24"/>
          <w:lang w:val="de-DE"/>
        </w:rPr>
        <w:t xml:space="preserve"> bzw. </w:t>
      </w:r>
      <w:r w:rsidRPr="00FB4EFA">
        <w:rPr>
          <w:rFonts w:cs="Charis SIL"/>
          <w:i/>
          <w:szCs w:val="24"/>
          <w:lang w:val="de-DE"/>
        </w:rPr>
        <w:t xml:space="preserve">véghez visz </w:t>
      </w:r>
      <w:r w:rsidR="006057AB" w:rsidRPr="00FB4EFA">
        <w:rPr>
          <w:rFonts w:cs="Charis SIL"/>
          <w:szCs w:val="24"/>
          <w:lang w:val="de-DE"/>
        </w:rPr>
        <w:t>‘</w:t>
      </w:r>
      <w:r w:rsidRPr="00FB4EFA">
        <w:rPr>
          <w:rFonts w:cs="Charis SIL"/>
          <w:szCs w:val="24"/>
          <w:lang w:val="de-DE"/>
        </w:rPr>
        <w:t>zu Ende führen</w:t>
      </w:r>
      <w:r w:rsidR="006057AB" w:rsidRPr="00FB4EFA">
        <w:rPr>
          <w:rFonts w:cs="Charis SIL"/>
          <w:szCs w:val="24"/>
          <w:lang w:val="de-DE"/>
        </w:rPr>
        <w:t>’</w:t>
      </w:r>
      <w:r w:rsidRPr="00FB4EFA">
        <w:rPr>
          <w:rFonts w:cs="Charis SIL"/>
          <w:szCs w:val="24"/>
          <w:lang w:val="de-DE"/>
        </w:rPr>
        <w:t xml:space="preserve">. Für diese hat die </w:t>
      </w:r>
      <w:r w:rsidR="00C02404" w:rsidRPr="00FB4EFA">
        <w:rPr>
          <w:rFonts w:cs="Charis SIL"/>
          <w:szCs w:val="24"/>
          <w:lang w:val="de-DE"/>
        </w:rPr>
        <w:br/>
      </w:r>
      <w:r w:rsidRPr="00FB4EFA">
        <w:rPr>
          <w:rFonts w:cs="Charis SIL"/>
          <w:szCs w:val="24"/>
          <w:lang w:val="de-DE"/>
        </w:rPr>
        <w:t xml:space="preserve">11. </w:t>
      </w:r>
      <w:r w:rsidR="00C02404" w:rsidRPr="00FB4EFA">
        <w:rPr>
          <w:rFonts w:cs="Charis SIL"/>
          <w:szCs w:val="24"/>
          <w:lang w:val="de-DE"/>
        </w:rPr>
        <w:t>A</w:t>
      </w:r>
      <w:r w:rsidRPr="00FB4EFA">
        <w:rPr>
          <w:rFonts w:cs="Charis SIL"/>
          <w:szCs w:val="24"/>
          <w:lang w:val="de-DE"/>
        </w:rPr>
        <w:t xml:space="preserve">kademische Regelung der ungarischen Rechtschreibung aus dem Jahre 1984 die Zusammenschreibung angeordnet, die 12. Regelung aus </w:t>
      </w:r>
      <w:r w:rsidRPr="00FB4EFA">
        <w:rPr>
          <w:rFonts w:cs="Charis SIL"/>
          <w:szCs w:val="24"/>
          <w:lang w:val="de-DE"/>
        </w:rPr>
        <w:lastRenderedPageBreak/>
        <w:t>dem Jahre 2015 schreibt jedoch die getrennten Formen vor. Dies ist jedoch keine ungarische Besonderheit, da – darauf verweist Jesko (2007: 1102)</w:t>
      </w:r>
      <w:r w:rsidR="000121EA" w:rsidRPr="00FB4EFA">
        <w:rPr>
          <w:rFonts w:cs="Charis SIL"/>
          <w:szCs w:val="24"/>
          <w:lang w:val="de-DE"/>
        </w:rPr>
        <w:t xml:space="preserve"> </w:t>
      </w:r>
      <w:r w:rsidRPr="00FB4EFA">
        <w:rPr>
          <w:rFonts w:cs="Charis SIL"/>
          <w:szCs w:val="24"/>
          <w:lang w:val="de-DE"/>
        </w:rPr>
        <w:t xml:space="preserve">– das gleiche im Deutschen mit dem Komplex </w:t>
      </w:r>
      <w:r w:rsidRPr="00FB4EFA">
        <w:rPr>
          <w:rFonts w:cs="Charis SIL"/>
          <w:i/>
          <w:szCs w:val="24"/>
          <w:lang w:val="de-DE"/>
        </w:rPr>
        <w:t xml:space="preserve">Rad fahren </w:t>
      </w:r>
      <w:r w:rsidRPr="00FB4EFA">
        <w:rPr>
          <w:rFonts w:cs="Charis SIL"/>
          <w:szCs w:val="24"/>
          <w:lang w:val="de-DE"/>
        </w:rPr>
        <w:t>geschah. Dies musste vor 1996 zusa</w:t>
      </w:r>
      <w:r w:rsidRPr="00FB4EFA">
        <w:rPr>
          <w:szCs w:val="24"/>
          <w:lang w:val="de-DE"/>
        </w:rPr>
        <w:t>mmengeschrieben werden (</w:t>
      </w:r>
      <w:r w:rsidRPr="00FB4EFA">
        <w:rPr>
          <w:i/>
          <w:szCs w:val="24"/>
          <w:lang w:val="de-DE"/>
        </w:rPr>
        <w:t>radfahren</w:t>
      </w:r>
      <w:r w:rsidRPr="00FB4EFA">
        <w:rPr>
          <w:szCs w:val="24"/>
          <w:lang w:val="de-DE"/>
        </w:rPr>
        <w:t xml:space="preserve">), seit der deutschen Rechtschreibreform ist aber die kollokationsartige Form </w:t>
      </w:r>
      <w:r w:rsidRPr="00FB4EFA">
        <w:rPr>
          <w:i/>
          <w:szCs w:val="24"/>
          <w:lang w:val="de-DE"/>
        </w:rPr>
        <w:t>Rad fahren</w:t>
      </w:r>
      <w:r w:rsidRPr="00FB4EFA">
        <w:rPr>
          <w:szCs w:val="24"/>
          <w:lang w:val="de-DE"/>
        </w:rPr>
        <w:t xml:space="preserve"> richtig. Aber auch in anderen Fällen werden neuerdings statt den früher gewohnten, univerbierten präpositionsartigen Formen wieder die getrennt geschriebenen bevorzugt, wodurch sie sich dann wieder den sog. strukturellen Phrasemen nähern, vgl. </w:t>
      </w:r>
      <w:r w:rsidR="0030017E" w:rsidRPr="00FB4EFA">
        <w:rPr>
          <w:szCs w:val="24"/>
          <w:lang w:val="de-DE"/>
        </w:rPr>
        <w:t>z. B.</w:t>
      </w:r>
    </w:p>
    <w:p w14:paraId="522AC943" w14:textId="77777777" w:rsidR="000121EA" w:rsidRPr="00FB4EFA" w:rsidRDefault="00CB6469" w:rsidP="00AF0CAD">
      <w:pPr>
        <w:tabs>
          <w:tab w:val="left" w:pos="7592"/>
        </w:tabs>
        <w:spacing w:before="120" w:line="240" w:lineRule="auto"/>
        <w:ind w:left="1004" w:right="794" w:hanging="295"/>
        <w:rPr>
          <w:rFonts w:cs="Charis SIL"/>
          <w:i/>
          <w:lang w:val="de-DE"/>
        </w:rPr>
      </w:pPr>
      <w:r w:rsidRPr="00FB4EFA">
        <w:rPr>
          <w:rFonts w:cs="Charis SIL"/>
          <w:i/>
          <w:lang w:val="de-DE"/>
        </w:rPr>
        <w:t>zugrunde (gehen, richten)</w:t>
      </w:r>
      <w:r w:rsidRPr="00FB4EFA">
        <w:rPr>
          <w:rFonts w:cs="Charis SIL"/>
          <w:lang w:val="de-DE"/>
        </w:rPr>
        <w:t xml:space="preserve"> → </w:t>
      </w:r>
      <w:r w:rsidRPr="00FB4EFA">
        <w:rPr>
          <w:rFonts w:cs="Charis SIL"/>
          <w:i/>
          <w:lang w:val="de-DE"/>
        </w:rPr>
        <w:t>zu Grunde (gehen, richten)</w:t>
      </w:r>
    </w:p>
    <w:p w14:paraId="6B950039" w14:textId="77777777" w:rsidR="000121EA" w:rsidRPr="00FB4EFA" w:rsidRDefault="00CB6469" w:rsidP="00AF0CAD">
      <w:pPr>
        <w:tabs>
          <w:tab w:val="left" w:pos="7592"/>
        </w:tabs>
        <w:spacing w:before="60" w:line="240" w:lineRule="auto"/>
        <w:ind w:left="1004" w:right="794" w:hanging="295"/>
        <w:rPr>
          <w:rFonts w:cs="Charis SIL"/>
          <w:i/>
          <w:lang w:val="de-DE"/>
        </w:rPr>
      </w:pPr>
      <w:r w:rsidRPr="00FB4EFA">
        <w:rPr>
          <w:rFonts w:cs="Charis SIL"/>
          <w:i/>
          <w:lang w:val="de-DE"/>
        </w:rPr>
        <w:t>vonstatten (gehen)</w:t>
      </w:r>
      <w:r w:rsidRPr="00FB4EFA">
        <w:rPr>
          <w:rFonts w:cs="Charis SIL"/>
          <w:lang w:val="de-DE"/>
        </w:rPr>
        <w:t xml:space="preserve"> → </w:t>
      </w:r>
      <w:r w:rsidRPr="00FB4EFA">
        <w:rPr>
          <w:rFonts w:cs="Charis SIL"/>
          <w:i/>
          <w:lang w:val="de-DE"/>
        </w:rPr>
        <w:t>von Statten gehen</w:t>
      </w:r>
    </w:p>
    <w:p w14:paraId="1B8ED208" w14:textId="4E77F8EA" w:rsidR="00CB6469" w:rsidRPr="00FB4EFA" w:rsidRDefault="00CB6469" w:rsidP="00AF0CAD">
      <w:pPr>
        <w:tabs>
          <w:tab w:val="left" w:pos="7592"/>
        </w:tabs>
        <w:spacing w:before="60" w:line="240" w:lineRule="auto"/>
        <w:ind w:left="1004" w:right="794" w:hanging="295"/>
        <w:rPr>
          <w:rFonts w:cs="Charis SIL"/>
          <w:lang w:val="de-DE"/>
        </w:rPr>
      </w:pPr>
      <w:r w:rsidRPr="00FB4EFA">
        <w:rPr>
          <w:rFonts w:cs="Charis SIL"/>
          <w:i/>
          <w:lang w:val="de-DE"/>
        </w:rPr>
        <w:t>vonseiten</w:t>
      </w:r>
      <w:r w:rsidRPr="00FB4EFA">
        <w:rPr>
          <w:rFonts w:cs="Charis SIL"/>
          <w:lang w:val="de-DE"/>
        </w:rPr>
        <w:t xml:space="preserve"> → </w:t>
      </w:r>
      <w:r w:rsidRPr="00FB4EFA">
        <w:rPr>
          <w:rFonts w:cs="Charis SIL"/>
          <w:i/>
          <w:lang w:val="de-DE"/>
        </w:rPr>
        <w:t>von Seiten</w:t>
      </w:r>
      <w:r w:rsidRPr="00FB4EFA">
        <w:rPr>
          <w:rFonts w:cs="Charis SIL"/>
          <w:lang w:val="de-DE"/>
        </w:rPr>
        <w:t xml:space="preserve"> usw.</w:t>
      </w:r>
    </w:p>
    <w:p w14:paraId="511C310E" w14:textId="7FD3D87A" w:rsidR="00CB6469" w:rsidRPr="00FB4EFA" w:rsidRDefault="00CB6469" w:rsidP="00AC1192">
      <w:pPr>
        <w:pStyle w:val="Heading2"/>
        <w:numPr>
          <w:ilvl w:val="0"/>
          <w:numId w:val="27"/>
        </w:numPr>
        <w:suppressAutoHyphens/>
        <w:spacing w:line="259" w:lineRule="auto"/>
        <w:rPr>
          <w:b/>
          <w:color w:val="auto"/>
          <w:lang w:val="de-DE"/>
        </w:rPr>
      </w:pPr>
      <w:bookmarkStart w:id="53" w:name="_Toc60253038"/>
      <w:r w:rsidRPr="00FB4EFA">
        <w:rPr>
          <w:color w:val="auto"/>
          <w:lang w:val="de-DE"/>
        </w:rPr>
        <w:t>Eine Komponente des Phrasems stirbt als freies Lexem</w:t>
      </w:r>
      <w:bookmarkEnd w:id="53"/>
      <w:r w:rsidRPr="00FB4EFA">
        <w:rPr>
          <w:color w:val="auto"/>
          <w:lang w:val="de-DE"/>
        </w:rPr>
        <w:t xml:space="preserve"> aus</w:t>
      </w:r>
    </w:p>
    <w:p w14:paraId="4192D01C" w14:textId="59394045" w:rsidR="00CB6469" w:rsidRPr="00FB4EFA" w:rsidRDefault="00CB6469" w:rsidP="00F60DD5">
      <w:pPr>
        <w:spacing w:after="240"/>
      </w:pPr>
      <w:r w:rsidRPr="00FB4EFA">
        <w:rPr>
          <w:lang w:val="de-DE"/>
        </w:rPr>
        <w:t xml:space="preserve">Wie auch Burger &amp; Linke (1998: 752) </w:t>
      </w:r>
      <w:r w:rsidR="00C02404" w:rsidRPr="00FB4EFA">
        <w:rPr>
          <w:lang w:val="de-DE"/>
        </w:rPr>
        <w:t>anmerken</w:t>
      </w:r>
      <w:r w:rsidR="00922F08" w:rsidRPr="00FB4EFA">
        <w:rPr>
          <w:lang w:val="de-DE"/>
        </w:rPr>
        <w:t>,</w:t>
      </w:r>
      <w:r w:rsidRPr="00FB4EFA">
        <w:rPr>
          <w:lang w:val="de-DE"/>
        </w:rPr>
        <w:t xml:space="preserve"> ist im Deutschen der Gebrauch des Phraseologismus </w:t>
      </w:r>
      <w:r w:rsidRPr="00FB4EFA">
        <w:rPr>
          <w:i/>
          <w:lang w:val="de-DE"/>
        </w:rPr>
        <w:t xml:space="preserve">das Schindmesser im Arsch haben </w:t>
      </w:r>
      <w:r w:rsidRPr="00FB4EFA">
        <w:rPr>
          <w:lang w:val="de-DE"/>
        </w:rPr>
        <w:t>aus diesem Grund in den Hintergrund geraten. Der Ausdruck kommt im 15</w:t>
      </w:r>
      <w:r w:rsidR="00C02404" w:rsidRPr="00FB4EFA">
        <w:rPr>
          <w:lang w:val="de-DE"/>
        </w:rPr>
        <w:t>.</w:t>
      </w:r>
      <w:r w:rsidRPr="00FB4EFA">
        <w:rPr>
          <w:lang w:val="de-DE"/>
        </w:rPr>
        <w:t xml:space="preserve">–16. Jahrhundert ganz häufig vor, vgl. </w:t>
      </w:r>
      <w:r w:rsidR="0030017E" w:rsidRPr="00FB4EFA">
        <w:rPr>
          <w:lang w:val="de-DE"/>
        </w:rPr>
        <w:t>z. B.</w:t>
      </w:r>
    </w:p>
    <w:p w14:paraId="38469CD6" w14:textId="77777777" w:rsidR="00CB6469" w:rsidRPr="00FB4EFA" w:rsidRDefault="00CB6469" w:rsidP="00AF0CAD">
      <w:pPr>
        <w:keepNext/>
        <w:spacing w:line="240" w:lineRule="auto"/>
        <w:ind w:left="709" w:right="794"/>
        <w:rPr>
          <w:b/>
        </w:rPr>
      </w:pPr>
      <w:r w:rsidRPr="00FB4EFA">
        <w:t>wie wol jch uff der gruben gan</w:t>
      </w:r>
    </w:p>
    <w:p w14:paraId="1A348428" w14:textId="77777777" w:rsidR="000121EA" w:rsidRPr="00FB4EFA" w:rsidRDefault="00CB6469" w:rsidP="00AF0CAD">
      <w:pPr>
        <w:keepNext/>
        <w:spacing w:line="240" w:lineRule="auto"/>
        <w:ind w:left="709" w:right="794"/>
      </w:pPr>
      <w:r w:rsidRPr="00FB4EFA">
        <w:t xml:space="preserve">und </w:t>
      </w:r>
      <w:r w:rsidRPr="00FB4EFA">
        <w:rPr>
          <w:i/>
        </w:rPr>
        <w:t>das schyntmesser jm ars han,</w:t>
      </w:r>
    </w:p>
    <w:p w14:paraId="0F09E8D6" w14:textId="77777777" w:rsidR="000121EA" w:rsidRPr="00FB4EFA" w:rsidRDefault="00CB6469" w:rsidP="00634518">
      <w:pPr>
        <w:keepNext/>
        <w:spacing w:line="240" w:lineRule="auto"/>
        <w:ind w:left="709" w:right="794"/>
      </w:pPr>
      <w:r w:rsidRPr="00FB4EFA">
        <w:t>mag jch myn narrheyt, doch nit lan</w:t>
      </w:r>
    </w:p>
    <w:p w14:paraId="783111E3" w14:textId="6BBEBA9C" w:rsidR="00CB6469" w:rsidRPr="00FB4EFA" w:rsidRDefault="00CB6469" w:rsidP="00AF0CAD">
      <w:pPr>
        <w:spacing w:line="240" w:lineRule="auto"/>
        <w:ind w:left="709" w:right="794"/>
        <w:rPr>
          <w:b/>
        </w:rPr>
      </w:pPr>
      <w:r w:rsidRPr="00FB4EFA">
        <w:t>(Sebastian Brant: Narrenschiff, Vorwort zum 5. Kapitel, zitiert von Burger &amp; Linke a. a. O.)</w:t>
      </w:r>
    </w:p>
    <w:p w14:paraId="0D882336" w14:textId="7EB380A9" w:rsidR="00CB6469" w:rsidRPr="00FB4EFA" w:rsidRDefault="00CB6469" w:rsidP="004E44CC">
      <w:pPr>
        <w:spacing w:before="240"/>
        <w:rPr>
          <w:rFonts w:cs="Charis SIL"/>
        </w:rPr>
      </w:pPr>
      <w:r w:rsidRPr="00FB4EFA">
        <w:rPr>
          <w:lang w:val="de-DE"/>
        </w:rPr>
        <w:t xml:space="preserve">Das Lexem </w:t>
      </w:r>
      <w:r w:rsidRPr="00FB4EFA">
        <w:rPr>
          <w:i/>
          <w:lang w:val="de-DE"/>
        </w:rPr>
        <w:t>Schindmesser</w:t>
      </w:r>
      <w:r w:rsidRPr="00FB4EFA">
        <w:rPr>
          <w:lang w:val="de-DE"/>
        </w:rPr>
        <w:t xml:space="preserve"> gehört heute nicht mehr dem deutschen Wortschatz an, sogar die im vorderen Glied befindliche verbale Komponente </w:t>
      </w:r>
      <w:r w:rsidRPr="00FB4EFA">
        <w:rPr>
          <w:i/>
          <w:lang w:val="de-DE"/>
        </w:rPr>
        <w:t>schinden</w:t>
      </w:r>
      <w:r w:rsidRPr="00FB4EFA">
        <w:rPr>
          <w:lang w:val="de-DE"/>
        </w:rPr>
        <w:t xml:space="preserve"> wird nicht mehr in ihrer ursprünglichen </w:t>
      </w:r>
      <w:r w:rsidRPr="00FB4EFA">
        <w:rPr>
          <w:rFonts w:cs="Charis SIL"/>
          <w:lang w:val="de-DE"/>
        </w:rPr>
        <w:t xml:space="preserve">Bedeutung von </w:t>
      </w:r>
      <w:r w:rsidR="006057AB" w:rsidRPr="00FB4EFA">
        <w:rPr>
          <w:rFonts w:cs="Charis SIL"/>
          <w:lang w:val="de-DE"/>
        </w:rPr>
        <w:t>‘</w:t>
      </w:r>
      <w:r w:rsidRPr="00FB4EFA">
        <w:rPr>
          <w:rFonts w:cs="Charis SIL"/>
          <w:lang w:val="de-DE"/>
        </w:rPr>
        <w:t>häuten, das Fell abziehen</w:t>
      </w:r>
      <w:r w:rsidR="006057AB" w:rsidRPr="00FB4EFA">
        <w:rPr>
          <w:rFonts w:cs="Charis SIL"/>
          <w:lang w:val="de-DE"/>
        </w:rPr>
        <w:t>’</w:t>
      </w:r>
      <w:r w:rsidRPr="00FB4EFA">
        <w:rPr>
          <w:rFonts w:cs="Charis SIL"/>
          <w:lang w:val="de-DE"/>
        </w:rPr>
        <w:t xml:space="preserve"> verwendet, sondern im Sinne von </w:t>
      </w:r>
      <w:r w:rsidR="006057AB" w:rsidRPr="00FB4EFA">
        <w:rPr>
          <w:rFonts w:cs="Charis SIL"/>
          <w:lang w:val="de-DE"/>
        </w:rPr>
        <w:t>‘</w:t>
      </w:r>
      <w:r w:rsidRPr="00FB4EFA">
        <w:rPr>
          <w:rFonts w:cs="Charis SIL"/>
          <w:lang w:val="de-DE"/>
        </w:rPr>
        <w:t>quälen, grausam behandeln</w:t>
      </w:r>
      <w:r w:rsidR="006057AB" w:rsidRPr="00FB4EFA">
        <w:rPr>
          <w:rFonts w:cs="Charis SIL"/>
          <w:lang w:val="de-DE"/>
        </w:rPr>
        <w:t>’</w:t>
      </w:r>
      <w:r w:rsidRPr="00FB4EFA">
        <w:rPr>
          <w:rFonts w:cs="Charis SIL"/>
          <w:lang w:val="de-DE"/>
        </w:rPr>
        <w:t xml:space="preserve"> (</w:t>
      </w:r>
      <w:r w:rsidR="0030017E" w:rsidRPr="00FB4EFA">
        <w:rPr>
          <w:rFonts w:cs="Charis SIL"/>
          <w:lang w:val="de-DE"/>
        </w:rPr>
        <w:t>z. B.</w:t>
      </w:r>
      <w:r w:rsidRPr="00FB4EFA">
        <w:rPr>
          <w:rFonts w:cs="Charis SIL"/>
          <w:lang w:val="de-DE"/>
        </w:rPr>
        <w:t xml:space="preserve"> </w:t>
      </w:r>
      <w:r w:rsidRPr="00FB4EFA">
        <w:rPr>
          <w:rFonts w:cs="Charis SIL"/>
          <w:i/>
          <w:lang w:val="de-DE"/>
        </w:rPr>
        <w:t>Rekruten schinden</w:t>
      </w:r>
      <w:r w:rsidRPr="00FB4EFA">
        <w:rPr>
          <w:rFonts w:cs="Charis SIL"/>
          <w:lang w:val="de-DE"/>
        </w:rPr>
        <w:t>,</w:t>
      </w:r>
      <w:r w:rsidRPr="00FB4EFA">
        <w:rPr>
          <w:rFonts w:cs="Charis SIL"/>
          <w:i/>
          <w:lang w:val="de-DE"/>
        </w:rPr>
        <w:t xml:space="preserve"> den Motor schinden</w:t>
      </w:r>
      <w:r w:rsidRPr="00FB4EFA">
        <w:rPr>
          <w:rFonts w:cs="Charis SIL"/>
          <w:lang w:val="de-DE"/>
        </w:rPr>
        <w:t xml:space="preserve">) oder als </w:t>
      </w:r>
      <w:r w:rsidR="006057AB" w:rsidRPr="00FB4EFA">
        <w:rPr>
          <w:rFonts w:cs="Charis SIL"/>
          <w:lang w:val="de-DE"/>
        </w:rPr>
        <w:t>‘</w:t>
      </w:r>
      <w:r w:rsidRPr="00FB4EFA">
        <w:rPr>
          <w:rFonts w:cs="Charis SIL"/>
          <w:lang w:val="de-DE"/>
        </w:rPr>
        <w:t>die Bezahlung von etwas umgehen</w:t>
      </w:r>
      <w:r w:rsidR="006057AB" w:rsidRPr="00FB4EFA">
        <w:rPr>
          <w:rFonts w:cs="Charis SIL"/>
          <w:lang w:val="de-DE"/>
        </w:rPr>
        <w:t>’</w:t>
      </w:r>
      <w:r w:rsidRPr="00FB4EFA">
        <w:rPr>
          <w:rFonts w:cs="Charis SIL"/>
          <w:lang w:val="de-DE"/>
        </w:rPr>
        <w:t xml:space="preserve"> (</w:t>
      </w:r>
      <w:r w:rsidRPr="00FB4EFA">
        <w:rPr>
          <w:rFonts w:cs="Charis SIL"/>
          <w:i/>
          <w:lang w:val="de-DE"/>
        </w:rPr>
        <w:t xml:space="preserve">das Fahrgeld schinden </w:t>
      </w:r>
      <w:r w:rsidRPr="00FB4EFA">
        <w:rPr>
          <w:rFonts w:cs="Charis SIL"/>
          <w:lang w:val="de-DE"/>
        </w:rPr>
        <w:t>bzw.</w:t>
      </w:r>
      <w:r w:rsidRPr="00FB4EFA">
        <w:rPr>
          <w:rFonts w:cs="Charis SIL"/>
          <w:i/>
          <w:lang w:val="de-DE"/>
        </w:rPr>
        <w:t xml:space="preserve"> das Lokal schinden</w:t>
      </w:r>
      <w:r w:rsidRPr="00FB4EFA">
        <w:rPr>
          <w:rFonts w:cs="Charis SIL"/>
          <w:lang w:val="de-DE"/>
        </w:rPr>
        <w:t xml:space="preserve">). Beim Verschwinden spielt nicht nur der Rückgang der Komponente </w:t>
      </w:r>
      <w:r w:rsidRPr="00FB4EFA">
        <w:rPr>
          <w:rFonts w:cs="Charis SIL"/>
          <w:i/>
          <w:lang w:val="de-DE"/>
        </w:rPr>
        <w:t>Schindmesser</w:t>
      </w:r>
      <w:r w:rsidR="000121EA" w:rsidRPr="00FB4EFA">
        <w:rPr>
          <w:rFonts w:cs="Charis SIL"/>
          <w:lang w:val="de-DE"/>
        </w:rPr>
        <w:t xml:space="preserve"> </w:t>
      </w:r>
      <w:r w:rsidRPr="00FB4EFA">
        <w:rPr>
          <w:rFonts w:cs="Charis SIL"/>
          <w:lang w:val="de-DE"/>
        </w:rPr>
        <w:t>eine Rolle, sondern auch, dass das zweite Glied (</w:t>
      </w:r>
      <w:r w:rsidRPr="00FB4EFA">
        <w:rPr>
          <w:rFonts w:cs="Charis SIL"/>
          <w:i/>
          <w:lang w:val="de-DE"/>
        </w:rPr>
        <w:t>Arsch</w:t>
      </w:r>
      <w:r w:rsidRPr="00FB4EFA">
        <w:rPr>
          <w:rFonts w:cs="Charis SIL"/>
          <w:lang w:val="de-DE"/>
        </w:rPr>
        <w:t xml:space="preserve">) mit der Zeit eine immer vulgärere Bedeutung bekam und heute </w:t>
      </w:r>
      <w:r w:rsidRPr="00FB4EFA">
        <w:rPr>
          <w:rFonts w:cs="Charis SIL"/>
          <w:lang w:val="de-DE"/>
        </w:rPr>
        <w:lastRenderedPageBreak/>
        <w:t xml:space="preserve">nur noch in derben Ausdrücken und Flüchen vorkommt. Wahrscheinlich führte dieser Wandel auch dazu, dass der Ausdruck eine weniger derbe Variante hatte: </w:t>
      </w:r>
      <w:r w:rsidRPr="00FB4EFA">
        <w:rPr>
          <w:rFonts w:cs="Charis SIL"/>
          <w:i/>
          <w:lang w:val="de-DE"/>
        </w:rPr>
        <w:t>das Schindmesser im Hintern tragen.</w:t>
      </w:r>
      <w:r w:rsidRPr="00FB4EFA">
        <w:rPr>
          <w:rFonts w:cs="Charis SIL"/>
          <w:lang w:val="de-DE"/>
        </w:rPr>
        <w:t xml:space="preserve"> So finden wir ihn auch bei Sebastian Franck: </w:t>
      </w:r>
      <w:r w:rsidRPr="00FB4EFA">
        <w:rPr>
          <w:rFonts w:cs="Charis SIL"/>
          <w:i/>
          <w:lang w:val="de-DE"/>
        </w:rPr>
        <w:t>er steht mit dem einen fůsz im grab, er tregt das schindmesser im hindern</w:t>
      </w:r>
      <w:r w:rsidRPr="00FB4EFA">
        <w:rPr>
          <w:rFonts w:cs="Charis SIL"/>
          <w:lang w:val="de-DE"/>
        </w:rPr>
        <w:t xml:space="preserve"> (vgl. DWB. 15: 202). Heute</w:t>
      </w:r>
      <w:r w:rsidR="000121EA" w:rsidRPr="00FB4EFA">
        <w:rPr>
          <w:rFonts w:cs="Charis SIL"/>
          <w:lang w:val="de-DE"/>
        </w:rPr>
        <w:t xml:space="preserve"> </w:t>
      </w:r>
      <w:r w:rsidRPr="00FB4EFA">
        <w:rPr>
          <w:rFonts w:cs="Charis SIL"/>
          <w:lang w:val="de-DE"/>
        </w:rPr>
        <w:t xml:space="preserve">jedoch trifft man von all diesen Ausdrücken nur mehr die Form </w:t>
      </w:r>
      <w:r w:rsidRPr="00FB4EFA">
        <w:rPr>
          <w:rFonts w:cs="Charis SIL"/>
          <w:i/>
          <w:lang w:val="de-DE"/>
        </w:rPr>
        <w:t>mit eine</w:t>
      </w:r>
      <w:r w:rsidR="00C02404" w:rsidRPr="00FB4EFA">
        <w:rPr>
          <w:rFonts w:cs="Charis SIL"/>
          <w:i/>
          <w:lang w:val="de-DE"/>
        </w:rPr>
        <w:t>m</w:t>
      </w:r>
      <w:r w:rsidRPr="00FB4EFA">
        <w:rPr>
          <w:rFonts w:cs="Charis SIL"/>
          <w:i/>
          <w:lang w:val="de-DE"/>
        </w:rPr>
        <w:t xml:space="preserve"> Fuß im Grab stehen </w:t>
      </w:r>
      <w:r w:rsidRPr="00FB4EFA">
        <w:rPr>
          <w:rFonts w:cs="Charis SIL"/>
          <w:lang w:val="de-DE"/>
        </w:rPr>
        <w:t xml:space="preserve">an, beide Ausdrücke mit der Komponente </w:t>
      </w:r>
      <w:r w:rsidRPr="00FB4EFA">
        <w:rPr>
          <w:rFonts w:cs="Charis SIL"/>
          <w:i/>
          <w:lang w:val="de-DE"/>
        </w:rPr>
        <w:t>Schindmesser</w:t>
      </w:r>
      <w:r w:rsidRPr="00FB4EFA">
        <w:rPr>
          <w:rFonts w:cs="Charis SIL"/>
          <w:lang w:val="de-DE"/>
        </w:rPr>
        <w:t xml:space="preserve"> sind inzwischen ausgestorben – unabhängig von der Tabuisierung der Komponente </w:t>
      </w:r>
      <w:r w:rsidRPr="00FB4EFA">
        <w:rPr>
          <w:rFonts w:cs="Charis SIL"/>
          <w:i/>
          <w:lang w:val="de-DE"/>
        </w:rPr>
        <w:t>Arsch</w:t>
      </w:r>
      <w:r w:rsidRPr="00FB4EFA">
        <w:rPr>
          <w:rFonts w:cs="Charis SIL"/>
          <w:lang w:val="de-DE"/>
        </w:rPr>
        <w:t>.</w:t>
      </w:r>
    </w:p>
    <w:p w14:paraId="3ABB77E7" w14:textId="2B63CE2D" w:rsidR="00CB6469" w:rsidRPr="00FB4EFA" w:rsidRDefault="00CB6469" w:rsidP="004E44CC">
      <w:pPr>
        <w:ind w:firstLine="709"/>
        <w:rPr>
          <w:rFonts w:cs="Charis SIL"/>
        </w:rPr>
      </w:pPr>
      <w:r w:rsidRPr="00FB4EFA">
        <w:rPr>
          <w:rFonts w:cs="Charis SIL"/>
          <w:lang w:val="de-DE"/>
        </w:rPr>
        <w:t xml:space="preserve">Gleichermaßen ausgestorben sind im Deutschen die Phraseologismen </w:t>
      </w:r>
      <w:r w:rsidRPr="00FB4EFA">
        <w:rPr>
          <w:rFonts w:cs="Charis SIL"/>
          <w:i/>
          <w:lang w:val="de-DE"/>
        </w:rPr>
        <w:t>einen Haarbeutel haben</w:t>
      </w:r>
      <w:r w:rsidRPr="00FB4EFA">
        <w:rPr>
          <w:rFonts w:cs="Charis SIL"/>
          <w:lang w:val="de-DE"/>
        </w:rPr>
        <w:t xml:space="preserve"> bzw. </w:t>
      </w:r>
      <w:r w:rsidRPr="00FB4EFA">
        <w:rPr>
          <w:rFonts w:cs="Charis SIL"/>
          <w:i/>
          <w:lang w:val="de-DE"/>
        </w:rPr>
        <w:t>sich einen Haarbeutel trin</w:t>
      </w:r>
      <w:r w:rsidR="00634518" w:rsidRPr="00FB4EFA">
        <w:rPr>
          <w:rFonts w:cs="Charis SIL"/>
          <w:i/>
          <w:lang w:val="de-DE"/>
        </w:rPr>
        <w:softHyphen/>
      </w:r>
      <w:r w:rsidRPr="00FB4EFA">
        <w:rPr>
          <w:rFonts w:cs="Charis SIL"/>
          <w:i/>
          <w:lang w:val="de-DE"/>
        </w:rPr>
        <w:t xml:space="preserve">ken </w:t>
      </w:r>
      <w:r w:rsidR="006057AB" w:rsidRPr="00FB4EFA">
        <w:rPr>
          <w:rFonts w:cs="Charis SIL"/>
          <w:lang w:val="de-DE"/>
        </w:rPr>
        <w:t>‘</w:t>
      </w:r>
      <w:r w:rsidRPr="00FB4EFA">
        <w:rPr>
          <w:rFonts w:cs="Charis SIL"/>
          <w:lang w:val="de-DE"/>
        </w:rPr>
        <w:t>betrunken sein</w:t>
      </w:r>
      <w:r w:rsidR="006057AB" w:rsidRPr="00FB4EFA">
        <w:rPr>
          <w:rFonts w:cs="Charis SIL"/>
          <w:lang w:val="de-DE"/>
        </w:rPr>
        <w:t>’</w:t>
      </w:r>
      <w:r w:rsidRPr="00FB4EFA">
        <w:rPr>
          <w:rFonts w:cs="Charis SIL"/>
          <w:lang w:val="de-DE"/>
        </w:rPr>
        <w:t xml:space="preserve">. </w:t>
      </w:r>
      <w:r w:rsidRPr="00FB4EFA">
        <w:rPr>
          <w:rFonts w:cs="Charis SIL"/>
          <w:i/>
          <w:lang w:val="de-DE"/>
        </w:rPr>
        <w:t>Haarbeutel</w:t>
      </w:r>
      <w:r w:rsidRPr="00FB4EFA">
        <w:rPr>
          <w:rFonts w:cs="Charis SIL"/>
          <w:lang w:val="de-DE"/>
        </w:rPr>
        <w:t xml:space="preserve"> „nannte man im 18. Jahrhundert den Beutel, dessen sich die Männer bedienten, um die langen Hinter</w:t>
      </w:r>
      <w:r w:rsidR="00634518" w:rsidRPr="00FB4EFA">
        <w:rPr>
          <w:rFonts w:cs="Charis SIL"/>
          <w:lang w:val="de-DE"/>
        </w:rPr>
        <w:softHyphen/>
      </w:r>
      <w:r w:rsidRPr="00FB4EFA">
        <w:rPr>
          <w:rFonts w:cs="Charis SIL"/>
          <w:lang w:val="de-DE"/>
        </w:rPr>
        <w:t>kopfhaare darin zusammenzufassen, woraus sich dann der künstliche Zopf des friderizianischen Zeitalters entwickelte. Mit dem Gewicht dieses Beutels wurde im Scherz die Empfindung des schweren Hinter</w:t>
      </w:r>
      <w:r w:rsidR="00634518" w:rsidRPr="00FB4EFA">
        <w:rPr>
          <w:rFonts w:cs="Charis SIL"/>
          <w:lang w:val="de-DE"/>
        </w:rPr>
        <w:softHyphen/>
      </w:r>
      <w:r w:rsidRPr="00FB4EFA">
        <w:rPr>
          <w:rFonts w:cs="Charis SIL"/>
          <w:lang w:val="de-DE"/>
        </w:rPr>
        <w:t>kopfes verglichen, die man bei einem Rausch hat</w:t>
      </w:r>
      <w:r w:rsidR="00246C87" w:rsidRPr="00FB4EFA">
        <w:rPr>
          <w:rFonts w:cs="Charis SIL"/>
          <w:lang w:val="de-DE"/>
        </w:rPr>
        <w:t>“</w:t>
      </w:r>
      <w:r w:rsidRPr="00FB4EFA">
        <w:rPr>
          <w:rFonts w:cs="Charis SIL"/>
          <w:lang w:val="de-DE"/>
        </w:rPr>
        <w:t xml:space="preserve"> (Röhrich 1991</w:t>
      </w:r>
      <w:r w:rsidR="00216577" w:rsidRPr="00FB4EFA">
        <w:rPr>
          <w:rFonts w:cs="Charis SIL"/>
          <w:lang w:val="de-DE"/>
        </w:rPr>
        <w:t>–1992</w:t>
      </w:r>
      <w:r w:rsidRPr="00FB4EFA">
        <w:rPr>
          <w:rFonts w:cs="Charis SIL"/>
          <w:lang w:val="de-DE"/>
        </w:rPr>
        <w:t xml:space="preserve">: 608). Heute kommt aber die Komponente </w:t>
      </w:r>
      <w:r w:rsidRPr="00FB4EFA">
        <w:rPr>
          <w:rFonts w:cs="Charis SIL"/>
          <w:i/>
          <w:lang w:val="de-DE"/>
        </w:rPr>
        <w:t>Haarbeutel</w:t>
      </w:r>
      <w:r w:rsidRPr="00FB4EFA">
        <w:rPr>
          <w:rFonts w:cs="Charis SIL"/>
          <w:lang w:val="de-DE"/>
        </w:rPr>
        <w:t xml:space="preserve"> auch als Einzellexem kaum noch vor,</w:t>
      </w:r>
      <w:r w:rsidR="000121EA" w:rsidRPr="00FB4EFA">
        <w:rPr>
          <w:rFonts w:cs="Charis SIL"/>
          <w:lang w:val="de-DE"/>
        </w:rPr>
        <w:t xml:space="preserve"> </w:t>
      </w:r>
      <w:r w:rsidRPr="00FB4EFA">
        <w:rPr>
          <w:rFonts w:cs="Charis SIL"/>
          <w:lang w:val="de-DE"/>
        </w:rPr>
        <w:t>die Redensart selbst wird höchstens noch mundartlich in Schleswig-Holstein gebraucht (vgl. Röhrich a. a. O.)</w:t>
      </w:r>
      <w:r w:rsidR="00C02404" w:rsidRPr="00FB4EFA">
        <w:rPr>
          <w:rFonts w:cs="Charis SIL"/>
          <w:lang w:val="de-DE"/>
        </w:rPr>
        <w:t>.</w:t>
      </w:r>
    </w:p>
    <w:p w14:paraId="44F3B5FB" w14:textId="6DD9F130" w:rsidR="00CB6469" w:rsidRPr="00FB4EFA" w:rsidRDefault="00CB6469" w:rsidP="004E44CC">
      <w:pPr>
        <w:ind w:firstLine="709"/>
        <w:rPr>
          <w:rFonts w:cs="Charis SIL"/>
        </w:rPr>
      </w:pPr>
      <w:r w:rsidRPr="00FB4EFA">
        <w:rPr>
          <w:rFonts w:cs="Charis SIL"/>
          <w:lang w:val="de-DE"/>
        </w:rPr>
        <w:t xml:space="preserve">Solche Beispiele findet man auch im Ungarischen. Aus dem 16. Jahrhundert ist das Phrasem </w:t>
      </w:r>
      <w:r w:rsidRPr="00FB4EFA">
        <w:rPr>
          <w:rFonts w:cs="Charis SIL"/>
          <w:i/>
          <w:lang w:val="de-DE"/>
        </w:rPr>
        <w:t>duskát iszik</w:t>
      </w:r>
      <w:r w:rsidRPr="00FB4EFA">
        <w:rPr>
          <w:rFonts w:cs="Charis SIL"/>
          <w:lang w:val="de-DE"/>
        </w:rPr>
        <w:t xml:space="preserve"> </w:t>
      </w:r>
      <w:r w:rsidR="006057AB" w:rsidRPr="00FB4EFA">
        <w:rPr>
          <w:rFonts w:cs="Charis SIL"/>
          <w:lang w:val="de-DE"/>
        </w:rPr>
        <w:t>‘</w:t>
      </w:r>
      <w:r w:rsidRPr="00FB4EFA">
        <w:rPr>
          <w:rFonts w:cs="Charis SIL"/>
          <w:lang w:val="de-DE"/>
        </w:rPr>
        <w:t>etw. mit einem Trunk feiern</w:t>
      </w:r>
      <w:r w:rsidR="006057AB" w:rsidRPr="00FB4EFA">
        <w:rPr>
          <w:rFonts w:cs="Charis SIL"/>
          <w:lang w:val="de-DE"/>
        </w:rPr>
        <w:t>’</w:t>
      </w:r>
      <w:r w:rsidRPr="00FB4EFA">
        <w:rPr>
          <w:rFonts w:cs="Charis SIL"/>
          <w:lang w:val="de-DE"/>
        </w:rPr>
        <w:t xml:space="preserve"> mehrfach nachzuweisen. Dessen aus dem Slawischen stammende nominale Komponente kommt ab und zu auch noch im 19. Jahrhundert vor, ist aber heute aus dem Ungarischen völlig verschwunden (vgl. TESz. I: 693). Deswegen ist auch die Redewendung gänzlich verloren gegangen und durch die Form </w:t>
      </w:r>
      <w:r w:rsidRPr="00FB4EFA">
        <w:rPr>
          <w:rFonts w:cs="Charis SIL"/>
          <w:i/>
          <w:lang w:val="de-DE"/>
        </w:rPr>
        <w:t>áldomást iszik</w:t>
      </w:r>
      <w:r w:rsidRPr="00FB4EFA">
        <w:rPr>
          <w:rFonts w:cs="Charis SIL"/>
          <w:lang w:val="de-DE"/>
        </w:rPr>
        <w:t xml:space="preserve"> abgelöst worden. Diese führt jedoch die Polysemie von </w:t>
      </w:r>
      <w:r w:rsidRPr="00FB4EFA">
        <w:rPr>
          <w:rFonts w:cs="Charis SIL"/>
          <w:i/>
          <w:lang w:val="de-DE"/>
        </w:rPr>
        <w:t>duskát iszik</w:t>
      </w:r>
      <w:r w:rsidRPr="00FB4EFA">
        <w:rPr>
          <w:rFonts w:cs="Charis SIL"/>
          <w:lang w:val="de-DE"/>
        </w:rPr>
        <w:t xml:space="preserve"> nicht weiter (1. </w:t>
      </w:r>
      <w:r w:rsidR="006057AB" w:rsidRPr="00FB4EFA">
        <w:rPr>
          <w:rFonts w:cs="Charis SIL"/>
          <w:lang w:val="de-DE"/>
        </w:rPr>
        <w:t>‘</w:t>
      </w:r>
      <w:r w:rsidRPr="00FB4EFA">
        <w:rPr>
          <w:rFonts w:cs="Charis SIL"/>
          <w:lang w:val="de-DE"/>
        </w:rPr>
        <w:t>das Glas auf einmal trinken</w:t>
      </w:r>
      <w:r w:rsidR="006057AB" w:rsidRPr="00FB4EFA">
        <w:rPr>
          <w:rFonts w:cs="Charis SIL"/>
          <w:lang w:val="de-DE"/>
        </w:rPr>
        <w:t>’</w:t>
      </w:r>
      <w:r w:rsidRPr="00FB4EFA">
        <w:rPr>
          <w:rFonts w:cs="Charis SIL"/>
          <w:lang w:val="de-DE"/>
        </w:rPr>
        <w:t xml:space="preserve">; 2. </w:t>
      </w:r>
      <w:r w:rsidR="006057AB" w:rsidRPr="00FB4EFA">
        <w:rPr>
          <w:rFonts w:cs="Charis SIL"/>
          <w:lang w:val="de-DE"/>
        </w:rPr>
        <w:t>‘</w:t>
      </w:r>
      <w:r w:rsidRPr="00FB4EFA">
        <w:rPr>
          <w:rFonts w:cs="Charis SIL"/>
          <w:lang w:val="de-DE"/>
        </w:rPr>
        <w:t>den Kauftrunk trinken, auf eine Abmachung trinken</w:t>
      </w:r>
      <w:r w:rsidR="006057AB" w:rsidRPr="00FB4EFA">
        <w:rPr>
          <w:rFonts w:cs="Charis SIL"/>
          <w:lang w:val="de-DE"/>
        </w:rPr>
        <w:t>’</w:t>
      </w:r>
      <w:r w:rsidRPr="00FB4EFA">
        <w:rPr>
          <w:rFonts w:cs="Charis SIL"/>
          <w:lang w:val="de-DE"/>
        </w:rPr>
        <w:t xml:space="preserve">; 3. </w:t>
      </w:r>
      <w:r w:rsidR="006057AB" w:rsidRPr="00FB4EFA">
        <w:rPr>
          <w:rFonts w:cs="Charis SIL"/>
          <w:lang w:val="de-DE"/>
        </w:rPr>
        <w:t>‘</w:t>
      </w:r>
      <w:r w:rsidRPr="00FB4EFA">
        <w:rPr>
          <w:rFonts w:cs="Charis SIL"/>
          <w:lang w:val="de-DE"/>
        </w:rPr>
        <w:t>saufen, betrunken sein</w:t>
      </w:r>
      <w:r w:rsidR="006057AB" w:rsidRPr="00FB4EFA">
        <w:rPr>
          <w:rFonts w:cs="Charis SIL"/>
          <w:lang w:val="de-DE"/>
        </w:rPr>
        <w:t>’</w:t>
      </w:r>
      <w:r w:rsidRPr="00FB4EFA">
        <w:rPr>
          <w:rFonts w:cs="Charis SIL"/>
          <w:lang w:val="de-DE"/>
        </w:rPr>
        <w:t xml:space="preserve">), sie erbt nur dessen zweite Bedeutung: </w:t>
      </w:r>
      <w:r w:rsidR="006057AB" w:rsidRPr="00FB4EFA">
        <w:rPr>
          <w:rFonts w:cs="Charis SIL"/>
          <w:lang w:val="de-DE"/>
        </w:rPr>
        <w:t>‘</w:t>
      </w:r>
      <w:r w:rsidRPr="00FB4EFA">
        <w:rPr>
          <w:rFonts w:cs="Charis SIL"/>
          <w:lang w:val="de-DE"/>
        </w:rPr>
        <w:t>eine Abmachung durch einen Trunk besiegeln</w:t>
      </w:r>
      <w:r w:rsidR="006057AB" w:rsidRPr="00FB4EFA">
        <w:rPr>
          <w:rFonts w:cs="Charis SIL"/>
          <w:lang w:val="de-DE"/>
        </w:rPr>
        <w:t>’</w:t>
      </w:r>
      <w:r w:rsidRPr="00FB4EFA">
        <w:rPr>
          <w:rFonts w:cs="Charis SIL"/>
          <w:lang w:val="de-DE"/>
        </w:rPr>
        <w:t>.</w:t>
      </w:r>
    </w:p>
    <w:p w14:paraId="593B1145" w14:textId="78C804F1" w:rsidR="000121EA" w:rsidRPr="00FB4EFA" w:rsidRDefault="00CB6469" w:rsidP="004E44CC">
      <w:pPr>
        <w:spacing w:after="240"/>
        <w:ind w:firstLine="709"/>
        <w:rPr>
          <w:rFonts w:cs="Charis SIL"/>
          <w:lang w:val="de-DE"/>
        </w:rPr>
      </w:pPr>
      <w:r w:rsidRPr="00FB4EFA">
        <w:rPr>
          <w:rFonts w:cs="Charis SIL"/>
          <w:lang w:val="de-DE"/>
        </w:rPr>
        <w:t xml:space="preserve">Als Lexem kann man heute das Wort </w:t>
      </w:r>
      <w:r w:rsidRPr="00FB4EFA">
        <w:rPr>
          <w:rFonts w:cs="Charis SIL"/>
          <w:i/>
          <w:lang w:val="de-DE"/>
        </w:rPr>
        <w:t>ágas</w:t>
      </w:r>
      <w:r w:rsidRPr="00FB4EFA">
        <w:rPr>
          <w:rFonts w:cs="Charis SIL"/>
          <w:lang w:val="de-DE"/>
        </w:rPr>
        <w:t xml:space="preserve"> auf der Ebene der Umgangssprache als weitgehend ausgestorben einstufen, bloß in einigen Mundarten ist es noch in der Bedeutung </w:t>
      </w:r>
      <w:r w:rsidR="006057AB" w:rsidRPr="00FB4EFA">
        <w:rPr>
          <w:rFonts w:cs="Charis SIL"/>
          <w:lang w:val="de-DE"/>
        </w:rPr>
        <w:t>‘</w:t>
      </w:r>
      <w:r w:rsidRPr="00FB4EFA">
        <w:rPr>
          <w:rFonts w:cs="Charis SIL"/>
          <w:lang w:val="de-DE"/>
        </w:rPr>
        <w:t>in der Erde befestigte Stange mit einer Abzweigung am oberen Ende für Brunnen</w:t>
      </w:r>
      <w:r w:rsidR="006057AB" w:rsidRPr="00FB4EFA">
        <w:rPr>
          <w:rFonts w:cs="Charis SIL"/>
          <w:lang w:val="de-DE"/>
        </w:rPr>
        <w:t>’</w:t>
      </w:r>
      <w:r w:rsidRPr="00FB4EFA">
        <w:rPr>
          <w:rFonts w:cs="Charis SIL"/>
          <w:lang w:val="de-DE"/>
        </w:rPr>
        <w:t xml:space="preserve"> zu finden. Aus diesem Grund kann schon O. Nagy (1976: 36) Redensarten mit dieser Komponente als dialektal bzw. veraltet einstufen, vgl.</w:t>
      </w:r>
    </w:p>
    <w:p w14:paraId="3F474C55" w14:textId="18354C23" w:rsidR="000121EA" w:rsidRPr="00FB4EFA" w:rsidRDefault="00CB6469" w:rsidP="00AF0CAD">
      <w:pPr>
        <w:spacing w:line="240" w:lineRule="auto"/>
        <w:ind w:left="993" w:right="108" w:hanging="284"/>
        <w:rPr>
          <w:rFonts w:cs="Charis SIL"/>
          <w:lang w:val="de-DE"/>
        </w:rPr>
      </w:pPr>
      <w:r w:rsidRPr="00FB4EFA">
        <w:rPr>
          <w:rFonts w:cs="Charis SIL"/>
          <w:i/>
        </w:rPr>
        <w:lastRenderedPageBreak/>
        <w:t>Fejjük meg</w:t>
      </w:r>
      <w:r w:rsidRPr="00FB4EFA">
        <w:rPr>
          <w:rFonts w:cs="Charis SIL"/>
        </w:rPr>
        <w:t xml:space="preserve"> [</w:t>
      </w:r>
      <w:r w:rsidRPr="00FB4EFA">
        <w:rPr>
          <w:rFonts w:cs="Charis SIL"/>
          <w:i/>
        </w:rPr>
        <w:t>megfejhetjük</w:t>
      </w:r>
      <w:r w:rsidRPr="00FB4EFA">
        <w:rPr>
          <w:rFonts w:cs="Charis SIL"/>
        </w:rPr>
        <w:t xml:space="preserve">] </w:t>
      </w:r>
      <w:r w:rsidRPr="00FB4EFA">
        <w:rPr>
          <w:rFonts w:cs="Charis SIL"/>
          <w:i/>
        </w:rPr>
        <w:t>az ágast</w:t>
      </w:r>
      <w:r w:rsidRPr="00FB4EFA">
        <w:rPr>
          <w:rFonts w:cs="Charis SIL"/>
        </w:rPr>
        <w:t xml:space="preserve"> </w:t>
      </w:r>
      <w:r w:rsidR="006057AB" w:rsidRPr="00FB4EFA">
        <w:rPr>
          <w:rFonts w:cs="Charis SIL"/>
        </w:rPr>
        <w:t>‘</w:t>
      </w:r>
      <w:r w:rsidRPr="00FB4EFA">
        <w:rPr>
          <w:rFonts w:cs="Charis SIL"/>
          <w:lang w:val="de-DE"/>
        </w:rPr>
        <w:t>wir haben keine Milch [wörtl.: Melken wir die Brunnenstange]</w:t>
      </w:r>
      <w:r w:rsidR="006057AB" w:rsidRPr="00FB4EFA">
        <w:rPr>
          <w:rFonts w:cs="Charis SIL"/>
          <w:lang w:val="de-DE"/>
        </w:rPr>
        <w:t>’</w:t>
      </w:r>
      <w:r w:rsidRPr="00FB4EFA">
        <w:rPr>
          <w:rFonts w:cs="Charis SIL"/>
          <w:lang w:val="de-DE"/>
        </w:rPr>
        <w:t xml:space="preserve"> (</w:t>
      </w:r>
      <w:r w:rsidRPr="00FB4EFA">
        <w:rPr>
          <w:rFonts w:cs="Charis SIL"/>
          <w:i/>
          <w:lang w:val="de-DE"/>
        </w:rPr>
        <w:t>dial</w:t>
      </w:r>
      <w:r w:rsidRPr="00FB4EFA">
        <w:rPr>
          <w:rFonts w:cs="Charis SIL"/>
          <w:lang w:val="de-DE"/>
        </w:rPr>
        <w:t>)</w:t>
      </w:r>
    </w:p>
    <w:p w14:paraId="430B6E54" w14:textId="58839858" w:rsidR="000121EA" w:rsidRPr="00FB4EFA" w:rsidRDefault="00CB6469" w:rsidP="00AF0CAD">
      <w:pPr>
        <w:spacing w:line="240" w:lineRule="auto"/>
        <w:ind w:left="993" w:right="108" w:hanging="284"/>
        <w:rPr>
          <w:rFonts w:cs="Charis SIL"/>
          <w:lang w:val="de-DE"/>
        </w:rPr>
      </w:pPr>
      <w:r w:rsidRPr="00FB4EFA">
        <w:rPr>
          <w:rFonts w:cs="Charis SIL"/>
          <w:i/>
        </w:rPr>
        <w:t>Megfejné az ágast is</w:t>
      </w:r>
      <w:r w:rsidRPr="00FB4EFA">
        <w:rPr>
          <w:rFonts w:cs="Charis SIL"/>
        </w:rPr>
        <w:t xml:space="preserve"> (, </w:t>
      </w:r>
      <w:r w:rsidRPr="00FB4EFA">
        <w:rPr>
          <w:rFonts w:cs="Charis SIL"/>
          <w:i/>
        </w:rPr>
        <w:t>ha tejet adna</w:t>
      </w:r>
      <w:r w:rsidRPr="00FB4EFA">
        <w:rPr>
          <w:rFonts w:cs="Charis SIL"/>
        </w:rPr>
        <w:t>) [</w:t>
      </w:r>
      <w:r w:rsidRPr="00FB4EFA">
        <w:rPr>
          <w:rFonts w:cs="Charis SIL"/>
          <w:i/>
        </w:rPr>
        <w:t>Az ágasból is tejet fejne</w:t>
      </w:r>
      <w:r w:rsidRPr="00FB4EFA">
        <w:rPr>
          <w:rFonts w:cs="Charis SIL"/>
        </w:rPr>
        <w:t xml:space="preserve">] </w:t>
      </w:r>
      <w:r w:rsidR="006057AB" w:rsidRPr="00FB4EFA">
        <w:rPr>
          <w:rFonts w:cs="Charis SIL"/>
        </w:rPr>
        <w:t>‘</w:t>
      </w:r>
      <w:r w:rsidRPr="00FB4EFA">
        <w:rPr>
          <w:rFonts w:cs="Charis SIL"/>
          <w:lang w:val="de-DE"/>
        </w:rPr>
        <w:t>sehr knauserig [wörtl.: er würde selbst die Brunnenstange melken]</w:t>
      </w:r>
      <w:r w:rsidR="006057AB" w:rsidRPr="00FB4EFA">
        <w:rPr>
          <w:rFonts w:cs="Charis SIL"/>
          <w:lang w:val="de-DE"/>
        </w:rPr>
        <w:t>’</w:t>
      </w:r>
      <w:r w:rsidRPr="00FB4EFA">
        <w:rPr>
          <w:rFonts w:cs="Charis SIL"/>
          <w:lang w:val="de-DE"/>
        </w:rPr>
        <w:t xml:space="preserve"> (</w:t>
      </w:r>
      <w:r w:rsidRPr="00FB4EFA">
        <w:rPr>
          <w:rFonts w:cs="Charis SIL"/>
          <w:i/>
          <w:lang w:val="de-DE"/>
        </w:rPr>
        <w:t>veralt</w:t>
      </w:r>
      <w:r w:rsidRPr="00FB4EFA">
        <w:rPr>
          <w:rFonts w:cs="Charis SIL"/>
          <w:lang w:val="de-DE"/>
        </w:rPr>
        <w:t>)</w:t>
      </w:r>
    </w:p>
    <w:p w14:paraId="7E7979F2" w14:textId="2D482049" w:rsidR="00CB6469" w:rsidRPr="00FB4EFA" w:rsidRDefault="00CB6469" w:rsidP="004E44CC">
      <w:pPr>
        <w:spacing w:before="240"/>
        <w:rPr>
          <w:rFonts w:cs="Charis SIL"/>
          <w:lang w:val="de-DE"/>
        </w:rPr>
      </w:pPr>
      <w:r w:rsidRPr="00FB4EFA">
        <w:rPr>
          <w:rFonts w:cs="Charis SIL"/>
          <w:lang w:val="de-DE"/>
        </w:rPr>
        <w:t xml:space="preserve">Beide Redensarten haben auch eine Variante, in der statt </w:t>
      </w:r>
      <w:r w:rsidRPr="00FB4EFA">
        <w:rPr>
          <w:rFonts w:cs="Charis SIL"/>
          <w:i/>
          <w:lang w:val="de-DE"/>
        </w:rPr>
        <w:t>ágas</w:t>
      </w:r>
      <w:r w:rsidRPr="00FB4EFA">
        <w:rPr>
          <w:rFonts w:cs="Charis SIL"/>
          <w:lang w:val="de-DE"/>
        </w:rPr>
        <w:t xml:space="preserve"> die Komponente </w:t>
      </w:r>
      <w:r w:rsidRPr="00FB4EFA">
        <w:rPr>
          <w:rFonts w:cs="Charis SIL"/>
          <w:i/>
          <w:lang w:val="de-DE"/>
        </w:rPr>
        <w:t>kútágas</w:t>
      </w:r>
      <w:r w:rsidRPr="00FB4EFA">
        <w:rPr>
          <w:rFonts w:cs="Charis SIL"/>
          <w:lang w:val="de-DE"/>
        </w:rPr>
        <w:t xml:space="preserve"> steht (vgl. O. Nagy 1976: 398), aber selbst diese Abwandlungen kommen in der Umgangssprache nicht vor.</w:t>
      </w:r>
    </w:p>
    <w:p w14:paraId="15482796" w14:textId="26BADAD6" w:rsidR="00CB6469" w:rsidRPr="00FB4EFA" w:rsidRDefault="00CB6469" w:rsidP="004E44CC">
      <w:pPr>
        <w:ind w:firstLine="709"/>
        <w:rPr>
          <w:rFonts w:cs="Charis SIL"/>
        </w:rPr>
      </w:pPr>
      <w:r w:rsidRPr="00FB4EFA">
        <w:rPr>
          <w:rFonts w:cs="Charis SIL"/>
          <w:lang w:val="de-DE"/>
        </w:rPr>
        <w:t xml:space="preserve">Auch das aus der finnougrischer Zeit geerbte Wort </w:t>
      </w:r>
      <w:r w:rsidRPr="00FB4EFA">
        <w:rPr>
          <w:rFonts w:cs="Charis SIL"/>
          <w:i/>
          <w:lang w:val="de-DE"/>
        </w:rPr>
        <w:t>aj</w:t>
      </w:r>
      <w:r w:rsidRPr="00FB4EFA">
        <w:rPr>
          <w:rFonts w:cs="Charis SIL"/>
          <w:lang w:val="de-DE"/>
        </w:rPr>
        <w:t xml:space="preserve">, dessen ursprüngliche Bedeutung vermutlich </w:t>
      </w:r>
      <w:r w:rsidR="006057AB" w:rsidRPr="00FB4EFA">
        <w:rPr>
          <w:rFonts w:cs="Charis SIL"/>
          <w:lang w:val="de-DE"/>
        </w:rPr>
        <w:t>‘</w:t>
      </w:r>
      <w:r w:rsidRPr="00FB4EFA">
        <w:rPr>
          <w:rFonts w:cs="Charis SIL"/>
          <w:lang w:val="de-DE"/>
        </w:rPr>
        <w:t>Öffnung, Einschnitt, Vertiefung</w:t>
      </w:r>
      <w:r w:rsidR="006057AB" w:rsidRPr="00FB4EFA">
        <w:rPr>
          <w:rFonts w:cs="Charis SIL"/>
          <w:lang w:val="de-DE"/>
        </w:rPr>
        <w:t>’</w:t>
      </w:r>
      <w:r w:rsidRPr="00FB4EFA">
        <w:rPr>
          <w:rFonts w:cs="Charis SIL"/>
          <w:lang w:val="de-DE"/>
        </w:rPr>
        <w:t xml:space="preserve"> war, ist in dieser Form heute völlig ausgestorben und lebt nur in verdunkelten Derivaten wie </w:t>
      </w:r>
      <w:r w:rsidRPr="00FB4EFA">
        <w:rPr>
          <w:rFonts w:cs="Charis SIL"/>
          <w:i/>
          <w:lang w:val="de-DE"/>
        </w:rPr>
        <w:t>ajtó</w:t>
      </w:r>
      <w:r w:rsidR="000121EA" w:rsidRPr="00FB4EFA">
        <w:rPr>
          <w:rFonts w:cs="Charis SIL"/>
          <w:i/>
          <w:lang w:val="de-DE"/>
        </w:rPr>
        <w:t xml:space="preserve"> </w:t>
      </w:r>
      <w:r w:rsidR="006057AB" w:rsidRPr="00FB4EFA">
        <w:rPr>
          <w:rFonts w:cs="Charis SIL"/>
          <w:lang w:val="de-DE"/>
        </w:rPr>
        <w:t>‘</w:t>
      </w:r>
      <w:r w:rsidRPr="00FB4EFA">
        <w:rPr>
          <w:rFonts w:cs="Charis SIL"/>
          <w:lang w:val="de-DE"/>
        </w:rPr>
        <w:t>Tür</w:t>
      </w:r>
      <w:r w:rsidR="006057AB" w:rsidRPr="00FB4EFA">
        <w:rPr>
          <w:rFonts w:cs="Charis SIL"/>
          <w:lang w:val="de-DE"/>
        </w:rPr>
        <w:t>’</w:t>
      </w:r>
      <w:r w:rsidRPr="00FB4EFA">
        <w:rPr>
          <w:rFonts w:cs="Charis SIL"/>
          <w:i/>
          <w:lang w:val="de-DE"/>
        </w:rPr>
        <w:t xml:space="preserve">, ajak </w:t>
      </w:r>
      <w:r w:rsidR="006057AB" w:rsidRPr="00FB4EFA">
        <w:rPr>
          <w:rFonts w:cs="Charis SIL"/>
          <w:lang w:val="de-DE"/>
        </w:rPr>
        <w:t>‘</w:t>
      </w:r>
      <w:r w:rsidRPr="00FB4EFA">
        <w:rPr>
          <w:rFonts w:cs="Charis SIL"/>
          <w:lang w:val="de-DE"/>
        </w:rPr>
        <w:t>Lippe</w:t>
      </w:r>
      <w:r w:rsidR="006057AB" w:rsidRPr="00FB4EFA">
        <w:rPr>
          <w:rFonts w:cs="Charis SIL"/>
          <w:lang w:val="de-DE"/>
        </w:rPr>
        <w:t>’</w:t>
      </w:r>
      <w:r w:rsidRPr="00FB4EFA">
        <w:rPr>
          <w:rFonts w:cs="Charis SIL"/>
          <w:i/>
          <w:lang w:val="de-DE"/>
        </w:rPr>
        <w:t xml:space="preserve">, ajz </w:t>
      </w:r>
      <w:r w:rsidR="006057AB" w:rsidRPr="00FB4EFA">
        <w:rPr>
          <w:rFonts w:cs="Charis SIL"/>
          <w:lang w:val="de-DE"/>
        </w:rPr>
        <w:t>‘</w:t>
      </w:r>
      <w:r w:rsidRPr="00FB4EFA">
        <w:rPr>
          <w:rFonts w:cs="Charis SIL"/>
          <w:lang w:val="de-DE"/>
        </w:rPr>
        <w:t>[einen Bogen] spannen</w:t>
      </w:r>
      <w:r w:rsidR="006057AB" w:rsidRPr="00FB4EFA">
        <w:rPr>
          <w:rFonts w:cs="Charis SIL"/>
          <w:lang w:val="de-DE"/>
        </w:rPr>
        <w:t>’</w:t>
      </w:r>
      <w:r w:rsidRPr="00FB4EFA">
        <w:rPr>
          <w:rFonts w:cs="Charis SIL"/>
          <w:lang w:val="de-DE"/>
        </w:rPr>
        <w:t xml:space="preserve"> weiter (vgl. TESz I: 109–110). Aus der Bedeutung von </w:t>
      </w:r>
      <w:r w:rsidR="006057AB" w:rsidRPr="00FB4EFA">
        <w:rPr>
          <w:rFonts w:cs="Charis SIL"/>
          <w:lang w:val="de-DE"/>
        </w:rPr>
        <w:t>‘</w:t>
      </w:r>
      <w:r w:rsidRPr="00FB4EFA">
        <w:rPr>
          <w:rFonts w:cs="Charis SIL"/>
          <w:lang w:val="de-DE"/>
        </w:rPr>
        <w:t>Einschnitt, Vertiefung</w:t>
      </w:r>
      <w:r w:rsidR="006057AB" w:rsidRPr="00FB4EFA">
        <w:rPr>
          <w:rFonts w:cs="Charis SIL"/>
          <w:lang w:val="de-DE"/>
        </w:rPr>
        <w:t>’</w:t>
      </w:r>
      <w:r w:rsidRPr="00FB4EFA">
        <w:rPr>
          <w:rFonts w:cs="Charis SIL"/>
          <w:lang w:val="de-DE"/>
        </w:rPr>
        <w:t xml:space="preserve"> entwickelte sich durch Verengung und Spezialisierung die Bedeutung des für die Bogensehne gebildeten Einschnitts am Ende des Pfeils und am Ende des Bogens (vgl. O. Nagy 1977: 37). Diese Bedeutung kommt auch in der schon von O. Nagy als veraltet eingestuften Redewendung vor: </w:t>
      </w:r>
      <w:r w:rsidRPr="00FB4EFA">
        <w:rPr>
          <w:rFonts w:cs="Charis SIL"/>
          <w:i/>
          <w:lang w:val="de-DE"/>
        </w:rPr>
        <w:t xml:space="preserve">(Szóld el szóld,) túllőtték, (és) ide áll az ajával </w:t>
      </w:r>
      <w:r w:rsidRPr="00FB4EFA">
        <w:rPr>
          <w:rFonts w:cs="Charis SIL"/>
          <w:lang w:val="de-DE"/>
        </w:rPr>
        <w:t xml:space="preserve">[etwa: Sprich es aus, es wurde zu weit geschossen und er stellt sich hierher mit seinem Bogeneinschnitt]. Diese Redensart ist dermaßen opak, dass ihre Bedeutung selbst am Anfang des 19. Jahrhunderts nicht ganz klar gewesen sein konnte. Das kann man zum Teil daraus folgern, dass Dávid Baróti Szabó in seiner Sammlung </w:t>
      </w:r>
      <w:r w:rsidRPr="00FB4EFA">
        <w:rPr>
          <w:rFonts w:cs="Charis SIL"/>
          <w:i/>
          <w:iCs/>
          <w:lang w:val="de-DE"/>
        </w:rPr>
        <w:t>A magyarság virági</w:t>
      </w:r>
      <w:r w:rsidRPr="00FB4EFA">
        <w:rPr>
          <w:rFonts w:cs="Charis SIL"/>
          <w:lang w:val="de-DE"/>
        </w:rPr>
        <w:t xml:space="preserve"> </w:t>
      </w:r>
      <w:r w:rsidRPr="00FB4EFA">
        <w:rPr>
          <w:rFonts w:cs="Charis SIL"/>
        </w:rPr>
        <w:t xml:space="preserve">(1803: 302) </w:t>
      </w:r>
      <w:r w:rsidRPr="00FB4EFA">
        <w:rPr>
          <w:rFonts w:cs="Charis SIL"/>
          <w:lang w:val="de-DE"/>
        </w:rPr>
        <w:t>die Bedeutung der Redensart folgendermaßen angibt: „egy rosszból másba</w:t>
      </w:r>
      <w:r w:rsidR="00246C87" w:rsidRPr="00FB4EFA">
        <w:rPr>
          <w:rFonts w:cs="Charis SIL"/>
          <w:lang w:val="de-DE"/>
        </w:rPr>
        <w:t>“</w:t>
      </w:r>
      <w:r w:rsidRPr="00FB4EFA">
        <w:rPr>
          <w:rFonts w:cs="Charis SIL"/>
          <w:lang w:val="de-DE"/>
        </w:rPr>
        <w:t xml:space="preserve">, d. h. </w:t>
      </w:r>
      <w:r w:rsidR="006057AB" w:rsidRPr="00FB4EFA">
        <w:rPr>
          <w:rFonts w:cs="Charis SIL"/>
          <w:lang w:val="de-DE"/>
        </w:rPr>
        <w:t>‘</w:t>
      </w:r>
      <w:r w:rsidRPr="00FB4EFA">
        <w:rPr>
          <w:rFonts w:cs="Charis SIL"/>
          <w:lang w:val="de-DE"/>
        </w:rPr>
        <w:t>aus dem einen Übel in das andere</w:t>
      </w:r>
      <w:r w:rsidR="006057AB" w:rsidRPr="00FB4EFA">
        <w:rPr>
          <w:rFonts w:cs="Charis SIL"/>
          <w:lang w:val="de-DE"/>
        </w:rPr>
        <w:t>’</w:t>
      </w:r>
      <w:r w:rsidRPr="00FB4EFA">
        <w:rPr>
          <w:rFonts w:cs="Charis SIL"/>
          <w:lang w:val="de-DE"/>
        </w:rPr>
        <w:t xml:space="preserve">. O. Nagy ist aber auf der Basis von weiteren Textbeispielen der Meinung, dass der Ausdruck eher die Bedeutung </w:t>
      </w:r>
      <w:r w:rsidR="006057AB" w:rsidRPr="00FB4EFA">
        <w:rPr>
          <w:rFonts w:cs="Charis SIL"/>
          <w:lang w:val="de-DE"/>
        </w:rPr>
        <w:t>‘</w:t>
      </w:r>
      <w:r w:rsidRPr="00FB4EFA">
        <w:rPr>
          <w:rFonts w:cs="Charis SIL"/>
          <w:lang w:val="de-DE"/>
        </w:rPr>
        <w:t>dein Argument ist nichts wert, du redest nur an den Dingen vorbei</w:t>
      </w:r>
      <w:r w:rsidR="006057AB" w:rsidRPr="00FB4EFA">
        <w:rPr>
          <w:rFonts w:cs="Charis SIL"/>
          <w:lang w:val="de-DE"/>
        </w:rPr>
        <w:t>’</w:t>
      </w:r>
      <w:r w:rsidRPr="00FB4EFA">
        <w:rPr>
          <w:rFonts w:cs="Charis SIL"/>
          <w:lang w:val="de-DE"/>
        </w:rPr>
        <w:t xml:space="preserve"> hat (vgl. O. Nagy 1977: 36). Die genaue Bedeutungsdefinition ist tatsächlich sehr schwierig, es ist aber klar, dass wir es mit einer inzwischen ausgestorbenen Wendung zu tun haben, die jedoch in älteren Texten und Phraseologiesammlungen noch mehrmals vorkommt (vgl. O. Nagy 1977: a. a. O).</w:t>
      </w:r>
    </w:p>
    <w:p w14:paraId="0C2363E9" w14:textId="1124A060" w:rsidR="00CB6469" w:rsidRPr="00FB4EFA" w:rsidRDefault="00CB6469" w:rsidP="00402EF4">
      <w:pPr>
        <w:spacing w:after="240"/>
        <w:ind w:firstLine="709"/>
        <w:rPr>
          <w:rFonts w:cs="Charis SIL"/>
          <w:lang w:val="de-DE"/>
        </w:rPr>
      </w:pPr>
      <w:r w:rsidRPr="00FB4EFA">
        <w:rPr>
          <w:rFonts w:cs="Charis SIL"/>
          <w:lang w:val="de-DE"/>
        </w:rPr>
        <w:t xml:space="preserve">Wenn wir schon bei der Einkerbung am Pfeil sind, können wir auch noch ein zu dieser Thematik gehörendes Sprichwort erwähnen, das inzwischen </w:t>
      </w:r>
      <w:r w:rsidR="007F3124" w:rsidRPr="00FB4EFA">
        <w:rPr>
          <w:rFonts w:cs="Charis SIL"/>
          <w:lang w:val="de-DE"/>
        </w:rPr>
        <w:t xml:space="preserve">ebenfalls </w:t>
      </w:r>
      <w:r w:rsidRPr="00FB4EFA">
        <w:rPr>
          <w:rFonts w:cs="Charis SIL"/>
          <w:lang w:val="de-DE"/>
        </w:rPr>
        <w:t xml:space="preserve">ausgestorben ist. </w:t>
      </w:r>
      <w:r w:rsidR="007F3124" w:rsidRPr="00FB4EFA">
        <w:rPr>
          <w:rFonts w:cs="Charis SIL"/>
          <w:lang w:val="de-DE"/>
        </w:rPr>
        <w:t xml:space="preserve">In </w:t>
      </w:r>
      <w:r w:rsidR="007F3124" w:rsidRPr="00FB4EFA">
        <w:rPr>
          <w:rFonts w:cs="Charis SIL"/>
          <w:i/>
          <w:iCs/>
          <w:lang w:val="de-DE"/>
        </w:rPr>
        <w:t>Dialógus</w:t>
      </w:r>
      <w:r w:rsidR="007F3124" w:rsidRPr="00FB4EFA">
        <w:rPr>
          <w:rFonts w:cs="Charis SIL"/>
          <w:lang w:val="de-DE"/>
        </w:rPr>
        <w:t xml:space="preserve"> von</w:t>
      </w:r>
      <w:r w:rsidRPr="00FB4EFA">
        <w:rPr>
          <w:rFonts w:cs="Charis SIL"/>
          <w:lang w:val="de-DE"/>
        </w:rPr>
        <w:t xml:space="preserve"> Gáspár Heltai (1980: 30) </w:t>
      </w:r>
      <w:r w:rsidR="007F3124" w:rsidRPr="00FB4EFA">
        <w:rPr>
          <w:rFonts w:cs="Charis SIL"/>
          <w:lang w:val="de-DE"/>
        </w:rPr>
        <w:t xml:space="preserve">findet man </w:t>
      </w:r>
      <w:r w:rsidRPr="00FB4EFA">
        <w:rPr>
          <w:rFonts w:cs="Charis SIL"/>
          <w:lang w:val="de-DE"/>
        </w:rPr>
        <w:t>folgende Stelle:</w:t>
      </w:r>
    </w:p>
    <w:p w14:paraId="6288E750" w14:textId="77777777" w:rsidR="000121EA" w:rsidRPr="00FB4EFA" w:rsidRDefault="00CB6469" w:rsidP="00AF0CAD">
      <w:pPr>
        <w:spacing w:line="240" w:lineRule="auto"/>
        <w:ind w:left="993" w:right="108" w:hanging="284"/>
        <w:rPr>
          <w:rFonts w:cs="Charis SIL"/>
        </w:rPr>
      </w:pPr>
      <w:r w:rsidRPr="00FB4EFA">
        <w:rPr>
          <w:rFonts w:cs="Charis SIL"/>
          <w:szCs w:val="24"/>
        </w:rPr>
        <w:lastRenderedPageBreak/>
        <w:t xml:space="preserve">Mert gyakran így esik az </w:t>
      </w:r>
      <w:r w:rsidRPr="00FB4EFA">
        <w:rPr>
          <w:rFonts w:cs="Charis SIL"/>
          <w:lang w:val="de-DE"/>
        </w:rPr>
        <w:t>embernek</w:t>
      </w:r>
      <w:r w:rsidRPr="00FB4EFA">
        <w:rPr>
          <w:rFonts w:cs="Charis SIL"/>
          <w:szCs w:val="24"/>
        </w:rPr>
        <w:t xml:space="preserve"> halála, </w:t>
      </w:r>
      <w:r w:rsidRPr="00FB4EFA">
        <w:rPr>
          <w:rFonts w:cs="Charis SIL"/>
        </w:rPr>
        <w:t xml:space="preserve">amint annak előtt volt élete. Az okáért közbeszédbe szokták mondani: </w:t>
      </w:r>
      <w:r w:rsidRPr="00FB4EFA">
        <w:rPr>
          <w:rFonts w:cs="Charis SIL"/>
          <w:i/>
        </w:rPr>
        <w:t>aki jól aránz, jól is lő az</w:t>
      </w:r>
      <w:r w:rsidRPr="00FB4EFA">
        <w:rPr>
          <w:rFonts w:cs="Charis SIL"/>
        </w:rPr>
        <w:t>.</w:t>
      </w:r>
    </w:p>
    <w:p w14:paraId="1374E3A2" w14:textId="2894763E" w:rsidR="00CB6469" w:rsidRPr="00FB4EFA" w:rsidRDefault="00CB6469" w:rsidP="00AF0CAD">
      <w:pPr>
        <w:spacing w:line="240" w:lineRule="auto"/>
        <w:ind w:left="993" w:right="108" w:hanging="284"/>
        <w:rPr>
          <w:rFonts w:cs="Charis SIL"/>
          <w:b/>
        </w:rPr>
      </w:pPr>
      <w:r w:rsidRPr="00FB4EFA">
        <w:rPr>
          <w:rFonts w:cs="Charis SIL"/>
          <w:lang w:val="de-DE"/>
        </w:rPr>
        <w:t xml:space="preserve">[Denn häufig </w:t>
      </w:r>
      <w:r w:rsidRPr="00FB4EFA">
        <w:rPr>
          <w:rFonts w:cs="Charis SIL"/>
        </w:rPr>
        <w:t>stirbt</w:t>
      </w:r>
      <w:r w:rsidRPr="00FB4EFA">
        <w:rPr>
          <w:rFonts w:cs="Charis SIL"/>
          <w:lang w:val="de-DE"/>
        </w:rPr>
        <w:t xml:space="preserve"> man so, wie man gelebt hat. Daher sagt man im Sprichwort: Wer gut zielt, schießt auch gut.]</w:t>
      </w:r>
    </w:p>
    <w:p w14:paraId="064D760D" w14:textId="01668315" w:rsidR="00CB6469" w:rsidRPr="00FB4EFA" w:rsidRDefault="00CB6469" w:rsidP="004E44CC">
      <w:pPr>
        <w:spacing w:before="240"/>
        <w:rPr>
          <w:rFonts w:cs="Charis SIL"/>
        </w:rPr>
      </w:pPr>
      <w:r w:rsidRPr="00FB4EFA">
        <w:rPr>
          <w:rFonts w:cs="Charis SIL"/>
          <w:lang w:val="de-DE"/>
        </w:rPr>
        <w:t>Das Sprichwort ist weder in der Sammlung von O. Nagy (1976), noch in den großen Sprichwortsammlungen des 19. Jahrhunderts zu finden, aber die vor ihm stehende einleitende Form (</w:t>
      </w:r>
      <w:r w:rsidRPr="00FB4EFA">
        <w:rPr>
          <w:rFonts w:cs="Charis SIL"/>
          <w:i/>
          <w:iCs/>
          <w:lang w:val="de-DE"/>
        </w:rPr>
        <w:t xml:space="preserve">közbeszédbe szokták mondani </w:t>
      </w:r>
      <w:r w:rsidR="006057AB" w:rsidRPr="00FB4EFA">
        <w:rPr>
          <w:rFonts w:cs="Charis SIL"/>
          <w:lang w:val="de-DE"/>
        </w:rPr>
        <w:t>‘</w:t>
      </w:r>
      <w:r w:rsidRPr="00FB4EFA">
        <w:rPr>
          <w:rFonts w:cs="Charis SIL"/>
          <w:lang w:val="de-DE"/>
        </w:rPr>
        <w:t>sagt man im Sprichwort</w:t>
      </w:r>
      <w:r w:rsidR="006057AB" w:rsidRPr="00FB4EFA">
        <w:rPr>
          <w:rFonts w:cs="Charis SIL"/>
          <w:lang w:val="de-DE"/>
        </w:rPr>
        <w:t>’</w:t>
      </w:r>
      <w:r w:rsidRPr="00FB4EFA">
        <w:rPr>
          <w:rFonts w:cs="Charis SIL"/>
          <w:lang w:val="de-DE"/>
        </w:rPr>
        <w:t xml:space="preserve">) und auch die Struktur des Ausdrucks (ein logisches Urteil: p → q) deuten darauf hin, dass wir es hier mit einem Sprichwort zu tun haben. Im heutigen Ungarischen kommt die verbale Komponente </w:t>
      </w:r>
      <w:r w:rsidRPr="00FB4EFA">
        <w:rPr>
          <w:rFonts w:cs="Charis SIL"/>
          <w:i/>
          <w:lang w:val="de-DE"/>
        </w:rPr>
        <w:t>arányz</w:t>
      </w:r>
      <w:r w:rsidRPr="00FB4EFA">
        <w:rPr>
          <w:rFonts w:cs="Charis SIL"/>
          <w:lang w:val="de-DE"/>
        </w:rPr>
        <w:t xml:space="preserve"> </w:t>
      </w:r>
      <w:r w:rsidR="006057AB" w:rsidRPr="00FB4EFA">
        <w:rPr>
          <w:rFonts w:cs="Charis SIL"/>
          <w:lang w:val="de-DE"/>
        </w:rPr>
        <w:t>‘</w:t>
      </w:r>
      <w:r w:rsidRPr="00FB4EFA">
        <w:rPr>
          <w:rFonts w:cs="Charis SIL"/>
          <w:lang w:val="de-DE"/>
        </w:rPr>
        <w:t>&lt;eine Waffe&gt; auf etw. richten, zielen</w:t>
      </w:r>
      <w:r w:rsidR="006057AB" w:rsidRPr="00FB4EFA">
        <w:rPr>
          <w:rFonts w:cs="Charis SIL"/>
          <w:lang w:val="de-DE"/>
        </w:rPr>
        <w:t>’</w:t>
      </w:r>
      <w:r w:rsidRPr="00FB4EFA">
        <w:rPr>
          <w:rFonts w:cs="Charis SIL"/>
          <w:lang w:val="de-DE"/>
        </w:rPr>
        <w:t xml:space="preserve"> nicht vor</w:t>
      </w:r>
      <w:r w:rsidRPr="00FB4EFA">
        <w:rPr>
          <w:rFonts w:cs="Charis SIL"/>
          <w:vertAlign w:val="superscript"/>
          <w:lang w:val="de-DE"/>
        </w:rPr>
        <w:footnoteReference w:id="59"/>
      </w:r>
      <w:r w:rsidRPr="00FB4EFA">
        <w:rPr>
          <w:rFonts w:cs="Charis SIL"/>
          <w:lang w:val="de-DE"/>
        </w:rPr>
        <w:t>. Diese war allerdings im älteren Ungarischen in mehreren Formen (</w:t>
      </w:r>
      <w:r w:rsidRPr="00FB4EFA">
        <w:rPr>
          <w:rFonts w:cs="Charis SIL"/>
          <w:i/>
          <w:lang w:val="de-DE"/>
        </w:rPr>
        <w:t>arányz ~ arányoz ~ irányoz</w:t>
      </w:r>
      <w:r w:rsidRPr="00FB4EFA">
        <w:rPr>
          <w:rFonts w:cs="Charis SIL"/>
          <w:lang w:val="de-DE"/>
        </w:rPr>
        <w:t xml:space="preserve">) und Bedeutungen gebräuchlich, von diesen passt die Bedeutung </w:t>
      </w:r>
      <w:r w:rsidR="006057AB" w:rsidRPr="00FB4EFA">
        <w:rPr>
          <w:rFonts w:cs="Charis SIL"/>
          <w:lang w:val="de-DE"/>
        </w:rPr>
        <w:t>‘</w:t>
      </w:r>
      <w:r w:rsidRPr="00FB4EFA">
        <w:rPr>
          <w:rFonts w:cs="Charis SIL"/>
          <w:lang w:val="de-DE"/>
        </w:rPr>
        <w:t>zielen</w:t>
      </w:r>
      <w:r w:rsidR="006057AB" w:rsidRPr="00FB4EFA">
        <w:rPr>
          <w:rFonts w:cs="Charis SIL"/>
          <w:lang w:val="de-DE"/>
        </w:rPr>
        <w:t>’</w:t>
      </w:r>
      <w:r w:rsidRPr="00FB4EFA">
        <w:rPr>
          <w:rFonts w:cs="Charis SIL"/>
          <w:lang w:val="de-DE"/>
        </w:rPr>
        <w:t xml:space="preserve"> hierher (vgl. NySz. I: 114 és TESz. I: 171), die Bedeutung des Sprichworts soll also folgende gewesen sein: </w:t>
      </w:r>
      <w:r w:rsidR="006057AB" w:rsidRPr="00FB4EFA">
        <w:rPr>
          <w:rFonts w:cs="Charis SIL"/>
          <w:lang w:val="de-DE"/>
        </w:rPr>
        <w:t>‘</w:t>
      </w:r>
      <w:r w:rsidRPr="00FB4EFA">
        <w:rPr>
          <w:rFonts w:cs="Charis SIL"/>
          <w:lang w:val="de-DE"/>
        </w:rPr>
        <w:t>Wer gut zielt, schießt auch gut</w:t>
      </w:r>
      <w:r w:rsidR="006057AB" w:rsidRPr="00FB4EFA">
        <w:rPr>
          <w:rFonts w:cs="Charis SIL"/>
          <w:lang w:val="de-DE"/>
        </w:rPr>
        <w:t>’</w:t>
      </w:r>
      <w:r w:rsidRPr="00FB4EFA">
        <w:rPr>
          <w:rFonts w:cs="Charis SIL"/>
          <w:lang w:val="de-DE"/>
        </w:rPr>
        <w:t xml:space="preserve">. Wenn man noch den davor stehenden Satz betrachtet (Häufig stirbt man so, wie man gelebt hat), dann ist das Sprichwort der metaphorische Ausdruck des gleichen kognitiven Musters, das man auch mit Sprichwörtern wie </w:t>
      </w:r>
      <w:r w:rsidRPr="00FB4EFA">
        <w:rPr>
          <w:rFonts w:cs="Charis SIL"/>
          <w:i/>
          <w:lang w:val="de-DE"/>
        </w:rPr>
        <w:t>Ki mint vet, úgy arat</w:t>
      </w:r>
      <w:r w:rsidR="000121EA" w:rsidRPr="00FB4EFA">
        <w:rPr>
          <w:rFonts w:cs="Charis SIL"/>
          <w:lang w:val="de-DE"/>
        </w:rPr>
        <w:t xml:space="preserve"> </w:t>
      </w:r>
      <w:r w:rsidR="006057AB" w:rsidRPr="00FB4EFA">
        <w:rPr>
          <w:rFonts w:cs="Charis SIL"/>
          <w:lang w:val="de-DE"/>
        </w:rPr>
        <w:t>‘</w:t>
      </w:r>
      <w:r w:rsidRPr="00FB4EFA">
        <w:rPr>
          <w:rFonts w:cs="Charis SIL"/>
          <w:lang w:val="de-DE"/>
        </w:rPr>
        <w:t>Man erntet, was man sät</w:t>
      </w:r>
      <w:r w:rsidR="006057AB" w:rsidRPr="00FB4EFA">
        <w:rPr>
          <w:rFonts w:cs="Charis SIL"/>
          <w:lang w:val="de-DE"/>
        </w:rPr>
        <w:t>’</w:t>
      </w:r>
      <w:r w:rsidRPr="00FB4EFA">
        <w:rPr>
          <w:rFonts w:cs="Charis SIL"/>
          <w:lang w:val="de-DE"/>
        </w:rPr>
        <w:t xml:space="preserve"> oder </w:t>
      </w:r>
      <w:r w:rsidRPr="00FB4EFA">
        <w:rPr>
          <w:rFonts w:cs="Charis SIL"/>
          <w:i/>
          <w:lang w:val="de-DE"/>
        </w:rPr>
        <w:t>Ki mint veti ágyát, úgy alussza álmát</w:t>
      </w:r>
      <w:r w:rsidRPr="00FB4EFA">
        <w:rPr>
          <w:rFonts w:cs="Charis SIL"/>
          <w:lang w:val="de-DE"/>
        </w:rPr>
        <w:t xml:space="preserve"> </w:t>
      </w:r>
      <w:r w:rsidR="006057AB" w:rsidRPr="00FB4EFA">
        <w:rPr>
          <w:rFonts w:cs="Charis SIL"/>
          <w:lang w:val="de-DE"/>
        </w:rPr>
        <w:t>‘</w:t>
      </w:r>
      <w:r w:rsidRPr="00FB4EFA">
        <w:rPr>
          <w:rFonts w:cs="Charis SIL"/>
          <w:lang w:val="de-DE"/>
        </w:rPr>
        <w:t>Wie man sich bettet, so liegt/schläft man</w:t>
      </w:r>
      <w:r w:rsidR="006057AB" w:rsidRPr="00FB4EFA">
        <w:rPr>
          <w:rFonts w:cs="Charis SIL"/>
          <w:lang w:val="de-DE"/>
        </w:rPr>
        <w:t>’</w:t>
      </w:r>
      <w:r w:rsidRPr="00FB4EFA">
        <w:rPr>
          <w:rFonts w:cs="Charis SIL"/>
          <w:lang w:val="de-DE"/>
        </w:rPr>
        <w:t xml:space="preserve"> ausdrückt, mit dem kleinen Unterschied, dass wegen der Komponente </w:t>
      </w:r>
      <w:r w:rsidRPr="00FB4EFA">
        <w:rPr>
          <w:rFonts w:cs="Charis SIL"/>
          <w:i/>
          <w:lang w:val="de-DE"/>
        </w:rPr>
        <w:t>jól</w:t>
      </w:r>
      <w:r w:rsidR="000121EA" w:rsidRPr="00FB4EFA">
        <w:rPr>
          <w:rFonts w:cs="Charis SIL"/>
          <w:lang w:val="de-DE"/>
        </w:rPr>
        <w:t xml:space="preserve"> </w:t>
      </w:r>
      <w:r w:rsidR="006057AB" w:rsidRPr="00FB4EFA">
        <w:rPr>
          <w:rFonts w:cs="Charis SIL"/>
          <w:lang w:val="de-DE"/>
        </w:rPr>
        <w:t>‘</w:t>
      </w:r>
      <w:r w:rsidRPr="00FB4EFA">
        <w:rPr>
          <w:rFonts w:cs="Charis SIL"/>
          <w:lang w:val="de-DE"/>
        </w:rPr>
        <w:t>gut</w:t>
      </w:r>
      <w:r w:rsidR="006057AB" w:rsidRPr="00FB4EFA">
        <w:rPr>
          <w:rFonts w:cs="Charis SIL"/>
          <w:lang w:val="de-DE"/>
        </w:rPr>
        <w:t>’</w:t>
      </w:r>
      <w:r w:rsidRPr="00FB4EFA">
        <w:rPr>
          <w:rFonts w:cs="Charis SIL"/>
          <w:lang w:val="de-DE"/>
        </w:rPr>
        <w:t xml:space="preserve"> nur eine positive Interpretation möglich ist (</w:t>
      </w:r>
      <w:r w:rsidR="006057AB" w:rsidRPr="00FB4EFA">
        <w:rPr>
          <w:rFonts w:cs="Charis SIL"/>
          <w:lang w:val="de-DE"/>
        </w:rPr>
        <w:t>‘</w:t>
      </w:r>
      <w:r w:rsidRPr="00FB4EFA">
        <w:rPr>
          <w:rFonts w:cs="Charis SIL"/>
          <w:lang w:val="de-DE"/>
        </w:rPr>
        <w:t>Wer gut arbeitet, wird Erfolg haben</w:t>
      </w:r>
      <w:r w:rsidR="006057AB" w:rsidRPr="00FB4EFA">
        <w:rPr>
          <w:rFonts w:cs="Charis SIL"/>
          <w:lang w:val="de-DE"/>
        </w:rPr>
        <w:t>’</w:t>
      </w:r>
      <w:r w:rsidRPr="00FB4EFA">
        <w:rPr>
          <w:rFonts w:cs="Charis SIL"/>
          <w:lang w:val="de-DE"/>
        </w:rPr>
        <w:t xml:space="preserve">), während bei den beiden anderen erwähnten Sprichwörtern auch eine negative Auslegung vorstellbar ist: </w:t>
      </w:r>
      <w:r w:rsidR="007F3124" w:rsidRPr="00FB4EFA">
        <w:rPr>
          <w:rFonts w:cs="Charis SIL"/>
          <w:lang w:val="de-DE"/>
        </w:rPr>
        <w:t>W</w:t>
      </w:r>
      <w:r w:rsidRPr="00FB4EFA">
        <w:rPr>
          <w:rFonts w:cs="Charis SIL"/>
          <w:lang w:val="de-DE"/>
        </w:rPr>
        <w:t xml:space="preserve">er schlecht arbeitet, wird sein Ziel nicht erreichen. Die Tatsache aber, dass die Redensart auch in den Sprichwortsammlungen des 19. Jahrhunderts nicht vorkommt, zeigt, dass sie schon damals nicht so bekannt war. </w:t>
      </w:r>
      <w:r w:rsidR="00E10B77" w:rsidRPr="00FB4EFA">
        <w:rPr>
          <w:rFonts w:cs="Charis SIL"/>
          <w:lang w:val="de-DE"/>
        </w:rPr>
        <w:t>Bei</w:t>
      </w:r>
      <w:r w:rsidRPr="00FB4EFA">
        <w:rPr>
          <w:rFonts w:cs="Charis SIL"/>
          <w:lang w:val="de-DE"/>
        </w:rPr>
        <w:t xml:space="preserve"> ihrem Rückgang spielt wahrscheinlich die Tatsache eine große Rolle, dass die Komponente </w:t>
      </w:r>
      <w:r w:rsidRPr="00FB4EFA">
        <w:rPr>
          <w:rFonts w:cs="Charis SIL"/>
          <w:i/>
          <w:lang w:val="de-DE"/>
        </w:rPr>
        <w:t>arán(y)z</w:t>
      </w:r>
      <w:r w:rsidR="000121EA" w:rsidRPr="00FB4EFA">
        <w:rPr>
          <w:rFonts w:cs="Charis SIL"/>
          <w:lang w:val="de-DE"/>
        </w:rPr>
        <w:t xml:space="preserve"> </w:t>
      </w:r>
      <w:r w:rsidR="006057AB" w:rsidRPr="00FB4EFA">
        <w:rPr>
          <w:rFonts w:cs="Charis SIL"/>
          <w:lang w:val="de-DE"/>
        </w:rPr>
        <w:t>‘</w:t>
      </w:r>
      <w:r w:rsidRPr="00FB4EFA">
        <w:rPr>
          <w:rFonts w:cs="Charis SIL"/>
          <w:lang w:val="de-DE"/>
        </w:rPr>
        <w:t>zielen</w:t>
      </w:r>
      <w:r w:rsidR="006057AB" w:rsidRPr="00FB4EFA">
        <w:rPr>
          <w:rFonts w:cs="Charis SIL"/>
          <w:lang w:val="de-DE"/>
        </w:rPr>
        <w:t>’</w:t>
      </w:r>
      <w:r w:rsidRPr="00FB4EFA">
        <w:rPr>
          <w:rFonts w:cs="Charis SIL"/>
          <w:lang w:val="de-DE"/>
        </w:rPr>
        <w:t xml:space="preserve"> schon längst als veraltet galt.</w:t>
      </w:r>
      <w:r w:rsidRPr="00FB4EFA">
        <w:rPr>
          <w:rFonts w:cs="Charis SIL"/>
          <w:vertAlign w:val="superscript"/>
          <w:lang w:val="de-DE"/>
        </w:rPr>
        <w:footnoteReference w:id="60"/>
      </w:r>
    </w:p>
    <w:p w14:paraId="64B68D0A" w14:textId="5CF894D7" w:rsidR="00CB6469" w:rsidRPr="00FB4EFA" w:rsidRDefault="00CB6469" w:rsidP="004E44CC">
      <w:pPr>
        <w:spacing w:after="240"/>
        <w:ind w:firstLine="709"/>
        <w:rPr>
          <w:rFonts w:cs="Charis SIL"/>
          <w:lang w:val="de-DE"/>
        </w:rPr>
      </w:pPr>
      <w:r w:rsidRPr="00FB4EFA">
        <w:rPr>
          <w:rFonts w:cs="Charis SIL"/>
          <w:lang w:val="de-DE"/>
        </w:rPr>
        <w:lastRenderedPageBreak/>
        <w:t xml:space="preserve">Manchmal geraten nicht einfach Phrasemkomponenten als </w:t>
      </w:r>
      <w:r w:rsidR="00C17973" w:rsidRPr="00FB4EFA">
        <w:rPr>
          <w:rFonts w:cs="Charis SIL"/>
          <w:lang w:val="de-DE"/>
        </w:rPr>
        <w:br/>
      </w:r>
      <w:r w:rsidRPr="00FB4EFA">
        <w:rPr>
          <w:rFonts w:cs="Charis SIL"/>
          <w:lang w:val="de-DE"/>
        </w:rPr>
        <w:t xml:space="preserve">Lexeme in den Hintergrund, sondern der bezeichnete Begriff bzw. die Realie selbst. Als solche können wir die Komponente </w:t>
      </w:r>
      <w:r w:rsidRPr="00FB4EFA">
        <w:rPr>
          <w:rFonts w:cs="Charis SIL"/>
          <w:i/>
          <w:lang w:val="de-DE"/>
        </w:rPr>
        <w:t>farkaskasza</w:t>
      </w:r>
      <w:r w:rsidRPr="00FB4EFA">
        <w:rPr>
          <w:rFonts w:cs="Charis SIL"/>
          <w:lang w:val="de-DE"/>
        </w:rPr>
        <w:t xml:space="preserve"> in der Redensart </w:t>
      </w:r>
      <w:r w:rsidRPr="00FB4EFA">
        <w:rPr>
          <w:rFonts w:cs="Charis SIL"/>
          <w:i/>
        </w:rPr>
        <w:t>farkaskaszára jut</w:t>
      </w:r>
      <w:r w:rsidRPr="00FB4EFA">
        <w:rPr>
          <w:rFonts w:cs="Charis SIL"/>
        </w:rPr>
        <w:t xml:space="preserve"> </w:t>
      </w:r>
      <w:r w:rsidR="006057AB" w:rsidRPr="00FB4EFA">
        <w:rPr>
          <w:rFonts w:cs="Charis SIL"/>
        </w:rPr>
        <w:t>‘</w:t>
      </w:r>
      <w:r w:rsidRPr="00FB4EFA">
        <w:rPr>
          <w:rFonts w:cs="Charis SIL"/>
        </w:rPr>
        <w:t>vergeudet, verprasst werden</w:t>
      </w:r>
      <w:r w:rsidR="006057AB" w:rsidRPr="00FB4EFA">
        <w:rPr>
          <w:rFonts w:cs="Charis SIL"/>
        </w:rPr>
        <w:t>’</w:t>
      </w:r>
      <w:r w:rsidRPr="00FB4EFA">
        <w:rPr>
          <w:rFonts w:cs="Charis SIL"/>
        </w:rPr>
        <w:t xml:space="preserve"> bzw. </w:t>
      </w:r>
      <w:r w:rsidR="00C17973" w:rsidRPr="00FB4EFA">
        <w:rPr>
          <w:rFonts w:cs="Charis SIL"/>
        </w:rPr>
        <w:br/>
      </w:r>
      <w:r w:rsidRPr="00FB4EFA">
        <w:rPr>
          <w:rFonts w:cs="Charis SIL"/>
          <w:i/>
        </w:rPr>
        <w:t>farkaskaszára vet</w:t>
      </w:r>
      <w:r w:rsidRPr="00FB4EFA">
        <w:rPr>
          <w:rFonts w:cs="Charis SIL"/>
        </w:rPr>
        <w:t xml:space="preserve"> [</w:t>
      </w:r>
      <w:r w:rsidRPr="00FB4EFA">
        <w:rPr>
          <w:rFonts w:cs="Charis SIL"/>
          <w:i/>
        </w:rPr>
        <w:t>hagy</w:t>
      </w:r>
      <w:r w:rsidR="000121EA" w:rsidRPr="00FB4EFA">
        <w:rPr>
          <w:rFonts w:cs="Charis SIL"/>
        </w:rPr>
        <w:t xml:space="preserve"> </w:t>
      </w:r>
      <w:r w:rsidRPr="00FB4EFA">
        <w:rPr>
          <w:rFonts w:cs="Charis SIL"/>
        </w:rPr>
        <w:t xml:space="preserve">od. </w:t>
      </w:r>
      <w:r w:rsidRPr="00FB4EFA">
        <w:rPr>
          <w:rFonts w:cs="Charis SIL"/>
          <w:i/>
        </w:rPr>
        <w:t>enged</w:t>
      </w:r>
      <w:r w:rsidRPr="00FB4EFA">
        <w:rPr>
          <w:rFonts w:cs="Charis SIL"/>
        </w:rPr>
        <w:t xml:space="preserve">] (vgl. O. Nagy 1976: 198) betrachten. </w:t>
      </w:r>
      <w:r w:rsidRPr="00FB4EFA">
        <w:rPr>
          <w:rFonts w:cs="Charis SIL"/>
          <w:lang w:val="de-DE"/>
        </w:rPr>
        <w:t>Letzteres ist nach O.</w:t>
      </w:r>
      <w:r w:rsidR="007F3124" w:rsidRPr="00FB4EFA">
        <w:rPr>
          <w:rFonts w:cs="Charis SIL"/>
          <w:lang w:val="de-DE"/>
        </w:rPr>
        <w:t> </w:t>
      </w:r>
      <w:r w:rsidRPr="00FB4EFA">
        <w:rPr>
          <w:rFonts w:cs="Charis SIL"/>
          <w:lang w:val="de-DE"/>
        </w:rPr>
        <w:t xml:space="preserve">Nagy polysem, die eine Bedeutung ist </w:t>
      </w:r>
      <w:r w:rsidR="006057AB" w:rsidRPr="00FB4EFA">
        <w:rPr>
          <w:rFonts w:cs="Charis SIL"/>
          <w:lang w:val="de-DE"/>
        </w:rPr>
        <w:t>‘</w:t>
      </w:r>
      <w:r w:rsidRPr="00FB4EFA">
        <w:rPr>
          <w:rFonts w:cs="Charis SIL"/>
          <w:lang w:val="de-DE"/>
        </w:rPr>
        <w:t>jmdn./etw. höchster Gefahr aussetzen</w:t>
      </w:r>
      <w:r w:rsidR="006057AB" w:rsidRPr="00FB4EFA">
        <w:rPr>
          <w:rFonts w:cs="Charis SIL"/>
          <w:lang w:val="de-DE"/>
        </w:rPr>
        <w:t>’</w:t>
      </w:r>
      <w:r w:rsidRPr="00FB4EFA">
        <w:rPr>
          <w:rFonts w:cs="Charis SIL"/>
          <w:lang w:val="de-DE"/>
        </w:rPr>
        <w:t xml:space="preserve">, die andere: </w:t>
      </w:r>
      <w:r w:rsidR="006057AB" w:rsidRPr="00FB4EFA">
        <w:rPr>
          <w:rFonts w:cs="Charis SIL"/>
          <w:lang w:val="de-DE"/>
        </w:rPr>
        <w:t>‘</w:t>
      </w:r>
      <w:r w:rsidRPr="00FB4EFA">
        <w:rPr>
          <w:rFonts w:cs="Charis SIL"/>
          <w:lang w:val="de-DE"/>
        </w:rPr>
        <w:t>zulassen, dass etw. kaputt geht</w:t>
      </w:r>
      <w:r w:rsidR="006057AB" w:rsidRPr="00FB4EFA">
        <w:rPr>
          <w:rFonts w:cs="Charis SIL"/>
          <w:lang w:val="de-DE"/>
        </w:rPr>
        <w:t>’</w:t>
      </w:r>
      <w:r w:rsidRPr="00FB4EFA">
        <w:rPr>
          <w:rFonts w:cs="Charis SIL"/>
          <w:lang w:val="de-DE"/>
        </w:rPr>
        <w:t xml:space="preserve">. Das ergibt sich auch aus den Angaben aus dem Sprachhistorischen </w:t>
      </w:r>
      <w:r w:rsidR="00C17973" w:rsidRPr="00FB4EFA">
        <w:rPr>
          <w:rFonts w:cs="Charis SIL"/>
          <w:lang w:val="de-DE"/>
        </w:rPr>
        <w:br/>
      </w:r>
      <w:r w:rsidRPr="00FB4EFA">
        <w:rPr>
          <w:rFonts w:cs="Charis SIL"/>
          <w:lang w:val="de-DE"/>
        </w:rPr>
        <w:t>Wörterbuch (NySz.), vgl.</w:t>
      </w:r>
    </w:p>
    <w:p w14:paraId="4A4D9AF0" w14:textId="77777777" w:rsidR="00CB6469" w:rsidRPr="00FB4EFA" w:rsidRDefault="00CB6469" w:rsidP="00AF0CAD">
      <w:pPr>
        <w:spacing w:line="240" w:lineRule="auto"/>
        <w:ind w:left="993" w:right="108" w:hanging="284"/>
        <w:rPr>
          <w:rFonts w:cs="Charis SIL"/>
          <w:b/>
          <w:lang w:val="de-DE"/>
        </w:rPr>
      </w:pPr>
      <w:r w:rsidRPr="00FB4EFA">
        <w:rPr>
          <w:rFonts w:cs="Charis SIL"/>
          <w:i/>
          <w:lang w:val="de-DE"/>
        </w:rPr>
        <w:t>Farkas-kaszára veti</w:t>
      </w:r>
      <w:r w:rsidRPr="00FB4EFA">
        <w:rPr>
          <w:rFonts w:cs="Charis SIL"/>
          <w:lang w:val="de-DE"/>
        </w:rPr>
        <w:t>, és veszedelembe taszittya [etwa: auf das Wolfseisen werfen und in Gefahr bringen] (NySz. II: 137)</w:t>
      </w:r>
    </w:p>
    <w:p w14:paraId="1E3DCF04" w14:textId="77777777" w:rsidR="00CB6469" w:rsidRPr="00FB4EFA" w:rsidRDefault="00CB6469" w:rsidP="00AF0CAD">
      <w:pPr>
        <w:spacing w:line="240" w:lineRule="auto"/>
        <w:ind w:left="993" w:right="108" w:hanging="284"/>
        <w:rPr>
          <w:rFonts w:cs="Charis SIL"/>
          <w:b/>
          <w:lang w:val="de-DE"/>
        </w:rPr>
      </w:pPr>
      <w:r w:rsidRPr="00FB4EFA">
        <w:rPr>
          <w:rFonts w:cs="Charis SIL"/>
          <w:lang w:val="de-DE"/>
        </w:rPr>
        <w:t xml:space="preserve">Nehezen hihető, hogy (a rácság) a Dunán általjövén, maga háza népe népét (!) </w:t>
      </w:r>
      <w:r w:rsidRPr="00FB4EFA">
        <w:rPr>
          <w:rFonts w:cs="Charis SIL"/>
          <w:i/>
          <w:lang w:val="de-DE"/>
        </w:rPr>
        <w:t>farkas-kaszára hagyja</w:t>
      </w:r>
      <w:r w:rsidRPr="00FB4EFA">
        <w:rPr>
          <w:rFonts w:cs="Charis SIL"/>
          <w:lang w:val="de-DE"/>
        </w:rPr>
        <w:t xml:space="preserve"> [etwa: es ist schwer zu glauben, dass die Deutschen über die Donau kommend ihre eigene Familien aufs Wolfseisen lassen] (NySz. II: 137)</w:t>
      </w:r>
    </w:p>
    <w:p w14:paraId="443BA086" w14:textId="14E37448" w:rsidR="00CB6469" w:rsidRPr="00FB4EFA" w:rsidRDefault="00CB6469" w:rsidP="004E44CC">
      <w:pPr>
        <w:spacing w:before="240"/>
        <w:rPr>
          <w:rFonts w:cs="Charis SIL"/>
        </w:rPr>
      </w:pPr>
      <w:r w:rsidRPr="00FB4EFA">
        <w:rPr>
          <w:rFonts w:cs="Charis SIL"/>
          <w:lang w:val="de-DE"/>
        </w:rPr>
        <w:t xml:space="preserve">Nicht nur die beiden Ausdrücke sind inzwischen ausgestorben, wir wissen auch nicht, was die genaue Bedeutung der Komponente </w:t>
      </w:r>
      <w:r w:rsidRPr="00FB4EFA">
        <w:rPr>
          <w:rFonts w:cs="Charis SIL"/>
          <w:i/>
          <w:lang w:val="de-DE"/>
        </w:rPr>
        <w:t>farkaskasza</w:t>
      </w:r>
      <w:r w:rsidRPr="00FB4EFA">
        <w:rPr>
          <w:rFonts w:cs="Charis SIL"/>
          <w:lang w:val="de-DE"/>
        </w:rPr>
        <w:t xml:space="preserve"> eigentlich gewesen sein könnte. In seiner Sammlung gibt auch O.</w:t>
      </w:r>
      <w:r w:rsidR="007F3124" w:rsidRPr="00FB4EFA">
        <w:rPr>
          <w:rFonts w:cs="Charis SIL"/>
          <w:lang w:val="de-DE"/>
        </w:rPr>
        <w:t> </w:t>
      </w:r>
      <w:r w:rsidRPr="00FB4EFA">
        <w:rPr>
          <w:rFonts w:cs="Charis SIL"/>
          <w:lang w:val="de-DE"/>
        </w:rPr>
        <w:t xml:space="preserve">Nagy das Stichwort </w:t>
      </w:r>
      <w:r w:rsidRPr="00FB4EFA">
        <w:rPr>
          <w:rFonts w:cs="Charis SIL"/>
          <w:i/>
          <w:lang w:val="de-DE"/>
        </w:rPr>
        <w:t>farkaskasza</w:t>
      </w:r>
      <w:r w:rsidRPr="00FB4EFA">
        <w:rPr>
          <w:rFonts w:cs="Charis SIL"/>
          <w:lang w:val="de-DE"/>
        </w:rPr>
        <w:t xml:space="preserve"> in eckigen Klammern an, damit bezeichnet er die unikale Art der Komponente. Auch er gibt aber die Bedeutung von </w:t>
      </w:r>
      <w:r w:rsidRPr="00FB4EFA">
        <w:rPr>
          <w:rFonts w:cs="Charis SIL"/>
          <w:i/>
          <w:lang w:val="de-DE"/>
        </w:rPr>
        <w:t>farkaskasza</w:t>
      </w:r>
      <w:r w:rsidRPr="00FB4EFA">
        <w:rPr>
          <w:rFonts w:cs="Charis SIL"/>
          <w:lang w:val="de-DE"/>
        </w:rPr>
        <w:t xml:space="preserve"> nicht an, obwohl er das häufig tut, wenn es sich um seltene Lexeme handelt (</w:t>
      </w:r>
      <w:r w:rsidR="0030017E" w:rsidRPr="00FB4EFA">
        <w:rPr>
          <w:rFonts w:cs="Charis SIL"/>
          <w:lang w:val="de-DE"/>
        </w:rPr>
        <w:t>z. B.</w:t>
      </w:r>
      <w:r w:rsidRPr="00FB4EFA">
        <w:rPr>
          <w:rFonts w:cs="Charis SIL"/>
          <w:lang w:val="de-DE"/>
        </w:rPr>
        <w:t xml:space="preserve"> </w:t>
      </w:r>
      <w:r w:rsidRPr="00FB4EFA">
        <w:rPr>
          <w:rFonts w:cs="Charis SIL"/>
          <w:i/>
          <w:lang w:val="de-DE"/>
        </w:rPr>
        <w:t>szerdék</w:t>
      </w:r>
      <w:r w:rsidRPr="00FB4EFA">
        <w:rPr>
          <w:rFonts w:cs="Charis SIL"/>
          <w:lang w:val="de-DE"/>
        </w:rPr>
        <w:t xml:space="preserve"> </w:t>
      </w:r>
      <w:r w:rsidR="006057AB" w:rsidRPr="00FB4EFA">
        <w:rPr>
          <w:rFonts w:cs="Charis SIL"/>
          <w:lang w:val="de-DE"/>
        </w:rPr>
        <w:t>‘</w:t>
      </w:r>
      <w:r w:rsidRPr="00FB4EFA">
        <w:rPr>
          <w:rFonts w:cs="Charis SIL"/>
          <w:lang w:val="de-DE"/>
        </w:rPr>
        <w:t>geronnene Milch</w:t>
      </w:r>
      <w:r w:rsidR="006057AB" w:rsidRPr="00FB4EFA">
        <w:rPr>
          <w:rFonts w:cs="Charis SIL"/>
          <w:lang w:val="de-DE"/>
        </w:rPr>
        <w:t>’</w:t>
      </w:r>
      <w:r w:rsidR="00E10B77" w:rsidRPr="00FB4EFA">
        <w:rPr>
          <w:rFonts w:cs="Charis SIL"/>
          <w:lang w:val="de-DE"/>
        </w:rPr>
        <w:t>,</w:t>
      </w:r>
      <w:r w:rsidRPr="00FB4EFA">
        <w:rPr>
          <w:rFonts w:cs="Charis SIL"/>
          <w:lang w:val="de-DE"/>
        </w:rPr>
        <w:t xml:space="preserve"> </w:t>
      </w:r>
      <w:r w:rsidR="00E10B77" w:rsidRPr="00FB4EFA">
        <w:rPr>
          <w:rFonts w:cs="Charis SIL"/>
        </w:rPr>
        <w:t xml:space="preserve">O. Nagy </w:t>
      </w:r>
      <w:r w:rsidRPr="00FB4EFA">
        <w:rPr>
          <w:rFonts w:cs="Charis SIL"/>
          <w:lang w:val="de-DE"/>
        </w:rPr>
        <w:t xml:space="preserve">1976: 636). Auch das Sprachhistorische Wörterbuch (NySz. II: 137) bleibt eine Bedeutungsdefinition schuldig, obwohl es mehrere Redensarten mit dieser Komponente angibt. Das Etymologische Wörterbuch (TESz. I: 847) behandelt im Stichwort </w:t>
      </w:r>
      <w:r w:rsidRPr="00FB4EFA">
        <w:rPr>
          <w:rFonts w:cs="Charis SIL"/>
          <w:i/>
          <w:lang w:val="de-DE"/>
        </w:rPr>
        <w:t>farkas</w:t>
      </w:r>
      <w:r w:rsidRPr="00FB4EFA">
        <w:rPr>
          <w:rFonts w:cs="Charis SIL"/>
          <w:lang w:val="de-DE"/>
        </w:rPr>
        <w:t xml:space="preserve"> kurz auch das Lexem </w:t>
      </w:r>
      <w:r w:rsidRPr="00FB4EFA">
        <w:rPr>
          <w:rFonts w:cs="Charis SIL"/>
          <w:i/>
          <w:lang w:val="de-DE"/>
        </w:rPr>
        <w:t>farkaskasza</w:t>
      </w:r>
      <w:r w:rsidRPr="00FB4EFA">
        <w:rPr>
          <w:rFonts w:cs="Charis SIL"/>
          <w:lang w:val="de-DE"/>
        </w:rPr>
        <w:t>, kommt aber zu keiner überzeugenden Erklärung: „</w:t>
      </w:r>
      <w:r w:rsidRPr="00FB4EFA">
        <w:rPr>
          <w:rFonts w:cs="Charis SIL"/>
        </w:rPr>
        <w:t xml:space="preserve">A csak R. és N. szólásokban élő </w:t>
      </w:r>
      <w:r w:rsidRPr="00FB4EFA">
        <w:rPr>
          <w:rFonts w:cs="Charis SIL"/>
          <w:i/>
        </w:rPr>
        <w:t>farkaskasza</w:t>
      </w:r>
      <w:r w:rsidRPr="00FB4EFA">
        <w:rPr>
          <w:rFonts w:cs="Charis SIL"/>
        </w:rPr>
        <w:t xml:space="preserve"> (vö. ÉrtSz.) először a BesztSzj.-ben fordul elő valamilyen fegyver vagy vágóeszköz neveként (vö. 1395 k.: BesztSzj. 124.; 1. még SchlSzj. 596.). Értelmezése azonban bizonytalan; a lat. </w:t>
      </w:r>
      <w:r w:rsidRPr="00FB4EFA">
        <w:rPr>
          <w:rFonts w:cs="Charis SIL"/>
          <w:i/>
        </w:rPr>
        <w:t>novacula</w:t>
      </w:r>
      <w:r w:rsidRPr="00FB4EFA">
        <w:rPr>
          <w:rFonts w:cs="Charis SIL"/>
        </w:rPr>
        <w:t xml:space="preserve">, </w:t>
      </w:r>
      <w:r w:rsidR="00E10B77" w:rsidRPr="00FB4EFA">
        <w:rPr>
          <w:rFonts w:cs="Charis SIL"/>
        </w:rPr>
        <w:br/>
      </w:r>
      <w:r w:rsidRPr="00FB4EFA">
        <w:rPr>
          <w:rFonts w:cs="Charis SIL"/>
        </w:rPr>
        <w:t xml:space="preserve">amelynek megfelelőjeként a szójegyzékek </w:t>
      </w:r>
      <w:r w:rsidRPr="00FB4EFA">
        <w:rPr>
          <w:rFonts w:cs="Charis SIL"/>
          <w:lang w:val="hu-HU"/>
        </w:rPr>
        <w:t xml:space="preserve">közlik, </w:t>
      </w:r>
      <w:r w:rsidR="00D2687C" w:rsidRPr="00FB4EFA">
        <w:rPr>
          <w:rFonts w:cs="Charis SIL"/>
          <w:lang w:val="hu-HU"/>
        </w:rPr>
        <w:t>’</w:t>
      </w:r>
      <w:r w:rsidRPr="00FB4EFA">
        <w:rPr>
          <w:rFonts w:cs="Charis SIL"/>
          <w:lang w:val="hu-HU"/>
        </w:rPr>
        <w:t>borotva, kés</w:t>
      </w:r>
      <w:r w:rsidR="00D2687C" w:rsidRPr="00FB4EFA">
        <w:rPr>
          <w:rFonts w:cs="Charis SIL"/>
          <w:lang w:val="hu-HU"/>
        </w:rPr>
        <w:t>’</w:t>
      </w:r>
      <w:r w:rsidRPr="00FB4EFA">
        <w:rPr>
          <w:rFonts w:cs="Charis SIL"/>
          <w:lang w:val="hu-HU"/>
        </w:rPr>
        <w:t xml:space="preserve"> jelentésű</w:t>
      </w:r>
      <w:r w:rsidRPr="00FB4EFA">
        <w:rPr>
          <w:rFonts w:cs="Charis SIL"/>
        </w:rPr>
        <w:t xml:space="preserve">. Eredetileg talán farkascsapdába stb. való késfélét értettek rajta, később azonban – minthogy csupán szólásszerű kapcsolatokban élt tovább – </w:t>
      </w:r>
      <w:r w:rsidR="00E10B77" w:rsidRPr="00FB4EFA">
        <w:rPr>
          <w:rFonts w:cs="Charis SIL"/>
        </w:rPr>
        <w:br/>
      </w:r>
      <w:r w:rsidRPr="00FB4EFA">
        <w:rPr>
          <w:rFonts w:cs="Charis SIL"/>
        </w:rPr>
        <w:t>elhomályosodott a jelentése.</w:t>
      </w:r>
      <w:r w:rsidR="00246C87" w:rsidRPr="00FB4EFA">
        <w:rPr>
          <w:rFonts w:cs="Charis SIL"/>
          <w:lang w:val="de-DE"/>
        </w:rPr>
        <w:t>“</w:t>
      </w:r>
      <w:r w:rsidRPr="00FB4EFA">
        <w:rPr>
          <w:rFonts w:cs="Charis SIL"/>
        </w:rPr>
        <w:t xml:space="preserve"> </w:t>
      </w:r>
      <w:r w:rsidRPr="00FB4EFA">
        <w:rPr>
          <w:rFonts w:cs="Charis SIL"/>
          <w:lang w:val="de-DE"/>
        </w:rPr>
        <w:t xml:space="preserve">[Das nur in veralteten und mundartlichen Redensarten vorkommende Wort </w:t>
      </w:r>
      <w:r w:rsidRPr="00FB4EFA">
        <w:rPr>
          <w:rFonts w:cs="Charis SIL"/>
          <w:i/>
          <w:lang w:val="de-DE"/>
        </w:rPr>
        <w:t>farkaszkasza</w:t>
      </w:r>
      <w:r w:rsidRPr="00FB4EFA">
        <w:rPr>
          <w:rFonts w:cs="Charis SIL"/>
          <w:lang w:val="de-DE"/>
        </w:rPr>
        <w:t xml:space="preserve"> kommt zuerst in der </w:t>
      </w:r>
      <w:r w:rsidRPr="00FB4EFA">
        <w:rPr>
          <w:rFonts w:cs="Charis SIL"/>
          <w:lang w:val="de-DE"/>
        </w:rPr>
        <w:lastRenderedPageBreak/>
        <w:t>Wortliste zu Beszterce vor, als Bezeichnung für irgendeine Waffe oder ein Schneideinstrument (</w:t>
      </w:r>
      <w:r w:rsidR="00A8325C" w:rsidRPr="00FB4EFA">
        <w:rPr>
          <w:rFonts w:cs="Charis SIL"/>
          <w:lang w:val="de-DE"/>
        </w:rPr>
        <w:t>…</w:t>
      </w:r>
      <w:r w:rsidRPr="00FB4EFA">
        <w:rPr>
          <w:rFonts w:cs="Charis SIL"/>
          <w:lang w:val="de-DE"/>
        </w:rPr>
        <w:t xml:space="preserve">) Seine Bedeutung ist aber unklar. Es steht als Entsprechung für das lateinische Wort </w:t>
      </w:r>
      <w:r w:rsidRPr="00FB4EFA">
        <w:rPr>
          <w:rFonts w:cs="Charis SIL"/>
          <w:i/>
          <w:lang w:val="de-DE"/>
        </w:rPr>
        <w:t>novacula</w:t>
      </w:r>
      <w:r w:rsidRPr="00FB4EFA">
        <w:rPr>
          <w:rFonts w:cs="Charis SIL"/>
          <w:lang w:val="de-DE"/>
        </w:rPr>
        <w:t xml:space="preserve">, das die Bedeutung </w:t>
      </w:r>
      <w:r w:rsidR="00E10B77" w:rsidRPr="00FB4EFA">
        <w:rPr>
          <w:rFonts w:cs="Charis SIL"/>
          <w:lang w:val="de-DE"/>
        </w:rPr>
        <w:br/>
      </w:r>
      <w:r w:rsidR="006057AB" w:rsidRPr="00FB4EFA">
        <w:rPr>
          <w:rFonts w:cs="Charis SIL"/>
          <w:lang w:val="de-DE"/>
        </w:rPr>
        <w:t>‘</w:t>
      </w:r>
      <w:r w:rsidRPr="00FB4EFA">
        <w:rPr>
          <w:rFonts w:cs="Charis SIL"/>
          <w:lang w:val="de-DE"/>
        </w:rPr>
        <w:t>(Rasier)Messer</w:t>
      </w:r>
      <w:r w:rsidR="006057AB" w:rsidRPr="00FB4EFA">
        <w:rPr>
          <w:rFonts w:cs="Charis SIL"/>
          <w:lang w:val="de-DE"/>
        </w:rPr>
        <w:t>’</w:t>
      </w:r>
      <w:r w:rsidRPr="00FB4EFA">
        <w:rPr>
          <w:rFonts w:cs="Charis SIL"/>
          <w:lang w:val="de-DE"/>
        </w:rPr>
        <w:t xml:space="preserve"> hat. Ursprünglich hat man darunter vielleicht eine Art Klinge verstanden, die in Wolfsfallen angewendet wurde, später hat sich jedoch die Bedeutung verdunkelt, da das Wort nur noch in Redewendungen weitergelebt hat.]</w:t>
      </w:r>
    </w:p>
    <w:p w14:paraId="3E8A06E0" w14:textId="77777777" w:rsidR="00CB6469" w:rsidRPr="00FB4EFA" w:rsidRDefault="00CB6469" w:rsidP="004E44CC">
      <w:pPr>
        <w:ind w:firstLine="709"/>
        <w:rPr>
          <w:rFonts w:cs="Charis SIL"/>
        </w:rPr>
      </w:pPr>
      <w:r w:rsidRPr="00FB4EFA">
        <w:rPr>
          <w:rFonts w:cs="Charis SIL"/>
          <w:lang w:val="de-DE"/>
        </w:rPr>
        <w:t xml:space="preserve">Oszkár Bárczay (1895: 117) interpretiert jedoch das Lexem als irgendeine Stichwaffe und auch János Pásztor vermutet in seinem Artikel über die Entfaltung der ungarischen Militärterminologie (1970: 652) unter </w:t>
      </w:r>
      <w:r w:rsidRPr="00FB4EFA">
        <w:rPr>
          <w:rFonts w:cs="Charis SIL"/>
          <w:i/>
          <w:lang w:val="de-DE"/>
        </w:rPr>
        <w:t>farkaskasza</w:t>
      </w:r>
      <w:r w:rsidRPr="00FB4EFA">
        <w:rPr>
          <w:rFonts w:cs="Charis SIL"/>
          <w:lang w:val="de-DE"/>
        </w:rPr>
        <w:t xml:space="preserve"> eine Stichwaffe, eher noch eine Hellebarde</w:t>
      </w:r>
      <w:r w:rsidRPr="00FB4EFA">
        <w:rPr>
          <w:rFonts w:cs="Charis SIL"/>
        </w:rPr>
        <w:t>.</w:t>
      </w:r>
    </w:p>
    <w:p w14:paraId="5036A32E" w14:textId="18DD88D3" w:rsidR="00CB6469" w:rsidRPr="00FB4EFA" w:rsidRDefault="00CB6469" w:rsidP="004E44CC">
      <w:pPr>
        <w:ind w:firstLine="709"/>
      </w:pPr>
      <w:r w:rsidRPr="00FB4EFA">
        <w:rPr>
          <w:rFonts w:cs="Charis SIL"/>
          <w:lang w:val="de-DE"/>
        </w:rPr>
        <w:t xml:space="preserve">Die Frage, ob die Komponente </w:t>
      </w:r>
      <w:r w:rsidRPr="00FB4EFA">
        <w:rPr>
          <w:rFonts w:cs="Charis SIL"/>
          <w:i/>
          <w:lang w:val="de-DE"/>
        </w:rPr>
        <w:t>farkaskasza</w:t>
      </w:r>
      <w:r w:rsidRPr="00FB4EFA">
        <w:rPr>
          <w:rFonts w:cs="Charis SIL"/>
          <w:lang w:val="de-DE"/>
        </w:rPr>
        <w:t xml:space="preserve"> in den obigen Redensarten eher eine Art Wolfsfalle oder eine alte Stichwaffe gewesen ist, kann und will ich in diesem Artikel nicht entscheiden. Ich plädiere jedoch dafür, dass es eher um eine Art Falle für Wölfe geht. </w:t>
      </w:r>
      <w:r w:rsidRPr="00FB4EFA">
        <w:rPr>
          <w:rFonts w:cs="Charis SIL"/>
          <w:i/>
          <w:lang w:val="de-DE"/>
        </w:rPr>
        <w:t>Wolfseisen</w:t>
      </w:r>
      <w:r w:rsidRPr="00FB4EFA">
        <w:rPr>
          <w:rFonts w:cs="Charis SIL"/>
          <w:lang w:val="de-DE"/>
        </w:rPr>
        <w:t xml:space="preserve"> wi</w:t>
      </w:r>
      <w:r w:rsidRPr="00FB4EFA">
        <w:rPr>
          <w:lang w:val="de-DE"/>
        </w:rPr>
        <w:t xml:space="preserve">rd nämlich im Deutschen auch eine blitzförmige Falle für Tiere genannt. </w:t>
      </w:r>
      <w:r w:rsidR="00E10B77" w:rsidRPr="00FB4EFA">
        <w:rPr>
          <w:lang w:val="de-DE"/>
        </w:rPr>
        <w:t>Das</w:t>
      </w:r>
      <w:r w:rsidRPr="00FB4EFA">
        <w:rPr>
          <w:lang w:val="de-DE"/>
        </w:rPr>
        <w:t xml:space="preserve"> ein</w:t>
      </w:r>
      <w:r w:rsidR="00E10B77" w:rsidRPr="00FB4EFA">
        <w:rPr>
          <w:lang w:val="de-DE"/>
        </w:rPr>
        <w:t>e</w:t>
      </w:r>
      <w:r w:rsidRPr="00FB4EFA">
        <w:rPr>
          <w:lang w:val="de-DE"/>
        </w:rPr>
        <w:t xml:space="preserve"> spitzes Ende </w:t>
      </w:r>
      <w:r w:rsidR="00E10B77" w:rsidRPr="00FB4EFA">
        <w:rPr>
          <w:lang w:val="de-DE"/>
        </w:rPr>
        <w:t xml:space="preserve">des Wolfeisens </w:t>
      </w:r>
      <w:r w:rsidRPr="00FB4EFA">
        <w:rPr>
          <w:lang w:val="de-DE"/>
        </w:rPr>
        <w:t xml:space="preserve">wird in einen Baum geschlagen, auf das andere steckt man ein Stück Fleisch. Das </w:t>
      </w:r>
      <w:r w:rsidR="004E44CC" w:rsidRPr="00FB4EFA">
        <w:rPr>
          <w:lang w:val="de-DE"/>
        </w:rPr>
        <w:t>Ganze</w:t>
      </w:r>
      <w:r w:rsidRPr="00FB4EFA">
        <w:rPr>
          <w:lang w:val="de-DE"/>
        </w:rPr>
        <w:t xml:space="preserve"> dient dazu, dass der hungrige Wolf das Fleisch hastig verschlingt, wodurch er sich selbst in der hakenförmigen Eisenfalle aufspießt</w:t>
      </w:r>
      <w:r w:rsidR="00B03FEA" w:rsidRPr="00FB4EFA">
        <w:rPr>
          <w:lang w:val="de-DE"/>
        </w:rPr>
        <w:t>.</w:t>
      </w:r>
      <w:r w:rsidR="00B03FEA" w:rsidRPr="00FB4EFA">
        <w:rPr>
          <w:vertAlign w:val="superscript"/>
          <w:lang w:val="de-DE"/>
        </w:rPr>
        <w:footnoteReference w:id="61"/>
      </w:r>
    </w:p>
    <w:p w14:paraId="6D3DBE5D" w14:textId="6B5A2A8F" w:rsidR="000121EA" w:rsidRPr="00FB4EFA" w:rsidRDefault="00CB6469" w:rsidP="00F60DD5">
      <w:pPr>
        <w:ind w:firstLine="709"/>
        <w:rPr>
          <w:lang w:val="de-DE"/>
        </w:rPr>
      </w:pPr>
      <w:r w:rsidRPr="00FB4EFA">
        <w:rPr>
          <w:lang w:val="de-DE"/>
        </w:rPr>
        <w:t xml:space="preserve">Eine ebenfalls ausgestorbene Realienkomponente findet man auch in der Redensart </w:t>
      </w:r>
      <w:r w:rsidRPr="00FB4EFA">
        <w:rPr>
          <w:i/>
          <w:lang w:val="de-DE"/>
        </w:rPr>
        <w:t>összehúzza a bagariát</w:t>
      </w:r>
      <w:r w:rsidRPr="00FB4EFA">
        <w:rPr>
          <w:lang w:val="de-DE"/>
        </w:rPr>
        <w:t>. Der Ausdruck soll laut O.</w:t>
      </w:r>
      <w:r w:rsidR="00F60DD5" w:rsidRPr="00FB4EFA">
        <w:rPr>
          <w:lang w:val="de-DE"/>
        </w:rPr>
        <w:t> </w:t>
      </w:r>
      <w:r w:rsidRPr="00FB4EFA">
        <w:rPr>
          <w:lang w:val="de-DE"/>
        </w:rPr>
        <w:t xml:space="preserve">Nagy (1979: 68) im 17. und 18. Jahrhundert noch landesweit gebräuchlich gewesen sein, heute kommt er aber nur noch dialektal vor. Das Wort </w:t>
      </w:r>
      <w:r w:rsidRPr="00FB4EFA">
        <w:rPr>
          <w:i/>
          <w:lang w:val="de-DE"/>
        </w:rPr>
        <w:t>bagaria</w:t>
      </w:r>
      <w:r w:rsidRPr="00FB4EFA">
        <w:rPr>
          <w:lang w:val="de-DE"/>
        </w:rPr>
        <w:t xml:space="preserve"> ist der Name einer gewissen Lederart. Laut O. Nagy sollen aus dieser zähen Ledersorte (sog. russisches Leder) beutelförmige Geldbörsen gemacht worden sein, die von ihren Eigentümern nicht in ihrer Tasche, sondern am Gürtel getragen wurden. Wenn sie kein Geld ausgeben wollten, haben sie den Gürtel (</w:t>
      </w:r>
      <w:r w:rsidRPr="00FB4EFA">
        <w:rPr>
          <w:i/>
          <w:lang w:val="de-DE"/>
        </w:rPr>
        <w:t>bagaria</w:t>
      </w:r>
      <w:r w:rsidRPr="00FB4EFA">
        <w:rPr>
          <w:lang w:val="de-DE"/>
        </w:rPr>
        <w:t>) enger geschnallt und umgekehrt: sie haben den Gürtel gelockert, falls sie Geld ausgaben. So hat das Zusammenziehen des Gürtels (</w:t>
      </w:r>
      <w:r w:rsidRPr="00FB4EFA">
        <w:rPr>
          <w:i/>
          <w:lang w:val="de-DE"/>
        </w:rPr>
        <w:t>bagaria</w:t>
      </w:r>
      <w:r w:rsidRPr="00FB4EFA">
        <w:rPr>
          <w:lang w:val="de-DE"/>
        </w:rPr>
        <w:t>) das Zuschnüren der Geldbörse bedeutet, später dann im übertragenen Sinne die Verringerung der Ausgaben, einen Sparkurs.</w:t>
      </w:r>
    </w:p>
    <w:p w14:paraId="4D6E7784" w14:textId="391ECA25" w:rsidR="00CB6469" w:rsidRPr="00FB4EFA" w:rsidRDefault="00CB6469" w:rsidP="00F60DD5">
      <w:pPr>
        <w:ind w:firstLine="709"/>
      </w:pPr>
      <w:r w:rsidRPr="00FB4EFA">
        <w:rPr>
          <w:lang w:val="de-DE"/>
        </w:rPr>
        <w:lastRenderedPageBreak/>
        <w:t xml:space="preserve">Zsigmond Kallós ist aber gegen diese Erklärung (1931: 31). Er behauptet, in den alten Quellen gäbe es keinerlei Hinweise dafür, dass man die modischen Geldbörsen mit dem Wort </w:t>
      </w:r>
      <w:r w:rsidRPr="00FB4EFA">
        <w:rPr>
          <w:i/>
          <w:lang w:val="de-DE"/>
        </w:rPr>
        <w:t>bagaria</w:t>
      </w:r>
      <w:r w:rsidRPr="00FB4EFA">
        <w:rPr>
          <w:lang w:val="de-DE"/>
        </w:rPr>
        <w:t xml:space="preserve"> bezeichnet hätte. Daher ist er der Meinung, dass es in diesem Ausdruck eher um das Engerschnallen des Gürtels geht, der auch aus diesem starken Leder war.</w:t>
      </w:r>
    </w:p>
    <w:p w14:paraId="21EBDCA5" w14:textId="424A2F33" w:rsidR="00CB6469" w:rsidRPr="00FB4EFA" w:rsidRDefault="00CB6469" w:rsidP="004E44CC">
      <w:pPr>
        <w:ind w:firstLine="709"/>
        <w:rPr>
          <w:rFonts w:cs="Charis SIL"/>
        </w:rPr>
      </w:pPr>
      <w:r w:rsidRPr="00FB4EFA">
        <w:rPr>
          <w:lang w:val="de-DE"/>
        </w:rPr>
        <w:t xml:space="preserve">Meiner Meinung nach sollte man die Wahrheit vielleicht in der Mitte suchen. Möglicherweise wurde mit </w:t>
      </w:r>
      <w:r w:rsidRPr="00FB4EFA">
        <w:rPr>
          <w:i/>
          <w:lang w:val="de-DE"/>
        </w:rPr>
        <w:t>bagaria</w:t>
      </w:r>
      <w:r w:rsidRPr="00FB4EFA">
        <w:rPr>
          <w:lang w:val="de-DE"/>
        </w:rPr>
        <w:t xml:space="preserve"> wirklich nicht die Geldbörse bezeichnet, es ist eindeutig, dass das Wort </w:t>
      </w:r>
      <w:r w:rsidRPr="00FB4EFA">
        <w:rPr>
          <w:i/>
          <w:lang w:val="de-DE"/>
        </w:rPr>
        <w:t>bagaria</w:t>
      </w:r>
      <w:r w:rsidRPr="00FB4EFA">
        <w:rPr>
          <w:lang w:val="de-DE"/>
        </w:rPr>
        <w:t xml:space="preserve"> auch laut TESz (I:</w:t>
      </w:r>
      <w:r w:rsidR="00E10B77" w:rsidRPr="00FB4EFA">
        <w:rPr>
          <w:lang w:val="de-DE"/>
        </w:rPr>
        <w:t> </w:t>
      </w:r>
      <w:r w:rsidRPr="00FB4EFA">
        <w:rPr>
          <w:lang w:val="de-DE"/>
        </w:rPr>
        <w:t xml:space="preserve">214) </w:t>
      </w:r>
      <w:r w:rsidRPr="00FB4EFA">
        <w:rPr>
          <w:rFonts w:cs="Charis SIL"/>
          <w:lang w:val="de-DE"/>
        </w:rPr>
        <w:t xml:space="preserve">die Bedeutung von </w:t>
      </w:r>
      <w:r w:rsidR="006057AB" w:rsidRPr="00FB4EFA">
        <w:rPr>
          <w:rFonts w:cs="Charis SIL"/>
          <w:lang w:val="de-DE"/>
        </w:rPr>
        <w:t>‘</w:t>
      </w:r>
      <w:r w:rsidRPr="00FB4EFA">
        <w:rPr>
          <w:rFonts w:cs="Charis SIL"/>
          <w:lang w:val="de-DE"/>
        </w:rPr>
        <w:t>Gürtel, Riemen</w:t>
      </w:r>
      <w:r w:rsidR="006057AB" w:rsidRPr="00FB4EFA">
        <w:rPr>
          <w:rFonts w:cs="Charis SIL"/>
          <w:lang w:val="de-DE"/>
        </w:rPr>
        <w:t>’</w:t>
      </w:r>
      <w:r w:rsidRPr="00FB4EFA">
        <w:rPr>
          <w:rFonts w:cs="Charis SIL"/>
          <w:lang w:val="de-DE"/>
        </w:rPr>
        <w:t xml:space="preserve"> </w:t>
      </w:r>
      <w:r w:rsidR="00E10B77" w:rsidRPr="00FB4EFA">
        <w:rPr>
          <w:rFonts w:cs="Charis SIL"/>
          <w:lang w:val="de-DE"/>
        </w:rPr>
        <w:t>hatte</w:t>
      </w:r>
      <w:r w:rsidRPr="00FB4EFA">
        <w:rPr>
          <w:rFonts w:cs="Charis SIL"/>
          <w:lang w:val="de-DE"/>
        </w:rPr>
        <w:t>. Möglicherweise bezieht sich aber der metaphorische Hintergrund nicht auf das Zusammenziehen des Hosengürtels, sondern eines Riemens an der Geldbörse. Dadurch konnte man dann tatsächlich kein Geld ausgeben. Diese Interpretation kann auch durch die frühneuhochdeutschen Ausdrücke</w:t>
      </w:r>
      <w:r w:rsidRPr="00FB4EFA">
        <w:rPr>
          <w:rFonts w:cs="Charis SIL"/>
          <w:i/>
          <w:lang w:val="de-DE"/>
        </w:rPr>
        <w:t xml:space="preserve"> es geht an die Riemen</w:t>
      </w:r>
      <w:r w:rsidRPr="00FB4EFA">
        <w:rPr>
          <w:rFonts w:cs="Charis SIL"/>
          <w:lang w:val="de-DE"/>
        </w:rPr>
        <w:t xml:space="preserve"> und </w:t>
      </w:r>
      <w:r w:rsidRPr="00FB4EFA">
        <w:rPr>
          <w:rFonts w:cs="Charis SIL"/>
          <w:i/>
          <w:lang w:val="de-DE"/>
        </w:rPr>
        <w:t xml:space="preserve">die Riemen ziehen </w:t>
      </w:r>
      <w:r w:rsidRPr="00FB4EFA">
        <w:rPr>
          <w:rFonts w:cs="Charis SIL"/>
          <w:lang w:val="de-DE"/>
        </w:rPr>
        <w:t xml:space="preserve">untermauert werden. Auch Burger &amp; Linke (1998: 752) weisen darauf hin, dass diese Ausdrücke in der Bedeutung von </w:t>
      </w:r>
      <w:r w:rsidR="006057AB" w:rsidRPr="00FB4EFA">
        <w:rPr>
          <w:rFonts w:cs="Charis SIL"/>
          <w:lang w:val="de-DE"/>
        </w:rPr>
        <w:t>‘</w:t>
      </w:r>
      <w:r w:rsidRPr="00FB4EFA">
        <w:rPr>
          <w:rFonts w:cs="Charis SIL"/>
          <w:lang w:val="de-DE"/>
        </w:rPr>
        <w:t>(be)zahlen</w:t>
      </w:r>
      <w:r w:rsidR="006057AB" w:rsidRPr="00FB4EFA">
        <w:rPr>
          <w:rFonts w:cs="Charis SIL"/>
          <w:lang w:val="de-DE"/>
        </w:rPr>
        <w:t>’</w:t>
      </w:r>
      <w:r w:rsidRPr="00FB4EFA">
        <w:rPr>
          <w:rFonts w:cs="Charis SIL"/>
          <w:lang w:val="de-DE"/>
        </w:rPr>
        <w:t xml:space="preserve"> aus dem Frühneuhochdeutschem häufig zu belegen sind und führen diese Bedeutung auf die Lockerung des Riemens an der Geldbörse bei Bezahlung zurück. Früher war der Riemen (</w:t>
      </w:r>
      <w:r w:rsidRPr="00FB4EFA">
        <w:rPr>
          <w:rFonts w:cs="Charis SIL"/>
          <w:i/>
          <w:lang w:val="de-DE"/>
        </w:rPr>
        <w:t>bagaria</w:t>
      </w:r>
      <w:r w:rsidRPr="00FB4EFA">
        <w:rPr>
          <w:rFonts w:cs="Charis SIL"/>
          <w:lang w:val="de-DE"/>
        </w:rPr>
        <w:t xml:space="preserve">) eng mit dem Geldausgeben verbunden, heute ist jedoch dieser Zusammenhang durch das Verschwinden dieser Realie und somit der außersprachlichen Referenz in Vergessenheit geraten. Ob man in der Redewendung </w:t>
      </w:r>
      <w:r w:rsidRPr="00FB4EFA">
        <w:rPr>
          <w:rFonts w:cs="Charis SIL"/>
          <w:i/>
          <w:lang w:val="de-DE"/>
        </w:rPr>
        <w:t>összehúzza a bagariát</w:t>
      </w:r>
      <w:r w:rsidRPr="00FB4EFA">
        <w:rPr>
          <w:rFonts w:cs="Charis SIL"/>
          <w:lang w:val="de-DE"/>
        </w:rPr>
        <w:t xml:space="preserve"> einfach eine Spiegelübersetzung aus der (frühneuhoch)deutschen Redensart </w:t>
      </w:r>
      <w:r w:rsidRPr="00FB4EFA">
        <w:rPr>
          <w:rFonts w:cs="Charis SIL"/>
          <w:i/>
          <w:lang w:val="de-DE"/>
        </w:rPr>
        <w:t>den Riemen ziehen</w:t>
      </w:r>
      <w:r w:rsidRPr="00FB4EFA">
        <w:rPr>
          <w:rFonts w:cs="Charis SIL"/>
          <w:lang w:val="de-DE"/>
        </w:rPr>
        <w:t xml:space="preserve"> suchen soll, lässt sich aber schwer entscheiden, da ihre Bedeutung genau das Gegenteil ist: im Ungarischen </w:t>
      </w:r>
      <w:r w:rsidR="006057AB" w:rsidRPr="00FB4EFA">
        <w:rPr>
          <w:rFonts w:cs="Charis SIL"/>
          <w:lang w:val="de-DE"/>
        </w:rPr>
        <w:t>‘</w:t>
      </w:r>
      <w:r w:rsidRPr="00FB4EFA">
        <w:rPr>
          <w:rFonts w:cs="Charis SIL"/>
          <w:lang w:val="de-DE"/>
        </w:rPr>
        <w:t>sparen</w:t>
      </w:r>
      <w:r w:rsidR="006057AB" w:rsidRPr="00FB4EFA">
        <w:rPr>
          <w:rFonts w:cs="Charis SIL"/>
          <w:lang w:val="de-DE"/>
        </w:rPr>
        <w:t>’</w:t>
      </w:r>
      <w:r w:rsidRPr="00FB4EFA">
        <w:rPr>
          <w:rFonts w:cs="Charis SIL"/>
          <w:lang w:val="de-DE"/>
        </w:rPr>
        <w:t xml:space="preserve">, im Deutschen </w:t>
      </w:r>
      <w:r w:rsidR="006057AB" w:rsidRPr="00FB4EFA">
        <w:rPr>
          <w:rFonts w:cs="Charis SIL"/>
          <w:lang w:val="de-DE"/>
        </w:rPr>
        <w:t>‘</w:t>
      </w:r>
      <w:r w:rsidRPr="00FB4EFA">
        <w:rPr>
          <w:rFonts w:cs="Charis SIL"/>
          <w:lang w:val="de-DE"/>
        </w:rPr>
        <w:t>zahlen, Geld ausgeben</w:t>
      </w:r>
      <w:r w:rsidR="006057AB" w:rsidRPr="00FB4EFA">
        <w:rPr>
          <w:rFonts w:cs="Charis SIL"/>
          <w:lang w:val="de-DE"/>
        </w:rPr>
        <w:t>’</w:t>
      </w:r>
      <w:r w:rsidRPr="00FB4EFA">
        <w:rPr>
          <w:rFonts w:cs="Charis SIL"/>
          <w:lang w:val="de-DE"/>
        </w:rPr>
        <w:t xml:space="preserve">. Die Bedeutung von </w:t>
      </w:r>
      <w:r w:rsidRPr="00FB4EFA">
        <w:rPr>
          <w:rFonts w:cs="Charis SIL"/>
          <w:i/>
          <w:lang w:val="de-DE"/>
        </w:rPr>
        <w:t>bagaria</w:t>
      </w:r>
      <w:r w:rsidRPr="00FB4EFA">
        <w:rPr>
          <w:rFonts w:cs="Charis SIL"/>
          <w:lang w:val="de-DE"/>
        </w:rPr>
        <w:t xml:space="preserve"> als </w:t>
      </w:r>
      <w:r w:rsidR="006057AB" w:rsidRPr="00FB4EFA">
        <w:rPr>
          <w:rFonts w:cs="Charis SIL"/>
          <w:lang w:val="de-DE"/>
        </w:rPr>
        <w:t>‘</w:t>
      </w:r>
      <w:r w:rsidRPr="00FB4EFA">
        <w:rPr>
          <w:rFonts w:cs="Charis SIL"/>
          <w:lang w:val="de-DE"/>
        </w:rPr>
        <w:t>Börsenriemen</w:t>
      </w:r>
      <w:r w:rsidR="006057AB" w:rsidRPr="00FB4EFA">
        <w:rPr>
          <w:rFonts w:cs="Charis SIL"/>
          <w:lang w:val="de-DE"/>
        </w:rPr>
        <w:t>’</w:t>
      </w:r>
      <w:r w:rsidRPr="00FB4EFA">
        <w:rPr>
          <w:rFonts w:cs="Charis SIL"/>
          <w:lang w:val="de-DE"/>
        </w:rPr>
        <w:t xml:space="preserve"> kann jedoch beide Bilder </w:t>
      </w:r>
      <w:r w:rsidR="004E44CC" w:rsidRPr="00FB4EFA">
        <w:rPr>
          <w:rFonts w:cs="Charis SIL"/>
          <w:lang w:val="de-DE"/>
        </w:rPr>
        <w:br/>
      </w:r>
      <w:r w:rsidRPr="00FB4EFA">
        <w:rPr>
          <w:rFonts w:cs="Charis SIL"/>
          <w:lang w:val="de-DE"/>
        </w:rPr>
        <w:t>erklären.</w:t>
      </w:r>
      <w:r w:rsidRPr="00FB4EFA">
        <w:rPr>
          <w:rFonts w:cs="Charis SIL"/>
          <w:vertAlign w:val="superscript"/>
          <w:lang w:val="de-DE"/>
        </w:rPr>
        <w:footnoteReference w:id="62"/>
      </w:r>
    </w:p>
    <w:p w14:paraId="707C69AD" w14:textId="77777777" w:rsidR="00CB6469" w:rsidRPr="00FB4EFA" w:rsidRDefault="00CB6469" w:rsidP="00402EF4">
      <w:pPr>
        <w:ind w:firstLine="709"/>
        <w:rPr>
          <w:rFonts w:cs="Charis SIL"/>
        </w:rPr>
      </w:pPr>
      <w:r w:rsidRPr="00FB4EFA">
        <w:rPr>
          <w:rFonts w:cs="Charis SIL"/>
          <w:lang w:val="de-DE"/>
        </w:rPr>
        <w:t xml:space="preserve">Gleichzeitig ist es aber wichtig zu beachten, dass das Verschwinden einiger Realien nicht unbedingt zur Eliminierung der mit ihnen erstellten Redensarten oder Sprichwörter führt, da sie manchmal als unikale Komponente auch heute noch vorkommen können, einige davon sogar </w:t>
      </w:r>
      <w:r w:rsidRPr="00FB4EFA">
        <w:rPr>
          <w:rFonts w:cs="Charis SIL"/>
          <w:lang w:val="de-DE"/>
        </w:rPr>
        <w:lastRenderedPageBreak/>
        <w:t>in recht häufigen Ausdrücken. In solchen Fällen wird das Phrasem demotiviert und opak, eventuell wird es durch Volksetymologie remotiviert. Dafür möchte ich auch einige Beispiele erwähnen.</w:t>
      </w:r>
    </w:p>
    <w:p w14:paraId="6FEEF37A" w14:textId="0A5632CD" w:rsidR="00CB6469" w:rsidRPr="00FB4EFA" w:rsidRDefault="00CB6469" w:rsidP="00F60DD5">
      <w:pPr>
        <w:ind w:firstLine="709"/>
        <w:rPr>
          <w:rFonts w:cs="Charis SIL"/>
        </w:rPr>
      </w:pPr>
      <w:r w:rsidRPr="00FB4EFA">
        <w:rPr>
          <w:rFonts w:cs="Charis SIL"/>
          <w:lang w:val="de-DE"/>
        </w:rPr>
        <w:t xml:space="preserve">Auch heute wohlbekannt und oft gebraucht ist der Ausdruck </w:t>
      </w:r>
      <w:r w:rsidRPr="00FB4EFA">
        <w:rPr>
          <w:rFonts w:cs="Charis SIL"/>
          <w:i/>
          <w:lang w:val="de-DE"/>
        </w:rPr>
        <w:t>vargabetűt csinál/tesz</w:t>
      </w:r>
      <w:r w:rsidRPr="00FB4EFA">
        <w:rPr>
          <w:rFonts w:cs="Charis SIL"/>
          <w:lang w:val="de-DE"/>
        </w:rPr>
        <w:t xml:space="preserve"> </w:t>
      </w:r>
      <w:r w:rsidR="006057AB" w:rsidRPr="00FB4EFA">
        <w:rPr>
          <w:rFonts w:cs="Charis SIL"/>
          <w:lang w:val="de-DE"/>
        </w:rPr>
        <w:t>‘</w:t>
      </w:r>
      <w:r w:rsidRPr="00FB4EFA">
        <w:rPr>
          <w:rFonts w:cs="Charis SIL"/>
          <w:lang w:val="de-DE"/>
        </w:rPr>
        <w:t>einen Umweg machen</w:t>
      </w:r>
      <w:r w:rsidR="006057AB" w:rsidRPr="00FB4EFA">
        <w:rPr>
          <w:rFonts w:cs="Charis SIL"/>
          <w:lang w:val="de-DE"/>
        </w:rPr>
        <w:t>’</w:t>
      </w:r>
      <w:r w:rsidRPr="00FB4EFA">
        <w:rPr>
          <w:rFonts w:cs="Charis SIL"/>
          <w:lang w:val="de-DE"/>
        </w:rPr>
        <w:t xml:space="preserve">, obwohl wir seinen bildlichen Hintergrund gar nicht kennen. Es gibt mehrere Erklärungsversuche, aber keiner kann zur Gänze befriedigen. Nach der einen Interpretation kann die Redensart dadurch erklärt werden, dass Schuhmacher bei der Fertigung der Schuhe und Stiefel mit ihrem spitzen und scharfem Messer buchstabenförmige, krumme Linien ins Leder geschnitten haben. Eine andere Erklärung sagt, dass </w:t>
      </w:r>
      <w:r w:rsidRPr="00FB4EFA">
        <w:rPr>
          <w:rFonts w:cs="Charis SIL"/>
          <w:i/>
          <w:lang w:val="de-DE"/>
        </w:rPr>
        <w:t>vargabetű</w:t>
      </w:r>
      <w:r w:rsidRPr="00FB4EFA">
        <w:rPr>
          <w:rFonts w:cs="Charis SIL"/>
          <w:lang w:val="de-DE"/>
        </w:rPr>
        <w:t xml:space="preserve"> eventuell eher der Name für Schnitte war, die vom geplanten Schnitt fehlerhaft abgewichen sind, es ist aber auch nicht auszuschließen, dass das Lexem eher eine pejorative Form war, mit der man die ungeschulten Schuhmacher verspottet hat (vgl. O. Nagy 1979: 482–483).</w:t>
      </w:r>
    </w:p>
    <w:p w14:paraId="3CFF833C" w14:textId="728FD192" w:rsidR="00CB6469" w:rsidRPr="00FB4EFA" w:rsidRDefault="00CB6469" w:rsidP="00F60DD5">
      <w:pPr>
        <w:ind w:firstLine="709"/>
        <w:rPr>
          <w:rFonts w:cs="Charis SIL"/>
        </w:rPr>
      </w:pPr>
      <w:r w:rsidRPr="00FB4EFA">
        <w:rPr>
          <w:rFonts w:cs="Charis SIL"/>
          <w:lang w:val="de-DE"/>
        </w:rPr>
        <w:t xml:space="preserve">Weit verbreitet ist auch die Redensart </w:t>
      </w:r>
      <w:r w:rsidRPr="00FB4EFA">
        <w:rPr>
          <w:rFonts w:cs="Charis SIL"/>
          <w:i/>
          <w:lang w:val="de-DE"/>
        </w:rPr>
        <w:t>nincsen sütnivalója</w:t>
      </w:r>
      <w:r w:rsidRPr="00FB4EFA">
        <w:rPr>
          <w:rFonts w:cs="Charis SIL"/>
          <w:lang w:val="de-DE"/>
        </w:rPr>
        <w:t xml:space="preserve"> </w:t>
      </w:r>
      <w:r w:rsidR="006057AB" w:rsidRPr="00FB4EFA">
        <w:rPr>
          <w:rFonts w:cs="Charis SIL"/>
          <w:lang w:val="de-DE"/>
        </w:rPr>
        <w:t>‘</w:t>
      </w:r>
      <w:r w:rsidRPr="00FB4EFA">
        <w:rPr>
          <w:rFonts w:cs="Charis SIL"/>
          <w:lang w:val="de-DE"/>
        </w:rPr>
        <w:t>wörtl.: er/sie hat nichts zum Backen</w:t>
      </w:r>
      <w:r w:rsidR="006057AB" w:rsidRPr="00FB4EFA">
        <w:rPr>
          <w:rFonts w:cs="Charis SIL"/>
          <w:lang w:val="de-DE"/>
        </w:rPr>
        <w:t>’</w:t>
      </w:r>
      <w:r w:rsidRPr="00FB4EFA">
        <w:rPr>
          <w:rFonts w:cs="Charis SIL"/>
          <w:lang w:val="de-DE"/>
        </w:rPr>
        <w:t xml:space="preserve"> als Ausdruck von mentaler Schwäche bzw. Dummheit, aber nur wenige wissen, dass </w:t>
      </w:r>
      <w:r w:rsidRPr="00FB4EFA">
        <w:rPr>
          <w:rFonts w:cs="Charis SIL"/>
          <w:i/>
          <w:lang w:val="de-DE"/>
        </w:rPr>
        <w:t>sütnivaló</w:t>
      </w:r>
      <w:r w:rsidRPr="00FB4EFA">
        <w:rPr>
          <w:rFonts w:cs="Charis SIL"/>
          <w:lang w:val="de-DE"/>
        </w:rPr>
        <w:t xml:space="preserve"> hier </w:t>
      </w:r>
      <w:r w:rsidR="00D76114" w:rsidRPr="00FB4EFA">
        <w:rPr>
          <w:rFonts w:cs="Charis SIL"/>
          <w:lang w:val="de-DE"/>
        </w:rPr>
        <w:t>nicht</w:t>
      </w:r>
      <w:r w:rsidRPr="00FB4EFA">
        <w:rPr>
          <w:rFonts w:cs="Charis SIL"/>
          <w:lang w:val="de-DE"/>
        </w:rPr>
        <w:t xml:space="preserve"> </w:t>
      </w:r>
      <w:r w:rsidR="00D76114" w:rsidRPr="00FB4EFA">
        <w:rPr>
          <w:rFonts w:cs="Charis SIL"/>
          <w:lang w:val="de-DE"/>
        </w:rPr>
        <w:t>‘</w:t>
      </w:r>
      <w:r w:rsidRPr="00FB4EFA">
        <w:rPr>
          <w:rFonts w:cs="Charis SIL"/>
          <w:lang w:val="de-DE"/>
        </w:rPr>
        <w:t>Mehl</w:t>
      </w:r>
      <w:r w:rsidR="00D76114" w:rsidRPr="00FB4EFA">
        <w:rPr>
          <w:rFonts w:cs="Charis SIL"/>
          <w:lang w:val="de-DE"/>
        </w:rPr>
        <w:t>’</w:t>
      </w:r>
      <w:r w:rsidRPr="00FB4EFA">
        <w:rPr>
          <w:rFonts w:cs="Charis SIL"/>
          <w:lang w:val="de-DE"/>
        </w:rPr>
        <w:t xml:space="preserve"> oder </w:t>
      </w:r>
      <w:r w:rsidR="00D76114" w:rsidRPr="00FB4EFA">
        <w:rPr>
          <w:rFonts w:cs="Charis SIL"/>
          <w:lang w:val="de-DE"/>
        </w:rPr>
        <w:t>‘</w:t>
      </w:r>
      <w:r w:rsidRPr="00FB4EFA">
        <w:rPr>
          <w:rFonts w:cs="Charis SIL"/>
          <w:lang w:val="de-DE"/>
        </w:rPr>
        <w:t>Hefe</w:t>
      </w:r>
      <w:r w:rsidR="00D76114" w:rsidRPr="00FB4EFA">
        <w:rPr>
          <w:rFonts w:cs="Charis SIL"/>
          <w:lang w:val="de-DE"/>
        </w:rPr>
        <w:t>’</w:t>
      </w:r>
      <w:r w:rsidRPr="00FB4EFA">
        <w:rPr>
          <w:rFonts w:cs="Charis SIL"/>
          <w:lang w:val="de-DE"/>
        </w:rPr>
        <w:t xml:space="preserve"> bedeutet, sondern eine Mischung aus Hopfen und Kleie, die – vor allem im westlichen Teil des Landes – zur Gärung des Brotteigs verwendet wurde. Das war billig, aber man musste aufpassen, dass diese </w:t>
      </w:r>
      <w:r w:rsidR="00AD79E8" w:rsidRPr="00FB4EFA">
        <w:rPr>
          <w:rFonts w:cs="Charis SIL"/>
          <w:lang w:val="de-DE"/>
        </w:rPr>
        <w:br/>
      </w:r>
      <w:r w:rsidRPr="00FB4EFA">
        <w:rPr>
          <w:rFonts w:cs="Charis SIL"/>
          <w:lang w:val="de-DE"/>
        </w:rPr>
        <w:t xml:space="preserve">Mischung nicht ausgeht, in diesem Falle konnte man nämlich kein Brot mehr backen. Nur bei den weniger klugen Hausfrauen konnte es vorkommen, dass sie kein </w:t>
      </w:r>
      <w:r w:rsidRPr="00FB4EFA">
        <w:rPr>
          <w:rFonts w:cs="Charis SIL"/>
          <w:i/>
          <w:lang w:val="de-DE"/>
        </w:rPr>
        <w:t>sütnivaló</w:t>
      </w:r>
      <w:r w:rsidRPr="00FB4EFA">
        <w:rPr>
          <w:rFonts w:cs="Charis SIL"/>
          <w:lang w:val="de-DE"/>
        </w:rPr>
        <w:t xml:space="preserve"> gehabt haben und dafür in die Nachbarschaft gehen mussten (vgl. O. Nagy 1979: 420–421).</w:t>
      </w:r>
    </w:p>
    <w:p w14:paraId="315A6EA3" w14:textId="22E2368E" w:rsidR="00CB6469" w:rsidRPr="00FB4EFA" w:rsidRDefault="00CB6469" w:rsidP="00F60DD5">
      <w:pPr>
        <w:ind w:firstLine="709"/>
        <w:rPr>
          <w:rFonts w:cs="Charis SIL"/>
        </w:rPr>
      </w:pPr>
      <w:r w:rsidRPr="00FB4EFA">
        <w:rPr>
          <w:rFonts w:cs="Charis SIL"/>
          <w:lang w:val="de-DE"/>
        </w:rPr>
        <w:t>Interessant ist in diese</w:t>
      </w:r>
      <w:r w:rsidR="00D76114" w:rsidRPr="00FB4EFA">
        <w:rPr>
          <w:rFonts w:cs="Charis SIL"/>
          <w:lang w:val="de-DE"/>
        </w:rPr>
        <w:t>m</w:t>
      </w:r>
      <w:r w:rsidRPr="00FB4EFA">
        <w:rPr>
          <w:rFonts w:cs="Charis SIL"/>
          <w:lang w:val="de-DE"/>
        </w:rPr>
        <w:t xml:space="preserve"> Zusammenhang auch der Ausdruck </w:t>
      </w:r>
      <w:r w:rsidRPr="00FB4EFA">
        <w:rPr>
          <w:rFonts w:cs="Charis SIL"/>
          <w:i/>
          <w:lang w:val="de-DE"/>
        </w:rPr>
        <w:t>hátra van még a feketeleves</w:t>
      </w:r>
      <w:r w:rsidRPr="00FB4EFA">
        <w:rPr>
          <w:rFonts w:cs="Charis SIL"/>
          <w:lang w:val="de-DE"/>
        </w:rPr>
        <w:t xml:space="preserve"> </w:t>
      </w:r>
      <w:r w:rsidR="006057AB" w:rsidRPr="00FB4EFA">
        <w:rPr>
          <w:rFonts w:cs="Charis SIL"/>
          <w:lang w:val="de-DE"/>
        </w:rPr>
        <w:t>‘</w:t>
      </w:r>
      <w:r w:rsidRPr="00FB4EFA">
        <w:rPr>
          <w:rFonts w:cs="Charis SIL"/>
          <w:lang w:val="de-DE"/>
        </w:rPr>
        <w:t>das dicke Ende kommt noch [eigtl.: die schwarze Brühe kommt noch]</w:t>
      </w:r>
      <w:r w:rsidR="006057AB" w:rsidRPr="00FB4EFA">
        <w:rPr>
          <w:rFonts w:cs="Charis SIL"/>
          <w:lang w:val="de-DE"/>
        </w:rPr>
        <w:t>’</w:t>
      </w:r>
      <w:r w:rsidRPr="00FB4EFA">
        <w:rPr>
          <w:rFonts w:cs="Charis SIL"/>
          <w:lang w:val="de-DE"/>
        </w:rPr>
        <w:t xml:space="preserve">. </w:t>
      </w:r>
      <w:r w:rsidRPr="00FB4EFA">
        <w:rPr>
          <w:rFonts w:cs="Charis SIL"/>
          <w:i/>
          <w:lang w:val="de-DE"/>
        </w:rPr>
        <w:t>Feketeleves</w:t>
      </w:r>
      <w:r w:rsidRPr="00FB4EFA">
        <w:rPr>
          <w:rFonts w:cs="Charis SIL"/>
          <w:lang w:val="de-DE"/>
        </w:rPr>
        <w:t xml:space="preserve"> war der Name einer dunklen Soße, </w:t>
      </w:r>
      <w:r w:rsidR="00D76114" w:rsidRPr="00FB4EFA">
        <w:rPr>
          <w:rFonts w:cs="Charis SIL"/>
          <w:lang w:val="de-DE"/>
        </w:rPr>
        <w:t>mit der</w:t>
      </w:r>
      <w:r w:rsidRPr="00FB4EFA">
        <w:rPr>
          <w:rFonts w:cs="Charis SIL"/>
          <w:lang w:val="de-DE"/>
        </w:rPr>
        <w:t xml:space="preserve"> gebratenen oder gekochten Fleischstücke übergossen wurden. Beim Essen haben sich die Meisten das Fleisch herausgepickt und somit ist nur die schwarze Brühe übrig geblieben. Diese Realie ist aber schon so früh verschwunden, dass man bereits im 19. Jahrhundert diese Brühe mit dem schwarzen Kaffee identifiziert hat und den Ausdruck mit einem historischen Ereignis, nämlich der Festnahme einiger führender ungarischer Aristokraten durch den türkischen Sultan verknüpft hat (vgl.</w:t>
      </w:r>
      <w:r w:rsidR="00F60DD5" w:rsidRPr="00FB4EFA">
        <w:rPr>
          <w:rFonts w:cs="Charis SIL"/>
          <w:lang w:val="de-DE"/>
        </w:rPr>
        <w:t> </w:t>
      </w:r>
      <w:r w:rsidRPr="00FB4EFA">
        <w:rPr>
          <w:rFonts w:cs="Charis SIL"/>
          <w:lang w:val="de-DE"/>
        </w:rPr>
        <w:t>O. Nagy 1979: 335–337).</w:t>
      </w:r>
    </w:p>
    <w:p w14:paraId="755334E2" w14:textId="3ADB1649" w:rsidR="00CB6469" w:rsidRPr="00FB4EFA" w:rsidRDefault="00CB6469" w:rsidP="004E44CC">
      <w:pPr>
        <w:ind w:firstLine="709"/>
        <w:rPr>
          <w:rFonts w:cs="Charis SIL"/>
        </w:rPr>
      </w:pPr>
      <w:r w:rsidRPr="00FB4EFA">
        <w:rPr>
          <w:rFonts w:cs="Charis SIL"/>
          <w:lang w:val="de-DE"/>
        </w:rPr>
        <w:lastRenderedPageBreak/>
        <w:t xml:space="preserve">Genauso durch Volksetymologie hat sich im Deutschen der Ausdruck </w:t>
      </w:r>
      <w:r w:rsidRPr="00FB4EFA">
        <w:rPr>
          <w:rFonts w:cs="Charis SIL"/>
          <w:i/>
          <w:lang w:val="de-DE"/>
        </w:rPr>
        <w:t xml:space="preserve">jmdn. mundtot machen </w:t>
      </w:r>
      <w:r w:rsidRPr="00FB4EFA">
        <w:rPr>
          <w:rFonts w:cs="Charis SIL"/>
          <w:lang w:val="de-DE"/>
        </w:rPr>
        <w:t xml:space="preserve">entwickelt, da seine unikale Komponente an </w:t>
      </w:r>
      <w:r w:rsidRPr="00FB4EFA">
        <w:rPr>
          <w:rFonts w:cs="Charis SIL"/>
          <w:i/>
          <w:lang w:val="de-DE"/>
        </w:rPr>
        <w:t>Mund</w:t>
      </w:r>
      <w:r w:rsidRPr="00FB4EFA">
        <w:rPr>
          <w:rFonts w:cs="Charis SIL"/>
          <w:lang w:val="de-DE"/>
        </w:rPr>
        <w:t xml:space="preserve"> gekoppelt wird, und dadurch die Bedeutung </w:t>
      </w:r>
      <w:r w:rsidR="006057AB" w:rsidRPr="00FB4EFA">
        <w:rPr>
          <w:rFonts w:cs="Charis SIL"/>
          <w:lang w:val="de-DE"/>
        </w:rPr>
        <w:t>‘</w:t>
      </w:r>
      <w:r w:rsidRPr="00FB4EFA">
        <w:rPr>
          <w:rFonts w:cs="Charis SIL"/>
          <w:lang w:val="de-DE"/>
        </w:rPr>
        <w:t>zum Schweigen bringen</w:t>
      </w:r>
      <w:r w:rsidR="006057AB" w:rsidRPr="00FB4EFA">
        <w:rPr>
          <w:rFonts w:cs="Charis SIL"/>
          <w:lang w:val="de-DE"/>
        </w:rPr>
        <w:t>’</w:t>
      </w:r>
      <w:r w:rsidRPr="00FB4EFA">
        <w:rPr>
          <w:rFonts w:cs="Charis SIL"/>
          <w:lang w:val="de-DE"/>
        </w:rPr>
        <w:t xml:space="preserve"> bekam, obwohl die Wendung ursprünglich das Lexem </w:t>
      </w:r>
      <w:r w:rsidRPr="00FB4EFA">
        <w:rPr>
          <w:rFonts w:cs="Charis SIL"/>
          <w:i/>
          <w:lang w:val="de-DE"/>
        </w:rPr>
        <w:t>Munt</w:t>
      </w:r>
      <w:r w:rsidRPr="00FB4EFA">
        <w:rPr>
          <w:rFonts w:cs="Charis SIL"/>
          <w:lang w:val="de-DE"/>
        </w:rPr>
        <w:t xml:space="preserve"> beinhaltete, einen alten juristischen Begriff mit der Bedeutung</w:t>
      </w:r>
      <w:r w:rsidR="000121EA" w:rsidRPr="00FB4EFA">
        <w:rPr>
          <w:rFonts w:cs="Charis SIL"/>
          <w:lang w:val="de-DE"/>
        </w:rPr>
        <w:t xml:space="preserve"> </w:t>
      </w:r>
      <w:r w:rsidR="006057AB" w:rsidRPr="00FB4EFA">
        <w:rPr>
          <w:rFonts w:cs="Charis SIL"/>
          <w:lang w:val="de-DE"/>
        </w:rPr>
        <w:t>‘</w:t>
      </w:r>
      <w:r w:rsidRPr="00FB4EFA">
        <w:rPr>
          <w:rFonts w:cs="Charis SIL"/>
          <w:lang w:val="de-DE"/>
        </w:rPr>
        <w:t>schützende, abschirmende Macht</w:t>
      </w:r>
      <w:r w:rsidR="006057AB" w:rsidRPr="00FB4EFA">
        <w:rPr>
          <w:rFonts w:cs="Charis SIL"/>
          <w:lang w:val="de-DE"/>
        </w:rPr>
        <w:t>’</w:t>
      </w:r>
      <w:r w:rsidRPr="00FB4EFA">
        <w:rPr>
          <w:rFonts w:cs="Charis SIL"/>
          <w:lang w:val="de-DE"/>
        </w:rPr>
        <w:t xml:space="preserve"> (vgl. Röhrich 1991</w:t>
      </w:r>
      <w:r w:rsidR="00216577" w:rsidRPr="00FB4EFA">
        <w:rPr>
          <w:rFonts w:cs="Charis SIL"/>
          <w:lang w:val="de-DE"/>
        </w:rPr>
        <w:t>–1992</w:t>
      </w:r>
      <w:r w:rsidRPr="00FB4EFA">
        <w:rPr>
          <w:rFonts w:cs="Charis SIL"/>
          <w:lang w:val="de-DE"/>
        </w:rPr>
        <w:t>: 1060).</w:t>
      </w:r>
    </w:p>
    <w:p w14:paraId="1420C1DB" w14:textId="54FFF9B1" w:rsidR="00CB6469" w:rsidRPr="00FB4EFA" w:rsidRDefault="00CB6469" w:rsidP="00F60DD5">
      <w:pPr>
        <w:ind w:firstLine="709"/>
      </w:pPr>
      <w:r w:rsidRPr="00FB4EFA">
        <w:rPr>
          <w:rFonts w:cs="Charis SIL"/>
          <w:lang w:val="de-DE"/>
        </w:rPr>
        <w:t xml:space="preserve">Ebenfalls durch Volksetymologie hat sich die verbale Komponente der Redensart </w:t>
      </w:r>
      <w:r w:rsidRPr="00FB4EFA">
        <w:rPr>
          <w:rFonts w:cs="Charis SIL"/>
          <w:i/>
          <w:lang w:val="de-DE"/>
        </w:rPr>
        <w:t xml:space="preserve">am Hungertuch nagen </w:t>
      </w:r>
      <w:r w:rsidRPr="00FB4EFA">
        <w:rPr>
          <w:rFonts w:cs="Charis SIL"/>
          <w:lang w:val="de-DE"/>
        </w:rPr>
        <w:t xml:space="preserve">verändert. </w:t>
      </w:r>
      <w:r w:rsidRPr="00FB4EFA">
        <w:rPr>
          <w:rFonts w:cs="Charis SIL"/>
          <w:i/>
          <w:lang w:val="de-DE"/>
        </w:rPr>
        <w:t>Hungertuch</w:t>
      </w:r>
      <w:r w:rsidRPr="00FB4EFA">
        <w:rPr>
          <w:rFonts w:cs="Charis SIL"/>
          <w:lang w:val="de-DE"/>
        </w:rPr>
        <w:t xml:space="preserve"> nannte man eine Decke, </w:t>
      </w:r>
      <w:r w:rsidR="00D76114" w:rsidRPr="00FB4EFA">
        <w:rPr>
          <w:rFonts w:cs="Charis SIL"/>
          <w:lang w:val="de-DE"/>
        </w:rPr>
        <w:t>mit der</w:t>
      </w:r>
      <w:r w:rsidRPr="00FB4EFA">
        <w:rPr>
          <w:rFonts w:cs="Charis SIL"/>
          <w:lang w:val="de-DE"/>
        </w:rPr>
        <w:t xml:space="preserve"> der Altar in der Kirche zur Fastenzeit abgedeckt wurde. Weil das Tuch häufig mit Stickereien verziert wurde, entfaltete sich im Deutschen schon im 16. Jahrhundert die Redensart </w:t>
      </w:r>
      <w:r w:rsidRPr="00FB4EFA">
        <w:rPr>
          <w:rFonts w:cs="Charis SIL"/>
          <w:i/>
          <w:lang w:val="de-DE"/>
        </w:rPr>
        <w:t xml:space="preserve">am </w:t>
      </w:r>
      <w:r w:rsidR="00F60DD5" w:rsidRPr="00FB4EFA">
        <w:rPr>
          <w:rFonts w:cs="Charis SIL"/>
          <w:i/>
          <w:lang w:val="de-DE"/>
        </w:rPr>
        <w:br/>
      </w:r>
      <w:r w:rsidRPr="00FB4EFA">
        <w:rPr>
          <w:rFonts w:cs="Charis SIL"/>
          <w:i/>
          <w:lang w:val="de-DE"/>
        </w:rPr>
        <w:t>Hungertuch nähen</w:t>
      </w:r>
      <w:r w:rsidRPr="00FB4EFA">
        <w:rPr>
          <w:rFonts w:cs="Charis SIL"/>
          <w:lang w:val="de-DE"/>
        </w:rPr>
        <w:t>. Da aber mit der Zeit diese Decke außer Gebrauch kam, ist der bildliche Hintergrund in Vergessenheit geraten und man hat</w:t>
      </w:r>
      <w:r w:rsidR="000121EA" w:rsidRPr="00FB4EFA">
        <w:rPr>
          <w:rFonts w:cs="Charis SIL"/>
          <w:lang w:val="de-DE"/>
        </w:rPr>
        <w:t xml:space="preserve"> </w:t>
      </w:r>
      <w:r w:rsidRPr="00FB4EFA">
        <w:rPr>
          <w:rFonts w:cs="Charis SIL"/>
          <w:lang w:val="de-DE"/>
        </w:rPr>
        <w:t xml:space="preserve">eher das Verb </w:t>
      </w:r>
      <w:r w:rsidRPr="00FB4EFA">
        <w:rPr>
          <w:rFonts w:cs="Charis SIL"/>
          <w:i/>
          <w:lang w:val="de-DE"/>
        </w:rPr>
        <w:t>nagen</w:t>
      </w:r>
      <w:r w:rsidRPr="00FB4EFA">
        <w:rPr>
          <w:rFonts w:cs="Charis SIL"/>
          <w:lang w:val="de-DE"/>
        </w:rPr>
        <w:t xml:space="preserve"> mit </w:t>
      </w:r>
      <w:r w:rsidRPr="00FB4EFA">
        <w:rPr>
          <w:rFonts w:cs="Charis SIL"/>
          <w:i/>
          <w:lang w:val="de-DE"/>
        </w:rPr>
        <w:t>Hunger</w:t>
      </w:r>
      <w:r w:rsidRPr="00FB4EFA">
        <w:rPr>
          <w:rFonts w:cs="Charis SIL"/>
          <w:lang w:val="de-DE"/>
        </w:rPr>
        <w:t xml:space="preserve"> und </w:t>
      </w:r>
      <w:r w:rsidRPr="00FB4EFA">
        <w:rPr>
          <w:rFonts w:cs="Charis SIL"/>
          <w:i/>
          <w:lang w:val="de-DE"/>
        </w:rPr>
        <w:t>Hungertuch</w:t>
      </w:r>
      <w:r w:rsidRPr="00FB4EFA">
        <w:rPr>
          <w:rFonts w:cs="Charis SIL"/>
          <w:lang w:val="de-DE"/>
        </w:rPr>
        <w:t xml:space="preserve"> verbunden (vgl. Röhric</w:t>
      </w:r>
      <w:r w:rsidRPr="00FB4EFA">
        <w:rPr>
          <w:lang w:val="de-DE"/>
        </w:rPr>
        <w:t>h 1991</w:t>
      </w:r>
      <w:r w:rsidR="00216577" w:rsidRPr="00FB4EFA">
        <w:rPr>
          <w:lang w:val="de-DE"/>
        </w:rPr>
        <w:t>–1992</w:t>
      </w:r>
      <w:r w:rsidRPr="00FB4EFA">
        <w:rPr>
          <w:lang w:val="de-DE"/>
        </w:rPr>
        <w:t>: 769–770).</w:t>
      </w:r>
    </w:p>
    <w:p w14:paraId="47B9BCDC" w14:textId="5E591B14" w:rsidR="00CB6469" w:rsidRPr="00FB4EFA" w:rsidRDefault="00CB6469" w:rsidP="00AC1192">
      <w:pPr>
        <w:pStyle w:val="Heading2"/>
        <w:numPr>
          <w:ilvl w:val="0"/>
          <w:numId w:val="27"/>
        </w:numPr>
        <w:suppressAutoHyphens/>
        <w:spacing w:line="259" w:lineRule="auto"/>
        <w:rPr>
          <w:b/>
          <w:color w:val="auto"/>
          <w:lang w:val="de-DE"/>
        </w:rPr>
      </w:pPr>
      <w:r w:rsidRPr="00FB4EFA">
        <w:rPr>
          <w:color w:val="auto"/>
          <w:lang w:val="de-DE"/>
        </w:rPr>
        <w:t>Eine Komponente des Phrasems verliert als freies Lexem die Bedeutung, die in der Redensart zum Ausdruck kommt</w:t>
      </w:r>
    </w:p>
    <w:p w14:paraId="3B8F16A5" w14:textId="14EF973D" w:rsidR="00CB6469" w:rsidRPr="00FB4EFA" w:rsidRDefault="00CB6469" w:rsidP="00402EF4">
      <w:r w:rsidRPr="00FB4EFA">
        <w:rPr>
          <w:lang w:val="de-DE"/>
        </w:rPr>
        <w:t>Bisher haben wir Beispiele gesehen, in denen eine Komponente eines Phrasems als freies Lexem vollständig aus dem Gebrauch verschwunden ist, was zum Verlust von Wendungen führte, die eine solche Komponente enthielten (es sei denn, das betroffene Element lebt als unikales Lexem weiter). Es gibt jedoch auch Fälle, in denen eine polyseme Komponente nicht ganz obsolet wird, sondern eine Bedeutung verliert, die bei der Phrasementwicklung eine Rolle gespielt hat. Das kann ebenso zum Verlust eines Phrasems führen. Sehen wir uns einige dieser Beispiele an</w:t>
      </w:r>
      <w:r w:rsidR="007D5ECA" w:rsidRPr="00FB4EFA">
        <w:rPr>
          <w:lang w:val="de-DE"/>
        </w:rPr>
        <w:t>.</w:t>
      </w:r>
    </w:p>
    <w:p w14:paraId="7B647FCB" w14:textId="217FB8DA" w:rsidR="00CB6469" w:rsidRPr="00FB4EFA" w:rsidRDefault="00CB6469" w:rsidP="004E44CC">
      <w:pPr>
        <w:ind w:firstLine="709"/>
      </w:pPr>
      <w:r w:rsidRPr="00FB4EFA">
        <w:rPr>
          <w:lang w:val="de-DE"/>
        </w:rPr>
        <w:t xml:space="preserve">Das Lexem </w:t>
      </w:r>
      <w:r w:rsidRPr="00FB4EFA">
        <w:rPr>
          <w:i/>
          <w:lang w:val="de-DE"/>
        </w:rPr>
        <w:t>диван</w:t>
      </w:r>
      <w:r w:rsidRPr="00FB4EFA">
        <w:rPr>
          <w:lang w:val="de-DE"/>
        </w:rPr>
        <w:t xml:space="preserve"> lebt in Russland auch heute noch im Sinne von </w:t>
      </w:r>
      <w:r w:rsidR="006057AB" w:rsidRPr="00FB4EFA">
        <w:rPr>
          <w:lang w:val="de-DE"/>
        </w:rPr>
        <w:t>‘</w:t>
      </w:r>
      <w:r w:rsidRPr="00FB4EFA">
        <w:rPr>
          <w:lang w:val="de-DE"/>
        </w:rPr>
        <w:t>Sofa</w:t>
      </w:r>
      <w:r w:rsidR="006057AB" w:rsidRPr="00FB4EFA">
        <w:rPr>
          <w:lang w:val="de-DE"/>
        </w:rPr>
        <w:t>’</w:t>
      </w:r>
      <w:r w:rsidRPr="00FB4EFA">
        <w:rPr>
          <w:lang w:val="de-DE"/>
        </w:rPr>
        <w:t xml:space="preserve">, bzw. </w:t>
      </w:r>
      <w:r w:rsidR="006057AB" w:rsidRPr="00FB4EFA">
        <w:rPr>
          <w:lang w:val="de-DE"/>
        </w:rPr>
        <w:t>‘</w:t>
      </w:r>
      <w:r w:rsidRPr="00FB4EFA">
        <w:rPr>
          <w:lang w:val="de-DE"/>
        </w:rPr>
        <w:t>Ratsversammlung</w:t>
      </w:r>
      <w:r w:rsidR="006057AB" w:rsidRPr="00FB4EFA">
        <w:rPr>
          <w:lang w:val="de-DE"/>
        </w:rPr>
        <w:t>’</w:t>
      </w:r>
      <w:r w:rsidRPr="00FB4EFA">
        <w:rPr>
          <w:lang w:val="de-DE"/>
        </w:rPr>
        <w:t xml:space="preserve">, sogar </w:t>
      </w:r>
      <w:r w:rsidR="006057AB" w:rsidRPr="00FB4EFA">
        <w:rPr>
          <w:lang w:val="de-DE"/>
        </w:rPr>
        <w:t>‘</w:t>
      </w:r>
      <w:r w:rsidRPr="00FB4EFA">
        <w:rPr>
          <w:lang w:val="de-DE"/>
        </w:rPr>
        <w:t>literarische Gedichtsammlung</w:t>
      </w:r>
      <w:r w:rsidR="006057AB" w:rsidRPr="00FB4EFA">
        <w:rPr>
          <w:lang w:val="de-DE"/>
        </w:rPr>
        <w:t>’</w:t>
      </w:r>
      <w:r w:rsidRPr="00FB4EFA">
        <w:rPr>
          <w:lang w:val="de-DE"/>
        </w:rPr>
        <w:t xml:space="preserve">, aber nach Bierich (2012: 88) hatte es in der Vergangenheit auch die Bedeutung </w:t>
      </w:r>
      <w:r w:rsidR="006057AB" w:rsidRPr="00FB4EFA">
        <w:rPr>
          <w:lang w:val="de-DE"/>
        </w:rPr>
        <w:t>‘</w:t>
      </w:r>
      <w:r w:rsidRPr="00FB4EFA">
        <w:rPr>
          <w:lang w:val="de-DE"/>
        </w:rPr>
        <w:t>(Auf)Teilung</w:t>
      </w:r>
      <w:r w:rsidR="006057AB" w:rsidRPr="00FB4EFA">
        <w:rPr>
          <w:lang w:val="de-DE"/>
        </w:rPr>
        <w:t>’</w:t>
      </w:r>
      <w:r w:rsidRPr="00FB4EFA">
        <w:rPr>
          <w:lang w:val="de-DE"/>
        </w:rPr>
        <w:t xml:space="preserve">. Daraus entstand die tautologische Wortfügung </w:t>
      </w:r>
      <w:r w:rsidRPr="00FB4EFA">
        <w:rPr>
          <w:i/>
          <w:lang w:val="de-DE"/>
        </w:rPr>
        <w:t>диван диванить</w:t>
      </w:r>
      <w:r w:rsidRPr="00FB4EFA">
        <w:rPr>
          <w:lang w:val="de-DE"/>
        </w:rPr>
        <w:t xml:space="preserve">, die im Sinne von </w:t>
      </w:r>
      <w:r w:rsidR="006057AB" w:rsidRPr="00FB4EFA">
        <w:rPr>
          <w:lang w:val="de-DE"/>
        </w:rPr>
        <w:t>‘</w:t>
      </w:r>
      <w:r w:rsidRPr="00FB4EFA">
        <w:rPr>
          <w:lang w:val="de-DE"/>
        </w:rPr>
        <w:t>Aufteilung von Gewinn/Beute</w:t>
      </w:r>
      <w:r w:rsidR="006057AB" w:rsidRPr="00FB4EFA">
        <w:rPr>
          <w:lang w:val="de-DE"/>
        </w:rPr>
        <w:t>’</w:t>
      </w:r>
      <w:r w:rsidRPr="00FB4EFA">
        <w:rPr>
          <w:lang w:val="de-DE"/>
        </w:rPr>
        <w:t xml:space="preserve"> verwendet wurde. Bierich weist darauf hin, dass die Wendung aus dem alten Kosakenbrauch hervorgegangen sein könnte, die Beute nach den Raubüberfällen an einem bestimmten Ort aufzuteilen. Dieser Ort war ein gro</w:t>
      </w:r>
      <w:r w:rsidRPr="00FB4EFA">
        <w:rPr>
          <w:lang w:val="de-DE"/>
        </w:rPr>
        <w:lastRenderedPageBreak/>
        <w:t xml:space="preserve">ßes Sofa, auf dem auch die Beratungen stattfanden. So gewann das Wort </w:t>
      </w:r>
      <w:r w:rsidRPr="00FB4EFA">
        <w:rPr>
          <w:i/>
          <w:lang w:val="de-DE"/>
        </w:rPr>
        <w:t>диван</w:t>
      </w:r>
      <w:r w:rsidRPr="00FB4EFA">
        <w:rPr>
          <w:lang w:val="de-DE"/>
        </w:rPr>
        <w:t xml:space="preserve"> </w:t>
      </w:r>
      <w:r w:rsidR="007D5ECA" w:rsidRPr="00FB4EFA">
        <w:rPr>
          <w:lang w:val="de-DE"/>
        </w:rPr>
        <w:t xml:space="preserve">mit </w:t>
      </w:r>
      <w:r w:rsidRPr="00FB4EFA">
        <w:rPr>
          <w:lang w:val="de-DE"/>
        </w:rPr>
        <w:t xml:space="preserve">türkisch-tatarischen Ursprung an neuen Bedeutungen: zuerst </w:t>
      </w:r>
      <w:r w:rsidR="006057AB" w:rsidRPr="00FB4EFA">
        <w:rPr>
          <w:lang w:val="de-DE"/>
        </w:rPr>
        <w:t>‘</w:t>
      </w:r>
      <w:r w:rsidRPr="00FB4EFA">
        <w:rPr>
          <w:lang w:val="de-DE"/>
        </w:rPr>
        <w:t>Rat (Versammlung)</w:t>
      </w:r>
      <w:r w:rsidR="006057AB" w:rsidRPr="00FB4EFA">
        <w:rPr>
          <w:lang w:val="de-DE"/>
        </w:rPr>
        <w:t>’</w:t>
      </w:r>
      <w:r w:rsidRPr="00FB4EFA">
        <w:rPr>
          <w:lang w:val="de-DE"/>
        </w:rPr>
        <w:t xml:space="preserve">, dann </w:t>
      </w:r>
      <w:r w:rsidR="006057AB" w:rsidRPr="00FB4EFA">
        <w:rPr>
          <w:lang w:val="de-DE"/>
        </w:rPr>
        <w:t>‘</w:t>
      </w:r>
      <w:r w:rsidRPr="00FB4EFA">
        <w:rPr>
          <w:lang w:val="de-DE"/>
        </w:rPr>
        <w:t xml:space="preserve">Versammlung, </w:t>
      </w:r>
      <w:r w:rsidR="007D5ECA" w:rsidRPr="00FB4EFA">
        <w:rPr>
          <w:lang w:val="de-DE"/>
        </w:rPr>
        <w:t>bei der</w:t>
      </w:r>
      <w:r w:rsidRPr="00FB4EFA">
        <w:rPr>
          <w:lang w:val="de-DE"/>
        </w:rPr>
        <w:t xml:space="preserve"> Beute geteilt wurde</w:t>
      </w:r>
      <w:r w:rsidR="006057AB" w:rsidRPr="00FB4EFA">
        <w:rPr>
          <w:lang w:val="de-DE"/>
        </w:rPr>
        <w:t>’</w:t>
      </w:r>
      <w:r w:rsidRPr="00FB4EFA">
        <w:rPr>
          <w:lang w:val="de-DE"/>
        </w:rPr>
        <w:t>. Im 18</w:t>
      </w:r>
      <w:r w:rsidR="007D5ECA" w:rsidRPr="00FB4EFA">
        <w:rPr>
          <w:lang w:val="de-DE"/>
        </w:rPr>
        <w:t>.</w:t>
      </w:r>
      <w:r w:rsidRPr="00FB4EFA">
        <w:rPr>
          <w:lang w:val="de-DE"/>
        </w:rPr>
        <w:t>–19. Jahrhundert wurde</w:t>
      </w:r>
      <w:r w:rsidR="007D5ECA" w:rsidRPr="00FB4EFA">
        <w:rPr>
          <w:lang w:val="de-DE"/>
        </w:rPr>
        <w:t>n</w:t>
      </w:r>
      <w:r w:rsidRPr="00FB4EFA">
        <w:rPr>
          <w:lang w:val="de-DE"/>
        </w:rPr>
        <w:t xml:space="preserve"> das Lexem </w:t>
      </w:r>
      <w:r w:rsidRPr="00FB4EFA">
        <w:rPr>
          <w:i/>
          <w:lang w:val="de-DE"/>
        </w:rPr>
        <w:t>диван</w:t>
      </w:r>
      <w:r w:rsidRPr="00FB4EFA">
        <w:rPr>
          <w:lang w:val="de-DE"/>
        </w:rPr>
        <w:t xml:space="preserve"> und auch die Wendung </w:t>
      </w:r>
      <w:r w:rsidRPr="00FB4EFA">
        <w:rPr>
          <w:i/>
          <w:lang w:val="de-DE"/>
        </w:rPr>
        <w:t>диван диванить</w:t>
      </w:r>
      <w:r w:rsidRPr="00FB4EFA">
        <w:rPr>
          <w:lang w:val="de-DE"/>
        </w:rPr>
        <w:t xml:space="preserve"> noch häufig gebraucht. Vor allem in der Beschreibung des Lebens von Kosaken und Räuber kommt sie vor, es gibt sogar Meinungen, dass die Wendung im 18. Jahrhundert zum Slang der Räuber und Diebe gehörte. In der heutigen russischen Umgangssprache wird sie aber nicht mehr verwendet.</w:t>
      </w:r>
    </w:p>
    <w:p w14:paraId="5987965D" w14:textId="3CCF4E34" w:rsidR="00CB6469" w:rsidRPr="00FB4EFA" w:rsidRDefault="00CB6469" w:rsidP="004E44CC">
      <w:pPr>
        <w:ind w:firstLine="709"/>
      </w:pPr>
      <w:r w:rsidRPr="00FB4EFA">
        <w:rPr>
          <w:lang w:val="de-DE"/>
        </w:rPr>
        <w:t xml:space="preserve">Im Zusammenhang mit dem Ausdruck </w:t>
      </w:r>
      <w:r w:rsidRPr="00FB4EFA">
        <w:rPr>
          <w:i/>
          <w:lang w:val="de-DE"/>
        </w:rPr>
        <w:t>összehúzza a bagariát</w:t>
      </w:r>
      <w:r w:rsidRPr="00FB4EFA">
        <w:rPr>
          <w:lang w:val="de-DE"/>
        </w:rPr>
        <w:t xml:space="preserve"> haben wir bereits die (frühneuhoch)deutschen Ausdrücke </w:t>
      </w:r>
      <w:r w:rsidRPr="00FB4EFA">
        <w:rPr>
          <w:i/>
          <w:lang w:val="de-DE"/>
        </w:rPr>
        <w:t>es geht an die Riemen</w:t>
      </w:r>
      <w:r w:rsidRPr="00FB4EFA">
        <w:rPr>
          <w:lang w:val="de-DE"/>
        </w:rPr>
        <w:t xml:space="preserve"> und </w:t>
      </w:r>
      <w:r w:rsidRPr="00FB4EFA">
        <w:rPr>
          <w:i/>
          <w:lang w:val="de-DE"/>
        </w:rPr>
        <w:t>die Riemen ziehen</w:t>
      </w:r>
      <w:r w:rsidRPr="00FB4EFA">
        <w:rPr>
          <w:lang w:val="de-DE"/>
        </w:rPr>
        <w:t xml:space="preserve"> erwähnt, mit denen man auf Geldausgeben und Bezahlung verweisen konnte. In diesen hatte </w:t>
      </w:r>
      <w:r w:rsidRPr="00FB4EFA">
        <w:rPr>
          <w:i/>
          <w:lang w:val="de-DE"/>
        </w:rPr>
        <w:t>Riemen</w:t>
      </w:r>
      <w:r w:rsidRPr="00FB4EFA">
        <w:rPr>
          <w:lang w:val="de-DE"/>
        </w:rPr>
        <w:t xml:space="preserve"> nach Burger &amp; Linke (1998: 752) die Bedeutung </w:t>
      </w:r>
      <w:r w:rsidR="006057AB" w:rsidRPr="00FB4EFA">
        <w:rPr>
          <w:lang w:val="de-DE"/>
        </w:rPr>
        <w:t>‘</w:t>
      </w:r>
      <w:r w:rsidRPr="00FB4EFA">
        <w:rPr>
          <w:lang w:val="de-DE"/>
        </w:rPr>
        <w:t>Lederband zum Festziehen einer Geldbörse</w:t>
      </w:r>
      <w:r w:rsidR="006057AB" w:rsidRPr="00FB4EFA">
        <w:rPr>
          <w:lang w:val="de-DE"/>
        </w:rPr>
        <w:t>’</w:t>
      </w:r>
      <w:r w:rsidRPr="00FB4EFA">
        <w:rPr>
          <w:lang w:val="de-DE"/>
        </w:rPr>
        <w:t xml:space="preserve">. Da Geldbörsen inzwischen durch andere Geldaufbewahrungsmittel ersetzt wurden, ist diese Bedeutung von </w:t>
      </w:r>
      <w:r w:rsidRPr="00FB4EFA">
        <w:rPr>
          <w:i/>
          <w:lang w:val="de-DE"/>
        </w:rPr>
        <w:t>Riemen</w:t>
      </w:r>
      <w:r w:rsidRPr="00FB4EFA">
        <w:rPr>
          <w:lang w:val="de-DE"/>
        </w:rPr>
        <w:t xml:space="preserve"> heute wenig bekannt, so dass auch die beiden oben genannten Wendungen langsam aus der Mode gekommen sind. Dabei ist die Bedeutung des </w:t>
      </w:r>
      <w:r w:rsidRPr="00FB4EFA">
        <w:rPr>
          <w:i/>
          <w:lang w:val="de-DE"/>
        </w:rPr>
        <w:t>Riemens</w:t>
      </w:r>
      <w:r w:rsidRPr="00FB4EFA">
        <w:rPr>
          <w:lang w:val="de-DE"/>
        </w:rPr>
        <w:t xml:space="preserve"> als </w:t>
      </w:r>
      <w:r w:rsidR="006057AB" w:rsidRPr="00FB4EFA">
        <w:rPr>
          <w:lang w:val="de-DE"/>
        </w:rPr>
        <w:t>‘</w:t>
      </w:r>
      <w:r w:rsidRPr="00FB4EFA">
        <w:rPr>
          <w:lang w:val="de-DE"/>
        </w:rPr>
        <w:t>Gürtel</w:t>
      </w:r>
      <w:r w:rsidR="006057AB" w:rsidRPr="00FB4EFA">
        <w:rPr>
          <w:lang w:val="de-DE"/>
        </w:rPr>
        <w:t>’</w:t>
      </w:r>
      <w:r w:rsidRPr="00FB4EFA">
        <w:rPr>
          <w:lang w:val="de-DE"/>
        </w:rPr>
        <w:t xml:space="preserve"> weiterhin lebendig, der jedoch in der Wendung </w:t>
      </w:r>
      <w:r w:rsidRPr="00FB4EFA">
        <w:rPr>
          <w:i/>
        </w:rPr>
        <w:t xml:space="preserve">den </w:t>
      </w:r>
      <w:r w:rsidRPr="00FB4EFA">
        <w:rPr>
          <w:i/>
          <w:lang w:val="de-DE"/>
        </w:rPr>
        <w:t xml:space="preserve">Riemen enger </w:t>
      </w:r>
      <w:r w:rsidR="007D5ECA" w:rsidRPr="00FB4EFA">
        <w:rPr>
          <w:i/>
          <w:lang w:val="de-DE"/>
        </w:rPr>
        <w:br/>
      </w:r>
      <w:r w:rsidRPr="00FB4EFA">
        <w:rPr>
          <w:i/>
          <w:lang w:val="de-DE"/>
        </w:rPr>
        <w:t>schnallen</w:t>
      </w:r>
      <w:r w:rsidRPr="00FB4EFA">
        <w:rPr>
          <w:lang w:val="de-DE"/>
        </w:rPr>
        <w:t xml:space="preserve"> nicht auf Geldverschwendung, sondern viel eher</w:t>
      </w:r>
      <w:r w:rsidRPr="00FB4EFA">
        <w:t xml:space="preserve"> </w:t>
      </w:r>
      <w:r w:rsidRPr="00FB4EFA">
        <w:rPr>
          <w:lang w:val="de-DE"/>
        </w:rPr>
        <w:t xml:space="preserve">auf Sparen und Entbehrung verweist. Dieses Phrasem hat jedoch auch eine Variante, in der als substantivische Komponente das Lexem </w:t>
      </w:r>
      <w:r w:rsidRPr="00FB4EFA">
        <w:rPr>
          <w:i/>
          <w:lang w:val="de-DE"/>
        </w:rPr>
        <w:t>Gürtel</w:t>
      </w:r>
      <w:r w:rsidRPr="00FB4EFA">
        <w:rPr>
          <w:lang w:val="de-DE"/>
        </w:rPr>
        <w:t xml:space="preserve"> vorkommt (</w:t>
      </w:r>
      <w:r w:rsidRPr="00FB4EFA">
        <w:rPr>
          <w:i/>
          <w:lang w:val="de-DE"/>
        </w:rPr>
        <w:t>den Gürtel enger schnallen</w:t>
      </w:r>
      <w:r w:rsidRPr="00FB4EFA">
        <w:rPr>
          <w:lang w:val="de-DE"/>
        </w:rPr>
        <w:t xml:space="preserve">), was möglicherweise auch zum Erhalt der Wendung </w:t>
      </w:r>
      <w:r w:rsidRPr="00FB4EFA">
        <w:rPr>
          <w:i/>
          <w:lang w:val="de-DE"/>
        </w:rPr>
        <w:t xml:space="preserve">den Riemen enger schnallen </w:t>
      </w:r>
      <w:r w:rsidRPr="00FB4EFA">
        <w:rPr>
          <w:lang w:val="de-DE"/>
        </w:rPr>
        <w:t>beigetragen hat.</w:t>
      </w:r>
    </w:p>
    <w:p w14:paraId="41A0654C" w14:textId="77777777" w:rsidR="00CB6469" w:rsidRPr="00FB4EFA" w:rsidRDefault="00CB6469" w:rsidP="00402EF4">
      <w:pPr>
        <w:spacing w:after="240"/>
        <w:ind w:firstLine="709"/>
      </w:pPr>
      <w:r w:rsidRPr="00FB4EFA">
        <w:rPr>
          <w:lang w:val="de-DE"/>
        </w:rPr>
        <w:t>Auch aus dem Ungarischen haben wir solche Beispiele. O. Nagy gibt in seiner Sammlung (1976: 616) die folgenden Ausdrücke bereits als veraltet an:</w:t>
      </w:r>
    </w:p>
    <w:p w14:paraId="415AE396" w14:textId="633F75E5" w:rsidR="00CB6469" w:rsidRPr="00FB4EFA" w:rsidRDefault="00CB6469" w:rsidP="00AF0CAD">
      <w:pPr>
        <w:spacing w:line="240" w:lineRule="auto"/>
        <w:ind w:left="720" w:right="794" w:hanging="11"/>
        <w:rPr>
          <w:rFonts w:cs="Charis SIL"/>
          <w:b/>
        </w:rPr>
      </w:pPr>
      <w:r w:rsidRPr="00FB4EFA">
        <w:rPr>
          <w:rFonts w:cs="Charis SIL"/>
          <w:i/>
        </w:rPr>
        <w:t>szárába száll az esze</w:t>
      </w:r>
      <w:r w:rsidRPr="00FB4EFA">
        <w:rPr>
          <w:rFonts w:cs="Charis SIL"/>
        </w:rPr>
        <w:t xml:space="preserve"> </w:t>
      </w:r>
      <w:r w:rsidR="006057AB" w:rsidRPr="00FB4EFA">
        <w:rPr>
          <w:rFonts w:cs="Charis SIL"/>
        </w:rPr>
        <w:t>‘</w:t>
      </w:r>
      <w:r w:rsidRPr="00FB4EFA">
        <w:rPr>
          <w:rFonts w:cs="Charis SIL"/>
        </w:rPr>
        <w:t>mit dem Alter dement werden</w:t>
      </w:r>
      <w:r w:rsidR="006057AB" w:rsidRPr="00FB4EFA">
        <w:rPr>
          <w:rFonts w:cs="Charis SIL"/>
        </w:rPr>
        <w:t>’</w:t>
      </w:r>
    </w:p>
    <w:p w14:paraId="56D9B633" w14:textId="482F937A" w:rsidR="00CB6469" w:rsidRPr="00FB4EFA" w:rsidRDefault="00CB6469" w:rsidP="00AF0CAD">
      <w:pPr>
        <w:spacing w:line="240" w:lineRule="auto"/>
        <w:ind w:left="720" w:right="794" w:hanging="11"/>
        <w:rPr>
          <w:rFonts w:cs="Charis SIL"/>
          <w:b/>
        </w:rPr>
      </w:pPr>
      <w:r w:rsidRPr="00FB4EFA">
        <w:rPr>
          <w:rFonts w:cs="Charis SIL"/>
          <w:i/>
        </w:rPr>
        <w:t>szárába száll a szíve</w:t>
      </w:r>
      <w:r w:rsidRPr="00FB4EFA">
        <w:rPr>
          <w:rFonts w:cs="Charis SIL"/>
        </w:rPr>
        <w:t xml:space="preserve"> </w:t>
      </w:r>
      <w:r w:rsidR="006057AB" w:rsidRPr="00FB4EFA">
        <w:rPr>
          <w:rFonts w:cs="Charis SIL"/>
        </w:rPr>
        <w:t>‘</w:t>
      </w:r>
      <w:r w:rsidRPr="00FB4EFA">
        <w:rPr>
          <w:rFonts w:cs="Charis SIL"/>
        </w:rPr>
        <w:t>erschrecken</w:t>
      </w:r>
      <w:r w:rsidR="006057AB" w:rsidRPr="00FB4EFA">
        <w:rPr>
          <w:rFonts w:cs="Charis SIL"/>
        </w:rPr>
        <w:t>’</w:t>
      </w:r>
    </w:p>
    <w:p w14:paraId="792FB204" w14:textId="58BE9908" w:rsidR="00CB6469" w:rsidRPr="00FB4EFA" w:rsidRDefault="00CB6469" w:rsidP="00F60DD5">
      <w:pPr>
        <w:spacing w:before="240"/>
      </w:pPr>
      <w:r w:rsidRPr="00FB4EFA">
        <w:rPr>
          <w:lang w:val="de-DE"/>
        </w:rPr>
        <w:t xml:space="preserve">In diesen finden wir die ursprüngliche Bedeutung des Wortes </w:t>
      </w:r>
      <w:r w:rsidRPr="00FB4EFA">
        <w:rPr>
          <w:i/>
          <w:lang w:val="de-DE"/>
        </w:rPr>
        <w:t>szár</w:t>
      </w:r>
      <w:r w:rsidRPr="00FB4EFA">
        <w:rPr>
          <w:lang w:val="de-DE"/>
        </w:rPr>
        <w:t xml:space="preserve"> (</w:t>
      </w:r>
      <w:r w:rsidR="006057AB" w:rsidRPr="00FB4EFA">
        <w:rPr>
          <w:lang w:val="de-DE"/>
        </w:rPr>
        <w:t>‘</w:t>
      </w:r>
      <w:r w:rsidRPr="00FB4EFA">
        <w:rPr>
          <w:lang w:val="de-DE"/>
        </w:rPr>
        <w:t>der Teil des Fußes vom Knie bis zum Knöchel: Unterschenkel</w:t>
      </w:r>
      <w:r w:rsidR="006057AB" w:rsidRPr="00FB4EFA">
        <w:rPr>
          <w:lang w:val="de-DE"/>
        </w:rPr>
        <w:t>’</w:t>
      </w:r>
      <w:r w:rsidRPr="00FB4EFA">
        <w:rPr>
          <w:lang w:val="de-DE"/>
        </w:rPr>
        <w:t>) (vgl. TESz. III: 67</w:t>
      </w:r>
      <w:r w:rsidR="00C65823" w:rsidRPr="00FB4EFA">
        <w:rPr>
          <w:lang w:val="de-DE"/>
        </w:rPr>
        <w:t>7–6</w:t>
      </w:r>
      <w:r w:rsidRPr="00FB4EFA">
        <w:rPr>
          <w:lang w:val="de-DE"/>
        </w:rPr>
        <w:t>78). Daraus entwickelten sich die anderen Bedeutungen des Wor</w:t>
      </w:r>
      <w:r w:rsidR="00375630" w:rsidRPr="00FB4EFA">
        <w:rPr>
          <w:lang w:val="de-DE"/>
        </w:rPr>
        <w:softHyphen/>
      </w:r>
      <w:r w:rsidRPr="00FB4EFA">
        <w:rPr>
          <w:lang w:val="de-DE"/>
        </w:rPr>
        <w:t>tes, die heute noch lebendig sind (</w:t>
      </w:r>
      <w:r w:rsidR="0030017E" w:rsidRPr="00FB4EFA">
        <w:rPr>
          <w:lang w:val="de-DE"/>
        </w:rPr>
        <w:t>z. B.</w:t>
      </w:r>
      <w:r w:rsidRPr="00FB4EFA">
        <w:rPr>
          <w:lang w:val="de-DE"/>
        </w:rPr>
        <w:t xml:space="preserve"> </w:t>
      </w:r>
      <w:r w:rsidR="006057AB" w:rsidRPr="00FB4EFA">
        <w:rPr>
          <w:lang w:val="de-DE"/>
        </w:rPr>
        <w:t>‘</w:t>
      </w:r>
      <w:r w:rsidRPr="00FB4EFA">
        <w:rPr>
          <w:lang w:val="de-DE"/>
        </w:rPr>
        <w:t>Stängel einer Pflanze</w:t>
      </w:r>
      <w:r w:rsidR="006057AB" w:rsidRPr="00FB4EFA">
        <w:rPr>
          <w:lang w:val="de-DE"/>
        </w:rPr>
        <w:t>’</w:t>
      </w:r>
      <w:r w:rsidRPr="00FB4EFA">
        <w:rPr>
          <w:lang w:val="de-DE"/>
        </w:rPr>
        <w:t xml:space="preserve"> oder </w:t>
      </w:r>
      <w:r w:rsidR="006057AB" w:rsidRPr="00FB4EFA">
        <w:rPr>
          <w:lang w:val="de-DE"/>
        </w:rPr>
        <w:t>‘</w:t>
      </w:r>
      <w:r w:rsidRPr="00FB4EFA">
        <w:rPr>
          <w:lang w:val="de-DE"/>
        </w:rPr>
        <w:t>Hosenbein</w:t>
      </w:r>
      <w:r w:rsidR="006057AB" w:rsidRPr="00FB4EFA">
        <w:rPr>
          <w:lang w:val="de-DE"/>
        </w:rPr>
        <w:t>’</w:t>
      </w:r>
      <w:r w:rsidRPr="00FB4EFA">
        <w:rPr>
          <w:lang w:val="de-DE"/>
        </w:rPr>
        <w:t>) durch metaphorische bzw. metonymische Bedeutungsüber</w:t>
      </w:r>
      <w:r w:rsidR="00375630" w:rsidRPr="00FB4EFA">
        <w:rPr>
          <w:lang w:val="de-DE"/>
        </w:rPr>
        <w:softHyphen/>
      </w:r>
      <w:r w:rsidRPr="00FB4EFA">
        <w:rPr>
          <w:lang w:val="de-DE"/>
        </w:rPr>
        <w:t xml:space="preserve">tragung. Mit der Zeit geriet jedoch die ursprüngliche Bedeutung in den </w:t>
      </w:r>
      <w:r w:rsidRPr="00FB4EFA">
        <w:rPr>
          <w:lang w:val="de-DE"/>
        </w:rPr>
        <w:lastRenderedPageBreak/>
        <w:t>Hi</w:t>
      </w:r>
      <w:r w:rsidRPr="00FB4EFA">
        <w:rPr>
          <w:szCs w:val="24"/>
          <w:lang w:val="de-DE"/>
        </w:rPr>
        <w:t xml:space="preserve">ntergrund und wurde durch das Wort </w:t>
      </w:r>
      <w:r w:rsidRPr="00FB4EFA">
        <w:rPr>
          <w:i/>
          <w:szCs w:val="24"/>
          <w:lang w:val="de-DE"/>
        </w:rPr>
        <w:t>Fuß</w:t>
      </w:r>
      <w:r w:rsidRPr="00FB4EFA">
        <w:rPr>
          <w:szCs w:val="24"/>
          <w:lang w:val="de-DE"/>
        </w:rPr>
        <w:t xml:space="preserve"> oder – bei genauer Aus</w:t>
      </w:r>
      <w:r w:rsidR="00375630" w:rsidRPr="00FB4EFA">
        <w:rPr>
          <w:szCs w:val="24"/>
          <w:lang w:val="de-DE"/>
        </w:rPr>
        <w:softHyphen/>
      </w:r>
      <w:r w:rsidRPr="00FB4EFA">
        <w:rPr>
          <w:szCs w:val="24"/>
          <w:lang w:val="de-DE"/>
        </w:rPr>
        <w:t xml:space="preserve">drucksweise – das Kompositum </w:t>
      </w:r>
      <w:r w:rsidRPr="00FB4EFA">
        <w:rPr>
          <w:i/>
          <w:szCs w:val="24"/>
          <w:lang w:val="de-DE"/>
        </w:rPr>
        <w:t>lábszár</w:t>
      </w:r>
      <w:r w:rsidRPr="00FB4EFA">
        <w:rPr>
          <w:szCs w:val="24"/>
          <w:lang w:val="de-DE"/>
        </w:rPr>
        <w:t xml:space="preserve"> ersetzt. Das Lexem </w:t>
      </w:r>
      <w:r w:rsidRPr="00FB4EFA">
        <w:rPr>
          <w:i/>
          <w:szCs w:val="24"/>
          <w:lang w:val="de-DE"/>
        </w:rPr>
        <w:t>szár</w:t>
      </w:r>
      <w:r w:rsidRPr="00FB4EFA">
        <w:rPr>
          <w:szCs w:val="24"/>
          <w:lang w:val="de-DE"/>
        </w:rPr>
        <w:t xml:space="preserve"> hat damit seine ursprüngliche Bedeutung verloren, so dass auch die beiden mit ihm gebildeten Redewendungen</w:t>
      </w:r>
      <w:r w:rsidR="002760CB" w:rsidRPr="00FB4EFA">
        <w:rPr>
          <w:szCs w:val="24"/>
          <w:lang w:val="de-DE"/>
        </w:rPr>
        <w:t xml:space="preserve"> (siehe oben)</w:t>
      </w:r>
      <w:r w:rsidRPr="00FB4EFA">
        <w:rPr>
          <w:szCs w:val="24"/>
          <w:lang w:val="de-DE"/>
        </w:rPr>
        <w:t xml:space="preserve"> aus dem Gebrauch kamen. Gleich</w:t>
      </w:r>
      <w:r w:rsidR="00375630" w:rsidRPr="00FB4EFA">
        <w:rPr>
          <w:szCs w:val="24"/>
          <w:lang w:val="de-DE"/>
        </w:rPr>
        <w:softHyphen/>
      </w:r>
      <w:r w:rsidRPr="00FB4EFA">
        <w:rPr>
          <w:szCs w:val="24"/>
          <w:lang w:val="de-DE"/>
        </w:rPr>
        <w:t xml:space="preserve">zeitig lässt sich nach O. Nagy dialektal auch eine etwas längere Variante mit einer Besitzkonstruktion nachweisen: </w:t>
      </w:r>
      <w:r w:rsidRPr="00FB4EFA">
        <w:rPr>
          <w:i/>
          <w:szCs w:val="24"/>
          <w:lang w:val="de-DE"/>
        </w:rPr>
        <w:t>a lába szárába száll az esze</w:t>
      </w:r>
      <w:r w:rsidRPr="00FB4EFA">
        <w:rPr>
          <w:szCs w:val="24"/>
          <w:lang w:val="de-DE"/>
        </w:rPr>
        <w:t xml:space="preserve"> (1976: 415). Letztere konnte offensichtlich dann entstanden sein, als die ursprüngliche Bedeutung von </w:t>
      </w:r>
      <w:r w:rsidRPr="00FB4EFA">
        <w:rPr>
          <w:i/>
          <w:szCs w:val="24"/>
          <w:lang w:val="de-DE"/>
        </w:rPr>
        <w:t>szár</w:t>
      </w:r>
      <w:r w:rsidRPr="00FB4EFA">
        <w:rPr>
          <w:szCs w:val="24"/>
          <w:lang w:val="de-DE"/>
        </w:rPr>
        <w:t xml:space="preserve"> langsam in Vergessenheit geriet, und man daher – etwas tautologisch – für einen genaueren Ausdruck die Komponente </w:t>
      </w:r>
      <w:r w:rsidRPr="00FB4EFA">
        <w:rPr>
          <w:i/>
          <w:szCs w:val="24"/>
          <w:lang w:val="de-DE"/>
        </w:rPr>
        <w:t>láb</w:t>
      </w:r>
      <w:r w:rsidRPr="00FB4EFA">
        <w:rPr>
          <w:szCs w:val="24"/>
          <w:lang w:val="de-DE"/>
        </w:rPr>
        <w:t xml:space="preserve"> hinzugefügt hat, ähnlich wie in der Komposition </w:t>
      </w:r>
      <w:r w:rsidRPr="00FB4EFA">
        <w:rPr>
          <w:i/>
          <w:szCs w:val="24"/>
          <w:lang w:val="de-DE"/>
        </w:rPr>
        <w:t>lábszár</w:t>
      </w:r>
      <w:r w:rsidRPr="00FB4EFA">
        <w:rPr>
          <w:szCs w:val="24"/>
          <w:lang w:val="de-DE"/>
        </w:rPr>
        <w:t>.</w:t>
      </w:r>
    </w:p>
    <w:p w14:paraId="35CD4E72" w14:textId="5993AF06" w:rsidR="00CB6469" w:rsidRPr="00FB4EFA" w:rsidRDefault="00CB6469" w:rsidP="00F60DD5">
      <w:pPr>
        <w:ind w:firstLine="709"/>
        <w:rPr>
          <w:rFonts w:cs="Charis SIL"/>
        </w:rPr>
      </w:pPr>
      <w:r w:rsidRPr="00FB4EFA">
        <w:rPr>
          <w:lang w:val="de-DE"/>
        </w:rPr>
        <w:t xml:space="preserve">Nach O. Nagys Sammlung (1976: 301) hatte jedoch der obige Ausdruck noch ein weiteres </w:t>
      </w:r>
      <w:r w:rsidRPr="00FB4EFA">
        <w:rPr>
          <w:rFonts w:cs="Charis SIL"/>
          <w:lang w:val="de-DE"/>
        </w:rPr>
        <w:t>Synonym</w:t>
      </w:r>
      <w:r w:rsidR="00F60DD5" w:rsidRPr="00FB4EFA">
        <w:rPr>
          <w:rFonts w:cs="Charis SIL"/>
          <w:lang w:val="de-DE"/>
        </w:rPr>
        <w:t>,</w:t>
      </w:r>
      <w:r w:rsidRPr="00FB4EFA">
        <w:rPr>
          <w:rFonts w:cs="Charis SIL"/>
          <w:lang w:val="de-DE"/>
        </w:rPr>
        <w:t xml:space="preserve"> </w:t>
      </w:r>
      <w:r w:rsidRPr="00FB4EFA">
        <w:rPr>
          <w:rFonts w:cs="Charis SIL"/>
          <w:i/>
          <w:lang w:val="de-DE"/>
        </w:rPr>
        <w:t>inába szárad az esze</w:t>
      </w:r>
      <w:r w:rsidRPr="00FB4EFA">
        <w:rPr>
          <w:rFonts w:cs="Charis SIL"/>
          <w:lang w:val="de-DE"/>
        </w:rPr>
        <w:t xml:space="preserve"> </w:t>
      </w:r>
      <w:r w:rsidR="006057AB" w:rsidRPr="00FB4EFA">
        <w:rPr>
          <w:rFonts w:cs="Charis SIL"/>
          <w:lang w:val="de-DE"/>
        </w:rPr>
        <w:t>‘</w:t>
      </w:r>
      <w:r w:rsidRPr="00FB4EFA">
        <w:rPr>
          <w:rFonts w:cs="Charis SIL"/>
          <w:lang w:val="de-DE"/>
        </w:rPr>
        <w:t>etwa: sein Geist trocknet in sein Bein [in seine Sehne]</w:t>
      </w:r>
      <w:r w:rsidR="006057AB" w:rsidRPr="00FB4EFA">
        <w:rPr>
          <w:rFonts w:cs="Charis SIL"/>
          <w:lang w:val="de-DE"/>
        </w:rPr>
        <w:t>’</w:t>
      </w:r>
      <w:r w:rsidRPr="00FB4EFA">
        <w:rPr>
          <w:rFonts w:cs="Charis SIL"/>
          <w:lang w:val="de-DE"/>
        </w:rPr>
        <w:t xml:space="preserve">. Das sollte ebenfalls als </w:t>
      </w:r>
      <w:r w:rsidR="00F60DD5" w:rsidRPr="00FB4EFA">
        <w:rPr>
          <w:rFonts w:cs="Charis SIL"/>
          <w:lang w:val="de-DE"/>
        </w:rPr>
        <w:br/>
      </w:r>
      <w:r w:rsidRPr="00FB4EFA">
        <w:rPr>
          <w:rFonts w:cs="Charis SIL"/>
          <w:lang w:val="de-DE"/>
        </w:rPr>
        <w:t xml:space="preserve">veraltet eingestuft werden, genauso wie die Variante </w:t>
      </w:r>
      <w:r w:rsidRPr="00FB4EFA">
        <w:rPr>
          <w:rFonts w:cs="Charis SIL"/>
          <w:i/>
          <w:lang w:val="de-DE"/>
        </w:rPr>
        <w:t xml:space="preserve">szárába száll az esze. </w:t>
      </w:r>
      <w:r w:rsidRPr="00FB4EFA">
        <w:rPr>
          <w:rFonts w:cs="Charis SIL"/>
          <w:lang w:val="de-DE"/>
        </w:rPr>
        <w:t xml:space="preserve">Das Lexem </w:t>
      </w:r>
      <w:r w:rsidRPr="00FB4EFA">
        <w:rPr>
          <w:rFonts w:cs="Charis SIL"/>
          <w:i/>
          <w:lang w:val="de-DE"/>
        </w:rPr>
        <w:t>ín</w:t>
      </w:r>
      <w:r w:rsidRPr="00FB4EFA">
        <w:rPr>
          <w:rFonts w:cs="Charis SIL"/>
          <w:lang w:val="de-DE"/>
        </w:rPr>
        <w:t xml:space="preserve"> hat heute nämlich durch Bedeutungsverengung nur mehr die Bedeutung von </w:t>
      </w:r>
      <w:r w:rsidR="006057AB" w:rsidRPr="00FB4EFA">
        <w:rPr>
          <w:rFonts w:cs="Charis SIL"/>
          <w:lang w:val="de-DE"/>
        </w:rPr>
        <w:t>‘</w:t>
      </w:r>
      <w:r w:rsidRPr="00FB4EFA">
        <w:rPr>
          <w:rFonts w:cs="Charis SIL"/>
          <w:lang w:val="de-DE"/>
        </w:rPr>
        <w:t>Sehne</w:t>
      </w:r>
      <w:r w:rsidR="006057AB" w:rsidRPr="00FB4EFA">
        <w:rPr>
          <w:rFonts w:cs="Charis SIL"/>
          <w:lang w:val="de-DE"/>
        </w:rPr>
        <w:t>’</w:t>
      </w:r>
      <w:r w:rsidRPr="00FB4EFA">
        <w:rPr>
          <w:rFonts w:cs="Charis SIL"/>
          <w:lang w:val="de-DE"/>
        </w:rPr>
        <w:t xml:space="preserve">, aber früher hatte es auch noch die Bedeutung </w:t>
      </w:r>
      <w:r w:rsidR="006057AB" w:rsidRPr="00FB4EFA">
        <w:rPr>
          <w:rFonts w:cs="Charis SIL"/>
          <w:lang w:val="de-DE"/>
        </w:rPr>
        <w:t>‘</w:t>
      </w:r>
      <w:r w:rsidRPr="00FB4EFA">
        <w:rPr>
          <w:rFonts w:cs="Charis SIL"/>
          <w:lang w:val="de-DE"/>
        </w:rPr>
        <w:t>Bein</w:t>
      </w:r>
      <w:r w:rsidR="006057AB" w:rsidRPr="00FB4EFA">
        <w:rPr>
          <w:rFonts w:cs="Charis SIL"/>
          <w:lang w:val="de-DE"/>
        </w:rPr>
        <w:t>’</w:t>
      </w:r>
      <w:r w:rsidRPr="00FB4EFA">
        <w:rPr>
          <w:rFonts w:cs="Charis SIL"/>
          <w:lang w:val="de-DE"/>
        </w:rPr>
        <w:t xml:space="preserve">, genauso wie das gerade erwähnte </w:t>
      </w:r>
      <w:r w:rsidRPr="00FB4EFA">
        <w:rPr>
          <w:rFonts w:cs="Charis SIL"/>
          <w:i/>
          <w:lang w:val="de-DE"/>
        </w:rPr>
        <w:t>(láb)szár</w:t>
      </w:r>
      <w:r w:rsidRPr="00FB4EFA">
        <w:rPr>
          <w:rFonts w:cs="Charis SIL"/>
          <w:lang w:val="de-DE"/>
        </w:rPr>
        <w:t xml:space="preserve">. Diese Bedeutung ist heute nur noch sporadisch nachzuweisen </w:t>
      </w:r>
      <w:r w:rsidR="00F60DD5" w:rsidRPr="00FB4EFA">
        <w:rPr>
          <w:rFonts w:cs="Charis SIL"/>
          <w:lang w:val="de-DE"/>
        </w:rPr>
        <w:t>in</w:t>
      </w:r>
      <w:r w:rsidRPr="00FB4EFA">
        <w:rPr>
          <w:rFonts w:cs="Charis SIL"/>
          <w:lang w:val="de-DE"/>
        </w:rPr>
        <w:t xml:space="preserve"> einige</w:t>
      </w:r>
      <w:r w:rsidR="00F60DD5" w:rsidRPr="00FB4EFA">
        <w:rPr>
          <w:rFonts w:cs="Charis SIL"/>
          <w:lang w:val="de-DE"/>
        </w:rPr>
        <w:t>n</w:t>
      </w:r>
      <w:r w:rsidRPr="00FB4EFA">
        <w:rPr>
          <w:rFonts w:cs="Charis SIL"/>
          <w:lang w:val="de-DE"/>
        </w:rPr>
        <w:t>, heute schon ziemlich demotivierte</w:t>
      </w:r>
      <w:r w:rsidR="00DE1EDE" w:rsidRPr="00FB4EFA">
        <w:rPr>
          <w:rFonts w:cs="Charis SIL"/>
          <w:lang w:val="de-DE"/>
        </w:rPr>
        <w:t>n</w:t>
      </w:r>
      <w:r w:rsidRPr="00FB4EFA">
        <w:rPr>
          <w:rFonts w:cs="Charis SIL"/>
          <w:lang w:val="de-DE"/>
        </w:rPr>
        <w:t xml:space="preserve"> Ausdrücke wie </w:t>
      </w:r>
      <w:r w:rsidRPr="00FB4EFA">
        <w:rPr>
          <w:rFonts w:cs="Charis SIL"/>
          <w:i/>
          <w:lang w:val="de-DE"/>
        </w:rPr>
        <w:t>(el)inal</w:t>
      </w:r>
      <w:r w:rsidRPr="00FB4EFA">
        <w:rPr>
          <w:rFonts w:cs="Charis SIL"/>
          <w:lang w:val="de-DE"/>
        </w:rPr>
        <w:t xml:space="preserve"> </w:t>
      </w:r>
      <w:r w:rsidR="006057AB" w:rsidRPr="00FB4EFA">
        <w:rPr>
          <w:rFonts w:cs="Charis SIL"/>
          <w:lang w:val="de-DE"/>
        </w:rPr>
        <w:t>‘</w:t>
      </w:r>
      <w:r w:rsidRPr="00FB4EFA">
        <w:rPr>
          <w:rFonts w:cs="Charis SIL"/>
          <w:lang w:val="de-DE"/>
        </w:rPr>
        <w:t>fortschreiten</w:t>
      </w:r>
      <w:r w:rsidR="006057AB" w:rsidRPr="00FB4EFA">
        <w:rPr>
          <w:rFonts w:cs="Charis SIL"/>
          <w:lang w:val="de-DE"/>
        </w:rPr>
        <w:t>’</w:t>
      </w:r>
      <w:r w:rsidRPr="00FB4EFA">
        <w:rPr>
          <w:rFonts w:cs="Charis SIL"/>
          <w:lang w:val="de-DE"/>
        </w:rPr>
        <w:t xml:space="preserve"> oder </w:t>
      </w:r>
      <w:r w:rsidRPr="00FB4EFA">
        <w:rPr>
          <w:rFonts w:cs="Charis SIL"/>
          <w:i/>
          <w:lang w:val="de-DE"/>
        </w:rPr>
        <w:t>inába száll a bátorsága</w:t>
      </w:r>
      <w:r w:rsidRPr="00FB4EFA">
        <w:rPr>
          <w:rFonts w:cs="Charis SIL"/>
          <w:lang w:val="de-DE"/>
        </w:rPr>
        <w:t xml:space="preserve"> </w:t>
      </w:r>
      <w:r w:rsidR="006057AB" w:rsidRPr="00FB4EFA">
        <w:rPr>
          <w:rFonts w:cs="Charis SIL"/>
          <w:lang w:val="de-DE"/>
        </w:rPr>
        <w:t>‘</w:t>
      </w:r>
      <w:r w:rsidRPr="00FB4EFA">
        <w:rPr>
          <w:rFonts w:cs="Charis SIL"/>
          <w:lang w:val="de-DE"/>
        </w:rPr>
        <w:t xml:space="preserve">Angst bekommen [etwa: sein Mut steigt in die Beine </w:t>
      </w:r>
      <w:r w:rsidR="00F60DD5" w:rsidRPr="00FB4EFA">
        <w:rPr>
          <w:rFonts w:cs="Charis SIL"/>
          <w:lang w:val="de-DE"/>
        </w:rPr>
        <w:br/>
      </w:r>
      <w:r w:rsidRPr="00FB4EFA">
        <w:rPr>
          <w:rFonts w:cs="Charis SIL"/>
          <w:lang w:val="de-DE"/>
        </w:rPr>
        <w:t>herunter]</w:t>
      </w:r>
      <w:r w:rsidR="006057AB" w:rsidRPr="00FB4EFA">
        <w:rPr>
          <w:rFonts w:cs="Charis SIL"/>
          <w:lang w:val="de-DE"/>
        </w:rPr>
        <w:t>’</w:t>
      </w:r>
      <w:r w:rsidRPr="00FB4EFA">
        <w:rPr>
          <w:rFonts w:cs="Charis SIL"/>
          <w:lang w:val="de-DE"/>
        </w:rPr>
        <w:t>.</w:t>
      </w:r>
    </w:p>
    <w:p w14:paraId="20474328" w14:textId="42C79EA8" w:rsidR="00CB6469" w:rsidRPr="00FB4EFA" w:rsidRDefault="00CB6469" w:rsidP="00F60DD5">
      <w:pPr>
        <w:spacing w:after="240"/>
        <w:ind w:firstLine="709"/>
        <w:rPr>
          <w:rFonts w:cs="Charis SIL"/>
        </w:rPr>
      </w:pPr>
      <w:r w:rsidRPr="00FB4EFA">
        <w:rPr>
          <w:rFonts w:cs="Charis SIL"/>
          <w:lang w:val="de-DE"/>
        </w:rPr>
        <w:t xml:space="preserve">Mit der Komponente </w:t>
      </w:r>
      <w:r w:rsidRPr="00FB4EFA">
        <w:rPr>
          <w:rFonts w:cs="Charis SIL"/>
          <w:i/>
          <w:lang w:val="de-DE"/>
        </w:rPr>
        <w:t>ín</w:t>
      </w:r>
      <w:r w:rsidRPr="00FB4EFA">
        <w:rPr>
          <w:rFonts w:cs="Charis SIL"/>
          <w:lang w:val="de-DE"/>
        </w:rPr>
        <w:t xml:space="preserve"> </w:t>
      </w:r>
      <w:r w:rsidR="006057AB" w:rsidRPr="00FB4EFA">
        <w:rPr>
          <w:rFonts w:cs="Charis SIL"/>
          <w:lang w:val="de-DE"/>
        </w:rPr>
        <w:t>‘</w:t>
      </w:r>
      <w:r w:rsidRPr="00FB4EFA">
        <w:rPr>
          <w:rFonts w:cs="Charis SIL"/>
          <w:lang w:val="de-DE"/>
        </w:rPr>
        <w:t>Bein</w:t>
      </w:r>
      <w:r w:rsidR="006057AB" w:rsidRPr="00FB4EFA">
        <w:rPr>
          <w:rFonts w:cs="Charis SIL"/>
          <w:lang w:val="de-DE"/>
        </w:rPr>
        <w:t>’</w:t>
      </w:r>
      <w:r w:rsidRPr="00FB4EFA">
        <w:rPr>
          <w:rFonts w:cs="Charis SIL"/>
          <w:lang w:val="de-DE"/>
        </w:rPr>
        <w:t xml:space="preserve"> gibt übrigens O. Nagy (1976: 301) noch zahlreiche andere Phraseme an. Die Mehrheit stuft er als veraltet ein, eine kleinere Gruppe als dialektal. Sehen wir uns auch einige</w:t>
      </w:r>
      <w:r w:rsidR="000121EA" w:rsidRPr="00FB4EFA">
        <w:rPr>
          <w:rFonts w:cs="Charis SIL"/>
          <w:lang w:val="de-DE"/>
        </w:rPr>
        <w:t xml:space="preserve"> </w:t>
      </w:r>
      <w:r w:rsidRPr="00FB4EFA">
        <w:rPr>
          <w:rFonts w:cs="Charis SIL"/>
          <w:lang w:val="de-DE"/>
        </w:rPr>
        <w:t>von diesen Beispielen an</w:t>
      </w:r>
      <w:r w:rsidR="00F60DD5" w:rsidRPr="00FB4EFA">
        <w:rPr>
          <w:rFonts w:cs="Charis SIL"/>
          <w:lang w:val="de-DE"/>
        </w:rPr>
        <w:t>.</w:t>
      </w:r>
    </w:p>
    <w:p w14:paraId="68E823E7" w14:textId="6052A77E" w:rsidR="00CB6469" w:rsidRPr="00FB4EFA" w:rsidRDefault="00CB6469" w:rsidP="00AF0CAD">
      <w:pPr>
        <w:spacing w:line="240" w:lineRule="auto"/>
        <w:ind w:left="993" w:right="108" w:hanging="284"/>
        <w:rPr>
          <w:rFonts w:cs="Charis SIL"/>
          <w:b/>
          <w:lang w:val="de-DE"/>
        </w:rPr>
      </w:pPr>
      <w:r w:rsidRPr="00FB4EFA">
        <w:rPr>
          <w:rFonts w:cs="Charis SIL"/>
          <w:i/>
          <w:lang w:val="de-DE"/>
        </w:rPr>
        <w:t>inába száll</w:t>
      </w:r>
      <w:r w:rsidRPr="00FB4EFA">
        <w:rPr>
          <w:rFonts w:cs="Charis SIL"/>
          <w:lang w:val="de-DE"/>
        </w:rPr>
        <w:t xml:space="preserve"> </w:t>
      </w:r>
      <w:r w:rsidRPr="00FB4EFA">
        <w:rPr>
          <w:rFonts w:cs="Charis SIL"/>
          <w:i/>
          <w:lang w:val="de-DE"/>
        </w:rPr>
        <w:t>a szíve</w:t>
      </w:r>
      <w:r w:rsidRPr="00FB4EFA">
        <w:rPr>
          <w:rFonts w:cs="Charis SIL"/>
          <w:lang w:val="de-DE"/>
        </w:rPr>
        <w:t xml:space="preserve"> </w:t>
      </w:r>
      <w:r w:rsidR="006057AB" w:rsidRPr="00FB4EFA">
        <w:rPr>
          <w:rFonts w:cs="Charis SIL"/>
          <w:lang w:val="de-DE"/>
        </w:rPr>
        <w:t>‘</w:t>
      </w:r>
      <w:r w:rsidRPr="00FB4EFA">
        <w:rPr>
          <w:rFonts w:cs="Charis SIL"/>
          <w:lang w:val="de-DE"/>
        </w:rPr>
        <w:t>den Mut verlieren, erschrecken</w:t>
      </w:r>
      <w:r w:rsidR="006057AB" w:rsidRPr="00FB4EFA">
        <w:rPr>
          <w:rFonts w:cs="Charis SIL"/>
          <w:lang w:val="de-DE"/>
        </w:rPr>
        <w:t>’</w:t>
      </w:r>
      <w:r w:rsidRPr="00FB4EFA">
        <w:rPr>
          <w:rFonts w:cs="Charis SIL"/>
          <w:lang w:val="de-DE"/>
        </w:rPr>
        <w:t xml:space="preserve"> (</w:t>
      </w:r>
      <w:r w:rsidRPr="00FB4EFA">
        <w:rPr>
          <w:rFonts w:cs="Charis SIL"/>
          <w:i/>
          <w:lang w:val="de-DE"/>
        </w:rPr>
        <w:t>dial</w:t>
      </w:r>
      <w:r w:rsidRPr="00FB4EFA">
        <w:rPr>
          <w:rFonts w:cs="Charis SIL"/>
          <w:lang w:val="de-DE"/>
        </w:rPr>
        <w:t>.) [wörtl.: das Herz steigt ihm in die Beine]</w:t>
      </w:r>
    </w:p>
    <w:p w14:paraId="2CB654F9" w14:textId="2DDBE95D" w:rsidR="00CB6469" w:rsidRPr="00FB4EFA" w:rsidRDefault="00CB6469" w:rsidP="00AF0CAD">
      <w:pPr>
        <w:spacing w:line="240" w:lineRule="auto"/>
        <w:ind w:left="993" w:right="108" w:hanging="284"/>
        <w:rPr>
          <w:rFonts w:cs="Charis SIL"/>
          <w:b/>
          <w:lang w:val="de-DE"/>
        </w:rPr>
      </w:pPr>
      <w:r w:rsidRPr="00FB4EFA">
        <w:rPr>
          <w:rFonts w:cs="Charis SIL"/>
          <w:i/>
          <w:lang w:val="de-DE"/>
        </w:rPr>
        <w:t>inába száll a bor</w:t>
      </w:r>
      <w:r w:rsidRPr="00FB4EFA">
        <w:rPr>
          <w:rFonts w:cs="Charis SIL"/>
          <w:lang w:val="de-DE"/>
        </w:rPr>
        <w:t xml:space="preserve"> </w:t>
      </w:r>
      <w:r w:rsidR="006057AB" w:rsidRPr="00FB4EFA">
        <w:rPr>
          <w:rFonts w:cs="Charis SIL"/>
          <w:lang w:val="de-DE"/>
        </w:rPr>
        <w:t>‘</w:t>
      </w:r>
      <w:r w:rsidRPr="00FB4EFA">
        <w:rPr>
          <w:rFonts w:cs="Charis SIL"/>
          <w:lang w:val="de-DE"/>
        </w:rPr>
        <w:t>sich betrinken</w:t>
      </w:r>
      <w:r w:rsidR="006057AB" w:rsidRPr="00FB4EFA">
        <w:rPr>
          <w:rFonts w:cs="Charis SIL"/>
          <w:lang w:val="de-DE"/>
        </w:rPr>
        <w:t>’</w:t>
      </w:r>
      <w:r w:rsidRPr="00FB4EFA">
        <w:rPr>
          <w:rFonts w:cs="Charis SIL"/>
          <w:lang w:val="de-DE"/>
        </w:rPr>
        <w:t xml:space="preserve"> (</w:t>
      </w:r>
      <w:r w:rsidRPr="00FB4EFA">
        <w:rPr>
          <w:rFonts w:cs="Charis SIL"/>
          <w:i/>
          <w:lang w:val="de-DE"/>
        </w:rPr>
        <w:t>dial.</w:t>
      </w:r>
      <w:r w:rsidRPr="00FB4EFA">
        <w:rPr>
          <w:rFonts w:cs="Charis SIL"/>
          <w:lang w:val="de-DE"/>
        </w:rPr>
        <w:t>) [wörtl.: der Wein steigt ihm in die Beine]</w:t>
      </w:r>
    </w:p>
    <w:p w14:paraId="0B72F37F" w14:textId="4C79584A" w:rsidR="000121EA" w:rsidRPr="00FB4EFA" w:rsidRDefault="00CB6469" w:rsidP="00AF0CAD">
      <w:pPr>
        <w:spacing w:line="240" w:lineRule="auto"/>
        <w:ind w:left="993" w:right="108" w:hanging="284"/>
        <w:rPr>
          <w:rFonts w:cs="Charis SIL"/>
          <w:lang w:val="de-DE"/>
        </w:rPr>
      </w:pPr>
      <w:r w:rsidRPr="00FB4EFA">
        <w:rPr>
          <w:rFonts w:cs="Charis SIL"/>
          <w:i/>
          <w:lang w:val="de-DE"/>
        </w:rPr>
        <w:t>inában bízik</w:t>
      </w:r>
      <w:r w:rsidRPr="00FB4EFA">
        <w:rPr>
          <w:rFonts w:cs="Charis SIL"/>
          <w:lang w:val="de-DE"/>
        </w:rPr>
        <w:t xml:space="preserve"> </w:t>
      </w:r>
      <w:r w:rsidR="006057AB" w:rsidRPr="00FB4EFA">
        <w:rPr>
          <w:rFonts w:cs="Charis SIL"/>
          <w:lang w:val="de-DE"/>
        </w:rPr>
        <w:t>‘</w:t>
      </w:r>
      <w:r w:rsidRPr="00FB4EFA">
        <w:rPr>
          <w:rFonts w:cs="Charis SIL"/>
          <w:lang w:val="de-DE"/>
        </w:rPr>
        <w:t>Flucht ergreifen</w:t>
      </w:r>
      <w:r w:rsidR="006057AB" w:rsidRPr="00FB4EFA">
        <w:rPr>
          <w:rFonts w:cs="Charis SIL"/>
          <w:lang w:val="de-DE"/>
        </w:rPr>
        <w:t>’</w:t>
      </w:r>
      <w:r w:rsidRPr="00FB4EFA">
        <w:rPr>
          <w:rFonts w:cs="Charis SIL"/>
          <w:lang w:val="de-DE"/>
        </w:rPr>
        <w:t xml:space="preserve"> (</w:t>
      </w:r>
      <w:r w:rsidRPr="00FB4EFA">
        <w:rPr>
          <w:rFonts w:cs="Charis SIL"/>
          <w:i/>
          <w:lang w:val="de-DE"/>
        </w:rPr>
        <w:t>veralt</w:t>
      </w:r>
      <w:r w:rsidRPr="00FB4EFA">
        <w:rPr>
          <w:rFonts w:cs="Charis SIL"/>
          <w:lang w:val="de-DE"/>
        </w:rPr>
        <w:t>) [wörtl.: seinem Bein vertrauen]</w:t>
      </w:r>
    </w:p>
    <w:p w14:paraId="4E69716F" w14:textId="777CCE3D" w:rsidR="00CB6469" w:rsidRPr="00FB4EFA" w:rsidRDefault="00CB6469" w:rsidP="00AF0CAD">
      <w:pPr>
        <w:spacing w:line="240" w:lineRule="auto"/>
        <w:ind w:left="993" w:right="108" w:hanging="284"/>
        <w:rPr>
          <w:rFonts w:cs="Charis SIL"/>
          <w:b/>
        </w:rPr>
      </w:pPr>
      <w:r w:rsidRPr="00FB4EFA">
        <w:rPr>
          <w:rFonts w:cs="Charis SIL"/>
          <w:i/>
          <w:lang w:val="de-DE"/>
        </w:rPr>
        <w:t>inában vannak</w:t>
      </w:r>
      <w:r w:rsidRPr="00FB4EFA">
        <w:rPr>
          <w:rFonts w:cs="Charis SIL"/>
          <w:lang w:val="de-DE"/>
        </w:rPr>
        <w:t xml:space="preserve"> </w:t>
      </w:r>
      <w:r w:rsidR="006057AB" w:rsidRPr="00FB4EFA">
        <w:rPr>
          <w:rFonts w:cs="Charis SIL"/>
          <w:lang w:val="de-DE"/>
        </w:rPr>
        <w:t>‘</w:t>
      </w:r>
      <w:r w:rsidRPr="00FB4EFA">
        <w:rPr>
          <w:rFonts w:cs="Charis SIL"/>
          <w:lang w:val="de-DE"/>
        </w:rPr>
        <w:t>verfolgt, gejagt werden</w:t>
      </w:r>
      <w:r w:rsidR="006057AB" w:rsidRPr="00FB4EFA">
        <w:rPr>
          <w:rFonts w:cs="Charis SIL"/>
          <w:lang w:val="de-DE"/>
        </w:rPr>
        <w:t>’</w:t>
      </w:r>
      <w:r w:rsidRPr="00FB4EFA">
        <w:rPr>
          <w:rFonts w:cs="Charis SIL"/>
          <w:lang w:val="de-DE"/>
        </w:rPr>
        <w:t xml:space="preserve"> (</w:t>
      </w:r>
      <w:r w:rsidRPr="00FB4EFA">
        <w:rPr>
          <w:rFonts w:cs="Charis SIL"/>
          <w:i/>
          <w:lang w:val="de-DE"/>
        </w:rPr>
        <w:t>veralt</w:t>
      </w:r>
      <w:r w:rsidRPr="00FB4EFA">
        <w:rPr>
          <w:rFonts w:cs="Charis SIL"/>
          <w:lang w:val="de-DE"/>
        </w:rPr>
        <w:t>) [wörtl.: man ist ihm in den Beinen/auf den Fersen]</w:t>
      </w:r>
    </w:p>
    <w:p w14:paraId="3E317CCD" w14:textId="49B17A2F" w:rsidR="00CB6469" w:rsidRPr="00FB4EFA" w:rsidRDefault="00CB6469" w:rsidP="00AF0CAD">
      <w:pPr>
        <w:spacing w:line="240" w:lineRule="auto"/>
        <w:ind w:left="993" w:right="108" w:hanging="284"/>
        <w:rPr>
          <w:rFonts w:cs="Charis SIL"/>
          <w:b/>
        </w:rPr>
      </w:pPr>
      <w:r w:rsidRPr="00FB4EFA">
        <w:rPr>
          <w:rFonts w:cs="Charis SIL"/>
          <w:i/>
          <w:lang w:val="de-DE"/>
        </w:rPr>
        <w:t>félti az inát</w:t>
      </w:r>
      <w:r w:rsidRPr="00FB4EFA">
        <w:rPr>
          <w:rFonts w:cs="Charis SIL"/>
          <w:lang w:val="de-DE"/>
        </w:rPr>
        <w:t xml:space="preserve"> </w:t>
      </w:r>
      <w:r w:rsidR="006057AB" w:rsidRPr="00FB4EFA">
        <w:rPr>
          <w:rFonts w:cs="Charis SIL"/>
          <w:lang w:val="de-DE"/>
        </w:rPr>
        <w:t>‘</w:t>
      </w:r>
      <w:r w:rsidRPr="00FB4EFA">
        <w:rPr>
          <w:rFonts w:cs="Charis SIL"/>
          <w:lang w:val="de-DE"/>
        </w:rPr>
        <w:t>Angst haben und deswegen fliehen</w:t>
      </w:r>
      <w:r w:rsidR="006057AB" w:rsidRPr="00FB4EFA">
        <w:rPr>
          <w:rFonts w:cs="Charis SIL"/>
          <w:lang w:val="de-DE"/>
        </w:rPr>
        <w:t>’</w:t>
      </w:r>
      <w:r w:rsidRPr="00FB4EFA">
        <w:rPr>
          <w:rFonts w:cs="Charis SIL"/>
          <w:lang w:val="de-DE"/>
        </w:rPr>
        <w:t xml:space="preserve"> (</w:t>
      </w:r>
      <w:r w:rsidRPr="00FB4EFA">
        <w:rPr>
          <w:rFonts w:cs="Charis SIL"/>
          <w:i/>
          <w:lang w:val="de-DE"/>
        </w:rPr>
        <w:t>dial</w:t>
      </w:r>
      <w:r w:rsidRPr="00FB4EFA">
        <w:rPr>
          <w:rFonts w:cs="Charis SIL"/>
          <w:lang w:val="de-DE"/>
        </w:rPr>
        <w:t>) [wörtl.: Angst um seine Beine haben]</w:t>
      </w:r>
    </w:p>
    <w:p w14:paraId="0B8D9746" w14:textId="3EDFBEB5" w:rsidR="00CB6469" w:rsidRPr="00FB4EFA" w:rsidRDefault="00CB6469" w:rsidP="00AF0CAD">
      <w:pPr>
        <w:spacing w:line="240" w:lineRule="auto"/>
        <w:ind w:left="993" w:right="108" w:hanging="284"/>
        <w:rPr>
          <w:rFonts w:cs="Charis SIL"/>
          <w:b/>
        </w:rPr>
      </w:pPr>
      <w:r w:rsidRPr="00FB4EFA">
        <w:rPr>
          <w:rFonts w:cs="Charis SIL"/>
          <w:i/>
          <w:lang w:val="de-DE"/>
        </w:rPr>
        <w:t>megüti az inát</w:t>
      </w:r>
      <w:r w:rsidRPr="00FB4EFA">
        <w:rPr>
          <w:rFonts w:cs="Charis SIL"/>
          <w:lang w:val="de-DE"/>
        </w:rPr>
        <w:t xml:space="preserve"> </w:t>
      </w:r>
      <w:r w:rsidR="006057AB" w:rsidRPr="00FB4EFA">
        <w:rPr>
          <w:rFonts w:cs="Charis SIL"/>
          <w:lang w:val="de-DE"/>
        </w:rPr>
        <w:t>‘</w:t>
      </w:r>
      <w:r w:rsidRPr="00FB4EFA">
        <w:rPr>
          <w:rFonts w:cs="Charis SIL"/>
          <w:lang w:val="de-DE"/>
        </w:rPr>
        <w:t>in die Klemme geraten</w:t>
      </w:r>
      <w:r w:rsidR="006057AB" w:rsidRPr="00FB4EFA">
        <w:rPr>
          <w:rFonts w:cs="Charis SIL"/>
          <w:lang w:val="de-DE"/>
        </w:rPr>
        <w:t>’</w:t>
      </w:r>
      <w:r w:rsidRPr="00FB4EFA">
        <w:rPr>
          <w:rFonts w:cs="Charis SIL"/>
          <w:lang w:val="de-DE"/>
        </w:rPr>
        <w:t xml:space="preserve"> (</w:t>
      </w:r>
      <w:r w:rsidRPr="00FB4EFA">
        <w:rPr>
          <w:rFonts w:cs="Charis SIL"/>
          <w:i/>
          <w:lang w:val="de-DE"/>
        </w:rPr>
        <w:t>veralt</w:t>
      </w:r>
      <w:r w:rsidRPr="00FB4EFA">
        <w:rPr>
          <w:rFonts w:cs="Charis SIL"/>
          <w:lang w:val="de-DE"/>
        </w:rPr>
        <w:t>) [wörtl.: seine Beine anschlagen]</w:t>
      </w:r>
    </w:p>
    <w:p w14:paraId="51F100E4" w14:textId="67D86176" w:rsidR="00CB6469" w:rsidRPr="00FB4EFA" w:rsidRDefault="00CB6469" w:rsidP="00375630">
      <w:pPr>
        <w:spacing w:before="240"/>
        <w:rPr>
          <w:rFonts w:cs="Charis SIL"/>
        </w:rPr>
      </w:pPr>
      <w:r w:rsidRPr="00FB4EFA">
        <w:rPr>
          <w:rFonts w:cs="Charis SIL"/>
          <w:lang w:val="de-DE"/>
        </w:rPr>
        <w:lastRenderedPageBreak/>
        <w:t xml:space="preserve">Aus dem ersten Beispiel ist ersichtlich, dass die Redensart </w:t>
      </w:r>
      <w:r w:rsidRPr="00FB4EFA">
        <w:rPr>
          <w:rFonts w:cs="Charis SIL"/>
          <w:i/>
          <w:lang w:val="de-DE"/>
        </w:rPr>
        <w:t xml:space="preserve">szárába száll a szíve </w:t>
      </w:r>
      <w:r w:rsidRPr="00FB4EFA">
        <w:rPr>
          <w:rFonts w:cs="Charis SIL"/>
          <w:lang w:val="de-DE"/>
        </w:rPr>
        <w:t xml:space="preserve">auch eine Variante mit </w:t>
      </w:r>
      <w:r w:rsidRPr="00FB4EFA">
        <w:rPr>
          <w:rFonts w:cs="Charis SIL"/>
          <w:i/>
          <w:lang w:val="de-DE"/>
        </w:rPr>
        <w:t>ín</w:t>
      </w:r>
      <w:r w:rsidRPr="00FB4EFA">
        <w:rPr>
          <w:rFonts w:cs="Charis SIL"/>
          <w:lang w:val="de-DE"/>
        </w:rPr>
        <w:t xml:space="preserve"> </w:t>
      </w:r>
      <w:r w:rsidR="00F60DD5" w:rsidRPr="00FB4EFA">
        <w:rPr>
          <w:rFonts w:cs="Charis SIL"/>
          <w:lang w:val="de-DE"/>
        </w:rPr>
        <w:t>hatte</w:t>
      </w:r>
      <w:r w:rsidRPr="00FB4EFA">
        <w:rPr>
          <w:rFonts w:cs="Charis SIL"/>
          <w:lang w:val="de-DE"/>
        </w:rPr>
        <w:t xml:space="preserve">. Heute gelten aber beide schon als ausgestorben und auch die anderen Wendungen sind inzwischen </w:t>
      </w:r>
      <w:r w:rsidR="00AD79E8" w:rsidRPr="00FB4EFA">
        <w:rPr>
          <w:rFonts w:cs="Charis SIL"/>
          <w:lang w:val="de-DE"/>
        </w:rPr>
        <w:br/>
      </w:r>
      <w:r w:rsidRPr="00FB4EFA">
        <w:rPr>
          <w:rFonts w:cs="Charis SIL"/>
          <w:lang w:val="de-DE"/>
        </w:rPr>
        <w:t xml:space="preserve">verschwunden, da die gewöhnliche Bedeutung von </w:t>
      </w:r>
      <w:r w:rsidRPr="00FB4EFA">
        <w:rPr>
          <w:rFonts w:cs="Charis SIL"/>
          <w:i/>
          <w:lang w:val="de-DE"/>
        </w:rPr>
        <w:t>ín</w:t>
      </w:r>
      <w:r w:rsidRPr="00FB4EFA">
        <w:rPr>
          <w:rFonts w:cs="Charis SIL"/>
          <w:lang w:val="de-DE"/>
        </w:rPr>
        <w:t xml:space="preserve"> nicht mehr </w:t>
      </w:r>
      <w:r w:rsidR="006057AB" w:rsidRPr="00FB4EFA">
        <w:rPr>
          <w:rFonts w:cs="Charis SIL"/>
          <w:lang w:val="de-DE"/>
        </w:rPr>
        <w:t>‘</w:t>
      </w:r>
      <w:r w:rsidRPr="00FB4EFA">
        <w:rPr>
          <w:rFonts w:cs="Charis SIL"/>
          <w:lang w:val="de-DE"/>
        </w:rPr>
        <w:t>Bein</w:t>
      </w:r>
      <w:r w:rsidR="006057AB" w:rsidRPr="00FB4EFA">
        <w:rPr>
          <w:rFonts w:cs="Charis SIL"/>
          <w:lang w:val="de-DE"/>
        </w:rPr>
        <w:t>’</w:t>
      </w:r>
      <w:r w:rsidRPr="00FB4EFA">
        <w:rPr>
          <w:rFonts w:cs="Charis SIL"/>
          <w:lang w:val="de-DE"/>
        </w:rPr>
        <w:t xml:space="preserve">, sondern </w:t>
      </w:r>
      <w:r w:rsidR="006057AB" w:rsidRPr="00FB4EFA">
        <w:rPr>
          <w:rFonts w:cs="Charis SIL"/>
          <w:lang w:val="de-DE"/>
        </w:rPr>
        <w:t>‘</w:t>
      </w:r>
      <w:r w:rsidRPr="00FB4EFA">
        <w:rPr>
          <w:rFonts w:cs="Charis SIL"/>
          <w:lang w:val="de-DE"/>
        </w:rPr>
        <w:t>Sehne</w:t>
      </w:r>
      <w:r w:rsidR="006057AB" w:rsidRPr="00FB4EFA">
        <w:rPr>
          <w:rFonts w:cs="Charis SIL"/>
          <w:lang w:val="de-DE"/>
        </w:rPr>
        <w:t>’</w:t>
      </w:r>
      <w:r w:rsidRPr="00FB4EFA">
        <w:rPr>
          <w:rFonts w:cs="Charis SIL"/>
          <w:lang w:val="de-DE"/>
        </w:rPr>
        <w:t xml:space="preserve"> ist.</w:t>
      </w:r>
    </w:p>
    <w:p w14:paraId="25BC07F7" w14:textId="61E6CE36" w:rsidR="00CB6469" w:rsidRPr="00FB4EFA" w:rsidRDefault="00CB6469" w:rsidP="00375630">
      <w:pPr>
        <w:ind w:firstLine="709"/>
        <w:rPr>
          <w:rFonts w:cs="Charis SIL"/>
        </w:rPr>
      </w:pPr>
      <w:r w:rsidRPr="00FB4EFA">
        <w:rPr>
          <w:rFonts w:cs="Charis SIL"/>
          <w:lang w:val="de-DE"/>
        </w:rPr>
        <w:t xml:space="preserve">Gleichzeitig können wir aber feststellen, dass der Schwund einer Bedeutung einer Phrasemkomponente – ähnlich wie bei Redensarten mit verschwindenden Lexemen – nicht zwingend zum Verlust des Phrasems führt. Im oben erwähnten Phrasem </w:t>
      </w:r>
      <w:r w:rsidRPr="00FB4EFA">
        <w:rPr>
          <w:rFonts w:cs="Charis SIL"/>
          <w:i/>
        </w:rPr>
        <w:t>inába száll a bátorsága</w:t>
      </w:r>
      <w:r w:rsidRPr="00FB4EFA">
        <w:rPr>
          <w:rFonts w:cs="Charis SIL"/>
          <w:lang w:val="de-DE"/>
        </w:rPr>
        <w:t xml:space="preserve"> kommt nämlich auch die veraltete Bedeutung </w:t>
      </w:r>
      <w:r w:rsidR="006057AB" w:rsidRPr="00FB4EFA">
        <w:rPr>
          <w:rFonts w:cs="Charis SIL"/>
          <w:lang w:val="de-DE"/>
        </w:rPr>
        <w:t>‘</w:t>
      </w:r>
      <w:r w:rsidRPr="00FB4EFA">
        <w:rPr>
          <w:rFonts w:cs="Charis SIL"/>
          <w:lang w:val="de-DE"/>
        </w:rPr>
        <w:t>Bein</w:t>
      </w:r>
      <w:r w:rsidR="006057AB" w:rsidRPr="00FB4EFA">
        <w:rPr>
          <w:rFonts w:cs="Charis SIL"/>
          <w:lang w:val="de-DE"/>
        </w:rPr>
        <w:t>’</w:t>
      </w:r>
      <w:r w:rsidRPr="00FB4EFA">
        <w:rPr>
          <w:rFonts w:cs="Charis SIL"/>
          <w:lang w:val="de-DE"/>
        </w:rPr>
        <w:t xml:space="preserve"> von </w:t>
      </w:r>
      <w:r w:rsidRPr="00FB4EFA">
        <w:rPr>
          <w:rFonts w:cs="Charis SIL"/>
          <w:i/>
          <w:lang w:val="de-DE"/>
        </w:rPr>
        <w:t>ín</w:t>
      </w:r>
      <w:r w:rsidRPr="00FB4EFA">
        <w:rPr>
          <w:rFonts w:cs="Charis SIL"/>
          <w:lang w:val="de-DE"/>
        </w:rPr>
        <w:t xml:space="preserve"> zum Vorschein, trotzdem ist diese Wendung auch heute ein stabiler Bestandteil des ungarischen phraseologischen Systems und wird häufig verwendet. Es ist natürlich eine andere Frage, dass für die Sprachteilhaber die visuelle Motiviertheit der Wendung nicht mehr ganz klar ist: wenn ihnen die ursprüngliche Bedeutung der Komponente </w:t>
      </w:r>
      <w:r w:rsidRPr="00FB4EFA">
        <w:rPr>
          <w:rFonts w:cs="Charis SIL"/>
          <w:i/>
          <w:lang w:val="de-DE"/>
        </w:rPr>
        <w:t>ín</w:t>
      </w:r>
      <w:r w:rsidRPr="00FB4EFA">
        <w:rPr>
          <w:rFonts w:cs="Charis SIL"/>
          <w:lang w:val="de-DE"/>
        </w:rPr>
        <w:t xml:space="preserve"> (</w:t>
      </w:r>
      <w:r w:rsidR="006057AB" w:rsidRPr="00FB4EFA">
        <w:rPr>
          <w:rFonts w:cs="Charis SIL"/>
          <w:lang w:val="de-DE"/>
        </w:rPr>
        <w:t>‘</w:t>
      </w:r>
      <w:r w:rsidRPr="00FB4EFA">
        <w:rPr>
          <w:rFonts w:cs="Charis SIL"/>
          <w:lang w:val="de-DE"/>
        </w:rPr>
        <w:t>Bein</w:t>
      </w:r>
      <w:r w:rsidR="006057AB" w:rsidRPr="00FB4EFA">
        <w:rPr>
          <w:rFonts w:cs="Charis SIL"/>
          <w:lang w:val="de-DE"/>
        </w:rPr>
        <w:t>’</w:t>
      </w:r>
      <w:r w:rsidRPr="00FB4EFA">
        <w:rPr>
          <w:rFonts w:cs="Charis SIL"/>
          <w:lang w:val="de-DE"/>
        </w:rPr>
        <w:t>) noch bekannt wäre, würden sie in der Redensart jenes psychosomatische Phänomen entdecken, bei dem durch Angst der Muskeltonus in den Beinen geschwächt wird und man deswegen das Gefühl hat, unsicher auf den Beinen zu stehen.</w:t>
      </w:r>
    </w:p>
    <w:p w14:paraId="398A601A" w14:textId="77777777" w:rsidR="00CB6469" w:rsidRPr="00FB4EFA" w:rsidRDefault="00CB6469" w:rsidP="00375630">
      <w:pPr>
        <w:spacing w:after="240"/>
        <w:ind w:firstLine="709"/>
        <w:rPr>
          <w:rFonts w:cs="Charis SIL"/>
        </w:rPr>
      </w:pPr>
      <w:r w:rsidRPr="00FB4EFA">
        <w:rPr>
          <w:rFonts w:cs="Charis SIL"/>
          <w:lang w:val="de-DE"/>
        </w:rPr>
        <w:t>Interessant ist aber auch, dass bei einigen Redensarten auch solche Varianten zu finden sind, in denen anstelle der Komponente, die langsam verlorengeht, andere – ungefähr synonyme – Komponenten vorkommen. In solchen Fällen nehmen diese meistens die Rolle der früheren Wendungen im Sprachgebrauch an. Von den obigen Ausdrücken wurden diese durch andere ersetzt:</w:t>
      </w:r>
    </w:p>
    <w:p w14:paraId="0C95A954" w14:textId="18A3B2E3" w:rsidR="00CB6469" w:rsidRPr="00FB4EFA" w:rsidRDefault="00CB6469" w:rsidP="00AF0CAD">
      <w:pPr>
        <w:spacing w:line="240" w:lineRule="auto"/>
        <w:ind w:left="993" w:right="108" w:hanging="284"/>
        <w:rPr>
          <w:rFonts w:cs="Charis SIL"/>
          <w:b/>
        </w:rPr>
      </w:pPr>
      <w:r w:rsidRPr="00FB4EFA">
        <w:rPr>
          <w:rFonts w:cs="Charis SIL"/>
          <w:i/>
        </w:rPr>
        <w:t>megüti az inát</w:t>
      </w:r>
      <w:r w:rsidRPr="00FB4EFA">
        <w:rPr>
          <w:rFonts w:cs="Charis SIL"/>
        </w:rPr>
        <w:t xml:space="preserve"> → </w:t>
      </w:r>
      <w:r w:rsidRPr="00FB4EFA">
        <w:rPr>
          <w:rFonts w:cs="Charis SIL"/>
          <w:i/>
        </w:rPr>
        <w:t>megüti a bokáját</w:t>
      </w:r>
      <w:r w:rsidRPr="00FB4EFA">
        <w:rPr>
          <w:rFonts w:cs="Charis SIL"/>
        </w:rPr>
        <w:t xml:space="preserve"> </w:t>
      </w:r>
      <w:r w:rsidR="006057AB" w:rsidRPr="00FB4EFA">
        <w:rPr>
          <w:rFonts w:cs="Charis SIL"/>
        </w:rPr>
        <w:t>‘</w:t>
      </w:r>
      <w:r w:rsidRPr="00FB4EFA">
        <w:rPr>
          <w:rFonts w:cs="Charis SIL"/>
        </w:rPr>
        <w:t>Probleme kriegen [wörtl: den Knöchel anschlagen]</w:t>
      </w:r>
      <w:r w:rsidR="006057AB" w:rsidRPr="00FB4EFA">
        <w:rPr>
          <w:rFonts w:cs="Charis SIL"/>
        </w:rPr>
        <w:t>’</w:t>
      </w:r>
    </w:p>
    <w:p w14:paraId="648DB3DC" w14:textId="0758AFCE" w:rsidR="00CB6469" w:rsidRPr="00FB4EFA" w:rsidRDefault="00CB6469" w:rsidP="00AF0CAD">
      <w:pPr>
        <w:spacing w:line="240" w:lineRule="auto"/>
        <w:ind w:left="993" w:right="108" w:hanging="284"/>
        <w:rPr>
          <w:rFonts w:cs="Charis SIL"/>
          <w:b/>
        </w:rPr>
      </w:pPr>
      <w:r w:rsidRPr="00FB4EFA">
        <w:rPr>
          <w:rFonts w:cs="Charis SIL"/>
          <w:i/>
        </w:rPr>
        <w:t>inában vannak</w:t>
      </w:r>
      <w:r w:rsidRPr="00FB4EFA">
        <w:rPr>
          <w:rFonts w:cs="Charis SIL"/>
        </w:rPr>
        <w:t xml:space="preserve"> → </w:t>
      </w:r>
      <w:r w:rsidRPr="00FB4EFA">
        <w:rPr>
          <w:rFonts w:cs="Charis SIL"/>
          <w:i/>
        </w:rPr>
        <w:t>nyomában vannak</w:t>
      </w:r>
      <w:r w:rsidRPr="00FB4EFA">
        <w:rPr>
          <w:rFonts w:cs="Charis SIL"/>
        </w:rPr>
        <w:t xml:space="preserve"> </w:t>
      </w:r>
      <w:r w:rsidR="006057AB" w:rsidRPr="00FB4EFA">
        <w:rPr>
          <w:rFonts w:cs="Charis SIL"/>
        </w:rPr>
        <w:t>‘</w:t>
      </w:r>
      <w:r w:rsidRPr="00FB4EFA">
        <w:rPr>
          <w:rFonts w:cs="Charis SIL"/>
        </w:rPr>
        <w:t>man ist jmdm. auf den Fersen [wörtl.: in den Spuren]</w:t>
      </w:r>
      <w:r w:rsidR="006057AB" w:rsidRPr="00FB4EFA">
        <w:rPr>
          <w:rFonts w:cs="Charis SIL"/>
        </w:rPr>
        <w:t>’</w:t>
      </w:r>
    </w:p>
    <w:p w14:paraId="2B39EF8A" w14:textId="237D5B35" w:rsidR="00CB6469" w:rsidRPr="00FB4EFA" w:rsidRDefault="00CB6469" w:rsidP="00AF0CAD">
      <w:pPr>
        <w:spacing w:line="240" w:lineRule="auto"/>
        <w:ind w:left="993" w:right="108" w:hanging="284"/>
        <w:rPr>
          <w:rFonts w:cs="Charis SIL"/>
          <w:b/>
        </w:rPr>
      </w:pPr>
      <w:r w:rsidRPr="00FB4EFA">
        <w:rPr>
          <w:rFonts w:cs="Charis SIL"/>
          <w:i/>
        </w:rPr>
        <w:t>inába száll a bor</w:t>
      </w:r>
      <w:r w:rsidRPr="00FB4EFA">
        <w:rPr>
          <w:rFonts w:cs="Charis SIL"/>
        </w:rPr>
        <w:t xml:space="preserve"> → </w:t>
      </w:r>
      <w:r w:rsidRPr="00FB4EFA">
        <w:rPr>
          <w:rFonts w:cs="Charis SIL"/>
          <w:i/>
        </w:rPr>
        <w:t>lábába száll a bor</w:t>
      </w:r>
      <w:r w:rsidRPr="00FB4EFA">
        <w:rPr>
          <w:rFonts w:cs="Charis SIL"/>
        </w:rPr>
        <w:t xml:space="preserve"> </w:t>
      </w:r>
      <w:r w:rsidR="006057AB" w:rsidRPr="00FB4EFA">
        <w:rPr>
          <w:rFonts w:cs="Charis SIL"/>
        </w:rPr>
        <w:t>‘</w:t>
      </w:r>
      <w:r w:rsidRPr="00FB4EFA">
        <w:rPr>
          <w:rFonts w:cs="Charis SIL"/>
        </w:rPr>
        <w:t>sich berauschen [etwa: der Wein steigt jmdm. in die Beine]</w:t>
      </w:r>
      <w:r w:rsidR="006057AB" w:rsidRPr="00FB4EFA">
        <w:rPr>
          <w:rFonts w:cs="Charis SIL"/>
        </w:rPr>
        <w:t>’</w:t>
      </w:r>
    </w:p>
    <w:p w14:paraId="68A75B32" w14:textId="3EC96929" w:rsidR="00CB6469" w:rsidRPr="00FB4EFA" w:rsidRDefault="00CB6469" w:rsidP="00396C68">
      <w:pPr>
        <w:spacing w:before="240" w:after="240"/>
        <w:rPr>
          <w:rFonts w:cs="Charis SIL"/>
        </w:rPr>
      </w:pPr>
      <w:r w:rsidRPr="00FB4EFA">
        <w:rPr>
          <w:rFonts w:cs="Charis SIL"/>
          <w:lang w:val="de-DE"/>
        </w:rPr>
        <w:t xml:space="preserve">Ähnlich den Wendungen mit der Komponente </w:t>
      </w:r>
      <w:r w:rsidRPr="00FB4EFA">
        <w:rPr>
          <w:rFonts w:cs="Charis SIL"/>
          <w:i/>
          <w:lang w:val="de-DE"/>
        </w:rPr>
        <w:t>ín</w:t>
      </w:r>
      <w:r w:rsidRPr="00FB4EFA">
        <w:rPr>
          <w:rFonts w:cs="Charis SIL"/>
          <w:lang w:val="de-DE"/>
        </w:rPr>
        <w:t xml:space="preserve"> verschwanden aus dem Ungarischen fast alle Phraseme mit der Komponente </w:t>
      </w:r>
      <w:r w:rsidRPr="00FB4EFA">
        <w:rPr>
          <w:rFonts w:cs="Charis SIL"/>
          <w:i/>
          <w:lang w:val="de-DE"/>
        </w:rPr>
        <w:t>kurta</w:t>
      </w:r>
      <w:r w:rsidRPr="00FB4EFA">
        <w:rPr>
          <w:rFonts w:cs="Charis SIL"/>
          <w:lang w:val="de-DE"/>
        </w:rPr>
        <w:t>. Dies</w:t>
      </w:r>
      <w:r w:rsidR="008E5D73" w:rsidRPr="00FB4EFA">
        <w:rPr>
          <w:rFonts w:cs="Charis SIL"/>
          <w:lang w:val="de-DE"/>
        </w:rPr>
        <w:t>e</w:t>
      </w:r>
      <w:r w:rsidRPr="00FB4EFA">
        <w:rPr>
          <w:rFonts w:cs="Charis SIL"/>
          <w:lang w:val="de-DE"/>
        </w:rPr>
        <w:t xml:space="preserve"> bedeutete </w:t>
      </w:r>
      <w:r w:rsidR="006057AB" w:rsidRPr="00FB4EFA">
        <w:rPr>
          <w:rFonts w:cs="Charis SIL"/>
          <w:lang w:val="de-DE"/>
        </w:rPr>
        <w:t>‘</w:t>
      </w:r>
      <w:r w:rsidRPr="00FB4EFA">
        <w:rPr>
          <w:rFonts w:cs="Charis SIL"/>
          <w:lang w:val="de-DE"/>
        </w:rPr>
        <w:t>(lumpiger, minderwertiger) Hund</w:t>
      </w:r>
      <w:r w:rsidR="006057AB" w:rsidRPr="00FB4EFA">
        <w:rPr>
          <w:rFonts w:cs="Charis SIL"/>
          <w:lang w:val="de-DE"/>
        </w:rPr>
        <w:t>’</w:t>
      </w:r>
      <w:r w:rsidRPr="00FB4EFA">
        <w:rPr>
          <w:rFonts w:cs="Charis SIL"/>
          <w:lang w:val="de-DE"/>
        </w:rPr>
        <w:t xml:space="preserve"> und lässt sich vermutlich aus der Bedeutung </w:t>
      </w:r>
      <w:r w:rsidR="006057AB" w:rsidRPr="00FB4EFA">
        <w:rPr>
          <w:rFonts w:cs="Charis SIL"/>
          <w:lang w:val="de-DE"/>
        </w:rPr>
        <w:t>‘</w:t>
      </w:r>
      <w:r w:rsidRPr="00FB4EFA">
        <w:rPr>
          <w:rFonts w:cs="Charis SIL"/>
          <w:lang w:val="de-DE"/>
        </w:rPr>
        <w:t>kurzer Schwanz</w:t>
      </w:r>
      <w:r w:rsidR="006057AB" w:rsidRPr="00FB4EFA">
        <w:rPr>
          <w:rFonts w:cs="Charis SIL"/>
          <w:lang w:val="de-DE"/>
        </w:rPr>
        <w:t>’</w:t>
      </w:r>
      <w:r w:rsidRPr="00FB4EFA">
        <w:rPr>
          <w:rFonts w:cs="Charis SIL"/>
          <w:lang w:val="de-DE"/>
        </w:rPr>
        <w:t xml:space="preserve"> ableiten (vgl. TESz. II: 680). Wie auch die Komponente </w:t>
      </w:r>
      <w:r w:rsidRPr="00FB4EFA">
        <w:rPr>
          <w:rFonts w:cs="Charis SIL"/>
          <w:i/>
          <w:lang w:val="de-DE"/>
        </w:rPr>
        <w:t>eb</w:t>
      </w:r>
      <w:r w:rsidRPr="00FB4EFA">
        <w:rPr>
          <w:rFonts w:cs="Charis SIL"/>
          <w:lang w:val="de-DE"/>
        </w:rPr>
        <w:t xml:space="preserve"> in vielen Wendungen als Symbol der Wertlosigkeit und </w:t>
      </w:r>
      <w:r w:rsidRPr="00FB4EFA">
        <w:rPr>
          <w:rFonts w:cs="Charis SIL"/>
          <w:lang w:val="de-DE"/>
        </w:rPr>
        <w:lastRenderedPageBreak/>
        <w:t xml:space="preserve">Niederträchtigkeit verwendet wird, wird auch sein Synonym </w:t>
      </w:r>
      <w:r w:rsidRPr="00FB4EFA">
        <w:rPr>
          <w:rFonts w:cs="Charis SIL"/>
          <w:i/>
          <w:lang w:val="de-DE"/>
        </w:rPr>
        <w:t>kurta</w:t>
      </w:r>
      <w:r w:rsidRPr="00FB4EFA">
        <w:rPr>
          <w:rFonts w:cs="Charis SIL"/>
          <w:lang w:val="de-DE"/>
        </w:rPr>
        <w:t xml:space="preserve"> in diesem Sinne gebraucht. Sehen wir uns einige Beispiele aus der Sammlung von Margalits (1896: 479) an</w:t>
      </w:r>
      <w:r w:rsidR="00396C68" w:rsidRPr="00FB4EFA">
        <w:rPr>
          <w:rFonts w:cs="Charis SIL"/>
          <w:lang w:val="de-DE"/>
        </w:rPr>
        <w:t>.</w:t>
      </w:r>
    </w:p>
    <w:p w14:paraId="776273BD" w14:textId="7B4D5771" w:rsidR="00CB6469" w:rsidRPr="00FB4EFA" w:rsidRDefault="00CB6469" w:rsidP="00AF0CAD">
      <w:pPr>
        <w:spacing w:line="240" w:lineRule="auto"/>
        <w:ind w:left="993" w:right="108" w:hanging="284"/>
        <w:rPr>
          <w:rFonts w:cs="Charis SIL"/>
          <w:b/>
          <w:lang w:val="de-DE"/>
        </w:rPr>
      </w:pPr>
      <w:r w:rsidRPr="00FB4EFA">
        <w:rPr>
          <w:rFonts w:cs="Charis SIL"/>
          <w:i/>
        </w:rPr>
        <w:t>A ki délig kurta, délután is az lesz</w:t>
      </w:r>
      <w:r w:rsidRPr="00FB4EFA">
        <w:rPr>
          <w:rFonts w:cs="Charis SIL"/>
          <w:lang w:val="de-DE"/>
        </w:rPr>
        <w:t xml:space="preserve">. </w:t>
      </w:r>
      <w:r w:rsidR="006057AB" w:rsidRPr="00FB4EFA">
        <w:rPr>
          <w:rFonts w:cs="Charis SIL"/>
          <w:lang w:val="de-DE"/>
        </w:rPr>
        <w:t>‘</w:t>
      </w:r>
      <w:r w:rsidRPr="00FB4EFA">
        <w:rPr>
          <w:rFonts w:cs="Charis SIL"/>
          <w:lang w:val="de-DE"/>
        </w:rPr>
        <w:t>Wer bis Mittag ein Lump ist, bleibt es auch am Nachmittag.</w:t>
      </w:r>
      <w:r w:rsidR="006057AB" w:rsidRPr="00FB4EFA">
        <w:rPr>
          <w:rFonts w:cs="Charis SIL"/>
          <w:lang w:val="de-DE"/>
        </w:rPr>
        <w:t>’</w:t>
      </w:r>
    </w:p>
    <w:p w14:paraId="16FF0D0D" w14:textId="68442CE5" w:rsidR="00CB6469" w:rsidRPr="00FB4EFA" w:rsidRDefault="00CB6469" w:rsidP="00AF0CAD">
      <w:pPr>
        <w:spacing w:line="240" w:lineRule="auto"/>
        <w:ind w:left="993" w:right="108" w:hanging="284"/>
        <w:rPr>
          <w:rFonts w:cs="Charis SIL"/>
          <w:b/>
          <w:lang w:val="de-DE"/>
        </w:rPr>
      </w:pPr>
      <w:r w:rsidRPr="00FB4EFA">
        <w:rPr>
          <w:rFonts w:cs="Charis SIL"/>
          <w:i/>
        </w:rPr>
        <w:t>Eb ura kurta</w:t>
      </w:r>
      <w:r w:rsidRPr="00FB4EFA">
        <w:rPr>
          <w:rFonts w:cs="Charis SIL"/>
        </w:rPr>
        <w:t xml:space="preserve">. </w:t>
      </w:r>
      <w:r w:rsidR="006057AB" w:rsidRPr="00FB4EFA">
        <w:rPr>
          <w:rFonts w:cs="Charis SIL"/>
          <w:lang w:val="de-DE"/>
        </w:rPr>
        <w:t>‘</w:t>
      </w:r>
      <w:r w:rsidRPr="00FB4EFA">
        <w:rPr>
          <w:rFonts w:cs="Charis SIL"/>
          <w:lang w:val="de-DE"/>
        </w:rPr>
        <w:t>Ein Lump befiehlt einem anderen nicht.</w:t>
      </w:r>
      <w:r w:rsidR="006057AB" w:rsidRPr="00FB4EFA">
        <w:rPr>
          <w:rFonts w:cs="Charis SIL"/>
          <w:lang w:val="de-DE"/>
        </w:rPr>
        <w:t>’</w:t>
      </w:r>
    </w:p>
    <w:p w14:paraId="51A47B12" w14:textId="55309304" w:rsidR="00CB6469" w:rsidRPr="00FB4EFA" w:rsidRDefault="00CB6469" w:rsidP="00AF0CAD">
      <w:pPr>
        <w:spacing w:line="240" w:lineRule="auto"/>
        <w:ind w:left="993" w:right="108" w:hanging="284"/>
        <w:rPr>
          <w:rFonts w:cs="Charis SIL"/>
          <w:b/>
          <w:lang w:val="de-DE"/>
        </w:rPr>
      </w:pPr>
      <w:r w:rsidRPr="00FB4EFA">
        <w:rPr>
          <w:rFonts w:cs="Charis SIL"/>
          <w:i/>
        </w:rPr>
        <w:t>Kurtának (kutyának) kurta a kölyke</w:t>
      </w:r>
      <w:r w:rsidRPr="00FB4EFA">
        <w:rPr>
          <w:rFonts w:cs="Charis SIL"/>
        </w:rPr>
        <w:t xml:space="preserve">. </w:t>
      </w:r>
      <w:r w:rsidR="006057AB" w:rsidRPr="00FB4EFA">
        <w:rPr>
          <w:rFonts w:cs="Charis SIL"/>
          <w:lang w:val="de-DE"/>
        </w:rPr>
        <w:t>‘</w:t>
      </w:r>
      <w:r w:rsidRPr="00FB4EFA">
        <w:rPr>
          <w:rFonts w:cs="Charis SIL"/>
          <w:lang w:val="de-DE"/>
        </w:rPr>
        <w:t>Ein schlechter Hund hat auch nur einen schlechten Welpen.</w:t>
      </w:r>
      <w:r w:rsidR="006057AB" w:rsidRPr="00FB4EFA">
        <w:rPr>
          <w:rFonts w:cs="Charis SIL"/>
          <w:lang w:val="de-DE"/>
        </w:rPr>
        <w:t>’</w:t>
      </w:r>
    </w:p>
    <w:p w14:paraId="2E124917" w14:textId="16C40CDA" w:rsidR="00CB6469" w:rsidRPr="00FB4EFA" w:rsidRDefault="00CB6469" w:rsidP="00AF0CAD">
      <w:pPr>
        <w:spacing w:line="240" w:lineRule="auto"/>
        <w:ind w:left="993" w:right="108" w:hanging="284"/>
        <w:rPr>
          <w:rFonts w:cs="Charis SIL"/>
          <w:b/>
        </w:rPr>
      </w:pPr>
      <w:r w:rsidRPr="00FB4EFA">
        <w:rPr>
          <w:rFonts w:cs="Charis SIL"/>
          <w:i/>
        </w:rPr>
        <w:t>Nem egy ebnek kurta a neve</w:t>
      </w:r>
      <w:r w:rsidRPr="00FB4EFA">
        <w:rPr>
          <w:rFonts w:cs="Charis SIL"/>
        </w:rPr>
        <w:t xml:space="preserve">. </w:t>
      </w:r>
      <w:r w:rsidR="006057AB" w:rsidRPr="00FB4EFA">
        <w:rPr>
          <w:rFonts w:cs="Charis SIL"/>
          <w:lang w:val="de-DE"/>
        </w:rPr>
        <w:t>‘</w:t>
      </w:r>
      <w:r w:rsidRPr="00FB4EFA">
        <w:rPr>
          <w:rFonts w:cs="Charis SIL"/>
          <w:lang w:val="de-DE"/>
        </w:rPr>
        <w:t>Viele schlechte Hunde haben den Namen Köter.</w:t>
      </w:r>
      <w:r w:rsidR="006057AB" w:rsidRPr="00FB4EFA">
        <w:rPr>
          <w:rFonts w:cs="Charis SIL"/>
          <w:lang w:val="de-DE"/>
        </w:rPr>
        <w:t>’</w:t>
      </w:r>
    </w:p>
    <w:p w14:paraId="0E8AD23F" w14:textId="5B6E5837" w:rsidR="00CB6469" w:rsidRPr="00FB4EFA" w:rsidRDefault="00CB6469" w:rsidP="00AF0CAD">
      <w:pPr>
        <w:spacing w:line="240" w:lineRule="auto"/>
        <w:ind w:left="993" w:right="108" w:hanging="284"/>
        <w:rPr>
          <w:rFonts w:cs="Charis SIL"/>
          <w:b/>
          <w:lang w:val="de-DE"/>
        </w:rPr>
      </w:pPr>
      <w:r w:rsidRPr="00FB4EFA">
        <w:rPr>
          <w:rFonts w:cs="Charis SIL"/>
          <w:i/>
        </w:rPr>
        <w:t>Tarkán kurtát cserélt</w:t>
      </w:r>
      <w:r w:rsidRPr="00FB4EFA">
        <w:rPr>
          <w:rFonts w:cs="Charis SIL"/>
        </w:rPr>
        <w:t xml:space="preserve">. (Eben kutyát.) </w:t>
      </w:r>
      <w:r w:rsidR="006057AB" w:rsidRPr="00FB4EFA">
        <w:rPr>
          <w:rFonts w:cs="Charis SIL"/>
          <w:lang w:val="de-DE"/>
        </w:rPr>
        <w:t>‘</w:t>
      </w:r>
      <w:r w:rsidRPr="00FB4EFA">
        <w:rPr>
          <w:rFonts w:cs="Charis SIL"/>
          <w:lang w:val="de-DE"/>
        </w:rPr>
        <w:t>Einen schlechten Hund hat er für einen anderen getauscht.</w:t>
      </w:r>
      <w:r w:rsidR="006057AB" w:rsidRPr="00FB4EFA">
        <w:rPr>
          <w:rFonts w:cs="Charis SIL"/>
          <w:lang w:val="de-DE"/>
        </w:rPr>
        <w:t>’</w:t>
      </w:r>
    </w:p>
    <w:p w14:paraId="7EB07B06" w14:textId="635AFF8A" w:rsidR="00CB6469" w:rsidRPr="00FB4EFA" w:rsidRDefault="00CB6469" w:rsidP="00396C68">
      <w:pPr>
        <w:spacing w:before="240"/>
        <w:rPr>
          <w:rFonts w:cs="Charis SIL"/>
        </w:rPr>
      </w:pPr>
      <w:r w:rsidRPr="00FB4EFA">
        <w:rPr>
          <w:rFonts w:cs="Charis SIL"/>
          <w:lang w:val="de-DE"/>
        </w:rPr>
        <w:t xml:space="preserve">Da heute der substantivische Gebrauch von </w:t>
      </w:r>
      <w:r w:rsidRPr="00FB4EFA">
        <w:rPr>
          <w:rFonts w:cs="Charis SIL"/>
          <w:i/>
          <w:lang w:val="de-DE"/>
        </w:rPr>
        <w:t>kurta</w:t>
      </w:r>
      <w:r w:rsidRPr="00FB4EFA">
        <w:rPr>
          <w:rFonts w:cs="Charis SIL"/>
          <w:lang w:val="de-DE"/>
        </w:rPr>
        <w:t xml:space="preserve"> fast völlig </w:t>
      </w:r>
      <w:r w:rsidR="008E5D73" w:rsidRPr="00FB4EFA">
        <w:rPr>
          <w:rFonts w:cs="Charis SIL"/>
          <w:lang w:val="de-DE"/>
        </w:rPr>
        <w:t>verschwunden</w:t>
      </w:r>
      <w:r w:rsidRPr="00FB4EFA">
        <w:rPr>
          <w:rFonts w:cs="Charis SIL"/>
          <w:lang w:val="de-DE"/>
        </w:rPr>
        <w:t xml:space="preserve"> ist, </w:t>
      </w:r>
      <w:r w:rsidR="008E5D73" w:rsidRPr="00FB4EFA">
        <w:rPr>
          <w:rFonts w:cs="Charis SIL"/>
          <w:lang w:val="de-DE"/>
        </w:rPr>
        <w:t>gibt es</w:t>
      </w:r>
      <w:r w:rsidRPr="00FB4EFA">
        <w:rPr>
          <w:rFonts w:cs="Charis SIL"/>
          <w:lang w:val="de-DE"/>
        </w:rPr>
        <w:t xml:space="preserve"> auch diese Wendungen </w:t>
      </w:r>
      <w:r w:rsidR="008E5D73" w:rsidRPr="00FB4EFA">
        <w:rPr>
          <w:rFonts w:cs="Charis SIL"/>
          <w:lang w:val="de-DE"/>
        </w:rPr>
        <w:t>im</w:t>
      </w:r>
      <w:r w:rsidRPr="00FB4EFA">
        <w:rPr>
          <w:rFonts w:cs="Charis SIL"/>
          <w:lang w:val="de-DE"/>
        </w:rPr>
        <w:t xml:space="preserve"> Ungarischen </w:t>
      </w:r>
      <w:r w:rsidR="008E5D73" w:rsidRPr="00FB4EFA">
        <w:rPr>
          <w:rFonts w:cs="Charis SIL"/>
          <w:lang w:val="de-DE"/>
        </w:rPr>
        <w:t>nicht mehr</w:t>
      </w:r>
      <w:r w:rsidRPr="00FB4EFA">
        <w:rPr>
          <w:rFonts w:cs="Charis SIL"/>
          <w:lang w:val="de-DE"/>
        </w:rPr>
        <w:t xml:space="preserve">. Aber auch hier gilt die obige </w:t>
      </w:r>
      <w:r w:rsidR="008E5D73" w:rsidRPr="00FB4EFA">
        <w:rPr>
          <w:rFonts w:cs="Charis SIL"/>
          <w:lang w:val="de-DE"/>
        </w:rPr>
        <w:t>Aussage</w:t>
      </w:r>
      <w:r w:rsidRPr="00FB4EFA">
        <w:rPr>
          <w:rFonts w:cs="Charis SIL"/>
          <w:lang w:val="de-DE"/>
        </w:rPr>
        <w:t xml:space="preserve">, dass eine Wendung – vermutlich aufgrund </w:t>
      </w:r>
      <w:r w:rsidR="008E5D73" w:rsidRPr="00FB4EFA">
        <w:rPr>
          <w:rFonts w:cs="Charis SIL"/>
          <w:lang w:val="de-DE"/>
        </w:rPr>
        <w:t>ihres</w:t>
      </w:r>
      <w:r w:rsidRPr="00FB4EFA">
        <w:rPr>
          <w:rFonts w:cs="Charis SIL"/>
          <w:lang w:val="de-DE"/>
        </w:rPr>
        <w:t xml:space="preserve"> häufigeren Gebrauchs – auch dann überleben kann, wenn die darin enthaltene Komponente die im Phrasem vorhandene Bedeutung verliert. Die Wendung </w:t>
      </w:r>
      <w:r w:rsidRPr="00FB4EFA">
        <w:rPr>
          <w:rFonts w:cs="Charis SIL"/>
          <w:i/>
          <w:lang w:val="de-DE"/>
        </w:rPr>
        <w:t>Kaparj kurta, neked is lesz</w:t>
      </w:r>
      <w:r w:rsidRPr="00FB4EFA">
        <w:rPr>
          <w:rFonts w:cs="Charis SIL"/>
          <w:lang w:val="de-DE"/>
        </w:rPr>
        <w:t xml:space="preserve"> </w:t>
      </w:r>
      <w:r w:rsidR="006057AB" w:rsidRPr="00FB4EFA">
        <w:rPr>
          <w:rFonts w:cs="Charis SIL"/>
          <w:lang w:val="de-DE"/>
        </w:rPr>
        <w:t>‘</w:t>
      </w:r>
      <w:r w:rsidRPr="00FB4EFA">
        <w:rPr>
          <w:rFonts w:cs="Charis SIL"/>
          <w:lang w:val="de-DE"/>
        </w:rPr>
        <w:t>etwa: Scharre Köter, dann wirst du es auch haben</w:t>
      </w:r>
      <w:r w:rsidR="006057AB" w:rsidRPr="00FB4EFA">
        <w:rPr>
          <w:rFonts w:cs="Charis SIL"/>
          <w:lang w:val="de-DE"/>
        </w:rPr>
        <w:t>’</w:t>
      </w:r>
      <w:r w:rsidRPr="00FB4EFA">
        <w:rPr>
          <w:rFonts w:cs="Charis SIL"/>
          <w:lang w:val="de-DE"/>
        </w:rPr>
        <w:t xml:space="preserve"> wird zum Beispiel auch heute häufig </w:t>
      </w:r>
      <w:r w:rsidR="00AD79E8" w:rsidRPr="00FB4EFA">
        <w:rPr>
          <w:rFonts w:cs="Charis SIL"/>
          <w:lang w:val="de-DE"/>
        </w:rPr>
        <w:br/>
      </w:r>
      <w:r w:rsidRPr="00FB4EFA">
        <w:rPr>
          <w:rFonts w:cs="Charis SIL"/>
          <w:lang w:val="de-DE"/>
        </w:rPr>
        <w:t>gebraucht</w:t>
      </w:r>
      <w:r w:rsidR="008E5D73" w:rsidRPr="00FB4EFA">
        <w:rPr>
          <w:rFonts w:cs="Charis SIL"/>
          <w:lang w:val="de-DE"/>
        </w:rPr>
        <w:t>,</w:t>
      </w:r>
      <w:r w:rsidRPr="00FB4EFA">
        <w:rPr>
          <w:rFonts w:cs="Charis SIL"/>
          <w:lang w:val="de-DE"/>
        </w:rPr>
        <w:t xml:space="preserve"> und</w:t>
      </w:r>
      <w:r w:rsidR="000121EA" w:rsidRPr="00FB4EFA">
        <w:rPr>
          <w:rFonts w:cs="Charis SIL"/>
          <w:lang w:val="de-DE"/>
        </w:rPr>
        <w:t xml:space="preserve"> </w:t>
      </w:r>
      <w:r w:rsidRPr="00FB4EFA">
        <w:rPr>
          <w:rFonts w:cs="Charis SIL"/>
          <w:lang w:val="de-DE"/>
        </w:rPr>
        <w:t xml:space="preserve">darin kann man die Bedeutung </w:t>
      </w:r>
      <w:r w:rsidR="006057AB" w:rsidRPr="00FB4EFA">
        <w:rPr>
          <w:rFonts w:cs="Charis SIL"/>
          <w:lang w:val="de-DE"/>
        </w:rPr>
        <w:t>‘</w:t>
      </w:r>
      <w:r w:rsidRPr="00FB4EFA">
        <w:rPr>
          <w:rFonts w:cs="Charis SIL"/>
          <w:lang w:val="de-DE"/>
        </w:rPr>
        <w:t>kleinwüchsiger Hund</w:t>
      </w:r>
      <w:r w:rsidR="006057AB" w:rsidRPr="00FB4EFA">
        <w:rPr>
          <w:rFonts w:cs="Charis SIL"/>
          <w:lang w:val="de-DE"/>
        </w:rPr>
        <w:t>’</w:t>
      </w:r>
      <w:r w:rsidRPr="00FB4EFA">
        <w:rPr>
          <w:rFonts w:cs="Charis SIL"/>
          <w:lang w:val="de-DE"/>
        </w:rPr>
        <w:t xml:space="preserve"> ebenfalls noch nachweisen.</w:t>
      </w:r>
    </w:p>
    <w:p w14:paraId="536C819A" w14:textId="7BF6AB2C" w:rsidR="00CB6469" w:rsidRPr="00FB4EFA" w:rsidRDefault="00CB6469" w:rsidP="00396C68">
      <w:pPr>
        <w:ind w:firstLine="709"/>
        <w:rPr>
          <w:rFonts w:cs="Charis SIL"/>
        </w:rPr>
      </w:pPr>
      <w:r w:rsidRPr="00FB4EFA">
        <w:rPr>
          <w:rFonts w:cs="Charis SIL"/>
          <w:lang w:val="de-DE"/>
        </w:rPr>
        <w:t xml:space="preserve">Dazu kommt noch, dass das situative Klischee </w:t>
      </w:r>
      <w:r w:rsidRPr="00FB4EFA">
        <w:rPr>
          <w:rFonts w:cs="Charis SIL"/>
          <w:i/>
          <w:lang w:val="de-DE"/>
        </w:rPr>
        <w:t>Eb ura kurta</w:t>
      </w:r>
      <w:r w:rsidRPr="00FB4EFA">
        <w:rPr>
          <w:rFonts w:cs="Charis SIL"/>
          <w:lang w:val="de-DE"/>
        </w:rPr>
        <w:t xml:space="preserve"> heute nicht mehr üblich ist, sondern stattdessen die Wendung </w:t>
      </w:r>
      <w:r w:rsidRPr="00FB4EFA">
        <w:rPr>
          <w:rFonts w:cs="Charis SIL"/>
          <w:i/>
          <w:lang w:val="de-DE"/>
        </w:rPr>
        <w:t xml:space="preserve">Eb ura fakó </w:t>
      </w:r>
      <w:r w:rsidRPr="00FB4EFA">
        <w:rPr>
          <w:rFonts w:cs="Charis SIL"/>
          <w:lang w:val="de-DE"/>
        </w:rPr>
        <w:t xml:space="preserve">verwendet wird. In dieser weist </w:t>
      </w:r>
      <w:r w:rsidRPr="00FB4EFA">
        <w:rPr>
          <w:rFonts w:cs="Charis SIL"/>
          <w:i/>
          <w:lang w:val="de-DE"/>
        </w:rPr>
        <w:t>fakó</w:t>
      </w:r>
      <w:r w:rsidRPr="00FB4EFA">
        <w:rPr>
          <w:rFonts w:cs="Charis SIL"/>
          <w:lang w:val="de-DE"/>
        </w:rPr>
        <w:t xml:space="preserve"> </w:t>
      </w:r>
      <w:r w:rsidR="008E5D73" w:rsidRPr="00FB4EFA">
        <w:rPr>
          <w:rFonts w:cs="Charis SIL"/>
          <w:lang w:val="de-DE"/>
        </w:rPr>
        <w:t xml:space="preserve">aber </w:t>
      </w:r>
      <w:r w:rsidRPr="00FB4EFA">
        <w:rPr>
          <w:rFonts w:cs="Charis SIL"/>
          <w:lang w:val="de-DE"/>
        </w:rPr>
        <w:t xml:space="preserve">ursprünglich auch die Bedeutung </w:t>
      </w:r>
      <w:r w:rsidR="006057AB" w:rsidRPr="00FB4EFA">
        <w:rPr>
          <w:rFonts w:cs="Charis SIL"/>
          <w:lang w:val="de-DE"/>
        </w:rPr>
        <w:t>‘</w:t>
      </w:r>
      <w:r w:rsidRPr="00FB4EFA">
        <w:rPr>
          <w:rFonts w:cs="Charis SIL"/>
          <w:lang w:val="de-DE"/>
        </w:rPr>
        <w:t>schlechter Hund, Köter</w:t>
      </w:r>
      <w:r w:rsidR="006057AB" w:rsidRPr="00FB4EFA">
        <w:rPr>
          <w:rFonts w:cs="Charis SIL"/>
          <w:lang w:val="de-DE"/>
        </w:rPr>
        <w:t>’</w:t>
      </w:r>
      <w:r w:rsidRPr="00FB4EFA">
        <w:rPr>
          <w:rFonts w:cs="Charis SIL"/>
          <w:lang w:val="de-DE"/>
        </w:rPr>
        <w:t xml:space="preserve"> auf (vgl. O. Nagy 1979: 127). Für die meisten Sprachteilhaber ist diese Bedeutung ebenso nicht klar wie auch die substantivische Bedeutung von </w:t>
      </w:r>
      <w:r w:rsidRPr="00FB4EFA">
        <w:rPr>
          <w:rFonts w:cs="Charis SIL"/>
          <w:i/>
          <w:lang w:val="de-DE"/>
        </w:rPr>
        <w:t>kurta</w:t>
      </w:r>
      <w:r w:rsidRPr="00FB4EFA">
        <w:rPr>
          <w:rFonts w:cs="Charis SIL"/>
          <w:lang w:val="de-DE"/>
        </w:rPr>
        <w:t>, trotzdem wird das zweite Phrasem im Ungarischen auch heute häufig verwendet.</w:t>
      </w:r>
    </w:p>
    <w:p w14:paraId="04B4C47F" w14:textId="0F7EB879" w:rsidR="00CB6469" w:rsidRPr="00FB4EFA" w:rsidRDefault="00CB6469" w:rsidP="00396C68">
      <w:pPr>
        <w:ind w:firstLine="709"/>
        <w:rPr>
          <w:rFonts w:cs="Charis SIL"/>
        </w:rPr>
      </w:pPr>
      <w:r w:rsidRPr="00FB4EFA">
        <w:rPr>
          <w:rFonts w:cs="Charis SIL"/>
          <w:lang w:val="de-DE"/>
        </w:rPr>
        <w:t xml:space="preserve">Auch aus dem Deutschen haben wir ähnliche Beispiele. Im gleichen Sinne wie im Phrasem werden auch die Komponenten der Zwillingsformel </w:t>
      </w:r>
      <w:r w:rsidRPr="00FB4EFA">
        <w:rPr>
          <w:rFonts w:cs="Charis SIL"/>
          <w:i/>
          <w:lang w:val="de-DE"/>
        </w:rPr>
        <w:t>gang und gäbe</w:t>
      </w:r>
      <w:r w:rsidRPr="00FB4EFA">
        <w:rPr>
          <w:rFonts w:cs="Charis SIL"/>
          <w:lang w:val="de-DE"/>
        </w:rPr>
        <w:t xml:space="preserve"> heute nicht mehr verwendet, dennoch ist die Wendung auch heute noch lebendig. Wie Röhrich feststellt (1991</w:t>
      </w:r>
      <w:r w:rsidR="00216577" w:rsidRPr="00FB4EFA">
        <w:rPr>
          <w:lang w:val="de-DE"/>
        </w:rPr>
        <w:t>–1992</w:t>
      </w:r>
      <w:r w:rsidRPr="00FB4EFA">
        <w:rPr>
          <w:rFonts w:cs="Charis SIL"/>
          <w:lang w:val="de-DE"/>
        </w:rPr>
        <w:t xml:space="preserve">: 502), ist die stabreimende Zwillingsformel „zusammengesetzt aus </w:t>
      </w:r>
      <w:r w:rsidRPr="00FB4EFA">
        <w:rPr>
          <w:rFonts w:cs="Charis SIL"/>
          <w:i/>
          <w:lang w:val="de-DE"/>
        </w:rPr>
        <w:t>gang</w:t>
      </w:r>
      <w:r w:rsidRPr="00FB4EFA">
        <w:rPr>
          <w:rFonts w:cs="Charis SIL"/>
          <w:lang w:val="de-DE"/>
        </w:rPr>
        <w:t xml:space="preserve">, althochdeutsch </w:t>
      </w:r>
      <w:r w:rsidRPr="00FB4EFA">
        <w:rPr>
          <w:rFonts w:cs="Charis SIL"/>
          <w:i/>
          <w:lang w:val="de-DE"/>
        </w:rPr>
        <w:t>gangi</w:t>
      </w:r>
      <w:r w:rsidRPr="00FB4EFA">
        <w:rPr>
          <w:rFonts w:cs="Charis SIL"/>
          <w:lang w:val="de-DE"/>
        </w:rPr>
        <w:t xml:space="preserve">, mittelhochdeutsch </w:t>
      </w:r>
      <w:r w:rsidRPr="00FB4EFA">
        <w:rPr>
          <w:rFonts w:cs="Charis SIL"/>
          <w:i/>
          <w:lang w:val="de-DE"/>
        </w:rPr>
        <w:t>genge</w:t>
      </w:r>
      <w:r w:rsidRPr="00FB4EFA">
        <w:rPr>
          <w:rFonts w:cs="Charis SIL"/>
          <w:lang w:val="de-DE"/>
        </w:rPr>
        <w:t xml:space="preserve">, gemeint ist eigentlich: was unter den Leuten umläuft, und </w:t>
      </w:r>
      <w:r w:rsidRPr="00FB4EFA">
        <w:rPr>
          <w:rFonts w:cs="Charis SIL"/>
          <w:i/>
          <w:lang w:val="de-DE"/>
        </w:rPr>
        <w:t>gäbe</w:t>
      </w:r>
      <w:r w:rsidRPr="00FB4EFA">
        <w:rPr>
          <w:rFonts w:cs="Charis SIL"/>
          <w:lang w:val="de-DE"/>
        </w:rPr>
        <w:t xml:space="preserve">, mittelhochdeutsch </w:t>
      </w:r>
      <w:r w:rsidRPr="00FB4EFA">
        <w:rPr>
          <w:rFonts w:cs="Charis SIL"/>
          <w:i/>
          <w:lang w:val="de-DE"/>
        </w:rPr>
        <w:t>gaebe</w:t>
      </w:r>
      <w:r w:rsidRPr="00FB4EFA">
        <w:rPr>
          <w:rFonts w:cs="Charis SIL"/>
          <w:lang w:val="de-DE"/>
        </w:rPr>
        <w:t xml:space="preserve"> = angenehm, gültig, eigentlich: was gegeben werden kann. </w:t>
      </w:r>
      <w:r w:rsidR="006057AB" w:rsidRPr="00FB4EFA">
        <w:rPr>
          <w:rFonts w:cs="Charis SIL"/>
          <w:lang w:val="de-DE"/>
        </w:rPr>
        <w:t>‘</w:t>
      </w:r>
      <w:r w:rsidRPr="00FB4EFA">
        <w:rPr>
          <w:rFonts w:cs="Charis SIL"/>
          <w:lang w:val="de-DE"/>
        </w:rPr>
        <w:t>Gäng und gäbe</w:t>
      </w:r>
      <w:r w:rsidR="006057AB" w:rsidRPr="00FB4EFA">
        <w:rPr>
          <w:rFonts w:cs="Charis SIL"/>
          <w:lang w:val="de-DE"/>
        </w:rPr>
        <w:t>’</w:t>
      </w:r>
      <w:r w:rsidRPr="00FB4EFA">
        <w:rPr>
          <w:rFonts w:cs="Charis SIL"/>
          <w:lang w:val="de-DE"/>
        </w:rPr>
        <w:t xml:space="preserve"> war </w:t>
      </w:r>
      <w:r w:rsidRPr="00FB4EFA">
        <w:rPr>
          <w:rFonts w:cs="Charis SIL"/>
          <w:lang w:val="de-DE"/>
        </w:rPr>
        <w:lastRenderedPageBreak/>
        <w:t>ursprünglich ein Begriff des Münzwesens und bezeichnete die augenblicklich im Umlauf befindliche, gültige Währung [</w:t>
      </w:r>
      <w:r w:rsidR="00950296" w:rsidRPr="00FB4EFA">
        <w:rPr>
          <w:rFonts w:cs="Charis SIL"/>
          <w:lang w:val="de-DE"/>
        </w:rPr>
        <w:t>…</w:t>
      </w:r>
      <w:r w:rsidRPr="00FB4EFA">
        <w:rPr>
          <w:rFonts w:cs="Charis SIL"/>
          <w:lang w:val="de-DE"/>
        </w:rPr>
        <w:t>]</w:t>
      </w:r>
      <w:r w:rsidR="000121EA" w:rsidRPr="00FB4EFA">
        <w:rPr>
          <w:rFonts w:cs="Charis SIL"/>
          <w:lang w:val="de-DE"/>
        </w:rPr>
        <w:t xml:space="preserve"> </w:t>
      </w:r>
      <w:r w:rsidRPr="00FB4EFA">
        <w:rPr>
          <w:rFonts w:cs="Charis SIL"/>
          <w:lang w:val="de-DE"/>
        </w:rPr>
        <w:t xml:space="preserve">Später findet die Formel auch in der Geschäftssprache zur Bezeichnung von Waren Verwendung; heute wird sie von umlaufenden Münzen nicht mehr </w:t>
      </w:r>
      <w:r w:rsidR="00AD79E8" w:rsidRPr="00FB4EFA">
        <w:rPr>
          <w:rFonts w:cs="Charis SIL"/>
          <w:lang w:val="de-DE"/>
        </w:rPr>
        <w:br/>
      </w:r>
      <w:r w:rsidRPr="00FB4EFA">
        <w:rPr>
          <w:rFonts w:cs="Charis SIL"/>
          <w:lang w:val="de-DE"/>
        </w:rPr>
        <w:t xml:space="preserve">gebraucht, dafür aber in übertragener Anwendung auf alle Bereiche </w:t>
      </w:r>
      <w:r w:rsidR="00AD79E8" w:rsidRPr="00FB4EFA">
        <w:rPr>
          <w:rFonts w:cs="Charis SIL"/>
          <w:lang w:val="de-DE"/>
        </w:rPr>
        <w:br/>
      </w:r>
      <w:r w:rsidRPr="00FB4EFA">
        <w:rPr>
          <w:rFonts w:cs="Charis SIL"/>
          <w:lang w:val="de-DE"/>
        </w:rPr>
        <w:t xml:space="preserve">des täglichen Lebens, für alles, was Sitte und Brauch ist oder von der </w:t>
      </w:r>
      <w:r w:rsidR="00AD79E8" w:rsidRPr="00FB4EFA">
        <w:rPr>
          <w:rFonts w:cs="Charis SIL"/>
          <w:lang w:val="de-DE"/>
        </w:rPr>
        <w:br/>
      </w:r>
      <w:r w:rsidRPr="00FB4EFA">
        <w:rPr>
          <w:rFonts w:cs="Charis SIL"/>
          <w:lang w:val="de-DE"/>
        </w:rPr>
        <w:t>augenblicklichen Mode bestimmt wird</w:t>
      </w:r>
      <w:r w:rsidR="00D2687C" w:rsidRPr="00FB4EFA">
        <w:rPr>
          <w:lang w:val="de-DE"/>
        </w:rPr>
        <w:t>“</w:t>
      </w:r>
      <w:r w:rsidRPr="00FB4EFA">
        <w:rPr>
          <w:rFonts w:cs="Charis SIL"/>
          <w:lang w:val="de-DE"/>
        </w:rPr>
        <w:t>.</w:t>
      </w:r>
    </w:p>
    <w:p w14:paraId="25E2DD8F" w14:textId="30047322" w:rsidR="00CB6469" w:rsidRPr="00FB4EFA" w:rsidRDefault="00CB6469" w:rsidP="00396C68">
      <w:pPr>
        <w:ind w:firstLine="709"/>
        <w:rPr>
          <w:rFonts w:cs="Charis SIL"/>
        </w:rPr>
      </w:pPr>
      <w:r w:rsidRPr="00FB4EFA">
        <w:rPr>
          <w:rFonts w:cs="Charis SIL"/>
          <w:lang w:val="de-DE"/>
        </w:rPr>
        <w:t>Auch letztere Beispiele veranschaulichen, dass der Verlust einer Bedeutung, die in einer Komponente eines Phrasems auftaucht, nicht unbedingt zur Eliminierung dieser Wendung führt</w:t>
      </w:r>
      <w:r w:rsidR="006E72A0" w:rsidRPr="00FB4EFA">
        <w:rPr>
          <w:rFonts w:cs="Charis SIL"/>
          <w:lang w:val="de-DE"/>
        </w:rPr>
        <w:t>.</w:t>
      </w:r>
      <w:r w:rsidRPr="00FB4EFA">
        <w:rPr>
          <w:rFonts w:cs="Charis SIL"/>
          <w:lang w:val="de-DE"/>
        </w:rPr>
        <w:t xml:space="preserve"> Die Wortverbindung wird dadurch vielleicht nur undurchsichtig (opak), wie das auch im </w:t>
      </w:r>
      <w:r w:rsidR="00396C68" w:rsidRPr="00FB4EFA">
        <w:rPr>
          <w:rFonts w:cs="Charis SIL"/>
          <w:lang w:val="de-DE"/>
        </w:rPr>
        <w:br/>
      </w:r>
      <w:r w:rsidRPr="00FB4EFA">
        <w:rPr>
          <w:rFonts w:cs="Charis SIL"/>
          <w:lang w:val="de-DE"/>
        </w:rPr>
        <w:t xml:space="preserve">Zusammenhang mit ausgestorbenen Lexemkomponenten der Fall war (vgl. </w:t>
      </w:r>
      <w:r w:rsidRPr="00FB4EFA">
        <w:rPr>
          <w:rFonts w:cs="Charis SIL"/>
          <w:i/>
          <w:lang w:val="de-DE"/>
        </w:rPr>
        <w:t>vargabetűt csinál</w:t>
      </w:r>
      <w:r w:rsidRPr="00FB4EFA">
        <w:rPr>
          <w:rFonts w:cs="Charis SIL"/>
          <w:lang w:val="de-DE"/>
        </w:rPr>
        <w:t xml:space="preserve"> </w:t>
      </w:r>
      <w:r w:rsidR="006057AB" w:rsidRPr="00FB4EFA">
        <w:rPr>
          <w:rFonts w:cs="Charis SIL"/>
          <w:lang w:val="de-DE"/>
        </w:rPr>
        <w:t>‘</w:t>
      </w:r>
      <w:r w:rsidRPr="00FB4EFA">
        <w:rPr>
          <w:rFonts w:cs="Charis SIL"/>
          <w:lang w:val="de-DE"/>
        </w:rPr>
        <w:t>einen Umweg machen</w:t>
      </w:r>
      <w:r w:rsidR="006057AB" w:rsidRPr="00FB4EFA">
        <w:rPr>
          <w:rFonts w:cs="Charis SIL"/>
          <w:lang w:val="de-DE"/>
        </w:rPr>
        <w:t>’</w:t>
      </w:r>
      <w:r w:rsidRPr="00FB4EFA">
        <w:rPr>
          <w:rFonts w:cs="Charis SIL"/>
          <w:lang w:val="de-DE"/>
        </w:rPr>
        <w:t>).</w:t>
      </w:r>
    </w:p>
    <w:p w14:paraId="0B5A6AE1" w14:textId="79845C4F" w:rsidR="00CB6469" w:rsidRPr="00FB4EFA" w:rsidRDefault="00CB6469" w:rsidP="00AC1192">
      <w:pPr>
        <w:pStyle w:val="Heading2"/>
        <w:numPr>
          <w:ilvl w:val="0"/>
          <w:numId w:val="27"/>
        </w:numPr>
        <w:suppressAutoHyphens/>
        <w:spacing w:line="259" w:lineRule="auto"/>
        <w:rPr>
          <w:b/>
          <w:color w:val="auto"/>
          <w:lang w:val="de-DE"/>
        </w:rPr>
      </w:pPr>
      <w:r w:rsidRPr="00FB4EFA">
        <w:rPr>
          <w:color w:val="auto"/>
          <w:lang w:val="de-DE"/>
        </w:rPr>
        <w:t>Semantisch eng verbundene Phraseme konkurrieren miteinander, was zum Aussterben einiger Wendungen führen kann</w:t>
      </w:r>
      <w:bookmarkStart w:id="54" w:name="_Toc60253040"/>
      <w:bookmarkEnd w:id="54"/>
    </w:p>
    <w:p w14:paraId="51772554" w14:textId="36FB6D60" w:rsidR="000121EA" w:rsidRPr="00FB4EFA" w:rsidRDefault="00CB6469" w:rsidP="00396C68">
      <w:pPr>
        <w:rPr>
          <w:rFonts w:cs="Charis SIL"/>
          <w:lang w:val="de-DE"/>
        </w:rPr>
      </w:pPr>
      <w:r w:rsidRPr="00FB4EFA">
        <w:rPr>
          <w:lang w:val="de-DE"/>
        </w:rPr>
        <w:t>Einige Phraseme können durch synonyme Wendungen oder sogar univerbierte Konstruktionen verdrängt werden. Dies gilt insbesondere für Phraseme mit gleicher Bedeutung und ähnlicher oder identischer morphosyntaktischer Stru</w:t>
      </w:r>
      <w:r w:rsidRPr="00FB4EFA">
        <w:rPr>
          <w:rFonts w:cs="Charis SIL"/>
          <w:lang w:val="de-DE"/>
        </w:rPr>
        <w:t xml:space="preserve">ktur. Von diesen leben laut Bierich (2012: 90) diejenigen Phraseme weiter, die einen stärkeren, intensiveren Bildgehalt haben. Natürlich ist dies auch eine Frage der subjektiven Beurteilung, aber es ist unbestritten, dass in der russischen Sprache des 18. </w:t>
      </w:r>
      <w:r w:rsidR="00AD79E8" w:rsidRPr="00FB4EFA">
        <w:rPr>
          <w:rFonts w:cs="Charis SIL"/>
          <w:lang w:val="de-DE"/>
        </w:rPr>
        <w:br/>
      </w:r>
      <w:r w:rsidRPr="00FB4EFA">
        <w:rPr>
          <w:rFonts w:cs="Charis SIL"/>
          <w:lang w:val="de-DE"/>
        </w:rPr>
        <w:t xml:space="preserve">Jahrhunderts die Wendungen </w:t>
      </w:r>
      <w:r w:rsidRPr="00FB4EFA">
        <w:rPr>
          <w:rFonts w:cs="Charis SIL"/>
          <w:i/>
          <w:lang w:val="de-DE"/>
        </w:rPr>
        <w:t>запиши в уме</w:t>
      </w:r>
      <w:r w:rsidRPr="00FB4EFA">
        <w:rPr>
          <w:rFonts w:cs="Charis SIL"/>
          <w:lang w:val="de-DE"/>
        </w:rPr>
        <w:t xml:space="preserve"> [wörtl: </w:t>
      </w:r>
      <w:r w:rsidR="006057AB" w:rsidRPr="00FB4EFA">
        <w:rPr>
          <w:rFonts w:cs="Charis SIL"/>
          <w:lang w:val="de-DE"/>
        </w:rPr>
        <w:t>‘</w:t>
      </w:r>
      <w:r w:rsidRPr="00FB4EFA">
        <w:rPr>
          <w:rFonts w:cs="Charis SIL"/>
          <w:lang w:val="de-DE"/>
        </w:rPr>
        <w:t xml:space="preserve">schreibe das in </w:t>
      </w:r>
      <w:r w:rsidR="00AD79E8" w:rsidRPr="00FB4EFA">
        <w:rPr>
          <w:rFonts w:cs="Charis SIL"/>
          <w:lang w:val="de-DE"/>
        </w:rPr>
        <w:br/>
      </w:r>
      <w:r w:rsidRPr="00FB4EFA">
        <w:rPr>
          <w:rFonts w:cs="Charis SIL"/>
          <w:lang w:val="de-DE"/>
        </w:rPr>
        <w:t>deinem Grips/Verstand auf</w:t>
      </w:r>
      <w:r w:rsidR="006057AB" w:rsidRPr="00FB4EFA">
        <w:rPr>
          <w:rFonts w:cs="Charis SIL"/>
          <w:lang w:val="de-DE"/>
        </w:rPr>
        <w:t>’</w:t>
      </w:r>
      <w:r w:rsidRPr="00FB4EFA">
        <w:rPr>
          <w:rFonts w:cs="Charis SIL"/>
          <w:lang w:val="de-DE"/>
        </w:rPr>
        <w:t xml:space="preserve">] und </w:t>
      </w:r>
      <w:r w:rsidRPr="00FB4EFA">
        <w:rPr>
          <w:rFonts w:cs="Charis SIL"/>
          <w:i/>
          <w:lang w:val="de-DE"/>
        </w:rPr>
        <w:t>заруби себе на нос/носу</w:t>
      </w:r>
      <w:r w:rsidRPr="00FB4EFA">
        <w:rPr>
          <w:rFonts w:cs="Charis SIL"/>
          <w:lang w:val="de-DE"/>
        </w:rPr>
        <w:t xml:space="preserve"> [wörtl: </w:t>
      </w:r>
      <w:r w:rsidR="00AD79E8" w:rsidRPr="00FB4EFA">
        <w:rPr>
          <w:rFonts w:cs="Charis SIL"/>
          <w:lang w:val="de-DE"/>
        </w:rPr>
        <w:br/>
      </w:r>
      <w:r w:rsidR="006057AB" w:rsidRPr="00FB4EFA">
        <w:rPr>
          <w:rFonts w:cs="Charis SIL"/>
          <w:lang w:val="de-DE"/>
        </w:rPr>
        <w:t>‘</w:t>
      </w:r>
      <w:r w:rsidRPr="00FB4EFA">
        <w:rPr>
          <w:rFonts w:cs="Charis SIL"/>
          <w:lang w:val="de-DE"/>
        </w:rPr>
        <w:t>meißele/graviere das in deine Nase</w:t>
      </w:r>
      <w:r w:rsidR="006057AB" w:rsidRPr="00FB4EFA">
        <w:rPr>
          <w:rFonts w:cs="Charis SIL"/>
          <w:lang w:val="de-DE"/>
        </w:rPr>
        <w:t>’</w:t>
      </w:r>
      <w:r w:rsidRPr="00FB4EFA">
        <w:rPr>
          <w:rFonts w:cs="Charis SIL"/>
          <w:lang w:val="de-DE"/>
        </w:rPr>
        <w:t xml:space="preserve">] gleichermaßen gebraucht wurden, während heute nur noch die expressivere Version von </w:t>
      </w:r>
      <w:r w:rsidRPr="00FB4EFA">
        <w:rPr>
          <w:rFonts w:cs="Charis SIL"/>
          <w:i/>
          <w:lang w:val="de-DE"/>
        </w:rPr>
        <w:t>заруби себе на носу</w:t>
      </w:r>
      <w:r w:rsidRPr="00FB4EFA">
        <w:rPr>
          <w:rFonts w:cs="Charis SIL"/>
          <w:lang w:val="de-DE"/>
        </w:rPr>
        <w:t xml:space="preserve"> verwendet wird.</w:t>
      </w:r>
    </w:p>
    <w:p w14:paraId="4475D378" w14:textId="1454BE45" w:rsidR="000121EA" w:rsidRPr="00FB4EFA" w:rsidRDefault="00CB6469" w:rsidP="00396C68">
      <w:pPr>
        <w:ind w:firstLine="709"/>
        <w:rPr>
          <w:rFonts w:cs="Charis SIL"/>
          <w:lang w:val="de-DE"/>
        </w:rPr>
      </w:pPr>
      <w:r w:rsidRPr="00FB4EFA">
        <w:rPr>
          <w:rFonts w:cs="Charis SIL"/>
          <w:lang w:val="de-DE"/>
        </w:rPr>
        <w:t xml:space="preserve">Ebenso wurde die im Mittelhochdeutschen in der Bedeutung </w:t>
      </w:r>
      <w:r w:rsidR="006057AB" w:rsidRPr="00FB4EFA">
        <w:rPr>
          <w:rFonts w:cs="Charis SIL"/>
          <w:lang w:val="de-DE"/>
        </w:rPr>
        <w:t>‘</w:t>
      </w:r>
      <w:r w:rsidRPr="00FB4EFA">
        <w:rPr>
          <w:rFonts w:cs="Charis SIL"/>
          <w:lang w:val="de-DE"/>
        </w:rPr>
        <w:t>träumen, phantasieren</w:t>
      </w:r>
      <w:r w:rsidR="006057AB" w:rsidRPr="00FB4EFA">
        <w:rPr>
          <w:rFonts w:cs="Charis SIL"/>
          <w:lang w:val="de-DE"/>
        </w:rPr>
        <w:t>’</w:t>
      </w:r>
      <w:r w:rsidRPr="00FB4EFA">
        <w:rPr>
          <w:rFonts w:cs="Charis SIL"/>
          <w:lang w:val="de-DE"/>
        </w:rPr>
        <w:t xml:space="preserve"> verwendete Wendung </w:t>
      </w:r>
      <w:r w:rsidRPr="00FB4EFA">
        <w:rPr>
          <w:rFonts w:cs="Charis SIL"/>
          <w:i/>
          <w:lang w:val="de-DE"/>
        </w:rPr>
        <w:t>ûf den rëgenbogen zimbern</w:t>
      </w:r>
      <w:r w:rsidRPr="00FB4EFA">
        <w:rPr>
          <w:rFonts w:cs="Charis SIL"/>
          <w:lang w:val="de-DE"/>
        </w:rPr>
        <w:t xml:space="preserve"> durch die neuhochdeutsche Wendung </w:t>
      </w:r>
      <w:r w:rsidRPr="00FB4EFA">
        <w:rPr>
          <w:rFonts w:cs="Charis SIL"/>
          <w:i/>
          <w:lang w:val="de-DE"/>
        </w:rPr>
        <w:t>Luftschlösser bauen</w:t>
      </w:r>
      <w:r w:rsidRPr="00FB4EFA">
        <w:rPr>
          <w:rFonts w:cs="Charis SIL"/>
          <w:lang w:val="de-DE"/>
        </w:rPr>
        <w:t xml:space="preserve"> ersetzt </w:t>
      </w:r>
      <w:r w:rsidR="00AD79E8" w:rsidRPr="00FB4EFA">
        <w:rPr>
          <w:rFonts w:cs="Charis SIL"/>
          <w:lang w:val="de-DE"/>
        </w:rPr>
        <w:br/>
      </w:r>
      <w:r w:rsidRPr="00FB4EFA">
        <w:rPr>
          <w:rFonts w:cs="Charis SIL"/>
          <w:lang w:val="de-DE"/>
        </w:rPr>
        <w:t>(vgl. Jesko 2007: 1103).</w:t>
      </w:r>
    </w:p>
    <w:p w14:paraId="19B758F3" w14:textId="748EB000" w:rsidR="00CB6469" w:rsidRPr="00FB4EFA" w:rsidRDefault="00CB6469" w:rsidP="00396C68">
      <w:pPr>
        <w:ind w:firstLine="709"/>
        <w:rPr>
          <w:rFonts w:cs="Charis SIL"/>
        </w:rPr>
      </w:pPr>
      <w:r w:rsidRPr="00FB4EFA">
        <w:rPr>
          <w:rFonts w:cs="Charis SIL"/>
          <w:lang w:val="de-DE"/>
        </w:rPr>
        <w:t>Welches von zwei Phrasemen übrigbleibt, kann laut Korhonen (1994: 384) auch davon abhängen, welches von ihnen morphosyntak</w:t>
      </w:r>
      <w:r w:rsidRPr="00FB4EFA">
        <w:rPr>
          <w:rFonts w:cs="Charis SIL"/>
          <w:lang w:val="de-DE"/>
        </w:rPr>
        <w:lastRenderedPageBreak/>
        <w:t>tisch und lexikalisch durchsichtiger</w:t>
      </w:r>
      <w:r w:rsidRPr="00FB4EFA">
        <w:rPr>
          <w:lang w:val="de-DE"/>
        </w:rPr>
        <w:t xml:space="preserve"> ist. Seines Erachtens ist das die Ursache auch dafür, dass von den deutschen Wendungen </w:t>
      </w:r>
      <w:r w:rsidRPr="00FB4EFA">
        <w:rPr>
          <w:i/>
          <w:lang w:val="de-DE"/>
        </w:rPr>
        <w:t xml:space="preserve">jmdm. die Wege </w:t>
      </w:r>
      <w:r w:rsidR="00396C68" w:rsidRPr="00FB4EFA">
        <w:rPr>
          <w:i/>
          <w:lang w:val="de-DE"/>
        </w:rPr>
        <w:br/>
      </w:r>
      <w:r w:rsidRPr="00FB4EFA">
        <w:rPr>
          <w:i/>
          <w:lang w:val="de-DE"/>
        </w:rPr>
        <w:t xml:space="preserve">weisen </w:t>
      </w:r>
      <w:r w:rsidRPr="00FB4EFA">
        <w:rPr>
          <w:lang w:val="de-DE"/>
        </w:rPr>
        <w:t xml:space="preserve">bzw. </w:t>
      </w:r>
      <w:r w:rsidRPr="00FB4EFA">
        <w:rPr>
          <w:i/>
          <w:lang w:val="de-DE"/>
        </w:rPr>
        <w:t xml:space="preserve">jmdm. die Tür weisen </w:t>
      </w:r>
      <w:r w:rsidRPr="00FB4EFA">
        <w:rPr>
          <w:lang w:val="de-DE"/>
        </w:rPr>
        <w:t xml:space="preserve">heute nur letzteres gebraucht wird. Es muss aber bemerkt werden, dass </w:t>
      </w:r>
      <w:r w:rsidRPr="00FB4EFA">
        <w:rPr>
          <w:i/>
          <w:lang w:val="de-DE"/>
        </w:rPr>
        <w:t xml:space="preserve">jmdm. den Weg weisen </w:t>
      </w:r>
      <w:r w:rsidRPr="00FB4EFA">
        <w:rPr>
          <w:lang w:val="de-DE"/>
        </w:rPr>
        <w:t xml:space="preserve">auch nicht idiomatisch gebraucht werden </w:t>
      </w:r>
      <w:r w:rsidRPr="00FB4EFA">
        <w:rPr>
          <w:rFonts w:cs="Charis SIL"/>
          <w:lang w:val="de-DE"/>
        </w:rPr>
        <w:t>kann (</w:t>
      </w:r>
      <w:r w:rsidR="006057AB" w:rsidRPr="00FB4EFA">
        <w:rPr>
          <w:rFonts w:cs="Charis SIL"/>
          <w:lang w:val="de-DE"/>
        </w:rPr>
        <w:t>‘</w:t>
      </w:r>
      <w:r w:rsidRPr="00FB4EFA">
        <w:rPr>
          <w:rFonts w:cs="Charis SIL"/>
          <w:lang w:val="de-DE"/>
        </w:rPr>
        <w:t>jmdm. den richtigen Weg zeigen</w:t>
      </w:r>
      <w:r w:rsidR="006057AB" w:rsidRPr="00FB4EFA">
        <w:rPr>
          <w:rFonts w:cs="Charis SIL"/>
          <w:lang w:val="de-DE"/>
        </w:rPr>
        <w:t>’</w:t>
      </w:r>
      <w:r w:rsidRPr="00FB4EFA">
        <w:rPr>
          <w:rFonts w:cs="Charis SIL"/>
          <w:lang w:val="de-DE"/>
        </w:rPr>
        <w:t xml:space="preserve">) und das Streben nach Vermeidung einer störenden Homonymie auch dazu führen konnte, dass in der Bedeutung </w:t>
      </w:r>
      <w:r w:rsidR="006057AB" w:rsidRPr="00FB4EFA">
        <w:rPr>
          <w:rFonts w:cs="Charis SIL"/>
          <w:lang w:val="de-DE"/>
        </w:rPr>
        <w:t>‘</w:t>
      </w:r>
      <w:r w:rsidRPr="00FB4EFA">
        <w:rPr>
          <w:rFonts w:cs="Charis SIL"/>
          <w:lang w:val="de-DE"/>
        </w:rPr>
        <w:t>jmdn. mit Nachdruck auffordern, den Raum zu verlassen</w:t>
      </w:r>
      <w:r w:rsidR="006057AB" w:rsidRPr="00FB4EFA">
        <w:rPr>
          <w:rFonts w:cs="Charis SIL"/>
          <w:lang w:val="de-DE"/>
        </w:rPr>
        <w:t>’</w:t>
      </w:r>
      <w:r w:rsidRPr="00FB4EFA">
        <w:rPr>
          <w:rFonts w:cs="Charis SIL"/>
          <w:lang w:val="de-DE"/>
        </w:rPr>
        <w:t xml:space="preserve"> heute eher nur </w:t>
      </w:r>
      <w:r w:rsidRPr="00FB4EFA">
        <w:rPr>
          <w:rFonts w:cs="Charis SIL"/>
          <w:i/>
          <w:lang w:val="de-DE"/>
        </w:rPr>
        <w:t xml:space="preserve">jmdm. die Tür weisen </w:t>
      </w:r>
      <w:r w:rsidRPr="00FB4EFA">
        <w:rPr>
          <w:rFonts w:cs="Charis SIL"/>
          <w:lang w:val="de-DE"/>
        </w:rPr>
        <w:t>gebraucht wird.</w:t>
      </w:r>
    </w:p>
    <w:p w14:paraId="29DC18E7" w14:textId="7999928B" w:rsidR="00CB6469" w:rsidRPr="00FB4EFA" w:rsidRDefault="00CB6469" w:rsidP="00396C68">
      <w:pPr>
        <w:ind w:firstLine="709"/>
        <w:rPr>
          <w:rFonts w:cs="Charis SIL"/>
        </w:rPr>
      </w:pPr>
      <w:r w:rsidRPr="00FB4EFA">
        <w:rPr>
          <w:rFonts w:cs="Charis SIL"/>
          <w:lang w:val="de-DE"/>
        </w:rPr>
        <w:t xml:space="preserve">Es gibt jedoch auch Fälle, in denen der Grad der Expressivität der Ausdrücke ungefähr gleich ist, trotzdem verdrängt der eine den anderen. Schon unser vorheriges deutsches Beispiel können wir so einstufen, aber noch mehr ist das der Fall bei den russischen Phrasemen </w:t>
      </w:r>
      <w:r w:rsidRPr="00FB4EFA">
        <w:rPr>
          <w:rFonts w:cs="Charis SIL"/>
          <w:i/>
          <w:lang w:val="de-DE"/>
        </w:rPr>
        <w:t>из блохи делать верблюда</w:t>
      </w:r>
      <w:r w:rsidRPr="00FB4EFA">
        <w:rPr>
          <w:rFonts w:cs="Charis SIL"/>
          <w:lang w:val="de-DE"/>
        </w:rPr>
        <w:t xml:space="preserve"> [wörtl.: aus einem Floh ein Kamel machen] und </w:t>
      </w:r>
      <w:r w:rsidRPr="00FB4EFA">
        <w:rPr>
          <w:rFonts w:cs="Charis SIL"/>
          <w:i/>
          <w:lang w:val="de-DE"/>
        </w:rPr>
        <w:t>из мухи делать слона</w:t>
      </w:r>
      <w:r w:rsidRPr="00FB4EFA">
        <w:rPr>
          <w:rFonts w:cs="Charis SIL"/>
          <w:lang w:val="de-DE"/>
        </w:rPr>
        <w:t xml:space="preserve"> [wörtl.: </w:t>
      </w:r>
      <w:r w:rsidR="006057AB" w:rsidRPr="00FB4EFA">
        <w:rPr>
          <w:rFonts w:cs="Charis SIL"/>
          <w:lang w:val="de-DE"/>
        </w:rPr>
        <w:t>‘</w:t>
      </w:r>
      <w:r w:rsidRPr="00FB4EFA">
        <w:rPr>
          <w:rFonts w:cs="Charis SIL"/>
          <w:lang w:val="de-DE"/>
        </w:rPr>
        <w:t>aus einer Fliege einen Elefanten machen</w:t>
      </w:r>
      <w:r w:rsidR="006057AB" w:rsidRPr="00FB4EFA">
        <w:rPr>
          <w:rFonts w:cs="Charis SIL"/>
          <w:lang w:val="de-DE"/>
        </w:rPr>
        <w:t>’</w:t>
      </w:r>
      <w:r w:rsidRPr="00FB4EFA">
        <w:rPr>
          <w:rFonts w:cs="Charis SIL"/>
          <w:lang w:val="de-DE"/>
        </w:rPr>
        <w:t>], von denen heute nur noch das zweite gebraucht wird (vgl. Bierich 2012: 90).</w:t>
      </w:r>
    </w:p>
    <w:p w14:paraId="7BB4195A" w14:textId="097EF7E3" w:rsidR="00CB6469" w:rsidRPr="00FB4EFA" w:rsidRDefault="00CB6469" w:rsidP="00375630">
      <w:pPr>
        <w:ind w:firstLine="709"/>
        <w:rPr>
          <w:rFonts w:cs="Charis SIL"/>
        </w:rPr>
      </w:pPr>
      <w:r w:rsidRPr="00FB4EFA">
        <w:rPr>
          <w:rFonts w:cs="Charis SIL"/>
          <w:lang w:val="de-DE"/>
        </w:rPr>
        <w:t xml:space="preserve">Was diesen Ausdruck betrifft, kann man den Konkurrenzkampf synonymer Phraseme und die spätere Dominanz der Wendung </w:t>
      </w:r>
      <w:r w:rsidRPr="00FB4EFA">
        <w:rPr>
          <w:rFonts w:cs="Charis SIL"/>
          <w:i/>
          <w:lang w:val="de-DE"/>
        </w:rPr>
        <w:t xml:space="preserve">bolhából elefántot csinál </w:t>
      </w:r>
      <w:r w:rsidRPr="00FB4EFA">
        <w:rPr>
          <w:rFonts w:cs="Charis SIL"/>
          <w:lang w:val="de-DE"/>
        </w:rPr>
        <w:t>auch im Ungarischen beobachten. Die Sammlung von O.</w:t>
      </w:r>
      <w:r w:rsidR="006E72A0" w:rsidRPr="00FB4EFA">
        <w:rPr>
          <w:rFonts w:cs="Charis SIL"/>
          <w:lang w:val="de-DE"/>
        </w:rPr>
        <w:t> </w:t>
      </w:r>
      <w:r w:rsidRPr="00FB4EFA">
        <w:rPr>
          <w:rFonts w:cs="Charis SIL"/>
          <w:lang w:val="de-DE"/>
        </w:rPr>
        <w:t xml:space="preserve">Nagy führt die Variante </w:t>
      </w:r>
      <w:r w:rsidRPr="00FB4EFA">
        <w:rPr>
          <w:rFonts w:cs="Charis SIL"/>
          <w:i/>
          <w:lang w:val="de-DE"/>
        </w:rPr>
        <w:t>légyből (is) elefántot csinál (tüntet)</w:t>
      </w:r>
      <w:r w:rsidRPr="00FB4EFA">
        <w:rPr>
          <w:rFonts w:cs="Charis SIL"/>
          <w:lang w:val="de-DE"/>
        </w:rPr>
        <w:t xml:space="preserve"> </w:t>
      </w:r>
      <w:r w:rsidR="006057AB" w:rsidRPr="00FB4EFA">
        <w:rPr>
          <w:rFonts w:cs="Charis SIL"/>
          <w:lang w:val="de-DE"/>
        </w:rPr>
        <w:t>‘</w:t>
      </w:r>
      <w:r w:rsidRPr="00FB4EFA">
        <w:rPr>
          <w:rFonts w:cs="Charis SIL"/>
          <w:lang w:val="de-DE"/>
        </w:rPr>
        <w:t>aus einer Fliege einen Elefanten machen</w:t>
      </w:r>
      <w:r w:rsidR="006057AB" w:rsidRPr="00FB4EFA">
        <w:rPr>
          <w:rFonts w:cs="Charis SIL"/>
          <w:lang w:val="de-DE"/>
        </w:rPr>
        <w:t>’</w:t>
      </w:r>
      <w:r w:rsidRPr="00FB4EFA">
        <w:rPr>
          <w:rFonts w:cs="Charis SIL"/>
          <w:lang w:val="de-DE"/>
        </w:rPr>
        <w:t xml:space="preserve"> als veraltet an (1976: 428), und verweist auf die Variante </w:t>
      </w:r>
      <w:r w:rsidRPr="00FB4EFA">
        <w:rPr>
          <w:rFonts w:cs="Charis SIL"/>
          <w:i/>
          <w:lang w:val="de-DE"/>
        </w:rPr>
        <w:t>(a) szúnyogból is elefántot csinál</w:t>
      </w:r>
      <w:r w:rsidRPr="00FB4EFA">
        <w:rPr>
          <w:rFonts w:cs="Charis SIL"/>
          <w:lang w:val="de-DE"/>
        </w:rPr>
        <w:t xml:space="preserve"> </w:t>
      </w:r>
      <w:r w:rsidR="006057AB" w:rsidRPr="00FB4EFA">
        <w:rPr>
          <w:rFonts w:cs="Charis SIL"/>
          <w:lang w:val="de-DE"/>
        </w:rPr>
        <w:t>‘</w:t>
      </w:r>
      <w:r w:rsidRPr="00FB4EFA">
        <w:rPr>
          <w:rFonts w:cs="Charis SIL"/>
          <w:lang w:val="de-DE"/>
        </w:rPr>
        <w:t>aus einer Mücke einen Elefanten machen</w:t>
      </w:r>
      <w:r w:rsidR="006057AB" w:rsidRPr="00FB4EFA">
        <w:rPr>
          <w:rFonts w:cs="Charis SIL"/>
          <w:lang w:val="de-DE"/>
        </w:rPr>
        <w:t>’</w:t>
      </w:r>
      <w:r w:rsidRPr="00FB4EFA">
        <w:rPr>
          <w:rFonts w:cs="Charis SIL"/>
          <w:lang w:val="de-DE"/>
        </w:rPr>
        <w:t xml:space="preserve"> (653). O. Nagy bemerkt jedoch, dass früher letztere Wendung </w:t>
      </w:r>
      <w:r w:rsidR="00FF2C34" w:rsidRPr="00FB4EFA">
        <w:rPr>
          <w:rFonts w:cs="Charis SIL"/>
          <w:lang w:val="de-DE"/>
        </w:rPr>
        <w:t xml:space="preserve">auch </w:t>
      </w:r>
      <w:r w:rsidRPr="00FB4EFA">
        <w:rPr>
          <w:rFonts w:cs="Charis SIL"/>
          <w:lang w:val="de-DE"/>
        </w:rPr>
        <w:t xml:space="preserve">Varianten mit den Komponenten </w:t>
      </w:r>
      <w:r w:rsidRPr="00FB4EFA">
        <w:rPr>
          <w:rFonts w:cs="Charis SIL"/>
          <w:i/>
          <w:lang w:val="de-DE"/>
        </w:rPr>
        <w:t>Kamel</w:t>
      </w:r>
      <w:r w:rsidRPr="00FB4EFA">
        <w:rPr>
          <w:rFonts w:cs="Charis SIL"/>
          <w:lang w:val="de-DE"/>
        </w:rPr>
        <w:t xml:space="preserve"> und </w:t>
      </w:r>
      <w:r w:rsidRPr="00FB4EFA">
        <w:rPr>
          <w:rFonts w:cs="Charis SIL"/>
          <w:i/>
          <w:lang w:val="de-DE"/>
        </w:rPr>
        <w:t>Stier</w:t>
      </w:r>
      <w:r w:rsidRPr="00FB4EFA">
        <w:rPr>
          <w:rFonts w:cs="Charis SIL"/>
          <w:lang w:val="de-DE"/>
        </w:rPr>
        <w:t xml:space="preserve"> </w:t>
      </w:r>
      <w:r w:rsidR="006E72A0" w:rsidRPr="00FB4EFA">
        <w:rPr>
          <w:rFonts w:cs="Charis SIL"/>
          <w:lang w:val="de-DE"/>
        </w:rPr>
        <w:t>hatte</w:t>
      </w:r>
      <w:r w:rsidRPr="00FB4EFA">
        <w:rPr>
          <w:rFonts w:cs="Charis SIL"/>
          <w:lang w:val="de-DE"/>
        </w:rPr>
        <w:t xml:space="preserve"> (</w:t>
      </w:r>
      <w:r w:rsidRPr="00FB4EFA">
        <w:rPr>
          <w:rFonts w:cs="Charis SIL"/>
          <w:i/>
          <w:lang w:val="de-DE"/>
        </w:rPr>
        <w:t>szúnyogból tevét/bikát csinál</w:t>
      </w:r>
      <w:r w:rsidRPr="00FB4EFA">
        <w:rPr>
          <w:rFonts w:cs="Charis SIL"/>
          <w:lang w:val="de-DE"/>
        </w:rPr>
        <w:t xml:space="preserve">). Ziemlich unverständlich ist aber für mich, dass er weder hier noch im Stichwort </w:t>
      </w:r>
      <w:r w:rsidRPr="00FB4EFA">
        <w:rPr>
          <w:rFonts w:cs="Charis SIL"/>
          <w:bCs/>
          <w:i/>
          <w:iCs/>
          <w:lang w:val="de-DE"/>
        </w:rPr>
        <w:t>bolha</w:t>
      </w:r>
      <w:r w:rsidRPr="00FB4EFA">
        <w:rPr>
          <w:rFonts w:cs="Charis SIL"/>
          <w:lang w:val="de-DE"/>
        </w:rPr>
        <w:t xml:space="preserve"> (1976: 91–92) angibt, dass es auch eine Variante </w:t>
      </w:r>
      <w:r w:rsidRPr="00FB4EFA">
        <w:rPr>
          <w:rFonts w:cs="Charis SIL"/>
          <w:i/>
          <w:lang w:val="de-DE"/>
        </w:rPr>
        <w:t>bolhából elefántot csinál</w:t>
      </w:r>
      <w:r w:rsidRPr="00FB4EFA">
        <w:rPr>
          <w:rFonts w:cs="Charis SIL"/>
          <w:lang w:val="de-DE"/>
        </w:rPr>
        <w:t xml:space="preserve"> gibt, obwohl die Ergebnisse einer Suchanfrage im Nationalen Textkorpus (MNSzt.) zeigen, dass heute diese Variante die dominante ist (22 Belege für diese Variante, 0 Belege für </w:t>
      </w:r>
      <w:r w:rsidRPr="00FB4EFA">
        <w:rPr>
          <w:rFonts w:cs="Charis SIL"/>
          <w:i/>
          <w:lang w:val="de-DE"/>
        </w:rPr>
        <w:t>szúnyogból elefántot csinál</w:t>
      </w:r>
      <w:r w:rsidRPr="00FB4EFA">
        <w:rPr>
          <w:rFonts w:cs="Charis SIL"/>
          <w:lang w:val="de-DE"/>
        </w:rPr>
        <w:t>)</w:t>
      </w:r>
      <w:r w:rsidRPr="00FB4EFA">
        <w:rPr>
          <w:rFonts w:cs="Charis SIL"/>
          <w:i/>
          <w:lang w:val="de-DE"/>
        </w:rPr>
        <w:t xml:space="preserve">. </w:t>
      </w:r>
      <w:r w:rsidRPr="00FB4EFA">
        <w:rPr>
          <w:rFonts w:cs="Charis SIL"/>
          <w:lang w:val="de-DE"/>
        </w:rPr>
        <w:t>Wie man sieht, blieb von den unterschiedlichen früheren Varianten nur die letztere übrig.</w:t>
      </w:r>
    </w:p>
    <w:p w14:paraId="473D7DD1" w14:textId="495F0A5A" w:rsidR="00CB6469" w:rsidRPr="00FB4EFA" w:rsidRDefault="00CB6469" w:rsidP="00402EF4">
      <w:pPr>
        <w:spacing w:after="240"/>
        <w:ind w:firstLine="709"/>
        <w:rPr>
          <w:rFonts w:cs="Charis SIL"/>
        </w:rPr>
      </w:pPr>
      <w:r w:rsidRPr="00FB4EFA">
        <w:rPr>
          <w:rFonts w:cs="Charis SIL"/>
          <w:lang w:val="de-DE"/>
        </w:rPr>
        <w:t xml:space="preserve">Als ein weiteres Beispiel für die Konkurrenz strukturgleicher Wendungen kann man noch die folgenden synonymen Sprichwörter mit der Bedeutung </w:t>
      </w:r>
      <w:r w:rsidR="006057AB" w:rsidRPr="00FB4EFA">
        <w:rPr>
          <w:rFonts w:cs="Charis SIL"/>
          <w:lang w:val="de-DE"/>
        </w:rPr>
        <w:t>‘</w:t>
      </w:r>
      <w:r w:rsidRPr="00FB4EFA">
        <w:rPr>
          <w:rFonts w:cs="Charis SIL"/>
          <w:lang w:val="de-DE"/>
        </w:rPr>
        <w:t xml:space="preserve">auch ältere Menschen sehnen sich nach körperliche </w:t>
      </w:r>
      <w:r w:rsidR="00AD79E8" w:rsidRPr="00FB4EFA">
        <w:rPr>
          <w:rFonts w:cs="Charis SIL"/>
          <w:lang w:val="de-DE"/>
        </w:rPr>
        <w:br/>
      </w:r>
      <w:r w:rsidRPr="00FB4EFA">
        <w:rPr>
          <w:rFonts w:cs="Charis SIL"/>
          <w:lang w:val="de-DE"/>
        </w:rPr>
        <w:t>Liebe</w:t>
      </w:r>
      <w:r w:rsidR="006057AB" w:rsidRPr="00FB4EFA">
        <w:rPr>
          <w:rFonts w:cs="Charis SIL"/>
          <w:lang w:val="de-DE"/>
        </w:rPr>
        <w:t>’</w:t>
      </w:r>
      <w:r w:rsidRPr="00FB4EFA">
        <w:rPr>
          <w:rFonts w:cs="Charis SIL"/>
          <w:lang w:val="de-DE"/>
        </w:rPr>
        <w:t xml:space="preserve"> erwähnen:</w:t>
      </w:r>
    </w:p>
    <w:p w14:paraId="1D1098F7" w14:textId="50C95508" w:rsidR="00CB6469" w:rsidRPr="00FB4EFA" w:rsidRDefault="00CB6469" w:rsidP="00AF0CAD">
      <w:pPr>
        <w:spacing w:line="240" w:lineRule="auto"/>
        <w:ind w:left="993" w:right="108" w:hanging="284"/>
        <w:rPr>
          <w:rFonts w:cs="Charis SIL"/>
          <w:b/>
        </w:rPr>
      </w:pPr>
      <w:r w:rsidRPr="00FB4EFA">
        <w:rPr>
          <w:rFonts w:cs="Charis SIL"/>
          <w:i/>
        </w:rPr>
        <w:lastRenderedPageBreak/>
        <w:t>Vén kecske is megnyalja a sót.</w:t>
      </w:r>
      <w:r w:rsidRPr="00FB4EFA">
        <w:rPr>
          <w:rFonts w:cs="Charis SIL"/>
        </w:rPr>
        <w:t xml:space="preserve"> </w:t>
      </w:r>
      <w:r w:rsidR="006057AB" w:rsidRPr="00FB4EFA">
        <w:rPr>
          <w:rFonts w:cs="Charis SIL"/>
        </w:rPr>
        <w:t>‘</w:t>
      </w:r>
      <w:r w:rsidRPr="00FB4EFA">
        <w:rPr>
          <w:rFonts w:cs="Charis SIL"/>
          <w:lang w:val="de-DE"/>
        </w:rPr>
        <w:t>Alte Ziegen lecken auch (gern) Salz.</w:t>
      </w:r>
      <w:r w:rsidR="006057AB" w:rsidRPr="00FB4EFA">
        <w:rPr>
          <w:rFonts w:cs="Charis SIL"/>
          <w:lang w:val="de-DE"/>
        </w:rPr>
        <w:t>’</w:t>
      </w:r>
    </w:p>
    <w:p w14:paraId="20C8EDA3" w14:textId="493AB5E3" w:rsidR="00CB6469" w:rsidRPr="00FB4EFA" w:rsidRDefault="00CB6469" w:rsidP="00AF0CAD">
      <w:pPr>
        <w:spacing w:line="240" w:lineRule="auto"/>
        <w:ind w:left="993" w:right="108" w:hanging="284"/>
        <w:rPr>
          <w:rFonts w:cs="Charis SIL"/>
          <w:b/>
          <w:lang w:val="de-DE"/>
        </w:rPr>
      </w:pPr>
      <w:r w:rsidRPr="00FB4EFA">
        <w:rPr>
          <w:rFonts w:cs="Charis SIL"/>
          <w:i/>
        </w:rPr>
        <w:t>Vén ló is megröhögi az abrakot.</w:t>
      </w:r>
      <w:r w:rsidRPr="00FB4EFA">
        <w:rPr>
          <w:rFonts w:cs="Charis SIL"/>
        </w:rPr>
        <w:t xml:space="preserve"> </w:t>
      </w:r>
      <w:r w:rsidR="006057AB" w:rsidRPr="00FB4EFA">
        <w:rPr>
          <w:rFonts w:cs="Charis SIL"/>
        </w:rPr>
        <w:t>‘</w:t>
      </w:r>
      <w:r w:rsidRPr="00FB4EFA">
        <w:rPr>
          <w:rFonts w:cs="Charis SIL"/>
          <w:lang w:val="de-DE"/>
        </w:rPr>
        <w:t>Alte Pferde lächeln auch (gern) das Futter an.</w:t>
      </w:r>
      <w:r w:rsidR="006057AB" w:rsidRPr="00FB4EFA">
        <w:rPr>
          <w:rFonts w:cs="Charis SIL"/>
          <w:lang w:val="de-DE"/>
        </w:rPr>
        <w:t>’</w:t>
      </w:r>
    </w:p>
    <w:p w14:paraId="575138A4" w14:textId="4FC1C41F" w:rsidR="00CB6469" w:rsidRPr="00FB4EFA" w:rsidRDefault="00CB6469" w:rsidP="00AF0CAD">
      <w:pPr>
        <w:spacing w:line="240" w:lineRule="auto"/>
        <w:ind w:left="993" w:right="108" w:hanging="284"/>
        <w:rPr>
          <w:rFonts w:cs="Charis SIL"/>
          <w:b/>
          <w:lang w:val="de-DE"/>
        </w:rPr>
      </w:pPr>
      <w:r w:rsidRPr="00FB4EFA">
        <w:rPr>
          <w:rFonts w:cs="Charis SIL"/>
          <w:i/>
        </w:rPr>
        <w:t>Vén darázs is megdongja még a mézeskörtét.</w:t>
      </w:r>
      <w:r w:rsidRPr="00FB4EFA">
        <w:rPr>
          <w:rFonts w:cs="Charis SIL"/>
        </w:rPr>
        <w:t xml:space="preserve"> </w:t>
      </w:r>
      <w:r w:rsidR="006057AB" w:rsidRPr="00FB4EFA">
        <w:rPr>
          <w:rFonts w:cs="Charis SIL"/>
        </w:rPr>
        <w:t>‘</w:t>
      </w:r>
      <w:r w:rsidRPr="00FB4EFA">
        <w:rPr>
          <w:rFonts w:cs="Charis SIL"/>
          <w:lang w:val="de-DE"/>
        </w:rPr>
        <w:t>Alte Wespen summen auch noch (gern) honigsüße Birnen an.</w:t>
      </w:r>
      <w:r w:rsidR="006057AB" w:rsidRPr="00FB4EFA">
        <w:rPr>
          <w:rFonts w:cs="Charis SIL"/>
          <w:lang w:val="de-DE"/>
        </w:rPr>
        <w:t>’</w:t>
      </w:r>
    </w:p>
    <w:p w14:paraId="61F6CEC8" w14:textId="2B75CA47" w:rsidR="00CB6469" w:rsidRPr="00FB4EFA" w:rsidRDefault="00CB6469" w:rsidP="00396C68">
      <w:pPr>
        <w:spacing w:before="240"/>
        <w:rPr>
          <w:rFonts w:cs="Charis SIL"/>
        </w:rPr>
      </w:pPr>
      <w:r w:rsidRPr="00FB4EFA">
        <w:rPr>
          <w:rFonts w:cs="Charis SIL"/>
          <w:lang w:val="de-DE"/>
        </w:rPr>
        <w:t xml:space="preserve">Es ist interessant, dass in die Sammlung von O. Nagy nur die letzte Variante – als dialektale Form – aufgenommen wurde (1976: 138). Warum die Varianten mit den Komponenten </w:t>
      </w:r>
      <w:r w:rsidRPr="00FB4EFA">
        <w:rPr>
          <w:rFonts w:cs="Charis SIL"/>
          <w:i/>
          <w:lang w:val="de-DE"/>
        </w:rPr>
        <w:t>Ziege</w:t>
      </w:r>
      <w:r w:rsidRPr="00FB4EFA">
        <w:rPr>
          <w:rFonts w:cs="Charis SIL"/>
          <w:lang w:val="de-DE"/>
        </w:rPr>
        <w:t xml:space="preserve"> und </w:t>
      </w:r>
      <w:r w:rsidRPr="00FB4EFA">
        <w:rPr>
          <w:rFonts w:cs="Charis SIL"/>
          <w:i/>
          <w:lang w:val="de-DE"/>
        </w:rPr>
        <w:t>Pferd</w:t>
      </w:r>
      <w:r w:rsidRPr="00FB4EFA">
        <w:rPr>
          <w:rFonts w:cs="Charis SIL"/>
          <w:lang w:val="de-DE"/>
        </w:rPr>
        <w:t xml:space="preserve">, die auch in den bekannten Sammlungen des 19. Jahrhunderts zu finden sind (vgl. </w:t>
      </w:r>
      <w:r w:rsidR="0030017E" w:rsidRPr="00FB4EFA">
        <w:rPr>
          <w:rFonts w:cs="Charis SIL"/>
          <w:lang w:val="de-DE"/>
        </w:rPr>
        <w:t>z. B.</w:t>
      </w:r>
      <w:r w:rsidRPr="00FB4EFA">
        <w:rPr>
          <w:rFonts w:cs="Charis SIL"/>
          <w:lang w:val="de-DE"/>
        </w:rPr>
        <w:t xml:space="preserve"> </w:t>
      </w:r>
      <w:r w:rsidR="00396C68" w:rsidRPr="00FB4EFA">
        <w:rPr>
          <w:rFonts w:cs="Charis SIL"/>
          <w:lang w:val="de-DE"/>
        </w:rPr>
        <w:br/>
      </w:r>
      <w:r w:rsidRPr="00FB4EFA">
        <w:rPr>
          <w:rFonts w:cs="Charis SIL"/>
        </w:rPr>
        <w:t>Margalits 1896: 407, 513)</w:t>
      </w:r>
      <w:r w:rsidRPr="00FB4EFA">
        <w:rPr>
          <w:rFonts w:cs="Charis SIL"/>
          <w:lang w:val="de-DE"/>
        </w:rPr>
        <w:t>, nicht aufgenommen wurden, kann man nicht wissen, aber möglicherweise aus Prüderie. Dazu kommt noch, dass O.</w:t>
      </w:r>
      <w:r w:rsidR="00AD79E8" w:rsidRPr="00FB4EFA">
        <w:rPr>
          <w:rFonts w:cs="Charis SIL"/>
          <w:lang w:val="de-DE"/>
        </w:rPr>
        <w:t> </w:t>
      </w:r>
      <w:r w:rsidRPr="00FB4EFA">
        <w:rPr>
          <w:rFonts w:cs="Charis SIL"/>
          <w:lang w:val="de-DE"/>
        </w:rPr>
        <w:t xml:space="preserve">Nagy auch die Bedeutung der Wendung nicht genau angibt, er behauptet nämlich, sie </w:t>
      </w:r>
      <w:r w:rsidR="00FF2C34" w:rsidRPr="00FB4EFA">
        <w:rPr>
          <w:rFonts w:cs="Charis SIL"/>
          <w:lang w:val="de-DE"/>
        </w:rPr>
        <w:t>bezieht sich</w:t>
      </w:r>
      <w:r w:rsidRPr="00FB4EFA">
        <w:rPr>
          <w:rFonts w:cs="Charis SIL"/>
          <w:lang w:val="de-DE"/>
        </w:rPr>
        <w:t xml:space="preserve"> nur auf Männer: </w:t>
      </w:r>
      <w:r w:rsidR="006057AB" w:rsidRPr="00FB4EFA">
        <w:rPr>
          <w:rFonts w:cs="Charis SIL"/>
          <w:lang w:val="de-DE"/>
        </w:rPr>
        <w:t>‘</w:t>
      </w:r>
      <w:r w:rsidRPr="00FB4EFA">
        <w:rPr>
          <w:rFonts w:cs="Charis SIL"/>
          <w:lang w:val="de-DE"/>
        </w:rPr>
        <w:t>ältere Männer mögen noch gerne in der Gesellschaft junger Damen sein</w:t>
      </w:r>
      <w:r w:rsidR="006057AB" w:rsidRPr="00FB4EFA">
        <w:rPr>
          <w:rFonts w:cs="Charis SIL"/>
          <w:lang w:val="de-DE"/>
        </w:rPr>
        <w:t>’</w:t>
      </w:r>
      <w:r w:rsidRPr="00FB4EFA">
        <w:rPr>
          <w:rFonts w:cs="Charis SIL"/>
          <w:lang w:val="de-DE"/>
        </w:rPr>
        <w:t xml:space="preserve">. In Wirklichkeit kann man jedoch alle drei Sprichwörter sowohl auf Männer als auch auf Frauen beziehen, vgl. auch Erdélyi 1851: 223. Auch Wander weist auf diese Tatsache hin, als er im Zusammenhang mit </w:t>
      </w:r>
      <w:r w:rsidRPr="00FB4EFA">
        <w:rPr>
          <w:rFonts w:cs="Charis SIL"/>
          <w:i/>
          <w:lang w:val="de-DE"/>
        </w:rPr>
        <w:t xml:space="preserve">Alte Ziegen lecken auch gern Salz </w:t>
      </w:r>
      <w:r w:rsidRPr="00FB4EFA">
        <w:rPr>
          <w:rFonts w:cs="Charis SIL"/>
          <w:lang w:val="de-DE"/>
        </w:rPr>
        <w:t>bemerkt: „Ziegen sind wegen ihrer Lüsternheit verrufen. Salz ist ein Bild des Reizes. Daher will das Sprichwort sagen: Es gibt auch verliebte Greise und lüsterne Matronen</w:t>
      </w:r>
      <w:r w:rsidR="00D2687C" w:rsidRPr="00FB4EFA">
        <w:rPr>
          <w:lang w:val="de-DE"/>
        </w:rPr>
        <w:t>“</w:t>
      </w:r>
      <w:r w:rsidRPr="00FB4EFA">
        <w:rPr>
          <w:rFonts w:cs="Charis SIL"/>
          <w:lang w:val="de-DE"/>
        </w:rPr>
        <w:t xml:space="preserve"> (1867: V: 572).</w:t>
      </w:r>
    </w:p>
    <w:p w14:paraId="5467BB60" w14:textId="3AD7AEB2" w:rsidR="00CB6469" w:rsidRPr="00FB4EFA" w:rsidRDefault="00CB6469" w:rsidP="00396C68">
      <w:pPr>
        <w:ind w:firstLine="709"/>
        <w:rPr>
          <w:rFonts w:cs="Charis SIL"/>
        </w:rPr>
      </w:pPr>
      <w:r w:rsidRPr="00FB4EFA">
        <w:rPr>
          <w:rFonts w:cs="Charis SIL"/>
          <w:lang w:val="de-DE"/>
        </w:rPr>
        <w:t xml:space="preserve">Schließlich soll man noch erwähnen, dass es auch Phraseme gibt, die nicht wegen konkurrierender Formen aus der Mode kommen, jedoch trotzdem aus der Umgangssprache verschwinden. Sie bleiben aber in gewissen Mundarten oder Regionen noch lebendig. Korhonen weist </w:t>
      </w:r>
      <w:r w:rsidR="0030017E" w:rsidRPr="00FB4EFA">
        <w:rPr>
          <w:rFonts w:cs="Charis SIL"/>
          <w:lang w:val="de-DE"/>
        </w:rPr>
        <w:t>z. B.</w:t>
      </w:r>
      <w:r w:rsidRPr="00FB4EFA">
        <w:rPr>
          <w:rFonts w:cs="Charis SIL"/>
          <w:lang w:val="de-DE"/>
        </w:rPr>
        <w:t xml:space="preserve"> darauf hin (1994: 384), dass die Wendung </w:t>
      </w:r>
      <w:r w:rsidRPr="00FB4EFA">
        <w:rPr>
          <w:rFonts w:cs="Charis SIL"/>
          <w:i/>
          <w:lang w:val="de-DE"/>
        </w:rPr>
        <w:t>(gut) im Strumpf sein</w:t>
      </w:r>
      <w:r w:rsidRPr="00FB4EFA">
        <w:rPr>
          <w:rFonts w:cs="Charis SIL"/>
          <w:lang w:val="de-DE"/>
        </w:rPr>
        <w:t xml:space="preserve"> </w:t>
      </w:r>
      <w:r w:rsidR="006057AB" w:rsidRPr="00FB4EFA">
        <w:rPr>
          <w:rFonts w:cs="Charis SIL"/>
          <w:lang w:val="de-DE"/>
        </w:rPr>
        <w:t>‘</w:t>
      </w:r>
      <w:r w:rsidRPr="00FB4EFA">
        <w:rPr>
          <w:rFonts w:cs="Charis SIL"/>
          <w:lang w:val="de-DE"/>
        </w:rPr>
        <w:t>gesund, vital sein; sich in angenehmer Lage befinden</w:t>
      </w:r>
      <w:r w:rsidR="006057AB" w:rsidRPr="00FB4EFA">
        <w:rPr>
          <w:rFonts w:cs="Charis SIL"/>
          <w:lang w:val="de-DE"/>
        </w:rPr>
        <w:t>’</w:t>
      </w:r>
      <w:r w:rsidRPr="00FB4EFA">
        <w:rPr>
          <w:rFonts w:cs="Charis SIL"/>
          <w:lang w:val="de-DE"/>
        </w:rPr>
        <w:t xml:space="preserve"> früher im Deutschen ziemlich verbreitet gewesen sei, genauso, wie ihre negierte Variante </w:t>
      </w:r>
      <w:r w:rsidRPr="00FB4EFA">
        <w:rPr>
          <w:rFonts w:cs="Charis SIL"/>
          <w:i/>
          <w:lang w:val="de-DE"/>
        </w:rPr>
        <w:t>nicht im Strumpf sein</w:t>
      </w:r>
      <w:r w:rsidRPr="00FB4EFA">
        <w:rPr>
          <w:rFonts w:cs="Charis SIL"/>
          <w:lang w:val="de-DE"/>
        </w:rPr>
        <w:t xml:space="preserve">. Heute werden aber beide nur in der Schweiz gebraucht und auch ihre Bedeutung hat sich ein bisschen geändert: </w:t>
      </w:r>
      <w:r w:rsidR="006057AB" w:rsidRPr="00FB4EFA">
        <w:rPr>
          <w:rFonts w:cs="Charis SIL"/>
          <w:lang w:val="de-DE"/>
        </w:rPr>
        <w:t>‘</w:t>
      </w:r>
      <w:r w:rsidRPr="00FB4EFA">
        <w:rPr>
          <w:rFonts w:cs="Charis SIL"/>
          <w:lang w:val="de-DE"/>
        </w:rPr>
        <w:t xml:space="preserve">er ist gut/übel </w:t>
      </w:r>
      <w:r w:rsidR="00AD79E8" w:rsidRPr="00FB4EFA">
        <w:rPr>
          <w:rFonts w:cs="Charis SIL"/>
          <w:lang w:val="de-DE"/>
        </w:rPr>
        <w:br/>
      </w:r>
      <w:r w:rsidRPr="00FB4EFA">
        <w:rPr>
          <w:rFonts w:cs="Charis SIL"/>
          <w:lang w:val="de-DE"/>
        </w:rPr>
        <w:t>gelaunt</w:t>
      </w:r>
      <w:r w:rsidR="006057AB" w:rsidRPr="00FB4EFA">
        <w:rPr>
          <w:rFonts w:cs="Charis SIL"/>
          <w:lang w:val="de-DE"/>
        </w:rPr>
        <w:t>’</w:t>
      </w:r>
      <w:r w:rsidRPr="00FB4EFA">
        <w:rPr>
          <w:rFonts w:cs="Charis SIL"/>
          <w:lang w:val="de-DE"/>
        </w:rPr>
        <w:t xml:space="preserve"> (vgl. Röhrich 1991</w:t>
      </w:r>
      <w:r w:rsidR="00216577" w:rsidRPr="00FB4EFA">
        <w:rPr>
          <w:lang w:val="de-DE"/>
        </w:rPr>
        <w:t>–1992</w:t>
      </w:r>
      <w:r w:rsidRPr="00FB4EFA">
        <w:rPr>
          <w:rFonts w:cs="Charis SIL"/>
          <w:lang w:val="de-DE"/>
        </w:rPr>
        <w:t>: 1579)</w:t>
      </w:r>
      <w:r w:rsidR="00FF2C34" w:rsidRPr="00FB4EFA">
        <w:rPr>
          <w:rFonts w:cs="Charis SIL"/>
          <w:lang w:val="de-DE"/>
        </w:rPr>
        <w:t>.</w:t>
      </w:r>
    </w:p>
    <w:p w14:paraId="2A8C4138" w14:textId="321B3A83" w:rsidR="00CB6469" w:rsidRPr="00FB4EFA" w:rsidRDefault="00CB6469" w:rsidP="00396C68">
      <w:pPr>
        <w:ind w:firstLine="709"/>
        <w:rPr>
          <w:lang w:val="de-DE"/>
        </w:rPr>
      </w:pPr>
      <w:r w:rsidRPr="00FB4EFA">
        <w:rPr>
          <w:rFonts w:cs="Charis SIL"/>
          <w:lang w:val="de-DE"/>
        </w:rPr>
        <w:t xml:space="preserve">Auch ziemlich großflächig hat man früher im Deutschen die </w:t>
      </w:r>
      <w:r w:rsidR="00AD79E8" w:rsidRPr="00FB4EFA">
        <w:rPr>
          <w:rFonts w:cs="Charis SIL"/>
          <w:lang w:val="de-DE"/>
        </w:rPr>
        <w:br/>
      </w:r>
      <w:r w:rsidRPr="00FB4EFA">
        <w:rPr>
          <w:rFonts w:cs="Charis SIL"/>
          <w:lang w:val="de-DE"/>
        </w:rPr>
        <w:t xml:space="preserve">Redensart </w:t>
      </w:r>
      <w:r w:rsidRPr="00FB4EFA">
        <w:rPr>
          <w:rFonts w:cs="Charis SIL"/>
          <w:i/>
          <w:lang w:val="de-DE"/>
        </w:rPr>
        <w:t>jmd. wirft das Beil zu weit</w:t>
      </w:r>
      <w:r w:rsidR="000121EA" w:rsidRPr="00FB4EFA">
        <w:rPr>
          <w:rFonts w:cs="Charis SIL"/>
          <w:lang w:val="de-DE"/>
        </w:rPr>
        <w:t xml:space="preserve"> </w:t>
      </w:r>
      <w:r w:rsidR="006057AB" w:rsidRPr="00FB4EFA">
        <w:rPr>
          <w:rFonts w:cs="Charis SIL"/>
          <w:lang w:val="de-DE"/>
        </w:rPr>
        <w:t>‘</w:t>
      </w:r>
      <w:r w:rsidRPr="00FB4EFA">
        <w:rPr>
          <w:rFonts w:cs="Charis SIL"/>
          <w:lang w:val="de-DE"/>
        </w:rPr>
        <w:t>er ist ein Großsprecher, er schneidet auf, er lügt und übertreibt</w:t>
      </w:r>
      <w:r w:rsidR="006057AB" w:rsidRPr="00FB4EFA">
        <w:rPr>
          <w:rFonts w:cs="Charis SIL"/>
          <w:lang w:val="de-DE"/>
        </w:rPr>
        <w:t>’</w:t>
      </w:r>
      <w:r w:rsidRPr="00FB4EFA">
        <w:rPr>
          <w:rFonts w:cs="Charis SIL"/>
          <w:lang w:val="de-DE"/>
        </w:rPr>
        <w:t xml:space="preserve"> verwendet. Heute ist sie aber nur noch in M</w:t>
      </w:r>
      <w:r w:rsidRPr="00FB4EFA">
        <w:rPr>
          <w:lang w:val="de-DE"/>
        </w:rPr>
        <w:t>undarten gebräuchlich (vgl. Röhrich 1991</w:t>
      </w:r>
      <w:r w:rsidR="00216577" w:rsidRPr="00FB4EFA">
        <w:rPr>
          <w:lang w:val="de-DE"/>
        </w:rPr>
        <w:t>–1992</w:t>
      </w:r>
      <w:r w:rsidRPr="00FB4EFA">
        <w:rPr>
          <w:lang w:val="de-DE"/>
        </w:rPr>
        <w:t>: 166).</w:t>
      </w:r>
    </w:p>
    <w:p w14:paraId="61AED809" w14:textId="77777777" w:rsidR="00CB6469" w:rsidRPr="00FB4EFA" w:rsidRDefault="00CB6469" w:rsidP="00AC1192">
      <w:pPr>
        <w:pStyle w:val="Heading2"/>
        <w:suppressAutoHyphens/>
        <w:spacing w:line="259" w:lineRule="auto"/>
        <w:rPr>
          <w:b/>
          <w:color w:val="auto"/>
          <w:lang w:val="de-DE"/>
        </w:rPr>
      </w:pPr>
      <w:r w:rsidRPr="00FB4EFA">
        <w:rPr>
          <w:color w:val="auto"/>
          <w:lang w:val="de-DE"/>
        </w:rPr>
        <w:lastRenderedPageBreak/>
        <w:t>Literatur</w:t>
      </w:r>
    </w:p>
    <w:p w14:paraId="0BA2B12E" w14:textId="749CF370" w:rsidR="00CB6469" w:rsidRPr="00FB4EFA" w:rsidRDefault="00CB6469" w:rsidP="00AD79E8">
      <w:pPr>
        <w:suppressAutoHyphens/>
        <w:spacing w:line="240" w:lineRule="auto"/>
        <w:ind w:left="426" w:hanging="426"/>
        <w:rPr>
          <w:szCs w:val="24"/>
        </w:rPr>
      </w:pPr>
      <w:r w:rsidRPr="00FB4EFA">
        <w:rPr>
          <w:szCs w:val="24"/>
        </w:rPr>
        <w:t xml:space="preserve">Bárczay, Oszkár. 1895. </w:t>
      </w:r>
      <w:r w:rsidRPr="00FB4EFA">
        <w:rPr>
          <w:i/>
          <w:szCs w:val="24"/>
        </w:rPr>
        <w:t>A hadügy fejlőd</w:t>
      </w:r>
      <w:r w:rsidRPr="00FB4EFA">
        <w:rPr>
          <w:rFonts w:cs="Baskerville Old Face"/>
          <w:i/>
          <w:szCs w:val="24"/>
        </w:rPr>
        <w:t>é</w:t>
      </w:r>
      <w:r w:rsidRPr="00FB4EFA">
        <w:rPr>
          <w:i/>
          <w:szCs w:val="24"/>
        </w:rPr>
        <w:t>s</w:t>
      </w:r>
      <w:r w:rsidRPr="00FB4EFA">
        <w:rPr>
          <w:rFonts w:cs="Baskerville Old Face"/>
          <w:i/>
          <w:szCs w:val="24"/>
        </w:rPr>
        <w:t>é</w:t>
      </w:r>
      <w:r w:rsidRPr="00FB4EFA">
        <w:rPr>
          <w:i/>
          <w:szCs w:val="24"/>
        </w:rPr>
        <w:t>nek t</w:t>
      </w:r>
      <w:r w:rsidRPr="00FB4EFA">
        <w:rPr>
          <w:rFonts w:cs="Baskerville Old Face"/>
          <w:i/>
          <w:szCs w:val="24"/>
        </w:rPr>
        <w:t>ö</w:t>
      </w:r>
      <w:r w:rsidRPr="00FB4EFA">
        <w:rPr>
          <w:i/>
          <w:szCs w:val="24"/>
        </w:rPr>
        <w:t>rt</w:t>
      </w:r>
      <w:r w:rsidRPr="00FB4EFA">
        <w:rPr>
          <w:rFonts w:cs="Baskerville Old Face"/>
          <w:i/>
          <w:szCs w:val="24"/>
        </w:rPr>
        <w:t>é</w:t>
      </w:r>
      <w:r w:rsidRPr="00FB4EFA">
        <w:rPr>
          <w:i/>
          <w:szCs w:val="24"/>
        </w:rPr>
        <w:t>nete.</w:t>
      </w:r>
      <w:r w:rsidRPr="00FB4EFA">
        <w:rPr>
          <w:szCs w:val="24"/>
        </w:rPr>
        <w:t xml:space="preserve"> Bd. 2. Budapest</w:t>
      </w:r>
      <w:r w:rsidR="00644402" w:rsidRPr="00FB4EFA">
        <w:rPr>
          <w:lang w:val="de-DE"/>
        </w:rPr>
        <w:t>:</w:t>
      </w:r>
      <w:r w:rsidRPr="00FB4EFA">
        <w:rPr>
          <w:szCs w:val="24"/>
        </w:rPr>
        <w:t xml:space="preserve"> Az MTA Könyvkiadó Vállalata.</w:t>
      </w:r>
    </w:p>
    <w:p w14:paraId="7B73F85D" w14:textId="141E4F1A" w:rsidR="00CB6469" w:rsidRPr="00FB4EFA" w:rsidRDefault="00CB6469" w:rsidP="00AD79E8">
      <w:pPr>
        <w:suppressAutoHyphens/>
        <w:spacing w:line="240" w:lineRule="auto"/>
        <w:ind w:left="426" w:hanging="426"/>
        <w:rPr>
          <w:szCs w:val="24"/>
        </w:rPr>
      </w:pPr>
      <w:r w:rsidRPr="00FB4EFA">
        <w:rPr>
          <w:szCs w:val="24"/>
        </w:rPr>
        <w:t xml:space="preserve">Baróti Szabó, Dávid. 1803. </w:t>
      </w:r>
      <w:r w:rsidRPr="00FB4EFA">
        <w:rPr>
          <w:i/>
          <w:szCs w:val="24"/>
        </w:rPr>
        <w:t>A magyarság virági</w:t>
      </w:r>
      <w:r w:rsidRPr="00FB4EFA">
        <w:rPr>
          <w:szCs w:val="24"/>
        </w:rPr>
        <w:t>. Kom</w:t>
      </w:r>
      <w:r w:rsidRPr="00FB4EFA">
        <w:rPr>
          <w:rFonts w:cs="Baskerville Old Face"/>
          <w:szCs w:val="24"/>
        </w:rPr>
        <w:t>á</w:t>
      </w:r>
      <w:r w:rsidRPr="00FB4EFA">
        <w:rPr>
          <w:szCs w:val="24"/>
        </w:rPr>
        <w:t>rom</w:t>
      </w:r>
      <w:r w:rsidR="00644402" w:rsidRPr="00FB4EFA">
        <w:rPr>
          <w:lang w:val="de-DE"/>
        </w:rPr>
        <w:t>:</w:t>
      </w:r>
      <w:r w:rsidRPr="00FB4EFA">
        <w:rPr>
          <w:szCs w:val="24"/>
        </w:rPr>
        <w:t xml:space="preserve"> Özvegy Weinmüllerné betűivel.</w:t>
      </w:r>
    </w:p>
    <w:p w14:paraId="2B0C1301" w14:textId="27A3358D" w:rsidR="00CB6469" w:rsidRPr="00FB4EFA" w:rsidRDefault="00CB6469" w:rsidP="00AD79E8">
      <w:pPr>
        <w:suppressAutoHyphens/>
        <w:spacing w:line="240" w:lineRule="auto"/>
        <w:ind w:left="426" w:hanging="426"/>
        <w:rPr>
          <w:lang w:val="de-DE"/>
        </w:rPr>
      </w:pPr>
      <w:r w:rsidRPr="00FB4EFA">
        <w:t xml:space="preserve">Bierich, Alexander. </w:t>
      </w:r>
      <w:r w:rsidRPr="00FB4EFA">
        <w:rPr>
          <w:lang w:val="de-DE"/>
        </w:rPr>
        <w:t xml:space="preserve">2012. Zur Entwicklung der russischen Phraseologie im 18–20. Jahrhundert. In Natalia </w:t>
      </w:r>
      <w:r w:rsidR="00A5239C" w:rsidRPr="00FB4EFA">
        <w:rPr>
          <w:lang w:val="de-DE"/>
        </w:rPr>
        <w:t>Filatkina, Ane</w:t>
      </w:r>
      <w:r w:rsidRPr="00FB4EFA">
        <w:rPr>
          <w:lang w:val="de-DE"/>
        </w:rPr>
        <w:t xml:space="preserve"> Kleine</w:t>
      </w:r>
      <w:r w:rsidRPr="00FB4EFA">
        <w:rPr>
          <w:lang w:val="de-DE"/>
        </w:rPr>
        <w:noBreakHyphen/>
        <w:t>Engel,</w:t>
      </w:r>
      <w:r w:rsidR="00A5239C" w:rsidRPr="00FB4EFA">
        <w:rPr>
          <w:lang w:val="de-DE"/>
        </w:rPr>
        <w:t xml:space="preserve"> Marcel</w:t>
      </w:r>
      <w:r w:rsidRPr="00FB4EFA">
        <w:rPr>
          <w:lang w:val="de-DE"/>
        </w:rPr>
        <w:t xml:space="preserve"> Dräger,</w:t>
      </w:r>
      <w:r w:rsidR="00A5239C" w:rsidRPr="00FB4EFA">
        <w:rPr>
          <w:lang w:val="de-DE"/>
        </w:rPr>
        <w:t xml:space="preserve"> Harald</w:t>
      </w:r>
      <w:r w:rsidRPr="00FB4EFA">
        <w:rPr>
          <w:lang w:val="de-DE"/>
        </w:rPr>
        <w:t xml:space="preserve"> Burger (Hrsg.), </w:t>
      </w:r>
      <w:r w:rsidRPr="00FB4EFA">
        <w:rPr>
          <w:i/>
          <w:lang w:val="de-DE"/>
        </w:rPr>
        <w:t>Aspekte der historischen Phraseologie und Phraseographie</w:t>
      </w:r>
      <w:r w:rsidR="00A5239C" w:rsidRPr="00FB4EFA">
        <w:rPr>
          <w:lang w:val="de-DE"/>
        </w:rPr>
        <w:t>,</w:t>
      </w:r>
      <w:r w:rsidRPr="00FB4EFA">
        <w:rPr>
          <w:lang w:val="de-DE"/>
        </w:rPr>
        <w:t xml:space="preserve"> 83–112. Heidelberg</w:t>
      </w:r>
      <w:r w:rsidR="00644402" w:rsidRPr="00FB4EFA">
        <w:rPr>
          <w:lang w:val="de-DE"/>
        </w:rPr>
        <w:t>:</w:t>
      </w:r>
      <w:r w:rsidRPr="00FB4EFA">
        <w:rPr>
          <w:lang w:val="de-DE"/>
        </w:rPr>
        <w:t xml:space="preserve"> Universitätsverlag Winter.</w:t>
      </w:r>
    </w:p>
    <w:p w14:paraId="0941D3BA" w14:textId="6F09F9E3" w:rsidR="00CB6469" w:rsidRPr="00FB4EFA" w:rsidRDefault="00CB6469" w:rsidP="00AD79E8">
      <w:pPr>
        <w:keepLines/>
        <w:suppressAutoHyphens/>
        <w:spacing w:line="240" w:lineRule="auto"/>
        <w:ind w:left="425" w:hanging="425"/>
      </w:pPr>
      <w:r w:rsidRPr="00FB4EFA">
        <w:rPr>
          <w:lang w:val="de-DE"/>
        </w:rPr>
        <w:t>Burger, Harald &amp; Angelika Linke. 1998. Historische Phraseologie. In Werner</w:t>
      </w:r>
      <w:r w:rsidR="009E157F" w:rsidRPr="00FB4EFA">
        <w:rPr>
          <w:lang w:val="de-DE"/>
        </w:rPr>
        <w:t xml:space="preserve"> Besch,</w:t>
      </w:r>
      <w:r w:rsidRPr="00FB4EFA">
        <w:rPr>
          <w:lang w:val="de-DE"/>
        </w:rPr>
        <w:t xml:space="preserve"> Oskar Reichmann &amp; Stefan Sonderegger (Hrsg.), </w:t>
      </w:r>
      <w:bookmarkStart w:id="55" w:name="__DdeLink__6576_1096038535"/>
      <w:r w:rsidRPr="00FB4EFA">
        <w:rPr>
          <w:i/>
          <w:lang w:val="de-DE"/>
        </w:rPr>
        <w:t>Sprachgeschichte. Ein Handbuch zur Geschichte der deutschen Sprache und ihrer Erforschung</w:t>
      </w:r>
      <w:bookmarkEnd w:id="55"/>
      <w:r w:rsidR="009E157F" w:rsidRPr="00FB4EFA">
        <w:rPr>
          <w:i/>
          <w:lang w:val="de-DE"/>
        </w:rPr>
        <w:t xml:space="preserve"> </w:t>
      </w:r>
      <w:r w:rsidRPr="00FB4EFA">
        <w:rPr>
          <w:lang w:val="de-DE"/>
        </w:rPr>
        <w:t>1</w:t>
      </w:r>
      <w:r w:rsidR="009E157F" w:rsidRPr="00FB4EFA">
        <w:rPr>
          <w:lang w:val="de-DE"/>
        </w:rPr>
        <w:t>,</w:t>
      </w:r>
      <w:r w:rsidRPr="00FB4EFA">
        <w:rPr>
          <w:lang w:val="de-DE"/>
        </w:rPr>
        <w:t xml:space="preserve"> 743–755. </w:t>
      </w:r>
      <w:r w:rsidR="009E157F" w:rsidRPr="00FB4EFA">
        <w:rPr>
          <w:lang w:val="de-DE"/>
        </w:rPr>
        <w:t xml:space="preserve">2. Aufl. </w:t>
      </w:r>
      <w:r w:rsidRPr="00FB4EFA">
        <w:rPr>
          <w:lang w:val="de-DE"/>
        </w:rPr>
        <w:t>Berlin</w:t>
      </w:r>
      <w:r w:rsidR="00644402" w:rsidRPr="00FB4EFA">
        <w:rPr>
          <w:lang w:val="de-DE"/>
        </w:rPr>
        <w:t>:</w:t>
      </w:r>
      <w:r w:rsidRPr="00FB4EFA">
        <w:rPr>
          <w:lang w:val="de-DE"/>
        </w:rPr>
        <w:t xml:space="preserve"> De Gruyter.</w:t>
      </w:r>
    </w:p>
    <w:p w14:paraId="3D642930" w14:textId="6EF662B3" w:rsidR="00CB6469" w:rsidRPr="00FB4EFA" w:rsidRDefault="00CB6469" w:rsidP="00AD79E8">
      <w:pPr>
        <w:suppressAutoHyphens/>
        <w:spacing w:line="240" w:lineRule="auto"/>
        <w:ind w:left="426" w:hanging="426"/>
        <w:rPr>
          <w:szCs w:val="24"/>
          <w:lang w:val="de-DE"/>
        </w:rPr>
      </w:pPr>
      <w:r w:rsidRPr="00FB4EFA">
        <w:rPr>
          <w:lang w:val="de-DE"/>
        </w:rPr>
        <w:t xml:space="preserve">Burger, Harald. 1977. Probleme einer historischen Phraseologie des Deutschen. </w:t>
      </w:r>
      <w:r w:rsidRPr="00FB4EFA">
        <w:rPr>
          <w:i/>
          <w:szCs w:val="24"/>
          <w:lang w:val="de-DE"/>
        </w:rPr>
        <w:t>Beiträge zur Geschichte der deutschen Sprache</w:t>
      </w:r>
      <w:r w:rsidRPr="00FB4EFA">
        <w:rPr>
          <w:szCs w:val="24"/>
          <w:lang w:val="de-DE"/>
        </w:rPr>
        <w:t xml:space="preserve">. 99. </w:t>
      </w:r>
      <w:r w:rsidR="00BD2CB3" w:rsidRPr="00FB4EFA">
        <w:rPr>
          <w:szCs w:val="24"/>
          <w:lang w:val="de-DE"/>
        </w:rPr>
        <w:t>1–24.</w:t>
      </w:r>
    </w:p>
    <w:p w14:paraId="468CED21" w14:textId="47B5C93F" w:rsidR="00CB6469" w:rsidRPr="00FB4EFA" w:rsidRDefault="00CB6469" w:rsidP="00AD79E8">
      <w:pPr>
        <w:suppressAutoHyphens/>
        <w:spacing w:line="240" w:lineRule="auto"/>
        <w:ind w:left="426" w:hanging="426"/>
        <w:rPr>
          <w:lang w:val="de-DE"/>
        </w:rPr>
      </w:pPr>
      <w:r w:rsidRPr="00FB4EFA">
        <w:rPr>
          <w:lang w:val="de-DE"/>
        </w:rPr>
        <w:t xml:space="preserve">Burger, Harald. 1998. </w:t>
      </w:r>
      <w:r w:rsidRPr="00FB4EFA">
        <w:rPr>
          <w:i/>
          <w:lang w:val="de-DE"/>
        </w:rPr>
        <w:t>Phraseologie. Eine Einführung am Beispiel des Deutschen</w:t>
      </w:r>
      <w:r w:rsidRPr="00FB4EFA">
        <w:rPr>
          <w:lang w:val="de-DE"/>
        </w:rPr>
        <w:t>. Berlin</w:t>
      </w:r>
      <w:r w:rsidR="00644402" w:rsidRPr="00FB4EFA">
        <w:rPr>
          <w:szCs w:val="24"/>
          <w:lang w:val="de-DE"/>
        </w:rPr>
        <w:t>:</w:t>
      </w:r>
      <w:r w:rsidRPr="00FB4EFA">
        <w:rPr>
          <w:lang w:val="de-DE"/>
        </w:rPr>
        <w:t xml:space="preserve"> Erich Schmidt Verlag.</w:t>
      </w:r>
    </w:p>
    <w:p w14:paraId="2771EAE6" w14:textId="4034F1D4" w:rsidR="00CB6469" w:rsidRPr="00FB4EFA" w:rsidRDefault="00CB6469" w:rsidP="00AD79E8">
      <w:pPr>
        <w:suppressAutoHyphens/>
        <w:spacing w:line="240" w:lineRule="auto"/>
        <w:ind w:left="426" w:hanging="426"/>
      </w:pPr>
      <w:r w:rsidRPr="00FB4EFA">
        <w:rPr>
          <w:szCs w:val="24"/>
        </w:rPr>
        <w:t xml:space="preserve">DWB. = </w:t>
      </w:r>
      <w:r w:rsidRPr="00FB4EFA">
        <w:rPr>
          <w:i/>
          <w:szCs w:val="24"/>
          <w:lang w:val="de-DE"/>
        </w:rPr>
        <w:t>Deutsches Wörterbuch von</w:t>
      </w:r>
      <w:r w:rsidRPr="00FB4EFA">
        <w:rPr>
          <w:i/>
          <w:szCs w:val="24"/>
        </w:rPr>
        <w:t xml:space="preserve"> Jacob Grimm und Wilhelm Grimm</w:t>
      </w:r>
      <w:r w:rsidRPr="00FB4EFA">
        <w:rPr>
          <w:szCs w:val="24"/>
        </w:rPr>
        <w:t xml:space="preserve">. </w:t>
      </w:r>
      <w:hyperlink r:id="rId269" w:anchor="0" w:history="1">
        <w:r w:rsidR="00BB7053" w:rsidRPr="00FB4EFA">
          <w:rPr>
            <w:rStyle w:val="Hyperlink"/>
            <w:color w:val="auto"/>
          </w:rPr>
          <w:t>woerterbuchnetz.de/?sigle=DWB#0</w:t>
        </w:r>
      </w:hyperlink>
      <w:r w:rsidR="00216577" w:rsidRPr="00FB4EFA">
        <w:t>.</w:t>
      </w:r>
    </w:p>
    <w:p w14:paraId="584D4036" w14:textId="0BC450E6" w:rsidR="00CB6469" w:rsidRPr="00FB4EFA" w:rsidRDefault="00CB6469" w:rsidP="00AD79E8">
      <w:pPr>
        <w:suppressAutoHyphens/>
        <w:spacing w:line="240" w:lineRule="auto"/>
        <w:ind w:left="426" w:hanging="426"/>
        <w:rPr>
          <w:szCs w:val="24"/>
          <w:lang w:val="de-DE"/>
        </w:rPr>
      </w:pPr>
      <w:r w:rsidRPr="00FB4EFA">
        <w:rPr>
          <w:szCs w:val="24"/>
          <w:lang w:val="de-DE"/>
        </w:rPr>
        <w:t xml:space="preserve">Filatkina, Natalia. 2007. Formelhafte Sprache und Traditionen des Formulierens (HiFoS): Vorstellung eines Projekts zur historischen formelhaften Sprache. </w:t>
      </w:r>
      <w:r w:rsidRPr="00FB4EFA">
        <w:rPr>
          <w:i/>
          <w:szCs w:val="24"/>
          <w:lang w:val="de-DE"/>
        </w:rPr>
        <w:t>Sprachwissenschaft</w:t>
      </w:r>
      <w:r w:rsidRPr="00FB4EFA">
        <w:rPr>
          <w:szCs w:val="24"/>
          <w:lang w:val="de-DE"/>
        </w:rPr>
        <w:t xml:space="preserve"> 32</w:t>
      </w:r>
      <w:r w:rsidR="006E06D0" w:rsidRPr="00FB4EFA">
        <w:rPr>
          <w:szCs w:val="24"/>
          <w:lang w:val="de-DE"/>
        </w:rPr>
        <w:t>.</w:t>
      </w:r>
      <w:r w:rsidRPr="00FB4EFA">
        <w:rPr>
          <w:szCs w:val="24"/>
          <w:lang w:val="de-DE"/>
        </w:rPr>
        <w:t xml:space="preserve"> 217–242.</w:t>
      </w:r>
    </w:p>
    <w:p w14:paraId="26A53C79" w14:textId="61216008" w:rsidR="00CB6469" w:rsidRPr="00FB4EFA" w:rsidRDefault="00CB6469" w:rsidP="00AD79E8">
      <w:pPr>
        <w:suppressAutoHyphens/>
        <w:spacing w:line="240" w:lineRule="auto"/>
        <w:ind w:left="426" w:hanging="426"/>
      </w:pPr>
      <w:r w:rsidRPr="00FB4EFA">
        <w:t xml:space="preserve">Forgács, Tamás. 2021. </w:t>
      </w:r>
      <w:r w:rsidRPr="00FB4EFA">
        <w:rPr>
          <w:i/>
          <w:iCs/>
        </w:rPr>
        <w:t>Történeti frazeológia. A történeti szólás és közmondáskutatás kézikönyve</w:t>
      </w:r>
      <w:r w:rsidRPr="00FB4EFA">
        <w:t>. Segédkönyvek a nyelvészet tanulmányozásához 218. Budapest</w:t>
      </w:r>
      <w:r w:rsidR="00644402" w:rsidRPr="00FB4EFA">
        <w:rPr>
          <w:szCs w:val="24"/>
          <w:lang w:val="de-DE"/>
        </w:rPr>
        <w:t>:</w:t>
      </w:r>
      <w:r w:rsidRPr="00FB4EFA">
        <w:t xml:space="preserve"> Tinta Könyvkiadó.</w:t>
      </w:r>
    </w:p>
    <w:p w14:paraId="2C0DB42B" w14:textId="3CB55F40" w:rsidR="00CB6469" w:rsidRPr="00FB4EFA" w:rsidRDefault="00CB6469" w:rsidP="00AD79E8">
      <w:pPr>
        <w:suppressAutoHyphens/>
        <w:spacing w:line="240" w:lineRule="auto"/>
        <w:ind w:left="426" w:hanging="426"/>
      </w:pPr>
      <w:r w:rsidRPr="00FB4EFA">
        <w:rPr>
          <w:szCs w:val="24"/>
        </w:rPr>
        <w:t xml:space="preserve">Hadrovics, László. 1992. Gondolatok a történeti magyar frazeológiáról. </w:t>
      </w:r>
      <w:r w:rsidRPr="00FB4EFA">
        <w:rPr>
          <w:i/>
          <w:szCs w:val="24"/>
        </w:rPr>
        <w:t>Magyar Nyelv</w:t>
      </w:r>
      <w:r w:rsidRPr="00FB4EFA">
        <w:rPr>
          <w:szCs w:val="24"/>
        </w:rPr>
        <w:t xml:space="preserve"> 88</w:t>
      </w:r>
      <w:r w:rsidR="00E963B8" w:rsidRPr="00FB4EFA">
        <w:rPr>
          <w:szCs w:val="24"/>
        </w:rPr>
        <w:t>.</w:t>
      </w:r>
      <w:r w:rsidRPr="00FB4EFA">
        <w:rPr>
          <w:szCs w:val="24"/>
        </w:rPr>
        <w:t xml:space="preserve"> 129–141.</w:t>
      </w:r>
    </w:p>
    <w:p w14:paraId="24C590AB" w14:textId="4C0CB42E" w:rsidR="00CB6469" w:rsidRPr="00FB4EFA" w:rsidRDefault="00CB6469" w:rsidP="00AD79E8">
      <w:pPr>
        <w:suppressAutoHyphens/>
        <w:spacing w:line="240" w:lineRule="auto"/>
        <w:ind w:left="426" w:hanging="426"/>
      </w:pPr>
      <w:r w:rsidRPr="00FB4EFA">
        <w:t xml:space="preserve">Hadrovics, László. 1995. </w:t>
      </w:r>
      <w:r w:rsidRPr="00FB4EFA">
        <w:rPr>
          <w:i/>
        </w:rPr>
        <w:t>Magyar frazeológia. Történeti áttekintés</w:t>
      </w:r>
      <w:r w:rsidRPr="00FB4EFA">
        <w:t>. Budapest</w:t>
      </w:r>
      <w:r w:rsidR="00644402" w:rsidRPr="00FB4EFA">
        <w:rPr>
          <w:szCs w:val="24"/>
          <w:lang w:val="de-DE"/>
        </w:rPr>
        <w:t>:</w:t>
      </w:r>
      <w:r w:rsidRPr="00FB4EFA">
        <w:t xml:space="preserve"> Akadémiai Kiadó.</w:t>
      </w:r>
    </w:p>
    <w:p w14:paraId="4A4BA8B1" w14:textId="483195BD" w:rsidR="00CB6469" w:rsidRPr="00FB4EFA" w:rsidRDefault="00CB6469" w:rsidP="00AD79E8">
      <w:pPr>
        <w:suppressAutoHyphens/>
        <w:spacing w:line="240" w:lineRule="auto"/>
        <w:ind w:left="426" w:hanging="426"/>
        <w:rPr>
          <w:szCs w:val="24"/>
        </w:rPr>
      </w:pPr>
      <w:r w:rsidRPr="00FB4EFA">
        <w:rPr>
          <w:szCs w:val="24"/>
        </w:rPr>
        <w:t xml:space="preserve">Heltai, Gáspár. 1980. </w:t>
      </w:r>
      <w:r w:rsidRPr="00FB4EFA">
        <w:rPr>
          <w:i/>
          <w:szCs w:val="24"/>
        </w:rPr>
        <w:t>Heltai Gáspár és Bornemisza Péter művei</w:t>
      </w:r>
      <w:r w:rsidRPr="00FB4EFA">
        <w:rPr>
          <w:szCs w:val="24"/>
        </w:rPr>
        <w:t>. Budapest</w:t>
      </w:r>
      <w:r w:rsidR="003863B8" w:rsidRPr="00FB4EFA">
        <w:rPr>
          <w:szCs w:val="24"/>
          <w:lang w:val="de-DE"/>
        </w:rPr>
        <w:t>:</w:t>
      </w:r>
      <w:r w:rsidRPr="00FB4EFA">
        <w:rPr>
          <w:szCs w:val="24"/>
        </w:rPr>
        <w:t xml:space="preserve"> Szépirodalmi Könyvkiadó.</w:t>
      </w:r>
    </w:p>
    <w:p w14:paraId="53936D75" w14:textId="5A588D87" w:rsidR="00CB6469" w:rsidRPr="00FB4EFA" w:rsidRDefault="00CB6469" w:rsidP="00AD79E8">
      <w:pPr>
        <w:suppressAutoHyphens/>
        <w:spacing w:line="240" w:lineRule="auto"/>
        <w:ind w:left="425" w:hanging="425"/>
      </w:pPr>
      <w:r w:rsidRPr="00FB4EFA">
        <w:rPr>
          <w:lang w:val="de-DE"/>
        </w:rPr>
        <w:t xml:space="preserve">Jesko, Friedrich. 2007. Historische Phraseologie des Deutschen. In </w:t>
      </w:r>
      <w:r w:rsidR="00E963B8" w:rsidRPr="00FB4EFA">
        <w:rPr>
          <w:lang w:val="de-DE"/>
        </w:rPr>
        <w:t xml:space="preserve">Harald </w:t>
      </w:r>
      <w:r w:rsidRPr="00FB4EFA">
        <w:rPr>
          <w:lang w:val="de-DE"/>
        </w:rPr>
        <w:t>Burger, Dmitrij Dobrovol’skij</w:t>
      </w:r>
      <w:r w:rsidR="00E963B8" w:rsidRPr="00FB4EFA">
        <w:rPr>
          <w:lang w:val="de-DE"/>
        </w:rPr>
        <w:t>,</w:t>
      </w:r>
      <w:r w:rsidRPr="00FB4EFA">
        <w:rPr>
          <w:lang w:val="de-DE"/>
        </w:rPr>
        <w:t xml:space="preserve"> Peter Kühn &amp; Neal R. Norrick (Hrsg.)</w:t>
      </w:r>
      <w:r w:rsidR="00E963B8" w:rsidRPr="00FB4EFA">
        <w:rPr>
          <w:lang w:val="de-DE"/>
        </w:rPr>
        <w:t>,</w:t>
      </w:r>
      <w:r w:rsidRPr="00FB4EFA">
        <w:rPr>
          <w:lang w:val="de-DE"/>
        </w:rPr>
        <w:t xml:space="preserve"> </w:t>
      </w:r>
      <w:r w:rsidRPr="00FB4EFA">
        <w:rPr>
          <w:i/>
          <w:iCs/>
          <w:lang w:val="de-DE"/>
        </w:rPr>
        <w:t xml:space="preserve">Phraseologie. Ein internationales Handbuch zeitgenössischer Forschung </w:t>
      </w:r>
      <w:r w:rsidRPr="00FB4EFA">
        <w:rPr>
          <w:lang w:val="de-DE"/>
        </w:rPr>
        <w:t>2</w:t>
      </w:r>
      <w:r w:rsidR="00E963B8" w:rsidRPr="00FB4EFA">
        <w:rPr>
          <w:lang w:val="de-DE"/>
        </w:rPr>
        <w:t>,</w:t>
      </w:r>
      <w:r w:rsidRPr="00FB4EFA">
        <w:rPr>
          <w:lang w:val="de-DE"/>
        </w:rPr>
        <w:t xml:space="preserve"> 1092–1106. Berlin</w:t>
      </w:r>
      <w:r w:rsidR="00E963B8" w:rsidRPr="00FB4EFA">
        <w:rPr>
          <w:lang w:val="de-DE"/>
        </w:rPr>
        <w:t xml:space="preserve"> </w:t>
      </w:r>
      <w:r w:rsidR="003863B8" w:rsidRPr="00FB4EFA">
        <w:rPr>
          <w:lang w:val="de-DE"/>
        </w:rPr>
        <w:t>/</w:t>
      </w:r>
      <w:r w:rsidR="00E963B8" w:rsidRPr="00FB4EFA">
        <w:rPr>
          <w:lang w:val="de-DE"/>
        </w:rPr>
        <w:t xml:space="preserve"> </w:t>
      </w:r>
      <w:r w:rsidRPr="00FB4EFA">
        <w:rPr>
          <w:lang w:val="de-DE"/>
        </w:rPr>
        <w:t>New York</w:t>
      </w:r>
      <w:r w:rsidR="003863B8" w:rsidRPr="00FB4EFA">
        <w:rPr>
          <w:szCs w:val="24"/>
          <w:lang w:val="de-DE"/>
        </w:rPr>
        <w:t>:</w:t>
      </w:r>
      <w:r w:rsidRPr="00FB4EFA">
        <w:rPr>
          <w:lang w:val="de-DE"/>
        </w:rPr>
        <w:t xml:space="preserve"> Walter de Gruyter.</w:t>
      </w:r>
    </w:p>
    <w:p w14:paraId="59DB1591" w14:textId="72F5FECC" w:rsidR="00CB6469" w:rsidRPr="00FB4EFA" w:rsidRDefault="00CB6469" w:rsidP="00AD79E8">
      <w:pPr>
        <w:suppressAutoHyphens/>
        <w:spacing w:line="240" w:lineRule="auto"/>
        <w:ind w:left="426" w:hanging="426"/>
        <w:rPr>
          <w:rFonts w:cs="Charis SIL"/>
        </w:rPr>
      </w:pPr>
      <w:r w:rsidRPr="00FB4EFA">
        <w:t xml:space="preserve">Kallós, Zsigmond. 1931. </w:t>
      </w:r>
      <w:r w:rsidRPr="00FB4EFA">
        <w:rPr>
          <w:rFonts w:cs="Charis SIL"/>
        </w:rPr>
        <w:t xml:space="preserve">Összehúzza a bagariát. </w:t>
      </w:r>
      <w:r w:rsidRPr="00FB4EFA">
        <w:rPr>
          <w:rFonts w:cs="Charis SIL"/>
          <w:i/>
        </w:rPr>
        <w:t xml:space="preserve">Magyar Nyelvőr </w:t>
      </w:r>
      <w:r w:rsidRPr="00FB4EFA">
        <w:rPr>
          <w:rFonts w:cs="Charis SIL"/>
        </w:rPr>
        <w:t>60</w:t>
      </w:r>
      <w:r w:rsidR="006E06D0" w:rsidRPr="00FB4EFA">
        <w:rPr>
          <w:rFonts w:cs="Charis SIL"/>
        </w:rPr>
        <w:t>.</w:t>
      </w:r>
      <w:r w:rsidRPr="00FB4EFA">
        <w:rPr>
          <w:rFonts w:cs="Charis SIL"/>
        </w:rPr>
        <w:t xml:space="preserve"> 31.</w:t>
      </w:r>
    </w:p>
    <w:p w14:paraId="6717F7A0" w14:textId="2B0A7E03" w:rsidR="000121EA" w:rsidRPr="00FB4EFA" w:rsidRDefault="00CB6469" w:rsidP="00AD79E8">
      <w:pPr>
        <w:keepLines/>
        <w:suppressAutoHyphens/>
        <w:spacing w:line="240" w:lineRule="auto"/>
        <w:ind w:left="425" w:hanging="425"/>
      </w:pPr>
      <w:r w:rsidRPr="00FB4EFA">
        <w:rPr>
          <w:rFonts w:cs="Charis SIL"/>
        </w:rPr>
        <w:t>Károly, Sándor. 1980. Szavak, szerkezetek morfológiai tagoltságának változásai és a jelentés. In Rácz Endre &amp; István Szathmári</w:t>
      </w:r>
      <w:r w:rsidRPr="00FB4EFA">
        <w:t xml:space="preserve"> (Hrsg.)</w:t>
      </w:r>
      <w:r w:rsidR="00E963B8" w:rsidRPr="00FB4EFA">
        <w:t>,</w:t>
      </w:r>
      <w:r w:rsidRPr="00FB4EFA">
        <w:t xml:space="preserve"> </w:t>
      </w:r>
      <w:r w:rsidRPr="00FB4EFA">
        <w:rPr>
          <w:i/>
        </w:rPr>
        <w:t xml:space="preserve">Tanulmányok a mai magyar nyelv szókészlettana és jelentéstana </w:t>
      </w:r>
      <w:r w:rsidRPr="00FB4EFA">
        <w:rPr>
          <w:rFonts w:cs="Charis SIL"/>
          <w:i/>
        </w:rPr>
        <w:t>köréből</w:t>
      </w:r>
      <w:r w:rsidR="00E963B8" w:rsidRPr="00FB4EFA">
        <w:t>,</w:t>
      </w:r>
      <w:r w:rsidRPr="00FB4EFA">
        <w:t xml:space="preserve"> 121–155. Budapest</w:t>
      </w:r>
      <w:r w:rsidR="003863B8" w:rsidRPr="00FB4EFA">
        <w:rPr>
          <w:szCs w:val="24"/>
          <w:lang w:val="de-DE"/>
        </w:rPr>
        <w:t>:</w:t>
      </w:r>
      <w:r w:rsidRPr="00FB4EFA">
        <w:t xml:space="preserve"> Tankönyvkiadó.</w:t>
      </w:r>
    </w:p>
    <w:p w14:paraId="1140A2B4" w14:textId="0E3EF6C5" w:rsidR="00CB6469" w:rsidRPr="00FB4EFA" w:rsidRDefault="00CB6469" w:rsidP="00AD79E8">
      <w:pPr>
        <w:keepLines/>
        <w:suppressAutoHyphens/>
        <w:spacing w:line="240" w:lineRule="auto"/>
        <w:ind w:left="425" w:hanging="425"/>
        <w:rPr>
          <w:lang w:val="de-DE"/>
        </w:rPr>
      </w:pPr>
      <w:r w:rsidRPr="00FB4EFA">
        <w:rPr>
          <w:lang w:val="de-DE"/>
        </w:rPr>
        <w:lastRenderedPageBreak/>
        <w:t xml:space="preserve">Korhonen, Jarmo. 1994. Zur </w:t>
      </w:r>
      <w:r w:rsidRPr="00FB4EFA">
        <w:t>historischen</w:t>
      </w:r>
      <w:r w:rsidRPr="00FB4EFA">
        <w:rPr>
          <w:lang w:val="de-DE"/>
        </w:rPr>
        <w:t xml:space="preserve"> Entwicklung von Verbidiomen im 19. und 20. Jahrhundert. In </w:t>
      </w:r>
      <w:r w:rsidR="00A5239C" w:rsidRPr="00FB4EFA">
        <w:rPr>
          <w:lang w:val="de-DE"/>
        </w:rPr>
        <w:t xml:space="preserve">Barbara </w:t>
      </w:r>
      <w:r w:rsidRPr="00FB4EFA">
        <w:rPr>
          <w:lang w:val="de-DE"/>
        </w:rPr>
        <w:t>Sandig (Hrsg.)</w:t>
      </w:r>
      <w:r w:rsidR="00E963B8" w:rsidRPr="00FB4EFA">
        <w:rPr>
          <w:lang w:val="de-DE"/>
        </w:rPr>
        <w:t>,</w:t>
      </w:r>
      <w:r w:rsidRPr="00FB4EFA">
        <w:rPr>
          <w:lang w:val="de-DE"/>
        </w:rPr>
        <w:t xml:space="preserve"> </w:t>
      </w:r>
      <w:r w:rsidRPr="00FB4EFA">
        <w:rPr>
          <w:i/>
          <w:lang w:val="de-DE"/>
        </w:rPr>
        <w:t>Europhras 92: Tendenzen der Phraseologieforschung</w:t>
      </w:r>
      <w:r w:rsidR="00E963B8" w:rsidRPr="00FB4EFA">
        <w:rPr>
          <w:lang w:val="de-DE"/>
        </w:rPr>
        <w:t>, 375–409</w:t>
      </w:r>
      <w:r w:rsidRPr="00FB4EFA">
        <w:rPr>
          <w:lang w:val="de-DE"/>
        </w:rPr>
        <w:t>. Studien zur Phraseologie und Parömiologie 1. Bochum</w:t>
      </w:r>
      <w:r w:rsidR="003863B8" w:rsidRPr="00FB4EFA">
        <w:rPr>
          <w:szCs w:val="24"/>
          <w:lang w:val="de-DE"/>
        </w:rPr>
        <w:t>:</w:t>
      </w:r>
      <w:r w:rsidRPr="00FB4EFA">
        <w:rPr>
          <w:lang w:val="de-DE"/>
        </w:rPr>
        <w:t xml:space="preserve"> Universitätsverlag Brockmeyer.</w:t>
      </w:r>
    </w:p>
    <w:p w14:paraId="77AE8B49" w14:textId="1B6F71F7" w:rsidR="00CB6469" w:rsidRPr="00FB4EFA" w:rsidRDefault="00CB6469" w:rsidP="00AD79E8">
      <w:pPr>
        <w:suppressAutoHyphens/>
        <w:spacing w:line="240" w:lineRule="auto"/>
        <w:ind w:left="426" w:hanging="426"/>
        <w:rPr>
          <w:szCs w:val="24"/>
        </w:rPr>
      </w:pPr>
      <w:r w:rsidRPr="00FB4EFA">
        <w:rPr>
          <w:szCs w:val="24"/>
        </w:rPr>
        <w:t xml:space="preserve">Margalits, Ede. 1896. </w:t>
      </w:r>
      <w:r w:rsidRPr="00FB4EFA">
        <w:rPr>
          <w:i/>
          <w:iCs/>
          <w:szCs w:val="24"/>
        </w:rPr>
        <w:t>Magyar közmondások és közmondásszerű sz</w:t>
      </w:r>
      <w:r w:rsidRPr="00FB4EFA">
        <w:rPr>
          <w:rFonts w:cs="Baskerville Old Face"/>
          <w:i/>
          <w:iCs/>
          <w:szCs w:val="24"/>
        </w:rPr>
        <w:t>ó</w:t>
      </w:r>
      <w:r w:rsidRPr="00FB4EFA">
        <w:rPr>
          <w:i/>
          <w:iCs/>
          <w:szCs w:val="24"/>
        </w:rPr>
        <w:t>l</w:t>
      </w:r>
      <w:r w:rsidRPr="00FB4EFA">
        <w:rPr>
          <w:rFonts w:cs="Baskerville Old Face"/>
          <w:i/>
          <w:iCs/>
          <w:szCs w:val="24"/>
        </w:rPr>
        <w:t>á</w:t>
      </w:r>
      <w:r w:rsidRPr="00FB4EFA">
        <w:rPr>
          <w:i/>
          <w:iCs/>
          <w:szCs w:val="24"/>
        </w:rPr>
        <w:t>sok</w:t>
      </w:r>
      <w:r w:rsidRPr="00FB4EFA">
        <w:rPr>
          <w:szCs w:val="24"/>
        </w:rPr>
        <w:t>. Budapest</w:t>
      </w:r>
      <w:r w:rsidR="003863B8" w:rsidRPr="00FB4EFA">
        <w:rPr>
          <w:szCs w:val="24"/>
          <w:lang w:val="de-DE"/>
        </w:rPr>
        <w:t>:</w:t>
      </w:r>
      <w:r w:rsidR="003863B8" w:rsidRPr="00FB4EFA">
        <w:rPr>
          <w:szCs w:val="24"/>
        </w:rPr>
        <w:t xml:space="preserve"> Akadémiai Kiadó.</w:t>
      </w:r>
    </w:p>
    <w:p w14:paraId="603D8FC8" w14:textId="664CF9A3" w:rsidR="000121EA" w:rsidRPr="00FB4EFA" w:rsidRDefault="00CB6469" w:rsidP="00AD79E8">
      <w:pPr>
        <w:suppressAutoHyphens/>
        <w:spacing w:line="240" w:lineRule="auto"/>
        <w:ind w:left="426" w:hanging="426"/>
      </w:pPr>
      <w:r w:rsidRPr="00FB4EFA">
        <w:t xml:space="preserve">MNSzt. = </w:t>
      </w:r>
      <w:r w:rsidRPr="00FB4EFA">
        <w:rPr>
          <w:i/>
        </w:rPr>
        <w:t>Magyar nemzeti szövegtár</w:t>
      </w:r>
      <w:r w:rsidRPr="00FB4EFA">
        <w:t xml:space="preserve">. </w:t>
      </w:r>
      <w:r w:rsidRPr="00FB4EFA">
        <w:rPr>
          <w:i/>
        </w:rPr>
        <w:t>Elektronikus adatbázis, a mai magyar írott köznyelv általános célú reprezentatív korpusza</w:t>
      </w:r>
      <w:r w:rsidRPr="00FB4EFA">
        <w:t xml:space="preserve"> </w:t>
      </w:r>
      <w:r w:rsidR="00A8325C" w:rsidRPr="00FB4EFA">
        <w:t>[</w:t>
      </w:r>
      <w:r w:rsidRPr="00FB4EFA">
        <w:t>Nationaler Textkorpus des Ungarischen</w:t>
      </w:r>
      <w:r w:rsidR="00A8325C" w:rsidRPr="00FB4EFA">
        <w:t>]</w:t>
      </w:r>
      <w:r w:rsidRPr="00FB4EFA">
        <w:t>. Budapest</w:t>
      </w:r>
      <w:r w:rsidR="003863B8" w:rsidRPr="00FB4EFA">
        <w:rPr>
          <w:lang w:val="de-DE"/>
        </w:rPr>
        <w:t>:</w:t>
      </w:r>
      <w:r w:rsidRPr="00FB4EFA">
        <w:t xml:space="preserve"> MTA Nyelvtudományi Intézet. </w:t>
      </w:r>
      <w:hyperlink r:id="rId270">
        <w:r w:rsidRPr="00FB4EFA">
          <w:rPr>
            <w:rStyle w:val="AuthorsChar"/>
            <w:rFonts w:ascii="Cambria" w:hAnsi="Cambria"/>
            <w:i w:val="0"/>
            <w:iCs/>
            <w:color w:val="auto"/>
            <w:u w:val="single"/>
            <w:lang w:val="de-AT"/>
          </w:rPr>
          <w:t>corpus.nytud.hu/mnsz</w:t>
        </w:r>
      </w:hyperlink>
      <w:r w:rsidR="00A8325C" w:rsidRPr="00FB4EFA">
        <w:t>.</w:t>
      </w:r>
    </w:p>
    <w:p w14:paraId="074ABECE" w14:textId="7616704E" w:rsidR="00CB6469" w:rsidRPr="00FB4EFA" w:rsidRDefault="00CB6469" w:rsidP="00AD79E8">
      <w:pPr>
        <w:suppressAutoHyphens/>
        <w:spacing w:line="240" w:lineRule="auto"/>
        <w:ind w:left="426" w:hanging="426"/>
      </w:pPr>
      <w:r w:rsidRPr="00FB4EFA">
        <w:rPr>
          <w:shd w:val="clear" w:color="auto" w:fill="FFFFFF"/>
          <w:lang w:val="de-DE"/>
        </w:rPr>
        <w:t>Mokienko, Valerij. 2002: Prinzipien einer historisch-etymologischen Analyse der Phraseologie. In</w:t>
      </w:r>
      <w:r w:rsidR="00466236" w:rsidRPr="00FB4EFA">
        <w:rPr>
          <w:shd w:val="clear" w:color="auto" w:fill="FFFFFF"/>
          <w:lang w:val="de-DE"/>
        </w:rPr>
        <w:t xml:space="preserve"> Dieter</w:t>
      </w:r>
      <w:r w:rsidRPr="00FB4EFA">
        <w:rPr>
          <w:shd w:val="clear" w:color="auto" w:fill="FFFFFF"/>
          <w:lang w:val="de-DE"/>
        </w:rPr>
        <w:t xml:space="preserve"> Hartmann</w:t>
      </w:r>
      <w:r w:rsidR="00466236" w:rsidRPr="00FB4EFA">
        <w:rPr>
          <w:shd w:val="clear" w:color="auto" w:fill="FFFFFF"/>
          <w:lang w:val="de-DE"/>
        </w:rPr>
        <w:t xml:space="preserve"> </w:t>
      </w:r>
      <w:r w:rsidRPr="00FB4EFA">
        <w:rPr>
          <w:shd w:val="clear" w:color="auto" w:fill="FFFFFF"/>
          <w:lang w:val="de-DE"/>
        </w:rPr>
        <w:t>&amp; Jan Wirrer (Hrsg.)</w:t>
      </w:r>
      <w:r w:rsidR="00466236" w:rsidRPr="00FB4EFA">
        <w:rPr>
          <w:shd w:val="clear" w:color="auto" w:fill="FFFFFF"/>
          <w:lang w:val="de-DE"/>
        </w:rPr>
        <w:t>,</w:t>
      </w:r>
      <w:r w:rsidRPr="00FB4EFA">
        <w:rPr>
          <w:shd w:val="clear" w:color="auto" w:fill="FFFFFF"/>
          <w:lang w:val="de-DE"/>
        </w:rPr>
        <w:t xml:space="preserve"> </w:t>
      </w:r>
      <w:r w:rsidRPr="00FB4EFA">
        <w:rPr>
          <w:i/>
          <w:shd w:val="clear" w:color="auto" w:fill="FFFFFF"/>
          <w:lang w:val="de-DE"/>
        </w:rPr>
        <w:t>Wer A sägt, muss auch B sägen. Beiträge zur Phraseologie aus dem Westfälischen Arbeitskreis</w:t>
      </w:r>
      <w:r w:rsidR="00466236" w:rsidRPr="00FB4EFA">
        <w:rPr>
          <w:shd w:val="clear" w:color="auto" w:fill="FFFFFF"/>
          <w:lang w:val="de-DE"/>
        </w:rPr>
        <w:t>, 231–254.</w:t>
      </w:r>
      <w:r w:rsidRPr="00FB4EFA">
        <w:rPr>
          <w:shd w:val="clear" w:color="auto" w:fill="FFFFFF"/>
          <w:lang w:val="de-DE"/>
        </w:rPr>
        <w:t xml:space="preserve"> Phraseologie und Parömiologie 9. </w:t>
      </w:r>
      <w:r w:rsidR="003863B8" w:rsidRPr="00FB4EFA">
        <w:rPr>
          <w:shd w:val="clear" w:color="auto" w:fill="FFFFFF"/>
          <w:lang w:val="de-DE"/>
        </w:rPr>
        <w:t>Baltmannsweiler</w:t>
      </w:r>
      <w:r w:rsidR="003863B8" w:rsidRPr="00FB4EFA">
        <w:rPr>
          <w:lang w:val="de-DE"/>
        </w:rPr>
        <w:t>:</w:t>
      </w:r>
      <w:r w:rsidR="003863B8" w:rsidRPr="00FB4EFA">
        <w:rPr>
          <w:shd w:val="clear" w:color="auto" w:fill="FFFFFF"/>
          <w:lang w:val="de-DE"/>
        </w:rPr>
        <w:t xml:space="preserve"> </w:t>
      </w:r>
      <w:r w:rsidRPr="00FB4EFA">
        <w:rPr>
          <w:shd w:val="clear" w:color="auto" w:fill="FFFFFF"/>
          <w:lang w:val="de-DE"/>
        </w:rPr>
        <w:t>Schneider Verlag.</w:t>
      </w:r>
    </w:p>
    <w:p w14:paraId="5986A9D8" w14:textId="0D646008" w:rsidR="00CB6469" w:rsidRPr="00FB4EFA" w:rsidRDefault="00CB6469" w:rsidP="00AD79E8">
      <w:pPr>
        <w:suppressAutoHyphens/>
        <w:spacing w:line="240" w:lineRule="auto"/>
        <w:ind w:left="426" w:hanging="426"/>
      </w:pPr>
      <w:r w:rsidRPr="00FB4EFA">
        <w:t xml:space="preserve">NySz. = </w:t>
      </w:r>
      <w:r w:rsidRPr="00FB4EFA">
        <w:rPr>
          <w:i/>
          <w:iCs/>
        </w:rPr>
        <w:t xml:space="preserve">Magyar nyelvtörténeti szótár </w:t>
      </w:r>
      <w:r w:rsidR="00C65823" w:rsidRPr="00FB4EFA">
        <w:rPr>
          <w:iCs/>
        </w:rPr>
        <w:t>1–3</w:t>
      </w:r>
      <w:r w:rsidRPr="00FB4EFA">
        <w:rPr>
          <w:iCs/>
        </w:rPr>
        <w:t>.</w:t>
      </w:r>
      <w:r w:rsidRPr="00FB4EFA">
        <w:t xml:space="preserve"> Ed. Szarvas, Gábor &amp; Zsigmond Simonyi. 1890–1893. Budapest</w:t>
      </w:r>
      <w:r w:rsidR="003863B8" w:rsidRPr="00FB4EFA">
        <w:rPr>
          <w:lang w:val="de-DE"/>
        </w:rPr>
        <w:t>:</w:t>
      </w:r>
      <w:r w:rsidRPr="00FB4EFA">
        <w:t xml:space="preserve"> Hornyánszky Viktor kiadása.</w:t>
      </w:r>
    </w:p>
    <w:p w14:paraId="0B716BE7" w14:textId="77777777" w:rsidR="000121EA" w:rsidRPr="00FB4EFA" w:rsidRDefault="00CB6469" w:rsidP="00AD79E8">
      <w:pPr>
        <w:suppressAutoHyphens/>
        <w:spacing w:line="240" w:lineRule="auto"/>
        <w:ind w:left="426" w:hanging="426"/>
      </w:pPr>
      <w:r w:rsidRPr="00FB4EFA">
        <w:t xml:space="preserve">O. Nagy, Gábor. 1976. </w:t>
      </w:r>
      <w:r w:rsidRPr="00FB4EFA">
        <w:rPr>
          <w:i/>
        </w:rPr>
        <w:t>Magyar szólások és közmondások</w:t>
      </w:r>
      <w:r w:rsidRPr="00FB4EFA">
        <w:t>. 2. Aufl. Budapest</w:t>
      </w:r>
      <w:r w:rsidR="003863B8" w:rsidRPr="00FB4EFA">
        <w:rPr>
          <w:lang w:val="de-DE"/>
        </w:rPr>
        <w:t>:</w:t>
      </w:r>
      <w:r w:rsidRPr="00FB4EFA">
        <w:t xml:space="preserve"> Gondolat Kiadó.</w:t>
      </w:r>
    </w:p>
    <w:p w14:paraId="7F01FE19" w14:textId="34C1D767" w:rsidR="00CB6469" w:rsidRPr="00FB4EFA" w:rsidRDefault="00CB6469" w:rsidP="00AD79E8">
      <w:pPr>
        <w:suppressAutoHyphens/>
        <w:spacing w:line="240" w:lineRule="auto"/>
        <w:ind w:left="426" w:hanging="426"/>
      </w:pPr>
      <w:r w:rsidRPr="00FB4EFA">
        <w:t xml:space="preserve">O. Nagy, Gábor. 1977: </w:t>
      </w:r>
      <w:r w:rsidRPr="00FB4EFA">
        <w:rPr>
          <w:i/>
        </w:rPr>
        <w:t>A magyar frazeológiai kutatások története.</w:t>
      </w:r>
      <w:r w:rsidRPr="00FB4EFA">
        <w:t xml:space="preserve"> Nyelvtudományi Értekezések 95. Budapest</w:t>
      </w:r>
      <w:r w:rsidR="003863B8" w:rsidRPr="00FB4EFA">
        <w:rPr>
          <w:lang w:val="de-DE"/>
        </w:rPr>
        <w:t>:</w:t>
      </w:r>
      <w:r w:rsidRPr="00FB4EFA">
        <w:t xml:space="preserve"> Akadémiai Kiadó.</w:t>
      </w:r>
    </w:p>
    <w:p w14:paraId="0A7E049D" w14:textId="6BE4F7BA" w:rsidR="00CB6469" w:rsidRPr="00FB4EFA" w:rsidRDefault="00CB6469" w:rsidP="00AD79E8">
      <w:pPr>
        <w:suppressAutoHyphens/>
        <w:spacing w:line="240" w:lineRule="auto"/>
        <w:ind w:left="426" w:hanging="426"/>
        <w:rPr>
          <w:lang w:val="es-ES"/>
        </w:rPr>
      </w:pPr>
      <w:r w:rsidRPr="00FB4EFA">
        <w:t xml:space="preserve">O. Nagy, Gábor. 1979. </w:t>
      </w:r>
      <w:r w:rsidRPr="00FB4EFA">
        <w:rPr>
          <w:i/>
        </w:rPr>
        <w:t>Mi fán terem? Magyar szólásmondások eredete</w:t>
      </w:r>
      <w:r w:rsidRPr="00FB4EFA">
        <w:t xml:space="preserve">. 3. </w:t>
      </w:r>
      <w:r w:rsidRPr="00FB4EFA">
        <w:rPr>
          <w:lang w:val="es-ES"/>
        </w:rPr>
        <w:t>Aufl. Budapest</w:t>
      </w:r>
      <w:r w:rsidR="003863B8" w:rsidRPr="00FB4EFA">
        <w:rPr>
          <w:lang w:val="de-DE"/>
        </w:rPr>
        <w:t>:</w:t>
      </w:r>
      <w:r w:rsidRPr="00FB4EFA">
        <w:rPr>
          <w:lang w:val="es-ES"/>
        </w:rPr>
        <w:t xml:space="preserve"> Gondolat Kiadó.</w:t>
      </w:r>
    </w:p>
    <w:p w14:paraId="1F83B482" w14:textId="39913A26" w:rsidR="00CB6469" w:rsidRPr="00FB4EFA" w:rsidRDefault="00CB6469" w:rsidP="00AD79E8">
      <w:pPr>
        <w:suppressAutoHyphens/>
        <w:spacing w:line="240" w:lineRule="auto"/>
        <w:ind w:left="426" w:hanging="426"/>
      </w:pPr>
      <w:r w:rsidRPr="00FB4EFA">
        <w:rPr>
          <w:lang w:val="es-ES"/>
        </w:rPr>
        <w:t xml:space="preserve">Pásztor, János. 1970. A magyar katonai terminológia kialakulása. (A hadi élet szavai Zrínyi Miklós koráig.) </w:t>
      </w:r>
      <w:r w:rsidRPr="00FB4EFA">
        <w:rPr>
          <w:i/>
        </w:rPr>
        <w:t>Hadtörténelmi Közlemények</w:t>
      </w:r>
      <w:r w:rsidRPr="00FB4EFA">
        <w:t xml:space="preserve"> 17</w:t>
      </w:r>
      <w:r w:rsidR="00A8325C" w:rsidRPr="00FB4EFA">
        <w:t>.</w:t>
      </w:r>
      <w:r w:rsidRPr="00FB4EFA">
        <w:t xml:space="preserve"> 634–676.</w:t>
      </w:r>
    </w:p>
    <w:p w14:paraId="1AB09EEB" w14:textId="4B5106F9" w:rsidR="00CB6469" w:rsidRPr="00FB4EFA" w:rsidRDefault="00CB6469" w:rsidP="00AD79E8">
      <w:pPr>
        <w:suppressAutoHyphens/>
        <w:spacing w:line="240" w:lineRule="auto"/>
        <w:ind w:left="426" w:hanging="426"/>
        <w:rPr>
          <w:lang w:val="de-DE"/>
        </w:rPr>
      </w:pPr>
      <w:r w:rsidRPr="00FB4EFA">
        <w:rPr>
          <w:lang w:val="de-DE"/>
        </w:rPr>
        <w:t>Röhrich 1991</w:t>
      </w:r>
      <w:r w:rsidR="00216577" w:rsidRPr="00FB4EFA">
        <w:rPr>
          <w:lang w:val="de-DE"/>
        </w:rPr>
        <w:t>–1992</w:t>
      </w:r>
      <w:r w:rsidRPr="00FB4EFA">
        <w:rPr>
          <w:lang w:val="de-DE"/>
        </w:rPr>
        <w:t xml:space="preserve"> = </w:t>
      </w:r>
      <w:r w:rsidR="00054818" w:rsidRPr="00FB4EFA">
        <w:rPr>
          <w:lang w:val="de-DE"/>
        </w:rPr>
        <w:t xml:space="preserve">Lutz </w:t>
      </w:r>
      <w:r w:rsidRPr="00FB4EFA">
        <w:rPr>
          <w:lang w:val="de-DE"/>
        </w:rPr>
        <w:t xml:space="preserve">Röhrich. </w:t>
      </w:r>
      <w:r w:rsidRPr="00FB4EFA">
        <w:rPr>
          <w:i/>
          <w:iCs/>
          <w:lang w:val="de-DE"/>
        </w:rPr>
        <w:t>Lexikon der sprichwörtlichen Redensarten</w:t>
      </w:r>
      <w:r w:rsidRPr="00FB4EFA">
        <w:rPr>
          <w:lang w:val="de-DE"/>
        </w:rPr>
        <w:t xml:space="preserve"> </w:t>
      </w:r>
      <w:r w:rsidR="00C65823" w:rsidRPr="00FB4EFA">
        <w:rPr>
          <w:lang w:val="de-DE"/>
        </w:rPr>
        <w:t>1–3</w:t>
      </w:r>
      <w:r w:rsidRPr="00FB4EFA">
        <w:rPr>
          <w:lang w:val="de-DE"/>
        </w:rPr>
        <w:t>. Freiburg</w:t>
      </w:r>
      <w:r w:rsidR="003863B8" w:rsidRPr="00FB4EFA">
        <w:rPr>
          <w:lang w:val="de-DE"/>
        </w:rPr>
        <w:t>:</w:t>
      </w:r>
      <w:r w:rsidRPr="00FB4EFA">
        <w:rPr>
          <w:lang w:val="de-DE"/>
        </w:rPr>
        <w:t xml:space="preserve"> Herder Verlag.</w:t>
      </w:r>
    </w:p>
    <w:p w14:paraId="5437C552" w14:textId="77777777" w:rsidR="00E22368" w:rsidRPr="00FB4EFA" w:rsidRDefault="00CB6469" w:rsidP="00AD79E8">
      <w:pPr>
        <w:suppressAutoHyphens/>
        <w:spacing w:line="240" w:lineRule="auto"/>
        <w:ind w:left="426" w:hanging="426"/>
      </w:pPr>
      <w:r w:rsidRPr="00FB4EFA">
        <w:t xml:space="preserve">TESz. = </w:t>
      </w:r>
      <w:r w:rsidRPr="00FB4EFA">
        <w:rPr>
          <w:i/>
        </w:rPr>
        <w:t>A magyar nyelv történeti-etimológiai szótára</w:t>
      </w:r>
      <w:r w:rsidRPr="00FB4EFA">
        <w:t xml:space="preserve"> 1–3. Hrsg. Benkő Lor</w:t>
      </w:r>
      <w:r w:rsidRPr="00FB4EFA">
        <w:rPr>
          <w:rFonts w:cs="Baskerville Old Face"/>
        </w:rPr>
        <w:t>á</w:t>
      </w:r>
      <w:r w:rsidRPr="00FB4EFA">
        <w:t>nd</w:t>
      </w:r>
      <w:r w:rsidRPr="00FB4EFA">
        <w:rPr>
          <w:smallCaps/>
        </w:rPr>
        <w:t>.</w:t>
      </w:r>
      <w:r w:rsidRPr="00FB4EFA">
        <w:t xml:space="preserve"> 1967–1976. Budapest</w:t>
      </w:r>
      <w:r w:rsidR="003863B8" w:rsidRPr="00FB4EFA">
        <w:rPr>
          <w:lang w:val="de-DE"/>
        </w:rPr>
        <w:t>:</w:t>
      </w:r>
      <w:r w:rsidRPr="00FB4EFA">
        <w:t xml:space="preserve"> Akadémiai Kiadó.</w:t>
      </w:r>
    </w:p>
    <w:p w14:paraId="7328CB5C" w14:textId="559CCC4D" w:rsidR="00E22368" w:rsidRPr="00FB4EFA" w:rsidRDefault="00CB6469" w:rsidP="00AD79E8">
      <w:pPr>
        <w:suppressAutoHyphens/>
        <w:spacing w:line="240" w:lineRule="auto"/>
        <w:ind w:left="426" w:hanging="426"/>
        <w:rPr>
          <w:szCs w:val="24"/>
          <w:lang w:val="de-DE"/>
        </w:rPr>
      </w:pPr>
      <w:r w:rsidRPr="00FB4EFA">
        <w:rPr>
          <w:lang w:val="de-DE"/>
        </w:rPr>
        <w:t xml:space="preserve">Wander, Karl Friedrich Wilhelm. 1867–1880. </w:t>
      </w:r>
      <w:r w:rsidRPr="00FB4EFA">
        <w:rPr>
          <w:i/>
          <w:iCs/>
          <w:lang w:val="de-DE"/>
        </w:rPr>
        <w:t>Deutsches Sprichwörterlexikon. Ein Hausschatz für das deutsche Volk</w:t>
      </w:r>
      <w:r w:rsidRPr="00FB4EFA">
        <w:rPr>
          <w:lang w:val="de-DE"/>
        </w:rPr>
        <w:t xml:space="preserve"> </w:t>
      </w:r>
      <w:r w:rsidR="00C65823" w:rsidRPr="00FB4EFA">
        <w:rPr>
          <w:lang w:val="de-DE"/>
        </w:rPr>
        <w:t>1–5</w:t>
      </w:r>
      <w:r w:rsidRPr="00FB4EFA">
        <w:rPr>
          <w:lang w:val="de-DE"/>
        </w:rPr>
        <w:t>. Leipzig</w:t>
      </w:r>
      <w:r w:rsidR="003863B8" w:rsidRPr="00FB4EFA">
        <w:rPr>
          <w:lang w:val="de-DE"/>
        </w:rPr>
        <w:t>:</w:t>
      </w:r>
      <w:r w:rsidRPr="00FB4EFA">
        <w:rPr>
          <w:lang w:val="de-DE"/>
        </w:rPr>
        <w:t xml:space="preserve"> Brockhaus</w:t>
      </w:r>
      <w:r w:rsidR="003863B8" w:rsidRPr="00FB4EFA">
        <w:rPr>
          <w:lang w:val="de-DE"/>
        </w:rPr>
        <w:t>.</w:t>
      </w:r>
    </w:p>
    <w:p w14:paraId="0072046A" w14:textId="77777777" w:rsidR="007662D7" w:rsidRPr="00FB4EFA" w:rsidRDefault="007662D7" w:rsidP="00AF0CAD">
      <w:pPr>
        <w:pStyle w:val="Authors"/>
        <w:spacing w:line="259" w:lineRule="auto"/>
        <w:rPr>
          <w:color w:val="auto"/>
        </w:rPr>
        <w:sectPr w:rsidR="007662D7" w:rsidRPr="00FB4EFA" w:rsidSect="007662D7">
          <w:footnotePr>
            <w:numRestart w:val="eachSect"/>
          </w:footnotePr>
          <w:pgSz w:w="9180" w:h="13302"/>
          <w:pgMar w:top="779" w:right="1133" w:bottom="1132" w:left="1133" w:header="744" w:footer="720" w:gutter="0"/>
          <w:cols w:space="720"/>
          <w:titlePg/>
        </w:sectPr>
      </w:pPr>
    </w:p>
    <w:p w14:paraId="41F661FB" w14:textId="0B1E5776" w:rsidR="00A96E85" w:rsidRPr="00FB4EFA" w:rsidRDefault="00A96E85" w:rsidP="00AF0CAD">
      <w:pPr>
        <w:pStyle w:val="Authors"/>
        <w:spacing w:line="259" w:lineRule="auto"/>
        <w:rPr>
          <w:color w:val="auto"/>
        </w:rPr>
      </w:pPr>
      <w:r w:rsidRPr="00FB4EFA">
        <w:rPr>
          <w:color w:val="auto"/>
        </w:rPr>
        <w:lastRenderedPageBreak/>
        <w:t>Cornelius Hasselblatt</w:t>
      </w:r>
    </w:p>
    <w:p w14:paraId="2D3D5341" w14:textId="77777777" w:rsidR="000121EA" w:rsidRPr="00FB4EFA" w:rsidRDefault="000121EA" w:rsidP="000121EA">
      <w:pPr>
        <w:rPr>
          <w:lang w:val="en-GB"/>
        </w:rPr>
      </w:pPr>
      <w:bookmarkStart w:id="56" w:name="_Hlk74313283"/>
    </w:p>
    <w:p w14:paraId="07F9C8EB" w14:textId="77777777" w:rsidR="00A96E85" w:rsidRPr="00FB4EFA" w:rsidRDefault="00A96E85" w:rsidP="00994E2A">
      <w:pPr>
        <w:pStyle w:val="Heading1"/>
        <w:suppressAutoHyphens/>
        <w:spacing w:line="259" w:lineRule="auto"/>
        <w:rPr>
          <w:color w:val="auto"/>
        </w:rPr>
      </w:pPr>
      <w:r w:rsidRPr="00FB4EFA">
        <w:rPr>
          <w:color w:val="auto"/>
        </w:rPr>
        <w:t>Die Frau im estnischen Lexikon 2.0</w:t>
      </w:r>
      <w:bookmarkEnd w:id="56"/>
    </w:p>
    <w:p w14:paraId="149D8CA1" w14:textId="6B4E7FD0" w:rsidR="00A96E85" w:rsidRPr="00FB4EFA" w:rsidRDefault="00A96E85" w:rsidP="00402EF4">
      <w:pPr>
        <w:rPr>
          <w:lang w:val="de-DE"/>
        </w:rPr>
      </w:pPr>
      <w:r w:rsidRPr="00FB4EFA">
        <w:rPr>
          <w:lang w:val="de-DE"/>
        </w:rPr>
        <w:t xml:space="preserve">Ein knappes Vierteljahrhundert ist zur Rechtfertigung des Aufsatztitels sprachgeschichtlich zu marginal, aber ich konnte mir diese augenzwinkernde Überschrift aus triftigen Gründen nicht verkneifen: Erstens war es eine von der Jubilarin mitherausgegebene Festschrift (sic), in der ich </w:t>
      </w:r>
      <w:r w:rsidR="00394635" w:rsidRPr="00FB4EFA">
        <w:rPr>
          <w:lang w:val="de-DE"/>
        </w:rPr>
        <w:t>zum</w:t>
      </w:r>
      <w:r w:rsidRPr="00FB4EFA">
        <w:rPr>
          <w:lang w:val="de-DE"/>
        </w:rPr>
        <w:t xml:space="preserve"> erste</w:t>
      </w:r>
      <w:r w:rsidR="00394635" w:rsidRPr="00FB4EFA">
        <w:rPr>
          <w:lang w:val="de-DE"/>
        </w:rPr>
        <w:t>n</w:t>
      </w:r>
      <w:r w:rsidRPr="00FB4EFA">
        <w:rPr>
          <w:lang w:val="de-DE"/>
        </w:rPr>
        <w:t xml:space="preserve"> Mal einen Aufsatz mit diesem Titel publizierte (Hasselblatt 1998). Sie galt ihrem Lehrer Seppo Suhonen, den auch der Verfasser dieser Zeilen zu seinen Ausbildern zählen darf. Zweitens war die Genderthematik ausdrücklich als eines der Fachgebiete der Jubilarin genannt und erwünscht, und in diesem Bereich haben wir auch zusammengearbeitet, beispielsweise bei der Veranstaltung des Ersten Symposiums zur Genderlinguistik in der Finnougristik im Oktober 2002 in Wien. Und drittens ist nicht auszuschließen, dass in unserer von Akzeleration gekennzeichneten Zeit innerhalb eines Vierteljahrhunderts vielleicht doch die eine oder andere sprachliche Veränderung dingfest gemacht werden kann. Zwischen den Computerbetriebssystemen Windows 1.0 (November 1985) und Windows 2.0 (Dezember 1987) lagen gerade einmal zwei Jahre, warum sollen im elektronischen 21. Jahrhundert 25 Jahre für eine Sprache keine ausreichende Zeitspanne für Veränderung sein?</w:t>
      </w:r>
    </w:p>
    <w:p w14:paraId="6709B953" w14:textId="77777777" w:rsidR="00A96E85" w:rsidRPr="00FB4EFA" w:rsidRDefault="00A96E85" w:rsidP="00402EF4">
      <w:pPr>
        <w:ind w:firstLine="709"/>
        <w:rPr>
          <w:lang w:val="de-DE"/>
        </w:rPr>
      </w:pPr>
      <w:r w:rsidRPr="00FB4EFA">
        <w:rPr>
          <w:lang w:val="de-DE"/>
        </w:rPr>
        <w:t>Es gibt noch weitere Gründe, warum eine neuerliche Behandlung des Problems statthaft ist:</w:t>
      </w:r>
    </w:p>
    <w:p w14:paraId="7B17A128" w14:textId="0088842F" w:rsidR="00A96E85" w:rsidRPr="00FB4EFA" w:rsidRDefault="00A96E85" w:rsidP="00AF0CAD">
      <w:pPr>
        <w:ind w:left="284" w:hanging="284"/>
        <w:rPr>
          <w:lang w:val="de-DE"/>
        </w:rPr>
      </w:pPr>
      <w:r w:rsidRPr="00FB4EFA">
        <w:rPr>
          <w:lang w:val="de-DE"/>
        </w:rPr>
        <w:t>–</w:t>
      </w:r>
      <w:r w:rsidR="001266F4" w:rsidRPr="00FB4EFA">
        <w:rPr>
          <w:lang w:val="de-DE"/>
        </w:rPr>
        <w:tab/>
      </w:r>
      <w:r w:rsidRPr="00FB4EFA">
        <w:rPr>
          <w:lang w:val="de-DE"/>
        </w:rPr>
        <w:t>Die Untersuchung von 1998</w:t>
      </w:r>
      <w:r w:rsidR="00A44130" w:rsidRPr="00FB4EFA">
        <w:rPr>
          <w:lang w:val="de-DE"/>
        </w:rPr>
        <w:t xml:space="preserve">, welche so wie die aktuelle Studie </w:t>
      </w:r>
      <w:r w:rsidR="002D4F53" w:rsidRPr="00FB4EFA">
        <w:rPr>
          <w:lang w:val="de-DE"/>
        </w:rPr>
        <w:t>d</w:t>
      </w:r>
      <w:r w:rsidR="00A44130" w:rsidRPr="00FB4EFA">
        <w:rPr>
          <w:lang w:val="de-DE"/>
        </w:rPr>
        <w:t>as estnische erklärende Wörterbuch als Grundlage hatte,</w:t>
      </w:r>
      <w:r w:rsidRPr="00FB4EFA">
        <w:rPr>
          <w:lang w:val="de-DE"/>
        </w:rPr>
        <w:t xml:space="preserve"> musste sich mit einem seinerzeit noch nicht abgeschlossenen Wörterbuch begnügen (EKSS 1988</w:t>
      </w:r>
      <w:r w:rsidR="002544DA" w:rsidRPr="00FB4EFA">
        <w:rPr>
          <w:lang w:val="de-DE"/>
        </w:rPr>
        <w:t>–</w:t>
      </w:r>
      <w:r w:rsidR="00905F35" w:rsidRPr="00FB4EFA">
        <w:rPr>
          <w:lang w:val="de-DE"/>
        </w:rPr>
        <w:t>1996</w:t>
      </w:r>
      <w:r w:rsidRPr="00FB4EFA">
        <w:rPr>
          <w:lang w:val="de-DE"/>
        </w:rPr>
        <w:t xml:space="preserve">), da zum damaligen Zeitpunkt nur die Lieferungen </w:t>
      </w:r>
      <w:r w:rsidRPr="00FB4EFA">
        <w:rPr>
          <w:i/>
          <w:lang w:val="de-DE"/>
        </w:rPr>
        <w:t>A</w:t>
      </w:r>
      <w:r w:rsidR="00394635" w:rsidRPr="00FB4EFA">
        <w:rPr>
          <w:i/>
          <w:lang w:val="de-DE"/>
        </w:rPr>
        <w:t>–</w:t>
      </w:r>
      <w:r w:rsidRPr="00FB4EFA">
        <w:rPr>
          <w:i/>
          <w:lang w:val="de-DE"/>
        </w:rPr>
        <w:t>rappevili</w:t>
      </w:r>
      <w:r w:rsidRPr="00FB4EFA">
        <w:rPr>
          <w:lang w:val="de-DE"/>
        </w:rPr>
        <w:t xml:space="preserve"> vorlagen, mithin rund 61,5 % des Wortschatzes abgedeckt waren. Inzwischen liegt das gesamte Wörterbuch in aktualisierter – und vor allem digitalisierter – Form vor (EKSS). Seinerzeit wurde die Untersuchung manuell ausgeführt, weswegen nur eine Stichprobe von 4</w:t>
      </w:r>
      <w:r w:rsidR="00A76C50" w:rsidRPr="00FB4EFA">
        <w:rPr>
          <w:lang w:val="de-DE"/>
        </w:rPr>
        <w:t xml:space="preserve"> </w:t>
      </w:r>
      <w:r w:rsidRPr="00FB4EFA">
        <w:rPr>
          <w:lang w:val="de-DE"/>
        </w:rPr>
        <w:t>% des Textmaterials erfasst werden konnte, heute kann weiträumiger quantitativ recherchiert werden.</w:t>
      </w:r>
    </w:p>
    <w:p w14:paraId="548E6CF9" w14:textId="3E034C36" w:rsidR="00A96E85" w:rsidRPr="00FB4EFA" w:rsidRDefault="00A96E85" w:rsidP="001266F4">
      <w:pPr>
        <w:ind w:left="284" w:hanging="284"/>
        <w:rPr>
          <w:lang w:val="de-DE"/>
        </w:rPr>
      </w:pPr>
      <w:r w:rsidRPr="00FB4EFA">
        <w:rPr>
          <w:lang w:val="de-DE"/>
        </w:rPr>
        <w:lastRenderedPageBreak/>
        <w:t>–</w:t>
      </w:r>
      <w:r w:rsidR="001266F4" w:rsidRPr="00FB4EFA">
        <w:rPr>
          <w:lang w:val="de-DE"/>
        </w:rPr>
        <w:tab/>
      </w:r>
      <w:r w:rsidRPr="00FB4EFA">
        <w:rPr>
          <w:lang w:val="de-DE"/>
        </w:rPr>
        <w:t xml:space="preserve">Die Sensibilisierung hinsichtlich eines neutralen und weniger diskriminierenden Sprachgebrauchs hat in den vergangenen </w:t>
      </w:r>
      <w:r w:rsidR="00A76C50" w:rsidRPr="00FB4EFA">
        <w:rPr>
          <w:lang w:val="de-DE"/>
        </w:rPr>
        <w:t>25</w:t>
      </w:r>
      <w:r w:rsidRPr="00FB4EFA">
        <w:rPr>
          <w:lang w:val="de-DE"/>
        </w:rPr>
        <w:t xml:space="preserve"> Jahren beträchtlich zugenommen. Überdies ist Estland seit 2004 EU-Mitglied und das Estnische somit eine offizielle Sprache der EU. 2009 versuchte das Europäische Parlament in einer Broschüre über gendergerechten Sprachgebrauch sogar direkten Einfluss auf die Sprachpraxis zu nehmen (Sooneutraalne … 2009).</w:t>
      </w:r>
    </w:p>
    <w:p w14:paraId="76F76698" w14:textId="06115775" w:rsidR="00A96E85" w:rsidRPr="00FB4EFA" w:rsidRDefault="00A96E85" w:rsidP="00AF0CAD">
      <w:pPr>
        <w:ind w:left="284" w:hanging="284"/>
        <w:rPr>
          <w:lang w:val="de-DE"/>
        </w:rPr>
      </w:pPr>
      <w:r w:rsidRPr="00FB4EFA">
        <w:rPr>
          <w:lang w:val="de-DE"/>
        </w:rPr>
        <w:t>–</w:t>
      </w:r>
      <w:r w:rsidR="001266F4" w:rsidRPr="00FB4EFA">
        <w:rPr>
          <w:lang w:val="de-DE"/>
        </w:rPr>
        <w:tab/>
      </w:r>
      <w:r w:rsidRPr="00FB4EFA">
        <w:rPr>
          <w:lang w:val="de-DE"/>
        </w:rPr>
        <w:t xml:space="preserve">Noch 1995 beantwortete die estnische Soziologin und Politikerin </w:t>
      </w:r>
      <w:r w:rsidR="00AD79E8" w:rsidRPr="00FB4EFA">
        <w:rPr>
          <w:lang w:val="de-DE"/>
        </w:rPr>
        <w:br/>
      </w:r>
      <w:r w:rsidRPr="00FB4EFA">
        <w:rPr>
          <w:lang w:val="de-DE"/>
        </w:rPr>
        <w:t xml:space="preserve">Marju Lauristin in einem Interview die Frage, ob eine Frau in Estland Ministerpräsidentin oder Präsidentin werden könnte, folgendermaßen: „Präsidentin werden könnte sie nicht, denn der Präsident ist der Vater. Bei einer Frau hätte man das Gefühl, daß man in einem Matriarchat leben würde. Aber Ministerpräsidentin – warum nicht?“ </w:t>
      </w:r>
      <w:r w:rsidR="00AD79E8" w:rsidRPr="00FB4EFA">
        <w:rPr>
          <w:lang w:val="de-DE"/>
        </w:rPr>
        <w:br/>
      </w:r>
      <w:r w:rsidRPr="00FB4EFA">
        <w:rPr>
          <w:lang w:val="de-DE"/>
        </w:rPr>
        <w:t>(Lauristin 1995: 23)</w:t>
      </w:r>
      <w:r w:rsidR="004E3EE5" w:rsidRPr="00FB4EFA">
        <w:rPr>
          <w:lang w:val="de-DE"/>
        </w:rPr>
        <w:t>.</w:t>
      </w:r>
      <w:r w:rsidRPr="00FB4EFA">
        <w:rPr>
          <w:lang w:val="de-DE"/>
        </w:rPr>
        <w:t xml:space="preserve"> Im Moment der Abfassung dieses Artikels </w:t>
      </w:r>
      <w:r w:rsidR="00AD79E8" w:rsidRPr="00FB4EFA">
        <w:rPr>
          <w:lang w:val="de-DE"/>
        </w:rPr>
        <w:br/>
      </w:r>
      <w:r w:rsidRPr="00FB4EFA">
        <w:rPr>
          <w:lang w:val="de-DE"/>
        </w:rPr>
        <w:t>(Sommer 2021, ein Vierteljahrhundert später) amtierten in Estland sowohl eine Ministerpräsidentin als auch eine Präsidentin.</w:t>
      </w:r>
    </w:p>
    <w:p w14:paraId="6C67A241" w14:textId="7E5FF5F5" w:rsidR="00A96E85" w:rsidRPr="00FB4EFA" w:rsidRDefault="00A96E85" w:rsidP="00AD79E8">
      <w:pPr>
        <w:spacing w:before="240"/>
        <w:rPr>
          <w:lang w:val="de-DE"/>
        </w:rPr>
      </w:pPr>
      <w:r w:rsidRPr="00FB4EFA">
        <w:rPr>
          <w:lang w:val="de-DE"/>
        </w:rPr>
        <w:t xml:space="preserve">Vor diesem Hintergrund soll also noch einmal die Frage gestellt werden, wie die Frau </w:t>
      </w:r>
      <w:r w:rsidR="00A44130" w:rsidRPr="00FB4EFA">
        <w:rPr>
          <w:lang w:val="de-DE"/>
        </w:rPr>
        <w:t>heute</w:t>
      </w:r>
      <w:r w:rsidRPr="00FB4EFA">
        <w:rPr>
          <w:lang w:val="de-DE"/>
        </w:rPr>
        <w:t xml:space="preserve"> im estnischen Lexikon repräsentiert ist. Allerdings soll keine vergleichende Analyse zwischen den beiden Versionen des estnischen erklärenden Wörterbuchs vorgenommen werden, zumal die „erweiterte und verbesserte“ 2. Auflage nur sehr geringfügig in das alte Material eingegriffen hat</w:t>
      </w:r>
      <w:r w:rsidR="009C070B" w:rsidRPr="00FB4EFA">
        <w:rPr>
          <w:lang w:val="de-DE"/>
        </w:rPr>
        <w:t xml:space="preserve"> und es daher schwierig zu wissen ist, ob das Wörterbuch eher den Zustand zu Redigierungszeiten oder Publikationszeiten wiedergibt.</w:t>
      </w:r>
      <w:r w:rsidRPr="00FB4EFA">
        <w:rPr>
          <w:lang w:val="de-DE"/>
        </w:rPr>
        <w:t xml:space="preserve"> Vielmehr soll eine simple quantitative Untersuchung erfolgen, die durch die neuen technischen Möglichkeiten begünstigt wird.</w:t>
      </w:r>
    </w:p>
    <w:p w14:paraId="51079827" w14:textId="2660546E" w:rsidR="00A96E85" w:rsidRPr="00FB4EFA" w:rsidRDefault="00A96E85" w:rsidP="00AF0CAD">
      <w:pPr>
        <w:ind w:firstLine="709"/>
        <w:rPr>
          <w:lang w:val="de-DE"/>
        </w:rPr>
      </w:pPr>
      <w:r w:rsidRPr="00FB4EFA">
        <w:rPr>
          <w:lang w:val="de-DE"/>
        </w:rPr>
        <w:t>In dem Artikel von 1998 waren die folgenden Lexeme als relevant für die Frage der Repräsentation des weiblichen Geschlechts im estnischen Lexikon angesehen worden: „</w:t>
      </w:r>
      <w:r w:rsidRPr="00FB4EFA">
        <w:rPr>
          <w:i/>
          <w:lang w:val="de-DE"/>
        </w:rPr>
        <w:t>äi</w:t>
      </w:r>
      <w:r w:rsidRPr="00FB4EFA">
        <w:rPr>
          <w:lang w:val="de-DE"/>
        </w:rPr>
        <w:t xml:space="preserve"> </w:t>
      </w:r>
      <w:r w:rsidR="006057AB" w:rsidRPr="00FB4EFA">
        <w:rPr>
          <w:lang w:val="de-DE"/>
        </w:rPr>
        <w:t>‘</w:t>
      </w:r>
      <w:r w:rsidRPr="00FB4EFA">
        <w:rPr>
          <w:lang w:val="de-DE"/>
        </w:rPr>
        <w:t>Schwiegervater</w:t>
      </w:r>
      <w:r w:rsidR="006057AB" w:rsidRPr="00FB4EFA">
        <w:rPr>
          <w:lang w:val="de-DE"/>
        </w:rPr>
        <w:t>’</w:t>
      </w:r>
      <w:r w:rsidRPr="00FB4EFA">
        <w:rPr>
          <w:lang w:val="de-DE"/>
        </w:rPr>
        <w:t xml:space="preserve"> (kam im </w:t>
      </w:r>
      <w:r w:rsidR="002D4F53" w:rsidRPr="00FB4EFA">
        <w:rPr>
          <w:lang w:val="de-DE"/>
        </w:rPr>
        <w:t xml:space="preserve">Korpus </w:t>
      </w:r>
      <w:r w:rsidRPr="00FB4EFA">
        <w:rPr>
          <w:lang w:val="de-DE"/>
        </w:rPr>
        <w:t xml:space="preserve">jedoch nicht vor), </w:t>
      </w:r>
      <w:r w:rsidRPr="00FB4EFA">
        <w:rPr>
          <w:i/>
          <w:lang w:val="de-DE"/>
        </w:rPr>
        <w:t>ämm</w:t>
      </w:r>
      <w:r w:rsidRPr="00FB4EFA">
        <w:rPr>
          <w:lang w:val="de-DE"/>
        </w:rPr>
        <w:t xml:space="preserve"> </w:t>
      </w:r>
      <w:r w:rsidR="006057AB" w:rsidRPr="00FB4EFA">
        <w:rPr>
          <w:lang w:val="de-DE"/>
        </w:rPr>
        <w:t>‘</w:t>
      </w:r>
      <w:r w:rsidRPr="00FB4EFA">
        <w:rPr>
          <w:lang w:val="de-DE"/>
        </w:rPr>
        <w:t>Schwiegermutter</w:t>
      </w:r>
      <w:r w:rsidR="006057AB" w:rsidRPr="00FB4EFA">
        <w:rPr>
          <w:lang w:val="de-DE"/>
        </w:rPr>
        <w:t>’</w:t>
      </w:r>
      <w:r w:rsidRPr="00FB4EFA">
        <w:rPr>
          <w:lang w:val="de-DE"/>
        </w:rPr>
        <w:t xml:space="preserve">, </w:t>
      </w:r>
      <w:r w:rsidRPr="00FB4EFA">
        <w:rPr>
          <w:i/>
          <w:lang w:val="de-DE"/>
        </w:rPr>
        <w:t>ema</w:t>
      </w:r>
      <w:r w:rsidRPr="00FB4EFA">
        <w:rPr>
          <w:lang w:val="de-DE"/>
        </w:rPr>
        <w:t xml:space="preserve"> </w:t>
      </w:r>
      <w:r w:rsidR="006057AB" w:rsidRPr="00FB4EFA">
        <w:rPr>
          <w:lang w:val="de-DE"/>
        </w:rPr>
        <w:t>‘</w:t>
      </w:r>
      <w:r w:rsidRPr="00FB4EFA">
        <w:rPr>
          <w:lang w:val="de-DE"/>
        </w:rPr>
        <w:t>Mutter</w:t>
      </w:r>
      <w:r w:rsidR="006057AB" w:rsidRPr="00FB4EFA">
        <w:rPr>
          <w:lang w:val="de-DE"/>
        </w:rPr>
        <w:t>’</w:t>
      </w:r>
      <w:r w:rsidRPr="00FB4EFA">
        <w:rPr>
          <w:lang w:val="de-DE"/>
        </w:rPr>
        <w:t xml:space="preserve">, </w:t>
      </w:r>
      <w:r w:rsidRPr="00FB4EFA">
        <w:rPr>
          <w:i/>
          <w:lang w:val="de-DE"/>
        </w:rPr>
        <w:t>isa</w:t>
      </w:r>
      <w:r w:rsidRPr="00FB4EFA">
        <w:rPr>
          <w:lang w:val="de-DE"/>
        </w:rPr>
        <w:t xml:space="preserve"> </w:t>
      </w:r>
      <w:r w:rsidR="006057AB" w:rsidRPr="00FB4EFA">
        <w:rPr>
          <w:lang w:val="de-DE"/>
        </w:rPr>
        <w:t>‘</w:t>
      </w:r>
      <w:r w:rsidRPr="00FB4EFA">
        <w:rPr>
          <w:lang w:val="de-DE"/>
        </w:rPr>
        <w:t>Vater</w:t>
      </w:r>
      <w:r w:rsidR="006057AB" w:rsidRPr="00FB4EFA">
        <w:rPr>
          <w:lang w:val="de-DE"/>
        </w:rPr>
        <w:t>’</w:t>
      </w:r>
      <w:r w:rsidRPr="00FB4EFA">
        <w:rPr>
          <w:lang w:val="de-DE"/>
        </w:rPr>
        <w:t xml:space="preserve">, </w:t>
      </w:r>
      <w:r w:rsidRPr="00FB4EFA">
        <w:rPr>
          <w:i/>
          <w:lang w:val="de-DE"/>
        </w:rPr>
        <w:t>mees</w:t>
      </w:r>
      <w:r w:rsidRPr="00FB4EFA">
        <w:rPr>
          <w:lang w:val="de-DE"/>
        </w:rPr>
        <w:t xml:space="preserve"> </w:t>
      </w:r>
      <w:r w:rsidR="006057AB" w:rsidRPr="00FB4EFA">
        <w:rPr>
          <w:lang w:val="de-DE"/>
        </w:rPr>
        <w:t>‘</w:t>
      </w:r>
      <w:r w:rsidRPr="00FB4EFA">
        <w:rPr>
          <w:lang w:val="de-DE"/>
        </w:rPr>
        <w:t>Mann</w:t>
      </w:r>
      <w:r w:rsidR="006057AB" w:rsidRPr="00FB4EFA">
        <w:rPr>
          <w:lang w:val="de-DE"/>
        </w:rPr>
        <w:t>’</w:t>
      </w:r>
      <w:r w:rsidRPr="00FB4EFA">
        <w:rPr>
          <w:lang w:val="de-DE"/>
        </w:rPr>
        <w:t xml:space="preserve">, </w:t>
      </w:r>
      <w:r w:rsidRPr="00FB4EFA">
        <w:rPr>
          <w:i/>
          <w:lang w:val="de-DE"/>
        </w:rPr>
        <w:t>memm</w:t>
      </w:r>
      <w:r w:rsidRPr="00FB4EFA">
        <w:rPr>
          <w:lang w:val="de-DE"/>
        </w:rPr>
        <w:t xml:space="preserve"> </w:t>
      </w:r>
      <w:r w:rsidR="006057AB" w:rsidRPr="00FB4EFA">
        <w:rPr>
          <w:lang w:val="de-DE"/>
        </w:rPr>
        <w:t>‘</w:t>
      </w:r>
      <w:r w:rsidRPr="00FB4EFA">
        <w:rPr>
          <w:lang w:val="de-DE"/>
        </w:rPr>
        <w:t>Mutter, Mütterchen</w:t>
      </w:r>
      <w:r w:rsidR="006057AB" w:rsidRPr="00FB4EFA">
        <w:rPr>
          <w:lang w:val="de-DE"/>
        </w:rPr>
        <w:t>’</w:t>
      </w:r>
      <w:r w:rsidRPr="00FB4EFA">
        <w:rPr>
          <w:lang w:val="de-DE"/>
        </w:rPr>
        <w:t xml:space="preserve">, </w:t>
      </w:r>
      <w:r w:rsidRPr="00FB4EFA">
        <w:rPr>
          <w:i/>
          <w:lang w:val="de-DE"/>
        </w:rPr>
        <w:t>naine</w:t>
      </w:r>
      <w:r w:rsidRPr="00FB4EFA">
        <w:rPr>
          <w:lang w:val="de-DE"/>
        </w:rPr>
        <w:t xml:space="preserve"> </w:t>
      </w:r>
      <w:r w:rsidR="006057AB" w:rsidRPr="00FB4EFA">
        <w:rPr>
          <w:lang w:val="de-DE"/>
        </w:rPr>
        <w:t>‘</w:t>
      </w:r>
      <w:r w:rsidRPr="00FB4EFA">
        <w:rPr>
          <w:lang w:val="de-DE"/>
        </w:rPr>
        <w:t>Frau</w:t>
      </w:r>
      <w:r w:rsidR="006057AB" w:rsidRPr="00FB4EFA">
        <w:rPr>
          <w:lang w:val="de-DE"/>
        </w:rPr>
        <w:t>’</w:t>
      </w:r>
      <w:r w:rsidRPr="00FB4EFA">
        <w:rPr>
          <w:lang w:val="de-DE"/>
        </w:rPr>
        <w:t xml:space="preserve">, </w:t>
      </w:r>
      <w:r w:rsidRPr="00FB4EFA">
        <w:rPr>
          <w:i/>
          <w:lang w:val="de-DE"/>
        </w:rPr>
        <w:t>neiu</w:t>
      </w:r>
      <w:r w:rsidRPr="00FB4EFA">
        <w:rPr>
          <w:lang w:val="de-DE"/>
        </w:rPr>
        <w:t xml:space="preserve"> </w:t>
      </w:r>
      <w:r w:rsidR="006057AB" w:rsidRPr="00FB4EFA">
        <w:rPr>
          <w:lang w:val="de-DE"/>
        </w:rPr>
        <w:t>‘</w:t>
      </w:r>
      <w:r w:rsidRPr="00FB4EFA">
        <w:rPr>
          <w:lang w:val="de-DE"/>
        </w:rPr>
        <w:t>Unverheiratete, Fräulein</w:t>
      </w:r>
      <w:r w:rsidR="006057AB" w:rsidRPr="00FB4EFA">
        <w:rPr>
          <w:lang w:val="de-DE"/>
        </w:rPr>
        <w:t>’</w:t>
      </w:r>
      <w:r w:rsidRPr="00FB4EFA">
        <w:rPr>
          <w:lang w:val="de-DE"/>
        </w:rPr>
        <w:t xml:space="preserve">, </w:t>
      </w:r>
      <w:r w:rsidRPr="00FB4EFA">
        <w:rPr>
          <w:i/>
          <w:lang w:val="de-DE"/>
        </w:rPr>
        <w:t>noorik</w:t>
      </w:r>
      <w:r w:rsidRPr="00FB4EFA">
        <w:rPr>
          <w:lang w:val="de-DE"/>
        </w:rPr>
        <w:t xml:space="preserve"> </w:t>
      </w:r>
      <w:r w:rsidR="006057AB" w:rsidRPr="00FB4EFA">
        <w:rPr>
          <w:lang w:val="de-DE"/>
        </w:rPr>
        <w:t>‘</w:t>
      </w:r>
      <w:r w:rsidRPr="00FB4EFA">
        <w:rPr>
          <w:lang w:val="de-DE"/>
        </w:rPr>
        <w:t>junge Frau, Jungvermählte</w:t>
      </w:r>
      <w:r w:rsidR="006057AB" w:rsidRPr="00FB4EFA">
        <w:rPr>
          <w:lang w:val="de-DE"/>
        </w:rPr>
        <w:t>’</w:t>
      </w:r>
      <w:r w:rsidRPr="00FB4EFA">
        <w:rPr>
          <w:lang w:val="de-DE"/>
        </w:rPr>
        <w:t xml:space="preserve">, </w:t>
      </w:r>
      <w:r w:rsidRPr="00FB4EFA">
        <w:rPr>
          <w:i/>
          <w:lang w:val="de-DE"/>
        </w:rPr>
        <w:t>nooruk</w:t>
      </w:r>
      <w:r w:rsidRPr="00FB4EFA">
        <w:rPr>
          <w:lang w:val="de-DE"/>
        </w:rPr>
        <w:t xml:space="preserve"> </w:t>
      </w:r>
      <w:r w:rsidR="006057AB" w:rsidRPr="00FB4EFA">
        <w:rPr>
          <w:lang w:val="de-DE"/>
        </w:rPr>
        <w:t>‘</w:t>
      </w:r>
      <w:r w:rsidRPr="00FB4EFA">
        <w:rPr>
          <w:lang w:val="de-DE"/>
        </w:rPr>
        <w:t>Jüngling</w:t>
      </w:r>
      <w:r w:rsidR="006057AB" w:rsidRPr="00FB4EFA">
        <w:rPr>
          <w:lang w:val="de-DE"/>
        </w:rPr>
        <w:t>’</w:t>
      </w:r>
      <w:r w:rsidRPr="00FB4EFA">
        <w:rPr>
          <w:lang w:val="de-DE"/>
        </w:rPr>
        <w:t xml:space="preserve">, </w:t>
      </w:r>
      <w:r w:rsidRPr="00FB4EFA">
        <w:rPr>
          <w:i/>
          <w:lang w:val="de-DE"/>
        </w:rPr>
        <w:t>õde</w:t>
      </w:r>
      <w:r w:rsidRPr="00FB4EFA">
        <w:rPr>
          <w:lang w:val="de-DE"/>
        </w:rPr>
        <w:t xml:space="preserve"> </w:t>
      </w:r>
      <w:r w:rsidR="006057AB" w:rsidRPr="00FB4EFA">
        <w:rPr>
          <w:lang w:val="de-DE"/>
        </w:rPr>
        <w:t>‘</w:t>
      </w:r>
      <w:r w:rsidRPr="00FB4EFA">
        <w:rPr>
          <w:lang w:val="de-DE"/>
        </w:rPr>
        <w:t>Schwester</w:t>
      </w:r>
      <w:r w:rsidR="006057AB" w:rsidRPr="00FB4EFA">
        <w:rPr>
          <w:lang w:val="de-DE"/>
        </w:rPr>
        <w:t>’</w:t>
      </w:r>
      <w:r w:rsidRPr="00FB4EFA">
        <w:rPr>
          <w:lang w:val="de-DE"/>
        </w:rPr>
        <w:t xml:space="preserve">, </w:t>
      </w:r>
      <w:r w:rsidRPr="00FB4EFA">
        <w:rPr>
          <w:i/>
          <w:lang w:val="de-DE"/>
        </w:rPr>
        <w:t>onu</w:t>
      </w:r>
      <w:r w:rsidRPr="00FB4EFA">
        <w:rPr>
          <w:lang w:val="de-DE"/>
        </w:rPr>
        <w:t xml:space="preserve"> </w:t>
      </w:r>
      <w:r w:rsidR="006057AB" w:rsidRPr="00FB4EFA">
        <w:rPr>
          <w:lang w:val="de-DE"/>
        </w:rPr>
        <w:t>‘</w:t>
      </w:r>
      <w:r w:rsidRPr="00FB4EFA">
        <w:rPr>
          <w:lang w:val="de-DE"/>
        </w:rPr>
        <w:t>Onkel</w:t>
      </w:r>
      <w:r w:rsidR="006057AB" w:rsidRPr="00FB4EFA">
        <w:rPr>
          <w:lang w:val="de-DE"/>
        </w:rPr>
        <w:t>’</w:t>
      </w:r>
      <w:r w:rsidRPr="00FB4EFA">
        <w:rPr>
          <w:lang w:val="de-DE"/>
        </w:rPr>
        <w:t xml:space="preserve">, </w:t>
      </w:r>
      <w:r w:rsidRPr="00FB4EFA">
        <w:rPr>
          <w:i/>
          <w:lang w:val="de-DE"/>
        </w:rPr>
        <w:t>poeg</w:t>
      </w:r>
      <w:r w:rsidRPr="00FB4EFA">
        <w:rPr>
          <w:lang w:val="de-DE"/>
        </w:rPr>
        <w:t xml:space="preserve"> </w:t>
      </w:r>
      <w:r w:rsidR="006057AB" w:rsidRPr="00FB4EFA">
        <w:rPr>
          <w:lang w:val="de-DE"/>
        </w:rPr>
        <w:t>‘</w:t>
      </w:r>
      <w:r w:rsidRPr="00FB4EFA">
        <w:rPr>
          <w:lang w:val="de-DE"/>
        </w:rPr>
        <w:t>Sohn</w:t>
      </w:r>
      <w:r w:rsidR="006057AB" w:rsidRPr="00FB4EFA">
        <w:rPr>
          <w:lang w:val="de-DE"/>
        </w:rPr>
        <w:t>’</w:t>
      </w:r>
      <w:r w:rsidRPr="00FB4EFA">
        <w:rPr>
          <w:lang w:val="de-DE"/>
        </w:rPr>
        <w:t xml:space="preserve">, </w:t>
      </w:r>
      <w:r w:rsidRPr="00FB4EFA">
        <w:rPr>
          <w:i/>
          <w:lang w:val="de-DE"/>
        </w:rPr>
        <w:t>poiss</w:t>
      </w:r>
      <w:r w:rsidRPr="00FB4EFA">
        <w:rPr>
          <w:lang w:val="de-DE"/>
        </w:rPr>
        <w:t xml:space="preserve"> </w:t>
      </w:r>
      <w:r w:rsidR="006057AB" w:rsidRPr="00FB4EFA">
        <w:rPr>
          <w:lang w:val="de-DE"/>
        </w:rPr>
        <w:t>‘</w:t>
      </w:r>
      <w:r w:rsidRPr="00FB4EFA">
        <w:rPr>
          <w:lang w:val="de-DE"/>
        </w:rPr>
        <w:t>Junge</w:t>
      </w:r>
      <w:r w:rsidR="006057AB" w:rsidRPr="00FB4EFA">
        <w:rPr>
          <w:lang w:val="de-DE"/>
        </w:rPr>
        <w:t>’</w:t>
      </w:r>
      <w:r w:rsidRPr="00FB4EFA">
        <w:rPr>
          <w:lang w:val="de-DE"/>
        </w:rPr>
        <w:t xml:space="preserve">, </w:t>
      </w:r>
      <w:r w:rsidRPr="00FB4EFA">
        <w:rPr>
          <w:i/>
          <w:lang w:val="de-DE"/>
        </w:rPr>
        <w:t>proua</w:t>
      </w:r>
      <w:r w:rsidRPr="00FB4EFA">
        <w:rPr>
          <w:lang w:val="de-DE"/>
        </w:rPr>
        <w:t xml:space="preserve"> </w:t>
      </w:r>
      <w:r w:rsidR="006057AB" w:rsidRPr="00FB4EFA">
        <w:rPr>
          <w:lang w:val="de-DE"/>
        </w:rPr>
        <w:t>‘</w:t>
      </w:r>
      <w:r w:rsidRPr="00FB4EFA">
        <w:rPr>
          <w:lang w:val="de-DE"/>
        </w:rPr>
        <w:t>Frau</w:t>
      </w:r>
      <w:r w:rsidR="006057AB" w:rsidRPr="00FB4EFA">
        <w:rPr>
          <w:lang w:val="de-DE"/>
        </w:rPr>
        <w:t>’</w:t>
      </w:r>
      <w:r w:rsidRPr="00FB4EFA">
        <w:rPr>
          <w:lang w:val="de-DE"/>
        </w:rPr>
        <w:t xml:space="preserve">, </w:t>
      </w:r>
      <w:r w:rsidRPr="00FB4EFA">
        <w:rPr>
          <w:i/>
          <w:lang w:val="de-DE"/>
        </w:rPr>
        <w:t>sõber</w:t>
      </w:r>
      <w:r w:rsidRPr="00FB4EFA">
        <w:rPr>
          <w:lang w:val="de-DE"/>
        </w:rPr>
        <w:t xml:space="preserve"> </w:t>
      </w:r>
      <w:r w:rsidR="006057AB" w:rsidRPr="00FB4EFA">
        <w:rPr>
          <w:lang w:val="de-DE"/>
        </w:rPr>
        <w:t>‘</w:t>
      </w:r>
      <w:r w:rsidRPr="00FB4EFA">
        <w:rPr>
          <w:lang w:val="de-DE"/>
        </w:rPr>
        <w:t>Freund</w:t>
      </w:r>
      <w:r w:rsidR="006057AB" w:rsidRPr="00FB4EFA">
        <w:rPr>
          <w:lang w:val="de-DE"/>
        </w:rPr>
        <w:t>’</w:t>
      </w:r>
      <w:r w:rsidRPr="00FB4EFA">
        <w:rPr>
          <w:lang w:val="de-DE"/>
        </w:rPr>
        <w:t xml:space="preserve">, </w:t>
      </w:r>
      <w:r w:rsidRPr="00FB4EFA">
        <w:rPr>
          <w:i/>
          <w:lang w:val="de-DE"/>
        </w:rPr>
        <w:t>sõbranna</w:t>
      </w:r>
      <w:r w:rsidRPr="00FB4EFA">
        <w:rPr>
          <w:lang w:val="de-DE"/>
        </w:rPr>
        <w:t xml:space="preserve"> </w:t>
      </w:r>
      <w:r w:rsidR="006057AB" w:rsidRPr="00FB4EFA">
        <w:rPr>
          <w:lang w:val="de-DE"/>
        </w:rPr>
        <w:t>‘</w:t>
      </w:r>
      <w:r w:rsidRPr="00FB4EFA">
        <w:rPr>
          <w:lang w:val="de-DE"/>
        </w:rPr>
        <w:t>Freundin</w:t>
      </w:r>
      <w:r w:rsidR="006057AB" w:rsidRPr="00FB4EFA">
        <w:rPr>
          <w:lang w:val="de-DE"/>
        </w:rPr>
        <w:t>’</w:t>
      </w:r>
      <w:r w:rsidRPr="00FB4EFA">
        <w:rPr>
          <w:lang w:val="de-DE"/>
        </w:rPr>
        <w:t xml:space="preserve">, </w:t>
      </w:r>
      <w:r w:rsidRPr="00FB4EFA">
        <w:rPr>
          <w:i/>
          <w:lang w:val="de-DE"/>
        </w:rPr>
        <w:t>taat</w:t>
      </w:r>
      <w:r w:rsidRPr="00FB4EFA">
        <w:rPr>
          <w:lang w:val="de-DE"/>
        </w:rPr>
        <w:t xml:space="preserve"> </w:t>
      </w:r>
      <w:r w:rsidR="006057AB" w:rsidRPr="00FB4EFA">
        <w:rPr>
          <w:lang w:val="de-DE"/>
        </w:rPr>
        <w:t>‘</w:t>
      </w:r>
      <w:r w:rsidRPr="00FB4EFA">
        <w:rPr>
          <w:lang w:val="de-DE"/>
        </w:rPr>
        <w:t>Alter, Großvater, Greis</w:t>
      </w:r>
      <w:r w:rsidR="006057AB" w:rsidRPr="00FB4EFA">
        <w:rPr>
          <w:lang w:val="de-DE"/>
        </w:rPr>
        <w:t>’</w:t>
      </w:r>
      <w:r w:rsidRPr="00FB4EFA">
        <w:rPr>
          <w:lang w:val="de-DE"/>
        </w:rPr>
        <w:t xml:space="preserve">, </w:t>
      </w:r>
      <w:r w:rsidRPr="00FB4EFA">
        <w:rPr>
          <w:i/>
          <w:lang w:val="de-DE"/>
        </w:rPr>
        <w:t>tädi</w:t>
      </w:r>
      <w:r w:rsidRPr="00FB4EFA">
        <w:rPr>
          <w:lang w:val="de-DE"/>
        </w:rPr>
        <w:t xml:space="preserve"> </w:t>
      </w:r>
      <w:r w:rsidR="006057AB" w:rsidRPr="00FB4EFA">
        <w:rPr>
          <w:lang w:val="de-DE"/>
        </w:rPr>
        <w:t>‘</w:t>
      </w:r>
      <w:r w:rsidRPr="00FB4EFA">
        <w:rPr>
          <w:lang w:val="de-DE"/>
        </w:rPr>
        <w:t>Tante</w:t>
      </w:r>
      <w:r w:rsidR="006057AB" w:rsidRPr="00FB4EFA">
        <w:rPr>
          <w:lang w:val="de-DE"/>
        </w:rPr>
        <w:t>’</w:t>
      </w:r>
      <w:r w:rsidRPr="00FB4EFA">
        <w:rPr>
          <w:lang w:val="de-DE"/>
        </w:rPr>
        <w:t xml:space="preserve">, </w:t>
      </w:r>
      <w:r w:rsidRPr="00FB4EFA">
        <w:rPr>
          <w:i/>
          <w:lang w:val="de-DE"/>
        </w:rPr>
        <w:t>tüdruk</w:t>
      </w:r>
      <w:r w:rsidRPr="00FB4EFA">
        <w:rPr>
          <w:lang w:val="de-DE"/>
        </w:rPr>
        <w:t xml:space="preserve"> </w:t>
      </w:r>
      <w:r w:rsidR="006057AB" w:rsidRPr="00FB4EFA">
        <w:rPr>
          <w:lang w:val="de-DE"/>
        </w:rPr>
        <w:t>‘</w:t>
      </w:r>
      <w:r w:rsidRPr="00FB4EFA">
        <w:rPr>
          <w:lang w:val="de-DE"/>
        </w:rPr>
        <w:t>Mädchen</w:t>
      </w:r>
      <w:r w:rsidR="006057AB" w:rsidRPr="00FB4EFA">
        <w:rPr>
          <w:lang w:val="de-DE"/>
        </w:rPr>
        <w:t>’</w:t>
      </w:r>
      <w:r w:rsidRPr="00FB4EFA">
        <w:rPr>
          <w:lang w:val="de-DE"/>
        </w:rPr>
        <w:t xml:space="preserve">, </w:t>
      </w:r>
      <w:r w:rsidRPr="00FB4EFA">
        <w:rPr>
          <w:i/>
          <w:lang w:val="de-DE"/>
        </w:rPr>
        <w:t>tütar</w:t>
      </w:r>
      <w:r w:rsidRPr="00FB4EFA">
        <w:rPr>
          <w:lang w:val="de-DE"/>
        </w:rPr>
        <w:t xml:space="preserve"> </w:t>
      </w:r>
      <w:r w:rsidR="006057AB" w:rsidRPr="00FB4EFA">
        <w:rPr>
          <w:lang w:val="de-DE"/>
        </w:rPr>
        <w:t>‘</w:t>
      </w:r>
      <w:r w:rsidRPr="00FB4EFA">
        <w:rPr>
          <w:lang w:val="de-DE"/>
        </w:rPr>
        <w:t>Tochter</w:t>
      </w:r>
      <w:r w:rsidR="006057AB" w:rsidRPr="00FB4EFA">
        <w:rPr>
          <w:lang w:val="de-DE"/>
        </w:rPr>
        <w:t>’</w:t>
      </w:r>
      <w:r w:rsidRPr="00FB4EFA">
        <w:rPr>
          <w:lang w:val="de-DE"/>
        </w:rPr>
        <w:t xml:space="preserve">, </w:t>
      </w:r>
      <w:r w:rsidRPr="00FB4EFA">
        <w:rPr>
          <w:i/>
          <w:lang w:val="de-DE"/>
        </w:rPr>
        <w:t>vanaema</w:t>
      </w:r>
      <w:r w:rsidRPr="00FB4EFA">
        <w:rPr>
          <w:lang w:val="de-DE"/>
        </w:rPr>
        <w:t xml:space="preserve"> </w:t>
      </w:r>
      <w:r w:rsidR="006057AB" w:rsidRPr="00FB4EFA">
        <w:rPr>
          <w:lang w:val="de-DE"/>
        </w:rPr>
        <w:t>‘</w:t>
      </w:r>
      <w:r w:rsidRPr="00FB4EFA">
        <w:rPr>
          <w:lang w:val="de-DE"/>
        </w:rPr>
        <w:t>Großmutter</w:t>
      </w:r>
      <w:r w:rsidR="006057AB" w:rsidRPr="00FB4EFA">
        <w:rPr>
          <w:lang w:val="de-DE"/>
        </w:rPr>
        <w:t>’</w:t>
      </w:r>
      <w:r w:rsidRPr="00FB4EFA">
        <w:rPr>
          <w:lang w:val="de-DE"/>
        </w:rPr>
        <w:t xml:space="preserve">, </w:t>
      </w:r>
      <w:r w:rsidRPr="00FB4EFA">
        <w:rPr>
          <w:i/>
          <w:lang w:val="de-DE"/>
        </w:rPr>
        <w:t>vanaisa</w:t>
      </w:r>
      <w:r w:rsidRPr="00FB4EFA">
        <w:rPr>
          <w:lang w:val="de-DE"/>
        </w:rPr>
        <w:t xml:space="preserve"> </w:t>
      </w:r>
      <w:r w:rsidR="006057AB" w:rsidRPr="00FB4EFA">
        <w:rPr>
          <w:lang w:val="de-DE"/>
        </w:rPr>
        <w:t>‘</w:t>
      </w:r>
      <w:r w:rsidRPr="00FB4EFA">
        <w:rPr>
          <w:lang w:val="de-DE"/>
        </w:rPr>
        <w:t>Großvater</w:t>
      </w:r>
      <w:r w:rsidR="006057AB" w:rsidRPr="00FB4EFA">
        <w:rPr>
          <w:lang w:val="de-DE"/>
        </w:rPr>
        <w:t>’</w:t>
      </w:r>
      <w:r w:rsidRPr="00FB4EFA">
        <w:rPr>
          <w:lang w:val="de-DE"/>
        </w:rPr>
        <w:t xml:space="preserve">, </w:t>
      </w:r>
      <w:r w:rsidRPr="00FB4EFA">
        <w:rPr>
          <w:i/>
          <w:lang w:val="de-DE"/>
        </w:rPr>
        <w:t>vend</w:t>
      </w:r>
      <w:r w:rsidRPr="00FB4EFA">
        <w:rPr>
          <w:lang w:val="de-DE"/>
        </w:rPr>
        <w:t xml:space="preserve"> </w:t>
      </w:r>
      <w:r w:rsidR="006057AB" w:rsidRPr="00FB4EFA">
        <w:rPr>
          <w:lang w:val="de-DE"/>
        </w:rPr>
        <w:t>‘</w:t>
      </w:r>
      <w:r w:rsidRPr="00FB4EFA">
        <w:rPr>
          <w:lang w:val="de-DE"/>
        </w:rPr>
        <w:t>Bruder</w:t>
      </w:r>
      <w:r w:rsidR="006057AB" w:rsidRPr="00FB4EFA">
        <w:rPr>
          <w:lang w:val="de-DE"/>
        </w:rPr>
        <w:t>’</w:t>
      </w:r>
      <w:r w:rsidRPr="00FB4EFA">
        <w:rPr>
          <w:lang w:val="de-DE"/>
        </w:rPr>
        <w:t xml:space="preserve">. Zusätzlich zu diesen Grundbegriffen gelangten </w:t>
      </w:r>
      <w:r w:rsidR="00AD79E8" w:rsidRPr="00FB4EFA">
        <w:rPr>
          <w:lang w:val="de-DE"/>
        </w:rPr>
        <w:br/>
      </w:r>
      <w:r w:rsidRPr="00FB4EFA">
        <w:rPr>
          <w:lang w:val="de-DE"/>
        </w:rPr>
        <w:lastRenderedPageBreak/>
        <w:t xml:space="preserve">neben Derivaten noch zahlreiche Personen- und Berufsbezeichnungen ins Korpus, sofern sie einer eindeutigen Geschlechtszuordnung unterlagen, etwa </w:t>
      </w:r>
      <w:r w:rsidRPr="00FB4EFA">
        <w:rPr>
          <w:i/>
          <w:lang w:val="de-DE"/>
        </w:rPr>
        <w:t>baleriin</w:t>
      </w:r>
      <w:r w:rsidRPr="00FB4EFA">
        <w:rPr>
          <w:lang w:val="de-DE"/>
        </w:rPr>
        <w:t xml:space="preserve"> </w:t>
      </w:r>
      <w:r w:rsidR="006057AB" w:rsidRPr="00FB4EFA">
        <w:rPr>
          <w:lang w:val="de-DE"/>
        </w:rPr>
        <w:t>‘</w:t>
      </w:r>
      <w:r w:rsidRPr="00FB4EFA">
        <w:rPr>
          <w:lang w:val="de-DE"/>
        </w:rPr>
        <w:t>Ballerina</w:t>
      </w:r>
      <w:r w:rsidR="006057AB" w:rsidRPr="00FB4EFA">
        <w:rPr>
          <w:lang w:val="de-DE"/>
        </w:rPr>
        <w:t>’</w:t>
      </w:r>
      <w:r w:rsidRPr="00FB4EFA">
        <w:rPr>
          <w:lang w:val="de-DE"/>
        </w:rPr>
        <w:t xml:space="preserve">, </w:t>
      </w:r>
      <w:r w:rsidRPr="00FB4EFA">
        <w:rPr>
          <w:i/>
          <w:lang w:val="de-DE"/>
        </w:rPr>
        <w:t>jõuluvana</w:t>
      </w:r>
      <w:r w:rsidRPr="00FB4EFA">
        <w:rPr>
          <w:lang w:val="de-DE"/>
        </w:rPr>
        <w:t xml:space="preserve"> </w:t>
      </w:r>
      <w:r w:rsidR="006057AB" w:rsidRPr="00FB4EFA">
        <w:rPr>
          <w:lang w:val="de-DE"/>
        </w:rPr>
        <w:t>‘</w:t>
      </w:r>
      <w:r w:rsidRPr="00FB4EFA">
        <w:rPr>
          <w:lang w:val="de-DE"/>
        </w:rPr>
        <w:t>Weihnachtsmann</w:t>
      </w:r>
      <w:r w:rsidR="006057AB" w:rsidRPr="00FB4EFA">
        <w:rPr>
          <w:lang w:val="de-DE"/>
        </w:rPr>
        <w:t>’</w:t>
      </w:r>
      <w:r w:rsidRPr="00FB4EFA">
        <w:rPr>
          <w:lang w:val="de-DE"/>
        </w:rPr>
        <w:t xml:space="preserve"> o.ä. Auch männliche und weibliche Eigennamen </w:t>
      </w:r>
      <w:r w:rsidR="00394635" w:rsidRPr="00FB4EFA">
        <w:rPr>
          <w:lang w:val="de-DE"/>
        </w:rPr>
        <w:t>[</w:t>
      </w:r>
      <w:r w:rsidRPr="00FB4EFA">
        <w:rPr>
          <w:lang w:val="de-DE"/>
        </w:rPr>
        <w:t>…</w:t>
      </w:r>
      <w:r w:rsidR="00394635" w:rsidRPr="00FB4EFA">
        <w:rPr>
          <w:lang w:val="de-DE"/>
        </w:rPr>
        <w:t>]</w:t>
      </w:r>
      <w:r w:rsidRPr="00FB4EFA">
        <w:rPr>
          <w:lang w:val="de-DE"/>
        </w:rPr>
        <w:t xml:space="preserve"> wurden mitgerechnet, …“ (Hasselblatt 1998: 151)</w:t>
      </w:r>
      <w:r w:rsidR="00394635" w:rsidRPr="00FB4EFA">
        <w:rPr>
          <w:lang w:val="de-DE"/>
        </w:rPr>
        <w:t>.</w:t>
      </w:r>
    </w:p>
    <w:p w14:paraId="2B64E523" w14:textId="4205FAF3" w:rsidR="00A96E85" w:rsidRPr="00FB4EFA" w:rsidRDefault="00A96E85" w:rsidP="00402EF4">
      <w:pPr>
        <w:ind w:firstLine="709"/>
        <w:rPr>
          <w:lang w:val="de-DE"/>
        </w:rPr>
      </w:pPr>
      <w:r w:rsidRPr="00FB4EFA">
        <w:rPr>
          <w:lang w:val="de-DE"/>
        </w:rPr>
        <w:t xml:space="preserve">Da die vorliegende Studie jedoch nicht mit einem Stichprobenkorpus arbeitet, sondern quantitativ das gesamte Wörterbuch erfassen will, musste die Zahl der zu untersuchenden Lexeme reduziert werden. </w:t>
      </w:r>
      <w:r w:rsidR="00A44130" w:rsidRPr="00FB4EFA">
        <w:rPr>
          <w:lang w:val="de-DE"/>
        </w:rPr>
        <w:t>Die Suche war auf die</w:t>
      </w:r>
      <w:r w:rsidRPr="00FB4EFA">
        <w:rPr>
          <w:lang w:val="de-DE"/>
        </w:rPr>
        <w:t xml:space="preserve"> Singularformen in allen Kasus </w:t>
      </w:r>
      <w:r w:rsidR="00A44130" w:rsidRPr="00FB4EFA">
        <w:rPr>
          <w:lang w:val="de-DE"/>
        </w:rPr>
        <w:t>sowie im Plural auf die drei</w:t>
      </w:r>
      <w:r w:rsidRPr="00FB4EFA">
        <w:rPr>
          <w:lang w:val="de-DE"/>
        </w:rPr>
        <w:t xml:space="preserve"> frequentesten Kasus, d.</w:t>
      </w:r>
      <w:r w:rsidR="00394635" w:rsidRPr="00FB4EFA">
        <w:rPr>
          <w:lang w:val="de-DE"/>
        </w:rPr>
        <w:t xml:space="preserve"> </w:t>
      </w:r>
      <w:r w:rsidRPr="00FB4EFA">
        <w:rPr>
          <w:lang w:val="de-DE"/>
        </w:rPr>
        <w:t>h. Nominativ, Partitiv und Komitativ</w:t>
      </w:r>
      <w:r w:rsidR="00A44130" w:rsidRPr="00FB4EFA">
        <w:rPr>
          <w:lang w:val="de-DE"/>
        </w:rPr>
        <w:t xml:space="preserve">, beschränkt; </w:t>
      </w:r>
      <w:r w:rsidRPr="00FB4EFA">
        <w:rPr>
          <w:lang w:val="de-DE"/>
        </w:rPr>
        <w:t xml:space="preserve">auch dies </w:t>
      </w:r>
      <w:r w:rsidR="00A44130" w:rsidRPr="00FB4EFA">
        <w:rPr>
          <w:lang w:val="de-DE"/>
        </w:rPr>
        <w:t xml:space="preserve">geschah </w:t>
      </w:r>
      <w:r w:rsidRPr="00FB4EFA">
        <w:rPr>
          <w:lang w:val="de-DE"/>
        </w:rPr>
        <w:t>nur bei einigen exemplarisch herausgegriffenen Lexemen (s.</w:t>
      </w:r>
      <w:r w:rsidR="00394635" w:rsidRPr="00FB4EFA">
        <w:rPr>
          <w:lang w:val="de-DE"/>
        </w:rPr>
        <w:t xml:space="preserve"> </w:t>
      </w:r>
      <w:r w:rsidRPr="00FB4EFA">
        <w:rPr>
          <w:lang w:val="de-DE"/>
        </w:rPr>
        <w:t>u. Tabelle 5).</w:t>
      </w:r>
    </w:p>
    <w:p w14:paraId="0A70DF8E" w14:textId="7A3B049F" w:rsidR="00A96E85" w:rsidRPr="00FB4EFA" w:rsidRDefault="00A96E85" w:rsidP="00AF0CAD">
      <w:pPr>
        <w:spacing w:after="240"/>
        <w:ind w:firstLine="709"/>
        <w:rPr>
          <w:lang w:val="de-DE"/>
        </w:rPr>
      </w:pPr>
      <w:r w:rsidRPr="00FB4EFA">
        <w:rPr>
          <w:lang w:val="de-DE"/>
        </w:rPr>
        <w:t xml:space="preserve">Die neue Auswahl entspricht somit nicht vollkommen der </w:t>
      </w:r>
      <w:r w:rsidR="00AD79E8" w:rsidRPr="00FB4EFA">
        <w:rPr>
          <w:lang w:val="de-DE"/>
        </w:rPr>
        <w:br/>
      </w:r>
      <w:r w:rsidRPr="00FB4EFA">
        <w:rPr>
          <w:lang w:val="de-DE"/>
        </w:rPr>
        <w:t xml:space="preserve">früheren, kann aber dadurch auch einige damalige Lücken schließen, da einige Lexeme fehlten, weil sie in den Stichproben offenbar nicht </w:t>
      </w:r>
      <w:r w:rsidR="00AD79E8" w:rsidRPr="00FB4EFA">
        <w:rPr>
          <w:lang w:val="de-DE"/>
        </w:rPr>
        <w:br/>
      </w:r>
      <w:r w:rsidRPr="00FB4EFA">
        <w:rPr>
          <w:lang w:val="de-DE"/>
        </w:rPr>
        <w:t xml:space="preserve">vorkamen. Anders ist nicht zu erklären, wieso die Lexeme </w:t>
      </w:r>
      <w:r w:rsidRPr="00FB4EFA">
        <w:rPr>
          <w:i/>
          <w:lang w:val="de-DE"/>
        </w:rPr>
        <w:t>daam</w:t>
      </w:r>
      <w:r w:rsidRPr="00FB4EFA">
        <w:rPr>
          <w:lang w:val="de-DE"/>
        </w:rPr>
        <w:t xml:space="preserve"> </w:t>
      </w:r>
      <w:r w:rsidR="006057AB" w:rsidRPr="00FB4EFA">
        <w:rPr>
          <w:lang w:val="de-DE"/>
        </w:rPr>
        <w:t>‘</w:t>
      </w:r>
      <w:r w:rsidRPr="00FB4EFA">
        <w:rPr>
          <w:lang w:val="de-DE"/>
        </w:rPr>
        <w:t>Dame</w:t>
      </w:r>
      <w:r w:rsidR="006057AB" w:rsidRPr="00FB4EFA">
        <w:rPr>
          <w:lang w:val="de-DE"/>
        </w:rPr>
        <w:t>’</w:t>
      </w:r>
      <w:r w:rsidRPr="00FB4EFA">
        <w:rPr>
          <w:lang w:val="de-DE"/>
        </w:rPr>
        <w:t xml:space="preserve">, </w:t>
      </w:r>
      <w:r w:rsidRPr="00FB4EFA">
        <w:rPr>
          <w:i/>
          <w:lang w:val="de-DE"/>
        </w:rPr>
        <w:t>härra</w:t>
      </w:r>
      <w:r w:rsidRPr="00FB4EFA">
        <w:rPr>
          <w:lang w:val="de-DE"/>
        </w:rPr>
        <w:t xml:space="preserve"> </w:t>
      </w:r>
      <w:r w:rsidR="006057AB" w:rsidRPr="00FB4EFA">
        <w:rPr>
          <w:lang w:val="de-DE"/>
        </w:rPr>
        <w:t>‘</w:t>
      </w:r>
      <w:r w:rsidRPr="00FB4EFA">
        <w:rPr>
          <w:lang w:val="de-DE"/>
        </w:rPr>
        <w:t>Herr</w:t>
      </w:r>
      <w:r w:rsidR="006057AB" w:rsidRPr="00FB4EFA">
        <w:rPr>
          <w:lang w:val="de-DE"/>
        </w:rPr>
        <w:t>’</w:t>
      </w:r>
      <w:r w:rsidRPr="00FB4EFA">
        <w:rPr>
          <w:lang w:val="de-DE"/>
        </w:rPr>
        <w:t xml:space="preserve">, </w:t>
      </w:r>
      <w:r w:rsidRPr="00FB4EFA">
        <w:rPr>
          <w:i/>
          <w:lang w:val="de-DE"/>
        </w:rPr>
        <w:t>plika</w:t>
      </w:r>
      <w:r w:rsidRPr="00FB4EFA">
        <w:rPr>
          <w:lang w:val="de-DE"/>
        </w:rPr>
        <w:t xml:space="preserve"> </w:t>
      </w:r>
      <w:r w:rsidR="006057AB" w:rsidRPr="00FB4EFA">
        <w:rPr>
          <w:lang w:val="de-DE"/>
        </w:rPr>
        <w:t>‘</w:t>
      </w:r>
      <w:r w:rsidRPr="00FB4EFA">
        <w:rPr>
          <w:lang w:val="de-DE"/>
        </w:rPr>
        <w:t>Mädchen</w:t>
      </w:r>
      <w:r w:rsidR="006057AB" w:rsidRPr="00FB4EFA">
        <w:rPr>
          <w:lang w:val="de-DE"/>
        </w:rPr>
        <w:t>’</w:t>
      </w:r>
      <w:r w:rsidRPr="00FB4EFA">
        <w:rPr>
          <w:lang w:val="de-DE"/>
        </w:rPr>
        <w:t xml:space="preserve"> und </w:t>
      </w:r>
      <w:r w:rsidRPr="00FB4EFA">
        <w:rPr>
          <w:i/>
          <w:lang w:val="de-DE"/>
        </w:rPr>
        <w:t>tütarlaps</w:t>
      </w:r>
      <w:r w:rsidRPr="00FB4EFA">
        <w:rPr>
          <w:lang w:val="de-DE"/>
        </w:rPr>
        <w:t xml:space="preserve"> </w:t>
      </w:r>
      <w:r w:rsidR="006057AB" w:rsidRPr="00FB4EFA">
        <w:rPr>
          <w:lang w:val="de-DE"/>
        </w:rPr>
        <w:t>‘</w:t>
      </w:r>
      <w:r w:rsidRPr="00FB4EFA">
        <w:rPr>
          <w:lang w:val="de-DE"/>
        </w:rPr>
        <w:t>Mädchen, junge Frau</w:t>
      </w:r>
      <w:r w:rsidR="006057AB" w:rsidRPr="00FB4EFA">
        <w:rPr>
          <w:lang w:val="de-DE"/>
        </w:rPr>
        <w:t>’</w:t>
      </w:r>
      <w:r w:rsidRPr="00FB4EFA">
        <w:rPr>
          <w:lang w:val="de-DE"/>
        </w:rPr>
        <w:t xml:space="preserve"> nicht berücksichtigt wurden. Für die neue Analyse wurden nun die folgenden Lexeme herangezogen:</w:t>
      </w:r>
    </w:p>
    <w:tbl>
      <w:tblPr>
        <w:tblW w:w="0" w:type="auto"/>
        <w:tblBorders>
          <w:insideH w:val="single" w:sz="4" w:space="0" w:color="auto"/>
          <w:insideV w:val="single" w:sz="4" w:space="0" w:color="auto"/>
        </w:tblBorders>
        <w:tblLook w:val="04A0" w:firstRow="1" w:lastRow="0" w:firstColumn="1" w:lastColumn="0" w:noHBand="0" w:noVBand="1"/>
      </w:tblPr>
      <w:tblGrid>
        <w:gridCol w:w="3419"/>
        <w:gridCol w:w="3485"/>
      </w:tblGrid>
      <w:tr w:rsidR="00FB4EFA" w:rsidRPr="00FB4EFA" w14:paraId="470F46D3" w14:textId="77777777" w:rsidTr="00230AD0">
        <w:trPr>
          <w:trHeight w:val="244"/>
        </w:trPr>
        <w:tc>
          <w:tcPr>
            <w:tcW w:w="3419" w:type="dxa"/>
            <w:tcBorders>
              <w:top w:val="nil"/>
              <w:bottom w:val="single" w:sz="12" w:space="0" w:color="auto"/>
              <w:right w:val="single" w:sz="12" w:space="0" w:color="auto"/>
            </w:tcBorders>
          </w:tcPr>
          <w:p w14:paraId="5194B867" w14:textId="77777777" w:rsidR="00A96E85" w:rsidRPr="00FB4EFA" w:rsidRDefault="00A96E85" w:rsidP="00AF0CAD">
            <w:pPr>
              <w:spacing w:line="240" w:lineRule="auto"/>
              <w:jc w:val="center"/>
              <w:rPr>
                <w:rFonts w:cs="Charis SIL"/>
                <w:b/>
                <w:bCs/>
                <w:lang w:val="de-DE"/>
              </w:rPr>
            </w:pPr>
            <w:r w:rsidRPr="00FB4EFA">
              <w:rPr>
                <w:rFonts w:ascii="Segoe UI Symbol" w:hAnsi="Segoe UI Symbol" w:cs="Segoe UI Symbol"/>
                <w:b/>
                <w:bCs/>
                <w:lang w:val="de-DE"/>
              </w:rPr>
              <w:t>♀</w:t>
            </w:r>
          </w:p>
        </w:tc>
        <w:tc>
          <w:tcPr>
            <w:tcW w:w="3485" w:type="dxa"/>
            <w:tcBorders>
              <w:top w:val="nil"/>
              <w:left w:val="single" w:sz="12" w:space="0" w:color="auto"/>
              <w:bottom w:val="single" w:sz="12" w:space="0" w:color="auto"/>
            </w:tcBorders>
          </w:tcPr>
          <w:p w14:paraId="51731591" w14:textId="77777777" w:rsidR="00A96E85" w:rsidRPr="00FB4EFA" w:rsidRDefault="00A96E85" w:rsidP="00AF0CAD">
            <w:pPr>
              <w:spacing w:line="240" w:lineRule="auto"/>
              <w:jc w:val="center"/>
              <w:rPr>
                <w:rFonts w:cs="Charis SIL"/>
                <w:b/>
                <w:bCs/>
                <w:lang w:val="de-DE"/>
              </w:rPr>
            </w:pPr>
            <w:r w:rsidRPr="00FB4EFA">
              <w:rPr>
                <w:rFonts w:ascii="Segoe UI Symbol" w:hAnsi="Segoe UI Symbol" w:cs="Segoe UI Symbol"/>
                <w:b/>
                <w:bCs/>
                <w:lang w:val="de-DE"/>
              </w:rPr>
              <w:t>♂</w:t>
            </w:r>
          </w:p>
        </w:tc>
      </w:tr>
      <w:tr w:rsidR="00FB4EFA" w:rsidRPr="00FB4EFA" w14:paraId="60F0C604" w14:textId="77777777" w:rsidTr="00F220A6">
        <w:tc>
          <w:tcPr>
            <w:tcW w:w="3419" w:type="dxa"/>
            <w:tcBorders>
              <w:top w:val="single" w:sz="12" w:space="0" w:color="auto"/>
              <w:right w:val="single" w:sz="12" w:space="0" w:color="auto"/>
            </w:tcBorders>
          </w:tcPr>
          <w:p w14:paraId="301CDCC1" w14:textId="0AB309F7" w:rsidR="00A96E85" w:rsidRPr="00FB4EFA" w:rsidRDefault="00A96E85" w:rsidP="00AC1192">
            <w:pPr>
              <w:suppressAutoHyphens/>
              <w:spacing w:line="240" w:lineRule="auto"/>
              <w:rPr>
                <w:sz w:val="18"/>
                <w:szCs w:val="18"/>
                <w:lang w:val="de-DE"/>
              </w:rPr>
            </w:pPr>
            <w:r w:rsidRPr="00FB4EFA">
              <w:rPr>
                <w:i/>
                <w:sz w:val="18"/>
                <w:szCs w:val="18"/>
                <w:lang w:val="de-DE"/>
              </w:rPr>
              <w:t>ämm</w:t>
            </w:r>
            <w:r w:rsidRPr="00FB4EFA">
              <w:rPr>
                <w:sz w:val="18"/>
                <w:szCs w:val="18"/>
                <w:lang w:val="de-DE"/>
              </w:rPr>
              <w:t xml:space="preserve"> </w:t>
            </w:r>
            <w:r w:rsidR="006057AB" w:rsidRPr="00FB4EFA">
              <w:rPr>
                <w:sz w:val="18"/>
                <w:szCs w:val="18"/>
                <w:lang w:val="de-DE"/>
              </w:rPr>
              <w:t>‘</w:t>
            </w:r>
            <w:r w:rsidRPr="00FB4EFA">
              <w:rPr>
                <w:sz w:val="18"/>
                <w:szCs w:val="18"/>
                <w:lang w:val="de-DE"/>
              </w:rPr>
              <w:t>Schwiegermutter</w:t>
            </w:r>
            <w:r w:rsidR="006057AB" w:rsidRPr="00FB4EFA">
              <w:rPr>
                <w:sz w:val="18"/>
                <w:szCs w:val="18"/>
                <w:lang w:val="de-DE"/>
              </w:rPr>
              <w:t>’</w:t>
            </w:r>
          </w:p>
        </w:tc>
        <w:tc>
          <w:tcPr>
            <w:tcW w:w="3485" w:type="dxa"/>
            <w:tcBorders>
              <w:top w:val="single" w:sz="12" w:space="0" w:color="auto"/>
              <w:left w:val="single" w:sz="12" w:space="0" w:color="auto"/>
            </w:tcBorders>
          </w:tcPr>
          <w:p w14:paraId="5E4D9242" w14:textId="5A7F8D82" w:rsidR="00A96E85" w:rsidRPr="00FB4EFA" w:rsidRDefault="00A96E85" w:rsidP="00AC1192">
            <w:pPr>
              <w:suppressAutoHyphens/>
              <w:spacing w:line="240" w:lineRule="auto"/>
              <w:rPr>
                <w:sz w:val="18"/>
                <w:szCs w:val="18"/>
                <w:lang w:val="de-DE"/>
              </w:rPr>
            </w:pPr>
            <w:r w:rsidRPr="00FB4EFA">
              <w:rPr>
                <w:i/>
                <w:sz w:val="18"/>
                <w:szCs w:val="18"/>
                <w:lang w:val="de-DE"/>
              </w:rPr>
              <w:t>äi</w:t>
            </w:r>
            <w:r w:rsidRPr="00FB4EFA">
              <w:rPr>
                <w:sz w:val="18"/>
                <w:szCs w:val="18"/>
                <w:lang w:val="de-DE"/>
              </w:rPr>
              <w:t xml:space="preserve"> </w:t>
            </w:r>
            <w:r w:rsidR="006057AB" w:rsidRPr="00FB4EFA">
              <w:rPr>
                <w:sz w:val="18"/>
                <w:szCs w:val="18"/>
                <w:lang w:val="de-DE"/>
              </w:rPr>
              <w:t>‘</w:t>
            </w:r>
            <w:r w:rsidRPr="00FB4EFA">
              <w:rPr>
                <w:sz w:val="18"/>
                <w:szCs w:val="18"/>
                <w:lang w:val="de-DE"/>
              </w:rPr>
              <w:t>Schwiegervater</w:t>
            </w:r>
            <w:r w:rsidR="006057AB" w:rsidRPr="00FB4EFA">
              <w:rPr>
                <w:sz w:val="18"/>
                <w:szCs w:val="18"/>
                <w:lang w:val="de-DE"/>
              </w:rPr>
              <w:t>’</w:t>
            </w:r>
          </w:p>
        </w:tc>
      </w:tr>
      <w:tr w:rsidR="00FB4EFA" w:rsidRPr="00FB4EFA" w14:paraId="0517E5D2" w14:textId="77777777" w:rsidTr="00F220A6">
        <w:tc>
          <w:tcPr>
            <w:tcW w:w="3419" w:type="dxa"/>
            <w:tcBorders>
              <w:right w:val="single" w:sz="12" w:space="0" w:color="auto"/>
            </w:tcBorders>
          </w:tcPr>
          <w:p w14:paraId="0FE971B4" w14:textId="24617DF7" w:rsidR="00A96E85" w:rsidRPr="00FB4EFA" w:rsidRDefault="00A96E85" w:rsidP="00AC1192">
            <w:pPr>
              <w:suppressAutoHyphens/>
              <w:spacing w:line="240" w:lineRule="auto"/>
              <w:rPr>
                <w:sz w:val="18"/>
                <w:szCs w:val="18"/>
                <w:lang w:val="de-DE"/>
              </w:rPr>
            </w:pPr>
            <w:r w:rsidRPr="00FB4EFA">
              <w:rPr>
                <w:i/>
                <w:sz w:val="18"/>
                <w:szCs w:val="18"/>
                <w:lang w:val="de-DE"/>
              </w:rPr>
              <w:t>ema</w:t>
            </w:r>
            <w:r w:rsidRPr="00FB4EFA">
              <w:rPr>
                <w:sz w:val="18"/>
                <w:szCs w:val="18"/>
                <w:lang w:val="de-DE"/>
              </w:rPr>
              <w:t xml:space="preserve"> </w:t>
            </w:r>
            <w:r w:rsidR="006057AB" w:rsidRPr="00FB4EFA">
              <w:rPr>
                <w:sz w:val="18"/>
                <w:szCs w:val="18"/>
                <w:lang w:val="de-DE"/>
              </w:rPr>
              <w:t>‘</w:t>
            </w:r>
            <w:r w:rsidRPr="00FB4EFA">
              <w:rPr>
                <w:sz w:val="18"/>
                <w:szCs w:val="18"/>
                <w:lang w:val="de-DE"/>
              </w:rPr>
              <w:t>Mutter</w:t>
            </w:r>
            <w:r w:rsidR="006057AB" w:rsidRPr="00FB4EFA">
              <w:rPr>
                <w:sz w:val="18"/>
                <w:szCs w:val="18"/>
                <w:lang w:val="de-DE"/>
              </w:rPr>
              <w:t>’</w:t>
            </w:r>
          </w:p>
        </w:tc>
        <w:tc>
          <w:tcPr>
            <w:tcW w:w="3485" w:type="dxa"/>
            <w:tcBorders>
              <w:left w:val="single" w:sz="12" w:space="0" w:color="auto"/>
            </w:tcBorders>
          </w:tcPr>
          <w:p w14:paraId="09BBCF99" w14:textId="5922AC8D" w:rsidR="00A96E85" w:rsidRPr="00FB4EFA" w:rsidRDefault="00A96E85" w:rsidP="00AC1192">
            <w:pPr>
              <w:suppressAutoHyphens/>
              <w:spacing w:line="240" w:lineRule="auto"/>
              <w:rPr>
                <w:sz w:val="18"/>
                <w:szCs w:val="18"/>
                <w:lang w:val="de-DE"/>
              </w:rPr>
            </w:pPr>
            <w:r w:rsidRPr="00FB4EFA">
              <w:rPr>
                <w:i/>
                <w:sz w:val="18"/>
                <w:szCs w:val="18"/>
                <w:lang w:val="de-DE"/>
              </w:rPr>
              <w:t>isa</w:t>
            </w:r>
            <w:r w:rsidRPr="00FB4EFA">
              <w:rPr>
                <w:sz w:val="18"/>
                <w:szCs w:val="18"/>
                <w:lang w:val="de-DE"/>
              </w:rPr>
              <w:t xml:space="preserve"> </w:t>
            </w:r>
            <w:r w:rsidR="006057AB" w:rsidRPr="00FB4EFA">
              <w:rPr>
                <w:sz w:val="18"/>
                <w:szCs w:val="18"/>
                <w:lang w:val="de-DE"/>
              </w:rPr>
              <w:t>‘</w:t>
            </w:r>
            <w:r w:rsidRPr="00FB4EFA">
              <w:rPr>
                <w:sz w:val="18"/>
                <w:szCs w:val="18"/>
                <w:lang w:val="de-DE"/>
              </w:rPr>
              <w:t>Vater</w:t>
            </w:r>
            <w:r w:rsidR="006057AB" w:rsidRPr="00FB4EFA">
              <w:rPr>
                <w:sz w:val="18"/>
                <w:szCs w:val="18"/>
                <w:lang w:val="de-DE"/>
              </w:rPr>
              <w:t>’</w:t>
            </w:r>
          </w:p>
        </w:tc>
      </w:tr>
      <w:tr w:rsidR="00FB4EFA" w:rsidRPr="00FB4EFA" w14:paraId="175357F4" w14:textId="77777777" w:rsidTr="00F220A6">
        <w:tc>
          <w:tcPr>
            <w:tcW w:w="3419" w:type="dxa"/>
            <w:tcBorders>
              <w:right w:val="single" w:sz="12" w:space="0" w:color="auto"/>
            </w:tcBorders>
          </w:tcPr>
          <w:p w14:paraId="00D8567A" w14:textId="455AFD63" w:rsidR="00A96E85" w:rsidRPr="00FB4EFA" w:rsidRDefault="00A96E85" w:rsidP="00AC1192">
            <w:pPr>
              <w:suppressAutoHyphens/>
              <w:spacing w:line="240" w:lineRule="auto"/>
              <w:rPr>
                <w:sz w:val="18"/>
                <w:szCs w:val="18"/>
                <w:lang w:val="de-DE"/>
              </w:rPr>
            </w:pPr>
            <w:r w:rsidRPr="00FB4EFA">
              <w:rPr>
                <w:i/>
                <w:sz w:val="18"/>
                <w:szCs w:val="18"/>
                <w:lang w:val="de-DE"/>
              </w:rPr>
              <w:t>eit</w:t>
            </w:r>
            <w:r w:rsidRPr="00FB4EFA">
              <w:rPr>
                <w:sz w:val="18"/>
                <w:szCs w:val="18"/>
                <w:lang w:val="de-DE"/>
              </w:rPr>
              <w:t xml:space="preserve">, </w:t>
            </w:r>
            <w:r w:rsidRPr="00FB4EFA">
              <w:rPr>
                <w:i/>
                <w:sz w:val="18"/>
                <w:szCs w:val="18"/>
                <w:lang w:val="de-DE"/>
              </w:rPr>
              <w:t>memm</w:t>
            </w:r>
            <w:r w:rsidRPr="00FB4EFA">
              <w:rPr>
                <w:sz w:val="18"/>
                <w:szCs w:val="18"/>
                <w:lang w:val="de-DE"/>
              </w:rPr>
              <w:t xml:space="preserve"> </w:t>
            </w:r>
            <w:r w:rsidR="006057AB" w:rsidRPr="00FB4EFA">
              <w:rPr>
                <w:sz w:val="18"/>
                <w:szCs w:val="18"/>
                <w:lang w:val="de-DE"/>
              </w:rPr>
              <w:t>‘</w:t>
            </w:r>
            <w:r w:rsidRPr="00FB4EFA">
              <w:rPr>
                <w:sz w:val="18"/>
                <w:szCs w:val="18"/>
                <w:lang w:val="de-DE"/>
              </w:rPr>
              <w:t>Alte, Greisin</w:t>
            </w:r>
            <w:r w:rsidR="006057AB" w:rsidRPr="00FB4EFA">
              <w:rPr>
                <w:sz w:val="18"/>
                <w:szCs w:val="18"/>
                <w:lang w:val="de-DE"/>
              </w:rPr>
              <w:t>’</w:t>
            </w:r>
          </w:p>
        </w:tc>
        <w:tc>
          <w:tcPr>
            <w:tcW w:w="3485" w:type="dxa"/>
            <w:tcBorders>
              <w:left w:val="single" w:sz="12" w:space="0" w:color="auto"/>
            </w:tcBorders>
          </w:tcPr>
          <w:p w14:paraId="067A27BE" w14:textId="42904F60" w:rsidR="00A96E85" w:rsidRPr="00FB4EFA" w:rsidRDefault="00A96E85" w:rsidP="00AC1192">
            <w:pPr>
              <w:suppressAutoHyphens/>
              <w:spacing w:line="240" w:lineRule="auto"/>
              <w:rPr>
                <w:sz w:val="18"/>
                <w:szCs w:val="18"/>
                <w:lang w:val="de-DE"/>
              </w:rPr>
            </w:pPr>
            <w:r w:rsidRPr="00FB4EFA">
              <w:rPr>
                <w:i/>
                <w:sz w:val="18"/>
                <w:szCs w:val="18"/>
                <w:lang w:val="de-DE"/>
              </w:rPr>
              <w:t>ätt</w:t>
            </w:r>
            <w:r w:rsidRPr="00FB4EFA">
              <w:rPr>
                <w:sz w:val="18"/>
                <w:szCs w:val="18"/>
                <w:lang w:val="de-DE"/>
              </w:rPr>
              <w:t xml:space="preserve">, </w:t>
            </w:r>
            <w:r w:rsidRPr="00FB4EFA">
              <w:rPr>
                <w:i/>
                <w:sz w:val="18"/>
                <w:szCs w:val="18"/>
                <w:lang w:val="de-DE"/>
              </w:rPr>
              <w:t>taat</w:t>
            </w:r>
            <w:r w:rsidRPr="00FB4EFA">
              <w:rPr>
                <w:sz w:val="18"/>
                <w:szCs w:val="18"/>
                <w:lang w:val="de-DE"/>
              </w:rPr>
              <w:t xml:space="preserve"> </w:t>
            </w:r>
            <w:r w:rsidR="006057AB" w:rsidRPr="00FB4EFA">
              <w:rPr>
                <w:sz w:val="18"/>
                <w:szCs w:val="18"/>
                <w:lang w:val="de-DE"/>
              </w:rPr>
              <w:t>‘</w:t>
            </w:r>
            <w:r w:rsidRPr="00FB4EFA">
              <w:rPr>
                <w:sz w:val="18"/>
                <w:szCs w:val="18"/>
                <w:lang w:val="de-DE"/>
              </w:rPr>
              <w:t>Alter, Greis</w:t>
            </w:r>
            <w:r w:rsidR="006057AB" w:rsidRPr="00FB4EFA">
              <w:rPr>
                <w:sz w:val="18"/>
                <w:szCs w:val="18"/>
                <w:lang w:val="de-DE"/>
              </w:rPr>
              <w:t>’</w:t>
            </w:r>
          </w:p>
        </w:tc>
      </w:tr>
      <w:tr w:rsidR="00FB4EFA" w:rsidRPr="00FB4EFA" w14:paraId="31C817ED" w14:textId="77777777" w:rsidTr="00F220A6">
        <w:tc>
          <w:tcPr>
            <w:tcW w:w="3419" w:type="dxa"/>
            <w:tcBorders>
              <w:right w:val="single" w:sz="12" w:space="0" w:color="auto"/>
            </w:tcBorders>
          </w:tcPr>
          <w:p w14:paraId="7361E5E4" w14:textId="5704C987" w:rsidR="00A96E85" w:rsidRPr="00FB4EFA" w:rsidRDefault="00A96E85" w:rsidP="00AC1192">
            <w:pPr>
              <w:suppressAutoHyphens/>
              <w:spacing w:line="240" w:lineRule="auto"/>
              <w:rPr>
                <w:sz w:val="18"/>
                <w:szCs w:val="18"/>
                <w:lang w:val="de-DE"/>
              </w:rPr>
            </w:pPr>
            <w:r w:rsidRPr="00FB4EFA">
              <w:rPr>
                <w:i/>
                <w:sz w:val="18"/>
                <w:szCs w:val="18"/>
                <w:lang w:val="de-DE"/>
              </w:rPr>
              <w:t>naine</w:t>
            </w:r>
            <w:r w:rsidRPr="00FB4EFA">
              <w:rPr>
                <w:sz w:val="18"/>
                <w:szCs w:val="18"/>
                <w:lang w:val="de-DE"/>
              </w:rPr>
              <w:t xml:space="preserve"> </w:t>
            </w:r>
            <w:r w:rsidR="006057AB" w:rsidRPr="00FB4EFA">
              <w:rPr>
                <w:sz w:val="18"/>
                <w:szCs w:val="18"/>
                <w:lang w:val="de-DE"/>
              </w:rPr>
              <w:t>‘</w:t>
            </w:r>
            <w:r w:rsidRPr="00FB4EFA">
              <w:rPr>
                <w:sz w:val="18"/>
                <w:szCs w:val="18"/>
                <w:lang w:val="de-DE"/>
              </w:rPr>
              <w:t>Frau</w:t>
            </w:r>
            <w:r w:rsidR="006057AB" w:rsidRPr="00FB4EFA">
              <w:rPr>
                <w:sz w:val="18"/>
                <w:szCs w:val="18"/>
                <w:lang w:val="de-DE"/>
              </w:rPr>
              <w:t>’</w:t>
            </w:r>
          </w:p>
        </w:tc>
        <w:tc>
          <w:tcPr>
            <w:tcW w:w="3485" w:type="dxa"/>
            <w:tcBorders>
              <w:left w:val="single" w:sz="12" w:space="0" w:color="auto"/>
            </w:tcBorders>
          </w:tcPr>
          <w:p w14:paraId="0DBD49E2" w14:textId="21010AED" w:rsidR="00A96E85" w:rsidRPr="00FB4EFA" w:rsidRDefault="00A96E85" w:rsidP="00AC1192">
            <w:pPr>
              <w:suppressAutoHyphens/>
              <w:spacing w:line="240" w:lineRule="auto"/>
              <w:rPr>
                <w:sz w:val="18"/>
                <w:szCs w:val="18"/>
                <w:lang w:val="de-DE"/>
              </w:rPr>
            </w:pPr>
            <w:r w:rsidRPr="00FB4EFA">
              <w:rPr>
                <w:i/>
                <w:sz w:val="18"/>
                <w:szCs w:val="18"/>
                <w:lang w:val="de-DE"/>
              </w:rPr>
              <w:t>mees</w:t>
            </w:r>
            <w:r w:rsidRPr="00FB4EFA">
              <w:rPr>
                <w:sz w:val="18"/>
                <w:szCs w:val="18"/>
                <w:lang w:val="de-DE"/>
              </w:rPr>
              <w:t xml:space="preserve"> </w:t>
            </w:r>
            <w:r w:rsidR="006057AB" w:rsidRPr="00FB4EFA">
              <w:rPr>
                <w:sz w:val="18"/>
                <w:szCs w:val="18"/>
                <w:lang w:val="de-DE"/>
              </w:rPr>
              <w:t>‘</w:t>
            </w:r>
            <w:r w:rsidRPr="00FB4EFA">
              <w:rPr>
                <w:sz w:val="18"/>
                <w:szCs w:val="18"/>
                <w:lang w:val="de-DE"/>
              </w:rPr>
              <w:t>Mann</w:t>
            </w:r>
            <w:r w:rsidR="006057AB" w:rsidRPr="00FB4EFA">
              <w:rPr>
                <w:sz w:val="18"/>
                <w:szCs w:val="18"/>
                <w:lang w:val="de-DE"/>
              </w:rPr>
              <w:t>’</w:t>
            </w:r>
          </w:p>
        </w:tc>
      </w:tr>
      <w:tr w:rsidR="00FB4EFA" w:rsidRPr="00FB4EFA" w14:paraId="6812F023" w14:textId="77777777" w:rsidTr="00F220A6">
        <w:tc>
          <w:tcPr>
            <w:tcW w:w="3419" w:type="dxa"/>
            <w:tcBorders>
              <w:right w:val="single" w:sz="12" w:space="0" w:color="auto"/>
            </w:tcBorders>
          </w:tcPr>
          <w:p w14:paraId="644ABB1C" w14:textId="7E53A50A" w:rsidR="00A96E85" w:rsidRPr="00FB4EFA" w:rsidRDefault="00A96E85" w:rsidP="00AC1192">
            <w:pPr>
              <w:suppressAutoHyphens/>
              <w:spacing w:line="240" w:lineRule="auto"/>
              <w:rPr>
                <w:sz w:val="18"/>
                <w:szCs w:val="18"/>
                <w:lang w:val="de-DE"/>
              </w:rPr>
            </w:pPr>
            <w:r w:rsidRPr="00FB4EFA">
              <w:rPr>
                <w:i/>
                <w:sz w:val="18"/>
                <w:szCs w:val="18"/>
                <w:lang w:val="de-DE"/>
              </w:rPr>
              <w:t xml:space="preserve">neiu </w:t>
            </w:r>
            <w:r w:rsidR="006057AB" w:rsidRPr="00FB4EFA">
              <w:rPr>
                <w:sz w:val="18"/>
                <w:szCs w:val="18"/>
                <w:lang w:val="de-DE"/>
              </w:rPr>
              <w:t>‘</w:t>
            </w:r>
            <w:r w:rsidRPr="00FB4EFA">
              <w:rPr>
                <w:sz w:val="18"/>
                <w:szCs w:val="18"/>
                <w:lang w:val="de-DE"/>
              </w:rPr>
              <w:t>junge Frau, Jungfer</w:t>
            </w:r>
            <w:r w:rsidR="006057AB" w:rsidRPr="00FB4EFA">
              <w:rPr>
                <w:sz w:val="18"/>
                <w:szCs w:val="18"/>
                <w:lang w:val="de-DE"/>
              </w:rPr>
              <w:t>’</w:t>
            </w:r>
          </w:p>
        </w:tc>
        <w:tc>
          <w:tcPr>
            <w:tcW w:w="3485" w:type="dxa"/>
            <w:tcBorders>
              <w:left w:val="single" w:sz="12" w:space="0" w:color="auto"/>
            </w:tcBorders>
          </w:tcPr>
          <w:p w14:paraId="21F8FD1C" w14:textId="62E6C668" w:rsidR="00A96E85" w:rsidRPr="00FB4EFA" w:rsidRDefault="00A96E85" w:rsidP="00AC1192">
            <w:pPr>
              <w:suppressAutoHyphens/>
              <w:spacing w:line="240" w:lineRule="auto"/>
              <w:rPr>
                <w:sz w:val="18"/>
                <w:szCs w:val="18"/>
                <w:lang w:val="de-DE"/>
              </w:rPr>
            </w:pPr>
            <w:r w:rsidRPr="00FB4EFA">
              <w:rPr>
                <w:i/>
                <w:sz w:val="18"/>
                <w:szCs w:val="18"/>
                <w:lang w:val="de-DE"/>
              </w:rPr>
              <w:t xml:space="preserve">noormees </w:t>
            </w:r>
            <w:r w:rsidR="006057AB" w:rsidRPr="00FB4EFA">
              <w:rPr>
                <w:sz w:val="18"/>
                <w:szCs w:val="18"/>
                <w:lang w:val="de-DE"/>
              </w:rPr>
              <w:t>‘</w:t>
            </w:r>
            <w:r w:rsidRPr="00FB4EFA">
              <w:rPr>
                <w:sz w:val="18"/>
                <w:szCs w:val="18"/>
                <w:lang w:val="de-DE"/>
              </w:rPr>
              <w:t>junger Mann</w:t>
            </w:r>
            <w:r w:rsidR="006057AB" w:rsidRPr="00FB4EFA">
              <w:rPr>
                <w:sz w:val="18"/>
                <w:szCs w:val="18"/>
                <w:lang w:val="de-DE"/>
              </w:rPr>
              <w:t>’</w:t>
            </w:r>
          </w:p>
        </w:tc>
      </w:tr>
      <w:tr w:rsidR="00FB4EFA" w:rsidRPr="00FB4EFA" w14:paraId="6D0EFF7A" w14:textId="77777777" w:rsidTr="00F220A6">
        <w:tc>
          <w:tcPr>
            <w:tcW w:w="3419" w:type="dxa"/>
            <w:tcBorders>
              <w:right w:val="single" w:sz="12" w:space="0" w:color="auto"/>
            </w:tcBorders>
          </w:tcPr>
          <w:p w14:paraId="39936E2B" w14:textId="339CC7E0" w:rsidR="00A96E85" w:rsidRPr="00FB4EFA" w:rsidRDefault="00A96E85" w:rsidP="00AC1192">
            <w:pPr>
              <w:suppressAutoHyphens/>
              <w:spacing w:line="240" w:lineRule="auto"/>
              <w:rPr>
                <w:i/>
                <w:sz w:val="18"/>
                <w:szCs w:val="18"/>
                <w:lang w:val="de-DE"/>
              </w:rPr>
            </w:pPr>
            <w:r w:rsidRPr="00FB4EFA">
              <w:rPr>
                <w:i/>
                <w:sz w:val="18"/>
                <w:szCs w:val="18"/>
                <w:lang w:val="de-DE"/>
              </w:rPr>
              <w:t>noorik</w:t>
            </w:r>
            <w:r w:rsidRPr="00FB4EFA">
              <w:rPr>
                <w:sz w:val="18"/>
                <w:szCs w:val="18"/>
                <w:lang w:val="de-DE"/>
              </w:rPr>
              <w:t xml:space="preserve"> </w:t>
            </w:r>
            <w:r w:rsidR="006057AB" w:rsidRPr="00FB4EFA">
              <w:rPr>
                <w:sz w:val="18"/>
                <w:szCs w:val="18"/>
                <w:lang w:val="de-DE"/>
              </w:rPr>
              <w:t>‘</w:t>
            </w:r>
            <w:r w:rsidRPr="00FB4EFA">
              <w:rPr>
                <w:sz w:val="18"/>
                <w:szCs w:val="18"/>
                <w:lang w:val="de-DE"/>
              </w:rPr>
              <w:t>Jungvermählte</w:t>
            </w:r>
            <w:r w:rsidR="006057AB" w:rsidRPr="00FB4EFA">
              <w:rPr>
                <w:sz w:val="18"/>
                <w:szCs w:val="18"/>
                <w:lang w:val="de-DE"/>
              </w:rPr>
              <w:t>’</w:t>
            </w:r>
          </w:p>
        </w:tc>
        <w:tc>
          <w:tcPr>
            <w:tcW w:w="3485" w:type="dxa"/>
            <w:tcBorders>
              <w:left w:val="single" w:sz="12" w:space="0" w:color="auto"/>
            </w:tcBorders>
          </w:tcPr>
          <w:p w14:paraId="67F64056" w14:textId="4F154D8D" w:rsidR="00A96E85" w:rsidRPr="00FB4EFA" w:rsidRDefault="00A96E85" w:rsidP="00AC1192">
            <w:pPr>
              <w:suppressAutoHyphens/>
              <w:spacing w:line="240" w:lineRule="auto"/>
              <w:rPr>
                <w:i/>
                <w:sz w:val="18"/>
                <w:szCs w:val="18"/>
                <w:lang w:val="de-DE"/>
              </w:rPr>
            </w:pPr>
            <w:r w:rsidRPr="00FB4EFA">
              <w:rPr>
                <w:i/>
                <w:sz w:val="18"/>
                <w:szCs w:val="18"/>
                <w:lang w:val="de-DE"/>
              </w:rPr>
              <w:t>nooruk</w:t>
            </w:r>
            <w:r w:rsidRPr="00FB4EFA">
              <w:rPr>
                <w:sz w:val="18"/>
                <w:szCs w:val="18"/>
                <w:lang w:val="de-DE"/>
              </w:rPr>
              <w:t xml:space="preserve"> </w:t>
            </w:r>
            <w:r w:rsidR="006057AB" w:rsidRPr="00FB4EFA">
              <w:rPr>
                <w:sz w:val="18"/>
                <w:szCs w:val="18"/>
                <w:lang w:val="de-DE"/>
              </w:rPr>
              <w:t>‘</w:t>
            </w:r>
            <w:r w:rsidRPr="00FB4EFA">
              <w:rPr>
                <w:sz w:val="18"/>
                <w:szCs w:val="18"/>
                <w:lang w:val="de-DE"/>
              </w:rPr>
              <w:t>junger Mann</w:t>
            </w:r>
            <w:r w:rsidR="006057AB" w:rsidRPr="00FB4EFA">
              <w:rPr>
                <w:sz w:val="18"/>
                <w:szCs w:val="18"/>
                <w:lang w:val="de-DE"/>
              </w:rPr>
              <w:t>’</w:t>
            </w:r>
          </w:p>
        </w:tc>
      </w:tr>
      <w:tr w:rsidR="00FB4EFA" w:rsidRPr="00FB4EFA" w14:paraId="2B0F5B51" w14:textId="77777777" w:rsidTr="00F220A6">
        <w:tc>
          <w:tcPr>
            <w:tcW w:w="3419" w:type="dxa"/>
            <w:tcBorders>
              <w:right w:val="single" w:sz="12" w:space="0" w:color="auto"/>
            </w:tcBorders>
          </w:tcPr>
          <w:p w14:paraId="736BDC29" w14:textId="48DDE960" w:rsidR="00A96E85" w:rsidRPr="00FB4EFA" w:rsidRDefault="00A96E85" w:rsidP="00AC1192">
            <w:pPr>
              <w:suppressAutoHyphens/>
              <w:spacing w:line="240" w:lineRule="auto"/>
              <w:rPr>
                <w:sz w:val="18"/>
                <w:szCs w:val="18"/>
                <w:lang w:val="de-DE"/>
              </w:rPr>
            </w:pPr>
            <w:r w:rsidRPr="00FB4EFA">
              <w:rPr>
                <w:i/>
                <w:sz w:val="18"/>
                <w:szCs w:val="18"/>
                <w:lang w:val="de-DE"/>
              </w:rPr>
              <w:t>õde</w:t>
            </w:r>
            <w:r w:rsidRPr="00FB4EFA">
              <w:rPr>
                <w:sz w:val="18"/>
                <w:szCs w:val="18"/>
                <w:lang w:val="de-DE"/>
              </w:rPr>
              <w:t xml:space="preserve"> </w:t>
            </w:r>
            <w:r w:rsidR="006057AB" w:rsidRPr="00FB4EFA">
              <w:rPr>
                <w:sz w:val="18"/>
                <w:szCs w:val="18"/>
                <w:lang w:val="de-DE"/>
              </w:rPr>
              <w:t>‘</w:t>
            </w:r>
            <w:r w:rsidRPr="00FB4EFA">
              <w:rPr>
                <w:sz w:val="18"/>
                <w:szCs w:val="18"/>
                <w:lang w:val="de-DE"/>
              </w:rPr>
              <w:t>Schwester</w:t>
            </w:r>
            <w:r w:rsidR="006057AB" w:rsidRPr="00FB4EFA">
              <w:rPr>
                <w:sz w:val="18"/>
                <w:szCs w:val="18"/>
                <w:lang w:val="de-DE"/>
              </w:rPr>
              <w:t>’</w:t>
            </w:r>
          </w:p>
        </w:tc>
        <w:tc>
          <w:tcPr>
            <w:tcW w:w="3485" w:type="dxa"/>
            <w:tcBorders>
              <w:left w:val="single" w:sz="12" w:space="0" w:color="auto"/>
            </w:tcBorders>
          </w:tcPr>
          <w:p w14:paraId="0BEA0004" w14:textId="3D297E33" w:rsidR="00A96E85" w:rsidRPr="00FB4EFA" w:rsidRDefault="00A96E85" w:rsidP="00AC1192">
            <w:pPr>
              <w:suppressAutoHyphens/>
              <w:spacing w:line="240" w:lineRule="auto"/>
              <w:rPr>
                <w:sz w:val="18"/>
                <w:szCs w:val="18"/>
                <w:lang w:val="de-DE"/>
              </w:rPr>
            </w:pPr>
            <w:r w:rsidRPr="00FB4EFA">
              <w:rPr>
                <w:i/>
                <w:sz w:val="18"/>
                <w:szCs w:val="18"/>
                <w:lang w:val="de-DE"/>
              </w:rPr>
              <w:t>vend</w:t>
            </w:r>
            <w:r w:rsidRPr="00FB4EFA">
              <w:rPr>
                <w:sz w:val="18"/>
                <w:szCs w:val="18"/>
                <w:lang w:val="de-DE"/>
              </w:rPr>
              <w:t xml:space="preserve"> </w:t>
            </w:r>
            <w:r w:rsidR="006057AB" w:rsidRPr="00FB4EFA">
              <w:rPr>
                <w:sz w:val="18"/>
                <w:szCs w:val="18"/>
                <w:lang w:val="de-DE"/>
              </w:rPr>
              <w:t>‘</w:t>
            </w:r>
            <w:r w:rsidRPr="00FB4EFA">
              <w:rPr>
                <w:sz w:val="18"/>
                <w:szCs w:val="18"/>
                <w:lang w:val="de-DE"/>
              </w:rPr>
              <w:t>Bruder</w:t>
            </w:r>
            <w:r w:rsidR="006057AB" w:rsidRPr="00FB4EFA">
              <w:rPr>
                <w:sz w:val="18"/>
                <w:szCs w:val="18"/>
                <w:lang w:val="de-DE"/>
              </w:rPr>
              <w:t>’</w:t>
            </w:r>
          </w:p>
        </w:tc>
      </w:tr>
      <w:tr w:rsidR="00FB4EFA" w:rsidRPr="00FB4EFA" w14:paraId="2AF9D32E" w14:textId="77777777" w:rsidTr="00F220A6">
        <w:tc>
          <w:tcPr>
            <w:tcW w:w="3419" w:type="dxa"/>
            <w:tcBorders>
              <w:right w:val="single" w:sz="12" w:space="0" w:color="auto"/>
            </w:tcBorders>
          </w:tcPr>
          <w:p w14:paraId="072EFF4E" w14:textId="0EF0693B" w:rsidR="00A96E85" w:rsidRPr="00FB4EFA" w:rsidRDefault="00A96E85" w:rsidP="00AC1192">
            <w:pPr>
              <w:suppressAutoHyphens/>
              <w:spacing w:line="240" w:lineRule="auto"/>
              <w:rPr>
                <w:sz w:val="18"/>
                <w:szCs w:val="18"/>
                <w:lang w:val="de-DE"/>
              </w:rPr>
            </w:pPr>
            <w:r w:rsidRPr="00FB4EFA">
              <w:rPr>
                <w:i/>
                <w:sz w:val="18"/>
                <w:szCs w:val="18"/>
                <w:lang w:val="de-DE"/>
              </w:rPr>
              <w:t>tädi</w:t>
            </w:r>
            <w:r w:rsidRPr="00FB4EFA">
              <w:rPr>
                <w:sz w:val="18"/>
                <w:szCs w:val="18"/>
                <w:lang w:val="de-DE"/>
              </w:rPr>
              <w:t xml:space="preserve"> </w:t>
            </w:r>
            <w:r w:rsidR="006057AB" w:rsidRPr="00FB4EFA">
              <w:rPr>
                <w:sz w:val="18"/>
                <w:szCs w:val="18"/>
                <w:lang w:val="de-DE"/>
              </w:rPr>
              <w:t>‘</w:t>
            </w:r>
            <w:r w:rsidRPr="00FB4EFA">
              <w:rPr>
                <w:sz w:val="18"/>
                <w:szCs w:val="18"/>
                <w:lang w:val="de-DE"/>
              </w:rPr>
              <w:t>Tante</w:t>
            </w:r>
            <w:r w:rsidR="006057AB" w:rsidRPr="00FB4EFA">
              <w:rPr>
                <w:sz w:val="18"/>
                <w:szCs w:val="18"/>
                <w:lang w:val="de-DE"/>
              </w:rPr>
              <w:t>’</w:t>
            </w:r>
          </w:p>
        </w:tc>
        <w:tc>
          <w:tcPr>
            <w:tcW w:w="3485" w:type="dxa"/>
            <w:tcBorders>
              <w:left w:val="single" w:sz="12" w:space="0" w:color="auto"/>
            </w:tcBorders>
          </w:tcPr>
          <w:p w14:paraId="310514C0" w14:textId="7D148885" w:rsidR="00A96E85" w:rsidRPr="00FB4EFA" w:rsidRDefault="00A96E85" w:rsidP="00AC1192">
            <w:pPr>
              <w:suppressAutoHyphens/>
              <w:spacing w:line="240" w:lineRule="auto"/>
              <w:rPr>
                <w:sz w:val="18"/>
                <w:szCs w:val="18"/>
                <w:lang w:val="de-DE"/>
              </w:rPr>
            </w:pPr>
            <w:r w:rsidRPr="00FB4EFA">
              <w:rPr>
                <w:i/>
                <w:sz w:val="18"/>
                <w:szCs w:val="18"/>
                <w:lang w:val="de-DE"/>
              </w:rPr>
              <w:t>onu</w:t>
            </w:r>
            <w:r w:rsidRPr="00FB4EFA">
              <w:rPr>
                <w:sz w:val="18"/>
                <w:szCs w:val="18"/>
                <w:lang w:val="de-DE"/>
              </w:rPr>
              <w:t xml:space="preserve"> </w:t>
            </w:r>
            <w:r w:rsidR="006057AB" w:rsidRPr="00FB4EFA">
              <w:rPr>
                <w:sz w:val="18"/>
                <w:szCs w:val="18"/>
                <w:lang w:val="de-DE"/>
              </w:rPr>
              <w:t>‘</w:t>
            </w:r>
            <w:r w:rsidRPr="00FB4EFA">
              <w:rPr>
                <w:sz w:val="18"/>
                <w:szCs w:val="18"/>
                <w:lang w:val="de-DE"/>
              </w:rPr>
              <w:t>Onkel</w:t>
            </w:r>
            <w:r w:rsidR="006057AB" w:rsidRPr="00FB4EFA">
              <w:rPr>
                <w:sz w:val="18"/>
                <w:szCs w:val="18"/>
                <w:lang w:val="de-DE"/>
              </w:rPr>
              <w:t>’</w:t>
            </w:r>
          </w:p>
        </w:tc>
      </w:tr>
      <w:tr w:rsidR="00FB4EFA" w:rsidRPr="00FB4EFA" w14:paraId="3E090925" w14:textId="77777777" w:rsidTr="00F220A6">
        <w:tc>
          <w:tcPr>
            <w:tcW w:w="3419" w:type="dxa"/>
            <w:tcBorders>
              <w:right w:val="single" w:sz="12" w:space="0" w:color="auto"/>
            </w:tcBorders>
          </w:tcPr>
          <w:p w14:paraId="4D2765D9" w14:textId="272A51F6" w:rsidR="00A96E85" w:rsidRPr="00FB4EFA" w:rsidRDefault="00A96E85" w:rsidP="00AC1192">
            <w:pPr>
              <w:suppressAutoHyphens/>
              <w:spacing w:line="240" w:lineRule="auto"/>
              <w:rPr>
                <w:sz w:val="18"/>
                <w:szCs w:val="18"/>
                <w:lang w:val="de-DE"/>
              </w:rPr>
            </w:pPr>
            <w:r w:rsidRPr="00FB4EFA">
              <w:rPr>
                <w:i/>
                <w:sz w:val="18"/>
                <w:szCs w:val="18"/>
                <w:lang w:val="de-DE"/>
              </w:rPr>
              <w:t>plika</w:t>
            </w:r>
            <w:r w:rsidRPr="00FB4EFA">
              <w:rPr>
                <w:sz w:val="18"/>
                <w:szCs w:val="18"/>
                <w:lang w:val="de-DE"/>
              </w:rPr>
              <w:t xml:space="preserve">, </w:t>
            </w:r>
            <w:r w:rsidRPr="00FB4EFA">
              <w:rPr>
                <w:i/>
                <w:sz w:val="18"/>
                <w:szCs w:val="18"/>
                <w:lang w:val="de-DE"/>
              </w:rPr>
              <w:t>tüdruk</w:t>
            </w:r>
            <w:r w:rsidRPr="00FB4EFA">
              <w:rPr>
                <w:sz w:val="18"/>
                <w:szCs w:val="18"/>
                <w:lang w:val="de-DE"/>
              </w:rPr>
              <w:t xml:space="preserve">, </w:t>
            </w:r>
            <w:r w:rsidRPr="00FB4EFA">
              <w:rPr>
                <w:i/>
                <w:sz w:val="18"/>
                <w:szCs w:val="18"/>
                <w:lang w:val="de-DE"/>
              </w:rPr>
              <w:t>tütarlaps</w:t>
            </w:r>
            <w:r w:rsidRPr="00FB4EFA">
              <w:rPr>
                <w:sz w:val="18"/>
                <w:szCs w:val="18"/>
                <w:lang w:val="de-DE"/>
              </w:rPr>
              <w:t xml:space="preserve"> </w:t>
            </w:r>
            <w:r w:rsidR="006057AB" w:rsidRPr="00FB4EFA">
              <w:rPr>
                <w:sz w:val="18"/>
                <w:szCs w:val="18"/>
                <w:lang w:val="de-DE"/>
              </w:rPr>
              <w:t>‘</w:t>
            </w:r>
            <w:r w:rsidRPr="00FB4EFA">
              <w:rPr>
                <w:sz w:val="18"/>
                <w:szCs w:val="18"/>
                <w:lang w:val="de-DE"/>
              </w:rPr>
              <w:t>Mädchen</w:t>
            </w:r>
            <w:r w:rsidR="006057AB" w:rsidRPr="00FB4EFA">
              <w:rPr>
                <w:sz w:val="18"/>
                <w:szCs w:val="18"/>
                <w:lang w:val="de-DE"/>
              </w:rPr>
              <w:t>’</w:t>
            </w:r>
          </w:p>
        </w:tc>
        <w:tc>
          <w:tcPr>
            <w:tcW w:w="3485" w:type="dxa"/>
            <w:tcBorders>
              <w:left w:val="single" w:sz="12" w:space="0" w:color="auto"/>
            </w:tcBorders>
          </w:tcPr>
          <w:p w14:paraId="7B7B2360" w14:textId="0F0552DD" w:rsidR="00A96E85" w:rsidRPr="00FB4EFA" w:rsidRDefault="00A96E85" w:rsidP="00AC1192">
            <w:pPr>
              <w:suppressAutoHyphens/>
              <w:spacing w:line="240" w:lineRule="auto"/>
              <w:rPr>
                <w:sz w:val="18"/>
                <w:szCs w:val="18"/>
                <w:lang w:val="de-DE"/>
              </w:rPr>
            </w:pPr>
            <w:r w:rsidRPr="00FB4EFA">
              <w:rPr>
                <w:i/>
                <w:sz w:val="18"/>
                <w:szCs w:val="18"/>
                <w:lang w:val="de-DE"/>
              </w:rPr>
              <w:t>poiss</w:t>
            </w:r>
            <w:r w:rsidRPr="00FB4EFA">
              <w:rPr>
                <w:sz w:val="18"/>
                <w:szCs w:val="18"/>
                <w:lang w:val="de-DE"/>
              </w:rPr>
              <w:t xml:space="preserve"> </w:t>
            </w:r>
            <w:r w:rsidR="006057AB" w:rsidRPr="00FB4EFA">
              <w:rPr>
                <w:sz w:val="18"/>
                <w:szCs w:val="18"/>
                <w:lang w:val="de-DE"/>
              </w:rPr>
              <w:t>‘</w:t>
            </w:r>
            <w:r w:rsidRPr="00FB4EFA">
              <w:rPr>
                <w:sz w:val="18"/>
                <w:szCs w:val="18"/>
                <w:lang w:val="de-DE"/>
              </w:rPr>
              <w:t>Junge</w:t>
            </w:r>
            <w:r w:rsidR="006057AB" w:rsidRPr="00FB4EFA">
              <w:rPr>
                <w:sz w:val="18"/>
                <w:szCs w:val="18"/>
                <w:lang w:val="de-DE"/>
              </w:rPr>
              <w:t>’</w:t>
            </w:r>
          </w:p>
        </w:tc>
      </w:tr>
      <w:tr w:rsidR="00FB4EFA" w:rsidRPr="00FB4EFA" w14:paraId="1C1DFA0F" w14:textId="77777777" w:rsidTr="00F220A6">
        <w:tc>
          <w:tcPr>
            <w:tcW w:w="3419" w:type="dxa"/>
            <w:tcBorders>
              <w:right w:val="single" w:sz="12" w:space="0" w:color="auto"/>
            </w:tcBorders>
          </w:tcPr>
          <w:p w14:paraId="7BB0A03D" w14:textId="6918542E" w:rsidR="00A96E85" w:rsidRPr="00FB4EFA" w:rsidRDefault="00A96E85" w:rsidP="00AC1192">
            <w:pPr>
              <w:suppressAutoHyphens/>
              <w:spacing w:line="240" w:lineRule="auto"/>
              <w:rPr>
                <w:sz w:val="18"/>
                <w:szCs w:val="18"/>
                <w:lang w:val="de-DE"/>
              </w:rPr>
            </w:pPr>
            <w:r w:rsidRPr="00FB4EFA">
              <w:rPr>
                <w:i/>
                <w:sz w:val="18"/>
                <w:szCs w:val="18"/>
                <w:lang w:val="de-DE"/>
              </w:rPr>
              <w:t>tütar</w:t>
            </w:r>
            <w:r w:rsidRPr="00FB4EFA">
              <w:rPr>
                <w:sz w:val="18"/>
                <w:szCs w:val="18"/>
                <w:lang w:val="de-DE"/>
              </w:rPr>
              <w:t xml:space="preserve"> </w:t>
            </w:r>
            <w:r w:rsidR="006057AB" w:rsidRPr="00FB4EFA">
              <w:rPr>
                <w:sz w:val="18"/>
                <w:szCs w:val="18"/>
                <w:lang w:val="de-DE"/>
              </w:rPr>
              <w:t>‘</w:t>
            </w:r>
            <w:r w:rsidRPr="00FB4EFA">
              <w:rPr>
                <w:sz w:val="18"/>
                <w:szCs w:val="18"/>
                <w:lang w:val="de-DE"/>
              </w:rPr>
              <w:t>Tochter</w:t>
            </w:r>
            <w:r w:rsidR="006057AB" w:rsidRPr="00FB4EFA">
              <w:rPr>
                <w:sz w:val="18"/>
                <w:szCs w:val="18"/>
                <w:lang w:val="de-DE"/>
              </w:rPr>
              <w:t>’</w:t>
            </w:r>
          </w:p>
        </w:tc>
        <w:tc>
          <w:tcPr>
            <w:tcW w:w="3485" w:type="dxa"/>
            <w:tcBorders>
              <w:left w:val="single" w:sz="12" w:space="0" w:color="auto"/>
            </w:tcBorders>
          </w:tcPr>
          <w:p w14:paraId="42002F28" w14:textId="1BBDDD69" w:rsidR="00A96E85" w:rsidRPr="00FB4EFA" w:rsidRDefault="00A96E85" w:rsidP="00AC1192">
            <w:pPr>
              <w:suppressAutoHyphens/>
              <w:spacing w:line="240" w:lineRule="auto"/>
              <w:rPr>
                <w:sz w:val="18"/>
                <w:szCs w:val="18"/>
                <w:lang w:val="de-DE"/>
              </w:rPr>
            </w:pPr>
            <w:r w:rsidRPr="00FB4EFA">
              <w:rPr>
                <w:i/>
                <w:sz w:val="18"/>
                <w:szCs w:val="18"/>
                <w:lang w:val="de-DE"/>
              </w:rPr>
              <w:t>poeg</w:t>
            </w:r>
            <w:r w:rsidRPr="00FB4EFA">
              <w:rPr>
                <w:sz w:val="18"/>
                <w:szCs w:val="18"/>
                <w:lang w:val="de-DE"/>
              </w:rPr>
              <w:t xml:space="preserve"> </w:t>
            </w:r>
            <w:r w:rsidR="006057AB" w:rsidRPr="00FB4EFA">
              <w:rPr>
                <w:sz w:val="18"/>
                <w:szCs w:val="18"/>
                <w:lang w:val="de-DE"/>
              </w:rPr>
              <w:t>‘</w:t>
            </w:r>
            <w:r w:rsidRPr="00FB4EFA">
              <w:rPr>
                <w:sz w:val="18"/>
                <w:szCs w:val="18"/>
                <w:lang w:val="de-DE"/>
              </w:rPr>
              <w:t>Sohn</w:t>
            </w:r>
            <w:r w:rsidR="006057AB" w:rsidRPr="00FB4EFA">
              <w:rPr>
                <w:sz w:val="18"/>
                <w:szCs w:val="18"/>
                <w:lang w:val="de-DE"/>
              </w:rPr>
              <w:t>’</w:t>
            </w:r>
          </w:p>
        </w:tc>
      </w:tr>
      <w:tr w:rsidR="00FB4EFA" w:rsidRPr="00FB4EFA" w14:paraId="3C5F7433" w14:textId="77777777" w:rsidTr="00F220A6">
        <w:tc>
          <w:tcPr>
            <w:tcW w:w="3419" w:type="dxa"/>
            <w:tcBorders>
              <w:right w:val="single" w:sz="12" w:space="0" w:color="auto"/>
            </w:tcBorders>
          </w:tcPr>
          <w:p w14:paraId="450ED3D6" w14:textId="3133E418" w:rsidR="00A96E85" w:rsidRPr="00FB4EFA" w:rsidRDefault="00A96E85" w:rsidP="00AC1192">
            <w:pPr>
              <w:suppressAutoHyphens/>
              <w:spacing w:line="240" w:lineRule="auto"/>
              <w:rPr>
                <w:sz w:val="18"/>
                <w:szCs w:val="18"/>
                <w:lang w:val="de-DE"/>
              </w:rPr>
            </w:pPr>
            <w:r w:rsidRPr="00FB4EFA">
              <w:rPr>
                <w:i/>
                <w:sz w:val="18"/>
                <w:szCs w:val="18"/>
                <w:lang w:val="de-DE"/>
              </w:rPr>
              <w:t>proua</w:t>
            </w:r>
            <w:r w:rsidRPr="00FB4EFA">
              <w:rPr>
                <w:sz w:val="18"/>
                <w:szCs w:val="18"/>
                <w:lang w:val="de-DE"/>
              </w:rPr>
              <w:t xml:space="preserve"> </w:t>
            </w:r>
            <w:r w:rsidR="006057AB" w:rsidRPr="00FB4EFA">
              <w:rPr>
                <w:sz w:val="18"/>
                <w:szCs w:val="18"/>
                <w:lang w:val="de-DE"/>
              </w:rPr>
              <w:t>‘</w:t>
            </w:r>
            <w:r w:rsidRPr="00FB4EFA">
              <w:rPr>
                <w:sz w:val="18"/>
                <w:szCs w:val="18"/>
                <w:lang w:val="de-DE"/>
              </w:rPr>
              <w:t>Frau</w:t>
            </w:r>
            <w:r w:rsidR="006057AB" w:rsidRPr="00FB4EFA">
              <w:rPr>
                <w:sz w:val="18"/>
                <w:szCs w:val="18"/>
                <w:lang w:val="de-DE"/>
              </w:rPr>
              <w:t>’</w:t>
            </w:r>
          </w:p>
        </w:tc>
        <w:tc>
          <w:tcPr>
            <w:tcW w:w="3485" w:type="dxa"/>
            <w:tcBorders>
              <w:left w:val="single" w:sz="12" w:space="0" w:color="auto"/>
            </w:tcBorders>
          </w:tcPr>
          <w:p w14:paraId="64E19008" w14:textId="67A1FEDE" w:rsidR="00A96E85" w:rsidRPr="00FB4EFA" w:rsidRDefault="00A96E85" w:rsidP="00AC1192">
            <w:pPr>
              <w:suppressAutoHyphens/>
              <w:spacing w:line="240" w:lineRule="auto"/>
              <w:rPr>
                <w:sz w:val="18"/>
                <w:szCs w:val="18"/>
                <w:lang w:val="de-DE"/>
              </w:rPr>
            </w:pPr>
            <w:r w:rsidRPr="00FB4EFA">
              <w:rPr>
                <w:i/>
                <w:sz w:val="18"/>
                <w:szCs w:val="18"/>
                <w:lang w:val="de-DE"/>
              </w:rPr>
              <w:t>härra</w:t>
            </w:r>
            <w:r w:rsidRPr="00FB4EFA">
              <w:rPr>
                <w:sz w:val="18"/>
                <w:szCs w:val="18"/>
                <w:lang w:val="de-DE"/>
              </w:rPr>
              <w:t xml:space="preserve"> </w:t>
            </w:r>
            <w:r w:rsidR="006057AB" w:rsidRPr="00FB4EFA">
              <w:rPr>
                <w:sz w:val="18"/>
                <w:szCs w:val="18"/>
                <w:lang w:val="de-DE"/>
              </w:rPr>
              <w:t>‘</w:t>
            </w:r>
            <w:r w:rsidRPr="00FB4EFA">
              <w:rPr>
                <w:sz w:val="18"/>
                <w:szCs w:val="18"/>
                <w:lang w:val="de-DE"/>
              </w:rPr>
              <w:t>Herr</w:t>
            </w:r>
            <w:r w:rsidR="006057AB" w:rsidRPr="00FB4EFA">
              <w:rPr>
                <w:sz w:val="18"/>
                <w:szCs w:val="18"/>
                <w:lang w:val="de-DE"/>
              </w:rPr>
              <w:t>’</w:t>
            </w:r>
          </w:p>
        </w:tc>
      </w:tr>
      <w:tr w:rsidR="00FB4EFA" w:rsidRPr="00FB4EFA" w14:paraId="723A52CB" w14:textId="77777777" w:rsidTr="00F220A6">
        <w:tc>
          <w:tcPr>
            <w:tcW w:w="3419" w:type="dxa"/>
            <w:tcBorders>
              <w:right w:val="single" w:sz="12" w:space="0" w:color="auto"/>
            </w:tcBorders>
          </w:tcPr>
          <w:p w14:paraId="34F99495" w14:textId="22968D7D" w:rsidR="00A96E85" w:rsidRPr="00FB4EFA" w:rsidRDefault="00A96E85" w:rsidP="00AC1192">
            <w:pPr>
              <w:suppressAutoHyphens/>
              <w:spacing w:line="240" w:lineRule="auto"/>
              <w:rPr>
                <w:sz w:val="18"/>
                <w:szCs w:val="18"/>
                <w:lang w:val="de-DE"/>
              </w:rPr>
            </w:pPr>
            <w:r w:rsidRPr="00FB4EFA">
              <w:rPr>
                <w:i/>
                <w:sz w:val="18"/>
                <w:szCs w:val="18"/>
                <w:lang w:val="de-DE"/>
              </w:rPr>
              <w:t>daam</w:t>
            </w:r>
            <w:r w:rsidRPr="00FB4EFA">
              <w:rPr>
                <w:sz w:val="18"/>
                <w:szCs w:val="18"/>
                <w:lang w:val="de-DE"/>
              </w:rPr>
              <w:t xml:space="preserve"> </w:t>
            </w:r>
            <w:r w:rsidR="006057AB" w:rsidRPr="00FB4EFA">
              <w:rPr>
                <w:sz w:val="18"/>
                <w:szCs w:val="18"/>
                <w:lang w:val="de-DE"/>
              </w:rPr>
              <w:t>‘</w:t>
            </w:r>
            <w:r w:rsidRPr="00FB4EFA">
              <w:rPr>
                <w:sz w:val="18"/>
                <w:szCs w:val="18"/>
                <w:lang w:val="de-DE"/>
              </w:rPr>
              <w:t>Dame</w:t>
            </w:r>
            <w:r w:rsidR="006057AB" w:rsidRPr="00FB4EFA">
              <w:rPr>
                <w:sz w:val="18"/>
                <w:szCs w:val="18"/>
                <w:lang w:val="de-DE"/>
              </w:rPr>
              <w:t>’</w:t>
            </w:r>
          </w:p>
        </w:tc>
        <w:tc>
          <w:tcPr>
            <w:tcW w:w="3485" w:type="dxa"/>
            <w:tcBorders>
              <w:left w:val="single" w:sz="12" w:space="0" w:color="auto"/>
            </w:tcBorders>
          </w:tcPr>
          <w:p w14:paraId="65C5D99D" w14:textId="7AE5524F" w:rsidR="00A96E85" w:rsidRPr="00FB4EFA" w:rsidRDefault="00A96E85" w:rsidP="00AC1192">
            <w:pPr>
              <w:suppressAutoHyphens/>
              <w:spacing w:line="240" w:lineRule="auto"/>
              <w:rPr>
                <w:sz w:val="18"/>
                <w:szCs w:val="18"/>
                <w:lang w:val="de-DE"/>
              </w:rPr>
            </w:pPr>
            <w:r w:rsidRPr="00FB4EFA">
              <w:rPr>
                <w:i/>
                <w:sz w:val="18"/>
                <w:szCs w:val="18"/>
                <w:lang w:val="de-DE"/>
              </w:rPr>
              <w:t>härrasmees</w:t>
            </w:r>
            <w:r w:rsidRPr="00FB4EFA">
              <w:rPr>
                <w:sz w:val="18"/>
                <w:szCs w:val="18"/>
                <w:lang w:val="de-DE"/>
              </w:rPr>
              <w:t xml:space="preserve"> </w:t>
            </w:r>
            <w:r w:rsidR="006057AB" w:rsidRPr="00FB4EFA">
              <w:rPr>
                <w:sz w:val="18"/>
                <w:szCs w:val="18"/>
                <w:lang w:val="de-DE"/>
              </w:rPr>
              <w:t>‘</w:t>
            </w:r>
            <w:r w:rsidRPr="00FB4EFA">
              <w:rPr>
                <w:sz w:val="18"/>
                <w:szCs w:val="18"/>
                <w:lang w:val="de-DE"/>
              </w:rPr>
              <w:t>Gentleman</w:t>
            </w:r>
            <w:r w:rsidR="006057AB" w:rsidRPr="00FB4EFA">
              <w:rPr>
                <w:sz w:val="18"/>
                <w:szCs w:val="18"/>
                <w:lang w:val="de-DE"/>
              </w:rPr>
              <w:t>’</w:t>
            </w:r>
          </w:p>
        </w:tc>
      </w:tr>
      <w:tr w:rsidR="00FB4EFA" w:rsidRPr="00FB4EFA" w14:paraId="6C18373E" w14:textId="77777777" w:rsidTr="00F220A6">
        <w:tc>
          <w:tcPr>
            <w:tcW w:w="3419" w:type="dxa"/>
            <w:tcBorders>
              <w:right w:val="single" w:sz="12" w:space="0" w:color="auto"/>
            </w:tcBorders>
          </w:tcPr>
          <w:p w14:paraId="42873221" w14:textId="0C752EAA" w:rsidR="00A96E85" w:rsidRPr="00FB4EFA" w:rsidRDefault="00A96E85" w:rsidP="00AC1192">
            <w:pPr>
              <w:suppressAutoHyphens/>
              <w:spacing w:line="240" w:lineRule="auto"/>
              <w:rPr>
                <w:sz w:val="18"/>
                <w:szCs w:val="18"/>
                <w:lang w:val="de-DE"/>
              </w:rPr>
            </w:pPr>
            <w:r w:rsidRPr="00FB4EFA">
              <w:rPr>
                <w:i/>
                <w:sz w:val="18"/>
                <w:szCs w:val="18"/>
                <w:lang w:val="de-DE"/>
              </w:rPr>
              <w:t>sõbranna, sõbratar</w:t>
            </w:r>
            <w:r w:rsidRPr="00FB4EFA">
              <w:rPr>
                <w:sz w:val="18"/>
                <w:szCs w:val="18"/>
                <w:lang w:val="de-DE"/>
              </w:rPr>
              <w:t xml:space="preserve"> </w:t>
            </w:r>
            <w:r w:rsidR="006057AB" w:rsidRPr="00FB4EFA">
              <w:rPr>
                <w:sz w:val="18"/>
                <w:szCs w:val="18"/>
                <w:lang w:val="de-DE"/>
              </w:rPr>
              <w:t>‘</w:t>
            </w:r>
            <w:r w:rsidRPr="00FB4EFA">
              <w:rPr>
                <w:sz w:val="18"/>
                <w:szCs w:val="18"/>
                <w:lang w:val="de-DE"/>
              </w:rPr>
              <w:t>Freundin</w:t>
            </w:r>
            <w:r w:rsidR="006057AB" w:rsidRPr="00FB4EFA">
              <w:rPr>
                <w:sz w:val="18"/>
                <w:szCs w:val="18"/>
                <w:lang w:val="de-DE"/>
              </w:rPr>
              <w:t>’</w:t>
            </w:r>
          </w:p>
        </w:tc>
        <w:tc>
          <w:tcPr>
            <w:tcW w:w="3485" w:type="dxa"/>
            <w:tcBorders>
              <w:left w:val="single" w:sz="12" w:space="0" w:color="auto"/>
            </w:tcBorders>
          </w:tcPr>
          <w:p w14:paraId="579AE38B" w14:textId="73954336" w:rsidR="00A96E85" w:rsidRPr="00FB4EFA" w:rsidRDefault="00A96E85" w:rsidP="00AC1192">
            <w:pPr>
              <w:suppressAutoHyphens/>
              <w:spacing w:line="240" w:lineRule="auto"/>
              <w:rPr>
                <w:sz w:val="18"/>
                <w:szCs w:val="18"/>
                <w:lang w:val="de-DE"/>
              </w:rPr>
            </w:pPr>
            <w:r w:rsidRPr="00FB4EFA">
              <w:rPr>
                <w:i/>
                <w:sz w:val="18"/>
                <w:szCs w:val="18"/>
                <w:lang w:val="de-DE"/>
              </w:rPr>
              <w:t>sõber</w:t>
            </w:r>
            <w:r w:rsidRPr="00FB4EFA">
              <w:rPr>
                <w:sz w:val="18"/>
                <w:szCs w:val="18"/>
                <w:lang w:val="de-DE"/>
              </w:rPr>
              <w:t xml:space="preserve"> </w:t>
            </w:r>
            <w:r w:rsidR="006057AB" w:rsidRPr="00FB4EFA">
              <w:rPr>
                <w:sz w:val="18"/>
                <w:szCs w:val="18"/>
                <w:lang w:val="de-DE"/>
              </w:rPr>
              <w:t>‘</w:t>
            </w:r>
            <w:r w:rsidRPr="00FB4EFA">
              <w:rPr>
                <w:sz w:val="18"/>
                <w:szCs w:val="18"/>
                <w:lang w:val="de-DE"/>
              </w:rPr>
              <w:t>Freund</w:t>
            </w:r>
            <w:r w:rsidR="006057AB" w:rsidRPr="00FB4EFA">
              <w:rPr>
                <w:sz w:val="18"/>
                <w:szCs w:val="18"/>
                <w:lang w:val="de-DE"/>
              </w:rPr>
              <w:t>’</w:t>
            </w:r>
          </w:p>
        </w:tc>
      </w:tr>
      <w:tr w:rsidR="00FB4EFA" w:rsidRPr="00FB4EFA" w14:paraId="31F4E6B0" w14:textId="77777777" w:rsidTr="00F220A6">
        <w:tc>
          <w:tcPr>
            <w:tcW w:w="3419" w:type="dxa"/>
            <w:tcBorders>
              <w:bottom w:val="nil"/>
              <w:right w:val="single" w:sz="12" w:space="0" w:color="auto"/>
            </w:tcBorders>
          </w:tcPr>
          <w:p w14:paraId="780C2701" w14:textId="6151918A" w:rsidR="00A96E85" w:rsidRPr="00FB4EFA" w:rsidRDefault="00A96E85" w:rsidP="00AC1192">
            <w:pPr>
              <w:suppressAutoHyphens/>
              <w:spacing w:line="240" w:lineRule="auto"/>
              <w:rPr>
                <w:sz w:val="18"/>
                <w:szCs w:val="18"/>
                <w:lang w:val="de-DE"/>
              </w:rPr>
            </w:pPr>
            <w:r w:rsidRPr="00FB4EFA">
              <w:rPr>
                <w:i/>
                <w:sz w:val="18"/>
                <w:szCs w:val="18"/>
                <w:lang w:val="de-DE"/>
              </w:rPr>
              <w:t>vanaema</w:t>
            </w:r>
            <w:r w:rsidRPr="00FB4EFA">
              <w:rPr>
                <w:sz w:val="18"/>
                <w:szCs w:val="18"/>
                <w:lang w:val="de-DE"/>
              </w:rPr>
              <w:t xml:space="preserve"> </w:t>
            </w:r>
            <w:r w:rsidR="006057AB" w:rsidRPr="00FB4EFA">
              <w:rPr>
                <w:sz w:val="18"/>
                <w:szCs w:val="18"/>
                <w:lang w:val="de-DE"/>
              </w:rPr>
              <w:t>‘</w:t>
            </w:r>
            <w:r w:rsidRPr="00FB4EFA">
              <w:rPr>
                <w:sz w:val="18"/>
                <w:szCs w:val="18"/>
                <w:lang w:val="de-DE"/>
              </w:rPr>
              <w:t>Großmutter</w:t>
            </w:r>
            <w:r w:rsidR="006057AB" w:rsidRPr="00FB4EFA">
              <w:rPr>
                <w:sz w:val="18"/>
                <w:szCs w:val="18"/>
                <w:lang w:val="de-DE"/>
              </w:rPr>
              <w:t>’</w:t>
            </w:r>
          </w:p>
        </w:tc>
        <w:tc>
          <w:tcPr>
            <w:tcW w:w="3485" w:type="dxa"/>
            <w:tcBorders>
              <w:left w:val="single" w:sz="12" w:space="0" w:color="auto"/>
            </w:tcBorders>
          </w:tcPr>
          <w:p w14:paraId="05413758" w14:textId="594C3E1D" w:rsidR="00A96E85" w:rsidRPr="00FB4EFA" w:rsidRDefault="00A96E85" w:rsidP="00AC1192">
            <w:pPr>
              <w:suppressAutoHyphens/>
              <w:spacing w:line="240" w:lineRule="auto"/>
              <w:rPr>
                <w:sz w:val="18"/>
                <w:szCs w:val="18"/>
                <w:lang w:val="de-DE"/>
              </w:rPr>
            </w:pPr>
            <w:r w:rsidRPr="00FB4EFA">
              <w:rPr>
                <w:i/>
                <w:sz w:val="18"/>
                <w:szCs w:val="18"/>
                <w:lang w:val="de-DE"/>
              </w:rPr>
              <w:t>vanaisa</w:t>
            </w:r>
            <w:r w:rsidRPr="00FB4EFA">
              <w:rPr>
                <w:sz w:val="18"/>
                <w:szCs w:val="18"/>
                <w:lang w:val="de-DE"/>
              </w:rPr>
              <w:t xml:space="preserve"> </w:t>
            </w:r>
            <w:r w:rsidR="006057AB" w:rsidRPr="00FB4EFA">
              <w:rPr>
                <w:sz w:val="18"/>
                <w:szCs w:val="18"/>
                <w:lang w:val="de-DE"/>
              </w:rPr>
              <w:t>‘</w:t>
            </w:r>
            <w:r w:rsidRPr="00FB4EFA">
              <w:rPr>
                <w:sz w:val="18"/>
                <w:szCs w:val="18"/>
                <w:lang w:val="de-DE"/>
              </w:rPr>
              <w:t>Großvater</w:t>
            </w:r>
            <w:r w:rsidR="006057AB" w:rsidRPr="00FB4EFA">
              <w:rPr>
                <w:sz w:val="18"/>
                <w:szCs w:val="18"/>
                <w:lang w:val="de-DE"/>
              </w:rPr>
              <w:t>’</w:t>
            </w:r>
          </w:p>
        </w:tc>
      </w:tr>
    </w:tbl>
    <w:p w14:paraId="4D14F99A" w14:textId="77777777" w:rsidR="00F220A6" w:rsidRPr="00FB4EFA" w:rsidRDefault="00F220A6" w:rsidP="00AC1192">
      <w:pPr>
        <w:suppressAutoHyphens/>
        <w:spacing w:before="120" w:after="240"/>
        <w:jc w:val="center"/>
        <w:rPr>
          <w:b/>
          <w:sz w:val="18"/>
          <w:szCs w:val="18"/>
          <w:lang w:val="de-DE"/>
        </w:rPr>
      </w:pPr>
      <w:bookmarkStart w:id="57" w:name="_Hlk101915174"/>
      <w:r w:rsidRPr="00FB4EFA">
        <w:rPr>
          <w:b/>
          <w:sz w:val="18"/>
          <w:szCs w:val="18"/>
          <w:lang w:val="de-DE"/>
        </w:rPr>
        <w:t>Tabelle 1</w:t>
      </w:r>
      <w:r w:rsidRPr="00FB4EFA">
        <w:rPr>
          <w:bCs/>
          <w:sz w:val="18"/>
          <w:szCs w:val="18"/>
          <w:lang w:val="de-DE"/>
        </w:rPr>
        <w:t>: Berücksichtigte Lexeme</w:t>
      </w:r>
    </w:p>
    <w:bookmarkEnd w:id="57"/>
    <w:p w14:paraId="6AA0DE5A" w14:textId="021EAC2A" w:rsidR="00A96E85" w:rsidRPr="00FB4EFA" w:rsidRDefault="00A96E85" w:rsidP="00AF0CAD">
      <w:pPr>
        <w:rPr>
          <w:lang w:val="de-DE"/>
        </w:rPr>
      </w:pPr>
      <w:r w:rsidRPr="00FB4EFA">
        <w:rPr>
          <w:lang w:val="de-DE"/>
        </w:rPr>
        <w:t xml:space="preserve">Es gibt freilich noch wesentlich mehr geschlechtsspezifische Bezeichnungen – man denke nur an die acht verschiedenen Formen für estn. </w:t>
      </w:r>
      <w:r w:rsidRPr="00FB4EFA">
        <w:rPr>
          <w:i/>
          <w:lang w:val="de-DE"/>
        </w:rPr>
        <w:t>nõbu</w:t>
      </w:r>
      <w:r w:rsidRPr="00FB4EFA">
        <w:rPr>
          <w:lang w:val="de-DE"/>
        </w:rPr>
        <w:t xml:space="preserve"> </w:t>
      </w:r>
      <w:r w:rsidR="006057AB" w:rsidRPr="00FB4EFA">
        <w:rPr>
          <w:lang w:val="de-DE"/>
        </w:rPr>
        <w:t>‘</w:t>
      </w:r>
      <w:r w:rsidRPr="00FB4EFA">
        <w:rPr>
          <w:lang w:val="de-DE"/>
        </w:rPr>
        <w:t>Vetter, Cousine</w:t>
      </w:r>
      <w:r w:rsidR="006057AB" w:rsidRPr="00FB4EFA">
        <w:rPr>
          <w:lang w:val="de-DE"/>
        </w:rPr>
        <w:t>’</w:t>
      </w:r>
      <w:r w:rsidRPr="00FB4EFA">
        <w:rPr>
          <w:lang w:val="de-DE"/>
        </w:rPr>
        <w:t xml:space="preserve"> in Abhängigkeit von ihrer exakten verwandtschaftlichen </w:t>
      </w:r>
      <w:r w:rsidRPr="00FB4EFA">
        <w:rPr>
          <w:lang w:val="de-DE"/>
        </w:rPr>
        <w:lastRenderedPageBreak/>
        <w:t>Zuordnung, d.</w:t>
      </w:r>
      <w:r w:rsidR="00394635" w:rsidRPr="00FB4EFA">
        <w:rPr>
          <w:lang w:val="de-DE"/>
        </w:rPr>
        <w:t xml:space="preserve"> </w:t>
      </w:r>
      <w:r w:rsidRPr="00FB4EFA">
        <w:rPr>
          <w:lang w:val="de-DE"/>
        </w:rPr>
        <w:t>h. ob es sich nun um eine Tochter der Schwester der Mutter (</w:t>
      </w:r>
      <w:r w:rsidRPr="00FB4EFA">
        <w:rPr>
          <w:i/>
          <w:lang w:val="de-DE"/>
        </w:rPr>
        <w:t>täditütar</w:t>
      </w:r>
      <w:r w:rsidRPr="00FB4EFA">
        <w:rPr>
          <w:lang w:val="de-DE"/>
        </w:rPr>
        <w:t>) oder des Bruders des Vaters (</w:t>
      </w:r>
      <w:r w:rsidRPr="00FB4EFA">
        <w:rPr>
          <w:i/>
          <w:lang w:val="de-DE"/>
        </w:rPr>
        <w:t>lelletütar</w:t>
      </w:r>
      <w:r w:rsidRPr="00FB4EFA">
        <w:rPr>
          <w:lang w:val="de-DE"/>
        </w:rPr>
        <w:t xml:space="preserve">) handelt (sowie </w:t>
      </w:r>
      <w:r w:rsidRPr="00FB4EFA">
        <w:rPr>
          <w:i/>
          <w:lang w:val="de-DE"/>
        </w:rPr>
        <w:t>onupoeg</w:t>
      </w:r>
      <w:r w:rsidRPr="00FB4EFA">
        <w:rPr>
          <w:lang w:val="de-DE"/>
        </w:rPr>
        <w:t xml:space="preserve">, </w:t>
      </w:r>
      <w:r w:rsidRPr="00FB4EFA">
        <w:rPr>
          <w:i/>
          <w:lang w:val="de-DE"/>
        </w:rPr>
        <w:t>onutütar</w:t>
      </w:r>
      <w:r w:rsidRPr="00FB4EFA">
        <w:rPr>
          <w:lang w:val="de-DE"/>
        </w:rPr>
        <w:t xml:space="preserve">, </w:t>
      </w:r>
      <w:r w:rsidRPr="00FB4EFA">
        <w:rPr>
          <w:i/>
          <w:lang w:val="de-DE"/>
        </w:rPr>
        <w:t>tädipoeg</w:t>
      </w:r>
      <w:r w:rsidRPr="00FB4EFA">
        <w:rPr>
          <w:lang w:val="de-DE"/>
        </w:rPr>
        <w:t xml:space="preserve">, </w:t>
      </w:r>
      <w:r w:rsidRPr="00FB4EFA">
        <w:rPr>
          <w:i/>
          <w:lang w:val="de-DE"/>
        </w:rPr>
        <w:t>lellepoeg</w:t>
      </w:r>
      <w:r w:rsidRPr="00FB4EFA">
        <w:rPr>
          <w:lang w:val="de-DE"/>
        </w:rPr>
        <w:t xml:space="preserve">, </w:t>
      </w:r>
      <w:r w:rsidRPr="00FB4EFA">
        <w:rPr>
          <w:i/>
          <w:lang w:val="de-DE"/>
        </w:rPr>
        <w:t>sõtsepoeg</w:t>
      </w:r>
      <w:r w:rsidRPr="00FB4EFA">
        <w:rPr>
          <w:lang w:val="de-DE"/>
        </w:rPr>
        <w:t xml:space="preserve">, </w:t>
      </w:r>
      <w:r w:rsidRPr="00FB4EFA">
        <w:rPr>
          <w:i/>
          <w:lang w:val="de-DE"/>
        </w:rPr>
        <w:t>sõtsetütar</w:t>
      </w:r>
      <w:r w:rsidRPr="00FB4EFA">
        <w:rPr>
          <w:lang w:val="de-DE"/>
        </w:rPr>
        <w:t xml:space="preserve">, vgl. </w:t>
      </w:r>
      <w:r w:rsidR="00AD79E8" w:rsidRPr="00FB4EFA">
        <w:rPr>
          <w:lang w:val="de-DE"/>
        </w:rPr>
        <w:br/>
      </w:r>
      <w:r w:rsidRPr="00FB4EFA">
        <w:rPr>
          <w:lang w:val="de-DE"/>
        </w:rPr>
        <w:t>Hasselblatt 2015: 127) –, jedoch würde das den Rahmen dieser kleinen Untersuchung sprengen und quantitativ auch nicht ins Gewicht fallen, da diese Lexeme im Wörterbuch selten Verwendung finden.</w:t>
      </w:r>
    </w:p>
    <w:p w14:paraId="7F1A525B" w14:textId="5DAD75F5" w:rsidR="00A96E85" w:rsidRPr="00FB4EFA" w:rsidRDefault="00A96E85" w:rsidP="00402EF4">
      <w:pPr>
        <w:ind w:firstLine="709"/>
        <w:rPr>
          <w:lang w:val="de-DE"/>
        </w:rPr>
      </w:pPr>
      <w:r w:rsidRPr="00FB4EFA">
        <w:rPr>
          <w:lang w:val="de-DE"/>
        </w:rPr>
        <w:t>Die Vorgehensweise lehnt sich an die Untersuchung von 1998 an. Dort hieß es: „Berücksichtigt wurden lediglich Beispielsätze</w:t>
      </w:r>
      <w:r w:rsidR="00820F29" w:rsidRPr="00FB4EFA">
        <w:rPr>
          <w:lang w:val="de-DE"/>
        </w:rPr>
        <w:t xml:space="preserve"> [im EKSS]</w:t>
      </w:r>
      <w:r w:rsidRPr="00FB4EFA">
        <w:rPr>
          <w:lang w:val="de-DE"/>
        </w:rPr>
        <w:t>, die zur Erklärung der Lemmata gegeben wurden, nicht die Lemmata selbst.“ (Hasselblatt 1998: 151)</w:t>
      </w:r>
      <w:r w:rsidR="00394635" w:rsidRPr="00FB4EFA">
        <w:rPr>
          <w:lang w:val="de-DE"/>
        </w:rPr>
        <w:t>.</w:t>
      </w:r>
      <w:r w:rsidRPr="00FB4EFA">
        <w:rPr>
          <w:lang w:val="de-DE"/>
        </w:rPr>
        <w:t xml:space="preserve"> Statt Sätze zu exzerpieren, wie es seinerzeit der Fall war, wurde das Lexem gesucht und die Anzahl der Fundstellen notiert. Dabei wurden – anders als in der Untersuchung von 1998 – auch die Zitate aus der Literatur berücksichtigt (also nicht nur die von den Redakteurinnen und Redakteuren erdachten Beispielsätze), da deren Aussortierung manuell hätte erfolgen müssen.</w:t>
      </w:r>
    </w:p>
    <w:p w14:paraId="2FD65C41" w14:textId="77777777" w:rsidR="00A96E85" w:rsidRPr="00FB4EFA" w:rsidRDefault="00A96E85" w:rsidP="00402EF4">
      <w:pPr>
        <w:ind w:firstLine="709"/>
        <w:rPr>
          <w:lang w:val="de-DE"/>
        </w:rPr>
      </w:pPr>
      <w:r w:rsidRPr="00FB4EFA">
        <w:rPr>
          <w:lang w:val="de-DE"/>
        </w:rPr>
        <w:t>Auf die „qualitative[n] Schlaglichter“ (Hasselblatt 1998: 153), die am Schluss der vorangegangenen Untersuchung erwähnt wurden, musste verzichtet werden, die Untersuchung ist rein quantitativ. Aber auch hier gilt, dass aufgrund des geringen Überarbeitungsgrades wenig spektakuläre Veränderungen zu erwarten gewesen wären.</w:t>
      </w:r>
    </w:p>
    <w:p w14:paraId="4D9DF25E" w14:textId="04FB4F1C" w:rsidR="00A96E85" w:rsidRPr="00FB4EFA" w:rsidRDefault="00A96E85" w:rsidP="00402EF4">
      <w:pPr>
        <w:ind w:firstLine="709"/>
        <w:rPr>
          <w:lang w:val="de-DE"/>
        </w:rPr>
      </w:pPr>
      <w:r w:rsidRPr="00FB4EFA">
        <w:rPr>
          <w:lang w:val="de-DE"/>
        </w:rPr>
        <w:t>Bei der elektronischen Suche musste in der Maske „Kasutusnäiteid“ (</w:t>
      </w:r>
      <w:r w:rsidR="00932326" w:rsidRPr="00FB4EFA">
        <w:rPr>
          <w:lang w:val="de-DE"/>
        </w:rPr>
        <w:t>„</w:t>
      </w:r>
      <w:r w:rsidRPr="00FB4EFA">
        <w:rPr>
          <w:lang w:val="de-DE"/>
        </w:rPr>
        <w:t>Verwendungsbeispiele“) angeklickt werden. Danach liefert das Lexikon alle Verwendungsbeispiele, in denen das gesuchte Wort, genauer gesagt: die gesuchte Wortform, vorkommt. Vernachlässigt werden kann hier der Umstand, dass genaugenommen nicht die Anzahl der Belege, sondern die Anzahl der Wörterbuchartikel, in denen ein Beleg vorkommt, geliefert wird. Diese Zahlen sind nicht deckungsgleich, da innerhalb eines Artikels natürlich mehrmals Belege ein und desselben Wortes vorkommen können. Bei den großen Anzahlen, mit denen im Folgenden argumentiert wird, fällt diese Diskrepanz jedoch nicht ins Gewicht.</w:t>
      </w:r>
    </w:p>
    <w:p w14:paraId="104797E2" w14:textId="77777777" w:rsidR="00A96E85" w:rsidRPr="00FB4EFA" w:rsidRDefault="00A96E85" w:rsidP="00AF0CAD">
      <w:pPr>
        <w:ind w:firstLine="709"/>
        <w:rPr>
          <w:lang w:val="de-DE"/>
        </w:rPr>
      </w:pPr>
      <w:r w:rsidRPr="00FB4EFA">
        <w:rPr>
          <w:lang w:val="de-DE"/>
        </w:rPr>
        <w:t>Wie die Zahlen in den folgenden Tabellen zustandegekommen sind, sei anhand des ersten Wortes aus der Tabelle (</w:t>
      </w:r>
      <w:r w:rsidRPr="00FB4EFA">
        <w:rPr>
          <w:i/>
          <w:lang w:val="de-DE"/>
        </w:rPr>
        <w:t>ämm</w:t>
      </w:r>
      <w:r w:rsidRPr="00FB4EFA">
        <w:rPr>
          <w:lang w:val="de-DE"/>
        </w:rPr>
        <w:t xml:space="preserve">) erläutert. Im Nominativ fanden sich 50 Belege, für </w:t>
      </w:r>
      <w:r w:rsidRPr="00FB4EFA">
        <w:rPr>
          <w:i/>
          <w:lang w:val="de-DE"/>
        </w:rPr>
        <w:t>ämma</w:t>
      </w:r>
      <w:r w:rsidRPr="00FB4EFA">
        <w:rPr>
          <w:lang w:val="de-DE"/>
        </w:rPr>
        <w:t xml:space="preserve"> (es ist für diese Untersuchung irrelevant, dass hiermit zwei Kasus, Genitiv und Partitiv, abgedeckt werden) entsprechend 22, für </w:t>
      </w:r>
      <w:r w:rsidRPr="00FB4EFA">
        <w:rPr>
          <w:i/>
          <w:lang w:val="de-DE"/>
        </w:rPr>
        <w:t>ämmasse</w:t>
      </w:r>
      <w:r w:rsidRPr="00FB4EFA">
        <w:rPr>
          <w:lang w:val="de-DE"/>
        </w:rPr>
        <w:t>,</w:t>
      </w:r>
      <w:r w:rsidRPr="00FB4EFA">
        <w:rPr>
          <w:i/>
          <w:lang w:val="de-DE"/>
        </w:rPr>
        <w:t xml:space="preserve"> ämmas</w:t>
      </w:r>
      <w:r w:rsidRPr="00FB4EFA">
        <w:rPr>
          <w:lang w:val="de-DE"/>
        </w:rPr>
        <w:t xml:space="preserve"> und </w:t>
      </w:r>
      <w:r w:rsidRPr="00FB4EFA">
        <w:rPr>
          <w:i/>
          <w:lang w:val="de-DE"/>
        </w:rPr>
        <w:t>ämmast</w:t>
      </w:r>
      <w:r w:rsidRPr="00FB4EFA">
        <w:rPr>
          <w:lang w:val="de-DE"/>
        </w:rPr>
        <w:t xml:space="preserve"> keinen einzigen, für </w:t>
      </w:r>
      <w:r w:rsidRPr="00FB4EFA">
        <w:rPr>
          <w:i/>
          <w:lang w:val="de-DE"/>
        </w:rPr>
        <w:t>ämmale</w:t>
      </w:r>
      <w:r w:rsidRPr="00FB4EFA">
        <w:rPr>
          <w:lang w:val="de-DE"/>
        </w:rPr>
        <w:t xml:space="preserve"> 3, </w:t>
      </w:r>
      <w:r w:rsidRPr="00FB4EFA">
        <w:rPr>
          <w:i/>
          <w:lang w:val="de-DE"/>
        </w:rPr>
        <w:t>ämmal</w:t>
      </w:r>
      <w:r w:rsidRPr="00FB4EFA">
        <w:rPr>
          <w:lang w:val="de-DE"/>
        </w:rPr>
        <w:t xml:space="preserve"> 4 und </w:t>
      </w:r>
      <w:r w:rsidRPr="00FB4EFA">
        <w:rPr>
          <w:i/>
          <w:lang w:val="de-DE"/>
        </w:rPr>
        <w:t>ämmalt</w:t>
      </w:r>
      <w:r w:rsidRPr="00FB4EFA">
        <w:rPr>
          <w:lang w:val="de-DE"/>
        </w:rPr>
        <w:t xml:space="preserve"> keinen einzigen und so weiter. </w:t>
      </w:r>
      <w:r w:rsidRPr="00FB4EFA">
        <w:rPr>
          <w:lang w:val="de-DE"/>
        </w:rPr>
        <w:lastRenderedPageBreak/>
        <w:t xml:space="preserve">Insgesamt fanden sich in den Verwendungsbeispielen 92 verschiedene Belege für </w:t>
      </w:r>
      <w:r w:rsidRPr="00FB4EFA">
        <w:rPr>
          <w:i/>
          <w:lang w:val="de-DE"/>
        </w:rPr>
        <w:t>ämm</w:t>
      </w:r>
      <w:r w:rsidRPr="00FB4EFA">
        <w:rPr>
          <w:lang w:val="de-DE"/>
        </w:rPr>
        <w:t xml:space="preserve">. Vier der Belege kamen innerhalb des Lemmas </w:t>
      </w:r>
      <w:r w:rsidRPr="00FB4EFA">
        <w:rPr>
          <w:i/>
          <w:lang w:val="de-DE"/>
        </w:rPr>
        <w:t>ämm</w:t>
      </w:r>
      <w:r w:rsidRPr="00FB4EFA">
        <w:rPr>
          <w:lang w:val="de-DE"/>
        </w:rPr>
        <w:t xml:space="preserve"> selbst vor, sie wurden abgezogen, weil die Verwendung eines Wortes innerhalb des Wortartikels, in dem es erklärt wird, nicht frei gewählt ist und das Bild somit unter Umständen verzerrt hätte. Folglich wurde die Anzahl von 88 Belegen notiert.</w:t>
      </w:r>
    </w:p>
    <w:p w14:paraId="259A7EA3" w14:textId="02120469" w:rsidR="00A96E85" w:rsidRPr="00FB4EFA" w:rsidRDefault="00A96E85" w:rsidP="00AF0CAD">
      <w:pPr>
        <w:spacing w:after="240"/>
        <w:ind w:firstLine="709"/>
        <w:rPr>
          <w:lang w:val="de-DE"/>
        </w:rPr>
      </w:pPr>
      <w:r w:rsidRPr="00FB4EFA">
        <w:rPr>
          <w:lang w:val="de-DE"/>
        </w:rPr>
        <w:t xml:space="preserve">Diese Operation wurde für alle oben genannten 33 Lexeme durchgeführt, wobei die Ergebnisse bisweilen manuell bereinigt werden mussten: Beispielsweise ist der Abessiv von </w:t>
      </w:r>
      <w:r w:rsidRPr="00FB4EFA">
        <w:rPr>
          <w:i/>
          <w:lang w:val="de-DE"/>
        </w:rPr>
        <w:t>äi</w:t>
      </w:r>
      <w:r w:rsidRPr="00FB4EFA">
        <w:rPr>
          <w:lang w:val="de-DE"/>
        </w:rPr>
        <w:t xml:space="preserve"> </w:t>
      </w:r>
      <w:r w:rsidR="006057AB" w:rsidRPr="00FB4EFA">
        <w:rPr>
          <w:lang w:val="de-DE"/>
        </w:rPr>
        <w:t>‘</w:t>
      </w:r>
      <w:r w:rsidRPr="00FB4EFA">
        <w:rPr>
          <w:lang w:val="de-DE"/>
        </w:rPr>
        <w:t>Schwiegervater</w:t>
      </w:r>
      <w:r w:rsidR="006057AB" w:rsidRPr="00FB4EFA">
        <w:rPr>
          <w:lang w:val="de-DE"/>
        </w:rPr>
        <w:t>’</w:t>
      </w:r>
      <w:r w:rsidRPr="00FB4EFA">
        <w:rPr>
          <w:lang w:val="de-DE"/>
        </w:rPr>
        <w:t xml:space="preserve">, </w:t>
      </w:r>
      <w:r w:rsidRPr="00FB4EFA">
        <w:rPr>
          <w:i/>
          <w:lang w:val="de-DE"/>
        </w:rPr>
        <w:t>äiata</w:t>
      </w:r>
      <w:r w:rsidRPr="00FB4EFA">
        <w:rPr>
          <w:lang w:val="de-DE"/>
        </w:rPr>
        <w:t xml:space="preserve">, homonym mit dem da-Infinitiv des Verbs </w:t>
      </w:r>
      <w:r w:rsidRPr="00FB4EFA">
        <w:rPr>
          <w:i/>
          <w:lang w:val="de-DE"/>
        </w:rPr>
        <w:t xml:space="preserve">äigama </w:t>
      </w:r>
      <w:r w:rsidR="006057AB" w:rsidRPr="00FB4EFA">
        <w:rPr>
          <w:lang w:val="de-DE"/>
        </w:rPr>
        <w:t>‘</w:t>
      </w:r>
      <w:r w:rsidRPr="00FB4EFA">
        <w:rPr>
          <w:lang w:val="de-DE"/>
        </w:rPr>
        <w:t>schlagen</w:t>
      </w:r>
      <w:r w:rsidR="006057AB" w:rsidRPr="00FB4EFA">
        <w:rPr>
          <w:lang w:val="de-DE"/>
        </w:rPr>
        <w:t>’</w:t>
      </w:r>
      <w:r w:rsidRPr="00FB4EFA">
        <w:rPr>
          <w:lang w:val="de-DE"/>
        </w:rPr>
        <w:t xml:space="preserve">. Alle drei Belege für </w:t>
      </w:r>
      <w:r w:rsidRPr="00FB4EFA">
        <w:rPr>
          <w:i/>
          <w:lang w:val="de-DE"/>
        </w:rPr>
        <w:t xml:space="preserve">äiata </w:t>
      </w:r>
      <w:r w:rsidRPr="00FB4EFA">
        <w:rPr>
          <w:lang w:val="de-DE"/>
        </w:rPr>
        <w:t>bezogen sich auf das Verb, nicht auf den Schwiegervater. Die Resultate finden sich in der folgenden Tabelle:</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3419"/>
        <w:gridCol w:w="3485"/>
      </w:tblGrid>
      <w:tr w:rsidR="00FB4EFA" w:rsidRPr="00FB4EFA" w14:paraId="078CC800" w14:textId="77777777" w:rsidTr="00545033">
        <w:trPr>
          <w:jc w:val="center"/>
        </w:trPr>
        <w:tc>
          <w:tcPr>
            <w:tcW w:w="3419" w:type="dxa"/>
            <w:tcBorders>
              <w:bottom w:val="single" w:sz="12" w:space="0" w:color="auto"/>
              <w:right w:val="single" w:sz="12" w:space="0" w:color="auto"/>
            </w:tcBorders>
          </w:tcPr>
          <w:p w14:paraId="6F013F74" w14:textId="6296A0B7" w:rsidR="000D515E" w:rsidRPr="00FB4EFA" w:rsidRDefault="000D515E" w:rsidP="00AC1192">
            <w:pPr>
              <w:keepNext/>
              <w:suppressAutoHyphens/>
              <w:spacing w:line="240" w:lineRule="auto"/>
              <w:rPr>
                <w:rFonts w:cs="Charis SIL"/>
                <w:b/>
                <w:bCs/>
                <w:sz w:val="18"/>
                <w:szCs w:val="18"/>
                <w:lang w:val="de-DE"/>
              </w:rPr>
            </w:pPr>
            <w:r w:rsidRPr="00FB4EFA">
              <w:rPr>
                <w:rFonts w:ascii="Segoe UI Symbol" w:hAnsi="Segoe UI Symbol" w:cs="Segoe UI Symbol"/>
                <w:b/>
                <w:bCs/>
                <w:sz w:val="18"/>
                <w:szCs w:val="18"/>
                <w:lang w:val="de-DE"/>
              </w:rPr>
              <w:t>♀</w:t>
            </w:r>
          </w:p>
        </w:tc>
        <w:tc>
          <w:tcPr>
            <w:tcW w:w="3485" w:type="dxa"/>
            <w:tcBorders>
              <w:top w:val="nil"/>
              <w:left w:val="single" w:sz="12" w:space="0" w:color="auto"/>
              <w:bottom w:val="single" w:sz="12" w:space="0" w:color="auto"/>
            </w:tcBorders>
          </w:tcPr>
          <w:p w14:paraId="1DEC267A" w14:textId="721FEB53" w:rsidR="000D515E" w:rsidRPr="00FB4EFA" w:rsidRDefault="000D515E" w:rsidP="00AC1192">
            <w:pPr>
              <w:keepNext/>
              <w:suppressAutoHyphens/>
              <w:spacing w:line="240" w:lineRule="auto"/>
              <w:rPr>
                <w:rFonts w:cs="Charis SIL"/>
                <w:b/>
                <w:bCs/>
                <w:sz w:val="18"/>
                <w:szCs w:val="18"/>
                <w:lang w:val="de-DE"/>
              </w:rPr>
            </w:pPr>
            <w:r w:rsidRPr="00FB4EFA">
              <w:rPr>
                <w:rFonts w:ascii="Segoe UI Symbol" w:hAnsi="Segoe UI Symbol" w:cs="Segoe UI Symbol"/>
                <w:b/>
                <w:bCs/>
                <w:sz w:val="18"/>
                <w:szCs w:val="18"/>
                <w:lang w:val="de-DE"/>
              </w:rPr>
              <w:t>♂</w:t>
            </w:r>
          </w:p>
        </w:tc>
      </w:tr>
      <w:tr w:rsidR="00FB4EFA" w:rsidRPr="00FB4EFA" w14:paraId="0D9107B9" w14:textId="77777777" w:rsidTr="00545033">
        <w:trPr>
          <w:jc w:val="center"/>
        </w:trPr>
        <w:tc>
          <w:tcPr>
            <w:tcW w:w="3419" w:type="dxa"/>
            <w:tcBorders>
              <w:top w:val="single" w:sz="12" w:space="0" w:color="auto"/>
              <w:right w:val="single" w:sz="12" w:space="0" w:color="auto"/>
            </w:tcBorders>
          </w:tcPr>
          <w:p w14:paraId="3EE16BE3"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ämm </w:t>
            </w:r>
            <w:r w:rsidRPr="00FB4EFA">
              <w:rPr>
                <w:b/>
                <w:sz w:val="18"/>
                <w:szCs w:val="18"/>
                <w:lang w:val="de-DE"/>
              </w:rPr>
              <w:t>88</w:t>
            </w:r>
          </w:p>
        </w:tc>
        <w:tc>
          <w:tcPr>
            <w:tcW w:w="3485" w:type="dxa"/>
            <w:tcBorders>
              <w:top w:val="single" w:sz="12" w:space="0" w:color="auto"/>
              <w:left w:val="single" w:sz="12" w:space="0" w:color="auto"/>
            </w:tcBorders>
          </w:tcPr>
          <w:p w14:paraId="68F4ACAB"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äi </w:t>
            </w:r>
            <w:r w:rsidRPr="00FB4EFA">
              <w:rPr>
                <w:b/>
                <w:sz w:val="18"/>
                <w:szCs w:val="18"/>
                <w:lang w:val="de-DE"/>
              </w:rPr>
              <w:t>15</w:t>
            </w:r>
          </w:p>
        </w:tc>
      </w:tr>
      <w:tr w:rsidR="00FB4EFA" w:rsidRPr="00FB4EFA" w14:paraId="29927976" w14:textId="77777777" w:rsidTr="00545033">
        <w:trPr>
          <w:jc w:val="center"/>
        </w:trPr>
        <w:tc>
          <w:tcPr>
            <w:tcW w:w="3419" w:type="dxa"/>
            <w:tcBorders>
              <w:right w:val="single" w:sz="12" w:space="0" w:color="auto"/>
            </w:tcBorders>
          </w:tcPr>
          <w:p w14:paraId="0FE1F164"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ema </w:t>
            </w:r>
            <w:r w:rsidRPr="00FB4EFA">
              <w:rPr>
                <w:b/>
                <w:sz w:val="18"/>
                <w:szCs w:val="18"/>
                <w:lang w:val="de-DE"/>
              </w:rPr>
              <w:t>1638</w:t>
            </w:r>
          </w:p>
        </w:tc>
        <w:tc>
          <w:tcPr>
            <w:tcW w:w="3485" w:type="dxa"/>
            <w:tcBorders>
              <w:left w:val="single" w:sz="12" w:space="0" w:color="auto"/>
            </w:tcBorders>
          </w:tcPr>
          <w:p w14:paraId="69F6511B"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isa </w:t>
            </w:r>
            <w:r w:rsidRPr="00FB4EFA">
              <w:rPr>
                <w:b/>
                <w:sz w:val="18"/>
                <w:szCs w:val="18"/>
                <w:lang w:val="de-DE"/>
              </w:rPr>
              <w:t>1396</w:t>
            </w:r>
          </w:p>
        </w:tc>
      </w:tr>
      <w:tr w:rsidR="00FB4EFA" w:rsidRPr="00FB4EFA" w14:paraId="09D6D1F4" w14:textId="77777777" w:rsidTr="00545033">
        <w:trPr>
          <w:jc w:val="center"/>
        </w:trPr>
        <w:tc>
          <w:tcPr>
            <w:tcW w:w="3419" w:type="dxa"/>
            <w:tcBorders>
              <w:right w:val="single" w:sz="12" w:space="0" w:color="auto"/>
            </w:tcBorders>
          </w:tcPr>
          <w:p w14:paraId="734A78FC"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eit </w:t>
            </w:r>
            <w:r w:rsidRPr="00FB4EFA">
              <w:rPr>
                <w:b/>
                <w:sz w:val="18"/>
                <w:szCs w:val="18"/>
                <w:lang w:val="de-DE"/>
              </w:rPr>
              <w:t>337</w:t>
            </w:r>
            <w:r w:rsidRPr="00FB4EFA">
              <w:rPr>
                <w:sz w:val="18"/>
                <w:szCs w:val="18"/>
                <w:lang w:val="de-DE"/>
              </w:rPr>
              <w:t xml:space="preserve">, memm </w:t>
            </w:r>
            <w:r w:rsidRPr="00FB4EFA">
              <w:rPr>
                <w:b/>
                <w:sz w:val="18"/>
                <w:szCs w:val="18"/>
                <w:lang w:val="de-DE"/>
              </w:rPr>
              <w:t>53</w:t>
            </w:r>
          </w:p>
        </w:tc>
        <w:tc>
          <w:tcPr>
            <w:tcW w:w="3485" w:type="dxa"/>
            <w:tcBorders>
              <w:left w:val="single" w:sz="12" w:space="0" w:color="auto"/>
            </w:tcBorders>
          </w:tcPr>
          <w:p w14:paraId="0B104294"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ätt </w:t>
            </w:r>
            <w:r w:rsidRPr="00FB4EFA">
              <w:rPr>
                <w:b/>
                <w:sz w:val="18"/>
                <w:szCs w:val="18"/>
                <w:lang w:val="de-DE"/>
              </w:rPr>
              <w:t>31</w:t>
            </w:r>
            <w:r w:rsidRPr="00FB4EFA">
              <w:rPr>
                <w:sz w:val="18"/>
                <w:szCs w:val="18"/>
                <w:lang w:val="de-DE"/>
              </w:rPr>
              <w:t xml:space="preserve">, taat </w:t>
            </w:r>
            <w:r w:rsidRPr="00FB4EFA">
              <w:rPr>
                <w:b/>
                <w:sz w:val="18"/>
                <w:szCs w:val="18"/>
                <w:lang w:val="de-DE"/>
              </w:rPr>
              <w:t>292</w:t>
            </w:r>
          </w:p>
        </w:tc>
      </w:tr>
      <w:tr w:rsidR="00FB4EFA" w:rsidRPr="00FB4EFA" w14:paraId="65CB1AAB" w14:textId="77777777" w:rsidTr="00545033">
        <w:trPr>
          <w:jc w:val="center"/>
        </w:trPr>
        <w:tc>
          <w:tcPr>
            <w:tcW w:w="3419" w:type="dxa"/>
            <w:tcBorders>
              <w:right w:val="single" w:sz="12" w:space="0" w:color="auto"/>
            </w:tcBorders>
          </w:tcPr>
          <w:p w14:paraId="11413B3C"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naine </w:t>
            </w:r>
            <w:r w:rsidRPr="00FB4EFA">
              <w:rPr>
                <w:b/>
                <w:sz w:val="18"/>
                <w:szCs w:val="18"/>
                <w:lang w:val="de-DE"/>
              </w:rPr>
              <w:t>2268</w:t>
            </w:r>
          </w:p>
        </w:tc>
        <w:tc>
          <w:tcPr>
            <w:tcW w:w="3485" w:type="dxa"/>
            <w:tcBorders>
              <w:left w:val="single" w:sz="12" w:space="0" w:color="auto"/>
            </w:tcBorders>
          </w:tcPr>
          <w:p w14:paraId="0E8A2C1D"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mees </w:t>
            </w:r>
            <w:r w:rsidRPr="00FB4EFA">
              <w:rPr>
                <w:b/>
                <w:sz w:val="18"/>
                <w:szCs w:val="18"/>
                <w:lang w:val="de-DE"/>
              </w:rPr>
              <w:t>4983</w:t>
            </w:r>
          </w:p>
        </w:tc>
      </w:tr>
      <w:tr w:rsidR="00FB4EFA" w:rsidRPr="00FB4EFA" w14:paraId="6519BE25" w14:textId="77777777" w:rsidTr="00545033">
        <w:trPr>
          <w:jc w:val="center"/>
        </w:trPr>
        <w:tc>
          <w:tcPr>
            <w:tcW w:w="3419" w:type="dxa"/>
            <w:tcBorders>
              <w:right w:val="single" w:sz="12" w:space="0" w:color="auto"/>
            </w:tcBorders>
          </w:tcPr>
          <w:p w14:paraId="3BCAEC8F"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neiu </w:t>
            </w:r>
            <w:r w:rsidRPr="00FB4EFA">
              <w:rPr>
                <w:b/>
                <w:sz w:val="18"/>
                <w:szCs w:val="18"/>
                <w:lang w:val="de-DE"/>
              </w:rPr>
              <w:t>431</w:t>
            </w:r>
          </w:p>
        </w:tc>
        <w:tc>
          <w:tcPr>
            <w:tcW w:w="3485" w:type="dxa"/>
            <w:tcBorders>
              <w:left w:val="single" w:sz="12" w:space="0" w:color="auto"/>
            </w:tcBorders>
          </w:tcPr>
          <w:p w14:paraId="72E20D00"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noormees </w:t>
            </w:r>
            <w:r w:rsidRPr="00FB4EFA">
              <w:rPr>
                <w:b/>
                <w:sz w:val="18"/>
                <w:szCs w:val="18"/>
                <w:lang w:val="de-DE"/>
              </w:rPr>
              <w:t>533</w:t>
            </w:r>
          </w:p>
        </w:tc>
      </w:tr>
      <w:tr w:rsidR="00FB4EFA" w:rsidRPr="00FB4EFA" w14:paraId="462D90E4" w14:textId="77777777" w:rsidTr="00545033">
        <w:trPr>
          <w:jc w:val="center"/>
        </w:trPr>
        <w:tc>
          <w:tcPr>
            <w:tcW w:w="3419" w:type="dxa"/>
            <w:tcBorders>
              <w:right w:val="single" w:sz="12" w:space="0" w:color="auto"/>
            </w:tcBorders>
          </w:tcPr>
          <w:p w14:paraId="27A0891B"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noorik </w:t>
            </w:r>
            <w:r w:rsidRPr="00FB4EFA">
              <w:rPr>
                <w:b/>
                <w:sz w:val="18"/>
                <w:szCs w:val="18"/>
                <w:lang w:val="de-DE"/>
              </w:rPr>
              <w:t>112</w:t>
            </w:r>
          </w:p>
        </w:tc>
        <w:tc>
          <w:tcPr>
            <w:tcW w:w="3485" w:type="dxa"/>
            <w:tcBorders>
              <w:left w:val="single" w:sz="12" w:space="0" w:color="auto"/>
            </w:tcBorders>
          </w:tcPr>
          <w:p w14:paraId="54B8875B"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nooruk </w:t>
            </w:r>
            <w:r w:rsidRPr="00FB4EFA">
              <w:rPr>
                <w:b/>
                <w:sz w:val="18"/>
                <w:szCs w:val="18"/>
                <w:lang w:val="de-DE"/>
              </w:rPr>
              <w:t>205</w:t>
            </w:r>
          </w:p>
        </w:tc>
      </w:tr>
      <w:tr w:rsidR="00FB4EFA" w:rsidRPr="00FB4EFA" w14:paraId="1D942B6D" w14:textId="77777777" w:rsidTr="00545033">
        <w:trPr>
          <w:jc w:val="center"/>
        </w:trPr>
        <w:tc>
          <w:tcPr>
            <w:tcW w:w="3419" w:type="dxa"/>
            <w:tcBorders>
              <w:right w:val="single" w:sz="12" w:space="0" w:color="auto"/>
            </w:tcBorders>
          </w:tcPr>
          <w:p w14:paraId="5D1C44B5"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õde </w:t>
            </w:r>
            <w:r w:rsidRPr="00FB4EFA">
              <w:rPr>
                <w:b/>
                <w:sz w:val="18"/>
                <w:szCs w:val="18"/>
                <w:lang w:val="de-DE"/>
              </w:rPr>
              <w:t>159</w:t>
            </w:r>
          </w:p>
        </w:tc>
        <w:tc>
          <w:tcPr>
            <w:tcW w:w="3485" w:type="dxa"/>
            <w:tcBorders>
              <w:left w:val="single" w:sz="12" w:space="0" w:color="auto"/>
            </w:tcBorders>
          </w:tcPr>
          <w:p w14:paraId="2084B157"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vend </w:t>
            </w:r>
            <w:r w:rsidRPr="00FB4EFA">
              <w:rPr>
                <w:b/>
                <w:sz w:val="18"/>
                <w:szCs w:val="18"/>
                <w:lang w:val="de-DE"/>
              </w:rPr>
              <w:t>348</w:t>
            </w:r>
          </w:p>
        </w:tc>
      </w:tr>
      <w:tr w:rsidR="00FB4EFA" w:rsidRPr="00FB4EFA" w14:paraId="18E8403E" w14:textId="77777777" w:rsidTr="00545033">
        <w:trPr>
          <w:jc w:val="center"/>
        </w:trPr>
        <w:tc>
          <w:tcPr>
            <w:tcW w:w="3419" w:type="dxa"/>
            <w:tcBorders>
              <w:right w:val="single" w:sz="12" w:space="0" w:color="auto"/>
            </w:tcBorders>
          </w:tcPr>
          <w:p w14:paraId="5852BFC0" w14:textId="77777777" w:rsidR="00A96E85" w:rsidRPr="00FB4EFA" w:rsidRDefault="00A96E85" w:rsidP="00AC1192">
            <w:pPr>
              <w:keepNext/>
              <w:suppressAutoHyphens/>
              <w:spacing w:line="240" w:lineRule="auto"/>
              <w:rPr>
                <w:b/>
                <w:sz w:val="18"/>
                <w:szCs w:val="18"/>
                <w:lang w:val="de-DE"/>
              </w:rPr>
            </w:pPr>
            <w:r w:rsidRPr="00FB4EFA">
              <w:rPr>
                <w:sz w:val="18"/>
                <w:szCs w:val="18"/>
                <w:lang w:val="de-DE"/>
              </w:rPr>
              <w:t xml:space="preserve">tädi </w:t>
            </w:r>
            <w:r w:rsidRPr="00FB4EFA">
              <w:rPr>
                <w:b/>
                <w:sz w:val="18"/>
                <w:szCs w:val="18"/>
                <w:lang w:val="de-DE"/>
              </w:rPr>
              <w:t>112</w:t>
            </w:r>
          </w:p>
        </w:tc>
        <w:tc>
          <w:tcPr>
            <w:tcW w:w="3485" w:type="dxa"/>
            <w:tcBorders>
              <w:left w:val="single" w:sz="12" w:space="0" w:color="auto"/>
            </w:tcBorders>
          </w:tcPr>
          <w:p w14:paraId="799309B4"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onu </w:t>
            </w:r>
            <w:r w:rsidRPr="00FB4EFA">
              <w:rPr>
                <w:b/>
                <w:sz w:val="18"/>
                <w:szCs w:val="18"/>
                <w:lang w:val="de-DE"/>
              </w:rPr>
              <w:t>119</w:t>
            </w:r>
          </w:p>
        </w:tc>
      </w:tr>
      <w:tr w:rsidR="00FB4EFA" w:rsidRPr="00FB4EFA" w14:paraId="31BA82EC" w14:textId="77777777" w:rsidTr="00545033">
        <w:trPr>
          <w:jc w:val="center"/>
        </w:trPr>
        <w:tc>
          <w:tcPr>
            <w:tcW w:w="3419" w:type="dxa"/>
            <w:tcBorders>
              <w:right w:val="single" w:sz="12" w:space="0" w:color="auto"/>
            </w:tcBorders>
          </w:tcPr>
          <w:p w14:paraId="20F55C1F"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plika </w:t>
            </w:r>
            <w:r w:rsidRPr="00FB4EFA">
              <w:rPr>
                <w:b/>
                <w:sz w:val="18"/>
                <w:szCs w:val="18"/>
                <w:lang w:val="de-DE"/>
              </w:rPr>
              <w:t>92</w:t>
            </w:r>
            <w:r w:rsidRPr="00FB4EFA">
              <w:rPr>
                <w:sz w:val="18"/>
                <w:szCs w:val="18"/>
                <w:lang w:val="de-DE"/>
              </w:rPr>
              <w:t xml:space="preserve">, tüdruk </w:t>
            </w:r>
            <w:r w:rsidRPr="00FB4EFA">
              <w:rPr>
                <w:b/>
                <w:sz w:val="18"/>
                <w:szCs w:val="18"/>
                <w:lang w:val="de-DE"/>
              </w:rPr>
              <w:t>1982</w:t>
            </w:r>
            <w:r w:rsidRPr="00FB4EFA">
              <w:rPr>
                <w:sz w:val="18"/>
                <w:szCs w:val="18"/>
                <w:lang w:val="de-DE"/>
              </w:rPr>
              <w:t xml:space="preserve">, tütarlaps </w:t>
            </w:r>
            <w:r w:rsidRPr="00FB4EFA">
              <w:rPr>
                <w:b/>
                <w:sz w:val="18"/>
                <w:szCs w:val="18"/>
                <w:lang w:val="de-DE"/>
              </w:rPr>
              <w:t>204</w:t>
            </w:r>
          </w:p>
        </w:tc>
        <w:tc>
          <w:tcPr>
            <w:tcW w:w="3485" w:type="dxa"/>
            <w:tcBorders>
              <w:left w:val="single" w:sz="12" w:space="0" w:color="auto"/>
            </w:tcBorders>
          </w:tcPr>
          <w:p w14:paraId="7FDBE3AE"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poiss </w:t>
            </w:r>
            <w:r w:rsidRPr="00FB4EFA">
              <w:rPr>
                <w:b/>
                <w:sz w:val="18"/>
                <w:szCs w:val="18"/>
                <w:lang w:val="de-DE"/>
              </w:rPr>
              <w:t>3188</w:t>
            </w:r>
          </w:p>
        </w:tc>
      </w:tr>
      <w:tr w:rsidR="00FB4EFA" w:rsidRPr="00FB4EFA" w14:paraId="3CC9D549" w14:textId="77777777" w:rsidTr="00545033">
        <w:trPr>
          <w:jc w:val="center"/>
        </w:trPr>
        <w:tc>
          <w:tcPr>
            <w:tcW w:w="3419" w:type="dxa"/>
            <w:tcBorders>
              <w:right w:val="single" w:sz="12" w:space="0" w:color="auto"/>
            </w:tcBorders>
          </w:tcPr>
          <w:p w14:paraId="5B3D6330"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tütar </w:t>
            </w:r>
            <w:r w:rsidRPr="00FB4EFA">
              <w:rPr>
                <w:b/>
                <w:sz w:val="18"/>
                <w:szCs w:val="18"/>
                <w:lang w:val="de-DE"/>
              </w:rPr>
              <w:t>365</w:t>
            </w:r>
          </w:p>
        </w:tc>
        <w:tc>
          <w:tcPr>
            <w:tcW w:w="3485" w:type="dxa"/>
            <w:tcBorders>
              <w:left w:val="single" w:sz="12" w:space="0" w:color="auto"/>
            </w:tcBorders>
          </w:tcPr>
          <w:p w14:paraId="5D12FEE7"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poeg </w:t>
            </w:r>
            <w:r w:rsidRPr="00FB4EFA">
              <w:rPr>
                <w:b/>
                <w:sz w:val="18"/>
                <w:szCs w:val="18"/>
                <w:lang w:val="de-DE"/>
              </w:rPr>
              <w:t>703</w:t>
            </w:r>
          </w:p>
        </w:tc>
      </w:tr>
      <w:tr w:rsidR="00FB4EFA" w:rsidRPr="00FB4EFA" w14:paraId="2CDDE00F" w14:textId="77777777" w:rsidTr="00545033">
        <w:trPr>
          <w:jc w:val="center"/>
        </w:trPr>
        <w:tc>
          <w:tcPr>
            <w:tcW w:w="3419" w:type="dxa"/>
            <w:tcBorders>
              <w:right w:val="single" w:sz="12" w:space="0" w:color="auto"/>
            </w:tcBorders>
          </w:tcPr>
          <w:p w14:paraId="2608248B"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proua </w:t>
            </w:r>
            <w:r w:rsidRPr="00FB4EFA">
              <w:rPr>
                <w:b/>
                <w:sz w:val="18"/>
                <w:szCs w:val="18"/>
                <w:lang w:val="de-DE"/>
              </w:rPr>
              <w:t>124</w:t>
            </w:r>
          </w:p>
        </w:tc>
        <w:tc>
          <w:tcPr>
            <w:tcW w:w="3485" w:type="dxa"/>
            <w:tcBorders>
              <w:left w:val="single" w:sz="12" w:space="0" w:color="auto"/>
            </w:tcBorders>
          </w:tcPr>
          <w:p w14:paraId="216EA5DD"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härra </w:t>
            </w:r>
            <w:r w:rsidRPr="00FB4EFA">
              <w:rPr>
                <w:b/>
                <w:sz w:val="18"/>
                <w:szCs w:val="18"/>
                <w:lang w:val="de-DE"/>
              </w:rPr>
              <w:t>159</w:t>
            </w:r>
          </w:p>
        </w:tc>
      </w:tr>
      <w:tr w:rsidR="00FB4EFA" w:rsidRPr="00FB4EFA" w14:paraId="2AF1E0B1" w14:textId="77777777" w:rsidTr="00545033">
        <w:trPr>
          <w:jc w:val="center"/>
        </w:trPr>
        <w:tc>
          <w:tcPr>
            <w:tcW w:w="3419" w:type="dxa"/>
            <w:tcBorders>
              <w:right w:val="single" w:sz="12" w:space="0" w:color="auto"/>
            </w:tcBorders>
          </w:tcPr>
          <w:p w14:paraId="56E971F2"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daam </w:t>
            </w:r>
            <w:r w:rsidRPr="00FB4EFA">
              <w:rPr>
                <w:b/>
                <w:sz w:val="18"/>
                <w:szCs w:val="18"/>
                <w:lang w:val="de-DE"/>
              </w:rPr>
              <w:t>129</w:t>
            </w:r>
          </w:p>
        </w:tc>
        <w:tc>
          <w:tcPr>
            <w:tcW w:w="3485" w:type="dxa"/>
            <w:tcBorders>
              <w:left w:val="single" w:sz="12" w:space="0" w:color="auto"/>
            </w:tcBorders>
          </w:tcPr>
          <w:p w14:paraId="54C52A3A"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härrasmees </w:t>
            </w:r>
            <w:r w:rsidRPr="00FB4EFA">
              <w:rPr>
                <w:b/>
                <w:sz w:val="18"/>
                <w:szCs w:val="18"/>
                <w:lang w:val="de-DE"/>
              </w:rPr>
              <w:t>20</w:t>
            </w:r>
          </w:p>
        </w:tc>
      </w:tr>
      <w:tr w:rsidR="00FB4EFA" w:rsidRPr="00FB4EFA" w14:paraId="4BB9F9AE" w14:textId="77777777" w:rsidTr="00545033">
        <w:trPr>
          <w:jc w:val="center"/>
        </w:trPr>
        <w:tc>
          <w:tcPr>
            <w:tcW w:w="3419" w:type="dxa"/>
            <w:tcBorders>
              <w:right w:val="single" w:sz="12" w:space="0" w:color="auto"/>
            </w:tcBorders>
          </w:tcPr>
          <w:p w14:paraId="1C45B62D"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sõbranna, sõbratar </w:t>
            </w:r>
            <w:r w:rsidRPr="00FB4EFA">
              <w:rPr>
                <w:b/>
                <w:sz w:val="18"/>
                <w:szCs w:val="18"/>
                <w:lang w:val="de-DE"/>
              </w:rPr>
              <w:t>39</w:t>
            </w:r>
          </w:p>
        </w:tc>
        <w:tc>
          <w:tcPr>
            <w:tcW w:w="3485" w:type="dxa"/>
            <w:tcBorders>
              <w:left w:val="single" w:sz="12" w:space="0" w:color="auto"/>
            </w:tcBorders>
          </w:tcPr>
          <w:p w14:paraId="396AA7F3" w14:textId="4A353B3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sõber </w:t>
            </w:r>
            <w:r w:rsidRPr="00FB4EFA">
              <w:rPr>
                <w:b/>
                <w:sz w:val="18"/>
                <w:szCs w:val="18"/>
                <w:lang w:val="de-DE"/>
              </w:rPr>
              <w:t>451</w:t>
            </w:r>
            <w:r w:rsidR="00230AD0" w:rsidRPr="00FB4EFA">
              <w:rPr>
                <w:sz w:val="18"/>
                <w:szCs w:val="18"/>
                <w:vertAlign w:val="superscript"/>
                <w:lang w:val="de-DE"/>
              </w:rPr>
              <w:footnoteReference w:id="63"/>
            </w:r>
          </w:p>
        </w:tc>
      </w:tr>
      <w:tr w:rsidR="00FB4EFA" w:rsidRPr="00FB4EFA" w14:paraId="626083C6" w14:textId="77777777" w:rsidTr="00545033">
        <w:trPr>
          <w:jc w:val="center"/>
        </w:trPr>
        <w:tc>
          <w:tcPr>
            <w:tcW w:w="3419" w:type="dxa"/>
            <w:tcBorders>
              <w:right w:val="single" w:sz="12" w:space="0" w:color="auto"/>
            </w:tcBorders>
          </w:tcPr>
          <w:p w14:paraId="38AC7156"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vanaema </w:t>
            </w:r>
            <w:r w:rsidRPr="00FB4EFA">
              <w:rPr>
                <w:b/>
                <w:sz w:val="18"/>
                <w:szCs w:val="18"/>
                <w:lang w:val="de-DE"/>
              </w:rPr>
              <w:t>345</w:t>
            </w:r>
          </w:p>
        </w:tc>
        <w:tc>
          <w:tcPr>
            <w:tcW w:w="3485" w:type="dxa"/>
            <w:tcBorders>
              <w:left w:val="single" w:sz="12" w:space="0" w:color="auto"/>
            </w:tcBorders>
          </w:tcPr>
          <w:p w14:paraId="4A84C403"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vanaisa </w:t>
            </w:r>
            <w:r w:rsidRPr="00FB4EFA">
              <w:rPr>
                <w:b/>
                <w:sz w:val="18"/>
                <w:szCs w:val="18"/>
                <w:lang w:val="de-DE"/>
              </w:rPr>
              <w:t>253</w:t>
            </w:r>
          </w:p>
        </w:tc>
      </w:tr>
      <w:tr w:rsidR="00FB4EFA" w:rsidRPr="00FB4EFA" w14:paraId="104797F5" w14:textId="77777777" w:rsidTr="00545033">
        <w:trPr>
          <w:jc w:val="center"/>
        </w:trPr>
        <w:tc>
          <w:tcPr>
            <w:tcW w:w="3419" w:type="dxa"/>
            <w:tcBorders>
              <w:right w:val="single" w:sz="12" w:space="0" w:color="auto"/>
            </w:tcBorders>
          </w:tcPr>
          <w:p w14:paraId="2BAC3738"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 </w:t>
            </w:r>
            <w:r w:rsidRPr="00FB4EFA">
              <w:rPr>
                <w:b/>
                <w:sz w:val="18"/>
                <w:szCs w:val="18"/>
                <w:lang w:val="de-DE"/>
              </w:rPr>
              <w:t>8478 (40 %)</w:t>
            </w:r>
          </w:p>
        </w:tc>
        <w:tc>
          <w:tcPr>
            <w:tcW w:w="3485" w:type="dxa"/>
            <w:tcBorders>
              <w:left w:val="single" w:sz="12" w:space="0" w:color="auto"/>
              <w:bottom w:val="nil"/>
            </w:tcBorders>
          </w:tcPr>
          <w:p w14:paraId="08CF3597"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 </w:t>
            </w:r>
            <w:r w:rsidRPr="00FB4EFA">
              <w:rPr>
                <w:b/>
                <w:sz w:val="18"/>
                <w:szCs w:val="18"/>
                <w:lang w:val="de-DE"/>
              </w:rPr>
              <w:t>12696 (60 %)</w:t>
            </w:r>
          </w:p>
        </w:tc>
      </w:tr>
    </w:tbl>
    <w:p w14:paraId="16968061" w14:textId="77777777" w:rsidR="00E718A6" w:rsidRPr="00FB4EFA" w:rsidRDefault="00E718A6" w:rsidP="00AC1192">
      <w:pPr>
        <w:suppressAutoHyphens/>
        <w:spacing w:before="120" w:after="240"/>
        <w:jc w:val="center"/>
        <w:rPr>
          <w:b/>
          <w:sz w:val="18"/>
          <w:szCs w:val="18"/>
          <w:lang w:val="de-DE"/>
        </w:rPr>
      </w:pPr>
      <w:r w:rsidRPr="00FB4EFA">
        <w:rPr>
          <w:b/>
          <w:sz w:val="18"/>
          <w:szCs w:val="18"/>
          <w:lang w:val="de-DE"/>
        </w:rPr>
        <w:t>Tabelle 2</w:t>
      </w:r>
      <w:r w:rsidRPr="00FB4EFA">
        <w:rPr>
          <w:bCs/>
          <w:sz w:val="18"/>
          <w:szCs w:val="18"/>
          <w:lang w:val="de-DE"/>
        </w:rPr>
        <w:t>: Anzahl der Belege pro Lexem</w:t>
      </w:r>
    </w:p>
    <w:p w14:paraId="76AA0593" w14:textId="441CD73A" w:rsidR="009F1588" w:rsidRPr="00FB4EFA" w:rsidRDefault="00A96E85" w:rsidP="00402EF4">
      <w:pPr>
        <w:rPr>
          <w:lang w:val="de-DE"/>
        </w:rPr>
      </w:pPr>
      <w:r w:rsidRPr="00FB4EFA">
        <w:rPr>
          <w:lang w:val="de-DE"/>
        </w:rPr>
        <w:t xml:space="preserve">Die totale Anzahl der Fundstellen beträgt 21.174, drei Fünftel aller Belege betreffen männliche Personenbezeichnungen, zwei Fünftel weibliche. Bei fast allen Paaren sind die weiblichen Pendants infrequenter, lediglich bei </w:t>
      </w:r>
      <w:r w:rsidR="006057AB" w:rsidRPr="00FB4EFA">
        <w:rPr>
          <w:lang w:val="de-DE"/>
        </w:rPr>
        <w:t>‘</w:t>
      </w:r>
      <w:r w:rsidRPr="00FB4EFA">
        <w:rPr>
          <w:lang w:val="de-DE"/>
        </w:rPr>
        <w:t>Mutter</w:t>
      </w:r>
      <w:r w:rsidR="006057AB" w:rsidRPr="00FB4EFA">
        <w:rPr>
          <w:lang w:val="de-DE"/>
        </w:rPr>
        <w:t>’</w:t>
      </w:r>
      <w:r w:rsidRPr="00FB4EFA">
        <w:rPr>
          <w:lang w:val="de-DE"/>
        </w:rPr>
        <w:t xml:space="preserve">, </w:t>
      </w:r>
      <w:r w:rsidR="006057AB" w:rsidRPr="00FB4EFA">
        <w:rPr>
          <w:lang w:val="de-DE"/>
        </w:rPr>
        <w:t>‘</w:t>
      </w:r>
      <w:r w:rsidRPr="00FB4EFA">
        <w:rPr>
          <w:lang w:val="de-DE"/>
        </w:rPr>
        <w:t>Großmutter</w:t>
      </w:r>
      <w:r w:rsidR="006057AB" w:rsidRPr="00FB4EFA">
        <w:rPr>
          <w:lang w:val="de-DE"/>
        </w:rPr>
        <w:t>’</w:t>
      </w:r>
      <w:r w:rsidRPr="00FB4EFA">
        <w:rPr>
          <w:lang w:val="de-DE"/>
        </w:rPr>
        <w:t xml:space="preserve">, </w:t>
      </w:r>
      <w:r w:rsidR="006057AB" w:rsidRPr="00FB4EFA">
        <w:rPr>
          <w:lang w:val="de-DE"/>
        </w:rPr>
        <w:t>‘</w:t>
      </w:r>
      <w:r w:rsidRPr="00FB4EFA">
        <w:rPr>
          <w:lang w:val="de-DE"/>
        </w:rPr>
        <w:t>Schwiegermutter</w:t>
      </w:r>
      <w:r w:rsidR="006057AB" w:rsidRPr="00FB4EFA">
        <w:rPr>
          <w:lang w:val="de-DE"/>
        </w:rPr>
        <w:t>’</w:t>
      </w:r>
      <w:r w:rsidRPr="00FB4EFA">
        <w:rPr>
          <w:lang w:val="de-DE"/>
        </w:rPr>
        <w:t xml:space="preserve"> und </w:t>
      </w:r>
      <w:r w:rsidR="006057AB" w:rsidRPr="00FB4EFA">
        <w:rPr>
          <w:lang w:val="de-DE"/>
        </w:rPr>
        <w:t>‘</w:t>
      </w:r>
      <w:r w:rsidRPr="00FB4EFA">
        <w:rPr>
          <w:lang w:val="de-DE"/>
        </w:rPr>
        <w:t>Greisin</w:t>
      </w:r>
      <w:r w:rsidR="006057AB" w:rsidRPr="00FB4EFA">
        <w:rPr>
          <w:lang w:val="de-DE"/>
        </w:rPr>
        <w:t>’</w:t>
      </w:r>
      <w:r w:rsidRPr="00FB4EFA">
        <w:rPr>
          <w:lang w:val="de-DE"/>
        </w:rPr>
        <w:t xml:space="preserve"> gelingt es den Frauen, mehr Belege zu bekommen. Das ist nicht verwunderlich, sind </w:t>
      </w:r>
      <w:r w:rsidRPr="00FB4EFA">
        <w:rPr>
          <w:lang w:val="de-DE"/>
        </w:rPr>
        <w:lastRenderedPageBreak/>
        <w:t>dies doch die „klassischen“ Rollen der Frau, die ihr von der patriarchalen Welt zugewiesen werden. Dann darf sie auch frequent sein.</w:t>
      </w:r>
    </w:p>
    <w:p w14:paraId="18BB855C" w14:textId="3988A11D" w:rsidR="00A96E85" w:rsidRPr="00FB4EFA" w:rsidRDefault="00A96E85" w:rsidP="00402EF4">
      <w:pPr>
        <w:spacing w:after="240"/>
        <w:ind w:firstLine="709"/>
        <w:rPr>
          <w:lang w:val="de-DE"/>
        </w:rPr>
      </w:pPr>
      <w:r w:rsidRPr="00FB4EFA">
        <w:rPr>
          <w:lang w:val="de-DE"/>
        </w:rPr>
        <w:t xml:space="preserve">Da die Amplitude der Belegzahl sehr hoch ist (zwischen </w:t>
      </w:r>
      <w:r w:rsidR="00ED6869" w:rsidRPr="00FB4EFA">
        <w:rPr>
          <w:lang w:val="de-DE"/>
        </w:rPr>
        <w:t xml:space="preserve">15 und </w:t>
      </w:r>
      <w:r w:rsidRPr="00FB4EFA">
        <w:rPr>
          <w:lang w:val="de-DE"/>
        </w:rPr>
        <w:t>4983), sollen der Einfachheit halber für die folgenden Berechnungen nur die zehn frequentesten Lexeme pro Geschlecht angeführt werden, die über 95</w:t>
      </w:r>
      <w:r w:rsidR="00ED6869" w:rsidRPr="00FB4EFA">
        <w:rPr>
          <w:lang w:val="de-DE"/>
        </w:rPr>
        <w:t> </w:t>
      </w:r>
      <w:r w:rsidRPr="00FB4EFA">
        <w:rPr>
          <w:lang w:val="de-DE"/>
        </w:rPr>
        <w:t>% des Materials abdecken (20.210 gegenüber 21.174 Belegen).</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3419"/>
        <w:gridCol w:w="3485"/>
      </w:tblGrid>
      <w:tr w:rsidR="00FB4EFA" w:rsidRPr="00FB4EFA" w14:paraId="51C365E9" w14:textId="77777777" w:rsidTr="00545033">
        <w:trPr>
          <w:jc w:val="center"/>
        </w:trPr>
        <w:tc>
          <w:tcPr>
            <w:tcW w:w="3419" w:type="dxa"/>
            <w:tcBorders>
              <w:top w:val="nil"/>
              <w:bottom w:val="single" w:sz="12" w:space="0" w:color="auto"/>
              <w:right w:val="single" w:sz="12" w:space="0" w:color="auto"/>
            </w:tcBorders>
          </w:tcPr>
          <w:p w14:paraId="518C2CA2" w14:textId="77777777" w:rsidR="00A96E85" w:rsidRPr="00FB4EFA" w:rsidRDefault="00A96E85" w:rsidP="00AC1192">
            <w:pPr>
              <w:keepNext/>
              <w:suppressAutoHyphens/>
              <w:spacing w:line="240" w:lineRule="auto"/>
              <w:rPr>
                <w:rFonts w:cs="Charis SIL"/>
                <w:b/>
                <w:bCs/>
                <w:sz w:val="18"/>
                <w:szCs w:val="18"/>
                <w:lang w:val="de-DE"/>
              </w:rPr>
            </w:pPr>
            <w:r w:rsidRPr="00FB4EFA">
              <w:rPr>
                <w:rFonts w:ascii="Segoe UI Symbol" w:hAnsi="Segoe UI Symbol" w:cs="Segoe UI Symbol"/>
                <w:b/>
                <w:bCs/>
                <w:sz w:val="18"/>
                <w:szCs w:val="18"/>
                <w:lang w:val="de-DE"/>
              </w:rPr>
              <w:t>♀</w:t>
            </w:r>
          </w:p>
        </w:tc>
        <w:tc>
          <w:tcPr>
            <w:tcW w:w="3485" w:type="dxa"/>
            <w:tcBorders>
              <w:top w:val="nil"/>
              <w:left w:val="single" w:sz="12" w:space="0" w:color="auto"/>
              <w:bottom w:val="single" w:sz="12" w:space="0" w:color="auto"/>
            </w:tcBorders>
          </w:tcPr>
          <w:p w14:paraId="09991B92" w14:textId="77777777" w:rsidR="00A96E85" w:rsidRPr="00FB4EFA" w:rsidRDefault="00A96E85" w:rsidP="00AC1192">
            <w:pPr>
              <w:keepNext/>
              <w:suppressAutoHyphens/>
              <w:spacing w:line="240" w:lineRule="auto"/>
              <w:rPr>
                <w:rFonts w:cs="Charis SIL"/>
                <w:b/>
                <w:bCs/>
                <w:sz w:val="18"/>
                <w:szCs w:val="18"/>
                <w:lang w:val="de-DE"/>
              </w:rPr>
            </w:pPr>
            <w:r w:rsidRPr="00FB4EFA">
              <w:rPr>
                <w:rFonts w:ascii="Segoe UI Symbol" w:hAnsi="Segoe UI Symbol" w:cs="Segoe UI Symbol"/>
                <w:b/>
                <w:bCs/>
                <w:sz w:val="18"/>
                <w:szCs w:val="18"/>
                <w:lang w:val="de-DE"/>
              </w:rPr>
              <w:t>♂</w:t>
            </w:r>
          </w:p>
        </w:tc>
      </w:tr>
      <w:tr w:rsidR="00FB4EFA" w:rsidRPr="00FB4EFA" w14:paraId="341353AB" w14:textId="77777777" w:rsidTr="00545033">
        <w:trPr>
          <w:jc w:val="center"/>
        </w:trPr>
        <w:tc>
          <w:tcPr>
            <w:tcW w:w="3419" w:type="dxa"/>
            <w:tcBorders>
              <w:top w:val="single" w:sz="12" w:space="0" w:color="auto"/>
              <w:right w:val="single" w:sz="12" w:space="0" w:color="auto"/>
            </w:tcBorders>
          </w:tcPr>
          <w:p w14:paraId="50298C7C"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naine </w:t>
            </w:r>
            <w:r w:rsidRPr="00FB4EFA">
              <w:rPr>
                <w:b/>
                <w:sz w:val="18"/>
                <w:szCs w:val="18"/>
                <w:lang w:val="de-DE"/>
              </w:rPr>
              <w:t>2268</w:t>
            </w:r>
          </w:p>
        </w:tc>
        <w:tc>
          <w:tcPr>
            <w:tcW w:w="3485" w:type="dxa"/>
            <w:tcBorders>
              <w:top w:val="single" w:sz="12" w:space="0" w:color="auto"/>
              <w:left w:val="single" w:sz="12" w:space="0" w:color="auto"/>
              <w:bottom w:val="single" w:sz="4" w:space="0" w:color="auto"/>
            </w:tcBorders>
          </w:tcPr>
          <w:p w14:paraId="64FF6004"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mees </w:t>
            </w:r>
            <w:r w:rsidRPr="00FB4EFA">
              <w:rPr>
                <w:b/>
                <w:sz w:val="18"/>
                <w:szCs w:val="18"/>
                <w:lang w:val="de-DE"/>
              </w:rPr>
              <w:t>4983</w:t>
            </w:r>
          </w:p>
        </w:tc>
      </w:tr>
      <w:tr w:rsidR="00FB4EFA" w:rsidRPr="00FB4EFA" w14:paraId="2EEF0515" w14:textId="77777777" w:rsidTr="00545033">
        <w:trPr>
          <w:jc w:val="center"/>
        </w:trPr>
        <w:tc>
          <w:tcPr>
            <w:tcW w:w="3419" w:type="dxa"/>
            <w:tcBorders>
              <w:right w:val="single" w:sz="12" w:space="0" w:color="auto"/>
            </w:tcBorders>
          </w:tcPr>
          <w:p w14:paraId="647D9545"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tüdruk </w:t>
            </w:r>
            <w:r w:rsidRPr="00FB4EFA">
              <w:rPr>
                <w:b/>
                <w:sz w:val="18"/>
                <w:szCs w:val="18"/>
                <w:lang w:val="de-DE"/>
              </w:rPr>
              <w:t>1982</w:t>
            </w:r>
          </w:p>
        </w:tc>
        <w:tc>
          <w:tcPr>
            <w:tcW w:w="3485" w:type="dxa"/>
            <w:tcBorders>
              <w:top w:val="single" w:sz="4" w:space="0" w:color="auto"/>
              <w:left w:val="single" w:sz="12" w:space="0" w:color="auto"/>
              <w:bottom w:val="single" w:sz="4" w:space="0" w:color="auto"/>
            </w:tcBorders>
          </w:tcPr>
          <w:p w14:paraId="40D46337"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poiss </w:t>
            </w:r>
            <w:r w:rsidRPr="00FB4EFA">
              <w:rPr>
                <w:b/>
                <w:sz w:val="18"/>
                <w:szCs w:val="18"/>
                <w:lang w:val="de-DE"/>
              </w:rPr>
              <w:t>3188</w:t>
            </w:r>
          </w:p>
        </w:tc>
      </w:tr>
      <w:tr w:rsidR="00FB4EFA" w:rsidRPr="00FB4EFA" w14:paraId="66C1DB57" w14:textId="77777777" w:rsidTr="00545033">
        <w:trPr>
          <w:jc w:val="center"/>
        </w:trPr>
        <w:tc>
          <w:tcPr>
            <w:tcW w:w="3419" w:type="dxa"/>
            <w:tcBorders>
              <w:right w:val="single" w:sz="12" w:space="0" w:color="auto"/>
            </w:tcBorders>
          </w:tcPr>
          <w:p w14:paraId="22A2B0C6"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ema </w:t>
            </w:r>
            <w:r w:rsidRPr="00FB4EFA">
              <w:rPr>
                <w:b/>
                <w:sz w:val="18"/>
                <w:szCs w:val="18"/>
                <w:lang w:val="de-DE"/>
              </w:rPr>
              <w:t>1638</w:t>
            </w:r>
          </w:p>
        </w:tc>
        <w:tc>
          <w:tcPr>
            <w:tcW w:w="3485" w:type="dxa"/>
            <w:tcBorders>
              <w:top w:val="single" w:sz="4" w:space="0" w:color="auto"/>
              <w:left w:val="single" w:sz="12" w:space="0" w:color="auto"/>
              <w:bottom w:val="single" w:sz="4" w:space="0" w:color="auto"/>
            </w:tcBorders>
          </w:tcPr>
          <w:p w14:paraId="566473F8"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isa </w:t>
            </w:r>
            <w:r w:rsidRPr="00FB4EFA">
              <w:rPr>
                <w:b/>
                <w:sz w:val="18"/>
                <w:szCs w:val="18"/>
                <w:lang w:val="de-DE"/>
              </w:rPr>
              <w:t>1396</w:t>
            </w:r>
          </w:p>
        </w:tc>
      </w:tr>
      <w:tr w:rsidR="00FB4EFA" w:rsidRPr="00FB4EFA" w14:paraId="07C686AD" w14:textId="77777777" w:rsidTr="00545033">
        <w:trPr>
          <w:jc w:val="center"/>
        </w:trPr>
        <w:tc>
          <w:tcPr>
            <w:tcW w:w="3419" w:type="dxa"/>
            <w:tcBorders>
              <w:right w:val="single" w:sz="12" w:space="0" w:color="auto"/>
            </w:tcBorders>
          </w:tcPr>
          <w:p w14:paraId="3608882D"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neiu </w:t>
            </w:r>
            <w:r w:rsidRPr="00FB4EFA">
              <w:rPr>
                <w:b/>
                <w:sz w:val="18"/>
                <w:szCs w:val="18"/>
                <w:lang w:val="de-DE"/>
              </w:rPr>
              <w:t>431</w:t>
            </w:r>
          </w:p>
        </w:tc>
        <w:tc>
          <w:tcPr>
            <w:tcW w:w="3485" w:type="dxa"/>
            <w:tcBorders>
              <w:top w:val="single" w:sz="4" w:space="0" w:color="auto"/>
              <w:left w:val="single" w:sz="12" w:space="0" w:color="auto"/>
              <w:bottom w:val="single" w:sz="4" w:space="0" w:color="auto"/>
            </w:tcBorders>
          </w:tcPr>
          <w:p w14:paraId="005CEB96"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poeg </w:t>
            </w:r>
            <w:r w:rsidRPr="00FB4EFA">
              <w:rPr>
                <w:b/>
                <w:sz w:val="18"/>
                <w:szCs w:val="18"/>
                <w:lang w:val="de-DE"/>
              </w:rPr>
              <w:t>703</w:t>
            </w:r>
          </w:p>
        </w:tc>
      </w:tr>
      <w:tr w:rsidR="00FB4EFA" w:rsidRPr="00FB4EFA" w14:paraId="58B4F691" w14:textId="77777777" w:rsidTr="00545033">
        <w:trPr>
          <w:jc w:val="center"/>
        </w:trPr>
        <w:tc>
          <w:tcPr>
            <w:tcW w:w="3419" w:type="dxa"/>
            <w:tcBorders>
              <w:right w:val="single" w:sz="12" w:space="0" w:color="auto"/>
            </w:tcBorders>
          </w:tcPr>
          <w:p w14:paraId="662962A1"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tütar </w:t>
            </w:r>
            <w:r w:rsidRPr="00FB4EFA">
              <w:rPr>
                <w:b/>
                <w:sz w:val="18"/>
                <w:szCs w:val="18"/>
                <w:lang w:val="de-DE"/>
              </w:rPr>
              <w:t>365</w:t>
            </w:r>
          </w:p>
        </w:tc>
        <w:tc>
          <w:tcPr>
            <w:tcW w:w="3485" w:type="dxa"/>
            <w:tcBorders>
              <w:top w:val="single" w:sz="4" w:space="0" w:color="auto"/>
              <w:left w:val="single" w:sz="12" w:space="0" w:color="auto"/>
              <w:bottom w:val="single" w:sz="4" w:space="0" w:color="auto"/>
            </w:tcBorders>
          </w:tcPr>
          <w:p w14:paraId="5CB9A327"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noormees </w:t>
            </w:r>
            <w:r w:rsidRPr="00FB4EFA">
              <w:rPr>
                <w:b/>
                <w:sz w:val="18"/>
                <w:szCs w:val="18"/>
                <w:lang w:val="de-DE"/>
              </w:rPr>
              <w:t>533</w:t>
            </w:r>
          </w:p>
        </w:tc>
      </w:tr>
      <w:tr w:rsidR="00FB4EFA" w:rsidRPr="00FB4EFA" w14:paraId="615A0D57" w14:textId="77777777" w:rsidTr="00545033">
        <w:trPr>
          <w:jc w:val="center"/>
        </w:trPr>
        <w:tc>
          <w:tcPr>
            <w:tcW w:w="3419" w:type="dxa"/>
            <w:tcBorders>
              <w:right w:val="single" w:sz="12" w:space="0" w:color="auto"/>
            </w:tcBorders>
          </w:tcPr>
          <w:p w14:paraId="31640BFE"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vanaema </w:t>
            </w:r>
            <w:r w:rsidRPr="00FB4EFA">
              <w:rPr>
                <w:b/>
                <w:sz w:val="18"/>
                <w:szCs w:val="18"/>
                <w:lang w:val="de-DE"/>
              </w:rPr>
              <w:t>345</w:t>
            </w:r>
          </w:p>
        </w:tc>
        <w:tc>
          <w:tcPr>
            <w:tcW w:w="3485" w:type="dxa"/>
            <w:tcBorders>
              <w:top w:val="single" w:sz="4" w:space="0" w:color="auto"/>
              <w:left w:val="single" w:sz="12" w:space="0" w:color="auto"/>
              <w:bottom w:val="single" w:sz="4" w:space="0" w:color="auto"/>
            </w:tcBorders>
          </w:tcPr>
          <w:p w14:paraId="662CD7A7"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sõber </w:t>
            </w:r>
            <w:r w:rsidRPr="00FB4EFA">
              <w:rPr>
                <w:b/>
                <w:sz w:val="18"/>
                <w:szCs w:val="18"/>
                <w:lang w:val="de-DE"/>
              </w:rPr>
              <w:t>451</w:t>
            </w:r>
          </w:p>
        </w:tc>
      </w:tr>
      <w:tr w:rsidR="00FB4EFA" w:rsidRPr="00FB4EFA" w14:paraId="7E854565" w14:textId="77777777" w:rsidTr="00545033">
        <w:trPr>
          <w:jc w:val="center"/>
        </w:trPr>
        <w:tc>
          <w:tcPr>
            <w:tcW w:w="3419" w:type="dxa"/>
            <w:tcBorders>
              <w:right w:val="single" w:sz="12" w:space="0" w:color="auto"/>
            </w:tcBorders>
          </w:tcPr>
          <w:p w14:paraId="56BE9D1E"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eit </w:t>
            </w:r>
            <w:r w:rsidRPr="00FB4EFA">
              <w:rPr>
                <w:b/>
                <w:sz w:val="18"/>
                <w:szCs w:val="18"/>
                <w:lang w:val="de-DE"/>
              </w:rPr>
              <w:t>337</w:t>
            </w:r>
          </w:p>
        </w:tc>
        <w:tc>
          <w:tcPr>
            <w:tcW w:w="3485" w:type="dxa"/>
            <w:tcBorders>
              <w:top w:val="single" w:sz="4" w:space="0" w:color="auto"/>
              <w:left w:val="single" w:sz="12" w:space="0" w:color="auto"/>
              <w:bottom w:val="single" w:sz="4" w:space="0" w:color="auto"/>
            </w:tcBorders>
          </w:tcPr>
          <w:p w14:paraId="699E71EB"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vend </w:t>
            </w:r>
            <w:r w:rsidRPr="00FB4EFA">
              <w:rPr>
                <w:b/>
                <w:sz w:val="18"/>
                <w:szCs w:val="18"/>
                <w:lang w:val="de-DE"/>
              </w:rPr>
              <w:t>348</w:t>
            </w:r>
          </w:p>
        </w:tc>
      </w:tr>
      <w:tr w:rsidR="00FB4EFA" w:rsidRPr="00FB4EFA" w14:paraId="79CDBC92" w14:textId="77777777" w:rsidTr="00545033">
        <w:trPr>
          <w:jc w:val="center"/>
        </w:trPr>
        <w:tc>
          <w:tcPr>
            <w:tcW w:w="3419" w:type="dxa"/>
            <w:tcBorders>
              <w:right w:val="single" w:sz="12" w:space="0" w:color="auto"/>
            </w:tcBorders>
          </w:tcPr>
          <w:p w14:paraId="59C42BA6" w14:textId="77777777" w:rsidR="00A96E85" w:rsidRPr="00FB4EFA" w:rsidRDefault="00A96E85" w:rsidP="00AC1192">
            <w:pPr>
              <w:keepNext/>
              <w:suppressAutoHyphens/>
              <w:spacing w:line="240" w:lineRule="auto"/>
              <w:rPr>
                <w:b/>
                <w:sz w:val="18"/>
                <w:szCs w:val="18"/>
                <w:lang w:val="de-DE"/>
              </w:rPr>
            </w:pPr>
            <w:r w:rsidRPr="00FB4EFA">
              <w:rPr>
                <w:sz w:val="18"/>
                <w:szCs w:val="18"/>
                <w:lang w:val="de-DE"/>
              </w:rPr>
              <w:t xml:space="preserve">tütarlaps </w:t>
            </w:r>
            <w:r w:rsidRPr="00FB4EFA">
              <w:rPr>
                <w:b/>
                <w:sz w:val="18"/>
                <w:szCs w:val="18"/>
                <w:lang w:val="de-DE"/>
              </w:rPr>
              <w:t>204</w:t>
            </w:r>
          </w:p>
        </w:tc>
        <w:tc>
          <w:tcPr>
            <w:tcW w:w="3485" w:type="dxa"/>
            <w:tcBorders>
              <w:top w:val="single" w:sz="4" w:space="0" w:color="auto"/>
              <w:left w:val="single" w:sz="12" w:space="0" w:color="auto"/>
              <w:bottom w:val="single" w:sz="4" w:space="0" w:color="auto"/>
            </w:tcBorders>
          </w:tcPr>
          <w:p w14:paraId="55CB782A"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taat </w:t>
            </w:r>
            <w:r w:rsidRPr="00FB4EFA">
              <w:rPr>
                <w:b/>
                <w:sz w:val="18"/>
                <w:szCs w:val="18"/>
                <w:lang w:val="de-DE"/>
              </w:rPr>
              <w:t>292</w:t>
            </w:r>
          </w:p>
        </w:tc>
      </w:tr>
      <w:tr w:rsidR="00FB4EFA" w:rsidRPr="00FB4EFA" w14:paraId="6375238A" w14:textId="77777777" w:rsidTr="00545033">
        <w:trPr>
          <w:jc w:val="center"/>
        </w:trPr>
        <w:tc>
          <w:tcPr>
            <w:tcW w:w="3419" w:type="dxa"/>
            <w:tcBorders>
              <w:right w:val="single" w:sz="12" w:space="0" w:color="auto"/>
            </w:tcBorders>
          </w:tcPr>
          <w:p w14:paraId="64C81AA8"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õde </w:t>
            </w:r>
            <w:r w:rsidRPr="00FB4EFA">
              <w:rPr>
                <w:b/>
                <w:sz w:val="18"/>
                <w:szCs w:val="18"/>
                <w:lang w:val="de-DE"/>
              </w:rPr>
              <w:t>159</w:t>
            </w:r>
          </w:p>
        </w:tc>
        <w:tc>
          <w:tcPr>
            <w:tcW w:w="3485" w:type="dxa"/>
            <w:tcBorders>
              <w:top w:val="single" w:sz="4" w:space="0" w:color="auto"/>
              <w:left w:val="single" w:sz="12" w:space="0" w:color="auto"/>
              <w:bottom w:val="single" w:sz="4" w:space="0" w:color="auto"/>
            </w:tcBorders>
          </w:tcPr>
          <w:p w14:paraId="6BB39557"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vanaisa </w:t>
            </w:r>
            <w:r w:rsidRPr="00FB4EFA">
              <w:rPr>
                <w:b/>
                <w:sz w:val="18"/>
                <w:szCs w:val="18"/>
                <w:lang w:val="de-DE"/>
              </w:rPr>
              <w:t>253</w:t>
            </w:r>
          </w:p>
        </w:tc>
      </w:tr>
      <w:tr w:rsidR="00FB4EFA" w:rsidRPr="00FB4EFA" w14:paraId="6A2839C1" w14:textId="77777777" w:rsidTr="00545033">
        <w:trPr>
          <w:jc w:val="center"/>
        </w:trPr>
        <w:tc>
          <w:tcPr>
            <w:tcW w:w="3419" w:type="dxa"/>
            <w:tcBorders>
              <w:right w:val="single" w:sz="12" w:space="0" w:color="auto"/>
            </w:tcBorders>
          </w:tcPr>
          <w:p w14:paraId="1FE14591"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daam </w:t>
            </w:r>
            <w:r w:rsidRPr="00FB4EFA">
              <w:rPr>
                <w:b/>
                <w:sz w:val="18"/>
                <w:szCs w:val="18"/>
                <w:lang w:val="de-DE"/>
              </w:rPr>
              <w:t>129</w:t>
            </w:r>
          </w:p>
        </w:tc>
        <w:tc>
          <w:tcPr>
            <w:tcW w:w="3485" w:type="dxa"/>
            <w:tcBorders>
              <w:top w:val="single" w:sz="4" w:space="0" w:color="auto"/>
              <w:left w:val="single" w:sz="12" w:space="0" w:color="auto"/>
              <w:bottom w:val="single" w:sz="4" w:space="0" w:color="auto"/>
            </w:tcBorders>
          </w:tcPr>
          <w:p w14:paraId="20369CC0"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nooruk </w:t>
            </w:r>
            <w:r w:rsidRPr="00FB4EFA">
              <w:rPr>
                <w:b/>
                <w:sz w:val="18"/>
                <w:szCs w:val="18"/>
                <w:lang w:val="de-DE"/>
              </w:rPr>
              <w:t>205</w:t>
            </w:r>
          </w:p>
        </w:tc>
      </w:tr>
      <w:tr w:rsidR="00FB4EFA" w:rsidRPr="00FB4EFA" w14:paraId="34871D4B" w14:textId="77777777" w:rsidTr="00545033">
        <w:trPr>
          <w:jc w:val="center"/>
        </w:trPr>
        <w:tc>
          <w:tcPr>
            <w:tcW w:w="3419" w:type="dxa"/>
            <w:tcBorders>
              <w:right w:val="single" w:sz="12" w:space="0" w:color="auto"/>
            </w:tcBorders>
          </w:tcPr>
          <w:p w14:paraId="243C904F" w14:textId="77777777" w:rsidR="00A96E85" w:rsidRPr="00FB4EFA" w:rsidRDefault="00A96E85" w:rsidP="00AC1192">
            <w:pPr>
              <w:tabs>
                <w:tab w:val="left" w:pos="2052"/>
              </w:tabs>
              <w:suppressAutoHyphens/>
              <w:spacing w:line="240" w:lineRule="auto"/>
              <w:rPr>
                <w:b/>
                <w:sz w:val="18"/>
                <w:szCs w:val="18"/>
                <w:lang w:val="de-DE"/>
              </w:rPr>
            </w:pPr>
            <w:r w:rsidRPr="00FB4EFA">
              <w:rPr>
                <w:bCs/>
                <w:sz w:val="18"/>
                <w:szCs w:val="18"/>
                <w:lang w:val="de-DE"/>
              </w:rPr>
              <w:t>∑</w:t>
            </w:r>
            <w:r w:rsidRPr="00FB4EFA">
              <w:rPr>
                <w:b/>
                <w:sz w:val="18"/>
                <w:szCs w:val="18"/>
                <w:lang w:val="de-DE"/>
              </w:rPr>
              <w:t xml:space="preserve"> 7858 (38,9 %)</w:t>
            </w:r>
          </w:p>
        </w:tc>
        <w:tc>
          <w:tcPr>
            <w:tcW w:w="3485" w:type="dxa"/>
            <w:tcBorders>
              <w:top w:val="single" w:sz="4" w:space="0" w:color="auto"/>
              <w:left w:val="single" w:sz="12" w:space="0" w:color="auto"/>
              <w:bottom w:val="nil"/>
            </w:tcBorders>
          </w:tcPr>
          <w:p w14:paraId="4278EF74" w14:textId="77777777" w:rsidR="00A96E85" w:rsidRPr="00FB4EFA" w:rsidRDefault="00A96E85" w:rsidP="00AC1192">
            <w:pPr>
              <w:suppressAutoHyphens/>
              <w:spacing w:line="240" w:lineRule="auto"/>
              <w:rPr>
                <w:sz w:val="18"/>
                <w:szCs w:val="18"/>
                <w:lang w:val="de-DE"/>
              </w:rPr>
            </w:pPr>
            <w:r w:rsidRPr="00FB4EFA">
              <w:rPr>
                <w:bCs/>
                <w:sz w:val="18"/>
                <w:szCs w:val="18"/>
                <w:lang w:val="de-DE"/>
              </w:rPr>
              <w:t>∑</w:t>
            </w:r>
            <w:r w:rsidRPr="00FB4EFA">
              <w:rPr>
                <w:b/>
                <w:sz w:val="18"/>
                <w:szCs w:val="18"/>
                <w:lang w:val="de-DE"/>
              </w:rPr>
              <w:t xml:space="preserve"> 12352 (61,1 %)</w:t>
            </w:r>
          </w:p>
        </w:tc>
      </w:tr>
    </w:tbl>
    <w:p w14:paraId="2E866685" w14:textId="77777777" w:rsidR="006D22BD" w:rsidRPr="00FB4EFA" w:rsidRDefault="006D22BD" w:rsidP="00AC1192">
      <w:pPr>
        <w:suppressAutoHyphens/>
        <w:spacing w:before="120" w:after="240" w:line="240" w:lineRule="auto"/>
        <w:jc w:val="center"/>
        <w:rPr>
          <w:b/>
          <w:sz w:val="18"/>
          <w:szCs w:val="18"/>
          <w:lang w:val="de-DE"/>
        </w:rPr>
      </w:pPr>
      <w:r w:rsidRPr="00FB4EFA">
        <w:rPr>
          <w:b/>
          <w:sz w:val="18"/>
          <w:szCs w:val="18"/>
          <w:lang w:val="de-DE"/>
        </w:rPr>
        <w:t>Tabelle 3</w:t>
      </w:r>
      <w:r w:rsidRPr="00FB4EFA">
        <w:rPr>
          <w:bCs/>
          <w:sz w:val="18"/>
          <w:szCs w:val="18"/>
          <w:lang w:val="de-DE"/>
        </w:rPr>
        <w:t>: Anzahl der 10 häufigsten Belege für beide Geschlechter, quantitativ absteigend sortiert</w:t>
      </w:r>
    </w:p>
    <w:p w14:paraId="24BCA011" w14:textId="1358BEB1" w:rsidR="00A96E85" w:rsidRPr="00FB4EFA" w:rsidRDefault="00A96E85" w:rsidP="00402EF4">
      <w:pPr>
        <w:spacing w:after="240"/>
        <w:rPr>
          <w:lang w:val="de-DE"/>
        </w:rPr>
      </w:pPr>
      <w:r w:rsidRPr="00FB4EFA">
        <w:rPr>
          <w:lang w:val="de-DE"/>
        </w:rPr>
        <w:t>Im Vergleich zur Studie von 1998 hat sich das Gewicht zugunsten der weiblichen Repräsentanz verschoben, denn dort betrug ihr prozentualer Anteil nur 27,7 % gegenüber 72,3 % bei den männlichen Bezeichnungen (Hasselblatt 1998: 152). Dass das nicht an der dazwischenliegenden gesellschaftlichen Entwicklung (!) liegen kann, sondern eher die Schwachpunkte der damaligen (Stichproben</w:t>
      </w:r>
      <w:r w:rsidR="00ED6869" w:rsidRPr="00FB4EFA">
        <w:rPr>
          <w:lang w:val="de-DE"/>
        </w:rPr>
        <w:t>-</w:t>
      </w:r>
      <w:r w:rsidRPr="00FB4EFA">
        <w:rPr>
          <w:lang w:val="de-DE"/>
        </w:rPr>
        <w:t xml:space="preserve">)Untersuchung aufzeigt (damals 638 gegenüber jetzt 20210 Belegen!), </w:t>
      </w:r>
      <w:r w:rsidR="00820F29" w:rsidRPr="00FB4EFA">
        <w:rPr>
          <w:lang w:val="de-DE"/>
        </w:rPr>
        <w:t>lag</w:t>
      </w:r>
      <w:r w:rsidRPr="00FB4EFA">
        <w:rPr>
          <w:lang w:val="de-DE"/>
        </w:rPr>
        <w:t xml:space="preserve"> nahe, kann aber mithilfe einer weiteren Tabelle, die sich an der früheren Untersuchung orientiert, gezeigt werden. Damals wurden die zehn häufigsten Lexeme angeführt und ihre Prozentzahl</w:t>
      </w:r>
      <w:r w:rsidR="00ED6869" w:rsidRPr="00FB4EFA">
        <w:rPr>
          <w:lang w:val="de-DE"/>
        </w:rPr>
        <w:t>en</w:t>
      </w:r>
      <w:r w:rsidRPr="00FB4EFA">
        <w:rPr>
          <w:lang w:val="de-DE"/>
        </w:rPr>
        <w:t xml:space="preserve"> kumuliert. In der folgenden Tabelle sind nun die zehn häufigsten Lexeme angeführt, aber zusätzlich nach Geschlecht getrennt. Außerdem ist neben der kumulierten Prozentzahl in der rechten Spalte auch der prozentuale Anteil pro Lexem vermerkt</w:t>
      </w:r>
      <w:r w:rsidR="00437F66" w:rsidRPr="00FB4EFA">
        <w:rPr>
          <w:lang w:val="de-DE"/>
        </w:rPr>
        <w:t>:</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1873"/>
        <w:gridCol w:w="2001"/>
        <w:gridCol w:w="2201"/>
      </w:tblGrid>
      <w:tr w:rsidR="00FB4EFA" w:rsidRPr="00FB4EFA" w14:paraId="173DEAC7" w14:textId="77777777" w:rsidTr="00545033">
        <w:trPr>
          <w:jc w:val="center"/>
        </w:trPr>
        <w:tc>
          <w:tcPr>
            <w:tcW w:w="0" w:type="auto"/>
            <w:tcBorders>
              <w:top w:val="nil"/>
              <w:left w:val="nil"/>
              <w:bottom w:val="single" w:sz="12" w:space="0" w:color="auto"/>
              <w:right w:val="single" w:sz="12" w:space="0" w:color="auto"/>
            </w:tcBorders>
          </w:tcPr>
          <w:p w14:paraId="2A178C00" w14:textId="77777777" w:rsidR="00A96E85" w:rsidRPr="00FB4EFA" w:rsidRDefault="00A96E85" w:rsidP="00AC1192">
            <w:pPr>
              <w:keepNext/>
              <w:suppressAutoHyphens/>
              <w:spacing w:line="240" w:lineRule="auto"/>
              <w:rPr>
                <w:rFonts w:cs="Charis SIL"/>
                <w:b/>
                <w:bCs/>
                <w:sz w:val="18"/>
                <w:szCs w:val="18"/>
                <w:lang w:val="de-DE"/>
              </w:rPr>
            </w:pPr>
            <w:r w:rsidRPr="00FB4EFA">
              <w:rPr>
                <w:rFonts w:ascii="Segoe UI Symbol" w:hAnsi="Segoe UI Symbol" w:cs="Segoe UI Symbol"/>
                <w:b/>
                <w:bCs/>
                <w:sz w:val="18"/>
                <w:szCs w:val="18"/>
                <w:lang w:val="de-DE"/>
              </w:rPr>
              <w:lastRenderedPageBreak/>
              <w:t>♀</w:t>
            </w:r>
          </w:p>
        </w:tc>
        <w:tc>
          <w:tcPr>
            <w:tcW w:w="0" w:type="auto"/>
            <w:tcBorders>
              <w:top w:val="nil"/>
              <w:left w:val="single" w:sz="12" w:space="0" w:color="auto"/>
              <w:bottom w:val="single" w:sz="12" w:space="0" w:color="auto"/>
              <w:right w:val="single" w:sz="12" w:space="0" w:color="auto"/>
            </w:tcBorders>
          </w:tcPr>
          <w:p w14:paraId="6462B516" w14:textId="77777777" w:rsidR="00A96E85" w:rsidRPr="00FB4EFA" w:rsidRDefault="00A96E85" w:rsidP="00AC1192">
            <w:pPr>
              <w:keepNext/>
              <w:suppressAutoHyphens/>
              <w:spacing w:line="240" w:lineRule="auto"/>
              <w:rPr>
                <w:rFonts w:cs="Charis SIL"/>
                <w:b/>
                <w:bCs/>
                <w:sz w:val="18"/>
                <w:szCs w:val="18"/>
                <w:lang w:val="de-DE"/>
              </w:rPr>
            </w:pPr>
            <w:r w:rsidRPr="00FB4EFA">
              <w:rPr>
                <w:rFonts w:ascii="Segoe UI Symbol" w:hAnsi="Segoe UI Symbol" w:cs="Segoe UI Symbol"/>
                <w:b/>
                <w:bCs/>
                <w:sz w:val="18"/>
                <w:szCs w:val="18"/>
                <w:lang w:val="de-DE"/>
              </w:rPr>
              <w:t>♂</w:t>
            </w:r>
          </w:p>
        </w:tc>
        <w:tc>
          <w:tcPr>
            <w:tcW w:w="0" w:type="auto"/>
            <w:tcBorders>
              <w:top w:val="nil"/>
              <w:left w:val="single" w:sz="12" w:space="0" w:color="auto"/>
              <w:bottom w:val="single" w:sz="12" w:space="0" w:color="auto"/>
              <w:right w:val="nil"/>
            </w:tcBorders>
          </w:tcPr>
          <w:p w14:paraId="39CA0C12" w14:textId="77777777" w:rsidR="00A96E85" w:rsidRPr="00FB4EFA" w:rsidRDefault="00A96E85" w:rsidP="00AC1192">
            <w:pPr>
              <w:keepNext/>
              <w:suppressAutoHyphens/>
              <w:spacing w:line="240" w:lineRule="auto"/>
              <w:rPr>
                <w:rFonts w:cs="Charis SIL"/>
                <w:b/>
                <w:bCs/>
                <w:sz w:val="18"/>
                <w:szCs w:val="18"/>
                <w:lang w:val="de-DE"/>
              </w:rPr>
            </w:pPr>
            <w:r w:rsidRPr="00FB4EFA">
              <w:rPr>
                <w:rFonts w:cs="Charis SIL"/>
                <w:b/>
                <w:bCs/>
                <w:sz w:val="18"/>
                <w:szCs w:val="18"/>
                <w:lang w:val="de-DE"/>
              </w:rPr>
              <w:t>kumulative Prozentzahl</w:t>
            </w:r>
          </w:p>
        </w:tc>
      </w:tr>
      <w:tr w:rsidR="00FB4EFA" w:rsidRPr="00FB4EFA" w14:paraId="2B18F8B3" w14:textId="77777777" w:rsidTr="00545033">
        <w:trPr>
          <w:jc w:val="center"/>
        </w:trPr>
        <w:tc>
          <w:tcPr>
            <w:tcW w:w="0" w:type="auto"/>
            <w:tcBorders>
              <w:top w:val="single" w:sz="12" w:space="0" w:color="auto"/>
              <w:left w:val="nil"/>
              <w:right w:val="single" w:sz="12" w:space="0" w:color="auto"/>
            </w:tcBorders>
          </w:tcPr>
          <w:p w14:paraId="3D649EC6" w14:textId="77777777" w:rsidR="00A96E85" w:rsidRPr="00FB4EFA" w:rsidRDefault="00A96E85" w:rsidP="00545033">
            <w:pPr>
              <w:keepNext/>
              <w:spacing w:line="240" w:lineRule="auto"/>
              <w:rPr>
                <w:sz w:val="18"/>
                <w:szCs w:val="18"/>
                <w:lang w:val="de-DE"/>
              </w:rPr>
            </w:pPr>
          </w:p>
        </w:tc>
        <w:tc>
          <w:tcPr>
            <w:tcW w:w="0" w:type="auto"/>
            <w:tcBorders>
              <w:top w:val="single" w:sz="12" w:space="0" w:color="auto"/>
              <w:left w:val="single" w:sz="12" w:space="0" w:color="auto"/>
              <w:bottom w:val="single" w:sz="4" w:space="0" w:color="auto"/>
              <w:right w:val="single" w:sz="12" w:space="0" w:color="auto"/>
            </w:tcBorders>
          </w:tcPr>
          <w:p w14:paraId="582BDA89"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mees </w:t>
            </w:r>
            <w:r w:rsidRPr="00FB4EFA">
              <w:rPr>
                <w:b/>
                <w:sz w:val="18"/>
                <w:szCs w:val="18"/>
                <w:lang w:val="de-DE"/>
              </w:rPr>
              <w:t>4983 (24,7 %)</w:t>
            </w:r>
          </w:p>
        </w:tc>
        <w:tc>
          <w:tcPr>
            <w:tcW w:w="0" w:type="auto"/>
            <w:tcBorders>
              <w:top w:val="single" w:sz="12" w:space="0" w:color="auto"/>
              <w:left w:val="single" w:sz="12" w:space="0" w:color="auto"/>
              <w:right w:val="nil"/>
            </w:tcBorders>
          </w:tcPr>
          <w:p w14:paraId="256B93FC"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24,7</w:t>
            </w:r>
          </w:p>
        </w:tc>
      </w:tr>
      <w:tr w:rsidR="00FB4EFA" w:rsidRPr="00FB4EFA" w14:paraId="5C645AD4" w14:textId="77777777" w:rsidTr="00545033">
        <w:trPr>
          <w:jc w:val="center"/>
        </w:trPr>
        <w:tc>
          <w:tcPr>
            <w:tcW w:w="0" w:type="auto"/>
            <w:tcBorders>
              <w:left w:val="nil"/>
              <w:right w:val="single" w:sz="12" w:space="0" w:color="auto"/>
            </w:tcBorders>
          </w:tcPr>
          <w:p w14:paraId="7809AFCF" w14:textId="77777777" w:rsidR="00A96E85" w:rsidRPr="00FB4EFA" w:rsidRDefault="00A96E85" w:rsidP="00545033">
            <w:pPr>
              <w:keepNext/>
              <w:spacing w:line="240" w:lineRule="auto"/>
              <w:rPr>
                <w:sz w:val="18"/>
                <w:szCs w:val="18"/>
                <w:lang w:val="de-DE"/>
              </w:rPr>
            </w:pPr>
          </w:p>
        </w:tc>
        <w:tc>
          <w:tcPr>
            <w:tcW w:w="0" w:type="auto"/>
            <w:tcBorders>
              <w:top w:val="single" w:sz="4" w:space="0" w:color="auto"/>
              <w:left w:val="single" w:sz="12" w:space="0" w:color="auto"/>
              <w:bottom w:val="single" w:sz="4" w:space="0" w:color="auto"/>
              <w:right w:val="single" w:sz="12" w:space="0" w:color="auto"/>
            </w:tcBorders>
          </w:tcPr>
          <w:p w14:paraId="26AA8EAA"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poiss </w:t>
            </w:r>
            <w:r w:rsidRPr="00FB4EFA">
              <w:rPr>
                <w:b/>
                <w:sz w:val="18"/>
                <w:szCs w:val="18"/>
                <w:lang w:val="de-DE"/>
              </w:rPr>
              <w:t>3188 (15,8 %)</w:t>
            </w:r>
          </w:p>
        </w:tc>
        <w:tc>
          <w:tcPr>
            <w:tcW w:w="0" w:type="auto"/>
            <w:tcBorders>
              <w:left w:val="single" w:sz="12" w:space="0" w:color="auto"/>
              <w:right w:val="nil"/>
            </w:tcBorders>
          </w:tcPr>
          <w:p w14:paraId="782FC9F9"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40,5</w:t>
            </w:r>
          </w:p>
        </w:tc>
      </w:tr>
      <w:tr w:rsidR="00FB4EFA" w:rsidRPr="00FB4EFA" w14:paraId="17AF4922" w14:textId="77777777" w:rsidTr="00545033">
        <w:trPr>
          <w:jc w:val="center"/>
        </w:trPr>
        <w:tc>
          <w:tcPr>
            <w:tcW w:w="0" w:type="auto"/>
            <w:tcBorders>
              <w:left w:val="nil"/>
              <w:right w:val="single" w:sz="12" w:space="0" w:color="auto"/>
            </w:tcBorders>
          </w:tcPr>
          <w:p w14:paraId="10FD5D25"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naine </w:t>
            </w:r>
            <w:r w:rsidRPr="00FB4EFA">
              <w:rPr>
                <w:b/>
                <w:sz w:val="18"/>
                <w:szCs w:val="18"/>
                <w:lang w:val="de-DE"/>
              </w:rPr>
              <w:t>2268 (11,2 %)</w:t>
            </w:r>
          </w:p>
        </w:tc>
        <w:tc>
          <w:tcPr>
            <w:tcW w:w="0" w:type="auto"/>
            <w:tcBorders>
              <w:top w:val="single" w:sz="4" w:space="0" w:color="auto"/>
              <w:left w:val="single" w:sz="12" w:space="0" w:color="auto"/>
              <w:bottom w:val="single" w:sz="4" w:space="0" w:color="auto"/>
              <w:right w:val="single" w:sz="12" w:space="0" w:color="auto"/>
            </w:tcBorders>
          </w:tcPr>
          <w:p w14:paraId="62EB1E05" w14:textId="77777777" w:rsidR="00A96E85" w:rsidRPr="00FB4EFA" w:rsidRDefault="00A96E85" w:rsidP="00545033">
            <w:pPr>
              <w:keepNext/>
              <w:spacing w:line="240" w:lineRule="auto"/>
              <w:rPr>
                <w:sz w:val="18"/>
                <w:szCs w:val="18"/>
                <w:lang w:val="de-DE"/>
              </w:rPr>
            </w:pPr>
          </w:p>
        </w:tc>
        <w:tc>
          <w:tcPr>
            <w:tcW w:w="0" w:type="auto"/>
            <w:tcBorders>
              <w:left w:val="single" w:sz="12" w:space="0" w:color="auto"/>
              <w:right w:val="nil"/>
            </w:tcBorders>
          </w:tcPr>
          <w:p w14:paraId="70EB8DE4"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51,7</w:t>
            </w:r>
          </w:p>
        </w:tc>
      </w:tr>
      <w:tr w:rsidR="00FB4EFA" w:rsidRPr="00FB4EFA" w14:paraId="01362BC4" w14:textId="77777777" w:rsidTr="00545033">
        <w:trPr>
          <w:jc w:val="center"/>
        </w:trPr>
        <w:tc>
          <w:tcPr>
            <w:tcW w:w="0" w:type="auto"/>
            <w:tcBorders>
              <w:left w:val="nil"/>
              <w:right w:val="single" w:sz="12" w:space="0" w:color="auto"/>
            </w:tcBorders>
          </w:tcPr>
          <w:p w14:paraId="3A956702"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tüdruk </w:t>
            </w:r>
            <w:r w:rsidRPr="00FB4EFA">
              <w:rPr>
                <w:b/>
                <w:sz w:val="18"/>
                <w:szCs w:val="18"/>
                <w:lang w:val="de-DE"/>
              </w:rPr>
              <w:t>1982 (9,8 %)</w:t>
            </w:r>
          </w:p>
        </w:tc>
        <w:tc>
          <w:tcPr>
            <w:tcW w:w="0" w:type="auto"/>
            <w:tcBorders>
              <w:top w:val="single" w:sz="4" w:space="0" w:color="auto"/>
              <w:left w:val="single" w:sz="12" w:space="0" w:color="auto"/>
              <w:bottom w:val="single" w:sz="4" w:space="0" w:color="auto"/>
              <w:right w:val="single" w:sz="12" w:space="0" w:color="auto"/>
            </w:tcBorders>
          </w:tcPr>
          <w:p w14:paraId="109D8069" w14:textId="77777777" w:rsidR="00A96E85" w:rsidRPr="00FB4EFA" w:rsidRDefault="00A96E85" w:rsidP="00545033">
            <w:pPr>
              <w:keepNext/>
              <w:spacing w:line="240" w:lineRule="auto"/>
              <w:rPr>
                <w:sz w:val="18"/>
                <w:szCs w:val="18"/>
                <w:lang w:val="de-DE"/>
              </w:rPr>
            </w:pPr>
          </w:p>
        </w:tc>
        <w:tc>
          <w:tcPr>
            <w:tcW w:w="0" w:type="auto"/>
            <w:tcBorders>
              <w:left w:val="single" w:sz="12" w:space="0" w:color="auto"/>
              <w:right w:val="nil"/>
            </w:tcBorders>
          </w:tcPr>
          <w:p w14:paraId="0553F6F8"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61,5</w:t>
            </w:r>
          </w:p>
        </w:tc>
      </w:tr>
      <w:tr w:rsidR="00FB4EFA" w:rsidRPr="00FB4EFA" w14:paraId="65FA6838" w14:textId="77777777" w:rsidTr="00545033">
        <w:trPr>
          <w:jc w:val="center"/>
        </w:trPr>
        <w:tc>
          <w:tcPr>
            <w:tcW w:w="0" w:type="auto"/>
            <w:tcBorders>
              <w:left w:val="nil"/>
              <w:right w:val="single" w:sz="12" w:space="0" w:color="auto"/>
            </w:tcBorders>
          </w:tcPr>
          <w:p w14:paraId="16399D00"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ema </w:t>
            </w:r>
            <w:r w:rsidRPr="00FB4EFA">
              <w:rPr>
                <w:b/>
                <w:sz w:val="18"/>
                <w:szCs w:val="18"/>
                <w:lang w:val="de-DE"/>
              </w:rPr>
              <w:t>1638 (8,1 %)</w:t>
            </w:r>
          </w:p>
        </w:tc>
        <w:tc>
          <w:tcPr>
            <w:tcW w:w="0" w:type="auto"/>
            <w:tcBorders>
              <w:top w:val="single" w:sz="4" w:space="0" w:color="auto"/>
              <w:left w:val="single" w:sz="12" w:space="0" w:color="auto"/>
              <w:bottom w:val="single" w:sz="4" w:space="0" w:color="auto"/>
              <w:right w:val="single" w:sz="12" w:space="0" w:color="auto"/>
            </w:tcBorders>
          </w:tcPr>
          <w:p w14:paraId="3B48D594" w14:textId="77777777" w:rsidR="00A96E85" w:rsidRPr="00FB4EFA" w:rsidRDefault="00A96E85" w:rsidP="00545033">
            <w:pPr>
              <w:keepNext/>
              <w:spacing w:line="240" w:lineRule="auto"/>
              <w:rPr>
                <w:sz w:val="18"/>
                <w:szCs w:val="18"/>
                <w:lang w:val="de-DE"/>
              </w:rPr>
            </w:pPr>
          </w:p>
        </w:tc>
        <w:tc>
          <w:tcPr>
            <w:tcW w:w="0" w:type="auto"/>
            <w:tcBorders>
              <w:left w:val="single" w:sz="12" w:space="0" w:color="auto"/>
              <w:right w:val="nil"/>
            </w:tcBorders>
          </w:tcPr>
          <w:p w14:paraId="7436662B"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69,6</w:t>
            </w:r>
          </w:p>
        </w:tc>
      </w:tr>
      <w:tr w:rsidR="00FB4EFA" w:rsidRPr="00FB4EFA" w14:paraId="2F3B8DBA" w14:textId="77777777" w:rsidTr="00545033">
        <w:trPr>
          <w:jc w:val="center"/>
        </w:trPr>
        <w:tc>
          <w:tcPr>
            <w:tcW w:w="0" w:type="auto"/>
            <w:tcBorders>
              <w:left w:val="nil"/>
              <w:right w:val="single" w:sz="12" w:space="0" w:color="auto"/>
            </w:tcBorders>
          </w:tcPr>
          <w:p w14:paraId="527D1C10" w14:textId="77777777" w:rsidR="00A96E85" w:rsidRPr="00FB4EFA" w:rsidRDefault="00A96E85" w:rsidP="00545033">
            <w:pPr>
              <w:keepNext/>
              <w:spacing w:line="240" w:lineRule="auto"/>
              <w:rPr>
                <w:sz w:val="18"/>
                <w:szCs w:val="18"/>
                <w:lang w:val="de-DE"/>
              </w:rPr>
            </w:pPr>
          </w:p>
        </w:tc>
        <w:tc>
          <w:tcPr>
            <w:tcW w:w="0" w:type="auto"/>
            <w:tcBorders>
              <w:top w:val="single" w:sz="4" w:space="0" w:color="auto"/>
              <w:left w:val="single" w:sz="12" w:space="0" w:color="auto"/>
              <w:bottom w:val="single" w:sz="4" w:space="0" w:color="auto"/>
              <w:right w:val="single" w:sz="12" w:space="0" w:color="auto"/>
            </w:tcBorders>
          </w:tcPr>
          <w:p w14:paraId="24AA64FC"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isa </w:t>
            </w:r>
            <w:r w:rsidRPr="00FB4EFA">
              <w:rPr>
                <w:b/>
                <w:sz w:val="18"/>
                <w:szCs w:val="18"/>
                <w:lang w:val="de-DE"/>
              </w:rPr>
              <w:t>1396 (6,9 %)</w:t>
            </w:r>
          </w:p>
        </w:tc>
        <w:tc>
          <w:tcPr>
            <w:tcW w:w="0" w:type="auto"/>
            <w:tcBorders>
              <w:left w:val="single" w:sz="12" w:space="0" w:color="auto"/>
              <w:right w:val="nil"/>
            </w:tcBorders>
          </w:tcPr>
          <w:p w14:paraId="37F0E2DA"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76,5</w:t>
            </w:r>
          </w:p>
        </w:tc>
      </w:tr>
      <w:tr w:rsidR="00FB4EFA" w:rsidRPr="00FB4EFA" w14:paraId="6F7B6DCE" w14:textId="77777777" w:rsidTr="00545033">
        <w:trPr>
          <w:jc w:val="center"/>
        </w:trPr>
        <w:tc>
          <w:tcPr>
            <w:tcW w:w="0" w:type="auto"/>
            <w:tcBorders>
              <w:left w:val="nil"/>
              <w:right w:val="single" w:sz="12" w:space="0" w:color="auto"/>
            </w:tcBorders>
          </w:tcPr>
          <w:p w14:paraId="1AB8EBD1" w14:textId="77777777" w:rsidR="00A96E85" w:rsidRPr="00FB4EFA" w:rsidRDefault="00A96E85" w:rsidP="00545033">
            <w:pPr>
              <w:keepNext/>
              <w:spacing w:line="240" w:lineRule="auto"/>
              <w:rPr>
                <w:sz w:val="18"/>
                <w:szCs w:val="18"/>
                <w:lang w:val="de-DE"/>
              </w:rPr>
            </w:pPr>
          </w:p>
        </w:tc>
        <w:tc>
          <w:tcPr>
            <w:tcW w:w="0" w:type="auto"/>
            <w:tcBorders>
              <w:top w:val="single" w:sz="4" w:space="0" w:color="auto"/>
              <w:left w:val="single" w:sz="12" w:space="0" w:color="auto"/>
              <w:bottom w:val="single" w:sz="4" w:space="0" w:color="auto"/>
              <w:right w:val="single" w:sz="12" w:space="0" w:color="auto"/>
            </w:tcBorders>
          </w:tcPr>
          <w:p w14:paraId="433B8332"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poeg </w:t>
            </w:r>
            <w:r w:rsidRPr="00FB4EFA">
              <w:rPr>
                <w:b/>
                <w:sz w:val="18"/>
                <w:szCs w:val="18"/>
                <w:lang w:val="de-DE"/>
              </w:rPr>
              <w:t>703 (3,5 %)</w:t>
            </w:r>
          </w:p>
        </w:tc>
        <w:tc>
          <w:tcPr>
            <w:tcW w:w="0" w:type="auto"/>
            <w:tcBorders>
              <w:left w:val="single" w:sz="12" w:space="0" w:color="auto"/>
              <w:right w:val="nil"/>
            </w:tcBorders>
          </w:tcPr>
          <w:p w14:paraId="5D24FFEF" w14:textId="68DE9788" w:rsidR="00A96E85" w:rsidRPr="00FB4EFA" w:rsidRDefault="00A96E85" w:rsidP="00AC1192">
            <w:pPr>
              <w:keepNext/>
              <w:suppressAutoHyphens/>
              <w:spacing w:line="240" w:lineRule="auto"/>
              <w:rPr>
                <w:b/>
                <w:sz w:val="18"/>
                <w:szCs w:val="18"/>
                <w:lang w:val="de-DE"/>
              </w:rPr>
            </w:pPr>
            <w:r w:rsidRPr="00FB4EFA">
              <w:rPr>
                <w:b/>
                <w:sz w:val="18"/>
                <w:szCs w:val="18"/>
                <w:lang w:val="de-DE"/>
              </w:rPr>
              <w:t>80</w:t>
            </w:r>
            <w:r w:rsidR="00ED6869" w:rsidRPr="00FB4EFA">
              <w:rPr>
                <w:b/>
                <w:sz w:val="18"/>
                <w:szCs w:val="18"/>
                <w:lang w:val="de-DE"/>
              </w:rPr>
              <w:t>,0</w:t>
            </w:r>
          </w:p>
        </w:tc>
      </w:tr>
      <w:tr w:rsidR="00FB4EFA" w:rsidRPr="00FB4EFA" w14:paraId="44504F9F" w14:textId="77777777" w:rsidTr="00545033">
        <w:trPr>
          <w:jc w:val="center"/>
        </w:trPr>
        <w:tc>
          <w:tcPr>
            <w:tcW w:w="0" w:type="auto"/>
            <w:tcBorders>
              <w:left w:val="nil"/>
              <w:right w:val="single" w:sz="12" w:space="0" w:color="auto"/>
            </w:tcBorders>
          </w:tcPr>
          <w:p w14:paraId="6D306CF2" w14:textId="77777777" w:rsidR="00A96E85" w:rsidRPr="00FB4EFA" w:rsidRDefault="00A96E85" w:rsidP="00AC1192">
            <w:pPr>
              <w:keepNext/>
              <w:suppressAutoHyphens/>
              <w:spacing w:line="240" w:lineRule="auto"/>
              <w:rPr>
                <w:b/>
                <w:sz w:val="18"/>
                <w:szCs w:val="18"/>
                <w:lang w:val="de-DE"/>
              </w:rPr>
            </w:pPr>
          </w:p>
        </w:tc>
        <w:tc>
          <w:tcPr>
            <w:tcW w:w="0" w:type="auto"/>
            <w:tcBorders>
              <w:top w:val="single" w:sz="4" w:space="0" w:color="auto"/>
              <w:left w:val="single" w:sz="12" w:space="0" w:color="auto"/>
              <w:bottom w:val="single" w:sz="4" w:space="0" w:color="auto"/>
              <w:right w:val="single" w:sz="12" w:space="0" w:color="auto"/>
            </w:tcBorders>
          </w:tcPr>
          <w:p w14:paraId="75D07C84"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noormees </w:t>
            </w:r>
            <w:r w:rsidRPr="00FB4EFA">
              <w:rPr>
                <w:b/>
                <w:sz w:val="18"/>
                <w:szCs w:val="18"/>
                <w:lang w:val="de-DE"/>
              </w:rPr>
              <w:t>533 (2,6 %)</w:t>
            </w:r>
          </w:p>
        </w:tc>
        <w:tc>
          <w:tcPr>
            <w:tcW w:w="0" w:type="auto"/>
            <w:tcBorders>
              <w:left w:val="single" w:sz="12" w:space="0" w:color="auto"/>
              <w:right w:val="nil"/>
            </w:tcBorders>
          </w:tcPr>
          <w:p w14:paraId="5A45D6DA"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82,6</w:t>
            </w:r>
          </w:p>
        </w:tc>
      </w:tr>
      <w:tr w:rsidR="00FB4EFA" w:rsidRPr="00FB4EFA" w14:paraId="4800FE09" w14:textId="77777777" w:rsidTr="00545033">
        <w:trPr>
          <w:jc w:val="center"/>
        </w:trPr>
        <w:tc>
          <w:tcPr>
            <w:tcW w:w="0" w:type="auto"/>
            <w:tcBorders>
              <w:left w:val="nil"/>
              <w:right w:val="single" w:sz="12" w:space="0" w:color="auto"/>
            </w:tcBorders>
          </w:tcPr>
          <w:p w14:paraId="580B6C37" w14:textId="77777777" w:rsidR="00A96E85" w:rsidRPr="00FB4EFA" w:rsidRDefault="00A96E85" w:rsidP="00545033">
            <w:pPr>
              <w:keepNext/>
              <w:spacing w:line="240" w:lineRule="auto"/>
              <w:rPr>
                <w:sz w:val="18"/>
                <w:szCs w:val="18"/>
                <w:lang w:val="de-DE"/>
              </w:rPr>
            </w:pPr>
          </w:p>
        </w:tc>
        <w:tc>
          <w:tcPr>
            <w:tcW w:w="0" w:type="auto"/>
            <w:tcBorders>
              <w:top w:val="single" w:sz="4" w:space="0" w:color="auto"/>
              <w:left w:val="single" w:sz="12" w:space="0" w:color="auto"/>
              <w:bottom w:val="single" w:sz="4" w:space="0" w:color="auto"/>
              <w:right w:val="single" w:sz="12" w:space="0" w:color="auto"/>
            </w:tcBorders>
          </w:tcPr>
          <w:p w14:paraId="49435192"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sõber </w:t>
            </w:r>
            <w:r w:rsidRPr="00FB4EFA">
              <w:rPr>
                <w:b/>
                <w:sz w:val="18"/>
                <w:szCs w:val="18"/>
                <w:lang w:val="de-DE"/>
              </w:rPr>
              <w:t>451 (2,2 %)</w:t>
            </w:r>
          </w:p>
        </w:tc>
        <w:tc>
          <w:tcPr>
            <w:tcW w:w="0" w:type="auto"/>
            <w:tcBorders>
              <w:left w:val="single" w:sz="12" w:space="0" w:color="auto"/>
              <w:right w:val="nil"/>
            </w:tcBorders>
          </w:tcPr>
          <w:p w14:paraId="369D34D7"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84,8</w:t>
            </w:r>
          </w:p>
        </w:tc>
      </w:tr>
      <w:tr w:rsidR="00FB4EFA" w:rsidRPr="00FB4EFA" w14:paraId="7F2C531E" w14:textId="77777777" w:rsidTr="00545033">
        <w:trPr>
          <w:jc w:val="center"/>
        </w:trPr>
        <w:tc>
          <w:tcPr>
            <w:tcW w:w="0" w:type="auto"/>
            <w:tcBorders>
              <w:left w:val="nil"/>
              <w:right w:val="single" w:sz="12" w:space="0" w:color="auto"/>
            </w:tcBorders>
          </w:tcPr>
          <w:p w14:paraId="691E889E"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neiu </w:t>
            </w:r>
            <w:r w:rsidRPr="00FB4EFA">
              <w:rPr>
                <w:b/>
                <w:sz w:val="18"/>
                <w:szCs w:val="18"/>
                <w:lang w:val="de-DE"/>
              </w:rPr>
              <w:t>431 (2,1 %)</w:t>
            </w:r>
          </w:p>
        </w:tc>
        <w:tc>
          <w:tcPr>
            <w:tcW w:w="0" w:type="auto"/>
            <w:tcBorders>
              <w:top w:val="single" w:sz="4" w:space="0" w:color="auto"/>
              <w:left w:val="single" w:sz="12" w:space="0" w:color="auto"/>
              <w:bottom w:val="single" w:sz="4" w:space="0" w:color="auto"/>
              <w:right w:val="single" w:sz="12" w:space="0" w:color="auto"/>
            </w:tcBorders>
          </w:tcPr>
          <w:p w14:paraId="536BFE13" w14:textId="77777777" w:rsidR="00A96E85" w:rsidRPr="00FB4EFA" w:rsidRDefault="00A96E85" w:rsidP="00545033">
            <w:pPr>
              <w:keepNext/>
              <w:spacing w:line="240" w:lineRule="auto"/>
              <w:rPr>
                <w:sz w:val="18"/>
                <w:szCs w:val="18"/>
                <w:lang w:val="de-DE"/>
              </w:rPr>
            </w:pPr>
          </w:p>
        </w:tc>
        <w:tc>
          <w:tcPr>
            <w:tcW w:w="0" w:type="auto"/>
            <w:tcBorders>
              <w:left w:val="single" w:sz="12" w:space="0" w:color="auto"/>
              <w:right w:val="nil"/>
            </w:tcBorders>
          </w:tcPr>
          <w:p w14:paraId="70FEEF39" w14:textId="77777777" w:rsidR="00A96E85" w:rsidRPr="00FB4EFA" w:rsidRDefault="00A96E85" w:rsidP="00AC1192">
            <w:pPr>
              <w:keepNext/>
              <w:suppressAutoHyphens/>
              <w:spacing w:line="240" w:lineRule="auto"/>
              <w:rPr>
                <w:b/>
                <w:sz w:val="18"/>
                <w:szCs w:val="18"/>
                <w:lang w:val="de-DE"/>
              </w:rPr>
            </w:pPr>
            <w:r w:rsidRPr="00FB4EFA">
              <w:rPr>
                <w:b/>
                <w:sz w:val="18"/>
                <w:szCs w:val="18"/>
                <w:lang w:val="de-DE"/>
              </w:rPr>
              <w:t>86,9</w:t>
            </w:r>
          </w:p>
        </w:tc>
      </w:tr>
      <w:tr w:rsidR="00FB4EFA" w:rsidRPr="00FB4EFA" w14:paraId="0E0F4DE2" w14:textId="77777777" w:rsidTr="00545033">
        <w:trPr>
          <w:jc w:val="center"/>
        </w:trPr>
        <w:tc>
          <w:tcPr>
            <w:tcW w:w="0" w:type="auto"/>
            <w:tcBorders>
              <w:left w:val="nil"/>
              <w:bottom w:val="nil"/>
              <w:right w:val="single" w:sz="12" w:space="0" w:color="auto"/>
            </w:tcBorders>
          </w:tcPr>
          <w:p w14:paraId="627D9803" w14:textId="77777777" w:rsidR="00A96E85" w:rsidRPr="00FB4EFA" w:rsidRDefault="00A96E85" w:rsidP="00AC1192">
            <w:pPr>
              <w:tabs>
                <w:tab w:val="left" w:pos="2052"/>
              </w:tabs>
              <w:suppressAutoHyphens/>
              <w:spacing w:line="240" w:lineRule="auto"/>
              <w:rPr>
                <w:b/>
                <w:sz w:val="18"/>
                <w:szCs w:val="18"/>
                <w:lang w:val="de-DE"/>
              </w:rPr>
            </w:pPr>
            <w:r w:rsidRPr="00FB4EFA">
              <w:rPr>
                <w:bCs/>
                <w:sz w:val="18"/>
                <w:szCs w:val="18"/>
                <w:lang w:val="de-DE"/>
              </w:rPr>
              <w:t>∑</w:t>
            </w:r>
            <w:r w:rsidRPr="00FB4EFA">
              <w:rPr>
                <w:b/>
                <w:sz w:val="18"/>
                <w:szCs w:val="18"/>
                <w:lang w:val="de-DE"/>
              </w:rPr>
              <w:t xml:space="preserve"> 31,2 %</w:t>
            </w:r>
          </w:p>
        </w:tc>
        <w:tc>
          <w:tcPr>
            <w:tcW w:w="0" w:type="auto"/>
            <w:tcBorders>
              <w:top w:val="single" w:sz="4" w:space="0" w:color="auto"/>
              <w:left w:val="single" w:sz="12" w:space="0" w:color="auto"/>
              <w:bottom w:val="nil"/>
              <w:right w:val="single" w:sz="12" w:space="0" w:color="auto"/>
            </w:tcBorders>
          </w:tcPr>
          <w:p w14:paraId="073D9D82" w14:textId="77777777" w:rsidR="00A96E85" w:rsidRPr="00FB4EFA" w:rsidRDefault="00A96E85" w:rsidP="00AC1192">
            <w:pPr>
              <w:suppressAutoHyphens/>
              <w:spacing w:line="240" w:lineRule="auto"/>
              <w:rPr>
                <w:sz w:val="18"/>
                <w:szCs w:val="18"/>
                <w:lang w:val="de-DE"/>
              </w:rPr>
            </w:pPr>
            <w:r w:rsidRPr="00FB4EFA">
              <w:rPr>
                <w:bCs/>
                <w:sz w:val="18"/>
                <w:szCs w:val="18"/>
                <w:lang w:val="de-DE"/>
              </w:rPr>
              <w:t>∑</w:t>
            </w:r>
            <w:r w:rsidRPr="00FB4EFA">
              <w:rPr>
                <w:b/>
                <w:sz w:val="18"/>
                <w:szCs w:val="18"/>
                <w:lang w:val="de-DE"/>
              </w:rPr>
              <w:t xml:space="preserve"> 55,7 %</w:t>
            </w:r>
          </w:p>
        </w:tc>
        <w:tc>
          <w:tcPr>
            <w:tcW w:w="0" w:type="auto"/>
            <w:tcBorders>
              <w:left w:val="single" w:sz="12" w:space="0" w:color="auto"/>
              <w:bottom w:val="nil"/>
              <w:right w:val="nil"/>
            </w:tcBorders>
          </w:tcPr>
          <w:p w14:paraId="61D045B6" w14:textId="77777777" w:rsidR="00A96E85" w:rsidRPr="00FB4EFA" w:rsidRDefault="00A96E85" w:rsidP="00AC1192">
            <w:pPr>
              <w:suppressAutoHyphens/>
              <w:spacing w:line="240" w:lineRule="auto"/>
              <w:rPr>
                <w:b/>
                <w:bCs/>
                <w:sz w:val="18"/>
                <w:szCs w:val="18"/>
                <w:lang w:val="de-DE"/>
              </w:rPr>
            </w:pPr>
            <w:r w:rsidRPr="00FB4EFA">
              <w:rPr>
                <w:b/>
                <w:bCs/>
                <w:sz w:val="18"/>
                <w:szCs w:val="18"/>
                <w:lang w:val="de-DE"/>
              </w:rPr>
              <w:t>86,9</w:t>
            </w:r>
          </w:p>
        </w:tc>
      </w:tr>
    </w:tbl>
    <w:p w14:paraId="3BA6971E" w14:textId="15B6AB2E" w:rsidR="009F1588" w:rsidRPr="00FB4EFA" w:rsidRDefault="009F1588" w:rsidP="00AC1192">
      <w:pPr>
        <w:suppressAutoHyphens/>
        <w:spacing w:before="120" w:after="240"/>
        <w:jc w:val="center"/>
        <w:rPr>
          <w:bCs/>
          <w:sz w:val="18"/>
          <w:szCs w:val="18"/>
          <w:lang w:val="de-DE"/>
        </w:rPr>
      </w:pPr>
      <w:r w:rsidRPr="00FB4EFA">
        <w:rPr>
          <w:b/>
          <w:sz w:val="18"/>
          <w:szCs w:val="18"/>
          <w:lang w:val="de-DE"/>
        </w:rPr>
        <w:t>Tabelle 4</w:t>
      </w:r>
      <w:r w:rsidRPr="00FB4EFA">
        <w:rPr>
          <w:bCs/>
          <w:sz w:val="18"/>
          <w:szCs w:val="18"/>
          <w:lang w:val="de-DE"/>
        </w:rPr>
        <w:t>: Die zehn häufigsten Lexeme und ihr Anteil innerhalb des Korpus</w:t>
      </w:r>
    </w:p>
    <w:p w14:paraId="2CDD8809" w14:textId="2E6B027B" w:rsidR="00A96E85" w:rsidRPr="00FB4EFA" w:rsidRDefault="00A96E85" w:rsidP="00AF0CAD">
      <w:pPr>
        <w:rPr>
          <w:lang w:val="de-DE"/>
        </w:rPr>
      </w:pPr>
      <w:r w:rsidRPr="00FB4EFA">
        <w:rPr>
          <w:lang w:val="de-DE"/>
        </w:rPr>
        <w:t xml:space="preserve">Diese Tabelle weist große Übereinstimmungen mit der Untersuchung von 1998 auf, die ersten sechs Lemmata waren dieselben, die Prozentzahlen zeigen die gleiche Tendenz, wenngleich das extreme männliche Übergewicht in der alten Studie größer war. Interessanterweise </w:t>
      </w:r>
      <w:r w:rsidR="00ED6869" w:rsidRPr="00FB4EFA">
        <w:rPr>
          <w:lang w:val="de-DE"/>
        </w:rPr>
        <w:t>wird</w:t>
      </w:r>
      <w:r w:rsidRPr="00FB4EFA">
        <w:rPr>
          <w:lang w:val="de-DE"/>
        </w:rPr>
        <w:t xml:space="preserve"> bei den ersten vier Lemmata nahezu Deckungsgleichheit erzielt: Bei </w:t>
      </w:r>
      <w:r w:rsidRPr="00FB4EFA">
        <w:rPr>
          <w:i/>
          <w:lang w:val="de-DE"/>
        </w:rPr>
        <w:t>mees</w:t>
      </w:r>
      <w:r w:rsidRPr="00FB4EFA">
        <w:rPr>
          <w:lang w:val="de-DE"/>
        </w:rPr>
        <w:t xml:space="preserve"> + </w:t>
      </w:r>
      <w:r w:rsidRPr="00FB4EFA">
        <w:rPr>
          <w:i/>
          <w:lang w:val="de-DE"/>
        </w:rPr>
        <w:t>poiss</w:t>
      </w:r>
      <w:r w:rsidRPr="00FB4EFA">
        <w:rPr>
          <w:lang w:val="de-DE"/>
        </w:rPr>
        <w:t xml:space="preserve"> + </w:t>
      </w:r>
      <w:r w:rsidRPr="00FB4EFA">
        <w:rPr>
          <w:i/>
          <w:lang w:val="de-DE"/>
        </w:rPr>
        <w:t>naine</w:t>
      </w:r>
      <w:r w:rsidRPr="00FB4EFA">
        <w:rPr>
          <w:lang w:val="de-DE"/>
        </w:rPr>
        <w:t xml:space="preserve"> + </w:t>
      </w:r>
      <w:r w:rsidRPr="00FB4EFA">
        <w:rPr>
          <w:i/>
          <w:lang w:val="de-DE"/>
        </w:rPr>
        <w:t>tüdruk</w:t>
      </w:r>
      <w:r w:rsidRPr="00FB4EFA">
        <w:rPr>
          <w:lang w:val="de-DE"/>
        </w:rPr>
        <w:t xml:space="preserve"> waren bei der Stichprobe von 1998 61,87</w:t>
      </w:r>
      <w:r w:rsidR="00ED6869" w:rsidRPr="00FB4EFA">
        <w:rPr>
          <w:lang w:val="de-DE"/>
        </w:rPr>
        <w:t xml:space="preserve"> </w:t>
      </w:r>
      <w:r w:rsidRPr="00FB4EFA">
        <w:rPr>
          <w:lang w:val="de-DE"/>
        </w:rPr>
        <w:t>% erreicht, bei der quantitativen Erhebung von 2021 61,5</w:t>
      </w:r>
      <w:r w:rsidR="00ED6869" w:rsidRPr="00FB4EFA">
        <w:rPr>
          <w:lang w:val="de-DE"/>
        </w:rPr>
        <w:t xml:space="preserve"> %</w:t>
      </w:r>
      <w:r w:rsidRPr="00FB4EFA">
        <w:rPr>
          <w:lang w:val="de-DE"/>
        </w:rPr>
        <w:t>!</w:t>
      </w:r>
    </w:p>
    <w:p w14:paraId="47157605" w14:textId="77777777" w:rsidR="00A96E85" w:rsidRPr="00FB4EFA" w:rsidRDefault="00A96E85" w:rsidP="00545033">
      <w:pPr>
        <w:spacing w:after="240"/>
        <w:ind w:firstLine="709"/>
        <w:rPr>
          <w:lang w:val="de-DE"/>
        </w:rPr>
      </w:pPr>
      <w:r w:rsidRPr="00FB4EFA">
        <w:rPr>
          <w:lang w:val="de-DE"/>
        </w:rPr>
        <w:t>Zur Absicherung wurden für die beiden Hauptpaare (Frau/Mann und Junge/Mädchen) auch die Pluralformen überprüft, was zu folgendem Ergebnis führte:</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838"/>
        <w:gridCol w:w="832"/>
        <w:gridCol w:w="702"/>
        <w:gridCol w:w="615"/>
        <w:gridCol w:w="1068"/>
        <w:gridCol w:w="1068"/>
      </w:tblGrid>
      <w:tr w:rsidR="00FB4EFA" w:rsidRPr="00FB4EFA" w14:paraId="6B057009" w14:textId="77777777" w:rsidTr="009F1588">
        <w:trPr>
          <w:jc w:val="center"/>
        </w:trPr>
        <w:tc>
          <w:tcPr>
            <w:tcW w:w="0" w:type="auto"/>
            <w:tcBorders>
              <w:top w:val="nil"/>
              <w:left w:val="nil"/>
              <w:bottom w:val="single" w:sz="12" w:space="0" w:color="auto"/>
              <w:right w:val="single" w:sz="12" w:space="0" w:color="auto"/>
            </w:tcBorders>
          </w:tcPr>
          <w:p w14:paraId="4B8D0760" w14:textId="77777777" w:rsidR="00A96E85" w:rsidRPr="00FB4EFA" w:rsidRDefault="00A96E85" w:rsidP="00AC1192">
            <w:pPr>
              <w:keepNext/>
              <w:suppressAutoHyphens/>
              <w:spacing w:line="240" w:lineRule="auto"/>
              <w:rPr>
                <w:b/>
                <w:bCs/>
                <w:sz w:val="18"/>
                <w:szCs w:val="18"/>
                <w:lang w:val="de-DE"/>
              </w:rPr>
            </w:pPr>
          </w:p>
        </w:tc>
        <w:tc>
          <w:tcPr>
            <w:tcW w:w="0" w:type="auto"/>
            <w:gridSpan w:val="2"/>
            <w:tcBorders>
              <w:top w:val="nil"/>
              <w:left w:val="single" w:sz="12" w:space="0" w:color="auto"/>
              <w:bottom w:val="single" w:sz="12" w:space="0" w:color="auto"/>
            </w:tcBorders>
          </w:tcPr>
          <w:p w14:paraId="7C60C3F7" w14:textId="77777777" w:rsidR="00A96E85" w:rsidRPr="00FB4EFA" w:rsidRDefault="00A96E85" w:rsidP="00AC1192">
            <w:pPr>
              <w:keepNext/>
              <w:suppressAutoHyphens/>
              <w:spacing w:line="240" w:lineRule="auto"/>
              <w:jc w:val="center"/>
              <w:rPr>
                <w:b/>
                <w:bCs/>
                <w:sz w:val="18"/>
                <w:szCs w:val="18"/>
                <w:lang w:val="de-DE"/>
              </w:rPr>
            </w:pPr>
            <w:r w:rsidRPr="00FB4EFA">
              <w:rPr>
                <w:b/>
                <w:bCs/>
                <w:sz w:val="18"/>
                <w:szCs w:val="18"/>
                <w:lang w:val="de-DE"/>
              </w:rPr>
              <w:t>absolute Zahlen</w:t>
            </w:r>
          </w:p>
        </w:tc>
        <w:tc>
          <w:tcPr>
            <w:tcW w:w="0" w:type="auto"/>
            <w:tcBorders>
              <w:top w:val="nil"/>
              <w:bottom w:val="single" w:sz="12" w:space="0" w:color="auto"/>
              <w:right w:val="single" w:sz="12" w:space="0" w:color="auto"/>
            </w:tcBorders>
          </w:tcPr>
          <w:p w14:paraId="274ACF9F" w14:textId="77777777" w:rsidR="00A96E85" w:rsidRPr="00FB4EFA" w:rsidRDefault="00A96E85" w:rsidP="00AC1192">
            <w:pPr>
              <w:keepNext/>
              <w:suppressAutoHyphens/>
              <w:spacing w:line="240" w:lineRule="auto"/>
              <w:rPr>
                <w:rFonts w:cs="Cambria"/>
                <w:b/>
                <w:bCs/>
                <w:sz w:val="18"/>
                <w:szCs w:val="18"/>
                <w:lang w:val="de-DE"/>
              </w:rPr>
            </w:pPr>
          </w:p>
        </w:tc>
        <w:tc>
          <w:tcPr>
            <w:tcW w:w="0" w:type="auto"/>
            <w:gridSpan w:val="2"/>
            <w:tcBorders>
              <w:top w:val="nil"/>
              <w:left w:val="single" w:sz="12" w:space="0" w:color="auto"/>
              <w:bottom w:val="single" w:sz="12" w:space="0" w:color="auto"/>
              <w:right w:val="nil"/>
            </w:tcBorders>
          </w:tcPr>
          <w:p w14:paraId="7C0BC805" w14:textId="77777777" w:rsidR="00A96E85" w:rsidRPr="00FB4EFA" w:rsidRDefault="00A96E85" w:rsidP="00AC1192">
            <w:pPr>
              <w:keepNext/>
              <w:suppressAutoHyphens/>
              <w:spacing w:line="240" w:lineRule="auto"/>
              <w:jc w:val="center"/>
              <w:rPr>
                <w:b/>
                <w:bCs/>
                <w:sz w:val="18"/>
                <w:szCs w:val="18"/>
                <w:lang w:val="de-DE"/>
              </w:rPr>
            </w:pPr>
            <w:r w:rsidRPr="00FB4EFA">
              <w:rPr>
                <w:b/>
                <w:bCs/>
                <w:sz w:val="18"/>
                <w:szCs w:val="18"/>
                <w:lang w:val="de-DE"/>
              </w:rPr>
              <w:t>prozentuale Verteilung</w:t>
            </w:r>
          </w:p>
        </w:tc>
      </w:tr>
      <w:tr w:rsidR="00FB4EFA" w:rsidRPr="00FB4EFA" w14:paraId="3A184ACE" w14:textId="77777777" w:rsidTr="009F1588">
        <w:trPr>
          <w:jc w:val="center"/>
        </w:trPr>
        <w:tc>
          <w:tcPr>
            <w:tcW w:w="0" w:type="auto"/>
            <w:tcBorders>
              <w:top w:val="single" w:sz="12" w:space="0" w:color="auto"/>
              <w:left w:val="nil"/>
              <w:bottom w:val="single" w:sz="4" w:space="0" w:color="auto"/>
              <w:right w:val="single" w:sz="12" w:space="0" w:color="auto"/>
            </w:tcBorders>
          </w:tcPr>
          <w:p w14:paraId="4AA7EBCD" w14:textId="77777777" w:rsidR="00A96E85" w:rsidRPr="00FB4EFA" w:rsidRDefault="00A96E85" w:rsidP="00AC1192">
            <w:pPr>
              <w:keepNext/>
              <w:suppressAutoHyphens/>
              <w:spacing w:line="240" w:lineRule="auto"/>
              <w:rPr>
                <w:b/>
                <w:bCs/>
                <w:sz w:val="18"/>
                <w:szCs w:val="18"/>
                <w:lang w:val="de-DE"/>
              </w:rPr>
            </w:pPr>
          </w:p>
        </w:tc>
        <w:tc>
          <w:tcPr>
            <w:tcW w:w="0" w:type="auto"/>
            <w:tcBorders>
              <w:top w:val="single" w:sz="12" w:space="0" w:color="auto"/>
              <w:left w:val="single" w:sz="12" w:space="0" w:color="auto"/>
              <w:bottom w:val="single" w:sz="4" w:space="0" w:color="auto"/>
            </w:tcBorders>
          </w:tcPr>
          <w:p w14:paraId="270DEBEB" w14:textId="77777777" w:rsidR="00A96E85" w:rsidRPr="00FB4EFA" w:rsidRDefault="00A96E85" w:rsidP="00AC1192">
            <w:pPr>
              <w:keepNext/>
              <w:suppressAutoHyphens/>
              <w:spacing w:line="240" w:lineRule="auto"/>
              <w:rPr>
                <w:rFonts w:cs="Charis SIL"/>
                <w:i/>
                <w:sz w:val="18"/>
                <w:szCs w:val="18"/>
                <w:lang w:val="de-DE"/>
              </w:rPr>
            </w:pPr>
            <w:r w:rsidRPr="00FB4EFA">
              <w:rPr>
                <w:rFonts w:cs="Charis SIL"/>
                <w:i/>
                <w:sz w:val="18"/>
                <w:szCs w:val="18"/>
                <w:lang w:val="de-DE"/>
              </w:rPr>
              <w:t>tüdruk</w:t>
            </w:r>
          </w:p>
        </w:tc>
        <w:tc>
          <w:tcPr>
            <w:tcW w:w="0" w:type="auto"/>
            <w:tcBorders>
              <w:top w:val="single" w:sz="12" w:space="0" w:color="auto"/>
              <w:bottom w:val="single" w:sz="4" w:space="0" w:color="auto"/>
            </w:tcBorders>
          </w:tcPr>
          <w:p w14:paraId="5C20650B" w14:textId="77777777" w:rsidR="00A96E85" w:rsidRPr="00FB4EFA" w:rsidRDefault="00A96E85" w:rsidP="00AC1192">
            <w:pPr>
              <w:keepNext/>
              <w:suppressAutoHyphens/>
              <w:spacing w:line="240" w:lineRule="auto"/>
              <w:rPr>
                <w:rFonts w:cs="Charis SIL"/>
                <w:i/>
                <w:sz w:val="18"/>
                <w:szCs w:val="18"/>
                <w:lang w:val="de-DE"/>
              </w:rPr>
            </w:pPr>
            <w:r w:rsidRPr="00FB4EFA">
              <w:rPr>
                <w:rFonts w:cs="Charis SIL"/>
                <w:i/>
                <w:sz w:val="18"/>
                <w:szCs w:val="18"/>
                <w:lang w:val="de-DE"/>
              </w:rPr>
              <w:t>poiss</w:t>
            </w:r>
          </w:p>
        </w:tc>
        <w:tc>
          <w:tcPr>
            <w:tcW w:w="0" w:type="auto"/>
            <w:tcBorders>
              <w:top w:val="single" w:sz="12" w:space="0" w:color="auto"/>
              <w:bottom w:val="single" w:sz="4" w:space="0" w:color="auto"/>
              <w:right w:val="single" w:sz="12" w:space="0" w:color="auto"/>
            </w:tcBorders>
          </w:tcPr>
          <w:p w14:paraId="61D14C8F" w14:textId="77777777" w:rsidR="00A96E85" w:rsidRPr="00FB4EFA" w:rsidRDefault="00A96E85" w:rsidP="00545033">
            <w:pPr>
              <w:keepNext/>
              <w:spacing w:line="240" w:lineRule="auto"/>
              <w:rPr>
                <w:rFonts w:cs="Charis SIL"/>
                <w:sz w:val="18"/>
                <w:szCs w:val="18"/>
                <w:lang w:val="de-DE"/>
              </w:rPr>
            </w:pPr>
            <w:r w:rsidRPr="00FB4EFA">
              <w:rPr>
                <w:rFonts w:cs="Cambria"/>
                <w:sz w:val="18"/>
                <w:szCs w:val="18"/>
                <w:lang w:val="de-DE"/>
              </w:rPr>
              <w:t>Σ</w:t>
            </w:r>
          </w:p>
        </w:tc>
        <w:tc>
          <w:tcPr>
            <w:tcW w:w="0" w:type="auto"/>
            <w:tcBorders>
              <w:top w:val="single" w:sz="12" w:space="0" w:color="auto"/>
              <w:left w:val="single" w:sz="12" w:space="0" w:color="auto"/>
              <w:bottom w:val="single" w:sz="4" w:space="0" w:color="auto"/>
            </w:tcBorders>
          </w:tcPr>
          <w:p w14:paraId="3572E390" w14:textId="77777777" w:rsidR="00A96E85" w:rsidRPr="00FB4EFA" w:rsidRDefault="00A96E85" w:rsidP="00AC1192">
            <w:pPr>
              <w:keepNext/>
              <w:suppressAutoHyphens/>
              <w:spacing w:line="240" w:lineRule="auto"/>
              <w:rPr>
                <w:i/>
                <w:sz w:val="18"/>
                <w:szCs w:val="18"/>
                <w:lang w:val="de-DE"/>
              </w:rPr>
            </w:pPr>
            <w:r w:rsidRPr="00FB4EFA">
              <w:rPr>
                <w:i/>
                <w:sz w:val="18"/>
                <w:szCs w:val="18"/>
                <w:lang w:val="de-DE"/>
              </w:rPr>
              <w:t>tüdruk</w:t>
            </w:r>
          </w:p>
        </w:tc>
        <w:tc>
          <w:tcPr>
            <w:tcW w:w="0" w:type="auto"/>
            <w:tcBorders>
              <w:top w:val="single" w:sz="12" w:space="0" w:color="auto"/>
              <w:bottom w:val="single" w:sz="4" w:space="0" w:color="auto"/>
              <w:right w:val="nil"/>
            </w:tcBorders>
          </w:tcPr>
          <w:p w14:paraId="1390EE72" w14:textId="77777777" w:rsidR="00A96E85" w:rsidRPr="00FB4EFA" w:rsidRDefault="00A96E85" w:rsidP="00AC1192">
            <w:pPr>
              <w:keepNext/>
              <w:suppressAutoHyphens/>
              <w:spacing w:line="240" w:lineRule="auto"/>
              <w:rPr>
                <w:i/>
                <w:sz w:val="18"/>
                <w:szCs w:val="18"/>
                <w:lang w:val="de-DE"/>
              </w:rPr>
            </w:pPr>
            <w:r w:rsidRPr="00FB4EFA">
              <w:rPr>
                <w:i/>
                <w:sz w:val="18"/>
                <w:szCs w:val="18"/>
                <w:lang w:val="de-DE"/>
              </w:rPr>
              <w:t>poiss</w:t>
            </w:r>
          </w:p>
        </w:tc>
      </w:tr>
      <w:tr w:rsidR="00FB4EFA" w:rsidRPr="00FB4EFA" w14:paraId="0A9EECAB" w14:textId="77777777" w:rsidTr="009F1588">
        <w:trPr>
          <w:jc w:val="center"/>
        </w:trPr>
        <w:tc>
          <w:tcPr>
            <w:tcW w:w="0" w:type="auto"/>
            <w:tcBorders>
              <w:top w:val="single" w:sz="4" w:space="0" w:color="auto"/>
              <w:left w:val="nil"/>
              <w:bottom w:val="single" w:sz="4" w:space="0" w:color="auto"/>
              <w:right w:val="single" w:sz="12" w:space="0" w:color="auto"/>
            </w:tcBorders>
          </w:tcPr>
          <w:p w14:paraId="50FA8DF0" w14:textId="77777777" w:rsidR="00A96E85" w:rsidRPr="00FB4EFA" w:rsidRDefault="00A96E85" w:rsidP="00AC1192">
            <w:pPr>
              <w:keepNext/>
              <w:suppressAutoHyphens/>
              <w:spacing w:line="240" w:lineRule="auto"/>
              <w:rPr>
                <w:b/>
                <w:bCs/>
                <w:sz w:val="18"/>
                <w:szCs w:val="18"/>
                <w:lang w:val="de-DE"/>
              </w:rPr>
            </w:pPr>
            <w:r w:rsidRPr="00FB4EFA">
              <w:rPr>
                <w:b/>
                <w:bCs/>
                <w:sz w:val="18"/>
                <w:szCs w:val="18"/>
                <w:lang w:val="de-DE"/>
              </w:rPr>
              <w:t>Sg.</w:t>
            </w:r>
          </w:p>
        </w:tc>
        <w:tc>
          <w:tcPr>
            <w:tcW w:w="0" w:type="auto"/>
            <w:tcBorders>
              <w:top w:val="single" w:sz="4" w:space="0" w:color="auto"/>
              <w:left w:val="single" w:sz="12" w:space="0" w:color="auto"/>
              <w:bottom w:val="single" w:sz="4" w:space="0" w:color="auto"/>
            </w:tcBorders>
          </w:tcPr>
          <w:p w14:paraId="37240681" w14:textId="77777777" w:rsidR="00A96E85" w:rsidRPr="00FB4EFA" w:rsidRDefault="00A96E85" w:rsidP="00545033">
            <w:pPr>
              <w:keepNext/>
              <w:spacing w:line="240" w:lineRule="auto"/>
              <w:rPr>
                <w:sz w:val="18"/>
                <w:szCs w:val="18"/>
                <w:lang w:val="de-DE"/>
              </w:rPr>
            </w:pPr>
            <w:r w:rsidRPr="00FB4EFA">
              <w:rPr>
                <w:sz w:val="18"/>
                <w:szCs w:val="18"/>
                <w:lang w:val="de-DE"/>
              </w:rPr>
              <w:t>1982</w:t>
            </w:r>
          </w:p>
        </w:tc>
        <w:tc>
          <w:tcPr>
            <w:tcW w:w="0" w:type="auto"/>
            <w:tcBorders>
              <w:top w:val="single" w:sz="4" w:space="0" w:color="auto"/>
              <w:bottom w:val="single" w:sz="4" w:space="0" w:color="auto"/>
            </w:tcBorders>
          </w:tcPr>
          <w:p w14:paraId="7C1A664A" w14:textId="77777777" w:rsidR="00A96E85" w:rsidRPr="00FB4EFA" w:rsidRDefault="00A96E85" w:rsidP="00545033">
            <w:pPr>
              <w:keepNext/>
              <w:spacing w:line="240" w:lineRule="auto"/>
              <w:rPr>
                <w:sz w:val="18"/>
                <w:szCs w:val="18"/>
                <w:lang w:val="de-DE"/>
              </w:rPr>
            </w:pPr>
            <w:r w:rsidRPr="00FB4EFA">
              <w:rPr>
                <w:sz w:val="18"/>
                <w:szCs w:val="18"/>
                <w:lang w:val="de-DE"/>
              </w:rPr>
              <w:t>3188</w:t>
            </w:r>
          </w:p>
        </w:tc>
        <w:tc>
          <w:tcPr>
            <w:tcW w:w="0" w:type="auto"/>
            <w:tcBorders>
              <w:top w:val="single" w:sz="4" w:space="0" w:color="auto"/>
              <w:bottom w:val="single" w:sz="4" w:space="0" w:color="auto"/>
              <w:right w:val="single" w:sz="12" w:space="0" w:color="auto"/>
            </w:tcBorders>
          </w:tcPr>
          <w:p w14:paraId="1BD32683" w14:textId="77777777" w:rsidR="00A96E85" w:rsidRPr="00FB4EFA" w:rsidRDefault="00A96E85" w:rsidP="00545033">
            <w:pPr>
              <w:keepNext/>
              <w:spacing w:line="240" w:lineRule="auto"/>
              <w:rPr>
                <w:sz w:val="18"/>
                <w:szCs w:val="18"/>
                <w:lang w:val="de-DE"/>
              </w:rPr>
            </w:pPr>
            <w:r w:rsidRPr="00FB4EFA">
              <w:rPr>
                <w:sz w:val="18"/>
                <w:szCs w:val="18"/>
                <w:lang w:val="de-DE"/>
              </w:rPr>
              <w:t>5170</w:t>
            </w:r>
          </w:p>
        </w:tc>
        <w:tc>
          <w:tcPr>
            <w:tcW w:w="0" w:type="auto"/>
            <w:tcBorders>
              <w:top w:val="single" w:sz="4" w:space="0" w:color="auto"/>
              <w:left w:val="single" w:sz="12" w:space="0" w:color="auto"/>
              <w:bottom w:val="single" w:sz="4" w:space="0" w:color="auto"/>
            </w:tcBorders>
          </w:tcPr>
          <w:p w14:paraId="0E792C5C" w14:textId="77777777" w:rsidR="00A96E85" w:rsidRPr="00FB4EFA" w:rsidRDefault="00A96E85" w:rsidP="00545033">
            <w:pPr>
              <w:keepNext/>
              <w:spacing w:line="240" w:lineRule="auto"/>
              <w:rPr>
                <w:sz w:val="18"/>
                <w:szCs w:val="18"/>
                <w:lang w:val="de-DE"/>
              </w:rPr>
            </w:pPr>
            <w:r w:rsidRPr="00FB4EFA">
              <w:rPr>
                <w:sz w:val="18"/>
                <w:szCs w:val="18"/>
                <w:lang w:val="de-DE"/>
              </w:rPr>
              <w:t>38,3 %</w:t>
            </w:r>
          </w:p>
        </w:tc>
        <w:tc>
          <w:tcPr>
            <w:tcW w:w="0" w:type="auto"/>
            <w:tcBorders>
              <w:top w:val="single" w:sz="4" w:space="0" w:color="auto"/>
              <w:bottom w:val="single" w:sz="4" w:space="0" w:color="auto"/>
              <w:right w:val="nil"/>
            </w:tcBorders>
          </w:tcPr>
          <w:p w14:paraId="59A784CF" w14:textId="77777777" w:rsidR="00A96E85" w:rsidRPr="00FB4EFA" w:rsidRDefault="00A96E85" w:rsidP="00545033">
            <w:pPr>
              <w:keepNext/>
              <w:spacing w:line="240" w:lineRule="auto"/>
              <w:rPr>
                <w:sz w:val="18"/>
                <w:szCs w:val="18"/>
                <w:lang w:val="de-DE"/>
              </w:rPr>
            </w:pPr>
            <w:r w:rsidRPr="00FB4EFA">
              <w:rPr>
                <w:sz w:val="18"/>
                <w:szCs w:val="18"/>
                <w:lang w:val="de-DE"/>
              </w:rPr>
              <w:t>61,7 %</w:t>
            </w:r>
          </w:p>
        </w:tc>
      </w:tr>
      <w:tr w:rsidR="00FB4EFA" w:rsidRPr="00FB4EFA" w14:paraId="104F00D2" w14:textId="77777777" w:rsidTr="009F1588">
        <w:trPr>
          <w:jc w:val="center"/>
        </w:trPr>
        <w:tc>
          <w:tcPr>
            <w:tcW w:w="0" w:type="auto"/>
            <w:tcBorders>
              <w:top w:val="single" w:sz="4" w:space="0" w:color="auto"/>
              <w:left w:val="nil"/>
              <w:bottom w:val="single" w:sz="12" w:space="0" w:color="auto"/>
              <w:right w:val="single" w:sz="12" w:space="0" w:color="auto"/>
            </w:tcBorders>
          </w:tcPr>
          <w:p w14:paraId="0DEA0C14" w14:textId="77777777" w:rsidR="00A96E85" w:rsidRPr="00FB4EFA" w:rsidRDefault="00A96E85" w:rsidP="00AC1192">
            <w:pPr>
              <w:keepNext/>
              <w:suppressAutoHyphens/>
              <w:spacing w:line="240" w:lineRule="auto"/>
              <w:rPr>
                <w:b/>
                <w:bCs/>
                <w:sz w:val="18"/>
                <w:szCs w:val="18"/>
                <w:lang w:val="de-DE"/>
              </w:rPr>
            </w:pPr>
            <w:r w:rsidRPr="00FB4EFA">
              <w:rPr>
                <w:b/>
                <w:bCs/>
                <w:sz w:val="18"/>
                <w:szCs w:val="18"/>
                <w:lang w:val="de-DE"/>
              </w:rPr>
              <w:t>Sg. + Pl.</w:t>
            </w:r>
          </w:p>
        </w:tc>
        <w:tc>
          <w:tcPr>
            <w:tcW w:w="0" w:type="auto"/>
            <w:tcBorders>
              <w:top w:val="single" w:sz="4" w:space="0" w:color="auto"/>
              <w:left w:val="single" w:sz="12" w:space="0" w:color="auto"/>
              <w:bottom w:val="single" w:sz="12" w:space="0" w:color="auto"/>
            </w:tcBorders>
          </w:tcPr>
          <w:p w14:paraId="66DE1855" w14:textId="77777777" w:rsidR="00A96E85" w:rsidRPr="00FB4EFA" w:rsidRDefault="00A96E85" w:rsidP="00545033">
            <w:pPr>
              <w:keepNext/>
              <w:spacing w:line="240" w:lineRule="auto"/>
              <w:rPr>
                <w:sz w:val="18"/>
                <w:szCs w:val="18"/>
                <w:lang w:val="de-DE"/>
              </w:rPr>
            </w:pPr>
            <w:r w:rsidRPr="00FB4EFA">
              <w:rPr>
                <w:sz w:val="18"/>
                <w:szCs w:val="18"/>
                <w:lang w:val="de-DE"/>
              </w:rPr>
              <w:t>2382</w:t>
            </w:r>
          </w:p>
        </w:tc>
        <w:tc>
          <w:tcPr>
            <w:tcW w:w="0" w:type="auto"/>
            <w:tcBorders>
              <w:top w:val="single" w:sz="4" w:space="0" w:color="auto"/>
              <w:bottom w:val="single" w:sz="12" w:space="0" w:color="auto"/>
            </w:tcBorders>
          </w:tcPr>
          <w:p w14:paraId="71585024" w14:textId="77777777" w:rsidR="00A96E85" w:rsidRPr="00FB4EFA" w:rsidRDefault="00A96E85" w:rsidP="00545033">
            <w:pPr>
              <w:keepNext/>
              <w:spacing w:line="240" w:lineRule="auto"/>
              <w:rPr>
                <w:sz w:val="18"/>
                <w:szCs w:val="18"/>
                <w:lang w:val="de-DE"/>
              </w:rPr>
            </w:pPr>
            <w:r w:rsidRPr="00FB4EFA">
              <w:rPr>
                <w:sz w:val="18"/>
                <w:szCs w:val="18"/>
                <w:lang w:val="de-DE"/>
              </w:rPr>
              <w:t>4180</w:t>
            </w:r>
          </w:p>
        </w:tc>
        <w:tc>
          <w:tcPr>
            <w:tcW w:w="0" w:type="auto"/>
            <w:tcBorders>
              <w:top w:val="single" w:sz="4" w:space="0" w:color="auto"/>
              <w:bottom w:val="single" w:sz="12" w:space="0" w:color="auto"/>
              <w:right w:val="single" w:sz="12" w:space="0" w:color="auto"/>
            </w:tcBorders>
          </w:tcPr>
          <w:p w14:paraId="6407580E" w14:textId="77777777" w:rsidR="00A96E85" w:rsidRPr="00FB4EFA" w:rsidRDefault="00A96E85" w:rsidP="00545033">
            <w:pPr>
              <w:keepNext/>
              <w:spacing w:line="240" w:lineRule="auto"/>
              <w:rPr>
                <w:sz w:val="18"/>
                <w:szCs w:val="18"/>
                <w:lang w:val="de-DE"/>
              </w:rPr>
            </w:pPr>
            <w:r w:rsidRPr="00FB4EFA">
              <w:rPr>
                <w:sz w:val="18"/>
                <w:szCs w:val="18"/>
                <w:lang w:val="de-DE"/>
              </w:rPr>
              <w:t>6562</w:t>
            </w:r>
          </w:p>
        </w:tc>
        <w:tc>
          <w:tcPr>
            <w:tcW w:w="0" w:type="auto"/>
            <w:tcBorders>
              <w:top w:val="single" w:sz="4" w:space="0" w:color="auto"/>
              <w:left w:val="single" w:sz="12" w:space="0" w:color="auto"/>
              <w:bottom w:val="single" w:sz="12" w:space="0" w:color="auto"/>
            </w:tcBorders>
          </w:tcPr>
          <w:p w14:paraId="08CA0F58" w14:textId="77777777" w:rsidR="00A96E85" w:rsidRPr="00FB4EFA" w:rsidRDefault="00A96E85" w:rsidP="00545033">
            <w:pPr>
              <w:keepNext/>
              <w:spacing w:line="240" w:lineRule="auto"/>
              <w:rPr>
                <w:sz w:val="18"/>
                <w:szCs w:val="18"/>
                <w:lang w:val="de-DE"/>
              </w:rPr>
            </w:pPr>
            <w:r w:rsidRPr="00FB4EFA">
              <w:rPr>
                <w:sz w:val="18"/>
                <w:szCs w:val="18"/>
                <w:lang w:val="de-DE"/>
              </w:rPr>
              <w:t>36,3 %</w:t>
            </w:r>
          </w:p>
        </w:tc>
        <w:tc>
          <w:tcPr>
            <w:tcW w:w="0" w:type="auto"/>
            <w:tcBorders>
              <w:top w:val="single" w:sz="4" w:space="0" w:color="auto"/>
              <w:bottom w:val="single" w:sz="12" w:space="0" w:color="auto"/>
              <w:right w:val="nil"/>
            </w:tcBorders>
          </w:tcPr>
          <w:p w14:paraId="4ABB58EB" w14:textId="77777777" w:rsidR="00A96E85" w:rsidRPr="00FB4EFA" w:rsidRDefault="00A96E85" w:rsidP="00545033">
            <w:pPr>
              <w:keepNext/>
              <w:spacing w:line="240" w:lineRule="auto"/>
              <w:rPr>
                <w:sz w:val="18"/>
                <w:szCs w:val="18"/>
                <w:lang w:val="de-DE"/>
              </w:rPr>
            </w:pPr>
            <w:r w:rsidRPr="00FB4EFA">
              <w:rPr>
                <w:sz w:val="18"/>
                <w:szCs w:val="18"/>
                <w:lang w:val="de-DE"/>
              </w:rPr>
              <w:t>63,7 %</w:t>
            </w:r>
          </w:p>
        </w:tc>
      </w:tr>
      <w:tr w:rsidR="00FB4EFA" w:rsidRPr="00FB4EFA" w14:paraId="7E67F172" w14:textId="77777777" w:rsidTr="009F1588">
        <w:trPr>
          <w:jc w:val="center"/>
        </w:trPr>
        <w:tc>
          <w:tcPr>
            <w:tcW w:w="0" w:type="auto"/>
            <w:tcBorders>
              <w:top w:val="single" w:sz="12" w:space="0" w:color="auto"/>
              <w:left w:val="nil"/>
              <w:right w:val="single" w:sz="12" w:space="0" w:color="auto"/>
            </w:tcBorders>
          </w:tcPr>
          <w:p w14:paraId="41DF3CC6" w14:textId="77777777" w:rsidR="00A96E85" w:rsidRPr="00FB4EFA" w:rsidRDefault="00A96E85" w:rsidP="00AC1192">
            <w:pPr>
              <w:keepNext/>
              <w:suppressAutoHyphens/>
              <w:spacing w:line="240" w:lineRule="auto"/>
              <w:rPr>
                <w:b/>
                <w:bCs/>
                <w:sz w:val="18"/>
                <w:szCs w:val="18"/>
                <w:lang w:val="de-DE"/>
              </w:rPr>
            </w:pPr>
          </w:p>
        </w:tc>
        <w:tc>
          <w:tcPr>
            <w:tcW w:w="0" w:type="auto"/>
            <w:tcBorders>
              <w:top w:val="single" w:sz="12" w:space="0" w:color="auto"/>
              <w:left w:val="single" w:sz="12" w:space="0" w:color="auto"/>
            </w:tcBorders>
          </w:tcPr>
          <w:p w14:paraId="2C2B5285" w14:textId="77777777" w:rsidR="00A96E85" w:rsidRPr="00FB4EFA" w:rsidRDefault="00A96E85" w:rsidP="00AC1192">
            <w:pPr>
              <w:keepNext/>
              <w:suppressAutoHyphens/>
              <w:spacing w:line="240" w:lineRule="auto"/>
              <w:rPr>
                <w:i/>
                <w:sz w:val="18"/>
                <w:szCs w:val="18"/>
                <w:lang w:val="de-DE"/>
              </w:rPr>
            </w:pPr>
            <w:r w:rsidRPr="00FB4EFA">
              <w:rPr>
                <w:i/>
                <w:sz w:val="18"/>
                <w:szCs w:val="18"/>
                <w:lang w:val="de-DE"/>
              </w:rPr>
              <w:t>naine</w:t>
            </w:r>
          </w:p>
        </w:tc>
        <w:tc>
          <w:tcPr>
            <w:tcW w:w="0" w:type="auto"/>
            <w:tcBorders>
              <w:top w:val="single" w:sz="12" w:space="0" w:color="auto"/>
            </w:tcBorders>
          </w:tcPr>
          <w:p w14:paraId="150982F3" w14:textId="77777777" w:rsidR="00A96E85" w:rsidRPr="00FB4EFA" w:rsidRDefault="00A96E85" w:rsidP="00AC1192">
            <w:pPr>
              <w:keepNext/>
              <w:suppressAutoHyphens/>
              <w:spacing w:line="240" w:lineRule="auto"/>
              <w:rPr>
                <w:i/>
                <w:sz w:val="18"/>
                <w:szCs w:val="18"/>
                <w:lang w:val="de-DE"/>
              </w:rPr>
            </w:pPr>
            <w:r w:rsidRPr="00FB4EFA">
              <w:rPr>
                <w:i/>
                <w:sz w:val="18"/>
                <w:szCs w:val="18"/>
                <w:lang w:val="de-DE"/>
              </w:rPr>
              <w:t>mees</w:t>
            </w:r>
          </w:p>
        </w:tc>
        <w:tc>
          <w:tcPr>
            <w:tcW w:w="0" w:type="auto"/>
            <w:tcBorders>
              <w:top w:val="single" w:sz="12" w:space="0" w:color="auto"/>
              <w:right w:val="single" w:sz="12" w:space="0" w:color="auto"/>
            </w:tcBorders>
          </w:tcPr>
          <w:p w14:paraId="28F15475" w14:textId="77777777" w:rsidR="00A96E85" w:rsidRPr="00FB4EFA" w:rsidRDefault="00A96E85" w:rsidP="00545033">
            <w:pPr>
              <w:keepNext/>
              <w:spacing w:line="240" w:lineRule="auto"/>
              <w:rPr>
                <w:sz w:val="18"/>
                <w:szCs w:val="18"/>
                <w:lang w:val="de-DE"/>
              </w:rPr>
            </w:pPr>
            <w:r w:rsidRPr="00FB4EFA">
              <w:rPr>
                <w:rFonts w:cs="Cambria"/>
                <w:sz w:val="18"/>
                <w:szCs w:val="18"/>
                <w:lang w:val="de-DE"/>
              </w:rPr>
              <w:t>Σ</w:t>
            </w:r>
          </w:p>
        </w:tc>
        <w:tc>
          <w:tcPr>
            <w:tcW w:w="0" w:type="auto"/>
            <w:tcBorders>
              <w:top w:val="single" w:sz="12" w:space="0" w:color="auto"/>
              <w:left w:val="single" w:sz="12" w:space="0" w:color="auto"/>
            </w:tcBorders>
          </w:tcPr>
          <w:p w14:paraId="4D41DE7A" w14:textId="77777777" w:rsidR="00A96E85" w:rsidRPr="00FB4EFA" w:rsidRDefault="00A96E85" w:rsidP="00AC1192">
            <w:pPr>
              <w:keepNext/>
              <w:suppressAutoHyphens/>
              <w:spacing w:line="240" w:lineRule="auto"/>
              <w:rPr>
                <w:i/>
                <w:sz w:val="18"/>
                <w:szCs w:val="18"/>
                <w:lang w:val="de-DE"/>
              </w:rPr>
            </w:pPr>
            <w:r w:rsidRPr="00FB4EFA">
              <w:rPr>
                <w:i/>
                <w:sz w:val="18"/>
                <w:szCs w:val="18"/>
                <w:lang w:val="de-DE"/>
              </w:rPr>
              <w:t>naine</w:t>
            </w:r>
          </w:p>
        </w:tc>
        <w:tc>
          <w:tcPr>
            <w:tcW w:w="0" w:type="auto"/>
            <w:tcBorders>
              <w:top w:val="single" w:sz="12" w:space="0" w:color="auto"/>
              <w:right w:val="nil"/>
            </w:tcBorders>
          </w:tcPr>
          <w:p w14:paraId="7300BD38" w14:textId="77777777" w:rsidR="00A96E85" w:rsidRPr="00FB4EFA" w:rsidRDefault="00A96E85" w:rsidP="00AC1192">
            <w:pPr>
              <w:keepNext/>
              <w:suppressAutoHyphens/>
              <w:spacing w:line="240" w:lineRule="auto"/>
              <w:rPr>
                <w:i/>
                <w:sz w:val="18"/>
                <w:szCs w:val="18"/>
                <w:lang w:val="de-DE"/>
              </w:rPr>
            </w:pPr>
            <w:r w:rsidRPr="00FB4EFA">
              <w:rPr>
                <w:i/>
                <w:sz w:val="18"/>
                <w:szCs w:val="18"/>
                <w:lang w:val="de-DE"/>
              </w:rPr>
              <w:t>mees</w:t>
            </w:r>
          </w:p>
        </w:tc>
      </w:tr>
      <w:tr w:rsidR="00FB4EFA" w:rsidRPr="00FB4EFA" w14:paraId="3E452953" w14:textId="77777777" w:rsidTr="009F1588">
        <w:trPr>
          <w:jc w:val="center"/>
        </w:trPr>
        <w:tc>
          <w:tcPr>
            <w:tcW w:w="0" w:type="auto"/>
            <w:tcBorders>
              <w:left w:val="nil"/>
              <w:right w:val="single" w:sz="12" w:space="0" w:color="auto"/>
            </w:tcBorders>
          </w:tcPr>
          <w:p w14:paraId="74A69607" w14:textId="77777777" w:rsidR="00A96E85" w:rsidRPr="00FB4EFA" w:rsidRDefault="00A96E85" w:rsidP="00AC1192">
            <w:pPr>
              <w:keepNext/>
              <w:suppressAutoHyphens/>
              <w:spacing w:line="240" w:lineRule="auto"/>
              <w:rPr>
                <w:b/>
                <w:bCs/>
                <w:sz w:val="18"/>
                <w:szCs w:val="18"/>
                <w:lang w:val="de-DE"/>
              </w:rPr>
            </w:pPr>
            <w:r w:rsidRPr="00FB4EFA">
              <w:rPr>
                <w:b/>
                <w:bCs/>
                <w:sz w:val="18"/>
                <w:szCs w:val="18"/>
                <w:lang w:val="de-DE"/>
              </w:rPr>
              <w:t>Sg.</w:t>
            </w:r>
          </w:p>
        </w:tc>
        <w:tc>
          <w:tcPr>
            <w:tcW w:w="0" w:type="auto"/>
            <w:tcBorders>
              <w:left w:val="single" w:sz="12" w:space="0" w:color="auto"/>
            </w:tcBorders>
          </w:tcPr>
          <w:p w14:paraId="35D66EDF" w14:textId="77777777" w:rsidR="00A96E85" w:rsidRPr="00FB4EFA" w:rsidRDefault="00A96E85" w:rsidP="00545033">
            <w:pPr>
              <w:keepNext/>
              <w:spacing w:line="240" w:lineRule="auto"/>
              <w:rPr>
                <w:sz w:val="18"/>
                <w:szCs w:val="18"/>
                <w:lang w:val="de-DE"/>
              </w:rPr>
            </w:pPr>
            <w:r w:rsidRPr="00FB4EFA">
              <w:rPr>
                <w:sz w:val="18"/>
                <w:szCs w:val="18"/>
                <w:lang w:val="de-DE"/>
              </w:rPr>
              <w:t>2268</w:t>
            </w:r>
          </w:p>
        </w:tc>
        <w:tc>
          <w:tcPr>
            <w:tcW w:w="0" w:type="auto"/>
          </w:tcPr>
          <w:p w14:paraId="7E68433D" w14:textId="77777777" w:rsidR="00A96E85" w:rsidRPr="00FB4EFA" w:rsidRDefault="00A96E85" w:rsidP="00545033">
            <w:pPr>
              <w:keepNext/>
              <w:spacing w:line="240" w:lineRule="auto"/>
              <w:rPr>
                <w:sz w:val="18"/>
                <w:szCs w:val="18"/>
                <w:lang w:val="de-DE"/>
              </w:rPr>
            </w:pPr>
            <w:r w:rsidRPr="00FB4EFA">
              <w:rPr>
                <w:sz w:val="18"/>
                <w:szCs w:val="18"/>
                <w:lang w:val="de-DE"/>
              </w:rPr>
              <w:t>4983</w:t>
            </w:r>
          </w:p>
        </w:tc>
        <w:tc>
          <w:tcPr>
            <w:tcW w:w="0" w:type="auto"/>
            <w:tcBorders>
              <w:right w:val="single" w:sz="12" w:space="0" w:color="auto"/>
            </w:tcBorders>
          </w:tcPr>
          <w:p w14:paraId="00E88063" w14:textId="77777777" w:rsidR="00A96E85" w:rsidRPr="00FB4EFA" w:rsidRDefault="00A96E85" w:rsidP="00545033">
            <w:pPr>
              <w:keepNext/>
              <w:spacing w:line="240" w:lineRule="auto"/>
              <w:rPr>
                <w:sz w:val="18"/>
                <w:szCs w:val="18"/>
                <w:lang w:val="de-DE"/>
              </w:rPr>
            </w:pPr>
            <w:r w:rsidRPr="00FB4EFA">
              <w:rPr>
                <w:sz w:val="18"/>
                <w:szCs w:val="18"/>
                <w:lang w:val="de-DE"/>
              </w:rPr>
              <w:t>7251</w:t>
            </w:r>
          </w:p>
        </w:tc>
        <w:tc>
          <w:tcPr>
            <w:tcW w:w="0" w:type="auto"/>
            <w:tcBorders>
              <w:left w:val="single" w:sz="12" w:space="0" w:color="auto"/>
            </w:tcBorders>
          </w:tcPr>
          <w:p w14:paraId="729207F0" w14:textId="77777777" w:rsidR="00A96E85" w:rsidRPr="00FB4EFA" w:rsidRDefault="00A96E85" w:rsidP="00545033">
            <w:pPr>
              <w:keepNext/>
              <w:spacing w:line="240" w:lineRule="auto"/>
              <w:rPr>
                <w:sz w:val="18"/>
                <w:szCs w:val="18"/>
                <w:lang w:val="de-DE"/>
              </w:rPr>
            </w:pPr>
            <w:r w:rsidRPr="00FB4EFA">
              <w:rPr>
                <w:sz w:val="18"/>
                <w:szCs w:val="18"/>
                <w:lang w:val="de-DE"/>
              </w:rPr>
              <w:t>31,3 %</w:t>
            </w:r>
          </w:p>
        </w:tc>
        <w:tc>
          <w:tcPr>
            <w:tcW w:w="0" w:type="auto"/>
            <w:tcBorders>
              <w:right w:val="nil"/>
            </w:tcBorders>
          </w:tcPr>
          <w:p w14:paraId="6747884F" w14:textId="77777777" w:rsidR="00A96E85" w:rsidRPr="00FB4EFA" w:rsidRDefault="00A96E85" w:rsidP="00545033">
            <w:pPr>
              <w:keepNext/>
              <w:spacing w:line="240" w:lineRule="auto"/>
              <w:rPr>
                <w:sz w:val="18"/>
                <w:szCs w:val="18"/>
                <w:lang w:val="de-DE"/>
              </w:rPr>
            </w:pPr>
            <w:r w:rsidRPr="00FB4EFA">
              <w:rPr>
                <w:sz w:val="18"/>
                <w:szCs w:val="18"/>
                <w:lang w:val="de-DE"/>
              </w:rPr>
              <w:t>68,7 %</w:t>
            </w:r>
          </w:p>
        </w:tc>
      </w:tr>
      <w:tr w:rsidR="00FB4EFA" w:rsidRPr="00FB4EFA" w14:paraId="5B85ECDE" w14:textId="77777777" w:rsidTr="009F1588">
        <w:trPr>
          <w:jc w:val="center"/>
        </w:trPr>
        <w:tc>
          <w:tcPr>
            <w:tcW w:w="0" w:type="auto"/>
            <w:tcBorders>
              <w:left w:val="nil"/>
              <w:bottom w:val="nil"/>
              <w:right w:val="single" w:sz="12" w:space="0" w:color="auto"/>
            </w:tcBorders>
          </w:tcPr>
          <w:p w14:paraId="7E4F1AD5" w14:textId="77777777" w:rsidR="00A96E85" w:rsidRPr="00FB4EFA" w:rsidRDefault="00A96E85" w:rsidP="00AC1192">
            <w:pPr>
              <w:keepNext/>
              <w:suppressAutoHyphens/>
              <w:spacing w:line="240" w:lineRule="auto"/>
              <w:rPr>
                <w:b/>
                <w:bCs/>
                <w:sz w:val="18"/>
                <w:szCs w:val="18"/>
                <w:lang w:val="de-DE"/>
              </w:rPr>
            </w:pPr>
            <w:r w:rsidRPr="00FB4EFA">
              <w:rPr>
                <w:b/>
                <w:bCs/>
                <w:sz w:val="18"/>
                <w:szCs w:val="18"/>
                <w:lang w:val="de-DE"/>
              </w:rPr>
              <w:t>Sg. + Pl.</w:t>
            </w:r>
          </w:p>
        </w:tc>
        <w:tc>
          <w:tcPr>
            <w:tcW w:w="0" w:type="auto"/>
            <w:tcBorders>
              <w:left w:val="single" w:sz="12" w:space="0" w:color="auto"/>
              <w:bottom w:val="nil"/>
            </w:tcBorders>
          </w:tcPr>
          <w:p w14:paraId="3BC55ABC" w14:textId="77777777" w:rsidR="00A96E85" w:rsidRPr="00FB4EFA" w:rsidRDefault="00A96E85" w:rsidP="00545033">
            <w:pPr>
              <w:keepNext/>
              <w:spacing w:line="240" w:lineRule="auto"/>
              <w:rPr>
                <w:sz w:val="18"/>
                <w:szCs w:val="18"/>
                <w:lang w:val="de-DE"/>
              </w:rPr>
            </w:pPr>
            <w:r w:rsidRPr="00FB4EFA">
              <w:rPr>
                <w:sz w:val="18"/>
                <w:szCs w:val="18"/>
                <w:lang w:val="de-DE"/>
              </w:rPr>
              <w:t>2792</w:t>
            </w:r>
          </w:p>
        </w:tc>
        <w:tc>
          <w:tcPr>
            <w:tcW w:w="0" w:type="auto"/>
            <w:tcBorders>
              <w:bottom w:val="nil"/>
            </w:tcBorders>
          </w:tcPr>
          <w:p w14:paraId="1D36B3CB" w14:textId="77777777" w:rsidR="00A96E85" w:rsidRPr="00FB4EFA" w:rsidRDefault="00A96E85" w:rsidP="00545033">
            <w:pPr>
              <w:keepNext/>
              <w:spacing w:line="240" w:lineRule="auto"/>
              <w:rPr>
                <w:sz w:val="18"/>
                <w:szCs w:val="18"/>
                <w:lang w:val="de-DE"/>
              </w:rPr>
            </w:pPr>
            <w:r w:rsidRPr="00FB4EFA">
              <w:rPr>
                <w:sz w:val="18"/>
                <w:szCs w:val="18"/>
                <w:lang w:val="de-DE"/>
              </w:rPr>
              <w:t>6401</w:t>
            </w:r>
          </w:p>
        </w:tc>
        <w:tc>
          <w:tcPr>
            <w:tcW w:w="0" w:type="auto"/>
            <w:tcBorders>
              <w:bottom w:val="nil"/>
              <w:right w:val="single" w:sz="12" w:space="0" w:color="auto"/>
            </w:tcBorders>
          </w:tcPr>
          <w:p w14:paraId="569C2FE3" w14:textId="77777777" w:rsidR="00A96E85" w:rsidRPr="00FB4EFA" w:rsidRDefault="00A96E85" w:rsidP="00545033">
            <w:pPr>
              <w:keepNext/>
              <w:spacing w:line="240" w:lineRule="auto"/>
              <w:rPr>
                <w:sz w:val="18"/>
                <w:szCs w:val="18"/>
                <w:lang w:val="de-DE"/>
              </w:rPr>
            </w:pPr>
            <w:r w:rsidRPr="00FB4EFA">
              <w:rPr>
                <w:sz w:val="18"/>
                <w:szCs w:val="18"/>
                <w:lang w:val="de-DE"/>
              </w:rPr>
              <w:t>9193</w:t>
            </w:r>
          </w:p>
        </w:tc>
        <w:tc>
          <w:tcPr>
            <w:tcW w:w="0" w:type="auto"/>
            <w:tcBorders>
              <w:left w:val="single" w:sz="12" w:space="0" w:color="auto"/>
              <w:bottom w:val="nil"/>
            </w:tcBorders>
          </w:tcPr>
          <w:p w14:paraId="40E5F9B2" w14:textId="77777777" w:rsidR="00A96E85" w:rsidRPr="00FB4EFA" w:rsidRDefault="00A96E85" w:rsidP="00545033">
            <w:pPr>
              <w:keepNext/>
              <w:spacing w:line="240" w:lineRule="auto"/>
              <w:rPr>
                <w:sz w:val="18"/>
                <w:szCs w:val="18"/>
                <w:lang w:val="de-DE"/>
              </w:rPr>
            </w:pPr>
            <w:r w:rsidRPr="00FB4EFA">
              <w:rPr>
                <w:sz w:val="18"/>
                <w:szCs w:val="18"/>
                <w:lang w:val="de-DE"/>
              </w:rPr>
              <w:t>30,4 %</w:t>
            </w:r>
          </w:p>
        </w:tc>
        <w:tc>
          <w:tcPr>
            <w:tcW w:w="0" w:type="auto"/>
            <w:tcBorders>
              <w:bottom w:val="nil"/>
              <w:right w:val="nil"/>
            </w:tcBorders>
          </w:tcPr>
          <w:p w14:paraId="51A90086" w14:textId="77777777" w:rsidR="00A96E85" w:rsidRPr="00FB4EFA" w:rsidRDefault="00A96E85" w:rsidP="00545033">
            <w:pPr>
              <w:keepNext/>
              <w:spacing w:line="240" w:lineRule="auto"/>
              <w:rPr>
                <w:sz w:val="18"/>
                <w:szCs w:val="18"/>
                <w:lang w:val="de-DE"/>
              </w:rPr>
            </w:pPr>
            <w:r w:rsidRPr="00FB4EFA">
              <w:rPr>
                <w:sz w:val="18"/>
                <w:szCs w:val="18"/>
                <w:lang w:val="de-DE"/>
              </w:rPr>
              <w:t>69,6 %</w:t>
            </w:r>
          </w:p>
        </w:tc>
      </w:tr>
    </w:tbl>
    <w:p w14:paraId="3EAA2331" w14:textId="3AC53FFC" w:rsidR="009F1588" w:rsidRPr="00FB4EFA" w:rsidRDefault="009F1588" w:rsidP="00AC1192">
      <w:pPr>
        <w:suppressAutoHyphens/>
        <w:spacing w:before="120" w:after="240"/>
        <w:jc w:val="center"/>
        <w:rPr>
          <w:bCs/>
          <w:sz w:val="18"/>
          <w:szCs w:val="18"/>
          <w:lang w:val="de-DE"/>
        </w:rPr>
      </w:pPr>
      <w:r w:rsidRPr="00FB4EFA">
        <w:rPr>
          <w:b/>
          <w:sz w:val="18"/>
          <w:szCs w:val="18"/>
          <w:lang w:val="de-DE"/>
        </w:rPr>
        <w:t>Tabelle 5</w:t>
      </w:r>
      <w:r w:rsidRPr="00FB4EFA">
        <w:rPr>
          <w:bCs/>
          <w:sz w:val="18"/>
          <w:szCs w:val="18"/>
          <w:lang w:val="de-DE"/>
        </w:rPr>
        <w:t>: Frequenz der vier häufigsten Lexeme und ihre Verteilung untereinander</w:t>
      </w:r>
    </w:p>
    <w:p w14:paraId="2742EAB5" w14:textId="25896538" w:rsidR="00A96E85" w:rsidRPr="00FB4EFA" w:rsidRDefault="00A96E85" w:rsidP="00402EF4">
      <w:pPr>
        <w:rPr>
          <w:lang w:val="de-DE"/>
        </w:rPr>
      </w:pPr>
      <w:r w:rsidRPr="00FB4EFA">
        <w:rPr>
          <w:lang w:val="de-DE"/>
        </w:rPr>
        <w:t>Die vorangegangenen Ergebnisse werden hierdurch bestätigt, allenfalls ist eine Tendenz bemerkbar, dass im Plural noch mehr das männlich</w:t>
      </w:r>
      <w:r w:rsidR="00325ED1" w:rsidRPr="00FB4EFA">
        <w:rPr>
          <w:lang w:val="de-DE"/>
        </w:rPr>
        <w:t>e</w:t>
      </w:r>
      <w:r w:rsidRPr="00FB4EFA">
        <w:rPr>
          <w:lang w:val="de-DE"/>
        </w:rPr>
        <w:t xml:space="preserve"> Geschlecht bevorzugt wird.</w:t>
      </w:r>
    </w:p>
    <w:p w14:paraId="7EC42FEA" w14:textId="2BDC14D6" w:rsidR="00BB5690" w:rsidRPr="00FB4EFA" w:rsidRDefault="00A96E85" w:rsidP="00AF0CAD">
      <w:pPr>
        <w:ind w:firstLine="709"/>
        <w:rPr>
          <w:lang w:val="de-DE"/>
        </w:rPr>
      </w:pPr>
      <w:r w:rsidRPr="00FB4EFA">
        <w:rPr>
          <w:lang w:val="de-DE"/>
        </w:rPr>
        <w:t xml:space="preserve">Abschließend sei noch eine andere eklatante Schieflage erwähnt, die in der Studie von 1998 nicht untersucht werden konnte. Dort tauchten nur sporadisch Personennamen auf, weswegen der männliche Vorname </w:t>
      </w:r>
      <w:r w:rsidRPr="00FB4EFA">
        <w:rPr>
          <w:i/>
          <w:lang w:val="de-DE"/>
        </w:rPr>
        <w:t>Ants</w:t>
      </w:r>
      <w:r w:rsidRPr="00FB4EFA">
        <w:rPr>
          <w:lang w:val="de-DE"/>
        </w:rPr>
        <w:t xml:space="preserve"> ins Korpus gelangte. Mit den heutigen Suchmöglichkeiten kann </w:t>
      </w:r>
      <w:r w:rsidRPr="00FB4EFA">
        <w:rPr>
          <w:lang w:val="de-DE"/>
        </w:rPr>
        <w:lastRenderedPageBreak/>
        <w:t>dies jedoch gezielter erforscht werden. Probeweise wurden pro Geschlecht die zehn häufigsten Vornamen geprüft, und zwar jene aus den Jahren 1941 bis 1945 (s.</w:t>
      </w:r>
      <w:r w:rsidR="00ED6869" w:rsidRPr="00FB4EFA">
        <w:rPr>
          <w:lang w:val="de-DE"/>
        </w:rPr>
        <w:t> </w:t>
      </w:r>
      <w:hyperlink r:id="rId271" w:history="1">
        <w:r w:rsidRPr="00FB4EFA">
          <w:rPr>
            <w:rStyle w:val="AuthorsChar"/>
            <w:rFonts w:ascii="Cambria" w:hAnsi="Cambria"/>
            <w:i w:val="0"/>
            <w:iCs/>
            <w:color w:val="auto"/>
            <w:u w:val="single"/>
            <w:lang w:val="de-DE"/>
          </w:rPr>
          <w:t>www.stat.ee/nimed/TOP_AASTAD</w:t>
        </w:r>
      </w:hyperlink>
      <w:r w:rsidRPr="00FB4EFA">
        <w:rPr>
          <w:lang w:val="de-DE"/>
        </w:rPr>
        <w:t>), was mehrere Gründe hatte: Zum einen war zu jenem Zeitpunkt die Verteilung zwischen den auf dem estnischen Territorium lebenden Nationalitäten insofern noch „normal“, als die stalinsche demografische Verschiebung noch nicht eingesetzt hatte. Heute stehen in Estland Aleksandr, Vladimir und Sergei bzw. Olga, Irina und Jelena an der Spitze der Popularitätsliste der Vornamen (s.</w:t>
      </w:r>
      <w:r w:rsidR="00ED6869" w:rsidRPr="00FB4EFA">
        <w:rPr>
          <w:lang w:val="de-DE"/>
        </w:rPr>
        <w:t> </w:t>
      </w:r>
      <w:hyperlink r:id="rId272" w:history="1">
        <w:r w:rsidRPr="00FB4EFA">
          <w:rPr>
            <w:rStyle w:val="AuthorsChar"/>
            <w:rFonts w:ascii="Cambria" w:hAnsi="Cambria"/>
            <w:i w:val="0"/>
            <w:iCs/>
            <w:color w:val="auto"/>
            <w:u w:val="single"/>
            <w:lang w:val="de-DE"/>
          </w:rPr>
          <w:t>www.stat.ee/nimed/TOP</w:t>
        </w:r>
      </w:hyperlink>
      <w:r w:rsidRPr="00FB4EFA">
        <w:rPr>
          <w:lang w:val="de-DE"/>
        </w:rPr>
        <w:t xml:space="preserve">). Da es aber um ein Wörterbuch der </w:t>
      </w:r>
      <w:r w:rsidRPr="00FB4EFA">
        <w:rPr>
          <w:i/>
          <w:lang w:val="de-DE"/>
        </w:rPr>
        <w:t>estnischen</w:t>
      </w:r>
      <w:r w:rsidRPr="00FB4EFA">
        <w:rPr>
          <w:lang w:val="de-DE"/>
        </w:rPr>
        <w:t xml:space="preserve"> Sprache geht, dessen Autorinnen und Autoren </w:t>
      </w:r>
      <w:r w:rsidRPr="00FB4EFA">
        <w:rPr>
          <w:i/>
          <w:lang w:val="de-DE"/>
        </w:rPr>
        <w:t>Esten</w:t>
      </w:r>
      <w:r w:rsidRPr="00FB4EFA">
        <w:rPr>
          <w:lang w:val="de-DE"/>
        </w:rPr>
        <w:t xml:space="preserve"> sind, die sich bei den Beispielsätzen vornehmlich der </w:t>
      </w:r>
      <w:r w:rsidRPr="00FB4EFA">
        <w:rPr>
          <w:i/>
          <w:lang w:val="de-DE"/>
        </w:rPr>
        <w:t xml:space="preserve">estnischen </w:t>
      </w:r>
      <w:r w:rsidRPr="00FB4EFA">
        <w:rPr>
          <w:lang w:val="de-DE"/>
        </w:rPr>
        <w:t>Literatur sowie ihrer eigenen Fantasie bedienen, ist es unsinnig bzw. vom Standpunkt der hier gestellten Frage irrelevant, nach russischen Vornamen zu suchen. Die Korrektheit dieses Arguments wurde übrigens in der Praxis bestätigt: Der in den 1940er-Jahren populäre männliche Vorname Vladimir (</w:t>
      </w:r>
      <w:r w:rsidR="00ED6869" w:rsidRPr="00FB4EFA">
        <w:rPr>
          <w:lang w:val="de-DE"/>
        </w:rPr>
        <w:t xml:space="preserve">damals </w:t>
      </w:r>
      <w:r w:rsidRPr="00FB4EFA">
        <w:rPr>
          <w:lang w:val="de-DE"/>
        </w:rPr>
        <w:t>an 5. Stelle) kam im EKSS kein einziges Mal vor (lediglich zweimal der Genitiv, und dann als Ortsname). Zweitens werden häufig Beispiele aus der Schönen Literatur herangezogen, die logischerweise etwas älter ist, sodass die heute aktuellen Namen weniger Resultate liefern würden.</w:t>
      </w:r>
    </w:p>
    <w:p w14:paraId="4103DFD6" w14:textId="477A4FB5" w:rsidR="00A96E85" w:rsidRPr="00FB4EFA" w:rsidRDefault="00A96E85" w:rsidP="00402EF4">
      <w:pPr>
        <w:spacing w:after="240"/>
        <w:ind w:firstLine="709"/>
        <w:rPr>
          <w:lang w:val="de-DE"/>
        </w:rPr>
      </w:pPr>
      <w:r w:rsidRPr="00FB4EFA">
        <w:rPr>
          <w:lang w:val="de-DE"/>
        </w:rPr>
        <w:t>Bei den Vornamen wurde</w:t>
      </w:r>
      <w:r w:rsidR="00ED6869" w:rsidRPr="00FB4EFA">
        <w:rPr>
          <w:lang w:val="de-DE"/>
        </w:rPr>
        <w:t>n</w:t>
      </w:r>
      <w:r w:rsidRPr="00FB4EFA">
        <w:rPr>
          <w:lang w:val="de-DE"/>
        </w:rPr>
        <w:t xml:space="preserve"> Nominativ und Genitiv geprüft, alle andere Kasus können vernachlässigt werden und hätten das Bild kaum verändert. Die Reihenfolge in der Tabelle ergibt sich aus der Häufigkeit der Vornamen im genannten Zeitraum.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9"/>
        <w:gridCol w:w="3485"/>
      </w:tblGrid>
      <w:tr w:rsidR="00FB4EFA" w:rsidRPr="00FB4EFA" w14:paraId="6066C3E9" w14:textId="77777777" w:rsidTr="009F1588">
        <w:tc>
          <w:tcPr>
            <w:tcW w:w="3419" w:type="dxa"/>
            <w:tcBorders>
              <w:top w:val="nil"/>
              <w:left w:val="nil"/>
              <w:bottom w:val="single" w:sz="12" w:space="0" w:color="auto"/>
              <w:right w:val="single" w:sz="12" w:space="0" w:color="auto"/>
            </w:tcBorders>
          </w:tcPr>
          <w:p w14:paraId="5B88B840" w14:textId="77777777" w:rsidR="00A96E85" w:rsidRPr="00FB4EFA" w:rsidRDefault="00A96E85" w:rsidP="00AC1192">
            <w:pPr>
              <w:keepNext/>
              <w:suppressAutoHyphens/>
              <w:spacing w:line="240" w:lineRule="auto"/>
              <w:rPr>
                <w:rFonts w:cs="Charis SIL"/>
                <w:b/>
                <w:bCs/>
                <w:sz w:val="18"/>
                <w:szCs w:val="18"/>
                <w:lang w:val="de-DE"/>
              </w:rPr>
            </w:pPr>
            <w:r w:rsidRPr="00FB4EFA">
              <w:rPr>
                <w:rFonts w:ascii="Segoe UI Symbol" w:hAnsi="Segoe UI Symbol" w:cs="Segoe UI Symbol"/>
                <w:b/>
                <w:bCs/>
                <w:sz w:val="18"/>
                <w:szCs w:val="18"/>
                <w:lang w:val="de-DE"/>
              </w:rPr>
              <w:t>♀</w:t>
            </w:r>
          </w:p>
        </w:tc>
        <w:tc>
          <w:tcPr>
            <w:tcW w:w="3485" w:type="dxa"/>
            <w:tcBorders>
              <w:top w:val="nil"/>
              <w:left w:val="single" w:sz="12" w:space="0" w:color="auto"/>
              <w:bottom w:val="single" w:sz="12" w:space="0" w:color="auto"/>
              <w:right w:val="nil"/>
            </w:tcBorders>
          </w:tcPr>
          <w:p w14:paraId="27115E98" w14:textId="77777777" w:rsidR="00A96E85" w:rsidRPr="00FB4EFA" w:rsidRDefault="00A96E85" w:rsidP="00AC1192">
            <w:pPr>
              <w:keepNext/>
              <w:suppressAutoHyphens/>
              <w:spacing w:line="240" w:lineRule="auto"/>
              <w:rPr>
                <w:rFonts w:cs="Charis SIL"/>
                <w:b/>
                <w:bCs/>
                <w:sz w:val="18"/>
                <w:szCs w:val="18"/>
                <w:lang w:val="de-DE"/>
              </w:rPr>
            </w:pPr>
            <w:r w:rsidRPr="00FB4EFA">
              <w:rPr>
                <w:rFonts w:ascii="Segoe UI Symbol" w:hAnsi="Segoe UI Symbol" w:cs="Segoe UI Symbol"/>
                <w:b/>
                <w:bCs/>
                <w:sz w:val="18"/>
                <w:szCs w:val="18"/>
                <w:lang w:val="de-DE"/>
              </w:rPr>
              <w:t>♂</w:t>
            </w:r>
          </w:p>
        </w:tc>
      </w:tr>
      <w:tr w:rsidR="00FB4EFA" w:rsidRPr="00FB4EFA" w14:paraId="3E8AAE61" w14:textId="77777777" w:rsidTr="009F1588">
        <w:tc>
          <w:tcPr>
            <w:tcW w:w="3419" w:type="dxa"/>
            <w:tcBorders>
              <w:top w:val="single" w:sz="12" w:space="0" w:color="auto"/>
              <w:left w:val="nil"/>
              <w:right w:val="single" w:sz="12" w:space="0" w:color="auto"/>
            </w:tcBorders>
          </w:tcPr>
          <w:p w14:paraId="6176A18D"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Tiiu </w:t>
            </w:r>
            <w:r w:rsidRPr="00FB4EFA">
              <w:rPr>
                <w:b/>
                <w:sz w:val="18"/>
                <w:szCs w:val="18"/>
                <w:lang w:val="de-DE"/>
              </w:rPr>
              <w:t>17</w:t>
            </w:r>
          </w:p>
        </w:tc>
        <w:tc>
          <w:tcPr>
            <w:tcW w:w="3485" w:type="dxa"/>
            <w:tcBorders>
              <w:top w:val="single" w:sz="12" w:space="0" w:color="auto"/>
              <w:left w:val="single" w:sz="12" w:space="0" w:color="auto"/>
              <w:right w:val="nil"/>
            </w:tcBorders>
          </w:tcPr>
          <w:p w14:paraId="1F208B3F"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Rein </w:t>
            </w:r>
            <w:r w:rsidRPr="00FB4EFA">
              <w:rPr>
                <w:b/>
                <w:sz w:val="18"/>
                <w:szCs w:val="18"/>
                <w:lang w:val="de-DE"/>
              </w:rPr>
              <w:t>95</w:t>
            </w:r>
          </w:p>
        </w:tc>
      </w:tr>
      <w:tr w:rsidR="00FB4EFA" w:rsidRPr="00FB4EFA" w14:paraId="44FC2239" w14:textId="77777777" w:rsidTr="009F1588">
        <w:tc>
          <w:tcPr>
            <w:tcW w:w="3419" w:type="dxa"/>
            <w:tcBorders>
              <w:left w:val="nil"/>
              <w:right w:val="single" w:sz="12" w:space="0" w:color="auto"/>
            </w:tcBorders>
          </w:tcPr>
          <w:p w14:paraId="69508572"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Valentina </w:t>
            </w:r>
            <w:r w:rsidRPr="00FB4EFA">
              <w:rPr>
                <w:b/>
                <w:sz w:val="18"/>
                <w:szCs w:val="18"/>
                <w:lang w:val="de-DE"/>
              </w:rPr>
              <w:t>0</w:t>
            </w:r>
          </w:p>
        </w:tc>
        <w:tc>
          <w:tcPr>
            <w:tcW w:w="3485" w:type="dxa"/>
            <w:tcBorders>
              <w:left w:val="single" w:sz="12" w:space="0" w:color="auto"/>
              <w:right w:val="nil"/>
            </w:tcBorders>
          </w:tcPr>
          <w:p w14:paraId="511C47D2"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Ants </w:t>
            </w:r>
            <w:r w:rsidRPr="00FB4EFA">
              <w:rPr>
                <w:b/>
                <w:sz w:val="18"/>
                <w:szCs w:val="18"/>
                <w:lang w:val="de-DE"/>
              </w:rPr>
              <w:t>315</w:t>
            </w:r>
          </w:p>
        </w:tc>
      </w:tr>
      <w:tr w:rsidR="00FB4EFA" w:rsidRPr="00FB4EFA" w14:paraId="1453E309" w14:textId="77777777" w:rsidTr="009F1588">
        <w:tc>
          <w:tcPr>
            <w:tcW w:w="3419" w:type="dxa"/>
            <w:tcBorders>
              <w:left w:val="nil"/>
              <w:right w:val="single" w:sz="12" w:space="0" w:color="auto"/>
            </w:tcBorders>
          </w:tcPr>
          <w:p w14:paraId="17B9C3DE"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Maie </w:t>
            </w:r>
            <w:r w:rsidRPr="00FB4EFA">
              <w:rPr>
                <w:b/>
                <w:sz w:val="18"/>
                <w:szCs w:val="18"/>
                <w:lang w:val="de-DE"/>
              </w:rPr>
              <w:t>26</w:t>
            </w:r>
          </w:p>
        </w:tc>
        <w:tc>
          <w:tcPr>
            <w:tcW w:w="3485" w:type="dxa"/>
            <w:tcBorders>
              <w:left w:val="single" w:sz="12" w:space="0" w:color="auto"/>
              <w:right w:val="nil"/>
            </w:tcBorders>
          </w:tcPr>
          <w:p w14:paraId="4C9BE959"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Jaan </w:t>
            </w:r>
            <w:r w:rsidRPr="00FB4EFA">
              <w:rPr>
                <w:b/>
                <w:sz w:val="18"/>
                <w:szCs w:val="18"/>
                <w:lang w:val="de-DE"/>
              </w:rPr>
              <w:t>388</w:t>
            </w:r>
          </w:p>
        </w:tc>
      </w:tr>
      <w:tr w:rsidR="00FB4EFA" w:rsidRPr="00FB4EFA" w14:paraId="5FC4BB1F" w14:textId="77777777" w:rsidTr="009F1588">
        <w:tc>
          <w:tcPr>
            <w:tcW w:w="3419" w:type="dxa"/>
            <w:tcBorders>
              <w:left w:val="nil"/>
              <w:right w:val="single" w:sz="12" w:space="0" w:color="auto"/>
            </w:tcBorders>
          </w:tcPr>
          <w:p w14:paraId="713992BA"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Galina </w:t>
            </w:r>
            <w:r w:rsidRPr="00FB4EFA">
              <w:rPr>
                <w:b/>
                <w:sz w:val="18"/>
                <w:szCs w:val="18"/>
                <w:lang w:val="de-DE"/>
              </w:rPr>
              <w:t>0</w:t>
            </w:r>
          </w:p>
        </w:tc>
        <w:tc>
          <w:tcPr>
            <w:tcW w:w="3485" w:type="dxa"/>
            <w:tcBorders>
              <w:left w:val="single" w:sz="12" w:space="0" w:color="auto"/>
              <w:right w:val="nil"/>
            </w:tcBorders>
          </w:tcPr>
          <w:p w14:paraId="48BEEE31"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Jüri </w:t>
            </w:r>
            <w:r w:rsidRPr="00FB4EFA">
              <w:rPr>
                <w:b/>
                <w:sz w:val="18"/>
                <w:szCs w:val="18"/>
                <w:lang w:val="de-DE"/>
              </w:rPr>
              <w:t>195</w:t>
            </w:r>
          </w:p>
        </w:tc>
      </w:tr>
      <w:tr w:rsidR="00FB4EFA" w:rsidRPr="00FB4EFA" w14:paraId="0DAA1687" w14:textId="77777777" w:rsidTr="009F1588">
        <w:tc>
          <w:tcPr>
            <w:tcW w:w="3419" w:type="dxa"/>
            <w:tcBorders>
              <w:left w:val="nil"/>
              <w:right w:val="single" w:sz="12" w:space="0" w:color="auto"/>
            </w:tcBorders>
          </w:tcPr>
          <w:p w14:paraId="194B6EA1"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Malle </w:t>
            </w:r>
            <w:r w:rsidRPr="00FB4EFA">
              <w:rPr>
                <w:b/>
                <w:sz w:val="18"/>
                <w:szCs w:val="18"/>
                <w:lang w:val="de-DE"/>
              </w:rPr>
              <w:t>18</w:t>
            </w:r>
          </w:p>
        </w:tc>
        <w:tc>
          <w:tcPr>
            <w:tcW w:w="3485" w:type="dxa"/>
            <w:tcBorders>
              <w:left w:val="single" w:sz="12" w:space="0" w:color="auto"/>
              <w:right w:val="nil"/>
            </w:tcBorders>
          </w:tcPr>
          <w:p w14:paraId="7DDFCC35"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Vladimir </w:t>
            </w:r>
            <w:r w:rsidRPr="00FB4EFA">
              <w:rPr>
                <w:b/>
                <w:sz w:val="18"/>
                <w:szCs w:val="18"/>
                <w:lang w:val="de-DE"/>
              </w:rPr>
              <w:t>0</w:t>
            </w:r>
          </w:p>
        </w:tc>
      </w:tr>
      <w:tr w:rsidR="00FB4EFA" w:rsidRPr="00FB4EFA" w14:paraId="1783CF6C" w14:textId="77777777" w:rsidTr="009F1588">
        <w:tc>
          <w:tcPr>
            <w:tcW w:w="3419" w:type="dxa"/>
            <w:tcBorders>
              <w:left w:val="nil"/>
              <w:right w:val="single" w:sz="12" w:space="0" w:color="auto"/>
            </w:tcBorders>
          </w:tcPr>
          <w:p w14:paraId="512EE387"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Anne </w:t>
            </w:r>
            <w:r w:rsidRPr="00FB4EFA">
              <w:rPr>
                <w:b/>
                <w:sz w:val="18"/>
                <w:szCs w:val="18"/>
                <w:lang w:val="de-DE"/>
              </w:rPr>
              <w:t>29</w:t>
            </w:r>
          </w:p>
        </w:tc>
        <w:tc>
          <w:tcPr>
            <w:tcW w:w="3485" w:type="dxa"/>
            <w:tcBorders>
              <w:left w:val="single" w:sz="12" w:space="0" w:color="auto"/>
              <w:right w:val="nil"/>
            </w:tcBorders>
          </w:tcPr>
          <w:p w14:paraId="0EDB8B83"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Vello </w:t>
            </w:r>
            <w:r w:rsidRPr="00FB4EFA">
              <w:rPr>
                <w:b/>
                <w:sz w:val="18"/>
                <w:szCs w:val="18"/>
                <w:lang w:val="de-DE"/>
              </w:rPr>
              <w:t>18</w:t>
            </w:r>
          </w:p>
        </w:tc>
      </w:tr>
      <w:tr w:rsidR="00FB4EFA" w:rsidRPr="00FB4EFA" w14:paraId="12F53B5D" w14:textId="77777777" w:rsidTr="009F1588">
        <w:tc>
          <w:tcPr>
            <w:tcW w:w="3419" w:type="dxa"/>
            <w:tcBorders>
              <w:left w:val="nil"/>
              <w:right w:val="single" w:sz="12" w:space="0" w:color="auto"/>
            </w:tcBorders>
          </w:tcPr>
          <w:p w14:paraId="36B929DE"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Mare </w:t>
            </w:r>
            <w:r w:rsidRPr="00FB4EFA">
              <w:rPr>
                <w:b/>
                <w:sz w:val="18"/>
                <w:szCs w:val="18"/>
                <w:lang w:val="de-DE"/>
              </w:rPr>
              <w:t>32</w:t>
            </w:r>
          </w:p>
        </w:tc>
        <w:tc>
          <w:tcPr>
            <w:tcW w:w="3485" w:type="dxa"/>
            <w:tcBorders>
              <w:left w:val="single" w:sz="12" w:space="0" w:color="auto"/>
              <w:right w:val="nil"/>
            </w:tcBorders>
          </w:tcPr>
          <w:p w14:paraId="7887F5FF"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Mati </w:t>
            </w:r>
            <w:r w:rsidRPr="00FB4EFA">
              <w:rPr>
                <w:b/>
                <w:sz w:val="18"/>
                <w:szCs w:val="18"/>
                <w:lang w:val="de-DE"/>
              </w:rPr>
              <w:t>29</w:t>
            </w:r>
          </w:p>
        </w:tc>
      </w:tr>
      <w:tr w:rsidR="00FB4EFA" w:rsidRPr="00FB4EFA" w14:paraId="5A5BD81C" w14:textId="77777777" w:rsidTr="009F1588">
        <w:tc>
          <w:tcPr>
            <w:tcW w:w="3419" w:type="dxa"/>
            <w:tcBorders>
              <w:left w:val="nil"/>
              <w:right w:val="single" w:sz="12" w:space="0" w:color="auto"/>
            </w:tcBorders>
          </w:tcPr>
          <w:p w14:paraId="64F31ED9" w14:textId="77777777" w:rsidR="00A96E85" w:rsidRPr="00FB4EFA" w:rsidRDefault="00A96E85" w:rsidP="00AC1192">
            <w:pPr>
              <w:keepNext/>
              <w:suppressAutoHyphens/>
              <w:spacing w:line="240" w:lineRule="auto"/>
              <w:rPr>
                <w:b/>
                <w:sz w:val="18"/>
                <w:szCs w:val="18"/>
                <w:lang w:val="de-DE"/>
              </w:rPr>
            </w:pPr>
            <w:r w:rsidRPr="00FB4EFA">
              <w:rPr>
                <w:sz w:val="18"/>
                <w:szCs w:val="18"/>
                <w:lang w:val="de-DE"/>
              </w:rPr>
              <w:t xml:space="preserve">Aino </w:t>
            </w:r>
            <w:r w:rsidRPr="00FB4EFA">
              <w:rPr>
                <w:b/>
                <w:sz w:val="18"/>
                <w:szCs w:val="18"/>
                <w:lang w:val="de-DE"/>
              </w:rPr>
              <w:t>25</w:t>
            </w:r>
          </w:p>
        </w:tc>
        <w:tc>
          <w:tcPr>
            <w:tcW w:w="3485" w:type="dxa"/>
            <w:tcBorders>
              <w:left w:val="single" w:sz="12" w:space="0" w:color="auto"/>
              <w:right w:val="nil"/>
            </w:tcBorders>
          </w:tcPr>
          <w:p w14:paraId="5DF35049"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Enn </w:t>
            </w:r>
            <w:r w:rsidRPr="00FB4EFA">
              <w:rPr>
                <w:b/>
                <w:sz w:val="18"/>
                <w:szCs w:val="18"/>
                <w:lang w:val="de-DE"/>
              </w:rPr>
              <w:t>44</w:t>
            </w:r>
          </w:p>
        </w:tc>
      </w:tr>
      <w:tr w:rsidR="00FB4EFA" w:rsidRPr="00FB4EFA" w14:paraId="4372F950" w14:textId="77777777" w:rsidTr="009F1588">
        <w:tc>
          <w:tcPr>
            <w:tcW w:w="3419" w:type="dxa"/>
            <w:tcBorders>
              <w:left w:val="nil"/>
              <w:right w:val="single" w:sz="12" w:space="0" w:color="auto"/>
            </w:tcBorders>
          </w:tcPr>
          <w:p w14:paraId="107E90FA"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Milvi </w:t>
            </w:r>
            <w:r w:rsidRPr="00FB4EFA">
              <w:rPr>
                <w:b/>
                <w:sz w:val="18"/>
                <w:szCs w:val="18"/>
                <w:lang w:val="de-DE"/>
              </w:rPr>
              <w:t>4</w:t>
            </w:r>
          </w:p>
        </w:tc>
        <w:tc>
          <w:tcPr>
            <w:tcW w:w="3485" w:type="dxa"/>
            <w:tcBorders>
              <w:left w:val="single" w:sz="12" w:space="0" w:color="auto"/>
              <w:right w:val="nil"/>
            </w:tcBorders>
          </w:tcPr>
          <w:p w14:paraId="628C8263"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Peeter </w:t>
            </w:r>
            <w:r w:rsidRPr="00FB4EFA">
              <w:rPr>
                <w:b/>
                <w:sz w:val="18"/>
                <w:szCs w:val="18"/>
                <w:lang w:val="de-DE"/>
              </w:rPr>
              <w:t>198</w:t>
            </w:r>
          </w:p>
        </w:tc>
      </w:tr>
      <w:tr w:rsidR="00FB4EFA" w:rsidRPr="00FB4EFA" w14:paraId="75939698" w14:textId="77777777" w:rsidTr="009F1588">
        <w:tc>
          <w:tcPr>
            <w:tcW w:w="3419" w:type="dxa"/>
            <w:tcBorders>
              <w:left w:val="nil"/>
              <w:right w:val="single" w:sz="12" w:space="0" w:color="auto"/>
            </w:tcBorders>
          </w:tcPr>
          <w:p w14:paraId="2CD35ABD"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Niina </w:t>
            </w:r>
            <w:r w:rsidRPr="00FB4EFA">
              <w:rPr>
                <w:b/>
                <w:sz w:val="18"/>
                <w:szCs w:val="18"/>
                <w:lang w:val="de-DE"/>
              </w:rPr>
              <w:t>1</w:t>
            </w:r>
          </w:p>
        </w:tc>
        <w:tc>
          <w:tcPr>
            <w:tcW w:w="3485" w:type="dxa"/>
            <w:tcBorders>
              <w:left w:val="single" w:sz="12" w:space="0" w:color="auto"/>
              <w:right w:val="nil"/>
            </w:tcBorders>
          </w:tcPr>
          <w:p w14:paraId="434CD4FC"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Heino </w:t>
            </w:r>
            <w:r w:rsidRPr="00FB4EFA">
              <w:rPr>
                <w:b/>
                <w:sz w:val="18"/>
                <w:szCs w:val="18"/>
                <w:lang w:val="de-DE"/>
              </w:rPr>
              <w:t>20</w:t>
            </w:r>
          </w:p>
        </w:tc>
      </w:tr>
      <w:tr w:rsidR="00FB4EFA" w:rsidRPr="00FB4EFA" w14:paraId="45D65D14" w14:textId="77777777" w:rsidTr="009F1588">
        <w:tc>
          <w:tcPr>
            <w:tcW w:w="3419" w:type="dxa"/>
            <w:tcBorders>
              <w:left w:val="nil"/>
              <w:bottom w:val="nil"/>
              <w:right w:val="single" w:sz="12" w:space="0" w:color="auto"/>
            </w:tcBorders>
          </w:tcPr>
          <w:p w14:paraId="3A053743"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 </w:t>
            </w:r>
            <w:r w:rsidRPr="00FB4EFA">
              <w:rPr>
                <w:b/>
                <w:sz w:val="18"/>
                <w:szCs w:val="18"/>
                <w:lang w:val="de-DE"/>
              </w:rPr>
              <w:t>152 (= 10,5 %)</w:t>
            </w:r>
          </w:p>
        </w:tc>
        <w:tc>
          <w:tcPr>
            <w:tcW w:w="3485" w:type="dxa"/>
            <w:tcBorders>
              <w:left w:val="single" w:sz="12" w:space="0" w:color="auto"/>
              <w:bottom w:val="nil"/>
              <w:right w:val="nil"/>
            </w:tcBorders>
          </w:tcPr>
          <w:p w14:paraId="7525CA7F" w14:textId="77777777" w:rsidR="00A96E85" w:rsidRPr="00FB4EFA" w:rsidRDefault="00A96E85" w:rsidP="00AC1192">
            <w:pPr>
              <w:keepNext/>
              <w:suppressAutoHyphens/>
              <w:spacing w:line="240" w:lineRule="auto"/>
              <w:rPr>
                <w:sz w:val="18"/>
                <w:szCs w:val="18"/>
                <w:lang w:val="de-DE"/>
              </w:rPr>
            </w:pPr>
            <w:r w:rsidRPr="00FB4EFA">
              <w:rPr>
                <w:sz w:val="18"/>
                <w:szCs w:val="18"/>
                <w:lang w:val="de-DE"/>
              </w:rPr>
              <w:t xml:space="preserve">∑ </w:t>
            </w:r>
            <w:r w:rsidRPr="00FB4EFA">
              <w:rPr>
                <w:b/>
                <w:sz w:val="18"/>
                <w:szCs w:val="18"/>
                <w:lang w:val="de-DE"/>
              </w:rPr>
              <w:t>1302 (= 89,5 %)</w:t>
            </w:r>
          </w:p>
        </w:tc>
      </w:tr>
    </w:tbl>
    <w:p w14:paraId="6572B794" w14:textId="3E85C89E" w:rsidR="009F1588" w:rsidRPr="00FB4EFA" w:rsidRDefault="009F1588" w:rsidP="00AC1192">
      <w:pPr>
        <w:suppressAutoHyphens/>
        <w:spacing w:before="120" w:after="240" w:line="240" w:lineRule="auto"/>
        <w:jc w:val="center"/>
        <w:rPr>
          <w:b/>
          <w:sz w:val="18"/>
          <w:szCs w:val="18"/>
          <w:lang w:val="de-DE"/>
        </w:rPr>
      </w:pPr>
      <w:r w:rsidRPr="00FB4EFA">
        <w:rPr>
          <w:b/>
          <w:sz w:val="18"/>
          <w:szCs w:val="18"/>
          <w:lang w:val="de-DE"/>
        </w:rPr>
        <w:t>Tabelle 6</w:t>
      </w:r>
      <w:r w:rsidRPr="00FB4EFA">
        <w:rPr>
          <w:bCs/>
          <w:sz w:val="18"/>
          <w:szCs w:val="18"/>
          <w:lang w:val="de-DE"/>
        </w:rPr>
        <w:t>: Anzahl der Belege für die jeweils zehn häufigsten Vornamen (aus den Jahren 1941–1945)</w:t>
      </w:r>
    </w:p>
    <w:p w14:paraId="563C8D39" w14:textId="635DAFCD" w:rsidR="004E3EE5" w:rsidRPr="00FB4EFA" w:rsidRDefault="00A96E85" w:rsidP="00402EF4">
      <w:pPr>
        <w:rPr>
          <w:lang w:val="de-DE"/>
        </w:rPr>
      </w:pPr>
      <w:r w:rsidRPr="00FB4EFA">
        <w:rPr>
          <w:lang w:val="de-DE"/>
        </w:rPr>
        <w:lastRenderedPageBreak/>
        <w:t xml:space="preserve">Dieser Befund ist bemerkenswert. Von 1454 Belegen in den Beispielsätzen entfallen nur gut zehn Prozent auf weibliche Protagonisten, der Rest wird von den Männern erledigt. Damit ist dem Fazit von 1998 nichts hinzuzufügen: „Die Lage der Frau im estnischen Lexikon ist somit kaum anders als die ihrer Geschlechtsgenossinnen in anderen Sprachen und Ländern: Trotz des finnougrischen </w:t>
      </w:r>
      <w:r w:rsidR="00ED6869" w:rsidRPr="00FB4EFA">
        <w:rPr>
          <w:lang w:val="de-DE"/>
        </w:rPr>
        <w:t>„</w:t>
      </w:r>
      <w:r w:rsidRPr="00FB4EFA">
        <w:rPr>
          <w:lang w:val="de-DE"/>
        </w:rPr>
        <w:t>Vorsprungs</w:t>
      </w:r>
      <w:r w:rsidR="00ED6869" w:rsidRPr="00FB4EFA">
        <w:rPr>
          <w:lang w:val="de-DE"/>
        </w:rPr>
        <w:t>“</w:t>
      </w:r>
      <w:r w:rsidRPr="00FB4EFA">
        <w:rPr>
          <w:lang w:val="de-DE"/>
        </w:rPr>
        <w:t xml:space="preserve"> gerät sie schnell ins Hintertreffen.“ (Hasselblatt 1998, 154, orthographisch korrigiert.)</w:t>
      </w:r>
    </w:p>
    <w:p w14:paraId="42EFCF47" w14:textId="7D345C94" w:rsidR="00A96E85" w:rsidRPr="00FB4EFA" w:rsidRDefault="00A96E85" w:rsidP="00402EF4">
      <w:pPr>
        <w:ind w:firstLine="709"/>
        <w:rPr>
          <w:lang w:val="de-DE"/>
        </w:rPr>
      </w:pPr>
      <w:r w:rsidRPr="00FB4EFA">
        <w:rPr>
          <w:lang w:val="de-DE"/>
        </w:rPr>
        <w:t>Die eingangs versuchte Rechtfertigung einer „Version 2.0“ erweist sich somit als dürftig. So schnell hat sich noch nichts geändert. Aber die neuen Untersuchungsmöglichkeiten haben die alten Ergebnisse bestätigt, immerhin.</w:t>
      </w:r>
    </w:p>
    <w:p w14:paraId="78EDD8D1" w14:textId="1705DF8F" w:rsidR="00A96E85" w:rsidRPr="00FB4EFA" w:rsidRDefault="00A96E85" w:rsidP="00545033">
      <w:pPr>
        <w:pStyle w:val="Heading2"/>
        <w:suppressAutoHyphens/>
        <w:spacing w:line="259" w:lineRule="auto"/>
        <w:rPr>
          <w:color w:val="auto"/>
        </w:rPr>
      </w:pPr>
      <w:r w:rsidRPr="00FB4EFA">
        <w:rPr>
          <w:color w:val="auto"/>
        </w:rPr>
        <w:lastRenderedPageBreak/>
        <w:t>Bibliografie</w:t>
      </w:r>
    </w:p>
    <w:p w14:paraId="3ED0C54A" w14:textId="208CE0E1" w:rsidR="00A96E85" w:rsidRPr="00FB4EFA" w:rsidRDefault="00A96E85" w:rsidP="00AD79E8">
      <w:pPr>
        <w:keepNext/>
        <w:suppressAutoHyphens/>
        <w:ind w:left="426" w:hanging="426"/>
        <w:rPr>
          <w:lang w:val="de-DE"/>
        </w:rPr>
      </w:pPr>
      <w:r w:rsidRPr="00FB4EFA">
        <w:rPr>
          <w:lang w:val="de-DE"/>
        </w:rPr>
        <w:t>EKSS 1988</w:t>
      </w:r>
      <w:r w:rsidR="002544DA" w:rsidRPr="00FB4EFA">
        <w:rPr>
          <w:lang w:val="de-DE"/>
        </w:rPr>
        <w:t>–</w:t>
      </w:r>
      <w:r w:rsidR="00905F35" w:rsidRPr="00FB4EFA">
        <w:rPr>
          <w:lang w:val="de-DE"/>
        </w:rPr>
        <w:t>1996</w:t>
      </w:r>
      <w:r w:rsidRPr="00FB4EFA">
        <w:rPr>
          <w:lang w:val="de-DE"/>
        </w:rPr>
        <w:t xml:space="preserve"> = </w:t>
      </w:r>
      <w:r w:rsidRPr="00FB4EFA">
        <w:rPr>
          <w:i/>
          <w:lang w:val="de-DE"/>
        </w:rPr>
        <w:t>Eesti kirjakeele seletussõnaraamat</w:t>
      </w:r>
      <w:r w:rsidRPr="00FB4EFA">
        <w:rPr>
          <w:lang w:val="de-DE"/>
        </w:rPr>
        <w:t>. I.-IV. Tallinn: Valgus.</w:t>
      </w:r>
    </w:p>
    <w:p w14:paraId="6A2D9055" w14:textId="7A39EC11" w:rsidR="00A96E85" w:rsidRPr="00FB4EFA" w:rsidRDefault="00A96E85" w:rsidP="00AD79E8">
      <w:pPr>
        <w:keepNext/>
        <w:suppressAutoHyphens/>
        <w:ind w:left="426" w:hanging="426"/>
        <w:rPr>
          <w:lang w:val="de-DE"/>
        </w:rPr>
      </w:pPr>
      <w:r w:rsidRPr="00FB4EFA">
        <w:rPr>
          <w:lang w:val="de-DE"/>
        </w:rPr>
        <w:t xml:space="preserve">EKSS 2009 = </w:t>
      </w:r>
      <w:r w:rsidRPr="00FB4EFA">
        <w:rPr>
          <w:i/>
          <w:lang w:val="de-DE"/>
        </w:rPr>
        <w:t>Eesti keele seletav sõnaraamat</w:t>
      </w:r>
      <w:r w:rsidRPr="00FB4EFA">
        <w:rPr>
          <w:lang w:val="de-DE"/>
        </w:rPr>
        <w:t xml:space="preserve">. </w:t>
      </w:r>
      <w:r w:rsidR="00E77EA1" w:rsidRPr="00FB4EFA">
        <w:rPr>
          <w:lang w:val="et-EE"/>
        </w:rPr>
        <w:t>„</w:t>
      </w:r>
      <w:r w:rsidRPr="00FB4EFA">
        <w:rPr>
          <w:lang w:val="et-EE"/>
        </w:rPr>
        <w:t>Eesti kirjakeele seletussõnaraamatu</w:t>
      </w:r>
      <w:r w:rsidR="00E77EA1" w:rsidRPr="00FB4EFA">
        <w:rPr>
          <w:lang w:val="et-EE"/>
        </w:rPr>
        <w:t>“</w:t>
      </w:r>
      <w:r w:rsidRPr="00FB4EFA">
        <w:rPr>
          <w:lang w:val="de-DE"/>
        </w:rPr>
        <w:t xml:space="preserve"> 2., täiendatud ja parandatud trükk. 1–6. Tallinn: Eesti Keele Sihtasutus. </w:t>
      </w:r>
      <w:hyperlink r:id="rId273" w:history="1">
        <w:r w:rsidR="00F66F17" w:rsidRPr="00FB4EFA">
          <w:rPr>
            <w:rFonts w:eastAsia="Calibri" w:cs="Calibri"/>
            <w:u w:val="single"/>
            <w:lang w:val="de-DE" w:eastAsia="en-GB"/>
          </w:rPr>
          <w:t>www.eki.ee/dict/ekss/</w:t>
        </w:r>
      </w:hyperlink>
      <w:r w:rsidR="00A47F9A" w:rsidRPr="00FB4EFA">
        <w:rPr>
          <w:lang w:val="de-DE"/>
        </w:rPr>
        <w:t>.</w:t>
      </w:r>
    </w:p>
    <w:p w14:paraId="1AECE6E4" w14:textId="0D36E34D" w:rsidR="008F73FD" w:rsidRPr="00FB4EFA" w:rsidRDefault="00A96E85" w:rsidP="000F32FA">
      <w:pPr>
        <w:keepNext/>
        <w:suppressAutoHyphens/>
        <w:ind w:left="426" w:hanging="426"/>
        <w:jc w:val="left"/>
        <w:rPr>
          <w:lang w:val="de-DE"/>
        </w:rPr>
      </w:pPr>
      <w:r w:rsidRPr="00FB4EFA">
        <w:rPr>
          <w:lang w:val="de-DE"/>
        </w:rPr>
        <w:t xml:space="preserve">Gender-neutral language in the European Parliament </w:t>
      </w:r>
      <w:hyperlink r:id="rId274" w:history="1">
        <w:r w:rsidR="00125ADE" w:rsidRPr="00FB4EFA">
          <w:rPr>
            <w:rFonts w:eastAsia="Calibri" w:cs="Calibri"/>
            <w:iCs/>
            <w:u w:val="single"/>
            <w:lang w:val="de-DE" w:eastAsia="en-GB"/>
          </w:rPr>
          <w:t>www.europarl.europa.eu/RegData/publications/2009/0001/</w:t>
        </w:r>
        <w:r w:rsidR="00125ADE" w:rsidRPr="00FB4EFA">
          <w:rPr>
            <w:rFonts w:eastAsia="Calibri" w:cs="Calibri"/>
            <w:iCs/>
            <w:u w:val="single"/>
            <w:lang w:val="de-DE" w:eastAsia="en-GB"/>
          </w:rPr>
          <w:br/>
          <w:t>P6_PUB%282009%290001_EN.pdf</w:t>
        </w:r>
      </w:hyperlink>
      <w:r w:rsidR="00A47F9A" w:rsidRPr="00FB4EFA">
        <w:rPr>
          <w:lang w:val="de-DE"/>
        </w:rPr>
        <w:t>.</w:t>
      </w:r>
    </w:p>
    <w:p w14:paraId="31FEA4CF" w14:textId="37109227" w:rsidR="00A96E85" w:rsidRPr="00FB4EFA" w:rsidRDefault="00A96E85" w:rsidP="00AD79E8">
      <w:pPr>
        <w:keepNext/>
        <w:keepLines/>
        <w:suppressAutoHyphens/>
        <w:ind w:left="425" w:hanging="425"/>
        <w:rPr>
          <w:lang w:val="de-DE"/>
        </w:rPr>
      </w:pPr>
      <w:r w:rsidRPr="00FB4EFA">
        <w:rPr>
          <w:lang w:val="de-DE"/>
        </w:rPr>
        <w:t>Hasselblatt, Cornelius. 1998. Die Frau im estnischen Lexikon. In Riho Grünthal, Johanna Laakso (H</w:t>
      </w:r>
      <w:r w:rsidR="00E77EA1" w:rsidRPr="00FB4EFA">
        <w:rPr>
          <w:lang w:val="de-DE"/>
        </w:rPr>
        <w:t>rs</w:t>
      </w:r>
      <w:r w:rsidRPr="00FB4EFA">
        <w:rPr>
          <w:lang w:val="de-DE"/>
        </w:rPr>
        <w:t xml:space="preserve">g.), </w:t>
      </w:r>
      <w:r w:rsidRPr="00FB4EFA">
        <w:rPr>
          <w:i/>
          <w:lang w:val="de-DE"/>
        </w:rPr>
        <w:t>Oekeeta asijoo</w:t>
      </w:r>
      <w:r w:rsidRPr="00FB4EFA">
        <w:rPr>
          <w:i/>
          <w:iCs/>
          <w:lang w:val="de-DE"/>
        </w:rPr>
        <w:t>. Commentationes Fenno-Ugricae in honorem Seppo Suhonen sexagenarii</w:t>
      </w:r>
      <w:r w:rsidR="00E77EA1" w:rsidRPr="00FB4EFA">
        <w:rPr>
          <w:lang w:val="de-DE"/>
        </w:rPr>
        <w:t>, 147–155</w:t>
      </w:r>
      <w:r w:rsidRPr="00FB4EFA">
        <w:rPr>
          <w:lang w:val="de-DE"/>
        </w:rPr>
        <w:t xml:space="preserve">. </w:t>
      </w:r>
      <w:r w:rsidR="004D007D" w:rsidRPr="00FB4EFA">
        <w:rPr>
          <w:rFonts w:eastAsia="Times New Roman" w:cs="Charis SIL"/>
          <w:lang w:val="en-US"/>
        </w:rPr>
        <w:t xml:space="preserve">Suomalais-Ugrilaisen Seuran Toimituksia </w:t>
      </w:r>
      <w:r w:rsidRPr="00FB4EFA">
        <w:rPr>
          <w:lang w:val="de-DE"/>
        </w:rPr>
        <w:t>228.</w:t>
      </w:r>
      <w:r w:rsidR="00E77EA1" w:rsidRPr="00FB4EFA">
        <w:rPr>
          <w:lang w:val="de-DE"/>
        </w:rPr>
        <w:t xml:space="preserve"> Helsinki: Suomalais-Ugrilainen Seura.</w:t>
      </w:r>
    </w:p>
    <w:p w14:paraId="110563C2" w14:textId="06015FA8" w:rsidR="00A96E85" w:rsidRPr="00FB4EFA" w:rsidRDefault="00125ADE" w:rsidP="00AD79E8">
      <w:pPr>
        <w:keepNext/>
        <w:suppressAutoHyphens/>
        <w:ind w:left="426" w:hanging="426"/>
        <w:rPr>
          <w:lang w:val="de-DE"/>
        </w:rPr>
      </w:pPr>
      <w:r w:rsidRPr="00FB4EFA">
        <w:rPr>
          <w:lang w:val="de-DE"/>
        </w:rPr>
        <w:t xml:space="preserve">Hasselblatt, Cornelius. </w:t>
      </w:r>
      <w:r w:rsidR="00A96E85" w:rsidRPr="00FB4EFA">
        <w:rPr>
          <w:lang w:val="de-DE"/>
        </w:rPr>
        <w:t xml:space="preserve">2015. The representation of gender in Estonian. In Marlis Hellinger </w:t>
      </w:r>
      <w:r w:rsidR="00E77EA1" w:rsidRPr="00FB4EFA">
        <w:rPr>
          <w:lang w:val="de-DE"/>
        </w:rPr>
        <w:t>&amp;</w:t>
      </w:r>
      <w:r w:rsidR="00A96E85" w:rsidRPr="00FB4EFA">
        <w:rPr>
          <w:lang w:val="de-DE"/>
        </w:rPr>
        <w:t xml:space="preserve"> Heiko Motschenbacher (</w:t>
      </w:r>
      <w:r w:rsidR="00E77EA1" w:rsidRPr="00FB4EFA">
        <w:rPr>
          <w:lang w:val="de-DE"/>
        </w:rPr>
        <w:t>Hrsg</w:t>
      </w:r>
      <w:r w:rsidR="00A96E85" w:rsidRPr="00FB4EFA">
        <w:rPr>
          <w:lang w:val="de-DE"/>
        </w:rPr>
        <w:t xml:space="preserve">.), </w:t>
      </w:r>
      <w:r w:rsidR="00A96E85" w:rsidRPr="00FB4EFA">
        <w:rPr>
          <w:i/>
          <w:lang w:val="de-DE"/>
        </w:rPr>
        <w:t>Gender Across Languages. Volume 4</w:t>
      </w:r>
      <w:r w:rsidR="00E77EA1" w:rsidRPr="00FB4EFA">
        <w:rPr>
          <w:lang w:val="de-DE"/>
        </w:rPr>
        <w:t>, 125–151</w:t>
      </w:r>
      <w:r w:rsidR="00A96E85" w:rsidRPr="00FB4EFA">
        <w:rPr>
          <w:lang w:val="de-DE"/>
        </w:rPr>
        <w:t>. Amsterdam: John Benjamins.</w:t>
      </w:r>
    </w:p>
    <w:p w14:paraId="16D0B2B1" w14:textId="2534B218" w:rsidR="00A96E85" w:rsidRPr="00FB4EFA" w:rsidRDefault="00A96E85" w:rsidP="00AD79E8">
      <w:pPr>
        <w:keepNext/>
        <w:suppressAutoHyphens/>
        <w:ind w:left="426" w:hanging="426"/>
        <w:rPr>
          <w:lang w:val="de-DE"/>
        </w:rPr>
      </w:pPr>
      <w:r w:rsidRPr="00FB4EFA">
        <w:rPr>
          <w:lang w:val="de-DE"/>
        </w:rPr>
        <w:t xml:space="preserve">Laakso, Johanna. 2005. </w:t>
      </w:r>
      <w:r w:rsidRPr="00FB4EFA">
        <w:rPr>
          <w:i/>
          <w:lang w:val="de-DE"/>
        </w:rPr>
        <w:t>Our otherness. Finno-Ugrian Approaches to Women</w:t>
      </w:r>
      <w:r w:rsidR="002B6C5D" w:rsidRPr="00FB4EFA">
        <w:rPr>
          <w:rFonts w:cs="Charis SIL"/>
          <w:i/>
          <w:iCs/>
          <w:lang w:val="hu-HU"/>
        </w:rPr>
        <w:t>’</w:t>
      </w:r>
      <w:r w:rsidRPr="00FB4EFA">
        <w:rPr>
          <w:i/>
          <w:lang w:val="de-DE"/>
        </w:rPr>
        <w:t>s Studies, or vice versa</w:t>
      </w:r>
      <w:r w:rsidRPr="00FB4EFA">
        <w:rPr>
          <w:lang w:val="de-DE"/>
        </w:rPr>
        <w:t xml:space="preserve">. </w:t>
      </w:r>
      <w:r w:rsidR="00E77EA1" w:rsidRPr="00FB4EFA">
        <w:rPr>
          <w:lang w:val="de-DE"/>
        </w:rPr>
        <w:t xml:space="preserve">Finno-Ugrian Studies in Austria 2. </w:t>
      </w:r>
      <w:r w:rsidRPr="00FB4EFA">
        <w:rPr>
          <w:lang w:val="de-DE"/>
        </w:rPr>
        <w:t>Wien: Lit-Verlag</w:t>
      </w:r>
      <w:r w:rsidR="00E77EA1" w:rsidRPr="00FB4EFA">
        <w:rPr>
          <w:lang w:val="de-DE"/>
        </w:rPr>
        <w:t>.</w:t>
      </w:r>
    </w:p>
    <w:p w14:paraId="5F63E007" w14:textId="7BE5831D" w:rsidR="00A96E85" w:rsidRPr="00FB4EFA" w:rsidRDefault="00A96E85" w:rsidP="00AD79E8">
      <w:pPr>
        <w:keepNext/>
        <w:suppressAutoHyphens/>
        <w:ind w:left="426" w:hanging="426"/>
        <w:rPr>
          <w:lang w:val="de-DE"/>
        </w:rPr>
      </w:pPr>
      <w:r w:rsidRPr="00FB4EFA">
        <w:rPr>
          <w:lang w:val="de-DE"/>
        </w:rPr>
        <w:t xml:space="preserve">Lauristin, Marju. 1995. Über Armut und Emanzipation. </w:t>
      </w:r>
      <w:r w:rsidRPr="00FB4EFA">
        <w:rPr>
          <w:i/>
          <w:lang w:val="de-DE"/>
        </w:rPr>
        <w:t>Estonia</w:t>
      </w:r>
      <w:r w:rsidRPr="00FB4EFA">
        <w:rPr>
          <w:lang w:val="de-DE"/>
        </w:rPr>
        <w:t xml:space="preserve"> 1/1995</w:t>
      </w:r>
      <w:r w:rsidR="00E77EA1" w:rsidRPr="00FB4EFA">
        <w:rPr>
          <w:lang w:val="de-DE"/>
        </w:rPr>
        <w:t>.</w:t>
      </w:r>
      <w:r w:rsidRPr="00FB4EFA">
        <w:rPr>
          <w:lang w:val="de-DE"/>
        </w:rPr>
        <w:t xml:space="preserve"> 21–26.</w:t>
      </w:r>
    </w:p>
    <w:p w14:paraId="1596616F" w14:textId="50727CE3" w:rsidR="00A96E85" w:rsidRPr="00FB4EFA" w:rsidRDefault="00A96E85" w:rsidP="000F32FA">
      <w:pPr>
        <w:suppressAutoHyphens/>
        <w:ind w:left="426" w:hanging="426"/>
        <w:jc w:val="left"/>
        <w:rPr>
          <w:i/>
          <w:iCs/>
          <w:lang w:val="de-DE"/>
        </w:rPr>
      </w:pPr>
      <w:r w:rsidRPr="00FB4EFA">
        <w:rPr>
          <w:lang w:val="de-DE"/>
        </w:rPr>
        <w:t xml:space="preserve">Sooneutraalne keelekasutus Euroopa Parlamendis. </w:t>
      </w:r>
      <w:hyperlink r:id="rId275" w:history="1">
        <w:r w:rsidR="00932326" w:rsidRPr="00FB4EFA">
          <w:rPr>
            <w:rStyle w:val="Hyperlink"/>
            <w:rFonts w:eastAsia="Calibri" w:cs="Calibri"/>
            <w:iCs/>
            <w:color w:val="auto"/>
            <w:lang w:val="de-DE" w:eastAsia="en-GB"/>
          </w:rPr>
          <w:t>www.europarl.europa.eu/RegData/publications/2009/0001/</w:t>
        </w:r>
        <w:r w:rsidR="00932326" w:rsidRPr="00FB4EFA">
          <w:rPr>
            <w:rStyle w:val="Hyperlink"/>
            <w:rFonts w:eastAsia="Calibri" w:cs="Calibri"/>
            <w:iCs/>
            <w:color w:val="auto"/>
            <w:lang w:val="de-DE" w:eastAsia="en-GB"/>
          </w:rPr>
          <w:br/>
          <w:t>P6_PUB%282009%290001_ET.pdf</w:t>
        </w:r>
      </w:hyperlink>
      <w:r w:rsidR="00A47F9A" w:rsidRPr="00FB4EFA">
        <w:rPr>
          <w:lang w:val="de-DE"/>
        </w:rPr>
        <w:t>.</w:t>
      </w:r>
    </w:p>
    <w:p w14:paraId="7E1928A7" w14:textId="77777777" w:rsidR="00810763" w:rsidRPr="00FB4EFA" w:rsidRDefault="00810763" w:rsidP="00AF0CAD">
      <w:pPr>
        <w:pStyle w:val="Authors"/>
        <w:spacing w:line="259" w:lineRule="auto"/>
        <w:rPr>
          <w:color w:val="auto"/>
        </w:rPr>
        <w:sectPr w:rsidR="00810763" w:rsidRPr="00FB4EFA" w:rsidSect="007662D7">
          <w:headerReference w:type="default" r:id="rId276"/>
          <w:footnotePr>
            <w:numRestart w:val="eachSect"/>
          </w:footnotePr>
          <w:pgSz w:w="9180" w:h="13302"/>
          <w:pgMar w:top="779" w:right="1133" w:bottom="1132" w:left="1133" w:header="744" w:footer="720" w:gutter="0"/>
          <w:cols w:space="720"/>
          <w:titlePg/>
        </w:sectPr>
      </w:pPr>
    </w:p>
    <w:p w14:paraId="29317C5A" w14:textId="77777777" w:rsidR="00A96E85" w:rsidRPr="00FB4EFA" w:rsidRDefault="00A96E85" w:rsidP="00AF0CAD">
      <w:pPr>
        <w:pStyle w:val="Authors"/>
        <w:spacing w:line="259" w:lineRule="auto"/>
        <w:rPr>
          <w:color w:val="auto"/>
        </w:rPr>
      </w:pPr>
      <w:r w:rsidRPr="00FB4EFA">
        <w:rPr>
          <w:color w:val="auto"/>
        </w:rPr>
        <w:lastRenderedPageBreak/>
        <w:t>Johannes Hirvonen</w:t>
      </w:r>
    </w:p>
    <w:p w14:paraId="6A7C44B6" w14:textId="77777777" w:rsidR="00A96E85" w:rsidRPr="00FB4EFA" w:rsidRDefault="00A96E85" w:rsidP="00402EF4"/>
    <w:p w14:paraId="704DFA9A" w14:textId="77777777" w:rsidR="008F73FD" w:rsidRPr="00FB4EFA" w:rsidRDefault="00A96E85" w:rsidP="00994E2A">
      <w:pPr>
        <w:pStyle w:val="Heading1"/>
        <w:suppressAutoHyphens/>
        <w:spacing w:line="259" w:lineRule="auto"/>
        <w:ind w:right="74"/>
        <w:rPr>
          <w:color w:val="auto"/>
          <w:lang w:val="de-AT"/>
        </w:rPr>
      </w:pPr>
      <w:bookmarkStart w:id="58" w:name="_Toc87547007"/>
      <w:bookmarkStart w:id="59" w:name="_Ref90999598"/>
      <w:r w:rsidRPr="00FB4EFA">
        <w:rPr>
          <w:color w:val="auto"/>
          <w:lang w:val="de-AT"/>
        </w:rPr>
        <w:t>Nullsubjekte im Livischen</w:t>
      </w:r>
      <w:bookmarkEnd w:id="58"/>
      <w:bookmarkEnd w:id="59"/>
    </w:p>
    <w:p w14:paraId="7E4A1E44" w14:textId="77777777" w:rsidR="00A2715F" w:rsidRPr="00FB4EFA" w:rsidRDefault="00A2715F" w:rsidP="00545033">
      <w:pPr>
        <w:pStyle w:val="Heading2"/>
        <w:suppressAutoHyphens/>
        <w:spacing w:line="259" w:lineRule="auto"/>
        <w:rPr>
          <w:color w:val="auto"/>
          <w:lang w:val="de-AT"/>
        </w:rPr>
      </w:pPr>
      <w:r w:rsidRPr="00FB4EFA">
        <w:rPr>
          <w:color w:val="auto"/>
          <w:lang w:val="de-AT"/>
        </w:rPr>
        <w:t>1. Einleitung</w:t>
      </w:r>
    </w:p>
    <w:p w14:paraId="7C7809F1" w14:textId="40125EC5" w:rsidR="00A2715F" w:rsidRPr="00FB4EFA" w:rsidRDefault="00A2715F" w:rsidP="00402EF4">
      <w:r w:rsidRPr="00FB4EFA">
        <w:t>Livisch</w:t>
      </w:r>
      <w:bookmarkStart w:id="60" w:name="_Hlk87569482"/>
      <w:bookmarkEnd w:id="60"/>
      <w:r w:rsidRPr="00FB4EFA">
        <w:rPr>
          <w:vertAlign w:val="superscript"/>
        </w:rPr>
        <w:footnoteReference w:id="64"/>
      </w:r>
      <w:r w:rsidRPr="00FB4EFA">
        <w:t xml:space="preserve"> ist eine stark gefährdete ostseefinnische Sprache, die in Lettland gesprochen wird. Das Livische unterscheidet sich in vielerlei Hinsicht von den übrigen ostseefinnischen Sprachen (Laakso 2001), weshalb es von V</w:t>
      </w:r>
      <w:bookmarkStart w:id="61" w:name="_Hlk87569618"/>
      <w:bookmarkEnd w:id="61"/>
      <w:r w:rsidRPr="00FB4EFA">
        <w:t>iitso (1998) als eigener Zweig der ostseefinnischen Sprachen klassifiziert wird. Im Hinblick auf die Verbalmorphologie ist Livisch gekennzeichnet durch den Zusammenfall der Verbalendungen der 1. Person Singular mit jenen der 3. Person Singular. Dabei unterscheidet sich Livisch von ostseefinnischen Sprachen mit weniger Synkretismus im Verbalparadigma wie (Standard-)Finnisch, das alle Personen systematisch durch Personalendungen unterscheidet. Im Standardfinnischen wird die Person klar am Verb markiert</w:t>
      </w:r>
      <w:r w:rsidR="003B02E6" w:rsidRPr="00FB4EFA">
        <w:t>,</w:t>
      </w:r>
      <w:r w:rsidRPr="00FB4EFA">
        <w:t xml:space="preserve"> und Subjekte der 1. und 2. Person können daher weggelassen werden, was es zu einer partiellen Nullsubjektsprache macht (Holmberg 2010). Vergleichende Daten aus anderen ostseefinnischen Sprachen fehlen in dieser Hinsicht – mit Ausnahme des Estnischen, dessen Status allerdings bislang auch eher unklar ist. In diesem Beitrag soll ein Teil dieser Lücke gefüllt und erste Schritte </w:t>
      </w:r>
      <w:r w:rsidR="003B02E6" w:rsidRPr="00FB4EFA">
        <w:t xml:space="preserve">sollen </w:t>
      </w:r>
      <w:r w:rsidRPr="00FB4EFA">
        <w:t>unternommen werden, um zu klären, ob das Livische eine Nullsubjektsprache ist.</w:t>
      </w:r>
    </w:p>
    <w:p w14:paraId="24224A7A" w14:textId="2EDE5516" w:rsidR="00A2715F" w:rsidRPr="00FB4EFA" w:rsidRDefault="00A2715F" w:rsidP="00402EF4">
      <w:pPr>
        <w:ind w:firstLine="709"/>
      </w:pPr>
      <w:r w:rsidRPr="00FB4EFA">
        <w:t xml:space="preserve">Dieser Beitrag ist wie folgt gegliedert: In Abschnitt 2 werden die Typologie von Nullsubjektsprachen, die Rolle von Synkretismus und die Methode der Untersuchung </w:t>
      </w:r>
      <w:r w:rsidR="003B02E6" w:rsidRPr="00FB4EFA">
        <w:t>behandelt</w:t>
      </w:r>
      <w:r w:rsidRPr="00FB4EFA">
        <w:t xml:space="preserve">. In Abschnitt 3 werden einige Aspekte des gesichteten Materials besprochen, bevor in Abschnitt 4 die Ergebnisse der Untersuchung präsentiert werden. In Abschnitt 5 folgt die Zusammenfassung und daran anschließend die Diskussion, in der die Ergebnisse auch im Hinblick auf andere ostseefinnische Sprachen </w:t>
      </w:r>
      <w:r w:rsidR="00D84F6F" w:rsidRPr="00FB4EFA">
        <w:br/>
      </w:r>
      <w:r w:rsidRPr="00FB4EFA">
        <w:t>eingeordnet werden.</w:t>
      </w:r>
    </w:p>
    <w:p w14:paraId="529001C3" w14:textId="77777777" w:rsidR="00A2715F" w:rsidRPr="00FB4EFA" w:rsidRDefault="00A2715F" w:rsidP="00545033">
      <w:pPr>
        <w:pStyle w:val="Heading2"/>
        <w:suppressAutoHyphens/>
        <w:spacing w:line="259" w:lineRule="auto"/>
        <w:rPr>
          <w:color w:val="auto"/>
          <w:lang w:val="de-AT"/>
        </w:rPr>
      </w:pPr>
      <w:r w:rsidRPr="00FB4EFA">
        <w:rPr>
          <w:color w:val="auto"/>
          <w:lang w:val="de-AT"/>
        </w:rPr>
        <w:lastRenderedPageBreak/>
        <w:t>2. Nullsubjekte und Nullsubjektsprachen</w:t>
      </w:r>
    </w:p>
    <w:p w14:paraId="79A06EB4" w14:textId="0A5A8CA1" w:rsidR="00A2715F" w:rsidRPr="00FB4EFA" w:rsidRDefault="00A2715F" w:rsidP="00AF0CAD">
      <w:r w:rsidRPr="00FB4EFA">
        <w:t>In den meisten Sprachen der Welt können referentielle Subjektpronomina in Sätzen ausgelassen werden (Gilligan 1987: 131–133, Dryer 2013), aber Sprachen unterscheiden sich in den Einzelheiten dieser Erscheinung. Sprachen, welche generell die Auslassung eines Subjektpronomens erlauben, werden gelegentlich Nullsubjektsprachen (</w:t>
      </w:r>
      <w:r w:rsidRPr="00FB4EFA">
        <w:rPr>
          <w:i/>
          <w:iCs/>
        </w:rPr>
        <w:t xml:space="preserve">null subject </w:t>
      </w:r>
      <w:r w:rsidR="00AD79E8" w:rsidRPr="00FB4EFA">
        <w:rPr>
          <w:i/>
          <w:iCs/>
        </w:rPr>
        <w:br/>
      </w:r>
      <w:r w:rsidRPr="00FB4EFA">
        <w:rPr>
          <w:i/>
          <w:iCs/>
        </w:rPr>
        <w:t>languages</w:t>
      </w:r>
      <w:r w:rsidRPr="00FB4EFA">
        <w:t>) genannt.</w:t>
      </w:r>
    </w:p>
    <w:p w14:paraId="1AC3D991" w14:textId="30F91578" w:rsidR="00A2715F" w:rsidRPr="00FB4EFA" w:rsidRDefault="00A2715F" w:rsidP="00402EF4">
      <w:pPr>
        <w:ind w:firstLine="709"/>
      </w:pPr>
      <w:r w:rsidRPr="00FB4EFA">
        <w:t>Einige Kriterien für die Klassifikation einer Sprache als Nullsubjektsprache sind laut D</w:t>
      </w:r>
      <w:r w:rsidR="002B6C5D" w:rsidRPr="00FB4EFA">
        <w:rPr>
          <w:rFonts w:cs="Charis SIL"/>
          <w:lang w:val="hu-HU"/>
        </w:rPr>
        <w:t>’</w:t>
      </w:r>
      <w:r w:rsidRPr="00FB4EFA">
        <w:t xml:space="preserve">Alessandro (2015) oder Roberts &amp; Holmberg (2010) etwa, dass (i) referentielle Nullsubjekte in allen Satztypen </w:t>
      </w:r>
      <w:r w:rsidR="00AD79E8" w:rsidRPr="00FB4EFA">
        <w:br/>
      </w:r>
      <w:r w:rsidRPr="00FB4EFA">
        <w:t xml:space="preserve">(Aussagesätze, Fragesätze, Exklamativsätze) auftreten dürfen, (ii) </w:t>
      </w:r>
      <w:r w:rsidR="0057339C" w:rsidRPr="00FB4EFA">
        <w:t>Nullsubjekte unabhängig von Person und Numerus des Subjekts möglich sind</w:t>
      </w:r>
      <w:r w:rsidRPr="00FB4EFA">
        <w:t>, (iii) Nullsubjekte unabhängig von verbalen Kategorien wie Tempus, Aspekt, oder Modus möglich sind, oder (iv) dass Expletivpronomina ausgelassen werden können.</w:t>
      </w:r>
    </w:p>
    <w:p w14:paraId="667E51FC" w14:textId="49343FB2" w:rsidR="00A2715F" w:rsidRPr="00FB4EFA" w:rsidRDefault="00A2715F" w:rsidP="00402EF4">
      <w:pPr>
        <w:ind w:firstLine="709"/>
      </w:pPr>
      <w:r w:rsidRPr="00FB4EFA">
        <w:t xml:space="preserve">Auf Basis dieser Kriterien können Sprachen in verschiedene Typen von Nullsubjektsprachen eingeteilt werden (Roberts &amp; Holmberg 2010), </w:t>
      </w:r>
      <w:r w:rsidR="0030017E" w:rsidRPr="00FB4EFA">
        <w:t>z. B.</w:t>
      </w:r>
      <w:r w:rsidRPr="00FB4EFA">
        <w:t>: kanonische Nullsubjektsprachen wie Italienisch, die alle genannten Kriterien erfüllen; partielle Nullsubjektsprachen wie Finnisch, die Einschränkungen bezüglich der Personalform aufweisen; Expletiv-Nullsubjektsprachen wie Papiamentu, in denen expletive Nullsubjekte möglich sind, referentielle aber nicht; oder Nicht-Nullsubjektsprachen wie Englisch. In diesem Beitrag wird der Status des Livischen im Rahmen dieser Typologie besprochen.</w:t>
      </w:r>
    </w:p>
    <w:p w14:paraId="171C273C" w14:textId="5DF62E66" w:rsidR="00A2715F" w:rsidRPr="00FB4EFA" w:rsidRDefault="00A2715F" w:rsidP="00402EF4">
      <w:pPr>
        <w:ind w:firstLine="709"/>
      </w:pPr>
      <w:r w:rsidRPr="00FB4EFA">
        <w:t xml:space="preserve">Eine weit verbreitete Hypothese zu Nullsubjektsprachen verbindet das Vorhandensein von Nullsubjekten mit der Verbalmorphologie (vgl. Koeneman &amp; Zeijlstra 2019). In ihrer Grundform besagt diese Hypothese, dass Nullsubjekte möglich werden, sobald die Subjektsperson systematisch eindeutig am Verb markiert wird, und </w:t>
      </w:r>
      <w:r w:rsidR="00C3135B" w:rsidRPr="00FB4EFA">
        <w:t xml:space="preserve">dass </w:t>
      </w:r>
      <w:r w:rsidRPr="00FB4EFA">
        <w:t>Nullsubjekte nicht möglich sind, wenn die betreffende Person-Numerus-Kombination nicht eindeutig am Verb markiert wird. Nullsubjektsprachen haben tatsächlich in den meisten Fällen eine ausgebaute Personenmarkierung an Verben, wenn auch die Verbindung zwischen eindeutiger Personenmarkierung am Verb und der Möglichkeit, die Subjektpronomina auszulassen, sprach</w:t>
      </w:r>
      <w:r w:rsidR="0057339C" w:rsidRPr="00FB4EFA">
        <w:softHyphen/>
      </w:r>
      <w:r w:rsidRPr="00FB4EFA">
        <w:t>übergreifend nicht völlig eindeutig ist (Koeneman &amp; Zeijlstra 2019).</w:t>
      </w:r>
    </w:p>
    <w:p w14:paraId="2E19F7D9" w14:textId="5FFE01C9" w:rsidR="00A2715F" w:rsidRPr="00FB4EFA" w:rsidRDefault="00A2715F" w:rsidP="00402EF4">
      <w:pPr>
        <w:ind w:firstLine="709"/>
      </w:pPr>
      <w:r w:rsidRPr="00FB4EFA">
        <w:lastRenderedPageBreak/>
        <w:t xml:space="preserve">In der Verbalmorphologie des Livischen findet sich ein besonders charakteristischer Synkretismus, nämlich jener von 1. und 3. Person </w:t>
      </w:r>
      <w:r w:rsidR="003A4932" w:rsidRPr="00FB4EFA">
        <w:br/>
      </w:r>
      <w:r w:rsidRPr="00FB4EFA">
        <w:t xml:space="preserve">Singular. Wie aus Tabelle 1 ersichtlich, betrifft der Synkretismus von 1. und 3. Person Singular eine ganze Reihe an Tempora und Modi und gilt daher als systematisch. Die konnegativen Formen sind im Präsens und Imperfekt in der 1.–3. Person Singular und in der 2. und 3. Person Plural synkretistisch, wobei diese Formen teilweise durch das Negationsverb eindeutig markiert sind. Ebenso sind die 2. und 3. Person Plural im </w:t>
      </w:r>
      <w:r w:rsidR="003A4932" w:rsidRPr="00FB4EFA">
        <w:br/>
      </w:r>
      <w:r w:rsidRPr="00FB4EFA">
        <w:t xml:space="preserve">Imperfekt Indikativ zusammengefallen. Diese beiden Synkretismen </w:t>
      </w:r>
      <w:r w:rsidR="00D84F6F" w:rsidRPr="00FB4EFA">
        <w:br/>
      </w:r>
      <w:r w:rsidRPr="00FB4EFA">
        <w:t xml:space="preserve">finden sich ebenfalls im Konditional. Weiters sind der Quotativ und Jussiv in allen Personen in den bejahenden und verneinenden Formen </w:t>
      </w:r>
      <w:r w:rsidR="00D84F6F" w:rsidRPr="00FB4EFA">
        <w:br/>
      </w:r>
      <w:r w:rsidRPr="00FB4EFA">
        <w:t>zusammengefallen (Viitso 2008: 317–322).</w:t>
      </w:r>
    </w:p>
    <w:p w14:paraId="35460B83" w14:textId="680508A3" w:rsidR="00A2715F" w:rsidRDefault="00A2715F" w:rsidP="00AF0CAD">
      <w:pPr>
        <w:spacing w:after="240"/>
        <w:ind w:firstLine="709"/>
      </w:pPr>
      <w:r w:rsidRPr="00FB4EFA">
        <w:t xml:space="preserve">Es wäre zu erwarten, dass in den synkretistischen Formen </w:t>
      </w:r>
      <w:r w:rsidR="003A4932" w:rsidRPr="00FB4EFA">
        <w:br/>
      </w:r>
      <w:r w:rsidRPr="00FB4EFA">
        <w:t xml:space="preserve">Nullsubjekte eher nicht möglich sind, da die Person an der Verbalform allein nicht eindeutig erkennbar ist, aber dass Nullsubjekte in nicht synkretistischen Formen grundsätzlich möglich sein sollten. Tabelle 1 zeigt einen Ausschnitt des Paradigmas von </w:t>
      </w:r>
      <w:r w:rsidRPr="00FB4EFA">
        <w:rPr>
          <w:i/>
          <w:iCs/>
        </w:rPr>
        <w:t>luggõ</w:t>
      </w:r>
      <w:r w:rsidRPr="00FB4EFA">
        <w:t xml:space="preserve"> </w:t>
      </w:r>
      <w:r w:rsidR="006057AB" w:rsidRPr="00FB4EFA">
        <w:t>‘</w:t>
      </w:r>
      <w:r w:rsidRPr="00FB4EFA">
        <w:t>lesen</w:t>
      </w:r>
      <w:r w:rsidR="006057AB" w:rsidRPr="00FB4EFA">
        <w:t>’</w:t>
      </w:r>
      <w:r w:rsidRPr="00FB4EFA">
        <w:t xml:space="preserve"> (vgl. Kettunen 1938: LX–LXV, Viitso 2008: 322), wobei synkretistische Formen in einer Zeit- bzw. Aspektform grau hinterlegt sind.</w:t>
      </w:r>
      <w:r w:rsidR="00C6355D">
        <w:t xml:space="preserve"> xxxx</w:t>
      </w:r>
    </w:p>
    <w:tbl>
      <w:tblPr>
        <w:tblW w:w="0" w:type="auto"/>
        <w:tblCellMar>
          <w:left w:w="123" w:type="dxa"/>
          <w:bottom w:w="57" w:type="dxa"/>
        </w:tblCellMar>
        <w:tblLook w:val="04A0" w:firstRow="1" w:lastRow="0" w:firstColumn="1" w:lastColumn="0" w:noHBand="0" w:noVBand="1"/>
      </w:tblPr>
      <w:tblGrid>
        <w:gridCol w:w="459"/>
        <w:gridCol w:w="380"/>
        <w:gridCol w:w="934"/>
        <w:gridCol w:w="1027"/>
        <w:gridCol w:w="887"/>
        <w:gridCol w:w="968"/>
        <w:gridCol w:w="1048"/>
        <w:gridCol w:w="1276"/>
      </w:tblGrid>
      <w:tr w:rsidR="00FB4EFA" w:rsidRPr="00FB4EFA" w14:paraId="0BF6B68D" w14:textId="77777777" w:rsidTr="007B50C2">
        <w:tc>
          <w:tcPr>
            <w:tcW w:w="0" w:type="auto"/>
            <w:tcBorders>
              <w:top w:val="nil"/>
              <w:left w:val="nil"/>
              <w:bottom w:val="single" w:sz="12" w:space="0" w:color="000000"/>
              <w:right w:val="nil"/>
            </w:tcBorders>
            <w:shd w:val="clear" w:color="auto" w:fill="auto"/>
            <w:vAlign w:val="center"/>
          </w:tcPr>
          <w:p w14:paraId="5B346599" w14:textId="77777777" w:rsidR="00A2715F" w:rsidRPr="00FB4EFA" w:rsidRDefault="00A2715F" w:rsidP="007C4BE6">
            <w:pPr>
              <w:jc w:val="center"/>
              <w:rPr>
                <w:sz w:val="18"/>
                <w:szCs w:val="18"/>
              </w:rPr>
            </w:pPr>
            <w:bookmarkStart w:id="62" w:name="_Hlk119890560"/>
          </w:p>
        </w:tc>
        <w:tc>
          <w:tcPr>
            <w:tcW w:w="0" w:type="auto"/>
            <w:tcBorders>
              <w:top w:val="nil"/>
              <w:left w:val="nil"/>
              <w:bottom w:val="single" w:sz="12" w:space="0" w:color="000000"/>
              <w:right w:val="single" w:sz="12" w:space="0" w:color="000000"/>
            </w:tcBorders>
            <w:shd w:val="clear" w:color="auto" w:fill="auto"/>
            <w:vAlign w:val="center"/>
          </w:tcPr>
          <w:p w14:paraId="042A8397" w14:textId="77777777" w:rsidR="00A2715F" w:rsidRPr="00FB4EFA" w:rsidRDefault="00A2715F" w:rsidP="007C4BE6">
            <w:pPr>
              <w:keepNext/>
              <w:jc w:val="center"/>
              <w:rPr>
                <w:sz w:val="18"/>
                <w:szCs w:val="18"/>
              </w:rPr>
            </w:pPr>
          </w:p>
        </w:tc>
        <w:tc>
          <w:tcPr>
            <w:tcW w:w="0" w:type="auto"/>
            <w:tcBorders>
              <w:top w:val="nil"/>
              <w:left w:val="single" w:sz="12" w:space="0" w:color="000000"/>
              <w:bottom w:val="single" w:sz="12" w:space="0" w:color="000000"/>
            </w:tcBorders>
            <w:shd w:val="clear" w:color="auto" w:fill="auto"/>
            <w:vAlign w:val="center"/>
          </w:tcPr>
          <w:p w14:paraId="6E06E5A2" w14:textId="77777777" w:rsidR="00A2715F" w:rsidRPr="00FB4EFA" w:rsidRDefault="00A2715F" w:rsidP="00AC1192">
            <w:pPr>
              <w:keepNext/>
              <w:suppressAutoHyphens/>
              <w:jc w:val="center"/>
              <w:rPr>
                <w:sz w:val="18"/>
                <w:szCs w:val="18"/>
              </w:rPr>
            </w:pPr>
            <w:r w:rsidRPr="00FB4EFA">
              <w:rPr>
                <w:rFonts w:cs="Times New Roman"/>
                <w:b/>
                <w:bCs/>
                <w:sz w:val="18"/>
                <w:szCs w:val="18"/>
              </w:rPr>
              <w:t>Präsens</w:t>
            </w:r>
          </w:p>
        </w:tc>
        <w:tc>
          <w:tcPr>
            <w:tcW w:w="0" w:type="auto"/>
            <w:tcBorders>
              <w:top w:val="nil"/>
              <w:bottom w:val="single" w:sz="12" w:space="0" w:color="000000"/>
            </w:tcBorders>
            <w:shd w:val="clear" w:color="auto" w:fill="auto"/>
            <w:vAlign w:val="center"/>
          </w:tcPr>
          <w:p w14:paraId="19A47762" w14:textId="77777777" w:rsidR="00A2715F" w:rsidRPr="00FB4EFA" w:rsidRDefault="00A2715F" w:rsidP="00AC1192">
            <w:pPr>
              <w:keepNext/>
              <w:suppressAutoHyphens/>
              <w:jc w:val="center"/>
              <w:rPr>
                <w:sz w:val="18"/>
                <w:szCs w:val="18"/>
              </w:rPr>
            </w:pPr>
            <w:r w:rsidRPr="00FB4EFA">
              <w:rPr>
                <w:rFonts w:cs="Times New Roman"/>
                <w:b/>
                <w:bCs/>
                <w:sz w:val="18"/>
                <w:szCs w:val="18"/>
              </w:rPr>
              <w:t xml:space="preserve">Neg. </w:t>
            </w:r>
            <w:r w:rsidRPr="00FB4EFA">
              <w:rPr>
                <w:rFonts w:cs="Times New Roman"/>
                <w:b/>
                <w:bCs/>
                <w:sz w:val="18"/>
                <w:szCs w:val="18"/>
              </w:rPr>
              <w:br/>
              <w:t>Präsens</w:t>
            </w:r>
          </w:p>
        </w:tc>
        <w:tc>
          <w:tcPr>
            <w:tcW w:w="0" w:type="auto"/>
            <w:tcBorders>
              <w:top w:val="nil"/>
              <w:bottom w:val="single" w:sz="12" w:space="0" w:color="000000"/>
            </w:tcBorders>
            <w:shd w:val="clear" w:color="auto" w:fill="auto"/>
            <w:vAlign w:val="center"/>
          </w:tcPr>
          <w:p w14:paraId="5584A412" w14:textId="77777777" w:rsidR="00A2715F" w:rsidRPr="00FB4EFA" w:rsidRDefault="00A2715F" w:rsidP="00AC1192">
            <w:pPr>
              <w:keepNext/>
              <w:suppressAutoHyphens/>
              <w:jc w:val="center"/>
              <w:rPr>
                <w:sz w:val="18"/>
                <w:szCs w:val="18"/>
              </w:rPr>
            </w:pPr>
            <w:r w:rsidRPr="00FB4EFA">
              <w:rPr>
                <w:rFonts w:cs="Times New Roman"/>
                <w:b/>
                <w:bCs/>
                <w:sz w:val="18"/>
                <w:szCs w:val="18"/>
              </w:rPr>
              <w:t>Impf.</w:t>
            </w:r>
          </w:p>
        </w:tc>
        <w:tc>
          <w:tcPr>
            <w:tcW w:w="0" w:type="auto"/>
            <w:tcBorders>
              <w:top w:val="nil"/>
              <w:bottom w:val="single" w:sz="12" w:space="0" w:color="000000"/>
            </w:tcBorders>
            <w:shd w:val="clear" w:color="auto" w:fill="auto"/>
            <w:vAlign w:val="center"/>
          </w:tcPr>
          <w:p w14:paraId="5C972C97" w14:textId="77777777" w:rsidR="00A2715F" w:rsidRPr="00FB4EFA" w:rsidRDefault="00A2715F" w:rsidP="00AC1192">
            <w:pPr>
              <w:keepNext/>
              <w:suppressAutoHyphens/>
              <w:jc w:val="center"/>
              <w:rPr>
                <w:sz w:val="18"/>
                <w:szCs w:val="18"/>
              </w:rPr>
            </w:pPr>
            <w:r w:rsidRPr="00FB4EFA">
              <w:rPr>
                <w:rFonts w:cs="Times New Roman"/>
                <w:b/>
                <w:bCs/>
                <w:sz w:val="18"/>
                <w:szCs w:val="18"/>
              </w:rPr>
              <w:t xml:space="preserve">Neg. </w:t>
            </w:r>
            <w:r w:rsidRPr="00FB4EFA">
              <w:rPr>
                <w:rFonts w:cs="Times New Roman"/>
                <w:b/>
                <w:bCs/>
                <w:sz w:val="18"/>
                <w:szCs w:val="18"/>
              </w:rPr>
              <w:br/>
              <w:t>Impf.</w:t>
            </w:r>
          </w:p>
        </w:tc>
        <w:tc>
          <w:tcPr>
            <w:tcW w:w="0" w:type="auto"/>
            <w:tcBorders>
              <w:top w:val="nil"/>
              <w:bottom w:val="single" w:sz="12" w:space="0" w:color="000000"/>
            </w:tcBorders>
            <w:shd w:val="clear" w:color="auto" w:fill="auto"/>
            <w:vAlign w:val="center"/>
          </w:tcPr>
          <w:p w14:paraId="2E9685D5" w14:textId="77777777" w:rsidR="00A2715F" w:rsidRPr="00FB4EFA" w:rsidRDefault="00A2715F" w:rsidP="00AC1192">
            <w:pPr>
              <w:keepNext/>
              <w:suppressAutoHyphens/>
              <w:jc w:val="center"/>
              <w:rPr>
                <w:sz w:val="18"/>
                <w:szCs w:val="18"/>
              </w:rPr>
            </w:pPr>
            <w:r w:rsidRPr="00FB4EFA">
              <w:rPr>
                <w:rFonts w:cs="Times New Roman"/>
                <w:b/>
                <w:bCs/>
                <w:sz w:val="18"/>
                <w:szCs w:val="18"/>
              </w:rPr>
              <w:t>Kond.</w:t>
            </w:r>
          </w:p>
        </w:tc>
        <w:tc>
          <w:tcPr>
            <w:tcW w:w="0" w:type="auto"/>
            <w:tcBorders>
              <w:top w:val="nil"/>
              <w:left w:val="nil"/>
              <w:bottom w:val="single" w:sz="12" w:space="0" w:color="000000"/>
              <w:right w:val="nil"/>
            </w:tcBorders>
            <w:shd w:val="clear" w:color="auto" w:fill="auto"/>
            <w:vAlign w:val="center"/>
          </w:tcPr>
          <w:p w14:paraId="5F990236" w14:textId="77777777" w:rsidR="00A2715F" w:rsidRPr="00FB4EFA" w:rsidRDefault="00A2715F" w:rsidP="00AC1192">
            <w:pPr>
              <w:keepNext/>
              <w:suppressAutoHyphens/>
              <w:jc w:val="center"/>
              <w:rPr>
                <w:sz w:val="18"/>
                <w:szCs w:val="18"/>
              </w:rPr>
            </w:pPr>
            <w:r w:rsidRPr="00FB4EFA">
              <w:rPr>
                <w:rFonts w:ascii="Liberation Serif" w:hAnsi="Liberation Serif"/>
                <w:b/>
                <w:bCs/>
                <w:sz w:val="18"/>
                <w:szCs w:val="18"/>
              </w:rPr>
              <w:t xml:space="preserve">Neg. </w:t>
            </w:r>
            <w:r w:rsidRPr="00FB4EFA">
              <w:rPr>
                <w:rFonts w:ascii="Liberation Serif" w:hAnsi="Liberation Serif"/>
                <w:b/>
                <w:bCs/>
                <w:sz w:val="18"/>
                <w:szCs w:val="18"/>
              </w:rPr>
              <w:br/>
              <w:t>Kond.</w:t>
            </w:r>
          </w:p>
        </w:tc>
      </w:tr>
      <w:tr w:rsidR="00FB4EFA" w:rsidRPr="00FB4EFA" w14:paraId="3FD79289" w14:textId="77777777" w:rsidTr="007B50C2">
        <w:tc>
          <w:tcPr>
            <w:tcW w:w="0" w:type="auto"/>
            <w:vMerge w:val="restart"/>
            <w:tcBorders>
              <w:top w:val="single" w:sz="12" w:space="0" w:color="000000"/>
              <w:left w:val="nil"/>
            </w:tcBorders>
            <w:shd w:val="clear" w:color="auto" w:fill="auto"/>
            <w:vAlign w:val="center"/>
          </w:tcPr>
          <w:p w14:paraId="12C5E60A" w14:textId="77777777" w:rsidR="00A2715F" w:rsidRPr="00FB4EFA" w:rsidRDefault="00A2715F" w:rsidP="00AC1192">
            <w:pPr>
              <w:suppressAutoHyphens/>
              <w:jc w:val="center"/>
              <w:rPr>
                <w:sz w:val="18"/>
                <w:szCs w:val="18"/>
              </w:rPr>
            </w:pPr>
            <w:r w:rsidRPr="00FB4EFA">
              <w:rPr>
                <w:rFonts w:cs="Times New Roman"/>
                <w:b/>
                <w:bCs/>
                <w:sz w:val="18"/>
                <w:szCs w:val="18"/>
              </w:rPr>
              <w:t>Sg.</w:t>
            </w:r>
          </w:p>
        </w:tc>
        <w:tc>
          <w:tcPr>
            <w:tcW w:w="0" w:type="auto"/>
            <w:tcBorders>
              <w:top w:val="single" w:sz="12" w:space="0" w:color="000000"/>
              <w:left w:val="single" w:sz="12" w:space="0" w:color="000000"/>
              <w:right w:val="single" w:sz="12" w:space="0" w:color="000000"/>
            </w:tcBorders>
            <w:shd w:val="clear" w:color="auto" w:fill="auto"/>
            <w:vAlign w:val="center"/>
          </w:tcPr>
          <w:p w14:paraId="4D16C48E" w14:textId="77777777" w:rsidR="00A2715F" w:rsidRPr="00FB4EFA" w:rsidRDefault="00A2715F" w:rsidP="00AC1192">
            <w:pPr>
              <w:keepNext/>
              <w:suppressAutoHyphens/>
              <w:jc w:val="center"/>
              <w:rPr>
                <w:sz w:val="18"/>
                <w:szCs w:val="18"/>
              </w:rPr>
            </w:pPr>
            <w:r w:rsidRPr="00FB4EFA">
              <w:rPr>
                <w:rFonts w:cs="Times New Roman"/>
                <w:b/>
                <w:bCs/>
                <w:sz w:val="18"/>
                <w:szCs w:val="18"/>
              </w:rPr>
              <w:t>1.</w:t>
            </w:r>
          </w:p>
        </w:tc>
        <w:tc>
          <w:tcPr>
            <w:tcW w:w="0" w:type="auto"/>
            <w:tcBorders>
              <w:top w:val="single" w:sz="12" w:space="0" w:color="000000"/>
              <w:left w:val="single" w:sz="12" w:space="0" w:color="000000"/>
            </w:tcBorders>
            <w:shd w:val="clear" w:color="auto" w:fill="EDEDED" w:themeFill="accent3" w:themeFillTint="33"/>
            <w:vAlign w:val="center"/>
          </w:tcPr>
          <w:p w14:paraId="7D7F5AE4" w14:textId="77777777" w:rsidR="00A2715F" w:rsidRPr="00FB4EFA" w:rsidRDefault="00A2715F" w:rsidP="00AC1192">
            <w:pPr>
              <w:keepNext/>
              <w:suppressAutoHyphens/>
              <w:jc w:val="center"/>
              <w:rPr>
                <w:sz w:val="18"/>
                <w:szCs w:val="18"/>
              </w:rPr>
            </w:pPr>
            <w:r w:rsidRPr="00FB4EFA">
              <w:rPr>
                <w:rFonts w:cs="Charis SIL"/>
                <w:i/>
                <w:iCs/>
                <w:sz w:val="18"/>
                <w:szCs w:val="18"/>
              </w:rPr>
              <w:t>lugūb</w:t>
            </w:r>
          </w:p>
        </w:tc>
        <w:tc>
          <w:tcPr>
            <w:tcW w:w="0" w:type="auto"/>
            <w:tcBorders>
              <w:top w:val="single" w:sz="12" w:space="0" w:color="000000"/>
            </w:tcBorders>
            <w:shd w:val="clear" w:color="auto" w:fill="EDEDED" w:themeFill="accent3" w:themeFillTint="33"/>
            <w:vAlign w:val="center"/>
          </w:tcPr>
          <w:p w14:paraId="19CEDED5" w14:textId="77777777" w:rsidR="00A2715F" w:rsidRPr="00FB4EFA" w:rsidRDefault="00A2715F" w:rsidP="00AC1192">
            <w:pPr>
              <w:keepNext/>
              <w:suppressAutoHyphens/>
              <w:jc w:val="center"/>
              <w:rPr>
                <w:sz w:val="18"/>
                <w:szCs w:val="18"/>
              </w:rPr>
            </w:pPr>
            <w:r w:rsidRPr="00FB4EFA">
              <w:rPr>
                <w:rFonts w:cs="Charis SIL"/>
                <w:i/>
                <w:iCs/>
                <w:sz w:val="18"/>
                <w:szCs w:val="18"/>
              </w:rPr>
              <w:t>äb lug</w:t>
            </w:r>
          </w:p>
        </w:tc>
        <w:tc>
          <w:tcPr>
            <w:tcW w:w="0" w:type="auto"/>
            <w:tcBorders>
              <w:top w:val="single" w:sz="12" w:space="0" w:color="000000"/>
            </w:tcBorders>
            <w:shd w:val="clear" w:color="auto" w:fill="EDEDED" w:themeFill="accent3" w:themeFillTint="33"/>
            <w:vAlign w:val="center"/>
          </w:tcPr>
          <w:p w14:paraId="30474A8D" w14:textId="77777777" w:rsidR="00A2715F" w:rsidRPr="00FB4EFA" w:rsidRDefault="00A2715F" w:rsidP="00AC1192">
            <w:pPr>
              <w:keepNext/>
              <w:suppressAutoHyphens/>
              <w:jc w:val="center"/>
              <w:rPr>
                <w:sz w:val="18"/>
                <w:szCs w:val="18"/>
              </w:rPr>
            </w:pPr>
            <w:r w:rsidRPr="00FB4EFA">
              <w:rPr>
                <w:rFonts w:cs="Charis SIL"/>
                <w:i/>
                <w:iCs/>
                <w:sz w:val="18"/>
                <w:szCs w:val="18"/>
              </w:rPr>
              <w:t>lugīz</w:t>
            </w:r>
          </w:p>
        </w:tc>
        <w:tc>
          <w:tcPr>
            <w:tcW w:w="0" w:type="auto"/>
            <w:tcBorders>
              <w:top w:val="single" w:sz="12" w:space="0" w:color="000000"/>
            </w:tcBorders>
            <w:shd w:val="clear" w:color="auto" w:fill="EDEDED" w:themeFill="accent3" w:themeFillTint="33"/>
            <w:vAlign w:val="center"/>
          </w:tcPr>
          <w:p w14:paraId="3A03CD67" w14:textId="77777777" w:rsidR="00A2715F" w:rsidRPr="00FB4EFA" w:rsidRDefault="00A2715F" w:rsidP="00AC1192">
            <w:pPr>
              <w:keepNext/>
              <w:suppressAutoHyphens/>
              <w:jc w:val="center"/>
              <w:rPr>
                <w:sz w:val="18"/>
                <w:szCs w:val="18"/>
              </w:rPr>
            </w:pPr>
            <w:r w:rsidRPr="00FB4EFA">
              <w:rPr>
                <w:rFonts w:cs="Charis SIL"/>
                <w:i/>
                <w:iCs/>
                <w:sz w:val="18"/>
                <w:szCs w:val="18"/>
              </w:rPr>
              <w:t>iz lug</w:t>
            </w:r>
          </w:p>
        </w:tc>
        <w:tc>
          <w:tcPr>
            <w:tcW w:w="0" w:type="auto"/>
            <w:tcBorders>
              <w:top w:val="single" w:sz="12" w:space="0" w:color="000000"/>
            </w:tcBorders>
            <w:shd w:val="clear" w:color="auto" w:fill="EDEDED" w:themeFill="accent3" w:themeFillTint="33"/>
            <w:vAlign w:val="center"/>
          </w:tcPr>
          <w:p w14:paraId="3EEBBB84" w14:textId="77777777" w:rsidR="00A2715F" w:rsidRPr="00FB4EFA" w:rsidRDefault="00A2715F" w:rsidP="00AC1192">
            <w:pPr>
              <w:keepNext/>
              <w:suppressAutoHyphens/>
              <w:jc w:val="center"/>
              <w:rPr>
                <w:sz w:val="18"/>
                <w:szCs w:val="18"/>
              </w:rPr>
            </w:pPr>
            <w:r w:rsidRPr="00FB4EFA">
              <w:rPr>
                <w:rFonts w:cs="Charis SIL"/>
                <w:i/>
                <w:iCs/>
                <w:sz w:val="18"/>
                <w:szCs w:val="18"/>
              </w:rPr>
              <w:t>luggõks</w:t>
            </w:r>
          </w:p>
        </w:tc>
        <w:tc>
          <w:tcPr>
            <w:tcW w:w="0" w:type="auto"/>
            <w:tcBorders>
              <w:top w:val="single" w:sz="12" w:space="0" w:color="000000"/>
              <w:left w:val="nil"/>
              <w:right w:val="nil"/>
            </w:tcBorders>
            <w:shd w:val="clear" w:color="auto" w:fill="EDEDED" w:themeFill="accent3" w:themeFillTint="33"/>
            <w:vAlign w:val="center"/>
          </w:tcPr>
          <w:p w14:paraId="74857B49" w14:textId="77777777" w:rsidR="00A2715F" w:rsidRPr="00FB4EFA" w:rsidRDefault="00A2715F" w:rsidP="00AC1192">
            <w:pPr>
              <w:keepNext/>
              <w:suppressAutoHyphens/>
              <w:jc w:val="center"/>
              <w:rPr>
                <w:sz w:val="18"/>
                <w:szCs w:val="18"/>
              </w:rPr>
            </w:pPr>
            <w:r w:rsidRPr="00FB4EFA">
              <w:rPr>
                <w:rFonts w:cs="Charis SIL"/>
                <w:i/>
                <w:iCs/>
                <w:sz w:val="18"/>
                <w:szCs w:val="18"/>
              </w:rPr>
              <w:t>äb luggõks</w:t>
            </w:r>
          </w:p>
        </w:tc>
      </w:tr>
      <w:tr w:rsidR="00FB4EFA" w:rsidRPr="00FB4EFA" w14:paraId="2B307C23" w14:textId="77777777" w:rsidTr="007B50C2">
        <w:tc>
          <w:tcPr>
            <w:tcW w:w="0" w:type="auto"/>
            <w:vMerge/>
            <w:tcBorders>
              <w:left w:val="nil"/>
            </w:tcBorders>
            <w:shd w:val="clear" w:color="auto" w:fill="auto"/>
            <w:vAlign w:val="center"/>
          </w:tcPr>
          <w:p w14:paraId="4C1D64B7" w14:textId="77777777" w:rsidR="00A2715F" w:rsidRPr="00FB4EFA" w:rsidRDefault="00A2715F" w:rsidP="007C4BE6">
            <w:pPr>
              <w:jc w:val="center"/>
              <w:rPr>
                <w:sz w:val="18"/>
                <w:szCs w:val="18"/>
              </w:rPr>
            </w:pPr>
          </w:p>
        </w:tc>
        <w:tc>
          <w:tcPr>
            <w:tcW w:w="0" w:type="auto"/>
            <w:tcBorders>
              <w:left w:val="single" w:sz="12" w:space="0" w:color="000000"/>
              <w:right w:val="single" w:sz="12" w:space="0" w:color="000000"/>
            </w:tcBorders>
            <w:shd w:val="clear" w:color="auto" w:fill="auto"/>
            <w:vAlign w:val="center"/>
          </w:tcPr>
          <w:p w14:paraId="1EAD9D3E" w14:textId="77777777" w:rsidR="00A2715F" w:rsidRPr="00FB4EFA" w:rsidRDefault="00A2715F" w:rsidP="00AC1192">
            <w:pPr>
              <w:keepNext/>
              <w:suppressAutoHyphens/>
              <w:jc w:val="center"/>
              <w:rPr>
                <w:sz w:val="18"/>
                <w:szCs w:val="18"/>
              </w:rPr>
            </w:pPr>
            <w:r w:rsidRPr="00FB4EFA">
              <w:rPr>
                <w:rFonts w:cs="Times New Roman"/>
                <w:b/>
                <w:bCs/>
                <w:sz w:val="18"/>
                <w:szCs w:val="18"/>
              </w:rPr>
              <w:t>2.</w:t>
            </w:r>
          </w:p>
        </w:tc>
        <w:tc>
          <w:tcPr>
            <w:tcW w:w="0" w:type="auto"/>
            <w:tcBorders>
              <w:left w:val="single" w:sz="12" w:space="0" w:color="000000"/>
            </w:tcBorders>
            <w:shd w:val="clear" w:color="auto" w:fill="auto"/>
            <w:vAlign w:val="center"/>
          </w:tcPr>
          <w:p w14:paraId="0576286C" w14:textId="77777777" w:rsidR="00A2715F" w:rsidRPr="00FB4EFA" w:rsidRDefault="00A2715F" w:rsidP="00AC1192">
            <w:pPr>
              <w:keepNext/>
              <w:suppressAutoHyphens/>
              <w:jc w:val="center"/>
              <w:rPr>
                <w:sz w:val="18"/>
                <w:szCs w:val="18"/>
              </w:rPr>
            </w:pPr>
            <w:r w:rsidRPr="00FB4EFA">
              <w:rPr>
                <w:rFonts w:cs="Charis SIL"/>
                <w:i/>
                <w:iCs/>
                <w:sz w:val="18"/>
                <w:szCs w:val="18"/>
              </w:rPr>
              <w:t>lugūd</w:t>
            </w:r>
          </w:p>
        </w:tc>
        <w:tc>
          <w:tcPr>
            <w:tcW w:w="0" w:type="auto"/>
            <w:shd w:val="clear" w:color="auto" w:fill="auto"/>
            <w:vAlign w:val="center"/>
          </w:tcPr>
          <w:p w14:paraId="20F962FF" w14:textId="77777777" w:rsidR="00A2715F" w:rsidRPr="00FB4EFA" w:rsidRDefault="00A2715F" w:rsidP="00AC1192">
            <w:pPr>
              <w:keepNext/>
              <w:suppressAutoHyphens/>
              <w:jc w:val="center"/>
              <w:rPr>
                <w:sz w:val="18"/>
                <w:szCs w:val="18"/>
              </w:rPr>
            </w:pPr>
            <w:r w:rsidRPr="00FB4EFA">
              <w:rPr>
                <w:rFonts w:cs="Charis SIL"/>
                <w:i/>
                <w:iCs/>
                <w:sz w:val="18"/>
                <w:szCs w:val="18"/>
              </w:rPr>
              <w:t>äd lug</w:t>
            </w:r>
          </w:p>
        </w:tc>
        <w:tc>
          <w:tcPr>
            <w:tcW w:w="0" w:type="auto"/>
            <w:shd w:val="clear" w:color="auto" w:fill="auto"/>
            <w:vAlign w:val="center"/>
          </w:tcPr>
          <w:p w14:paraId="1A57871D" w14:textId="77777777" w:rsidR="00A2715F" w:rsidRPr="00FB4EFA" w:rsidRDefault="00A2715F" w:rsidP="00AC1192">
            <w:pPr>
              <w:keepNext/>
              <w:suppressAutoHyphens/>
              <w:jc w:val="center"/>
              <w:rPr>
                <w:sz w:val="18"/>
                <w:szCs w:val="18"/>
              </w:rPr>
            </w:pPr>
            <w:r w:rsidRPr="00FB4EFA">
              <w:rPr>
                <w:rFonts w:cs="Charis SIL"/>
                <w:i/>
                <w:iCs/>
                <w:sz w:val="18"/>
                <w:szCs w:val="18"/>
              </w:rPr>
              <w:t>lugīzt</w:t>
            </w:r>
          </w:p>
        </w:tc>
        <w:tc>
          <w:tcPr>
            <w:tcW w:w="0" w:type="auto"/>
            <w:shd w:val="clear" w:color="auto" w:fill="auto"/>
            <w:vAlign w:val="center"/>
          </w:tcPr>
          <w:p w14:paraId="2AE71909" w14:textId="77777777" w:rsidR="00A2715F" w:rsidRPr="00FB4EFA" w:rsidRDefault="00A2715F" w:rsidP="00AC1192">
            <w:pPr>
              <w:keepNext/>
              <w:suppressAutoHyphens/>
              <w:jc w:val="center"/>
              <w:rPr>
                <w:sz w:val="18"/>
                <w:szCs w:val="18"/>
              </w:rPr>
            </w:pPr>
            <w:r w:rsidRPr="00FB4EFA">
              <w:rPr>
                <w:rFonts w:cs="Charis SIL"/>
                <w:i/>
                <w:iCs/>
                <w:sz w:val="18"/>
                <w:szCs w:val="18"/>
              </w:rPr>
              <w:t>izt lug</w:t>
            </w:r>
          </w:p>
        </w:tc>
        <w:tc>
          <w:tcPr>
            <w:tcW w:w="0" w:type="auto"/>
            <w:shd w:val="clear" w:color="auto" w:fill="auto"/>
            <w:vAlign w:val="center"/>
          </w:tcPr>
          <w:p w14:paraId="7EB83C44" w14:textId="77777777" w:rsidR="00A2715F" w:rsidRPr="00FB4EFA" w:rsidRDefault="00A2715F" w:rsidP="00AC1192">
            <w:pPr>
              <w:keepNext/>
              <w:suppressAutoHyphens/>
              <w:jc w:val="center"/>
              <w:rPr>
                <w:sz w:val="18"/>
                <w:szCs w:val="18"/>
              </w:rPr>
            </w:pPr>
            <w:r w:rsidRPr="00FB4EFA">
              <w:rPr>
                <w:rFonts w:cs="Charis SIL"/>
                <w:i/>
                <w:iCs/>
                <w:sz w:val="18"/>
                <w:szCs w:val="18"/>
              </w:rPr>
              <w:t>luggõkst</w:t>
            </w:r>
          </w:p>
        </w:tc>
        <w:tc>
          <w:tcPr>
            <w:tcW w:w="0" w:type="auto"/>
            <w:tcBorders>
              <w:left w:val="nil"/>
              <w:right w:val="nil"/>
            </w:tcBorders>
            <w:shd w:val="clear" w:color="auto" w:fill="auto"/>
            <w:vAlign w:val="center"/>
          </w:tcPr>
          <w:p w14:paraId="7CED0046" w14:textId="77777777" w:rsidR="00A2715F" w:rsidRPr="00FB4EFA" w:rsidRDefault="00A2715F" w:rsidP="00AC1192">
            <w:pPr>
              <w:keepNext/>
              <w:suppressAutoHyphens/>
              <w:jc w:val="center"/>
              <w:rPr>
                <w:sz w:val="18"/>
                <w:szCs w:val="18"/>
              </w:rPr>
            </w:pPr>
            <w:r w:rsidRPr="00FB4EFA">
              <w:rPr>
                <w:rFonts w:cs="Charis SIL"/>
                <w:i/>
                <w:iCs/>
                <w:sz w:val="18"/>
                <w:szCs w:val="18"/>
              </w:rPr>
              <w:t>äd luggõks</w:t>
            </w:r>
          </w:p>
        </w:tc>
      </w:tr>
      <w:tr w:rsidR="00FB4EFA" w:rsidRPr="00FB4EFA" w14:paraId="02344961" w14:textId="77777777" w:rsidTr="007B50C2">
        <w:tc>
          <w:tcPr>
            <w:tcW w:w="0" w:type="auto"/>
            <w:vMerge/>
            <w:tcBorders>
              <w:left w:val="nil"/>
            </w:tcBorders>
            <w:shd w:val="clear" w:color="auto" w:fill="auto"/>
            <w:vAlign w:val="center"/>
          </w:tcPr>
          <w:p w14:paraId="7E17042E" w14:textId="77777777" w:rsidR="00A2715F" w:rsidRPr="00FB4EFA" w:rsidRDefault="00A2715F" w:rsidP="007C4BE6">
            <w:pPr>
              <w:jc w:val="center"/>
              <w:rPr>
                <w:sz w:val="18"/>
                <w:szCs w:val="18"/>
              </w:rPr>
            </w:pPr>
          </w:p>
        </w:tc>
        <w:tc>
          <w:tcPr>
            <w:tcW w:w="0" w:type="auto"/>
            <w:tcBorders>
              <w:left w:val="single" w:sz="12" w:space="0" w:color="000000"/>
              <w:right w:val="single" w:sz="12" w:space="0" w:color="000000"/>
            </w:tcBorders>
            <w:shd w:val="clear" w:color="auto" w:fill="auto"/>
            <w:vAlign w:val="center"/>
          </w:tcPr>
          <w:p w14:paraId="54086520" w14:textId="77777777" w:rsidR="00A2715F" w:rsidRPr="00FB4EFA" w:rsidRDefault="00A2715F" w:rsidP="00AC1192">
            <w:pPr>
              <w:keepNext/>
              <w:suppressAutoHyphens/>
              <w:jc w:val="center"/>
              <w:rPr>
                <w:sz w:val="18"/>
                <w:szCs w:val="18"/>
              </w:rPr>
            </w:pPr>
            <w:r w:rsidRPr="00FB4EFA">
              <w:rPr>
                <w:rFonts w:cs="Times New Roman"/>
                <w:b/>
                <w:bCs/>
                <w:sz w:val="18"/>
                <w:szCs w:val="18"/>
              </w:rPr>
              <w:t>3.</w:t>
            </w:r>
          </w:p>
        </w:tc>
        <w:tc>
          <w:tcPr>
            <w:tcW w:w="0" w:type="auto"/>
            <w:tcBorders>
              <w:left w:val="single" w:sz="12" w:space="0" w:color="000000"/>
            </w:tcBorders>
            <w:shd w:val="clear" w:color="auto" w:fill="EDEDED" w:themeFill="accent3" w:themeFillTint="33"/>
            <w:vAlign w:val="center"/>
          </w:tcPr>
          <w:p w14:paraId="611C65BF" w14:textId="77777777" w:rsidR="00A2715F" w:rsidRPr="00FB4EFA" w:rsidRDefault="00A2715F" w:rsidP="00AC1192">
            <w:pPr>
              <w:keepNext/>
              <w:suppressAutoHyphens/>
              <w:jc w:val="center"/>
              <w:rPr>
                <w:sz w:val="18"/>
                <w:szCs w:val="18"/>
              </w:rPr>
            </w:pPr>
            <w:r w:rsidRPr="00FB4EFA">
              <w:rPr>
                <w:rFonts w:cs="Charis SIL"/>
                <w:i/>
                <w:iCs/>
                <w:sz w:val="18"/>
                <w:szCs w:val="18"/>
              </w:rPr>
              <w:t>lugūb</w:t>
            </w:r>
          </w:p>
        </w:tc>
        <w:tc>
          <w:tcPr>
            <w:tcW w:w="0" w:type="auto"/>
            <w:shd w:val="clear" w:color="auto" w:fill="EDEDED" w:themeFill="accent3" w:themeFillTint="33"/>
            <w:vAlign w:val="center"/>
          </w:tcPr>
          <w:p w14:paraId="19784A86" w14:textId="77777777" w:rsidR="00A2715F" w:rsidRPr="00FB4EFA" w:rsidRDefault="00A2715F" w:rsidP="00AC1192">
            <w:pPr>
              <w:keepNext/>
              <w:suppressAutoHyphens/>
              <w:jc w:val="center"/>
              <w:rPr>
                <w:sz w:val="18"/>
                <w:szCs w:val="18"/>
              </w:rPr>
            </w:pPr>
            <w:r w:rsidRPr="00FB4EFA">
              <w:rPr>
                <w:rFonts w:cs="Charis SIL"/>
                <w:i/>
                <w:iCs/>
                <w:sz w:val="18"/>
                <w:szCs w:val="18"/>
              </w:rPr>
              <w:t>äb lug</w:t>
            </w:r>
          </w:p>
        </w:tc>
        <w:tc>
          <w:tcPr>
            <w:tcW w:w="0" w:type="auto"/>
            <w:shd w:val="clear" w:color="auto" w:fill="EDEDED" w:themeFill="accent3" w:themeFillTint="33"/>
            <w:vAlign w:val="center"/>
          </w:tcPr>
          <w:p w14:paraId="36CFAD01" w14:textId="77777777" w:rsidR="00A2715F" w:rsidRPr="00FB4EFA" w:rsidRDefault="00A2715F" w:rsidP="00AC1192">
            <w:pPr>
              <w:keepNext/>
              <w:suppressAutoHyphens/>
              <w:jc w:val="center"/>
              <w:rPr>
                <w:sz w:val="18"/>
                <w:szCs w:val="18"/>
              </w:rPr>
            </w:pPr>
            <w:r w:rsidRPr="00FB4EFA">
              <w:rPr>
                <w:rFonts w:cs="Charis SIL"/>
                <w:i/>
                <w:iCs/>
                <w:sz w:val="18"/>
                <w:szCs w:val="18"/>
              </w:rPr>
              <w:t>lugīz</w:t>
            </w:r>
          </w:p>
        </w:tc>
        <w:tc>
          <w:tcPr>
            <w:tcW w:w="0" w:type="auto"/>
            <w:shd w:val="clear" w:color="auto" w:fill="EDEDED" w:themeFill="accent3" w:themeFillTint="33"/>
            <w:vAlign w:val="center"/>
          </w:tcPr>
          <w:p w14:paraId="582CCD4A" w14:textId="77777777" w:rsidR="00A2715F" w:rsidRPr="00FB4EFA" w:rsidRDefault="00A2715F" w:rsidP="00AC1192">
            <w:pPr>
              <w:keepNext/>
              <w:suppressAutoHyphens/>
              <w:jc w:val="center"/>
              <w:rPr>
                <w:sz w:val="18"/>
                <w:szCs w:val="18"/>
              </w:rPr>
            </w:pPr>
            <w:r w:rsidRPr="00FB4EFA">
              <w:rPr>
                <w:rFonts w:cs="Charis SIL"/>
                <w:i/>
                <w:iCs/>
                <w:sz w:val="18"/>
                <w:szCs w:val="18"/>
              </w:rPr>
              <w:t>iz lug</w:t>
            </w:r>
          </w:p>
        </w:tc>
        <w:tc>
          <w:tcPr>
            <w:tcW w:w="0" w:type="auto"/>
            <w:shd w:val="clear" w:color="auto" w:fill="EDEDED" w:themeFill="accent3" w:themeFillTint="33"/>
            <w:vAlign w:val="center"/>
          </w:tcPr>
          <w:p w14:paraId="49CC6620" w14:textId="77777777" w:rsidR="00A2715F" w:rsidRPr="00FB4EFA" w:rsidRDefault="00A2715F" w:rsidP="00AC1192">
            <w:pPr>
              <w:keepNext/>
              <w:suppressAutoHyphens/>
              <w:jc w:val="center"/>
              <w:rPr>
                <w:sz w:val="18"/>
                <w:szCs w:val="18"/>
              </w:rPr>
            </w:pPr>
            <w:r w:rsidRPr="00FB4EFA">
              <w:rPr>
                <w:rFonts w:cs="Charis SIL"/>
                <w:i/>
                <w:iCs/>
                <w:sz w:val="18"/>
                <w:szCs w:val="18"/>
              </w:rPr>
              <w:t>luggõks</w:t>
            </w:r>
          </w:p>
        </w:tc>
        <w:tc>
          <w:tcPr>
            <w:tcW w:w="0" w:type="auto"/>
            <w:tcBorders>
              <w:left w:val="nil"/>
              <w:right w:val="nil"/>
            </w:tcBorders>
            <w:shd w:val="clear" w:color="auto" w:fill="EDEDED" w:themeFill="accent3" w:themeFillTint="33"/>
            <w:vAlign w:val="center"/>
          </w:tcPr>
          <w:p w14:paraId="4176B616" w14:textId="77777777" w:rsidR="00A2715F" w:rsidRPr="00FB4EFA" w:rsidRDefault="00A2715F" w:rsidP="00AC1192">
            <w:pPr>
              <w:keepNext/>
              <w:suppressAutoHyphens/>
              <w:jc w:val="center"/>
              <w:rPr>
                <w:sz w:val="18"/>
                <w:szCs w:val="18"/>
              </w:rPr>
            </w:pPr>
            <w:r w:rsidRPr="00FB4EFA">
              <w:rPr>
                <w:rFonts w:cs="Charis SIL"/>
                <w:i/>
                <w:iCs/>
                <w:sz w:val="18"/>
                <w:szCs w:val="18"/>
              </w:rPr>
              <w:t>äb luggõks</w:t>
            </w:r>
          </w:p>
        </w:tc>
      </w:tr>
      <w:tr w:rsidR="00FB4EFA" w:rsidRPr="00FB4EFA" w14:paraId="783C7646" w14:textId="77777777" w:rsidTr="007B50C2">
        <w:tc>
          <w:tcPr>
            <w:tcW w:w="0" w:type="auto"/>
            <w:vMerge w:val="restart"/>
            <w:tcBorders>
              <w:left w:val="nil"/>
            </w:tcBorders>
            <w:shd w:val="clear" w:color="auto" w:fill="auto"/>
            <w:vAlign w:val="center"/>
          </w:tcPr>
          <w:p w14:paraId="2AEFCA7B" w14:textId="77777777" w:rsidR="00A2715F" w:rsidRPr="00FB4EFA" w:rsidRDefault="00A2715F" w:rsidP="00AC1192">
            <w:pPr>
              <w:suppressAutoHyphens/>
              <w:jc w:val="center"/>
              <w:rPr>
                <w:sz w:val="18"/>
                <w:szCs w:val="18"/>
              </w:rPr>
            </w:pPr>
            <w:r w:rsidRPr="00FB4EFA">
              <w:rPr>
                <w:rFonts w:cs="Times New Roman"/>
                <w:b/>
                <w:bCs/>
                <w:sz w:val="18"/>
                <w:szCs w:val="18"/>
              </w:rPr>
              <w:t>Pl.</w:t>
            </w:r>
          </w:p>
        </w:tc>
        <w:tc>
          <w:tcPr>
            <w:tcW w:w="0" w:type="auto"/>
            <w:tcBorders>
              <w:left w:val="single" w:sz="12" w:space="0" w:color="000000"/>
              <w:right w:val="single" w:sz="12" w:space="0" w:color="000000"/>
            </w:tcBorders>
            <w:shd w:val="clear" w:color="auto" w:fill="auto"/>
            <w:vAlign w:val="center"/>
          </w:tcPr>
          <w:p w14:paraId="4C37AC06" w14:textId="77777777" w:rsidR="00A2715F" w:rsidRPr="00FB4EFA" w:rsidRDefault="00A2715F" w:rsidP="00AC1192">
            <w:pPr>
              <w:keepNext/>
              <w:suppressAutoHyphens/>
              <w:jc w:val="center"/>
              <w:rPr>
                <w:sz w:val="18"/>
                <w:szCs w:val="18"/>
              </w:rPr>
            </w:pPr>
            <w:r w:rsidRPr="00FB4EFA">
              <w:rPr>
                <w:rFonts w:cs="Times New Roman"/>
                <w:b/>
                <w:bCs/>
                <w:sz w:val="18"/>
                <w:szCs w:val="18"/>
              </w:rPr>
              <w:t>1.</w:t>
            </w:r>
          </w:p>
        </w:tc>
        <w:tc>
          <w:tcPr>
            <w:tcW w:w="0" w:type="auto"/>
            <w:tcBorders>
              <w:left w:val="single" w:sz="12" w:space="0" w:color="000000"/>
            </w:tcBorders>
            <w:shd w:val="clear" w:color="auto" w:fill="auto"/>
            <w:vAlign w:val="center"/>
          </w:tcPr>
          <w:p w14:paraId="0ECF3CC5" w14:textId="77777777" w:rsidR="00A2715F" w:rsidRPr="00FB4EFA" w:rsidRDefault="00A2715F" w:rsidP="00AC1192">
            <w:pPr>
              <w:keepNext/>
              <w:suppressAutoHyphens/>
              <w:jc w:val="center"/>
              <w:rPr>
                <w:sz w:val="18"/>
                <w:szCs w:val="18"/>
              </w:rPr>
            </w:pPr>
            <w:r w:rsidRPr="00FB4EFA">
              <w:rPr>
                <w:rFonts w:cs="Charis SIL"/>
                <w:i/>
                <w:iCs/>
                <w:sz w:val="18"/>
                <w:szCs w:val="18"/>
              </w:rPr>
              <w:t>luggõm</w:t>
            </w:r>
          </w:p>
        </w:tc>
        <w:tc>
          <w:tcPr>
            <w:tcW w:w="0" w:type="auto"/>
            <w:shd w:val="clear" w:color="auto" w:fill="auto"/>
            <w:vAlign w:val="center"/>
          </w:tcPr>
          <w:p w14:paraId="3F5B1C32" w14:textId="77777777" w:rsidR="00A2715F" w:rsidRPr="00FB4EFA" w:rsidRDefault="00A2715F" w:rsidP="00AC1192">
            <w:pPr>
              <w:keepNext/>
              <w:suppressAutoHyphens/>
              <w:jc w:val="center"/>
              <w:rPr>
                <w:sz w:val="18"/>
                <w:szCs w:val="18"/>
              </w:rPr>
            </w:pPr>
            <w:r w:rsidRPr="00FB4EFA">
              <w:rPr>
                <w:rFonts w:cs="Charis SIL"/>
                <w:i/>
                <w:iCs/>
                <w:sz w:val="18"/>
                <w:szCs w:val="18"/>
              </w:rPr>
              <w:t>äb luggõm</w:t>
            </w:r>
          </w:p>
        </w:tc>
        <w:tc>
          <w:tcPr>
            <w:tcW w:w="0" w:type="auto"/>
            <w:shd w:val="clear" w:color="auto" w:fill="auto"/>
            <w:vAlign w:val="center"/>
          </w:tcPr>
          <w:p w14:paraId="255580B5" w14:textId="77777777" w:rsidR="00A2715F" w:rsidRPr="00FB4EFA" w:rsidRDefault="00A2715F" w:rsidP="00AC1192">
            <w:pPr>
              <w:keepNext/>
              <w:suppressAutoHyphens/>
              <w:jc w:val="center"/>
              <w:rPr>
                <w:sz w:val="18"/>
                <w:szCs w:val="18"/>
              </w:rPr>
            </w:pPr>
            <w:r w:rsidRPr="00FB4EFA">
              <w:rPr>
                <w:rFonts w:cs="Charis SIL"/>
                <w:i/>
                <w:iCs/>
                <w:sz w:val="18"/>
                <w:szCs w:val="18"/>
              </w:rPr>
              <w:t>lugīzmõ</w:t>
            </w:r>
          </w:p>
        </w:tc>
        <w:tc>
          <w:tcPr>
            <w:tcW w:w="0" w:type="auto"/>
            <w:shd w:val="clear" w:color="auto" w:fill="auto"/>
            <w:vAlign w:val="center"/>
          </w:tcPr>
          <w:p w14:paraId="5C3771B9" w14:textId="77777777" w:rsidR="00A2715F" w:rsidRPr="00FB4EFA" w:rsidRDefault="00A2715F" w:rsidP="00AC1192">
            <w:pPr>
              <w:keepNext/>
              <w:suppressAutoHyphens/>
              <w:jc w:val="center"/>
              <w:rPr>
                <w:sz w:val="18"/>
                <w:szCs w:val="18"/>
              </w:rPr>
            </w:pPr>
            <w:r w:rsidRPr="00FB4EFA">
              <w:rPr>
                <w:rFonts w:cs="Charis SIL"/>
                <w:i/>
                <w:iCs/>
                <w:sz w:val="18"/>
                <w:szCs w:val="18"/>
              </w:rPr>
              <w:t>iz luggõm</w:t>
            </w:r>
          </w:p>
        </w:tc>
        <w:tc>
          <w:tcPr>
            <w:tcW w:w="0" w:type="auto"/>
            <w:shd w:val="clear" w:color="auto" w:fill="auto"/>
            <w:vAlign w:val="center"/>
          </w:tcPr>
          <w:p w14:paraId="5612BB78" w14:textId="77777777" w:rsidR="00A2715F" w:rsidRPr="00FB4EFA" w:rsidRDefault="00A2715F" w:rsidP="00AC1192">
            <w:pPr>
              <w:keepNext/>
              <w:suppressAutoHyphens/>
              <w:jc w:val="center"/>
              <w:rPr>
                <w:sz w:val="18"/>
                <w:szCs w:val="18"/>
              </w:rPr>
            </w:pPr>
            <w:r w:rsidRPr="00FB4EFA">
              <w:rPr>
                <w:rFonts w:cs="Charis SIL"/>
                <w:i/>
                <w:iCs/>
                <w:sz w:val="18"/>
                <w:szCs w:val="18"/>
              </w:rPr>
              <w:t>luggõksmõ</w:t>
            </w:r>
          </w:p>
        </w:tc>
        <w:tc>
          <w:tcPr>
            <w:tcW w:w="0" w:type="auto"/>
            <w:tcBorders>
              <w:left w:val="nil"/>
              <w:right w:val="nil"/>
            </w:tcBorders>
            <w:shd w:val="clear" w:color="auto" w:fill="auto"/>
            <w:vAlign w:val="center"/>
          </w:tcPr>
          <w:p w14:paraId="27AECEB3" w14:textId="77777777" w:rsidR="00A2715F" w:rsidRPr="00FB4EFA" w:rsidRDefault="00A2715F" w:rsidP="00AC1192">
            <w:pPr>
              <w:keepNext/>
              <w:suppressAutoHyphens/>
              <w:jc w:val="center"/>
              <w:rPr>
                <w:sz w:val="18"/>
                <w:szCs w:val="18"/>
              </w:rPr>
            </w:pPr>
            <w:r w:rsidRPr="00FB4EFA">
              <w:rPr>
                <w:rFonts w:cs="Charis SIL"/>
                <w:i/>
                <w:iCs/>
                <w:sz w:val="18"/>
                <w:szCs w:val="18"/>
              </w:rPr>
              <w:t>äb luggõksmõ</w:t>
            </w:r>
          </w:p>
        </w:tc>
      </w:tr>
      <w:tr w:rsidR="00FB4EFA" w:rsidRPr="00FB4EFA" w14:paraId="018F9EF2" w14:textId="77777777" w:rsidTr="007B50C2">
        <w:tc>
          <w:tcPr>
            <w:tcW w:w="0" w:type="auto"/>
            <w:vMerge/>
            <w:tcBorders>
              <w:left w:val="nil"/>
            </w:tcBorders>
            <w:shd w:val="clear" w:color="auto" w:fill="auto"/>
            <w:vAlign w:val="center"/>
          </w:tcPr>
          <w:p w14:paraId="4292660C" w14:textId="77777777" w:rsidR="00A2715F" w:rsidRPr="00FB4EFA" w:rsidRDefault="00A2715F" w:rsidP="007C4BE6">
            <w:pPr>
              <w:jc w:val="center"/>
              <w:rPr>
                <w:sz w:val="18"/>
                <w:szCs w:val="18"/>
              </w:rPr>
            </w:pPr>
          </w:p>
        </w:tc>
        <w:tc>
          <w:tcPr>
            <w:tcW w:w="0" w:type="auto"/>
            <w:tcBorders>
              <w:left w:val="single" w:sz="12" w:space="0" w:color="000000"/>
              <w:right w:val="single" w:sz="12" w:space="0" w:color="000000"/>
            </w:tcBorders>
            <w:shd w:val="clear" w:color="auto" w:fill="auto"/>
            <w:vAlign w:val="center"/>
          </w:tcPr>
          <w:p w14:paraId="0561B5B3" w14:textId="77777777" w:rsidR="00A2715F" w:rsidRPr="00FB4EFA" w:rsidRDefault="00A2715F" w:rsidP="00AC1192">
            <w:pPr>
              <w:keepNext/>
              <w:suppressAutoHyphens/>
              <w:jc w:val="center"/>
              <w:rPr>
                <w:sz w:val="18"/>
                <w:szCs w:val="18"/>
              </w:rPr>
            </w:pPr>
            <w:r w:rsidRPr="00FB4EFA">
              <w:rPr>
                <w:rFonts w:cs="Times New Roman"/>
                <w:b/>
                <w:bCs/>
                <w:sz w:val="18"/>
                <w:szCs w:val="18"/>
              </w:rPr>
              <w:t>2.</w:t>
            </w:r>
          </w:p>
        </w:tc>
        <w:tc>
          <w:tcPr>
            <w:tcW w:w="0" w:type="auto"/>
            <w:tcBorders>
              <w:left w:val="single" w:sz="12" w:space="0" w:color="000000"/>
            </w:tcBorders>
            <w:shd w:val="clear" w:color="auto" w:fill="auto"/>
            <w:vAlign w:val="center"/>
          </w:tcPr>
          <w:p w14:paraId="1084579E" w14:textId="77777777" w:rsidR="00A2715F" w:rsidRPr="00FB4EFA" w:rsidRDefault="00A2715F" w:rsidP="00AC1192">
            <w:pPr>
              <w:keepNext/>
              <w:suppressAutoHyphens/>
              <w:jc w:val="center"/>
              <w:rPr>
                <w:sz w:val="18"/>
                <w:szCs w:val="18"/>
              </w:rPr>
            </w:pPr>
            <w:r w:rsidRPr="00FB4EFA">
              <w:rPr>
                <w:rFonts w:cs="Charis SIL"/>
                <w:i/>
                <w:iCs/>
                <w:sz w:val="18"/>
                <w:szCs w:val="18"/>
              </w:rPr>
              <w:t>luggõt</w:t>
            </w:r>
          </w:p>
        </w:tc>
        <w:tc>
          <w:tcPr>
            <w:tcW w:w="0" w:type="auto"/>
            <w:shd w:val="clear" w:color="auto" w:fill="auto"/>
            <w:vAlign w:val="center"/>
          </w:tcPr>
          <w:p w14:paraId="4021F5BB" w14:textId="77777777" w:rsidR="00A2715F" w:rsidRPr="00FB4EFA" w:rsidRDefault="00A2715F" w:rsidP="00AC1192">
            <w:pPr>
              <w:keepNext/>
              <w:suppressAutoHyphens/>
              <w:jc w:val="center"/>
              <w:rPr>
                <w:sz w:val="18"/>
                <w:szCs w:val="18"/>
              </w:rPr>
            </w:pPr>
            <w:r w:rsidRPr="00FB4EFA">
              <w:rPr>
                <w:rFonts w:cs="Charis SIL"/>
                <w:i/>
                <w:iCs/>
                <w:sz w:val="18"/>
                <w:szCs w:val="18"/>
              </w:rPr>
              <w:t>ät luggõt</w:t>
            </w:r>
          </w:p>
        </w:tc>
        <w:tc>
          <w:tcPr>
            <w:tcW w:w="0" w:type="auto"/>
            <w:shd w:val="clear" w:color="auto" w:fill="C9C9C9" w:themeFill="accent3" w:themeFillTint="99"/>
            <w:vAlign w:val="center"/>
          </w:tcPr>
          <w:p w14:paraId="71DCDCA6" w14:textId="77777777" w:rsidR="00A2715F" w:rsidRPr="00FB4EFA" w:rsidRDefault="00A2715F" w:rsidP="00AC1192">
            <w:pPr>
              <w:keepNext/>
              <w:suppressAutoHyphens/>
              <w:jc w:val="center"/>
              <w:rPr>
                <w:sz w:val="18"/>
                <w:szCs w:val="18"/>
              </w:rPr>
            </w:pPr>
            <w:r w:rsidRPr="00FB4EFA">
              <w:rPr>
                <w:rFonts w:cs="Charis SIL"/>
                <w:i/>
                <w:iCs/>
                <w:sz w:val="18"/>
                <w:szCs w:val="18"/>
              </w:rPr>
              <w:t>lugīzt(õ)</w:t>
            </w:r>
          </w:p>
        </w:tc>
        <w:tc>
          <w:tcPr>
            <w:tcW w:w="0" w:type="auto"/>
            <w:shd w:val="clear" w:color="auto" w:fill="C9C9C9" w:themeFill="accent3" w:themeFillTint="99"/>
            <w:vAlign w:val="center"/>
          </w:tcPr>
          <w:p w14:paraId="4109C4B7" w14:textId="77777777" w:rsidR="00A2715F" w:rsidRPr="00FB4EFA" w:rsidRDefault="00A2715F" w:rsidP="00AC1192">
            <w:pPr>
              <w:keepNext/>
              <w:suppressAutoHyphens/>
              <w:jc w:val="center"/>
              <w:rPr>
                <w:sz w:val="18"/>
                <w:szCs w:val="18"/>
              </w:rPr>
            </w:pPr>
            <w:r w:rsidRPr="00FB4EFA">
              <w:rPr>
                <w:rFonts w:cs="Charis SIL"/>
                <w:i/>
                <w:iCs/>
                <w:sz w:val="18"/>
                <w:szCs w:val="18"/>
              </w:rPr>
              <w:t>izt luggõt</w:t>
            </w:r>
          </w:p>
        </w:tc>
        <w:tc>
          <w:tcPr>
            <w:tcW w:w="0" w:type="auto"/>
            <w:shd w:val="clear" w:color="auto" w:fill="C9C9C9" w:themeFill="accent3" w:themeFillTint="99"/>
            <w:vAlign w:val="center"/>
          </w:tcPr>
          <w:p w14:paraId="2ECC766D" w14:textId="77777777" w:rsidR="00A2715F" w:rsidRPr="00FB4EFA" w:rsidRDefault="00A2715F" w:rsidP="00AC1192">
            <w:pPr>
              <w:keepNext/>
              <w:suppressAutoHyphens/>
              <w:jc w:val="center"/>
              <w:rPr>
                <w:sz w:val="18"/>
                <w:szCs w:val="18"/>
              </w:rPr>
            </w:pPr>
            <w:r w:rsidRPr="00FB4EFA">
              <w:rPr>
                <w:rFonts w:cs="Charis SIL"/>
                <w:i/>
                <w:iCs/>
                <w:sz w:val="18"/>
                <w:szCs w:val="18"/>
              </w:rPr>
              <w:t>luggõkstõ</w:t>
            </w:r>
          </w:p>
        </w:tc>
        <w:tc>
          <w:tcPr>
            <w:tcW w:w="0" w:type="auto"/>
            <w:tcBorders>
              <w:left w:val="nil"/>
              <w:right w:val="nil"/>
            </w:tcBorders>
            <w:shd w:val="clear" w:color="auto" w:fill="auto"/>
            <w:vAlign w:val="center"/>
          </w:tcPr>
          <w:p w14:paraId="74E7F42F" w14:textId="77777777" w:rsidR="00A2715F" w:rsidRPr="00FB4EFA" w:rsidRDefault="00A2715F" w:rsidP="00AC1192">
            <w:pPr>
              <w:keepNext/>
              <w:suppressAutoHyphens/>
              <w:jc w:val="center"/>
              <w:rPr>
                <w:sz w:val="18"/>
                <w:szCs w:val="18"/>
              </w:rPr>
            </w:pPr>
            <w:r w:rsidRPr="00FB4EFA">
              <w:rPr>
                <w:rFonts w:cs="Charis SIL"/>
                <w:i/>
                <w:iCs/>
                <w:sz w:val="18"/>
                <w:szCs w:val="18"/>
              </w:rPr>
              <w:t>ät luggõkst</w:t>
            </w:r>
          </w:p>
        </w:tc>
      </w:tr>
      <w:tr w:rsidR="00FB4EFA" w:rsidRPr="00FB4EFA" w14:paraId="2752704A" w14:textId="77777777" w:rsidTr="007B50C2">
        <w:tc>
          <w:tcPr>
            <w:tcW w:w="0" w:type="auto"/>
            <w:vMerge/>
            <w:tcBorders>
              <w:top w:val="nil"/>
              <w:left w:val="nil"/>
              <w:bottom w:val="nil"/>
            </w:tcBorders>
            <w:shd w:val="clear" w:color="auto" w:fill="auto"/>
            <w:vAlign w:val="center"/>
          </w:tcPr>
          <w:p w14:paraId="7DD164BB" w14:textId="77777777" w:rsidR="00A2715F" w:rsidRPr="00FB4EFA" w:rsidRDefault="00A2715F" w:rsidP="007C4BE6">
            <w:pPr>
              <w:jc w:val="center"/>
              <w:rPr>
                <w:sz w:val="18"/>
                <w:szCs w:val="18"/>
              </w:rPr>
            </w:pPr>
          </w:p>
        </w:tc>
        <w:tc>
          <w:tcPr>
            <w:tcW w:w="0" w:type="auto"/>
            <w:tcBorders>
              <w:top w:val="nil"/>
              <w:left w:val="single" w:sz="12" w:space="0" w:color="000000"/>
              <w:bottom w:val="nil"/>
              <w:right w:val="single" w:sz="12" w:space="0" w:color="000000"/>
            </w:tcBorders>
            <w:shd w:val="clear" w:color="auto" w:fill="auto"/>
            <w:vAlign w:val="center"/>
          </w:tcPr>
          <w:p w14:paraId="65124A53" w14:textId="77777777" w:rsidR="00A2715F" w:rsidRPr="00FB4EFA" w:rsidRDefault="00A2715F" w:rsidP="00AC1192">
            <w:pPr>
              <w:keepNext/>
              <w:suppressAutoHyphens/>
              <w:jc w:val="center"/>
              <w:rPr>
                <w:sz w:val="18"/>
                <w:szCs w:val="18"/>
              </w:rPr>
            </w:pPr>
            <w:r w:rsidRPr="00FB4EFA">
              <w:rPr>
                <w:rFonts w:cs="Times New Roman"/>
                <w:b/>
                <w:bCs/>
                <w:sz w:val="18"/>
                <w:szCs w:val="18"/>
              </w:rPr>
              <w:t>3.</w:t>
            </w:r>
          </w:p>
        </w:tc>
        <w:tc>
          <w:tcPr>
            <w:tcW w:w="0" w:type="auto"/>
            <w:tcBorders>
              <w:top w:val="nil"/>
              <w:left w:val="single" w:sz="12" w:space="0" w:color="000000"/>
              <w:bottom w:val="nil"/>
            </w:tcBorders>
            <w:shd w:val="clear" w:color="auto" w:fill="auto"/>
            <w:vAlign w:val="center"/>
          </w:tcPr>
          <w:p w14:paraId="09BA4938" w14:textId="77777777" w:rsidR="00A2715F" w:rsidRPr="00FB4EFA" w:rsidRDefault="00A2715F" w:rsidP="00AC1192">
            <w:pPr>
              <w:keepNext/>
              <w:suppressAutoHyphens/>
              <w:jc w:val="center"/>
              <w:rPr>
                <w:sz w:val="18"/>
                <w:szCs w:val="18"/>
              </w:rPr>
            </w:pPr>
            <w:r w:rsidRPr="00FB4EFA">
              <w:rPr>
                <w:rFonts w:cs="Charis SIL"/>
                <w:i/>
                <w:iCs/>
                <w:sz w:val="18"/>
                <w:szCs w:val="18"/>
              </w:rPr>
              <w:t>luggõbõd</w:t>
            </w:r>
          </w:p>
        </w:tc>
        <w:tc>
          <w:tcPr>
            <w:tcW w:w="0" w:type="auto"/>
            <w:tcBorders>
              <w:top w:val="nil"/>
              <w:bottom w:val="nil"/>
            </w:tcBorders>
            <w:shd w:val="clear" w:color="auto" w:fill="auto"/>
            <w:vAlign w:val="center"/>
          </w:tcPr>
          <w:p w14:paraId="4A978E82" w14:textId="77777777" w:rsidR="00A2715F" w:rsidRPr="00FB4EFA" w:rsidRDefault="00A2715F" w:rsidP="00AC1192">
            <w:pPr>
              <w:keepNext/>
              <w:suppressAutoHyphens/>
              <w:jc w:val="center"/>
              <w:rPr>
                <w:sz w:val="18"/>
                <w:szCs w:val="18"/>
              </w:rPr>
            </w:pPr>
            <w:r w:rsidRPr="00FB4EFA">
              <w:rPr>
                <w:rFonts w:cs="Charis SIL"/>
                <w:i/>
                <w:iCs/>
                <w:sz w:val="18"/>
                <w:szCs w:val="18"/>
              </w:rPr>
              <w:t>äb luggõt</w:t>
            </w:r>
          </w:p>
        </w:tc>
        <w:tc>
          <w:tcPr>
            <w:tcW w:w="0" w:type="auto"/>
            <w:tcBorders>
              <w:top w:val="nil"/>
              <w:bottom w:val="nil"/>
            </w:tcBorders>
            <w:shd w:val="clear" w:color="auto" w:fill="C9C9C9" w:themeFill="accent3" w:themeFillTint="99"/>
            <w:vAlign w:val="center"/>
          </w:tcPr>
          <w:p w14:paraId="3342EEAA" w14:textId="77777777" w:rsidR="00A2715F" w:rsidRPr="00FB4EFA" w:rsidRDefault="00A2715F" w:rsidP="00AC1192">
            <w:pPr>
              <w:keepNext/>
              <w:suppressAutoHyphens/>
              <w:jc w:val="center"/>
              <w:rPr>
                <w:sz w:val="18"/>
                <w:szCs w:val="18"/>
              </w:rPr>
            </w:pPr>
            <w:r w:rsidRPr="00FB4EFA">
              <w:rPr>
                <w:rFonts w:cs="Charis SIL"/>
                <w:i/>
                <w:iCs/>
                <w:sz w:val="18"/>
                <w:szCs w:val="18"/>
              </w:rPr>
              <w:t>lugīzt(õ)</w:t>
            </w:r>
          </w:p>
        </w:tc>
        <w:tc>
          <w:tcPr>
            <w:tcW w:w="0" w:type="auto"/>
            <w:tcBorders>
              <w:top w:val="nil"/>
              <w:bottom w:val="nil"/>
            </w:tcBorders>
            <w:shd w:val="clear" w:color="auto" w:fill="C9C9C9" w:themeFill="accent3" w:themeFillTint="99"/>
            <w:vAlign w:val="center"/>
          </w:tcPr>
          <w:p w14:paraId="29CAB6A4" w14:textId="77777777" w:rsidR="00A2715F" w:rsidRPr="00FB4EFA" w:rsidRDefault="00A2715F" w:rsidP="00AC1192">
            <w:pPr>
              <w:keepNext/>
              <w:suppressAutoHyphens/>
              <w:jc w:val="center"/>
              <w:rPr>
                <w:sz w:val="18"/>
                <w:szCs w:val="18"/>
              </w:rPr>
            </w:pPr>
            <w:r w:rsidRPr="00FB4EFA">
              <w:rPr>
                <w:rFonts w:cs="Charis SIL"/>
                <w:i/>
                <w:iCs/>
                <w:sz w:val="18"/>
                <w:szCs w:val="18"/>
              </w:rPr>
              <w:t>izt luggõt</w:t>
            </w:r>
          </w:p>
        </w:tc>
        <w:tc>
          <w:tcPr>
            <w:tcW w:w="0" w:type="auto"/>
            <w:tcBorders>
              <w:top w:val="nil"/>
              <w:bottom w:val="nil"/>
            </w:tcBorders>
            <w:shd w:val="clear" w:color="auto" w:fill="C9C9C9" w:themeFill="accent3" w:themeFillTint="99"/>
            <w:vAlign w:val="center"/>
          </w:tcPr>
          <w:p w14:paraId="60CD84F9" w14:textId="77777777" w:rsidR="00A2715F" w:rsidRPr="00FB4EFA" w:rsidRDefault="00A2715F" w:rsidP="00AC1192">
            <w:pPr>
              <w:keepNext/>
              <w:suppressAutoHyphens/>
              <w:jc w:val="center"/>
              <w:rPr>
                <w:sz w:val="18"/>
                <w:szCs w:val="18"/>
              </w:rPr>
            </w:pPr>
            <w:r w:rsidRPr="00FB4EFA">
              <w:rPr>
                <w:rFonts w:cs="Charis SIL"/>
                <w:i/>
                <w:iCs/>
                <w:sz w:val="18"/>
                <w:szCs w:val="18"/>
              </w:rPr>
              <w:t>luggõkstõ</w:t>
            </w:r>
          </w:p>
        </w:tc>
        <w:tc>
          <w:tcPr>
            <w:tcW w:w="0" w:type="auto"/>
            <w:tcBorders>
              <w:top w:val="nil"/>
              <w:left w:val="nil"/>
              <w:bottom w:val="nil"/>
              <w:right w:val="nil"/>
            </w:tcBorders>
            <w:shd w:val="clear" w:color="auto" w:fill="auto"/>
            <w:vAlign w:val="center"/>
          </w:tcPr>
          <w:p w14:paraId="477324AA" w14:textId="77777777" w:rsidR="00A2715F" w:rsidRPr="00FB4EFA" w:rsidRDefault="00A2715F" w:rsidP="00AC1192">
            <w:pPr>
              <w:keepNext/>
              <w:suppressAutoHyphens/>
              <w:jc w:val="center"/>
              <w:rPr>
                <w:sz w:val="18"/>
                <w:szCs w:val="18"/>
              </w:rPr>
            </w:pPr>
            <w:r w:rsidRPr="00FB4EFA">
              <w:rPr>
                <w:rFonts w:cs="Charis SIL"/>
                <w:i/>
                <w:iCs/>
                <w:sz w:val="18"/>
                <w:szCs w:val="18"/>
              </w:rPr>
              <w:t>äb luggõkst</w:t>
            </w:r>
          </w:p>
        </w:tc>
      </w:tr>
    </w:tbl>
    <w:bookmarkEnd w:id="62"/>
    <w:p w14:paraId="20AA9B41" w14:textId="77777777" w:rsidR="00A2715F" w:rsidRPr="00FB4EFA" w:rsidRDefault="00A2715F" w:rsidP="00AC1192">
      <w:pPr>
        <w:suppressAutoHyphens/>
        <w:spacing w:before="120" w:after="240"/>
        <w:jc w:val="center"/>
        <w:rPr>
          <w:sz w:val="18"/>
          <w:szCs w:val="18"/>
        </w:rPr>
      </w:pPr>
      <w:r w:rsidRPr="00FB4EFA">
        <w:rPr>
          <w:b/>
          <w:bCs/>
          <w:sz w:val="18"/>
          <w:szCs w:val="18"/>
        </w:rPr>
        <w:t>Tabelle 1</w:t>
      </w:r>
      <w:r w:rsidRPr="00FB4EFA">
        <w:rPr>
          <w:sz w:val="18"/>
          <w:szCs w:val="18"/>
        </w:rPr>
        <w:t>: Synkretismen im livischen Verbalparadigma</w:t>
      </w:r>
    </w:p>
    <w:p w14:paraId="4C12D452" w14:textId="5BA0A024" w:rsidR="00A2715F" w:rsidRPr="00FB4EFA" w:rsidRDefault="00A2715F" w:rsidP="00402EF4">
      <w:r w:rsidRPr="00FB4EFA">
        <w:t>Die oben besprochenen Kriterien für die Klassifikation einer Sprache als Nullsubjektsprache betreffen im Sinne von Parametern die kategorische Möglichkeit bzw. Unmöglichkeit, Subjektpronomina auszulassen. Dem gegenüber steht eine zweite Dimension der Variation, nämlich die Verwendung von Nullsubjekten in verschiedenen Typen von Nullsubjekt</w:t>
      </w:r>
      <w:r w:rsidRPr="00FB4EFA">
        <w:lastRenderedPageBreak/>
        <w:t>sprachen, denn natürlich können etwa auch in kanonischen Nullsubjektsprachen volle Subjektpronomina in verschiedenen Funktionen eingesetzt werden.</w:t>
      </w:r>
    </w:p>
    <w:p w14:paraId="0968211D" w14:textId="31900EFB" w:rsidR="00A2715F" w:rsidRPr="00FB4EFA" w:rsidRDefault="00A2715F" w:rsidP="00402EF4">
      <w:pPr>
        <w:ind w:firstLine="709"/>
      </w:pPr>
      <w:r w:rsidRPr="00FB4EFA">
        <w:t xml:space="preserve">Wenn Subjektpronomina in Nullsubjektsprachen eingesetzt werden, kann ihre Funktion recht allgemein so beschrieben werden, dass sie eine Art markierter oder emphatischer Interpretation beisteuern – etwa, dass mit einem vollen Subjektpronomen im Gegensatz zu einem </w:t>
      </w:r>
      <w:r w:rsidR="00D84F6F" w:rsidRPr="00FB4EFA">
        <w:br/>
      </w:r>
      <w:r w:rsidRPr="00FB4EFA">
        <w:t xml:space="preserve">Nullsubjekt das Satztopik gewechselt oder das Subjektpronomen fokussiert und somit als Alternative präsentiert wird (Cole 2009, Frascarelli 2018). Der Gebrauch von Subjektpronomina unterliegt also in </w:t>
      </w:r>
      <w:r w:rsidR="00D84F6F" w:rsidRPr="00FB4EFA">
        <w:br/>
      </w:r>
      <w:r w:rsidRPr="00FB4EFA">
        <w:t xml:space="preserve">Nullsubjektsprachen beispielsweise diskursiven Faktoren, die nicht unbedingt von der ersten Definition von Nullsubjektsprachen umfasst </w:t>
      </w:r>
      <w:r w:rsidR="00D84F6F" w:rsidRPr="00FB4EFA">
        <w:br/>
      </w:r>
      <w:r w:rsidRPr="00FB4EFA">
        <w:t>werden. Diese zwei Sichtweisen zu Nullsubjekten – eine kategorische und eine gebrauchsorientierte –</w:t>
      </w:r>
      <w:r w:rsidR="000121EA" w:rsidRPr="00FB4EFA">
        <w:t xml:space="preserve"> </w:t>
      </w:r>
      <w:r w:rsidRPr="00FB4EFA">
        <w:t>ergänzen einander daher.</w:t>
      </w:r>
    </w:p>
    <w:p w14:paraId="7ACB0869" w14:textId="77777777" w:rsidR="00A2715F" w:rsidRPr="00FB4EFA" w:rsidRDefault="00A2715F" w:rsidP="00402EF4">
      <w:pPr>
        <w:ind w:firstLine="709"/>
      </w:pPr>
      <w:r w:rsidRPr="00FB4EFA">
        <w:t>In diesem Beitrag liegt der Fokus auf der kategorischen Definition von Nullsubjekten, da das Ziel dieses Artikels darin besteht, den Status des Livischen im Rahmen der Typologie der Nullsubjektsprachen zu bestimmen. Daher werden für diese Bestimmung nur Nullsubjekte herangezogen, die tatsächlich zur Bestimmung dieses Status dienen können. Die reine Anzahl von Nullsubjekten verschiedener Art in einem Text gibt nämlich noch keinen Aufschluss darüber, ob referentielle Nullsubjekte in der betreffenden Sprachvarietät grundsätzlich möglich sind oder nicht.</w:t>
      </w:r>
    </w:p>
    <w:p w14:paraId="5A0E8ACC" w14:textId="77777777" w:rsidR="00A2715F" w:rsidRPr="00FB4EFA" w:rsidRDefault="00A2715F" w:rsidP="00402EF4">
      <w:pPr>
        <w:ind w:firstLine="709"/>
      </w:pPr>
      <w:r w:rsidRPr="00FB4EFA">
        <w:t>Eine rein quantitative Zählung von ausgelassenen Pronomina sagt eher etwas über den diskursiven Charakter eines Textes aus, da auf diese Weise nur die Anzahl von Konstruktionen in einem Text gezählt wird, in denen Subjektpronomina allgemein ausgelassen werden können. Beispielsweise zählen Lindström et al. (2009) in ihrer Studie zu Nullsubjekten in estnischen Dialekten auch ausgelassene Subjektpronomina in koordinierten Sätzen zu den Nullsubjekten. Weil jedoch auch in Sprachen wie dem Englischen, die Nullsubjekte außerhalb spezieller Kontexte nicht erlauben, in diesem Kontext Pronomina ausgelassen werden können, stellen ausgelassene Pronomina in koordinierten Sätzen keine sinnvolle Diagnostik zum Status des betreffenden estnischen Dialektes als Nullsubjektsprache dar.</w:t>
      </w:r>
    </w:p>
    <w:p w14:paraId="7AEF8840" w14:textId="765206FC" w:rsidR="00A2715F" w:rsidRPr="00FB4EFA" w:rsidRDefault="00A2715F" w:rsidP="00402EF4">
      <w:pPr>
        <w:ind w:firstLine="709"/>
      </w:pPr>
      <w:r w:rsidRPr="00FB4EFA">
        <w:t xml:space="preserve">Für die Methodik der vorliegenden Untersuchung bedeuten die vorangegangenen Überlegungen, dass es nicht ausreicht, rein quantitativ </w:t>
      </w:r>
      <w:r w:rsidRPr="00FB4EFA">
        <w:lastRenderedPageBreak/>
        <w:t xml:space="preserve">alle Fälle von ausgelassenen Pronomina im livischen Material zu zählen. Wie bereits erwähnt, verfügen auch Sprachen, die in neutralen Kontexten keine Nullsubjekte erlauben, über einige besondere Konstruktionen wie die koordinierten Sätze, in denen das Auslassen von Subjektpronomina möglich ist. Ausgelassene Pronomina in diesen besonderen Konstruktionen im Livischen sagen also nichts über den Status des Livischen als </w:t>
      </w:r>
      <w:r w:rsidR="00D84F6F" w:rsidRPr="00FB4EFA">
        <w:br/>
      </w:r>
      <w:r w:rsidRPr="00FB4EFA">
        <w:t>Nullsubjektsprache aus. Im folgenden Abschnitt werden daher die verschiedenen Arten von Nullsubjekten im Livischen genauer betrachtet.</w:t>
      </w:r>
    </w:p>
    <w:p w14:paraId="524AFEC7" w14:textId="77777777" w:rsidR="00A2715F" w:rsidRPr="00FB4EFA" w:rsidRDefault="00A2715F" w:rsidP="00545033">
      <w:pPr>
        <w:pStyle w:val="Heading2"/>
        <w:suppressAutoHyphens/>
        <w:spacing w:line="259" w:lineRule="auto"/>
        <w:rPr>
          <w:color w:val="auto"/>
          <w:lang w:val="de-AT"/>
        </w:rPr>
      </w:pPr>
      <w:r w:rsidRPr="00FB4EFA">
        <w:rPr>
          <w:color w:val="auto"/>
          <w:lang w:val="de-AT"/>
        </w:rPr>
        <w:t>3. Die livischen Daten</w:t>
      </w:r>
    </w:p>
    <w:p w14:paraId="221CF821" w14:textId="497A61CC" w:rsidR="00A2715F" w:rsidRPr="00FB4EFA" w:rsidRDefault="00A2715F" w:rsidP="00402EF4">
      <w:pPr>
        <w:spacing w:after="240"/>
      </w:pPr>
      <w:r w:rsidRPr="00FB4EFA">
        <w:t xml:space="preserve">Die livische Syntax ist wie die der anderen kleinen ostseefinnischen Sprachen noch unzureichend erforscht (Laakso 2001: 179) – so fehlen auch Untersuchungen zu elliptischen Sätzen verschiedener Art und zu den allgemeinen Bedingungen, unter denen Subjekte ausgelassen werden können (Norvik 2016). Ein Hinweis auf diese Bedingungen findet sich jedenfalls bei Sjögren &amp; Wiedemann (1861), die erwähnen, dass das </w:t>
      </w:r>
      <w:r w:rsidR="00D84F6F" w:rsidRPr="00FB4EFA">
        <w:br/>
      </w:r>
      <w:r w:rsidRPr="00FB4EFA">
        <w:t>Subjekt unter anderem fehlen kann,</w:t>
      </w:r>
    </w:p>
    <w:p w14:paraId="4C67C9AD" w14:textId="624955A5" w:rsidR="00A2715F" w:rsidRPr="00FB4EFA" w:rsidRDefault="00A2715F" w:rsidP="00D65DBC">
      <w:pPr>
        <w:spacing w:line="240" w:lineRule="auto"/>
        <w:ind w:left="709" w:firstLine="11"/>
        <w:rPr>
          <w:sz w:val="20"/>
          <w:szCs w:val="20"/>
        </w:rPr>
      </w:pPr>
      <w:r w:rsidRPr="00FB4EFA">
        <w:rPr>
          <w:sz w:val="20"/>
          <w:szCs w:val="20"/>
        </w:rPr>
        <w:t>[…] wenn es ein Personalpronomen ist, da in den meisten Fällen auch ohne ein solches die Person schon durch die Endung des Zeitworts hinlänglich bezeichnet wird. (Sjögren &amp; Wiedemann 1861:</w:t>
      </w:r>
      <w:r w:rsidR="00E324D9" w:rsidRPr="00FB4EFA">
        <w:rPr>
          <w:sz w:val="20"/>
          <w:szCs w:val="20"/>
        </w:rPr>
        <w:t> </w:t>
      </w:r>
      <w:r w:rsidRPr="00FB4EFA">
        <w:rPr>
          <w:sz w:val="20"/>
          <w:szCs w:val="20"/>
        </w:rPr>
        <w:t>232)</w:t>
      </w:r>
    </w:p>
    <w:p w14:paraId="44B0DAD2" w14:textId="77777777" w:rsidR="00A2715F" w:rsidRPr="00FB4EFA" w:rsidRDefault="00A2715F" w:rsidP="00402EF4">
      <w:pPr>
        <w:spacing w:before="240"/>
      </w:pPr>
      <w:r w:rsidRPr="00FB4EFA">
        <w:t>Dies würde Livisch als kanonische Nullsubjektsprache mit referentiellen Nullsubjekten einordnen, auch wenn Sjögren &amp; Wiedemann unmittelbar nach ihrer Behauptung keine Belege dafür liefern. Da die Sammlung der Sprachdaten in der betreffenden Grammatik jedenfalls schon in die Mitte des 19. Jahrhunderts zurückreicht, sind neuere Daten für eine Überprüfung dieses Sachverhaltes notwendig.</w:t>
      </w:r>
    </w:p>
    <w:p w14:paraId="4FC7967C" w14:textId="791E00C7" w:rsidR="00A2715F" w:rsidRPr="00FB4EFA" w:rsidRDefault="00A2715F" w:rsidP="00AF0CAD">
      <w:pPr>
        <w:ind w:firstLine="709"/>
      </w:pPr>
      <w:r w:rsidRPr="00FB4EFA">
        <w:t xml:space="preserve">Das Material für diesen Beitrag besteht daher aus bisher unveröffentlichten Transkripten von relativ rezenten Gesprächen mit Sprecherinnen und Sprechern des Livischen, die mir freundlicherweise von Tuuli Tuisk und Marili Tomingas zur Verfügung gestellt wurden. Die Aufnahmen mit insgesamt fünf </w:t>
      </w:r>
      <w:r w:rsidR="00C3135B" w:rsidRPr="00FB4EFA">
        <w:t xml:space="preserve">Sprecherinnen und </w:t>
      </w:r>
      <w:r w:rsidRPr="00FB4EFA">
        <w:t>Sprechern wurden in den Jahren 1986 bis 2012 von Tiit-Rein Viitso angefertigt und sind 2 Stunden und 40 Minuten lang, wovon etwa 90 Minuten auf eine Sprecherin, Poul</w:t>
      </w:r>
      <w:r w:rsidRPr="00FB4EFA">
        <w:rPr>
          <w:rFonts w:cs="Cambria"/>
        </w:rPr>
        <w:t>ī</w:t>
      </w:r>
      <w:r w:rsidRPr="00FB4EFA">
        <w:t>n K</w:t>
      </w:r>
      <w:r w:rsidRPr="00FB4EFA">
        <w:rPr>
          <w:rFonts w:cs="Cambria"/>
        </w:rPr>
        <w:t>ļ</w:t>
      </w:r>
      <w:r w:rsidRPr="00FB4EFA">
        <w:t>avi</w:t>
      </w:r>
      <w:r w:rsidRPr="00FB4EFA">
        <w:rPr>
          <w:rFonts w:cs="Cambria"/>
        </w:rPr>
        <w:t>ņ</w:t>
      </w:r>
      <w:r w:rsidRPr="00FB4EFA">
        <w:t xml:space="preserve">a, entfallen. Die Daten wurden von mir manuell auf verschiedene </w:t>
      </w:r>
      <w:r w:rsidRPr="00FB4EFA">
        <w:lastRenderedPageBreak/>
        <w:t xml:space="preserve">Nullsubjekte untersucht. Die Beispiele sind hier in der modernen </w:t>
      </w:r>
      <w:r w:rsidR="00D84F6F" w:rsidRPr="00FB4EFA">
        <w:br/>
      </w:r>
      <w:r w:rsidRPr="00FB4EFA">
        <w:t xml:space="preserve">livischen Orthographie wiedergegeben, aber wurden im Falle von </w:t>
      </w:r>
      <w:r w:rsidR="00D84F6F" w:rsidRPr="00FB4EFA">
        <w:br/>
      </w:r>
      <w:r w:rsidRPr="00FB4EFA">
        <w:t>Allegroformen oder Abweichungen von der orthographisch erwarteten Form (</w:t>
      </w:r>
      <w:r w:rsidR="0030017E" w:rsidRPr="00FB4EFA">
        <w:t>z.</w:t>
      </w:r>
      <w:r w:rsidR="003A4932" w:rsidRPr="00FB4EFA">
        <w:t> </w:t>
      </w:r>
      <w:r w:rsidR="0030017E" w:rsidRPr="00FB4EFA">
        <w:t>B.</w:t>
      </w:r>
      <w:r w:rsidRPr="00FB4EFA">
        <w:t xml:space="preserve"> </w:t>
      </w:r>
      <w:r w:rsidRPr="00FB4EFA">
        <w:rPr>
          <w:i/>
          <w:iCs/>
        </w:rPr>
        <w:t xml:space="preserve">mingizt </w:t>
      </w:r>
      <w:r w:rsidRPr="00FB4EFA">
        <w:t xml:space="preserve">statt </w:t>
      </w:r>
      <w:r w:rsidRPr="00FB4EFA">
        <w:rPr>
          <w:i/>
          <w:iCs/>
        </w:rPr>
        <w:t xml:space="preserve">mingizõst </w:t>
      </w:r>
      <w:r w:rsidR="006057AB" w:rsidRPr="00FB4EFA">
        <w:t>‘</w:t>
      </w:r>
      <w:r w:rsidRPr="00FB4EFA">
        <w:t>aus welchem</w:t>
      </w:r>
      <w:r w:rsidR="006057AB" w:rsidRPr="00FB4EFA">
        <w:t>’</w:t>
      </w:r>
      <w:r w:rsidRPr="00FB4EFA">
        <w:t xml:space="preserve">; </w:t>
      </w:r>
      <w:r w:rsidRPr="00FB4EFA">
        <w:rPr>
          <w:i/>
          <w:iCs/>
        </w:rPr>
        <w:t xml:space="preserve">štok </w:t>
      </w:r>
      <w:r w:rsidRPr="00FB4EFA">
        <w:t xml:space="preserve">statt </w:t>
      </w:r>
      <w:r w:rsidRPr="00FB4EFA">
        <w:rPr>
          <w:i/>
          <w:iCs/>
        </w:rPr>
        <w:t>stok</w:t>
      </w:r>
      <w:r w:rsidRPr="00FB4EFA">
        <w:t xml:space="preserve"> </w:t>
      </w:r>
      <w:r w:rsidR="006057AB" w:rsidRPr="00FB4EFA">
        <w:t>‘</w:t>
      </w:r>
      <w:r w:rsidRPr="00FB4EFA">
        <w:t>Stock</w:t>
      </w:r>
      <w:r w:rsidR="006057AB" w:rsidRPr="00FB4EFA">
        <w:t>’</w:t>
      </w:r>
      <w:r w:rsidRPr="00FB4EFA">
        <w:t>) nicht angepasst. Kürzere Sprechpausen werden mit dem Zeichen „…“ markiert. Die Beispiele werden zusammen mit der Archivnummer der Aufnahmen angegeben.</w:t>
      </w:r>
    </w:p>
    <w:p w14:paraId="36E4F7FA" w14:textId="5A1AA922" w:rsidR="00A2715F" w:rsidRPr="00FB4EFA" w:rsidRDefault="00A2715F" w:rsidP="00402EF4">
      <w:pPr>
        <w:ind w:firstLine="709"/>
      </w:pPr>
      <w:r w:rsidRPr="00FB4EFA">
        <w:t xml:space="preserve">An dieser Stelle müssen kurz Fragen der Auswahl der Sprachdaten sowie der soziolinguistischen Situation des Livischen und deren möglicher Effekt auf die Ergebnisse dieser Untersuchung angesprochen werden. Für diese Untersuchung wurden nur Korpusdaten von gesprochenem Livisch aus einem relativ kurzen Zeitraum berücksichtigt. Diese Auswahl ermöglicht es einerseits, Einflüsse auf die Möglichkeit der Auslassung von Subjekten, wie etwa Register oder Sprachwandel, zu minimieren. Andererseits sind Korpusdaten zwingend einschränkend, da dabei weder negative Daten noch L1-Sprecherinnen </w:t>
      </w:r>
      <w:r w:rsidR="004A556A" w:rsidRPr="00FB4EFA">
        <w:t xml:space="preserve">und Sprecher </w:t>
      </w:r>
      <w:r w:rsidRPr="00FB4EFA">
        <w:t>zur Verfügung stehen, um Daten zu bewerten. Ebenfalls besteht die Möglichkeit, dass die Schlussfolgerungen aus diesem Beitrag nur für ebendieses Register und diese Zeit gültig sein könnten.</w:t>
      </w:r>
    </w:p>
    <w:p w14:paraId="0909FF00" w14:textId="3C982E81" w:rsidR="00A2715F" w:rsidRPr="00FB4EFA" w:rsidRDefault="00A2715F" w:rsidP="00402EF4">
      <w:pPr>
        <w:ind w:firstLine="709"/>
      </w:pPr>
      <w:r w:rsidRPr="00FB4EFA">
        <w:t xml:space="preserve">In einem Gutachten wurde nämlich anhand eines </w:t>
      </w:r>
      <w:r w:rsidRPr="00FB4EFA">
        <w:rPr>
          <w:rFonts w:cs="Charis SIL"/>
        </w:rPr>
        <w:t>Beispiels aus Pētõr Dambergs Lesebuch (1935: 13) angemerkt, dass Nullsubjekte der 1.</w:t>
      </w:r>
      <w:r w:rsidR="003A4932" w:rsidRPr="00FB4EFA">
        <w:rPr>
          <w:rFonts w:cs="Charis SIL"/>
        </w:rPr>
        <w:t> </w:t>
      </w:r>
      <w:r w:rsidRPr="00FB4EFA">
        <w:rPr>
          <w:rFonts w:cs="Charis SIL"/>
        </w:rPr>
        <w:t xml:space="preserve">Person Plural – die in meinem Material nicht aufscheinen – im </w:t>
      </w:r>
      <w:r w:rsidR="00D84F6F" w:rsidRPr="00FB4EFA">
        <w:rPr>
          <w:rFonts w:cs="Charis SIL"/>
        </w:rPr>
        <w:br/>
      </w:r>
      <w:r w:rsidRPr="00FB4EFA">
        <w:rPr>
          <w:rFonts w:cs="Charis SIL"/>
        </w:rPr>
        <w:t>Livischen</w:t>
      </w:r>
      <w:r w:rsidRPr="00FB4EFA">
        <w:t xml:space="preserve"> durchaus belegt sind. Aufgrund dieses Beispiels und der oben zitierten Einschätzung von Sjögren &amp; Wiedemann (1861) möchte ich an dieser Stelle nicht ausschließen, dass es Registerunterschiede gibt oder sich das Livische im Hinblick auf Nullsubjekte in der Zeit seit dessen </w:t>
      </w:r>
      <w:r w:rsidR="003A4932" w:rsidRPr="00FB4EFA">
        <w:br/>
      </w:r>
      <w:r w:rsidRPr="00FB4EFA">
        <w:t>Dokumentation, und insbesondere in den letzten Jahrzehnten</w:t>
      </w:r>
      <w:r w:rsidR="00C3135B" w:rsidRPr="00FB4EFA">
        <w:t>,</w:t>
      </w:r>
      <w:r w:rsidRPr="00FB4EFA">
        <w:t xml:space="preserve"> verändert haben könnte – besonders in Hinblick darauf, dass mein Material aus einer Zeit stammt, in der das Livische schon stark gefährdet war.</w:t>
      </w:r>
    </w:p>
    <w:p w14:paraId="5F8859EC" w14:textId="70DD34E8" w:rsidR="00A2715F" w:rsidRPr="00FB4EFA" w:rsidRDefault="00A2715F" w:rsidP="00402EF4">
      <w:pPr>
        <w:ind w:firstLine="709"/>
      </w:pPr>
      <w:r w:rsidRPr="00FB4EFA">
        <w:t>Die soziolinguistische Situation des Livischen wirft letztlich einige Fragen bezüglich der Vergleichbarkeit des Livischen mit vitalen europäischen Sprachen – etwa in einer Typologie der Nullsubjekt</w:t>
      </w:r>
      <w:r w:rsidR="00E324D9" w:rsidRPr="00FB4EFA">
        <w:softHyphen/>
      </w:r>
      <w:r w:rsidRPr="00FB4EFA">
        <w:t xml:space="preserve">sprachen – auf. Die livischen Sprachbeispiele in diesem Beitrag wurden von der letzten Generation von L1-Sprecherinnen und </w:t>
      </w:r>
      <w:r w:rsidRPr="00FB4EFA">
        <w:noBreakHyphen/>
        <w:t xml:space="preserve">Sprechern des Livischen produziert, die zumindest bilingual waren – in einer Phase intensiven Sprachkontakts mit dem Lettischen und kurz vor dem Sprachtod des Livischen. </w:t>
      </w:r>
      <w:r w:rsidRPr="00FB4EFA">
        <w:lastRenderedPageBreak/>
        <w:t xml:space="preserve">Es ist daher fraglich, inwieweit die Sprecherinnen und Sprecher die </w:t>
      </w:r>
      <w:r w:rsidR="003A4932" w:rsidRPr="00FB4EFA">
        <w:br/>
      </w:r>
      <w:r w:rsidRPr="00FB4EFA">
        <w:t>Morphosyntax des Livischen unabhängig von jener der Kontaktsprache verwenden (vgl. Laakso 2002: 241) und wie aussagekräftig die Daten für frühere Stadien des Livischen sind. Weitere mögliche Effekte des Sprachkontaktes mit Lettisch werden in Abschnitt 5 besprochen.</w:t>
      </w:r>
    </w:p>
    <w:p w14:paraId="0CEE920C" w14:textId="77777777" w:rsidR="00A2715F" w:rsidRPr="00FB4EFA" w:rsidRDefault="00A2715F" w:rsidP="00402EF4">
      <w:pPr>
        <w:spacing w:after="240"/>
        <w:ind w:firstLine="709"/>
      </w:pPr>
      <w:r w:rsidRPr="00FB4EFA">
        <w:t>Bevor wir uns den Beispielen für Nullsubjekte aus dem livischen Material zuwenden, sei erwähnt, dass es in elliptischen Sätzen auch möglich ist, andere Satzteile als Subjekte auszulassen. Zu diesem Typ Satz zählen etwa Fragmentantworten, die eine Frage bejahend oder verneinend beantworten und die im Livischen üblicherweise nur aus einem Verb bestehen. In diesen Sätzen können Existentialsubjekte (1) oder auch Objekte (2) ausgelassen und aus dem unmittelbaren Kontext erschlossen werden. Diese Nullargumente wurden hier nicht berücksichtigt.</w:t>
      </w:r>
    </w:p>
    <w:p w14:paraId="4DAAA54F" w14:textId="0B417549" w:rsidR="00A2715F" w:rsidRPr="00FB4EFA" w:rsidRDefault="00A2715F" w:rsidP="00D65DBC">
      <w:pPr>
        <w:keepNext/>
        <w:spacing w:line="240" w:lineRule="auto"/>
      </w:pPr>
      <w:r w:rsidRPr="00FB4EFA">
        <w:t>(1)</w:t>
      </w:r>
      <w:r w:rsidRPr="00FB4EFA">
        <w:tab/>
        <w:t>(või n</w:t>
      </w:r>
      <w:r w:rsidRPr="00FB4EFA">
        <w:rPr>
          <w:rFonts w:cs="Cambria"/>
        </w:rPr>
        <w:t>ēḑ</w:t>
      </w:r>
      <w:r w:rsidRPr="00FB4EFA">
        <w:t>i Vaidõl v</w:t>
      </w:r>
      <w:r w:rsidRPr="00FB4EFA">
        <w:rPr>
          <w:rFonts w:cs="Cambria"/>
        </w:rPr>
        <w:t>ȯļ</w:t>
      </w:r>
      <w:r w:rsidRPr="00FB4EFA">
        <w:t xml:space="preserve"> ka?)</w:t>
      </w:r>
    </w:p>
    <w:p w14:paraId="2694B146" w14:textId="77777777" w:rsidR="00A2715F" w:rsidRPr="00FB4EFA" w:rsidRDefault="00A2715F" w:rsidP="00D65DBC">
      <w:pPr>
        <w:keepNext/>
        <w:tabs>
          <w:tab w:val="left" w:pos="709"/>
          <w:tab w:val="left" w:pos="2552"/>
        </w:tabs>
        <w:spacing w:line="240" w:lineRule="auto"/>
      </w:pPr>
      <w:r w:rsidRPr="00FB4EFA">
        <w:tab/>
        <w:t>iz</w:t>
      </w:r>
      <w:r w:rsidRPr="00FB4EFA">
        <w:tab/>
      </w:r>
      <w:r w:rsidRPr="00FB4EFA">
        <w:rPr>
          <w:rFonts w:cs="Cambria"/>
        </w:rPr>
        <w:t>ū</w:t>
      </w:r>
      <w:r w:rsidRPr="00FB4EFA">
        <w:t>o</w:t>
      </w:r>
    </w:p>
    <w:p w14:paraId="3161A1A6" w14:textId="2244CCE5" w:rsidR="00A2715F" w:rsidRPr="00FB4EFA" w:rsidRDefault="00A2715F" w:rsidP="00D65DBC">
      <w:pPr>
        <w:keepNext/>
        <w:tabs>
          <w:tab w:val="left" w:pos="709"/>
          <w:tab w:val="left" w:pos="2552"/>
        </w:tabs>
        <w:spacing w:line="240" w:lineRule="auto"/>
      </w:pPr>
      <w:r w:rsidRPr="00FB4EFA">
        <w:tab/>
      </w:r>
      <w:r w:rsidR="00F410E4" w:rsidRPr="00FB4EFA">
        <w:rPr>
          <w:smallCaps/>
        </w:rPr>
        <w:t>neg</w:t>
      </w:r>
      <w:r w:rsidRPr="00FB4EFA">
        <w:t>.</w:t>
      </w:r>
      <w:r w:rsidR="00F410E4" w:rsidRPr="00FB4EFA">
        <w:rPr>
          <w:smallCaps/>
        </w:rPr>
        <w:t>pst</w:t>
      </w:r>
      <w:r w:rsidRPr="00FB4EFA">
        <w:t>.</w:t>
      </w:r>
      <w:r w:rsidR="00F410E4" w:rsidRPr="00FB4EFA">
        <w:rPr>
          <w:smallCaps/>
        </w:rPr>
        <w:t>3sg</w:t>
      </w:r>
      <w:r w:rsidRPr="00FB4EFA">
        <w:tab/>
        <w:t>sein.</w:t>
      </w:r>
      <w:r w:rsidR="00F410E4" w:rsidRPr="00FB4EFA">
        <w:rPr>
          <w:smallCaps/>
        </w:rPr>
        <w:t>cng</w:t>
      </w:r>
    </w:p>
    <w:p w14:paraId="09832145" w14:textId="0B5B9056" w:rsidR="00A2715F" w:rsidRPr="00FB4EFA" w:rsidRDefault="00A2715F" w:rsidP="00D65DBC">
      <w:pPr>
        <w:spacing w:line="240" w:lineRule="auto"/>
      </w:pPr>
      <w:r w:rsidRPr="00FB4EFA">
        <w:tab/>
      </w:r>
      <w:r w:rsidR="006057AB" w:rsidRPr="00FB4EFA">
        <w:t>‘</w:t>
      </w:r>
      <w:r w:rsidRPr="00FB4EFA">
        <w:t>(Gab es die auch in Vaide?) – Gab (es) nicht.</w:t>
      </w:r>
      <w:r w:rsidR="006057AB" w:rsidRPr="00FB4EFA">
        <w:t>’</w:t>
      </w:r>
      <w:r w:rsidR="00413E36" w:rsidRPr="00FB4EFA">
        <w:t xml:space="preserve"> (F0996-01)</w:t>
      </w:r>
    </w:p>
    <w:p w14:paraId="42DB61DA" w14:textId="175A4E97" w:rsidR="00A2715F" w:rsidRPr="00FB4EFA" w:rsidRDefault="00A2715F" w:rsidP="00D65DBC">
      <w:pPr>
        <w:keepNext/>
        <w:spacing w:before="240" w:line="240" w:lineRule="auto"/>
      </w:pPr>
      <w:r w:rsidRPr="00FB4EFA">
        <w:t>(2)</w:t>
      </w:r>
      <w:r w:rsidRPr="00FB4EFA">
        <w:tab/>
        <w:t>(või sied</w:t>
      </w:r>
      <w:r w:rsidRPr="00FB4EFA">
        <w:rPr>
          <w:rFonts w:cs="Cambria"/>
        </w:rPr>
        <w:t>ā</w:t>
      </w:r>
      <w:r w:rsidRPr="00FB4EFA">
        <w:t xml:space="preserve"> m</w:t>
      </w:r>
      <w:r w:rsidRPr="00FB4EFA">
        <w:rPr>
          <w:rFonts w:cs="Cambria"/>
        </w:rPr>
        <w:t>ī</w:t>
      </w:r>
      <w:r w:rsidRPr="00FB4EFA">
        <w:t>b ka)</w:t>
      </w:r>
    </w:p>
    <w:p w14:paraId="7545BC1D" w14:textId="77777777" w:rsidR="00A2715F" w:rsidRPr="00FB4EFA" w:rsidRDefault="00A2715F" w:rsidP="00D65DBC">
      <w:pPr>
        <w:keepNext/>
        <w:tabs>
          <w:tab w:val="left" w:pos="709"/>
          <w:tab w:val="left" w:pos="2694"/>
          <w:tab w:val="left" w:pos="3119"/>
        </w:tabs>
        <w:spacing w:line="240" w:lineRule="auto"/>
      </w:pPr>
      <w:r w:rsidRPr="00FB4EFA">
        <w:tab/>
        <w:t>m</w:t>
      </w:r>
      <w:r w:rsidRPr="00FB4EFA">
        <w:rPr>
          <w:rFonts w:cs="Cambria"/>
        </w:rPr>
        <w:t>ī</w:t>
      </w:r>
      <w:r w:rsidRPr="00FB4EFA">
        <w:t>b</w:t>
      </w:r>
      <w:r w:rsidRPr="00FB4EFA">
        <w:tab/>
      </w:r>
      <w:r w:rsidRPr="00FB4EFA">
        <w:tab/>
      </w:r>
      <w:r w:rsidRPr="00FB4EFA">
        <w:rPr>
          <w:rFonts w:cs="Baskerville Old Face"/>
        </w:rPr>
        <w:t>…</w:t>
      </w:r>
      <w:r w:rsidRPr="00FB4EFA">
        <w:tab/>
        <w:t>n</w:t>
      </w:r>
      <w:r w:rsidRPr="00FB4EFA">
        <w:rPr>
          <w:rFonts w:cs="Cambria"/>
        </w:rPr>
        <w:t>ǟ</w:t>
      </w:r>
    </w:p>
    <w:p w14:paraId="0F4E8F29" w14:textId="06724FC9" w:rsidR="00A2715F" w:rsidRPr="00FB4EFA" w:rsidRDefault="00A2715F" w:rsidP="00D65DBC">
      <w:pPr>
        <w:keepNext/>
        <w:tabs>
          <w:tab w:val="left" w:pos="709"/>
          <w:tab w:val="left" w:pos="2694"/>
          <w:tab w:val="left" w:pos="3119"/>
        </w:tabs>
        <w:spacing w:line="240" w:lineRule="auto"/>
      </w:pPr>
      <w:r w:rsidRPr="00FB4EFA">
        <w:tab/>
        <w:t>verkaufen.</w:t>
      </w:r>
      <w:r w:rsidR="00F410E4" w:rsidRPr="00FB4EFA">
        <w:rPr>
          <w:smallCaps/>
        </w:rPr>
        <w:t>3sg</w:t>
      </w:r>
      <w:r w:rsidRPr="00FB4EFA">
        <w:tab/>
      </w:r>
      <w:r w:rsidRPr="00FB4EFA">
        <w:tab/>
      </w:r>
      <w:r w:rsidRPr="00FB4EFA">
        <w:tab/>
        <w:t>ja</w:t>
      </w:r>
    </w:p>
    <w:p w14:paraId="53D6DDA7" w14:textId="481FF4FA" w:rsidR="00A2715F" w:rsidRPr="00FB4EFA" w:rsidRDefault="00A2715F" w:rsidP="00D65DBC">
      <w:pPr>
        <w:spacing w:line="240" w:lineRule="auto"/>
      </w:pPr>
      <w:r w:rsidRPr="00FB4EFA">
        <w:tab/>
      </w:r>
      <w:r w:rsidR="006057AB" w:rsidRPr="00FB4EFA">
        <w:t>‘</w:t>
      </w:r>
      <w:r w:rsidRPr="00FB4EFA">
        <w:t>(Verkauft man den auch?) – Verkauft (man). Ja.</w:t>
      </w:r>
      <w:r w:rsidR="006057AB" w:rsidRPr="00FB4EFA">
        <w:t>’</w:t>
      </w:r>
      <w:r w:rsidR="00413E36" w:rsidRPr="00FB4EFA">
        <w:t xml:space="preserve"> (F1037-01)</w:t>
      </w:r>
    </w:p>
    <w:p w14:paraId="75022DA0" w14:textId="2222EB35" w:rsidR="00A2715F" w:rsidRPr="00FB4EFA" w:rsidRDefault="00A2715F" w:rsidP="00402EF4">
      <w:pPr>
        <w:spacing w:before="240" w:after="240"/>
        <w:rPr>
          <w:rFonts w:cs="Charis SIL"/>
        </w:rPr>
      </w:pPr>
      <w:r w:rsidRPr="00FB4EFA">
        <w:t xml:space="preserve">Eine weitere Klasse an Nullargumenten, die hier nicht berücksichtigt wurde, sind Entsprechungen von Dativargumenten in Nezessivkonstruktionen. In vergleichbaren Konstruktionen im Estnischen können </w:t>
      </w:r>
      <w:r w:rsidR="00C3135B" w:rsidRPr="00FB4EFA">
        <w:br/>
      </w:r>
      <w:r w:rsidRPr="00FB4EFA">
        <w:t>diese Argumente durchaus häufig ausgelassen werden</w:t>
      </w:r>
      <w:r w:rsidRPr="00FB4EFA">
        <w:rPr>
          <w:rFonts w:cs="Charis SIL"/>
        </w:rPr>
        <w:t xml:space="preserve"> (Lindström &amp; Vihman 2017), und dies lässt sich grundsätzlich auch im Livischen </w:t>
      </w:r>
      <w:r w:rsidR="00C3135B" w:rsidRPr="00FB4EFA">
        <w:rPr>
          <w:rFonts w:cs="Charis SIL"/>
        </w:rPr>
        <w:br/>
      </w:r>
      <w:r w:rsidRPr="00FB4EFA">
        <w:rPr>
          <w:rFonts w:cs="Charis SIL"/>
        </w:rPr>
        <w:t>beobachten</w:t>
      </w:r>
      <w:r w:rsidR="00C3135B" w:rsidRPr="00FB4EFA">
        <w:rPr>
          <w:rFonts w:cs="Charis SIL"/>
        </w:rPr>
        <w:t xml:space="preserve"> (3)</w:t>
      </w:r>
      <w:r w:rsidRPr="00FB4EFA">
        <w:rPr>
          <w:rFonts w:cs="Charis SIL"/>
        </w:rPr>
        <w:t>:</w:t>
      </w:r>
    </w:p>
    <w:p w14:paraId="004ADE02" w14:textId="76171D4E" w:rsidR="00A2715F" w:rsidRPr="00FB4EFA" w:rsidRDefault="00A2715F" w:rsidP="008F6FE7">
      <w:pPr>
        <w:keepNext/>
        <w:keepLines/>
        <w:tabs>
          <w:tab w:val="left" w:pos="709"/>
          <w:tab w:val="left" w:pos="1418"/>
          <w:tab w:val="left" w:pos="2268"/>
          <w:tab w:val="left" w:pos="3402"/>
          <w:tab w:val="left" w:pos="4536"/>
          <w:tab w:val="left" w:pos="5812"/>
        </w:tabs>
        <w:spacing w:line="240" w:lineRule="auto"/>
        <w:rPr>
          <w:rFonts w:cs="Charis SIL"/>
        </w:rPr>
      </w:pPr>
      <w:r w:rsidRPr="00FB4EFA">
        <w:rPr>
          <w:rFonts w:cs="Charis SIL"/>
        </w:rPr>
        <w:lastRenderedPageBreak/>
        <w:t>(3)</w:t>
      </w:r>
      <w:r w:rsidRPr="00FB4EFA">
        <w:rPr>
          <w:rFonts w:cs="Charis SIL"/>
        </w:rPr>
        <w:tab/>
        <w:t>bet</w:t>
      </w:r>
      <w:r w:rsidRPr="00FB4EFA">
        <w:rPr>
          <w:rFonts w:cs="Charis SIL"/>
        </w:rPr>
        <w:tab/>
        <w:t>nei</w:t>
      </w:r>
      <w:r w:rsidRPr="00FB4EFA">
        <w:rPr>
          <w:rFonts w:cs="Charis SIL"/>
        </w:rPr>
        <w:tab/>
        <w:t>n-</w:t>
      </w:r>
      <w:r w:rsidRPr="00FB4EFA">
        <w:rPr>
          <w:rFonts w:cs="Charis SIL"/>
        </w:rPr>
        <w:tab/>
        <w:t>äb</w:t>
      </w:r>
      <w:r w:rsidRPr="00FB4EFA">
        <w:rPr>
          <w:rFonts w:cs="Charis SIL"/>
        </w:rPr>
        <w:tab/>
        <w:t>äb</w:t>
      </w:r>
      <w:r w:rsidRPr="00FB4EFA">
        <w:rPr>
          <w:rFonts w:cs="Charis SIL"/>
        </w:rPr>
        <w:tab/>
        <w:t>ūo</w:t>
      </w:r>
      <w:r w:rsidRPr="00FB4EFA">
        <w:rPr>
          <w:rFonts w:cs="Charis SIL"/>
        </w:rPr>
        <w:tab/>
      </w:r>
      <w:r w:rsidRPr="00FB4EFA">
        <w:rPr>
          <w:rFonts w:cs="Charis SIL"/>
        </w:rPr>
        <w:tab/>
        <w:t>aber</w:t>
      </w:r>
      <w:r w:rsidRPr="00FB4EFA">
        <w:rPr>
          <w:rFonts w:cs="Charis SIL"/>
        </w:rPr>
        <w:tab/>
        <w:t>so</w:t>
      </w:r>
      <w:r w:rsidRPr="00FB4EFA">
        <w:rPr>
          <w:rFonts w:cs="Charis SIL"/>
        </w:rPr>
        <w:tab/>
        <w:t>so</w:t>
      </w:r>
      <w:r w:rsidRPr="00FB4EFA">
        <w:rPr>
          <w:rFonts w:cs="Charis SIL"/>
        </w:rPr>
        <w:tab/>
      </w:r>
      <w:r w:rsidR="00F410E4" w:rsidRPr="00FB4EFA">
        <w:rPr>
          <w:rFonts w:cs="Charis SIL"/>
          <w:smallCaps/>
        </w:rPr>
        <w:t>neg</w:t>
      </w:r>
      <w:r w:rsidRPr="00FB4EFA">
        <w:rPr>
          <w:rFonts w:cs="Charis SIL"/>
        </w:rPr>
        <w:t>.</w:t>
      </w:r>
      <w:r w:rsidR="00F410E4" w:rsidRPr="00FB4EFA">
        <w:rPr>
          <w:rFonts w:cs="Charis SIL"/>
          <w:smallCaps/>
        </w:rPr>
        <w:t>3sg</w:t>
      </w:r>
      <w:r w:rsidRPr="00FB4EFA">
        <w:rPr>
          <w:rFonts w:cs="Charis SIL"/>
        </w:rPr>
        <w:tab/>
      </w:r>
      <w:r w:rsidR="00F410E4" w:rsidRPr="00FB4EFA">
        <w:rPr>
          <w:rFonts w:cs="Charis SIL"/>
          <w:smallCaps/>
        </w:rPr>
        <w:t>neg</w:t>
      </w:r>
      <w:r w:rsidRPr="00FB4EFA">
        <w:rPr>
          <w:rFonts w:cs="Charis SIL"/>
        </w:rPr>
        <w:t>.</w:t>
      </w:r>
      <w:r w:rsidR="00F410E4" w:rsidRPr="00FB4EFA">
        <w:rPr>
          <w:rFonts w:cs="Charis SIL"/>
          <w:smallCaps/>
        </w:rPr>
        <w:t>3sg</w:t>
      </w:r>
      <w:r w:rsidRPr="00FB4EFA">
        <w:rPr>
          <w:rFonts w:cs="Charis SIL"/>
        </w:rPr>
        <w:tab/>
        <w:t>sein.</w:t>
      </w:r>
      <w:r w:rsidR="00F410E4" w:rsidRPr="00FB4EFA">
        <w:rPr>
          <w:rFonts w:cs="Charis SIL"/>
          <w:smallCaps/>
        </w:rPr>
        <w:t>cng</w:t>
      </w:r>
    </w:p>
    <w:p w14:paraId="5333B63C" w14:textId="3878E2E9" w:rsidR="00A2715F" w:rsidRPr="00FB4EFA" w:rsidRDefault="00A2715F" w:rsidP="00D65DBC">
      <w:pPr>
        <w:keepNext/>
        <w:keepLines/>
        <w:tabs>
          <w:tab w:val="left" w:pos="709"/>
          <w:tab w:val="left" w:pos="1418"/>
          <w:tab w:val="left" w:pos="2268"/>
          <w:tab w:val="left" w:pos="3402"/>
          <w:tab w:val="left" w:pos="4536"/>
          <w:tab w:val="left" w:pos="5812"/>
        </w:tabs>
        <w:spacing w:before="120" w:line="240" w:lineRule="auto"/>
        <w:rPr>
          <w:rFonts w:cs="Charis SIL"/>
        </w:rPr>
      </w:pPr>
      <w:r w:rsidRPr="00FB4EFA">
        <w:rPr>
          <w:rFonts w:cs="Charis SIL"/>
        </w:rPr>
        <w:tab/>
        <w:t>…</w:t>
      </w:r>
      <w:r w:rsidRPr="00FB4EFA">
        <w:rPr>
          <w:rFonts w:cs="Charis SIL"/>
        </w:rPr>
        <w:tab/>
        <w:t>nei</w:t>
      </w:r>
      <w:r w:rsidRPr="00FB4EFA">
        <w:rPr>
          <w:rFonts w:cs="Charis SIL"/>
        </w:rPr>
        <w:tab/>
        <w:t>sūrtõ</w:t>
      </w:r>
      <w:r w:rsidRPr="00FB4EFA">
        <w:rPr>
          <w:rFonts w:cs="Charis SIL"/>
        </w:rPr>
        <w:tab/>
        <w:t>vajāg</w:t>
      </w:r>
      <w:r w:rsidRPr="00FB4EFA">
        <w:rPr>
          <w:rFonts w:cs="Charis SIL"/>
        </w:rPr>
        <w:br/>
      </w:r>
      <w:r w:rsidRPr="00FB4EFA">
        <w:rPr>
          <w:rFonts w:cs="Charis SIL"/>
        </w:rPr>
        <w:tab/>
      </w:r>
      <w:r w:rsidRPr="00FB4EFA">
        <w:rPr>
          <w:rFonts w:cs="Charis SIL"/>
        </w:rPr>
        <w:tab/>
        <w:t>so</w:t>
      </w:r>
      <w:r w:rsidRPr="00FB4EFA">
        <w:rPr>
          <w:rFonts w:cs="Charis SIL"/>
        </w:rPr>
        <w:tab/>
        <w:t>groß.</w:t>
      </w:r>
      <w:r w:rsidR="00F410E4" w:rsidRPr="00FB4EFA">
        <w:rPr>
          <w:rFonts w:cs="Charis SIL"/>
          <w:smallCaps/>
        </w:rPr>
        <w:t>prt</w:t>
      </w:r>
      <w:r w:rsidRPr="00FB4EFA">
        <w:rPr>
          <w:rFonts w:cs="Charis SIL"/>
        </w:rPr>
        <w:tab/>
        <w:t>notwendig</w:t>
      </w:r>
      <w:r w:rsidRPr="00FB4EFA">
        <w:rPr>
          <w:rFonts w:cs="Charis SIL"/>
        </w:rPr>
        <w:br/>
      </w:r>
      <w:r w:rsidRPr="00FB4EFA">
        <w:rPr>
          <w:rFonts w:cs="Charis SIL"/>
        </w:rPr>
        <w:tab/>
      </w:r>
      <w:r w:rsidR="006057AB" w:rsidRPr="00FB4EFA">
        <w:rPr>
          <w:rFonts w:cs="Charis SIL"/>
        </w:rPr>
        <w:t>‘</w:t>
      </w:r>
      <w:r w:rsidRPr="00FB4EFA">
        <w:rPr>
          <w:rFonts w:cs="Charis SIL"/>
        </w:rPr>
        <w:t>aber so … (ich) brauche so ein großes nicht</w:t>
      </w:r>
      <w:r w:rsidR="006057AB" w:rsidRPr="00FB4EFA">
        <w:rPr>
          <w:rFonts w:cs="Charis SIL"/>
        </w:rPr>
        <w:t>’</w:t>
      </w:r>
      <w:r w:rsidRPr="00FB4EFA">
        <w:rPr>
          <w:rFonts w:cs="Charis SIL"/>
          <w:vertAlign w:val="superscript"/>
        </w:rPr>
        <w:footnoteReference w:id="65"/>
      </w:r>
      <w:r w:rsidR="00413E36" w:rsidRPr="00FB4EFA">
        <w:rPr>
          <w:rFonts w:cs="Charis SIL"/>
        </w:rPr>
        <w:t xml:space="preserve"> (DS0128-02)</w:t>
      </w:r>
    </w:p>
    <w:p w14:paraId="01E30EE4" w14:textId="77777777" w:rsidR="00A2715F" w:rsidRPr="00FB4EFA" w:rsidRDefault="00A2715F" w:rsidP="00545033">
      <w:pPr>
        <w:pStyle w:val="Heading2"/>
        <w:suppressAutoHyphens/>
        <w:spacing w:line="259" w:lineRule="auto"/>
        <w:rPr>
          <w:color w:val="auto"/>
          <w:lang w:val="de-AT"/>
        </w:rPr>
      </w:pPr>
      <w:r w:rsidRPr="00FB4EFA">
        <w:rPr>
          <w:color w:val="auto"/>
          <w:lang w:val="de-AT"/>
        </w:rPr>
        <w:t>4. Ergebnisse</w:t>
      </w:r>
    </w:p>
    <w:p w14:paraId="7EBF02B0" w14:textId="08ABB747" w:rsidR="00A2715F" w:rsidRPr="00FB4EFA" w:rsidRDefault="00A2715F" w:rsidP="00AF0CAD">
      <w:pPr>
        <w:rPr>
          <w:rFonts w:cs="Charis SIL"/>
        </w:rPr>
      </w:pPr>
      <w:r w:rsidRPr="00FB4EFA">
        <w:rPr>
          <w:rFonts w:cs="Charis SIL"/>
        </w:rPr>
        <w:t>Die Beispiele im livischen Material, in denen ein pronominales Nominativsubjekt nicht ausgedrückt wird, lassen sich in mehreren Gruppen zusammenfassen:</w:t>
      </w:r>
      <w:r w:rsidR="000121EA" w:rsidRPr="00FB4EFA">
        <w:rPr>
          <w:rFonts w:cs="Charis SIL"/>
        </w:rPr>
        <w:t xml:space="preserve"> </w:t>
      </w:r>
      <w:r w:rsidRPr="00FB4EFA">
        <w:rPr>
          <w:rFonts w:cs="Charis SIL"/>
        </w:rPr>
        <w:t xml:space="preserve">Ellipse des Pronomens in koordinierten Sätzen; </w:t>
      </w:r>
      <w:r w:rsidRPr="00FB4EFA">
        <w:rPr>
          <w:rFonts w:cs="Charis SIL"/>
          <w:i/>
          <w:iCs/>
        </w:rPr>
        <w:t>Topic Drop</w:t>
      </w:r>
      <w:r w:rsidRPr="00FB4EFA">
        <w:rPr>
          <w:rFonts w:cs="Charis SIL"/>
        </w:rPr>
        <w:t xml:space="preserve">; generische, unpersönliche Sätze; Nullexpletiva; </w:t>
      </w:r>
      <w:r w:rsidR="00C3135B" w:rsidRPr="00FB4EFA">
        <w:rPr>
          <w:rFonts w:cs="Charis SIL"/>
        </w:rPr>
        <w:t xml:space="preserve">sowie </w:t>
      </w:r>
      <w:r w:rsidRPr="00FB4EFA">
        <w:rPr>
          <w:rFonts w:cs="Charis SIL"/>
        </w:rPr>
        <w:t>Nullsubjekte, die keiner dieser Gruppen angehören. Diese Gruppen werden im folgenden Abschnitt jeweils kurz besprochen.</w:t>
      </w:r>
    </w:p>
    <w:p w14:paraId="00D70D2F" w14:textId="77777777" w:rsidR="00A2715F" w:rsidRPr="00FB4EFA" w:rsidRDefault="00A2715F" w:rsidP="00AF0CAD">
      <w:pPr>
        <w:spacing w:after="240"/>
        <w:ind w:firstLine="709"/>
        <w:rPr>
          <w:rFonts w:cs="Charis SIL"/>
        </w:rPr>
      </w:pPr>
      <w:r w:rsidRPr="00FB4EFA">
        <w:rPr>
          <w:rFonts w:cs="Charis SIL"/>
        </w:rPr>
        <w:t xml:space="preserve">Ein sprachübergreifend sehr häufiges Phänomen ist die Auslassung eines Satzsubjekts in einem hinteren Glied </w:t>
      </w:r>
      <w:r w:rsidRPr="00FB4EFA">
        <w:rPr>
          <w:rFonts w:cs="Charis SIL"/>
          <w:b/>
          <w:bCs/>
        </w:rPr>
        <w:t>koordinierter Sätze</w:t>
      </w:r>
      <w:r w:rsidRPr="00FB4EFA">
        <w:rPr>
          <w:rFonts w:cs="Charis SIL"/>
        </w:rPr>
        <w:t xml:space="preserve">. Im gesichteten Material nahmen diese Sätze den größten Teil aller Sätze mit ausgelassenen Subjekten ein. Die transparenteste Variante dieser Sätze ist jene, die durch Beispiel (4) demonstriert wird – das Subjekt </w:t>
      </w:r>
      <w:r w:rsidRPr="00FB4EFA">
        <w:rPr>
          <w:rFonts w:cs="Charis SIL"/>
          <w:i/>
          <w:iCs/>
        </w:rPr>
        <w:t xml:space="preserve">ta </w:t>
      </w:r>
      <w:r w:rsidRPr="00FB4EFA">
        <w:rPr>
          <w:rFonts w:cs="Charis SIL"/>
        </w:rPr>
        <w:t>wird hier im ersten Gliedsatz eingeführt und läuft als Subjekt in den zweiten Gliedsatz durch, wodurch dann dieses Subjektpronomen kein weiteres Mal ausgedrückt werden muss:</w:t>
      </w:r>
    </w:p>
    <w:p w14:paraId="149E1D04" w14:textId="015890FA" w:rsidR="00A2715F" w:rsidRPr="00FB4EFA" w:rsidRDefault="00A2715F" w:rsidP="00F410E4">
      <w:pPr>
        <w:tabs>
          <w:tab w:val="left" w:pos="709"/>
          <w:tab w:val="left" w:pos="1418"/>
          <w:tab w:val="left" w:pos="2127"/>
          <w:tab w:val="left" w:pos="2835"/>
          <w:tab w:val="left" w:pos="4111"/>
          <w:tab w:val="left" w:pos="5529"/>
        </w:tabs>
        <w:spacing w:line="240" w:lineRule="auto"/>
        <w:rPr>
          <w:rFonts w:cs="Charis SIL"/>
        </w:rPr>
      </w:pPr>
      <w:r w:rsidRPr="00FB4EFA">
        <w:rPr>
          <w:rFonts w:cs="Charis SIL"/>
        </w:rPr>
        <w:t>(4)</w:t>
      </w:r>
      <w:r w:rsidRPr="00FB4EFA">
        <w:rPr>
          <w:rFonts w:cs="Charis SIL"/>
        </w:rPr>
        <w:tab/>
        <w:t>ta</w:t>
      </w:r>
      <w:r w:rsidRPr="00FB4EFA">
        <w:rPr>
          <w:rFonts w:cs="Charis SIL"/>
        </w:rPr>
        <w:tab/>
        <w:t>jegā</w:t>
      </w:r>
      <w:r w:rsidRPr="00FB4EFA">
        <w:rPr>
          <w:rFonts w:cs="Charis SIL"/>
        </w:rPr>
        <w:tab/>
        <w:t>pǟva</w:t>
      </w:r>
      <w:r w:rsidRPr="00FB4EFA">
        <w:rPr>
          <w:rFonts w:cs="Charis SIL"/>
        </w:rPr>
        <w:tab/>
        <w:t>broutšõb</w:t>
      </w:r>
      <w:r w:rsidRPr="00FB4EFA">
        <w:rPr>
          <w:rFonts w:cs="Charis SIL"/>
        </w:rPr>
        <w:tab/>
        <w:t>ūoņdžõl</w:t>
      </w:r>
      <w:r w:rsidRPr="00FB4EFA">
        <w:rPr>
          <w:rFonts w:cs="Charis SIL"/>
        </w:rPr>
        <w:tab/>
        <w:t>jedspēḑõn</w:t>
      </w:r>
      <w:r w:rsidR="00F410E4" w:rsidRPr="00FB4EFA">
        <w:rPr>
          <w:rFonts w:cs="Charis SIL"/>
        </w:rPr>
        <w:br/>
      </w:r>
      <w:r w:rsidRPr="00FB4EFA">
        <w:rPr>
          <w:rFonts w:cs="Charis SIL"/>
        </w:rPr>
        <w:tab/>
      </w:r>
      <w:r w:rsidR="00F410E4" w:rsidRPr="00FB4EFA">
        <w:rPr>
          <w:rFonts w:cs="Charis SIL"/>
          <w:smallCaps/>
        </w:rPr>
        <w:t>3sg</w:t>
      </w:r>
      <w:r w:rsidRPr="00FB4EFA">
        <w:rPr>
          <w:rFonts w:cs="Charis SIL"/>
        </w:rPr>
        <w:tab/>
        <w:t>jeder</w:t>
      </w:r>
      <w:r w:rsidRPr="00FB4EFA">
        <w:rPr>
          <w:rFonts w:cs="Charis SIL"/>
        </w:rPr>
        <w:tab/>
        <w:t>Tag</w:t>
      </w:r>
      <w:r w:rsidRPr="00FB4EFA">
        <w:rPr>
          <w:rFonts w:cs="Charis SIL"/>
        </w:rPr>
        <w:tab/>
        <w:t>fahren.</w:t>
      </w:r>
      <w:r w:rsidR="00F410E4" w:rsidRPr="00FB4EFA">
        <w:rPr>
          <w:rFonts w:cs="Charis SIL"/>
          <w:smallCaps/>
        </w:rPr>
        <w:t>3sg</w:t>
      </w:r>
      <w:r w:rsidRPr="00FB4EFA">
        <w:rPr>
          <w:rFonts w:cs="Charis SIL"/>
        </w:rPr>
        <w:tab/>
        <w:t>in.Früh</w:t>
      </w:r>
      <w:r w:rsidRPr="00FB4EFA">
        <w:rPr>
          <w:rFonts w:cs="Charis SIL"/>
        </w:rPr>
        <w:tab/>
        <w:t>hin</w:t>
      </w:r>
    </w:p>
    <w:p w14:paraId="78A6C870" w14:textId="77A42DAC" w:rsidR="00A2715F" w:rsidRPr="00FB4EFA" w:rsidRDefault="00A2715F" w:rsidP="00F410E4">
      <w:pPr>
        <w:tabs>
          <w:tab w:val="left" w:pos="709"/>
          <w:tab w:val="left" w:pos="1418"/>
          <w:tab w:val="left" w:pos="2127"/>
          <w:tab w:val="left" w:pos="2835"/>
          <w:tab w:val="left" w:pos="3969"/>
          <w:tab w:val="left" w:pos="5529"/>
        </w:tabs>
        <w:spacing w:before="120" w:line="240" w:lineRule="auto"/>
        <w:rPr>
          <w:rFonts w:cs="Charis SIL"/>
        </w:rPr>
      </w:pPr>
      <w:r w:rsidRPr="00FB4EFA">
        <w:rPr>
          <w:rFonts w:cs="Charis SIL"/>
        </w:rPr>
        <w:tab/>
        <w:t>ja</w:t>
      </w:r>
      <w:r w:rsidRPr="00FB4EFA">
        <w:rPr>
          <w:rFonts w:cs="Charis SIL"/>
        </w:rPr>
        <w:tab/>
        <w:t>ȭdõn</w:t>
      </w:r>
      <w:r w:rsidRPr="00FB4EFA">
        <w:rPr>
          <w:rFonts w:cs="Charis SIL"/>
        </w:rPr>
        <w:tab/>
        <w:t>…</w:t>
      </w:r>
      <w:r w:rsidRPr="00FB4EFA">
        <w:rPr>
          <w:rFonts w:cs="Charis SIL"/>
        </w:rPr>
        <w:tab/>
        <w:t>tegīž</w:t>
      </w:r>
      <w:r w:rsidRPr="00FB4EFA">
        <w:rPr>
          <w:rFonts w:cs="Charis SIL"/>
        </w:rPr>
        <w:tab/>
        <w:t>broutšõb</w:t>
      </w:r>
      <w:r w:rsidRPr="00FB4EFA">
        <w:rPr>
          <w:rFonts w:cs="Charis SIL"/>
        </w:rPr>
        <w:tab/>
        <w:t>kuodāj.</w:t>
      </w:r>
      <w:r w:rsidR="00F410E4" w:rsidRPr="00FB4EFA">
        <w:rPr>
          <w:rFonts w:cs="Charis SIL"/>
        </w:rPr>
        <w:br/>
      </w:r>
      <w:r w:rsidRPr="00FB4EFA">
        <w:rPr>
          <w:rFonts w:cs="Charis SIL"/>
        </w:rPr>
        <w:tab/>
        <w:t>und</w:t>
      </w:r>
      <w:r w:rsidRPr="00FB4EFA">
        <w:rPr>
          <w:rFonts w:cs="Charis SIL"/>
        </w:rPr>
        <w:tab/>
        <w:t>am.Abend</w:t>
      </w:r>
      <w:r w:rsidRPr="00FB4EFA">
        <w:rPr>
          <w:rFonts w:cs="Charis SIL"/>
        </w:rPr>
        <w:tab/>
        <w:t>zurück</w:t>
      </w:r>
      <w:r w:rsidRPr="00FB4EFA">
        <w:rPr>
          <w:rFonts w:cs="Charis SIL"/>
        </w:rPr>
        <w:tab/>
        <w:t>fahren.</w:t>
      </w:r>
      <w:r w:rsidR="00F410E4" w:rsidRPr="00FB4EFA">
        <w:rPr>
          <w:rFonts w:cs="Charis SIL"/>
          <w:smallCaps/>
        </w:rPr>
        <w:t>3sg</w:t>
      </w:r>
      <w:r w:rsidRPr="00FB4EFA">
        <w:rPr>
          <w:rFonts w:cs="Charis SIL"/>
        </w:rPr>
        <w:tab/>
        <w:t>nachhause</w:t>
      </w:r>
    </w:p>
    <w:p w14:paraId="31646940" w14:textId="3FC2504C" w:rsidR="00A2715F" w:rsidRPr="00FB4EFA" w:rsidRDefault="00A2715F" w:rsidP="008F6FE7">
      <w:pPr>
        <w:spacing w:line="240" w:lineRule="auto"/>
        <w:ind w:left="709" w:hanging="709"/>
        <w:rPr>
          <w:rFonts w:cs="Charis SIL"/>
        </w:rPr>
      </w:pPr>
      <w:r w:rsidRPr="00FB4EFA">
        <w:rPr>
          <w:rFonts w:cs="Charis SIL"/>
        </w:rPr>
        <w:tab/>
      </w:r>
      <w:r w:rsidR="006057AB" w:rsidRPr="00FB4EFA">
        <w:rPr>
          <w:rFonts w:cs="Charis SIL"/>
        </w:rPr>
        <w:t>‘</w:t>
      </w:r>
      <w:r w:rsidRPr="00FB4EFA">
        <w:rPr>
          <w:rFonts w:cs="Charis SIL"/>
        </w:rPr>
        <w:t>Er/sie fährt jeden Tag in der Früh hin und (er/sie) fährt am Abend wieder nachhause.</w:t>
      </w:r>
      <w:r w:rsidR="006057AB" w:rsidRPr="00FB4EFA">
        <w:rPr>
          <w:rFonts w:cs="Charis SIL"/>
        </w:rPr>
        <w:t>’</w:t>
      </w:r>
      <w:r w:rsidR="00413E36" w:rsidRPr="00FB4EFA">
        <w:rPr>
          <w:rFonts w:cs="Charis SIL"/>
        </w:rPr>
        <w:t xml:space="preserve"> (DS0127-03)</w:t>
      </w:r>
    </w:p>
    <w:p w14:paraId="742679C3" w14:textId="31AEEAA0" w:rsidR="00A2715F" w:rsidRPr="00FB4EFA" w:rsidRDefault="00A2715F" w:rsidP="00AF0CAD">
      <w:pPr>
        <w:spacing w:before="240" w:after="240"/>
      </w:pPr>
      <w:r w:rsidRPr="00FB4EFA">
        <w:rPr>
          <w:rFonts w:cs="Charis SIL"/>
        </w:rPr>
        <w:t xml:space="preserve">Ähnlich, aber etwas komplexer sind die folgenden Beispiele, in denen das eingeführte und das ausgelassene Subjekt weiter voneinander entfernt sind. In Beispiel (5) wird </w:t>
      </w:r>
      <w:r w:rsidRPr="00FB4EFA">
        <w:rPr>
          <w:rFonts w:cs="Charis SIL"/>
          <w:i/>
          <w:iCs/>
        </w:rPr>
        <w:t>ma</w:t>
      </w:r>
      <w:r w:rsidRPr="00FB4EFA">
        <w:rPr>
          <w:rFonts w:cs="Charis SIL"/>
        </w:rPr>
        <w:t xml:space="preserve"> als Subjekt eingeführt und läuft in den letzten Satzteil weiter, aber wird durch einen als direkte Rede wiedergege</w:t>
      </w:r>
      <w:r w:rsidRPr="00FB4EFA">
        <w:rPr>
          <w:rFonts w:cs="Charis SIL"/>
        </w:rPr>
        <w:lastRenderedPageBreak/>
        <w:t xml:space="preserve">benen Gedanken unterbrochen. In Beispiel (6) wiederum wird das Subjekt </w:t>
      </w:r>
      <w:r w:rsidRPr="00FB4EFA">
        <w:rPr>
          <w:rFonts w:cs="Charis SIL"/>
          <w:i/>
          <w:iCs/>
        </w:rPr>
        <w:t>Ärmanbrik</w:t>
      </w:r>
      <w:r w:rsidRPr="00FB4EFA">
        <w:rPr>
          <w:rFonts w:cs="Charis SIL"/>
        </w:rPr>
        <w:t xml:space="preserve">, das ebenfalls im letzten Satzteil fortgesetzt wird, durch ein anderes Nominativsubjekt, </w:t>
      </w:r>
      <w:r w:rsidRPr="00FB4EFA">
        <w:rPr>
          <w:rFonts w:cs="Charis SIL"/>
          <w:i/>
          <w:iCs/>
        </w:rPr>
        <w:t>sidām</w:t>
      </w:r>
      <w:r w:rsidRPr="00FB4EFA">
        <w:rPr>
          <w:rFonts w:cs="Charis SIL"/>
        </w:rPr>
        <w:t xml:space="preserve">, unterbrochen. Tatsächlich wird in diesen Beispielen also nicht das näheste Subjekt durch das Nullsubjekt fortgesetzt, sondern ein Satztopik. Richtiger wäre es daher, an dieser Stelle nicht von durchlaufenden Subjekten, sondern von durchlaufenden </w:t>
      </w:r>
      <w:r w:rsidR="003A4932" w:rsidRPr="00FB4EFA">
        <w:rPr>
          <w:rFonts w:cs="Charis SIL"/>
        </w:rPr>
        <w:br/>
      </w:r>
      <w:r w:rsidRPr="00FB4EFA">
        <w:rPr>
          <w:rFonts w:cs="Charis SIL"/>
        </w:rPr>
        <w:t>Topiks zu sprechen (vgl. Frascarelli 2018 zu Italienisch). Die Vermutung liegt nahe, dass hauptsächlich Satztopiks durch Nullsubjekte in koordinierten Sätzen weitergeführt werden können. Das Material bestätigt diese Vermutung vorerst – alle ausgelassenen Subjekte in koordinierten Sätzen sind Satztopiks. Möglicherweise können durchlaufende Topiks einer Erzählung auch über längere Strecken hinweg ausgelassen werden.</w:t>
      </w:r>
    </w:p>
    <w:p w14:paraId="14938639" w14:textId="3E87AAB8" w:rsidR="000121EA" w:rsidRPr="00FB4EFA" w:rsidRDefault="00A2715F" w:rsidP="00E22897">
      <w:pPr>
        <w:keepNext/>
        <w:tabs>
          <w:tab w:val="left" w:pos="709"/>
          <w:tab w:val="left" w:pos="1276"/>
          <w:tab w:val="left" w:pos="3402"/>
          <w:tab w:val="left" w:pos="4395"/>
          <w:tab w:val="left" w:pos="5245"/>
        </w:tabs>
        <w:spacing w:line="240" w:lineRule="auto"/>
        <w:rPr>
          <w:rFonts w:cs="Charis SIL"/>
        </w:rPr>
      </w:pPr>
      <w:r w:rsidRPr="00FB4EFA">
        <w:rPr>
          <w:rFonts w:cs="Charis SIL"/>
        </w:rPr>
        <w:t>(5)</w:t>
      </w:r>
      <w:r w:rsidRPr="00FB4EFA">
        <w:rPr>
          <w:rFonts w:cs="Charis SIL"/>
        </w:rPr>
        <w:tab/>
        <w:t>un</w:t>
      </w:r>
      <w:r w:rsidRPr="00FB4EFA">
        <w:rPr>
          <w:rFonts w:cs="Charis SIL"/>
        </w:rPr>
        <w:tab/>
        <w:t>riekaigās</w:t>
      </w:r>
      <w:r w:rsidRPr="00FB4EFA">
        <w:rPr>
          <w:rFonts w:cs="Charis SIL"/>
        </w:rPr>
        <w:tab/>
        <w:t>ma</w:t>
      </w:r>
      <w:r w:rsidRPr="00FB4EFA">
        <w:rPr>
          <w:rFonts w:cs="Charis SIL"/>
        </w:rPr>
        <w:tab/>
        <w:t>mǟdõl</w:t>
      </w:r>
      <w:r w:rsidRPr="00FB4EFA">
        <w:rPr>
          <w:rFonts w:cs="Charis SIL"/>
        </w:rPr>
        <w:tab/>
        <w:t>…</w:t>
      </w:r>
      <w:r w:rsidRPr="00FB4EFA">
        <w:rPr>
          <w:rFonts w:cs="Charis SIL"/>
        </w:rPr>
        <w:tab/>
      </w:r>
    </w:p>
    <w:p w14:paraId="2A76B568" w14:textId="48D151F8" w:rsidR="00A2715F" w:rsidRPr="00FB4EFA" w:rsidRDefault="00A2715F" w:rsidP="00E22897">
      <w:pPr>
        <w:keepNext/>
        <w:tabs>
          <w:tab w:val="left" w:pos="709"/>
          <w:tab w:val="left" w:pos="1276"/>
          <w:tab w:val="left" w:pos="3402"/>
          <w:tab w:val="left" w:pos="4395"/>
          <w:tab w:val="left" w:pos="5245"/>
        </w:tabs>
        <w:spacing w:line="240" w:lineRule="auto"/>
        <w:rPr>
          <w:rFonts w:cs="Charis SIL"/>
        </w:rPr>
      </w:pPr>
      <w:r w:rsidRPr="00FB4EFA">
        <w:rPr>
          <w:rFonts w:cs="Charis SIL"/>
        </w:rPr>
        <w:tab/>
        <w:t>und</w:t>
      </w:r>
      <w:r w:rsidRPr="00FB4EFA">
        <w:rPr>
          <w:rFonts w:cs="Charis SIL"/>
        </w:rPr>
        <w:tab/>
        <w:t>Straßenrand.</w:t>
      </w:r>
      <w:r w:rsidR="00AD41EA" w:rsidRPr="00FB4EFA">
        <w:rPr>
          <w:rFonts w:cs="Charis SIL"/>
          <w:smallCaps/>
        </w:rPr>
        <w:t>ine</w:t>
      </w:r>
      <w:r w:rsidRPr="00FB4EFA">
        <w:rPr>
          <w:rFonts w:cs="Charis SIL"/>
        </w:rPr>
        <w:tab/>
      </w:r>
      <w:r w:rsidR="00AD41EA" w:rsidRPr="00FB4EFA">
        <w:rPr>
          <w:rFonts w:cs="Charis SIL"/>
          <w:smallCaps/>
        </w:rPr>
        <w:t>1sg</w:t>
      </w:r>
      <w:r w:rsidRPr="00FB4EFA">
        <w:rPr>
          <w:rFonts w:cs="Charis SIL"/>
        </w:rPr>
        <w:tab/>
        <w:t>erinnern.</w:t>
      </w:r>
      <w:r w:rsidR="00AD41EA" w:rsidRPr="00FB4EFA">
        <w:rPr>
          <w:rFonts w:cs="Charis SIL"/>
          <w:smallCaps/>
        </w:rPr>
        <w:t>ate</w:t>
      </w:r>
      <w:r w:rsidRPr="00FB4EFA">
        <w:rPr>
          <w:rFonts w:cs="Charis SIL"/>
        </w:rPr>
        <w:tab/>
      </w:r>
    </w:p>
    <w:p w14:paraId="23EA0273" w14:textId="61623A35" w:rsidR="000121EA" w:rsidRPr="00FB4EFA" w:rsidRDefault="00A2715F" w:rsidP="00D65DBC">
      <w:pPr>
        <w:keepNext/>
        <w:tabs>
          <w:tab w:val="left" w:pos="709"/>
          <w:tab w:val="left" w:pos="1276"/>
          <w:tab w:val="left" w:pos="2127"/>
          <w:tab w:val="left" w:pos="3544"/>
          <w:tab w:val="left" w:pos="4536"/>
          <w:tab w:val="left" w:pos="5529"/>
        </w:tabs>
        <w:spacing w:before="120" w:line="240" w:lineRule="auto"/>
        <w:rPr>
          <w:rFonts w:cs="Charis SIL"/>
        </w:rPr>
      </w:pPr>
      <w:r w:rsidRPr="00FB4EFA">
        <w:rPr>
          <w:rFonts w:cs="Charis SIL"/>
        </w:rPr>
        <w:tab/>
        <w:t>a</w:t>
      </w:r>
      <w:r w:rsidRPr="00FB4EFA">
        <w:rPr>
          <w:rFonts w:cs="Charis SIL"/>
        </w:rPr>
        <w:tab/>
        <w:t>kus</w:t>
      </w:r>
      <w:r w:rsidRPr="00FB4EFA">
        <w:rPr>
          <w:rFonts w:cs="Charis SIL"/>
        </w:rPr>
        <w:tab/>
        <w:t>min</w:t>
      </w:r>
      <w:r w:rsidRPr="00FB4EFA">
        <w:rPr>
          <w:rFonts w:cs="Charis SIL"/>
        </w:rPr>
        <w:tab/>
        <w:t>štok</w:t>
      </w:r>
      <w:r w:rsidRPr="00FB4EFA">
        <w:rPr>
          <w:rFonts w:cs="Charis SIL"/>
        </w:rPr>
        <w:tab/>
        <w:t>um</w:t>
      </w:r>
      <w:r w:rsidRPr="00FB4EFA">
        <w:rPr>
          <w:rFonts w:cs="Charis SIL"/>
        </w:rPr>
        <w:tab/>
        <w:t>…</w:t>
      </w:r>
      <w:r w:rsidRPr="00FB4EFA">
        <w:rPr>
          <w:rFonts w:cs="Charis SIL"/>
        </w:rPr>
        <w:br/>
      </w:r>
      <w:r w:rsidRPr="00FB4EFA">
        <w:rPr>
          <w:rFonts w:cs="Charis SIL"/>
        </w:rPr>
        <w:tab/>
        <w:t>ah</w:t>
      </w:r>
      <w:r w:rsidRPr="00FB4EFA">
        <w:rPr>
          <w:rFonts w:cs="Charis SIL"/>
        </w:rPr>
        <w:tab/>
        <w:t>wo</w:t>
      </w:r>
      <w:r w:rsidRPr="00FB4EFA">
        <w:rPr>
          <w:rFonts w:cs="Charis SIL"/>
        </w:rPr>
        <w:tab/>
      </w:r>
      <w:r w:rsidR="00AD41EA" w:rsidRPr="00FB4EFA">
        <w:rPr>
          <w:rFonts w:cs="Charis SIL"/>
          <w:smallCaps/>
        </w:rPr>
        <w:t>1sg</w:t>
      </w:r>
      <w:r w:rsidRPr="00FB4EFA">
        <w:rPr>
          <w:rFonts w:cs="Charis SIL"/>
        </w:rPr>
        <w:t>.</w:t>
      </w:r>
      <w:r w:rsidR="00AD41EA" w:rsidRPr="00FB4EFA">
        <w:rPr>
          <w:rFonts w:cs="Charis SIL"/>
          <w:smallCaps/>
        </w:rPr>
        <w:t>gen</w:t>
      </w:r>
      <w:r w:rsidRPr="00FB4EFA">
        <w:rPr>
          <w:rFonts w:cs="Charis SIL"/>
        </w:rPr>
        <w:tab/>
        <w:t>Stock</w:t>
      </w:r>
      <w:r w:rsidRPr="00FB4EFA">
        <w:rPr>
          <w:rFonts w:cs="Charis SIL"/>
        </w:rPr>
        <w:tab/>
        <w:t>sein.</w:t>
      </w:r>
      <w:r w:rsidR="00AD41EA" w:rsidRPr="00FB4EFA">
        <w:rPr>
          <w:rFonts w:cs="Charis SIL"/>
          <w:smallCaps/>
        </w:rPr>
        <w:t>3sg</w:t>
      </w:r>
    </w:p>
    <w:p w14:paraId="326379F6" w14:textId="7A90E68F" w:rsidR="00A2715F" w:rsidRPr="00FB4EFA" w:rsidRDefault="00A2715F" w:rsidP="00D65DBC">
      <w:pPr>
        <w:keepNext/>
        <w:tabs>
          <w:tab w:val="left" w:pos="709"/>
          <w:tab w:val="left" w:pos="1276"/>
          <w:tab w:val="left" w:pos="1701"/>
          <w:tab w:val="left" w:pos="2268"/>
          <w:tab w:val="left" w:pos="3969"/>
          <w:tab w:val="left" w:pos="4962"/>
          <w:tab w:val="left" w:pos="5670"/>
        </w:tabs>
        <w:spacing w:before="120" w:line="240" w:lineRule="auto"/>
        <w:rPr>
          <w:rFonts w:cs="Charis SIL"/>
        </w:rPr>
      </w:pPr>
      <w:r w:rsidRPr="00FB4EFA">
        <w:rPr>
          <w:rFonts w:cs="Charis SIL"/>
        </w:rPr>
        <w:tab/>
        <w:t>un</w:t>
      </w:r>
      <w:r w:rsidRPr="00FB4EFA">
        <w:rPr>
          <w:rFonts w:cs="Charis SIL"/>
        </w:rPr>
        <w:tab/>
        <w:t>nei</w:t>
      </w:r>
      <w:r w:rsidRPr="00FB4EFA">
        <w:rPr>
          <w:rFonts w:cs="Charis SIL"/>
        </w:rPr>
        <w:tab/>
        <w:t>siz</w:t>
      </w:r>
      <w:r w:rsidRPr="00FB4EFA">
        <w:rPr>
          <w:rFonts w:cs="Charis SIL"/>
        </w:rPr>
        <w:tab/>
        <w:t>broutšiz</w:t>
      </w:r>
      <w:r w:rsidRPr="00FB4EFA">
        <w:rPr>
          <w:rFonts w:cs="Charis SIL"/>
        </w:rPr>
        <w:tab/>
        <w:t>Rīgõz</w:t>
      </w:r>
      <w:r w:rsidRPr="00FB4EFA">
        <w:rPr>
          <w:rFonts w:cs="Charis SIL"/>
        </w:rPr>
        <w:tab/>
        <w:t>bez</w:t>
      </w:r>
      <w:r w:rsidRPr="00FB4EFA">
        <w:rPr>
          <w:rFonts w:cs="Charis SIL"/>
        </w:rPr>
        <w:tab/>
        <w:t>štokkõ</w:t>
      </w:r>
    </w:p>
    <w:p w14:paraId="2D4AA28B" w14:textId="2FF60E3D" w:rsidR="00A2715F" w:rsidRPr="00FB4EFA" w:rsidRDefault="00A2715F" w:rsidP="00E22897">
      <w:pPr>
        <w:keepNext/>
        <w:tabs>
          <w:tab w:val="left" w:pos="709"/>
          <w:tab w:val="left" w:pos="1276"/>
          <w:tab w:val="left" w:pos="1701"/>
          <w:tab w:val="left" w:pos="2268"/>
          <w:tab w:val="left" w:pos="3969"/>
          <w:tab w:val="left" w:pos="4962"/>
          <w:tab w:val="left" w:pos="5670"/>
        </w:tabs>
        <w:spacing w:line="240" w:lineRule="auto"/>
        <w:rPr>
          <w:rFonts w:cs="Charis SIL"/>
        </w:rPr>
      </w:pPr>
      <w:r w:rsidRPr="00FB4EFA">
        <w:rPr>
          <w:rFonts w:cs="Charis SIL"/>
        </w:rPr>
        <w:tab/>
        <w:t>und</w:t>
      </w:r>
      <w:r w:rsidRPr="00FB4EFA">
        <w:rPr>
          <w:rFonts w:cs="Charis SIL"/>
        </w:rPr>
        <w:tab/>
        <w:t>so</w:t>
      </w:r>
      <w:r w:rsidRPr="00FB4EFA">
        <w:rPr>
          <w:rFonts w:cs="Charis SIL"/>
        </w:rPr>
        <w:tab/>
        <w:t>dann</w:t>
      </w:r>
      <w:r w:rsidRPr="00FB4EFA">
        <w:rPr>
          <w:rFonts w:cs="Charis SIL"/>
        </w:rPr>
        <w:tab/>
        <w:t>fahren.</w:t>
      </w:r>
      <w:r w:rsidR="00AD41EA" w:rsidRPr="00FB4EFA">
        <w:rPr>
          <w:rFonts w:cs="Charis SIL"/>
          <w:smallCaps/>
        </w:rPr>
        <w:t>pst</w:t>
      </w:r>
      <w:r w:rsidRPr="00FB4EFA">
        <w:rPr>
          <w:rFonts w:cs="Charis SIL"/>
        </w:rPr>
        <w:t>.</w:t>
      </w:r>
      <w:r w:rsidR="00AD41EA" w:rsidRPr="00FB4EFA">
        <w:rPr>
          <w:rFonts w:cs="Charis SIL"/>
          <w:smallCaps/>
        </w:rPr>
        <w:t>1sg</w:t>
      </w:r>
      <w:r w:rsidRPr="00FB4EFA">
        <w:rPr>
          <w:rFonts w:cs="Charis SIL"/>
        </w:rPr>
        <w:tab/>
        <w:t>Riga.</w:t>
      </w:r>
      <w:r w:rsidR="00AD41EA" w:rsidRPr="00FB4EFA">
        <w:rPr>
          <w:rFonts w:cs="Charis SIL"/>
          <w:smallCaps/>
        </w:rPr>
        <w:t>ill</w:t>
      </w:r>
      <w:r w:rsidRPr="00FB4EFA">
        <w:rPr>
          <w:rFonts w:cs="Charis SIL"/>
        </w:rPr>
        <w:tab/>
        <w:t>ohne</w:t>
      </w:r>
      <w:r w:rsidRPr="00FB4EFA">
        <w:rPr>
          <w:rFonts w:cs="Charis SIL"/>
        </w:rPr>
        <w:tab/>
        <w:t>Stock.</w:t>
      </w:r>
      <w:r w:rsidR="00AD41EA" w:rsidRPr="00FB4EFA">
        <w:rPr>
          <w:rFonts w:cs="Charis SIL"/>
          <w:smallCaps/>
        </w:rPr>
        <w:t>prt</w:t>
      </w:r>
    </w:p>
    <w:p w14:paraId="234A6F9C" w14:textId="422570DE" w:rsidR="00A2715F" w:rsidRPr="00FB4EFA" w:rsidRDefault="006057AB" w:rsidP="00E22897">
      <w:pPr>
        <w:spacing w:after="240" w:line="240" w:lineRule="auto"/>
        <w:ind w:left="709"/>
        <w:rPr>
          <w:rFonts w:cs="Charis SIL"/>
        </w:rPr>
      </w:pPr>
      <w:r w:rsidRPr="00FB4EFA">
        <w:rPr>
          <w:rFonts w:cs="Charis SIL"/>
        </w:rPr>
        <w:t>‘</w:t>
      </w:r>
      <w:r w:rsidR="00A2715F" w:rsidRPr="00FB4EFA">
        <w:rPr>
          <w:rFonts w:cs="Charis SIL"/>
        </w:rPr>
        <w:t>Und am Straßenrand komme ich drauf, oh, wo ist mein Stock, und so fuhr (ich) dann ohne Stock nach Riga.</w:t>
      </w:r>
      <w:r w:rsidRPr="00FB4EFA">
        <w:rPr>
          <w:rFonts w:cs="Charis SIL"/>
        </w:rPr>
        <w:t>’</w:t>
      </w:r>
      <w:r w:rsidR="00413E36" w:rsidRPr="00FB4EFA">
        <w:rPr>
          <w:rFonts w:cs="Charis SIL"/>
        </w:rPr>
        <w:t xml:space="preserve"> (F1035-03)</w:t>
      </w:r>
    </w:p>
    <w:p w14:paraId="5166967A" w14:textId="288B6941" w:rsidR="00A2715F" w:rsidRPr="00FB4EFA" w:rsidRDefault="00A2715F" w:rsidP="00E22897">
      <w:pPr>
        <w:keepNext/>
        <w:tabs>
          <w:tab w:val="left" w:pos="709"/>
          <w:tab w:val="left" w:pos="1985"/>
          <w:tab w:val="left" w:pos="3261"/>
          <w:tab w:val="left" w:pos="4536"/>
          <w:tab w:val="left" w:pos="5812"/>
        </w:tabs>
        <w:spacing w:line="240" w:lineRule="auto"/>
        <w:rPr>
          <w:rFonts w:cs="Charis SIL"/>
        </w:rPr>
      </w:pPr>
      <w:r w:rsidRPr="00FB4EFA">
        <w:rPr>
          <w:rFonts w:cs="Charis SIL"/>
        </w:rPr>
        <w:t>(6)</w:t>
      </w:r>
      <w:r w:rsidRPr="00FB4EFA">
        <w:rPr>
          <w:rFonts w:cs="Charis SIL"/>
        </w:rPr>
        <w:tab/>
        <w:t>Ärmanbrik</w:t>
      </w:r>
      <w:r w:rsidRPr="00FB4EFA">
        <w:rPr>
          <w:rFonts w:cs="Charis SIL"/>
        </w:rPr>
        <w:tab/>
        <w:t>vȯļļi</w:t>
      </w:r>
      <w:r w:rsidRPr="00FB4EFA">
        <w:rPr>
          <w:rFonts w:cs="Charis SIL"/>
        </w:rPr>
        <w:tab/>
        <w:t>pīlõn</w:t>
      </w:r>
      <w:r w:rsidRPr="00FB4EFA">
        <w:rPr>
          <w:rFonts w:cs="Charis SIL"/>
        </w:rPr>
        <w:tab/>
        <w:t>tubāsõ</w:t>
      </w:r>
      <w:r w:rsidRPr="00FB4EFA">
        <w:rPr>
          <w:rFonts w:cs="Charis SIL"/>
        </w:rPr>
        <w:tab/>
        <w:t>un</w:t>
      </w:r>
    </w:p>
    <w:p w14:paraId="67A7B271" w14:textId="06CDA087" w:rsidR="00A2715F" w:rsidRPr="00FB4EFA" w:rsidRDefault="00A2715F" w:rsidP="00E22897">
      <w:pPr>
        <w:keepNext/>
        <w:tabs>
          <w:tab w:val="left" w:pos="709"/>
          <w:tab w:val="left" w:pos="1985"/>
          <w:tab w:val="left" w:pos="3261"/>
          <w:tab w:val="left" w:pos="4536"/>
          <w:tab w:val="left" w:pos="5812"/>
        </w:tabs>
        <w:spacing w:line="240" w:lineRule="auto"/>
        <w:rPr>
          <w:rFonts w:cs="Charis SIL"/>
        </w:rPr>
      </w:pPr>
      <w:r w:rsidRPr="00FB4EFA">
        <w:rPr>
          <w:rFonts w:cs="Charis SIL"/>
        </w:rPr>
        <w:tab/>
        <w:t>Ärmanbrik</w:t>
      </w:r>
      <w:r w:rsidRPr="00FB4EFA">
        <w:rPr>
          <w:rFonts w:cs="Charis SIL"/>
        </w:rPr>
        <w:tab/>
        <w:t>sein.</w:t>
      </w:r>
      <w:r w:rsidR="00AD41EA" w:rsidRPr="00FB4EFA">
        <w:rPr>
          <w:rFonts w:cs="Charis SIL"/>
          <w:smallCaps/>
        </w:rPr>
        <w:t>quot</w:t>
      </w:r>
      <w:r w:rsidRPr="00FB4EFA">
        <w:rPr>
          <w:rFonts w:cs="Charis SIL"/>
        </w:rPr>
        <w:tab/>
        <w:t>stehen.</w:t>
      </w:r>
      <w:r w:rsidR="00AD41EA" w:rsidRPr="00FB4EFA">
        <w:rPr>
          <w:rFonts w:cs="Charis SIL"/>
          <w:smallCaps/>
        </w:rPr>
        <w:t>ppa</w:t>
      </w:r>
      <w:r w:rsidRPr="00FB4EFA">
        <w:rPr>
          <w:rFonts w:cs="Charis SIL"/>
        </w:rPr>
        <w:tab/>
        <w:t>Zimmer.</w:t>
      </w:r>
      <w:r w:rsidR="00AD41EA" w:rsidRPr="00FB4EFA">
        <w:rPr>
          <w:rFonts w:cs="Charis SIL"/>
          <w:smallCaps/>
        </w:rPr>
        <w:t>ine</w:t>
      </w:r>
      <w:r w:rsidRPr="00FB4EFA">
        <w:rPr>
          <w:rFonts w:cs="Charis SIL"/>
        </w:rPr>
        <w:tab/>
        <w:t>und</w:t>
      </w:r>
    </w:p>
    <w:p w14:paraId="5AEAF12E" w14:textId="77777777" w:rsidR="000121EA" w:rsidRPr="00FB4EFA" w:rsidRDefault="00A2715F" w:rsidP="00D65DBC">
      <w:pPr>
        <w:keepNext/>
        <w:tabs>
          <w:tab w:val="left" w:pos="709"/>
          <w:tab w:val="left" w:pos="1418"/>
          <w:tab w:val="left" w:pos="2835"/>
          <w:tab w:val="left" w:pos="4253"/>
          <w:tab w:val="left" w:pos="4820"/>
          <w:tab w:val="left" w:pos="5529"/>
        </w:tabs>
        <w:spacing w:before="120" w:line="240" w:lineRule="auto"/>
        <w:rPr>
          <w:rFonts w:cs="Charis SIL"/>
        </w:rPr>
      </w:pPr>
      <w:r w:rsidRPr="00FB4EFA">
        <w:rPr>
          <w:rFonts w:cs="Charis SIL"/>
        </w:rPr>
        <w:tab/>
        <w:t>pids</w:t>
      </w:r>
      <w:r w:rsidRPr="00FB4EFA">
        <w:rPr>
          <w:rFonts w:cs="Charis SIL"/>
        </w:rPr>
        <w:tab/>
        <w:t>läbbõ</w:t>
      </w:r>
      <w:r w:rsidRPr="00FB4EFA">
        <w:rPr>
          <w:rFonts w:cs="Charis SIL"/>
        </w:rPr>
        <w:tab/>
        <w:t>vaņțlõn</w:t>
      </w:r>
      <w:r w:rsidRPr="00FB4EFA">
        <w:rPr>
          <w:rFonts w:cs="Charis SIL"/>
        </w:rPr>
        <w:tab/>
        <w:t>un</w:t>
      </w:r>
      <w:r w:rsidRPr="00FB4EFA">
        <w:rPr>
          <w:rFonts w:cs="Charis SIL"/>
        </w:rPr>
        <w:tab/>
        <w:t>sidām</w:t>
      </w:r>
      <w:r w:rsidRPr="00FB4EFA">
        <w:rPr>
          <w:rFonts w:cs="Charis SIL"/>
        </w:rPr>
        <w:tab/>
        <w:t>pȯddõn</w:t>
      </w:r>
    </w:p>
    <w:p w14:paraId="0741D6BD" w14:textId="4B02E10D" w:rsidR="000121EA" w:rsidRPr="00FB4EFA" w:rsidRDefault="00A2715F" w:rsidP="00E22897">
      <w:pPr>
        <w:keepNext/>
        <w:tabs>
          <w:tab w:val="left" w:pos="709"/>
          <w:tab w:val="left" w:pos="1418"/>
          <w:tab w:val="left" w:pos="2835"/>
          <w:tab w:val="left" w:pos="4253"/>
          <w:tab w:val="left" w:pos="4820"/>
          <w:tab w:val="left" w:pos="5529"/>
        </w:tabs>
        <w:spacing w:line="240" w:lineRule="auto"/>
        <w:rPr>
          <w:rFonts w:cs="Charis SIL"/>
        </w:rPr>
      </w:pPr>
      <w:r w:rsidRPr="00FB4EFA">
        <w:rPr>
          <w:rFonts w:cs="Charis SIL"/>
        </w:rPr>
        <w:tab/>
        <w:t>durch</w:t>
      </w:r>
      <w:r w:rsidRPr="00FB4EFA">
        <w:rPr>
          <w:rFonts w:cs="Charis SIL"/>
        </w:rPr>
        <w:tab/>
        <w:t>Fenster.</w:t>
      </w:r>
      <w:r w:rsidR="00AD41EA" w:rsidRPr="00FB4EFA">
        <w:rPr>
          <w:rFonts w:cs="Charis SIL"/>
          <w:smallCaps/>
        </w:rPr>
        <w:t>prt</w:t>
      </w:r>
      <w:r w:rsidRPr="00FB4EFA">
        <w:rPr>
          <w:rFonts w:cs="Charis SIL"/>
        </w:rPr>
        <w:tab/>
        <w:t>schauen.</w:t>
      </w:r>
      <w:r w:rsidR="00AD41EA" w:rsidRPr="00FB4EFA">
        <w:rPr>
          <w:rFonts w:cs="Charis SIL"/>
          <w:smallCaps/>
        </w:rPr>
        <w:t>ppa</w:t>
      </w:r>
      <w:r w:rsidRPr="00FB4EFA">
        <w:rPr>
          <w:rFonts w:cs="Charis SIL"/>
        </w:rPr>
        <w:tab/>
        <w:t>und</w:t>
      </w:r>
      <w:r w:rsidRPr="00FB4EFA">
        <w:rPr>
          <w:rFonts w:cs="Charis SIL"/>
        </w:rPr>
        <w:tab/>
        <w:t>Herz</w:t>
      </w:r>
      <w:r w:rsidRPr="00FB4EFA">
        <w:rPr>
          <w:rFonts w:cs="Charis SIL"/>
        </w:rPr>
        <w:tab/>
        <w:t>wehtun.</w:t>
      </w:r>
      <w:r w:rsidR="00AD41EA" w:rsidRPr="00FB4EFA">
        <w:rPr>
          <w:rFonts w:cs="Charis SIL"/>
          <w:smallCaps/>
        </w:rPr>
        <w:t>ppa</w:t>
      </w:r>
    </w:p>
    <w:p w14:paraId="641AD5E0" w14:textId="02335B4A" w:rsidR="00A2715F" w:rsidRPr="00FB4EFA" w:rsidRDefault="00A2715F" w:rsidP="00D65DBC">
      <w:pPr>
        <w:keepNext/>
        <w:tabs>
          <w:tab w:val="left" w:pos="1418"/>
          <w:tab w:val="left" w:pos="2552"/>
          <w:tab w:val="left" w:pos="3686"/>
          <w:tab w:val="left" w:pos="5103"/>
          <w:tab w:val="left" w:pos="6237"/>
        </w:tabs>
        <w:spacing w:before="120" w:line="240" w:lineRule="auto"/>
        <w:ind w:firstLine="709"/>
        <w:rPr>
          <w:rFonts w:cs="Charis SIL"/>
        </w:rPr>
      </w:pPr>
      <w:r w:rsidRPr="00FB4EFA">
        <w:rPr>
          <w:rFonts w:cs="Charis SIL"/>
        </w:rPr>
        <w:t>agā</w:t>
      </w:r>
      <w:r w:rsidRPr="00FB4EFA">
        <w:rPr>
          <w:rFonts w:cs="Charis SIL"/>
        </w:rPr>
        <w:tab/>
        <w:t>äb</w:t>
      </w:r>
      <w:r w:rsidRPr="00FB4EFA">
        <w:rPr>
          <w:rFonts w:cs="Charis SIL"/>
        </w:rPr>
        <w:tab/>
        <w:t>ūo</w:t>
      </w:r>
      <w:r w:rsidRPr="00FB4EFA">
        <w:rPr>
          <w:rFonts w:cs="Charis SIL"/>
        </w:rPr>
        <w:tab/>
        <w:t>tūodõn</w:t>
      </w:r>
      <w:r w:rsidRPr="00FB4EFA">
        <w:rPr>
          <w:rFonts w:cs="Charis SIL"/>
        </w:rPr>
        <w:tab/>
        <w:t>lǟdõ</w:t>
      </w:r>
      <w:r w:rsidRPr="00FB4EFA">
        <w:rPr>
          <w:rFonts w:cs="Charis SIL"/>
        </w:rPr>
        <w:tab/>
        <w:t>ulzõ</w:t>
      </w:r>
    </w:p>
    <w:p w14:paraId="748BD534" w14:textId="5B304829" w:rsidR="00A2715F" w:rsidRPr="00FB4EFA" w:rsidRDefault="00A2715F" w:rsidP="00E22897">
      <w:pPr>
        <w:keepNext/>
        <w:tabs>
          <w:tab w:val="left" w:pos="1418"/>
          <w:tab w:val="left" w:pos="2552"/>
          <w:tab w:val="left" w:pos="3686"/>
          <w:tab w:val="left" w:pos="5103"/>
          <w:tab w:val="left" w:pos="6237"/>
        </w:tabs>
        <w:spacing w:line="240" w:lineRule="auto"/>
        <w:ind w:firstLine="709"/>
        <w:rPr>
          <w:rFonts w:cs="Charis SIL"/>
        </w:rPr>
      </w:pPr>
      <w:r w:rsidRPr="00FB4EFA">
        <w:rPr>
          <w:rFonts w:cs="Charis SIL"/>
        </w:rPr>
        <w:t>aber</w:t>
      </w:r>
      <w:r w:rsidRPr="00FB4EFA">
        <w:rPr>
          <w:rFonts w:cs="Charis SIL"/>
        </w:rPr>
        <w:tab/>
      </w:r>
      <w:r w:rsidR="00AD41EA" w:rsidRPr="00FB4EFA">
        <w:rPr>
          <w:rFonts w:cs="Charis SIL"/>
          <w:smallCaps/>
        </w:rPr>
        <w:t>neg</w:t>
      </w:r>
      <w:r w:rsidRPr="00FB4EFA">
        <w:rPr>
          <w:rFonts w:cs="Charis SIL"/>
        </w:rPr>
        <w:t>.</w:t>
      </w:r>
      <w:r w:rsidR="00AD41EA" w:rsidRPr="00FB4EFA">
        <w:rPr>
          <w:rFonts w:cs="Charis SIL"/>
          <w:smallCaps/>
        </w:rPr>
        <w:t>3sg</w:t>
      </w:r>
      <w:r w:rsidRPr="00FB4EFA">
        <w:rPr>
          <w:rFonts w:cs="Charis SIL"/>
        </w:rPr>
        <w:tab/>
        <w:t>sein.</w:t>
      </w:r>
      <w:r w:rsidR="00AD41EA" w:rsidRPr="00FB4EFA">
        <w:rPr>
          <w:rFonts w:cs="Charis SIL"/>
          <w:smallCaps/>
        </w:rPr>
        <w:t>cng</w:t>
      </w:r>
      <w:r w:rsidRPr="00FB4EFA">
        <w:rPr>
          <w:rFonts w:cs="Charis SIL"/>
        </w:rPr>
        <w:tab/>
        <w:t>trauen.</w:t>
      </w:r>
      <w:r w:rsidR="00AD41EA" w:rsidRPr="00FB4EFA">
        <w:rPr>
          <w:rFonts w:cs="Charis SIL"/>
          <w:smallCaps/>
        </w:rPr>
        <w:t>ppa</w:t>
      </w:r>
      <w:r w:rsidRPr="00FB4EFA">
        <w:rPr>
          <w:rFonts w:cs="Charis SIL"/>
        </w:rPr>
        <w:tab/>
        <w:t>gehen.</w:t>
      </w:r>
      <w:r w:rsidR="00AD41EA" w:rsidRPr="00FB4EFA">
        <w:rPr>
          <w:rFonts w:cs="Charis SIL"/>
          <w:smallCaps/>
        </w:rPr>
        <w:t>inf</w:t>
      </w:r>
      <w:r w:rsidRPr="00FB4EFA">
        <w:rPr>
          <w:rFonts w:cs="Charis SIL"/>
        </w:rPr>
        <w:tab/>
        <w:t>hinaus</w:t>
      </w:r>
    </w:p>
    <w:p w14:paraId="337F1C22" w14:textId="1D7FF16E" w:rsidR="00A2715F" w:rsidRPr="00FB4EFA" w:rsidRDefault="006057AB" w:rsidP="00E22897">
      <w:pPr>
        <w:spacing w:line="240" w:lineRule="auto"/>
        <w:ind w:left="709"/>
        <w:rPr>
          <w:rFonts w:cs="Charis SIL"/>
        </w:rPr>
      </w:pPr>
      <w:r w:rsidRPr="00FB4EFA">
        <w:rPr>
          <w:rFonts w:cs="Charis SIL"/>
        </w:rPr>
        <w:t>‘</w:t>
      </w:r>
      <w:r w:rsidR="00A2715F" w:rsidRPr="00FB4EFA">
        <w:rPr>
          <w:rFonts w:cs="Charis SIL"/>
        </w:rPr>
        <w:t>Ärmanbrik sei im Zimmer gestanden, (habe) am Fenster entlanggeschaut und das Herz (hat) wehgetan, aber (er) traute sich nicht hinauszugehen.</w:t>
      </w:r>
      <w:r w:rsidRPr="00FB4EFA">
        <w:rPr>
          <w:rFonts w:cs="Charis SIL"/>
        </w:rPr>
        <w:t>’</w:t>
      </w:r>
      <w:r w:rsidR="00413E36" w:rsidRPr="00FB4EFA">
        <w:rPr>
          <w:rFonts w:cs="Charis SIL"/>
        </w:rPr>
        <w:t xml:space="preserve"> (F0996-01)</w:t>
      </w:r>
    </w:p>
    <w:p w14:paraId="2E672217" w14:textId="1BFAD7ED" w:rsidR="00A2715F" w:rsidRPr="00FB4EFA" w:rsidRDefault="00A2715F" w:rsidP="00AF0CAD">
      <w:pPr>
        <w:spacing w:before="240" w:after="240"/>
      </w:pPr>
      <w:r w:rsidRPr="00FB4EFA">
        <w:t xml:space="preserve">Pronominale Topiks können in einigen Fällen auch </w:t>
      </w:r>
      <w:r w:rsidRPr="00FB4EFA">
        <w:rPr>
          <w:i/>
          <w:iCs/>
        </w:rPr>
        <w:t>out of the blue</w:t>
      </w:r>
      <w:r w:rsidRPr="00FB4EFA">
        <w:t xml:space="preserve">, ohne weiteren Kontext, ausgelassen werden. Typisch für diese Art von </w:t>
      </w:r>
      <w:r w:rsidRPr="00FB4EFA">
        <w:rPr>
          <w:b/>
          <w:bCs/>
          <w:i/>
          <w:iCs/>
        </w:rPr>
        <w:t>Topic Drop</w:t>
      </w:r>
      <w:r w:rsidR="00C3135B" w:rsidRPr="00FB4EFA">
        <w:t>,</w:t>
      </w:r>
      <w:r w:rsidRPr="00FB4EFA">
        <w:t xml:space="preserve"> auch in Nicht-Nullsubjektsprachen wie Deutsch</w:t>
      </w:r>
      <w:r w:rsidR="00C3135B" w:rsidRPr="00FB4EFA">
        <w:t>,</w:t>
      </w:r>
      <w:r w:rsidRPr="00FB4EFA">
        <w:t xml:space="preserve"> ist allerdings, dass topikale Pronomina ausschließlich in satzinitialer Position ausgelassen werden können – nach satzinitialen Adverbien ist dies beispielsweise </w:t>
      </w:r>
      <w:r w:rsidRPr="00FB4EFA">
        <w:lastRenderedPageBreak/>
        <w:t xml:space="preserve">nicht möglich (Sigurðsson 2011). Auch im gesichteten livischen Material finden sich einige Beispiele für satzinitialen </w:t>
      </w:r>
      <w:r w:rsidRPr="00FB4EFA">
        <w:rPr>
          <w:i/>
          <w:iCs/>
        </w:rPr>
        <w:t>Topic Drop</w:t>
      </w:r>
      <w:r w:rsidRPr="00FB4EFA">
        <w:t>, der hier jedoch hauptsächlich diskursiv verfestigte Phrasen betrifft. Die Beispiele (7) und (8) zeigen eine typische feste Phrase mit Nullsubjekt bzw. Nulltopik der 1.</w:t>
      </w:r>
      <w:r w:rsidR="004A556A" w:rsidRPr="00FB4EFA">
        <w:t> </w:t>
      </w:r>
      <w:r w:rsidRPr="00FB4EFA">
        <w:t>Person Singular:</w:t>
      </w:r>
    </w:p>
    <w:p w14:paraId="47F1F0A9" w14:textId="0FB68F2F" w:rsidR="00A2715F" w:rsidRPr="00FB4EFA" w:rsidRDefault="00A2715F" w:rsidP="00AF0CAD">
      <w:pPr>
        <w:keepNext/>
        <w:spacing w:line="240" w:lineRule="auto"/>
        <w:ind w:left="709" w:hanging="709"/>
        <w:rPr>
          <w:rFonts w:cs="Charis SIL"/>
        </w:rPr>
      </w:pPr>
      <w:r w:rsidRPr="00FB4EFA">
        <w:rPr>
          <w:rFonts w:cs="Charis SIL"/>
        </w:rPr>
        <w:t>(7)</w:t>
      </w:r>
      <w:r w:rsidRPr="00FB4EFA">
        <w:rPr>
          <w:rFonts w:cs="Charis SIL"/>
        </w:rPr>
        <w:tab/>
        <w:t xml:space="preserve">(Kui kītõks kui se vȯlks rāndakīelkõks lețkīelkõks on seļļi </w:t>
      </w:r>
      <w:r w:rsidR="003A4932" w:rsidRPr="00FB4EFA">
        <w:rPr>
          <w:rFonts w:cs="Charis SIL"/>
        </w:rPr>
        <w:br/>
      </w:r>
      <w:r w:rsidRPr="00FB4EFA">
        <w:rPr>
          <w:rFonts w:cs="Charis SIL"/>
          <w:i/>
          <w:iCs/>
        </w:rPr>
        <w:t>graudveidīgs</w:t>
      </w:r>
      <w:r w:rsidRPr="00FB4EFA">
        <w:rPr>
          <w:rFonts w:cs="Charis SIL"/>
        </w:rPr>
        <w:t>?)</w:t>
      </w:r>
    </w:p>
    <w:p w14:paraId="27AA651A" w14:textId="77777777" w:rsidR="00A2715F" w:rsidRPr="00FB4EFA" w:rsidRDefault="00A2715F" w:rsidP="00E22897">
      <w:pPr>
        <w:keepNext/>
        <w:tabs>
          <w:tab w:val="left" w:pos="709"/>
          <w:tab w:val="left" w:pos="1843"/>
        </w:tabs>
        <w:spacing w:line="240" w:lineRule="auto"/>
        <w:rPr>
          <w:rFonts w:cs="Charis SIL"/>
        </w:rPr>
      </w:pPr>
      <w:r w:rsidRPr="00FB4EFA">
        <w:rPr>
          <w:rFonts w:cs="Charis SIL"/>
        </w:rPr>
        <w:tab/>
        <w:t>äb</w:t>
      </w:r>
      <w:r w:rsidRPr="00FB4EFA">
        <w:rPr>
          <w:rFonts w:cs="Charis SIL"/>
        </w:rPr>
        <w:tab/>
        <w:t>tīeda</w:t>
      </w:r>
    </w:p>
    <w:p w14:paraId="4EF56AE4" w14:textId="2FF2643D" w:rsidR="00A2715F" w:rsidRPr="00FB4EFA" w:rsidRDefault="00A2715F" w:rsidP="00E22897">
      <w:pPr>
        <w:tabs>
          <w:tab w:val="left" w:pos="709"/>
          <w:tab w:val="left" w:pos="1843"/>
        </w:tabs>
        <w:spacing w:line="240" w:lineRule="auto"/>
        <w:rPr>
          <w:rFonts w:cs="Charis SIL"/>
        </w:rPr>
      </w:pPr>
      <w:r w:rsidRPr="00FB4EFA">
        <w:rPr>
          <w:rFonts w:cs="Charis SIL"/>
        </w:rPr>
        <w:tab/>
      </w:r>
      <w:r w:rsidR="00AD41EA" w:rsidRPr="00FB4EFA">
        <w:rPr>
          <w:rFonts w:cs="Charis SIL"/>
          <w:smallCaps/>
        </w:rPr>
        <w:t>neg</w:t>
      </w:r>
      <w:r w:rsidRPr="00FB4EFA">
        <w:rPr>
          <w:rFonts w:cs="Charis SIL"/>
        </w:rPr>
        <w:t>.</w:t>
      </w:r>
      <w:r w:rsidR="00AD41EA" w:rsidRPr="00FB4EFA">
        <w:rPr>
          <w:rFonts w:cs="Charis SIL"/>
          <w:smallCaps/>
        </w:rPr>
        <w:t>1sg</w:t>
      </w:r>
      <w:r w:rsidRPr="00FB4EFA">
        <w:rPr>
          <w:rFonts w:cs="Charis SIL"/>
        </w:rPr>
        <w:tab/>
        <w:t>wissen.</w:t>
      </w:r>
      <w:r w:rsidR="00AD41EA" w:rsidRPr="00FB4EFA">
        <w:rPr>
          <w:rFonts w:cs="Charis SIL"/>
          <w:smallCaps/>
        </w:rPr>
        <w:t>cng</w:t>
      </w:r>
    </w:p>
    <w:p w14:paraId="38127B81" w14:textId="4AD63D7D" w:rsidR="00A2715F" w:rsidRPr="00FB4EFA" w:rsidRDefault="00A2715F" w:rsidP="00AF0CAD">
      <w:pPr>
        <w:spacing w:line="240" w:lineRule="auto"/>
        <w:ind w:left="709" w:hanging="709"/>
        <w:rPr>
          <w:rFonts w:cs="Charis SIL"/>
        </w:rPr>
      </w:pPr>
      <w:r w:rsidRPr="00FB4EFA">
        <w:rPr>
          <w:rFonts w:cs="Charis SIL"/>
        </w:rPr>
        <w:tab/>
      </w:r>
      <w:r w:rsidR="006057AB" w:rsidRPr="00FB4EFA">
        <w:rPr>
          <w:rFonts w:cs="Charis SIL"/>
        </w:rPr>
        <w:t>‘</w:t>
      </w:r>
      <w:r w:rsidRPr="00FB4EFA">
        <w:rPr>
          <w:rFonts w:cs="Charis SIL"/>
        </w:rPr>
        <w:t xml:space="preserve">(Wie würde man sagen, wenn es Livisch wäre, auf Lettisch gibt es </w:t>
      </w:r>
      <w:r w:rsidRPr="00FB4EFA">
        <w:rPr>
          <w:rFonts w:cs="Charis SIL"/>
          <w:i/>
          <w:iCs/>
        </w:rPr>
        <w:t xml:space="preserve">graudveidīgs </w:t>
      </w:r>
      <w:r w:rsidRPr="00FB4EFA">
        <w:rPr>
          <w:rFonts w:cs="Charis SIL"/>
        </w:rPr>
        <w:t>[kornartig]?) – (Ich) weiß nicht.</w:t>
      </w:r>
      <w:r w:rsidR="006057AB" w:rsidRPr="00FB4EFA">
        <w:rPr>
          <w:rFonts w:cs="Charis SIL"/>
        </w:rPr>
        <w:t>’</w:t>
      </w:r>
      <w:r w:rsidR="00413E36" w:rsidRPr="00FB4EFA">
        <w:rPr>
          <w:rFonts w:cs="Charis SIL"/>
        </w:rPr>
        <w:t xml:space="preserve"> (F0996-01)</w:t>
      </w:r>
    </w:p>
    <w:p w14:paraId="2B65E66E" w14:textId="1D368A68" w:rsidR="00A2715F" w:rsidRPr="00FB4EFA" w:rsidRDefault="00A2715F" w:rsidP="00E22897">
      <w:pPr>
        <w:spacing w:before="240" w:line="240" w:lineRule="auto"/>
        <w:rPr>
          <w:rFonts w:cs="Charis SIL"/>
        </w:rPr>
      </w:pPr>
      <w:r w:rsidRPr="00FB4EFA">
        <w:rPr>
          <w:rFonts w:cs="Charis SIL"/>
        </w:rPr>
        <w:t>(8)</w:t>
      </w:r>
      <w:r w:rsidRPr="00FB4EFA">
        <w:rPr>
          <w:rFonts w:cs="Charis SIL"/>
        </w:rPr>
        <w:tab/>
        <w:t>(Mingizt pūstõ se štok um?)</w:t>
      </w:r>
    </w:p>
    <w:p w14:paraId="7F45C6B9" w14:textId="77777777" w:rsidR="00A2715F" w:rsidRPr="00FB4EFA" w:rsidRDefault="00A2715F" w:rsidP="00E22897">
      <w:pPr>
        <w:tabs>
          <w:tab w:val="left" w:pos="709"/>
          <w:tab w:val="left" w:pos="1843"/>
          <w:tab w:val="left" w:pos="2552"/>
          <w:tab w:val="left" w:pos="3828"/>
          <w:tab w:val="left" w:pos="5245"/>
          <w:tab w:val="left" w:pos="6237"/>
        </w:tabs>
        <w:spacing w:line="240" w:lineRule="auto"/>
        <w:rPr>
          <w:rFonts w:cs="Charis SIL"/>
        </w:rPr>
      </w:pPr>
      <w:r w:rsidRPr="00FB4EFA">
        <w:rPr>
          <w:rFonts w:cs="Charis SIL"/>
        </w:rPr>
        <w:tab/>
        <w:t>äb</w:t>
      </w:r>
      <w:r w:rsidRPr="00FB4EFA">
        <w:rPr>
          <w:rFonts w:cs="Charis SIL"/>
        </w:rPr>
        <w:tab/>
        <w:t>vist</w:t>
      </w:r>
      <w:r w:rsidRPr="00FB4EFA">
        <w:rPr>
          <w:rFonts w:cs="Charis SIL"/>
        </w:rPr>
        <w:tab/>
        <w:t>tīeda</w:t>
      </w:r>
      <w:r w:rsidRPr="00FB4EFA">
        <w:rPr>
          <w:rFonts w:cs="Charis SIL"/>
        </w:rPr>
        <w:tab/>
        <w:t>mingizt</w:t>
      </w:r>
      <w:r w:rsidRPr="00FB4EFA">
        <w:rPr>
          <w:rFonts w:cs="Charis SIL"/>
        </w:rPr>
        <w:tab/>
        <w:t>pūstõ</w:t>
      </w:r>
      <w:r w:rsidRPr="00FB4EFA">
        <w:rPr>
          <w:rFonts w:cs="Charis SIL"/>
        </w:rPr>
        <w:tab/>
        <w:t>tä</w:t>
      </w:r>
    </w:p>
    <w:p w14:paraId="32E5B353" w14:textId="7C5DD71F" w:rsidR="00A2715F" w:rsidRPr="00FB4EFA" w:rsidRDefault="00A2715F" w:rsidP="00E22897">
      <w:pPr>
        <w:tabs>
          <w:tab w:val="left" w:pos="709"/>
          <w:tab w:val="left" w:pos="1843"/>
          <w:tab w:val="left" w:pos="2552"/>
          <w:tab w:val="left" w:pos="3828"/>
          <w:tab w:val="left" w:pos="5245"/>
          <w:tab w:val="left" w:pos="6237"/>
        </w:tabs>
        <w:spacing w:line="240" w:lineRule="auto"/>
        <w:rPr>
          <w:rFonts w:cs="Charis SIL"/>
        </w:rPr>
      </w:pPr>
      <w:r w:rsidRPr="00FB4EFA">
        <w:rPr>
          <w:rFonts w:cs="Charis SIL"/>
        </w:rPr>
        <w:tab/>
      </w:r>
      <w:r w:rsidR="00AD41EA" w:rsidRPr="00FB4EFA">
        <w:rPr>
          <w:rFonts w:cs="Charis SIL"/>
          <w:smallCaps/>
        </w:rPr>
        <w:t>neg</w:t>
      </w:r>
      <w:r w:rsidRPr="00FB4EFA">
        <w:rPr>
          <w:rFonts w:cs="Charis SIL"/>
        </w:rPr>
        <w:t>.</w:t>
      </w:r>
      <w:r w:rsidR="00AD41EA" w:rsidRPr="00FB4EFA">
        <w:rPr>
          <w:rFonts w:cs="Charis SIL"/>
          <w:smallCaps/>
        </w:rPr>
        <w:t>1sg</w:t>
      </w:r>
      <w:r w:rsidRPr="00FB4EFA">
        <w:rPr>
          <w:rFonts w:cs="Charis SIL"/>
        </w:rPr>
        <w:tab/>
        <w:t>wohl</w:t>
      </w:r>
      <w:r w:rsidRPr="00FB4EFA">
        <w:rPr>
          <w:rFonts w:cs="Charis SIL"/>
        </w:rPr>
        <w:tab/>
        <w:t>wissen.</w:t>
      </w:r>
      <w:r w:rsidR="00AD41EA" w:rsidRPr="00FB4EFA">
        <w:rPr>
          <w:rFonts w:cs="Charis SIL"/>
          <w:smallCaps/>
        </w:rPr>
        <w:t>cng</w:t>
      </w:r>
      <w:r w:rsidRPr="00FB4EFA">
        <w:rPr>
          <w:rFonts w:cs="Charis SIL"/>
        </w:rPr>
        <w:tab/>
        <w:t>welches.</w:t>
      </w:r>
      <w:r w:rsidR="00AD41EA" w:rsidRPr="00FB4EFA">
        <w:rPr>
          <w:rFonts w:cs="Charis SIL"/>
          <w:smallCaps/>
        </w:rPr>
        <w:t>ela</w:t>
      </w:r>
      <w:r w:rsidRPr="00FB4EFA">
        <w:rPr>
          <w:rFonts w:cs="Charis SIL"/>
        </w:rPr>
        <w:tab/>
        <w:t>Holz.</w:t>
      </w:r>
      <w:r w:rsidR="00AD41EA" w:rsidRPr="00FB4EFA">
        <w:rPr>
          <w:rFonts w:cs="Charis SIL"/>
          <w:smallCaps/>
        </w:rPr>
        <w:t>ela</w:t>
      </w:r>
      <w:r w:rsidRPr="00FB4EFA">
        <w:rPr>
          <w:rFonts w:cs="Charis SIL"/>
        </w:rPr>
        <w:tab/>
        <w:t>dieser</w:t>
      </w:r>
    </w:p>
    <w:p w14:paraId="311D4468" w14:textId="06501DCB" w:rsidR="00A2715F" w:rsidRPr="00FB4EFA" w:rsidRDefault="00A2715F" w:rsidP="00E22897">
      <w:pPr>
        <w:spacing w:line="240" w:lineRule="auto"/>
        <w:ind w:left="709" w:hanging="709"/>
        <w:rPr>
          <w:rFonts w:cs="Charis SIL"/>
        </w:rPr>
      </w:pPr>
      <w:r w:rsidRPr="00FB4EFA">
        <w:rPr>
          <w:rFonts w:cs="Charis SIL"/>
        </w:rPr>
        <w:tab/>
      </w:r>
      <w:r w:rsidR="006057AB" w:rsidRPr="00FB4EFA">
        <w:rPr>
          <w:rFonts w:cs="Charis SIL"/>
        </w:rPr>
        <w:t>‘</w:t>
      </w:r>
      <w:r w:rsidRPr="00FB4EFA">
        <w:rPr>
          <w:rFonts w:cs="Charis SIL"/>
        </w:rPr>
        <w:t xml:space="preserve">(Aus welchem Holz ist der Stock?) </w:t>
      </w:r>
      <w:r w:rsidR="00A62A6B" w:rsidRPr="00FB4EFA">
        <w:rPr>
          <w:lang w:val="en-US"/>
        </w:rPr>
        <w:t>–</w:t>
      </w:r>
      <w:r w:rsidRPr="00FB4EFA">
        <w:rPr>
          <w:rFonts w:cs="Charis SIL"/>
        </w:rPr>
        <w:t xml:space="preserve"> (Ich) weiß wohl nicht, aus welchem Holz der (ist).</w:t>
      </w:r>
      <w:r w:rsidR="006057AB" w:rsidRPr="00FB4EFA">
        <w:rPr>
          <w:rFonts w:cs="Charis SIL"/>
        </w:rPr>
        <w:t>’</w:t>
      </w:r>
      <w:r w:rsidR="00413E36" w:rsidRPr="00FB4EFA">
        <w:rPr>
          <w:rFonts w:cs="Charis SIL"/>
        </w:rPr>
        <w:t xml:space="preserve"> (F1035-03)</w:t>
      </w:r>
    </w:p>
    <w:p w14:paraId="4AD607AC" w14:textId="38010834" w:rsidR="00A2715F" w:rsidRPr="00FB4EFA" w:rsidRDefault="00A2715F" w:rsidP="00AF0CAD">
      <w:pPr>
        <w:spacing w:before="240" w:after="240"/>
      </w:pPr>
      <w:r w:rsidRPr="00FB4EFA">
        <w:rPr>
          <w:b/>
          <w:bCs/>
        </w:rPr>
        <w:t>Unpersönliche Sätze</w:t>
      </w:r>
      <w:r w:rsidRPr="00FB4EFA">
        <w:t xml:space="preserve"> mit einem generischen, unbestimmten Subjekt können im Livischen durch subjektlose Sätze mit einem Verb in der 3.</w:t>
      </w:r>
      <w:r w:rsidR="004A556A" w:rsidRPr="00FB4EFA">
        <w:t> </w:t>
      </w:r>
      <w:r w:rsidRPr="00FB4EFA">
        <w:t xml:space="preserve">Person Singular oder Plural gebildet werden (Viitso 2008: 321). Das </w:t>
      </w:r>
      <w:r w:rsidR="003A4932" w:rsidRPr="00FB4EFA">
        <w:br/>
      </w:r>
      <w:r w:rsidRPr="00FB4EFA">
        <w:t xml:space="preserve">Livische hat weiters keine separate Form für das impersonale Passiv, sondern verwendet für diese Funktion subjektlose Sätze mit der 3. Person Singular (Kettunen 1938: LX, Fn. 1), was die Verwendungspalette dieser Form noch etwas erweitert. Eine generische Interpretation von Nullsubjekten der 3. Person Singular ist untypisch für kanonische Nullsubjektsprachen, </w:t>
      </w:r>
      <w:r w:rsidR="00C3135B" w:rsidRPr="00FB4EFA">
        <w:t>in denen</w:t>
      </w:r>
      <w:r w:rsidRPr="00FB4EFA">
        <w:t xml:space="preserve"> solche Nullsubjekte üblicherweise referentiell interpretiert werden (Holmberg 2010). Dies ist ein Kennzeichen dafür, dass das Livische keine kanonische Nullsubjektsprache ist. Unpersönliche </w:t>
      </w:r>
      <w:r w:rsidR="003A4932" w:rsidRPr="00FB4EFA">
        <w:br/>
      </w:r>
      <w:r w:rsidRPr="00FB4EFA">
        <w:t>Sätze machten im Material einen größeren Teil der Beispiele mit ausgelassenem Subjekt aus, wobei die meisten Sätze hier mit der 3. Person Singular gebildet wurden</w:t>
      </w:r>
      <w:r w:rsidR="00C3135B" w:rsidRPr="00FB4EFA">
        <w:t xml:space="preserve"> (9, 10)</w:t>
      </w:r>
      <w:r w:rsidRPr="00FB4EFA">
        <w:t>:</w:t>
      </w:r>
    </w:p>
    <w:p w14:paraId="324B9E7F" w14:textId="6C49804B" w:rsidR="00A2715F" w:rsidRPr="00FB4EFA" w:rsidRDefault="00A2715F" w:rsidP="00E22897">
      <w:pPr>
        <w:tabs>
          <w:tab w:val="left" w:pos="709"/>
          <w:tab w:val="left" w:pos="1134"/>
          <w:tab w:val="left" w:pos="2268"/>
          <w:tab w:val="left" w:pos="2694"/>
          <w:tab w:val="left" w:pos="3686"/>
          <w:tab w:val="left" w:pos="4678"/>
          <w:tab w:val="left" w:pos="6379"/>
        </w:tabs>
        <w:spacing w:line="240" w:lineRule="auto"/>
        <w:rPr>
          <w:rFonts w:cs="Charis SIL"/>
        </w:rPr>
      </w:pPr>
      <w:r w:rsidRPr="00FB4EFA">
        <w:rPr>
          <w:rFonts w:cs="Charis SIL"/>
        </w:rPr>
        <w:t>(9)</w:t>
      </w:r>
      <w:r w:rsidRPr="00FB4EFA">
        <w:rPr>
          <w:rFonts w:cs="Charis SIL"/>
        </w:rPr>
        <w:tab/>
        <w:t>un</w:t>
      </w:r>
      <w:r w:rsidRPr="00FB4EFA">
        <w:rPr>
          <w:rFonts w:cs="Charis SIL"/>
        </w:rPr>
        <w:tab/>
        <w:t>sõvvõ</w:t>
      </w:r>
      <w:r w:rsidRPr="00FB4EFA">
        <w:rPr>
          <w:rFonts w:cs="Charis SIL"/>
        </w:rPr>
        <w:tab/>
        <w:t>sǟl</w:t>
      </w:r>
      <w:r w:rsidRPr="00FB4EFA">
        <w:rPr>
          <w:rFonts w:cs="Charis SIL"/>
        </w:rPr>
        <w:tab/>
        <w:t>jougsõ</w:t>
      </w:r>
      <w:r w:rsidRPr="00FB4EFA">
        <w:rPr>
          <w:rFonts w:cs="Charis SIL"/>
        </w:rPr>
        <w:tab/>
        <w:t>võib</w:t>
      </w:r>
      <w:r w:rsidRPr="00FB4EFA">
        <w:rPr>
          <w:rFonts w:cs="Charis SIL"/>
        </w:rPr>
        <w:tab/>
        <w:t>gilgõ</w:t>
      </w:r>
      <w:r w:rsidRPr="00FB4EFA">
        <w:rPr>
          <w:rFonts w:cs="Charis SIL"/>
        </w:rPr>
        <w:tab/>
        <w:t>ka</w:t>
      </w:r>
    </w:p>
    <w:p w14:paraId="1A0C4A14" w14:textId="37628B45" w:rsidR="00A2715F" w:rsidRPr="00FB4EFA" w:rsidRDefault="00A2715F" w:rsidP="00E22897">
      <w:pPr>
        <w:tabs>
          <w:tab w:val="left" w:pos="709"/>
          <w:tab w:val="left" w:pos="1134"/>
          <w:tab w:val="left" w:pos="2268"/>
          <w:tab w:val="left" w:pos="2694"/>
          <w:tab w:val="left" w:pos="3686"/>
          <w:tab w:val="left" w:pos="4678"/>
          <w:tab w:val="left" w:pos="6379"/>
        </w:tabs>
        <w:spacing w:line="240" w:lineRule="auto"/>
        <w:rPr>
          <w:rFonts w:cs="Charis SIL"/>
        </w:rPr>
      </w:pPr>
      <w:r w:rsidRPr="00FB4EFA">
        <w:rPr>
          <w:rFonts w:cs="Charis SIL"/>
        </w:rPr>
        <w:tab/>
        <w:t>und</w:t>
      </w:r>
      <w:r w:rsidRPr="00FB4EFA">
        <w:rPr>
          <w:rFonts w:cs="Charis SIL"/>
        </w:rPr>
        <w:tab/>
        <w:t>im.Sommer</w:t>
      </w:r>
      <w:r w:rsidRPr="00FB4EFA">
        <w:rPr>
          <w:rFonts w:cs="Charis SIL"/>
        </w:rPr>
        <w:tab/>
        <w:t>dort</w:t>
      </w:r>
      <w:r w:rsidRPr="00FB4EFA">
        <w:rPr>
          <w:rFonts w:cs="Charis SIL"/>
        </w:rPr>
        <w:tab/>
        <w:t>Fluss.</w:t>
      </w:r>
      <w:r w:rsidR="00F410E4" w:rsidRPr="00FB4EFA">
        <w:rPr>
          <w:rFonts w:cs="Charis SIL"/>
          <w:smallCaps/>
        </w:rPr>
        <w:t>ine</w:t>
      </w:r>
      <w:r w:rsidRPr="00FB4EFA">
        <w:rPr>
          <w:rFonts w:cs="Charis SIL"/>
        </w:rPr>
        <w:tab/>
        <w:t>kann.</w:t>
      </w:r>
      <w:r w:rsidR="00F410E4" w:rsidRPr="00FB4EFA">
        <w:rPr>
          <w:rFonts w:cs="Charis SIL"/>
          <w:smallCaps/>
        </w:rPr>
        <w:t>3sg</w:t>
      </w:r>
      <w:r w:rsidRPr="00FB4EFA">
        <w:rPr>
          <w:rFonts w:cs="Charis SIL"/>
        </w:rPr>
        <w:tab/>
        <w:t>schwimmen.</w:t>
      </w:r>
      <w:r w:rsidR="00F410E4" w:rsidRPr="00FB4EFA">
        <w:rPr>
          <w:rFonts w:cs="Charis SIL"/>
          <w:smallCaps/>
        </w:rPr>
        <w:t>inf</w:t>
      </w:r>
      <w:r w:rsidRPr="00FB4EFA">
        <w:rPr>
          <w:rFonts w:cs="Charis SIL"/>
        </w:rPr>
        <w:tab/>
        <w:t>auch</w:t>
      </w:r>
    </w:p>
    <w:p w14:paraId="64828FDE" w14:textId="3D81CED6" w:rsidR="00A2715F" w:rsidRPr="00FB4EFA" w:rsidRDefault="00A2715F" w:rsidP="00E22897">
      <w:pPr>
        <w:spacing w:after="240" w:line="240" w:lineRule="auto"/>
        <w:ind w:left="709" w:hanging="709"/>
        <w:rPr>
          <w:rFonts w:cs="Charis SIL"/>
        </w:rPr>
      </w:pPr>
      <w:r w:rsidRPr="00FB4EFA">
        <w:rPr>
          <w:rFonts w:cs="Charis SIL"/>
        </w:rPr>
        <w:tab/>
      </w:r>
      <w:r w:rsidR="006057AB" w:rsidRPr="00FB4EFA">
        <w:rPr>
          <w:rFonts w:cs="Charis SIL"/>
        </w:rPr>
        <w:t>‘</w:t>
      </w:r>
      <w:r w:rsidRPr="00FB4EFA">
        <w:rPr>
          <w:rFonts w:cs="Charis SIL"/>
        </w:rPr>
        <w:t>Und im Sommer kann (man) dort im Fluss auch schwimmen.</w:t>
      </w:r>
      <w:r w:rsidR="006057AB" w:rsidRPr="00FB4EFA">
        <w:rPr>
          <w:rFonts w:cs="Charis SIL"/>
        </w:rPr>
        <w:t>’</w:t>
      </w:r>
      <w:r w:rsidR="00413E36" w:rsidRPr="00FB4EFA">
        <w:rPr>
          <w:rFonts w:cs="Charis SIL"/>
        </w:rPr>
        <w:t xml:space="preserve"> (DS0127-05)</w:t>
      </w:r>
    </w:p>
    <w:p w14:paraId="7B283621" w14:textId="14BA3969" w:rsidR="00A2715F" w:rsidRPr="00FB4EFA" w:rsidRDefault="00A2715F" w:rsidP="00822839">
      <w:pPr>
        <w:tabs>
          <w:tab w:val="left" w:pos="709"/>
          <w:tab w:val="left" w:pos="1276"/>
          <w:tab w:val="left" w:pos="1701"/>
          <w:tab w:val="left" w:pos="2694"/>
          <w:tab w:val="left" w:pos="3402"/>
          <w:tab w:val="left" w:pos="3686"/>
          <w:tab w:val="left" w:pos="4395"/>
          <w:tab w:val="left" w:pos="5670"/>
        </w:tabs>
        <w:spacing w:line="240" w:lineRule="auto"/>
        <w:rPr>
          <w:rFonts w:cs="Charis SIL"/>
        </w:rPr>
      </w:pPr>
      <w:r w:rsidRPr="00FB4EFA">
        <w:rPr>
          <w:rFonts w:cs="Charis SIL"/>
        </w:rPr>
        <w:lastRenderedPageBreak/>
        <w:t>(10)</w:t>
      </w:r>
      <w:r w:rsidRPr="00FB4EFA">
        <w:rPr>
          <w:rFonts w:cs="Charis SIL"/>
        </w:rPr>
        <w:tab/>
        <w:t>nu</w:t>
      </w:r>
      <w:r w:rsidRPr="00FB4EFA">
        <w:rPr>
          <w:rFonts w:cs="Charis SIL"/>
        </w:rPr>
        <w:tab/>
        <w:t>se</w:t>
      </w:r>
      <w:r w:rsidRPr="00FB4EFA">
        <w:rPr>
          <w:rFonts w:cs="Charis SIL"/>
        </w:rPr>
        <w:tab/>
        <w:t>um</w:t>
      </w:r>
      <w:r w:rsidRPr="00FB4EFA">
        <w:rPr>
          <w:rFonts w:cs="Charis SIL"/>
        </w:rPr>
        <w:tab/>
        <w:t>jõvīst</w:t>
      </w:r>
      <w:r w:rsidRPr="00FB4EFA">
        <w:rPr>
          <w:rFonts w:cs="Charis SIL"/>
        </w:rPr>
        <w:tab/>
        <w:t>…</w:t>
      </w:r>
      <w:r w:rsidRPr="00FB4EFA">
        <w:rPr>
          <w:rFonts w:cs="Charis SIL"/>
        </w:rPr>
        <w:tab/>
        <w:t>ku</w:t>
      </w:r>
      <w:r w:rsidRPr="00FB4EFA">
        <w:rPr>
          <w:rFonts w:cs="Charis SIL"/>
        </w:rPr>
        <w:tab/>
        <w:t>uskūb</w:t>
      </w:r>
      <w:r w:rsidRPr="00FB4EFA">
        <w:rPr>
          <w:rFonts w:cs="Charis SIL"/>
        </w:rPr>
        <w:tab/>
        <w:t>jumālõn</w:t>
      </w:r>
      <w:r w:rsidR="00822839" w:rsidRPr="00FB4EFA">
        <w:rPr>
          <w:rFonts w:cs="Charis SIL"/>
        </w:rPr>
        <w:br/>
      </w:r>
      <w:r w:rsidRPr="00FB4EFA">
        <w:rPr>
          <w:rFonts w:cs="Charis SIL"/>
        </w:rPr>
        <w:tab/>
        <w:t>nun</w:t>
      </w:r>
      <w:r w:rsidRPr="00FB4EFA">
        <w:rPr>
          <w:rFonts w:cs="Charis SIL"/>
        </w:rPr>
        <w:tab/>
        <w:t>das</w:t>
      </w:r>
      <w:r w:rsidRPr="00FB4EFA">
        <w:rPr>
          <w:rFonts w:cs="Charis SIL"/>
        </w:rPr>
        <w:tab/>
        <w:t>sein.</w:t>
      </w:r>
      <w:r w:rsidR="00F410E4" w:rsidRPr="00FB4EFA">
        <w:rPr>
          <w:rFonts w:cs="Charis SIL"/>
          <w:smallCaps/>
        </w:rPr>
        <w:t>3sg</w:t>
      </w:r>
      <w:r w:rsidRPr="00FB4EFA">
        <w:rPr>
          <w:rFonts w:cs="Charis SIL"/>
        </w:rPr>
        <w:tab/>
        <w:t>gut</w:t>
      </w:r>
      <w:r w:rsidRPr="00FB4EFA">
        <w:rPr>
          <w:rFonts w:cs="Charis SIL"/>
        </w:rPr>
        <w:tab/>
      </w:r>
      <w:r w:rsidRPr="00FB4EFA">
        <w:rPr>
          <w:rFonts w:cs="Charis SIL"/>
        </w:rPr>
        <w:tab/>
        <w:t>wenn</w:t>
      </w:r>
      <w:r w:rsidRPr="00FB4EFA">
        <w:rPr>
          <w:rFonts w:cs="Charis SIL"/>
        </w:rPr>
        <w:tab/>
        <w:t>glauben.</w:t>
      </w:r>
      <w:r w:rsidR="00F410E4" w:rsidRPr="00FB4EFA">
        <w:rPr>
          <w:rFonts w:cs="Charis SIL"/>
          <w:smallCaps/>
        </w:rPr>
        <w:t>3sg</w:t>
      </w:r>
      <w:r w:rsidRPr="00FB4EFA">
        <w:rPr>
          <w:rFonts w:cs="Charis SIL"/>
        </w:rPr>
        <w:tab/>
        <w:t>Gott.</w:t>
      </w:r>
      <w:r w:rsidR="00F410E4" w:rsidRPr="00FB4EFA">
        <w:rPr>
          <w:rFonts w:cs="Charis SIL"/>
          <w:smallCaps/>
        </w:rPr>
        <w:t>dat</w:t>
      </w:r>
    </w:p>
    <w:p w14:paraId="50B180D4" w14:textId="0B53823A" w:rsidR="00A2715F" w:rsidRPr="00FB4EFA" w:rsidRDefault="00A2715F" w:rsidP="00E22897">
      <w:pPr>
        <w:spacing w:line="240" w:lineRule="auto"/>
        <w:rPr>
          <w:rFonts w:cs="Charis SIL"/>
        </w:rPr>
      </w:pPr>
      <w:r w:rsidRPr="00FB4EFA">
        <w:rPr>
          <w:rFonts w:cs="Charis SIL"/>
        </w:rPr>
        <w:tab/>
      </w:r>
      <w:r w:rsidR="006057AB" w:rsidRPr="00FB4EFA">
        <w:rPr>
          <w:rFonts w:cs="Charis SIL"/>
        </w:rPr>
        <w:t>‘</w:t>
      </w:r>
      <w:r w:rsidRPr="00FB4EFA">
        <w:rPr>
          <w:rFonts w:cs="Charis SIL"/>
        </w:rPr>
        <w:t>Nun, das ist gut, wenn (man) an Gott glaubt.</w:t>
      </w:r>
      <w:r w:rsidR="006057AB" w:rsidRPr="00FB4EFA">
        <w:rPr>
          <w:rFonts w:cs="Charis SIL"/>
        </w:rPr>
        <w:t>’</w:t>
      </w:r>
      <w:r w:rsidR="00413E36" w:rsidRPr="00FB4EFA">
        <w:rPr>
          <w:rFonts w:cs="Charis SIL"/>
        </w:rPr>
        <w:t xml:space="preserve"> (SUHK0506-01)</w:t>
      </w:r>
    </w:p>
    <w:p w14:paraId="44A83422" w14:textId="0FC93F70" w:rsidR="00A2715F" w:rsidRPr="00FB4EFA" w:rsidRDefault="00A2715F" w:rsidP="00AF0CAD">
      <w:pPr>
        <w:spacing w:before="240" w:after="240"/>
      </w:pPr>
      <w:r w:rsidRPr="00FB4EFA">
        <w:rPr>
          <w:rFonts w:cs="Charis SIL"/>
        </w:rPr>
        <w:t xml:space="preserve">Eine weitere Art unpersönlicher Sätze, die allgemeine Zustände ausdrücken, wird auf ähnliche Art ohne Subjekt und mit einem Verb in der 3. Person Singular ausgedrückt. Der Unterschied zu dem oben behandelten Satztyp besteht darin, dass das Nullsubjekt nicht auf eine generische </w:t>
      </w:r>
      <w:r w:rsidR="003A4932" w:rsidRPr="00FB4EFA">
        <w:rPr>
          <w:rFonts w:cs="Charis SIL"/>
        </w:rPr>
        <w:br/>
      </w:r>
      <w:r w:rsidRPr="00FB4EFA">
        <w:rPr>
          <w:rFonts w:cs="Charis SIL"/>
        </w:rPr>
        <w:t xml:space="preserve">Person verweist und somit etwa einem </w:t>
      </w:r>
      <w:r w:rsidRPr="00FB4EFA">
        <w:rPr>
          <w:rFonts w:cs="Charis SIL"/>
          <w:b/>
          <w:bCs/>
        </w:rPr>
        <w:t>Expletivsubjekt</w:t>
      </w:r>
      <w:r w:rsidRPr="00FB4EFA">
        <w:rPr>
          <w:rFonts w:cs="Charis SIL"/>
        </w:rPr>
        <w:t xml:space="preserve"> in germanischen Sprachen en</w:t>
      </w:r>
      <w:r w:rsidRPr="00FB4EFA">
        <w:t xml:space="preserve">tspricht. Das </w:t>
      </w:r>
      <w:r w:rsidR="00586F45" w:rsidRPr="00FB4EFA">
        <w:t>L</w:t>
      </w:r>
      <w:r w:rsidRPr="00FB4EFA">
        <w:t>ivische erlaubt solche Nullsubjekte (11, 12), wie auch Nullsubjekte bei Wetterverben (13):</w:t>
      </w:r>
    </w:p>
    <w:p w14:paraId="7F1EEEC5" w14:textId="118E9F47" w:rsidR="00A2715F" w:rsidRPr="00FB4EFA" w:rsidRDefault="00A2715F" w:rsidP="00822839">
      <w:pPr>
        <w:keepNext/>
        <w:tabs>
          <w:tab w:val="left" w:pos="709"/>
          <w:tab w:val="left" w:pos="2268"/>
          <w:tab w:val="left" w:pos="3119"/>
          <w:tab w:val="left" w:pos="3544"/>
          <w:tab w:val="left" w:pos="4962"/>
          <w:tab w:val="left" w:pos="5529"/>
        </w:tabs>
        <w:spacing w:line="240" w:lineRule="auto"/>
      </w:pPr>
      <w:r w:rsidRPr="00FB4EFA">
        <w:t>(11)</w:t>
      </w:r>
      <w:r w:rsidRPr="00FB4EFA">
        <w:tab/>
        <w:t>l</w:t>
      </w:r>
      <w:r w:rsidRPr="00FB4EFA">
        <w:rPr>
          <w:rFonts w:cs="Cambria"/>
        </w:rPr>
        <w:t>ǟ</w:t>
      </w:r>
      <w:r w:rsidRPr="00FB4EFA">
        <w:t>ndzi</w:t>
      </w:r>
      <w:r w:rsidRPr="00FB4EFA">
        <w:tab/>
        <w:t>n</w:t>
      </w:r>
      <w:r w:rsidRPr="00FB4EFA">
        <w:rPr>
          <w:rFonts w:cs="Baskerville Old Face"/>
        </w:rPr>
        <w:t>ä</w:t>
      </w:r>
      <w:r w:rsidRPr="00FB4EFA">
        <w:t>d</w:t>
      </w:r>
      <w:r w:rsidRPr="00FB4EFA">
        <w:rPr>
          <w:rFonts w:cs="Cambria"/>
        </w:rPr>
        <w:t>īļ</w:t>
      </w:r>
      <w:r w:rsidRPr="00FB4EFA">
        <w:tab/>
      </w:r>
      <w:r w:rsidRPr="00FB4EFA">
        <w:rPr>
          <w:rFonts w:cs="Baskerville Old Face"/>
        </w:rPr>
        <w:t>…</w:t>
      </w:r>
      <w:r w:rsidRPr="00FB4EFA">
        <w:tab/>
        <w:t>e</w:t>
      </w:r>
      <w:r w:rsidRPr="00FB4EFA">
        <w:rPr>
          <w:rFonts w:cs="Cambria"/>
        </w:rPr>
        <w:t>žž</w:t>
      </w:r>
      <w:r w:rsidRPr="00FB4EFA">
        <w:rPr>
          <w:rFonts w:cs="Baskerville Old Face"/>
        </w:rPr>
        <w:t>õ</w:t>
      </w:r>
      <w:r w:rsidRPr="00FB4EFA">
        <w:t>mp</w:t>
      </w:r>
      <w:r w:rsidRPr="00FB4EFA">
        <w:rPr>
          <w:rFonts w:cs="Cambria"/>
        </w:rPr>
        <w:t>ǟ</w:t>
      </w:r>
      <w:r w:rsidRPr="00FB4EFA">
        <w:t>van</w:t>
      </w:r>
      <w:r w:rsidRPr="00FB4EFA">
        <w:tab/>
      </w:r>
      <w:r w:rsidRPr="00FB4EFA">
        <w:rPr>
          <w:rFonts w:cs="Baskerville Old Face"/>
        </w:rPr>
        <w:t>…</w:t>
      </w:r>
      <w:r w:rsidRPr="00FB4EFA">
        <w:tab/>
        <w:t>nu</w:t>
      </w:r>
      <w:r w:rsidRPr="00FB4EFA">
        <w:tab/>
      </w:r>
      <w:r w:rsidRPr="00FB4EFA">
        <w:rPr>
          <w:rFonts w:cs="Baskerville Old Face"/>
        </w:rPr>
        <w:t>…</w:t>
      </w:r>
    </w:p>
    <w:p w14:paraId="60BAE776" w14:textId="77777777" w:rsidR="00A2715F" w:rsidRPr="00FB4EFA" w:rsidRDefault="00A2715F" w:rsidP="00822839">
      <w:pPr>
        <w:keepNext/>
        <w:tabs>
          <w:tab w:val="left" w:pos="709"/>
          <w:tab w:val="left" w:pos="2268"/>
          <w:tab w:val="left" w:pos="3119"/>
          <w:tab w:val="left" w:pos="3544"/>
          <w:tab w:val="left" w:pos="5103"/>
          <w:tab w:val="left" w:pos="5529"/>
        </w:tabs>
        <w:spacing w:line="240" w:lineRule="auto"/>
      </w:pPr>
      <w:r w:rsidRPr="00FB4EFA">
        <w:tab/>
        <w:t>vergangene</w:t>
      </w:r>
      <w:r w:rsidRPr="00FB4EFA">
        <w:tab/>
        <w:t>Woche</w:t>
      </w:r>
      <w:r w:rsidRPr="00FB4EFA">
        <w:tab/>
      </w:r>
      <w:r w:rsidRPr="00FB4EFA">
        <w:tab/>
        <w:t>am.Montag</w:t>
      </w:r>
      <w:r w:rsidRPr="00FB4EFA">
        <w:tab/>
      </w:r>
      <w:r w:rsidRPr="00FB4EFA">
        <w:tab/>
        <w:t>na</w:t>
      </w:r>
    </w:p>
    <w:p w14:paraId="7D4E8948" w14:textId="77777777" w:rsidR="00A2715F" w:rsidRPr="00FB4EFA" w:rsidRDefault="00A2715F" w:rsidP="00D65DBC">
      <w:pPr>
        <w:keepNext/>
        <w:tabs>
          <w:tab w:val="left" w:pos="709"/>
          <w:tab w:val="left" w:pos="2552"/>
          <w:tab w:val="left" w:pos="4111"/>
          <w:tab w:val="left" w:pos="4820"/>
          <w:tab w:val="left" w:pos="5103"/>
        </w:tabs>
        <w:spacing w:before="120" w:line="240" w:lineRule="auto"/>
      </w:pPr>
      <w:r w:rsidRPr="00FB4EFA">
        <w:tab/>
        <w:t>iz</w:t>
      </w:r>
      <w:r w:rsidRPr="00FB4EFA">
        <w:tab/>
      </w:r>
      <w:r w:rsidRPr="00FB4EFA">
        <w:rPr>
          <w:rFonts w:cs="Cambria"/>
        </w:rPr>
        <w:t>ū</w:t>
      </w:r>
      <w:r w:rsidRPr="00FB4EFA">
        <w:t>o</w:t>
      </w:r>
      <w:r w:rsidRPr="00FB4EFA">
        <w:tab/>
        <w:t>j</w:t>
      </w:r>
      <w:r w:rsidRPr="00FB4EFA">
        <w:rPr>
          <w:rFonts w:cs="Baskerville Old Face"/>
        </w:rPr>
        <w:t>õ</w:t>
      </w:r>
      <w:r w:rsidRPr="00FB4EFA">
        <w:t>v</w:t>
      </w:r>
      <w:r w:rsidRPr="00FB4EFA">
        <w:rPr>
          <w:rFonts w:cs="Cambria"/>
        </w:rPr>
        <w:t>ī</w:t>
      </w:r>
      <w:r w:rsidRPr="00FB4EFA">
        <w:t>st</w:t>
      </w:r>
    </w:p>
    <w:p w14:paraId="48F5932E" w14:textId="4F219730" w:rsidR="00A2715F" w:rsidRPr="00FB4EFA" w:rsidRDefault="00A2715F" w:rsidP="00E22897">
      <w:pPr>
        <w:keepNext/>
        <w:tabs>
          <w:tab w:val="left" w:pos="709"/>
          <w:tab w:val="left" w:pos="2552"/>
          <w:tab w:val="left" w:pos="4111"/>
          <w:tab w:val="left" w:pos="4820"/>
          <w:tab w:val="left" w:pos="5103"/>
        </w:tabs>
        <w:spacing w:line="240" w:lineRule="auto"/>
      </w:pPr>
      <w:r w:rsidRPr="00FB4EFA">
        <w:tab/>
      </w:r>
      <w:r w:rsidR="00F410E4" w:rsidRPr="00FB4EFA">
        <w:rPr>
          <w:smallCaps/>
        </w:rPr>
        <w:t>neg</w:t>
      </w:r>
      <w:r w:rsidRPr="00FB4EFA">
        <w:t>.</w:t>
      </w:r>
      <w:r w:rsidR="00F410E4" w:rsidRPr="00FB4EFA">
        <w:rPr>
          <w:smallCaps/>
        </w:rPr>
        <w:t>pst</w:t>
      </w:r>
      <w:r w:rsidRPr="00FB4EFA">
        <w:t>.</w:t>
      </w:r>
      <w:r w:rsidR="00F410E4" w:rsidRPr="00FB4EFA">
        <w:rPr>
          <w:smallCaps/>
        </w:rPr>
        <w:t>3sg</w:t>
      </w:r>
      <w:r w:rsidRPr="00FB4EFA">
        <w:tab/>
        <w:t>sein.</w:t>
      </w:r>
      <w:r w:rsidR="00F410E4" w:rsidRPr="00FB4EFA">
        <w:rPr>
          <w:smallCaps/>
        </w:rPr>
        <w:t>cng</w:t>
      </w:r>
      <w:r w:rsidRPr="00FB4EFA">
        <w:tab/>
        <w:t>gut</w:t>
      </w:r>
    </w:p>
    <w:p w14:paraId="101C27A7" w14:textId="2B6ADA9E" w:rsidR="00A2715F" w:rsidRPr="00FB4EFA" w:rsidRDefault="00A2715F" w:rsidP="00E22897">
      <w:pPr>
        <w:spacing w:line="240" w:lineRule="auto"/>
      </w:pPr>
      <w:r w:rsidRPr="00FB4EFA">
        <w:tab/>
      </w:r>
      <w:r w:rsidR="006057AB" w:rsidRPr="00FB4EFA">
        <w:t>‘</w:t>
      </w:r>
      <w:r w:rsidRPr="00FB4EFA">
        <w:t>Letzte Woche am Montag, na, war (es) nicht gut.</w:t>
      </w:r>
      <w:r w:rsidR="006057AB" w:rsidRPr="00FB4EFA">
        <w:t>’</w:t>
      </w:r>
      <w:r w:rsidR="00413E36" w:rsidRPr="00FB4EFA">
        <w:t xml:space="preserve"> (F1035-03)</w:t>
      </w:r>
    </w:p>
    <w:p w14:paraId="188DB686" w14:textId="4740FD37" w:rsidR="00A2715F" w:rsidRPr="00FB4EFA" w:rsidRDefault="00A2715F" w:rsidP="00E22897">
      <w:pPr>
        <w:keepNext/>
        <w:tabs>
          <w:tab w:val="left" w:pos="709"/>
          <w:tab w:val="left" w:pos="1985"/>
          <w:tab w:val="left" w:pos="3119"/>
          <w:tab w:val="left" w:pos="3544"/>
          <w:tab w:val="left" w:pos="5529"/>
        </w:tabs>
        <w:spacing w:before="240" w:line="240" w:lineRule="auto"/>
      </w:pPr>
      <w:r w:rsidRPr="00FB4EFA">
        <w:t>(12)</w:t>
      </w:r>
      <w:r w:rsidRPr="00FB4EFA">
        <w:tab/>
        <w:t>štokkõks</w:t>
      </w:r>
      <w:r w:rsidRPr="00FB4EFA">
        <w:tab/>
        <w:t>um</w:t>
      </w:r>
      <w:r w:rsidRPr="00FB4EFA">
        <w:tab/>
        <w:t>ju</w:t>
      </w:r>
      <w:r w:rsidRPr="00FB4EFA">
        <w:tab/>
        <w:t>kiev</w:t>
      </w:r>
      <w:r w:rsidRPr="00FB4EFA">
        <w:rPr>
          <w:rFonts w:cs="Cambria"/>
        </w:rPr>
        <w:t>ā</w:t>
      </w:r>
      <w:r w:rsidRPr="00FB4EFA">
        <w:t>mstiz</w:t>
      </w:r>
      <w:r w:rsidRPr="00FB4EFA">
        <w:tab/>
        <w:t>k</w:t>
      </w:r>
      <w:r w:rsidRPr="00FB4EFA">
        <w:rPr>
          <w:rFonts w:cs="Cambria"/>
        </w:rPr>
        <w:t>ǟ</w:t>
      </w:r>
      <w:r w:rsidRPr="00FB4EFA">
        <w:t>d</w:t>
      </w:r>
      <w:r w:rsidRPr="00FB4EFA">
        <w:rPr>
          <w:rFonts w:cs="Baskerville Old Face"/>
        </w:rPr>
        <w:t>õ</w:t>
      </w:r>
    </w:p>
    <w:p w14:paraId="0F9FE509" w14:textId="6D4879C9" w:rsidR="00A2715F" w:rsidRPr="00FB4EFA" w:rsidRDefault="00A2715F" w:rsidP="00E22897">
      <w:pPr>
        <w:keepNext/>
        <w:tabs>
          <w:tab w:val="left" w:pos="709"/>
          <w:tab w:val="left" w:pos="1985"/>
          <w:tab w:val="left" w:pos="3119"/>
          <w:tab w:val="left" w:pos="3544"/>
          <w:tab w:val="left" w:pos="5529"/>
        </w:tabs>
        <w:spacing w:line="240" w:lineRule="auto"/>
      </w:pPr>
      <w:r w:rsidRPr="00FB4EFA">
        <w:tab/>
        <w:t>Stock.</w:t>
      </w:r>
      <w:r w:rsidR="00F410E4" w:rsidRPr="00FB4EFA">
        <w:rPr>
          <w:smallCaps/>
        </w:rPr>
        <w:t>inst</w:t>
      </w:r>
      <w:r w:rsidRPr="00FB4EFA">
        <w:tab/>
        <w:t>sein.</w:t>
      </w:r>
      <w:r w:rsidR="00AD41EA" w:rsidRPr="00FB4EFA">
        <w:rPr>
          <w:smallCaps/>
        </w:rPr>
        <w:t>3sg</w:t>
      </w:r>
      <w:r w:rsidRPr="00FB4EFA">
        <w:tab/>
        <w:t>ja</w:t>
      </w:r>
      <w:r w:rsidRPr="00FB4EFA">
        <w:tab/>
        <w:t>leicht.</w:t>
      </w:r>
      <w:r w:rsidR="00F410E4" w:rsidRPr="00FB4EFA">
        <w:rPr>
          <w:smallCaps/>
        </w:rPr>
        <w:t>cmpr</w:t>
      </w:r>
      <w:r w:rsidRPr="00FB4EFA">
        <w:t>.</w:t>
      </w:r>
      <w:r w:rsidR="00F410E4" w:rsidRPr="00FB4EFA">
        <w:rPr>
          <w:smallCaps/>
        </w:rPr>
        <w:t>adv</w:t>
      </w:r>
      <w:r w:rsidRPr="00FB4EFA">
        <w:tab/>
        <w:t>gehen.</w:t>
      </w:r>
      <w:r w:rsidR="00F410E4" w:rsidRPr="00FB4EFA">
        <w:rPr>
          <w:smallCaps/>
        </w:rPr>
        <w:t>inf</w:t>
      </w:r>
    </w:p>
    <w:p w14:paraId="04224026" w14:textId="3F038674" w:rsidR="00A2715F" w:rsidRPr="00FB4EFA" w:rsidRDefault="00A2715F" w:rsidP="00E22897">
      <w:pPr>
        <w:tabs>
          <w:tab w:val="left" w:pos="709"/>
          <w:tab w:val="left" w:pos="1985"/>
          <w:tab w:val="left" w:pos="3119"/>
          <w:tab w:val="left" w:pos="3544"/>
          <w:tab w:val="left" w:pos="5529"/>
        </w:tabs>
        <w:spacing w:after="240" w:line="240" w:lineRule="auto"/>
      </w:pPr>
      <w:r w:rsidRPr="00FB4EFA">
        <w:tab/>
      </w:r>
      <w:r w:rsidR="006057AB" w:rsidRPr="00FB4EFA">
        <w:t>‘</w:t>
      </w:r>
      <w:r w:rsidRPr="00FB4EFA">
        <w:t>Mit dem Stock ist (es) ja leichter zu gehen.</w:t>
      </w:r>
      <w:r w:rsidR="006057AB" w:rsidRPr="00FB4EFA">
        <w:t>’</w:t>
      </w:r>
      <w:r w:rsidR="00413E36" w:rsidRPr="00FB4EFA">
        <w:t xml:space="preserve"> (F1035-03)</w:t>
      </w:r>
    </w:p>
    <w:p w14:paraId="719B4756" w14:textId="0E2450EF" w:rsidR="00A2715F" w:rsidRPr="00FB4EFA" w:rsidRDefault="00A2715F" w:rsidP="00E22897">
      <w:pPr>
        <w:tabs>
          <w:tab w:val="left" w:pos="709"/>
          <w:tab w:val="left" w:pos="1418"/>
          <w:tab w:val="left" w:pos="2268"/>
          <w:tab w:val="left" w:pos="3544"/>
          <w:tab w:val="left" w:pos="5103"/>
        </w:tabs>
        <w:spacing w:line="240" w:lineRule="auto"/>
      </w:pPr>
      <w:r w:rsidRPr="00FB4EFA">
        <w:t>(13)</w:t>
      </w:r>
      <w:r w:rsidRPr="00FB4EFA">
        <w:tab/>
        <w:t>nu</w:t>
      </w:r>
      <w:r w:rsidRPr="00FB4EFA">
        <w:tab/>
        <w:t>siz</w:t>
      </w:r>
      <w:r w:rsidRPr="00FB4EFA">
        <w:tab/>
        <w:t>um</w:t>
      </w:r>
      <w:r w:rsidRPr="00FB4EFA">
        <w:tab/>
        <w:t>v</w:t>
      </w:r>
      <w:r w:rsidRPr="00FB4EFA">
        <w:rPr>
          <w:rFonts w:cs="Cambria"/>
        </w:rPr>
        <w:t>ī</w:t>
      </w:r>
      <w:r w:rsidRPr="00FB4EFA">
        <w:t>m</w:t>
      </w:r>
      <w:r w:rsidRPr="00FB4EFA">
        <w:rPr>
          <w:rFonts w:cs="Baskerville Old Face"/>
        </w:rPr>
        <w:t>õ</w:t>
      </w:r>
      <w:r w:rsidRPr="00FB4EFA">
        <w:tab/>
        <w:t>sadd</w:t>
      </w:r>
      <w:r w:rsidRPr="00FB4EFA">
        <w:rPr>
          <w:rFonts w:cs="Baskerville Old Face"/>
        </w:rPr>
        <w:t>õ</w:t>
      </w:r>
      <w:r w:rsidRPr="00FB4EFA">
        <w:t>n</w:t>
      </w:r>
    </w:p>
    <w:p w14:paraId="6D0CAED1" w14:textId="4B741ED1" w:rsidR="00A2715F" w:rsidRPr="00FB4EFA" w:rsidRDefault="00A2715F" w:rsidP="00E22897">
      <w:pPr>
        <w:tabs>
          <w:tab w:val="left" w:pos="709"/>
          <w:tab w:val="left" w:pos="1418"/>
          <w:tab w:val="left" w:pos="2268"/>
          <w:tab w:val="left" w:pos="3544"/>
          <w:tab w:val="left" w:pos="5103"/>
        </w:tabs>
        <w:spacing w:line="240" w:lineRule="auto"/>
      </w:pPr>
      <w:r w:rsidRPr="00FB4EFA">
        <w:tab/>
        <w:t>na</w:t>
      </w:r>
      <w:r w:rsidRPr="00FB4EFA">
        <w:tab/>
        <w:t>dann</w:t>
      </w:r>
      <w:r w:rsidRPr="00FB4EFA">
        <w:tab/>
        <w:t>sein.</w:t>
      </w:r>
      <w:r w:rsidR="00F410E4" w:rsidRPr="00FB4EFA">
        <w:rPr>
          <w:smallCaps/>
        </w:rPr>
        <w:t>3sg</w:t>
      </w:r>
      <w:r w:rsidRPr="00FB4EFA">
        <w:tab/>
        <w:t>Regen.</w:t>
      </w:r>
      <w:r w:rsidR="00F410E4" w:rsidRPr="00FB4EFA">
        <w:rPr>
          <w:smallCaps/>
        </w:rPr>
        <w:t>prt</w:t>
      </w:r>
      <w:r w:rsidRPr="00FB4EFA">
        <w:tab/>
        <w:t>fallen.</w:t>
      </w:r>
      <w:r w:rsidR="00F410E4" w:rsidRPr="00FB4EFA">
        <w:rPr>
          <w:smallCaps/>
        </w:rPr>
        <w:t>ppa</w:t>
      </w:r>
    </w:p>
    <w:p w14:paraId="1A9B7C71" w14:textId="73089A23" w:rsidR="00A2715F" w:rsidRPr="00FB4EFA" w:rsidRDefault="00A2715F" w:rsidP="00E22897">
      <w:pPr>
        <w:spacing w:line="240" w:lineRule="auto"/>
      </w:pPr>
      <w:r w:rsidRPr="00FB4EFA">
        <w:tab/>
      </w:r>
      <w:r w:rsidR="006057AB" w:rsidRPr="00FB4EFA">
        <w:t>‘</w:t>
      </w:r>
      <w:r w:rsidRPr="00FB4EFA">
        <w:t>Na dann hat (es) geregnet.</w:t>
      </w:r>
      <w:r w:rsidR="006057AB" w:rsidRPr="00FB4EFA">
        <w:t>’</w:t>
      </w:r>
      <w:r w:rsidR="00413E36" w:rsidRPr="00FB4EFA">
        <w:t xml:space="preserve"> (F0997-03)</w:t>
      </w:r>
    </w:p>
    <w:p w14:paraId="5A01BFE9" w14:textId="76B619B2" w:rsidR="00A2715F" w:rsidRPr="00FB4EFA" w:rsidRDefault="00A2715F" w:rsidP="00AF0CAD">
      <w:pPr>
        <w:spacing w:before="240" w:after="240"/>
      </w:pPr>
      <w:r w:rsidRPr="00FB4EFA">
        <w:t xml:space="preserve">Im gesamten Material konnte ich nur zwei Fälle von eindeutig </w:t>
      </w:r>
      <w:r w:rsidR="00C3135B" w:rsidRPr="00FB4EFA">
        <w:br/>
      </w:r>
      <w:r w:rsidRPr="00FB4EFA">
        <w:rPr>
          <w:b/>
          <w:bCs/>
        </w:rPr>
        <w:t>referentiellen Nullsubjekten</w:t>
      </w:r>
      <w:r w:rsidRPr="00FB4EFA">
        <w:t xml:space="preserve"> finden, die keiner der obigen Gruppen zuzurechnen sind. In beiden Fällen handelt es sich um Nullsubjekte der 1.</w:t>
      </w:r>
      <w:r w:rsidR="004A556A" w:rsidRPr="00FB4EFA">
        <w:t> </w:t>
      </w:r>
      <w:r w:rsidRPr="00FB4EFA">
        <w:t>Person Singular. In Beispiel (14) wird das Pronomen einmal ausgelassen, in Beispiel (15) sogar dreimal in einer Reihe an Teilsätzen. Der Kontext dieser Beispiele zeigt auch eindeutig, dass es sich nicht etwa um Fälle von fortgesetzten Diskurstopiks handelt wie oben besprochen (in Beispiel (14) sagt die Informantin einige Turns davor nichts und wird auch nicht angesprochen):</w:t>
      </w:r>
    </w:p>
    <w:p w14:paraId="08893682" w14:textId="3CB452CB" w:rsidR="00A2715F" w:rsidRPr="00FB4EFA" w:rsidRDefault="00A2715F" w:rsidP="00E22897">
      <w:pPr>
        <w:keepNext/>
        <w:tabs>
          <w:tab w:val="left" w:pos="709"/>
          <w:tab w:val="left" w:pos="1276"/>
          <w:tab w:val="left" w:pos="2127"/>
          <w:tab w:val="left" w:pos="4111"/>
        </w:tabs>
        <w:spacing w:line="240" w:lineRule="auto"/>
      </w:pPr>
      <w:r w:rsidRPr="00FB4EFA">
        <w:lastRenderedPageBreak/>
        <w:t>(14)</w:t>
      </w:r>
      <w:r w:rsidRPr="00FB4EFA">
        <w:tab/>
        <w:t>nu</w:t>
      </w:r>
      <w:r w:rsidRPr="00FB4EFA">
        <w:tab/>
        <w:t>siz</w:t>
      </w:r>
      <w:r w:rsidRPr="00FB4EFA">
        <w:tab/>
        <w:t>tulgõd</w:t>
      </w:r>
      <w:r w:rsidRPr="00FB4EFA">
        <w:tab/>
      </w:r>
      <w:r w:rsidRPr="00FB4EFA">
        <w:rPr>
          <w:rFonts w:cs="Cambria"/>
        </w:rPr>
        <w:t>ū</w:t>
      </w:r>
      <w:r w:rsidRPr="00FB4EFA">
        <w:t>o</w:t>
      </w:r>
      <w:r w:rsidRPr="00FB4EFA">
        <w:rPr>
          <w:rFonts w:cs="Cambria"/>
        </w:rPr>
        <w:t>ņ</w:t>
      </w:r>
      <w:r w:rsidRPr="00FB4EFA">
        <w:t>d</w:t>
      </w:r>
      <w:r w:rsidRPr="00FB4EFA">
        <w:rPr>
          <w:rFonts w:cs="Cambria"/>
        </w:rPr>
        <w:t>ž</w:t>
      </w:r>
      <w:r w:rsidRPr="00FB4EFA">
        <w:rPr>
          <w:rFonts w:cs="Baskerville Old Face"/>
        </w:rPr>
        <w:t>õ</w:t>
      </w:r>
      <w:r w:rsidRPr="00FB4EFA">
        <w:t>l</w:t>
      </w:r>
      <w:r w:rsidRPr="00FB4EFA">
        <w:br/>
      </w:r>
      <w:r w:rsidRPr="00FB4EFA">
        <w:tab/>
        <w:t>na</w:t>
      </w:r>
      <w:r w:rsidRPr="00FB4EFA">
        <w:tab/>
        <w:t>dann</w:t>
      </w:r>
      <w:r w:rsidRPr="00FB4EFA">
        <w:tab/>
        <w:t>kommen.</w:t>
      </w:r>
      <w:r w:rsidR="00AD41EA" w:rsidRPr="00FB4EFA">
        <w:rPr>
          <w:smallCaps/>
        </w:rPr>
        <w:t>imp</w:t>
      </w:r>
      <w:r w:rsidRPr="00FB4EFA">
        <w:t>.</w:t>
      </w:r>
      <w:r w:rsidR="00AD41EA" w:rsidRPr="00FB4EFA">
        <w:rPr>
          <w:smallCaps/>
        </w:rPr>
        <w:t>pl</w:t>
      </w:r>
      <w:r w:rsidRPr="00FB4EFA">
        <w:tab/>
        <w:t>in.Früh</w:t>
      </w:r>
    </w:p>
    <w:p w14:paraId="12FCCB48" w14:textId="5D5A691F" w:rsidR="00A2715F" w:rsidRPr="00FB4EFA" w:rsidRDefault="00A2715F" w:rsidP="00E324D9">
      <w:pPr>
        <w:keepNext/>
        <w:tabs>
          <w:tab w:val="left" w:pos="709"/>
          <w:tab w:val="left" w:pos="1418"/>
          <w:tab w:val="left" w:pos="2127"/>
          <w:tab w:val="left" w:pos="3402"/>
          <w:tab w:val="left" w:pos="5103"/>
        </w:tabs>
        <w:spacing w:before="120" w:line="240" w:lineRule="auto"/>
      </w:pPr>
      <w:r w:rsidRPr="00FB4EFA">
        <w:tab/>
        <w:t>un</w:t>
      </w:r>
      <w:r w:rsidRPr="00FB4EFA">
        <w:tab/>
        <w:t>siz</w:t>
      </w:r>
      <w:r w:rsidRPr="00FB4EFA">
        <w:tab/>
        <w:t>k</w:t>
      </w:r>
      <w:r w:rsidRPr="00FB4EFA">
        <w:rPr>
          <w:rFonts w:cs="Cambria"/>
        </w:rPr>
        <w:t>ī</w:t>
      </w:r>
      <w:r w:rsidRPr="00FB4EFA">
        <w:t>t</w:t>
      </w:r>
      <w:r w:rsidRPr="00FB4EFA">
        <w:rPr>
          <w:rFonts w:cs="Baskerville Old Face"/>
        </w:rPr>
        <w:t>õ</w:t>
      </w:r>
      <w:r w:rsidRPr="00FB4EFA">
        <w:t>b</w:t>
      </w:r>
      <w:r w:rsidRPr="00FB4EFA">
        <w:tab/>
        <w:t>n</w:t>
      </w:r>
      <w:r w:rsidRPr="00FB4EFA">
        <w:rPr>
          <w:rFonts w:cs="Cambria"/>
        </w:rPr>
        <w:t>ēḑ</w:t>
      </w:r>
      <w:r w:rsidRPr="00FB4EFA">
        <w:t>i</w:t>
      </w:r>
      <w:r w:rsidRPr="00FB4EFA">
        <w:tab/>
        <w:t>sõ</w:t>
      </w:r>
      <w:r w:rsidRPr="00FB4EFA">
        <w:rPr>
          <w:rFonts w:cs="Cambria"/>
        </w:rPr>
        <w:t>ņḑ</w:t>
      </w:r>
      <w:r w:rsidRPr="00FB4EFA">
        <w:t>i</w:t>
      </w:r>
      <w:r w:rsidRPr="00FB4EFA">
        <w:br/>
      </w:r>
      <w:r w:rsidRPr="00FB4EFA">
        <w:tab/>
        <w:t>und</w:t>
      </w:r>
      <w:r w:rsidRPr="00FB4EFA">
        <w:tab/>
        <w:t>dann</w:t>
      </w:r>
      <w:r w:rsidRPr="00FB4EFA">
        <w:tab/>
        <w:t>sagen.</w:t>
      </w:r>
      <w:r w:rsidR="00AD41EA" w:rsidRPr="00FB4EFA">
        <w:rPr>
          <w:smallCaps/>
        </w:rPr>
        <w:t>1sg</w:t>
      </w:r>
      <w:r w:rsidRPr="00FB4EFA">
        <w:tab/>
        <w:t>diese.</w:t>
      </w:r>
      <w:r w:rsidR="00AD41EA" w:rsidRPr="00FB4EFA">
        <w:rPr>
          <w:smallCaps/>
        </w:rPr>
        <w:t>prt</w:t>
      </w:r>
      <w:r w:rsidRPr="00FB4EFA">
        <w:t>.</w:t>
      </w:r>
      <w:r w:rsidR="00AD41EA" w:rsidRPr="00FB4EFA">
        <w:rPr>
          <w:smallCaps/>
        </w:rPr>
        <w:t>pl</w:t>
      </w:r>
      <w:r w:rsidRPr="00FB4EFA">
        <w:tab/>
        <w:t>Wort.</w:t>
      </w:r>
      <w:r w:rsidR="00AD41EA" w:rsidRPr="00FB4EFA">
        <w:rPr>
          <w:smallCaps/>
        </w:rPr>
        <w:t>prt</w:t>
      </w:r>
      <w:r w:rsidRPr="00FB4EFA">
        <w:t>.</w:t>
      </w:r>
      <w:r w:rsidR="00AD41EA" w:rsidRPr="00FB4EFA">
        <w:rPr>
          <w:smallCaps/>
        </w:rPr>
        <w:t>pl</w:t>
      </w:r>
    </w:p>
    <w:p w14:paraId="070F4986" w14:textId="422C8EAF" w:rsidR="00A2715F" w:rsidRPr="00FB4EFA" w:rsidRDefault="00A2715F" w:rsidP="00E22897">
      <w:pPr>
        <w:spacing w:line="240" w:lineRule="auto"/>
        <w:ind w:left="709" w:hanging="709"/>
      </w:pPr>
      <w:r w:rsidRPr="00FB4EFA">
        <w:tab/>
      </w:r>
      <w:r w:rsidR="006057AB" w:rsidRPr="00FB4EFA">
        <w:t>‘</w:t>
      </w:r>
      <w:r w:rsidRPr="00FB4EFA">
        <w:t>Na dann kommt in der Früh und dann sage (ich) diese Wörter.</w:t>
      </w:r>
      <w:r w:rsidR="006057AB" w:rsidRPr="00FB4EFA">
        <w:t>’</w:t>
      </w:r>
      <w:r w:rsidR="00413E36" w:rsidRPr="00FB4EFA">
        <w:t xml:space="preserve"> (F0997-04)</w:t>
      </w:r>
    </w:p>
    <w:p w14:paraId="1EBBE744" w14:textId="0677DD59" w:rsidR="00A2715F" w:rsidRPr="00FB4EFA" w:rsidRDefault="00A2715F" w:rsidP="00E22897">
      <w:pPr>
        <w:keepNext/>
        <w:spacing w:before="240" w:line="240" w:lineRule="auto"/>
        <w:ind w:left="709" w:hanging="709"/>
      </w:pPr>
      <w:r w:rsidRPr="00FB4EFA">
        <w:t>(15)</w:t>
      </w:r>
      <w:r w:rsidRPr="00FB4EFA">
        <w:tab/>
        <w:t>(min p</w:t>
      </w:r>
      <w:r w:rsidRPr="00FB4EFA">
        <w:rPr>
          <w:rFonts w:cs="Cambria"/>
        </w:rPr>
        <w:t>ǟ</w:t>
      </w:r>
      <w:r w:rsidRPr="00FB4EFA">
        <w:t>s</w:t>
      </w:r>
      <w:r w:rsidRPr="00FB4EFA">
        <w:rPr>
          <w:rFonts w:cs="Baskerville Old Face"/>
        </w:rPr>
        <w:t>õ</w:t>
      </w:r>
      <w:r w:rsidRPr="00FB4EFA">
        <w:t xml:space="preserve"> um se</w:t>
      </w:r>
      <w:r w:rsidRPr="00FB4EFA">
        <w:rPr>
          <w:rFonts w:cs="Cambria"/>
        </w:rPr>
        <w:t>ļļ</w:t>
      </w:r>
      <w:r w:rsidRPr="00FB4EFA">
        <w:t>i n</w:t>
      </w:r>
      <w:r w:rsidRPr="00FB4EFA">
        <w:rPr>
          <w:rFonts w:cs="Cambria"/>
        </w:rPr>
        <w:t>ē</w:t>
      </w:r>
      <w:r w:rsidRPr="00FB4EFA">
        <w:t xml:space="preserve"> neiku sandrok v</w:t>
      </w:r>
      <w:r w:rsidRPr="00FB4EFA">
        <w:rPr>
          <w:rFonts w:cs="Cambria"/>
        </w:rPr>
        <w:t>ȯ</w:t>
      </w:r>
      <w:r w:rsidRPr="00FB4EFA">
        <w:t xml:space="preserve">lks </w:t>
      </w:r>
      <w:r w:rsidRPr="00FB4EFA">
        <w:rPr>
          <w:rFonts w:cs="Baskerville Old Face"/>
        </w:rPr>
        <w:t>…</w:t>
      </w:r>
      <w:r w:rsidRPr="00FB4EFA">
        <w:t xml:space="preserve"> neiku siprikizt p</w:t>
      </w:r>
      <w:r w:rsidRPr="00FB4EFA">
        <w:rPr>
          <w:rFonts w:cs="Cambria"/>
        </w:rPr>
        <w:t>ǭ</w:t>
      </w:r>
      <w:r w:rsidRPr="00FB4EFA">
        <w:t>d</w:t>
      </w:r>
      <w:r w:rsidRPr="00FB4EFA">
        <w:rPr>
          <w:rFonts w:cs="Baskerville Old Face"/>
        </w:rPr>
        <w:t>õ</w:t>
      </w:r>
      <w:r w:rsidRPr="00FB4EFA">
        <w:t xml:space="preserve">z </w:t>
      </w:r>
      <w:r w:rsidRPr="00FB4EFA">
        <w:rPr>
          <w:rFonts w:cs="Baskerville Old Face"/>
        </w:rPr>
        <w:t>…</w:t>
      </w:r>
      <w:r w:rsidRPr="00FB4EFA">
        <w:t>t</w:t>
      </w:r>
      <w:r w:rsidRPr="00FB4EFA">
        <w:rPr>
          <w:rFonts w:cs="Baskerville Old Face"/>
        </w:rPr>
        <w:t>ä</w:t>
      </w:r>
      <w:r w:rsidRPr="00FB4EFA">
        <w:t>s v</w:t>
      </w:r>
      <w:r w:rsidRPr="00FB4EFA">
        <w:rPr>
          <w:rFonts w:cs="Cambria"/>
        </w:rPr>
        <w:t>ȯ</w:t>
      </w:r>
      <w:r w:rsidRPr="00FB4EFA">
        <w:t>nd t</w:t>
      </w:r>
      <w:r w:rsidRPr="00FB4EFA">
        <w:rPr>
          <w:rFonts w:cs="Baskerville Old Face"/>
        </w:rPr>
        <w:t>ä</w:t>
      </w:r>
      <w:r w:rsidRPr="00FB4EFA">
        <w:t>s</w:t>
      </w:r>
      <w:r w:rsidRPr="00FB4EFA">
        <w:rPr>
          <w:rFonts w:cs="Baskerville Old Face"/>
        </w:rPr>
        <w:t>õ</w:t>
      </w:r>
      <w:r w:rsidRPr="00FB4EFA">
        <w:t>)</w:t>
      </w:r>
    </w:p>
    <w:p w14:paraId="29A3DDB7" w14:textId="44B774EE" w:rsidR="00A2715F" w:rsidRPr="00FB4EFA" w:rsidRDefault="00A2715F" w:rsidP="00E22897">
      <w:pPr>
        <w:keepNext/>
        <w:tabs>
          <w:tab w:val="left" w:pos="709"/>
          <w:tab w:val="left" w:pos="1276"/>
          <w:tab w:val="left" w:pos="1985"/>
          <w:tab w:val="left" w:pos="2694"/>
          <w:tab w:val="left" w:pos="3544"/>
          <w:tab w:val="left" w:pos="5245"/>
          <w:tab w:val="left" w:pos="5812"/>
          <w:tab w:val="left" w:pos="6663"/>
        </w:tabs>
        <w:spacing w:line="240" w:lineRule="auto"/>
      </w:pPr>
      <w:r w:rsidRPr="00FB4EFA">
        <w:tab/>
        <w:t>un</w:t>
      </w:r>
      <w:r w:rsidRPr="00FB4EFA">
        <w:tab/>
        <w:t>…</w:t>
      </w:r>
      <w:r w:rsidRPr="00FB4EFA">
        <w:tab/>
        <w:t>un</w:t>
      </w:r>
      <w:r w:rsidRPr="00FB4EFA">
        <w:tab/>
        <w:t>nu</w:t>
      </w:r>
      <w:r w:rsidRPr="00FB4EFA">
        <w:tab/>
        <w:t>mag</w:t>
      </w:r>
      <w:r w:rsidRPr="00FB4EFA">
        <w:rPr>
          <w:rFonts w:cs="Cambria"/>
        </w:rPr>
        <w:t>ī</w:t>
      </w:r>
      <w:r w:rsidRPr="00FB4EFA">
        <w:t>z</w:t>
      </w:r>
      <w:r w:rsidRPr="00FB4EFA">
        <w:tab/>
        <w:t>e</w:t>
      </w:r>
      <w:r w:rsidRPr="00FB4EFA">
        <w:rPr>
          <w:rFonts w:cs="Cambria"/>
        </w:rPr>
        <w:t>žž</w:t>
      </w:r>
      <w:r w:rsidRPr="00FB4EFA">
        <w:rPr>
          <w:rFonts w:cs="Baskerville Old Face"/>
        </w:rPr>
        <w:t>õ</w:t>
      </w:r>
      <w:r w:rsidRPr="00FB4EFA">
        <w:t>mp</w:t>
      </w:r>
      <w:r w:rsidRPr="00FB4EFA">
        <w:rPr>
          <w:rFonts w:cs="Cambria"/>
        </w:rPr>
        <w:t>ǟ</w:t>
      </w:r>
      <w:r w:rsidRPr="00FB4EFA">
        <w:t>van</w:t>
      </w:r>
      <w:r w:rsidRPr="00FB4EFA">
        <w:tab/>
      </w:r>
      <w:r w:rsidRPr="00FB4EFA">
        <w:rPr>
          <w:rFonts w:cs="Baskerville Old Face"/>
        </w:rPr>
        <w:t>…</w:t>
      </w:r>
      <w:r w:rsidRPr="00FB4EFA">
        <w:t xml:space="preserve"> </w:t>
      </w:r>
      <w:r w:rsidRPr="00FB4EFA">
        <w:br/>
      </w:r>
      <w:r w:rsidRPr="00FB4EFA">
        <w:tab/>
        <w:t>und</w:t>
      </w:r>
      <w:r w:rsidRPr="00FB4EFA">
        <w:tab/>
      </w:r>
      <w:r w:rsidRPr="00FB4EFA">
        <w:tab/>
        <w:t>und</w:t>
      </w:r>
      <w:r w:rsidRPr="00FB4EFA">
        <w:tab/>
        <w:t>nun</w:t>
      </w:r>
      <w:r w:rsidRPr="00FB4EFA">
        <w:tab/>
        <w:t>liegen.</w:t>
      </w:r>
      <w:r w:rsidR="00AD41EA" w:rsidRPr="00FB4EFA">
        <w:rPr>
          <w:smallCaps/>
        </w:rPr>
        <w:t>pst</w:t>
      </w:r>
      <w:r w:rsidRPr="00FB4EFA">
        <w:t>.</w:t>
      </w:r>
      <w:r w:rsidR="00AD41EA" w:rsidRPr="00FB4EFA">
        <w:rPr>
          <w:smallCaps/>
        </w:rPr>
        <w:t>1sg</w:t>
      </w:r>
      <w:r w:rsidRPr="00FB4EFA">
        <w:tab/>
        <w:t>am.Montag</w:t>
      </w:r>
      <w:r w:rsidRPr="00FB4EFA">
        <w:tab/>
      </w:r>
    </w:p>
    <w:p w14:paraId="0E7D904C" w14:textId="518E701A" w:rsidR="00A2715F" w:rsidRPr="00FB4EFA" w:rsidRDefault="00A2715F" w:rsidP="00E22897">
      <w:pPr>
        <w:keepNext/>
        <w:tabs>
          <w:tab w:val="left" w:pos="709"/>
          <w:tab w:val="left" w:pos="1560"/>
          <w:tab w:val="left" w:pos="3402"/>
          <w:tab w:val="left" w:pos="5245"/>
          <w:tab w:val="left" w:pos="5812"/>
        </w:tabs>
        <w:spacing w:before="120" w:line="240" w:lineRule="auto"/>
      </w:pPr>
      <w:r w:rsidRPr="00FB4EFA">
        <w:tab/>
        <w:t>nu</w:t>
      </w:r>
      <w:r w:rsidRPr="00FB4EFA">
        <w:tab/>
        <w:t>mag</w:t>
      </w:r>
      <w:r w:rsidRPr="00FB4EFA">
        <w:rPr>
          <w:rFonts w:cs="Cambria"/>
        </w:rPr>
        <w:t>ī</w:t>
      </w:r>
      <w:r w:rsidRPr="00FB4EFA">
        <w:t>z</w:t>
      </w:r>
      <w:r w:rsidRPr="00FB4EFA">
        <w:tab/>
        <w:t>t</w:t>
      </w:r>
      <w:r w:rsidRPr="00FB4EFA">
        <w:rPr>
          <w:rFonts w:cs="Cambria"/>
        </w:rPr>
        <w:t>ū</w:t>
      </w:r>
      <w:r w:rsidRPr="00FB4EFA">
        <w:t>oiznap</w:t>
      </w:r>
      <w:r w:rsidRPr="00FB4EFA">
        <w:rPr>
          <w:rFonts w:cs="Cambria"/>
        </w:rPr>
        <w:t>ǟ</w:t>
      </w:r>
      <w:r w:rsidRPr="00FB4EFA">
        <w:t>van</w:t>
      </w:r>
      <w:r w:rsidRPr="00FB4EFA">
        <w:tab/>
        <w:t>siz</w:t>
      </w:r>
      <w:r w:rsidRPr="00FB4EFA">
        <w:br/>
      </w:r>
      <w:r w:rsidRPr="00FB4EFA">
        <w:tab/>
        <w:t>nun</w:t>
      </w:r>
      <w:r w:rsidRPr="00FB4EFA">
        <w:tab/>
        <w:t>liegen.</w:t>
      </w:r>
      <w:r w:rsidR="00AD41EA" w:rsidRPr="00FB4EFA">
        <w:rPr>
          <w:smallCaps/>
        </w:rPr>
        <w:t>pst.1sg</w:t>
      </w:r>
      <w:r w:rsidRPr="00FB4EFA">
        <w:tab/>
        <w:t>am.Dienstag</w:t>
      </w:r>
      <w:r w:rsidRPr="00FB4EFA">
        <w:tab/>
        <w:t>dann</w:t>
      </w:r>
    </w:p>
    <w:p w14:paraId="02156CC9" w14:textId="156C6555" w:rsidR="00A2715F" w:rsidRPr="00FB4EFA" w:rsidRDefault="00A2715F" w:rsidP="00E22897">
      <w:pPr>
        <w:tabs>
          <w:tab w:val="left" w:pos="709"/>
          <w:tab w:val="left" w:pos="2410"/>
          <w:tab w:val="left" w:pos="4111"/>
          <w:tab w:val="left" w:pos="5245"/>
          <w:tab w:val="left" w:pos="6521"/>
        </w:tabs>
        <w:spacing w:before="120" w:line="240" w:lineRule="auto"/>
      </w:pPr>
      <w:r w:rsidRPr="00FB4EFA">
        <w:tab/>
        <w:t>kuolm</w:t>
      </w:r>
      <w:r w:rsidRPr="00FB4EFA">
        <w:rPr>
          <w:rFonts w:cs="Baskerville Old Face"/>
        </w:rPr>
        <w:t>õ</w:t>
      </w:r>
      <w:r w:rsidRPr="00FB4EFA">
        <w:t>ndp</w:t>
      </w:r>
      <w:r w:rsidRPr="00FB4EFA">
        <w:rPr>
          <w:rFonts w:cs="Cambria"/>
        </w:rPr>
        <w:t>ǟ</w:t>
      </w:r>
      <w:r w:rsidRPr="00FB4EFA">
        <w:t>van</w:t>
      </w:r>
      <w:r w:rsidRPr="00FB4EFA">
        <w:tab/>
        <w:t>v</w:t>
      </w:r>
      <w:r w:rsidRPr="00FB4EFA">
        <w:rPr>
          <w:rFonts w:cs="Baskerville Old Face"/>
        </w:rPr>
        <w:t>õ</w:t>
      </w:r>
      <w:r w:rsidRPr="00FB4EFA">
        <w:t>i</w:t>
      </w:r>
      <w:r w:rsidRPr="00FB4EFA">
        <w:rPr>
          <w:rFonts w:cs="Cambria"/>
        </w:rPr>
        <w:t>ž</w:t>
      </w:r>
      <w:r w:rsidRPr="00FB4EFA">
        <w:tab/>
        <w:t>n</w:t>
      </w:r>
      <w:r w:rsidRPr="00FB4EFA">
        <w:rPr>
          <w:rFonts w:cs="Cambria"/>
        </w:rPr>
        <w:t>ū</w:t>
      </w:r>
      <w:r w:rsidRPr="00FB4EFA">
        <w:t>z</w:t>
      </w:r>
      <w:r w:rsidRPr="00FB4EFA">
        <w:rPr>
          <w:rFonts w:cs="Baskerville Old Face"/>
        </w:rPr>
        <w:t>õ</w:t>
      </w:r>
      <w:r w:rsidRPr="00FB4EFA">
        <w:tab/>
        <w:t>n</w:t>
      </w:r>
      <w:r w:rsidRPr="00FB4EFA">
        <w:rPr>
          <w:rFonts w:cs="Cambria"/>
        </w:rPr>
        <w:t>ū</w:t>
      </w:r>
      <w:r w:rsidRPr="00FB4EFA">
        <w:t>z</w:t>
      </w:r>
      <w:r w:rsidRPr="00FB4EFA">
        <w:rPr>
          <w:rFonts w:cs="Baskerville Old Face"/>
        </w:rPr>
        <w:t>õ</w:t>
      </w:r>
      <w:r w:rsidRPr="00FB4EFA">
        <w:tab/>
        <w:t>ilz</w:t>
      </w:r>
      <w:r w:rsidRPr="00FB4EFA">
        <w:rPr>
          <w:rFonts w:cs="Baskerville Old Face"/>
        </w:rPr>
        <w:t>õ</w:t>
      </w:r>
      <w:r w:rsidRPr="00FB4EFA">
        <w:rPr>
          <w:rFonts w:cs="Baskerville Old Face"/>
        </w:rPr>
        <w:br/>
      </w:r>
      <w:r w:rsidRPr="00FB4EFA">
        <w:tab/>
        <w:t>am.Mittwoch</w:t>
      </w:r>
      <w:r w:rsidRPr="00FB4EFA">
        <w:tab/>
        <w:t>können.</w:t>
      </w:r>
      <w:r w:rsidR="00AD41EA" w:rsidRPr="00FB4EFA">
        <w:rPr>
          <w:smallCaps/>
        </w:rPr>
        <w:t>pst</w:t>
      </w:r>
      <w:r w:rsidRPr="00FB4EFA">
        <w:t>.</w:t>
      </w:r>
      <w:r w:rsidR="00AD41EA" w:rsidRPr="00FB4EFA">
        <w:rPr>
          <w:smallCaps/>
        </w:rPr>
        <w:t>1sg</w:t>
      </w:r>
      <w:r w:rsidRPr="00FB4EFA">
        <w:tab/>
        <w:t>steigen.</w:t>
      </w:r>
      <w:r w:rsidR="00AD41EA" w:rsidRPr="00FB4EFA">
        <w:rPr>
          <w:smallCaps/>
        </w:rPr>
        <w:t>inf</w:t>
      </w:r>
      <w:r w:rsidRPr="00FB4EFA">
        <w:tab/>
        <w:t>steigen.</w:t>
      </w:r>
      <w:r w:rsidR="00AD41EA" w:rsidRPr="00FB4EFA">
        <w:rPr>
          <w:smallCaps/>
        </w:rPr>
        <w:t>inf</w:t>
      </w:r>
      <w:r w:rsidRPr="00FB4EFA">
        <w:tab/>
        <w:t>auf</w:t>
      </w:r>
    </w:p>
    <w:p w14:paraId="0AFAFED7" w14:textId="7DFE34A1" w:rsidR="00A2715F" w:rsidRPr="00FB4EFA" w:rsidRDefault="00A2715F" w:rsidP="00E22897">
      <w:pPr>
        <w:spacing w:line="240" w:lineRule="auto"/>
        <w:ind w:left="709" w:hanging="709"/>
      </w:pPr>
      <w:r w:rsidRPr="00FB4EFA">
        <w:tab/>
      </w:r>
      <w:r w:rsidR="006057AB" w:rsidRPr="00FB4EFA">
        <w:t>‘</w:t>
      </w:r>
      <w:r w:rsidRPr="00FB4EFA">
        <w:t xml:space="preserve">(In meinem Kopf ist so ein… wie als wäre es Brei, wie ein </w:t>
      </w:r>
      <w:r w:rsidR="003A4932" w:rsidRPr="00FB4EFA">
        <w:br/>
      </w:r>
      <w:r w:rsidRPr="00FB4EFA">
        <w:t>Ameisennest. Hier, war hier.) Und so lag (ich) am Montag, so lag (ich) am Dienstag; dann am Mittwoch konnte (ich) aufstehen.</w:t>
      </w:r>
      <w:r w:rsidR="006057AB" w:rsidRPr="00FB4EFA">
        <w:t>’</w:t>
      </w:r>
      <w:r w:rsidR="00413E36" w:rsidRPr="00FB4EFA">
        <w:t xml:space="preserve"> (F1035-03)</w:t>
      </w:r>
    </w:p>
    <w:p w14:paraId="5A0F2AD7" w14:textId="0FC303EA" w:rsidR="00A2715F" w:rsidRPr="00FB4EFA" w:rsidRDefault="00A2715F" w:rsidP="00402EF4">
      <w:pPr>
        <w:spacing w:before="240"/>
      </w:pPr>
      <w:r w:rsidRPr="00FB4EFA">
        <w:t xml:space="preserve">Interessanterweise sind die einzigen Nullsubjekte im Material gerade Nullsubjekte der 1. Person Singular, die sich aufgrund des systematischen Synkretismus mit der 3. Person Singular eher nicht für die Auslassung von Subjektpronomina eignet. Dies könnte aber auch der Frequenz dieser Formen im Material geschuldet sein und weniger der Verbalmorphologie. Insgesamt waren die meisten Beispiele für Subjekte im Material nämlich Subjekte der 1. und 3. Person Singular, und nur in einigen Sätzen wurden Subjekte anderer Personen gebraucht. In diesen wenigen Fällen im Material wurde ein Subjektpronomen verwendet, obwohl die Verbalmorphologie Person und Numerus eindeutig anzeigt. </w:t>
      </w:r>
      <w:bookmarkStart w:id="63" w:name="__DdeLink__9754_2972562778"/>
      <w:r w:rsidRPr="00FB4EFA">
        <w:t xml:space="preserve">Synkretismus dürfte in </w:t>
      </w:r>
      <w:r w:rsidR="003A4932" w:rsidRPr="00FB4EFA">
        <w:br/>
      </w:r>
      <w:r w:rsidRPr="00FB4EFA">
        <w:t xml:space="preserve">diesem Zusammenhang also keine Rolle spielen, da man sonst </w:t>
      </w:r>
      <w:r w:rsidR="003A4932" w:rsidRPr="00FB4EFA">
        <w:br/>
      </w:r>
      <w:r w:rsidRPr="00FB4EFA">
        <w:t>grundsätzlich Nullsubjekte der nicht-synkretischen Formen in neutralen Kontexten erwarten könnte – dafür gibt es im vorliegenden Material aber keine Belege.</w:t>
      </w:r>
      <w:bookmarkEnd w:id="63"/>
    </w:p>
    <w:p w14:paraId="12EB5570" w14:textId="31B5C067" w:rsidR="00A2715F" w:rsidRPr="00FB4EFA" w:rsidRDefault="00C3135B" w:rsidP="00402EF4">
      <w:pPr>
        <w:spacing w:after="240"/>
        <w:ind w:firstLine="709"/>
      </w:pPr>
      <w:r w:rsidRPr="00FB4EFA">
        <w:t>Im Folgenden werden</w:t>
      </w:r>
      <w:r w:rsidR="00A2715F" w:rsidRPr="00FB4EFA">
        <w:t xml:space="preserve"> solche Beispiele der 2. Person Singular (16), der 1. Person Plural (17) und der 2. Person Plural (18)</w:t>
      </w:r>
      <w:r w:rsidRPr="00FB4EFA">
        <w:t xml:space="preserve"> gezeigt</w:t>
      </w:r>
      <w:r w:rsidR="00A2715F" w:rsidRPr="00FB4EFA">
        <w:t>, wobei kein Unterschied zwischen der langvokalischen und der kurzvokali</w:t>
      </w:r>
      <w:r w:rsidR="00A2715F" w:rsidRPr="00FB4EFA">
        <w:lastRenderedPageBreak/>
        <w:t>schen Variante der Pronomina der 1. und 2. Person Plural zu erkennen war:</w:t>
      </w:r>
    </w:p>
    <w:p w14:paraId="58D78482" w14:textId="6EB38104" w:rsidR="00A2715F" w:rsidRPr="00FB4EFA" w:rsidRDefault="00A2715F" w:rsidP="00E22897">
      <w:pPr>
        <w:tabs>
          <w:tab w:val="left" w:pos="709"/>
          <w:tab w:val="left" w:pos="1418"/>
          <w:tab w:val="left" w:pos="1985"/>
          <w:tab w:val="left" w:pos="3402"/>
          <w:tab w:val="left" w:pos="4820"/>
          <w:tab w:val="left" w:pos="6096"/>
        </w:tabs>
        <w:spacing w:line="240" w:lineRule="auto"/>
      </w:pPr>
      <w:r w:rsidRPr="00FB4EFA">
        <w:t>(16)</w:t>
      </w:r>
      <w:r w:rsidRPr="00FB4EFA">
        <w:tab/>
        <w:t>siz</w:t>
      </w:r>
      <w:r w:rsidRPr="00FB4EFA">
        <w:tab/>
        <w:t>sa</w:t>
      </w:r>
      <w:r w:rsidRPr="00FB4EFA">
        <w:tab/>
        <w:t>võid</w:t>
      </w:r>
      <w:r w:rsidRPr="00FB4EFA">
        <w:tab/>
        <w:t>p</w:t>
      </w:r>
      <w:r w:rsidRPr="00FB4EFA">
        <w:rPr>
          <w:rFonts w:cs="Cambria"/>
        </w:rPr>
        <w:t>ā</w:t>
      </w:r>
      <w:r w:rsidRPr="00FB4EFA">
        <w:t>nda</w:t>
      </w:r>
      <w:r w:rsidRPr="00FB4EFA">
        <w:tab/>
        <w:t>t</w:t>
      </w:r>
      <w:r w:rsidRPr="00FB4EFA">
        <w:rPr>
          <w:rFonts w:cs="Baskerville Old Face"/>
        </w:rPr>
        <w:t>ä</w:t>
      </w:r>
      <w:r w:rsidRPr="00FB4EFA">
        <w:t>mm</w:t>
      </w:r>
      <w:r w:rsidRPr="00FB4EFA">
        <w:rPr>
          <w:rFonts w:cs="Baskerville Old Face"/>
        </w:rPr>
        <w:t>õ</w:t>
      </w:r>
      <w:r w:rsidRPr="00FB4EFA">
        <w:t>n</w:t>
      </w:r>
      <w:r w:rsidRPr="00FB4EFA">
        <w:tab/>
        <w:t>p</w:t>
      </w:r>
      <w:r w:rsidRPr="00FB4EFA">
        <w:rPr>
          <w:rFonts w:cs="Cambria"/>
        </w:rPr>
        <w:t>ǟ</w:t>
      </w:r>
      <w:r w:rsidRPr="00FB4EFA">
        <w:t>l</w:t>
      </w:r>
      <w:r w:rsidRPr="00FB4EFA">
        <w:rPr>
          <w:rFonts w:cs="Baskerville Old Face"/>
        </w:rPr>
        <w:t>õ</w:t>
      </w:r>
      <w:r w:rsidRPr="00FB4EFA">
        <w:t>.</w:t>
      </w:r>
    </w:p>
    <w:p w14:paraId="5F0341A5" w14:textId="0709CDF3" w:rsidR="00A2715F" w:rsidRPr="00FB4EFA" w:rsidRDefault="00A2715F" w:rsidP="00E22897">
      <w:pPr>
        <w:tabs>
          <w:tab w:val="left" w:pos="709"/>
          <w:tab w:val="left" w:pos="1418"/>
          <w:tab w:val="left" w:pos="1985"/>
          <w:tab w:val="left" w:pos="3402"/>
          <w:tab w:val="left" w:pos="4820"/>
          <w:tab w:val="left" w:pos="6096"/>
        </w:tabs>
        <w:spacing w:line="240" w:lineRule="auto"/>
      </w:pPr>
      <w:r w:rsidRPr="00FB4EFA">
        <w:tab/>
        <w:t>dann</w:t>
      </w:r>
      <w:r w:rsidRPr="00FB4EFA">
        <w:tab/>
      </w:r>
      <w:r w:rsidR="00AD41EA" w:rsidRPr="00FB4EFA">
        <w:rPr>
          <w:smallCaps/>
        </w:rPr>
        <w:t>2sg</w:t>
      </w:r>
      <w:r w:rsidRPr="00FB4EFA">
        <w:tab/>
        <w:t>können.</w:t>
      </w:r>
      <w:r w:rsidR="00AD41EA" w:rsidRPr="00FB4EFA">
        <w:rPr>
          <w:smallCaps/>
        </w:rPr>
        <w:t>2sg</w:t>
      </w:r>
      <w:r w:rsidRPr="00FB4EFA">
        <w:tab/>
        <w:t>anziehen.</w:t>
      </w:r>
      <w:r w:rsidR="00AD41EA" w:rsidRPr="00FB4EFA">
        <w:rPr>
          <w:smallCaps/>
        </w:rPr>
        <w:t>inf</w:t>
      </w:r>
      <w:r w:rsidRPr="00FB4EFA">
        <w:tab/>
      </w:r>
      <w:r w:rsidR="00AD41EA" w:rsidRPr="00FB4EFA">
        <w:rPr>
          <w:smallCaps/>
        </w:rPr>
        <w:t>3sg</w:t>
      </w:r>
      <w:r w:rsidRPr="00FB4EFA">
        <w:t>.</w:t>
      </w:r>
      <w:r w:rsidR="00AD41EA" w:rsidRPr="00FB4EFA">
        <w:rPr>
          <w:smallCaps/>
        </w:rPr>
        <w:t>dat</w:t>
      </w:r>
      <w:r w:rsidRPr="00FB4EFA">
        <w:tab/>
        <w:t>auf</w:t>
      </w:r>
    </w:p>
    <w:p w14:paraId="1AFA4FA7" w14:textId="3647AAF8" w:rsidR="00A2715F" w:rsidRPr="00FB4EFA" w:rsidRDefault="00A2715F" w:rsidP="00E22897">
      <w:pPr>
        <w:spacing w:after="240" w:line="240" w:lineRule="auto"/>
        <w:ind w:left="709" w:hanging="709"/>
      </w:pPr>
      <w:r w:rsidRPr="00FB4EFA">
        <w:tab/>
      </w:r>
      <w:r w:rsidR="006057AB" w:rsidRPr="00FB4EFA">
        <w:t>‘</w:t>
      </w:r>
      <w:r w:rsidRPr="00FB4EFA">
        <w:t>(Mutter rannte hinaus und sagte: Nimm es mit. Es kann sein, dass dem Kind kalt ist,) dann kannst du (es) ihm anziehen.</w:t>
      </w:r>
      <w:r w:rsidR="006057AB" w:rsidRPr="00FB4EFA">
        <w:t>’</w:t>
      </w:r>
      <w:r w:rsidR="00413E36" w:rsidRPr="00FB4EFA">
        <w:t xml:space="preserve"> </w:t>
      </w:r>
      <w:r w:rsidR="003A4932" w:rsidRPr="00FB4EFA">
        <w:br/>
      </w:r>
      <w:r w:rsidR="00413E36" w:rsidRPr="00FB4EFA">
        <w:t>(DS0128-02)</w:t>
      </w:r>
    </w:p>
    <w:p w14:paraId="00D2ECDD" w14:textId="6E9D4756" w:rsidR="00A2715F" w:rsidRPr="00FB4EFA" w:rsidRDefault="00A2715F" w:rsidP="00E22897">
      <w:pPr>
        <w:tabs>
          <w:tab w:val="left" w:pos="709"/>
          <w:tab w:val="left" w:pos="1418"/>
          <w:tab w:val="left" w:pos="2127"/>
          <w:tab w:val="left" w:pos="3402"/>
          <w:tab w:val="left" w:pos="4253"/>
          <w:tab w:val="left" w:pos="4962"/>
          <w:tab w:val="left" w:pos="5670"/>
        </w:tabs>
        <w:spacing w:line="240" w:lineRule="auto"/>
      </w:pPr>
      <w:r w:rsidRPr="00FB4EFA">
        <w:t>(17)</w:t>
      </w:r>
      <w:r w:rsidRPr="00FB4EFA">
        <w:tab/>
        <w:t>ku</w:t>
      </w:r>
      <w:r w:rsidRPr="00FB4EFA">
        <w:tab/>
        <w:t>m</w:t>
      </w:r>
      <w:r w:rsidRPr="00FB4EFA">
        <w:rPr>
          <w:rFonts w:cs="Cambria"/>
        </w:rPr>
        <w:t>ē</w:t>
      </w:r>
      <w:r w:rsidRPr="00FB4EFA">
        <w:t>g</w:t>
      </w:r>
      <w:r w:rsidRPr="00FB4EFA">
        <w:tab/>
        <w:t>l</w:t>
      </w:r>
      <w:r w:rsidRPr="00FB4EFA">
        <w:rPr>
          <w:rFonts w:cs="Cambria"/>
        </w:rPr>
        <w:t>ǟ</w:t>
      </w:r>
      <w:r w:rsidRPr="00FB4EFA">
        <w:t>m</w:t>
      </w:r>
      <w:r w:rsidRPr="00FB4EFA">
        <w:rPr>
          <w:rFonts w:cs="Baskerville Old Face"/>
        </w:rPr>
        <w:t>õ</w:t>
      </w:r>
      <w:r w:rsidRPr="00FB4EFA">
        <w:tab/>
        <w:t>ulz</w:t>
      </w:r>
      <w:r w:rsidRPr="00FB4EFA">
        <w:rPr>
          <w:rFonts w:cs="Baskerville Old Face"/>
        </w:rPr>
        <w:t>õ</w:t>
      </w:r>
      <w:r w:rsidRPr="00FB4EFA">
        <w:tab/>
        <w:t>siz</w:t>
      </w:r>
      <w:r w:rsidRPr="00FB4EFA">
        <w:tab/>
        <w:t>ma</w:t>
      </w:r>
      <w:r w:rsidRPr="00FB4EFA">
        <w:tab/>
        <w:t>n</w:t>
      </w:r>
      <w:r w:rsidRPr="00FB4EFA">
        <w:rPr>
          <w:rFonts w:cs="Baskerville Old Face"/>
        </w:rPr>
        <w:t>ä</w:t>
      </w:r>
      <w:r w:rsidRPr="00FB4EFA">
        <w:t>g</w:t>
      </w:r>
      <w:r w:rsidRPr="00FB4EFA">
        <w:rPr>
          <w:rFonts w:cs="Cambria"/>
        </w:rPr>
        <w:t>ț</w:t>
      </w:r>
      <w:r w:rsidRPr="00FB4EFA">
        <w:rPr>
          <w:rFonts w:cs="Baskerville Old Face"/>
        </w:rPr>
        <w:t>õ</w:t>
      </w:r>
      <w:r w:rsidRPr="00FB4EFA">
        <w:t>b</w:t>
      </w:r>
    </w:p>
    <w:p w14:paraId="36D5830C" w14:textId="4C8870A3" w:rsidR="00A2715F" w:rsidRPr="00FB4EFA" w:rsidRDefault="00A2715F" w:rsidP="00E22897">
      <w:pPr>
        <w:tabs>
          <w:tab w:val="left" w:pos="709"/>
          <w:tab w:val="left" w:pos="1418"/>
          <w:tab w:val="left" w:pos="2127"/>
          <w:tab w:val="left" w:pos="3402"/>
          <w:tab w:val="left" w:pos="4253"/>
          <w:tab w:val="left" w:pos="4962"/>
          <w:tab w:val="left" w:pos="5670"/>
        </w:tabs>
        <w:spacing w:line="240" w:lineRule="auto"/>
      </w:pPr>
      <w:r w:rsidRPr="00FB4EFA">
        <w:tab/>
        <w:t>wenn</w:t>
      </w:r>
      <w:r w:rsidRPr="00FB4EFA">
        <w:tab/>
      </w:r>
      <w:r w:rsidR="00AD41EA" w:rsidRPr="00FB4EFA">
        <w:rPr>
          <w:smallCaps/>
        </w:rPr>
        <w:t>1pl</w:t>
      </w:r>
      <w:r w:rsidRPr="00FB4EFA">
        <w:tab/>
        <w:t>gehen.</w:t>
      </w:r>
      <w:r w:rsidR="00AD41EA" w:rsidRPr="00FB4EFA">
        <w:rPr>
          <w:smallCaps/>
        </w:rPr>
        <w:t>1pl</w:t>
      </w:r>
      <w:r w:rsidRPr="00FB4EFA">
        <w:tab/>
        <w:t>hinaus</w:t>
      </w:r>
      <w:r w:rsidRPr="00FB4EFA">
        <w:tab/>
        <w:t>dann</w:t>
      </w:r>
      <w:r w:rsidRPr="00FB4EFA">
        <w:tab/>
      </w:r>
      <w:r w:rsidR="00AD41EA" w:rsidRPr="00FB4EFA">
        <w:rPr>
          <w:smallCaps/>
        </w:rPr>
        <w:t>1sg</w:t>
      </w:r>
      <w:r w:rsidRPr="00FB4EFA">
        <w:tab/>
        <w:t>zeigen.</w:t>
      </w:r>
      <w:r w:rsidR="00AD41EA" w:rsidRPr="00FB4EFA">
        <w:rPr>
          <w:smallCaps/>
        </w:rPr>
        <w:t>1sg</w:t>
      </w:r>
    </w:p>
    <w:p w14:paraId="38113602" w14:textId="77777777" w:rsidR="00A2715F" w:rsidRPr="00FB4EFA" w:rsidRDefault="00A2715F" w:rsidP="00E22897">
      <w:pPr>
        <w:tabs>
          <w:tab w:val="left" w:pos="709"/>
          <w:tab w:val="left" w:pos="2127"/>
          <w:tab w:val="left" w:pos="3544"/>
        </w:tabs>
        <w:spacing w:before="120" w:line="240" w:lineRule="auto"/>
      </w:pPr>
      <w:r w:rsidRPr="00FB4EFA">
        <w:tab/>
        <w:t>n</w:t>
      </w:r>
      <w:r w:rsidRPr="00FB4EFA">
        <w:rPr>
          <w:rFonts w:cs="Cambria"/>
        </w:rPr>
        <w:t>ēḑ</w:t>
      </w:r>
      <w:r w:rsidRPr="00FB4EFA">
        <w:t>i</w:t>
      </w:r>
      <w:r w:rsidRPr="00FB4EFA">
        <w:tab/>
        <w:t>s</w:t>
      </w:r>
      <w:r w:rsidRPr="00FB4EFA">
        <w:rPr>
          <w:rFonts w:cs="Cambria"/>
        </w:rPr>
        <w:t>ūŗ</w:t>
      </w:r>
      <w:r w:rsidRPr="00FB4EFA">
        <w:t>i</w:t>
      </w:r>
      <w:r w:rsidRPr="00FB4EFA">
        <w:tab/>
        <w:t>vin</w:t>
      </w:r>
      <w:r w:rsidRPr="00FB4EFA">
        <w:rPr>
          <w:rFonts w:cs="Cambria"/>
        </w:rPr>
        <w:t>ē</w:t>
      </w:r>
      <w:r w:rsidRPr="00FB4EFA">
        <w:t>ridi</w:t>
      </w:r>
    </w:p>
    <w:p w14:paraId="0751B715" w14:textId="62F3CA38" w:rsidR="00A2715F" w:rsidRPr="00FB4EFA" w:rsidRDefault="00A2715F" w:rsidP="00E22897">
      <w:pPr>
        <w:tabs>
          <w:tab w:val="left" w:pos="709"/>
          <w:tab w:val="left" w:pos="2127"/>
          <w:tab w:val="left" w:pos="3544"/>
        </w:tabs>
        <w:spacing w:line="240" w:lineRule="auto"/>
      </w:pPr>
      <w:r w:rsidRPr="00FB4EFA">
        <w:tab/>
        <w:t>diese.</w:t>
      </w:r>
      <w:r w:rsidR="00AD41EA" w:rsidRPr="00FB4EFA">
        <w:rPr>
          <w:smallCaps/>
        </w:rPr>
        <w:t>prt.pl</w:t>
      </w:r>
      <w:r w:rsidRPr="00FB4EFA">
        <w:tab/>
        <w:t>groß.</w:t>
      </w:r>
      <w:r w:rsidR="00AD41EA" w:rsidRPr="00FB4EFA">
        <w:rPr>
          <w:smallCaps/>
        </w:rPr>
        <w:t>prt</w:t>
      </w:r>
      <w:r w:rsidRPr="00FB4EFA">
        <w:t>.</w:t>
      </w:r>
      <w:r w:rsidR="00AD41EA" w:rsidRPr="00FB4EFA">
        <w:rPr>
          <w:smallCaps/>
        </w:rPr>
        <w:t>pl</w:t>
      </w:r>
      <w:r w:rsidRPr="00FB4EFA">
        <w:tab/>
        <w:t>Sperrholzplatte.</w:t>
      </w:r>
      <w:r w:rsidR="00AD41EA" w:rsidRPr="00FB4EFA">
        <w:rPr>
          <w:smallCaps/>
        </w:rPr>
        <w:t>prt</w:t>
      </w:r>
      <w:r w:rsidRPr="00FB4EFA">
        <w:t>.</w:t>
      </w:r>
      <w:r w:rsidR="00AD41EA" w:rsidRPr="00FB4EFA">
        <w:rPr>
          <w:smallCaps/>
        </w:rPr>
        <w:t>pl</w:t>
      </w:r>
    </w:p>
    <w:p w14:paraId="64E957A0" w14:textId="68526E11" w:rsidR="00A2715F" w:rsidRPr="00FB4EFA" w:rsidRDefault="00A2715F" w:rsidP="00E22897">
      <w:pPr>
        <w:spacing w:after="240" w:line="240" w:lineRule="auto"/>
        <w:ind w:left="709" w:hanging="709"/>
      </w:pPr>
      <w:r w:rsidRPr="00FB4EFA">
        <w:tab/>
      </w:r>
      <w:r w:rsidR="006057AB" w:rsidRPr="00FB4EFA">
        <w:t>‘</w:t>
      </w:r>
      <w:r w:rsidRPr="00FB4EFA">
        <w:t xml:space="preserve">Wenn wir hinausgehen, dann zeige ich diese großen </w:t>
      </w:r>
      <w:r w:rsidR="003A4932" w:rsidRPr="00FB4EFA">
        <w:br/>
      </w:r>
      <w:r w:rsidRPr="00FB4EFA">
        <w:t>Sperrholzplatten.</w:t>
      </w:r>
      <w:r w:rsidR="006057AB" w:rsidRPr="00FB4EFA">
        <w:t>’</w:t>
      </w:r>
      <w:r w:rsidR="00413E36" w:rsidRPr="00FB4EFA">
        <w:t xml:space="preserve"> (F0997-04)</w:t>
      </w:r>
    </w:p>
    <w:p w14:paraId="5A31F5EF" w14:textId="61D76CB1" w:rsidR="00A2715F" w:rsidRPr="00FB4EFA" w:rsidRDefault="00A2715F" w:rsidP="00E22897">
      <w:pPr>
        <w:keepNext/>
        <w:tabs>
          <w:tab w:val="left" w:pos="709"/>
          <w:tab w:val="left" w:pos="1418"/>
          <w:tab w:val="left" w:pos="2977"/>
          <w:tab w:val="left" w:pos="3828"/>
          <w:tab w:val="left" w:pos="4820"/>
        </w:tabs>
        <w:spacing w:line="240" w:lineRule="auto"/>
      </w:pPr>
      <w:r w:rsidRPr="00FB4EFA">
        <w:t>(18)</w:t>
      </w:r>
      <w:r w:rsidRPr="00FB4EFA">
        <w:tab/>
        <w:t>t</w:t>
      </w:r>
      <w:r w:rsidRPr="00FB4EFA">
        <w:rPr>
          <w:rFonts w:cs="Cambria"/>
        </w:rPr>
        <w:t>ē</w:t>
      </w:r>
      <w:r w:rsidRPr="00FB4EFA">
        <w:t>g</w:t>
      </w:r>
      <w:r w:rsidRPr="00FB4EFA">
        <w:tab/>
        <w:t>v</w:t>
      </w:r>
      <w:r w:rsidRPr="00FB4EFA">
        <w:rPr>
          <w:rFonts w:cs="Cambria"/>
        </w:rPr>
        <w:t>ȯļ</w:t>
      </w:r>
      <w:r w:rsidRPr="00FB4EFA">
        <w:t>t</w:t>
      </w:r>
      <w:r w:rsidRPr="00FB4EFA">
        <w:rPr>
          <w:rFonts w:cs="Baskerville Old Face"/>
        </w:rPr>
        <w:t>õ</w:t>
      </w:r>
      <w:r w:rsidRPr="00FB4EFA">
        <w:tab/>
        <w:t>neiku</w:t>
      </w:r>
      <w:r w:rsidRPr="00FB4EFA">
        <w:tab/>
        <w:t>jum</w:t>
      </w:r>
      <w:r w:rsidRPr="00FB4EFA">
        <w:rPr>
          <w:rFonts w:cs="Cambria"/>
        </w:rPr>
        <w:t>ā</w:t>
      </w:r>
      <w:r w:rsidRPr="00FB4EFA">
        <w:t>l</w:t>
      </w:r>
      <w:r w:rsidRPr="00FB4EFA">
        <w:tab/>
        <w:t>s</w:t>
      </w:r>
      <w:r w:rsidRPr="00FB4EFA">
        <w:rPr>
          <w:rFonts w:cs="Cambria"/>
        </w:rPr>
        <w:t>ǭ</w:t>
      </w:r>
      <w:r w:rsidRPr="00FB4EFA">
        <w:t>t</w:t>
      </w:r>
      <w:r w:rsidRPr="00FB4EFA">
        <w:rPr>
          <w:rFonts w:cs="Baskerville Old Face"/>
        </w:rPr>
        <w:t>õ</w:t>
      </w:r>
      <w:r w:rsidRPr="00FB4EFA">
        <w:t>d</w:t>
      </w:r>
      <w:r w:rsidRPr="00FB4EFA">
        <w:br/>
      </w:r>
      <w:r w:rsidRPr="00FB4EFA">
        <w:tab/>
      </w:r>
      <w:r w:rsidR="00AD41EA" w:rsidRPr="00FB4EFA">
        <w:rPr>
          <w:smallCaps/>
        </w:rPr>
        <w:t>2pl</w:t>
      </w:r>
      <w:r w:rsidRPr="00FB4EFA">
        <w:tab/>
        <w:t>sein.</w:t>
      </w:r>
      <w:r w:rsidR="00AD41EA" w:rsidRPr="00FB4EFA">
        <w:rPr>
          <w:smallCaps/>
        </w:rPr>
        <w:t>pst</w:t>
      </w:r>
      <w:r w:rsidRPr="00FB4EFA">
        <w:t>.</w:t>
      </w:r>
      <w:r w:rsidR="00AD41EA" w:rsidRPr="00FB4EFA">
        <w:rPr>
          <w:smallCaps/>
        </w:rPr>
        <w:t>2pl</w:t>
      </w:r>
      <w:r w:rsidRPr="00FB4EFA">
        <w:tab/>
        <w:t>wie</w:t>
      </w:r>
      <w:r w:rsidRPr="00FB4EFA">
        <w:tab/>
        <w:t>Gott</w:t>
      </w:r>
      <w:r w:rsidRPr="00FB4EFA">
        <w:tab/>
        <w:t>senden.</w:t>
      </w:r>
      <w:r w:rsidR="00AD41EA" w:rsidRPr="00FB4EFA">
        <w:rPr>
          <w:smallCaps/>
        </w:rPr>
        <w:t>ppp</w:t>
      </w:r>
    </w:p>
    <w:p w14:paraId="49B4B1A8" w14:textId="282A32E3" w:rsidR="00A2715F" w:rsidRPr="00FB4EFA" w:rsidRDefault="00A2715F" w:rsidP="00E22897">
      <w:pPr>
        <w:tabs>
          <w:tab w:val="left" w:pos="709"/>
        </w:tabs>
        <w:spacing w:line="240" w:lineRule="auto"/>
      </w:pPr>
      <w:r w:rsidRPr="00FB4EFA">
        <w:tab/>
      </w:r>
      <w:r w:rsidR="006057AB" w:rsidRPr="00FB4EFA">
        <w:t>‘</w:t>
      </w:r>
      <w:r w:rsidRPr="00FB4EFA">
        <w:t>Ihr wart wie gottgesandt.</w:t>
      </w:r>
      <w:r w:rsidR="006057AB" w:rsidRPr="00FB4EFA">
        <w:t>’</w:t>
      </w:r>
      <w:r w:rsidR="00413E36" w:rsidRPr="00FB4EFA">
        <w:t xml:space="preserve"> (F0997-04)</w:t>
      </w:r>
    </w:p>
    <w:p w14:paraId="34106016" w14:textId="77777777" w:rsidR="00A2715F" w:rsidRPr="00FB4EFA" w:rsidRDefault="00A2715F" w:rsidP="00545033">
      <w:pPr>
        <w:pStyle w:val="Heading2"/>
        <w:suppressAutoHyphens/>
        <w:spacing w:line="259" w:lineRule="auto"/>
        <w:rPr>
          <w:color w:val="auto"/>
          <w:lang w:val="de-AT"/>
        </w:rPr>
      </w:pPr>
      <w:r w:rsidRPr="00FB4EFA">
        <w:rPr>
          <w:color w:val="auto"/>
          <w:lang w:val="de-AT"/>
        </w:rPr>
        <w:t>5. Diskussion</w:t>
      </w:r>
    </w:p>
    <w:p w14:paraId="7342EE9A" w14:textId="064BCC66" w:rsidR="00A2715F" w:rsidRPr="00FB4EFA" w:rsidRDefault="00A2715F" w:rsidP="00402EF4">
      <w:r w:rsidRPr="00FB4EFA">
        <w:rPr>
          <w:rFonts w:cs="Charis SIL"/>
        </w:rPr>
        <w:t xml:space="preserve">Die oben besprochenen Daten zeigen, dass das Livische über eine Reihe an Konstruktionen verfügt, in denen Subjektpronomina ausgelassen werden können. Einige davon, wie die Auslassung eines durchlaufenden </w:t>
      </w:r>
      <w:r w:rsidR="00D84F6F" w:rsidRPr="00FB4EFA">
        <w:rPr>
          <w:rFonts w:cs="Charis SIL"/>
        </w:rPr>
        <w:br/>
      </w:r>
      <w:r w:rsidRPr="00FB4EFA">
        <w:rPr>
          <w:rFonts w:cs="Charis SIL"/>
        </w:rPr>
        <w:t>Subjekts in Koordinationsstrukturen, finden sich in Nullsubjekt- und Nicht-Nullsubjektsprachen, andere, wie Strukturen mit Nullexpletiva, sind auf einen bestimmten Sprachtyp in der Typologie von Nullsubjektsprachen beschränkt. Auf Basis der verfügbaren Daten kann</w:t>
      </w:r>
      <w:r w:rsidR="000121EA" w:rsidRPr="00FB4EFA">
        <w:rPr>
          <w:rFonts w:cs="Charis SIL"/>
        </w:rPr>
        <w:t xml:space="preserve"> </w:t>
      </w:r>
      <w:r w:rsidRPr="00FB4EFA">
        <w:rPr>
          <w:rFonts w:cs="Charis SIL"/>
        </w:rPr>
        <w:t xml:space="preserve">vermutet werden, dass die Verwendung von referentiellen Nullsubjekten im </w:t>
      </w:r>
      <w:r w:rsidR="00D84F6F" w:rsidRPr="00FB4EFA">
        <w:rPr>
          <w:rFonts w:cs="Charis SIL"/>
        </w:rPr>
        <w:br/>
      </w:r>
      <w:r w:rsidRPr="00FB4EFA">
        <w:rPr>
          <w:rFonts w:cs="Charis SIL"/>
        </w:rPr>
        <w:t xml:space="preserve">Livischen höchstens ein marginales Phänomen darstellt, da das Material nur zwei Beispiele solcher Nullsubjekte enthielt. Folglich sind diese Beispiele auch nicht sehr aussagekräftig im Hinblick auf die in Abschnitt 2 besprochenen Kriterien zu Satztypen oder Tempus-Aspekt-Modus. Synkretismus im Verbalparadigma dürfte im Livischen jedoch keine Rolle spielen, da in nicht-synkretistischen Formen das Subjektpronomen auch regelmäßig in neutralen Kontexten verwendet wird, auch wenn die </w:t>
      </w:r>
      <w:r w:rsidR="00CC27A2" w:rsidRPr="00FB4EFA">
        <w:rPr>
          <w:rFonts w:cs="Charis SIL"/>
        </w:rPr>
        <w:br/>
      </w:r>
      <w:r w:rsidRPr="00FB4EFA">
        <w:rPr>
          <w:rFonts w:cs="Charis SIL"/>
        </w:rPr>
        <w:t>Datenlage in dieser Hinsicht ebenfalls dünn ist.</w:t>
      </w:r>
    </w:p>
    <w:p w14:paraId="69C87624" w14:textId="48B99367" w:rsidR="00A2715F" w:rsidRPr="00FB4EFA" w:rsidRDefault="00A2715F" w:rsidP="00402EF4">
      <w:pPr>
        <w:ind w:firstLine="709"/>
        <w:rPr>
          <w:rFonts w:cs="Charis SIL"/>
        </w:rPr>
      </w:pPr>
      <w:r w:rsidRPr="00FB4EFA">
        <w:rPr>
          <w:rFonts w:cs="Charis SIL"/>
        </w:rPr>
        <w:lastRenderedPageBreak/>
        <w:t>Selbstverständlich müsste für stichhaltige Schlussfolgerungen ein größeres Korpus berücksichtigt werden, aber die vorläufigen Ergebnisse lassen</w:t>
      </w:r>
      <w:r w:rsidR="000121EA" w:rsidRPr="00FB4EFA">
        <w:rPr>
          <w:rFonts w:cs="Charis SIL"/>
        </w:rPr>
        <w:t xml:space="preserve"> </w:t>
      </w:r>
      <w:r w:rsidRPr="00FB4EFA">
        <w:rPr>
          <w:rFonts w:cs="Charis SIL"/>
        </w:rPr>
        <w:t>vermuten, dass zumindest das gesprochene Livische der letzten Jahrzehnte keine kanonische Nullsubjektsprache ist, son</w:t>
      </w:r>
      <w:r w:rsidR="002467ED" w:rsidRPr="00FB4EFA">
        <w:rPr>
          <w:rFonts w:cs="Charis SIL"/>
        </w:rPr>
        <w:softHyphen/>
      </w:r>
      <w:r w:rsidRPr="00FB4EFA">
        <w:rPr>
          <w:rFonts w:cs="Charis SIL"/>
        </w:rPr>
        <w:t xml:space="preserve">dern nur </w:t>
      </w:r>
      <w:r w:rsidR="00814A40" w:rsidRPr="00FB4EFA">
        <w:rPr>
          <w:rFonts w:cs="Charis SIL"/>
        </w:rPr>
        <w:br/>
      </w:r>
      <w:r w:rsidRPr="00FB4EFA">
        <w:rPr>
          <w:rFonts w:cs="Charis SIL"/>
        </w:rPr>
        <w:t>Nullexpletiva erlaubt (sowie die anderen besprochenen Arten der ausgelassenen Subjekte). Die generische Interpretation eines Null</w:t>
      </w:r>
      <w:r w:rsidR="002467ED" w:rsidRPr="00FB4EFA">
        <w:rPr>
          <w:rFonts w:cs="Charis SIL"/>
        </w:rPr>
        <w:softHyphen/>
      </w:r>
      <w:r w:rsidRPr="00FB4EFA">
        <w:rPr>
          <w:rFonts w:cs="Charis SIL"/>
        </w:rPr>
        <w:t>subjekts der 3. Person Singular entspricht Beobachtungen aus anderen nicht-kanonischen Nullsubjektsprachen und stützt diese These.</w:t>
      </w:r>
    </w:p>
    <w:p w14:paraId="4A692802" w14:textId="7904FD8E" w:rsidR="00A2715F" w:rsidRPr="00FB4EFA" w:rsidRDefault="00A2715F" w:rsidP="00AF0CAD">
      <w:pPr>
        <w:ind w:firstLine="709"/>
      </w:pPr>
      <w:r w:rsidRPr="00FB4EFA">
        <w:rPr>
          <w:rFonts w:cs="Charis SIL"/>
        </w:rPr>
        <w:t xml:space="preserve">Wie sind diese vorläufigen Ergebnisse im Hinblick auf die Kontaktsituation mit dem Lettischen und im Hinblick auf andere ostseefinnische Sprachen einzuordnen? Das Livische war in der Zeit, aus der das Material für diesen Beitrag stammt, bereits seit mehreren Jahrhunderten stark von dessen dominanter Kontaktsprache, dem Lettischen, beeinflusst worden und übernahm aus ebendiesem neben einer Vielzahl an Lehnwörtern auch morphosyntaktische Konstruktionen (Grünthal 2015: 97–106). Bezüglich der Nullsubjekte der beiden Sprachen hält es Holvoet (2001: 385–386) für möglich, dass die lettische generische Konstruktion mit einem Nullsubjekt der 3. Person Singular ursprünglich durch Einfluss des Ostseefinnischen entstanden sein konnte, es </w:t>
      </w:r>
      <w:r w:rsidR="00C3135B" w:rsidRPr="00FB4EFA">
        <w:rPr>
          <w:rFonts w:cs="Charis SIL"/>
        </w:rPr>
        <w:t xml:space="preserve">sei </w:t>
      </w:r>
      <w:r w:rsidRPr="00FB4EFA">
        <w:rPr>
          <w:rFonts w:cs="Charis SIL"/>
        </w:rPr>
        <w:t>aber unbestreitbar, dass das Lettische hier wiederum Einfluss auf das Livische ausgeübt habe. Grünthal (2015:</w:t>
      </w:r>
      <w:r w:rsidR="00AA031E" w:rsidRPr="00FB4EFA">
        <w:rPr>
          <w:rFonts w:cs="Charis SIL"/>
        </w:rPr>
        <w:t> </w:t>
      </w:r>
      <w:r w:rsidRPr="00FB4EFA">
        <w:rPr>
          <w:rFonts w:cs="Charis SIL"/>
        </w:rPr>
        <w:t xml:space="preserve">138) meint sogar, dass es kaum eine strukturelle Ebene des Livischen gebe, die frei von lettischem Einfluss sei – wodurch dann auch </w:t>
      </w:r>
      <w:r w:rsidR="004459BC" w:rsidRPr="00FB4EFA">
        <w:rPr>
          <w:rFonts w:cs="Charis SIL"/>
        </w:rPr>
        <w:t xml:space="preserve">ein </w:t>
      </w:r>
      <w:r w:rsidRPr="00FB4EFA">
        <w:rPr>
          <w:rFonts w:cs="Charis SIL"/>
        </w:rPr>
        <w:t xml:space="preserve">Einfluss des Lettischen auf die Nullsubjekte im Livischen höchst wahrscheinlich wäre. Die Kontexte, in denen Nullsubjekte im Lettischen auftreten, decken sich jedenfalls mit denen des Livischen in meinem Material (Ellipse in Koordination, elliptische Antworten mit </w:t>
      </w:r>
      <w:r w:rsidRPr="00FB4EFA">
        <w:rPr>
          <w:rFonts w:cs="Charis SIL"/>
          <w:i/>
          <w:iCs/>
        </w:rPr>
        <w:t>Topic Drop</w:t>
      </w:r>
      <w:r w:rsidRPr="00FB4EFA">
        <w:rPr>
          <w:rFonts w:cs="Charis SIL"/>
        </w:rPr>
        <w:t xml:space="preserve">, generische Sätze bzw. impersonales Passiv, Expletiva, Imperative) (vgl. Dimiņš 2016, Holvoet &amp; Daugavet 2022). Die genaue Richtung des Einflusses zwischen Lettisch und Livisch ist jedoch nicht leicht zu </w:t>
      </w:r>
      <w:r w:rsidR="004459BC" w:rsidRPr="00FB4EFA">
        <w:rPr>
          <w:rFonts w:cs="Charis SIL"/>
        </w:rPr>
        <w:br/>
      </w:r>
      <w:r w:rsidRPr="00FB4EFA">
        <w:rPr>
          <w:rFonts w:cs="Charis SIL"/>
        </w:rPr>
        <w:t>bestimmen, was andernorts</w:t>
      </w:r>
      <w:r w:rsidR="004459BC" w:rsidRPr="00FB4EFA">
        <w:rPr>
          <w:rFonts w:cs="Charis SIL"/>
        </w:rPr>
        <w:t>,</w:t>
      </w:r>
      <w:r w:rsidRPr="00FB4EFA">
        <w:rPr>
          <w:rFonts w:cs="Charis SIL"/>
        </w:rPr>
        <w:t xml:space="preserve"> </w:t>
      </w:r>
      <w:r w:rsidR="0030017E" w:rsidRPr="00FB4EFA">
        <w:rPr>
          <w:rFonts w:cs="Charis SIL"/>
        </w:rPr>
        <w:t>z. B.</w:t>
      </w:r>
      <w:r w:rsidRPr="00FB4EFA">
        <w:rPr>
          <w:rFonts w:cs="Charis SIL"/>
        </w:rPr>
        <w:t xml:space="preserve"> in Wälchlis (2001) Untersuchung </w:t>
      </w:r>
      <w:r w:rsidR="004459BC" w:rsidRPr="00FB4EFA">
        <w:rPr>
          <w:rFonts w:cs="Charis SIL"/>
        </w:rPr>
        <w:br/>
      </w:r>
      <w:r w:rsidRPr="00FB4EFA">
        <w:rPr>
          <w:rFonts w:cs="Charis SIL"/>
        </w:rPr>
        <w:t>über die Verbalpartikel im Livischen und Lettischen</w:t>
      </w:r>
      <w:r w:rsidR="004459BC" w:rsidRPr="00FB4EFA">
        <w:rPr>
          <w:rFonts w:cs="Charis SIL"/>
        </w:rPr>
        <w:t>,</w:t>
      </w:r>
      <w:r w:rsidRPr="00FB4EFA">
        <w:rPr>
          <w:rFonts w:cs="Charis SIL"/>
        </w:rPr>
        <w:t xml:space="preserve"> gezeigt wird, </w:t>
      </w:r>
      <w:r w:rsidR="004459BC" w:rsidRPr="00FB4EFA">
        <w:rPr>
          <w:rFonts w:cs="Charis SIL"/>
        </w:rPr>
        <w:br/>
      </w:r>
      <w:r w:rsidRPr="00FB4EFA">
        <w:rPr>
          <w:rFonts w:cs="Charis SIL"/>
        </w:rPr>
        <w:t>weshalb ich hier keine weiteren Vermutungen über diesen Sachverhalt aufstellen möchte.</w:t>
      </w:r>
    </w:p>
    <w:p w14:paraId="3F30A1E7" w14:textId="77777777" w:rsidR="00A2715F" w:rsidRPr="00FB4EFA" w:rsidRDefault="00A2715F" w:rsidP="00402EF4">
      <w:pPr>
        <w:ind w:firstLine="709"/>
        <w:rPr>
          <w:rFonts w:cs="Charis SIL"/>
        </w:rPr>
      </w:pPr>
      <w:r w:rsidRPr="00FB4EFA">
        <w:rPr>
          <w:rFonts w:cs="Charis SIL"/>
        </w:rPr>
        <w:t xml:space="preserve">Der Vergleich mit anderen ostseefinnischen Sprachen und die Einordnung des Livischen innerhalb des Sprachzweiges wird von der </w:t>
      </w:r>
      <w:r w:rsidRPr="00FB4EFA">
        <w:rPr>
          <w:rFonts w:cs="Charis SIL"/>
        </w:rPr>
        <w:lastRenderedPageBreak/>
        <w:t>Datenlage erschwert. Die genaue Situation betreffend Nullsubjekte in diesen Sprachen ist bis auf Standardfinnisch nämlich eher unklar.</w:t>
      </w:r>
    </w:p>
    <w:p w14:paraId="47BFF834" w14:textId="5D0DB5B1" w:rsidR="00A2715F" w:rsidRPr="00FB4EFA" w:rsidRDefault="00A2715F" w:rsidP="00402EF4">
      <w:pPr>
        <w:ind w:firstLine="709"/>
      </w:pPr>
      <w:r w:rsidRPr="00FB4EFA">
        <w:rPr>
          <w:rFonts w:cs="Charis SIL"/>
        </w:rPr>
        <w:t>Standardfinnisch ist als partielle Nullsubjektsprache bekannt (z.</w:t>
      </w:r>
      <w:r w:rsidR="0030017E" w:rsidRPr="00FB4EFA">
        <w:rPr>
          <w:rFonts w:cs="Charis SIL"/>
        </w:rPr>
        <w:t> </w:t>
      </w:r>
      <w:r w:rsidRPr="00FB4EFA">
        <w:rPr>
          <w:rFonts w:cs="Charis SIL"/>
        </w:rPr>
        <w:t>B. Holmberg 2010), in der Nullsubjekte der 1. und 2. Person uneingeschränkt möglich sind, aber Nullsubjekte der 3. Person nur unter besonderen Bedingungen. Diese Klassifizierung bezieht sich allerdings explizit auf das Standardfinnische, während in gesprochenen Varietäten Nullsubjekte viel untypischer sind. Zwei quantitative Untersuchungen zu gesprochenem Finnisch gehen von nur knappen 20</w:t>
      </w:r>
      <w:r w:rsidR="00AA031E" w:rsidRPr="00FB4EFA">
        <w:rPr>
          <w:rFonts w:cs="Charis SIL"/>
        </w:rPr>
        <w:t xml:space="preserve"> </w:t>
      </w:r>
      <w:r w:rsidRPr="00FB4EFA">
        <w:rPr>
          <w:rFonts w:cs="Charis SIL"/>
        </w:rPr>
        <w:t>% ausgelassener Pronomina der 1. und 2. Person Singular (Lappalainen 2004: 80–81) bzw. 18</w:t>
      </w:r>
      <w:r w:rsidR="00AA031E" w:rsidRPr="00FB4EFA">
        <w:rPr>
          <w:rFonts w:cs="Charis SIL"/>
        </w:rPr>
        <w:t xml:space="preserve"> </w:t>
      </w:r>
      <w:r w:rsidRPr="00FB4EFA">
        <w:rPr>
          <w:rFonts w:cs="Charis SIL"/>
        </w:rPr>
        <w:t>% in der 1. Person Singular und 27</w:t>
      </w:r>
      <w:r w:rsidR="00AA031E" w:rsidRPr="00FB4EFA">
        <w:rPr>
          <w:rFonts w:cs="Charis SIL"/>
        </w:rPr>
        <w:t xml:space="preserve"> </w:t>
      </w:r>
      <w:r w:rsidRPr="00FB4EFA">
        <w:rPr>
          <w:rFonts w:cs="Charis SIL"/>
        </w:rPr>
        <w:t>% in der 2. Person Singular (Duvallon &amp; Chalvin 2004: 271–272) aus, wobei bei diesen Untersuchungen auch durchlaufende Subjekte in Koordinationsstrukturen gezählt wurden. Es ist daher anzunehmen, dass „echte“, referentielle Nullsubjekte nur einen Bruchteil der gezählten darstellen und die Zahlen im Vergleich zu diesem Beitrag daher als zu hoch anzusehen sind.</w:t>
      </w:r>
    </w:p>
    <w:p w14:paraId="2AA1C233" w14:textId="4B19533A" w:rsidR="00A2715F" w:rsidRPr="00FB4EFA" w:rsidRDefault="00A2715F" w:rsidP="00402EF4">
      <w:pPr>
        <w:ind w:firstLine="709"/>
        <w:rPr>
          <w:rFonts w:cs="Charis SIL"/>
        </w:rPr>
      </w:pPr>
      <w:r w:rsidRPr="00FB4EFA">
        <w:rPr>
          <w:rFonts w:cs="Charis SIL"/>
        </w:rPr>
        <w:t>Auch für das Estnische gibt es einige Untersuchungen, die nach der quantitativen Methode durchgeführt wurden und etwa elliptische Subjekte in koordinierten Sätzen mit einbezogen haben. Die Resultate sind (daher) eher weit gestreut: Laut Lindström et al. (2009) werden je nach estnischem Dialekt zwischen 10,8</w:t>
      </w:r>
      <w:r w:rsidR="00AA031E" w:rsidRPr="00FB4EFA">
        <w:rPr>
          <w:rFonts w:cs="Charis SIL"/>
        </w:rPr>
        <w:t xml:space="preserve"> </w:t>
      </w:r>
      <w:r w:rsidRPr="00FB4EFA">
        <w:rPr>
          <w:rFonts w:cs="Charis SIL"/>
        </w:rPr>
        <w:t>% und 54,3</w:t>
      </w:r>
      <w:r w:rsidR="00AA031E" w:rsidRPr="00FB4EFA">
        <w:rPr>
          <w:rFonts w:cs="Charis SIL"/>
        </w:rPr>
        <w:t xml:space="preserve"> </w:t>
      </w:r>
      <w:r w:rsidRPr="00FB4EFA">
        <w:rPr>
          <w:rFonts w:cs="Charis SIL"/>
        </w:rPr>
        <w:t>% aller Subjektpronomina ausgelassen. Im gesprochenen Estnischen werden laut Duvallon &amp; Chalvin (2004) in der 1. Person Singular nur 18</w:t>
      </w:r>
      <w:r w:rsidR="00AA031E" w:rsidRPr="00FB4EFA">
        <w:rPr>
          <w:rFonts w:cs="Charis SIL"/>
        </w:rPr>
        <w:t xml:space="preserve"> </w:t>
      </w:r>
      <w:r w:rsidRPr="00FB4EFA">
        <w:rPr>
          <w:rFonts w:cs="Charis SIL"/>
        </w:rPr>
        <w:t>% aller Subjektpronomina ausgelassen, in der 2. Person Singular 49</w:t>
      </w:r>
      <w:r w:rsidR="00AA031E" w:rsidRPr="00FB4EFA">
        <w:rPr>
          <w:rFonts w:cs="Charis SIL"/>
        </w:rPr>
        <w:t xml:space="preserve"> </w:t>
      </w:r>
      <w:r w:rsidRPr="00FB4EFA">
        <w:rPr>
          <w:rFonts w:cs="Charis SIL"/>
        </w:rPr>
        <w:t xml:space="preserve">%, wobei hier auch </w:t>
      </w:r>
      <w:r w:rsidR="00814A40" w:rsidRPr="00FB4EFA">
        <w:rPr>
          <w:rFonts w:cs="Charis SIL"/>
        </w:rPr>
        <w:br/>
      </w:r>
      <w:r w:rsidRPr="00FB4EFA">
        <w:rPr>
          <w:rFonts w:cs="Charis SIL"/>
        </w:rPr>
        <w:t xml:space="preserve">Fragmentantworten mit eingerechnet sind. Generell werden Pronomina im Estnischen aber </w:t>
      </w:r>
      <w:r w:rsidR="004459BC" w:rsidRPr="00FB4EFA">
        <w:rPr>
          <w:rFonts w:cs="Charis SIL"/>
        </w:rPr>
        <w:t>selten</w:t>
      </w:r>
      <w:r w:rsidRPr="00FB4EFA">
        <w:rPr>
          <w:rFonts w:cs="Charis SIL"/>
        </w:rPr>
        <w:t xml:space="preserve"> ausgelassen, obwohl die Personenmarkierung a</w:t>
      </w:r>
      <w:r w:rsidR="004459BC" w:rsidRPr="00FB4EFA">
        <w:rPr>
          <w:rFonts w:cs="Charis SIL"/>
        </w:rPr>
        <w:t>n</w:t>
      </w:r>
      <w:r w:rsidRPr="00FB4EFA">
        <w:rPr>
          <w:rFonts w:cs="Charis SIL"/>
        </w:rPr>
        <w:t xml:space="preserve"> nicht-negierten Verben eindeutig ist (Lindström et al. 2009). Gleichzeitig gibt es durchaus Belege für einzelne Nullsubjekte bei negierten Verbformen, in denen völliger Synkretismus der Verbalendungen herrscht (Lindström 2010: 95–98).</w:t>
      </w:r>
    </w:p>
    <w:p w14:paraId="0FDC701D" w14:textId="6F2B298A" w:rsidR="00810763" w:rsidRPr="00FB4EFA" w:rsidRDefault="00A2715F" w:rsidP="007C4BE6">
      <w:pPr>
        <w:ind w:firstLine="709"/>
        <w:rPr>
          <w:rFonts w:ascii="Gill Sans MT" w:eastAsia="Gill Sans MT" w:hAnsi="Gill Sans MT" w:cs="Gill Sans MT"/>
          <w:sz w:val="28"/>
          <w:lang w:eastAsia="en-GB"/>
        </w:rPr>
      </w:pPr>
      <w:r w:rsidRPr="00FB4EFA">
        <w:rPr>
          <w:rFonts w:cs="Charis SIL"/>
        </w:rPr>
        <w:t>Aufgrund der relativ niedrigen Rate an ausgelassenen Pronomina in den finnischen und estnischen Varietäten abseits der Standards ist also zu erwarten, dass das Livische nicht die einzige ostseefinnische Sprache ist, in der Nullsubjekte eine marginalere Erscheinung darstellen.</w:t>
      </w:r>
    </w:p>
    <w:p w14:paraId="6012A2DC" w14:textId="77777777" w:rsidR="00AC1192" w:rsidRPr="00FB4EFA" w:rsidRDefault="00AC1192">
      <w:pPr>
        <w:spacing w:after="160" w:line="259" w:lineRule="auto"/>
        <w:jc w:val="left"/>
        <w:rPr>
          <w:rFonts w:ascii="Gill Sans MT" w:eastAsia="Gill Sans MT" w:hAnsi="Gill Sans MT" w:cs="Gill Sans MT"/>
          <w:sz w:val="28"/>
          <w:lang w:eastAsia="en-GB"/>
        </w:rPr>
      </w:pPr>
      <w:r w:rsidRPr="00FB4EFA">
        <w:br w:type="page"/>
      </w:r>
    </w:p>
    <w:p w14:paraId="1FC0FCB8" w14:textId="2BE73616" w:rsidR="00A2715F" w:rsidRPr="00FB4EFA" w:rsidRDefault="00A2715F" w:rsidP="00545033">
      <w:pPr>
        <w:pStyle w:val="Heading2"/>
        <w:suppressAutoHyphens/>
        <w:spacing w:line="259" w:lineRule="auto"/>
        <w:rPr>
          <w:color w:val="auto"/>
          <w:lang w:val="de-AT"/>
        </w:rPr>
      </w:pPr>
      <w:r w:rsidRPr="00FB4EFA">
        <w:rPr>
          <w:color w:val="auto"/>
          <w:lang w:val="de-AT"/>
        </w:rPr>
        <w:lastRenderedPageBreak/>
        <w:t>Abkürzungsverzeichnis</w:t>
      </w:r>
    </w:p>
    <w:p w14:paraId="7AEBC9FE" w14:textId="77777777" w:rsidR="00810763" w:rsidRPr="00FB4EFA" w:rsidRDefault="00810763" w:rsidP="00402EF4">
      <w:pPr>
        <w:tabs>
          <w:tab w:val="left" w:pos="851"/>
        </w:tabs>
        <w:sectPr w:rsidR="00810763" w:rsidRPr="00FB4EFA" w:rsidSect="00810763">
          <w:headerReference w:type="default" r:id="rId277"/>
          <w:footnotePr>
            <w:numRestart w:val="eachSect"/>
          </w:footnotePr>
          <w:pgSz w:w="9180" w:h="13302"/>
          <w:pgMar w:top="779" w:right="1133" w:bottom="1132" w:left="1133" w:header="744" w:footer="720" w:gutter="0"/>
          <w:cols w:space="720"/>
          <w:titlePg/>
        </w:sectPr>
      </w:pPr>
    </w:p>
    <w:p w14:paraId="620C0A4D" w14:textId="112C5E6C" w:rsidR="00A2715F" w:rsidRPr="00FB4EFA" w:rsidRDefault="00AD41EA" w:rsidP="00F410E4">
      <w:pPr>
        <w:tabs>
          <w:tab w:val="left" w:pos="851"/>
        </w:tabs>
        <w:spacing w:line="240" w:lineRule="auto"/>
      </w:pPr>
      <w:r w:rsidRPr="00FB4EFA">
        <w:rPr>
          <w:smallCaps/>
        </w:rPr>
        <w:t>adv</w:t>
      </w:r>
      <w:r w:rsidR="00A2715F" w:rsidRPr="00FB4EFA">
        <w:tab/>
        <w:t>Adverb</w:t>
      </w:r>
    </w:p>
    <w:p w14:paraId="02F4164D" w14:textId="1ED54FA0" w:rsidR="00A2715F" w:rsidRPr="00FB4EFA" w:rsidRDefault="00AD41EA" w:rsidP="00F410E4">
      <w:pPr>
        <w:tabs>
          <w:tab w:val="left" w:pos="851"/>
        </w:tabs>
        <w:spacing w:line="240" w:lineRule="auto"/>
      </w:pPr>
      <w:r w:rsidRPr="00FB4EFA">
        <w:rPr>
          <w:smallCaps/>
        </w:rPr>
        <w:t>ate</w:t>
      </w:r>
      <w:r w:rsidR="00A2715F" w:rsidRPr="00FB4EFA">
        <w:tab/>
        <w:t>Atemporale Form</w:t>
      </w:r>
    </w:p>
    <w:p w14:paraId="690831C8" w14:textId="0E2EA060" w:rsidR="00A2715F" w:rsidRPr="00FB4EFA" w:rsidRDefault="00AD41EA" w:rsidP="00F410E4">
      <w:pPr>
        <w:tabs>
          <w:tab w:val="left" w:pos="851"/>
        </w:tabs>
        <w:spacing w:line="240" w:lineRule="auto"/>
      </w:pPr>
      <w:r w:rsidRPr="00FB4EFA">
        <w:rPr>
          <w:smallCaps/>
        </w:rPr>
        <w:t>cmpr</w:t>
      </w:r>
      <w:r w:rsidR="00A2715F" w:rsidRPr="00FB4EFA">
        <w:tab/>
        <w:t>Komparativ</w:t>
      </w:r>
    </w:p>
    <w:p w14:paraId="7A6AAD22" w14:textId="684168BE" w:rsidR="00A2715F" w:rsidRPr="00FB4EFA" w:rsidRDefault="00AD41EA" w:rsidP="00F410E4">
      <w:pPr>
        <w:tabs>
          <w:tab w:val="left" w:pos="851"/>
        </w:tabs>
        <w:spacing w:line="240" w:lineRule="auto"/>
      </w:pPr>
      <w:r w:rsidRPr="00FB4EFA">
        <w:rPr>
          <w:smallCaps/>
        </w:rPr>
        <w:t>cng</w:t>
      </w:r>
      <w:r w:rsidR="00A2715F" w:rsidRPr="00FB4EFA">
        <w:tab/>
        <w:t>Konnegation</w:t>
      </w:r>
    </w:p>
    <w:p w14:paraId="6980DC46" w14:textId="5E226109" w:rsidR="00A2715F" w:rsidRPr="00FB4EFA" w:rsidRDefault="00AD41EA" w:rsidP="00F410E4">
      <w:pPr>
        <w:tabs>
          <w:tab w:val="left" w:pos="851"/>
        </w:tabs>
        <w:spacing w:line="240" w:lineRule="auto"/>
      </w:pPr>
      <w:r w:rsidRPr="00FB4EFA">
        <w:rPr>
          <w:smallCaps/>
        </w:rPr>
        <w:t>dat</w:t>
      </w:r>
      <w:r w:rsidR="00A2715F" w:rsidRPr="00FB4EFA">
        <w:tab/>
        <w:t>Dativ</w:t>
      </w:r>
    </w:p>
    <w:p w14:paraId="0F8F4B11" w14:textId="34C2AFB5" w:rsidR="00A2715F" w:rsidRPr="00FB4EFA" w:rsidRDefault="00AD41EA" w:rsidP="00F410E4">
      <w:pPr>
        <w:tabs>
          <w:tab w:val="left" w:pos="851"/>
        </w:tabs>
        <w:spacing w:line="240" w:lineRule="auto"/>
      </w:pPr>
      <w:r w:rsidRPr="00FB4EFA">
        <w:rPr>
          <w:smallCaps/>
        </w:rPr>
        <w:t>ela</w:t>
      </w:r>
      <w:r w:rsidR="00A2715F" w:rsidRPr="00FB4EFA">
        <w:tab/>
        <w:t>Elativ</w:t>
      </w:r>
    </w:p>
    <w:p w14:paraId="073F724B" w14:textId="1E1852A3" w:rsidR="00A2715F" w:rsidRPr="00FB4EFA" w:rsidRDefault="00AD41EA" w:rsidP="00F410E4">
      <w:pPr>
        <w:tabs>
          <w:tab w:val="left" w:pos="851"/>
        </w:tabs>
        <w:spacing w:line="240" w:lineRule="auto"/>
      </w:pPr>
      <w:r w:rsidRPr="00FB4EFA">
        <w:rPr>
          <w:smallCaps/>
        </w:rPr>
        <w:t>ill</w:t>
      </w:r>
      <w:r w:rsidR="00A2715F" w:rsidRPr="00FB4EFA">
        <w:tab/>
        <w:t>Illativ</w:t>
      </w:r>
    </w:p>
    <w:p w14:paraId="281053AE" w14:textId="4205ABEF" w:rsidR="00A2715F" w:rsidRPr="00FB4EFA" w:rsidRDefault="00AD41EA" w:rsidP="00F410E4">
      <w:pPr>
        <w:tabs>
          <w:tab w:val="left" w:pos="851"/>
        </w:tabs>
        <w:spacing w:line="240" w:lineRule="auto"/>
      </w:pPr>
      <w:r w:rsidRPr="00FB4EFA">
        <w:rPr>
          <w:smallCaps/>
        </w:rPr>
        <w:t>imp</w:t>
      </w:r>
      <w:r w:rsidR="00A2715F" w:rsidRPr="00FB4EFA">
        <w:tab/>
        <w:t>Imperativ</w:t>
      </w:r>
    </w:p>
    <w:p w14:paraId="1567090A" w14:textId="4E4CA13E" w:rsidR="00A2715F" w:rsidRPr="00FB4EFA" w:rsidRDefault="00AD41EA" w:rsidP="00F410E4">
      <w:pPr>
        <w:tabs>
          <w:tab w:val="left" w:pos="851"/>
        </w:tabs>
        <w:spacing w:line="240" w:lineRule="auto"/>
      </w:pPr>
      <w:r w:rsidRPr="00FB4EFA">
        <w:rPr>
          <w:smallCaps/>
        </w:rPr>
        <w:t>ine</w:t>
      </w:r>
      <w:r w:rsidR="00A2715F" w:rsidRPr="00FB4EFA">
        <w:tab/>
        <w:t>Inessiv</w:t>
      </w:r>
    </w:p>
    <w:p w14:paraId="2CD27B68" w14:textId="35224E76" w:rsidR="00A2715F" w:rsidRPr="00FB4EFA" w:rsidRDefault="00AD41EA" w:rsidP="00F410E4">
      <w:pPr>
        <w:tabs>
          <w:tab w:val="left" w:pos="851"/>
        </w:tabs>
        <w:spacing w:line="240" w:lineRule="auto"/>
      </w:pPr>
      <w:r w:rsidRPr="00FB4EFA">
        <w:rPr>
          <w:smallCaps/>
        </w:rPr>
        <w:t>inf</w:t>
      </w:r>
      <w:r w:rsidR="00A2715F" w:rsidRPr="00FB4EFA">
        <w:tab/>
        <w:t>Infinitiv</w:t>
      </w:r>
    </w:p>
    <w:p w14:paraId="21D51628" w14:textId="3A25A0BD" w:rsidR="00A2715F" w:rsidRPr="00FB4EFA" w:rsidRDefault="00AD41EA" w:rsidP="00F410E4">
      <w:pPr>
        <w:tabs>
          <w:tab w:val="left" w:pos="851"/>
        </w:tabs>
        <w:spacing w:line="240" w:lineRule="auto"/>
      </w:pPr>
      <w:r w:rsidRPr="00FB4EFA">
        <w:rPr>
          <w:smallCaps/>
        </w:rPr>
        <w:t>inst</w:t>
      </w:r>
      <w:r w:rsidR="00A2715F" w:rsidRPr="00FB4EFA">
        <w:tab/>
        <w:t>Instrumental</w:t>
      </w:r>
    </w:p>
    <w:p w14:paraId="06BFBA0D" w14:textId="62AF7CEC" w:rsidR="00A2715F" w:rsidRPr="00FB4EFA" w:rsidRDefault="00AD41EA" w:rsidP="00F410E4">
      <w:pPr>
        <w:tabs>
          <w:tab w:val="left" w:pos="851"/>
        </w:tabs>
        <w:spacing w:line="240" w:lineRule="auto"/>
      </w:pPr>
      <w:r w:rsidRPr="00FB4EFA">
        <w:rPr>
          <w:smallCaps/>
        </w:rPr>
        <w:t>neg</w:t>
      </w:r>
      <w:r w:rsidR="00A2715F" w:rsidRPr="00FB4EFA">
        <w:tab/>
        <w:t>Negation</w:t>
      </w:r>
    </w:p>
    <w:p w14:paraId="04513D13" w14:textId="32D1A851" w:rsidR="00A2715F" w:rsidRPr="00FB4EFA" w:rsidRDefault="00AD41EA" w:rsidP="00F410E4">
      <w:pPr>
        <w:tabs>
          <w:tab w:val="left" w:pos="851"/>
        </w:tabs>
        <w:spacing w:line="240" w:lineRule="auto"/>
      </w:pPr>
      <w:r w:rsidRPr="00FB4EFA">
        <w:rPr>
          <w:smallCaps/>
        </w:rPr>
        <w:t>pl</w:t>
      </w:r>
      <w:r w:rsidR="00A2715F" w:rsidRPr="00FB4EFA">
        <w:tab/>
        <w:t>Plural</w:t>
      </w:r>
    </w:p>
    <w:p w14:paraId="3BA0A5CB" w14:textId="2DBD3D24" w:rsidR="00A2715F" w:rsidRPr="00FB4EFA" w:rsidRDefault="00AD41EA" w:rsidP="00F410E4">
      <w:pPr>
        <w:tabs>
          <w:tab w:val="left" w:pos="851"/>
        </w:tabs>
        <w:spacing w:line="240" w:lineRule="auto"/>
      </w:pPr>
      <w:r w:rsidRPr="00FB4EFA">
        <w:rPr>
          <w:smallCaps/>
        </w:rPr>
        <w:t>ppa</w:t>
      </w:r>
      <w:r w:rsidR="00A2715F" w:rsidRPr="00FB4EFA">
        <w:tab/>
        <w:t>Partizip Perfekt Aktiv</w:t>
      </w:r>
    </w:p>
    <w:p w14:paraId="1D0536D0" w14:textId="45CCA4B3" w:rsidR="00A2715F" w:rsidRPr="00FB4EFA" w:rsidRDefault="00AD41EA" w:rsidP="00F410E4">
      <w:pPr>
        <w:tabs>
          <w:tab w:val="left" w:pos="851"/>
        </w:tabs>
        <w:spacing w:line="240" w:lineRule="auto"/>
      </w:pPr>
      <w:r w:rsidRPr="00FB4EFA">
        <w:rPr>
          <w:smallCaps/>
        </w:rPr>
        <w:t>ppp</w:t>
      </w:r>
      <w:r w:rsidR="00A2715F" w:rsidRPr="00FB4EFA">
        <w:tab/>
        <w:t>Partizip Perfekt Passiv</w:t>
      </w:r>
    </w:p>
    <w:p w14:paraId="6C1489C6" w14:textId="18A4500F" w:rsidR="00A2715F" w:rsidRPr="00FB4EFA" w:rsidRDefault="00AD41EA" w:rsidP="00F410E4">
      <w:pPr>
        <w:tabs>
          <w:tab w:val="left" w:pos="851"/>
        </w:tabs>
        <w:spacing w:line="240" w:lineRule="auto"/>
      </w:pPr>
      <w:r w:rsidRPr="00FB4EFA">
        <w:rPr>
          <w:smallCaps/>
        </w:rPr>
        <w:t>prt</w:t>
      </w:r>
      <w:r w:rsidR="00A2715F" w:rsidRPr="00FB4EFA">
        <w:tab/>
        <w:t>Partitiv</w:t>
      </w:r>
    </w:p>
    <w:p w14:paraId="6AF66451" w14:textId="01B69797" w:rsidR="00A2715F" w:rsidRPr="00FB4EFA" w:rsidRDefault="00AD41EA" w:rsidP="00F410E4">
      <w:pPr>
        <w:tabs>
          <w:tab w:val="left" w:pos="851"/>
        </w:tabs>
        <w:spacing w:line="240" w:lineRule="auto"/>
      </w:pPr>
      <w:r w:rsidRPr="00FB4EFA">
        <w:rPr>
          <w:smallCaps/>
        </w:rPr>
        <w:t>pst</w:t>
      </w:r>
      <w:r w:rsidR="00A2715F" w:rsidRPr="00FB4EFA">
        <w:tab/>
        <w:t>Vergangenheit</w:t>
      </w:r>
    </w:p>
    <w:p w14:paraId="09736D24" w14:textId="03AEE806" w:rsidR="00A2715F" w:rsidRPr="00FB4EFA" w:rsidRDefault="00AD41EA" w:rsidP="00F410E4">
      <w:pPr>
        <w:tabs>
          <w:tab w:val="left" w:pos="851"/>
        </w:tabs>
        <w:spacing w:after="240" w:line="240" w:lineRule="auto"/>
      </w:pPr>
      <w:r w:rsidRPr="00FB4EFA">
        <w:rPr>
          <w:smallCaps/>
        </w:rPr>
        <w:t>quot</w:t>
      </w:r>
      <w:r w:rsidR="00A2715F" w:rsidRPr="00FB4EFA">
        <w:tab/>
        <w:t>Quotativ</w:t>
      </w:r>
    </w:p>
    <w:p w14:paraId="42B103F1" w14:textId="77777777" w:rsidR="00810763" w:rsidRPr="00FB4EFA" w:rsidRDefault="00810763" w:rsidP="00545033">
      <w:pPr>
        <w:pStyle w:val="Heading2"/>
        <w:suppressAutoHyphens/>
        <w:spacing w:line="259" w:lineRule="auto"/>
        <w:rPr>
          <w:color w:val="auto"/>
          <w:lang w:val="de-AT"/>
        </w:rPr>
        <w:sectPr w:rsidR="00810763" w:rsidRPr="00FB4EFA" w:rsidSect="00810763">
          <w:footnotePr>
            <w:numRestart w:val="eachSect"/>
          </w:footnotePr>
          <w:type w:val="continuous"/>
          <w:pgSz w:w="9180" w:h="13302"/>
          <w:pgMar w:top="779" w:right="1133" w:bottom="1132" w:left="1133" w:header="744" w:footer="720" w:gutter="0"/>
          <w:cols w:num="2" w:space="720"/>
          <w:titlePg/>
        </w:sectPr>
      </w:pPr>
    </w:p>
    <w:p w14:paraId="186F4E77" w14:textId="77777777" w:rsidR="00A2715F" w:rsidRPr="00FB4EFA" w:rsidRDefault="00A2715F" w:rsidP="00545033">
      <w:pPr>
        <w:pStyle w:val="Heading2"/>
        <w:suppressAutoHyphens/>
        <w:spacing w:line="259" w:lineRule="auto"/>
        <w:rPr>
          <w:color w:val="auto"/>
          <w:lang w:val="de-AT"/>
        </w:rPr>
      </w:pPr>
      <w:r w:rsidRPr="00FB4EFA">
        <w:rPr>
          <w:color w:val="auto"/>
          <w:lang w:val="de-AT"/>
        </w:rPr>
        <w:t>Literaturverzeichnis</w:t>
      </w:r>
    </w:p>
    <w:p w14:paraId="0121E741" w14:textId="2309DF07" w:rsidR="00A2715F" w:rsidRPr="00FB4EFA" w:rsidRDefault="00A2715F" w:rsidP="004459BC">
      <w:pPr>
        <w:keepNext/>
        <w:suppressAutoHyphens/>
        <w:spacing w:line="240" w:lineRule="auto"/>
        <w:ind w:left="426" w:hanging="426"/>
        <w:rPr>
          <w:rFonts w:cs="Charis SIL"/>
        </w:rPr>
      </w:pPr>
      <w:r w:rsidRPr="00FB4EFA">
        <w:rPr>
          <w:rFonts w:cs="Charis SIL"/>
        </w:rPr>
        <w:t xml:space="preserve">Cole, Melvyn Douglas. 2009. Null subjects: a reanalysis of the data. </w:t>
      </w:r>
      <w:r w:rsidRPr="00FB4EFA">
        <w:rPr>
          <w:rFonts w:cs="Charis SIL"/>
          <w:i/>
          <w:iCs/>
        </w:rPr>
        <w:t>Linguistics</w:t>
      </w:r>
      <w:r w:rsidRPr="00FB4EFA">
        <w:rPr>
          <w:rFonts w:cs="Charis SIL"/>
        </w:rPr>
        <w:t xml:space="preserve"> 47</w:t>
      </w:r>
      <w:r w:rsidR="00905F35" w:rsidRPr="00FB4EFA">
        <w:rPr>
          <w:rFonts w:cs="Charis SIL"/>
        </w:rPr>
        <w:t xml:space="preserve"> (</w:t>
      </w:r>
      <w:r w:rsidRPr="00FB4EFA">
        <w:rPr>
          <w:rFonts w:cs="Charis SIL"/>
        </w:rPr>
        <w:t>3</w:t>
      </w:r>
      <w:r w:rsidR="00905F35" w:rsidRPr="00FB4EFA">
        <w:rPr>
          <w:rFonts w:cs="Charis SIL"/>
        </w:rPr>
        <w:t>)</w:t>
      </w:r>
      <w:r w:rsidR="00D138C6" w:rsidRPr="00FB4EFA">
        <w:rPr>
          <w:rFonts w:cs="Charis SIL"/>
        </w:rPr>
        <w:t>.</w:t>
      </w:r>
      <w:r w:rsidRPr="00FB4EFA">
        <w:rPr>
          <w:rFonts w:cs="Charis SIL"/>
        </w:rPr>
        <w:t xml:space="preserve"> 559–587.</w:t>
      </w:r>
    </w:p>
    <w:p w14:paraId="0CB148B0" w14:textId="47FF7510" w:rsidR="00A2715F" w:rsidRPr="00FB4EFA" w:rsidRDefault="00A2715F" w:rsidP="004459BC">
      <w:pPr>
        <w:suppressAutoHyphens/>
        <w:spacing w:line="240" w:lineRule="auto"/>
        <w:ind w:left="426" w:hanging="426"/>
        <w:rPr>
          <w:rFonts w:cs="Charis SIL"/>
        </w:rPr>
      </w:pPr>
      <w:r w:rsidRPr="00FB4EFA">
        <w:rPr>
          <w:rFonts w:cs="Charis SIL"/>
        </w:rPr>
        <w:t>D</w:t>
      </w:r>
      <w:r w:rsidR="002B6C5D" w:rsidRPr="00FB4EFA">
        <w:rPr>
          <w:rFonts w:cs="Charis SIL"/>
          <w:lang w:val="hu-HU"/>
        </w:rPr>
        <w:t>’</w:t>
      </w:r>
      <w:r w:rsidRPr="00FB4EFA">
        <w:rPr>
          <w:rFonts w:cs="Charis SIL"/>
        </w:rPr>
        <w:t>Alessandro, Roberta. 2015. Null Subject. In Antonio Fábregas, Jaume Mateu &amp; Michael Putnam (</w:t>
      </w:r>
      <w:r w:rsidR="001E6714" w:rsidRPr="00FB4EFA">
        <w:rPr>
          <w:rFonts w:cs="Charis SIL"/>
        </w:rPr>
        <w:t>Hrsg</w:t>
      </w:r>
      <w:r w:rsidRPr="00FB4EFA">
        <w:rPr>
          <w:rFonts w:cs="Charis SIL"/>
        </w:rPr>
        <w:t xml:space="preserve">.), </w:t>
      </w:r>
      <w:r w:rsidRPr="00FB4EFA">
        <w:rPr>
          <w:rFonts w:cs="Charis SIL"/>
          <w:i/>
          <w:iCs/>
        </w:rPr>
        <w:t>Contemporary Linguistic Parameters</w:t>
      </w:r>
      <w:r w:rsidRPr="00FB4EFA">
        <w:rPr>
          <w:rFonts w:cs="Charis SIL"/>
        </w:rPr>
        <w:t>, 201–226. London: Bloomsbury Press.</w:t>
      </w:r>
    </w:p>
    <w:p w14:paraId="083E3187" w14:textId="77777777" w:rsidR="00A2715F" w:rsidRPr="00FB4EFA" w:rsidRDefault="00A2715F" w:rsidP="004459BC">
      <w:pPr>
        <w:suppressAutoHyphens/>
        <w:spacing w:line="240" w:lineRule="auto"/>
        <w:ind w:left="426" w:hanging="426"/>
        <w:rPr>
          <w:rFonts w:cs="Charis SIL"/>
        </w:rPr>
      </w:pPr>
      <w:r w:rsidRPr="00FB4EFA">
        <w:rPr>
          <w:rFonts w:cs="Charis SIL"/>
        </w:rPr>
        <w:t xml:space="preserve">Damberg, Pētõr. 1935. </w:t>
      </w:r>
      <w:r w:rsidRPr="00FB4EFA">
        <w:rPr>
          <w:rFonts w:cs="Charis SIL"/>
          <w:i/>
          <w:iCs/>
        </w:rPr>
        <w:t>Jemakīel lugdõbrāntõz skūol ja kuod pierast</w:t>
      </w:r>
      <w:r w:rsidRPr="00FB4EFA">
        <w:rPr>
          <w:rFonts w:cs="Charis SIL"/>
        </w:rPr>
        <w:t>. Helsinki: Sūomõ skūollist &amp; Suomalaisuuden Liitto.</w:t>
      </w:r>
    </w:p>
    <w:p w14:paraId="54FEBFC0" w14:textId="0195B7A8" w:rsidR="00A2715F" w:rsidRPr="00FB4EFA" w:rsidRDefault="00A2715F" w:rsidP="004459BC">
      <w:pPr>
        <w:suppressAutoHyphens/>
        <w:spacing w:line="240" w:lineRule="auto"/>
        <w:ind w:left="426" w:hanging="426"/>
        <w:rPr>
          <w:rFonts w:cs="Charis SIL"/>
        </w:rPr>
      </w:pPr>
      <w:r w:rsidRPr="00FB4EFA">
        <w:rPr>
          <w:rFonts w:cs="Charis SIL"/>
        </w:rPr>
        <w:t>Dimiņš, Dens. 2016. On some empty categories in Icelandic and Latvian (</w:t>
      </w:r>
      <w:r w:rsidRPr="00FB4EFA">
        <w:rPr>
          <w:rFonts w:cs="Charis SIL"/>
          <w:i/>
          <w:iCs/>
        </w:rPr>
        <w:t>PRO</w:t>
      </w:r>
      <w:r w:rsidRPr="00FB4EFA">
        <w:rPr>
          <w:rFonts w:cs="Charis SIL"/>
        </w:rPr>
        <w:t xml:space="preserve"> and </w:t>
      </w:r>
      <w:r w:rsidRPr="00FB4EFA">
        <w:rPr>
          <w:rFonts w:cs="Charis SIL"/>
          <w:i/>
          <w:iCs/>
        </w:rPr>
        <w:t>pro</w:t>
      </w:r>
      <w:r w:rsidRPr="00FB4EFA">
        <w:rPr>
          <w:rFonts w:cs="Charis SIL"/>
        </w:rPr>
        <w:t>). In Andra Kalnača, Ilze Lokmane &amp; Daiki Horiguči (</w:t>
      </w:r>
      <w:r w:rsidR="001E6714" w:rsidRPr="00FB4EFA">
        <w:rPr>
          <w:rFonts w:cs="Charis SIL"/>
        </w:rPr>
        <w:t>Hrsg</w:t>
      </w:r>
      <w:r w:rsidRPr="00FB4EFA">
        <w:rPr>
          <w:rFonts w:cs="Charis SIL"/>
        </w:rPr>
        <w:t xml:space="preserve">.), </w:t>
      </w:r>
      <w:r w:rsidRPr="00FB4EFA">
        <w:rPr>
          <w:rFonts w:cs="Charis SIL"/>
          <w:i/>
          <w:iCs/>
        </w:rPr>
        <w:t>Valoda: nozīme un forma 7. Gramatika un saziņa</w:t>
      </w:r>
      <w:r w:rsidRPr="00FB4EFA">
        <w:rPr>
          <w:rFonts w:cs="Charis SIL"/>
        </w:rPr>
        <w:t>, 14–30. Rīga: LU Akadēmiskais apgāds.</w:t>
      </w:r>
    </w:p>
    <w:p w14:paraId="4C0F17AE" w14:textId="12761D69" w:rsidR="00A2715F" w:rsidRPr="00FB4EFA" w:rsidRDefault="00A2715F" w:rsidP="004459BC">
      <w:pPr>
        <w:keepLines/>
        <w:suppressAutoHyphens/>
        <w:spacing w:line="240" w:lineRule="auto"/>
        <w:ind w:left="426" w:hanging="426"/>
        <w:rPr>
          <w:rFonts w:cs="Charis SIL"/>
        </w:rPr>
      </w:pPr>
      <w:r w:rsidRPr="00FB4EFA">
        <w:rPr>
          <w:rFonts w:cs="Charis SIL"/>
        </w:rPr>
        <w:t>Dryer, Matthew. 2013. Expression of Pronominal Subjects. In Matthew S. Dryer &amp; Martin Haspelmath (</w:t>
      </w:r>
      <w:r w:rsidR="001E6714" w:rsidRPr="00FB4EFA">
        <w:rPr>
          <w:rFonts w:cs="Charis SIL"/>
        </w:rPr>
        <w:t>Hrsg</w:t>
      </w:r>
      <w:r w:rsidRPr="00FB4EFA">
        <w:rPr>
          <w:rFonts w:cs="Charis SIL"/>
        </w:rPr>
        <w:t xml:space="preserve">.), </w:t>
      </w:r>
      <w:r w:rsidRPr="00FB4EFA">
        <w:rPr>
          <w:rFonts w:cs="Charis SIL"/>
          <w:i/>
          <w:iCs/>
        </w:rPr>
        <w:t>The World Atlas of Language Structures Online</w:t>
      </w:r>
      <w:r w:rsidRPr="00FB4EFA">
        <w:rPr>
          <w:rFonts w:cs="Charis SIL"/>
        </w:rPr>
        <w:t>. Leipzig: Max Planck Institute for Evolutionary Anthropology.</w:t>
      </w:r>
    </w:p>
    <w:p w14:paraId="7A0C5828" w14:textId="56F8852C" w:rsidR="00A2715F" w:rsidRPr="00FB4EFA" w:rsidRDefault="00A2715F" w:rsidP="004459BC">
      <w:pPr>
        <w:suppressAutoHyphens/>
        <w:spacing w:line="240" w:lineRule="auto"/>
        <w:ind w:left="426" w:hanging="426"/>
        <w:rPr>
          <w:rFonts w:cs="Charis SIL"/>
        </w:rPr>
      </w:pPr>
      <w:r w:rsidRPr="00FB4EFA">
        <w:rPr>
          <w:rFonts w:cs="Charis SIL"/>
        </w:rPr>
        <w:t xml:space="preserve">Duvallon, Outi &amp; Antoine Chalvin. 2004. La réalisation zéro du pronom sujet de première et de deuxième personne du singulier en finnois et en estonien parlés. In </w:t>
      </w:r>
      <w:r w:rsidRPr="00FB4EFA">
        <w:rPr>
          <w:rFonts w:cs="Charis SIL"/>
          <w:i/>
          <w:iCs/>
        </w:rPr>
        <w:t>Linguistica Uralica</w:t>
      </w:r>
      <w:r w:rsidRPr="00FB4EFA">
        <w:rPr>
          <w:rFonts w:cs="Charis SIL"/>
        </w:rPr>
        <w:t xml:space="preserve"> </w:t>
      </w:r>
      <w:r w:rsidR="00806136" w:rsidRPr="00FB4EFA">
        <w:rPr>
          <w:rFonts w:cs="Charis SIL"/>
        </w:rPr>
        <w:t>40 (</w:t>
      </w:r>
      <w:r w:rsidRPr="00FB4EFA">
        <w:rPr>
          <w:rFonts w:cs="Charis SIL"/>
        </w:rPr>
        <w:t>4</w:t>
      </w:r>
      <w:r w:rsidR="00806136" w:rsidRPr="00FB4EFA">
        <w:rPr>
          <w:rFonts w:cs="Charis SIL"/>
        </w:rPr>
        <w:t>).</w:t>
      </w:r>
      <w:r w:rsidRPr="00FB4EFA">
        <w:rPr>
          <w:rFonts w:cs="Charis SIL"/>
        </w:rPr>
        <w:t xml:space="preserve"> 270–286.</w:t>
      </w:r>
    </w:p>
    <w:p w14:paraId="469EF097" w14:textId="57FABCFD" w:rsidR="00A2715F" w:rsidRPr="00FB4EFA" w:rsidRDefault="00A2715F" w:rsidP="004459BC">
      <w:pPr>
        <w:suppressAutoHyphens/>
        <w:spacing w:line="240" w:lineRule="auto"/>
        <w:ind w:left="426" w:hanging="426"/>
        <w:rPr>
          <w:rFonts w:cs="Charis SIL"/>
        </w:rPr>
      </w:pPr>
      <w:r w:rsidRPr="00FB4EFA">
        <w:rPr>
          <w:rFonts w:cs="Charis SIL"/>
        </w:rPr>
        <w:t xml:space="preserve">Frascarelli, Mara. 2018. The interpretation of </w:t>
      </w:r>
      <w:r w:rsidRPr="00FB4EFA">
        <w:rPr>
          <w:rFonts w:cs="Charis SIL"/>
          <w:i/>
          <w:iCs/>
        </w:rPr>
        <w:t>pro</w:t>
      </w:r>
      <w:r w:rsidRPr="00FB4EFA">
        <w:rPr>
          <w:rFonts w:cs="Charis SIL"/>
        </w:rPr>
        <w:t xml:space="preserve"> in consistent and partial null-subject languages: A comparative interface analysis. In Federica Cognola &amp; Jan Casalicchio (</w:t>
      </w:r>
      <w:r w:rsidR="001E6714" w:rsidRPr="00FB4EFA">
        <w:rPr>
          <w:rFonts w:cs="Charis SIL"/>
        </w:rPr>
        <w:t>Hrsg</w:t>
      </w:r>
      <w:r w:rsidRPr="00FB4EFA">
        <w:rPr>
          <w:rFonts w:cs="Charis SIL"/>
        </w:rPr>
        <w:t xml:space="preserve">.), </w:t>
      </w:r>
      <w:r w:rsidRPr="00FB4EFA">
        <w:rPr>
          <w:rFonts w:cs="Charis SIL"/>
          <w:i/>
          <w:iCs/>
        </w:rPr>
        <w:t>Null subjects in generative grammar: a synchronic and diachronic perspective</w:t>
      </w:r>
      <w:r w:rsidRPr="00FB4EFA">
        <w:rPr>
          <w:rFonts w:cs="Charis SIL"/>
        </w:rPr>
        <w:t>, 211–239. Oxford: Oxford University Press.</w:t>
      </w:r>
    </w:p>
    <w:p w14:paraId="5A80A6A6" w14:textId="77777777" w:rsidR="00A2715F" w:rsidRPr="00FB4EFA" w:rsidRDefault="00A2715F" w:rsidP="004459BC">
      <w:pPr>
        <w:suppressAutoHyphens/>
        <w:spacing w:line="240" w:lineRule="auto"/>
        <w:ind w:left="426" w:hanging="426"/>
        <w:rPr>
          <w:rFonts w:cs="Charis SIL"/>
        </w:rPr>
      </w:pPr>
      <w:r w:rsidRPr="00FB4EFA">
        <w:rPr>
          <w:rFonts w:cs="Charis SIL"/>
        </w:rPr>
        <w:t xml:space="preserve">Gilligan, Gary Martin. 1987. </w:t>
      </w:r>
      <w:r w:rsidRPr="00FB4EFA">
        <w:rPr>
          <w:rFonts w:cs="Charis SIL"/>
          <w:i/>
          <w:iCs/>
        </w:rPr>
        <w:t>A cross-linguistic approach to the pro-drop parameter</w:t>
      </w:r>
      <w:r w:rsidRPr="00FB4EFA">
        <w:rPr>
          <w:rFonts w:cs="Charis SIL"/>
        </w:rPr>
        <w:t>. Los Angeles: University of Southern California PhD thesis.</w:t>
      </w:r>
    </w:p>
    <w:p w14:paraId="14860753" w14:textId="0ED2F3A0" w:rsidR="00A2715F" w:rsidRPr="00FB4EFA" w:rsidRDefault="00A2715F" w:rsidP="004459BC">
      <w:pPr>
        <w:suppressAutoHyphens/>
        <w:spacing w:line="240" w:lineRule="auto"/>
        <w:ind w:left="426" w:hanging="426"/>
        <w:rPr>
          <w:rFonts w:cs="Charis SIL"/>
        </w:rPr>
      </w:pPr>
      <w:r w:rsidRPr="00FB4EFA">
        <w:rPr>
          <w:rFonts w:cs="Charis SIL"/>
        </w:rPr>
        <w:t>Grünthal, Riho. 2015. Livonian at the crossroads of language contacts. In Santeri Junttila (</w:t>
      </w:r>
      <w:r w:rsidR="001E6714" w:rsidRPr="00FB4EFA">
        <w:rPr>
          <w:rFonts w:cs="Charis SIL"/>
        </w:rPr>
        <w:t>Hrsg</w:t>
      </w:r>
      <w:r w:rsidRPr="00FB4EFA">
        <w:rPr>
          <w:rFonts w:cs="Charis SIL"/>
        </w:rPr>
        <w:t xml:space="preserve">.), </w:t>
      </w:r>
      <w:r w:rsidRPr="00FB4EFA">
        <w:rPr>
          <w:rFonts w:cs="Charis SIL"/>
          <w:i/>
          <w:iCs/>
        </w:rPr>
        <w:t>Contacts between the Baltic and Finnic languages</w:t>
      </w:r>
      <w:r w:rsidRPr="00FB4EFA">
        <w:rPr>
          <w:rFonts w:cs="Charis SIL"/>
        </w:rPr>
        <w:t>, 97–150. Helsinki.</w:t>
      </w:r>
    </w:p>
    <w:p w14:paraId="74D3A688" w14:textId="60A35FB0" w:rsidR="00A2715F" w:rsidRPr="00FB4EFA" w:rsidRDefault="00A2715F" w:rsidP="004459BC">
      <w:pPr>
        <w:keepLines/>
        <w:suppressAutoHyphens/>
        <w:spacing w:line="240" w:lineRule="auto"/>
        <w:ind w:left="426" w:hanging="426"/>
        <w:rPr>
          <w:rFonts w:cs="Charis SIL"/>
        </w:rPr>
      </w:pPr>
      <w:r w:rsidRPr="00FB4EFA">
        <w:rPr>
          <w:rFonts w:cs="Charis SIL"/>
        </w:rPr>
        <w:lastRenderedPageBreak/>
        <w:t>Holmberg, Anders. 2010. Null subject parameters. In Theresa Biberauer, Anders Holmberg, Ian Roberts &amp; Michelle Sheehan (</w:t>
      </w:r>
      <w:r w:rsidR="001E6714" w:rsidRPr="00FB4EFA">
        <w:rPr>
          <w:rFonts w:cs="Charis SIL"/>
        </w:rPr>
        <w:t>Hrsg</w:t>
      </w:r>
      <w:r w:rsidRPr="00FB4EFA">
        <w:rPr>
          <w:rFonts w:cs="Charis SIL"/>
        </w:rPr>
        <w:t xml:space="preserve">.), </w:t>
      </w:r>
      <w:r w:rsidRPr="00FB4EFA">
        <w:rPr>
          <w:rFonts w:cs="Charis SIL"/>
          <w:i/>
          <w:iCs/>
        </w:rPr>
        <w:t>Parametric variation: null subjects in minimalist theory</w:t>
      </w:r>
      <w:r w:rsidRPr="00FB4EFA">
        <w:rPr>
          <w:rFonts w:cs="Charis SIL"/>
        </w:rPr>
        <w:t>, 88–124. Cambridge: Cambridge University Press.</w:t>
      </w:r>
    </w:p>
    <w:p w14:paraId="76A8B620" w14:textId="74D1D6FE" w:rsidR="00A2715F" w:rsidRPr="00FB4EFA" w:rsidRDefault="00A2715F" w:rsidP="004459BC">
      <w:pPr>
        <w:suppressAutoHyphens/>
        <w:spacing w:line="240" w:lineRule="auto"/>
        <w:ind w:left="426" w:hanging="426"/>
        <w:rPr>
          <w:rFonts w:cs="Charis SIL"/>
        </w:rPr>
      </w:pPr>
      <w:r w:rsidRPr="00FB4EFA">
        <w:rPr>
          <w:rFonts w:cs="Charis SIL"/>
        </w:rPr>
        <w:t>Holvoet, Axel. 2001. Impersonals and passives in Baltic and Finnic. In Maria Koptjevskaja-Tamm &amp; Östen Dahl (</w:t>
      </w:r>
      <w:r w:rsidR="001E6714" w:rsidRPr="00FB4EFA">
        <w:rPr>
          <w:rFonts w:cs="Charis SIL"/>
        </w:rPr>
        <w:t>Hrsg</w:t>
      </w:r>
      <w:r w:rsidRPr="00FB4EFA">
        <w:rPr>
          <w:rFonts w:cs="Charis SIL"/>
        </w:rPr>
        <w:t xml:space="preserve">.), </w:t>
      </w:r>
      <w:r w:rsidRPr="00FB4EFA">
        <w:rPr>
          <w:rFonts w:cs="Charis SIL"/>
          <w:i/>
          <w:iCs/>
        </w:rPr>
        <w:t>The Circum-Baltic Languages. Typology and Contact</w:t>
      </w:r>
      <w:r w:rsidRPr="00FB4EFA">
        <w:rPr>
          <w:rFonts w:cs="Charis SIL"/>
        </w:rPr>
        <w:t>, 363–390. Amsterdam: John Benjamins.</w:t>
      </w:r>
    </w:p>
    <w:p w14:paraId="415FDA3E" w14:textId="54A767EC" w:rsidR="00A2715F" w:rsidRPr="00FB4EFA" w:rsidRDefault="00A2715F" w:rsidP="004459BC">
      <w:pPr>
        <w:keepLines/>
        <w:suppressAutoHyphens/>
        <w:spacing w:line="240" w:lineRule="auto"/>
        <w:ind w:left="426" w:hanging="426"/>
        <w:rPr>
          <w:rFonts w:cs="Charis SIL"/>
        </w:rPr>
      </w:pPr>
      <w:r w:rsidRPr="00FB4EFA">
        <w:rPr>
          <w:rFonts w:cs="Charis SIL"/>
        </w:rPr>
        <w:t>Holvoet, Axel &amp; Anna Daugavet. 2022. Types of null arguments in Baltic. In Gréte Dalmi, Egor Tsedryk &amp; Piotr Cegłowski (</w:t>
      </w:r>
      <w:r w:rsidR="001E6714" w:rsidRPr="00FB4EFA">
        <w:rPr>
          <w:rFonts w:cs="Charis SIL"/>
        </w:rPr>
        <w:t>Hrsg</w:t>
      </w:r>
      <w:r w:rsidRPr="00FB4EFA">
        <w:rPr>
          <w:rFonts w:cs="Charis SIL"/>
        </w:rPr>
        <w:t xml:space="preserve">.), </w:t>
      </w:r>
      <w:r w:rsidRPr="00FB4EFA">
        <w:rPr>
          <w:rFonts w:cs="Charis SIL"/>
          <w:i/>
          <w:iCs/>
        </w:rPr>
        <w:t>Null Subjects in Slavic and Finno-Ugric. Licensing, structure and typology</w:t>
      </w:r>
      <w:r w:rsidRPr="00FB4EFA">
        <w:rPr>
          <w:rFonts w:cs="Charis SIL"/>
        </w:rPr>
        <w:t>, 205–227. Berlin: De Gruyter.</w:t>
      </w:r>
    </w:p>
    <w:p w14:paraId="154456AA" w14:textId="77777777" w:rsidR="00A2715F" w:rsidRPr="00FB4EFA" w:rsidRDefault="00A2715F" w:rsidP="004459BC">
      <w:pPr>
        <w:suppressAutoHyphens/>
        <w:spacing w:line="240" w:lineRule="auto"/>
        <w:ind w:left="426" w:hanging="426"/>
        <w:rPr>
          <w:rFonts w:cs="Charis SIL"/>
        </w:rPr>
      </w:pPr>
      <w:r w:rsidRPr="00FB4EFA">
        <w:rPr>
          <w:rFonts w:cs="Charis SIL"/>
        </w:rPr>
        <w:t xml:space="preserve">Kettunen, Lauri. 1938. </w:t>
      </w:r>
      <w:r w:rsidRPr="00FB4EFA">
        <w:rPr>
          <w:rFonts w:cs="Charis SIL"/>
          <w:i/>
          <w:iCs/>
        </w:rPr>
        <w:t>Livisches Wörterbuch mit grammatischer Einleitung</w:t>
      </w:r>
      <w:r w:rsidRPr="00FB4EFA">
        <w:rPr>
          <w:rFonts w:cs="Charis SIL"/>
        </w:rPr>
        <w:t>. Helsinki: Suomalais-Ugrilainen Seura.</w:t>
      </w:r>
    </w:p>
    <w:p w14:paraId="79BD7EF0" w14:textId="17FBA365" w:rsidR="00A2715F" w:rsidRPr="00FB4EFA" w:rsidRDefault="00A2715F" w:rsidP="004459BC">
      <w:pPr>
        <w:suppressAutoHyphens/>
        <w:spacing w:line="240" w:lineRule="auto"/>
        <w:ind w:left="426" w:hanging="426"/>
        <w:rPr>
          <w:rFonts w:cs="Charis SIL"/>
        </w:rPr>
      </w:pPr>
      <w:r w:rsidRPr="00FB4EFA">
        <w:rPr>
          <w:rFonts w:cs="Charis SIL"/>
        </w:rPr>
        <w:t>Koeneman, Olaf &amp; Hedde Zeijlstra. 2019. Morphology and pro drop. In Rochelle Lieber (</w:t>
      </w:r>
      <w:r w:rsidR="001E6714" w:rsidRPr="00FB4EFA">
        <w:rPr>
          <w:rFonts w:cs="Charis SIL"/>
        </w:rPr>
        <w:t>Hrsg</w:t>
      </w:r>
      <w:r w:rsidRPr="00FB4EFA">
        <w:rPr>
          <w:rFonts w:cs="Charis SIL"/>
        </w:rPr>
        <w:t xml:space="preserve">.), </w:t>
      </w:r>
      <w:r w:rsidRPr="00FB4EFA">
        <w:rPr>
          <w:rFonts w:cs="Charis SIL"/>
          <w:i/>
          <w:iCs/>
        </w:rPr>
        <w:t>Oxford Encyclopedia of Morphology</w:t>
      </w:r>
      <w:r w:rsidRPr="00FB4EFA">
        <w:rPr>
          <w:rFonts w:cs="Charis SIL"/>
        </w:rPr>
        <w:t>. Oxford: Oxford University Press.</w:t>
      </w:r>
    </w:p>
    <w:p w14:paraId="75BBAC74" w14:textId="3726180E" w:rsidR="00A2715F" w:rsidRPr="00FB4EFA" w:rsidRDefault="00A2715F" w:rsidP="004459BC">
      <w:pPr>
        <w:suppressAutoHyphens/>
        <w:spacing w:line="240" w:lineRule="auto"/>
        <w:ind w:left="426" w:hanging="426"/>
        <w:rPr>
          <w:rFonts w:cs="Charis SIL"/>
        </w:rPr>
      </w:pPr>
      <w:r w:rsidRPr="00FB4EFA">
        <w:rPr>
          <w:rFonts w:cs="Charis SIL"/>
        </w:rPr>
        <w:t>Laakso, Johanna. 2001. The Finnic languages. In Maria Koptjevskaja-Tamm &amp; Östen Dahl (</w:t>
      </w:r>
      <w:r w:rsidR="001E6714" w:rsidRPr="00FB4EFA">
        <w:rPr>
          <w:rFonts w:cs="Charis SIL"/>
        </w:rPr>
        <w:t>Hrsg</w:t>
      </w:r>
      <w:r w:rsidRPr="00FB4EFA">
        <w:rPr>
          <w:rFonts w:cs="Charis SIL"/>
        </w:rPr>
        <w:t xml:space="preserve">.), </w:t>
      </w:r>
      <w:r w:rsidRPr="00FB4EFA">
        <w:rPr>
          <w:rFonts w:cs="Charis SIL"/>
          <w:i/>
          <w:iCs/>
        </w:rPr>
        <w:t>The Circum-Baltic Languages. Typology and Contact</w:t>
      </w:r>
      <w:r w:rsidRPr="00FB4EFA">
        <w:rPr>
          <w:rFonts w:cs="Charis SIL"/>
        </w:rPr>
        <w:t>, 179–212. Amsterdam: John Benjamins.</w:t>
      </w:r>
    </w:p>
    <w:p w14:paraId="3BD3D44E" w14:textId="721E3896" w:rsidR="00A2715F" w:rsidRPr="00FB4EFA" w:rsidRDefault="00A2715F" w:rsidP="004459BC">
      <w:pPr>
        <w:suppressAutoHyphens/>
        <w:spacing w:line="240" w:lineRule="auto"/>
        <w:ind w:left="426" w:hanging="426"/>
        <w:rPr>
          <w:rFonts w:cs="Charis SIL"/>
        </w:rPr>
      </w:pPr>
      <w:r w:rsidRPr="00FB4EFA">
        <w:rPr>
          <w:rFonts w:cs="Charis SIL"/>
        </w:rPr>
        <w:t>Laakso, Johanna. 2002. Finno-Ugrians vs. European: problems of European areal typology from a finno-ugrist</w:t>
      </w:r>
      <w:r w:rsidR="002B6C5D" w:rsidRPr="00FB4EFA">
        <w:rPr>
          <w:rFonts w:cs="Charis SIL"/>
          <w:lang w:val="hu-HU"/>
        </w:rPr>
        <w:t>’</w:t>
      </w:r>
      <w:r w:rsidRPr="00FB4EFA">
        <w:rPr>
          <w:rFonts w:cs="Charis SIL"/>
        </w:rPr>
        <w:t>s point of view. In Rogier Blokland &amp; Cornelius Hasselblatt (</w:t>
      </w:r>
      <w:r w:rsidR="001E6714" w:rsidRPr="00FB4EFA">
        <w:rPr>
          <w:rFonts w:cs="Charis SIL"/>
        </w:rPr>
        <w:t>Hrsg</w:t>
      </w:r>
      <w:r w:rsidRPr="00FB4EFA">
        <w:rPr>
          <w:rFonts w:cs="Charis SIL"/>
        </w:rPr>
        <w:t xml:space="preserve">.), </w:t>
      </w:r>
      <w:r w:rsidRPr="00FB4EFA">
        <w:rPr>
          <w:rFonts w:cs="Charis SIL"/>
          <w:i/>
          <w:iCs/>
        </w:rPr>
        <w:t>Finno-Ugrians and Indo-Europeans: Linguistic and Literary Contacts</w:t>
      </w:r>
      <w:r w:rsidRPr="00FB4EFA">
        <w:rPr>
          <w:rFonts w:cs="Charis SIL"/>
        </w:rPr>
        <w:t>, 234–245. Maastricht: Shaker.</w:t>
      </w:r>
    </w:p>
    <w:p w14:paraId="4884790C" w14:textId="77777777" w:rsidR="00A2715F" w:rsidRPr="00FB4EFA" w:rsidRDefault="00A2715F" w:rsidP="004459BC">
      <w:pPr>
        <w:suppressAutoHyphens/>
        <w:spacing w:line="240" w:lineRule="auto"/>
        <w:ind w:left="426" w:hanging="426"/>
        <w:rPr>
          <w:rFonts w:cs="Charis SIL"/>
        </w:rPr>
      </w:pPr>
      <w:r w:rsidRPr="00FB4EFA">
        <w:rPr>
          <w:rFonts w:cs="Charis SIL"/>
        </w:rPr>
        <w:t xml:space="preserve">Lappalainen, Hanna. 2004. </w:t>
      </w:r>
      <w:r w:rsidRPr="00FB4EFA">
        <w:rPr>
          <w:rFonts w:cs="Charis SIL"/>
          <w:i/>
          <w:iCs/>
        </w:rPr>
        <w:t>Variaatio ja sen funktiot. Erään sosiaalisen verkoston jäsenten kielellisen variaation ja vuorovaikutuksen tarkastelua</w:t>
      </w:r>
      <w:r w:rsidRPr="00FB4EFA">
        <w:rPr>
          <w:rFonts w:cs="Charis SIL"/>
        </w:rPr>
        <w:t>, Helsinki: SKS.</w:t>
      </w:r>
    </w:p>
    <w:p w14:paraId="1D248A7E" w14:textId="0CAFBE9F" w:rsidR="00A2715F" w:rsidRPr="00FB4EFA" w:rsidRDefault="00A2715F" w:rsidP="004459BC">
      <w:pPr>
        <w:keepLines/>
        <w:suppressAutoHyphens/>
        <w:spacing w:line="240" w:lineRule="auto"/>
        <w:ind w:left="426" w:hanging="426"/>
        <w:rPr>
          <w:rFonts w:cs="Charis SIL"/>
        </w:rPr>
      </w:pPr>
      <w:r w:rsidRPr="00FB4EFA">
        <w:rPr>
          <w:rFonts w:cs="Charis SIL"/>
        </w:rPr>
        <w:t>Lindström, Liina, Mervi Kalmus, Anneliis Klaus, Liisi Bakhoff &amp; Karl Pajusalu. 2009. Ainsuse 1. isikule viitamine eesti murretes.</w:t>
      </w:r>
      <w:r w:rsidR="000121EA" w:rsidRPr="00FB4EFA">
        <w:rPr>
          <w:rFonts w:cs="Charis SIL"/>
        </w:rPr>
        <w:t xml:space="preserve"> </w:t>
      </w:r>
      <w:r w:rsidRPr="00FB4EFA">
        <w:rPr>
          <w:rFonts w:cs="Charis SIL"/>
          <w:i/>
          <w:iCs/>
        </w:rPr>
        <w:t xml:space="preserve">Emakeele Seltsi aastaraamat </w:t>
      </w:r>
      <w:r w:rsidRPr="00FB4EFA">
        <w:rPr>
          <w:rFonts w:cs="Charis SIL"/>
        </w:rPr>
        <w:t>54</w:t>
      </w:r>
      <w:r w:rsidR="00C95A41" w:rsidRPr="00FB4EFA">
        <w:rPr>
          <w:rFonts w:cs="Charis SIL"/>
        </w:rPr>
        <w:t>.</w:t>
      </w:r>
      <w:r w:rsidRPr="00FB4EFA">
        <w:rPr>
          <w:rFonts w:cs="Charis SIL"/>
        </w:rPr>
        <w:t xml:space="preserve"> 159–185.</w:t>
      </w:r>
    </w:p>
    <w:p w14:paraId="1DE1C20B" w14:textId="2C63798B" w:rsidR="00A2715F" w:rsidRPr="00FB4EFA" w:rsidRDefault="00A2715F" w:rsidP="004459BC">
      <w:pPr>
        <w:suppressAutoHyphens/>
        <w:spacing w:line="240" w:lineRule="auto"/>
        <w:ind w:left="426" w:hanging="426"/>
        <w:rPr>
          <w:rFonts w:cs="Charis SIL"/>
        </w:rPr>
      </w:pPr>
      <w:r w:rsidRPr="00FB4EFA">
        <w:rPr>
          <w:rFonts w:cs="Charis SIL"/>
        </w:rPr>
        <w:t xml:space="preserve">Lindström, Liina. 2010. Kõnelejale ja kuulajale viitamise vältimise strateegiaid eesti keeles. </w:t>
      </w:r>
      <w:r w:rsidRPr="00FB4EFA">
        <w:rPr>
          <w:rFonts w:cs="Charis SIL"/>
          <w:i/>
          <w:iCs/>
        </w:rPr>
        <w:t xml:space="preserve">Emakeele Seltsi aastaraamat </w:t>
      </w:r>
      <w:r w:rsidRPr="00FB4EFA">
        <w:rPr>
          <w:rFonts w:cs="Charis SIL"/>
        </w:rPr>
        <w:t>55</w:t>
      </w:r>
      <w:r w:rsidR="00C95A41" w:rsidRPr="00FB4EFA">
        <w:rPr>
          <w:rFonts w:cs="Charis SIL"/>
        </w:rPr>
        <w:t xml:space="preserve">. </w:t>
      </w:r>
      <w:r w:rsidRPr="00FB4EFA">
        <w:rPr>
          <w:rFonts w:cs="Charis SIL"/>
        </w:rPr>
        <w:t>88–118.</w:t>
      </w:r>
    </w:p>
    <w:p w14:paraId="78DDD14C" w14:textId="24072339" w:rsidR="00A2715F" w:rsidRPr="00FB4EFA" w:rsidRDefault="00A2715F" w:rsidP="004459BC">
      <w:pPr>
        <w:suppressAutoHyphens/>
        <w:spacing w:line="240" w:lineRule="auto"/>
        <w:ind w:left="426" w:hanging="426"/>
        <w:rPr>
          <w:rFonts w:cs="Charis SIL"/>
        </w:rPr>
      </w:pPr>
      <w:r w:rsidRPr="00FB4EFA">
        <w:rPr>
          <w:rFonts w:cs="Charis SIL"/>
        </w:rPr>
        <w:t xml:space="preserve">Lindström, Liina &amp; Virve-Anneli Vihman. 2017. Who needs it? Variation in experiencer marking in </w:t>
      </w:r>
      <w:r w:rsidRPr="00FB4EFA">
        <w:rPr>
          <w:rFonts w:cs="Charis SIL"/>
          <w:lang w:val="en-IE"/>
        </w:rPr>
        <w:t xml:space="preserve">Estonian </w:t>
      </w:r>
      <w:r w:rsidR="00CD5413" w:rsidRPr="00FB4EFA">
        <w:rPr>
          <w:rFonts w:cs="Charis SIL"/>
          <w:lang w:val="en-IE"/>
        </w:rPr>
        <w:t>‘</w:t>
      </w:r>
      <w:r w:rsidRPr="00FB4EFA">
        <w:rPr>
          <w:rFonts w:cs="Charis SIL"/>
          <w:lang w:val="en-IE"/>
        </w:rPr>
        <w:t>need</w:t>
      </w:r>
      <w:r w:rsidR="00CD5413" w:rsidRPr="00FB4EFA">
        <w:rPr>
          <w:rFonts w:cs="Charis SIL"/>
          <w:lang w:val="en-IE"/>
        </w:rPr>
        <w:t>’</w:t>
      </w:r>
      <w:r w:rsidRPr="00FB4EFA">
        <w:rPr>
          <w:rFonts w:cs="Charis SIL"/>
          <w:lang w:val="en-IE"/>
        </w:rPr>
        <w:t>-</w:t>
      </w:r>
      <w:r w:rsidRPr="00FB4EFA">
        <w:rPr>
          <w:rFonts w:cs="Charis SIL"/>
        </w:rPr>
        <w:t xml:space="preserve">constructions. </w:t>
      </w:r>
      <w:r w:rsidRPr="00FB4EFA">
        <w:rPr>
          <w:rFonts w:cs="Charis SIL"/>
          <w:i/>
          <w:iCs/>
        </w:rPr>
        <w:t>Journal of Linguistics</w:t>
      </w:r>
      <w:r w:rsidRPr="00FB4EFA">
        <w:rPr>
          <w:rFonts w:cs="Charis SIL"/>
        </w:rPr>
        <w:t xml:space="preserve"> 53</w:t>
      </w:r>
      <w:r w:rsidR="00806136" w:rsidRPr="00FB4EFA">
        <w:rPr>
          <w:rFonts w:cs="Charis SIL"/>
        </w:rPr>
        <w:t>.</w:t>
      </w:r>
      <w:r w:rsidRPr="00FB4EFA">
        <w:rPr>
          <w:rFonts w:cs="Charis SIL"/>
        </w:rPr>
        <w:t xml:space="preserve"> 789–822.</w:t>
      </w:r>
    </w:p>
    <w:p w14:paraId="70B33E60" w14:textId="33B9AB97" w:rsidR="00A2715F" w:rsidRPr="00FB4EFA" w:rsidRDefault="00A2715F" w:rsidP="004459BC">
      <w:pPr>
        <w:suppressAutoHyphens/>
        <w:spacing w:line="240" w:lineRule="auto"/>
        <w:ind w:left="426" w:hanging="426"/>
        <w:rPr>
          <w:rFonts w:cs="Charis SIL"/>
        </w:rPr>
      </w:pPr>
      <w:r w:rsidRPr="00FB4EFA">
        <w:rPr>
          <w:rFonts w:cs="Charis SIL"/>
        </w:rPr>
        <w:t xml:space="preserve">Norvik, Miina. 2016. Research into Livonian syntax: The results of previous studies and the tasks ahead. </w:t>
      </w:r>
      <w:r w:rsidRPr="00FB4EFA">
        <w:rPr>
          <w:rFonts w:cs="Charis SIL"/>
          <w:i/>
          <w:iCs/>
        </w:rPr>
        <w:t>ESUKA – JEFUL</w:t>
      </w:r>
      <w:r w:rsidRPr="00FB4EFA">
        <w:rPr>
          <w:rFonts w:cs="Charis SIL"/>
        </w:rPr>
        <w:t xml:space="preserve"> 7</w:t>
      </w:r>
      <w:r w:rsidR="00806136" w:rsidRPr="00FB4EFA">
        <w:rPr>
          <w:rFonts w:cs="Charis SIL"/>
        </w:rPr>
        <w:t xml:space="preserve"> (</w:t>
      </w:r>
      <w:r w:rsidRPr="00FB4EFA">
        <w:rPr>
          <w:rFonts w:cs="Charis SIL"/>
        </w:rPr>
        <w:t>1</w:t>
      </w:r>
      <w:r w:rsidR="00806136" w:rsidRPr="00FB4EFA">
        <w:rPr>
          <w:rFonts w:cs="Charis SIL"/>
        </w:rPr>
        <w:t>).</w:t>
      </w:r>
      <w:r w:rsidRPr="00FB4EFA">
        <w:rPr>
          <w:rFonts w:cs="Charis SIL"/>
        </w:rPr>
        <w:t xml:space="preserve"> 177–201.</w:t>
      </w:r>
    </w:p>
    <w:p w14:paraId="276CED20" w14:textId="3EDF986A" w:rsidR="00A2715F" w:rsidRPr="00FB4EFA" w:rsidRDefault="00A2715F" w:rsidP="004459BC">
      <w:pPr>
        <w:keepLines/>
        <w:suppressAutoHyphens/>
        <w:spacing w:line="240" w:lineRule="auto"/>
        <w:ind w:left="425" w:hanging="425"/>
        <w:rPr>
          <w:rFonts w:cs="Charis SIL"/>
        </w:rPr>
      </w:pPr>
      <w:r w:rsidRPr="00FB4EFA">
        <w:rPr>
          <w:rFonts w:cs="Charis SIL"/>
        </w:rPr>
        <w:lastRenderedPageBreak/>
        <w:t>Roberts, Ian &amp; Anders Holmberg. 2010. Introduction: parameters in minimalist theory. In Theresa Biberauer, Anders Holmberg, Ian Roberts &amp; Michelle Sheehan (</w:t>
      </w:r>
      <w:r w:rsidR="001E6714" w:rsidRPr="00FB4EFA">
        <w:rPr>
          <w:rFonts w:cs="Charis SIL"/>
        </w:rPr>
        <w:t>Hrsg</w:t>
      </w:r>
      <w:r w:rsidRPr="00FB4EFA">
        <w:rPr>
          <w:rFonts w:cs="Charis SIL"/>
        </w:rPr>
        <w:t xml:space="preserve">.), </w:t>
      </w:r>
      <w:r w:rsidRPr="00FB4EFA">
        <w:rPr>
          <w:rFonts w:cs="Charis SIL"/>
          <w:i/>
          <w:iCs/>
        </w:rPr>
        <w:t>Parametric Variation: Null Subjects in Minimalist Theory</w:t>
      </w:r>
      <w:r w:rsidRPr="00FB4EFA">
        <w:rPr>
          <w:rFonts w:cs="Charis SIL"/>
        </w:rPr>
        <w:t>, 1–57. Cambridge: Cambridge University Press.</w:t>
      </w:r>
    </w:p>
    <w:p w14:paraId="18D1AF08" w14:textId="5EC33550" w:rsidR="00A2715F" w:rsidRPr="00FB4EFA" w:rsidRDefault="00A2715F" w:rsidP="004459BC">
      <w:pPr>
        <w:suppressAutoHyphens/>
        <w:spacing w:line="240" w:lineRule="auto"/>
        <w:ind w:left="426" w:hanging="426"/>
        <w:rPr>
          <w:rFonts w:cs="Charis SIL"/>
        </w:rPr>
      </w:pPr>
      <w:r w:rsidRPr="00FB4EFA">
        <w:rPr>
          <w:rFonts w:cs="Charis SIL"/>
        </w:rPr>
        <w:t xml:space="preserve">Sigurðsson, Halldór Ármann. 2011. Conditions on Argument Drop. </w:t>
      </w:r>
      <w:r w:rsidRPr="00FB4EFA">
        <w:rPr>
          <w:rFonts w:cs="Charis SIL"/>
          <w:i/>
          <w:iCs/>
        </w:rPr>
        <w:t>Linguistic Inquiry</w:t>
      </w:r>
      <w:r w:rsidRPr="00FB4EFA">
        <w:rPr>
          <w:rFonts w:cs="Charis SIL"/>
        </w:rPr>
        <w:t xml:space="preserve"> 42</w:t>
      </w:r>
      <w:r w:rsidR="00806136" w:rsidRPr="00FB4EFA">
        <w:rPr>
          <w:rFonts w:cs="Charis SIL"/>
        </w:rPr>
        <w:t xml:space="preserve"> (</w:t>
      </w:r>
      <w:r w:rsidRPr="00FB4EFA">
        <w:rPr>
          <w:rFonts w:cs="Charis SIL"/>
        </w:rPr>
        <w:t>2</w:t>
      </w:r>
      <w:r w:rsidR="00806136" w:rsidRPr="00FB4EFA">
        <w:rPr>
          <w:rFonts w:cs="Charis SIL"/>
        </w:rPr>
        <w:t>).</w:t>
      </w:r>
      <w:r w:rsidRPr="00FB4EFA">
        <w:rPr>
          <w:rFonts w:cs="Charis SIL"/>
        </w:rPr>
        <w:t xml:space="preserve"> 267–304.</w:t>
      </w:r>
    </w:p>
    <w:p w14:paraId="3F34878B" w14:textId="77777777" w:rsidR="00A2715F" w:rsidRPr="00FB4EFA" w:rsidRDefault="00A2715F" w:rsidP="004459BC">
      <w:pPr>
        <w:suppressAutoHyphens/>
        <w:spacing w:line="240" w:lineRule="auto"/>
        <w:ind w:left="426" w:hanging="426"/>
        <w:rPr>
          <w:rFonts w:cs="Charis SIL"/>
        </w:rPr>
      </w:pPr>
      <w:r w:rsidRPr="00FB4EFA">
        <w:rPr>
          <w:rFonts w:cs="Charis SIL"/>
        </w:rPr>
        <w:t xml:space="preserve">Sjögren, Andreas Johann &amp; Ferdinand Johann Wiedemann. 1861. </w:t>
      </w:r>
      <w:r w:rsidRPr="00FB4EFA">
        <w:rPr>
          <w:rFonts w:cs="Charis SIL"/>
          <w:i/>
          <w:iCs/>
        </w:rPr>
        <w:t>Joh. Andreas Sjögren’s Livische Grammatik nebst Sprachproben</w:t>
      </w:r>
      <w:r w:rsidRPr="00FB4EFA">
        <w:rPr>
          <w:rFonts w:cs="Charis SIL"/>
        </w:rPr>
        <w:t>. St. Petersburg: Eggers et Comp.</w:t>
      </w:r>
    </w:p>
    <w:p w14:paraId="5D40BDD4" w14:textId="1FA23456" w:rsidR="00A2715F" w:rsidRPr="00FB4EFA" w:rsidRDefault="00A2715F" w:rsidP="004459BC">
      <w:pPr>
        <w:suppressAutoHyphens/>
        <w:spacing w:line="240" w:lineRule="auto"/>
        <w:ind w:left="426" w:hanging="426"/>
        <w:rPr>
          <w:rFonts w:cs="Charis SIL"/>
        </w:rPr>
      </w:pPr>
      <w:r w:rsidRPr="00FB4EFA">
        <w:rPr>
          <w:rFonts w:cs="Charis SIL"/>
        </w:rPr>
        <w:t xml:space="preserve">Viitso, Tiit-Rein. 1998. Fennic. In </w:t>
      </w:r>
      <w:r w:rsidR="00466236" w:rsidRPr="00FB4EFA">
        <w:rPr>
          <w:rFonts w:cs="Charis SIL"/>
        </w:rPr>
        <w:t>Daniel</w:t>
      </w:r>
      <w:r w:rsidRPr="00FB4EFA">
        <w:rPr>
          <w:rFonts w:cs="Charis SIL"/>
        </w:rPr>
        <w:t xml:space="preserve"> Abondolo (</w:t>
      </w:r>
      <w:r w:rsidR="001E6714" w:rsidRPr="00FB4EFA">
        <w:rPr>
          <w:rFonts w:cs="Charis SIL"/>
        </w:rPr>
        <w:t>Hrsg</w:t>
      </w:r>
      <w:r w:rsidRPr="00FB4EFA">
        <w:rPr>
          <w:rFonts w:cs="Charis SIL"/>
        </w:rPr>
        <w:t xml:space="preserve">.), </w:t>
      </w:r>
      <w:r w:rsidRPr="00FB4EFA">
        <w:rPr>
          <w:rFonts w:cs="Charis SIL"/>
          <w:i/>
          <w:iCs/>
        </w:rPr>
        <w:t>The Uralic languages</w:t>
      </w:r>
      <w:r w:rsidRPr="00FB4EFA">
        <w:rPr>
          <w:rFonts w:cs="Charis SIL"/>
        </w:rPr>
        <w:t>, 96–114. London: Routledge.</w:t>
      </w:r>
    </w:p>
    <w:p w14:paraId="17BF6228" w14:textId="77777777" w:rsidR="00A2715F" w:rsidRPr="00FB4EFA" w:rsidRDefault="00A2715F" w:rsidP="004459BC">
      <w:pPr>
        <w:suppressAutoHyphens/>
        <w:spacing w:line="240" w:lineRule="auto"/>
        <w:ind w:left="426" w:hanging="426"/>
        <w:rPr>
          <w:rFonts w:cs="Charis SIL"/>
        </w:rPr>
      </w:pPr>
      <w:r w:rsidRPr="00FB4EFA">
        <w:rPr>
          <w:rFonts w:cs="Charis SIL"/>
        </w:rPr>
        <w:t xml:space="preserve">Viitso, Tiit-Rein. 2008. </w:t>
      </w:r>
      <w:r w:rsidRPr="00FB4EFA">
        <w:rPr>
          <w:rFonts w:cs="Charis SIL"/>
          <w:i/>
          <w:iCs/>
        </w:rPr>
        <w:t>Liivi keel ja läänemeresoome keelemaastikud</w:t>
      </w:r>
      <w:r w:rsidRPr="00FB4EFA">
        <w:rPr>
          <w:rFonts w:cs="Charis SIL"/>
        </w:rPr>
        <w:t>. Tartu &amp; Tallinn: Eesti Keele Sihtasutus.</w:t>
      </w:r>
    </w:p>
    <w:p w14:paraId="242560D7" w14:textId="0EEC6667" w:rsidR="00A2715F" w:rsidRPr="00FB4EFA" w:rsidRDefault="00A2715F" w:rsidP="004459BC">
      <w:pPr>
        <w:suppressAutoHyphens/>
        <w:spacing w:line="240" w:lineRule="auto"/>
        <w:ind w:left="426" w:hanging="426"/>
        <w:rPr>
          <w:rFonts w:cs="Charis SIL"/>
        </w:rPr>
      </w:pPr>
      <w:r w:rsidRPr="00FB4EFA">
        <w:rPr>
          <w:rFonts w:cs="Charis SIL"/>
        </w:rPr>
        <w:t>Wälchli, Bernhard. 2001. Lexical evidence for the parallel development of the Latvian and Livonian verb particles. In Maria Koptjevskaja-Tamm &amp; Östen Dahl (</w:t>
      </w:r>
      <w:r w:rsidR="001E6714" w:rsidRPr="00FB4EFA">
        <w:rPr>
          <w:rFonts w:cs="Charis SIL"/>
        </w:rPr>
        <w:t>Hrsg</w:t>
      </w:r>
      <w:r w:rsidRPr="00FB4EFA">
        <w:rPr>
          <w:rFonts w:cs="Charis SIL"/>
        </w:rPr>
        <w:t xml:space="preserve">.), </w:t>
      </w:r>
      <w:r w:rsidRPr="00FB4EFA">
        <w:rPr>
          <w:rFonts w:cs="Charis SIL"/>
          <w:i/>
          <w:iCs/>
        </w:rPr>
        <w:t>The Circum-Baltic Languages. Typology and Contact</w:t>
      </w:r>
      <w:r w:rsidRPr="00FB4EFA">
        <w:rPr>
          <w:rFonts w:cs="Charis SIL"/>
        </w:rPr>
        <w:t>, 413–442. Amsterdam: John Benjamins.</w:t>
      </w:r>
    </w:p>
    <w:p w14:paraId="4B9EB1F5" w14:textId="77777777" w:rsidR="00A96E85" w:rsidRPr="00FB4EFA" w:rsidRDefault="00A96E85" w:rsidP="00402EF4"/>
    <w:p w14:paraId="221DD24E" w14:textId="77777777" w:rsidR="00A96E85" w:rsidRPr="00FB4EFA" w:rsidRDefault="00A96E85" w:rsidP="00402EF4">
      <w:pPr>
        <w:spacing w:after="160"/>
        <w:jc w:val="center"/>
        <w:rPr>
          <w:smallCaps/>
          <w:sz w:val="48"/>
          <w:szCs w:val="48"/>
        </w:rPr>
        <w:sectPr w:rsidR="00A96E85" w:rsidRPr="00FB4EFA" w:rsidSect="007C4BE6">
          <w:footnotePr>
            <w:numRestart w:val="eachSect"/>
          </w:footnotePr>
          <w:type w:val="continuous"/>
          <w:pgSz w:w="9180" w:h="13302"/>
          <w:pgMar w:top="779" w:right="1133" w:bottom="1132" w:left="1133" w:header="744" w:footer="720" w:gutter="0"/>
          <w:cols w:space="720"/>
          <w:docGrid w:linePitch="299"/>
        </w:sectPr>
      </w:pPr>
    </w:p>
    <w:p w14:paraId="160A272D" w14:textId="77777777" w:rsidR="00A47F9A" w:rsidRPr="00FB4EFA" w:rsidRDefault="00A47F9A" w:rsidP="00AF0CAD">
      <w:pPr>
        <w:pStyle w:val="Authors"/>
        <w:spacing w:line="259" w:lineRule="auto"/>
        <w:rPr>
          <w:color w:val="auto"/>
          <w:lang w:val="de-AT"/>
        </w:rPr>
        <w:sectPr w:rsidR="00A47F9A" w:rsidRPr="00FB4EFA" w:rsidSect="00606E46">
          <w:headerReference w:type="even" r:id="rId278"/>
          <w:headerReference w:type="default" r:id="rId279"/>
          <w:headerReference w:type="first" r:id="rId280"/>
          <w:footnotePr>
            <w:numRestart w:val="eachSect"/>
          </w:footnotePr>
          <w:type w:val="continuous"/>
          <w:pgSz w:w="9180" w:h="13302"/>
          <w:pgMar w:top="779" w:right="1133" w:bottom="1132" w:left="1133" w:header="744" w:footer="720" w:gutter="0"/>
          <w:cols w:space="720"/>
          <w:titlePg/>
        </w:sectPr>
      </w:pPr>
      <w:bookmarkStart w:id="64" w:name="_Hlk102522452"/>
    </w:p>
    <w:p w14:paraId="0A1756F9" w14:textId="14E16F03" w:rsidR="00DD11D9" w:rsidRPr="00FB4EFA" w:rsidRDefault="00DD11D9" w:rsidP="00AF0CAD">
      <w:pPr>
        <w:pStyle w:val="Authors"/>
        <w:spacing w:line="259" w:lineRule="auto"/>
        <w:rPr>
          <w:color w:val="auto"/>
          <w:lang w:val="de-AT"/>
        </w:rPr>
      </w:pPr>
      <w:r w:rsidRPr="00FB4EFA">
        <w:rPr>
          <w:color w:val="auto"/>
          <w:lang w:val="de-AT"/>
        </w:rPr>
        <w:lastRenderedPageBreak/>
        <w:t>Sampsa Holopainen</w:t>
      </w:r>
    </w:p>
    <w:p w14:paraId="276C7572" w14:textId="77777777" w:rsidR="00DD11D9" w:rsidRPr="00FB4EFA" w:rsidRDefault="00DD11D9" w:rsidP="00402EF4"/>
    <w:p w14:paraId="396D12D6" w14:textId="233F1A30" w:rsidR="00DD11D9" w:rsidRPr="00FB4EFA" w:rsidRDefault="00DD11D9" w:rsidP="00994E2A">
      <w:pPr>
        <w:pStyle w:val="Heading1"/>
        <w:suppressAutoHyphens/>
        <w:spacing w:line="259" w:lineRule="auto"/>
        <w:rPr>
          <w:color w:val="auto"/>
        </w:rPr>
      </w:pPr>
      <w:bookmarkStart w:id="65" w:name="_Ref90999606"/>
      <w:bookmarkStart w:id="66" w:name="_Hlk102522444"/>
      <w:bookmarkEnd w:id="64"/>
      <w:r w:rsidRPr="00FB4EFA">
        <w:rPr>
          <w:color w:val="auto"/>
        </w:rPr>
        <w:t xml:space="preserve">Revisiting a problematic Uralic and </w:t>
      </w:r>
      <w:r w:rsidR="0069593F" w:rsidRPr="00FB4EFA">
        <w:rPr>
          <w:color w:val="auto"/>
        </w:rPr>
        <w:br/>
      </w:r>
      <w:r w:rsidRPr="00FB4EFA">
        <w:rPr>
          <w:color w:val="auto"/>
        </w:rPr>
        <w:t>Indo-Iranian word</w:t>
      </w:r>
      <w:r w:rsidR="00AC1192" w:rsidRPr="00FB4EFA">
        <w:rPr>
          <w:color w:val="auto"/>
        </w:rPr>
        <w:t xml:space="preserve"> </w:t>
      </w:r>
      <w:r w:rsidRPr="00FB4EFA">
        <w:rPr>
          <w:color w:val="auto"/>
        </w:rPr>
        <w:t>family</w:t>
      </w:r>
      <w:bookmarkEnd w:id="65"/>
    </w:p>
    <w:p w14:paraId="6FE8AE20" w14:textId="77777777" w:rsidR="00614F07" w:rsidRPr="00FB4EFA" w:rsidRDefault="00614F07" w:rsidP="00545033">
      <w:pPr>
        <w:pStyle w:val="Heading2"/>
        <w:suppressAutoHyphens/>
        <w:spacing w:line="259" w:lineRule="auto"/>
        <w:rPr>
          <w:color w:val="auto"/>
          <w:szCs w:val="28"/>
        </w:rPr>
      </w:pPr>
      <w:r w:rsidRPr="00FB4EFA">
        <w:rPr>
          <w:color w:val="auto"/>
        </w:rPr>
        <w:t>Introduction</w:t>
      </w:r>
    </w:p>
    <w:p w14:paraId="7BEF3BAF" w14:textId="28EC4779" w:rsidR="00B72515" w:rsidRPr="00FB4EFA" w:rsidRDefault="00B72515" w:rsidP="00AF0CAD">
      <w:pPr>
        <w:rPr>
          <w:lang w:val="en-GB"/>
        </w:rPr>
      </w:pPr>
      <w:r w:rsidRPr="00FB4EFA">
        <w:rPr>
          <w:lang w:val="en-GB"/>
        </w:rPr>
        <w:t xml:space="preserve">Much contradicting information can be found in research literature of Uralic etymology about the possible Iranian (or Indo-Iranian) origin of Hungarian </w:t>
      </w:r>
      <w:r w:rsidRPr="00FB4EFA">
        <w:rPr>
          <w:i/>
          <w:iCs/>
          <w:lang w:val="en-GB"/>
        </w:rPr>
        <w:t>agyar</w:t>
      </w:r>
      <w:r w:rsidRPr="00FB4EFA">
        <w:rPr>
          <w:lang w:val="en-GB"/>
        </w:rPr>
        <w:t xml:space="preserve"> ‘tusk’ and its possible Permic and Ob-Ugric cognates. Although the idea that these Uralic words are borrowed from an Iranian form that yielded Ossetic </w:t>
      </w:r>
      <w:r w:rsidRPr="00FB4EFA">
        <w:rPr>
          <w:i/>
          <w:iCs/>
          <w:lang w:val="en-GB"/>
        </w:rPr>
        <w:t>ænsur</w:t>
      </w:r>
      <w:r w:rsidRPr="00FB4EFA">
        <w:rPr>
          <w:lang w:val="en-GB"/>
        </w:rPr>
        <w:t xml:space="preserve"> / </w:t>
      </w:r>
      <w:r w:rsidRPr="00FB4EFA">
        <w:rPr>
          <w:i/>
          <w:iCs/>
          <w:lang w:val="en-GB"/>
        </w:rPr>
        <w:t>æssyr</w:t>
      </w:r>
      <w:r w:rsidRPr="00FB4EFA">
        <w:rPr>
          <w:lang w:val="en-GB"/>
        </w:rPr>
        <w:t xml:space="preserve"> ‘tusk’ was </w:t>
      </w:r>
      <w:r w:rsidR="008E3FE3" w:rsidRPr="00FB4EFA">
        <w:rPr>
          <w:lang w:val="en-GB"/>
        </w:rPr>
        <w:t xml:space="preserve">already </w:t>
      </w:r>
      <w:r w:rsidRPr="00FB4EFA">
        <w:rPr>
          <w:lang w:val="en-GB"/>
        </w:rPr>
        <w:t>presented by Munkácsi (1901: 632–633), the Iranian loan etymology has received various judgements over the decades, with most recent etymological sources either rejecting the etymology or at least being cautious about it. In this short paper the problems of the etymology of</w:t>
      </w:r>
      <w:r w:rsidRPr="00FB4EFA">
        <w:rPr>
          <w:i/>
          <w:iCs/>
          <w:lang w:val="en-GB"/>
        </w:rPr>
        <w:t xml:space="preserve"> agyar</w:t>
      </w:r>
      <w:r w:rsidRPr="00FB4EFA">
        <w:rPr>
          <w:lang w:val="en-GB"/>
        </w:rPr>
        <w:t xml:space="preserve"> and the</w:t>
      </w:r>
      <w:r w:rsidRPr="00FB4EFA">
        <w:rPr>
          <w:i/>
          <w:iCs/>
          <w:lang w:val="en-GB"/>
        </w:rPr>
        <w:t xml:space="preserve"> </w:t>
      </w:r>
      <w:r w:rsidRPr="00FB4EFA">
        <w:rPr>
          <w:lang w:val="en-GB"/>
        </w:rPr>
        <w:t>competing explanations are investigated; it is argued that the Uralic forms can, after all, be considered Indo-Iranian loanwords. Furthermore, the problems in the reconstruction of the Indo-Iranian donor form will be discussed and some additional ideas will be put forth.</w:t>
      </w:r>
    </w:p>
    <w:p w14:paraId="23D1A3D5" w14:textId="77777777" w:rsidR="00B72515" w:rsidRPr="00FB4EFA" w:rsidRDefault="00B72515" w:rsidP="00545033">
      <w:pPr>
        <w:pStyle w:val="Heading2"/>
        <w:suppressAutoHyphens/>
        <w:spacing w:line="259" w:lineRule="auto"/>
        <w:rPr>
          <w:color w:val="auto"/>
        </w:rPr>
      </w:pPr>
      <w:r w:rsidRPr="00FB4EFA">
        <w:rPr>
          <w:color w:val="auto"/>
        </w:rPr>
        <w:t>Research problem and its history</w:t>
      </w:r>
    </w:p>
    <w:p w14:paraId="3C86F493" w14:textId="2A3338B3" w:rsidR="00B72515" w:rsidRPr="00FB4EFA" w:rsidRDefault="00B72515" w:rsidP="00AF0CAD">
      <w:pPr>
        <w:rPr>
          <w:rFonts w:cs="Charis SIL"/>
          <w:lang w:val="en-GB"/>
        </w:rPr>
      </w:pPr>
      <w:r w:rsidRPr="00FB4EFA">
        <w:rPr>
          <w:rFonts w:cs="Charis SIL"/>
          <w:lang w:val="en-GB"/>
        </w:rPr>
        <w:t>The idea that Hungarian</w:t>
      </w:r>
      <w:r w:rsidRPr="00FB4EFA">
        <w:rPr>
          <w:rFonts w:cs="Charis SIL"/>
          <w:i/>
          <w:iCs/>
          <w:lang w:val="en-GB"/>
        </w:rPr>
        <w:t xml:space="preserve"> agyar</w:t>
      </w:r>
      <w:r w:rsidRPr="00FB4EFA">
        <w:rPr>
          <w:rFonts w:cs="Charis SIL"/>
          <w:lang w:val="en-GB"/>
        </w:rPr>
        <w:t>, Komi</w:t>
      </w:r>
      <w:r w:rsidR="00AB124E" w:rsidRPr="00FB4EFA">
        <w:rPr>
          <w:rFonts w:cs="Charis SIL"/>
          <w:lang w:val="en-GB"/>
        </w:rPr>
        <w:t xml:space="preserve"> Pr</w:t>
      </w:r>
      <w:r w:rsidR="00AB124E" w:rsidRPr="00FB4EFA">
        <w:rPr>
          <w:rStyle w:val="FootnoteReference"/>
          <w:rFonts w:cs="Charis SIL"/>
          <w:lang w:val="en-GB"/>
        </w:rPr>
        <w:footnoteReference w:id="66"/>
      </w:r>
      <w:r w:rsidRPr="00FB4EFA">
        <w:rPr>
          <w:rFonts w:cs="Charis SIL"/>
          <w:lang w:val="en-GB"/>
        </w:rPr>
        <w:t xml:space="preserve"> </w:t>
      </w:r>
      <w:r w:rsidRPr="00FB4EFA">
        <w:rPr>
          <w:rFonts w:cs="Charis SIL"/>
          <w:i/>
          <w:iCs/>
          <w:lang w:val="en-GB"/>
        </w:rPr>
        <w:t>voʒ́ir</w:t>
      </w:r>
      <w:r w:rsidR="00AB124E" w:rsidRPr="00FB4EFA">
        <w:rPr>
          <w:rFonts w:cs="Charis SIL"/>
          <w:lang w:val="en-GB"/>
        </w:rPr>
        <w:t>,</w:t>
      </w:r>
      <w:r w:rsidRPr="00FB4EFA">
        <w:rPr>
          <w:rFonts w:cs="Charis SIL"/>
          <w:lang w:val="en-GB"/>
        </w:rPr>
        <w:t xml:space="preserve"> </w:t>
      </w:r>
      <w:r w:rsidR="00384F34" w:rsidRPr="00FB4EFA">
        <w:rPr>
          <w:rFonts w:cs="Charis SIL"/>
          <w:lang w:val="en-GB"/>
        </w:rPr>
        <w:t>Ud</w:t>
      </w:r>
      <w:r w:rsidR="00AB124E" w:rsidRPr="00FB4EFA">
        <w:rPr>
          <w:rFonts w:cs="Charis SIL"/>
          <w:lang w:val="en-GB"/>
        </w:rPr>
        <w:t xml:space="preserve"> </w:t>
      </w:r>
      <w:r w:rsidR="00384F34" w:rsidRPr="00FB4EFA">
        <w:rPr>
          <w:rFonts w:cs="Charis SIL"/>
          <w:i/>
          <w:iCs/>
          <w:lang w:val="en-GB"/>
        </w:rPr>
        <w:t>ve̮źir</w:t>
      </w:r>
      <w:r w:rsidR="00384F34" w:rsidRPr="00FB4EFA">
        <w:rPr>
          <w:rFonts w:cs="Charis SIL"/>
          <w:lang w:val="en-GB"/>
        </w:rPr>
        <w:t xml:space="preserve"> </w:t>
      </w:r>
      <w:r w:rsidRPr="00FB4EFA">
        <w:rPr>
          <w:rFonts w:cs="Charis SIL"/>
          <w:lang w:val="en-GB"/>
        </w:rPr>
        <w:t>‘Eckzahn (Augenzahn), Hauer, Hauzahn</w:t>
      </w:r>
      <w:r w:rsidR="00384F34" w:rsidRPr="00FB4EFA">
        <w:rPr>
          <w:rFonts w:cs="Charis SIL"/>
          <w:lang w:val="en-GB"/>
        </w:rPr>
        <w:t>’</w:t>
      </w:r>
      <w:r w:rsidRPr="00FB4EFA">
        <w:rPr>
          <w:rFonts w:cs="Charis SIL"/>
          <w:lang w:val="en-GB"/>
        </w:rPr>
        <w:t>, Udmurt</w:t>
      </w:r>
      <w:r w:rsidR="00AB124E" w:rsidRPr="00FB4EFA">
        <w:rPr>
          <w:rFonts w:cs="Charis SIL"/>
          <w:lang w:val="en-GB"/>
        </w:rPr>
        <w:t xml:space="preserve"> S</w:t>
      </w:r>
      <w:r w:rsidRPr="00FB4EFA">
        <w:rPr>
          <w:rFonts w:cs="Charis SIL"/>
          <w:lang w:val="en-GB"/>
        </w:rPr>
        <w:t xml:space="preserve"> </w:t>
      </w:r>
      <w:r w:rsidRPr="00FB4EFA">
        <w:rPr>
          <w:i/>
          <w:iCs/>
          <w:lang w:val="en-GB"/>
        </w:rPr>
        <w:t>vaǯ́er</w:t>
      </w:r>
      <w:r w:rsidRPr="00FB4EFA">
        <w:rPr>
          <w:rFonts w:cs="Charis SIL"/>
          <w:lang w:val="en-GB"/>
        </w:rPr>
        <w:t>,</w:t>
      </w:r>
      <w:r w:rsidRPr="00FB4EFA">
        <w:rPr>
          <w:rFonts w:cs="Charis SIL"/>
          <w:i/>
          <w:iCs/>
          <w:lang w:val="en-GB"/>
        </w:rPr>
        <w:t xml:space="preserve"> </w:t>
      </w:r>
      <w:r w:rsidR="00AB124E" w:rsidRPr="00FB4EFA">
        <w:rPr>
          <w:rFonts w:cs="Charis SIL"/>
          <w:lang w:val="en-GB"/>
        </w:rPr>
        <w:t xml:space="preserve">K </w:t>
      </w:r>
      <w:r w:rsidRPr="00FB4EFA">
        <w:rPr>
          <w:rFonts w:cs="Charis SIL"/>
          <w:i/>
          <w:iCs/>
          <w:lang w:val="en-GB"/>
        </w:rPr>
        <w:t>važer</w:t>
      </w:r>
      <w:r w:rsidRPr="00FB4EFA">
        <w:rPr>
          <w:rFonts w:cs="Charis SIL"/>
          <w:lang w:val="en-GB"/>
        </w:rPr>
        <w:t>,</w:t>
      </w:r>
      <w:r w:rsidRPr="00FB4EFA">
        <w:rPr>
          <w:rFonts w:cs="Charis SIL"/>
          <w:i/>
          <w:iCs/>
          <w:lang w:val="en-GB"/>
        </w:rPr>
        <w:t xml:space="preserve"> </w:t>
      </w:r>
      <w:r w:rsidR="00AB124E" w:rsidRPr="00FB4EFA">
        <w:rPr>
          <w:rFonts w:cs="Charis SIL"/>
          <w:lang w:val="en-GB"/>
        </w:rPr>
        <w:t xml:space="preserve">G </w:t>
      </w:r>
      <w:r w:rsidRPr="00FB4EFA">
        <w:rPr>
          <w:rFonts w:cs="Charis SIL"/>
          <w:i/>
          <w:iCs/>
          <w:lang w:val="en-GB"/>
        </w:rPr>
        <w:t>wažer</w:t>
      </w:r>
      <w:r w:rsidRPr="00FB4EFA">
        <w:rPr>
          <w:rFonts w:cs="Charis SIL"/>
          <w:lang w:val="en-GB"/>
        </w:rPr>
        <w:t xml:space="preserve"> ‘Hauer, Hauzahn’ and Mansi N </w:t>
      </w:r>
      <w:r w:rsidRPr="00FB4EFA">
        <w:rPr>
          <w:rFonts w:cs="Charis SIL"/>
          <w:i/>
          <w:iCs/>
          <w:lang w:val="en-GB"/>
        </w:rPr>
        <w:t xml:space="preserve">ańśər </w:t>
      </w:r>
      <w:r w:rsidRPr="00FB4EFA">
        <w:rPr>
          <w:rFonts w:cs="Charis SIL"/>
          <w:lang w:val="en-GB"/>
        </w:rPr>
        <w:t xml:space="preserve">‘medvefog’, P </w:t>
      </w:r>
      <w:r w:rsidRPr="00FB4EFA">
        <w:rPr>
          <w:rFonts w:cs="Charis SIL"/>
          <w:i/>
          <w:iCs/>
          <w:lang w:val="en-GB"/>
        </w:rPr>
        <w:t>äńśər</w:t>
      </w:r>
      <w:r w:rsidRPr="00FB4EFA">
        <w:rPr>
          <w:rFonts w:cs="Charis SIL"/>
          <w:lang w:val="en-GB"/>
        </w:rPr>
        <w:t xml:space="preserve">, KU </w:t>
      </w:r>
      <w:r w:rsidRPr="00FB4EFA">
        <w:rPr>
          <w:rFonts w:cs="Charis SIL"/>
          <w:i/>
          <w:iCs/>
          <w:lang w:val="en-GB"/>
        </w:rPr>
        <w:t>äńśər</w:t>
      </w:r>
      <w:r w:rsidRPr="00FB4EFA">
        <w:rPr>
          <w:rFonts w:cs="Charis SIL"/>
          <w:lang w:val="en-GB"/>
        </w:rPr>
        <w:t xml:space="preserve">, TJ </w:t>
      </w:r>
      <w:r w:rsidRPr="00FB4EFA">
        <w:rPr>
          <w:rFonts w:cs="Charis SIL"/>
          <w:i/>
          <w:iCs/>
          <w:lang w:val="en-GB"/>
        </w:rPr>
        <w:t>ɛ̮ńćə·r</w:t>
      </w:r>
      <w:r w:rsidRPr="00FB4EFA">
        <w:rPr>
          <w:rFonts w:cs="Charis SIL"/>
          <w:lang w:val="en-GB"/>
        </w:rPr>
        <w:t xml:space="preserve"> ‘Hauzahn’ (UEW: 340) are borrowed from Indo-Iranian has a long history, as it was first suggested by Munkácsi (1901: 632–633; see also 1903: 380). The etymology received initial support in Sköld’s (1922: 15) treatment of “Ossetic” (Alanic) loanwords in Hungarian</w:t>
      </w:r>
      <w:r w:rsidR="008E3FE3" w:rsidRPr="00FB4EFA">
        <w:rPr>
          <w:rFonts w:cs="Charis SIL"/>
          <w:lang w:val="en-GB"/>
        </w:rPr>
        <w:t>.</w:t>
      </w:r>
      <w:r w:rsidRPr="00FB4EFA">
        <w:rPr>
          <w:rFonts w:cs="Charis SIL"/>
          <w:lang w:val="en-GB"/>
        </w:rPr>
        <w:t xml:space="preserve"> (Sköld also commented on </w:t>
      </w:r>
      <w:r w:rsidR="00556D76" w:rsidRPr="00FB4EFA">
        <w:rPr>
          <w:rFonts w:cs="Charis SIL"/>
          <w:lang w:val="en-GB"/>
        </w:rPr>
        <w:t xml:space="preserve">the </w:t>
      </w:r>
      <w:r w:rsidRPr="00FB4EFA">
        <w:rPr>
          <w:rFonts w:cs="Charis SIL"/>
          <w:lang w:val="en-GB"/>
        </w:rPr>
        <w:t>Permic and Ob-Ugric words</w:t>
      </w:r>
      <w:r w:rsidR="008E3FE3" w:rsidRPr="00FB4EFA">
        <w:rPr>
          <w:rFonts w:cs="Charis SIL"/>
          <w:lang w:val="en-GB"/>
        </w:rPr>
        <w:t>.</w:t>
      </w:r>
      <w:r w:rsidRPr="00FB4EFA">
        <w:rPr>
          <w:rFonts w:cs="Charis SIL"/>
          <w:lang w:val="en-GB"/>
        </w:rPr>
        <w:t>) This etymology involves two problematic points that have been debated in subsequent research history. One question concerns the Iranian etymology: various arguments have been pre</w:t>
      </w:r>
      <w:r w:rsidRPr="00FB4EFA">
        <w:rPr>
          <w:rFonts w:cs="Charis SIL"/>
          <w:lang w:val="en-GB"/>
        </w:rPr>
        <w:lastRenderedPageBreak/>
        <w:t xml:space="preserve">sented for and against it. Another problem is the relationship between the Uralic forms, </w:t>
      </w:r>
      <w:r w:rsidR="008E3FE3" w:rsidRPr="00FB4EFA">
        <w:rPr>
          <w:rFonts w:cs="Charis SIL"/>
          <w:lang w:val="en-GB"/>
        </w:rPr>
        <w:t>which</w:t>
      </w:r>
      <w:r w:rsidRPr="00FB4EFA">
        <w:rPr>
          <w:rFonts w:cs="Charis SIL"/>
          <w:lang w:val="en-GB"/>
        </w:rPr>
        <w:t xml:space="preserve"> is not entirely regular.</w:t>
      </w:r>
    </w:p>
    <w:p w14:paraId="20618F36" w14:textId="5E28680C" w:rsidR="00B72515" w:rsidRPr="00FB4EFA" w:rsidRDefault="00B72515" w:rsidP="00AF0CAD">
      <w:pPr>
        <w:ind w:firstLine="720"/>
        <w:rPr>
          <w:rFonts w:eastAsia="Calibri" w:cs="Charis SIL"/>
          <w:lang w:val="en-GB" w:eastAsia="en-GB"/>
        </w:rPr>
      </w:pPr>
      <w:r w:rsidRPr="00FB4EFA">
        <w:rPr>
          <w:rFonts w:eastAsia="Calibri" w:cs="Charis SIL"/>
          <w:lang w:val="en-GB" w:eastAsia="en-GB"/>
        </w:rPr>
        <w:t xml:space="preserve">The etymology has not received wide acceptance in etymological sources since the 1970s: in their treatments of Indo-Iranian loanwords, Korenchy (1972) and Joki (1973: 168) do not accept this Iranian etymology, and the Indo-Iranian etymology is not mentioned at all by UEW, </w:t>
      </w:r>
      <w:r w:rsidR="008E3FE3" w:rsidRPr="00FB4EFA">
        <w:rPr>
          <w:rFonts w:eastAsia="Calibri" w:cs="Charis SIL"/>
          <w:lang w:val="en-GB" w:eastAsia="en-GB"/>
        </w:rPr>
        <w:br/>
      </w:r>
      <w:r w:rsidRPr="00FB4EFA">
        <w:rPr>
          <w:rFonts w:eastAsia="Calibri" w:cs="Charis SIL"/>
          <w:lang w:val="en-GB" w:eastAsia="en-GB"/>
        </w:rPr>
        <w:t>Rédei (1986)</w:t>
      </w:r>
      <w:r w:rsidR="00452F3E" w:rsidRPr="00FB4EFA">
        <w:rPr>
          <w:rFonts w:eastAsia="Calibri" w:cs="Charis SIL"/>
          <w:lang w:val="en-GB" w:eastAsia="en-GB"/>
        </w:rPr>
        <w:t>,</w:t>
      </w:r>
      <w:r w:rsidRPr="00FB4EFA">
        <w:rPr>
          <w:rFonts w:eastAsia="Calibri" w:cs="Charis SIL"/>
          <w:lang w:val="en-GB" w:eastAsia="en-GB"/>
        </w:rPr>
        <w:t xml:space="preserve"> or Holopainen (2019). Because of the alleged distribution of the Iranian word limited to Ossetic only, Korenchy (1972: 45) assumes that the similarity of the Uralic and Ossetic words can rather be explained by assuming a loanword from Finno-Ugric</w:t>
      </w:r>
      <w:r w:rsidRPr="00FB4EFA">
        <w:rPr>
          <w:rFonts w:eastAsia="Calibri" w:cs="Charis SIL"/>
          <w:vertAlign w:val="superscript"/>
          <w:lang w:val="en-GB" w:eastAsia="en-GB"/>
        </w:rPr>
        <w:footnoteReference w:id="67"/>
      </w:r>
      <w:r w:rsidRPr="00FB4EFA">
        <w:rPr>
          <w:rFonts w:eastAsia="Calibri" w:cs="Charis SIL"/>
          <w:lang w:val="en-GB" w:eastAsia="en-GB"/>
        </w:rPr>
        <w:t xml:space="preserve"> to Ossetic, although she also mentions that it is not certain that the words are connected at all.</w:t>
      </w:r>
    </w:p>
    <w:p w14:paraId="59BFBBFE" w14:textId="6CB456B0" w:rsidR="00B72515" w:rsidRPr="00FB4EFA" w:rsidRDefault="00B72515" w:rsidP="00AF0CAD">
      <w:pPr>
        <w:spacing w:after="57"/>
        <w:ind w:firstLine="720"/>
        <w:rPr>
          <w:lang w:val="en-GB"/>
        </w:rPr>
      </w:pPr>
      <w:r w:rsidRPr="00FB4EFA">
        <w:rPr>
          <w:rFonts w:cs="Charis SIL"/>
          <w:lang w:val="en-GB"/>
        </w:rPr>
        <w:lastRenderedPageBreak/>
        <w:t xml:space="preserve">Also, the etymological dictionaries of Hungarian and Komi mostly </w:t>
      </w:r>
      <w:r w:rsidR="008E3FE3" w:rsidRPr="00FB4EFA">
        <w:rPr>
          <w:rFonts w:cs="Charis SIL"/>
          <w:lang w:val="en-GB"/>
        </w:rPr>
        <w:t xml:space="preserve">have </w:t>
      </w:r>
      <w:r w:rsidRPr="00FB4EFA">
        <w:rPr>
          <w:rFonts w:cs="Charis SIL"/>
          <w:lang w:val="en-GB"/>
        </w:rPr>
        <w:t>a negative view of the loan etymology</w:t>
      </w:r>
      <w:r w:rsidR="008E3FE3" w:rsidRPr="00FB4EFA">
        <w:rPr>
          <w:rFonts w:cs="Charis SIL"/>
          <w:lang w:val="en-GB"/>
        </w:rPr>
        <w:t>,</w:t>
      </w:r>
      <w:r w:rsidRPr="00FB4EFA">
        <w:rPr>
          <w:rFonts w:cs="Charis SIL"/>
          <w:lang w:val="en-GB"/>
        </w:rPr>
        <w:t xml:space="preserve"> if it is mentioned at all. The first serious (but unfinished) etymological dictionary of Hungarian by Gombocz &amp; Melich (1914–</w:t>
      </w:r>
      <w:r w:rsidR="005D7E18" w:rsidRPr="00FB4EFA">
        <w:rPr>
          <w:rFonts w:cs="Charis SIL"/>
          <w:lang w:val="en-GB"/>
        </w:rPr>
        <w:t>19</w:t>
      </w:r>
      <w:r w:rsidRPr="00FB4EFA">
        <w:rPr>
          <w:rFonts w:cs="Charis SIL"/>
          <w:lang w:val="en-GB"/>
        </w:rPr>
        <w:t xml:space="preserve">44, 32–33 s.v. </w:t>
      </w:r>
      <w:r w:rsidRPr="00FB4EFA">
        <w:rPr>
          <w:rFonts w:cs="Charis SIL"/>
          <w:i/>
          <w:iCs/>
          <w:lang w:val="en-GB"/>
        </w:rPr>
        <w:t>agyar</w:t>
      </w:r>
      <w:r w:rsidRPr="00FB4EFA">
        <w:rPr>
          <w:rFonts w:cs="Charis SIL"/>
          <w:lang w:val="en-GB"/>
        </w:rPr>
        <w:t>) supports the Finno-Ugric etymology of the Hungarian word but is more cautious regarding the Iranian etymology. Gombocz &amp;</w:t>
      </w:r>
      <w:r w:rsidRPr="00FB4EFA">
        <w:rPr>
          <w:lang w:val="en-GB"/>
        </w:rPr>
        <w:t xml:space="preserve"> Melich mention the Ossetic </w:t>
      </w:r>
      <w:r w:rsidRPr="00FB4EFA">
        <w:rPr>
          <w:rFonts w:cs="Charis SIL"/>
          <w:lang w:val="en-GB"/>
        </w:rPr>
        <w:t xml:space="preserve">word and Munkaćsi’s etymology, but state that the Iranian word cannot be considered the immediate source of the Finno-Ugric words (“… amelyet </w:t>
      </w:r>
      <w:r w:rsidR="00814A40" w:rsidRPr="00FB4EFA">
        <w:rPr>
          <w:rFonts w:cs="Charis SIL"/>
          <w:lang w:val="en-GB"/>
        </w:rPr>
        <w:br/>
      </w:r>
      <w:r w:rsidRPr="00FB4EFA">
        <w:rPr>
          <w:rFonts w:cs="Charis SIL"/>
          <w:lang w:val="en-GB"/>
        </w:rPr>
        <w:t>azonban nem tarthatunk a fgr. szavak közvetlen forrásának”). Of the later etymological</w:t>
      </w:r>
      <w:r w:rsidRPr="00FB4EFA">
        <w:rPr>
          <w:lang w:val="en-GB"/>
        </w:rPr>
        <w:t xml:space="preserve"> dictionaries, MSzFE (73–74 s.v. </w:t>
      </w:r>
      <w:r w:rsidRPr="00FB4EFA">
        <w:rPr>
          <w:i/>
          <w:iCs/>
          <w:lang w:val="en-GB"/>
        </w:rPr>
        <w:t>agyar</w:t>
      </w:r>
      <w:r w:rsidRPr="00FB4EFA">
        <w:rPr>
          <w:lang w:val="en-GB"/>
        </w:rPr>
        <w:t xml:space="preserve">), EWUng (13 s.v. </w:t>
      </w:r>
      <w:r w:rsidR="00814A40" w:rsidRPr="00FB4EFA">
        <w:rPr>
          <w:lang w:val="en-GB"/>
        </w:rPr>
        <w:br/>
      </w:r>
      <w:r w:rsidRPr="00FB4EFA">
        <w:rPr>
          <w:i/>
          <w:iCs/>
          <w:lang w:val="en-GB"/>
        </w:rPr>
        <w:t>agyar</w:t>
      </w:r>
      <w:r w:rsidRPr="00FB4EFA">
        <w:rPr>
          <w:lang w:val="en-GB"/>
        </w:rPr>
        <w:t xml:space="preserve">) and Zaicz (2006 s.v. </w:t>
      </w:r>
      <w:r w:rsidRPr="00FB4EFA">
        <w:rPr>
          <w:i/>
          <w:iCs/>
          <w:lang w:val="en-GB"/>
        </w:rPr>
        <w:t>agyar</w:t>
      </w:r>
      <w:r w:rsidRPr="00FB4EFA">
        <w:rPr>
          <w:lang w:val="en-GB"/>
        </w:rPr>
        <w:t xml:space="preserve">) make no mention of the Iranian etymology at all, whereas TESz (107 s.v. </w:t>
      </w:r>
      <w:r w:rsidRPr="00FB4EFA">
        <w:rPr>
          <w:i/>
          <w:iCs/>
          <w:lang w:val="en-GB"/>
        </w:rPr>
        <w:t>agyar</w:t>
      </w:r>
      <w:r w:rsidRPr="00FB4EFA">
        <w:rPr>
          <w:lang w:val="en-GB"/>
        </w:rPr>
        <w:t xml:space="preserve">) only states that the Iranian origin of Hungarian </w:t>
      </w:r>
      <w:r w:rsidRPr="00FB4EFA">
        <w:rPr>
          <w:i/>
          <w:iCs/>
          <w:lang w:val="en-GB"/>
        </w:rPr>
        <w:t>agyar</w:t>
      </w:r>
      <w:r w:rsidRPr="00FB4EFA">
        <w:rPr>
          <w:lang w:val="en-GB"/>
        </w:rPr>
        <w:t xml:space="preserve"> is unacceptable, without discussing the etymology in any detail or even mentioning the Iranian donor </w:t>
      </w:r>
      <w:r w:rsidRPr="00FB4EFA">
        <w:rPr>
          <w:rFonts w:cs="Charis SIL"/>
          <w:lang w:val="en-GB"/>
        </w:rPr>
        <w:t xml:space="preserve">form. KESK (60 s.v. </w:t>
      </w:r>
      <w:r w:rsidRPr="00FB4EFA">
        <w:rPr>
          <w:rFonts w:cs="Charis SIL"/>
          <w:i/>
          <w:iCs/>
          <w:lang w:val="en-GB"/>
        </w:rPr>
        <w:t>водзир</w:t>
      </w:r>
      <w:r w:rsidRPr="00FB4EFA">
        <w:rPr>
          <w:rFonts w:cs="Charis SIL"/>
          <w:iCs/>
          <w:lang w:val="en-GB"/>
        </w:rPr>
        <w:t>)</w:t>
      </w:r>
      <w:r w:rsidRPr="00FB4EFA">
        <w:rPr>
          <w:rFonts w:cs="Charis SIL"/>
          <w:lang w:val="en-GB"/>
        </w:rPr>
        <w:t xml:space="preserve"> does not</w:t>
      </w:r>
      <w:r w:rsidRPr="00FB4EFA">
        <w:rPr>
          <w:lang w:val="en-GB"/>
        </w:rPr>
        <w:t xml:space="preserve"> mention the loan etymology. Recently, also WOT (1339) has rejected the Iranian etymology, listing it among unacceptable Iranian loanwords in Hungarian, but no details are given about the reasons. WOT (1302) supports the Uralic etymology found in earlier etymological dictionaries.</w:t>
      </w:r>
    </w:p>
    <w:p w14:paraId="2B9BF403" w14:textId="5A40DF35" w:rsidR="00B72515" w:rsidRPr="00FB4EFA" w:rsidRDefault="00B72515" w:rsidP="00AF0CAD">
      <w:pPr>
        <w:ind w:firstLine="720"/>
        <w:rPr>
          <w:lang w:val="en-GB"/>
        </w:rPr>
      </w:pPr>
      <w:r w:rsidRPr="00FB4EFA">
        <w:rPr>
          <w:lang w:val="en-GB"/>
        </w:rPr>
        <w:t xml:space="preserve">On the Iranist side, the loan etymology has received more support, although it has been discussed only in few studies. The only Ossetic etymological dictionary, compiled by Abaev (I: 189 s.v. </w:t>
      </w:r>
      <w:r w:rsidRPr="00FB4EFA">
        <w:rPr>
          <w:i/>
          <w:iCs/>
          <w:lang w:val="en-GB"/>
        </w:rPr>
        <w:t>æssy</w:t>
      </w:r>
      <w:r w:rsidRPr="00FB4EFA">
        <w:rPr>
          <w:lang w:val="en-GB"/>
        </w:rPr>
        <w:t xml:space="preserve">r | </w:t>
      </w:r>
      <w:r w:rsidRPr="00FB4EFA">
        <w:rPr>
          <w:i/>
          <w:iCs/>
          <w:lang w:val="en-GB"/>
        </w:rPr>
        <w:t>ænsur(æ)</w:t>
      </w:r>
      <w:r w:rsidRPr="00FB4EFA">
        <w:rPr>
          <w:lang w:val="en-GB"/>
        </w:rPr>
        <w:t>), supports Munkácsi’s etymology (Iranian loan into Hungarian). Recently, the etymology has been briefly discussed by Cheung (2002: 164) in his treatment of Ossetic vowel history. Cheung finds the Iranian origin of the Uralic words probable but does not analyse the etymology in more detail. The etymology is also mentioned in the list of Indo-Iranian loans into Uralic by Kümmel (2020: 251), who notes that the Hungarian and Permic words might be parallel loans. The loan etymology has also been supported briefly in a recent presentation on Uralic derivational morphology (Holopainen, Kuokkala, Metsäranta &amp; Rauhala 2020).</w:t>
      </w:r>
    </w:p>
    <w:p w14:paraId="18ECF0C8" w14:textId="77777777" w:rsidR="00B72515" w:rsidRPr="00FB4EFA" w:rsidRDefault="00B72515" w:rsidP="00545033">
      <w:pPr>
        <w:pStyle w:val="Heading2"/>
        <w:suppressAutoHyphens/>
        <w:spacing w:line="259" w:lineRule="auto"/>
        <w:rPr>
          <w:color w:val="auto"/>
        </w:rPr>
      </w:pPr>
      <w:r w:rsidRPr="00FB4EFA">
        <w:rPr>
          <w:color w:val="auto"/>
        </w:rPr>
        <w:t>A closer look at the Uralic data</w:t>
      </w:r>
    </w:p>
    <w:p w14:paraId="54DDEC64" w14:textId="511BFF91" w:rsidR="00B72515" w:rsidRPr="00FB4EFA" w:rsidRDefault="00B72515" w:rsidP="00AF0CAD">
      <w:pPr>
        <w:spacing w:before="57"/>
        <w:rPr>
          <w:lang w:val="en-GB"/>
        </w:rPr>
      </w:pPr>
      <w:r w:rsidRPr="00FB4EFA">
        <w:rPr>
          <w:lang w:val="en-GB"/>
        </w:rPr>
        <w:t>Before discussing the Iranian loan etymology in detail, it should be determined whether the Hungarian, Permic</w:t>
      </w:r>
      <w:r w:rsidR="0035722A" w:rsidRPr="00FB4EFA">
        <w:rPr>
          <w:lang w:val="en-GB"/>
        </w:rPr>
        <w:t>,</w:t>
      </w:r>
      <w:r w:rsidRPr="00FB4EFA">
        <w:rPr>
          <w:lang w:val="en-GB"/>
        </w:rPr>
        <w:t xml:space="preserve"> and Mansi words are cognates </w:t>
      </w:r>
      <w:r w:rsidRPr="00FB4EFA">
        <w:rPr>
          <w:lang w:val="en-GB"/>
        </w:rPr>
        <w:lastRenderedPageBreak/>
        <w:t>or whether they could be possible parallel loanwords from Iranian. The vocalism of the Uralic forms is clearly irregular, and Aikio (UED manuscript) has noted that the comparison includes severe irregularities and that it is not at all certain the words go back to a Proto-Uralic form. However, most traditional sources of Uralic etymology list the word among Proto-Uralic/Proto-Finno-Ugric lexemes.</w:t>
      </w:r>
    </w:p>
    <w:p w14:paraId="60C299F5" w14:textId="13380326" w:rsidR="00B72515" w:rsidRPr="00FB4EFA" w:rsidRDefault="00B72515" w:rsidP="00AF0CAD">
      <w:pPr>
        <w:ind w:firstLine="720"/>
        <w:rPr>
          <w:lang w:val="en-GB"/>
        </w:rPr>
      </w:pPr>
      <w:r w:rsidRPr="00FB4EFA">
        <w:rPr>
          <w:lang w:val="en-GB"/>
        </w:rPr>
        <w:t>The Uralic/Finno-Ugric etymology is mentioned and supported in UEW (340)</w:t>
      </w:r>
      <w:r w:rsidR="00FB3099" w:rsidRPr="00FB4EFA">
        <w:rPr>
          <w:lang w:val="en-GB"/>
        </w:rPr>
        <w:t>,</w:t>
      </w:r>
      <w:r w:rsidRPr="00FB4EFA">
        <w:rPr>
          <w:lang w:val="en-GB"/>
        </w:rPr>
        <w:t xml:space="preserve"> in all the major sources of Hungarian etymology (MSzFE 73–74 s.v. </w:t>
      </w:r>
      <w:r w:rsidRPr="00FB4EFA">
        <w:rPr>
          <w:i/>
          <w:iCs/>
          <w:lang w:val="en-GB"/>
        </w:rPr>
        <w:t>agyar</w:t>
      </w:r>
      <w:r w:rsidRPr="00FB4EFA">
        <w:rPr>
          <w:lang w:val="en-GB"/>
        </w:rPr>
        <w:t>; TESz; EWUng; the unfinished dictionary of Gombocz &amp; Melich 1914–</w:t>
      </w:r>
      <w:r w:rsidR="005D7E18" w:rsidRPr="00FB4EFA">
        <w:rPr>
          <w:lang w:val="en-GB"/>
        </w:rPr>
        <w:t>19</w:t>
      </w:r>
      <w:r w:rsidRPr="00FB4EFA">
        <w:rPr>
          <w:lang w:val="en-GB"/>
        </w:rPr>
        <w:t xml:space="preserve">44: 32–33 s.v. </w:t>
      </w:r>
      <w:r w:rsidRPr="00FB4EFA">
        <w:rPr>
          <w:i/>
          <w:lang w:val="en-GB"/>
        </w:rPr>
        <w:t>agyar</w:t>
      </w:r>
      <w:r w:rsidRPr="00FB4EFA">
        <w:rPr>
          <w:lang w:val="en-GB"/>
        </w:rPr>
        <w:t xml:space="preserve"> also support the etymology)</w:t>
      </w:r>
      <w:r w:rsidR="00FB3099" w:rsidRPr="00FB4EFA">
        <w:rPr>
          <w:lang w:val="en-GB"/>
        </w:rPr>
        <w:t>,</w:t>
      </w:r>
      <w:r w:rsidRPr="00FB4EFA">
        <w:rPr>
          <w:lang w:val="en-GB"/>
        </w:rPr>
        <w:t xml:space="preserve"> and in KESK as well. Zaicz (2006 s.v. </w:t>
      </w:r>
      <w:r w:rsidRPr="00FB4EFA">
        <w:rPr>
          <w:i/>
          <w:iCs/>
          <w:lang w:val="en-GB"/>
        </w:rPr>
        <w:t>agyar</w:t>
      </w:r>
      <w:r w:rsidRPr="00FB4EFA">
        <w:rPr>
          <w:lang w:val="en-GB"/>
        </w:rPr>
        <w:t xml:space="preserve">) mentions only the </w:t>
      </w:r>
      <w:r w:rsidRPr="00FB4EFA">
        <w:rPr>
          <w:rFonts w:cs="Charis SIL"/>
          <w:lang w:val="en-GB"/>
        </w:rPr>
        <w:t>possible Ob-Ugric cognates of Hungarian</w:t>
      </w:r>
      <w:r w:rsidRPr="00FB4EFA">
        <w:rPr>
          <w:rFonts w:cs="Charis SIL"/>
          <w:i/>
          <w:iCs/>
          <w:lang w:val="en-GB"/>
        </w:rPr>
        <w:t xml:space="preserve"> agyar</w:t>
      </w:r>
      <w:r w:rsidRPr="00FB4EFA">
        <w:rPr>
          <w:rFonts w:cs="Charis SIL"/>
          <w:lang w:val="en-GB"/>
        </w:rPr>
        <w:t>.</w:t>
      </w:r>
      <w:r w:rsidRPr="00FB4EFA">
        <w:rPr>
          <w:rFonts w:cs="Charis SIL"/>
          <w:i/>
          <w:iCs/>
          <w:lang w:val="en-GB"/>
        </w:rPr>
        <w:t xml:space="preserve"> </w:t>
      </w:r>
      <w:r w:rsidRPr="00FB4EFA">
        <w:rPr>
          <w:rFonts w:cs="Charis SIL"/>
          <w:lang w:val="en-GB"/>
        </w:rPr>
        <w:t>In all of these works, the Proto-Finno-Ugric form is reconstruced as *</w:t>
      </w:r>
      <w:r w:rsidRPr="00FB4EFA">
        <w:rPr>
          <w:rFonts w:cs="Charis SIL"/>
          <w:i/>
          <w:iCs/>
          <w:lang w:val="en-GB"/>
        </w:rPr>
        <w:t>ońća-rV</w:t>
      </w:r>
      <w:r w:rsidRPr="00FB4EFA">
        <w:rPr>
          <w:rFonts w:cs="Charis SIL"/>
          <w:lang w:val="en-GB"/>
        </w:rPr>
        <w:t xml:space="preserve"> or *</w:t>
      </w:r>
      <w:r w:rsidRPr="00FB4EFA">
        <w:rPr>
          <w:rFonts w:cs="Charis SIL"/>
          <w:i/>
          <w:iCs/>
          <w:lang w:val="en-GB"/>
        </w:rPr>
        <w:t>ońćV</w:t>
      </w:r>
      <w:r w:rsidRPr="00FB4EFA">
        <w:rPr>
          <w:rFonts w:cs="Charis SIL"/>
          <w:i/>
          <w:iCs/>
          <w:lang w:val="en-GB"/>
        </w:rPr>
        <w:noBreakHyphen/>
        <w:t>rV</w:t>
      </w:r>
      <w:r w:rsidRPr="00FB4EFA">
        <w:rPr>
          <w:rFonts w:cs="Charis SIL"/>
          <w:lang w:val="en-GB"/>
        </w:rPr>
        <w:t>. UEW and the Hungarian dictionaries assume that the word is originally a derivative, with a suffix *</w:t>
      </w:r>
      <w:r w:rsidR="00452F3E" w:rsidRPr="00FB4EFA">
        <w:rPr>
          <w:rFonts w:cs="Charis SIL"/>
          <w:lang w:val="en-GB"/>
        </w:rPr>
        <w:noBreakHyphen/>
      </w:r>
      <w:r w:rsidRPr="00FB4EFA">
        <w:rPr>
          <w:rFonts w:cs="Charis SIL"/>
          <w:i/>
          <w:iCs/>
          <w:lang w:val="en-GB"/>
        </w:rPr>
        <w:t>rV</w:t>
      </w:r>
      <w:r w:rsidRPr="00FB4EFA">
        <w:rPr>
          <w:rFonts w:cs="Charis SIL"/>
          <w:lang w:val="en-GB"/>
        </w:rPr>
        <w:t xml:space="preserve"> (this idea will be discussed below). Sammallahti (1988: 541) includes the etymology in his word list among the Proto-Finno-Ugric words but reconstructs the word with *</w:t>
      </w:r>
      <w:r w:rsidRPr="00FB4EFA">
        <w:rPr>
          <w:rFonts w:cs="Charis SIL"/>
          <w:i/>
          <w:iCs/>
          <w:lang w:val="en-GB"/>
        </w:rPr>
        <w:t>e̮</w:t>
      </w:r>
      <w:r w:rsidRPr="00FB4EFA">
        <w:rPr>
          <w:rFonts w:cs="Charis SIL"/>
          <w:lang w:val="en-GB"/>
        </w:rPr>
        <w:t xml:space="preserve"> (*</w:t>
      </w:r>
      <w:r w:rsidRPr="00FB4EFA">
        <w:rPr>
          <w:rFonts w:cs="Charis SIL"/>
          <w:i/>
          <w:iCs/>
          <w:lang w:val="en-GB"/>
        </w:rPr>
        <w:t>i̮</w:t>
      </w:r>
      <w:r w:rsidRPr="00FB4EFA">
        <w:rPr>
          <w:rFonts w:cs="Charis SIL"/>
          <w:lang w:val="en-GB"/>
        </w:rPr>
        <w:t>) as *</w:t>
      </w:r>
      <w:r w:rsidRPr="00FB4EFA">
        <w:rPr>
          <w:rFonts w:cs="Charis SIL"/>
          <w:i/>
          <w:iCs/>
          <w:lang w:val="en-GB"/>
        </w:rPr>
        <w:t>e̮nśara</w:t>
      </w:r>
      <w:r w:rsidRPr="00FB4EFA">
        <w:rPr>
          <w:rFonts w:cs="Charis SIL"/>
          <w:lang w:val="en-GB"/>
        </w:rPr>
        <w:t xml:space="preserve"> ‘canine tooth’. </w:t>
      </w:r>
      <w:r w:rsidR="00FB3099" w:rsidRPr="00FB4EFA">
        <w:rPr>
          <w:rFonts w:cs="Charis SIL"/>
          <w:lang w:val="en-GB"/>
        </w:rPr>
        <w:t>H</w:t>
      </w:r>
      <w:r w:rsidRPr="00FB4EFA">
        <w:rPr>
          <w:rFonts w:cs="Charis SIL"/>
          <w:lang w:val="en-GB"/>
        </w:rPr>
        <w:t>owever, neither the reconstruction with *</w:t>
      </w:r>
      <w:r w:rsidRPr="00FB4EFA">
        <w:rPr>
          <w:rFonts w:cs="Charis SIL"/>
          <w:i/>
          <w:iCs/>
          <w:lang w:val="en-GB"/>
        </w:rPr>
        <w:t>o</w:t>
      </w:r>
      <w:r w:rsidRPr="00FB4EFA">
        <w:rPr>
          <w:rFonts w:cs="Charis SIL"/>
          <w:lang w:val="en-GB"/>
        </w:rPr>
        <w:t xml:space="preserve"> or *</w:t>
      </w:r>
      <w:r w:rsidRPr="00FB4EFA">
        <w:rPr>
          <w:rFonts w:cs="Charis SIL"/>
          <w:i/>
          <w:iCs/>
          <w:lang w:val="en-GB"/>
        </w:rPr>
        <w:t>e̮</w:t>
      </w:r>
      <w:r w:rsidRPr="00FB4EFA">
        <w:rPr>
          <w:rFonts w:cs="Charis SIL"/>
          <w:lang w:val="en-GB"/>
        </w:rPr>
        <w:t xml:space="preserve"> fits all the Uralic forms.</w:t>
      </w:r>
    </w:p>
    <w:p w14:paraId="24993FD8" w14:textId="77777777" w:rsidR="00B72515" w:rsidRPr="00FB4EFA" w:rsidRDefault="00B72515" w:rsidP="00AF0CAD">
      <w:pPr>
        <w:ind w:firstLine="720"/>
        <w:rPr>
          <w:rFonts w:cs="Charis SIL"/>
          <w:lang w:val="en-GB"/>
        </w:rPr>
      </w:pPr>
      <w:r w:rsidRPr="00FB4EFA">
        <w:rPr>
          <w:rFonts w:cs="Charis SIL"/>
          <w:lang w:val="en-GB"/>
        </w:rPr>
        <w:t xml:space="preserve">Hungarian </w:t>
      </w:r>
      <w:r w:rsidRPr="00FB4EFA">
        <w:rPr>
          <w:rFonts w:cs="Charis SIL"/>
          <w:i/>
          <w:iCs/>
          <w:lang w:val="en-GB"/>
        </w:rPr>
        <w:t>agyar</w:t>
      </w:r>
      <w:r w:rsidRPr="00FB4EFA">
        <w:rPr>
          <w:rFonts w:cs="Charis SIL"/>
          <w:lang w:val="en-GB"/>
        </w:rPr>
        <w:t xml:space="preserve"> can regularly reflect *</w:t>
      </w:r>
      <w:r w:rsidRPr="00FB4EFA">
        <w:rPr>
          <w:rFonts w:cs="Charis SIL"/>
          <w:i/>
          <w:iCs/>
          <w:lang w:val="en-GB"/>
        </w:rPr>
        <w:t>ońćara</w:t>
      </w:r>
      <w:r w:rsidRPr="00FB4EFA">
        <w:rPr>
          <w:rFonts w:cs="Charis SIL"/>
          <w:lang w:val="en-GB"/>
        </w:rPr>
        <w:t xml:space="preserve"> or *</w:t>
      </w:r>
      <w:r w:rsidRPr="00FB4EFA">
        <w:rPr>
          <w:rFonts w:cs="Charis SIL"/>
          <w:i/>
          <w:iCs/>
          <w:lang w:val="en-GB"/>
        </w:rPr>
        <w:t>ańćara</w:t>
      </w:r>
      <w:r w:rsidRPr="00FB4EFA">
        <w:rPr>
          <w:rFonts w:cs="Charis SIL"/>
          <w:lang w:val="en-GB"/>
        </w:rPr>
        <w:t xml:space="preserve"> (or *</w:t>
      </w:r>
      <w:r w:rsidRPr="00FB4EFA">
        <w:rPr>
          <w:rFonts w:cs="Charis SIL"/>
          <w:i/>
          <w:iCs/>
          <w:lang w:val="en-GB"/>
        </w:rPr>
        <w:t>óńćiri</w:t>
      </w:r>
      <w:r w:rsidRPr="00FB4EFA">
        <w:rPr>
          <w:rFonts w:cs="Charis SIL"/>
          <w:lang w:val="en-GB"/>
        </w:rPr>
        <w:t>, *</w:t>
      </w:r>
      <w:r w:rsidRPr="00FB4EFA">
        <w:rPr>
          <w:rFonts w:cs="Charis SIL"/>
          <w:i/>
          <w:iCs/>
          <w:lang w:val="en-GB"/>
        </w:rPr>
        <w:t>ańćiri</w:t>
      </w:r>
      <w:r w:rsidRPr="00FB4EFA">
        <w:rPr>
          <w:rFonts w:cs="Charis SIL"/>
          <w:lang w:val="en-GB"/>
        </w:rPr>
        <w:t>); also *</w:t>
      </w:r>
      <w:r w:rsidRPr="00FB4EFA">
        <w:rPr>
          <w:rFonts w:cs="Charis SIL"/>
          <w:i/>
          <w:iCs/>
          <w:lang w:val="en-GB"/>
        </w:rPr>
        <w:t>e̮ńćara</w:t>
      </w:r>
      <w:r w:rsidRPr="00FB4EFA">
        <w:rPr>
          <w:rFonts w:cs="Charis SIL"/>
          <w:lang w:val="en-GB"/>
        </w:rPr>
        <w:t xml:space="preserve"> or *</w:t>
      </w:r>
      <w:r w:rsidRPr="00FB4EFA">
        <w:rPr>
          <w:rFonts w:cs="Charis SIL"/>
          <w:i/>
          <w:iCs/>
          <w:lang w:val="en-GB"/>
        </w:rPr>
        <w:t>e̮ńćiri</w:t>
      </w:r>
      <w:r w:rsidRPr="00FB4EFA">
        <w:rPr>
          <w:rFonts w:cs="Charis SIL"/>
          <w:lang w:val="en-GB"/>
        </w:rPr>
        <w:t xml:space="preserve"> would be possible. There is thus no problem to derive the Hungarian word from the Uralic reconstructions of UEW or Sammallahti.</w:t>
      </w:r>
    </w:p>
    <w:p w14:paraId="26331444" w14:textId="5843EFFA" w:rsidR="00B72515" w:rsidRPr="00FB4EFA" w:rsidRDefault="00B72515" w:rsidP="00AF0CAD">
      <w:pPr>
        <w:ind w:firstLine="720"/>
        <w:rPr>
          <w:lang w:val="en-GB"/>
        </w:rPr>
      </w:pPr>
      <w:r w:rsidRPr="00FB4EFA">
        <w:rPr>
          <w:lang w:val="en-GB"/>
        </w:rPr>
        <w:t xml:space="preserve">However, the rest of the words are much more problematic. The Komi and Udmurt words are not regular cognates even within Permic, and the labial consonant makes the assessment of the etymology difficult. KESK, MszFE and TESz mention that Permic </w:t>
      </w:r>
      <w:r w:rsidRPr="00FB4EFA">
        <w:rPr>
          <w:i/>
          <w:iCs/>
          <w:lang w:val="en-GB"/>
        </w:rPr>
        <w:t>v-</w:t>
      </w:r>
      <w:r w:rsidRPr="00FB4EFA">
        <w:rPr>
          <w:lang w:val="en-GB"/>
        </w:rPr>
        <w:t xml:space="preserve"> is secondary, referring to Uotila (1933: 67). In this treatment of the reconstruction of the Permic proto-language, Csúcs (2005: 112) mentions the etymology in the list of Proto-Permic words with *</w:t>
      </w:r>
      <w:r w:rsidRPr="00FB4EFA">
        <w:rPr>
          <w:i/>
          <w:iCs/>
          <w:lang w:val="en-GB"/>
        </w:rPr>
        <w:t>w-</w:t>
      </w:r>
      <w:r w:rsidRPr="00FB4EFA">
        <w:rPr>
          <w:lang w:val="en-GB"/>
        </w:rPr>
        <w:t xml:space="preserve"> in </w:t>
      </w:r>
      <w:r w:rsidR="00FB3099" w:rsidRPr="00FB4EFA">
        <w:rPr>
          <w:lang w:val="en-GB"/>
        </w:rPr>
        <w:t>a</w:t>
      </w:r>
      <w:r w:rsidRPr="00FB4EFA">
        <w:rPr>
          <w:lang w:val="en-GB"/>
        </w:rPr>
        <w:t>nlaut. Csúcs lists several words with secondary Proto-Permic *</w:t>
      </w:r>
      <w:r w:rsidRPr="00FB4EFA">
        <w:rPr>
          <w:i/>
          <w:iCs/>
          <w:lang w:val="en-GB"/>
        </w:rPr>
        <w:t>w</w:t>
      </w:r>
      <w:r w:rsidRPr="00FB4EFA">
        <w:rPr>
          <w:lang w:val="en-GB"/>
        </w:rPr>
        <w:t xml:space="preserve">-, but in his (and UEW’s) reconstruction they reflect various Proto-Uralic initial vowels. It seems that in words with a labial vowel in </w:t>
      </w:r>
      <w:r w:rsidR="00FB3099" w:rsidRPr="00FB4EFA">
        <w:rPr>
          <w:lang w:val="en-GB"/>
        </w:rPr>
        <w:t>a</w:t>
      </w:r>
      <w:r w:rsidRPr="00FB4EFA">
        <w:rPr>
          <w:lang w:val="en-GB"/>
        </w:rPr>
        <w:t>nlaut, *</w:t>
      </w:r>
      <w:r w:rsidRPr="00FB4EFA">
        <w:rPr>
          <w:i/>
          <w:iCs/>
          <w:lang w:val="en-GB"/>
        </w:rPr>
        <w:t>w-</w:t>
      </w:r>
      <w:r w:rsidRPr="00FB4EFA">
        <w:rPr>
          <w:lang w:val="en-GB"/>
        </w:rPr>
        <w:t xml:space="preserve"> developed in Proto-Permic, but details are unclear, and it is not clear at all how the regular development should be described. In any case the words with </w:t>
      </w:r>
      <w:r w:rsidR="00FB3099" w:rsidRPr="00FB4EFA">
        <w:rPr>
          <w:lang w:val="en-GB"/>
        </w:rPr>
        <w:t>a</w:t>
      </w:r>
      <w:r w:rsidRPr="00FB4EFA">
        <w:rPr>
          <w:lang w:val="en-GB"/>
        </w:rPr>
        <w:t>nlaut *</w:t>
      </w:r>
      <w:r w:rsidRPr="00FB4EFA">
        <w:rPr>
          <w:i/>
          <w:iCs/>
          <w:lang w:val="en-GB"/>
        </w:rPr>
        <w:t>w-</w:t>
      </w:r>
      <w:r w:rsidRPr="00FB4EFA">
        <w:rPr>
          <w:lang w:val="en-GB"/>
        </w:rPr>
        <w:t xml:space="preserve"> show various first-syllable vowels, and the assessment of these etymologies is very difficult.</w:t>
      </w:r>
    </w:p>
    <w:p w14:paraId="109D4388" w14:textId="25A9D1F7" w:rsidR="00B72515" w:rsidRPr="00FB4EFA" w:rsidRDefault="00B72515" w:rsidP="00AF0CAD">
      <w:pPr>
        <w:ind w:firstLine="720"/>
        <w:rPr>
          <w:rFonts w:cs="Charis SIL"/>
          <w:lang w:val="mi-NZ"/>
        </w:rPr>
      </w:pPr>
      <w:r w:rsidRPr="00FB4EFA">
        <w:rPr>
          <w:rFonts w:cs="Charis SIL"/>
          <w:lang w:val="en-GB"/>
        </w:rPr>
        <w:lastRenderedPageBreak/>
        <w:t xml:space="preserve">Udmurt </w:t>
      </w:r>
      <w:r w:rsidRPr="00FB4EFA">
        <w:rPr>
          <w:rFonts w:cs="Charis SIL"/>
          <w:i/>
          <w:iCs/>
          <w:lang w:val="en-GB"/>
        </w:rPr>
        <w:t>važer</w:t>
      </w:r>
      <w:r w:rsidRPr="00FB4EFA">
        <w:rPr>
          <w:rFonts w:cs="Charis SIL"/>
          <w:lang w:val="en-GB"/>
        </w:rPr>
        <w:t xml:space="preserve"> alone would not be problematic, as </w:t>
      </w:r>
      <w:r w:rsidRPr="00FB4EFA">
        <w:rPr>
          <w:rFonts w:cs="Charis SIL"/>
          <w:i/>
          <w:iCs/>
          <w:lang w:val="en-GB"/>
        </w:rPr>
        <w:t>va-</w:t>
      </w:r>
      <w:r w:rsidRPr="00FB4EFA">
        <w:rPr>
          <w:rFonts w:cs="Charis SIL"/>
          <w:lang w:val="en-GB"/>
        </w:rPr>
        <w:t xml:space="preserve"> as the reflex of *</w:t>
      </w:r>
      <w:r w:rsidRPr="00FB4EFA">
        <w:rPr>
          <w:rFonts w:cs="Charis SIL"/>
          <w:i/>
          <w:iCs/>
          <w:lang w:val="en-GB"/>
        </w:rPr>
        <w:t>o</w:t>
      </w:r>
      <w:r w:rsidRPr="00FB4EFA">
        <w:rPr>
          <w:rFonts w:cs="Charis SIL"/>
          <w:lang w:val="en-GB"/>
        </w:rPr>
        <w:t xml:space="preserve"> is found in several inherited words such as Ud</w:t>
      </w:r>
      <w:r w:rsidR="000E61A4" w:rsidRPr="00FB4EFA">
        <w:rPr>
          <w:rFonts w:cs="Charis SIL"/>
          <w:lang w:val="en-GB"/>
        </w:rPr>
        <w:t>murt</w:t>
      </w:r>
      <w:r w:rsidRPr="00FB4EFA">
        <w:rPr>
          <w:rFonts w:cs="Charis SIL"/>
          <w:lang w:val="en-GB"/>
        </w:rPr>
        <w:t xml:space="preserve"> </w:t>
      </w:r>
      <w:r w:rsidRPr="00FB4EFA">
        <w:rPr>
          <w:rFonts w:cs="Charis SIL"/>
          <w:i/>
          <w:iCs/>
          <w:lang w:val="en-GB"/>
        </w:rPr>
        <w:t>war</w:t>
      </w:r>
      <w:r w:rsidRPr="00FB4EFA">
        <w:rPr>
          <w:rFonts w:cs="Charis SIL"/>
          <w:lang w:val="en-GB"/>
        </w:rPr>
        <w:t xml:space="preserve"> ‘slave’ &lt; PU *</w:t>
      </w:r>
      <w:r w:rsidRPr="00FB4EFA">
        <w:rPr>
          <w:rFonts w:cs="Charis SIL"/>
          <w:i/>
          <w:iCs/>
          <w:lang w:val="en-GB"/>
        </w:rPr>
        <w:t>orja</w:t>
      </w:r>
      <w:r w:rsidRPr="00FB4EFA">
        <w:rPr>
          <w:rFonts w:cs="Charis SIL"/>
          <w:lang w:val="en-GB"/>
        </w:rPr>
        <w:t xml:space="preserve"> (UEW: 721)</w:t>
      </w:r>
      <w:r w:rsidRPr="00FB4EFA">
        <w:rPr>
          <w:rFonts w:cs="Charis SIL"/>
          <w:vertAlign w:val="superscript"/>
          <w:lang w:val="en-GB"/>
        </w:rPr>
        <w:footnoteReference w:id="68"/>
      </w:r>
      <w:r w:rsidRPr="00FB4EFA">
        <w:rPr>
          <w:rFonts w:cs="Charis SIL"/>
          <w:lang w:val="en-GB"/>
        </w:rPr>
        <w:t xml:space="preserve">. However, the Komi unrounded central back vowel </w:t>
      </w:r>
      <w:r w:rsidRPr="00FB4EFA">
        <w:rPr>
          <w:rFonts w:cs="Charis SIL"/>
          <w:i/>
          <w:lang w:val="en-GB"/>
        </w:rPr>
        <w:t>e̮</w:t>
      </w:r>
      <w:r w:rsidRPr="00FB4EFA">
        <w:rPr>
          <w:rFonts w:cs="Charis SIL"/>
          <w:lang w:val="en-GB"/>
        </w:rPr>
        <w:t xml:space="preserve"> does not occur as the cognate of Udmurt </w:t>
      </w:r>
      <w:r w:rsidRPr="00FB4EFA">
        <w:rPr>
          <w:rFonts w:cs="Charis SIL"/>
          <w:i/>
          <w:iCs/>
          <w:lang w:val="en-GB"/>
        </w:rPr>
        <w:t>a</w:t>
      </w:r>
      <w:r w:rsidRPr="00FB4EFA">
        <w:rPr>
          <w:rFonts w:cs="Charis SIL"/>
          <w:lang w:val="en-GB"/>
        </w:rPr>
        <w:t xml:space="preserve"> in any of the other words listed by Csúcs (2005).</w:t>
      </w:r>
      <w:r w:rsidR="00B3196C" w:rsidRPr="00FB4EFA">
        <w:rPr>
          <w:rFonts w:cs="Charis SIL"/>
          <w:lang w:val="en-GB"/>
        </w:rPr>
        <w:t xml:space="preserve"> </w:t>
      </w:r>
      <w:r w:rsidR="000E61A4" w:rsidRPr="00FB4EFA">
        <w:rPr>
          <w:rFonts w:cs="Charis SIL"/>
          <w:lang w:val="en-GB"/>
        </w:rPr>
        <w:t xml:space="preserve">On the other hand, </w:t>
      </w:r>
      <w:r w:rsidR="00B3196C" w:rsidRPr="00FB4EFA">
        <w:t xml:space="preserve">Metsäranta (personal communication) remarks that the </w:t>
      </w:r>
      <w:r w:rsidR="00B3196C" w:rsidRPr="00FB4EFA">
        <w:rPr>
          <w:i/>
          <w:iCs/>
        </w:rPr>
        <w:t>o</w:t>
      </w:r>
      <w:r w:rsidR="00B3196C" w:rsidRPr="00FB4EFA">
        <w:t xml:space="preserve"> in Komi </w:t>
      </w:r>
      <w:r w:rsidR="00B3196C" w:rsidRPr="00FB4EFA">
        <w:rPr>
          <w:i/>
          <w:iCs/>
        </w:rPr>
        <w:t>voʒ́ir</w:t>
      </w:r>
      <w:r w:rsidR="00B3196C" w:rsidRPr="00FB4EFA">
        <w:t xml:space="preserve"> is less problematic as cognate to Udmurt </w:t>
      </w:r>
      <w:r w:rsidR="00B3196C" w:rsidRPr="00FB4EFA">
        <w:rPr>
          <w:i/>
          <w:iCs/>
        </w:rPr>
        <w:t>a</w:t>
      </w:r>
      <w:r w:rsidR="00B3196C" w:rsidRPr="00FB4EFA">
        <w:t>, as</w:t>
      </w:r>
      <w:r w:rsidR="000E61A4" w:rsidRPr="00FB4EFA">
        <w:t xml:space="preserve"> other</w:t>
      </w:r>
      <w:r w:rsidR="00B3196C" w:rsidRPr="00FB4EFA">
        <w:t xml:space="preserve"> </w:t>
      </w:r>
      <w:r w:rsidR="000E61A4" w:rsidRPr="00FB4EFA">
        <w:t>examples of this</w:t>
      </w:r>
      <w:r w:rsidR="00B3196C" w:rsidRPr="00FB4EFA">
        <w:t xml:space="preserve"> correspondence can be found (such as Komi </w:t>
      </w:r>
      <w:r w:rsidR="00B3196C" w:rsidRPr="00FB4EFA">
        <w:rPr>
          <w:i/>
          <w:iCs/>
        </w:rPr>
        <w:t>kośmi̮</w:t>
      </w:r>
      <w:r w:rsidR="00B3196C" w:rsidRPr="00FB4EFA">
        <w:t xml:space="preserve">- ~ Udmurt </w:t>
      </w:r>
      <w:r w:rsidR="00B3196C" w:rsidRPr="00FB4EFA">
        <w:rPr>
          <w:i/>
          <w:iCs/>
        </w:rPr>
        <w:t>kwaśmi</w:t>
      </w:r>
      <w:r w:rsidR="00B3196C" w:rsidRPr="00FB4EFA">
        <w:t xml:space="preserve">- ‘to dry’). </w:t>
      </w:r>
      <w:r w:rsidR="000E61A4" w:rsidRPr="00FB4EFA">
        <w:t>D</w:t>
      </w:r>
      <w:r w:rsidR="00B3196C" w:rsidRPr="00FB4EFA">
        <w:t>ue to the irregularity within Komi dialects, the correspondence</w:t>
      </w:r>
      <w:r w:rsidR="00FB3099" w:rsidRPr="00FB4EFA">
        <w:t>s</w:t>
      </w:r>
      <w:r w:rsidR="00B3196C" w:rsidRPr="00FB4EFA">
        <w:t xml:space="preserve"> within Permic remain problematic.</w:t>
      </w:r>
    </w:p>
    <w:p w14:paraId="7C346F2D" w14:textId="7C2CB75F" w:rsidR="00B72515" w:rsidRPr="00FB4EFA" w:rsidRDefault="00B72515" w:rsidP="00AF0CAD">
      <w:pPr>
        <w:ind w:firstLine="709"/>
        <w:rPr>
          <w:lang w:val="en-GB"/>
        </w:rPr>
      </w:pPr>
      <w:r w:rsidRPr="00FB4EFA">
        <w:rPr>
          <w:rFonts w:cs="Charis SIL"/>
          <w:lang w:val="en-GB"/>
        </w:rPr>
        <w:t xml:space="preserve">The Mansi word (Mansi N </w:t>
      </w:r>
      <w:r w:rsidRPr="00FB4EFA">
        <w:rPr>
          <w:rFonts w:cs="Charis SIL"/>
          <w:i/>
          <w:iCs/>
          <w:lang w:val="en-GB"/>
        </w:rPr>
        <w:t xml:space="preserve">ańśər </w:t>
      </w:r>
      <w:r w:rsidRPr="00FB4EFA">
        <w:rPr>
          <w:rFonts w:cs="Charis SIL"/>
          <w:lang w:val="en-GB"/>
        </w:rPr>
        <w:t xml:space="preserve">‘medvefog’, P </w:t>
      </w:r>
      <w:r w:rsidRPr="00FB4EFA">
        <w:rPr>
          <w:rFonts w:cs="Charis SIL"/>
          <w:i/>
          <w:iCs/>
          <w:lang w:val="en-GB"/>
        </w:rPr>
        <w:t>äńśər</w:t>
      </w:r>
      <w:r w:rsidRPr="00FB4EFA">
        <w:rPr>
          <w:rFonts w:cs="Charis SIL"/>
          <w:lang w:val="en-GB"/>
        </w:rPr>
        <w:t xml:space="preserve"> ‘Hauzahn’, KU </w:t>
      </w:r>
      <w:r w:rsidRPr="00FB4EFA">
        <w:rPr>
          <w:rFonts w:cs="Charis SIL"/>
          <w:i/>
          <w:iCs/>
          <w:lang w:val="en-GB"/>
        </w:rPr>
        <w:t>äńśər</w:t>
      </w:r>
      <w:r w:rsidRPr="00FB4EFA">
        <w:rPr>
          <w:rFonts w:cs="Charis SIL"/>
          <w:lang w:val="en-GB"/>
        </w:rPr>
        <w:t xml:space="preserve"> ‘Hauzahn’, TJ </w:t>
      </w:r>
      <w:r w:rsidRPr="00FB4EFA">
        <w:rPr>
          <w:rFonts w:cs="Charis SIL"/>
          <w:i/>
          <w:iCs/>
          <w:lang w:val="en-GB"/>
        </w:rPr>
        <w:t>ɛ̮ńćə·r</w:t>
      </w:r>
      <w:r w:rsidRPr="00FB4EFA">
        <w:rPr>
          <w:rFonts w:cs="Charis SIL"/>
          <w:lang w:val="en-GB"/>
        </w:rPr>
        <w:t xml:space="preserve"> ‘Hauzahn’) is likewise problematic, as it cannot be a regular cognate of either the Permic or the Hungarian</w:t>
      </w:r>
      <w:r w:rsidRPr="00FB4EFA">
        <w:rPr>
          <w:lang w:val="en-GB"/>
        </w:rPr>
        <w:t xml:space="preserve"> word. It is unclear what Pre-Mansi vowel the word could reflect: most forms point to Proto-Mansi *</w:t>
      </w:r>
      <w:r w:rsidRPr="00FB4EFA">
        <w:rPr>
          <w:i/>
          <w:iCs/>
          <w:lang w:val="en-GB"/>
        </w:rPr>
        <w:t>ä</w:t>
      </w:r>
      <w:r w:rsidRPr="00FB4EFA">
        <w:rPr>
          <w:lang w:val="en-GB"/>
        </w:rPr>
        <w:t xml:space="preserve">, but </w:t>
      </w:r>
      <w:r w:rsidRPr="00FB4EFA">
        <w:rPr>
          <w:rFonts w:cs="Charis SIL"/>
          <w:i/>
          <w:iCs/>
          <w:lang w:val="en-GB"/>
        </w:rPr>
        <w:t>ɛ̮</w:t>
      </w:r>
      <w:r w:rsidRPr="00FB4EFA">
        <w:rPr>
          <w:rFonts w:cs="Charis SIL"/>
          <w:iCs/>
          <w:lang w:val="en-GB"/>
        </w:rPr>
        <w:t xml:space="preserve"> in South Mansi (TJ) </w:t>
      </w:r>
      <w:r w:rsidR="00452F3E" w:rsidRPr="00FB4EFA">
        <w:rPr>
          <w:rFonts w:cs="Charis SIL"/>
          <w:iCs/>
          <w:lang w:val="en-GB"/>
        </w:rPr>
        <w:t>does not support this</w:t>
      </w:r>
      <w:r w:rsidRPr="00FB4EFA">
        <w:rPr>
          <w:lang w:val="en-GB"/>
        </w:rPr>
        <w:t>. The phonology of the Mansi word requires further research, but it is quite clear that the word must be a parallel loan.</w:t>
      </w:r>
    </w:p>
    <w:p w14:paraId="029A0916" w14:textId="6B3D5703" w:rsidR="00B72515" w:rsidRPr="00FB4EFA" w:rsidRDefault="00B72515" w:rsidP="00AF0CAD">
      <w:pPr>
        <w:ind w:firstLine="720"/>
        <w:rPr>
          <w:rFonts w:cs="Charis SIL"/>
          <w:lang w:val="en-GB"/>
        </w:rPr>
      </w:pPr>
      <w:r w:rsidRPr="00FB4EFA">
        <w:rPr>
          <w:lang w:val="en-GB"/>
        </w:rPr>
        <w:t xml:space="preserve">Various Khanty forms have been connected to the other Uralic words and it seems that the forms listed by UEW (340), MszFE (73–74 s.v. </w:t>
      </w:r>
      <w:r w:rsidRPr="00FB4EFA">
        <w:rPr>
          <w:i/>
          <w:iCs/>
          <w:lang w:val="en-GB"/>
        </w:rPr>
        <w:t>agyar</w:t>
      </w:r>
      <w:r w:rsidRPr="00FB4EFA">
        <w:rPr>
          <w:iCs/>
          <w:lang w:val="en-GB"/>
        </w:rPr>
        <w:t>)</w:t>
      </w:r>
      <w:r w:rsidRPr="00FB4EFA">
        <w:rPr>
          <w:lang w:val="en-GB"/>
        </w:rPr>
        <w:t xml:space="preserve">, TESz (s.v. </w:t>
      </w:r>
      <w:r w:rsidRPr="00FB4EFA">
        <w:rPr>
          <w:i/>
          <w:lang w:val="en-GB"/>
        </w:rPr>
        <w:t>agyar</w:t>
      </w:r>
      <w:r w:rsidRPr="00FB4EFA">
        <w:rPr>
          <w:lang w:val="en-GB"/>
        </w:rPr>
        <w:t xml:space="preserve">), Zaicz (2006 s.v. </w:t>
      </w:r>
      <w:r w:rsidRPr="00FB4EFA">
        <w:rPr>
          <w:i/>
          <w:lang w:val="en-GB"/>
        </w:rPr>
        <w:t>agyar</w:t>
      </w:r>
      <w:r w:rsidRPr="00FB4EFA">
        <w:rPr>
          <w:lang w:val="en-GB"/>
        </w:rPr>
        <w:t>)</w:t>
      </w:r>
      <w:r w:rsidR="00FB3099" w:rsidRPr="00FB4EFA">
        <w:rPr>
          <w:lang w:val="en-GB"/>
        </w:rPr>
        <w:t>,</w:t>
      </w:r>
      <w:r w:rsidRPr="00FB4EFA">
        <w:rPr>
          <w:lang w:val="en-GB"/>
        </w:rPr>
        <w:t xml:space="preserve"> and Sammallahti (1988: 541) are certainly not cognates of the Mansi words: it is also clear that all the Khanty words listed by UEW are not cognates with each other. MszFE refers to Gulya (1964: 114)</w:t>
      </w:r>
      <w:r w:rsidR="00FB3099" w:rsidRPr="00FB4EFA">
        <w:rPr>
          <w:lang w:val="en-GB"/>
        </w:rPr>
        <w:t>,</w:t>
      </w:r>
      <w:r w:rsidRPr="00FB4EFA">
        <w:rPr>
          <w:lang w:val="en-GB"/>
        </w:rPr>
        <w:t xml:space="preserve"> who notes that Khanty </w:t>
      </w:r>
      <w:r w:rsidRPr="00FB4EFA">
        <w:rPr>
          <w:rFonts w:cs="Charis SIL"/>
          <w:i/>
          <w:iCs/>
          <w:lang w:val="en-GB"/>
        </w:rPr>
        <w:t>ańźar</w:t>
      </w:r>
      <w:r w:rsidRPr="00FB4EFA">
        <w:rPr>
          <w:rFonts w:cs="Charis SIL"/>
          <w:lang w:val="en-GB"/>
        </w:rPr>
        <w:t xml:space="preserve"> is found only in the northern dialects and only in the specific meaning ‘Eck-, Reisszahn des Bären’, which points to the conclusion that it is a loan from Mansi. This is a plausible explanation. UEW and DEWOS (133–134) likewise consider the North Khanty words loans from Mansi (UEW only states that the Kazym form is a loan, but obviously the same is true of the Obdorsk form). None of the South Khanty forms mentioned by UEW can reflect an earlier *</w:t>
      </w:r>
      <w:r w:rsidRPr="00FB4EFA">
        <w:rPr>
          <w:rFonts w:cs="Charis SIL"/>
          <w:i/>
          <w:iCs/>
          <w:lang w:val="en-GB"/>
        </w:rPr>
        <w:t>ńć</w:t>
      </w:r>
      <w:r w:rsidRPr="00FB4EFA">
        <w:rPr>
          <w:rFonts w:cs="Charis SIL"/>
          <w:lang w:val="en-GB"/>
        </w:rPr>
        <w:t xml:space="preserve"> cluster. Sammallahti (1988: 541) mentions </w:t>
      </w:r>
      <w:r w:rsidR="00FB3099" w:rsidRPr="00FB4EFA">
        <w:rPr>
          <w:rFonts w:cs="Charis SIL"/>
          <w:lang w:val="en-GB"/>
        </w:rPr>
        <w:br/>
      </w:r>
      <w:r w:rsidRPr="00FB4EFA">
        <w:rPr>
          <w:rFonts w:cs="Charis SIL"/>
          <w:lang w:val="en-GB"/>
        </w:rPr>
        <w:t>Proto-Khanty *</w:t>
      </w:r>
      <w:r w:rsidRPr="00FB4EFA">
        <w:rPr>
          <w:rFonts w:cs="Charis SIL"/>
          <w:i/>
          <w:iCs/>
          <w:lang w:val="en-GB"/>
        </w:rPr>
        <w:t>ańćar</w:t>
      </w:r>
      <w:r w:rsidRPr="00FB4EFA">
        <w:rPr>
          <w:rFonts w:cs="Charis SIL"/>
          <w:lang w:val="en-GB"/>
        </w:rPr>
        <w:t xml:space="preserve"> among the list of cognates: although such a form could be postulated on the basis of the North</w:t>
      </w:r>
      <w:r w:rsidR="00AB124E" w:rsidRPr="00FB4EFA">
        <w:rPr>
          <w:rFonts w:cs="Charis SIL"/>
          <w:lang w:val="en-GB"/>
        </w:rPr>
        <w:t xml:space="preserve"> </w:t>
      </w:r>
      <w:r w:rsidRPr="00FB4EFA">
        <w:rPr>
          <w:rFonts w:cs="Charis SIL"/>
          <w:lang w:val="en-GB"/>
        </w:rPr>
        <w:t>Khanty forms, there is little reason to assume that the word goes back to Proto-Khanty, as it looks like a relatively late Mansi loan.</w:t>
      </w:r>
    </w:p>
    <w:p w14:paraId="6A5B4EA8" w14:textId="2AB1A3FC" w:rsidR="00B72515" w:rsidRPr="00FB4EFA" w:rsidRDefault="00B72515" w:rsidP="00AF0CAD">
      <w:pPr>
        <w:ind w:firstLine="720"/>
        <w:rPr>
          <w:lang w:val="en-GB"/>
        </w:rPr>
      </w:pPr>
      <w:r w:rsidRPr="00FB4EFA">
        <w:rPr>
          <w:rFonts w:cs="Charis SIL"/>
          <w:lang w:val="en-GB"/>
        </w:rPr>
        <w:lastRenderedPageBreak/>
        <w:t xml:space="preserve">The South Khanty forms DT </w:t>
      </w:r>
      <w:r w:rsidRPr="00FB4EFA">
        <w:rPr>
          <w:rFonts w:cs="Charis SIL"/>
          <w:i/>
          <w:iCs/>
          <w:lang w:val="en-GB"/>
        </w:rPr>
        <w:t>ȧ̆ŋt́əl</w:t>
      </w:r>
      <w:r w:rsidRPr="00FB4EFA">
        <w:rPr>
          <w:rFonts w:cs="Charis SIL"/>
          <w:lang w:val="en-GB"/>
        </w:rPr>
        <w:t xml:space="preserve"> ‘Reißzahn des Bären’, Kr </w:t>
      </w:r>
      <w:r w:rsidRPr="00FB4EFA">
        <w:rPr>
          <w:rFonts w:cs="Charis SIL"/>
          <w:i/>
          <w:iCs/>
          <w:lang w:val="en-GB"/>
        </w:rPr>
        <w:t>ȧ̆ŋt́əl</w:t>
      </w:r>
      <w:r w:rsidRPr="00FB4EFA">
        <w:rPr>
          <w:rFonts w:cs="Charis SIL"/>
          <w:lang w:val="en-GB"/>
        </w:rPr>
        <w:t xml:space="preserve"> ‘Zahn der Bären’, Kam </w:t>
      </w:r>
      <w:r w:rsidRPr="00FB4EFA">
        <w:rPr>
          <w:rFonts w:cs="Charis SIL"/>
          <w:i/>
          <w:iCs/>
          <w:lang w:val="en-GB"/>
        </w:rPr>
        <w:t>ȧŋt́əl</w:t>
      </w:r>
      <w:r w:rsidRPr="00FB4EFA">
        <w:rPr>
          <w:rFonts w:cs="Charis SIL"/>
          <w:lang w:val="en-GB"/>
        </w:rPr>
        <w:t xml:space="preserve"> ‘Backenzahn’, O </w:t>
      </w:r>
      <w:r w:rsidRPr="00FB4EFA">
        <w:rPr>
          <w:rFonts w:cs="Charis SIL"/>
          <w:i/>
          <w:iCs/>
          <w:lang w:val="en-GB"/>
        </w:rPr>
        <w:t xml:space="preserve">ȧ̆ńśȧr </w:t>
      </w:r>
      <w:r w:rsidRPr="00FB4EFA">
        <w:rPr>
          <w:rFonts w:cs="Charis SIL"/>
          <w:lang w:val="en-GB"/>
        </w:rPr>
        <w:t xml:space="preserve">‘hinten am Gürtel getragener Bärenzahn’, </w:t>
      </w:r>
      <w:r w:rsidRPr="00FB4EFA">
        <w:rPr>
          <w:rFonts w:cs="Charis SIL"/>
          <w:i/>
          <w:iCs/>
          <w:lang w:val="en-GB"/>
        </w:rPr>
        <w:t>ăńśar ‘</w:t>
      </w:r>
      <w:r w:rsidRPr="00FB4EFA">
        <w:rPr>
          <w:rFonts w:cs="Charis SIL"/>
          <w:lang w:val="en-GB"/>
        </w:rPr>
        <w:t>Eck-, Reißzahn des Bären’ can hardly be explained as Mansi loans, however. These forms</w:t>
      </w:r>
      <w:r w:rsidRPr="00FB4EFA">
        <w:rPr>
          <w:lang w:val="en-GB"/>
        </w:rPr>
        <w:t xml:space="preserve"> cannot be regular </w:t>
      </w:r>
      <w:r w:rsidRPr="00FB4EFA">
        <w:rPr>
          <w:rFonts w:cs="Charis SIL"/>
          <w:lang w:val="en-GB"/>
        </w:rPr>
        <w:t>cognates to the other Uralic forms either, and the Khanty</w:t>
      </w:r>
      <w:r w:rsidRPr="00FB4EFA">
        <w:rPr>
          <w:rFonts w:cs="Charis SIL"/>
          <w:i/>
          <w:iCs/>
          <w:lang w:val="en-GB"/>
        </w:rPr>
        <w:t xml:space="preserve"> ŋć</w:t>
      </w:r>
      <w:r w:rsidR="00F71FC9" w:rsidRPr="00FB4EFA">
        <w:rPr>
          <w:rFonts w:cs="Charis SIL"/>
          <w:lang w:val="en-GB"/>
        </w:rPr>
        <w:noBreakHyphen/>
      </w:r>
      <w:r w:rsidRPr="00FB4EFA">
        <w:rPr>
          <w:rFonts w:cs="Charis SIL"/>
          <w:lang w:val="en-GB"/>
        </w:rPr>
        <w:t>consonantism</w:t>
      </w:r>
      <w:r w:rsidRPr="00FB4EFA">
        <w:rPr>
          <w:rFonts w:cs="Charis SIL"/>
          <w:i/>
          <w:iCs/>
          <w:lang w:val="en-GB"/>
        </w:rPr>
        <w:t xml:space="preserve"> </w:t>
      </w:r>
      <w:r w:rsidRPr="00FB4EFA">
        <w:rPr>
          <w:rFonts w:cs="Charis SIL"/>
          <w:lang w:val="en-GB"/>
        </w:rPr>
        <w:t>regularly reflect</w:t>
      </w:r>
      <w:r w:rsidR="00FB3099" w:rsidRPr="00FB4EFA">
        <w:rPr>
          <w:rFonts w:cs="Charis SIL"/>
          <w:lang w:val="en-GB"/>
        </w:rPr>
        <w:t>s</w:t>
      </w:r>
      <w:r w:rsidRPr="00FB4EFA">
        <w:rPr>
          <w:rFonts w:cs="Charis SIL"/>
          <w:lang w:val="en-GB"/>
        </w:rPr>
        <w:t xml:space="preserve"> a Proto-Uralic cluster *</w:t>
      </w:r>
      <w:r w:rsidRPr="00FB4EFA">
        <w:rPr>
          <w:rFonts w:cs="Charis SIL"/>
          <w:i/>
          <w:iCs/>
          <w:lang w:val="en-GB"/>
        </w:rPr>
        <w:t>ńć</w:t>
      </w:r>
      <w:r w:rsidRPr="00FB4EFA">
        <w:rPr>
          <w:rFonts w:cs="Charis SIL"/>
          <w:lang w:val="en-GB"/>
        </w:rPr>
        <w:t>; furthermore, *</w:t>
      </w:r>
      <w:r w:rsidRPr="00FB4EFA">
        <w:rPr>
          <w:rFonts w:cs="Charis SIL"/>
          <w:i/>
          <w:iCs/>
          <w:lang w:val="en-GB"/>
        </w:rPr>
        <w:t>l</w:t>
      </w:r>
      <w:r w:rsidRPr="00FB4EFA">
        <w:rPr>
          <w:rFonts w:cs="Charis SIL"/>
          <w:lang w:val="en-GB"/>
        </w:rPr>
        <w:t xml:space="preserve"> from *</w:t>
      </w:r>
      <w:r w:rsidRPr="00FB4EFA">
        <w:rPr>
          <w:rFonts w:cs="Charis SIL"/>
          <w:i/>
          <w:iCs/>
          <w:lang w:val="en-GB"/>
        </w:rPr>
        <w:t>r</w:t>
      </w:r>
      <w:r w:rsidRPr="00FB4EFA">
        <w:rPr>
          <w:rFonts w:cs="Charis SIL"/>
          <w:lang w:val="en-GB"/>
        </w:rPr>
        <w:t xml:space="preserve"> would be irregular. UEW states that “Die Konsonanten </w:t>
      </w:r>
      <w:r w:rsidRPr="00FB4EFA">
        <w:rPr>
          <w:rFonts w:cs="Charis SIL"/>
          <w:i/>
          <w:iCs/>
          <w:lang w:val="en-GB"/>
        </w:rPr>
        <w:t>ŋ</w:t>
      </w:r>
      <w:r w:rsidRPr="00FB4EFA">
        <w:rPr>
          <w:rFonts w:cs="Charis SIL"/>
          <w:lang w:val="en-GB"/>
        </w:rPr>
        <w:t xml:space="preserve"> (&lt; *</w:t>
      </w:r>
      <w:r w:rsidRPr="00FB4EFA">
        <w:rPr>
          <w:rFonts w:cs="Charis SIL"/>
          <w:i/>
          <w:iCs/>
          <w:lang w:val="en-GB"/>
        </w:rPr>
        <w:t>ń</w:t>
      </w:r>
      <w:r w:rsidRPr="00FB4EFA">
        <w:rPr>
          <w:rFonts w:cs="Charis SIL"/>
          <w:lang w:val="en-GB"/>
        </w:rPr>
        <w:t xml:space="preserve">) und </w:t>
      </w:r>
      <w:r w:rsidRPr="00FB4EFA">
        <w:rPr>
          <w:rFonts w:cs="Charis SIL"/>
          <w:i/>
          <w:iCs/>
          <w:lang w:val="en-GB"/>
        </w:rPr>
        <w:t>l</w:t>
      </w:r>
      <w:r w:rsidRPr="00FB4EFA">
        <w:rPr>
          <w:rFonts w:cs="Charis SIL"/>
          <w:lang w:val="en-GB"/>
        </w:rPr>
        <w:t xml:space="preserve"> (&lt; *</w:t>
      </w:r>
      <w:r w:rsidRPr="00FB4EFA">
        <w:rPr>
          <w:rFonts w:cs="Charis SIL"/>
          <w:i/>
          <w:iCs/>
          <w:lang w:val="en-GB"/>
        </w:rPr>
        <w:t>r</w:t>
      </w:r>
      <w:r w:rsidRPr="00FB4EFA">
        <w:rPr>
          <w:rFonts w:cs="Charis SIL"/>
          <w:lang w:val="en-GB"/>
        </w:rPr>
        <w:t xml:space="preserve">) in den Formen ostj. DT Kr. Kam. können das Ergebnis einer tabuistischen Deformation sein. Auch </w:t>
      </w:r>
      <w:r w:rsidRPr="00FB4EFA">
        <w:rPr>
          <w:rFonts w:cs="Charis SIL"/>
          <w:i/>
          <w:iCs/>
          <w:lang w:val="en-GB"/>
        </w:rPr>
        <w:t>ȧ</w:t>
      </w:r>
      <w:r w:rsidRPr="00FB4EFA">
        <w:rPr>
          <w:rFonts w:cs="Charis SIL"/>
          <w:lang w:val="en-GB"/>
        </w:rPr>
        <w:t xml:space="preserve">, </w:t>
      </w:r>
      <w:r w:rsidRPr="00FB4EFA">
        <w:rPr>
          <w:rFonts w:cs="Charis SIL"/>
          <w:i/>
          <w:iCs/>
          <w:lang w:val="en-GB"/>
        </w:rPr>
        <w:t>ȧ̆</w:t>
      </w:r>
      <w:r w:rsidRPr="00FB4EFA">
        <w:rPr>
          <w:rFonts w:cs="Charis SIL"/>
          <w:lang w:val="en-GB"/>
        </w:rPr>
        <w:t xml:space="preserve"> sind unregelmäßig”. The explanation involving a “taboo deformation” is ad hoc if no parallels for such a development are given. The origin of Khanty </w:t>
      </w:r>
      <w:r w:rsidRPr="00FB4EFA">
        <w:rPr>
          <w:rFonts w:cs="Charis SIL"/>
          <w:i/>
          <w:iCs/>
          <w:lang w:val="en-GB"/>
        </w:rPr>
        <w:t>ȧ̆ŋt́əl</w:t>
      </w:r>
      <w:r w:rsidRPr="00FB4EFA">
        <w:rPr>
          <w:rFonts w:cs="Charis SIL"/>
          <w:lang w:val="en-GB"/>
        </w:rPr>
        <w:t xml:space="preserve"> remains a mystery, but as it cannot be regularly connected to any of the other Uralic words (also not to the Indo-Iranian original), the word could be a completely</w:t>
      </w:r>
      <w:r w:rsidRPr="00FB4EFA">
        <w:rPr>
          <w:lang w:val="en-GB"/>
        </w:rPr>
        <w:t xml:space="preserve"> unrelated lexeme that only shows accidental similarity.</w:t>
      </w:r>
    </w:p>
    <w:p w14:paraId="4BE56FAE" w14:textId="686B1293" w:rsidR="00B72515" w:rsidRPr="00FB4EFA" w:rsidRDefault="00B72515" w:rsidP="00AF0CAD">
      <w:pPr>
        <w:ind w:firstLine="720"/>
        <w:rPr>
          <w:rFonts w:cs="Charis SIL"/>
          <w:lang w:val="en-GB"/>
        </w:rPr>
      </w:pPr>
      <w:r w:rsidRPr="00FB4EFA">
        <w:rPr>
          <w:lang w:val="en-GB"/>
        </w:rPr>
        <w:t>In UEW, MszFE, and EWUNg, it is assumed that the Uralic word *</w:t>
      </w:r>
      <w:r w:rsidRPr="00FB4EFA">
        <w:rPr>
          <w:rFonts w:cs="Charis SIL"/>
          <w:i/>
          <w:iCs/>
          <w:lang w:val="en-GB"/>
        </w:rPr>
        <w:t>ońćV-rV</w:t>
      </w:r>
      <w:r w:rsidRPr="00FB4EFA">
        <w:rPr>
          <w:lang w:val="en-GB"/>
        </w:rPr>
        <w:t xml:space="preserve"> contains a derivational suffix *</w:t>
      </w:r>
      <w:r w:rsidRPr="00FB4EFA">
        <w:rPr>
          <w:i/>
          <w:iCs/>
          <w:lang w:val="en-GB"/>
        </w:rPr>
        <w:t>-rV</w:t>
      </w:r>
      <w:r w:rsidRPr="00FB4EFA">
        <w:rPr>
          <w:lang w:val="en-GB"/>
        </w:rPr>
        <w:t>, which according to UEW appears in a number of Proto-Uralic, Proto-Finno-Ugric, Proto-Finno-Permian</w:t>
      </w:r>
      <w:r w:rsidR="00FB3099" w:rsidRPr="00FB4EFA">
        <w:rPr>
          <w:lang w:val="en-GB"/>
        </w:rPr>
        <w:t>,</w:t>
      </w:r>
      <w:r w:rsidRPr="00FB4EFA">
        <w:rPr>
          <w:lang w:val="en-GB"/>
        </w:rPr>
        <w:t xml:space="preserve"> and Proto-Ugric etymologies (it is argued that a reflex of the same suffix also appears in a number of Proto-Ob-Ugric etymologies, Riese 2001: 52). Such a Proto-Uralic derivational suffix is also reconstructed in other presentations of Uralic historical morphology </w:t>
      </w:r>
      <w:r w:rsidR="00814A40" w:rsidRPr="00FB4EFA">
        <w:rPr>
          <w:lang w:val="en-GB"/>
        </w:rPr>
        <w:br/>
      </w:r>
      <w:r w:rsidRPr="00FB4EFA">
        <w:rPr>
          <w:lang w:val="en-GB"/>
        </w:rPr>
        <w:t xml:space="preserve">(see </w:t>
      </w:r>
      <w:r w:rsidR="00466236" w:rsidRPr="00FB4EFA">
        <w:rPr>
          <w:lang w:val="en-GB"/>
        </w:rPr>
        <w:t>e.g., </w:t>
      </w:r>
      <w:r w:rsidRPr="00FB4EFA">
        <w:rPr>
          <w:lang w:val="en-GB"/>
        </w:rPr>
        <w:t xml:space="preserve">Rédei 1975: 95–100; Majtyinszkaja 1974: 352; Riese 2001: 52; Maticsák 2015: 154). Although denominal derivational suffixes with </w:t>
      </w:r>
      <w:r w:rsidRPr="00FB4EFA">
        <w:rPr>
          <w:i/>
          <w:lang w:val="en-GB"/>
        </w:rPr>
        <w:t>r</w:t>
      </w:r>
      <w:r w:rsidRPr="00FB4EFA">
        <w:rPr>
          <w:lang w:val="en-GB"/>
        </w:rPr>
        <w:t xml:space="preserve"> do exist in many Uralic languages (for example, Khanty -</w:t>
      </w:r>
      <w:r w:rsidRPr="00FB4EFA">
        <w:rPr>
          <w:i/>
          <w:lang w:val="en-GB"/>
        </w:rPr>
        <w:t>r</w:t>
      </w:r>
      <w:r w:rsidRPr="00FB4EFA">
        <w:rPr>
          <w:lang w:val="en-GB"/>
        </w:rPr>
        <w:t xml:space="preserve">, Mordvin </w:t>
      </w:r>
      <w:r w:rsidRPr="00FB4EFA">
        <w:rPr>
          <w:lang w:val="en-GB"/>
        </w:rPr>
        <w:noBreakHyphen/>
      </w:r>
      <w:r w:rsidRPr="00FB4EFA">
        <w:rPr>
          <w:i/>
          <w:lang w:val="en-GB"/>
        </w:rPr>
        <w:t>r(V)-</w:t>
      </w:r>
      <w:r w:rsidRPr="00FB4EFA">
        <w:rPr>
          <w:lang w:val="en-GB"/>
        </w:rPr>
        <w:t xml:space="preserve">; see Sauer 1967: 159–160, Maticsák 2015: 154), many details in the history of these suffixes are uncertain, and it is far from certain that they all somehow reflect the same Proto-Uralic suffix. In some languages, like Mansi, only petrified inherited forms with a possible </w:t>
      </w:r>
      <w:r w:rsidRPr="00FB4EFA">
        <w:rPr>
          <w:rFonts w:cs="Charis SIL"/>
          <w:lang w:val="en-GB"/>
        </w:rPr>
        <w:t>*-</w:t>
      </w:r>
      <w:r w:rsidRPr="00FB4EFA">
        <w:rPr>
          <w:rFonts w:cs="Charis SIL"/>
          <w:i/>
          <w:lang w:val="en-GB"/>
        </w:rPr>
        <w:t>rV</w:t>
      </w:r>
      <w:r w:rsidRPr="00FB4EFA">
        <w:rPr>
          <w:rFonts w:cs="Charis SIL"/>
          <w:lang w:val="en-GB"/>
        </w:rPr>
        <w:t xml:space="preserve"> suffix are found, and no such productive suffix exists (Riese 2001: 57, 107).</w:t>
      </w:r>
      <w:r w:rsidRPr="00FB4EFA">
        <w:rPr>
          <w:rFonts w:cs="Charis SIL"/>
          <w:vertAlign w:val="superscript"/>
          <w:lang w:val="en-GB"/>
        </w:rPr>
        <w:footnoteReference w:id="69"/>
      </w:r>
    </w:p>
    <w:p w14:paraId="3BFA3F3A" w14:textId="0073DC9E" w:rsidR="00B72515" w:rsidRPr="00FB4EFA" w:rsidRDefault="00B72515" w:rsidP="00AF0CAD">
      <w:pPr>
        <w:ind w:firstLine="720"/>
        <w:rPr>
          <w:rFonts w:cs="Charis SIL"/>
          <w:lang w:val="en-GB"/>
        </w:rPr>
      </w:pPr>
      <w:r w:rsidRPr="00FB4EFA">
        <w:rPr>
          <w:rFonts w:cs="Charis SIL"/>
          <w:lang w:val="en-GB"/>
        </w:rPr>
        <w:t xml:space="preserve">As has been noted by Holopainen, Kuokkala, Metsäranta &amp; </w:t>
      </w:r>
      <w:r w:rsidR="00814A40" w:rsidRPr="00FB4EFA">
        <w:rPr>
          <w:rFonts w:cs="Charis SIL"/>
          <w:lang w:val="en-GB"/>
        </w:rPr>
        <w:br/>
      </w:r>
      <w:r w:rsidRPr="00FB4EFA">
        <w:rPr>
          <w:rFonts w:cs="Charis SIL"/>
          <w:lang w:val="en-GB"/>
        </w:rPr>
        <w:t xml:space="preserve">Rauhala (2020), there is not actually much evidence for the derivational </w:t>
      </w:r>
      <w:r w:rsidRPr="00FB4EFA">
        <w:rPr>
          <w:rFonts w:cs="Charis SIL"/>
          <w:lang w:val="en-GB"/>
        </w:rPr>
        <w:lastRenderedPageBreak/>
        <w:t>origin of the Proto-Uralic words allegedly involving this derivational suffix. The etymologies listed as derivatives with an *</w:t>
      </w:r>
      <w:r w:rsidRPr="00FB4EFA">
        <w:rPr>
          <w:rFonts w:cs="Charis SIL"/>
          <w:i/>
          <w:iCs/>
          <w:lang w:val="en-GB"/>
        </w:rPr>
        <w:t>rV</w:t>
      </w:r>
      <w:r w:rsidR="00F71FC9" w:rsidRPr="00FB4EFA">
        <w:rPr>
          <w:rFonts w:cs="Charis SIL"/>
          <w:lang w:val="en-GB"/>
        </w:rPr>
        <w:noBreakHyphen/>
      </w:r>
      <w:r w:rsidRPr="00FB4EFA">
        <w:rPr>
          <w:rFonts w:cs="Charis SIL"/>
          <w:lang w:val="en-GB"/>
        </w:rPr>
        <w:t>suffix include opaque words like *</w:t>
      </w:r>
      <w:r w:rsidRPr="00FB4EFA">
        <w:rPr>
          <w:rFonts w:cs="Charis SIL"/>
          <w:i/>
          <w:iCs/>
          <w:lang w:val="en-GB"/>
        </w:rPr>
        <w:t>šiŋiri</w:t>
      </w:r>
      <w:r w:rsidRPr="00FB4EFA">
        <w:rPr>
          <w:rFonts w:cs="Charis SIL"/>
          <w:lang w:val="en-GB"/>
        </w:rPr>
        <w:t xml:space="preserve"> ‘mouse’ and also the well-known Indo-Iranian loan *</w:t>
      </w:r>
      <w:r w:rsidRPr="00FB4EFA">
        <w:rPr>
          <w:rFonts w:cs="Charis SIL"/>
          <w:i/>
          <w:iCs/>
          <w:lang w:val="en-GB"/>
        </w:rPr>
        <w:t>oćtVrV</w:t>
      </w:r>
      <w:r w:rsidRPr="00FB4EFA">
        <w:rPr>
          <w:rFonts w:cs="Charis SIL"/>
          <w:lang w:val="en-GB"/>
        </w:rPr>
        <w:t xml:space="preserve"> ‘whip’, which certainly is</w:t>
      </w:r>
      <w:r w:rsidRPr="00FB4EFA">
        <w:rPr>
          <w:lang w:val="en-GB"/>
        </w:rPr>
        <w:t xml:space="preserve"> not a Uralic derivative (see </w:t>
      </w:r>
      <w:r w:rsidR="00814A40" w:rsidRPr="00FB4EFA">
        <w:rPr>
          <w:lang w:val="en-GB"/>
        </w:rPr>
        <w:br/>
      </w:r>
      <w:r w:rsidRPr="00FB4EFA">
        <w:rPr>
          <w:lang w:val="en-GB"/>
        </w:rPr>
        <w:t xml:space="preserve">Korenchy 1972: 56–57; Zhivlov 2013: 220; Holopainen 2019: 156–158). Many other words that are reconstructed with the same suffix in UEW are also </w:t>
      </w:r>
      <w:r w:rsidRPr="00FB4EFA">
        <w:rPr>
          <w:rFonts w:cs="Charis SIL"/>
          <w:lang w:val="en-GB"/>
        </w:rPr>
        <w:t>uncertain or unclear (see the list of these etymologies in Riese 2001: 38–39), such as P(F)U *</w:t>
      </w:r>
      <w:r w:rsidRPr="00FB4EFA">
        <w:rPr>
          <w:rFonts w:cs="Charis SIL"/>
          <w:i/>
          <w:lang w:val="en-GB"/>
        </w:rPr>
        <w:t>ćukkV-rV</w:t>
      </w:r>
      <w:r w:rsidRPr="00FB4EFA">
        <w:rPr>
          <w:rFonts w:cs="Charis SIL"/>
          <w:lang w:val="en-GB"/>
        </w:rPr>
        <w:t xml:space="preserve"> ‘Haufen, Schar’ that is an irregular etymology limited to Permic and Hungarian, and P(F)U *</w:t>
      </w:r>
      <w:r w:rsidRPr="00FB4EFA">
        <w:rPr>
          <w:rFonts w:cs="Charis SIL"/>
          <w:i/>
          <w:lang w:val="en-GB"/>
        </w:rPr>
        <w:t>čiγVrV</w:t>
      </w:r>
      <w:r w:rsidRPr="00FB4EFA">
        <w:rPr>
          <w:rFonts w:cs="Charis SIL"/>
          <w:lang w:val="en-GB"/>
        </w:rPr>
        <w:t xml:space="preserve"> ‘grave’ that has been refuted by Bereczki (2013: 256)</w:t>
      </w:r>
      <w:r w:rsidRPr="00FB4EFA">
        <w:rPr>
          <w:rFonts w:cs="Charis SIL"/>
          <w:i/>
          <w:lang w:val="en-GB"/>
        </w:rPr>
        <w:t>.</w:t>
      </w:r>
      <w:r w:rsidRPr="00FB4EFA">
        <w:rPr>
          <w:rFonts w:cs="Charis SIL"/>
          <w:lang w:val="en-GB"/>
        </w:rPr>
        <w:t xml:space="preserve"> There are good etymologies involving a suffix *</w:t>
      </w:r>
      <w:r w:rsidR="00F71FC9" w:rsidRPr="00FB4EFA">
        <w:rPr>
          <w:rFonts w:cs="Charis SIL"/>
          <w:lang w:val="en-GB"/>
        </w:rPr>
        <w:noBreakHyphen/>
      </w:r>
      <w:r w:rsidRPr="00FB4EFA">
        <w:rPr>
          <w:rFonts w:cs="Charis SIL"/>
          <w:i/>
          <w:iCs/>
          <w:lang w:val="en-GB"/>
        </w:rPr>
        <w:t>rA</w:t>
      </w:r>
      <w:r w:rsidRPr="00FB4EFA">
        <w:rPr>
          <w:rFonts w:cs="Charis SIL"/>
          <w:lang w:val="en-GB"/>
        </w:rPr>
        <w:t>, such as *</w:t>
      </w:r>
      <w:r w:rsidRPr="00FB4EFA">
        <w:rPr>
          <w:rFonts w:cs="Charis SIL"/>
          <w:i/>
          <w:iCs/>
          <w:lang w:val="en-GB"/>
        </w:rPr>
        <w:t>kojra</w:t>
      </w:r>
      <w:r w:rsidRPr="00FB4EFA">
        <w:rPr>
          <w:rFonts w:cs="Charis SIL"/>
          <w:lang w:val="en-GB"/>
        </w:rPr>
        <w:t xml:space="preserve"> ‘male animal’ (from *</w:t>
      </w:r>
      <w:r w:rsidRPr="00FB4EFA">
        <w:rPr>
          <w:rFonts w:cs="Charis SIL"/>
          <w:i/>
          <w:iCs/>
          <w:lang w:val="en-GB"/>
        </w:rPr>
        <w:t>koji</w:t>
      </w:r>
      <w:r w:rsidRPr="00FB4EFA">
        <w:rPr>
          <w:rFonts w:cs="Charis SIL"/>
          <w:lang w:val="en-GB"/>
        </w:rPr>
        <w:t xml:space="preserve"> ‘male’) or *</w:t>
      </w:r>
      <w:r w:rsidRPr="00FB4EFA">
        <w:rPr>
          <w:rFonts w:cs="Charis SIL"/>
          <w:i/>
          <w:iCs/>
          <w:lang w:val="en-GB"/>
        </w:rPr>
        <w:t>küńärä</w:t>
      </w:r>
      <w:r w:rsidRPr="00FB4EFA">
        <w:rPr>
          <w:rFonts w:cs="Charis SIL"/>
          <w:lang w:val="en-GB"/>
        </w:rPr>
        <w:t xml:space="preserve"> ‘elbow’ (from *</w:t>
      </w:r>
      <w:r w:rsidRPr="00FB4EFA">
        <w:rPr>
          <w:rFonts w:cs="Charis SIL"/>
          <w:i/>
          <w:iCs/>
          <w:lang w:val="en-GB"/>
        </w:rPr>
        <w:t>küńä</w:t>
      </w:r>
      <w:r w:rsidRPr="00FB4EFA">
        <w:rPr>
          <w:rFonts w:cs="Charis SIL"/>
          <w:lang w:val="en-GB"/>
        </w:rPr>
        <w:t xml:space="preserve"> id.), but the alleged derivatives with *-</w:t>
      </w:r>
      <w:r w:rsidRPr="00FB4EFA">
        <w:rPr>
          <w:rFonts w:cs="Charis SIL"/>
          <w:i/>
          <w:iCs/>
          <w:lang w:val="en-GB"/>
        </w:rPr>
        <w:t>ri</w:t>
      </w:r>
      <w:r w:rsidRPr="00FB4EFA">
        <w:rPr>
          <w:rFonts w:cs="Charis SIL"/>
          <w:lang w:val="en-GB"/>
        </w:rPr>
        <w:t xml:space="preserve"> or *-</w:t>
      </w:r>
      <w:r w:rsidRPr="00FB4EFA">
        <w:rPr>
          <w:rFonts w:cs="Charis SIL"/>
          <w:i/>
          <w:iCs/>
          <w:lang w:val="en-GB"/>
        </w:rPr>
        <w:t>rV</w:t>
      </w:r>
      <w:r w:rsidRPr="00FB4EFA">
        <w:rPr>
          <w:rFonts w:cs="Charis SIL"/>
          <w:lang w:val="en-GB"/>
        </w:rPr>
        <w:t xml:space="preserve"> are much more problematic.</w:t>
      </w:r>
    </w:p>
    <w:p w14:paraId="0A5865D2" w14:textId="3924F363" w:rsidR="00B72515" w:rsidRPr="00FB4EFA" w:rsidRDefault="00B72515" w:rsidP="00AF0CAD">
      <w:pPr>
        <w:ind w:firstLine="720"/>
        <w:rPr>
          <w:rFonts w:cs="Charis SIL"/>
          <w:lang w:val="en-GB"/>
        </w:rPr>
      </w:pPr>
      <w:r w:rsidRPr="00FB4EFA">
        <w:rPr>
          <w:rFonts w:cs="Charis SIL"/>
          <w:lang w:val="en-GB"/>
        </w:rPr>
        <w:t>A thorough analysis of all the relevant etymologies reconstructed with *-</w:t>
      </w:r>
      <w:r w:rsidRPr="00FB4EFA">
        <w:rPr>
          <w:rFonts w:cs="Charis SIL"/>
          <w:i/>
          <w:lang w:val="en-GB"/>
        </w:rPr>
        <w:t>r</w:t>
      </w:r>
      <w:r w:rsidRPr="00FB4EFA">
        <w:rPr>
          <w:rFonts w:cs="Charis SIL"/>
          <w:lang w:val="en-GB"/>
        </w:rPr>
        <w:t>-suffixes into Proto-Uralic would be an important task, which cannot be done here, but it is clear that there is no reason to consider Uralic words grouped under *</w:t>
      </w:r>
      <w:r w:rsidRPr="00FB4EFA">
        <w:rPr>
          <w:rFonts w:cs="Charis SIL"/>
          <w:i/>
          <w:iCs/>
          <w:lang w:val="en-GB"/>
        </w:rPr>
        <w:t>onćV-rV</w:t>
      </w:r>
      <w:r w:rsidRPr="00FB4EFA">
        <w:rPr>
          <w:rFonts w:cs="Charis SIL"/>
          <w:lang w:val="en-GB"/>
        </w:rPr>
        <w:t xml:space="preserve"> as derivatives. Cheung (2002), too, has criticized the idea that *</w:t>
      </w:r>
      <w:r w:rsidRPr="00FB4EFA">
        <w:rPr>
          <w:rFonts w:cs="Charis SIL"/>
          <w:i/>
          <w:iCs/>
          <w:lang w:val="en-GB"/>
        </w:rPr>
        <w:t>ońćV-rV</w:t>
      </w:r>
      <w:r w:rsidRPr="00FB4EFA">
        <w:rPr>
          <w:rFonts w:cs="Charis SIL"/>
          <w:lang w:val="en-GB"/>
        </w:rPr>
        <w:t xml:space="preserve"> ‘tusk’ is derived from *</w:t>
      </w:r>
      <w:r w:rsidRPr="00FB4EFA">
        <w:rPr>
          <w:rFonts w:cs="Charis SIL"/>
          <w:i/>
          <w:iCs/>
          <w:lang w:val="en-GB"/>
        </w:rPr>
        <w:t xml:space="preserve">ońća </w:t>
      </w:r>
      <w:r w:rsidR="00814A40" w:rsidRPr="00FB4EFA">
        <w:rPr>
          <w:rFonts w:cs="Charis SIL"/>
          <w:i/>
          <w:iCs/>
          <w:lang w:val="en-GB"/>
        </w:rPr>
        <w:br/>
      </w:r>
      <w:r w:rsidRPr="00FB4EFA">
        <w:rPr>
          <w:rFonts w:cs="Charis SIL"/>
          <w:lang w:val="en-GB"/>
        </w:rPr>
        <w:t>‘forehead’, although he does not explain his view in detail.</w:t>
      </w:r>
    </w:p>
    <w:p w14:paraId="7C46E348" w14:textId="77777777" w:rsidR="00B72515" w:rsidRPr="00FB4EFA" w:rsidRDefault="00B72515" w:rsidP="00AF0CAD">
      <w:pPr>
        <w:ind w:firstLine="720"/>
        <w:rPr>
          <w:rFonts w:cs="Charis SIL"/>
          <w:lang w:val="en-GB"/>
        </w:rPr>
      </w:pPr>
      <w:r w:rsidRPr="00FB4EFA">
        <w:rPr>
          <w:rFonts w:cs="Charis SIL"/>
          <w:lang w:val="en-GB"/>
        </w:rPr>
        <w:t>A possible connection to Uralic/Finno-Permic *</w:t>
      </w:r>
      <w:r w:rsidRPr="00FB4EFA">
        <w:rPr>
          <w:rFonts w:cs="Charis SIL"/>
          <w:i/>
          <w:iCs/>
          <w:lang w:val="en-GB"/>
        </w:rPr>
        <w:t>ońća</w:t>
      </w:r>
      <w:r w:rsidRPr="00FB4EFA">
        <w:rPr>
          <w:rFonts w:cs="Charis SIL"/>
          <w:lang w:val="en-GB"/>
        </w:rPr>
        <w:t xml:space="preserve"> ‘front part of something’ mentioned in UEW is very unlikely, especially as the reconstruction of such an item is debated (Fi </w:t>
      </w:r>
      <w:r w:rsidRPr="00FB4EFA">
        <w:rPr>
          <w:rFonts w:cs="Charis SIL"/>
          <w:i/>
          <w:iCs/>
          <w:lang w:val="en-GB"/>
        </w:rPr>
        <w:t>otsa</w:t>
      </w:r>
      <w:r w:rsidRPr="00FB4EFA">
        <w:rPr>
          <w:rFonts w:cs="Charis SIL"/>
          <w:lang w:val="en-GB"/>
        </w:rPr>
        <w:t xml:space="preserve"> ‘forehead’ is probably a loan from Germanic according to Koivulehto 1979: 290). Finnish</w:t>
      </w:r>
      <w:r w:rsidRPr="00FB4EFA">
        <w:rPr>
          <w:rFonts w:cs="Charis SIL"/>
          <w:i/>
          <w:iCs/>
          <w:lang w:val="en-GB"/>
        </w:rPr>
        <w:t xml:space="preserve"> otsa </w:t>
      </w:r>
      <w:r w:rsidRPr="00FB4EFA">
        <w:rPr>
          <w:rFonts w:cs="Charis SIL"/>
          <w:lang w:val="en-GB"/>
        </w:rPr>
        <w:t>would also rather reflect Early Proto-Finnic *</w:t>
      </w:r>
      <w:r w:rsidRPr="00FB4EFA">
        <w:rPr>
          <w:rFonts w:cs="Charis SIL"/>
          <w:i/>
          <w:iCs/>
          <w:lang w:val="en-GB"/>
        </w:rPr>
        <w:t>ońćća</w:t>
      </w:r>
      <w:r w:rsidRPr="00FB4EFA">
        <w:rPr>
          <w:rFonts w:cs="Charis SIL"/>
          <w:lang w:val="en-GB"/>
        </w:rPr>
        <w:t>, as there is another Uralic item *</w:t>
      </w:r>
      <w:r w:rsidRPr="00FB4EFA">
        <w:rPr>
          <w:rFonts w:cs="Charis SIL"/>
          <w:i/>
          <w:iCs/>
          <w:lang w:val="en-GB"/>
        </w:rPr>
        <w:t>ońća</w:t>
      </w:r>
      <w:r w:rsidRPr="00FB4EFA">
        <w:rPr>
          <w:rFonts w:cs="Charis SIL"/>
          <w:lang w:val="en-GB"/>
        </w:rPr>
        <w:t xml:space="preserve"> ‘part’ (UEW: 339–340) that gives Finnic </w:t>
      </w:r>
      <w:r w:rsidRPr="00FB4EFA">
        <w:rPr>
          <w:rFonts w:cs="Charis SIL"/>
          <w:i/>
          <w:iCs/>
          <w:lang w:val="en-GB"/>
        </w:rPr>
        <w:t>osa</w:t>
      </w:r>
      <w:r w:rsidRPr="00FB4EFA">
        <w:rPr>
          <w:rFonts w:cs="Charis SIL"/>
          <w:lang w:val="en-GB"/>
        </w:rPr>
        <w:t xml:space="preserve"> ‘id.’ regularly.</w:t>
      </w:r>
    </w:p>
    <w:p w14:paraId="468A31A0" w14:textId="77777777" w:rsidR="00B72515" w:rsidRPr="00FB4EFA" w:rsidRDefault="00B72515" w:rsidP="00AF0CAD">
      <w:pPr>
        <w:ind w:firstLine="709"/>
        <w:rPr>
          <w:shd w:val="clear" w:color="auto" w:fill="FFFF00"/>
          <w:lang w:val="en-GB"/>
        </w:rPr>
      </w:pPr>
      <w:r w:rsidRPr="00FB4EFA">
        <w:rPr>
          <w:rFonts w:cs="Charis SIL"/>
          <w:lang w:val="en-GB"/>
        </w:rPr>
        <w:t xml:space="preserve">To sum up the arguments regarding the Uralic forms, it is obvious that only Hungarian </w:t>
      </w:r>
      <w:r w:rsidRPr="00FB4EFA">
        <w:rPr>
          <w:rFonts w:cs="Charis SIL"/>
          <w:i/>
          <w:iCs/>
          <w:lang w:val="en-GB"/>
        </w:rPr>
        <w:t>agyar</w:t>
      </w:r>
      <w:r w:rsidRPr="00FB4EFA">
        <w:rPr>
          <w:rFonts w:cs="Charis SIL"/>
          <w:lang w:val="en-GB"/>
        </w:rPr>
        <w:t xml:space="preserve"> can reflect the reconstructions *</w:t>
      </w:r>
      <w:r w:rsidRPr="00FB4EFA">
        <w:rPr>
          <w:rFonts w:cs="Charis SIL"/>
          <w:i/>
          <w:iCs/>
          <w:lang w:val="en-GB"/>
        </w:rPr>
        <w:t>ońća-rV</w:t>
      </w:r>
      <w:r w:rsidRPr="00FB4EFA">
        <w:rPr>
          <w:rFonts w:cs="Charis SIL"/>
          <w:lang w:val="en-GB"/>
        </w:rPr>
        <w:t>, *</w:t>
      </w:r>
      <w:r w:rsidRPr="00FB4EFA">
        <w:rPr>
          <w:rFonts w:cs="Charis SIL"/>
          <w:i/>
          <w:iCs/>
          <w:lang w:val="en-GB"/>
        </w:rPr>
        <w:t>ońćV</w:t>
      </w:r>
      <w:r w:rsidRPr="00FB4EFA">
        <w:rPr>
          <w:rFonts w:cs="Charis SIL"/>
          <w:i/>
          <w:iCs/>
          <w:lang w:val="en-GB"/>
        </w:rPr>
        <w:noBreakHyphen/>
        <w:t>rV</w:t>
      </w:r>
      <w:r w:rsidRPr="00FB4EFA">
        <w:rPr>
          <w:rFonts w:cs="Charis SIL"/>
          <w:lang w:val="en-GB"/>
        </w:rPr>
        <w:t xml:space="preserve"> or *</w:t>
      </w:r>
      <w:r w:rsidRPr="00FB4EFA">
        <w:rPr>
          <w:rFonts w:cs="Charis SIL"/>
          <w:i/>
          <w:lang w:val="en-GB"/>
        </w:rPr>
        <w:t>e̮nśara</w:t>
      </w:r>
      <w:r w:rsidRPr="00FB4EFA">
        <w:rPr>
          <w:rFonts w:cs="Charis SIL"/>
          <w:lang w:val="en-GB"/>
        </w:rPr>
        <w:t xml:space="preserve"> given in earlier sources. The Permic and Mansi words cannot be regularly derived from the same form as the Hungarian word. It is thus possible that if the Indo-Iranian etymology is correct, the words are parallel loanwords.</w:t>
      </w:r>
      <w:r w:rsidRPr="00FB4EFA">
        <w:rPr>
          <w:lang w:val="en-GB"/>
        </w:rPr>
        <w:t xml:space="preserve"> It is also clear that there is no need to consider the Uralic words derivatives, as no underived base is found anywhere and the existence of the *-</w:t>
      </w:r>
      <w:r w:rsidRPr="00FB4EFA">
        <w:rPr>
          <w:i/>
          <w:iCs/>
          <w:lang w:val="en-GB"/>
        </w:rPr>
        <w:t>rV</w:t>
      </w:r>
      <w:r w:rsidRPr="00FB4EFA">
        <w:rPr>
          <w:lang w:val="en-GB"/>
        </w:rPr>
        <w:t xml:space="preserve"> nominal suffix is also uncertain.</w:t>
      </w:r>
    </w:p>
    <w:p w14:paraId="3E9E9354" w14:textId="77777777" w:rsidR="00B72515" w:rsidRPr="00FB4EFA" w:rsidRDefault="00B72515" w:rsidP="00545033">
      <w:pPr>
        <w:pStyle w:val="Heading2"/>
        <w:suppressAutoHyphens/>
        <w:spacing w:line="259" w:lineRule="auto"/>
        <w:rPr>
          <w:color w:val="auto"/>
        </w:rPr>
      </w:pPr>
      <w:r w:rsidRPr="00FB4EFA">
        <w:rPr>
          <w:color w:val="auto"/>
        </w:rPr>
        <w:lastRenderedPageBreak/>
        <w:t>A closer look at the Iranian data</w:t>
      </w:r>
    </w:p>
    <w:p w14:paraId="6486CCF0" w14:textId="0758B31A" w:rsidR="00B72515" w:rsidRPr="00FB4EFA" w:rsidRDefault="00B72515" w:rsidP="00AF0CAD">
      <w:pPr>
        <w:spacing w:before="114"/>
        <w:rPr>
          <w:lang w:val="en-GB"/>
        </w:rPr>
      </w:pPr>
      <w:r w:rsidRPr="00FB4EFA">
        <w:rPr>
          <w:lang w:val="en-GB"/>
        </w:rPr>
        <w:t xml:space="preserve">In addition to the troubling relationship between the Uralic cognates, also the </w:t>
      </w:r>
      <w:r w:rsidRPr="00FB4EFA">
        <w:rPr>
          <w:rFonts w:cs="Charis SIL"/>
          <w:lang w:val="en-GB"/>
        </w:rPr>
        <w:t xml:space="preserve">Iranian etymology of Ossetic </w:t>
      </w:r>
      <w:r w:rsidRPr="00FB4EFA">
        <w:rPr>
          <w:rFonts w:cs="Charis SIL"/>
          <w:i/>
          <w:iCs/>
          <w:lang w:val="en-GB"/>
        </w:rPr>
        <w:t>æssyr</w:t>
      </w:r>
      <w:r w:rsidRPr="00FB4EFA">
        <w:rPr>
          <w:rFonts w:cs="Charis SIL"/>
          <w:lang w:val="en-GB"/>
        </w:rPr>
        <w:t xml:space="preserve"> ~ </w:t>
      </w:r>
      <w:r w:rsidRPr="00FB4EFA">
        <w:rPr>
          <w:rFonts w:cs="Charis SIL"/>
          <w:i/>
          <w:iCs/>
          <w:lang w:val="en-GB"/>
        </w:rPr>
        <w:t>ænsur(æ)</w:t>
      </w:r>
      <w:r w:rsidRPr="00FB4EFA">
        <w:rPr>
          <w:rFonts w:cs="Charis SIL"/>
          <w:lang w:val="en-GB"/>
        </w:rPr>
        <w:t xml:space="preserve"> has been disputed. Munkácsi initially mentioned only the Ossetic forms in connection with the Iranian loan etymology, but Sköld (1925: 15) made the important observation that the Ossetic word has a cognate in (Young) Avestan </w:t>
      </w:r>
      <w:r w:rsidRPr="00FB4EFA">
        <w:rPr>
          <w:rFonts w:cs="Charis SIL"/>
          <w:i/>
          <w:iCs/>
          <w:lang w:val="en-GB"/>
        </w:rPr>
        <w:t>asūra-</w:t>
      </w:r>
      <w:r w:rsidRPr="00FB4EFA">
        <w:rPr>
          <w:rFonts w:cs="Charis SIL"/>
          <w:lang w:val="en-GB"/>
        </w:rPr>
        <w:t xml:space="preserve"> ‘tusk’. The distribution of the word within Iranian is rather crucial, as a lexeme appearing only in Ossetic but missing from all the other Iranian languages with earlier attestations would be suspicious. The view that Ossetic </w:t>
      </w:r>
      <w:r w:rsidRPr="00FB4EFA">
        <w:rPr>
          <w:rFonts w:cs="Charis SIL"/>
          <w:i/>
          <w:iCs/>
          <w:lang w:val="en-GB"/>
        </w:rPr>
        <w:t>æssyr</w:t>
      </w:r>
      <w:r w:rsidRPr="00FB4EFA">
        <w:rPr>
          <w:rFonts w:cs="Charis SIL"/>
          <w:lang w:val="en-GB"/>
        </w:rPr>
        <w:t xml:space="preserve"> ~ </w:t>
      </w:r>
      <w:r w:rsidRPr="00FB4EFA">
        <w:rPr>
          <w:rFonts w:cs="Charis SIL"/>
          <w:i/>
          <w:iCs/>
          <w:lang w:val="en-GB"/>
        </w:rPr>
        <w:t>ænsur(æ)</w:t>
      </w:r>
      <w:r w:rsidRPr="00FB4EFA">
        <w:rPr>
          <w:rFonts w:cs="Charis SIL"/>
          <w:lang w:val="en-GB"/>
        </w:rPr>
        <w:t xml:space="preserve"> is related to Avestan </w:t>
      </w:r>
      <w:r w:rsidRPr="00FB4EFA">
        <w:rPr>
          <w:rFonts w:cs="Charis SIL"/>
          <w:i/>
          <w:iCs/>
          <w:lang w:val="en-GB"/>
        </w:rPr>
        <w:t>asūra-</w:t>
      </w:r>
      <w:r w:rsidRPr="00FB4EFA">
        <w:rPr>
          <w:rFonts w:cs="Charis SIL"/>
          <w:lang w:val="en-GB"/>
        </w:rPr>
        <w:t xml:space="preserve"> was followed also by Abaev (I: 189 s.v. </w:t>
      </w:r>
      <w:r w:rsidRPr="00FB4EFA">
        <w:rPr>
          <w:rFonts w:cs="Charis SIL"/>
          <w:i/>
          <w:iCs/>
          <w:lang w:val="en-GB"/>
        </w:rPr>
        <w:t>æssy</w:t>
      </w:r>
      <w:r w:rsidRPr="00FB4EFA">
        <w:rPr>
          <w:rFonts w:cs="Charis SIL"/>
          <w:lang w:val="en-GB"/>
        </w:rPr>
        <w:t xml:space="preserve">r | </w:t>
      </w:r>
      <w:r w:rsidRPr="00FB4EFA">
        <w:rPr>
          <w:rFonts w:cs="Charis SIL"/>
          <w:i/>
          <w:iCs/>
          <w:lang w:val="en-GB"/>
        </w:rPr>
        <w:t>ænsur(æ)</w:t>
      </w:r>
      <w:r w:rsidRPr="00FB4EFA">
        <w:rPr>
          <w:rFonts w:cs="Charis SIL"/>
          <w:lang w:val="en-GB"/>
        </w:rPr>
        <w:t xml:space="preserve">); in the 1995 index to his dictionary Abaev also added the Sogdian cognate </w:t>
      </w:r>
      <w:r w:rsidRPr="00FB4EFA">
        <w:rPr>
          <w:rFonts w:cs="Charis SIL"/>
          <w:i/>
          <w:iCs/>
          <w:lang w:val="en-GB"/>
        </w:rPr>
        <w:t>’ns’wr</w:t>
      </w:r>
      <w:r w:rsidRPr="00FB4EFA">
        <w:rPr>
          <w:rFonts w:cs="Charis SIL"/>
          <w:lang w:val="en-GB"/>
        </w:rPr>
        <w:t xml:space="preserve">, </w:t>
      </w:r>
      <w:r w:rsidRPr="00FB4EFA">
        <w:rPr>
          <w:rFonts w:cs="Charis SIL"/>
          <w:i/>
          <w:iCs/>
          <w:lang w:val="en-GB"/>
        </w:rPr>
        <w:t>’swr</w:t>
      </w:r>
      <w:r w:rsidRPr="00FB4EFA">
        <w:rPr>
          <w:rFonts w:cs="Charis SIL"/>
          <w:lang w:val="en-GB"/>
        </w:rPr>
        <w:t xml:space="preserve"> ‘tusk’ as well as Tocharian A </w:t>
      </w:r>
      <w:r w:rsidRPr="00FB4EFA">
        <w:rPr>
          <w:rFonts w:cs="Charis SIL"/>
          <w:i/>
          <w:iCs/>
          <w:lang w:val="en-GB"/>
        </w:rPr>
        <w:t>āṅkar</w:t>
      </w:r>
      <w:r w:rsidRPr="00FB4EFA">
        <w:rPr>
          <w:rFonts w:cs="Charis SIL"/>
          <w:lang w:val="en-GB"/>
        </w:rPr>
        <w:t>, B</w:t>
      </w:r>
      <w:r w:rsidR="00F71FC9" w:rsidRPr="00FB4EFA">
        <w:rPr>
          <w:rFonts w:cs="Charis SIL"/>
          <w:lang w:val="en-GB"/>
        </w:rPr>
        <w:t> </w:t>
      </w:r>
      <w:r w:rsidRPr="00FB4EFA">
        <w:rPr>
          <w:rFonts w:cs="Charis SIL"/>
          <w:i/>
          <w:iCs/>
          <w:lang w:val="en-GB"/>
        </w:rPr>
        <w:t>āṅkär</w:t>
      </w:r>
      <w:r w:rsidRPr="00FB4EFA">
        <w:rPr>
          <w:rFonts w:cs="Charis SIL"/>
          <w:lang w:val="en-GB"/>
        </w:rPr>
        <w:t xml:space="preserve"> ‘tusk’. Since then, cognates in various Iranian languages have been suggested, and the Avestan cognate has also been doubted. It is interesting that despite Sköld’s and Abaev’s views, </w:t>
      </w:r>
      <w:r w:rsidR="00814A40" w:rsidRPr="00FB4EFA">
        <w:rPr>
          <w:rFonts w:cs="Charis SIL"/>
          <w:lang w:val="en-GB"/>
        </w:rPr>
        <w:br/>
      </w:r>
      <w:r w:rsidRPr="00FB4EFA">
        <w:rPr>
          <w:rFonts w:cs="Charis SIL"/>
          <w:lang w:val="en-GB"/>
        </w:rPr>
        <w:t>Korenchy still argued</w:t>
      </w:r>
      <w:r w:rsidRPr="00FB4EFA">
        <w:rPr>
          <w:lang w:val="en-GB"/>
        </w:rPr>
        <w:t xml:space="preserve"> that the Hungarian word cannot be an Iranian loan as the assumed source is found only in Ossetic.</w:t>
      </w:r>
    </w:p>
    <w:p w14:paraId="227101B5" w14:textId="77777777" w:rsidR="00B72515" w:rsidRPr="00FB4EFA" w:rsidRDefault="00B72515" w:rsidP="00AF0CAD">
      <w:pPr>
        <w:ind w:firstLine="720"/>
        <w:rPr>
          <w:rFonts w:cs="Charis SIL"/>
          <w:lang w:val="en-GB"/>
        </w:rPr>
      </w:pPr>
      <w:r w:rsidRPr="00FB4EFA">
        <w:rPr>
          <w:lang w:val="en-GB"/>
        </w:rPr>
        <w:t>As a side note, it can be mentioned here that Sköld also argued that</w:t>
      </w:r>
      <w:r w:rsidRPr="00FB4EFA">
        <w:rPr>
          <w:rFonts w:cs="Charis SIL"/>
          <w:lang w:val="en-GB"/>
        </w:rPr>
        <w:t xml:space="preserve"> the relationship Ossetic </w:t>
      </w:r>
      <w:r w:rsidRPr="00FB4EFA">
        <w:rPr>
          <w:rFonts w:cs="Charis SIL"/>
          <w:i/>
          <w:iCs/>
          <w:lang w:val="en-GB"/>
        </w:rPr>
        <w:t>ns</w:t>
      </w:r>
      <w:r w:rsidRPr="00FB4EFA">
        <w:rPr>
          <w:rFonts w:cs="Charis SIL"/>
          <w:lang w:val="en-GB"/>
        </w:rPr>
        <w:t xml:space="preserve"> ~ </w:t>
      </w:r>
      <w:r w:rsidRPr="00FB4EFA">
        <w:rPr>
          <w:rFonts w:cs="Charis SIL"/>
          <w:i/>
          <w:iCs/>
          <w:lang w:val="en-GB"/>
        </w:rPr>
        <w:t>ss</w:t>
      </w:r>
      <w:r w:rsidRPr="00FB4EFA">
        <w:rPr>
          <w:rFonts w:cs="Charis SIL"/>
          <w:lang w:val="en-GB"/>
        </w:rPr>
        <w:t xml:space="preserve"> = Av</w:t>
      </w:r>
      <w:r w:rsidRPr="00FB4EFA">
        <w:rPr>
          <w:rFonts w:cs="Charis SIL"/>
          <w:i/>
          <w:iCs/>
          <w:lang w:val="en-GB"/>
        </w:rPr>
        <w:t xml:space="preserve"> s</w:t>
      </w:r>
      <w:r w:rsidRPr="00FB4EFA">
        <w:rPr>
          <w:rFonts w:cs="Charis SIL"/>
          <w:lang w:val="en-GB"/>
        </w:rPr>
        <w:t xml:space="preserve"> is regular, also occurring in the word </w:t>
      </w:r>
      <w:r w:rsidRPr="00FB4EFA">
        <w:rPr>
          <w:rFonts w:cs="Charis SIL"/>
          <w:i/>
          <w:iCs/>
          <w:lang w:val="en-GB"/>
        </w:rPr>
        <w:t>fissin</w:t>
      </w:r>
      <w:r w:rsidRPr="00FB4EFA">
        <w:rPr>
          <w:rFonts w:cs="Charis SIL"/>
          <w:lang w:val="en-GB"/>
        </w:rPr>
        <w:t xml:space="preserve"> [= </w:t>
      </w:r>
      <w:r w:rsidRPr="00FB4EFA">
        <w:rPr>
          <w:rFonts w:cs="Charis SIL"/>
          <w:i/>
          <w:iCs/>
          <w:lang w:val="en-GB"/>
        </w:rPr>
        <w:t>fyssyn</w:t>
      </w:r>
      <w:r w:rsidRPr="00FB4EFA">
        <w:rPr>
          <w:rFonts w:cs="Charis SIL"/>
          <w:lang w:val="en-GB"/>
        </w:rPr>
        <w:t xml:space="preserve">] ~ </w:t>
      </w:r>
      <w:r w:rsidRPr="00FB4EFA">
        <w:rPr>
          <w:rFonts w:cs="Charis SIL"/>
          <w:i/>
          <w:iCs/>
          <w:lang w:val="en-GB"/>
        </w:rPr>
        <w:t>finsun</w:t>
      </w:r>
      <w:r w:rsidRPr="00FB4EFA">
        <w:rPr>
          <w:rFonts w:cs="Charis SIL"/>
          <w:lang w:val="en-GB"/>
        </w:rPr>
        <w:t xml:space="preserve"> = </w:t>
      </w:r>
      <w:r w:rsidRPr="00FB4EFA">
        <w:rPr>
          <w:rFonts w:cs="Charis SIL"/>
          <w:i/>
          <w:iCs/>
          <w:lang w:val="en-GB"/>
        </w:rPr>
        <w:t>paēs-</w:t>
      </w:r>
      <w:r w:rsidRPr="00FB4EFA">
        <w:rPr>
          <w:rFonts w:cs="Charis SIL"/>
          <w:lang w:val="en-GB"/>
        </w:rPr>
        <w:t xml:space="preserve"> ‘schreiben’. However, this is not a real parallel, as</w:t>
      </w:r>
      <w:r w:rsidRPr="00FB4EFA">
        <w:rPr>
          <w:rFonts w:cs="Charis SIL"/>
          <w:i/>
          <w:iCs/>
          <w:lang w:val="en-GB"/>
        </w:rPr>
        <w:t xml:space="preserve"> finsun</w:t>
      </w:r>
      <w:r w:rsidRPr="00FB4EFA">
        <w:rPr>
          <w:rFonts w:cs="Charis SIL"/>
          <w:lang w:val="en-GB"/>
        </w:rPr>
        <w:t xml:space="preserve"> is a verb and the</w:t>
      </w:r>
      <w:r w:rsidRPr="00FB4EFA">
        <w:rPr>
          <w:rFonts w:cs="Charis SIL"/>
          <w:i/>
          <w:iCs/>
          <w:lang w:val="en-GB"/>
        </w:rPr>
        <w:t xml:space="preserve"> n</w:t>
      </w:r>
      <w:r w:rsidRPr="00FB4EFA">
        <w:rPr>
          <w:rFonts w:cs="Charis SIL"/>
          <w:lang w:val="en-GB"/>
        </w:rPr>
        <w:t xml:space="preserve"> here reflects the nasal infix that appeared in the present forms of the Proto-Indo-European verbs, whereas the Avestan root is only attested in the participle forms (pres.) </w:t>
      </w:r>
      <w:r w:rsidRPr="00FB4EFA">
        <w:rPr>
          <w:rFonts w:cs="Charis SIL"/>
          <w:i/>
          <w:iCs/>
          <w:lang w:val="en-GB"/>
        </w:rPr>
        <w:t>aṇku.paēsǝmna</w:t>
      </w:r>
      <w:r w:rsidRPr="00FB4EFA">
        <w:rPr>
          <w:rFonts w:cs="Charis SIL"/>
          <w:lang w:val="en-GB"/>
        </w:rPr>
        <w:t xml:space="preserve">- (Yt 17.10) and perf. pass. YAv. </w:t>
      </w:r>
      <w:r w:rsidRPr="00FB4EFA">
        <w:rPr>
          <w:rFonts w:cs="Charis SIL"/>
          <w:i/>
          <w:iCs/>
          <w:lang w:val="en-GB"/>
        </w:rPr>
        <w:t>frapixšta</w:t>
      </w:r>
      <w:r w:rsidRPr="00FB4EFA">
        <w:rPr>
          <w:rFonts w:cs="Charis SIL"/>
          <w:lang w:val="en-GB"/>
        </w:rPr>
        <w:t>- (Abaev I 501–502; Cheung 2007: 291–292; LIV: 465), where no reflex of the nasal would be possible.</w:t>
      </w:r>
    </w:p>
    <w:p w14:paraId="645B5385" w14:textId="77777777" w:rsidR="00B72515" w:rsidRPr="00FB4EFA" w:rsidRDefault="00B72515" w:rsidP="00AF0CAD">
      <w:pPr>
        <w:ind w:firstLine="720"/>
        <w:rPr>
          <w:rFonts w:cs="Charis SIL"/>
          <w:lang w:val="en-GB"/>
        </w:rPr>
      </w:pPr>
      <w:r w:rsidRPr="00FB4EFA">
        <w:rPr>
          <w:rFonts w:cs="Charis SIL"/>
          <w:lang w:val="en-GB"/>
        </w:rPr>
        <w:t>The most comprehensive and up-to-date discussion of the Iranian cognates is done by Cheung (2002</w:t>
      </w:r>
      <w:r w:rsidRPr="00FB4EFA">
        <w:rPr>
          <w:lang w:val="en-GB"/>
        </w:rPr>
        <w:t xml:space="preserve">: 164). He assumes that Ossetic </w:t>
      </w:r>
      <w:r w:rsidRPr="00FB4EFA">
        <w:rPr>
          <w:i/>
          <w:iCs/>
          <w:lang w:val="en-GB"/>
        </w:rPr>
        <w:t>æssyr</w:t>
      </w:r>
      <w:r w:rsidRPr="00FB4EFA">
        <w:rPr>
          <w:lang w:val="en-GB"/>
        </w:rPr>
        <w:t xml:space="preserve"> / </w:t>
      </w:r>
      <w:r w:rsidRPr="00FB4EFA">
        <w:rPr>
          <w:i/>
          <w:iCs/>
          <w:lang w:val="en-GB"/>
        </w:rPr>
        <w:t xml:space="preserve">ænsur(æ) </w:t>
      </w:r>
      <w:r w:rsidRPr="00FB4EFA">
        <w:rPr>
          <w:lang w:val="en-GB"/>
        </w:rPr>
        <w:t xml:space="preserve">and Sogdian </w:t>
      </w:r>
      <w:r w:rsidRPr="00FB4EFA">
        <w:rPr>
          <w:i/>
          <w:iCs/>
          <w:lang w:val="en-GB"/>
        </w:rPr>
        <w:t>’ns’wr</w:t>
      </w:r>
      <w:r w:rsidRPr="00FB4EFA">
        <w:rPr>
          <w:lang w:val="en-GB"/>
        </w:rPr>
        <w:t xml:space="preserve">, </w:t>
      </w:r>
      <w:r w:rsidRPr="00FB4EFA">
        <w:rPr>
          <w:i/>
          <w:iCs/>
          <w:lang w:val="en-GB"/>
        </w:rPr>
        <w:t>’swr</w:t>
      </w:r>
      <w:r w:rsidRPr="00FB4EFA">
        <w:rPr>
          <w:lang w:val="en-GB"/>
        </w:rPr>
        <w:t xml:space="preserve"> ‘tusk’ are exact cognates and </w:t>
      </w:r>
      <w:r w:rsidRPr="00FB4EFA">
        <w:rPr>
          <w:rFonts w:cs="Charis SIL"/>
          <w:lang w:val="en-GB"/>
        </w:rPr>
        <w:t>reconstructs a Proto-Iranian form *</w:t>
      </w:r>
      <w:r w:rsidRPr="00FB4EFA">
        <w:rPr>
          <w:rFonts w:cs="Charis SIL"/>
          <w:i/>
          <w:iCs/>
          <w:lang w:val="en-GB"/>
        </w:rPr>
        <w:t>ansura-</w:t>
      </w:r>
      <w:r w:rsidRPr="00FB4EFA">
        <w:rPr>
          <w:rFonts w:cs="Charis SIL"/>
          <w:lang w:val="en-GB"/>
        </w:rPr>
        <w:t>/*</w:t>
      </w:r>
      <w:r w:rsidRPr="00FB4EFA">
        <w:rPr>
          <w:rFonts w:cs="Charis SIL"/>
          <w:i/>
          <w:iCs/>
          <w:lang w:val="en-GB"/>
        </w:rPr>
        <w:t>ansūra</w:t>
      </w:r>
      <w:r w:rsidRPr="00FB4EFA">
        <w:rPr>
          <w:rFonts w:cs="Charis SIL"/>
          <w:lang w:val="en-GB"/>
        </w:rPr>
        <w:t>-. The Avestan cognate</w:t>
      </w:r>
      <w:r w:rsidRPr="00FB4EFA">
        <w:rPr>
          <w:rFonts w:cs="Charis SIL"/>
          <w:i/>
          <w:iCs/>
          <w:lang w:val="en-GB"/>
        </w:rPr>
        <w:t xml:space="preserve"> asūra-</w:t>
      </w:r>
      <w:r w:rsidRPr="00FB4EFA">
        <w:rPr>
          <w:rFonts w:cs="Charis SIL"/>
          <w:lang w:val="en-GB"/>
        </w:rPr>
        <w:t xml:space="preserve"> is considered problematic by Cheung, as it lacks a reflex of the nasal *</w:t>
      </w:r>
      <w:r w:rsidRPr="00FB4EFA">
        <w:rPr>
          <w:rFonts w:cs="Charis SIL"/>
          <w:i/>
          <w:iCs/>
          <w:lang w:val="en-GB"/>
        </w:rPr>
        <w:t>n</w:t>
      </w:r>
      <w:r w:rsidRPr="00FB4EFA">
        <w:rPr>
          <w:rFonts w:cs="Charis SIL"/>
          <w:lang w:val="en-GB"/>
        </w:rPr>
        <w:t>. However, as the Avestan word is a</w:t>
      </w:r>
      <w:r w:rsidRPr="00FB4EFA">
        <w:rPr>
          <w:rFonts w:cs="Charis SIL"/>
          <w:i/>
          <w:iCs/>
          <w:lang w:val="en-GB"/>
        </w:rPr>
        <w:t xml:space="preserve"> hapax</w:t>
      </w:r>
      <w:r w:rsidRPr="00FB4EFA">
        <w:rPr>
          <w:rFonts w:cs="Charis SIL"/>
          <w:lang w:val="en-GB"/>
        </w:rPr>
        <w:t xml:space="preserve"> (attested only in the compound </w:t>
      </w:r>
      <w:r w:rsidRPr="00FB4EFA">
        <w:rPr>
          <w:rFonts w:cs="Charis SIL"/>
          <w:i/>
          <w:iCs/>
          <w:lang w:val="en-GB"/>
        </w:rPr>
        <w:t>tiži.asūra-</w:t>
      </w:r>
      <w:r w:rsidRPr="00FB4EFA">
        <w:rPr>
          <w:rFonts w:cs="Charis SIL"/>
          <w:lang w:val="en-GB"/>
        </w:rPr>
        <w:t>), one could assume that the Avestan word does not have much value here. One the other hand,</w:t>
      </w:r>
      <w:r w:rsidRPr="00FB4EFA">
        <w:rPr>
          <w:rFonts w:cs="Charis SIL"/>
          <w:i/>
          <w:iCs/>
          <w:lang w:val="en-GB"/>
        </w:rPr>
        <w:t xml:space="preserve"> </w:t>
      </w:r>
      <w:r w:rsidRPr="00FB4EFA">
        <w:rPr>
          <w:rFonts w:cs="Charis SIL"/>
          <w:lang w:val="en-GB"/>
        </w:rPr>
        <w:t xml:space="preserve">due to the irregularity on the Iranian side, this word might be considered a substrate word. Also, some </w:t>
      </w:r>
      <w:r w:rsidRPr="00FB4EFA">
        <w:rPr>
          <w:rFonts w:cs="Charis SIL"/>
          <w:lang w:val="en-GB"/>
        </w:rPr>
        <w:lastRenderedPageBreak/>
        <w:t>other Indo-Iranian names related to animals (such as *</w:t>
      </w:r>
      <w:r w:rsidRPr="00FB4EFA">
        <w:rPr>
          <w:rFonts w:cs="Charis SIL"/>
          <w:i/>
          <w:lang w:val="en-GB"/>
        </w:rPr>
        <w:t>kapauta-</w:t>
      </w:r>
      <w:r w:rsidRPr="00FB4EFA">
        <w:rPr>
          <w:rFonts w:cs="Charis SIL"/>
          <w:lang w:val="en-GB"/>
        </w:rPr>
        <w:t xml:space="preserve"> ‘pigeon’ &gt; Old Indo-Aryan </w:t>
      </w:r>
      <w:r w:rsidRPr="00FB4EFA">
        <w:rPr>
          <w:rFonts w:cs="Charis SIL"/>
          <w:i/>
          <w:lang w:val="en-GB"/>
        </w:rPr>
        <w:t>kapota-</w:t>
      </w:r>
      <w:r w:rsidRPr="00FB4EFA">
        <w:rPr>
          <w:rFonts w:cs="Charis SIL"/>
          <w:lang w:val="en-GB"/>
        </w:rPr>
        <w:t xml:space="preserve"> id., *</w:t>
      </w:r>
      <w:r w:rsidRPr="00FB4EFA">
        <w:rPr>
          <w:rFonts w:cs="Charis SIL"/>
          <w:i/>
          <w:lang w:val="en-GB"/>
        </w:rPr>
        <w:t>pusća-</w:t>
      </w:r>
      <w:r w:rsidRPr="00FB4EFA">
        <w:rPr>
          <w:rFonts w:cs="Charis SIL"/>
          <w:lang w:val="en-GB"/>
        </w:rPr>
        <w:t xml:space="preserve"> ‘tail’ &gt; Old Indo-Aryan </w:t>
      </w:r>
      <w:r w:rsidRPr="00FB4EFA">
        <w:rPr>
          <w:rFonts w:cs="Charis SIL"/>
          <w:i/>
          <w:lang w:val="en-GB"/>
        </w:rPr>
        <w:t>púccha-</w:t>
      </w:r>
      <w:r w:rsidRPr="00FB4EFA">
        <w:rPr>
          <w:rFonts w:cs="Charis SIL"/>
          <w:lang w:val="en-GB"/>
        </w:rPr>
        <w:t xml:space="preserve">, </w:t>
      </w:r>
      <w:bookmarkStart w:id="67" w:name="_Hlk89266329"/>
      <w:r w:rsidRPr="00FB4EFA">
        <w:rPr>
          <w:rFonts w:cs="Charis SIL"/>
          <w:lang w:val="en-GB"/>
        </w:rPr>
        <w:t>*</w:t>
      </w:r>
      <w:r w:rsidRPr="00FB4EFA">
        <w:rPr>
          <w:rFonts w:cs="Charis SIL"/>
          <w:i/>
          <w:iCs/>
          <w:lang w:val="en-GB"/>
        </w:rPr>
        <w:t>warāj́ha-</w:t>
      </w:r>
      <w:r w:rsidRPr="00FB4EFA">
        <w:rPr>
          <w:rFonts w:cs="Charis SIL"/>
          <w:lang w:val="en-GB"/>
        </w:rPr>
        <w:t xml:space="preserve"> </w:t>
      </w:r>
      <w:bookmarkEnd w:id="67"/>
      <w:r w:rsidRPr="00FB4EFA">
        <w:rPr>
          <w:rFonts w:cs="Charis SIL"/>
          <w:lang w:val="en-GB"/>
        </w:rPr>
        <w:t xml:space="preserve">‘boar’ &gt; Old Indo-Aryan </w:t>
      </w:r>
      <w:r w:rsidRPr="00FB4EFA">
        <w:rPr>
          <w:rFonts w:cs="Charis SIL"/>
          <w:i/>
          <w:lang w:val="en-GB"/>
        </w:rPr>
        <w:t>v</w:t>
      </w:r>
      <w:r w:rsidRPr="00FB4EFA">
        <w:rPr>
          <w:rFonts w:cs="Charis SIL"/>
          <w:i/>
          <w:iCs/>
          <w:lang w:val="en-GB"/>
        </w:rPr>
        <w:t>arāha-</w:t>
      </w:r>
      <w:r w:rsidRPr="00FB4EFA">
        <w:rPr>
          <w:rFonts w:cs="Charis SIL"/>
          <w:iCs/>
          <w:lang w:val="en-GB"/>
        </w:rPr>
        <w:t xml:space="preserve"> id.</w:t>
      </w:r>
      <w:r w:rsidRPr="00FB4EFA">
        <w:rPr>
          <w:rFonts w:cs="Charis SIL"/>
          <w:lang w:val="en-GB"/>
        </w:rPr>
        <w:t>) originate in a substrate source (Lubotsky 2001: 311–312).</w:t>
      </w:r>
    </w:p>
    <w:p w14:paraId="1E9FFC32" w14:textId="5C8F64FE" w:rsidR="00B72515" w:rsidRPr="00FB4EFA" w:rsidRDefault="00B72515" w:rsidP="00AF0CAD">
      <w:pPr>
        <w:spacing w:before="57" w:after="57"/>
        <w:ind w:firstLine="720"/>
        <w:rPr>
          <w:rFonts w:cs="Charis SIL"/>
          <w:lang w:val="en-GB"/>
        </w:rPr>
      </w:pPr>
      <w:r w:rsidRPr="00FB4EFA">
        <w:rPr>
          <w:rFonts w:cs="Charis SIL"/>
          <w:lang w:val="en-GB"/>
        </w:rPr>
        <w:t xml:space="preserve">Cheung also mentions the idea that </w:t>
      </w:r>
      <w:r w:rsidRPr="00FB4EFA">
        <w:rPr>
          <w:rFonts w:cs="Charis SIL"/>
          <w:i/>
          <w:iCs/>
          <w:lang w:val="en-GB"/>
        </w:rPr>
        <w:t>asūra-</w:t>
      </w:r>
      <w:r w:rsidRPr="00FB4EFA">
        <w:rPr>
          <w:rFonts w:cs="Charis SIL"/>
          <w:lang w:val="en-GB"/>
        </w:rPr>
        <w:t xml:space="preserve"> might reflect the zero-grade form with *</w:t>
      </w:r>
      <w:r w:rsidRPr="00FB4EFA">
        <w:rPr>
          <w:rFonts w:cs="Charis SIL"/>
          <w:i/>
          <w:iCs/>
          <w:lang w:val="en-GB"/>
        </w:rPr>
        <w:t>n̥</w:t>
      </w:r>
      <w:r w:rsidRPr="00FB4EFA">
        <w:rPr>
          <w:rFonts w:cs="Charis SIL"/>
          <w:lang w:val="en-GB"/>
        </w:rPr>
        <w:t>, but he deems this unlikely</w:t>
      </w:r>
      <w:r w:rsidR="00FB3099" w:rsidRPr="00FB4EFA">
        <w:rPr>
          <w:rFonts w:cs="Charis SIL"/>
          <w:lang w:val="en-GB"/>
        </w:rPr>
        <w:t>,</w:t>
      </w:r>
      <w:r w:rsidRPr="00FB4EFA">
        <w:rPr>
          <w:rFonts w:cs="Charis SIL"/>
          <w:lang w:val="en-GB"/>
        </w:rPr>
        <w:t xml:space="preserve"> as a rare word like ‘tusk’ would not likely have ablaut variants. Cheung also assumes that analogy from the</w:t>
      </w:r>
      <w:r w:rsidRPr="00FB4EFA">
        <w:rPr>
          <w:rFonts w:cs="Charis SIL"/>
          <w:i/>
          <w:iCs/>
          <w:lang w:val="en-GB"/>
        </w:rPr>
        <w:t xml:space="preserve"> a-</w:t>
      </w:r>
      <w:r w:rsidRPr="00FB4EFA">
        <w:rPr>
          <w:rFonts w:cs="Charis SIL"/>
          <w:lang w:val="en-GB"/>
        </w:rPr>
        <w:t xml:space="preserve"> in the</w:t>
      </w:r>
      <w:r w:rsidRPr="00FB4EFA">
        <w:rPr>
          <w:rFonts w:cs="Charis SIL"/>
          <w:i/>
          <w:iCs/>
          <w:lang w:val="en-GB"/>
        </w:rPr>
        <w:t xml:space="preserve"> </w:t>
      </w:r>
      <w:r w:rsidRPr="00FB4EFA">
        <w:rPr>
          <w:rFonts w:cs="Charis SIL"/>
          <w:lang w:val="en-GB"/>
        </w:rPr>
        <w:t xml:space="preserve">word </w:t>
      </w:r>
      <w:r w:rsidRPr="00FB4EFA">
        <w:rPr>
          <w:rFonts w:cs="Charis SIL"/>
          <w:i/>
          <w:iCs/>
          <w:lang w:val="en-GB"/>
        </w:rPr>
        <w:t>aršnō</w:t>
      </w:r>
      <w:r w:rsidRPr="00FB4EFA">
        <w:rPr>
          <w:rFonts w:cs="Charis SIL"/>
          <w:lang w:val="en-GB"/>
        </w:rPr>
        <w:t xml:space="preserve"> ‘male’, preceding </w:t>
      </w:r>
      <w:r w:rsidRPr="00FB4EFA">
        <w:rPr>
          <w:rFonts w:cs="Charis SIL"/>
          <w:i/>
          <w:iCs/>
          <w:lang w:val="en-GB"/>
        </w:rPr>
        <w:t>tiži.asūra-</w:t>
      </w:r>
      <w:r w:rsidRPr="00FB4EFA">
        <w:rPr>
          <w:rFonts w:cs="Charis SIL"/>
          <w:lang w:val="en-GB"/>
        </w:rPr>
        <w:t xml:space="preserve"> in the Avestan text, could have played a role.</w:t>
      </w:r>
    </w:p>
    <w:p w14:paraId="111B1FBE" w14:textId="020DFD13" w:rsidR="0074283E" w:rsidRPr="00FB4EFA" w:rsidRDefault="00B72515" w:rsidP="00AF0CAD">
      <w:pPr>
        <w:ind w:firstLine="720"/>
        <w:rPr>
          <w:rFonts w:cs="Charis SIL"/>
          <w:lang w:val="en-GB"/>
        </w:rPr>
      </w:pPr>
      <w:r w:rsidRPr="00FB4EFA">
        <w:rPr>
          <w:rFonts w:cs="Charis SIL"/>
          <w:lang w:val="en-GB"/>
        </w:rPr>
        <w:t>The argument about the lack of ablaut is not very strong, however, especially if the word is of Indo-European</w:t>
      </w:r>
      <w:r w:rsidRPr="00FB4EFA">
        <w:rPr>
          <w:lang w:val="en-GB"/>
        </w:rPr>
        <w:t xml:space="preserve"> origin, as has been </w:t>
      </w:r>
      <w:r w:rsidRPr="00FB4EFA">
        <w:rPr>
          <w:rFonts w:cs="Charis SIL"/>
          <w:lang w:val="en-GB"/>
        </w:rPr>
        <w:t xml:space="preserve">assumed. Cheung refers to Hackstein’s (1998: 227) etymology of Tocharian A </w:t>
      </w:r>
      <w:r w:rsidRPr="00FB4EFA">
        <w:rPr>
          <w:rFonts w:cs="Charis SIL"/>
          <w:i/>
          <w:iCs/>
          <w:lang w:val="en-GB"/>
        </w:rPr>
        <w:t>āṅkar</w:t>
      </w:r>
      <w:r w:rsidRPr="00FB4EFA">
        <w:rPr>
          <w:rFonts w:cs="Charis SIL"/>
          <w:lang w:val="en-GB"/>
        </w:rPr>
        <w:t xml:space="preserve">, B </w:t>
      </w:r>
      <w:r w:rsidRPr="00FB4EFA">
        <w:rPr>
          <w:rFonts w:cs="Charis SIL"/>
          <w:i/>
          <w:iCs/>
          <w:lang w:val="en-GB"/>
        </w:rPr>
        <w:t>āṅkär</w:t>
      </w:r>
      <w:r w:rsidRPr="00FB4EFA">
        <w:rPr>
          <w:rFonts w:cs="Charis SIL"/>
          <w:lang w:val="en-GB"/>
        </w:rPr>
        <w:t xml:space="preserve"> ‘tusk’, which he derives from PIE proterokinetic *</w:t>
      </w:r>
      <w:r w:rsidRPr="00FB4EFA">
        <w:rPr>
          <w:rFonts w:cs="Charis SIL"/>
          <w:i/>
          <w:iCs/>
          <w:lang w:val="en-GB"/>
        </w:rPr>
        <w:t>h</w:t>
      </w:r>
      <w:r w:rsidRPr="00FB4EFA">
        <w:rPr>
          <w:rFonts w:cs="Charis SIL"/>
          <w:i/>
          <w:iCs/>
          <w:vertAlign w:val="subscript"/>
          <w:lang w:val="en-GB"/>
        </w:rPr>
        <w:t>2</w:t>
      </w:r>
      <w:r w:rsidRPr="00FB4EFA">
        <w:rPr>
          <w:rFonts w:cs="Charis SIL"/>
          <w:i/>
          <w:iCs/>
          <w:lang w:val="en-GB"/>
        </w:rPr>
        <w:t>én</w:t>
      </w:r>
      <w:r w:rsidR="00BC789A" w:rsidRPr="00FB4EFA">
        <w:rPr>
          <w:rFonts w:cs="Charis SIL"/>
          <w:i/>
          <w:iCs/>
          <w:lang w:val="en-GB"/>
        </w:rPr>
        <w:t>ḱ</w:t>
      </w:r>
      <w:r w:rsidR="000C141C" w:rsidRPr="00FB4EFA">
        <w:rPr>
          <w:rFonts w:cs="Charis SIL"/>
          <w:i/>
          <w:iCs/>
          <w:lang w:val="en-GB"/>
        </w:rPr>
        <w:noBreakHyphen/>
      </w:r>
      <w:r w:rsidRPr="00FB4EFA">
        <w:rPr>
          <w:rFonts w:cs="Charis SIL"/>
          <w:i/>
          <w:iCs/>
          <w:lang w:val="en-GB"/>
        </w:rPr>
        <w:t>r</w:t>
      </w:r>
      <w:r w:rsidR="000C141C" w:rsidRPr="00FB4EFA">
        <w:rPr>
          <w:rFonts w:cs="Charis SIL"/>
          <w:i/>
          <w:iCs/>
          <w:lang w:val="en-GB"/>
        </w:rPr>
        <w:noBreakHyphen/>
      </w:r>
      <w:r w:rsidRPr="00FB4EFA">
        <w:rPr>
          <w:rFonts w:cs="Charis SIL"/>
          <w:lang w:val="en-GB"/>
        </w:rPr>
        <w:t>, *</w:t>
      </w:r>
      <w:r w:rsidRPr="00FB4EFA">
        <w:rPr>
          <w:rFonts w:cs="Charis SIL"/>
          <w:i/>
          <w:iCs/>
          <w:lang w:val="en-GB"/>
        </w:rPr>
        <w:t>h</w:t>
      </w:r>
      <w:r w:rsidRPr="00FB4EFA">
        <w:rPr>
          <w:rFonts w:cs="Charis SIL"/>
          <w:i/>
          <w:iCs/>
          <w:vertAlign w:val="subscript"/>
          <w:lang w:val="en-GB"/>
        </w:rPr>
        <w:t>2</w:t>
      </w:r>
      <w:r w:rsidRPr="00FB4EFA">
        <w:rPr>
          <w:rFonts w:cs="Charis SIL"/>
          <w:i/>
          <w:iCs/>
          <w:lang w:val="en-GB"/>
        </w:rPr>
        <w:t>n</w:t>
      </w:r>
      <w:r w:rsidR="00BC789A" w:rsidRPr="00FB4EFA">
        <w:rPr>
          <w:rFonts w:cs="Charis SIL"/>
          <w:i/>
          <w:iCs/>
          <w:lang w:val="en-GB"/>
        </w:rPr>
        <w:t>ḱ</w:t>
      </w:r>
      <w:r w:rsidR="000C141C" w:rsidRPr="00FB4EFA">
        <w:rPr>
          <w:rFonts w:cs="Charis SIL"/>
          <w:i/>
          <w:iCs/>
          <w:lang w:val="en-GB"/>
        </w:rPr>
        <w:noBreakHyphen/>
      </w:r>
      <w:r w:rsidRPr="00FB4EFA">
        <w:rPr>
          <w:rFonts w:cs="Charis SIL"/>
          <w:i/>
          <w:iCs/>
          <w:lang w:val="en-GB"/>
        </w:rPr>
        <w:t>én</w:t>
      </w:r>
      <w:r w:rsidR="000C141C" w:rsidRPr="00FB4EFA">
        <w:rPr>
          <w:rFonts w:cs="Charis SIL"/>
          <w:i/>
          <w:iCs/>
          <w:lang w:val="en-GB"/>
        </w:rPr>
        <w:noBreakHyphen/>
      </w:r>
      <w:r w:rsidRPr="00FB4EFA">
        <w:rPr>
          <w:rFonts w:cs="Charis SIL"/>
          <w:i/>
          <w:iCs/>
          <w:lang w:val="en-GB"/>
        </w:rPr>
        <w:t>s</w:t>
      </w:r>
      <w:r w:rsidRPr="00FB4EFA">
        <w:rPr>
          <w:rFonts w:cs="Charis SIL"/>
          <w:lang w:val="en-GB"/>
        </w:rPr>
        <w:t xml:space="preserve">; Latin </w:t>
      </w:r>
      <w:r w:rsidRPr="00FB4EFA">
        <w:rPr>
          <w:rFonts w:cs="Charis SIL"/>
          <w:i/>
          <w:iCs/>
          <w:lang w:val="en-GB"/>
        </w:rPr>
        <w:t xml:space="preserve">uncus </w:t>
      </w:r>
      <w:r w:rsidRPr="00FB4EFA">
        <w:rPr>
          <w:rFonts w:cs="Charis SIL"/>
          <w:lang w:val="en-GB"/>
        </w:rPr>
        <w:t>‘curved’ stems from the same root according to Hackstein. He does not mention</w:t>
      </w:r>
      <w:r w:rsidRPr="00FB4EFA">
        <w:rPr>
          <w:lang w:val="en-GB"/>
        </w:rPr>
        <w:t xml:space="preserve"> any Iranian words in this connection</w:t>
      </w:r>
      <w:r w:rsidR="00FB3099" w:rsidRPr="00FB4EFA">
        <w:rPr>
          <w:lang w:val="en-GB"/>
        </w:rPr>
        <w:t xml:space="preserve"> but states</w:t>
      </w:r>
      <w:r w:rsidRPr="00FB4EFA">
        <w:rPr>
          <w:lang w:val="en-GB"/>
        </w:rPr>
        <w:t xml:space="preserve"> that </w:t>
      </w:r>
      <w:r w:rsidRPr="00FB4EFA">
        <w:rPr>
          <w:i/>
          <w:iCs/>
          <w:lang w:val="en-GB"/>
        </w:rPr>
        <w:t>uncus</w:t>
      </w:r>
      <w:r w:rsidRPr="00FB4EFA">
        <w:rPr>
          <w:lang w:val="en-GB"/>
        </w:rPr>
        <w:t xml:space="preserve"> is often an epithet for teeth in Latin, which reinforces the etymological connection between the Latin word and the Tocharian and Indo-Iranian forms. </w:t>
      </w:r>
      <w:r w:rsidR="0074283E" w:rsidRPr="00FB4EFA">
        <w:rPr>
          <w:rFonts w:cs="Charis SIL"/>
          <w:lang w:val="en-GB"/>
        </w:rPr>
        <w:t>Cheung considers it possible but uncertain that the Iranian words for ‘tusk’ are related to the aforementioned Tocharian and Latin words, noting that the Iranian etymology of the Ossetic word is “somewhat puzzling”. The Proto-Iranian stem does not correspond to the Tocharian or Latin words and might have been modelled after *</w:t>
      </w:r>
      <w:r w:rsidR="0074283E" w:rsidRPr="00FB4EFA">
        <w:rPr>
          <w:rFonts w:cs="Charis SIL"/>
          <w:i/>
          <w:iCs/>
          <w:lang w:val="en-GB"/>
        </w:rPr>
        <w:t>bāzura</w:t>
      </w:r>
      <w:r w:rsidR="0074283E" w:rsidRPr="00FB4EFA">
        <w:rPr>
          <w:rFonts w:cs="Charis SIL"/>
          <w:lang w:val="en-GB"/>
        </w:rPr>
        <w:t>- ‘wing’.</w:t>
      </w:r>
    </w:p>
    <w:p w14:paraId="1FABD442" w14:textId="0D5DDFE4" w:rsidR="00B72515" w:rsidRPr="00FB4EFA" w:rsidRDefault="00B72515" w:rsidP="00AF0CAD">
      <w:pPr>
        <w:ind w:firstLine="720"/>
        <w:rPr>
          <w:lang w:val="en-GB"/>
        </w:rPr>
      </w:pPr>
      <w:r w:rsidRPr="00FB4EFA">
        <w:rPr>
          <w:rFonts w:cs="Charis SIL"/>
          <w:lang w:val="en-GB"/>
        </w:rPr>
        <w:t>If Ossetic</w:t>
      </w:r>
      <w:r w:rsidRPr="00FB4EFA">
        <w:rPr>
          <w:rFonts w:cs="Charis SIL"/>
          <w:i/>
          <w:iCs/>
          <w:lang w:val="en-GB"/>
        </w:rPr>
        <w:t xml:space="preserve"> æssyr </w:t>
      </w:r>
      <w:r w:rsidRPr="00FB4EFA">
        <w:rPr>
          <w:rFonts w:cs="Charis SIL"/>
          <w:lang w:val="en-GB"/>
        </w:rPr>
        <w:t>indeed reflects Indo-European *</w:t>
      </w:r>
      <w:r w:rsidRPr="00FB4EFA">
        <w:rPr>
          <w:rFonts w:cs="Charis SIL"/>
          <w:i/>
          <w:iCs/>
          <w:lang w:val="en-GB"/>
        </w:rPr>
        <w:t>h</w:t>
      </w:r>
      <w:r w:rsidRPr="00FB4EFA">
        <w:rPr>
          <w:rFonts w:cs="Charis SIL"/>
          <w:i/>
          <w:iCs/>
          <w:vertAlign w:val="subscript"/>
          <w:lang w:val="en-GB"/>
        </w:rPr>
        <w:t>2</w:t>
      </w:r>
      <w:r w:rsidRPr="00FB4EFA">
        <w:rPr>
          <w:rFonts w:cs="Charis SIL"/>
          <w:i/>
          <w:iCs/>
          <w:lang w:val="en-GB"/>
        </w:rPr>
        <w:t>én</w:t>
      </w:r>
      <w:r w:rsidR="00BC789A" w:rsidRPr="00FB4EFA">
        <w:rPr>
          <w:rFonts w:cs="Charis SIL"/>
          <w:i/>
          <w:iCs/>
          <w:lang w:val="en-GB"/>
        </w:rPr>
        <w:t>ḱ</w:t>
      </w:r>
      <w:r w:rsidR="000C141C" w:rsidRPr="00FB4EFA">
        <w:rPr>
          <w:rFonts w:cs="Charis SIL"/>
          <w:i/>
          <w:iCs/>
          <w:lang w:val="en-GB"/>
        </w:rPr>
        <w:noBreakHyphen/>
      </w:r>
      <w:r w:rsidRPr="00FB4EFA">
        <w:rPr>
          <w:rFonts w:cs="Charis SIL"/>
          <w:i/>
          <w:iCs/>
          <w:lang w:val="en-GB"/>
        </w:rPr>
        <w:t>r</w:t>
      </w:r>
      <w:r w:rsidR="000C141C" w:rsidRPr="00FB4EFA">
        <w:rPr>
          <w:rFonts w:cs="Charis SIL"/>
          <w:i/>
          <w:iCs/>
          <w:lang w:val="en-GB"/>
        </w:rPr>
        <w:noBreakHyphen/>
      </w:r>
      <w:r w:rsidRPr="00FB4EFA">
        <w:rPr>
          <w:rFonts w:cs="Charis SIL"/>
          <w:lang w:val="en-GB"/>
        </w:rPr>
        <w:t>, *</w:t>
      </w:r>
      <w:r w:rsidRPr="00FB4EFA">
        <w:rPr>
          <w:rFonts w:cs="Charis SIL"/>
          <w:i/>
          <w:iCs/>
          <w:lang w:val="en-GB"/>
        </w:rPr>
        <w:t>h</w:t>
      </w:r>
      <w:r w:rsidRPr="00FB4EFA">
        <w:rPr>
          <w:rFonts w:cs="Charis SIL"/>
          <w:i/>
          <w:iCs/>
          <w:vertAlign w:val="subscript"/>
          <w:lang w:val="en-GB"/>
        </w:rPr>
        <w:t>2</w:t>
      </w:r>
      <w:r w:rsidRPr="00FB4EFA">
        <w:rPr>
          <w:rFonts w:cs="Charis SIL"/>
          <w:i/>
          <w:iCs/>
          <w:lang w:val="en-GB"/>
        </w:rPr>
        <w:t>n</w:t>
      </w:r>
      <w:r w:rsidR="00BC789A" w:rsidRPr="00FB4EFA">
        <w:rPr>
          <w:rFonts w:cs="Charis SIL"/>
          <w:i/>
          <w:iCs/>
          <w:lang w:val="en-GB"/>
        </w:rPr>
        <w:t>ḱ</w:t>
      </w:r>
      <w:r w:rsidRPr="00FB4EFA">
        <w:rPr>
          <w:rFonts w:cs="Charis SIL"/>
          <w:i/>
          <w:iCs/>
          <w:lang w:val="en-GB"/>
        </w:rPr>
        <w:noBreakHyphen/>
        <w:t>én</w:t>
      </w:r>
      <w:r w:rsidR="000C141C" w:rsidRPr="00FB4EFA">
        <w:rPr>
          <w:rFonts w:cs="Charis SIL"/>
          <w:i/>
          <w:iCs/>
          <w:lang w:val="en-GB"/>
        </w:rPr>
        <w:noBreakHyphen/>
      </w:r>
      <w:r w:rsidRPr="00FB4EFA">
        <w:rPr>
          <w:rFonts w:cs="Charis SIL"/>
          <w:i/>
          <w:iCs/>
          <w:lang w:val="en-GB"/>
        </w:rPr>
        <w:t>s</w:t>
      </w:r>
      <w:r w:rsidRPr="00FB4EFA">
        <w:rPr>
          <w:rFonts w:cs="Charis SIL"/>
          <w:lang w:val="en-GB"/>
        </w:rPr>
        <w:t>, there certainly has been ablaut in the Indo-Iranian word originally, and it cannot be ruled out completely</w:t>
      </w:r>
      <w:r w:rsidRPr="00FB4EFA">
        <w:rPr>
          <w:lang w:val="en-GB"/>
        </w:rPr>
        <w:t xml:space="preserve"> that the Avestan word would not have generalized the zero-grade here. However, this kind of argumentation is speculative as we have too little Indo-Iranian data here, and admittedly it would be a bit strange if the zero-grade root would have been generalized in the Avestan derivative but not in the predecessors of the Sogdian and Ossetic </w:t>
      </w:r>
      <w:r w:rsidRPr="00FB4EFA">
        <w:rPr>
          <w:rFonts w:cs="Charis SIL"/>
          <w:lang w:val="en-GB"/>
        </w:rPr>
        <w:t>words. On the other hand, if Cheung’s idea of analogy from *</w:t>
      </w:r>
      <w:r w:rsidRPr="00FB4EFA">
        <w:rPr>
          <w:rFonts w:cs="Charis SIL"/>
          <w:i/>
          <w:iCs/>
          <w:lang w:val="en-GB"/>
        </w:rPr>
        <w:t>bāzura-</w:t>
      </w:r>
      <w:r w:rsidRPr="00FB4EFA">
        <w:rPr>
          <w:rFonts w:cs="Charis SIL"/>
          <w:lang w:val="en-GB"/>
        </w:rPr>
        <w:t xml:space="preserve"> [= Proto-Iranian </w:t>
      </w:r>
      <w:r w:rsidRPr="00FB4EFA">
        <w:rPr>
          <w:rFonts w:cs="Charis SIL"/>
          <w:i/>
          <w:iCs/>
          <w:lang w:val="en-GB"/>
        </w:rPr>
        <w:t>*bādzura-</w:t>
      </w:r>
      <w:r w:rsidRPr="00FB4EFA">
        <w:rPr>
          <w:rFonts w:cs="Charis SIL"/>
          <w:lang w:val="en-GB"/>
        </w:rPr>
        <w:t xml:space="preserve">, if we employ the Proto-Iranian phonology reconstructed by Mayrhofer </w:t>
      </w:r>
      <w:r w:rsidR="000C141C" w:rsidRPr="00FB4EFA">
        <w:rPr>
          <w:rFonts w:cs="Charis SIL"/>
          <w:lang w:val="en-GB"/>
        </w:rPr>
        <w:t>(</w:t>
      </w:r>
      <w:r w:rsidRPr="00FB4EFA">
        <w:rPr>
          <w:rFonts w:cs="Charis SIL"/>
          <w:lang w:val="en-GB"/>
        </w:rPr>
        <w:t>1989</w:t>
      </w:r>
      <w:r w:rsidR="000C141C" w:rsidRPr="00FB4EFA">
        <w:rPr>
          <w:rFonts w:cs="Charis SIL"/>
          <w:lang w:val="en-GB"/>
        </w:rPr>
        <w:t>)</w:t>
      </w:r>
      <w:r w:rsidRPr="00FB4EFA">
        <w:rPr>
          <w:rFonts w:cs="Charis SIL"/>
          <w:lang w:val="en-GB"/>
        </w:rPr>
        <w:t>] ‘wing’ is correct, we could assume that the Avestan lack of nasal is also due to this remodelling. It is not immediately clear why ‘tusk’ should be modelled after ‘wing’,</w:t>
      </w:r>
      <w:r w:rsidRPr="00FB4EFA">
        <w:rPr>
          <w:lang w:val="en-GB"/>
        </w:rPr>
        <w:t xml:space="preserve"> however.</w:t>
      </w:r>
    </w:p>
    <w:p w14:paraId="1DFAAABD" w14:textId="27EB81D7" w:rsidR="00B72515" w:rsidRPr="00FB4EFA" w:rsidRDefault="00B72515" w:rsidP="00AF0CAD">
      <w:pPr>
        <w:ind w:firstLine="720"/>
        <w:rPr>
          <w:lang w:val="en-GB"/>
        </w:rPr>
      </w:pPr>
      <w:r w:rsidRPr="00FB4EFA">
        <w:rPr>
          <w:lang w:val="en-GB"/>
        </w:rPr>
        <w:lastRenderedPageBreak/>
        <w:t>Also, another possible explanation for the aberrant Avestan stem could be mentioned: analogy to the Indo-Iranian word *</w:t>
      </w:r>
      <w:r w:rsidRPr="00FB4EFA">
        <w:rPr>
          <w:i/>
          <w:iCs/>
          <w:lang w:val="en-GB"/>
        </w:rPr>
        <w:t>ankura-</w:t>
      </w:r>
      <w:r w:rsidRPr="00FB4EFA">
        <w:rPr>
          <w:lang w:val="en-GB"/>
        </w:rPr>
        <w:t xml:space="preserve"> ‘hook’ could have played a role here. If ‘tusk’ was originally ‘curved’, the word for ‘hook’ would be semantically and formally rather close. This might be a better option than remodelling after the word for ‘wing’</w:t>
      </w:r>
      <w:r w:rsidR="00F036BE" w:rsidRPr="00FB4EFA">
        <w:rPr>
          <w:lang w:val="en-GB"/>
        </w:rPr>
        <w:t xml:space="preserve"> and</w:t>
      </w:r>
      <w:r w:rsidRPr="00FB4EFA">
        <w:rPr>
          <w:lang w:val="en-GB"/>
        </w:rPr>
        <w:t xml:space="preserve"> might explain the aberrant stem but does not solve the problem of the absence of nasal in Avestan, however.</w:t>
      </w:r>
    </w:p>
    <w:p w14:paraId="3474E86E" w14:textId="77777777" w:rsidR="00B72515" w:rsidRPr="00FB4EFA" w:rsidRDefault="00B72515" w:rsidP="00402EF4">
      <w:pPr>
        <w:ind w:firstLine="720"/>
        <w:rPr>
          <w:lang w:val="en-GB"/>
        </w:rPr>
      </w:pPr>
      <w:r w:rsidRPr="00FB4EFA">
        <w:rPr>
          <w:lang w:val="en-GB"/>
        </w:rPr>
        <w:t>Further connections of the Iranian word are not central to the Uralic loan etymology, as several of the well-established loanwords reflect roots that are attested in Indo-Iranian only (Holopainen 2019), but it can still be noted here that the Indo-European etymology mentioned cautiously by Cheung is not accepted in all sources.</w:t>
      </w:r>
    </w:p>
    <w:p w14:paraId="0405A0A7" w14:textId="7E88459A" w:rsidR="00B72515" w:rsidRPr="00FB4EFA" w:rsidRDefault="00B72515" w:rsidP="00AF0CAD">
      <w:pPr>
        <w:ind w:firstLine="720"/>
        <w:rPr>
          <w:lang w:val="en-GB"/>
        </w:rPr>
      </w:pPr>
      <w:r w:rsidRPr="00FB4EFA">
        <w:rPr>
          <w:lang w:val="en-GB"/>
        </w:rPr>
        <w:t xml:space="preserve">De Vaan (2008: 640) makes no </w:t>
      </w:r>
      <w:r w:rsidRPr="00FB4EFA">
        <w:rPr>
          <w:rFonts w:cs="Charis SIL"/>
          <w:lang w:val="en-GB"/>
        </w:rPr>
        <w:t xml:space="preserve">mention of the Tocharian words but gives the traditional etymology according to which </w:t>
      </w:r>
      <w:r w:rsidRPr="00FB4EFA">
        <w:rPr>
          <w:rFonts w:cs="Charis SIL"/>
          <w:i/>
          <w:iCs/>
          <w:lang w:val="en-GB"/>
        </w:rPr>
        <w:t>uncus</w:t>
      </w:r>
      <w:r w:rsidRPr="00FB4EFA">
        <w:rPr>
          <w:rFonts w:cs="Charis SIL"/>
          <w:lang w:val="en-GB"/>
        </w:rPr>
        <w:t xml:space="preserve"> </w:t>
      </w:r>
      <w:r w:rsidR="008E3FE3" w:rsidRPr="00FB4EFA">
        <w:rPr>
          <w:rFonts w:cs="Charis SIL"/>
          <w:lang w:val="en-GB"/>
        </w:rPr>
        <w:t>derives</w:t>
      </w:r>
      <w:r w:rsidRPr="00FB4EFA">
        <w:rPr>
          <w:rFonts w:cs="Charis SIL"/>
          <w:lang w:val="en-GB"/>
        </w:rPr>
        <w:t xml:space="preserve"> from PIE *</w:t>
      </w:r>
      <w:r w:rsidRPr="00FB4EFA">
        <w:rPr>
          <w:rFonts w:cs="Charis SIL"/>
          <w:i/>
          <w:iCs/>
          <w:lang w:val="en-GB"/>
        </w:rPr>
        <w:t>h</w:t>
      </w:r>
      <w:r w:rsidRPr="00FB4EFA">
        <w:rPr>
          <w:rFonts w:cs="Charis SIL"/>
          <w:i/>
          <w:iCs/>
          <w:vertAlign w:val="subscript"/>
          <w:lang w:val="en-GB"/>
        </w:rPr>
        <w:t>2</w:t>
      </w:r>
      <w:r w:rsidRPr="00FB4EFA">
        <w:rPr>
          <w:rFonts w:cs="Charis SIL"/>
          <w:i/>
          <w:iCs/>
          <w:lang w:val="en-GB"/>
        </w:rPr>
        <w:t>onko-</w:t>
      </w:r>
      <w:r w:rsidRPr="00FB4EFA">
        <w:rPr>
          <w:rFonts w:cs="Charis SIL"/>
          <w:lang w:val="en-GB"/>
        </w:rPr>
        <w:t>, which yields also Indo-Iranian *</w:t>
      </w:r>
      <w:r w:rsidRPr="00FB4EFA">
        <w:rPr>
          <w:rFonts w:cs="Charis SIL"/>
          <w:i/>
          <w:lang w:val="en-GB"/>
        </w:rPr>
        <w:t>H</w:t>
      </w:r>
      <w:r w:rsidRPr="00FB4EFA">
        <w:rPr>
          <w:rFonts w:cs="Charis SIL"/>
          <w:i/>
          <w:iCs/>
          <w:lang w:val="en-GB"/>
        </w:rPr>
        <w:t xml:space="preserve">anka- </w:t>
      </w:r>
      <w:r w:rsidRPr="00FB4EFA">
        <w:rPr>
          <w:rFonts w:cs="Charis SIL"/>
          <w:lang w:val="en-GB"/>
        </w:rPr>
        <w:t xml:space="preserve">‘hook’ (a possible source of Finnish </w:t>
      </w:r>
      <w:r w:rsidRPr="00FB4EFA">
        <w:rPr>
          <w:rFonts w:cs="Charis SIL"/>
          <w:i/>
          <w:iCs/>
          <w:lang w:val="en-GB"/>
        </w:rPr>
        <w:t>onki</w:t>
      </w:r>
      <w:r w:rsidRPr="00FB4EFA">
        <w:rPr>
          <w:rFonts w:cs="Charis SIL"/>
          <w:iCs/>
          <w:lang w:val="en-GB"/>
        </w:rPr>
        <w:t xml:space="preserve"> ‘fishing rod’, North Saami </w:t>
      </w:r>
      <w:r w:rsidRPr="00FB4EFA">
        <w:rPr>
          <w:rFonts w:cs="Charis SIL"/>
          <w:i/>
          <w:iCs/>
          <w:lang w:val="en-GB"/>
        </w:rPr>
        <w:t>vuogga</w:t>
      </w:r>
      <w:r w:rsidRPr="00FB4EFA">
        <w:rPr>
          <w:rFonts w:cs="Charis SIL"/>
          <w:iCs/>
          <w:lang w:val="en-GB"/>
        </w:rPr>
        <w:t xml:space="preserve"> id. and Mari </w:t>
      </w:r>
      <w:r w:rsidRPr="00FB4EFA">
        <w:rPr>
          <w:rFonts w:cs="Charis SIL"/>
          <w:i/>
          <w:iCs/>
          <w:lang w:val="en-GB"/>
        </w:rPr>
        <w:t>oŋgo</w:t>
      </w:r>
      <w:r w:rsidRPr="00FB4EFA">
        <w:rPr>
          <w:rFonts w:cs="Charis SIL"/>
          <w:iCs/>
          <w:lang w:val="en-GB"/>
        </w:rPr>
        <w:t xml:space="preserve"> ‘hoop’, </w:t>
      </w:r>
      <w:r w:rsidRPr="00FB4EFA">
        <w:rPr>
          <w:rFonts w:cs="Charis SIL"/>
          <w:lang w:val="en-GB"/>
        </w:rPr>
        <w:t xml:space="preserve">see Joki 1973: 295–296; Holopainen 2019: 161–162). The same root also gives Latin </w:t>
      </w:r>
      <w:r w:rsidRPr="00FB4EFA">
        <w:rPr>
          <w:rFonts w:cs="Charis SIL"/>
          <w:i/>
          <w:iCs/>
          <w:lang w:val="en-GB"/>
        </w:rPr>
        <w:t>ancus</w:t>
      </w:r>
      <w:r w:rsidRPr="00FB4EFA">
        <w:rPr>
          <w:rFonts w:cs="Charis SIL"/>
          <w:lang w:val="en-GB"/>
        </w:rPr>
        <w:t>; de Vaan refers to LIV (268), where no mention of the Tocharian or Iranian nouns is made. The root is reconstructed with plain *</w:t>
      </w:r>
      <w:r w:rsidRPr="00FB4EFA">
        <w:rPr>
          <w:rFonts w:cs="Charis SIL"/>
          <w:i/>
          <w:iCs/>
          <w:lang w:val="en-GB"/>
        </w:rPr>
        <w:t>k</w:t>
      </w:r>
      <w:r w:rsidRPr="00FB4EFA">
        <w:rPr>
          <w:rFonts w:cs="Charis SIL"/>
          <w:lang w:val="en-GB"/>
        </w:rPr>
        <w:t xml:space="preserve"> in LIV. (De Vaan gives palatovelar</w:t>
      </w:r>
      <w:r w:rsidRPr="00FB4EFA">
        <w:rPr>
          <w:lang w:val="en-GB"/>
        </w:rPr>
        <w:t xml:space="preserve"> *</w:t>
      </w:r>
      <w:r w:rsidR="00BC789A" w:rsidRPr="00FB4EFA">
        <w:rPr>
          <w:rFonts w:cs="Charis SIL"/>
          <w:i/>
          <w:iCs/>
          <w:lang w:val="en-GB"/>
        </w:rPr>
        <w:t>ḱ</w:t>
      </w:r>
      <w:r w:rsidRPr="00FB4EFA">
        <w:rPr>
          <w:lang w:val="en-GB"/>
        </w:rPr>
        <w:t xml:space="preserve"> but this must be a mistake, as the Indic and Iranian forms he lists obviously cannot reflect that.)</w:t>
      </w:r>
    </w:p>
    <w:p w14:paraId="66F0CE3A" w14:textId="3BF43F8F" w:rsidR="00B72515" w:rsidRPr="00FB4EFA" w:rsidRDefault="00B72515" w:rsidP="00AF0CAD">
      <w:pPr>
        <w:ind w:firstLine="720"/>
        <w:rPr>
          <w:lang w:val="en-GB"/>
        </w:rPr>
      </w:pPr>
      <w:r w:rsidRPr="00FB4EFA">
        <w:rPr>
          <w:lang w:val="en-GB"/>
        </w:rPr>
        <w:t xml:space="preserve">Adams (2013: 42) </w:t>
      </w:r>
      <w:r w:rsidRPr="00FB4EFA">
        <w:rPr>
          <w:rFonts w:cs="Charis SIL"/>
          <w:lang w:val="en-GB"/>
        </w:rPr>
        <w:t xml:space="preserve">notes that the Tocharian A and B forms are somehow related, but the second-syllable vowels do not match. He considers the possible Indo-European connections uncertain, referring to Pokorny who connected the Tocharian words with Greek </w:t>
      </w:r>
      <w:r w:rsidRPr="00FB4EFA">
        <w:rPr>
          <w:rFonts w:cs="Times New Roman"/>
          <w:i/>
          <w:iCs/>
          <w:lang w:val="en-GB"/>
        </w:rPr>
        <w:t>ἄγκῡρα</w:t>
      </w:r>
      <w:r w:rsidRPr="00FB4EFA">
        <w:rPr>
          <w:rFonts w:cs="Charis SIL"/>
          <w:lang w:val="en-GB"/>
        </w:rPr>
        <w:t xml:space="preserve"> ‘anchor; pruning hook,’ Sogdian </w:t>
      </w:r>
      <w:r w:rsidRPr="00FB4EFA">
        <w:rPr>
          <w:rFonts w:cs="Charis SIL"/>
          <w:i/>
          <w:iCs/>
          <w:lang w:val="en-GB"/>
        </w:rPr>
        <w:t>’nswr</w:t>
      </w:r>
      <w:r w:rsidRPr="00FB4EFA">
        <w:rPr>
          <w:rFonts w:cs="Charis SIL"/>
          <w:lang w:val="en-GB"/>
        </w:rPr>
        <w:t xml:space="preserve"> ‘fang,’ Ossetic </w:t>
      </w:r>
      <w:r w:rsidRPr="00FB4EFA">
        <w:rPr>
          <w:rFonts w:cs="Charis SIL"/>
          <w:i/>
          <w:iCs/>
          <w:lang w:val="en-GB"/>
        </w:rPr>
        <w:t>ænsuræ</w:t>
      </w:r>
      <w:r w:rsidRPr="00FB4EFA">
        <w:rPr>
          <w:rFonts w:cs="Charis SIL"/>
          <w:lang w:val="en-GB"/>
        </w:rPr>
        <w:t xml:space="preserve"> ‘fang’, deriving them from *</w:t>
      </w:r>
      <w:r w:rsidRPr="00FB4EFA">
        <w:rPr>
          <w:rFonts w:cs="Charis SIL"/>
          <w:i/>
          <w:iCs/>
          <w:lang w:val="en-GB"/>
        </w:rPr>
        <w:t>h</w:t>
      </w:r>
      <w:r w:rsidRPr="00FB4EFA">
        <w:rPr>
          <w:rFonts w:cs="Charis SIL"/>
          <w:i/>
          <w:iCs/>
          <w:vertAlign w:val="subscript"/>
          <w:lang w:val="en-GB"/>
        </w:rPr>
        <w:t>2</w:t>
      </w:r>
      <w:r w:rsidRPr="00FB4EFA">
        <w:rPr>
          <w:rFonts w:cs="Charis SIL"/>
          <w:i/>
          <w:iCs/>
          <w:lang w:val="en-GB"/>
        </w:rPr>
        <w:t>enk-</w:t>
      </w:r>
      <w:r w:rsidRPr="00FB4EFA">
        <w:rPr>
          <w:rFonts w:cs="Charis SIL"/>
          <w:lang w:val="en-GB"/>
        </w:rPr>
        <w:t xml:space="preserve">. Adams considers the Tocharian word for ‘elephant’ possibly related, but that does not help much in the assessment of the Iranian etymology. However, in regard of the Greek word, Beekes (2010: 12–13) does not mention the Tocharian </w:t>
      </w:r>
      <w:r w:rsidRPr="00FB4EFA">
        <w:rPr>
          <w:lang w:val="en-GB"/>
        </w:rPr>
        <w:t>or Indo-Iranian words. He derives the Greek word from the IE root *</w:t>
      </w:r>
      <w:r w:rsidRPr="00FB4EFA">
        <w:rPr>
          <w:i/>
          <w:iCs/>
          <w:lang w:val="en-GB"/>
        </w:rPr>
        <w:t>h</w:t>
      </w:r>
      <w:r w:rsidRPr="00FB4EFA">
        <w:rPr>
          <w:i/>
          <w:iCs/>
          <w:vertAlign w:val="subscript"/>
          <w:lang w:val="en-GB"/>
        </w:rPr>
        <w:t>2</w:t>
      </w:r>
      <w:r w:rsidRPr="00FB4EFA">
        <w:rPr>
          <w:i/>
          <w:iCs/>
          <w:lang w:val="en-GB"/>
        </w:rPr>
        <w:t>enk-</w:t>
      </w:r>
      <w:r w:rsidRPr="00FB4EFA">
        <w:rPr>
          <w:lang w:val="en-GB"/>
        </w:rPr>
        <w:t>, reconstructed with a plain velar.</w:t>
      </w:r>
    </w:p>
    <w:p w14:paraId="3F2483AD" w14:textId="29771E25" w:rsidR="00B72515" w:rsidRPr="00FB4EFA" w:rsidRDefault="00B72515" w:rsidP="00AF0CAD">
      <w:pPr>
        <w:ind w:firstLine="720"/>
        <w:rPr>
          <w:lang w:val="en-GB"/>
        </w:rPr>
      </w:pPr>
      <w:r w:rsidRPr="00FB4EFA">
        <w:rPr>
          <w:lang w:val="en-GB"/>
        </w:rPr>
        <w:t xml:space="preserve">The origin of Avestan </w:t>
      </w:r>
      <w:r w:rsidRPr="00FB4EFA">
        <w:rPr>
          <w:rFonts w:cs="Charis SIL"/>
          <w:i/>
          <w:iCs/>
          <w:lang w:val="en-GB"/>
        </w:rPr>
        <w:t>asūra-</w:t>
      </w:r>
      <w:r w:rsidRPr="00FB4EFA">
        <w:rPr>
          <w:rFonts w:cs="Charis SIL"/>
          <w:lang w:val="en-GB"/>
        </w:rPr>
        <w:t xml:space="preserve"> and related forms has also been recently discussed by Kümmel (2021) in an unpublished presentation. He assumes that Iranian *</w:t>
      </w:r>
      <w:r w:rsidRPr="00FB4EFA">
        <w:rPr>
          <w:rFonts w:cs="Charis SIL"/>
          <w:i/>
          <w:iCs/>
          <w:lang w:val="en-GB"/>
        </w:rPr>
        <w:t>(H)antsura-</w:t>
      </w:r>
      <w:r w:rsidRPr="00FB4EFA">
        <w:rPr>
          <w:rFonts w:cs="Charis SIL"/>
          <w:lang w:val="en-GB"/>
        </w:rPr>
        <w:t xml:space="preserve"> ~ *</w:t>
      </w:r>
      <w:r w:rsidRPr="00FB4EFA">
        <w:rPr>
          <w:rFonts w:cs="Charis SIL"/>
          <w:i/>
          <w:iCs/>
          <w:lang w:val="en-GB"/>
        </w:rPr>
        <w:t>(H)atsura-</w:t>
      </w:r>
      <w:r w:rsidRPr="00FB4EFA">
        <w:rPr>
          <w:rFonts w:cs="Charis SIL"/>
          <w:lang w:val="en-GB"/>
        </w:rPr>
        <w:t xml:space="preserve"> might be derived from </w:t>
      </w:r>
      <w:r w:rsidRPr="00FB4EFA">
        <w:rPr>
          <w:rFonts w:cs="Charis SIL"/>
          <w:lang w:val="en-GB"/>
        </w:rPr>
        <w:lastRenderedPageBreak/>
        <w:t>Proto-Indo-Iranian *</w:t>
      </w:r>
      <w:r w:rsidRPr="00FB4EFA">
        <w:rPr>
          <w:rFonts w:cs="Charis SIL"/>
          <w:i/>
          <w:iCs/>
          <w:lang w:val="en-GB"/>
        </w:rPr>
        <w:t>Hanć-</w:t>
      </w:r>
      <w:r w:rsidRPr="00FB4EFA">
        <w:rPr>
          <w:rFonts w:cs="Charis SIL"/>
          <w:lang w:val="en-GB"/>
        </w:rPr>
        <w:t xml:space="preserve"> ‘s</w:t>
      </w:r>
      <w:r w:rsidR="00BE18B4" w:rsidRPr="00FB4EFA">
        <w:rPr>
          <w:rFonts w:cs="Charis SIL"/>
          <w:lang w:val="en-GB"/>
        </w:rPr>
        <w:t>pitz</w:t>
      </w:r>
      <w:r w:rsidRPr="00FB4EFA">
        <w:rPr>
          <w:rFonts w:cs="Charis SIL"/>
          <w:lang w:val="en-GB"/>
        </w:rPr>
        <w:t>’, a nasali</w:t>
      </w:r>
      <w:r w:rsidR="008C4F74" w:rsidRPr="00FB4EFA">
        <w:rPr>
          <w:rFonts w:cs="Charis SIL"/>
          <w:lang w:val="en-GB"/>
        </w:rPr>
        <w:t>z</w:t>
      </w:r>
      <w:r w:rsidRPr="00FB4EFA">
        <w:rPr>
          <w:rFonts w:cs="Charis SIL"/>
          <w:lang w:val="en-GB"/>
        </w:rPr>
        <w:t>ed variant of Proto-Indo-European *</w:t>
      </w:r>
      <w:r w:rsidRPr="00FB4EFA">
        <w:rPr>
          <w:rFonts w:cs="Charis SIL"/>
          <w:i/>
          <w:iCs/>
          <w:lang w:val="en-GB"/>
        </w:rPr>
        <w:t>h</w:t>
      </w:r>
      <w:r w:rsidRPr="00FB4EFA">
        <w:rPr>
          <w:rFonts w:cs="Charis SIL"/>
          <w:i/>
          <w:iCs/>
          <w:vertAlign w:val="subscript"/>
          <w:lang w:val="en-GB"/>
        </w:rPr>
        <w:t>2</w:t>
      </w:r>
      <w:r w:rsidRPr="00FB4EFA">
        <w:rPr>
          <w:rFonts w:cs="Charis SIL"/>
          <w:i/>
          <w:iCs/>
          <w:lang w:val="en-GB"/>
        </w:rPr>
        <w:t>a</w:t>
      </w:r>
      <w:r w:rsidR="00BC789A" w:rsidRPr="00FB4EFA">
        <w:rPr>
          <w:rFonts w:cs="Charis SIL"/>
          <w:i/>
          <w:iCs/>
          <w:lang w:val="en-GB"/>
        </w:rPr>
        <w:t>ḱ</w:t>
      </w:r>
      <w:r w:rsidRPr="00FB4EFA">
        <w:rPr>
          <w:rFonts w:cs="Charis SIL"/>
          <w:lang w:val="en-GB"/>
        </w:rPr>
        <w:t>- ‘</w:t>
      </w:r>
      <w:r w:rsidR="00BE18B4" w:rsidRPr="00FB4EFA">
        <w:rPr>
          <w:rFonts w:cs="Charis SIL"/>
          <w:lang w:val="en-GB"/>
        </w:rPr>
        <w:t>scharf</w:t>
      </w:r>
      <w:r w:rsidRPr="00FB4EFA">
        <w:rPr>
          <w:rFonts w:cs="Charis SIL"/>
          <w:lang w:val="en-GB"/>
        </w:rPr>
        <w:t>’.</w:t>
      </w:r>
    </w:p>
    <w:p w14:paraId="76DC604E" w14:textId="4322A5F6" w:rsidR="00B72515" w:rsidRPr="00FB4EFA" w:rsidRDefault="00B72515" w:rsidP="00402EF4">
      <w:pPr>
        <w:ind w:firstLine="720"/>
        <w:rPr>
          <w:lang w:val="en-GB"/>
        </w:rPr>
      </w:pPr>
      <w:r w:rsidRPr="00FB4EFA">
        <w:rPr>
          <w:lang w:val="en-GB"/>
        </w:rPr>
        <w:t xml:space="preserve">The riddle of the Iranian forms cannot be solved completely, but in any case, the fact that the Sogdian and Ossetic forms can reflect a </w:t>
      </w:r>
      <w:r w:rsidR="00153BA0" w:rsidRPr="00FB4EFA">
        <w:rPr>
          <w:lang w:val="en-GB"/>
        </w:rPr>
        <w:br/>
      </w:r>
      <w:r w:rsidRPr="00FB4EFA">
        <w:rPr>
          <w:lang w:val="en-GB"/>
        </w:rPr>
        <w:t>Proto-Iranian word whereas the Uralic cognates show irregularities pointing to parallel borrowing means that it is more likely that the Uralic forms are loans from Indo-Iranian.</w:t>
      </w:r>
    </w:p>
    <w:p w14:paraId="7F679614" w14:textId="3608F640" w:rsidR="00B72515" w:rsidRPr="00FB4EFA" w:rsidRDefault="00B72515" w:rsidP="00AF0CAD">
      <w:pPr>
        <w:ind w:firstLine="720"/>
        <w:rPr>
          <w:lang w:val="en-GB"/>
        </w:rPr>
      </w:pPr>
      <w:r w:rsidRPr="00FB4EFA">
        <w:rPr>
          <w:rFonts w:cs="Charis SIL"/>
          <w:lang w:val="en-GB"/>
        </w:rPr>
        <w:t>Cheung (2002: 164 footnote 20) also notes that Khotanese</w:t>
      </w:r>
      <w:r w:rsidRPr="00FB4EFA">
        <w:rPr>
          <w:rFonts w:cs="Charis SIL"/>
          <w:i/>
          <w:iCs/>
          <w:lang w:val="en-GB"/>
        </w:rPr>
        <w:t xml:space="preserve"> haska-</w:t>
      </w:r>
      <w:r w:rsidRPr="00FB4EFA">
        <w:rPr>
          <w:rFonts w:cs="Charis SIL"/>
          <w:lang w:val="en-GB"/>
        </w:rPr>
        <w:t xml:space="preserve"> ‘tusk’, New Persian</w:t>
      </w:r>
      <w:r w:rsidRPr="00FB4EFA">
        <w:rPr>
          <w:rFonts w:cs="Charis SIL"/>
          <w:i/>
          <w:iCs/>
          <w:lang w:val="en-GB"/>
        </w:rPr>
        <w:t xml:space="preserve"> ašk</w:t>
      </w:r>
      <w:r w:rsidRPr="00FB4EFA">
        <w:rPr>
          <w:rFonts w:cs="Charis SIL"/>
          <w:lang w:val="en-GB"/>
        </w:rPr>
        <w:t>,</w:t>
      </w:r>
      <w:r w:rsidRPr="00FB4EFA">
        <w:rPr>
          <w:rFonts w:cs="Charis SIL"/>
          <w:i/>
          <w:iCs/>
          <w:lang w:val="en-GB"/>
        </w:rPr>
        <w:t xml:space="preserve"> yašk</w:t>
      </w:r>
      <w:r w:rsidRPr="00FB4EFA">
        <w:rPr>
          <w:rFonts w:cs="Charis SIL"/>
          <w:lang w:val="en-GB"/>
        </w:rPr>
        <w:t xml:space="preserve"> id. and</w:t>
      </w:r>
      <w:r w:rsidRPr="00FB4EFA">
        <w:rPr>
          <w:rFonts w:cs="Charis SIL"/>
          <w:i/>
          <w:iCs/>
          <w:lang w:val="en-GB"/>
        </w:rPr>
        <w:t xml:space="preserve"> </w:t>
      </w:r>
      <w:r w:rsidRPr="00FB4EFA">
        <w:rPr>
          <w:rFonts w:cs="Charis SIL"/>
          <w:lang w:val="en-GB"/>
        </w:rPr>
        <w:t xml:space="preserve">Buddhist Sogdian </w:t>
      </w:r>
      <w:r w:rsidRPr="00FB4EFA">
        <w:rPr>
          <w:rFonts w:cs="Charis SIL"/>
          <w:i/>
          <w:iCs/>
          <w:lang w:val="en-GB"/>
        </w:rPr>
        <w:t>’sk</w:t>
      </w:r>
      <w:r w:rsidR="00F71FC9" w:rsidRPr="00FB4EFA">
        <w:rPr>
          <w:rFonts w:cs="Charis SIL"/>
          <w:lang w:val="en-GB"/>
        </w:rPr>
        <w:t> </w:t>
      </w:r>
      <w:r w:rsidRPr="00FB4EFA">
        <w:rPr>
          <w:rFonts w:cs="Charis SIL"/>
          <w:lang w:val="en-GB"/>
        </w:rPr>
        <w:t>‘thorn’, reflecting Proto-Iranian *</w:t>
      </w:r>
      <w:r w:rsidRPr="00FB4EFA">
        <w:rPr>
          <w:rFonts w:cs="Charis SIL"/>
          <w:i/>
          <w:iCs/>
          <w:lang w:val="en-GB"/>
        </w:rPr>
        <w:t>aska-</w:t>
      </w:r>
      <w:r w:rsidRPr="00FB4EFA">
        <w:rPr>
          <w:rFonts w:cs="Charis SIL"/>
          <w:lang w:val="en-GB"/>
        </w:rPr>
        <w:t xml:space="preserve"> (*</w:t>
      </w:r>
      <w:r w:rsidRPr="00FB4EFA">
        <w:rPr>
          <w:rFonts w:cs="Charis SIL"/>
          <w:i/>
          <w:iCs/>
          <w:lang w:val="en-GB"/>
        </w:rPr>
        <w:t>atska-</w:t>
      </w:r>
      <w:r w:rsidRPr="00FB4EFA">
        <w:rPr>
          <w:rFonts w:cs="Charis SIL"/>
          <w:lang w:val="en-GB"/>
        </w:rPr>
        <w:t xml:space="preserve">) </w:t>
      </w:r>
      <w:r w:rsidR="00865711" w:rsidRPr="00FB4EFA">
        <w:rPr>
          <w:rFonts w:cs="Charis SIL"/>
          <w:lang w:val="en-GB"/>
        </w:rPr>
        <w:t>might</w:t>
      </w:r>
      <w:r w:rsidRPr="00FB4EFA">
        <w:rPr>
          <w:rFonts w:cs="Charis SIL"/>
          <w:lang w:val="en-GB"/>
        </w:rPr>
        <w:t xml:space="preserve"> share the same root as the Ossetic and Sogdian words, although he considers this uncertain. Bailey (1979: 11 s.v. </w:t>
      </w:r>
      <w:r w:rsidRPr="00FB4EFA">
        <w:rPr>
          <w:rFonts w:cs="Charis SIL"/>
          <w:i/>
          <w:iCs/>
          <w:lang w:val="en-GB"/>
        </w:rPr>
        <w:t>aśe</w:t>
      </w:r>
      <w:r w:rsidRPr="00FB4EFA">
        <w:rPr>
          <w:rFonts w:cs="Charis SIL"/>
          <w:lang w:val="en-GB"/>
        </w:rPr>
        <w:t xml:space="preserve">) lists Khotanese Saka </w:t>
      </w:r>
      <w:r w:rsidRPr="00FB4EFA">
        <w:rPr>
          <w:rFonts w:cs="Charis SIL"/>
          <w:i/>
          <w:iCs/>
          <w:lang w:val="en-GB"/>
        </w:rPr>
        <w:t>aśe</w:t>
      </w:r>
      <w:r w:rsidRPr="00FB4EFA">
        <w:rPr>
          <w:rFonts w:cs="Charis SIL"/>
          <w:lang w:val="en-GB"/>
        </w:rPr>
        <w:t xml:space="preserve"> ‘plant name’ as a cognate of Avestan </w:t>
      </w:r>
      <w:r w:rsidRPr="00FB4EFA">
        <w:rPr>
          <w:rFonts w:cs="Charis SIL"/>
          <w:i/>
          <w:iCs/>
          <w:lang w:val="en-GB"/>
        </w:rPr>
        <w:t xml:space="preserve">asūra- </w:t>
      </w:r>
      <w:r w:rsidRPr="00FB4EFA">
        <w:rPr>
          <w:rFonts w:cs="Charis SIL"/>
          <w:lang w:val="en-GB"/>
        </w:rPr>
        <w:t xml:space="preserve">‘point’, Ossetic </w:t>
      </w:r>
      <w:r w:rsidRPr="00FB4EFA">
        <w:rPr>
          <w:rFonts w:cs="Charis SIL"/>
          <w:i/>
          <w:iCs/>
          <w:lang w:val="en-GB"/>
        </w:rPr>
        <w:t xml:space="preserve">æssyr </w:t>
      </w:r>
      <w:r w:rsidRPr="00FB4EFA">
        <w:rPr>
          <w:rFonts w:cs="Charis SIL"/>
          <w:lang w:val="en-GB"/>
        </w:rPr>
        <w:t>and</w:t>
      </w:r>
      <w:r w:rsidRPr="00FB4EFA">
        <w:rPr>
          <w:rFonts w:cs="Charis SIL"/>
          <w:i/>
          <w:iCs/>
          <w:lang w:val="en-GB"/>
        </w:rPr>
        <w:t xml:space="preserve"> </w:t>
      </w:r>
      <w:r w:rsidRPr="00FB4EFA">
        <w:rPr>
          <w:rFonts w:cs="Charis SIL"/>
          <w:lang w:val="en-GB"/>
        </w:rPr>
        <w:t xml:space="preserve">Sogdian </w:t>
      </w:r>
      <w:r w:rsidRPr="00FB4EFA">
        <w:rPr>
          <w:rFonts w:cs="Charis SIL"/>
          <w:i/>
          <w:iCs/>
          <w:lang w:val="en-GB"/>
        </w:rPr>
        <w:t>’nswr</w:t>
      </w:r>
      <w:r w:rsidRPr="00FB4EFA">
        <w:rPr>
          <w:rFonts w:cs="Charis SIL"/>
          <w:lang w:val="en-GB"/>
        </w:rPr>
        <w:t>, deriving them from the Iranian root *</w:t>
      </w:r>
      <w:r w:rsidRPr="00FB4EFA">
        <w:rPr>
          <w:rFonts w:cs="Charis SIL"/>
          <w:i/>
          <w:iCs/>
          <w:lang w:val="en-GB"/>
        </w:rPr>
        <w:t>as-</w:t>
      </w:r>
      <w:r w:rsidRPr="00FB4EFA">
        <w:rPr>
          <w:rFonts w:cs="Charis SIL"/>
          <w:lang w:val="en-GB"/>
        </w:rPr>
        <w:t xml:space="preserve"> (= *</w:t>
      </w:r>
      <w:r w:rsidRPr="00FB4EFA">
        <w:rPr>
          <w:rFonts w:cs="Charis SIL"/>
          <w:i/>
          <w:iCs/>
          <w:lang w:val="en-GB"/>
        </w:rPr>
        <w:t>Hats-</w:t>
      </w:r>
      <w:r w:rsidRPr="00FB4EFA">
        <w:rPr>
          <w:rFonts w:cs="Charis SIL"/>
          <w:lang w:val="en-GB"/>
        </w:rPr>
        <w:t>) ‘to sharpen’. The exact proto-form of Saka</w:t>
      </w:r>
      <w:r w:rsidRPr="00FB4EFA">
        <w:rPr>
          <w:rFonts w:cs="Charis SIL"/>
          <w:i/>
          <w:iCs/>
          <w:lang w:val="en-GB"/>
        </w:rPr>
        <w:t xml:space="preserve"> aśe</w:t>
      </w:r>
      <w:r w:rsidRPr="00FB4EFA">
        <w:rPr>
          <w:rFonts w:cs="Charis SIL"/>
          <w:lang w:val="en-GB"/>
        </w:rPr>
        <w:t xml:space="preserve"> is reconstructed as</w:t>
      </w:r>
      <w:r w:rsidRPr="00FB4EFA">
        <w:rPr>
          <w:rFonts w:cs="Charis SIL"/>
          <w:i/>
          <w:iCs/>
          <w:lang w:val="en-GB"/>
        </w:rPr>
        <w:t xml:space="preserve"> </w:t>
      </w:r>
      <w:r w:rsidRPr="00FB4EFA">
        <w:rPr>
          <w:rFonts w:cs="Charis SIL"/>
          <w:lang w:val="en-GB"/>
        </w:rPr>
        <w:t>*</w:t>
      </w:r>
      <w:r w:rsidRPr="00FB4EFA">
        <w:rPr>
          <w:rFonts w:cs="Charis SIL"/>
          <w:i/>
          <w:iCs/>
          <w:lang w:val="en-GB"/>
        </w:rPr>
        <w:t>as-ya-</w:t>
      </w:r>
      <w:r w:rsidRPr="00FB4EFA">
        <w:rPr>
          <w:rFonts w:cs="Charis SIL"/>
          <w:lang w:val="en-GB"/>
        </w:rPr>
        <w:t xml:space="preserve"> ‘sharp, pointed’ by Bailey. It is not clear what kind of formations the other Iranian forms would reflect in Bailey’s view, and the nasal of Ossetic and Sogdian cannot be derived from this root without problems. Interestingly, also Khotanese </w:t>
      </w:r>
      <w:r w:rsidRPr="00FB4EFA">
        <w:rPr>
          <w:rFonts w:cs="Charis SIL"/>
          <w:i/>
          <w:iCs/>
          <w:lang w:val="en-GB"/>
        </w:rPr>
        <w:t>haskä</w:t>
      </w:r>
      <w:r w:rsidRPr="00FB4EFA">
        <w:rPr>
          <w:rFonts w:cs="Charis SIL"/>
          <w:lang w:val="en-GB"/>
        </w:rPr>
        <w:t xml:space="preserve"> ‘(elephant) tusk’ (&lt;</w:t>
      </w:r>
      <w:r w:rsidR="00F71FC9" w:rsidRPr="00FB4EFA">
        <w:rPr>
          <w:rFonts w:cs="Charis SIL"/>
          <w:lang w:val="en-GB"/>
        </w:rPr>
        <w:t> </w:t>
      </w:r>
      <w:r w:rsidRPr="00FB4EFA">
        <w:rPr>
          <w:rFonts w:cs="Charis SIL"/>
          <w:lang w:val="en-GB"/>
        </w:rPr>
        <w:t>*</w:t>
      </w:r>
      <w:r w:rsidRPr="00FB4EFA">
        <w:rPr>
          <w:rFonts w:cs="Charis SIL"/>
          <w:i/>
          <w:iCs/>
          <w:lang w:val="en-GB"/>
        </w:rPr>
        <w:t>aska-)</w:t>
      </w:r>
      <w:r w:rsidRPr="00FB4EFA">
        <w:rPr>
          <w:rFonts w:cs="Charis SIL"/>
          <w:lang w:val="en-GB"/>
        </w:rPr>
        <w:t xml:space="preserve"> is derived from the same root *</w:t>
      </w:r>
      <w:r w:rsidRPr="00FB4EFA">
        <w:rPr>
          <w:rFonts w:cs="Charis SIL"/>
          <w:i/>
          <w:iCs/>
          <w:lang w:val="en-GB"/>
        </w:rPr>
        <w:t>as-</w:t>
      </w:r>
      <w:r w:rsidRPr="00FB4EFA">
        <w:rPr>
          <w:rFonts w:cs="Charis SIL"/>
          <w:lang w:val="en-GB"/>
        </w:rPr>
        <w:t xml:space="preserve"> ‘be sharp’ by Bailey (1979: 474 s.v. </w:t>
      </w:r>
      <w:r w:rsidRPr="00FB4EFA">
        <w:rPr>
          <w:rFonts w:cs="Charis SIL"/>
          <w:i/>
          <w:iCs/>
          <w:lang w:val="en-GB"/>
        </w:rPr>
        <w:t>haskä</w:t>
      </w:r>
      <w:r w:rsidRPr="00FB4EFA">
        <w:rPr>
          <w:rFonts w:cs="Charis SIL"/>
          <w:lang w:val="en-GB"/>
        </w:rPr>
        <w:t>). This is semantically closer to the Ossetic word, but it looks unlikely that</w:t>
      </w:r>
      <w:r w:rsidRPr="00FB4EFA">
        <w:rPr>
          <w:lang w:val="en-GB"/>
        </w:rPr>
        <w:t xml:space="preserve"> the words could be cognates.</w:t>
      </w:r>
    </w:p>
    <w:p w14:paraId="43F5864F" w14:textId="77777777" w:rsidR="00B72515" w:rsidRPr="00FB4EFA" w:rsidRDefault="00B72515" w:rsidP="00545033">
      <w:pPr>
        <w:pStyle w:val="Heading2"/>
        <w:suppressAutoHyphens/>
        <w:spacing w:line="259" w:lineRule="auto"/>
        <w:rPr>
          <w:color w:val="auto"/>
        </w:rPr>
      </w:pPr>
      <w:r w:rsidRPr="00FB4EFA">
        <w:rPr>
          <w:color w:val="auto"/>
        </w:rPr>
        <w:t>Revisiting the loan etymology</w:t>
      </w:r>
    </w:p>
    <w:p w14:paraId="3D2E6715" w14:textId="77777777" w:rsidR="00B72515" w:rsidRPr="00FB4EFA" w:rsidRDefault="00B72515" w:rsidP="00402EF4">
      <w:pPr>
        <w:spacing w:before="114"/>
        <w:rPr>
          <w:lang w:val="en-GB"/>
        </w:rPr>
      </w:pPr>
      <w:r w:rsidRPr="00FB4EFA">
        <w:rPr>
          <w:lang w:val="en-GB"/>
        </w:rPr>
        <w:t>It seems obvious that the Uralic words are not regular cognates with each other, whereas based on Sogdian and Ossetic, a Proto-Iranian or Proto-East-Iranian form can be regularly reconstructed. Cheung’s defence of the loan etymology is thus convincing, although it must be tested with a detailed investigation of the sound-substitutions involved.</w:t>
      </w:r>
    </w:p>
    <w:p w14:paraId="38355710" w14:textId="77777777" w:rsidR="00B72515" w:rsidRPr="00FB4EFA" w:rsidRDefault="00B72515" w:rsidP="00AF0CAD">
      <w:pPr>
        <w:rPr>
          <w:rFonts w:cs="Charis SIL"/>
          <w:lang w:val="en-GB"/>
        </w:rPr>
      </w:pPr>
      <w:r w:rsidRPr="00FB4EFA">
        <w:rPr>
          <w:lang w:val="en-GB"/>
        </w:rPr>
        <w:t>All of the substitutions are well-established: both the *</w:t>
      </w:r>
      <w:r w:rsidRPr="00FB4EFA">
        <w:rPr>
          <w:i/>
          <w:iCs/>
          <w:lang w:val="en-GB"/>
        </w:rPr>
        <w:t>o</w:t>
      </w:r>
      <w:r w:rsidRPr="00FB4EFA">
        <w:rPr>
          <w:lang w:val="en-GB"/>
        </w:rPr>
        <w:t xml:space="preserve"> or *</w:t>
      </w:r>
      <w:r w:rsidRPr="00FB4EFA">
        <w:rPr>
          <w:i/>
          <w:iCs/>
          <w:lang w:val="en-GB"/>
        </w:rPr>
        <w:t>a</w:t>
      </w:r>
      <w:r w:rsidRPr="00FB4EFA">
        <w:rPr>
          <w:lang w:val="en-GB"/>
        </w:rPr>
        <w:t xml:space="preserve"> vocalism required by Hungarian and the *</w:t>
      </w:r>
      <w:r w:rsidRPr="00FB4EFA">
        <w:rPr>
          <w:i/>
          <w:iCs/>
          <w:lang w:val="en-GB"/>
        </w:rPr>
        <w:t>ä</w:t>
      </w:r>
      <w:r w:rsidRPr="00FB4EFA">
        <w:rPr>
          <w:lang w:val="en-GB"/>
        </w:rPr>
        <w:t xml:space="preserve"> to which Mansi points are frequent substitutions of Indo-Iranian *</w:t>
      </w:r>
      <w:r w:rsidRPr="00FB4EFA">
        <w:rPr>
          <w:i/>
          <w:iCs/>
          <w:lang w:val="en-GB"/>
        </w:rPr>
        <w:t>a</w:t>
      </w:r>
      <w:r w:rsidRPr="00FB4EFA">
        <w:rPr>
          <w:lang w:val="en-GB"/>
        </w:rPr>
        <w:t xml:space="preserve">. The medial syllables have generally little value in the discussion of Indo-Iranian loans, but at least the Hungarian </w:t>
      </w:r>
      <w:r w:rsidRPr="00FB4EFA">
        <w:rPr>
          <w:rFonts w:cs="Charis SIL"/>
          <w:lang w:val="en-GB"/>
        </w:rPr>
        <w:t>and the Mansi words can be old</w:t>
      </w:r>
      <w:r w:rsidRPr="00FB4EFA">
        <w:rPr>
          <w:rFonts w:cs="Charis SIL"/>
          <w:i/>
          <w:iCs/>
          <w:lang w:val="en-GB"/>
        </w:rPr>
        <w:t xml:space="preserve"> A</w:t>
      </w:r>
      <w:r w:rsidRPr="00FB4EFA">
        <w:rPr>
          <w:rFonts w:cs="Charis SIL"/>
          <w:lang w:val="en-GB"/>
        </w:rPr>
        <w:t>-stems as most of the early Indo-Iranian loanwords are. The consonant cluster *</w:t>
      </w:r>
      <w:r w:rsidRPr="00FB4EFA">
        <w:rPr>
          <w:rFonts w:cs="Charis SIL"/>
          <w:i/>
          <w:iCs/>
          <w:lang w:val="en-GB"/>
        </w:rPr>
        <w:t>ńć</w:t>
      </w:r>
      <w:r w:rsidRPr="00FB4EFA">
        <w:rPr>
          <w:rFonts w:cs="Charis SIL"/>
          <w:lang w:val="en-GB"/>
        </w:rPr>
        <w:t xml:space="preserve"> from Indo-Iranian *</w:t>
      </w:r>
      <w:r w:rsidRPr="00FB4EFA">
        <w:rPr>
          <w:rFonts w:cs="Charis SIL"/>
          <w:i/>
          <w:iCs/>
          <w:lang w:val="en-GB"/>
        </w:rPr>
        <w:t xml:space="preserve">ńć </w:t>
      </w:r>
      <w:r w:rsidRPr="00FB4EFA">
        <w:rPr>
          <w:rFonts w:cs="Charis SIL"/>
          <w:lang w:val="en-GB"/>
        </w:rPr>
        <w:t>has a parallel in the loan *</w:t>
      </w:r>
      <w:r w:rsidRPr="00FB4EFA">
        <w:rPr>
          <w:rFonts w:cs="Charis SIL"/>
          <w:i/>
          <w:iCs/>
          <w:lang w:val="en-GB"/>
        </w:rPr>
        <w:t>ońća</w:t>
      </w:r>
      <w:r w:rsidRPr="00FB4EFA">
        <w:rPr>
          <w:rFonts w:cs="Charis SIL"/>
          <w:lang w:val="en-GB"/>
        </w:rPr>
        <w:t xml:space="preserve"> ‘part’ </w:t>
      </w:r>
      <w:r w:rsidRPr="00FB4EFA">
        <w:rPr>
          <w:rFonts w:eastAsia="Times New Roman" w:cs="Charis SIL"/>
          <w:lang w:val="en-GB"/>
        </w:rPr>
        <w:t>←</w:t>
      </w:r>
      <w:r w:rsidRPr="00FB4EFA">
        <w:rPr>
          <w:rFonts w:cs="Charis SIL"/>
          <w:lang w:val="en-GB"/>
        </w:rPr>
        <w:t xml:space="preserve"> Indo-Iranian *</w:t>
      </w:r>
      <w:r w:rsidRPr="00FB4EFA">
        <w:rPr>
          <w:rFonts w:cs="Charis SIL"/>
          <w:i/>
          <w:lang w:val="en-GB"/>
        </w:rPr>
        <w:t>(H)</w:t>
      </w:r>
      <w:r w:rsidRPr="00FB4EFA">
        <w:rPr>
          <w:rFonts w:cs="Charis SIL"/>
          <w:i/>
          <w:iCs/>
          <w:lang w:val="en-GB"/>
        </w:rPr>
        <w:t>anća-</w:t>
      </w:r>
      <w:r w:rsidRPr="00FB4EFA">
        <w:rPr>
          <w:rFonts w:cs="Charis SIL"/>
          <w:lang w:val="en-GB"/>
        </w:rPr>
        <w:t>.</w:t>
      </w:r>
    </w:p>
    <w:p w14:paraId="7159D0C2" w14:textId="1CA9E5DF" w:rsidR="00B72515" w:rsidRPr="00FB4EFA" w:rsidRDefault="00B72515" w:rsidP="00AF0CAD">
      <w:pPr>
        <w:spacing w:before="57" w:after="57"/>
        <w:ind w:firstLine="720"/>
        <w:rPr>
          <w:lang w:val="en-GB"/>
        </w:rPr>
      </w:pPr>
      <w:r w:rsidRPr="00FB4EFA">
        <w:rPr>
          <w:rFonts w:cs="Charis SIL"/>
          <w:lang w:val="en-GB"/>
        </w:rPr>
        <w:lastRenderedPageBreak/>
        <w:t xml:space="preserve">The loan into Hungarian must be early in any case, as Hungarian </w:t>
      </w:r>
      <w:r w:rsidRPr="00FB4EFA">
        <w:rPr>
          <w:rFonts w:cs="Charis SIL"/>
          <w:i/>
          <w:iCs/>
          <w:lang w:val="en-GB"/>
        </w:rPr>
        <w:t>gy</w:t>
      </w:r>
      <w:r w:rsidRPr="00FB4EFA">
        <w:rPr>
          <w:rFonts w:cs="Charis SIL"/>
          <w:lang w:val="en-GB"/>
        </w:rPr>
        <w:t xml:space="preserve"> points to earlier *</w:t>
      </w:r>
      <w:r w:rsidRPr="00FB4EFA">
        <w:rPr>
          <w:rFonts w:cs="Charis SIL"/>
          <w:i/>
          <w:iCs/>
          <w:lang w:val="en-GB"/>
        </w:rPr>
        <w:t>ńć</w:t>
      </w:r>
      <w:r w:rsidRPr="00FB4EFA">
        <w:rPr>
          <w:rFonts w:cs="Charis SIL"/>
          <w:lang w:val="en-GB"/>
        </w:rPr>
        <w:t>, and this can result only from Indo-Iranian *</w:t>
      </w:r>
      <w:r w:rsidRPr="00FB4EFA">
        <w:rPr>
          <w:rFonts w:cs="Charis SIL"/>
          <w:i/>
          <w:iCs/>
          <w:lang w:val="en-GB"/>
        </w:rPr>
        <w:t>nć</w:t>
      </w:r>
      <w:r w:rsidRPr="00FB4EFA">
        <w:rPr>
          <w:rFonts w:cs="Charis SIL"/>
          <w:lang w:val="en-GB"/>
        </w:rPr>
        <w:t>, not a later Iranian cluster *</w:t>
      </w:r>
      <w:r w:rsidRPr="00FB4EFA">
        <w:rPr>
          <w:rFonts w:cs="Charis SIL"/>
          <w:i/>
          <w:iCs/>
          <w:lang w:val="en-GB"/>
        </w:rPr>
        <w:t>nts</w:t>
      </w:r>
      <w:r w:rsidRPr="00FB4EFA">
        <w:rPr>
          <w:rFonts w:cs="Charis SIL"/>
          <w:lang w:val="en-GB"/>
        </w:rPr>
        <w:t xml:space="preserve"> or *</w:t>
      </w:r>
      <w:r w:rsidRPr="00FB4EFA">
        <w:rPr>
          <w:rFonts w:cs="Charis SIL"/>
          <w:i/>
          <w:iCs/>
          <w:lang w:val="en-GB"/>
        </w:rPr>
        <w:t>ns</w:t>
      </w:r>
      <w:r w:rsidRPr="00FB4EFA">
        <w:rPr>
          <w:rFonts w:cs="Charis SIL"/>
          <w:lang w:val="en-GB"/>
        </w:rPr>
        <w:t>. Also, the palatal affricate or sibilant in the Permic forms points rather to an early Indo-Iranian donor, although this is not as</w:t>
      </w:r>
      <w:r w:rsidRPr="00FB4EFA">
        <w:rPr>
          <w:lang w:val="en-GB"/>
        </w:rPr>
        <w:t xml:space="preserve"> clear: a palatal affricate appears also in some loans in Permic that otherwise seem to be quite late (for </w:t>
      </w:r>
      <w:r w:rsidRPr="00FB4EFA">
        <w:rPr>
          <w:rFonts w:cs="Charis SIL"/>
          <w:lang w:val="en-GB"/>
        </w:rPr>
        <w:t>example Proto-Permic *</w:t>
      </w:r>
      <w:r w:rsidRPr="00FB4EFA">
        <w:rPr>
          <w:rFonts w:cs="Charis SIL"/>
          <w:i/>
          <w:lang w:val="en-GB"/>
        </w:rPr>
        <w:t>beriź</w:t>
      </w:r>
      <w:r w:rsidRPr="00FB4EFA">
        <w:rPr>
          <w:rFonts w:cs="Charis SIL"/>
          <w:lang w:val="en-GB"/>
        </w:rPr>
        <w:t xml:space="preserve"> ‘linden’ ← Iranian, </w:t>
      </w:r>
      <w:r w:rsidR="00466236" w:rsidRPr="00FB4EFA">
        <w:rPr>
          <w:rFonts w:cs="Charis SIL"/>
          <w:lang w:val="en-GB"/>
        </w:rPr>
        <w:t>cf. </w:t>
      </w:r>
      <w:r w:rsidRPr="00FB4EFA">
        <w:rPr>
          <w:rFonts w:cs="Charis SIL"/>
          <w:lang w:val="en-GB"/>
        </w:rPr>
        <w:t xml:space="preserve">Ossetic </w:t>
      </w:r>
      <w:r w:rsidRPr="00FB4EFA">
        <w:rPr>
          <w:rFonts w:cs="Charis SIL"/>
          <w:i/>
          <w:lang w:val="en-GB"/>
        </w:rPr>
        <w:t>bærz</w:t>
      </w:r>
      <w:r w:rsidRPr="00FB4EFA">
        <w:rPr>
          <w:rFonts w:cs="Charis SIL"/>
          <w:lang w:val="en-GB"/>
        </w:rPr>
        <w:t>/</w:t>
      </w:r>
      <w:r w:rsidRPr="00FB4EFA">
        <w:rPr>
          <w:rFonts w:cs="Charis SIL"/>
          <w:i/>
          <w:lang w:val="en-GB"/>
        </w:rPr>
        <w:t>bærzæ</w:t>
      </w:r>
      <w:r w:rsidRPr="00FB4EFA">
        <w:rPr>
          <w:rFonts w:cs="Charis SIL"/>
          <w:lang w:val="en-GB"/>
        </w:rPr>
        <w:t>)</w:t>
      </w:r>
      <w:r w:rsidR="00865711" w:rsidRPr="00FB4EFA">
        <w:rPr>
          <w:rFonts w:cs="Charis SIL"/>
          <w:lang w:val="en-GB"/>
        </w:rPr>
        <w:t>,</w:t>
      </w:r>
      <w:r w:rsidRPr="00FB4EFA">
        <w:rPr>
          <w:rFonts w:cs="Charis SIL"/>
          <w:lang w:val="en-GB"/>
        </w:rPr>
        <w:t xml:space="preserve"> and</w:t>
      </w:r>
      <w:r w:rsidR="00865711" w:rsidRPr="00FB4EFA">
        <w:rPr>
          <w:rFonts w:cs="Charis SIL"/>
          <w:lang w:val="en-GB"/>
        </w:rPr>
        <w:t xml:space="preserve"> thus</w:t>
      </w:r>
      <w:r w:rsidRPr="00FB4EFA">
        <w:rPr>
          <w:rFonts w:cs="Charis SIL"/>
          <w:lang w:val="en-GB"/>
        </w:rPr>
        <w:t xml:space="preserve"> they cannot be used as definitive arguments, as noted by Palmér et al. (2021: 14–15).</w:t>
      </w:r>
    </w:p>
    <w:p w14:paraId="1DAA9B6A" w14:textId="77777777" w:rsidR="00B72515" w:rsidRPr="00FB4EFA" w:rsidRDefault="00B72515" w:rsidP="00545033">
      <w:pPr>
        <w:pStyle w:val="Heading2"/>
        <w:suppressAutoHyphens/>
        <w:spacing w:line="259" w:lineRule="auto"/>
        <w:rPr>
          <w:color w:val="auto"/>
        </w:rPr>
      </w:pPr>
      <w:r w:rsidRPr="00FB4EFA">
        <w:rPr>
          <w:color w:val="auto"/>
        </w:rPr>
        <w:t>Conclusions</w:t>
      </w:r>
    </w:p>
    <w:p w14:paraId="3518EB94" w14:textId="7F4101DE" w:rsidR="00B72515" w:rsidRPr="00FB4EFA" w:rsidRDefault="00B72515" w:rsidP="00AF0CAD">
      <w:pPr>
        <w:spacing w:before="57"/>
        <w:rPr>
          <w:lang w:val="en-GB"/>
        </w:rPr>
      </w:pPr>
      <w:r w:rsidRPr="00FB4EFA">
        <w:rPr>
          <w:lang w:val="en-GB"/>
        </w:rPr>
        <w:t>Despite the reluctance to accept the etymology, the idea that the Uralic words (with the exception of Khanty) originate in Indo</w:t>
      </w:r>
      <w:r w:rsidRPr="00FB4EFA">
        <w:rPr>
          <w:rFonts w:cs="Charis SIL"/>
          <w:lang w:val="en-GB"/>
        </w:rPr>
        <w:t xml:space="preserve">-Iranian is unproblematic: the meanings are similar and there are no phonological problems. The Uralic words are not regular cognates but look rather like parallel borrowings. The most logical explanation is to assume that they have been borrowed from Indo-Iranian. </w:t>
      </w:r>
      <w:r w:rsidR="00865711" w:rsidRPr="00FB4EFA">
        <w:rPr>
          <w:rFonts w:cs="Charis SIL"/>
          <w:lang w:val="en-GB"/>
        </w:rPr>
        <w:t>The</w:t>
      </w:r>
      <w:r w:rsidRPr="00FB4EFA">
        <w:rPr>
          <w:rFonts w:cs="Charis SIL"/>
          <w:lang w:val="en-GB"/>
        </w:rPr>
        <w:t xml:space="preserve"> *</w:t>
      </w:r>
      <w:r w:rsidRPr="00FB4EFA">
        <w:rPr>
          <w:rFonts w:cs="Charis SIL"/>
          <w:i/>
          <w:iCs/>
          <w:lang w:val="en-GB"/>
        </w:rPr>
        <w:t>ć</w:t>
      </w:r>
      <w:r w:rsidR="00865711" w:rsidRPr="00FB4EFA">
        <w:rPr>
          <w:rFonts w:cs="Charis SIL"/>
          <w:lang w:val="en-GB"/>
        </w:rPr>
        <w:t xml:space="preserve"> indicates an early borrowing</w:t>
      </w:r>
      <w:r w:rsidRPr="00FB4EFA">
        <w:rPr>
          <w:lang w:val="en-GB"/>
        </w:rPr>
        <w:t xml:space="preserve">. It is also interesting to note that many other terms relating to animals have been </w:t>
      </w:r>
      <w:r w:rsidRPr="00FB4EFA">
        <w:rPr>
          <w:rFonts w:cs="Charis SIL"/>
          <w:lang w:val="en-GB"/>
        </w:rPr>
        <w:t>borrowed from Indo-Iranian into Uralic languages, such as West Uralic *</w:t>
      </w:r>
      <w:r w:rsidRPr="00FB4EFA">
        <w:rPr>
          <w:rFonts w:cs="Charis SIL"/>
          <w:i/>
          <w:iCs/>
          <w:lang w:val="en-GB"/>
        </w:rPr>
        <w:t>woćara</w:t>
      </w:r>
      <w:r w:rsidRPr="00FB4EFA">
        <w:rPr>
          <w:rFonts w:cs="Charis SIL"/>
          <w:lang w:val="en-GB"/>
        </w:rPr>
        <w:t xml:space="preserve"> ‘boar’ ← Proto-Indo-Iranian *</w:t>
      </w:r>
      <w:r w:rsidRPr="00FB4EFA">
        <w:t xml:space="preserve"> </w:t>
      </w:r>
      <w:r w:rsidRPr="00FB4EFA">
        <w:rPr>
          <w:rFonts w:cs="Charis SIL"/>
          <w:i/>
          <w:iCs/>
          <w:lang w:val="en-GB"/>
        </w:rPr>
        <w:t>warāj́ha-</w:t>
      </w:r>
      <w:r w:rsidRPr="00FB4EFA">
        <w:rPr>
          <w:rFonts w:cs="Charis SIL"/>
          <w:lang w:val="en-GB"/>
        </w:rPr>
        <w:t xml:space="preserve"> ‘id.’, and some terms for body parts might have been borrowed in a similar context (referring to animals), such as *</w:t>
      </w:r>
      <w:r w:rsidRPr="00FB4EFA">
        <w:rPr>
          <w:rFonts w:cs="Charis SIL"/>
          <w:i/>
          <w:lang w:val="en-GB"/>
        </w:rPr>
        <w:t>wärkkä</w:t>
      </w:r>
      <w:r w:rsidRPr="00FB4EFA">
        <w:rPr>
          <w:rFonts w:cs="Charis SIL"/>
          <w:lang w:val="en-GB"/>
        </w:rPr>
        <w:t xml:space="preserve"> ‘kidney’</w:t>
      </w:r>
      <w:r w:rsidR="000539FA" w:rsidRPr="00FB4EFA">
        <w:rPr>
          <w:rFonts w:cs="Charis SIL"/>
          <w:lang w:val="en-GB"/>
        </w:rPr>
        <w:t xml:space="preserve"> </w:t>
      </w:r>
      <w:r w:rsidRPr="00FB4EFA">
        <w:rPr>
          <w:rFonts w:cs="Charis SIL"/>
          <w:lang w:val="en-GB"/>
        </w:rPr>
        <w:t>← Proto-Indo-Iranian *</w:t>
      </w:r>
      <w:r w:rsidRPr="00FB4EFA">
        <w:rPr>
          <w:rFonts w:cs="Charis SIL"/>
          <w:i/>
          <w:lang w:val="en-GB"/>
        </w:rPr>
        <w:t>wr̥tka-</w:t>
      </w:r>
      <w:r w:rsidRPr="00FB4EFA">
        <w:rPr>
          <w:rFonts w:cs="Charis SIL"/>
          <w:lang w:val="en-GB"/>
        </w:rPr>
        <w:t xml:space="preserve"> id. Like the word for ‘tusk’, many of these Indo-Iranian words lack a proper Indo-European etymology, as noted above (see Lubotsky 2001 for more details). It is also clear that fangs and tusks of animals ha</w:t>
      </w:r>
      <w:r w:rsidR="000C141C" w:rsidRPr="00FB4EFA">
        <w:rPr>
          <w:rFonts w:cs="Charis SIL"/>
          <w:lang w:val="en-GB"/>
        </w:rPr>
        <w:t>d</w:t>
      </w:r>
      <w:r w:rsidRPr="00FB4EFA">
        <w:rPr>
          <w:rFonts w:cs="Charis SIL"/>
          <w:lang w:val="en-GB"/>
        </w:rPr>
        <w:t xml:space="preserve"> a notable significance in the</w:t>
      </w:r>
      <w:r w:rsidRPr="00FB4EFA">
        <w:rPr>
          <w:lang w:val="en-GB"/>
        </w:rPr>
        <w:t xml:space="preserve"> culture</w:t>
      </w:r>
      <w:r w:rsidR="00865711" w:rsidRPr="00FB4EFA">
        <w:rPr>
          <w:lang w:val="en-GB"/>
        </w:rPr>
        <w:t>s</w:t>
      </w:r>
      <w:r w:rsidRPr="00FB4EFA">
        <w:rPr>
          <w:lang w:val="en-GB"/>
        </w:rPr>
        <w:t xml:space="preserve"> of some Uralic peoples (for example, the Mansi carried a bear’s tooth on the back of their belt</w:t>
      </w:r>
      <w:r w:rsidRPr="00FB4EFA">
        <w:rPr>
          <w:vertAlign w:val="superscript"/>
          <w:lang w:val="en-GB"/>
        </w:rPr>
        <w:footnoteReference w:id="70"/>
      </w:r>
      <w:r w:rsidRPr="00FB4EFA">
        <w:rPr>
          <w:lang w:val="en-GB"/>
        </w:rPr>
        <w:t>), which might explain why a name for ‘tusk’ has been borrowed.</w:t>
      </w:r>
    </w:p>
    <w:p w14:paraId="18125DD7" w14:textId="77777777" w:rsidR="00B72515" w:rsidRPr="00FB4EFA" w:rsidRDefault="00B72515" w:rsidP="00AF0CAD">
      <w:pPr>
        <w:ind w:firstLine="720"/>
        <w:rPr>
          <w:lang w:val="en-GB"/>
        </w:rPr>
      </w:pPr>
      <w:r w:rsidRPr="00FB4EFA">
        <w:rPr>
          <w:lang w:val="en-GB"/>
        </w:rPr>
        <w:t>The origin of the Iranian word remains uncertain, but it is clear that a Proto-Iranian form *</w:t>
      </w:r>
      <w:r w:rsidRPr="00FB4EFA">
        <w:rPr>
          <w:i/>
          <w:iCs/>
          <w:lang w:val="en-GB"/>
        </w:rPr>
        <w:t>(H)antsura-</w:t>
      </w:r>
      <w:r w:rsidRPr="00FB4EFA">
        <w:rPr>
          <w:lang w:val="en-GB"/>
        </w:rPr>
        <w:t xml:space="preserve"> can be reconstructed, and technically nothing prevents us from reconstructing a Proto-Indo-Iranian word *</w:t>
      </w:r>
      <w:r w:rsidRPr="00FB4EFA">
        <w:rPr>
          <w:i/>
          <w:iCs/>
          <w:lang w:val="en-GB"/>
        </w:rPr>
        <w:t>(H)</w:t>
      </w:r>
      <w:r w:rsidRPr="00FB4EFA">
        <w:rPr>
          <w:rFonts w:cs="Charis SIL"/>
          <w:i/>
          <w:iCs/>
          <w:lang w:val="en-GB"/>
        </w:rPr>
        <w:t>anćura</w:t>
      </w:r>
      <w:r w:rsidRPr="00FB4EFA">
        <w:rPr>
          <w:i/>
          <w:iCs/>
          <w:lang w:val="en-GB"/>
        </w:rPr>
        <w:t>-</w:t>
      </w:r>
      <w:r w:rsidRPr="00FB4EFA">
        <w:rPr>
          <w:lang w:val="en-GB"/>
        </w:rPr>
        <w:t xml:space="preserve"> that would fit well as the origin of the Uralic words.</w:t>
      </w:r>
    </w:p>
    <w:p w14:paraId="13A6C91D" w14:textId="77777777" w:rsidR="00B72515" w:rsidRPr="00FB4EFA" w:rsidRDefault="00B72515" w:rsidP="00545033">
      <w:pPr>
        <w:pStyle w:val="Heading2"/>
        <w:suppressAutoHyphens/>
        <w:spacing w:line="259" w:lineRule="auto"/>
        <w:rPr>
          <w:color w:val="auto"/>
        </w:rPr>
      </w:pPr>
      <w:r w:rsidRPr="00FB4EFA">
        <w:rPr>
          <w:color w:val="auto"/>
        </w:rPr>
        <w:lastRenderedPageBreak/>
        <w:t>Acknowledgments</w:t>
      </w:r>
    </w:p>
    <w:p w14:paraId="2CCBC5F2" w14:textId="4F26061D" w:rsidR="00BE18B4" w:rsidRPr="00FB4EFA" w:rsidRDefault="00FE3280" w:rsidP="00402EF4">
      <w:pPr>
        <w:spacing w:before="57"/>
        <w:rPr>
          <w:lang w:val="en-GB"/>
        </w:rPr>
      </w:pPr>
      <w:r w:rsidRPr="00FB4EFA">
        <w:t>I am indebted to two anonymous reviewers and Niklas Metsäranta for useful comments and remarks</w:t>
      </w:r>
      <w:r w:rsidR="00B72515" w:rsidRPr="00FB4EFA">
        <w:rPr>
          <w:lang w:val="en-GB"/>
        </w:rPr>
        <w:t>.</w:t>
      </w:r>
      <w:r w:rsidR="00BE18B4" w:rsidRPr="00FB4EFA">
        <w:rPr>
          <w:lang w:val="en-GB"/>
        </w:rPr>
        <w:t xml:space="preserve"> The remaining errors are my own responsibility. I also would like to thank Martin Kümmel for giving me access to his presentation.</w:t>
      </w:r>
    </w:p>
    <w:p w14:paraId="0292ACE8" w14:textId="77777777" w:rsidR="00B72515" w:rsidRPr="00FB4EFA" w:rsidRDefault="00B72515" w:rsidP="00545033">
      <w:pPr>
        <w:pStyle w:val="Heading2"/>
        <w:suppressAutoHyphens/>
        <w:spacing w:line="259" w:lineRule="auto"/>
        <w:rPr>
          <w:color w:val="auto"/>
        </w:rPr>
      </w:pPr>
      <w:r w:rsidRPr="00FB4EFA">
        <w:rPr>
          <w:color w:val="auto"/>
        </w:rPr>
        <w:t>References</w:t>
      </w:r>
    </w:p>
    <w:p w14:paraId="50000212" w14:textId="0C9CD5EA" w:rsidR="00B72515" w:rsidRPr="00FB4EFA" w:rsidRDefault="00B72515" w:rsidP="00153BA0">
      <w:pPr>
        <w:suppressAutoHyphens/>
        <w:spacing w:line="240" w:lineRule="auto"/>
        <w:ind w:left="426" w:hanging="426"/>
        <w:rPr>
          <w:rFonts w:cs="Charis SIL"/>
          <w:lang w:val="en-GB"/>
        </w:rPr>
      </w:pPr>
      <w:r w:rsidRPr="00FB4EFA">
        <w:rPr>
          <w:rFonts w:cs="Charis SIL"/>
          <w:lang w:val="en-GB"/>
        </w:rPr>
        <w:t xml:space="preserve">Abaev = </w:t>
      </w:r>
      <w:r w:rsidR="001266F4" w:rsidRPr="00FB4EFA">
        <w:rPr>
          <w:rFonts w:cs="Charis SIL"/>
          <w:lang w:val="en-GB"/>
        </w:rPr>
        <w:t xml:space="preserve">В.И. </w:t>
      </w:r>
      <w:r w:rsidRPr="00FB4EFA">
        <w:rPr>
          <w:rFonts w:cs="Charis SIL"/>
          <w:lang w:val="en-GB"/>
        </w:rPr>
        <w:t>Абаев</w:t>
      </w:r>
      <w:r w:rsidR="001266F4" w:rsidRPr="00FB4EFA">
        <w:rPr>
          <w:rFonts w:cs="Charis SIL"/>
          <w:lang w:val="en-GB"/>
        </w:rPr>
        <w:t>.</w:t>
      </w:r>
      <w:r w:rsidRPr="00FB4EFA">
        <w:rPr>
          <w:rFonts w:cs="Charis SIL"/>
          <w:lang w:val="en-GB"/>
        </w:rPr>
        <w:t xml:space="preserve"> 1958–1989. </w:t>
      </w:r>
      <w:r w:rsidRPr="00FB4EFA">
        <w:rPr>
          <w:rFonts w:cs="Charis SIL"/>
          <w:i/>
          <w:iCs/>
          <w:lang w:val="en-GB"/>
        </w:rPr>
        <w:t>Историко-этимологический словарь осетинского языка</w:t>
      </w:r>
      <w:r w:rsidRPr="00FB4EFA">
        <w:rPr>
          <w:rFonts w:cs="Charis SIL"/>
          <w:lang w:val="en-GB"/>
        </w:rPr>
        <w:t>. I–V. Мосвка &amp; Ленинград: Академиа Наук СССР.</w:t>
      </w:r>
    </w:p>
    <w:p w14:paraId="2B5C3DF3" w14:textId="1CE530BA" w:rsidR="00B72515" w:rsidRPr="00FB4EFA" w:rsidRDefault="00B72515" w:rsidP="00153BA0">
      <w:pPr>
        <w:suppressAutoHyphens/>
        <w:spacing w:line="240" w:lineRule="auto"/>
        <w:ind w:left="426" w:hanging="426"/>
        <w:rPr>
          <w:rFonts w:cs="Charis SIL"/>
          <w:lang w:val="en-GB"/>
        </w:rPr>
      </w:pPr>
      <w:r w:rsidRPr="00FB4EFA">
        <w:rPr>
          <w:rFonts w:cs="Charis SIL"/>
          <w:lang w:val="en-GB"/>
        </w:rPr>
        <w:t xml:space="preserve">Adams, D. Q. 2013. </w:t>
      </w:r>
      <w:r w:rsidRPr="00FB4EFA">
        <w:rPr>
          <w:rFonts w:cs="Charis SIL"/>
          <w:i/>
          <w:iCs/>
          <w:lang w:val="en-GB"/>
        </w:rPr>
        <w:t>A Dictionary of Tocharian</w:t>
      </w:r>
      <w:r w:rsidRPr="00FB4EFA">
        <w:rPr>
          <w:rFonts w:cs="Charis SIL"/>
          <w:lang w:val="en-GB"/>
        </w:rPr>
        <w:t xml:space="preserve"> </w:t>
      </w:r>
      <w:r w:rsidRPr="00FB4EFA">
        <w:rPr>
          <w:rFonts w:cs="Charis SIL"/>
          <w:i/>
          <w:lang w:val="en-GB"/>
        </w:rPr>
        <w:t>B</w:t>
      </w:r>
      <w:r w:rsidR="00A75644" w:rsidRPr="00FB4EFA">
        <w:rPr>
          <w:rFonts w:cs="Charis SIL"/>
          <w:lang w:val="en-GB"/>
        </w:rPr>
        <w:t xml:space="preserve">. </w:t>
      </w:r>
      <w:r w:rsidRPr="00FB4EFA">
        <w:rPr>
          <w:rFonts w:cs="Charis SIL"/>
          <w:lang w:val="en-GB"/>
        </w:rPr>
        <w:t>Leiden Studies in Indo-European 10. Second edition, revised and greatly enlarged edition. Leiden: Brill.</w:t>
      </w:r>
    </w:p>
    <w:p w14:paraId="0CC1507F" w14:textId="4AB50115" w:rsidR="00B72515" w:rsidRPr="00FB4EFA" w:rsidRDefault="00B72515" w:rsidP="00153BA0">
      <w:pPr>
        <w:suppressAutoHyphens/>
        <w:spacing w:line="240" w:lineRule="auto"/>
        <w:ind w:left="426" w:hanging="426"/>
        <w:rPr>
          <w:rFonts w:cs="Charis SIL"/>
          <w:lang w:val="en-US"/>
        </w:rPr>
      </w:pPr>
      <w:r w:rsidRPr="00FB4EFA">
        <w:rPr>
          <w:rFonts w:cs="Charis SIL"/>
          <w:bCs/>
          <w:lang w:val="en-US"/>
        </w:rPr>
        <w:t xml:space="preserve">Alemany, Agustí. 2000. </w:t>
      </w:r>
      <w:r w:rsidRPr="00FB4EFA">
        <w:rPr>
          <w:rFonts w:cs="Charis SIL"/>
          <w:bCs/>
          <w:i/>
          <w:lang w:val="en-US"/>
        </w:rPr>
        <w:t>Sources on the Alans: a critical compilation</w:t>
      </w:r>
      <w:r w:rsidR="00BB7053" w:rsidRPr="00FB4EFA">
        <w:rPr>
          <w:rFonts w:cs="Charis SIL"/>
          <w:bCs/>
          <w:iCs/>
          <w:lang w:val="en-US"/>
        </w:rPr>
        <w:t>.</w:t>
      </w:r>
      <w:r w:rsidRPr="00FB4EFA">
        <w:rPr>
          <w:rFonts w:cs="Charis SIL"/>
          <w:bCs/>
          <w:lang w:val="en-US"/>
        </w:rPr>
        <w:t xml:space="preserve"> Handbook of Oriental Studies. Section 8 Uralic &amp; Central Asia Studies</w:t>
      </w:r>
      <w:r w:rsidR="00BB7053" w:rsidRPr="00FB4EFA">
        <w:rPr>
          <w:rFonts w:cs="Charis SIL"/>
          <w:bCs/>
          <w:lang w:val="en-US"/>
        </w:rPr>
        <w:t xml:space="preserve"> </w:t>
      </w:r>
      <w:r w:rsidRPr="00FB4EFA">
        <w:rPr>
          <w:rFonts w:cs="Charis SIL"/>
          <w:bCs/>
          <w:lang w:val="en-US"/>
        </w:rPr>
        <w:t>5. Leiden: Brill.</w:t>
      </w:r>
    </w:p>
    <w:p w14:paraId="6F39DAF8" w14:textId="77777777" w:rsidR="00B72515" w:rsidRPr="00FB4EFA" w:rsidRDefault="00B72515" w:rsidP="00153BA0">
      <w:pPr>
        <w:suppressAutoHyphens/>
        <w:spacing w:line="240" w:lineRule="auto"/>
        <w:ind w:left="426" w:hanging="426"/>
        <w:rPr>
          <w:rFonts w:cs="Charis SIL"/>
          <w:lang w:val="en-US"/>
        </w:rPr>
      </w:pPr>
      <w:r w:rsidRPr="00FB4EFA">
        <w:rPr>
          <w:rFonts w:cs="Charis SIL"/>
          <w:bCs/>
          <w:lang w:val="en-US"/>
        </w:rPr>
        <w:t xml:space="preserve">Bailey, Harold. </w:t>
      </w:r>
      <w:r w:rsidRPr="00FB4EFA">
        <w:rPr>
          <w:rFonts w:cs="Charis SIL"/>
          <w:bCs/>
        </w:rPr>
        <w:t xml:space="preserve">1979. </w:t>
      </w:r>
      <w:r w:rsidRPr="00FB4EFA">
        <w:rPr>
          <w:rFonts w:cs="Charis SIL"/>
          <w:bCs/>
          <w:i/>
        </w:rPr>
        <w:t>Dictionary of Khotan Saka</w:t>
      </w:r>
      <w:r w:rsidRPr="00FB4EFA">
        <w:rPr>
          <w:rFonts w:cs="Charis SIL"/>
          <w:bCs/>
        </w:rPr>
        <w:t xml:space="preserve">. </w:t>
      </w:r>
      <w:r w:rsidRPr="00FB4EFA">
        <w:rPr>
          <w:rFonts w:cs="Charis SIL"/>
          <w:bCs/>
          <w:lang w:val="en-US"/>
        </w:rPr>
        <w:t>Cambridge: Cambridge University Press.</w:t>
      </w:r>
    </w:p>
    <w:p w14:paraId="19925D33" w14:textId="2D41F02E" w:rsidR="00B72515" w:rsidRPr="00FB4EFA" w:rsidRDefault="00B72515" w:rsidP="00153BA0">
      <w:pPr>
        <w:suppressAutoHyphens/>
        <w:spacing w:line="240" w:lineRule="auto"/>
        <w:ind w:left="426" w:hanging="426"/>
        <w:rPr>
          <w:rFonts w:cs="Charis SIL"/>
          <w:lang w:val="en-US"/>
        </w:rPr>
      </w:pPr>
      <w:r w:rsidRPr="00FB4EFA">
        <w:rPr>
          <w:rFonts w:cs="Charis SIL"/>
          <w:lang w:val="en-US"/>
        </w:rPr>
        <w:t xml:space="preserve">Beekes, Robert Stephen Paul. 2010. </w:t>
      </w:r>
      <w:r w:rsidRPr="00FB4EFA">
        <w:rPr>
          <w:rFonts w:cs="Charis SIL"/>
          <w:i/>
        </w:rPr>
        <w:t>Etymological dictionary of Greek</w:t>
      </w:r>
      <w:r w:rsidRPr="00FB4EFA">
        <w:rPr>
          <w:rFonts w:cs="Charis SIL"/>
        </w:rPr>
        <w:t xml:space="preserve">. </w:t>
      </w:r>
      <w:r w:rsidRPr="00FB4EFA">
        <w:rPr>
          <w:rFonts w:cs="Charis SIL"/>
          <w:lang w:val="en-US"/>
        </w:rPr>
        <w:t>I–II</w:t>
      </w:r>
      <w:r w:rsidR="00A75644" w:rsidRPr="00FB4EFA">
        <w:rPr>
          <w:rFonts w:cs="Charis SIL"/>
          <w:lang w:val="en-US"/>
        </w:rPr>
        <w:t>.</w:t>
      </w:r>
      <w:r w:rsidRPr="00FB4EFA">
        <w:rPr>
          <w:rFonts w:cs="Charis SIL"/>
          <w:lang w:val="en-US"/>
        </w:rPr>
        <w:t xml:space="preserve"> Leiden Indo-European Etymological Dictionary Series</w:t>
      </w:r>
      <w:r w:rsidR="00A75644" w:rsidRPr="00FB4EFA">
        <w:rPr>
          <w:rFonts w:cs="Charis SIL"/>
          <w:lang w:val="en-US"/>
        </w:rPr>
        <w:t xml:space="preserve"> </w:t>
      </w:r>
      <w:r w:rsidRPr="00FB4EFA">
        <w:rPr>
          <w:rFonts w:cs="Charis SIL"/>
          <w:lang w:val="en-US"/>
        </w:rPr>
        <w:t xml:space="preserve">10. Leiden </w:t>
      </w:r>
      <w:r w:rsidR="001D421A" w:rsidRPr="00FB4EFA">
        <w:rPr>
          <w:rFonts w:cs="Charis SIL"/>
          <w:lang w:val="en-US"/>
        </w:rPr>
        <w:t>/</w:t>
      </w:r>
      <w:r w:rsidRPr="00FB4EFA">
        <w:rPr>
          <w:rFonts w:cs="Charis SIL"/>
          <w:lang w:val="en-US"/>
        </w:rPr>
        <w:t xml:space="preserve"> Boston: Brill.</w:t>
      </w:r>
    </w:p>
    <w:p w14:paraId="1F0E1FCE" w14:textId="5A207987" w:rsidR="00B72515" w:rsidRPr="00FB4EFA" w:rsidRDefault="00B72515" w:rsidP="00153BA0">
      <w:pPr>
        <w:keepLines/>
        <w:suppressAutoHyphens/>
        <w:spacing w:line="240" w:lineRule="auto"/>
        <w:ind w:left="425" w:hanging="425"/>
        <w:rPr>
          <w:rFonts w:cs="Charis SIL"/>
        </w:rPr>
      </w:pPr>
      <w:r w:rsidRPr="00FB4EFA">
        <w:rPr>
          <w:rFonts w:cs="Charis SIL"/>
        </w:rPr>
        <w:t xml:space="preserve">Bereczki, Gábor. 2013. </w:t>
      </w:r>
      <w:r w:rsidRPr="00FB4EFA">
        <w:rPr>
          <w:rFonts w:cs="Charis SIL"/>
          <w:i/>
        </w:rPr>
        <w:t>Etymologisches Wörterbuch des</w:t>
      </w:r>
      <w:r w:rsidRPr="00FB4EFA">
        <w:rPr>
          <w:rFonts w:cs="Charis SIL"/>
        </w:rPr>
        <w:t xml:space="preserve"> </w:t>
      </w:r>
      <w:r w:rsidRPr="00FB4EFA">
        <w:rPr>
          <w:rFonts w:cs="Charis SIL"/>
          <w:i/>
        </w:rPr>
        <w:t>Tscheremissischen</w:t>
      </w:r>
      <w:r w:rsidRPr="00FB4EFA">
        <w:rPr>
          <w:rFonts w:cs="Charis SIL"/>
        </w:rPr>
        <w:t xml:space="preserve"> (</w:t>
      </w:r>
      <w:r w:rsidRPr="00FB4EFA">
        <w:rPr>
          <w:rFonts w:cs="Charis SIL"/>
          <w:i/>
        </w:rPr>
        <w:t>Mari</w:t>
      </w:r>
      <w:r w:rsidRPr="00FB4EFA">
        <w:rPr>
          <w:rFonts w:cs="Charis SIL"/>
        </w:rPr>
        <w:t xml:space="preserve">). </w:t>
      </w:r>
      <w:r w:rsidRPr="00FB4EFA">
        <w:rPr>
          <w:rFonts w:cs="Charis SIL"/>
          <w:i/>
        </w:rPr>
        <w:t>Der einheimische Wortschatz</w:t>
      </w:r>
      <w:r w:rsidR="00BE18B4" w:rsidRPr="00FB4EFA">
        <w:rPr>
          <w:rFonts w:cs="Charis SIL"/>
          <w:iCs/>
        </w:rPr>
        <w:t>.</w:t>
      </w:r>
      <w:r w:rsidRPr="00FB4EFA">
        <w:rPr>
          <w:rFonts w:cs="Charis SIL"/>
        </w:rPr>
        <w:t xml:space="preserve"> </w:t>
      </w:r>
      <w:r w:rsidR="00BE18B4" w:rsidRPr="00FB4EFA">
        <w:rPr>
          <w:rFonts w:cs="Charis SIL"/>
        </w:rPr>
        <w:t xml:space="preserve">Nach dem Tode des Verfassers herausgegeben von Klára Agyagási und Eberhart Winkler. </w:t>
      </w:r>
      <w:r w:rsidRPr="00FB4EFA">
        <w:rPr>
          <w:rFonts w:cs="Charis SIL"/>
        </w:rPr>
        <w:t>Veröffentlichungen des Societas Uralo-Altaica 86. Wiesbaden: Harrassowitz.</w:t>
      </w:r>
    </w:p>
    <w:p w14:paraId="7BE6F71A" w14:textId="15AE16DD" w:rsidR="00B72515" w:rsidRPr="00FB4EFA" w:rsidRDefault="00B72515" w:rsidP="00153BA0">
      <w:pPr>
        <w:suppressAutoHyphens/>
        <w:spacing w:line="240" w:lineRule="auto"/>
        <w:ind w:left="426" w:hanging="426"/>
        <w:rPr>
          <w:rFonts w:cs="Charis SIL"/>
        </w:rPr>
      </w:pPr>
      <w:r w:rsidRPr="00FB4EFA">
        <w:rPr>
          <w:rFonts w:cs="Charis SIL"/>
        </w:rPr>
        <w:t xml:space="preserve">Bielmeier, Roland. 1989. Sarmatisch, Alanisch, Jassisch und Altossetisch. </w:t>
      </w:r>
      <w:r w:rsidRPr="00FB4EFA">
        <w:rPr>
          <w:rFonts w:eastAsia="TimesNewRomanPSMT" w:cs="Charis SIL"/>
        </w:rPr>
        <w:t>In</w:t>
      </w:r>
      <w:r w:rsidRPr="00FB4EFA">
        <w:rPr>
          <w:rFonts w:cs="Charis SIL"/>
        </w:rPr>
        <w:t xml:space="preserve"> R</w:t>
      </w:r>
      <w:r w:rsidRPr="00FB4EFA">
        <w:rPr>
          <w:rFonts w:eastAsia="TimesNewRomanPSMT" w:cs="Charis SIL"/>
        </w:rPr>
        <w:t>üdiger Schmitt (</w:t>
      </w:r>
      <w:r w:rsidR="00BE18B4" w:rsidRPr="00FB4EFA">
        <w:rPr>
          <w:rFonts w:eastAsia="TimesNewRomanPSMT" w:cs="Charis SIL"/>
        </w:rPr>
        <w:t>eds</w:t>
      </w:r>
      <w:r w:rsidRPr="00FB4EFA">
        <w:rPr>
          <w:rFonts w:eastAsia="TimesNewRomanPSMT" w:cs="Charis SIL"/>
        </w:rPr>
        <w:t xml:space="preserve">.), </w:t>
      </w:r>
      <w:r w:rsidRPr="00FB4EFA">
        <w:rPr>
          <w:rFonts w:eastAsia="TimesNewRomanPSMT" w:cs="Charis SIL"/>
          <w:i/>
        </w:rPr>
        <w:t>Compendium linguarum iranicarum</w:t>
      </w:r>
      <w:r w:rsidRPr="00FB4EFA">
        <w:rPr>
          <w:rFonts w:eastAsia="TimesNewRomanPSMT" w:cs="Charis SIL"/>
        </w:rPr>
        <w:t xml:space="preserve">, </w:t>
      </w:r>
      <w:r w:rsidRPr="00FB4EFA">
        <w:rPr>
          <w:rFonts w:cs="Charis SIL"/>
        </w:rPr>
        <w:t>236–245</w:t>
      </w:r>
      <w:r w:rsidRPr="00FB4EFA">
        <w:rPr>
          <w:rFonts w:eastAsia="TimesNewRomanPSMT" w:cs="Charis SIL"/>
        </w:rPr>
        <w:t xml:space="preserve">. </w:t>
      </w:r>
      <w:r w:rsidRPr="00FB4EFA">
        <w:rPr>
          <w:rFonts w:cs="Charis SIL"/>
        </w:rPr>
        <w:t>Wiesbaden: Dr. Ludwig Reichert Verlag.</w:t>
      </w:r>
    </w:p>
    <w:p w14:paraId="66A29568" w14:textId="4B36C914" w:rsidR="00B72515" w:rsidRPr="00FB4EFA" w:rsidRDefault="00B72515" w:rsidP="00153BA0">
      <w:pPr>
        <w:suppressAutoHyphens/>
        <w:spacing w:line="240" w:lineRule="auto"/>
        <w:ind w:left="426" w:hanging="426"/>
        <w:rPr>
          <w:rFonts w:cs="Charis SIL"/>
        </w:rPr>
      </w:pPr>
      <w:r w:rsidRPr="00FB4EFA">
        <w:rPr>
          <w:rFonts w:cs="Charis SIL"/>
        </w:rPr>
        <w:t xml:space="preserve">Cheung, Johnny. 2002. </w:t>
      </w:r>
      <w:r w:rsidRPr="00FB4EFA">
        <w:rPr>
          <w:rFonts w:cs="Charis SIL"/>
          <w:i/>
        </w:rPr>
        <w:t>Studies in the historical development of the Ossetic vocalism</w:t>
      </w:r>
      <w:r w:rsidR="00A75644" w:rsidRPr="00FB4EFA">
        <w:rPr>
          <w:rFonts w:cs="Charis SIL"/>
        </w:rPr>
        <w:t xml:space="preserve">. </w:t>
      </w:r>
      <w:r w:rsidRPr="00FB4EFA">
        <w:rPr>
          <w:rFonts w:cs="Charis SIL"/>
        </w:rPr>
        <w:t>Beiträge zur Iranistik</w:t>
      </w:r>
      <w:r w:rsidR="00A75644" w:rsidRPr="00FB4EFA">
        <w:rPr>
          <w:rFonts w:cs="Charis SIL"/>
        </w:rPr>
        <w:t xml:space="preserve"> </w:t>
      </w:r>
      <w:r w:rsidRPr="00FB4EFA">
        <w:rPr>
          <w:rFonts w:cs="Charis SIL"/>
        </w:rPr>
        <w:t>21. Wiesbaden: Dr. Ludwig Reichert Verlag.</w:t>
      </w:r>
    </w:p>
    <w:p w14:paraId="064AA574" w14:textId="67658184" w:rsidR="00B72515" w:rsidRPr="00FB4EFA" w:rsidRDefault="00B72515" w:rsidP="00153BA0">
      <w:pPr>
        <w:suppressAutoHyphens/>
        <w:spacing w:line="240" w:lineRule="auto"/>
        <w:ind w:left="426" w:hanging="426"/>
        <w:rPr>
          <w:rFonts w:cs="Charis SIL"/>
          <w:lang w:val="en-US"/>
        </w:rPr>
      </w:pPr>
      <w:r w:rsidRPr="00FB4EFA">
        <w:rPr>
          <w:rFonts w:cs="Charis SIL"/>
        </w:rPr>
        <w:t xml:space="preserve">Cheung, Johnny. 2007. </w:t>
      </w:r>
      <w:r w:rsidRPr="00FB4EFA">
        <w:rPr>
          <w:rFonts w:cs="Charis SIL"/>
          <w:i/>
          <w:lang w:val="en-US"/>
        </w:rPr>
        <w:t>Etymological dictionary of the Iranian verb</w:t>
      </w:r>
      <w:r w:rsidR="00A75644" w:rsidRPr="00FB4EFA">
        <w:rPr>
          <w:rFonts w:cs="Charis SIL"/>
          <w:iCs/>
          <w:lang w:val="en-US"/>
        </w:rPr>
        <w:t>.</w:t>
      </w:r>
      <w:r w:rsidRPr="00FB4EFA">
        <w:rPr>
          <w:rFonts w:cs="Charis SIL"/>
          <w:lang w:val="en-US"/>
        </w:rPr>
        <w:t xml:space="preserve"> Leiden Indo-European Etymological Dictionary Series 2. Leiden </w:t>
      </w:r>
      <w:r w:rsidR="001D421A" w:rsidRPr="00FB4EFA">
        <w:rPr>
          <w:rFonts w:cs="Charis SIL"/>
          <w:lang w:val="en-US"/>
        </w:rPr>
        <w:t xml:space="preserve">/ </w:t>
      </w:r>
      <w:r w:rsidRPr="00FB4EFA">
        <w:rPr>
          <w:rFonts w:cs="Charis SIL"/>
          <w:lang w:val="en-US"/>
        </w:rPr>
        <w:t>Boston: Brill.</w:t>
      </w:r>
    </w:p>
    <w:p w14:paraId="78BA117A" w14:textId="77777777" w:rsidR="00B72515" w:rsidRPr="00FB4EFA" w:rsidRDefault="00B72515" w:rsidP="00153BA0">
      <w:pPr>
        <w:suppressAutoHyphens/>
        <w:spacing w:line="240" w:lineRule="auto"/>
        <w:ind w:left="426" w:hanging="426"/>
        <w:rPr>
          <w:rFonts w:cs="Charis SIL"/>
        </w:rPr>
      </w:pPr>
      <w:r w:rsidRPr="00FB4EFA">
        <w:rPr>
          <w:rFonts w:cs="Charis SIL"/>
          <w:lang w:val="en-US"/>
        </w:rPr>
        <w:t xml:space="preserve">Csúcs, Sándor. 2005. </w:t>
      </w:r>
      <w:r w:rsidRPr="00FB4EFA">
        <w:rPr>
          <w:rFonts w:cs="Charis SIL"/>
          <w:i/>
        </w:rPr>
        <w:t>Die Rekonstruktion der permischen Grundsprache</w:t>
      </w:r>
      <w:r w:rsidRPr="00FB4EFA">
        <w:rPr>
          <w:rFonts w:cs="Charis SIL"/>
        </w:rPr>
        <w:t>. Budapest: Akadémiai Kiadó.</w:t>
      </w:r>
    </w:p>
    <w:p w14:paraId="153D7A52" w14:textId="77777777" w:rsidR="00B72515" w:rsidRPr="00FB4EFA" w:rsidRDefault="00B72515" w:rsidP="00153BA0">
      <w:pPr>
        <w:suppressAutoHyphens/>
        <w:spacing w:line="240" w:lineRule="auto"/>
        <w:ind w:left="426" w:hanging="426"/>
        <w:rPr>
          <w:rFonts w:cs="Charis SIL"/>
        </w:rPr>
      </w:pPr>
      <w:r w:rsidRPr="00FB4EFA">
        <w:rPr>
          <w:rFonts w:cs="Charis SIL"/>
        </w:rPr>
        <w:lastRenderedPageBreak/>
        <w:t xml:space="preserve">DEWOS = Wolfgang Steinitz. 1966–1993. </w:t>
      </w:r>
      <w:r w:rsidRPr="00FB4EFA">
        <w:rPr>
          <w:rFonts w:cs="Charis SIL"/>
          <w:i/>
          <w:iCs/>
        </w:rPr>
        <w:t>Dialektologisches und etymologisches Wörterbuch der ostjakischen Sprache</w:t>
      </w:r>
      <w:r w:rsidRPr="00FB4EFA">
        <w:rPr>
          <w:rFonts w:cs="Charis SIL"/>
        </w:rPr>
        <w:t>. Berlin: Akademie Verlag.</w:t>
      </w:r>
    </w:p>
    <w:p w14:paraId="728A5F26" w14:textId="50AE63B3" w:rsidR="00B72515" w:rsidRPr="00FB4EFA" w:rsidRDefault="00B72515" w:rsidP="00153BA0">
      <w:pPr>
        <w:suppressAutoHyphens/>
        <w:spacing w:line="240" w:lineRule="auto"/>
        <w:ind w:left="426" w:hanging="426"/>
        <w:rPr>
          <w:rFonts w:cs="Charis SIL"/>
        </w:rPr>
      </w:pPr>
      <w:r w:rsidRPr="00FB4EFA">
        <w:rPr>
          <w:rFonts w:cs="Charis SIL"/>
        </w:rPr>
        <w:t>EWUng = Loránd</w:t>
      </w:r>
      <w:r w:rsidR="00054818" w:rsidRPr="00FB4EFA">
        <w:rPr>
          <w:rFonts w:cs="Charis SIL"/>
        </w:rPr>
        <w:t xml:space="preserve"> Benkő</w:t>
      </w:r>
      <w:r w:rsidRPr="00FB4EFA">
        <w:rPr>
          <w:rFonts w:cs="Charis SIL"/>
        </w:rPr>
        <w:t xml:space="preserve"> (</w:t>
      </w:r>
      <w:r w:rsidR="00BE18B4" w:rsidRPr="00FB4EFA">
        <w:rPr>
          <w:rFonts w:cs="Charis SIL"/>
        </w:rPr>
        <w:t>ed</w:t>
      </w:r>
      <w:r w:rsidRPr="00FB4EFA">
        <w:rPr>
          <w:rFonts w:cs="Charis SIL"/>
        </w:rPr>
        <w:t xml:space="preserve">.). 1992–1997. </w:t>
      </w:r>
      <w:r w:rsidRPr="00FB4EFA">
        <w:rPr>
          <w:rFonts w:cs="Charis SIL"/>
          <w:i/>
        </w:rPr>
        <w:t>Etymologisches Wörterbuch des Ungarischen Sprache</w:t>
      </w:r>
      <w:r w:rsidRPr="00FB4EFA">
        <w:rPr>
          <w:rFonts w:cs="Charis SIL"/>
        </w:rPr>
        <w:t>. Budapest: Akadémiai Kiadó.</w:t>
      </w:r>
    </w:p>
    <w:p w14:paraId="417119F5" w14:textId="07369FE3" w:rsidR="00B72515" w:rsidRPr="00FB4EFA" w:rsidRDefault="00B72515" w:rsidP="00153BA0">
      <w:pPr>
        <w:suppressAutoHyphens/>
        <w:spacing w:line="240" w:lineRule="auto"/>
        <w:ind w:left="426" w:hanging="426"/>
        <w:rPr>
          <w:rFonts w:cs="Charis SIL"/>
          <w:lang w:val="en-GB"/>
        </w:rPr>
      </w:pPr>
      <w:r w:rsidRPr="00FB4EFA">
        <w:rPr>
          <w:rFonts w:cs="Charis SIL"/>
          <w:lang w:val="en-GB"/>
        </w:rPr>
        <w:t>Gombocz</w:t>
      </w:r>
      <w:r w:rsidR="0080651B" w:rsidRPr="00FB4EFA">
        <w:rPr>
          <w:rFonts w:cs="Charis SIL"/>
          <w:lang w:val="en-GB"/>
        </w:rPr>
        <w:t>,</w:t>
      </w:r>
      <w:r w:rsidRPr="00FB4EFA">
        <w:rPr>
          <w:rFonts w:cs="Charis SIL"/>
          <w:lang w:val="en-GB"/>
        </w:rPr>
        <w:t xml:space="preserve"> Zoltán &amp; Melich János. 1914–1944. </w:t>
      </w:r>
      <w:r w:rsidRPr="00FB4EFA">
        <w:rPr>
          <w:rFonts w:cs="Charis SIL"/>
          <w:i/>
          <w:iCs/>
          <w:lang w:val="en-GB"/>
        </w:rPr>
        <w:t>Magyar etimológiai szótár</w:t>
      </w:r>
      <w:r w:rsidRPr="00FB4EFA">
        <w:rPr>
          <w:rFonts w:cs="Charis SIL"/>
          <w:lang w:val="en-GB"/>
        </w:rPr>
        <w:t>. 1–2. köt. I</w:t>
      </w:r>
      <w:r w:rsidR="008F6FE7" w:rsidRPr="00FB4EFA">
        <w:rPr>
          <w:rFonts w:cs="Charis SIL"/>
          <w:lang w:val="en-GB"/>
        </w:rPr>
        <w:t>–</w:t>
      </w:r>
      <w:r w:rsidRPr="00FB4EFA">
        <w:rPr>
          <w:rFonts w:cs="Charis SIL"/>
          <w:lang w:val="en-GB"/>
        </w:rPr>
        <w:t>XVII. füzet [A-Geburnus]. Budapest: Magyar Tudományos Akadémia.</w:t>
      </w:r>
    </w:p>
    <w:p w14:paraId="2AFDAE3D" w14:textId="77777777" w:rsidR="00B72515" w:rsidRPr="00FB4EFA" w:rsidRDefault="00B72515" w:rsidP="00153BA0">
      <w:pPr>
        <w:suppressAutoHyphens/>
        <w:spacing w:line="240" w:lineRule="auto"/>
        <w:ind w:left="426" w:hanging="426"/>
        <w:rPr>
          <w:rFonts w:cs="Charis SIL"/>
          <w:lang w:val="en-GB"/>
        </w:rPr>
      </w:pPr>
      <w:r w:rsidRPr="00FB4EFA">
        <w:rPr>
          <w:rFonts w:cs="Charis SIL"/>
          <w:lang w:val="en-GB"/>
        </w:rPr>
        <w:t xml:space="preserve">Gulya, János. 1964. Etimológiai jegyzetek. </w:t>
      </w:r>
      <w:r w:rsidRPr="00FB4EFA">
        <w:rPr>
          <w:rFonts w:cs="Charis SIL"/>
          <w:i/>
          <w:lang w:val="en-GB"/>
        </w:rPr>
        <w:t>Nyelvtudományi Közlemények</w:t>
      </w:r>
      <w:r w:rsidRPr="00FB4EFA">
        <w:rPr>
          <w:rFonts w:cs="Charis SIL"/>
          <w:lang w:val="en-GB"/>
        </w:rPr>
        <w:t xml:space="preserve"> 66. 111–115.</w:t>
      </w:r>
    </w:p>
    <w:p w14:paraId="611212A8" w14:textId="77777777" w:rsidR="00B72515" w:rsidRPr="00FB4EFA" w:rsidRDefault="00B72515" w:rsidP="00153BA0">
      <w:pPr>
        <w:keepLines/>
        <w:suppressAutoHyphens/>
        <w:spacing w:line="240" w:lineRule="auto"/>
        <w:ind w:left="425" w:hanging="425"/>
        <w:rPr>
          <w:rFonts w:cs="Charis SIL"/>
          <w:lang w:val="en-GB"/>
        </w:rPr>
      </w:pPr>
      <w:r w:rsidRPr="00FB4EFA">
        <w:rPr>
          <w:rFonts w:cs="Charis SIL"/>
          <w:lang w:val="en-GB"/>
        </w:rPr>
        <w:t xml:space="preserve">Hackstein, Olav. 1998. </w:t>
      </w:r>
      <w:r w:rsidRPr="00FB4EFA">
        <w:rPr>
          <w:rFonts w:cs="Charis SIL"/>
          <w:lang w:val="de-DE"/>
        </w:rPr>
        <w:t>Tocharisch und Westindogermanisch, Strukturell uneinheitliche laryngalreflexe im Tocharischen (Uridg. *-</w:t>
      </w:r>
      <w:r w:rsidRPr="00FB4EFA">
        <w:rPr>
          <w:rFonts w:cs="Charis SIL"/>
          <w:i/>
          <w:iCs/>
          <w:lang w:val="de-DE"/>
        </w:rPr>
        <w:t>Uh</w:t>
      </w:r>
      <w:r w:rsidRPr="00FB4EFA">
        <w:rPr>
          <w:rFonts w:cs="Charis SIL"/>
          <w:i/>
          <w:iCs/>
          <w:vertAlign w:val="subscript"/>
          <w:lang w:val="de-DE"/>
        </w:rPr>
        <w:t>1</w:t>
      </w:r>
      <w:r w:rsidRPr="00FB4EFA">
        <w:rPr>
          <w:rFonts w:cs="Charis SIL"/>
          <w:i/>
          <w:iCs/>
          <w:lang w:val="de-DE"/>
        </w:rPr>
        <w:t>C</w:t>
      </w:r>
      <w:r w:rsidRPr="00FB4EFA">
        <w:rPr>
          <w:rFonts w:cs="Charis SIL"/>
          <w:lang w:val="de-DE"/>
        </w:rPr>
        <w:t>- versus *-</w:t>
      </w:r>
      <w:r w:rsidRPr="00FB4EFA">
        <w:rPr>
          <w:rFonts w:cs="Charis SIL"/>
          <w:i/>
          <w:iCs/>
          <w:lang w:val="de-DE"/>
        </w:rPr>
        <w:t>Uh</w:t>
      </w:r>
      <w:r w:rsidRPr="00FB4EFA">
        <w:rPr>
          <w:rFonts w:cs="Charis SIL"/>
          <w:i/>
          <w:iCs/>
          <w:vertAlign w:val="subscript"/>
          <w:lang w:val="de-DE"/>
        </w:rPr>
        <w:t>2,3</w:t>
      </w:r>
      <w:r w:rsidRPr="00FB4EFA">
        <w:rPr>
          <w:rFonts w:cs="Charis SIL"/>
          <w:i/>
          <w:iCs/>
          <w:lang w:val="de-DE"/>
        </w:rPr>
        <w:t>(C</w:t>
      </w:r>
      <w:r w:rsidRPr="00FB4EFA">
        <w:rPr>
          <w:rFonts w:cs="Charis SIL"/>
          <w:lang w:val="de-DE"/>
        </w:rPr>
        <w:t>-) und *-</w:t>
      </w:r>
      <w:r w:rsidRPr="00FB4EFA">
        <w:rPr>
          <w:rFonts w:cs="Charis SIL"/>
          <w:i/>
          <w:iCs/>
          <w:lang w:val="de-DE"/>
        </w:rPr>
        <w:t>h</w:t>
      </w:r>
      <w:r w:rsidRPr="00FB4EFA">
        <w:rPr>
          <w:rFonts w:cs="Charis SIL"/>
          <w:i/>
          <w:iCs/>
          <w:vertAlign w:val="subscript"/>
          <w:lang w:val="de-DE"/>
        </w:rPr>
        <w:t>1</w:t>
      </w:r>
      <w:r w:rsidRPr="00FB4EFA">
        <w:rPr>
          <w:rFonts w:cs="Charis SIL"/>
          <w:i/>
          <w:iCs/>
          <w:lang w:val="de-DE"/>
        </w:rPr>
        <w:t>RC</w:t>
      </w:r>
      <w:r w:rsidRPr="00FB4EFA">
        <w:rPr>
          <w:rFonts w:cs="Charis SIL"/>
          <w:lang w:val="de-DE"/>
        </w:rPr>
        <w:t>- versus *-</w:t>
      </w:r>
      <w:r w:rsidRPr="00FB4EFA">
        <w:rPr>
          <w:rFonts w:cs="Charis SIL"/>
          <w:i/>
          <w:iCs/>
          <w:lang w:val="de-DE"/>
        </w:rPr>
        <w:t>h</w:t>
      </w:r>
      <w:r w:rsidRPr="00FB4EFA">
        <w:rPr>
          <w:rFonts w:cs="Charis SIL"/>
          <w:i/>
          <w:iCs/>
          <w:vertAlign w:val="subscript"/>
          <w:lang w:val="de-DE"/>
        </w:rPr>
        <w:t>2,3</w:t>
      </w:r>
      <w:r w:rsidRPr="00FB4EFA">
        <w:rPr>
          <w:rFonts w:cs="Charis SIL"/>
          <w:i/>
          <w:iCs/>
          <w:lang w:val="de-DE"/>
        </w:rPr>
        <w:t>RC</w:t>
      </w:r>
      <w:r w:rsidRPr="00FB4EFA">
        <w:rPr>
          <w:rFonts w:cs="Charis SIL"/>
          <w:lang w:val="de-DE"/>
        </w:rPr>
        <w:t xml:space="preserve">-) In Wolfgang Meid (ed.), </w:t>
      </w:r>
      <w:r w:rsidRPr="00FB4EFA">
        <w:rPr>
          <w:rFonts w:cs="Charis SIL"/>
          <w:i/>
          <w:iCs/>
          <w:lang w:val="de-DE"/>
        </w:rPr>
        <w:t xml:space="preserve">Sprache und Kultur der Indogermanen: Akten der X. Fachtagung der Indogermanischen Gesellschaft Innsbruck, 22.-28. </w:t>
      </w:r>
      <w:r w:rsidRPr="00FB4EFA">
        <w:rPr>
          <w:rFonts w:cs="Charis SIL"/>
          <w:i/>
          <w:iCs/>
          <w:lang w:val="en-GB"/>
        </w:rPr>
        <w:t>September 1996</w:t>
      </w:r>
      <w:r w:rsidRPr="00FB4EFA">
        <w:rPr>
          <w:rFonts w:cs="Charis SIL"/>
          <w:lang w:val="en-GB"/>
        </w:rPr>
        <w:t xml:space="preserve"> (Innsbrucker Beiträge zur Sprachwissenschaft 93), 217–236. Innsbruck: Universität Innsbruck.</w:t>
      </w:r>
    </w:p>
    <w:p w14:paraId="0D628F3A" w14:textId="22FB6A17" w:rsidR="00B72515" w:rsidRPr="00FB4EFA" w:rsidRDefault="00B72515" w:rsidP="00153BA0">
      <w:pPr>
        <w:keepLines/>
        <w:suppressAutoHyphens/>
        <w:spacing w:line="240" w:lineRule="auto"/>
        <w:ind w:left="425" w:hanging="425"/>
        <w:rPr>
          <w:rFonts w:cs="Charis SIL"/>
          <w:lang w:val="en-US"/>
        </w:rPr>
      </w:pPr>
      <w:r w:rsidRPr="00FB4EFA">
        <w:rPr>
          <w:rFonts w:cs="Charis SIL"/>
          <w:lang w:val="en-GB"/>
        </w:rPr>
        <w:t>Holopainen, Sampsa</w:t>
      </w:r>
      <w:r w:rsidR="00D138C6" w:rsidRPr="00FB4EFA">
        <w:rPr>
          <w:rFonts w:cs="Charis SIL"/>
          <w:lang w:val="en-GB"/>
        </w:rPr>
        <w:t>,</w:t>
      </w:r>
      <w:r w:rsidRPr="00FB4EFA">
        <w:rPr>
          <w:rFonts w:cs="Charis SIL"/>
          <w:lang w:val="en-GB"/>
        </w:rPr>
        <w:t xml:space="preserve"> Juha Kuokkala</w:t>
      </w:r>
      <w:r w:rsidR="00D138C6" w:rsidRPr="00FB4EFA">
        <w:rPr>
          <w:rFonts w:cs="Charis SIL"/>
          <w:lang w:val="en-GB"/>
        </w:rPr>
        <w:t>,</w:t>
      </w:r>
      <w:r w:rsidRPr="00FB4EFA">
        <w:rPr>
          <w:rFonts w:cs="Charis SIL"/>
          <w:lang w:val="en-GB"/>
        </w:rPr>
        <w:t xml:space="preserve"> Niklas Metsäranta &amp; Ilona Rauhala. </w:t>
      </w:r>
      <w:r w:rsidRPr="00FB4EFA">
        <w:rPr>
          <w:rFonts w:cs="Charis SIL"/>
          <w:lang w:val="en-US"/>
        </w:rPr>
        <w:t xml:space="preserve">2020. Challenges and opportunities in reconstructing Proto-Uralic nominal derivation (Handout of a presentation at the workshop </w:t>
      </w:r>
      <w:r w:rsidRPr="00FB4EFA">
        <w:rPr>
          <w:rFonts w:cs="Charis SIL"/>
          <w:i/>
          <w:iCs/>
          <w:lang w:val="en-US"/>
        </w:rPr>
        <w:t>Word-formation in diachrony</w:t>
      </w:r>
      <w:r w:rsidRPr="00FB4EFA">
        <w:rPr>
          <w:rFonts w:cs="Charis SIL"/>
          <w:lang w:val="en-US"/>
        </w:rPr>
        <w:t xml:space="preserve">, 7 February 2020, Vienna). </w:t>
      </w:r>
      <w:hyperlink r:id="rId281">
        <w:r w:rsidRPr="00FB4EFA">
          <w:rPr>
            <w:rFonts w:cs="Charis SIL"/>
            <w:u w:val="single"/>
            <w:lang w:val="en-US"/>
          </w:rPr>
          <w:t>www.academia.edu/42017894/</w:t>
        </w:r>
      </w:hyperlink>
      <w:r w:rsidR="00B40850" w:rsidRPr="00FB4EFA">
        <w:rPr>
          <w:rFonts w:cs="Charis SIL"/>
          <w:lang w:val="en-US"/>
        </w:rPr>
        <w:t>.</w:t>
      </w:r>
    </w:p>
    <w:p w14:paraId="191D4F88" w14:textId="53E9DE22" w:rsidR="00B72515" w:rsidRPr="00FB4EFA" w:rsidRDefault="00B72515" w:rsidP="00153BA0">
      <w:pPr>
        <w:suppressAutoHyphens/>
        <w:spacing w:line="240" w:lineRule="auto"/>
        <w:ind w:left="426" w:hanging="426"/>
        <w:rPr>
          <w:rFonts w:cs="Charis SIL"/>
          <w:lang w:val="en-US"/>
        </w:rPr>
      </w:pPr>
      <w:r w:rsidRPr="00FB4EFA">
        <w:rPr>
          <w:rFonts w:cs="Charis SIL"/>
          <w:lang w:val="en-US"/>
        </w:rPr>
        <w:t>Holopainen, Sampsa</w:t>
      </w:r>
      <w:r w:rsidR="002544DA" w:rsidRPr="00FB4EFA">
        <w:rPr>
          <w:rFonts w:cs="Charis SIL"/>
          <w:lang w:val="en-US"/>
        </w:rPr>
        <w:t>.</w:t>
      </w:r>
      <w:r w:rsidRPr="00FB4EFA">
        <w:rPr>
          <w:rFonts w:cs="Charis SIL"/>
          <w:lang w:val="en-US"/>
        </w:rPr>
        <w:t xml:space="preserve"> 2019. </w:t>
      </w:r>
      <w:r w:rsidRPr="00FB4EFA">
        <w:rPr>
          <w:rFonts w:cs="Charis SIL"/>
          <w:i/>
          <w:iCs/>
          <w:lang w:val="en-US"/>
        </w:rPr>
        <w:t>Indo-Iranian borrowings in Uralic: Critical overview of sound substitutions and distribution criterion</w:t>
      </w:r>
      <w:r w:rsidRPr="00FB4EFA">
        <w:rPr>
          <w:rFonts w:cs="Charis SIL"/>
          <w:lang w:val="en-US"/>
        </w:rPr>
        <w:t>. Helsinki: University of Helsinki PhD thesis.</w:t>
      </w:r>
    </w:p>
    <w:p w14:paraId="1480D55F" w14:textId="75DC01CD" w:rsidR="00B72515" w:rsidRPr="00FB4EFA" w:rsidRDefault="00B72515" w:rsidP="00153BA0">
      <w:pPr>
        <w:suppressAutoHyphens/>
        <w:spacing w:line="240" w:lineRule="auto"/>
        <w:ind w:left="426" w:hanging="426"/>
        <w:rPr>
          <w:rFonts w:cs="Charis SIL"/>
          <w:lang w:val="en-US"/>
        </w:rPr>
      </w:pPr>
      <w:r w:rsidRPr="00FB4EFA">
        <w:rPr>
          <w:rFonts w:cs="Charis SIL"/>
          <w:lang w:val="en-US"/>
        </w:rPr>
        <w:t xml:space="preserve">Joki, Aulis J. 1973. </w:t>
      </w:r>
      <w:r w:rsidRPr="00FB4EFA">
        <w:rPr>
          <w:rFonts w:cs="Charis SIL"/>
          <w:i/>
          <w:iCs/>
          <w:lang w:val="en-US"/>
        </w:rPr>
        <w:t>Uralier und Indogermaner</w:t>
      </w:r>
      <w:r w:rsidR="004D007D" w:rsidRPr="00FB4EFA">
        <w:rPr>
          <w:rFonts w:cs="Charis SIL"/>
          <w:lang w:val="en-US"/>
        </w:rPr>
        <w:t xml:space="preserve">. </w:t>
      </w:r>
      <w:r w:rsidR="004D007D" w:rsidRPr="00FB4EFA">
        <w:rPr>
          <w:rFonts w:eastAsia="Times New Roman" w:cs="Charis SIL"/>
          <w:lang w:val="en-US"/>
        </w:rPr>
        <w:t>Suomalais-Ugrilaisen Seuran Toimituksia</w:t>
      </w:r>
      <w:r w:rsidRPr="00FB4EFA">
        <w:rPr>
          <w:rFonts w:cs="Charis SIL"/>
          <w:lang w:val="en-US"/>
        </w:rPr>
        <w:t xml:space="preserve"> 151. Helsinki: </w:t>
      </w:r>
      <w:r w:rsidR="004D007D" w:rsidRPr="00FB4EFA">
        <w:rPr>
          <w:lang w:val="en-GB"/>
        </w:rPr>
        <w:t>Suomalais-Ugrilainen Seura</w:t>
      </w:r>
      <w:r w:rsidRPr="00FB4EFA">
        <w:rPr>
          <w:rFonts w:cs="Charis SIL"/>
          <w:lang w:val="en-US"/>
        </w:rPr>
        <w:t>.</w:t>
      </w:r>
    </w:p>
    <w:p w14:paraId="2D86637F" w14:textId="5AF7AB09" w:rsidR="00B72515" w:rsidRPr="00FB4EFA" w:rsidRDefault="00B72515" w:rsidP="00153BA0">
      <w:pPr>
        <w:suppressAutoHyphens/>
        <w:spacing w:line="240" w:lineRule="auto"/>
        <w:ind w:left="426" w:hanging="426"/>
        <w:rPr>
          <w:rFonts w:cs="Charis SIL"/>
          <w:lang w:val="en-US"/>
        </w:rPr>
      </w:pPr>
      <w:r w:rsidRPr="00FB4EFA">
        <w:rPr>
          <w:rFonts w:cs="Charis SIL"/>
          <w:lang w:val="en-US"/>
        </w:rPr>
        <w:t xml:space="preserve">KESK = </w:t>
      </w:r>
      <w:r w:rsidR="002302FA" w:rsidRPr="00FB4EFA">
        <w:rPr>
          <w:rFonts w:cs="Charis SIL"/>
          <w:lang w:val="en-US"/>
        </w:rPr>
        <w:t xml:space="preserve">V.I. </w:t>
      </w:r>
      <w:r w:rsidRPr="00FB4EFA">
        <w:rPr>
          <w:rFonts w:cs="Charis SIL"/>
          <w:lang w:val="en-US"/>
        </w:rPr>
        <w:t xml:space="preserve">Lytkin &amp; E.S. Gulyaev. 1999. </w:t>
      </w:r>
      <w:r w:rsidRPr="00FB4EFA">
        <w:rPr>
          <w:rFonts w:cs="Charis SIL"/>
          <w:i/>
          <w:iCs/>
        </w:rPr>
        <w:t>Краткий</w:t>
      </w:r>
      <w:r w:rsidRPr="00FB4EFA">
        <w:rPr>
          <w:rFonts w:cs="Charis SIL"/>
          <w:i/>
          <w:iCs/>
          <w:lang w:val="en-US"/>
        </w:rPr>
        <w:t xml:space="preserve"> </w:t>
      </w:r>
      <w:r w:rsidRPr="00FB4EFA">
        <w:rPr>
          <w:rFonts w:cs="Charis SIL"/>
          <w:i/>
          <w:iCs/>
        </w:rPr>
        <w:t>этимологический</w:t>
      </w:r>
      <w:r w:rsidRPr="00FB4EFA">
        <w:rPr>
          <w:rFonts w:cs="Charis SIL"/>
          <w:i/>
          <w:iCs/>
          <w:lang w:val="en-US"/>
        </w:rPr>
        <w:t xml:space="preserve"> </w:t>
      </w:r>
      <w:r w:rsidRPr="00FB4EFA">
        <w:rPr>
          <w:rFonts w:cs="Charis SIL"/>
          <w:i/>
          <w:iCs/>
        </w:rPr>
        <w:t>словарь</w:t>
      </w:r>
      <w:r w:rsidRPr="00FB4EFA">
        <w:rPr>
          <w:rFonts w:cs="Charis SIL"/>
          <w:i/>
          <w:iCs/>
          <w:lang w:val="en-US"/>
        </w:rPr>
        <w:t xml:space="preserve"> </w:t>
      </w:r>
      <w:r w:rsidRPr="00FB4EFA">
        <w:rPr>
          <w:rFonts w:cs="Charis SIL"/>
          <w:i/>
          <w:iCs/>
        </w:rPr>
        <w:t>коми</w:t>
      </w:r>
      <w:r w:rsidRPr="00FB4EFA">
        <w:rPr>
          <w:rFonts w:cs="Charis SIL"/>
          <w:i/>
          <w:iCs/>
          <w:lang w:val="en-US"/>
        </w:rPr>
        <w:t xml:space="preserve"> </w:t>
      </w:r>
      <w:r w:rsidRPr="00FB4EFA">
        <w:rPr>
          <w:rFonts w:cs="Charis SIL"/>
          <w:i/>
          <w:iCs/>
        </w:rPr>
        <w:t>языка</w:t>
      </w:r>
      <w:r w:rsidRPr="00FB4EFA">
        <w:rPr>
          <w:rFonts w:cs="Charis SIL"/>
          <w:lang w:val="en-US"/>
        </w:rPr>
        <w:t xml:space="preserve">. Syktyvkar: </w:t>
      </w:r>
      <w:r w:rsidRPr="00FB4EFA">
        <w:rPr>
          <w:rFonts w:cs="Charis SIL"/>
        </w:rPr>
        <w:t>Коми</w:t>
      </w:r>
      <w:r w:rsidRPr="00FB4EFA">
        <w:rPr>
          <w:rFonts w:cs="Charis SIL"/>
          <w:lang w:val="en-US"/>
        </w:rPr>
        <w:t xml:space="preserve"> </w:t>
      </w:r>
      <w:r w:rsidRPr="00FB4EFA">
        <w:rPr>
          <w:rFonts w:cs="Charis SIL"/>
        </w:rPr>
        <w:t>книжное</w:t>
      </w:r>
      <w:r w:rsidRPr="00FB4EFA">
        <w:rPr>
          <w:rFonts w:cs="Charis SIL"/>
          <w:lang w:val="en-US"/>
        </w:rPr>
        <w:t xml:space="preserve"> </w:t>
      </w:r>
      <w:r w:rsidRPr="00FB4EFA">
        <w:rPr>
          <w:rFonts w:cs="Charis SIL"/>
        </w:rPr>
        <w:t>издательство</w:t>
      </w:r>
      <w:r w:rsidRPr="00FB4EFA">
        <w:rPr>
          <w:rFonts w:cs="Charis SIL"/>
          <w:lang w:val="en-US"/>
        </w:rPr>
        <w:t>.</w:t>
      </w:r>
    </w:p>
    <w:p w14:paraId="17A3CBA4" w14:textId="77777777" w:rsidR="00B72515" w:rsidRPr="00FB4EFA" w:rsidRDefault="00B72515" w:rsidP="00153BA0">
      <w:pPr>
        <w:suppressAutoHyphens/>
        <w:spacing w:line="240" w:lineRule="auto"/>
        <w:ind w:left="426" w:hanging="426"/>
        <w:rPr>
          <w:rFonts w:cs="Charis SIL"/>
        </w:rPr>
      </w:pPr>
      <w:r w:rsidRPr="00FB4EFA">
        <w:rPr>
          <w:rFonts w:cs="Charis SIL"/>
          <w:lang w:val="en-US"/>
        </w:rPr>
        <w:t xml:space="preserve">Koivulehto, Jorma. 1979. </w:t>
      </w:r>
      <w:r w:rsidRPr="00FB4EFA">
        <w:rPr>
          <w:rFonts w:cs="Charis SIL"/>
        </w:rPr>
        <w:t xml:space="preserve">Lainoja ja lainakerrostumia. </w:t>
      </w:r>
      <w:r w:rsidRPr="00FB4EFA">
        <w:rPr>
          <w:rFonts w:cs="Charis SIL"/>
          <w:i/>
          <w:iCs/>
        </w:rPr>
        <w:t>Virittäjä</w:t>
      </w:r>
      <w:r w:rsidRPr="00FB4EFA">
        <w:rPr>
          <w:rFonts w:cs="Charis SIL"/>
        </w:rPr>
        <w:t xml:space="preserve"> 83. 267–301.</w:t>
      </w:r>
    </w:p>
    <w:p w14:paraId="01C81784" w14:textId="1031AA24" w:rsidR="00B72515" w:rsidRPr="00FB4EFA" w:rsidRDefault="00B72515" w:rsidP="00153BA0">
      <w:pPr>
        <w:suppressAutoHyphens/>
        <w:spacing w:line="240" w:lineRule="auto"/>
        <w:ind w:left="426" w:hanging="426"/>
        <w:rPr>
          <w:rFonts w:cs="Charis SIL"/>
        </w:rPr>
      </w:pPr>
      <w:r w:rsidRPr="00FB4EFA">
        <w:rPr>
          <w:rFonts w:cs="Charis SIL"/>
        </w:rPr>
        <w:t xml:space="preserve">Korenchy, Éva. 1972. </w:t>
      </w:r>
      <w:r w:rsidRPr="00FB4EFA">
        <w:rPr>
          <w:rFonts w:cs="Charis SIL"/>
          <w:i/>
          <w:iCs/>
        </w:rPr>
        <w:t>Iranische Lehnwörter in den obugrischen Sprachen</w:t>
      </w:r>
      <w:r w:rsidRPr="00FB4EFA">
        <w:rPr>
          <w:rFonts w:cs="Charis SIL"/>
        </w:rPr>
        <w:t>. Budapest: Akadémiai Kiadó.</w:t>
      </w:r>
    </w:p>
    <w:p w14:paraId="7A8B67E7" w14:textId="77777777" w:rsidR="00F410E4" w:rsidRPr="00FB4EFA" w:rsidRDefault="00F410E4" w:rsidP="00153BA0">
      <w:pPr>
        <w:keepLines/>
        <w:suppressAutoHyphens/>
        <w:spacing w:line="240" w:lineRule="auto"/>
        <w:ind w:left="425" w:hanging="425"/>
        <w:rPr>
          <w:rFonts w:cs="Charis SIL"/>
        </w:rPr>
      </w:pPr>
      <w:r w:rsidRPr="00FB4EFA">
        <w:rPr>
          <w:rFonts w:cs="Charis SIL"/>
          <w:lang w:val="en-US"/>
        </w:rPr>
        <w:t xml:space="preserve">Kümmel, Martin. 2020. Substrata of Indo-Iranic and related questions. In Romain Garnier (ed.), </w:t>
      </w:r>
      <w:r w:rsidRPr="00FB4EFA">
        <w:rPr>
          <w:rFonts w:cs="Charis SIL"/>
          <w:i/>
          <w:lang w:val="en-US"/>
        </w:rPr>
        <w:t>Loanwords and substrata. Proceedings of the Colloquium held in Limoges (5</w:t>
      </w:r>
      <w:r w:rsidRPr="00FB4EFA">
        <w:rPr>
          <w:rFonts w:cs="Charis SIL"/>
          <w:i/>
          <w:vertAlign w:val="superscript"/>
          <w:lang w:val="en-US"/>
        </w:rPr>
        <w:t>th</w:t>
      </w:r>
      <w:r w:rsidRPr="00FB4EFA">
        <w:rPr>
          <w:rFonts w:cs="Charis SIL"/>
          <w:i/>
          <w:lang w:val="en-US"/>
        </w:rPr>
        <w:t>–7</w:t>
      </w:r>
      <w:r w:rsidRPr="00FB4EFA">
        <w:rPr>
          <w:rFonts w:cs="Charis SIL"/>
          <w:i/>
          <w:vertAlign w:val="superscript"/>
          <w:lang w:val="en-US"/>
        </w:rPr>
        <w:t>th</w:t>
      </w:r>
      <w:r w:rsidRPr="00FB4EFA">
        <w:rPr>
          <w:rFonts w:cs="Charis SIL"/>
          <w:i/>
          <w:lang w:val="en-US"/>
        </w:rPr>
        <w:t xml:space="preserve"> June, 2018)</w:t>
      </w:r>
      <w:r w:rsidRPr="00FB4EFA">
        <w:rPr>
          <w:rFonts w:cs="Charis SIL"/>
          <w:lang w:val="en-US"/>
        </w:rPr>
        <w:t xml:space="preserve"> (Innsbrucker Beiträge zur Sprachwissenschaft, Band 164), </w:t>
      </w:r>
      <w:bookmarkStart w:id="68" w:name="_Hlk89283672"/>
      <w:r w:rsidRPr="00FB4EFA">
        <w:rPr>
          <w:rFonts w:cs="Charis SIL"/>
          <w:lang w:val="en-US"/>
        </w:rPr>
        <w:t>237–277</w:t>
      </w:r>
      <w:bookmarkEnd w:id="68"/>
      <w:r w:rsidRPr="00FB4EFA">
        <w:rPr>
          <w:rFonts w:cs="Charis SIL"/>
          <w:lang w:val="en-US"/>
        </w:rPr>
        <w:t xml:space="preserve">. </w:t>
      </w:r>
      <w:r w:rsidRPr="00FB4EFA">
        <w:rPr>
          <w:rFonts w:cs="Charis SIL"/>
        </w:rPr>
        <w:t>Innsbruck: Institut für Sprachwissenschaft der Universität Innsbruck.</w:t>
      </w:r>
    </w:p>
    <w:p w14:paraId="743ADA9F" w14:textId="77777777" w:rsidR="00B72515" w:rsidRPr="00FB4EFA" w:rsidRDefault="00B72515" w:rsidP="00153BA0">
      <w:pPr>
        <w:keepLines/>
        <w:suppressAutoHyphens/>
        <w:spacing w:line="240" w:lineRule="auto"/>
        <w:ind w:left="425" w:hanging="425"/>
        <w:rPr>
          <w:rFonts w:cs="Charis SIL"/>
        </w:rPr>
      </w:pPr>
      <w:r w:rsidRPr="00FB4EFA">
        <w:rPr>
          <w:rFonts w:cs="Charis SIL"/>
        </w:rPr>
        <w:t xml:space="preserve">Kümmel, Martin. 2021. Neuere Forschungen zum (Indo-)Iranischen. </w:t>
      </w:r>
      <w:r w:rsidRPr="00FB4EFA">
        <w:rPr>
          <w:rFonts w:cs="Charis SIL"/>
          <w:lang w:val="en-US"/>
        </w:rPr>
        <w:t xml:space="preserve">Talk at the workshop </w:t>
      </w:r>
      <w:r w:rsidRPr="00FB4EFA">
        <w:rPr>
          <w:rFonts w:cs="Charis SIL"/>
          <w:i/>
          <w:iCs/>
          <w:lang w:val="en-US"/>
        </w:rPr>
        <w:t>Current issues in historical linguistics</w:t>
      </w:r>
      <w:r w:rsidRPr="00FB4EFA">
        <w:rPr>
          <w:rFonts w:cs="Charis SIL"/>
          <w:lang w:val="en-US"/>
        </w:rPr>
        <w:t xml:space="preserve">, 46. </w:t>
      </w:r>
      <w:r w:rsidRPr="00FB4EFA">
        <w:rPr>
          <w:rFonts w:cs="Charis SIL"/>
        </w:rPr>
        <w:t>Österreichische Linguistik-Tagung, University of Vienna, 10.12.2021.</w:t>
      </w:r>
    </w:p>
    <w:p w14:paraId="49CF6032" w14:textId="77777777" w:rsidR="00B72515" w:rsidRPr="00FB4EFA" w:rsidRDefault="00B72515" w:rsidP="00153BA0">
      <w:pPr>
        <w:keepLines/>
        <w:suppressAutoHyphens/>
        <w:spacing w:line="240" w:lineRule="auto"/>
        <w:ind w:left="425" w:hanging="425"/>
        <w:rPr>
          <w:rFonts w:cs="Charis SIL"/>
        </w:rPr>
      </w:pPr>
      <w:r w:rsidRPr="00FB4EFA">
        <w:rPr>
          <w:rFonts w:cs="Charis SIL"/>
        </w:rPr>
        <w:lastRenderedPageBreak/>
        <w:t xml:space="preserve">LIV = Helmut Rix. 2001. </w:t>
      </w:r>
      <w:r w:rsidRPr="00FB4EFA">
        <w:rPr>
          <w:rFonts w:cs="Charis SIL"/>
          <w:i/>
        </w:rPr>
        <w:t>Lexikon der indogermanischen Verben</w:t>
      </w:r>
      <w:r w:rsidRPr="00FB4EFA">
        <w:rPr>
          <w:rFonts w:cs="Charis SIL"/>
        </w:rPr>
        <w:t xml:space="preserve">. </w:t>
      </w:r>
      <w:r w:rsidRPr="00FB4EFA">
        <w:rPr>
          <w:rFonts w:cs="Charis SIL"/>
          <w:i/>
          <w:iCs/>
        </w:rPr>
        <w:t>Die Wurzeln und ihre Primärstammbildungen.</w:t>
      </w:r>
      <w:r w:rsidRPr="00FB4EFA">
        <w:rPr>
          <w:rFonts w:cs="Charis SIL"/>
        </w:rPr>
        <w:t xml:space="preserve"> Bearbeitet von Martin Kümmel, Thomas Zehnder, Reiner Lipp und Brigitte Schirmer. Zweite, erweiterte und verbesserte Auflage, bearbeitet von Martin Kümmel und Helmut Rix. Wiesbaden: Dr. Ludvig Reichelt Verlag.</w:t>
      </w:r>
    </w:p>
    <w:p w14:paraId="33AA3F46" w14:textId="159843D1" w:rsidR="00B72515" w:rsidRPr="00FB4EFA" w:rsidRDefault="00B72515" w:rsidP="00153BA0">
      <w:pPr>
        <w:suppressAutoHyphens/>
        <w:spacing w:line="240" w:lineRule="auto"/>
        <w:ind w:left="426" w:hanging="426"/>
        <w:rPr>
          <w:rFonts w:cs="Charis SIL"/>
        </w:rPr>
      </w:pPr>
      <w:r w:rsidRPr="00FB4EFA">
        <w:rPr>
          <w:rFonts w:cs="Charis SIL"/>
        </w:rPr>
        <w:t>Lubotsky, Alexander. 2001. The Indo-Iranian substratum.</w:t>
      </w:r>
      <w:r w:rsidRPr="00FB4EFA">
        <w:rPr>
          <w:rFonts w:eastAsia="TimesNewRomanPSMT" w:cs="Charis SIL"/>
        </w:rPr>
        <w:t xml:space="preserve"> </w:t>
      </w:r>
      <w:r w:rsidRPr="00FB4EFA">
        <w:rPr>
          <w:rFonts w:eastAsia="TimesNewRomanPSMT" w:cs="Charis SIL"/>
          <w:lang w:val="en-US"/>
        </w:rPr>
        <w:t>In</w:t>
      </w:r>
      <w:r w:rsidRPr="00FB4EFA">
        <w:rPr>
          <w:rFonts w:cs="Charis SIL"/>
          <w:lang w:val="en-US"/>
        </w:rPr>
        <w:t xml:space="preserve"> </w:t>
      </w:r>
      <w:r w:rsidRPr="00FB4EFA">
        <w:rPr>
          <w:rFonts w:eastAsia="TimesNewRomanPSMT" w:cs="Charis SIL"/>
          <w:lang w:val="en-US"/>
        </w:rPr>
        <w:t>Christian Carpelan, Asko Parpola &amp; Petteri Koskikallio (eds.),</w:t>
      </w:r>
      <w:r w:rsidRPr="00FB4EFA">
        <w:rPr>
          <w:rFonts w:cs="Charis SIL"/>
          <w:lang w:val="en-US"/>
        </w:rPr>
        <w:t xml:space="preserve"> </w:t>
      </w:r>
      <w:r w:rsidRPr="00FB4EFA">
        <w:rPr>
          <w:rFonts w:eastAsia="TimesNewRomanPS-ItalicMT" w:cs="Charis SIL"/>
          <w:i/>
          <w:iCs/>
          <w:lang w:val="en-US"/>
        </w:rPr>
        <w:t>Early Contacts between Uralic and Indo-European: linguistic and</w:t>
      </w:r>
      <w:r w:rsidRPr="00FB4EFA">
        <w:rPr>
          <w:rFonts w:eastAsia="TimesNewRomanPSMT" w:cs="Charis SIL"/>
          <w:lang w:val="en-US"/>
        </w:rPr>
        <w:t xml:space="preserve"> </w:t>
      </w:r>
      <w:r w:rsidRPr="00FB4EFA">
        <w:rPr>
          <w:rFonts w:eastAsia="TimesNewRomanPS-ItalicMT" w:cs="Charis SIL"/>
          <w:i/>
          <w:iCs/>
          <w:lang w:val="en-US"/>
        </w:rPr>
        <w:t>archaeological considerations</w:t>
      </w:r>
      <w:r w:rsidR="004D007D" w:rsidRPr="00FB4EFA">
        <w:rPr>
          <w:rFonts w:eastAsia="TimesNewRomanPSMT" w:cs="Charis SIL"/>
          <w:lang w:val="en-US"/>
        </w:rPr>
        <w:t xml:space="preserve">), </w:t>
      </w:r>
      <w:r w:rsidR="004D007D" w:rsidRPr="00FB4EFA">
        <w:rPr>
          <w:rFonts w:cs="Charis SIL"/>
          <w:lang w:val="en-US"/>
        </w:rPr>
        <w:t>301–317</w:t>
      </w:r>
      <w:r w:rsidR="004D007D" w:rsidRPr="00FB4EFA">
        <w:rPr>
          <w:rFonts w:eastAsia="TimesNewRomanPSMT" w:cs="Charis SIL"/>
          <w:lang w:val="en-US"/>
        </w:rPr>
        <w:t xml:space="preserve">. </w:t>
      </w:r>
      <w:r w:rsidR="004D007D" w:rsidRPr="00FB4EFA">
        <w:rPr>
          <w:rFonts w:eastAsia="Times New Roman" w:cs="Charis SIL"/>
          <w:lang w:val="en-US"/>
        </w:rPr>
        <w:t>Suomalais-Ugrilaisen Seuran Toimituksia</w:t>
      </w:r>
      <w:r w:rsidRPr="00FB4EFA">
        <w:rPr>
          <w:rFonts w:eastAsia="TimesNewRomanPSMT" w:cs="Charis SIL"/>
          <w:lang w:val="en-US"/>
        </w:rPr>
        <w:t xml:space="preserve"> 242</w:t>
      </w:r>
      <w:r w:rsidRPr="00FB4EFA">
        <w:rPr>
          <w:rFonts w:cs="Charis SIL"/>
          <w:lang w:val="en-US"/>
        </w:rPr>
        <w:t>.</w:t>
      </w:r>
      <w:r w:rsidRPr="00FB4EFA">
        <w:rPr>
          <w:rFonts w:eastAsia="TimesNewRomanPSMT" w:cs="Charis SIL"/>
          <w:lang w:val="en-US"/>
        </w:rPr>
        <w:t xml:space="preserve"> </w:t>
      </w:r>
      <w:r w:rsidRPr="00FB4EFA">
        <w:rPr>
          <w:rFonts w:eastAsia="TimesNewRomanPSMT" w:cs="Charis SIL"/>
        </w:rPr>
        <w:t xml:space="preserve">Helsinki: </w:t>
      </w:r>
      <w:r w:rsidR="004D007D" w:rsidRPr="00FB4EFA">
        <w:rPr>
          <w:lang w:val="en-GB"/>
        </w:rPr>
        <w:t>Suomalais-Ugrilainen Seura</w:t>
      </w:r>
      <w:r w:rsidRPr="00FB4EFA">
        <w:rPr>
          <w:rFonts w:cs="Charis SIL"/>
        </w:rPr>
        <w:t>.</w:t>
      </w:r>
    </w:p>
    <w:p w14:paraId="254A237E" w14:textId="70ADC81C" w:rsidR="00B72515" w:rsidRPr="00FB4EFA" w:rsidRDefault="00B72515" w:rsidP="00153BA0">
      <w:pPr>
        <w:suppressAutoHyphens/>
        <w:spacing w:line="240" w:lineRule="auto"/>
        <w:ind w:left="426" w:hanging="426"/>
        <w:rPr>
          <w:rFonts w:cs="Charis SIL"/>
        </w:rPr>
      </w:pPr>
      <w:r w:rsidRPr="00FB4EFA">
        <w:rPr>
          <w:rFonts w:cs="Charis SIL"/>
        </w:rPr>
        <w:t xml:space="preserve">Majtinskaja. 1974. = </w:t>
      </w:r>
      <w:r w:rsidR="002302FA" w:rsidRPr="00FB4EFA">
        <w:rPr>
          <w:rFonts w:cs="Charis SIL"/>
        </w:rPr>
        <w:t xml:space="preserve">К.Е. </w:t>
      </w:r>
      <w:r w:rsidRPr="00FB4EFA">
        <w:rPr>
          <w:rFonts w:cs="Charis SIL"/>
        </w:rPr>
        <w:t>Майтинская 1974. Сравнительная морфология финно-угорских языков. In В.И. Лыткин, К.Е. Майтинская &amp; Карой Редеи (</w:t>
      </w:r>
      <w:r w:rsidR="00BE18B4" w:rsidRPr="00FB4EFA">
        <w:rPr>
          <w:rFonts w:cs="Charis SIL"/>
        </w:rPr>
        <w:t>eds.</w:t>
      </w:r>
      <w:r w:rsidRPr="00FB4EFA">
        <w:rPr>
          <w:rFonts w:cs="Charis SIL"/>
        </w:rPr>
        <w:t>)</w:t>
      </w:r>
      <w:r w:rsidR="00265448" w:rsidRPr="00FB4EFA">
        <w:rPr>
          <w:rFonts w:cs="Charis SIL"/>
        </w:rPr>
        <w:t>,</w:t>
      </w:r>
      <w:r w:rsidRPr="00FB4EFA">
        <w:rPr>
          <w:rFonts w:cs="Charis SIL"/>
        </w:rPr>
        <w:t xml:space="preserve"> </w:t>
      </w:r>
      <w:r w:rsidRPr="00FB4EFA">
        <w:rPr>
          <w:rFonts w:cs="Charis SIL"/>
          <w:i/>
          <w:iCs/>
        </w:rPr>
        <w:t>Основы финно-угорского языкознания</w:t>
      </w:r>
      <w:r w:rsidRPr="00FB4EFA">
        <w:rPr>
          <w:rFonts w:cs="Charis SIL"/>
          <w:iCs/>
        </w:rPr>
        <w:t xml:space="preserve">, </w:t>
      </w:r>
      <w:r w:rsidRPr="00FB4EFA">
        <w:rPr>
          <w:rFonts w:cs="Charis SIL"/>
        </w:rPr>
        <w:t>214–382. Москва: Наука.</w:t>
      </w:r>
    </w:p>
    <w:p w14:paraId="2840620E" w14:textId="324FBBAB" w:rsidR="00B72515" w:rsidRPr="00FB4EFA" w:rsidRDefault="00B72515" w:rsidP="00153BA0">
      <w:pPr>
        <w:suppressAutoHyphens/>
        <w:spacing w:line="240" w:lineRule="auto"/>
        <w:ind w:left="426" w:hanging="426"/>
        <w:rPr>
          <w:rFonts w:cs="Charis SIL"/>
        </w:rPr>
      </w:pPr>
      <w:r w:rsidRPr="00FB4EFA">
        <w:rPr>
          <w:rFonts w:eastAsia="TimesNewRomanPSMT" w:cs="Charis SIL"/>
        </w:rPr>
        <w:t xml:space="preserve">Maticsák, Sándor. 2015. </w:t>
      </w:r>
      <w:r w:rsidRPr="00FB4EFA">
        <w:rPr>
          <w:rFonts w:eastAsia="TimesNewRomanPSMT" w:cs="Charis SIL"/>
          <w:i/>
          <w:iCs/>
        </w:rPr>
        <w:t>Az erza-mordvin névszóképzők</w:t>
      </w:r>
      <w:r w:rsidR="00BE18B4" w:rsidRPr="00FB4EFA">
        <w:rPr>
          <w:rFonts w:eastAsia="TimesNewRomanPSMT" w:cs="Charis SIL"/>
          <w:i/>
          <w:iCs/>
        </w:rPr>
        <w:t xml:space="preserve"> </w:t>
      </w:r>
      <w:r w:rsidRPr="00FB4EFA">
        <w:rPr>
          <w:rFonts w:eastAsia="TimesNewRomanPSMT" w:cs="Charis SIL"/>
          <w:i/>
          <w:iCs/>
        </w:rPr>
        <w:t>nyelvtörténeti vizsgálata</w:t>
      </w:r>
      <w:r w:rsidRPr="00FB4EFA">
        <w:rPr>
          <w:rFonts w:eastAsia="TimesNewRomanPSMT" w:cs="Charis SIL"/>
        </w:rPr>
        <w:t>. Akadémiai doktori értekezés. Debrecen: Debreceni Egyetem.</w:t>
      </w:r>
    </w:p>
    <w:p w14:paraId="48FE7F4A" w14:textId="77777777" w:rsidR="00B72515" w:rsidRPr="00FB4EFA" w:rsidRDefault="00B72515" w:rsidP="00153BA0">
      <w:pPr>
        <w:suppressAutoHyphens/>
        <w:spacing w:line="240" w:lineRule="auto"/>
        <w:ind w:left="426" w:hanging="426"/>
        <w:rPr>
          <w:rFonts w:cs="Charis SIL"/>
        </w:rPr>
      </w:pPr>
      <w:r w:rsidRPr="00FB4EFA">
        <w:rPr>
          <w:rFonts w:eastAsia="TimesNewRomanPSMT" w:cs="Charis SIL"/>
        </w:rPr>
        <w:t xml:space="preserve">Mayrhofer, Manfred. 1989. Vorgeschichte der iranischen Sprachen; Uriranisch. In Rüdiger Schmitt (ed.), </w:t>
      </w:r>
      <w:r w:rsidRPr="00FB4EFA">
        <w:rPr>
          <w:rFonts w:eastAsia="TimesNewRomanPSMT" w:cs="Charis SIL"/>
          <w:i/>
        </w:rPr>
        <w:t>Compendium linguarum iranicarum</w:t>
      </w:r>
      <w:r w:rsidRPr="00FB4EFA">
        <w:rPr>
          <w:rFonts w:eastAsia="TimesNewRomanPSMT" w:cs="Charis SIL"/>
        </w:rPr>
        <w:t>, 4–24. Wiesbaden: Dr. Ludwig Reichert Verlag.</w:t>
      </w:r>
    </w:p>
    <w:p w14:paraId="6666094E" w14:textId="77777777" w:rsidR="00B72515" w:rsidRPr="00FB4EFA" w:rsidRDefault="00B72515" w:rsidP="00153BA0">
      <w:pPr>
        <w:suppressAutoHyphens/>
        <w:spacing w:line="240" w:lineRule="auto"/>
        <w:ind w:left="426" w:hanging="426"/>
        <w:rPr>
          <w:rFonts w:cs="Charis SIL"/>
        </w:rPr>
      </w:pPr>
      <w:r w:rsidRPr="00FB4EFA">
        <w:rPr>
          <w:rFonts w:cs="Charis SIL"/>
        </w:rPr>
        <w:t xml:space="preserve">Munkácsi, Bernát. 1901. </w:t>
      </w:r>
      <w:r w:rsidRPr="00FB4EFA">
        <w:rPr>
          <w:rFonts w:cs="Charis SIL"/>
          <w:i/>
          <w:iCs/>
        </w:rPr>
        <w:t>Árja és kaukázusi elemek a finn-magyar nyelvekben</w:t>
      </w:r>
      <w:r w:rsidRPr="00FB4EFA">
        <w:rPr>
          <w:rFonts w:cs="Charis SIL"/>
        </w:rPr>
        <w:t>. Budapest: Magyar Tudományos Akadémia.</w:t>
      </w:r>
    </w:p>
    <w:p w14:paraId="737FE3DA" w14:textId="6D87E9FF" w:rsidR="00B72515" w:rsidRPr="00FB4EFA" w:rsidRDefault="00B72515" w:rsidP="00153BA0">
      <w:pPr>
        <w:keepLines/>
        <w:suppressAutoHyphens/>
        <w:spacing w:line="240" w:lineRule="auto"/>
        <w:ind w:left="425" w:hanging="425"/>
        <w:rPr>
          <w:rFonts w:cs="Charis SIL"/>
        </w:rPr>
      </w:pPr>
      <w:r w:rsidRPr="00FB4EFA">
        <w:rPr>
          <w:rFonts w:cs="Charis SIL"/>
        </w:rPr>
        <w:t xml:space="preserve">Palmér, Axel, Anthony Jacob, Rasmus Thorsø, Paulus van Sluis, Cid Swanenvleugel &amp; Guus Kroonen. </w:t>
      </w:r>
      <w:r w:rsidRPr="00FB4EFA">
        <w:rPr>
          <w:rFonts w:cs="Charis SIL"/>
          <w:lang w:val="en-US"/>
        </w:rPr>
        <w:t xml:space="preserve">2021. Proto-Indo-European ‘fox’ and the reconstruction of an athematic </w:t>
      </w:r>
      <w:r w:rsidRPr="00FB4EFA">
        <w:rPr>
          <w:rFonts w:cs="Charis SIL"/>
          <w:i/>
          <w:iCs/>
          <w:lang w:val="en-US"/>
        </w:rPr>
        <w:t>ḱ</w:t>
      </w:r>
      <w:r w:rsidRPr="00FB4EFA">
        <w:rPr>
          <w:rFonts w:cs="Charis SIL"/>
          <w:lang w:val="en-US"/>
        </w:rPr>
        <w:t xml:space="preserve">-stem. </w:t>
      </w:r>
      <w:r w:rsidRPr="00FB4EFA">
        <w:rPr>
          <w:rFonts w:cs="Charis SIL"/>
          <w:i/>
          <w:iCs/>
          <w:lang w:val="en-US"/>
        </w:rPr>
        <w:t>Indo-European Linguistics</w:t>
      </w:r>
      <w:r w:rsidRPr="00FB4EFA">
        <w:rPr>
          <w:rFonts w:cs="Charis SIL"/>
          <w:lang w:val="en-US"/>
        </w:rPr>
        <w:t xml:space="preserve"> 201. </w:t>
      </w:r>
      <w:r w:rsidRPr="00FB4EFA">
        <w:rPr>
          <w:rFonts w:cs="Charis SIL"/>
        </w:rPr>
        <w:t>21–30.</w:t>
      </w:r>
    </w:p>
    <w:p w14:paraId="0C551F54" w14:textId="6B23DE17" w:rsidR="00B72515" w:rsidRPr="00FB4EFA" w:rsidRDefault="00B72515" w:rsidP="00153BA0">
      <w:pPr>
        <w:suppressAutoHyphens/>
        <w:spacing w:line="240" w:lineRule="auto"/>
        <w:ind w:left="426" w:hanging="426"/>
        <w:rPr>
          <w:rFonts w:cs="Charis SIL"/>
        </w:rPr>
      </w:pPr>
      <w:r w:rsidRPr="00FB4EFA">
        <w:rPr>
          <w:rFonts w:cs="Charis SIL"/>
        </w:rPr>
        <w:t xml:space="preserve">Rasmussen, Jens Elmegård. 1989. </w:t>
      </w:r>
      <w:r w:rsidRPr="00FB4EFA">
        <w:rPr>
          <w:rFonts w:cs="Charis SIL"/>
          <w:i/>
          <w:iCs/>
        </w:rPr>
        <w:t>Studien zur Morphophonemik der indogermanischen Grundsprache</w:t>
      </w:r>
      <w:r w:rsidR="00A75644" w:rsidRPr="00FB4EFA">
        <w:rPr>
          <w:rFonts w:cs="Charis SIL"/>
        </w:rPr>
        <w:t xml:space="preserve">. </w:t>
      </w:r>
      <w:r w:rsidRPr="00FB4EFA">
        <w:rPr>
          <w:rFonts w:cs="Charis SIL"/>
        </w:rPr>
        <w:t>Innsbrucker Beiträge zur Sprachwissenschaft 55. Innsbruck: Universität Innsbruck.</w:t>
      </w:r>
    </w:p>
    <w:p w14:paraId="389F9A2E" w14:textId="1A100877" w:rsidR="00B72515" w:rsidRPr="00FB4EFA" w:rsidRDefault="00B72515" w:rsidP="00153BA0">
      <w:pPr>
        <w:suppressAutoHyphens/>
        <w:spacing w:line="240" w:lineRule="auto"/>
        <w:ind w:left="426" w:hanging="426"/>
        <w:rPr>
          <w:rFonts w:cs="Charis SIL"/>
        </w:rPr>
      </w:pPr>
      <w:r w:rsidRPr="00FB4EFA">
        <w:rPr>
          <w:rFonts w:eastAsia="OldStandard-Regular" w:cs="Charis SIL"/>
        </w:rPr>
        <w:t xml:space="preserve">Rédei, Károly. 1986. </w:t>
      </w:r>
      <w:r w:rsidRPr="00FB4EFA">
        <w:rPr>
          <w:rFonts w:eastAsia="OldStandard-Regular" w:cs="Charis SIL"/>
          <w:i/>
        </w:rPr>
        <w:t>Zu den indogermanisch-uralischen Sprachkontakten</w:t>
      </w:r>
      <w:r w:rsidR="00A75644" w:rsidRPr="00FB4EFA">
        <w:rPr>
          <w:rFonts w:eastAsia="OldStandard-Regular" w:cs="Charis SIL"/>
          <w:iCs/>
        </w:rPr>
        <w:t>.</w:t>
      </w:r>
      <w:r w:rsidRPr="00FB4EFA">
        <w:rPr>
          <w:rFonts w:eastAsia="OldStandard-Regular" w:cs="Charis SIL"/>
        </w:rPr>
        <w:t xml:space="preserve"> Veröffentlichungen der Kommission für Linguistik und Kommunikationsforschung</w:t>
      </w:r>
      <w:r w:rsidR="00A75644" w:rsidRPr="00FB4EFA">
        <w:rPr>
          <w:rFonts w:eastAsia="OldStandard-Regular" w:cs="Charis SIL"/>
        </w:rPr>
        <w:t xml:space="preserve"> </w:t>
      </w:r>
      <w:r w:rsidRPr="00FB4EFA">
        <w:rPr>
          <w:rFonts w:eastAsia="OldStandard-Regular" w:cs="Charis SIL"/>
        </w:rPr>
        <w:t>16. Wien: Verlag der Österreichischen Akademie der Wissenschaften.</w:t>
      </w:r>
    </w:p>
    <w:p w14:paraId="5DEAA72F" w14:textId="77777777" w:rsidR="00B72515" w:rsidRPr="00FB4EFA" w:rsidRDefault="00B72515" w:rsidP="00153BA0">
      <w:pPr>
        <w:suppressAutoHyphens/>
        <w:spacing w:line="240" w:lineRule="auto"/>
        <w:ind w:left="426" w:hanging="426"/>
        <w:rPr>
          <w:rFonts w:cs="Charis SIL"/>
        </w:rPr>
      </w:pPr>
      <w:r w:rsidRPr="00FB4EFA">
        <w:rPr>
          <w:rFonts w:cs="Charis SIL"/>
        </w:rPr>
        <w:t xml:space="preserve">Rédei, Károly. 1975. Wortbildung in der PU/PFU-Grundsprache. </w:t>
      </w:r>
      <w:r w:rsidRPr="00FB4EFA">
        <w:rPr>
          <w:rFonts w:cs="Charis SIL"/>
          <w:i/>
          <w:iCs/>
        </w:rPr>
        <w:t xml:space="preserve">Nyelvtudományi Közlemények </w:t>
      </w:r>
      <w:r w:rsidRPr="00FB4EFA">
        <w:rPr>
          <w:rFonts w:cs="Charis SIL"/>
        </w:rPr>
        <w:t>77. 93–102.</w:t>
      </w:r>
    </w:p>
    <w:p w14:paraId="0E1C9310" w14:textId="3B056C80" w:rsidR="00B72515" w:rsidRPr="00FB4EFA" w:rsidRDefault="00B72515" w:rsidP="00153BA0">
      <w:pPr>
        <w:suppressAutoHyphens/>
        <w:spacing w:line="240" w:lineRule="auto"/>
        <w:ind w:left="426" w:hanging="426"/>
        <w:rPr>
          <w:rFonts w:cs="Charis SIL"/>
        </w:rPr>
      </w:pPr>
      <w:r w:rsidRPr="00FB4EFA">
        <w:rPr>
          <w:rFonts w:cs="Charis SIL"/>
        </w:rPr>
        <w:t xml:space="preserve">Riese, Timothy. 2001. </w:t>
      </w:r>
      <w:r w:rsidRPr="00FB4EFA">
        <w:rPr>
          <w:rFonts w:cs="Charis SIL"/>
          <w:i/>
        </w:rPr>
        <w:t>Historische Nominalderivation des Wogulischen</w:t>
      </w:r>
      <w:r w:rsidR="008E6C33" w:rsidRPr="00FB4EFA">
        <w:rPr>
          <w:rFonts w:cs="Charis SIL"/>
        </w:rPr>
        <w:t xml:space="preserve">. </w:t>
      </w:r>
      <w:r w:rsidRPr="00FB4EFA">
        <w:rPr>
          <w:rFonts w:cs="Charis SIL"/>
        </w:rPr>
        <w:t>Studia Uralica Band 10. Wiesbaden: Harrassowitz.</w:t>
      </w:r>
    </w:p>
    <w:p w14:paraId="7942903F" w14:textId="092FC9B1" w:rsidR="00B72515" w:rsidRPr="00FB4EFA" w:rsidRDefault="00B72515" w:rsidP="00153BA0">
      <w:pPr>
        <w:keepLines/>
        <w:suppressAutoHyphens/>
        <w:spacing w:line="240" w:lineRule="auto"/>
        <w:ind w:left="425" w:hanging="425"/>
        <w:rPr>
          <w:rFonts w:eastAsia="TimesNewRomanPSMT" w:cs="Charis SIL"/>
        </w:rPr>
      </w:pPr>
      <w:r w:rsidRPr="00FB4EFA">
        <w:rPr>
          <w:rFonts w:cs="Charis SIL"/>
          <w:lang w:val="en-US"/>
        </w:rPr>
        <w:t xml:space="preserve">Sammallahti, Pekka. 1988. </w:t>
      </w:r>
      <w:r w:rsidRPr="00FB4EFA">
        <w:rPr>
          <w:rFonts w:eastAsia="TimesNewRomanPSMT" w:cs="Charis SIL"/>
          <w:lang w:val="en-US"/>
        </w:rPr>
        <w:t>Historical phonology of the Uralic languages with special reference to Samoyed, Ugric and Permic.</w:t>
      </w:r>
      <w:r w:rsidRPr="00FB4EFA">
        <w:rPr>
          <w:rFonts w:cs="Charis SIL"/>
          <w:lang w:val="en-US"/>
        </w:rPr>
        <w:t xml:space="preserve"> In</w:t>
      </w:r>
      <w:r w:rsidRPr="00FB4EFA">
        <w:rPr>
          <w:rFonts w:eastAsia="TimesNewRomanPSMT" w:cs="Charis SIL"/>
          <w:lang w:val="en-US"/>
        </w:rPr>
        <w:t xml:space="preserve"> Denis Sinor (ed.), </w:t>
      </w:r>
      <w:r w:rsidRPr="00FB4EFA">
        <w:rPr>
          <w:rFonts w:eastAsia="TimesNewRomanPS-ItalicMT" w:cs="Charis SIL"/>
          <w:i/>
          <w:iCs/>
          <w:lang w:val="en-US"/>
        </w:rPr>
        <w:t>The Uralic languages: description, history and foreign influences</w:t>
      </w:r>
      <w:r w:rsidRPr="00FB4EFA">
        <w:rPr>
          <w:rFonts w:eastAsia="TimesNewRomanPS-ItalicMT" w:cs="Charis SIL"/>
          <w:iCs/>
          <w:lang w:val="en-US"/>
        </w:rPr>
        <w:t xml:space="preserve"> (</w:t>
      </w:r>
      <w:r w:rsidRPr="00FB4EFA">
        <w:rPr>
          <w:rFonts w:eastAsia="TimesNewRomanPSMT" w:cs="Charis SIL"/>
          <w:lang w:val="en-US"/>
        </w:rPr>
        <w:t>Handbuch der Orientalistik</w:t>
      </w:r>
      <w:r w:rsidRPr="00FB4EFA">
        <w:rPr>
          <w:rFonts w:eastAsia="TimesNewRomanPS-ItalicMT" w:cs="Charis SIL"/>
          <w:i/>
          <w:iCs/>
          <w:lang w:val="en-US"/>
        </w:rPr>
        <w:t xml:space="preserve"> </w:t>
      </w:r>
      <w:r w:rsidRPr="00FB4EFA">
        <w:rPr>
          <w:rFonts w:eastAsia="TimesNewRomanPSMT" w:cs="Charis SIL"/>
          <w:lang w:val="en-US"/>
        </w:rPr>
        <w:t>8: Handbook of Uralic studies 1</w:t>
      </w:r>
      <w:r w:rsidRPr="00FB4EFA">
        <w:rPr>
          <w:rFonts w:eastAsia="TimesNewRomanPS-ItalicMT" w:cs="Charis SIL"/>
          <w:iCs/>
          <w:lang w:val="en-US"/>
        </w:rPr>
        <w:t>)</w:t>
      </w:r>
      <w:r w:rsidRPr="00FB4EFA">
        <w:rPr>
          <w:rFonts w:eastAsia="TimesNewRomanPSMT" w:cs="Charis SIL"/>
          <w:lang w:val="en-US"/>
        </w:rPr>
        <w:t xml:space="preserve">, 478–554. </w:t>
      </w:r>
      <w:r w:rsidRPr="00FB4EFA">
        <w:rPr>
          <w:rFonts w:eastAsia="TimesNewRomanPSMT" w:cs="Charis SIL"/>
        </w:rPr>
        <w:t>Leiden: Brill.</w:t>
      </w:r>
    </w:p>
    <w:p w14:paraId="09A4AD03" w14:textId="77777777" w:rsidR="00B72515" w:rsidRPr="00FB4EFA" w:rsidRDefault="00B72515" w:rsidP="00153BA0">
      <w:pPr>
        <w:suppressAutoHyphens/>
        <w:spacing w:line="240" w:lineRule="auto"/>
        <w:ind w:left="426" w:hanging="426"/>
        <w:rPr>
          <w:rFonts w:cs="Charis SIL"/>
        </w:rPr>
      </w:pPr>
      <w:r w:rsidRPr="00FB4EFA">
        <w:rPr>
          <w:rFonts w:cs="Charis SIL"/>
        </w:rPr>
        <w:lastRenderedPageBreak/>
        <w:t xml:space="preserve">Sauer, Gert. 1967. </w:t>
      </w:r>
      <w:r w:rsidRPr="00FB4EFA">
        <w:rPr>
          <w:rFonts w:cs="Charis SIL"/>
          <w:i/>
        </w:rPr>
        <w:t>Die Nominalbildung im Ostjakischen</w:t>
      </w:r>
      <w:r w:rsidRPr="00FB4EFA">
        <w:rPr>
          <w:rFonts w:cs="Charis SIL"/>
        </w:rPr>
        <w:t xml:space="preserve"> (Finnisch-Ugrische Studien V). Berlin: Akademie-Verlag.</w:t>
      </w:r>
    </w:p>
    <w:p w14:paraId="0D8E03C4" w14:textId="77777777" w:rsidR="00B72515" w:rsidRPr="00FB4EFA" w:rsidRDefault="00B72515" w:rsidP="00153BA0">
      <w:pPr>
        <w:suppressAutoHyphens/>
        <w:spacing w:line="240" w:lineRule="auto"/>
        <w:ind w:left="426" w:hanging="426"/>
        <w:rPr>
          <w:rFonts w:cs="Charis SIL"/>
        </w:rPr>
      </w:pPr>
      <w:r w:rsidRPr="00FB4EFA">
        <w:rPr>
          <w:rFonts w:cs="Charis SIL"/>
        </w:rPr>
        <w:t xml:space="preserve">Sköld, Hannes. 1925. </w:t>
      </w:r>
      <w:r w:rsidRPr="00FB4EFA">
        <w:rPr>
          <w:rFonts w:cs="Charis SIL"/>
          <w:i/>
        </w:rPr>
        <w:t>Die ossetischen Lehnwörter im Ungarischen</w:t>
      </w:r>
      <w:r w:rsidRPr="00FB4EFA">
        <w:rPr>
          <w:rFonts w:cs="Charis SIL"/>
        </w:rPr>
        <w:t>. Lund: Gleerup / Leipzig: Otto Harrassowitz.</w:t>
      </w:r>
    </w:p>
    <w:p w14:paraId="1C33281C" w14:textId="27DD519C" w:rsidR="00B72515" w:rsidRPr="00FB4EFA" w:rsidRDefault="00B72515" w:rsidP="00153BA0">
      <w:pPr>
        <w:suppressAutoHyphens/>
        <w:spacing w:line="240" w:lineRule="auto"/>
        <w:ind w:left="426" w:hanging="426"/>
        <w:rPr>
          <w:rFonts w:cs="Charis SIL"/>
          <w:lang w:val="en-US"/>
        </w:rPr>
      </w:pPr>
      <w:r w:rsidRPr="00FB4EFA">
        <w:rPr>
          <w:rFonts w:cs="Charis SIL"/>
        </w:rPr>
        <w:t>TESz = Benkő Loránd et al. (</w:t>
      </w:r>
      <w:r w:rsidR="00332CC9" w:rsidRPr="00FB4EFA">
        <w:rPr>
          <w:rFonts w:cs="Charis SIL"/>
        </w:rPr>
        <w:t>eds</w:t>
      </w:r>
      <w:r w:rsidRPr="00FB4EFA">
        <w:rPr>
          <w:rFonts w:cs="Charis SIL"/>
        </w:rPr>
        <w:t xml:space="preserve">.). 1967–1976. </w:t>
      </w:r>
      <w:r w:rsidRPr="00FB4EFA">
        <w:rPr>
          <w:rFonts w:cs="Charis SIL"/>
          <w:i/>
          <w:iCs/>
        </w:rPr>
        <w:t>A magyar nyelv történeti-etimológiai szótára</w:t>
      </w:r>
      <w:r w:rsidRPr="00FB4EFA">
        <w:rPr>
          <w:rFonts w:cs="Charis SIL"/>
        </w:rPr>
        <w:t xml:space="preserve">. I–III. </w:t>
      </w:r>
      <w:r w:rsidRPr="00FB4EFA">
        <w:rPr>
          <w:rFonts w:cs="Charis SIL"/>
          <w:lang w:val="en-US"/>
        </w:rPr>
        <w:t>Budapest: Akadémiai Kiadó.</w:t>
      </w:r>
    </w:p>
    <w:p w14:paraId="71966C99" w14:textId="1A48B698" w:rsidR="00B72515" w:rsidRPr="00FB4EFA" w:rsidRDefault="00B72515" w:rsidP="00153BA0">
      <w:pPr>
        <w:suppressAutoHyphens/>
        <w:spacing w:line="240" w:lineRule="auto"/>
        <w:ind w:left="426" w:hanging="426"/>
        <w:rPr>
          <w:rFonts w:cs="Charis SIL"/>
          <w:lang w:val="en-US"/>
        </w:rPr>
      </w:pPr>
      <w:r w:rsidRPr="00FB4EFA">
        <w:rPr>
          <w:rFonts w:cs="Charis SIL"/>
          <w:lang w:val="en-US"/>
        </w:rPr>
        <w:t xml:space="preserve">UED manuscript = </w:t>
      </w:r>
      <w:r w:rsidR="00054818" w:rsidRPr="00FB4EFA">
        <w:rPr>
          <w:rFonts w:cs="Charis SIL"/>
          <w:lang w:val="en-US"/>
        </w:rPr>
        <w:t xml:space="preserve">Ante </w:t>
      </w:r>
      <w:r w:rsidRPr="00FB4EFA">
        <w:rPr>
          <w:rFonts w:cs="Charis SIL"/>
          <w:lang w:val="en-US"/>
        </w:rPr>
        <w:t>Aikio</w:t>
      </w:r>
      <w:r w:rsidR="00054818" w:rsidRPr="00FB4EFA">
        <w:rPr>
          <w:rFonts w:cs="Charis SIL"/>
          <w:lang w:val="en-US"/>
        </w:rPr>
        <w:t>.</w:t>
      </w:r>
      <w:r w:rsidRPr="00FB4EFA">
        <w:rPr>
          <w:rFonts w:cs="Charis SIL"/>
          <w:lang w:val="en-US"/>
        </w:rPr>
        <w:t xml:space="preserve"> </w:t>
      </w:r>
      <w:r w:rsidRPr="00FB4EFA">
        <w:rPr>
          <w:rFonts w:cs="Charis SIL"/>
          <w:i/>
          <w:iCs/>
          <w:lang w:val="en-US"/>
        </w:rPr>
        <w:t>Uralic Etymological Dictionary</w:t>
      </w:r>
      <w:r w:rsidRPr="00FB4EFA">
        <w:rPr>
          <w:rFonts w:cs="Charis SIL"/>
          <w:lang w:val="en-US"/>
        </w:rPr>
        <w:t>. Unpublished manuscript.</w:t>
      </w:r>
    </w:p>
    <w:p w14:paraId="32D10CCA" w14:textId="77777777" w:rsidR="00B72515" w:rsidRPr="00FB4EFA" w:rsidRDefault="00B72515" w:rsidP="00153BA0">
      <w:pPr>
        <w:keepLines/>
        <w:suppressAutoHyphens/>
        <w:spacing w:line="240" w:lineRule="auto"/>
        <w:ind w:left="425" w:hanging="425"/>
        <w:rPr>
          <w:rFonts w:cs="Charis SIL"/>
        </w:rPr>
      </w:pPr>
      <w:r w:rsidRPr="00FB4EFA">
        <w:rPr>
          <w:rFonts w:cs="Charis SIL"/>
          <w:lang w:val="en-US"/>
        </w:rPr>
        <w:t>UEW =</w:t>
      </w:r>
      <w:r w:rsidRPr="00FB4EFA">
        <w:rPr>
          <w:rFonts w:eastAsia="TimesNewRomanPSMT" w:cs="Charis SIL"/>
          <w:lang w:val="en-US"/>
        </w:rPr>
        <w:t xml:space="preserve"> Károly Redei. 1986–1991. </w:t>
      </w:r>
      <w:r w:rsidRPr="00FB4EFA">
        <w:rPr>
          <w:rFonts w:eastAsia="TimesNewRomanPSMT" w:cs="Charis SIL"/>
          <w:i/>
          <w:iCs/>
          <w:lang w:val="en-US"/>
        </w:rPr>
        <w:t>Uralisches Etymologisches Wörterbuch</w:t>
      </w:r>
      <w:r w:rsidRPr="00FB4EFA">
        <w:rPr>
          <w:rFonts w:eastAsia="TimesNewRomanPSMT" w:cs="Charis SIL"/>
          <w:lang w:val="en-US"/>
        </w:rPr>
        <w:t xml:space="preserve">. Band I-II: Unter Mitarbeit von Marianne Bakró-Nagy, Sándor Csúcs, István Erdélyi †, László Honti, Éva Korenchy †, Éva K. Sal und Edit Vértes, Band III: Register Zusammengestellt von Attila Dobó und Éva Fancsaly. </w:t>
      </w:r>
      <w:r w:rsidRPr="00FB4EFA">
        <w:rPr>
          <w:rFonts w:eastAsia="TimesNewRomanPSMT" w:cs="Charis SIL"/>
        </w:rPr>
        <w:t>Wiesbaden: Harrassowitz.</w:t>
      </w:r>
    </w:p>
    <w:p w14:paraId="18E467BE" w14:textId="2CAEC86C" w:rsidR="00B72515" w:rsidRPr="00FB4EFA" w:rsidRDefault="00B72515" w:rsidP="00153BA0">
      <w:pPr>
        <w:suppressAutoHyphens/>
        <w:spacing w:line="240" w:lineRule="auto"/>
        <w:ind w:left="426" w:hanging="426"/>
        <w:rPr>
          <w:rFonts w:cs="Charis SIL"/>
          <w:lang w:val="en-GB"/>
        </w:rPr>
      </w:pPr>
      <w:r w:rsidRPr="00FB4EFA">
        <w:rPr>
          <w:rFonts w:cs="Charis SIL"/>
          <w:lang w:val="de-DE"/>
        </w:rPr>
        <w:t xml:space="preserve">Uotila, T. E. 1933. </w:t>
      </w:r>
      <w:r w:rsidRPr="00FB4EFA">
        <w:rPr>
          <w:rFonts w:cs="Charis SIL"/>
          <w:i/>
          <w:iCs/>
          <w:lang w:val="de-DE"/>
        </w:rPr>
        <w:t>Zur Geschichte des Konsonantismus in den permischen Sprachen</w:t>
      </w:r>
      <w:r w:rsidR="004D007D" w:rsidRPr="00FB4EFA">
        <w:rPr>
          <w:rFonts w:cs="Charis SIL"/>
          <w:lang w:val="de-DE"/>
        </w:rPr>
        <w:t xml:space="preserve">. </w:t>
      </w:r>
      <w:r w:rsidR="004D007D" w:rsidRPr="00FB4EFA">
        <w:rPr>
          <w:rFonts w:eastAsia="Times New Roman" w:cs="Charis SIL"/>
          <w:lang w:val="en-US"/>
        </w:rPr>
        <w:t>Suomalais-Ugrilaisen Seuran Toimituksia</w:t>
      </w:r>
      <w:r w:rsidRPr="00FB4EFA">
        <w:rPr>
          <w:rFonts w:cs="Charis SIL"/>
          <w:lang w:val="de-DE"/>
        </w:rPr>
        <w:t xml:space="preserve"> 55. </w:t>
      </w:r>
      <w:r w:rsidRPr="00FB4EFA">
        <w:rPr>
          <w:rFonts w:cs="Charis SIL"/>
          <w:lang w:val="en-GB"/>
        </w:rPr>
        <w:t xml:space="preserve">Helsinki: </w:t>
      </w:r>
      <w:r w:rsidR="004D007D" w:rsidRPr="00FB4EFA">
        <w:rPr>
          <w:lang w:val="en-GB"/>
        </w:rPr>
        <w:t>Suomalais-Ugrilainen Seura</w:t>
      </w:r>
      <w:r w:rsidRPr="00FB4EFA">
        <w:rPr>
          <w:rFonts w:cs="Charis SIL"/>
          <w:lang w:val="en-GB"/>
        </w:rPr>
        <w:t>.</w:t>
      </w:r>
    </w:p>
    <w:p w14:paraId="0D6CAD02" w14:textId="3BED641A" w:rsidR="00B72515" w:rsidRPr="00FB4EFA" w:rsidRDefault="00A14352" w:rsidP="00153BA0">
      <w:pPr>
        <w:suppressAutoHyphens/>
        <w:spacing w:line="240" w:lineRule="auto"/>
        <w:ind w:left="426" w:hanging="426"/>
        <w:rPr>
          <w:rFonts w:cs="Charis SIL"/>
          <w:lang w:val="en-US"/>
        </w:rPr>
      </w:pPr>
      <w:r w:rsidRPr="00FB4EFA">
        <w:rPr>
          <w:rFonts w:cs="Charis SIL"/>
          <w:lang w:val="en-US"/>
        </w:rPr>
        <w:t xml:space="preserve">De </w:t>
      </w:r>
      <w:r w:rsidR="00B72515" w:rsidRPr="00FB4EFA">
        <w:rPr>
          <w:rFonts w:cs="Charis SIL"/>
          <w:lang w:val="en-US"/>
        </w:rPr>
        <w:t xml:space="preserve">Vaan, Michiel. 2008. </w:t>
      </w:r>
      <w:r w:rsidR="00B72515" w:rsidRPr="00FB4EFA">
        <w:rPr>
          <w:rFonts w:cs="Charis SIL"/>
          <w:i/>
          <w:iCs/>
          <w:lang w:val="en-US"/>
        </w:rPr>
        <w:t>Etymological dictionary of Latin and the other Italic languages</w:t>
      </w:r>
      <w:r w:rsidR="00B72515" w:rsidRPr="00FB4EFA">
        <w:rPr>
          <w:rFonts w:cs="Charis SIL"/>
          <w:lang w:val="en-US"/>
        </w:rPr>
        <w:t xml:space="preserve"> (Leiden Indo-European Etymological Dictionary Series 7). Leiden / Boston: Brill.</w:t>
      </w:r>
    </w:p>
    <w:p w14:paraId="1D35D60F" w14:textId="77777777" w:rsidR="00B72515" w:rsidRPr="00FB4EFA" w:rsidRDefault="00B72515" w:rsidP="00153BA0">
      <w:pPr>
        <w:suppressAutoHyphens/>
        <w:spacing w:line="240" w:lineRule="auto"/>
        <w:ind w:left="426" w:hanging="426"/>
        <w:rPr>
          <w:rFonts w:cs="Charis SIL"/>
          <w:lang w:val="en-GB"/>
        </w:rPr>
      </w:pPr>
      <w:r w:rsidRPr="00FB4EFA">
        <w:rPr>
          <w:rFonts w:cs="Charis SIL"/>
          <w:lang w:val="en-GB"/>
        </w:rPr>
        <w:t xml:space="preserve">WOT = </w:t>
      </w:r>
      <w:r w:rsidRPr="00FB4EFA">
        <w:rPr>
          <w:rFonts w:eastAsia="OldStandard-Regular" w:cs="Charis SIL"/>
          <w:lang w:val="en-GB"/>
        </w:rPr>
        <w:t xml:space="preserve">Róna-Tas, András &amp; Árpád Berta (with the assistance of László Károly). 2011. </w:t>
      </w:r>
      <w:r w:rsidRPr="00FB4EFA">
        <w:rPr>
          <w:rFonts w:eastAsia="OldStandard-Regular" w:cs="Charis SIL"/>
          <w:i/>
          <w:iCs/>
          <w:lang w:val="en-GB"/>
        </w:rPr>
        <w:t>West Old Turkic</w:t>
      </w:r>
      <w:r w:rsidRPr="00FB4EFA">
        <w:rPr>
          <w:rFonts w:eastAsia="OldStandard-Regular" w:cs="Charis SIL"/>
          <w:lang w:val="en-GB"/>
        </w:rPr>
        <w:t>.</w:t>
      </w:r>
      <w:r w:rsidRPr="00FB4EFA">
        <w:rPr>
          <w:rFonts w:eastAsia="OldStandard-Regular" w:cs="Charis SIL"/>
          <w:i/>
          <w:iCs/>
          <w:lang w:val="en-GB"/>
        </w:rPr>
        <w:t xml:space="preserve"> Turkic loanwords in Hungarian</w:t>
      </w:r>
      <w:r w:rsidRPr="00FB4EFA">
        <w:rPr>
          <w:rFonts w:eastAsia="OldStandard-Regular" w:cs="Charis SIL"/>
          <w:lang w:val="en-GB"/>
        </w:rPr>
        <w:t>. Wiesbaden: Harrassowitz.</w:t>
      </w:r>
    </w:p>
    <w:p w14:paraId="3561B6FF" w14:textId="77777777" w:rsidR="00B72515" w:rsidRPr="00FB4EFA" w:rsidRDefault="00B72515" w:rsidP="00153BA0">
      <w:pPr>
        <w:suppressAutoHyphens/>
        <w:spacing w:line="240" w:lineRule="auto"/>
        <w:ind w:left="426" w:hanging="426"/>
        <w:rPr>
          <w:rFonts w:cs="Charis SIL"/>
          <w:lang w:val="en-GB"/>
        </w:rPr>
      </w:pPr>
      <w:r w:rsidRPr="00FB4EFA">
        <w:rPr>
          <w:rFonts w:cs="Charis SIL"/>
          <w:lang w:val="en-GB"/>
        </w:rPr>
        <w:t xml:space="preserve">Zaicz, Gábor. 2006. </w:t>
      </w:r>
      <w:r w:rsidRPr="00FB4EFA">
        <w:rPr>
          <w:rFonts w:cs="Charis SIL"/>
          <w:i/>
          <w:iCs/>
          <w:lang w:val="en-GB"/>
        </w:rPr>
        <w:t>Etimológiai szótár</w:t>
      </w:r>
      <w:r w:rsidRPr="00FB4EFA">
        <w:rPr>
          <w:rFonts w:cs="Charis SIL"/>
          <w:lang w:val="en-GB"/>
        </w:rPr>
        <w:t>.</w:t>
      </w:r>
      <w:r w:rsidRPr="00FB4EFA">
        <w:rPr>
          <w:rFonts w:cs="Charis SIL"/>
          <w:i/>
          <w:iCs/>
          <w:lang w:val="en-GB"/>
        </w:rPr>
        <w:t xml:space="preserve"> Magyar szavak és toldalékok eredete</w:t>
      </w:r>
      <w:r w:rsidRPr="00FB4EFA">
        <w:rPr>
          <w:rFonts w:cs="Charis SIL"/>
          <w:lang w:val="en-GB"/>
        </w:rPr>
        <w:t>. Budapest: Tinta Könyvkiadó.</w:t>
      </w:r>
    </w:p>
    <w:p w14:paraId="3DF31ACC" w14:textId="57983E15" w:rsidR="00DD11D9" w:rsidRPr="00FB4EFA" w:rsidRDefault="00B72515" w:rsidP="00153BA0">
      <w:pPr>
        <w:suppressAutoHyphens/>
        <w:spacing w:line="240" w:lineRule="auto"/>
        <w:ind w:left="426" w:hanging="426"/>
        <w:rPr>
          <w:rFonts w:cs="Charis SIL"/>
          <w:lang w:val="en-GB" w:eastAsia="en-GB"/>
        </w:rPr>
      </w:pPr>
      <w:r w:rsidRPr="00FB4EFA">
        <w:rPr>
          <w:rFonts w:cs="Charis SIL"/>
          <w:lang w:val="en-GB"/>
        </w:rPr>
        <w:t>Zhivlov, Mikhail. 2013</w:t>
      </w:r>
      <w:r w:rsidRPr="00FB4EFA">
        <w:rPr>
          <w:rFonts w:eastAsia="TimesNewRomanPSMT" w:cs="Charis SIL"/>
          <w:lang w:val="en-GB"/>
        </w:rPr>
        <w:t xml:space="preserve">. Андроновский арийский язык. </w:t>
      </w:r>
      <w:r w:rsidRPr="00FB4EFA">
        <w:rPr>
          <w:rFonts w:cs="Charis SIL"/>
          <w:lang w:val="en-GB"/>
        </w:rPr>
        <w:t>In</w:t>
      </w:r>
      <w:r w:rsidRPr="00FB4EFA">
        <w:rPr>
          <w:rFonts w:eastAsia="TimesNewRomanPSMT" w:cs="Charis SIL"/>
          <w:lang w:val="en-GB"/>
        </w:rPr>
        <w:t xml:space="preserve"> Ю.Б. Коряков &amp; А.А. Кибри</w:t>
      </w:r>
      <w:r w:rsidRPr="00FB4EFA">
        <w:rPr>
          <w:rFonts w:eastAsia="TimesNewRomanPSMT" w:cs="Charis SIL"/>
          <w:lang w:val="mi-NZ"/>
        </w:rPr>
        <w:t>к</w:t>
      </w:r>
      <w:r w:rsidRPr="00FB4EFA">
        <w:rPr>
          <w:rFonts w:eastAsia="TimesNewRomanPSMT" w:cs="Charis SIL"/>
          <w:lang w:val="en-GB"/>
        </w:rPr>
        <w:t xml:space="preserve"> (</w:t>
      </w:r>
      <w:r w:rsidR="00332CC9" w:rsidRPr="00FB4EFA">
        <w:rPr>
          <w:rFonts w:eastAsia="TimesNewRomanPSMT" w:cs="Charis SIL"/>
          <w:lang w:val="en-GB"/>
        </w:rPr>
        <w:t>eds.</w:t>
      </w:r>
      <w:r w:rsidRPr="00FB4EFA">
        <w:rPr>
          <w:rFonts w:eastAsia="TimesNewRomanPSMT" w:cs="Charis SIL"/>
          <w:lang w:val="en-GB"/>
        </w:rPr>
        <w:t>)</w:t>
      </w:r>
      <w:r w:rsidR="00332CC9" w:rsidRPr="00FB4EFA">
        <w:rPr>
          <w:rFonts w:eastAsia="TimesNewRomanPSMT" w:cs="Charis SIL"/>
          <w:lang w:val="en-GB"/>
        </w:rPr>
        <w:t>,</w:t>
      </w:r>
      <w:r w:rsidRPr="00FB4EFA">
        <w:rPr>
          <w:rFonts w:eastAsia="TimesNewRomanPSMT" w:cs="Charis SIL"/>
          <w:lang w:val="en-GB"/>
        </w:rPr>
        <w:t xml:space="preserve"> </w:t>
      </w:r>
      <w:r w:rsidRPr="00FB4EFA">
        <w:rPr>
          <w:rFonts w:eastAsia="TimesNewRomanPS-ItalicMT" w:cs="Charis SIL"/>
          <w:i/>
          <w:iCs/>
          <w:lang w:val="en-GB"/>
        </w:rPr>
        <w:t>Реликтовые индоевропейские языки Передней и</w:t>
      </w:r>
      <w:r w:rsidRPr="00FB4EFA">
        <w:rPr>
          <w:rFonts w:eastAsia="TimesNewRomanPSMT" w:cs="Charis SIL"/>
          <w:lang w:val="en-GB"/>
        </w:rPr>
        <w:t xml:space="preserve"> </w:t>
      </w:r>
      <w:r w:rsidRPr="00FB4EFA">
        <w:rPr>
          <w:rFonts w:eastAsia="TimesNewRomanPS-ItalicMT" w:cs="Charis SIL"/>
          <w:i/>
          <w:iCs/>
          <w:lang w:val="en-GB"/>
        </w:rPr>
        <w:t>Центральной Азии</w:t>
      </w:r>
      <w:r w:rsidRPr="00FB4EFA">
        <w:rPr>
          <w:rFonts w:eastAsia="TimesNewRomanPS-ItalicMT" w:cs="Charis SIL"/>
          <w:lang w:val="en-GB"/>
        </w:rPr>
        <w:t xml:space="preserve">, </w:t>
      </w:r>
      <w:r w:rsidRPr="00FB4EFA">
        <w:rPr>
          <w:rFonts w:eastAsia="TimesNewRomanPSMT" w:cs="Charis SIL"/>
          <w:lang w:val="en-GB"/>
        </w:rPr>
        <w:t>217–220. Языки мира. Москва: Academia.</w:t>
      </w:r>
    </w:p>
    <w:p w14:paraId="5BA61596" w14:textId="77777777" w:rsidR="00810763" w:rsidRPr="00FB4EFA" w:rsidRDefault="00810763" w:rsidP="00AF0CAD">
      <w:pPr>
        <w:pStyle w:val="Authors"/>
        <w:spacing w:line="259" w:lineRule="auto"/>
        <w:rPr>
          <w:color w:val="auto"/>
        </w:rPr>
        <w:sectPr w:rsidR="00810763" w:rsidRPr="00FB4EFA" w:rsidSect="00A47F9A">
          <w:footnotePr>
            <w:numRestart w:val="eachSect"/>
          </w:footnotePr>
          <w:pgSz w:w="9180" w:h="13302"/>
          <w:pgMar w:top="779" w:right="1133" w:bottom="1132" w:left="1133" w:header="744" w:footer="720" w:gutter="0"/>
          <w:cols w:space="720"/>
          <w:titlePg/>
        </w:sectPr>
      </w:pPr>
    </w:p>
    <w:p w14:paraId="6D19CD0E" w14:textId="4ECC2E41" w:rsidR="00A96E85" w:rsidRPr="00FB4EFA" w:rsidRDefault="00A96E85" w:rsidP="00AF0CAD">
      <w:pPr>
        <w:pStyle w:val="Authors"/>
        <w:spacing w:line="259" w:lineRule="auto"/>
        <w:rPr>
          <w:color w:val="auto"/>
        </w:rPr>
      </w:pPr>
      <w:r w:rsidRPr="00FB4EFA">
        <w:rPr>
          <w:color w:val="auto"/>
        </w:rPr>
        <w:lastRenderedPageBreak/>
        <w:t>Markus Juutinen</w:t>
      </w:r>
    </w:p>
    <w:p w14:paraId="11DC804F" w14:textId="77777777" w:rsidR="00A96E85" w:rsidRPr="00FB4EFA" w:rsidRDefault="00A96E85" w:rsidP="00402EF4">
      <w:pPr>
        <w:rPr>
          <w:lang w:val="en-GB"/>
        </w:rPr>
      </w:pPr>
    </w:p>
    <w:p w14:paraId="533311AB" w14:textId="1EA35CEB" w:rsidR="00A96E85" w:rsidRPr="00FB4EFA" w:rsidRDefault="00A96E85" w:rsidP="00994E2A">
      <w:pPr>
        <w:pStyle w:val="Heading1"/>
        <w:suppressAutoHyphens/>
        <w:spacing w:line="259" w:lineRule="auto"/>
        <w:rPr>
          <w:color w:val="auto"/>
          <w:lang w:val="fi-FI"/>
        </w:rPr>
      </w:pPr>
      <w:bookmarkStart w:id="69" w:name="_Ref90999619"/>
      <w:bookmarkEnd w:id="66"/>
      <w:r w:rsidRPr="00FB4EFA">
        <w:rPr>
          <w:color w:val="auto"/>
          <w:lang w:val="fi-FI"/>
        </w:rPr>
        <w:t>Itäisten saamelaiskielten helmeä merkitsevien sanojen alkuperäkysymys</w:t>
      </w:r>
      <w:bookmarkEnd w:id="69"/>
    </w:p>
    <w:p w14:paraId="79DF42DE" w14:textId="46185498" w:rsidR="00BD1739" w:rsidRPr="00FB4EFA" w:rsidRDefault="00BD1739" w:rsidP="00545033">
      <w:pPr>
        <w:pStyle w:val="Heading2"/>
        <w:numPr>
          <w:ilvl w:val="0"/>
          <w:numId w:val="11"/>
        </w:numPr>
        <w:suppressAutoHyphens/>
        <w:spacing w:line="259" w:lineRule="auto"/>
        <w:rPr>
          <w:color w:val="auto"/>
          <w:lang w:val="fi-FI"/>
        </w:rPr>
      </w:pPr>
      <w:r w:rsidRPr="00FB4EFA">
        <w:rPr>
          <w:color w:val="auto"/>
          <w:lang w:val="fi-FI"/>
        </w:rPr>
        <w:t>Johdanto</w:t>
      </w:r>
    </w:p>
    <w:p w14:paraId="0A04BEEF" w14:textId="77777777" w:rsidR="000121EA" w:rsidRPr="00FB4EFA" w:rsidRDefault="006B5BDA" w:rsidP="00402EF4">
      <w:pPr>
        <w:rPr>
          <w:lang w:val="fi-FI"/>
        </w:rPr>
      </w:pPr>
      <w:r w:rsidRPr="00FB4EFA">
        <w:rPr>
          <w:lang w:val="fi-FI"/>
        </w:rPr>
        <w:t>Jo varhain luonnonhelmet sekä niitä mukailevat lasiset ja posliiniset helmet olivat haluttua kauppatavaraa niiden harvinaisuuden ja kauneuden takia. Helmiä käytettiin esimerkiksi vaatteiden koristeluun sekä koruihin. Helmikaupan kauppareitit olivat usein tuhansia kilometrejä pitkiä, mistä todistavat Alaskasta löytyneet 1400-luvulla Venetsiassa valmistetut lasihelmet (Lunz &amp; Mils 2021) sekä Tanskasta löydetyt myöhäispronssikautiset lasihelmet, jotka oli valmistettu Egyptissä ja Mesopotamiassa (Varberg, Gratuze &amp; Kaul 2014). Sen lisäksi että Euroopan pohjoisosiin kaupattiin lasisia helmiä myös Suomessa (esim. Vesterinen 1983) ja sen lähialueilla (esim. Strack 2015) pyydettiin helmiä, joita myytiin etelään.</w:t>
      </w:r>
    </w:p>
    <w:p w14:paraId="4DB58417" w14:textId="24DA5505" w:rsidR="000121EA" w:rsidRPr="00FB4EFA" w:rsidRDefault="006B5BDA" w:rsidP="00AF0CAD">
      <w:pPr>
        <w:ind w:firstLine="720"/>
        <w:rPr>
          <w:rFonts w:eastAsia="Times New Roman" w:cs="Charis SIL"/>
          <w:lang w:val="fi-FI"/>
        </w:rPr>
      </w:pPr>
      <w:r w:rsidRPr="00FB4EFA">
        <w:rPr>
          <w:rFonts w:eastAsia="Times New Roman" w:cs="Charis SIL"/>
          <w:lang w:val="fi-FI"/>
        </w:rPr>
        <w:t xml:space="preserve">Ennen kuin raakut eli jokihelmisimpukat uhanalaistuivat, myös Pohjois-Lapissa sijaitsi useita hyviä helmijokia, esim. Kaarasjoki, </w:t>
      </w:r>
      <w:r w:rsidR="00153BA0" w:rsidRPr="00FB4EFA">
        <w:rPr>
          <w:rFonts w:eastAsia="Times New Roman" w:cs="Charis SIL"/>
          <w:lang w:val="fi-FI"/>
        </w:rPr>
        <w:br/>
      </w:r>
      <w:r w:rsidRPr="00FB4EFA">
        <w:rPr>
          <w:rFonts w:eastAsia="Times New Roman" w:cs="Charis SIL"/>
          <w:lang w:val="fi-FI"/>
        </w:rPr>
        <w:t xml:space="preserve">Inarijoki, Näätämöjoki, Uutuanjoki sekä Luttojoki. Erityisesti kolttasaamelaisilta mutta vähemmässä määrin myös inarinsaamelaisilta on säilynyt tietoa helmenpyynnistä. Osa Suonikylän kolttasaamelaisista pyysi helmiä vielä 1900-luvun alussa. Helmenpyynti oli kaikille sitä </w:t>
      </w:r>
      <w:r w:rsidR="00D17301" w:rsidRPr="00FB4EFA">
        <w:rPr>
          <w:rFonts w:eastAsia="Times New Roman" w:cs="Charis SIL"/>
          <w:lang w:val="fi-FI"/>
        </w:rPr>
        <w:t>harjoittaneille</w:t>
      </w:r>
      <w:r w:rsidRPr="00FB4EFA">
        <w:rPr>
          <w:rFonts w:eastAsia="Times New Roman" w:cs="Charis SIL"/>
          <w:lang w:val="fi-FI"/>
        </w:rPr>
        <w:t xml:space="preserve"> saamelaisille vain sivuelinkeino, jota harjoitettiin pääelinkeinojen kuten poronhoidon ja kalastuksen salliessa. Varhaisimmat kirjalliset maininnat Pohjois-Lapin helmenpyynnistä sijoittuvat 1600-luvun alkuun ja koskevat verotusta. Verottajan lisäksi oman osansa Lapin helmisaaliista veivät suomalaiset, venäläiset sekä erityisesti karjalaiset helmenpyytäjät, jotka pyrkivät säännöllisesti saamelaisten alueille hyvien helmisaaliiden toivossa. Tästä huolimatta saamelaisten ja karjalaisten välillä oli ilmeisesti myös jonkintasoista yhteistyötä helmien pyynnissä, mihin viittaa se, että ainakin kolttasaamelaiset oppivat karjalaisilta uutta helmenpyyntiteknologiaa, kuten haavin ja lautan käytön. (T. I. Itkonen 1948: I, 588–589</w:t>
      </w:r>
      <w:r w:rsidR="00D17301" w:rsidRPr="00FB4EFA">
        <w:rPr>
          <w:rFonts w:eastAsia="Times New Roman" w:cs="Charis SIL"/>
          <w:lang w:val="fi-FI"/>
        </w:rPr>
        <w:t>.</w:t>
      </w:r>
      <w:r w:rsidRPr="00FB4EFA">
        <w:rPr>
          <w:rFonts w:eastAsia="Times New Roman" w:cs="Charis SIL"/>
          <w:lang w:val="fi-FI"/>
        </w:rPr>
        <w:t>) Vaikka saamelaisten helmenpyynnistä ei ole säilynyt kirjallisia dokumentteja keskiaikaa varhaisemmalta ajalta, varhaisesta helmenpyyn</w:t>
      </w:r>
      <w:r w:rsidRPr="00FB4EFA">
        <w:rPr>
          <w:rFonts w:eastAsia="Times New Roman" w:cs="Charis SIL"/>
          <w:lang w:val="fi-FI"/>
        </w:rPr>
        <w:lastRenderedPageBreak/>
        <w:t xml:space="preserve">nistä saattaa kuitenkin kieliä turjansaamea lukuun ottamatta kaikissa saamelaiskielissä esiintyvä simpukkaa merkitsevä sana, esim. koltansaamen </w:t>
      </w:r>
      <w:r w:rsidRPr="00FB4EFA">
        <w:rPr>
          <w:rFonts w:eastAsia="Times New Roman" w:cs="Charis SIL"/>
          <w:i/>
          <w:iCs/>
          <w:lang w:val="fi-FI"/>
        </w:rPr>
        <w:t>skälǯǯ</w:t>
      </w:r>
      <w:r w:rsidRPr="00FB4EFA">
        <w:rPr>
          <w:rFonts w:eastAsia="Times New Roman" w:cs="Charis SIL"/>
          <w:lang w:val="fi-FI"/>
        </w:rPr>
        <w:t xml:space="preserve"> &lt;</w:t>
      </w:r>
      <w:r w:rsidR="00F71FC9" w:rsidRPr="00FB4EFA">
        <w:rPr>
          <w:rFonts w:eastAsia="Times New Roman" w:cs="Charis SIL"/>
          <w:lang w:val="fi-FI"/>
        </w:rPr>
        <w:t> </w:t>
      </w:r>
      <w:r w:rsidRPr="00FB4EFA">
        <w:rPr>
          <w:rFonts w:eastAsia="Times New Roman" w:cs="Charis SIL"/>
          <w:lang w:val="fi-FI"/>
        </w:rPr>
        <w:t>*</w:t>
      </w:r>
      <w:r w:rsidRPr="00FB4EFA">
        <w:rPr>
          <w:rFonts w:eastAsia="Times New Roman" w:cs="Charis SIL"/>
          <w:i/>
          <w:iCs/>
          <w:lang w:val="fi-FI"/>
        </w:rPr>
        <w:t>sk</w:t>
      </w:r>
      <w:r w:rsidR="00DA2495" w:rsidRPr="00FB4EFA">
        <w:rPr>
          <w:rFonts w:eastAsia="Times New Roman" w:cs="Charis SIL"/>
          <w:i/>
          <w:iCs/>
          <w:lang w:val="fi-FI"/>
        </w:rPr>
        <w:t>ā</w:t>
      </w:r>
      <w:r w:rsidRPr="00FB4EFA">
        <w:rPr>
          <w:rFonts w:eastAsia="Times New Roman" w:cs="Charis SIL"/>
          <w:i/>
          <w:iCs/>
          <w:lang w:val="fi-FI"/>
        </w:rPr>
        <w:t>l</w:t>
      </w:r>
      <w:r w:rsidR="00614E7B" w:rsidRPr="00FB4EFA">
        <w:rPr>
          <w:rFonts w:eastAsia="Times New Roman" w:cs="Charis SIL"/>
          <w:i/>
          <w:iCs/>
          <w:lang w:val="fi-FI"/>
        </w:rPr>
        <w:t>č</w:t>
      </w:r>
      <w:r w:rsidR="002A2126" w:rsidRPr="00FB4EFA">
        <w:rPr>
          <w:rFonts w:eastAsia="Times New Roman" w:cs="Charis SIL"/>
          <w:i/>
          <w:iCs/>
          <w:lang w:val="fi-FI"/>
        </w:rPr>
        <w:t>ō</w:t>
      </w:r>
      <w:r w:rsidRPr="00FB4EFA">
        <w:rPr>
          <w:rFonts w:eastAsia="Times New Roman" w:cs="Charis SIL"/>
          <w:lang w:val="fi-FI"/>
        </w:rPr>
        <w:t>, joka on lainattu kantaskandinaavin sanasta *</w:t>
      </w:r>
      <w:r w:rsidRPr="00FB4EFA">
        <w:rPr>
          <w:rFonts w:eastAsia="Times New Roman" w:cs="Charis SIL"/>
          <w:i/>
          <w:iCs/>
          <w:lang w:val="fi-FI"/>
        </w:rPr>
        <w:t>skalj</w:t>
      </w:r>
      <w:r w:rsidR="002A2126" w:rsidRPr="00FB4EFA">
        <w:rPr>
          <w:rFonts w:eastAsia="Times New Roman" w:cs="Charis SIL"/>
          <w:i/>
          <w:iCs/>
          <w:lang w:val="fi-FI"/>
        </w:rPr>
        <w:t>ō</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(Aikio 2012: 77–79).</w:t>
      </w:r>
    </w:p>
    <w:p w14:paraId="54252049" w14:textId="741EEAEC" w:rsidR="006B5BDA" w:rsidRPr="00FB4EFA" w:rsidRDefault="006B5BDA" w:rsidP="00402EF4">
      <w:pPr>
        <w:ind w:firstLine="720"/>
        <w:rPr>
          <w:lang w:val="fi-FI"/>
        </w:rPr>
      </w:pPr>
      <w:r w:rsidRPr="00FB4EFA">
        <w:rPr>
          <w:rFonts w:eastAsia="Times New Roman" w:cs="Charis SIL"/>
          <w:lang w:val="fi-FI"/>
        </w:rPr>
        <w:t>Kolttasaamelaiset ovat saamelaisten joukossa tunnettuja helmikirjailluista käsitöistänsä, kuten vöistä, laukuista sekä päähineistä. Käsitöissä ei kuitenkaan ole käytetty luonnonhelmiä, vaan pyydetyt helmet joko myytiin kauppiaille tai lahjoitettiin Petsamon luostarille. Tämä on ymmärrettävää, sillä hyvälaatuiset luonnonhelmet ovat erittäin arvokkaita ja helmistä saatuja varoja voitiin käyttää käyttöesineiden sekä ruoka-aineiden, kuten jauhojen ostamiseen. Tiedetään kuitenkin, että joskus huonompilaatuisia helmiä, joilla ei ollut myyntiarvoa, vietiin ulkopuolisille korusepille, jotka istuttivat niitä sormuksiin. Kolttasaamelaiset käyttivät ja käyttävät yhä käsitöissä luonnonhelmien sijaan ostettuja helmiä, jotka valmistettiin ennen lasista tai posliinista ja nykyisin muovista. (T. I. Itkonen</w:t>
      </w:r>
      <w:r w:rsidR="00F71FC9" w:rsidRPr="00FB4EFA">
        <w:rPr>
          <w:rFonts w:eastAsia="Times New Roman" w:cs="Charis SIL"/>
          <w:lang w:val="fi-FI"/>
        </w:rPr>
        <w:t xml:space="preserve"> </w:t>
      </w:r>
      <w:r w:rsidRPr="00FB4EFA">
        <w:rPr>
          <w:rFonts w:eastAsia="Times New Roman" w:cs="Charis SIL"/>
          <w:lang w:val="fi-FI"/>
        </w:rPr>
        <w:t xml:space="preserve">1948: I, 361, 365, 368, 507, 533; Keltikangas 1977: </w:t>
      </w:r>
      <w:r w:rsidR="00F71FC9" w:rsidRPr="00FB4EFA">
        <w:rPr>
          <w:rFonts w:eastAsia="Times New Roman" w:cs="Charis SIL"/>
          <w:lang w:val="fi-FI"/>
        </w:rPr>
        <w:br/>
      </w:r>
      <w:r w:rsidRPr="00FB4EFA">
        <w:rPr>
          <w:rFonts w:eastAsia="Times New Roman" w:cs="Charis SIL"/>
          <w:lang w:val="fi-FI"/>
        </w:rPr>
        <w:t>86–87, 93–94; Storå 1993: 281; Veersalu 2006a: 54–55; Veersalu 2006b: 63–65).</w:t>
      </w:r>
    </w:p>
    <w:p w14:paraId="2F547393" w14:textId="77777777" w:rsidR="006B5BDA" w:rsidRPr="00FB4EFA" w:rsidRDefault="006B5BDA" w:rsidP="00402EF4">
      <w:pPr>
        <w:ind w:firstLine="720"/>
        <w:rPr>
          <w:lang w:val="fi-FI"/>
        </w:rPr>
      </w:pPr>
      <w:r w:rsidRPr="00FB4EFA">
        <w:rPr>
          <w:rFonts w:eastAsia="Times New Roman" w:cs="Charis SIL"/>
          <w:lang w:val="fi-FI"/>
        </w:rPr>
        <w:t>Tässä artikkelissa tarkastelen itäisissä saamelaiskielissä tavattavia ’luonnonhelmeä’ sekä ’lasista tai posliinista helmeä’ merkitsevien sanojen alkuperää. Pyrin selvittämään sanojen äänteellisten seikkojen avulla, mistä lainalähteestä helmeä merkitseviä sanoja on lainattu itäisiin saamelaiskieliin.</w:t>
      </w:r>
    </w:p>
    <w:p w14:paraId="55E2AD30" w14:textId="3DAB7910" w:rsidR="006B5BDA" w:rsidRPr="00FB4EFA" w:rsidRDefault="006B5BDA" w:rsidP="00B36705">
      <w:pPr>
        <w:pStyle w:val="Heading2"/>
        <w:numPr>
          <w:ilvl w:val="0"/>
          <w:numId w:val="11"/>
        </w:numPr>
        <w:suppressAutoHyphens/>
        <w:spacing w:line="259" w:lineRule="auto"/>
        <w:rPr>
          <w:color w:val="auto"/>
          <w:lang w:val="fi-FI"/>
        </w:rPr>
      </w:pPr>
      <w:r w:rsidRPr="00FB4EFA">
        <w:rPr>
          <w:color w:val="auto"/>
          <w:lang w:val="fi-FI"/>
        </w:rPr>
        <w:t>Itäisten saamelaiskielten ’luonnonhelmeä’ merkitsevän sanan alkuperä</w:t>
      </w:r>
    </w:p>
    <w:p w14:paraId="5CE493F9" w14:textId="77777777" w:rsidR="000121EA" w:rsidRPr="00FB4EFA" w:rsidRDefault="006B5BDA" w:rsidP="00402EF4">
      <w:pPr>
        <w:rPr>
          <w:rFonts w:eastAsia="Times New Roman" w:cs="Charis SIL"/>
          <w:lang w:val="fi-FI"/>
        </w:rPr>
      </w:pPr>
      <w:r w:rsidRPr="00FB4EFA">
        <w:rPr>
          <w:rFonts w:eastAsia="Times New Roman" w:cs="Charis SIL"/>
          <w:iCs/>
          <w:lang w:val="fi-FI"/>
        </w:rPr>
        <w:t xml:space="preserve">Itäisissä saamelaiskielissä esiintyy ainoastaan yksi sana, joka merkitsee yksinomaan ’helmisimpukan helmeä’ eikä yleisesti ’helmeä’ tai ’lasista tai posliinista helmeä’. Sanan levikki ulottuu </w:t>
      </w:r>
      <w:r w:rsidRPr="00FB4EFA">
        <w:rPr>
          <w:rFonts w:eastAsia="Times New Roman" w:cs="Charis SIL"/>
          <w:lang w:val="fi-FI"/>
        </w:rPr>
        <w:t>pohjoissaamen itämurteista turjansaameen asti. Se merkitsee kaikkialla muualla ’helmisimpukan helmeä’ paitsi turjansaamessa, jossa se merkitsee ’simpukan kuorta’.</w:t>
      </w:r>
    </w:p>
    <w:p w14:paraId="4569B856" w14:textId="33519617" w:rsidR="006B5BDA" w:rsidRPr="00FB4EFA" w:rsidRDefault="006B5BDA" w:rsidP="00AF0CAD">
      <w:pPr>
        <w:ind w:firstLine="720"/>
        <w:rPr>
          <w:lang w:val="fi-FI"/>
        </w:rPr>
      </w:pPr>
      <w:r w:rsidRPr="00FB4EFA">
        <w:rPr>
          <w:rFonts w:eastAsia="Times New Roman" w:cs="Charis SIL"/>
          <w:lang w:val="fi-FI"/>
        </w:rPr>
        <w:t xml:space="preserve">Sana esiintyy sekä Leemin (1768: 1165) että Friisin (1887: 619) sanakirjoissa asussa </w:t>
      </w:r>
      <w:r w:rsidRPr="00FB4EFA">
        <w:rPr>
          <w:rFonts w:eastAsia="Times New Roman" w:cs="Charis SIL"/>
          <w:i/>
          <w:iCs/>
          <w:lang w:val="fi-FI"/>
        </w:rPr>
        <w:t>simsik</w:t>
      </w:r>
      <w:r w:rsidRPr="00FB4EFA">
        <w:rPr>
          <w:rFonts w:eastAsia="Times New Roman" w:cs="Charis SIL"/>
          <w:lang w:val="fi-FI"/>
        </w:rPr>
        <w:t>. Leemin sanakirjan ytimenä on itäruijalaisiin murteisiin kuuluva Porsanginvuonon tunturimurre, mihin perustuu myös hänen kielioppinsa (Korhonen 1981: 56). Friisin sanakirja edustaa pää</w:t>
      </w:r>
      <w:r w:rsidRPr="00FB4EFA">
        <w:rPr>
          <w:rFonts w:eastAsia="Times New Roman" w:cs="Charis SIL"/>
          <w:lang w:val="fi-FI"/>
        </w:rPr>
        <w:lastRenderedPageBreak/>
        <w:t xml:space="preserve">osin pohjoista norjansaamea eli ruijansaamea, mutta sisältää aineistoa myös ruotsin- ja venäjänsaamesta sekä eteläisestä norjansaamesta. Kun sanan </w:t>
      </w:r>
      <w:r w:rsidRPr="00FB4EFA">
        <w:rPr>
          <w:rFonts w:eastAsia="Times New Roman" w:cs="Charis SIL"/>
          <w:i/>
          <w:iCs/>
          <w:lang w:val="fi-FI"/>
        </w:rPr>
        <w:t>simsik</w:t>
      </w:r>
      <w:r w:rsidRPr="00FB4EFA">
        <w:rPr>
          <w:rFonts w:eastAsia="Times New Roman" w:cs="Charis SIL"/>
          <w:lang w:val="fi-FI"/>
        </w:rPr>
        <w:t xml:space="preserve"> kielimuotoa ei ilmoiteta, sen voi olettaa edustavan ruijansaamea. On myös mahdollista, että Friisin sanakirjaan sana on päätynyt Leemiltä, sillä Friis on kerännyt sanakirjaansa aineistoa myös muista sanakirjoista. Nykypohjoissaamen sanakirjoista sana </w:t>
      </w:r>
      <w:r w:rsidRPr="00FB4EFA">
        <w:rPr>
          <w:rFonts w:eastAsia="Times New Roman" w:cs="Charis SIL"/>
          <w:i/>
          <w:iCs/>
          <w:lang w:val="fi-FI"/>
        </w:rPr>
        <w:t>simssat</w:t>
      </w:r>
      <w:r w:rsidRPr="00FB4EFA">
        <w:rPr>
          <w:rFonts w:eastAsia="Times New Roman" w:cs="Charis SIL"/>
          <w:lang w:val="fi-FI"/>
        </w:rPr>
        <w:t xml:space="preserve"> esiintyy ainoastaan Sammallahden sanakirjassa (PSS), jonka mukaan sana tavataan vain ruijansaamen itämurteissa. Sana on nykyisin siinä määrin harvinaistunut, että haastattelemani ruijansaamen itämurteen puhujat eivät tunne kyseistä sanaa</w:t>
      </w:r>
      <w:r w:rsidRPr="00FB4EFA">
        <w:rPr>
          <w:rFonts w:eastAsia="Times New Roman" w:cs="Charis SIL"/>
          <w:vertAlign w:val="superscript"/>
          <w:lang w:val="fi-FI"/>
        </w:rPr>
        <w:footnoteReference w:id="71"/>
      </w:r>
      <w:r w:rsidRPr="00FB4EFA">
        <w:rPr>
          <w:rFonts w:eastAsia="Times New Roman" w:cs="Charis SIL"/>
          <w:lang w:val="fi-FI"/>
        </w:rPr>
        <w:t xml:space="preserve">. Inarinsaamen itämurteissa sana esiintyy muodossa </w:t>
      </w:r>
      <w:r w:rsidRPr="00FB4EFA">
        <w:rPr>
          <w:rFonts w:eastAsia="Times New Roman" w:cs="Charis SIL"/>
          <w:i/>
          <w:lang w:val="fi-FI"/>
        </w:rPr>
        <w:t>tsi͔m̄₍t̀sɒ̑h</w:t>
      </w:r>
      <w:r w:rsidRPr="00FB4EFA">
        <w:rPr>
          <w:rFonts w:eastAsia="Times New Roman" w:cs="Charis SIL"/>
          <w:lang w:val="fi-FI"/>
        </w:rPr>
        <w:t xml:space="preserve"> (InLpW: 227), josta se on otettu käyttöön myös inarinsaamen yleiskieleen muodossa </w:t>
      </w:r>
      <w:r w:rsidRPr="00FB4EFA">
        <w:rPr>
          <w:rFonts w:eastAsia="Times New Roman" w:cs="Charis SIL"/>
          <w:i/>
          <w:lang w:val="fi-FI"/>
        </w:rPr>
        <w:t>cimccâh</w:t>
      </w:r>
      <w:r w:rsidRPr="00FB4EFA">
        <w:rPr>
          <w:rFonts w:eastAsia="Times New Roman" w:cs="Charis SIL"/>
          <w:lang w:val="fi-FI"/>
        </w:rPr>
        <w:t xml:space="preserve">. Koltansaamessa sana esiintyy kirjakielen muodon </w:t>
      </w:r>
      <w:r w:rsidRPr="00FB4EFA">
        <w:rPr>
          <w:rFonts w:eastAsia="Times New Roman" w:cs="Charis SIL"/>
          <w:i/>
          <w:iCs/>
          <w:lang w:val="fi-FI"/>
        </w:rPr>
        <w:t>ciimciǩ</w:t>
      </w:r>
      <w:r w:rsidRPr="00FB4EFA">
        <w:rPr>
          <w:rFonts w:eastAsia="Times New Roman" w:cs="Charis SIL"/>
          <w:lang w:val="fi-FI"/>
        </w:rPr>
        <w:t xml:space="preserve"> lisäksi myös Paatsjoen (</w:t>
      </w:r>
      <w:r w:rsidRPr="00FB4EFA">
        <w:rPr>
          <w:rFonts w:eastAsia="Times New Roman" w:cs="Charis SIL"/>
          <w:i/>
          <w:lang w:val="fi-FI"/>
        </w:rPr>
        <w:t>ᴢì̬ntsi̬ᵓḱ͕</w:t>
      </w:r>
      <w:r w:rsidRPr="00FB4EFA">
        <w:rPr>
          <w:rFonts w:eastAsia="Times New Roman" w:cs="Charis SIL"/>
          <w:lang w:val="fi-FI"/>
        </w:rPr>
        <w:t>), Suonikylän (</w:t>
      </w:r>
      <w:r w:rsidRPr="00FB4EFA">
        <w:rPr>
          <w:rFonts w:eastAsia="Times New Roman" w:cs="Charis SIL"/>
          <w:i/>
          <w:lang w:val="fi-FI"/>
        </w:rPr>
        <w:t>zī̬mtsėᵓḱ͕</w:t>
      </w:r>
      <w:r w:rsidRPr="00FB4EFA">
        <w:rPr>
          <w:rFonts w:eastAsia="Times New Roman" w:cs="Charis SIL"/>
          <w:lang w:val="fi-FI"/>
        </w:rPr>
        <w:t xml:space="preserve"> ja </w:t>
      </w:r>
      <w:r w:rsidRPr="00FB4EFA">
        <w:rPr>
          <w:rFonts w:eastAsia="Times New Roman" w:cs="Charis SIL"/>
          <w:i/>
          <w:lang w:val="fi-FI"/>
        </w:rPr>
        <w:t>sī̬mtsėᵓḱ͕</w:t>
      </w:r>
      <w:r w:rsidRPr="00FB4EFA">
        <w:rPr>
          <w:rFonts w:eastAsia="Times New Roman" w:cs="Charis SIL"/>
          <w:lang w:val="fi-FI"/>
        </w:rPr>
        <w:t>) sekä Nuortijärven murteissa (</w:t>
      </w:r>
      <w:r w:rsidRPr="00FB4EFA">
        <w:rPr>
          <w:rFonts w:eastAsia="Times New Roman" w:cs="Charis SIL"/>
          <w:i/>
          <w:lang w:val="fi-FI"/>
        </w:rPr>
        <w:t>sė̄mtsėᵓḱ͕</w:t>
      </w:r>
      <w:r w:rsidRPr="00FB4EFA">
        <w:rPr>
          <w:rFonts w:eastAsia="Times New Roman" w:cs="Charis SIL"/>
          <w:lang w:val="fi-FI"/>
        </w:rPr>
        <w:t xml:space="preserve">) (KKLS: 540). Kiltinänsaamesta T. I. Itkonen tallensi sanan muodoissa </w:t>
      </w:r>
      <w:r w:rsidRPr="00FB4EFA">
        <w:rPr>
          <w:rFonts w:eastAsia="Times New Roman" w:cs="Charis SIL"/>
          <w:i/>
          <w:lang w:val="fi-FI"/>
        </w:rPr>
        <w:t>zèmᵈ́t́š́ėχ͕</w:t>
      </w:r>
      <w:r w:rsidRPr="00FB4EFA">
        <w:rPr>
          <w:rFonts w:eastAsia="Times New Roman" w:cs="Charis SIL"/>
          <w:iCs/>
          <w:lang w:val="fi-FI"/>
        </w:rPr>
        <w:t>,</w:t>
      </w:r>
      <w:r w:rsidRPr="00FB4EFA">
        <w:rPr>
          <w:rFonts w:eastAsia="Times New Roman" w:cs="Charis SIL"/>
          <w:lang w:val="fi-FI"/>
        </w:rPr>
        <w:t xml:space="preserve"> </w:t>
      </w:r>
      <w:r w:rsidRPr="00FB4EFA">
        <w:rPr>
          <w:rFonts w:eastAsia="Times New Roman" w:cs="Charis SIL"/>
          <w:i/>
          <w:lang w:val="fi-FI"/>
        </w:rPr>
        <w:t>žèmᵈ́t́š́ėχ͕</w:t>
      </w:r>
      <w:r w:rsidRPr="00FB4EFA">
        <w:rPr>
          <w:rFonts w:eastAsia="Times New Roman" w:cs="Charis SIL"/>
          <w:lang w:val="fi-FI"/>
        </w:rPr>
        <w:t>, jonka lisäksi hän antaa sanakirjassaan myös Genetzin tallentaman muodon</w:t>
      </w:r>
      <w:r w:rsidRPr="00FB4EFA">
        <w:rPr>
          <w:rFonts w:eastAsia="Times New Roman" w:cs="Charis SIL"/>
          <w:i/>
          <w:lang w:val="fi-FI"/>
        </w:rPr>
        <w:t xml:space="preserve"> zemčuγ</w:t>
      </w:r>
      <w:r w:rsidRPr="00FB4EFA">
        <w:rPr>
          <w:rFonts w:eastAsia="Times New Roman" w:cs="Charis SIL"/>
          <w:lang w:val="fi-FI"/>
        </w:rPr>
        <w:t xml:space="preserve"> (KKLS: 540). Turjansaamesta sanan on tallentanut ainoastaan Genetz (1891: 878), jonka sanakirjassa sana esiintyy muodossa </w:t>
      </w:r>
      <w:r w:rsidRPr="00FB4EFA">
        <w:rPr>
          <w:rFonts w:eastAsia="Times New Roman" w:cs="Charis SIL"/>
          <w:i/>
          <w:lang w:val="fi-FI"/>
        </w:rPr>
        <w:t xml:space="preserve">ci̊mʒi̊ɵj </w:t>
      </w:r>
      <w:r w:rsidRPr="00FB4EFA">
        <w:rPr>
          <w:rFonts w:eastAsia="Times New Roman" w:cs="Charis SIL"/>
          <w:lang w:val="fi-FI"/>
        </w:rPr>
        <w:t>’simpukan kuori’.</w:t>
      </w:r>
    </w:p>
    <w:p w14:paraId="03D1A246" w14:textId="322C7C59" w:rsidR="006B5BDA" w:rsidRPr="00FB4EFA" w:rsidRDefault="006B5BDA" w:rsidP="00AF0CAD">
      <w:pPr>
        <w:ind w:firstLine="709"/>
        <w:rPr>
          <w:lang w:val="fi-FI"/>
        </w:rPr>
      </w:pPr>
      <w:r w:rsidRPr="00FB4EFA">
        <w:rPr>
          <w:rFonts w:eastAsia="Times New Roman" w:cs="Charis SIL"/>
          <w:lang w:val="fi-FI"/>
        </w:rPr>
        <w:t xml:space="preserve">Ensimmäisenä yllä mainittujen saamen sanojen alkuperää käsitteli Sjögren (1828: 192), joka esitti, että sekä suomen sana </w:t>
      </w:r>
      <w:r w:rsidRPr="00FB4EFA">
        <w:rPr>
          <w:rFonts w:eastAsia="Times New Roman" w:cs="Charis SIL"/>
          <w:i/>
          <w:lang w:val="fi-FI"/>
        </w:rPr>
        <w:t xml:space="preserve">simpukka </w:t>
      </w:r>
      <w:r w:rsidRPr="00FB4EFA">
        <w:rPr>
          <w:rFonts w:eastAsia="Times New Roman" w:cs="Charis SIL"/>
          <w:lang w:val="fi-FI"/>
        </w:rPr>
        <w:t xml:space="preserve">että saamen </w:t>
      </w:r>
      <w:r w:rsidRPr="00FB4EFA">
        <w:rPr>
          <w:rFonts w:eastAsia="Times New Roman" w:cs="Charis SIL"/>
          <w:i/>
          <w:lang w:val="fi-FI"/>
        </w:rPr>
        <w:t xml:space="preserve">simsak </w:t>
      </w:r>
      <w:r w:rsidRPr="00FB4EFA">
        <w:rPr>
          <w:rFonts w:eastAsia="Times New Roman" w:cs="Charis SIL"/>
          <w:lang w:val="fi-FI"/>
        </w:rPr>
        <w:t xml:space="preserve">~ </w:t>
      </w:r>
      <w:r w:rsidRPr="00FB4EFA">
        <w:rPr>
          <w:rFonts w:eastAsia="Times New Roman" w:cs="Charis SIL"/>
          <w:i/>
          <w:lang w:val="fi-FI"/>
        </w:rPr>
        <w:t>simsik</w:t>
      </w:r>
      <w:r w:rsidRPr="00FB4EFA">
        <w:rPr>
          <w:rFonts w:eastAsia="Times New Roman" w:cs="Charis SIL"/>
          <w:lang w:val="fi-FI"/>
        </w:rPr>
        <w:t xml:space="preserve"> olisi lainattu venäjän sanasta </w:t>
      </w:r>
      <w:r w:rsidRPr="00FB4EFA">
        <w:rPr>
          <w:rFonts w:eastAsia="Times New Roman" w:cs="Charis SIL"/>
          <w:i/>
          <w:lang w:val="fi-FI"/>
        </w:rPr>
        <w:t xml:space="preserve">же́мчуг </w:t>
      </w:r>
      <w:r w:rsidRPr="00FB4EFA">
        <w:rPr>
          <w:rFonts w:eastAsia="Times New Roman" w:cs="Charis SIL"/>
          <w:lang w:val="fi-FI"/>
        </w:rPr>
        <w:t xml:space="preserve">’helmet’. Seuraavana saamen sanojen etymologiaa käsitteli lyhyesti Äimä (1919: 276), joka esitti, että inarinsaamen </w:t>
      </w:r>
      <w:r w:rsidRPr="00FB4EFA">
        <w:rPr>
          <w:rFonts w:eastAsia="Times New Roman" w:cs="Charis SIL"/>
          <w:i/>
          <w:lang w:val="fi-FI"/>
        </w:rPr>
        <w:t>tsi͔m̄₍t̀sɒ̑h</w:t>
      </w:r>
      <w:r w:rsidRPr="00FB4EFA">
        <w:rPr>
          <w:rFonts w:eastAsia="Times New Roman" w:cs="Charis SIL"/>
          <w:lang w:val="fi-FI"/>
        </w:rPr>
        <w:t xml:space="preserve"> ja turjansaamen </w:t>
      </w:r>
      <w:r w:rsidRPr="00FB4EFA">
        <w:rPr>
          <w:rFonts w:eastAsia="Times New Roman" w:cs="Charis SIL"/>
          <w:i/>
          <w:lang w:val="fi-FI"/>
        </w:rPr>
        <w:t>ci̊mʒi̊ɵj</w:t>
      </w:r>
      <w:r w:rsidRPr="00FB4EFA">
        <w:rPr>
          <w:rFonts w:eastAsia="Times New Roman" w:cs="Charis SIL"/>
          <w:lang w:val="fi-FI"/>
        </w:rPr>
        <w:t xml:space="preserve"> olisi lainattu karjalan sanasta </w:t>
      </w:r>
      <w:r w:rsidRPr="00FB4EFA">
        <w:rPr>
          <w:rFonts w:eastAsia="Times New Roman" w:cs="Charis SIL"/>
          <w:i/>
          <w:lang w:val="fi-FI"/>
        </w:rPr>
        <w:t xml:space="preserve">zemčuga </w:t>
      </w:r>
      <w:r w:rsidRPr="00FB4EFA">
        <w:rPr>
          <w:rFonts w:eastAsia="Times New Roman" w:cs="Charis SIL"/>
          <w:lang w:val="fi-FI"/>
        </w:rPr>
        <w:t xml:space="preserve">’helmisimpukan helmi’ mutta pohjoissaamen sana </w:t>
      </w:r>
      <w:r w:rsidRPr="00FB4EFA">
        <w:rPr>
          <w:rFonts w:eastAsia="Times New Roman" w:cs="Charis SIL"/>
          <w:i/>
          <w:lang w:val="fi-FI"/>
        </w:rPr>
        <w:t>simsik</w:t>
      </w:r>
      <w:r w:rsidRPr="00FB4EFA">
        <w:rPr>
          <w:rFonts w:eastAsia="Times New Roman" w:cs="Charis SIL"/>
          <w:lang w:val="fi-FI"/>
        </w:rPr>
        <w:t xml:space="preserve"> suomen sanasta </w:t>
      </w:r>
      <w:r w:rsidRPr="00FB4EFA">
        <w:rPr>
          <w:rFonts w:eastAsia="Times New Roman" w:cs="Charis SIL"/>
          <w:i/>
          <w:lang w:val="fi-FI"/>
        </w:rPr>
        <w:t xml:space="preserve">simsukka </w:t>
      </w:r>
      <w:r w:rsidRPr="00FB4EFA">
        <w:rPr>
          <w:rFonts w:eastAsia="Times New Roman" w:cs="Charis SIL"/>
          <w:lang w:val="fi-FI"/>
        </w:rPr>
        <w:t xml:space="preserve">~ </w:t>
      </w:r>
      <w:r w:rsidRPr="00FB4EFA">
        <w:rPr>
          <w:rFonts w:eastAsia="Times New Roman" w:cs="Charis SIL"/>
          <w:i/>
          <w:lang w:val="fi-FI"/>
        </w:rPr>
        <w:t>simpsukka</w:t>
      </w:r>
      <w:r w:rsidRPr="00FB4EFA">
        <w:rPr>
          <w:rFonts w:eastAsia="Times New Roman" w:cs="Charis SIL"/>
          <w:lang w:val="fi-FI"/>
        </w:rPr>
        <w:t xml:space="preserve">. Äimä perustelee eri lainalähteitä sananalkuisen konsonantin eroilla. Myös Vilkuna (1980: 144–147) pitää pohjoissaamen sanaa suomesta lainattuna, mutta Storå (1993: 276) huomauttaa, että etymologia on ongelmallinen siitä syystä, että monet helmenpyyntiin ja helmikauppaan liittyvät termit on lainattu venäjästä. T. I. Itkonen (1948: I, 589; 1958: 540) puolestaan esittää, että saamen sanat on lainattu venäjän sanasta </w:t>
      </w:r>
      <w:r w:rsidRPr="00FB4EFA">
        <w:rPr>
          <w:rFonts w:eastAsia="Times New Roman" w:cs="Charis SIL"/>
          <w:i/>
          <w:lang w:val="fi-FI"/>
        </w:rPr>
        <w:t>же́мчуг</w:t>
      </w:r>
      <w:r w:rsidRPr="00FB4EFA">
        <w:rPr>
          <w:rFonts w:eastAsia="Times New Roman" w:cs="Charis SIL"/>
          <w:lang w:val="fi-FI"/>
        </w:rPr>
        <w:t>, mitä ajatusta kannattavat Erkki Itkonen (InLpW: 227) sekä Suomen kielen etymologi</w:t>
      </w:r>
      <w:r w:rsidRPr="00FB4EFA">
        <w:rPr>
          <w:rFonts w:eastAsia="Times New Roman" w:cs="Charis SIL"/>
          <w:lang w:val="fi-FI"/>
        </w:rPr>
        <w:lastRenderedPageBreak/>
        <w:t>nen sanakirja (SKES s.v. simpukka), jossa tosin mainitaan, että sana on voitu lainata saameen osittain karjalan kielen kautta.</w:t>
      </w:r>
    </w:p>
    <w:p w14:paraId="1C4B018B" w14:textId="70407833" w:rsidR="006B5BDA" w:rsidRPr="00FB4EFA" w:rsidRDefault="006B5BDA" w:rsidP="00AF0CAD">
      <w:pPr>
        <w:ind w:firstLine="709"/>
        <w:rPr>
          <w:lang w:val="fi-FI"/>
        </w:rPr>
      </w:pPr>
      <w:r w:rsidRPr="00FB4EFA">
        <w:rPr>
          <w:rFonts w:eastAsia="Times New Roman" w:cs="Charis SIL"/>
          <w:lang w:val="fi-FI"/>
        </w:rPr>
        <w:t xml:space="preserve">Suomessa esiintyy yleiskielisen muodon </w:t>
      </w:r>
      <w:r w:rsidRPr="00FB4EFA">
        <w:rPr>
          <w:rFonts w:eastAsia="Times New Roman" w:cs="Charis SIL"/>
          <w:i/>
          <w:lang w:val="fi-FI"/>
        </w:rPr>
        <w:t>simpukka</w:t>
      </w:r>
      <w:r w:rsidRPr="00FB4EFA">
        <w:rPr>
          <w:rFonts w:eastAsia="Times New Roman" w:cs="Charis SIL"/>
          <w:lang w:val="fi-FI"/>
        </w:rPr>
        <w:t xml:space="preserve"> rinnalla myös murremuoto </w:t>
      </w:r>
      <w:r w:rsidRPr="00FB4EFA">
        <w:rPr>
          <w:rFonts w:eastAsia="Times New Roman" w:cs="Charis SIL"/>
          <w:i/>
          <w:lang w:val="fi-FI"/>
        </w:rPr>
        <w:t>simpsukka</w:t>
      </w:r>
      <w:r w:rsidRPr="00FB4EFA">
        <w:rPr>
          <w:rFonts w:eastAsia="Times New Roman" w:cs="Charis SIL"/>
          <w:lang w:val="fi-FI"/>
        </w:rPr>
        <w:t xml:space="preserve"> ja 1700-luvun asiakirjalähteissä tavataan myös muoto </w:t>
      </w:r>
      <w:r w:rsidRPr="00FB4EFA">
        <w:rPr>
          <w:rFonts w:eastAsia="Times New Roman" w:cs="Charis SIL"/>
          <w:i/>
          <w:lang w:val="fi-FI"/>
        </w:rPr>
        <w:t xml:space="preserve">simsukka </w:t>
      </w:r>
      <w:r w:rsidRPr="00FB4EFA">
        <w:rPr>
          <w:rFonts w:eastAsia="Times New Roman" w:cs="Charis SIL"/>
          <w:iCs/>
          <w:lang w:val="fi-FI"/>
        </w:rPr>
        <w:t>(</w:t>
      </w:r>
      <w:r w:rsidRPr="00FB4EFA">
        <w:rPr>
          <w:rFonts w:eastAsia="Times New Roman" w:cs="Charis SIL"/>
          <w:lang w:val="fi-FI"/>
        </w:rPr>
        <w:t>SKES s.v. simpukka</w:t>
      </w:r>
      <w:r w:rsidRPr="00FB4EFA">
        <w:rPr>
          <w:rFonts w:eastAsia="Times New Roman" w:cs="Charis SIL"/>
          <w:iCs/>
          <w:lang w:val="fi-FI"/>
        </w:rPr>
        <w:t>)</w:t>
      </w:r>
      <w:r w:rsidRPr="00FB4EFA">
        <w:rPr>
          <w:rFonts w:eastAsia="Times New Roman" w:cs="Charis SIL"/>
          <w:lang w:val="fi-FI"/>
        </w:rPr>
        <w:t xml:space="preserve">. Sanan äännekehitys on mennyt seuraavasti: </w:t>
      </w:r>
      <w:r w:rsidRPr="00FB4EFA">
        <w:rPr>
          <w:rFonts w:eastAsia="Times New Roman" w:cs="Charis SIL"/>
          <w:i/>
          <w:lang w:val="fi-FI"/>
        </w:rPr>
        <w:t xml:space="preserve">simsukka </w:t>
      </w:r>
      <w:r w:rsidRPr="00FB4EFA">
        <w:rPr>
          <w:rFonts w:eastAsia="Times New Roman" w:cs="Charis SIL"/>
          <w:lang w:val="fi-FI"/>
        </w:rPr>
        <w:t xml:space="preserve">&gt; </w:t>
      </w:r>
      <w:r w:rsidRPr="00FB4EFA">
        <w:rPr>
          <w:rFonts w:eastAsia="Times New Roman" w:cs="Charis SIL"/>
          <w:i/>
          <w:lang w:val="fi-FI"/>
        </w:rPr>
        <w:t xml:space="preserve">simpsukka </w:t>
      </w:r>
      <w:r w:rsidRPr="00FB4EFA">
        <w:rPr>
          <w:rFonts w:eastAsia="Times New Roman" w:cs="Charis SIL"/>
          <w:lang w:val="fi-FI"/>
        </w:rPr>
        <w:t xml:space="preserve">&gt; </w:t>
      </w:r>
      <w:r w:rsidRPr="00FB4EFA">
        <w:rPr>
          <w:rFonts w:eastAsia="Times New Roman" w:cs="Charis SIL"/>
          <w:i/>
          <w:lang w:val="fi-FI"/>
        </w:rPr>
        <w:t>simpukka</w:t>
      </w:r>
      <w:r w:rsidRPr="00FB4EFA">
        <w:rPr>
          <w:rFonts w:eastAsia="Times New Roman" w:cs="Charis SIL"/>
          <w:iCs/>
          <w:lang w:val="fi-FI"/>
        </w:rPr>
        <w:t xml:space="preserve">, vrt. </w:t>
      </w:r>
      <w:r w:rsidRPr="00FB4EFA">
        <w:rPr>
          <w:rFonts w:eastAsia="Times New Roman" w:cs="Charis SIL"/>
          <w:i/>
          <w:lang w:val="fi-FI"/>
        </w:rPr>
        <w:t xml:space="preserve">limsa </w:t>
      </w:r>
      <w:r w:rsidRPr="00FB4EFA">
        <w:rPr>
          <w:rFonts w:eastAsia="Times New Roman" w:cs="Charis SIL"/>
          <w:iCs/>
          <w:lang w:val="fi-FI"/>
        </w:rPr>
        <w:t xml:space="preserve">&gt; </w:t>
      </w:r>
      <w:r w:rsidRPr="00FB4EFA">
        <w:rPr>
          <w:rFonts w:eastAsia="Times New Roman" w:cs="Charis SIL"/>
          <w:i/>
          <w:lang w:val="fi-FI"/>
        </w:rPr>
        <w:t xml:space="preserve">limpsa </w:t>
      </w:r>
      <w:r w:rsidRPr="00FB4EFA">
        <w:rPr>
          <w:rFonts w:eastAsia="Times New Roman" w:cs="Charis SIL"/>
          <w:iCs/>
          <w:lang w:val="fi-FI"/>
        </w:rPr>
        <w:t xml:space="preserve">&gt; </w:t>
      </w:r>
      <w:r w:rsidRPr="00FB4EFA">
        <w:rPr>
          <w:rFonts w:eastAsia="Times New Roman" w:cs="Charis SIL"/>
          <w:i/>
          <w:lang w:val="fi-FI"/>
        </w:rPr>
        <w:t>limppari</w:t>
      </w:r>
      <w:r w:rsidRPr="00FB4EFA">
        <w:rPr>
          <w:rFonts w:eastAsia="Times New Roman" w:cs="Charis SIL"/>
          <w:lang w:val="fi-FI"/>
        </w:rPr>
        <w:t xml:space="preserve">. Vastaavasti vienankarjalan sanan </w:t>
      </w:r>
      <w:r w:rsidRPr="00FB4EFA">
        <w:rPr>
          <w:rFonts w:eastAsia="Times New Roman" w:cs="Charis SIL"/>
          <w:i/>
          <w:lang w:val="fi-FI"/>
        </w:rPr>
        <w:t>simčukka</w:t>
      </w:r>
      <w:r w:rsidRPr="00FB4EFA">
        <w:rPr>
          <w:rFonts w:eastAsia="Times New Roman" w:cs="Charis SIL"/>
          <w:lang w:val="fi-FI"/>
        </w:rPr>
        <w:t xml:space="preserve"> ~ </w:t>
      </w:r>
      <w:r w:rsidRPr="00FB4EFA">
        <w:rPr>
          <w:rFonts w:eastAsia="Times New Roman" w:cs="Charis SIL"/>
          <w:i/>
          <w:lang w:val="fi-FI"/>
        </w:rPr>
        <w:t xml:space="preserve">simpčukka </w:t>
      </w:r>
      <w:r w:rsidRPr="00FB4EFA">
        <w:rPr>
          <w:rFonts w:eastAsia="Times New Roman" w:cs="Charis SIL"/>
          <w:lang w:val="fi-FI"/>
        </w:rPr>
        <w:t xml:space="preserve">’helmisimpukan helmi, helmisimpukka’ ensimmäistä varianttia täytyy pitää toista vanhempana. Koska suomessa ja karjalassa tapahtuneet äännekehitykset ovat suhteellisen nuoria ja saamelaiskielten sanoissa ei esiinny sanansisäistä klusiilia [p], pidän muotoja </w:t>
      </w:r>
      <w:r w:rsidRPr="00FB4EFA">
        <w:rPr>
          <w:rFonts w:eastAsia="Times New Roman" w:cs="Charis SIL"/>
          <w:i/>
          <w:lang w:val="fi-FI"/>
        </w:rPr>
        <w:t xml:space="preserve">simsukka </w:t>
      </w:r>
      <w:r w:rsidRPr="00FB4EFA">
        <w:rPr>
          <w:rFonts w:eastAsia="Times New Roman" w:cs="Charis SIL"/>
          <w:lang w:val="fi-FI"/>
        </w:rPr>
        <w:t xml:space="preserve">ja </w:t>
      </w:r>
      <w:r w:rsidRPr="00FB4EFA">
        <w:rPr>
          <w:rFonts w:eastAsia="Times New Roman" w:cs="Charis SIL"/>
          <w:i/>
          <w:lang w:val="fi-FI"/>
        </w:rPr>
        <w:t>simčukka</w:t>
      </w:r>
      <w:r w:rsidRPr="00FB4EFA">
        <w:rPr>
          <w:rFonts w:eastAsia="Times New Roman" w:cs="Charis SIL"/>
          <w:lang w:val="fi-FI"/>
        </w:rPr>
        <w:t xml:space="preserve"> tutkittavan etymologian kannalta varteenotettavimpina. On vielä mainittava, että Kainuun murteessa sana </w:t>
      </w:r>
      <w:r w:rsidRPr="00FB4EFA">
        <w:rPr>
          <w:rFonts w:eastAsia="Times New Roman" w:cs="Charis SIL"/>
          <w:i/>
          <w:iCs/>
          <w:lang w:val="fi-FI"/>
        </w:rPr>
        <w:t xml:space="preserve">simsukka </w:t>
      </w:r>
      <w:r w:rsidRPr="00FB4EFA">
        <w:rPr>
          <w:rFonts w:eastAsia="Times New Roman" w:cs="Charis SIL"/>
          <w:lang w:val="fi-FI"/>
        </w:rPr>
        <w:t>merkitsee yleiskielestä ja muista murteista poiketen ’helmeä’ (SKES s.v. simpukka). Kyseinen merkitys on levinnyt Kainuun murteeseen epäilemättä vienankarjalasta, mikä on ymmärrettävää, sillä Kainuun ja Vienankarjalan välillä oli vilkasta liikennettä Suomen itärajan sulkemiseen saakka.</w:t>
      </w:r>
    </w:p>
    <w:p w14:paraId="0486E81F" w14:textId="026E0139" w:rsidR="006B5BDA" w:rsidRPr="00FB4EFA" w:rsidRDefault="006B5BDA" w:rsidP="00AF0CAD">
      <w:pPr>
        <w:ind w:firstLine="709"/>
        <w:rPr>
          <w:lang w:val="fi-FI"/>
        </w:rPr>
      </w:pPr>
      <w:r w:rsidRPr="00FB4EFA">
        <w:rPr>
          <w:rFonts w:eastAsia="Times New Roman" w:cs="Charis SIL"/>
          <w:lang w:val="fi-FI"/>
        </w:rPr>
        <w:t xml:space="preserve">Sekä suomen että karjalan sanat on lainattu venäjän sanan </w:t>
      </w:r>
      <w:r w:rsidRPr="00FB4EFA">
        <w:rPr>
          <w:rFonts w:eastAsia="Times New Roman" w:cs="Charis SIL"/>
          <w:i/>
          <w:lang w:val="fi-FI"/>
        </w:rPr>
        <w:t>же́мчуг</w:t>
      </w:r>
      <w:r w:rsidRPr="00FB4EFA">
        <w:rPr>
          <w:rFonts w:eastAsia="Times New Roman" w:cs="Charis SIL"/>
          <w:iCs/>
          <w:lang w:val="fi-FI"/>
        </w:rPr>
        <w:t xml:space="preserve"> murremuodosta </w:t>
      </w:r>
      <w:r w:rsidRPr="00FB4EFA">
        <w:rPr>
          <w:rFonts w:eastAsia="Times New Roman" w:cs="Charis SIL"/>
          <w:i/>
          <w:lang w:val="fi-FI"/>
        </w:rPr>
        <w:t>жи́мчуг</w:t>
      </w:r>
      <w:r w:rsidRPr="00FB4EFA">
        <w:rPr>
          <w:rFonts w:eastAsia="Times New Roman" w:cs="Charis SIL"/>
          <w:iCs/>
          <w:lang w:val="fi-FI"/>
        </w:rPr>
        <w:t xml:space="preserve"> tai muinaisvenäjän sanasta </w:t>
      </w:r>
      <w:r w:rsidRPr="00FB4EFA">
        <w:rPr>
          <w:rFonts w:eastAsia="Times New Roman" w:cs="Charis SIL"/>
          <w:i/>
          <w:lang w:val="fi-FI"/>
        </w:rPr>
        <w:t>жьнчугъ</w:t>
      </w:r>
      <w:r w:rsidRPr="00FB4EFA">
        <w:rPr>
          <w:rFonts w:eastAsia="Times New Roman" w:cs="Charis SIL"/>
          <w:lang w:val="fi-FI"/>
        </w:rPr>
        <w:t xml:space="preserve"> ’(aidot) helmet’. Sanaa voi hyvin pitää euraasialaisena kulkusanana, sillä venäjään sana on lainattu turkkilaiskielistä, joihin sana päätyi kiinan sanasta </w:t>
      </w:r>
      <w:r w:rsidRPr="00FB4EFA">
        <w:rPr>
          <w:rFonts w:ascii="MS Gothic" w:eastAsia="MS Gothic" w:hAnsi="MS Gothic" w:cs="MS Gothic"/>
          <w:lang w:val="fi-FI"/>
        </w:rPr>
        <w:t>珍珠</w:t>
      </w:r>
      <w:r w:rsidRPr="00FB4EFA">
        <w:rPr>
          <w:rFonts w:cs="Charis SIL"/>
          <w:lang w:val="fi-FI"/>
        </w:rPr>
        <w:t xml:space="preserve"> [</w:t>
      </w:r>
      <w:r w:rsidRPr="00FB4EFA">
        <w:rPr>
          <w:rFonts w:eastAsia="Times New Roman" w:cs="Charis SIL"/>
          <w:iCs/>
          <w:lang w:val="fi-FI"/>
        </w:rPr>
        <w:t>ǯen-ǯu]</w:t>
      </w:r>
      <w:r w:rsidRPr="00FB4EFA">
        <w:rPr>
          <w:rFonts w:eastAsia="Times New Roman" w:cs="Charis SIL"/>
          <w:lang w:val="fi-FI"/>
        </w:rPr>
        <w:t xml:space="preserve"> ’aidot helmet’. Turkkilaiskielistä sana on lainattu edelleen moniin muihin kieliin, esim. marin </w:t>
      </w:r>
      <w:r w:rsidRPr="00FB4EFA">
        <w:rPr>
          <w:rFonts w:eastAsia="Times New Roman" w:cs="Charis SIL"/>
          <w:i/>
          <w:iCs/>
          <w:lang w:val="fi-FI"/>
        </w:rPr>
        <w:t>чинче</w:t>
      </w:r>
      <w:r w:rsidRPr="00FB4EFA">
        <w:rPr>
          <w:rFonts w:eastAsia="Times New Roman" w:cs="Charis SIL"/>
          <w:lang w:val="fi-FI"/>
        </w:rPr>
        <w:t xml:space="preserve"> ’paljetti, helmi (kuvainnollisesti)’ sekä unkarin </w:t>
      </w:r>
      <w:r w:rsidRPr="00FB4EFA">
        <w:rPr>
          <w:rFonts w:eastAsia="Times New Roman" w:cs="Charis SIL"/>
          <w:i/>
          <w:iCs/>
          <w:lang w:val="fi-FI"/>
        </w:rPr>
        <w:t xml:space="preserve">gyöngy </w:t>
      </w:r>
      <w:r w:rsidRPr="00FB4EFA">
        <w:rPr>
          <w:rFonts w:eastAsia="Times New Roman" w:cs="Charis SIL"/>
          <w:lang w:val="fi-FI"/>
        </w:rPr>
        <w:t>’helmi’ (KKS s.v. sim(p)t</w:t>
      </w:r>
      <w:r w:rsidR="00450A10" w:rsidRPr="00FB4EFA">
        <w:rPr>
          <w:rFonts w:eastAsia="Times New Roman" w:cs="Charis SIL"/>
          <w:lang w:val="fi-FI"/>
        </w:rPr>
        <w:t>š</w:t>
      </w:r>
      <w:r w:rsidRPr="00FB4EFA">
        <w:rPr>
          <w:rFonts w:eastAsia="Times New Roman" w:cs="Charis SIL"/>
          <w:lang w:val="fi-FI"/>
        </w:rPr>
        <w:t>ukka; MNyTESz: I, 1134–1135; Plöger 1973: 182–183; SKES s.v. simpukka; SSA s.v. simpukka; Vasmer: I, 418).</w:t>
      </w:r>
    </w:p>
    <w:p w14:paraId="4683B0B2" w14:textId="77777777" w:rsidR="006B5BDA" w:rsidRPr="00FB4EFA" w:rsidRDefault="006B5BDA" w:rsidP="00AF0CAD">
      <w:pPr>
        <w:ind w:firstLine="709"/>
        <w:rPr>
          <w:lang w:val="fi-FI"/>
        </w:rPr>
      </w:pPr>
      <w:r w:rsidRPr="00FB4EFA">
        <w:rPr>
          <w:rFonts w:eastAsia="Times New Roman" w:cs="Charis SIL"/>
          <w:lang w:val="fi-FI"/>
        </w:rPr>
        <w:t xml:space="preserve">Turjansaamen sana </w:t>
      </w:r>
      <w:r w:rsidRPr="00FB4EFA">
        <w:rPr>
          <w:rFonts w:eastAsia="Times New Roman" w:cs="Charis SIL"/>
          <w:i/>
          <w:lang w:val="fi-FI"/>
        </w:rPr>
        <w:t>ci̊mʒi̊ɵj</w:t>
      </w:r>
      <w:r w:rsidRPr="00FB4EFA">
        <w:rPr>
          <w:rFonts w:eastAsia="Times New Roman" w:cs="Charis SIL"/>
          <w:lang w:val="fi-FI"/>
        </w:rPr>
        <w:t xml:space="preserve"> ’simpukan kuori’ vaikuttaa merkityksensä puolesta olevan lainaa itämerensuomalaisista kielistä, sillä venäjän sanalla ei tavata merkitystä ’simpukka’. Muiden saamelaiskielten sanojen lainalähteeksi sopivat merkityksensä puolesta sekä venäjän </w:t>
      </w:r>
      <w:r w:rsidRPr="00FB4EFA">
        <w:rPr>
          <w:rFonts w:eastAsia="Times New Roman" w:cs="Charis SIL"/>
          <w:i/>
          <w:lang w:val="fi-FI"/>
        </w:rPr>
        <w:t xml:space="preserve">же́мчуг </w:t>
      </w:r>
      <w:r w:rsidRPr="00FB4EFA">
        <w:rPr>
          <w:rFonts w:eastAsia="Times New Roman" w:cs="Charis SIL"/>
          <w:lang w:val="fi-FI"/>
        </w:rPr>
        <w:t xml:space="preserve">’helmi’, vienankarjalan </w:t>
      </w:r>
      <w:r w:rsidRPr="00FB4EFA">
        <w:rPr>
          <w:rFonts w:eastAsia="Times New Roman" w:cs="Charis SIL"/>
          <w:i/>
          <w:lang w:val="fi-FI"/>
        </w:rPr>
        <w:t xml:space="preserve">simčukka </w:t>
      </w:r>
      <w:r w:rsidRPr="00FB4EFA">
        <w:rPr>
          <w:rFonts w:eastAsia="Times New Roman" w:cs="Charis SIL"/>
          <w:lang w:val="fi-FI"/>
        </w:rPr>
        <w:t xml:space="preserve">’helmi, helmisimpukka’ että Kainuun murteen </w:t>
      </w:r>
      <w:r w:rsidRPr="00FB4EFA">
        <w:rPr>
          <w:rFonts w:eastAsia="Times New Roman" w:cs="Charis SIL"/>
          <w:i/>
          <w:lang w:val="fi-FI"/>
        </w:rPr>
        <w:t xml:space="preserve">simsukka </w:t>
      </w:r>
      <w:r w:rsidRPr="00FB4EFA">
        <w:rPr>
          <w:rFonts w:eastAsia="Times New Roman" w:cs="Charis SIL"/>
          <w:iCs/>
          <w:lang w:val="fi-FI"/>
        </w:rPr>
        <w:t>’helmi’</w:t>
      </w:r>
      <w:r w:rsidRPr="00FB4EFA">
        <w:rPr>
          <w:rFonts w:eastAsia="Times New Roman" w:cs="Charis SIL"/>
          <w:lang w:val="fi-FI"/>
        </w:rPr>
        <w:t xml:space="preserve">. Viimeisen suhteen ongelmana on kuitenkin se, että ei ole tietoa siitä, että Kainuun murteen puhujia olisi liikkunut Pohjois-Lapissa esimerkiksi helmenpyynnissä tai verottamassa saamelaisia. Sitä vastoin on paljon tietoja siitä, että karjalaisia liikkui alueella ja heillä </w:t>
      </w:r>
      <w:r w:rsidRPr="00FB4EFA">
        <w:rPr>
          <w:rFonts w:eastAsia="Times New Roman" w:cs="Charis SIL"/>
          <w:lang w:val="fi-FI"/>
        </w:rPr>
        <w:lastRenderedPageBreak/>
        <w:t>oli tiiviit suhtee saamelaisten kanssa (T. I. Itkonen 1942; Korhonen 1977).</w:t>
      </w:r>
    </w:p>
    <w:p w14:paraId="451E88C9" w14:textId="4FF11716" w:rsidR="006B5BDA" w:rsidRPr="00FB4EFA" w:rsidRDefault="006B5BDA" w:rsidP="00AF0CAD">
      <w:pPr>
        <w:ind w:firstLine="709"/>
        <w:rPr>
          <w:lang w:val="fi-FI"/>
        </w:rPr>
      </w:pPr>
      <w:r w:rsidRPr="00FB4EFA">
        <w:rPr>
          <w:rFonts w:eastAsia="Times New Roman" w:cs="Charis SIL"/>
          <w:lang w:val="fi-FI"/>
        </w:rPr>
        <w:t xml:space="preserve">Pohjoissaamessa sekä koltansaamen murteissa sanan alussa esiintyy soinniton sibilantti [s]. Kyseinen sibilantti ei viittaa lainautumiseen venäjän sanasta </w:t>
      </w:r>
      <w:r w:rsidRPr="00FB4EFA">
        <w:rPr>
          <w:rFonts w:eastAsia="Times New Roman" w:cs="Charis SIL"/>
          <w:i/>
          <w:lang w:val="fi-FI"/>
        </w:rPr>
        <w:t>же́мчуг</w:t>
      </w:r>
      <w:r w:rsidRPr="00FB4EFA">
        <w:rPr>
          <w:rFonts w:eastAsia="Times New Roman" w:cs="Charis SIL"/>
          <w:lang w:val="fi-FI"/>
        </w:rPr>
        <w:t xml:space="preserve">, sillä venäjän sananalkuinen soinnillinen palato-alveolaarinen sibilantti [ž] on substituoitu koltansaameen soinnillisella postalveolaarisella sibilantilla [ž], kuten koltansaamen sanoissa </w:t>
      </w:r>
      <w:r w:rsidRPr="00FB4EFA">
        <w:rPr>
          <w:rFonts w:eastAsia="Times New Roman" w:cs="Charis SIL"/>
          <w:i/>
          <w:lang w:val="fi-FI"/>
        </w:rPr>
        <w:t xml:space="preserve">žaar </w:t>
      </w:r>
      <w:r w:rsidRPr="00FB4EFA">
        <w:rPr>
          <w:rFonts w:eastAsia="Times New Roman" w:cs="Charis SIL"/>
          <w:lang w:val="fi-FI"/>
        </w:rPr>
        <w:t xml:space="preserve">’kuume, löyly’ (KKLS: 565) &lt; ven. </w:t>
      </w:r>
      <w:r w:rsidRPr="00FB4EFA">
        <w:rPr>
          <w:rFonts w:eastAsia="Times New Roman" w:cs="Charis SIL"/>
          <w:i/>
          <w:lang w:val="fi-FI"/>
        </w:rPr>
        <w:t xml:space="preserve">жар </w:t>
      </w:r>
      <w:r w:rsidR="00D17301" w:rsidRPr="00FB4EFA">
        <w:rPr>
          <w:rFonts w:eastAsia="Times New Roman" w:cs="Charis SIL"/>
          <w:lang w:val="fi-FI"/>
        </w:rPr>
        <w:t>id.</w:t>
      </w:r>
      <w:r w:rsidRPr="00FB4EFA">
        <w:rPr>
          <w:rFonts w:eastAsia="Times New Roman" w:cs="Charis SIL"/>
          <w:lang w:val="fi-FI"/>
        </w:rPr>
        <w:t xml:space="preserve">, </w:t>
      </w:r>
      <w:r w:rsidRPr="00FB4EFA">
        <w:rPr>
          <w:rFonts w:eastAsia="Times New Roman" w:cs="Charis SIL"/>
          <w:i/>
          <w:iCs/>
          <w:lang w:val="fi-FI"/>
        </w:rPr>
        <w:t>žeevai</w:t>
      </w:r>
      <w:r w:rsidRPr="00FB4EFA">
        <w:rPr>
          <w:rFonts w:eastAsia="Times New Roman" w:cs="Charis SIL"/>
          <w:lang w:val="fi-FI"/>
        </w:rPr>
        <w:t xml:space="preserve"> ’eläin’ (KKLS: 565) &lt; ven. </w:t>
      </w:r>
      <w:r w:rsidRPr="00FB4EFA">
        <w:rPr>
          <w:rFonts w:eastAsia="Times New Roman" w:cs="Charis SIL"/>
          <w:i/>
          <w:iCs/>
          <w:lang w:val="fi-FI"/>
        </w:rPr>
        <w:t>живо́й</w:t>
      </w:r>
      <w:r w:rsidRPr="00FB4EFA">
        <w:rPr>
          <w:rFonts w:eastAsia="Times New Roman" w:cs="Charis SIL"/>
          <w:lang w:val="fi-FI"/>
        </w:rPr>
        <w:t xml:space="preserve"> ’elävä’ sekä </w:t>
      </w:r>
      <w:r w:rsidRPr="00FB4EFA">
        <w:rPr>
          <w:rFonts w:eastAsia="Times New Roman" w:cs="Charis SIL"/>
          <w:i/>
          <w:iCs/>
          <w:lang w:val="fi-FI"/>
        </w:rPr>
        <w:t xml:space="preserve">žåålab </w:t>
      </w:r>
      <w:r w:rsidRPr="00FB4EFA">
        <w:rPr>
          <w:rFonts w:eastAsia="Times New Roman" w:cs="Charis SIL"/>
          <w:lang w:val="fi-FI"/>
        </w:rPr>
        <w:t xml:space="preserve">’kouru’ (KKLS: 565) &lt; ven. </w:t>
      </w:r>
      <w:r w:rsidRPr="00FB4EFA">
        <w:rPr>
          <w:rFonts w:eastAsia="Times New Roman" w:cs="Charis SIL"/>
          <w:i/>
          <w:iCs/>
          <w:lang w:val="fi-FI"/>
        </w:rPr>
        <w:t>жёлоб</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ja pohjoissaameen olettaisi soinnitonta sibilanttia [š]. Varteenotettavammiksi lainalähteiksi sopivat itämerensuomalaisten kielten sanat </w:t>
      </w:r>
      <w:r w:rsidRPr="00FB4EFA">
        <w:rPr>
          <w:rFonts w:eastAsia="Times New Roman" w:cs="Charis SIL"/>
          <w:i/>
          <w:iCs/>
          <w:lang w:val="fi-FI"/>
        </w:rPr>
        <w:t xml:space="preserve">simsukka </w:t>
      </w:r>
      <w:r w:rsidRPr="00FB4EFA">
        <w:rPr>
          <w:rFonts w:eastAsia="Times New Roman" w:cs="Charis SIL"/>
          <w:lang w:val="fi-FI"/>
        </w:rPr>
        <w:t xml:space="preserve">sekä </w:t>
      </w:r>
      <w:r w:rsidRPr="00FB4EFA">
        <w:rPr>
          <w:rFonts w:eastAsia="Times New Roman" w:cs="Charis SIL"/>
          <w:i/>
          <w:iCs/>
          <w:lang w:val="fi-FI"/>
        </w:rPr>
        <w:t>simčukka</w:t>
      </w:r>
      <w:r w:rsidRPr="00FB4EFA">
        <w:rPr>
          <w:rFonts w:eastAsia="Times New Roman" w:cs="Charis SIL"/>
          <w:lang w:val="fi-FI"/>
        </w:rPr>
        <w:t xml:space="preserve">. Venäjässä esiintyy myös murremuoto </w:t>
      </w:r>
      <w:r w:rsidRPr="00FB4EFA">
        <w:rPr>
          <w:rFonts w:eastAsia="Times New Roman" w:cs="Charis SIL"/>
          <w:i/>
          <w:lang w:val="fi-FI"/>
        </w:rPr>
        <w:t>зе́мчуг</w:t>
      </w:r>
      <w:r w:rsidRPr="00FB4EFA">
        <w:rPr>
          <w:rFonts w:eastAsia="Times New Roman" w:cs="Charis SIL"/>
          <w:lang w:val="fi-FI"/>
        </w:rPr>
        <w:t xml:space="preserve"> (Vasmer: I, 418), jota tosin ei tavata Kuolan niemimaalla puhuttujen venäjän murteiden sanakirjoissa, mutta sen esiintymisestä kyseisissä murteissa kielii sekä kiltinänsaamen sanojen </w:t>
      </w:r>
      <w:r w:rsidRPr="00FB4EFA">
        <w:rPr>
          <w:rFonts w:eastAsia="Times New Roman" w:cs="Charis SIL"/>
          <w:i/>
          <w:lang w:val="fi-FI"/>
        </w:rPr>
        <w:t>zèmᵈ́t́š́ėχ͕</w:t>
      </w:r>
      <w:r w:rsidRPr="00FB4EFA">
        <w:rPr>
          <w:rFonts w:eastAsia="Times New Roman" w:cs="Charis SIL"/>
          <w:lang w:val="fi-FI"/>
        </w:rPr>
        <w:t xml:space="preserve"> ja </w:t>
      </w:r>
      <w:r w:rsidRPr="00FB4EFA">
        <w:rPr>
          <w:rFonts w:eastAsia="Times New Roman" w:cs="Charis SIL"/>
          <w:i/>
          <w:lang w:val="fi-FI"/>
        </w:rPr>
        <w:t>zemčuγ</w:t>
      </w:r>
      <w:r w:rsidRPr="00FB4EFA">
        <w:rPr>
          <w:rFonts w:eastAsia="Times New Roman" w:cs="Charis SIL"/>
          <w:lang w:val="fi-FI"/>
        </w:rPr>
        <w:t xml:space="preserve"> sananalkuinen soinnillinen sibilantti että koltansaamen murteiden muodot, joissa esiintyy sananalkuinen soinnillinen sibilantti [</w:t>
      </w:r>
      <w:r w:rsidRPr="00FB4EFA">
        <w:rPr>
          <w:rFonts w:eastAsia="Times New Roman" w:cs="Charis SIL"/>
          <w:iCs/>
          <w:lang w:val="fi-FI"/>
        </w:rPr>
        <w:t>z]</w:t>
      </w:r>
      <w:r w:rsidRPr="00FB4EFA">
        <w:rPr>
          <w:rFonts w:eastAsia="Times New Roman" w:cs="Charis SIL"/>
          <w:lang w:val="fi-FI"/>
        </w:rPr>
        <w:t xml:space="preserve">. Erkki Itkonen haastatteli jatkosodan aikana kiltinänsaamelaista sotavankia, jolta hän tallensi muodon </w:t>
      </w:r>
      <w:r w:rsidRPr="00FB4EFA">
        <w:rPr>
          <w:rFonts w:eastAsia="Times New Roman" w:cs="Charis SIL"/>
          <w:i/>
          <w:lang w:val="fi-FI"/>
        </w:rPr>
        <w:t>žèmᵈ́t́š́ėχ͕</w:t>
      </w:r>
      <w:r w:rsidRPr="00FB4EFA">
        <w:rPr>
          <w:rFonts w:eastAsia="Times New Roman" w:cs="Charis SIL"/>
          <w:lang w:val="fi-FI"/>
        </w:rPr>
        <w:t xml:space="preserve">. Tämän muodon sananalkuiseen soinnilliseen sibilanttiin on vaikuttanut venäjän yleiskielen sana </w:t>
      </w:r>
      <w:r w:rsidRPr="00FB4EFA">
        <w:rPr>
          <w:rFonts w:eastAsia="Times New Roman" w:cs="Charis SIL"/>
          <w:i/>
          <w:lang w:val="fi-FI"/>
        </w:rPr>
        <w:t>же́мчуг</w:t>
      </w:r>
      <w:r w:rsidRPr="00FB4EFA">
        <w:rPr>
          <w:rFonts w:eastAsia="Times New Roman" w:cs="Charis SIL"/>
          <w:lang w:val="fi-FI"/>
        </w:rPr>
        <w:t xml:space="preserve">, mikä on ymmärrettävää, sillä sotaväessä palvellut sotilas epäilemättä osasi Kuolan niemimaalla puhutun venäjän pohjoismurteen lisäksi myös venäjän yleiskieltä. Äimä (1919: 276) piti inarinsaamen ja turjansaamen sanojen alussa esiintyvää affrikaattaa [c] merkkinä lainautumisesta karjalan sanasta </w:t>
      </w:r>
      <w:r w:rsidRPr="00FB4EFA">
        <w:rPr>
          <w:rFonts w:eastAsia="Times New Roman" w:cs="Charis SIL"/>
          <w:i/>
          <w:lang w:val="fi-FI"/>
        </w:rPr>
        <w:t xml:space="preserve">zemčuga </w:t>
      </w:r>
      <w:r w:rsidRPr="00FB4EFA">
        <w:rPr>
          <w:rFonts w:eastAsia="Times New Roman" w:cs="Charis SIL"/>
          <w:iCs/>
          <w:lang w:val="fi-FI"/>
        </w:rPr>
        <w:t>’helmi’</w:t>
      </w:r>
      <w:r w:rsidRPr="00FB4EFA">
        <w:rPr>
          <w:rFonts w:eastAsia="Times New Roman" w:cs="Charis SIL"/>
          <w:lang w:val="fi-FI"/>
        </w:rPr>
        <w:t>. Hänen esittämänsä etymologia kompastuu kuitenkin siihen, että kyseisen muodon levikki rajoittuu eteläkarjalaan ja livviin (KKS s.v. semt</w:t>
      </w:r>
      <w:r w:rsidR="00450A10" w:rsidRPr="00FB4EFA">
        <w:rPr>
          <w:rFonts w:eastAsia="Times New Roman" w:cs="Charis SIL"/>
          <w:lang w:val="fi-FI"/>
        </w:rPr>
        <w:t>š</w:t>
      </w:r>
      <w:r w:rsidRPr="00FB4EFA">
        <w:rPr>
          <w:rFonts w:eastAsia="Times New Roman" w:cs="Charis SIL"/>
          <w:lang w:val="fi-FI"/>
        </w:rPr>
        <w:t xml:space="preserve">uka) eikä sitä tavata vienankarjalassa, jonka puhujilla oli kontakteja saamelaisten kanssa. Sanojen </w:t>
      </w:r>
      <w:r w:rsidRPr="00FB4EFA">
        <w:rPr>
          <w:rFonts w:eastAsia="Times New Roman" w:cs="Charis SIL"/>
          <w:i/>
          <w:iCs/>
          <w:lang w:val="fi-FI"/>
        </w:rPr>
        <w:t>cimccâh</w:t>
      </w:r>
      <w:r w:rsidRPr="00FB4EFA">
        <w:rPr>
          <w:rFonts w:eastAsia="Times New Roman" w:cs="Charis SIL"/>
          <w:lang w:val="fi-FI"/>
        </w:rPr>
        <w:t xml:space="preserve">, </w:t>
      </w:r>
      <w:r w:rsidRPr="00FB4EFA">
        <w:rPr>
          <w:rFonts w:eastAsia="Times New Roman" w:cs="Charis SIL"/>
          <w:i/>
          <w:iCs/>
          <w:lang w:val="fi-FI"/>
        </w:rPr>
        <w:t>ciimciǩ</w:t>
      </w:r>
      <w:r w:rsidRPr="00FB4EFA">
        <w:rPr>
          <w:rFonts w:eastAsia="Times New Roman" w:cs="Charis SIL"/>
          <w:lang w:val="fi-FI"/>
        </w:rPr>
        <w:t xml:space="preserve"> sekä </w:t>
      </w:r>
      <w:r w:rsidRPr="00FB4EFA">
        <w:rPr>
          <w:rFonts w:eastAsia="Times New Roman" w:cs="Charis SIL"/>
          <w:i/>
          <w:lang w:val="fi-FI"/>
        </w:rPr>
        <w:t>ci̊mʒi̊ɵj</w:t>
      </w:r>
      <w:r w:rsidRPr="00FB4EFA">
        <w:rPr>
          <w:rFonts w:eastAsia="Times New Roman" w:cs="Charis SIL"/>
          <w:iCs/>
          <w:lang w:val="fi-FI"/>
        </w:rPr>
        <w:t xml:space="preserve"> sananalkuisen affrikaatan</w:t>
      </w:r>
      <w:r w:rsidRPr="00FB4EFA">
        <w:rPr>
          <w:rFonts w:eastAsia="Times New Roman" w:cs="Charis SIL"/>
          <w:lang w:val="fi-FI"/>
        </w:rPr>
        <w:t xml:space="preserve"> voi selittää sanansisäisen affrikaatan aiheuttamalla etäassimilaatiolla. Tähän viittaa myös se, että koltansaameen kirjakielessä tavattava sananalkuinen affrikaatta on kehittynyt sibilantista vasta 1900-luvun ensimmäisten vuosikymmenten jälkeen mahdollisesti osin inarinsaamen vaikutuksesta.</w:t>
      </w:r>
    </w:p>
    <w:p w14:paraId="3F7264FB" w14:textId="5941ACB1" w:rsidR="006B5BDA" w:rsidRPr="00FB4EFA" w:rsidRDefault="006B5BDA" w:rsidP="00AF0CAD">
      <w:pPr>
        <w:ind w:firstLine="709"/>
        <w:rPr>
          <w:lang w:val="fi-FI"/>
        </w:rPr>
      </w:pPr>
      <w:r w:rsidRPr="00FB4EFA">
        <w:rPr>
          <w:rFonts w:eastAsia="Times New Roman" w:cs="Charis SIL"/>
          <w:lang w:val="fi-FI"/>
        </w:rPr>
        <w:t>Kiltinänsaamea lukuun ottamatta sanan ensitavun vokaali viittaa lainalähteen ensitavun [i]:hin. Ensitavun vokaali [i]</w:t>
      </w:r>
      <w:r w:rsidRPr="00FB4EFA">
        <w:rPr>
          <w:rFonts w:eastAsia="Times New Roman" w:cs="Charis SIL"/>
          <w:i/>
          <w:lang w:val="fi-FI"/>
        </w:rPr>
        <w:t xml:space="preserve"> </w:t>
      </w:r>
      <w:r w:rsidRPr="00FB4EFA">
        <w:rPr>
          <w:rFonts w:eastAsia="Times New Roman" w:cs="Charis SIL"/>
          <w:lang w:val="fi-FI"/>
        </w:rPr>
        <w:t xml:space="preserve">on toisen tavun [i]:n edellä säilynyt tutkitulla kielialueella suppeana muualla paitsi </w:t>
      </w:r>
      <w:r w:rsidR="00153BA0" w:rsidRPr="00FB4EFA">
        <w:rPr>
          <w:rFonts w:eastAsia="Times New Roman" w:cs="Charis SIL"/>
          <w:lang w:val="fi-FI"/>
        </w:rPr>
        <w:br/>
      </w:r>
      <w:r w:rsidRPr="00FB4EFA">
        <w:rPr>
          <w:rFonts w:eastAsia="Times New Roman" w:cs="Charis SIL"/>
          <w:lang w:val="fi-FI"/>
        </w:rPr>
        <w:lastRenderedPageBreak/>
        <w:t>Nuortijärvellä, jossa siitä on kehittynyt lievästi suppea [ė], ja kiltinänsaamessa, jossa se on hieman sentraalistunut [ᴉ̑] (E. Itkonen</w:t>
      </w:r>
      <w:r w:rsidR="00F71FC9" w:rsidRPr="00FB4EFA">
        <w:rPr>
          <w:rFonts w:eastAsia="Times New Roman" w:cs="Charis SIL"/>
          <w:lang w:val="fi-FI"/>
        </w:rPr>
        <w:t xml:space="preserve"> </w:t>
      </w:r>
      <w:r w:rsidRPr="00FB4EFA">
        <w:rPr>
          <w:rFonts w:eastAsia="Times New Roman" w:cs="Charis SIL"/>
          <w:lang w:val="fi-FI"/>
        </w:rPr>
        <w:t xml:space="preserve">1939: 41). Jos siis myös kiltinänsaamen sana olisi lainattu muodosta, jossa ensitavussa esiintyi [i], olettaisi myös kiltinänsaameen [ᴉ̑]:tä, kuten sanoissa </w:t>
      </w:r>
      <w:r w:rsidRPr="00FB4EFA">
        <w:rPr>
          <w:rFonts w:eastAsia="Times New Roman" w:cs="Charis SIL"/>
          <w:i/>
          <w:lang w:val="fi-FI"/>
        </w:rPr>
        <w:t>kᴉ̑rp̀ėɔ̆t́̆t́š́</w:t>
      </w:r>
      <w:r w:rsidRPr="00FB4EFA">
        <w:rPr>
          <w:rFonts w:eastAsia="Times New Roman" w:cs="Charis SIL"/>
          <w:lang w:val="fi-FI"/>
        </w:rPr>
        <w:t xml:space="preserve"> ’tiili’ (KKLS: 858) &lt; ven. </w:t>
      </w:r>
      <w:r w:rsidRPr="00FB4EFA">
        <w:rPr>
          <w:rFonts w:eastAsia="Times New Roman" w:cs="Charis SIL"/>
          <w:i/>
          <w:lang w:val="fi-FI"/>
        </w:rPr>
        <w:t>кирпи́ч</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w:t>
      </w:r>
      <w:r w:rsidRPr="00FB4EFA">
        <w:rPr>
          <w:rFonts w:eastAsia="Times New Roman" w:cs="Charis SIL"/>
          <w:i/>
          <w:iCs/>
          <w:lang w:val="fi-FI"/>
        </w:rPr>
        <w:t>tᴉ̑sk̀</w:t>
      </w:r>
      <w:r w:rsidRPr="00FB4EFA">
        <w:rPr>
          <w:rFonts w:eastAsia="Times New Roman" w:cs="Charis SIL"/>
          <w:lang w:val="fi-FI"/>
        </w:rPr>
        <w:t xml:space="preserve"> ’hohtimet’ (KKLS: 598) &lt;</w:t>
      </w:r>
      <w:r w:rsidR="00D17301" w:rsidRPr="00FB4EFA">
        <w:rPr>
          <w:rFonts w:eastAsia="Times New Roman" w:cs="Charis SIL"/>
          <w:lang w:val="fi-FI"/>
        </w:rPr>
        <w:t> </w:t>
      </w:r>
      <w:r w:rsidRPr="00FB4EFA">
        <w:rPr>
          <w:rFonts w:eastAsia="Times New Roman" w:cs="Charis SIL"/>
          <w:lang w:val="fi-FI"/>
        </w:rPr>
        <w:t xml:space="preserve">ven. </w:t>
      </w:r>
      <w:r w:rsidRPr="00FB4EFA">
        <w:rPr>
          <w:rFonts w:eastAsia="Times New Roman" w:cs="Charis SIL"/>
          <w:i/>
          <w:iCs/>
          <w:lang w:val="fi-FI"/>
        </w:rPr>
        <w:t>тиски́</w:t>
      </w:r>
      <w:r w:rsidRPr="00FB4EFA">
        <w:rPr>
          <w:rFonts w:eastAsia="Times New Roman" w:cs="Charis SIL"/>
          <w:lang w:val="fi-FI"/>
        </w:rPr>
        <w:t xml:space="preserve"> ’ruuvipenkki’ sekä </w:t>
      </w:r>
      <w:r w:rsidRPr="00FB4EFA">
        <w:rPr>
          <w:rFonts w:eastAsia="Times New Roman" w:cs="Charis SIL"/>
          <w:i/>
          <w:iCs/>
          <w:lang w:val="fi-FI"/>
        </w:rPr>
        <w:t>vᴉ̑лk̀a</w:t>
      </w:r>
      <w:r w:rsidRPr="00FB4EFA">
        <w:rPr>
          <w:rFonts w:eastAsia="Times New Roman" w:cs="Charis SIL"/>
          <w:lang w:val="fi-FI"/>
        </w:rPr>
        <w:t xml:space="preserve"> ’haarukka’ (KKLS: 753) &lt; ven. </w:t>
      </w:r>
      <w:r w:rsidRPr="00FB4EFA">
        <w:rPr>
          <w:rFonts w:eastAsia="Times New Roman" w:cs="Charis SIL"/>
          <w:i/>
          <w:iCs/>
          <w:lang w:val="fi-FI"/>
        </w:rPr>
        <w:t>ви́лка</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Vaikka Kaliman (1952: 39, 159) mukaan suomen sanan </w:t>
      </w:r>
      <w:r w:rsidR="00153BA0" w:rsidRPr="00FB4EFA">
        <w:rPr>
          <w:rFonts w:eastAsia="Times New Roman" w:cs="Charis SIL"/>
          <w:lang w:val="fi-FI"/>
        </w:rPr>
        <w:br/>
      </w:r>
      <w:r w:rsidRPr="00FB4EFA">
        <w:rPr>
          <w:rFonts w:eastAsia="Times New Roman" w:cs="Charis SIL"/>
          <w:i/>
          <w:lang w:val="fi-FI"/>
        </w:rPr>
        <w:t xml:space="preserve">simpukka </w:t>
      </w:r>
      <w:r w:rsidRPr="00FB4EFA">
        <w:rPr>
          <w:rFonts w:eastAsia="Times New Roman" w:cs="Charis SIL"/>
          <w:lang w:val="fi-FI"/>
        </w:rPr>
        <w:t xml:space="preserve">ensitavun [i] kuvastaa venäjän pohjoismurteiden muotoa </w:t>
      </w:r>
      <w:r w:rsidRPr="00FB4EFA">
        <w:rPr>
          <w:rFonts w:eastAsia="Times New Roman" w:cs="Charis SIL"/>
          <w:i/>
          <w:lang w:val="fi-FI"/>
        </w:rPr>
        <w:t>жимчу́г</w:t>
      </w:r>
      <w:r w:rsidRPr="00FB4EFA">
        <w:rPr>
          <w:rFonts w:eastAsia="Times New Roman" w:cs="Charis SIL"/>
          <w:iCs/>
          <w:vertAlign w:val="superscript"/>
          <w:lang w:val="fi-FI"/>
        </w:rPr>
        <w:footnoteReference w:id="72"/>
      </w:r>
      <w:r w:rsidRPr="00FB4EFA">
        <w:rPr>
          <w:rFonts w:eastAsia="Times New Roman" w:cs="Charis SIL"/>
          <w:lang w:val="fi-FI"/>
        </w:rPr>
        <w:t xml:space="preserve">, tällaista muotoa ei esiinny sanakirjojen mukaan ainakaan </w:t>
      </w:r>
      <w:r w:rsidR="00153BA0" w:rsidRPr="00FB4EFA">
        <w:rPr>
          <w:rFonts w:eastAsia="Times New Roman" w:cs="Charis SIL"/>
          <w:lang w:val="fi-FI"/>
        </w:rPr>
        <w:br/>
      </w:r>
      <w:r w:rsidRPr="00FB4EFA">
        <w:rPr>
          <w:rFonts w:eastAsia="Times New Roman" w:cs="Charis SIL"/>
          <w:lang w:val="fi-FI"/>
        </w:rPr>
        <w:t>Kuolan niemimaalla, Karjalassa eikä Arkangelin alueella puhutuissa venäjän murteissa, vaan kaikissa näissä murteissa sanan ensitavussa esiintyy [e]. Todennäköisimmäksi vaihtoehdoksi siis jää myös ensitavun vokaalin osalta se, että kiltinänsaamea lukuun ottamatta sana on lainattu itämerensuomalaisista kielistä. Kiltinänsaamen sanan ensitavun monoftongi [e]</w:t>
      </w:r>
      <w:r w:rsidRPr="00FB4EFA">
        <w:rPr>
          <w:rFonts w:eastAsia="Times New Roman" w:cs="Charis SIL"/>
          <w:i/>
          <w:lang w:val="fi-FI"/>
        </w:rPr>
        <w:t xml:space="preserve"> </w:t>
      </w:r>
      <w:r w:rsidRPr="00FB4EFA">
        <w:rPr>
          <w:rFonts w:eastAsia="Times New Roman" w:cs="Charis SIL"/>
          <w:lang w:val="fi-FI"/>
        </w:rPr>
        <w:t xml:space="preserve">viittaa suhteellisen tuoreeseen lainautumiseen venäjän muodosta, jossa esiintyy ensitavussa [e], vrt. </w:t>
      </w:r>
      <w:r w:rsidRPr="00FB4EFA">
        <w:rPr>
          <w:rFonts w:eastAsia="Times New Roman" w:cs="Charis SIL"/>
          <w:i/>
          <w:lang w:val="fi-FI"/>
        </w:rPr>
        <w:t>vēn̜iχ͕</w:t>
      </w:r>
      <w:r w:rsidRPr="00FB4EFA">
        <w:rPr>
          <w:rFonts w:eastAsia="Times New Roman" w:cs="Charis SIL"/>
          <w:lang w:val="fi-FI"/>
        </w:rPr>
        <w:t xml:space="preserve"> ’vihta, vasta’ &lt;</w:t>
      </w:r>
      <w:r w:rsidR="0091121A" w:rsidRPr="00FB4EFA">
        <w:rPr>
          <w:rFonts w:eastAsia="Times New Roman" w:cs="Charis SIL"/>
          <w:lang w:val="fi-FI"/>
        </w:rPr>
        <w:t> </w:t>
      </w:r>
      <w:r w:rsidRPr="00FB4EFA">
        <w:rPr>
          <w:rFonts w:eastAsia="Times New Roman" w:cs="Charis SIL"/>
          <w:lang w:val="fi-FI"/>
        </w:rPr>
        <w:t xml:space="preserve">ven. </w:t>
      </w:r>
      <w:r w:rsidRPr="00FB4EFA">
        <w:rPr>
          <w:rFonts w:eastAsia="Times New Roman" w:cs="Charis SIL"/>
          <w:i/>
          <w:lang w:val="fi-FI"/>
        </w:rPr>
        <w:t>ве́ник</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(KKLS: 732).</w:t>
      </w:r>
    </w:p>
    <w:p w14:paraId="2298C27C" w14:textId="2E99A872" w:rsidR="006B5BDA" w:rsidRPr="00FB4EFA" w:rsidRDefault="006B5BDA" w:rsidP="00AF0CAD">
      <w:pPr>
        <w:ind w:firstLine="709"/>
        <w:rPr>
          <w:lang w:val="fi-FI"/>
        </w:rPr>
      </w:pPr>
      <w:bookmarkStart w:id="70" w:name="_gjdgxs"/>
      <w:bookmarkEnd w:id="70"/>
      <w:r w:rsidRPr="00FB4EFA">
        <w:rPr>
          <w:rFonts w:eastAsia="Times New Roman" w:cs="Charis SIL"/>
          <w:lang w:val="fi-FI"/>
        </w:rPr>
        <w:t>Vaikka Kuolan niemimaalla puhutuissa venäjän murteissa affrikaatasta /ч/ on useimmissa tapauksissa kehittynyt liudentunut affrikaatta [t</w:t>
      </w:r>
      <w:r w:rsidR="00EF0FBC" w:rsidRPr="00FB4EFA">
        <w:rPr>
          <w:rFonts w:eastAsia="Times New Roman" w:cs="Charis SIL"/>
          <w:lang w:val="fi-FI"/>
        </w:rPr>
        <w:t>ś</w:t>
      </w:r>
      <w:r w:rsidRPr="00FB4EFA">
        <w:rPr>
          <w:rFonts w:eastAsia="Times New Roman" w:cs="Charis SIL"/>
          <w:lang w:val="fi-FI"/>
        </w:rPr>
        <w:t>] (</w:t>
      </w:r>
      <w:r w:rsidRPr="00FB4EFA">
        <w:rPr>
          <w:rFonts w:cs="Charis SIL"/>
          <w:lang w:val="fi-FI"/>
        </w:rPr>
        <w:t>Merkurjev 1962: 15</w:t>
      </w:r>
      <w:r w:rsidRPr="00FB4EFA">
        <w:rPr>
          <w:rFonts w:cs="Charis SIL"/>
          <w:shd w:val="clear" w:color="auto" w:fill="FFFFFF"/>
          <w:lang w:val="fi-FI"/>
        </w:rPr>
        <w:t>–</w:t>
      </w:r>
      <w:r w:rsidRPr="00FB4EFA">
        <w:rPr>
          <w:rFonts w:cs="Charis SIL"/>
          <w:lang w:val="fi-FI"/>
        </w:rPr>
        <w:t>19)</w:t>
      </w:r>
      <w:r w:rsidRPr="00FB4EFA">
        <w:rPr>
          <w:rFonts w:eastAsia="Times New Roman" w:cs="Charis SIL"/>
          <w:lang w:val="fi-FI"/>
        </w:rPr>
        <w:t>, näin ei ole käynyt sanassa</w:t>
      </w:r>
      <w:r w:rsidRPr="00FB4EFA">
        <w:rPr>
          <w:rFonts w:eastAsia="Times New Roman" w:cs="Charis SIL"/>
          <w:i/>
          <w:lang w:val="fi-FI"/>
        </w:rPr>
        <w:t xml:space="preserve"> же́мчуг</w:t>
      </w:r>
      <w:r w:rsidRPr="00FB4EFA">
        <w:rPr>
          <w:rFonts w:eastAsia="Times New Roman" w:cs="Charis SIL"/>
          <w:lang w:val="fi-FI"/>
        </w:rPr>
        <w:t xml:space="preserve">, jossa affrikaatta ääntyy sanakirjojen mukaan aina </w:t>
      </w:r>
      <w:r w:rsidR="00450A10" w:rsidRPr="00FB4EFA">
        <w:rPr>
          <w:rFonts w:eastAsia="Times New Roman" w:cs="Charis SIL"/>
          <w:lang w:val="fi-FI"/>
        </w:rPr>
        <w:t>[tš́]</w:t>
      </w:r>
      <w:r w:rsidRPr="00FB4EFA">
        <w:rPr>
          <w:rFonts w:eastAsia="Times New Roman" w:cs="Charis SIL"/>
          <w:lang w:val="fi-FI"/>
        </w:rPr>
        <w:t>. Venäjän alveo-palataalinen affrikaatta on säilynyt saamelaiskieliin lainatessa</w:t>
      </w:r>
      <w:r w:rsidR="000121EA" w:rsidRPr="00FB4EFA">
        <w:rPr>
          <w:rFonts w:eastAsia="Times New Roman" w:cs="Charis SIL"/>
          <w:lang w:val="fi-FI"/>
        </w:rPr>
        <w:t xml:space="preserve"> </w:t>
      </w:r>
      <w:r w:rsidRPr="00FB4EFA">
        <w:rPr>
          <w:rFonts w:eastAsia="Times New Roman" w:cs="Charis SIL"/>
          <w:lang w:val="fi-FI"/>
        </w:rPr>
        <w:t xml:space="preserve">alveo-palataalisena affrikaattana </w:t>
      </w:r>
      <w:r w:rsidR="00450A10" w:rsidRPr="00FB4EFA">
        <w:rPr>
          <w:rFonts w:eastAsia="Times New Roman" w:cs="Charis SIL"/>
          <w:lang w:val="fi-FI"/>
        </w:rPr>
        <w:t>[tš́]</w:t>
      </w:r>
      <w:r w:rsidRPr="00FB4EFA">
        <w:rPr>
          <w:rFonts w:eastAsia="Times New Roman" w:cs="Charis SIL"/>
          <w:lang w:val="fi-FI"/>
        </w:rPr>
        <w:t>, kuten</w:t>
      </w:r>
      <w:r w:rsidR="000121EA" w:rsidRPr="00FB4EFA">
        <w:rPr>
          <w:rFonts w:eastAsia="Times New Roman" w:cs="Charis SIL"/>
          <w:lang w:val="fi-FI"/>
        </w:rPr>
        <w:t xml:space="preserve"> </w:t>
      </w:r>
      <w:r w:rsidRPr="00FB4EFA">
        <w:rPr>
          <w:rFonts w:eastAsia="Times New Roman" w:cs="Charis SIL"/>
          <w:lang w:val="fi-FI"/>
        </w:rPr>
        <w:t xml:space="preserve">koltansaamen sanassa </w:t>
      </w:r>
      <w:r w:rsidRPr="00FB4EFA">
        <w:rPr>
          <w:rFonts w:eastAsia="Times New Roman" w:cs="Charis SIL"/>
          <w:i/>
          <w:iCs/>
          <w:lang w:val="fi-FI"/>
        </w:rPr>
        <w:t>kiirpâč</w:t>
      </w:r>
      <w:r w:rsidRPr="00FB4EFA">
        <w:rPr>
          <w:rFonts w:eastAsia="Times New Roman" w:cs="Charis SIL"/>
          <w:lang w:val="fi-FI"/>
        </w:rPr>
        <w:t xml:space="preserve"> ’tiili’ sekä kiltinänsaamen </w:t>
      </w:r>
      <w:r w:rsidRPr="00FB4EFA">
        <w:rPr>
          <w:rFonts w:eastAsia="Times New Roman" w:cs="Charis SIL"/>
          <w:i/>
          <w:lang w:val="fi-FI"/>
        </w:rPr>
        <w:t>kᴉ̑rp̀ėɔ̆t́̆t́š́</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(KKLS: 858) &lt; ven. </w:t>
      </w:r>
      <w:r w:rsidRPr="00FB4EFA">
        <w:rPr>
          <w:rFonts w:eastAsia="Times New Roman" w:cs="Charis SIL"/>
          <w:i/>
          <w:lang w:val="fi-FI"/>
        </w:rPr>
        <w:t>кирпи́ч</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w:t>
      </w:r>
      <w:r w:rsidR="00153BA0" w:rsidRPr="00FB4EFA">
        <w:rPr>
          <w:rFonts w:eastAsia="Times New Roman" w:cs="Charis SIL"/>
          <w:lang w:val="fi-FI"/>
        </w:rPr>
        <w:br/>
      </w:r>
      <w:r w:rsidRPr="00FB4EFA">
        <w:rPr>
          <w:rFonts w:eastAsia="Times New Roman" w:cs="Charis SIL"/>
          <w:lang w:val="fi-FI"/>
        </w:rPr>
        <w:t xml:space="preserve">Kiltinänsaamen sanan </w:t>
      </w:r>
      <w:r w:rsidRPr="00FB4EFA">
        <w:rPr>
          <w:rFonts w:eastAsia="Times New Roman" w:cs="Charis SIL"/>
          <w:i/>
          <w:lang w:val="fi-FI"/>
        </w:rPr>
        <w:t>zèmᵈ́t́š́ėχ͕</w:t>
      </w:r>
      <w:r w:rsidRPr="00FB4EFA">
        <w:rPr>
          <w:rFonts w:eastAsia="Times New Roman" w:cs="Charis SIL"/>
          <w:lang w:val="fi-FI"/>
        </w:rPr>
        <w:t xml:space="preserve"> affrikaatta viittaa siis lainaan venäjästä. Inarinsaamessa, koltansaamessa ja ilmeisesti myös turjansaamessa esiintyvä alveolaarinen affrikaatta [ts] voidaan selittää lainautumisella affrikaatan sisältävästä karjalan sanasta. Karjalan affrikaatta [t</w:t>
      </w:r>
      <w:r w:rsidR="00450A10" w:rsidRPr="00FB4EFA">
        <w:rPr>
          <w:rFonts w:eastAsia="Times New Roman" w:cs="Charis SIL"/>
          <w:lang w:val="fi-FI"/>
        </w:rPr>
        <w:t>š</w:t>
      </w:r>
      <w:r w:rsidRPr="00FB4EFA">
        <w:rPr>
          <w:rFonts w:eastAsia="Times New Roman" w:cs="Charis SIL"/>
          <w:lang w:val="fi-FI"/>
        </w:rPr>
        <w:t>]</w:t>
      </w:r>
      <w:r w:rsidR="00450A10" w:rsidRPr="00FB4EFA">
        <w:rPr>
          <w:rFonts w:eastAsia="Times New Roman" w:cs="Charis SIL"/>
          <w:lang w:val="fi-FI"/>
        </w:rPr>
        <w:t xml:space="preserve"> </w:t>
      </w:r>
      <w:r w:rsidRPr="00FB4EFA">
        <w:rPr>
          <w:rFonts w:eastAsia="Times New Roman" w:cs="Charis SIL"/>
          <w:lang w:val="fi-FI"/>
        </w:rPr>
        <w:t>on substituoitu saamelaiskieliin affrikaatalla [ts]</w:t>
      </w:r>
      <w:r w:rsidRPr="00FB4EFA">
        <w:rPr>
          <w:rFonts w:eastAsia="Times New Roman" w:cs="Charis SIL"/>
          <w:i/>
          <w:lang w:val="fi-FI"/>
        </w:rPr>
        <w:t>,</w:t>
      </w:r>
      <w:r w:rsidR="00450A10" w:rsidRPr="00FB4EFA">
        <w:rPr>
          <w:rFonts w:eastAsia="Times New Roman" w:cs="Charis SIL"/>
          <w:i/>
          <w:lang w:val="fi-FI"/>
        </w:rPr>
        <w:t xml:space="preserve"> </w:t>
      </w:r>
      <w:r w:rsidRPr="00FB4EFA">
        <w:rPr>
          <w:rFonts w:eastAsia="Times New Roman" w:cs="Charis SIL"/>
          <w:lang w:val="fi-FI"/>
        </w:rPr>
        <w:t xml:space="preserve">esim. karj. </w:t>
      </w:r>
      <w:r w:rsidRPr="00FB4EFA">
        <w:rPr>
          <w:rFonts w:eastAsia="Times New Roman" w:cs="Charis SIL"/>
          <w:i/>
          <w:lang w:val="fi-FI"/>
        </w:rPr>
        <w:t xml:space="preserve">tylččä </w:t>
      </w:r>
      <w:r w:rsidRPr="00FB4EFA">
        <w:rPr>
          <w:rFonts w:eastAsia="Times New Roman" w:cs="Charis SIL"/>
          <w:lang w:val="fi-FI"/>
        </w:rPr>
        <w:t xml:space="preserve">’tylsä’ </w:t>
      </w:r>
      <w:r w:rsidRPr="00FB4EFA">
        <w:rPr>
          <w:rFonts w:eastAsia="Times New Roman" w:cs="Charis SIL"/>
          <w:i/>
          <w:lang w:val="fi-FI"/>
        </w:rPr>
        <w:t>&gt;</w:t>
      </w:r>
      <w:r w:rsidRPr="00FB4EFA">
        <w:rPr>
          <w:rFonts w:eastAsia="Times New Roman" w:cs="Charis SIL"/>
          <w:lang w:val="fi-FI"/>
        </w:rPr>
        <w:t xml:space="preserve"> koltansaamen </w:t>
      </w:r>
      <w:r w:rsidRPr="00FB4EFA">
        <w:rPr>
          <w:rFonts w:eastAsia="Times New Roman" w:cs="Charis SIL"/>
          <w:i/>
          <w:lang w:val="fi-FI"/>
        </w:rPr>
        <w:t xml:space="preserve">tåʹlcc </w:t>
      </w:r>
      <w:r w:rsidR="00D17301" w:rsidRPr="00FB4EFA">
        <w:rPr>
          <w:rFonts w:eastAsia="Times New Roman" w:cs="Charis SIL"/>
          <w:lang w:val="fi-FI"/>
        </w:rPr>
        <w:t>id.</w:t>
      </w:r>
      <w:r w:rsidRPr="00FB4EFA">
        <w:rPr>
          <w:rFonts w:eastAsia="Times New Roman" w:cs="Charis SIL"/>
          <w:lang w:val="fi-FI"/>
        </w:rPr>
        <w:t xml:space="preserve">, inarinsaamen </w:t>
      </w:r>
      <w:r w:rsidRPr="00FB4EFA">
        <w:rPr>
          <w:rFonts w:eastAsia="Times New Roman" w:cs="Charis SIL"/>
          <w:i/>
          <w:lang w:val="fi-FI"/>
        </w:rPr>
        <w:t xml:space="preserve">tulcce </w:t>
      </w:r>
      <w:r w:rsidR="00D17301" w:rsidRPr="00FB4EFA">
        <w:rPr>
          <w:rFonts w:eastAsia="Times New Roman" w:cs="Charis SIL"/>
          <w:lang w:val="fi-FI"/>
        </w:rPr>
        <w:t>id.</w:t>
      </w:r>
      <w:r w:rsidRPr="00FB4EFA">
        <w:rPr>
          <w:rFonts w:eastAsia="Times New Roman" w:cs="Charis SIL"/>
          <w:lang w:val="fi-FI"/>
        </w:rPr>
        <w:t xml:space="preserve"> (SSA s.v. tylsä), ilmeisesti siitä syystä, että karjalan ainoaa affrikaattaa ei ole tunnistettu samaksi affrikaataksi kuin saamelaiskielten </w:t>
      </w:r>
      <w:r w:rsidR="00450A10" w:rsidRPr="00FB4EFA">
        <w:rPr>
          <w:rFonts w:eastAsia="Times New Roman" w:cs="Charis SIL"/>
          <w:lang w:val="fi-FI"/>
        </w:rPr>
        <w:t>[tš́]</w:t>
      </w:r>
      <w:r w:rsidRPr="00FB4EFA">
        <w:rPr>
          <w:rFonts w:eastAsia="Times New Roman" w:cs="Charis SIL"/>
          <w:lang w:val="fi-FI"/>
        </w:rPr>
        <w:t xml:space="preserve">. Pohjoissaamen sanan sanansisäinen sibilantti [s] näyttäisi viittaavan lainautumiseen karjalan sijaan suomen sanasta </w:t>
      </w:r>
      <w:r w:rsidRPr="00FB4EFA">
        <w:rPr>
          <w:rFonts w:eastAsia="Times New Roman" w:cs="Charis SIL"/>
          <w:i/>
          <w:lang w:val="fi-FI"/>
        </w:rPr>
        <w:t>simsukka</w:t>
      </w:r>
      <w:r w:rsidRPr="00FB4EFA">
        <w:rPr>
          <w:rFonts w:eastAsia="Times New Roman" w:cs="Charis SIL"/>
          <w:lang w:val="fi-FI"/>
        </w:rPr>
        <w:t xml:space="preserve">. Ongelmana on kuitenkin jälleen se, että sana esiintyy </w:t>
      </w:r>
      <w:r w:rsidRPr="00FB4EFA">
        <w:rPr>
          <w:rFonts w:eastAsia="Times New Roman" w:cs="Charis SIL"/>
          <w:lang w:val="fi-FI"/>
        </w:rPr>
        <w:lastRenderedPageBreak/>
        <w:t>merkityksessä ’helmi’ vain Kainuussa, eikä ole tiedossa, että Kainuun murteen puhujilla olisi kontakteja Tenon alueelle. Todennäköisempi selitys onkin se, että sana olisi lainattu pohjoissaameen inarinsaamesta tai koltansaamesta. Tällöin täytyisi olettaa, että pohjoissaameen konsonanttiyhtymä *</w:t>
      </w:r>
      <w:r w:rsidRPr="00FB4EFA">
        <w:rPr>
          <w:rFonts w:eastAsia="Times New Roman" w:cs="Charis SIL"/>
          <w:i/>
          <w:lang w:val="fi-FI"/>
        </w:rPr>
        <w:t>mc</w:t>
      </w:r>
      <w:r w:rsidRPr="00FB4EFA">
        <w:rPr>
          <w:rFonts w:eastAsia="Times New Roman" w:cs="Charis SIL"/>
          <w:lang w:val="fi-FI"/>
        </w:rPr>
        <w:t xml:space="preserve"> olisi adaptoitu konsonanttiyhtymällä </w:t>
      </w:r>
      <w:r w:rsidRPr="00FB4EFA">
        <w:rPr>
          <w:rFonts w:eastAsia="Times New Roman" w:cs="Charis SIL"/>
          <w:i/>
          <w:lang w:val="fi-FI"/>
        </w:rPr>
        <w:t>ms</w:t>
      </w:r>
      <w:r w:rsidRPr="00FB4EFA">
        <w:rPr>
          <w:rFonts w:eastAsia="Times New Roman" w:cs="Charis SIL"/>
          <w:iCs/>
          <w:lang w:val="fi-FI"/>
        </w:rPr>
        <w:t>,</w:t>
      </w:r>
      <w:r w:rsidRPr="00FB4EFA">
        <w:rPr>
          <w:rFonts w:eastAsia="Times New Roman" w:cs="Charis SIL"/>
          <w:lang w:val="fi-FI"/>
        </w:rPr>
        <w:t xml:space="preserve"> mikä on täysin mahdollista, sillä pohjoissaamessa ei ole sanoja, joissa esiintyy sanansisäinen konsonanttiyhtymä </w:t>
      </w:r>
      <w:r w:rsidRPr="00FB4EFA">
        <w:rPr>
          <w:rFonts w:eastAsia="Times New Roman" w:cs="Charis SIL"/>
          <w:i/>
          <w:lang w:val="fi-FI"/>
        </w:rPr>
        <w:t>mc</w:t>
      </w:r>
      <w:r w:rsidRPr="00FB4EFA">
        <w:rPr>
          <w:rFonts w:eastAsia="Times New Roman" w:cs="Charis SIL"/>
          <w:lang w:val="fi-FI"/>
        </w:rPr>
        <w:t>.</w:t>
      </w:r>
    </w:p>
    <w:p w14:paraId="4DFE8616" w14:textId="65D47B64" w:rsidR="000121EA" w:rsidRPr="00FB4EFA" w:rsidRDefault="006B5BDA" w:rsidP="00AF0CAD">
      <w:pPr>
        <w:ind w:firstLine="709"/>
        <w:rPr>
          <w:rFonts w:eastAsia="Times New Roman" w:cs="Charis SIL"/>
          <w:lang w:val="fi-FI"/>
        </w:rPr>
      </w:pPr>
      <w:r w:rsidRPr="00FB4EFA">
        <w:rPr>
          <w:rFonts w:eastAsia="Times New Roman" w:cs="Charis SIL"/>
          <w:lang w:val="fi-FI"/>
        </w:rPr>
        <w:t xml:space="preserve">Kiltinänsaamen muodossa </w:t>
      </w:r>
      <w:r w:rsidRPr="00FB4EFA">
        <w:rPr>
          <w:rFonts w:eastAsia="Times New Roman" w:cs="Charis SIL"/>
          <w:i/>
          <w:lang w:val="fi-FI"/>
        </w:rPr>
        <w:t xml:space="preserve">zemčuγ </w:t>
      </w:r>
      <w:r w:rsidRPr="00FB4EFA">
        <w:rPr>
          <w:rFonts w:eastAsia="Times New Roman" w:cs="Charis SIL"/>
          <w:lang w:val="fi-FI"/>
        </w:rPr>
        <w:t xml:space="preserve">esiintyy toisessa tavussa venäjän sanan </w:t>
      </w:r>
      <w:r w:rsidRPr="00FB4EFA">
        <w:rPr>
          <w:rFonts w:eastAsia="Times New Roman" w:cs="Charis SIL"/>
          <w:i/>
          <w:lang w:val="fi-FI"/>
        </w:rPr>
        <w:t xml:space="preserve">же́мчуг </w:t>
      </w:r>
      <w:r w:rsidRPr="00FB4EFA">
        <w:rPr>
          <w:rFonts w:eastAsia="Times New Roman" w:cs="Charis SIL"/>
          <w:lang w:val="fi-FI"/>
        </w:rPr>
        <w:t>tavoin vokaali [u]</w:t>
      </w:r>
      <w:r w:rsidRPr="00FB4EFA">
        <w:rPr>
          <w:rFonts w:eastAsia="Times New Roman" w:cs="Charis SIL"/>
          <w:i/>
          <w:lang w:val="fi-FI"/>
        </w:rPr>
        <w:t xml:space="preserve"> </w:t>
      </w:r>
      <w:r w:rsidRPr="00FB4EFA">
        <w:rPr>
          <w:rFonts w:eastAsia="Times New Roman" w:cs="Charis SIL"/>
          <w:lang w:val="fi-FI"/>
        </w:rPr>
        <w:t xml:space="preserve">sekä sananloppuinen velaarispirantti [γ], joka on kehittynyt spirantistumisen kautta venäjästä lainatusta soinnillisesta klusiilista [g]. Sananloppuinen velaarispirantti esiintyi 1800-luvun lopulla myös sanoissa </w:t>
      </w:r>
      <w:r w:rsidRPr="00FB4EFA">
        <w:rPr>
          <w:rFonts w:eastAsia="Times New Roman" w:cs="Charis SIL"/>
          <w:i/>
          <w:lang w:val="fi-FI"/>
        </w:rPr>
        <w:t xml:space="preserve">puᵢmmeγ </w:t>
      </w:r>
      <w:r w:rsidRPr="00FB4EFA">
        <w:rPr>
          <w:rFonts w:eastAsia="Times New Roman" w:cs="Charis SIL"/>
          <w:lang w:val="fi-FI"/>
        </w:rPr>
        <w:t xml:space="preserve">’paperi’ (Genetz 1891: 1669) &lt; ven. </w:t>
      </w:r>
      <w:r w:rsidRPr="00FB4EFA">
        <w:rPr>
          <w:rFonts w:eastAsia="Times New Roman" w:cs="Charis SIL"/>
          <w:i/>
          <w:lang w:val="fi-FI"/>
        </w:rPr>
        <w:t xml:space="preserve">бума́га </w:t>
      </w:r>
      <w:r w:rsidR="00D17301" w:rsidRPr="00FB4EFA">
        <w:rPr>
          <w:rFonts w:eastAsia="Times New Roman" w:cs="Charis SIL"/>
          <w:lang w:val="fi-FI"/>
        </w:rPr>
        <w:t>id.</w:t>
      </w:r>
      <w:r w:rsidRPr="00FB4EFA">
        <w:rPr>
          <w:rFonts w:eastAsia="Times New Roman" w:cs="Charis SIL"/>
          <w:lang w:val="fi-FI"/>
        </w:rPr>
        <w:t xml:space="preserve"> sekä </w:t>
      </w:r>
      <w:r w:rsidRPr="00FB4EFA">
        <w:rPr>
          <w:rFonts w:eastAsia="Times New Roman" w:cs="Charis SIL"/>
          <w:i/>
          <w:lang w:val="fi-FI"/>
        </w:rPr>
        <w:t>sāhpeγ</w:t>
      </w:r>
      <w:r w:rsidRPr="00FB4EFA">
        <w:rPr>
          <w:rFonts w:eastAsia="Times New Roman" w:cs="Charis SIL"/>
          <w:lang w:val="fi-FI"/>
        </w:rPr>
        <w:t xml:space="preserve"> ’saapas’ (Genetz 1891: 1049) &lt; ven. </w:t>
      </w:r>
      <w:r w:rsidRPr="00FB4EFA">
        <w:rPr>
          <w:rFonts w:eastAsia="Times New Roman" w:cs="Charis SIL"/>
          <w:i/>
          <w:lang w:val="fi-FI"/>
        </w:rPr>
        <w:t xml:space="preserve">сапо́г </w:t>
      </w:r>
      <w:r w:rsidR="00D17301" w:rsidRPr="00FB4EFA">
        <w:rPr>
          <w:rFonts w:eastAsia="Times New Roman" w:cs="Charis SIL"/>
          <w:lang w:val="fi-FI"/>
        </w:rPr>
        <w:t>id.</w:t>
      </w:r>
      <w:r w:rsidRPr="00FB4EFA">
        <w:rPr>
          <w:rFonts w:eastAsia="Times New Roman" w:cs="Charis SIL"/>
          <w:lang w:val="fi-FI"/>
        </w:rPr>
        <w:t xml:space="preserve">, joista se edelleen heikentyi ja katosi 1900-luvun alkuun tultaessa, jolloin syntyivät muodot </w:t>
      </w:r>
      <w:r w:rsidRPr="00FB4EFA">
        <w:rPr>
          <w:rFonts w:eastAsia="Times New Roman" w:cs="Charis SIL"/>
          <w:i/>
          <w:lang w:val="fi-FI"/>
        </w:rPr>
        <w:t>pe̮m̄mᴈ</w:t>
      </w:r>
      <w:r w:rsidRPr="00FB4EFA">
        <w:rPr>
          <w:rFonts w:eastAsia="Times New Roman" w:cs="Charis SIL"/>
          <w:lang w:val="fi-FI"/>
        </w:rPr>
        <w:t xml:space="preserve"> ’paperi’ (KKLS: 392) sekä </w:t>
      </w:r>
      <w:r w:rsidRPr="00FB4EFA">
        <w:rPr>
          <w:rFonts w:eastAsia="Times New Roman" w:cs="Charis SIL"/>
          <w:i/>
          <w:lang w:val="fi-FI"/>
        </w:rPr>
        <w:t>sā͕ɔ̀p̀e</w:t>
      </w:r>
      <w:r w:rsidRPr="00FB4EFA">
        <w:rPr>
          <w:rFonts w:eastAsia="Times New Roman" w:cs="Charis SIL"/>
          <w:lang w:val="fi-FI"/>
        </w:rPr>
        <w:t xml:space="preserve"> ’saapas’ (KKLS: 473). Edellisistä sanoista poiketen sanan </w:t>
      </w:r>
      <w:r w:rsidRPr="00FB4EFA">
        <w:rPr>
          <w:rFonts w:eastAsia="Times New Roman" w:cs="Charis SIL"/>
          <w:i/>
          <w:lang w:val="fi-FI"/>
        </w:rPr>
        <w:t>zemčuγ</w:t>
      </w:r>
      <w:r w:rsidRPr="00FB4EFA">
        <w:rPr>
          <w:rFonts w:eastAsia="Times New Roman" w:cs="Charis SIL"/>
          <w:lang w:val="fi-FI"/>
        </w:rPr>
        <w:t xml:space="preserve"> velaarispirantti ei kadonnut, sillä sana mukautettiin toiseen taivutustyyppiin, johon kuuluu esimerkiksi kiltinänsaamen </w:t>
      </w:r>
      <w:r w:rsidRPr="00FB4EFA">
        <w:rPr>
          <w:rFonts w:eastAsia="Times New Roman" w:cs="Charis SIL"/>
          <w:i/>
          <w:lang w:val="fi-FI"/>
        </w:rPr>
        <w:t>sȧ̮veχ͕</w:t>
      </w:r>
      <w:r w:rsidRPr="00FB4EFA">
        <w:rPr>
          <w:rFonts w:eastAsia="Times New Roman" w:cs="Charis SIL"/>
          <w:lang w:val="fi-FI"/>
        </w:rPr>
        <w:t xml:space="preserve"> ’suksi’ (KKLS: 479). Myös inarinsaamen sekä koltansaamen sanojen jälkitavut viittaavat äänteellisen substituution sijaan siihen, että sanat on mukautettu morfologisesti kielessä entuudestaan esiintyviin taivutustyyppeihin, vrt. inarinsaamen </w:t>
      </w:r>
      <w:r w:rsidRPr="00FB4EFA">
        <w:rPr>
          <w:rFonts w:eastAsia="Times New Roman" w:cs="Charis SIL"/>
          <w:i/>
          <w:lang w:val="fi-FI"/>
        </w:rPr>
        <w:t>paaccâh</w:t>
      </w:r>
      <w:r w:rsidRPr="00FB4EFA">
        <w:rPr>
          <w:rFonts w:eastAsia="Times New Roman" w:cs="Charis SIL"/>
          <w:lang w:val="fi-FI"/>
        </w:rPr>
        <w:t xml:space="preserve"> ’käpy’ sekä koltansaamen </w:t>
      </w:r>
      <w:r w:rsidRPr="00FB4EFA">
        <w:rPr>
          <w:rFonts w:eastAsia="Times New Roman" w:cs="Charis SIL"/>
          <w:i/>
          <w:lang w:val="fi-FI"/>
        </w:rPr>
        <w:t>paacciǩ</w:t>
      </w:r>
      <w:r w:rsidRPr="00FB4EFA">
        <w:rPr>
          <w:rFonts w:eastAsia="Times New Roman" w:cs="Charis SIL"/>
          <w:lang w:val="fi-FI"/>
        </w:rPr>
        <w:t xml:space="preserve"> </w:t>
      </w:r>
      <w:r w:rsidR="00D17301" w:rsidRPr="00FB4EFA">
        <w:rPr>
          <w:rFonts w:eastAsia="Times New Roman" w:cs="Charis SIL"/>
          <w:lang w:val="fi-FI"/>
        </w:rPr>
        <w:t>id.</w:t>
      </w:r>
    </w:p>
    <w:p w14:paraId="49CE3B0D" w14:textId="480DA1A1" w:rsidR="006B5BDA" w:rsidRPr="00FB4EFA" w:rsidRDefault="006B5BDA" w:rsidP="00AF0CAD">
      <w:pPr>
        <w:ind w:firstLine="709"/>
        <w:rPr>
          <w:lang w:val="fi-FI"/>
        </w:rPr>
      </w:pPr>
      <w:r w:rsidRPr="00FB4EFA">
        <w:rPr>
          <w:rFonts w:eastAsia="Times New Roman" w:cs="Charis SIL"/>
          <w:lang w:val="fi-FI"/>
        </w:rPr>
        <w:t xml:space="preserve">Pohjoissaamesta 1700- ja 1800-luvulla tallennetussa muodossa </w:t>
      </w:r>
      <w:r w:rsidRPr="00FB4EFA">
        <w:rPr>
          <w:rFonts w:eastAsia="Times New Roman" w:cs="Charis SIL"/>
          <w:i/>
          <w:lang w:val="fi-FI"/>
        </w:rPr>
        <w:t>simsik</w:t>
      </w:r>
      <w:r w:rsidRPr="00FB4EFA">
        <w:rPr>
          <w:rFonts w:eastAsia="Times New Roman" w:cs="Charis SIL"/>
          <w:lang w:val="fi-FI"/>
        </w:rPr>
        <w:t xml:space="preserve"> toisen tavun kielenaines -</w:t>
      </w:r>
      <w:r w:rsidRPr="00FB4EFA">
        <w:rPr>
          <w:rFonts w:eastAsia="Times New Roman" w:cs="Charis SIL"/>
          <w:i/>
          <w:iCs/>
          <w:lang w:val="fi-FI"/>
        </w:rPr>
        <w:t>ik</w:t>
      </w:r>
      <w:r w:rsidRPr="00FB4EFA">
        <w:rPr>
          <w:rFonts w:eastAsia="Times New Roman" w:cs="Charis SIL"/>
          <w:lang w:val="fi-FI"/>
        </w:rPr>
        <w:t xml:space="preserve"> ei ole tavallinen pohjoissaamen johdinaines eikä vokaalinsa osalta suomen jälkitavun [u] tavallinen äänteellinen substituutio, vrt. saaP </w:t>
      </w:r>
      <w:r w:rsidRPr="00FB4EFA">
        <w:rPr>
          <w:rFonts w:eastAsia="Times New Roman" w:cs="Charis SIL"/>
          <w:i/>
          <w:iCs/>
          <w:lang w:val="fi-FI"/>
        </w:rPr>
        <w:t xml:space="preserve">hádja </w:t>
      </w:r>
      <w:r w:rsidRPr="00FB4EFA">
        <w:rPr>
          <w:rFonts w:eastAsia="Times New Roman" w:cs="Charis SIL"/>
          <w:lang w:val="fi-FI"/>
        </w:rPr>
        <w:t xml:space="preserve">’haju’ &lt; sm. </w:t>
      </w:r>
      <w:r w:rsidRPr="00FB4EFA">
        <w:rPr>
          <w:rFonts w:eastAsia="Times New Roman" w:cs="Charis SIL"/>
          <w:i/>
          <w:lang w:val="fi-FI"/>
        </w:rPr>
        <w:t xml:space="preserve">haju </w:t>
      </w:r>
      <w:r w:rsidRPr="00FB4EFA">
        <w:rPr>
          <w:rFonts w:eastAsia="Times New Roman" w:cs="Charis SIL"/>
          <w:iCs/>
          <w:lang w:val="fi-FI"/>
        </w:rPr>
        <w:t>(Aikio 2007: 48)</w:t>
      </w:r>
      <w:r w:rsidRPr="00FB4EFA">
        <w:rPr>
          <w:rFonts w:eastAsia="Times New Roman" w:cs="Charis SIL"/>
          <w:lang w:val="fi-FI"/>
        </w:rPr>
        <w:t xml:space="preserve">. Todennäköisin selitys toisen tavun vokaalille on se, että sana on lainaa koltansaamesta. Jossain vaiheessa 1800-luvun puolivälin jälkeen sanan toinen tavu uudelleenanalysoitiin pohjoissaamen johtimeksi, jolloin toisen tavun vokaali vaihtui ja sana kehittyi muotoon </w:t>
      </w:r>
      <w:r w:rsidRPr="00FB4EFA">
        <w:rPr>
          <w:rFonts w:eastAsia="Times New Roman" w:cs="Charis SIL"/>
          <w:i/>
          <w:lang w:val="fi-FI"/>
        </w:rPr>
        <w:t>simssat</w:t>
      </w:r>
      <w:r w:rsidRPr="00FB4EFA">
        <w:rPr>
          <w:rFonts w:eastAsia="Times New Roman" w:cs="Charis SIL"/>
          <w:iCs/>
          <w:vertAlign w:val="superscript"/>
          <w:lang w:val="fi-FI"/>
        </w:rPr>
        <w:footnoteReference w:id="73"/>
      </w:r>
      <w:r w:rsidRPr="00FB4EFA">
        <w:rPr>
          <w:rFonts w:eastAsia="Times New Roman" w:cs="Charis SIL"/>
          <w:lang w:val="fi-FI"/>
        </w:rPr>
        <w:t>. Sanan kehitykseen on saattanut vaikuttaa myös inarinsaamen sana, sillä inarinsaamelaisilla ja pohjoissaamen itämurteen murteen puhujilla on ollut paljon kontakteja keskenään.</w:t>
      </w:r>
    </w:p>
    <w:p w14:paraId="58E19088" w14:textId="056B739D" w:rsidR="006B5BDA" w:rsidRPr="00FB4EFA" w:rsidRDefault="006B5BDA" w:rsidP="00AF0CAD">
      <w:pPr>
        <w:ind w:firstLine="709"/>
        <w:rPr>
          <w:rFonts w:eastAsia="Times New Roman" w:cs="Charis SIL"/>
          <w:lang w:val="fi-FI"/>
        </w:rPr>
      </w:pPr>
      <w:r w:rsidRPr="00FB4EFA">
        <w:rPr>
          <w:rFonts w:eastAsia="Times New Roman" w:cs="Charis SIL"/>
          <w:lang w:val="fi-FI"/>
        </w:rPr>
        <w:lastRenderedPageBreak/>
        <w:t xml:space="preserve">Turjansaamen sana </w:t>
      </w:r>
      <w:r w:rsidRPr="00FB4EFA">
        <w:rPr>
          <w:rFonts w:eastAsia="Times New Roman" w:cs="Charis SIL"/>
          <w:i/>
          <w:lang w:val="fi-FI"/>
        </w:rPr>
        <w:t>ci̊mʒi̊ɵj</w:t>
      </w:r>
      <w:r w:rsidRPr="00FB4EFA">
        <w:rPr>
          <w:rFonts w:eastAsia="Times New Roman" w:cs="Charis SIL"/>
          <w:lang w:val="fi-FI"/>
        </w:rPr>
        <w:t xml:space="preserve"> vaikuttaa deminutiivijohdokselta, mikä viittaa siihen, että karjalan sana </w:t>
      </w:r>
      <w:r w:rsidRPr="00FB4EFA">
        <w:rPr>
          <w:rFonts w:eastAsia="Times New Roman" w:cs="Charis SIL"/>
          <w:i/>
          <w:lang w:val="fi-FI"/>
        </w:rPr>
        <w:t>simčukka</w:t>
      </w:r>
      <w:r w:rsidRPr="00FB4EFA">
        <w:rPr>
          <w:rFonts w:eastAsia="Times New Roman" w:cs="Charis SIL"/>
          <w:lang w:val="fi-FI"/>
        </w:rPr>
        <w:t xml:space="preserve"> tulkittiin deminutiivijohdokseksi, vrt. karj. </w:t>
      </w:r>
      <w:r w:rsidRPr="00FB4EFA">
        <w:rPr>
          <w:rFonts w:eastAsia="Times New Roman" w:cs="Charis SIL"/>
          <w:i/>
          <w:lang w:val="fi-FI"/>
        </w:rPr>
        <w:t xml:space="preserve">neičyt </w:t>
      </w:r>
      <w:r w:rsidRPr="00FB4EFA">
        <w:rPr>
          <w:rFonts w:eastAsia="Times New Roman" w:cs="Charis SIL"/>
          <w:lang w:val="fi-FI"/>
        </w:rPr>
        <w:t xml:space="preserve">’tyttö’ → </w:t>
      </w:r>
      <w:r w:rsidRPr="00FB4EFA">
        <w:rPr>
          <w:rFonts w:eastAsia="Times New Roman" w:cs="Charis SIL"/>
          <w:i/>
          <w:lang w:val="fi-FI"/>
        </w:rPr>
        <w:t xml:space="preserve">neičykkä </w:t>
      </w:r>
      <w:r w:rsidRPr="00FB4EFA">
        <w:rPr>
          <w:rFonts w:eastAsia="Times New Roman" w:cs="Charis SIL"/>
          <w:lang w:val="fi-FI"/>
        </w:rPr>
        <w:t xml:space="preserve">’tyttönen’, jolloin sana lainattiin deminutiivimuotoisena turjansaameen, vrt. saaT </w:t>
      </w:r>
      <w:r w:rsidRPr="00FB4EFA">
        <w:rPr>
          <w:rFonts w:eastAsia="Times New Roman" w:cs="Charis SIL"/>
          <w:i/>
          <w:lang w:val="fi-FI"/>
        </w:rPr>
        <w:t>nìī̭ᵈt</w:t>
      </w:r>
      <w:r w:rsidRPr="00FB4EFA">
        <w:rPr>
          <w:rFonts w:eastAsia="Times New Roman" w:cs="Charis SIL"/>
          <w:lang w:val="fi-FI"/>
        </w:rPr>
        <w:t xml:space="preserve"> ’tyttö’ → </w:t>
      </w:r>
      <w:r w:rsidRPr="00FB4EFA">
        <w:rPr>
          <w:rFonts w:eastAsia="Times New Roman" w:cs="Charis SIL"/>
          <w:i/>
          <w:lang w:val="fi-FI"/>
        </w:rPr>
        <w:t xml:space="preserve">nì˴i̯ᴅ̀a̮i̭ </w:t>
      </w:r>
      <w:r w:rsidRPr="00FB4EFA">
        <w:rPr>
          <w:rFonts w:eastAsia="Times New Roman" w:cs="Charis SIL"/>
          <w:iCs/>
          <w:lang w:val="fi-FI"/>
        </w:rPr>
        <w:t>’tyttönen’</w:t>
      </w:r>
      <w:r w:rsidRPr="00FB4EFA">
        <w:rPr>
          <w:rFonts w:eastAsia="Times New Roman" w:cs="Charis SIL"/>
          <w:lang w:val="fi-FI"/>
        </w:rPr>
        <w:t xml:space="preserve"> (KKLS: 281). Tätä voi kutsua morfologiseksi substituutioksi, josta löytyy paljon esimerkkejä suomen sanastosta (Kim 2019: 36</w:t>
      </w:r>
      <w:r w:rsidRPr="00FB4EFA">
        <w:rPr>
          <w:rFonts w:cs="Charis SIL"/>
          <w:lang w:val="fi-FI"/>
        </w:rPr>
        <w:t>–37</w:t>
      </w:r>
      <w:r w:rsidRPr="00FB4EFA">
        <w:rPr>
          <w:rFonts w:eastAsia="Times New Roman" w:cs="Charis SIL"/>
          <w:lang w:val="fi-FI"/>
        </w:rPr>
        <w:t>, ja siinä mainitut lähteet).</w:t>
      </w:r>
      <w:r w:rsidRPr="00FB4EFA">
        <w:rPr>
          <w:rFonts w:eastAsia="Times New Roman" w:cs="Charis SIL"/>
          <w:vertAlign w:val="superscript"/>
          <w:lang w:val="fi-FI"/>
        </w:rPr>
        <w:footnoteReference w:id="74"/>
      </w:r>
    </w:p>
    <w:p w14:paraId="60728639" w14:textId="77777777" w:rsidR="006B5BDA" w:rsidRPr="00FB4EFA" w:rsidRDefault="006B5BDA" w:rsidP="00B36705">
      <w:pPr>
        <w:pStyle w:val="Heading2"/>
        <w:numPr>
          <w:ilvl w:val="0"/>
          <w:numId w:val="11"/>
        </w:numPr>
        <w:suppressAutoHyphens/>
        <w:spacing w:line="259" w:lineRule="auto"/>
        <w:rPr>
          <w:color w:val="auto"/>
          <w:lang w:val="fi-FI"/>
        </w:rPr>
      </w:pPr>
      <w:r w:rsidRPr="00FB4EFA">
        <w:rPr>
          <w:color w:val="auto"/>
          <w:lang w:val="fi-FI"/>
        </w:rPr>
        <w:t>Itäisten saamelaiskielten ’posliinista, lasista tai muovista helmeä’ merkitsevien sanojen alkuperä</w:t>
      </w:r>
    </w:p>
    <w:p w14:paraId="24942A3A" w14:textId="3469E8E5" w:rsidR="006B5BDA" w:rsidRPr="00FB4EFA" w:rsidRDefault="006B5BDA" w:rsidP="00AF0CAD">
      <w:pPr>
        <w:rPr>
          <w:lang w:val="fi-FI"/>
        </w:rPr>
      </w:pPr>
      <w:r w:rsidRPr="00FB4EFA">
        <w:rPr>
          <w:rFonts w:eastAsia="Times New Roman" w:cs="Charis SIL"/>
          <w:lang w:val="fi-FI"/>
        </w:rPr>
        <w:t xml:space="preserve">Itäisissä saamelaiskielissä esiintyy neljä lasista, posliinista tai muovista helmeä merkitsevää sanaa. Näistä laajimmalle levinnyt on koltansaamessa yksiköllisenä ’suurta helmeä, esim. helminauhassa’ ja monikollisena ’helminauhaa’ merkitsevä sana </w:t>
      </w:r>
      <w:r w:rsidRPr="00FB4EFA">
        <w:rPr>
          <w:rFonts w:eastAsia="Times New Roman" w:cs="Charis SIL"/>
          <w:i/>
          <w:lang w:val="fi-FI"/>
        </w:rPr>
        <w:t>peeʹrel</w:t>
      </w:r>
      <w:r w:rsidRPr="00FB4EFA">
        <w:rPr>
          <w:rFonts w:eastAsia="Times New Roman" w:cs="Charis SIL"/>
          <w:lang w:val="fi-FI"/>
        </w:rPr>
        <w:t xml:space="preserve">, jota vastaa pohjoissaamessa </w:t>
      </w:r>
      <w:r w:rsidRPr="00FB4EFA">
        <w:rPr>
          <w:rFonts w:eastAsia="Times New Roman" w:cs="Charis SIL"/>
          <w:i/>
          <w:iCs/>
          <w:lang w:val="fi-FI"/>
        </w:rPr>
        <w:t>bearal</w:t>
      </w:r>
      <w:r w:rsidRPr="00FB4EFA">
        <w:rPr>
          <w:rFonts w:eastAsia="Times New Roman" w:cs="Charis SIL"/>
          <w:lang w:val="fi-FI"/>
        </w:rPr>
        <w:t xml:space="preserve"> ’helmi’ (Qvigstad 1893: 122). Qvigstadin mukaan sana tavataan myös luulajansaamessa asussa </w:t>
      </w:r>
      <w:r w:rsidRPr="00FB4EFA">
        <w:rPr>
          <w:rFonts w:eastAsia="Times New Roman" w:cs="Charis SIL"/>
          <w:i/>
          <w:iCs/>
          <w:lang w:val="fi-FI"/>
        </w:rPr>
        <w:t>pæral</w:t>
      </w:r>
      <w:r w:rsidRPr="00FB4EFA">
        <w:rPr>
          <w:rFonts w:eastAsia="Times New Roman" w:cs="Charis SIL"/>
          <w:lang w:val="fi-FI"/>
        </w:rPr>
        <w:t>, mutta sitä ei esiinny luulajansaamen sanakirjoissa. Kolttasaamelaiset käyttävät toisinaan käsitöissään näitä suuria helmiä, minkä lisäksi jotkut kolttanaiset käyttivät toisinaan myös helminauhoja (T. I. Itkonen 1948: I, 371).</w:t>
      </w:r>
    </w:p>
    <w:p w14:paraId="6324ADAA" w14:textId="6E86EF17" w:rsidR="006B5BDA" w:rsidRPr="00FB4EFA" w:rsidRDefault="006B5BDA" w:rsidP="00AF0CAD">
      <w:pPr>
        <w:ind w:firstLine="720"/>
        <w:rPr>
          <w:lang w:val="fi-FI"/>
        </w:rPr>
      </w:pPr>
      <w:r w:rsidRPr="00FB4EFA">
        <w:rPr>
          <w:rFonts w:eastAsia="Times New Roman" w:cs="Charis SIL"/>
          <w:lang w:val="fi-FI"/>
        </w:rPr>
        <w:t xml:space="preserve">Koltansaamen sana </w:t>
      </w:r>
      <w:r w:rsidRPr="00FB4EFA">
        <w:rPr>
          <w:rFonts w:eastAsia="Times New Roman" w:cs="Charis SIL"/>
          <w:i/>
          <w:iCs/>
          <w:lang w:val="fi-FI"/>
        </w:rPr>
        <w:t xml:space="preserve">peeʹrel </w:t>
      </w:r>
      <w:r w:rsidRPr="00FB4EFA">
        <w:rPr>
          <w:rFonts w:eastAsia="Times New Roman" w:cs="Charis SIL"/>
          <w:lang w:val="fi-FI"/>
        </w:rPr>
        <w:t xml:space="preserve">on suhteellisen tuore laina norjan sanasta norjan </w:t>
      </w:r>
      <w:r w:rsidRPr="00FB4EFA">
        <w:rPr>
          <w:rFonts w:eastAsia="Times New Roman" w:cs="Charis SIL"/>
          <w:i/>
          <w:lang w:val="fi-FI"/>
        </w:rPr>
        <w:t xml:space="preserve">perle </w:t>
      </w:r>
      <w:r w:rsidRPr="00FB4EFA">
        <w:rPr>
          <w:rFonts w:eastAsia="Times New Roman" w:cs="Charis SIL"/>
          <w:lang w:val="fi-FI"/>
        </w:rPr>
        <w:t>’helmi’ (KKLS: 357), mihin viittaa sekä ensitavun monoftongi-</w:t>
      </w:r>
      <w:r w:rsidRPr="00FB4EFA">
        <w:rPr>
          <w:rFonts w:eastAsia="Times New Roman" w:cs="Charis SIL"/>
          <w:i/>
          <w:iCs/>
          <w:lang w:val="fi-FI"/>
        </w:rPr>
        <w:t>e</w:t>
      </w:r>
      <w:r w:rsidRPr="00FB4EFA">
        <w:rPr>
          <w:rFonts w:eastAsia="Times New Roman" w:cs="Charis SIL"/>
          <w:lang w:val="fi-FI"/>
        </w:rPr>
        <w:t xml:space="preserve">, joka on syntynyt koltansaameen suhteellisen myöhään, että sanan astevaihtelemattomuus, joka on koltansaamessa tuoreiden lainojen </w:t>
      </w:r>
      <w:r w:rsidRPr="00FB4EFA">
        <w:rPr>
          <w:rFonts w:eastAsia="Times New Roman" w:cs="Charis SIL"/>
          <w:lang w:val="fi-FI"/>
        </w:rPr>
        <w:lastRenderedPageBreak/>
        <w:t xml:space="preserve">tunnusmerkki. Pohjoissaamen sana </w:t>
      </w:r>
      <w:r w:rsidRPr="00FB4EFA">
        <w:rPr>
          <w:rFonts w:eastAsia="Times New Roman" w:cs="Charis SIL"/>
          <w:i/>
          <w:iCs/>
          <w:lang w:val="fi-FI"/>
        </w:rPr>
        <w:t xml:space="preserve">bearal </w:t>
      </w:r>
      <w:r w:rsidRPr="00FB4EFA">
        <w:rPr>
          <w:rFonts w:eastAsia="Times New Roman" w:cs="Charis SIL"/>
          <w:lang w:val="fi-FI"/>
        </w:rPr>
        <w:t>vaikuttaa vanhemmalta lainalta, mihin viittaa ensitavun diftongin</w:t>
      </w:r>
      <w:r w:rsidRPr="00FB4EFA">
        <w:rPr>
          <w:rFonts w:eastAsia="Times New Roman" w:cs="Charis SIL"/>
          <w:smallCaps/>
          <w:lang w:val="fi-FI"/>
        </w:rPr>
        <w:t>.</w:t>
      </w:r>
      <w:r w:rsidRPr="00FB4EFA">
        <w:rPr>
          <w:rFonts w:eastAsia="Times New Roman" w:cs="Charis SIL"/>
          <w:lang w:val="fi-FI"/>
        </w:rPr>
        <w:t xml:space="preserve"> Norjaan sana </w:t>
      </w:r>
      <w:r w:rsidRPr="00FB4EFA">
        <w:rPr>
          <w:rFonts w:eastAsia="Times New Roman" w:cs="Charis SIL"/>
          <w:i/>
          <w:lang w:val="fi-FI"/>
        </w:rPr>
        <w:t>perle</w:t>
      </w:r>
      <w:r w:rsidRPr="00FB4EFA">
        <w:rPr>
          <w:rFonts w:eastAsia="Times New Roman" w:cs="Charis SIL"/>
          <w:lang w:val="fi-FI"/>
        </w:rPr>
        <w:t xml:space="preserve"> lainattiin keskialasaksan sanasta </w:t>
      </w:r>
      <w:r w:rsidRPr="00FB4EFA">
        <w:rPr>
          <w:rFonts w:eastAsia="Times New Roman" w:cs="Charis SIL"/>
          <w:i/>
          <w:iCs/>
          <w:lang w:val="fi-FI"/>
        </w:rPr>
        <w:t xml:space="preserve">perle </w:t>
      </w:r>
      <w:r w:rsidR="00D17301" w:rsidRPr="00FB4EFA">
        <w:rPr>
          <w:rFonts w:eastAsia="Times New Roman" w:cs="Charis SIL"/>
          <w:lang w:val="fi-FI"/>
        </w:rPr>
        <w:t>id.</w:t>
      </w:r>
      <w:r w:rsidRPr="00FB4EFA">
        <w:rPr>
          <w:rFonts w:eastAsia="Times New Roman" w:cs="Charis SIL"/>
          <w:lang w:val="fi-FI"/>
        </w:rPr>
        <w:t xml:space="preserve">, joka on edelleen luultavasti romaanisten kielten kautta lainaa keskiajan latinasta </w:t>
      </w:r>
      <w:r w:rsidRPr="00FB4EFA">
        <w:rPr>
          <w:rFonts w:eastAsia="Times New Roman" w:cs="Charis SIL"/>
          <w:i/>
          <w:iCs/>
          <w:lang w:val="fi-FI"/>
        </w:rPr>
        <w:t>perla</w:t>
      </w:r>
      <w:r w:rsidRPr="00FB4EFA">
        <w:rPr>
          <w:rFonts w:eastAsia="Times New Roman" w:cs="Charis SIL"/>
          <w:lang w:val="fi-FI"/>
        </w:rPr>
        <w:t xml:space="preserve"> ~ </w:t>
      </w:r>
      <w:r w:rsidRPr="00FB4EFA">
        <w:rPr>
          <w:rFonts w:eastAsia="Times New Roman" w:cs="Charis SIL"/>
          <w:i/>
          <w:iCs/>
          <w:lang w:val="fi-FI"/>
        </w:rPr>
        <w:t xml:space="preserve">perula </w:t>
      </w:r>
      <w:r w:rsidR="00D17301" w:rsidRPr="00FB4EFA">
        <w:rPr>
          <w:rFonts w:eastAsia="Times New Roman" w:cs="Charis SIL"/>
          <w:lang w:val="fi-FI"/>
        </w:rPr>
        <w:t>id</w:t>
      </w:r>
      <w:r w:rsidRPr="00FB4EFA">
        <w:rPr>
          <w:rFonts w:eastAsia="Times New Roman" w:cs="Charis SIL"/>
          <w:lang w:val="fi-FI"/>
        </w:rPr>
        <w:t xml:space="preserve">. Latinan sanaa pidetään sanan </w:t>
      </w:r>
      <w:r w:rsidRPr="00FB4EFA">
        <w:rPr>
          <w:rFonts w:eastAsia="Times New Roman" w:cs="Charis SIL"/>
          <w:i/>
          <w:iCs/>
          <w:lang w:val="fi-FI"/>
        </w:rPr>
        <w:t>perna</w:t>
      </w:r>
      <w:r w:rsidRPr="00FB4EFA">
        <w:rPr>
          <w:rFonts w:eastAsia="Times New Roman" w:cs="Charis SIL"/>
          <w:lang w:val="fi-FI"/>
        </w:rPr>
        <w:t xml:space="preserve"> ’eräs simpukkalaji’ deminutiivimuotona. (NAOB s.v. perle</w:t>
      </w:r>
      <w:r w:rsidR="00D17301" w:rsidRPr="00FB4EFA">
        <w:rPr>
          <w:rFonts w:eastAsia="Times New Roman" w:cs="Charis SIL"/>
          <w:lang w:val="fi-FI"/>
        </w:rPr>
        <w:t>.</w:t>
      </w:r>
      <w:r w:rsidRPr="00FB4EFA">
        <w:rPr>
          <w:rFonts w:eastAsia="Times New Roman" w:cs="Charis SIL"/>
          <w:lang w:val="fi-FI"/>
        </w:rPr>
        <w:t>)</w:t>
      </w:r>
    </w:p>
    <w:p w14:paraId="11272E40" w14:textId="38C9BA46" w:rsidR="006B5BDA" w:rsidRPr="00FB4EFA" w:rsidRDefault="006B5BDA" w:rsidP="00AF0CAD">
      <w:pPr>
        <w:ind w:firstLine="720"/>
        <w:rPr>
          <w:lang w:val="fi-FI"/>
        </w:rPr>
      </w:pPr>
      <w:r w:rsidRPr="00FB4EFA">
        <w:rPr>
          <w:rFonts w:eastAsia="Times New Roman" w:cs="Charis SIL"/>
          <w:lang w:val="fi-FI"/>
        </w:rPr>
        <w:t xml:space="preserve">Suurten helmien sijaan kolttasaamelaiset käyttävät useammin käsitöissään pieniä lasista, posliinista tai muovista valmistettuja helmiä </w:t>
      </w:r>
      <w:r w:rsidRPr="00FB4EFA">
        <w:rPr>
          <w:rFonts w:eastAsia="Times New Roman" w:cs="Charis SIL"/>
          <w:i/>
          <w:iCs/>
          <w:lang w:val="fi-FI"/>
        </w:rPr>
        <w:t xml:space="preserve">peʹsser </w:t>
      </w:r>
      <w:r w:rsidRPr="00FB4EFA">
        <w:rPr>
          <w:rFonts w:eastAsia="Times New Roman" w:cs="Charis SIL"/>
          <w:lang w:val="fi-FI"/>
        </w:rPr>
        <w:t xml:space="preserve">(Näätämön murteessa </w:t>
      </w:r>
      <w:r w:rsidRPr="00FB4EFA">
        <w:rPr>
          <w:rFonts w:eastAsia="Times New Roman" w:cs="Charis SIL"/>
          <w:i/>
          <w:iCs/>
          <w:lang w:val="fi-FI"/>
        </w:rPr>
        <w:t>pizzer</w:t>
      </w:r>
      <w:r w:rsidRPr="00FB4EFA">
        <w:rPr>
          <w:rFonts w:eastAsia="Times New Roman" w:cs="Charis SIL"/>
          <w:lang w:val="fi-FI"/>
        </w:rPr>
        <w:t xml:space="preserve">, Paatsjoen murteessa </w:t>
      </w:r>
      <w:r w:rsidRPr="00FB4EFA">
        <w:rPr>
          <w:rFonts w:eastAsia="Times New Roman" w:cs="Charis SIL"/>
          <w:i/>
          <w:iCs/>
          <w:lang w:val="fi-FI"/>
        </w:rPr>
        <w:t>pi̬s̜̀s̜er̜</w:t>
      </w:r>
      <w:r w:rsidRPr="00FB4EFA">
        <w:rPr>
          <w:rFonts w:eastAsia="Times New Roman" w:cs="Charis SIL"/>
          <w:lang w:val="fi-FI"/>
        </w:rPr>
        <w:t xml:space="preserve"> ja </w:t>
      </w:r>
      <w:r w:rsidR="00153BA0" w:rsidRPr="00FB4EFA">
        <w:rPr>
          <w:rFonts w:eastAsia="Times New Roman" w:cs="Charis SIL"/>
          <w:lang w:val="fi-FI"/>
        </w:rPr>
        <w:br/>
      </w:r>
      <w:r w:rsidRPr="00FB4EFA">
        <w:rPr>
          <w:rFonts w:eastAsia="Times New Roman" w:cs="Charis SIL"/>
          <w:lang w:val="fi-FI"/>
        </w:rPr>
        <w:t xml:space="preserve">Nuortijärven murteessa </w:t>
      </w:r>
      <w:r w:rsidRPr="00FB4EFA">
        <w:rPr>
          <w:rFonts w:eastAsia="Times New Roman" w:cs="Charis SIL"/>
          <w:i/>
          <w:iCs/>
          <w:lang w:val="fi-FI"/>
        </w:rPr>
        <w:t>pės̜s̜er̜</w:t>
      </w:r>
      <w:r w:rsidRPr="00FB4EFA">
        <w:rPr>
          <w:rFonts w:eastAsia="Times New Roman" w:cs="Charis SIL"/>
          <w:lang w:val="fi-FI"/>
        </w:rPr>
        <w:t xml:space="preserve">), jonka säännöllinen vastine on kiltinänsaamen </w:t>
      </w:r>
      <w:r w:rsidRPr="00FB4EFA">
        <w:rPr>
          <w:rFonts w:eastAsia="Times New Roman" w:cs="Charis SIL"/>
          <w:i/>
          <w:iCs/>
          <w:lang w:val="fi-FI"/>
        </w:rPr>
        <w:t>pᴉ̑s̜s̜er̜</w:t>
      </w:r>
      <w:r w:rsidRPr="00FB4EFA">
        <w:rPr>
          <w:rFonts w:eastAsia="Times New Roman" w:cs="Charis SIL"/>
          <w:lang w:val="fi-FI"/>
        </w:rPr>
        <w:t xml:space="preserve"> (KKLS: 380, 932). Myös tämä sana on etelästä pohjoiseen levinnyt kulkusana, jolle T. I. Itkonen esittää lainalähteeksi venäjän sanaa </w:t>
      </w:r>
      <w:r w:rsidRPr="00FB4EFA">
        <w:rPr>
          <w:rFonts w:eastAsia="Times New Roman" w:cs="Charis SIL"/>
          <w:i/>
          <w:iCs/>
          <w:lang w:val="fi-FI"/>
        </w:rPr>
        <w:t xml:space="preserve">би́сер </w:t>
      </w:r>
      <w:r w:rsidRPr="00FB4EFA">
        <w:rPr>
          <w:rFonts w:eastAsia="Times New Roman" w:cs="Charis SIL"/>
          <w:lang w:val="fi-FI"/>
        </w:rPr>
        <w:t xml:space="preserve">’lasihelmet’. Venäjään sana lainattiin muinaiskirkkoslaavin sanasta </w:t>
      </w:r>
      <w:r w:rsidRPr="00FB4EFA">
        <w:rPr>
          <w:rFonts w:eastAsia="Times New Roman" w:cs="Charis SIL"/>
          <w:i/>
          <w:iCs/>
          <w:lang w:val="fi-FI"/>
        </w:rPr>
        <w:t>бисьръ</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joka on lainaa turkkilaiskielten kautta arabian sanasta </w:t>
      </w:r>
      <w:r w:rsidRPr="00FB4EFA">
        <w:rPr>
          <w:rFonts w:eastAsia="Times New Roman" w:cs="Times New Roman"/>
          <w:rtl/>
          <w:lang w:val="fi-FI"/>
        </w:rPr>
        <w:t>بُسْرَة</w:t>
      </w:r>
      <w:r w:rsidRPr="00FB4EFA">
        <w:rPr>
          <w:rFonts w:eastAsia="Times New Roman" w:cs="Charis SIL"/>
          <w:lang w:val="fi-FI"/>
        </w:rPr>
        <w:t>‎ [busra] ’lasihelmi’ (Vasmer: I, 88), joka merkitsee nykyarabiassa ’raakaa taatelia’. Pidän kuitenkin todennäköisenä, että kyseinen sana olisi lainattu saameen venäjän sijaan karjalan sanasta *</w:t>
      </w:r>
      <w:r w:rsidRPr="00FB4EFA">
        <w:rPr>
          <w:rFonts w:eastAsia="Times New Roman" w:cs="Charis SIL"/>
          <w:i/>
          <w:iCs/>
          <w:lang w:val="fi-FI"/>
        </w:rPr>
        <w:t>piisseri</w:t>
      </w:r>
      <w:r w:rsidRPr="00FB4EFA">
        <w:rPr>
          <w:rFonts w:eastAsia="Times New Roman" w:cs="Charis SIL"/>
          <w:lang w:val="fi-FI"/>
        </w:rPr>
        <w:t xml:space="preserve">, vaikka tällaista muotoa ei ole attestoitu vienankarjalasta. Tällaisen muodon esiintymiseen karjalassa viittaa se, että karjalasta on tallennettu sekä muodot </w:t>
      </w:r>
      <w:r w:rsidRPr="00FB4EFA">
        <w:rPr>
          <w:rFonts w:eastAsia="Times New Roman" w:cs="Charis SIL"/>
          <w:i/>
          <w:iCs/>
          <w:lang w:val="fi-FI"/>
        </w:rPr>
        <w:t xml:space="preserve">piissuri </w:t>
      </w:r>
      <w:r w:rsidRPr="00FB4EFA">
        <w:rPr>
          <w:rFonts w:eastAsia="Times New Roman" w:cs="Charis SIL"/>
          <w:lang w:val="fi-FI"/>
        </w:rPr>
        <w:t xml:space="preserve">’pieni lasihelmi, koristehelmi’ (KKS s.v. piissuri) että </w:t>
      </w:r>
      <w:r w:rsidRPr="00FB4EFA">
        <w:rPr>
          <w:rFonts w:eastAsia="Times New Roman" w:cs="Charis SIL"/>
          <w:i/>
          <w:iCs/>
          <w:lang w:val="fi-FI"/>
        </w:rPr>
        <w:t xml:space="preserve">piisseli </w:t>
      </w:r>
      <w:r w:rsidRPr="00FB4EFA">
        <w:rPr>
          <w:rFonts w:eastAsia="Times New Roman" w:cs="Charis SIL"/>
          <w:lang w:val="fi-FI"/>
        </w:rPr>
        <w:t xml:space="preserve">’lasihelmi’ (KKS s.v. piisseli), joista molemmat on lainattu venäjän sanasta </w:t>
      </w:r>
      <w:r w:rsidRPr="00FB4EFA">
        <w:rPr>
          <w:rFonts w:eastAsia="Times New Roman" w:cs="Charis SIL"/>
          <w:i/>
          <w:iCs/>
          <w:lang w:val="fi-FI"/>
        </w:rPr>
        <w:t>би́сер</w:t>
      </w:r>
      <w:r w:rsidRPr="00FB4EFA">
        <w:rPr>
          <w:rFonts w:eastAsia="Times New Roman" w:cs="Charis SIL"/>
          <w:lang w:val="fi-FI"/>
        </w:rPr>
        <w:t xml:space="preserve">. Lainaamista karjalasta voidaan perustella sekä äänne- että muoto-opillisilla seikoilla. Ensinnäkin sanan alussa esiintyy koltan- ja kiltinänsaamessa soinniton klusiili, vaikka tavallisesti venäjän sananalkuinen soinniton klusiili on substituoitu sekä koltansaameen että kiltinänsaameen soinnillisella klusiililla, esim. saaKo </w:t>
      </w:r>
      <w:r w:rsidRPr="00FB4EFA">
        <w:rPr>
          <w:rFonts w:eastAsia="Times New Roman" w:cs="Charis SIL"/>
          <w:i/>
          <w:iCs/>
          <w:lang w:val="fi-FI"/>
        </w:rPr>
        <w:t>bieʹzmen</w:t>
      </w:r>
      <w:r w:rsidRPr="00FB4EFA">
        <w:rPr>
          <w:rFonts w:eastAsia="Times New Roman" w:cs="Charis SIL"/>
          <w:lang w:val="fi-FI"/>
        </w:rPr>
        <w:t xml:space="preserve"> ~ saaKi </w:t>
      </w:r>
      <w:r w:rsidRPr="00FB4EFA">
        <w:rPr>
          <w:rFonts w:eastAsia="Times New Roman" w:cs="Charis SIL"/>
          <w:i/>
          <w:iCs/>
          <w:lang w:val="fi-FI"/>
        </w:rPr>
        <w:t>b</w:t>
      </w:r>
      <w:r w:rsidR="00DA2495" w:rsidRPr="00FB4EFA">
        <w:rPr>
          <w:rFonts w:eastAsia="Times New Roman" w:cs="Charis SIL"/>
          <w:i/>
          <w:iCs/>
          <w:lang w:val="fi-FI"/>
        </w:rPr>
        <w:t>ē</w:t>
      </w:r>
      <w:r w:rsidRPr="00FB4EFA">
        <w:rPr>
          <w:rFonts w:eastAsia="Times New Roman" w:cs="Charis SIL"/>
          <w:i/>
          <w:iCs/>
          <w:lang w:val="fi-FI"/>
        </w:rPr>
        <w:t>ᴢ̜men̜</w:t>
      </w:r>
      <w:r w:rsidRPr="00FB4EFA">
        <w:rPr>
          <w:rFonts w:eastAsia="Times New Roman" w:cs="Charis SIL"/>
          <w:lang w:val="fi-FI"/>
        </w:rPr>
        <w:t xml:space="preserve"> </w:t>
      </w:r>
      <w:r w:rsidR="00D17301" w:rsidRPr="00FB4EFA">
        <w:rPr>
          <w:rFonts w:eastAsia="Times New Roman" w:cs="Charis SIL"/>
          <w:lang w:val="fi-FI"/>
        </w:rPr>
        <w:br/>
      </w:r>
      <w:r w:rsidRPr="00FB4EFA">
        <w:rPr>
          <w:rFonts w:eastAsia="Times New Roman" w:cs="Charis SIL"/>
          <w:lang w:val="fi-FI"/>
        </w:rPr>
        <w:t xml:space="preserve">’puntari’ (KKLS: 24) &lt; ven. </w:t>
      </w:r>
      <w:r w:rsidRPr="00FB4EFA">
        <w:rPr>
          <w:rFonts w:eastAsia="Times New Roman" w:cs="Charis SIL"/>
          <w:i/>
          <w:iCs/>
          <w:lang w:val="fi-FI"/>
        </w:rPr>
        <w:t>безме́н</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sekä saaKo </w:t>
      </w:r>
      <w:r w:rsidRPr="00FB4EFA">
        <w:rPr>
          <w:rFonts w:eastAsia="Times New Roman" w:cs="Charis SIL"/>
          <w:i/>
          <w:iCs/>
          <w:lang w:val="fi-FI"/>
        </w:rPr>
        <w:t xml:space="preserve">boʹhtter </w:t>
      </w:r>
      <w:r w:rsidRPr="00FB4EFA">
        <w:rPr>
          <w:rFonts w:eastAsia="Times New Roman" w:cs="Charis SIL"/>
          <w:lang w:val="fi-FI"/>
        </w:rPr>
        <w:t>’sankari, soturi, jättiläinen’ ~ saaKi</w:t>
      </w:r>
      <w:r w:rsidRPr="00FB4EFA">
        <w:rPr>
          <w:rFonts w:eastAsia="Times New Roman" w:cs="Charis SIL"/>
          <w:i/>
          <w:iCs/>
          <w:lang w:val="fi-FI"/>
        </w:rPr>
        <w:t xml:space="preserve"> boχᵃtər</w:t>
      </w:r>
      <w:r w:rsidRPr="00FB4EFA">
        <w:rPr>
          <w:rFonts w:eastAsia="Times New Roman" w:cs="Charis SIL"/>
          <w:lang w:val="fi-FI"/>
        </w:rPr>
        <w:t xml:space="preserve"> ’sankari, väkimies’ (KKLS: 24, 814) &lt; ven. </w:t>
      </w:r>
      <w:r w:rsidRPr="00FB4EFA">
        <w:rPr>
          <w:rFonts w:eastAsia="Times New Roman" w:cs="Charis SIL"/>
          <w:i/>
          <w:iCs/>
          <w:lang w:val="fi-FI"/>
        </w:rPr>
        <w:t>богаты́рь</w:t>
      </w:r>
      <w:r w:rsidRPr="00FB4EFA">
        <w:rPr>
          <w:rFonts w:eastAsia="Times New Roman" w:cs="Charis SIL"/>
          <w:lang w:val="fi-FI"/>
        </w:rPr>
        <w:t xml:space="preserve"> ’sankari, jättiläinen’. Karjalaislainaan viittaa myös se, että saamelaiskielissä sana esiintyy yksikkömuotoisena karjalan tavoin toisin kuin venäjässä, jossa sana on lähtökohtaisesti monikkomuotoinen. Venäjän monikkomuotoiset sanat on lainattu saamelaiskieliin monikkomuotoisina, esim. koltansaamen </w:t>
      </w:r>
      <w:r w:rsidRPr="00FB4EFA">
        <w:rPr>
          <w:rFonts w:cs="Charis SIL"/>
          <w:i/>
          <w:iCs/>
          <w:lang w:val="fi-FI"/>
        </w:rPr>
        <w:t xml:space="preserve">saan </w:t>
      </w:r>
      <w:r w:rsidRPr="00FB4EFA">
        <w:rPr>
          <w:rFonts w:cs="Charis SIL"/>
          <w:lang w:val="fi-FI"/>
        </w:rPr>
        <w:t xml:space="preserve">’reki’ (KKLS: 472) &lt; ven. </w:t>
      </w:r>
      <w:r w:rsidRPr="00FB4EFA">
        <w:rPr>
          <w:rFonts w:cs="Charis SIL"/>
          <w:i/>
          <w:iCs/>
          <w:lang w:val="fi-FI"/>
        </w:rPr>
        <w:t>са́ни</w:t>
      </w:r>
      <w:r w:rsidRPr="00FB4EFA">
        <w:rPr>
          <w:rFonts w:cs="Charis SIL"/>
          <w:lang w:val="fi-FI"/>
        </w:rPr>
        <w:t xml:space="preserve"> </w:t>
      </w:r>
      <w:r w:rsidR="00D17301" w:rsidRPr="00FB4EFA">
        <w:rPr>
          <w:rFonts w:eastAsia="Times New Roman" w:cs="Charis SIL"/>
          <w:lang w:val="fi-FI"/>
        </w:rPr>
        <w:t>id.</w:t>
      </w:r>
      <w:r w:rsidRPr="00FB4EFA">
        <w:rPr>
          <w:rFonts w:cs="Charis SIL"/>
          <w:lang w:val="fi-FI"/>
        </w:rPr>
        <w:t xml:space="preserve">, </w:t>
      </w:r>
      <w:r w:rsidRPr="00FB4EFA">
        <w:rPr>
          <w:rFonts w:cs="Charis SIL"/>
          <w:i/>
          <w:iCs/>
          <w:lang w:val="fi-FI"/>
        </w:rPr>
        <w:t>suutk</w:t>
      </w:r>
      <w:r w:rsidRPr="00FB4EFA">
        <w:rPr>
          <w:rFonts w:cs="Charis SIL"/>
          <w:lang w:val="fi-FI"/>
        </w:rPr>
        <w:t xml:space="preserve"> ’vuorokausi’ (KKLS: 537) &lt; ven. </w:t>
      </w:r>
      <w:r w:rsidRPr="00FB4EFA">
        <w:rPr>
          <w:rFonts w:cs="Charis SIL"/>
          <w:i/>
          <w:iCs/>
          <w:lang w:val="fi-FI"/>
        </w:rPr>
        <w:t>су́тки</w:t>
      </w:r>
      <w:r w:rsidRPr="00FB4EFA">
        <w:rPr>
          <w:rFonts w:cs="Charis SIL"/>
          <w:lang w:val="fi-FI"/>
        </w:rPr>
        <w:t xml:space="preserve"> </w:t>
      </w:r>
      <w:r w:rsidR="00D17301" w:rsidRPr="00FB4EFA">
        <w:rPr>
          <w:rFonts w:cs="Charis SIL"/>
          <w:lang w:val="fi-FI"/>
        </w:rPr>
        <w:t>id.</w:t>
      </w:r>
      <w:r w:rsidRPr="00FB4EFA">
        <w:rPr>
          <w:rFonts w:cs="Charis SIL"/>
          <w:lang w:val="fi-FI"/>
        </w:rPr>
        <w:t xml:space="preserve"> sekä </w:t>
      </w:r>
      <w:r w:rsidRPr="00FB4EFA">
        <w:rPr>
          <w:rFonts w:cs="Charis SIL"/>
          <w:i/>
          <w:iCs/>
          <w:lang w:val="fi-FI"/>
        </w:rPr>
        <w:t>veeʹss</w:t>
      </w:r>
      <w:r w:rsidRPr="00FB4EFA">
        <w:rPr>
          <w:rFonts w:cs="Charis SIL"/>
          <w:lang w:val="fi-FI"/>
        </w:rPr>
        <w:t xml:space="preserve"> ’vaaka’ (KKLS: 757) &lt; ven. </w:t>
      </w:r>
      <w:r w:rsidRPr="00FB4EFA">
        <w:rPr>
          <w:rFonts w:cs="Charis SIL"/>
          <w:i/>
          <w:iCs/>
          <w:lang w:val="fi-FI"/>
        </w:rPr>
        <w:t>весы́</w:t>
      </w:r>
      <w:r w:rsidRPr="00FB4EFA">
        <w:rPr>
          <w:rFonts w:cs="Charis SIL"/>
          <w:lang w:val="fi-FI"/>
        </w:rPr>
        <w:t xml:space="preserve"> </w:t>
      </w:r>
      <w:r w:rsidR="00D17301" w:rsidRPr="00FB4EFA">
        <w:rPr>
          <w:rFonts w:cs="Charis SIL"/>
          <w:lang w:val="fi-FI"/>
        </w:rPr>
        <w:t>id</w:t>
      </w:r>
      <w:r w:rsidRPr="00FB4EFA">
        <w:rPr>
          <w:rFonts w:cs="Charis SIL"/>
          <w:lang w:val="fi-FI"/>
        </w:rPr>
        <w:t>. Sekä koltansaamessa että kiltinänsaamessa kyseinen hel</w:t>
      </w:r>
      <w:r w:rsidRPr="00FB4EFA">
        <w:rPr>
          <w:rFonts w:cs="Charis SIL"/>
          <w:lang w:val="fi-FI"/>
        </w:rPr>
        <w:lastRenderedPageBreak/>
        <w:t>meä merkitsevä sana on verrattain tuore karjalaislaina, johon viittaa sanan astevaihtelemattomuus.</w:t>
      </w:r>
    </w:p>
    <w:p w14:paraId="2725F869" w14:textId="1098CCBA" w:rsidR="006B5BDA" w:rsidRPr="00FB4EFA" w:rsidRDefault="006B5BDA" w:rsidP="00AF0CAD">
      <w:pPr>
        <w:ind w:firstLine="720"/>
        <w:rPr>
          <w:lang w:val="fi-FI"/>
        </w:rPr>
      </w:pPr>
      <w:r w:rsidRPr="00FB4EFA">
        <w:rPr>
          <w:rFonts w:eastAsia="Times New Roman" w:cs="Charis SIL"/>
          <w:iCs/>
          <w:lang w:val="fi-FI"/>
        </w:rPr>
        <w:t xml:space="preserve">Kiltinänsaamessa esiintyy myös </w:t>
      </w:r>
      <w:r w:rsidRPr="00FB4EFA">
        <w:rPr>
          <w:rFonts w:eastAsia="Times New Roman" w:cs="Charis SIL"/>
          <w:i/>
          <w:iCs/>
          <w:lang w:val="fi-FI"/>
        </w:rPr>
        <w:t xml:space="preserve">tsuət̜̄k͕ᴱ </w:t>
      </w:r>
      <w:r w:rsidRPr="00FB4EFA">
        <w:rPr>
          <w:rFonts w:eastAsia="Times New Roman" w:cs="Charis SIL"/>
          <w:lang w:val="fi-FI"/>
        </w:rPr>
        <w:t xml:space="preserve">’helmi, pl. helminauha’ (KKLS: 639, 954), jolle ei ole esitetty lainalähdettä. Esitän, että sana on lainattu karjalan kielen sanasta </w:t>
      </w:r>
      <w:r w:rsidRPr="00FB4EFA">
        <w:rPr>
          <w:rFonts w:eastAsia="Times New Roman" w:cs="Charis SIL"/>
          <w:i/>
          <w:iCs/>
          <w:lang w:val="fi-FI"/>
        </w:rPr>
        <w:t xml:space="preserve">čotka </w:t>
      </w:r>
      <w:r w:rsidRPr="00FB4EFA">
        <w:rPr>
          <w:rFonts w:eastAsia="Times New Roman" w:cs="Charis SIL"/>
          <w:lang w:val="fi-FI"/>
        </w:rPr>
        <w:t xml:space="preserve">~ </w:t>
      </w:r>
      <w:r w:rsidRPr="00FB4EFA">
        <w:rPr>
          <w:rFonts w:eastAsia="Times New Roman" w:cs="Charis SIL"/>
          <w:i/>
          <w:iCs/>
          <w:lang w:val="fi-FI"/>
        </w:rPr>
        <w:t xml:space="preserve">čotkat </w:t>
      </w:r>
      <w:r w:rsidRPr="00FB4EFA">
        <w:rPr>
          <w:rFonts w:eastAsia="Times New Roman" w:cs="Charis SIL"/>
          <w:lang w:val="fi-FI"/>
        </w:rPr>
        <w:t>’rukousnauha’ (KKS s.v. t</w:t>
      </w:r>
      <w:r w:rsidR="00450A10" w:rsidRPr="00FB4EFA">
        <w:rPr>
          <w:rFonts w:eastAsia="Times New Roman" w:cs="Charis SIL"/>
          <w:lang w:val="fi-FI"/>
        </w:rPr>
        <w:t>š</w:t>
      </w:r>
      <w:r w:rsidRPr="00FB4EFA">
        <w:rPr>
          <w:rFonts w:eastAsia="Times New Roman" w:cs="Charis SIL"/>
          <w:lang w:val="fi-FI"/>
        </w:rPr>
        <w:t xml:space="preserve">otkat), joka on tavallisesti monikollinen sana. Karjalaislainaan viittaa affrikaatan substituoimisen (ks. yllä) lisäksi myös ensitavun monoftongin [o] substituoimiseen diftongilla sekä sanan e-vartaloisuus. Kyseessä on niin sanottu etymologinen nativisaatio (ks. Aikio 2007), jonka mallina ovat toimineet esimerkiksi yhteisestä kantakielestä periytyvät sanat </w:t>
      </w:r>
      <w:r w:rsidRPr="00FB4EFA">
        <w:rPr>
          <w:rFonts w:eastAsia="Times New Roman" w:cs="Charis SIL"/>
          <w:i/>
          <w:iCs/>
          <w:lang w:val="fi-FI"/>
        </w:rPr>
        <w:t>kuəᴅ̜t̜ᴱ</w:t>
      </w:r>
      <w:r w:rsidRPr="00FB4EFA">
        <w:rPr>
          <w:rFonts w:eastAsia="Times New Roman" w:cs="Charis SIL"/>
          <w:lang w:val="fi-FI"/>
        </w:rPr>
        <w:t xml:space="preserve"> ’kota’ (KKLS: 137) ~ karj. </w:t>
      </w:r>
      <w:r w:rsidRPr="00FB4EFA">
        <w:rPr>
          <w:rFonts w:eastAsia="Times New Roman" w:cs="Charis SIL"/>
          <w:i/>
          <w:iCs/>
          <w:lang w:val="fi-FI"/>
        </w:rPr>
        <w:t xml:space="preserve">kota </w:t>
      </w:r>
      <w:r w:rsidR="00D17301" w:rsidRPr="00FB4EFA">
        <w:rPr>
          <w:rFonts w:eastAsia="Times New Roman" w:cs="Charis SIL"/>
          <w:lang w:val="fi-FI"/>
        </w:rPr>
        <w:t>id.</w:t>
      </w:r>
      <w:r w:rsidRPr="00FB4EFA">
        <w:rPr>
          <w:rFonts w:eastAsia="Times New Roman" w:cs="Charis SIL"/>
          <w:lang w:val="fi-FI"/>
        </w:rPr>
        <w:t xml:space="preserve"> sekä </w:t>
      </w:r>
      <w:r w:rsidRPr="00FB4EFA">
        <w:rPr>
          <w:rFonts w:eastAsia="Times New Roman" w:cs="Charis SIL"/>
          <w:i/>
          <w:iCs/>
          <w:lang w:val="fi-FI"/>
        </w:rPr>
        <w:t>t́š́uəδ̜̄ᵍk͕ᴱ</w:t>
      </w:r>
      <w:r w:rsidRPr="00FB4EFA">
        <w:rPr>
          <w:rFonts w:eastAsia="Times New Roman" w:cs="Charis SIL"/>
          <w:lang w:val="fi-FI"/>
        </w:rPr>
        <w:t xml:space="preserve"> ’sotka’ (KKLS: 669) ~ karj. </w:t>
      </w:r>
      <w:r w:rsidRPr="00FB4EFA">
        <w:rPr>
          <w:rFonts w:eastAsia="Times New Roman" w:cs="Charis SIL"/>
          <w:i/>
          <w:iCs/>
          <w:lang w:val="fi-FI"/>
        </w:rPr>
        <w:t xml:space="preserve">šotka </w:t>
      </w:r>
      <w:r w:rsidR="00D17301" w:rsidRPr="00FB4EFA">
        <w:rPr>
          <w:rFonts w:eastAsia="Times New Roman" w:cs="Charis SIL"/>
          <w:lang w:val="fi-FI"/>
        </w:rPr>
        <w:t>id.</w:t>
      </w:r>
      <w:r w:rsidRPr="00FB4EFA">
        <w:rPr>
          <w:rFonts w:eastAsia="Times New Roman" w:cs="Charis SIL"/>
          <w:lang w:val="fi-FI"/>
        </w:rPr>
        <w:t xml:space="preserve">. Mikäli kiltinänsaamen sana </w:t>
      </w:r>
      <w:r w:rsidRPr="00FB4EFA">
        <w:rPr>
          <w:rFonts w:eastAsia="Times New Roman" w:cs="Charis SIL"/>
          <w:i/>
          <w:iCs/>
          <w:lang w:val="fi-FI"/>
        </w:rPr>
        <w:t>tsuət̜̄k͕ᴱ</w:t>
      </w:r>
      <w:r w:rsidRPr="00FB4EFA">
        <w:rPr>
          <w:rFonts w:eastAsia="Times New Roman" w:cs="Charis SIL"/>
          <w:lang w:val="fi-FI"/>
        </w:rPr>
        <w:t xml:space="preserve"> olisi lainattu venäjän sanasta </w:t>
      </w:r>
      <w:r w:rsidRPr="00FB4EFA">
        <w:rPr>
          <w:rFonts w:eastAsia="Times New Roman" w:cs="Charis SIL"/>
          <w:i/>
          <w:iCs/>
          <w:lang w:val="fi-FI"/>
        </w:rPr>
        <w:t>чётки</w:t>
      </w:r>
      <w:r w:rsidRPr="00FB4EFA">
        <w:rPr>
          <w:rFonts w:eastAsia="Times New Roman" w:cs="Charis SIL"/>
          <w:lang w:val="fi-FI"/>
        </w:rPr>
        <w:t xml:space="preserve"> ’rukousnauha’, josta myös karjalan sana </w:t>
      </w:r>
      <w:r w:rsidRPr="00FB4EFA">
        <w:rPr>
          <w:rFonts w:eastAsia="Times New Roman" w:cs="Charis SIL"/>
          <w:i/>
          <w:iCs/>
          <w:lang w:val="fi-FI"/>
        </w:rPr>
        <w:t xml:space="preserve">čotka </w:t>
      </w:r>
      <w:r w:rsidRPr="00FB4EFA">
        <w:rPr>
          <w:rFonts w:eastAsia="Times New Roman" w:cs="Charis SIL"/>
          <w:lang w:val="fi-FI"/>
        </w:rPr>
        <w:t xml:space="preserve">~ </w:t>
      </w:r>
      <w:r w:rsidRPr="00FB4EFA">
        <w:rPr>
          <w:rFonts w:eastAsia="Times New Roman" w:cs="Charis SIL"/>
          <w:i/>
          <w:iCs/>
          <w:lang w:val="fi-FI"/>
        </w:rPr>
        <w:t xml:space="preserve">čotkat </w:t>
      </w:r>
      <w:r w:rsidRPr="00FB4EFA">
        <w:rPr>
          <w:rFonts w:eastAsia="Times New Roman" w:cs="Charis SIL"/>
          <w:lang w:val="fi-FI"/>
        </w:rPr>
        <w:t xml:space="preserve">on lainattu, ensitavuun olettaisi monoftongia, vrt. </w:t>
      </w:r>
      <w:r w:rsidRPr="00FB4EFA">
        <w:rPr>
          <w:rFonts w:eastAsia="Times New Roman" w:cs="Charis SIL"/>
          <w:i/>
          <w:iCs/>
          <w:lang w:val="fi-FI"/>
        </w:rPr>
        <w:t>лōmm</w:t>
      </w:r>
      <w:r w:rsidRPr="00FB4EFA">
        <w:rPr>
          <w:rFonts w:eastAsia="Times New Roman" w:cs="Charis SIL"/>
          <w:lang w:val="fi-FI"/>
        </w:rPr>
        <w:t xml:space="preserve"> ’rautakanki’ (KKLS: 888) &lt; ven. </w:t>
      </w:r>
      <w:r w:rsidRPr="00FB4EFA">
        <w:rPr>
          <w:rFonts w:eastAsia="Times New Roman" w:cs="Charis SIL"/>
          <w:i/>
          <w:iCs/>
          <w:lang w:val="fi-FI"/>
        </w:rPr>
        <w:t>лом</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sekä </w:t>
      </w:r>
      <w:r w:rsidRPr="00FB4EFA">
        <w:rPr>
          <w:rFonts w:eastAsia="Times New Roman" w:cs="Charis SIL"/>
          <w:i/>
          <w:iCs/>
          <w:lang w:val="fi-FI"/>
        </w:rPr>
        <w:t>škō̬лa</w:t>
      </w:r>
      <w:r w:rsidRPr="00FB4EFA">
        <w:rPr>
          <w:rFonts w:eastAsia="Times New Roman" w:cs="Charis SIL"/>
          <w:lang w:val="fi-FI"/>
        </w:rPr>
        <w:t xml:space="preserve"> ’koulu’ (KKLS: 556) &lt; ven. </w:t>
      </w:r>
      <w:r w:rsidRPr="00FB4EFA">
        <w:rPr>
          <w:rFonts w:eastAsia="Times New Roman" w:cs="Charis SIL"/>
          <w:i/>
          <w:iCs/>
          <w:lang w:val="fi-FI"/>
        </w:rPr>
        <w:t xml:space="preserve">школа </w:t>
      </w:r>
      <w:r w:rsidR="00D17301" w:rsidRPr="00FB4EFA">
        <w:rPr>
          <w:rFonts w:eastAsia="Times New Roman" w:cs="Charis SIL"/>
          <w:lang w:val="fi-FI"/>
        </w:rPr>
        <w:t>id.</w:t>
      </w:r>
      <w:r w:rsidRPr="00FB4EFA">
        <w:rPr>
          <w:rFonts w:eastAsia="Times New Roman" w:cs="Charis SIL"/>
          <w:lang w:val="fi-FI"/>
        </w:rPr>
        <w:t xml:space="preserve">. Venäjän sana palautuu lukemista ja laskemista merkitsevään verbiin </w:t>
      </w:r>
      <w:r w:rsidRPr="00FB4EFA">
        <w:rPr>
          <w:rFonts w:eastAsia="Times New Roman" w:cs="Charis SIL"/>
          <w:i/>
          <w:iCs/>
          <w:lang w:val="fi-FI"/>
        </w:rPr>
        <w:t xml:space="preserve">честь </w:t>
      </w:r>
      <w:r w:rsidRPr="00FB4EFA">
        <w:rPr>
          <w:rFonts w:eastAsia="Times New Roman" w:cs="Charis SIL"/>
          <w:lang w:val="fi-FI"/>
        </w:rPr>
        <w:t>&lt;</w:t>
      </w:r>
      <w:r w:rsidR="00D17301" w:rsidRPr="00FB4EFA">
        <w:rPr>
          <w:rFonts w:eastAsia="Times New Roman" w:cs="Charis SIL"/>
          <w:lang w:val="fi-FI"/>
        </w:rPr>
        <w:t> </w:t>
      </w:r>
      <w:r w:rsidRPr="00FB4EFA">
        <w:rPr>
          <w:rFonts w:eastAsia="Times New Roman" w:cs="Charis SIL"/>
          <w:lang w:val="fi-FI"/>
        </w:rPr>
        <w:t>*</w:t>
      </w:r>
      <w:r w:rsidRPr="00FB4EFA">
        <w:rPr>
          <w:rFonts w:eastAsia="Times New Roman" w:cs="Charis SIL"/>
          <w:i/>
          <w:iCs/>
          <w:lang w:val="fi-FI"/>
        </w:rPr>
        <w:t>čьstь</w:t>
      </w:r>
      <w:r w:rsidRPr="00FB4EFA">
        <w:rPr>
          <w:rFonts w:eastAsia="Times New Roman" w:cs="Charis SIL"/>
          <w:lang w:val="fi-FI"/>
        </w:rPr>
        <w:t xml:space="preserve"> (Vasmer: III, 331, 349). Tähän venäjän verbiin palautuu myös venäjän sana </w:t>
      </w:r>
      <w:r w:rsidRPr="00FB4EFA">
        <w:rPr>
          <w:rFonts w:eastAsia="Times New Roman" w:cs="Charis SIL"/>
          <w:i/>
          <w:iCs/>
          <w:lang w:val="fi-FI"/>
        </w:rPr>
        <w:t xml:space="preserve">счёты </w:t>
      </w:r>
      <w:r w:rsidRPr="00FB4EFA">
        <w:rPr>
          <w:rFonts w:eastAsia="Times New Roman" w:cs="Charis SIL"/>
          <w:lang w:val="fi-FI"/>
        </w:rPr>
        <w:t xml:space="preserve">’helmitaulu’, josta on lainattu koltansaamen sana </w:t>
      </w:r>
      <w:r w:rsidRPr="00FB4EFA">
        <w:rPr>
          <w:rFonts w:eastAsia="Times New Roman" w:cs="Charis SIL"/>
          <w:i/>
          <w:iCs/>
          <w:lang w:val="fi-FI"/>
        </w:rPr>
        <w:t xml:space="preserve">čoott </w:t>
      </w:r>
      <w:r w:rsidRPr="00FB4EFA">
        <w:rPr>
          <w:rFonts w:eastAsia="Times New Roman" w:cs="Charis SIL"/>
          <w:lang w:val="fi-FI"/>
        </w:rPr>
        <w:t>id. (KKLS: 679), joka on lainalähteensä tavoin monikollinen sana.</w:t>
      </w:r>
    </w:p>
    <w:p w14:paraId="76B79F98" w14:textId="022D0F89" w:rsidR="006B5BDA" w:rsidRPr="00FB4EFA" w:rsidRDefault="006B5BDA" w:rsidP="00AF0CAD">
      <w:pPr>
        <w:ind w:firstLine="720"/>
        <w:rPr>
          <w:lang w:val="fi-FI"/>
        </w:rPr>
      </w:pPr>
      <w:r w:rsidRPr="00FB4EFA">
        <w:rPr>
          <w:rFonts w:eastAsia="Times New Roman" w:cs="Charis SIL"/>
          <w:lang w:val="fi-FI"/>
        </w:rPr>
        <w:t xml:space="preserve">Inarinsaamessa esiintyy ’lasista tai posliinista helmeä’ merkitsevä yhdyssana </w:t>
      </w:r>
      <w:r w:rsidRPr="00FB4EFA">
        <w:rPr>
          <w:rFonts w:eastAsia="Times New Roman" w:cs="Charis SIL"/>
          <w:i/>
          <w:iCs/>
          <w:lang w:val="fi-FI"/>
        </w:rPr>
        <w:t xml:space="preserve">kässeekeđgi </w:t>
      </w:r>
      <w:r w:rsidRPr="00FB4EFA">
        <w:rPr>
          <w:rFonts w:eastAsia="Times New Roman" w:cs="Charis SIL"/>
          <w:lang w:val="fi-FI"/>
        </w:rPr>
        <w:t xml:space="preserve">(InLpW: 1334), jonka perusosa merkitsee ’kiveä’. Erkki Itkonen on yhdistänyt sanan määriteosan ’juoksutusmahaa’ merkitsevään sanaan </w:t>
      </w:r>
      <w:r w:rsidRPr="00FB4EFA">
        <w:rPr>
          <w:rFonts w:eastAsia="Times New Roman" w:cs="Charis SIL"/>
          <w:i/>
          <w:iCs/>
          <w:lang w:val="fi-FI"/>
        </w:rPr>
        <w:t>kässee</w:t>
      </w:r>
      <w:r w:rsidRPr="00FB4EFA">
        <w:rPr>
          <w:rFonts w:eastAsia="Times New Roman" w:cs="Charis SIL"/>
          <w:lang w:val="fi-FI"/>
        </w:rPr>
        <w:t xml:space="preserve">, jonka vastine on pohjoissaamen </w:t>
      </w:r>
      <w:r w:rsidRPr="00FB4EFA">
        <w:rPr>
          <w:rFonts w:eastAsia="Times New Roman" w:cs="Charis SIL"/>
          <w:i/>
          <w:iCs/>
          <w:lang w:val="fi-FI"/>
        </w:rPr>
        <w:t xml:space="preserve">gássi </w:t>
      </w:r>
      <w:r w:rsidRPr="00FB4EFA">
        <w:rPr>
          <w:rFonts w:eastAsia="Times New Roman" w:cs="Charis SIL"/>
          <w:lang w:val="fi-FI"/>
        </w:rPr>
        <w:t>’ternimaito, juoksute’. Nämä sanat ovat lainaa kantaskandinaavin sanasta *</w:t>
      </w:r>
      <w:r w:rsidRPr="00FB4EFA">
        <w:rPr>
          <w:rFonts w:eastAsia="Times New Roman" w:cs="Charis SIL"/>
          <w:i/>
          <w:iCs/>
          <w:lang w:val="fi-FI"/>
        </w:rPr>
        <w:t>k</w:t>
      </w:r>
      <w:r w:rsidR="00DA2495" w:rsidRPr="00FB4EFA">
        <w:rPr>
          <w:rFonts w:eastAsia="Times New Roman" w:cs="Charis SIL"/>
          <w:i/>
          <w:iCs/>
          <w:lang w:val="fi-FI"/>
        </w:rPr>
        <w:t>ā</w:t>
      </w:r>
      <w:r w:rsidRPr="00FB4EFA">
        <w:rPr>
          <w:rFonts w:eastAsia="Times New Roman" w:cs="Charis SIL"/>
          <w:i/>
          <w:iCs/>
          <w:lang w:val="fi-FI"/>
        </w:rPr>
        <w:t>sja-</w:t>
      </w:r>
      <w:r w:rsidRPr="00FB4EFA">
        <w:rPr>
          <w:rFonts w:eastAsia="Times New Roman" w:cs="Charis SIL"/>
          <w:lang w:val="fi-FI"/>
        </w:rPr>
        <w:t xml:space="preserve"> &gt; no murt. </w:t>
      </w:r>
      <w:r w:rsidRPr="00FB4EFA">
        <w:rPr>
          <w:rFonts w:eastAsia="Times New Roman" w:cs="Charis SIL"/>
          <w:i/>
          <w:iCs/>
          <w:lang w:val="fi-FI"/>
        </w:rPr>
        <w:t xml:space="preserve">kjæse </w:t>
      </w:r>
      <w:r w:rsidRPr="00FB4EFA">
        <w:rPr>
          <w:rFonts w:eastAsia="Times New Roman" w:cs="Charis SIL"/>
          <w:lang w:val="fi-FI"/>
        </w:rPr>
        <w:t>’juustonjuoksutin’ (Koivulehto 1999: 14). Inarinsaamessa esiintyy myös kantasaamen sanasta *</w:t>
      </w:r>
      <w:r w:rsidRPr="00FB4EFA">
        <w:rPr>
          <w:rFonts w:eastAsia="Times New Roman" w:cs="Charis SIL"/>
          <w:i/>
          <w:iCs/>
          <w:lang w:val="fi-FI"/>
        </w:rPr>
        <w:t>kāssē</w:t>
      </w:r>
      <w:r w:rsidRPr="00FB4EFA">
        <w:rPr>
          <w:rFonts w:eastAsia="Times New Roman" w:cs="Charis SIL"/>
          <w:lang w:val="fi-FI"/>
        </w:rPr>
        <w:t xml:space="preserve"> periytyvä sana </w:t>
      </w:r>
      <w:r w:rsidRPr="00FB4EFA">
        <w:rPr>
          <w:rFonts w:eastAsia="Times New Roman" w:cs="Charis SIL"/>
          <w:i/>
          <w:iCs/>
          <w:lang w:val="fi-FI"/>
        </w:rPr>
        <w:t xml:space="preserve">kässi </w:t>
      </w:r>
      <w:r w:rsidRPr="00FB4EFA">
        <w:rPr>
          <w:rFonts w:eastAsia="Times New Roman" w:cs="Charis SIL"/>
          <w:lang w:val="fi-FI"/>
        </w:rPr>
        <w:t xml:space="preserve">’pihka, vaha, vaikku’, joka esiintyy Erkki Itkosen mukaan myös yhdyssanassa </w:t>
      </w:r>
      <w:r w:rsidRPr="00FB4EFA">
        <w:rPr>
          <w:rFonts w:eastAsia="Times New Roman" w:cs="Charis SIL"/>
          <w:i/>
          <w:iCs/>
          <w:lang w:val="fi-FI"/>
        </w:rPr>
        <w:t xml:space="preserve">kässimielkki </w:t>
      </w:r>
      <w:r w:rsidRPr="00FB4EFA">
        <w:rPr>
          <w:rFonts w:eastAsia="Times New Roman" w:cs="Charis SIL"/>
          <w:lang w:val="fi-FI"/>
        </w:rPr>
        <w:t xml:space="preserve">’ternimaito’ (InLpW: 1335), jonka perusosa merkitsee ’maitoa’. Esitän, että sekä sanoissa </w:t>
      </w:r>
      <w:r w:rsidRPr="00FB4EFA">
        <w:rPr>
          <w:rFonts w:eastAsia="Times New Roman" w:cs="Charis SIL"/>
          <w:i/>
          <w:iCs/>
          <w:lang w:val="fi-FI"/>
        </w:rPr>
        <w:t xml:space="preserve">kässeekeđgi </w:t>
      </w:r>
      <w:r w:rsidRPr="00FB4EFA">
        <w:rPr>
          <w:rFonts w:eastAsia="Times New Roman" w:cs="Charis SIL"/>
          <w:lang w:val="fi-FI"/>
        </w:rPr>
        <w:t xml:space="preserve">ja </w:t>
      </w:r>
      <w:r w:rsidRPr="00FB4EFA">
        <w:rPr>
          <w:rFonts w:eastAsia="Times New Roman" w:cs="Charis SIL"/>
          <w:i/>
          <w:iCs/>
          <w:lang w:val="fi-FI"/>
        </w:rPr>
        <w:t xml:space="preserve">kässimielkki </w:t>
      </w:r>
      <w:r w:rsidRPr="00FB4EFA">
        <w:rPr>
          <w:rFonts w:eastAsia="Times New Roman" w:cs="Charis SIL"/>
          <w:lang w:val="fi-FI"/>
        </w:rPr>
        <w:t xml:space="preserve">sanat </w:t>
      </w:r>
      <w:r w:rsidRPr="00FB4EFA">
        <w:rPr>
          <w:rFonts w:eastAsia="Times New Roman" w:cs="Charis SIL"/>
          <w:i/>
          <w:iCs/>
          <w:lang w:val="fi-FI"/>
        </w:rPr>
        <w:t xml:space="preserve">kässee </w:t>
      </w:r>
      <w:r w:rsidRPr="00FB4EFA">
        <w:rPr>
          <w:rFonts w:eastAsia="Times New Roman" w:cs="Charis SIL"/>
          <w:lang w:val="fi-FI"/>
        </w:rPr>
        <w:t xml:space="preserve">ja </w:t>
      </w:r>
      <w:r w:rsidRPr="00FB4EFA">
        <w:rPr>
          <w:rFonts w:eastAsia="Times New Roman" w:cs="Charis SIL"/>
          <w:i/>
          <w:iCs/>
          <w:lang w:val="fi-FI"/>
        </w:rPr>
        <w:t xml:space="preserve">kässi </w:t>
      </w:r>
      <w:r w:rsidRPr="00FB4EFA">
        <w:rPr>
          <w:rFonts w:eastAsia="Times New Roman" w:cs="Charis SIL"/>
          <w:lang w:val="fi-FI"/>
        </w:rPr>
        <w:t>ovat menneet sekaisin äänteellisen läheisyyden takia. On vaikea perustella semanttisesti, mitä tekemistä juoksutusmahalla ja helmellä on keskenään, sen sijaan on paljon helpompi nähdä yhtäläisyys kuusen runkoa pitkin valuvan pihkahelmen ja vaalean lasisen tai posliinisen helmen välillä, tehdäänhän meripihkastakin helmiä.</w:t>
      </w:r>
    </w:p>
    <w:p w14:paraId="7D72870C" w14:textId="677E0A15" w:rsidR="006B5BDA" w:rsidRPr="00FB4EFA" w:rsidRDefault="006B5BDA" w:rsidP="00AF0CAD">
      <w:pPr>
        <w:ind w:firstLine="720"/>
        <w:rPr>
          <w:lang w:val="fi-FI"/>
        </w:rPr>
      </w:pPr>
      <w:r w:rsidRPr="00FB4EFA">
        <w:rPr>
          <w:rFonts w:eastAsia="Times New Roman" w:cs="Charis SIL"/>
          <w:lang w:val="fi-FI"/>
        </w:rPr>
        <w:t xml:space="preserve">T. I. Itkonen (KKLS: 96) kiinnittää huomiota inarinsaamen sanan </w:t>
      </w:r>
      <w:r w:rsidRPr="00FB4EFA">
        <w:rPr>
          <w:rFonts w:eastAsia="Times New Roman" w:cs="Charis SIL"/>
          <w:i/>
          <w:iCs/>
          <w:lang w:val="fi-FI"/>
        </w:rPr>
        <w:t xml:space="preserve">kässeekeđgi </w:t>
      </w:r>
      <w:r w:rsidRPr="00FB4EFA">
        <w:rPr>
          <w:rFonts w:eastAsia="Times New Roman" w:cs="Charis SIL"/>
          <w:lang w:val="fi-FI"/>
        </w:rPr>
        <w:t xml:space="preserve">turjansaamen sanan </w:t>
      </w:r>
      <w:r w:rsidRPr="00FB4EFA">
        <w:rPr>
          <w:rFonts w:eastAsia="Times New Roman" w:cs="Charis SIL"/>
          <w:i/>
          <w:iCs/>
          <w:lang w:val="fi-FI"/>
        </w:rPr>
        <w:t xml:space="preserve">kǡž̜i-ɢieᴅ̜̄ᵍk͕ɛ </w:t>
      </w:r>
      <w:r w:rsidRPr="00FB4EFA">
        <w:rPr>
          <w:rFonts w:eastAsia="Times New Roman" w:cs="Charis SIL"/>
          <w:lang w:val="fi-FI"/>
        </w:rPr>
        <w:t>’helmi, lasihelmi’ samankal</w:t>
      </w:r>
      <w:r w:rsidRPr="00FB4EFA">
        <w:rPr>
          <w:rFonts w:eastAsia="Times New Roman" w:cs="Charis SIL"/>
          <w:lang w:val="fi-FI"/>
        </w:rPr>
        <w:lastRenderedPageBreak/>
        <w:t xml:space="preserve">taisuuteen. Myös tämän turjansaamen yhdyssanan perusosa merkitsee ’kiveä’, mutta määriteosan merkitys ei ole tiedossa. Sitä ei voi yhdistää äänteellisin perustein inarinsaamen ’pihkaa’ merkitsevään sanaan, jonka vastine turjansaamessa on </w:t>
      </w:r>
      <w:r w:rsidRPr="00FB4EFA">
        <w:rPr>
          <w:rFonts w:eastAsia="Times New Roman" w:cs="Charis SIL"/>
          <w:i/>
          <w:iCs/>
          <w:lang w:val="fi-FI"/>
        </w:rPr>
        <w:t>kǡs̜̀s̜ɛ</w:t>
      </w:r>
      <w:r w:rsidRPr="00FB4EFA">
        <w:rPr>
          <w:rFonts w:eastAsia="Times New Roman" w:cs="Charis SIL"/>
          <w:lang w:val="fi-FI"/>
        </w:rPr>
        <w:t xml:space="preserve"> </w:t>
      </w:r>
      <w:r w:rsidR="00D17301" w:rsidRPr="00FB4EFA">
        <w:rPr>
          <w:rFonts w:eastAsia="Times New Roman" w:cs="Charis SIL"/>
          <w:lang w:val="fi-FI"/>
        </w:rPr>
        <w:t>id.</w:t>
      </w:r>
      <w:r w:rsidRPr="00FB4EFA">
        <w:rPr>
          <w:rFonts w:eastAsia="Times New Roman" w:cs="Charis SIL"/>
          <w:lang w:val="fi-FI"/>
        </w:rPr>
        <w:t xml:space="preserve"> (KKLS: 95) erityisesti, kun turjansaamen sana vaikuttaa vakiintuneen asuun, jossa esiintyy soinnillinen suhusibilantti, joka esiintyy</w:t>
      </w:r>
      <w:r w:rsidR="000121EA" w:rsidRPr="00FB4EFA">
        <w:rPr>
          <w:rFonts w:eastAsia="Times New Roman" w:cs="Charis SIL"/>
          <w:lang w:val="fi-FI"/>
        </w:rPr>
        <w:t xml:space="preserve"> </w:t>
      </w:r>
      <w:r w:rsidRPr="00FB4EFA">
        <w:rPr>
          <w:rFonts w:eastAsia="Times New Roman" w:cs="Charis SIL"/>
          <w:lang w:val="fi-FI"/>
        </w:rPr>
        <w:t xml:space="preserve">myös Genetzin (1891: 193) tallentamassa sanassa </w:t>
      </w:r>
      <w:r w:rsidRPr="00FB4EFA">
        <w:rPr>
          <w:rFonts w:eastAsia="Times New Roman" w:cs="Charis SIL"/>
          <w:i/>
          <w:iCs/>
          <w:lang w:val="fi-FI"/>
        </w:rPr>
        <w:t>k</w:t>
      </w:r>
      <w:r w:rsidR="00DA2495" w:rsidRPr="00FB4EFA">
        <w:rPr>
          <w:rFonts w:eastAsia="Times New Roman" w:cs="Charis SIL"/>
          <w:i/>
          <w:iCs/>
          <w:lang w:val="fi-FI"/>
        </w:rPr>
        <w:t>ā</w:t>
      </w:r>
      <w:r w:rsidRPr="00FB4EFA">
        <w:rPr>
          <w:rFonts w:eastAsia="Times New Roman" w:cs="Charis SIL"/>
          <w:i/>
          <w:iCs/>
          <w:lang w:val="fi-FI"/>
        </w:rPr>
        <w:t>ž</w:t>
      </w:r>
      <w:r w:rsidRPr="00FB4EFA">
        <w:rPr>
          <w:rFonts w:eastAsia="Times New Roman" w:cs="Charis SIL"/>
          <w:i/>
          <w:lang w:val="fi-FI"/>
        </w:rPr>
        <w:t xml:space="preserve">i̊-kietke </w:t>
      </w:r>
      <w:r w:rsidR="00D17301" w:rsidRPr="00FB4EFA">
        <w:rPr>
          <w:rFonts w:eastAsia="Times New Roman" w:cs="Charis SIL"/>
          <w:iCs/>
          <w:lang w:val="fi-FI"/>
        </w:rPr>
        <w:t>id.</w:t>
      </w:r>
    </w:p>
    <w:p w14:paraId="2DB3C8E1" w14:textId="77777777" w:rsidR="006B5BDA" w:rsidRPr="00FB4EFA" w:rsidRDefault="006B5BDA" w:rsidP="00B36705">
      <w:pPr>
        <w:pStyle w:val="Heading2"/>
        <w:numPr>
          <w:ilvl w:val="0"/>
          <w:numId w:val="11"/>
        </w:numPr>
        <w:suppressAutoHyphens/>
        <w:spacing w:line="259" w:lineRule="auto"/>
        <w:rPr>
          <w:color w:val="auto"/>
          <w:lang w:val="fi-FI"/>
        </w:rPr>
      </w:pPr>
      <w:r w:rsidRPr="00FB4EFA">
        <w:rPr>
          <w:color w:val="auto"/>
          <w:lang w:val="fi-FI"/>
        </w:rPr>
        <w:t>Yhteenveto</w:t>
      </w:r>
    </w:p>
    <w:p w14:paraId="652E1A68" w14:textId="77777777" w:rsidR="006B5BDA" w:rsidRPr="00FB4EFA" w:rsidRDefault="006B5BDA" w:rsidP="00402EF4">
      <w:pPr>
        <w:rPr>
          <w:lang w:val="fi-FI"/>
        </w:rPr>
      </w:pPr>
      <w:r w:rsidRPr="00FB4EFA">
        <w:rPr>
          <w:lang w:val="fi-FI"/>
        </w:rPr>
        <w:t>Menneinä vuosisatoina ja vuosituhansina luonnonhelmet sekä niitä mukailevat lasiset tai posliiniset helmet olivat haluttuja ylellisyysesineitä, joita käytettiin niin koruissa kuin vaatteidenkin koristeina. Helmikaupan kauppaketjut olivat usein hyvin pitkiä ja monikielisiä. Samalla, kun helmiä kuljetettiin jopa mantereen toiselle puolelle, myös niitä merkitsevät sanat levisivät kaukaisista prestiisikielistä useiden välittäjäkielten kautta jopa pohjoisessa Skandinaviassa ja Kuolan niemimaalla puhuttuihin itäisiin saamelaiskieliin.</w:t>
      </w:r>
    </w:p>
    <w:p w14:paraId="34B7EA3D" w14:textId="77777777" w:rsidR="006B5BDA" w:rsidRPr="00FB4EFA" w:rsidRDefault="006B5BDA" w:rsidP="00402EF4">
      <w:pPr>
        <w:ind w:firstLine="720"/>
        <w:rPr>
          <w:lang w:val="fi-FI"/>
        </w:rPr>
      </w:pPr>
      <w:r w:rsidRPr="00FB4EFA">
        <w:rPr>
          <w:rFonts w:eastAsia="Times New Roman" w:cs="Charis SIL"/>
          <w:lang w:val="fi-FI"/>
        </w:rPr>
        <w:t>Tässä artikkelissa käsittelin itäisten saamelaiskielten ’luonnonhelmeä’ ja ’lasista, posliinista tai muovista helmeä’ merkitsevien sanojen alkuperää. Tutkimuksessa kävi ilmi, että sanat olivat lähteneet liikkeelle kiinasta, arabiasta, latinasta sekä venäjästä ja varsinaisina lainanantajakielinä saamelaiskieliin toimivat karjala, venäjä sekä norja.</w:t>
      </w:r>
    </w:p>
    <w:p w14:paraId="0EA1F390" w14:textId="77777777" w:rsidR="006B5BDA" w:rsidRPr="00FB4EFA" w:rsidRDefault="006B5BDA" w:rsidP="00402EF4">
      <w:pPr>
        <w:ind w:firstLine="720"/>
        <w:rPr>
          <w:lang w:val="fi-FI"/>
        </w:rPr>
      </w:pPr>
      <w:r w:rsidRPr="00FB4EFA">
        <w:rPr>
          <w:rFonts w:eastAsia="Times New Roman" w:cs="Charis SIL"/>
          <w:lang w:val="fi-FI"/>
        </w:rPr>
        <w:t>Kokoan vielä artikkelissa käsitellyt sanat sekä niiden esitetyt lainalähteet taulukkoon 1.</w:t>
      </w:r>
    </w:p>
    <w:tbl>
      <w:tblPr>
        <w:tblW w:w="6914" w:type="dxa"/>
        <w:tblLayout w:type="fixed"/>
        <w:tblLook w:val="0400" w:firstRow="0" w:lastRow="0" w:firstColumn="0" w:lastColumn="0" w:noHBand="0" w:noVBand="1"/>
      </w:tblPr>
      <w:tblGrid>
        <w:gridCol w:w="1283"/>
        <w:gridCol w:w="1595"/>
        <w:gridCol w:w="1390"/>
        <w:gridCol w:w="1451"/>
        <w:gridCol w:w="1195"/>
      </w:tblGrid>
      <w:tr w:rsidR="00FB4EFA" w:rsidRPr="00FB4EFA" w14:paraId="5BC328D9" w14:textId="77777777" w:rsidTr="00EC74AD">
        <w:tc>
          <w:tcPr>
            <w:tcW w:w="1283" w:type="dxa"/>
            <w:tcBorders>
              <w:bottom w:val="single" w:sz="12" w:space="0" w:color="000000"/>
              <w:right w:val="single" w:sz="4" w:space="0" w:color="000000"/>
            </w:tcBorders>
          </w:tcPr>
          <w:p w14:paraId="7609A723" w14:textId="77777777" w:rsidR="006B5BDA" w:rsidRPr="00FB4EFA" w:rsidRDefault="006B5BDA" w:rsidP="00AC1192">
            <w:pPr>
              <w:keepNext/>
              <w:keepLines/>
              <w:widowControl w:val="0"/>
              <w:suppressAutoHyphens/>
              <w:rPr>
                <w:rFonts w:eastAsia="Times New Roman" w:cs="Charis SIL"/>
                <w:b/>
                <w:bCs/>
                <w:sz w:val="20"/>
                <w:szCs w:val="20"/>
                <w:lang w:val="fi-FI"/>
              </w:rPr>
            </w:pPr>
            <w:r w:rsidRPr="00FB4EFA">
              <w:rPr>
                <w:rFonts w:eastAsia="Times New Roman" w:cs="Charis SIL"/>
                <w:b/>
                <w:bCs/>
                <w:sz w:val="20"/>
                <w:szCs w:val="20"/>
                <w:lang w:val="fi-FI"/>
              </w:rPr>
              <w:lastRenderedPageBreak/>
              <w:t>saaP</w:t>
            </w:r>
          </w:p>
        </w:tc>
        <w:tc>
          <w:tcPr>
            <w:tcW w:w="1595" w:type="dxa"/>
            <w:tcBorders>
              <w:left w:val="single" w:sz="4" w:space="0" w:color="000000"/>
              <w:bottom w:val="single" w:sz="12" w:space="0" w:color="000000"/>
              <w:right w:val="single" w:sz="4" w:space="0" w:color="000000"/>
            </w:tcBorders>
          </w:tcPr>
          <w:p w14:paraId="6B5DE305" w14:textId="77777777" w:rsidR="006B5BDA" w:rsidRPr="00FB4EFA" w:rsidRDefault="006B5BDA" w:rsidP="00AC1192">
            <w:pPr>
              <w:keepNext/>
              <w:keepLines/>
              <w:widowControl w:val="0"/>
              <w:suppressAutoHyphens/>
              <w:rPr>
                <w:rFonts w:eastAsia="Times New Roman" w:cs="Charis SIL"/>
                <w:b/>
                <w:bCs/>
                <w:sz w:val="20"/>
                <w:szCs w:val="20"/>
                <w:lang w:val="fi-FI"/>
              </w:rPr>
            </w:pPr>
            <w:r w:rsidRPr="00FB4EFA">
              <w:rPr>
                <w:rFonts w:eastAsia="Times New Roman" w:cs="Charis SIL"/>
                <w:b/>
                <w:bCs/>
                <w:sz w:val="20"/>
                <w:szCs w:val="20"/>
                <w:lang w:val="fi-FI"/>
              </w:rPr>
              <w:t>saaI</w:t>
            </w:r>
          </w:p>
        </w:tc>
        <w:tc>
          <w:tcPr>
            <w:tcW w:w="1390" w:type="dxa"/>
            <w:tcBorders>
              <w:left w:val="single" w:sz="4" w:space="0" w:color="000000"/>
              <w:bottom w:val="single" w:sz="12" w:space="0" w:color="000000"/>
              <w:right w:val="single" w:sz="4" w:space="0" w:color="000000"/>
            </w:tcBorders>
          </w:tcPr>
          <w:p w14:paraId="0BDB3A05" w14:textId="77777777" w:rsidR="006B5BDA" w:rsidRPr="00FB4EFA" w:rsidRDefault="006B5BDA" w:rsidP="00AC1192">
            <w:pPr>
              <w:keepNext/>
              <w:keepLines/>
              <w:widowControl w:val="0"/>
              <w:suppressAutoHyphens/>
              <w:rPr>
                <w:rFonts w:eastAsia="Times New Roman" w:cs="Charis SIL"/>
                <w:b/>
                <w:bCs/>
                <w:sz w:val="20"/>
                <w:szCs w:val="20"/>
                <w:lang w:val="fi-FI"/>
              </w:rPr>
            </w:pPr>
            <w:r w:rsidRPr="00FB4EFA">
              <w:rPr>
                <w:rFonts w:eastAsia="Times New Roman" w:cs="Charis SIL"/>
                <w:b/>
                <w:bCs/>
                <w:sz w:val="20"/>
                <w:szCs w:val="20"/>
                <w:lang w:val="fi-FI"/>
              </w:rPr>
              <w:t>saaKo</w:t>
            </w:r>
          </w:p>
        </w:tc>
        <w:tc>
          <w:tcPr>
            <w:tcW w:w="1451" w:type="dxa"/>
            <w:tcBorders>
              <w:left w:val="single" w:sz="4" w:space="0" w:color="000000"/>
              <w:bottom w:val="single" w:sz="12" w:space="0" w:color="000000"/>
              <w:right w:val="single" w:sz="4" w:space="0" w:color="000000"/>
            </w:tcBorders>
          </w:tcPr>
          <w:p w14:paraId="744D8763" w14:textId="77777777" w:rsidR="006B5BDA" w:rsidRPr="00FB4EFA" w:rsidRDefault="006B5BDA" w:rsidP="00AC1192">
            <w:pPr>
              <w:keepNext/>
              <w:keepLines/>
              <w:widowControl w:val="0"/>
              <w:suppressAutoHyphens/>
              <w:rPr>
                <w:rFonts w:eastAsia="Times New Roman" w:cs="Charis SIL"/>
                <w:b/>
                <w:bCs/>
                <w:sz w:val="20"/>
                <w:szCs w:val="20"/>
                <w:lang w:val="fi-FI"/>
              </w:rPr>
            </w:pPr>
            <w:r w:rsidRPr="00FB4EFA">
              <w:rPr>
                <w:rFonts w:eastAsia="Times New Roman" w:cs="Charis SIL"/>
                <w:b/>
                <w:bCs/>
                <w:sz w:val="20"/>
                <w:szCs w:val="20"/>
                <w:lang w:val="fi-FI"/>
              </w:rPr>
              <w:t>saaKld</w:t>
            </w:r>
          </w:p>
        </w:tc>
        <w:tc>
          <w:tcPr>
            <w:tcW w:w="1195" w:type="dxa"/>
            <w:tcBorders>
              <w:left w:val="single" w:sz="4" w:space="0" w:color="000000"/>
              <w:bottom w:val="single" w:sz="12" w:space="0" w:color="000000"/>
            </w:tcBorders>
          </w:tcPr>
          <w:p w14:paraId="5D4FDC4C" w14:textId="77777777" w:rsidR="006B5BDA" w:rsidRPr="00FB4EFA" w:rsidRDefault="006B5BDA" w:rsidP="00AC1192">
            <w:pPr>
              <w:keepNext/>
              <w:keepLines/>
              <w:widowControl w:val="0"/>
              <w:suppressAutoHyphens/>
              <w:rPr>
                <w:rFonts w:eastAsia="Times New Roman" w:cs="Charis SIL"/>
                <w:b/>
                <w:bCs/>
                <w:sz w:val="20"/>
                <w:szCs w:val="20"/>
                <w:lang w:val="fi-FI"/>
              </w:rPr>
            </w:pPr>
            <w:r w:rsidRPr="00FB4EFA">
              <w:rPr>
                <w:rFonts w:eastAsia="Times New Roman" w:cs="Charis SIL"/>
                <w:b/>
                <w:bCs/>
                <w:sz w:val="20"/>
                <w:szCs w:val="20"/>
                <w:lang w:val="fi-FI"/>
              </w:rPr>
              <w:t>saaT</w:t>
            </w:r>
          </w:p>
        </w:tc>
      </w:tr>
      <w:tr w:rsidR="00FB4EFA" w:rsidRPr="00FB4EFA" w14:paraId="75BDA518" w14:textId="77777777" w:rsidTr="00EC74AD">
        <w:tc>
          <w:tcPr>
            <w:tcW w:w="1283" w:type="dxa"/>
            <w:tcBorders>
              <w:top w:val="single" w:sz="12" w:space="0" w:color="000000"/>
              <w:bottom w:val="single" w:sz="4" w:space="0" w:color="000000"/>
              <w:right w:val="single" w:sz="4" w:space="0" w:color="000000"/>
            </w:tcBorders>
          </w:tcPr>
          <w:p w14:paraId="6902F37B"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
                <w:sz w:val="20"/>
                <w:szCs w:val="20"/>
                <w:lang w:val="fi-FI"/>
              </w:rPr>
              <w:t>simsik</w:t>
            </w:r>
            <w:r w:rsidRPr="00FB4EFA">
              <w:rPr>
                <w:rFonts w:eastAsia="Times New Roman" w:cs="Charis SIL"/>
                <w:sz w:val="20"/>
                <w:szCs w:val="20"/>
                <w:lang w:val="fi-FI"/>
              </w:rPr>
              <w:br/>
            </w:r>
            <w:r w:rsidRPr="00FB4EFA">
              <w:rPr>
                <w:rFonts w:eastAsia="Times New Roman" w:cs="Charis SIL"/>
                <w:iCs/>
                <w:sz w:val="20"/>
                <w:szCs w:val="20"/>
                <w:lang w:val="fi-FI"/>
              </w:rPr>
              <w:t xml:space="preserve">kirjak. </w:t>
            </w:r>
            <w:r w:rsidRPr="00FB4EFA">
              <w:rPr>
                <w:rFonts w:eastAsia="Times New Roman" w:cs="Charis SIL"/>
                <w:i/>
                <w:sz w:val="20"/>
                <w:szCs w:val="20"/>
                <w:lang w:val="fi-FI"/>
              </w:rPr>
              <w:t>simssat</w:t>
            </w:r>
          </w:p>
          <w:p w14:paraId="3143B00B" w14:textId="77777777" w:rsidR="006B5BDA" w:rsidRPr="00FB4EFA" w:rsidRDefault="006B5BDA" w:rsidP="00402EF4">
            <w:pPr>
              <w:keepNext/>
              <w:keepLines/>
              <w:widowControl w:val="0"/>
              <w:jc w:val="left"/>
              <w:rPr>
                <w:rFonts w:eastAsia="Times New Roman" w:cs="Charis SIL"/>
                <w:iCs/>
                <w:sz w:val="20"/>
                <w:szCs w:val="20"/>
                <w:lang w:val="fi-FI"/>
              </w:rPr>
            </w:pPr>
          </w:p>
          <w:p w14:paraId="0CC5613A" w14:textId="77777777" w:rsidR="006B5BDA" w:rsidRPr="00FB4EFA" w:rsidRDefault="006B5BDA" w:rsidP="00402EF4">
            <w:pPr>
              <w:keepNext/>
              <w:keepLines/>
              <w:widowControl w:val="0"/>
              <w:jc w:val="left"/>
              <w:rPr>
                <w:rFonts w:eastAsia="Times New Roman" w:cs="Charis SIL"/>
                <w:iCs/>
                <w:sz w:val="20"/>
                <w:szCs w:val="20"/>
                <w:lang w:val="fi-FI"/>
              </w:rPr>
            </w:pPr>
          </w:p>
          <w:p w14:paraId="0B2FAFA3" w14:textId="77777777" w:rsidR="006B5BDA" w:rsidRPr="00FB4EFA" w:rsidRDefault="006B5BDA" w:rsidP="00402EF4">
            <w:pPr>
              <w:keepNext/>
              <w:keepLines/>
              <w:widowControl w:val="0"/>
              <w:jc w:val="left"/>
              <w:rPr>
                <w:rFonts w:eastAsia="Times New Roman" w:cs="Charis SIL"/>
                <w:iCs/>
                <w:sz w:val="20"/>
                <w:szCs w:val="20"/>
                <w:lang w:val="fi-FI"/>
              </w:rPr>
            </w:pPr>
          </w:p>
          <w:p w14:paraId="3F71B138"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&lt; Tod. näk. saaKo </w:t>
            </w:r>
            <w:r w:rsidRPr="00FB4EFA">
              <w:rPr>
                <w:rFonts w:eastAsia="Times New Roman" w:cs="Charis SIL"/>
                <w:i/>
                <w:sz w:val="20"/>
                <w:szCs w:val="20"/>
                <w:lang w:val="fi-FI"/>
              </w:rPr>
              <w:t>ᴢì̬ntsi̬ᵓḱ͕</w:t>
            </w:r>
          </w:p>
        </w:tc>
        <w:tc>
          <w:tcPr>
            <w:tcW w:w="1595" w:type="dxa"/>
            <w:tcBorders>
              <w:top w:val="single" w:sz="12" w:space="0" w:color="000000"/>
              <w:left w:val="single" w:sz="4" w:space="0" w:color="000000"/>
              <w:bottom w:val="single" w:sz="4" w:space="0" w:color="000000"/>
              <w:right w:val="single" w:sz="4" w:space="0" w:color="000000"/>
            </w:tcBorders>
          </w:tcPr>
          <w:p w14:paraId="07A8833E"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
                <w:sz w:val="20"/>
                <w:szCs w:val="20"/>
                <w:lang w:val="fi-FI"/>
              </w:rPr>
              <w:t>tsi͔m̄₍t̀sɒ̑h</w:t>
            </w:r>
          </w:p>
          <w:p w14:paraId="66BFA974"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Cs/>
                <w:sz w:val="20"/>
                <w:szCs w:val="20"/>
                <w:lang w:val="fi-FI"/>
              </w:rPr>
              <w:t xml:space="preserve">kirjak. </w:t>
            </w:r>
            <w:r w:rsidRPr="00FB4EFA">
              <w:rPr>
                <w:rFonts w:eastAsia="Times New Roman" w:cs="Charis SIL"/>
                <w:i/>
                <w:sz w:val="20"/>
                <w:szCs w:val="20"/>
                <w:lang w:val="fi-FI"/>
              </w:rPr>
              <w:t>cimccâh</w:t>
            </w:r>
          </w:p>
          <w:p w14:paraId="61D4AF5D" w14:textId="77777777" w:rsidR="006B5BDA" w:rsidRPr="00FB4EFA" w:rsidRDefault="006B5BDA" w:rsidP="00402EF4">
            <w:pPr>
              <w:keepNext/>
              <w:keepLines/>
              <w:widowControl w:val="0"/>
              <w:jc w:val="left"/>
              <w:rPr>
                <w:rFonts w:eastAsia="Times New Roman" w:cs="Charis SIL"/>
                <w:iCs/>
                <w:sz w:val="20"/>
                <w:szCs w:val="20"/>
                <w:lang w:val="fi-FI"/>
              </w:rPr>
            </w:pPr>
          </w:p>
          <w:p w14:paraId="37587607" w14:textId="77777777" w:rsidR="006B5BDA" w:rsidRPr="00FB4EFA" w:rsidRDefault="006B5BDA" w:rsidP="00402EF4">
            <w:pPr>
              <w:keepNext/>
              <w:keepLines/>
              <w:widowControl w:val="0"/>
              <w:jc w:val="left"/>
              <w:rPr>
                <w:rFonts w:eastAsia="Times New Roman" w:cs="Charis SIL"/>
                <w:iCs/>
                <w:sz w:val="20"/>
                <w:szCs w:val="20"/>
                <w:lang w:val="fi-FI"/>
              </w:rPr>
            </w:pPr>
          </w:p>
          <w:p w14:paraId="57B4ABF4" w14:textId="77777777" w:rsidR="006B5BDA" w:rsidRPr="00FB4EFA" w:rsidRDefault="006B5BDA" w:rsidP="00402EF4">
            <w:pPr>
              <w:keepNext/>
              <w:keepLines/>
              <w:widowControl w:val="0"/>
              <w:jc w:val="left"/>
              <w:rPr>
                <w:rFonts w:eastAsia="Times New Roman" w:cs="Charis SIL"/>
                <w:iCs/>
                <w:sz w:val="20"/>
                <w:szCs w:val="20"/>
                <w:lang w:val="fi-FI"/>
              </w:rPr>
            </w:pPr>
          </w:p>
          <w:p w14:paraId="49359F6F" w14:textId="77777777" w:rsidR="006B5BDA" w:rsidRPr="00FB4EFA" w:rsidRDefault="006B5BDA" w:rsidP="00402EF4">
            <w:pPr>
              <w:keepNext/>
              <w:keepLines/>
              <w:widowControl w:val="0"/>
              <w:jc w:val="left"/>
              <w:rPr>
                <w:rFonts w:eastAsia="Times New Roman" w:cs="Charis SIL"/>
                <w:sz w:val="20"/>
                <w:szCs w:val="20"/>
                <w:lang w:val="fi-FI"/>
              </w:rPr>
            </w:pPr>
          </w:p>
          <w:p w14:paraId="29323F77"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&lt; karj. </w:t>
            </w:r>
            <w:r w:rsidRPr="00FB4EFA">
              <w:rPr>
                <w:rFonts w:eastAsia="Times New Roman" w:cs="Charis SIL"/>
                <w:i/>
                <w:sz w:val="20"/>
                <w:szCs w:val="20"/>
                <w:lang w:val="fi-FI"/>
              </w:rPr>
              <w:t>simčukka</w:t>
            </w:r>
          </w:p>
        </w:tc>
        <w:tc>
          <w:tcPr>
            <w:tcW w:w="1390" w:type="dxa"/>
            <w:tcBorders>
              <w:top w:val="single" w:sz="12" w:space="0" w:color="000000"/>
              <w:left w:val="single" w:sz="4" w:space="0" w:color="000000"/>
              <w:bottom w:val="single" w:sz="4" w:space="0" w:color="000000"/>
              <w:right w:val="single" w:sz="4" w:space="0" w:color="000000"/>
            </w:tcBorders>
          </w:tcPr>
          <w:p w14:paraId="07B97F6B"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Pa </w:t>
            </w:r>
            <w:r w:rsidRPr="00FB4EFA">
              <w:rPr>
                <w:rFonts w:eastAsia="Times New Roman" w:cs="Charis SIL"/>
                <w:i/>
                <w:sz w:val="20"/>
                <w:szCs w:val="20"/>
                <w:lang w:val="fi-FI"/>
              </w:rPr>
              <w:t>ᴢì̬ntsi̬ᵓḱ͕</w:t>
            </w:r>
            <w:r w:rsidRPr="00FB4EFA">
              <w:rPr>
                <w:rFonts w:eastAsia="Times New Roman" w:cs="Charis SIL"/>
                <w:i/>
                <w:sz w:val="20"/>
                <w:szCs w:val="20"/>
                <w:lang w:val="fi-FI"/>
              </w:rPr>
              <w:br/>
            </w:r>
            <w:r w:rsidRPr="00FB4EFA">
              <w:rPr>
                <w:rFonts w:eastAsia="Times New Roman" w:cs="Charis SIL"/>
                <w:sz w:val="20"/>
                <w:szCs w:val="20"/>
                <w:lang w:val="fi-FI"/>
              </w:rPr>
              <w:t xml:space="preserve">S </w:t>
            </w:r>
            <w:r w:rsidRPr="00FB4EFA">
              <w:rPr>
                <w:rFonts w:eastAsia="Times New Roman" w:cs="Charis SIL"/>
                <w:i/>
                <w:sz w:val="20"/>
                <w:szCs w:val="20"/>
                <w:lang w:val="fi-FI"/>
              </w:rPr>
              <w:t xml:space="preserve">zī̬mtsėᵓḱ͕ </w:t>
            </w:r>
            <w:r w:rsidRPr="00FB4EFA">
              <w:rPr>
                <w:rFonts w:eastAsia="Times New Roman" w:cs="Charis SIL"/>
                <w:sz w:val="20"/>
                <w:szCs w:val="20"/>
                <w:lang w:val="fi-FI"/>
              </w:rPr>
              <w:t xml:space="preserve">~ </w:t>
            </w:r>
            <w:r w:rsidRPr="00FB4EFA">
              <w:rPr>
                <w:rFonts w:eastAsia="Times New Roman" w:cs="Charis SIL"/>
                <w:i/>
                <w:sz w:val="20"/>
                <w:szCs w:val="20"/>
                <w:lang w:val="fi-FI"/>
              </w:rPr>
              <w:t>sī̬mtsėᵓḱ͕</w:t>
            </w:r>
            <w:r w:rsidRPr="00FB4EFA">
              <w:rPr>
                <w:rFonts w:eastAsia="Times New Roman" w:cs="Charis SIL"/>
                <w:i/>
                <w:sz w:val="20"/>
                <w:szCs w:val="20"/>
                <w:lang w:val="fi-FI"/>
              </w:rPr>
              <w:br/>
            </w:r>
            <w:r w:rsidRPr="00FB4EFA">
              <w:rPr>
                <w:rFonts w:eastAsia="Times New Roman" w:cs="Charis SIL"/>
                <w:sz w:val="20"/>
                <w:szCs w:val="20"/>
                <w:lang w:val="fi-FI"/>
              </w:rPr>
              <w:t xml:space="preserve">N </w:t>
            </w:r>
            <w:r w:rsidRPr="00FB4EFA">
              <w:rPr>
                <w:rFonts w:eastAsia="Times New Roman" w:cs="Charis SIL"/>
                <w:i/>
                <w:sz w:val="20"/>
                <w:szCs w:val="20"/>
                <w:lang w:val="fi-FI"/>
              </w:rPr>
              <w:t>sė̄mtsėᵓḱ͕</w:t>
            </w:r>
            <w:r w:rsidRPr="00FB4EFA">
              <w:rPr>
                <w:rFonts w:eastAsia="Times New Roman" w:cs="Charis SIL"/>
                <w:i/>
                <w:sz w:val="20"/>
                <w:szCs w:val="20"/>
                <w:lang w:val="fi-FI"/>
              </w:rPr>
              <w:br/>
            </w:r>
            <w:r w:rsidRPr="00FB4EFA">
              <w:rPr>
                <w:rFonts w:eastAsia="Times New Roman" w:cs="Charis SIL"/>
                <w:sz w:val="20"/>
                <w:szCs w:val="20"/>
                <w:lang w:val="fi-FI"/>
              </w:rPr>
              <w:t xml:space="preserve">kirjak. </w:t>
            </w:r>
            <w:r w:rsidRPr="00FB4EFA">
              <w:rPr>
                <w:rFonts w:eastAsia="Times New Roman" w:cs="Charis SIL"/>
                <w:i/>
                <w:sz w:val="20"/>
                <w:szCs w:val="20"/>
                <w:lang w:val="fi-FI"/>
              </w:rPr>
              <w:t>ciimciǩ</w:t>
            </w:r>
          </w:p>
          <w:p w14:paraId="7259CE69"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Cs/>
                <w:sz w:val="20"/>
                <w:szCs w:val="20"/>
                <w:lang w:val="fi-FI"/>
              </w:rPr>
              <w:t xml:space="preserve">&lt; </w:t>
            </w:r>
            <w:r w:rsidRPr="00FB4EFA">
              <w:rPr>
                <w:rFonts w:eastAsia="Times New Roman" w:cs="Charis SIL"/>
                <w:sz w:val="20"/>
                <w:szCs w:val="20"/>
                <w:lang w:val="fi-FI"/>
              </w:rPr>
              <w:t xml:space="preserve">karj. </w:t>
            </w:r>
            <w:r w:rsidRPr="00FB4EFA">
              <w:rPr>
                <w:rFonts w:eastAsia="Times New Roman" w:cs="Charis SIL"/>
                <w:i/>
                <w:sz w:val="20"/>
                <w:szCs w:val="20"/>
                <w:lang w:val="fi-FI"/>
              </w:rPr>
              <w:t>simčukka</w:t>
            </w:r>
          </w:p>
        </w:tc>
        <w:tc>
          <w:tcPr>
            <w:tcW w:w="1451" w:type="dxa"/>
            <w:tcBorders>
              <w:top w:val="single" w:sz="12" w:space="0" w:color="000000"/>
              <w:left w:val="single" w:sz="4" w:space="0" w:color="000000"/>
              <w:bottom w:val="single" w:sz="4" w:space="0" w:color="000000"/>
              <w:right w:val="single" w:sz="4" w:space="0" w:color="000000"/>
            </w:tcBorders>
          </w:tcPr>
          <w:p w14:paraId="7A50883A"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
                <w:sz w:val="20"/>
                <w:szCs w:val="20"/>
                <w:lang w:val="fi-FI"/>
              </w:rPr>
              <w:t>zemčuγ ~ zèmᵈ́t́š́ėχ͕</w:t>
            </w:r>
            <w:r w:rsidRPr="00FB4EFA">
              <w:rPr>
                <w:rFonts w:eastAsia="Times New Roman" w:cs="Charis SIL"/>
                <w:sz w:val="20"/>
                <w:szCs w:val="20"/>
                <w:lang w:val="fi-FI"/>
              </w:rPr>
              <w:t xml:space="preserve"> </w:t>
            </w:r>
            <w:r w:rsidRPr="00FB4EFA">
              <w:rPr>
                <w:rFonts w:eastAsia="Times New Roman" w:cs="Charis SIL"/>
                <w:i/>
                <w:sz w:val="20"/>
                <w:szCs w:val="20"/>
                <w:lang w:val="fi-FI"/>
              </w:rPr>
              <w:t>žèmᵈ́t́š́ėχ͕</w:t>
            </w:r>
          </w:p>
          <w:p w14:paraId="7E872376" w14:textId="77777777" w:rsidR="006B5BDA" w:rsidRPr="00FB4EFA" w:rsidRDefault="006B5BDA" w:rsidP="00402EF4">
            <w:pPr>
              <w:keepNext/>
              <w:keepLines/>
              <w:widowControl w:val="0"/>
              <w:jc w:val="left"/>
              <w:rPr>
                <w:rFonts w:eastAsia="Times New Roman" w:cs="Charis SIL"/>
                <w:iCs/>
                <w:sz w:val="20"/>
                <w:szCs w:val="20"/>
                <w:lang w:val="fi-FI"/>
              </w:rPr>
            </w:pPr>
          </w:p>
          <w:p w14:paraId="21685297" w14:textId="77777777" w:rsidR="006B5BDA" w:rsidRPr="00FB4EFA" w:rsidRDefault="006B5BDA" w:rsidP="00402EF4">
            <w:pPr>
              <w:keepNext/>
              <w:keepLines/>
              <w:widowControl w:val="0"/>
              <w:jc w:val="left"/>
              <w:rPr>
                <w:rFonts w:eastAsia="Times New Roman" w:cs="Charis SIL"/>
                <w:iCs/>
                <w:sz w:val="20"/>
                <w:szCs w:val="20"/>
                <w:lang w:val="fi-FI"/>
              </w:rPr>
            </w:pPr>
          </w:p>
          <w:p w14:paraId="3A3533E9" w14:textId="77777777" w:rsidR="006B5BDA" w:rsidRPr="00FB4EFA" w:rsidRDefault="006B5BDA" w:rsidP="00402EF4">
            <w:pPr>
              <w:keepNext/>
              <w:keepLines/>
              <w:widowControl w:val="0"/>
              <w:jc w:val="left"/>
              <w:rPr>
                <w:rFonts w:eastAsia="Times New Roman" w:cs="Charis SIL"/>
                <w:sz w:val="20"/>
                <w:szCs w:val="20"/>
                <w:lang w:val="fi-FI"/>
              </w:rPr>
            </w:pPr>
          </w:p>
          <w:p w14:paraId="26154F4F"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&lt; ven. </w:t>
            </w:r>
            <w:r w:rsidRPr="00FB4EFA">
              <w:rPr>
                <w:rFonts w:eastAsia="Times New Roman" w:cs="Charis SIL"/>
                <w:i/>
                <w:sz w:val="20"/>
                <w:szCs w:val="20"/>
                <w:lang w:val="fi-FI"/>
              </w:rPr>
              <w:t xml:space="preserve">зе́мчуг </w:t>
            </w:r>
            <w:r w:rsidRPr="00FB4EFA">
              <w:rPr>
                <w:rFonts w:eastAsia="Times New Roman" w:cs="Charis SIL"/>
                <w:sz w:val="20"/>
                <w:szCs w:val="20"/>
                <w:lang w:val="fi-FI"/>
              </w:rPr>
              <w:t xml:space="preserve">~ </w:t>
            </w:r>
            <w:r w:rsidRPr="00FB4EFA">
              <w:rPr>
                <w:rFonts w:eastAsia="Times New Roman" w:cs="Charis SIL"/>
                <w:i/>
                <w:sz w:val="20"/>
                <w:szCs w:val="20"/>
                <w:lang w:val="fi-FI"/>
              </w:rPr>
              <w:t>же́мчуг</w:t>
            </w:r>
          </w:p>
        </w:tc>
        <w:tc>
          <w:tcPr>
            <w:tcW w:w="1195" w:type="dxa"/>
            <w:tcBorders>
              <w:top w:val="single" w:sz="12" w:space="0" w:color="000000"/>
              <w:left w:val="single" w:sz="4" w:space="0" w:color="000000"/>
              <w:bottom w:val="single" w:sz="4" w:space="0" w:color="000000"/>
            </w:tcBorders>
          </w:tcPr>
          <w:p w14:paraId="1A903F20"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
                <w:sz w:val="20"/>
                <w:szCs w:val="20"/>
                <w:lang w:val="fi-FI"/>
              </w:rPr>
              <w:t>ci̊mʒi̊ɵj</w:t>
            </w:r>
          </w:p>
          <w:p w14:paraId="2AD275A9" w14:textId="77777777" w:rsidR="006B5BDA" w:rsidRPr="00FB4EFA" w:rsidRDefault="006B5BDA" w:rsidP="00402EF4">
            <w:pPr>
              <w:keepNext/>
              <w:keepLines/>
              <w:widowControl w:val="0"/>
              <w:jc w:val="left"/>
              <w:rPr>
                <w:rFonts w:eastAsia="Times New Roman" w:cs="Charis SIL"/>
                <w:iCs/>
                <w:sz w:val="20"/>
                <w:szCs w:val="20"/>
                <w:lang w:val="fi-FI"/>
              </w:rPr>
            </w:pPr>
          </w:p>
          <w:p w14:paraId="66F88F5C" w14:textId="77777777" w:rsidR="006B5BDA" w:rsidRPr="00FB4EFA" w:rsidRDefault="006B5BDA" w:rsidP="00402EF4">
            <w:pPr>
              <w:keepNext/>
              <w:keepLines/>
              <w:widowControl w:val="0"/>
              <w:jc w:val="left"/>
              <w:rPr>
                <w:rFonts w:eastAsia="Times New Roman" w:cs="Charis SIL"/>
                <w:iCs/>
                <w:sz w:val="20"/>
                <w:szCs w:val="20"/>
                <w:lang w:val="fi-FI"/>
              </w:rPr>
            </w:pPr>
          </w:p>
          <w:p w14:paraId="68A0BAC0" w14:textId="77777777" w:rsidR="006B5BDA" w:rsidRPr="00FB4EFA" w:rsidRDefault="006B5BDA" w:rsidP="00402EF4">
            <w:pPr>
              <w:keepNext/>
              <w:keepLines/>
              <w:widowControl w:val="0"/>
              <w:jc w:val="left"/>
              <w:rPr>
                <w:rFonts w:eastAsia="Times New Roman" w:cs="Charis SIL"/>
                <w:iCs/>
                <w:sz w:val="20"/>
                <w:szCs w:val="20"/>
                <w:lang w:val="fi-FI"/>
              </w:rPr>
            </w:pPr>
          </w:p>
          <w:p w14:paraId="79293B07" w14:textId="77777777" w:rsidR="006B5BDA" w:rsidRPr="00FB4EFA" w:rsidRDefault="006B5BDA" w:rsidP="00402EF4">
            <w:pPr>
              <w:keepNext/>
              <w:keepLines/>
              <w:widowControl w:val="0"/>
              <w:jc w:val="left"/>
              <w:rPr>
                <w:rFonts w:eastAsia="Times New Roman" w:cs="Charis SIL"/>
                <w:iCs/>
                <w:sz w:val="20"/>
                <w:szCs w:val="20"/>
                <w:lang w:val="fi-FI"/>
              </w:rPr>
            </w:pPr>
          </w:p>
          <w:p w14:paraId="3DCA6F3C" w14:textId="77777777" w:rsidR="006B5BDA" w:rsidRPr="00FB4EFA" w:rsidRDefault="006B5BDA" w:rsidP="00402EF4">
            <w:pPr>
              <w:keepNext/>
              <w:keepLines/>
              <w:widowControl w:val="0"/>
              <w:jc w:val="left"/>
              <w:rPr>
                <w:rFonts w:eastAsia="Times New Roman" w:cs="Charis SIL"/>
                <w:sz w:val="20"/>
                <w:szCs w:val="20"/>
                <w:lang w:val="fi-FI"/>
              </w:rPr>
            </w:pPr>
          </w:p>
          <w:p w14:paraId="1A1A15A9"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&lt; karj. </w:t>
            </w:r>
            <w:r w:rsidRPr="00FB4EFA">
              <w:rPr>
                <w:rFonts w:eastAsia="Times New Roman" w:cs="Charis SIL"/>
                <w:i/>
                <w:sz w:val="20"/>
                <w:szCs w:val="20"/>
                <w:lang w:val="fi-FI"/>
              </w:rPr>
              <w:t>simčukka</w:t>
            </w:r>
          </w:p>
        </w:tc>
      </w:tr>
      <w:tr w:rsidR="00FB4EFA" w:rsidRPr="00FB4EFA" w14:paraId="311EDAE0" w14:textId="77777777" w:rsidTr="00EC74AD">
        <w:tc>
          <w:tcPr>
            <w:tcW w:w="1283" w:type="dxa"/>
            <w:tcBorders>
              <w:top w:val="single" w:sz="4" w:space="0" w:color="000000"/>
              <w:bottom w:val="single" w:sz="4" w:space="0" w:color="000000"/>
              <w:right w:val="single" w:sz="4" w:space="0" w:color="000000"/>
            </w:tcBorders>
          </w:tcPr>
          <w:p w14:paraId="07738C79" w14:textId="77777777" w:rsidR="006B5BDA" w:rsidRPr="00FB4EFA" w:rsidRDefault="006B5BDA" w:rsidP="00402EF4">
            <w:pPr>
              <w:keepNext/>
              <w:keepLines/>
              <w:widowControl w:val="0"/>
              <w:jc w:val="left"/>
              <w:rPr>
                <w:rFonts w:eastAsia="Times New Roman" w:cs="Charis SIL"/>
                <w:sz w:val="20"/>
                <w:szCs w:val="20"/>
                <w:lang w:val="fi-FI"/>
              </w:rPr>
            </w:pPr>
          </w:p>
        </w:tc>
        <w:tc>
          <w:tcPr>
            <w:tcW w:w="1595" w:type="dxa"/>
            <w:tcBorders>
              <w:top w:val="single" w:sz="4" w:space="0" w:color="000000"/>
              <w:left w:val="single" w:sz="4" w:space="0" w:color="000000"/>
              <w:bottom w:val="single" w:sz="4" w:space="0" w:color="000000"/>
              <w:right w:val="single" w:sz="4" w:space="0" w:color="000000"/>
            </w:tcBorders>
          </w:tcPr>
          <w:p w14:paraId="76E0B015" w14:textId="77777777" w:rsidR="006B5BDA" w:rsidRPr="00FB4EFA" w:rsidRDefault="006B5BDA" w:rsidP="00402EF4">
            <w:pPr>
              <w:keepNext/>
              <w:keepLines/>
              <w:widowControl w:val="0"/>
              <w:jc w:val="left"/>
              <w:rPr>
                <w:rFonts w:eastAsia="Times New Roman" w:cs="Charis SIL"/>
                <w:sz w:val="20"/>
                <w:szCs w:val="20"/>
                <w:lang w:val="fi-FI"/>
              </w:rPr>
            </w:pPr>
          </w:p>
        </w:tc>
        <w:tc>
          <w:tcPr>
            <w:tcW w:w="1390" w:type="dxa"/>
            <w:tcBorders>
              <w:top w:val="single" w:sz="4" w:space="0" w:color="000000"/>
              <w:left w:val="single" w:sz="4" w:space="0" w:color="000000"/>
              <w:bottom w:val="single" w:sz="4" w:space="0" w:color="000000"/>
              <w:right w:val="single" w:sz="4" w:space="0" w:color="000000"/>
            </w:tcBorders>
          </w:tcPr>
          <w:p w14:paraId="24D00353" w14:textId="77777777" w:rsidR="006B5BDA" w:rsidRPr="00FB4EFA" w:rsidRDefault="006B5BDA" w:rsidP="00AC1192">
            <w:pPr>
              <w:keepNext/>
              <w:keepLines/>
              <w:widowControl w:val="0"/>
              <w:suppressAutoHyphens/>
              <w:jc w:val="left"/>
              <w:rPr>
                <w:rFonts w:eastAsia="Times New Roman" w:cs="Charis SIL"/>
                <w:i/>
                <w:iCs/>
                <w:sz w:val="20"/>
                <w:szCs w:val="20"/>
                <w:lang w:val="fi-FI"/>
              </w:rPr>
            </w:pPr>
            <w:r w:rsidRPr="00FB4EFA">
              <w:rPr>
                <w:rFonts w:eastAsia="Times New Roman" w:cs="Charis SIL"/>
                <w:i/>
                <w:iCs/>
                <w:sz w:val="20"/>
                <w:szCs w:val="20"/>
                <w:lang w:val="fi-FI"/>
              </w:rPr>
              <w:t>peʹsser</w:t>
            </w:r>
          </w:p>
          <w:p w14:paraId="7894BE49" w14:textId="77777777" w:rsidR="000121E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Nä </w:t>
            </w:r>
            <w:r w:rsidRPr="00FB4EFA">
              <w:rPr>
                <w:rFonts w:eastAsia="Times New Roman" w:cs="Charis SIL"/>
                <w:i/>
                <w:iCs/>
                <w:sz w:val="20"/>
                <w:szCs w:val="20"/>
                <w:lang w:val="fi-FI"/>
              </w:rPr>
              <w:t>pizzer</w:t>
            </w:r>
          </w:p>
          <w:p w14:paraId="6A4EC71E" w14:textId="386AE9B6"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Pa </w:t>
            </w:r>
            <w:r w:rsidRPr="00FB4EFA">
              <w:rPr>
                <w:rFonts w:eastAsia="Times New Roman" w:cs="Charis SIL"/>
                <w:i/>
                <w:iCs/>
                <w:sz w:val="20"/>
                <w:szCs w:val="20"/>
                <w:lang w:val="fi-FI"/>
              </w:rPr>
              <w:t>pi̬s̜̀s̜er̜</w:t>
            </w:r>
            <w:r w:rsidRPr="00FB4EFA">
              <w:rPr>
                <w:rFonts w:eastAsia="Times New Roman" w:cs="Charis SIL"/>
                <w:sz w:val="20"/>
                <w:szCs w:val="20"/>
                <w:lang w:val="fi-FI"/>
              </w:rPr>
              <w:t xml:space="preserve">, </w:t>
            </w:r>
            <w:r w:rsidRPr="00FB4EFA">
              <w:rPr>
                <w:rFonts w:eastAsia="Times New Roman" w:cs="Charis SIL"/>
                <w:i/>
                <w:iCs/>
                <w:sz w:val="20"/>
                <w:szCs w:val="20"/>
                <w:lang w:val="fi-FI"/>
              </w:rPr>
              <w:br/>
            </w:r>
            <w:r w:rsidRPr="00FB4EFA">
              <w:rPr>
                <w:rFonts w:eastAsia="Times New Roman" w:cs="Charis SIL"/>
                <w:sz w:val="20"/>
                <w:szCs w:val="20"/>
                <w:lang w:val="fi-FI"/>
              </w:rPr>
              <w:t xml:space="preserve">N </w:t>
            </w:r>
            <w:r w:rsidRPr="00FB4EFA">
              <w:rPr>
                <w:rFonts w:eastAsia="Times New Roman" w:cs="Charis SIL"/>
                <w:i/>
                <w:iCs/>
                <w:sz w:val="20"/>
                <w:szCs w:val="20"/>
                <w:lang w:val="fi-FI"/>
              </w:rPr>
              <w:t>pės̜s̜er̜</w:t>
            </w:r>
          </w:p>
          <w:p w14:paraId="6B39AEAD"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Tod.näk. &lt; karj. *</w:t>
            </w:r>
            <w:r w:rsidRPr="00FB4EFA">
              <w:rPr>
                <w:rFonts w:eastAsia="Times New Roman" w:cs="Charis SIL"/>
                <w:i/>
                <w:iCs/>
                <w:sz w:val="20"/>
                <w:szCs w:val="20"/>
                <w:lang w:val="fi-FI"/>
              </w:rPr>
              <w:t>piisseri</w:t>
            </w:r>
          </w:p>
        </w:tc>
        <w:tc>
          <w:tcPr>
            <w:tcW w:w="1451" w:type="dxa"/>
            <w:tcBorders>
              <w:top w:val="single" w:sz="4" w:space="0" w:color="000000"/>
              <w:left w:val="single" w:sz="4" w:space="0" w:color="000000"/>
              <w:bottom w:val="single" w:sz="4" w:space="0" w:color="000000"/>
              <w:right w:val="single" w:sz="4" w:space="0" w:color="000000"/>
            </w:tcBorders>
          </w:tcPr>
          <w:p w14:paraId="1EEF0874" w14:textId="77777777" w:rsidR="006B5BDA" w:rsidRPr="00FB4EFA" w:rsidRDefault="006B5BDA" w:rsidP="00AC1192">
            <w:pPr>
              <w:keepNext/>
              <w:keepLines/>
              <w:widowControl w:val="0"/>
              <w:suppressAutoHyphens/>
              <w:jc w:val="left"/>
              <w:rPr>
                <w:rFonts w:eastAsia="Times New Roman" w:cs="Charis SIL"/>
                <w:i/>
                <w:iCs/>
                <w:sz w:val="20"/>
                <w:szCs w:val="20"/>
                <w:lang w:val="fi-FI"/>
              </w:rPr>
            </w:pPr>
            <w:r w:rsidRPr="00FB4EFA">
              <w:rPr>
                <w:rFonts w:eastAsia="Times New Roman" w:cs="Charis SIL"/>
                <w:i/>
                <w:iCs/>
                <w:sz w:val="20"/>
                <w:szCs w:val="20"/>
                <w:lang w:val="fi-FI"/>
              </w:rPr>
              <w:t>pᴉ̑s̜s̜er̜</w:t>
            </w:r>
          </w:p>
          <w:p w14:paraId="5324094E"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Tod.näk. &lt; karj. *</w:t>
            </w:r>
            <w:r w:rsidRPr="00FB4EFA">
              <w:rPr>
                <w:rFonts w:eastAsia="Times New Roman" w:cs="Charis SIL"/>
                <w:i/>
                <w:iCs/>
                <w:sz w:val="20"/>
                <w:szCs w:val="20"/>
                <w:lang w:val="fi-FI"/>
              </w:rPr>
              <w:t>piisseri</w:t>
            </w:r>
          </w:p>
        </w:tc>
        <w:tc>
          <w:tcPr>
            <w:tcW w:w="1195" w:type="dxa"/>
            <w:tcBorders>
              <w:top w:val="single" w:sz="4" w:space="0" w:color="000000"/>
              <w:left w:val="single" w:sz="4" w:space="0" w:color="000000"/>
              <w:bottom w:val="single" w:sz="4" w:space="0" w:color="000000"/>
            </w:tcBorders>
          </w:tcPr>
          <w:p w14:paraId="2885D3E6" w14:textId="77777777" w:rsidR="006B5BDA" w:rsidRPr="00FB4EFA" w:rsidRDefault="006B5BDA" w:rsidP="00AC1192">
            <w:pPr>
              <w:keepNext/>
              <w:keepLines/>
              <w:widowControl w:val="0"/>
              <w:suppressAutoHyphens/>
              <w:jc w:val="left"/>
              <w:rPr>
                <w:rFonts w:eastAsia="Times New Roman" w:cs="Charis SIL"/>
                <w:i/>
                <w:sz w:val="20"/>
                <w:szCs w:val="20"/>
                <w:lang w:val="fi-FI"/>
              </w:rPr>
            </w:pPr>
          </w:p>
        </w:tc>
      </w:tr>
      <w:tr w:rsidR="00FB4EFA" w:rsidRPr="00FB4EFA" w14:paraId="0B3D879A" w14:textId="77777777" w:rsidTr="00EC74AD">
        <w:tc>
          <w:tcPr>
            <w:tcW w:w="1283" w:type="dxa"/>
            <w:tcBorders>
              <w:top w:val="single" w:sz="4" w:space="0" w:color="000000"/>
              <w:bottom w:val="single" w:sz="4" w:space="0" w:color="000000"/>
              <w:right w:val="single" w:sz="4" w:space="0" w:color="000000"/>
            </w:tcBorders>
          </w:tcPr>
          <w:p w14:paraId="07BF7F52" w14:textId="77777777" w:rsidR="006B5BDA" w:rsidRPr="00FB4EFA" w:rsidRDefault="006B5BDA" w:rsidP="00AC1192">
            <w:pPr>
              <w:keepNext/>
              <w:keepLines/>
              <w:widowControl w:val="0"/>
              <w:suppressAutoHyphens/>
              <w:jc w:val="left"/>
              <w:rPr>
                <w:rFonts w:eastAsia="Times New Roman" w:cs="Charis SIL"/>
                <w:i/>
                <w:iCs/>
                <w:sz w:val="20"/>
                <w:szCs w:val="20"/>
                <w:lang w:val="fi-FI"/>
              </w:rPr>
            </w:pPr>
            <w:r w:rsidRPr="00FB4EFA">
              <w:rPr>
                <w:rFonts w:eastAsia="Times New Roman" w:cs="Charis SIL"/>
                <w:i/>
                <w:iCs/>
                <w:sz w:val="20"/>
                <w:szCs w:val="20"/>
                <w:lang w:val="fi-FI"/>
              </w:rPr>
              <w:t>bearal</w:t>
            </w:r>
          </w:p>
          <w:p w14:paraId="58842C41"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Cs/>
                <w:sz w:val="20"/>
                <w:szCs w:val="20"/>
                <w:lang w:val="fi-FI"/>
              </w:rPr>
              <w:t xml:space="preserve">&lt; no </w:t>
            </w:r>
            <w:r w:rsidRPr="00FB4EFA">
              <w:rPr>
                <w:rFonts w:eastAsia="Times New Roman" w:cs="Charis SIL"/>
                <w:i/>
                <w:sz w:val="20"/>
                <w:szCs w:val="20"/>
                <w:lang w:val="fi-FI"/>
              </w:rPr>
              <w:t>perle</w:t>
            </w:r>
          </w:p>
        </w:tc>
        <w:tc>
          <w:tcPr>
            <w:tcW w:w="1595" w:type="dxa"/>
            <w:tcBorders>
              <w:top w:val="single" w:sz="4" w:space="0" w:color="000000"/>
              <w:left w:val="single" w:sz="4" w:space="0" w:color="000000"/>
              <w:bottom w:val="single" w:sz="4" w:space="0" w:color="000000"/>
              <w:right w:val="single" w:sz="4" w:space="0" w:color="000000"/>
            </w:tcBorders>
          </w:tcPr>
          <w:p w14:paraId="61A28DAE" w14:textId="77777777" w:rsidR="006B5BDA" w:rsidRPr="00FB4EFA" w:rsidRDefault="006B5BDA" w:rsidP="00402EF4">
            <w:pPr>
              <w:keepNext/>
              <w:keepLines/>
              <w:widowControl w:val="0"/>
              <w:jc w:val="left"/>
              <w:rPr>
                <w:rFonts w:eastAsia="Times New Roman" w:cs="Charis SIL"/>
                <w:sz w:val="20"/>
                <w:szCs w:val="20"/>
                <w:lang w:val="fi-FI"/>
              </w:rPr>
            </w:pPr>
          </w:p>
        </w:tc>
        <w:tc>
          <w:tcPr>
            <w:tcW w:w="1390" w:type="dxa"/>
            <w:tcBorders>
              <w:top w:val="single" w:sz="4" w:space="0" w:color="000000"/>
              <w:left w:val="single" w:sz="4" w:space="0" w:color="000000"/>
              <w:bottom w:val="single" w:sz="4" w:space="0" w:color="000000"/>
              <w:right w:val="single" w:sz="4" w:space="0" w:color="000000"/>
            </w:tcBorders>
          </w:tcPr>
          <w:p w14:paraId="342244C6" w14:textId="77777777" w:rsidR="006B5BDA" w:rsidRPr="00FB4EFA" w:rsidRDefault="006B5BDA" w:rsidP="00AC1192">
            <w:pPr>
              <w:keepNext/>
              <w:keepLines/>
              <w:widowControl w:val="0"/>
              <w:suppressAutoHyphens/>
              <w:jc w:val="left"/>
              <w:rPr>
                <w:rFonts w:eastAsia="Times New Roman" w:cs="Charis SIL"/>
                <w:i/>
                <w:sz w:val="20"/>
                <w:szCs w:val="20"/>
                <w:lang w:val="fi-FI"/>
              </w:rPr>
            </w:pPr>
            <w:r w:rsidRPr="00FB4EFA">
              <w:rPr>
                <w:rFonts w:eastAsia="Times New Roman" w:cs="Charis SIL"/>
                <w:i/>
                <w:sz w:val="20"/>
                <w:szCs w:val="20"/>
                <w:lang w:val="fi-FI"/>
              </w:rPr>
              <w:t>peeʹrel</w:t>
            </w:r>
          </w:p>
          <w:p w14:paraId="21B51D60"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Cs/>
                <w:sz w:val="20"/>
                <w:szCs w:val="20"/>
                <w:lang w:val="fi-FI"/>
              </w:rPr>
              <w:t xml:space="preserve">&lt; no </w:t>
            </w:r>
            <w:r w:rsidRPr="00FB4EFA">
              <w:rPr>
                <w:rFonts w:eastAsia="Times New Roman" w:cs="Charis SIL"/>
                <w:i/>
                <w:sz w:val="20"/>
                <w:szCs w:val="20"/>
                <w:lang w:val="fi-FI"/>
              </w:rPr>
              <w:t>perle</w:t>
            </w:r>
          </w:p>
        </w:tc>
        <w:tc>
          <w:tcPr>
            <w:tcW w:w="1451" w:type="dxa"/>
            <w:tcBorders>
              <w:top w:val="single" w:sz="4" w:space="0" w:color="000000"/>
              <w:left w:val="single" w:sz="4" w:space="0" w:color="000000"/>
              <w:bottom w:val="single" w:sz="4" w:space="0" w:color="000000"/>
              <w:right w:val="single" w:sz="4" w:space="0" w:color="000000"/>
            </w:tcBorders>
          </w:tcPr>
          <w:p w14:paraId="3C349D41" w14:textId="77777777" w:rsidR="006B5BDA" w:rsidRPr="00FB4EFA" w:rsidRDefault="006B5BDA" w:rsidP="00402EF4">
            <w:pPr>
              <w:keepNext/>
              <w:keepLines/>
              <w:widowControl w:val="0"/>
              <w:jc w:val="left"/>
              <w:rPr>
                <w:rFonts w:eastAsia="Times New Roman" w:cs="Charis SIL"/>
                <w:sz w:val="20"/>
                <w:szCs w:val="20"/>
                <w:lang w:val="fi-FI"/>
              </w:rPr>
            </w:pPr>
          </w:p>
        </w:tc>
        <w:tc>
          <w:tcPr>
            <w:tcW w:w="1195" w:type="dxa"/>
            <w:tcBorders>
              <w:top w:val="single" w:sz="4" w:space="0" w:color="000000"/>
              <w:left w:val="single" w:sz="4" w:space="0" w:color="000000"/>
              <w:bottom w:val="single" w:sz="4" w:space="0" w:color="000000"/>
            </w:tcBorders>
          </w:tcPr>
          <w:p w14:paraId="498194FD" w14:textId="77777777" w:rsidR="006B5BDA" w:rsidRPr="00FB4EFA" w:rsidRDefault="006B5BDA" w:rsidP="00402EF4">
            <w:pPr>
              <w:keepNext/>
              <w:keepLines/>
              <w:widowControl w:val="0"/>
              <w:jc w:val="left"/>
              <w:rPr>
                <w:rFonts w:eastAsia="Times New Roman" w:cs="Charis SIL"/>
                <w:sz w:val="20"/>
                <w:szCs w:val="20"/>
                <w:lang w:val="fi-FI"/>
              </w:rPr>
            </w:pPr>
          </w:p>
        </w:tc>
      </w:tr>
      <w:tr w:rsidR="00FB4EFA" w:rsidRPr="00FB4EFA" w14:paraId="3B07A033" w14:textId="77777777" w:rsidTr="00EC74AD">
        <w:tc>
          <w:tcPr>
            <w:tcW w:w="1283" w:type="dxa"/>
            <w:tcBorders>
              <w:top w:val="single" w:sz="4" w:space="0" w:color="000000"/>
              <w:bottom w:val="single" w:sz="4" w:space="0" w:color="000000"/>
              <w:right w:val="single" w:sz="4" w:space="0" w:color="000000"/>
            </w:tcBorders>
          </w:tcPr>
          <w:p w14:paraId="5287E2AE" w14:textId="77777777" w:rsidR="006B5BDA" w:rsidRPr="00FB4EFA" w:rsidRDefault="006B5BDA" w:rsidP="00402EF4">
            <w:pPr>
              <w:keepNext/>
              <w:keepLines/>
              <w:widowControl w:val="0"/>
              <w:jc w:val="left"/>
              <w:rPr>
                <w:rFonts w:eastAsia="Times New Roman" w:cs="Charis SIL"/>
                <w:sz w:val="20"/>
                <w:szCs w:val="20"/>
                <w:lang w:val="fi-FI"/>
              </w:rPr>
            </w:pPr>
          </w:p>
        </w:tc>
        <w:tc>
          <w:tcPr>
            <w:tcW w:w="1595" w:type="dxa"/>
            <w:tcBorders>
              <w:top w:val="single" w:sz="4" w:space="0" w:color="000000"/>
              <w:left w:val="single" w:sz="4" w:space="0" w:color="000000"/>
              <w:bottom w:val="single" w:sz="4" w:space="0" w:color="000000"/>
              <w:right w:val="single" w:sz="4" w:space="0" w:color="000000"/>
            </w:tcBorders>
          </w:tcPr>
          <w:p w14:paraId="42100ED8" w14:textId="77777777" w:rsidR="006B5BDA" w:rsidRPr="00FB4EFA" w:rsidRDefault="006B5BDA" w:rsidP="00402EF4">
            <w:pPr>
              <w:keepNext/>
              <w:keepLines/>
              <w:widowControl w:val="0"/>
              <w:jc w:val="left"/>
              <w:rPr>
                <w:rFonts w:eastAsia="Times New Roman" w:cs="Charis SIL"/>
                <w:sz w:val="20"/>
                <w:szCs w:val="20"/>
                <w:lang w:val="fi-FI"/>
              </w:rPr>
            </w:pPr>
          </w:p>
        </w:tc>
        <w:tc>
          <w:tcPr>
            <w:tcW w:w="1390" w:type="dxa"/>
            <w:tcBorders>
              <w:top w:val="single" w:sz="4" w:space="0" w:color="000000"/>
              <w:left w:val="single" w:sz="4" w:space="0" w:color="000000"/>
              <w:bottom w:val="single" w:sz="4" w:space="0" w:color="000000"/>
              <w:right w:val="single" w:sz="4" w:space="0" w:color="000000"/>
            </w:tcBorders>
          </w:tcPr>
          <w:p w14:paraId="7D1641F1" w14:textId="77777777" w:rsidR="006B5BDA" w:rsidRPr="00FB4EFA" w:rsidRDefault="006B5BDA" w:rsidP="00AC1192">
            <w:pPr>
              <w:keepNext/>
              <w:keepLines/>
              <w:widowControl w:val="0"/>
              <w:suppressAutoHyphens/>
              <w:jc w:val="left"/>
              <w:rPr>
                <w:rFonts w:eastAsia="Times New Roman" w:cs="Charis SIL"/>
                <w:i/>
                <w:sz w:val="20"/>
                <w:szCs w:val="20"/>
                <w:lang w:val="fi-FI"/>
              </w:rPr>
            </w:pPr>
          </w:p>
        </w:tc>
        <w:tc>
          <w:tcPr>
            <w:tcW w:w="1451" w:type="dxa"/>
            <w:tcBorders>
              <w:top w:val="single" w:sz="4" w:space="0" w:color="000000"/>
              <w:left w:val="single" w:sz="4" w:space="0" w:color="000000"/>
              <w:bottom w:val="single" w:sz="4" w:space="0" w:color="000000"/>
              <w:right w:val="single" w:sz="4" w:space="0" w:color="000000"/>
            </w:tcBorders>
          </w:tcPr>
          <w:p w14:paraId="59ECB3B5" w14:textId="77777777" w:rsidR="006B5BDA" w:rsidRPr="00FB4EFA" w:rsidRDefault="006B5BDA" w:rsidP="00AC1192">
            <w:pPr>
              <w:keepNext/>
              <w:keepLines/>
              <w:widowControl w:val="0"/>
              <w:suppressAutoHyphens/>
              <w:jc w:val="left"/>
              <w:rPr>
                <w:rFonts w:eastAsia="Times New Roman" w:cs="Charis SIL"/>
                <w:i/>
                <w:iCs/>
                <w:sz w:val="20"/>
                <w:szCs w:val="20"/>
                <w:lang w:val="fi-FI"/>
              </w:rPr>
            </w:pPr>
            <w:r w:rsidRPr="00FB4EFA">
              <w:rPr>
                <w:rFonts w:eastAsia="Times New Roman" w:cs="Charis SIL"/>
                <w:i/>
                <w:iCs/>
                <w:sz w:val="20"/>
                <w:szCs w:val="20"/>
                <w:lang w:val="fi-FI"/>
              </w:rPr>
              <w:t>tsuət̜̄k͕ᴱ</w:t>
            </w:r>
          </w:p>
          <w:p w14:paraId="68B71C04"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&lt; karj. </w:t>
            </w:r>
            <w:r w:rsidRPr="00FB4EFA">
              <w:rPr>
                <w:rFonts w:eastAsia="Times New Roman" w:cs="Charis SIL"/>
                <w:i/>
                <w:iCs/>
                <w:sz w:val="20"/>
                <w:szCs w:val="20"/>
                <w:lang w:val="fi-FI"/>
              </w:rPr>
              <w:t>čotka(t)</w:t>
            </w:r>
          </w:p>
        </w:tc>
        <w:tc>
          <w:tcPr>
            <w:tcW w:w="1195" w:type="dxa"/>
            <w:tcBorders>
              <w:top w:val="single" w:sz="4" w:space="0" w:color="000000"/>
              <w:left w:val="single" w:sz="4" w:space="0" w:color="000000"/>
              <w:bottom w:val="single" w:sz="4" w:space="0" w:color="000000"/>
            </w:tcBorders>
          </w:tcPr>
          <w:p w14:paraId="53BAA98E" w14:textId="77777777" w:rsidR="006B5BDA" w:rsidRPr="00FB4EFA" w:rsidRDefault="006B5BDA" w:rsidP="00402EF4">
            <w:pPr>
              <w:keepNext/>
              <w:keepLines/>
              <w:widowControl w:val="0"/>
              <w:jc w:val="left"/>
              <w:rPr>
                <w:rFonts w:eastAsia="Times New Roman" w:cs="Charis SIL"/>
                <w:sz w:val="20"/>
                <w:szCs w:val="20"/>
                <w:lang w:val="fi-FI"/>
              </w:rPr>
            </w:pPr>
          </w:p>
        </w:tc>
      </w:tr>
      <w:tr w:rsidR="00FB4EFA" w:rsidRPr="00FB4EFA" w14:paraId="0C9FF4A4" w14:textId="77777777" w:rsidTr="00EC74AD">
        <w:tc>
          <w:tcPr>
            <w:tcW w:w="1283" w:type="dxa"/>
            <w:tcBorders>
              <w:top w:val="single" w:sz="4" w:space="0" w:color="000000"/>
              <w:bottom w:val="single" w:sz="4" w:space="0" w:color="000000"/>
              <w:right w:val="single" w:sz="4" w:space="0" w:color="000000"/>
            </w:tcBorders>
          </w:tcPr>
          <w:p w14:paraId="2E99A8C8" w14:textId="77777777" w:rsidR="006B5BDA" w:rsidRPr="00FB4EFA" w:rsidRDefault="006B5BDA" w:rsidP="00402EF4">
            <w:pPr>
              <w:keepNext/>
              <w:keepLines/>
              <w:widowControl w:val="0"/>
              <w:jc w:val="left"/>
              <w:rPr>
                <w:rFonts w:eastAsia="Times New Roman" w:cs="Charis SIL"/>
                <w:sz w:val="20"/>
                <w:szCs w:val="20"/>
                <w:lang w:val="fi-FI"/>
              </w:rPr>
            </w:pPr>
          </w:p>
        </w:tc>
        <w:tc>
          <w:tcPr>
            <w:tcW w:w="1595" w:type="dxa"/>
            <w:tcBorders>
              <w:top w:val="single" w:sz="4" w:space="0" w:color="000000"/>
              <w:left w:val="single" w:sz="4" w:space="0" w:color="000000"/>
              <w:bottom w:val="single" w:sz="4" w:space="0" w:color="000000"/>
              <w:right w:val="single" w:sz="4" w:space="0" w:color="000000"/>
            </w:tcBorders>
          </w:tcPr>
          <w:p w14:paraId="57ECDBD8" w14:textId="77777777" w:rsidR="006B5BDA" w:rsidRPr="00FB4EFA" w:rsidRDefault="006B5BDA" w:rsidP="00AC1192">
            <w:pPr>
              <w:keepNext/>
              <w:keepLines/>
              <w:widowControl w:val="0"/>
              <w:suppressAutoHyphens/>
              <w:jc w:val="left"/>
              <w:rPr>
                <w:rFonts w:eastAsia="Times New Roman" w:cs="Charis SIL"/>
                <w:i/>
                <w:iCs/>
                <w:sz w:val="20"/>
                <w:szCs w:val="20"/>
                <w:lang w:val="fi-FI"/>
              </w:rPr>
            </w:pPr>
            <w:r w:rsidRPr="00FB4EFA">
              <w:rPr>
                <w:rFonts w:eastAsia="Times New Roman" w:cs="Charis SIL"/>
                <w:i/>
                <w:iCs/>
                <w:sz w:val="20"/>
                <w:szCs w:val="20"/>
                <w:lang w:val="fi-FI"/>
              </w:rPr>
              <w:t>kässeekeđgi</w:t>
            </w:r>
          </w:p>
          <w:p w14:paraId="34BAC97B"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sz w:val="20"/>
                <w:szCs w:val="20"/>
                <w:lang w:val="fi-FI"/>
              </w:rPr>
              <w:t xml:space="preserve">&lt; </w:t>
            </w:r>
            <w:r w:rsidRPr="00FB4EFA">
              <w:rPr>
                <w:rFonts w:eastAsia="Times New Roman" w:cs="Charis SIL"/>
                <w:i/>
                <w:iCs/>
                <w:sz w:val="20"/>
                <w:szCs w:val="20"/>
                <w:lang w:val="fi-FI"/>
              </w:rPr>
              <w:t xml:space="preserve">käsi </w:t>
            </w:r>
            <w:r w:rsidRPr="00FB4EFA">
              <w:rPr>
                <w:rFonts w:eastAsia="Times New Roman" w:cs="Charis SIL"/>
                <w:sz w:val="20"/>
                <w:szCs w:val="20"/>
                <w:lang w:val="fi-FI"/>
              </w:rPr>
              <w:t xml:space="preserve">’pihka’ + </w:t>
            </w:r>
            <w:r w:rsidRPr="00FB4EFA">
              <w:rPr>
                <w:rFonts w:eastAsia="Times New Roman" w:cs="Charis SIL"/>
                <w:i/>
                <w:iCs/>
                <w:sz w:val="20"/>
                <w:szCs w:val="20"/>
                <w:lang w:val="fi-FI"/>
              </w:rPr>
              <w:t xml:space="preserve">keđgi </w:t>
            </w:r>
            <w:r w:rsidRPr="00FB4EFA">
              <w:rPr>
                <w:rFonts w:eastAsia="Times New Roman" w:cs="Charis SIL"/>
                <w:sz w:val="20"/>
                <w:szCs w:val="20"/>
                <w:lang w:val="fi-FI"/>
              </w:rPr>
              <w:t>’kivi’</w:t>
            </w:r>
          </w:p>
        </w:tc>
        <w:tc>
          <w:tcPr>
            <w:tcW w:w="1390" w:type="dxa"/>
            <w:tcBorders>
              <w:top w:val="single" w:sz="4" w:space="0" w:color="000000"/>
              <w:left w:val="single" w:sz="4" w:space="0" w:color="000000"/>
              <w:bottom w:val="single" w:sz="4" w:space="0" w:color="000000"/>
              <w:right w:val="single" w:sz="4" w:space="0" w:color="000000"/>
            </w:tcBorders>
          </w:tcPr>
          <w:p w14:paraId="7CD04F9E" w14:textId="77777777" w:rsidR="006B5BDA" w:rsidRPr="00FB4EFA" w:rsidRDefault="006B5BDA" w:rsidP="00AC1192">
            <w:pPr>
              <w:keepNext/>
              <w:keepLines/>
              <w:widowControl w:val="0"/>
              <w:suppressAutoHyphens/>
              <w:jc w:val="left"/>
              <w:rPr>
                <w:rFonts w:eastAsia="Times New Roman" w:cs="Charis SIL"/>
                <w:i/>
                <w:sz w:val="20"/>
                <w:szCs w:val="20"/>
                <w:lang w:val="fi-FI"/>
              </w:rPr>
            </w:pPr>
          </w:p>
        </w:tc>
        <w:tc>
          <w:tcPr>
            <w:tcW w:w="1451" w:type="dxa"/>
            <w:tcBorders>
              <w:top w:val="single" w:sz="4" w:space="0" w:color="000000"/>
              <w:left w:val="single" w:sz="4" w:space="0" w:color="000000"/>
              <w:bottom w:val="single" w:sz="4" w:space="0" w:color="000000"/>
              <w:right w:val="single" w:sz="4" w:space="0" w:color="000000"/>
            </w:tcBorders>
          </w:tcPr>
          <w:p w14:paraId="5E8B5BBB" w14:textId="77777777" w:rsidR="006B5BDA" w:rsidRPr="00FB4EFA" w:rsidRDefault="006B5BDA" w:rsidP="00AC1192">
            <w:pPr>
              <w:keepNext/>
              <w:keepLines/>
              <w:widowControl w:val="0"/>
              <w:suppressAutoHyphens/>
              <w:jc w:val="left"/>
              <w:rPr>
                <w:rFonts w:eastAsia="Times New Roman" w:cs="Charis SIL"/>
                <w:i/>
                <w:iCs/>
                <w:sz w:val="20"/>
                <w:szCs w:val="20"/>
                <w:lang w:val="fi-FI"/>
              </w:rPr>
            </w:pPr>
          </w:p>
        </w:tc>
        <w:tc>
          <w:tcPr>
            <w:tcW w:w="1195" w:type="dxa"/>
            <w:tcBorders>
              <w:top w:val="single" w:sz="4" w:space="0" w:color="000000"/>
              <w:left w:val="single" w:sz="4" w:space="0" w:color="000000"/>
              <w:bottom w:val="single" w:sz="4" w:space="0" w:color="000000"/>
            </w:tcBorders>
          </w:tcPr>
          <w:p w14:paraId="234AEE2D" w14:textId="77777777" w:rsidR="006B5BDA" w:rsidRPr="00FB4EFA" w:rsidRDefault="006B5BDA" w:rsidP="00402EF4">
            <w:pPr>
              <w:keepNext/>
              <w:keepLines/>
              <w:widowControl w:val="0"/>
              <w:jc w:val="left"/>
              <w:rPr>
                <w:rFonts w:eastAsia="Times New Roman" w:cs="Charis SIL"/>
                <w:sz w:val="20"/>
                <w:szCs w:val="20"/>
                <w:lang w:val="fi-FI"/>
              </w:rPr>
            </w:pPr>
          </w:p>
        </w:tc>
      </w:tr>
      <w:tr w:rsidR="00FB4EFA" w:rsidRPr="00FB4EFA" w14:paraId="1F477644" w14:textId="77777777" w:rsidTr="00EC74AD">
        <w:tc>
          <w:tcPr>
            <w:tcW w:w="1283" w:type="dxa"/>
            <w:tcBorders>
              <w:top w:val="single" w:sz="4" w:space="0" w:color="000000"/>
              <w:right w:val="single" w:sz="4" w:space="0" w:color="000000"/>
            </w:tcBorders>
          </w:tcPr>
          <w:p w14:paraId="6F78E535" w14:textId="77777777" w:rsidR="006B5BDA" w:rsidRPr="00FB4EFA" w:rsidRDefault="006B5BDA" w:rsidP="00402EF4">
            <w:pPr>
              <w:keepNext/>
              <w:keepLines/>
              <w:widowControl w:val="0"/>
              <w:jc w:val="left"/>
              <w:rPr>
                <w:rFonts w:eastAsia="Times New Roman" w:cs="Charis SIL"/>
                <w:sz w:val="20"/>
                <w:szCs w:val="20"/>
                <w:lang w:val="fi-FI"/>
              </w:rPr>
            </w:pPr>
          </w:p>
        </w:tc>
        <w:tc>
          <w:tcPr>
            <w:tcW w:w="1595" w:type="dxa"/>
            <w:tcBorders>
              <w:top w:val="single" w:sz="4" w:space="0" w:color="000000"/>
              <w:left w:val="single" w:sz="4" w:space="0" w:color="000000"/>
              <w:right w:val="single" w:sz="4" w:space="0" w:color="000000"/>
            </w:tcBorders>
          </w:tcPr>
          <w:p w14:paraId="0BFE13D9" w14:textId="77777777" w:rsidR="006B5BDA" w:rsidRPr="00FB4EFA" w:rsidRDefault="006B5BDA" w:rsidP="00402EF4">
            <w:pPr>
              <w:keepNext/>
              <w:keepLines/>
              <w:widowControl w:val="0"/>
              <w:jc w:val="left"/>
              <w:rPr>
                <w:rFonts w:eastAsia="Times New Roman" w:cs="Charis SIL"/>
                <w:sz w:val="20"/>
                <w:szCs w:val="20"/>
                <w:lang w:val="fi-FI"/>
              </w:rPr>
            </w:pPr>
          </w:p>
        </w:tc>
        <w:tc>
          <w:tcPr>
            <w:tcW w:w="1390" w:type="dxa"/>
            <w:tcBorders>
              <w:top w:val="single" w:sz="4" w:space="0" w:color="000000"/>
              <w:left w:val="single" w:sz="4" w:space="0" w:color="000000"/>
              <w:right w:val="single" w:sz="4" w:space="0" w:color="000000"/>
            </w:tcBorders>
          </w:tcPr>
          <w:p w14:paraId="2D4C2D65" w14:textId="77777777" w:rsidR="006B5BDA" w:rsidRPr="00FB4EFA" w:rsidRDefault="006B5BDA" w:rsidP="00AC1192">
            <w:pPr>
              <w:keepNext/>
              <w:keepLines/>
              <w:widowControl w:val="0"/>
              <w:suppressAutoHyphens/>
              <w:jc w:val="left"/>
              <w:rPr>
                <w:rFonts w:eastAsia="Times New Roman" w:cs="Charis SIL"/>
                <w:i/>
                <w:sz w:val="20"/>
                <w:szCs w:val="20"/>
                <w:lang w:val="fi-FI"/>
              </w:rPr>
            </w:pPr>
          </w:p>
        </w:tc>
        <w:tc>
          <w:tcPr>
            <w:tcW w:w="1451" w:type="dxa"/>
            <w:tcBorders>
              <w:top w:val="single" w:sz="4" w:space="0" w:color="000000"/>
              <w:left w:val="single" w:sz="4" w:space="0" w:color="000000"/>
              <w:right w:val="single" w:sz="4" w:space="0" w:color="000000"/>
            </w:tcBorders>
          </w:tcPr>
          <w:p w14:paraId="5E76530E" w14:textId="77777777" w:rsidR="006B5BDA" w:rsidRPr="00FB4EFA" w:rsidRDefault="006B5BDA" w:rsidP="00AC1192">
            <w:pPr>
              <w:keepNext/>
              <w:keepLines/>
              <w:widowControl w:val="0"/>
              <w:suppressAutoHyphens/>
              <w:jc w:val="left"/>
              <w:rPr>
                <w:rFonts w:eastAsia="Times New Roman" w:cs="Charis SIL"/>
                <w:i/>
                <w:iCs/>
                <w:sz w:val="20"/>
                <w:szCs w:val="20"/>
                <w:lang w:val="fi-FI"/>
              </w:rPr>
            </w:pPr>
          </w:p>
        </w:tc>
        <w:tc>
          <w:tcPr>
            <w:tcW w:w="1195" w:type="dxa"/>
            <w:tcBorders>
              <w:top w:val="single" w:sz="4" w:space="0" w:color="000000"/>
              <w:left w:val="single" w:sz="4" w:space="0" w:color="000000"/>
            </w:tcBorders>
          </w:tcPr>
          <w:p w14:paraId="7C5D3858" w14:textId="77777777" w:rsidR="006B5BDA" w:rsidRPr="00FB4EFA" w:rsidRDefault="006B5BDA" w:rsidP="00AC1192">
            <w:pPr>
              <w:keepNext/>
              <w:keepLines/>
              <w:widowControl w:val="0"/>
              <w:suppressAutoHyphens/>
              <w:jc w:val="left"/>
              <w:rPr>
                <w:rFonts w:eastAsia="Times New Roman" w:cs="Charis SIL"/>
                <w:sz w:val="20"/>
                <w:szCs w:val="20"/>
                <w:lang w:val="fi-FI"/>
              </w:rPr>
            </w:pPr>
            <w:r w:rsidRPr="00FB4EFA">
              <w:rPr>
                <w:rFonts w:eastAsia="Times New Roman" w:cs="Charis SIL"/>
                <w:i/>
                <w:iCs/>
                <w:sz w:val="20"/>
                <w:szCs w:val="20"/>
                <w:lang w:val="fi-FI"/>
              </w:rPr>
              <w:t>kǡž̜i-ɢieᴅ̜̄ᵍk͕ɛ</w:t>
            </w:r>
          </w:p>
        </w:tc>
      </w:tr>
    </w:tbl>
    <w:p w14:paraId="1390D091" w14:textId="217D1EFB" w:rsidR="006B5BDA" w:rsidRPr="00FB4EFA" w:rsidRDefault="006B5BDA" w:rsidP="00AF0CAD">
      <w:pPr>
        <w:spacing w:before="120" w:after="240"/>
        <w:jc w:val="center"/>
        <w:rPr>
          <w:lang w:val="fi-FI"/>
        </w:rPr>
      </w:pPr>
      <w:r w:rsidRPr="00FB4EFA">
        <w:rPr>
          <w:b/>
          <w:sz w:val="18"/>
          <w:szCs w:val="18"/>
          <w:lang w:val="fi-FI"/>
        </w:rPr>
        <w:t xml:space="preserve">Taulukko </w:t>
      </w:r>
      <w:r w:rsidR="001266F4" w:rsidRPr="00FB4EFA">
        <w:rPr>
          <w:b/>
          <w:sz w:val="18"/>
          <w:szCs w:val="18"/>
          <w:lang w:val="fi-FI"/>
        </w:rPr>
        <w:t>1</w:t>
      </w:r>
      <w:r w:rsidRPr="00FB4EFA">
        <w:rPr>
          <w:bCs/>
          <w:sz w:val="18"/>
          <w:szCs w:val="18"/>
          <w:lang w:val="fi-FI"/>
        </w:rPr>
        <w:t>: Itäisten saamelaisten ’helmeä’ merkitsevät sanat ja niiden alkuperä</w:t>
      </w:r>
    </w:p>
    <w:p w14:paraId="359E178E" w14:textId="77777777" w:rsidR="006B5BDA" w:rsidRPr="00FB4EFA" w:rsidRDefault="006B5BDA" w:rsidP="00AF0CAD">
      <w:pPr>
        <w:rPr>
          <w:lang w:val="fi-FI"/>
        </w:rPr>
      </w:pPr>
      <w:r w:rsidRPr="00FB4EFA">
        <w:rPr>
          <w:lang w:val="fi-FI"/>
        </w:rPr>
        <w:t>Ensimmäisenä mainittu ja samalla laajalevikkisin tässä artikkelissa käsitellyistä sanaryppäistä on etymologisesti monitahoisin. Ensinnäkin kaikki muut sanat osoittautuivat karjalaislainoiksi paitsi kiltinänsaamen sana, joka on venäläislaina. Toisaalta venäjän pohjoismurteiden vaikutuksesta Paatsjoen ja Suonikylän murteiden sanoihin on syntynyt soinnillinen sibilantti ja kiltinänsaameen venäjän yleiskielen vaikutuksesta soinnillinen suhusibilantti. Karjalasta lainattujen sanojen täytyy olla suhteellisen var</w:t>
      </w:r>
      <w:r w:rsidRPr="00FB4EFA">
        <w:rPr>
          <w:lang w:val="fi-FI"/>
        </w:rPr>
        <w:lastRenderedPageBreak/>
        <w:t xml:space="preserve">haisia lainoja, mihin viittaa se, että karjalan sanaan ei ole kehittynyt konsonanttiyhtymää </w:t>
      </w:r>
      <w:r w:rsidRPr="00FB4EFA">
        <w:rPr>
          <w:i/>
          <w:iCs/>
          <w:lang w:val="fi-FI"/>
        </w:rPr>
        <w:t>mpč</w:t>
      </w:r>
      <w:r w:rsidRPr="00FB4EFA">
        <w:rPr>
          <w:lang w:val="fi-FI"/>
        </w:rPr>
        <w:t xml:space="preserve"> (</w:t>
      </w:r>
      <w:r w:rsidRPr="00FB4EFA">
        <w:rPr>
          <w:i/>
          <w:iCs/>
          <w:lang w:val="fi-FI"/>
        </w:rPr>
        <w:t>simpčukka</w:t>
      </w:r>
      <w:r w:rsidRPr="00FB4EFA">
        <w:rPr>
          <w:lang w:val="fi-FI"/>
        </w:rPr>
        <w:t>).</w:t>
      </w:r>
    </w:p>
    <w:p w14:paraId="0CFA6400" w14:textId="77777777" w:rsidR="006B5BDA" w:rsidRPr="00FB4EFA" w:rsidRDefault="006B5BDA" w:rsidP="00AF0CAD">
      <w:pPr>
        <w:ind w:firstLine="709"/>
        <w:rPr>
          <w:lang w:val="fi-FI"/>
        </w:rPr>
      </w:pPr>
      <w:r w:rsidRPr="00FB4EFA">
        <w:rPr>
          <w:lang w:val="fi-FI"/>
        </w:rPr>
        <w:t xml:space="preserve">Esitin, että koltansaamen </w:t>
      </w:r>
      <w:r w:rsidRPr="00FB4EFA">
        <w:rPr>
          <w:i/>
          <w:lang w:val="fi-FI"/>
        </w:rPr>
        <w:t xml:space="preserve">peʹsser </w:t>
      </w:r>
      <w:r w:rsidRPr="00FB4EFA">
        <w:rPr>
          <w:lang w:val="fi-FI"/>
        </w:rPr>
        <w:t xml:space="preserve">~ kiltinänsaamen </w:t>
      </w:r>
      <w:r w:rsidRPr="00FB4EFA">
        <w:rPr>
          <w:i/>
          <w:lang w:val="fi-FI"/>
        </w:rPr>
        <w:t xml:space="preserve">pᴉ̑s̜s̜er̜ </w:t>
      </w:r>
      <w:r w:rsidRPr="00FB4EFA">
        <w:rPr>
          <w:lang w:val="fi-FI"/>
        </w:rPr>
        <w:t xml:space="preserve">sekä koltansaamen </w:t>
      </w:r>
      <w:r w:rsidRPr="00FB4EFA">
        <w:rPr>
          <w:i/>
          <w:lang w:val="fi-FI"/>
        </w:rPr>
        <w:t>peeʹrel</w:t>
      </w:r>
      <w:r w:rsidRPr="00FB4EFA">
        <w:rPr>
          <w:lang w:val="fi-FI"/>
        </w:rPr>
        <w:t xml:space="preserve"> kuuluvat suhteellisen tuoreiden lainojen joukkoon, mihin viittaa sanojen astevaihtelemattomuus sekä jälkimmäisen sanan ensitavun monoftongi-</w:t>
      </w:r>
      <w:r w:rsidRPr="00FB4EFA">
        <w:rPr>
          <w:i/>
          <w:iCs/>
          <w:lang w:val="fi-FI"/>
        </w:rPr>
        <w:t>e</w:t>
      </w:r>
      <w:r w:rsidRPr="00FB4EFA">
        <w:rPr>
          <w:lang w:val="fi-FI"/>
        </w:rPr>
        <w:t xml:space="preserve">, joka kehittyi koltansaameen melko myöhään. Pidän pohjoissaamen sanaa </w:t>
      </w:r>
      <w:r w:rsidRPr="00FB4EFA">
        <w:rPr>
          <w:i/>
          <w:lang w:val="fi-FI"/>
        </w:rPr>
        <w:t>bearal</w:t>
      </w:r>
      <w:r w:rsidRPr="00FB4EFA">
        <w:rPr>
          <w:lang w:val="fi-FI"/>
        </w:rPr>
        <w:t xml:space="preserve"> edellistä vanhempana juuri ensitavun diftongin takia. Astevaihtelemattomuutta ja ensitavun monoftongia </w:t>
      </w:r>
      <w:r w:rsidRPr="00FB4EFA">
        <w:rPr>
          <w:i/>
          <w:iCs/>
          <w:lang w:val="fi-FI"/>
        </w:rPr>
        <w:t>e</w:t>
      </w:r>
      <w:r w:rsidRPr="00FB4EFA">
        <w:rPr>
          <w:lang w:val="fi-FI"/>
        </w:rPr>
        <w:t xml:space="preserve"> voidaan laajemminkin pitää tuoreiden lainojen tunnusmerkkeinä.</w:t>
      </w:r>
    </w:p>
    <w:p w14:paraId="7CDB1D6D" w14:textId="40756C61" w:rsidR="006B5BDA" w:rsidRPr="00FB4EFA" w:rsidRDefault="006B5BDA" w:rsidP="00AF0CAD">
      <w:pPr>
        <w:ind w:firstLine="709"/>
        <w:rPr>
          <w:lang w:val="fi-FI"/>
        </w:rPr>
      </w:pPr>
      <w:r w:rsidRPr="00FB4EFA">
        <w:rPr>
          <w:lang w:val="fi-FI"/>
        </w:rPr>
        <w:t xml:space="preserve">Artikkelissa esitin myös, että saamelaiskielten suorat venäläislainat voidaan erottaa karjalan kautta lainatuista sanoista lainalähteen ensitavun monoftongin </w:t>
      </w:r>
      <w:r w:rsidRPr="00FB4EFA">
        <w:rPr>
          <w:i/>
          <w:iCs/>
          <w:lang w:val="fi-FI"/>
        </w:rPr>
        <w:t>o</w:t>
      </w:r>
      <w:r w:rsidRPr="00FB4EFA">
        <w:rPr>
          <w:lang w:val="fi-FI"/>
        </w:rPr>
        <w:t xml:space="preserve"> perusteella. Suorissa venäläislainoissa ensitavun monoftongi on substituoitu monoftongilla [o], esim. saaKi </w:t>
      </w:r>
      <w:r w:rsidRPr="00FB4EFA">
        <w:rPr>
          <w:i/>
          <w:iCs/>
          <w:lang w:val="fi-FI"/>
        </w:rPr>
        <w:t>лōmm</w:t>
      </w:r>
      <w:r w:rsidRPr="00FB4EFA">
        <w:rPr>
          <w:lang w:val="fi-FI"/>
        </w:rPr>
        <w:t xml:space="preserve"> ’rautakanki’ (KKLS: 888) &lt; ven. </w:t>
      </w:r>
      <w:r w:rsidRPr="00FB4EFA">
        <w:rPr>
          <w:i/>
          <w:iCs/>
          <w:lang w:val="fi-FI"/>
        </w:rPr>
        <w:t>лом</w:t>
      </w:r>
      <w:r w:rsidRPr="00FB4EFA">
        <w:rPr>
          <w:lang w:val="fi-FI"/>
        </w:rPr>
        <w:t xml:space="preserve"> </w:t>
      </w:r>
      <w:r w:rsidR="00D17301" w:rsidRPr="00FB4EFA">
        <w:rPr>
          <w:lang w:val="fi-FI"/>
        </w:rPr>
        <w:t>id.</w:t>
      </w:r>
      <w:r w:rsidRPr="00FB4EFA">
        <w:rPr>
          <w:lang w:val="fi-FI"/>
        </w:rPr>
        <w:t xml:space="preserve">, kun taas karjalaislainoissa monoftongi on substituoitu diftongilla, esim. saaKi </w:t>
      </w:r>
      <w:r w:rsidRPr="00FB4EFA">
        <w:rPr>
          <w:i/>
          <w:iCs/>
          <w:lang w:val="fi-FI"/>
        </w:rPr>
        <w:t xml:space="preserve">tsuət̜̄k͕ᴱ </w:t>
      </w:r>
      <w:r w:rsidRPr="00FB4EFA">
        <w:rPr>
          <w:lang w:val="fi-FI"/>
        </w:rPr>
        <w:t xml:space="preserve">’helmi, pl. helminauha’ &lt; </w:t>
      </w:r>
      <w:r w:rsidRPr="00FB4EFA">
        <w:rPr>
          <w:i/>
          <w:iCs/>
          <w:lang w:val="fi-FI"/>
        </w:rPr>
        <w:t xml:space="preserve">čotka </w:t>
      </w:r>
      <w:r w:rsidRPr="00FB4EFA">
        <w:rPr>
          <w:lang w:val="fi-FI"/>
        </w:rPr>
        <w:t xml:space="preserve">~ </w:t>
      </w:r>
      <w:r w:rsidRPr="00FB4EFA">
        <w:rPr>
          <w:i/>
          <w:iCs/>
          <w:lang w:val="fi-FI"/>
        </w:rPr>
        <w:t xml:space="preserve">čotkat </w:t>
      </w:r>
      <w:r w:rsidRPr="00FB4EFA">
        <w:rPr>
          <w:lang w:val="fi-FI"/>
        </w:rPr>
        <w:t xml:space="preserve">’rukousnauha’ &lt; ven. </w:t>
      </w:r>
      <w:r w:rsidRPr="00FB4EFA">
        <w:rPr>
          <w:i/>
          <w:iCs/>
          <w:lang w:val="fi-FI"/>
        </w:rPr>
        <w:t>чётки</w:t>
      </w:r>
      <w:r w:rsidRPr="00FB4EFA">
        <w:rPr>
          <w:lang w:val="fi-FI"/>
        </w:rPr>
        <w:t xml:space="preserve"> ’rukousnauha’.</w:t>
      </w:r>
    </w:p>
    <w:p w14:paraId="7D04DF19" w14:textId="77777777" w:rsidR="006B5BDA" w:rsidRPr="00FB4EFA" w:rsidRDefault="006B5BDA" w:rsidP="00AF0CAD">
      <w:pPr>
        <w:ind w:firstLine="720"/>
        <w:rPr>
          <w:lang w:val="fi-FI"/>
        </w:rPr>
      </w:pPr>
      <w:r w:rsidRPr="00FB4EFA">
        <w:rPr>
          <w:rFonts w:eastAsia="Times New Roman" w:cs="Charis SIL"/>
          <w:lang w:val="fi-FI"/>
        </w:rPr>
        <w:t xml:space="preserve">Ainoa yhdyssana ja samalla ainoa omaperäinen artikkelissa käsitelty sana on inarinsaamen </w:t>
      </w:r>
      <w:r w:rsidRPr="00FB4EFA">
        <w:rPr>
          <w:rFonts w:eastAsia="Times New Roman" w:cs="Charis SIL"/>
          <w:i/>
          <w:iCs/>
          <w:lang w:val="fi-FI"/>
        </w:rPr>
        <w:t>kässeekeđgi</w:t>
      </w:r>
      <w:r w:rsidRPr="00FB4EFA">
        <w:rPr>
          <w:rFonts w:eastAsia="Times New Roman" w:cs="Charis SIL"/>
          <w:lang w:val="fi-FI"/>
        </w:rPr>
        <w:t xml:space="preserve">, joka koostuu ’kiveä’ merkitsevästä perusosasta ja määriteosasta. Esitin, että määriteosan </w:t>
      </w:r>
      <w:r w:rsidRPr="00FB4EFA">
        <w:rPr>
          <w:rFonts w:eastAsia="Times New Roman" w:cs="Charis SIL"/>
          <w:i/>
          <w:iCs/>
          <w:lang w:val="fi-FI"/>
        </w:rPr>
        <w:t>kässee</w:t>
      </w:r>
      <w:r w:rsidRPr="00FB4EFA">
        <w:rPr>
          <w:rFonts w:eastAsia="Times New Roman" w:cs="Charis SIL"/>
          <w:lang w:val="fi-FI"/>
        </w:rPr>
        <w:t xml:space="preserve"> ’juoksutusmaha’ olisi mennyt sekaisin alkuperäisen määriteosan </w:t>
      </w:r>
      <w:r w:rsidRPr="00FB4EFA">
        <w:rPr>
          <w:rFonts w:eastAsia="Times New Roman" w:cs="Charis SIL"/>
          <w:i/>
          <w:iCs/>
          <w:lang w:val="fi-FI"/>
        </w:rPr>
        <w:t>kässi</w:t>
      </w:r>
      <w:r w:rsidRPr="00FB4EFA">
        <w:rPr>
          <w:rFonts w:eastAsia="Times New Roman" w:cs="Charis SIL"/>
          <w:lang w:val="fi-FI"/>
        </w:rPr>
        <w:t xml:space="preserve"> ’pihka, vaha vaikku’ kanssa. Tätä perustelen sanojen merkitysten lisäksi sillä, että inarinsaamessa esiintyy myös</w:t>
      </w:r>
      <w:r w:rsidRPr="00FB4EFA">
        <w:rPr>
          <w:rFonts w:eastAsia="Times New Roman" w:cs="Charis SIL"/>
          <w:i/>
          <w:iCs/>
          <w:lang w:val="fi-FI"/>
        </w:rPr>
        <w:t xml:space="preserve"> kässimielkki </w:t>
      </w:r>
      <w:r w:rsidRPr="00FB4EFA">
        <w:rPr>
          <w:rFonts w:eastAsia="Times New Roman" w:cs="Charis SIL"/>
          <w:lang w:val="fi-FI"/>
        </w:rPr>
        <w:t xml:space="preserve">’ternimaito’ ”pihkamaito”, jossa määriteosa on ilmiselvästi vaihtunut. On epäselvää, mikä on turjansaamen sanan </w:t>
      </w:r>
      <w:r w:rsidRPr="00FB4EFA">
        <w:rPr>
          <w:rFonts w:eastAsia="Times New Roman" w:cs="Charis SIL"/>
          <w:i/>
          <w:iCs/>
          <w:lang w:val="fi-FI"/>
        </w:rPr>
        <w:t xml:space="preserve">kǡž̜i-ɢieᴅ̜̄ᵍk͕ɛ </w:t>
      </w:r>
      <w:r w:rsidRPr="00FB4EFA">
        <w:rPr>
          <w:rFonts w:eastAsia="Times New Roman" w:cs="Charis SIL"/>
          <w:lang w:val="fi-FI"/>
        </w:rPr>
        <w:t>suhde inarinsaamen ’helmeä’ merkitsevään sanaan.</w:t>
      </w:r>
    </w:p>
    <w:p w14:paraId="3EEFAFB4" w14:textId="77777777" w:rsidR="006B5BDA" w:rsidRPr="00FB4EFA" w:rsidRDefault="006B5BDA" w:rsidP="00AF0CAD">
      <w:pPr>
        <w:ind w:firstLine="720"/>
        <w:rPr>
          <w:lang w:val="fi-FI"/>
        </w:rPr>
      </w:pPr>
      <w:r w:rsidRPr="00FB4EFA">
        <w:rPr>
          <w:rFonts w:eastAsia="Times New Roman" w:cs="Charis SIL"/>
          <w:lang w:val="fi-FI"/>
        </w:rPr>
        <w:t xml:space="preserve">Artikkelissa kävi myös ilmi, että saamelaiskielten itämerensuomalaisissa lainasanoissa on käytetty myös morfologista substituutiota, esim. turjansaamen sanassa </w:t>
      </w:r>
      <w:r w:rsidRPr="00FB4EFA">
        <w:rPr>
          <w:rFonts w:eastAsia="Times New Roman" w:cs="Charis SIL"/>
          <w:i/>
          <w:lang w:val="fi-FI"/>
        </w:rPr>
        <w:t>ci̊mʒi̊ɵj</w:t>
      </w:r>
      <w:r w:rsidRPr="00FB4EFA">
        <w:rPr>
          <w:rFonts w:eastAsia="Times New Roman" w:cs="Charis SIL"/>
          <w:iCs/>
          <w:lang w:val="fi-FI"/>
        </w:rPr>
        <w:t xml:space="preserve"> esiintyy deminutiivisuffiksi, joka selittyy sillä, että karjalan sana </w:t>
      </w:r>
      <w:r w:rsidRPr="00FB4EFA">
        <w:rPr>
          <w:rFonts w:eastAsia="Times New Roman" w:cs="Charis SIL"/>
          <w:i/>
          <w:lang w:val="fi-FI"/>
        </w:rPr>
        <w:t xml:space="preserve">simčukka </w:t>
      </w:r>
      <w:r w:rsidRPr="00FB4EFA">
        <w:rPr>
          <w:rFonts w:eastAsia="Times New Roman" w:cs="Charis SIL"/>
          <w:iCs/>
          <w:lang w:val="fi-FI"/>
        </w:rPr>
        <w:t>on tulkittu sisältävän deminutiivisuffiksin. Tämä lainaamistapa voi selittää laajemminkin saamelaiskielten itämerensuomalaisten lainasanojen epäoletuksenmukaisia asuja.</w:t>
      </w:r>
    </w:p>
    <w:p w14:paraId="6DF83A13" w14:textId="77777777" w:rsidR="00312ECF" w:rsidRPr="00FB4EFA" w:rsidRDefault="00312ECF">
      <w:pPr>
        <w:spacing w:after="160" w:line="259" w:lineRule="auto"/>
        <w:jc w:val="left"/>
        <w:rPr>
          <w:rFonts w:ascii="Gill Sans MT" w:eastAsia="Gill Sans MT" w:hAnsi="Gill Sans MT" w:cs="Gill Sans MT"/>
          <w:sz w:val="28"/>
          <w:lang w:val="fi-FI" w:eastAsia="en-GB"/>
        </w:rPr>
      </w:pPr>
      <w:r w:rsidRPr="00FB4EFA">
        <w:rPr>
          <w:lang w:val="fi-FI"/>
        </w:rPr>
        <w:br w:type="page"/>
      </w:r>
    </w:p>
    <w:p w14:paraId="0C345C58" w14:textId="25133C2C" w:rsidR="006B5BDA" w:rsidRPr="00FB4EFA" w:rsidRDefault="006B5BDA" w:rsidP="00545033">
      <w:pPr>
        <w:pStyle w:val="Heading2"/>
        <w:suppressAutoHyphens/>
        <w:spacing w:line="259" w:lineRule="auto"/>
        <w:rPr>
          <w:color w:val="auto"/>
          <w:lang w:val="fi-FI"/>
        </w:rPr>
      </w:pPr>
      <w:r w:rsidRPr="00FB4EFA">
        <w:rPr>
          <w:color w:val="auto"/>
          <w:lang w:val="fi-FI"/>
        </w:rPr>
        <w:lastRenderedPageBreak/>
        <w:t>Kielistä käytetyt lyhenteet</w:t>
      </w:r>
    </w:p>
    <w:p w14:paraId="7EA3FCEB" w14:textId="77777777" w:rsidR="00810763" w:rsidRPr="00FB4EFA" w:rsidRDefault="00810763" w:rsidP="00402EF4">
      <w:pPr>
        <w:rPr>
          <w:rFonts w:eastAsia="Times New Roman" w:cs="Charis SIL"/>
          <w:lang w:val="fi-FI"/>
        </w:rPr>
        <w:sectPr w:rsidR="00810763" w:rsidRPr="00FB4EFA" w:rsidSect="00810763">
          <w:headerReference w:type="default" r:id="rId282"/>
          <w:footnotePr>
            <w:numRestart w:val="eachSect"/>
          </w:footnotePr>
          <w:pgSz w:w="9180" w:h="13302"/>
          <w:pgMar w:top="779" w:right="1133" w:bottom="1132" w:left="1133" w:header="744" w:footer="720" w:gutter="0"/>
          <w:cols w:space="720"/>
          <w:titlePg/>
        </w:sectPr>
      </w:pPr>
    </w:p>
    <w:p w14:paraId="2B28C6A2" w14:textId="77777777" w:rsidR="006B5BDA" w:rsidRPr="00FB4EFA" w:rsidRDefault="006B5BDA" w:rsidP="00F410E4">
      <w:pPr>
        <w:spacing w:line="240" w:lineRule="auto"/>
        <w:rPr>
          <w:lang w:val="fi-FI"/>
        </w:rPr>
      </w:pPr>
      <w:r w:rsidRPr="00FB4EFA">
        <w:rPr>
          <w:rFonts w:eastAsia="Times New Roman" w:cs="Charis SIL"/>
          <w:lang w:val="fi-FI"/>
        </w:rPr>
        <w:t>karj.</w:t>
      </w:r>
      <w:r w:rsidRPr="00FB4EFA">
        <w:rPr>
          <w:rFonts w:eastAsia="Times New Roman" w:cs="Charis SIL"/>
          <w:lang w:val="fi-FI"/>
        </w:rPr>
        <w:tab/>
        <w:t>karjala</w:t>
      </w:r>
    </w:p>
    <w:p w14:paraId="5658F7FC" w14:textId="77777777" w:rsidR="006B5BDA" w:rsidRPr="00FB4EFA" w:rsidRDefault="006B5BDA" w:rsidP="00F410E4">
      <w:pPr>
        <w:spacing w:line="240" w:lineRule="auto"/>
        <w:rPr>
          <w:lang w:val="fi-FI"/>
        </w:rPr>
      </w:pPr>
      <w:r w:rsidRPr="00FB4EFA">
        <w:rPr>
          <w:rFonts w:eastAsia="Times New Roman" w:cs="Charis SIL"/>
          <w:lang w:val="fi-FI"/>
        </w:rPr>
        <w:t>no</w:t>
      </w:r>
      <w:r w:rsidRPr="00FB4EFA">
        <w:rPr>
          <w:rFonts w:eastAsia="Times New Roman" w:cs="Charis SIL"/>
          <w:lang w:val="fi-FI"/>
        </w:rPr>
        <w:tab/>
        <w:t>norja</w:t>
      </w:r>
    </w:p>
    <w:p w14:paraId="2E2E7529" w14:textId="77777777" w:rsidR="006B5BDA" w:rsidRPr="00FB4EFA" w:rsidRDefault="006B5BDA" w:rsidP="00F410E4">
      <w:pPr>
        <w:spacing w:line="240" w:lineRule="auto"/>
        <w:rPr>
          <w:lang w:val="fi-FI"/>
        </w:rPr>
      </w:pPr>
      <w:r w:rsidRPr="00FB4EFA">
        <w:rPr>
          <w:rFonts w:eastAsia="Times New Roman" w:cs="Charis SIL"/>
          <w:lang w:val="fi-FI"/>
        </w:rPr>
        <w:t>saaI</w:t>
      </w:r>
      <w:r w:rsidRPr="00FB4EFA">
        <w:rPr>
          <w:rFonts w:eastAsia="Times New Roman" w:cs="Charis SIL"/>
          <w:lang w:val="fi-FI"/>
        </w:rPr>
        <w:tab/>
        <w:t>inarinsaame</w:t>
      </w:r>
    </w:p>
    <w:p w14:paraId="47516DFA" w14:textId="77777777" w:rsidR="006B5BDA" w:rsidRPr="00FB4EFA" w:rsidRDefault="006B5BDA" w:rsidP="00F410E4">
      <w:pPr>
        <w:spacing w:line="240" w:lineRule="auto"/>
        <w:rPr>
          <w:lang w:val="fi-FI"/>
        </w:rPr>
      </w:pPr>
      <w:r w:rsidRPr="00FB4EFA">
        <w:rPr>
          <w:rFonts w:eastAsia="Times New Roman" w:cs="Charis SIL"/>
          <w:lang w:val="fi-FI"/>
        </w:rPr>
        <w:t>saaKi</w:t>
      </w:r>
      <w:r w:rsidRPr="00FB4EFA">
        <w:rPr>
          <w:rFonts w:eastAsia="Times New Roman" w:cs="Charis SIL"/>
          <w:lang w:val="fi-FI"/>
        </w:rPr>
        <w:tab/>
        <w:t>kiltinänsaame</w:t>
      </w:r>
    </w:p>
    <w:p w14:paraId="19F4DF9F" w14:textId="77777777" w:rsidR="006B5BDA" w:rsidRPr="00FB4EFA" w:rsidRDefault="006B5BDA" w:rsidP="00F410E4">
      <w:pPr>
        <w:keepNext/>
        <w:spacing w:line="240" w:lineRule="auto"/>
        <w:rPr>
          <w:lang w:val="fi-FI"/>
        </w:rPr>
      </w:pPr>
      <w:r w:rsidRPr="00FB4EFA">
        <w:rPr>
          <w:rFonts w:eastAsia="Times New Roman" w:cs="Charis SIL"/>
          <w:lang w:val="fi-FI"/>
        </w:rPr>
        <w:t>saaKo</w:t>
      </w:r>
      <w:r w:rsidRPr="00FB4EFA">
        <w:rPr>
          <w:rFonts w:eastAsia="Times New Roman" w:cs="Charis SIL"/>
          <w:lang w:val="fi-FI"/>
        </w:rPr>
        <w:tab/>
        <w:t>koltansaame</w:t>
      </w:r>
    </w:p>
    <w:p w14:paraId="62339B65" w14:textId="77777777" w:rsidR="006B5BDA" w:rsidRPr="00FB4EFA" w:rsidRDefault="006B5BDA" w:rsidP="00F410E4">
      <w:pPr>
        <w:keepNext/>
        <w:tabs>
          <w:tab w:val="left" w:pos="1560"/>
        </w:tabs>
        <w:spacing w:line="240" w:lineRule="auto"/>
        <w:ind w:firstLine="993"/>
        <w:rPr>
          <w:lang w:val="fi-FI"/>
        </w:rPr>
      </w:pPr>
      <w:r w:rsidRPr="00FB4EFA">
        <w:rPr>
          <w:rFonts w:eastAsia="Times New Roman" w:cs="Charis SIL"/>
          <w:lang w:val="fi-FI"/>
        </w:rPr>
        <w:t>Nä</w:t>
      </w:r>
      <w:r w:rsidRPr="00FB4EFA">
        <w:rPr>
          <w:rFonts w:eastAsia="Times New Roman" w:cs="Charis SIL"/>
          <w:lang w:val="fi-FI"/>
        </w:rPr>
        <w:tab/>
        <w:t>Näätämö</w:t>
      </w:r>
    </w:p>
    <w:p w14:paraId="70DD5A37" w14:textId="77777777" w:rsidR="006B5BDA" w:rsidRPr="00FB4EFA" w:rsidRDefault="006B5BDA" w:rsidP="00F410E4">
      <w:pPr>
        <w:keepNext/>
        <w:tabs>
          <w:tab w:val="left" w:pos="1560"/>
        </w:tabs>
        <w:spacing w:line="240" w:lineRule="auto"/>
        <w:ind w:firstLine="993"/>
        <w:rPr>
          <w:lang w:val="fi-FI"/>
        </w:rPr>
      </w:pPr>
      <w:r w:rsidRPr="00FB4EFA">
        <w:rPr>
          <w:rFonts w:eastAsia="Times New Roman" w:cs="Charis SIL"/>
          <w:lang w:val="fi-FI"/>
        </w:rPr>
        <w:t>Pa</w:t>
      </w:r>
      <w:r w:rsidRPr="00FB4EFA">
        <w:rPr>
          <w:rFonts w:eastAsia="Times New Roman" w:cs="Charis SIL"/>
          <w:lang w:val="fi-FI"/>
        </w:rPr>
        <w:tab/>
        <w:t>Paatsjoki</w:t>
      </w:r>
    </w:p>
    <w:p w14:paraId="76DAD8BA" w14:textId="77777777" w:rsidR="006B5BDA" w:rsidRPr="00FB4EFA" w:rsidRDefault="006B5BDA" w:rsidP="00F410E4">
      <w:pPr>
        <w:keepNext/>
        <w:tabs>
          <w:tab w:val="left" w:pos="1560"/>
        </w:tabs>
        <w:spacing w:line="240" w:lineRule="auto"/>
        <w:ind w:firstLine="993"/>
        <w:rPr>
          <w:lang w:val="fi-FI"/>
        </w:rPr>
      </w:pPr>
      <w:r w:rsidRPr="00FB4EFA">
        <w:rPr>
          <w:rFonts w:eastAsia="Times New Roman" w:cs="Charis SIL"/>
          <w:lang w:val="fi-FI"/>
        </w:rPr>
        <w:t>S</w:t>
      </w:r>
      <w:r w:rsidRPr="00FB4EFA">
        <w:rPr>
          <w:rFonts w:eastAsia="Times New Roman" w:cs="Charis SIL"/>
          <w:lang w:val="fi-FI"/>
        </w:rPr>
        <w:tab/>
        <w:t>Suonikylä</w:t>
      </w:r>
    </w:p>
    <w:p w14:paraId="44B95560" w14:textId="77777777" w:rsidR="006B5BDA" w:rsidRPr="00FB4EFA" w:rsidRDefault="006B5BDA" w:rsidP="00F410E4">
      <w:pPr>
        <w:tabs>
          <w:tab w:val="left" w:pos="1560"/>
        </w:tabs>
        <w:spacing w:line="240" w:lineRule="auto"/>
        <w:ind w:firstLine="993"/>
        <w:rPr>
          <w:lang w:val="fi-FI"/>
        </w:rPr>
      </w:pPr>
      <w:r w:rsidRPr="00FB4EFA">
        <w:rPr>
          <w:rFonts w:eastAsia="Times New Roman" w:cs="Charis SIL"/>
          <w:lang w:val="fi-FI"/>
        </w:rPr>
        <w:t>N</w:t>
      </w:r>
      <w:r w:rsidRPr="00FB4EFA">
        <w:rPr>
          <w:rFonts w:eastAsia="Times New Roman" w:cs="Charis SIL"/>
          <w:lang w:val="fi-FI"/>
        </w:rPr>
        <w:tab/>
        <w:t>Nuortijärvi</w:t>
      </w:r>
    </w:p>
    <w:p w14:paraId="150D1CD1" w14:textId="77777777" w:rsidR="006B5BDA" w:rsidRPr="00FB4EFA" w:rsidRDefault="006B5BDA" w:rsidP="00F410E4">
      <w:pPr>
        <w:spacing w:line="240" w:lineRule="auto"/>
        <w:rPr>
          <w:lang w:val="fi-FI"/>
        </w:rPr>
      </w:pPr>
      <w:r w:rsidRPr="00FB4EFA">
        <w:rPr>
          <w:rFonts w:eastAsia="Times New Roman" w:cs="Charis SIL"/>
          <w:lang w:val="fi-FI"/>
        </w:rPr>
        <w:t>saaP</w:t>
      </w:r>
      <w:r w:rsidRPr="00FB4EFA">
        <w:rPr>
          <w:rFonts w:eastAsia="Times New Roman" w:cs="Charis SIL"/>
          <w:lang w:val="fi-FI"/>
        </w:rPr>
        <w:tab/>
        <w:t>pohjoissaame</w:t>
      </w:r>
    </w:p>
    <w:p w14:paraId="331748B5" w14:textId="77777777" w:rsidR="006B5BDA" w:rsidRPr="00FB4EFA" w:rsidRDefault="006B5BDA" w:rsidP="00F410E4">
      <w:pPr>
        <w:spacing w:line="240" w:lineRule="auto"/>
        <w:rPr>
          <w:lang w:val="fi-FI"/>
        </w:rPr>
      </w:pPr>
      <w:r w:rsidRPr="00FB4EFA">
        <w:rPr>
          <w:rFonts w:eastAsia="Times New Roman" w:cs="Charis SIL"/>
          <w:lang w:val="fi-FI"/>
        </w:rPr>
        <w:t>saaT</w:t>
      </w:r>
      <w:r w:rsidRPr="00FB4EFA">
        <w:rPr>
          <w:rFonts w:eastAsia="Times New Roman" w:cs="Charis SIL"/>
          <w:lang w:val="fi-FI"/>
        </w:rPr>
        <w:tab/>
        <w:t>turjansaame</w:t>
      </w:r>
    </w:p>
    <w:p w14:paraId="1F4D05DF" w14:textId="77777777" w:rsidR="006B5BDA" w:rsidRPr="00FB4EFA" w:rsidRDefault="006B5BDA" w:rsidP="00F410E4">
      <w:pPr>
        <w:spacing w:line="240" w:lineRule="auto"/>
        <w:rPr>
          <w:lang w:val="fi-FI"/>
        </w:rPr>
      </w:pPr>
      <w:r w:rsidRPr="00FB4EFA">
        <w:rPr>
          <w:rFonts w:eastAsia="Times New Roman" w:cs="Charis SIL"/>
          <w:lang w:val="fi-FI"/>
        </w:rPr>
        <w:t>sm.</w:t>
      </w:r>
      <w:r w:rsidRPr="00FB4EFA">
        <w:rPr>
          <w:rFonts w:eastAsia="Times New Roman" w:cs="Charis SIL"/>
          <w:lang w:val="fi-FI"/>
        </w:rPr>
        <w:tab/>
        <w:t>suomi</w:t>
      </w:r>
    </w:p>
    <w:p w14:paraId="68E705BD" w14:textId="77777777" w:rsidR="006B5BDA" w:rsidRPr="00FB4EFA" w:rsidRDefault="006B5BDA" w:rsidP="00F410E4">
      <w:pPr>
        <w:spacing w:line="240" w:lineRule="auto"/>
        <w:rPr>
          <w:lang w:val="fi-FI"/>
        </w:rPr>
      </w:pPr>
      <w:r w:rsidRPr="00FB4EFA">
        <w:rPr>
          <w:rFonts w:eastAsia="Times New Roman" w:cs="Charis SIL"/>
          <w:lang w:val="fi-FI"/>
        </w:rPr>
        <w:t>ven.</w:t>
      </w:r>
      <w:r w:rsidRPr="00FB4EFA">
        <w:rPr>
          <w:rFonts w:eastAsia="Times New Roman" w:cs="Charis SIL"/>
          <w:lang w:val="fi-FI"/>
        </w:rPr>
        <w:tab/>
        <w:t>venäjä</w:t>
      </w:r>
    </w:p>
    <w:p w14:paraId="742AB389" w14:textId="77777777" w:rsidR="00810763" w:rsidRPr="00FB4EFA" w:rsidRDefault="00810763" w:rsidP="00545033">
      <w:pPr>
        <w:pStyle w:val="Heading2"/>
        <w:suppressAutoHyphens/>
        <w:spacing w:line="259" w:lineRule="auto"/>
        <w:rPr>
          <w:color w:val="auto"/>
          <w:lang w:val="fi-FI"/>
        </w:rPr>
        <w:sectPr w:rsidR="00810763" w:rsidRPr="00FB4EFA" w:rsidSect="00810763">
          <w:footnotePr>
            <w:numRestart w:val="eachSect"/>
          </w:footnotePr>
          <w:type w:val="continuous"/>
          <w:pgSz w:w="9180" w:h="13302"/>
          <w:pgMar w:top="779" w:right="1133" w:bottom="1132" w:left="1133" w:header="744" w:footer="720" w:gutter="0"/>
          <w:cols w:num="2" w:space="720"/>
          <w:titlePg/>
        </w:sectPr>
      </w:pPr>
    </w:p>
    <w:p w14:paraId="40E9B88C" w14:textId="77777777" w:rsidR="006B5BDA" w:rsidRPr="00FB4EFA" w:rsidRDefault="006B5BDA" w:rsidP="00545033">
      <w:pPr>
        <w:pStyle w:val="Heading2"/>
        <w:suppressAutoHyphens/>
        <w:spacing w:line="259" w:lineRule="auto"/>
        <w:rPr>
          <w:color w:val="auto"/>
          <w:lang w:val="fi-FI"/>
        </w:rPr>
      </w:pPr>
      <w:r w:rsidRPr="00FB4EFA">
        <w:rPr>
          <w:color w:val="auto"/>
          <w:lang w:val="fi-FI"/>
        </w:rPr>
        <w:t>Lähteet</w:t>
      </w:r>
    </w:p>
    <w:p w14:paraId="61599D44" w14:textId="70B40E6B" w:rsidR="006B5BDA" w:rsidRPr="00FB4EFA" w:rsidRDefault="006B5BDA" w:rsidP="00153BA0">
      <w:pPr>
        <w:keepLines/>
        <w:suppressAutoHyphens/>
        <w:spacing w:line="240" w:lineRule="auto"/>
        <w:ind w:left="425" w:hanging="425"/>
        <w:rPr>
          <w:lang w:val="fi-FI"/>
        </w:rPr>
      </w:pPr>
      <w:r w:rsidRPr="00FB4EFA">
        <w:rPr>
          <w:rFonts w:eastAsia="Times New Roman" w:cs="Charis SIL"/>
          <w:lang w:val="fi-FI"/>
        </w:rPr>
        <w:t xml:space="preserve">Aikio, Ante. 2007. Etymological Nativization of Loanwords: A Case Study of Saami and Finnish. Teoksessa Ida Toivonen &amp; Diane Nelson (toim.), </w:t>
      </w:r>
      <w:r w:rsidRPr="00FB4EFA">
        <w:rPr>
          <w:rFonts w:eastAsia="Times New Roman" w:cs="Charis SIL"/>
          <w:i/>
          <w:iCs/>
          <w:lang w:val="fi-FI"/>
        </w:rPr>
        <w:t>Saami linguistics</w:t>
      </w:r>
      <w:r w:rsidR="00DC75BE" w:rsidRPr="00FB4EFA">
        <w:rPr>
          <w:rFonts w:eastAsia="Times New Roman" w:cs="Charis SIL"/>
          <w:lang w:val="fi-FI"/>
        </w:rPr>
        <w:t>,</w:t>
      </w:r>
      <w:r w:rsidRPr="00FB4EFA">
        <w:rPr>
          <w:rFonts w:eastAsia="Times New Roman" w:cs="Charis SIL"/>
          <w:i/>
          <w:iCs/>
          <w:lang w:val="fi-FI"/>
        </w:rPr>
        <w:t xml:space="preserve"> </w:t>
      </w:r>
      <w:r w:rsidRPr="00FB4EFA">
        <w:rPr>
          <w:rFonts w:eastAsia="Times New Roman" w:cs="Charis SIL"/>
          <w:lang w:val="fi-FI"/>
        </w:rPr>
        <w:t>17–52. Amsterdam: John Benjamins.</w:t>
      </w:r>
    </w:p>
    <w:p w14:paraId="45F31258" w14:textId="3114DD36" w:rsidR="006B5BDA" w:rsidRPr="00FB4EFA" w:rsidRDefault="006B5BDA" w:rsidP="00153BA0">
      <w:pPr>
        <w:suppressAutoHyphens/>
        <w:spacing w:line="240" w:lineRule="auto"/>
        <w:ind w:left="426" w:hanging="426"/>
        <w:rPr>
          <w:lang w:val="fi-FI"/>
        </w:rPr>
      </w:pPr>
      <w:r w:rsidRPr="00FB4EFA">
        <w:rPr>
          <w:rFonts w:eastAsia="Times New Roman" w:cs="Charis SIL"/>
          <w:lang w:val="fi-FI"/>
        </w:rPr>
        <w:t>Aikio. 2012. = Luobbal Sámmol Sámmol Ánte (Ante Aikio). An essay on Saami ethnolinguistic prehistory. Teoksessa Riho Grünthal, Petri Kallio (toim.)</w:t>
      </w:r>
      <w:r w:rsidR="00041210" w:rsidRPr="00FB4EFA">
        <w:rPr>
          <w:rFonts w:eastAsia="Times New Roman" w:cs="Charis SIL"/>
          <w:lang w:val="fi-FI"/>
        </w:rPr>
        <w:t>,</w:t>
      </w:r>
      <w:r w:rsidRPr="00FB4EFA">
        <w:rPr>
          <w:rFonts w:eastAsia="Times New Roman" w:cs="Charis SIL"/>
          <w:lang w:val="fi-FI"/>
        </w:rPr>
        <w:t xml:space="preserve"> </w:t>
      </w:r>
      <w:r w:rsidRPr="00FB4EFA">
        <w:rPr>
          <w:rFonts w:eastAsia="Times New Roman" w:cs="Charis SIL"/>
          <w:i/>
          <w:iCs/>
          <w:lang w:val="fi-FI"/>
        </w:rPr>
        <w:t>A Linguistic Map of Prehistoric Northern Europe</w:t>
      </w:r>
      <w:r w:rsidR="00041210" w:rsidRPr="00FB4EFA">
        <w:rPr>
          <w:rFonts w:eastAsia="Times New Roman" w:cs="Charis SIL"/>
          <w:lang w:val="fi-FI"/>
        </w:rPr>
        <w:t>,</w:t>
      </w:r>
      <w:r w:rsidRPr="00FB4EFA">
        <w:rPr>
          <w:rFonts w:eastAsia="Times New Roman" w:cs="Charis SIL"/>
          <w:lang w:val="fi-FI"/>
        </w:rPr>
        <w:t xml:space="preserve"> 64–117.</w:t>
      </w:r>
      <w:r w:rsidR="00041210" w:rsidRPr="00FB4EFA">
        <w:rPr>
          <w:rFonts w:eastAsia="Times New Roman" w:cs="Charis SIL"/>
          <w:lang w:val="fi-FI"/>
        </w:rPr>
        <w:t xml:space="preserve"> Suomalais-Ugrilaisen Seuran Toimituksia 266</w:t>
      </w:r>
      <w:r w:rsidRPr="00FB4EFA">
        <w:rPr>
          <w:rFonts w:eastAsia="Times New Roman" w:cs="Charis SIL"/>
          <w:lang w:val="fi-FI"/>
        </w:rPr>
        <w:t>. Helsinki: Suomalais-Ugrilainen Seura.</w:t>
      </w:r>
    </w:p>
    <w:p w14:paraId="19138F3D" w14:textId="77777777"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Friis, J. A. 1887. </w:t>
      </w:r>
      <w:r w:rsidRPr="00FB4EFA">
        <w:rPr>
          <w:rFonts w:eastAsia="Times New Roman" w:cs="Charis SIL"/>
          <w:i/>
          <w:lang w:val="fi-FI"/>
        </w:rPr>
        <w:t>Ordbog over det lappiske sprog med latinsk og norsk forklaring samt en oversigt over sprogets grammatik</w:t>
      </w:r>
      <w:r w:rsidRPr="00FB4EFA">
        <w:rPr>
          <w:rFonts w:eastAsia="Times New Roman" w:cs="Charis SIL"/>
          <w:lang w:val="fi-FI"/>
        </w:rPr>
        <w:t xml:space="preserve"> = </w:t>
      </w:r>
      <w:r w:rsidRPr="00FB4EFA">
        <w:rPr>
          <w:rFonts w:eastAsia="Times New Roman" w:cs="Charis SIL"/>
          <w:i/>
          <w:lang w:val="fi-FI"/>
        </w:rPr>
        <w:t>Lexicon Lapponicum cum interpretatione latina et norvegica adiuncta brevi grammaticae Lapponicae adumbratione</w:t>
      </w:r>
      <w:r w:rsidRPr="00FB4EFA">
        <w:rPr>
          <w:rFonts w:eastAsia="Times New Roman" w:cs="Charis SIL"/>
          <w:lang w:val="fi-FI"/>
        </w:rPr>
        <w:t>. Christiania: i kommission hos Jacob Dybwad.</w:t>
      </w:r>
    </w:p>
    <w:p w14:paraId="1E6AE5C3" w14:textId="2919D837"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Genetz, Arvid. 1891. </w:t>
      </w:r>
      <w:r w:rsidRPr="00FB4EFA">
        <w:rPr>
          <w:rFonts w:eastAsia="Times New Roman" w:cs="Charis SIL"/>
          <w:i/>
          <w:lang w:val="fi-FI"/>
        </w:rPr>
        <w:t>Kuollan Lapin murteiden sanakirja ynnä kielennäytteitä</w:t>
      </w:r>
      <w:r w:rsidR="00A8325C" w:rsidRPr="00FB4EFA">
        <w:rPr>
          <w:rFonts w:eastAsia="Times New Roman" w:cs="Charis SIL"/>
          <w:iCs/>
          <w:lang w:val="fi-FI"/>
        </w:rPr>
        <w:t>.</w:t>
      </w:r>
      <w:r w:rsidRPr="00FB4EFA">
        <w:rPr>
          <w:rFonts w:eastAsia="Times New Roman" w:cs="Charis SIL"/>
          <w:lang w:val="fi-FI"/>
        </w:rPr>
        <w:t xml:space="preserve"> Bidrag till kännedom av Finlands natur och folk 50. Helsingfors: Finska Vetenskaps-Societeten</w:t>
      </w:r>
      <w:r w:rsidR="00125ADE" w:rsidRPr="00FB4EFA">
        <w:rPr>
          <w:rFonts w:eastAsia="Times New Roman" w:cs="Charis SIL"/>
          <w:lang w:val="fi-FI"/>
        </w:rPr>
        <w:t>.</w:t>
      </w:r>
    </w:p>
    <w:p w14:paraId="05FD3213" w14:textId="15D4BA42"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InLpW = </w:t>
      </w:r>
      <w:r w:rsidR="007B7930" w:rsidRPr="00FB4EFA">
        <w:rPr>
          <w:rFonts w:eastAsia="Times New Roman" w:cs="Charis SIL"/>
          <w:lang w:val="fi-FI"/>
        </w:rPr>
        <w:t xml:space="preserve">Erkki Itkonen, Raija Bartens &amp; Lea Laitinen (toim.). 1986–1991. </w:t>
      </w:r>
      <w:r w:rsidRPr="00FB4EFA">
        <w:rPr>
          <w:rFonts w:eastAsia="Times New Roman" w:cs="Charis SIL"/>
          <w:i/>
          <w:lang w:val="fi-FI"/>
        </w:rPr>
        <w:t>Inarilappisches Wörterbuch</w:t>
      </w:r>
      <w:r w:rsidR="00A8325C" w:rsidRPr="00FB4EFA">
        <w:rPr>
          <w:rFonts w:eastAsia="Times New Roman" w:cs="Charis SIL"/>
          <w:iCs/>
          <w:lang w:val="fi-FI"/>
        </w:rPr>
        <w:t>.</w:t>
      </w:r>
      <w:r w:rsidRPr="00FB4EFA">
        <w:rPr>
          <w:rFonts w:eastAsia="Times New Roman" w:cs="Charis SIL"/>
          <w:i/>
          <w:lang w:val="fi-FI"/>
        </w:rPr>
        <w:t xml:space="preserve"> </w:t>
      </w:r>
      <w:r w:rsidRPr="00FB4EFA">
        <w:rPr>
          <w:rFonts w:eastAsia="Times New Roman" w:cs="Charis SIL"/>
          <w:lang w:val="fi-FI"/>
        </w:rPr>
        <w:t xml:space="preserve">Lexica societatis Fenno-ugricae </w:t>
      </w:r>
      <w:r w:rsidR="00DC75BE" w:rsidRPr="00FB4EFA">
        <w:rPr>
          <w:rFonts w:eastAsia="Times New Roman" w:cs="Charis SIL"/>
          <w:lang w:val="fi-FI"/>
        </w:rPr>
        <w:t>20</w:t>
      </w:r>
      <w:r w:rsidRPr="00FB4EFA">
        <w:rPr>
          <w:rFonts w:eastAsia="Times New Roman" w:cs="Charis SIL"/>
          <w:lang w:val="fi-FI"/>
        </w:rPr>
        <w:t>. Helsinki: Suomalais-Ugrilainen Seura.</w:t>
      </w:r>
    </w:p>
    <w:p w14:paraId="5D76BA46" w14:textId="404697CD"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Itkonen, Erkki. 1939. </w:t>
      </w:r>
      <w:r w:rsidRPr="00FB4EFA">
        <w:rPr>
          <w:rFonts w:eastAsia="Times New Roman" w:cs="Charis SIL"/>
          <w:i/>
          <w:lang w:val="fi-FI"/>
        </w:rPr>
        <w:t>Der ostlappische Vokalismus vom qualitativen Standpunkt aus: mit besonderer Berücksichtigung des Inari- und Skoltlappischen</w:t>
      </w:r>
      <w:r w:rsidR="00A8325C" w:rsidRPr="00FB4EFA">
        <w:rPr>
          <w:rFonts w:eastAsia="Times New Roman" w:cs="Charis SIL"/>
          <w:lang w:val="fi-FI"/>
        </w:rPr>
        <w:t xml:space="preserve">. </w:t>
      </w:r>
      <w:r w:rsidRPr="00FB4EFA">
        <w:rPr>
          <w:rFonts w:eastAsia="Times New Roman" w:cs="Charis SIL"/>
          <w:lang w:val="fi-FI"/>
        </w:rPr>
        <w:t>Suomalais-Ugrilaisen Seuran Toimituksia 79. Helsinki: Suomalais-Ugrilainen Seura.</w:t>
      </w:r>
    </w:p>
    <w:p w14:paraId="2ED4F230" w14:textId="77777777"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Itkonen, T. I. 1948. </w:t>
      </w:r>
      <w:r w:rsidRPr="00FB4EFA">
        <w:rPr>
          <w:rFonts w:eastAsia="Times New Roman" w:cs="Charis SIL"/>
          <w:i/>
          <w:lang w:val="fi-FI"/>
        </w:rPr>
        <w:t xml:space="preserve">Suomen lappalaiset vuoteen 1945 </w:t>
      </w:r>
      <w:r w:rsidRPr="00FB4EFA">
        <w:rPr>
          <w:rFonts w:eastAsia="Times New Roman" w:cs="Charis SIL"/>
          <w:lang w:val="fi-FI"/>
        </w:rPr>
        <w:t>I–II. Porvoo: WSOY.</w:t>
      </w:r>
    </w:p>
    <w:p w14:paraId="3A5BDE59" w14:textId="77777777"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Itkonen, T. I. 1942. Karjalaiset ja Kuolan-Lappi. </w:t>
      </w:r>
      <w:r w:rsidRPr="00FB4EFA">
        <w:rPr>
          <w:rFonts w:eastAsia="Times New Roman" w:cs="Charis SIL"/>
          <w:i/>
          <w:iCs/>
          <w:lang w:val="fi-FI"/>
        </w:rPr>
        <w:t>Kalevalaseuran vuosikirja</w:t>
      </w:r>
      <w:r w:rsidRPr="00FB4EFA">
        <w:rPr>
          <w:rFonts w:eastAsia="Times New Roman" w:cs="Charis SIL"/>
          <w:lang w:val="fi-FI"/>
        </w:rPr>
        <w:t xml:space="preserve"> 22. 40–55.</w:t>
      </w:r>
    </w:p>
    <w:p w14:paraId="716DDE09" w14:textId="2FF993A7"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Kalima, Jalo. 1952. </w:t>
      </w:r>
      <w:r w:rsidRPr="00FB4EFA">
        <w:rPr>
          <w:rFonts w:eastAsia="Times New Roman" w:cs="Charis SIL"/>
          <w:i/>
          <w:lang w:val="fi-FI"/>
        </w:rPr>
        <w:t>Slaavilaisperäinen sanastomme. Tutkimus itämerensuomalaisten kielten slaavilaisista lainasanoista</w:t>
      </w:r>
      <w:r w:rsidR="008E6C33" w:rsidRPr="00FB4EFA">
        <w:rPr>
          <w:rFonts w:eastAsia="Times New Roman" w:cs="Charis SIL"/>
          <w:lang w:val="fi-FI"/>
        </w:rPr>
        <w:t xml:space="preserve">. </w:t>
      </w:r>
      <w:r w:rsidRPr="00FB4EFA">
        <w:rPr>
          <w:rFonts w:eastAsia="Times New Roman" w:cs="Charis SIL"/>
          <w:lang w:val="fi-FI"/>
        </w:rPr>
        <w:t xml:space="preserve">Suomalaisen Kirjallisuuden Seuran Toimituksia 243. Helsinki: </w:t>
      </w:r>
      <w:r w:rsidR="00F9255F" w:rsidRPr="00FB4EFA">
        <w:rPr>
          <w:rFonts w:eastAsia="Times New Roman" w:cs="Charis SIL"/>
          <w:lang w:val="fi-FI"/>
        </w:rPr>
        <w:t>SKS</w:t>
      </w:r>
      <w:r w:rsidRPr="00FB4EFA">
        <w:rPr>
          <w:rFonts w:eastAsia="Times New Roman" w:cs="Charis SIL"/>
          <w:lang w:val="fi-FI"/>
        </w:rPr>
        <w:t>.</w:t>
      </w:r>
    </w:p>
    <w:p w14:paraId="1EEBFA14" w14:textId="77777777" w:rsidR="006B5BDA" w:rsidRPr="00FB4EFA" w:rsidRDefault="006B5BDA" w:rsidP="00153BA0">
      <w:pPr>
        <w:suppressAutoHyphens/>
        <w:spacing w:line="240" w:lineRule="auto"/>
        <w:ind w:left="426" w:hanging="426"/>
        <w:rPr>
          <w:lang w:val="fi-FI"/>
        </w:rPr>
      </w:pPr>
      <w:r w:rsidRPr="00FB4EFA">
        <w:rPr>
          <w:rFonts w:eastAsia="Times New Roman" w:cs="Charis SIL"/>
          <w:lang w:val="fi-FI"/>
        </w:rPr>
        <w:lastRenderedPageBreak/>
        <w:t xml:space="preserve">Keltikangas, Valter. 1977. </w:t>
      </w:r>
      <w:r w:rsidRPr="00FB4EFA">
        <w:rPr>
          <w:rFonts w:eastAsia="Times New Roman" w:cs="Charis SIL"/>
          <w:i/>
          <w:iCs/>
          <w:lang w:val="fi-FI"/>
        </w:rPr>
        <w:t>Seitsemän tuntia erämaata</w:t>
      </w:r>
      <w:r w:rsidRPr="00FB4EFA">
        <w:rPr>
          <w:rFonts w:eastAsia="Times New Roman" w:cs="Charis SIL"/>
          <w:lang w:val="fi-FI"/>
        </w:rPr>
        <w:t>. Helsinki: WSOY.</w:t>
      </w:r>
    </w:p>
    <w:p w14:paraId="5DE5A004" w14:textId="77777777"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Kim, Jeongdo. 2019. </w:t>
      </w:r>
      <w:r w:rsidRPr="00FB4EFA">
        <w:rPr>
          <w:rFonts w:eastAsia="Times New Roman" w:cs="Charis SIL"/>
          <w:i/>
          <w:iCs/>
          <w:lang w:val="fi-FI"/>
        </w:rPr>
        <w:t>Hulisemisesta hulinaksi: Onomatopoieettisuuden haalistuminen suomen fonesteemisten substantiivien valossa</w:t>
      </w:r>
      <w:r w:rsidRPr="00FB4EFA">
        <w:rPr>
          <w:rFonts w:eastAsia="Times New Roman" w:cs="Charis SIL"/>
          <w:lang w:val="fi-FI"/>
        </w:rPr>
        <w:t>. Helsinki: Helsingin yliopisto.</w:t>
      </w:r>
    </w:p>
    <w:p w14:paraId="4D388F9F" w14:textId="6A896282"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KKLS = </w:t>
      </w:r>
      <w:r w:rsidR="009D7D44" w:rsidRPr="00FB4EFA">
        <w:rPr>
          <w:rFonts w:eastAsia="Times New Roman" w:cs="Charis SIL"/>
          <w:lang w:val="fi-FI"/>
        </w:rPr>
        <w:t xml:space="preserve">T. I. </w:t>
      </w:r>
      <w:r w:rsidRPr="00FB4EFA">
        <w:rPr>
          <w:rFonts w:eastAsia="Times New Roman" w:cs="Charis SIL"/>
          <w:lang w:val="fi-FI"/>
        </w:rPr>
        <w:t>Itkonen</w:t>
      </w:r>
      <w:r w:rsidR="009D7D44" w:rsidRPr="00FB4EFA">
        <w:rPr>
          <w:rFonts w:eastAsia="Times New Roman" w:cs="Charis SIL"/>
          <w:lang w:val="fi-FI"/>
        </w:rPr>
        <w:t>.</w:t>
      </w:r>
      <w:r w:rsidRPr="00FB4EFA">
        <w:rPr>
          <w:rFonts w:eastAsia="Times New Roman" w:cs="Charis SIL"/>
          <w:lang w:val="fi-FI"/>
        </w:rPr>
        <w:t xml:space="preserve"> </w:t>
      </w:r>
      <w:r w:rsidRPr="00FB4EFA">
        <w:rPr>
          <w:rFonts w:eastAsia="Times New Roman" w:cs="Charis SIL"/>
          <w:i/>
          <w:lang w:val="fi-FI"/>
        </w:rPr>
        <w:t xml:space="preserve">Koltan- ja kuolanlapin sanakirja </w:t>
      </w:r>
      <w:r w:rsidRPr="00FB4EFA">
        <w:rPr>
          <w:rFonts w:eastAsia="Times New Roman" w:cs="Charis SIL"/>
          <w:lang w:val="fi-FI"/>
        </w:rPr>
        <w:t>I–II</w:t>
      </w:r>
      <w:r w:rsidR="009D7D44" w:rsidRPr="00FB4EFA">
        <w:rPr>
          <w:rFonts w:eastAsia="Times New Roman" w:cs="Charis SIL"/>
          <w:lang w:val="fi-FI"/>
        </w:rPr>
        <w:t>.</w:t>
      </w:r>
      <w:r w:rsidRPr="00FB4EFA">
        <w:rPr>
          <w:rFonts w:eastAsia="Times New Roman" w:cs="Charis SIL"/>
          <w:lang w:val="fi-FI"/>
        </w:rPr>
        <w:t xml:space="preserve"> Lexica Societatis Fenno-Ugricae </w:t>
      </w:r>
      <w:r w:rsidR="009D7D44" w:rsidRPr="00FB4EFA">
        <w:rPr>
          <w:rFonts w:eastAsia="Times New Roman" w:cs="Charis SIL"/>
          <w:lang w:val="fi-FI"/>
        </w:rPr>
        <w:t>15</w:t>
      </w:r>
      <w:r w:rsidRPr="00FB4EFA">
        <w:rPr>
          <w:rFonts w:eastAsia="Times New Roman" w:cs="Charis SIL"/>
          <w:lang w:val="fi-FI"/>
        </w:rPr>
        <w:t>. Helsinki: Suomalais-Ugrilainen Seura.</w:t>
      </w:r>
    </w:p>
    <w:p w14:paraId="0DEA9C42" w14:textId="230FE52D" w:rsidR="006B5BDA" w:rsidRPr="00FB4EFA" w:rsidRDefault="006B5BDA" w:rsidP="00153BA0">
      <w:pPr>
        <w:suppressAutoHyphens/>
        <w:spacing w:line="240" w:lineRule="auto"/>
        <w:ind w:left="426" w:hanging="426"/>
        <w:rPr>
          <w:lang w:val="fi-FI"/>
        </w:rPr>
      </w:pPr>
      <w:r w:rsidRPr="00FB4EFA">
        <w:rPr>
          <w:rFonts w:eastAsia="Times New Roman" w:cs="Charis SIL"/>
          <w:lang w:val="fi-FI"/>
        </w:rPr>
        <w:t xml:space="preserve">KKS 1968–2005 = </w:t>
      </w:r>
      <w:r w:rsidR="009D7D44" w:rsidRPr="00FB4EFA">
        <w:rPr>
          <w:rFonts w:eastAsia="Times New Roman" w:cs="Charis SIL"/>
          <w:lang w:val="fi-FI"/>
        </w:rPr>
        <w:t xml:space="preserve">Pertti Virtaranta &amp; Raija Koponen (toim.). </w:t>
      </w:r>
      <w:r w:rsidRPr="00FB4EFA">
        <w:rPr>
          <w:rFonts w:eastAsia="Times New Roman" w:cs="Charis SIL"/>
          <w:i/>
          <w:iCs/>
          <w:lang w:val="fi-FI"/>
        </w:rPr>
        <w:t>Karjalan kielen sanakirja</w:t>
      </w:r>
      <w:r w:rsidR="009D7D44" w:rsidRPr="00FB4EFA">
        <w:rPr>
          <w:rFonts w:eastAsia="Times New Roman" w:cs="Charis SIL"/>
          <w:lang w:val="fi-FI"/>
        </w:rPr>
        <w:t xml:space="preserve">. </w:t>
      </w:r>
      <w:r w:rsidRPr="00FB4EFA">
        <w:rPr>
          <w:rFonts w:eastAsia="Times New Roman" w:cs="Charis SIL"/>
          <w:lang w:val="fi-FI"/>
        </w:rPr>
        <w:t xml:space="preserve">Lexica Societatis Fenno-Ugricae </w:t>
      </w:r>
      <w:r w:rsidR="009D7D44" w:rsidRPr="00FB4EFA">
        <w:rPr>
          <w:rFonts w:eastAsia="Times New Roman" w:cs="Charis SIL"/>
          <w:lang w:val="fi-FI"/>
        </w:rPr>
        <w:t>16.</w:t>
      </w:r>
      <w:r w:rsidRPr="00FB4EFA">
        <w:rPr>
          <w:rFonts w:eastAsia="Times New Roman" w:cs="Charis SIL"/>
          <w:lang w:val="fi-FI"/>
        </w:rPr>
        <w:t xml:space="preserve"> Helsinki: Suomalais-Ugrilainen Seura.</w:t>
      </w:r>
    </w:p>
    <w:p w14:paraId="7C794D1D" w14:textId="087A4C00"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Koivulehto, Jorma. 1999. Das Verhältnis des Ostseefinnischen und des Lappischen im Lichte der alten Lehnwörter Die Substitution des fremden Wortausgangs *-</w:t>
      </w:r>
      <w:r w:rsidRPr="00FB4EFA">
        <w:rPr>
          <w:rFonts w:eastAsia="Times New Roman" w:cs="Charis SIL"/>
          <w:i/>
          <w:iCs/>
          <w:lang w:val="fi-FI"/>
        </w:rPr>
        <w:t>CVz</w:t>
      </w:r>
      <w:r w:rsidRPr="00FB4EFA">
        <w:rPr>
          <w:rFonts w:eastAsia="Times New Roman" w:cs="Charis SIL"/>
          <w:lang w:val="fi-FI"/>
        </w:rPr>
        <w:t xml:space="preserve"> im Lappischen. Teoksessa Lehtimäki, Pekka (toim.), </w:t>
      </w:r>
      <w:r w:rsidRPr="00FB4EFA">
        <w:rPr>
          <w:rFonts w:eastAsia="Times New Roman" w:cs="Charis SIL"/>
          <w:i/>
          <w:iCs/>
          <w:lang w:val="fi-FI"/>
        </w:rPr>
        <w:t>Sprachen in Finnland und Estland</w:t>
      </w:r>
      <w:r w:rsidR="009D7D44" w:rsidRPr="00FB4EFA">
        <w:rPr>
          <w:rFonts w:eastAsia="Times New Roman" w:cs="Charis SIL"/>
          <w:lang w:val="fi-FI"/>
        </w:rPr>
        <w:t>,</w:t>
      </w:r>
      <w:r w:rsidRPr="00FB4EFA">
        <w:rPr>
          <w:rFonts w:eastAsia="Times New Roman" w:cs="Charis SIL"/>
          <w:lang w:val="fi-FI"/>
        </w:rPr>
        <w:t xml:space="preserve"> 7–22. Wiesbaden</w:t>
      </w:r>
      <w:r w:rsidR="00216577" w:rsidRPr="00FB4EFA">
        <w:rPr>
          <w:rFonts w:eastAsia="Times New Roman" w:cs="Charis SIL"/>
          <w:lang w:val="fi-FI"/>
        </w:rPr>
        <w:t>: Harrassowitz</w:t>
      </w:r>
      <w:r w:rsidRPr="00FB4EFA">
        <w:rPr>
          <w:rFonts w:eastAsia="Times New Roman" w:cs="Charis SIL"/>
          <w:lang w:val="fi-FI"/>
        </w:rPr>
        <w:t>.</w:t>
      </w:r>
    </w:p>
    <w:p w14:paraId="54905A21" w14:textId="77777777" w:rsidR="006B5BDA" w:rsidRPr="00FB4EFA" w:rsidRDefault="006B5BDA" w:rsidP="00153BA0">
      <w:pPr>
        <w:suppressAutoHyphens/>
        <w:spacing w:line="240" w:lineRule="auto"/>
        <w:ind w:left="426" w:hanging="426"/>
        <w:rPr>
          <w:rFonts w:eastAsia="Times New Roman" w:cs="Charis SIL"/>
          <w:i/>
          <w:iCs/>
          <w:lang w:val="fi-FI"/>
        </w:rPr>
      </w:pPr>
      <w:r w:rsidRPr="00FB4EFA">
        <w:rPr>
          <w:rFonts w:eastAsia="Times New Roman" w:cs="Charis SIL"/>
          <w:lang w:val="fi-FI"/>
        </w:rPr>
        <w:t xml:space="preserve">Korhonen, Mikko. 1977. Karjalaisten ja saamelaisten yhteydet kielentutkimuksen valossa. </w:t>
      </w:r>
      <w:r w:rsidRPr="00FB4EFA">
        <w:rPr>
          <w:rFonts w:eastAsia="Times New Roman" w:cs="Charis SIL"/>
          <w:i/>
          <w:iCs/>
          <w:lang w:val="fi-FI"/>
        </w:rPr>
        <w:t>Karjalan synty. Symposio 30.6.–2.7.1976 Joensuu. Alustukset</w:t>
      </w:r>
      <w:r w:rsidRPr="00FB4EFA">
        <w:rPr>
          <w:rFonts w:eastAsia="Times New Roman" w:cs="Charis SIL"/>
          <w:lang w:val="fi-FI"/>
        </w:rPr>
        <w:t>. Monistesarja A. N:o 24. 75–82.</w:t>
      </w:r>
    </w:p>
    <w:p w14:paraId="40DE82EC"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Leem, Knud. 1768. </w:t>
      </w:r>
      <w:r w:rsidRPr="00FB4EFA">
        <w:rPr>
          <w:rFonts w:eastAsia="Times New Roman" w:cs="Charis SIL"/>
          <w:i/>
          <w:lang w:val="fi-FI"/>
        </w:rPr>
        <w:t>Lexicon lapponicum bipartitum, Lapponico – Danico – Latinum &amp; Danico – Latino – Lapponicum, cum Indice latino</w:t>
      </w:r>
      <w:r w:rsidRPr="00FB4EFA">
        <w:rPr>
          <w:rFonts w:eastAsia="Times New Roman" w:cs="Charis SIL"/>
          <w:lang w:val="fi-FI"/>
        </w:rPr>
        <w:t>. Nidrosiæ.</w:t>
      </w:r>
    </w:p>
    <w:p w14:paraId="335176E5"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Lunz, Michael L. &amp; Mils, Robin O. 2021. A Precolumbian Presence of Venetian Glass Trade Beads in Arctic Alaska. </w:t>
      </w:r>
      <w:r w:rsidRPr="00FB4EFA">
        <w:rPr>
          <w:rFonts w:eastAsia="Times New Roman" w:cs="Charis SIL"/>
          <w:i/>
          <w:iCs/>
          <w:lang w:val="fi-FI"/>
        </w:rPr>
        <w:t>American Antiquity</w:t>
      </w:r>
      <w:r w:rsidRPr="00FB4EFA">
        <w:rPr>
          <w:rFonts w:eastAsia="Times New Roman" w:cs="Charis SIL"/>
          <w:lang w:val="fi-FI"/>
        </w:rPr>
        <w:t xml:space="preserve"> 86 (2). 395–412.</w:t>
      </w:r>
    </w:p>
    <w:p w14:paraId="574AFCE4" w14:textId="2D6F4017" w:rsidR="006B5BDA" w:rsidRPr="00FB4EFA" w:rsidRDefault="006B5BDA" w:rsidP="00153BA0">
      <w:pPr>
        <w:keepLines/>
        <w:suppressAutoHyphens/>
        <w:spacing w:line="240" w:lineRule="auto"/>
        <w:ind w:left="425" w:hanging="425"/>
        <w:rPr>
          <w:rFonts w:cs="Charis SIL"/>
          <w:lang w:val="fi-FI"/>
        </w:rPr>
      </w:pPr>
      <w:r w:rsidRPr="00FB4EFA">
        <w:rPr>
          <w:rFonts w:cs="Charis SIL"/>
          <w:lang w:val="fi-FI"/>
        </w:rPr>
        <w:t>Merkurjev.</w:t>
      </w:r>
      <w:r w:rsidRPr="00FB4EFA">
        <w:rPr>
          <w:rFonts w:eastAsia="Times New Roman" w:cs="Charis SIL"/>
          <w:lang w:val="fi-FI"/>
        </w:rPr>
        <w:t xml:space="preserve"> 1962. = </w:t>
      </w:r>
      <w:r w:rsidR="002302FA" w:rsidRPr="00FB4EFA">
        <w:rPr>
          <w:rFonts w:cs="Charis SIL"/>
          <w:lang w:val="fi-FI"/>
        </w:rPr>
        <w:t xml:space="preserve">И.С. </w:t>
      </w:r>
      <w:r w:rsidRPr="00FB4EFA">
        <w:rPr>
          <w:rFonts w:cs="Charis SIL"/>
          <w:lang w:val="fi-FI"/>
        </w:rPr>
        <w:t>Меркурьев</w:t>
      </w:r>
      <w:r w:rsidR="002302FA" w:rsidRPr="00FB4EFA">
        <w:rPr>
          <w:rFonts w:cs="Charis SIL"/>
          <w:lang w:val="fi-FI"/>
        </w:rPr>
        <w:t>.</w:t>
      </w:r>
      <w:r w:rsidRPr="00FB4EFA">
        <w:rPr>
          <w:rFonts w:cs="Charis SIL"/>
          <w:lang w:val="fi-FI"/>
        </w:rPr>
        <w:t xml:space="preserve"> </w:t>
      </w:r>
      <w:r w:rsidRPr="00FB4EFA">
        <w:rPr>
          <w:rFonts w:cs="Charis SIL"/>
          <w:i/>
          <w:iCs/>
          <w:lang w:val="fi-FI"/>
        </w:rPr>
        <w:t>Мурманский говор. (Консонантизм)</w:t>
      </w:r>
      <w:r w:rsidRPr="00FB4EFA">
        <w:rPr>
          <w:rFonts w:cs="Charis SIL"/>
          <w:lang w:val="fi-FI"/>
        </w:rPr>
        <w:t>. Мурманск: Министерство просвещения РФСФР. Мурманский госудаственный педагогический институт.</w:t>
      </w:r>
    </w:p>
    <w:p w14:paraId="72D49E87" w14:textId="55D4B2BD"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MNyTESz = </w:t>
      </w:r>
      <w:r w:rsidR="005D626E" w:rsidRPr="00FB4EFA">
        <w:rPr>
          <w:rFonts w:eastAsia="Times New Roman" w:cs="Charis SIL"/>
          <w:lang w:val="fi-FI"/>
        </w:rPr>
        <w:t>Loránd Benkő (toim.)</w:t>
      </w:r>
      <w:r w:rsidR="005D626E" w:rsidRPr="00FB4EFA">
        <w:rPr>
          <w:rFonts w:eastAsia="Times New Roman" w:cs="Charis SIL"/>
          <w:i/>
          <w:iCs/>
          <w:lang w:val="fi-FI"/>
        </w:rPr>
        <w:t xml:space="preserve"> </w:t>
      </w:r>
      <w:r w:rsidR="005D626E" w:rsidRPr="00FB4EFA">
        <w:rPr>
          <w:rFonts w:eastAsia="Times New Roman" w:cs="Charis SIL"/>
          <w:lang w:val="fi-FI"/>
        </w:rPr>
        <w:t xml:space="preserve">1967–1984. </w:t>
      </w:r>
      <w:r w:rsidRPr="00FB4EFA">
        <w:rPr>
          <w:rFonts w:eastAsia="Times New Roman" w:cs="Charis SIL"/>
          <w:i/>
          <w:iCs/>
          <w:lang w:val="fi-FI"/>
        </w:rPr>
        <w:t>A magyar nyelv történeti-etimológiai szótára</w:t>
      </w:r>
      <w:r w:rsidR="005D626E" w:rsidRPr="00FB4EFA">
        <w:rPr>
          <w:rFonts w:eastAsia="Times New Roman" w:cs="Charis SIL"/>
          <w:lang w:val="fi-FI"/>
        </w:rPr>
        <w:t>.</w:t>
      </w:r>
      <w:r w:rsidRPr="00FB4EFA">
        <w:rPr>
          <w:rFonts w:eastAsia="Times New Roman" w:cs="Charis SIL"/>
          <w:lang w:val="fi-FI"/>
        </w:rPr>
        <w:t xml:space="preserve"> I</w:t>
      </w:r>
      <w:r w:rsidR="005D626E" w:rsidRPr="00FB4EFA">
        <w:rPr>
          <w:rFonts w:eastAsia="Times New Roman" w:cs="Charis SIL"/>
          <w:lang w:val="fi-FI"/>
        </w:rPr>
        <w:t>–</w:t>
      </w:r>
      <w:r w:rsidRPr="00FB4EFA">
        <w:rPr>
          <w:rFonts w:eastAsia="Times New Roman" w:cs="Charis SIL"/>
          <w:lang w:val="fi-FI"/>
        </w:rPr>
        <w:t>IV. Budapest: Akadémiai kiadó.</w:t>
      </w:r>
    </w:p>
    <w:p w14:paraId="61D289DE" w14:textId="2150C3FB"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NAOB = </w:t>
      </w:r>
      <w:r w:rsidRPr="00FB4EFA">
        <w:rPr>
          <w:rFonts w:eastAsia="Times New Roman" w:cs="Charis SIL"/>
          <w:i/>
          <w:iCs/>
          <w:lang w:val="fi-FI"/>
        </w:rPr>
        <w:t>Det norske adakemisk ordbok</w:t>
      </w:r>
      <w:r w:rsidRPr="00FB4EFA">
        <w:rPr>
          <w:rFonts w:eastAsia="Times New Roman" w:cs="Charis SIL"/>
          <w:lang w:val="fi-FI"/>
        </w:rPr>
        <w:t xml:space="preserve">. </w:t>
      </w:r>
      <w:hyperlink r:id="rId283">
        <w:r w:rsidRPr="00FB4EFA">
          <w:rPr>
            <w:rFonts w:eastAsia="Times New Roman" w:cs="Charis SIL"/>
            <w:u w:val="single"/>
            <w:lang w:val="fi-FI"/>
          </w:rPr>
          <w:t>naob.no/ordbok/</w:t>
        </w:r>
      </w:hyperlink>
      <w:r w:rsidRPr="00FB4EFA">
        <w:rPr>
          <w:rFonts w:eastAsia="Times New Roman" w:cs="Charis SIL"/>
          <w:lang w:val="fi-FI"/>
        </w:rPr>
        <w:t>.</w:t>
      </w:r>
    </w:p>
    <w:p w14:paraId="64FFE7FB" w14:textId="6CC4960A"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Plöger, Angela. 1973. </w:t>
      </w:r>
      <w:r w:rsidRPr="00FB4EFA">
        <w:rPr>
          <w:rFonts w:eastAsia="Times New Roman" w:cs="Charis SIL"/>
          <w:i/>
          <w:lang w:val="fi-FI"/>
        </w:rPr>
        <w:t>Die russischen Lehnwörter der finnischen Schriftsprache</w:t>
      </w:r>
      <w:r w:rsidR="005D626E" w:rsidRPr="00FB4EFA">
        <w:rPr>
          <w:rFonts w:eastAsia="Times New Roman" w:cs="Charis SIL"/>
          <w:lang w:val="fi-FI"/>
        </w:rPr>
        <w:t xml:space="preserve">. </w:t>
      </w:r>
      <w:r w:rsidRPr="00FB4EFA">
        <w:rPr>
          <w:rFonts w:eastAsia="Times New Roman" w:cs="Charis SIL"/>
          <w:lang w:val="fi-FI"/>
        </w:rPr>
        <w:t>Veröffentlichungen der Societas Uralo-Altaica 8. Wiesbaden: Harrassowitz.</w:t>
      </w:r>
    </w:p>
    <w:p w14:paraId="48737C52" w14:textId="3E421B4D"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PSS = </w:t>
      </w:r>
      <w:r w:rsidR="005D626E" w:rsidRPr="00FB4EFA">
        <w:rPr>
          <w:rFonts w:eastAsia="Times New Roman" w:cs="Charis SIL"/>
          <w:lang w:val="fi-FI"/>
        </w:rPr>
        <w:t xml:space="preserve">Pekka </w:t>
      </w:r>
      <w:r w:rsidRPr="00FB4EFA">
        <w:rPr>
          <w:rFonts w:eastAsia="Times New Roman" w:cs="Charis SIL"/>
          <w:lang w:val="fi-FI"/>
        </w:rPr>
        <w:t>Sammallahti.</w:t>
      </w:r>
      <w:r w:rsidRPr="00FB4EFA">
        <w:rPr>
          <w:rFonts w:eastAsia="Times New Roman" w:cs="Charis SIL"/>
          <w:smallCaps/>
          <w:lang w:val="fi-FI"/>
        </w:rPr>
        <w:t xml:space="preserve"> </w:t>
      </w:r>
      <w:r w:rsidRPr="00FB4EFA">
        <w:rPr>
          <w:rFonts w:eastAsia="Times New Roman" w:cs="Charis SIL"/>
          <w:i/>
          <w:lang w:val="fi-FI"/>
        </w:rPr>
        <w:t>Pohjoissaame–Suomi-sanakirja</w:t>
      </w:r>
      <w:r w:rsidRPr="00FB4EFA">
        <w:rPr>
          <w:rFonts w:eastAsia="Times New Roman" w:cs="Charis SIL"/>
          <w:lang w:val="fi-FI"/>
        </w:rPr>
        <w:t xml:space="preserve">. </w:t>
      </w:r>
      <w:hyperlink r:id="rId284">
        <w:r w:rsidRPr="00FB4EFA">
          <w:rPr>
            <w:rFonts w:eastAsia="Times New Roman" w:cs="Charis SIL"/>
            <w:u w:val="single"/>
            <w:lang w:val="fi-FI"/>
          </w:rPr>
          <w:t>satni.org/sammallahtismefin/</w:t>
        </w:r>
      </w:hyperlink>
      <w:r w:rsidRPr="00FB4EFA">
        <w:rPr>
          <w:rFonts w:eastAsia="Times New Roman" w:cs="Charis SIL"/>
          <w:lang w:val="fi-FI"/>
        </w:rPr>
        <w:t>.</w:t>
      </w:r>
    </w:p>
    <w:p w14:paraId="11754476"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Qvigstad, J. K. 1893. </w:t>
      </w:r>
      <w:r w:rsidRPr="00FB4EFA">
        <w:rPr>
          <w:rFonts w:eastAsia="Times New Roman" w:cs="Charis SIL"/>
          <w:i/>
          <w:iCs/>
          <w:lang w:val="fi-FI"/>
        </w:rPr>
        <w:t>Nordische Lehnwörter im Lappischen</w:t>
      </w:r>
      <w:r w:rsidRPr="00FB4EFA">
        <w:rPr>
          <w:rFonts w:eastAsia="Times New Roman" w:cs="Charis SIL"/>
          <w:lang w:val="fi-FI"/>
        </w:rPr>
        <w:t xml:space="preserve"> (Christiania Videnskabs-Selskabs Forhandlinger for 1893 No 1). Christiania.</w:t>
      </w:r>
    </w:p>
    <w:p w14:paraId="5AD02135"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Sjögren, Anders Johan. 1828. </w:t>
      </w:r>
      <w:r w:rsidRPr="00FB4EFA">
        <w:rPr>
          <w:rFonts w:eastAsia="Times New Roman" w:cs="Charis SIL"/>
          <w:i/>
          <w:lang w:val="fi-FI"/>
        </w:rPr>
        <w:t>Anteckningar om församlingarne i Kemi-Lappmark</w:t>
      </w:r>
      <w:r w:rsidRPr="00FB4EFA">
        <w:rPr>
          <w:rFonts w:eastAsia="Times New Roman" w:cs="Charis SIL"/>
          <w:lang w:val="fi-FI"/>
        </w:rPr>
        <w:t>.</w:t>
      </w:r>
    </w:p>
    <w:p w14:paraId="7D96CCE3" w14:textId="3201F028" w:rsidR="006B5BDA" w:rsidRPr="00FB4EFA" w:rsidRDefault="006B5BDA" w:rsidP="00153BA0">
      <w:pPr>
        <w:keepLines/>
        <w:suppressAutoHyphens/>
        <w:spacing w:line="240" w:lineRule="auto"/>
        <w:ind w:left="425" w:hanging="425"/>
        <w:rPr>
          <w:rFonts w:eastAsia="Times New Roman" w:cs="Charis SIL"/>
          <w:lang w:val="fi-FI"/>
        </w:rPr>
      </w:pPr>
      <w:r w:rsidRPr="00FB4EFA">
        <w:rPr>
          <w:rFonts w:eastAsia="Times New Roman" w:cs="Charis SIL"/>
          <w:lang w:val="fi-FI"/>
        </w:rPr>
        <w:t xml:space="preserve">SKES = </w:t>
      </w:r>
      <w:r w:rsidR="009E157F" w:rsidRPr="00FB4EFA">
        <w:rPr>
          <w:rFonts w:eastAsia="Times New Roman" w:cs="Charis SIL"/>
          <w:lang w:val="fi-FI"/>
        </w:rPr>
        <w:t xml:space="preserve">Y. H. </w:t>
      </w:r>
      <w:r w:rsidR="00F81BF1" w:rsidRPr="00FB4EFA">
        <w:rPr>
          <w:rFonts w:eastAsia="Times New Roman" w:cs="Charis SIL"/>
          <w:lang w:val="fi-FI"/>
        </w:rPr>
        <w:t xml:space="preserve">Toivonen, Erkki Itkonen, Aulis J. Joki &amp; Reino Peltola (toim.). 1955–1979. </w:t>
      </w:r>
      <w:r w:rsidRPr="00FB4EFA">
        <w:rPr>
          <w:rFonts w:eastAsia="Times New Roman" w:cs="Charis SIL"/>
          <w:i/>
          <w:lang w:val="fi-FI"/>
        </w:rPr>
        <w:t>Suomen kielen etymologinen sanakirja</w:t>
      </w:r>
      <w:r w:rsidRPr="00FB4EFA">
        <w:rPr>
          <w:rFonts w:eastAsia="Times New Roman" w:cs="Charis SIL"/>
          <w:lang w:val="fi-FI"/>
        </w:rPr>
        <w:t xml:space="preserve"> I–VII</w:t>
      </w:r>
      <w:r w:rsidR="00F81BF1" w:rsidRPr="00FB4EFA">
        <w:rPr>
          <w:rFonts w:eastAsia="Times New Roman" w:cs="Charis SIL"/>
          <w:lang w:val="fi-FI"/>
        </w:rPr>
        <w:t>.</w:t>
      </w:r>
      <w:r w:rsidRPr="00FB4EFA">
        <w:rPr>
          <w:rFonts w:eastAsia="Times New Roman" w:cs="Charis SIL"/>
          <w:lang w:val="fi-FI"/>
        </w:rPr>
        <w:t xml:space="preserve"> Lexica Societatis Fenno-Ugricae 12</w:t>
      </w:r>
      <w:r w:rsidR="00F81BF1" w:rsidRPr="00FB4EFA">
        <w:rPr>
          <w:rFonts w:eastAsia="Times New Roman" w:cs="Charis SIL"/>
          <w:lang w:val="fi-FI"/>
        </w:rPr>
        <w:t>.</w:t>
      </w:r>
      <w:r w:rsidRPr="00FB4EFA">
        <w:rPr>
          <w:rFonts w:eastAsia="Times New Roman" w:cs="Charis SIL"/>
          <w:lang w:val="fi-FI"/>
        </w:rPr>
        <w:t xml:space="preserve"> Helsinki: Suomalais-Ugrilainen Seura.</w:t>
      </w:r>
    </w:p>
    <w:p w14:paraId="1D3F0A1E" w14:textId="6BC50B4E" w:rsidR="006B5BDA" w:rsidRPr="00FB4EFA" w:rsidRDefault="006B5BDA" w:rsidP="00153BA0">
      <w:pPr>
        <w:keepLines/>
        <w:suppressAutoHyphens/>
        <w:spacing w:line="240" w:lineRule="auto"/>
        <w:ind w:left="425" w:hanging="425"/>
        <w:rPr>
          <w:rFonts w:eastAsia="Times New Roman" w:cs="Charis SIL"/>
          <w:iCs/>
          <w:lang w:val="fi-FI"/>
        </w:rPr>
      </w:pPr>
      <w:r w:rsidRPr="00FB4EFA">
        <w:rPr>
          <w:rFonts w:eastAsia="Times New Roman" w:cs="Charis SIL"/>
          <w:lang w:val="fi-FI"/>
        </w:rPr>
        <w:lastRenderedPageBreak/>
        <w:t xml:space="preserve">SSA = </w:t>
      </w:r>
      <w:r w:rsidR="005D626E" w:rsidRPr="00FB4EFA">
        <w:rPr>
          <w:rFonts w:eastAsia="Times New Roman" w:cs="Charis SIL"/>
          <w:iCs/>
          <w:lang w:val="fi-FI"/>
        </w:rPr>
        <w:t>Erkki Itkonen &amp; Ulla-Maija Kulonen (toim.)</w:t>
      </w:r>
      <w:r w:rsidR="005D626E" w:rsidRPr="00FB4EFA">
        <w:rPr>
          <w:rFonts w:eastAsia="Times New Roman" w:cs="Charis SIL"/>
          <w:lang w:val="fi-FI"/>
        </w:rPr>
        <w:t xml:space="preserve">. 1992–2000. </w:t>
      </w:r>
      <w:r w:rsidRPr="00FB4EFA">
        <w:rPr>
          <w:rFonts w:eastAsia="Times New Roman" w:cs="Charis SIL"/>
          <w:i/>
          <w:lang w:val="fi-FI"/>
        </w:rPr>
        <w:t>Suomen sanojen alkuperä</w:t>
      </w:r>
      <w:r w:rsidR="005D626E" w:rsidRPr="00FB4EFA">
        <w:rPr>
          <w:rFonts w:eastAsia="Times New Roman" w:cs="Charis SIL"/>
          <w:iCs/>
          <w:lang w:val="fi-FI"/>
        </w:rPr>
        <w:t>.</w:t>
      </w:r>
      <w:r w:rsidRPr="00FB4EFA">
        <w:rPr>
          <w:rFonts w:eastAsia="Times New Roman" w:cs="Charis SIL"/>
          <w:iCs/>
          <w:lang w:val="fi-FI"/>
        </w:rPr>
        <w:t xml:space="preserve"> Suomalaisen Kirjallisuuden Seuran toimituksia 556</w:t>
      </w:r>
      <w:r w:rsidR="005D626E" w:rsidRPr="00FB4EFA">
        <w:rPr>
          <w:rFonts w:eastAsia="Times New Roman" w:cs="Charis SIL"/>
          <w:iCs/>
          <w:lang w:val="fi-FI"/>
        </w:rPr>
        <w:t xml:space="preserve"> /</w:t>
      </w:r>
      <w:r w:rsidRPr="00FB4EFA">
        <w:rPr>
          <w:rFonts w:eastAsia="Times New Roman" w:cs="Charis SIL"/>
          <w:iCs/>
          <w:lang w:val="fi-FI"/>
        </w:rPr>
        <w:t xml:space="preserve"> Kotimaisten kielten tutkimuskeskuksen julkaisuja 62. Helsinki: </w:t>
      </w:r>
      <w:r w:rsidR="00F9255F" w:rsidRPr="00FB4EFA">
        <w:rPr>
          <w:rFonts w:eastAsia="Times New Roman" w:cs="Charis SIL"/>
          <w:iCs/>
          <w:lang w:val="fi-FI"/>
        </w:rPr>
        <w:t xml:space="preserve">SKS / </w:t>
      </w:r>
      <w:r w:rsidR="006576A1" w:rsidRPr="00FB4EFA">
        <w:rPr>
          <w:lang w:val="fi-FI"/>
        </w:rPr>
        <w:t>Kotimaisten kielten tutkimuskeskus</w:t>
      </w:r>
      <w:r w:rsidRPr="00FB4EFA">
        <w:rPr>
          <w:rFonts w:eastAsia="Times New Roman" w:cs="Charis SIL"/>
          <w:iCs/>
          <w:lang w:val="fi-FI"/>
        </w:rPr>
        <w:t>.</w:t>
      </w:r>
    </w:p>
    <w:p w14:paraId="1673D8DF"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Storå, Nils. 1993. </w:t>
      </w:r>
      <w:r w:rsidRPr="00FB4EFA">
        <w:rPr>
          <w:rFonts w:eastAsia="Times New Roman" w:cs="Charis SIL"/>
          <w:i/>
          <w:iCs/>
          <w:lang w:val="fi-FI"/>
        </w:rPr>
        <w:t>Resurser, strategier, miljöer: etnologiska uppsatser. Festskrift till Nils Storå 29.5.1993</w:t>
      </w:r>
      <w:r w:rsidRPr="00FB4EFA">
        <w:rPr>
          <w:rFonts w:eastAsia="Times New Roman" w:cs="Charis SIL"/>
          <w:lang w:val="fi-FI"/>
        </w:rPr>
        <w:t>.</w:t>
      </w:r>
      <w:r w:rsidRPr="00FB4EFA">
        <w:rPr>
          <w:rFonts w:eastAsia="Times New Roman" w:cs="Charis SIL"/>
          <w:i/>
          <w:iCs/>
          <w:lang w:val="fi-FI"/>
        </w:rPr>
        <w:t xml:space="preserve"> </w:t>
      </w:r>
      <w:r w:rsidRPr="00FB4EFA">
        <w:rPr>
          <w:rFonts w:eastAsia="Times New Roman" w:cs="Charis SIL"/>
          <w:lang w:val="fi-FI"/>
        </w:rPr>
        <w:t>Åbo: Åbo akademi.</w:t>
      </w:r>
    </w:p>
    <w:p w14:paraId="7553B0C9" w14:textId="05BD53E8"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Strack, Elisabeth. 2015. European Freshwater Pearls: Part 1—Russia. </w:t>
      </w:r>
      <w:r w:rsidRPr="00FB4EFA">
        <w:rPr>
          <w:rFonts w:eastAsia="Times New Roman" w:cs="Charis SIL"/>
          <w:i/>
          <w:iCs/>
          <w:lang w:val="fi-FI"/>
        </w:rPr>
        <w:t>The Journal of Gemmology</w:t>
      </w:r>
      <w:r w:rsidRPr="00FB4EFA">
        <w:rPr>
          <w:rFonts w:eastAsia="Times New Roman" w:cs="Charis SIL"/>
          <w:lang w:val="fi-FI"/>
        </w:rPr>
        <w:t xml:space="preserve"> 34 (7)</w:t>
      </w:r>
      <w:r w:rsidR="006576A1" w:rsidRPr="00FB4EFA">
        <w:rPr>
          <w:rFonts w:eastAsia="Times New Roman" w:cs="Charis SIL"/>
          <w:lang w:val="fi-FI"/>
        </w:rPr>
        <w:t>.</w:t>
      </w:r>
      <w:r w:rsidRPr="00FB4EFA">
        <w:rPr>
          <w:rFonts w:eastAsia="Times New Roman" w:cs="Charis SIL"/>
          <w:lang w:val="fi-FI"/>
        </w:rPr>
        <w:t xml:space="preserve"> 580–592.</w:t>
      </w:r>
    </w:p>
    <w:p w14:paraId="26B1FDB1" w14:textId="3AB44663"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Varberg, Jeanette</w:t>
      </w:r>
      <w:r w:rsidR="009E157F" w:rsidRPr="00FB4EFA">
        <w:rPr>
          <w:rFonts w:eastAsia="Times New Roman" w:cs="Charis SIL"/>
          <w:lang w:val="fi-FI"/>
        </w:rPr>
        <w:t>,</w:t>
      </w:r>
      <w:r w:rsidRPr="00FB4EFA">
        <w:rPr>
          <w:rFonts w:eastAsia="Times New Roman" w:cs="Charis SIL"/>
          <w:lang w:val="fi-FI"/>
        </w:rPr>
        <w:t xml:space="preserve"> </w:t>
      </w:r>
      <w:r w:rsidR="009E157F" w:rsidRPr="00FB4EFA">
        <w:rPr>
          <w:rFonts w:eastAsia="Times New Roman" w:cs="Charis SIL"/>
          <w:lang w:val="fi-FI"/>
        </w:rPr>
        <w:t xml:space="preserve">Bernard </w:t>
      </w:r>
      <w:r w:rsidRPr="00FB4EFA">
        <w:rPr>
          <w:rFonts w:eastAsia="Times New Roman" w:cs="Charis SIL"/>
          <w:lang w:val="fi-FI"/>
        </w:rPr>
        <w:t xml:space="preserve">Gratuse &amp; </w:t>
      </w:r>
      <w:r w:rsidR="009E157F" w:rsidRPr="00FB4EFA">
        <w:rPr>
          <w:rFonts w:eastAsia="Times New Roman" w:cs="Charis SIL"/>
          <w:lang w:val="fi-FI"/>
        </w:rPr>
        <w:t xml:space="preserve">Flemming </w:t>
      </w:r>
      <w:r w:rsidRPr="00FB4EFA">
        <w:rPr>
          <w:rFonts w:eastAsia="Times New Roman" w:cs="Charis SIL"/>
          <w:lang w:val="fi-FI"/>
        </w:rPr>
        <w:t xml:space="preserve">Klaul. 2014. Between Egypt, Mesopotamia and Scandinavia: Late Bronze Age glass beads found in Denmark. </w:t>
      </w:r>
      <w:r w:rsidRPr="00FB4EFA">
        <w:rPr>
          <w:rFonts w:eastAsia="Times New Roman" w:cs="Charis SIL"/>
          <w:i/>
          <w:iCs/>
          <w:lang w:val="fi-FI"/>
        </w:rPr>
        <w:t>Journal of Archaeological Science</w:t>
      </w:r>
      <w:r w:rsidRPr="00FB4EFA">
        <w:rPr>
          <w:rFonts w:eastAsia="Times New Roman" w:cs="Charis SIL"/>
          <w:lang w:val="fi-FI"/>
        </w:rPr>
        <w:t xml:space="preserve"> 54</w:t>
      </w:r>
      <w:r w:rsidR="006576A1" w:rsidRPr="00FB4EFA">
        <w:rPr>
          <w:rFonts w:eastAsia="Times New Roman" w:cs="Charis SIL"/>
          <w:lang w:val="fi-FI"/>
        </w:rPr>
        <w:t>.</w:t>
      </w:r>
      <w:r w:rsidRPr="00FB4EFA">
        <w:rPr>
          <w:rFonts w:eastAsia="Times New Roman" w:cs="Charis SIL"/>
          <w:lang w:val="fi-FI"/>
        </w:rPr>
        <w:t xml:space="preserve"> 168–181.</w:t>
      </w:r>
    </w:p>
    <w:p w14:paraId="155E2DB8"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Vasmer, Max. </w:t>
      </w:r>
      <w:r w:rsidRPr="00FB4EFA">
        <w:rPr>
          <w:rFonts w:eastAsia="Times New Roman" w:cs="Charis SIL"/>
          <w:i/>
          <w:lang w:val="fi-FI"/>
        </w:rPr>
        <w:t>Russisches etymologisches Wörterbuch</w:t>
      </w:r>
      <w:r w:rsidRPr="00FB4EFA">
        <w:rPr>
          <w:rFonts w:eastAsia="Times New Roman" w:cs="Charis SIL"/>
          <w:iCs/>
          <w:lang w:val="fi-FI"/>
        </w:rPr>
        <w:t>,</w:t>
      </w:r>
      <w:r w:rsidRPr="00FB4EFA">
        <w:rPr>
          <w:rFonts w:eastAsia="Times New Roman" w:cs="Charis SIL"/>
          <w:i/>
          <w:lang w:val="fi-FI"/>
        </w:rPr>
        <w:t xml:space="preserve"> </w:t>
      </w:r>
      <w:r w:rsidRPr="00FB4EFA">
        <w:rPr>
          <w:rFonts w:eastAsia="Times New Roman" w:cs="Charis SIL"/>
          <w:iCs/>
          <w:lang w:val="fi-FI"/>
        </w:rPr>
        <w:t xml:space="preserve">I </w:t>
      </w:r>
      <w:r w:rsidRPr="00FB4EFA">
        <w:rPr>
          <w:rFonts w:eastAsia="Times New Roman" w:cs="Charis SIL"/>
          <w:lang w:val="fi-FI"/>
        </w:rPr>
        <w:t>1953, II 1955, III 1958. Heidelberg: Carl Winter Universitätsverlag.</w:t>
      </w:r>
    </w:p>
    <w:p w14:paraId="590CAB15"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Veersalu, Aune. 2006a. Helmestyksen historiaa – monenlaisia pyytäjiä. </w:t>
      </w:r>
      <w:r w:rsidRPr="00FB4EFA">
        <w:rPr>
          <w:rFonts w:eastAsia="Times New Roman" w:cs="Charis SIL"/>
          <w:i/>
          <w:iCs/>
          <w:lang w:val="fi-FI"/>
        </w:rPr>
        <w:t>Pohjoisten virtojen raakut. Interreg-kartoitushanke Itä-Inarissa, Norjassa ja Venäjällä</w:t>
      </w:r>
      <w:r w:rsidRPr="00FB4EFA">
        <w:rPr>
          <w:rFonts w:eastAsia="Times New Roman" w:cs="Charis SIL"/>
          <w:lang w:val="fi-FI"/>
        </w:rPr>
        <w:t>. Metsähallitus.</w:t>
      </w:r>
    </w:p>
    <w:p w14:paraId="560C2A28"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Veersalu, Aune. 2006b. Paikallisten kertomaa helmestysperinteestä. </w:t>
      </w:r>
      <w:r w:rsidRPr="00FB4EFA">
        <w:rPr>
          <w:rFonts w:eastAsia="Times New Roman" w:cs="Charis SIL"/>
          <w:i/>
          <w:iCs/>
          <w:lang w:val="fi-FI"/>
        </w:rPr>
        <w:t>Pohjoisten virtojen raakut. Interreg-kartoitushanke Itä-Inarissa, Norjassa ja Venäjällä</w:t>
      </w:r>
      <w:r w:rsidRPr="00FB4EFA">
        <w:rPr>
          <w:rFonts w:eastAsia="Times New Roman" w:cs="Charis SIL"/>
          <w:lang w:val="fi-FI"/>
        </w:rPr>
        <w:t>. Metsähallitus.</w:t>
      </w:r>
    </w:p>
    <w:p w14:paraId="2BBA1F18" w14:textId="4D2EBA9C"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Vesterinen, Ilmari. 1983. Suomen helmivesillä. </w:t>
      </w:r>
      <w:r w:rsidRPr="00FB4EFA">
        <w:rPr>
          <w:rFonts w:eastAsia="Times New Roman" w:cs="Charis SIL"/>
          <w:i/>
          <w:iCs/>
          <w:lang w:val="fi-FI"/>
        </w:rPr>
        <w:t>Res referunt repertae. Niilo Valonen 1913–1983</w:t>
      </w:r>
      <w:r w:rsidRPr="00FB4EFA">
        <w:rPr>
          <w:rFonts w:eastAsia="Times New Roman" w:cs="Charis SIL"/>
          <w:lang w:val="fi-FI"/>
        </w:rPr>
        <w:t xml:space="preserve"> (Suomalais-Ugrilaisen Seuran Toimituksia 183) 381–398. Helsinki: Suomalais-Ugrilainen Seura.</w:t>
      </w:r>
    </w:p>
    <w:p w14:paraId="1E47980A" w14:textId="77777777"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Vilkuna, Kustaa. 1980. Pearl Fishing in Finland and Surrounding Areas. </w:t>
      </w:r>
      <w:r w:rsidRPr="00FB4EFA">
        <w:rPr>
          <w:rFonts w:eastAsia="Times New Roman" w:cs="Charis SIL"/>
          <w:i/>
          <w:iCs/>
          <w:lang w:val="fi-FI"/>
        </w:rPr>
        <w:t>Ethnologia Scandinavica</w:t>
      </w:r>
      <w:r w:rsidRPr="00FB4EFA">
        <w:rPr>
          <w:rFonts w:eastAsia="Times New Roman" w:cs="Charis SIL"/>
          <w:lang w:val="fi-FI"/>
        </w:rPr>
        <w:t>. 133–151.</w:t>
      </w:r>
    </w:p>
    <w:p w14:paraId="3BA07393" w14:textId="62BFB848" w:rsidR="006B5BDA" w:rsidRPr="00FB4EFA" w:rsidRDefault="006B5BDA" w:rsidP="00153BA0">
      <w:pPr>
        <w:suppressAutoHyphens/>
        <w:spacing w:line="240" w:lineRule="auto"/>
        <w:ind w:left="426" w:hanging="426"/>
        <w:rPr>
          <w:rFonts w:eastAsia="Times New Roman" w:cs="Charis SIL"/>
          <w:lang w:val="fi-FI"/>
        </w:rPr>
      </w:pPr>
      <w:r w:rsidRPr="00FB4EFA">
        <w:rPr>
          <w:rFonts w:eastAsia="Times New Roman" w:cs="Charis SIL"/>
          <w:lang w:val="fi-FI"/>
        </w:rPr>
        <w:t xml:space="preserve">Äimä, Frans. 1919. </w:t>
      </w:r>
      <w:r w:rsidRPr="00FB4EFA">
        <w:rPr>
          <w:rFonts w:eastAsia="Times New Roman" w:cs="Charis SIL"/>
          <w:i/>
          <w:lang w:val="fi-FI"/>
        </w:rPr>
        <w:t>Astevaihtelututkielmia. 1, Lapin murteiden välisiä konsonanttivaihteluita</w:t>
      </w:r>
      <w:r w:rsidR="008E6C33" w:rsidRPr="00FB4EFA">
        <w:rPr>
          <w:rFonts w:eastAsia="Times New Roman" w:cs="Charis SIL"/>
          <w:lang w:val="fi-FI"/>
        </w:rPr>
        <w:t xml:space="preserve">. </w:t>
      </w:r>
      <w:r w:rsidRPr="00FB4EFA">
        <w:rPr>
          <w:rFonts w:eastAsia="Times New Roman" w:cs="Charis SIL"/>
          <w:lang w:val="fi-FI"/>
        </w:rPr>
        <w:t>Suomalais-</w:t>
      </w:r>
      <w:r w:rsidR="008E6C33" w:rsidRPr="00FB4EFA">
        <w:rPr>
          <w:rFonts w:eastAsia="Times New Roman" w:cs="Charis SIL"/>
          <w:lang w:val="fi-FI"/>
        </w:rPr>
        <w:t>U</w:t>
      </w:r>
      <w:r w:rsidRPr="00FB4EFA">
        <w:rPr>
          <w:rFonts w:eastAsia="Times New Roman" w:cs="Charis SIL"/>
          <w:lang w:val="fi-FI"/>
        </w:rPr>
        <w:t xml:space="preserve">grilaisen </w:t>
      </w:r>
      <w:r w:rsidR="008E6C33" w:rsidRPr="00FB4EFA">
        <w:rPr>
          <w:rFonts w:eastAsia="Times New Roman" w:cs="Charis SIL"/>
          <w:lang w:val="fi-FI"/>
        </w:rPr>
        <w:t>S</w:t>
      </w:r>
      <w:r w:rsidRPr="00FB4EFA">
        <w:rPr>
          <w:rFonts w:eastAsia="Times New Roman" w:cs="Charis SIL"/>
          <w:lang w:val="fi-FI"/>
        </w:rPr>
        <w:t xml:space="preserve">euran </w:t>
      </w:r>
      <w:r w:rsidR="008E6C33" w:rsidRPr="00FB4EFA">
        <w:rPr>
          <w:rFonts w:eastAsia="Times New Roman" w:cs="Charis SIL"/>
          <w:lang w:val="fi-FI"/>
        </w:rPr>
        <w:t>T</w:t>
      </w:r>
      <w:r w:rsidRPr="00FB4EFA">
        <w:rPr>
          <w:rFonts w:eastAsia="Times New Roman" w:cs="Charis SIL"/>
          <w:lang w:val="fi-FI"/>
        </w:rPr>
        <w:t>oimituksia 45. Helsinki: Suomalais-Ugrilainen Seura.</w:t>
      </w:r>
    </w:p>
    <w:p w14:paraId="410BD956" w14:textId="77777777" w:rsidR="00A96E85" w:rsidRPr="00FB4EFA" w:rsidRDefault="00A96E85" w:rsidP="00402EF4">
      <w:pPr>
        <w:spacing w:after="160"/>
        <w:jc w:val="center"/>
        <w:rPr>
          <w:smallCaps/>
          <w:sz w:val="48"/>
          <w:szCs w:val="48"/>
          <w:lang w:val="fi-FI"/>
        </w:rPr>
        <w:sectPr w:rsidR="00A96E85" w:rsidRPr="00FB4EFA" w:rsidSect="00810763">
          <w:footnotePr>
            <w:numRestart w:val="eachSect"/>
          </w:footnotePr>
          <w:type w:val="continuous"/>
          <w:pgSz w:w="9180" w:h="13302"/>
          <w:pgMar w:top="779" w:right="1133" w:bottom="1132" w:left="1133" w:header="744" w:footer="720" w:gutter="0"/>
          <w:cols w:space="720"/>
          <w:docGrid w:linePitch="299"/>
        </w:sectPr>
      </w:pPr>
    </w:p>
    <w:p w14:paraId="72CE0D9E" w14:textId="7440E2E7" w:rsidR="00017313" w:rsidRPr="00FB4EFA" w:rsidRDefault="00017313" w:rsidP="00AF0CAD">
      <w:pPr>
        <w:pStyle w:val="Authors"/>
        <w:spacing w:line="259" w:lineRule="auto"/>
        <w:rPr>
          <w:color w:val="auto"/>
          <w:lang w:val="fi-FI"/>
        </w:rPr>
      </w:pPr>
      <w:r w:rsidRPr="00FB4EFA">
        <w:rPr>
          <w:color w:val="auto"/>
          <w:lang w:val="fi-FI"/>
        </w:rPr>
        <w:lastRenderedPageBreak/>
        <w:t>Annekatrin Kaivapalu</w:t>
      </w:r>
    </w:p>
    <w:p w14:paraId="65ED4A93" w14:textId="77777777" w:rsidR="00017313" w:rsidRPr="00FB4EFA" w:rsidRDefault="00017313" w:rsidP="00402EF4">
      <w:pPr>
        <w:rPr>
          <w:lang w:val="fi-FI"/>
        </w:rPr>
      </w:pPr>
    </w:p>
    <w:p w14:paraId="6A5DE34E" w14:textId="61AAD7DD" w:rsidR="00614F07" w:rsidRPr="00FB4EFA" w:rsidRDefault="00017313" w:rsidP="00312ECF">
      <w:pPr>
        <w:pStyle w:val="Heading1"/>
        <w:spacing w:line="259" w:lineRule="auto"/>
        <w:rPr>
          <w:color w:val="auto"/>
        </w:rPr>
      </w:pPr>
      <w:bookmarkStart w:id="71" w:name="_Ref90999625"/>
      <w:r w:rsidRPr="00FB4EFA">
        <w:rPr>
          <w:color w:val="auto"/>
        </w:rPr>
        <w:t xml:space="preserve">Keeleteadlikkus ja keeltevahelise </w:t>
      </w:r>
      <w:r w:rsidR="0069593F" w:rsidRPr="00FB4EFA">
        <w:rPr>
          <w:color w:val="auto"/>
        </w:rPr>
        <w:br/>
      </w:r>
      <w:r w:rsidRPr="00FB4EFA">
        <w:rPr>
          <w:color w:val="auto"/>
        </w:rPr>
        <w:t>sarnasuse tunnetamine</w:t>
      </w:r>
      <w:bookmarkEnd w:id="71"/>
    </w:p>
    <w:p w14:paraId="68D196AA" w14:textId="75AD2A99" w:rsidR="00614F07" w:rsidRPr="00FB4EFA" w:rsidRDefault="00614F07" w:rsidP="00312ECF">
      <w:pPr>
        <w:pStyle w:val="Heading2"/>
        <w:numPr>
          <w:ilvl w:val="0"/>
          <w:numId w:val="5"/>
        </w:numPr>
        <w:spacing w:line="259" w:lineRule="auto"/>
        <w:rPr>
          <w:color w:val="auto"/>
        </w:rPr>
      </w:pPr>
      <w:r w:rsidRPr="00FB4EFA">
        <w:rPr>
          <w:color w:val="auto"/>
        </w:rPr>
        <w:t>Lähtekohti</w:t>
      </w:r>
    </w:p>
    <w:p w14:paraId="2E0F942F" w14:textId="06C97712" w:rsidR="00192E25" w:rsidRPr="00FB4EFA" w:rsidRDefault="00192E25" w:rsidP="00AF0CAD">
      <w:pPr>
        <w:rPr>
          <w:lang w:val="et-EE"/>
        </w:rPr>
      </w:pPr>
      <w:r w:rsidRPr="00FB4EFA">
        <w:rPr>
          <w:lang w:val="et-EE"/>
        </w:rPr>
        <w:t xml:space="preserve">Keeleteadlikkus on viimastel aastatel tõusnud tähelepanu keskmesse eriti keeleõppimise ja -omandamise ning keelepedagoogika kontekstis. Uue keele õppimine tugineb õpitava keele ning emakeele ja/või teiste varem õpitud keelte sarnasuse tunnetamisele. Tunnetatud sarnasus väljendab keeleõppija ja </w:t>
      </w:r>
      <w:r w:rsidRPr="00FB4EFA">
        <w:rPr>
          <w:lang w:val="et-EE"/>
        </w:rPr>
        <w:noBreakHyphen/>
        <w:t xml:space="preserve">kasutaja arusaama keeltevahelisest tegelikust sarnasusest, sellest, millised keelendid on tema arvates sarnased ja millised mitte ning milline on keeltevahelise sarnasuse aste. Keeltevahelise sarnasuse tunnetamine on paljuski individuaalne ning sõltub muu hulgas emakeelest, muudest varem õpitud keeltest, isiksuseomadustest ja mitmetest muudest teguritest. Tegemist on vähemalt osaliselt teadvustatud protsessiga: keelekasutajad on võimelised peegeldama oma tunnetusprotsessi, kuigi mitte alati korrektseid keeleteaduslikke termineid kasutades (vt nt </w:t>
      </w:r>
      <w:r w:rsidR="00153BA0" w:rsidRPr="00FB4EFA">
        <w:rPr>
          <w:lang w:val="et-EE"/>
        </w:rPr>
        <w:br/>
      </w:r>
      <w:r w:rsidRPr="00FB4EFA">
        <w:rPr>
          <w:lang w:val="et-EE"/>
        </w:rPr>
        <w:t>Kaivapalu &amp; Muikku-Werner 2010). Keeltevahelise sarnasuse teadvustatud (Kaivapalu &amp; Martin 2014, 2015, 2017) ja teadvustamata (Kaivapalu &amp; Jarvis 2019) tunnetamise uurimisega on lähiminevikus algust tehtud, kuid siiani ei ole käsitletud tunnetatud sarnasuse ja keeleteadlikkuse omavahelisi seoseid.</w:t>
      </w:r>
    </w:p>
    <w:p w14:paraId="26B49D9A" w14:textId="2D84B83B" w:rsidR="00192E25" w:rsidRPr="00FB4EFA" w:rsidRDefault="00192E25" w:rsidP="00312ECF">
      <w:pPr>
        <w:ind w:firstLine="709"/>
        <w:rPr>
          <w:lang w:val="et-EE"/>
        </w:rPr>
      </w:pPr>
      <w:r w:rsidRPr="00FB4EFA">
        <w:rPr>
          <w:lang w:val="et-EE"/>
        </w:rPr>
        <w:t xml:space="preserve">Käesolev kirjutis püüab seda tühikut täita keeltevahelise sarnasuse teadvustatud tunnetamist käsitleva uurimuse põhjal. Uurimuse eesmärk oli selgitatada, kas ja kuidas erineb lähedaste sugulaskeelte sarnasuse tunnetamine juhul, kui üks keeltest, kas soome või eesti keel, on keelekasutaja emakeel, ja juhul, kui see on mõni varem õpitud keel nagu eestivenelastele eesti keel või soomerootslastele soome keel. Uurimus lähtub keeltevahelise sarnasuse astmestikust, mille </w:t>
      </w:r>
      <w:r w:rsidRPr="00FB4EFA">
        <w:rPr>
          <w:rFonts w:cs="Charis SIL"/>
          <w:lang w:val="et-EE"/>
        </w:rPr>
        <w:t>Håkan Ringbom (2007: 5</w:t>
      </w:r>
      <w:r w:rsidR="00B738EB" w:rsidRPr="00FB4EFA">
        <w:rPr>
          <w:rFonts w:cs="Charis SIL"/>
          <w:lang w:val="et-EE"/>
        </w:rPr>
        <w:t>–</w:t>
      </w:r>
      <w:r w:rsidRPr="00FB4EFA">
        <w:rPr>
          <w:rFonts w:cs="Charis SIL"/>
          <w:lang w:val="et-EE"/>
        </w:rPr>
        <w:t>7) on esitanud sarnasus-, kontrasti- ja nullsuhtest koosneva kontiinumina ning sarnasus- ja kontrastisuhte vahele jääva</w:t>
      </w:r>
      <w:r w:rsidRPr="00FB4EFA">
        <w:rPr>
          <w:lang w:val="et-EE"/>
        </w:rPr>
        <w:t xml:space="preserve"> kontiinumi </w:t>
      </w:r>
      <w:r w:rsidRPr="00FB4EFA">
        <w:rPr>
          <w:szCs w:val="24"/>
          <w:lang w:val="et-EE"/>
        </w:rPr>
        <w:t xml:space="preserve">detailsemast taksonoomist (Kaivapalu &amp; Martin </w:t>
      </w:r>
      <w:r w:rsidRPr="00FB4EFA">
        <w:rPr>
          <w:lang w:val="et-EE"/>
        </w:rPr>
        <w:t>2014: 288</w:t>
      </w:r>
      <w:r w:rsidR="00B738EB" w:rsidRPr="00FB4EFA">
        <w:rPr>
          <w:rFonts w:cs="Times New Roman"/>
          <w:lang w:val="et-EE"/>
        </w:rPr>
        <w:t>–</w:t>
      </w:r>
      <w:r w:rsidRPr="00FB4EFA">
        <w:rPr>
          <w:lang w:val="et-EE"/>
        </w:rPr>
        <w:t xml:space="preserve">290). Sarnasuse astmestikku ja taksonoomiat on lähemalt tutvustatud 3. peatükis. </w:t>
      </w:r>
      <w:r w:rsidRPr="00FB4EFA">
        <w:rPr>
          <w:lang w:val="et-EE"/>
        </w:rPr>
        <w:lastRenderedPageBreak/>
        <w:t>Antud artikkel otsib vastust küsimusele, milline on keeleteadlikkuse ja selle avaldumisvormide roll keeltevahelise sarnasuse tunnetamisel. Analüüs põhineb keeltevahelise sarnasuse teadvustatud tunnetamist mõõtvas tajutestis osalenute kommentaaridel, millega nad põhjendasid oma hinnanguid kahe keele sõnavormide sarnasuse astmele. Põhjalikumalt on uurimismeetodit ja osalejaid kirjeldatud artikli 4. peatükis.</w:t>
      </w:r>
    </w:p>
    <w:p w14:paraId="7A0EDE34" w14:textId="0C2C7F84" w:rsidR="00192E25" w:rsidRPr="00FB4EFA" w:rsidRDefault="00192E25" w:rsidP="00312ECF">
      <w:pPr>
        <w:ind w:firstLine="360"/>
        <w:rPr>
          <w:lang w:val="et-EE"/>
        </w:rPr>
      </w:pPr>
      <w:r w:rsidRPr="00FB4EFA">
        <w:rPr>
          <w:lang w:val="et-EE"/>
        </w:rPr>
        <w:t xml:space="preserve">Artiklis avaldatud mõtted visandati koos emeriitprofessor Maisa </w:t>
      </w:r>
      <w:r w:rsidR="00153BA0" w:rsidRPr="00FB4EFA">
        <w:rPr>
          <w:lang w:val="et-EE"/>
        </w:rPr>
        <w:br/>
      </w:r>
      <w:r w:rsidRPr="00FB4EFA">
        <w:rPr>
          <w:lang w:val="et-EE"/>
        </w:rPr>
        <w:t xml:space="preserve">Martiniga esmakordselt konverentsi </w:t>
      </w:r>
      <w:r w:rsidRPr="00FB4EFA">
        <w:rPr>
          <w:i/>
          <w:iCs/>
          <w:lang w:val="et-EE"/>
        </w:rPr>
        <w:t xml:space="preserve">L3 and Multilingualism </w:t>
      </w:r>
      <w:r w:rsidRPr="00FB4EFA">
        <w:rPr>
          <w:lang w:val="et-EE"/>
        </w:rPr>
        <w:t xml:space="preserve">ettekandes 2018. aastal. Neid on edasi arendatud, mõeldes heale sõbrale, asjatundlikule kolleegile, ajakirja </w:t>
      </w:r>
      <w:r w:rsidRPr="00FB4EFA">
        <w:rPr>
          <w:i/>
          <w:iCs/>
          <w:lang w:val="et-EE"/>
        </w:rPr>
        <w:t>Lähivõrdlusi</w:t>
      </w:r>
      <w:r w:rsidRPr="00FB4EFA">
        <w:rPr>
          <w:lang w:val="et-EE"/>
        </w:rPr>
        <w:t xml:space="preserve">. </w:t>
      </w:r>
      <w:r w:rsidRPr="00FB4EFA">
        <w:rPr>
          <w:i/>
          <w:iCs/>
          <w:lang w:val="et-EE"/>
        </w:rPr>
        <w:t>Lähivertailuja</w:t>
      </w:r>
      <w:r w:rsidRPr="00FB4EFA">
        <w:rPr>
          <w:lang w:val="et-EE"/>
        </w:rPr>
        <w:t xml:space="preserve"> toimetuskolleegiumi liikmele ja kauaaegsele toimetajale Johanna Laaksole, kes vaatamata arvukate keelte suurepärasele oskusele ja nende pidevale kasutamisele peab end siiski ükskeelseks soomlannaks ning kellele kuulub autori </w:t>
      </w:r>
      <w:r w:rsidR="00153BA0" w:rsidRPr="00FB4EFA">
        <w:rPr>
          <w:lang w:val="et-EE"/>
        </w:rPr>
        <w:br/>
      </w:r>
      <w:r w:rsidRPr="00FB4EFA">
        <w:rPr>
          <w:lang w:val="et-EE"/>
        </w:rPr>
        <w:t xml:space="preserve">südamest tulev tänu juba üliõpilaspõlvest alguse saanud ühise </w:t>
      </w:r>
      <w:r w:rsidR="00153BA0" w:rsidRPr="00FB4EFA">
        <w:rPr>
          <w:lang w:val="et-EE"/>
        </w:rPr>
        <w:br/>
      </w:r>
      <w:r w:rsidRPr="00FB4EFA">
        <w:rPr>
          <w:lang w:val="et-EE"/>
        </w:rPr>
        <w:t>teekonna eest.</w:t>
      </w:r>
    </w:p>
    <w:p w14:paraId="276F791D" w14:textId="77777777" w:rsidR="00192E25" w:rsidRPr="00FB4EFA" w:rsidRDefault="00192E25" w:rsidP="00312ECF">
      <w:pPr>
        <w:pStyle w:val="Heading2"/>
        <w:numPr>
          <w:ilvl w:val="0"/>
          <w:numId w:val="5"/>
        </w:numPr>
        <w:spacing w:line="259" w:lineRule="auto"/>
        <w:rPr>
          <w:color w:val="auto"/>
          <w:lang w:val="et-EE"/>
        </w:rPr>
      </w:pPr>
      <w:r w:rsidRPr="00FB4EFA">
        <w:rPr>
          <w:color w:val="auto"/>
          <w:lang w:val="et-EE"/>
        </w:rPr>
        <w:t>Keeleteadlikkus</w:t>
      </w:r>
    </w:p>
    <w:p w14:paraId="7A8609B3" w14:textId="677BDCA1" w:rsidR="00192E25" w:rsidRPr="00FB4EFA" w:rsidRDefault="00192E25" w:rsidP="00312ECF">
      <w:pPr>
        <w:rPr>
          <w:rFonts w:cs="Times New Roman"/>
          <w:szCs w:val="24"/>
          <w:lang w:val="et-EE"/>
        </w:rPr>
      </w:pPr>
      <w:r w:rsidRPr="00FB4EFA">
        <w:rPr>
          <w:lang w:val="et-EE"/>
        </w:rPr>
        <w:t>Viimase nelja kümnendi vältel keeleomandamise uurimises kajastamist leidnud keeleteadlikkust (</w:t>
      </w:r>
      <w:r w:rsidRPr="00FB4EFA">
        <w:rPr>
          <w:i/>
          <w:iCs/>
          <w:lang w:val="et-EE"/>
        </w:rPr>
        <w:t>language awareness</w:t>
      </w:r>
      <w:r w:rsidRPr="00FB4EFA">
        <w:rPr>
          <w:lang w:val="et-EE"/>
        </w:rPr>
        <w:t xml:space="preserve">) defineeritakse teadusühingu </w:t>
      </w:r>
      <w:r w:rsidRPr="00FB4EFA">
        <w:rPr>
          <w:szCs w:val="24"/>
          <w:lang w:val="et-EE"/>
        </w:rPr>
        <w:t>Association for Language Awareness kodulehel (</w:t>
      </w:r>
      <w:hyperlink r:id="rId285" w:history="1">
        <w:r w:rsidRPr="00FB4EFA">
          <w:rPr>
            <w:rFonts w:eastAsia="Times New Roman" w:cs="Times New Roman"/>
            <w:szCs w:val="24"/>
            <w:u w:val="single"/>
            <w:lang w:val="et-EE" w:eastAsia="fi-FI"/>
          </w:rPr>
          <w:t>www.languageawareness.org/?page_id=48</w:t>
        </w:r>
      </w:hyperlink>
      <w:r w:rsidRPr="00FB4EFA">
        <w:rPr>
          <w:rFonts w:eastAsia="Times New Roman" w:cs="Times New Roman"/>
          <w:szCs w:val="24"/>
          <w:lang w:val="et-EE" w:eastAsia="fi-FI"/>
        </w:rPr>
        <w:t xml:space="preserve">) eksplitsiitse teadmisena keelest, keele teadliku tajumisena ning keeletundlikkusena keele õppimises, õpetamises ja kasutuses. Kuigi eriti ingliskeelses terminikasutuses on ühelt poolt palju sünonüümsust ja teisalt varieeruvust, näeb enamik keele õppimise uurijatest keeleteadlikkust siiski laiemana </w:t>
      </w:r>
      <w:r w:rsidRPr="00FB4EFA">
        <w:rPr>
          <w:rFonts w:eastAsia="Times New Roman" w:cs="Times New Roman"/>
          <w:i/>
          <w:iCs/>
          <w:szCs w:val="24"/>
          <w:lang w:val="et-EE" w:eastAsia="fi-FI"/>
        </w:rPr>
        <w:t xml:space="preserve">metalingvistilisest teadlikkusest </w:t>
      </w:r>
      <w:r w:rsidRPr="00FB4EFA">
        <w:rPr>
          <w:rFonts w:eastAsia="Times New Roman" w:cs="Times New Roman"/>
          <w:szCs w:val="24"/>
          <w:lang w:val="et-EE" w:eastAsia="fi-FI"/>
        </w:rPr>
        <w:t>(</w:t>
      </w:r>
      <w:r w:rsidRPr="00FB4EFA">
        <w:rPr>
          <w:rFonts w:eastAsia="Times New Roman" w:cs="Times New Roman"/>
          <w:i/>
          <w:iCs/>
          <w:szCs w:val="24"/>
          <w:lang w:val="et-EE" w:eastAsia="fi-FI"/>
        </w:rPr>
        <w:t>metalinguistic awareness</w:t>
      </w:r>
      <w:r w:rsidRPr="00FB4EFA">
        <w:rPr>
          <w:rFonts w:eastAsia="Times New Roman" w:cs="Times New Roman"/>
          <w:szCs w:val="24"/>
          <w:lang w:val="et-EE" w:eastAsia="fi-FI"/>
        </w:rPr>
        <w:t xml:space="preserve">, ka </w:t>
      </w:r>
      <w:r w:rsidRPr="00FB4EFA">
        <w:rPr>
          <w:rFonts w:eastAsia="Times New Roman" w:cs="Times New Roman"/>
          <w:i/>
          <w:iCs/>
          <w:szCs w:val="24"/>
          <w:lang w:val="et-EE" w:eastAsia="fi-FI"/>
        </w:rPr>
        <w:t xml:space="preserve">linguistic awareness </w:t>
      </w:r>
      <w:r w:rsidRPr="00FB4EFA">
        <w:rPr>
          <w:rFonts w:eastAsia="Times New Roman" w:cs="Times New Roman"/>
          <w:szCs w:val="24"/>
          <w:lang w:val="et-EE" w:eastAsia="fi-FI"/>
        </w:rPr>
        <w:t xml:space="preserve">ja </w:t>
      </w:r>
      <w:r w:rsidR="00153BA0" w:rsidRPr="00FB4EFA">
        <w:rPr>
          <w:rFonts w:eastAsia="Times New Roman" w:cs="Times New Roman"/>
          <w:szCs w:val="24"/>
          <w:lang w:val="et-EE" w:eastAsia="fi-FI"/>
        </w:rPr>
        <w:br/>
      </w:r>
      <w:r w:rsidRPr="00FB4EFA">
        <w:rPr>
          <w:rFonts w:eastAsia="Times New Roman" w:cs="Times New Roman"/>
          <w:i/>
          <w:iCs/>
          <w:szCs w:val="24"/>
          <w:lang w:val="et-EE" w:eastAsia="fi-FI"/>
        </w:rPr>
        <w:t>metalinguistic knowledge</w:t>
      </w:r>
      <w:r w:rsidRPr="00FB4EFA">
        <w:rPr>
          <w:rFonts w:eastAsia="Times New Roman" w:cs="Times New Roman"/>
          <w:szCs w:val="24"/>
          <w:lang w:val="et-EE" w:eastAsia="fi-FI"/>
        </w:rPr>
        <w:t xml:space="preserve">; vt nt Roehr 2007, Cenoz &amp; Corter 2017, </w:t>
      </w:r>
      <w:r w:rsidRPr="00FB4EFA">
        <w:rPr>
          <w:rFonts w:cs="Times New Roman"/>
          <w:szCs w:val="24"/>
          <w:lang w:val="et-EE"/>
        </w:rPr>
        <w:t xml:space="preserve">Andersen &amp; Ruohotie-Lyhty 2019), mis keskendub teadlikkusele keelest kui süsteemist, keelestruktuuridest ning grammatika- ja keelekasutusreeglitest (Latomaa jt 2017: 13, Sopanen 2018), aga ka vormi ja tähenduse seostest (Jessner 2014: 177). Niisiis hõlmab metalingvistiline teadlikkus vaid ühe osa keeleteadlikkusest, eksplitsiitsed teadmised keelest. Antud artikli keskmes on keeleteadlikkuse mõlemad mõõtmed: lisaks süsteemi- ja struktuuriteadlikkusele ehk eksplitsiitsetele teadmistele keelest on oluline keele teadlik tajumine ning keeletundlikkus, mis antud uurimuses </w:t>
      </w:r>
      <w:r w:rsidRPr="00FB4EFA">
        <w:rPr>
          <w:rFonts w:cs="Times New Roman"/>
          <w:szCs w:val="24"/>
          <w:lang w:val="et-EE"/>
        </w:rPr>
        <w:lastRenderedPageBreak/>
        <w:t>väljendub keele ajaloolise, geograafilise ja sotsiaalse varieerumise tajumisena. Keeleteadlikkust nähakse seega kui võimet teadlikult peegeldada keelt ja selle olemust (nt Byalystok &amp; Ryan 1985), oskusena analüüsida ja võrrelda keelendeid, kasutada kõiki võimalikke vahendeid keele mõistmiseks ja loomeks, muu hulgas ka ilma keeleteaduslikke termineid kasutamata. Keeleteadlikkus põhineb sageli mitme keele oskusel ja kasutamisel (</w:t>
      </w:r>
      <w:r w:rsidRPr="00FB4EFA">
        <w:rPr>
          <w:rFonts w:cs="Times New Roman"/>
          <w:i/>
          <w:iCs/>
          <w:szCs w:val="24"/>
          <w:lang w:val="et-EE"/>
        </w:rPr>
        <w:t>multilingual language/(meta)linguistic awareness</w:t>
      </w:r>
      <w:r w:rsidRPr="00FB4EFA">
        <w:rPr>
          <w:rFonts w:cs="Times New Roman"/>
          <w:szCs w:val="24"/>
          <w:lang w:val="et-EE"/>
        </w:rPr>
        <w:t>) ning on tihedalt seotud mitmikpädevuse mõistega (</w:t>
      </w:r>
      <w:r w:rsidRPr="00FB4EFA">
        <w:rPr>
          <w:rFonts w:cs="Times New Roman"/>
          <w:i/>
          <w:iCs/>
          <w:szCs w:val="24"/>
          <w:lang w:val="et-EE"/>
        </w:rPr>
        <w:t>multicompetence</w:t>
      </w:r>
      <w:r w:rsidRPr="00FB4EFA">
        <w:rPr>
          <w:rFonts w:cs="Times New Roman"/>
          <w:szCs w:val="24"/>
          <w:lang w:val="et-EE"/>
        </w:rPr>
        <w:t>, Cook 2016, Dewaele 2016):</w:t>
      </w:r>
      <w:r w:rsidRPr="00FB4EFA">
        <w:rPr>
          <w:rFonts w:ascii="Verdana" w:hAnsi="Verdana"/>
          <w:sz w:val="18"/>
          <w:szCs w:val="18"/>
          <w:shd w:val="clear" w:color="auto" w:fill="FFFFFF"/>
          <w:lang w:val="et-EE"/>
        </w:rPr>
        <w:t xml:space="preserve"> </w:t>
      </w:r>
      <w:r w:rsidRPr="00FB4EFA">
        <w:rPr>
          <w:szCs w:val="24"/>
          <w:shd w:val="clear" w:color="auto" w:fill="FFFFFF"/>
          <w:lang w:val="et-EE"/>
        </w:rPr>
        <w:t>keelekasutaja tunnetuses on enam kui üks keelesüsteem, millele ta keeleainese analüüsimisel ja eri keelte väljendusvahendite võrdlemisel toetub. Ei ole siis üllatav, et uurimistulemused (Roehr 2007) osutavad tugevat seost metalingvistilise teadlikkuse ja sihtkeeleoskuse taseme vahel: mitmekeelse õppija kasutuses on enam ressursse kui õppijal, kellel puuduvad sihtkeele õppimise kogemused. Kuna keeleoskuse areng saab alguse keeltevahelise sarnasuse tunnetamisest, on oluline selgitada, millised on keeleteadlikkuse ja sarnasuse tunnetamise seosed.</w:t>
      </w:r>
    </w:p>
    <w:p w14:paraId="032F12C4" w14:textId="72577DD7" w:rsidR="00192E25" w:rsidRPr="00FB4EFA" w:rsidRDefault="00192E25" w:rsidP="00312ECF">
      <w:pPr>
        <w:ind w:firstLine="709"/>
        <w:rPr>
          <w:rFonts w:cs="Times New Roman"/>
          <w:szCs w:val="24"/>
          <w:lang w:val="et-EE"/>
        </w:rPr>
      </w:pPr>
      <w:r w:rsidRPr="00FB4EFA">
        <w:rPr>
          <w:lang w:val="et-EE"/>
        </w:rPr>
        <w:t>Traditsiooniliselt eristatakse nelja metalingvistilise teadlikkuse avaldumisvormi (Tunmer jt 1988): fonoloogia-, leksika-, süntaksi- ja pragmaatikateadlikkus. Neist kaks esimest toimivad käsikäes, võimaldades keeleüksuste segmenteerimise ja sünteesi teel keeletöötlust, st keele mõistmist ja loomet. Eriti oluline roll on fonoloogia- ja leksikateadlikkusel lugemisoskuse kujunemisel ja arenemisel. Süntaksiteadlikkus hõlmab keele struktuuri ja eeldab grammatika- ja pragmaatikareeglite rakendamist. Pragmaatika</w:t>
      </w:r>
      <w:r w:rsidR="0091121A" w:rsidRPr="00FB4EFA">
        <w:rPr>
          <w:lang w:val="et-EE"/>
        </w:rPr>
        <w:softHyphen/>
      </w:r>
      <w:r w:rsidRPr="00FB4EFA">
        <w:rPr>
          <w:lang w:val="et-EE"/>
        </w:rPr>
        <w:t>teadlikkus tähendab teadlikkust lausetevahelistest seostest ning teksti- ja kasutuskontekstist (Lena 2020). Uurimustes eesti ja soome morfoloogiliste vormide sarnasuse tunnetamisest (Kaivapalu &amp; Martin 2014, 2015, 2017) on tõusnud esile nn pindmine (</w:t>
      </w:r>
      <w:r w:rsidRPr="00FB4EFA">
        <w:rPr>
          <w:i/>
          <w:iCs/>
          <w:lang w:val="et-EE"/>
        </w:rPr>
        <w:t>surface</w:t>
      </w:r>
      <w:r w:rsidRPr="00FB4EFA">
        <w:rPr>
          <w:lang w:val="et-EE"/>
        </w:rPr>
        <w:t xml:space="preserve">) ehk fonoloogia- ja ortograafiateadlikkus, morfoloogia- ja paradigmateadlikkus ning pragmaatikateadlikkus ehk teadlikkus lähtekeele ajaloolisest, geograafilisest ja sotsiaalsest varieerumisest ning keelendite kasutuskontekstist. Nende uurimuste tulemused toetavad seega metalingvistilise teadlikkuse senist kategoriseerimist. Fonoloogia- ja ortograafiateadlikkus vastab üldjoontes fonoloogia- ja leksikateadlikkusele, teadlikkus keele ajaloolisest, geograafilisest ja sotsiaalsest varieerumisest pragmaatikateadlikkusele, kuigi on sellest antud uurimuse fookusest tulenevalt kitsam. Kuna tegemist oli morfoloogiliste vormide sarnasuse tunnetamisele </w:t>
      </w:r>
      <w:r w:rsidRPr="00FB4EFA">
        <w:rPr>
          <w:lang w:val="et-EE"/>
        </w:rPr>
        <w:lastRenderedPageBreak/>
        <w:t>keskenduva uurimusega, on küll oluline võrreldavate vormide kasutuskontekst, kuid lause- ja tekstikontekstiga seonduv jääb antud uurimusest väljapoole. Samal põhjusel, aga ka uuritavate keelte morfoloogia</w:t>
      </w:r>
      <w:r w:rsidR="0091121A" w:rsidRPr="00FB4EFA">
        <w:rPr>
          <w:lang w:val="et-EE"/>
        </w:rPr>
        <w:softHyphen/>
      </w:r>
      <w:r w:rsidRPr="00FB4EFA">
        <w:rPr>
          <w:lang w:val="et-EE"/>
        </w:rPr>
        <w:t>kesksuse ja morfoloogilise mitmekesisuse tõttu on süntaksiteadlikkuse asemel tähelepanu all morfoloogia- ja paradigmateadlikkus.</w:t>
      </w:r>
    </w:p>
    <w:p w14:paraId="3FEF8AB2" w14:textId="77777777" w:rsidR="00192E25" w:rsidRPr="00FB4EFA" w:rsidRDefault="00192E25" w:rsidP="00312ECF">
      <w:pPr>
        <w:ind w:firstLine="709"/>
        <w:rPr>
          <w:rFonts w:cs="Times New Roman"/>
          <w:szCs w:val="24"/>
          <w:lang w:val="et-EE"/>
        </w:rPr>
      </w:pPr>
      <w:r w:rsidRPr="00FB4EFA">
        <w:rPr>
          <w:lang w:val="et-EE"/>
        </w:rPr>
        <w:t xml:space="preserve">Metalingvistilise teadlikkuse kategooriate loend vastab seega üldjoontes keeletasandite loendile. </w:t>
      </w:r>
      <w:r w:rsidRPr="00FB4EFA">
        <w:rPr>
          <w:bdr w:val="none" w:sz="0" w:space="0" w:color="auto" w:frame="1"/>
          <w:lang w:val="et-EE" w:eastAsia="fi-FI"/>
        </w:rPr>
        <w:t>Kas keele struktuuri eri osad on teadlikkusele kuidagi eri viisil avatud, jääb edasise uurimise teemaks.</w:t>
      </w:r>
    </w:p>
    <w:p w14:paraId="63A8AFEC" w14:textId="77777777" w:rsidR="00192E25" w:rsidRPr="00FB4EFA" w:rsidRDefault="00192E25" w:rsidP="00312ECF">
      <w:pPr>
        <w:pStyle w:val="Heading2"/>
        <w:numPr>
          <w:ilvl w:val="0"/>
          <w:numId w:val="5"/>
        </w:numPr>
        <w:spacing w:line="259" w:lineRule="auto"/>
        <w:rPr>
          <w:color w:val="auto"/>
          <w:lang w:val="et-EE"/>
        </w:rPr>
      </w:pPr>
      <w:r w:rsidRPr="00FB4EFA">
        <w:rPr>
          <w:rFonts w:cs="Times New Roman"/>
          <w:color w:val="auto"/>
          <w:szCs w:val="24"/>
          <w:lang w:val="et-EE"/>
        </w:rPr>
        <w:t>K</w:t>
      </w:r>
      <w:r w:rsidRPr="00FB4EFA">
        <w:rPr>
          <w:color w:val="auto"/>
          <w:lang w:val="et-EE"/>
        </w:rPr>
        <w:t>eeltevahelise sarnasuse taksonoomia</w:t>
      </w:r>
    </w:p>
    <w:p w14:paraId="5971D8BC" w14:textId="2BBE1A6E" w:rsidR="00192E25" w:rsidRPr="00FB4EFA" w:rsidRDefault="00192E25" w:rsidP="00312ECF">
      <w:pPr>
        <w:rPr>
          <w:lang w:val="et-EE"/>
        </w:rPr>
      </w:pPr>
      <w:r w:rsidRPr="00FB4EFA">
        <w:rPr>
          <w:lang w:val="et-EE"/>
        </w:rPr>
        <w:t xml:space="preserve">Tuntuim keeltevahelise sarnasuse käsitlus (Ringbom 2007) teeb vahet ühelt poolt </w:t>
      </w:r>
      <w:r w:rsidRPr="00FB4EFA">
        <w:rPr>
          <w:i/>
          <w:iCs/>
          <w:lang w:val="et-EE"/>
        </w:rPr>
        <w:t>objektiivse</w:t>
      </w:r>
      <w:r w:rsidRPr="00FB4EFA">
        <w:rPr>
          <w:lang w:val="et-EE"/>
        </w:rPr>
        <w:t xml:space="preserve"> ehk </w:t>
      </w:r>
      <w:r w:rsidRPr="00FB4EFA">
        <w:rPr>
          <w:i/>
          <w:iCs/>
          <w:lang w:val="et-EE"/>
        </w:rPr>
        <w:t>tegeliku</w:t>
      </w:r>
      <w:r w:rsidRPr="00FB4EFA">
        <w:rPr>
          <w:lang w:val="et-EE"/>
        </w:rPr>
        <w:t xml:space="preserve"> ning teisalt </w:t>
      </w:r>
      <w:r w:rsidRPr="00FB4EFA">
        <w:rPr>
          <w:i/>
          <w:iCs/>
          <w:lang w:val="et-EE"/>
        </w:rPr>
        <w:t xml:space="preserve">subjektiivse </w:t>
      </w:r>
      <w:r w:rsidRPr="00FB4EFA">
        <w:rPr>
          <w:lang w:val="et-EE"/>
        </w:rPr>
        <w:t xml:space="preserve">ehk </w:t>
      </w:r>
      <w:r w:rsidRPr="00FB4EFA">
        <w:rPr>
          <w:i/>
          <w:iCs/>
          <w:lang w:val="et-EE"/>
        </w:rPr>
        <w:t xml:space="preserve">tunnetatud </w:t>
      </w:r>
      <w:r w:rsidRPr="00FB4EFA">
        <w:rPr>
          <w:lang w:val="et-EE"/>
        </w:rPr>
        <w:t xml:space="preserve">ja </w:t>
      </w:r>
      <w:r w:rsidRPr="00FB4EFA">
        <w:rPr>
          <w:i/>
          <w:iCs/>
          <w:lang w:val="et-EE"/>
        </w:rPr>
        <w:t>oletatava sarnasuse</w:t>
      </w:r>
      <w:r w:rsidRPr="00FB4EFA">
        <w:rPr>
          <w:lang w:val="et-EE"/>
        </w:rPr>
        <w:t xml:space="preserve"> vahel (põhjalikumat eestikeelset ülevaadet keeltevahelise sarnasuse mõistetest ja terminitest vt Kaivapalu &amp; Martin </w:t>
      </w:r>
      <w:r w:rsidRPr="00FB4EFA">
        <w:rPr>
          <w:rFonts w:cs="Charis SIL"/>
          <w:lang w:val="et-EE"/>
        </w:rPr>
        <w:t>2015: 76</w:t>
      </w:r>
      <w:r w:rsidR="00B738EB" w:rsidRPr="00FB4EFA">
        <w:rPr>
          <w:rFonts w:cs="Charis SIL"/>
          <w:lang w:val="et-EE"/>
        </w:rPr>
        <w:t>–</w:t>
      </w:r>
      <w:r w:rsidRPr="00FB4EFA">
        <w:rPr>
          <w:rFonts w:cs="Charis SIL"/>
          <w:lang w:val="et-EE"/>
        </w:rPr>
        <w:t>78). Tegelik sarnasus on lingvistiline mõiste ning peegeldab keelesüsteemide sarnasust. Tegelik sarnasus on sümmeetriline, st keel A on keelega B</w:t>
      </w:r>
      <w:r w:rsidRPr="00FB4EFA">
        <w:rPr>
          <w:lang w:val="et-EE"/>
        </w:rPr>
        <w:t xml:space="preserve"> sama sarnane kui keel B keelega A, ega muutu ajas koos keeleoskuse arenguga (Ringbom &amp; Jarvis 2009: 107). Tunnetatud sarnasus väljendab keeleõppija vaatenurka ning on seega psühholingvistiline ilming. Tunnetatud sarnasus ei tarvitse tingimata olla sümmeetriline: keele A kasutajal võib sarnasuse tunnetamine keelte A ja B vahel olla hõlpsam kui keele B kasutajal. Lisaks on tunnetatud sarnasus väga individuaalne ning sõltub õppija isiksuseomadustest, varasemast keeleõppekogemusest, sihtkeeleoskuse tasemest ja paljudest muudest teguritest. Tunnetatud sarnasus on oluline eelkõige sihtkeele mõistmisel, tunnetatud sarnasusel põhinev oletatav sarnasus aga keeleloomes. On märkimisväärne, et kuigi kontseptuaalsel tasandil räägitakse enamasti keele kui terviku sarnasusest teise keele kui tervikuga, siis operatsionaliseerimisel realiseerub keeltevaheline sarnasus keelendite või mallide sarnasusena. Käesolevas artiklis keskendutakse morfoloogiliste vormide ja muutemallide sarnasusele.</w:t>
      </w:r>
    </w:p>
    <w:p w14:paraId="7F9482A1" w14:textId="6750305B" w:rsidR="00192E25" w:rsidRPr="00FB4EFA" w:rsidRDefault="00192E25" w:rsidP="00312ECF">
      <w:pPr>
        <w:ind w:firstLine="709"/>
        <w:rPr>
          <w:lang w:val="et-EE"/>
        </w:rPr>
      </w:pPr>
      <w:r w:rsidRPr="00FB4EFA">
        <w:rPr>
          <w:lang w:val="et-EE"/>
        </w:rPr>
        <w:t>Tunnetatud sarnasuse kõige olulisem mõõde on keeltevahelise sarnasuse aste, kontiinum sarnasusest nullsuhteni (Ringbom 2007: 5</w:t>
      </w:r>
      <w:r w:rsidR="00B738EB" w:rsidRPr="00FB4EFA">
        <w:rPr>
          <w:rFonts w:cs="Times New Roman"/>
          <w:lang w:val="et-EE"/>
        </w:rPr>
        <w:t>–</w:t>
      </w:r>
      <w:r w:rsidRPr="00FB4EFA">
        <w:rPr>
          <w:lang w:val="et-EE"/>
        </w:rPr>
        <w:t xml:space="preserve">7). Sarnasussuhte korral tajutakse sihtkeele keelendit või malli formaalselt ja/või funktsionaalselt samasugusena kui lähtekeel(t)es. Ka kontiinumi </w:t>
      </w:r>
      <w:r w:rsidRPr="00FB4EFA">
        <w:rPr>
          <w:lang w:val="et-EE"/>
        </w:rPr>
        <w:lastRenderedPageBreak/>
        <w:t xml:space="preserve">teine äärmus, nullsuhe, ei tähenda, et lähte- ja sihtkeeles ei oleks midagi sarnast. Võrreldavate keelenähtuste üldistusaste võib olla lihtsalt nii kõrge, et ilma selgituste ja tähelepanu juhtimiseta ei õnnestu õppijal keeltevahelist sarnasust märgata. Sarnasus- ja nullsuhte vahele jääva kontrastisuhte korral on tegemist kahes keeles põhimõtteliselt sarnase nähtusega, kuid õppija tunnetab lähte- ja sihtkeele vahel siiski olulist erinevust. Näiteks eesti keeles muutumatu </w:t>
      </w:r>
      <w:r w:rsidRPr="00FB4EFA">
        <w:rPr>
          <w:i/>
          <w:iCs/>
          <w:lang w:val="et-EE"/>
        </w:rPr>
        <w:t>nud</w:t>
      </w:r>
      <w:r w:rsidRPr="00FB4EFA">
        <w:rPr>
          <w:lang w:val="et-EE"/>
        </w:rPr>
        <w:t xml:space="preserve">- ja soome keeles mitmuse vorme omava </w:t>
      </w:r>
      <w:r w:rsidRPr="00FB4EFA">
        <w:rPr>
          <w:i/>
          <w:iCs/>
          <w:lang w:val="et-EE"/>
        </w:rPr>
        <w:t>nUt</w:t>
      </w:r>
      <w:r w:rsidRPr="00FB4EFA">
        <w:rPr>
          <w:lang w:val="et-EE"/>
        </w:rPr>
        <w:t>-kesksõna kasutamisel võib sugulaskeele õppija olla teadlik nende keelendite sarnasest funktsioonist ja toimimisviisist, kuid siiski kogeda raskusi sihtkeelepärase vormi produtseerimisel.</w:t>
      </w:r>
    </w:p>
    <w:p w14:paraId="7F644EA0" w14:textId="77777777" w:rsidR="00192E25" w:rsidRPr="00FB4EFA" w:rsidRDefault="00192E25" w:rsidP="00312ECF">
      <w:pPr>
        <w:spacing w:after="240"/>
        <w:ind w:firstLine="709"/>
        <w:rPr>
          <w:lang w:val="et-EE"/>
        </w:rPr>
      </w:pPr>
      <w:r w:rsidRPr="00FB4EFA">
        <w:rPr>
          <w:lang w:val="et-EE"/>
        </w:rPr>
        <w:t xml:space="preserve">Tunnetatud sarnasuse täpsem mõõtmine eeldab sarnasuse ja kontrastisuhte vahele jääva kontiinumi veelgi detailsemat liigendamist, arvestades kaht parameetrit: </w:t>
      </w:r>
      <w:r w:rsidRPr="00FB4EFA">
        <w:rPr>
          <w:rFonts w:cs="Baskerville Old Face"/>
          <w:lang w:val="et-EE"/>
        </w:rPr>
        <w:t>ü</w:t>
      </w:r>
      <w:r w:rsidRPr="00FB4EFA">
        <w:rPr>
          <w:lang w:val="et-EE"/>
        </w:rPr>
        <w:t>helt poolt kahe v</w:t>
      </w:r>
      <w:r w:rsidRPr="00FB4EFA">
        <w:rPr>
          <w:rFonts w:cs="Baskerville Old Face"/>
          <w:lang w:val="et-EE"/>
        </w:rPr>
        <w:t>õ</w:t>
      </w:r>
      <w:r w:rsidRPr="00FB4EFA">
        <w:rPr>
          <w:lang w:val="et-EE"/>
        </w:rPr>
        <w:t xml:space="preserve">rreldava elemendi omavahelist kaugust ja teisalt elementide abstraktset </w:t>
      </w:r>
      <w:r w:rsidRPr="00FB4EFA">
        <w:rPr>
          <w:i/>
          <w:iCs/>
          <w:lang w:val="et-EE"/>
        </w:rPr>
        <w:t>vs.</w:t>
      </w:r>
      <w:r w:rsidRPr="00FB4EFA">
        <w:rPr>
          <w:lang w:val="et-EE"/>
        </w:rPr>
        <w:t xml:space="preserve"> konkreetset olemust (joonis 1).</w:t>
      </w:r>
    </w:p>
    <w:p w14:paraId="46293EF2" w14:textId="77777777" w:rsidR="00192E25" w:rsidRPr="00FB4EFA" w:rsidRDefault="00192E25" w:rsidP="00312ECF">
      <w:pPr>
        <w:rPr>
          <w:szCs w:val="24"/>
          <w:lang w:val="et-EE"/>
        </w:rPr>
      </w:pPr>
      <w:r w:rsidRPr="00FB4EFA">
        <w:rPr>
          <w:noProof/>
          <w:szCs w:val="24"/>
          <w:lang w:val="et-EE"/>
        </w:rPr>
        <w:drawing>
          <wp:inline distT="0" distB="0" distL="0" distR="0" wp14:anchorId="1A1FA373" wp14:editId="4ACE1F96">
            <wp:extent cx="4390390" cy="2095500"/>
            <wp:effectExtent l="0" t="0" r="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390390" cy="2095500"/>
                    </a:xfrm>
                    <a:prstGeom prst="rect">
                      <a:avLst/>
                    </a:prstGeom>
                    <a:noFill/>
                    <a:ln>
                      <a:noFill/>
                    </a:ln>
                  </pic:spPr>
                </pic:pic>
              </a:graphicData>
            </a:graphic>
          </wp:inline>
        </w:drawing>
      </w:r>
    </w:p>
    <w:p w14:paraId="37609644" w14:textId="096FE21C" w:rsidR="00192E25" w:rsidRPr="00FB4EFA" w:rsidRDefault="00192E25" w:rsidP="00312ECF">
      <w:pPr>
        <w:suppressAutoHyphens/>
        <w:spacing w:before="120" w:after="240" w:line="240" w:lineRule="auto"/>
        <w:jc w:val="center"/>
        <w:rPr>
          <w:bCs/>
          <w:sz w:val="18"/>
          <w:szCs w:val="18"/>
          <w:lang w:val="et-EE"/>
        </w:rPr>
      </w:pPr>
      <w:r w:rsidRPr="00FB4EFA">
        <w:rPr>
          <w:b/>
          <w:sz w:val="18"/>
          <w:szCs w:val="18"/>
          <w:lang w:val="et-EE"/>
        </w:rPr>
        <w:t>Joonis 1</w:t>
      </w:r>
      <w:r w:rsidRPr="00FB4EFA">
        <w:rPr>
          <w:bCs/>
          <w:sz w:val="18"/>
          <w:szCs w:val="18"/>
          <w:lang w:val="et-EE"/>
        </w:rPr>
        <w:t>: Keeltevahelise sarnasuse taksonoomia sarnasussuhtest kontrastisuhteni (Kaivapalu &amp; Martin 2014: 288</w:t>
      </w:r>
      <w:r w:rsidR="00B738EB" w:rsidRPr="00FB4EFA">
        <w:rPr>
          <w:bCs/>
          <w:sz w:val="18"/>
          <w:szCs w:val="18"/>
          <w:lang w:val="et-EE"/>
        </w:rPr>
        <w:t>–</w:t>
      </w:r>
      <w:r w:rsidRPr="00FB4EFA">
        <w:rPr>
          <w:bCs/>
          <w:sz w:val="18"/>
          <w:szCs w:val="18"/>
          <w:lang w:val="et-EE"/>
        </w:rPr>
        <w:t>290)</w:t>
      </w:r>
    </w:p>
    <w:p w14:paraId="0F718C11" w14:textId="7079972C" w:rsidR="00192E25" w:rsidRPr="00FB4EFA" w:rsidRDefault="00192E25" w:rsidP="00312ECF">
      <w:pPr>
        <w:rPr>
          <w:rFonts w:cs="Charis SIL"/>
          <w:lang w:val="et-EE"/>
        </w:rPr>
      </w:pPr>
      <w:r w:rsidRPr="00FB4EFA">
        <w:rPr>
          <w:lang w:val="et-EE"/>
        </w:rPr>
        <w:t xml:space="preserve">Joonisel kujutatud konkreetse elemendi ja abstraktse suhte opositsioon on võrreldav Ringbomi (2007: 54–58) </w:t>
      </w:r>
      <w:r w:rsidRPr="00FB4EFA">
        <w:rPr>
          <w:i/>
          <w:iCs/>
          <w:lang w:val="et-EE"/>
        </w:rPr>
        <w:t>elemendi</w:t>
      </w:r>
      <w:r w:rsidRPr="00FB4EFA">
        <w:rPr>
          <w:lang w:val="et-EE"/>
        </w:rPr>
        <w:t xml:space="preserve"> (</w:t>
      </w:r>
      <w:r w:rsidRPr="00FB4EFA">
        <w:rPr>
          <w:i/>
          <w:iCs/>
          <w:lang w:val="et-EE"/>
        </w:rPr>
        <w:t>item</w:t>
      </w:r>
      <w:r w:rsidRPr="00FB4EFA">
        <w:rPr>
          <w:lang w:val="et-EE"/>
        </w:rPr>
        <w:t xml:space="preserve">) ja </w:t>
      </w:r>
      <w:r w:rsidRPr="00FB4EFA">
        <w:rPr>
          <w:i/>
          <w:iCs/>
          <w:lang w:val="et-EE"/>
        </w:rPr>
        <w:t>süsteemi</w:t>
      </w:r>
      <w:r w:rsidRPr="00FB4EFA">
        <w:rPr>
          <w:lang w:val="et-EE"/>
        </w:rPr>
        <w:t xml:space="preserve"> (</w:t>
      </w:r>
      <w:r w:rsidRPr="00FB4EFA">
        <w:rPr>
          <w:i/>
          <w:iCs/>
          <w:lang w:val="et-EE"/>
        </w:rPr>
        <w:t>system</w:t>
      </w:r>
      <w:r w:rsidRPr="00FB4EFA">
        <w:rPr>
          <w:lang w:val="et-EE"/>
        </w:rPr>
        <w:t>)</w:t>
      </w:r>
      <w:r w:rsidRPr="00FB4EFA">
        <w:rPr>
          <w:i/>
          <w:iCs/>
          <w:lang w:val="et-EE"/>
        </w:rPr>
        <w:t xml:space="preserve"> </w:t>
      </w:r>
      <w:r w:rsidRPr="00FB4EFA">
        <w:rPr>
          <w:lang w:val="et-EE"/>
        </w:rPr>
        <w:t>ülekandega. Element</w:t>
      </w:r>
      <w:r w:rsidRPr="00FB4EFA">
        <w:rPr>
          <w:i/>
          <w:iCs/>
          <w:lang w:val="et-EE"/>
        </w:rPr>
        <w:t xml:space="preserve"> </w:t>
      </w:r>
      <w:r w:rsidRPr="00FB4EFA">
        <w:rPr>
          <w:lang w:val="et-EE"/>
        </w:rPr>
        <w:t>märgib individuaalset materiaalset keeleüksust (nt häälik, täht, morfeem, sõna, fraas, lause) ning süsteem</w:t>
      </w:r>
      <w:r w:rsidRPr="00FB4EFA">
        <w:rPr>
          <w:i/>
          <w:iCs/>
          <w:lang w:val="et-EE"/>
        </w:rPr>
        <w:t xml:space="preserve"> </w:t>
      </w:r>
      <w:r w:rsidRPr="00FB4EFA">
        <w:rPr>
          <w:lang w:val="et-EE"/>
        </w:rPr>
        <w:t>on määratletud vormide paradigmaatilise ja süntagmaatilise organiseerimise, aga ka tähenduste ja vormide seostamise põhimõtete võrgustikuna. Konkreetne visuaalne või auditiivne sarnasus lähte- ja sihtkeele elemen</w:t>
      </w:r>
      <w:r w:rsidRPr="00FB4EFA">
        <w:rPr>
          <w:lang w:val="et-EE"/>
        </w:rPr>
        <w:lastRenderedPageBreak/>
        <w:t>tide vahel loob eelduse hääliku, sõna, tähenduse jne ülekandeks. Elementide sarnasuse tunnetamiseks peavad kahe keele hääliku- või tähejärjendid olema õppijale korraga kättesaadavad, et neid oleks võimalik kognitiivselt seostada. Elementide sarnasus ei ole üldjuhul piisav selleks, et tunnetada keelesüsteemide sarnasust, mis hõlbustab tunduvalt sihtkeele kasutust ning on seetõttu sageli eksplitsiitse õpetamise objekt. Piisava kokkupuute korral sihtkeelega võivad õppijad tunnetada ka keelesüsteemide sarnasust, kuid võime seda teha varieerub indiviiditi (</w:t>
      </w:r>
      <w:r w:rsidRPr="00FB4EFA">
        <w:rPr>
          <w:rFonts w:cs="Charis SIL"/>
          <w:lang w:val="et-EE"/>
        </w:rPr>
        <w:t>Kaivapalu &amp; Martin 2015: 80</w:t>
      </w:r>
      <w:r w:rsidR="00B738EB" w:rsidRPr="00FB4EFA">
        <w:rPr>
          <w:rFonts w:cs="Charis SIL"/>
          <w:lang w:val="et-EE"/>
        </w:rPr>
        <w:t>–</w:t>
      </w:r>
      <w:r w:rsidRPr="00FB4EFA">
        <w:rPr>
          <w:rFonts w:cs="Charis SIL"/>
          <w:lang w:val="et-EE"/>
        </w:rPr>
        <w:t>81)</w:t>
      </w:r>
      <w:r w:rsidR="00A75644" w:rsidRPr="00FB4EFA">
        <w:rPr>
          <w:rFonts w:cs="Charis SIL"/>
          <w:lang w:val="et-EE"/>
        </w:rPr>
        <w:t>.</w:t>
      </w:r>
    </w:p>
    <w:p w14:paraId="12172818" w14:textId="77777777" w:rsidR="00192E25" w:rsidRPr="00FB4EFA" w:rsidRDefault="00192E25" w:rsidP="00312ECF">
      <w:pPr>
        <w:ind w:firstLine="720"/>
        <w:rPr>
          <w:lang w:val="et-EE"/>
        </w:rPr>
      </w:pPr>
      <w:r w:rsidRPr="00FB4EFA">
        <w:rPr>
          <w:rFonts w:cs="Charis SIL"/>
          <w:lang w:val="et-EE"/>
        </w:rPr>
        <w:t>Eri tüüpi sarnasuse tunnetamine nõuab erinevaid tunnetuslikke ressursse ja oletatavasti ka eri laadi keeleteadlikkust. Ortograafilise</w:t>
      </w:r>
      <w:r w:rsidRPr="00FB4EFA">
        <w:rPr>
          <w:lang w:val="et-EE"/>
        </w:rPr>
        <w:t xml:space="preserve"> sarnasuse tunnetamisel vajatakse teistsugust kognitiivset võimekust ja oskusi ning keeleteadlikkust kui fonoloogilise sarnasuse tunnetamisel: kirjalikus keelekasutuses on võimalik loetu juurde tagasi tulla ja see uuesti üle lugeda, suulises keelekasutuses üldjuhul mitte. Morfoloogiateadlikkus võib piirduda morfoloogia kategooriate ja vormide funktsioonidega, aga hõlmata ka laiemat üldistusoskust eeldavat teadlikkust muuteparadigmast, pragmaatikateadlikkus sisaldada lisaks üldkeelele teadmisi muudest allkeeltest ja keelendite kasutuskontekstidest.</w:t>
      </w:r>
    </w:p>
    <w:p w14:paraId="1D69D1E0" w14:textId="77777777" w:rsidR="00192E25" w:rsidRPr="00FB4EFA" w:rsidRDefault="00192E25" w:rsidP="00312ECF">
      <w:pPr>
        <w:pStyle w:val="Heading2"/>
        <w:numPr>
          <w:ilvl w:val="0"/>
          <w:numId w:val="5"/>
        </w:numPr>
        <w:spacing w:line="259" w:lineRule="auto"/>
        <w:rPr>
          <w:color w:val="auto"/>
          <w:lang w:val="et-EE"/>
        </w:rPr>
      </w:pPr>
      <w:r w:rsidRPr="00FB4EFA">
        <w:rPr>
          <w:color w:val="auto"/>
          <w:lang w:val="et-EE"/>
        </w:rPr>
        <w:t>Uurimismaterjal ja meetod</w:t>
      </w:r>
    </w:p>
    <w:p w14:paraId="005C3F86" w14:textId="38607950" w:rsidR="00192E25" w:rsidRPr="00FB4EFA" w:rsidRDefault="00192E25" w:rsidP="00312ECF">
      <w:pPr>
        <w:spacing w:after="240"/>
        <w:rPr>
          <w:lang w:val="et-EE"/>
        </w:rPr>
      </w:pPr>
      <w:r w:rsidRPr="00FB4EFA">
        <w:rPr>
          <w:lang w:val="et-EE"/>
        </w:rPr>
        <w:t>Käesoleva analüüsi aluseks olev uurimismaterjal on kogutud teadvustatud tunnetatud keeltevahelist sarnasust mõõtva tajutesti abil (vt testist lähemalt eesti keeles Kaivapalu &amp; Martin 2015). Test sisaldas 48 paari eesti ja soome keeles sama või lähedase tähendusega ning samas käändevormis sõnu, mida uurimuses osalejatel paluti hinnata kolmeastmelisel Likerti skaalal täiesti sarnaseks, üsna sarnaseks või erinevaks. Uurimuses osales neli sihtrühma (tabel 1):</w:t>
      </w:r>
    </w:p>
    <w:tbl>
      <w:tblPr>
        <w:tblW w:w="0" w:type="auto"/>
        <w:tblBorders>
          <w:insideH w:val="single" w:sz="4" w:space="0" w:color="auto"/>
          <w:insideV w:val="single" w:sz="4" w:space="0" w:color="auto"/>
        </w:tblBorders>
        <w:tblLook w:val="04A0" w:firstRow="1" w:lastRow="0" w:firstColumn="1" w:lastColumn="0" w:noHBand="0" w:noVBand="1"/>
      </w:tblPr>
      <w:tblGrid>
        <w:gridCol w:w="2263"/>
        <w:gridCol w:w="1701"/>
        <w:gridCol w:w="1418"/>
        <w:gridCol w:w="1522"/>
      </w:tblGrid>
      <w:tr w:rsidR="00FB4EFA" w:rsidRPr="00FB4EFA" w14:paraId="32452CA3" w14:textId="77777777" w:rsidTr="00A72143">
        <w:tc>
          <w:tcPr>
            <w:tcW w:w="2263" w:type="dxa"/>
            <w:tcBorders>
              <w:top w:val="nil"/>
              <w:bottom w:val="single" w:sz="12" w:space="0" w:color="auto"/>
              <w:right w:val="single" w:sz="12" w:space="0" w:color="auto"/>
            </w:tcBorders>
          </w:tcPr>
          <w:p w14:paraId="6DFDBA70" w14:textId="77777777" w:rsidR="00192E25" w:rsidRPr="00FB4EFA" w:rsidRDefault="00192E25" w:rsidP="00312ECF">
            <w:pPr>
              <w:spacing w:line="240" w:lineRule="auto"/>
              <w:rPr>
                <w:b/>
                <w:bCs/>
                <w:lang w:val="et-EE"/>
              </w:rPr>
            </w:pPr>
            <w:r w:rsidRPr="00FB4EFA">
              <w:rPr>
                <w:b/>
                <w:bCs/>
                <w:lang w:val="et-EE"/>
              </w:rPr>
              <w:t>Rühm</w:t>
            </w:r>
          </w:p>
        </w:tc>
        <w:tc>
          <w:tcPr>
            <w:tcW w:w="1701" w:type="dxa"/>
            <w:tcBorders>
              <w:top w:val="nil"/>
              <w:left w:val="single" w:sz="12" w:space="0" w:color="auto"/>
              <w:bottom w:val="single" w:sz="12" w:space="0" w:color="auto"/>
            </w:tcBorders>
          </w:tcPr>
          <w:p w14:paraId="39E654D3" w14:textId="77777777" w:rsidR="00192E25" w:rsidRPr="00FB4EFA" w:rsidRDefault="00192E25" w:rsidP="00312ECF">
            <w:pPr>
              <w:spacing w:line="240" w:lineRule="auto"/>
              <w:rPr>
                <w:b/>
                <w:bCs/>
                <w:lang w:val="et-EE"/>
              </w:rPr>
            </w:pPr>
            <w:r w:rsidRPr="00FB4EFA">
              <w:rPr>
                <w:b/>
                <w:bCs/>
                <w:lang w:val="et-EE"/>
              </w:rPr>
              <w:t>Osalenute arv</w:t>
            </w:r>
          </w:p>
        </w:tc>
        <w:tc>
          <w:tcPr>
            <w:tcW w:w="1418" w:type="dxa"/>
            <w:tcBorders>
              <w:top w:val="nil"/>
              <w:bottom w:val="single" w:sz="12" w:space="0" w:color="auto"/>
            </w:tcBorders>
          </w:tcPr>
          <w:p w14:paraId="5450E75C" w14:textId="77777777" w:rsidR="00192E25" w:rsidRPr="00FB4EFA" w:rsidRDefault="00192E25" w:rsidP="00312ECF">
            <w:pPr>
              <w:spacing w:line="240" w:lineRule="auto"/>
              <w:rPr>
                <w:b/>
                <w:bCs/>
                <w:lang w:val="et-EE"/>
              </w:rPr>
            </w:pPr>
            <w:r w:rsidRPr="00FB4EFA">
              <w:rPr>
                <w:b/>
                <w:bCs/>
                <w:lang w:val="et-EE"/>
              </w:rPr>
              <w:t>K1</w:t>
            </w:r>
          </w:p>
        </w:tc>
        <w:tc>
          <w:tcPr>
            <w:tcW w:w="1522" w:type="dxa"/>
            <w:tcBorders>
              <w:top w:val="nil"/>
              <w:bottom w:val="single" w:sz="12" w:space="0" w:color="auto"/>
            </w:tcBorders>
          </w:tcPr>
          <w:p w14:paraId="3EC8A3EA" w14:textId="77777777" w:rsidR="00192E25" w:rsidRPr="00FB4EFA" w:rsidRDefault="00192E25" w:rsidP="00312ECF">
            <w:pPr>
              <w:spacing w:line="240" w:lineRule="auto"/>
              <w:rPr>
                <w:b/>
                <w:bCs/>
                <w:lang w:val="et-EE"/>
              </w:rPr>
            </w:pPr>
            <w:r w:rsidRPr="00FB4EFA">
              <w:rPr>
                <w:b/>
                <w:bCs/>
                <w:lang w:val="et-EE"/>
              </w:rPr>
              <w:t>K2</w:t>
            </w:r>
          </w:p>
        </w:tc>
      </w:tr>
      <w:tr w:rsidR="00FB4EFA" w:rsidRPr="00FB4EFA" w14:paraId="003B496E" w14:textId="77777777" w:rsidTr="00A72143">
        <w:tc>
          <w:tcPr>
            <w:tcW w:w="2263" w:type="dxa"/>
            <w:tcBorders>
              <w:top w:val="single" w:sz="12" w:space="0" w:color="auto"/>
              <w:right w:val="single" w:sz="12" w:space="0" w:color="auto"/>
            </w:tcBorders>
          </w:tcPr>
          <w:p w14:paraId="22CE40E2" w14:textId="77777777" w:rsidR="00192E25" w:rsidRPr="00FB4EFA" w:rsidRDefault="00192E25" w:rsidP="00312ECF">
            <w:pPr>
              <w:spacing w:line="240" w:lineRule="auto"/>
              <w:rPr>
                <w:lang w:val="et-EE"/>
              </w:rPr>
            </w:pPr>
            <w:r w:rsidRPr="00FB4EFA">
              <w:rPr>
                <w:lang w:val="et-EE"/>
              </w:rPr>
              <w:t>Eestlased (E)</w:t>
            </w:r>
          </w:p>
        </w:tc>
        <w:tc>
          <w:tcPr>
            <w:tcW w:w="1701" w:type="dxa"/>
            <w:tcBorders>
              <w:top w:val="single" w:sz="12" w:space="0" w:color="auto"/>
              <w:left w:val="single" w:sz="12" w:space="0" w:color="auto"/>
            </w:tcBorders>
          </w:tcPr>
          <w:p w14:paraId="5D9BE582" w14:textId="77777777" w:rsidR="00192E25" w:rsidRPr="00FB4EFA" w:rsidRDefault="00192E25" w:rsidP="00312ECF">
            <w:pPr>
              <w:spacing w:line="240" w:lineRule="auto"/>
              <w:rPr>
                <w:lang w:val="et-EE"/>
              </w:rPr>
            </w:pPr>
            <w:r w:rsidRPr="00FB4EFA">
              <w:rPr>
                <w:lang w:val="et-EE"/>
              </w:rPr>
              <w:t>109</w:t>
            </w:r>
          </w:p>
        </w:tc>
        <w:tc>
          <w:tcPr>
            <w:tcW w:w="1418" w:type="dxa"/>
            <w:tcBorders>
              <w:top w:val="single" w:sz="12" w:space="0" w:color="auto"/>
            </w:tcBorders>
          </w:tcPr>
          <w:p w14:paraId="40C08A09" w14:textId="77777777" w:rsidR="00192E25" w:rsidRPr="00FB4EFA" w:rsidRDefault="00192E25" w:rsidP="00312ECF">
            <w:pPr>
              <w:spacing w:line="240" w:lineRule="auto"/>
              <w:rPr>
                <w:lang w:val="et-EE"/>
              </w:rPr>
            </w:pPr>
            <w:r w:rsidRPr="00FB4EFA">
              <w:rPr>
                <w:lang w:val="et-EE"/>
              </w:rPr>
              <w:t>eesti</w:t>
            </w:r>
          </w:p>
        </w:tc>
        <w:tc>
          <w:tcPr>
            <w:tcW w:w="1522" w:type="dxa"/>
            <w:tcBorders>
              <w:top w:val="single" w:sz="12" w:space="0" w:color="auto"/>
            </w:tcBorders>
          </w:tcPr>
          <w:p w14:paraId="357C64FF" w14:textId="77777777" w:rsidR="00192E25" w:rsidRPr="00FB4EFA" w:rsidRDefault="00192E25" w:rsidP="00312ECF">
            <w:pPr>
              <w:spacing w:line="240" w:lineRule="auto"/>
              <w:rPr>
                <w:lang w:val="et-EE"/>
              </w:rPr>
            </w:pPr>
          </w:p>
        </w:tc>
      </w:tr>
      <w:tr w:rsidR="00FB4EFA" w:rsidRPr="00FB4EFA" w14:paraId="13A8A3BC" w14:textId="77777777" w:rsidTr="00A72143">
        <w:tc>
          <w:tcPr>
            <w:tcW w:w="2263" w:type="dxa"/>
            <w:tcBorders>
              <w:right w:val="single" w:sz="12" w:space="0" w:color="auto"/>
            </w:tcBorders>
          </w:tcPr>
          <w:p w14:paraId="7D7CBCAD" w14:textId="77777777" w:rsidR="00192E25" w:rsidRPr="00FB4EFA" w:rsidRDefault="00192E25" w:rsidP="00312ECF">
            <w:pPr>
              <w:spacing w:line="240" w:lineRule="auto"/>
              <w:rPr>
                <w:lang w:val="et-EE"/>
              </w:rPr>
            </w:pPr>
            <w:r w:rsidRPr="00FB4EFA">
              <w:rPr>
                <w:lang w:val="et-EE"/>
              </w:rPr>
              <w:t>Eestivenelased (V)</w:t>
            </w:r>
          </w:p>
        </w:tc>
        <w:tc>
          <w:tcPr>
            <w:tcW w:w="1701" w:type="dxa"/>
            <w:tcBorders>
              <w:left w:val="single" w:sz="12" w:space="0" w:color="auto"/>
            </w:tcBorders>
          </w:tcPr>
          <w:p w14:paraId="355F3023" w14:textId="77777777" w:rsidR="00192E25" w:rsidRPr="00FB4EFA" w:rsidRDefault="00192E25" w:rsidP="00312ECF">
            <w:pPr>
              <w:spacing w:line="240" w:lineRule="auto"/>
              <w:rPr>
                <w:lang w:val="et-EE"/>
              </w:rPr>
            </w:pPr>
            <w:r w:rsidRPr="00FB4EFA">
              <w:rPr>
                <w:lang w:val="et-EE"/>
              </w:rPr>
              <w:t>80</w:t>
            </w:r>
          </w:p>
        </w:tc>
        <w:tc>
          <w:tcPr>
            <w:tcW w:w="1418" w:type="dxa"/>
          </w:tcPr>
          <w:p w14:paraId="1FC6772C" w14:textId="77777777" w:rsidR="00192E25" w:rsidRPr="00FB4EFA" w:rsidRDefault="00192E25" w:rsidP="00312ECF">
            <w:pPr>
              <w:spacing w:line="240" w:lineRule="auto"/>
              <w:rPr>
                <w:lang w:val="et-EE"/>
              </w:rPr>
            </w:pPr>
            <w:r w:rsidRPr="00FB4EFA">
              <w:rPr>
                <w:lang w:val="et-EE"/>
              </w:rPr>
              <w:t>vene</w:t>
            </w:r>
          </w:p>
        </w:tc>
        <w:tc>
          <w:tcPr>
            <w:tcW w:w="1522" w:type="dxa"/>
          </w:tcPr>
          <w:p w14:paraId="1BD69F44" w14:textId="77777777" w:rsidR="00192E25" w:rsidRPr="00FB4EFA" w:rsidRDefault="00192E25" w:rsidP="00312ECF">
            <w:pPr>
              <w:spacing w:line="240" w:lineRule="auto"/>
              <w:rPr>
                <w:lang w:val="et-EE"/>
              </w:rPr>
            </w:pPr>
            <w:r w:rsidRPr="00FB4EFA">
              <w:rPr>
                <w:lang w:val="et-EE"/>
              </w:rPr>
              <w:t>eesti</w:t>
            </w:r>
          </w:p>
        </w:tc>
      </w:tr>
      <w:tr w:rsidR="00FB4EFA" w:rsidRPr="00FB4EFA" w14:paraId="38287CE5" w14:textId="77777777" w:rsidTr="00A72143">
        <w:tc>
          <w:tcPr>
            <w:tcW w:w="2263" w:type="dxa"/>
            <w:tcBorders>
              <w:right w:val="single" w:sz="12" w:space="0" w:color="auto"/>
            </w:tcBorders>
          </w:tcPr>
          <w:p w14:paraId="479E2755" w14:textId="77777777" w:rsidR="00192E25" w:rsidRPr="00FB4EFA" w:rsidRDefault="00192E25" w:rsidP="00312ECF">
            <w:pPr>
              <w:spacing w:line="240" w:lineRule="auto"/>
              <w:rPr>
                <w:lang w:val="et-EE"/>
              </w:rPr>
            </w:pPr>
            <w:r w:rsidRPr="00FB4EFA">
              <w:rPr>
                <w:lang w:val="et-EE"/>
              </w:rPr>
              <w:t>Soomlased (S)</w:t>
            </w:r>
          </w:p>
        </w:tc>
        <w:tc>
          <w:tcPr>
            <w:tcW w:w="1701" w:type="dxa"/>
            <w:tcBorders>
              <w:left w:val="single" w:sz="12" w:space="0" w:color="auto"/>
            </w:tcBorders>
          </w:tcPr>
          <w:p w14:paraId="1957BF06" w14:textId="77777777" w:rsidR="00192E25" w:rsidRPr="00FB4EFA" w:rsidRDefault="00192E25" w:rsidP="00312ECF">
            <w:pPr>
              <w:spacing w:line="240" w:lineRule="auto"/>
              <w:rPr>
                <w:lang w:val="et-EE"/>
              </w:rPr>
            </w:pPr>
            <w:r w:rsidRPr="00FB4EFA">
              <w:rPr>
                <w:lang w:val="et-EE"/>
              </w:rPr>
              <w:t>115</w:t>
            </w:r>
          </w:p>
        </w:tc>
        <w:tc>
          <w:tcPr>
            <w:tcW w:w="1418" w:type="dxa"/>
          </w:tcPr>
          <w:p w14:paraId="5648062C" w14:textId="77777777" w:rsidR="00192E25" w:rsidRPr="00FB4EFA" w:rsidRDefault="00192E25" w:rsidP="00312ECF">
            <w:pPr>
              <w:spacing w:line="240" w:lineRule="auto"/>
              <w:rPr>
                <w:lang w:val="et-EE"/>
              </w:rPr>
            </w:pPr>
            <w:r w:rsidRPr="00FB4EFA">
              <w:rPr>
                <w:lang w:val="et-EE"/>
              </w:rPr>
              <w:t>soome</w:t>
            </w:r>
          </w:p>
        </w:tc>
        <w:tc>
          <w:tcPr>
            <w:tcW w:w="1522" w:type="dxa"/>
          </w:tcPr>
          <w:p w14:paraId="24219A48" w14:textId="77777777" w:rsidR="00192E25" w:rsidRPr="00FB4EFA" w:rsidRDefault="00192E25" w:rsidP="00312ECF">
            <w:pPr>
              <w:spacing w:line="240" w:lineRule="auto"/>
              <w:rPr>
                <w:lang w:val="et-EE"/>
              </w:rPr>
            </w:pPr>
          </w:p>
        </w:tc>
      </w:tr>
      <w:tr w:rsidR="00FB4EFA" w:rsidRPr="00FB4EFA" w14:paraId="1D99684B" w14:textId="77777777" w:rsidTr="00A72143">
        <w:tc>
          <w:tcPr>
            <w:tcW w:w="2263" w:type="dxa"/>
            <w:tcBorders>
              <w:bottom w:val="nil"/>
              <w:right w:val="single" w:sz="12" w:space="0" w:color="auto"/>
            </w:tcBorders>
          </w:tcPr>
          <w:p w14:paraId="044C34A3" w14:textId="77777777" w:rsidR="00192E25" w:rsidRPr="00FB4EFA" w:rsidRDefault="00192E25" w:rsidP="00312ECF">
            <w:pPr>
              <w:spacing w:line="240" w:lineRule="auto"/>
              <w:rPr>
                <w:lang w:val="et-EE"/>
              </w:rPr>
            </w:pPr>
            <w:r w:rsidRPr="00FB4EFA">
              <w:rPr>
                <w:lang w:val="et-EE"/>
              </w:rPr>
              <w:t>Soomerootslased (R)</w:t>
            </w:r>
          </w:p>
        </w:tc>
        <w:tc>
          <w:tcPr>
            <w:tcW w:w="1701" w:type="dxa"/>
            <w:tcBorders>
              <w:left w:val="single" w:sz="12" w:space="0" w:color="auto"/>
            </w:tcBorders>
          </w:tcPr>
          <w:p w14:paraId="7A8C03B7" w14:textId="77777777" w:rsidR="00192E25" w:rsidRPr="00FB4EFA" w:rsidRDefault="00192E25" w:rsidP="00312ECF">
            <w:pPr>
              <w:spacing w:line="240" w:lineRule="auto"/>
              <w:rPr>
                <w:lang w:val="et-EE"/>
              </w:rPr>
            </w:pPr>
            <w:r w:rsidRPr="00FB4EFA">
              <w:rPr>
                <w:lang w:val="et-EE"/>
              </w:rPr>
              <w:t>108</w:t>
            </w:r>
          </w:p>
        </w:tc>
        <w:tc>
          <w:tcPr>
            <w:tcW w:w="1418" w:type="dxa"/>
          </w:tcPr>
          <w:p w14:paraId="68776DA7" w14:textId="77777777" w:rsidR="00192E25" w:rsidRPr="00FB4EFA" w:rsidRDefault="00192E25" w:rsidP="00312ECF">
            <w:pPr>
              <w:spacing w:line="240" w:lineRule="auto"/>
              <w:rPr>
                <w:lang w:val="et-EE"/>
              </w:rPr>
            </w:pPr>
            <w:r w:rsidRPr="00FB4EFA">
              <w:rPr>
                <w:lang w:val="et-EE"/>
              </w:rPr>
              <w:t>rootsi</w:t>
            </w:r>
          </w:p>
        </w:tc>
        <w:tc>
          <w:tcPr>
            <w:tcW w:w="1522" w:type="dxa"/>
          </w:tcPr>
          <w:p w14:paraId="48B68858" w14:textId="77777777" w:rsidR="00192E25" w:rsidRPr="00FB4EFA" w:rsidRDefault="00192E25" w:rsidP="00312ECF">
            <w:pPr>
              <w:spacing w:line="240" w:lineRule="auto"/>
              <w:rPr>
                <w:lang w:val="et-EE"/>
              </w:rPr>
            </w:pPr>
            <w:r w:rsidRPr="00FB4EFA">
              <w:rPr>
                <w:lang w:val="et-EE"/>
              </w:rPr>
              <w:t>soome</w:t>
            </w:r>
          </w:p>
        </w:tc>
      </w:tr>
    </w:tbl>
    <w:p w14:paraId="2142D44C" w14:textId="77777777" w:rsidR="00192E25" w:rsidRPr="00FB4EFA" w:rsidRDefault="00192E25" w:rsidP="00312ECF">
      <w:pPr>
        <w:spacing w:before="120" w:after="240"/>
        <w:jc w:val="center"/>
        <w:rPr>
          <w:bCs/>
          <w:sz w:val="18"/>
          <w:szCs w:val="18"/>
          <w:lang w:val="et-EE"/>
        </w:rPr>
      </w:pPr>
      <w:r w:rsidRPr="00FB4EFA">
        <w:rPr>
          <w:b/>
          <w:sz w:val="18"/>
          <w:szCs w:val="18"/>
          <w:lang w:val="et-EE"/>
        </w:rPr>
        <w:t>Tabel 1</w:t>
      </w:r>
      <w:r w:rsidRPr="00FB4EFA">
        <w:rPr>
          <w:bCs/>
          <w:sz w:val="18"/>
          <w:szCs w:val="18"/>
          <w:lang w:val="et-EE"/>
        </w:rPr>
        <w:t>: Uurimuses osalenud sihtrühmad</w:t>
      </w:r>
    </w:p>
    <w:p w14:paraId="1BD7334A" w14:textId="77777777" w:rsidR="00192E25" w:rsidRPr="00FB4EFA" w:rsidRDefault="00192E25" w:rsidP="00312ECF">
      <w:pPr>
        <w:spacing w:before="240"/>
        <w:rPr>
          <w:lang w:val="et-EE"/>
        </w:rPr>
      </w:pPr>
      <w:r w:rsidRPr="00FB4EFA">
        <w:rPr>
          <w:lang w:val="et-EE"/>
        </w:rPr>
        <w:lastRenderedPageBreak/>
        <w:t>Neist kahele rühmale olid võrreldavad eesti ja soome keel esimesed keeled ning kahele teised keeled, mille oskus oli vähemalt B2-tasemel. Keegi osalejatest ei olnud õppinud testi sihtkeelt (soomlastele ja soomerootslastele eesti keel, eestlastele ja eestivenelastele soome keel) ega elanud sihtkeelses keskkonnas. Kõik uurimuses osalejad olid erinevate erialade üliõpilased ning olid õppinud ja oskasid mitmeid keeli.</w:t>
      </w:r>
    </w:p>
    <w:p w14:paraId="29D762E5" w14:textId="623C2B93" w:rsidR="00192E25" w:rsidRPr="00FB4EFA" w:rsidRDefault="00192E25" w:rsidP="00312ECF">
      <w:pPr>
        <w:ind w:firstLine="709"/>
        <w:rPr>
          <w:lang w:val="et-EE"/>
        </w:rPr>
      </w:pPr>
      <w:r w:rsidRPr="00FB4EFA">
        <w:rPr>
          <w:lang w:val="et-EE"/>
        </w:rPr>
        <w:t>Testisõnade valik põhineb eesti ja soome muutemorfoloogia tüpoloogilisel võrdlusel (Remes 2009) ning lähtub joonisel 1 esitatud taksonoomiast, väljendades taksonoomia samasus- ja sarnasussuhteid, elementide juhuslikku sarnasust ning süsteemitasandi eba</w:t>
      </w:r>
      <w:r w:rsidR="00714583" w:rsidRPr="00FB4EFA">
        <w:rPr>
          <w:lang w:val="et-EE"/>
        </w:rPr>
        <w:softHyphen/>
      </w:r>
      <w:r w:rsidRPr="00FB4EFA">
        <w:rPr>
          <w:lang w:val="et-EE"/>
        </w:rPr>
        <w:t>süstemaatilisi suhteid. Sõnapaaride tegeliku morfoloogilise sarnasuse aste väljendub tüve- ja formatiiviallomorfide kombinatsioonides, varieerudes samasusest juhusliku sarnasuseni. Testisõnapaaride sarnasuse kontiinum on kolmeosaline: samasus, sarnasus ja juhuslik sarnasus.</w:t>
      </w:r>
    </w:p>
    <w:p w14:paraId="46F9A9D5" w14:textId="77777777" w:rsidR="00192E25" w:rsidRPr="00FB4EFA" w:rsidRDefault="00192E25" w:rsidP="00312ECF">
      <w:pPr>
        <w:ind w:firstLine="720"/>
        <w:rPr>
          <w:lang w:val="et-EE"/>
        </w:rPr>
      </w:pPr>
      <w:r w:rsidRPr="00FB4EFA">
        <w:rPr>
          <w:lang w:val="et-EE"/>
        </w:rPr>
        <w:t>Sõnapaari esimene sõna oli testis lähte- ja teine sihtkeelne, st eesti- ja venekeelsete vastajate testides eestikeelne, soome- ja rootsikeelsete vastajate testides soomekeelne. Et osalejad keskenduksid maksimaalselt sarnasuse tunnetamisele, teavitati neid testi juhendis sõnapaare moodustavate eesti ja soome sõnade morfoloogilisest ja semantilisest sarnasusest.</w:t>
      </w:r>
    </w:p>
    <w:p w14:paraId="72F52485" w14:textId="456FDC44" w:rsidR="00192E25" w:rsidRPr="00FB4EFA" w:rsidRDefault="00192E25" w:rsidP="00312ECF">
      <w:pPr>
        <w:spacing w:after="240"/>
        <w:ind w:firstLine="709"/>
        <w:rPr>
          <w:lang w:val="et-EE"/>
        </w:rPr>
      </w:pPr>
      <w:r w:rsidRPr="00FB4EFA">
        <w:rPr>
          <w:lang w:val="et-EE"/>
        </w:rPr>
        <w:t>Tunnetatud sarnasuse mõõtmiseks töötati välja sarnasusindeks: (</w:t>
      </w:r>
      <w:r w:rsidRPr="00FB4EFA">
        <w:rPr>
          <w:i/>
          <w:iCs/>
          <w:lang w:val="et-EE"/>
        </w:rPr>
        <w:t>Index of Perceived Similarity</w:t>
      </w:r>
      <w:r w:rsidRPr="00FB4EFA">
        <w:rPr>
          <w:lang w:val="et-EE"/>
        </w:rPr>
        <w:t xml:space="preserve">, IPS), mille suurus näitab tunnetatud sarnasuse astet – mida kõrgem on indeks, seda enam sarnasust tunnetati. Indeksi arvutamisel sai iga vastus </w:t>
      </w:r>
      <w:r w:rsidRPr="00FB4EFA">
        <w:rPr>
          <w:i/>
          <w:iCs/>
          <w:lang w:val="et-EE"/>
        </w:rPr>
        <w:t>täiesti sarnane</w:t>
      </w:r>
      <w:r w:rsidRPr="00FB4EFA">
        <w:rPr>
          <w:lang w:val="et-EE"/>
        </w:rPr>
        <w:t xml:space="preserve"> kaks punkti, vastus </w:t>
      </w:r>
      <w:r w:rsidRPr="00FB4EFA">
        <w:rPr>
          <w:i/>
          <w:iCs/>
          <w:lang w:val="et-EE"/>
        </w:rPr>
        <w:t>üsna sarnane</w:t>
      </w:r>
      <w:r w:rsidRPr="00FB4EFA">
        <w:rPr>
          <w:lang w:val="et-EE"/>
        </w:rPr>
        <w:t xml:space="preserve"> ühe punkti ja vastus </w:t>
      </w:r>
      <w:r w:rsidRPr="00FB4EFA">
        <w:rPr>
          <w:i/>
          <w:iCs/>
          <w:lang w:val="et-EE"/>
        </w:rPr>
        <w:t>erinev</w:t>
      </w:r>
      <w:r w:rsidRPr="00FB4EFA">
        <w:rPr>
          <w:lang w:val="et-EE"/>
        </w:rPr>
        <w:t xml:space="preserve"> null punkti. Seejärel iga sõnapaari punktid summeeriti ning arvutati välja vastuste </w:t>
      </w:r>
      <w:r w:rsidRPr="00FB4EFA">
        <w:rPr>
          <w:i/>
          <w:iCs/>
          <w:lang w:val="et-EE"/>
        </w:rPr>
        <w:t>samasugune</w:t>
      </w:r>
      <w:r w:rsidRPr="00FB4EFA">
        <w:rPr>
          <w:lang w:val="et-EE"/>
        </w:rPr>
        <w:t xml:space="preserve">, </w:t>
      </w:r>
      <w:r w:rsidRPr="00FB4EFA">
        <w:rPr>
          <w:i/>
          <w:iCs/>
          <w:lang w:val="et-EE"/>
        </w:rPr>
        <w:t xml:space="preserve">üsna </w:t>
      </w:r>
      <w:r w:rsidR="00153BA0" w:rsidRPr="00FB4EFA">
        <w:rPr>
          <w:i/>
          <w:iCs/>
          <w:lang w:val="et-EE"/>
        </w:rPr>
        <w:br/>
      </w:r>
      <w:r w:rsidRPr="00FB4EFA">
        <w:rPr>
          <w:i/>
          <w:iCs/>
          <w:lang w:val="et-EE"/>
        </w:rPr>
        <w:t>samasugune</w:t>
      </w:r>
      <w:r w:rsidRPr="00FB4EFA">
        <w:rPr>
          <w:lang w:val="et-EE"/>
        </w:rPr>
        <w:t xml:space="preserve"> ja </w:t>
      </w:r>
      <w:r w:rsidRPr="00FB4EFA">
        <w:rPr>
          <w:i/>
          <w:iCs/>
          <w:lang w:val="et-EE"/>
        </w:rPr>
        <w:t>erinev</w:t>
      </w:r>
      <w:r w:rsidRPr="00FB4EFA">
        <w:rPr>
          <w:lang w:val="et-EE"/>
        </w:rPr>
        <w:t xml:space="preserve"> punktisummad, mis omakorda liideti. Osalejate rühmade veidi erineva suuruse tõttu on tulemused kaalutud, st jagatud osalejate arvuga ja korrutatud sajaga (tabel 2).</w:t>
      </w:r>
    </w:p>
    <w:tbl>
      <w:tblPr>
        <w:tblW w:w="0" w:type="auto"/>
        <w:tblBorders>
          <w:insideH w:val="single" w:sz="4" w:space="0" w:color="auto"/>
          <w:insideV w:val="single" w:sz="4" w:space="0" w:color="auto"/>
        </w:tblBorders>
        <w:tblCellMar>
          <w:left w:w="0" w:type="dxa"/>
          <w:right w:w="0" w:type="dxa"/>
        </w:tblCellMar>
        <w:tblLook w:val="0420" w:firstRow="1" w:lastRow="0" w:firstColumn="0" w:lastColumn="0" w:noHBand="0" w:noVBand="1"/>
      </w:tblPr>
      <w:tblGrid>
        <w:gridCol w:w="1960"/>
        <w:gridCol w:w="1292"/>
        <w:gridCol w:w="1387"/>
        <w:gridCol w:w="811"/>
        <w:gridCol w:w="1680"/>
      </w:tblGrid>
      <w:tr w:rsidR="00FB4EFA" w:rsidRPr="00FB4EFA" w14:paraId="2645324E" w14:textId="77777777" w:rsidTr="00312ECF">
        <w:trPr>
          <w:trHeight w:val="57"/>
        </w:trPr>
        <w:tc>
          <w:tcPr>
            <w:tcW w:w="0" w:type="auto"/>
            <w:vMerge w:val="restart"/>
            <w:tcBorders>
              <w:top w:val="nil"/>
              <w:right w:val="single" w:sz="12" w:space="0" w:color="auto"/>
            </w:tcBorders>
            <w:shd w:val="clear" w:color="auto" w:fill="auto"/>
            <w:tcMar>
              <w:top w:w="54" w:type="dxa"/>
              <w:left w:w="108" w:type="dxa"/>
              <w:bottom w:w="54" w:type="dxa"/>
              <w:right w:w="108" w:type="dxa"/>
            </w:tcMar>
            <w:vAlign w:val="center"/>
            <w:hideMark/>
          </w:tcPr>
          <w:p w14:paraId="418701D8" w14:textId="77777777" w:rsidR="00192E25" w:rsidRPr="00FB4EFA" w:rsidRDefault="00192E25" w:rsidP="00312ECF">
            <w:pPr>
              <w:keepNext/>
              <w:spacing w:line="240" w:lineRule="auto"/>
              <w:jc w:val="center"/>
              <w:rPr>
                <w:b/>
                <w:bCs/>
                <w:sz w:val="20"/>
                <w:szCs w:val="20"/>
                <w:lang w:val="et-EE"/>
              </w:rPr>
            </w:pPr>
            <w:r w:rsidRPr="00FB4EFA">
              <w:rPr>
                <w:b/>
                <w:bCs/>
                <w:sz w:val="20"/>
                <w:szCs w:val="20"/>
                <w:lang w:val="et-EE"/>
              </w:rPr>
              <w:lastRenderedPageBreak/>
              <w:t>Osalejate rühmad emakeeliti</w:t>
            </w:r>
          </w:p>
        </w:tc>
        <w:tc>
          <w:tcPr>
            <w:tcW w:w="0" w:type="auto"/>
            <w:gridSpan w:val="3"/>
            <w:tcBorders>
              <w:left w:val="single" w:sz="12" w:space="0" w:color="auto"/>
            </w:tcBorders>
            <w:shd w:val="clear" w:color="auto" w:fill="auto"/>
            <w:tcMar>
              <w:top w:w="54" w:type="dxa"/>
              <w:left w:w="108" w:type="dxa"/>
              <w:bottom w:w="54" w:type="dxa"/>
              <w:right w:w="108" w:type="dxa"/>
            </w:tcMar>
            <w:vAlign w:val="center"/>
            <w:hideMark/>
          </w:tcPr>
          <w:p w14:paraId="735E9B4D" w14:textId="77777777" w:rsidR="00192E25" w:rsidRPr="00FB4EFA" w:rsidRDefault="00192E25" w:rsidP="00312ECF">
            <w:pPr>
              <w:keepNext/>
              <w:spacing w:line="240" w:lineRule="auto"/>
              <w:jc w:val="center"/>
              <w:rPr>
                <w:sz w:val="20"/>
                <w:szCs w:val="20"/>
                <w:lang w:val="et-EE"/>
              </w:rPr>
            </w:pPr>
            <w:r w:rsidRPr="00FB4EFA">
              <w:rPr>
                <w:b/>
                <w:bCs/>
                <w:sz w:val="20"/>
                <w:szCs w:val="20"/>
                <w:lang w:val="et-EE"/>
              </w:rPr>
              <w:t>Vastuste arv (kaalutud</w:t>
            </w:r>
            <w:r w:rsidRPr="00FB4EFA">
              <w:rPr>
                <w:sz w:val="20"/>
                <w:szCs w:val="20"/>
                <w:lang w:val="et-EE"/>
              </w:rPr>
              <w:t>)</w:t>
            </w:r>
          </w:p>
        </w:tc>
        <w:tc>
          <w:tcPr>
            <w:tcW w:w="0" w:type="auto"/>
            <w:vMerge w:val="restart"/>
            <w:tcBorders>
              <w:top w:val="nil"/>
              <w:bottom w:val="single" w:sz="12" w:space="0" w:color="auto"/>
            </w:tcBorders>
            <w:shd w:val="clear" w:color="auto" w:fill="auto"/>
            <w:tcMar>
              <w:top w:w="54" w:type="dxa"/>
              <w:left w:w="108" w:type="dxa"/>
              <w:bottom w:w="54" w:type="dxa"/>
              <w:right w:w="108" w:type="dxa"/>
            </w:tcMar>
            <w:vAlign w:val="center"/>
            <w:hideMark/>
          </w:tcPr>
          <w:p w14:paraId="0F78BF07" w14:textId="77777777" w:rsidR="00192E25" w:rsidRPr="00FB4EFA" w:rsidRDefault="00192E25" w:rsidP="00312ECF">
            <w:pPr>
              <w:keepNext/>
              <w:spacing w:line="240" w:lineRule="auto"/>
              <w:jc w:val="center"/>
              <w:rPr>
                <w:b/>
                <w:bCs/>
                <w:sz w:val="20"/>
                <w:szCs w:val="20"/>
                <w:lang w:val="et-EE"/>
              </w:rPr>
            </w:pPr>
            <w:r w:rsidRPr="00FB4EFA">
              <w:rPr>
                <w:b/>
                <w:bCs/>
                <w:sz w:val="20"/>
                <w:szCs w:val="20"/>
                <w:lang w:val="et-EE"/>
              </w:rPr>
              <w:t>Tunnetatud sarnasuse indeks</w:t>
            </w:r>
          </w:p>
        </w:tc>
      </w:tr>
      <w:tr w:rsidR="00FB4EFA" w:rsidRPr="00FB4EFA" w14:paraId="5729A33E" w14:textId="77777777" w:rsidTr="00312ECF">
        <w:trPr>
          <w:trHeight w:val="20"/>
        </w:trPr>
        <w:tc>
          <w:tcPr>
            <w:tcW w:w="0" w:type="auto"/>
            <w:vMerge/>
            <w:tcBorders>
              <w:right w:val="single" w:sz="12" w:space="0" w:color="auto"/>
            </w:tcBorders>
            <w:vAlign w:val="center"/>
            <w:hideMark/>
          </w:tcPr>
          <w:p w14:paraId="47A7AE1B" w14:textId="77777777" w:rsidR="00192E25" w:rsidRPr="00FB4EFA" w:rsidRDefault="00192E25" w:rsidP="00312ECF">
            <w:pPr>
              <w:keepNext/>
              <w:spacing w:line="240" w:lineRule="auto"/>
              <w:jc w:val="center"/>
              <w:rPr>
                <w:sz w:val="20"/>
                <w:szCs w:val="20"/>
                <w:lang w:val="et-EE"/>
              </w:rPr>
            </w:pPr>
          </w:p>
        </w:tc>
        <w:tc>
          <w:tcPr>
            <w:tcW w:w="0" w:type="auto"/>
            <w:tcBorders>
              <w:left w:val="single" w:sz="12" w:space="0" w:color="auto"/>
            </w:tcBorders>
            <w:shd w:val="clear" w:color="auto" w:fill="auto"/>
            <w:tcMar>
              <w:top w:w="54" w:type="dxa"/>
              <w:left w:w="108" w:type="dxa"/>
              <w:bottom w:w="54" w:type="dxa"/>
              <w:right w:w="108" w:type="dxa"/>
            </w:tcMar>
            <w:vAlign w:val="center"/>
            <w:hideMark/>
          </w:tcPr>
          <w:p w14:paraId="06CF1E80" w14:textId="77777777" w:rsidR="00192E25" w:rsidRPr="00FB4EFA" w:rsidRDefault="00192E25" w:rsidP="00312ECF">
            <w:pPr>
              <w:keepNext/>
              <w:spacing w:line="240" w:lineRule="auto"/>
              <w:jc w:val="center"/>
              <w:rPr>
                <w:sz w:val="20"/>
                <w:szCs w:val="20"/>
                <w:lang w:val="et-EE"/>
              </w:rPr>
            </w:pPr>
            <w:r w:rsidRPr="00FB4EFA">
              <w:rPr>
                <w:sz w:val="20"/>
                <w:szCs w:val="20"/>
                <w:lang w:val="et-EE"/>
              </w:rPr>
              <w:t>Samasugune</w:t>
            </w:r>
          </w:p>
        </w:tc>
        <w:tc>
          <w:tcPr>
            <w:tcW w:w="0" w:type="auto"/>
            <w:shd w:val="clear" w:color="auto" w:fill="auto"/>
            <w:tcMar>
              <w:top w:w="54" w:type="dxa"/>
              <w:left w:w="108" w:type="dxa"/>
              <w:bottom w:w="54" w:type="dxa"/>
              <w:right w:w="108" w:type="dxa"/>
            </w:tcMar>
            <w:vAlign w:val="center"/>
            <w:hideMark/>
          </w:tcPr>
          <w:p w14:paraId="52D1BC10" w14:textId="77777777" w:rsidR="00192E25" w:rsidRPr="00FB4EFA" w:rsidRDefault="00192E25" w:rsidP="00312ECF">
            <w:pPr>
              <w:keepNext/>
              <w:spacing w:line="240" w:lineRule="auto"/>
              <w:jc w:val="center"/>
              <w:rPr>
                <w:sz w:val="20"/>
                <w:szCs w:val="20"/>
                <w:lang w:val="et-EE"/>
              </w:rPr>
            </w:pPr>
            <w:r w:rsidRPr="00FB4EFA">
              <w:rPr>
                <w:sz w:val="20"/>
                <w:szCs w:val="20"/>
                <w:lang w:val="et-EE"/>
              </w:rPr>
              <w:t>Üsna samasugune</w:t>
            </w:r>
          </w:p>
        </w:tc>
        <w:tc>
          <w:tcPr>
            <w:tcW w:w="0" w:type="auto"/>
            <w:tcBorders>
              <w:top w:val="single" w:sz="4" w:space="0" w:color="auto"/>
              <w:bottom w:val="single" w:sz="12" w:space="0" w:color="auto"/>
            </w:tcBorders>
            <w:shd w:val="clear" w:color="auto" w:fill="auto"/>
            <w:tcMar>
              <w:top w:w="54" w:type="dxa"/>
              <w:left w:w="108" w:type="dxa"/>
              <w:bottom w:w="54" w:type="dxa"/>
              <w:right w:w="108" w:type="dxa"/>
            </w:tcMar>
            <w:vAlign w:val="center"/>
            <w:hideMark/>
          </w:tcPr>
          <w:p w14:paraId="5328880E" w14:textId="77777777" w:rsidR="00192E25" w:rsidRPr="00FB4EFA" w:rsidRDefault="00192E25" w:rsidP="00312ECF">
            <w:pPr>
              <w:keepNext/>
              <w:spacing w:line="240" w:lineRule="auto"/>
              <w:jc w:val="center"/>
              <w:rPr>
                <w:sz w:val="20"/>
                <w:szCs w:val="20"/>
                <w:lang w:val="et-EE"/>
              </w:rPr>
            </w:pPr>
            <w:r w:rsidRPr="00FB4EFA">
              <w:rPr>
                <w:sz w:val="20"/>
                <w:szCs w:val="20"/>
                <w:lang w:val="et-EE"/>
              </w:rPr>
              <w:t>Erinev</w:t>
            </w:r>
          </w:p>
        </w:tc>
        <w:tc>
          <w:tcPr>
            <w:tcW w:w="0" w:type="auto"/>
            <w:vMerge/>
            <w:tcBorders>
              <w:top w:val="single" w:sz="4" w:space="0" w:color="auto"/>
              <w:bottom w:val="single" w:sz="12" w:space="0" w:color="auto"/>
            </w:tcBorders>
            <w:vAlign w:val="center"/>
            <w:hideMark/>
          </w:tcPr>
          <w:p w14:paraId="54F85D8C" w14:textId="77777777" w:rsidR="00192E25" w:rsidRPr="00FB4EFA" w:rsidRDefault="00192E25" w:rsidP="00312ECF">
            <w:pPr>
              <w:keepNext/>
              <w:spacing w:line="240" w:lineRule="auto"/>
              <w:rPr>
                <w:sz w:val="20"/>
                <w:szCs w:val="20"/>
                <w:lang w:val="et-EE"/>
              </w:rPr>
            </w:pPr>
          </w:p>
        </w:tc>
      </w:tr>
      <w:tr w:rsidR="00FB4EFA" w:rsidRPr="00FB4EFA" w14:paraId="284FBA5C" w14:textId="77777777" w:rsidTr="00312ECF">
        <w:trPr>
          <w:trHeight w:val="57"/>
        </w:trPr>
        <w:tc>
          <w:tcPr>
            <w:tcW w:w="0" w:type="auto"/>
            <w:tcBorders>
              <w:top w:val="single" w:sz="12" w:space="0" w:color="auto"/>
              <w:right w:val="single" w:sz="12" w:space="0" w:color="auto"/>
            </w:tcBorders>
            <w:shd w:val="clear" w:color="auto" w:fill="auto"/>
            <w:tcMar>
              <w:top w:w="54" w:type="dxa"/>
              <w:left w:w="108" w:type="dxa"/>
              <w:bottom w:w="54" w:type="dxa"/>
              <w:right w:w="108" w:type="dxa"/>
            </w:tcMar>
            <w:hideMark/>
          </w:tcPr>
          <w:p w14:paraId="73686420" w14:textId="77777777" w:rsidR="00192E25" w:rsidRPr="00FB4EFA" w:rsidRDefault="00192E25" w:rsidP="00312ECF">
            <w:pPr>
              <w:keepNext/>
              <w:spacing w:line="240" w:lineRule="auto"/>
              <w:rPr>
                <w:sz w:val="20"/>
                <w:szCs w:val="20"/>
                <w:lang w:val="et-EE"/>
              </w:rPr>
            </w:pPr>
            <w:r w:rsidRPr="00FB4EFA">
              <w:rPr>
                <w:sz w:val="20"/>
                <w:szCs w:val="20"/>
                <w:lang w:val="et-EE"/>
              </w:rPr>
              <w:t>Soomlased</w:t>
            </w:r>
          </w:p>
        </w:tc>
        <w:tc>
          <w:tcPr>
            <w:tcW w:w="0" w:type="auto"/>
            <w:tcBorders>
              <w:top w:val="single" w:sz="12" w:space="0" w:color="auto"/>
              <w:left w:val="single" w:sz="12" w:space="0" w:color="auto"/>
            </w:tcBorders>
            <w:shd w:val="clear" w:color="auto" w:fill="auto"/>
            <w:tcMar>
              <w:top w:w="54" w:type="dxa"/>
              <w:left w:w="108" w:type="dxa"/>
              <w:bottom w:w="54" w:type="dxa"/>
              <w:right w:w="108" w:type="dxa"/>
            </w:tcMar>
            <w:hideMark/>
          </w:tcPr>
          <w:p w14:paraId="06D62154" w14:textId="77777777" w:rsidR="00192E25" w:rsidRPr="00FB4EFA" w:rsidRDefault="00192E25" w:rsidP="00312ECF">
            <w:pPr>
              <w:keepNext/>
              <w:spacing w:line="240" w:lineRule="auto"/>
              <w:rPr>
                <w:sz w:val="20"/>
                <w:szCs w:val="20"/>
                <w:lang w:val="et-EE"/>
              </w:rPr>
            </w:pPr>
            <w:r w:rsidRPr="00FB4EFA">
              <w:rPr>
                <w:sz w:val="20"/>
                <w:szCs w:val="20"/>
                <w:lang w:val="et-EE"/>
              </w:rPr>
              <w:t>1684,3</w:t>
            </w:r>
          </w:p>
        </w:tc>
        <w:tc>
          <w:tcPr>
            <w:tcW w:w="0" w:type="auto"/>
            <w:tcBorders>
              <w:top w:val="single" w:sz="12" w:space="0" w:color="auto"/>
            </w:tcBorders>
            <w:shd w:val="clear" w:color="auto" w:fill="auto"/>
            <w:tcMar>
              <w:top w:w="54" w:type="dxa"/>
              <w:left w:w="108" w:type="dxa"/>
              <w:bottom w:w="54" w:type="dxa"/>
              <w:right w:w="108" w:type="dxa"/>
            </w:tcMar>
            <w:hideMark/>
          </w:tcPr>
          <w:p w14:paraId="5FC9572D" w14:textId="77777777" w:rsidR="00192E25" w:rsidRPr="00FB4EFA" w:rsidRDefault="00192E25" w:rsidP="00312ECF">
            <w:pPr>
              <w:keepNext/>
              <w:spacing w:line="240" w:lineRule="auto"/>
              <w:rPr>
                <w:sz w:val="20"/>
                <w:szCs w:val="20"/>
                <w:lang w:val="et-EE"/>
              </w:rPr>
            </w:pPr>
            <w:r w:rsidRPr="00FB4EFA">
              <w:rPr>
                <w:sz w:val="20"/>
                <w:szCs w:val="20"/>
                <w:lang w:val="et-EE"/>
              </w:rPr>
              <w:t>1631,3</w:t>
            </w:r>
          </w:p>
        </w:tc>
        <w:tc>
          <w:tcPr>
            <w:tcW w:w="0" w:type="auto"/>
            <w:tcBorders>
              <w:top w:val="single" w:sz="12" w:space="0" w:color="auto"/>
            </w:tcBorders>
            <w:shd w:val="clear" w:color="auto" w:fill="auto"/>
            <w:tcMar>
              <w:top w:w="54" w:type="dxa"/>
              <w:left w:w="108" w:type="dxa"/>
              <w:bottom w:w="54" w:type="dxa"/>
              <w:right w:w="108" w:type="dxa"/>
            </w:tcMar>
            <w:hideMark/>
          </w:tcPr>
          <w:p w14:paraId="4A223403" w14:textId="77777777" w:rsidR="00192E25" w:rsidRPr="00FB4EFA" w:rsidRDefault="00192E25" w:rsidP="00312ECF">
            <w:pPr>
              <w:keepNext/>
              <w:spacing w:line="240" w:lineRule="auto"/>
              <w:rPr>
                <w:sz w:val="20"/>
                <w:szCs w:val="20"/>
                <w:lang w:val="et-EE"/>
              </w:rPr>
            </w:pPr>
            <w:r w:rsidRPr="00FB4EFA">
              <w:rPr>
                <w:sz w:val="20"/>
                <w:szCs w:val="20"/>
                <w:lang w:val="et-EE"/>
              </w:rPr>
              <w:t>1424,3</w:t>
            </w:r>
          </w:p>
        </w:tc>
        <w:tc>
          <w:tcPr>
            <w:tcW w:w="0" w:type="auto"/>
            <w:tcBorders>
              <w:top w:val="single" w:sz="12" w:space="0" w:color="auto"/>
            </w:tcBorders>
            <w:shd w:val="clear" w:color="auto" w:fill="FFFFFF" w:themeFill="background1"/>
            <w:tcMar>
              <w:top w:w="54" w:type="dxa"/>
              <w:left w:w="108" w:type="dxa"/>
              <w:bottom w:w="54" w:type="dxa"/>
              <w:right w:w="108" w:type="dxa"/>
            </w:tcMar>
            <w:hideMark/>
          </w:tcPr>
          <w:p w14:paraId="1D3228B0" w14:textId="77777777" w:rsidR="00192E25" w:rsidRPr="00FB4EFA" w:rsidRDefault="00192E25" w:rsidP="00312ECF">
            <w:pPr>
              <w:keepNext/>
              <w:spacing w:line="240" w:lineRule="auto"/>
              <w:rPr>
                <w:sz w:val="20"/>
                <w:szCs w:val="20"/>
                <w:lang w:val="et-EE"/>
              </w:rPr>
            </w:pPr>
            <w:r w:rsidRPr="00FB4EFA">
              <w:rPr>
                <w:sz w:val="20"/>
                <w:szCs w:val="20"/>
                <w:lang w:val="et-EE"/>
              </w:rPr>
              <w:t>5017,4</w:t>
            </w:r>
          </w:p>
        </w:tc>
      </w:tr>
      <w:tr w:rsidR="00FB4EFA" w:rsidRPr="00FB4EFA" w14:paraId="106B5564" w14:textId="77777777" w:rsidTr="00312ECF">
        <w:trPr>
          <w:trHeight w:val="20"/>
        </w:trPr>
        <w:tc>
          <w:tcPr>
            <w:tcW w:w="0" w:type="auto"/>
            <w:tcBorders>
              <w:right w:val="single" w:sz="12" w:space="0" w:color="auto"/>
            </w:tcBorders>
            <w:shd w:val="clear" w:color="auto" w:fill="auto"/>
            <w:tcMar>
              <w:top w:w="54" w:type="dxa"/>
              <w:left w:w="108" w:type="dxa"/>
              <w:bottom w:w="54" w:type="dxa"/>
              <w:right w:w="108" w:type="dxa"/>
            </w:tcMar>
            <w:hideMark/>
          </w:tcPr>
          <w:p w14:paraId="15AD2DC5" w14:textId="77777777" w:rsidR="00192E25" w:rsidRPr="00FB4EFA" w:rsidRDefault="00192E25" w:rsidP="00312ECF">
            <w:pPr>
              <w:keepNext/>
              <w:spacing w:line="240" w:lineRule="auto"/>
              <w:rPr>
                <w:sz w:val="20"/>
                <w:szCs w:val="20"/>
                <w:lang w:val="et-EE"/>
              </w:rPr>
            </w:pPr>
            <w:r w:rsidRPr="00FB4EFA">
              <w:rPr>
                <w:sz w:val="20"/>
                <w:szCs w:val="20"/>
                <w:lang w:val="et-EE"/>
              </w:rPr>
              <w:t>Eestlased</w:t>
            </w:r>
          </w:p>
        </w:tc>
        <w:tc>
          <w:tcPr>
            <w:tcW w:w="0" w:type="auto"/>
            <w:tcBorders>
              <w:left w:val="single" w:sz="12" w:space="0" w:color="auto"/>
            </w:tcBorders>
            <w:shd w:val="clear" w:color="auto" w:fill="auto"/>
            <w:tcMar>
              <w:top w:w="54" w:type="dxa"/>
              <w:left w:w="108" w:type="dxa"/>
              <w:bottom w:w="54" w:type="dxa"/>
              <w:right w:w="108" w:type="dxa"/>
            </w:tcMar>
            <w:hideMark/>
          </w:tcPr>
          <w:p w14:paraId="2FC1A9F2" w14:textId="77777777" w:rsidR="00192E25" w:rsidRPr="00FB4EFA" w:rsidRDefault="00192E25" w:rsidP="00312ECF">
            <w:pPr>
              <w:keepNext/>
              <w:spacing w:line="240" w:lineRule="auto"/>
              <w:rPr>
                <w:sz w:val="20"/>
                <w:szCs w:val="20"/>
                <w:lang w:val="et-EE"/>
              </w:rPr>
            </w:pPr>
            <w:r w:rsidRPr="00FB4EFA">
              <w:rPr>
                <w:sz w:val="20"/>
                <w:szCs w:val="20"/>
                <w:lang w:val="et-EE"/>
              </w:rPr>
              <w:t>1125,7</w:t>
            </w:r>
          </w:p>
        </w:tc>
        <w:tc>
          <w:tcPr>
            <w:tcW w:w="0" w:type="auto"/>
            <w:shd w:val="clear" w:color="auto" w:fill="auto"/>
            <w:tcMar>
              <w:top w:w="54" w:type="dxa"/>
              <w:left w:w="108" w:type="dxa"/>
              <w:bottom w:w="54" w:type="dxa"/>
              <w:right w:w="108" w:type="dxa"/>
            </w:tcMar>
            <w:hideMark/>
          </w:tcPr>
          <w:p w14:paraId="33A1786A" w14:textId="77777777" w:rsidR="00192E25" w:rsidRPr="00FB4EFA" w:rsidRDefault="00192E25" w:rsidP="00312ECF">
            <w:pPr>
              <w:keepNext/>
              <w:spacing w:line="240" w:lineRule="auto"/>
              <w:rPr>
                <w:sz w:val="20"/>
                <w:szCs w:val="20"/>
                <w:lang w:val="et-EE"/>
              </w:rPr>
            </w:pPr>
            <w:r w:rsidRPr="00FB4EFA">
              <w:rPr>
                <w:sz w:val="20"/>
                <w:szCs w:val="20"/>
                <w:lang w:val="et-EE"/>
              </w:rPr>
              <w:t>2027,5</w:t>
            </w:r>
          </w:p>
        </w:tc>
        <w:tc>
          <w:tcPr>
            <w:tcW w:w="0" w:type="auto"/>
            <w:shd w:val="clear" w:color="auto" w:fill="auto"/>
            <w:tcMar>
              <w:top w:w="54" w:type="dxa"/>
              <w:left w:w="108" w:type="dxa"/>
              <w:bottom w:w="54" w:type="dxa"/>
              <w:right w:w="108" w:type="dxa"/>
            </w:tcMar>
            <w:hideMark/>
          </w:tcPr>
          <w:p w14:paraId="549549A2" w14:textId="77777777" w:rsidR="00192E25" w:rsidRPr="00FB4EFA" w:rsidRDefault="00192E25" w:rsidP="00312ECF">
            <w:pPr>
              <w:keepNext/>
              <w:spacing w:line="240" w:lineRule="auto"/>
              <w:rPr>
                <w:sz w:val="20"/>
                <w:szCs w:val="20"/>
                <w:lang w:val="et-EE"/>
              </w:rPr>
            </w:pPr>
            <w:r w:rsidRPr="00FB4EFA">
              <w:rPr>
                <w:sz w:val="20"/>
                <w:szCs w:val="20"/>
                <w:lang w:val="et-EE"/>
              </w:rPr>
              <w:t>1550,5</w:t>
            </w:r>
          </w:p>
        </w:tc>
        <w:tc>
          <w:tcPr>
            <w:tcW w:w="0" w:type="auto"/>
            <w:shd w:val="clear" w:color="auto" w:fill="FFFFFF" w:themeFill="background1"/>
            <w:tcMar>
              <w:top w:w="54" w:type="dxa"/>
              <w:left w:w="108" w:type="dxa"/>
              <w:bottom w:w="54" w:type="dxa"/>
              <w:right w:w="108" w:type="dxa"/>
            </w:tcMar>
            <w:hideMark/>
          </w:tcPr>
          <w:p w14:paraId="7E369E7E" w14:textId="77777777" w:rsidR="00192E25" w:rsidRPr="00FB4EFA" w:rsidRDefault="00192E25" w:rsidP="00312ECF">
            <w:pPr>
              <w:keepNext/>
              <w:spacing w:line="240" w:lineRule="auto"/>
              <w:rPr>
                <w:sz w:val="20"/>
                <w:szCs w:val="20"/>
                <w:lang w:val="et-EE"/>
              </w:rPr>
            </w:pPr>
            <w:r w:rsidRPr="00FB4EFA">
              <w:rPr>
                <w:sz w:val="20"/>
                <w:szCs w:val="20"/>
                <w:lang w:val="et-EE"/>
              </w:rPr>
              <w:t>4370,6</w:t>
            </w:r>
          </w:p>
        </w:tc>
      </w:tr>
      <w:tr w:rsidR="00FB4EFA" w:rsidRPr="00FB4EFA" w14:paraId="4D318F60" w14:textId="77777777" w:rsidTr="00312ECF">
        <w:trPr>
          <w:trHeight w:val="113"/>
        </w:trPr>
        <w:tc>
          <w:tcPr>
            <w:tcW w:w="0" w:type="auto"/>
            <w:tcBorders>
              <w:right w:val="single" w:sz="12" w:space="0" w:color="auto"/>
            </w:tcBorders>
            <w:shd w:val="clear" w:color="auto" w:fill="auto"/>
            <w:tcMar>
              <w:top w:w="54" w:type="dxa"/>
              <w:left w:w="108" w:type="dxa"/>
              <w:bottom w:w="54" w:type="dxa"/>
              <w:right w:w="108" w:type="dxa"/>
            </w:tcMar>
            <w:hideMark/>
          </w:tcPr>
          <w:p w14:paraId="00B79C7F" w14:textId="77777777" w:rsidR="00192E25" w:rsidRPr="00FB4EFA" w:rsidRDefault="00192E25" w:rsidP="00312ECF">
            <w:pPr>
              <w:keepNext/>
              <w:spacing w:line="240" w:lineRule="auto"/>
              <w:rPr>
                <w:sz w:val="20"/>
                <w:szCs w:val="20"/>
                <w:lang w:val="et-EE"/>
              </w:rPr>
            </w:pPr>
            <w:r w:rsidRPr="00FB4EFA">
              <w:rPr>
                <w:sz w:val="20"/>
                <w:szCs w:val="20"/>
                <w:lang w:val="et-EE"/>
              </w:rPr>
              <w:t>Soomerootslased</w:t>
            </w:r>
          </w:p>
        </w:tc>
        <w:tc>
          <w:tcPr>
            <w:tcW w:w="0" w:type="auto"/>
            <w:tcBorders>
              <w:left w:val="single" w:sz="12" w:space="0" w:color="auto"/>
            </w:tcBorders>
            <w:shd w:val="clear" w:color="auto" w:fill="auto"/>
            <w:tcMar>
              <w:top w:w="54" w:type="dxa"/>
              <w:left w:w="108" w:type="dxa"/>
              <w:bottom w:w="54" w:type="dxa"/>
              <w:right w:w="108" w:type="dxa"/>
            </w:tcMar>
            <w:hideMark/>
          </w:tcPr>
          <w:p w14:paraId="1EFB6C56" w14:textId="77777777" w:rsidR="00192E25" w:rsidRPr="00FB4EFA" w:rsidRDefault="00192E25" w:rsidP="00312ECF">
            <w:pPr>
              <w:keepNext/>
              <w:spacing w:line="240" w:lineRule="auto"/>
              <w:rPr>
                <w:sz w:val="20"/>
                <w:szCs w:val="20"/>
                <w:lang w:val="et-EE"/>
              </w:rPr>
            </w:pPr>
            <w:r w:rsidRPr="00FB4EFA">
              <w:rPr>
                <w:sz w:val="20"/>
                <w:szCs w:val="20"/>
                <w:lang w:val="et-EE"/>
              </w:rPr>
              <w:t>1662,0</w:t>
            </w:r>
          </w:p>
        </w:tc>
        <w:tc>
          <w:tcPr>
            <w:tcW w:w="0" w:type="auto"/>
            <w:shd w:val="clear" w:color="auto" w:fill="auto"/>
            <w:tcMar>
              <w:top w:w="54" w:type="dxa"/>
              <w:left w:w="108" w:type="dxa"/>
              <w:bottom w:w="54" w:type="dxa"/>
              <w:right w:w="108" w:type="dxa"/>
            </w:tcMar>
            <w:hideMark/>
          </w:tcPr>
          <w:p w14:paraId="2E77DB90" w14:textId="77777777" w:rsidR="00192E25" w:rsidRPr="00FB4EFA" w:rsidRDefault="00192E25" w:rsidP="00312ECF">
            <w:pPr>
              <w:keepNext/>
              <w:spacing w:line="240" w:lineRule="auto"/>
              <w:rPr>
                <w:sz w:val="20"/>
                <w:szCs w:val="20"/>
                <w:lang w:val="et-EE"/>
              </w:rPr>
            </w:pPr>
            <w:r w:rsidRPr="00FB4EFA">
              <w:rPr>
                <w:sz w:val="20"/>
                <w:szCs w:val="20"/>
                <w:lang w:val="et-EE"/>
              </w:rPr>
              <w:t>1824,1</w:t>
            </w:r>
          </w:p>
        </w:tc>
        <w:tc>
          <w:tcPr>
            <w:tcW w:w="0" w:type="auto"/>
            <w:shd w:val="clear" w:color="auto" w:fill="auto"/>
            <w:tcMar>
              <w:top w:w="54" w:type="dxa"/>
              <w:left w:w="108" w:type="dxa"/>
              <w:bottom w:w="54" w:type="dxa"/>
              <w:right w:w="108" w:type="dxa"/>
            </w:tcMar>
            <w:hideMark/>
          </w:tcPr>
          <w:p w14:paraId="472EEAC2" w14:textId="77777777" w:rsidR="00192E25" w:rsidRPr="00FB4EFA" w:rsidRDefault="00192E25" w:rsidP="00312ECF">
            <w:pPr>
              <w:keepNext/>
              <w:spacing w:line="240" w:lineRule="auto"/>
              <w:rPr>
                <w:sz w:val="20"/>
                <w:szCs w:val="20"/>
                <w:lang w:val="et-EE"/>
              </w:rPr>
            </w:pPr>
            <w:r w:rsidRPr="00FB4EFA">
              <w:rPr>
                <w:sz w:val="20"/>
                <w:szCs w:val="20"/>
                <w:lang w:val="et-EE"/>
              </w:rPr>
              <w:t>1313,9</w:t>
            </w:r>
          </w:p>
        </w:tc>
        <w:tc>
          <w:tcPr>
            <w:tcW w:w="0" w:type="auto"/>
            <w:shd w:val="clear" w:color="auto" w:fill="FFFFFF" w:themeFill="background1"/>
            <w:tcMar>
              <w:top w:w="54" w:type="dxa"/>
              <w:left w:w="108" w:type="dxa"/>
              <w:bottom w:w="54" w:type="dxa"/>
              <w:right w:w="108" w:type="dxa"/>
            </w:tcMar>
            <w:hideMark/>
          </w:tcPr>
          <w:p w14:paraId="6DF0E296" w14:textId="77777777" w:rsidR="00192E25" w:rsidRPr="00FB4EFA" w:rsidRDefault="00192E25" w:rsidP="00312ECF">
            <w:pPr>
              <w:keepNext/>
              <w:spacing w:line="240" w:lineRule="auto"/>
              <w:rPr>
                <w:sz w:val="20"/>
                <w:szCs w:val="20"/>
                <w:lang w:val="et-EE"/>
              </w:rPr>
            </w:pPr>
            <w:r w:rsidRPr="00FB4EFA">
              <w:rPr>
                <w:sz w:val="20"/>
                <w:szCs w:val="20"/>
                <w:lang w:val="et-EE"/>
              </w:rPr>
              <w:t>5148,1</w:t>
            </w:r>
          </w:p>
        </w:tc>
      </w:tr>
      <w:tr w:rsidR="00FB4EFA" w:rsidRPr="00FB4EFA" w14:paraId="5C492BEF" w14:textId="77777777" w:rsidTr="00312ECF">
        <w:trPr>
          <w:trHeight w:val="113"/>
        </w:trPr>
        <w:tc>
          <w:tcPr>
            <w:tcW w:w="0" w:type="auto"/>
            <w:tcBorders>
              <w:bottom w:val="nil"/>
              <w:right w:val="single" w:sz="12" w:space="0" w:color="auto"/>
            </w:tcBorders>
            <w:shd w:val="clear" w:color="auto" w:fill="auto"/>
            <w:tcMar>
              <w:top w:w="54" w:type="dxa"/>
              <w:left w:w="108" w:type="dxa"/>
              <w:bottom w:w="54" w:type="dxa"/>
              <w:right w:w="108" w:type="dxa"/>
            </w:tcMar>
            <w:hideMark/>
          </w:tcPr>
          <w:p w14:paraId="01562B86" w14:textId="77777777" w:rsidR="00192E25" w:rsidRPr="00FB4EFA" w:rsidRDefault="00192E25" w:rsidP="00312ECF">
            <w:pPr>
              <w:keepNext/>
              <w:spacing w:line="240" w:lineRule="auto"/>
              <w:rPr>
                <w:sz w:val="20"/>
                <w:szCs w:val="20"/>
                <w:lang w:val="et-EE"/>
              </w:rPr>
            </w:pPr>
            <w:r w:rsidRPr="00FB4EFA">
              <w:rPr>
                <w:sz w:val="20"/>
                <w:szCs w:val="20"/>
                <w:lang w:val="et-EE"/>
              </w:rPr>
              <w:t xml:space="preserve">Eestivenelased </w:t>
            </w:r>
          </w:p>
        </w:tc>
        <w:tc>
          <w:tcPr>
            <w:tcW w:w="0" w:type="auto"/>
            <w:tcBorders>
              <w:left w:val="single" w:sz="12" w:space="0" w:color="auto"/>
            </w:tcBorders>
            <w:shd w:val="clear" w:color="auto" w:fill="auto"/>
            <w:tcMar>
              <w:top w:w="54" w:type="dxa"/>
              <w:left w:w="108" w:type="dxa"/>
              <w:bottom w:w="54" w:type="dxa"/>
              <w:right w:w="108" w:type="dxa"/>
            </w:tcMar>
            <w:hideMark/>
          </w:tcPr>
          <w:p w14:paraId="61D05865" w14:textId="77777777" w:rsidR="00192E25" w:rsidRPr="00FB4EFA" w:rsidRDefault="00192E25" w:rsidP="00312ECF">
            <w:pPr>
              <w:keepNext/>
              <w:spacing w:line="240" w:lineRule="auto"/>
              <w:rPr>
                <w:sz w:val="20"/>
                <w:szCs w:val="20"/>
                <w:lang w:val="et-EE"/>
              </w:rPr>
            </w:pPr>
            <w:r w:rsidRPr="00FB4EFA">
              <w:rPr>
                <w:sz w:val="20"/>
                <w:szCs w:val="20"/>
                <w:lang w:val="et-EE"/>
              </w:rPr>
              <w:t>1091,3</w:t>
            </w:r>
          </w:p>
        </w:tc>
        <w:tc>
          <w:tcPr>
            <w:tcW w:w="0" w:type="auto"/>
            <w:shd w:val="clear" w:color="auto" w:fill="auto"/>
            <w:tcMar>
              <w:top w:w="54" w:type="dxa"/>
              <w:left w:w="108" w:type="dxa"/>
              <w:bottom w:w="54" w:type="dxa"/>
              <w:right w:w="108" w:type="dxa"/>
            </w:tcMar>
            <w:hideMark/>
          </w:tcPr>
          <w:p w14:paraId="10DBF4AF" w14:textId="77777777" w:rsidR="00192E25" w:rsidRPr="00FB4EFA" w:rsidRDefault="00192E25" w:rsidP="00312ECF">
            <w:pPr>
              <w:keepNext/>
              <w:spacing w:line="240" w:lineRule="auto"/>
              <w:rPr>
                <w:sz w:val="20"/>
                <w:szCs w:val="20"/>
                <w:lang w:val="et-EE"/>
              </w:rPr>
            </w:pPr>
            <w:r w:rsidRPr="00FB4EFA">
              <w:rPr>
                <w:sz w:val="20"/>
                <w:szCs w:val="20"/>
                <w:lang w:val="et-EE"/>
              </w:rPr>
              <w:t>1777,5</w:t>
            </w:r>
          </w:p>
        </w:tc>
        <w:tc>
          <w:tcPr>
            <w:tcW w:w="0" w:type="auto"/>
            <w:shd w:val="clear" w:color="auto" w:fill="auto"/>
            <w:tcMar>
              <w:top w:w="54" w:type="dxa"/>
              <w:left w:w="108" w:type="dxa"/>
              <w:bottom w:w="54" w:type="dxa"/>
              <w:right w:w="108" w:type="dxa"/>
            </w:tcMar>
            <w:hideMark/>
          </w:tcPr>
          <w:p w14:paraId="6146A248" w14:textId="77777777" w:rsidR="00192E25" w:rsidRPr="00FB4EFA" w:rsidRDefault="00192E25" w:rsidP="00312ECF">
            <w:pPr>
              <w:keepNext/>
              <w:spacing w:line="240" w:lineRule="auto"/>
              <w:rPr>
                <w:sz w:val="20"/>
                <w:szCs w:val="20"/>
                <w:lang w:val="et-EE"/>
              </w:rPr>
            </w:pPr>
            <w:r w:rsidRPr="00FB4EFA">
              <w:rPr>
                <w:sz w:val="20"/>
                <w:szCs w:val="20"/>
                <w:lang w:val="et-EE"/>
              </w:rPr>
              <w:t>1928,8</w:t>
            </w:r>
          </w:p>
        </w:tc>
        <w:tc>
          <w:tcPr>
            <w:tcW w:w="0" w:type="auto"/>
            <w:shd w:val="clear" w:color="auto" w:fill="FFFFFF" w:themeFill="background1"/>
            <w:tcMar>
              <w:top w:w="54" w:type="dxa"/>
              <w:left w:w="108" w:type="dxa"/>
              <w:bottom w:w="54" w:type="dxa"/>
              <w:right w:w="108" w:type="dxa"/>
            </w:tcMar>
            <w:hideMark/>
          </w:tcPr>
          <w:p w14:paraId="6DCC93A6" w14:textId="77777777" w:rsidR="00192E25" w:rsidRPr="00FB4EFA" w:rsidRDefault="00192E25" w:rsidP="00312ECF">
            <w:pPr>
              <w:keepNext/>
              <w:spacing w:line="240" w:lineRule="auto"/>
              <w:rPr>
                <w:sz w:val="20"/>
                <w:szCs w:val="20"/>
                <w:lang w:val="et-EE"/>
              </w:rPr>
            </w:pPr>
            <w:r w:rsidRPr="00FB4EFA">
              <w:rPr>
                <w:sz w:val="20"/>
                <w:szCs w:val="20"/>
                <w:lang w:val="et-EE"/>
              </w:rPr>
              <w:t>3960,0</w:t>
            </w:r>
          </w:p>
        </w:tc>
      </w:tr>
    </w:tbl>
    <w:p w14:paraId="7E274790" w14:textId="77777777" w:rsidR="00192E25" w:rsidRPr="00FB4EFA" w:rsidRDefault="00192E25" w:rsidP="00312ECF">
      <w:pPr>
        <w:spacing w:before="120" w:after="240" w:line="240" w:lineRule="auto"/>
        <w:jc w:val="center"/>
        <w:rPr>
          <w:bCs/>
          <w:sz w:val="18"/>
          <w:szCs w:val="18"/>
          <w:lang w:val="et-EE"/>
        </w:rPr>
      </w:pPr>
      <w:r w:rsidRPr="00FB4EFA">
        <w:rPr>
          <w:b/>
          <w:sz w:val="18"/>
          <w:szCs w:val="18"/>
          <w:lang w:val="et-EE"/>
        </w:rPr>
        <w:t>Tabel 2</w:t>
      </w:r>
      <w:r w:rsidRPr="00FB4EFA">
        <w:rPr>
          <w:bCs/>
          <w:sz w:val="18"/>
          <w:szCs w:val="18"/>
          <w:lang w:val="et-EE"/>
        </w:rPr>
        <w:t xml:space="preserve">: Vastuste </w:t>
      </w:r>
      <w:r w:rsidRPr="00FB4EFA">
        <w:rPr>
          <w:bCs/>
          <w:i/>
          <w:iCs/>
          <w:sz w:val="18"/>
          <w:szCs w:val="18"/>
          <w:lang w:val="et-EE"/>
        </w:rPr>
        <w:t>samasugune</w:t>
      </w:r>
      <w:r w:rsidRPr="00FB4EFA">
        <w:rPr>
          <w:bCs/>
          <w:sz w:val="18"/>
          <w:szCs w:val="18"/>
          <w:lang w:val="et-EE"/>
        </w:rPr>
        <w:t xml:space="preserve">, </w:t>
      </w:r>
      <w:r w:rsidRPr="00FB4EFA">
        <w:rPr>
          <w:bCs/>
          <w:i/>
          <w:iCs/>
          <w:sz w:val="18"/>
          <w:szCs w:val="18"/>
          <w:lang w:val="et-EE"/>
        </w:rPr>
        <w:t>üsna samasugune</w:t>
      </w:r>
      <w:r w:rsidRPr="00FB4EFA">
        <w:rPr>
          <w:bCs/>
          <w:sz w:val="18"/>
          <w:szCs w:val="18"/>
          <w:lang w:val="et-EE"/>
        </w:rPr>
        <w:t xml:space="preserve"> ja </w:t>
      </w:r>
      <w:r w:rsidRPr="00FB4EFA">
        <w:rPr>
          <w:bCs/>
          <w:i/>
          <w:iCs/>
          <w:sz w:val="18"/>
          <w:szCs w:val="18"/>
          <w:lang w:val="et-EE"/>
        </w:rPr>
        <w:t>erinev</w:t>
      </w:r>
      <w:r w:rsidRPr="00FB4EFA">
        <w:rPr>
          <w:bCs/>
          <w:sz w:val="18"/>
          <w:szCs w:val="18"/>
          <w:lang w:val="et-EE"/>
        </w:rPr>
        <w:t xml:space="preserve"> arv ning tunnetatud sarnasuse indeks osalejarühmade kaupa</w:t>
      </w:r>
    </w:p>
    <w:p w14:paraId="43F1540D" w14:textId="77777777" w:rsidR="00192E25" w:rsidRPr="00FB4EFA" w:rsidRDefault="00192E25" w:rsidP="00312ECF">
      <w:pPr>
        <w:rPr>
          <w:lang w:val="et-EE"/>
        </w:rPr>
      </w:pPr>
      <w:r w:rsidRPr="00FB4EFA">
        <w:rPr>
          <w:lang w:val="et-EE"/>
        </w:rPr>
        <w:t>Tabelis 2 esitatud tulemustest nähtub, et rootsi- ja soomekeelsed uurimuses osalejad tunnetavad eesti ja soome keele morfoloogiliste vormide sarnasust eesti- ja venekeelsetest osalejatest märgatavalt paremini. Soome keelt esimese ja teise keelena kasutajate vahel märkimisväärseid erinevusi ei ole: tähelepanu võiks juhtida vaid rootsikeelsete osalejate üsna samasuguste vastuste veidi suuremale hulgale võrreldes soomekeelsete osalejatega. Eestikeelsed vastajad seevastu peavad sõnapaare pigem üsna samasuguseks kui samasuguseks või erinevaks ehk keskenduvad n-ö keskmisele, venekeelsed aga näevad rohkem erinevusi.</w:t>
      </w:r>
    </w:p>
    <w:p w14:paraId="1C325090" w14:textId="77777777" w:rsidR="00192E25" w:rsidRPr="00FB4EFA" w:rsidRDefault="00192E25" w:rsidP="00312ECF">
      <w:pPr>
        <w:ind w:firstLine="720"/>
        <w:rPr>
          <w:lang w:val="et-EE"/>
        </w:rPr>
      </w:pPr>
      <w:r w:rsidRPr="00FB4EFA">
        <w:rPr>
          <w:lang w:val="et-EE"/>
        </w:rPr>
        <w:t>Et selgitada, millised tegurid sarnasuse tunnetamist mõjutavad, paluti osalejatel oma valikuid põhjendada. Valikute tagapõhja oli võimalus avada emakeeles, kuid siiski oli suurem osa soomerootslaste vastustest soome- ja kõik eestivenelaste vastused eestikeelsed. Need osalejate algsel kujul esitatud kommentaarid on järgneva analüüsi aluseks. Keelelise mitmekesisuse huvides on soomerootslaste kommentaaridest valitud näideteks rootsikeelsed, mis sisult siiski kuidagi ei erine nende soomekeelsetest kommentaaridest.</w:t>
      </w:r>
    </w:p>
    <w:p w14:paraId="514975FC" w14:textId="77777777" w:rsidR="00192E25" w:rsidRPr="00FB4EFA" w:rsidRDefault="00192E25" w:rsidP="00312ECF">
      <w:pPr>
        <w:pStyle w:val="Heading2"/>
        <w:numPr>
          <w:ilvl w:val="0"/>
          <w:numId w:val="5"/>
        </w:numPr>
        <w:spacing w:line="259" w:lineRule="auto"/>
        <w:rPr>
          <w:color w:val="auto"/>
          <w:lang w:val="et-EE"/>
        </w:rPr>
      </w:pPr>
      <w:r w:rsidRPr="00FB4EFA">
        <w:rPr>
          <w:color w:val="auto"/>
          <w:lang w:val="et-EE"/>
        </w:rPr>
        <w:t>Keeleteadlikkuse avaldumisvormid sarnasuse tunnetamisel</w:t>
      </w:r>
    </w:p>
    <w:p w14:paraId="0A401DF1" w14:textId="77777777" w:rsidR="00192E25" w:rsidRPr="00FB4EFA" w:rsidRDefault="00192E25" w:rsidP="00312ECF">
      <w:pPr>
        <w:pStyle w:val="Heading3"/>
        <w:numPr>
          <w:ilvl w:val="1"/>
          <w:numId w:val="5"/>
        </w:numPr>
        <w:spacing w:line="259" w:lineRule="auto"/>
        <w:rPr>
          <w:lang w:val="et-EE"/>
        </w:rPr>
      </w:pPr>
      <w:r w:rsidRPr="00FB4EFA">
        <w:rPr>
          <w:lang w:val="et-EE"/>
        </w:rPr>
        <w:t>Fonoloogia- ja ortograafiateadlikkus</w:t>
      </w:r>
    </w:p>
    <w:p w14:paraId="58C94E69" w14:textId="77777777" w:rsidR="00192E25" w:rsidRPr="00FB4EFA" w:rsidRDefault="00192E25" w:rsidP="00312ECF">
      <w:pPr>
        <w:spacing w:after="240"/>
        <w:rPr>
          <w:lang w:val="et-EE"/>
        </w:rPr>
      </w:pPr>
      <w:r w:rsidRPr="00FB4EFA">
        <w:rPr>
          <w:lang w:val="et-EE"/>
        </w:rPr>
        <w:t>Fonoloogia- ja ortograafiateadlikkus ilmneb sõnavormide auditiivsel või visuaalsel võrdlemisel ning väljendub hääliku või tähe või nende järjendite sarnasuse või erinevuse tunnetamises. Tegemist on keele pindtasandi</w:t>
      </w:r>
      <w:r w:rsidRPr="00FB4EFA">
        <w:rPr>
          <w:lang w:val="et-EE"/>
        </w:rPr>
        <w:lastRenderedPageBreak/>
        <w:t>ga, seetõttu on seda tüüpi keeltevahelist sarnasust nimetatud ka pindmiseks (</w:t>
      </w:r>
      <w:r w:rsidRPr="00FB4EFA">
        <w:rPr>
          <w:i/>
          <w:iCs/>
          <w:lang w:val="et-EE"/>
        </w:rPr>
        <w:t>surface</w:t>
      </w:r>
      <w:r w:rsidRPr="00FB4EFA">
        <w:rPr>
          <w:lang w:val="et-EE"/>
        </w:rPr>
        <w:t>)</w:t>
      </w:r>
      <w:r w:rsidRPr="00FB4EFA">
        <w:rPr>
          <w:i/>
          <w:iCs/>
          <w:lang w:val="et-EE"/>
        </w:rPr>
        <w:t xml:space="preserve"> </w:t>
      </w:r>
      <w:r w:rsidRPr="00FB4EFA">
        <w:rPr>
          <w:lang w:val="et-EE"/>
        </w:rPr>
        <w:t>sarnasuseks. Fonoloogia- ja ortograafiateadlikkust osutavaid kommentaare esineb kõikides osalejate rühmades:</w:t>
      </w:r>
    </w:p>
    <w:p w14:paraId="3DD20443" w14:textId="77777777" w:rsidR="00192E25" w:rsidRPr="00FB4EFA" w:rsidRDefault="00192E25" w:rsidP="00312ECF">
      <w:pPr>
        <w:keepNext/>
        <w:numPr>
          <w:ilvl w:val="0"/>
          <w:numId w:val="4"/>
        </w:numPr>
        <w:spacing w:line="240" w:lineRule="auto"/>
        <w:ind w:left="567" w:hanging="567"/>
        <w:rPr>
          <w:szCs w:val="24"/>
          <w:lang w:val="et-EE"/>
        </w:rPr>
      </w:pPr>
      <w:r w:rsidRPr="00FB4EFA">
        <w:rPr>
          <w:i/>
          <w:iCs/>
          <w:szCs w:val="24"/>
          <w:lang w:val="et-EE"/>
        </w:rPr>
        <w:t>Samanlainen sana, mutta vain hieman lyhyemmät konsonantit ja puuttuva vokaali</w:t>
      </w:r>
      <w:r w:rsidRPr="00FB4EFA">
        <w:rPr>
          <w:szCs w:val="24"/>
          <w:lang w:val="et-EE"/>
        </w:rPr>
        <w:t>. (tyttäre-lle – tütre-le) (S)</w:t>
      </w:r>
    </w:p>
    <w:p w14:paraId="3CFA4A51" w14:textId="77777777" w:rsidR="00192E25" w:rsidRPr="00FB4EFA" w:rsidRDefault="00192E25" w:rsidP="00312ECF">
      <w:pPr>
        <w:spacing w:after="240" w:line="240" w:lineRule="auto"/>
        <w:ind w:left="567"/>
        <w:rPr>
          <w:szCs w:val="24"/>
          <w:lang w:val="et-EE"/>
        </w:rPr>
      </w:pPr>
      <w:r w:rsidRPr="00FB4EFA">
        <w:rPr>
          <w:rFonts w:eastAsia="Times New Roman" w:cs="Courier New"/>
          <w:szCs w:val="24"/>
          <w:lang w:val="et-EE" w:eastAsia="fi-FI"/>
        </w:rPr>
        <w:t>‘</w:t>
      </w:r>
      <w:r w:rsidRPr="00FB4EFA">
        <w:rPr>
          <w:szCs w:val="24"/>
          <w:lang w:val="et-EE"/>
        </w:rPr>
        <w:t>Samasugune sõna, aga ainult natuke lühemad konsonandid ja puuduv vokaal.’</w:t>
      </w:r>
    </w:p>
    <w:p w14:paraId="6901E64E" w14:textId="77777777" w:rsidR="00192E25" w:rsidRPr="00FB4EFA" w:rsidRDefault="00192E25" w:rsidP="00312ECF">
      <w:pPr>
        <w:numPr>
          <w:ilvl w:val="0"/>
          <w:numId w:val="4"/>
        </w:numPr>
        <w:spacing w:before="240" w:after="240" w:line="240" w:lineRule="auto"/>
        <w:ind w:left="567" w:hanging="567"/>
        <w:rPr>
          <w:szCs w:val="24"/>
          <w:lang w:val="et-EE"/>
        </w:rPr>
      </w:pPr>
      <w:r w:rsidRPr="00FB4EFA">
        <w:rPr>
          <w:i/>
          <w:iCs/>
          <w:szCs w:val="24"/>
          <w:lang w:val="et-EE"/>
        </w:rPr>
        <w:t>Nõrk või tugev</w:t>
      </w:r>
      <w:r w:rsidRPr="00FB4EFA">
        <w:rPr>
          <w:b/>
          <w:bCs/>
          <w:i/>
          <w:iCs/>
          <w:szCs w:val="24"/>
          <w:lang w:val="et-EE"/>
        </w:rPr>
        <w:t xml:space="preserve"> </w:t>
      </w:r>
      <w:r w:rsidRPr="00FB4EFA">
        <w:rPr>
          <w:szCs w:val="24"/>
          <w:lang w:val="et-EE"/>
        </w:rPr>
        <w:t>-t</w:t>
      </w:r>
      <w:r w:rsidRPr="00FB4EFA">
        <w:rPr>
          <w:b/>
          <w:bCs/>
          <w:i/>
          <w:iCs/>
          <w:szCs w:val="24"/>
          <w:lang w:val="et-EE"/>
        </w:rPr>
        <w:t xml:space="preserve"> </w:t>
      </w:r>
      <w:r w:rsidRPr="00FB4EFA">
        <w:rPr>
          <w:i/>
          <w:iCs/>
          <w:szCs w:val="24"/>
          <w:lang w:val="et-EE"/>
        </w:rPr>
        <w:t xml:space="preserve">on ikkagi sama, ja hääldus võib näiteks sama olla </w:t>
      </w:r>
      <w:r w:rsidRPr="00FB4EFA">
        <w:rPr>
          <w:szCs w:val="24"/>
          <w:lang w:val="et-EE"/>
        </w:rPr>
        <w:t>(kala-d – kala-t) (E)</w:t>
      </w:r>
    </w:p>
    <w:p w14:paraId="08ED3939" w14:textId="77777777" w:rsidR="00192E25" w:rsidRPr="00FB4EFA" w:rsidRDefault="00192E25" w:rsidP="00312ECF">
      <w:pPr>
        <w:numPr>
          <w:ilvl w:val="0"/>
          <w:numId w:val="4"/>
        </w:numPr>
        <w:spacing w:line="240" w:lineRule="auto"/>
        <w:ind w:left="567" w:hanging="567"/>
        <w:rPr>
          <w:szCs w:val="24"/>
          <w:lang w:val="et-EE"/>
        </w:rPr>
      </w:pPr>
      <w:r w:rsidRPr="00FB4EFA">
        <w:rPr>
          <w:i/>
          <w:iCs/>
          <w:szCs w:val="24"/>
          <w:lang w:val="et-EE"/>
        </w:rPr>
        <w:t>I uttal låter de lika</w:t>
      </w:r>
      <w:r w:rsidRPr="00FB4EFA">
        <w:rPr>
          <w:szCs w:val="24"/>
          <w:lang w:val="et-EE"/>
        </w:rPr>
        <w:t xml:space="preserve"> (setele-j-ä – sedele-i-d) (R)</w:t>
      </w:r>
    </w:p>
    <w:p w14:paraId="0FB8EEFD" w14:textId="77777777" w:rsidR="00192E25" w:rsidRPr="00FB4EFA" w:rsidRDefault="00192E25" w:rsidP="00312ECF">
      <w:pPr>
        <w:spacing w:after="240" w:line="240" w:lineRule="auto"/>
        <w:ind w:left="567"/>
        <w:rPr>
          <w:rFonts w:eastAsia="Times New Roman" w:cs="Courier New"/>
          <w:szCs w:val="24"/>
          <w:lang w:val="et-EE" w:eastAsia="fi-FI"/>
        </w:rPr>
      </w:pPr>
      <w:r w:rsidRPr="00FB4EFA">
        <w:rPr>
          <w:rFonts w:eastAsia="Times New Roman" w:cs="Courier New"/>
          <w:szCs w:val="24"/>
          <w:lang w:val="et-EE" w:eastAsia="fi-FI"/>
        </w:rPr>
        <w:t>‘Häälduses kõlavad samamoodi’</w:t>
      </w:r>
    </w:p>
    <w:p w14:paraId="44B52AFD" w14:textId="77777777" w:rsidR="00192E25" w:rsidRPr="00FB4EFA" w:rsidRDefault="00192E25" w:rsidP="00312ECF">
      <w:pPr>
        <w:numPr>
          <w:ilvl w:val="0"/>
          <w:numId w:val="4"/>
        </w:numPr>
        <w:spacing w:line="240" w:lineRule="auto"/>
        <w:ind w:left="567" w:hanging="567"/>
        <w:rPr>
          <w:rFonts w:eastAsia="Times New Roman" w:cs="Courier New"/>
          <w:szCs w:val="24"/>
          <w:lang w:val="et-EE" w:eastAsia="fi-FI"/>
        </w:rPr>
      </w:pPr>
      <w:r w:rsidRPr="00FB4EFA">
        <w:rPr>
          <w:rFonts w:eastAsia="Times New Roman" w:cs="Courier New"/>
          <w:i/>
          <w:iCs/>
          <w:szCs w:val="24"/>
          <w:lang w:val="et-EE" w:eastAsia="fi-FI"/>
        </w:rPr>
        <w:t>Ainult üks täht on lisatud</w:t>
      </w:r>
      <w:r w:rsidRPr="00FB4EFA">
        <w:rPr>
          <w:rFonts w:eastAsia="Times New Roman" w:cs="Courier New"/>
          <w:szCs w:val="24"/>
          <w:lang w:val="et-EE" w:eastAsia="fi-FI"/>
        </w:rPr>
        <w:t xml:space="preserve"> (sinis-te – sinis-te-n) (V)</w:t>
      </w:r>
    </w:p>
    <w:p w14:paraId="753F05E5" w14:textId="77777777" w:rsidR="00192E25" w:rsidRPr="00FB4EFA" w:rsidRDefault="00192E25" w:rsidP="00312ECF">
      <w:pPr>
        <w:spacing w:before="240"/>
        <w:rPr>
          <w:lang w:val="et-EE"/>
        </w:rPr>
      </w:pPr>
      <w:r w:rsidRPr="00FB4EFA">
        <w:rPr>
          <w:lang w:val="et-EE"/>
        </w:rPr>
        <w:t>Kui soomlaste, eestlaste ja soomerootslaste kommentaarides esineb fonoloogia- ja ortograafiateadlikkust osutavaid mõtteid võrreldes muid teadlikkuse avaldumisvorme väljendavate kommentaaridega suhteliselt vähe, siis eestivenelaste vastustes on fonoloogia- ja ortograafiateadlikkust osutavad kommentaarid valdavad.</w:t>
      </w:r>
    </w:p>
    <w:p w14:paraId="0DD2282B" w14:textId="77777777" w:rsidR="00192E25" w:rsidRPr="00FB4EFA" w:rsidRDefault="00192E25" w:rsidP="00312ECF">
      <w:pPr>
        <w:pStyle w:val="Heading3"/>
        <w:numPr>
          <w:ilvl w:val="1"/>
          <w:numId w:val="5"/>
        </w:numPr>
        <w:spacing w:line="259" w:lineRule="auto"/>
        <w:rPr>
          <w:lang w:val="et-EE"/>
        </w:rPr>
      </w:pPr>
      <w:r w:rsidRPr="00FB4EFA">
        <w:rPr>
          <w:lang w:val="et-EE"/>
        </w:rPr>
        <w:t>Morfoloogia- ja paradigmateadlikkus</w:t>
      </w:r>
    </w:p>
    <w:p w14:paraId="525BA468" w14:textId="77777777" w:rsidR="00192E25" w:rsidRPr="00FB4EFA" w:rsidRDefault="00192E25" w:rsidP="00312ECF">
      <w:pPr>
        <w:rPr>
          <w:lang w:val="et-EE"/>
        </w:rPr>
      </w:pPr>
      <w:r w:rsidRPr="00FB4EFA">
        <w:rPr>
          <w:lang w:val="et-EE"/>
        </w:rPr>
        <w:t>Morfoloogiateadlikkus väljendub muutevormi struktuuri tunnetamises, teadmises, et käändevorm koosneb tüvest ja muuteformatiividest ehk tunnustest ja lõppudest. Ka sellele teadlikkusekategooriale viitavaid kommentaare esineb kõikide osalejate rühmade testivastustes:</w:t>
      </w:r>
    </w:p>
    <w:p w14:paraId="20BEF8C2" w14:textId="77777777" w:rsidR="00192E25" w:rsidRPr="00FB4EFA" w:rsidRDefault="00192E25" w:rsidP="00312ECF">
      <w:pPr>
        <w:numPr>
          <w:ilvl w:val="0"/>
          <w:numId w:val="4"/>
        </w:numPr>
        <w:spacing w:before="240" w:line="240" w:lineRule="auto"/>
        <w:ind w:left="567" w:hanging="567"/>
        <w:rPr>
          <w:szCs w:val="24"/>
          <w:lang w:val="et-EE"/>
        </w:rPr>
      </w:pPr>
      <w:r w:rsidRPr="00FB4EFA">
        <w:rPr>
          <w:i/>
          <w:iCs/>
          <w:szCs w:val="24"/>
          <w:lang w:val="et-EE"/>
        </w:rPr>
        <w:t>Pääte sama, mutta sanan vartalo erilainen</w:t>
      </w:r>
    </w:p>
    <w:p w14:paraId="5959EF2F" w14:textId="77777777" w:rsidR="00192E25" w:rsidRPr="00FB4EFA" w:rsidRDefault="00192E25" w:rsidP="00312ECF">
      <w:pPr>
        <w:spacing w:line="240" w:lineRule="auto"/>
        <w:ind w:left="567"/>
        <w:rPr>
          <w:szCs w:val="24"/>
          <w:lang w:val="et-EE"/>
        </w:rPr>
      </w:pPr>
      <w:r w:rsidRPr="00FB4EFA">
        <w:rPr>
          <w:szCs w:val="24"/>
          <w:lang w:val="et-EE"/>
        </w:rPr>
        <w:t>(nope-i-lle – nobeda-i-le) (S)</w:t>
      </w:r>
    </w:p>
    <w:p w14:paraId="6A39CD91" w14:textId="77777777" w:rsidR="00192E25" w:rsidRPr="00FB4EFA" w:rsidRDefault="00192E25" w:rsidP="00312ECF">
      <w:pPr>
        <w:spacing w:after="240" w:line="240" w:lineRule="auto"/>
        <w:ind w:left="567"/>
        <w:rPr>
          <w:szCs w:val="24"/>
          <w:lang w:val="et-EE"/>
        </w:rPr>
      </w:pPr>
      <w:r w:rsidRPr="00FB4EFA">
        <w:rPr>
          <w:szCs w:val="24"/>
          <w:lang w:val="et-EE"/>
        </w:rPr>
        <w:t>‘Lõpp sama, aga sõna tüvi erinev.’</w:t>
      </w:r>
    </w:p>
    <w:p w14:paraId="4690184E" w14:textId="77777777" w:rsidR="00192E25" w:rsidRPr="00FB4EFA" w:rsidRDefault="00192E25" w:rsidP="00312ECF">
      <w:pPr>
        <w:numPr>
          <w:ilvl w:val="0"/>
          <w:numId w:val="4"/>
        </w:numPr>
        <w:spacing w:after="240" w:line="240" w:lineRule="auto"/>
        <w:ind w:left="567" w:hanging="567"/>
        <w:rPr>
          <w:szCs w:val="24"/>
          <w:lang w:val="et-EE"/>
        </w:rPr>
      </w:pPr>
      <w:r w:rsidRPr="00FB4EFA">
        <w:rPr>
          <w:i/>
          <w:iCs/>
          <w:szCs w:val="24"/>
          <w:lang w:val="et-EE"/>
        </w:rPr>
        <w:t>Sõnatüvi jääb samaks, käändelõpud erinevad</w:t>
      </w:r>
      <w:r w:rsidRPr="00FB4EFA">
        <w:rPr>
          <w:szCs w:val="24"/>
          <w:lang w:val="et-EE"/>
        </w:rPr>
        <w:t xml:space="preserve"> (linde-lintu-ja) (E)</w:t>
      </w:r>
    </w:p>
    <w:p w14:paraId="21014001" w14:textId="77777777" w:rsidR="00192E25" w:rsidRPr="00FB4EFA" w:rsidRDefault="00192E25" w:rsidP="00312ECF">
      <w:pPr>
        <w:numPr>
          <w:ilvl w:val="0"/>
          <w:numId w:val="4"/>
        </w:numPr>
        <w:spacing w:line="240" w:lineRule="auto"/>
        <w:ind w:left="567" w:hanging="567"/>
        <w:rPr>
          <w:rFonts w:eastAsia="Times New Roman" w:cs="Courier New"/>
          <w:szCs w:val="24"/>
          <w:lang w:val="et-EE" w:eastAsia="fi-FI"/>
        </w:rPr>
      </w:pPr>
      <w:r w:rsidRPr="00FB4EFA">
        <w:rPr>
          <w:rFonts w:eastAsia="Times New Roman" w:cs="Courier New"/>
          <w:i/>
          <w:iCs/>
          <w:szCs w:val="24"/>
          <w:lang w:val="et-EE" w:eastAsia="fi-FI"/>
        </w:rPr>
        <w:t xml:space="preserve">Ändelserna låter olika </w:t>
      </w:r>
      <w:r w:rsidRPr="00FB4EFA">
        <w:rPr>
          <w:rFonts w:eastAsia="Times New Roman" w:cs="Courier New"/>
          <w:szCs w:val="24"/>
          <w:lang w:val="et-EE" w:eastAsia="fi-FI"/>
        </w:rPr>
        <w:t>(järve-en – järve) (R)</w:t>
      </w:r>
    </w:p>
    <w:p w14:paraId="48012DC5" w14:textId="77777777" w:rsidR="00192E25" w:rsidRPr="00FB4EFA" w:rsidRDefault="00192E25" w:rsidP="00312ECF">
      <w:pPr>
        <w:spacing w:after="240" w:line="240" w:lineRule="auto"/>
        <w:ind w:left="567"/>
        <w:rPr>
          <w:rFonts w:eastAsia="Times New Roman" w:cs="Courier New"/>
          <w:szCs w:val="24"/>
          <w:lang w:val="et-EE" w:eastAsia="fi-FI"/>
        </w:rPr>
      </w:pPr>
      <w:r w:rsidRPr="00FB4EFA">
        <w:rPr>
          <w:szCs w:val="24"/>
          <w:lang w:val="et-EE"/>
        </w:rPr>
        <w:t>‘</w:t>
      </w:r>
      <w:r w:rsidRPr="00FB4EFA">
        <w:rPr>
          <w:rFonts w:eastAsia="Times New Roman" w:cs="Courier New"/>
          <w:szCs w:val="24"/>
          <w:lang w:val="et-EE" w:eastAsia="fi-FI"/>
        </w:rPr>
        <w:t>Lõpud kõlavad erinevalt’</w:t>
      </w:r>
    </w:p>
    <w:p w14:paraId="7045BC60" w14:textId="77777777" w:rsidR="00192E25" w:rsidRPr="00FB4EFA" w:rsidRDefault="00192E25" w:rsidP="00312ECF">
      <w:pPr>
        <w:numPr>
          <w:ilvl w:val="0"/>
          <w:numId w:val="4"/>
        </w:numPr>
        <w:spacing w:after="240" w:line="240" w:lineRule="auto"/>
        <w:ind w:left="567" w:hanging="567"/>
        <w:rPr>
          <w:szCs w:val="24"/>
          <w:lang w:val="et-EE"/>
        </w:rPr>
      </w:pPr>
      <w:r w:rsidRPr="00FB4EFA">
        <w:rPr>
          <w:i/>
          <w:iCs/>
          <w:szCs w:val="24"/>
          <w:lang w:val="et-EE"/>
        </w:rPr>
        <w:t>Alalütleva lõpud natuke erinevad</w:t>
      </w:r>
      <w:r w:rsidRPr="00FB4EFA">
        <w:rPr>
          <w:szCs w:val="24"/>
          <w:lang w:val="et-EE"/>
        </w:rPr>
        <w:t xml:space="preserve"> l = illa (illä) (ves-i-llä – ve-te-l) (V)</w:t>
      </w:r>
    </w:p>
    <w:p w14:paraId="3E589899" w14:textId="7C51A2A2" w:rsidR="00192E25" w:rsidRPr="00FB4EFA" w:rsidRDefault="00192E25" w:rsidP="00312ECF">
      <w:pPr>
        <w:spacing w:before="240"/>
        <w:rPr>
          <w:lang w:val="et-EE"/>
        </w:rPr>
      </w:pPr>
      <w:r w:rsidRPr="00FB4EFA">
        <w:rPr>
          <w:lang w:val="et-EE"/>
        </w:rPr>
        <w:lastRenderedPageBreak/>
        <w:t>Esitatud näidetes piirdub morfoloogiateadlikkus võrreldavate testisõnade vormidega. Seda teadlikkuse kategooriat esindavad kommentaarid on eestlaste testivastustes valdavad. Üsna rohkelt, kuid siiski vähem kui fonoloogia- ja ortograafiateadlikkusele viitavaid kommentaare, esineb morfoloogiateadlikkust osutavaid kommentaare eestivenelaste vastustes. Soomerootslaste puhul ei piirdu võrdlus ainult soome ja eesti testisõnadega, vaid eesti keele sõnavorme võrreldakse ka skandinaavia keeltega:</w:t>
      </w:r>
    </w:p>
    <w:p w14:paraId="67E30ACF" w14:textId="77777777" w:rsidR="00192E25" w:rsidRPr="00FB4EFA" w:rsidRDefault="00192E25" w:rsidP="00312ECF">
      <w:pPr>
        <w:numPr>
          <w:ilvl w:val="0"/>
          <w:numId w:val="4"/>
        </w:numPr>
        <w:spacing w:before="240" w:line="240" w:lineRule="auto"/>
        <w:ind w:left="567" w:hanging="567"/>
        <w:rPr>
          <w:szCs w:val="24"/>
          <w:lang w:val="et-EE"/>
        </w:rPr>
      </w:pPr>
      <w:r w:rsidRPr="00FB4EFA">
        <w:rPr>
          <w:szCs w:val="24"/>
          <w:lang w:val="et-EE"/>
        </w:rPr>
        <w:t>lintuja</w:t>
      </w:r>
      <w:r w:rsidRPr="00FB4EFA">
        <w:rPr>
          <w:i/>
          <w:iCs/>
          <w:szCs w:val="24"/>
          <w:lang w:val="et-EE"/>
        </w:rPr>
        <w:t xml:space="preserve"> flera. </w:t>
      </w:r>
      <w:r w:rsidRPr="00FB4EFA">
        <w:rPr>
          <w:szCs w:val="24"/>
          <w:lang w:val="et-EE"/>
        </w:rPr>
        <w:t>Linde</w:t>
      </w:r>
      <w:r w:rsidRPr="00FB4EFA">
        <w:rPr>
          <w:i/>
          <w:iCs/>
          <w:szCs w:val="24"/>
          <w:lang w:val="et-EE"/>
        </w:rPr>
        <w:t xml:space="preserve"> – ser ut som svenska/norska, </w:t>
      </w:r>
      <w:r w:rsidRPr="00FB4EFA">
        <w:rPr>
          <w:szCs w:val="24"/>
          <w:lang w:val="et-EE"/>
        </w:rPr>
        <w:t>en lind</w:t>
      </w:r>
      <w:r w:rsidRPr="00FB4EFA">
        <w:rPr>
          <w:i/>
          <w:iCs/>
          <w:szCs w:val="24"/>
          <w:lang w:val="et-EE"/>
        </w:rPr>
        <w:t xml:space="preserve">, </w:t>
      </w:r>
      <w:r w:rsidRPr="00FB4EFA">
        <w:rPr>
          <w:szCs w:val="24"/>
          <w:lang w:val="et-EE"/>
        </w:rPr>
        <w:t>flera linde</w:t>
      </w:r>
      <w:r w:rsidRPr="00FB4EFA">
        <w:rPr>
          <w:i/>
          <w:iCs/>
          <w:szCs w:val="24"/>
          <w:lang w:val="et-EE"/>
        </w:rPr>
        <w:t xml:space="preserve">. </w:t>
      </w:r>
      <w:r w:rsidRPr="00FB4EFA">
        <w:rPr>
          <w:szCs w:val="24"/>
          <w:lang w:val="et-EE"/>
        </w:rPr>
        <w:t>(lintu-j-a – linde) (R)</w:t>
      </w:r>
    </w:p>
    <w:p w14:paraId="0C229041" w14:textId="77777777" w:rsidR="00192E25" w:rsidRPr="00FB4EFA" w:rsidRDefault="00192E25" w:rsidP="00312ECF">
      <w:pPr>
        <w:spacing w:after="240" w:line="240" w:lineRule="auto"/>
        <w:ind w:left="567"/>
        <w:rPr>
          <w:szCs w:val="24"/>
          <w:lang w:val="et-EE"/>
        </w:rPr>
      </w:pPr>
      <w:r w:rsidRPr="00FB4EFA">
        <w:rPr>
          <w:szCs w:val="24"/>
          <w:lang w:val="et-EE"/>
        </w:rPr>
        <w:t>‘</w:t>
      </w:r>
      <w:r w:rsidRPr="00FB4EFA">
        <w:rPr>
          <w:i/>
          <w:iCs/>
          <w:szCs w:val="24"/>
          <w:lang w:val="et-EE"/>
        </w:rPr>
        <w:t>lintuja</w:t>
      </w:r>
      <w:r w:rsidRPr="00FB4EFA">
        <w:rPr>
          <w:szCs w:val="24"/>
          <w:lang w:val="et-EE"/>
        </w:rPr>
        <w:t xml:space="preserve"> mitu. </w:t>
      </w:r>
      <w:r w:rsidRPr="00FB4EFA">
        <w:rPr>
          <w:i/>
          <w:iCs/>
          <w:szCs w:val="24"/>
          <w:lang w:val="et-EE"/>
        </w:rPr>
        <w:t>Linde</w:t>
      </w:r>
      <w:r w:rsidRPr="00FB4EFA">
        <w:rPr>
          <w:szCs w:val="24"/>
          <w:lang w:val="et-EE"/>
        </w:rPr>
        <w:t xml:space="preserve"> – näeb välja nagu rootsi/norra, üks</w:t>
      </w:r>
      <w:r w:rsidRPr="00FB4EFA">
        <w:rPr>
          <w:i/>
          <w:iCs/>
          <w:szCs w:val="24"/>
          <w:lang w:val="et-EE"/>
        </w:rPr>
        <w:t xml:space="preserve"> lind</w:t>
      </w:r>
      <w:r w:rsidRPr="00FB4EFA">
        <w:rPr>
          <w:szCs w:val="24"/>
          <w:lang w:val="et-EE"/>
        </w:rPr>
        <w:t xml:space="preserve">, mitu </w:t>
      </w:r>
      <w:r w:rsidRPr="00FB4EFA">
        <w:rPr>
          <w:i/>
          <w:iCs/>
          <w:szCs w:val="24"/>
          <w:lang w:val="et-EE"/>
        </w:rPr>
        <w:t>linde</w:t>
      </w:r>
      <w:r w:rsidRPr="00FB4EFA">
        <w:rPr>
          <w:szCs w:val="24"/>
          <w:lang w:val="et-EE"/>
        </w:rPr>
        <w:t>’</w:t>
      </w:r>
    </w:p>
    <w:p w14:paraId="2504B40E" w14:textId="77777777" w:rsidR="00192E25" w:rsidRPr="00FB4EFA" w:rsidRDefault="00192E25" w:rsidP="00312ECF">
      <w:pPr>
        <w:numPr>
          <w:ilvl w:val="0"/>
          <w:numId w:val="4"/>
        </w:numPr>
        <w:spacing w:before="240" w:line="240" w:lineRule="auto"/>
        <w:ind w:left="567" w:hanging="567"/>
        <w:rPr>
          <w:szCs w:val="24"/>
          <w:lang w:val="et-EE"/>
        </w:rPr>
      </w:pPr>
      <w:r w:rsidRPr="00FB4EFA">
        <w:rPr>
          <w:szCs w:val="24"/>
          <w:lang w:val="et-EE"/>
        </w:rPr>
        <w:t>till land/länder -ssE till, i (ma-i-hin – maa-de-sse) (R)</w:t>
      </w:r>
    </w:p>
    <w:p w14:paraId="407C3788" w14:textId="77777777" w:rsidR="00192E25" w:rsidRPr="00FB4EFA" w:rsidRDefault="00192E25" w:rsidP="00312ECF">
      <w:pPr>
        <w:spacing w:after="240" w:line="240" w:lineRule="auto"/>
        <w:ind w:left="567"/>
        <w:rPr>
          <w:szCs w:val="24"/>
          <w:lang w:val="et-EE"/>
        </w:rPr>
      </w:pPr>
      <w:r w:rsidRPr="00FB4EFA">
        <w:rPr>
          <w:szCs w:val="24"/>
          <w:lang w:val="et-EE"/>
        </w:rPr>
        <w:t xml:space="preserve">‘juurde </w:t>
      </w:r>
      <w:r w:rsidRPr="00FB4EFA">
        <w:rPr>
          <w:i/>
          <w:iCs/>
          <w:szCs w:val="24"/>
          <w:lang w:val="et-EE"/>
        </w:rPr>
        <w:t xml:space="preserve">maa/maad -ssE </w:t>
      </w:r>
      <w:r w:rsidRPr="00FB4EFA">
        <w:rPr>
          <w:szCs w:val="24"/>
          <w:lang w:val="et-EE"/>
        </w:rPr>
        <w:t>juurde, sisse’</w:t>
      </w:r>
    </w:p>
    <w:p w14:paraId="786B29F4" w14:textId="23756641" w:rsidR="00192E25" w:rsidRPr="00FB4EFA" w:rsidRDefault="00192E25" w:rsidP="00312ECF">
      <w:pPr>
        <w:spacing w:before="240"/>
        <w:rPr>
          <w:szCs w:val="24"/>
          <w:lang w:val="et-EE"/>
        </w:rPr>
      </w:pPr>
      <w:r w:rsidRPr="00FB4EFA">
        <w:rPr>
          <w:szCs w:val="24"/>
          <w:lang w:val="et-EE"/>
        </w:rPr>
        <w:t xml:space="preserve">Viimases näites on eesti illatiivi </w:t>
      </w:r>
      <w:r w:rsidRPr="00FB4EFA">
        <w:rPr>
          <w:i/>
          <w:iCs/>
          <w:szCs w:val="24"/>
          <w:lang w:val="et-EE"/>
        </w:rPr>
        <w:t>sse</w:t>
      </w:r>
      <w:r w:rsidRPr="00FB4EFA">
        <w:rPr>
          <w:szCs w:val="24"/>
          <w:lang w:val="et-EE"/>
        </w:rPr>
        <w:t xml:space="preserve">-tunnus seostatud ilmselt soome inessiivi </w:t>
      </w:r>
      <w:r w:rsidRPr="00FB4EFA">
        <w:rPr>
          <w:i/>
          <w:iCs/>
          <w:szCs w:val="24"/>
          <w:lang w:val="et-EE"/>
        </w:rPr>
        <w:t>ssa</w:t>
      </w:r>
      <w:r w:rsidRPr="00FB4EFA">
        <w:rPr>
          <w:szCs w:val="24"/>
          <w:lang w:val="et-EE"/>
        </w:rPr>
        <w:t xml:space="preserve">-tunnuse vahendusel rootsi kohta väljendavate eessõnadega </w:t>
      </w:r>
      <w:r w:rsidRPr="00FB4EFA">
        <w:rPr>
          <w:i/>
          <w:iCs/>
          <w:szCs w:val="24"/>
          <w:lang w:val="et-EE"/>
        </w:rPr>
        <w:t>till</w:t>
      </w:r>
      <w:r w:rsidR="00312ECF" w:rsidRPr="00FB4EFA">
        <w:rPr>
          <w:i/>
          <w:iCs/>
          <w:szCs w:val="24"/>
          <w:lang w:val="et-EE"/>
        </w:rPr>
        <w:t> </w:t>
      </w:r>
      <w:r w:rsidRPr="00FB4EFA">
        <w:rPr>
          <w:szCs w:val="24"/>
          <w:lang w:val="et-EE"/>
        </w:rPr>
        <w:t>ja</w:t>
      </w:r>
      <w:r w:rsidR="00312ECF" w:rsidRPr="00FB4EFA">
        <w:rPr>
          <w:szCs w:val="24"/>
          <w:lang w:val="et-EE"/>
        </w:rPr>
        <w:t> </w:t>
      </w:r>
      <w:r w:rsidRPr="00FB4EFA">
        <w:rPr>
          <w:i/>
          <w:iCs/>
          <w:szCs w:val="24"/>
          <w:lang w:val="et-EE"/>
        </w:rPr>
        <w:t>i</w:t>
      </w:r>
      <w:r w:rsidRPr="00FB4EFA">
        <w:rPr>
          <w:szCs w:val="24"/>
          <w:lang w:val="et-EE"/>
        </w:rPr>
        <w:t>.</w:t>
      </w:r>
    </w:p>
    <w:p w14:paraId="423575C5" w14:textId="77777777" w:rsidR="00192E25" w:rsidRPr="00FB4EFA" w:rsidRDefault="00192E25" w:rsidP="00312ECF">
      <w:pPr>
        <w:spacing w:after="240"/>
        <w:ind w:firstLine="720"/>
        <w:rPr>
          <w:rFonts w:cs="Times New Roman"/>
          <w:szCs w:val="24"/>
          <w:lang w:val="et-EE"/>
        </w:rPr>
      </w:pPr>
      <w:r w:rsidRPr="00FB4EFA">
        <w:rPr>
          <w:rFonts w:cs="Times New Roman"/>
          <w:szCs w:val="24"/>
          <w:lang w:val="et-EE"/>
        </w:rPr>
        <w:t>Soomlaste, eestlaste ja soomerootslaste kommentaaridest nähtub, et uurimuses osalejad on teadlikud muutemorfoloogia paradigmaatilisusest, seostest muutevormide ja grammatiliste kategooriate vahel.</w:t>
      </w:r>
    </w:p>
    <w:p w14:paraId="17F3D16C" w14:textId="77777777" w:rsidR="00192E25" w:rsidRPr="00FB4EFA" w:rsidRDefault="00192E25" w:rsidP="00312ECF">
      <w:pPr>
        <w:keepNext/>
        <w:numPr>
          <w:ilvl w:val="0"/>
          <w:numId w:val="4"/>
        </w:numPr>
        <w:spacing w:before="240" w:line="240" w:lineRule="auto"/>
        <w:ind w:left="567" w:hanging="567"/>
        <w:rPr>
          <w:szCs w:val="24"/>
          <w:lang w:val="et-EE"/>
        </w:rPr>
      </w:pPr>
      <w:r w:rsidRPr="00FB4EFA">
        <w:rPr>
          <w:i/>
          <w:iCs/>
          <w:szCs w:val="24"/>
          <w:lang w:val="et-EE"/>
        </w:rPr>
        <w:t xml:space="preserve">Suomessa voi sanoa myös </w:t>
      </w:r>
      <w:r w:rsidRPr="00FB4EFA">
        <w:rPr>
          <w:szCs w:val="24"/>
          <w:lang w:val="et-EE"/>
        </w:rPr>
        <w:t>saarten</w:t>
      </w:r>
      <w:r w:rsidRPr="00FB4EFA">
        <w:rPr>
          <w:i/>
          <w:iCs/>
          <w:szCs w:val="24"/>
          <w:lang w:val="et-EE"/>
        </w:rPr>
        <w:t xml:space="preserve">, tämä lisää yhtäläisyyttä </w:t>
      </w:r>
      <w:r w:rsidRPr="00FB4EFA">
        <w:rPr>
          <w:szCs w:val="24"/>
          <w:lang w:val="et-EE"/>
        </w:rPr>
        <w:t>(saar-i-en – saar-te) (S)</w:t>
      </w:r>
    </w:p>
    <w:p w14:paraId="7FB5E151" w14:textId="77777777" w:rsidR="00192E25" w:rsidRPr="00FB4EFA" w:rsidRDefault="00192E25" w:rsidP="00312ECF">
      <w:pPr>
        <w:spacing w:after="240" w:line="240" w:lineRule="auto"/>
        <w:ind w:left="567"/>
        <w:rPr>
          <w:szCs w:val="24"/>
          <w:lang w:val="et-EE"/>
        </w:rPr>
      </w:pPr>
      <w:r w:rsidRPr="00FB4EFA">
        <w:rPr>
          <w:szCs w:val="24"/>
          <w:lang w:val="et-EE"/>
        </w:rPr>
        <w:t xml:space="preserve">‘Soome keeles võib öelda ka </w:t>
      </w:r>
      <w:r w:rsidRPr="00FB4EFA">
        <w:rPr>
          <w:i/>
          <w:iCs/>
          <w:szCs w:val="24"/>
          <w:lang w:val="et-EE"/>
        </w:rPr>
        <w:t>saarten</w:t>
      </w:r>
      <w:r w:rsidRPr="00FB4EFA">
        <w:rPr>
          <w:szCs w:val="24"/>
          <w:lang w:val="et-EE"/>
        </w:rPr>
        <w:t>, see lisab sarnasust’</w:t>
      </w:r>
    </w:p>
    <w:p w14:paraId="7F91CC65" w14:textId="77777777" w:rsidR="00192E25" w:rsidRPr="00FB4EFA" w:rsidRDefault="00192E25" w:rsidP="00312ECF">
      <w:pPr>
        <w:numPr>
          <w:ilvl w:val="0"/>
          <w:numId w:val="4"/>
        </w:numPr>
        <w:spacing w:after="240" w:line="240" w:lineRule="auto"/>
        <w:ind w:left="567" w:hanging="567"/>
        <w:rPr>
          <w:szCs w:val="24"/>
          <w:lang w:val="et-EE"/>
        </w:rPr>
      </w:pPr>
      <w:r w:rsidRPr="00FB4EFA">
        <w:rPr>
          <w:i/>
          <w:iCs/>
          <w:szCs w:val="24"/>
          <w:lang w:val="et-EE"/>
        </w:rPr>
        <w:t xml:space="preserve">Eesti keeles on olemas </w:t>
      </w:r>
      <w:r w:rsidRPr="00FB4EFA">
        <w:rPr>
          <w:szCs w:val="24"/>
          <w:lang w:val="et-EE"/>
        </w:rPr>
        <w:t>maisse</w:t>
      </w:r>
      <w:r w:rsidRPr="00FB4EFA">
        <w:rPr>
          <w:i/>
          <w:iCs/>
          <w:szCs w:val="24"/>
          <w:lang w:val="et-EE"/>
        </w:rPr>
        <w:t>, aga kasutatakse harva, ja käändelõpp on erinev</w:t>
      </w:r>
      <w:r w:rsidRPr="00FB4EFA">
        <w:rPr>
          <w:szCs w:val="24"/>
          <w:lang w:val="et-EE"/>
        </w:rPr>
        <w:t xml:space="preserve"> (maa-de-sse – ma-i-hin) (E)</w:t>
      </w:r>
    </w:p>
    <w:p w14:paraId="2112F9C1" w14:textId="4E2337B0" w:rsidR="00192E25" w:rsidRPr="00FB4EFA" w:rsidRDefault="00192E25" w:rsidP="00312ECF">
      <w:pPr>
        <w:numPr>
          <w:ilvl w:val="0"/>
          <w:numId w:val="4"/>
        </w:numPr>
        <w:spacing w:before="240" w:after="240" w:line="240" w:lineRule="auto"/>
        <w:ind w:left="567" w:hanging="567"/>
        <w:rPr>
          <w:szCs w:val="24"/>
          <w:lang w:val="et-EE"/>
        </w:rPr>
      </w:pPr>
      <w:r w:rsidRPr="00FB4EFA">
        <w:rPr>
          <w:szCs w:val="24"/>
          <w:lang w:val="et-EE"/>
        </w:rPr>
        <w:t xml:space="preserve">Tuvan </w:t>
      </w:r>
      <w:r w:rsidRPr="00FB4EFA">
        <w:rPr>
          <w:i/>
          <w:iCs/>
          <w:szCs w:val="24"/>
          <w:lang w:val="et-EE"/>
        </w:rPr>
        <w:t xml:space="preserve">är en böjning, </w:t>
      </w:r>
      <w:r w:rsidRPr="00FB4EFA">
        <w:rPr>
          <w:szCs w:val="24"/>
          <w:lang w:val="et-EE"/>
        </w:rPr>
        <w:t>toa</w:t>
      </w:r>
      <w:r w:rsidRPr="00FB4EFA">
        <w:rPr>
          <w:i/>
          <w:iCs/>
          <w:szCs w:val="24"/>
          <w:lang w:val="et-EE"/>
        </w:rPr>
        <w:t xml:space="preserve"> ser ut som en grundform. </w:t>
      </w:r>
      <w:r w:rsidRPr="00FB4EFA">
        <w:rPr>
          <w:szCs w:val="24"/>
          <w:lang w:val="et-EE"/>
        </w:rPr>
        <w:t>(tuva-n – toa) (R)</w:t>
      </w:r>
      <w:r w:rsidR="000426FC" w:rsidRPr="00FB4EFA">
        <w:rPr>
          <w:szCs w:val="24"/>
          <w:lang w:val="et-EE"/>
        </w:rPr>
        <w:br/>
      </w:r>
      <w:r w:rsidRPr="00FB4EFA">
        <w:rPr>
          <w:szCs w:val="24"/>
          <w:lang w:val="et-EE"/>
        </w:rPr>
        <w:t>‘</w:t>
      </w:r>
      <w:r w:rsidRPr="00FB4EFA">
        <w:rPr>
          <w:i/>
          <w:iCs/>
          <w:szCs w:val="24"/>
          <w:lang w:val="et-EE"/>
        </w:rPr>
        <w:t xml:space="preserve">Tuvan </w:t>
      </w:r>
      <w:r w:rsidRPr="00FB4EFA">
        <w:rPr>
          <w:szCs w:val="24"/>
          <w:lang w:val="et-EE"/>
        </w:rPr>
        <w:t xml:space="preserve">on käändevorm, </w:t>
      </w:r>
      <w:r w:rsidRPr="00FB4EFA">
        <w:rPr>
          <w:i/>
          <w:iCs/>
          <w:szCs w:val="24"/>
          <w:lang w:val="et-EE"/>
        </w:rPr>
        <w:t xml:space="preserve">toa </w:t>
      </w:r>
      <w:r w:rsidRPr="00FB4EFA">
        <w:rPr>
          <w:szCs w:val="24"/>
          <w:lang w:val="et-EE"/>
        </w:rPr>
        <w:t>näeb välja nagu põhivorm.’</w:t>
      </w:r>
    </w:p>
    <w:p w14:paraId="700419C2" w14:textId="77777777" w:rsidR="00192E25" w:rsidRPr="00FB4EFA" w:rsidRDefault="00192E25" w:rsidP="00312ECF">
      <w:pPr>
        <w:spacing w:before="240"/>
        <w:rPr>
          <w:lang w:val="et-EE"/>
        </w:rPr>
      </w:pPr>
      <w:r w:rsidRPr="00FB4EFA">
        <w:rPr>
          <w:lang w:val="et-EE"/>
        </w:rPr>
        <w:t>Eestivenelaste kommentaarides seevastu viiteid paradigmateadlikkusele ei esine.</w:t>
      </w:r>
    </w:p>
    <w:p w14:paraId="685D0D9A" w14:textId="6772087E" w:rsidR="00192E25" w:rsidRPr="00FB4EFA" w:rsidRDefault="00192E25" w:rsidP="00B36705">
      <w:pPr>
        <w:pStyle w:val="Heading3"/>
        <w:numPr>
          <w:ilvl w:val="1"/>
          <w:numId w:val="5"/>
        </w:numPr>
      </w:pPr>
      <w:r w:rsidRPr="00FB4EFA">
        <w:t>Pragmaatikateadlikkus</w:t>
      </w:r>
    </w:p>
    <w:p w14:paraId="54DFBCF6" w14:textId="77777777" w:rsidR="00192E25" w:rsidRPr="00FB4EFA" w:rsidRDefault="00192E25" w:rsidP="00312ECF">
      <w:pPr>
        <w:spacing w:after="240"/>
        <w:rPr>
          <w:lang w:val="et-EE"/>
        </w:rPr>
      </w:pPr>
      <w:r w:rsidRPr="00FB4EFA">
        <w:rPr>
          <w:lang w:val="et-EE"/>
        </w:rPr>
        <w:t>Paradigmateadlikkus on tihedalt seotud pragmaatikateadlikkusega, teadlikkusega keelekasutusest, keelendi ajaloolisest, geograafilisest ja sot</w:t>
      </w:r>
      <w:r w:rsidRPr="00FB4EFA">
        <w:rPr>
          <w:lang w:val="et-EE"/>
        </w:rPr>
        <w:lastRenderedPageBreak/>
        <w:t>siaalsest varieerumisest. Soomlaste ja soomerootslaste kommentaarides põhjendatakse sarnasuseastme valikut enamasti viidates paralleelvormile soome kõnekeeles või murretes või pelgalt sarnasusele kõnekeelse või murdevormiga. Ka vana soome kirjakeel võib esineda võrdlusalusena.</w:t>
      </w:r>
    </w:p>
    <w:p w14:paraId="2661186A" w14:textId="77777777" w:rsidR="00192E25" w:rsidRPr="00FB4EFA" w:rsidRDefault="00192E25" w:rsidP="00312ECF">
      <w:pPr>
        <w:keepNext/>
        <w:numPr>
          <w:ilvl w:val="0"/>
          <w:numId w:val="4"/>
        </w:numPr>
        <w:spacing w:line="240" w:lineRule="auto"/>
        <w:ind w:left="567" w:hanging="567"/>
        <w:rPr>
          <w:rFonts w:eastAsia="Times New Roman" w:cs="Times New Roman"/>
          <w:bCs/>
          <w:lang w:val="et-EE"/>
        </w:rPr>
      </w:pPr>
      <w:r w:rsidRPr="00FB4EFA">
        <w:rPr>
          <w:rFonts w:eastAsia="Times New Roman" w:cs="Times New Roman"/>
          <w:bCs/>
          <w:i/>
          <w:iCs/>
          <w:lang w:val="et-EE"/>
        </w:rPr>
        <w:t xml:space="preserve">Lähes identtinen suomen puhekielen </w:t>
      </w:r>
      <w:r w:rsidRPr="00FB4EFA">
        <w:rPr>
          <w:rFonts w:eastAsia="Times New Roman" w:cs="Times New Roman"/>
          <w:bCs/>
          <w:lang w:val="et-EE"/>
        </w:rPr>
        <w:t>lehtii</w:t>
      </w:r>
      <w:r w:rsidRPr="00FB4EFA">
        <w:rPr>
          <w:rFonts w:eastAsia="Times New Roman" w:cs="Times New Roman"/>
          <w:bCs/>
          <w:i/>
          <w:iCs/>
          <w:lang w:val="et-EE"/>
        </w:rPr>
        <w:t>-muodon kanssa.</w:t>
      </w:r>
    </w:p>
    <w:p w14:paraId="75F25553" w14:textId="77777777" w:rsidR="00192E25" w:rsidRPr="00FB4EFA" w:rsidRDefault="00192E25" w:rsidP="00312ECF">
      <w:pPr>
        <w:keepNext/>
        <w:spacing w:line="240" w:lineRule="auto"/>
        <w:ind w:left="567"/>
        <w:rPr>
          <w:rFonts w:eastAsia="Times New Roman" w:cs="Times New Roman"/>
          <w:bCs/>
          <w:lang w:val="et-EE"/>
        </w:rPr>
      </w:pPr>
      <w:r w:rsidRPr="00FB4EFA">
        <w:rPr>
          <w:rFonts w:eastAsia="Times New Roman" w:cs="Times New Roman"/>
          <w:bCs/>
          <w:lang w:val="et-EE"/>
        </w:rPr>
        <w:t>(leht-i-ä – lehti) (S)</w:t>
      </w:r>
    </w:p>
    <w:p w14:paraId="6CC0418B" w14:textId="77777777" w:rsidR="00192E25" w:rsidRPr="00FB4EFA" w:rsidRDefault="00192E25" w:rsidP="00312ECF">
      <w:pPr>
        <w:spacing w:line="240" w:lineRule="auto"/>
        <w:ind w:left="567"/>
        <w:rPr>
          <w:rFonts w:eastAsia="Times New Roman" w:cs="Times New Roman"/>
          <w:bCs/>
          <w:lang w:val="et-EE"/>
        </w:rPr>
      </w:pPr>
      <w:r w:rsidRPr="00FB4EFA">
        <w:rPr>
          <w:rFonts w:eastAsia="Times New Roman" w:cs="Times New Roman"/>
          <w:bCs/>
          <w:lang w:val="et-EE"/>
        </w:rPr>
        <w:t xml:space="preserve">‘Peaaegu identne soome kõnekeele </w:t>
      </w:r>
      <w:r w:rsidRPr="00FB4EFA">
        <w:rPr>
          <w:rFonts w:eastAsia="Times New Roman" w:cs="Times New Roman"/>
          <w:bCs/>
          <w:i/>
          <w:iCs/>
          <w:lang w:val="et-EE"/>
        </w:rPr>
        <w:t>lehtii-</w:t>
      </w:r>
      <w:r w:rsidRPr="00FB4EFA">
        <w:rPr>
          <w:rFonts w:eastAsia="Times New Roman" w:cs="Times New Roman"/>
          <w:bCs/>
          <w:lang w:val="et-EE"/>
        </w:rPr>
        <w:t>vormiga</w:t>
      </w:r>
      <w:r w:rsidRPr="00FB4EFA">
        <w:rPr>
          <w:rFonts w:eastAsia="Times New Roman" w:cs="Times New Roman"/>
          <w:bCs/>
          <w:i/>
          <w:iCs/>
          <w:lang w:val="et-EE"/>
        </w:rPr>
        <w:t>.</w:t>
      </w:r>
      <w:r w:rsidRPr="00FB4EFA">
        <w:rPr>
          <w:rFonts w:eastAsia="Times New Roman" w:cs="Times New Roman"/>
          <w:bCs/>
          <w:lang w:val="et-EE"/>
        </w:rPr>
        <w:t>’</w:t>
      </w:r>
    </w:p>
    <w:p w14:paraId="269F5D05" w14:textId="77777777" w:rsidR="00192E25" w:rsidRPr="00FB4EFA" w:rsidRDefault="00192E25" w:rsidP="00312ECF">
      <w:pPr>
        <w:numPr>
          <w:ilvl w:val="0"/>
          <w:numId w:val="4"/>
        </w:numPr>
        <w:spacing w:before="240" w:line="240" w:lineRule="auto"/>
        <w:ind w:left="567" w:hanging="567"/>
        <w:rPr>
          <w:rFonts w:eastAsia="Times New Roman" w:cs="Times New Roman"/>
          <w:bCs/>
          <w:lang w:val="et-EE"/>
        </w:rPr>
      </w:pPr>
      <w:r w:rsidRPr="00FB4EFA">
        <w:rPr>
          <w:rFonts w:eastAsia="Times New Roman" w:cs="Times New Roman"/>
          <w:bCs/>
          <w:i/>
          <w:iCs/>
          <w:lang w:val="et-EE"/>
        </w:rPr>
        <w:t xml:space="preserve">Kuulostaa suomalaiselta slangi-ilmaisulta. </w:t>
      </w:r>
      <w:r w:rsidRPr="00FB4EFA">
        <w:rPr>
          <w:rFonts w:eastAsia="Times New Roman" w:cs="Times New Roman"/>
          <w:bCs/>
          <w:lang w:val="et-EE"/>
        </w:rPr>
        <w:t>(länte-en – lään-de) (S)</w:t>
      </w:r>
    </w:p>
    <w:p w14:paraId="4AC05578" w14:textId="77777777" w:rsidR="00192E25" w:rsidRPr="00FB4EFA" w:rsidRDefault="00192E25" w:rsidP="00312ECF">
      <w:pPr>
        <w:spacing w:line="240" w:lineRule="auto"/>
        <w:ind w:left="567"/>
        <w:rPr>
          <w:rFonts w:eastAsia="Times New Roman" w:cs="Times New Roman"/>
          <w:bCs/>
          <w:lang w:val="et-EE"/>
        </w:rPr>
      </w:pPr>
      <w:r w:rsidRPr="00FB4EFA">
        <w:rPr>
          <w:rFonts w:eastAsia="Times New Roman" w:cs="Times New Roman"/>
          <w:bCs/>
          <w:lang w:val="et-EE"/>
        </w:rPr>
        <w:t>‘Kõlab nagu soome slängiväljend.’</w:t>
      </w:r>
    </w:p>
    <w:p w14:paraId="4F9BAF77" w14:textId="77777777" w:rsidR="00192E25" w:rsidRPr="00FB4EFA" w:rsidRDefault="00192E25" w:rsidP="00312ECF">
      <w:pPr>
        <w:keepNext/>
        <w:numPr>
          <w:ilvl w:val="0"/>
          <w:numId w:val="4"/>
        </w:numPr>
        <w:spacing w:before="240" w:line="240" w:lineRule="auto"/>
        <w:ind w:left="567" w:hanging="567"/>
        <w:rPr>
          <w:rFonts w:eastAsia="Times New Roman" w:cs="Times New Roman"/>
          <w:bCs/>
          <w:lang w:val="et-EE"/>
        </w:rPr>
      </w:pPr>
      <w:r w:rsidRPr="00FB4EFA">
        <w:rPr>
          <w:rFonts w:eastAsia="Times New Roman" w:cs="Times New Roman"/>
          <w:bCs/>
          <w:i/>
          <w:iCs/>
          <w:lang w:val="et-EE"/>
        </w:rPr>
        <w:t xml:space="preserve">Murremaista suomea. </w:t>
      </w:r>
      <w:r w:rsidRPr="00FB4EFA">
        <w:rPr>
          <w:rFonts w:eastAsia="Times New Roman" w:cs="Times New Roman"/>
          <w:bCs/>
          <w:lang w:val="et-EE"/>
        </w:rPr>
        <w:t>(hein-i-ä – heinu) (S)</w:t>
      </w:r>
    </w:p>
    <w:p w14:paraId="22A73E07" w14:textId="77777777" w:rsidR="00192E25" w:rsidRPr="00FB4EFA" w:rsidRDefault="00192E25" w:rsidP="00312ECF">
      <w:pPr>
        <w:spacing w:after="240" w:line="240" w:lineRule="auto"/>
        <w:ind w:left="567"/>
        <w:rPr>
          <w:rFonts w:eastAsia="Times New Roman" w:cs="Times New Roman"/>
          <w:bCs/>
          <w:lang w:val="et-EE"/>
        </w:rPr>
      </w:pPr>
      <w:r w:rsidRPr="00FB4EFA">
        <w:rPr>
          <w:rFonts w:eastAsia="Times New Roman" w:cs="Times New Roman"/>
          <w:bCs/>
          <w:lang w:val="et-EE"/>
        </w:rPr>
        <w:t>‘Murdeline soome keel’</w:t>
      </w:r>
    </w:p>
    <w:p w14:paraId="05034533" w14:textId="77777777" w:rsidR="00192E25" w:rsidRPr="00FB4EFA" w:rsidRDefault="00192E25" w:rsidP="00312ECF">
      <w:pPr>
        <w:numPr>
          <w:ilvl w:val="0"/>
          <w:numId w:val="4"/>
        </w:numPr>
        <w:spacing w:line="240" w:lineRule="auto"/>
        <w:ind w:left="567" w:hanging="567"/>
        <w:rPr>
          <w:rFonts w:eastAsia="Times New Roman" w:cs="Times New Roman"/>
          <w:bCs/>
          <w:lang w:val="et-EE"/>
        </w:rPr>
      </w:pPr>
      <w:r w:rsidRPr="00FB4EFA">
        <w:rPr>
          <w:rFonts w:eastAsia="Times New Roman" w:cs="Times New Roman"/>
          <w:bCs/>
          <w:i/>
          <w:iCs/>
          <w:lang w:val="et-EE"/>
        </w:rPr>
        <w:t>Kuulostaa vanhalta suomalaiselta inessiiviltä</w:t>
      </w:r>
      <w:r w:rsidRPr="00FB4EFA">
        <w:rPr>
          <w:rFonts w:eastAsia="Times New Roman" w:cs="Times New Roman"/>
          <w:bCs/>
          <w:lang w:val="et-EE"/>
        </w:rPr>
        <w:t>.</w:t>
      </w:r>
    </w:p>
    <w:p w14:paraId="698260E9" w14:textId="77777777" w:rsidR="00192E25" w:rsidRPr="00FB4EFA" w:rsidRDefault="00192E25" w:rsidP="00312ECF">
      <w:pPr>
        <w:spacing w:line="240" w:lineRule="auto"/>
        <w:ind w:left="567"/>
        <w:rPr>
          <w:rFonts w:eastAsia="Times New Roman" w:cs="Times New Roman"/>
          <w:bCs/>
          <w:lang w:val="et-EE"/>
        </w:rPr>
      </w:pPr>
      <w:r w:rsidRPr="00FB4EFA">
        <w:rPr>
          <w:rFonts w:eastAsia="Times New Roman" w:cs="Times New Roman"/>
          <w:bCs/>
          <w:lang w:val="et-EE"/>
        </w:rPr>
        <w:t>(silm-i-ssä – silmi-s) (S)</w:t>
      </w:r>
    </w:p>
    <w:p w14:paraId="49CCAB01" w14:textId="77777777" w:rsidR="00192E25" w:rsidRPr="00FB4EFA" w:rsidRDefault="00192E25" w:rsidP="00312ECF">
      <w:pPr>
        <w:spacing w:after="240" w:line="240" w:lineRule="auto"/>
        <w:ind w:left="567"/>
        <w:rPr>
          <w:rFonts w:eastAsia="Times New Roman" w:cs="Times New Roman"/>
          <w:bCs/>
          <w:lang w:val="et-EE"/>
        </w:rPr>
      </w:pPr>
      <w:r w:rsidRPr="00FB4EFA">
        <w:rPr>
          <w:rFonts w:eastAsia="Times New Roman" w:cs="Times New Roman"/>
          <w:bCs/>
          <w:lang w:val="et-EE"/>
        </w:rPr>
        <w:t>‘Kõlab vana soome inssiivina’</w:t>
      </w:r>
    </w:p>
    <w:p w14:paraId="4BC90F78" w14:textId="77777777" w:rsidR="00192E25" w:rsidRPr="00FB4EFA" w:rsidRDefault="00192E25" w:rsidP="00312ECF">
      <w:pPr>
        <w:numPr>
          <w:ilvl w:val="0"/>
          <w:numId w:val="4"/>
        </w:numPr>
        <w:spacing w:line="240" w:lineRule="auto"/>
        <w:ind w:left="567" w:hanging="567"/>
        <w:rPr>
          <w:rFonts w:eastAsia="Times New Roman" w:cs="Charis SIL"/>
          <w:bCs/>
          <w:lang w:val="et-EE"/>
        </w:rPr>
      </w:pPr>
      <w:r w:rsidRPr="00FB4EFA">
        <w:rPr>
          <w:rFonts w:eastAsia="Times New Roman" w:cs="Charis SIL"/>
          <w:bCs/>
          <w:i/>
          <w:iCs/>
          <w:lang w:val="et-EE"/>
        </w:rPr>
        <w:t xml:space="preserve">Som i talspråk med en liten tvist. </w:t>
      </w:r>
      <w:r w:rsidRPr="00FB4EFA">
        <w:rPr>
          <w:rFonts w:eastAsia="Times New Roman" w:cs="Charis SIL"/>
          <w:bCs/>
          <w:lang w:val="et-EE"/>
        </w:rPr>
        <w:t>(punais-i-a – punase-i-d) (R)</w:t>
      </w:r>
    </w:p>
    <w:p w14:paraId="7B633AB8" w14:textId="77777777" w:rsidR="00192E25" w:rsidRPr="00FB4EFA" w:rsidRDefault="00192E25" w:rsidP="00312ECF">
      <w:pPr>
        <w:spacing w:after="240" w:line="240" w:lineRule="auto"/>
        <w:ind w:left="567"/>
        <w:rPr>
          <w:rFonts w:eastAsia="Times New Roman" w:cs="Charis SIL"/>
          <w:bCs/>
          <w:lang w:val="et-EE"/>
        </w:rPr>
      </w:pPr>
      <w:r w:rsidRPr="00FB4EFA">
        <w:rPr>
          <w:rFonts w:eastAsia="Times New Roman" w:cs="Charis SIL"/>
          <w:bCs/>
          <w:lang w:val="et-EE"/>
        </w:rPr>
        <w:t>‘Nagu kõnekeeles väikese vaidlusega.’</w:t>
      </w:r>
    </w:p>
    <w:p w14:paraId="28D093AA" w14:textId="77777777" w:rsidR="00192E25" w:rsidRPr="00FB4EFA" w:rsidRDefault="00192E25" w:rsidP="00312ECF">
      <w:pPr>
        <w:numPr>
          <w:ilvl w:val="0"/>
          <w:numId w:val="4"/>
        </w:numPr>
        <w:spacing w:line="240" w:lineRule="auto"/>
        <w:ind w:left="567" w:hanging="567"/>
        <w:rPr>
          <w:rFonts w:eastAsia="Times New Roman" w:cs="Charis SIL"/>
          <w:bCs/>
          <w:lang w:val="et-EE"/>
        </w:rPr>
      </w:pPr>
      <w:r w:rsidRPr="00FB4EFA">
        <w:rPr>
          <w:rFonts w:eastAsia="Times New Roman" w:cs="Charis SIL"/>
          <w:bCs/>
          <w:lang w:val="et-EE"/>
        </w:rPr>
        <w:t>kuningail</w:t>
      </w:r>
      <w:r w:rsidRPr="00FB4EFA">
        <w:rPr>
          <w:rFonts w:eastAsia="Times New Roman" w:cs="Charis SIL"/>
          <w:bCs/>
          <w:i/>
          <w:iCs/>
          <w:lang w:val="et-EE"/>
        </w:rPr>
        <w:t xml:space="preserve"> låter som en slang version av </w:t>
      </w:r>
      <w:r w:rsidRPr="00FB4EFA">
        <w:rPr>
          <w:rFonts w:eastAsia="Times New Roman" w:cs="Charis SIL"/>
          <w:bCs/>
          <w:lang w:val="et-EE"/>
        </w:rPr>
        <w:t>kuninkailla.</w:t>
      </w:r>
    </w:p>
    <w:p w14:paraId="64BDAD1C" w14:textId="77777777" w:rsidR="00192E25" w:rsidRPr="00FB4EFA" w:rsidRDefault="00192E25" w:rsidP="00312ECF">
      <w:pPr>
        <w:spacing w:line="240" w:lineRule="auto"/>
        <w:ind w:left="567"/>
        <w:rPr>
          <w:rFonts w:eastAsia="Times New Roman" w:cs="Charis SIL"/>
          <w:bCs/>
          <w:lang w:val="et-EE"/>
        </w:rPr>
      </w:pPr>
      <w:r w:rsidRPr="00FB4EFA">
        <w:rPr>
          <w:rFonts w:eastAsia="Times New Roman" w:cs="Charis SIL"/>
          <w:bCs/>
          <w:lang w:val="et-EE"/>
        </w:rPr>
        <w:t>(kuninka-i-lla – kuninga-i-l) (R)</w:t>
      </w:r>
    </w:p>
    <w:p w14:paraId="5BA6E888" w14:textId="77777777" w:rsidR="00192E25" w:rsidRPr="00FB4EFA" w:rsidRDefault="00192E25" w:rsidP="00312ECF">
      <w:pPr>
        <w:spacing w:after="240" w:line="240" w:lineRule="auto"/>
        <w:ind w:left="567"/>
        <w:rPr>
          <w:rFonts w:eastAsia="Times New Roman" w:cs="Charis SIL"/>
          <w:bCs/>
          <w:lang w:val="et-EE"/>
        </w:rPr>
      </w:pPr>
      <w:r w:rsidRPr="00FB4EFA">
        <w:rPr>
          <w:rFonts w:eastAsia="Times New Roman" w:cs="Times New Roman"/>
          <w:bCs/>
          <w:lang w:val="et-EE"/>
        </w:rPr>
        <w:t>‘</w:t>
      </w:r>
      <w:r w:rsidRPr="00FB4EFA">
        <w:rPr>
          <w:rFonts w:eastAsia="Times New Roman" w:cs="Charis SIL"/>
          <w:bCs/>
          <w:i/>
          <w:iCs/>
          <w:lang w:val="et-EE"/>
        </w:rPr>
        <w:t xml:space="preserve">kuningail </w:t>
      </w:r>
      <w:r w:rsidRPr="00FB4EFA">
        <w:rPr>
          <w:rFonts w:eastAsia="Times New Roman" w:cs="Charis SIL"/>
          <w:bCs/>
          <w:lang w:val="et-EE"/>
        </w:rPr>
        <w:t xml:space="preserve">kõlab nagu </w:t>
      </w:r>
      <w:r w:rsidRPr="00FB4EFA">
        <w:rPr>
          <w:rFonts w:eastAsia="Times New Roman" w:cs="Charis SIL"/>
          <w:bCs/>
          <w:i/>
          <w:iCs/>
          <w:lang w:val="et-EE"/>
        </w:rPr>
        <w:t xml:space="preserve">kuninkailla </w:t>
      </w:r>
      <w:r w:rsidRPr="00FB4EFA">
        <w:rPr>
          <w:rFonts w:eastAsia="Times New Roman" w:cs="Charis SIL"/>
          <w:bCs/>
          <w:lang w:val="et-EE"/>
        </w:rPr>
        <w:t>slängiversioon</w:t>
      </w:r>
      <w:r w:rsidRPr="00FB4EFA">
        <w:rPr>
          <w:rFonts w:eastAsia="Times New Roman" w:cs="Charis SIL"/>
          <w:bCs/>
          <w:i/>
          <w:iCs/>
          <w:lang w:val="et-EE"/>
        </w:rPr>
        <w:t>.</w:t>
      </w:r>
      <w:r w:rsidRPr="00FB4EFA">
        <w:rPr>
          <w:rFonts w:eastAsia="Times New Roman" w:cs="Charis SIL"/>
          <w:bCs/>
          <w:lang w:val="et-EE"/>
        </w:rPr>
        <w:t>’</w:t>
      </w:r>
    </w:p>
    <w:p w14:paraId="2D338FAF" w14:textId="77777777" w:rsidR="00192E25" w:rsidRPr="00FB4EFA" w:rsidRDefault="00192E25" w:rsidP="00312ECF">
      <w:pPr>
        <w:numPr>
          <w:ilvl w:val="0"/>
          <w:numId w:val="4"/>
        </w:numPr>
        <w:spacing w:line="240" w:lineRule="auto"/>
        <w:ind w:left="567" w:hanging="567"/>
        <w:rPr>
          <w:rFonts w:eastAsia="Times New Roman" w:cs="Charis SIL"/>
          <w:bCs/>
          <w:lang w:val="et-EE"/>
        </w:rPr>
      </w:pPr>
      <w:r w:rsidRPr="00FB4EFA">
        <w:rPr>
          <w:rFonts w:eastAsia="Times New Roman" w:cs="Charis SIL"/>
          <w:bCs/>
          <w:i/>
          <w:iCs/>
          <w:lang w:val="et-EE"/>
        </w:rPr>
        <w:t>Låter som olika dialekter</w:t>
      </w:r>
      <w:r w:rsidRPr="00FB4EFA">
        <w:rPr>
          <w:rFonts w:eastAsia="Times New Roman" w:cs="Charis SIL"/>
          <w:bCs/>
          <w:lang w:val="et-EE"/>
        </w:rPr>
        <w:t>. (hein-i-ä – heinu) (R)</w:t>
      </w:r>
    </w:p>
    <w:p w14:paraId="2E1C0418" w14:textId="77777777" w:rsidR="00192E25" w:rsidRPr="00FB4EFA" w:rsidRDefault="00192E25" w:rsidP="00312ECF">
      <w:pPr>
        <w:spacing w:after="240" w:line="240" w:lineRule="auto"/>
        <w:ind w:left="567"/>
        <w:rPr>
          <w:rFonts w:eastAsia="Times New Roman" w:cs="Charis SIL"/>
          <w:bCs/>
          <w:lang w:val="et-EE"/>
        </w:rPr>
      </w:pPr>
      <w:r w:rsidRPr="00FB4EFA">
        <w:rPr>
          <w:rFonts w:eastAsia="Times New Roman" w:cs="Times New Roman"/>
          <w:bCs/>
          <w:lang w:val="et-EE"/>
        </w:rPr>
        <w:t>‘</w:t>
      </w:r>
      <w:r w:rsidRPr="00FB4EFA">
        <w:rPr>
          <w:rFonts w:eastAsia="Times New Roman" w:cs="Charis SIL"/>
          <w:bCs/>
          <w:lang w:val="et-EE"/>
        </w:rPr>
        <w:t>Kõlab nagu erinevad murded’</w:t>
      </w:r>
    </w:p>
    <w:p w14:paraId="03D5C631" w14:textId="77777777" w:rsidR="00192E25" w:rsidRPr="00FB4EFA" w:rsidRDefault="00192E25" w:rsidP="00312ECF">
      <w:pPr>
        <w:numPr>
          <w:ilvl w:val="0"/>
          <w:numId w:val="4"/>
        </w:numPr>
        <w:spacing w:line="240" w:lineRule="auto"/>
        <w:ind w:left="567" w:hanging="567"/>
        <w:rPr>
          <w:rFonts w:eastAsia="Times New Roman" w:cs="Charis SIL"/>
          <w:bCs/>
          <w:lang w:val="et-EE"/>
        </w:rPr>
      </w:pPr>
      <w:r w:rsidRPr="00FB4EFA">
        <w:rPr>
          <w:rFonts w:eastAsia="Times New Roman" w:cs="Charis SIL"/>
          <w:bCs/>
          <w:i/>
          <w:iCs/>
          <w:lang w:val="et-EE"/>
        </w:rPr>
        <w:t>Åbo-finska</w:t>
      </w:r>
      <w:r w:rsidRPr="00FB4EFA">
        <w:rPr>
          <w:rFonts w:eastAsia="Times New Roman" w:cs="Charis SIL"/>
          <w:bCs/>
          <w:lang w:val="et-EE"/>
        </w:rPr>
        <w:t xml:space="preserve"> (raamatu-st – raamatu-sta) (R)</w:t>
      </w:r>
    </w:p>
    <w:p w14:paraId="3B21057E" w14:textId="77777777" w:rsidR="00192E25" w:rsidRPr="00FB4EFA" w:rsidRDefault="00192E25" w:rsidP="00312ECF">
      <w:pPr>
        <w:spacing w:line="240" w:lineRule="auto"/>
        <w:ind w:left="567"/>
        <w:rPr>
          <w:rFonts w:eastAsia="Times New Roman" w:cs="Charis SIL"/>
          <w:bCs/>
          <w:lang w:val="et-EE"/>
        </w:rPr>
      </w:pPr>
      <w:r w:rsidRPr="00FB4EFA">
        <w:rPr>
          <w:rFonts w:eastAsia="Times New Roman" w:cs="Times New Roman"/>
          <w:bCs/>
          <w:lang w:val="et-EE"/>
        </w:rPr>
        <w:t>‘</w:t>
      </w:r>
      <w:r w:rsidRPr="00FB4EFA">
        <w:rPr>
          <w:rFonts w:eastAsia="Times New Roman" w:cs="Charis SIL"/>
          <w:bCs/>
          <w:lang w:val="et-EE"/>
        </w:rPr>
        <w:t>Turu soome keel’</w:t>
      </w:r>
    </w:p>
    <w:p w14:paraId="7CDC7562" w14:textId="77777777" w:rsidR="00192E25" w:rsidRPr="00FB4EFA" w:rsidRDefault="00192E25" w:rsidP="00312ECF">
      <w:pPr>
        <w:spacing w:before="240" w:after="240"/>
        <w:rPr>
          <w:rFonts w:cs="Charis SIL"/>
          <w:lang w:val="et-EE"/>
        </w:rPr>
      </w:pPr>
      <w:r w:rsidRPr="00FB4EFA">
        <w:rPr>
          <w:rFonts w:cs="Charis SIL"/>
          <w:lang w:val="et-EE"/>
        </w:rPr>
        <w:t>Kuna eesti keeles ei ole kirja- ja kõnekeele erinevus nii suur ning murded ei ole sama üldiselt kasutusel kui soome keeles, esineb eestlaste kommentaarides vaid üksikuid viiteid eesti murretele:</w:t>
      </w:r>
    </w:p>
    <w:p w14:paraId="30901CCD" w14:textId="77777777" w:rsidR="00192E25" w:rsidRPr="00FB4EFA" w:rsidRDefault="00192E25" w:rsidP="00312ECF">
      <w:pPr>
        <w:numPr>
          <w:ilvl w:val="0"/>
          <w:numId w:val="4"/>
        </w:numPr>
        <w:spacing w:line="240" w:lineRule="auto"/>
        <w:ind w:left="567" w:hanging="567"/>
        <w:rPr>
          <w:rFonts w:cs="Charis SIL"/>
          <w:lang w:val="et-EE"/>
        </w:rPr>
      </w:pPr>
      <w:r w:rsidRPr="00FB4EFA">
        <w:rPr>
          <w:rFonts w:cs="Charis SIL"/>
          <w:i/>
          <w:iCs/>
          <w:lang w:val="et-EE"/>
        </w:rPr>
        <w:t xml:space="preserve">Sõna põhivorm sama, lisaks peaks lõunaeesti murrakus olema </w:t>
      </w:r>
      <w:r w:rsidRPr="00FB4EFA">
        <w:rPr>
          <w:rFonts w:cs="Charis SIL"/>
          <w:lang w:val="et-EE"/>
        </w:rPr>
        <w:t>heini. (heinu – hein-i-ä) (E)</w:t>
      </w:r>
    </w:p>
    <w:p w14:paraId="23ADA30A" w14:textId="77777777" w:rsidR="00192E25" w:rsidRPr="00FB4EFA" w:rsidRDefault="00192E25" w:rsidP="00312ECF">
      <w:pPr>
        <w:spacing w:before="240"/>
        <w:rPr>
          <w:lang w:val="et-EE"/>
        </w:rPr>
      </w:pPr>
      <w:r w:rsidRPr="00FB4EFA">
        <w:rPr>
          <w:lang w:val="et-EE"/>
        </w:rPr>
        <w:t>Eestivenelaste kommentaarides ei mainita aga eesti kõne- või murdekeelt üldse.</w:t>
      </w:r>
    </w:p>
    <w:p w14:paraId="575483CF" w14:textId="77777777" w:rsidR="00192E25" w:rsidRPr="00FB4EFA" w:rsidRDefault="00192E25" w:rsidP="00312ECF">
      <w:pPr>
        <w:pStyle w:val="Heading2"/>
        <w:numPr>
          <w:ilvl w:val="0"/>
          <w:numId w:val="5"/>
        </w:numPr>
        <w:spacing w:line="259" w:lineRule="auto"/>
        <w:rPr>
          <w:color w:val="auto"/>
          <w:lang w:val="et-EE"/>
        </w:rPr>
      </w:pPr>
      <w:r w:rsidRPr="00FB4EFA">
        <w:rPr>
          <w:color w:val="auto"/>
          <w:lang w:val="et-EE"/>
        </w:rPr>
        <w:lastRenderedPageBreak/>
        <w:t>Kokkuvõte ja järeldused: sarnasuse tunnetamise kumulatiivsus</w:t>
      </w:r>
    </w:p>
    <w:p w14:paraId="6051797C" w14:textId="0CF76532" w:rsidR="00192E25" w:rsidRPr="00FB4EFA" w:rsidRDefault="00192E25" w:rsidP="00312ECF">
      <w:pPr>
        <w:spacing w:before="240"/>
        <w:rPr>
          <w:szCs w:val="24"/>
          <w:lang w:val="et-EE"/>
        </w:rPr>
      </w:pPr>
      <w:r w:rsidRPr="00FB4EFA">
        <w:rPr>
          <w:szCs w:val="24"/>
          <w:lang w:val="et-EE"/>
        </w:rPr>
        <w:t>Kokkuvõtlikult võib eri emakeelega vastajarühmade keeleteadlikkuse kategooriate jaotuvust visualiseerida joonise 2 abil, milles värvi tumedus näitab keeleteadlikkuse kategooria esinemise rohkust:</w:t>
      </w:r>
    </w:p>
    <w:p w14:paraId="09F1F886" w14:textId="6F1FD046" w:rsidR="000D4EBE" w:rsidRPr="00FB4EFA" w:rsidRDefault="000D4EBE" w:rsidP="00312ECF">
      <w:pPr>
        <w:spacing w:after="120"/>
        <w:rPr>
          <w:szCs w:val="24"/>
          <w:lang w:val="et-EE"/>
        </w:rPr>
      </w:pPr>
      <w:r w:rsidRPr="00FB4EFA">
        <w:rPr>
          <w:noProof/>
          <w:szCs w:val="24"/>
          <w:lang w:val="et-EE"/>
        </w:rPr>
        <w:drawing>
          <wp:inline distT="0" distB="0" distL="0" distR="0" wp14:anchorId="3285F07C" wp14:editId="7F6AA5AE">
            <wp:extent cx="4390390" cy="2560955"/>
            <wp:effectExtent l="38100" t="0" r="29210" b="0"/>
            <wp:docPr id="23" name="Kaaviokuv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7" r:lo="rId288" r:qs="rId289" r:cs="rId290"/>
              </a:graphicData>
            </a:graphic>
          </wp:inline>
        </w:drawing>
      </w:r>
    </w:p>
    <w:p w14:paraId="30AE695B" w14:textId="5A28D351" w:rsidR="00192E25" w:rsidRPr="00FB4EFA" w:rsidRDefault="00192E25" w:rsidP="00312ECF">
      <w:pPr>
        <w:spacing w:before="120" w:after="240"/>
        <w:jc w:val="center"/>
        <w:rPr>
          <w:bCs/>
          <w:sz w:val="18"/>
          <w:szCs w:val="18"/>
          <w:lang w:val="et-EE"/>
        </w:rPr>
      </w:pPr>
      <w:r w:rsidRPr="00FB4EFA">
        <w:rPr>
          <w:b/>
          <w:sz w:val="18"/>
          <w:szCs w:val="18"/>
          <w:lang w:val="et-EE"/>
        </w:rPr>
        <w:t>Joonis 2</w:t>
      </w:r>
      <w:r w:rsidRPr="00FB4EFA">
        <w:rPr>
          <w:bCs/>
          <w:sz w:val="18"/>
          <w:szCs w:val="18"/>
          <w:lang w:val="et-EE"/>
        </w:rPr>
        <w:t>: Eri emakeelega vastajarühmade keeleteadlikkuse kategooriate jaotuvus</w:t>
      </w:r>
    </w:p>
    <w:p w14:paraId="2E0CA3B3" w14:textId="1A349D9B" w:rsidR="00192E25" w:rsidRPr="00FB4EFA" w:rsidRDefault="00192E25" w:rsidP="00312ECF">
      <w:pPr>
        <w:spacing w:before="240"/>
        <w:rPr>
          <w:lang w:val="et-EE"/>
        </w:rPr>
      </w:pPr>
      <w:r w:rsidRPr="00FB4EFA">
        <w:rPr>
          <w:lang w:val="et-EE"/>
        </w:rPr>
        <w:t xml:space="preserve">Jooniselt on näha, et soomlased toetuvad eesti ja soome keele sarnasuse tunnetamisel kõikidele teadlikkusekategooriatele: fonoloogia- ja ortograafiateadlikkusele, morfoloogia- ja paradigmateadlikkusele ning teadlikkusele keelekasutuskontekstist, st soome keele ajaloolisest, geograafilisest ja sotsiaalsest varieerumisest. Soomerootslaste testitulemused ja valikute kommentaarid on üsna sarnased soomlastega, vaid vana soome keelt ei mainita võrdlusalusena. Lisaks on soomerootslastel tänu ühistele tüvedele eesti keelega võimalus võrrelda eesti keele vormi mitte ainult soome keelega, vaid ka oma emakeelega, rootsi keelega, ja nii annab mitmikpädevus sarnasuse tunnetamisel eelise. Eestlased tuginevad eesti ja soome vormide sarnasuse tunnetamisel fonoloogia- ja ortograafiateadlikkusele ning tõenäoliselt eesti emakeeleõpetuse morfoloogiakesksuse tõttu eriti ulatuslikult morfoloogia- ja paradigmateadlikkusele. Emakeele geograafilisele varieeruvusele viitavaid kommentaare esineb eestlaste </w:t>
      </w:r>
      <w:r w:rsidRPr="00FB4EFA">
        <w:rPr>
          <w:lang w:val="et-EE"/>
        </w:rPr>
        <w:lastRenderedPageBreak/>
        <w:t>testivastustes vaid üksikuid, viited ajaloolisele ja sotsiaalsele varieeruvusele puuduvad üldse. Eestivenelaste eesti ja soome sõnavormide võrdlus põhineb fonoloogia- ja ortograafia- ning morfoloogiateadlikkusel, kuid laiem arusaam muutevormide paradigmasisestest seostest nende kommentaarides ei peegeldu. Ilmselt eesti ja vene keele ortograafia</w:t>
      </w:r>
      <w:r w:rsidR="00714583" w:rsidRPr="00FB4EFA">
        <w:rPr>
          <w:lang w:val="et-EE"/>
        </w:rPr>
        <w:softHyphen/>
      </w:r>
      <w:r w:rsidRPr="00FB4EFA">
        <w:rPr>
          <w:lang w:val="et-EE"/>
        </w:rPr>
        <w:t>süsteemide erinevuse tõttu on eestivenelaste kommentaaride keskmes kirjalik keelekasutus. Kuna ükski eestivenelastest ei kommenteerinud oma valikuid emakeeles, vene keeles, on nende vastused ka suhteliselt napisõnalised. Võib oletada, et emakeeles oleks oma tegevuse peegeldamine ja valikute põhjendamine olnud mitmetahulisem ja enam sügavuti minev.</w:t>
      </w:r>
    </w:p>
    <w:p w14:paraId="35F0C320" w14:textId="77777777" w:rsidR="00192E25" w:rsidRPr="00FB4EFA" w:rsidRDefault="00192E25" w:rsidP="00312ECF">
      <w:pPr>
        <w:ind w:firstLine="709"/>
        <w:rPr>
          <w:lang w:val="et-EE"/>
        </w:rPr>
      </w:pPr>
      <w:r w:rsidRPr="00FB4EFA">
        <w:rPr>
          <w:lang w:val="et-EE"/>
        </w:rPr>
        <w:t>Uurimuses osalejate kommentaarid, milles viidatakse enam või vähem sarnastele või erinevatele häälikutele/tähtedele või sõnaosadele, peegeldavad joonisel 1 kujutatud keeltevahelise sarnasuse taksonoomia pindtasandi elemendipõhise sarnasuse tunnetamist. Ka viited sõnatüvede ja morfoloogiliste formatiivide sarnasusele või erinevusele annavad tunnistust keeleelementide sarnasuse tunnetamisest. Seevastu paradigmateadlikkus, muuteparadigma sisene sõnavormide võrdlemine võimaldab tunnetada keelesüsteemide sarnasust ja erinevust, korrelatsiooni ja analoogiat. Pragmaatikateadlikkus, teadlikkus keele ajaloolisest, geograafilisest ja sotsiaalset varieerumisest ning keelendite kasutuskontekstist loob aluse ka juhuslikuma elementide ja süsteemitasandi suhete sarnasuse tunnetamiseks.</w:t>
      </w:r>
    </w:p>
    <w:p w14:paraId="707A65D5" w14:textId="334CB944" w:rsidR="00192E25" w:rsidRDefault="00192E25" w:rsidP="00312ECF">
      <w:pPr>
        <w:ind w:firstLine="709"/>
        <w:rPr>
          <w:lang w:val="et-EE"/>
        </w:rPr>
      </w:pPr>
      <w:r w:rsidRPr="00FB4EFA">
        <w:rPr>
          <w:lang w:val="et-EE"/>
        </w:rPr>
        <w:t>Seega saab uurimustulemuste valguses rääkida keeleteadlikkuse kategooriate kumulatiivsusest keeltevahelise sarnasuse tunnetamisel (joonis 3).</w:t>
      </w:r>
    </w:p>
    <w:p w14:paraId="216C325B" w14:textId="77777777" w:rsidR="007B50C2" w:rsidRPr="00FB4EFA" w:rsidRDefault="007B50C2" w:rsidP="00312ECF">
      <w:pPr>
        <w:ind w:firstLine="709"/>
        <w:rPr>
          <w:lang w:val="et-EE"/>
        </w:rPr>
      </w:pPr>
    </w:p>
    <w:p w14:paraId="22A199F6" w14:textId="6B759D35" w:rsidR="00192E25" w:rsidRPr="00FB4EFA" w:rsidRDefault="00000000" w:rsidP="007B50C2">
      <w:pPr>
        <w:spacing w:before="240" w:after="210"/>
        <w:rPr>
          <w:szCs w:val="24"/>
          <w:lang w:val="et-EE"/>
        </w:rPr>
      </w:pPr>
      <w:r>
        <w:rPr>
          <w:noProof/>
        </w:rPr>
        <w:lastRenderedPageBreak/>
        <w:pict w14:anchorId="6BD86109">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9" o:spid="_x0000_s2051" type="#_x0000_t13" style="position:absolute;left:0;text-align:left;margin-left:131.3pt;margin-top:40.45pt;width:50.5pt;height:20.45pt;flip:x;z-index:2516592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p33nAIAAP4FAAAOAAAAZHJzL2Uyb0RvYy54bWy0VMFu2zAMvQ/YPwi6r7bTZF2NOkXQotuA&#10;rC3WDj2rshQLk0VNUuJkXz9KdtygC3YYtosgiuQj+Sjy4nLbarIRziswFS1OckqE4VArs6rot8eb&#10;dx8o8YGZmmkwoqI74enl/O2bi86WYgIN6Fo4giDGl52taBOCLbPM80a0zJ+AFQaVElzLAopuldWO&#10;dYje6myS5++zDlxtHXDhPb5e90o6T/hSCh7upPQiEF1RzC2k06XzOZ7Z/IKVK8dso/iQBvuLLFqm&#10;DAYdoa5ZYGTt1G9QreIOPMhwwqHNQErFRaoBqynyV9U8NMyKVAuS4+1Ik/93sPx282DvXUzd2yXw&#10;7x4ZyTrry1ETBT/YbKVridTKfsJmp4KxBLJNfO5GPsU2EI6P76fF6QxZ56iazM7PilnkO2NlhIkh&#10;rfPho4CWxEtFnVo1YeEcdAmabZY+9A57w5QnaFXfKK2TED+KuNKObBi2mHEuTDhN7nrdfoG6fz+b&#10;5XlqNgZPfyu6pFT8IZo2/zUABo8REr09o4nbsNMixtXmq5BE1cjcJFUwZnpYXE+7b1gt+udY2vHa&#10;EmBElsjWiD0AHCOuGPoz2EdXkYZodM7/lFjfq9EjRQYTRudWGXDHAHQYI/f2e5J6aiJLz1Dv7h1x&#10;0I+wt/xG4adZMh/umcOZxX+Geyjc4SE1dBWF4UZJA+7nsfdoj6OEWko63AEV9T/WzAlK9GeDQ3Ze&#10;TKdxaSRhOjuboOAONc+HGrNurwD/YIEbz/J0jfZB76/SQfuE62oRo6KKGY6xK8qD2wtXod9NuPC4&#10;WCySGS4Ky8LSPFi+H7o4Do/bJ+bsMDkBR+4W9vuCla9Gp7eN/TCwWAeQKs3VC68D37hk0lAMCzFu&#10;sUM5Wb2s7fkvAAAA//8DAFBLAwQUAAYACAAAACEAzkMXrNcAAAAIAQAADwAAAGRycy9kb3ducmV2&#10;LnhtbEyPQU/DMAyF70j8h8hI3FhaJKa2NJ2mSdxh9Ad4jddWNE6VZGv37/FOcLPfs56/V+9WN6kr&#10;hTh6NpBvMlDEnbcj9wba74+XAlRMyBYnz2TgRhF2zeNDjZX1C3/R9Zh6JSEcKzQwpDRXWsduIIdx&#10;42di8c4+OEyyhl7bgIuEu0m/ZtlWOxxZPgw402Gg7ud4cQbCfnuwWLYLl+15vH0WFAKSMc9P6/4d&#10;VKI1/R3DHV/QoRGmk7+wjWoyIEWSqHmRg7rbWS7KSYa3MgPd1Pp/geYXAAD//wMAUEsBAi0AFAAG&#10;AAgAAAAhALaDOJL+AAAA4QEAABMAAAAAAAAAAAAAAAAAAAAAAFtDb250ZW50X1R5cGVzXS54bWxQ&#10;SwECLQAUAAYACAAAACEAOP0h/9YAAACUAQAACwAAAAAAAAAAAAAAAAAvAQAAX3JlbHMvLnJlbHNQ&#10;SwECLQAUAAYACAAAACEAtl6d95wCAAD+BQAADgAAAAAAAAAAAAAAAAAuAgAAZHJzL2Uyb0RvYy54&#10;bWxQSwECLQAUAAYACAAAACEAzkMXrNcAAAAIAQAADwAAAAAAAAAAAAAAAAD2BAAAZHJzL2Rvd25y&#10;ZXYueG1sUEsFBgAAAAAEAAQA8wAAAPoFAAAAAA==&#10;" adj="17227" fillcolor="#7b7b7b [2406]" strokecolor="#7b7b7b [2406]" strokeweight="1pt">
            <v:path arrowok="t"/>
            <w10:wrap anchorx="margin"/>
          </v:shape>
        </w:pict>
      </w:r>
      <w:r>
        <w:rPr>
          <w:noProof/>
        </w:rPr>
        <w:pict w14:anchorId="5164F0C1">
          <v:shape id="Arrow: Right 10" o:spid="_x0000_s2050" type="#_x0000_t13" style="position:absolute;left:0;text-align:left;margin-left:135.25pt;margin-top:14.55pt;width:48.5pt;height:19.3pt;z-index:2516582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L3DlAIAAPQFAAAOAAAAZHJzL2Uyb0RvYy54bWy0VMFu2zAMvQ/YPwi6r7azpF2NOkXQosOA&#10;rC3WDj2rshQLk0VNUuJkX19KdtygC3YYtoshiuQj+Sy+i8ttq8lGOK/AVLQ4ySkRhkOtzKqi3x9v&#10;PnyixAdmaqbBiIruhKeX8/fvLjpbigk0oGvhCIIYX3a2ok0ItswyzxvRMn8CVhh0SnAtC2i6VVY7&#10;1iF6q7NJnp9mHbjaOuDCe7y97p10nvClFDzcSelFILqi2FtIX5e+z/GbzS9YuXLMNooPbbC/6KJl&#10;ymDREeqaBUbWTv0G1SruwIMMJxzaDKRUXKQZcJoifzPNQ8OsSLMgOd6ONPl/B8tvNw/23sXWvV0C&#10;/+GRkayzvhw90fBDzFa6NsZi42SbWNyNLIptIBwvT4vZ+Qy55uiaTGdFkVjOWLlPts6HzwJaEg8V&#10;dWrVhIVz0CUG2WbpQ2yClfvA1B1oVd8orZMRn4e40o5sGP5Yxrkw4WNK1+v2K9T9/dksz/fF04uK&#10;KQnZH6Jp818L4CCxQiK15zExGnZaxLrafBOSqBqZm6QJxk4Phyt6V8Nq0V/H0Y7PlgAjskS2RuwB&#10;4BhxRdwC7HKIj6kirc6YnP+psT55zEiVwYQxuVUG3DEAHcbKffyepJ6ayNIz1Lt7Rxz0i+stv1H4&#10;aJbMh3vmcFPxnaH6hDv8SA1dRWE4UdKA+3XsPsbjAqGXkg43v6L+55o5QYn+YnC1zovpNEpFMqaz&#10;swka7tDzfOgx6/YK8A0WqHOWp2OMD3p/lA7aJxSpRayKLmY41q4oD25vXIVekVDmuFgsUhjKg2Vh&#10;aR4sj+CR1bgOj9sn5uywOQFX7hb2KsHKN6vTx8ZMA4t1AKnSXr3yOvCN0pL+/yCDUbsO7RT1Ktbz&#10;FwAAAP//AwBQSwMEFAAGAAgAAAAhAOYU9nbbAAAACgEAAA8AAABkcnMvZG93bnJldi54bWxMj8tO&#10;xDAMRfdI/ENkJHZM0qGCTmk6gpFmx2YeH5BpTFvROFWTvv4es4Kl7aPrc4v94jox4RBaTxqSjQKB&#10;VHnbUq3hejk+ZSBCNGRN5wk1rBhgX97fFSa3fqYTTudYCw6hkBsNTYx9LmWoGnQmbHyPxLcvPzgT&#10;eRxqaQczc7jr5FapF+lMS/yhMT0eGqy+z6PT4KeP07rMx88LjpmxKl2TXTxo/fiwvL+BiLjEPxh+&#10;9VkdSna6+ZFsEJ2GZ5UmjGp4TbYgGEhVwosbk2qXgSwL+b9C+QMAAP//AwBQSwECLQAUAAYACAAA&#10;ACEAtoM4kv4AAADhAQAAEwAAAAAAAAAAAAAAAAAAAAAAW0NvbnRlbnRfVHlwZXNdLnhtbFBLAQIt&#10;ABQABgAIAAAAIQA4/SH/1gAAAJQBAAALAAAAAAAAAAAAAAAAAC8BAABfcmVscy8ucmVsc1BLAQIt&#10;ABQABgAIAAAAIQAZpL3DlAIAAPQFAAAOAAAAAAAAAAAAAAAAAC4CAABkcnMvZTJvRG9jLnhtbFBL&#10;AQItABQABgAIAAAAIQDmFPZ22wAAAAoBAAAPAAAAAAAAAAAAAAAAAO4EAABkcnMvZG93bnJldi54&#10;bWxQSwUGAAAAAAQABADzAAAA9gUAAAAA&#10;" adj="17302" fillcolor="#7b7b7b [2406]" strokecolor="#7b7b7b [2406]" strokeweight="1pt">
            <v:path arrowok="t"/>
            <w10:wrap anchorx="margin"/>
          </v:shape>
        </w:pict>
      </w:r>
      <w:r>
        <w:rPr>
          <w:noProof/>
        </w:rPr>
        <w:pict w14:anchorId="27E55FAC">
          <v:oval id="Oval 20" o:spid="_x0000_s2052" style="position:absolute;left:0;text-align:left;margin-left:110.05pt;margin-top:95.4pt;width:105.45pt;height:78.55pt;z-index:2516572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EoULQIAANAFAAAOAAAAZHJzL2Uyb0RvYy54bWy8lM1u3CAQx++V+g6Ie9f2bpMm1nqjqlF6&#10;SduoaR+AxbBG5auA19637wBeJ01WPURVfEBmGGZ+82dgfTUqifbMeWF0g6tFiRHT1LRC7xr888fN&#10;uwuMfCC6JdJo1uAD8/hq8/bNerA1W5rOyJY5BEG0rwfb4C4EWxeFpx1TxC+MZRoWuXGKBJi6XdE6&#10;MkB0JYtlWZ4Xg3GtdYYy78F6nRfxJsXnnNHwjXPPApINBraQRpfGbRyLzZrUO0dsJ+iEQV5AoYjQ&#10;kHQOdU0CQb0Tz0IpQZ3xhocFNaownAvKUg1QTVU+qea+I5alWkAcb2eZ/P8LS7/u7+2di+je3hr6&#10;y4MixWB9Pa/EiZ98Ru5U9AVwNCYVD7OKbAyIgrFarS6X1RlGFNaq6nJ1USadC1Ift1vnw2dmFIo/&#10;DWZSCutjpaQm+1sfIgOpj14JzkjR3ggp0yR2B/skHdoTOFdCKdNhlbbLXn0xbba/L+HLJwxm6INs&#10;Pj+aIUXqsxgpJfSPk0j90rwfzqa8/0oAazFDkjqrm3QOB8liXqm/M45EC3ouU2EzaS5ChiqZu57N&#10;hU21ehJ7PrudKH8yEWk78rffM9wEEWk4CD/z5MRPePIZvALThBKpWLrfM1d5SqdX45phkl5Gh5lL&#10;CW3cKbZ4hrnTefY/tkNugtgPYdyO4BJ/t6Y93Dk0wFvVYP+7Jy5fGG0+9sFwkS7Ng+MUC56N1NrT&#10;Exffpcfz5PXwEG/+AAAA//8DAFBLAwQUAAYACAAAACEAmHblBeEAAAALAQAADwAAAGRycy9kb3du&#10;cmV2LnhtbEyPwU7DMAyG70i8Q2QkLmhLV7aCStNpQ5rElRWxccsa01Y0TtVkbeHp8U5w+yz/+v05&#10;W0+2FQP2vnGkYDGPQCCVzjRUKXgrdrNHED5oMrp1hAq+0cM6v77KdGrcSK847EMluIR8qhXUIXSp&#10;lL6s0Wo/dx0S7z5db3Xgsa+k6fXI5baVcRQl0uqG+EKtO3yusfzan62C6e5n7AZ6Kd932+Jjezwe&#10;xmJzr9TtzbR5AhFwCn9huOizOuTsdHJnMl60CuLV8oGjDHGcgODEMlkxnBgWUQIyz+T/H/JfAAAA&#10;//8DAFBLAQItABQABgAIAAAAIQC2gziS/gAAAOEBAAATAAAAAAAAAAAAAAAAAAAAAABbQ29udGVu&#10;dF9UeXBlc10ueG1sUEsBAi0AFAAGAAgAAAAhADj9If/WAAAAlAEAAAsAAAAAAAAAAAAAAAAALwEA&#10;AF9yZWxzLy5yZWxzUEsBAi0AFAAGAAgAAAAhAGQUShQtAgAA0AUAAA4AAAAAAAAAAAAAAAAALgIA&#10;AGRycy9lMm9Eb2MueG1sUEsBAi0AFAAGAAgAAAAhAJh25QXhAAAACwEAAA8AAAAAAAAAAAAAAAAA&#10;hwQAAGRycy9kb3ducmV2LnhtbFBLBQYAAAAABAAEAPMAAACVBQAAAAA=&#10;" fillcolor="#dbdbdb [1302]" strokecolor="#7b7b7b [2406]" strokeweight="1pt">
            <v:stroke joinstyle="miter"/>
            <v:path arrowok="t"/>
            <v:textbox style="mso-next-textbox:#Oval 20">
              <w:txbxContent>
                <w:p w14:paraId="16F0C704" w14:textId="7EE75260" w:rsidR="00192E25" w:rsidRPr="00714583" w:rsidRDefault="00192E25" w:rsidP="00192E25">
                  <w:pPr>
                    <w:jc w:val="center"/>
                    <w:rPr>
                      <w:color w:val="000000" w:themeColor="text1"/>
                      <w:sz w:val="20"/>
                      <w:szCs w:val="20"/>
                    </w:rPr>
                  </w:pPr>
                  <w:r w:rsidRPr="00714583">
                    <w:rPr>
                      <w:color w:val="000000" w:themeColor="text1"/>
                      <w:sz w:val="20"/>
                      <w:szCs w:val="20"/>
                    </w:rPr>
                    <w:t>Fonoloogia- ja ortograafia</w:t>
                  </w:r>
                  <w:r w:rsidR="00714583" w:rsidRPr="000D4EBE">
                    <w:rPr>
                      <w:color w:val="000000" w:themeColor="text1"/>
                      <w:sz w:val="20"/>
                      <w:szCs w:val="20"/>
                    </w:rPr>
                    <w:softHyphen/>
                  </w:r>
                  <w:r w:rsidRPr="00714583">
                    <w:rPr>
                      <w:color w:val="000000" w:themeColor="text1"/>
                      <w:sz w:val="20"/>
                      <w:szCs w:val="20"/>
                    </w:rPr>
                    <w:t>teadlikkus</w:t>
                  </w:r>
                </w:p>
              </w:txbxContent>
            </v:textbox>
            <w10:wrap anchorx="margin"/>
          </v:oval>
        </w:pict>
      </w:r>
      <w:r w:rsidR="00192E25" w:rsidRPr="00FB4EFA">
        <w:rPr>
          <w:noProof/>
          <w:szCs w:val="24"/>
          <w:lang w:val="et-EE"/>
        </w:rPr>
        <w:drawing>
          <wp:inline distT="0" distB="0" distL="0" distR="0" wp14:anchorId="729E841A" wp14:editId="54FD996A">
            <wp:extent cx="3972296" cy="3110098"/>
            <wp:effectExtent l="0" t="0" r="0" b="0"/>
            <wp:docPr id="24" name="Kaaviokuv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2" r:lo="rId293" r:qs="rId294" r:cs="rId295"/>
              </a:graphicData>
            </a:graphic>
          </wp:inline>
        </w:drawing>
      </w:r>
    </w:p>
    <w:p w14:paraId="2C9C3654" w14:textId="77777777" w:rsidR="00192E25" w:rsidRPr="00FB4EFA" w:rsidRDefault="00192E25" w:rsidP="00AF0CAD">
      <w:pPr>
        <w:spacing w:before="120" w:after="240" w:line="240" w:lineRule="auto"/>
        <w:jc w:val="center"/>
        <w:rPr>
          <w:szCs w:val="24"/>
          <w:lang w:val="et-EE"/>
        </w:rPr>
      </w:pPr>
      <w:r w:rsidRPr="00FB4EFA">
        <w:rPr>
          <w:b/>
          <w:sz w:val="18"/>
          <w:szCs w:val="18"/>
          <w:lang w:val="et-EE"/>
        </w:rPr>
        <w:t>Joonis 3</w:t>
      </w:r>
      <w:r w:rsidRPr="00FB4EFA">
        <w:rPr>
          <w:bCs/>
          <w:sz w:val="18"/>
          <w:szCs w:val="18"/>
          <w:lang w:val="et-EE"/>
        </w:rPr>
        <w:t xml:space="preserve">: </w:t>
      </w:r>
      <w:r w:rsidRPr="00FB4EFA">
        <w:rPr>
          <w:sz w:val="18"/>
          <w:szCs w:val="18"/>
          <w:lang w:val="et-EE"/>
        </w:rPr>
        <w:t>Keeleteadlikkuse kategooriate kumulatiivsus keeltevahelise sarnasuse tunnetamisel</w:t>
      </w:r>
    </w:p>
    <w:p w14:paraId="7FDD04AF" w14:textId="556AF5E2" w:rsidR="00192E25" w:rsidRPr="00FB4EFA" w:rsidRDefault="00192E25" w:rsidP="00312ECF">
      <w:pPr>
        <w:rPr>
          <w:lang w:val="et-EE"/>
        </w:rPr>
      </w:pPr>
      <w:r w:rsidRPr="00FB4EFA">
        <w:rPr>
          <w:lang w:val="et-EE"/>
        </w:rPr>
        <w:t>Keeleteadlikkuse kategooriate kumulatiivsuse all peetakse silmas kategooriate kuhjumist: mida rohkem erinevaid keeleteadlikkuse kategooriaid on kasutusel, seda erinevamat tüüpi sarnasust on võimalik tunnetada ja seda rohkem tunnetatud keeltevahelist sarnasust on keelekasutaja käsutuses. Eestivenelased, kes toetusid fonoloogia- ja ortograafia ning morfoloogiateadlikkusele, tunnetasid vähem keeltevahelist sarnasust kui ülejäänud uurimuses osalejate rühmad. Soomlaste ja soomerootslaste, kelle kasutada oli kogu keeleteadlikkuse skaala, soomerootslastel lisaks mitmikpädevuse tõttu võrdlusvõimalus kahe keelega, tunnetatud sarnasuse indeks oli märkimisväärselt kõrgem kui eestlastel ja eestivenelastel. Eestlased toetusid muudest rühmadest enam morfoloogia- ja paradigma</w:t>
      </w:r>
      <w:r w:rsidR="00714583" w:rsidRPr="00FB4EFA">
        <w:rPr>
          <w:lang w:val="et-EE"/>
        </w:rPr>
        <w:softHyphen/>
      </w:r>
      <w:r w:rsidRPr="00FB4EFA">
        <w:rPr>
          <w:lang w:val="et-EE"/>
        </w:rPr>
        <w:t>teadlikkusele, kuid Eesti Soomest erinev keelesituatsioon ei võimalda neil kasutada samal määral keele mitmekesisest varieerumisest tuleneva pragmaatikateadlikkuse eeliseid ning seetõttu tunnetavad nad keeltevahelist sarnasust piiratumalt.</w:t>
      </w:r>
    </w:p>
    <w:p w14:paraId="5D09BB69" w14:textId="77777777" w:rsidR="00192E25" w:rsidRPr="00FB4EFA" w:rsidRDefault="00192E25" w:rsidP="00312ECF">
      <w:pPr>
        <w:ind w:firstLine="709"/>
        <w:rPr>
          <w:lang w:val="et-EE"/>
        </w:rPr>
      </w:pPr>
      <w:r w:rsidRPr="00FB4EFA">
        <w:rPr>
          <w:lang w:val="et-EE"/>
        </w:rPr>
        <w:lastRenderedPageBreak/>
        <w:t>Mida paremini keelekasutajad suudavad liikuda keeleteadlikkuse eri kategooriate vahel, seda paremini tunnetavad nad keeltevahelist sarnasust ja seda rohkem vahendeid on neil sihtkeele mõistmiseks ning seda kaudu keeleloomeks ja keele õppimiseks. Eri sarnasusetüüpide tunnetamine nõuab eri tüüpi keeleteadlikkust. Metalingvistilise teadlikkuse avaldumisvormid fonoloogia- ja ortograafiateadlikkus on omane enamikule keelekasutajatest. Seevastu abstraktsema ja juhuslikuma keeltevahelise sarnasuse tunnetamise eelduseks olev keeleteadlikkus laiemas mõttes, mis avaldub paradigma- ja pragmaatikateadlikkusena, vajab süstemaatilisemat ja teadlikumat arendamist.</w:t>
      </w:r>
    </w:p>
    <w:p w14:paraId="5967A580" w14:textId="77777777" w:rsidR="00192E25" w:rsidRPr="00FB4EFA" w:rsidRDefault="00192E25" w:rsidP="00312ECF">
      <w:pPr>
        <w:pStyle w:val="Heading2"/>
        <w:spacing w:line="259" w:lineRule="auto"/>
        <w:rPr>
          <w:color w:val="auto"/>
          <w:lang w:val="et-EE"/>
        </w:rPr>
      </w:pPr>
      <w:r w:rsidRPr="00FB4EFA">
        <w:rPr>
          <w:color w:val="auto"/>
          <w:lang w:val="et-EE"/>
        </w:rPr>
        <w:t>Kirjandus</w:t>
      </w:r>
    </w:p>
    <w:p w14:paraId="78451117" w14:textId="19F276C5" w:rsidR="00192E25" w:rsidRPr="00FB4EFA" w:rsidRDefault="00192E25" w:rsidP="00153BA0">
      <w:pPr>
        <w:keepLines/>
        <w:suppressAutoHyphens/>
        <w:spacing w:line="240" w:lineRule="auto"/>
        <w:ind w:left="425" w:hanging="425"/>
        <w:rPr>
          <w:rFonts w:eastAsia="Times New Roman" w:cs="Charis SIL"/>
          <w:lang w:val="et-EE"/>
        </w:rPr>
      </w:pPr>
      <w:r w:rsidRPr="00FB4EFA">
        <w:rPr>
          <w:rFonts w:eastAsia="Times New Roman" w:cs="Charis SIL"/>
          <w:lang w:val="et-EE"/>
        </w:rPr>
        <w:t xml:space="preserve">Andersen, Line &amp; </w:t>
      </w:r>
      <w:r w:rsidR="00C95A41" w:rsidRPr="00FB4EFA">
        <w:rPr>
          <w:rFonts w:eastAsia="Times New Roman" w:cs="Charis SIL"/>
          <w:lang w:val="et-EE"/>
        </w:rPr>
        <w:t xml:space="preserve">Maria </w:t>
      </w:r>
      <w:r w:rsidRPr="00FB4EFA">
        <w:rPr>
          <w:rFonts w:eastAsia="Times New Roman" w:cs="Charis SIL"/>
          <w:lang w:val="et-EE"/>
        </w:rPr>
        <w:t xml:space="preserve">Ruohotie-Lyhty. 2013. Mitä on kielitietoisuus ja miten se näkyy koulussa? </w:t>
      </w:r>
      <w:hyperlink r:id="rId297" w:history="1">
        <w:r w:rsidR="00D337F9" w:rsidRPr="00FB4EFA">
          <w:rPr>
            <w:rFonts w:eastAsia="Times New Roman" w:cs="Charis SIL"/>
            <w:u w:val="single"/>
            <w:lang w:val="et-EE"/>
          </w:rPr>
          <w:t>www.kieliverkosto.fi/fi/journals/</w:t>
        </w:r>
        <w:r w:rsidR="00D337F9" w:rsidRPr="00FB4EFA">
          <w:rPr>
            <w:rFonts w:eastAsia="Times New Roman" w:cs="Charis SIL"/>
            <w:u w:val="single"/>
            <w:lang w:val="et-EE"/>
          </w:rPr>
          <w:br/>
          <w:t>kieli-koulutus-ja-yhteiskunta-maaliskuu-2019/</w:t>
        </w:r>
        <w:r w:rsidR="00312ECF" w:rsidRPr="00FB4EFA">
          <w:rPr>
            <w:rFonts w:eastAsia="Times New Roman" w:cs="Charis SIL"/>
            <w:u w:val="single"/>
            <w:lang w:val="et-EE"/>
          </w:rPr>
          <w:br/>
        </w:r>
        <w:r w:rsidR="00D337F9" w:rsidRPr="00FB4EFA">
          <w:rPr>
            <w:rFonts w:eastAsia="Times New Roman" w:cs="Charis SIL"/>
            <w:u w:val="single"/>
            <w:lang w:val="et-EE"/>
          </w:rPr>
          <w:t>mita-on-kielitietoisuus-ja-miten-se-nakyy-koulussa</w:t>
        </w:r>
      </w:hyperlink>
      <w:r w:rsidRPr="00FB4EFA">
        <w:rPr>
          <w:rFonts w:eastAsia="Times New Roman" w:cs="Charis SIL"/>
          <w:lang w:val="et-EE"/>
        </w:rPr>
        <w:t>.</w:t>
      </w:r>
    </w:p>
    <w:p w14:paraId="0CAD8749" w14:textId="57B68E3A" w:rsidR="00192E25" w:rsidRPr="00FB4EFA" w:rsidRDefault="00192E25" w:rsidP="00153BA0">
      <w:pPr>
        <w:suppressAutoHyphens/>
        <w:spacing w:line="240" w:lineRule="auto"/>
        <w:ind w:left="426" w:hanging="426"/>
        <w:rPr>
          <w:rFonts w:eastAsia="Times New Roman" w:cs="Charis SIL"/>
          <w:lang w:val="et-EE" w:eastAsia="fi-FI"/>
        </w:rPr>
      </w:pPr>
      <w:r w:rsidRPr="00FB4EFA">
        <w:rPr>
          <w:rFonts w:cs="Charis SIL"/>
          <w:lang w:val="et-EE"/>
        </w:rPr>
        <w:t xml:space="preserve">Byalystok, Ellen &amp; </w:t>
      </w:r>
      <w:r w:rsidR="00C95A41" w:rsidRPr="00FB4EFA">
        <w:rPr>
          <w:rFonts w:cs="Charis SIL"/>
          <w:lang w:val="et-EE"/>
        </w:rPr>
        <w:t xml:space="preserve">Ellen B. </w:t>
      </w:r>
      <w:r w:rsidRPr="00FB4EFA">
        <w:rPr>
          <w:rFonts w:cs="Charis SIL"/>
          <w:lang w:val="et-EE"/>
        </w:rPr>
        <w:t>Ryan</w:t>
      </w:r>
      <w:r w:rsidR="00C95A41" w:rsidRPr="00FB4EFA">
        <w:rPr>
          <w:rFonts w:cs="Charis SIL"/>
          <w:lang w:val="et-EE"/>
        </w:rPr>
        <w:t xml:space="preserve">. </w:t>
      </w:r>
      <w:r w:rsidRPr="00FB4EFA">
        <w:rPr>
          <w:rFonts w:cs="Charis SIL"/>
          <w:lang w:val="et-EE"/>
        </w:rPr>
        <w:t xml:space="preserve">1985. </w:t>
      </w:r>
      <w:r w:rsidRPr="00FB4EFA">
        <w:rPr>
          <w:rFonts w:cs="Charis SIL"/>
          <w:shd w:val="clear" w:color="auto" w:fill="FFFFFF"/>
          <w:lang w:val="et-EE"/>
        </w:rPr>
        <w:t>Toward a definition of metalinguistic skill.</w:t>
      </w:r>
      <w:r w:rsidR="00125ADE" w:rsidRPr="00FB4EFA">
        <w:rPr>
          <w:rFonts w:cs="Charis SIL"/>
          <w:shd w:val="clear" w:color="auto" w:fill="FFFFFF"/>
          <w:lang w:val="et-EE"/>
        </w:rPr>
        <w:t xml:space="preserve"> </w:t>
      </w:r>
      <w:r w:rsidRPr="00FB4EFA">
        <w:rPr>
          <w:rFonts w:cs="Charis SIL"/>
          <w:shd w:val="clear" w:color="auto" w:fill="FFFFFF"/>
          <w:lang w:val="et-EE"/>
        </w:rPr>
        <w:t>Merrill-Palmer Quarterly 31</w:t>
      </w:r>
      <w:r w:rsidR="00875DD7" w:rsidRPr="00FB4EFA">
        <w:rPr>
          <w:rFonts w:cs="Charis SIL"/>
          <w:shd w:val="clear" w:color="auto" w:fill="FFFFFF"/>
          <w:lang w:val="et-EE"/>
        </w:rPr>
        <w:t xml:space="preserve"> </w:t>
      </w:r>
      <w:r w:rsidRPr="00FB4EFA">
        <w:rPr>
          <w:rFonts w:cs="Charis SIL"/>
          <w:shd w:val="clear" w:color="auto" w:fill="FFFFFF"/>
          <w:lang w:val="et-EE"/>
        </w:rPr>
        <w:t>(3)</w:t>
      </w:r>
      <w:r w:rsidR="00875DD7" w:rsidRPr="00FB4EFA">
        <w:rPr>
          <w:rFonts w:cs="Charis SIL"/>
          <w:shd w:val="clear" w:color="auto" w:fill="FFFFFF"/>
          <w:lang w:val="et-EE"/>
        </w:rPr>
        <w:t>.</w:t>
      </w:r>
      <w:r w:rsidRPr="00FB4EFA">
        <w:rPr>
          <w:rFonts w:cs="Charis SIL"/>
          <w:shd w:val="clear" w:color="auto" w:fill="FFFFFF"/>
          <w:lang w:val="et-EE"/>
        </w:rPr>
        <w:t xml:space="preserve"> 229</w:t>
      </w:r>
      <w:r w:rsidRPr="00FB4EFA">
        <w:rPr>
          <w:rFonts w:cs="Charis SIL"/>
          <w:lang w:val="et-EE"/>
        </w:rPr>
        <w:t>–</w:t>
      </w:r>
      <w:r w:rsidRPr="00FB4EFA">
        <w:rPr>
          <w:rFonts w:cs="Charis SIL"/>
          <w:shd w:val="clear" w:color="auto" w:fill="FFFFFF"/>
          <w:lang w:val="et-EE"/>
        </w:rPr>
        <w:t>251.</w:t>
      </w:r>
    </w:p>
    <w:p w14:paraId="782BAC98" w14:textId="56EE8F83" w:rsidR="00192E25" w:rsidRPr="00FB4EFA" w:rsidRDefault="00192E25" w:rsidP="00153BA0">
      <w:pPr>
        <w:suppressAutoHyphens/>
        <w:spacing w:line="240" w:lineRule="auto"/>
        <w:ind w:left="426" w:hanging="426"/>
        <w:rPr>
          <w:rFonts w:eastAsia="Times New Roman" w:cs="Charis SIL"/>
          <w:lang w:val="et-EE" w:eastAsia="fi-FI"/>
        </w:rPr>
      </w:pPr>
      <w:r w:rsidRPr="00FB4EFA">
        <w:rPr>
          <w:rFonts w:eastAsia="Times New Roman" w:cs="Charis SIL"/>
          <w:lang w:val="et-EE" w:eastAsia="fi-FI"/>
        </w:rPr>
        <w:t xml:space="preserve">Cenoz, Jasone, </w:t>
      </w:r>
      <w:r w:rsidR="00C95A41" w:rsidRPr="00FB4EFA">
        <w:rPr>
          <w:rFonts w:eastAsia="Times New Roman" w:cs="Charis SIL"/>
          <w:lang w:val="et-EE" w:eastAsia="fi-FI"/>
        </w:rPr>
        <w:t xml:space="preserve">Durk </w:t>
      </w:r>
      <w:r w:rsidRPr="00FB4EFA">
        <w:rPr>
          <w:rFonts w:eastAsia="Times New Roman" w:cs="Charis SIL"/>
          <w:lang w:val="et-EE" w:eastAsia="fi-FI"/>
        </w:rPr>
        <w:t xml:space="preserve">Corter &amp; </w:t>
      </w:r>
      <w:r w:rsidR="00C95A41" w:rsidRPr="00FB4EFA">
        <w:rPr>
          <w:rFonts w:eastAsia="Times New Roman" w:cs="Charis SIL"/>
          <w:lang w:val="et-EE" w:eastAsia="fi-FI"/>
        </w:rPr>
        <w:t xml:space="preserve">Stephen </w:t>
      </w:r>
      <w:r w:rsidRPr="00FB4EFA">
        <w:rPr>
          <w:rFonts w:eastAsia="Times New Roman" w:cs="Charis SIL"/>
          <w:lang w:val="et-EE" w:eastAsia="fi-FI"/>
        </w:rPr>
        <w:t>May (</w:t>
      </w:r>
      <w:r w:rsidR="00125ADE" w:rsidRPr="00FB4EFA">
        <w:rPr>
          <w:rFonts w:cs="Charis SIL"/>
          <w:shd w:val="clear" w:color="auto" w:fill="FFFFFF"/>
          <w:lang w:val="et-EE"/>
        </w:rPr>
        <w:t>toim.</w:t>
      </w:r>
      <w:r w:rsidRPr="00FB4EFA">
        <w:rPr>
          <w:rFonts w:eastAsia="Times New Roman" w:cs="Charis SIL"/>
          <w:lang w:val="et-EE" w:eastAsia="fi-FI"/>
        </w:rPr>
        <w:t>)</w:t>
      </w:r>
      <w:r w:rsidR="00C95A41" w:rsidRPr="00FB4EFA">
        <w:rPr>
          <w:rFonts w:eastAsia="Times New Roman" w:cs="Charis SIL"/>
          <w:lang w:val="et-EE" w:eastAsia="fi-FI"/>
        </w:rPr>
        <w:t>.</w:t>
      </w:r>
      <w:r w:rsidRPr="00FB4EFA">
        <w:rPr>
          <w:rFonts w:eastAsia="Times New Roman" w:cs="Charis SIL"/>
          <w:lang w:val="et-EE" w:eastAsia="fi-FI"/>
        </w:rPr>
        <w:t xml:space="preserve"> 2017</w:t>
      </w:r>
      <w:r w:rsidRPr="00FB4EFA">
        <w:rPr>
          <w:rFonts w:eastAsia="Times New Roman" w:cs="Charis SIL"/>
          <w:i/>
          <w:iCs/>
          <w:lang w:val="et-EE" w:eastAsia="fi-FI"/>
        </w:rPr>
        <w:t>. Language awareness and mutilingualism. Encyclopedia of language and education</w:t>
      </w:r>
      <w:r w:rsidRPr="00FB4EFA">
        <w:rPr>
          <w:rFonts w:eastAsia="Times New Roman" w:cs="Charis SIL"/>
          <w:lang w:val="et-EE" w:eastAsia="fi-FI"/>
        </w:rPr>
        <w:t>. Berlin: Springer.</w:t>
      </w:r>
    </w:p>
    <w:p w14:paraId="3E894273" w14:textId="1B71162F" w:rsidR="00192E25" w:rsidRPr="00FB4EFA" w:rsidRDefault="00192E25" w:rsidP="00153BA0">
      <w:pPr>
        <w:suppressAutoHyphens/>
        <w:spacing w:line="240" w:lineRule="auto"/>
        <w:ind w:left="426" w:hanging="426"/>
        <w:rPr>
          <w:rFonts w:cs="Charis SIL"/>
          <w:shd w:val="clear" w:color="auto" w:fill="FFFFFF"/>
          <w:lang w:val="et-EE"/>
        </w:rPr>
      </w:pPr>
      <w:r w:rsidRPr="00FB4EFA">
        <w:rPr>
          <w:rFonts w:cs="Charis SIL"/>
          <w:shd w:val="clear" w:color="auto" w:fill="FFFFFF"/>
          <w:lang w:val="et-EE"/>
        </w:rPr>
        <w:t>Cook, Vivian. 2016. Premises of multi-competence. In Vivian Cook, Li Wei (</w:t>
      </w:r>
      <w:r w:rsidR="00125ADE" w:rsidRPr="00FB4EFA">
        <w:rPr>
          <w:rFonts w:cs="Charis SIL"/>
          <w:shd w:val="clear" w:color="auto" w:fill="FFFFFF"/>
          <w:lang w:val="et-EE"/>
        </w:rPr>
        <w:t>toim.</w:t>
      </w:r>
      <w:r w:rsidRPr="00FB4EFA">
        <w:rPr>
          <w:rFonts w:cs="Charis SIL"/>
          <w:shd w:val="clear" w:color="auto" w:fill="FFFFFF"/>
          <w:lang w:val="et-EE"/>
        </w:rPr>
        <w:t xml:space="preserve">), </w:t>
      </w:r>
      <w:r w:rsidRPr="00FB4EFA">
        <w:rPr>
          <w:rFonts w:cs="Charis SIL"/>
          <w:i/>
          <w:iCs/>
          <w:shd w:val="clear" w:color="auto" w:fill="FFFFFF"/>
          <w:lang w:val="et-EE"/>
        </w:rPr>
        <w:t>The Cambridge Handbook of Linguistic Multi-Competence</w:t>
      </w:r>
      <w:r w:rsidRPr="00FB4EFA">
        <w:rPr>
          <w:rFonts w:cs="Charis SIL"/>
          <w:shd w:val="clear" w:color="auto" w:fill="FFFFFF"/>
          <w:lang w:val="et-EE"/>
        </w:rPr>
        <w:t>, 1</w:t>
      </w:r>
      <w:r w:rsidRPr="00FB4EFA">
        <w:rPr>
          <w:rFonts w:cs="Charis SIL"/>
          <w:lang w:val="et-EE"/>
        </w:rPr>
        <w:t>–</w:t>
      </w:r>
      <w:r w:rsidRPr="00FB4EFA">
        <w:rPr>
          <w:rFonts w:cs="Charis SIL"/>
          <w:shd w:val="clear" w:color="auto" w:fill="FFFFFF"/>
          <w:lang w:val="et-EE"/>
        </w:rPr>
        <w:t>25. Cambridge: Cambridge University Press.</w:t>
      </w:r>
    </w:p>
    <w:p w14:paraId="32C6F9BD" w14:textId="0982C29E" w:rsidR="00192E25" w:rsidRPr="00FB4EFA" w:rsidRDefault="00192E25" w:rsidP="00153BA0">
      <w:pPr>
        <w:suppressAutoHyphens/>
        <w:spacing w:line="240" w:lineRule="auto"/>
        <w:ind w:left="426" w:hanging="426"/>
        <w:rPr>
          <w:rFonts w:cs="Charis SIL"/>
          <w:shd w:val="clear" w:color="auto" w:fill="FFFFFF"/>
          <w:lang w:val="et-EE"/>
        </w:rPr>
      </w:pPr>
      <w:r w:rsidRPr="00FB4EFA">
        <w:rPr>
          <w:rFonts w:cs="Charis SIL"/>
          <w:shd w:val="clear" w:color="auto" w:fill="FFFFFF"/>
          <w:lang w:val="et-EE"/>
        </w:rPr>
        <w:t>Dewaele, Jean-Marc. 2016. Multicompetence and personality. In Vivian Cook, Li Wei (</w:t>
      </w:r>
      <w:r w:rsidR="00125ADE" w:rsidRPr="00FB4EFA">
        <w:rPr>
          <w:rFonts w:cs="Charis SIL"/>
          <w:shd w:val="clear" w:color="auto" w:fill="FFFFFF"/>
          <w:lang w:val="et-EE"/>
        </w:rPr>
        <w:t>toim.</w:t>
      </w:r>
      <w:r w:rsidRPr="00FB4EFA">
        <w:rPr>
          <w:rFonts w:cs="Charis SIL"/>
          <w:shd w:val="clear" w:color="auto" w:fill="FFFFFF"/>
          <w:lang w:val="et-EE"/>
        </w:rPr>
        <w:t xml:space="preserve">), </w:t>
      </w:r>
      <w:r w:rsidRPr="00FB4EFA">
        <w:rPr>
          <w:rFonts w:cs="Charis SIL"/>
          <w:i/>
          <w:iCs/>
          <w:shd w:val="clear" w:color="auto" w:fill="FFFFFF"/>
          <w:lang w:val="et-EE"/>
        </w:rPr>
        <w:t>The Cambridge Handbook of Linguistic Multi-Competence</w:t>
      </w:r>
      <w:r w:rsidRPr="00FB4EFA">
        <w:rPr>
          <w:rFonts w:cs="Charis SIL"/>
          <w:shd w:val="clear" w:color="auto" w:fill="FFFFFF"/>
          <w:lang w:val="et-EE"/>
        </w:rPr>
        <w:t>, 403</w:t>
      </w:r>
      <w:r w:rsidRPr="00FB4EFA">
        <w:rPr>
          <w:rFonts w:cs="Charis SIL"/>
          <w:lang w:val="et-EE"/>
        </w:rPr>
        <w:t>–</w:t>
      </w:r>
      <w:r w:rsidRPr="00FB4EFA">
        <w:rPr>
          <w:rFonts w:cs="Charis SIL"/>
          <w:shd w:val="clear" w:color="auto" w:fill="FFFFFF"/>
          <w:lang w:val="et-EE"/>
        </w:rPr>
        <w:t>419. Cambridge: Cambridge University Press.</w:t>
      </w:r>
    </w:p>
    <w:p w14:paraId="166797D6" w14:textId="4B942318" w:rsidR="00192E25" w:rsidRPr="00FB4EFA" w:rsidRDefault="00192E25" w:rsidP="00153BA0">
      <w:pPr>
        <w:suppressAutoHyphens/>
        <w:spacing w:line="240" w:lineRule="auto"/>
        <w:ind w:left="426" w:hanging="426"/>
        <w:rPr>
          <w:rFonts w:cs="Charis SIL"/>
          <w:shd w:val="clear" w:color="auto" w:fill="FFFFFF"/>
          <w:lang w:val="et-EE"/>
        </w:rPr>
      </w:pPr>
      <w:r w:rsidRPr="00FB4EFA">
        <w:rPr>
          <w:rFonts w:cs="Charis SIL"/>
          <w:shd w:val="clear" w:color="auto" w:fill="FFFFFF"/>
          <w:lang w:val="et-EE"/>
        </w:rPr>
        <w:t>Jessner, Ulrike. 2014. On multilingual awareness or why the multilingual learner is a specific language learner. In Mirosław Pawlak, Larissa Aronin (</w:t>
      </w:r>
      <w:r w:rsidR="00125ADE" w:rsidRPr="00FB4EFA">
        <w:rPr>
          <w:rFonts w:cs="Charis SIL"/>
          <w:shd w:val="clear" w:color="auto" w:fill="FFFFFF"/>
          <w:lang w:val="et-EE"/>
        </w:rPr>
        <w:t>toim.</w:t>
      </w:r>
      <w:r w:rsidRPr="00FB4EFA">
        <w:rPr>
          <w:rFonts w:cs="Charis SIL"/>
          <w:shd w:val="clear" w:color="auto" w:fill="FFFFFF"/>
          <w:lang w:val="et-EE"/>
        </w:rPr>
        <w:t xml:space="preserve">), </w:t>
      </w:r>
      <w:r w:rsidRPr="00FB4EFA">
        <w:rPr>
          <w:rFonts w:cs="Charis SIL"/>
          <w:i/>
          <w:iCs/>
          <w:shd w:val="clear" w:color="auto" w:fill="FFFFFF"/>
          <w:lang w:val="et-EE"/>
        </w:rPr>
        <w:t>Essential Topics in Applied Linguistics and Multilingualism. Studies in Honour of David Singleton,</w:t>
      </w:r>
      <w:r w:rsidRPr="00FB4EFA">
        <w:rPr>
          <w:rFonts w:cs="Charis SIL"/>
          <w:shd w:val="clear" w:color="auto" w:fill="FFFFFF"/>
          <w:lang w:val="et-EE"/>
        </w:rPr>
        <w:t xml:space="preserve"> 175</w:t>
      </w:r>
      <w:r w:rsidRPr="00FB4EFA">
        <w:rPr>
          <w:rFonts w:cs="Charis SIL"/>
          <w:lang w:val="et-EE"/>
        </w:rPr>
        <w:t>–</w:t>
      </w:r>
      <w:r w:rsidRPr="00FB4EFA">
        <w:rPr>
          <w:rFonts w:cs="Charis SIL"/>
          <w:shd w:val="clear" w:color="auto" w:fill="FFFFFF"/>
          <w:lang w:val="et-EE"/>
        </w:rPr>
        <w:t>184. Heidelberg: Springer.</w:t>
      </w:r>
    </w:p>
    <w:p w14:paraId="1F38ADDB" w14:textId="5FB08AD1" w:rsidR="00192E25" w:rsidRPr="00FB4EFA" w:rsidRDefault="00192E25" w:rsidP="00153BA0">
      <w:pPr>
        <w:keepLines/>
        <w:suppressAutoHyphens/>
        <w:spacing w:line="240" w:lineRule="auto"/>
        <w:ind w:left="425" w:hanging="425"/>
        <w:rPr>
          <w:rFonts w:cs="Charis SIL"/>
          <w:lang w:val="et-EE"/>
        </w:rPr>
      </w:pPr>
      <w:r w:rsidRPr="00FB4EFA">
        <w:rPr>
          <w:rFonts w:cs="Charis SIL"/>
          <w:lang w:val="et-EE"/>
        </w:rPr>
        <w:t xml:space="preserve">Kaivapalu, Annekatrin &amp; </w:t>
      </w:r>
      <w:r w:rsidR="00041210" w:rsidRPr="00FB4EFA">
        <w:rPr>
          <w:rFonts w:cs="Charis SIL"/>
          <w:lang w:val="et-EE"/>
        </w:rPr>
        <w:t xml:space="preserve">Maisa </w:t>
      </w:r>
      <w:r w:rsidRPr="00FB4EFA">
        <w:rPr>
          <w:rFonts w:cs="Charis SIL"/>
          <w:lang w:val="et-EE"/>
        </w:rPr>
        <w:t>Martin. 2014. Measuring Perceptions of Cross-Linguistic Similarity between Closely Related Languages: Finnish and Estonian Noun Morphology as a Testing Ground. In Heli Paulasto, Lea Meriläinen, Helka Riionheimo, Maria Kok (</w:t>
      </w:r>
      <w:r w:rsidR="00125ADE" w:rsidRPr="00FB4EFA">
        <w:rPr>
          <w:rFonts w:cs="Charis SIL"/>
          <w:shd w:val="clear" w:color="auto" w:fill="FFFFFF"/>
          <w:lang w:val="et-EE"/>
        </w:rPr>
        <w:t>toim.</w:t>
      </w:r>
      <w:r w:rsidRPr="00FB4EFA">
        <w:rPr>
          <w:rFonts w:cs="Charis SIL"/>
          <w:lang w:val="et-EE"/>
        </w:rPr>
        <w:t>)</w:t>
      </w:r>
      <w:r w:rsidR="00041210" w:rsidRPr="00FB4EFA">
        <w:rPr>
          <w:rFonts w:cs="Charis SIL"/>
          <w:lang w:val="et-EE"/>
        </w:rPr>
        <w:t>,</w:t>
      </w:r>
      <w:r w:rsidRPr="00FB4EFA">
        <w:rPr>
          <w:rFonts w:cs="Charis SIL"/>
          <w:lang w:val="et-EE"/>
        </w:rPr>
        <w:t xml:space="preserve"> </w:t>
      </w:r>
      <w:r w:rsidRPr="00FB4EFA">
        <w:rPr>
          <w:rFonts w:cs="Charis SIL"/>
          <w:i/>
          <w:iCs/>
          <w:lang w:val="et-EE"/>
        </w:rPr>
        <w:t xml:space="preserve">Language Contacts at the Crossroads of Disciplines, </w:t>
      </w:r>
      <w:r w:rsidRPr="00FB4EFA">
        <w:rPr>
          <w:rFonts w:cs="Charis SIL"/>
          <w:lang w:val="et-EE"/>
        </w:rPr>
        <w:t>283</w:t>
      </w:r>
      <w:r w:rsidR="00B738EB" w:rsidRPr="00FB4EFA">
        <w:rPr>
          <w:rFonts w:cs="Charis SIL"/>
          <w:lang w:val="et-EE"/>
        </w:rPr>
        <w:t>–</w:t>
      </w:r>
      <w:r w:rsidRPr="00FB4EFA">
        <w:rPr>
          <w:rFonts w:cs="Charis SIL"/>
          <w:lang w:val="et-EE"/>
        </w:rPr>
        <w:t>318. Cambridge: Cambridge Scholars Publishing.</w:t>
      </w:r>
    </w:p>
    <w:p w14:paraId="5C727E7A" w14:textId="33938C45" w:rsidR="00192E25" w:rsidRPr="00FB4EFA" w:rsidRDefault="00192E25" w:rsidP="00153BA0">
      <w:pPr>
        <w:keepLines/>
        <w:suppressAutoHyphens/>
        <w:spacing w:line="240" w:lineRule="auto"/>
        <w:ind w:left="425" w:hanging="425"/>
        <w:rPr>
          <w:rFonts w:cs="Charis SIL"/>
          <w:lang w:val="et-EE"/>
        </w:rPr>
      </w:pPr>
      <w:r w:rsidRPr="00FB4EFA">
        <w:rPr>
          <w:rFonts w:cs="Charis SIL"/>
          <w:lang w:val="et-EE"/>
        </w:rPr>
        <w:lastRenderedPageBreak/>
        <w:t xml:space="preserve">Kaivapalu, Annekatrin &amp; </w:t>
      </w:r>
      <w:r w:rsidR="00041210" w:rsidRPr="00FB4EFA">
        <w:rPr>
          <w:rFonts w:cs="Charis SIL"/>
          <w:lang w:val="et-EE"/>
        </w:rPr>
        <w:t xml:space="preserve">Scott </w:t>
      </w:r>
      <w:r w:rsidRPr="00FB4EFA">
        <w:rPr>
          <w:rFonts w:cs="Charis SIL"/>
          <w:lang w:val="et-EE"/>
        </w:rPr>
        <w:t xml:space="preserve">Jarvis. 2019. Unconscious perceiving of cross-linguistic similarity in inflectional morphology. </w:t>
      </w:r>
      <w:r w:rsidRPr="00FB4EFA">
        <w:rPr>
          <w:rFonts w:cs="Charis SIL"/>
          <w:i/>
          <w:iCs/>
          <w:lang w:val="et-EE"/>
        </w:rPr>
        <w:t>Eurosla 29. The 29</w:t>
      </w:r>
      <w:r w:rsidR="00041210" w:rsidRPr="00FB4EFA">
        <w:rPr>
          <w:rFonts w:cs="Charis SIL"/>
          <w:i/>
          <w:iCs/>
          <w:vertAlign w:val="superscript"/>
          <w:lang w:val="et-EE"/>
        </w:rPr>
        <w:t>t</w:t>
      </w:r>
      <w:r w:rsidRPr="00FB4EFA">
        <w:rPr>
          <w:rFonts w:cs="Charis SIL"/>
          <w:i/>
          <w:iCs/>
          <w:vertAlign w:val="superscript"/>
          <w:lang w:val="et-EE"/>
        </w:rPr>
        <w:t>h</w:t>
      </w:r>
      <w:r w:rsidRPr="00FB4EFA">
        <w:rPr>
          <w:rFonts w:cs="Charis SIL"/>
          <w:i/>
          <w:iCs/>
          <w:lang w:val="et-EE"/>
        </w:rPr>
        <w:t xml:space="preserve"> conference of the European Second Language Association. Book of abstracts</w:t>
      </w:r>
      <w:r w:rsidRPr="00FB4EFA">
        <w:rPr>
          <w:rFonts w:cs="Charis SIL"/>
          <w:lang w:val="et-EE"/>
        </w:rPr>
        <w:t>, 166. Lund: Lund University.</w:t>
      </w:r>
    </w:p>
    <w:p w14:paraId="2F6AF8F2" w14:textId="09A99D68" w:rsidR="00192E25" w:rsidRPr="00FB4EFA" w:rsidRDefault="00192E25" w:rsidP="00153BA0">
      <w:pPr>
        <w:suppressAutoHyphens/>
        <w:spacing w:line="240" w:lineRule="auto"/>
        <w:ind w:left="426" w:hanging="426"/>
        <w:rPr>
          <w:rFonts w:cs="Charis SIL"/>
          <w:lang w:val="et-EE"/>
        </w:rPr>
      </w:pPr>
      <w:r w:rsidRPr="00FB4EFA">
        <w:rPr>
          <w:rFonts w:cs="Charis SIL"/>
          <w:lang w:val="et-EE"/>
        </w:rPr>
        <w:t xml:space="preserve">Kaivapalu, Annekatrin &amp; </w:t>
      </w:r>
      <w:r w:rsidR="00041210" w:rsidRPr="00FB4EFA">
        <w:rPr>
          <w:rFonts w:cs="Charis SIL"/>
          <w:lang w:val="et-EE"/>
        </w:rPr>
        <w:t xml:space="preserve">Maisa </w:t>
      </w:r>
      <w:r w:rsidRPr="00FB4EFA">
        <w:rPr>
          <w:rFonts w:cs="Charis SIL"/>
          <w:lang w:val="et-EE"/>
        </w:rPr>
        <w:t xml:space="preserve">Martin. 2015. Kuidas mõjutab emakeel keeltevahelise sarnasuse tunnetamist. </w:t>
      </w:r>
      <w:r w:rsidRPr="00FB4EFA">
        <w:rPr>
          <w:rFonts w:cs="Charis SIL"/>
          <w:i/>
          <w:iCs/>
          <w:lang w:val="et-EE"/>
        </w:rPr>
        <w:t>Emakeele Seltsi aastaraamat</w:t>
      </w:r>
      <w:r w:rsidRPr="00FB4EFA">
        <w:rPr>
          <w:rFonts w:cs="Charis SIL"/>
          <w:lang w:val="et-EE"/>
        </w:rPr>
        <w:t xml:space="preserve"> 60</w:t>
      </w:r>
      <w:r w:rsidR="00C95A41" w:rsidRPr="00FB4EFA">
        <w:rPr>
          <w:rFonts w:cs="Charis SIL"/>
          <w:lang w:val="et-EE"/>
        </w:rPr>
        <w:t>.</w:t>
      </w:r>
      <w:r w:rsidRPr="00FB4EFA">
        <w:rPr>
          <w:rFonts w:cs="Charis SIL"/>
          <w:lang w:val="et-EE"/>
        </w:rPr>
        <w:t xml:space="preserve"> 74</w:t>
      </w:r>
      <w:r w:rsidR="00B738EB" w:rsidRPr="00FB4EFA">
        <w:rPr>
          <w:rFonts w:cs="Charis SIL"/>
          <w:lang w:val="et-EE"/>
        </w:rPr>
        <w:t>–</w:t>
      </w:r>
      <w:r w:rsidRPr="00FB4EFA">
        <w:rPr>
          <w:rFonts w:cs="Charis SIL"/>
          <w:lang w:val="et-EE"/>
        </w:rPr>
        <w:t>100.</w:t>
      </w:r>
    </w:p>
    <w:p w14:paraId="35DD2199" w14:textId="46D76512" w:rsidR="00192E25" w:rsidRPr="00FB4EFA" w:rsidRDefault="00192E25" w:rsidP="00153BA0">
      <w:pPr>
        <w:suppressAutoHyphens/>
        <w:spacing w:line="240" w:lineRule="auto"/>
        <w:ind w:left="426" w:hanging="426"/>
        <w:rPr>
          <w:rFonts w:cs="Charis SIL"/>
          <w:lang w:val="et-EE"/>
        </w:rPr>
      </w:pPr>
      <w:r w:rsidRPr="00FB4EFA">
        <w:rPr>
          <w:rFonts w:cs="Charis SIL"/>
          <w:lang w:val="et-EE"/>
        </w:rPr>
        <w:t xml:space="preserve">Kaivapalu, Annekatrin &amp; </w:t>
      </w:r>
      <w:r w:rsidR="00041210" w:rsidRPr="00FB4EFA">
        <w:rPr>
          <w:rFonts w:cs="Charis SIL"/>
          <w:lang w:val="et-EE"/>
        </w:rPr>
        <w:t xml:space="preserve">Pirkko </w:t>
      </w:r>
      <w:r w:rsidRPr="00FB4EFA">
        <w:rPr>
          <w:rFonts w:cs="Charis SIL"/>
          <w:lang w:val="et-EE"/>
        </w:rPr>
        <w:t xml:space="preserve">Muikku-Werner. 2010. Reseptiivinen monikielisyys: miten suomenkielinen oppija ymmärtää viroa äidinkielensä pohjalta? </w:t>
      </w:r>
      <w:r w:rsidRPr="00FB4EFA">
        <w:rPr>
          <w:rFonts w:cs="Charis SIL"/>
          <w:i/>
          <w:iCs/>
          <w:lang w:val="et-EE"/>
        </w:rPr>
        <w:t>Lähivõrdlusi</w:t>
      </w:r>
      <w:r w:rsidR="00CB7F0B" w:rsidRPr="00FB4EFA">
        <w:rPr>
          <w:rFonts w:cs="Charis SIL"/>
          <w:i/>
          <w:iCs/>
          <w:lang w:val="et-EE"/>
        </w:rPr>
        <w:t>.</w:t>
      </w:r>
      <w:r w:rsidRPr="00FB4EFA">
        <w:rPr>
          <w:rFonts w:cs="Charis SIL"/>
          <w:i/>
          <w:iCs/>
          <w:lang w:val="et-EE"/>
        </w:rPr>
        <w:t xml:space="preserve"> Lähivertailuja</w:t>
      </w:r>
      <w:r w:rsidRPr="00FB4EFA">
        <w:rPr>
          <w:rFonts w:cs="Charis SIL"/>
          <w:lang w:val="et-EE"/>
        </w:rPr>
        <w:t xml:space="preserve"> 20</w:t>
      </w:r>
      <w:r w:rsidR="00CB7F0B" w:rsidRPr="00FB4EFA">
        <w:rPr>
          <w:rFonts w:cs="Charis SIL"/>
          <w:lang w:val="et-EE"/>
        </w:rPr>
        <w:t xml:space="preserve">. </w:t>
      </w:r>
      <w:r w:rsidRPr="00FB4EFA">
        <w:rPr>
          <w:rFonts w:cs="Charis SIL"/>
          <w:lang w:val="et-EE"/>
        </w:rPr>
        <w:t>68</w:t>
      </w:r>
      <w:r w:rsidR="00B738EB" w:rsidRPr="00FB4EFA">
        <w:rPr>
          <w:rFonts w:cs="Charis SIL"/>
          <w:lang w:val="et-EE"/>
        </w:rPr>
        <w:t>–</w:t>
      </w:r>
      <w:r w:rsidRPr="00FB4EFA">
        <w:rPr>
          <w:rFonts w:cs="Charis SIL"/>
          <w:lang w:val="et-EE"/>
        </w:rPr>
        <w:t>96.</w:t>
      </w:r>
    </w:p>
    <w:p w14:paraId="7F5EC192" w14:textId="4CCF9499" w:rsidR="00192E25" w:rsidRPr="00FB4EFA" w:rsidRDefault="00192E25" w:rsidP="00153BA0">
      <w:pPr>
        <w:suppressAutoHyphens/>
        <w:spacing w:line="240" w:lineRule="auto"/>
        <w:ind w:left="426" w:hanging="426"/>
        <w:rPr>
          <w:rFonts w:cs="Charis SIL"/>
          <w:lang w:val="et-EE"/>
        </w:rPr>
      </w:pPr>
      <w:r w:rsidRPr="00FB4EFA">
        <w:rPr>
          <w:rFonts w:cs="Charis SIL"/>
          <w:lang w:val="et-EE"/>
        </w:rPr>
        <w:t xml:space="preserve">Kaivapalu, Annekatrin &amp; </w:t>
      </w:r>
      <w:r w:rsidR="00C95A41" w:rsidRPr="00FB4EFA">
        <w:rPr>
          <w:rFonts w:cs="Charis SIL"/>
          <w:lang w:val="et-EE"/>
        </w:rPr>
        <w:t xml:space="preserve">Maisa </w:t>
      </w:r>
      <w:r w:rsidRPr="00FB4EFA">
        <w:rPr>
          <w:rFonts w:cs="Charis SIL"/>
          <w:lang w:val="et-EE"/>
        </w:rPr>
        <w:t xml:space="preserve">Martin. 2017. Perceived similarity between related languages: strings of letters or morphological units? </w:t>
      </w:r>
      <w:r w:rsidRPr="00FB4EFA">
        <w:rPr>
          <w:rFonts w:cs="Charis SIL"/>
          <w:i/>
          <w:iCs/>
          <w:lang w:val="et-EE"/>
        </w:rPr>
        <w:t>Nordic Journal of Linguistics</w:t>
      </w:r>
      <w:r w:rsidRPr="00FB4EFA">
        <w:rPr>
          <w:rFonts w:cs="Charis SIL"/>
          <w:lang w:val="et-EE"/>
        </w:rPr>
        <w:t xml:space="preserve"> 40 (2)</w:t>
      </w:r>
      <w:r w:rsidR="00C95A41" w:rsidRPr="00FB4EFA">
        <w:rPr>
          <w:rFonts w:cs="Charis SIL"/>
          <w:lang w:val="et-EE"/>
        </w:rPr>
        <w:t>.</w:t>
      </w:r>
      <w:r w:rsidRPr="00FB4EFA">
        <w:rPr>
          <w:rFonts w:cs="Charis SIL"/>
          <w:lang w:val="et-EE"/>
        </w:rPr>
        <w:t xml:space="preserve"> 149</w:t>
      </w:r>
      <w:r w:rsidR="00B738EB" w:rsidRPr="00FB4EFA">
        <w:rPr>
          <w:rFonts w:cs="Charis SIL"/>
          <w:lang w:val="et-EE"/>
        </w:rPr>
        <w:t>–</w:t>
      </w:r>
      <w:r w:rsidRPr="00FB4EFA">
        <w:rPr>
          <w:rFonts w:cs="Charis SIL"/>
          <w:lang w:val="et-EE"/>
        </w:rPr>
        <w:t>174.</w:t>
      </w:r>
    </w:p>
    <w:p w14:paraId="7134F9D1" w14:textId="0AA39AE8" w:rsidR="00192E25" w:rsidRPr="00FB4EFA" w:rsidRDefault="00192E25" w:rsidP="00153BA0">
      <w:pPr>
        <w:keepLines/>
        <w:suppressAutoHyphens/>
        <w:spacing w:line="240" w:lineRule="auto"/>
        <w:ind w:left="425" w:hanging="425"/>
        <w:rPr>
          <w:rFonts w:cs="Charis SIL"/>
          <w:lang w:val="et-EE"/>
        </w:rPr>
      </w:pPr>
      <w:r w:rsidRPr="00FB4EFA">
        <w:rPr>
          <w:rFonts w:cs="Charis SIL"/>
          <w:shd w:val="clear" w:color="auto" w:fill="FFFFFF"/>
          <w:lang w:val="et-EE"/>
        </w:rPr>
        <w:t>Lilja, Niina, Emilia</w:t>
      </w:r>
      <w:r w:rsidR="00C95A41" w:rsidRPr="00FB4EFA">
        <w:rPr>
          <w:rFonts w:cs="Charis SIL"/>
          <w:shd w:val="clear" w:color="auto" w:fill="FFFFFF"/>
          <w:lang w:val="et-EE"/>
        </w:rPr>
        <w:t xml:space="preserve"> Luukka</w:t>
      </w:r>
      <w:r w:rsidRPr="00FB4EFA">
        <w:rPr>
          <w:rFonts w:cs="Charis SIL"/>
          <w:shd w:val="clear" w:color="auto" w:fill="FFFFFF"/>
          <w:lang w:val="et-EE"/>
        </w:rPr>
        <w:t xml:space="preserve"> &amp; </w:t>
      </w:r>
      <w:r w:rsidR="00C95A41" w:rsidRPr="00FB4EFA">
        <w:rPr>
          <w:rFonts w:cs="Charis SIL"/>
          <w:shd w:val="clear" w:color="auto" w:fill="FFFFFF"/>
          <w:lang w:val="et-EE"/>
        </w:rPr>
        <w:t xml:space="preserve">Sirkku </w:t>
      </w:r>
      <w:r w:rsidRPr="00FB4EFA">
        <w:rPr>
          <w:rFonts w:cs="Charis SIL"/>
          <w:shd w:val="clear" w:color="auto" w:fill="FFFFFF"/>
          <w:lang w:val="et-EE"/>
        </w:rPr>
        <w:t>Latomaa. 2017. Kielitietoisuus eriarvoistumiskehitystä jarruttamassa. In Sirkku Latomaa, Emilia Luukka, Niina Lilja (</w:t>
      </w:r>
      <w:r w:rsidR="00125ADE" w:rsidRPr="00FB4EFA">
        <w:rPr>
          <w:rFonts w:cs="Charis SIL"/>
          <w:shd w:val="clear" w:color="auto" w:fill="FFFFFF"/>
          <w:lang w:val="et-EE"/>
        </w:rPr>
        <w:t>toim.</w:t>
      </w:r>
      <w:r w:rsidRPr="00FB4EFA">
        <w:rPr>
          <w:rFonts w:cs="Charis SIL"/>
          <w:shd w:val="clear" w:color="auto" w:fill="FFFFFF"/>
          <w:lang w:val="et-EE"/>
        </w:rPr>
        <w:t xml:space="preserve">), </w:t>
      </w:r>
      <w:r w:rsidRPr="00FB4EFA">
        <w:rPr>
          <w:rFonts w:cs="Charis SIL"/>
          <w:i/>
          <w:iCs/>
          <w:shd w:val="clear" w:color="auto" w:fill="FFFFFF"/>
          <w:lang w:val="et-EE"/>
        </w:rPr>
        <w:t xml:space="preserve">Kielitietoisuus eriarvostuvassa yhteiskunnassa </w:t>
      </w:r>
      <w:r w:rsidRPr="00FB4EFA">
        <w:rPr>
          <w:rFonts w:cs="Charis SIL"/>
          <w:i/>
          <w:iCs/>
          <w:lang w:val="et-EE"/>
        </w:rPr>
        <w:t xml:space="preserve">– Language awareness in an increasingly unequal society, </w:t>
      </w:r>
      <w:r w:rsidRPr="00FB4EFA">
        <w:rPr>
          <w:rFonts w:cs="Charis SIL"/>
          <w:lang w:val="et-EE"/>
        </w:rPr>
        <w:t>11–</w:t>
      </w:r>
      <w:r w:rsidRPr="00FB4EFA">
        <w:rPr>
          <w:rFonts w:cs="Charis SIL"/>
          <w:shd w:val="clear" w:color="auto" w:fill="FFFFFF"/>
          <w:lang w:val="et-EE"/>
        </w:rPr>
        <w:t>29.</w:t>
      </w:r>
      <w:r w:rsidRPr="00FB4EFA">
        <w:rPr>
          <w:rFonts w:cs="Charis SIL"/>
          <w:i/>
          <w:iCs/>
          <w:lang w:val="et-EE"/>
        </w:rPr>
        <w:t xml:space="preserve"> </w:t>
      </w:r>
      <w:r w:rsidRPr="00FB4EFA">
        <w:rPr>
          <w:rFonts w:cs="Charis SIL"/>
          <w:lang w:val="et-EE"/>
        </w:rPr>
        <w:t>Jyväskylä: AFinLA.</w:t>
      </w:r>
    </w:p>
    <w:p w14:paraId="1860C9D4" w14:textId="24B80C3C" w:rsidR="00192E25" w:rsidRPr="00FB4EFA" w:rsidRDefault="00192E25" w:rsidP="00153BA0">
      <w:pPr>
        <w:keepLines/>
        <w:suppressAutoHyphens/>
        <w:spacing w:line="240" w:lineRule="auto"/>
        <w:ind w:left="425" w:hanging="425"/>
        <w:rPr>
          <w:rFonts w:cs="Charis SIL"/>
          <w:lang w:val="et-EE"/>
        </w:rPr>
      </w:pPr>
      <w:r w:rsidRPr="00FB4EFA">
        <w:rPr>
          <w:rFonts w:cs="Charis SIL"/>
          <w:lang w:val="et-EE"/>
        </w:rPr>
        <w:t xml:space="preserve">Lena, Ludovica. 2020. </w:t>
      </w:r>
      <w:r w:rsidRPr="00FB4EFA">
        <w:rPr>
          <w:rFonts w:cs="Charis SIL"/>
          <w:spacing w:val="7"/>
          <w:lang w:val="et-EE"/>
        </w:rPr>
        <w:t xml:space="preserve">Referent introducing strategies in advanced L2 usage. </w:t>
      </w:r>
      <w:r w:rsidRPr="00FB4EFA">
        <w:rPr>
          <w:rFonts w:cs="Charis SIL"/>
          <w:lang w:val="et-EE"/>
        </w:rPr>
        <w:t xml:space="preserve">A bi-directional study on French learners of Chinese and Chinese learners of French. In </w:t>
      </w:r>
      <w:r w:rsidRPr="00FB4EFA">
        <w:rPr>
          <w:rFonts w:cs="Charis SIL"/>
          <w:spacing w:val="6"/>
          <w:shd w:val="clear" w:color="auto" w:fill="FFFFFF"/>
          <w:lang w:val="et-EE"/>
        </w:rPr>
        <w:t>Jonathon Ryan &amp; Peter Crosthwaite (</w:t>
      </w:r>
      <w:r w:rsidR="00125ADE" w:rsidRPr="00FB4EFA">
        <w:rPr>
          <w:rFonts w:cs="Charis SIL"/>
          <w:shd w:val="clear" w:color="auto" w:fill="FFFFFF"/>
          <w:lang w:val="et-EE"/>
        </w:rPr>
        <w:t>toim.</w:t>
      </w:r>
      <w:r w:rsidRPr="00FB4EFA">
        <w:rPr>
          <w:rFonts w:cs="Charis SIL"/>
          <w:spacing w:val="6"/>
          <w:shd w:val="clear" w:color="auto" w:fill="FFFFFF"/>
          <w:lang w:val="et-EE"/>
        </w:rPr>
        <w:t xml:space="preserve">), </w:t>
      </w:r>
      <w:r w:rsidRPr="00FB4EFA">
        <w:rPr>
          <w:rFonts w:cs="Charis SIL"/>
          <w:i/>
          <w:iCs/>
          <w:spacing w:val="7"/>
          <w:lang w:val="et-EE"/>
        </w:rPr>
        <w:t xml:space="preserve">Referring in a Second Language. </w:t>
      </w:r>
      <w:r w:rsidRPr="00FB4EFA">
        <w:rPr>
          <w:rFonts w:cs="Charis SIL"/>
          <w:i/>
          <w:iCs/>
          <w:lang w:val="et-EE"/>
        </w:rPr>
        <w:t>Studies on Reference to Person in a Multilingual World</w:t>
      </w:r>
      <w:r w:rsidRPr="00FB4EFA">
        <w:rPr>
          <w:rFonts w:cs="Charis SIL"/>
          <w:lang w:val="et-EE"/>
        </w:rPr>
        <w:t>,</w:t>
      </w:r>
      <w:r w:rsidRPr="00FB4EFA">
        <w:rPr>
          <w:rFonts w:cs="Charis SIL"/>
          <w:i/>
          <w:iCs/>
          <w:lang w:val="et-EE"/>
        </w:rPr>
        <w:t xml:space="preserve"> </w:t>
      </w:r>
      <w:r w:rsidRPr="00FB4EFA">
        <w:rPr>
          <w:rFonts w:cs="Charis SIL"/>
          <w:lang w:val="et-EE"/>
        </w:rPr>
        <w:t>164–183. London: Routledge.</w:t>
      </w:r>
    </w:p>
    <w:p w14:paraId="542B8A14" w14:textId="30B5CE16" w:rsidR="00192E25" w:rsidRPr="00FB4EFA" w:rsidRDefault="00192E25" w:rsidP="00153BA0">
      <w:pPr>
        <w:suppressAutoHyphens/>
        <w:spacing w:line="240" w:lineRule="auto"/>
        <w:ind w:left="426" w:hanging="426"/>
        <w:rPr>
          <w:rFonts w:cs="Charis SIL"/>
          <w:lang w:val="et-EE"/>
        </w:rPr>
      </w:pPr>
      <w:r w:rsidRPr="00FB4EFA">
        <w:rPr>
          <w:rFonts w:cs="Charis SIL"/>
          <w:lang w:val="et-EE"/>
        </w:rPr>
        <w:t xml:space="preserve">Remes, Hannu. 2009. </w:t>
      </w:r>
      <w:r w:rsidRPr="00FB4EFA">
        <w:rPr>
          <w:rFonts w:cs="Charis SIL"/>
          <w:i/>
          <w:iCs/>
          <w:lang w:val="et-EE"/>
        </w:rPr>
        <w:t>Muodot kontrastissa. Suomen ja viron vertailevaa taivutusmorfologiaa</w:t>
      </w:r>
      <w:r w:rsidR="00041210" w:rsidRPr="00FB4EFA">
        <w:rPr>
          <w:rFonts w:cs="Charis SIL"/>
          <w:lang w:val="et-EE"/>
        </w:rPr>
        <w:t>.</w:t>
      </w:r>
      <w:r w:rsidRPr="00FB4EFA">
        <w:rPr>
          <w:rFonts w:cs="Charis SIL"/>
          <w:lang w:val="et-EE"/>
        </w:rPr>
        <w:t xml:space="preserve"> Acta Universitatis Ouluensis B Humaniora 90. Oulu: Oulun yliopisto.</w:t>
      </w:r>
    </w:p>
    <w:p w14:paraId="255D06B8" w14:textId="77777777" w:rsidR="00192E25" w:rsidRPr="00FB4EFA" w:rsidRDefault="00192E25" w:rsidP="00153BA0">
      <w:pPr>
        <w:suppressAutoHyphens/>
        <w:spacing w:line="240" w:lineRule="auto"/>
        <w:ind w:left="426" w:hanging="426"/>
        <w:rPr>
          <w:rFonts w:cs="Charis SIL"/>
          <w:lang w:val="et-EE"/>
        </w:rPr>
      </w:pPr>
      <w:r w:rsidRPr="00FB4EFA">
        <w:rPr>
          <w:rFonts w:cs="Charis SIL"/>
          <w:lang w:val="et-EE"/>
        </w:rPr>
        <w:t xml:space="preserve">Ringbom, Håkan. 2007. </w:t>
      </w:r>
      <w:r w:rsidRPr="00FB4EFA">
        <w:rPr>
          <w:rFonts w:cs="Charis SIL"/>
          <w:i/>
          <w:iCs/>
          <w:lang w:val="et-EE"/>
        </w:rPr>
        <w:t>Cross-linguistic similarity in language learning</w:t>
      </w:r>
      <w:r w:rsidRPr="00FB4EFA">
        <w:rPr>
          <w:rFonts w:cs="Charis SIL"/>
          <w:lang w:val="et-EE"/>
        </w:rPr>
        <w:t>. Clevedon: Multilingual Matters.</w:t>
      </w:r>
    </w:p>
    <w:p w14:paraId="7CD7986E" w14:textId="5A651020" w:rsidR="00192E25" w:rsidRPr="00FB4EFA" w:rsidRDefault="00192E25" w:rsidP="00153BA0">
      <w:pPr>
        <w:suppressAutoHyphens/>
        <w:spacing w:line="240" w:lineRule="auto"/>
        <w:ind w:left="426" w:hanging="426"/>
        <w:rPr>
          <w:rFonts w:cs="Charis SIL"/>
        </w:rPr>
      </w:pPr>
      <w:r w:rsidRPr="00FB4EFA">
        <w:rPr>
          <w:rFonts w:cs="Charis SIL"/>
        </w:rPr>
        <w:t>Ringbom, Håkan &amp; Jarvis, Scott. 2009. The importance of cross-linguistic similarity in foreign language learning. In Michel H. Long &amp; Catherine J. Doughty (</w:t>
      </w:r>
      <w:r w:rsidR="00125ADE" w:rsidRPr="00FB4EFA">
        <w:rPr>
          <w:rFonts w:cs="Charis SIL"/>
          <w:shd w:val="clear" w:color="auto" w:fill="FFFFFF"/>
          <w:lang w:val="et-EE"/>
        </w:rPr>
        <w:t>toim.</w:t>
      </w:r>
      <w:r w:rsidRPr="00FB4EFA">
        <w:rPr>
          <w:rFonts w:cs="Charis SIL"/>
        </w:rPr>
        <w:t>)</w:t>
      </w:r>
      <w:r w:rsidR="00041210" w:rsidRPr="00FB4EFA">
        <w:rPr>
          <w:rFonts w:cs="Charis SIL"/>
        </w:rPr>
        <w:t>,</w:t>
      </w:r>
      <w:r w:rsidRPr="00FB4EFA">
        <w:rPr>
          <w:rFonts w:cs="Charis SIL"/>
        </w:rPr>
        <w:t xml:space="preserve"> </w:t>
      </w:r>
      <w:r w:rsidRPr="00FB4EFA">
        <w:rPr>
          <w:rFonts w:cs="Charis SIL"/>
          <w:i/>
          <w:iCs/>
        </w:rPr>
        <w:t>Handbook of Language Teaching</w:t>
      </w:r>
      <w:r w:rsidRPr="00FB4EFA">
        <w:rPr>
          <w:rFonts w:cs="Charis SIL"/>
        </w:rPr>
        <w:t>, 106</w:t>
      </w:r>
      <w:r w:rsidR="00B738EB" w:rsidRPr="00FB4EFA">
        <w:rPr>
          <w:rFonts w:cs="Charis SIL"/>
        </w:rPr>
        <w:t>–</w:t>
      </w:r>
      <w:r w:rsidRPr="00FB4EFA">
        <w:rPr>
          <w:rFonts w:cs="Charis SIL"/>
        </w:rPr>
        <w:t>118. Oxford: Blackwell.</w:t>
      </w:r>
    </w:p>
    <w:p w14:paraId="75FFC11F" w14:textId="1F277932" w:rsidR="00192E25" w:rsidRPr="00FB4EFA" w:rsidRDefault="00192E25" w:rsidP="00153BA0">
      <w:pPr>
        <w:suppressAutoHyphens/>
        <w:spacing w:line="240" w:lineRule="auto"/>
        <w:ind w:left="426" w:hanging="426"/>
        <w:rPr>
          <w:rFonts w:cs="Charis SIL"/>
          <w:lang w:val="et-EE"/>
        </w:rPr>
      </w:pPr>
      <w:r w:rsidRPr="00FB4EFA">
        <w:rPr>
          <w:rFonts w:cs="Charis SIL"/>
          <w:lang w:val="et-EE"/>
        </w:rPr>
        <w:t xml:space="preserve">Roehr, Karen. 2007. Metalinguistic knowledge and language ability in university-level L2 learners. </w:t>
      </w:r>
      <w:r w:rsidRPr="00FB4EFA">
        <w:rPr>
          <w:rFonts w:cs="Charis SIL"/>
          <w:i/>
          <w:iCs/>
          <w:lang w:val="et-EE"/>
        </w:rPr>
        <w:t>Applied Linguistics</w:t>
      </w:r>
      <w:r w:rsidRPr="00FB4EFA">
        <w:rPr>
          <w:rFonts w:cs="Charis SIL"/>
          <w:lang w:val="et-EE"/>
        </w:rPr>
        <w:t xml:space="preserve"> 29 (2)</w:t>
      </w:r>
      <w:r w:rsidR="00CB7F0B" w:rsidRPr="00FB4EFA">
        <w:rPr>
          <w:rFonts w:cs="Charis SIL"/>
          <w:lang w:val="et-EE"/>
        </w:rPr>
        <w:t xml:space="preserve">. </w:t>
      </w:r>
      <w:r w:rsidRPr="00FB4EFA">
        <w:rPr>
          <w:rFonts w:cs="Charis SIL"/>
          <w:lang w:val="et-EE"/>
        </w:rPr>
        <w:t>173–199.</w:t>
      </w:r>
    </w:p>
    <w:p w14:paraId="6FA0CA8E" w14:textId="2BC48B3A" w:rsidR="00192E25" w:rsidRPr="00FB4EFA" w:rsidRDefault="00192E25" w:rsidP="00153BA0">
      <w:pPr>
        <w:suppressAutoHyphens/>
        <w:spacing w:line="240" w:lineRule="auto"/>
        <w:ind w:left="426" w:hanging="426"/>
        <w:rPr>
          <w:rFonts w:eastAsia="Times New Roman" w:cs="Charis SIL"/>
          <w:lang w:val="et-EE"/>
        </w:rPr>
      </w:pPr>
      <w:r w:rsidRPr="00FB4EFA">
        <w:rPr>
          <w:rFonts w:eastAsia="Times New Roman" w:cs="Charis SIL"/>
          <w:lang w:val="et-EE"/>
        </w:rPr>
        <w:t xml:space="preserve">Sopanen, Pauliina. 2018. Kielitietoisuus uudessa varhaiskasvatussuunnitelmassa. </w:t>
      </w:r>
      <w:hyperlink r:id="rId298" w:history="1">
        <w:r w:rsidR="00B40850" w:rsidRPr="00FB4EFA">
          <w:rPr>
            <w:rStyle w:val="Hyperlink"/>
            <w:rFonts w:eastAsia="Times New Roman" w:cs="Charis SIL"/>
            <w:color w:val="auto"/>
            <w:lang w:val="et-EE"/>
          </w:rPr>
          <w:t>jyx.jyu.fi/handle/123456789/</w:t>
        </w:r>
        <w:r w:rsidR="00312ECF" w:rsidRPr="00FB4EFA">
          <w:rPr>
            <w:rStyle w:val="Hyperlink"/>
            <w:rFonts w:eastAsia="Times New Roman" w:cs="Charis SIL"/>
            <w:color w:val="auto"/>
            <w:lang w:val="et-EE"/>
          </w:rPr>
          <w:br/>
        </w:r>
        <w:r w:rsidR="00B40850" w:rsidRPr="00FB4EFA">
          <w:rPr>
            <w:rStyle w:val="Hyperlink"/>
            <w:rFonts w:eastAsia="Times New Roman" w:cs="Charis SIL"/>
            <w:color w:val="auto"/>
            <w:lang w:val="et-EE"/>
          </w:rPr>
          <w:t>58299</w:t>
        </w:r>
      </w:hyperlink>
    </w:p>
    <w:p w14:paraId="06879304" w14:textId="4CF9D4A9" w:rsidR="00192E25" w:rsidRPr="00FB4EFA" w:rsidRDefault="00192E25" w:rsidP="00153BA0">
      <w:pPr>
        <w:suppressAutoHyphens/>
        <w:spacing w:line="240" w:lineRule="auto"/>
        <w:ind w:left="426" w:hanging="426"/>
        <w:rPr>
          <w:rFonts w:eastAsia="Times New Roman" w:cs="Charis SIL"/>
          <w:i/>
          <w:lang w:val="et-EE"/>
        </w:rPr>
      </w:pPr>
      <w:r w:rsidRPr="00FB4EFA">
        <w:rPr>
          <w:rFonts w:cs="Charis SIL"/>
          <w:shd w:val="clear" w:color="auto" w:fill="FFFFFF"/>
          <w:lang w:val="et-EE"/>
        </w:rPr>
        <w:t>Tunmer, William E., Herriman, Michael L., &amp; Nesdale, Andrew R. 1988. Metalinguistic abilities and beginning reading.</w:t>
      </w:r>
      <w:r w:rsidR="00041210" w:rsidRPr="00FB4EFA">
        <w:rPr>
          <w:rFonts w:cs="Charis SIL"/>
          <w:shd w:val="clear" w:color="auto" w:fill="FFFFFF"/>
          <w:lang w:val="et-EE"/>
        </w:rPr>
        <w:t xml:space="preserve"> </w:t>
      </w:r>
      <w:r w:rsidRPr="00FB4EFA">
        <w:rPr>
          <w:rFonts w:cs="Charis SIL"/>
          <w:i/>
          <w:iCs/>
          <w:shd w:val="clear" w:color="auto" w:fill="FFFFFF"/>
          <w:lang w:val="et-EE"/>
        </w:rPr>
        <w:t>Reading Research Quarterly</w:t>
      </w:r>
      <w:r w:rsidRPr="00FB4EFA">
        <w:rPr>
          <w:rFonts w:cs="Charis SIL"/>
          <w:shd w:val="clear" w:color="auto" w:fill="FFFFFF"/>
          <w:lang w:val="et-EE"/>
        </w:rPr>
        <w:t xml:space="preserve"> 23 (2)</w:t>
      </w:r>
      <w:r w:rsidR="00041210" w:rsidRPr="00FB4EFA">
        <w:rPr>
          <w:rFonts w:cs="Charis SIL"/>
          <w:shd w:val="clear" w:color="auto" w:fill="FFFFFF"/>
          <w:lang w:val="et-EE"/>
        </w:rPr>
        <w:t>.</w:t>
      </w:r>
      <w:r w:rsidRPr="00FB4EFA">
        <w:rPr>
          <w:rFonts w:cs="Charis SIL"/>
          <w:shd w:val="clear" w:color="auto" w:fill="FFFFFF"/>
          <w:lang w:val="et-EE"/>
        </w:rPr>
        <w:t xml:space="preserve"> 134</w:t>
      </w:r>
      <w:r w:rsidRPr="00FB4EFA">
        <w:rPr>
          <w:rFonts w:cs="Charis SIL"/>
          <w:lang w:val="et-EE"/>
        </w:rPr>
        <w:t>–</w:t>
      </w:r>
      <w:r w:rsidRPr="00FB4EFA">
        <w:rPr>
          <w:rFonts w:cs="Charis SIL"/>
          <w:shd w:val="clear" w:color="auto" w:fill="FFFFFF"/>
          <w:lang w:val="et-EE"/>
        </w:rPr>
        <w:t xml:space="preserve">158. </w:t>
      </w:r>
      <w:hyperlink r:id="rId299" w:tgtFrame="_blank" w:history="1">
        <w:r w:rsidRPr="00FB4EFA">
          <w:rPr>
            <w:rFonts w:cs="Charis SIL"/>
            <w:u w:val="single"/>
            <w:shd w:val="clear" w:color="auto" w:fill="FFFFFF"/>
            <w:lang w:val="et-EE"/>
          </w:rPr>
          <w:t>doi.org/10.2307/747799</w:t>
        </w:r>
      </w:hyperlink>
      <w:r w:rsidR="001E6714" w:rsidRPr="00FB4EFA">
        <w:rPr>
          <w:rFonts w:cs="Charis SIL"/>
          <w:shd w:val="clear" w:color="auto" w:fill="FFFFFF"/>
          <w:lang w:val="et-EE"/>
        </w:rPr>
        <w:t>.</w:t>
      </w:r>
    </w:p>
    <w:p w14:paraId="296421F0" w14:textId="77777777" w:rsidR="00017313" w:rsidRPr="00FB4EFA" w:rsidRDefault="00017313" w:rsidP="00312ECF">
      <w:pPr>
        <w:spacing w:after="160"/>
        <w:jc w:val="center"/>
        <w:rPr>
          <w:smallCaps/>
          <w:sz w:val="48"/>
          <w:szCs w:val="48"/>
        </w:rPr>
        <w:sectPr w:rsidR="00017313" w:rsidRPr="00FB4EFA">
          <w:headerReference w:type="even" r:id="rId300"/>
          <w:headerReference w:type="default" r:id="rId301"/>
          <w:headerReference w:type="first" r:id="rId302"/>
          <w:footnotePr>
            <w:numRestart w:val="eachSect"/>
          </w:footnotePr>
          <w:pgSz w:w="9180" w:h="13302"/>
          <w:pgMar w:top="779" w:right="1133" w:bottom="1132" w:left="1133" w:header="744" w:footer="720" w:gutter="0"/>
          <w:cols w:space="720"/>
          <w:titlePg/>
        </w:sectPr>
      </w:pPr>
    </w:p>
    <w:p w14:paraId="7E9D8F4E" w14:textId="77777777" w:rsidR="00A96E85" w:rsidRPr="00FB4EFA" w:rsidRDefault="00A96E85" w:rsidP="00312ECF">
      <w:pPr>
        <w:pStyle w:val="Authors"/>
        <w:spacing w:line="259" w:lineRule="auto"/>
        <w:rPr>
          <w:color w:val="auto"/>
          <w:lang w:val="de-AT"/>
        </w:rPr>
      </w:pPr>
      <w:r w:rsidRPr="00FB4EFA">
        <w:rPr>
          <w:color w:val="auto"/>
          <w:lang w:val="de-AT"/>
        </w:rPr>
        <w:lastRenderedPageBreak/>
        <w:t>Mikko Kajander</w:t>
      </w:r>
    </w:p>
    <w:p w14:paraId="7D8FA615" w14:textId="77777777" w:rsidR="00A96E85" w:rsidRPr="00FB4EFA" w:rsidRDefault="00A96E85" w:rsidP="00312ECF"/>
    <w:p w14:paraId="0AE3727C" w14:textId="77777777" w:rsidR="00A96E85" w:rsidRPr="00FB4EFA" w:rsidRDefault="00A96E85" w:rsidP="00AC1192">
      <w:pPr>
        <w:pStyle w:val="Heading1"/>
        <w:suppressAutoHyphens/>
        <w:spacing w:line="259" w:lineRule="auto"/>
        <w:rPr>
          <w:color w:val="auto"/>
          <w:lang w:val="de-AT"/>
        </w:rPr>
      </w:pPr>
      <w:bookmarkStart w:id="72" w:name="_Ref90999631"/>
      <w:r w:rsidRPr="00FB4EFA">
        <w:rPr>
          <w:i/>
          <w:iCs/>
          <w:color w:val="auto"/>
          <w:lang w:val="de-AT"/>
        </w:rPr>
        <w:t>Jari tulee tankkaamasta autoa</w:t>
      </w:r>
      <w:r w:rsidRPr="00FB4EFA">
        <w:rPr>
          <w:color w:val="auto"/>
          <w:lang w:val="de-AT"/>
        </w:rPr>
        <w:t>. Objektin partitiivisija oppijan näkökulmasta</w:t>
      </w:r>
      <w:bookmarkEnd w:id="72"/>
    </w:p>
    <w:p w14:paraId="1E232E9D" w14:textId="63102CB3" w:rsidR="002D1FA6" w:rsidRPr="00FB4EFA" w:rsidRDefault="002D1FA6" w:rsidP="00545033">
      <w:pPr>
        <w:pStyle w:val="Heading2"/>
        <w:numPr>
          <w:ilvl w:val="0"/>
          <w:numId w:val="12"/>
        </w:numPr>
        <w:suppressAutoHyphens/>
        <w:spacing w:line="259" w:lineRule="auto"/>
        <w:rPr>
          <w:color w:val="auto"/>
          <w:lang w:val="fi-FI"/>
        </w:rPr>
      </w:pPr>
      <w:r w:rsidRPr="00FB4EFA">
        <w:rPr>
          <w:color w:val="auto"/>
        </w:rPr>
        <w:t>Johdanto</w:t>
      </w:r>
    </w:p>
    <w:p w14:paraId="3D5C420B" w14:textId="77777777" w:rsidR="000121EA" w:rsidRPr="00FB4EFA" w:rsidRDefault="002D1FA6" w:rsidP="00402EF4">
      <w:pPr>
        <w:rPr>
          <w:lang w:val="fi-FI"/>
        </w:rPr>
      </w:pPr>
      <w:r w:rsidRPr="00FB4EFA">
        <w:rPr>
          <w:lang w:val="fi-FI"/>
        </w:rPr>
        <w:t>Suomen objektia on tutkittu valtavasti. Vaikka objektin sijavalintaan liittyy joitakin ratkaisemattomia ongelmia (ks. esim. Leino 1991), on päästy käsitykseen keskeisimmistä säännöistä, joiden avulla objektin sija ainakin finiittisen verbin yhteydessä määräytyy (ks. esim. ISK 2004: 887–899). Uudempaa näkökulmaa tähän keskusteluun ovat tuoneet mm. Huumo (2006) ja viimeisimpänä Larjavaara (2019).</w:t>
      </w:r>
    </w:p>
    <w:p w14:paraId="4ED0885C" w14:textId="7D54E82F" w:rsidR="002D1FA6" w:rsidRPr="00FB4EFA" w:rsidRDefault="002D1FA6" w:rsidP="00402EF4">
      <w:pPr>
        <w:ind w:firstLine="720"/>
        <w:rPr>
          <w:lang w:val="fi-FI"/>
        </w:rPr>
      </w:pPr>
      <w:r w:rsidRPr="00FB4EFA">
        <w:rPr>
          <w:lang w:val="fi-FI"/>
        </w:rPr>
        <w:t>Suomea toisena tai vieraana kielenä käyttäville (jäljempänä puhun oppijoista tai suomenoppijoista) ja heidän opettajilleen on laadittu useampia kokonaisesityksiä suomen kieliopista, esim. Karlsson (2009), White (2001) ja Buchholz (2004). Myös Larjavaara (2019: 9) mainitsee yhdeksi kohderyhmäkseen S2-opettajaksi aikovat ja pyrkii löytämään suomenoppijan ja opettajan näkökulmaa partitiiviongelmiin. Esittelen ensin lyhyesti uusimman näkemyksen objektin sijavalintaan ja vertaan sitä pedagogisissa kieliopeissa esitettyyn (luku 2).</w:t>
      </w:r>
    </w:p>
    <w:p w14:paraId="1E8617A4" w14:textId="77777777" w:rsidR="000121EA" w:rsidRPr="00FB4EFA" w:rsidRDefault="002D1FA6" w:rsidP="00402EF4">
      <w:pPr>
        <w:ind w:firstLine="720"/>
        <w:rPr>
          <w:lang w:val="fi-FI"/>
        </w:rPr>
      </w:pPr>
      <w:r w:rsidRPr="00FB4EFA">
        <w:rPr>
          <w:lang w:val="fi-FI"/>
        </w:rPr>
        <w:t>Objektin sijavalintaan ja sen opettamiseen liittyy monta mutkaa. Jo se, mikä lauseen sanoista yleensäkin on objekti, voi olla suomenoppijalle vaikea hahmottaa, sillä objekti voi olla useassa eri sijassa ja lisäksi suomen kielioppitradition morfosyntaktinen objektikäsitys rajaa objektikategorian ulkopuolelle paljon sellaista, mitä esimerkiksi germaanisissa kielissä pidetään objektina.</w:t>
      </w:r>
    </w:p>
    <w:p w14:paraId="39CD7056" w14:textId="175E7A4A" w:rsidR="002D1FA6" w:rsidRPr="00FB4EFA" w:rsidRDefault="002D1FA6" w:rsidP="00402EF4">
      <w:pPr>
        <w:ind w:firstLine="720"/>
        <w:rPr>
          <w:lang w:val="fi-FI"/>
        </w:rPr>
      </w:pPr>
      <w:r w:rsidRPr="00FB4EFA">
        <w:rPr>
          <w:lang w:val="fi-FI"/>
        </w:rPr>
        <w:t xml:space="preserve">On tietysti hyvä, että objektin sijavalintaa pyritään selittämään kokonaisvaltaisesti tavoitteena aukottomat säännöt, mutta käytännön opetustyössä massiivinen säännöstö ei voi olla opetuksen lähtökohta. Kun tarkastelee oppimateriaaleja, huomaa, että partitiivin käyttöä harjoitellaan oppimateriaaleissa alusta lähtien hyvin monenlaisissa konstruktioissa, ja tämän kaiken varaan rakentuu ensin peruskäsitys partitiivisijan keskeisistä funktioista jo ennen kuin objektin sijavalinnasta edes puhutaan. Oppikirjoihin näyttää vakiintuneen tietty järjestys, jossa partitiivin </w:t>
      </w:r>
      <w:r w:rsidRPr="00FB4EFA">
        <w:rPr>
          <w:lang w:val="fi-FI"/>
        </w:rPr>
        <w:lastRenderedPageBreak/>
        <w:t>käyttöä harjoitellaan (luvut 3–5). Pohdin lisäksi erityisesti luvussa 5 tulosobjektin, totaaliobjektin ja ns. prosessiobjektin käsitteitä oppijan kannalta.</w:t>
      </w:r>
    </w:p>
    <w:p w14:paraId="195B5B67" w14:textId="77777777" w:rsidR="002D1FA6" w:rsidRPr="00FB4EFA" w:rsidRDefault="002D1FA6" w:rsidP="00402EF4">
      <w:pPr>
        <w:ind w:firstLine="720"/>
        <w:rPr>
          <w:lang w:val="fi-FI"/>
        </w:rPr>
      </w:pPr>
      <w:r w:rsidRPr="00FB4EFA">
        <w:rPr>
          <w:lang w:val="fi-FI"/>
        </w:rPr>
        <w:t>Opettajan työn suola ovat opiskelijoiden esittämät kysymykset, joihin opettaja itsekään ei heti löydä ratkaisua. Luvussa 6 esittelen lopuksi yhden näistä saamistani kysymyksistä, joka liittyy objektiin infinitiivirakenteessa.</w:t>
      </w:r>
    </w:p>
    <w:p w14:paraId="60CE2ED2" w14:textId="6477016F" w:rsidR="002D1FA6" w:rsidRPr="00FB4EFA" w:rsidRDefault="002D1FA6" w:rsidP="00545033">
      <w:pPr>
        <w:pStyle w:val="Heading2"/>
        <w:numPr>
          <w:ilvl w:val="0"/>
          <w:numId w:val="12"/>
        </w:numPr>
        <w:suppressAutoHyphens/>
        <w:spacing w:line="259" w:lineRule="auto"/>
        <w:rPr>
          <w:color w:val="auto"/>
          <w:lang w:val="fi-FI"/>
        </w:rPr>
      </w:pPr>
      <w:r w:rsidRPr="00FB4EFA">
        <w:rPr>
          <w:color w:val="auto"/>
          <w:lang w:val="fi-FI"/>
        </w:rPr>
        <w:t>Objektisäännöt ja S2-kieliopit</w:t>
      </w:r>
    </w:p>
    <w:p w14:paraId="60E7152A" w14:textId="77777777" w:rsidR="002D1FA6" w:rsidRPr="00FB4EFA" w:rsidRDefault="002D1FA6" w:rsidP="00402EF4">
      <w:pPr>
        <w:rPr>
          <w:lang w:val="fi-FI"/>
        </w:rPr>
      </w:pPr>
      <w:r w:rsidRPr="00FB4EFA">
        <w:rPr>
          <w:lang w:val="fi-FI"/>
        </w:rPr>
        <w:t>Objektin sijavalintaa on fennistiikassa totuttu tarkastelemaan partitiivilähtöisesti. Tällä tarkoitan näkökulmaa, joka esitetään esimerkiksi ISK:ssa (2004: 887). Partitiivisijalla on tunnetusti kolme ehtoa: lause on tulkinnaltaan kielteinen, lause on aspektiltaan rajaamaton tai objekti on kvantitatiivisesti epämääräinen. Jos mikään näistä ehdoista ei toteudu, objekti on ns. totaaliobjekti, jolla puolestaan on kolme sijavaihtoehtoa (nominatiivi, akkusatiivi tai genetiivi). Totaaliobjektin sijavalintaan en tämän artikkelin rajoissa mene sen tarkemmin. Lisäksi mainitaan, että on joukko verbejä, jotka saavat aina partitiiviobjektin, kun taas pelkästään totaaliobjektin saavia verbejä ei ole sen takia, että lauseen kielteisyys aiheuttaa niissäkin partitiivin (ISK 2004: 888).</w:t>
      </w:r>
    </w:p>
    <w:p w14:paraId="2160AE00" w14:textId="77777777" w:rsidR="000121EA" w:rsidRPr="00FB4EFA" w:rsidRDefault="002D1FA6" w:rsidP="00402EF4">
      <w:pPr>
        <w:ind w:firstLine="720"/>
        <w:rPr>
          <w:lang w:val="fi-FI"/>
        </w:rPr>
      </w:pPr>
      <w:r w:rsidRPr="00FB4EFA">
        <w:rPr>
          <w:lang w:val="fi-FI"/>
        </w:rPr>
        <w:t>S2-opetukseen tarkoitetuissa kieliopeissa noudatellaan pitkälti samaa perinnettä: ensin suljetaan pois partitiivin mahdollisuus ja vasta sitten voidaan valita jokin ns. totaaliobjektin sijoista. Pedagogisesti järkevä koonti objektisäännöistä on Whiten kieliopissa. White (2001: 248–249, 254) toteaa alkuun, että partitiivisäännöt voittavat kaikki muut objektisäännöt. White esittää sen jälkeen partitiivisäännöt neljän ”eliminointikysymyksen” avulla (Negatiivinen lause? Objekti indefiniittinen määrä? Prosessi kesken? Partitiiviverbi?). Jos vastaus yhteenkin näistä kysymyksistä on positiivinen, objekti on partitiivissa.</w:t>
      </w:r>
    </w:p>
    <w:p w14:paraId="39257990" w14:textId="77777777" w:rsidR="000121EA" w:rsidRPr="00FB4EFA" w:rsidRDefault="002D1FA6" w:rsidP="00402EF4">
      <w:pPr>
        <w:ind w:firstLine="720"/>
        <w:rPr>
          <w:lang w:val="fi-FI"/>
        </w:rPr>
      </w:pPr>
      <w:r w:rsidRPr="00FB4EFA">
        <w:rPr>
          <w:lang w:val="fi-FI"/>
        </w:rPr>
        <w:t>Vaikka Whiten kieliopissa partitiivin mahdollisuus suljetaankin ensimmäisenä pois, partitiivin eliminointikysymykset eivät liene keskenään hierarkkisessa järjestyksessä. Esitysjärjestys mukailee enemmänkin sitä, missä järjestyksessä partitiivin käyttöön on oppimateriaaleissa perinteisesti tutustuttu (vrt. alaluvut 3–5 sekä Buchholz 2004: 162–163). Vilkuna (1996: 119, 121) puolestaan on selkeästi sitä mieltä, että aspek</w:t>
      </w:r>
      <w:r w:rsidRPr="00FB4EFA">
        <w:rPr>
          <w:lang w:val="fi-FI"/>
        </w:rPr>
        <w:lastRenderedPageBreak/>
        <w:t>tikriteeri tulee ennen jaollisuutta ja myös Karlsson (2009: 126–129) esittää partitiivisäännöt tässä järjestyksessä.</w:t>
      </w:r>
    </w:p>
    <w:p w14:paraId="361BAF87" w14:textId="14FFECA0" w:rsidR="002D1FA6" w:rsidRPr="00FB4EFA" w:rsidRDefault="002D1FA6" w:rsidP="00312ECF">
      <w:pPr>
        <w:spacing w:after="240"/>
        <w:ind w:firstLine="720"/>
        <w:rPr>
          <w:lang w:val="fi-FI"/>
        </w:rPr>
      </w:pPr>
      <w:r w:rsidRPr="00FB4EFA">
        <w:rPr>
          <w:lang w:val="fi-FI"/>
        </w:rPr>
        <w:t>Uudempaa näkökulmaa objektikeskusteluun ovat tuoneet Huumo (2006: 524) sekä Larjavaara (2019: 361) säännöin, joissa lähtökohtana ovat totaaliobjektin esiintymisehdot. Larjavaara esittää seuraavan tiiviin säännön, jossa totalitiivi tarkoittaa totaaliobjektin sijaa:</w:t>
      </w:r>
    </w:p>
    <w:p w14:paraId="5A263146" w14:textId="77777777" w:rsidR="002D1FA6" w:rsidRPr="00FB4EFA" w:rsidRDefault="002D1FA6" w:rsidP="000D4EBE">
      <w:pPr>
        <w:spacing w:line="240" w:lineRule="auto"/>
        <w:ind w:left="709" w:firstLine="11"/>
        <w:rPr>
          <w:sz w:val="20"/>
          <w:szCs w:val="20"/>
          <w:lang w:val="fi-FI"/>
        </w:rPr>
      </w:pPr>
      <w:r w:rsidRPr="00FB4EFA">
        <w:rPr>
          <w:sz w:val="20"/>
          <w:szCs w:val="20"/>
          <w:lang w:val="fi-FI"/>
        </w:rPr>
        <w:t>Suomen objektin sija on totalitiivi, jos myönteinen lause ilmaisee täydellistä ja toteutunutta, myös objektin tarkoitteen osalta päätepisteen saavuttanutta muutosta. Kaikissa muissa tapauksissa – kieltolause mukaan lukien – objekti on partitiivimuotoinen. (Larjavaara 2019: 361)</w:t>
      </w:r>
    </w:p>
    <w:p w14:paraId="5FA7437F" w14:textId="62CA89F0" w:rsidR="000121EA" w:rsidRPr="00FB4EFA" w:rsidRDefault="002D1FA6" w:rsidP="00402EF4">
      <w:pPr>
        <w:spacing w:before="240"/>
        <w:rPr>
          <w:lang w:val="fi-FI"/>
        </w:rPr>
      </w:pPr>
      <w:r w:rsidRPr="00FB4EFA">
        <w:rPr>
          <w:lang w:val="fi-FI"/>
        </w:rPr>
        <w:t xml:space="preserve">Yksityiskohtaisemmat säännöt (mts. 362–368) lähtevät kuitenkin </w:t>
      </w:r>
      <w:r w:rsidR="0033568E" w:rsidRPr="00FB4EFA">
        <w:rPr>
          <w:lang w:val="fi-FI"/>
        </w:rPr>
        <w:br/>
      </w:r>
      <w:r w:rsidRPr="00FB4EFA">
        <w:rPr>
          <w:lang w:val="fi-FI"/>
        </w:rPr>
        <w:t>Larjavaarallakin siitä, että ne pätevät vain myönteisiin objektilauseisiin; partitiiviobjekti aidosti kielteisissä lauseissa on siis vahvin sääntö, kuten asia on esitetty myös pedagogisissa kieliopeissa. Partitiivimuotoisen objektin ja totaaliobjektin sijavalinnan Larjavaara selittää käytännössä kokonaan niin, että totalitiivimuotoinen objekti on lauseen totaalisen aspektin merkki, kun taas partitiivilla merkitään avointa aspektia.</w:t>
      </w:r>
    </w:p>
    <w:p w14:paraId="2FCFEA00" w14:textId="6DB54F11" w:rsidR="002D1FA6" w:rsidRPr="00FB4EFA" w:rsidRDefault="002D1FA6" w:rsidP="00402EF4">
      <w:pPr>
        <w:ind w:firstLine="720"/>
        <w:rPr>
          <w:lang w:val="fi-FI"/>
        </w:rPr>
      </w:pPr>
      <w:r w:rsidRPr="00FB4EFA">
        <w:rPr>
          <w:lang w:val="fi-FI"/>
        </w:rPr>
        <w:t>Tässä kohden täytyy täsmentää, että Larjavaaran aspektikäsitys on perinteistä laajempi: se sisältää myös kvantiteetin. Partitiivin tehtävä on ilmaista ns. avointa aspektia, ja Larjavaaralla myös avomääräisyys aiheuttaa avoimen aspektin (ja siten partitiivisijan).</w:t>
      </w:r>
    </w:p>
    <w:p w14:paraId="5650DF96" w14:textId="77777777" w:rsidR="002D1FA6" w:rsidRPr="00FB4EFA" w:rsidRDefault="002D1FA6" w:rsidP="00AF0CAD">
      <w:pPr>
        <w:ind w:firstLine="720"/>
        <w:rPr>
          <w:lang w:val="fi-FI"/>
        </w:rPr>
      </w:pPr>
      <w:r w:rsidRPr="00FB4EFA">
        <w:rPr>
          <w:lang w:val="fi-FI"/>
        </w:rPr>
        <w:t xml:space="preserve">Avoimen kvantiteetin lisäksi moni muukin seikka estää totaalisen aspektin, kuten esimerkiksi ateelinen verbi, joka ilmaisee päätepisteetöntä tapahtumista </w:t>
      </w:r>
      <w:r w:rsidRPr="00FB4EFA">
        <w:rPr>
          <w:i/>
          <w:lang w:val="fi-FI"/>
        </w:rPr>
        <w:t>(Muistelen usein lapsuuttani.)</w:t>
      </w:r>
      <w:r w:rsidRPr="00FB4EFA">
        <w:rPr>
          <w:lang w:val="fi-FI"/>
        </w:rPr>
        <w:t xml:space="preserve">. Myös ns. progressiivinen näkökulma eli tapahtumisen eteneminen samanaikaisesti jonkin viitehetken (useimmiten puhehetken) näkökulmasta </w:t>
      </w:r>
      <w:r w:rsidRPr="00FB4EFA">
        <w:rPr>
          <w:i/>
          <w:lang w:val="fi-FI"/>
        </w:rPr>
        <w:t>(Rakennan nykyään taloa.)</w:t>
      </w:r>
      <w:r w:rsidRPr="00FB4EFA">
        <w:rPr>
          <w:lang w:val="fi-FI"/>
        </w:rPr>
        <w:t xml:space="preserve"> tai prosessiivinen näkökulma eli se, että tapahtuma esitetään ilman päätepistettään (esim. </w:t>
      </w:r>
      <w:r w:rsidRPr="00FB4EFA">
        <w:rPr>
          <w:i/>
          <w:lang w:val="fi-FI"/>
        </w:rPr>
        <w:t>Kesällä kirjoitin sitä gradua.</w:t>
      </w:r>
      <w:r w:rsidRPr="00FB4EFA">
        <w:rPr>
          <w:lang w:val="fi-FI"/>
        </w:rPr>
        <w:t>), estävät totaalisen aspektin. (Tarkemmin ks. Larjavaara 2019: 362–368.)</w:t>
      </w:r>
    </w:p>
    <w:p w14:paraId="779E524F" w14:textId="77777777" w:rsidR="002D1FA6" w:rsidRPr="00FB4EFA" w:rsidRDefault="002D1FA6" w:rsidP="00402EF4">
      <w:pPr>
        <w:ind w:firstLine="720"/>
        <w:rPr>
          <w:lang w:val="fi-FI"/>
        </w:rPr>
      </w:pPr>
      <w:r w:rsidRPr="00FB4EFA">
        <w:rPr>
          <w:lang w:val="fi-FI"/>
        </w:rPr>
        <w:t>Edellä esitetty tiivis pääsääntö lähtee siitä, että ensin olisi katsottava, voiko objekti olla totaaliobjekti. Käytännössä kuitenkin yksityiskohtaisemmissa säännöissä listataan kaikki ne tapaukset, jotka estävät totaaliobjektin. Yksikin näistä vaihtoehdoista aiheuttaa siis partitiivin.</w:t>
      </w:r>
    </w:p>
    <w:p w14:paraId="0FC89238" w14:textId="3A40C975" w:rsidR="002D1FA6" w:rsidRPr="00FB4EFA" w:rsidRDefault="002D1FA6" w:rsidP="00402EF4">
      <w:pPr>
        <w:ind w:firstLine="720"/>
        <w:rPr>
          <w:lang w:val="fi-FI"/>
        </w:rPr>
      </w:pPr>
      <w:r w:rsidRPr="00FB4EFA">
        <w:rPr>
          <w:lang w:val="fi-FI"/>
        </w:rPr>
        <w:t xml:space="preserve">Larjavaaran tiivis objektisääntö saattaa vaikuttaa ensi alkuun yksinkertaiselta, mutta vain sillä edellytyksellä, että ymmärtää, mitä ns. </w:t>
      </w:r>
      <w:r w:rsidRPr="00FB4EFA">
        <w:rPr>
          <w:lang w:val="fi-FI"/>
        </w:rPr>
        <w:lastRenderedPageBreak/>
        <w:t xml:space="preserve">totaalinen aspekti koko laajassa merkityksessään tarkoittaa. Jos asian haluaisi muotoilla Whiten tapaan, suomenoppijan olisi esitettävä neljä kysymystä, joihin kaikkiin olisi saatava myönteinen vastaus, jotta ns. </w:t>
      </w:r>
      <w:r w:rsidR="0033568E" w:rsidRPr="00FB4EFA">
        <w:rPr>
          <w:lang w:val="fi-FI"/>
        </w:rPr>
        <w:br/>
      </w:r>
      <w:r w:rsidRPr="00FB4EFA">
        <w:rPr>
          <w:lang w:val="fi-FI"/>
        </w:rPr>
        <w:t>totalitiivi tulisi objektin sijaksi (Onko lause myönteinen? Ilmaiseeko lause muutosta? Onko muutos saavuttanut päätepisteen niin, että muutos ei voi enää jatkua? Onko muutos toteutunut täydellisesti myös objektin tarkoitteen osalta?). Käytännössä kielteinen vastaus yhteenkin näistä kysymyksistä aiheuttaa partitiivin. Siksi lieneekin pedagogisesti järkevämpää katsoa, onko lauseessa yksikin syy käyttää partitiiviobjektia. Lisäksi on tärkeää huomata, että suomenoppijalle partitiivi on ainakin aluksi kaikkea muuta kuin objektin sija. Tätä esittelen seuraavaksi.</w:t>
      </w:r>
    </w:p>
    <w:p w14:paraId="1C9E2904" w14:textId="5096E293" w:rsidR="002D1FA6" w:rsidRPr="00FB4EFA" w:rsidRDefault="002D1FA6" w:rsidP="00545033">
      <w:pPr>
        <w:pStyle w:val="Heading2"/>
        <w:numPr>
          <w:ilvl w:val="0"/>
          <w:numId w:val="12"/>
        </w:numPr>
        <w:suppressAutoHyphens/>
        <w:spacing w:line="259" w:lineRule="auto"/>
        <w:rPr>
          <w:color w:val="auto"/>
          <w:lang w:val="fi-FI"/>
        </w:rPr>
      </w:pPr>
      <w:r w:rsidRPr="00FB4EFA">
        <w:rPr>
          <w:color w:val="auto"/>
          <w:lang w:val="fi-FI"/>
        </w:rPr>
        <w:t>Partitiiviverbit, lukusanat ja kieltolauseet</w:t>
      </w:r>
    </w:p>
    <w:p w14:paraId="7A983A8B" w14:textId="77777777" w:rsidR="002D1FA6" w:rsidRPr="00FB4EFA" w:rsidRDefault="002D1FA6" w:rsidP="00402EF4">
      <w:pPr>
        <w:rPr>
          <w:lang w:val="fi-FI"/>
        </w:rPr>
      </w:pPr>
      <w:r w:rsidRPr="00FB4EFA">
        <w:rPr>
          <w:lang w:val="fi-FI"/>
        </w:rPr>
        <w:t>Objektin partitiivisijan määräytyminen on suomessa melko säännönmukaista, mutta säännöt ovat monimutkaiset eivätkä silti aukottomat. Pedagogiselta kannalta säännöstö on niin laaja, että kaikkea ei voi millään oppia kerralla. Lisäksi on myös muistettava, että partitiivia käytetään muutenkin kuin objektin sijana, ja kaikkea tätäkin täytyy harjoitella. Myös oppijan kielitaidon taso vaikuttaa siihen, mitkä säännöistä ovat missäkin vaiheessa relevantteja.</w:t>
      </w:r>
    </w:p>
    <w:p w14:paraId="49756CC3" w14:textId="4F183B5A" w:rsidR="000121EA" w:rsidRPr="00FB4EFA" w:rsidRDefault="002D1FA6" w:rsidP="00AF0CAD">
      <w:pPr>
        <w:ind w:firstLine="720"/>
        <w:rPr>
          <w:lang w:val="fi-FI"/>
        </w:rPr>
      </w:pPr>
      <w:r w:rsidRPr="00FB4EFA">
        <w:rPr>
          <w:lang w:val="fi-FI"/>
        </w:rPr>
        <w:t xml:space="preserve">Miten suomenoppija sitten tutustuu partitiiviin ja lopulta myös objektin sijanvaihteluun? Oppikirjoihin on vuosikymmenten saatossa vakiintunut järjestys, jonka mukaan partitiivin käyttöä harjoitellaan. </w:t>
      </w:r>
      <w:r w:rsidR="0033568E" w:rsidRPr="00FB4EFA">
        <w:rPr>
          <w:lang w:val="fi-FI"/>
        </w:rPr>
        <w:br/>
      </w:r>
      <w:r w:rsidRPr="00FB4EFA">
        <w:rPr>
          <w:lang w:val="fi-FI"/>
        </w:rPr>
        <w:t xml:space="preserve">Oppikirjoissa objekteja esiintyy jo aivan alusta lähtien, vaikka niitä ei aluksi varsinaisesti nimitetäkään objekteiksi. Ensimmäiset transitiivilauseet ovat tyypillisesti sellaisia, joiden verbi vaatii partitiivimuotoisen objektin, esim. </w:t>
      </w:r>
      <w:r w:rsidRPr="00FB4EFA">
        <w:rPr>
          <w:i/>
          <w:lang w:val="fi-FI"/>
        </w:rPr>
        <w:t xml:space="preserve">Hän puhuu suomea. Minä opiskelen suomea </w:t>
      </w:r>
      <w:r w:rsidRPr="00FB4EFA">
        <w:rPr>
          <w:lang w:val="fi-FI"/>
        </w:rPr>
        <w:t xml:space="preserve">(Kenttälä 2007: 19, 25). Ensin opitaan siis, että tiettyjen verbien (ns. partitiiviverbien) kanssa tulee ”aina” partitiivi. Vaikka monissa näistä lauseista partitiivi motivoituu sillä, että tekemisen ei ajatella saavuttavan päätepistettä, verbin semantiikkaan ei vielä alkuun kiinnitetä huomiota. Joskus kuitenkin mainitaan, että tunneverbit (kuten </w:t>
      </w:r>
      <w:r w:rsidRPr="00FB4EFA">
        <w:rPr>
          <w:i/>
          <w:lang w:val="fi-FI"/>
        </w:rPr>
        <w:t>rakastaa</w:t>
      </w:r>
      <w:r w:rsidRPr="00FB4EFA">
        <w:rPr>
          <w:lang w:val="fi-FI"/>
        </w:rPr>
        <w:t xml:space="preserve"> ja </w:t>
      </w:r>
      <w:r w:rsidRPr="00FB4EFA">
        <w:rPr>
          <w:i/>
          <w:lang w:val="fi-FI"/>
        </w:rPr>
        <w:t>vihata</w:t>
      </w:r>
      <w:r w:rsidRPr="00FB4EFA">
        <w:rPr>
          <w:lang w:val="fi-FI"/>
        </w:rPr>
        <w:t>) saavat partitiiviobjektin (esim. Nuutinen 1979: 73).</w:t>
      </w:r>
    </w:p>
    <w:p w14:paraId="6464083E" w14:textId="7C1C1347" w:rsidR="002D1FA6" w:rsidRPr="00FB4EFA" w:rsidRDefault="002D1FA6" w:rsidP="00AF0CAD">
      <w:pPr>
        <w:ind w:firstLine="720"/>
        <w:rPr>
          <w:lang w:val="fi-FI"/>
        </w:rPr>
      </w:pPr>
      <w:r w:rsidRPr="00FB4EFA">
        <w:rPr>
          <w:lang w:val="fi-FI"/>
        </w:rPr>
        <w:t xml:space="preserve">Partitiivi mainitaan usein rektioksi myös sellaisille verbeille, jotka voisivat periaatteessa saada totaaliobjektinkin, esim. </w:t>
      </w:r>
      <w:r w:rsidRPr="00FB4EFA">
        <w:rPr>
          <w:i/>
          <w:lang w:val="fi-FI"/>
        </w:rPr>
        <w:t xml:space="preserve">etsiä, katsoa, juoda, </w:t>
      </w:r>
      <w:r w:rsidRPr="00FB4EFA">
        <w:rPr>
          <w:i/>
          <w:lang w:val="fi-FI"/>
        </w:rPr>
        <w:lastRenderedPageBreak/>
        <w:t>syödä, ostaa</w:t>
      </w:r>
      <w:r w:rsidRPr="00FB4EFA">
        <w:rPr>
          <w:lang w:val="fi-FI"/>
        </w:rPr>
        <w:t xml:space="preserve"> (Gehring &amp; Heinzmann 2020: 96, 125). Tavallisesti </w:t>
      </w:r>
      <w:r w:rsidR="0033568E" w:rsidRPr="00FB4EFA">
        <w:rPr>
          <w:lang w:val="fi-FI"/>
        </w:rPr>
        <w:br/>
      </w:r>
      <w:r w:rsidRPr="00FB4EFA">
        <w:rPr>
          <w:lang w:val="fi-FI"/>
        </w:rPr>
        <w:t xml:space="preserve">partitiivin käyttöä harjoitellaan varhaisessa vaiheessa myös </w:t>
      </w:r>
      <w:r w:rsidR="0033568E" w:rsidRPr="00FB4EFA">
        <w:rPr>
          <w:lang w:val="fi-FI"/>
        </w:rPr>
        <w:br/>
      </w:r>
      <w:r w:rsidRPr="00FB4EFA">
        <w:rPr>
          <w:lang w:val="fi-FI"/>
        </w:rPr>
        <w:t>nominatiivimuotoisten lukusanojen kanssa (</w:t>
      </w:r>
      <w:r w:rsidRPr="00FB4EFA">
        <w:rPr>
          <w:i/>
          <w:lang w:val="fi-FI"/>
        </w:rPr>
        <w:t>6 jäätelöä, 9 pitkää miestä</w:t>
      </w:r>
      <w:r w:rsidRPr="00FB4EFA">
        <w:rPr>
          <w:lang w:val="fi-FI"/>
        </w:rPr>
        <w:t>, Gehring &amp; Heinzmann 2020: 96).</w:t>
      </w:r>
    </w:p>
    <w:p w14:paraId="6C9D0C6F" w14:textId="443C4D10" w:rsidR="002D1FA6" w:rsidRPr="00FB4EFA" w:rsidRDefault="002D1FA6" w:rsidP="00AF0CAD">
      <w:pPr>
        <w:ind w:firstLine="720"/>
        <w:rPr>
          <w:lang w:val="fi-FI"/>
        </w:rPr>
      </w:pPr>
      <w:r w:rsidRPr="00FB4EFA">
        <w:rPr>
          <w:lang w:val="fi-FI"/>
        </w:rPr>
        <w:t xml:space="preserve">Ennen varsinaisia objektisääntöjä käsitellään yleensä myös omistusrakenne ja tässä yhteydessä opitaan, että partitiivia käytetään kielteisissä omistuslauseissa (esim. </w:t>
      </w:r>
      <w:r w:rsidRPr="00FB4EFA">
        <w:rPr>
          <w:i/>
          <w:lang w:val="fi-FI"/>
        </w:rPr>
        <w:t>Minulla ei ole autoa.</w:t>
      </w:r>
      <w:r w:rsidRPr="00FB4EFA">
        <w:rPr>
          <w:lang w:val="fi-FI"/>
        </w:rPr>
        <w:t xml:space="preserve"> Gehring &amp; Heinzmann 2020: 96) samoin kuin kielteisissä eksistentiaali</w:t>
      </w:r>
      <w:r w:rsidR="00714583" w:rsidRPr="00FB4EFA">
        <w:rPr>
          <w:lang w:val="fi-FI"/>
        </w:rPr>
        <w:softHyphen/>
      </w:r>
      <w:r w:rsidRPr="00FB4EFA">
        <w:rPr>
          <w:lang w:val="fi-FI"/>
        </w:rPr>
        <w:t>lauseissakin (</w:t>
      </w:r>
      <w:r w:rsidRPr="00FB4EFA">
        <w:rPr>
          <w:i/>
          <w:lang w:val="fi-FI"/>
        </w:rPr>
        <w:t>Keittiössä ei ole isoa pöytää.</w:t>
      </w:r>
      <w:r w:rsidRPr="00FB4EFA">
        <w:rPr>
          <w:lang w:val="fi-FI"/>
        </w:rPr>
        <w:t xml:space="preserve"> mts. 156). Näissä lausetyypeissä partitiivimuotoinen lauseenjäsen ei tietenkään ole objekti, mutta suomenoppija saattaa käsittää sen objektiksi joidenkin muiden osaamiensa kielten mallin mukaan. On siis syytä korostaa jo tässä vaiheessa, että kieltomuotoisen lauseen partitiivi liittyy vain tiettyihin lausetyyppeihin, ei esimerkiksi predikatiivilauseeseen (</w:t>
      </w:r>
      <w:r w:rsidRPr="00FB4EFA">
        <w:rPr>
          <w:i/>
          <w:lang w:val="fi-FI"/>
        </w:rPr>
        <w:t>*Pekka ei ole opettajaa.</w:t>
      </w:r>
      <w:r w:rsidRPr="00FB4EFA">
        <w:rPr>
          <w:lang w:val="fi-FI"/>
        </w:rPr>
        <w:t>).</w:t>
      </w:r>
    </w:p>
    <w:p w14:paraId="5FF2FD53" w14:textId="70DEF105" w:rsidR="002D1FA6" w:rsidRPr="00FB4EFA" w:rsidRDefault="002D1FA6" w:rsidP="00545033">
      <w:pPr>
        <w:pStyle w:val="Heading2"/>
        <w:numPr>
          <w:ilvl w:val="0"/>
          <w:numId w:val="12"/>
        </w:numPr>
        <w:suppressAutoHyphens/>
        <w:spacing w:line="259" w:lineRule="auto"/>
        <w:rPr>
          <w:color w:val="auto"/>
          <w:lang w:val="fi-FI"/>
        </w:rPr>
      </w:pPr>
      <w:r w:rsidRPr="00FB4EFA">
        <w:rPr>
          <w:color w:val="auto"/>
          <w:lang w:val="fi-FI"/>
        </w:rPr>
        <w:t>Ainesanojen partitiivi ja avoin kvantiteetti monikossa</w:t>
      </w:r>
    </w:p>
    <w:p w14:paraId="2A25F997" w14:textId="77777777" w:rsidR="000121EA" w:rsidRPr="00FB4EFA" w:rsidRDefault="002D1FA6" w:rsidP="00AF0CAD">
      <w:pPr>
        <w:rPr>
          <w:lang w:val="fi-FI"/>
        </w:rPr>
      </w:pPr>
      <w:r w:rsidRPr="00FB4EFA">
        <w:rPr>
          <w:lang w:val="fi-FI"/>
        </w:rPr>
        <w:t>Myös avoimen kvantiteetin (tai ISK:n termein kvantitatiivisen epämääräisyyden) merkitsemistä partitiivilla harjoitellaan tavallisesti ennen kuin varsinaiset objektisäännöt opetetaan, ensin yksikössä ns. ainesanojen avulla ja usein ruokasanaston yhteydessä. Käsitteenä ainesana on suomenoppijalle havainnollinen ja vanhaa perua (ks. esim. jo Nuutinen 1979: 64). Gehring &amp; Heinzmann (2020: 232) määrittelevät, että ainesanoja ovat ruoka, juoma, materiaalit ja abstraktit sanat. Samalla opitaan myös partitiivin käyttöä eri lausetyypeissä jo vanhemman mutta vakiintuneen S2-nyrkkisäännön avulla (vrt. esim. Lauranto 1995: 146) niin, että verbin jälkeen ainesana on partitiivissa (</w:t>
      </w:r>
      <w:r w:rsidRPr="00FB4EFA">
        <w:rPr>
          <w:i/>
          <w:lang w:val="fi-FI"/>
        </w:rPr>
        <w:t>Tämä on kahvia. Lautasella on spagettia. Me syömme salaattia.</w:t>
      </w:r>
      <w:r w:rsidRPr="00FB4EFA">
        <w:rPr>
          <w:lang w:val="fi-FI"/>
        </w:rPr>
        <w:t>), kun taas ennen verbiä ainesana ei ole partitiivissa (</w:t>
      </w:r>
      <w:r w:rsidRPr="00FB4EFA">
        <w:rPr>
          <w:i/>
          <w:lang w:val="fi-FI"/>
        </w:rPr>
        <w:t>Kahvi on kupissa. Kulta on kallista. Tuo kakku näyttää tosi hyvältä.</w:t>
      </w:r>
      <w:r w:rsidRPr="00FB4EFA">
        <w:rPr>
          <w:lang w:val="fi-FI"/>
        </w:rPr>
        <w:t>). Samoin esitetään, että ainesanaa kuvaava adjektiivi on partitiivissa (</w:t>
      </w:r>
      <w:r w:rsidRPr="00FB4EFA">
        <w:rPr>
          <w:i/>
          <w:lang w:val="fi-FI"/>
        </w:rPr>
        <w:t>Kahvi on kuumaa. Tämä pulla ei ole tuoretta. Rakkaus on kaunista.</w:t>
      </w:r>
      <w:r w:rsidRPr="00FB4EFA">
        <w:rPr>
          <w:lang w:val="fi-FI"/>
        </w:rPr>
        <w:t>) Käytännössä opettajan tehtäväksi jää korostaa, että kyse on todellakin eri lausetyypeistä, joissa partitiivilla merkitään avointa kvantiteettia.</w:t>
      </w:r>
    </w:p>
    <w:p w14:paraId="224DD707" w14:textId="77777777" w:rsidR="000121EA" w:rsidRPr="00FB4EFA" w:rsidRDefault="002D1FA6" w:rsidP="00AF0CAD">
      <w:pPr>
        <w:ind w:firstLine="720"/>
        <w:rPr>
          <w:lang w:val="fi-FI"/>
        </w:rPr>
      </w:pPr>
      <w:r w:rsidRPr="00FB4EFA">
        <w:rPr>
          <w:lang w:val="fi-FI"/>
        </w:rPr>
        <w:t xml:space="preserve">Oman ongelmansa avoimen kvantiteetin opetteluun tuo se, että monikkomuotoja ei vielä tässä vaiheessa ole oppikirjoihin vakiintuneen opetusjärjestyksen mukaan käyty läpi, pois lukien monikon nominatiivi. </w:t>
      </w:r>
      <w:r w:rsidRPr="00FB4EFA">
        <w:rPr>
          <w:lang w:val="fi-FI"/>
        </w:rPr>
        <w:lastRenderedPageBreak/>
        <w:t xml:space="preserve">Itse asiassa mikään ei estä ottamasta esille avointa kvantiteettia myös monikossa, kun puhutaan vaikkapa sellaisista ruokasanoista, jotka tavallisimmin esiintyvät monikossa. Gehring ja Heinzmann (2020: 221) tarjoavatkin opettajalle tähän hyvän mahdollisuuden kappaleen tekstissä, jossa tehdään </w:t>
      </w:r>
      <w:r w:rsidRPr="00FB4EFA">
        <w:rPr>
          <w:i/>
          <w:lang w:val="fi-FI"/>
        </w:rPr>
        <w:t>lihapullia</w:t>
      </w:r>
      <w:r w:rsidRPr="00FB4EFA">
        <w:rPr>
          <w:lang w:val="fi-FI"/>
        </w:rPr>
        <w:t xml:space="preserve"> ja ostetaan </w:t>
      </w:r>
      <w:r w:rsidRPr="00FB4EFA">
        <w:rPr>
          <w:i/>
          <w:lang w:val="fi-FI"/>
        </w:rPr>
        <w:t>mustia oliiveja</w:t>
      </w:r>
      <w:r w:rsidRPr="00FB4EFA">
        <w:rPr>
          <w:lang w:val="fi-FI"/>
        </w:rPr>
        <w:t>, vaikka monikon partitiivia ei olekaan vielä opetettu. Ei liene mitään syytä erityisesti vältellä monikon partitiivimuotoja, päinvastoin tällaiset lauseyhteydessä opitut monikon partitiivit auttavat luultavasti suomenoppijaa hahmottamaan avoimen kvantiteetin kokonaisuudessaan ja mahdollisesti helpottavat myöhemmin myös muiden monikkomuotojen oppimista.</w:t>
      </w:r>
    </w:p>
    <w:p w14:paraId="638C12E2" w14:textId="0DE4EC67" w:rsidR="002D1FA6" w:rsidRPr="00FB4EFA" w:rsidRDefault="002D1FA6" w:rsidP="00402EF4">
      <w:pPr>
        <w:ind w:firstLine="720"/>
        <w:rPr>
          <w:lang w:val="fi-FI"/>
        </w:rPr>
      </w:pPr>
      <w:r w:rsidRPr="00FB4EFA">
        <w:rPr>
          <w:lang w:val="fi-FI"/>
        </w:rPr>
        <w:t>On hämmentävää, kuinka joissakin oppikirjoissa mainitaan alustavien objektisääntöjen yhteydessä, että objektin sija on monikossa nominatiivi (esim. Gehring &amp; Heinzmann 2020: 263). On mahdollista, että suomenoppijalle syntyy harhakäsitys, että partitiivin vastaparina olisi aina nominatiivi, sillä pitkään, ennen kuin objektista aletaan puhua, oppikirjoissa on muutenkin käsitelty vain sellaisia rakenteita, joissa partitiivi ja nominatiivi vaihtelevat. Näinhän on omistus- ja eksistentiaalilauseissa sekä nesessiivi- ja predikatiivilauseissakin, joihin yleensä tutustutaan jo paljon ennen kuin monikon (paitsi nominatiivin) muodostus opetetaan.</w:t>
      </w:r>
    </w:p>
    <w:p w14:paraId="0FBD4637" w14:textId="2CD31021" w:rsidR="002D1FA6" w:rsidRPr="00FB4EFA" w:rsidRDefault="002D1FA6" w:rsidP="00AF0CAD">
      <w:pPr>
        <w:ind w:firstLine="720"/>
        <w:rPr>
          <w:lang w:val="fi-FI"/>
        </w:rPr>
      </w:pPr>
      <w:r w:rsidRPr="00FB4EFA">
        <w:rPr>
          <w:lang w:val="fi-FI"/>
        </w:rPr>
        <w:t>Vasta myöhemmin, kun monikon partitiivin muodostus on kirjoissa esitetty, tulee puhetta siitä, millaisissa lauseissa objekti on monikon partitiivissa. Oppimateriaaleissa on tässä suhteessa terminologista vaihtelua. Esimerkiksi Lepäsmaa ja Silfverberg (1998: 198) puhuvat ”epämääräisestä määrästä”, White (2001: 254) ”objektin indefiniittisestä määrästä” ja Kenttälän (2012: 125) mukaan partitiivin transitiivilauseessa aiheuttaa ”ei tarkka määrä (ei 100</w:t>
      </w:r>
      <w:r w:rsidR="00556D76" w:rsidRPr="00FB4EFA">
        <w:rPr>
          <w:lang w:val="fi-FI"/>
        </w:rPr>
        <w:t xml:space="preserve"> </w:t>
      </w:r>
      <w:r w:rsidRPr="00FB4EFA">
        <w:rPr>
          <w:lang w:val="fi-FI"/>
        </w:rPr>
        <w:t xml:space="preserve">%)”. Gehring ja Heinzmann (2012: 255) eivät puolestaan selitä avointa kvantiteettia tässä yhteydessä ollenkaan vaan turvautuvat pelkkiin esimerkkilauseisiin, joissa on monikon partitiivin sisältäviä transitiivi-, predikatiivi-, eksistentiaali- sekä omistuslauseita. Sekavuutta syntyy ehkä myös käsitteestä </w:t>
      </w:r>
      <w:r w:rsidRPr="00FB4EFA">
        <w:rPr>
          <w:i/>
          <w:lang w:val="fi-FI"/>
        </w:rPr>
        <w:t>osaobjekti</w:t>
      </w:r>
      <w:r w:rsidRPr="00FB4EFA">
        <w:rPr>
          <w:lang w:val="fi-FI"/>
        </w:rPr>
        <w:t xml:space="preserve"> (esim. Kenttälä 2007: 146), jolla viitataan partitiivimuotoisiin aine- ja abstraktisanoihin objekteina.</w:t>
      </w:r>
    </w:p>
    <w:p w14:paraId="6B3B64D9" w14:textId="77777777" w:rsidR="002D1FA6" w:rsidRPr="00FB4EFA" w:rsidRDefault="002D1FA6" w:rsidP="00402EF4">
      <w:pPr>
        <w:ind w:firstLine="720"/>
        <w:rPr>
          <w:lang w:val="fi-FI"/>
        </w:rPr>
      </w:pPr>
      <w:r w:rsidRPr="00FB4EFA">
        <w:rPr>
          <w:lang w:val="fi-FI"/>
        </w:rPr>
        <w:t>Mikä estäisi puhumasta yksinkertaisesti avoimesta määrästä? Sellaiset käsitteet kuin epämääräisyys tai indefiniittisyys voivat olla siksikin harhaanjohtavia, että määräisyyttähän on kahta lajia (kvalitatiivista ja kvantitatiivista). On painotettava sitä, että nimenomaan avoin määrä ai</w:t>
      </w:r>
      <w:r w:rsidRPr="00FB4EFA">
        <w:rPr>
          <w:lang w:val="fi-FI"/>
        </w:rPr>
        <w:lastRenderedPageBreak/>
        <w:t>heuttaa partitiivin, eikä asialla ole mitään tekemistä sen kanssa, onko tarkoite mainittu aiemmin vai ei. Määräisyydestä ja epämääräisyydestä puhuminen kvantiteetin yhteydessä saattaa harhauttaa opiskelijaa. Sen sijaan avuksi voi olla keskustelu siitä, kuinka partitiivilla ilmaistaan avointa määrää yksikössä ja monikossa. Yksikössä jaollistarkoitteiset eli aine- ja abstraktisanat ovat partitiivissa, monikossa puolestaan jaottomat eli laskettavat tarkoitteet (ns. kappalesanat), kun määrä on avoin.</w:t>
      </w:r>
    </w:p>
    <w:p w14:paraId="6098D3DD" w14:textId="5418F820" w:rsidR="002D1FA6" w:rsidRPr="00FB4EFA" w:rsidRDefault="002D1FA6" w:rsidP="00545033">
      <w:pPr>
        <w:pStyle w:val="Heading2"/>
        <w:numPr>
          <w:ilvl w:val="0"/>
          <w:numId w:val="12"/>
        </w:numPr>
        <w:suppressAutoHyphens/>
        <w:spacing w:line="259" w:lineRule="auto"/>
        <w:rPr>
          <w:color w:val="auto"/>
          <w:lang w:val="fi-FI"/>
        </w:rPr>
      </w:pPr>
      <w:r w:rsidRPr="00FB4EFA">
        <w:rPr>
          <w:color w:val="auto"/>
          <w:lang w:val="fi-FI"/>
        </w:rPr>
        <w:t>Prosessiobjekti, totaaliobjekti ja tulosobjekti</w:t>
      </w:r>
    </w:p>
    <w:p w14:paraId="4D813128" w14:textId="77777777" w:rsidR="000121EA" w:rsidRPr="00FB4EFA" w:rsidRDefault="002D1FA6" w:rsidP="00402EF4">
      <w:pPr>
        <w:rPr>
          <w:lang w:val="fi-FI"/>
        </w:rPr>
      </w:pPr>
      <w:r w:rsidRPr="00FB4EFA">
        <w:rPr>
          <w:lang w:val="fi-FI"/>
        </w:rPr>
        <w:t>Varsinkin vanhemmissa oppimateriaaleissa (esim. Nuutinen 1979: 69, 73; Kenttälä 2007: 146; Lepäsmaa &amp; Silfverberg 1998: 69) kootut objektisäännöt tulevat esiin melko varhaisessa vaiheessa, ja jo tässä yhteydessä kiinnitetään huomiota ns. prosessiobjektiin, jota merkitään partitiivilla. Uudemmissa oppikirjoissa (esim. Gehring &amp; Heinzmann 2020) partitiivin käyttöä harjoitellaan erilaisissa konstruktioissa jo ennen kuin objekti varsinaisesti opetetaan, kuten edellä on tullut ilmi. Objektista aletaan puhua varsinaisesti vasta, kun on jo runsaasti harjoiteltu nimenomaan partitiivin ja nominatiivin oppositiota eri lausetyypeissä.</w:t>
      </w:r>
    </w:p>
    <w:p w14:paraId="67D4CF39" w14:textId="40CBE1BF" w:rsidR="002D1FA6" w:rsidRPr="00FB4EFA" w:rsidRDefault="002D1FA6" w:rsidP="00AF0CAD">
      <w:pPr>
        <w:ind w:firstLine="720"/>
        <w:rPr>
          <w:lang w:val="fi-FI"/>
        </w:rPr>
      </w:pPr>
      <w:r w:rsidRPr="00FB4EFA">
        <w:rPr>
          <w:lang w:val="fi-FI"/>
        </w:rPr>
        <w:t xml:space="preserve">Suomenoppijalle varsinainen haaste on hahmottaa aspektuaalisen objektin sijan määräytyminen, vaikka aspektilla viitattaisiin (toisin kuin Larjavaara 2019: 87–88) vain siihen, että toiminnan ei ilmaista saavuttavan päätepistettään. Tällaista objektia nimitän tässä prosessiobjektiksi, vaikka prosessiobjektin käsitettä ei tarkastelemissani oppimateriaaleissa juuri tässä muodossa mainita. Siihen, että lauseessa ei ilmaista toiminnan saavuttavan päätepistettään, viitataan kuitenkin oppimateriaaleissa sanalla </w:t>
      </w:r>
      <w:r w:rsidRPr="00FB4EFA">
        <w:rPr>
          <w:i/>
          <w:lang w:val="fi-FI"/>
        </w:rPr>
        <w:t>prosessi</w:t>
      </w:r>
      <w:r w:rsidRPr="00FB4EFA">
        <w:rPr>
          <w:lang w:val="fi-FI"/>
        </w:rPr>
        <w:t>, esim. niin, että objekti on partitiivissa, kun ”prosessi on kesken” (Nuutinen 1979: 73; White 2001: 249)</w:t>
      </w:r>
      <w:r w:rsidR="00E21E02" w:rsidRPr="00FB4EFA">
        <w:rPr>
          <w:lang w:val="fi-FI"/>
        </w:rPr>
        <w:t>,</w:t>
      </w:r>
      <w:r w:rsidRPr="00FB4EFA">
        <w:rPr>
          <w:lang w:val="fi-FI"/>
        </w:rPr>
        <w:t xml:space="preserve"> ”lause on prosessi” (Lepäsmaa &amp; Silfverberg 1998: 69), ”Prosessi (tekeminen jatkuu)” (Kenttälä 2007: 146) tai ”Prosessi = Asia ei ole valmis” (Gehring &amp; Heinzmann 2012: 54). Kun partitiivin valintaan tulee tämä yksi syy lisää, esitetään muutkin objektia koskevat partitiivisäännöt, joita on tähän asti harjoiteltu (negatiivinen lause, ainesanat ja partitiiviverbit). Partitiivin vastaparina ei tässä yhteydessä olekaan enää yksin nominatiivi vaan eräänlainen ”jokin muu”, joka voi olla genetiivin, nominatiivin tai persoonapronomineilla akkusatiivin muotoinen.</w:t>
      </w:r>
    </w:p>
    <w:p w14:paraId="05BD14EA" w14:textId="4F02D2CC" w:rsidR="000121EA" w:rsidRPr="00FB4EFA" w:rsidRDefault="002D1FA6" w:rsidP="00AF0CAD">
      <w:pPr>
        <w:ind w:firstLine="720"/>
        <w:rPr>
          <w:lang w:val="fi-FI"/>
        </w:rPr>
      </w:pPr>
      <w:r w:rsidRPr="00FB4EFA">
        <w:rPr>
          <w:lang w:val="fi-FI"/>
        </w:rPr>
        <w:lastRenderedPageBreak/>
        <w:t xml:space="preserve">Prosessi voi olla suomenoppijalle ongelmallinen käsite siksi, että sen voi ymmärtää viittaavan verbin ilmaiseman teon laatuun eikä siihen, esitetäänkö jokin teko niin, että se ei saavuta päätepistettään. Sekavuutta lisää sekin, että ns. prosessiobjektin vastaparilta puuttuu pedagogisesti käyttökelpoinen nimitys. Esim. ISK:ssa (2004: 887) käytetty totaaliobjektihan on kaikkien partitiivimuotoisten objektien vastapari. Itse asiassa totaaliobjektin käsitettä ei oppikirjoissa juuri mainitakaan, poikkeuksena Kenttälä (2007: 146), jonka esityksessä totaaliobjekti on partitiiviobjektin vastakohtana jotain sellaista, jolla viitataan johonkin kokonaiseen (”kokonaisobjekti, kappalesana”, esim. </w:t>
      </w:r>
      <w:r w:rsidRPr="00FB4EFA">
        <w:rPr>
          <w:i/>
          <w:lang w:val="fi-FI"/>
        </w:rPr>
        <w:t>Minä syön koko leivän. Minä avaan kaikki ikkunat.</w:t>
      </w:r>
      <w:r w:rsidRPr="00FB4EFA">
        <w:rPr>
          <w:lang w:val="fi-FI"/>
        </w:rPr>
        <w:t>) tai siihen, että asia tehdään loppuun (</w:t>
      </w:r>
      <w:r w:rsidRPr="00FB4EFA">
        <w:rPr>
          <w:i/>
          <w:lang w:val="fi-FI"/>
        </w:rPr>
        <w:t>Minä luen tämän kirjan loppuun.</w:t>
      </w:r>
      <w:r w:rsidRPr="00FB4EFA">
        <w:rPr>
          <w:lang w:val="fi-FI"/>
        </w:rPr>
        <w:t>) tai että asia tapahtuu nopeasti (</w:t>
      </w:r>
      <w:r w:rsidRPr="00FB4EFA">
        <w:rPr>
          <w:i/>
          <w:lang w:val="fi-FI"/>
        </w:rPr>
        <w:t>Anne tapaa Ilpon kello kuusi.</w:t>
      </w:r>
      <w:r w:rsidRPr="00FB4EFA">
        <w:rPr>
          <w:lang w:val="fi-FI"/>
        </w:rPr>
        <w:t>). Poikkeuksena muihin oppimateriaaleihin Kenttälä listaa myös joitakin verbejä, jotka saavat totaaliobjektin (</w:t>
      </w:r>
      <w:r w:rsidRPr="00FB4EFA">
        <w:rPr>
          <w:i/>
          <w:lang w:val="fi-FI"/>
        </w:rPr>
        <w:t>tuntea, nähdä, kutsua, tavata, muistaa, unohtaa, aloittaa</w:t>
      </w:r>
      <w:r w:rsidRPr="00FB4EFA">
        <w:rPr>
          <w:lang w:val="fi-FI"/>
        </w:rPr>
        <w:t xml:space="preserve">). Erikseen ei mainita, että kieltolauseessa näidenkin verbien objektit toki ovat partitiivissa, ja samoin tietysti silloin, kun ilmaistaan avointa kvantiteettia (esimerkiksi </w:t>
      </w:r>
      <w:r w:rsidRPr="00FB4EFA">
        <w:rPr>
          <w:i/>
          <w:lang w:val="fi-FI"/>
        </w:rPr>
        <w:t xml:space="preserve">Tunnen </w:t>
      </w:r>
      <w:r w:rsidRPr="00FB4EFA">
        <w:rPr>
          <w:i/>
          <w:lang w:val="fi-FI"/>
        </w:rPr>
        <w:sym w:font="Symbol" w:char="F07E"/>
      </w:r>
      <w:r w:rsidRPr="00FB4EFA">
        <w:rPr>
          <w:i/>
          <w:lang w:val="fi-FI"/>
        </w:rPr>
        <w:t xml:space="preserve"> Näen </w:t>
      </w:r>
      <w:r w:rsidRPr="00FB4EFA">
        <w:rPr>
          <w:i/>
          <w:lang w:val="fi-FI"/>
        </w:rPr>
        <w:sym w:font="Symbol" w:char="F07E"/>
      </w:r>
      <w:r w:rsidRPr="00FB4EFA">
        <w:rPr>
          <w:i/>
          <w:lang w:val="fi-FI"/>
        </w:rPr>
        <w:t xml:space="preserve"> </w:t>
      </w:r>
      <w:r w:rsidR="0033568E" w:rsidRPr="00FB4EFA">
        <w:rPr>
          <w:i/>
          <w:lang w:val="fi-FI"/>
        </w:rPr>
        <w:br/>
      </w:r>
      <w:r w:rsidRPr="00FB4EFA">
        <w:rPr>
          <w:i/>
          <w:lang w:val="fi-FI"/>
        </w:rPr>
        <w:t xml:space="preserve">Kutsun </w:t>
      </w:r>
      <w:r w:rsidRPr="00FB4EFA">
        <w:rPr>
          <w:i/>
          <w:lang w:val="fi-FI"/>
        </w:rPr>
        <w:sym w:font="Symbol" w:char="F07E"/>
      </w:r>
      <w:r w:rsidRPr="00FB4EFA">
        <w:rPr>
          <w:i/>
          <w:lang w:val="fi-FI"/>
        </w:rPr>
        <w:t xml:space="preserve"> Tapaan ihmisiä</w:t>
      </w:r>
      <w:r w:rsidRPr="00FB4EFA">
        <w:rPr>
          <w:lang w:val="fi-FI"/>
        </w:rPr>
        <w:t>.).</w:t>
      </w:r>
    </w:p>
    <w:p w14:paraId="374EB1FE" w14:textId="704798C8" w:rsidR="002D1FA6" w:rsidRPr="00FB4EFA" w:rsidRDefault="002D1FA6" w:rsidP="00AF0CAD">
      <w:pPr>
        <w:ind w:firstLine="720"/>
        <w:rPr>
          <w:lang w:val="fi-FI"/>
        </w:rPr>
      </w:pPr>
      <w:r w:rsidRPr="00FB4EFA">
        <w:rPr>
          <w:lang w:val="fi-FI"/>
        </w:rPr>
        <w:t xml:space="preserve">Suomenoppijalle voisi olla hyödyksi tietää, että kognitiiviset verbit (eli ns. havainto- ja tietoverbit), kuten </w:t>
      </w:r>
      <w:r w:rsidRPr="00FB4EFA">
        <w:rPr>
          <w:i/>
          <w:lang w:val="fi-FI"/>
        </w:rPr>
        <w:t>nähdä, kuulla, muistaa</w:t>
      </w:r>
      <w:r w:rsidRPr="00FB4EFA">
        <w:rPr>
          <w:lang w:val="fi-FI"/>
        </w:rPr>
        <w:t xml:space="preserve">, samoin kuin pysähtynyttä, staattista tilaa ilmaisevat ns. statiiviset verbit (esim. </w:t>
      </w:r>
      <w:r w:rsidRPr="00FB4EFA">
        <w:rPr>
          <w:i/>
          <w:lang w:val="fi-FI"/>
        </w:rPr>
        <w:t>omistaa</w:t>
      </w:r>
      <w:r w:rsidRPr="00FB4EFA">
        <w:rPr>
          <w:lang w:val="fi-FI"/>
        </w:rPr>
        <w:t>) saavat myönteisissä lauseissa totaaliobjektin, kun tarkoite on jaoton, vaikka lause olisikin aspektiltaan avoin. (Vrt. Larjavaara 2019: 366–367, jonka esityksessä kognitiivisetkin verbit kuuluvat statiivisiin verbeihin.)</w:t>
      </w:r>
    </w:p>
    <w:p w14:paraId="1803CC23" w14:textId="77777777" w:rsidR="000121EA" w:rsidRPr="00FB4EFA" w:rsidRDefault="002D1FA6" w:rsidP="00AF0CAD">
      <w:pPr>
        <w:ind w:firstLine="720"/>
        <w:rPr>
          <w:lang w:val="fi-FI"/>
        </w:rPr>
      </w:pPr>
      <w:r w:rsidRPr="00FB4EFA">
        <w:rPr>
          <w:lang w:val="fi-FI"/>
        </w:rPr>
        <w:t xml:space="preserve">Ajatus siitä, että objektia alettaisiin tarkastella ensi sijassa jonkinlaisen totaalisuuden näkökulmasta, on periaatteessa kiinnostava, mutta toisaalta partitiivisäännöt ovat joka tapauksessa vahvemmat: yksikin syy valita partitiivi riittää. Myös totaaliobjektin käsite on käytännössä hankala. Minulta on esimerkiksi kysytty, miksi verbin </w:t>
      </w:r>
      <w:r w:rsidRPr="00FB4EFA">
        <w:rPr>
          <w:i/>
          <w:lang w:val="fi-FI"/>
        </w:rPr>
        <w:t>rakastaa</w:t>
      </w:r>
      <w:r w:rsidRPr="00FB4EFA">
        <w:rPr>
          <w:lang w:val="fi-FI"/>
        </w:rPr>
        <w:t xml:space="preserve"> kanssa tulee partitiivi, vaikka rakastaisi toista aivan totaalisesti.</w:t>
      </w:r>
    </w:p>
    <w:p w14:paraId="1CF94548" w14:textId="41D809FB" w:rsidR="002D1FA6" w:rsidRPr="00FB4EFA" w:rsidRDefault="002D1FA6" w:rsidP="00402EF4">
      <w:pPr>
        <w:ind w:firstLine="720"/>
        <w:rPr>
          <w:lang w:val="fi-FI"/>
        </w:rPr>
      </w:pPr>
      <w:r w:rsidRPr="00FB4EFA">
        <w:rPr>
          <w:lang w:val="fi-FI"/>
        </w:rPr>
        <w:t>Joissain kirjoissa puhutaan myös ns. tulosobjektista, ikään kuin se olisi kaikkien partitiiviobjektien vastapari (esim. Lepäsmaa &amp; Silfverberg 1998: 69–70). Tulosobjektilla viitataan kirjassa ilmeisesti kuitenkin siihen, että tekeminen johtaa lopputulokseen, jolloin tulosobjekti olisi ns. prosessiobjektin vastapari. Esim. Karlssonin (2009: 146) mukaan ”akku</w:t>
      </w:r>
      <w:r w:rsidRPr="00FB4EFA">
        <w:rPr>
          <w:lang w:val="fi-FI"/>
        </w:rPr>
        <w:lastRenderedPageBreak/>
        <w:t>satiivi ilmaisee resultatiivista toimintaa” ja Whiten (2001: 250) mukaan sitä, että ”toiminnalla on tai tulee mahdollisesti olemaan tulos”. Käsitteenä tulosobjekti on ongelmallinen siksikin, että sen voi ymmärtää viittaavan itse objektiin eikä prosessiin. Objektihan voi olla tekemisen tulos, mutta myös tekemisen kohde (vrt. esim. Leino 1991: 37–38).</w:t>
      </w:r>
    </w:p>
    <w:p w14:paraId="21E3A6C3" w14:textId="77777777" w:rsidR="002D1FA6" w:rsidRPr="00FB4EFA" w:rsidRDefault="002D1FA6" w:rsidP="00402EF4">
      <w:pPr>
        <w:ind w:firstLine="720"/>
        <w:rPr>
          <w:lang w:val="fi-FI"/>
        </w:rPr>
      </w:pPr>
      <w:r w:rsidRPr="00FB4EFA">
        <w:rPr>
          <w:lang w:val="fi-FI"/>
        </w:rPr>
        <w:t>Oppijalle hyödyllinen voi olla Larjavaaran (2019: 361) määritelmää mukaillen ajatus siitä, että objektin sija ei ole partitiivi, jos lause ilmaisee sellaista muutosta, joka on saavuttanut päätepisteen eikä voi enää jatkua. Muussa tapauksessa valitaan partitiiviobjekti. Larjavaara puhuu partitiivista ns. avoimen aspektin merkkinä, mutta oppijan kannalta selkeämpi voisi olla avoimen objektin käsite: objekti on (myönteisissä lauseissa) partitiivissa, jos määrä tai lopputulos jätetään avoimeksi. Avoin objekti tulee toki myös kieltolauseisiin: teko tai tapahtuma jää silloin siinä mielessä avoimeksi, että se jää toteutumatta.</w:t>
      </w:r>
    </w:p>
    <w:p w14:paraId="358144E2" w14:textId="7FDC2B23" w:rsidR="002D1FA6" w:rsidRPr="00FB4EFA" w:rsidRDefault="002D1FA6" w:rsidP="00545033">
      <w:pPr>
        <w:pStyle w:val="Heading2"/>
        <w:numPr>
          <w:ilvl w:val="0"/>
          <w:numId w:val="12"/>
        </w:numPr>
        <w:suppressAutoHyphens/>
        <w:spacing w:line="259" w:lineRule="auto"/>
        <w:rPr>
          <w:color w:val="auto"/>
          <w:lang w:val="fi-FI"/>
        </w:rPr>
      </w:pPr>
      <w:r w:rsidRPr="00FB4EFA">
        <w:rPr>
          <w:color w:val="auto"/>
          <w:lang w:val="fi-FI"/>
        </w:rPr>
        <w:t>Jari tulee tankkaamasta autoa – objekti infinitiivi</w:t>
      </w:r>
      <w:r w:rsidR="000D4EBE" w:rsidRPr="00FB4EFA">
        <w:rPr>
          <w:color w:val="auto"/>
          <w:lang w:val="fi-FI"/>
        </w:rPr>
        <w:softHyphen/>
      </w:r>
      <w:r w:rsidRPr="00FB4EFA">
        <w:rPr>
          <w:color w:val="auto"/>
          <w:lang w:val="fi-FI"/>
        </w:rPr>
        <w:t>rakenteessa</w:t>
      </w:r>
    </w:p>
    <w:p w14:paraId="3B3C54DD" w14:textId="0A645D9A" w:rsidR="002D1FA6" w:rsidRPr="00FB4EFA" w:rsidRDefault="002D1FA6" w:rsidP="00402EF4">
      <w:pPr>
        <w:spacing w:after="240"/>
        <w:rPr>
          <w:lang w:val="fi-FI"/>
        </w:rPr>
      </w:pPr>
      <w:r w:rsidRPr="00FB4EFA">
        <w:rPr>
          <w:lang w:val="fi-FI"/>
        </w:rPr>
        <w:t xml:space="preserve">Objektin sijan määräytyminen erilaisissa infinitiivirakenteissa on monella tapaa kirjavaa ja poikkeaa joskus siitä, miten finiittisen verbin objektin sija määräytyy erityisesti aspektuaalisen objektin tapauksessa (vrt. esim. ISK 2004: 890). Larjavaara (2019: 299) jättää erilaisiin infinitiiveihin liittyvät objektit käsittelemättä, sillä alue on hänen mukaansa ”kirjava ja rikas vapaasta vaihtelusta”. Voi helposti kuvitella, että objektit erilaisissa muissa kuin A-infinitiivirakenteissa olisivat oppimateriaaleissa jotenkin marginaalisia, mutta näin ei ole. Itse asiassa MA-infinitiivin inessiivi, elatiivi ja illatiivi tulevat oppikirjoissa esiin melko varhaisessa vaiheessa samoin kuin perusasiat objektistakin. Kuitenkin tuntuu, että juuri </w:t>
      </w:r>
      <w:r w:rsidR="008121FD" w:rsidRPr="00FB4EFA">
        <w:rPr>
          <w:lang w:val="fi-FI"/>
        </w:rPr>
        <w:noBreakHyphen/>
      </w:r>
      <w:r w:rsidRPr="00FB4EFA">
        <w:rPr>
          <w:lang w:val="fi-FI"/>
        </w:rPr>
        <w:t>mAstA-konstruktiota esittelevissä lauseissa ei objekteja juurikaan esiinny. Seuraavat esimerkit (1–3), joissa kaikissa on partitiiviobjekti, ovat kaikki alkeistason oppikirjoista:</w:t>
      </w:r>
    </w:p>
    <w:p w14:paraId="050DD3C7" w14:textId="77777777" w:rsidR="002D1FA6" w:rsidRPr="00FB4EFA" w:rsidRDefault="002D1FA6" w:rsidP="000D4EBE">
      <w:pPr>
        <w:spacing w:line="240" w:lineRule="auto"/>
        <w:ind w:left="1418" w:hanging="709"/>
        <w:rPr>
          <w:lang w:val="fi-FI"/>
        </w:rPr>
      </w:pPr>
      <w:r w:rsidRPr="00FB4EFA">
        <w:rPr>
          <w:lang w:val="fi-FI"/>
        </w:rPr>
        <w:t>(1)</w:t>
      </w:r>
      <w:r w:rsidRPr="00FB4EFA">
        <w:rPr>
          <w:lang w:val="fi-FI"/>
        </w:rPr>
        <w:tab/>
        <w:t>Kaisa tulee torilta. Hän tulee ostamasta kalaa. (Lepäsmaa &amp; Silfverberg 1998: 101)</w:t>
      </w:r>
    </w:p>
    <w:p w14:paraId="7E8220DA" w14:textId="77777777" w:rsidR="002D1FA6" w:rsidRPr="00FB4EFA" w:rsidRDefault="002D1FA6" w:rsidP="000D4EBE">
      <w:pPr>
        <w:spacing w:line="240" w:lineRule="auto"/>
        <w:ind w:left="1418" w:hanging="709"/>
        <w:rPr>
          <w:lang w:val="fi-FI"/>
        </w:rPr>
      </w:pPr>
      <w:r w:rsidRPr="00FB4EFA">
        <w:rPr>
          <w:lang w:val="fi-FI"/>
        </w:rPr>
        <w:t>(2)</w:t>
      </w:r>
      <w:r w:rsidRPr="00FB4EFA">
        <w:rPr>
          <w:lang w:val="fi-FI"/>
        </w:rPr>
        <w:tab/>
        <w:t>Oletko tulossa remontoimasta uutta asuntoasi? (Heikkilä &amp; Majakangas 2008: 154)</w:t>
      </w:r>
    </w:p>
    <w:p w14:paraId="613347CD" w14:textId="77777777" w:rsidR="002D1FA6" w:rsidRPr="00FB4EFA" w:rsidRDefault="002D1FA6" w:rsidP="000D4EBE">
      <w:pPr>
        <w:spacing w:line="240" w:lineRule="auto"/>
        <w:ind w:left="1418" w:hanging="709"/>
        <w:rPr>
          <w:lang w:val="fi-FI"/>
        </w:rPr>
      </w:pPr>
      <w:r w:rsidRPr="00FB4EFA">
        <w:rPr>
          <w:lang w:val="fi-FI"/>
        </w:rPr>
        <w:lastRenderedPageBreak/>
        <w:t>(3)</w:t>
      </w:r>
      <w:r w:rsidRPr="00FB4EFA">
        <w:rPr>
          <w:lang w:val="fi-FI"/>
        </w:rPr>
        <w:tab/>
        <w:t>Jari tulee huoltoasemalta tankkaamasta autoa. [</w:t>
      </w:r>
      <w:r w:rsidRPr="00FB4EFA">
        <w:rPr>
          <w:lang w:val="fi-FI"/>
        </w:rPr>
        <w:sym w:font="Symbol" w:char="F07E"/>
      </w:r>
      <w:r w:rsidRPr="00FB4EFA">
        <w:rPr>
          <w:lang w:val="fi-FI"/>
        </w:rPr>
        <w:t>*auton.] (Gehring &amp; Heinzmann 2012: 105, 317)</w:t>
      </w:r>
    </w:p>
    <w:p w14:paraId="17AE1315" w14:textId="77777777" w:rsidR="002D1FA6" w:rsidRPr="00FB4EFA" w:rsidRDefault="002D1FA6" w:rsidP="00402EF4">
      <w:pPr>
        <w:spacing w:before="240"/>
        <w:rPr>
          <w:lang w:val="fi-FI"/>
        </w:rPr>
      </w:pPr>
      <w:r w:rsidRPr="00FB4EFA">
        <w:rPr>
          <w:lang w:val="fi-FI"/>
        </w:rPr>
        <w:t>Esimerkissä (1) partitiivin motivaatioksi voi periaatteessa ajatella, että objekti tulee partitiiviin, koska se on ns. ainesana. Esimerkkilauseen vieressä on kuitenkin kuva, jossa nainen (Kaisa) tulee torilta kainalossaan yksi iso vonkale. Mahdollista on, että opiskelija tässä kysyy, miksi lauseessa on partitiivi, kun Kaisa kuitenkin osti vain yhden kalan. Esimerkissä (2) partitiivin käyttöä ei oikeastaan voi perustella sillä, että remontoiminen on vielä kesken, sillä partitiiviobjekti tuntuisi lauseessa luontevalta siinäkin tapauksessa, että remontti on valmis. Esimerkkilause (3) puolestaan on hankalampi. Totaaliobjekti (kulmasulkeissa oleva lisäys on omani) tuntuu kielenvastaiselta, vaikka on aivan ilmeistä, että Jari tankkaa auton ja tulee muiden luo vasta sitten, kun saa auton tankattua. Partitiiviehdoista mikään ei täyty, sillä lause on myönteinen, objektin tarkoite ei ole kvantiteetiltaan avoin ja myös tekeminen saavuttaa päätepisteen eli tankkaaminen saadaan valmiiksi.</w:t>
      </w:r>
    </w:p>
    <w:p w14:paraId="0C1EC4C1" w14:textId="77777777" w:rsidR="002D1FA6" w:rsidRPr="00FB4EFA" w:rsidRDefault="002D1FA6" w:rsidP="00AF0CAD">
      <w:pPr>
        <w:ind w:firstLine="720"/>
        <w:rPr>
          <w:lang w:val="fi-FI"/>
        </w:rPr>
      </w:pPr>
      <w:r w:rsidRPr="00FB4EFA">
        <w:rPr>
          <w:lang w:val="fi-FI"/>
        </w:rPr>
        <w:t xml:space="preserve">Esimerkkilause (3) tuli esiin oppitunnilla kirjan tehtäviä tarkistettaessa, kun yksi opiskelijoista aivan perustellusti ihmetteli, miksi ei voi sanoa </w:t>
      </w:r>
      <w:r w:rsidRPr="00FB4EFA">
        <w:rPr>
          <w:i/>
          <w:lang w:val="fi-FI"/>
        </w:rPr>
        <w:t>Jari tulee tankkaamasta *auton</w:t>
      </w:r>
      <w:r w:rsidRPr="00FB4EFA">
        <w:rPr>
          <w:lang w:val="fi-FI"/>
        </w:rPr>
        <w:t xml:space="preserve">. Onhan loppuun saatetun tekemisen ilmaiseminen totaaliobjektin sijalla mahdollista, jopa loogista, monessa muussakin infinitiivirakenteessa, esim. </w:t>
      </w:r>
      <w:r w:rsidRPr="00FB4EFA">
        <w:rPr>
          <w:i/>
          <w:lang w:val="fi-FI"/>
        </w:rPr>
        <w:t xml:space="preserve">Jari menee tankkaamaan auton </w:t>
      </w:r>
      <w:r w:rsidRPr="00FB4EFA">
        <w:rPr>
          <w:i/>
          <w:lang w:val="fi-FI"/>
        </w:rPr>
        <w:sym w:font="Symbol" w:char="F07E"/>
      </w:r>
      <w:r w:rsidRPr="00FB4EFA">
        <w:rPr>
          <w:i/>
          <w:lang w:val="fi-FI"/>
        </w:rPr>
        <w:t xml:space="preserve"> autoa,</w:t>
      </w:r>
      <w:r w:rsidRPr="00FB4EFA">
        <w:rPr>
          <w:lang w:val="fi-FI"/>
        </w:rPr>
        <w:t xml:space="preserve"> </w:t>
      </w:r>
      <w:r w:rsidRPr="00FB4EFA">
        <w:rPr>
          <w:i/>
          <w:lang w:val="fi-FI"/>
        </w:rPr>
        <w:t xml:space="preserve">Jari tuli tankkaamaan auton </w:t>
      </w:r>
      <w:r w:rsidRPr="00FB4EFA">
        <w:rPr>
          <w:i/>
          <w:lang w:val="fi-FI"/>
        </w:rPr>
        <w:sym w:font="Symbol" w:char="F07E"/>
      </w:r>
      <w:r w:rsidRPr="00FB4EFA">
        <w:rPr>
          <w:i/>
          <w:lang w:val="fi-FI"/>
        </w:rPr>
        <w:t xml:space="preserve"> autoa</w:t>
      </w:r>
      <w:r w:rsidRPr="00FB4EFA">
        <w:rPr>
          <w:lang w:val="fi-FI"/>
        </w:rPr>
        <w:t xml:space="preserve">, </w:t>
      </w:r>
      <w:r w:rsidRPr="00FB4EFA">
        <w:rPr>
          <w:i/>
          <w:lang w:val="fi-FI"/>
        </w:rPr>
        <w:t>Jari on tankkaamassa autoa</w:t>
      </w:r>
      <w:r w:rsidRPr="00FB4EFA">
        <w:rPr>
          <w:lang w:val="fi-FI"/>
        </w:rPr>
        <w:t xml:space="preserve">, toisaalta </w:t>
      </w:r>
      <w:r w:rsidRPr="00FB4EFA">
        <w:rPr>
          <w:i/>
          <w:lang w:val="fi-FI"/>
        </w:rPr>
        <w:t xml:space="preserve">Jari käy tankkaamassa auton </w:t>
      </w:r>
      <w:r w:rsidRPr="00FB4EFA">
        <w:rPr>
          <w:i/>
          <w:lang w:val="fi-FI"/>
        </w:rPr>
        <w:sym w:font="Symbol" w:char="F07E"/>
      </w:r>
      <w:r w:rsidRPr="00FB4EFA">
        <w:rPr>
          <w:i/>
          <w:lang w:val="fi-FI"/>
        </w:rPr>
        <w:t xml:space="preserve"> autoa</w:t>
      </w:r>
      <w:r w:rsidRPr="00FB4EFA">
        <w:rPr>
          <w:lang w:val="fi-FI"/>
        </w:rPr>
        <w:t>.</w:t>
      </w:r>
    </w:p>
    <w:p w14:paraId="136ED577" w14:textId="0ACC8B12" w:rsidR="002D1FA6" w:rsidRPr="00FB4EFA" w:rsidRDefault="002D1FA6" w:rsidP="00AF0CAD">
      <w:pPr>
        <w:ind w:firstLine="720"/>
        <w:rPr>
          <w:lang w:val="fi-FI"/>
        </w:rPr>
      </w:pPr>
      <w:r w:rsidRPr="00FB4EFA">
        <w:rPr>
          <w:lang w:val="fi-FI"/>
        </w:rPr>
        <w:t xml:space="preserve">Onko niin, että totaaliobjekti ei missään tapauksessa sovi </w:t>
      </w:r>
      <w:r w:rsidR="000A0B53" w:rsidRPr="00FB4EFA">
        <w:rPr>
          <w:lang w:val="fi-FI"/>
        </w:rPr>
        <w:noBreakHyphen/>
      </w:r>
      <w:r w:rsidRPr="00FB4EFA">
        <w:rPr>
          <w:lang w:val="fi-FI"/>
        </w:rPr>
        <w:t xml:space="preserve">mAstA-konstruktioon? Asia ei varmasti ole näin yksinkertainen (vrt. myös </w:t>
      </w:r>
      <w:r w:rsidR="0033568E" w:rsidRPr="00FB4EFA">
        <w:rPr>
          <w:lang w:val="fi-FI"/>
        </w:rPr>
        <w:br/>
      </w:r>
      <w:r w:rsidRPr="00FB4EFA">
        <w:rPr>
          <w:lang w:val="fi-FI"/>
        </w:rPr>
        <w:t>Larjavaara 2019: 299), mutta opiskelijalle tällaisesta säännöstä voisi olla apua. Kun tarkastelee verbejä, joiden rektioon MA-infinitiivin elatiivi kuuluu (vrt. Jönsson-Korhola &amp; White 1997), huomaa helposti, että näillä verbeillä (</w:t>
      </w:r>
      <w:r w:rsidRPr="00FB4EFA">
        <w:rPr>
          <w:i/>
          <w:lang w:val="fi-FI"/>
        </w:rPr>
        <w:t>tulla</w:t>
      </w:r>
      <w:r w:rsidRPr="00FB4EFA">
        <w:rPr>
          <w:lang w:val="fi-FI"/>
        </w:rPr>
        <w:t>-verbiä lukuun ottamatta) on kieltohakuisuutta ja rakenne itsessään ilmaisee, että toiminta lakkaa tai jää toteutumatta (vrt. ISK 2004: 474). Kuitenkaan se, että toiminta lakkaa, ei kerro mitään siitä, onko toiminta saavuttanut päätepisteen myös objektin tarkoitteen osalta.</w:t>
      </w:r>
    </w:p>
    <w:p w14:paraId="1DFFF64C" w14:textId="2F9CA96F" w:rsidR="002D1FA6" w:rsidRPr="00FB4EFA" w:rsidRDefault="002D1FA6" w:rsidP="00AF0CAD">
      <w:pPr>
        <w:ind w:firstLine="720"/>
        <w:rPr>
          <w:lang w:val="fi-FI"/>
        </w:rPr>
      </w:pPr>
      <w:r w:rsidRPr="00FB4EFA">
        <w:rPr>
          <w:lang w:val="fi-FI"/>
        </w:rPr>
        <w:t>Larjavaara (2019: 299) selittää rakenteen partitiiviobjektin ns. prosessiivisella moodilla, jollaista on [infinitiivirakenteissa] eniten havaittavissa MA-infinitiivin elatiivin ja abessiivin objekteissa. MA-</w:t>
      </w:r>
      <w:r w:rsidRPr="00FB4EFA">
        <w:rPr>
          <w:lang w:val="fi-FI"/>
        </w:rPr>
        <w:lastRenderedPageBreak/>
        <w:t xml:space="preserve">infinitiivin elatiivin kuvaamaa toimintaa tarkastellaan siis (Larjavaaran mukaan) prosessiivisesta näkökulmasta, jossa tapahtuminen nähdään ilman päätepistettään, kuten lauseessa </w:t>
      </w:r>
      <w:r w:rsidRPr="00FB4EFA">
        <w:rPr>
          <w:i/>
          <w:lang w:val="fi-FI"/>
        </w:rPr>
        <w:t>Kesällä kirjoitin sitä gradua</w:t>
      </w:r>
      <w:r w:rsidRPr="00FB4EFA">
        <w:rPr>
          <w:lang w:val="fi-FI"/>
        </w:rPr>
        <w:t xml:space="preserve"> </w:t>
      </w:r>
      <w:r w:rsidR="0033568E" w:rsidRPr="00FB4EFA">
        <w:rPr>
          <w:lang w:val="fi-FI"/>
        </w:rPr>
        <w:br/>
      </w:r>
      <w:r w:rsidRPr="00FB4EFA">
        <w:rPr>
          <w:lang w:val="fi-FI"/>
        </w:rPr>
        <w:t xml:space="preserve">(Larjavaara 2019: 265). Myös Penttilä (1963: 592) mainitsee, että objekti on tällaisessa rakenteessa ”aina partiaalinen [––] silloinkin, kun tekeminen on itse asiassa täyttynyt, esim. </w:t>
      </w:r>
      <w:r w:rsidRPr="00FB4EFA">
        <w:rPr>
          <w:i/>
          <w:lang w:val="fi-FI"/>
        </w:rPr>
        <w:t>Oltiin tulossa isäntää hautaamasta.</w:t>
      </w:r>
      <w:r w:rsidRPr="00FB4EFA">
        <w:rPr>
          <w:lang w:val="fi-FI"/>
        </w:rPr>
        <w:t xml:space="preserve">” Larjavaara (2019: 299–300) listaa koko joukon esimerkkejä erilaisista ”rakennetyyppisistä prosessiivisista poikkeusmoodeista”, joissa partitiivi voi herkästi korvautua totaalisijalla, esim. </w:t>
      </w:r>
      <w:r w:rsidRPr="00FB4EFA">
        <w:rPr>
          <w:i/>
          <w:lang w:val="fi-FI"/>
        </w:rPr>
        <w:t>Tulen tappamasta sinun miestäsi ja lapsiasi [</w:t>
      </w:r>
      <w:r w:rsidRPr="00FB4EFA">
        <w:rPr>
          <w:i/>
          <w:lang w:val="fi-FI"/>
        </w:rPr>
        <w:sym w:font="Symbol" w:char="F07E"/>
      </w:r>
      <w:r w:rsidRPr="00FB4EFA">
        <w:rPr>
          <w:i/>
          <w:lang w:val="fi-FI"/>
        </w:rPr>
        <w:t>sinun miehesi ja lapsesi.]</w:t>
      </w:r>
      <w:r w:rsidRPr="00FB4EFA">
        <w:rPr>
          <w:lang w:val="fi-FI"/>
        </w:rPr>
        <w:t xml:space="preserve"> (Kulmasulkeissa oleva lisäys on Larjavaaran). Ainakin tässä rakenteessa prosessiivinen tarkastelu tuntuu oudolta varsinkin, jos verbin ilmaisema toiminta on punktuaalista (vrt. esim. </w:t>
      </w:r>
      <w:r w:rsidRPr="00FB4EFA">
        <w:rPr>
          <w:i/>
          <w:lang w:val="fi-FI"/>
        </w:rPr>
        <w:t>Jari tulee rikkomasta ikkunaa</w:t>
      </w:r>
      <w:r w:rsidRPr="00FB4EFA">
        <w:rPr>
          <w:lang w:val="fi-FI"/>
        </w:rPr>
        <w:t>.).</w:t>
      </w:r>
    </w:p>
    <w:p w14:paraId="7F9880B2" w14:textId="77777777" w:rsidR="002D1FA6" w:rsidRPr="00FB4EFA" w:rsidRDefault="002D1FA6" w:rsidP="00545033">
      <w:pPr>
        <w:pStyle w:val="Heading2"/>
        <w:suppressAutoHyphens/>
        <w:spacing w:line="259" w:lineRule="auto"/>
        <w:rPr>
          <w:color w:val="auto"/>
          <w:lang w:val="fi-FI"/>
        </w:rPr>
      </w:pPr>
      <w:r w:rsidRPr="00FB4EFA">
        <w:rPr>
          <w:color w:val="auto"/>
          <w:lang w:val="fi-FI"/>
        </w:rPr>
        <w:t>Lopuksi</w:t>
      </w:r>
    </w:p>
    <w:p w14:paraId="188E2A9F" w14:textId="77777777" w:rsidR="002D1FA6" w:rsidRPr="00FB4EFA" w:rsidRDefault="002D1FA6" w:rsidP="00402EF4">
      <w:pPr>
        <w:rPr>
          <w:lang w:val="fi-FI"/>
        </w:rPr>
      </w:pPr>
      <w:r w:rsidRPr="00FB4EFA">
        <w:rPr>
          <w:lang w:val="fi-FI"/>
        </w:rPr>
        <w:t>Tässä artikkelissa olen pyrkinyt havainnollistamaan muutamien oppimateriaalien avulla erityisesti sitä, miten suomenoppija tutustuu partitiivin käyttöön. Valitut esimerkit osoittavat, että partitiivin eri funktioita on harjoiteltu lähes samassa järjestyksessä jo vuosikymmeniä. On tärkeää, että suomenoppijalle syntyy peruskäsitys siitä, mitä kaikkea partitiivisijalla ilmaistaan, ja tätä taustaa vasten vakiintunut opetusjärjestys tuntuu perustellulta. Opittujen funktioiden varaan on mahdollista rakentaa oppijalle käyttökelpoisia sääntöjä partitiivin käyttöön, mutta on syytä korostaa, että lausetyyppien välillä partitiivin käytössä on myös eroja. Kun puhutaan objektin sijavalinnasta, pedagogisesti järkevintä on sulkea pois partitiivin mahdollisuus, kuten asia on pedagogisissa kieliopeissa perinteisesti esitetty.</w:t>
      </w:r>
    </w:p>
    <w:p w14:paraId="2105D647" w14:textId="77777777" w:rsidR="002D1FA6" w:rsidRPr="00FB4EFA" w:rsidRDefault="002D1FA6" w:rsidP="00402EF4">
      <w:pPr>
        <w:ind w:firstLine="720"/>
        <w:rPr>
          <w:lang w:val="fi-FI"/>
        </w:rPr>
      </w:pPr>
      <w:r w:rsidRPr="00FB4EFA">
        <w:rPr>
          <w:lang w:val="fi-FI"/>
        </w:rPr>
        <w:t>Oma tärkeä tehtävänsä vaikean asian havainnollistamisessa on myös opetuksessa käytetyllä terminologialla, jota olen tässä artikkelissa pyrkinyt nostamaan keskusteluun siitä syystä, että tässä suhteessa oppimateriaalit näyttävät eroavan toisistaan.</w:t>
      </w:r>
    </w:p>
    <w:p w14:paraId="77FA2454" w14:textId="77777777" w:rsidR="002D1FA6" w:rsidRPr="00FB4EFA" w:rsidRDefault="002D1FA6" w:rsidP="00AF0CAD">
      <w:pPr>
        <w:ind w:firstLine="720"/>
        <w:rPr>
          <w:lang w:val="fi-FI"/>
        </w:rPr>
      </w:pPr>
      <w:r w:rsidRPr="00FB4EFA">
        <w:rPr>
          <w:lang w:val="fi-FI"/>
        </w:rPr>
        <w:t xml:space="preserve">Epämääräisyydestä puhuminen kvantiteetin (tai määrän) yhteydessä saattaa harhauttaa opiskelijaa. Selkeämpää olisi puhua partitiivista avoimen määrän merkkinä. Tässä yhteydessä partitiivin käyttöä harjoitellaan yleensä ns. aine- ja abstraktisanoilla, koska monikkomuotoja ei </w:t>
      </w:r>
      <w:r w:rsidRPr="00FB4EFA">
        <w:rPr>
          <w:lang w:val="fi-FI"/>
        </w:rPr>
        <w:lastRenderedPageBreak/>
        <w:t xml:space="preserve">ole vielä opetettu, mutta mukaan sopii ottaa myös joitakin sellaisia sanoja, joita oppija kohtaa monikon partitiivissa usein muutenkin (esim. </w:t>
      </w:r>
      <w:r w:rsidRPr="00FB4EFA">
        <w:rPr>
          <w:i/>
          <w:lang w:val="fi-FI"/>
        </w:rPr>
        <w:t>oliiveja</w:t>
      </w:r>
      <w:r w:rsidRPr="00FB4EFA">
        <w:rPr>
          <w:lang w:val="fi-FI"/>
        </w:rPr>
        <w:t xml:space="preserve">, </w:t>
      </w:r>
      <w:r w:rsidRPr="00FB4EFA">
        <w:rPr>
          <w:i/>
          <w:lang w:val="fi-FI"/>
        </w:rPr>
        <w:t>lihapullia</w:t>
      </w:r>
      <w:r w:rsidRPr="00FB4EFA">
        <w:rPr>
          <w:lang w:val="fi-FI"/>
        </w:rPr>
        <w:t>, vrt. edellä), havainnollistamaan sitä, mitä avoin määrä kokonaisuudessaan tarkoittaa.</w:t>
      </w:r>
    </w:p>
    <w:p w14:paraId="52508FBE" w14:textId="77777777" w:rsidR="002D1FA6" w:rsidRPr="00FB4EFA" w:rsidRDefault="002D1FA6" w:rsidP="00402EF4">
      <w:pPr>
        <w:ind w:firstLine="720"/>
        <w:rPr>
          <w:lang w:val="fi-FI"/>
        </w:rPr>
      </w:pPr>
      <w:r w:rsidRPr="00FB4EFA">
        <w:rPr>
          <w:lang w:val="fi-FI"/>
        </w:rPr>
        <w:t>Ns. prosessiobjektin käsite on opetuksessa tarpeellinen, joskaan ei aivan ongelmaton. Pedagogisesti haasteellista on, että prosessiobjektin vastaparilta puuttuu käyttökelpoinen nimitys. Olen esittänyt edellä, että opetuksessa voisi puhua myös ns. avoimesta objektista. Partitiivia käytetään, kun määrä tai toiminnan lopputulos jätetään avoimeksi. Partitiivia ei käytetä, jos lauseessa on tapahtunut sellainen muutos, joka ei voi enää jatkua. Oppijalle voi lisäksi korostaa, että prosessiobjektia ei käytetä tieto- ja havaintoverbien eikä staattista tilaa ilmaisevien verbien yhteydessä.</w:t>
      </w:r>
    </w:p>
    <w:p w14:paraId="77A75525" w14:textId="77777777" w:rsidR="002D1FA6" w:rsidRPr="00FB4EFA" w:rsidRDefault="002D1FA6" w:rsidP="00402EF4">
      <w:pPr>
        <w:ind w:firstLine="720"/>
        <w:rPr>
          <w:lang w:val="fi-FI"/>
        </w:rPr>
      </w:pPr>
      <w:r w:rsidRPr="00FB4EFA">
        <w:rPr>
          <w:lang w:val="fi-FI"/>
        </w:rPr>
        <w:t>Jos suomenoppijalta kysytään, mikä suomen oppimisessa on vaikeinta, vastaus on yleensä partitiivi. Monitahoisesta asiasta on vaikea tehdä yksinkertaista ja havainnollista, vaikka sitä on sinnikkäästi yritetty niin kielentutkimuksessa, pedagogisissa kieliopeissa kuin oppimateriaaleissakin. Opettajalla, erilaisissa kieliopeissa ja oppimateriaaleissakin on oltava yleiskuva siitä, millä ehdoin partitiivisija määräytyy. Varsinkin objektin tapauksessa säännöstö on niin runsas, että kaikkea ei voi opettaa tai oppia kerralla eikä massiivinen säännöstö voi olla opetuksen lähtökohta.</w:t>
      </w:r>
    </w:p>
    <w:p w14:paraId="697A6693" w14:textId="77777777" w:rsidR="002D1FA6" w:rsidRPr="00FB4EFA" w:rsidRDefault="002D1FA6" w:rsidP="00312ECF">
      <w:pPr>
        <w:pStyle w:val="Heading2"/>
        <w:suppressAutoHyphens/>
        <w:spacing w:line="259" w:lineRule="auto"/>
        <w:rPr>
          <w:color w:val="auto"/>
          <w:lang w:val="de-DE"/>
        </w:rPr>
      </w:pPr>
      <w:r w:rsidRPr="00FB4EFA">
        <w:rPr>
          <w:color w:val="auto"/>
          <w:lang w:val="de-DE"/>
        </w:rPr>
        <w:t>Lähteet</w:t>
      </w:r>
    </w:p>
    <w:p w14:paraId="17BDF23E" w14:textId="77777777" w:rsidR="002D1FA6" w:rsidRPr="00FB4EFA" w:rsidRDefault="002D1FA6" w:rsidP="0033568E">
      <w:pPr>
        <w:keepNext/>
        <w:suppressAutoHyphens/>
        <w:spacing w:line="240" w:lineRule="auto"/>
        <w:ind w:left="426" w:hanging="426"/>
        <w:jc w:val="left"/>
        <w:rPr>
          <w:rFonts w:eastAsia="Times New Roman" w:cs="Times New Roman"/>
          <w:lang w:val="de-DE"/>
        </w:rPr>
      </w:pPr>
      <w:r w:rsidRPr="00FB4EFA">
        <w:rPr>
          <w:rFonts w:eastAsia="Times New Roman" w:cs="Times New Roman"/>
          <w:lang w:val="de-DE"/>
        </w:rPr>
        <w:t xml:space="preserve">Buchholz, Eva. 2004. </w:t>
      </w:r>
      <w:r w:rsidRPr="00FB4EFA">
        <w:rPr>
          <w:rFonts w:eastAsia="Times New Roman" w:cs="Times New Roman"/>
          <w:i/>
          <w:iCs/>
          <w:lang w:val="de-DE"/>
        </w:rPr>
        <w:t>Grammatik der finnischen Sprache</w:t>
      </w:r>
      <w:r w:rsidRPr="00FB4EFA">
        <w:rPr>
          <w:rFonts w:eastAsia="Times New Roman" w:cs="Times New Roman"/>
          <w:lang w:val="de-DE"/>
        </w:rPr>
        <w:t>. Bremen: Hempen Verlag.</w:t>
      </w:r>
    </w:p>
    <w:p w14:paraId="6D02EA05" w14:textId="77777777" w:rsidR="002D1FA6" w:rsidRPr="00FB4EFA" w:rsidRDefault="002D1FA6" w:rsidP="0033568E">
      <w:pPr>
        <w:keepNext/>
        <w:suppressAutoHyphens/>
        <w:spacing w:line="240" w:lineRule="auto"/>
        <w:ind w:left="426" w:hanging="426"/>
        <w:jc w:val="left"/>
        <w:rPr>
          <w:rFonts w:eastAsia="Times New Roman" w:cs="Times New Roman"/>
          <w:lang w:val="fi-FI"/>
        </w:rPr>
      </w:pPr>
      <w:r w:rsidRPr="00FB4EFA">
        <w:rPr>
          <w:rFonts w:eastAsia="Times New Roman" w:cs="Times New Roman"/>
          <w:lang w:val="de-DE"/>
        </w:rPr>
        <w:t xml:space="preserve">Gehring, Sonja &amp; Sanni Heinzmann. </w:t>
      </w:r>
      <w:r w:rsidRPr="00FB4EFA">
        <w:rPr>
          <w:rFonts w:eastAsia="Times New Roman" w:cs="Times New Roman"/>
          <w:lang w:val="fi-FI"/>
        </w:rPr>
        <w:t xml:space="preserve">2012. </w:t>
      </w:r>
      <w:r w:rsidRPr="00FB4EFA">
        <w:rPr>
          <w:rFonts w:eastAsia="Times New Roman" w:cs="Times New Roman"/>
          <w:i/>
          <w:iCs/>
          <w:lang w:val="fi-FI"/>
        </w:rPr>
        <w:t>Suomen mestari 2</w:t>
      </w:r>
      <w:r w:rsidRPr="00FB4EFA">
        <w:rPr>
          <w:rFonts w:eastAsia="Times New Roman" w:cs="Times New Roman"/>
          <w:lang w:val="fi-FI"/>
        </w:rPr>
        <w:t>. Helsinki: Finn Lectura.</w:t>
      </w:r>
    </w:p>
    <w:p w14:paraId="23D8B62F" w14:textId="77777777" w:rsidR="002D1FA6" w:rsidRPr="00FB4EFA" w:rsidRDefault="002D1FA6" w:rsidP="0033568E">
      <w:pPr>
        <w:keepNext/>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Gehring, Sonja &amp; Sanni Heinzmann. 2020. </w:t>
      </w:r>
      <w:r w:rsidRPr="00FB4EFA">
        <w:rPr>
          <w:rFonts w:eastAsia="Times New Roman" w:cs="Times New Roman"/>
          <w:i/>
          <w:iCs/>
          <w:lang w:val="fi-FI"/>
        </w:rPr>
        <w:t>Suomen mestari 1</w:t>
      </w:r>
      <w:r w:rsidRPr="00FB4EFA">
        <w:rPr>
          <w:rFonts w:eastAsia="Times New Roman" w:cs="Times New Roman"/>
          <w:lang w:val="fi-FI"/>
        </w:rPr>
        <w:t>. Helsinki: Finn Lectura.</w:t>
      </w:r>
    </w:p>
    <w:p w14:paraId="4BD1DFFF" w14:textId="77777777" w:rsidR="002D1FA6" w:rsidRPr="00FB4EFA" w:rsidRDefault="002D1FA6" w:rsidP="0033568E">
      <w:pPr>
        <w:keepNext/>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Heikkilä, Satu &amp; Pirkko Majakangas. 2008. </w:t>
      </w:r>
      <w:r w:rsidRPr="00FB4EFA">
        <w:rPr>
          <w:rFonts w:eastAsia="Times New Roman" w:cs="Times New Roman"/>
          <w:i/>
          <w:iCs/>
          <w:lang w:val="fi-FI"/>
        </w:rPr>
        <w:t>Hyvin menee 1. Suomea aikuisille</w:t>
      </w:r>
      <w:r w:rsidRPr="00FB4EFA">
        <w:rPr>
          <w:rFonts w:eastAsia="Times New Roman" w:cs="Times New Roman"/>
          <w:lang w:val="fi-FI"/>
        </w:rPr>
        <w:t>. Helsinki: Otava.</w:t>
      </w:r>
    </w:p>
    <w:p w14:paraId="4D8B18F2"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Huumo, Tuomas. 2006. Kvantiteetti ja aika I. Nominaalisen aspektin näkökulma suomen objektin ja subjektin sijamerkintään. </w:t>
      </w:r>
      <w:r w:rsidRPr="00FB4EFA">
        <w:rPr>
          <w:rFonts w:eastAsia="Times New Roman" w:cs="Times New Roman"/>
          <w:i/>
          <w:lang w:val="fi-FI"/>
        </w:rPr>
        <w:t xml:space="preserve">Virittäjä </w:t>
      </w:r>
      <w:r w:rsidRPr="00FB4EFA">
        <w:rPr>
          <w:rFonts w:eastAsia="Times New Roman" w:cs="Times New Roman"/>
          <w:iCs/>
          <w:lang w:val="fi-FI"/>
        </w:rPr>
        <w:t>110.</w:t>
      </w:r>
      <w:r w:rsidRPr="00FB4EFA">
        <w:rPr>
          <w:rFonts w:eastAsia="Times New Roman" w:cs="Times New Roman"/>
          <w:lang w:val="fi-FI"/>
        </w:rPr>
        <w:t xml:space="preserve"> 504–538.</w:t>
      </w:r>
    </w:p>
    <w:p w14:paraId="6C48D78D" w14:textId="520873B0" w:rsidR="002D1FA6" w:rsidRPr="00FB4EFA" w:rsidRDefault="002D1FA6" w:rsidP="0033568E">
      <w:pPr>
        <w:keepLines/>
        <w:suppressAutoHyphens/>
        <w:spacing w:line="240" w:lineRule="auto"/>
        <w:ind w:left="425" w:hanging="425"/>
        <w:jc w:val="left"/>
        <w:rPr>
          <w:rFonts w:eastAsia="Times New Roman" w:cs="Times New Roman"/>
          <w:lang w:val="fi-FI"/>
        </w:rPr>
      </w:pPr>
      <w:r w:rsidRPr="00FB4EFA">
        <w:rPr>
          <w:rFonts w:eastAsia="Times New Roman" w:cs="Times New Roman"/>
          <w:lang w:val="fi-FI"/>
        </w:rPr>
        <w:lastRenderedPageBreak/>
        <w:t xml:space="preserve">ISK 2004 = </w:t>
      </w:r>
      <w:r w:rsidR="00054818" w:rsidRPr="00FB4EFA">
        <w:rPr>
          <w:rFonts w:eastAsia="Times New Roman" w:cs="Times New Roman"/>
          <w:lang w:val="fi-FI"/>
        </w:rPr>
        <w:t xml:space="preserve">Auli </w:t>
      </w:r>
      <w:r w:rsidRPr="00FB4EFA">
        <w:rPr>
          <w:rFonts w:eastAsia="Times New Roman" w:cs="Times New Roman"/>
          <w:lang w:val="fi-FI"/>
        </w:rPr>
        <w:t xml:space="preserve">Hakulinen, Maria Vilkuna, Riitta Korhonen, Vesa Koivisto, Tarja Riitta Heinonen &amp; Irja Alho. </w:t>
      </w:r>
      <w:r w:rsidRPr="00FB4EFA">
        <w:rPr>
          <w:rFonts w:eastAsia="Times New Roman" w:cs="Times New Roman"/>
          <w:i/>
          <w:iCs/>
          <w:lang w:val="fi-FI"/>
        </w:rPr>
        <w:t>Iso suomen kielioppi</w:t>
      </w:r>
      <w:r w:rsidRPr="00FB4EFA">
        <w:rPr>
          <w:rFonts w:eastAsia="Times New Roman" w:cs="Times New Roman"/>
          <w:lang w:val="fi-FI"/>
        </w:rPr>
        <w:t>. Suomalaisen kirjallisuuden seuran toimituksia 950. Helsinki: SKS.</w:t>
      </w:r>
    </w:p>
    <w:p w14:paraId="41821BAE" w14:textId="3041426B"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Jönsson–Korhola, Hannele &amp; Leila White.</w:t>
      </w:r>
      <w:r w:rsidR="005F2E6A" w:rsidRPr="00FB4EFA">
        <w:rPr>
          <w:rFonts w:eastAsia="Times New Roman" w:cs="Times New Roman"/>
          <w:lang w:val="fi-FI"/>
        </w:rPr>
        <w:t xml:space="preserve"> </w:t>
      </w:r>
      <w:r w:rsidRPr="00FB4EFA">
        <w:rPr>
          <w:rFonts w:eastAsia="Times New Roman" w:cs="Times New Roman"/>
          <w:lang w:val="fi-FI"/>
        </w:rPr>
        <w:t xml:space="preserve">1997. </w:t>
      </w:r>
      <w:r w:rsidRPr="00FB4EFA">
        <w:rPr>
          <w:rFonts w:eastAsia="Times New Roman" w:cs="Times New Roman"/>
          <w:i/>
          <w:iCs/>
          <w:lang w:val="fi-FI"/>
        </w:rPr>
        <w:t>Tarkista tästä. Suomen sanojen rektioita suomea vieraana kielenä opiskeleville</w:t>
      </w:r>
      <w:r w:rsidRPr="00FB4EFA">
        <w:rPr>
          <w:rFonts w:eastAsia="Times New Roman" w:cs="Times New Roman"/>
          <w:lang w:val="fi-FI"/>
        </w:rPr>
        <w:t>. Helsinki: Finn Lectura.</w:t>
      </w:r>
    </w:p>
    <w:p w14:paraId="376CCBF0"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Karlsson, Fred. 2009. </w:t>
      </w:r>
      <w:r w:rsidRPr="00FB4EFA">
        <w:rPr>
          <w:rFonts w:eastAsia="Times New Roman" w:cs="Times New Roman"/>
          <w:i/>
          <w:iCs/>
          <w:lang w:val="fi-FI"/>
        </w:rPr>
        <w:t xml:space="preserve">Suomen peruskielioppi. </w:t>
      </w:r>
      <w:r w:rsidRPr="00FB4EFA">
        <w:rPr>
          <w:rFonts w:eastAsia="Times New Roman" w:cs="Times New Roman"/>
          <w:lang w:val="fi-FI"/>
        </w:rPr>
        <w:t>Neljäs, laajennettu ja uudistettu painos. Suomalaisen kirjallisuuden seuran toimituksia 378. Helsinki: SKS.</w:t>
      </w:r>
    </w:p>
    <w:p w14:paraId="63D874FA"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Kenttälä, Marjukka. 2007. </w:t>
      </w:r>
      <w:r w:rsidRPr="00FB4EFA">
        <w:rPr>
          <w:rFonts w:eastAsia="Times New Roman" w:cs="Times New Roman"/>
          <w:i/>
          <w:iCs/>
          <w:lang w:val="fi-FI"/>
        </w:rPr>
        <w:t>Suomi sujuvaksi 1</w:t>
      </w:r>
      <w:r w:rsidRPr="00FB4EFA">
        <w:rPr>
          <w:rFonts w:eastAsia="Times New Roman" w:cs="Times New Roman"/>
          <w:lang w:val="fi-FI"/>
        </w:rPr>
        <w:t>. Helsinki: Gaudeamus.</w:t>
      </w:r>
    </w:p>
    <w:p w14:paraId="020C7CE8"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Kenttälä, Marjukka. 2012. </w:t>
      </w:r>
      <w:r w:rsidRPr="00FB4EFA">
        <w:rPr>
          <w:rFonts w:eastAsia="Times New Roman" w:cs="Times New Roman"/>
          <w:i/>
          <w:iCs/>
          <w:lang w:val="fi-FI"/>
        </w:rPr>
        <w:t>Suomi sujuvaksi 2</w:t>
      </w:r>
      <w:r w:rsidRPr="00FB4EFA">
        <w:rPr>
          <w:rFonts w:eastAsia="Times New Roman" w:cs="Times New Roman"/>
          <w:lang w:val="fi-FI"/>
        </w:rPr>
        <w:t>. Helsinki: Gaudeamus.</w:t>
      </w:r>
    </w:p>
    <w:p w14:paraId="34207AD7"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Larjavaara, Matti. 2019. </w:t>
      </w:r>
      <w:r w:rsidRPr="00FB4EFA">
        <w:rPr>
          <w:rFonts w:eastAsia="Times New Roman" w:cs="Times New Roman"/>
          <w:i/>
          <w:iCs/>
          <w:lang w:val="fi-FI"/>
        </w:rPr>
        <w:t>Partitiivin valinta</w:t>
      </w:r>
      <w:r w:rsidRPr="00FB4EFA">
        <w:rPr>
          <w:rFonts w:eastAsia="Times New Roman" w:cs="Times New Roman"/>
          <w:lang w:val="fi-FI"/>
        </w:rPr>
        <w:t>. Suomalaisen kirjallisuuden seuran toimituksia 1455. Helsinki: SKS.</w:t>
      </w:r>
    </w:p>
    <w:p w14:paraId="5D156A8A"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Lauranto, Yrjö. 1995. </w:t>
      </w:r>
      <w:r w:rsidRPr="00FB4EFA">
        <w:rPr>
          <w:rFonts w:eastAsia="Times New Roman" w:cs="Times New Roman"/>
          <w:i/>
          <w:iCs/>
          <w:lang w:val="fi-FI"/>
        </w:rPr>
        <w:t>Elämän suolaa</w:t>
      </w:r>
      <w:r w:rsidRPr="00FB4EFA">
        <w:rPr>
          <w:rFonts w:eastAsia="Times New Roman" w:cs="Times New Roman"/>
          <w:lang w:val="fi-FI"/>
        </w:rPr>
        <w:t>. Suomen kielen alkeita 1. Kielikeskusmateriaalia n:o 112. Jyväskylän yliopisto: Soveltavan kielentutkimuksen keskus.</w:t>
      </w:r>
    </w:p>
    <w:p w14:paraId="19A51836"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Leino, Pentti. 1991. </w:t>
      </w:r>
      <w:r w:rsidRPr="00FB4EFA">
        <w:rPr>
          <w:rFonts w:eastAsia="Times New Roman" w:cs="Times New Roman"/>
          <w:i/>
          <w:iCs/>
          <w:lang w:val="fi-FI"/>
        </w:rPr>
        <w:t>Lauseet ja tilanteet. Suomen objektin ongelmia</w:t>
      </w:r>
      <w:r w:rsidRPr="00FB4EFA">
        <w:rPr>
          <w:rFonts w:eastAsia="Times New Roman" w:cs="Times New Roman"/>
          <w:lang w:val="fi-FI"/>
        </w:rPr>
        <w:t>. Suomi 160. Helsinki: SKS.</w:t>
      </w:r>
    </w:p>
    <w:p w14:paraId="6D9E8E8E"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Lepäsmaa, Anna-Liisa &amp; Leena Silfverberg. 1998. </w:t>
      </w:r>
      <w:r w:rsidRPr="00FB4EFA">
        <w:rPr>
          <w:rFonts w:eastAsia="Times New Roman" w:cs="Times New Roman"/>
          <w:i/>
          <w:iCs/>
          <w:lang w:val="fi-FI"/>
        </w:rPr>
        <w:t>Suomen kielen alkeisoppikirja</w:t>
      </w:r>
      <w:r w:rsidRPr="00FB4EFA">
        <w:rPr>
          <w:rFonts w:eastAsia="Times New Roman" w:cs="Times New Roman"/>
          <w:lang w:val="fi-FI"/>
        </w:rPr>
        <w:t>. Helsinki: Finn Lectura.</w:t>
      </w:r>
    </w:p>
    <w:p w14:paraId="76CFCD9A"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Nuutinen, Olli. 1979. </w:t>
      </w:r>
      <w:r w:rsidRPr="00FB4EFA">
        <w:rPr>
          <w:rFonts w:eastAsia="Times New Roman" w:cs="Times New Roman"/>
          <w:i/>
          <w:iCs/>
          <w:lang w:val="fi-FI"/>
        </w:rPr>
        <w:t>Suomea suomeksi 1</w:t>
      </w:r>
      <w:r w:rsidRPr="00FB4EFA">
        <w:rPr>
          <w:rFonts w:eastAsia="Times New Roman" w:cs="Times New Roman"/>
          <w:lang w:val="fi-FI"/>
        </w:rPr>
        <w:t>. Helsinki: SKS.</w:t>
      </w:r>
    </w:p>
    <w:p w14:paraId="1D0F7C11"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Penttilä, Aarni. 1963. </w:t>
      </w:r>
      <w:r w:rsidRPr="00FB4EFA">
        <w:rPr>
          <w:rFonts w:eastAsia="Times New Roman" w:cs="Times New Roman"/>
          <w:i/>
          <w:iCs/>
          <w:lang w:val="fi-FI"/>
        </w:rPr>
        <w:t>Suomen kielioppi</w:t>
      </w:r>
      <w:r w:rsidRPr="00FB4EFA">
        <w:rPr>
          <w:rFonts w:eastAsia="Times New Roman" w:cs="Times New Roman"/>
          <w:lang w:val="fi-FI"/>
        </w:rPr>
        <w:t>. Helsinki: WSOY.</w:t>
      </w:r>
    </w:p>
    <w:p w14:paraId="76175A09" w14:textId="77777777" w:rsidR="002D1FA6" w:rsidRPr="00FB4EFA" w:rsidRDefault="002D1FA6" w:rsidP="0033568E">
      <w:pPr>
        <w:suppressAutoHyphens/>
        <w:spacing w:line="240" w:lineRule="auto"/>
        <w:ind w:left="426" w:hanging="426"/>
        <w:jc w:val="left"/>
        <w:rPr>
          <w:rFonts w:eastAsia="Times New Roman" w:cs="Times New Roman"/>
          <w:lang w:val="fi-FI"/>
        </w:rPr>
      </w:pPr>
      <w:r w:rsidRPr="00FB4EFA">
        <w:rPr>
          <w:rFonts w:eastAsia="Times New Roman" w:cs="Times New Roman"/>
          <w:lang w:val="fi-FI"/>
        </w:rPr>
        <w:t xml:space="preserve">Vilkuna, Maria. 1996. </w:t>
      </w:r>
      <w:r w:rsidRPr="00FB4EFA">
        <w:rPr>
          <w:rFonts w:eastAsia="Times New Roman" w:cs="Times New Roman"/>
          <w:i/>
          <w:iCs/>
          <w:lang w:val="fi-FI"/>
        </w:rPr>
        <w:t>Suomen lauseopin perusteet</w:t>
      </w:r>
      <w:r w:rsidRPr="00FB4EFA">
        <w:rPr>
          <w:rFonts w:eastAsia="Times New Roman" w:cs="Times New Roman"/>
          <w:lang w:val="fi-FI"/>
        </w:rPr>
        <w:t>. Kotimaisten kielten tutkimuskeskuksen julkaisuja 90. Helsinki: Edita.</w:t>
      </w:r>
    </w:p>
    <w:p w14:paraId="6694AD00" w14:textId="1EAE9787" w:rsidR="00A96E85" w:rsidRPr="00FB4EFA" w:rsidRDefault="002D1FA6" w:rsidP="0033568E">
      <w:pPr>
        <w:suppressAutoHyphens/>
        <w:spacing w:line="240" w:lineRule="auto"/>
        <w:ind w:left="426" w:hanging="426"/>
        <w:jc w:val="left"/>
      </w:pPr>
      <w:r w:rsidRPr="00FB4EFA">
        <w:rPr>
          <w:rFonts w:eastAsia="Times New Roman" w:cs="Times New Roman"/>
          <w:lang w:val="fi-FI"/>
        </w:rPr>
        <w:t xml:space="preserve">White, Leila. 2001. </w:t>
      </w:r>
      <w:r w:rsidRPr="00FB4EFA">
        <w:rPr>
          <w:rFonts w:eastAsia="Times New Roman" w:cs="Times New Roman"/>
          <w:i/>
          <w:iCs/>
          <w:lang w:val="fi-FI"/>
        </w:rPr>
        <w:t>Suomen kielioppia ulkomaalaisille</w:t>
      </w:r>
      <w:r w:rsidRPr="00FB4EFA">
        <w:rPr>
          <w:rFonts w:eastAsia="Times New Roman" w:cs="Times New Roman"/>
          <w:lang w:val="fi-FI"/>
        </w:rPr>
        <w:t>. 4., uudistettu painos. Helsinki: Finn Lectura.</w:t>
      </w:r>
    </w:p>
    <w:p w14:paraId="70BDBE27" w14:textId="77777777" w:rsidR="00A96E85" w:rsidRPr="00FB4EFA" w:rsidRDefault="00A96E85" w:rsidP="00402EF4">
      <w:pPr>
        <w:spacing w:after="160"/>
        <w:jc w:val="center"/>
        <w:rPr>
          <w:smallCaps/>
          <w:sz w:val="48"/>
          <w:szCs w:val="48"/>
        </w:rPr>
        <w:sectPr w:rsidR="00A96E85" w:rsidRPr="00FB4EFA">
          <w:headerReference w:type="even" r:id="rId303"/>
          <w:headerReference w:type="default" r:id="rId304"/>
          <w:headerReference w:type="first" r:id="rId305"/>
          <w:footnotePr>
            <w:numRestart w:val="eachSect"/>
          </w:footnotePr>
          <w:pgSz w:w="9180" w:h="13302"/>
          <w:pgMar w:top="779" w:right="1133" w:bottom="1132" w:left="1133" w:header="744" w:footer="720" w:gutter="0"/>
          <w:cols w:space="720"/>
          <w:titlePg/>
        </w:sectPr>
      </w:pPr>
    </w:p>
    <w:p w14:paraId="3A34C040" w14:textId="77777777" w:rsidR="00A96E85" w:rsidRPr="00FB4EFA" w:rsidRDefault="00A96E85" w:rsidP="00AF0CAD">
      <w:pPr>
        <w:pStyle w:val="Authors"/>
        <w:spacing w:line="259" w:lineRule="auto"/>
        <w:rPr>
          <w:color w:val="auto"/>
          <w:lang w:val="de-AT"/>
        </w:rPr>
      </w:pPr>
      <w:bookmarkStart w:id="73" w:name="_Hlk94366223"/>
      <w:r w:rsidRPr="00FB4EFA">
        <w:rPr>
          <w:color w:val="auto"/>
          <w:lang w:val="de-AT"/>
        </w:rPr>
        <w:lastRenderedPageBreak/>
        <w:t>Ilona Kivinen</w:t>
      </w:r>
    </w:p>
    <w:p w14:paraId="14C02840" w14:textId="77777777" w:rsidR="00A96E85" w:rsidRPr="00FB4EFA" w:rsidRDefault="00A96E85" w:rsidP="00402EF4"/>
    <w:p w14:paraId="658B9DBA" w14:textId="77777777" w:rsidR="004C7142" w:rsidRPr="00FB4EFA" w:rsidRDefault="004C7142" w:rsidP="00AC1192">
      <w:pPr>
        <w:pStyle w:val="Heading1"/>
        <w:suppressAutoHyphens/>
        <w:spacing w:line="259" w:lineRule="auto"/>
        <w:ind w:right="74"/>
        <w:rPr>
          <w:color w:val="auto"/>
          <w:lang w:val="fi-FI"/>
        </w:rPr>
      </w:pPr>
      <w:bookmarkStart w:id="74" w:name="_Toc87547008"/>
      <w:bookmarkStart w:id="75" w:name="_Ref90999637"/>
      <w:bookmarkStart w:id="76" w:name="_Toc87547009"/>
      <w:bookmarkStart w:id="77" w:name="_Ref90999641"/>
      <w:r w:rsidRPr="00FB4EFA">
        <w:rPr>
          <w:color w:val="auto"/>
          <w:lang w:val="fi-FI"/>
        </w:rPr>
        <w:t>Huomio kielisukulaisuuteen! – Havaintoja kielenoppimisstrategioista ja kielihistorian hyödyntämisestä saamenopetuksessa</w:t>
      </w:r>
      <w:bookmarkEnd w:id="74"/>
      <w:bookmarkEnd w:id="75"/>
      <w:r w:rsidRPr="00FB4EFA">
        <w:rPr>
          <w:b/>
          <w:bCs/>
          <w:color w:val="auto"/>
          <w:vertAlign w:val="superscript"/>
          <w:lang w:val="fi-FI"/>
        </w:rPr>
        <w:footnoteReference w:id="75"/>
      </w:r>
    </w:p>
    <w:p w14:paraId="04E7339B" w14:textId="77777777" w:rsidR="00C60F2E" w:rsidRPr="00FB4EFA" w:rsidRDefault="00C60F2E" w:rsidP="00545033">
      <w:pPr>
        <w:pStyle w:val="Heading2"/>
        <w:suppressAutoHyphens/>
        <w:spacing w:line="259" w:lineRule="auto"/>
        <w:rPr>
          <w:color w:val="auto"/>
          <w:lang w:val="fi-FI"/>
        </w:rPr>
      </w:pPr>
      <w:bookmarkStart w:id="78" w:name="_Hlk95147655"/>
      <w:bookmarkEnd w:id="73"/>
      <w:r w:rsidRPr="00FB4EFA">
        <w:rPr>
          <w:color w:val="auto"/>
          <w:u w:color="000000"/>
          <w:lang w:val="fi-FI"/>
        </w:rPr>
        <w:t>Johdanto</w:t>
      </w:r>
    </w:p>
    <w:p w14:paraId="403C526D" w14:textId="77777777" w:rsidR="00C60F2E" w:rsidRPr="00FB4EFA" w:rsidRDefault="00C60F2E" w:rsidP="00402EF4">
      <w:pPr>
        <w:rPr>
          <w:lang w:val="fi-FI"/>
        </w:rPr>
      </w:pPr>
      <w:bookmarkStart w:id="79" w:name="_Hlk95147696"/>
      <w:r w:rsidRPr="00FB4EFA">
        <w:rPr>
          <w:lang w:val="fi-FI"/>
        </w:rPr>
        <w:t>Juhlakalu Johanna Laakso on Facebookin kielipalstojen ahkera auttaja ja kommentoija. Näillä palstoilla huokuu kielihistoriallisen tiedon puute ja toisaalta tarve suomen kielen ”omituisuuksien”, kuten erilaisten taivutusjärjestelmien ymmärtämiseksi, ja tätä on Laakso puinut blogissaankin (ks. esim. Laakso 2017). Laakso (2015) on pohdiskellut kielisukulaisuuden merkitystä uralilaisten kielten opettamisessa ja todennut, ettei kielihistorian hyödyntämisestä kielenopetuksessa ole kirjoitettu juuri mitään. Tässä artikkelissa pohdin, miten kielihistoriaa voi hyödyntää kielenopetuksessa yliopistotasolla ja miten aiemmin opitut kielet vaikuttavat saamen oppimiseen. Hypoteesini on, että kielihistoria voi auttaa sukukielen oppimisessa silloinkin, kun kyse ei ole läheisestä sukukielestä, ja että aiemmin opittujen kielten rakenteita yritetään soveltaa pohjoissaameen. Tämä pieni katsaus konkreettisesta näkökulmasta on samalla jonkinlainen vastaus Laakson artikkeliin.</w:t>
      </w:r>
      <w:bookmarkEnd w:id="79"/>
    </w:p>
    <w:p w14:paraId="623B2435" w14:textId="6D9305ED" w:rsidR="00C60F2E" w:rsidRPr="00FB4EFA" w:rsidRDefault="00067053" w:rsidP="00402EF4">
      <w:pPr>
        <w:ind w:firstLine="709"/>
        <w:rPr>
          <w:lang w:val="fi-FI"/>
        </w:rPr>
      </w:pPr>
      <w:r w:rsidRPr="00FB4EFA">
        <w:rPr>
          <w:lang w:val="fi-FI"/>
        </w:rPr>
        <w:t>Tämä a</w:t>
      </w:r>
      <w:r w:rsidR="00C60F2E" w:rsidRPr="00FB4EFA">
        <w:rPr>
          <w:lang w:val="fi-FI"/>
        </w:rPr>
        <w:t xml:space="preserve">rtikkeli pohjautuu omiin havaintohini opetuksessa ja vuonna 2017 tekemääni pieneen kyselyyn vuoden verran pohjoissaamea opiskelleille yliopisto-opiskelijoille. Tarkoitus on ollut jatkaa kyselyn tekemistä myös tulevaisuudessa ja hyödyntää kielihistorian tuntemuksen mahdollisuuksia kielenopetuksessa, mutta olen huomannut, </w:t>
      </w:r>
      <w:r w:rsidR="00816329" w:rsidRPr="00FB4EFA">
        <w:rPr>
          <w:lang w:val="fi-FI"/>
        </w:rPr>
        <w:t>ettei kielihistorian hyödyntäminen kaikkien ryhmien kanssa onnistu</w:t>
      </w:r>
      <w:r w:rsidR="00C60F2E" w:rsidRPr="00FB4EFA">
        <w:rPr>
          <w:lang w:val="fi-FI"/>
        </w:rPr>
        <w:t>. Jos ryhmässä ei ole kielihistoriasta kiinnostuneita opiskelijoita, eivät kielihistorian kysymykset ja pohdinnat nouse esiin. Tästä syystä julkaisen tässä tekemäni kyselyn tulokset, vaikka olenkin tietoinen, että aineisto on pieni ja voidaan puhua korkeintaan pilottikyselystä.</w:t>
      </w:r>
    </w:p>
    <w:p w14:paraId="11E900D0" w14:textId="77777777" w:rsidR="00C60F2E" w:rsidRPr="00FB4EFA" w:rsidRDefault="00C60F2E" w:rsidP="00545033">
      <w:pPr>
        <w:pStyle w:val="Heading2"/>
        <w:suppressAutoHyphens/>
        <w:spacing w:line="259" w:lineRule="auto"/>
        <w:rPr>
          <w:color w:val="auto"/>
          <w:lang w:val="fi-FI"/>
        </w:rPr>
      </w:pPr>
      <w:r w:rsidRPr="00FB4EFA">
        <w:rPr>
          <w:color w:val="auto"/>
          <w:u w:color="000000"/>
          <w:lang w:val="fi-FI"/>
        </w:rPr>
        <w:lastRenderedPageBreak/>
        <w:t>Taustaa</w:t>
      </w:r>
    </w:p>
    <w:p w14:paraId="32D0F332" w14:textId="77777777" w:rsidR="00C60F2E" w:rsidRPr="00FB4EFA" w:rsidRDefault="00C60F2E" w:rsidP="00402EF4">
      <w:pPr>
        <w:rPr>
          <w:lang w:val="fi-FI"/>
        </w:rPr>
      </w:pPr>
      <w:r w:rsidRPr="00FB4EFA">
        <w:rPr>
          <w:lang w:val="fi-FI"/>
        </w:rPr>
        <w:t>Kielihistorian opetuksesta kouluissa on kirjoitettu jonkin verran 1920-luvulla (Rapola 1923), kun taas 1960-luvulla jopa kielioppitermistö haluttiin heittää romukoppaan (Itkonen 1968: 109; Rättyä 2014: 2). Peruskoulussa kielihistoria ei enää kuulu opetussuunnitelmaan, mutta osana kielitiedon opettamista sen palauttaminen voisi olla mahdollista. Tästä ei kuitenkaan ole käyty keskustelua, vaan kielitiedon opettaminen kouluissa sisältää lähinnä käsitteistöä ja vähäisessä määrin kielten vertailua (ks. esim. Harmanen 2011).</w:t>
      </w:r>
    </w:p>
    <w:p w14:paraId="150E9185" w14:textId="0B829359" w:rsidR="00C60F2E" w:rsidRPr="00FB4EFA" w:rsidRDefault="00C60F2E" w:rsidP="00AF0CAD">
      <w:pPr>
        <w:ind w:firstLine="709"/>
        <w:rPr>
          <w:lang w:val="fi-FI"/>
        </w:rPr>
      </w:pPr>
      <w:r w:rsidRPr="00FB4EFA">
        <w:rPr>
          <w:lang w:val="fi-FI"/>
        </w:rPr>
        <w:t xml:space="preserve">Kielihistorian hyödyntäminen helpottaa kielten sukulaisuuksien hahmottamista, selittää kielen epäsäännöllisyyksiä ja näin ollen vastaa usein kysymykseen, miksi jokin on tietyllä tavalla (esimerkiksi sanojen taivutuksen epäsäännöllisyydet). Kielihistoriallinen lähtökohta </w:t>
      </w:r>
      <w:r w:rsidR="0033568E" w:rsidRPr="00FB4EFA">
        <w:rPr>
          <w:lang w:val="fi-FI"/>
        </w:rPr>
        <w:br/>
      </w:r>
      <w:r w:rsidRPr="00FB4EFA">
        <w:rPr>
          <w:lang w:val="fi-FI"/>
        </w:rPr>
        <w:t xml:space="preserve">kielenopetuksessa voi tukea analyyttista oppimistapaa (Arteaga &amp; </w:t>
      </w:r>
      <w:r w:rsidR="0033568E" w:rsidRPr="00FB4EFA">
        <w:rPr>
          <w:lang w:val="fi-FI"/>
        </w:rPr>
        <w:br/>
      </w:r>
      <w:r w:rsidRPr="00FB4EFA">
        <w:rPr>
          <w:lang w:val="fi-FI"/>
        </w:rPr>
        <w:t>Herschensohn 1995: 213), mikä tukisi kielenoppijoita, jotka eivät enää opi kieltä vain matkimalla pikkulasten tapaan. Yleisemmin kielitieto opettaisi hahmottamaan kielen oppimismalleja, jotka nyt ovat intuitiivisia ja jopa haitaksi, kun opetellaan muita kuin keskenään varsin lähisukuisia (germaanisia) kieliä. Kielitietoon olisikin hyvä ottaa mukaan yläkoulusta lähtien hieman kielten sukulaisuussuhteita ja historiaa, jotta kielenoppimisen mallit tulisivat oppijoille näkyvämmiksi.</w:t>
      </w:r>
    </w:p>
    <w:p w14:paraId="6AF15250" w14:textId="72F19355" w:rsidR="00C60F2E" w:rsidRPr="00FB4EFA" w:rsidRDefault="00C60F2E" w:rsidP="00AF0CAD">
      <w:pPr>
        <w:ind w:firstLine="709"/>
        <w:rPr>
          <w:lang w:val="fi-FI"/>
        </w:rPr>
      </w:pPr>
      <w:r w:rsidRPr="00FB4EFA">
        <w:rPr>
          <w:lang w:val="fi-FI"/>
        </w:rPr>
        <w:t>Kielihistorian hyödyntäminen saamen kielen opetuksessa tarkoittaa käytännössä pitkälti suomen ja saamen vertailua, mutta toisaalta myös kurkistusta suomen kielen historiaan. Vaikka saame ja suomi eivät ole lähisukukieliä</w:t>
      </w:r>
      <w:r w:rsidRPr="00FB4EFA">
        <w:rPr>
          <w:vertAlign w:val="superscript"/>
          <w:lang w:val="fi-FI"/>
        </w:rPr>
        <w:footnoteReference w:id="76"/>
      </w:r>
      <w:r w:rsidRPr="00FB4EFA">
        <w:rPr>
          <w:lang w:val="fi-FI"/>
        </w:rPr>
        <w:t xml:space="preserve">, niillä on paljon säännönmukaisia yhtäläisyyksiä. Saamen sanataivutuksen ja astevaihtelun poikkeuksia lienee helpompi muistaa, jos ne </w:t>
      </w:r>
      <w:r w:rsidR="00816329" w:rsidRPr="00FB4EFA">
        <w:rPr>
          <w:lang w:val="fi-FI"/>
        </w:rPr>
        <w:t xml:space="preserve">yhdistää </w:t>
      </w:r>
      <w:r w:rsidRPr="00FB4EFA">
        <w:rPr>
          <w:lang w:val="fi-FI"/>
        </w:rPr>
        <w:t xml:space="preserve">kielihistoriaan ja suomen vastaavuuksiin. Sanaston opettelussakin voisi hyödyntää säännöllisiä äännevastaavuuksia, kuten että suomen </w:t>
      </w:r>
      <w:r w:rsidRPr="00FB4EFA">
        <w:rPr>
          <w:i/>
          <w:iCs/>
          <w:lang w:val="fi-FI"/>
        </w:rPr>
        <w:t>i:</w:t>
      </w:r>
      <w:r w:rsidRPr="00FB4EFA">
        <w:rPr>
          <w:lang w:val="fi-FI"/>
        </w:rPr>
        <w:t xml:space="preserve">tä vastaa pohjoissaamessa </w:t>
      </w:r>
      <w:r w:rsidRPr="00FB4EFA">
        <w:rPr>
          <w:i/>
          <w:iCs/>
          <w:lang w:val="fi-FI"/>
        </w:rPr>
        <w:t>a (</w:t>
      </w:r>
      <w:r w:rsidRPr="00FB4EFA">
        <w:rPr>
          <w:lang w:val="fi-FI"/>
        </w:rPr>
        <w:t xml:space="preserve">esim. sm. </w:t>
      </w:r>
      <w:r w:rsidRPr="00FB4EFA">
        <w:rPr>
          <w:i/>
          <w:iCs/>
          <w:lang w:val="fi-FI"/>
        </w:rPr>
        <w:t xml:space="preserve">uusi </w:t>
      </w:r>
      <w:r w:rsidRPr="00FB4EFA">
        <w:rPr>
          <w:lang w:val="fi-FI"/>
        </w:rPr>
        <w:t xml:space="preserve">= saaP </w:t>
      </w:r>
      <w:r w:rsidRPr="00FB4EFA">
        <w:rPr>
          <w:i/>
          <w:iCs/>
          <w:lang w:val="fi-FI"/>
        </w:rPr>
        <w:t>ođđa</w:t>
      </w:r>
      <w:r w:rsidRPr="00FB4EFA">
        <w:rPr>
          <w:lang w:val="fi-FI"/>
        </w:rPr>
        <w:t xml:space="preserve">) ja suomen </w:t>
      </w:r>
      <w:r w:rsidRPr="00FB4EFA">
        <w:rPr>
          <w:i/>
          <w:iCs/>
          <w:lang w:val="fi-FI"/>
        </w:rPr>
        <w:t>a</w:t>
      </w:r>
      <w:r w:rsidRPr="00FB4EFA">
        <w:rPr>
          <w:lang w:val="fi-FI"/>
        </w:rPr>
        <w:t xml:space="preserve">:ta ensimmäisessä tavussa diftongi </w:t>
      </w:r>
      <w:r w:rsidRPr="00FB4EFA">
        <w:rPr>
          <w:i/>
          <w:iCs/>
          <w:lang w:val="fi-FI"/>
        </w:rPr>
        <w:t>uo</w:t>
      </w:r>
      <w:r w:rsidRPr="00FB4EFA">
        <w:rPr>
          <w:lang w:val="fi-FI"/>
        </w:rPr>
        <w:t xml:space="preserve"> ja toisessa tavussa </w:t>
      </w:r>
      <w:r w:rsidRPr="00FB4EFA">
        <w:rPr>
          <w:i/>
          <w:iCs/>
          <w:lang w:val="fi-FI"/>
        </w:rPr>
        <w:t xml:space="preserve">i </w:t>
      </w:r>
      <w:r w:rsidRPr="00FB4EFA">
        <w:rPr>
          <w:lang w:val="fi-FI"/>
        </w:rPr>
        <w:lastRenderedPageBreak/>
        <w:t xml:space="preserve">(esim. sm. </w:t>
      </w:r>
      <w:r w:rsidRPr="00FB4EFA">
        <w:rPr>
          <w:i/>
          <w:iCs/>
          <w:lang w:val="fi-FI"/>
        </w:rPr>
        <w:t xml:space="preserve">kala </w:t>
      </w:r>
      <w:r w:rsidRPr="00FB4EFA">
        <w:rPr>
          <w:lang w:val="fi-FI"/>
        </w:rPr>
        <w:t xml:space="preserve">= saaP </w:t>
      </w:r>
      <w:r w:rsidRPr="00FB4EFA">
        <w:rPr>
          <w:i/>
          <w:iCs/>
          <w:lang w:val="fi-FI"/>
        </w:rPr>
        <w:t>guolli</w:t>
      </w:r>
      <w:r w:rsidRPr="00FB4EFA">
        <w:rPr>
          <w:lang w:val="fi-FI"/>
        </w:rPr>
        <w:t>). Tätä metodia saamenkielisetkin ovat käyttäneet lainatessaan itämerensuomesta sanoja saameen</w:t>
      </w:r>
      <w:r w:rsidRPr="00FB4EFA">
        <w:rPr>
          <w:vertAlign w:val="superscript"/>
          <w:lang w:val="fi-FI"/>
        </w:rPr>
        <w:footnoteReference w:id="77"/>
      </w:r>
      <w:r w:rsidRPr="00FB4EFA">
        <w:rPr>
          <w:lang w:val="fi-FI"/>
        </w:rPr>
        <w:t xml:space="preserve">, esim. saaP </w:t>
      </w:r>
      <w:r w:rsidRPr="00FB4EFA">
        <w:rPr>
          <w:i/>
          <w:iCs/>
          <w:lang w:val="fi-FI"/>
        </w:rPr>
        <w:t>haddi</w:t>
      </w:r>
      <w:r w:rsidRPr="00FB4EFA">
        <w:rPr>
          <w:lang w:val="fi-FI"/>
        </w:rPr>
        <w:t xml:space="preserve"> &lt; sm. </w:t>
      </w:r>
      <w:r w:rsidRPr="00FB4EFA">
        <w:rPr>
          <w:i/>
          <w:iCs/>
          <w:lang w:val="fi-FI"/>
        </w:rPr>
        <w:t>hinta</w:t>
      </w:r>
      <w:r w:rsidRPr="00FB4EFA">
        <w:rPr>
          <w:lang w:val="fi-FI"/>
        </w:rPr>
        <w:t xml:space="preserve"> (Korhonen 1981: 38).</w:t>
      </w:r>
    </w:p>
    <w:p w14:paraId="46EFAD57" w14:textId="49C35DDC" w:rsidR="00C60F2E" w:rsidRPr="00FB4EFA" w:rsidRDefault="00C60F2E" w:rsidP="00402EF4">
      <w:pPr>
        <w:ind w:firstLine="709"/>
        <w:rPr>
          <w:lang w:val="fi-FI"/>
        </w:rPr>
      </w:pPr>
      <w:r w:rsidRPr="00FB4EFA">
        <w:rPr>
          <w:lang w:val="fi-FI"/>
        </w:rPr>
        <w:t xml:space="preserve">Helsingin yliopistossa pohjoissaamen kursseille osallistuu monen eri alan opiskelijoita humanisteista luonnontieteilijöihin. Tämä on tyypillistä myös muiden yliopistojen kieliopinnoille (Laakso 2015: 179). </w:t>
      </w:r>
      <w:r w:rsidR="0033568E" w:rsidRPr="00FB4EFA">
        <w:rPr>
          <w:lang w:val="fi-FI"/>
        </w:rPr>
        <w:br/>
      </w:r>
      <w:r w:rsidRPr="00FB4EFA">
        <w:rPr>
          <w:lang w:val="fi-FI"/>
        </w:rPr>
        <w:t xml:space="preserve">Saamenopiskelijoiden oppimismotivaatio myös vaihtelee, ja kaikki neljä pohjoissaamen kurssia suorittavia on melko vähän, vaikka ensimmäisen kurssin suorittaa vuosittain yli 20 opiskelijaa. </w:t>
      </w:r>
      <w:r w:rsidR="00816329" w:rsidRPr="00FB4EFA">
        <w:rPr>
          <w:lang w:val="fi-FI"/>
        </w:rPr>
        <w:t xml:space="preserve">Jotkut haluavat </w:t>
      </w:r>
      <w:r w:rsidRPr="00FB4EFA">
        <w:rPr>
          <w:lang w:val="fi-FI"/>
        </w:rPr>
        <w:t>oppimaan käytännön kieltä, kun taas toisilla kiinnostus koskee enemmänkin kielen rakennetta ja suhdetta muihin suomalais-ugrilaisiin kieliin. Toisinaan on haastavaa opettaa kieltä näin heterogeeniselle ryhmälle, etenkin kun opettaja itse on kielitieteilijä. Monet kokevat jo peruskoulussa ja lukiossa opitun kieliopin peruskäsitteistön, kuten sanaluokat, kielitieteellisenä hapatuksena. Tämä tuntuu hieman oudolta, koska jotenkin kielen ilmiöitä pitää nimetä, jotta niistä pystyy ylipäätään puhumaan. Toisaalta myös Englannissa suomea pitkään opettanut Hannele Branch (viitteenä Laakso 2015: 183) on todennut, että opiskelijat olettavat kielenoppimisen tapahtuvan itsekseen luokkahuoneessa ja pettyvät, kun opeteltavana on paljon kielioppia. Samaistun täysin Branchin huomautukseen.</w:t>
      </w:r>
    </w:p>
    <w:p w14:paraId="73D9BA32" w14:textId="270CC752" w:rsidR="00C60F2E" w:rsidRPr="00FB4EFA" w:rsidRDefault="00C60F2E" w:rsidP="00AF0CAD">
      <w:pPr>
        <w:ind w:firstLine="709"/>
        <w:rPr>
          <w:lang w:val="fi-FI"/>
        </w:rPr>
      </w:pPr>
      <w:r w:rsidRPr="00FB4EFA">
        <w:rPr>
          <w:lang w:val="fi-FI"/>
        </w:rPr>
        <w:t xml:space="preserve">Moni </w:t>
      </w:r>
      <w:r w:rsidR="00816329" w:rsidRPr="00FB4EFA">
        <w:rPr>
          <w:lang w:val="fi-FI"/>
        </w:rPr>
        <w:t xml:space="preserve">kurssilleni </w:t>
      </w:r>
      <w:r w:rsidRPr="00FB4EFA">
        <w:rPr>
          <w:lang w:val="fi-FI"/>
        </w:rPr>
        <w:t xml:space="preserve">saapuva opiskelee saamea ensimmäisenä suomensukuisena kielenä. Tämä seikka tuo esiin ongelmat etenkin sen suhteen, että vieraan kielen oppimisen mallit tulevat germaanisista kielistä, joita peruskoulussa ja lukiossa enimmäkseen opiskellaan (englanti, ruotsi, joillakin saksa). Suomen kielen interferenssiä saamenoppijoiden kielessä on kyllä käsitelty (esim. Länsman 2009; Dominczak 2020), mutta muiden kielten interferenssistä saamenoppijoilla puhutaan harvemmin (ks. kuitenkin esim. Outakoski, 2015; Dominczak 2020). Outakosken ja Dominczakin tutkimuksissa on tarkasteltu lähinnä L1-kielen interferenssiä, kun taas tässä artikkelissa käsittelen L2-kiel(t)en vaikutusta saamenoppimiseen. Tähän teoreettista taustaa tarjoaa erityisesti Falkin ja Bardelin (2010) katsaus tutkimuksiin, jotka koskevat L2-kielten vaikutusta L3-kielen oppimisstrategioihin. Tutkimuksissa on </w:t>
      </w:r>
      <w:r w:rsidR="00816329" w:rsidRPr="00FB4EFA">
        <w:rPr>
          <w:lang w:val="fi-FI"/>
        </w:rPr>
        <w:t>havaittu</w:t>
      </w:r>
      <w:r w:rsidRPr="00FB4EFA">
        <w:rPr>
          <w:lang w:val="fi-FI"/>
        </w:rPr>
        <w:t>, että kielenoppimiseen vaikuttavat oman äidinkielen (L1) lisäksi muut aiem</w:t>
      </w:r>
      <w:r w:rsidRPr="00FB4EFA">
        <w:rPr>
          <w:lang w:val="fi-FI"/>
        </w:rPr>
        <w:lastRenderedPageBreak/>
        <w:t xml:space="preserve">min opitut kielet (L2), ja tämä artikkeli tukee tätä havaintoa. Myös </w:t>
      </w:r>
      <w:r w:rsidR="0033568E" w:rsidRPr="00FB4EFA">
        <w:rPr>
          <w:lang w:val="fi-FI"/>
        </w:rPr>
        <w:br/>
      </w:r>
      <w:r w:rsidRPr="00FB4EFA">
        <w:rPr>
          <w:lang w:val="fi-FI"/>
        </w:rPr>
        <w:t>Dominczak (2020: v) toteaa, että saamenoppijoiden kielellinen tausta vaikuttaa kielenoppimiseen.</w:t>
      </w:r>
      <w:r w:rsidRPr="00FB4EFA">
        <w:rPr>
          <w:vertAlign w:val="superscript"/>
          <w:lang w:val="fi-FI"/>
        </w:rPr>
        <w:footnoteReference w:id="78"/>
      </w:r>
    </w:p>
    <w:p w14:paraId="02C8F6F8" w14:textId="77777777" w:rsidR="00C60F2E" w:rsidRPr="00FB4EFA" w:rsidRDefault="00C60F2E" w:rsidP="00AF0CAD">
      <w:pPr>
        <w:ind w:firstLine="426"/>
        <w:rPr>
          <w:lang w:val="fi-FI"/>
        </w:rPr>
      </w:pPr>
      <w:r w:rsidRPr="00FB4EFA">
        <w:rPr>
          <w:lang w:val="fi-FI"/>
        </w:rPr>
        <w:t xml:space="preserve">Lähisukukieliä suomea ja viroa on vertailtu kielenoppimisen kannalta runsaastikin (esim. Viilukas 2010), ja tämän tiimoilta on syntynyt kokonainen julkaisusarja </w:t>
      </w:r>
      <w:r w:rsidRPr="00FB4EFA">
        <w:rPr>
          <w:rFonts w:eastAsia="Charis SIL" w:cs="Charis SIL"/>
          <w:i/>
          <w:iCs/>
          <w:lang w:val="fi-FI"/>
        </w:rPr>
        <w:t>Lähivertailuja</w:t>
      </w:r>
      <w:r w:rsidRPr="00FB4EFA">
        <w:rPr>
          <w:lang w:val="fi-FI"/>
        </w:rPr>
        <w:t>, jota Viron soveltavan kielitieteen yhdistys julkaisee säännöllisesti (historiikkia ks. Remes 2020). Myös viron kielen kieliopit ja oppikirjat vertailevat suomen ja viron rakenteita. Esimerkiksi Reet Kasikin (1991) viron oppikirjan alussa on vertailtu suomea ja viroa seuraavasti:</w:t>
      </w:r>
    </w:p>
    <w:p w14:paraId="72B743A9" w14:textId="77777777" w:rsidR="00C60F2E" w:rsidRPr="00FB4EFA" w:rsidRDefault="00C60F2E" w:rsidP="00AF0CAD">
      <w:pPr>
        <w:spacing w:before="240"/>
        <w:ind w:left="709"/>
        <w:rPr>
          <w:lang w:val="fi-FI"/>
        </w:rPr>
      </w:pPr>
      <w:r w:rsidRPr="00FB4EFA">
        <w:rPr>
          <w:lang w:val="fi-FI"/>
        </w:rPr>
        <w:t xml:space="preserve">su. </w:t>
      </w:r>
      <w:r w:rsidRPr="00FB4EFA">
        <w:rPr>
          <w:i/>
          <w:iCs/>
          <w:lang w:val="fi-FI"/>
        </w:rPr>
        <w:t>Järven vedessä nähtiin kaloja</w:t>
      </w:r>
      <w:r w:rsidRPr="00FB4EFA">
        <w:rPr>
          <w:lang w:val="fi-FI"/>
        </w:rPr>
        <w:t>.</w:t>
      </w:r>
    </w:p>
    <w:p w14:paraId="7BAB93BE" w14:textId="77777777" w:rsidR="00C60F2E" w:rsidRPr="00FB4EFA" w:rsidRDefault="00C60F2E" w:rsidP="00AF0CAD">
      <w:pPr>
        <w:spacing w:after="240"/>
        <w:ind w:left="709"/>
        <w:rPr>
          <w:lang w:val="fi-FI"/>
        </w:rPr>
      </w:pPr>
      <w:r w:rsidRPr="00FB4EFA">
        <w:rPr>
          <w:lang w:val="fi-FI"/>
        </w:rPr>
        <w:t xml:space="preserve">vi. </w:t>
      </w:r>
      <w:r w:rsidRPr="00FB4EFA">
        <w:rPr>
          <w:i/>
          <w:iCs/>
          <w:lang w:val="fi-FI"/>
        </w:rPr>
        <w:t>Järve vees nähti kalu</w:t>
      </w:r>
      <w:r w:rsidRPr="00FB4EFA">
        <w:rPr>
          <w:lang w:val="fi-FI"/>
        </w:rPr>
        <w:t>.</w:t>
      </w:r>
    </w:p>
    <w:p w14:paraId="004FDFC8" w14:textId="77777777" w:rsidR="00C60F2E" w:rsidRPr="00FB4EFA" w:rsidRDefault="00C60F2E" w:rsidP="00402EF4">
      <w:pPr>
        <w:rPr>
          <w:lang w:val="fi-FI"/>
        </w:rPr>
      </w:pPr>
      <w:r w:rsidRPr="00FB4EFA">
        <w:rPr>
          <w:lang w:val="fi-FI"/>
        </w:rPr>
        <w:t>Inarinsaamen oppimiskokemuksista ja kirjallisesta käytöstä on vastikään kirjoitettu (Olthuis ym. 2021) ja siinä on käsitelty myös kirjoittajien kielellisiä haasteita sekä äidinkielisiksi että ei-äidinkielisiksi identifioituvilla</w:t>
      </w:r>
      <w:r w:rsidRPr="00FB4EFA">
        <w:rPr>
          <w:vertAlign w:val="superscript"/>
          <w:lang w:val="fi-FI"/>
        </w:rPr>
        <w:footnoteReference w:id="79"/>
      </w:r>
      <w:r w:rsidRPr="00FB4EFA">
        <w:rPr>
          <w:lang w:val="fi-FI"/>
        </w:rPr>
        <w:t>. Olthuisin ym. tutkimus pohjautuu haastatteluihin, ja niihin vastanneet kokivat erityisesti sanaston ja sanojen taivuttamisen haastaviksi oppia ja muistaa. Samoja haasteita kielenoppijoilla mainitsee myös Laakso (2015: 184).</w:t>
      </w:r>
    </w:p>
    <w:p w14:paraId="1348A399" w14:textId="77777777" w:rsidR="00C60F2E" w:rsidRPr="00FB4EFA" w:rsidRDefault="00C60F2E" w:rsidP="00AF0CAD">
      <w:pPr>
        <w:ind w:firstLine="709"/>
        <w:rPr>
          <w:lang w:val="fi-FI"/>
        </w:rPr>
      </w:pPr>
      <w:r w:rsidRPr="00FB4EFA">
        <w:rPr>
          <w:lang w:val="fi-FI"/>
        </w:rPr>
        <w:t xml:space="preserve">Pohjoissaamen oppikirjamateriaaleissa vertailuja suomeen näkee melko vähän. Suosituin yliopistokäytössä oleva kirjasarja on Helmi Länsmanin </w:t>
      </w:r>
      <w:r w:rsidRPr="00FB4EFA">
        <w:rPr>
          <w:rFonts w:eastAsia="Charis SIL" w:cs="Charis SIL"/>
          <w:i/>
          <w:iCs/>
          <w:lang w:val="fi-FI"/>
        </w:rPr>
        <w:t xml:space="preserve">Cealkke dearvvuođaid! </w:t>
      </w:r>
      <w:r w:rsidRPr="00FB4EFA">
        <w:rPr>
          <w:lang w:val="fi-FI"/>
        </w:rPr>
        <w:t>(2006), joka soveltuu parhaiten lukioon ja kansalaisopistoon, mutta huonohkosti nopeasti etenevään opetukseen, jota yliopistossa pyritään tarjoamaan. Kyseisessä kirjasarjassa ei juurikaan kiinnitetä huomiota suomen ja saamen eroavaisuuksiin tai yhtäläisyyksiin, vaan ne näkyvät käännöksissä.</w:t>
      </w:r>
    </w:p>
    <w:p w14:paraId="64B8D0F0" w14:textId="77777777" w:rsidR="00C60F2E" w:rsidRPr="00FB4EFA" w:rsidRDefault="00C60F2E" w:rsidP="00545033">
      <w:pPr>
        <w:pStyle w:val="Heading2"/>
        <w:suppressAutoHyphens/>
        <w:rPr>
          <w:color w:val="auto"/>
          <w:lang w:val="fi-FI"/>
        </w:rPr>
      </w:pPr>
      <w:r w:rsidRPr="00FB4EFA">
        <w:rPr>
          <w:color w:val="auto"/>
          <w:lang w:val="fi-FI"/>
        </w:rPr>
        <w:lastRenderedPageBreak/>
        <w:t>L2-kielten vaikutus saamenoppimiseen</w:t>
      </w:r>
    </w:p>
    <w:p w14:paraId="213483C7" w14:textId="77777777" w:rsidR="00C60F2E" w:rsidRPr="00FB4EFA" w:rsidRDefault="00C60F2E" w:rsidP="00402EF4">
      <w:pPr>
        <w:rPr>
          <w:lang w:val="fi-FI"/>
        </w:rPr>
      </w:pPr>
      <w:r w:rsidRPr="00FB4EFA">
        <w:rPr>
          <w:lang w:val="fi-FI"/>
        </w:rPr>
        <w:t>Suomen kouluissa valtaosa oppilaista opiskelee vähintään englantia ja ruotsia ja jotkut lisäksi jotain kolmatta kieltä, sekin usein germaaninen saksa. Koulussa opitut kielet voitaneen niputtaa L2-kieliksi ja tämän pienen tutkimuksen saame L3-kieleksi. L2-kielten vaikutusta L3-kielen oppimiseen on tutkittu vielä melko vähän, mutta esimerkiksi Vogel (1992) on tutkinut kiinanpuhujan (L1) saksanoppimista (L3) ja sitä, miten hänen aiemmin oppimansa kieli englanti (L2) vaikutti saksan oppimiseen sekä sanastollisesti että syntaktisesti.</w:t>
      </w:r>
    </w:p>
    <w:p w14:paraId="76B02741" w14:textId="188D2108" w:rsidR="00C60F2E" w:rsidRPr="00FB4EFA" w:rsidRDefault="00C60F2E" w:rsidP="00402EF4">
      <w:pPr>
        <w:ind w:firstLine="709"/>
        <w:rPr>
          <w:lang w:val="fi-FI"/>
        </w:rPr>
      </w:pPr>
      <w:r w:rsidRPr="00FB4EFA">
        <w:rPr>
          <w:lang w:val="fi-FI"/>
        </w:rPr>
        <w:t xml:space="preserve">Laakso (2015: 183) toteaa, että morfologisesti monimutkaisten rakenteiden oppiminen tuottaa tuskaa opiskelijoille, jotka ovat aiemmin opiskelleet lähinnä englantia. Olen opettanut useamman kerran pohjoissaamea pääasiassa suomenkielisille tai suomea opiskelleille, joten heillä on kielivarastossaan jo valmiiksi morfologisesti monimutkainen kieli. Silti olen opettaessani tehnyt ehkä hieman yllättävän havainnon, että monet opiskelijat soveltavat germaanisista kielistä saamiaan oppimismalleja </w:t>
      </w:r>
      <w:r w:rsidR="00816329" w:rsidRPr="00FB4EFA">
        <w:rPr>
          <w:lang w:val="fi-FI"/>
        </w:rPr>
        <w:t>saameen</w:t>
      </w:r>
      <w:r w:rsidRPr="00FB4EFA">
        <w:rPr>
          <w:lang w:val="fi-FI"/>
        </w:rPr>
        <w:t>. Tämän vuoksi saamenopiskelijoille tuottaa vaikeuksia muodostaa esimerkiksi kieltolauseita (1a–b) ja omistusrakenteita (2a–b), vaikka ne ovat samanlaisia kuin suomessa.</w:t>
      </w:r>
    </w:p>
    <w:p w14:paraId="5EDEF122" w14:textId="77777777" w:rsidR="00C60F2E" w:rsidRPr="00FB4EFA" w:rsidRDefault="00C60F2E" w:rsidP="000D4EBE">
      <w:pPr>
        <w:spacing w:before="240" w:line="240" w:lineRule="auto"/>
        <w:ind w:left="426"/>
        <w:rPr>
          <w:rFonts w:cs="Charis SIL"/>
          <w:lang w:val="fi-FI"/>
        </w:rPr>
      </w:pPr>
      <w:r w:rsidRPr="00FB4EFA">
        <w:rPr>
          <w:rFonts w:cs="Charis SIL"/>
          <w:lang w:val="fi-FI"/>
        </w:rPr>
        <w:t>1a. Kieltolause saamessa ja suomessa:</w:t>
      </w:r>
    </w:p>
    <w:p w14:paraId="29D57D65" w14:textId="77777777" w:rsidR="00C60F2E" w:rsidRPr="00FB4EFA" w:rsidRDefault="00C60F2E" w:rsidP="00AF0CAD">
      <w:pPr>
        <w:spacing w:line="240" w:lineRule="auto"/>
        <w:ind w:left="426"/>
        <w:rPr>
          <w:rFonts w:cs="Charis SIL"/>
          <w:lang w:val="fi-FI"/>
        </w:rPr>
      </w:pPr>
      <w:r w:rsidRPr="00FB4EFA">
        <w:rPr>
          <w:rFonts w:cs="Charis SIL"/>
          <w:lang w:val="fi-FI"/>
        </w:rPr>
        <w:t xml:space="preserve">saaP </w:t>
      </w:r>
      <w:r w:rsidRPr="00FB4EFA">
        <w:rPr>
          <w:rFonts w:cs="Charis SIL"/>
          <w:i/>
          <w:iCs/>
          <w:lang w:val="fi-FI"/>
        </w:rPr>
        <w:t xml:space="preserve">Mun </w:t>
      </w:r>
      <w:r w:rsidRPr="00FB4EFA">
        <w:rPr>
          <w:rFonts w:eastAsia="Charis SIL" w:cs="Charis SIL"/>
          <w:b/>
          <w:bCs/>
          <w:i/>
          <w:iCs/>
          <w:lang w:val="fi-FI"/>
        </w:rPr>
        <w:t>in loga</w:t>
      </w:r>
      <w:r w:rsidRPr="00FB4EFA">
        <w:rPr>
          <w:rFonts w:cs="Charis SIL"/>
          <w:i/>
          <w:iCs/>
          <w:lang w:val="fi-FI"/>
        </w:rPr>
        <w:t xml:space="preserve"> girjji</w:t>
      </w:r>
      <w:r w:rsidRPr="00FB4EFA">
        <w:rPr>
          <w:rFonts w:cs="Charis SIL"/>
          <w:lang w:val="fi-FI"/>
        </w:rPr>
        <w:t>.</w:t>
      </w:r>
    </w:p>
    <w:p w14:paraId="7E384F93" w14:textId="77777777" w:rsidR="00C60F2E" w:rsidRPr="00FB4EFA" w:rsidRDefault="00C60F2E" w:rsidP="00AF0CAD">
      <w:pPr>
        <w:spacing w:after="240" w:line="240" w:lineRule="auto"/>
        <w:ind w:left="426"/>
        <w:rPr>
          <w:rFonts w:cs="Charis SIL"/>
          <w:lang w:val="fi-FI"/>
        </w:rPr>
      </w:pPr>
      <w:r w:rsidRPr="00FB4EFA">
        <w:rPr>
          <w:rFonts w:cs="Charis SIL"/>
          <w:lang w:val="fi-FI"/>
        </w:rPr>
        <w:t xml:space="preserve">su. </w:t>
      </w:r>
      <w:r w:rsidRPr="00FB4EFA">
        <w:rPr>
          <w:rFonts w:cs="Charis SIL"/>
          <w:i/>
          <w:iCs/>
          <w:lang w:val="fi-FI"/>
        </w:rPr>
        <w:t xml:space="preserve">Minä </w:t>
      </w:r>
      <w:r w:rsidRPr="00FB4EFA">
        <w:rPr>
          <w:rFonts w:eastAsia="Charis SIL" w:cs="Charis SIL"/>
          <w:b/>
          <w:bCs/>
          <w:i/>
          <w:iCs/>
          <w:lang w:val="fi-FI"/>
        </w:rPr>
        <w:t>en lue</w:t>
      </w:r>
      <w:r w:rsidRPr="00FB4EFA">
        <w:rPr>
          <w:rFonts w:cs="Charis SIL"/>
          <w:i/>
          <w:iCs/>
          <w:lang w:val="fi-FI"/>
        </w:rPr>
        <w:t xml:space="preserve"> kirjaa</w:t>
      </w:r>
      <w:r w:rsidRPr="00FB4EFA">
        <w:rPr>
          <w:rFonts w:cs="Charis SIL"/>
          <w:lang w:val="fi-FI"/>
        </w:rPr>
        <w:t>.</w:t>
      </w:r>
    </w:p>
    <w:p w14:paraId="5151A9F8" w14:textId="77777777" w:rsidR="00C60F2E" w:rsidRPr="00FB4EFA" w:rsidRDefault="00C60F2E" w:rsidP="000D4EBE">
      <w:pPr>
        <w:spacing w:line="240" w:lineRule="auto"/>
        <w:ind w:left="426"/>
        <w:rPr>
          <w:rFonts w:cs="Charis SIL"/>
          <w:lang w:val="fi-FI"/>
        </w:rPr>
      </w:pPr>
      <w:r w:rsidRPr="00FB4EFA">
        <w:rPr>
          <w:rFonts w:cs="Charis SIL"/>
          <w:lang w:val="fi-FI"/>
        </w:rPr>
        <w:t>1b. Kieltolause englannissa ja ruotsissa:</w:t>
      </w:r>
    </w:p>
    <w:p w14:paraId="44F27AC4" w14:textId="77777777" w:rsidR="00C60F2E" w:rsidRPr="00FB4EFA" w:rsidRDefault="00C60F2E" w:rsidP="00AF0CAD">
      <w:pPr>
        <w:spacing w:line="240" w:lineRule="auto"/>
        <w:ind w:left="426"/>
        <w:rPr>
          <w:rFonts w:cs="Charis SIL"/>
          <w:lang w:val="fi-FI"/>
        </w:rPr>
      </w:pPr>
      <w:r w:rsidRPr="00FB4EFA">
        <w:rPr>
          <w:rFonts w:cs="Charis SIL"/>
          <w:lang w:val="fi-FI"/>
        </w:rPr>
        <w:t xml:space="preserve">eng. </w:t>
      </w:r>
      <w:r w:rsidRPr="00FB4EFA">
        <w:rPr>
          <w:rFonts w:cs="Charis SIL"/>
          <w:i/>
          <w:iCs/>
          <w:lang w:val="fi-FI"/>
        </w:rPr>
        <w:t xml:space="preserve">I </w:t>
      </w:r>
      <w:r w:rsidRPr="00FB4EFA">
        <w:rPr>
          <w:rFonts w:eastAsia="Charis SIL" w:cs="Charis SIL"/>
          <w:b/>
          <w:bCs/>
          <w:i/>
          <w:iCs/>
          <w:lang w:val="fi-FI"/>
        </w:rPr>
        <w:t xml:space="preserve">do not read </w:t>
      </w:r>
      <w:r w:rsidRPr="00FB4EFA">
        <w:rPr>
          <w:rFonts w:cs="Charis SIL"/>
          <w:i/>
          <w:iCs/>
          <w:lang w:val="fi-FI"/>
        </w:rPr>
        <w:t>a book</w:t>
      </w:r>
      <w:r w:rsidRPr="00FB4EFA">
        <w:rPr>
          <w:rFonts w:cs="Charis SIL"/>
          <w:lang w:val="fi-FI"/>
        </w:rPr>
        <w:t>.</w:t>
      </w:r>
    </w:p>
    <w:p w14:paraId="255C8BB8" w14:textId="77777777" w:rsidR="00C60F2E" w:rsidRPr="00FB4EFA" w:rsidRDefault="00C60F2E" w:rsidP="00AF0CAD">
      <w:pPr>
        <w:spacing w:line="240" w:lineRule="auto"/>
        <w:ind w:left="426"/>
        <w:rPr>
          <w:rFonts w:cs="Charis SIL"/>
          <w:lang w:val="fi-FI"/>
        </w:rPr>
      </w:pPr>
      <w:r w:rsidRPr="00FB4EFA">
        <w:rPr>
          <w:rFonts w:cs="Charis SIL"/>
          <w:lang w:val="fi-FI"/>
        </w:rPr>
        <w:t xml:space="preserve">ru. </w:t>
      </w:r>
      <w:r w:rsidRPr="00FB4EFA">
        <w:rPr>
          <w:rFonts w:cs="Charis SIL"/>
          <w:i/>
          <w:iCs/>
          <w:lang w:val="fi-FI"/>
        </w:rPr>
        <w:t xml:space="preserve">Jag </w:t>
      </w:r>
      <w:r w:rsidRPr="00FB4EFA">
        <w:rPr>
          <w:rFonts w:eastAsia="Charis SIL" w:cs="Charis SIL"/>
          <w:b/>
          <w:bCs/>
          <w:i/>
          <w:iCs/>
          <w:lang w:val="fi-FI"/>
        </w:rPr>
        <w:t>leser inte</w:t>
      </w:r>
      <w:r w:rsidRPr="00FB4EFA">
        <w:rPr>
          <w:rFonts w:cs="Charis SIL"/>
          <w:i/>
          <w:iCs/>
          <w:lang w:val="fi-FI"/>
        </w:rPr>
        <w:t xml:space="preserve"> en bok</w:t>
      </w:r>
      <w:r w:rsidRPr="00FB4EFA">
        <w:rPr>
          <w:rFonts w:cs="Charis SIL"/>
          <w:lang w:val="fi-FI"/>
        </w:rPr>
        <w:t>.</w:t>
      </w:r>
    </w:p>
    <w:p w14:paraId="6A68D580" w14:textId="3E3DC4B3" w:rsidR="00C60F2E" w:rsidRPr="00FB4EFA" w:rsidRDefault="00CE5AF2" w:rsidP="00AF0CAD">
      <w:pPr>
        <w:spacing w:before="240"/>
        <w:rPr>
          <w:rFonts w:cs="Charis SIL"/>
          <w:lang w:val="fi-FI"/>
        </w:rPr>
      </w:pPr>
      <w:r w:rsidRPr="00FB4EFA">
        <w:rPr>
          <w:rFonts w:cs="Charis SIL"/>
          <w:lang w:val="fi-FI"/>
        </w:rPr>
        <w:t>Monille saamenoppijoille tuottaa vaikeuksia taivuttaa kieltoverbiä pääverbin sijaan, ja monet pyrkivät taivuttamaan pääverbiä persoonassa seuraavasti</w:t>
      </w:r>
      <w:r w:rsidR="00816329" w:rsidRPr="00FB4EFA">
        <w:rPr>
          <w:rFonts w:cs="Charis SIL"/>
          <w:lang w:val="fi-FI"/>
        </w:rPr>
        <w:t xml:space="preserve">: * </w:t>
      </w:r>
      <w:r w:rsidR="00C60F2E" w:rsidRPr="00FB4EFA">
        <w:rPr>
          <w:rFonts w:eastAsia="Charis SIL" w:cs="Charis SIL"/>
          <w:i/>
          <w:iCs/>
          <w:lang w:val="fi-FI"/>
        </w:rPr>
        <w:t>Mun</w:t>
      </w:r>
      <w:r w:rsidR="00C60F2E" w:rsidRPr="00FB4EFA">
        <w:rPr>
          <w:rFonts w:eastAsia="Charis SIL" w:cs="Charis SIL"/>
          <w:b/>
          <w:bCs/>
          <w:i/>
          <w:iCs/>
          <w:lang w:val="fi-FI"/>
        </w:rPr>
        <w:t xml:space="preserve"> ii logan</w:t>
      </w:r>
      <w:r w:rsidR="00C60F2E" w:rsidRPr="00FB4EFA">
        <w:rPr>
          <w:rFonts w:eastAsia="Charis SIL" w:cs="Charis SIL"/>
          <w:i/>
          <w:iCs/>
          <w:lang w:val="fi-FI"/>
        </w:rPr>
        <w:t xml:space="preserve"> girjji</w:t>
      </w:r>
      <w:r w:rsidR="00EC71AC" w:rsidRPr="00FB4EFA">
        <w:rPr>
          <w:rFonts w:cs="Charis SIL"/>
          <w:lang w:val="fi-FI"/>
        </w:rPr>
        <w:t xml:space="preserve"> ’minä ei luen kirjaa’.</w:t>
      </w:r>
    </w:p>
    <w:p w14:paraId="52D39087" w14:textId="77777777" w:rsidR="00C60F2E" w:rsidRPr="00FB4EFA" w:rsidRDefault="00C60F2E" w:rsidP="000D4EBE">
      <w:pPr>
        <w:spacing w:before="240" w:line="240" w:lineRule="auto"/>
        <w:ind w:firstLine="426"/>
        <w:rPr>
          <w:rFonts w:cs="Charis SIL"/>
          <w:lang w:val="fi-FI"/>
        </w:rPr>
      </w:pPr>
      <w:r w:rsidRPr="00FB4EFA">
        <w:rPr>
          <w:rFonts w:cs="Charis SIL"/>
          <w:lang w:val="fi-FI"/>
        </w:rPr>
        <w:t>2a. Omistusrakenne saamessa ja suomessa:</w:t>
      </w:r>
    </w:p>
    <w:p w14:paraId="195C5CA4" w14:textId="08D7C825" w:rsidR="00C60F2E" w:rsidRPr="00FB4EFA" w:rsidRDefault="00C60F2E" w:rsidP="00AF0CAD">
      <w:pPr>
        <w:spacing w:line="240" w:lineRule="auto"/>
        <w:ind w:firstLine="426"/>
        <w:rPr>
          <w:rFonts w:cs="Charis SIL"/>
          <w:lang w:val="fi-FI"/>
        </w:rPr>
      </w:pPr>
      <w:r w:rsidRPr="00FB4EFA">
        <w:rPr>
          <w:rFonts w:cs="Charis SIL"/>
          <w:lang w:val="fi-FI"/>
        </w:rPr>
        <w:t xml:space="preserve">saaP </w:t>
      </w:r>
      <w:r w:rsidRPr="00FB4EFA">
        <w:rPr>
          <w:rFonts w:eastAsia="Charis SIL" w:cs="Charis SIL"/>
          <w:b/>
          <w:bCs/>
          <w:i/>
          <w:iCs/>
          <w:lang w:val="fi-FI"/>
        </w:rPr>
        <w:t>Mus</w:t>
      </w:r>
      <w:r w:rsidRPr="00FB4EFA">
        <w:rPr>
          <w:rFonts w:cs="Charis SIL"/>
          <w:i/>
          <w:iCs/>
          <w:lang w:val="fi-FI"/>
        </w:rPr>
        <w:t xml:space="preserve"> lea girji</w:t>
      </w:r>
      <w:r w:rsidRPr="00FB4EFA">
        <w:rPr>
          <w:rFonts w:cs="Charis SIL"/>
          <w:lang w:val="fi-FI"/>
        </w:rPr>
        <w:t>.</w:t>
      </w:r>
    </w:p>
    <w:p w14:paraId="075AD201" w14:textId="49875052" w:rsidR="00C60F2E" w:rsidRPr="00FB4EFA" w:rsidRDefault="00C60F2E" w:rsidP="00AF0CAD">
      <w:pPr>
        <w:spacing w:line="240" w:lineRule="auto"/>
        <w:ind w:firstLine="426"/>
        <w:rPr>
          <w:rFonts w:cs="Charis SIL"/>
          <w:lang w:val="fi-FI"/>
        </w:rPr>
      </w:pPr>
      <w:r w:rsidRPr="00FB4EFA">
        <w:rPr>
          <w:rFonts w:cs="Charis SIL"/>
          <w:lang w:val="fi-FI"/>
        </w:rPr>
        <w:t xml:space="preserve">su. </w:t>
      </w:r>
      <w:r w:rsidRPr="00FB4EFA">
        <w:rPr>
          <w:rFonts w:eastAsia="Charis SIL" w:cs="Charis SIL"/>
          <w:b/>
          <w:bCs/>
          <w:i/>
          <w:iCs/>
          <w:lang w:val="fi-FI"/>
        </w:rPr>
        <w:t>Minulla</w:t>
      </w:r>
      <w:r w:rsidRPr="00FB4EFA">
        <w:rPr>
          <w:rFonts w:cs="Charis SIL"/>
          <w:i/>
          <w:iCs/>
          <w:lang w:val="fi-FI"/>
        </w:rPr>
        <w:t xml:space="preserve"> on kirja</w:t>
      </w:r>
      <w:r w:rsidRPr="00FB4EFA">
        <w:rPr>
          <w:rFonts w:cs="Charis SIL"/>
          <w:lang w:val="fi-FI"/>
        </w:rPr>
        <w:t>.</w:t>
      </w:r>
    </w:p>
    <w:p w14:paraId="42371C59" w14:textId="77777777" w:rsidR="00C60F2E" w:rsidRPr="00FB4EFA" w:rsidRDefault="00C60F2E" w:rsidP="00312ECF">
      <w:pPr>
        <w:keepNext/>
        <w:spacing w:before="240" w:line="240" w:lineRule="auto"/>
        <w:ind w:firstLine="425"/>
        <w:rPr>
          <w:rFonts w:cs="Charis SIL"/>
          <w:lang w:val="fi-FI"/>
        </w:rPr>
      </w:pPr>
      <w:r w:rsidRPr="00FB4EFA">
        <w:rPr>
          <w:rFonts w:cs="Charis SIL"/>
          <w:lang w:val="fi-FI"/>
        </w:rPr>
        <w:lastRenderedPageBreak/>
        <w:t>2b. Omistusrakenne englannissa ja ruotsissa:</w:t>
      </w:r>
    </w:p>
    <w:p w14:paraId="57474DB5" w14:textId="77777777" w:rsidR="00C60F2E" w:rsidRPr="00FB4EFA" w:rsidRDefault="00C60F2E" w:rsidP="00AF0CAD">
      <w:pPr>
        <w:keepNext/>
        <w:spacing w:line="240" w:lineRule="auto"/>
        <w:ind w:firstLine="425"/>
        <w:rPr>
          <w:rFonts w:cs="Charis SIL"/>
          <w:lang w:val="fi-FI"/>
        </w:rPr>
      </w:pPr>
      <w:r w:rsidRPr="00FB4EFA">
        <w:rPr>
          <w:rFonts w:cs="Charis SIL"/>
          <w:lang w:val="fi-FI"/>
        </w:rPr>
        <w:t xml:space="preserve">eng. </w:t>
      </w:r>
      <w:r w:rsidRPr="00FB4EFA">
        <w:rPr>
          <w:rFonts w:cs="Charis SIL"/>
          <w:i/>
          <w:iCs/>
          <w:lang w:val="fi-FI"/>
        </w:rPr>
        <w:t xml:space="preserve">I </w:t>
      </w:r>
      <w:r w:rsidRPr="00FB4EFA">
        <w:rPr>
          <w:rFonts w:eastAsia="Charis SIL" w:cs="Charis SIL"/>
          <w:b/>
          <w:bCs/>
          <w:i/>
          <w:iCs/>
          <w:lang w:val="fi-FI"/>
        </w:rPr>
        <w:t>have</w:t>
      </w:r>
      <w:r w:rsidRPr="00FB4EFA">
        <w:rPr>
          <w:rFonts w:cs="Charis SIL"/>
          <w:i/>
          <w:iCs/>
          <w:lang w:val="fi-FI"/>
        </w:rPr>
        <w:t xml:space="preserve"> a book</w:t>
      </w:r>
      <w:r w:rsidRPr="00FB4EFA">
        <w:rPr>
          <w:rFonts w:cs="Charis SIL"/>
          <w:lang w:val="fi-FI"/>
        </w:rPr>
        <w:t>.</w:t>
      </w:r>
    </w:p>
    <w:p w14:paraId="657D0E9D" w14:textId="77777777" w:rsidR="00C60F2E" w:rsidRPr="00FB4EFA" w:rsidRDefault="00C60F2E" w:rsidP="00AF0CAD">
      <w:pPr>
        <w:spacing w:line="240" w:lineRule="auto"/>
        <w:ind w:firstLine="426"/>
        <w:rPr>
          <w:rFonts w:cs="Charis SIL"/>
          <w:lang w:val="fi-FI"/>
        </w:rPr>
      </w:pPr>
      <w:r w:rsidRPr="00FB4EFA">
        <w:rPr>
          <w:rFonts w:cs="Charis SIL"/>
          <w:lang w:val="fi-FI"/>
        </w:rPr>
        <w:t xml:space="preserve">ru. </w:t>
      </w:r>
      <w:r w:rsidRPr="00FB4EFA">
        <w:rPr>
          <w:rFonts w:cs="Charis SIL"/>
          <w:i/>
          <w:iCs/>
          <w:lang w:val="fi-FI"/>
        </w:rPr>
        <w:t xml:space="preserve">Jag </w:t>
      </w:r>
      <w:r w:rsidRPr="00FB4EFA">
        <w:rPr>
          <w:rFonts w:eastAsia="Charis SIL" w:cs="Charis SIL"/>
          <w:b/>
          <w:bCs/>
          <w:i/>
          <w:iCs/>
          <w:lang w:val="fi-FI"/>
        </w:rPr>
        <w:t>har</w:t>
      </w:r>
      <w:r w:rsidRPr="00FB4EFA">
        <w:rPr>
          <w:rFonts w:cs="Charis SIL"/>
          <w:i/>
          <w:iCs/>
          <w:lang w:val="fi-FI"/>
        </w:rPr>
        <w:t xml:space="preserve"> en bok</w:t>
      </w:r>
      <w:r w:rsidRPr="00FB4EFA">
        <w:rPr>
          <w:rFonts w:cs="Charis SIL"/>
          <w:lang w:val="fi-FI"/>
        </w:rPr>
        <w:t>.</w:t>
      </w:r>
    </w:p>
    <w:p w14:paraId="09A69287" w14:textId="77777777" w:rsidR="00C60F2E" w:rsidRPr="00FB4EFA" w:rsidRDefault="00C60F2E" w:rsidP="00AF0CAD">
      <w:pPr>
        <w:spacing w:before="240"/>
        <w:rPr>
          <w:lang w:val="fi-FI"/>
        </w:rPr>
      </w:pPr>
      <w:r w:rsidRPr="00FB4EFA">
        <w:rPr>
          <w:lang w:val="fi-FI"/>
        </w:rPr>
        <w:t xml:space="preserve">Omistusrakenteen osalta saamenoppijat pyrkivät käyttämään omistamista tarkoittavaa verbiä </w:t>
      </w:r>
      <w:r w:rsidRPr="00FB4EFA">
        <w:rPr>
          <w:rFonts w:eastAsia="Charis SIL" w:cs="Charis SIL"/>
          <w:i/>
          <w:iCs/>
          <w:lang w:val="fi-FI"/>
        </w:rPr>
        <w:t>oamastit</w:t>
      </w:r>
      <w:r w:rsidRPr="00FB4EFA">
        <w:rPr>
          <w:rFonts w:eastAsia="Charis SIL" w:cs="Charis SIL"/>
          <w:iCs/>
          <w:vertAlign w:val="superscript"/>
          <w:lang w:val="fi-FI"/>
        </w:rPr>
        <w:footnoteReference w:id="80"/>
      </w:r>
      <w:r w:rsidRPr="00FB4EFA">
        <w:rPr>
          <w:lang w:val="fi-FI"/>
        </w:rPr>
        <w:t xml:space="preserve">, esim. </w:t>
      </w:r>
      <w:r w:rsidRPr="00FB4EFA">
        <w:rPr>
          <w:rFonts w:eastAsia="Charis SIL" w:cs="Charis SIL"/>
          <w:i/>
          <w:iCs/>
          <w:lang w:val="fi-FI"/>
        </w:rPr>
        <w:t xml:space="preserve">mun </w:t>
      </w:r>
      <w:r w:rsidRPr="00FB4EFA">
        <w:rPr>
          <w:rFonts w:eastAsia="Charis SIL" w:cs="Charis SIL"/>
          <w:b/>
          <w:bCs/>
          <w:i/>
          <w:iCs/>
          <w:lang w:val="fi-FI"/>
        </w:rPr>
        <w:t>oamastan</w:t>
      </w:r>
      <w:r w:rsidRPr="00FB4EFA">
        <w:rPr>
          <w:rFonts w:eastAsia="Charis SIL" w:cs="Charis SIL"/>
          <w:i/>
          <w:iCs/>
          <w:lang w:val="fi-FI"/>
        </w:rPr>
        <w:t xml:space="preserve"> girjji </w:t>
      </w:r>
      <w:r w:rsidRPr="00FB4EFA">
        <w:rPr>
          <w:lang w:val="fi-FI"/>
        </w:rPr>
        <w:t>’minä omistan kirjan.’ Omistusverbin käyttö omistusrakenteen muodostamisessa ei kuitenkaan ole kovin luontevaa. Sen sijaan omistamista ilmaistaan pohjoissaamessa lokatiivirakenteella, joka vastaa suomen adessiivirakennetta, pohjoissaamessa kun ei ole ulkopaikallissijoja.</w:t>
      </w:r>
    </w:p>
    <w:p w14:paraId="564FF153" w14:textId="77777777" w:rsidR="00C60F2E" w:rsidRPr="00FB4EFA" w:rsidRDefault="00C60F2E" w:rsidP="00402EF4">
      <w:pPr>
        <w:ind w:firstLine="709"/>
        <w:rPr>
          <w:lang w:val="fi-FI"/>
        </w:rPr>
      </w:pPr>
      <w:r w:rsidRPr="00FB4EFA">
        <w:rPr>
          <w:lang w:val="fi-FI"/>
        </w:rPr>
        <w:t>Myös germaanisen mallin mukaista demonstratiivipronominien käyttöä artikkelin tapaan esiintyy kielenoppijoilla, mutta sitä toisaalta esiintyy myös joillakin äidinkielisilläkin puhujilla skandinaavisten kielten vaikutuksesta johtuen (Guttorm 2015).</w:t>
      </w:r>
    </w:p>
    <w:p w14:paraId="53E9E467" w14:textId="77777777" w:rsidR="00C60F2E" w:rsidRPr="00FB4EFA" w:rsidRDefault="00C60F2E" w:rsidP="00402EF4">
      <w:pPr>
        <w:ind w:firstLine="709"/>
        <w:rPr>
          <w:lang w:val="fi-FI"/>
        </w:rPr>
      </w:pPr>
      <w:r w:rsidRPr="00FB4EFA">
        <w:rPr>
          <w:lang w:val="fi-FI"/>
        </w:rPr>
        <w:t>Edellä esittämäni havainnot tukevat aiempia tutkimuksia, joiden mukaan L1-kielen lisäksi (tai peräti sijaan) L2-kielet vaikuttavat L3-kielen oppimiseen. Germaanisten kielten (L2) malleja sovelletaan saamenoppimisessa, vaikka kyse on erisukuisesta kielestä ja suomen kielen (monilla opiskelijoilla L1-kieli) mallien soveltaminen olisi toimivampaa.</w:t>
      </w:r>
    </w:p>
    <w:p w14:paraId="4EEC28CC" w14:textId="54D5C3A1" w:rsidR="00C60F2E" w:rsidRPr="00FB4EFA" w:rsidRDefault="00C60F2E" w:rsidP="00545033">
      <w:pPr>
        <w:pStyle w:val="Heading2"/>
        <w:suppressAutoHyphens/>
        <w:spacing w:line="259" w:lineRule="auto"/>
        <w:rPr>
          <w:color w:val="auto"/>
          <w:lang w:val="fi-FI"/>
        </w:rPr>
      </w:pPr>
      <w:r w:rsidRPr="00FB4EFA">
        <w:rPr>
          <w:color w:val="auto"/>
          <w:u w:color="000000"/>
          <w:lang w:val="fi-FI"/>
        </w:rPr>
        <w:t>Kyselytutkimus</w:t>
      </w:r>
    </w:p>
    <w:p w14:paraId="54E5EABB" w14:textId="77777777" w:rsidR="00C60F2E" w:rsidRPr="00FB4EFA" w:rsidRDefault="00C60F2E" w:rsidP="00402EF4">
      <w:pPr>
        <w:rPr>
          <w:szCs w:val="24"/>
          <w:lang w:val="fi-FI"/>
        </w:rPr>
      </w:pPr>
      <w:r w:rsidRPr="00FB4EFA">
        <w:rPr>
          <w:lang w:val="fi-FI"/>
        </w:rPr>
        <w:t>Lukuvuonna 2016–17 saamen perus- ja jatkokurssin opiskelijoissa oli muutamia kielihistoriasta kiinnostuneita, minkä vuoksi sitä tuli luonnostaan hyödynnettyä opettamisessa. Tästä syystä tein kyselyn keväällä 2017 kymmenelle saamen jatkokurssin opiskelijalle, joista yhdeksän vastasi siihen. Kysely oli anonyymi, joten vastaajan tiedot eivät käy vastauksista mitenkään ilmi. Kysymykset sisältyivät kurssipalautteeseen. Kolme ensimmäistä kysymystä oli monivalintoja, kaksi viimeistä avoimia. Kysymykset olivat seuraavat:</w:t>
      </w:r>
    </w:p>
    <w:p w14:paraId="597D3B2F" w14:textId="77777777" w:rsidR="00C60F2E" w:rsidRPr="00FB4EFA" w:rsidRDefault="00C60F2E" w:rsidP="00AF0CAD">
      <w:pPr>
        <w:jc w:val="center"/>
        <w:rPr>
          <w:rFonts w:eastAsia="Charis SIL" w:cs="Charis SIL"/>
          <w:b/>
          <w:bCs/>
          <w:sz w:val="18"/>
          <w:szCs w:val="18"/>
          <w:lang w:val="fi-FI"/>
        </w:rPr>
      </w:pPr>
      <w:r w:rsidRPr="00FB4EFA">
        <w:rPr>
          <w:noProof/>
          <w:lang w:val="fi-FI"/>
        </w:rPr>
        <w:lastRenderedPageBreak/>
        <w:drawing>
          <wp:inline distT="0" distB="0" distL="0" distR="0" wp14:anchorId="16997C8D" wp14:editId="5BB7FB06">
            <wp:extent cx="3079115" cy="2706202"/>
            <wp:effectExtent l="0" t="0" r="6985" b="0"/>
            <wp:docPr id="1073741825"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14:paraId="08F39D1E" w14:textId="73853CDF" w:rsidR="00C60F2E" w:rsidRPr="00FB4EFA" w:rsidRDefault="00C60F2E" w:rsidP="00AC1192">
      <w:pPr>
        <w:suppressAutoHyphens/>
        <w:spacing w:after="240"/>
        <w:jc w:val="center"/>
        <w:rPr>
          <w:rFonts w:cs="Charis SIL"/>
          <w:sz w:val="18"/>
          <w:szCs w:val="18"/>
          <w:lang w:val="fi-FI"/>
        </w:rPr>
      </w:pPr>
      <w:r w:rsidRPr="00FB4EFA">
        <w:rPr>
          <w:rFonts w:eastAsia="Charis SIL" w:cs="Charis SIL"/>
          <w:b/>
          <w:bCs/>
          <w:sz w:val="18"/>
          <w:szCs w:val="18"/>
          <w:lang w:val="fi-FI"/>
        </w:rPr>
        <w:t>Kaavio 1</w:t>
      </w:r>
      <w:r w:rsidRPr="00FB4EFA">
        <w:rPr>
          <w:rFonts w:cs="Charis SIL"/>
          <w:sz w:val="18"/>
          <w:szCs w:val="18"/>
          <w:lang w:val="fi-FI"/>
        </w:rPr>
        <w:t>: Minkä verran tiesit kielihistoriasta ennen kurssia?</w:t>
      </w:r>
    </w:p>
    <w:p w14:paraId="04DF4E69" w14:textId="77777777" w:rsidR="00C60F2E" w:rsidRPr="00FB4EFA" w:rsidRDefault="00C60F2E" w:rsidP="00402EF4">
      <w:pPr>
        <w:jc w:val="center"/>
        <w:rPr>
          <w:szCs w:val="24"/>
          <w:lang w:val="fi-FI"/>
        </w:rPr>
      </w:pPr>
      <w:r w:rsidRPr="00FB4EFA">
        <w:rPr>
          <w:noProof/>
          <w:lang w:val="fi-FI"/>
        </w:rPr>
        <w:drawing>
          <wp:inline distT="0" distB="0" distL="0" distR="0" wp14:anchorId="0DBEB2CD" wp14:editId="3136DEEA">
            <wp:extent cx="3078000" cy="2707200"/>
            <wp:effectExtent l="0" t="0" r="8255" b="0"/>
            <wp:docPr id="1073741826"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14:paraId="05CFC2B4" w14:textId="77777777" w:rsidR="00C60F2E" w:rsidRPr="00FB4EFA" w:rsidRDefault="00C60F2E" w:rsidP="00AC1192">
      <w:pPr>
        <w:suppressAutoHyphens/>
        <w:spacing w:after="240"/>
        <w:jc w:val="center"/>
        <w:rPr>
          <w:rFonts w:cs="Charis SIL"/>
          <w:sz w:val="18"/>
          <w:szCs w:val="18"/>
          <w:lang w:val="fi-FI"/>
        </w:rPr>
      </w:pPr>
      <w:r w:rsidRPr="00FB4EFA">
        <w:rPr>
          <w:rFonts w:eastAsia="Charis SIL" w:cs="Charis SIL"/>
          <w:b/>
          <w:bCs/>
          <w:sz w:val="18"/>
          <w:szCs w:val="18"/>
          <w:lang w:val="fi-FI"/>
        </w:rPr>
        <w:t>Kaavio 2</w:t>
      </w:r>
      <w:r w:rsidRPr="00FB4EFA">
        <w:rPr>
          <w:rFonts w:cs="Charis SIL"/>
          <w:sz w:val="18"/>
          <w:szCs w:val="18"/>
          <w:lang w:val="fi-FI"/>
        </w:rPr>
        <w:t>: Miten kielihistorian tuntemuksesi on kasvanut kurssilla?</w:t>
      </w:r>
    </w:p>
    <w:p w14:paraId="0E6D1B7B" w14:textId="77777777" w:rsidR="00C60F2E" w:rsidRPr="00FB4EFA" w:rsidRDefault="00C60F2E" w:rsidP="00402EF4">
      <w:pPr>
        <w:jc w:val="center"/>
        <w:rPr>
          <w:szCs w:val="24"/>
          <w:lang w:val="fi-FI"/>
        </w:rPr>
      </w:pPr>
      <w:r w:rsidRPr="00FB4EFA">
        <w:rPr>
          <w:noProof/>
          <w:lang w:val="fi-FI"/>
        </w:rPr>
        <w:lastRenderedPageBreak/>
        <w:drawing>
          <wp:inline distT="0" distB="0" distL="0" distR="0" wp14:anchorId="4C3F50FF" wp14:editId="3DB6EDAC">
            <wp:extent cx="3838668" cy="3838668"/>
            <wp:effectExtent l="0" t="0" r="0" b="0"/>
            <wp:docPr id="1073741827"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14:paraId="0AC3F7FB" w14:textId="77777777" w:rsidR="00C60F2E" w:rsidRPr="00FB4EFA" w:rsidRDefault="00C60F2E" w:rsidP="00AC1192">
      <w:pPr>
        <w:suppressAutoHyphens/>
        <w:spacing w:after="240"/>
        <w:jc w:val="center"/>
        <w:rPr>
          <w:rFonts w:cs="Charis SIL"/>
          <w:sz w:val="18"/>
          <w:szCs w:val="18"/>
          <w:lang w:val="fi-FI"/>
        </w:rPr>
      </w:pPr>
      <w:r w:rsidRPr="00FB4EFA">
        <w:rPr>
          <w:rFonts w:eastAsia="Charis SIL" w:cs="Charis SIL"/>
          <w:b/>
          <w:bCs/>
          <w:sz w:val="18"/>
          <w:szCs w:val="18"/>
          <w:lang w:val="fi-FI"/>
        </w:rPr>
        <w:t>Kaavio 3</w:t>
      </w:r>
      <w:r w:rsidRPr="00FB4EFA">
        <w:rPr>
          <w:rFonts w:cs="Charis SIL"/>
          <w:sz w:val="18"/>
          <w:szCs w:val="18"/>
          <w:lang w:val="fi-FI"/>
        </w:rPr>
        <w:t>: Miten hyödylliseksi koit kielihistorian hyödyntämisen opetuksessa?</w:t>
      </w:r>
    </w:p>
    <w:p w14:paraId="1B0D17CD" w14:textId="77777777" w:rsidR="00C60F2E" w:rsidRPr="00FB4EFA" w:rsidRDefault="00C60F2E" w:rsidP="00402EF4">
      <w:pPr>
        <w:jc w:val="center"/>
        <w:rPr>
          <w:szCs w:val="24"/>
          <w:lang w:val="fi-FI"/>
        </w:rPr>
      </w:pPr>
      <w:r w:rsidRPr="00FB4EFA">
        <w:rPr>
          <w:noProof/>
          <w:lang w:val="fi-FI"/>
        </w:rPr>
        <w:drawing>
          <wp:inline distT="0" distB="0" distL="0" distR="0" wp14:anchorId="5ABDF1EB" wp14:editId="4C962E5D">
            <wp:extent cx="3936801" cy="1664108"/>
            <wp:effectExtent l="0" t="0" r="6985" b="0"/>
            <wp:docPr id="1073741828"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6056CF1D" w14:textId="77777777" w:rsidR="00C60F2E" w:rsidRPr="00FB4EFA" w:rsidRDefault="00C60F2E" w:rsidP="00AC1192">
      <w:pPr>
        <w:suppressAutoHyphens/>
        <w:spacing w:after="240"/>
        <w:jc w:val="center"/>
        <w:rPr>
          <w:rFonts w:cs="Charis SIL"/>
          <w:sz w:val="18"/>
          <w:szCs w:val="18"/>
          <w:lang w:val="fi-FI"/>
        </w:rPr>
      </w:pPr>
      <w:r w:rsidRPr="00FB4EFA">
        <w:rPr>
          <w:rFonts w:eastAsia="Charis SIL" w:cs="Charis SIL"/>
          <w:b/>
          <w:bCs/>
          <w:sz w:val="18"/>
          <w:szCs w:val="18"/>
          <w:lang w:val="fi-FI"/>
        </w:rPr>
        <w:t>Kaavio 4</w:t>
      </w:r>
      <w:r w:rsidRPr="00FB4EFA">
        <w:rPr>
          <w:rFonts w:cs="Charis SIL"/>
          <w:sz w:val="18"/>
          <w:szCs w:val="18"/>
          <w:lang w:val="fi-FI"/>
        </w:rPr>
        <w:t>: Minkä asian oppimisessa koit kielihistorian hyödylliseksi?</w:t>
      </w:r>
    </w:p>
    <w:p w14:paraId="7D547BD9" w14:textId="77777777" w:rsidR="00C60F2E" w:rsidRPr="00FB4EFA" w:rsidRDefault="00C60F2E" w:rsidP="00402EF4">
      <w:pPr>
        <w:rPr>
          <w:rFonts w:eastAsia="Charis SIL" w:cs="Charis SIL"/>
          <w:szCs w:val="24"/>
          <w:lang w:val="fi-FI"/>
        </w:rPr>
      </w:pPr>
      <w:r w:rsidRPr="00FB4EFA">
        <w:rPr>
          <w:noProof/>
          <w:lang w:val="fi-FI"/>
        </w:rPr>
        <w:lastRenderedPageBreak/>
        <w:drawing>
          <wp:inline distT="0" distB="0" distL="0" distR="0" wp14:anchorId="66543878" wp14:editId="3C9AD4B1">
            <wp:extent cx="3936366" cy="2659000"/>
            <wp:effectExtent l="0" t="0" r="6985" b="8255"/>
            <wp:docPr id="1073741829" name="officeArt obje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2D203EC0" w14:textId="77777777" w:rsidR="00C60F2E" w:rsidRPr="00FB4EFA" w:rsidRDefault="00C60F2E" w:rsidP="00AC1192">
      <w:pPr>
        <w:suppressAutoHyphens/>
        <w:spacing w:after="240"/>
        <w:jc w:val="center"/>
        <w:rPr>
          <w:rFonts w:cs="Charis SIL"/>
          <w:sz w:val="18"/>
          <w:szCs w:val="18"/>
          <w:lang w:val="fi-FI"/>
        </w:rPr>
      </w:pPr>
      <w:r w:rsidRPr="00FB4EFA">
        <w:rPr>
          <w:rFonts w:eastAsia="Charis SIL" w:cs="Charis SIL"/>
          <w:b/>
          <w:bCs/>
          <w:sz w:val="18"/>
          <w:szCs w:val="18"/>
          <w:lang w:val="fi-FI"/>
        </w:rPr>
        <w:t>Kaavio 5</w:t>
      </w:r>
      <w:r w:rsidRPr="00FB4EFA">
        <w:rPr>
          <w:rFonts w:cs="Charis SIL"/>
          <w:sz w:val="18"/>
          <w:szCs w:val="18"/>
          <w:lang w:val="fi-FI"/>
        </w:rPr>
        <w:t>: Mistä haluaisit lisää kielihistoriallista tietoa?</w:t>
      </w:r>
    </w:p>
    <w:p w14:paraId="49141C99" w14:textId="77777777" w:rsidR="00C60F2E" w:rsidRPr="00FB4EFA" w:rsidRDefault="00C60F2E" w:rsidP="00402EF4">
      <w:pPr>
        <w:rPr>
          <w:lang w:val="fi-FI"/>
        </w:rPr>
      </w:pPr>
      <w:r w:rsidRPr="00FB4EFA">
        <w:rPr>
          <w:lang w:val="fi-FI"/>
        </w:rPr>
        <w:t>Monivalintakysymysten tulokset osoittavat, että käytin kielihistoriaa opetuksessa, koska kaikki vastanneet kokivat kielihistoriallisen tiedon kasvaneen kurssin aikana. Vastaajien lähtötaso vaihteli nollatiedosta runsaaseen tietotasoon, ja vastaajat kokivat kielihistorian hyödyntämisen saamenopetuksessa vähintäänkin melko hyödylliseksi.</w:t>
      </w:r>
    </w:p>
    <w:p w14:paraId="547C4713" w14:textId="77777777" w:rsidR="00C60F2E" w:rsidRPr="00FB4EFA" w:rsidRDefault="00C60F2E" w:rsidP="00402EF4">
      <w:pPr>
        <w:ind w:firstLine="709"/>
        <w:rPr>
          <w:lang w:val="fi-FI"/>
        </w:rPr>
      </w:pPr>
      <w:r w:rsidRPr="00FB4EFA">
        <w:rPr>
          <w:lang w:val="fi-FI"/>
        </w:rPr>
        <w:t>Avoimissa kysymyksissä vastaajat saivat antaa useita ehdotuksia ja kaikki on otettu mukaan tähän. Siksi vastausten määrä ylittää vastaajien määrän. Avoimissa kysymyksissä yksi vastaaja koki, ettei hyötynyt kielihistoriallisesta tiedosta kielenoppimisessa. Suurin osa vastaajista kuitenkin koki hyötyneensä kielihistoriasta sanojen ja taivutuksen opettelussa, ja näihin he kaipasivat myös lisää kielihistoriallista tietoa.</w:t>
      </w:r>
    </w:p>
    <w:p w14:paraId="2D2FA21D" w14:textId="77777777" w:rsidR="00C60F2E" w:rsidRPr="00FB4EFA" w:rsidRDefault="00C60F2E" w:rsidP="00402EF4">
      <w:pPr>
        <w:ind w:firstLine="709"/>
        <w:rPr>
          <w:lang w:val="fi-FI"/>
        </w:rPr>
      </w:pPr>
      <w:r w:rsidRPr="00FB4EFA">
        <w:rPr>
          <w:lang w:val="fi-FI"/>
        </w:rPr>
        <w:t xml:space="preserve">Kyselyn tulosten yhteenvetona voidaan todeta rohkaisevasti, että pääsääntöisesti opiskelijat kokevat kielihistorian hyödylliseksi apuneuvoksi kielenoppimisessa. He myös haluavat lisää tietoa kielihistoriasta. Tekemäni kyselyn perusteella vaikuttaa siltä, että kielihistoriasta on hyötyä myös käytännön kielen oppimisessa, erityisesti sanataivutuksessa ja sanojen opettelussa. Suomen kautta monet sanat jäävät helpommin mieleen, mahdollisesti siksi, että suomesta on paljon lainattu saameen sanoja, mutta ehkä myös siksi, että äänteenmuutosten säännöllisyys voi auttaa muistamaan joitakin vanhoja yhteisiä sanoja. Tämä hieman poikkeaa </w:t>
      </w:r>
      <w:r w:rsidRPr="00FB4EFA">
        <w:rPr>
          <w:lang w:val="fi-FI"/>
        </w:rPr>
        <w:lastRenderedPageBreak/>
        <w:t>Laakson (2015: 184) näkemyksestä, että etymologia ei auttaisi sanaston oppimisessa. Laakson näkemys pohjautuu unkariin, joka on suomen kaukaisempi sukulainen kuin saame, mikä voi olla syynä eroavaisuuksiin.</w:t>
      </w:r>
    </w:p>
    <w:p w14:paraId="049F5739" w14:textId="58E9B8B1" w:rsidR="00C60F2E" w:rsidRPr="00FB4EFA" w:rsidRDefault="00C60F2E" w:rsidP="00AF0CAD">
      <w:pPr>
        <w:ind w:firstLine="709"/>
        <w:rPr>
          <w:lang w:val="fi-FI"/>
        </w:rPr>
      </w:pPr>
      <w:r w:rsidRPr="00FB4EFA">
        <w:rPr>
          <w:lang w:val="fi-FI"/>
        </w:rPr>
        <w:t xml:space="preserve">Olen kuitenkin myöhemmin opettaessani huomannut, että kaikki ryhmät eivät selkeästi sovellu laajamittaiseen kielihistorian </w:t>
      </w:r>
      <w:r w:rsidR="0033568E" w:rsidRPr="00FB4EFA">
        <w:rPr>
          <w:lang w:val="fi-FI"/>
        </w:rPr>
        <w:br/>
      </w:r>
      <w:r w:rsidRPr="00FB4EFA">
        <w:rPr>
          <w:lang w:val="fi-FI"/>
        </w:rPr>
        <w:t>hyödyntämiseen, vaan opiskelijoiden oma kiinnostus ja oma-aloitteisuus vaikuttavat siihen, miten hyvin kielihistoria tulee opetu</w:t>
      </w:r>
      <w:r w:rsidR="00F5289C" w:rsidRPr="00FB4EFA">
        <w:rPr>
          <w:lang w:val="fi-FI"/>
        </w:rPr>
        <w:softHyphen/>
      </w:r>
      <w:r w:rsidRPr="00FB4EFA">
        <w:rPr>
          <w:lang w:val="fi-FI"/>
        </w:rPr>
        <w:t>ksessa esiin. Jos haluaa hyödyntää kielihistoriaa jokaisen ryhmän kielenopetuksessa, olisi ehkä hyvä käyttää erilaisia opetustapoja, jotta kielihistorian hyödyllisyys kielenoppimisessa tulisi esiin motivoivalla tavalla (ks. esim. Arteaga &amp; Herschensohn 1995: 213).</w:t>
      </w:r>
    </w:p>
    <w:p w14:paraId="6FE1CBB1" w14:textId="77777777" w:rsidR="00C60F2E" w:rsidRPr="00FB4EFA" w:rsidRDefault="00C60F2E" w:rsidP="00545033">
      <w:pPr>
        <w:pStyle w:val="Heading2"/>
        <w:suppressAutoHyphens/>
        <w:spacing w:line="259" w:lineRule="auto"/>
        <w:rPr>
          <w:color w:val="auto"/>
          <w:lang w:val="fi-FI"/>
        </w:rPr>
      </w:pPr>
      <w:r w:rsidRPr="00FB4EFA">
        <w:rPr>
          <w:color w:val="auto"/>
          <w:lang w:val="fi-FI"/>
        </w:rPr>
        <w:t>Lopuksi</w:t>
      </w:r>
    </w:p>
    <w:p w14:paraId="44504906" w14:textId="77777777" w:rsidR="00C60F2E" w:rsidRPr="00FB4EFA" w:rsidRDefault="00C60F2E" w:rsidP="00402EF4">
      <w:pPr>
        <w:rPr>
          <w:lang w:val="fi-FI"/>
        </w:rPr>
      </w:pPr>
      <w:r w:rsidRPr="00FB4EFA">
        <w:rPr>
          <w:lang w:val="fi-FI"/>
        </w:rPr>
        <w:t>Olen tässä artikkelissa ottanut kantaa kielihistorian merkitykseen kielenopetuksessa ja todennut, että kouluissakin olisi hyvä kielten vertailussa ottaa huomioon kielten sukulaisuussuhteet. Kuten olen opettaessani huomannut, aiemmin opitut vieraat kielet tapaavat luoda intuitiivisen kielenoppimismallin, joka ei erisukuisten kielten oppimisessa auta, vaan mahdollisesti jopa hidastaa oppimista. Saame on etäämpänä suomesta kuin viro, joten suomen kielen (L1) hyödyntäminen ei käy itsestäänselvästi, vaan monet soveltavat L2-kielen malleja, eivät ehkä niinkään sanastollisesti, vaan rakenteellisesti. Kielisukulaisuuden vaikutusta L2- ja L3-kielten oppimiseen ja oppimisstrategioihin voisi tutkia syvällisemminkin kuin käytännön oppimista havainnoimmalla, kuten tässä artikkelissa.</w:t>
      </w:r>
    </w:p>
    <w:p w14:paraId="570E519B" w14:textId="77777777" w:rsidR="00C60F2E" w:rsidRPr="00FB4EFA" w:rsidRDefault="00C60F2E" w:rsidP="000D4EBE">
      <w:pPr>
        <w:ind w:firstLine="709"/>
        <w:rPr>
          <w:szCs w:val="24"/>
          <w:lang w:val="fi-FI"/>
        </w:rPr>
      </w:pPr>
      <w:r w:rsidRPr="00FB4EFA">
        <w:rPr>
          <w:lang w:val="fi-FI"/>
        </w:rPr>
        <w:t>Kyselytutkimuksen perusteella näyttää siltä, että kielihistoriaa on mahdollista hyödyntää käytännön kielen opettamisessa, ja siitä koetaan olevan apua sanaston opettelussa sekä rakenteen hahmottamisessa. Olenkin saamea opettaessani oppinut kiinnittämään opiskelijoiden huomion erityisesti alkuvaiheessa siihen, mikä on samaa kuin suomessa, ennemmin kuin siihen, mikä poikkeaa suomesta. Kielihistoriallista taustaa voisi käyttää opetuksessa tehokkaamminkin esimerkiksi yhteisen sanaston äännevastaavuusmalleja hyödyntäen.</w:t>
      </w:r>
    </w:p>
    <w:p w14:paraId="5B5D8CC3" w14:textId="77777777" w:rsidR="00C60F2E" w:rsidRPr="00FB4EFA" w:rsidRDefault="00C60F2E" w:rsidP="00545033">
      <w:pPr>
        <w:pStyle w:val="Heading2"/>
        <w:suppressAutoHyphens/>
        <w:spacing w:line="259" w:lineRule="auto"/>
        <w:rPr>
          <w:color w:val="auto"/>
          <w:lang w:val="fi-FI"/>
        </w:rPr>
      </w:pPr>
      <w:r w:rsidRPr="00FB4EFA">
        <w:rPr>
          <w:color w:val="auto"/>
          <w:lang w:val="fi-FI"/>
        </w:rPr>
        <w:lastRenderedPageBreak/>
        <w:t>Lähteet</w:t>
      </w:r>
    </w:p>
    <w:p w14:paraId="2EEDEC6F" w14:textId="7D016ED2" w:rsidR="00C60F2E" w:rsidRPr="00FB4EFA" w:rsidRDefault="00C60F2E" w:rsidP="0033568E">
      <w:pPr>
        <w:suppressAutoHyphens/>
        <w:spacing w:line="240" w:lineRule="auto"/>
        <w:ind w:left="426" w:hanging="426"/>
        <w:rPr>
          <w:rFonts w:cs="Charis SIL"/>
          <w:lang w:val="fi-FI"/>
        </w:rPr>
      </w:pPr>
      <w:r w:rsidRPr="00FB4EFA">
        <w:rPr>
          <w:rFonts w:cs="Charis SIL"/>
          <w:lang w:val="fi-FI"/>
        </w:rPr>
        <w:t>Aikio, Ante. 2007. Etymological nativization of loanwords. A case study of Saami and Finnish. Teoksessa Ida Toivonen &amp; Diane Nelson (toim.)</w:t>
      </w:r>
      <w:r w:rsidR="00E963B8" w:rsidRPr="00FB4EFA">
        <w:rPr>
          <w:rFonts w:cs="Charis SIL"/>
          <w:lang w:val="fi-FI"/>
        </w:rPr>
        <w:t>,</w:t>
      </w:r>
      <w:r w:rsidRPr="00FB4EFA">
        <w:rPr>
          <w:rFonts w:cs="Charis SIL"/>
          <w:lang w:val="fi-FI"/>
        </w:rPr>
        <w:t xml:space="preserve"> </w:t>
      </w:r>
      <w:r w:rsidRPr="00FB4EFA">
        <w:rPr>
          <w:rFonts w:eastAsia="Charis SIL" w:cs="Charis SIL"/>
          <w:i/>
          <w:iCs/>
          <w:lang w:val="fi-FI"/>
        </w:rPr>
        <w:t>Saami Linguistics</w:t>
      </w:r>
      <w:r w:rsidR="00E963B8" w:rsidRPr="00FB4EFA">
        <w:rPr>
          <w:rFonts w:eastAsia="Charis SIL" w:cs="Charis SIL"/>
          <w:lang w:val="fi-FI"/>
        </w:rPr>
        <w:t xml:space="preserve">, </w:t>
      </w:r>
      <w:r w:rsidR="00E963B8" w:rsidRPr="00FB4EFA">
        <w:rPr>
          <w:rFonts w:cs="Charis SIL"/>
          <w:lang w:val="fi-FI"/>
        </w:rPr>
        <w:t>17–52</w:t>
      </w:r>
      <w:r w:rsidRPr="00FB4EFA">
        <w:rPr>
          <w:rFonts w:cs="Charis SIL"/>
          <w:lang w:val="fi-FI"/>
        </w:rPr>
        <w:t xml:space="preserve">. Current </w:t>
      </w:r>
      <w:r w:rsidR="00E963B8" w:rsidRPr="00FB4EFA">
        <w:rPr>
          <w:rFonts w:cs="Charis SIL"/>
          <w:lang w:val="fi-FI"/>
        </w:rPr>
        <w:t>I</w:t>
      </w:r>
      <w:r w:rsidRPr="00FB4EFA">
        <w:rPr>
          <w:rFonts w:cs="Charis SIL"/>
          <w:lang w:val="fi-FI"/>
        </w:rPr>
        <w:t xml:space="preserve">ssues in </w:t>
      </w:r>
      <w:r w:rsidR="00E963B8" w:rsidRPr="00FB4EFA">
        <w:rPr>
          <w:rFonts w:cs="Charis SIL"/>
          <w:lang w:val="fi-FI"/>
        </w:rPr>
        <w:t>L</w:t>
      </w:r>
      <w:r w:rsidRPr="00FB4EFA">
        <w:rPr>
          <w:rFonts w:cs="Charis SIL"/>
          <w:lang w:val="fi-FI"/>
        </w:rPr>
        <w:t xml:space="preserve">inguistic </w:t>
      </w:r>
      <w:r w:rsidR="00E963B8" w:rsidRPr="00FB4EFA">
        <w:rPr>
          <w:rFonts w:cs="Charis SIL"/>
          <w:lang w:val="fi-FI"/>
        </w:rPr>
        <w:t>T</w:t>
      </w:r>
      <w:r w:rsidRPr="00FB4EFA">
        <w:rPr>
          <w:rFonts w:cs="Charis SIL"/>
          <w:lang w:val="fi-FI"/>
        </w:rPr>
        <w:t>heory 288. Amsterdam: John Benjamins.</w:t>
      </w:r>
    </w:p>
    <w:p w14:paraId="78941EC2" w14:textId="2B06A351" w:rsidR="00C60F2E" w:rsidRPr="00FB4EFA" w:rsidRDefault="00C60F2E" w:rsidP="0033568E">
      <w:pPr>
        <w:suppressAutoHyphens/>
        <w:spacing w:line="240" w:lineRule="auto"/>
        <w:ind w:left="426" w:hanging="426"/>
        <w:rPr>
          <w:rFonts w:cs="Charis SIL"/>
          <w:lang w:val="fi-FI"/>
        </w:rPr>
      </w:pPr>
      <w:r w:rsidRPr="00FB4EFA">
        <w:rPr>
          <w:rFonts w:cs="Charis SIL"/>
          <w:lang w:val="fi-FI"/>
        </w:rPr>
        <w:t>Aikio, Ante. 2012. An essay on Saami ethnolinguistic prehistory. Teoksessa Petri Kallio &amp; Riho Grünthal (toim.)</w:t>
      </w:r>
      <w:r w:rsidR="00E11E59" w:rsidRPr="00FB4EFA">
        <w:rPr>
          <w:rFonts w:cs="Charis SIL"/>
          <w:lang w:val="fi-FI"/>
        </w:rPr>
        <w:t>,</w:t>
      </w:r>
      <w:r w:rsidRPr="00FB4EFA">
        <w:rPr>
          <w:rFonts w:cs="Charis SIL"/>
          <w:lang w:val="fi-FI"/>
        </w:rPr>
        <w:t xml:space="preserve"> </w:t>
      </w:r>
      <w:r w:rsidRPr="00FB4EFA">
        <w:rPr>
          <w:rFonts w:eastAsia="Charis SIL" w:cs="Charis SIL"/>
          <w:i/>
          <w:iCs/>
          <w:lang w:val="fi-FI"/>
        </w:rPr>
        <w:t>A Linguistic Map on Prehistoric Northern Europe</w:t>
      </w:r>
      <w:r w:rsidR="00E11E59" w:rsidRPr="00FB4EFA">
        <w:rPr>
          <w:rFonts w:eastAsia="Charis SIL" w:cs="Charis SIL"/>
          <w:lang w:val="fi-FI"/>
        </w:rPr>
        <w:t xml:space="preserve">, </w:t>
      </w:r>
      <w:r w:rsidR="00E11E59" w:rsidRPr="00FB4EFA">
        <w:rPr>
          <w:rFonts w:cs="Charis SIL"/>
          <w:lang w:val="fi-FI"/>
        </w:rPr>
        <w:t>63–117</w:t>
      </w:r>
      <w:r w:rsidRPr="00FB4EFA">
        <w:rPr>
          <w:rFonts w:cs="Charis SIL"/>
          <w:lang w:val="fi-FI"/>
        </w:rPr>
        <w:t>. Suomalais-Ugrilaisen Seuran Toimituksia 266. Helsinki: Suomalais-Ugrilainen Seura.</w:t>
      </w:r>
    </w:p>
    <w:p w14:paraId="656D00C5" w14:textId="7E688B26"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Arteaga, Deborah L. &amp; Julia Herschensohn. 1995. Using Diachronic Linguistics in the Language Classroom. </w:t>
      </w:r>
      <w:r w:rsidRPr="00FB4EFA">
        <w:rPr>
          <w:rFonts w:eastAsia="Charis SIL" w:cs="Charis SIL"/>
          <w:i/>
          <w:iCs/>
          <w:lang w:val="fi-FI"/>
        </w:rPr>
        <w:t>The Modern Language Journal</w:t>
      </w:r>
      <w:r w:rsidRPr="00FB4EFA">
        <w:rPr>
          <w:rFonts w:cs="Charis SIL"/>
          <w:lang w:val="fi-FI"/>
        </w:rPr>
        <w:t xml:space="preserve"> 79</w:t>
      </w:r>
      <w:r w:rsidR="00CB7F0B" w:rsidRPr="00FB4EFA">
        <w:rPr>
          <w:rFonts w:cs="Charis SIL"/>
          <w:lang w:val="fi-FI"/>
        </w:rPr>
        <w:t xml:space="preserve"> (</w:t>
      </w:r>
      <w:r w:rsidRPr="00FB4EFA">
        <w:rPr>
          <w:rFonts w:cs="Charis SIL"/>
          <w:lang w:val="fi-FI"/>
        </w:rPr>
        <w:t>2</w:t>
      </w:r>
      <w:r w:rsidR="00CB7F0B" w:rsidRPr="00FB4EFA">
        <w:rPr>
          <w:rFonts w:cs="Charis SIL"/>
          <w:lang w:val="fi-FI"/>
        </w:rPr>
        <w:t>)</w:t>
      </w:r>
      <w:r w:rsidRPr="00FB4EFA">
        <w:rPr>
          <w:rFonts w:cs="Charis SIL"/>
          <w:lang w:val="fi-FI"/>
        </w:rPr>
        <w:t>. 212–222.</w:t>
      </w:r>
    </w:p>
    <w:p w14:paraId="08E24491" w14:textId="2E3414A7" w:rsidR="0025577E" w:rsidRPr="00FB4EFA" w:rsidRDefault="0025577E" w:rsidP="0033568E">
      <w:pPr>
        <w:suppressAutoHyphens/>
        <w:spacing w:line="240" w:lineRule="auto"/>
        <w:ind w:left="426" w:hanging="426"/>
        <w:rPr>
          <w:rFonts w:cs="Charis SIL"/>
          <w:lang w:val="fi-FI"/>
        </w:rPr>
      </w:pPr>
      <w:r w:rsidRPr="00FB4EFA">
        <w:rPr>
          <w:rFonts w:cs="Charis SIL"/>
          <w:lang w:val="fi-FI"/>
        </w:rPr>
        <w:t xml:space="preserve">Branch, Hannele. (s.a). Is Finnish a difficult language? </w:t>
      </w:r>
      <w:hyperlink r:id="rId311" w:history="1">
        <w:r w:rsidRPr="00FB4EFA">
          <w:rPr>
            <w:rStyle w:val="Hyperlink"/>
            <w:rFonts w:cs="Charis SIL"/>
            <w:color w:val="auto"/>
            <w:lang w:val="fi-FI"/>
          </w:rPr>
          <w:t>finland.fi/life-society/is-finnish-a-difficult-language/</w:t>
        </w:r>
      </w:hyperlink>
      <w:r w:rsidRPr="00FB4EFA">
        <w:rPr>
          <w:rFonts w:cs="Charis SIL"/>
          <w:lang w:val="fi-FI"/>
        </w:rPr>
        <w:t>.</w:t>
      </w:r>
    </w:p>
    <w:p w14:paraId="21C36EFE" w14:textId="1B1B7EF5"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Dominczak, Katarzyna. 2020. </w:t>
      </w:r>
      <w:r w:rsidRPr="00FB4EFA">
        <w:rPr>
          <w:rFonts w:eastAsia="Charis SIL" w:cs="Charis SIL"/>
          <w:i/>
          <w:iCs/>
          <w:lang w:val="fi-FI"/>
        </w:rPr>
        <w:t>Nominatiiva vai akkusatiiva? Davvisámegiela studeanttaid kásusoahppan</w:t>
      </w:r>
      <w:r w:rsidRPr="00FB4EFA">
        <w:rPr>
          <w:rFonts w:cs="Charis SIL"/>
          <w:lang w:val="fi-FI"/>
        </w:rPr>
        <w:t>. Saamen kielen pro gradu -työ. Tromssa: UIT Norges arktiske universitet.</w:t>
      </w:r>
    </w:p>
    <w:p w14:paraId="6185CF8D" w14:textId="2BDE05ED"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Falk, Ylva &amp; Camilla Bardel. 2010. The study of the role of the background languages in third language acquisition. The state of the art. </w:t>
      </w:r>
      <w:r w:rsidRPr="00FB4EFA">
        <w:rPr>
          <w:rFonts w:eastAsia="Charis SIL" w:cs="Charis SIL"/>
          <w:i/>
          <w:iCs/>
          <w:lang w:val="fi-FI"/>
        </w:rPr>
        <w:t xml:space="preserve">International Review of Applied Linguistics in Language Teaching (IRAL) </w:t>
      </w:r>
      <w:r w:rsidRPr="00FB4EFA">
        <w:rPr>
          <w:rFonts w:cs="Charis SIL"/>
          <w:lang w:val="fi-FI"/>
        </w:rPr>
        <w:t>48 2</w:t>
      </w:r>
      <w:r w:rsidR="00CB7F0B" w:rsidRPr="00FB4EFA">
        <w:rPr>
          <w:rFonts w:cs="Charis SIL"/>
          <w:lang w:val="fi-FI"/>
        </w:rPr>
        <w:t xml:space="preserve"> (</w:t>
      </w:r>
      <w:r w:rsidRPr="00FB4EFA">
        <w:rPr>
          <w:rFonts w:cs="Charis SIL"/>
          <w:lang w:val="fi-FI"/>
        </w:rPr>
        <w:t>3</w:t>
      </w:r>
      <w:r w:rsidR="00CB7F0B" w:rsidRPr="00FB4EFA">
        <w:rPr>
          <w:rFonts w:cs="Charis SIL"/>
          <w:lang w:val="fi-FI"/>
        </w:rPr>
        <w:t>)</w:t>
      </w:r>
      <w:r w:rsidRPr="00FB4EFA">
        <w:rPr>
          <w:rFonts w:cs="Charis SIL"/>
          <w:lang w:val="fi-FI"/>
        </w:rPr>
        <w:t>. 185–219.</w:t>
      </w:r>
    </w:p>
    <w:p w14:paraId="657846C9" w14:textId="77777777"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Guttorm, Outi. 2015. Davvisámegiela adnominála </w:t>
      </w:r>
      <w:r w:rsidRPr="00FB4EFA">
        <w:rPr>
          <w:rFonts w:eastAsia="Charis SIL" w:cs="Charis SIL"/>
          <w:i/>
          <w:iCs/>
          <w:lang w:val="fi-FI"/>
        </w:rPr>
        <w:t>dat</w:t>
      </w:r>
      <w:r w:rsidRPr="00FB4EFA">
        <w:rPr>
          <w:rFonts w:cs="Charis SIL"/>
          <w:lang w:val="fi-FI"/>
        </w:rPr>
        <w:t xml:space="preserve"> – demonstratiivadeterminánttas maiddái definihtta artihkalin. </w:t>
      </w:r>
      <w:r w:rsidRPr="00FB4EFA">
        <w:rPr>
          <w:rFonts w:eastAsia="Charis SIL" w:cs="Charis SIL"/>
          <w:i/>
          <w:iCs/>
          <w:lang w:val="fi-FI"/>
        </w:rPr>
        <w:t>Sámi dieđalaš áigečala</w:t>
      </w:r>
      <w:r w:rsidRPr="00FB4EFA">
        <w:rPr>
          <w:rFonts w:cs="Charis SIL"/>
          <w:lang w:val="fi-FI"/>
        </w:rPr>
        <w:t xml:space="preserve"> 2/2015. 7–31.</w:t>
      </w:r>
    </w:p>
    <w:p w14:paraId="524082CE" w14:textId="77777777"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Harmanen, Minna. 2011. Kielitiedolla lisää kielitajua – perusopetuksen ja lukion kielitiedon opetus. </w:t>
      </w:r>
      <w:r w:rsidRPr="00FB4EFA">
        <w:rPr>
          <w:rFonts w:eastAsia="Charis SIL" w:cs="Charis SIL"/>
          <w:i/>
          <w:iCs/>
          <w:lang w:val="fi-FI"/>
        </w:rPr>
        <w:t xml:space="preserve">Virittäjä </w:t>
      </w:r>
      <w:r w:rsidRPr="00FB4EFA">
        <w:rPr>
          <w:rFonts w:cs="Charis SIL"/>
          <w:lang w:val="fi-FI"/>
        </w:rPr>
        <w:t>115. 385–394.</w:t>
      </w:r>
    </w:p>
    <w:p w14:paraId="0FE7075C" w14:textId="77777777"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Itkonen, Terho. 1968. Äidinkieli, koulu ja yliopisto. </w:t>
      </w:r>
      <w:r w:rsidRPr="00FB4EFA">
        <w:rPr>
          <w:rFonts w:eastAsia="Charis SIL" w:cs="Charis SIL"/>
          <w:i/>
          <w:iCs/>
          <w:lang w:val="fi-FI"/>
        </w:rPr>
        <w:t>Virittäjä</w:t>
      </w:r>
      <w:r w:rsidRPr="00FB4EFA">
        <w:rPr>
          <w:rFonts w:cs="Charis SIL"/>
          <w:lang w:val="fi-FI"/>
        </w:rPr>
        <w:t xml:space="preserve"> 72. 109–115.</w:t>
      </w:r>
    </w:p>
    <w:p w14:paraId="2D1204D4" w14:textId="77777777" w:rsidR="00C60F2E" w:rsidRPr="00FB4EFA" w:rsidRDefault="00C60F2E" w:rsidP="0033568E">
      <w:pPr>
        <w:suppressAutoHyphens/>
        <w:spacing w:line="240" w:lineRule="auto"/>
        <w:ind w:left="426" w:hanging="426"/>
        <w:rPr>
          <w:rFonts w:cs="Charis SIL"/>
          <w:shd w:val="clear" w:color="auto" w:fill="FFFF00"/>
          <w:lang w:val="fi-FI"/>
        </w:rPr>
      </w:pPr>
      <w:r w:rsidRPr="00FB4EFA">
        <w:rPr>
          <w:rFonts w:cs="Charis SIL"/>
          <w:lang w:val="fi-FI"/>
        </w:rPr>
        <w:t>Kasik, Reet. 1991.</w:t>
      </w:r>
      <w:r w:rsidRPr="00FB4EFA">
        <w:rPr>
          <w:rFonts w:eastAsia="Charis SIL" w:cs="Charis SIL"/>
          <w:i/>
          <w:iCs/>
          <w:lang w:val="fi-FI"/>
        </w:rPr>
        <w:t xml:space="preserve"> Hakkame rääkima! Viron kielen peruskurssi. </w:t>
      </w:r>
      <w:r w:rsidRPr="00FB4EFA">
        <w:rPr>
          <w:rFonts w:cs="Charis SIL"/>
          <w:lang w:val="fi-FI"/>
        </w:rPr>
        <w:t>Turun yliopiston suomen kielen ja yleisen kielitieteen laitoksen julkaisuja 37. Turku: Turun yliopisto.</w:t>
      </w:r>
    </w:p>
    <w:p w14:paraId="274FF988" w14:textId="74F43404" w:rsidR="00C60F2E" w:rsidRPr="00FB4EFA" w:rsidRDefault="00C60F2E" w:rsidP="0033568E">
      <w:pPr>
        <w:suppressAutoHyphens/>
        <w:spacing w:line="240" w:lineRule="auto"/>
        <w:ind w:left="426" w:hanging="426"/>
        <w:rPr>
          <w:rFonts w:cs="Charis SIL"/>
          <w:lang w:val="fi-FI"/>
        </w:rPr>
      </w:pPr>
      <w:r w:rsidRPr="00FB4EFA">
        <w:rPr>
          <w:rFonts w:cs="Charis SIL"/>
          <w:lang w:val="fi-FI"/>
        </w:rPr>
        <w:t>Korhonen, Mikko</w:t>
      </w:r>
      <w:r w:rsidR="002544DA" w:rsidRPr="00FB4EFA">
        <w:rPr>
          <w:rFonts w:cs="Charis SIL"/>
          <w:lang w:val="fi-FI"/>
        </w:rPr>
        <w:t>.</w:t>
      </w:r>
      <w:r w:rsidRPr="00FB4EFA">
        <w:rPr>
          <w:rFonts w:cs="Charis SIL"/>
          <w:lang w:val="fi-FI"/>
        </w:rPr>
        <w:t xml:space="preserve"> 1981</w:t>
      </w:r>
      <w:r w:rsidR="002544DA" w:rsidRPr="00FB4EFA">
        <w:rPr>
          <w:rFonts w:cs="Charis SIL"/>
          <w:lang w:val="fi-FI"/>
        </w:rPr>
        <w:t>.</w:t>
      </w:r>
      <w:r w:rsidRPr="00FB4EFA">
        <w:rPr>
          <w:rFonts w:cs="Charis SIL"/>
          <w:lang w:val="fi-FI"/>
        </w:rPr>
        <w:t xml:space="preserve"> </w:t>
      </w:r>
      <w:r w:rsidRPr="00FB4EFA">
        <w:rPr>
          <w:rFonts w:cs="Charis SIL"/>
          <w:i/>
          <w:iCs/>
          <w:lang w:val="fi-FI"/>
        </w:rPr>
        <w:t>Johdatus lapin kielen historiaan</w:t>
      </w:r>
      <w:r w:rsidRPr="00FB4EFA">
        <w:rPr>
          <w:rFonts w:cs="Charis SIL"/>
          <w:lang w:val="fi-FI"/>
        </w:rPr>
        <w:t xml:space="preserve">. Helsinki: </w:t>
      </w:r>
      <w:r w:rsidR="00F9255F" w:rsidRPr="00FB4EFA">
        <w:rPr>
          <w:rFonts w:cs="Charis SIL"/>
          <w:lang w:val="fi-FI"/>
        </w:rPr>
        <w:t>SKS</w:t>
      </w:r>
      <w:r w:rsidRPr="00FB4EFA">
        <w:rPr>
          <w:rFonts w:cs="Charis SIL"/>
          <w:lang w:val="fi-FI"/>
        </w:rPr>
        <w:t>.</w:t>
      </w:r>
    </w:p>
    <w:p w14:paraId="422498F1" w14:textId="17AABE9B"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Laakso, Johanna. 2015. The Finno-Ugric foundations of language teaching. </w:t>
      </w:r>
      <w:r w:rsidRPr="00FB4EFA">
        <w:rPr>
          <w:rFonts w:eastAsia="Charis SIL" w:cs="Charis SIL"/>
          <w:i/>
          <w:iCs/>
          <w:lang w:val="fi-FI"/>
        </w:rPr>
        <w:t>Lähivertailuja</w:t>
      </w:r>
      <w:r w:rsidRPr="00FB4EFA">
        <w:rPr>
          <w:rFonts w:cs="Charis SIL"/>
          <w:lang w:val="fi-FI"/>
        </w:rPr>
        <w:t xml:space="preserve"> 25</w:t>
      </w:r>
      <w:r w:rsidR="00E11E59" w:rsidRPr="00FB4EFA">
        <w:rPr>
          <w:rFonts w:cs="Charis SIL"/>
          <w:lang w:val="fi-FI"/>
        </w:rPr>
        <w:t>.</w:t>
      </w:r>
      <w:r w:rsidRPr="00FB4EFA">
        <w:rPr>
          <w:rFonts w:cs="Charis SIL"/>
          <w:lang w:val="fi-FI"/>
        </w:rPr>
        <w:t xml:space="preserve"> 174–190.</w:t>
      </w:r>
    </w:p>
    <w:p w14:paraId="110C3AC8" w14:textId="3D3A7BDB" w:rsidR="00C60F2E" w:rsidRPr="00FB4EFA" w:rsidRDefault="00C60F2E" w:rsidP="0033568E">
      <w:pPr>
        <w:keepLines/>
        <w:suppressAutoHyphens/>
        <w:spacing w:line="240" w:lineRule="auto"/>
        <w:ind w:left="425" w:hanging="425"/>
        <w:rPr>
          <w:rFonts w:cs="Charis SIL"/>
          <w:lang w:val="fi-FI"/>
        </w:rPr>
      </w:pPr>
      <w:r w:rsidRPr="00FB4EFA">
        <w:rPr>
          <w:rFonts w:cs="Charis SIL"/>
          <w:lang w:val="fi-FI"/>
        </w:rPr>
        <w:t xml:space="preserve">Laakso, Johanna. 2017. Pandan suolistoa (1): ruiksenleikkuuta kirveksellä? </w:t>
      </w:r>
      <w:r w:rsidRPr="00FB4EFA">
        <w:rPr>
          <w:rFonts w:eastAsia="Charis SIL" w:cs="Charis SIL"/>
          <w:i/>
          <w:iCs/>
          <w:lang w:val="fi-FI"/>
        </w:rPr>
        <w:t>Kieliö – sekalaista aattelehdintaa kielestä ja kielistä (</w:t>
      </w:r>
      <w:r w:rsidRPr="00FB4EFA">
        <w:rPr>
          <w:rFonts w:cs="Charis SIL"/>
          <w:lang w:val="fi-FI"/>
        </w:rPr>
        <w:t xml:space="preserve">blogi, 11.9.2017). </w:t>
      </w:r>
      <w:hyperlink r:id="rId312" w:history="1">
        <w:r w:rsidRPr="00FB4EFA">
          <w:rPr>
            <w:rFonts w:cs="Charis SIL"/>
            <w:u w:val="single"/>
            <w:lang w:val="fi-FI"/>
          </w:rPr>
          <w:t>kielioblog.wordpress.com/2017/09/11/</w:t>
        </w:r>
        <w:r w:rsidRPr="00FB4EFA">
          <w:rPr>
            <w:rFonts w:cs="Charis SIL"/>
            <w:u w:val="single"/>
            <w:lang w:val="fi-FI"/>
          </w:rPr>
          <w:br/>
          <w:t>pandan-suolistoa-1-ruiksenleikkuuta-kirveksella/</w:t>
        </w:r>
      </w:hyperlink>
      <w:r w:rsidR="008F2CAE" w:rsidRPr="00FB4EFA">
        <w:rPr>
          <w:rFonts w:cs="Charis SIL"/>
          <w:lang w:val="fi-FI"/>
        </w:rPr>
        <w:t>.</w:t>
      </w:r>
    </w:p>
    <w:p w14:paraId="1D37CD58" w14:textId="77777777"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Länsman, Helmi. 2006. </w:t>
      </w:r>
      <w:r w:rsidRPr="00FB4EFA">
        <w:rPr>
          <w:rFonts w:eastAsia="Charis SIL" w:cs="Charis SIL"/>
          <w:i/>
          <w:iCs/>
          <w:lang w:val="fi-FI"/>
        </w:rPr>
        <w:t>Cealkke dearvvuođaid</w:t>
      </w:r>
      <w:r w:rsidRPr="00FB4EFA">
        <w:rPr>
          <w:rFonts w:cs="Charis SIL"/>
          <w:lang w:val="fi-FI"/>
        </w:rPr>
        <w:t>! 1–4. Anár: Sámediggi.</w:t>
      </w:r>
    </w:p>
    <w:p w14:paraId="00CD75C6" w14:textId="77777777"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Länsman, Outi. 2009. Oahppiid feaillat čállosiin. </w:t>
      </w:r>
      <w:r w:rsidRPr="00FB4EFA">
        <w:rPr>
          <w:rFonts w:eastAsia="Charis SIL" w:cs="Charis SIL"/>
          <w:i/>
          <w:iCs/>
          <w:lang w:val="fi-FI"/>
        </w:rPr>
        <w:t xml:space="preserve">Dieđut </w:t>
      </w:r>
      <w:r w:rsidRPr="00FB4EFA">
        <w:rPr>
          <w:rFonts w:cs="Charis SIL"/>
          <w:lang w:val="fi-FI"/>
        </w:rPr>
        <w:t>1/2009. 70–85.</w:t>
      </w:r>
    </w:p>
    <w:p w14:paraId="652BE75F" w14:textId="10A8B3F7" w:rsidR="00C60F2E" w:rsidRPr="00FB4EFA" w:rsidRDefault="00C60F2E" w:rsidP="0033568E">
      <w:pPr>
        <w:keepLines/>
        <w:suppressAutoHyphens/>
        <w:spacing w:line="240" w:lineRule="auto"/>
        <w:ind w:left="425" w:hanging="425"/>
        <w:rPr>
          <w:rFonts w:cs="Charis SIL"/>
          <w:lang w:val="fi-FI"/>
        </w:rPr>
      </w:pPr>
      <w:r w:rsidRPr="00FB4EFA">
        <w:rPr>
          <w:rFonts w:cs="Charis SIL"/>
          <w:lang w:val="fi-FI"/>
        </w:rPr>
        <w:lastRenderedPageBreak/>
        <w:t xml:space="preserve">Olthuis, Marja-Liisa, Trond Trosterud, Erika Sarivaara, Petter Morottaja, Eljas Niskanen. 2021. Čyeti čälled anarâškielân: </w:t>
      </w:r>
      <w:r w:rsidR="00E11E59" w:rsidRPr="00FB4EFA">
        <w:rPr>
          <w:rFonts w:cs="Charis SIL"/>
          <w:lang w:val="fi-FI"/>
        </w:rPr>
        <w:t>‘</w:t>
      </w:r>
      <w:r w:rsidRPr="00FB4EFA">
        <w:rPr>
          <w:rFonts w:cs="Charis SIL"/>
          <w:lang w:val="fi-FI"/>
        </w:rPr>
        <w:t>One Hundred Writers for Anaar Saami’. Project-based writing strategies and methodologies. Teoksessa Pirjo Virtanen, Pigga Keskitalo</w:t>
      </w:r>
      <w:r w:rsidR="00FD0B95" w:rsidRPr="00FB4EFA">
        <w:rPr>
          <w:rFonts w:cs="Charis SIL"/>
          <w:lang w:val="fi-FI"/>
        </w:rPr>
        <w:t xml:space="preserve"> &amp;</w:t>
      </w:r>
      <w:r w:rsidRPr="00FB4EFA">
        <w:rPr>
          <w:rFonts w:cs="Charis SIL"/>
          <w:lang w:val="fi-FI"/>
        </w:rPr>
        <w:t xml:space="preserve"> Torjer Olsen (toim.)</w:t>
      </w:r>
      <w:r w:rsidR="00E11E59" w:rsidRPr="00FB4EFA">
        <w:rPr>
          <w:rFonts w:cs="Charis SIL"/>
          <w:lang w:val="fi-FI"/>
        </w:rPr>
        <w:t>,</w:t>
      </w:r>
      <w:r w:rsidRPr="00FB4EFA">
        <w:rPr>
          <w:rFonts w:cs="Charis SIL"/>
          <w:lang w:val="fi-FI"/>
        </w:rPr>
        <w:t xml:space="preserve"> </w:t>
      </w:r>
      <w:r w:rsidRPr="00FB4EFA">
        <w:rPr>
          <w:rFonts w:eastAsia="Charis SIL" w:cs="Charis SIL"/>
          <w:i/>
          <w:iCs/>
          <w:lang w:val="fi-FI"/>
        </w:rPr>
        <w:t>Indigenous Research Methodologies in Sámi and Global Contexts</w:t>
      </w:r>
      <w:r w:rsidR="00E11E59" w:rsidRPr="00FB4EFA">
        <w:rPr>
          <w:rFonts w:eastAsia="Charis SIL" w:cs="Charis SIL"/>
          <w:lang w:val="fi-FI"/>
        </w:rPr>
        <w:t>,</w:t>
      </w:r>
      <w:r w:rsidR="00E11E59" w:rsidRPr="00FB4EFA">
        <w:rPr>
          <w:rFonts w:cs="Charis SIL"/>
          <w:lang w:val="fi-FI"/>
        </w:rPr>
        <w:t xml:space="preserve"> 175–200</w:t>
      </w:r>
      <w:r w:rsidRPr="00FB4EFA">
        <w:rPr>
          <w:rFonts w:cs="Charis SIL"/>
          <w:lang w:val="fi-FI"/>
        </w:rPr>
        <w:t>. Leiden: Brill.</w:t>
      </w:r>
    </w:p>
    <w:p w14:paraId="60581B6D" w14:textId="77777777"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Outakoski, Hanna. 2015. </w:t>
      </w:r>
      <w:r w:rsidRPr="00FB4EFA">
        <w:rPr>
          <w:rFonts w:eastAsia="Charis SIL" w:cs="Charis SIL"/>
          <w:i/>
          <w:iCs/>
          <w:lang w:val="fi-FI"/>
        </w:rPr>
        <w:t>Multilingual literacy among young learners in North Sámi: Contexts, complexity and writing in Sápmi.</w:t>
      </w:r>
      <w:r w:rsidRPr="00FB4EFA">
        <w:rPr>
          <w:rFonts w:cs="Charis SIL"/>
          <w:lang w:val="fi-FI"/>
        </w:rPr>
        <w:t xml:space="preserve"> Umeå studies in Language and Literature 27. Uumaja: Uumajan yliopisto.</w:t>
      </w:r>
    </w:p>
    <w:p w14:paraId="2F2109D4" w14:textId="77777777"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Rapola, Martti. 1923. Kielihistorian asema suomalaisten oppikoulujen äidinkielen opetuksessa. </w:t>
      </w:r>
      <w:r w:rsidRPr="00FB4EFA">
        <w:rPr>
          <w:rFonts w:eastAsia="Charis SIL" w:cs="Charis SIL"/>
          <w:i/>
          <w:iCs/>
          <w:lang w:val="fi-FI"/>
        </w:rPr>
        <w:t xml:space="preserve">Virittäjä </w:t>
      </w:r>
      <w:r w:rsidRPr="00FB4EFA">
        <w:rPr>
          <w:rFonts w:cs="Charis SIL"/>
          <w:lang w:val="fi-FI"/>
        </w:rPr>
        <w:t>37. 85–105.</w:t>
      </w:r>
    </w:p>
    <w:p w14:paraId="2182CCB4" w14:textId="77777777" w:rsidR="00C60F2E" w:rsidRPr="00FB4EFA" w:rsidRDefault="00C60F2E" w:rsidP="0033568E">
      <w:pPr>
        <w:suppressAutoHyphens/>
        <w:spacing w:line="240" w:lineRule="auto"/>
        <w:ind w:left="426" w:hanging="426"/>
        <w:rPr>
          <w:rFonts w:cs="Charis SIL"/>
          <w:lang w:val="fi-FI"/>
        </w:rPr>
      </w:pPr>
      <w:r w:rsidRPr="00FB4EFA">
        <w:rPr>
          <w:rFonts w:cs="Charis SIL"/>
          <w:lang w:val="fi-FI"/>
        </w:rPr>
        <w:t xml:space="preserve">Remes, Hannu. 2020. Kielisillan rakentamista 1980-luvulla – Lähivertailua ja Lähivertailuja. </w:t>
      </w:r>
      <w:r w:rsidRPr="00FB4EFA">
        <w:rPr>
          <w:rFonts w:eastAsia="Charis SIL" w:cs="Charis SIL"/>
          <w:i/>
          <w:iCs/>
          <w:lang w:val="fi-FI"/>
        </w:rPr>
        <w:t xml:space="preserve">Lähivertailuja </w:t>
      </w:r>
      <w:r w:rsidRPr="00FB4EFA">
        <w:rPr>
          <w:rFonts w:cs="Charis SIL"/>
          <w:lang w:val="fi-FI"/>
        </w:rPr>
        <w:t>30. 45–56.</w:t>
      </w:r>
    </w:p>
    <w:p w14:paraId="31F3E231" w14:textId="45A6BA0C" w:rsidR="00C60F2E" w:rsidRPr="00FB4EFA" w:rsidRDefault="00C60F2E" w:rsidP="0033568E">
      <w:pPr>
        <w:keepLines/>
        <w:suppressAutoHyphens/>
        <w:spacing w:line="240" w:lineRule="auto"/>
        <w:ind w:left="425" w:hanging="425"/>
        <w:rPr>
          <w:rFonts w:cs="Charis SIL"/>
          <w:lang w:val="fi-FI"/>
        </w:rPr>
      </w:pPr>
      <w:r w:rsidRPr="00FB4EFA">
        <w:rPr>
          <w:rFonts w:cs="Charis SIL"/>
          <w:lang w:val="fi-FI"/>
        </w:rPr>
        <w:t xml:space="preserve">Rättyä, Kaisu. 2014. Opettajan pedagoginen sisältötieto kielitiedon opetuksen näkökulmasta. </w:t>
      </w:r>
      <w:r w:rsidRPr="00FB4EFA">
        <w:rPr>
          <w:rFonts w:eastAsia="Charis SIL" w:cs="Charis SIL"/>
          <w:i/>
          <w:iCs/>
          <w:lang w:val="fi-FI"/>
        </w:rPr>
        <w:t xml:space="preserve">Kieli, koulutus ja yhteiskunta </w:t>
      </w:r>
      <w:r w:rsidRPr="00FB4EFA">
        <w:rPr>
          <w:rFonts w:cs="Charis SIL"/>
          <w:lang w:val="fi-FI"/>
        </w:rPr>
        <w:t>5</w:t>
      </w:r>
      <w:r w:rsidR="00CB7F0B" w:rsidRPr="00FB4EFA">
        <w:rPr>
          <w:rFonts w:cs="Charis SIL"/>
          <w:lang w:val="fi-FI"/>
        </w:rPr>
        <w:t xml:space="preserve"> (</w:t>
      </w:r>
      <w:r w:rsidRPr="00FB4EFA">
        <w:rPr>
          <w:rFonts w:cs="Charis SIL"/>
          <w:lang w:val="fi-FI"/>
        </w:rPr>
        <w:t>3</w:t>
      </w:r>
      <w:r w:rsidR="00CB7F0B" w:rsidRPr="00FB4EFA">
        <w:rPr>
          <w:rFonts w:cs="Charis SIL"/>
          <w:lang w:val="fi-FI"/>
        </w:rPr>
        <w:t>)</w:t>
      </w:r>
      <w:r w:rsidRPr="00FB4EFA">
        <w:rPr>
          <w:rFonts w:cs="Charis SIL"/>
          <w:lang w:val="fi-FI"/>
        </w:rPr>
        <w:t xml:space="preserve">. </w:t>
      </w:r>
      <w:hyperlink r:id="rId313" w:history="1">
        <w:r w:rsidRPr="00FB4EFA">
          <w:rPr>
            <w:rFonts w:cs="Charis SIL"/>
            <w:u w:val="single"/>
            <w:lang w:val="fi-FI"/>
          </w:rPr>
          <w:t>www.kieliverkosto.fi/fi/journals/kieli-koulutus-ja-yhteiskunta-toukokuu-2014</w:t>
        </w:r>
      </w:hyperlink>
      <w:r w:rsidR="00D138C6" w:rsidRPr="00FB4EFA">
        <w:rPr>
          <w:rFonts w:cs="Charis SIL"/>
          <w:lang w:val="fi-FI"/>
        </w:rPr>
        <w:t>.</w:t>
      </w:r>
    </w:p>
    <w:p w14:paraId="12612492" w14:textId="5163BF28" w:rsidR="008F2CAE" w:rsidRPr="00FB4EFA" w:rsidRDefault="00C60F2E" w:rsidP="0033568E">
      <w:pPr>
        <w:suppressAutoHyphens/>
        <w:spacing w:line="240" w:lineRule="auto"/>
        <w:ind w:left="426" w:hanging="426"/>
        <w:rPr>
          <w:rFonts w:cs="Charis SIL"/>
          <w:lang w:val="fi-FI"/>
        </w:rPr>
      </w:pPr>
      <w:r w:rsidRPr="00FB4EFA">
        <w:rPr>
          <w:rFonts w:cs="Charis SIL"/>
          <w:lang w:val="fi-FI"/>
        </w:rPr>
        <w:t xml:space="preserve">Viilukas, Triinu. 2010. </w:t>
      </w:r>
      <w:r w:rsidRPr="00FB4EFA">
        <w:rPr>
          <w:rFonts w:eastAsia="Charis SIL" w:cs="Charis SIL"/>
          <w:i/>
          <w:iCs/>
          <w:lang w:val="fi-FI"/>
        </w:rPr>
        <w:t>Eesti keel võõrkeelena ja astmevaheldus algkursusel ehk astmete vahel udus</w:t>
      </w:r>
      <w:r w:rsidRPr="00FB4EFA">
        <w:rPr>
          <w:rFonts w:cs="Charis SIL"/>
          <w:lang w:val="fi-FI"/>
        </w:rPr>
        <w:t>. Pro gradu</w:t>
      </w:r>
      <w:r w:rsidR="00F5289C" w:rsidRPr="00FB4EFA">
        <w:rPr>
          <w:rFonts w:cs="Charis SIL"/>
          <w:lang w:val="fi-FI"/>
        </w:rPr>
        <w:t xml:space="preserve"> </w:t>
      </w:r>
      <w:r w:rsidRPr="00FB4EFA">
        <w:rPr>
          <w:rFonts w:cs="Charis SIL"/>
          <w:lang w:val="fi-FI"/>
        </w:rPr>
        <w:t>-työ. Wien: Wienin yliopisto.</w:t>
      </w:r>
    </w:p>
    <w:p w14:paraId="748051C5" w14:textId="014F4E1F" w:rsidR="004C7142" w:rsidRPr="00FB4EFA" w:rsidRDefault="00C60F2E" w:rsidP="0033568E">
      <w:pPr>
        <w:suppressAutoHyphens/>
        <w:spacing w:line="240" w:lineRule="auto"/>
        <w:ind w:left="426" w:hanging="426"/>
        <w:rPr>
          <w:i/>
          <w:lang w:val="fi-FI"/>
        </w:rPr>
      </w:pPr>
      <w:r w:rsidRPr="00FB4EFA">
        <w:rPr>
          <w:rFonts w:cs="Charis SIL"/>
          <w:lang w:val="fi-FI"/>
        </w:rPr>
        <w:t xml:space="preserve">Vogel, Thomas. 1992. "Englisch und Deutsch gibt es immer Krieg" – Sprachverarbeitungsprozesse beim Erwerb des Deutschen als Drittsprache. </w:t>
      </w:r>
      <w:r w:rsidRPr="00FB4EFA">
        <w:rPr>
          <w:rFonts w:eastAsia="Charis SIL" w:cs="Charis SIL"/>
          <w:i/>
          <w:iCs/>
          <w:lang w:val="fi-FI"/>
        </w:rPr>
        <w:t xml:space="preserve">Zielsprache Deutsch </w:t>
      </w:r>
      <w:r w:rsidRPr="00FB4EFA">
        <w:rPr>
          <w:rFonts w:cs="Charis SIL"/>
          <w:lang w:val="fi-FI"/>
        </w:rPr>
        <w:t>23</w:t>
      </w:r>
      <w:r w:rsidR="00CB7F0B" w:rsidRPr="00FB4EFA">
        <w:rPr>
          <w:rFonts w:cs="Charis SIL"/>
          <w:lang w:val="fi-FI"/>
        </w:rPr>
        <w:t xml:space="preserve"> (</w:t>
      </w:r>
      <w:r w:rsidRPr="00FB4EFA">
        <w:rPr>
          <w:rFonts w:cs="Charis SIL"/>
          <w:lang w:val="fi-FI"/>
        </w:rPr>
        <w:t>2</w:t>
      </w:r>
      <w:r w:rsidR="00CB7F0B" w:rsidRPr="00FB4EFA">
        <w:rPr>
          <w:rFonts w:cs="Charis SIL"/>
          <w:lang w:val="fi-FI"/>
        </w:rPr>
        <w:t>)</w:t>
      </w:r>
      <w:r w:rsidRPr="00FB4EFA">
        <w:rPr>
          <w:rFonts w:cs="Charis SIL"/>
          <w:lang w:val="fi-FI"/>
        </w:rPr>
        <w:t>. 95–99.</w:t>
      </w:r>
      <w:bookmarkEnd w:id="78"/>
    </w:p>
    <w:p w14:paraId="79CDEC06" w14:textId="77777777" w:rsidR="004C7142" w:rsidRPr="00FB4EFA" w:rsidRDefault="004C7142" w:rsidP="00402EF4">
      <w:pPr>
        <w:spacing w:after="160"/>
        <w:jc w:val="center"/>
        <w:rPr>
          <w:smallCaps/>
          <w:sz w:val="48"/>
          <w:szCs w:val="48"/>
          <w:lang w:val="fi-FI"/>
        </w:rPr>
        <w:sectPr w:rsidR="004C7142" w:rsidRPr="00FB4EFA">
          <w:headerReference w:type="even" r:id="rId314"/>
          <w:headerReference w:type="default" r:id="rId315"/>
          <w:headerReference w:type="first" r:id="rId316"/>
          <w:footnotePr>
            <w:numRestart w:val="eachSect"/>
          </w:footnotePr>
          <w:pgSz w:w="9180" w:h="13302"/>
          <w:pgMar w:top="779" w:right="1133" w:bottom="1132" w:left="1133" w:header="744" w:footer="720" w:gutter="0"/>
          <w:cols w:space="720"/>
          <w:titlePg/>
        </w:sectPr>
      </w:pPr>
    </w:p>
    <w:p w14:paraId="6BE48CF3" w14:textId="0E90D402" w:rsidR="004C7142" w:rsidRPr="00FB4EFA" w:rsidRDefault="006035F3" w:rsidP="00AF0CAD">
      <w:pPr>
        <w:pStyle w:val="Authors"/>
        <w:spacing w:line="259" w:lineRule="auto"/>
        <w:rPr>
          <w:color w:val="auto"/>
          <w:lang w:val="fi-FI"/>
        </w:rPr>
      </w:pPr>
      <w:r w:rsidRPr="00FB4EFA">
        <w:rPr>
          <w:color w:val="auto"/>
          <w:lang w:val="fi-FI"/>
        </w:rPr>
        <w:lastRenderedPageBreak/>
        <w:t>Birute Klaas-Lang</w:t>
      </w:r>
    </w:p>
    <w:p w14:paraId="3A004056" w14:textId="77777777" w:rsidR="004C7142" w:rsidRPr="00FB4EFA" w:rsidRDefault="004C7142" w:rsidP="00402EF4">
      <w:pPr>
        <w:rPr>
          <w:lang w:val="fi-FI"/>
        </w:rPr>
      </w:pPr>
    </w:p>
    <w:p w14:paraId="462E99A0" w14:textId="11C2511E" w:rsidR="008F73FD" w:rsidRPr="00FB4EFA" w:rsidRDefault="00A96E85" w:rsidP="00994E2A">
      <w:pPr>
        <w:pStyle w:val="Heading1"/>
        <w:suppressAutoHyphens/>
        <w:spacing w:line="259" w:lineRule="auto"/>
        <w:ind w:right="74"/>
        <w:rPr>
          <w:rFonts w:cstheme="minorHAnsi"/>
          <w:color w:val="auto"/>
          <w:szCs w:val="32"/>
        </w:rPr>
      </w:pPr>
      <w:bookmarkStart w:id="80" w:name="_Ref104923982"/>
      <w:r w:rsidRPr="00FB4EFA">
        <w:rPr>
          <w:rFonts w:cstheme="minorHAnsi"/>
          <w:color w:val="auto"/>
          <w:szCs w:val="32"/>
        </w:rPr>
        <w:t xml:space="preserve">The struggle between Estonian and </w:t>
      </w:r>
      <w:r w:rsidRPr="00FB4EFA">
        <w:rPr>
          <w:color w:val="auto"/>
        </w:rPr>
        <w:t>English</w:t>
      </w:r>
      <w:r w:rsidRPr="00FB4EFA">
        <w:rPr>
          <w:rFonts w:cstheme="minorHAnsi"/>
          <w:color w:val="auto"/>
          <w:szCs w:val="32"/>
        </w:rPr>
        <w:t xml:space="preserve"> in higher education in Estonia</w:t>
      </w:r>
      <w:bookmarkEnd w:id="76"/>
      <w:bookmarkEnd w:id="77"/>
      <w:bookmarkEnd w:id="80"/>
    </w:p>
    <w:p w14:paraId="2AD58A12" w14:textId="77777777" w:rsidR="005913BE" w:rsidRPr="00FB4EFA" w:rsidRDefault="005913BE" w:rsidP="00545033">
      <w:pPr>
        <w:pStyle w:val="Heading2"/>
        <w:suppressAutoHyphens/>
        <w:spacing w:line="259" w:lineRule="auto"/>
        <w:rPr>
          <w:color w:val="auto"/>
        </w:rPr>
      </w:pPr>
      <w:r w:rsidRPr="00FB4EFA">
        <w:rPr>
          <w:color w:val="auto"/>
        </w:rPr>
        <w:t>Introduction</w:t>
      </w:r>
    </w:p>
    <w:p w14:paraId="5D1EA8D5" w14:textId="77777777" w:rsidR="005913BE" w:rsidRPr="00FB4EFA" w:rsidRDefault="005913BE" w:rsidP="00402EF4">
      <w:pPr>
        <w:rPr>
          <w:lang w:val="en-GB"/>
        </w:rPr>
      </w:pPr>
      <w:r w:rsidRPr="00FB4EFA">
        <w:rPr>
          <w:lang w:val="en-GB"/>
        </w:rPr>
        <w:t>This paper examines the position of Estonian as a language of instruction in higher education and also tries to find connections between the social prestige of Estonian and the development of Estonian as the language of instruction in academia.</w:t>
      </w:r>
    </w:p>
    <w:p w14:paraId="7C3FDA7A" w14:textId="77777777" w:rsidR="005913BE" w:rsidRPr="00FB4EFA" w:rsidRDefault="005913BE" w:rsidP="00402EF4">
      <w:pPr>
        <w:ind w:firstLine="709"/>
        <w:rPr>
          <w:lang w:val="en-GB"/>
        </w:rPr>
      </w:pPr>
      <w:r w:rsidRPr="00FB4EFA">
        <w:rPr>
          <w:lang w:val="en-GB"/>
        </w:rPr>
        <w:t>The main research question to be answered is how Estonian higher education tries to find a balance between offering an internationally attractive study and work environment using English as the medium of instruction and the sustainability and development of Estonian. The three most important players in maintaining and developing Estonian language in higher education are the state, the university, and users of Estonian in academia. This article examines the role of all three in the development and practice of language policy in higher education, paying particular attention to the management and activities of the state and universities.</w:t>
      </w:r>
    </w:p>
    <w:p w14:paraId="38AD7820" w14:textId="28C59813" w:rsidR="005913BE" w:rsidRPr="00FB4EFA" w:rsidRDefault="005913BE" w:rsidP="00402EF4">
      <w:pPr>
        <w:ind w:firstLine="708"/>
        <w:rPr>
          <w:lang w:val="en-GB"/>
        </w:rPr>
      </w:pPr>
      <w:r w:rsidRPr="00FB4EFA">
        <w:rPr>
          <w:lang w:val="en-GB"/>
        </w:rPr>
        <w:t xml:space="preserve">In recent years, the question of the language of instruction in higher education has been an important topic in Estonia as well as in </w:t>
      </w:r>
      <w:r w:rsidR="0033568E" w:rsidRPr="00FB4EFA">
        <w:rPr>
          <w:lang w:val="en-GB"/>
        </w:rPr>
        <w:br/>
      </w:r>
      <w:r w:rsidRPr="00FB4EFA">
        <w:rPr>
          <w:lang w:val="en-GB"/>
        </w:rPr>
        <w:t xml:space="preserve">Europe as a whole. The language policy of Estonian higher education, </w:t>
      </w:r>
      <w:r w:rsidR="00466236" w:rsidRPr="00FB4EFA">
        <w:rPr>
          <w:lang w:val="en-GB"/>
        </w:rPr>
        <w:t>i.e., </w:t>
      </w:r>
      <w:r w:rsidRPr="00FB4EFA">
        <w:rPr>
          <w:lang w:val="en-GB"/>
        </w:rPr>
        <w:t>the struggle between English and Estonian, has also been analysed in comparison with Latvian and Swedish higher education and internationalization. Recent research includes for example articles by Josep Soler-Carbonell, Kerttu Rozenvalde (Kibbermann)</w:t>
      </w:r>
      <w:r w:rsidR="00E2605A" w:rsidRPr="00FB4EFA">
        <w:rPr>
          <w:lang w:val="en-GB"/>
        </w:rPr>
        <w:t>,</w:t>
      </w:r>
      <w:r w:rsidRPr="00FB4EFA">
        <w:rPr>
          <w:lang w:val="en-GB"/>
        </w:rPr>
        <w:t xml:space="preserve"> and Virve-Anneli Vihman (Soler &amp; Rozenvalde 2021</w:t>
      </w:r>
      <w:r w:rsidR="00E2605A" w:rsidRPr="00FB4EFA">
        <w:rPr>
          <w:lang w:val="en-GB"/>
        </w:rPr>
        <w:t>,</w:t>
      </w:r>
      <w:r w:rsidRPr="00FB4EFA">
        <w:rPr>
          <w:lang w:val="en-GB"/>
        </w:rPr>
        <w:t xml:space="preserve"> Soler 2019, </w:t>
      </w:r>
      <w:r w:rsidR="00C8791A" w:rsidRPr="00FB4EFA">
        <w:rPr>
          <w:lang w:val="en-GB"/>
        </w:rPr>
        <w:t>Rozenvalde (</w:t>
      </w:r>
      <w:r w:rsidRPr="00FB4EFA">
        <w:rPr>
          <w:lang w:val="en-GB"/>
        </w:rPr>
        <w:t>Kibbermann) 2019, Soler &amp; Vihman 2018). This paper also builds on the authors’ previous research on the topic of the language of higher education in the framework of language sustainability (Klaas-Lang 2014a, Klaas-Lang 2014b, Klaas-Lang &amp; Metslang 2015, Klaas-Lang 2016</w:t>
      </w:r>
      <w:r w:rsidR="00C8791A" w:rsidRPr="00FB4EFA">
        <w:rPr>
          <w:lang w:val="en-GB"/>
        </w:rPr>
        <w:t>,</w:t>
      </w:r>
      <w:r w:rsidRPr="00FB4EFA">
        <w:rPr>
          <w:lang w:val="en-GB"/>
        </w:rPr>
        <w:t xml:space="preserve"> Klaas-Lang &amp; Metslang 2018</w:t>
      </w:r>
      <w:r w:rsidR="00C8791A" w:rsidRPr="00FB4EFA">
        <w:rPr>
          <w:lang w:val="en-GB"/>
        </w:rPr>
        <w:t>,</w:t>
      </w:r>
      <w:r w:rsidRPr="00FB4EFA">
        <w:rPr>
          <w:lang w:val="en-GB"/>
        </w:rPr>
        <w:t xml:space="preserve"> Klaas-Lang &amp; Metslang 2020, Klaas-Lang 2021).</w:t>
      </w:r>
    </w:p>
    <w:p w14:paraId="71E63C90" w14:textId="549F0140" w:rsidR="005913BE" w:rsidRPr="00FB4EFA" w:rsidRDefault="005913BE" w:rsidP="00402EF4">
      <w:pPr>
        <w:ind w:firstLine="708"/>
        <w:rPr>
          <w:lang w:val="en-GB"/>
        </w:rPr>
      </w:pPr>
      <w:r w:rsidRPr="00FB4EFA">
        <w:rPr>
          <w:lang w:val="en-GB"/>
        </w:rPr>
        <w:lastRenderedPageBreak/>
        <w:t xml:space="preserve">This paper provides an overview of the history of Estonian as the language of instruction in higher education on the example of the University of Tartu – the oldest university in Estonia. Outlining the current situation of language policy in higher education in Estonia, the article provides background for analysing the trends in the state’s positions concerning Estonian and English use in instruction over the past fifteen years and </w:t>
      </w:r>
      <w:r w:rsidR="00C8791A" w:rsidRPr="00FB4EFA">
        <w:rPr>
          <w:lang w:val="en-GB"/>
        </w:rPr>
        <w:t>for</w:t>
      </w:r>
      <w:r w:rsidRPr="00FB4EFA">
        <w:rPr>
          <w:lang w:val="en-GB"/>
        </w:rPr>
        <w:t xml:space="preserve"> plac</w:t>
      </w:r>
      <w:r w:rsidR="00C8791A" w:rsidRPr="00FB4EFA">
        <w:rPr>
          <w:lang w:val="en-GB"/>
        </w:rPr>
        <w:t>ing</w:t>
      </w:r>
      <w:r w:rsidRPr="00FB4EFA">
        <w:rPr>
          <w:lang w:val="en-GB"/>
        </w:rPr>
        <w:t xml:space="preserve"> those trends (in terms of finding a balance between the local language and English) in the context of measures and activities of Estonian universities, and also in the broader international context of language policy in higher education.</w:t>
      </w:r>
    </w:p>
    <w:p w14:paraId="28AE5175" w14:textId="77777777" w:rsidR="005913BE" w:rsidRPr="00FB4EFA" w:rsidRDefault="005913BE" w:rsidP="00402EF4">
      <w:pPr>
        <w:ind w:firstLine="708"/>
        <w:rPr>
          <w:lang w:val="en-GB"/>
        </w:rPr>
      </w:pPr>
      <w:r w:rsidRPr="00FB4EFA">
        <w:rPr>
          <w:lang w:val="en-GB"/>
        </w:rPr>
        <w:t>The present paper relies on various documents, reports, and media discourse on this topic, but also personal experience as a university professor and researcher and member of various language policy expert councils.</w:t>
      </w:r>
    </w:p>
    <w:p w14:paraId="4277B3C5" w14:textId="77777777" w:rsidR="005913BE" w:rsidRPr="00FB4EFA" w:rsidRDefault="005913BE" w:rsidP="00545033">
      <w:pPr>
        <w:pStyle w:val="Heading2"/>
        <w:suppressAutoHyphens/>
        <w:spacing w:line="259" w:lineRule="auto"/>
        <w:rPr>
          <w:color w:val="auto"/>
        </w:rPr>
      </w:pPr>
      <w:r w:rsidRPr="00FB4EFA">
        <w:rPr>
          <w:color w:val="auto"/>
        </w:rPr>
        <w:t>The situation of Estonian language and languages in Estonia</w:t>
      </w:r>
    </w:p>
    <w:p w14:paraId="0538643D" w14:textId="5F4D7CA2" w:rsidR="005913BE" w:rsidRPr="00FB4EFA" w:rsidRDefault="005913BE" w:rsidP="00402EF4">
      <w:pPr>
        <w:rPr>
          <w:lang w:val="en-GB"/>
        </w:rPr>
      </w:pPr>
      <w:r w:rsidRPr="00FB4EFA">
        <w:rPr>
          <w:lang w:val="en-GB"/>
        </w:rPr>
        <w:t>There are often said to be more than 7</w:t>
      </w:r>
      <w:r w:rsidR="00C8791A" w:rsidRPr="00FB4EFA">
        <w:rPr>
          <w:lang w:val="en-GB"/>
        </w:rPr>
        <w:t>,</w:t>
      </w:r>
      <w:r w:rsidRPr="00FB4EFA">
        <w:rPr>
          <w:lang w:val="en-GB"/>
        </w:rPr>
        <w:t>000 languages in the world.</w:t>
      </w:r>
      <w:r w:rsidRPr="00FB4EFA">
        <w:rPr>
          <w:vertAlign w:val="superscript"/>
          <w:lang w:val="en-GB"/>
        </w:rPr>
        <w:footnoteReference w:id="81"/>
      </w:r>
      <w:r w:rsidRPr="00FB4EFA">
        <w:rPr>
          <w:lang w:val="en-GB"/>
        </w:rPr>
        <w:t xml:space="preserve"> Unfortunately, 40% of them are on the verge of extinction, having less than 1,000 speakers. Oftentimes Estonians will, showing some embarrassment, call their native language a small language. This classification, however, is not accurate. The Estonian language, with its one million first language speakers, is among the 300 languages with the largest number of speakers in the world.</w:t>
      </w:r>
      <w:r w:rsidRPr="00FB4EFA">
        <w:rPr>
          <w:vertAlign w:val="superscript"/>
          <w:lang w:val="en-GB"/>
        </w:rPr>
        <w:footnoteReference w:id="82"/>
      </w:r>
      <w:r w:rsidRPr="00FB4EFA">
        <w:rPr>
          <w:lang w:val="en-GB"/>
        </w:rPr>
        <w:t xml:space="preserve"> Estonian is not an endangered language but rather a language that is currently vigorous and developing. Estonian is also very visible in the online world: as of 2019, Estonian, the native language of only ~0.0125% of the global population, is the language of 0.1% of Internet websites, making it the 39</w:t>
      </w:r>
      <w:r w:rsidRPr="00FB4EFA">
        <w:rPr>
          <w:vertAlign w:val="superscript"/>
          <w:lang w:val="en-GB"/>
        </w:rPr>
        <w:t>th</w:t>
      </w:r>
      <w:r w:rsidRPr="00FB4EFA">
        <w:rPr>
          <w:lang w:val="en-GB"/>
        </w:rPr>
        <w:t xml:space="preserve"> most widely used language on the Internet.</w:t>
      </w:r>
      <w:r w:rsidRPr="00FB4EFA">
        <w:rPr>
          <w:vertAlign w:val="superscript"/>
          <w:lang w:val="en-GB"/>
        </w:rPr>
        <w:footnoteReference w:id="83"/>
      </w:r>
    </w:p>
    <w:p w14:paraId="5F6A1934" w14:textId="34131F4B" w:rsidR="005913BE" w:rsidRPr="00FB4EFA" w:rsidRDefault="005913BE" w:rsidP="00402EF4">
      <w:pPr>
        <w:ind w:firstLine="709"/>
        <w:rPr>
          <w:lang w:val="en-GB"/>
        </w:rPr>
      </w:pPr>
      <w:r w:rsidRPr="00FB4EFA">
        <w:rPr>
          <w:lang w:val="en-GB"/>
        </w:rPr>
        <w:t xml:space="preserve">The future of a language, </w:t>
      </w:r>
      <w:r w:rsidR="00466236" w:rsidRPr="00FB4EFA">
        <w:rPr>
          <w:lang w:val="en-GB"/>
        </w:rPr>
        <w:t>i.e., </w:t>
      </w:r>
      <w:r w:rsidRPr="00FB4EFA">
        <w:rPr>
          <w:lang w:val="en-GB"/>
        </w:rPr>
        <w:t>its sustainability, depends on many factors. The most important of these</w:t>
      </w:r>
      <w:r w:rsidR="00F16CD0" w:rsidRPr="00FB4EFA">
        <w:rPr>
          <w:lang w:val="en-GB"/>
        </w:rPr>
        <w:t>,</w:t>
      </w:r>
      <w:r w:rsidRPr="00FB4EFA">
        <w:rPr>
          <w:lang w:val="en-GB"/>
        </w:rPr>
        <w:t xml:space="preserve"> which have also been outlined in different studies (c.f. Ehala et al 2014, UNESCO 2003)</w:t>
      </w:r>
      <w:r w:rsidR="00F16CD0" w:rsidRPr="00FB4EFA">
        <w:rPr>
          <w:lang w:val="en-GB"/>
        </w:rPr>
        <w:t>,</w:t>
      </w:r>
      <w:r w:rsidRPr="00FB4EFA">
        <w:rPr>
          <w:lang w:val="en-GB"/>
        </w:rPr>
        <w:t xml:space="preserve"> are: 1) total number of speakers and size of the contiguous speaker community; 2) inter</w:t>
      </w:r>
      <w:r w:rsidRPr="00FB4EFA">
        <w:rPr>
          <w:lang w:val="en-GB"/>
        </w:rPr>
        <w:lastRenderedPageBreak/>
        <w:t xml:space="preserve">generational transfer, </w:t>
      </w:r>
      <w:r w:rsidR="00466236" w:rsidRPr="00FB4EFA">
        <w:rPr>
          <w:lang w:val="en-GB"/>
        </w:rPr>
        <w:t>i.e., </w:t>
      </w:r>
      <w:r w:rsidRPr="00FB4EFA">
        <w:rPr>
          <w:lang w:val="en-GB"/>
        </w:rPr>
        <w:t xml:space="preserve">whether parents transfer their language to their children; 3) the state of development of the language in order to meet the needs of all users and domains of use; 4) legal space to ensure the status and possibility to use the language; 5) reputation of the language and users’ attitudes, </w:t>
      </w:r>
      <w:r w:rsidR="00466236" w:rsidRPr="00FB4EFA">
        <w:rPr>
          <w:lang w:val="en-GB"/>
        </w:rPr>
        <w:t>i.e., </w:t>
      </w:r>
      <w:r w:rsidRPr="00FB4EFA">
        <w:rPr>
          <w:lang w:val="en-GB"/>
        </w:rPr>
        <w:t xml:space="preserve">whether the speakers value their language; 6) language of education, </w:t>
      </w:r>
      <w:r w:rsidR="00466236" w:rsidRPr="00FB4EFA">
        <w:rPr>
          <w:lang w:val="en-GB"/>
        </w:rPr>
        <w:t>i.e., </w:t>
      </w:r>
      <w:r w:rsidRPr="00FB4EFA">
        <w:rPr>
          <w:lang w:val="en-GB"/>
        </w:rPr>
        <w:t xml:space="preserve">whether the language is used in all levels of education from preschool to doctoral studies; 7) coverage of the domains of use, </w:t>
      </w:r>
      <w:r w:rsidR="00466236" w:rsidRPr="00FB4EFA">
        <w:rPr>
          <w:lang w:val="en-GB"/>
        </w:rPr>
        <w:t>i.e., </w:t>
      </w:r>
      <w:r w:rsidRPr="00FB4EFA">
        <w:rPr>
          <w:lang w:val="en-GB"/>
        </w:rPr>
        <w:t>whether the language is used in all domains from everyday communication to research; 8) IT support and use in technological applications.</w:t>
      </w:r>
    </w:p>
    <w:p w14:paraId="0455BDB4" w14:textId="77777777" w:rsidR="005913BE" w:rsidRPr="00FB4EFA" w:rsidRDefault="005913BE" w:rsidP="00402EF4">
      <w:pPr>
        <w:ind w:firstLine="709"/>
        <w:rPr>
          <w:lang w:val="en-GB"/>
        </w:rPr>
      </w:pPr>
      <w:r w:rsidRPr="00FB4EFA">
        <w:rPr>
          <w:lang w:val="en-GB"/>
        </w:rPr>
        <w:t>Viewing Estonian through the lens of these criteria, there does not seem to be much reason to worry, see also Lukk et al. 2017. One million first-language speakers (approximately 150,000 of whom live abroad) is a resource that should guarantee the survival of Estonian for a long time. In addition to first-language speakers, Estonian is also spoken as a second language (by residents of Estonia having a different first language) and as a foreign language. For example, about a thousand students annually learn Estonian in almost forty universities all over the world, partly with the support of the Estonian state.</w:t>
      </w:r>
      <w:r w:rsidRPr="00FB4EFA">
        <w:rPr>
          <w:vertAlign w:val="superscript"/>
          <w:lang w:val="en-GB"/>
        </w:rPr>
        <w:footnoteReference w:id="84"/>
      </w:r>
    </w:p>
    <w:p w14:paraId="685B65C0" w14:textId="271ED869" w:rsidR="005913BE" w:rsidRPr="00FB4EFA" w:rsidRDefault="005913BE" w:rsidP="00402EF4">
      <w:pPr>
        <w:ind w:firstLine="709"/>
        <w:rPr>
          <w:lang w:val="en-GB"/>
        </w:rPr>
      </w:pPr>
      <w:r w:rsidRPr="00FB4EFA">
        <w:rPr>
          <w:lang w:val="en-GB"/>
        </w:rPr>
        <w:t>The percentage of L1 Estonian speakers has stayed more or less the same during the past couple of decades in Estonia, remaining in the vicinity of 67–68%. However, if we take a closer look we find areas where Estonian speakers are clearly a minority: in North-eastern Estonia only 15% of residents are L1 speakers of Estonian; some districts of Tallinn and small towns in Harjumaa (the county to which Tallinn belongs) are also overwhelmingly Russian-speaking.</w:t>
      </w:r>
      <w:r w:rsidRPr="00FB4EFA">
        <w:rPr>
          <w:vertAlign w:val="superscript"/>
          <w:lang w:val="en-GB"/>
        </w:rPr>
        <w:footnoteReference w:id="85"/>
      </w:r>
      <w:r w:rsidRPr="00FB4EFA">
        <w:rPr>
          <w:lang w:val="en-GB"/>
        </w:rPr>
        <w:t xml:space="preserve"> Re-introducing Estonian to areas where the language environment has become rather non-native (</w:t>
      </w:r>
      <w:r w:rsidR="00466236" w:rsidRPr="00FB4EFA">
        <w:rPr>
          <w:lang w:val="en-GB"/>
        </w:rPr>
        <w:t>i.e., </w:t>
      </w:r>
      <w:r w:rsidRPr="00FB4EFA">
        <w:rPr>
          <w:lang w:val="en-GB"/>
        </w:rPr>
        <w:t>Russian) is a matter of priority for the Estonian government. For example, a working group has been formed at the Ministry of Education and Research that is tasked with developing a plan for the transition to general education in Estonian.</w:t>
      </w:r>
      <w:r w:rsidRPr="00FB4EFA">
        <w:rPr>
          <w:vertAlign w:val="superscript"/>
          <w:lang w:val="en-GB"/>
        </w:rPr>
        <w:footnoteReference w:id="86"/>
      </w:r>
    </w:p>
    <w:p w14:paraId="155B5BE8" w14:textId="0B1BE1DE" w:rsidR="005913BE" w:rsidRPr="00FB4EFA" w:rsidRDefault="005913BE" w:rsidP="00402EF4">
      <w:pPr>
        <w:ind w:firstLine="709"/>
        <w:rPr>
          <w:lang w:val="en-GB"/>
        </w:rPr>
      </w:pPr>
      <w:r w:rsidRPr="00FB4EFA">
        <w:rPr>
          <w:lang w:val="en-GB"/>
        </w:rPr>
        <w:lastRenderedPageBreak/>
        <w:t>Among other languages</w:t>
      </w:r>
      <w:r w:rsidR="00F16CD0" w:rsidRPr="00FB4EFA">
        <w:rPr>
          <w:lang w:val="en-GB"/>
        </w:rPr>
        <w:t xml:space="preserve"> in Estonia</w:t>
      </w:r>
      <w:r w:rsidRPr="00FB4EFA">
        <w:rPr>
          <w:lang w:val="en-GB"/>
        </w:rPr>
        <w:t>, Russian has the largest number of speakers, but the language environment has become very multilingual over the past few decades. Census data show this clearly: while in 2000 there were 109 languages spoken natively in Estonia, in 2011 there were already 157 different languages. As of March 2021, the number of different native languages was as high as 231, yet 68 of these were only represented by one speaker.</w:t>
      </w:r>
      <w:r w:rsidRPr="00FB4EFA">
        <w:rPr>
          <w:vertAlign w:val="superscript"/>
          <w:lang w:val="en-GB"/>
        </w:rPr>
        <w:footnoteReference w:id="87"/>
      </w:r>
      <w:r w:rsidRPr="00FB4EFA">
        <w:rPr>
          <w:lang w:val="en-GB"/>
        </w:rPr>
        <w:t xml:space="preserve"> These numbers show new residents of Estonia</w:t>
      </w:r>
      <w:r w:rsidR="001F384E" w:rsidRPr="00FB4EFA">
        <w:rPr>
          <w:lang w:val="en-GB"/>
        </w:rPr>
        <w:t>,</w:t>
      </w:r>
      <w:r w:rsidRPr="00FB4EFA">
        <w:rPr>
          <w:lang w:val="en-GB"/>
        </w:rPr>
        <w:t xml:space="preserve"> whose smooth integration into the Estonian language and cultural space is extremely important for social cohesion, so that Estonian remains the main language of communication for individuals with different native languages in Estonia – see also an overview of the integration of new immigrants and a model of study paths for Estonian (Praakli &amp; Klaas-Lang 2020).</w:t>
      </w:r>
    </w:p>
    <w:p w14:paraId="6CE18EFF" w14:textId="78276130" w:rsidR="005913BE" w:rsidRPr="00FB4EFA" w:rsidRDefault="005913BE" w:rsidP="00402EF4">
      <w:pPr>
        <w:ind w:firstLine="709"/>
        <w:rPr>
          <w:lang w:val="en-GB"/>
        </w:rPr>
      </w:pPr>
      <w:r w:rsidRPr="00FB4EFA">
        <w:rPr>
          <w:lang w:val="en-GB"/>
        </w:rPr>
        <w:t>Sustainability of the Estonian language as an important national goal is anchored in the development plan of the Estonian language 2021–2035, which aims to “ensure the vitality and functioning of Estonian as the primary language in every domain, ensure that everyone has the right and opportunity to use Estonian, to preserve and strengthen the status and prestige of the Estonian language and the Estonian cultural and information space, and to value knowledge of other languages.”</w:t>
      </w:r>
      <w:r w:rsidRPr="00FB4EFA">
        <w:rPr>
          <w:vertAlign w:val="superscript"/>
          <w:lang w:val="en-GB"/>
        </w:rPr>
        <w:footnoteReference w:id="88"/>
      </w:r>
      <w:r w:rsidRPr="00FB4EFA">
        <w:rPr>
          <w:lang w:val="en-GB"/>
        </w:rPr>
        <w:t xml:space="preserve"> This vision primarily covers the state’s obligations in order to ensure the survival and development of Estonian, but the sustainability of a language is equally dependent on the attitudes and motivation of each speaker to use that language. The responsibility for the development and survival of Estonian does not fall solely on the state and</w:t>
      </w:r>
      <w:r w:rsidR="001F384E" w:rsidRPr="00FB4EFA">
        <w:rPr>
          <w:lang w:val="en-GB"/>
        </w:rPr>
        <w:t xml:space="preserve"> on</w:t>
      </w:r>
      <w:r w:rsidRPr="00FB4EFA">
        <w:rPr>
          <w:lang w:val="en-GB"/>
        </w:rPr>
        <w:t xml:space="preserve"> linguists, but clearly also on all users of Estonian</w:t>
      </w:r>
      <w:r w:rsidR="001F384E" w:rsidRPr="00FB4EFA">
        <w:rPr>
          <w:lang w:val="en-GB"/>
        </w:rPr>
        <w:t xml:space="preserve"> – i</w:t>
      </w:r>
      <w:r w:rsidRPr="00FB4EFA">
        <w:rPr>
          <w:lang w:val="en-GB"/>
        </w:rPr>
        <w:t>f nothing else, then at the minimum through choosing computer software in Estonian instead of English.</w:t>
      </w:r>
    </w:p>
    <w:p w14:paraId="2437C3ED" w14:textId="77777777" w:rsidR="005913BE" w:rsidRPr="00FB4EFA" w:rsidRDefault="005913BE" w:rsidP="00402EF4">
      <w:pPr>
        <w:ind w:firstLine="709"/>
        <w:rPr>
          <w:lang w:val="en-GB"/>
        </w:rPr>
      </w:pPr>
      <w:r w:rsidRPr="00FB4EFA">
        <w:rPr>
          <w:lang w:val="en-GB"/>
        </w:rPr>
        <w:t xml:space="preserve">Legislation protects Estonian as an official language of Estonia and as one of the official languages of the European Union. However, in a modern society characterized both by global information exchange and migration, even the official status along with the supporting infrastructure may not guarantee a language has a future, since the use of English </w:t>
      </w:r>
      <w:r w:rsidRPr="00FB4EFA">
        <w:rPr>
          <w:lang w:val="en-GB"/>
        </w:rPr>
        <w:lastRenderedPageBreak/>
        <w:t>has increased exponentially in education and commerce (Vertovec 2007, 2010).</w:t>
      </w:r>
    </w:p>
    <w:p w14:paraId="0A64152C" w14:textId="31C1CF7A" w:rsidR="005913BE" w:rsidRPr="00FB4EFA" w:rsidRDefault="005913BE" w:rsidP="00402EF4">
      <w:pPr>
        <w:ind w:firstLine="709"/>
        <w:rPr>
          <w:lang w:val="en-GB"/>
        </w:rPr>
      </w:pPr>
      <w:r w:rsidRPr="00FB4EFA">
        <w:rPr>
          <w:lang w:val="en-GB"/>
        </w:rPr>
        <w:t>Language sustainability is clearly connected to the language use in all possible domains. Research-based language program</w:t>
      </w:r>
      <w:r w:rsidR="001F384E" w:rsidRPr="00FB4EFA">
        <w:rPr>
          <w:lang w:val="en-GB"/>
        </w:rPr>
        <w:t>me</w:t>
      </w:r>
      <w:r w:rsidRPr="00FB4EFA">
        <w:rPr>
          <w:lang w:val="en-GB"/>
        </w:rPr>
        <w:t>s and strategies have been developed for Estonian, as they have for other languages in other countries, to ensure the continuation of the official language’s functions in all domains, c.f. the Finnish language program</w:t>
      </w:r>
      <w:r w:rsidR="001F384E" w:rsidRPr="00FB4EFA">
        <w:rPr>
          <w:lang w:val="en-GB"/>
        </w:rPr>
        <w:t>me</w:t>
      </w:r>
      <w:r w:rsidRPr="00FB4EFA">
        <w:rPr>
          <w:lang w:val="en-GB"/>
        </w:rPr>
        <w:t xml:space="preserve"> (Hakulinen et al. 2009).</w:t>
      </w:r>
    </w:p>
    <w:p w14:paraId="3C8CE3B2" w14:textId="5B7D55C3" w:rsidR="005913BE" w:rsidRPr="00FB4EFA" w:rsidRDefault="005913BE" w:rsidP="00402EF4">
      <w:pPr>
        <w:ind w:firstLine="709"/>
        <w:rPr>
          <w:lang w:val="en-GB"/>
        </w:rPr>
      </w:pPr>
      <w:r w:rsidRPr="00FB4EFA">
        <w:rPr>
          <w:lang w:val="en-GB"/>
        </w:rPr>
        <w:t>While outlining the factors for language sustainability, it is important to emphasize that the language of higher education is one of the most essential indicators of language sustainability (Klaas-Lang &amp; Metslang 2018, Klaas-Lang 2016, Klaas-Lang &amp; Metslang 2015). If English replaces native languages in their previous roles in one domain (higher education and research), it can result in the loss of a neighbouring domain (</w:t>
      </w:r>
      <w:r w:rsidR="00466236" w:rsidRPr="00FB4EFA">
        <w:rPr>
          <w:lang w:val="en-GB"/>
        </w:rPr>
        <w:t>e.g., </w:t>
      </w:r>
      <w:r w:rsidRPr="00FB4EFA">
        <w:rPr>
          <w:lang w:val="en-GB"/>
        </w:rPr>
        <w:t>general education) and later also other domains. The study of the state of Estonian language</w:t>
      </w:r>
      <w:r w:rsidR="001F384E" w:rsidRPr="00FB4EFA">
        <w:rPr>
          <w:lang w:val="en-GB"/>
        </w:rPr>
        <w:t>,</w:t>
      </w:r>
      <w:r w:rsidRPr="00FB4EFA">
        <w:rPr>
          <w:lang w:val="en-GB"/>
        </w:rPr>
        <w:t xml:space="preserve"> compiled in 2017</w:t>
      </w:r>
      <w:r w:rsidR="001F384E" w:rsidRPr="00FB4EFA">
        <w:rPr>
          <w:lang w:val="en-GB"/>
        </w:rPr>
        <w:t>,</w:t>
      </w:r>
      <w:r w:rsidRPr="00FB4EFA">
        <w:rPr>
          <w:lang w:val="en-GB"/>
        </w:rPr>
        <w:t xml:space="preserve"> states, based on interviews with experts, that language use in higher education and research is often the most fragile and vulnerable domain “since it influences both the students’ communication skills and the functionality of Estonian in every domain. Language use in higher education is therefore one of the essential indicators and influencing factors of language vitality” (Lukk et al. 2017: 45).</w:t>
      </w:r>
    </w:p>
    <w:p w14:paraId="0407EBAD" w14:textId="77777777" w:rsidR="005913BE" w:rsidRPr="00FB4EFA" w:rsidRDefault="005913BE" w:rsidP="00545033">
      <w:pPr>
        <w:pStyle w:val="Heading2"/>
        <w:suppressAutoHyphens/>
        <w:spacing w:line="259" w:lineRule="auto"/>
        <w:rPr>
          <w:color w:val="auto"/>
        </w:rPr>
      </w:pPr>
      <w:r w:rsidRPr="00FB4EFA">
        <w:rPr>
          <w:color w:val="auto"/>
        </w:rPr>
        <w:t>Estonian as a language of higher education – a view into history</w:t>
      </w:r>
    </w:p>
    <w:p w14:paraId="3EE8EE51" w14:textId="77777777" w:rsidR="005913BE" w:rsidRPr="00FB4EFA" w:rsidRDefault="005913BE" w:rsidP="00AF0CAD">
      <w:pPr>
        <w:rPr>
          <w:lang w:val="en-GB"/>
        </w:rPr>
      </w:pPr>
      <w:r w:rsidRPr="00FB4EFA">
        <w:rPr>
          <w:lang w:val="en-GB"/>
        </w:rPr>
        <w:t xml:space="preserve">The age of higher education in Europe begins with the founding of the University of Bologna in 1088. The era of Estonian as a medium of instruction in higher education and research is barely a hundred years old. It began in 1919 when the University of Tartu became, at least </w:t>
      </w:r>
      <w:r w:rsidRPr="00FB4EFA">
        <w:rPr>
          <w:i/>
          <w:lang w:val="en-GB"/>
        </w:rPr>
        <w:t>de jure</w:t>
      </w:r>
      <w:r w:rsidRPr="00FB4EFA">
        <w:rPr>
          <w:lang w:val="en-GB"/>
        </w:rPr>
        <w:t>, a university with Estonian as its language of instruction in the newly independent Republic of Estonia.</w:t>
      </w:r>
    </w:p>
    <w:p w14:paraId="090B622F" w14:textId="6A6C87CB" w:rsidR="005913BE" w:rsidRPr="00FB4EFA" w:rsidRDefault="005913BE" w:rsidP="00AF0CAD">
      <w:pPr>
        <w:ind w:firstLine="709"/>
        <w:rPr>
          <w:lang w:val="en-GB"/>
        </w:rPr>
      </w:pPr>
      <w:r w:rsidRPr="00FB4EFA">
        <w:rPr>
          <w:lang w:val="en-GB"/>
        </w:rPr>
        <w:t xml:space="preserve">Estonian appeared as a subject at the university much earlier. Friedrich David Lenz started his first lectures introducing Estonian to students with other native languages already in 1803, immediately after the university was reopened when the Emperor of Russia, Alexander I, </w:t>
      </w:r>
      <w:r w:rsidRPr="00FB4EFA">
        <w:rPr>
          <w:lang w:val="en-GB"/>
        </w:rPr>
        <w:lastRenderedPageBreak/>
        <w:t xml:space="preserve">signed an order to establish a lectorate of Estonian and Finnish at the </w:t>
      </w:r>
      <w:r w:rsidRPr="00FB4EFA">
        <w:rPr>
          <w:i/>
          <w:iCs/>
          <w:lang w:val="en-GB"/>
        </w:rPr>
        <w:t>Kaiserliche Universität zu Dorpat</w:t>
      </w:r>
      <w:r w:rsidRPr="00FB4EFA">
        <w:rPr>
          <w:lang w:val="en-GB"/>
        </w:rPr>
        <w:t>. The lectorate addressed the demand from students, future priests</w:t>
      </w:r>
      <w:r w:rsidR="001F384E" w:rsidRPr="00FB4EFA">
        <w:rPr>
          <w:lang w:val="en-GB"/>
        </w:rPr>
        <w:t>,</w:t>
      </w:r>
      <w:r w:rsidRPr="00FB4EFA">
        <w:rPr>
          <w:lang w:val="en-GB"/>
        </w:rPr>
        <w:t xml:space="preserve"> whose tasks included communication with local Estonian-speaking people. Thus, Estonian first became a subject taught at the University of Tartu as a foreign language. The students’ interest to learn Estonian was based on a pragmatic need. At the same time, however, this interest in Estonian language and culture should be placed in the context of European 19</w:t>
      </w:r>
      <w:r w:rsidRPr="00FB4EFA">
        <w:rPr>
          <w:vertAlign w:val="superscript"/>
          <w:lang w:val="en-GB"/>
        </w:rPr>
        <w:t>th</w:t>
      </w:r>
      <w:r w:rsidRPr="00FB4EFA">
        <w:rPr>
          <w:lang w:val="en-GB"/>
        </w:rPr>
        <w:t xml:space="preserve"> century enlightenment</w:t>
      </w:r>
      <w:r w:rsidR="001F384E" w:rsidRPr="00FB4EFA">
        <w:rPr>
          <w:lang w:val="en-GB"/>
        </w:rPr>
        <w:t>,</w:t>
      </w:r>
      <w:r w:rsidRPr="00FB4EFA">
        <w:rPr>
          <w:lang w:val="en-GB"/>
        </w:rPr>
        <w:t xml:space="preserve"> which encouraged the study of ethnic languages and cultures. In that discourse, the study of Estonian language and culture was inspired by scientific and generally humanist interest in folklore and culture (Niitemaa &amp; Hovi 1991: 309). With rare exceptions, Estonian was not the first language for the learner</w:t>
      </w:r>
      <w:r w:rsidR="001F384E" w:rsidRPr="00FB4EFA">
        <w:rPr>
          <w:lang w:val="en-GB"/>
        </w:rPr>
        <w:t>s</w:t>
      </w:r>
      <w:r w:rsidRPr="00FB4EFA">
        <w:rPr>
          <w:lang w:val="en-GB"/>
        </w:rPr>
        <w:t>.</w:t>
      </w:r>
    </w:p>
    <w:p w14:paraId="14C266DD" w14:textId="2579E59E" w:rsidR="005913BE" w:rsidRPr="00FB4EFA" w:rsidRDefault="005913BE" w:rsidP="00402EF4">
      <w:pPr>
        <w:ind w:firstLine="709"/>
        <w:rPr>
          <w:lang w:val="en-GB"/>
        </w:rPr>
      </w:pPr>
      <w:r w:rsidRPr="00FB4EFA">
        <w:rPr>
          <w:lang w:val="en-GB"/>
        </w:rPr>
        <w:t>Although the first Estonians were also admitted to the University of Tartu in the early 19</w:t>
      </w:r>
      <w:r w:rsidRPr="00FB4EFA">
        <w:rPr>
          <w:vertAlign w:val="superscript"/>
          <w:lang w:val="en-GB"/>
        </w:rPr>
        <w:t>th</w:t>
      </w:r>
      <w:r w:rsidRPr="00FB4EFA">
        <w:rPr>
          <w:lang w:val="en-GB"/>
        </w:rPr>
        <w:t xml:space="preserve"> century, they usually became Germanized. According to the Estonian linguist and neologist Johannes Aavik, speaking Estonian in society was still heavily frowned upon in the early 1890s</w:t>
      </w:r>
      <w:r w:rsidR="001F384E" w:rsidRPr="00FB4EFA">
        <w:rPr>
          <w:lang w:val="en-GB"/>
        </w:rPr>
        <w:t>,</w:t>
      </w:r>
      <w:r w:rsidRPr="00FB4EFA">
        <w:rPr>
          <w:lang w:val="en-GB"/>
        </w:rPr>
        <w:t xml:space="preserve"> and it took some more decades for Estonian to become the language of communication for Estonian students and younger intellectuals (Aavik 1914: 12). At the time, the older generation of Estonian intellectuals still did not use Estonian in their discourse and even patriotically inclined Estonians often chose Russian or German as their home language (Visnapuu 1916: 123). The majority of Estonians were quite indifferent towards their native language, and a good command of German and Russian was considered much more important and practical when considering work opportunities. In fact, most Estonians lacked motivation to learn written Estonian: Estonian was not used for official communication and certainly not as a language of research. At the time, the University of Tartu was also a Russian-speaking university where knowledge of Estonian was only required at the faculty of religious studies (Aavik 1914: 10). In the spring of 1916, the rector issued an order that only Russian should be spoken with university officials, some of whom were also Estonians (ÜL 1916: 110).</w:t>
      </w:r>
    </w:p>
    <w:p w14:paraId="00F0F233" w14:textId="27CE139E" w:rsidR="005913BE" w:rsidRPr="00FB4EFA" w:rsidRDefault="005913BE" w:rsidP="00AF0CAD">
      <w:pPr>
        <w:ind w:firstLine="709"/>
        <w:rPr>
          <w:lang w:val="en-GB"/>
        </w:rPr>
      </w:pPr>
      <w:r w:rsidRPr="00FB4EFA">
        <w:rPr>
          <w:lang w:val="en-GB"/>
        </w:rPr>
        <w:t>Estonian as a language of research and higher education</w:t>
      </w:r>
      <w:r w:rsidR="001F384E" w:rsidRPr="00FB4EFA">
        <w:rPr>
          <w:lang w:val="en-GB"/>
        </w:rPr>
        <w:t>,</w:t>
      </w:r>
      <w:r w:rsidRPr="00FB4EFA">
        <w:rPr>
          <w:lang w:val="en-GB"/>
        </w:rPr>
        <w:t xml:space="preserve"> as well as the working language of the university</w:t>
      </w:r>
      <w:r w:rsidR="001F384E" w:rsidRPr="00FB4EFA">
        <w:rPr>
          <w:lang w:val="en-GB"/>
        </w:rPr>
        <w:t>,</w:t>
      </w:r>
      <w:r w:rsidRPr="00FB4EFA">
        <w:rPr>
          <w:lang w:val="en-GB"/>
        </w:rPr>
        <w:t xml:space="preserve"> still had to find its place. At the same time, it became increasingly clear that language had a particular role in uniting and shaping a nation and that a language must function in every domain, including research. To achieve this goal, among other </w:t>
      </w:r>
      <w:r w:rsidRPr="00FB4EFA">
        <w:rPr>
          <w:lang w:val="en-GB"/>
        </w:rPr>
        <w:lastRenderedPageBreak/>
        <w:t xml:space="preserve">measures, publication of literature in Estonian was encouraged in Estonia. For example, Villem Ernits, a student at that time who later became a legendary linguist and promoter of the Estonian temperance movement, published an encouragement for all student organizations to buy and read one another’s Estonian-language publications in the first issue of the student newspaper </w:t>
      </w:r>
      <w:r w:rsidRPr="00FB4EFA">
        <w:rPr>
          <w:i/>
          <w:lang w:val="en-GB"/>
        </w:rPr>
        <w:t>Üliõpilasteleht</w:t>
      </w:r>
      <w:r w:rsidRPr="00FB4EFA">
        <w:rPr>
          <w:lang w:val="en-GB"/>
        </w:rPr>
        <w:t xml:space="preserve"> in 1914. In the contemporary society, Estonian had the role of a mere colloquial language. People with good command of written Estonian were needed for Estonian to leave this restriction behind. Students, the educated elite, were seen as the force who would learn and use Estonian and thus also promote it among others (Aavik 1914: 13; Visnapuu 1916: 124; see also Pajusalu 2019; Klaas 2003). Much work was still needed to develop Estonian for every conceivable domain, including being a language of science and instruction at university.</w:t>
      </w:r>
    </w:p>
    <w:p w14:paraId="36882DB3" w14:textId="405A161F" w:rsidR="005913BE" w:rsidRPr="00FB4EFA" w:rsidRDefault="005913BE" w:rsidP="00402EF4">
      <w:pPr>
        <w:ind w:firstLine="709"/>
        <w:rPr>
          <w:lang w:val="en-GB"/>
        </w:rPr>
      </w:pPr>
      <w:r w:rsidRPr="00FB4EFA">
        <w:rPr>
          <w:lang w:val="en-GB"/>
        </w:rPr>
        <w:t>On 1 December 1919, the university opened its doors as the national university of the newly established Republic of Estonia, with Estonian as the language of instruction. At first there were not enough lecturers; to alleviate this situation, scientists and lecturers from abroad were invited: Lauri Kettunen, Ilmari Manninen, Aarne Miikael Tallgren, and Arno Rafael Cederberg from Finland; Johannes Gabriel Granö and Sten Karling from Sweden; Walter Anderson and others from Germany</w:t>
      </w:r>
      <w:r w:rsidRPr="00FB4EFA">
        <w:rPr>
          <w:vertAlign w:val="superscript"/>
          <w:lang w:val="en-GB"/>
        </w:rPr>
        <w:footnoteReference w:id="89"/>
      </w:r>
      <w:r w:rsidRPr="00FB4EFA">
        <w:rPr>
          <w:lang w:val="en-GB"/>
        </w:rPr>
        <w:t xml:space="preserve">. Much of the teaching was still carried out in a foreign language during the national university’s first years of operation. However, the professors who had come from abroad managed to learn Estonian quickly and also </w:t>
      </w:r>
      <w:r w:rsidR="001F384E" w:rsidRPr="00FB4EFA">
        <w:rPr>
          <w:lang w:val="en-GB"/>
        </w:rPr>
        <w:t xml:space="preserve">to </w:t>
      </w:r>
      <w:r w:rsidRPr="00FB4EFA">
        <w:rPr>
          <w:lang w:val="en-GB"/>
        </w:rPr>
        <w:t>teach their courses in Estonian. The need to teach Estonian as a foreign language was recognized as well; a weekly two-hour course was taught by the abovementioned Johannes Aavik for both faculty and students (Vihma 2003: 144). The Estonian-language environment at work and everyday life probably provided additional practice opportunities to the non-native speakers that helped them acquire the language quickly. The value placed on Estonian by native speakers was surely no less important.</w:t>
      </w:r>
    </w:p>
    <w:p w14:paraId="214DF516" w14:textId="77777777" w:rsidR="005913BE" w:rsidRPr="00FB4EFA" w:rsidRDefault="005913BE" w:rsidP="00402EF4">
      <w:pPr>
        <w:ind w:firstLine="709"/>
        <w:rPr>
          <w:lang w:val="en-GB"/>
        </w:rPr>
      </w:pPr>
      <w:bookmarkStart w:id="81" w:name="_Hlk86844693"/>
      <w:r w:rsidRPr="00FB4EFA">
        <w:rPr>
          <w:lang w:val="en-GB"/>
        </w:rPr>
        <w:t xml:space="preserve">Estonians’ self-awareness regarding their native language increased as higher education gradually became more Estonian-language </w:t>
      </w:r>
      <w:r w:rsidRPr="00FB4EFA">
        <w:rPr>
          <w:lang w:val="en-GB"/>
        </w:rPr>
        <w:lastRenderedPageBreak/>
        <w:t>based</w:t>
      </w:r>
      <w:bookmarkEnd w:id="81"/>
      <w:r w:rsidRPr="00FB4EFA">
        <w:rPr>
          <w:lang w:val="en-GB"/>
        </w:rPr>
        <w:t>. This did not happen overnight but was the result of the combined influence of different factors: the development of Estonian scientific language, non-Estonian professors learning Estonian, the formation of a generation of local intellectuals. Intensive corpus planning increased the quality and status of the language and also changed the users’ attitudes towards Estonian. Positive attitudes towards Estonian in turn encouraged further use and development of the language. By the end of the first era of independence in 1940, Estonian had become a fully-fledged language of higher education and research. Command of written Estonian had become an important symbol of education (Pajusalu 2019: 80).</w:t>
      </w:r>
    </w:p>
    <w:p w14:paraId="46C00FC1" w14:textId="51875515" w:rsidR="005913BE" w:rsidRPr="00FB4EFA" w:rsidRDefault="005913BE" w:rsidP="00402EF4">
      <w:pPr>
        <w:ind w:firstLine="709"/>
        <w:rPr>
          <w:lang w:val="en-GB"/>
        </w:rPr>
      </w:pPr>
      <w:r w:rsidRPr="00FB4EFA">
        <w:rPr>
          <w:lang w:val="en-GB"/>
        </w:rPr>
        <w:t xml:space="preserve">Estonian remained a medium of higher education and research publications also for the duration of the Soviet occupation until 1991 – alongside Russian. For example, at Tartu State University (c.f. Klaas 2003), as the University of Tartu was called during this era, several specialties were taught in parallel both </w:t>
      </w:r>
      <w:r w:rsidR="00221141" w:rsidRPr="00FB4EFA">
        <w:rPr>
          <w:lang w:val="en-GB"/>
        </w:rPr>
        <w:t xml:space="preserve">in </w:t>
      </w:r>
      <w:r w:rsidRPr="00FB4EFA">
        <w:rPr>
          <w:lang w:val="en-GB"/>
        </w:rPr>
        <w:t>Estonian and Russian, but Estonian was a required subject for all non-native students for 2–4 hours a week for as long as 1–2 years. However, a great language-related change and limitation of use for Estonian took place during this era: after 1975, dissertations could only be submitted for defence in Russian.</w:t>
      </w:r>
    </w:p>
    <w:p w14:paraId="512932E2" w14:textId="217EFA58" w:rsidR="005913BE" w:rsidRPr="00FB4EFA" w:rsidRDefault="005913BE" w:rsidP="00402EF4">
      <w:pPr>
        <w:ind w:firstLine="709"/>
        <w:rPr>
          <w:lang w:val="en-GB"/>
        </w:rPr>
      </w:pPr>
      <w:r w:rsidRPr="00FB4EFA">
        <w:rPr>
          <w:lang w:val="en-GB"/>
        </w:rPr>
        <w:t>In the early 1990s, after Estonia had regained its independence, the volume of Russian-language higher education was sizable – nearly 17% of students were enrolled in Russian-language study programmes. The first English-language study opportunities in Estonian universities were also created in the 1990s. English-language instruction, however, only barely amounted to 1% in 1992 (Klaas-Lang &amp; Metslang 2015: 168).</w:t>
      </w:r>
    </w:p>
    <w:p w14:paraId="3491E4CA" w14:textId="5C59BC97" w:rsidR="005913BE" w:rsidRPr="00FB4EFA" w:rsidRDefault="005913BE" w:rsidP="00402EF4">
      <w:pPr>
        <w:ind w:firstLine="709"/>
        <w:rPr>
          <w:lang w:val="en-GB"/>
        </w:rPr>
      </w:pPr>
      <w:r w:rsidRPr="00FB4EFA">
        <w:rPr>
          <w:lang w:val="en-GB"/>
        </w:rPr>
        <w:t xml:space="preserve">The significant role of Russian-medium education in the 1990s was in part due to the carryover of Russian-language student groups from the Soviet period. At the same time, the </w:t>
      </w:r>
      <w:r w:rsidR="00221141" w:rsidRPr="00FB4EFA">
        <w:rPr>
          <w:lang w:val="en-GB"/>
        </w:rPr>
        <w:t>then-</w:t>
      </w:r>
      <w:r w:rsidRPr="00FB4EFA">
        <w:rPr>
          <w:lang w:val="en-GB"/>
        </w:rPr>
        <w:t>new way of life created opportunities to establish new educational institutions. A number of relatively small universities and institutes of technology sprang up, many of which offered study opportunities specifically to young people with Russian as their native language. However, when quality control procedures (assessments of conformity to quality standards) were introduced for institutions of higher education, many of these private institutions were forced to close (ibid: 167).</w:t>
      </w:r>
    </w:p>
    <w:p w14:paraId="5C02E74F" w14:textId="77777777" w:rsidR="005913BE" w:rsidRPr="00FB4EFA" w:rsidRDefault="005913BE" w:rsidP="00545033">
      <w:pPr>
        <w:pStyle w:val="Heading2"/>
        <w:suppressAutoHyphens/>
        <w:spacing w:line="259" w:lineRule="auto"/>
        <w:rPr>
          <w:color w:val="auto"/>
        </w:rPr>
      </w:pPr>
      <w:r w:rsidRPr="00FB4EFA">
        <w:rPr>
          <w:color w:val="auto"/>
        </w:rPr>
        <w:lastRenderedPageBreak/>
        <w:t>Estonian as a language of higher education – current situation</w:t>
      </w:r>
    </w:p>
    <w:p w14:paraId="767097F0" w14:textId="59DD6B40" w:rsidR="005913BE" w:rsidRPr="00FB4EFA" w:rsidRDefault="005913BE" w:rsidP="00402EF4">
      <w:pPr>
        <w:rPr>
          <w:lang w:val="en-GB"/>
        </w:rPr>
      </w:pPr>
      <w:r w:rsidRPr="00FB4EFA">
        <w:rPr>
          <w:lang w:val="en-GB"/>
        </w:rPr>
        <w:t>In the academic year 2020/2021 there were 18 institutions of higher education in Estonia: six public universities and one private</w:t>
      </w:r>
      <w:r w:rsidR="00221141" w:rsidRPr="00FB4EFA">
        <w:rPr>
          <w:lang w:val="en-GB"/>
        </w:rPr>
        <w:t xml:space="preserve"> one</w:t>
      </w:r>
      <w:r w:rsidRPr="00FB4EFA">
        <w:rPr>
          <w:lang w:val="en-GB"/>
        </w:rPr>
        <w:t xml:space="preserve">, </w:t>
      </w:r>
      <w:r w:rsidR="00221141" w:rsidRPr="00FB4EFA">
        <w:rPr>
          <w:lang w:val="en-GB"/>
        </w:rPr>
        <w:t xml:space="preserve">and </w:t>
      </w:r>
      <w:r w:rsidRPr="00FB4EFA">
        <w:rPr>
          <w:lang w:val="en-GB"/>
        </w:rPr>
        <w:t xml:space="preserve">seven public and four private institutions of professional higher education, with a total number of 45,259 registered students. Just ten years ago there were approximately 70,000 students in Estonia, </w:t>
      </w:r>
      <w:r w:rsidR="00466236" w:rsidRPr="00FB4EFA">
        <w:rPr>
          <w:lang w:val="en-GB"/>
        </w:rPr>
        <w:t>i.e., </w:t>
      </w:r>
      <w:r w:rsidRPr="00FB4EFA">
        <w:rPr>
          <w:lang w:val="en-GB"/>
        </w:rPr>
        <w:t>the number of students has decreased significantly in the past years in connection with Estonia’s population decrease.</w:t>
      </w:r>
    </w:p>
    <w:p w14:paraId="5881D503" w14:textId="77777777" w:rsidR="005913BE" w:rsidRPr="00FB4EFA" w:rsidRDefault="005913BE" w:rsidP="00402EF4">
      <w:pPr>
        <w:ind w:firstLine="709"/>
        <w:rPr>
          <w:lang w:val="en-GB"/>
        </w:rPr>
      </w:pPr>
      <w:r w:rsidRPr="00FB4EFA">
        <w:rPr>
          <w:lang w:val="en-GB"/>
        </w:rPr>
        <w:t>It is possible to study at universities and institutions of higher education either in Estonian, Russian, or English, but the share of Russian-language instruction has become almost non-existent: 13.7% of full-time students study in English, 0.1% in Russian.</w:t>
      </w:r>
      <w:r w:rsidRPr="00FB4EFA">
        <w:rPr>
          <w:vertAlign w:val="superscript"/>
          <w:lang w:val="en-GB"/>
        </w:rPr>
        <w:footnoteReference w:id="90"/>
      </w:r>
      <w:r w:rsidRPr="00FB4EFA">
        <w:rPr>
          <w:lang w:val="en-GB"/>
        </w:rPr>
        <w:t xml:space="preserve"> Estonian is the dominant language of instruction on all levels. According to the Higher Education Act (KHaS 2019: § 3 (3)), “the language of instruction of the study programmes of the first and second level of higher education is Estonian or, by a decision of the higher education institution, a foreign language, provided that it is necessary for ensuring the quality of the studies or the availability of specialists with higher education and the resources required for the studies in the foreign language are available.” The act does not regulate the language of instruction for doctoral studies.</w:t>
      </w:r>
    </w:p>
    <w:p w14:paraId="07D5B3A1" w14:textId="77777777" w:rsidR="005913BE" w:rsidRPr="00FB4EFA" w:rsidRDefault="005913BE" w:rsidP="00402EF4">
      <w:pPr>
        <w:ind w:firstLine="709"/>
        <w:rPr>
          <w:lang w:val="en-GB"/>
        </w:rPr>
      </w:pPr>
      <w:r w:rsidRPr="00FB4EFA">
        <w:rPr>
          <w:lang w:val="en-GB"/>
        </w:rPr>
        <w:t>Estonian higher education has become international in every way during the past decade: in terms of students, lecturers, and research fellows as well as English-language study programmes. In the academic year 2019/2020, 5,528 international students were admitted in Estonia (12% of the total number of students). In the 2006/2007 academic year, there were only 901 international students studying in Estonia. The increase has been more than sixfold. Estonia has become a relatively attractive destination for international students, though naturally remaining far behind English-speaking countries. In Finland, for instance, 8% of students were international students in 2019; the OECD average is 6%.</w:t>
      </w:r>
      <w:r w:rsidRPr="00FB4EFA">
        <w:rPr>
          <w:vertAlign w:val="superscript"/>
          <w:lang w:val="en-GB"/>
        </w:rPr>
        <w:footnoteReference w:id="91"/>
      </w:r>
    </w:p>
    <w:p w14:paraId="2C58CB4E" w14:textId="57B9233C" w:rsidR="005913BE" w:rsidRPr="00FB4EFA" w:rsidRDefault="005913BE" w:rsidP="00402EF4">
      <w:pPr>
        <w:ind w:firstLine="709"/>
        <w:rPr>
          <w:lang w:val="en-GB"/>
        </w:rPr>
      </w:pPr>
      <w:r w:rsidRPr="00FB4EFA">
        <w:rPr>
          <w:lang w:val="en-GB"/>
        </w:rPr>
        <w:lastRenderedPageBreak/>
        <w:t xml:space="preserve">The success story of internationalization in Estonia’s higher education is on the one hand built on national guidelines, and on the other hand on steps taken by universities themselves due to objective circumstances. Estonia has lagged behind other European countries in its higher education language policy. Processes were accelerated through the 2013 higher education reform which made native-language higher education free of tuition and forced universities to increase their income via English-language study programmes. This is why universities have developed numerous English-language study programmes during the past decade. For example, in the 2018/2019 academic year, English-language study programmes amounted to 38% of all study programmes at the master’s level. In the most part, English-language study programmes were and still are created based on actual need – to ensure the survival of a study programme developed at the university for decades with care and dedication. When there are not enough Estonian-speaking local students, changing the language of instruction to English and looking for students abroad, even by having Estonian taxpayers covering the cost </w:t>
      </w:r>
      <w:r w:rsidR="00221141" w:rsidRPr="00FB4EFA">
        <w:rPr>
          <w:lang w:val="en-GB"/>
        </w:rPr>
        <w:t xml:space="preserve">of </w:t>
      </w:r>
      <w:r w:rsidRPr="00FB4EFA">
        <w:rPr>
          <w:lang w:val="en-GB"/>
        </w:rPr>
        <w:t>their tuition fees (see explanation below), is seen as the only way to preserve the study programme.</w:t>
      </w:r>
    </w:p>
    <w:p w14:paraId="657C426E" w14:textId="205A3855" w:rsidR="005913BE" w:rsidRPr="00FB4EFA" w:rsidRDefault="005913BE" w:rsidP="00AF0CAD">
      <w:pPr>
        <w:ind w:firstLine="709"/>
        <w:rPr>
          <w:lang w:val="en-GB"/>
        </w:rPr>
      </w:pPr>
      <w:r w:rsidRPr="00FB4EFA">
        <w:rPr>
          <w:lang w:val="en-GB"/>
        </w:rPr>
        <w:t xml:space="preserve">The most recent reliable data on the percentage of international students </w:t>
      </w:r>
      <w:r w:rsidR="00221141" w:rsidRPr="00FB4EFA">
        <w:rPr>
          <w:lang w:val="en-GB"/>
        </w:rPr>
        <w:t>pertains to</w:t>
      </w:r>
      <w:r w:rsidRPr="00FB4EFA">
        <w:rPr>
          <w:lang w:val="en-GB"/>
        </w:rPr>
        <w:t xml:space="preserve"> the academic year 2019/2020</w:t>
      </w:r>
      <w:r w:rsidR="00221141" w:rsidRPr="00FB4EFA">
        <w:rPr>
          <w:lang w:val="en-GB"/>
        </w:rPr>
        <w:t>,</w:t>
      </w:r>
      <w:r w:rsidRPr="00FB4EFA">
        <w:rPr>
          <w:lang w:val="en-GB"/>
        </w:rPr>
        <w:t xml:space="preserve"> as the 2020/2021 academic year was exceptional due to the COVID-19 pandemic; statistics from this year cannot be considered reliable</w:t>
      </w:r>
      <w:r w:rsidR="00221141" w:rsidRPr="00FB4EFA">
        <w:rPr>
          <w:lang w:val="en-GB"/>
        </w:rPr>
        <w:t>,</w:t>
      </w:r>
      <w:r w:rsidRPr="00FB4EFA">
        <w:rPr>
          <w:lang w:val="en-GB"/>
        </w:rPr>
        <w:t xml:space="preserve"> and the decrease in the number of international students does not reflect actual trends. However, some universities have stopped admitting international students (</w:t>
      </w:r>
      <w:r w:rsidR="00466236" w:rsidRPr="00FB4EFA">
        <w:rPr>
          <w:lang w:val="en-GB"/>
        </w:rPr>
        <w:t>e.g., </w:t>
      </w:r>
      <w:r w:rsidRPr="00FB4EFA">
        <w:rPr>
          <w:lang w:val="en-GB"/>
        </w:rPr>
        <w:t>Tallinn University of Technology)</w:t>
      </w:r>
      <w:r w:rsidR="00221141" w:rsidRPr="00FB4EFA">
        <w:rPr>
          <w:lang w:val="en-GB"/>
        </w:rPr>
        <w:t>,</w:t>
      </w:r>
      <w:r w:rsidRPr="00FB4EFA">
        <w:rPr>
          <w:lang w:val="en-GB"/>
        </w:rPr>
        <w:t xml:space="preserve"> and many international students (both full-time and exchange students) have changed their plans to come to Estonia.</w:t>
      </w:r>
      <w:r w:rsidRPr="00FB4EFA">
        <w:rPr>
          <w:vertAlign w:val="superscript"/>
          <w:lang w:val="en-GB"/>
        </w:rPr>
        <w:footnoteReference w:id="92"/>
      </w:r>
    </w:p>
    <w:p w14:paraId="6B0D60A8" w14:textId="77777777" w:rsidR="005913BE" w:rsidRPr="00FB4EFA" w:rsidRDefault="005913BE" w:rsidP="00545033">
      <w:pPr>
        <w:pStyle w:val="Heading2"/>
        <w:suppressAutoHyphens/>
        <w:spacing w:line="259" w:lineRule="auto"/>
        <w:rPr>
          <w:color w:val="auto"/>
        </w:rPr>
      </w:pPr>
      <w:r w:rsidRPr="00FB4EFA">
        <w:rPr>
          <w:color w:val="auto"/>
        </w:rPr>
        <w:t>Why are universities offering English-language study programmes?</w:t>
      </w:r>
    </w:p>
    <w:p w14:paraId="7B42000B" w14:textId="3C6B0C6F" w:rsidR="005913BE" w:rsidRPr="00FB4EFA" w:rsidRDefault="005913BE" w:rsidP="00402EF4">
      <w:pPr>
        <w:spacing w:after="240"/>
        <w:rPr>
          <w:lang w:val="en-GB"/>
        </w:rPr>
      </w:pPr>
      <w:r w:rsidRPr="00FB4EFA">
        <w:rPr>
          <w:lang w:val="en-GB"/>
        </w:rPr>
        <w:t xml:space="preserve">The above-mentioned Higher Education Act (KHaS 2019) refers to the two most important reasons why an institution of higher education could </w:t>
      </w:r>
      <w:r w:rsidRPr="00FB4EFA">
        <w:rPr>
          <w:lang w:val="en-GB"/>
        </w:rPr>
        <w:lastRenderedPageBreak/>
        <w:t xml:space="preserve">and should offer English-language study programmes. These are </w:t>
      </w:r>
      <w:r w:rsidR="00221141" w:rsidRPr="00FB4EFA">
        <w:rPr>
          <w:lang w:val="en-GB"/>
        </w:rPr>
        <w:t>1</w:t>
      </w:r>
      <w:r w:rsidRPr="00FB4EFA">
        <w:rPr>
          <w:lang w:val="en-GB"/>
        </w:rPr>
        <w:t xml:space="preserve">) the need to guarantee the quality of the programmes, and </w:t>
      </w:r>
      <w:r w:rsidR="00221141" w:rsidRPr="00FB4EFA">
        <w:rPr>
          <w:lang w:val="en-GB"/>
        </w:rPr>
        <w:t>2</w:t>
      </w:r>
      <w:r w:rsidRPr="00FB4EFA">
        <w:rPr>
          <w:lang w:val="en-GB"/>
        </w:rPr>
        <w:t xml:space="preserve">) the availability of specialists with higher education in Estonia. Foreign-language, </w:t>
      </w:r>
      <w:r w:rsidR="00466236" w:rsidRPr="00FB4EFA">
        <w:rPr>
          <w:lang w:val="en-GB"/>
        </w:rPr>
        <w:t>i.e., </w:t>
      </w:r>
      <w:r w:rsidRPr="00FB4EFA">
        <w:rPr>
          <w:lang w:val="en-GB"/>
        </w:rPr>
        <w:t>English-language study programmes are accredited by the Ministry of Education and Science and of course the institutions of higher education must justify their need to launch an English-language study programme instead of an Estonian-language one. Next, this paper will analyse the arguments presented in justification of the needs for starting English-language study programmes. The arguments are doubtless legitimate, at least in part, but there is still much room for interpretation.</w:t>
      </w:r>
    </w:p>
    <w:p w14:paraId="2E089F4E" w14:textId="77777777" w:rsidR="005913BE" w:rsidRPr="00FB4EFA" w:rsidRDefault="005913BE" w:rsidP="00AF0CAD">
      <w:pPr>
        <w:keepNext/>
        <w:rPr>
          <w:b/>
          <w:bCs/>
          <w:lang w:val="en-GB"/>
        </w:rPr>
      </w:pPr>
      <w:r w:rsidRPr="00FB4EFA">
        <w:rPr>
          <w:b/>
          <w:bCs/>
          <w:lang w:val="en-GB"/>
        </w:rPr>
        <w:t>1. There are not enough students for all existing study programmes.</w:t>
      </w:r>
    </w:p>
    <w:p w14:paraId="1BD4502D" w14:textId="7094E0BC" w:rsidR="005913BE" w:rsidRPr="00FB4EFA" w:rsidRDefault="005C0F8F" w:rsidP="00402EF4">
      <w:pPr>
        <w:spacing w:after="240"/>
        <w:rPr>
          <w:lang w:val="en-GB"/>
        </w:rPr>
      </w:pPr>
      <w:r w:rsidRPr="00FB4EFA">
        <w:rPr>
          <w:lang w:val="en-GB"/>
        </w:rPr>
        <w:t xml:space="preserve">Regarding total student numbers, compared to the most successful years, we currently see a great decrease. </w:t>
      </w:r>
      <w:r w:rsidR="005913BE" w:rsidRPr="00FB4EFA">
        <w:rPr>
          <w:lang w:val="en-GB"/>
        </w:rPr>
        <w:t xml:space="preserve">While in 2012 there were approximately 67,000 students in Estonia, now that number stands at 46,000. In comparison, </w:t>
      </w:r>
      <w:r w:rsidRPr="00FB4EFA">
        <w:rPr>
          <w:lang w:val="en-GB"/>
        </w:rPr>
        <w:t>in 2012</w:t>
      </w:r>
      <w:r w:rsidR="005913BE" w:rsidRPr="00FB4EFA">
        <w:rPr>
          <w:lang w:val="en-GB"/>
        </w:rPr>
        <w:t xml:space="preserve"> there were 18,000 students enrolled at the University of Tartu, now there are 13,000. In the past eleven years the number of institutions of higher education has decreased from 39 to 18. The number of study programmes has also decreased but is still around 700.</w:t>
      </w:r>
      <w:r w:rsidR="005913BE" w:rsidRPr="00FB4EFA">
        <w:rPr>
          <w:vertAlign w:val="superscript"/>
          <w:lang w:val="en-GB"/>
        </w:rPr>
        <w:footnoteReference w:id="93"/>
      </w:r>
      <w:r w:rsidR="005913BE" w:rsidRPr="00FB4EFA">
        <w:rPr>
          <w:lang w:val="en-GB"/>
        </w:rPr>
        <w:t xml:space="preserve"> Despite the significant decrease in the number of institutions of higher education, the number of study programmes has not decreased substantially in recent years. </w:t>
      </w:r>
      <w:r w:rsidRPr="00FB4EFA">
        <w:rPr>
          <w:lang w:val="en-GB"/>
        </w:rPr>
        <w:t>It might thus be assumed that</w:t>
      </w:r>
      <w:r w:rsidR="005913BE" w:rsidRPr="00FB4EFA">
        <w:rPr>
          <w:lang w:val="en-GB"/>
        </w:rPr>
        <w:t xml:space="preserve"> perhaps there are too many study programmes at Estonian universities and </w:t>
      </w:r>
      <w:r w:rsidRPr="00FB4EFA">
        <w:rPr>
          <w:lang w:val="en-GB"/>
        </w:rPr>
        <w:t xml:space="preserve">that </w:t>
      </w:r>
      <w:r w:rsidR="005913BE" w:rsidRPr="00FB4EFA">
        <w:rPr>
          <w:lang w:val="en-GB"/>
        </w:rPr>
        <w:t>therefore there are not enough students for all programmes or for similar programmes.</w:t>
      </w:r>
    </w:p>
    <w:p w14:paraId="3B1483D9" w14:textId="4442B1F4" w:rsidR="005913BE" w:rsidRPr="00FB4EFA" w:rsidRDefault="005913BE" w:rsidP="00AF0CAD">
      <w:pPr>
        <w:keepNext/>
        <w:keepLines/>
        <w:rPr>
          <w:b/>
          <w:bCs/>
          <w:lang w:val="en-GB"/>
        </w:rPr>
      </w:pPr>
      <w:r w:rsidRPr="00FB4EFA">
        <w:rPr>
          <w:b/>
          <w:bCs/>
          <w:lang w:val="en-GB"/>
        </w:rPr>
        <w:t>2. The Estonian labour market needs specialists and by using English-language study programmes we are training the</w:t>
      </w:r>
      <w:r w:rsidR="008666B4" w:rsidRPr="00FB4EFA">
        <w:rPr>
          <w:b/>
          <w:bCs/>
          <w:lang w:val="en-GB"/>
        </w:rPr>
        <w:t>m</w:t>
      </w:r>
      <w:r w:rsidRPr="00FB4EFA">
        <w:rPr>
          <w:b/>
          <w:bCs/>
          <w:lang w:val="en-GB"/>
        </w:rPr>
        <w:t>.</w:t>
      </w:r>
    </w:p>
    <w:p w14:paraId="1D12E9D6" w14:textId="0DA9E178" w:rsidR="005913BE" w:rsidRPr="00FB4EFA" w:rsidRDefault="005913BE" w:rsidP="00AF0CAD">
      <w:pPr>
        <w:rPr>
          <w:lang w:val="en-GB"/>
        </w:rPr>
      </w:pPr>
      <w:r w:rsidRPr="00FB4EFA">
        <w:rPr>
          <w:lang w:val="en-GB"/>
        </w:rPr>
        <w:t xml:space="preserve">Theoretically, this could of course be true. In reality, one only has to look into these study programmes to see how small or even entirely non-existent the position of the Estonian language and knowledge of Estonia is in them. The universities’ main argument for starting an English-language study programme is precisely the need to train specialists for </w:t>
      </w:r>
      <w:r w:rsidR="008666B4" w:rsidRPr="00FB4EFA">
        <w:rPr>
          <w:lang w:val="en-GB"/>
        </w:rPr>
        <w:t xml:space="preserve">the </w:t>
      </w:r>
      <w:r w:rsidRPr="00FB4EFA">
        <w:rPr>
          <w:lang w:val="en-GB"/>
        </w:rPr>
        <w:t>Estonian labour market in a situation where there are</w:t>
      </w:r>
      <w:r w:rsidR="008666B4" w:rsidRPr="00FB4EFA">
        <w:rPr>
          <w:lang w:val="en-GB"/>
        </w:rPr>
        <w:t xml:space="preserve"> simply</w:t>
      </w:r>
      <w:r w:rsidRPr="00FB4EFA">
        <w:rPr>
          <w:lang w:val="en-GB"/>
        </w:rPr>
        <w:t xml:space="preserve"> not enough local students. However, according to the National Audit Office </w:t>
      </w:r>
      <w:r w:rsidRPr="00FB4EFA">
        <w:rPr>
          <w:lang w:val="en-GB"/>
        </w:rPr>
        <w:lastRenderedPageBreak/>
        <w:t xml:space="preserve">report (2015), an average of 20.7% of international students remain in Estonia. Many more international students would like to stay: according to </w:t>
      </w:r>
      <w:r w:rsidR="008666B4" w:rsidRPr="00FB4EFA">
        <w:rPr>
          <w:lang w:val="en-GB"/>
        </w:rPr>
        <w:t xml:space="preserve">the </w:t>
      </w:r>
      <w:r w:rsidRPr="00FB4EFA">
        <w:rPr>
          <w:lang w:val="en-GB"/>
        </w:rPr>
        <w:t xml:space="preserve">University of Tartu international students’ survey (2017), 41% of respondents would like to remain in Estonia after graduating, </w:t>
      </w:r>
      <w:r w:rsidR="00ED27C7" w:rsidRPr="00FB4EFA">
        <w:rPr>
          <w:lang w:val="en-GB"/>
        </w:rPr>
        <w:t xml:space="preserve">and </w:t>
      </w:r>
      <w:r w:rsidRPr="00FB4EFA">
        <w:rPr>
          <w:lang w:val="en-GB"/>
        </w:rPr>
        <w:t>8% would like to continue their studies here. A survey conducted by Tallinn University of Technology (2019) showed that over 80% of graduated international students want to associate themselves with Estonia in the future. The data originates from the overview “</w:t>
      </w:r>
      <w:r w:rsidRPr="00FB4EFA">
        <w:rPr>
          <w:i/>
          <w:lang w:val="en-GB"/>
        </w:rPr>
        <w:t>Välisüliõpilaste õppimine ja õpetamine Eesti kõrgkoolides</w:t>
      </w:r>
      <w:r w:rsidRPr="00FB4EFA">
        <w:rPr>
          <w:lang w:val="en-GB"/>
        </w:rPr>
        <w:t>” (‘Studying by and teaching of international students in Estonian institutions of higher education’) issued by the Estonian Quality Agency for Higher and Vocational Education (EKKA 2019).</w:t>
      </w:r>
    </w:p>
    <w:p w14:paraId="79A16D96" w14:textId="71583806" w:rsidR="005913BE" w:rsidRPr="00FB4EFA" w:rsidRDefault="005913BE" w:rsidP="00402EF4">
      <w:pPr>
        <w:ind w:firstLine="709"/>
        <w:rPr>
          <w:lang w:val="en-GB"/>
        </w:rPr>
      </w:pPr>
      <w:r w:rsidRPr="00FB4EFA">
        <w:rPr>
          <w:lang w:val="en-GB"/>
        </w:rPr>
        <w:t xml:space="preserve">English-language study programmes impart knowledge of the </w:t>
      </w:r>
      <w:r w:rsidR="00ED27C7" w:rsidRPr="00FB4EFA">
        <w:rPr>
          <w:lang w:val="en-GB"/>
        </w:rPr>
        <w:t xml:space="preserve">respective </w:t>
      </w:r>
      <w:r w:rsidRPr="00FB4EFA">
        <w:rPr>
          <w:lang w:val="en-GB"/>
        </w:rPr>
        <w:t>specialt</w:t>
      </w:r>
      <w:r w:rsidR="00ED27C7" w:rsidRPr="00FB4EFA">
        <w:rPr>
          <w:lang w:val="en-GB"/>
        </w:rPr>
        <w:t>ies</w:t>
      </w:r>
      <w:r w:rsidRPr="00FB4EFA">
        <w:rPr>
          <w:lang w:val="en-GB"/>
        </w:rPr>
        <w:t xml:space="preserve"> but do not, as a rule (with the exception of the private higher education institution Mainor</w:t>
      </w:r>
      <w:r w:rsidRPr="00FB4EFA">
        <w:rPr>
          <w:vertAlign w:val="superscript"/>
          <w:lang w:val="en-GB"/>
        </w:rPr>
        <w:footnoteReference w:id="94"/>
      </w:r>
      <w:r w:rsidRPr="00FB4EFA">
        <w:rPr>
          <w:lang w:val="en-GB"/>
        </w:rPr>
        <w:t>), teach the Estonian language or how to manage in Estonian society and the Estonian business environment. Estonian courses in the study programmes are optional at best; international graduates will not find work in Estonia. The international students’ overview mentioned above clearly states (EKKA 2019: 15): “The greatest problem that international students face when applying for apprenticeship or work is the lack of knowledge of Estonian. Even in international enterprises, the working language is often Estonian.” Furthermore, employers point out that “international students also lack understanding of the Estonian business environment and coaching apprentices in this is too resource-intensive.” (ibid.). Therefore, if employers and the government have the desire and willingness to employ international students studying in Estonia and keep them in the country, closer cooperation with institutions of higher education is needed to overcome that obstacle.</w:t>
      </w:r>
    </w:p>
    <w:p w14:paraId="40F61232" w14:textId="77777777" w:rsidR="005913BE" w:rsidRPr="00FB4EFA" w:rsidRDefault="005913BE" w:rsidP="00AF0CAD">
      <w:pPr>
        <w:spacing w:before="240"/>
        <w:rPr>
          <w:b/>
          <w:bCs/>
          <w:lang w:val="en-GB"/>
        </w:rPr>
      </w:pPr>
      <w:r w:rsidRPr="00FB4EFA">
        <w:rPr>
          <w:b/>
          <w:bCs/>
          <w:lang w:val="en-GB"/>
        </w:rPr>
        <w:t>3. Government funding of higher education does not cover all costs and charging tuition in English-language study programmes helps decrease the lack of funding.</w:t>
      </w:r>
    </w:p>
    <w:p w14:paraId="3B24E7FF" w14:textId="77777777" w:rsidR="005913BE" w:rsidRPr="00FB4EFA" w:rsidRDefault="005913BE" w:rsidP="00402EF4">
      <w:pPr>
        <w:rPr>
          <w:lang w:val="en-GB"/>
        </w:rPr>
      </w:pPr>
      <w:r w:rsidRPr="00FB4EFA">
        <w:rPr>
          <w:lang w:val="en-GB"/>
        </w:rPr>
        <w:lastRenderedPageBreak/>
        <w:t>Lack of government funding for institutions of higher education has been pointed out before and is a constant point of discussion in Estonia.</w:t>
      </w:r>
      <w:r w:rsidRPr="00FB4EFA">
        <w:rPr>
          <w:vertAlign w:val="superscript"/>
          <w:lang w:val="en-GB"/>
        </w:rPr>
        <w:footnoteReference w:id="95"/>
      </w:r>
      <w:r w:rsidRPr="00FB4EFA">
        <w:rPr>
          <w:lang w:val="en-GB"/>
        </w:rPr>
        <w:t xml:space="preserve"> Since studying in Estonian has been free of charge since 2013, English-language teaching is the only opportunity left for universities to charge tuition. But do all international students pay for their studies or does the Estonian taxpayer? Universities have different approaches here. For example, at the University of Tartu half of international students pay tuition by now, thereby at least in part compensating the university’s expenses, but just a few years ago the proportion of tuition-paying students was about one third. Another question is whether a tuition fee of about 400 euros per month</w:t>
      </w:r>
      <w:r w:rsidRPr="00FB4EFA">
        <w:rPr>
          <w:vertAlign w:val="superscript"/>
          <w:lang w:val="en-GB"/>
        </w:rPr>
        <w:footnoteReference w:id="96"/>
      </w:r>
      <w:r w:rsidRPr="00FB4EFA">
        <w:rPr>
          <w:lang w:val="en-GB"/>
        </w:rPr>
        <w:t xml:space="preserve"> is enough to cover the actual costs. But even this amount helps.</w:t>
      </w:r>
    </w:p>
    <w:p w14:paraId="11E507B1" w14:textId="77777777" w:rsidR="005913BE" w:rsidRPr="00FB4EFA" w:rsidRDefault="005913BE" w:rsidP="00AF0CAD">
      <w:pPr>
        <w:spacing w:before="240"/>
        <w:rPr>
          <w:b/>
          <w:bCs/>
          <w:lang w:val="en-GB"/>
        </w:rPr>
      </w:pPr>
      <w:r w:rsidRPr="00FB4EFA">
        <w:rPr>
          <w:b/>
          <w:bCs/>
          <w:lang w:val="en-GB"/>
        </w:rPr>
        <w:t>4. Internationalization both among students and faculty is a quality metric for universities.</w:t>
      </w:r>
    </w:p>
    <w:p w14:paraId="1A64D3EA" w14:textId="77777777" w:rsidR="005913BE" w:rsidRPr="00FB4EFA" w:rsidRDefault="005913BE" w:rsidP="00402EF4">
      <w:pPr>
        <w:rPr>
          <w:lang w:val="en-GB"/>
        </w:rPr>
      </w:pPr>
      <w:r w:rsidRPr="00FB4EFA">
        <w:rPr>
          <w:lang w:val="en-GB"/>
        </w:rPr>
        <w:t>This argument is based on the claim that high-quality education brings international students as well as foreign research fellows and professors to our universities. They in turn contribute to an increase in the quality of teaching on an international level. However, drawing such a one-to-one relation between high-quality teaching and research on the one hand and international higher education on the other raises questions of its own. Is Estonian-language instruction of lower quality and a local professor worse than a foreign one?</w:t>
      </w:r>
    </w:p>
    <w:p w14:paraId="29227DD8" w14:textId="77777777" w:rsidR="005913BE" w:rsidRPr="00FB4EFA" w:rsidRDefault="005913BE" w:rsidP="00545033">
      <w:pPr>
        <w:pStyle w:val="Heading2"/>
        <w:suppressAutoHyphens/>
        <w:spacing w:line="259" w:lineRule="auto"/>
        <w:rPr>
          <w:color w:val="auto"/>
        </w:rPr>
      </w:pPr>
      <w:r w:rsidRPr="00FB4EFA">
        <w:rPr>
          <w:color w:val="auto"/>
        </w:rPr>
        <w:t>The government guiding language policy at universities – the dynamics of the past 15 years</w:t>
      </w:r>
    </w:p>
    <w:p w14:paraId="2B428609" w14:textId="77777777" w:rsidR="005913BE" w:rsidRPr="00FB4EFA" w:rsidRDefault="005913BE" w:rsidP="00402EF4">
      <w:pPr>
        <w:rPr>
          <w:lang w:val="en-GB"/>
        </w:rPr>
      </w:pPr>
      <w:r w:rsidRPr="00FB4EFA">
        <w:rPr>
          <w:lang w:val="en-GB"/>
        </w:rPr>
        <w:t xml:space="preserve">Estonian is an official language whose status is guaranteed by both the Estonian Constitution and the Language Act. According to §37 of the Constitution, the state must guarantee everyone’s right to be taught in Estonian (Constitution 2015). The Higher Education Act also states that Estonian is to be the language of instruction in universities in Estonia, but it also gives the decision-making body of the university the authority to </w:t>
      </w:r>
      <w:r w:rsidRPr="00FB4EFA">
        <w:rPr>
          <w:lang w:val="en-GB"/>
        </w:rPr>
        <w:lastRenderedPageBreak/>
        <w:t>choose another language of instruction for a study programme (KHaS 2019).</w:t>
      </w:r>
    </w:p>
    <w:p w14:paraId="321CD472" w14:textId="77777777" w:rsidR="005913BE" w:rsidRPr="00FB4EFA" w:rsidRDefault="005913BE" w:rsidP="00402EF4">
      <w:pPr>
        <w:ind w:firstLine="709"/>
        <w:rPr>
          <w:lang w:val="en-GB"/>
        </w:rPr>
      </w:pPr>
      <w:r w:rsidRPr="00FB4EFA">
        <w:rPr>
          <w:lang w:val="en-GB"/>
        </w:rPr>
        <w:t>In the previous fifteen years, the Estonian government has made great changes in its approaches to the internationalization of universities and in defining of the roles of Estonian and English.</w:t>
      </w:r>
    </w:p>
    <w:p w14:paraId="170EF6B4" w14:textId="2440BA34" w:rsidR="005913BE" w:rsidRPr="00FB4EFA" w:rsidRDefault="005913BE" w:rsidP="00402EF4">
      <w:pPr>
        <w:ind w:firstLine="709"/>
        <w:rPr>
          <w:lang w:val="en-GB"/>
        </w:rPr>
      </w:pPr>
      <w:r w:rsidRPr="00FB4EFA">
        <w:rPr>
          <w:lang w:val="en-GB"/>
        </w:rPr>
        <w:t>Here one can draw parallels with trends in European higher education language policy. A similar evolution has occurred here; threats to the sustainability of national languages, cultures and native-speaking intellectuals due to the internationalization of higher education have become commonplace, see below. Estonia has undergone the same change in attitudes. However, all development plans of Estonian language from th</w:t>
      </w:r>
      <w:r w:rsidR="004F54FD" w:rsidRPr="00FB4EFA">
        <w:rPr>
          <w:lang w:val="en-GB"/>
        </w:rPr>
        <w:t>o</w:t>
      </w:r>
      <w:r w:rsidRPr="00FB4EFA">
        <w:rPr>
          <w:lang w:val="en-GB"/>
        </w:rPr>
        <w:t>se years (</w:t>
      </w:r>
      <w:bookmarkStart w:id="82" w:name="_Hlk72487188"/>
      <w:r w:rsidRPr="00FB4EFA">
        <w:rPr>
          <w:lang w:val="en-GB"/>
        </w:rPr>
        <w:t>EKAS 2004, EKA 2011, EKA 2021</w:t>
      </w:r>
      <w:bookmarkEnd w:id="82"/>
      <w:r w:rsidRPr="00FB4EFA">
        <w:rPr>
          <w:lang w:val="en-GB"/>
        </w:rPr>
        <w:t>) emphasized the need to retain and develop Estonian-language higher education. The language development plans have encouraged a balance between Estonian-language and English-language higher education in order to prevent any specialty from becoming completely foreign-language based. In the visions for higher education and related domains</w:t>
      </w:r>
      <w:r w:rsidR="004F54FD" w:rsidRPr="00FB4EFA">
        <w:rPr>
          <w:lang w:val="en-GB"/>
        </w:rPr>
        <w:t>,</w:t>
      </w:r>
      <w:r w:rsidRPr="00FB4EFA">
        <w:rPr>
          <w:lang w:val="en-GB"/>
        </w:rPr>
        <w:t xml:space="preserve"> different trends have dominated at different times: there are stages where more emphasis is placed on the international visibility of higher education (bolstered by English-language studies) and the sustainability of Estonian is given lower priority, while at other times an attempt is made to strike a balance between Estonian and English </w:t>
      </w:r>
      <w:r w:rsidR="004F54FD" w:rsidRPr="00FB4EFA">
        <w:rPr>
          <w:lang w:val="en-GB"/>
        </w:rPr>
        <w:t xml:space="preserve">so </w:t>
      </w:r>
      <w:r w:rsidRPr="00FB4EFA">
        <w:rPr>
          <w:lang w:val="en-GB"/>
        </w:rPr>
        <w:t>as not to damage the positions of the Estonian language in higher education.</w:t>
      </w:r>
    </w:p>
    <w:p w14:paraId="341B1056" w14:textId="6D15EAC7" w:rsidR="005913BE" w:rsidRPr="00FB4EFA" w:rsidRDefault="005913BE" w:rsidP="00402EF4">
      <w:pPr>
        <w:ind w:firstLine="709"/>
        <w:rPr>
          <w:lang w:val="en-GB"/>
        </w:rPr>
      </w:pPr>
      <w:r w:rsidRPr="00FB4EFA">
        <w:rPr>
          <w:lang w:val="en-GB"/>
        </w:rPr>
        <w:t>At the beginning of the above-mentioned period (the last 15 years), international learning environment and Estonian-language higher education were both equally supported in development plans. Thus, for example, the “Estonian Higher Education Strategy 2006</w:t>
      </w:r>
      <w:r w:rsidR="00B738EB" w:rsidRPr="00FB4EFA">
        <w:rPr>
          <w:rFonts w:cs="Times New Roman"/>
          <w:lang w:val="en-GB"/>
        </w:rPr>
        <w:t>–</w:t>
      </w:r>
      <w:r w:rsidRPr="00FB4EFA">
        <w:rPr>
          <w:lang w:val="en-GB"/>
        </w:rPr>
        <w:t xml:space="preserve">2015” (EKS 2006) listed </w:t>
      </w:r>
      <w:r w:rsidR="004F54FD" w:rsidRPr="00FB4EFA">
        <w:rPr>
          <w:lang w:val="en-GB"/>
        </w:rPr>
        <w:t xml:space="preserve">as </w:t>
      </w:r>
      <w:r w:rsidRPr="00FB4EFA">
        <w:rPr>
          <w:lang w:val="en-GB"/>
        </w:rPr>
        <w:t xml:space="preserve">one of its goals </w:t>
      </w:r>
      <w:r w:rsidR="004F54FD" w:rsidRPr="00FB4EFA">
        <w:rPr>
          <w:lang w:val="en-GB"/>
        </w:rPr>
        <w:t>the</w:t>
      </w:r>
      <w:r w:rsidRPr="00FB4EFA">
        <w:rPr>
          <w:lang w:val="en-GB"/>
        </w:rPr>
        <w:t xml:space="preserve"> “ensuring the development of Estonian-language educational and cultural space. Ensuring the continuation and development of Estonian-medium higher education in the European open education space. It is the goal that higher education can be received in all fields of study on all levels of education.” </w:t>
      </w:r>
      <w:bookmarkStart w:id="83" w:name="_Hlk103508458"/>
      <w:r w:rsidRPr="00FB4EFA">
        <w:rPr>
          <w:lang w:val="en-GB"/>
        </w:rPr>
        <w:t>The “Estonian Higher Education Internationali</w:t>
      </w:r>
      <w:r w:rsidR="00A011ED" w:rsidRPr="00FB4EFA">
        <w:rPr>
          <w:lang w:val="en-GB"/>
        </w:rPr>
        <w:t>z</w:t>
      </w:r>
      <w:r w:rsidRPr="00FB4EFA">
        <w:rPr>
          <w:lang w:val="en-GB"/>
        </w:rPr>
        <w:t>ations Strategy 2006</w:t>
      </w:r>
      <w:r w:rsidR="00B738EB" w:rsidRPr="00FB4EFA">
        <w:rPr>
          <w:rFonts w:cs="Times New Roman"/>
          <w:lang w:val="en-GB"/>
        </w:rPr>
        <w:t>–</w:t>
      </w:r>
      <w:r w:rsidRPr="00FB4EFA">
        <w:rPr>
          <w:lang w:val="en-GB"/>
        </w:rPr>
        <w:t>2015” (EKRS 2006)</w:t>
      </w:r>
      <w:bookmarkEnd w:id="83"/>
      <w:r w:rsidRPr="00FB4EFA">
        <w:rPr>
          <w:lang w:val="en-GB"/>
        </w:rPr>
        <w:t xml:space="preserve"> did indeed emphasize the importance of internationalization and therefore also the need for developing English-language study programmes. On the other hand, the strategy stressed the important function of universities in </w:t>
      </w:r>
      <w:r w:rsidRPr="00FB4EFA">
        <w:rPr>
          <w:lang w:val="en-GB"/>
        </w:rPr>
        <w:lastRenderedPageBreak/>
        <w:t>relation to developing the official language and clearly defined the role of Estonian as language of instruction: “While opening Estonian higher education and introducing an international dimension to each study programme</w:t>
      </w:r>
      <w:r w:rsidR="004F54FD" w:rsidRPr="00FB4EFA">
        <w:rPr>
          <w:lang w:val="en-GB"/>
        </w:rPr>
        <w:t>,</w:t>
      </w:r>
      <w:r w:rsidRPr="00FB4EFA">
        <w:rPr>
          <w:lang w:val="en-GB"/>
        </w:rPr>
        <w:t xml:space="preserve"> we must ensure the preservation of Estonian as the primary language of instruction and science in institutions of higher education.” (EKRS 2006)</w:t>
      </w:r>
    </w:p>
    <w:p w14:paraId="0D4E8EE2" w14:textId="4D94BD58" w:rsidR="005913BE" w:rsidRPr="00FB4EFA" w:rsidRDefault="005913BE" w:rsidP="00402EF4">
      <w:pPr>
        <w:ind w:firstLine="709"/>
        <w:rPr>
          <w:lang w:val="en-GB"/>
        </w:rPr>
      </w:pPr>
      <w:r w:rsidRPr="00FB4EFA">
        <w:rPr>
          <w:lang w:val="en-GB"/>
        </w:rPr>
        <w:t>In the middle of this period the government issued a guideline to offer as much English-language instruction as possible at universities and to acquire as many international students and faculty as possible. Internationalization and use of foreign languages in higher education institutions were seen as a guarantee of academic success and quality. The most important guidelines for Estonian higher education during that period were “Lifelong Learning Strategy 2020” (EÕS 2020) and an application plan based on its guidelines and visions “Higher Education Programme 201</w:t>
      </w:r>
      <w:r w:rsidR="00C65823" w:rsidRPr="00FB4EFA">
        <w:rPr>
          <w:lang w:val="en-GB"/>
        </w:rPr>
        <w:t>6–2</w:t>
      </w:r>
      <w:r w:rsidRPr="00FB4EFA">
        <w:rPr>
          <w:lang w:val="en-GB"/>
        </w:rPr>
        <w:t>019” (KHP 2016). The Lifelong Learning Strategy touches on the education opportunities for young people with native languages other than Estonian and ensur</w:t>
      </w:r>
      <w:r w:rsidR="004F54FD" w:rsidRPr="00FB4EFA">
        <w:rPr>
          <w:lang w:val="en-GB"/>
        </w:rPr>
        <w:t>es</w:t>
      </w:r>
      <w:r w:rsidRPr="00FB4EFA">
        <w:rPr>
          <w:lang w:val="en-GB"/>
        </w:rPr>
        <w:t xml:space="preserve"> opportunities to learn Estonian for representatives </w:t>
      </w:r>
      <w:r w:rsidR="004F54FD" w:rsidRPr="00FB4EFA">
        <w:rPr>
          <w:lang w:val="en-GB"/>
        </w:rPr>
        <w:t xml:space="preserve">of </w:t>
      </w:r>
      <w:r w:rsidRPr="00FB4EFA">
        <w:rPr>
          <w:lang w:val="en-GB"/>
        </w:rPr>
        <w:t>all age groups. However, maintaining and developing Estonian-language higher education – an important domain for the sustainability of language – has not been formulated as a goal.</w:t>
      </w:r>
    </w:p>
    <w:p w14:paraId="19CC2D33" w14:textId="383B89D5" w:rsidR="005913BE" w:rsidRPr="00FB4EFA" w:rsidRDefault="005913BE" w:rsidP="00402EF4">
      <w:pPr>
        <w:ind w:firstLine="709"/>
        <w:rPr>
          <w:lang w:val="en-GB"/>
        </w:rPr>
      </w:pPr>
      <w:r w:rsidRPr="00FB4EFA">
        <w:rPr>
          <w:lang w:val="en-GB"/>
        </w:rPr>
        <w:t>It is true that during all these years the government has, with the help of various programmes, funded the development of Estonian terminology</w:t>
      </w:r>
      <w:r w:rsidR="00287B86" w:rsidRPr="00FB4EFA">
        <w:rPr>
          <w:lang w:val="en-GB"/>
        </w:rPr>
        <w:t xml:space="preserve"> as well as</w:t>
      </w:r>
      <w:r w:rsidRPr="00FB4EFA">
        <w:rPr>
          <w:lang w:val="en-GB"/>
        </w:rPr>
        <w:t xml:space="preserve"> writing and publishing of academic textbooks in Estonian and provided money for the study of Estonian and the development of language technology</w:t>
      </w:r>
      <w:r w:rsidRPr="00FB4EFA">
        <w:rPr>
          <w:vertAlign w:val="superscript"/>
          <w:lang w:val="en-GB"/>
        </w:rPr>
        <w:footnoteReference w:id="97"/>
      </w:r>
      <w:r w:rsidRPr="00FB4EFA">
        <w:rPr>
          <w:lang w:val="en-GB"/>
        </w:rPr>
        <w:t>. However, the universities’ success metric has still been international English-language instruction; universities have received special funding to develop English-language curricula. It is therefore understandable that the university in turn encourages and motivates its departments to provide more such instruction.</w:t>
      </w:r>
    </w:p>
    <w:p w14:paraId="48EEC0BD" w14:textId="28580579" w:rsidR="005913BE" w:rsidRPr="00FB4EFA" w:rsidRDefault="005913BE" w:rsidP="00AF0CAD">
      <w:pPr>
        <w:ind w:firstLine="709"/>
        <w:rPr>
          <w:lang w:val="en-GB"/>
        </w:rPr>
      </w:pPr>
      <w:r w:rsidRPr="00FB4EFA">
        <w:rPr>
          <w:lang w:val="en-GB"/>
        </w:rPr>
        <w:t>Nevertheless, recent years in particular have brought about an important change in national guidelines. At the 2019 Estonian Parliament (</w:t>
      </w:r>
      <w:r w:rsidRPr="00FB4EFA">
        <w:rPr>
          <w:i/>
          <w:lang w:val="en-GB"/>
        </w:rPr>
        <w:t>Riigikogu)</w:t>
      </w:r>
      <w:r w:rsidRPr="00FB4EFA">
        <w:rPr>
          <w:lang w:val="en-GB"/>
        </w:rPr>
        <w:t xml:space="preserve"> elections the party programmes paid much more attention to language issues compared to previous years</w:t>
      </w:r>
      <w:r w:rsidRPr="00FB4EFA">
        <w:rPr>
          <w:vertAlign w:val="superscript"/>
          <w:lang w:val="en-GB"/>
        </w:rPr>
        <w:footnoteReference w:id="98"/>
      </w:r>
      <w:r w:rsidRPr="00FB4EFA">
        <w:rPr>
          <w:lang w:val="en-GB"/>
        </w:rPr>
        <w:t>. Two issues could be distinguished: language of instruction at general education schools and lan</w:t>
      </w:r>
      <w:r w:rsidRPr="00FB4EFA">
        <w:rPr>
          <w:lang w:val="en-GB"/>
        </w:rPr>
        <w:lastRenderedPageBreak/>
        <w:t xml:space="preserve">guage of instruction at universities. In general, the parties were quite careful with regard to the requirement to maintain Estonian-language instruction in higher education, admitting that Estonian-language higher education and development of </w:t>
      </w:r>
      <w:r w:rsidR="00287B86" w:rsidRPr="00FB4EFA">
        <w:rPr>
          <w:lang w:val="en-GB"/>
        </w:rPr>
        <w:t xml:space="preserve">an </w:t>
      </w:r>
      <w:r w:rsidRPr="00FB4EFA">
        <w:rPr>
          <w:lang w:val="en-GB"/>
        </w:rPr>
        <w:t>Estonian scientific language are important for Estonia but emphasizing primarily digital solutions and terminology development.</w:t>
      </w:r>
    </w:p>
    <w:p w14:paraId="0A64E9E1" w14:textId="7C6AACDD" w:rsidR="005913BE" w:rsidRPr="00FB4EFA" w:rsidRDefault="005913BE" w:rsidP="00AF0CAD">
      <w:pPr>
        <w:ind w:firstLine="709"/>
        <w:rPr>
          <w:lang w:val="en-GB"/>
        </w:rPr>
      </w:pPr>
      <w:r w:rsidRPr="00FB4EFA">
        <w:rPr>
          <w:lang w:val="en-GB"/>
        </w:rPr>
        <w:t xml:space="preserve">The parties concentrating more on strengthening the Estonian language’s position in higher education in their election programmes were the liberal Reform Party, the national-conservative party </w:t>
      </w:r>
      <w:r w:rsidRPr="00FB4EFA">
        <w:rPr>
          <w:i/>
          <w:lang w:val="en-GB"/>
        </w:rPr>
        <w:t>Isamaa</w:t>
      </w:r>
      <w:r w:rsidRPr="00FB4EFA">
        <w:rPr>
          <w:lang w:val="en-GB"/>
        </w:rPr>
        <w:t xml:space="preserve">, and the Social Democratic Party. In addition to the development of Estonian-language instruction, the Reform Party set as its goal a better integration of international students in Estonia in the future: “The continuation and strengthening of Estonian-language higher education is important to us. We therefore see the need to develop Estonian-language study programmes and include modules for Estonian language, culture, and society in all English-language study programmes.” </w:t>
      </w:r>
      <w:r w:rsidRPr="00FB4EFA">
        <w:rPr>
          <w:i/>
          <w:lang w:val="en-GB"/>
        </w:rPr>
        <w:t>Isamaa</w:t>
      </w:r>
      <w:r w:rsidRPr="00FB4EFA">
        <w:rPr>
          <w:lang w:val="en-GB"/>
        </w:rPr>
        <w:t xml:space="preserve"> points to the need to maintain Estonian as the working language at higher education institutions and finds it necessary for “international teaching staff coming to Estonia for a long-term stay to learn Estonian.” </w:t>
      </w:r>
      <w:r w:rsidRPr="00FB4EFA">
        <w:rPr>
          <w:i/>
          <w:lang w:val="en-GB"/>
        </w:rPr>
        <w:t>Isamaa</w:t>
      </w:r>
      <w:r w:rsidRPr="00FB4EFA">
        <w:rPr>
          <w:lang w:val="en-GB"/>
        </w:rPr>
        <w:t xml:space="preserve"> also connects government funding for universities with Estonian-language instruction: “In funding higher education institutions we prefer Estonian-language study programmes by issuing a state-commissioned education request for higher education institutions in order to finance these while limiting cross-subsidi</w:t>
      </w:r>
      <w:r w:rsidR="001C0E73" w:rsidRPr="00FB4EFA">
        <w:rPr>
          <w:lang w:val="en-GB"/>
        </w:rPr>
        <w:t>z</w:t>
      </w:r>
      <w:r w:rsidRPr="00FB4EFA">
        <w:rPr>
          <w:lang w:val="en-GB"/>
        </w:rPr>
        <w:t>ing and grants for foreign-language study programmes.” The Social Democratic Party’s programme asserts that “</w:t>
      </w:r>
      <w:r w:rsidR="00287B86" w:rsidRPr="00FB4EFA">
        <w:rPr>
          <w:lang w:val="en-GB"/>
        </w:rPr>
        <w:t>f</w:t>
      </w:r>
      <w:r w:rsidRPr="00FB4EFA">
        <w:rPr>
          <w:lang w:val="en-GB"/>
        </w:rPr>
        <w:t>ree of charge Estonian-language instruction must be provided by all Estonian public institutions of higher education for all study programmes.”</w:t>
      </w:r>
    </w:p>
    <w:p w14:paraId="5C6D20B2" w14:textId="4243E27F" w:rsidR="005913BE" w:rsidRPr="00FB4EFA" w:rsidRDefault="005913BE" w:rsidP="00402EF4">
      <w:pPr>
        <w:ind w:firstLine="709"/>
        <w:rPr>
          <w:lang w:val="en-GB"/>
        </w:rPr>
      </w:pPr>
      <w:r w:rsidRPr="00FB4EFA">
        <w:rPr>
          <w:lang w:val="en-GB"/>
        </w:rPr>
        <w:t>The parties’ positions on language policy indicate that Estonian society has understood the immense importance of the sustainability of Estonian-language higher education for the Estonian national spirit and culture. Development plans for the Estonian language, both the current one and all previous ones, have emphasized this. It is nevertheless essential that the new “Education Sector Development Plan 202</w:t>
      </w:r>
      <w:r w:rsidR="00C65823" w:rsidRPr="00FB4EFA">
        <w:rPr>
          <w:lang w:val="en-GB"/>
        </w:rPr>
        <w:t>1–2</w:t>
      </w:r>
      <w:r w:rsidRPr="00FB4EFA">
        <w:rPr>
          <w:lang w:val="en-GB"/>
        </w:rPr>
        <w:t xml:space="preserve">035” (HA 2021) also bestows consideration upon the fragility of Estonian-language higher education. The Education Sector Development Plan clearly outlines the problem that the percentage of English-language instruction in </w:t>
      </w:r>
      <w:r w:rsidRPr="00FB4EFA">
        <w:rPr>
          <w:lang w:val="en-GB"/>
        </w:rPr>
        <w:lastRenderedPageBreak/>
        <w:t xml:space="preserve">higher education has rapidly increased while that of the Estonian-language instruction has decreased. Measures for solving this problem include maintaining and developing Estonian-language higher education study programmes, including the creation and application of terminology. This alone does not, however, suffice. The plan also pays specific attention to teaching Estonian to both international students and academic faculty “so that highly skilled international students and graduates would stay in Estonia permanently”. It is quite significant that the state’s guidelines to universities include the acquisition of a minimum of </w:t>
      </w:r>
      <w:r w:rsidR="00287B86" w:rsidRPr="00FB4EFA">
        <w:rPr>
          <w:lang w:val="en-GB"/>
        </w:rPr>
        <w:t xml:space="preserve">an </w:t>
      </w:r>
      <w:r w:rsidRPr="00FB4EFA">
        <w:rPr>
          <w:lang w:val="en-GB"/>
        </w:rPr>
        <w:t>intermediate level of Estonian proficiency for international students for their entrance into the labour market (HA 2021).</w:t>
      </w:r>
    </w:p>
    <w:p w14:paraId="618C4333" w14:textId="687185FC" w:rsidR="005913BE" w:rsidRPr="00FB4EFA" w:rsidRDefault="005913BE" w:rsidP="00402EF4">
      <w:pPr>
        <w:ind w:firstLine="709"/>
        <w:rPr>
          <w:lang w:val="en-GB"/>
        </w:rPr>
      </w:pPr>
      <w:r w:rsidRPr="00FB4EFA">
        <w:rPr>
          <w:lang w:val="en-GB"/>
        </w:rPr>
        <w:t xml:space="preserve">The new “Higher Education Programme 2019–2023” (KHP 2019) also includes guidelines to intensify international students’ study of the Estonian language, specifically to satisfy the needs of the labour market: “When developing international study programmes, emphasis should be placed, among other things, on what the added value of foreign-language instruction is, </w:t>
      </w:r>
      <w:r w:rsidR="00466236" w:rsidRPr="00FB4EFA">
        <w:rPr>
          <w:lang w:val="en-GB"/>
        </w:rPr>
        <w:t>i.e., </w:t>
      </w:r>
      <w:r w:rsidR="00287B86" w:rsidRPr="00FB4EFA">
        <w:rPr>
          <w:lang w:val="en-GB"/>
        </w:rPr>
        <w:t xml:space="preserve">on </w:t>
      </w:r>
      <w:r w:rsidRPr="00FB4EFA">
        <w:rPr>
          <w:lang w:val="en-GB"/>
        </w:rPr>
        <w:t>what opportunities each graduate ha</w:t>
      </w:r>
      <w:r w:rsidR="00287B86" w:rsidRPr="00FB4EFA">
        <w:rPr>
          <w:lang w:val="en-GB"/>
        </w:rPr>
        <w:t>s</w:t>
      </w:r>
      <w:r w:rsidRPr="00FB4EFA">
        <w:rPr>
          <w:lang w:val="en-GB"/>
        </w:rPr>
        <w:t xml:space="preserve"> to enter the Estonian labour market. Special attention should be paid to increasing the amount of Estonian-language studies in study programmes aimed at international students.” While up to now universities received additional funding for developing English-language study programmes, now they are pressured by the Ministry of Education and Science to include at least 6 ECTS worth of Estonian-language studies in English-language curricula.</w:t>
      </w:r>
    </w:p>
    <w:p w14:paraId="5CFAE300" w14:textId="2547374A" w:rsidR="005913BE" w:rsidRPr="00FB4EFA" w:rsidRDefault="005913BE" w:rsidP="00AF0CAD">
      <w:pPr>
        <w:ind w:firstLine="709"/>
        <w:rPr>
          <w:lang w:val="en-GB"/>
        </w:rPr>
      </w:pPr>
      <w:r w:rsidRPr="00FB4EFA">
        <w:rPr>
          <w:lang w:val="en-GB"/>
        </w:rPr>
        <w:t xml:space="preserve">A critical time regarding the “generational transfer” of Estonian in higher education institutions will already come in ten to twenty years, since 20% of academic staff is currently aged 60 years or older. Tomorrow’s academic staff will be made up by today’s doctoral students. In her article “The crisis of Estonian-language academic labour market”, published in the culture-oriented newspaper </w:t>
      </w:r>
      <w:r w:rsidRPr="00FB4EFA">
        <w:rPr>
          <w:i/>
          <w:lang w:val="en-GB"/>
        </w:rPr>
        <w:t>Sirp</w:t>
      </w:r>
      <w:r w:rsidRPr="00FB4EFA">
        <w:rPr>
          <w:lang w:val="en-GB"/>
        </w:rPr>
        <w:t xml:space="preserve"> on 29 January 2021, Eneli Kindsiko points out the following fact: while in 2015 16% of the new students admitted to University of Tartu doctoral studies were international students, by 2020 the percentage of international students had grown to 37%.</w:t>
      </w:r>
      <w:r w:rsidRPr="00FB4EFA">
        <w:rPr>
          <w:vertAlign w:val="superscript"/>
          <w:lang w:val="en-GB"/>
        </w:rPr>
        <w:footnoteReference w:id="99"/>
      </w:r>
      <w:r w:rsidRPr="00FB4EFA">
        <w:rPr>
          <w:lang w:val="en-GB"/>
        </w:rPr>
        <w:t xml:space="preserve"> Members of the new Estonian-speaking generation of academics could also include young researchers who finished their doctoral studies </w:t>
      </w:r>
      <w:r w:rsidRPr="00FB4EFA">
        <w:rPr>
          <w:lang w:val="en-GB"/>
        </w:rPr>
        <w:lastRenderedPageBreak/>
        <w:t xml:space="preserve">abroad if Estonian universities can offer them an inspiring and motivating working environment. Apparently, though, an academic career is generally not sufficiently attractive for </w:t>
      </w:r>
      <w:r w:rsidR="00287B86" w:rsidRPr="00FB4EFA">
        <w:rPr>
          <w:lang w:val="en-GB"/>
        </w:rPr>
        <w:t xml:space="preserve">the </w:t>
      </w:r>
      <w:r w:rsidRPr="00FB4EFA">
        <w:rPr>
          <w:lang w:val="en-GB"/>
        </w:rPr>
        <w:t>Estonian youth to set out on the long and underfunded path of doctoral studies.</w:t>
      </w:r>
    </w:p>
    <w:p w14:paraId="1FE37149" w14:textId="77777777" w:rsidR="005913BE" w:rsidRPr="00FB4EFA" w:rsidRDefault="005913BE" w:rsidP="00545033">
      <w:pPr>
        <w:pStyle w:val="Heading2"/>
        <w:suppressAutoHyphens/>
        <w:spacing w:line="259" w:lineRule="auto"/>
        <w:rPr>
          <w:color w:val="auto"/>
        </w:rPr>
      </w:pPr>
      <w:r w:rsidRPr="00FB4EFA">
        <w:rPr>
          <w:color w:val="auto"/>
        </w:rPr>
        <w:t>Language policy of higher education in Europe – trends of recent years</w:t>
      </w:r>
    </w:p>
    <w:p w14:paraId="737DC1C7" w14:textId="77777777" w:rsidR="005913BE" w:rsidRPr="00FB4EFA" w:rsidRDefault="005913BE" w:rsidP="00402EF4">
      <w:pPr>
        <w:rPr>
          <w:lang w:val="en-GB"/>
        </w:rPr>
      </w:pPr>
      <w:r w:rsidRPr="00FB4EFA">
        <w:rPr>
          <w:lang w:val="en-GB"/>
        </w:rPr>
        <w:t>The changes in national guidelines second the trends present in European higher education language policy in recent years.</w:t>
      </w:r>
    </w:p>
    <w:p w14:paraId="3A7FDB57" w14:textId="46C9A21E" w:rsidR="005913BE" w:rsidRPr="00FB4EFA" w:rsidRDefault="005913BE" w:rsidP="00402EF4">
      <w:pPr>
        <w:ind w:firstLine="709"/>
        <w:rPr>
          <w:rFonts w:cstheme="minorHAnsi"/>
          <w:szCs w:val="24"/>
          <w:lang w:val="en-GB"/>
        </w:rPr>
      </w:pPr>
      <w:r w:rsidRPr="00FB4EFA">
        <w:rPr>
          <w:rFonts w:cstheme="minorHAnsi"/>
          <w:szCs w:val="24"/>
          <w:lang w:val="en-GB"/>
        </w:rPr>
        <w:t xml:space="preserve">Scandinavian countries as well as the Netherlands have always been presented as the success stories of internationalization. Indeed, these countries stand out in Europe for their international students, English-language instruction, and international staff. However, it is highly significant that especially in recent years attitudes have started to emerge, even at the government level, that recommend putting the brakes on the increase of the number of international students and the spread of English in universities. Emphasis is also put on the need to prepare international students better for the local labour market. Thus, in 2018 the government of Denmark proposed to decrease the number of international students at universities and pay more attention to preparing international students based on the needs of Denmark’s labour market (Nissen 2019: 228). The latter is related to teaching students the </w:t>
      </w:r>
      <w:r w:rsidR="0033568E" w:rsidRPr="00FB4EFA">
        <w:rPr>
          <w:rFonts w:cstheme="minorHAnsi"/>
          <w:szCs w:val="24"/>
          <w:lang w:val="en-GB"/>
        </w:rPr>
        <w:br/>
      </w:r>
      <w:r w:rsidRPr="00FB4EFA">
        <w:rPr>
          <w:rFonts w:cstheme="minorHAnsi"/>
          <w:szCs w:val="24"/>
          <w:lang w:val="en-GB"/>
        </w:rPr>
        <w:t>Danish language and the functioning of Danish society.</w:t>
      </w:r>
    </w:p>
    <w:p w14:paraId="560E6FBF" w14:textId="1E6180A9" w:rsidR="005913BE" w:rsidRPr="00FB4EFA" w:rsidRDefault="005913BE" w:rsidP="00AF0CAD">
      <w:pPr>
        <w:ind w:firstLine="709"/>
        <w:rPr>
          <w:lang w:val="en-GB"/>
        </w:rPr>
      </w:pPr>
      <w:r w:rsidRPr="00FB4EFA">
        <w:rPr>
          <w:lang w:val="en-GB"/>
        </w:rPr>
        <w:t>Nordic countries have tried to find a way for higher education institutions to avoid the massive onslaught of English both in studies and as the working language of the organi</w:t>
      </w:r>
      <w:r w:rsidR="00A011ED" w:rsidRPr="00FB4EFA">
        <w:rPr>
          <w:lang w:val="en-GB"/>
        </w:rPr>
        <w:t>z</w:t>
      </w:r>
      <w:r w:rsidRPr="00FB4EFA">
        <w:rPr>
          <w:lang w:val="en-GB"/>
        </w:rPr>
        <w:t>ation. In 2018, Nordic language political recommendations for universities (Nordic Countries 2018) were completed</w:t>
      </w:r>
      <w:r w:rsidR="00287B86" w:rsidRPr="00FB4EFA">
        <w:rPr>
          <w:lang w:val="en-GB"/>
        </w:rPr>
        <w:t>,</w:t>
      </w:r>
      <w:r w:rsidRPr="00FB4EFA">
        <w:rPr>
          <w:lang w:val="en-GB"/>
        </w:rPr>
        <w:t xml:space="preserve"> and even the title of the volume includes a recommendation – </w:t>
      </w:r>
      <w:r w:rsidRPr="00FB4EFA">
        <w:rPr>
          <w:i/>
          <w:iCs/>
          <w:lang w:val="en-GB"/>
        </w:rPr>
        <w:t>More parallel, please!</w:t>
      </w:r>
      <w:r w:rsidRPr="00FB4EFA">
        <w:rPr>
          <w:lang w:val="en-GB"/>
        </w:rPr>
        <w:t xml:space="preserve"> The main topics covered by the recommendations are studies, publication of research results, universities’ academic and administrative staff’s knowledge of the local language and English, international students’ learning of the local language, and internal and external communication. Since these are recommendations and not laws set in stone, the authors refer to the need to negotiate the principles for the functioning of the languages on both the state and university level. The </w:t>
      </w:r>
      <w:r w:rsidRPr="00FB4EFA">
        <w:rPr>
          <w:lang w:val="en-GB"/>
        </w:rPr>
        <w:lastRenderedPageBreak/>
        <w:t xml:space="preserve">recommendations do not question the status of English as the </w:t>
      </w:r>
      <w:r w:rsidRPr="00FB4EFA">
        <w:rPr>
          <w:i/>
          <w:lang w:val="en-GB"/>
        </w:rPr>
        <w:t>lingua franca</w:t>
      </w:r>
      <w:r w:rsidRPr="00FB4EFA">
        <w:rPr>
          <w:lang w:val="en-GB"/>
        </w:rPr>
        <w:t xml:space="preserve"> of modern academia and admit that, in addition to local languages, English has become the main language of instruction and work in all Nordic countries also in higher education. As in Estonia, it is not possible nowadays in the Nordic countries to have an academic career without a good command of English. However, the question is how to promote multilingualism and attitudes that place value on local languages in addition to, but not instead of, English at universities.</w:t>
      </w:r>
    </w:p>
    <w:p w14:paraId="02E1D5BF" w14:textId="77777777" w:rsidR="005913BE" w:rsidRPr="00FB4EFA" w:rsidRDefault="005913BE" w:rsidP="00545033">
      <w:pPr>
        <w:pStyle w:val="Heading2"/>
        <w:suppressAutoHyphens/>
        <w:spacing w:line="259" w:lineRule="auto"/>
        <w:rPr>
          <w:color w:val="auto"/>
        </w:rPr>
      </w:pPr>
      <w:r w:rsidRPr="00FB4EFA">
        <w:rPr>
          <w:color w:val="auto"/>
        </w:rPr>
        <w:t>Attitudes – is maintaining Estonian in higher education valuable? The language user’s viewpoint</w:t>
      </w:r>
    </w:p>
    <w:p w14:paraId="2CD1AE52" w14:textId="17F67CC8" w:rsidR="005913BE" w:rsidRPr="00FB4EFA" w:rsidRDefault="005913BE" w:rsidP="00402EF4">
      <w:pPr>
        <w:rPr>
          <w:lang w:val="en-GB"/>
        </w:rPr>
      </w:pPr>
      <w:r w:rsidRPr="00FB4EFA">
        <w:rPr>
          <w:lang w:val="en-GB"/>
        </w:rPr>
        <w:t>In the Estonian language situation survey (Lukk et al. 2017: 48) it was mentioned that beside national measures, the development of attitudes and feeling</w:t>
      </w:r>
      <w:r w:rsidR="00DD592A" w:rsidRPr="00FB4EFA">
        <w:rPr>
          <w:lang w:val="en-GB"/>
        </w:rPr>
        <w:t>s</w:t>
      </w:r>
      <w:r w:rsidRPr="00FB4EFA">
        <w:rPr>
          <w:lang w:val="en-GB"/>
        </w:rPr>
        <w:t xml:space="preserve"> of personal responsibility play an even more important role in maintaining Estonian as a language of higher education. Researchers’ personal responsibility is related to the development of terminology and popularization activities in their field</w:t>
      </w:r>
      <w:r w:rsidR="00DD592A" w:rsidRPr="00FB4EFA">
        <w:rPr>
          <w:lang w:val="en-GB"/>
        </w:rPr>
        <w:t>s</w:t>
      </w:r>
      <w:r w:rsidRPr="00FB4EFA">
        <w:rPr>
          <w:lang w:val="en-GB"/>
        </w:rPr>
        <w:t>, the responsibility of administrators is related to the criteria they set for funding projects which value (or fail to value) publications in Estonian, a university’s responsibility is related to teaching Estonian and functioning of the society to international students enrolled in English-language study programmes.</w:t>
      </w:r>
    </w:p>
    <w:p w14:paraId="03194089" w14:textId="77777777" w:rsidR="005913BE" w:rsidRPr="00FB4EFA" w:rsidRDefault="005913BE" w:rsidP="00AF0CAD">
      <w:pPr>
        <w:spacing w:after="240"/>
        <w:ind w:firstLine="708"/>
        <w:rPr>
          <w:lang w:val="en-GB"/>
        </w:rPr>
      </w:pPr>
      <w:r w:rsidRPr="00FB4EFA">
        <w:rPr>
          <w:lang w:val="en-GB"/>
        </w:rPr>
        <w:t>A survey of University of Tartu employees’ language attitudes (</w:t>
      </w:r>
      <w:r w:rsidRPr="00FB4EFA">
        <w:rPr>
          <w:i/>
          <w:lang w:val="en-GB"/>
        </w:rPr>
        <w:t>Keelehoiakud</w:t>
      </w:r>
      <w:r w:rsidRPr="00FB4EFA">
        <w:rPr>
          <w:lang w:val="en-GB"/>
        </w:rPr>
        <w:t xml:space="preserve"> 2018) shows that academic staff have very different attitudes towards the necessity to maintain and develop Estonian in academia. The opinions range from one extreme to the other. There are attitudes that do not see any need for maintaining instruction in Estonian:</w:t>
      </w:r>
    </w:p>
    <w:p w14:paraId="7ACD697C" w14:textId="77777777" w:rsidR="005913BE" w:rsidRPr="00FB4EFA" w:rsidRDefault="005913BE" w:rsidP="00AC1192">
      <w:pPr>
        <w:suppressAutoHyphens/>
        <w:spacing w:line="240" w:lineRule="auto"/>
        <w:ind w:left="709"/>
        <w:rPr>
          <w:sz w:val="20"/>
          <w:szCs w:val="20"/>
          <w:lang w:val="en-GB"/>
        </w:rPr>
      </w:pPr>
      <w:r w:rsidRPr="00FB4EFA">
        <w:rPr>
          <w:sz w:val="20"/>
          <w:szCs w:val="20"/>
          <w:lang w:val="en-GB"/>
        </w:rPr>
        <w:t>“Everything is in English. Why do it in Estonian? Why teach in Estonian at all? It’s a waste of time and resources. Why write textbooks in Estonian, everything is there in English, why waste time and printing paper?”</w:t>
      </w:r>
    </w:p>
    <w:p w14:paraId="3554B036" w14:textId="77777777" w:rsidR="005913BE" w:rsidRPr="00FB4EFA" w:rsidRDefault="005913BE" w:rsidP="00402EF4">
      <w:pPr>
        <w:spacing w:before="240" w:after="240"/>
        <w:rPr>
          <w:lang w:val="en-GB"/>
        </w:rPr>
      </w:pPr>
      <w:r w:rsidRPr="00FB4EFA">
        <w:rPr>
          <w:lang w:val="en-GB"/>
        </w:rPr>
        <w:t>A slightly more moderate position acknowledges the need to support the existence of Estonian in higher education and research, but for pragmatic reasons even native speakers do not consider it wise to spend their time on publishing their results in Estonian:</w:t>
      </w:r>
    </w:p>
    <w:p w14:paraId="0CF8E342" w14:textId="77777777" w:rsidR="005913BE" w:rsidRPr="00FB4EFA" w:rsidRDefault="005913BE" w:rsidP="00AC1192">
      <w:pPr>
        <w:suppressAutoHyphens/>
        <w:spacing w:line="240" w:lineRule="auto"/>
        <w:ind w:left="709"/>
        <w:rPr>
          <w:sz w:val="20"/>
          <w:szCs w:val="20"/>
          <w:lang w:val="en-GB"/>
        </w:rPr>
      </w:pPr>
      <w:r w:rsidRPr="00FB4EFA">
        <w:rPr>
          <w:sz w:val="20"/>
          <w:szCs w:val="20"/>
          <w:lang w:val="en-GB"/>
        </w:rPr>
        <w:lastRenderedPageBreak/>
        <w:t>“I’m getting paid for an English-language article. So, this is a difficult question, that no one is against giving value to [Estonian], but at the end of the day the time and resources we have still push it down among the priorities.”</w:t>
      </w:r>
    </w:p>
    <w:p w14:paraId="43331412" w14:textId="77777777" w:rsidR="005913BE" w:rsidRPr="00FB4EFA" w:rsidRDefault="005913BE" w:rsidP="00402EF4">
      <w:pPr>
        <w:spacing w:before="240"/>
        <w:rPr>
          <w:lang w:val="en-GB"/>
        </w:rPr>
      </w:pPr>
      <w:r w:rsidRPr="00FB4EFA">
        <w:rPr>
          <w:lang w:val="en-GB"/>
        </w:rPr>
        <w:t>The above quotation also conveys the attitude of the university as an institution which tends to guide researchers towards English.</w:t>
      </w:r>
    </w:p>
    <w:p w14:paraId="1995E01E" w14:textId="77777777" w:rsidR="005913BE" w:rsidRPr="00FB4EFA" w:rsidRDefault="005913BE" w:rsidP="00402EF4">
      <w:pPr>
        <w:ind w:firstLine="709"/>
        <w:rPr>
          <w:lang w:val="en-GB"/>
        </w:rPr>
      </w:pPr>
      <w:r w:rsidRPr="00FB4EFA">
        <w:rPr>
          <w:lang w:val="en-GB"/>
        </w:rPr>
        <w:t>There is also acceptance of the “fate” that the Estonian language’s role in Estonian higher educations will be marginal in the future, but instruction in Estonian could still be provided to some extent:</w:t>
      </w:r>
    </w:p>
    <w:p w14:paraId="25C38FC1" w14:textId="77777777" w:rsidR="005913BE" w:rsidRPr="00FB4EFA" w:rsidRDefault="005913BE" w:rsidP="00AC1192">
      <w:pPr>
        <w:suppressAutoHyphens/>
        <w:spacing w:before="240" w:after="240" w:line="240" w:lineRule="auto"/>
        <w:ind w:left="709"/>
        <w:rPr>
          <w:sz w:val="20"/>
          <w:szCs w:val="20"/>
          <w:lang w:val="en-GB"/>
        </w:rPr>
      </w:pPr>
      <w:r w:rsidRPr="00FB4EFA">
        <w:rPr>
          <w:sz w:val="20"/>
          <w:szCs w:val="20"/>
          <w:lang w:val="en-GB"/>
        </w:rPr>
        <w:t>“Rather, how to politely take a step back, so that Estonian would still remain in some way, and something would be done in Estonian.”</w:t>
      </w:r>
    </w:p>
    <w:p w14:paraId="5A6EA312" w14:textId="77777777" w:rsidR="005913BE" w:rsidRPr="00FB4EFA" w:rsidRDefault="005913BE" w:rsidP="00402EF4">
      <w:pPr>
        <w:spacing w:before="240" w:after="240"/>
        <w:rPr>
          <w:lang w:val="en-GB"/>
        </w:rPr>
      </w:pPr>
      <w:r w:rsidRPr="00FB4EFA">
        <w:rPr>
          <w:lang w:val="en-GB"/>
        </w:rPr>
        <w:t>However, there are also some viewpoints that see the personal responsibility of the teacher and researcher in maintaining and developing Estonian-language higher education:</w:t>
      </w:r>
    </w:p>
    <w:p w14:paraId="6172E013" w14:textId="77777777" w:rsidR="005913BE" w:rsidRPr="00FB4EFA" w:rsidRDefault="005913BE" w:rsidP="00AC1192">
      <w:pPr>
        <w:suppressAutoHyphens/>
        <w:spacing w:after="240" w:line="240" w:lineRule="auto"/>
        <w:ind w:left="709"/>
        <w:rPr>
          <w:sz w:val="20"/>
          <w:szCs w:val="20"/>
          <w:lang w:val="en-GB"/>
        </w:rPr>
      </w:pPr>
      <w:r w:rsidRPr="00FB4EFA">
        <w:rPr>
          <w:sz w:val="20"/>
          <w:szCs w:val="20"/>
          <w:lang w:val="en-GB"/>
        </w:rPr>
        <w:t>“I don’t quite agree that the university’s attitude should be such that whenever you do something new or reform something the first question is: “Why aren’t you doing it in English?” So, I think that our priority and our mission is to develop Estonian-language higher education.”</w:t>
      </w:r>
    </w:p>
    <w:p w14:paraId="0F0B2062" w14:textId="38B53FF4" w:rsidR="005913BE" w:rsidRPr="00FB4EFA" w:rsidRDefault="005913BE" w:rsidP="00402EF4">
      <w:pPr>
        <w:rPr>
          <w:lang w:val="en-GB"/>
        </w:rPr>
      </w:pPr>
      <w:r w:rsidRPr="00FB4EFA">
        <w:rPr>
          <w:lang w:val="en-GB"/>
        </w:rPr>
        <w:t>The study was conducted in 2018</w:t>
      </w:r>
      <w:r w:rsidR="00DD592A" w:rsidRPr="00FB4EFA">
        <w:rPr>
          <w:lang w:val="en-GB"/>
        </w:rPr>
        <w:t>,</w:t>
      </w:r>
      <w:r w:rsidRPr="00FB4EFA">
        <w:rPr>
          <w:lang w:val="en-GB"/>
        </w:rPr>
        <w:t xml:space="preserve"> and scepticism towards the value of Estonian in academia could be related to the trends and attitudes prevalent at the time in Estonian society as a whole, including national policy. In 2022 the University of Tartu plans to study the language attitudes of its employees again. Since maintaining and developing Estonian as a language of higher education and research has been addressed very frequently in society in recent years</w:t>
      </w:r>
      <w:r w:rsidR="00DD592A" w:rsidRPr="00FB4EFA">
        <w:rPr>
          <w:lang w:val="en-GB"/>
        </w:rPr>
        <w:t>,</w:t>
      </w:r>
      <w:r w:rsidRPr="00FB4EFA">
        <w:rPr>
          <w:lang w:val="en-GB"/>
        </w:rPr>
        <w:t xml:space="preserve"> it would be interesting to observe whether the attitudes valuing Estonian have also reached the common practice of </w:t>
      </w:r>
      <w:r w:rsidR="00DD592A" w:rsidRPr="00FB4EFA">
        <w:rPr>
          <w:lang w:val="en-GB"/>
        </w:rPr>
        <w:t xml:space="preserve">the </w:t>
      </w:r>
      <w:r w:rsidRPr="00FB4EFA">
        <w:rPr>
          <w:lang w:val="en-GB"/>
        </w:rPr>
        <w:t>academic staff.</w:t>
      </w:r>
    </w:p>
    <w:p w14:paraId="38E5FD29" w14:textId="77777777" w:rsidR="005913BE" w:rsidRPr="00FB4EFA" w:rsidRDefault="005913BE" w:rsidP="00545033">
      <w:pPr>
        <w:pStyle w:val="Heading2"/>
        <w:suppressAutoHyphens/>
        <w:spacing w:line="259" w:lineRule="auto"/>
        <w:rPr>
          <w:color w:val="auto"/>
        </w:rPr>
      </w:pPr>
      <w:r w:rsidRPr="00FB4EFA">
        <w:rPr>
          <w:color w:val="auto"/>
        </w:rPr>
        <w:t>In conclusion and for further contemplation</w:t>
      </w:r>
    </w:p>
    <w:p w14:paraId="6A2DD227" w14:textId="2C46C6CB" w:rsidR="005913BE" w:rsidRPr="00FB4EFA" w:rsidRDefault="005913BE" w:rsidP="00402EF4">
      <w:pPr>
        <w:rPr>
          <w:lang w:val="en-GB"/>
        </w:rPr>
      </w:pPr>
      <w:bookmarkStart w:id="84" w:name="_Hlk87173328"/>
      <w:r w:rsidRPr="00FB4EFA">
        <w:rPr>
          <w:lang w:val="en-GB"/>
        </w:rPr>
        <w:t>Th</w:t>
      </w:r>
      <w:r w:rsidR="00DD592A" w:rsidRPr="00FB4EFA">
        <w:rPr>
          <w:lang w:val="en-GB"/>
        </w:rPr>
        <w:t>is</w:t>
      </w:r>
      <w:r w:rsidRPr="00FB4EFA">
        <w:rPr>
          <w:lang w:val="en-GB"/>
        </w:rPr>
        <w:t xml:space="preserve"> article present</w:t>
      </w:r>
      <w:r w:rsidR="00DD592A" w:rsidRPr="00FB4EFA">
        <w:rPr>
          <w:lang w:val="en-GB"/>
        </w:rPr>
        <w:t>s</w:t>
      </w:r>
      <w:r w:rsidRPr="00FB4EFA">
        <w:rPr>
          <w:lang w:val="en-GB"/>
        </w:rPr>
        <w:t xml:space="preserve"> the role</w:t>
      </w:r>
      <w:r w:rsidR="00DD592A" w:rsidRPr="00FB4EFA">
        <w:rPr>
          <w:lang w:val="en-GB"/>
        </w:rPr>
        <w:t>s</w:t>
      </w:r>
      <w:r w:rsidRPr="00FB4EFA">
        <w:rPr>
          <w:lang w:val="en-GB"/>
        </w:rPr>
        <w:t xml:space="preserve"> of the state, the university, and the user of Estonian in academia in maintaining and developing Estonian in higher education.</w:t>
      </w:r>
    </w:p>
    <w:bookmarkEnd w:id="84"/>
    <w:p w14:paraId="7AE40E36" w14:textId="4CD3C609" w:rsidR="005913BE" w:rsidRPr="00FB4EFA" w:rsidRDefault="005913BE" w:rsidP="00402EF4">
      <w:pPr>
        <w:ind w:firstLine="709"/>
        <w:rPr>
          <w:lang w:val="en-GB"/>
        </w:rPr>
      </w:pPr>
      <w:r w:rsidRPr="00FB4EFA">
        <w:rPr>
          <w:lang w:val="en-GB"/>
        </w:rPr>
        <w:lastRenderedPageBreak/>
        <w:t>The role of the state has been established clearly in both the Constitution and the Language Act. The operating grant contracts between the state and the universities should therefore motivate higher education institutions to maintain and develop Estonian-language study programmes in order to prevent any programme from becoming an entirely foreign-language medium. Naturally, maintenance and development</w:t>
      </w:r>
      <w:r w:rsidR="00DD592A" w:rsidRPr="00FB4EFA">
        <w:rPr>
          <w:lang w:val="en-GB"/>
        </w:rPr>
        <w:t xml:space="preserve"> of education</w:t>
      </w:r>
      <w:r w:rsidRPr="00FB4EFA">
        <w:rPr>
          <w:lang w:val="en-GB"/>
        </w:rPr>
        <w:t xml:space="preserve"> also mean development of terminology. The study of the Estonian language will have to be supported also in future, in order for research results to be reflected in language technology applications, terminology development, and the writing and publication of higher education textbooks. However, the Estonian-language study programmes are what guarantee that the results of terminology development and new university textbooks will also be used. The state controls the funding contracts for universities and thus also has the means to influence the integration of international students enrolled in English-language study programmes into Estonian society and their knowledge of</w:t>
      </w:r>
      <w:r w:rsidR="00DD592A" w:rsidRPr="00FB4EFA">
        <w:rPr>
          <w:lang w:val="en-GB"/>
        </w:rPr>
        <w:t xml:space="preserve"> the</w:t>
      </w:r>
      <w:r w:rsidRPr="00FB4EFA">
        <w:rPr>
          <w:lang w:val="en-GB"/>
        </w:rPr>
        <w:t xml:space="preserve"> Estonian language and society when they start working after graduating. In the visions and development plans that have entered into force recently or will do so in the near future</w:t>
      </w:r>
      <w:r w:rsidR="00DD592A" w:rsidRPr="00FB4EFA">
        <w:rPr>
          <w:lang w:val="en-GB"/>
        </w:rPr>
        <w:t>,</w:t>
      </w:r>
      <w:r w:rsidRPr="00FB4EFA">
        <w:rPr>
          <w:lang w:val="en-GB"/>
        </w:rPr>
        <w:t xml:space="preserve"> the state has clearly emphasized both the need to maintain and advance Estonian-language higher education and to develop the Estonian skills of international students and academic staff sufficiently to enable them to integrate into Estonian society.</w:t>
      </w:r>
    </w:p>
    <w:p w14:paraId="1A022AFA" w14:textId="77777777" w:rsidR="005913BE" w:rsidRPr="00FB4EFA" w:rsidRDefault="005913BE" w:rsidP="00402EF4">
      <w:pPr>
        <w:ind w:firstLine="709"/>
        <w:rPr>
          <w:lang w:val="en-GB"/>
        </w:rPr>
      </w:pPr>
      <w:r w:rsidRPr="00FB4EFA">
        <w:rPr>
          <w:lang w:val="en-GB"/>
        </w:rPr>
        <w:t>In order for the national visions to be applied in practice, agreements and synchronized activities are needed throughout the higher education field. Universities as public institutions are of course autonomous, but autonomy also places a responsibility for adhering to the Constitution and the Language Act, for the survival of the Estonian language, intelligentsia, and Estonian intellectual culture on universities. The linguistic and cultural diversity of a university is without doubt extremely valuable, but it must not displace the valuing of Estonian language, culture, and mentality. Shaping attitudes to value the Estonian language and applying these values in practice in their organization is something that universities could and should do in concord with the state.</w:t>
      </w:r>
    </w:p>
    <w:p w14:paraId="603767F3" w14:textId="77777777" w:rsidR="005913BE" w:rsidRPr="00FB4EFA" w:rsidRDefault="005913BE" w:rsidP="00402EF4">
      <w:pPr>
        <w:ind w:firstLine="709"/>
        <w:rPr>
          <w:lang w:val="en-GB"/>
        </w:rPr>
      </w:pPr>
      <w:r w:rsidRPr="00FB4EFA">
        <w:rPr>
          <w:lang w:val="en-GB"/>
        </w:rPr>
        <w:t xml:space="preserve">These activities are related to ensuring Estonian-language instruction in study programmes as well as adding an Estonia-related module in English-language programmes. Study programmes do provide </w:t>
      </w:r>
      <w:r w:rsidRPr="00FB4EFA">
        <w:rPr>
          <w:lang w:val="en-GB"/>
        </w:rPr>
        <w:lastRenderedPageBreak/>
        <w:t>general skills in addition to specific professional knowledge. One of these general skills for a future specialist working in Estonia is certainly knowledge of Estonian and understanding of Estonian society and culture.</w:t>
      </w:r>
    </w:p>
    <w:p w14:paraId="489BB8C8" w14:textId="5EFDEABA" w:rsidR="005913BE" w:rsidRPr="00FB4EFA" w:rsidRDefault="005913BE" w:rsidP="00402EF4">
      <w:pPr>
        <w:ind w:firstLine="709"/>
        <w:rPr>
          <w:lang w:val="en-GB"/>
        </w:rPr>
      </w:pPr>
      <w:r w:rsidRPr="00FB4EFA">
        <w:rPr>
          <w:lang w:val="en-GB"/>
        </w:rPr>
        <w:t xml:space="preserve">A university aware of its mission should also stand for parallel language use in its organization. Universities employ more and more full time international academic staff. Foreign lecturers and researchers working under permanent contract could and should acquire at least some level of Estonian proficiency during the first term of evaluation, enabling them to participate in Estonian-language meetings and events, </w:t>
      </w:r>
      <w:r w:rsidR="00466236" w:rsidRPr="00FB4EFA">
        <w:rPr>
          <w:lang w:val="en-GB"/>
        </w:rPr>
        <w:t>i.e., </w:t>
      </w:r>
      <w:r w:rsidR="00DD592A" w:rsidRPr="00FB4EFA">
        <w:rPr>
          <w:lang w:val="en-GB"/>
        </w:rPr>
        <w:t xml:space="preserve">to </w:t>
      </w:r>
      <w:r w:rsidRPr="00FB4EFA">
        <w:rPr>
          <w:lang w:val="en-GB"/>
        </w:rPr>
        <w:t>take part in university life. Provision</w:t>
      </w:r>
      <w:r w:rsidR="00DD592A" w:rsidRPr="00FB4EFA">
        <w:rPr>
          <w:lang w:val="en-GB"/>
        </w:rPr>
        <w:t>s</w:t>
      </w:r>
      <w:r w:rsidRPr="00FB4EFA">
        <w:rPr>
          <w:lang w:val="en-GB"/>
        </w:rPr>
        <w:t xml:space="preserve"> must also be made to enable international staff to learn Estonian, including that language studies should be part of the foreign lecturers’ job, not a hobby to be engaged in during their time off or in the dark of night. The university should provide instruction and consider language learning an actual work task with time allotted for it.</w:t>
      </w:r>
    </w:p>
    <w:p w14:paraId="190CB2E4" w14:textId="4F70BCEF" w:rsidR="005913BE" w:rsidRPr="00FB4EFA" w:rsidRDefault="005913BE" w:rsidP="00402EF4">
      <w:pPr>
        <w:ind w:firstLine="709"/>
        <w:rPr>
          <w:lang w:val="en-GB"/>
        </w:rPr>
      </w:pPr>
      <w:r w:rsidRPr="00FB4EFA">
        <w:rPr>
          <w:lang w:val="en-GB"/>
        </w:rPr>
        <w:t>However, national measures and mission-aware and mission-sensitive actions of the universities will only be applied in practice if the native-speaking lecturers and researchers also perceive a personal responsibility for the survival of Estonian as a language of higher education. The social prestige of the Estonian language increased at the beginning of the 20</w:t>
      </w:r>
      <w:r w:rsidRPr="00FB4EFA">
        <w:rPr>
          <w:vertAlign w:val="superscript"/>
          <w:lang w:val="en-GB"/>
        </w:rPr>
        <w:t>th</w:t>
      </w:r>
      <w:r w:rsidRPr="00FB4EFA">
        <w:rPr>
          <w:lang w:val="en-GB"/>
        </w:rPr>
        <w:t xml:space="preserve"> century with the development of Estonian-language university education. The positive attitudes of native speakers towards Estonian were also very important in this process. Even now, a hundred years later, the sustainability of the Estonian language as a language of instruction at university depends to a large extent on users’ own attitudes. While the significance of Estonian for the state and the people has been established in the most important laws, it can only become a fact of life if those who speak, write, and teach in Estonian also consider it important.</w:t>
      </w:r>
    </w:p>
    <w:p w14:paraId="3F6BDF9D" w14:textId="77777777" w:rsidR="0033568E" w:rsidRPr="00FB4EFA" w:rsidRDefault="0033568E">
      <w:pPr>
        <w:spacing w:after="160" w:line="259" w:lineRule="auto"/>
        <w:jc w:val="left"/>
        <w:rPr>
          <w:rFonts w:ascii="Gill Sans MT" w:eastAsia="Gill Sans MT" w:hAnsi="Gill Sans MT" w:cs="Gill Sans MT"/>
          <w:sz w:val="28"/>
          <w:lang w:val="en-GB" w:eastAsia="en-GB"/>
        </w:rPr>
      </w:pPr>
      <w:r w:rsidRPr="00FB4EFA">
        <w:br w:type="page"/>
      </w:r>
    </w:p>
    <w:p w14:paraId="17378D54" w14:textId="5F905724" w:rsidR="005913BE" w:rsidRPr="00FB4EFA" w:rsidRDefault="005913BE" w:rsidP="00545033">
      <w:pPr>
        <w:pStyle w:val="Heading2"/>
        <w:suppressAutoHyphens/>
        <w:spacing w:line="259" w:lineRule="auto"/>
        <w:rPr>
          <w:color w:val="auto"/>
        </w:rPr>
      </w:pPr>
      <w:r w:rsidRPr="00FB4EFA">
        <w:rPr>
          <w:color w:val="auto"/>
        </w:rPr>
        <w:lastRenderedPageBreak/>
        <w:t>References</w:t>
      </w:r>
    </w:p>
    <w:p w14:paraId="49358158" w14:textId="6854DF79"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Aavik, Johannes</w:t>
      </w:r>
      <w:r w:rsidR="001C101E" w:rsidRPr="00FB4EFA">
        <w:rPr>
          <w:rFonts w:cstheme="minorHAnsi"/>
          <w:szCs w:val="24"/>
          <w:lang w:val="en-GB"/>
        </w:rPr>
        <w:t>.</w:t>
      </w:r>
      <w:r w:rsidRPr="00FB4EFA">
        <w:rPr>
          <w:rFonts w:cstheme="minorHAnsi"/>
          <w:szCs w:val="24"/>
          <w:lang w:val="en-GB"/>
        </w:rPr>
        <w:t xml:space="preserve"> 1914.</w:t>
      </w:r>
      <w:r w:rsidRPr="00FB4EFA">
        <w:rPr>
          <w:szCs w:val="24"/>
          <w:lang w:val="en-GB"/>
        </w:rPr>
        <w:t xml:space="preserve"> </w:t>
      </w:r>
      <w:r w:rsidRPr="00FB4EFA">
        <w:rPr>
          <w:rFonts w:cstheme="minorHAnsi"/>
          <w:szCs w:val="24"/>
          <w:lang w:val="en-GB"/>
        </w:rPr>
        <w:t xml:space="preserve">Üliõpilased ja keeleküsimus [Students and the language issue]. </w:t>
      </w:r>
      <w:r w:rsidRPr="00FB4EFA">
        <w:rPr>
          <w:rFonts w:cstheme="minorHAnsi"/>
          <w:i/>
          <w:szCs w:val="24"/>
          <w:lang w:val="en-GB"/>
        </w:rPr>
        <w:t>Üliõpilasteleht</w:t>
      </w:r>
      <w:r w:rsidRPr="00FB4EFA">
        <w:rPr>
          <w:rFonts w:cstheme="minorHAnsi"/>
          <w:szCs w:val="24"/>
          <w:lang w:val="en-GB"/>
        </w:rPr>
        <w:t xml:space="preserve"> 2</w:t>
      </w:r>
      <w:r w:rsidR="00A47F9A" w:rsidRPr="00FB4EFA">
        <w:rPr>
          <w:rFonts w:cstheme="minorHAnsi"/>
          <w:szCs w:val="24"/>
          <w:lang w:val="en-GB"/>
        </w:rPr>
        <w:t>. Tartu.</w:t>
      </w:r>
    </w:p>
    <w:p w14:paraId="24AFDECB" w14:textId="53B11E8C"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 xml:space="preserve">Constitution 2015 = Eesti Vabariigi Põhiseadus. </w:t>
      </w:r>
      <w:hyperlink r:id="rId317" w:history="1">
        <w:r w:rsidRPr="00FB4EFA">
          <w:rPr>
            <w:rStyle w:val="AuthorsChar"/>
            <w:rFonts w:ascii="Cambria" w:hAnsi="Cambria" w:cstheme="minorHAnsi"/>
            <w:i w:val="0"/>
            <w:iCs/>
            <w:color w:val="auto"/>
            <w:u w:val="single"/>
          </w:rPr>
          <w:t>www.riigiteataja.ee/akt/127042011002</w:t>
        </w:r>
      </w:hyperlink>
      <w:r w:rsidR="00B40850" w:rsidRPr="00FB4EFA">
        <w:rPr>
          <w:i/>
          <w:iCs/>
          <w:szCs w:val="24"/>
          <w:lang w:val="en-GB"/>
        </w:rPr>
        <w:t>.</w:t>
      </w:r>
    </w:p>
    <w:p w14:paraId="0A02D2B6" w14:textId="756D9983"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Ehala Martin, Kadri Koreinik, Kristiina Praakli &amp; Maarja Siiner</w:t>
      </w:r>
      <w:r w:rsidR="001C101E" w:rsidRPr="00FB4EFA">
        <w:rPr>
          <w:rFonts w:cstheme="minorHAnsi"/>
          <w:szCs w:val="24"/>
          <w:lang w:val="en-GB"/>
        </w:rPr>
        <w:t>.</w:t>
      </w:r>
      <w:r w:rsidRPr="00FB4EFA">
        <w:rPr>
          <w:rFonts w:cstheme="minorHAnsi"/>
          <w:szCs w:val="24"/>
          <w:lang w:val="en-GB"/>
        </w:rPr>
        <w:t xml:space="preserve"> 2014. Kuidas uurida keele kestlikkust [How to study language resilience]? </w:t>
      </w:r>
      <w:r w:rsidRPr="00FB4EFA">
        <w:rPr>
          <w:rFonts w:cstheme="minorHAnsi"/>
          <w:i/>
          <w:szCs w:val="24"/>
          <w:lang w:val="en-GB"/>
        </w:rPr>
        <w:t>Keel ja Kirjandus</w:t>
      </w:r>
      <w:r w:rsidRPr="00FB4EFA">
        <w:rPr>
          <w:rFonts w:cstheme="minorHAnsi"/>
          <w:szCs w:val="24"/>
          <w:lang w:val="en-GB"/>
        </w:rPr>
        <w:t xml:space="preserve"> 7</w:t>
      </w:r>
      <w:r w:rsidR="001C101E" w:rsidRPr="00FB4EFA">
        <w:rPr>
          <w:rFonts w:cstheme="minorHAnsi"/>
          <w:szCs w:val="24"/>
          <w:lang w:val="en-GB"/>
        </w:rPr>
        <w:t>.</w:t>
      </w:r>
      <w:r w:rsidRPr="00FB4EFA">
        <w:rPr>
          <w:rFonts w:cstheme="minorHAnsi"/>
          <w:szCs w:val="24"/>
          <w:lang w:val="en-GB"/>
        </w:rPr>
        <w:t xml:space="preserve"> </w:t>
      </w:r>
      <w:r w:rsidR="00C65823" w:rsidRPr="00FB4EFA">
        <w:rPr>
          <w:rFonts w:cstheme="minorHAnsi"/>
          <w:szCs w:val="24"/>
          <w:lang w:val="en-GB"/>
        </w:rPr>
        <w:t>1–1</w:t>
      </w:r>
      <w:r w:rsidRPr="00FB4EFA">
        <w:rPr>
          <w:rFonts w:cstheme="minorHAnsi"/>
          <w:szCs w:val="24"/>
          <w:lang w:val="en-GB"/>
        </w:rPr>
        <w:t>9.</w:t>
      </w:r>
    </w:p>
    <w:p w14:paraId="295A561A" w14:textId="571A76F5"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EKA 2011 = Eesti keele arengukava 2011</w:t>
      </w:r>
      <w:r w:rsidR="00B738EB" w:rsidRPr="00FB4EFA">
        <w:rPr>
          <w:rFonts w:cs="Times New Roman"/>
          <w:szCs w:val="24"/>
          <w:lang w:val="en-GB"/>
        </w:rPr>
        <w:t>–</w:t>
      </w:r>
      <w:r w:rsidRPr="00FB4EFA">
        <w:rPr>
          <w:rFonts w:cstheme="minorHAnsi"/>
          <w:szCs w:val="24"/>
          <w:lang w:val="en-GB"/>
        </w:rPr>
        <w:t>2017 [Development Plan of Estonian Language 2011</w:t>
      </w:r>
      <w:r w:rsidR="00B738EB" w:rsidRPr="00FB4EFA">
        <w:rPr>
          <w:rFonts w:cs="Times New Roman"/>
          <w:szCs w:val="24"/>
          <w:lang w:val="en-GB"/>
        </w:rPr>
        <w:t>–</w:t>
      </w:r>
      <w:r w:rsidRPr="00FB4EFA">
        <w:rPr>
          <w:rFonts w:cstheme="minorHAnsi"/>
          <w:szCs w:val="24"/>
          <w:lang w:val="en-GB"/>
        </w:rPr>
        <w:t xml:space="preserve">2017]. </w:t>
      </w:r>
      <w:hyperlink r:id="rId318" w:history="1">
        <w:r w:rsidRPr="00FB4EFA">
          <w:rPr>
            <w:rStyle w:val="AuthorsChar"/>
            <w:rFonts w:ascii="Cambria" w:hAnsi="Cambria" w:cstheme="minorHAnsi"/>
            <w:i w:val="0"/>
            <w:iCs/>
            <w:color w:val="auto"/>
            <w:u w:val="single"/>
          </w:rPr>
          <w:t>ekn.hm.ee/system/files/</w:t>
        </w:r>
        <w:r w:rsidR="005F2E6A" w:rsidRPr="00FB4EFA">
          <w:rPr>
            <w:rStyle w:val="AuthorsChar"/>
            <w:rFonts w:ascii="Cambria" w:hAnsi="Cambria" w:cstheme="minorHAnsi"/>
            <w:i w:val="0"/>
            <w:iCs/>
            <w:color w:val="auto"/>
            <w:u w:val="single"/>
          </w:rPr>
          <w:br/>
        </w:r>
        <w:r w:rsidRPr="00FB4EFA">
          <w:rPr>
            <w:rStyle w:val="AuthorsChar"/>
            <w:rFonts w:ascii="Cambria" w:hAnsi="Cambria" w:cstheme="minorHAnsi"/>
            <w:i w:val="0"/>
            <w:iCs/>
            <w:color w:val="auto"/>
            <w:u w:val="single"/>
          </w:rPr>
          <w:t>Eesti_keele_arengukava_2011-2017_0.pdf</w:t>
        </w:r>
      </w:hyperlink>
    </w:p>
    <w:p w14:paraId="09A5EFF3" w14:textId="4F9E18B1"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EKA 2021 = Eesti keele arengukava 202</w:t>
      </w:r>
      <w:r w:rsidR="00C65823" w:rsidRPr="00FB4EFA">
        <w:rPr>
          <w:rFonts w:cstheme="minorHAnsi"/>
          <w:szCs w:val="24"/>
          <w:lang w:val="en-GB"/>
        </w:rPr>
        <w:t>1–2</w:t>
      </w:r>
      <w:r w:rsidRPr="00FB4EFA">
        <w:rPr>
          <w:rFonts w:cstheme="minorHAnsi"/>
          <w:szCs w:val="24"/>
          <w:lang w:val="en-GB"/>
        </w:rPr>
        <w:t>035 [Development Plan of Estonian Language 202</w:t>
      </w:r>
      <w:r w:rsidR="00C65823" w:rsidRPr="00FB4EFA">
        <w:rPr>
          <w:rFonts w:cstheme="minorHAnsi"/>
          <w:szCs w:val="24"/>
          <w:lang w:val="en-GB"/>
        </w:rPr>
        <w:t>1–2</w:t>
      </w:r>
      <w:r w:rsidRPr="00FB4EFA">
        <w:rPr>
          <w:rFonts w:cstheme="minorHAnsi"/>
          <w:szCs w:val="24"/>
          <w:lang w:val="en-GB"/>
        </w:rPr>
        <w:t xml:space="preserve">035]. </w:t>
      </w:r>
      <w:hyperlink r:id="rId319" w:history="1">
        <w:r w:rsidR="00B40850" w:rsidRPr="00FB4EFA">
          <w:rPr>
            <w:rStyle w:val="Hyperlink"/>
            <w:rFonts w:eastAsia="Calibri" w:cstheme="minorHAnsi"/>
            <w:iCs/>
            <w:color w:val="auto"/>
            <w:lang w:val="en-GB" w:eastAsia="en-GB"/>
          </w:rPr>
          <w:t>www.hm.ee/sites/default/</w:t>
        </w:r>
        <w:r w:rsidR="00B40850" w:rsidRPr="00FB4EFA">
          <w:rPr>
            <w:rStyle w:val="Hyperlink"/>
            <w:rFonts w:eastAsia="Calibri" w:cstheme="minorHAnsi"/>
            <w:iCs/>
            <w:color w:val="auto"/>
            <w:lang w:val="en-GB" w:eastAsia="en-GB"/>
          </w:rPr>
          <w:br/>
          <w:t>files/eesti_keele_arengukava_2021_2035_eelnou_9.07.2020.pdf</w:t>
        </w:r>
      </w:hyperlink>
    </w:p>
    <w:p w14:paraId="3DF30236" w14:textId="726ABAE7"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EKAS 2004 = Eesti keele arendamise strateegia 2004</w:t>
      </w:r>
      <w:r w:rsidR="00B738EB" w:rsidRPr="00FB4EFA">
        <w:rPr>
          <w:rFonts w:cs="Times New Roman"/>
          <w:szCs w:val="24"/>
          <w:lang w:val="en-GB"/>
        </w:rPr>
        <w:t>–</w:t>
      </w:r>
      <w:r w:rsidRPr="00FB4EFA">
        <w:rPr>
          <w:rFonts w:cstheme="minorHAnsi"/>
          <w:szCs w:val="24"/>
          <w:lang w:val="en-GB"/>
        </w:rPr>
        <w:t>2010 [Development strategy of the Estonian language 2004</w:t>
      </w:r>
      <w:r w:rsidR="00B738EB" w:rsidRPr="00FB4EFA">
        <w:rPr>
          <w:rFonts w:cs="Times New Roman"/>
          <w:szCs w:val="24"/>
          <w:lang w:val="en-GB"/>
        </w:rPr>
        <w:t>–</w:t>
      </w:r>
      <w:r w:rsidRPr="00FB4EFA">
        <w:rPr>
          <w:rFonts w:cstheme="minorHAnsi"/>
          <w:szCs w:val="24"/>
          <w:lang w:val="en-GB"/>
        </w:rPr>
        <w:t xml:space="preserve">2010]. </w:t>
      </w:r>
      <w:hyperlink r:id="rId320" w:history="1">
        <w:r w:rsidRPr="00FB4EFA">
          <w:rPr>
            <w:rStyle w:val="AuthorsChar"/>
            <w:rFonts w:ascii="Cambria" w:hAnsi="Cambria" w:cstheme="minorHAnsi"/>
            <w:i w:val="0"/>
            <w:iCs/>
            <w:color w:val="auto"/>
            <w:u w:val="single"/>
          </w:rPr>
          <w:t>ekn.hm.ee/system/files/strat_et.pdf</w:t>
        </w:r>
      </w:hyperlink>
      <w:r w:rsidR="0073644F" w:rsidRPr="00FB4EFA">
        <w:rPr>
          <w:rFonts w:cstheme="minorHAnsi"/>
          <w:szCs w:val="24"/>
          <w:lang w:val="en-GB"/>
        </w:rPr>
        <w:t>.</w:t>
      </w:r>
    </w:p>
    <w:p w14:paraId="2EA8AFA7" w14:textId="746E6151" w:rsidR="005913BE" w:rsidRPr="00FB4EFA" w:rsidRDefault="005913BE" w:rsidP="0033568E">
      <w:pPr>
        <w:suppressAutoHyphens/>
        <w:spacing w:line="240" w:lineRule="auto"/>
        <w:ind w:left="426" w:hanging="426"/>
        <w:rPr>
          <w:rFonts w:cstheme="minorHAnsi"/>
          <w:iCs/>
          <w:szCs w:val="24"/>
          <w:lang w:val="en-GB"/>
        </w:rPr>
      </w:pPr>
      <w:r w:rsidRPr="00FB4EFA">
        <w:rPr>
          <w:rFonts w:cstheme="minorHAnsi"/>
          <w:szCs w:val="24"/>
          <w:lang w:val="en-GB"/>
        </w:rPr>
        <w:t xml:space="preserve">EKKA 2019 = Välisüliõpilaste õppimine ja õpetamine Eesti kõrgkoolides [Studying by and teaching foreign students in Estonian higher education institutions]. </w:t>
      </w:r>
      <w:hyperlink r:id="rId321" w:history="1">
        <w:r w:rsidRPr="00FB4EFA">
          <w:rPr>
            <w:rStyle w:val="AuthorsChar"/>
            <w:rFonts w:ascii="Cambria" w:hAnsi="Cambria" w:cstheme="minorHAnsi"/>
            <w:i w:val="0"/>
            <w:iCs/>
            <w:color w:val="auto"/>
            <w:u w:val="single"/>
          </w:rPr>
          <w:t>ekka.edu.ee</w:t>
        </w:r>
        <w:r w:rsidRPr="00FB4EFA">
          <w:rPr>
            <w:rStyle w:val="AuthorsChar"/>
            <w:rFonts w:ascii="Cambria" w:hAnsi="Cambria" w:cstheme="minorHAnsi"/>
            <w:i w:val="0"/>
            <w:iCs/>
            <w:color w:val="auto"/>
            <w:u w:val="single"/>
          </w:rPr>
          <w:br/>
          <w:t>/wp-content/uploads/Temaatilise_hindamise_aruanne_2019.pdf</w:t>
        </w:r>
      </w:hyperlink>
      <w:r w:rsidR="0073644F" w:rsidRPr="00FB4EFA">
        <w:rPr>
          <w:rStyle w:val="AuthorsChar"/>
          <w:rFonts w:ascii="Cambria" w:hAnsi="Cambria" w:cstheme="minorHAnsi"/>
          <w:i w:val="0"/>
          <w:iCs/>
          <w:color w:val="auto"/>
        </w:rPr>
        <w:t>.</w:t>
      </w:r>
    </w:p>
    <w:p w14:paraId="186771F0" w14:textId="728C972A" w:rsidR="005913BE" w:rsidRPr="00FB4EFA" w:rsidRDefault="005913BE" w:rsidP="0033568E">
      <w:pPr>
        <w:keepLines/>
        <w:suppressAutoHyphens/>
        <w:spacing w:line="240" w:lineRule="auto"/>
        <w:ind w:left="425" w:hanging="425"/>
        <w:rPr>
          <w:rFonts w:cstheme="minorHAnsi"/>
          <w:szCs w:val="24"/>
          <w:lang w:val="en-GB"/>
        </w:rPr>
      </w:pPr>
      <w:r w:rsidRPr="00FB4EFA">
        <w:rPr>
          <w:rFonts w:cstheme="minorHAnsi"/>
          <w:szCs w:val="24"/>
          <w:lang w:val="en-GB"/>
        </w:rPr>
        <w:t>EKRS = Eesti kõrghariduse rahvusvahelistumise strateegia 200</w:t>
      </w:r>
      <w:r w:rsidR="00C65823" w:rsidRPr="00FB4EFA">
        <w:rPr>
          <w:rFonts w:cstheme="minorHAnsi"/>
          <w:szCs w:val="24"/>
          <w:lang w:val="en-GB"/>
        </w:rPr>
        <w:t>6–2</w:t>
      </w:r>
      <w:r w:rsidRPr="00FB4EFA">
        <w:rPr>
          <w:rFonts w:cstheme="minorHAnsi"/>
          <w:szCs w:val="24"/>
          <w:lang w:val="en-GB"/>
        </w:rPr>
        <w:t>015 [Estonian Higher Education Internationali</w:t>
      </w:r>
      <w:r w:rsidR="00A011ED" w:rsidRPr="00FB4EFA">
        <w:rPr>
          <w:rFonts w:cstheme="minorHAnsi"/>
          <w:szCs w:val="24"/>
          <w:lang w:val="en-GB"/>
        </w:rPr>
        <w:t>z</w:t>
      </w:r>
      <w:r w:rsidRPr="00FB4EFA">
        <w:rPr>
          <w:rFonts w:cstheme="minorHAnsi"/>
          <w:szCs w:val="24"/>
          <w:lang w:val="en-GB"/>
        </w:rPr>
        <w:t xml:space="preserve">ation Strategy 2006–2015]. </w:t>
      </w:r>
      <w:hyperlink r:id="rId322" w:history="1">
        <w:r w:rsidR="0073644F" w:rsidRPr="00FB4EFA">
          <w:rPr>
            <w:rStyle w:val="Hyperlink"/>
            <w:rFonts w:eastAsia="Calibri" w:cstheme="minorHAnsi"/>
            <w:iCs/>
            <w:color w:val="auto"/>
            <w:lang w:val="en-GB" w:eastAsia="en-GB"/>
          </w:rPr>
          <w:t>www.hm.ee/sites/default/files/k6rghariduse_</w:t>
        </w:r>
        <w:r w:rsidR="0073644F" w:rsidRPr="00FB4EFA">
          <w:rPr>
            <w:rStyle w:val="Hyperlink"/>
            <w:rFonts w:eastAsia="Calibri" w:cstheme="minorHAnsi"/>
            <w:iCs/>
            <w:color w:val="auto"/>
            <w:lang w:val="en-GB" w:eastAsia="en-GB"/>
          </w:rPr>
          <w:br/>
          <w:t>rahvusvahelistumise_strateegia.pdf</w:t>
        </w:r>
      </w:hyperlink>
      <w:r w:rsidR="0073644F" w:rsidRPr="00FB4EFA">
        <w:rPr>
          <w:rFonts w:cstheme="minorHAnsi"/>
          <w:szCs w:val="24"/>
          <w:lang w:val="en-GB"/>
        </w:rPr>
        <w:t>.</w:t>
      </w:r>
    </w:p>
    <w:p w14:paraId="538AB69D" w14:textId="32EF70E3"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EKS = Eesti kõrgharidusstrateegia aastateks 2006</w:t>
      </w:r>
      <w:r w:rsidR="00B738EB" w:rsidRPr="00FB4EFA">
        <w:rPr>
          <w:rFonts w:cs="Times New Roman"/>
          <w:szCs w:val="24"/>
          <w:lang w:val="en-GB"/>
        </w:rPr>
        <w:t>–</w:t>
      </w:r>
      <w:r w:rsidRPr="00FB4EFA">
        <w:rPr>
          <w:rFonts w:cstheme="minorHAnsi"/>
          <w:szCs w:val="24"/>
          <w:lang w:val="en-GB"/>
        </w:rPr>
        <w:t>2015 [Estonian Higher Education Strategy 2006</w:t>
      </w:r>
      <w:r w:rsidR="00B738EB" w:rsidRPr="00FB4EFA">
        <w:rPr>
          <w:rFonts w:cs="Times New Roman"/>
          <w:szCs w:val="24"/>
          <w:lang w:val="en-GB"/>
        </w:rPr>
        <w:t>–</w:t>
      </w:r>
      <w:r w:rsidRPr="00FB4EFA">
        <w:rPr>
          <w:rFonts w:cstheme="minorHAnsi"/>
          <w:szCs w:val="24"/>
          <w:lang w:val="en-GB"/>
        </w:rPr>
        <w:t xml:space="preserve">2015]. </w:t>
      </w:r>
      <w:hyperlink r:id="rId323" w:history="1">
        <w:r w:rsidR="0073644F" w:rsidRPr="00FB4EFA">
          <w:rPr>
            <w:rStyle w:val="Hyperlink"/>
            <w:rFonts w:eastAsia="Calibri" w:cstheme="minorHAnsi"/>
            <w:iCs/>
            <w:color w:val="auto"/>
            <w:lang w:val="en-GB" w:eastAsia="en-GB"/>
          </w:rPr>
          <w:t>www.riigiteataja.ee/</w:t>
        </w:r>
        <w:r w:rsidR="0073644F" w:rsidRPr="00FB4EFA">
          <w:rPr>
            <w:rStyle w:val="Hyperlink"/>
            <w:rFonts w:eastAsia="Calibri" w:cstheme="minorHAnsi"/>
            <w:iCs/>
            <w:color w:val="auto"/>
            <w:lang w:val="en-GB" w:eastAsia="en-GB"/>
          </w:rPr>
          <w:br/>
          <w:t>akt/12752949</w:t>
        </w:r>
      </w:hyperlink>
      <w:r w:rsidR="0073644F" w:rsidRPr="00FB4EFA">
        <w:rPr>
          <w:rFonts w:cstheme="minorHAnsi"/>
          <w:szCs w:val="24"/>
          <w:lang w:val="en-GB"/>
        </w:rPr>
        <w:t>.</w:t>
      </w:r>
    </w:p>
    <w:p w14:paraId="0B8C883E" w14:textId="44C7AC3D"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 xml:space="preserve">EÕS 2020 = Elukestva õppe strateegia 2020 [Lifelong Learning Strategy 2020]. </w:t>
      </w:r>
      <w:hyperlink r:id="rId324" w:history="1">
        <w:r w:rsidRPr="00FB4EFA">
          <w:rPr>
            <w:rStyle w:val="AuthorsChar"/>
            <w:rFonts w:ascii="Cambria" w:hAnsi="Cambria" w:cstheme="minorHAnsi"/>
            <w:i w:val="0"/>
            <w:iCs/>
            <w:color w:val="auto"/>
            <w:u w:val="single"/>
          </w:rPr>
          <w:t>www.hm.ee/et/elukestva-oppe-strateegia-2020</w:t>
        </w:r>
      </w:hyperlink>
      <w:r w:rsidR="0073644F" w:rsidRPr="00FB4EFA">
        <w:rPr>
          <w:rFonts w:cstheme="minorHAnsi"/>
          <w:szCs w:val="24"/>
          <w:lang w:val="en-GB"/>
        </w:rPr>
        <w:t>.</w:t>
      </w:r>
    </w:p>
    <w:p w14:paraId="295378E2" w14:textId="4995A933"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Ernits, Villem</w:t>
      </w:r>
      <w:r w:rsidR="001C101E" w:rsidRPr="00FB4EFA">
        <w:rPr>
          <w:rFonts w:cstheme="minorHAnsi"/>
          <w:szCs w:val="24"/>
          <w:lang w:val="en-GB"/>
        </w:rPr>
        <w:t>.</w:t>
      </w:r>
      <w:r w:rsidRPr="00FB4EFA">
        <w:rPr>
          <w:rFonts w:cstheme="minorHAnsi"/>
          <w:szCs w:val="24"/>
          <w:lang w:val="en-GB"/>
        </w:rPr>
        <w:t xml:space="preserve"> 1914. </w:t>
      </w:r>
      <w:r w:rsidRPr="00FB4EFA">
        <w:rPr>
          <w:rFonts w:cstheme="minorHAnsi"/>
          <w:i/>
          <w:iCs/>
          <w:szCs w:val="24"/>
          <w:lang w:val="en-GB"/>
        </w:rPr>
        <w:t>Üliõpilaste kirjanduse arvustus ja vahetus</w:t>
      </w:r>
      <w:r w:rsidRPr="00FB4EFA">
        <w:rPr>
          <w:rFonts w:cstheme="minorHAnsi"/>
          <w:szCs w:val="24"/>
          <w:lang w:val="en-GB"/>
        </w:rPr>
        <w:t xml:space="preserve"> [Review and exchange of student literature] 1. Tartu</w:t>
      </w:r>
      <w:r w:rsidR="00A47F9A" w:rsidRPr="00FB4EFA">
        <w:rPr>
          <w:rFonts w:cstheme="minorHAnsi"/>
          <w:szCs w:val="24"/>
          <w:lang w:val="en-GB"/>
        </w:rPr>
        <w:t>.</w:t>
      </w:r>
    </w:p>
    <w:p w14:paraId="02513F16" w14:textId="75B97593"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HA 2021 = Haridusvaldkonna arengukava 202</w:t>
      </w:r>
      <w:r w:rsidR="00C65823" w:rsidRPr="00FB4EFA">
        <w:rPr>
          <w:rFonts w:cstheme="minorHAnsi"/>
          <w:szCs w:val="24"/>
          <w:lang w:val="en-GB"/>
        </w:rPr>
        <w:t>1–2</w:t>
      </w:r>
      <w:r w:rsidRPr="00FB4EFA">
        <w:rPr>
          <w:rFonts w:cstheme="minorHAnsi"/>
          <w:szCs w:val="24"/>
          <w:lang w:val="en-GB"/>
        </w:rPr>
        <w:t>035 [Education Sector Development Plan 202</w:t>
      </w:r>
      <w:r w:rsidR="00C65823" w:rsidRPr="00FB4EFA">
        <w:rPr>
          <w:rFonts w:cstheme="minorHAnsi"/>
          <w:szCs w:val="24"/>
          <w:lang w:val="en-GB"/>
        </w:rPr>
        <w:t>1–2</w:t>
      </w:r>
      <w:r w:rsidRPr="00FB4EFA">
        <w:rPr>
          <w:rFonts w:cstheme="minorHAnsi"/>
          <w:szCs w:val="24"/>
          <w:lang w:val="en-GB"/>
        </w:rPr>
        <w:t xml:space="preserve">035]. </w:t>
      </w:r>
      <w:hyperlink r:id="rId325" w:history="1">
        <w:r w:rsidR="00A853A7" w:rsidRPr="00FB4EFA">
          <w:rPr>
            <w:rStyle w:val="Hyperlink"/>
            <w:rFonts w:eastAsia="Calibri" w:cstheme="minorHAnsi"/>
            <w:iCs/>
            <w:color w:val="auto"/>
            <w:lang w:val="en-GB" w:eastAsia="en-GB"/>
          </w:rPr>
          <w:t>www.hm.ee/sites/default/files/eesti_haridusvaldkonna_</w:t>
        </w:r>
        <w:r w:rsidR="00A853A7" w:rsidRPr="00FB4EFA">
          <w:rPr>
            <w:rStyle w:val="Hyperlink"/>
            <w:rFonts w:eastAsia="Calibri" w:cstheme="minorHAnsi"/>
            <w:iCs/>
            <w:color w:val="auto"/>
            <w:lang w:val="en-GB" w:eastAsia="en-GB"/>
          </w:rPr>
          <w:br/>
          <w:t>arengukava_2035_seisuga_2020.03.27.pdf</w:t>
        </w:r>
      </w:hyperlink>
      <w:r w:rsidR="0073644F" w:rsidRPr="00FB4EFA">
        <w:rPr>
          <w:rFonts w:cstheme="minorHAnsi"/>
          <w:szCs w:val="24"/>
          <w:lang w:val="en-GB"/>
        </w:rPr>
        <w:t>.</w:t>
      </w:r>
    </w:p>
    <w:p w14:paraId="01EDDF53" w14:textId="4AC0C3DA" w:rsidR="005913BE" w:rsidRPr="00FB4EFA" w:rsidRDefault="005913BE" w:rsidP="0033568E">
      <w:pPr>
        <w:keepLines/>
        <w:suppressAutoHyphens/>
        <w:spacing w:line="240" w:lineRule="auto"/>
        <w:ind w:left="425" w:hanging="425"/>
        <w:rPr>
          <w:rFonts w:cstheme="minorHAnsi"/>
          <w:szCs w:val="24"/>
          <w:lang w:val="en-GB"/>
        </w:rPr>
      </w:pPr>
      <w:r w:rsidRPr="00FB4EFA">
        <w:rPr>
          <w:rFonts w:cstheme="minorHAnsi"/>
          <w:szCs w:val="24"/>
          <w:lang w:val="en-GB"/>
        </w:rPr>
        <w:t xml:space="preserve">Hakulinen, Auli, Jyrki Kalliokoski, Salli Kankaanpää, Antti Kanner, Kimmo Koskenniemi, Lea Laitinen, Sari Maamies &amp; Pirkko Nuolijärvi. 2009. </w:t>
      </w:r>
      <w:r w:rsidRPr="00FB4EFA">
        <w:rPr>
          <w:rFonts w:cstheme="minorHAnsi"/>
          <w:i/>
          <w:iCs/>
          <w:szCs w:val="24"/>
          <w:lang w:val="en-GB"/>
        </w:rPr>
        <w:t>Suomen kielen tulevaisuus: Kielipoliittinen toimintaohjelma</w:t>
      </w:r>
      <w:r w:rsidRPr="00FB4EFA">
        <w:rPr>
          <w:rFonts w:cstheme="minorHAnsi"/>
          <w:szCs w:val="24"/>
          <w:lang w:val="en-GB"/>
        </w:rPr>
        <w:t xml:space="preserve">. Kotimaisten kielten tutkimuskeskuksen verkkojulkaisuja 7. </w:t>
      </w:r>
      <w:hyperlink r:id="rId326" w:history="1">
        <w:r w:rsidRPr="00FB4EFA">
          <w:rPr>
            <w:rStyle w:val="AuthorsChar"/>
            <w:rFonts w:ascii="Cambria" w:hAnsi="Cambria" w:cstheme="minorHAnsi"/>
            <w:i w:val="0"/>
            <w:iCs/>
            <w:color w:val="auto"/>
            <w:u w:val="single"/>
          </w:rPr>
          <w:t>kaino.kotus.fi/www/verkkojulkaisut/julk7/</w:t>
        </w:r>
      </w:hyperlink>
      <w:r w:rsidR="0073644F" w:rsidRPr="00FB4EFA">
        <w:rPr>
          <w:rStyle w:val="AuthorsChar"/>
          <w:rFonts w:ascii="Cambria" w:hAnsi="Cambria" w:cstheme="minorHAnsi"/>
          <w:i w:val="0"/>
          <w:color w:val="auto"/>
        </w:rPr>
        <w:t>.</w:t>
      </w:r>
    </w:p>
    <w:p w14:paraId="1D9D2CB4" w14:textId="3A973797"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lastRenderedPageBreak/>
        <w:t xml:space="preserve">Keelehoiakud 2018 = </w:t>
      </w:r>
      <w:bookmarkStart w:id="85" w:name="_Hlk103415614"/>
      <w:r w:rsidRPr="00FB4EFA">
        <w:rPr>
          <w:rFonts w:cstheme="minorHAnsi"/>
          <w:szCs w:val="24"/>
          <w:lang w:val="en-GB"/>
        </w:rPr>
        <w:t>Kats Kivistik &amp; Kristel Ress</w:t>
      </w:r>
      <w:r w:rsidR="001C101E" w:rsidRPr="00FB4EFA">
        <w:rPr>
          <w:rFonts w:cstheme="minorHAnsi"/>
          <w:szCs w:val="24"/>
          <w:lang w:val="en-GB"/>
        </w:rPr>
        <w:t xml:space="preserve">. </w:t>
      </w:r>
      <w:r w:rsidRPr="00FB4EFA">
        <w:rPr>
          <w:rFonts w:cstheme="minorHAnsi"/>
          <w:szCs w:val="24"/>
          <w:lang w:val="en-GB"/>
        </w:rPr>
        <w:t xml:space="preserve">Tartu Ülikooli töötajate keelehoiakud 2018. aastal. Uuringuaruanne [Language attitudes among the employees of the University of Tartu in 2018. Research report]. Tartu: Tartu Ülikool. </w:t>
      </w:r>
      <w:bookmarkEnd w:id="85"/>
      <w:r w:rsidRPr="00FB4EFA">
        <w:fldChar w:fldCharType="begin"/>
      </w:r>
      <w:r w:rsidR="0073644F" w:rsidRPr="00FB4EFA">
        <w:rPr>
          <w:lang w:val="en-GB"/>
        </w:rPr>
        <w:instrText>HYPERLINK "https://ut.ee/sites/default/files/2022-05/tu_tootajate_keelehoiakud_2018_uuringuaruanne_2.pdf"</w:instrText>
      </w:r>
      <w:r w:rsidRPr="00FB4EFA">
        <w:fldChar w:fldCharType="separate"/>
      </w:r>
      <w:r w:rsidRPr="00FB4EFA">
        <w:rPr>
          <w:rStyle w:val="Hyperlink"/>
          <w:rFonts w:cstheme="minorHAnsi"/>
          <w:color w:val="auto"/>
          <w:szCs w:val="24"/>
          <w:lang w:val="en-GB"/>
        </w:rPr>
        <w:t>ut.ee/sites/default/files/</w:t>
      </w:r>
      <w:r w:rsidR="005F2E6A" w:rsidRPr="00FB4EFA">
        <w:rPr>
          <w:rStyle w:val="Hyperlink"/>
          <w:rFonts w:cstheme="minorHAnsi"/>
          <w:color w:val="auto"/>
          <w:szCs w:val="24"/>
          <w:lang w:val="en-GB"/>
        </w:rPr>
        <w:br/>
      </w:r>
      <w:r w:rsidRPr="00FB4EFA">
        <w:rPr>
          <w:rStyle w:val="Hyperlink"/>
          <w:rFonts w:cstheme="minorHAnsi"/>
          <w:color w:val="auto"/>
          <w:szCs w:val="24"/>
          <w:lang w:val="en-GB"/>
        </w:rPr>
        <w:t>2022-05/tu_tootajate_keelehoiakud_2018_uuringuaruanne_2.pdf</w:t>
      </w:r>
      <w:r w:rsidRPr="00FB4EFA">
        <w:rPr>
          <w:rStyle w:val="Hyperlink"/>
          <w:rFonts w:cstheme="minorHAnsi"/>
          <w:color w:val="auto"/>
          <w:szCs w:val="24"/>
          <w:lang w:val="en-GB"/>
        </w:rPr>
        <w:fldChar w:fldCharType="end"/>
      </w:r>
      <w:r w:rsidR="0073644F" w:rsidRPr="00FB4EFA">
        <w:rPr>
          <w:rFonts w:cstheme="minorHAnsi"/>
          <w:szCs w:val="24"/>
          <w:lang w:val="en-GB"/>
        </w:rPr>
        <w:t>.</w:t>
      </w:r>
    </w:p>
    <w:p w14:paraId="31C8ACAF" w14:textId="65C17EC3"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 xml:space="preserve">KHaS 2019 = Kõrgharidusseadus </w:t>
      </w:r>
      <w:bookmarkStart w:id="86" w:name="_Hlk81472075"/>
      <w:r w:rsidRPr="00FB4EFA">
        <w:rPr>
          <w:rFonts w:cstheme="minorHAnsi"/>
          <w:szCs w:val="24"/>
          <w:lang w:val="en-GB"/>
        </w:rPr>
        <w:t>[Higher Education Act]</w:t>
      </w:r>
      <w:bookmarkEnd w:id="86"/>
      <w:r w:rsidRPr="00FB4EFA">
        <w:rPr>
          <w:rFonts w:cstheme="minorHAnsi"/>
          <w:szCs w:val="24"/>
          <w:lang w:val="en-GB"/>
        </w:rPr>
        <w:t xml:space="preserve">. </w:t>
      </w:r>
      <w:hyperlink r:id="rId327" w:history="1">
        <w:r w:rsidRPr="00FB4EFA">
          <w:rPr>
            <w:rStyle w:val="AuthorsChar"/>
            <w:rFonts w:ascii="Cambria" w:hAnsi="Cambria" w:cstheme="minorHAnsi"/>
            <w:i w:val="0"/>
            <w:iCs/>
            <w:color w:val="auto"/>
            <w:u w:val="single"/>
          </w:rPr>
          <w:t>www.riigiteataja.ee/akt/119032019012</w:t>
        </w:r>
      </w:hyperlink>
      <w:r w:rsidR="0073644F" w:rsidRPr="00FB4EFA">
        <w:rPr>
          <w:rStyle w:val="AuthorsChar"/>
          <w:rFonts w:ascii="Cambria" w:hAnsi="Cambria" w:cstheme="minorHAnsi"/>
          <w:i w:val="0"/>
          <w:iCs/>
          <w:color w:val="auto"/>
        </w:rPr>
        <w:t>.</w:t>
      </w:r>
    </w:p>
    <w:p w14:paraId="7A9589B7" w14:textId="799476CD"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KHP 2016 = Kõrghariduse programm 201</w:t>
      </w:r>
      <w:r w:rsidR="00C65823" w:rsidRPr="00FB4EFA">
        <w:rPr>
          <w:rFonts w:cstheme="minorHAnsi"/>
          <w:szCs w:val="24"/>
          <w:lang w:val="en-GB"/>
        </w:rPr>
        <w:t>6–2</w:t>
      </w:r>
      <w:r w:rsidRPr="00FB4EFA">
        <w:rPr>
          <w:rFonts w:cstheme="minorHAnsi"/>
          <w:szCs w:val="24"/>
          <w:lang w:val="en-GB"/>
        </w:rPr>
        <w:t>019 [Higher Education Programme 201</w:t>
      </w:r>
      <w:r w:rsidR="00C65823" w:rsidRPr="00FB4EFA">
        <w:rPr>
          <w:rFonts w:cstheme="minorHAnsi"/>
          <w:szCs w:val="24"/>
          <w:lang w:val="en-GB"/>
        </w:rPr>
        <w:t>6–2</w:t>
      </w:r>
      <w:r w:rsidRPr="00FB4EFA">
        <w:rPr>
          <w:rFonts w:cstheme="minorHAnsi"/>
          <w:szCs w:val="24"/>
          <w:lang w:val="en-GB"/>
        </w:rPr>
        <w:t xml:space="preserve">019]. </w:t>
      </w:r>
      <w:hyperlink r:id="rId328" w:history="1">
        <w:r w:rsidRPr="00FB4EFA">
          <w:rPr>
            <w:rStyle w:val="Hyperlink"/>
            <w:rFonts w:eastAsia="Calibri" w:cstheme="minorHAnsi"/>
            <w:color w:val="auto"/>
            <w:lang w:val="en-GB" w:eastAsia="en-GB"/>
          </w:rPr>
          <w:t>www.hm.ee/sites/default/files/</w:t>
        </w:r>
        <w:r w:rsidRPr="00FB4EFA">
          <w:rPr>
            <w:rStyle w:val="Hyperlink"/>
            <w:rFonts w:eastAsia="Calibri" w:cstheme="minorHAnsi"/>
            <w:color w:val="auto"/>
            <w:lang w:val="en-GB" w:eastAsia="en-GB"/>
          </w:rPr>
          <w:br/>
          <w:t>lisa_8_korghariduse_programm_2016-2019.pdf</w:t>
        </w:r>
      </w:hyperlink>
      <w:r w:rsidR="0073644F" w:rsidRPr="00FB4EFA">
        <w:rPr>
          <w:rFonts w:cstheme="minorHAnsi"/>
          <w:szCs w:val="24"/>
          <w:lang w:val="en-GB"/>
        </w:rPr>
        <w:t>.</w:t>
      </w:r>
    </w:p>
    <w:p w14:paraId="55D13102" w14:textId="11AE2088"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KHP 2019 = Kõrghariduse programm 201</w:t>
      </w:r>
      <w:r w:rsidR="00C65823" w:rsidRPr="00FB4EFA">
        <w:rPr>
          <w:rFonts w:cstheme="minorHAnsi"/>
          <w:szCs w:val="24"/>
          <w:lang w:val="en-GB"/>
        </w:rPr>
        <w:t>9–2</w:t>
      </w:r>
      <w:r w:rsidRPr="00FB4EFA">
        <w:rPr>
          <w:rFonts w:cstheme="minorHAnsi"/>
          <w:szCs w:val="24"/>
          <w:lang w:val="en-GB"/>
        </w:rPr>
        <w:t>022 [Higher Education Programme 201</w:t>
      </w:r>
      <w:r w:rsidR="00C65823" w:rsidRPr="00FB4EFA">
        <w:rPr>
          <w:rFonts w:cstheme="minorHAnsi"/>
          <w:szCs w:val="24"/>
          <w:lang w:val="en-GB"/>
        </w:rPr>
        <w:t>9–2</w:t>
      </w:r>
      <w:r w:rsidRPr="00FB4EFA">
        <w:rPr>
          <w:rFonts w:cstheme="minorHAnsi"/>
          <w:szCs w:val="24"/>
          <w:lang w:val="en-GB"/>
        </w:rPr>
        <w:t xml:space="preserve">023]. </w:t>
      </w:r>
      <w:hyperlink r:id="rId329" w:history="1">
        <w:r w:rsidRPr="00FB4EFA">
          <w:rPr>
            <w:rStyle w:val="Hyperlink"/>
            <w:rFonts w:eastAsia="Calibri" w:cstheme="minorHAnsi"/>
            <w:color w:val="auto"/>
            <w:lang w:val="en-GB" w:eastAsia="en-GB"/>
          </w:rPr>
          <w:t>www.hm.ee/sites/default/files/</w:t>
        </w:r>
        <w:r w:rsidRPr="00FB4EFA">
          <w:rPr>
            <w:rStyle w:val="Hyperlink"/>
            <w:rFonts w:eastAsia="Calibri" w:cstheme="minorHAnsi"/>
            <w:color w:val="auto"/>
            <w:lang w:val="en-GB" w:eastAsia="en-GB"/>
          </w:rPr>
          <w:br/>
          <w:t>7_korgharidusprogramm_2019-2022_4okt18.pdf</w:t>
        </w:r>
      </w:hyperlink>
      <w:r w:rsidR="0073644F" w:rsidRPr="00FB4EFA">
        <w:rPr>
          <w:rFonts w:cstheme="minorHAnsi"/>
          <w:szCs w:val="24"/>
          <w:lang w:val="en-GB"/>
        </w:rPr>
        <w:t>.</w:t>
      </w:r>
    </w:p>
    <w:p w14:paraId="5551F98F" w14:textId="38E506AC"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Kibbermann, Kerttu</w:t>
      </w:r>
      <w:r w:rsidR="001C101E" w:rsidRPr="00FB4EFA">
        <w:rPr>
          <w:rFonts w:cstheme="minorHAnsi"/>
          <w:szCs w:val="24"/>
          <w:lang w:val="en-GB"/>
        </w:rPr>
        <w:t>.</w:t>
      </w:r>
      <w:r w:rsidRPr="00FB4EFA">
        <w:rPr>
          <w:rFonts w:cstheme="minorHAnsi"/>
          <w:szCs w:val="24"/>
          <w:lang w:val="en-GB"/>
        </w:rPr>
        <w:t xml:space="preserve"> 2019. Languages in Higher Education in Estonia and Latvia: Language Practices and Attitudes. In</w:t>
      </w:r>
      <w:r w:rsidR="00466236" w:rsidRPr="00FB4EFA">
        <w:rPr>
          <w:rFonts w:cstheme="minorHAnsi"/>
          <w:szCs w:val="24"/>
          <w:lang w:val="en-GB"/>
        </w:rPr>
        <w:t xml:space="preserve"> Sanita</w:t>
      </w:r>
      <w:r w:rsidRPr="00FB4EFA">
        <w:rPr>
          <w:rFonts w:cstheme="minorHAnsi"/>
          <w:szCs w:val="24"/>
          <w:lang w:val="en-GB"/>
        </w:rPr>
        <w:t xml:space="preserve"> Lazdi</w:t>
      </w:r>
      <w:r w:rsidRPr="00FB4EFA">
        <w:rPr>
          <w:rFonts w:cs="Cambria"/>
          <w:szCs w:val="24"/>
          <w:lang w:val="en-GB"/>
        </w:rPr>
        <w:t>ņ</w:t>
      </w:r>
      <w:r w:rsidRPr="00FB4EFA">
        <w:rPr>
          <w:rFonts w:cstheme="minorHAnsi"/>
          <w:szCs w:val="24"/>
          <w:lang w:val="en-GB"/>
        </w:rPr>
        <w:t xml:space="preserve">a, </w:t>
      </w:r>
      <w:r w:rsidR="00466236" w:rsidRPr="00FB4EFA">
        <w:rPr>
          <w:rFonts w:cstheme="minorHAnsi"/>
          <w:szCs w:val="24"/>
          <w:lang w:val="en-GB"/>
        </w:rPr>
        <w:t xml:space="preserve">Heiko F. </w:t>
      </w:r>
      <w:r w:rsidRPr="00FB4EFA">
        <w:rPr>
          <w:rFonts w:cstheme="minorHAnsi"/>
          <w:szCs w:val="24"/>
          <w:lang w:val="en-GB"/>
        </w:rPr>
        <w:t>Marten (</w:t>
      </w:r>
      <w:r w:rsidR="00466236" w:rsidRPr="00FB4EFA">
        <w:rPr>
          <w:rFonts w:cstheme="minorHAnsi"/>
          <w:szCs w:val="24"/>
          <w:lang w:val="en-GB"/>
        </w:rPr>
        <w:t>e</w:t>
      </w:r>
      <w:r w:rsidRPr="00FB4EFA">
        <w:rPr>
          <w:rFonts w:cstheme="minorHAnsi"/>
          <w:szCs w:val="24"/>
          <w:lang w:val="en-GB"/>
        </w:rPr>
        <w:t>d</w:t>
      </w:r>
      <w:r w:rsidR="00466236" w:rsidRPr="00FB4EFA">
        <w:rPr>
          <w:rFonts w:cstheme="minorHAnsi"/>
          <w:szCs w:val="24"/>
          <w:lang w:val="en-GB"/>
        </w:rPr>
        <w:t>s</w:t>
      </w:r>
      <w:r w:rsidRPr="00FB4EFA">
        <w:rPr>
          <w:rFonts w:cstheme="minorHAnsi"/>
          <w:szCs w:val="24"/>
          <w:lang w:val="en-GB"/>
        </w:rPr>
        <w:t>.)</w:t>
      </w:r>
      <w:r w:rsidR="00466236" w:rsidRPr="00FB4EFA">
        <w:rPr>
          <w:rFonts w:cstheme="minorHAnsi"/>
          <w:szCs w:val="24"/>
          <w:lang w:val="en-GB"/>
        </w:rPr>
        <w:t>,</w:t>
      </w:r>
      <w:r w:rsidRPr="00FB4EFA">
        <w:rPr>
          <w:rFonts w:cstheme="minorHAnsi"/>
          <w:szCs w:val="24"/>
          <w:lang w:val="en-GB"/>
        </w:rPr>
        <w:t xml:space="preserve"> </w:t>
      </w:r>
      <w:r w:rsidRPr="00FB4EFA">
        <w:rPr>
          <w:rFonts w:cstheme="minorHAnsi"/>
          <w:i/>
          <w:szCs w:val="24"/>
          <w:lang w:val="en-GB"/>
        </w:rPr>
        <w:t>Multilingualism in the Baltic States: Societal Discourses and Contact Phenomena</w:t>
      </w:r>
      <w:r w:rsidRPr="00FB4EFA">
        <w:rPr>
          <w:rFonts w:cstheme="minorHAnsi"/>
          <w:szCs w:val="24"/>
          <w:lang w:val="en-GB"/>
        </w:rPr>
        <w:t>, 407</w:t>
      </w:r>
      <w:r w:rsidR="00B738EB" w:rsidRPr="00FB4EFA">
        <w:rPr>
          <w:rFonts w:cs="Times New Roman"/>
          <w:szCs w:val="24"/>
          <w:lang w:val="en-GB"/>
        </w:rPr>
        <w:t>–</w:t>
      </w:r>
      <w:r w:rsidRPr="00FB4EFA">
        <w:rPr>
          <w:rFonts w:cstheme="minorHAnsi"/>
          <w:szCs w:val="24"/>
          <w:lang w:val="en-GB"/>
        </w:rPr>
        <w:t xml:space="preserve">442. </w:t>
      </w:r>
      <w:r w:rsidR="00466236" w:rsidRPr="00FB4EFA">
        <w:rPr>
          <w:rFonts w:cs="Charis SIL"/>
          <w:lang w:val="en-GB"/>
        </w:rPr>
        <w:t xml:space="preserve">London: </w:t>
      </w:r>
      <w:r w:rsidRPr="00FB4EFA">
        <w:rPr>
          <w:rFonts w:cstheme="minorHAnsi"/>
          <w:szCs w:val="24"/>
          <w:lang w:val="en-GB"/>
        </w:rPr>
        <w:t>Palgrave Macmillan.</w:t>
      </w:r>
    </w:p>
    <w:p w14:paraId="44DFC900" w14:textId="35D1317E"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Klaas, Birute</w:t>
      </w:r>
      <w:r w:rsidR="001C101E" w:rsidRPr="00FB4EFA">
        <w:rPr>
          <w:rFonts w:cstheme="minorHAnsi"/>
          <w:szCs w:val="24"/>
          <w:lang w:val="en-GB"/>
        </w:rPr>
        <w:t>.</w:t>
      </w:r>
      <w:r w:rsidRPr="00FB4EFA">
        <w:rPr>
          <w:rFonts w:cstheme="minorHAnsi"/>
          <w:szCs w:val="24"/>
          <w:lang w:val="en-GB"/>
        </w:rPr>
        <w:t xml:space="preserve"> 2003.</w:t>
      </w:r>
      <w:r w:rsidRPr="00FB4EFA">
        <w:rPr>
          <w:szCs w:val="24"/>
          <w:lang w:val="en-GB"/>
        </w:rPr>
        <w:t xml:space="preserve"> </w:t>
      </w:r>
      <w:r w:rsidRPr="00FB4EFA">
        <w:rPr>
          <w:rFonts w:cstheme="minorHAnsi"/>
          <w:szCs w:val="24"/>
          <w:lang w:val="en-GB"/>
        </w:rPr>
        <w:t xml:space="preserve">Eesti keele õpetamisest ja uurimisest võõrkeelena ja teise keelena Tartu ülikoolis [Teaching and research Estonian as a foreign language and as a second language at the University of Tartu]. </w:t>
      </w:r>
      <w:r w:rsidRPr="00FB4EFA">
        <w:rPr>
          <w:rFonts w:cstheme="minorHAnsi"/>
          <w:i/>
          <w:szCs w:val="24"/>
          <w:lang w:val="en-GB"/>
        </w:rPr>
        <w:t>200 aastat eesti keele ülikooliõpet: juubelikogumik</w:t>
      </w:r>
      <w:r w:rsidRPr="00FB4EFA">
        <w:rPr>
          <w:rFonts w:cstheme="minorHAnsi"/>
          <w:szCs w:val="24"/>
          <w:lang w:val="en-GB"/>
        </w:rPr>
        <w:t>, 319</w:t>
      </w:r>
      <w:r w:rsidR="00B738EB" w:rsidRPr="00FB4EFA">
        <w:rPr>
          <w:rFonts w:cs="Times New Roman"/>
          <w:szCs w:val="24"/>
          <w:lang w:val="en-GB"/>
        </w:rPr>
        <w:t>–</w:t>
      </w:r>
      <w:r w:rsidRPr="00FB4EFA">
        <w:rPr>
          <w:rFonts w:cstheme="minorHAnsi"/>
          <w:szCs w:val="24"/>
          <w:lang w:val="en-GB"/>
        </w:rPr>
        <w:t xml:space="preserve">348. </w:t>
      </w:r>
      <w:r w:rsidR="0073644F" w:rsidRPr="00FB4EFA">
        <w:rPr>
          <w:rFonts w:cstheme="minorHAnsi"/>
          <w:szCs w:val="24"/>
          <w:lang w:val="en-GB"/>
        </w:rPr>
        <w:t xml:space="preserve">Tartu </w:t>
      </w:r>
      <w:r w:rsidR="0073644F" w:rsidRPr="00FB4EFA">
        <w:rPr>
          <w:rFonts w:cs="Baskerville Old Face"/>
          <w:szCs w:val="24"/>
          <w:lang w:val="en-GB"/>
        </w:rPr>
        <w:t>Ü</w:t>
      </w:r>
      <w:r w:rsidR="0073644F" w:rsidRPr="00FB4EFA">
        <w:rPr>
          <w:rFonts w:cstheme="minorHAnsi"/>
          <w:szCs w:val="24"/>
          <w:lang w:val="en-GB"/>
        </w:rPr>
        <w:t xml:space="preserve">likooli eesti keele </w:t>
      </w:r>
      <w:r w:rsidR="0073644F" w:rsidRPr="00FB4EFA">
        <w:rPr>
          <w:rFonts w:cs="Baskerville Old Face"/>
          <w:szCs w:val="24"/>
          <w:lang w:val="en-GB"/>
        </w:rPr>
        <w:t>õ</w:t>
      </w:r>
      <w:r w:rsidR="0073644F" w:rsidRPr="00FB4EFA">
        <w:rPr>
          <w:rFonts w:cstheme="minorHAnsi"/>
          <w:szCs w:val="24"/>
          <w:lang w:val="en-GB"/>
        </w:rPr>
        <w:t xml:space="preserve">ppetooli toimetised 25. </w:t>
      </w:r>
      <w:r w:rsidRPr="00FB4EFA">
        <w:rPr>
          <w:rFonts w:cstheme="minorHAnsi"/>
          <w:szCs w:val="24"/>
          <w:lang w:val="en-GB"/>
        </w:rPr>
        <w:t xml:space="preserve">Tartu: Tartu </w:t>
      </w:r>
      <w:r w:rsidRPr="00FB4EFA">
        <w:rPr>
          <w:rFonts w:cs="Baskerville Old Face"/>
          <w:szCs w:val="24"/>
          <w:lang w:val="en-GB"/>
        </w:rPr>
        <w:t>Ü</w:t>
      </w:r>
      <w:r w:rsidRPr="00FB4EFA">
        <w:rPr>
          <w:rFonts w:cstheme="minorHAnsi"/>
          <w:szCs w:val="24"/>
          <w:lang w:val="en-GB"/>
        </w:rPr>
        <w:t>likooli Kirjastus.</w:t>
      </w:r>
    </w:p>
    <w:p w14:paraId="582EEDF9" w14:textId="7144AD97"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Klaas-Lang, Birute</w:t>
      </w:r>
      <w:r w:rsidR="001C101E" w:rsidRPr="00FB4EFA">
        <w:rPr>
          <w:rFonts w:cstheme="minorHAnsi"/>
          <w:szCs w:val="24"/>
          <w:lang w:val="en-GB"/>
        </w:rPr>
        <w:t>.</w:t>
      </w:r>
      <w:r w:rsidRPr="00FB4EFA">
        <w:rPr>
          <w:rFonts w:cstheme="minorHAnsi"/>
          <w:szCs w:val="24"/>
          <w:lang w:val="en-GB"/>
        </w:rPr>
        <w:t xml:space="preserve"> 2014a. L</w:t>
      </w:r>
      <w:r w:rsidR="001C101E" w:rsidRPr="00FB4EFA">
        <w:rPr>
          <w:rFonts w:cstheme="minorHAnsi"/>
          <w:szCs w:val="24"/>
          <w:lang w:val="en-GB"/>
        </w:rPr>
        <w:t>’</w:t>
      </w:r>
      <w:r w:rsidRPr="00FB4EFA">
        <w:rPr>
          <w:rFonts w:cstheme="minorHAnsi"/>
          <w:szCs w:val="24"/>
          <w:lang w:val="en-GB"/>
        </w:rPr>
        <w:t xml:space="preserve">état de la langue estonienne au début du 3XIe siècle. </w:t>
      </w:r>
      <w:r w:rsidRPr="00FB4EFA">
        <w:rPr>
          <w:rFonts w:cstheme="minorHAnsi"/>
          <w:i/>
          <w:iCs/>
          <w:szCs w:val="24"/>
          <w:lang w:val="en-GB"/>
        </w:rPr>
        <w:t>Etudes finno-ougriennes</w:t>
      </w:r>
      <w:r w:rsidRPr="00FB4EFA">
        <w:rPr>
          <w:rFonts w:cstheme="minorHAnsi"/>
          <w:szCs w:val="24"/>
          <w:lang w:val="en-GB"/>
        </w:rPr>
        <w:t xml:space="preserve"> 44</w:t>
      </w:r>
      <w:r w:rsidR="001C101E" w:rsidRPr="00FB4EFA">
        <w:rPr>
          <w:rFonts w:cstheme="minorHAnsi"/>
          <w:szCs w:val="24"/>
          <w:lang w:val="en-GB"/>
        </w:rPr>
        <w:t>.</w:t>
      </w:r>
      <w:r w:rsidRPr="00FB4EFA">
        <w:rPr>
          <w:rFonts w:cstheme="minorHAnsi"/>
          <w:szCs w:val="24"/>
          <w:lang w:val="en-GB"/>
        </w:rPr>
        <w:t xml:space="preserve"> 31</w:t>
      </w:r>
      <w:r w:rsidR="00B738EB" w:rsidRPr="00FB4EFA">
        <w:rPr>
          <w:rFonts w:cs="Times New Roman"/>
          <w:szCs w:val="24"/>
          <w:lang w:val="en-GB"/>
        </w:rPr>
        <w:t>–</w:t>
      </w:r>
      <w:r w:rsidRPr="00FB4EFA">
        <w:rPr>
          <w:rFonts w:cstheme="minorHAnsi"/>
          <w:szCs w:val="24"/>
          <w:lang w:val="en-GB"/>
        </w:rPr>
        <w:t>58.</w:t>
      </w:r>
    </w:p>
    <w:p w14:paraId="1B6C55A8" w14:textId="2485AF97"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Klaas-Lang, Birute</w:t>
      </w:r>
      <w:r w:rsidR="00B738EB" w:rsidRPr="00FB4EFA">
        <w:rPr>
          <w:rFonts w:cstheme="minorHAnsi"/>
          <w:szCs w:val="24"/>
          <w:lang w:val="en-GB"/>
        </w:rPr>
        <w:t>.</w:t>
      </w:r>
      <w:r w:rsidRPr="00FB4EFA">
        <w:rPr>
          <w:rFonts w:cstheme="minorHAnsi"/>
          <w:szCs w:val="24"/>
          <w:lang w:val="en-GB"/>
        </w:rPr>
        <w:t xml:space="preserve"> 2014b. Eesti keele nähtavusest maailmas [On the visibility of the Estonian language in the world]. </w:t>
      </w:r>
      <w:r w:rsidR="00B738EB" w:rsidRPr="00FB4EFA">
        <w:rPr>
          <w:rFonts w:cstheme="minorHAnsi"/>
          <w:szCs w:val="24"/>
          <w:lang w:val="en-GB"/>
        </w:rPr>
        <w:t>In</w:t>
      </w:r>
      <w:r w:rsidRPr="00FB4EFA">
        <w:rPr>
          <w:rFonts w:cstheme="minorHAnsi"/>
          <w:szCs w:val="24"/>
          <w:lang w:val="en-GB"/>
        </w:rPr>
        <w:t xml:space="preserve"> Tiit Hennoste (ed.)</w:t>
      </w:r>
      <w:r w:rsidR="00B738EB" w:rsidRPr="00FB4EFA">
        <w:rPr>
          <w:rFonts w:cstheme="minorHAnsi"/>
          <w:szCs w:val="24"/>
          <w:lang w:val="en-GB"/>
        </w:rPr>
        <w:t>,</w:t>
      </w:r>
      <w:r w:rsidRPr="00FB4EFA">
        <w:rPr>
          <w:rFonts w:cstheme="minorHAnsi"/>
          <w:szCs w:val="24"/>
          <w:lang w:val="en-GB"/>
        </w:rPr>
        <w:t xml:space="preserve"> </w:t>
      </w:r>
      <w:r w:rsidRPr="00FB4EFA">
        <w:rPr>
          <w:rFonts w:cstheme="minorHAnsi"/>
          <w:i/>
          <w:szCs w:val="24"/>
          <w:lang w:val="en-GB"/>
        </w:rPr>
        <w:t>Rahvusvahelised rahvusteadused</w:t>
      </w:r>
      <w:r w:rsidR="00B738EB" w:rsidRPr="00FB4EFA">
        <w:rPr>
          <w:rFonts w:cstheme="minorHAnsi"/>
          <w:szCs w:val="24"/>
          <w:lang w:val="en-GB"/>
        </w:rPr>
        <w:t>, 131–146</w:t>
      </w:r>
      <w:r w:rsidRPr="00FB4EFA">
        <w:rPr>
          <w:rFonts w:cstheme="minorHAnsi"/>
          <w:szCs w:val="24"/>
          <w:lang w:val="en-GB"/>
        </w:rPr>
        <w:t>. Tartu: Tartu Ülikooli Kirjastus.</w:t>
      </w:r>
    </w:p>
    <w:p w14:paraId="261ECC99" w14:textId="4635A3B4" w:rsidR="005913BE" w:rsidRPr="00FB4EFA" w:rsidRDefault="005913BE" w:rsidP="0033568E">
      <w:pPr>
        <w:keepLines/>
        <w:suppressAutoHyphens/>
        <w:spacing w:line="240" w:lineRule="auto"/>
        <w:ind w:left="425" w:hanging="425"/>
        <w:rPr>
          <w:rFonts w:cstheme="minorHAnsi"/>
          <w:szCs w:val="24"/>
          <w:lang w:val="en-GB"/>
        </w:rPr>
      </w:pPr>
      <w:r w:rsidRPr="00FB4EFA">
        <w:rPr>
          <w:rFonts w:cstheme="minorHAnsi"/>
          <w:szCs w:val="24"/>
          <w:lang w:val="en-GB"/>
        </w:rPr>
        <w:t>Klaas-Lang</w:t>
      </w:r>
      <w:r w:rsidR="003144CD" w:rsidRPr="00FB4EFA">
        <w:rPr>
          <w:rFonts w:cstheme="minorHAnsi"/>
          <w:szCs w:val="24"/>
          <w:lang w:val="en-GB"/>
        </w:rPr>
        <w:t>,</w:t>
      </w:r>
      <w:r w:rsidRPr="00FB4EFA">
        <w:rPr>
          <w:rFonts w:cstheme="minorHAnsi"/>
          <w:szCs w:val="24"/>
          <w:lang w:val="en-GB"/>
        </w:rPr>
        <w:t xml:space="preserve"> Birute &amp; Helle Metslang</w:t>
      </w:r>
      <w:r w:rsidR="00B738EB" w:rsidRPr="00FB4EFA">
        <w:rPr>
          <w:rFonts w:cstheme="minorHAnsi"/>
          <w:szCs w:val="24"/>
          <w:lang w:val="en-GB"/>
        </w:rPr>
        <w:t>.</w:t>
      </w:r>
      <w:r w:rsidRPr="00FB4EFA">
        <w:rPr>
          <w:rFonts w:cstheme="minorHAnsi"/>
          <w:szCs w:val="24"/>
          <w:lang w:val="en-GB"/>
        </w:rPr>
        <w:t xml:space="preserve"> 2015. Language policy and sustainability of Estonian in higher education. Gerhard Stickel, Cecilia Robustelli</w:t>
      </w:r>
      <w:r w:rsidR="00B738EB" w:rsidRPr="00FB4EFA">
        <w:rPr>
          <w:rFonts w:cstheme="minorHAnsi"/>
          <w:szCs w:val="24"/>
          <w:lang w:val="en-GB"/>
        </w:rPr>
        <w:t xml:space="preserve"> </w:t>
      </w:r>
      <w:r w:rsidRPr="00FB4EFA">
        <w:rPr>
          <w:rFonts w:cstheme="minorHAnsi"/>
          <w:szCs w:val="24"/>
          <w:lang w:val="en-GB"/>
        </w:rPr>
        <w:t>(eds.)</w:t>
      </w:r>
      <w:r w:rsidR="00B738EB" w:rsidRPr="00FB4EFA">
        <w:rPr>
          <w:rFonts w:cstheme="minorHAnsi"/>
          <w:szCs w:val="24"/>
          <w:lang w:val="en-GB"/>
        </w:rPr>
        <w:t>,</w:t>
      </w:r>
      <w:r w:rsidRPr="00FB4EFA">
        <w:rPr>
          <w:rFonts w:cstheme="minorHAnsi"/>
          <w:szCs w:val="24"/>
          <w:lang w:val="en-GB"/>
        </w:rPr>
        <w:t xml:space="preserve"> </w:t>
      </w:r>
      <w:r w:rsidRPr="00FB4EFA">
        <w:rPr>
          <w:rFonts w:cstheme="minorHAnsi"/>
          <w:i/>
          <w:szCs w:val="24"/>
          <w:lang w:val="en-GB"/>
        </w:rPr>
        <w:t>Language</w:t>
      </w:r>
      <w:r w:rsidR="00B738EB" w:rsidRPr="00FB4EFA">
        <w:rPr>
          <w:rFonts w:cstheme="minorHAnsi"/>
          <w:i/>
          <w:szCs w:val="24"/>
          <w:lang w:val="en-GB"/>
        </w:rPr>
        <w:t xml:space="preserve"> </w:t>
      </w:r>
      <w:r w:rsidRPr="00FB4EFA">
        <w:rPr>
          <w:rFonts w:cstheme="minorHAnsi"/>
          <w:i/>
          <w:szCs w:val="24"/>
          <w:lang w:val="en-GB"/>
        </w:rPr>
        <w:t>Use</w:t>
      </w:r>
      <w:r w:rsidR="00B738EB" w:rsidRPr="00FB4EFA">
        <w:rPr>
          <w:rFonts w:cstheme="minorHAnsi"/>
          <w:i/>
          <w:szCs w:val="24"/>
          <w:lang w:val="en-GB"/>
        </w:rPr>
        <w:t xml:space="preserve"> </w:t>
      </w:r>
      <w:r w:rsidRPr="00FB4EFA">
        <w:rPr>
          <w:rFonts w:cstheme="minorHAnsi"/>
          <w:i/>
          <w:szCs w:val="24"/>
          <w:lang w:val="en-GB"/>
        </w:rPr>
        <w:t>in</w:t>
      </w:r>
      <w:r w:rsidR="00B738EB" w:rsidRPr="00FB4EFA">
        <w:rPr>
          <w:rFonts w:cstheme="minorHAnsi"/>
          <w:i/>
          <w:szCs w:val="24"/>
          <w:lang w:val="en-GB"/>
        </w:rPr>
        <w:t xml:space="preserve"> </w:t>
      </w:r>
      <w:r w:rsidRPr="00FB4EFA">
        <w:rPr>
          <w:rFonts w:cstheme="minorHAnsi"/>
          <w:i/>
          <w:szCs w:val="24"/>
          <w:lang w:val="en-GB"/>
        </w:rPr>
        <w:t>University</w:t>
      </w:r>
      <w:r w:rsidR="00B738EB" w:rsidRPr="00FB4EFA">
        <w:rPr>
          <w:rFonts w:cstheme="minorHAnsi"/>
          <w:i/>
          <w:szCs w:val="24"/>
          <w:lang w:val="en-GB"/>
        </w:rPr>
        <w:t xml:space="preserve"> </w:t>
      </w:r>
      <w:r w:rsidRPr="00FB4EFA">
        <w:rPr>
          <w:rFonts w:cstheme="minorHAnsi"/>
          <w:i/>
          <w:szCs w:val="24"/>
          <w:lang w:val="en-GB"/>
        </w:rPr>
        <w:t>Teaching and Research: Contributions to the Annual Conference 2014 of EFNIL in Florence</w:t>
      </w:r>
      <w:r w:rsidR="00B738EB" w:rsidRPr="00FB4EFA">
        <w:rPr>
          <w:rFonts w:cstheme="minorHAnsi"/>
          <w:szCs w:val="24"/>
          <w:lang w:val="en-GB"/>
        </w:rPr>
        <w:t>, 161–177</w:t>
      </w:r>
      <w:r w:rsidRPr="00FB4EFA">
        <w:rPr>
          <w:rFonts w:cstheme="minorHAnsi"/>
          <w:szCs w:val="24"/>
          <w:lang w:val="en-GB"/>
        </w:rPr>
        <w:t xml:space="preserve">. Duisburger Arbeiten zur Sprach- und Kulturwissenschaft 109. </w:t>
      </w:r>
      <w:r w:rsidR="00BC5B64" w:rsidRPr="00FB4EFA">
        <w:rPr>
          <w:rFonts w:cstheme="minorHAnsi"/>
          <w:szCs w:val="24"/>
          <w:lang w:val="en-GB"/>
        </w:rPr>
        <w:t xml:space="preserve">Frankfurt am Main: </w:t>
      </w:r>
      <w:r w:rsidRPr="00FB4EFA">
        <w:rPr>
          <w:rFonts w:cstheme="minorHAnsi"/>
          <w:szCs w:val="24"/>
          <w:lang w:val="en-GB"/>
        </w:rPr>
        <w:t>Peter Lang.</w:t>
      </w:r>
    </w:p>
    <w:p w14:paraId="069BD6C3" w14:textId="5F3EA818" w:rsidR="005913BE" w:rsidRPr="00FB4EFA" w:rsidRDefault="005913BE" w:rsidP="0033568E">
      <w:pPr>
        <w:keepLines/>
        <w:suppressAutoHyphens/>
        <w:spacing w:line="240" w:lineRule="auto"/>
        <w:ind w:left="425" w:hanging="425"/>
        <w:rPr>
          <w:rFonts w:cstheme="minorHAnsi"/>
          <w:szCs w:val="24"/>
          <w:lang w:val="en-GB"/>
        </w:rPr>
      </w:pPr>
      <w:r w:rsidRPr="00FB4EFA">
        <w:rPr>
          <w:rFonts w:cstheme="minorHAnsi"/>
          <w:szCs w:val="24"/>
          <w:lang w:val="en-GB"/>
        </w:rPr>
        <w:lastRenderedPageBreak/>
        <w:t>Klaas-Lang, Birute</w:t>
      </w:r>
      <w:r w:rsidR="00B738EB" w:rsidRPr="00FB4EFA">
        <w:rPr>
          <w:rFonts w:cstheme="minorHAnsi"/>
          <w:szCs w:val="24"/>
          <w:lang w:val="en-GB"/>
        </w:rPr>
        <w:t>.</w:t>
      </w:r>
      <w:r w:rsidRPr="00FB4EFA">
        <w:rPr>
          <w:rFonts w:cstheme="minorHAnsi"/>
          <w:szCs w:val="24"/>
          <w:lang w:val="en-GB"/>
        </w:rPr>
        <w:t xml:space="preserve"> 2016. State policies and institutional language choice: The vitality of Estonian, Latvian and Lithuanian in higher education. </w:t>
      </w:r>
      <w:r w:rsidR="0074483F" w:rsidRPr="00FB4EFA">
        <w:rPr>
          <w:rFonts w:cstheme="minorHAnsi"/>
          <w:szCs w:val="24"/>
          <w:lang w:val="en-GB"/>
        </w:rPr>
        <w:t xml:space="preserve">In </w:t>
      </w:r>
      <w:r w:rsidRPr="00FB4EFA">
        <w:rPr>
          <w:rFonts w:cstheme="minorHAnsi"/>
          <w:szCs w:val="24"/>
          <w:lang w:val="en-GB"/>
        </w:rPr>
        <w:t>Ji</w:t>
      </w:r>
      <w:r w:rsidRPr="00FB4EFA">
        <w:rPr>
          <w:rFonts w:cs="Cambria"/>
          <w:szCs w:val="24"/>
          <w:lang w:val="en-GB"/>
        </w:rPr>
        <w:t>ř</w:t>
      </w:r>
      <w:r w:rsidRPr="00FB4EFA">
        <w:rPr>
          <w:rFonts w:cs="Baskerville Old Face"/>
          <w:szCs w:val="24"/>
          <w:lang w:val="en-GB"/>
        </w:rPr>
        <w:t>í</w:t>
      </w:r>
      <w:r w:rsidRPr="00FB4EFA">
        <w:rPr>
          <w:rFonts w:cstheme="minorHAnsi"/>
          <w:szCs w:val="24"/>
          <w:lang w:val="en-GB"/>
        </w:rPr>
        <w:t xml:space="preserve"> Nekvapil, Tamah Sherman, Petr Kaderka (eds.)</w:t>
      </w:r>
      <w:r w:rsidR="0074483F" w:rsidRPr="00FB4EFA">
        <w:rPr>
          <w:rFonts w:cstheme="minorHAnsi"/>
          <w:szCs w:val="24"/>
          <w:lang w:val="en-GB"/>
        </w:rPr>
        <w:t>,</w:t>
      </w:r>
      <w:r w:rsidRPr="00FB4EFA">
        <w:rPr>
          <w:rFonts w:cstheme="minorHAnsi"/>
          <w:szCs w:val="24"/>
          <w:lang w:val="en-GB"/>
        </w:rPr>
        <w:t xml:space="preserve"> </w:t>
      </w:r>
      <w:r w:rsidRPr="00FB4EFA">
        <w:rPr>
          <w:rFonts w:cstheme="minorHAnsi"/>
          <w:i/>
          <w:szCs w:val="24"/>
          <w:lang w:val="en-GB"/>
        </w:rPr>
        <w:t>Sociolinguistic Transition in Former Soviet and Eastern Bloc Countries: Recent Developments Two Decades after the Regime Change</w:t>
      </w:r>
      <w:r w:rsidR="0074483F" w:rsidRPr="00FB4EFA">
        <w:rPr>
          <w:rFonts w:cstheme="minorHAnsi"/>
          <w:szCs w:val="24"/>
          <w:lang w:val="en-GB"/>
        </w:rPr>
        <w:t>, 235–262</w:t>
      </w:r>
      <w:r w:rsidRPr="00FB4EFA">
        <w:rPr>
          <w:rFonts w:cstheme="minorHAnsi"/>
          <w:szCs w:val="24"/>
          <w:lang w:val="en-GB"/>
        </w:rPr>
        <w:t xml:space="preserve">. </w:t>
      </w:r>
      <w:r w:rsidR="0074483F" w:rsidRPr="00FB4EFA">
        <w:rPr>
          <w:rFonts w:cstheme="minorHAnsi"/>
          <w:szCs w:val="24"/>
          <w:lang w:val="en-GB"/>
        </w:rPr>
        <w:t>Prague Papers on Language, Society and Interaction / Prager Arbeiten zur Sprache, Gesellschaft und Interaktion 4</w:t>
      </w:r>
      <w:r w:rsidR="003144CD" w:rsidRPr="00FB4EFA">
        <w:rPr>
          <w:rFonts w:cstheme="minorHAnsi"/>
          <w:szCs w:val="24"/>
          <w:lang w:val="en-GB"/>
        </w:rPr>
        <w:t>.</w:t>
      </w:r>
      <w:r w:rsidRPr="00FB4EFA">
        <w:rPr>
          <w:rFonts w:cstheme="minorHAnsi"/>
          <w:szCs w:val="24"/>
          <w:lang w:val="en-GB"/>
        </w:rPr>
        <w:t xml:space="preserve"> </w:t>
      </w:r>
      <w:r w:rsidR="00BC5B64" w:rsidRPr="00FB4EFA">
        <w:rPr>
          <w:rFonts w:cstheme="minorHAnsi"/>
          <w:szCs w:val="24"/>
          <w:lang w:val="en-GB"/>
        </w:rPr>
        <w:t xml:space="preserve">Frankfurt am Main: </w:t>
      </w:r>
      <w:r w:rsidRPr="00FB4EFA">
        <w:rPr>
          <w:rFonts w:cstheme="minorHAnsi"/>
          <w:szCs w:val="24"/>
          <w:lang w:val="en-GB"/>
        </w:rPr>
        <w:t>Peter Lang.</w:t>
      </w:r>
    </w:p>
    <w:p w14:paraId="238AADC4" w14:textId="30569EB2"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 xml:space="preserve">Klaas-Lang, Birute &amp; </w:t>
      </w:r>
      <w:r w:rsidR="00B738EB" w:rsidRPr="00FB4EFA">
        <w:rPr>
          <w:rFonts w:cstheme="minorHAnsi"/>
          <w:szCs w:val="24"/>
          <w:lang w:val="en-GB"/>
        </w:rPr>
        <w:t xml:space="preserve">Helle </w:t>
      </w:r>
      <w:r w:rsidRPr="00FB4EFA">
        <w:rPr>
          <w:rFonts w:cstheme="minorHAnsi"/>
          <w:szCs w:val="24"/>
          <w:lang w:val="en-GB"/>
        </w:rPr>
        <w:t>Metslang</w:t>
      </w:r>
      <w:r w:rsidR="00B738EB" w:rsidRPr="00FB4EFA">
        <w:rPr>
          <w:rFonts w:cstheme="minorHAnsi"/>
          <w:szCs w:val="24"/>
          <w:lang w:val="en-GB"/>
        </w:rPr>
        <w:t xml:space="preserve">. </w:t>
      </w:r>
      <w:r w:rsidRPr="00FB4EFA">
        <w:rPr>
          <w:rFonts w:cstheme="minorHAnsi"/>
          <w:szCs w:val="24"/>
          <w:lang w:val="en-GB"/>
        </w:rPr>
        <w:t xml:space="preserve">2018. Eesti keele kestlikkus kõrghariduses [On the sustainability of the Estonian language in higher education]. </w:t>
      </w:r>
      <w:r w:rsidRPr="00FB4EFA">
        <w:rPr>
          <w:rFonts w:cstheme="minorHAnsi"/>
          <w:i/>
          <w:szCs w:val="24"/>
          <w:lang w:val="en-GB"/>
        </w:rPr>
        <w:t>Akadeemia</w:t>
      </w:r>
      <w:r w:rsidRPr="00FB4EFA">
        <w:rPr>
          <w:rFonts w:cstheme="minorHAnsi"/>
          <w:szCs w:val="24"/>
          <w:lang w:val="en-GB"/>
        </w:rPr>
        <w:t xml:space="preserve"> 4</w:t>
      </w:r>
      <w:r w:rsidR="00B738EB" w:rsidRPr="00FB4EFA">
        <w:rPr>
          <w:rFonts w:cstheme="minorHAnsi"/>
          <w:szCs w:val="24"/>
          <w:lang w:val="en-GB"/>
        </w:rPr>
        <w:t>.</w:t>
      </w:r>
      <w:r w:rsidRPr="00FB4EFA">
        <w:rPr>
          <w:rFonts w:cstheme="minorHAnsi"/>
          <w:szCs w:val="24"/>
          <w:lang w:val="en-GB"/>
        </w:rPr>
        <w:t xml:space="preserve"> 667</w:t>
      </w:r>
      <w:r w:rsidR="00B738EB" w:rsidRPr="00FB4EFA">
        <w:rPr>
          <w:rFonts w:cs="Times New Roman"/>
          <w:szCs w:val="24"/>
          <w:lang w:val="en-GB"/>
        </w:rPr>
        <w:t>–</w:t>
      </w:r>
      <w:r w:rsidRPr="00FB4EFA">
        <w:rPr>
          <w:rFonts w:cstheme="minorHAnsi"/>
          <w:szCs w:val="24"/>
          <w:lang w:val="en-GB"/>
        </w:rPr>
        <w:t xml:space="preserve">690. </w:t>
      </w:r>
      <w:hyperlink r:id="rId330" w:history="1">
        <w:r w:rsidRPr="00FB4EFA">
          <w:rPr>
            <w:rStyle w:val="AuthorsChar"/>
            <w:rFonts w:ascii="Cambria" w:hAnsi="Cambria" w:cstheme="minorHAnsi"/>
            <w:i w:val="0"/>
            <w:iCs/>
            <w:color w:val="auto"/>
            <w:u w:val="single"/>
          </w:rPr>
          <w:t>dea.digar.ee/cgi-bin/dea?a=d&amp;d=AKakadeemia201804</w:t>
        </w:r>
      </w:hyperlink>
      <w:r w:rsidR="0073644F" w:rsidRPr="00FB4EFA">
        <w:rPr>
          <w:rStyle w:val="AuthorsChar"/>
          <w:rFonts w:ascii="Cambria" w:hAnsi="Cambria" w:cstheme="minorHAnsi"/>
          <w:i w:val="0"/>
          <w:iCs/>
          <w:color w:val="auto"/>
        </w:rPr>
        <w:t>.</w:t>
      </w:r>
    </w:p>
    <w:p w14:paraId="1A38F127" w14:textId="318CE49E" w:rsidR="005913BE" w:rsidRPr="00FB4EFA" w:rsidRDefault="005913BE" w:rsidP="0033568E">
      <w:pPr>
        <w:keepLines/>
        <w:suppressAutoHyphens/>
        <w:spacing w:line="240" w:lineRule="auto"/>
        <w:ind w:left="425" w:hanging="425"/>
        <w:rPr>
          <w:rFonts w:cstheme="minorHAnsi"/>
          <w:szCs w:val="24"/>
          <w:lang w:val="en-GB"/>
        </w:rPr>
      </w:pPr>
      <w:r w:rsidRPr="00FB4EFA">
        <w:rPr>
          <w:rFonts w:cstheme="minorHAnsi"/>
          <w:szCs w:val="24"/>
          <w:lang w:val="en-GB"/>
        </w:rPr>
        <w:t xml:space="preserve">Klaas-Lang Birute &amp; </w:t>
      </w:r>
      <w:r w:rsidR="00B738EB" w:rsidRPr="00FB4EFA">
        <w:rPr>
          <w:rFonts w:cstheme="minorHAnsi"/>
          <w:szCs w:val="24"/>
          <w:lang w:val="en-GB"/>
        </w:rPr>
        <w:t xml:space="preserve">Helle </w:t>
      </w:r>
      <w:r w:rsidRPr="00FB4EFA">
        <w:rPr>
          <w:rFonts w:cstheme="minorHAnsi"/>
          <w:szCs w:val="24"/>
          <w:lang w:val="en-GB"/>
        </w:rPr>
        <w:t>Metslang</w:t>
      </w:r>
      <w:r w:rsidR="00B738EB" w:rsidRPr="00FB4EFA">
        <w:rPr>
          <w:rFonts w:cstheme="minorHAnsi"/>
          <w:szCs w:val="24"/>
          <w:lang w:val="en-GB"/>
        </w:rPr>
        <w:t>.</w:t>
      </w:r>
      <w:r w:rsidRPr="00FB4EFA">
        <w:rPr>
          <w:rFonts w:cstheme="minorHAnsi"/>
          <w:szCs w:val="24"/>
          <w:lang w:val="en-GB"/>
        </w:rPr>
        <w:t xml:space="preserve"> 2020. Estonian in Higher Education – Challenges for a Medium-sized Language. In </w:t>
      </w:r>
      <w:r w:rsidR="00B738EB" w:rsidRPr="00FB4EFA">
        <w:rPr>
          <w:rFonts w:cstheme="minorHAnsi"/>
          <w:szCs w:val="24"/>
          <w:lang w:val="en-GB"/>
        </w:rPr>
        <w:t xml:space="preserve">Danny </w:t>
      </w:r>
      <w:r w:rsidRPr="00FB4EFA">
        <w:rPr>
          <w:rFonts w:cstheme="minorHAnsi"/>
          <w:szCs w:val="24"/>
          <w:lang w:val="en-GB"/>
        </w:rPr>
        <w:t xml:space="preserve">Pieters, </w:t>
      </w:r>
      <w:r w:rsidR="00B738EB" w:rsidRPr="00FB4EFA">
        <w:rPr>
          <w:rFonts w:cstheme="minorHAnsi"/>
          <w:szCs w:val="24"/>
          <w:lang w:val="en-GB"/>
        </w:rPr>
        <w:t xml:space="preserve">Thijs </w:t>
      </w:r>
      <w:r w:rsidRPr="00FB4EFA">
        <w:rPr>
          <w:rFonts w:cstheme="minorHAnsi"/>
          <w:szCs w:val="24"/>
          <w:lang w:val="en-GB"/>
        </w:rPr>
        <w:t>Keersmaekers (</w:t>
      </w:r>
      <w:r w:rsidR="00B738EB" w:rsidRPr="00FB4EFA">
        <w:rPr>
          <w:rFonts w:cstheme="minorHAnsi"/>
          <w:szCs w:val="24"/>
          <w:lang w:val="en-GB"/>
        </w:rPr>
        <w:t>e</w:t>
      </w:r>
      <w:r w:rsidRPr="00FB4EFA">
        <w:rPr>
          <w:rFonts w:cstheme="minorHAnsi"/>
          <w:szCs w:val="24"/>
          <w:lang w:val="en-GB"/>
        </w:rPr>
        <w:t>d.)</w:t>
      </w:r>
      <w:r w:rsidR="00B738EB" w:rsidRPr="00FB4EFA">
        <w:rPr>
          <w:rFonts w:cstheme="minorHAnsi"/>
          <w:szCs w:val="24"/>
          <w:lang w:val="en-GB"/>
        </w:rPr>
        <w:t>,</w:t>
      </w:r>
      <w:r w:rsidRPr="00FB4EFA">
        <w:rPr>
          <w:rFonts w:cstheme="minorHAnsi"/>
          <w:szCs w:val="24"/>
          <w:lang w:val="en-GB"/>
        </w:rPr>
        <w:t xml:space="preserve"> </w:t>
      </w:r>
      <w:r w:rsidRPr="00FB4EFA">
        <w:rPr>
          <w:rFonts w:cstheme="minorHAnsi"/>
          <w:i/>
          <w:szCs w:val="24"/>
          <w:lang w:val="en-GB"/>
        </w:rPr>
        <w:t>Internationalization of Universities and the National Language. Language Policy Interventions and Case Studies</w:t>
      </w:r>
      <w:r w:rsidRPr="00FB4EFA">
        <w:rPr>
          <w:rFonts w:cstheme="minorHAnsi"/>
          <w:szCs w:val="24"/>
          <w:lang w:val="en-GB"/>
        </w:rPr>
        <w:t>, 75</w:t>
      </w:r>
      <w:r w:rsidR="00B738EB" w:rsidRPr="00FB4EFA">
        <w:rPr>
          <w:rFonts w:cs="Times New Roman"/>
          <w:szCs w:val="24"/>
          <w:lang w:val="en-GB"/>
        </w:rPr>
        <w:t>–</w:t>
      </w:r>
      <w:r w:rsidRPr="00FB4EFA">
        <w:rPr>
          <w:rFonts w:cstheme="minorHAnsi"/>
          <w:szCs w:val="24"/>
          <w:lang w:val="en-GB"/>
        </w:rPr>
        <w:t xml:space="preserve">105. </w:t>
      </w:r>
      <w:r w:rsidR="00B738EB" w:rsidRPr="00FB4EFA">
        <w:rPr>
          <w:rFonts w:cstheme="minorHAnsi"/>
          <w:szCs w:val="24"/>
          <w:lang w:val="en-GB"/>
        </w:rPr>
        <w:t xml:space="preserve">Duisburger Arbeiten zur Sprach- und Kulturwissenschaft 126. </w:t>
      </w:r>
      <w:r w:rsidRPr="00FB4EFA">
        <w:rPr>
          <w:rFonts w:cstheme="minorHAnsi"/>
          <w:szCs w:val="24"/>
          <w:lang w:val="en-GB"/>
        </w:rPr>
        <w:t>Berlin: Peter Lang.</w:t>
      </w:r>
    </w:p>
    <w:p w14:paraId="15881A72" w14:textId="0E7A03B2"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Klaas-Lang, Birute</w:t>
      </w:r>
      <w:r w:rsidR="0074483F" w:rsidRPr="00FB4EFA">
        <w:rPr>
          <w:rFonts w:cstheme="minorHAnsi"/>
          <w:szCs w:val="24"/>
          <w:lang w:val="en-GB"/>
        </w:rPr>
        <w:t>.</w:t>
      </w:r>
      <w:r w:rsidRPr="00FB4EFA">
        <w:rPr>
          <w:rFonts w:cstheme="minorHAnsi"/>
          <w:szCs w:val="24"/>
          <w:lang w:val="en-GB"/>
        </w:rPr>
        <w:t xml:space="preserve"> 2021. Üks ülikool, mitu keelt [One university, several languages]. </w:t>
      </w:r>
      <w:r w:rsidRPr="00FB4EFA">
        <w:rPr>
          <w:rFonts w:cstheme="minorHAnsi"/>
          <w:i/>
          <w:szCs w:val="24"/>
          <w:lang w:val="en-GB"/>
        </w:rPr>
        <w:t>Akadeemia</w:t>
      </w:r>
      <w:r w:rsidRPr="00FB4EFA">
        <w:rPr>
          <w:rFonts w:cstheme="minorHAnsi"/>
          <w:szCs w:val="24"/>
          <w:lang w:val="en-GB"/>
        </w:rPr>
        <w:t xml:space="preserve"> 9</w:t>
      </w:r>
      <w:r w:rsidR="00B738EB" w:rsidRPr="00FB4EFA">
        <w:rPr>
          <w:rFonts w:cstheme="minorHAnsi"/>
          <w:szCs w:val="24"/>
          <w:lang w:val="en-GB"/>
        </w:rPr>
        <w:t>.</w:t>
      </w:r>
      <w:r w:rsidRPr="00FB4EFA">
        <w:rPr>
          <w:rFonts w:cstheme="minorHAnsi"/>
          <w:szCs w:val="24"/>
          <w:lang w:val="en-GB"/>
        </w:rPr>
        <w:t xml:space="preserve"> 1571</w:t>
      </w:r>
      <w:r w:rsidR="00B738EB" w:rsidRPr="00FB4EFA">
        <w:rPr>
          <w:rFonts w:cs="Times New Roman"/>
          <w:szCs w:val="24"/>
          <w:lang w:val="en-GB"/>
        </w:rPr>
        <w:t>–</w:t>
      </w:r>
      <w:r w:rsidRPr="00FB4EFA">
        <w:rPr>
          <w:rFonts w:cstheme="minorHAnsi"/>
          <w:szCs w:val="24"/>
          <w:lang w:val="en-GB"/>
        </w:rPr>
        <w:t>1598.</w:t>
      </w:r>
    </w:p>
    <w:p w14:paraId="216B4083" w14:textId="1C086511" w:rsidR="005913BE" w:rsidRPr="00FB4EFA" w:rsidRDefault="005913BE" w:rsidP="0033568E">
      <w:pPr>
        <w:suppressAutoHyphens/>
        <w:spacing w:line="240" w:lineRule="auto"/>
        <w:ind w:left="426" w:hanging="426"/>
        <w:rPr>
          <w:rStyle w:val="AuthorsChar"/>
          <w:rFonts w:ascii="Cambria" w:hAnsi="Cambria" w:cstheme="minorHAnsi"/>
          <w:color w:val="auto"/>
        </w:rPr>
      </w:pPr>
      <w:r w:rsidRPr="00FB4EFA">
        <w:rPr>
          <w:rFonts w:cstheme="minorHAnsi"/>
          <w:szCs w:val="24"/>
          <w:lang w:val="en-GB"/>
        </w:rPr>
        <w:t xml:space="preserve">Lukk, Maarika, Kadri Koreinik, Kristjan Kaldur, Virve-Anneli Vihman, Anneli Villenthal, Kats Kivistik, Martin Jaigma &amp; Anastasia Pertšjonok. Eesti keeleseisund [The state of the Estonian language] Tartu: Tartu ülikool ja Balti Uuringute Instituut. </w:t>
      </w:r>
      <w:hyperlink r:id="rId331" w:history="1">
        <w:r w:rsidRPr="00FB4EFA">
          <w:rPr>
            <w:rStyle w:val="AuthorsChar"/>
            <w:rFonts w:ascii="Cambria" w:hAnsi="Cambria" w:cstheme="minorHAnsi"/>
            <w:i w:val="0"/>
            <w:iCs/>
            <w:color w:val="auto"/>
            <w:u w:val="single"/>
          </w:rPr>
          <w:t>dspace.ut.ee/bitstream/handle/10062/56511/Aruanne_2017.pdf</w:t>
        </w:r>
      </w:hyperlink>
      <w:r w:rsidR="0073644F" w:rsidRPr="00FB4EFA">
        <w:rPr>
          <w:rStyle w:val="AuthorsChar"/>
          <w:rFonts w:ascii="Cambria" w:hAnsi="Cambria" w:cstheme="minorHAnsi"/>
          <w:i w:val="0"/>
          <w:iCs/>
          <w:color w:val="auto"/>
        </w:rPr>
        <w:t>.</w:t>
      </w:r>
    </w:p>
    <w:p w14:paraId="2A96A4CD" w14:textId="4368AD6A"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Niitemaa</w:t>
      </w:r>
      <w:r w:rsidR="000B42FB" w:rsidRPr="00FB4EFA">
        <w:rPr>
          <w:rFonts w:cstheme="minorHAnsi"/>
          <w:szCs w:val="24"/>
          <w:lang w:val="en-GB"/>
        </w:rPr>
        <w:t>,</w:t>
      </w:r>
      <w:r w:rsidRPr="00FB4EFA">
        <w:rPr>
          <w:rFonts w:cstheme="minorHAnsi"/>
          <w:szCs w:val="24"/>
          <w:lang w:val="en-GB"/>
        </w:rPr>
        <w:t xml:space="preserve"> Vilho &amp; Kalervo Hovi</w:t>
      </w:r>
      <w:r w:rsidR="0074483F" w:rsidRPr="00FB4EFA">
        <w:rPr>
          <w:rFonts w:cstheme="minorHAnsi"/>
          <w:szCs w:val="24"/>
          <w:lang w:val="en-GB"/>
        </w:rPr>
        <w:t>.</w:t>
      </w:r>
      <w:r w:rsidRPr="00FB4EFA">
        <w:rPr>
          <w:rFonts w:cstheme="minorHAnsi"/>
          <w:szCs w:val="24"/>
          <w:lang w:val="en-GB"/>
        </w:rPr>
        <w:t xml:space="preserve"> 1991. </w:t>
      </w:r>
      <w:r w:rsidRPr="00FB4EFA">
        <w:rPr>
          <w:rFonts w:cstheme="minorHAnsi"/>
          <w:i/>
          <w:szCs w:val="24"/>
          <w:lang w:val="en-GB"/>
        </w:rPr>
        <w:t>Baltian historia</w:t>
      </w:r>
      <w:r w:rsidRPr="00FB4EFA">
        <w:rPr>
          <w:rFonts w:cstheme="minorHAnsi"/>
          <w:szCs w:val="24"/>
          <w:lang w:val="en-GB"/>
        </w:rPr>
        <w:t>. Jyväskylä</w:t>
      </w:r>
      <w:r w:rsidR="00A47F9A" w:rsidRPr="00FB4EFA">
        <w:rPr>
          <w:rFonts w:cstheme="minorHAnsi"/>
          <w:szCs w:val="24"/>
          <w:lang w:val="en-GB"/>
        </w:rPr>
        <w:t>.</w:t>
      </w:r>
    </w:p>
    <w:p w14:paraId="703D23B0" w14:textId="470BFBFB"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Nissen, Camilla Falk Rønne</w:t>
      </w:r>
      <w:r w:rsidR="000B42FB" w:rsidRPr="00FB4EFA">
        <w:rPr>
          <w:rFonts w:cstheme="minorHAnsi"/>
          <w:szCs w:val="24"/>
          <w:lang w:val="en-GB"/>
        </w:rPr>
        <w:t>.</w:t>
      </w:r>
      <w:r w:rsidRPr="00FB4EFA">
        <w:rPr>
          <w:rFonts w:cstheme="minorHAnsi"/>
          <w:szCs w:val="24"/>
          <w:lang w:val="en-GB"/>
        </w:rPr>
        <w:t xml:space="preserve"> 2019. Blind spots of internationalization. PhD</w:t>
      </w:r>
      <w:r w:rsidR="000B42FB" w:rsidRPr="00FB4EFA">
        <w:rPr>
          <w:rFonts w:cstheme="minorHAnsi"/>
          <w:szCs w:val="24"/>
          <w:lang w:val="en-GB"/>
        </w:rPr>
        <w:t xml:space="preserve"> thesis</w:t>
      </w:r>
      <w:r w:rsidRPr="00FB4EFA">
        <w:rPr>
          <w:rFonts w:cstheme="minorHAnsi"/>
          <w:szCs w:val="24"/>
          <w:lang w:val="en-GB"/>
        </w:rPr>
        <w:t xml:space="preserve">, Copenhagen. </w:t>
      </w:r>
      <w:hyperlink r:id="rId332" w:history="1">
        <w:r w:rsidRPr="00FB4EFA">
          <w:rPr>
            <w:rStyle w:val="AuthorsChar"/>
            <w:rFonts w:ascii="Cambria" w:hAnsi="Cambria" w:cstheme="minorHAnsi"/>
            <w:i w:val="0"/>
            <w:iCs/>
            <w:color w:val="auto"/>
            <w:u w:val="single"/>
          </w:rPr>
          <w:t>cip.ku.dk/english/development-and-research/research/previous_research/blind-spots-of-internationalization/</w:t>
        </w:r>
      </w:hyperlink>
      <w:r w:rsidR="00E50012" w:rsidRPr="00FB4EFA">
        <w:rPr>
          <w:rFonts w:cstheme="minorHAnsi"/>
          <w:szCs w:val="24"/>
          <w:lang w:val="en-GB"/>
        </w:rPr>
        <w:t>.</w:t>
      </w:r>
    </w:p>
    <w:p w14:paraId="748F0142" w14:textId="6095DC69"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Nordic Countries 2018</w:t>
      </w:r>
      <w:r w:rsidR="000B42FB" w:rsidRPr="00FB4EFA">
        <w:rPr>
          <w:rFonts w:cstheme="minorHAnsi"/>
          <w:szCs w:val="24"/>
          <w:lang w:val="en-GB"/>
        </w:rPr>
        <w:t xml:space="preserve"> </w:t>
      </w:r>
      <w:r w:rsidRPr="00FB4EFA">
        <w:rPr>
          <w:rFonts w:cstheme="minorHAnsi"/>
          <w:szCs w:val="24"/>
          <w:lang w:val="en-GB"/>
        </w:rPr>
        <w:t>= More parallel, please!</w:t>
      </w:r>
      <w:r w:rsidR="00E50012" w:rsidRPr="00FB4EFA">
        <w:rPr>
          <w:rFonts w:cstheme="minorHAnsi"/>
          <w:szCs w:val="24"/>
          <w:lang w:val="en-GB"/>
        </w:rPr>
        <w:t xml:space="preserve"> </w:t>
      </w:r>
      <w:hyperlink r:id="rId333" w:history="1">
        <w:r w:rsidRPr="00FB4EFA">
          <w:rPr>
            <w:rStyle w:val="AuthorsChar"/>
            <w:rFonts w:ascii="Cambria" w:hAnsi="Cambria" w:cstheme="minorHAnsi"/>
            <w:i w:val="0"/>
            <w:iCs/>
            <w:color w:val="auto"/>
            <w:u w:val="single"/>
          </w:rPr>
          <w:t>norden.diva-portal.org/smash/get/diva2:1203291/FULLTEXT01.pdf</w:t>
        </w:r>
      </w:hyperlink>
      <w:r w:rsidR="00E50012" w:rsidRPr="00FB4EFA">
        <w:rPr>
          <w:rFonts w:cstheme="minorHAnsi"/>
          <w:szCs w:val="24"/>
          <w:lang w:val="en-GB"/>
        </w:rPr>
        <w:t>.</w:t>
      </w:r>
    </w:p>
    <w:p w14:paraId="2D303797" w14:textId="03AAC7CE"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Pajusalu, Karl</w:t>
      </w:r>
      <w:r w:rsidR="000B42FB" w:rsidRPr="00FB4EFA">
        <w:rPr>
          <w:rFonts w:cstheme="minorHAnsi"/>
          <w:szCs w:val="24"/>
          <w:lang w:val="en-GB"/>
        </w:rPr>
        <w:t>.</w:t>
      </w:r>
      <w:r w:rsidRPr="00FB4EFA">
        <w:rPr>
          <w:rFonts w:cstheme="minorHAnsi"/>
          <w:szCs w:val="24"/>
          <w:lang w:val="en-GB"/>
        </w:rPr>
        <w:t xml:space="preserve"> 2019. </w:t>
      </w:r>
      <w:r w:rsidRPr="00FB4EFA">
        <w:rPr>
          <w:rFonts w:cstheme="minorHAnsi"/>
          <w:i/>
          <w:szCs w:val="24"/>
          <w:lang w:val="en-GB"/>
        </w:rPr>
        <w:t xml:space="preserve">Eesti keele 100 aastat </w:t>
      </w:r>
      <w:r w:rsidRPr="00FB4EFA">
        <w:rPr>
          <w:rFonts w:cstheme="minorHAnsi"/>
          <w:szCs w:val="24"/>
          <w:lang w:val="en-GB"/>
        </w:rPr>
        <w:t xml:space="preserve">[One hundred years of Estonian language]. </w:t>
      </w:r>
      <w:r w:rsidR="00AF20CE" w:rsidRPr="00FB4EFA">
        <w:rPr>
          <w:rFonts w:cstheme="minorHAnsi"/>
          <w:szCs w:val="24"/>
          <w:lang w:val="en-GB"/>
        </w:rPr>
        <w:t xml:space="preserve">Tallinn: </w:t>
      </w:r>
      <w:r w:rsidRPr="00FB4EFA">
        <w:rPr>
          <w:rFonts w:cstheme="minorHAnsi"/>
          <w:szCs w:val="24"/>
          <w:lang w:val="en-GB"/>
        </w:rPr>
        <w:t>Post Factum.</w:t>
      </w:r>
    </w:p>
    <w:p w14:paraId="2DD16403" w14:textId="50A00885" w:rsidR="005913BE" w:rsidRPr="00FB4EFA" w:rsidRDefault="005913BE" w:rsidP="0033568E">
      <w:pPr>
        <w:keepLines/>
        <w:suppressAutoHyphens/>
        <w:spacing w:line="240" w:lineRule="auto"/>
        <w:ind w:left="425" w:hanging="425"/>
        <w:rPr>
          <w:rFonts w:cstheme="minorHAnsi"/>
          <w:szCs w:val="24"/>
          <w:lang w:val="en-GB"/>
        </w:rPr>
      </w:pPr>
      <w:r w:rsidRPr="00FB4EFA">
        <w:rPr>
          <w:rFonts w:cstheme="minorHAnsi"/>
          <w:szCs w:val="24"/>
          <w:lang w:val="en-GB"/>
        </w:rPr>
        <w:t>Praakli, Kristiina &amp; Birute Klaas-Lang</w:t>
      </w:r>
      <w:r w:rsidR="00AF20CE" w:rsidRPr="00FB4EFA">
        <w:rPr>
          <w:rFonts w:cstheme="minorHAnsi"/>
          <w:szCs w:val="24"/>
          <w:lang w:val="en-GB"/>
        </w:rPr>
        <w:t>.</w:t>
      </w:r>
      <w:r w:rsidRPr="00FB4EFA">
        <w:rPr>
          <w:rFonts w:cstheme="minorHAnsi"/>
          <w:szCs w:val="24"/>
          <w:lang w:val="en-GB"/>
        </w:rPr>
        <w:t xml:space="preserve"> 2020. Täiskasvanud uussisserändajate eesti keele õpitee mudel REDEL [Model of the Estonian language learning path for adult new immigrants REDEL]. RITA-Ränne projekt. </w:t>
      </w:r>
      <w:hyperlink r:id="rId334" w:history="1">
        <w:r w:rsidRPr="00FB4EFA">
          <w:rPr>
            <w:rStyle w:val="AuthorsChar"/>
            <w:rFonts w:ascii="Cambria" w:hAnsi="Cambria" w:cstheme="minorHAnsi"/>
            <w:i w:val="0"/>
            <w:iCs/>
            <w:color w:val="auto"/>
            <w:u w:val="single"/>
          </w:rPr>
          <w:t>sisu.ut.ee/sites/default/files/ranne/files/</w:t>
        </w:r>
        <w:r w:rsidR="00312ECF" w:rsidRPr="00FB4EFA">
          <w:rPr>
            <w:rStyle w:val="AuthorsChar"/>
            <w:rFonts w:ascii="Cambria" w:hAnsi="Cambria" w:cstheme="minorHAnsi"/>
            <w:i w:val="0"/>
            <w:iCs/>
            <w:color w:val="auto"/>
            <w:u w:val="single"/>
          </w:rPr>
          <w:br/>
        </w:r>
        <w:r w:rsidRPr="00FB4EFA">
          <w:rPr>
            <w:rStyle w:val="AuthorsChar"/>
            <w:rFonts w:ascii="Cambria" w:hAnsi="Cambria" w:cstheme="minorHAnsi"/>
            <w:i w:val="0"/>
            <w:iCs/>
            <w:color w:val="auto"/>
            <w:u w:val="single"/>
          </w:rPr>
          <w:t>taiskasvanud_uussisserandajate_eesti_keele_opitee_mudel_redel.pdf</w:t>
        </w:r>
      </w:hyperlink>
      <w:r w:rsidR="00E50012" w:rsidRPr="00FB4EFA">
        <w:rPr>
          <w:rStyle w:val="AuthorsChar"/>
          <w:rFonts w:ascii="Cambria" w:hAnsi="Cambria" w:cstheme="minorHAnsi"/>
          <w:i w:val="0"/>
          <w:iCs/>
          <w:color w:val="auto"/>
        </w:rPr>
        <w:t>.</w:t>
      </w:r>
    </w:p>
    <w:p w14:paraId="54F69DDB" w14:textId="518FABD7"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Rozenvalde, Kerttu</w:t>
      </w:r>
      <w:r w:rsidR="00AF20CE" w:rsidRPr="00FB4EFA">
        <w:rPr>
          <w:rFonts w:cstheme="minorHAnsi"/>
          <w:szCs w:val="24"/>
          <w:lang w:val="en-GB"/>
        </w:rPr>
        <w:t>.</w:t>
      </w:r>
      <w:r w:rsidRPr="00FB4EFA">
        <w:rPr>
          <w:rFonts w:cstheme="minorHAnsi"/>
          <w:szCs w:val="24"/>
          <w:lang w:val="en-GB"/>
        </w:rPr>
        <w:t xml:space="preserve"> 2018. </w:t>
      </w:r>
      <w:r w:rsidRPr="00FB4EFA">
        <w:rPr>
          <w:rFonts w:cstheme="minorHAnsi"/>
          <w:i/>
          <w:iCs/>
          <w:szCs w:val="24"/>
          <w:lang w:val="en-GB"/>
        </w:rPr>
        <w:t>Multilayered language policy in higher education in Estonia and Latvia. Case of national universities</w:t>
      </w:r>
      <w:r w:rsidRPr="00FB4EFA">
        <w:rPr>
          <w:rFonts w:cstheme="minorHAnsi"/>
          <w:szCs w:val="24"/>
          <w:lang w:val="en-GB"/>
        </w:rPr>
        <w:t xml:space="preserve">. </w:t>
      </w:r>
      <w:r w:rsidR="00C2108B" w:rsidRPr="00FB4EFA">
        <w:rPr>
          <w:rFonts w:cstheme="minorHAnsi"/>
          <w:szCs w:val="24"/>
          <w:lang w:val="en-GB"/>
        </w:rPr>
        <w:t>PhD thesis,</w:t>
      </w:r>
      <w:r w:rsidRPr="00FB4EFA">
        <w:rPr>
          <w:rFonts w:cstheme="minorHAnsi"/>
          <w:szCs w:val="24"/>
          <w:lang w:val="en-GB"/>
        </w:rPr>
        <w:t xml:space="preserve"> Riga.</w:t>
      </w:r>
    </w:p>
    <w:p w14:paraId="1412C170" w14:textId="2EECDAF0" w:rsidR="005913BE" w:rsidRPr="00FB4EFA" w:rsidRDefault="005913BE" w:rsidP="0033568E">
      <w:pPr>
        <w:keepLines/>
        <w:suppressAutoHyphens/>
        <w:spacing w:line="240" w:lineRule="auto"/>
        <w:ind w:left="425" w:hanging="425"/>
        <w:rPr>
          <w:rFonts w:cstheme="minorHAnsi"/>
          <w:szCs w:val="24"/>
          <w:lang w:val="en-GB"/>
        </w:rPr>
      </w:pPr>
      <w:r w:rsidRPr="00FB4EFA">
        <w:rPr>
          <w:rFonts w:cstheme="minorHAnsi"/>
          <w:szCs w:val="24"/>
          <w:lang w:val="en-GB"/>
        </w:rPr>
        <w:lastRenderedPageBreak/>
        <w:t>Soler Josep &amp; Virve-Anneli Vihman</w:t>
      </w:r>
      <w:r w:rsidR="00AF20CE" w:rsidRPr="00FB4EFA">
        <w:rPr>
          <w:rFonts w:cstheme="minorHAnsi"/>
          <w:szCs w:val="24"/>
          <w:lang w:val="en-GB"/>
        </w:rPr>
        <w:t>.</w:t>
      </w:r>
      <w:r w:rsidRPr="00FB4EFA">
        <w:rPr>
          <w:rFonts w:cstheme="minorHAnsi"/>
          <w:szCs w:val="24"/>
          <w:lang w:val="en-GB"/>
        </w:rPr>
        <w:t xml:space="preserve"> 2019. Language ideology and language planning in Estonian higher education: Nationalising and globalising discourses. </w:t>
      </w:r>
      <w:r w:rsidRPr="00FB4EFA">
        <w:rPr>
          <w:rFonts w:cstheme="minorHAnsi"/>
          <w:i/>
          <w:iCs/>
          <w:szCs w:val="24"/>
          <w:lang w:val="en-GB"/>
        </w:rPr>
        <w:t>Current Issues in Language Planning</w:t>
      </w:r>
      <w:r w:rsidRPr="00FB4EFA">
        <w:rPr>
          <w:rFonts w:cstheme="minorHAnsi"/>
          <w:szCs w:val="24"/>
          <w:lang w:val="en-GB"/>
        </w:rPr>
        <w:t xml:space="preserve"> 19</w:t>
      </w:r>
      <w:r w:rsidR="00875DD7" w:rsidRPr="00FB4EFA">
        <w:rPr>
          <w:lang w:val="en-GB"/>
        </w:rPr>
        <w:t> </w:t>
      </w:r>
      <w:r w:rsidRPr="00FB4EFA">
        <w:rPr>
          <w:rFonts w:cstheme="minorHAnsi"/>
          <w:szCs w:val="24"/>
          <w:lang w:val="en-GB"/>
        </w:rPr>
        <w:t>(1)</w:t>
      </w:r>
      <w:r w:rsidR="00AF20CE" w:rsidRPr="00FB4EFA">
        <w:rPr>
          <w:rFonts w:cstheme="minorHAnsi"/>
          <w:szCs w:val="24"/>
          <w:lang w:val="en-GB"/>
        </w:rPr>
        <w:t>.</w:t>
      </w:r>
      <w:r w:rsidRPr="00FB4EFA">
        <w:rPr>
          <w:rFonts w:cstheme="minorHAnsi"/>
          <w:szCs w:val="24"/>
          <w:lang w:val="en-GB"/>
        </w:rPr>
        <w:t xml:space="preserve"> 22</w:t>
      </w:r>
      <w:r w:rsidR="00B738EB" w:rsidRPr="00FB4EFA">
        <w:rPr>
          <w:rFonts w:cs="Times New Roman"/>
          <w:szCs w:val="24"/>
          <w:lang w:val="en-GB"/>
        </w:rPr>
        <w:t>–</w:t>
      </w:r>
      <w:r w:rsidRPr="00FB4EFA">
        <w:rPr>
          <w:rFonts w:cstheme="minorHAnsi"/>
          <w:szCs w:val="24"/>
          <w:lang w:val="en-GB"/>
        </w:rPr>
        <w:t>41</w:t>
      </w:r>
      <w:r w:rsidR="001E6714" w:rsidRPr="00FB4EFA">
        <w:rPr>
          <w:rFonts w:cstheme="minorHAnsi"/>
          <w:szCs w:val="24"/>
          <w:lang w:val="en-GB"/>
        </w:rPr>
        <w:t>.</w:t>
      </w:r>
    </w:p>
    <w:p w14:paraId="2E93A83A" w14:textId="7EB66C64"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 xml:space="preserve">Soler, Josep. 2019. </w:t>
      </w:r>
      <w:r w:rsidRPr="00FB4EFA">
        <w:rPr>
          <w:rFonts w:cstheme="minorHAnsi"/>
          <w:i/>
          <w:szCs w:val="24"/>
          <w:lang w:val="en-GB"/>
        </w:rPr>
        <w:t>Language policy and the internationalization of universities</w:t>
      </w:r>
      <w:r w:rsidRPr="00FB4EFA">
        <w:rPr>
          <w:rFonts w:cstheme="minorHAnsi"/>
          <w:szCs w:val="24"/>
          <w:lang w:val="en-GB"/>
        </w:rPr>
        <w:t xml:space="preserve">. </w:t>
      </w:r>
      <w:r w:rsidR="00C2108B" w:rsidRPr="00FB4EFA">
        <w:rPr>
          <w:rFonts w:cs="Charis SIL"/>
          <w:lang w:val="en-GB"/>
        </w:rPr>
        <w:t>Berlin / New York: Mouton de Gruyter</w:t>
      </w:r>
      <w:r w:rsidRPr="00FB4EFA">
        <w:rPr>
          <w:rFonts w:cstheme="minorHAnsi"/>
          <w:szCs w:val="24"/>
          <w:lang w:val="en-GB"/>
        </w:rPr>
        <w:t>.</w:t>
      </w:r>
    </w:p>
    <w:p w14:paraId="71A977EF" w14:textId="3ED8049A" w:rsidR="005913BE" w:rsidRPr="00FB4EFA" w:rsidRDefault="005913BE" w:rsidP="0033568E">
      <w:pPr>
        <w:suppressAutoHyphens/>
        <w:spacing w:line="240" w:lineRule="auto"/>
        <w:ind w:left="426" w:hanging="426"/>
        <w:rPr>
          <w:rFonts w:cstheme="minorHAnsi"/>
          <w:szCs w:val="24"/>
          <w:u w:val="single"/>
          <w:lang w:val="en-GB"/>
        </w:rPr>
      </w:pPr>
      <w:r w:rsidRPr="00FB4EFA">
        <w:rPr>
          <w:rFonts w:cstheme="minorHAnsi"/>
          <w:szCs w:val="24"/>
          <w:lang w:val="en-GB"/>
        </w:rPr>
        <w:t xml:space="preserve">UNESCO 2003 = Language vitality and endangerment. </w:t>
      </w:r>
      <w:hyperlink r:id="rId335" w:history="1">
        <w:r w:rsidRPr="00FB4EFA">
          <w:rPr>
            <w:rStyle w:val="AuthorsChar"/>
            <w:rFonts w:ascii="Cambria" w:hAnsi="Cambria" w:cstheme="minorHAnsi"/>
            <w:i w:val="0"/>
            <w:iCs/>
            <w:color w:val="auto"/>
            <w:u w:val="single"/>
          </w:rPr>
          <w:t>unesdoc.</w:t>
        </w:r>
        <w:r w:rsidR="00AF20CE" w:rsidRPr="00FB4EFA">
          <w:rPr>
            <w:rStyle w:val="AuthorsChar"/>
            <w:rFonts w:ascii="Cambria" w:hAnsi="Cambria" w:cstheme="minorHAnsi"/>
            <w:i w:val="0"/>
            <w:iCs/>
            <w:color w:val="auto"/>
            <w:u w:val="single"/>
          </w:rPr>
          <w:br/>
        </w:r>
        <w:r w:rsidRPr="00FB4EFA">
          <w:rPr>
            <w:rStyle w:val="AuthorsChar"/>
            <w:rFonts w:ascii="Cambria" w:hAnsi="Cambria" w:cstheme="minorHAnsi"/>
            <w:i w:val="0"/>
            <w:iCs/>
            <w:color w:val="auto"/>
            <w:u w:val="single"/>
          </w:rPr>
          <w:t>unesco.org/images/0018/001836/183699E.pdf</w:t>
        </w:r>
      </w:hyperlink>
      <w:r w:rsidR="00E50012" w:rsidRPr="00FB4EFA">
        <w:rPr>
          <w:rStyle w:val="AuthorsChar"/>
          <w:rFonts w:ascii="Cambria" w:hAnsi="Cambria" w:cstheme="minorHAnsi"/>
          <w:i w:val="0"/>
          <w:iCs/>
          <w:color w:val="auto"/>
        </w:rPr>
        <w:t>.</w:t>
      </w:r>
    </w:p>
    <w:p w14:paraId="0D6AF4E1" w14:textId="2E90CC0D"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Vertovec, Steven</w:t>
      </w:r>
      <w:r w:rsidR="00AF20CE" w:rsidRPr="00FB4EFA">
        <w:rPr>
          <w:rFonts w:cstheme="minorHAnsi"/>
          <w:szCs w:val="24"/>
          <w:lang w:val="en-GB"/>
        </w:rPr>
        <w:t>.</w:t>
      </w:r>
      <w:r w:rsidRPr="00FB4EFA">
        <w:rPr>
          <w:rFonts w:cstheme="minorHAnsi"/>
          <w:szCs w:val="24"/>
          <w:lang w:val="en-GB"/>
        </w:rPr>
        <w:t xml:space="preserve"> 2007. Super-diversity and its implications. </w:t>
      </w:r>
      <w:r w:rsidRPr="00FB4EFA">
        <w:rPr>
          <w:rFonts w:cstheme="minorHAnsi"/>
          <w:i/>
          <w:szCs w:val="24"/>
          <w:lang w:val="en-GB"/>
        </w:rPr>
        <w:t>Ethnic and Racial Studies</w:t>
      </w:r>
      <w:r w:rsidRPr="00FB4EFA">
        <w:rPr>
          <w:rFonts w:cstheme="minorHAnsi"/>
          <w:szCs w:val="24"/>
          <w:lang w:val="en-GB"/>
        </w:rPr>
        <w:t xml:space="preserve"> 30</w:t>
      </w:r>
      <w:r w:rsidR="00875DD7" w:rsidRPr="00FB4EFA">
        <w:rPr>
          <w:rFonts w:cstheme="minorHAnsi"/>
          <w:szCs w:val="24"/>
          <w:lang w:val="en-GB"/>
        </w:rPr>
        <w:t xml:space="preserve"> </w:t>
      </w:r>
      <w:r w:rsidR="00C2108B" w:rsidRPr="00FB4EFA">
        <w:rPr>
          <w:rFonts w:cstheme="minorHAnsi"/>
          <w:szCs w:val="24"/>
          <w:lang w:val="en-GB"/>
        </w:rPr>
        <w:t>(</w:t>
      </w:r>
      <w:r w:rsidRPr="00FB4EFA">
        <w:rPr>
          <w:rFonts w:cstheme="minorHAnsi"/>
          <w:szCs w:val="24"/>
          <w:lang w:val="en-GB"/>
        </w:rPr>
        <w:t>6</w:t>
      </w:r>
      <w:r w:rsidR="00C2108B" w:rsidRPr="00FB4EFA">
        <w:rPr>
          <w:rFonts w:cstheme="minorHAnsi"/>
          <w:szCs w:val="24"/>
          <w:lang w:val="en-GB"/>
        </w:rPr>
        <w:t>).</w:t>
      </w:r>
      <w:r w:rsidRPr="00FB4EFA">
        <w:rPr>
          <w:rFonts w:cstheme="minorHAnsi"/>
          <w:szCs w:val="24"/>
          <w:lang w:val="en-GB"/>
        </w:rPr>
        <w:t xml:space="preserve"> 1024–1054.</w:t>
      </w:r>
    </w:p>
    <w:p w14:paraId="5B410253" w14:textId="00B34C94"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Vertovec, Steven</w:t>
      </w:r>
      <w:r w:rsidR="00AF20CE" w:rsidRPr="00FB4EFA">
        <w:rPr>
          <w:rFonts w:cstheme="minorHAnsi"/>
          <w:szCs w:val="24"/>
          <w:lang w:val="en-GB"/>
        </w:rPr>
        <w:t>.</w:t>
      </w:r>
      <w:r w:rsidRPr="00FB4EFA">
        <w:rPr>
          <w:rFonts w:cstheme="minorHAnsi"/>
          <w:szCs w:val="24"/>
          <w:lang w:val="en-GB"/>
        </w:rPr>
        <w:t xml:space="preserve"> 2010. Towards post-multiculturalism? Changing communities, contexts and conditions of diversity. </w:t>
      </w:r>
      <w:r w:rsidRPr="00FB4EFA">
        <w:rPr>
          <w:rFonts w:cstheme="minorHAnsi"/>
          <w:i/>
          <w:szCs w:val="24"/>
          <w:lang w:val="en-GB"/>
        </w:rPr>
        <w:t>International Social Science Journal</w:t>
      </w:r>
      <w:r w:rsidR="00AF20CE" w:rsidRPr="00FB4EFA">
        <w:rPr>
          <w:rFonts w:cstheme="minorHAnsi"/>
          <w:szCs w:val="24"/>
          <w:lang w:val="en-GB"/>
        </w:rPr>
        <w:t xml:space="preserve"> </w:t>
      </w:r>
      <w:r w:rsidRPr="00FB4EFA">
        <w:rPr>
          <w:rFonts w:cstheme="minorHAnsi"/>
          <w:szCs w:val="24"/>
          <w:lang w:val="en-GB"/>
        </w:rPr>
        <w:t>61</w:t>
      </w:r>
      <w:r w:rsidR="00875DD7" w:rsidRPr="00FB4EFA">
        <w:rPr>
          <w:rFonts w:cstheme="minorHAnsi"/>
          <w:szCs w:val="24"/>
          <w:lang w:val="en-GB"/>
        </w:rPr>
        <w:t xml:space="preserve"> </w:t>
      </w:r>
      <w:r w:rsidR="00AF20CE" w:rsidRPr="00FB4EFA">
        <w:rPr>
          <w:rFonts w:cstheme="minorHAnsi"/>
          <w:szCs w:val="24"/>
          <w:lang w:val="en-GB"/>
        </w:rPr>
        <w:t>(</w:t>
      </w:r>
      <w:r w:rsidRPr="00FB4EFA">
        <w:rPr>
          <w:rFonts w:cstheme="minorHAnsi"/>
          <w:szCs w:val="24"/>
          <w:lang w:val="en-GB"/>
        </w:rPr>
        <w:t>199</w:t>
      </w:r>
      <w:r w:rsidR="00AF20CE" w:rsidRPr="00FB4EFA">
        <w:rPr>
          <w:rFonts w:cstheme="minorHAnsi"/>
          <w:szCs w:val="24"/>
          <w:lang w:val="en-GB"/>
        </w:rPr>
        <w:t>).</w:t>
      </w:r>
      <w:r w:rsidRPr="00FB4EFA">
        <w:rPr>
          <w:rFonts w:cstheme="minorHAnsi"/>
          <w:szCs w:val="24"/>
          <w:lang w:val="en-GB"/>
        </w:rPr>
        <w:t xml:space="preserve"> 83–95.</w:t>
      </w:r>
    </w:p>
    <w:p w14:paraId="680318E5" w14:textId="339FDFDE"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Visnapuu, Henrik</w:t>
      </w:r>
      <w:r w:rsidR="00AF20CE" w:rsidRPr="00FB4EFA">
        <w:rPr>
          <w:rFonts w:cstheme="minorHAnsi"/>
          <w:szCs w:val="24"/>
          <w:lang w:val="en-GB"/>
        </w:rPr>
        <w:t>.</w:t>
      </w:r>
      <w:r w:rsidRPr="00FB4EFA">
        <w:rPr>
          <w:rFonts w:cstheme="minorHAnsi"/>
          <w:szCs w:val="24"/>
          <w:lang w:val="en-GB"/>
        </w:rPr>
        <w:t xml:space="preserve"> 1916. Üliõpilaskond ja emakeel [Students and the mother tongue]. </w:t>
      </w:r>
      <w:r w:rsidRPr="00FB4EFA">
        <w:rPr>
          <w:rFonts w:cstheme="minorHAnsi"/>
          <w:i/>
          <w:szCs w:val="24"/>
          <w:lang w:val="en-GB"/>
        </w:rPr>
        <w:t>Üliõpilasteleht</w:t>
      </w:r>
      <w:r w:rsidRPr="00FB4EFA">
        <w:rPr>
          <w:rFonts w:cstheme="minorHAnsi"/>
          <w:szCs w:val="24"/>
          <w:lang w:val="en-GB"/>
        </w:rPr>
        <w:t xml:space="preserve"> 5.</w:t>
      </w:r>
    </w:p>
    <w:p w14:paraId="59DEF4DD" w14:textId="7C636682" w:rsidR="005913BE" w:rsidRPr="00FB4EFA" w:rsidRDefault="005913BE" w:rsidP="0033568E">
      <w:pPr>
        <w:suppressAutoHyphens/>
        <w:spacing w:line="240" w:lineRule="auto"/>
        <w:ind w:left="426" w:hanging="426"/>
        <w:rPr>
          <w:rFonts w:cstheme="minorHAnsi"/>
          <w:szCs w:val="24"/>
          <w:lang w:val="en-GB"/>
        </w:rPr>
      </w:pPr>
      <w:r w:rsidRPr="00FB4EFA">
        <w:rPr>
          <w:rFonts w:cstheme="minorHAnsi"/>
          <w:szCs w:val="24"/>
          <w:lang w:val="en-GB"/>
        </w:rPr>
        <w:t>ÜL 1916 = Tartu Ülikooli rektor</w:t>
      </w:r>
      <w:r w:rsidR="00950296" w:rsidRPr="00FB4EFA">
        <w:rPr>
          <w:rFonts w:cstheme="minorHAnsi"/>
          <w:szCs w:val="24"/>
          <w:lang w:val="en-GB"/>
        </w:rPr>
        <w:t>…</w:t>
      </w:r>
      <w:r w:rsidRPr="00FB4EFA">
        <w:rPr>
          <w:rFonts w:cstheme="minorHAnsi"/>
          <w:szCs w:val="24"/>
          <w:lang w:val="en-GB"/>
        </w:rPr>
        <w:t xml:space="preserve"> [Rector of the University of Tartu…] </w:t>
      </w:r>
      <w:r w:rsidRPr="00FB4EFA">
        <w:rPr>
          <w:rFonts w:cstheme="minorHAnsi"/>
          <w:i/>
          <w:szCs w:val="24"/>
          <w:lang w:val="en-GB"/>
        </w:rPr>
        <w:t>Üliõpilasteleht</w:t>
      </w:r>
      <w:r w:rsidRPr="00FB4EFA">
        <w:rPr>
          <w:rFonts w:cstheme="minorHAnsi"/>
          <w:szCs w:val="24"/>
          <w:lang w:val="en-GB"/>
        </w:rPr>
        <w:t xml:space="preserve"> 3–4.</w:t>
      </w:r>
    </w:p>
    <w:p w14:paraId="2AE588A2" w14:textId="77777777" w:rsidR="00A96E85" w:rsidRPr="00FB4EFA" w:rsidRDefault="00A96E85" w:rsidP="00402EF4">
      <w:pPr>
        <w:spacing w:after="160"/>
        <w:jc w:val="center"/>
        <w:rPr>
          <w:smallCaps/>
          <w:sz w:val="48"/>
          <w:szCs w:val="48"/>
          <w:lang w:val="en-GB"/>
        </w:rPr>
        <w:sectPr w:rsidR="00A96E85" w:rsidRPr="00FB4EFA">
          <w:headerReference w:type="even" r:id="rId336"/>
          <w:headerReference w:type="default" r:id="rId337"/>
          <w:headerReference w:type="first" r:id="rId338"/>
          <w:footnotePr>
            <w:numRestart w:val="eachSect"/>
          </w:footnotePr>
          <w:pgSz w:w="9180" w:h="13302"/>
          <w:pgMar w:top="779" w:right="1133" w:bottom="1132" w:left="1133" w:header="744" w:footer="720" w:gutter="0"/>
          <w:cols w:space="720"/>
          <w:titlePg/>
        </w:sectPr>
      </w:pPr>
    </w:p>
    <w:p w14:paraId="42B7779B" w14:textId="5FD4CA04" w:rsidR="00A96E85" w:rsidRPr="00FB4EFA" w:rsidRDefault="00A96E85" w:rsidP="00AF0CAD">
      <w:pPr>
        <w:pStyle w:val="Authors"/>
        <w:spacing w:line="259" w:lineRule="auto"/>
        <w:rPr>
          <w:color w:val="auto"/>
        </w:rPr>
      </w:pPr>
      <w:r w:rsidRPr="00FB4EFA">
        <w:rPr>
          <w:color w:val="auto"/>
        </w:rPr>
        <w:lastRenderedPageBreak/>
        <w:t>Kolláth</w:t>
      </w:r>
      <w:r w:rsidR="005E68D9" w:rsidRPr="00FB4EFA">
        <w:rPr>
          <w:color w:val="auto"/>
        </w:rPr>
        <w:t xml:space="preserve"> Anna</w:t>
      </w:r>
    </w:p>
    <w:p w14:paraId="13745D76" w14:textId="77777777" w:rsidR="00A96E85" w:rsidRPr="00FB4EFA" w:rsidRDefault="00A96E85" w:rsidP="00402EF4">
      <w:pPr>
        <w:rPr>
          <w:lang w:val="en-GB"/>
        </w:rPr>
      </w:pPr>
    </w:p>
    <w:p w14:paraId="72323DC6" w14:textId="7CE847C6" w:rsidR="00A96E85" w:rsidRPr="00FB4EFA" w:rsidRDefault="00A96E85" w:rsidP="00994E2A">
      <w:pPr>
        <w:pStyle w:val="Heading1"/>
        <w:suppressAutoHyphens/>
        <w:spacing w:line="259" w:lineRule="auto"/>
        <w:ind w:right="74"/>
        <w:rPr>
          <w:color w:val="auto"/>
          <w:lang w:val="hu-HU"/>
        </w:rPr>
      </w:pPr>
      <w:bookmarkStart w:id="87" w:name="_Toc87547010"/>
      <w:bookmarkStart w:id="88" w:name="_Ref90999648"/>
      <w:r w:rsidRPr="00FB4EFA">
        <w:rPr>
          <w:color w:val="auto"/>
          <w:lang w:val="hu-HU"/>
        </w:rPr>
        <w:t>Hobbi és sport fogalomkörű kölcsönszavak a Termini</w:t>
      </w:r>
      <w:r w:rsidR="00DF135C" w:rsidRPr="00FB4EFA">
        <w:rPr>
          <w:color w:val="auto"/>
          <w:lang w:val="hu-HU"/>
        </w:rPr>
        <w:t>-</w:t>
      </w:r>
      <w:r w:rsidRPr="00FB4EFA">
        <w:rPr>
          <w:color w:val="auto"/>
          <w:lang w:val="hu-HU"/>
        </w:rPr>
        <w:t>szótár muravidéki korpuszában</w:t>
      </w:r>
      <w:bookmarkEnd w:id="87"/>
      <w:bookmarkEnd w:id="88"/>
    </w:p>
    <w:p w14:paraId="3779E64A" w14:textId="18E4457D" w:rsidR="005E68D9" w:rsidRPr="00FB4EFA" w:rsidRDefault="005E68D9" w:rsidP="00AF0CAD">
      <w:pPr>
        <w:rPr>
          <w:rFonts w:cs="Charis SIL"/>
          <w:lang w:val="hu-HU"/>
        </w:rPr>
      </w:pPr>
      <w:r w:rsidRPr="00FB4EFA">
        <w:rPr>
          <w:b/>
          <w:bCs/>
          <w:lang w:val="hu-HU"/>
        </w:rPr>
        <w:t>1.</w:t>
      </w:r>
      <w:r w:rsidRPr="00FB4EFA">
        <w:rPr>
          <w:lang w:val="hu-HU"/>
        </w:rPr>
        <w:t xml:space="preserve"> A kétmillió lakost számláló Szlovéniában a kisebbségi magyar nyelv regionális </w:t>
      </w:r>
      <w:r w:rsidRPr="00FB4EFA">
        <w:rPr>
          <w:rFonts w:cs="Charis SIL"/>
          <w:lang w:val="hu-HU"/>
        </w:rPr>
        <w:t xml:space="preserve">hivatalos nyelv státuszú. A szlovén államnyelvvel azonos értékű (és rangú) a Muravidéken, az autochton magyar nemzeti közösség lakhelyén, az ún. nemzetiségileg vegyesen lakott (röviden: kétnyelvű) területen (territoriális kisebbség). A magyar nyelv muravidéki (szlovéniai) kontaktusváltozatainak, a magyar beszélőközösség vernakuláris anyanyelvváltozatainak kutatását, a (magyar) nyelvhasználat minél szélesebb körű leírását mindig is fontosnak tartotta mind a helyi, mind a magyarországi, mind pedig a többségi nyelvészközösség (Kolláth – Gróf 2013). Egyértelmű ma már, hogy a nyelvészeti és az interdiszciplináris kutatásokban a többnyelvűségi szemlélet hangsúlyozása, érvényre juttatása elengedhetetlen feltétele az anyanyelvi megmaradásnak, csak ez adhat ugyanis biztos és szükséges alapot a különböző nyelvekben élésnek a többnyelvű, multikulturális térségben (Kolláth 2020). Ebben a folyamatban nagyon fontos szerepet játszik a Termini Magyar Nyelvi Kutatóhálózat minden (nyelvi határtalanító) programja, hiszen a külső régiók nyelvi helyzetének elemzésével az anyanyelvváltozatok vitalitásának erősítéséhez, egyfajta konvergens fejlődési irány stabilizálásához járul hozzá (Benő – Péntek 2011, Szoták 2017, Benő–Juhász–Lanstyák 2020). Írásomban a Kutatóhálózat által létrehozott </w:t>
      </w:r>
      <w:r w:rsidRPr="00FB4EFA">
        <w:rPr>
          <w:rFonts w:cs="Charis SIL"/>
          <w:i/>
          <w:iCs/>
          <w:lang w:val="hu-HU"/>
        </w:rPr>
        <w:t xml:space="preserve">Termini online magyar–magyar szótár és adatbázis </w:t>
      </w:r>
      <w:r w:rsidRPr="00FB4EFA">
        <w:rPr>
          <w:rFonts w:cs="Charis SIL"/>
          <w:lang w:val="hu-HU"/>
        </w:rPr>
        <w:t>(</w:t>
      </w:r>
      <w:hyperlink r:id="rId339" w:history="1">
        <w:r w:rsidRPr="00FB4EFA">
          <w:rPr>
            <w:rFonts w:cs="Charis SIL"/>
            <w:u w:val="single"/>
            <w:lang w:val="hu-HU"/>
          </w:rPr>
          <w:t>termini.nytud.hu/htonline/</w:t>
        </w:r>
        <w:r w:rsidR="0033568E" w:rsidRPr="00FB4EFA">
          <w:rPr>
            <w:rFonts w:cs="Charis SIL"/>
            <w:u w:val="single"/>
            <w:lang w:val="hu-HU"/>
          </w:rPr>
          <w:br/>
        </w:r>
        <w:r w:rsidRPr="00FB4EFA">
          <w:rPr>
            <w:rFonts w:cs="Charis SIL"/>
            <w:u w:val="single"/>
            <w:lang w:val="hu-HU"/>
          </w:rPr>
          <w:t>htlista.php?action=firstpage</w:t>
        </w:r>
      </w:hyperlink>
      <w:r w:rsidRPr="00FB4EFA">
        <w:rPr>
          <w:rFonts w:cs="Charis SIL"/>
          <w:lang w:val="hu-HU"/>
        </w:rPr>
        <w:t>)</w:t>
      </w:r>
      <w:r w:rsidRPr="00FB4EFA">
        <w:rPr>
          <w:rFonts w:cs="Charis SIL"/>
          <w:i/>
          <w:iCs/>
          <w:lang w:val="hu-HU"/>
        </w:rPr>
        <w:t xml:space="preserve"> </w:t>
      </w:r>
      <w:r w:rsidRPr="00FB4EFA">
        <w:rPr>
          <w:rFonts w:cs="Charis SIL"/>
          <w:lang w:val="hu-HU"/>
        </w:rPr>
        <w:t>egy szeletének rövid bemutatására vállalkozom. Tematikus elemzésemben a muravidéki korpusz anyagának egy szegmensét, a hobbi/kedvtelés és a sport fogalomkörű kölcsönszók jelenlegi helyzetének, életük egy-egy mozzanatának leírását kísérlem meg. Célom ezzel az, hogy az érdeklődők minél jobban megismerjék és minél több színtéren használják is a korpuszt, hogy bevigyék az oktatásba, a kutatásba, az ismeretterjesztésbe, tehát tegyék még élőbbé ezt az élő nyelvváltozatokon alapuló, rendkívül színes nyelvi anyagot.</w:t>
      </w:r>
    </w:p>
    <w:p w14:paraId="5A8468C4" w14:textId="316E9596" w:rsidR="005E68D9" w:rsidRPr="00FB4EFA" w:rsidRDefault="005E68D9" w:rsidP="00AF0CAD">
      <w:pPr>
        <w:spacing w:before="240"/>
        <w:rPr>
          <w:shd w:val="clear" w:color="auto" w:fill="FFFFFF"/>
          <w:lang w:val="hu-HU"/>
        </w:rPr>
      </w:pPr>
      <w:r w:rsidRPr="00FB4EFA">
        <w:rPr>
          <w:rFonts w:cs="Charis SIL"/>
          <w:b/>
          <w:bCs/>
          <w:shd w:val="clear" w:color="auto" w:fill="FFFFFF"/>
          <w:lang w:val="hu-HU"/>
        </w:rPr>
        <w:lastRenderedPageBreak/>
        <w:t>2.</w:t>
      </w:r>
      <w:r w:rsidRPr="00FB4EFA">
        <w:rPr>
          <w:rFonts w:cs="Charis SIL"/>
          <w:shd w:val="clear" w:color="auto" w:fill="FFFFFF"/>
          <w:lang w:val="hu-HU"/>
        </w:rPr>
        <w:t xml:space="preserve"> A magyar nyelv határtalanításának folyamatát 2001-től követhetjük nyomon a magyar nyelvtudományban (Benő – Juhász – Lanstyák 2020). A kezdetben nyelvi detrianonizációnak nevezett tevékenység a Termini Magyar Nyelvi Kutatóhálózata tudatos, egységes szempontok alapján szervezett elméleti és gyakorlati tevékenységében realizálódik (Benő – Péntek 2011, Lanstyák 2006, Kolláth 2007, 2020 és passim). </w:t>
      </w:r>
      <w:r w:rsidRPr="00FB4EFA">
        <w:rPr>
          <w:rFonts w:cs="Charis SIL"/>
          <w:lang w:val="hu-HU"/>
        </w:rPr>
        <w:t>A nyelvi határtalanítás a magyar nyelv szétfejlődésével kapcsolatos munkálatokat jelöli. Elsősorban lexikológiai és lexikográfiai</w:t>
      </w:r>
      <w:r w:rsidRPr="00FB4EFA">
        <w:rPr>
          <w:rFonts w:cs="Charis SIL"/>
          <w:spacing w:val="20"/>
          <w:lang w:val="hu-HU"/>
        </w:rPr>
        <w:t>,</w:t>
      </w:r>
      <w:r w:rsidRPr="00FB4EFA">
        <w:rPr>
          <w:rFonts w:cs="Charis SIL"/>
          <w:lang w:val="hu-HU"/>
        </w:rPr>
        <w:t xml:space="preserve"> valamint korpusznyelvészeti</w:t>
      </w:r>
      <w:r w:rsidRPr="00FB4EFA">
        <w:rPr>
          <w:rFonts w:cs="Charis SIL"/>
          <w:b/>
          <w:lang w:val="hu-HU"/>
        </w:rPr>
        <w:t xml:space="preserve"> </w:t>
      </w:r>
      <w:r w:rsidRPr="00FB4EFA">
        <w:rPr>
          <w:rFonts w:cs="Charis SIL"/>
          <w:lang w:val="hu-HU"/>
        </w:rPr>
        <w:t xml:space="preserve">kutatások értendők rajta. A szóhatártalanítás célja </w:t>
      </w:r>
      <w:r w:rsidRPr="00FB4EFA">
        <w:rPr>
          <w:lang w:val="hu-HU"/>
        </w:rPr>
        <w:t>az, hogy a határon túli nyelvváltozatok sajátos szókincse – a kölcsönszók jelentőségének megfelelő mértékben – bekerüljön a magyar nyelv készülő szótáraiba és kézikönyveibe</w:t>
      </w:r>
      <w:r w:rsidRPr="00FB4EFA">
        <w:rPr>
          <w:rFonts w:cs="Charis SIL"/>
          <w:vertAlign w:val="superscript"/>
          <w:lang w:val="hu-HU"/>
        </w:rPr>
        <w:footnoteReference w:id="100"/>
      </w:r>
      <w:r w:rsidRPr="00FB4EFA">
        <w:rPr>
          <w:lang w:val="hu-HU"/>
        </w:rPr>
        <w:t xml:space="preserve">. Eddig négy nyomtatott szótárba kerültek be a Kutatóhálózat által gyűjtött és rendszerezett kölcsönszók: a </w:t>
      </w:r>
      <w:r w:rsidRPr="00FB4EFA">
        <w:rPr>
          <w:i/>
          <w:iCs/>
          <w:lang w:val="hu-HU"/>
        </w:rPr>
        <w:t>Magyar értelmező kéziszótár</w:t>
      </w:r>
      <w:r w:rsidRPr="00FB4EFA">
        <w:rPr>
          <w:lang w:val="hu-HU"/>
        </w:rPr>
        <w:t xml:space="preserve"> 2. kiadásába</w:t>
      </w:r>
      <w:r w:rsidRPr="00FB4EFA">
        <w:rPr>
          <w:rFonts w:cs="Charis SIL"/>
          <w:vertAlign w:val="superscript"/>
          <w:lang w:val="hu-HU"/>
        </w:rPr>
        <w:footnoteReference w:id="101"/>
      </w:r>
      <w:bookmarkStart w:id="89" w:name="_Hlk88751814"/>
      <w:r w:rsidRPr="00FB4EFA">
        <w:rPr>
          <w:lang w:val="hu-HU"/>
        </w:rPr>
        <w:t xml:space="preserve">, </w:t>
      </w:r>
      <w:bookmarkEnd w:id="89"/>
      <w:r w:rsidRPr="00FB4EFA">
        <w:rPr>
          <w:lang w:val="hu-HU"/>
        </w:rPr>
        <w:t xml:space="preserve">A magyar nyelv kézikönyvtára sorozat első két darabjába ( </w:t>
      </w:r>
      <w:r w:rsidRPr="00FB4EFA">
        <w:rPr>
          <w:i/>
          <w:iCs/>
          <w:lang w:val="hu-HU"/>
        </w:rPr>
        <w:t>Osiris Helyesírásba</w:t>
      </w:r>
      <w:r w:rsidRPr="00FB4EFA">
        <w:rPr>
          <w:lang w:val="hu-HU"/>
        </w:rPr>
        <w:t xml:space="preserve"> és az </w:t>
      </w:r>
      <w:r w:rsidRPr="00FB4EFA">
        <w:rPr>
          <w:i/>
          <w:iCs/>
          <w:lang w:val="hu-HU"/>
        </w:rPr>
        <w:t>Idegen szavak szótárába</w:t>
      </w:r>
      <w:r w:rsidRPr="00FB4EFA">
        <w:rPr>
          <w:lang w:val="hu-HU"/>
        </w:rPr>
        <w:t xml:space="preserve">), valamint az </w:t>
      </w:r>
      <w:r w:rsidRPr="00FB4EFA">
        <w:rPr>
          <w:i/>
          <w:iCs/>
          <w:lang w:val="hu-HU"/>
        </w:rPr>
        <w:t>Értelmező szótár+</w:t>
      </w:r>
      <w:r w:rsidRPr="00FB4EFA">
        <w:rPr>
          <w:lang w:val="hu-HU"/>
        </w:rPr>
        <w:t xml:space="preserve"> -ba. E munka </w:t>
      </w:r>
      <w:r w:rsidRPr="00FB4EFA">
        <w:rPr>
          <w:shd w:val="clear" w:color="auto" w:fill="FFFFFF"/>
          <w:lang w:val="hu-HU"/>
        </w:rPr>
        <w:t xml:space="preserve">legjelentősebb eredménye a </w:t>
      </w:r>
      <w:r w:rsidRPr="00FB4EFA">
        <w:rPr>
          <w:i/>
          <w:shd w:val="clear" w:color="auto" w:fill="FFFFFF"/>
          <w:lang w:val="hu-HU"/>
        </w:rPr>
        <w:t xml:space="preserve">Termini magyar–magyar online szótár és adatbázis </w:t>
      </w:r>
      <w:r w:rsidRPr="00FB4EFA">
        <w:rPr>
          <w:shd w:val="clear" w:color="auto" w:fill="FFFFFF"/>
          <w:lang w:val="hu-HU"/>
        </w:rPr>
        <w:t>(</w:t>
      </w:r>
      <w:hyperlink r:id="rId340" w:history="1">
        <w:r w:rsidRPr="00FB4EFA">
          <w:rPr>
            <w:rFonts w:cs="Charis SIL"/>
            <w:u w:val="single"/>
            <w:shd w:val="clear" w:color="auto" w:fill="FFFFFF"/>
            <w:lang w:val="hu-HU"/>
          </w:rPr>
          <w:t>termini.nytud.hu/htonline/</w:t>
        </w:r>
        <w:r w:rsidR="0033568E" w:rsidRPr="00FB4EFA">
          <w:rPr>
            <w:rFonts w:cs="Charis SIL"/>
            <w:u w:val="single"/>
            <w:shd w:val="clear" w:color="auto" w:fill="FFFFFF"/>
            <w:lang w:val="hu-HU"/>
          </w:rPr>
          <w:br/>
        </w:r>
        <w:r w:rsidRPr="00FB4EFA">
          <w:rPr>
            <w:rFonts w:cs="Charis SIL"/>
            <w:u w:val="single"/>
            <w:shd w:val="clear" w:color="auto" w:fill="FFFFFF"/>
            <w:lang w:val="hu-HU"/>
          </w:rPr>
          <w:t>present.php?action=bemutatas</w:t>
        </w:r>
      </w:hyperlink>
      <w:r w:rsidRPr="00FB4EFA">
        <w:rPr>
          <w:shd w:val="clear" w:color="auto" w:fill="FFFFFF"/>
          <w:lang w:val="hu-HU"/>
        </w:rPr>
        <w:t xml:space="preserve">). A szótárba a külső régiók legjellemzőbb, többektől és/vagy gyakran használt államnyelvi eredetű kölcsönszavai és -szerkezetei kerülnek be, a direkt vagy indirekt kölcsönzéssel keletkezett kontaktusjelenségeket gyűjti tehát össze régiós megjelöléssel a szótár. A gyűjtés 2003 óta folyamatos, </w:t>
      </w:r>
      <w:r w:rsidRPr="00FB4EFA">
        <w:rPr>
          <w:lang w:val="hu-HU"/>
        </w:rPr>
        <w:t>mint ahogy folyamatos maga a kölcsönzés is, az adott államnyelv és a kisebbségi magyar nyelv régre visszanyúló kontaktusának természetes következményeként. A szótár és adatbázis</w:t>
      </w:r>
      <w:r w:rsidRPr="00FB4EFA">
        <w:rPr>
          <w:shd w:val="clear" w:color="auto" w:fill="FFFFFF"/>
          <w:lang w:val="hu-HU"/>
        </w:rPr>
        <w:t xml:space="preserve"> egyre bővül, szócikkei évről évre finomodnak, a bennük megjelenő adatok minden évben árnyaltabbá, pontosabbá válnak, egyre több információt jelenítenek meg. 2007 óta érhető el online formában a kutatók és az érdeklődő felhasználók számára. A szótár mögött álló adatbázis a Kárpát-medence hét külső régiójából, illetve az utóbbi időkben már Magyarországról is gyűjtött nyelvi anyagon alapul: a négy nagyrégióén (Felvidék, Fv – </w:t>
      </w:r>
      <w:r w:rsidR="0033568E" w:rsidRPr="00FB4EFA">
        <w:rPr>
          <w:shd w:val="clear" w:color="auto" w:fill="FFFFFF"/>
          <w:lang w:val="hu-HU"/>
        </w:rPr>
        <w:br/>
      </w:r>
      <w:r w:rsidRPr="00FB4EFA">
        <w:rPr>
          <w:shd w:val="clear" w:color="auto" w:fill="FFFFFF"/>
          <w:lang w:val="hu-HU"/>
        </w:rPr>
        <w:lastRenderedPageBreak/>
        <w:t xml:space="preserve">Szlovákia; Kárpátalja, Ka – Ukrajna; Erdély, Er – Románia; Vajdaság, Va – Szerbia), és a három kisrégióén (Drávaszög – Horvátország, Hv; Muravidék – Szlovénia, Mv; Őrvidék – Ausztria, Őv, illetve újabban vannak </w:t>
      </w:r>
      <w:r w:rsidR="0033568E" w:rsidRPr="00FB4EFA">
        <w:rPr>
          <w:shd w:val="clear" w:color="auto" w:fill="FFFFFF"/>
          <w:lang w:val="hu-HU"/>
        </w:rPr>
        <w:br/>
      </w:r>
      <w:r w:rsidRPr="00FB4EFA">
        <w:rPr>
          <w:shd w:val="clear" w:color="auto" w:fill="FFFFFF"/>
          <w:lang w:val="hu-HU"/>
        </w:rPr>
        <w:t xml:space="preserve">Kárpát-medencei (Km, azaz közmagyar) és magyarországi (Hu/Mo) </w:t>
      </w:r>
      <w:r w:rsidR="0033568E" w:rsidRPr="00FB4EFA">
        <w:rPr>
          <w:shd w:val="clear" w:color="auto" w:fill="FFFFFF"/>
          <w:lang w:val="hu-HU"/>
        </w:rPr>
        <w:br/>
      </w:r>
      <w:r w:rsidRPr="00FB4EFA">
        <w:rPr>
          <w:shd w:val="clear" w:color="auto" w:fill="FFFFFF"/>
          <w:lang w:val="hu-HU"/>
        </w:rPr>
        <w:t>adataink is)</w:t>
      </w:r>
      <w:r w:rsidRPr="00FB4EFA">
        <w:rPr>
          <w:rFonts w:cs="Charis SIL"/>
          <w:shd w:val="clear" w:color="auto" w:fill="FFFFFF"/>
          <w:vertAlign w:val="superscript"/>
          <w:lang w:val="hu-HU"/>
        </w:rPr>
        <w:footnoteReference w:id="102"/>
      </w:r>
      <w:r w:rsidRPr="00FB4EFA">
        <w:rPr>
          <w:shd w:val="clear" w:color="auto" w:fill="FFFFFF"/>
          <w:lang w:val="hu-HU"/>
        </w:rPr>
        <w:t>.</w:t>
      </w:r>
    </w:p>
    <w:p w14:paraId="24B416C6" w14:textId="758FB543" w:rsidR="005E68D9" w:rsidRPr="00FB4EFA" w:rsidRDefault="005E68D9" w:rsidP="00AF0CAD">
      <w:pPr>
        <w:ind w:firstLine="709"/>
        <w:rPr>
          <w:rFonts w:cs="Charis SIL"/>
          <w:shd w:val="clear" w:color="auto" w:fill="FFFFFF"/>
          <w:lang w:val="hu-HU"/>
        </w:rPr>
      </w:pPr>
      <w:r w:rsidRPr="00FB4EFA">
        <w:rPr>
          <w:rFonts w:cs="Charis SIL"/>
          <w:shd w:val="clear" w:color="auto" w:fill="FFFFFF"/>
          <w:lang w:val="hu-HU"/>
        </w:rPr>
        <w:t>Az utóbbi több mint tíz év egységes szempontok szerint megvalósult, következetes régiós szerkesztői munkája lehetővé tette, hogy a gyűjtés, a szócikkek megírása mellett most már nemcsak a nagyrégiókban készülhetnek gazdag adatbázisra támaszkodó elemzések (Benő 2014, Lanstyák 2008, Szoták 2019), hanem pl. a muravidéki korpusz esetében is – a kölcsönszók használati gyakoriságának szociolingvisztikai szempontú vizsgálatán kívül – sor kerülhet más, több szempontú elemzésre is (Gaál 2020, Kolláth 2012, 2021, Kolláth</w:t>
      </w:r>
      <w:r w:rsidR="00312ECF" w:rsidRPr="00FB4EFA">
        <w:rPr>
          <w:rFonts w:cs="Charis SIL"/>
          <w:shd w:val="clear" w:color="auto" w:fill="FFFFFF"/>
          <w:lang w:val="hu-HU"/>
        </w:rPr>
        <w:t>,</w:t>
      </w:r>
      <w:r w:rsidRPr="00FB4EFA">
        <w:rPr>
          <w:rFonts w:cs="Charis SIL"/>
          <w:shd w:val="clear" w:color="auto" w:fill="FFFFFF"/>
          <w:lang w:val="hu-HU"/>
        </w:rPr>
        <w:t xml:space="preserve"> </w:t>
      </w:r>
      <w:r w:rsidRPr="00FB4EFA">
        <w:rPr>
          <w:rFonts w:cs="Charis SIL"/>
          <w:lang w:val="hu-HU"/>
        </w:rPr>
        <w:t>Lehocki-Samardžić</w:t>
      </w:r>
      <w:r w:rsidRPr="00FB4EFA">
        <w:rPr>
          <w:rFonts w:cs="Charis SIL"/>
          <w:shd w:val="clear" w:color="auto" w:fill="FFFFFF"/>
          <w:lang w:val="hu-HU"/>
        </w:rPr>
        <w:t xml:space="preserve"> </w:t>
      </w:r>
      <w:r w:rsidR="00312ECF" w:rsidRPr="00FB4EFA">
        <w:rPr>
          <w:rFonts w:cs="Charis SIL"/>
          <w:shd w:val="clear" w:color="auto" w:fill="FFFFFF"/>
          <w:lang w:val="hu-HU"/>
        </w:rPr>
        <w:t>&amp;</w:t>
      </w:r>
      <w:r w:rsidRPr="00FB4EFA">
        <w:rPr>
          <w:rFonts w:cs="Charis SIL"/>
          <w:shd w:val="clear" w:color="auto" w:fill="FFFFFF"/>
          <w:lang w:val="hu-HU"/>
        </w:rPr>
        <w:t xml:space="preserve"> </w:t>
      </w:r>
      <w:r w:rsidR="0033568E" w:rsidRPr="00FB4EFA">
        <w:rPr>
          <w:rFonts w:cs="Charis SIL"/>
          <w:shd w:val="clear" w:color="auto" w:fill="FFFFFF"/>
          <w:lang w:val="hu-HU"/>
        </w:rPr>
        <w:br/>
      </w:r>
      <w:r w:rsidRPr="00FB4EFA">
        <w:rPr>
          <w:rFonts w:cs="Charis SIL"/>
          <w:shd w:val="clear" w:color="auto" w:fill="FFFFFF"/>
          <w:lang w:val="hu-HU"/>
        </w:rPr>
        <w:t>Vukov</w:t>
      </w:r>
      <w:r w:rsidR="00312ECF" w:rsidRPr="00FB4EFA">
        <w:rPr>
          <w:rFonts w:cs="Charis SIL"/>
          <w:shd w:val="clear" w:color="auto" w:fill="FFFFFF"/>
          <w:lang w:val="hu-HU"/>
        </w:rPr>
        <w:noBreakHyphen/>
      </w:r>
      <w:r w:rsidRPr="00FB4EFA">
        <w:rPr>
          <w:rFonts w:cs="Charis SIL"/>
          <w:shd w:val="clear" w:color="auto" w:fill="FFFFFF"/>
          <w:lang w:val="hu-HU"/>
        </w:rPr>
        <w:t>Raffai 2021).</w:t>
      </w:r>
    </w:p>
    <w:p w14:paraId="2BDA6F2A" w14:textId="77777777" w:rsidR="005E68D9" w:rsidRPr="00FB4EFA" w:rsidRDefault="005E68D9" w:rsidP="00AF0CAD">
      <w:pPr>
        <w:spacing w:before="240"/>
        <w:rPr>
          <w:lang w:val="hu-HU"/>
        </w:rPr>
      </w:pPr>
      <w:r w:rsidRPr="00FB4EFA">
        <w:rPr>
          <w:rFonts w:cs="Charis SIL"/>
          <w:b/>
          <w:bCs/>
          <w:lang w:val="hu-HU"/>
        </w:rPr>
        <w:t>3.</w:t>
      </w:r>
      <w:r w:rsidRPr="00FB4EFA">
        <w:rPr>
          <w:rFonts w:cs="Charis SIL"/>
          <w:lang w:val="hu-HU"/>
        </w:rPr>
        <w:t xml:space="preserve"> A Termini-szótár 2021 júniusában 5146 szócikket tartalmazott. A muravidéki korpusz 810 lexikai egységéből (ez az összes szócikk 15,7%-a) 26 szó van besorolva a hobbi/kedvtelés fogalomköri kategóriába (is), 28 pedig sport tematikájú (is)</w:t>
      </w:r>
      <w:r w:rsidRPr="00FB4EFA">
        <w:rPr>
          <w:rFonts w:cs="Charis SIL"/>
          <w:vertAlign w:val="superscript"/>
          <w:lang w:val="hu-HU"/>
        </w:rPr>
        <w:footnoteReference w:id="103"/>
      </w:r>
      <w:r w:rsidRPr="00FB4EFA">
        <w:rPr>
          <w:rFonts w:cs="Charis SIL"/>
          <w:lang w:val="hu-HU"/>
        </w:rPr>
        <w:t>, 56 lexikai egység szerepel tehát a most tárgyalandó korpuszban, amely több szempontból is rendezhető, rendszerezhető (Benő 2008, 2014; Lanstyák 2006; Pintér 2017</w:t>
      </w:r>
      <w:r w:rsidRPr="00FB4EFA">
        <w:rPr>
          <w:lang w:val="hu-HU"/>
        </w:rPr>
        <w:t>; Szoták 2017). Mai írásomban a rendszerezés a szerkesztői felület szempontjai, a besorolási lehetőségek alapján történik (a kölcsönszók típusa, szófaja.</w:t>
      </w:r>
    </w:p>
    <w:p w14:paraId="76308A13" w14:textId="5F09910F" w:rsidR="000121EA" w:rsidRPr="00FB4EFA" w:rsidRDefault="005E68D9" w:rsidP="00AF0CAD">
      <w:pPr>
        <w:spacing w:before="240"/>
        <w:rPr>
          <w:lang w:val="hu-HU"/>
        </w:rPr>
      </w:pPr>
      <w:r w:rsidRPr="00FB4EFA">
        <w:rPr>
          <w:b/>
          <w:bCs/>
          <w:lang w:val="hu-HU"/>
        </w:rPr>
        <w:t>3. 1</w:t>
      </w:r>
      <w:r w:rsidRPr="00FB4EFA">
        <w:rPr>
          <w:lang w:val="hu-HU"/>
        </w:rPr>
        <w:t xml:space="preserve"> A többségi nyelv elemeinek a kisebbségi nyelv elemeire és formáira gyakorolt egyenes hatása a kétnyelvű egyén beszédében interferencia. Az interferencia nyelvi következménye a nyelvi kölcsönzés a nyelvi rendszer minden síkján. Az interferenciajelenségek és a kölcsönzéstermékek a kontaktusjelenségek, amelyek, leegyszerűsítve közvetlenek, azaz testesek és közvetettek, azaz testetlenek lehetnek: a kölcsönszók közvetlen (direkt) vagy közvetett (indirekt) érintkezés következményei (Kolláth 2005: 76). A direkt nyelvi kapcsolat közvetlen és alaki kölcsönszókban realizálódik, az indirekt nyelvi hatások pedig jelentésbeli és stílusbeli kölcsön</w:t>
      </w:r>
      <w:r w:rsidRPr="00FB4EFA">
        <w:rPr>
          <w:lang w:val="hu-HU"/>
        </w:rPr>
        <w:lastRenderedPageBreak/>
        <w:t>szókban, tükörszókban és -szerkezetekben öltenek testet (Benő</w:t>
      </w:r>
      <w:r w:rsidR="00312ECF" w:rsidRPr="00FB4EFA">
        <w:rPr>
          <w:lang w:val="hu-HU"/>
        </w:rPr>
        <w:t>,</w:t>
      </w:r>
      <w:r w:rsidRPr="00FB4EFA">
        <w:rPr>
          <w:lang w:val="hu-HU"/>
        </w:rPr>
        <w:t xml:space="preserve"> Juhász </w:t>
      </w:r>
      <w:r w:rsidR="00312ECF" w:rsidRPr="00FB4EFA">
        <w:rPr>
          <w:lang w:val="hu-HU"/>
        </w:rPr>
        <w:t>&amp;</w:t>
      </w:r>
      <w:r w:rsidRPr="00FB4EFA">
        <w:rPr>
          <w:lang w:val="hu-HU"/>
        </w:rPr>
        <w:t xml:space="preserve"> Lanstyák 2020: 155). Külön csoportot alkotnak a hibrid kölcsönszók és -szerkezetek, bennük ugyanis mind a közvetlen, mind pedig a közvetett kölcsönzés egyszerre követhető nyomon.</w:t>
      </w:r>
    </w:p>
    <w:p w14:paraId="4B05B39E" w14:textId="6CB82B24" w:rsidR="005E68D9" w:rsidRPr="00FB4EFA" w:rsidRDefault="005E68D9" w:rsidP="00402EF4">
      <w:pPr>
        <w:ind w:firstLine="709"/>
        <w:rPr>
          <w:rFonts w:cs="Times New Roman"/>
          <w:lang w:val="hu-HU"/>
        </w:rPr>
      </w:pPr>
      <w:r w:rsidRPr="00FB4EFA">
        <w:rPr>
          <w:rFonts w:cs="Times New Roman"/>
          <w:lang w:val="hu-HU"/>
        </w:rPr>
        <w:t xml:space="preserve">A kölcsönzés a beszélt nyelvváltozatokat érinti, </w:t>
      </w:r>
      <w:r w:rsidRPr="00FB4EFA">
        <w:rPr>
          <w:lang w:val="hu-HU"/>
        </w:rPr>
        <w:t xml:space="preserve">az államnyelvi eredetű lexikai egységek elsősorban a beszélt nyelvváltozatokba épültek/épülnek be, így pótolni tudták/tudják a keletkezett nyelvi hiányt (Lanstyák 2008: 134–135). </w:t>
      </w:r>
      <w:r w:rsidRPr="00FB4EFA">
        <w:rPr>
          <w:rFonts w:cs="Times New Roman"/>
          <w:lang w:val="hu-HU"/>
        </w:rPr>
        <w:t>Ez a Muravidékre fokozottan érvényes, ugyanis a magyar nyelv írott változata az iskolai magyaroktatáson kívül nem nagyon volt jellemző a beszélőközösségre. Az utóbbi idők felgyorsult elektronikus kommunikációja viszont egyre jobban beviszi a kontaktusjelenségeket az írott digilektusokba</w:t>
      </w:r>
      <w:r w:rsidRPr="00FB4EFA">
        <w:rPr>
          <w:rFonts w:cs="Charis SIL"/>
          <w:vertAlign w:val="superscript"/>
          <w:lang w:val="hu-HU"/>
        </w:rPr>
        <w:footnoteReference w:id="104"/>
      </w:r>
      <w:r w:rsidRPr="00FB4EFA">
        <w:rPr>
          <w:rFonts w:cs="Times New Roman"/>
          <w:lang w:val="hu-HU"/>
        </w:rPr>
        <w:t xml:space="preserve"> is. S míg a magyarországi (standard) nyelvváltozatokat sokan féltik a digitális kommunikáció „igénytelenségének” következményeitől, addig a Muravidéken nyelvmegtartó erejű a tendencia, hiszen elindít egyfajta (eddig nem létező) írásbeliséget. Azt a tényt is fontos hangsúlyoznunk, hogy</w:t>
      </w:r>
      <w:r w:rsidRPr="00FB4EFA">
        <w:rPr>
          <w:lang w:val="hu-HU"/>
        </w:rPr>
        <w:t xml:space="preserve"> a kölcsönzés a környezetnyelvből (második nyelv) történik, s ez erősen kihat a folyamat módjára, formájára és mértékére is (Benő 2014: 36).</w:t>
      </w:r>
    </w:p>
    <w:p w14:paraId="3AE5098B" w14:textId="5968D6DE" w:rsidR="00C20091" w:rsidRPr="00FB4EFA" w:rsidRDefault="005E68D9" w:rsidP="00C20091">
      <w:pPr>
        <w:spacing w:after="240"/>
        <w:ind w:firstLine="709"/>
      </w:pPr>
      <w:r w:rsidRPr="00FB4EFA">
        <w:rPr>
          <w:lang w:val="hu-HU"/>
        </w:rPr>
        <w:t xml:space="preserve">Az alábbi táblázat átfogó képet ad a két fogalomkört érintő </w:t>
      </w:r>
      <w:r w:rsidR="0033568E" w:rsidRPr="00FB4EFA">
        <w:rPr>
          <w:lang w:val="hu-HU"/>
        </w:rPr>
        <w:br/>
      </w:r>
      <w:r w:rsidRPr="00FB4EFA">
        <w:rPr>
          <w:lang w:val="hu-HU"/>
        </w:rPr>
        <w:t xml:space="preserve">kölcsönszók típusáról. A besorolás a szócikkszerkesztési webes űrlap </w:t>
      </w:r>
      <w:r w:rsidR="0033568E" w:rsidRPr="00FB4EFA">
        <w:rPr>
          <w:lang w:val="hu-HU"/>
        </w:rPr>
        <w:br/>
      </w:r>
      <w:r w:rsidRPr="00FB4EFA">
        <w:rPr>
          <w:lang w:val="hu-HU"/>
        </w:rPr>
        <w:t xml:space="preserve">zárt értéktartományú adatmezőjét követi. A megadott szavak </w:t>
      </w:r>
      <w:r w:rsidR="0033568E" w:rsidRPr="00FB4EFA">
        <w:rPr>
          <w:lang w:val="hu-HU"/>
        </w:rPr>
        <w:br/>
      </w:r>
      <w:r w:rsidRPr="00FB4EFA">
        <w:rPr>
          <w:lang w:val="hu-HU"/>
        </w:rPr>
        <w:t>mindig a közmagyar jelentésükkel együtt szerepelnek, betűrendben az adott kategóriában:</w:t>
      </w:r>
    </w:p>
    <w:tbl>
      <w:tblPr>
        <w:tblW w:w="0" w:type="auto"/>
        <w:tblLook w:val="04A0" w:firstRow="1" w:lastRow="0" w:firstColumn="1" w:lastColumn="0" w:noHBand="0" w:noVBand="1"/>
      </w:tblPr>
      <w:tblGrid>
        <w:gridCol w:w="1668"/>
        <w:gridCol w:w="5246"/>
      </w:tblGrid>
      <w:tr w:rsidR="00FB4EFA" w:rsidRPr="00FB4EFA" w14:paraId="3FE12C6A" w14:textId="77777777" w:rsidTr="00C20091">
        <w:tc>
          <w:tcPr>
            <w:tcW w:w="1668" w:type="dxa"/>
            <w:tcBorders>
              <w:top w:val="nil"/>
              <w:left w:val="nil"/>
              <w:bottom w:val="single" w:sz="12" w:space="0" w:color="auto"/>
              <w:right w:val="single" w:sz="12" w:space="0" w:color="auto"/>
            </w:tcBorders>
            <w:shd w:val="clear" w:color="auto" w:fill="auto"/>
          </w:tcPr>
          <w:p w14:paraId="0D1C8ACD" w14:textId="51EE37F1" w:rsidR="005E68D9" w:rsidRPr="00FB4EFA" w:rsidRDefault="005E68D9" w:rsidP="00312ECF">
            <w:pPr>
              <w:keepNext/>
              <w:suppressAutoHyphens/>
              <w:spacing w:line="240" w:lineRule="auto"/>
              <w:jc w:val="center"/>
              <w:rPr>
                <w:rFonts w:cs="Charis SIL"/>
                <w:b/>
                <w:bCs/>
                <w:sz w:val="18"/>
                <w:szCs w:val="18"/>
                <w:lang w:val="hu-HU"/>
              </w:rPr>
            </w:pPr>
            <w:r w:rsidRPr="00FB4EFA">
              <w:rPr>
                <w:rFonts w:cs="Charis SIL"/>
                <w:b/>
                <w:bCs/>
                <w:sz w:val="18"/>
                <w:szCs w:val="18"/>
                <w:lang w:val="hu-HU"/>
              </w:rPr>
              <w:lastRenderedPageBreak/>
              <w:t>A kölcsönszó típusa</w:t>
            </w:r>
          </w:p>
        </w:tc>
        <w:tc>
          <w:tcPr>
            <w:tcW w:w="5246" w:type="dxa"/>
            <w:tcBorders>
              <w:top w:val="nil"/>
              <w:left w:val="single" w:sz="12" w:space="0" w:color="auto"/>
              <w:bottom w:val="single" w:sz="12" w:space="0" w:color="auto"/>
              <w:right w:val="nil"/>
            </w:tcBorders>
            <w:shd w:val="clear" w:color="auto" w:fill="auto"/>
          </w:tcPr>
          <w:p w14:paraId="1B0592E5" w14:textId="77777777" w:rsidR="005E68D9" w:rsidRPr="00FB4EFA" w:rsidRDefault="005E68D9" w:rsidP="00312ECF">
            <w:pPr>
              <w:keepNext/>
              <w:suppressAutoHyphens/>
              <w:spacing w:line="240" w:lineRule="auto"/>
              <w:jc w:val="center"/>
              <w:rPr>
                <w:rFonts w:cs="Charis SIL"/>
                <w:b/>
                <w:bCs/>
                <w:sz w:val="18"/>
                <w:szCs w:val="18"/>
                <w:lang w:val="hu-HU"/>
              </w:rPr>
            </w:pPr>
            <w:r w:rsidRPr="00FB4EFA">
              <w:rPr>
                <w:rFonts w:cs="Charis SIL"/>
                <w:b/>
                <w:bCs/>
                <w:sz w:val="18"/>
                <w:szCs w:val="18"/>
                <w:lang w:val="hu-HU"/>
              </w:rPr>
              <w:t>Példák (a kölcsönelemek jelentésükkel együtt)</w:t>
            </w:r>
          </w:p>
        </w:tc>
      </w:tr>
      <w:tr w:rsidR="00FB4EFA" w:rsidRPr="00FB4EFA" w14:paraId="21517D71" w14:textId="77777777" w:rsidTr="00C20091">
        <w:tc>
          <w:tcPr>
            <w:tcW w:w="1668" w:type="dxa"/>
            <w:tcBorders>
              <w:top w:val="single" w:sz="12" w:space="0" w:color="auto"/>
              <w:left w:val="nil"/>
              <w:right w:val="single" w:sz="12" w:space="0" w:color="auto"/>
            </w:tcBorders>
            <w:shd w:val="clear" w:color="auto" w:fill="auto"/>
          </w:tcPr>
          <w:p w14:paraId="3C71B473" w14:textId="5587B407" w:rsidR="005E68D9" w:rsidRPr="00FB4EFA" w:rsidRDefault="005E68D9" w:rsidP="00565CC1">
            <w:pPr>
              <w:keepNext/>
              <w:spacing w:line="240" w:lineRule="auto"/>
              <w:jc w:val="left"/>
              <w:rPr>
                <w:rFonts w:cs="Charis SIL"/>
                <w:sz w:val="18"/>
                <w:szCs w:val="18"/>
                <w:lang w:val="hu-HU"/>
              </w:rPr>
            </w:pPr>
            <w:r w:rsidRPr="00FB4EFA">
              <w:rPr>
                <w:rFonts w:cs="Charis SIL"/>
                <w:sz w:val="18"/>
                <w:szCs w:val="18"/>
                <w:lang w:val="hu-HU"/>
              </w:rPr>
              <w:t xml:space="preserve">Közvetlen </w:t>
            </w:r>
            <w:r w:rsidR="00565CC1">
              <w:rPr>
                <w:rFonts w:cs="Charis SIL"/>
                <w:sz w:val="18"/>
                <w:szCs w:val="18"/>
                <w:lang w:val="hu-HU"/>
              </w:rPr>
              <w:br/>
            </w:r>
            <w:r w:rsidRPr="00FB4EFA">
              <w:rPr>
                <w:rFonts w:cs="Charis SIL"/>
                <w:sz w:val="18"/>
                <w:szCs w:val="18"/>
                <w:lang w:val="hu-HU"/>
              </w:rPr>
              <w:t>kölcsönszó</w:t>
            </w:r>
          </w:p>
        </w:tc>
        <w:tc>
          <w:tcPr>
            <w:tcW w:w="5246" w:type="dxa"/>
            <w:tcBorders>
              <w:top w:val="single" w:sz="12" w:space="0" w:color="auto"/>
              <w:left w:val="single" w:sz="12" w:space="0" w:color="auto"/>
              <w:right w:val="nil"/>
            </w:tcBorders>
            <w:shd w:val="clear" w:color="auto" w:fill="auto"/>
          </w:tcPr>
          <w:p w14:paraId="712486BA" w14:textId="2C1F8564" w:rsidR="005E68D9" w:rsidRPr="00FB4EFA" w:rsidRDefault="005E68D9" w:rsidP="00312ECF">
            <w:pPr>
              <w:keepNext/>
              <w:suppressAutoHyphens/>
              <w:spacing w:line="240" w:lineRule="auto"/>
              <w:rPr>
                <w:rFonts w:cs="Charis SIL"/>
                <w:sz w:val="18"/>
                <w:szCs w:val="18"/>
                <w:lang w:val="hu-HU"/>
              </w:rPr>
            </w:pPr>
            <w:r w:rsidRPr="00FB4EFA">
              <w:rPr>
                <w:rFonts w:cs="Charis SIL"/>
                <w:i/>
                <w:iCs/>
                <w:sz w:val="18"/>
                <w:szCs w:val="18"/>
                <w:lang w:val="hu-HU"/>
              </w:rPr>
              <w:t xml:space="preserve">adidászka </w:t>
            </w:r>
            <w:r w:rsidRPr="00FB4EFA">
              <w:rPr>
                <w:rFonts w:cs="Charis SIL"/>
                <w:sz w:val="18"/>
                <w:szCs w:val="18"/>
                <w:lang w:val="hu-HU"/>
              </w:rPr>
              <w:t xml:space="preserve">’sportcipő, tornacipő’, </w:t>
            </w:r>
            <w:r w:rsidRPr="00FB4EFA">
              <w:rPr>
                <w:rFonts w:cs="Charis SIL"/>
                <w:i/>
                <w:iCs/>
                <w:sz w:val="18"/>
                <w:szCs w:val="18"/>
                <w:lang w:val="hu-HU"/>
              </w:rPr>
              <w:t>alsztarka</w:t>
            </w:r>
            <w:r w:rsidRPr="00FB4EFA">
              <w:rPr>
                <w:rFonts w:cs="Charis SIL"/>
                <w:sz w:val="18"/>
                <w:szCs w:val="18"/>
                <w:lang w:val="hu-HU"/>
              </w:rPr>
              <w:t xml:space="preserve"> ’tornacipő, edzőcipő’,</w:t>
            </w:r>
            <w:r w:rsidRPr="00FB4EFA">
              <w:rPr>
                <w:rFonts w:cs="Charis SIL"/>
                <w:i/>
                <w:iCs/>
                <w:sz w:val="18"/>
                <w:szCs w:val="18"/>
                <w:lang w:val="hu-HU"/>
              </w:rPr>
              <w:t xml:space="preserve"> autogol </w:t>
            </w:r>
            <w:r w:rsidR="007D6634" w:rsidRPr="00FB4EFA">
              <w:rPr>
                <w:rFonts w:cs="Charis SIL"/>
                <w:sz w:val="18"/>
                <w:szCs w:val="18"/>
                <w:lang w:val="hu-HU"/>
              </w:rPr>
              <w:t>’</w:t>
            </w:r>
            <w:r w:rsidRPr="00FB4EFA">
              <w:rPr>
                <w:rFonts w:cs="Charis SIL"/>
                <w:sz w:val="18"/>
                <w:szCs w:val="18"/>
                <w:lang w:val="hu-HU"/>
              </w:rPr>
              <w:t>öngól</w:t>
            </w:r>
            <w:r w:rsidR="007D6634"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 xml:space="preserve">blazina </w:t>
            </w:r>
            <w:r w:rsidRPr="00FB4EFA">
              <w:rPr>
                <w:rFonts w:cs="Charis SIL"/>
                <w:sz w:val="18"/>
                <w:szCs w:val="18"/>
                <w:lang w:val="hu-HU"/>
              </w:rPr>
              <w:t>’1. tornaszőnyeg, 2. felfújható gumimatrac’</w:t>
            </w:r>
            <w:r w:rsidRPr="00FB4EFA">
              <w:rPr>
                <w:rFonts w:cs="Charis SIL"/>
                <w:i/>
                <w:iCs/>
                <w:sz w:val="18"/>
                <w:szCs w:val="18"/>
                <w:lang w:val="hu-HU"/>
              </w:rPr>
              <w:t xml:space="preserve">, bográcsfeszt </w:t>
            </w:r>
            <w:r w:rsidRPr="00FB4EFA">
              <w:rPr>
                <w:rFonts w:cs="Charis SIL"/>
                <w:sz w:val="18"/>
                <w:szCs w:val="18"/>
                <w:lang w:val="hu-HU"/>
              </w:rPr>
              <w:t>’bográcsfőző verseny’</w:t>
            </w:r>
            <w:r w:rsidRPr="00FB4EFA">
              <w:rPr>
                <w:rFonts w:cs="Charis SIL"/>
                <w:i/>
                <w:iCs/>
                <w:sz w:val="18"/>
                <w:szCs w:val="18"/>
                <w:lang w:val="hu-HU"/>
              </w:rPr>
              <w:t xml:space="preserve">, csikpauza </w:t>
            </w:r>
            <w:r w:rsidR="007D6634" w:rsidRPr="00FB4EFA">
              <w:rPr>
                <w:rFonts w:cs="Charis SIL"/>
                <w:sz w:val="18"/>
                <w:szCs w:val="18"/>
                <w:lang w:val="hu-HU"/>
              </w:rPr>
              <w:t>’</w:t>
            </w:r>
            <w:r w:rsidRPr="00FB4EFA">
              <w:rPr>
                <w:rFonts w:cs="Charis SIL"/>
                <w:sz w:val="18"/>
                <w:szCs w:val="18"/>
                <w:lang w:val="hu-HU"/>
              </w:rPr>
              <w:t>cigiszünet</w:t>
            </w:r>
            <w:r w:rsidR="007D6634" w:rsidRPr="00FB4EFA">
              <w:rPr>
                <w:rFonts w:cs="Charis SIL"/>
                <w:sz w:val="18"/>
                <w:szCs w:val="18"/>
                <w:lang w:val="hu-HU"/>
              </w:rPr>
              <w:t>’</w:t>
            </w:r>
            <w:r w:rsidRPr="00FB4EFA">
              <w:rPr>
                <w:rFonts w:cs="Charis SIL"/>
                <w:i/>
                <w:iCs/>
                <w:sz w:val="18"/>
                <w:szCs w:val="18"/>
                <w:lang w:val="hu-HU"/>
              </w:rPr>
              <w:t xml:space="preserve">, dirkál </w:t>
            </w:r>
            <w:r w:rsidR="007D6634" w:rsidRPr="00FB4EFA">
              <w:rPr>
                <w:rFonts w:cs="Charis SIL"/>
                <w:sz w:val="18"/>
                <w:szCs w:val="18"/>
                <w:lang w:val="hu-HU"/>
              </w:rPr>
              <w:t>’</w:t>
            </w:r>
            <w:r w:rsidRPr="00FB4EFA">
              <w:rPr>
                <w:rFonts w:cs="Charis SIL"/>
                <w:sz w:val="18"/>
                <w:szCs w:val="18"/>
                <w:lang w:val="hu-HU"/>
              </w:rPr>
              <w:t>(kis)motorral száguldozik</w:t>
            </w:r>
            <w:r w:rsidR="007D6634"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 xml:space="preserve">jugoplasztika </w:t>
            </w:r>
            <w:r w:rsidR="007D6634" w:rsidRPr="00FB4EFA">
              <w:rPr>
                <w:rFonts w:cs="Charis SIL"/>
                <w:sz w:val="18"/>
                <w:szCs w:val="18"/>
                <w:lang w:val="hu-HU"/>
              </w:rPr>
              <w:t>’</w:t>
            </w:r>
            <w:r w:rsidRPr="00FB4EFA">
              <w:rPr>
                <w:rFonts w:cs="Charis SIL"/>
                <w:sz w:val="18"/>
                <w:szCs w:val="18"/>
                <w:lang w:val="hu-HU"/>
              </w:rPr>
              <w:t>felfújható úszópárna</w:t>
            </w:r>
            <w:r w:rsidR="007D6634" w:rsidRPr="00FB4EFA">
              <w:rPr>
                <w:rFonts w:cs="Charis SIL"/>
                <w:sz w:val="18"/>
                <w:szCs w:val="18"/>
                <w:lang w:val="hu-HU"/>
              </w:rPr>
              <w:t>’</w:t>
            </w:r>
            <w:r w:rsidRPr="00FB4EFA">
              <w:rPr>
                <w:rFonts w:cs="Charis SIL"/>
                <w:i/>
                <w:iCs/>
                <w:sz w:val="18"/>
                <w:szCs w:val="18"/>
                <w:lang w:val="hu-HU"/>
              </w:rPr>
              <w:t xml:space="preserve">, kolebnica </w:t>
            </w:r>
            <w:r w:rsidR="007D6634" w:rsidRPr="00FB4EFA">
              <w:rPr>
                <w:rFonts w:cs="Charis SIL"/>
                <w:sz w:val="18"/>
                <w:szCs w:val="18"/>
                <w:lang w:val="hu-HU"/>
              </w:rPr>
              <w:t>’</w:t>
            </w:r>
            <w:r w:rsidRPr="00FB4EFA">
              <w:rPr>
                <w:rFonts w:cs="Charis SIL"/>
                <w:sz w:val="18"/>
                <w:szCs w:val="18"/>
                <w:lang w:val="hu-HU"/>
              </w:rPr>
              <w:t>ugrókötél</w:t>
            </w:r>
            <w:r w:rsidR="007D6634" w:rsidRPr="00FB4EFA">
              <w:rPr>
                <w:rFonts w:cs="Charis SIL"/>
                <w:sz w:val="18"/>
                <w:szCs w:val="18"/>
                <w:lang w:val="hu-HU"/>
              </w:rPr>
              <w:t>’</w:t>
            </w:r>
            <w:r w:rsidRPr="00FB4EFA">
              <w:rPr>
                <w:rFonts w:cs="Charis SIL"/>
                <w:i/>
                <w:iCs/>
                <w:sz w:val="18"/>
                <w:szCs w:val="18"/>
                <w:lang w:val="hu-HU"/>
              </w:rPr>
              <w:t xml:space="preserve">, lumpázik </w:t>
            </w:r>
            <w:r w:rsidR="007D6634" w:rsidRPr="00FB4EFA">
              <w:rPr>
                <w:rFonts w:cs="Charis SIL"/>
                <w:sz w:val="18"/>
                <w:szCs w:val="18"/>
                <w:lang w:val="hu-HU"/>
              </w:rPr>
              <w:t>’</w:t>
            </w:r>
            <w:r w:rsidRPr="00FB4EFA">
              <w:rPr>
                <w:rFonts w:cs="Charis SIL"/>
                <w:sz w:val="18"/>
                <w:szCs w:val="18"/>
                <w:lang w:val="hu-HU"/>
              </w:rPr>
              <w:t>vásárol, plázázik</w:t>
            </w:r>
            <w:r w:rsidR="007D6634" w:rsidRPr="00FB4EFA">
              <w:rPr>
                <w:rFonts w:cs="Charis SIL"/>
                <w:sz w:val="18"/>
                <w:szCs w:val="18"/>
                <w:lang w:val="hu-HU"/>
              </w:rPr>
              <w:t>’</w:t>
            </w:r>
            <w:r w:rsidRPr="00FB4EFA">
              <w:rPr>
                <w:rFonts w:cs="Charis SIL"/>
                <w:i/>
                <w:iCs/>
                <w:sz w:val="18"/>
                <w:szCs w:val="18"/>
                <w:lang w:val="hu-HU"/>
              </w:rPr>
              <w:t xml:space="preserve">, martinovanje </w:t>
            </w:r>
            <w:r w:rsidRPr="00FB4EFA">
              <w:rPr>
                <w:rFonts w:cs="Charis SIL"/>
                <w:sz w:val="18"/>
                <w:szCs w:val="18"/>
                <w:lang w:val="hu-HU"/>
              </w:rPr>
              <w:t>’Márton napi ünneplés,</w:t>
            </w:r>
            <w:r w:rsidRPr="00FB4EFA">
              <w:rPr>
                <w:rFonts w:cs="Charis SIL"/>
                <w:i/>
                <w:iCs/>
                <w:sz w:val="18"/>
                <w:szCs w:val="18"/>
                <w:lang w:val="hu-HU"/>
              </w:rPr>
              <w:t xml:space="preserve"> mrezsa </w:t>
            </w:r>
            <w:r w:rsidR="007D6634" w:rsidRPr="00FB4EFA">
              <w:rPr>
                <w:rFonts w:cs="Charis SIL"/>
                <w:sz w:val="18"/>
                <w:szCs w:val="18"/>
                <w:lang w:val="hu-HU"/>
              </w:rPr>
              <w:t>’</w:t>
            </w:r>
            <w:r w:rsidRPr="00FB4EFA">
              <w:rPr>
                <w:rFonts w:cs="Charis SIL"/>
                <w:sz w:val="18"/>
                <w:szCs w:val="18"/>
                <w:lang w:val="hu-HU"/>
              </w:rPr>
              <w:t>háló</w:t>
            </w:r>
            <w:r w:rsidR="007D6634" w:rsidRPr="00FB4EFA">
              <w:rPr>
                <w:rFonts w:cs="Charis SIL"/>
                <w:sz w:val="18"/>
                <w:szCs w:val="18"/>
                <w:lang w:val="hu-HU"/>
              </w:rPr>
              <w:t>’</w:t>
            </w:r>
            <w:r w:rsidRPr="00FB4EFA">
              <w:rPr>
                <w:rFonts w:cs="Charis SIL"/>
                <w:i/>
                <w:iCs/>
                <w:sz w:val="18"/>
                <w:szCs w:val="18"/>
                <w:lang w:val="hu-HU"/>
              </w:rPr>
              <w:t xml:space="preserve">, nogomet </w:t>
            </w:r>
            <w:r w:rsidR="007D6634" w:rsidRPr="00FB4EFA">
              <w:rPr>
                <w:rFonts w:cs="Charis SIL"/>
                <w:sz w:val="18"/>
                <w:szCs w:val="18"/>
                <w:lang w:val="hu-HU"/>
              </w:rPr>
              <w:t>’</w:t>
            </w:r>
            <w:r w:rsidRPr="00FB4EFA">
              <w:rPr>
                <w:rFonts w:cs="Charis SIL"/>
                <w:sz w:val="18"/>
                <w:szCs w:val="18"/>
                <w:lang w:val="hu-HU"/>
              </w:rPr>
              <w:t>foci, futball</w:t>
            </w:r>
            <w:r w:rsidR="007D6634" w:rsidRPr="00FB4EFA">
              <w:rPr>
                <w:rFonts w:cs="Charis SIL"/>
                <w:sz w:val="18"/>
                <w:szCs w:val="18"/>
                <w:lang w:val="hu-HU"/>
              </w:rPr>
              <w:t>’</w:t>
            </w:r>
            <w:r w:rsidRPr="00FB4EFA">
              <w:rPr>
                <w:rFonts w:cs="Charis SIL"/>
                <w:i/>
                <w:iCs/>
                <w:sz w:val="18"/>
                <w:szCs w:val="18"/>
                <w:lang w:val="hu-HU"/>
              </w:rPr>
              <w:t xml:space="preserve">, odbojka </w:t>
            </w:r>
            <w:r w:rsidR="007D6634" w:rsidRPr="00FB4EFA">
              <w:rPr>
                <w:rFonts w:cs="Charis SIL"/>
                <w:sz w:val="18"/>
                <w:szCs w:val="18"/>
                <w:lang w:val="hu-HU"/>
              </w:rPr>
              <w:t>’</w:t>
            </w:r>
            <w:r w:rsidRPr="00FB4EFA">
              <w:rPr>
                <w:rFonts w:cs="Charis SIL"/>
                <w:sz w:val="18"/>
                <w:szCs w:val="18"/>
                <w:lang w:val="hu-HU"/>
              </w:rPr>
              <w:t>röplabda</w:t>
            </w:r>
            <w:r w:rsidR="007D6634" w:rsidRPr="00FB4EFA">
              <w:rPr>
                <w:rFonts w:cs="Charis SIL"/>
                <w:sz w:val="18"/>
                <w:szCs w:val="18"/>
                <w:lang w:val="hu-HU"/>
              </w:rPr>
              <w:t>’</w:t>
            </w:r>
            <w:r w:rsidRPr="00FB4EFA">
              <w:rPr>
                <w:rFonts w:cs="Charis SIL"/>
                <w:i/>
                <w:iCs/>
                <w:sz w:val="18"/>
                <w:szCs w:val="18"/>
                <w:lang w:val="hu-HU"/>
              </w:rPr>
              <w:t xml:space="preserve">, odbojkázik </w:t>
            </w:r>
            <w:r w:rsidR="000A53E1" w:rsidRPr="00FB4EFA">
              <w:rPr>
                <w:rFonts w:cs="Charis SIL"/>
                <w:sz w:val="18"/>
                <w:szCs w:val="18"/>
                <w:lang w:val="hu-HU"/>
              </w:rPr>
              <w:t>’</w:t>
            </w:r>
            <w:r w:rsidRPr="00FB4EFA">
              <w:rPr>
                <w:rFonts w:cs="Charis SIL"/>
                <w:sz w:val="18"/>
                <w:szCs w:val="18"/>
                <w:lang w:val="hu-HU"/>
              </w:rPr>
              <w:t>röplabdázik</w:t>
            </w:r>
            <w:r w:rsidR="007D6634" w:rsidRPr="00FB4EFA">
              <w:rPr>
                <w:rFonts w:cs="Charis SIL"/>
                <w:sz w:val="18"/>
                <w:szCs w:val="18"/>
                <w:lang w:val="hu-HU"/>
              </w:rPr>
              <w:t>’</w:t>
            </w:r>
            <w:r w:rsidRPr="00FB4EFA">
              <w:rPr>
                <w:rFonts w:cs="Charis SIL"/>
                <w:i/>
                <w:iCs/>
                <w:sz w:val="18"/>
                <w:szCs w:val="18"/>
                <w:lang w:val="hu-HU"/>
              </w:rPr>
              <w:t xml:space="preserve">, pancerka </w:t>
            </w:r>
            <w:r w:rsidR="002B6C5D" w:rsidRPr="00FB4EFA">
              <w:rPr>
                <w:rFonts w:cs="Charis SIL"/>
                <w:sz w:val="18"/>
                <w:szCs w:val="18"/>
                <w:lang w:val="hu-HU"/>
              </w:rPr>
              <w:t>’</w:t>
            </w:r>
            <w:r w:rsidRPr="00FB4EFA">
              <w:rPr>
                <w:rFonts w:cs="Charis SIL"/>
                <w:sz w:val="18"/>
                <w:szCs w:val="18"/>
                <w:lang w:val="hu-HU"/>
              </w:rPr>
              <w:t>sícipő</w:t>
            </w:r>
            <w:r w:rsidR="002B6C5D"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 xml:space="preserve">plavalni tecsaj </w:t>
            </w:r>
            <w:r w:rsidR="007D6634" w:rsidRPr="00FB4EFA">
              <w:rPr>
                <w:rFonts w:cs="Charis SIL"/>
                <w:sz w:val="18"/>
                <w:szCs w:val="18"/>
                <w:lang w:val="hu-HU"/>
              </w:rPr>
              <w:t>’</w:t>
            </w:r>
            <w:r w:rsidRPr="00FB4EFA">
              <w:rPr>
                <w:rFonts w:cs="Charis SIL"/>
                <w:sz w:val="18"/>
                <w:szCs w:val="18"/>
                <w:lang w:val="hu-HU"/>
              </w:rPr>
              <w:t>úszótanfolyam</w:t>
            </w:r>
            <w:r w:rsidR="007D6634"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 xml:space="preserve">plazsa </w:t>
            </w:r>
            <w:r w:rsidR="000A53E1" w:rsidRPr="00FB4EFA">
              <w:rPr>
                <w:rFonts w:cs="Charis SIL"/>
                <w:sz w:val="18"/>
                <w:szCs w:val="18"/>
                <w:lang w:val="hu-HU"/>
              </w:rPr>
              <w:t>’</w:t>
            </w:r>
            <w:r w:rsidRPr="00FB4EFA">
              <w:rPr>
                <w:rFonts w:cs="Charis SIL"/>
                <w:sz w:val="18"/>
                <w:szCs w:val="18"/>
                <w:lang w:val="hu-HU"/>
              </w:rPr>
              <w:t>tengerpart, strand</w:t>
            </w:r>
            <w:r w:rsidR="007D6634"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 xml:space="preserve">prikolica </w:t>
            </w:r>
            <w:r w:rsidR="007D6634" w:rsidRPr="00FB4EFA">
              <w:rPr>
                <w:rFonts w:cs="Charis SIL"/>
                <w:sz w:val="18"/>
                <w:szCs w:val="18"/>
                <w:lang w:val="hu-HU"/>
              </w:rPr>
              <w:t>’</w:t>
            </w:r>
            <w:r w:rsidRPr="00FB4EFA">
              <w:rPr>
                <w:rFonts w:cs="Charis SIL"/>
                <w:sz w:val="18"/>
                <w:szCs w:val="18"/>
                <w:lang w:val="hu-HU"/>
              </w:rPr>
              <w:t>1. utánfutó, 2. pótkocsi, 3. lakókocsi</w:t>
            </w:r>
            <w:r w:rsidR="007D6634" w:rsidRPr="00FB4EFA">
              <w:rPr>
                <w:rFonts w:cs="Charis SIL"/>
                <w:sz w:val="18"/>
                <w:szCs w:val="18"/>
                <w:lang w:val="hu-HU"/>
              </w:rPr>
              <w:t>’</w:t>
            </w:r>
            <w:r w:rsidRPr="00FB4EFA">
              <w:rPr>
                <w:rFonts w:cs="Charis SIL"/>
                <w:i/>
                <w:iCs/>
                <w:sz w:val="18"/>
                <w:szCs w:val="18"/>
                <w:lang w:val="hu-HU"/>
              </w:rPr>
              <w:t xml:space="preserve">, rokomet </w:t>
            </w:r>
            <w:r w:rsidR="007D6634" w:rsidRPr="00FB4EFA">
              <w:rPr>
                <w:rFonts w:cs="Charis SIL"/>
                <w:sz w:val="18"/>
                <w:szCs w:val="18"/>
                <w:lang w:val="hu-HU"/>
              </w:rPr>
              <w:t>’</w:t>
            </w:r>
            <w:r w:rsidRPr="00FB4EFA">
              <w:rPr>
                <w:rFonts w:cs="Charis SIL"/>
                <w:sz w:val="18"/>
                <w:szCs w:val="18"/>
                <w:lang w:val="hu-HU"/>
              </w:rPr>
              <w:t>kézilabda</w:t>
            </w:r>
            <w:r w:rsidR="007D6634" w:rsidRPr="00FB4EFA">
              <w:rPr>
                <w:rFonts w:cs="Charis SIL"/>
                <w:sz w:val="18"/>
                <w:szCs w:val="18"/>
                <w:lang w:val="hu-HU"/>
              </w:rPr>
              <w:t>’</w:t>
            </w:r>
            <w:r w:rsidRPr="00FB4EFA">
              <w:rPr>
                <w:rFonts w:cs="Charis SIL"/>
                <w:i/>
                <w:iCs/>
                <w:sz w:val="18"/>
                <w:szCs w:val="18"/>
                <w:lang w:val="hu-HU"/>
              </w:rPr>
              <w:t xml:space="preserve">, rolka </w:t>
            </w:r>
            <w:r w:rsidR="007D6634" w:rsidRPr="00FB4EFA">
              <w:rPr>
                <w:rFonts w:cs="Charis SIL"/>
                <w:sz w:val="18"/>
                <w:szCs w:val="18"/>
                <w:lang w:val="hu-HU"/>
              </w:rPr>
              <w:t>’</w:t>
            </w:r>
            <w:r w:rsidRPr="00FB4EFA">
              <w:rPr>
                <w:rFonts w:cs="Charis SIL"/>
                <w:sz w:val="18"/>
                <w:szCs w:val="18"/>
                <w:lang w:val="hu-HU"/>
              </w:rPr>
              <w:t>1. garbó, magas nyakú pulóver, 2. gördeszka</w:t>
            </w:r>
            <w:r w:rsidR="002B6C5D" w:rsidRPr="00FB4EFA">
              <w:rPr>
                <w:rFonts w:cs="Charis SIL"/>
                <w:sz w:val="18"/>
                <w:szCs w:val="18"/>
                <w:lang w:val="hu-HU"/>
              </w:rPr>
              <w:t>’</w:t>
            </w:r>
            <w:r w:rsidRPr="00FB4EFA">
              <w:rPr>
                <w:rFonts w:cs="Charis SIL"/>
                <w:i/>
                <w:iCs/>
                <w:sz w:val="18"/>
                <w:szCs w:val="18"/>
                <w:lang w:val="hu-HU"/>
              </w:rPr>
              <w:t xml:space="preserve">, rolkázik </w:t>
            </w:r>
            <w:r w:rsidR="002B6C5D" w:rsidRPr="00FB4EFA">
              <w:rPr>
                <w:rFonts w:cs="Charis SIL"/>
                <w:sz w:val="18"/>
                <w:szCs w:val="18"/>
                <w:lang w:val="hu-HU"/>
              </w:rPr>
              <w:t>’</w:t>
            </w:r>
            <w:r w:rsidRPr="00FB4EFA">
              <w:rPr>
                <w:rFonts w:cs="Charis SIL"/>
                <w:sz w:val="18"/>
                <w:szCs w:val="18"/>
                <w:lang w:val="hu-HU"/>
              </w:rPr>
              <w:t>gördeszkázik</w:t>
            </w:r>
            <w:r w:rsidR="002B6C5D" w:rsidRPr="00FB4EFA">
              <w:rPr>
                <w:rFonts w:cs="Charis SIL"/>
                <w:sz w:val="18"/>
                <w:szCs w:val="18"/>
                <w:lang w:val="hu-HU"/>
              </w:rPr>
              <w:t>’</w:t>
            </w:r>
            <w:r w:rsidRPr="00FB4EFA">
              <w:rPr>
                <w:rFonts w:cs="Charis SIL"/>
                <w:i/>
                <w:iCs/>
                <w:sz w:val="18"/>
                <w:szCs w:val="18"/>
                <w:lang w:val="hu-HU"/>
              </w:rPr>
              <w:t xml:space="preserve">, sörc </w:t>
            </w:r>
            <w:r w:rsidR="002B6C5D" w:rsidRPr="00FB4EFA">
              <w:rPr>
                <w:rFonts w:cs="Charis SIL"/>
                <w:sz w:val="18"/>
                <w:szCs w:val="18"/>
                <w:lang w:val="hu-HU"/>
              </w:rPr>
              <w:t>’</w:t>
            </w:r>
            <w:r w:rsidRPr="00FB4EFA">
              <w:rPr>
                <w:rFonts w:cs="Charis SIL"/>
                <w:sz w:val="18"/>
                <w:szCs w:val="18"/>
                <w:lang w:val="hu-HU"/>
              </w:rPr>
              <w:t>kötény (a fociban)</w:t>
            </w:r>
            <w:r w:rsidR="002B6C5D" w:rsidRPr="00FB4EFA">
              <w:rPr>
                <w:rFonts w:cs="Charis SIL"/>
                <w:sz w:val="18"/>
                <w:szCs w:val="18"/>
                <w:lang w:val="hu-HU"/>
              </w:rPr>
              <w:t>’</w:t>
            </w:r>
            <w:r w:rsidRPr="00FB4EFA">
              <w:rPr>
                <w:rFonts w:cs="Charis SIL"/>
                <w:i/>
                <w:iCs/>
                <w:sz w:val="18"/>
                <w:szCs w:val="18"/>
                <w:lang w:val="hu-HU"/>
              </w:rPr>
              <w:t xml:space="preserve">, szelotejp </w:t>
            </w:r>
            <w:r w:rsidRPr="00FB4EFA">
              <w:rPr>
                <w:rFonts w:cs="Charis SIL"/>
                <w:sz w:val="18"/>
                <w:szCs w:val="18"/>
                <w:lang w:val="hu-HU"/>
              </w:rPr>
              <w:t>’celluxszalag’</w:t>
            </w:r>
            <w:r w:rsidRPr="00FB4EFA">
              <w:rPr>
                <w:rFonts w:cs="Charis SIL"/>
                <w:i/>
                <w:iCs/>
                <w:sz w:val="18"/>
                <w:szCs w:val="18"/>
                <w:lang w:val="hu-HU"/>
              </w:rPr>
              <w:t xml:space="preserve">, szmájli </w:t>
            </w:r>
            <w:r w:rsidR="002B6C5D" w:rsidRPr="00FB4EFA">
              <w:rPr>
                <w:rFonts w:cs="Charis SIL"/>
                <w:sz w:val="18"/>
                <w:szCs w:val="18"/>
                <w:lang w:val="hu-HU"/>
              </w:rPr>
              <w:t>’</w:t>
            </w:r>
            <w:r w:rsidRPr="00FB4EFA">
              <w:rPr>
                <w:rFonts w:cs="Charis SIL"/>
                <w:sz w:val="18"/>
                <w:szCs w:val="18"/>
                <w:lang w:val="hu-HU"/>
              </w:rPr>
              <w:t>hangulatjel</w:t>
            </w:r>
            <w:r w:rsidR="002B6C5D"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szmesko</w:t>
            </w:r>
            <w:r w:rsidRPr="00FB4EFA">
              <w:rPr>
                <w:rFonts w:cs="Charis SIL"/>
                <w:sz w:val="18"/>
                <w:szCs w:val="18"/>
                <w:lang w:val="hu-HU"/>
              </w:rPr>
              <w:t xml:space="preserve"> </w:t>
            </w:r>
            <w:r w:rsidR="002B6C5D" w:rsidRPr="00FB4EFA">
              <w:rPr>
                <w:rFonts w:cs="Charis SIL"/>
                <w:sz w:val="18"/>
                <w:szCs w:val="18"/>
                <w:lang w:val="hu-HU"/>
              </w:rPr>
              <w:t>’</w:t>
            </w:r>
            <w:r w:rsidRPr="00FB4EFA">
              <w:rPr>
                <w:rFonts w:cs="Charis SIL"/>
                <w:sz w:val="18"/>
                <w:szCs w:val="18"/>
                <w:lang w:val="hu-HU"/>
              </w:rPr>
              <w:t>hangulatjel</w:t>
            </w:r>
            <w:r w:rsidR="002B6C5D"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 xml:space="preserve">sztártászka </w:t>
            </w:r>
            <w:r w:rsidR="002B6C5D" w:rsidRPr="00FB4EFA">
              <w:rPr>
                <w:rFonts w:cs="Charis SIL"/>
                <w:sz w:val="18"/>
                <w:szCs w:val="18"/>
                <w:lang w:val="hu-HU"/>
              </w:rPr>
              <w:t>’</w:t>
            </w:r>
            <w:r w:rsidRPr="00FB4EFA">
              <w:rPr>
                <w:rFonts w:cs="Charis SIL"/>
                <w:sz w:val="18"/>
                <w:szCs w:val="18"/>
                <w:lang w:val="hu-HU"/>
              </w:rPr>
              <w:t>vászon felsőrészű, könnyű sportcipő, tornacipő, edzőcipő</w:t>
            </w:r>
            <w:r w:rsidR="002B6C5D" w:rsidRPr="00FB4EFA">
              <w:rPr>
                <w:rFonts w:cs="Charis SIL"/>
                <w:sz w:val="18"/>
                <w:szCs w:val="18"/>
                <w:lang w:val="hu-HU"/>
              </w:rPr>
              <w:t>’</w:t>
            </w:r>
            <w:r w:rsidRPr="00FB4EFA">
              <w:rPr>
                <w:rFonts w:cs="Charis SIL"/>
                <w:sz w:val="18"/>
                <w:szCs w:val="18"/>
                <w:lang w:val="hu-HU"/>
              </w:rPr>
              <w:t>,</w:t>
            </w:r>
            <w:r w:rsidRPr="00FB4EFA">
              <w:rPr>
                <w:rFonts w:cs="Charis SIL"/>
                <w:i/>
                <w:iCs/>
                <w:sz w:val="18"/>
                <w:szCs w:val="18"/>
                <w:lang w:val="hu-HU"/>
              </w:rPr>
              <w:t xml:space="preserve"> telovadnica </w:t>
            </w:r>
            <w:r w:rsidR="002B6C5D" w:rsidRPr="00FB4EFA">
              <w:rPr>
                <w:rFonts w:cs="Charis SIL"/>
                <w:sz w:val="18"/>
                <w:szCs w:val="18"/>
                <w:lang w:val="hu-HU"/>
              </w:rPr>
              <w:t>’</w:t>
            </w:r>
            <w:r w:rsidRPr="00FB4EFA">
              <w:rPr>
                <w:rFonts w:cs="Charis SIL"/>
                <w:sz w:val="18"/>
                <w:szCs w:val="18"/>
                <w:lang w:val="hu-HU"/>
              </w:rPr>
              <w:t>tornaterem, edzőterem</w:t>
            </w:r>
            <w:r w:rsidR="002B6C5D"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 xml:space="preserve">tobogán </w:t>
            </w:r>
            <w:r w:rsidR="002B6C5D" w:rsidRPr="00FB4EFA">
              <w:rPr>
                <w:rFonts w:cs="Charis SIL"/>
                <w:sz w:val="18"/>
                <w:szCs w:val="18"/>
                <w:lang w:val="hu-HU"/>
              </w:rPr>
              <w:t>’</w:t>
            </w:r>
            <w:r w:rsidRPr="00FB4EFA">
              <w:rPr>
                <w:rFonts w:cs="Charis SIL"/>
                <w:sz w:val="18"/>
                <w:szCs w:val="18"/>
                <w:lang w:val="hu-HU"/>
              </w:rPr>
              <w:t>csúszda</w:t>
            </w:r>
            <w:r w:rsidR="002B6C5D"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trénerka</w:t>
            </w:r>
            <w:r w:rsidRPr="00FB4EFA">
              <w:rPr>
                <w:rFonts w:cs="Charis SIL"/>
                <w:sz w:val="18"/>
                <w:szCs w:val="18"/>
                <w:lang w:val="hu-HU"/>
              </w:rPr>
              <w:t xml:space="preserve"> </w:t>
            </w:r>
            <w:r w:rsidR="002B6C5D" w:rsidRPr="00FB4EFA">
              <w:rPr>
                <w:rFonts w:cs="Charis SIL"/>
                <w:sz w:val="18"/>
                <w:szCs w:val="18"/>
                <w:lang w:val="hu-HU"/>
              </w:rPr>
              <w:t>’</w:t>
            </w:r>
            <w:r w:rsidRPr="00FB4EFA">
              <w:rPr>
                <w:rFonts w:cs="Charis SIL"/>
                <w:sz w:val="18"/>
                <w:szCs w:val="18"/>
                <w:lang w:val="hu-HU"/>
              </w:rPr>
              <w:t>tréningruha, szabadidőruha</w:t>
            </w:r>
            <w:r w:rsidR="002B6C5D" w:rsidRPr="00FB4EFA">
              <w:rPr>
                <w:rFonts w:cs="Charis SIL"/>
                <w:sz w:val="18"/>
                <w:szCs w:val="18"/>
                <w:lang w:val="hu-HU"/>
              </w:rPr>
              <w:t>’</w:t>
            </w:r>
            <w:r w:rsidRPr="00FB4EFA">
              <w:rPr>
                <w:rFonts w:cs="Charis SIL"/>
                <w:sz w:val="18"/>
                <w:szCs w:val="18"/>
                <w:lang w:val="hu-HU"/>
              </w:rPr>
              <w:t xml:space="preserve">, </w:t>
            </w:r>
            <w:r w:rsidRPr="00FB4EFA">
              <w:rPr>
                <w:rFonts w:cs="Charis SIL"/>
                <w:i/>
                <w:iCs/>
                <w:sz w:val="18"/>
                <w:szCs w:val="18"/>
                <w:lang w:val="hu-HU"/>
              </w:rPr>
              <w:t xml:space="preserve">turnir </w:t>
            </w:r>
            <w:r w:rsidR="002B6C5D" w:rsidRPr="00FB4EFA">
              <w:rPr>
                <w:rFonts w:cs="Charis SIL"/>
                <w:sz w:val="18"/>
                <w:szCs w:val="18"/>
                <w:lang w:val="hu-HU"/>
              </w:rPr>
              <w:t>’</w:t>
            </w:r>
            <w:r w:rsidRPr="00FB4EFA">
              <w:rPr>
                <w:rFonts w:cs="Charis SIL"/>
                <w:sz w:val="18"/>
                <w:szCs w:val="18"/>
                <w:lang w:val="hu-HU"/>
              </w:rPr>
              <w:t>sportverseny</w:t>
            </w:r>
            <w:r w:rsidR="002B6C5D" w:rsidRPr="00FB4EFA">
              <w:rPr>
                <w:rFonts w:cs="Charis SIL"/>
                <w:sz w:val="18"/>
                <w:szCs w:val="18"/>
                <w:lang w:val="hu-HU"/>
              </w:rPr>
              <w:t>’</w:t>
            </w:r>
            <w:r w:rsidRPr="00FB4EFA">
              <w:rPr>
                <w:rFonts w:cs="Charis SIL"/>
                <w:i/>
                <w:iCs/>
                <w:sz w:val="18"/>
                <w:szCs w:val="18"/>
                <w:lang w:val="hu-HU"/>
              </w:rPr>
              <w:t xml:space="preserve">, vikendica </w:t>
            </w:r>
            <w:r w:rsidR="002B6C5D" w:rsidRPr="00FB4EFA">
              <w:rPr>
                <w:rFonts w:cs="Charis SIL"/>
                <w:sz w:val="18"/>
                <w:szCs w:val="18"/>
                <w:lang w:val="hu-HU"/>
              </w:rPr>
              <w:t>’</w:t>
            </w:r>
            <w:r w:rsidRPr="00FB4EFA">
              <w:rPr>
                <w:rFonts w:cs="Charis SIL"/>
                <w:sz w:val="18"/>
                <w:szCs w:val="18"/>
                <w:lang w:val="hu-HU"/>
              </w:rPr>
              <w:t>nyaraló, víkendház</w:t>
            </w:r>
            <w:r w:rsidR="002B6C5D" w:rsidRPr="00FB4EFA">
              <w:rPr>
                <w:rFonts w:cs="Charis SIL"/>
                <w:sz w:val="18"/>
                <w:szCs w:val="18"/>
                <w:lang w:val="hu-HU"/>
              </w:rPr>
              <w:t>’</w:t>
            </w:r>
            <w:r w:rsidRPr="00FB4EFA">
              <w:rPr>
                <w:rFonts w:cs="Charis SIL"/>
                <w:i/>
                <w:iCs/>
                <w:sz w:val="18"/>
                <w:szCs w:val="18"/>
                <w:lang w:val="hu-HU"/>
              </w:rPr>
              <w:t xml:space="preserve">, zsogica </w:t>
            </w:r>
            <w:r w:rsidR="002B6C5D" w:rsidRPr="00FB4EFA">
              <w:rPr>
                <w:rFonts w:cs="Charis SIL"/>
                <w:sz w:val="18"/>
                <w:szCs w:val="18"/>
                <w:lang w:val="hu-HU"/>
              </w:rPr>
              <w:t>’</w:t>
            </w:r>
            <w:r w:rsidRPr="00FB4EFA">
              <w:rPr>
                <w:rFonts w:cs="Charis SIL"/>
                <w:sz w:val="18"/>
                <w:szCs w:val="18"/>
                <w:lang w:val="hu-HU"/>
              </w:rPr>
              <w:t>labda</w:t>
            </w:r>
            <w:r w:rsidR="002B6C5D" w:rsidRPr="00FB4EFA">
              <w:rPr>
                <w:rFonts w:cs="Charis SIL"/>
                <w:sz w:val="18"/>
                <w:szCs w:val="18"/>
                <w:lang w:val="hu-HU"/>
              </w:rPr>
              <w:t>’</w:t>
            </w:r>
          </w:p>
        </w:tc>
      </w:tr>
      <w:tr w:rsidR="00FB4EFA" w:rsidRPr="00FB4EFA" w14:paraId="7503CE27" w14:textId="77777777" w:rsidTr="00C20091">
        <w:tc>
          <w:tcPr>
            <w:tcW w:w="1668" w:type="dxa"/>
            <w:tcBorders>
              <w:left w:val="nil"/>
              <w:right w:val="single" w:sz="12" w:space="0" w:color="auto"/>
            </w:tcBorders>
            <w:shd w:val="clear" w:color="auto" w:fill="auto"/>
          </w:tcPr>
          <w:p w14:paraId="4E4612DE" w14:textId="77777777" w:rsidR="005E68D9" w:rsidRPr="00FB4EFA" w:rsidRDefault="005E68D9" w:rsidP="00565CC1">
            <w:pPr>
              <w:keepNext/>
              <w:spacing w:line="240" w:lineRule="auto"/>
              <w:jc w:val="left"/>
              <w:rPr>
                <w:rFonts w:cs="Charis SIL"/>
                <w:sz w:val="18"/>
                <w:szCs w:val="18"/>
                <w:lang w:val="hu-HU"/>
              </w:rPr>
            </w:pPr>
            <w:r w:rsidRPr="00FB4EFA">
              <w:rPr>
                <w:rFonts w:cs="Charis SIL"/>
                <w:sz w:val="18"/>
                <w:szCs w:val="18"/>
                <w:lang w:val="hu-HU"/>
              </w:rPr>
              <w:t>Alaki kölcsönszó</w:t>
            </w:r>
          </w:p>
        </w:tc>
        <w:tc>
          <w:tcPr>
            <w:tcW w:w="5246" w:type="dxa"/>
            <w:tcBorders>
              <w:left w:val="single" w:sz="12" w:space="0" w:color="auto"/>
              <w:right w:val="nil"/>
            </w:tcBorders>
            <w:shd w:val="clear" w:color="auto" w:fill="auto"/>
          </w:tcPr>
          <w:p w14:paraId="714EBF0A" w14:textId="77777777" w:rsidR="005E68D9" w:rsidRPr="00FB4EFA" w:rsidRDefault="005E68D9" w:rsidP="00312ECF">
            <w:pPr>
              <w:keepNext/>
              <w:suppressAutoHyphens/>
              <w:spacing w:line="240" w:lineRule="auto"/>
              <w:rPr>
                <w:rFonts w:cs="Charis SIL"/>
                <w:sz w:val="18"/>
                <w:szCs w:val="18"/>
                <w:lang w:val="hu-HU"/>
              </w:rPr>
            </w:pPr>
            <w:r w:rsidRPr="00FB4EFA">
              <w:rPr>
                <w:rFonts w:cs="Charis SIL"/>
                <w:i/>
                <w:iCs/>
                <w:sz w:val="18"/>
                <w:szCs w:val="18"/>
                <w:lang w:val="hu-HU"/>
              </w:rPr>
              <w:t xml:space="preserve">folklora </w:t>
            </w:r>
            <w:r w:rsidRPr="00FB4EFA">
              <w:rPr>
                <w:rFonts w:cs="Charis SIL"/>
                <w:sz w:val="18"/>
                <w:szCs w:val="18"/>
                <w:lang w:val="hu-HU"/>
              </w:rPr>
              <w:t xml:space="preserve">’néptáncszakkör, </w:t>
            </w:r>
            <w:r w:rsidRPr="00FB4EFA">
              <w:rPr>
                <w:rFonts w:cs="Charis SIL"/>
                <w:i/>
                <w:iCs/>
                <w:sz w:val="18"/>
                <w:szCs w:val="18"/>
                <w:lang w:val="hu-HU"/>
              </w:rPr>
              <w:t xml:space="preserve">garderoba </w:t>
            </w:r>
            <w:r w:rsidRPr="00FB4EFA">
              <w:rPr>
                <w:rFonts w:cs="Charis SIL"/>
                <w:sz w:val="18"/>
                <w:szCs w:val="18"/>
                <w:lang w:val="hu-HU"/>
              </w:rPr>
              <w:t>’ruhatár, gardrób’,</w:t>
            </w:r>
            <w:r w:rsidRPr="00FB4EFA">
              <w:rPr>
                <w:rFonts w:cs="Charis SIL"/>
                <w:i/>
                <w:iCs/>
                <w:sz w:val="18"/>
                <w:szCs w:val="18"/>
                <w:lang w:val="hu-HU"/>
              </w:rPr>
              <w:t xml:space="preserve"> kanu </w:t>
            </w:r>
            <w:r w:rsidRPr="00FB4EFA">
              <w:rPr>
                <w:rFonts w:cs="Charis SIL"/>
                <w:sz w:val="18"/>
                <w:szCs w:val="18"/>
                <w:lang w:val="hu-HU"/>
              </w:rPr>
              <w:t>’kenu’</w:t>
            </w:r>
            <w:r w:rsidRPr="00FB4EFA">
              <w:rPr>
                <w:rFonts w:cs="Charis SIL"/>
                <w:i/>
                <w:iCs/>
                <w:sz w:val="18"/>
                <w:szCs w:val="18"/>
                <w:lang w:val="hu-HU"/>
              </w:rPr>
              <w:t xml:space="preserve">, rezerva </w:t>
            </w:r>
            <w:r w:rsidRPr="00FB4EFA">
              <w:rPr>
                <w:rFonts w:cs="Charis SIL"/>
                <w:sz w:val="18"/>
                <w:szCs w:val="18"/>
                <w:lang w:val="hu-HU"/>
              </w:rPr>
              <w:t>’tartalékjátékos’</w:t>
            </w:r>
          </w:p>
        </w:tc>
      </w:tr>
      <w:tr w:rsidR="00FB4EFA" w:rsidRPr="00FB4EFA" w14:paraId="06DCAB95" w14:textId="77777777" w:rsidTr="00C20091">
        <w:tc>
          <w:tcPr>
            <w:tcW w:w="1668" w:type="dxa"/>
            <w:tcBorders>
              <w:left w:val="nil"/>
              <w:right w:val="single" w:sz="12" w:space="0" w:color="auto"/>
            </w:tcBorders>
            <w:shd w:val="clear" w:color="auto" w:fill="auto"/>
          </w:tcPr>
          <w:p w14:paraId="2E08A12F" w14:textId="77777777" w:rsidR="005E68D9" w:rsidRPr="00FB4EFA" w:rsidRDefault="005E68D9" w:rsidP="00565CC1">
            <w:pPr>
              <w:keepNext/>
              <w:spacing w:line="240" w:lineRule="auto"/>
              <w:jc w:val="left"/>
              <w:rPr>
                <w:rFonts w:cs="Charis SIL"/>
                <w:sz w:val="18"/>
                <w:szCs w:val="18"/>
                <w:lang w:val="hu-HU"/>
              </w:rPr>
            </w:pPr>
            <w:r w:rsidRPr="00FB4EFA">
              <w:rPr>
                <w:rFonts w:cs="Charis SIL"/>
                <w:sz w:val="18"/>
                <w:szCs w:val="18"/>
                <w:lang w:val="hu-HU"/>
              </w:rPr>
              <w:t>Hibrid tükörszó vagy -szerkezet</w:t>
            </w:r>
          </w:p>
        </w:tc>
        <w:tc>
          <w:tcPr>
            <w:tcW w:w="5246" w:type="dxa"/>
            <w:tcBorders>
              <w:left w:val="single" w:sz="12" w:space="0" w:color="auto"/>
              <w:right w:val="nil"/>
            </w:tcBorders>
            <w:shd w:val="clear" w:color="auto" w:fill="auto"/>
          </w:tcPr>
          <w:p w14:paraId="1C1C5B06" w14:textId="77777777" w:rsidR="005E68D9" w:rsidRPr="00FB4EFA" w:rsidRDefault="005E68D9" w:rsidP="00312ECF">
            <w:pPr>
              <w:keepNext/>
              <w:suppressAutoHyphens/>
              <w:spacing w:line="240" w:lineRule="auto"/>
              <w:rPr>
                <w:rFonts w:cs="Charis SIL"/>
                <w:i/>
                <w:iCs/>
                <w:sz w:val="18"/>
                <w:szCs w:val="18"/>
                <w:lang w:val="hu-HU"/>
              </w:rPr>
            </w:pPr>
            <w:r w:rsidRPr="00FB4EFA">
              <w:rPr>
                <w:rFonts w:cs="Charis SIL"/>
                <w:i/>
                <w:iCs/>
                <w:sz w:val="18"/>
                <w:szCs w:val="18"/>
                <w:lang w:val="hu-HU"/>
              </w:rPr>
              <w:t xml:space="preserve">bográcsfeszt </w:t>
            </w:r>
            <w:r w:rsidRPr="00FB4EFA">
              <w:rPr>
                <w:rFonts w:cs="Charis SIL"/>
                <w:sz w:val="18"/>
                <w:szCs w:val="18"/>
                <w:lang w:val="hu-HU"/>
              </w:rPr>
              <w:t>’bográcsfőző verseny’</w:t>
            </w:r>
            <w:r w:rsidRPr="00FB4EFA">
              <w:rPr>
                <w:rFonts w:cs="Charis SIL"/>
                <w:i/>
                <w:iCs/>
                <w:sz w:val="18"/>
                <w:szCs w:val="18"/>
                <w:lang w:val="hu-HU"/>
              </w:rPr>
              <w:t xml:space="preserve">, odbojkát játszik </w:t>
            </w:r>
            <w:r w:rsidRPr="00FB4EFA">
              <w:rPr>
                <w:rFonts w:cs="Charis SIL"/>
                <w:sz w:val="18"/>
                <w:szCs w:val="18"/>
                <w:lang w:val="hu-HU"/>
              </w:rPr>
              <w:t xml:space="preserve">’röplabdázik’, </w:t>
            </w:r>
            <w:r w:rsidRPr="00FB4EFA">
              <w:rPr>
                <w:rFonts w:cs="Charis SIL"/>
                <w:i/>
                <w:iCs/>
                <w:sz w:val="18"/>
                <w:szCs w:val="18"/>
                <w:lang w:val="hu-HU"/>
              </w:rPr>
              <w:t xml:space="preserve">pókafeszt </w:t>
            </w:r>
            <w:r w:rsidRPr="00FB4EFA">
              <w:rPr>
                <w:rFonts w:cs="Charis SIL"/>
                <w:sz w:val="18"/>
                <w:szCs w:val="18"/>
                <w:lang w:val="hu-HU"/>
              </w:rPr>
              <w:t>’falunap Pincén, pulykafesztivál’</w:t>
            </w:r>
            <w:r w:rsidRPr="00FB4EFA">
              <w:rPr>
                <w:rFonts w:cs="Charis SIL"/>
                <w:i/>
                <w:iCs/>
                <w:sz w:val="18"/>
                <w:szCs w:val="18"/>
                <w:lang w:val="hu-HU"/>
              </w:rPr>
              <w:t xml:space="preserve"> </w:t>
            </w:r>
          </w:p>
        </w:tc>
      </w:tr>
      <w:tr w:rsidR="00FB4EFA" w:rsidRPr="00FB4EFA" w14:paraId="3F57FECA" w14:textId="77777777" w:rsidTr="00C20091">
        <w:tc>
          <w:tcPr>
            <w:tcW w:w="1668" w:type="dxa"/>
            <w:tcBorders>
              <w:left w:val="nil"/>
              <w:right w:val="single" w:sz="12" w:space="0" w:color="auto"/>
            </w:tcBorders>
            <w:shd w:val="clear" w:color="auto" w:fill="auto"/>
          </w:tcPr>
          <w:p w14:paraId="5AAF21A8" w14:textId="3960E45E" w:rsidR="005E68D9" w:rsidRPr="00FB4EFA" w:rsidRDefault="005E68D9" w:rsidP="00565CC1">
            <w:pPr>
              <w:keepNext/>
              <w:spacing w:line="240" w:lineRule="auto"/>
              <w:jc w:val="left"/>
              <w:rPr>
                <w:rFonts w:cs="Charis SIL"/>
                <w:sz w:val="18"/>
                <w:szCs w:val="18"/>
                <w:lang w:val="hu-HU"/>
              </w:rPr>
            </w:pPr>
            <w:r w:rsidRPr="00FB4EFA">
              <w:rPr>
                <w:rFonts w:cs="Charis SIL"/>
                <w:sz w:val="18"/>
                <w:szCs w:val="18"/>
                <w:lang w:val="hu-HU"/>
              </w:rPr>
              <w:t xml:space="preserve">Jelentésbeli </w:t>
            </w:r>
            <w:r w:rsidR="00565CC1">
              <w:rPr>
                <w:rFonts w:cs="Charis SIL"/>
                <w:sz w:val="18"/>
                <w:szCs w:val="18"/>
                <w:lang w:val="hu-HU"/>
              </w:rPr>
              <w:br/>
            </w:r>
            <w:r w:rsidRPr="00FB4EFA">
              <w:rPr>
                <w:rFonts w:cs="Charis SIL"/>
                <w:sz w:val="18"/>
                <w:szCs w:val="18"/>
                <w:lang w:val="hu-HU"/>
              </w:rPr>
              <w:t>kölcsönszó</w:t>
            </w:r>
          </w:p>
        </w:tc>
        <w:tc>
          <w:tcPr>
            <w:tcW w:w="5246" w:type="dxa"/>
            <w:tcBorders>
              <w:left w:val="single" w:sz="12" w:space="0" w:color="auto"/>
              <w:right w:val="nil"/>
            </w:tcBorders>
            <w:shd w:val="clear" w:color="auto" w:fill="auto"/>
          </w:tcPr>
          <w:p w14:paraId="0BAB2285" w14:textId="77777777" w:rsidR="005E68D9" w:rsidRPr="00FB4EFA" w:rsidRDefault="005E68D9" w:rsidP="00312ECF">
            <w:pPr>
              <w:keepNext/>
              <w:suppressAutoHyphens/>
              <w:spacing w:line="240" w:lineRule="auto"/>
              <w:rPr>
                <w:rFonts w:cs="Charis SIL"/>
                <w:i/>
                <w:iCs/>
                <w:sz w:val="18"/>
                <w:szCs w:val="18"/>
                <w:lang w:val="hu-HU"/>
              </w:rPr>
            </w:pPr>
            <w:r w:rsidRPr="00FB4EFA">
              <w:rPr>
                <w:rFonts w:cs="Charis SIL"/>
                <w:i/>
                <w:iCs/>
                <w:sz w:val="18"/>
                <w:szCs w:val="18"/>
                <w:lang w:val="hu-HU"/>
              </w:rPr>
              <w:t>ábrahám</w:t>
            </w:r>
            <w:r w:rsidRPr="00FB4EFA">
              <w:rPr>
                <w:rFonts w:cs="Charis SIL"/>
                <w:sz w:val="18"/>
                <w:szCs w:val="18"/>
                <w:lang w:val="hu-HU"/>
              </w:rPr>
              <w:t xml:space="preserve"> ’vkinek az 50. születésnapja, annak megünneplése’</w:t>
            </w:r>
            <w:r w:rsidRPr="00FB4EFA">
              <w:rPr>
                <w:rFonts w:cs="Charis SIL"/>
                <w:i/>
                <w:iCs/>
                <w:sz w:val="18"/>
                <w:szCs w:val="18"/>
                <w:lang w:val="hu-HU"/>
              </w:rPr>
              <w:t>, kimegy</w:t>
            </w:r>
            <w:r w:rsidRPr="00FB4EFA">
              <w:rPr>
                <w:rFonts w:cs="Charis SIL"/>
                <w:sz w:val="18"/>
                <w:szCs w:val="18"/>
                <w:lang w:val="hu-HU"/>
              </w:rPr>
              <w:t>’szórakozni megy, szórakozik’,</w:t>
            </w:r>
            <w:r w:rsidRPr="00FB4EFA">
              <w:rPr>
                <w:rFonts w:cs="Charis SIL"/>
                <w:i/>
                <w:iCs/>
                <w:sz w:val="18"/>
                <w:szCs w:val="18"/>
                <w:lang w:val="hu-HU"/>
              </w:rPr>
              <w:t xml:space="preserve"> kosárka</w:t>
            </w:r>
            <w:r w:rsidRPr="00FB4EFA">
              <w:rPr>
                <w:rFonts w:cs="Charis SIL"/>
                <w:sz w:val="18"/>
                <w:szCs w:val="18"/>
                <w:lang w:val="hu-HU"/>
              </w:rPr>
              <w:t xml:space="preserve"> ’kosárlabda’</w:t>
            </w:r>
            <w:r w:rsidRPr="00FB4EFA">
              <w:rPr>
                <w:rFonts w:cs="Charis SIL"/>
                <w:i/>
                <w:iCs/>
                <w:sz w:val="18"/>
                <w:szCs w:val="18"/>
                <w:lang w:val="hu-HU"/>
              </w:rPr>
              <w:t>, kosárkázik</w:t>
            </w:r>
            <w:r w:rsidRPr="00FB4EFA">
              <w:rPr>
                <w:rFonts w:cs="Charis SIL"/>
                <w:sz w:val="18"/>
                <w:szCs w:val="18"/>
                <w:lang w:val="hu-HU"/>
              </w:rPr>
              <w:t xml:space="preserve"> ’kosárlabdázik’ </w:t>
            </w:r>
            <w:r w:rsidRPr="00FB4EFA">
              <w:rPr>
                <w:rFonts w:cs="Charis SIL"/>
                <w:i/>
                <w:iCs/>
                <w:sz w:val="18"/>
                <w:szCs w:val="18"/>
                <w:lang w:val="hu-HU"/>
              </w:rPr>
              <w:t xml:space="preserve">lambadázik </w:t>
            </w:r>
            <w:r w:rsidRPr="00FB4EFA">
              <w:rPr>
                <w:rFonts w:cs="Charis SIL"/>
                <w:sz w:val="18"/>
                <w:szCs w:val="18"/>
                <w:lang w:val="hu-HU"/>
              </w:rPr>
              <w:t>’vásárol, shoppingol, plázázik’</w:t>
            </w:r>
            <w:r w:rsidRPr="00FB4EFA">
              <w:rPr>
                <w:rFonts w:cs="Charis SIL"/>
                <w:i/>
                <w:iCs/>
                <w:sz w:val="18"/>
                <w:szCs w:val="18"/>
                <w:lang w:val="hu-HU"/>
              </w:rPr>
              <w:t>, pecáz ’</w:t>
            </w:r>
            <w:r w:rsidRPr="00FB4EFA">
              <w:rPr>
                <w:rFonts w:cs="Charis SIL"/>
                <w:sz w:val="18"/>
                <w:szCs w:val="18"/>
                <w:lang w:val="hu-HU"/>
              </w:rPr>
              <w:t>lányok után jár, lányt keres magának’;</w:t>
            </w:r>
            <w:r w:rsidRPr="00FB4EFA">
              <w:rPr>
                <w:rFonts w:cs="Charis SIL"/>
                <w:i/>
                <w:iCs/>
                <w:sz w:val="18"/>
                <w:szCs w:val="18"/>
                <w:lang w:val="hu-HU"/>
              </w:rPr>
              <w:t xml:space="preserve"> rekreáció </w:t>
            </w:r>
            <w:r w:rsidRPr="00FB4EFA">
              <w:rPr>
                <w:rFonts w:cs="Charis SIL"/>
                <w:sz w:val="18"/>
                <w:szCs w:val="18"/>
                <w:lang w:val="hu-HU"/>
              </w:rPr>
              <w:t>’üdülés, pihenés, kikapcsolódás’</w:t>
            </w:r>
            <w:r w:rsidRPr="00FB4EFA">
              <w:rPr>
                <w:rFonts w:cs="Charis SIL"/>
                <w:i/>
                <w:iCs/>
                <w:sz w:val="18"/>
                <w:szCs w:val="18"/>
                <w:lang w:val="hu-HU"/>
              </w:rPr>
              <w:t xml:space="preserve"> </w:t>
            </w:r>
          </w:p>
        </w:tc>
      </w:tr>
      <w:tr w:rsidR="00FB4EFA" w:rsidRPr="00FB4EFA" w14:paraId="5FD946AD" w14:textId="77777777" w:rsidTr="00C20091">
        <w:tc>
          <w:tcPr>
            <w:tcW w:w="1668" w:type="dxa"/>
            <w:tcBorders>
              <w:left w:val="nil"/>
              <w:right w:val="single" w:sz="12" w:space="0" w:color="auto"/>
            </w:tcBorders>
            <w:shd w:val="clear" w:color="auto" w:fill="auto"/>
          </w:tcPr>
          <w:p w14:paraId="2DD6673F" w14:textId="08FDAA70" w:rsidR="005E68D9" w:rsidRPr="00FB4EFA" w:rsidRDefault="005E68D9" w:rsidP="00565CC1">
            <w:pPr>
              <w:keepNext/>
              <w:spacing w:line="240" w:lineRule="auto"/>
              <w:jc w:val="left"/>
              <w:rPr>
                <w:rFonts w:cs="Charis SIL"/>
                <w:sz w:val="18"/>
                <w:szCs w:val="18"/>
                <w:lang w:val="hu-HU"/>
              </w:rPr>
            </w:pPr>
            <w:r w:rsidRPr="00FB4EFA">
              <w:rPr>
                <w:rFonts w:cs="Charis SIL"/>
                <w:sz w:val="18"/>
                <w:szCs w:val="18"/>
                <w:lang w:val="hu-HU"/>
              </w:rPr>
              <w:t xml:space="preserve">Stílusbeli </w:t>
            </w:r>
            <w:r w:rsidR="00565CC1">
              <w:rPr>
                <w:rFonts w:cs="Charis SIL"/>
                <w:sz w:val="18"/>
                <w:szCs w:val="18"/>
                <w:lang w:val="hu-HU"/>
              </w:rPr>
              <w:br/>
            </w:r>
            <w:r w:rsidRPr="00FB4EFA">
              <w:rPr>
                <w:rFonts w:cs="Charis SIL"/>
                <w:sz w:val="18"/>
                <w:szCs w:val="18"/>
                <w:lang w:val="hu-HU"/>
              </w:rPr>
              <w:t>kölcsönszó</w:t>
            </w:r>
          </w:p>
        </w:tc>
        <w:tc>
          <w:tcPr>
            <w:tcW w:w="5246" w:type="dxa"/>
            <w:tcBorders>
              <w:left w:val="single" w:sz="12" w:space="0" w:color="auto"/>
              <w:right w:val="nil"/>
            </w:tcBorders>
            <w:shd w:val="clear" w:color="auto" w:fill="auto"/>
          </w:tcPr>
          <w:p w14:paraId="1543A9E4" w14:textId="5D47FE2B" w:rsidR="005E68D9" w:rsidRPr="00FB4EFA" w:rsidRDefault="005E68D9" w:rsidP="00312ECF">
            <w:pPr>
              <w:keepNext/>
              <w:suppressAutoHyphens/>
              <w:spacing w:line="240" w:lineRule="auto"/>
              <w:rPr>
                <w:rFonts w:cs="Charis SIL"/>
                <w:i/>
                <w:iCs/>
                <w:sz w:val="18"/>
                <w:szCs w:val="18"/>
                <w:lang w:val="hu-HU"/>
              </w:rPr>
            </w:pPr>
            <w:r w:rsidRPr="00FB4EFA">
              <w:rPr>
                <w:rFonts w:cs="Charis SIL"/>
                <w:i/>
                <w:iCs/>
                <w:sz w:val="18"/>
                <w:szCs w:val="18"/>
                <w:lang w:val="hu-HU"/>
              </w:rPr>
              <w:t xml:space="preserve">ringispíl </w:t>
            </w:r>
            <w:r w:rsidRPr="00FB4EFA">
              <w:rPr>
                <w:rFonts w:cs="Charis SIL"/>
                <w:sz w:val="18"/>
                <w:szCs w:val="18"/>
                <w:lang w:val="hu-HU"/>
              </w:rPr>
              <w:t>’körhinta’</w:t>
            </w:r>
          </w:p>
        </w:tc>
      </w:tr>
      <w:tr w:rsidR="00FB4EFA" w:rsidRPr="00FB4EFA" w14:paraId="27B49540" w14:textId="77777777" w:rsidTr="00C20091">
        <w:tc>
          <w:tcPr>
            <w:tcW w:w="1668" w:type="dxa"/>
            <w:tcBorders>
              <w:left w:val="nil"/>
              <w:bottom w:val="nil"/>
              <w:right w:val="single" w:sz="12" w:space="0" w:color="auto"/>
            </w:tcBorders>
            <w:shd w:val="clear" w:color="auto" w:fill="auto"/>
          </w:tcPr>
          <w:p w14:paraId="2D793331" w14:textId="6DE36210" w:rsidR="005E68D9" w:rsidRPr="00FB4EFA" w:rsidRDefault="005E68D9" w:rsidP="00565CC1">
            <w:pPr>
              <w:keepNext/>
              <w:spacing w:line="240" w:lineRule="auto"/>
              <w:jc w:val="left"/>
              <w:rPr>
                <w:rFonts w:cs="Charis SIL"/>
                <w:sz w:val="18"/>
                <w:szCs w:val="18"/>
                <w:lang w:val="hu-HU"/>
              </w:rPr>
            </w:pPr>
            <w:r w:rsidRPr="00FB4EFA">
              <w:rPr>
                <w:rFonts w:cs="Charis SIL"/>
                <w:sz w:val="18"/>
                <w:szCs w:val="18"/>
                <w:lang w:val="hu-HU"/>
              </w:rPr>
              <w:t xml:space="preserve">Tükörszó vagy </w:t>
            </w:r>
            <w:r w:rsidR="00C20091" w:rsidRPr="00FB4EFA">
              <w:rPr>
                <w:rFonts w:cs="Charis SIL"/>
                <w:sz w:val="18"/>
                <w:szCs w:val="18"/>
                <w:lang w:val="hu-HU"/>
              </w:rPr>
              <w:noBreakHyphen/>
            </w:r>
            <w:r w:rsidRPr="00FB4EFA">
              <w:rPr>
                <w:rFonts w:cs="Charis SIL"/>
                <w:sz w:val="18"/>
                <w:szCs w:val="18"/>
                <w:lang w:val="hu-HU"/>
              </w:rPr>
              <w:t>kifejezés</w:t>
            </w:r>
          </w:p>
        </w:tc>
        <w:tc>
          <w:tcPr>
            <w:tcW w:w="5246" w:type="dxa"/>
            <w:tcBorders>
              <w:left w:val="single" w:sz="12" w:space="0" w:color="auto"/>
              <w:bottom w:val="nil"/>
              <w:right w:val="nil"/>
            </w:tcBorders>
            <w:shd w:val="clear" w:color="auto" w:fill="auto"/>
          </w:tcPr>
          <w:p w14:paraId="1DAD9833" w14:textId="77777777" w:rsidR="005E68D9" w:rsidRPr="00FB4EFA" w:rsidRDefault="005E68D9" w:rsidP="00312ECF">
            <w:pPr>
              <w:keepNext/>
              <w:suppressAutoHyphens/>
              <w:spacing w:line="240" w:lineRule="auto"/>
              <w:rPr>
                <w:rFonts w:cs="Charis SIL"/>
                <w:i/>
                <w:iCs/>
                <w:sz w:val="18"/>
                <w:szCs w:val="18"/>
                <w:lang w:val="hu-HU"/>
              </w:rPr>
            </w:pPr>
            <w:r w:rsidRPr="00FB4EFA">
              <w:rPr>
                <w:rFonts w:cs="Charis SIL"/>
                <w:i/>
                <w:iCs/>
                <w:sz w:val="18"/>
                <w:szCs w:val="18"/>
                <w:lang w:val="hu-HU"/>
              </w:rPr>
              <w:t>kimegy</w:t>
            </w:r>
            <w:r w:rsidRPr="00FB4EFA">
              <w:rPr>
                <w:rFonts w:cs="Charis SIL"/>
                <w:sz w:val="18"/>
                <w:szCs w:val="18"/>
                <w:lang w:val="hu-HU"/>
              </w:rPr>
              <w:t>’szórakozni megy, szórakozik’</w:t>
            </w:r>
          </w:p>
        </w:tc>
      </w:tr>
    </w:tbl>
    <w:p w14:paraId="55CE7EFB" w14:textId="77777777" w:rsidR="005E68D9" w:rsidRPr="00FB4EFA" w:rsidRDefault="005E68D9" w:rsidP="00AC1192">
      <w:pPr>
        <w:keepNext/>
        <w:suppressAutoHyphens/>
        <w:spacing w:before="120" w:after="240"/>
        <w:jc w:val="center"/>
        <w:rPr>
          <w:sz w:val="18"/>
          <w:szCs w:val="18"/>
          <w:lang w:val="hu-HU"/>
        </w:rPr>
      </w:pPr>
      <w:r w:rsidRPr="00FB4EFA">
        <w:rPr>
          <w:b/>
          <w:bCs/>
          <w:sz w:val="18"/>
          <w:szCs w:val="18"/>
          <w:lang w:val="hu-HU"/>
        </w:rPr>
        <w:t xml:space="preserve">Táblázat 1. </w:t>
      </w:r>
      <w:r w:rsidRPr="00FB4EFA">
        <w:rPr>
          <w:sz w:val="18"/>
          <w:szCs w:val="18"/>
          <w:lang w:val="hu-HU"/>
        </w:rPr>
        <w:t>A kölcsönszók tipológiája</w:t>
      </w:r>
    </w:p>
    <w:p w14:paraId="6DEA4F01" w14:textId="6367CB3D" w:rsidR="005E68D9" w:rsidRPr="00FB4EFA" w:rsidRDefault="005E68D9" w:rsidP="00AF0CAD">
      <w:pPr>
        <w:rPr>
          <w:rFonts w:cs="Charis SIL"/>
          <w:lang w:val="hu-HU"/>
        </w:rPr>
      </w:pPr>
      <w:r w:rsidRPr="00FB4EFA">
        <w:rPr>
          <w:lang w:val="hu-HU"/>
        </w:rPr>
        <w:t>Jól látható, hogy a közvetlen kölcsönszók vannak abszolút többségben a kiválasztott muravidéki korpuszban (ez más fogalomkörök esetében is így van). Közülük is az</w:t>
      </w:r>
      <w:r w:rsidRPr="00FB4EFA">
        <w:rPr>
          <w:rFonts w:cs="Charis SIL"/>
          <w:lang w:val="hu-HU"/>
        </w:rPr>
        <w:t xml:space="preserve">ok, amelyek teljesen újak a muravidéki magyar nyelvváltozatokban, szlovén hangalakjuk magyar toldalékolással kerül a magyar mondatba, pl. a </w:t>
      </w:r>
      <w:r w:rsidRPr="00FB4EFA">
        <w:rPr>
          <w:rFonts w:cs="Charis SIL"/>
          <w:i/>
          <w:iCs/>
          <w:lang w:val="hu-HU"/>
        </w:rPr>
        <w:t>blazina</w:t>
      </w:r>
      <w:r w:rsidRPr="00FB4EFA">
        <w:rPr>
          <w:rFonts w:cs="Charis SIL"/>
          <w:lang w:val="hu-HU"/>
        </w:rPr>
        <w:t xml:space="preserve"> (</w:t>
      </w:r>
      <w:r w:rsidRPr="00FB4EFA">
        <w:rPr>
          <w:rFonts w:cs="Charis SIL"/>
          <w:i/>
          <w:iCs/>
          <w:lang w:val="hu-HU"/>
        </w:rPr>
        <w:t>Tornánál máma blazinán tornásztunk</w:t>
      </w:r>
      <w:r w:rsidRPr="00FB4EFA">
        <w:rPr>
          <w:rFonts w:cs="Charis SIL"/>
          <w:lang w:val="hu-HU"/>
        </w:rPr>
        <w:t>)</w:t>
      </w:r>
      <w:r w:rsidRPr="00FB4EFA">
        <w:rPr>
          <w:rFonts w:cs="Charis SIL"/>
          <w:vertAlign w:val="superscript"/>
          <w:lang w:val="hu-HU"/>
        </w:rPr>
        <w:footnoteReference w:id="105"/>
      </w:r>
      <w:r w:rsidRPr="00FB4EFA">
        <w:rPr>
          <w:rFonts w:cs="Charis SIL"/>
          <w:i/>
          <w:iCs/>
          <w:lang w:val="hu-HU"/>
        </w:rPr>
        <w:t>,</w:t>
      </w:r>
      <w:r w:rsidRPr="00FB4EFA">
        <w:rPr>
          <w:rFonts w:cs="Charis SIL"/>
          <w:lang w:val="hu-HU"/>
        </w:rPr>
        <w:t xml:space="preserve"> a </w:t>
      </w:r>
      <w:r w:rsidRPr="00FB4EFA">
        <w:rPr>
          <w:rFonts w:cs="Charis SIL"/>
          <w:i/>
          <w:iCs/>
          <w:lang w:val="hu-HU"/>
        </w:rPr>
        <w:t xml:space="preserve">prikolica </w:t>
      </w:r>
      <w:r w:rsidRPr="00FB4EFA">
        <w:rPr>
          <w:rFonts w:cs="Charis SIL"/>
          <w:lang w:val="hu-HU"/>
        </w:rPr>
        <w:t>(</w:t>
      </w:r>
      <w:r w:rsidRPr="00FB4EFA">
        <w:rPr>
          <w:rFonts w:cs="Charis SIL"/>
          <w:i/>
          <w:iCs/>
          <w:lang w:val="hu-HU"/>
        </w:rPr>
        <w:t>Minden nyáron megyünk tengerre, ott van a prikolicánk</w:t>
      </w:r>
      <w:r w:rsidRPr="00FB4EFA">
        <w:rPr>
          <w:rFonts w:cs="Charis SIL"/>
          <w:lang w:val="hu-HU"/>
        </w:rPr>
        <w:t xml:space="preserve">), a </w:t>
      </w:r>
      <w:r w:rsidRPr="00FB4EFA">
        <w:rPr>
          <w:rFonts w:cs="Charis SIL"/>
          <w:i/>
          <w:iCs/>
          <w:lang w:val="hu-HU"/>
        </w:rPr>
        <w:lastRenderedPageBreak/>
        <w:t>zsogica</w:t>
      </w:r>
      <w:r w:rsidRPr="00FB4EFA">
        <w:rPr>
          <w:rFonts w:cs="Charis SIL"/>
          <w:lang w:val="hu-HU"/>
        </w:rPr>
        <w:t xml:space="preserve"> (</w:t>
      </w:r>
      <w:r w:rsidRPr="00FB4EFA">
        <w:rPr>
          <w:rFonts w:cs="Charis SIL"/>
          <w:i/>
          <w:iCs/>
          <w:lang w:val="hu-HU"/>
        </w:rPr>
        <w:t xml:space="preserve">Évinek is van egy zsogicája, meg nekem is) </w:t>
      </w:r>
      <w:r w:rsidRPr="00FB4EFA">
        <w:rPr>
          <w:rFonts w:cs="Charis SIL"/>
          <w:lang w:val="hu-HU"/>
        </w:rPr>
        <w:t xml:space="preserve">stb. Feltűnő a korpuszban a márkanevekből vett köznevek gyakori előfordulása: az </w:t>
      </w:r>
      <w:r w:rsidR="0033568E" w:rsidRPr="00FB4EFA">
        <w:rPr>
          <w:rFonts w:cs="Charis SIL"/>
          <w:lang w:val="hu-HU"/>
        </w:rPr>
        <w:br/>
      </w:r>
      <w:r w:rsidR="00DF135C" w:rsidRPr="00FB4EFA">
        <w:rPr>
          <w:rFonts w:cs="Charis SIL"/>
          <w:i/>
          <w:iCs/>
          <w:lang w:val="hu-HU"/>
        </w:rPr>
        <w:t>adidászka</w:t>
      </w:r>
      <w:r w:rsidRPr="00FB4EFA">
        <w:rPr>
          <w:rFonts w:cs="Charis SIL"/>
          <w:i/>
          <w:iCs/>
          <w:lang w:val="hu-HU"/>
        </w:rPr>
        <w:t xml:space="preserve"> </w:t>
      </w:r>
      <w:r w:rsidRPr="00FB4EFA">
        <w:rPr>
          <w:rFonts w:cs="Charis SIL"/>
          <w:lang w:val="hu-HU"/>
        </w:rPr>
        <w:t xml:space="preserve">(Adidas), az </w:t>
      </w:r>
      <w:r w:rsidRPr="00FB4EFA">
        <w:rPr>
          <w:rFonts w:cs="Charis SIL"/>
          <w:i/>
          <w:iCs/>
          <w:lang w:val="hu-HU"/>
        </w:rPr>
        <w:t>alsztarka</w:t>
      </w:r>
      <w:r w:rsidRPr="00FB4EFA">
        <w:rPr>
          <w:rFonts w:cs="Charis SIL"/>
          <w:lang w:val="hu-HU"/>
        </w:rPr>
        <w:t xml:space="preserve"> (All Star), a </w:t>
      </w:r>
      <w:r w:rsidRPr="00FB4EFA">
        <w:rPr>
          <w:rFonts w:cs="Charis SIL"/>
          <w:i/>
          <w:iCs/>
          <w:lang w:val="hu-HU"/>
        </w:rPr>
        <w:t>sztársztászka</w:t>
      </w:r>
      <w:r w:rsidRPr="00FB4EFA">
        <w:rPr>
          <w:rFonts w:cs="Charis SIL"/>
          <w:lang w:val="hu-HU"/>
        </w:rPr>
        <w:t xml:space="preserve"> (Startas) elvileg ma már mindenféle sportcipőt, edzőcipőt jelent, márkától függetlenül (jelentésbővülés). De ide sorolható a </w:t>
      </w:r>
      <w:r w:rsidRPr="00FB4EFA">
        <w:rPr>
          <w:rFonts w:cs="Charis SIL"/>
          <w:i/>
          <w:iCs/>
          <w:lang w:val="hu-HU"/>
        </w:rPr>
        <w:t>jugoplasztika</w:t>
      </w:r>
      <w:r w:rsidRPr="00FB4EFA">
        <w:rPr>
          <w:rFonts w:cs="Charis SIL"/>
          <w:lang w:val="hu-HU"/>
        </w:rPr>
        <w:t xml:space="preserve"> vagy a </w:t>
      </w:r>
      <w:r w:rsidRPr="00FB4EFA">
        <w:rPr>
          <w:rFonts w:cs="Charis SIL"/>
          <w:i/>
          <w:iCs/>
          <w:lang w:val="hu-HU"/>
        </w:rPr>
        <w:t>szelotejp</w:t>
      </w:r>
      <w:r w:rsidRPr="00FB4EFA">
        <w:rPr>
          <w:rFonts w:cs="Charis SIL"/>
          <w:lang w:val="hu-HU"/>
        </w:rPr>
        <w:t xml:space="preserve"> lexéma is: a felfújható úszópárna a Jugoplastika márkanévből maradt meg a muravidéki magyar nyelvváltozatokban (retró minősítést kapott a szótárban), a celluxszalag pedig a Sellotape brit márkanévből került a szlovénba</w:t>
      </w:r>
      <w:r w:rsidRPr="00FB4EFA">
        <w:rPr>
          <w:rFonts w:cs="Charis SIL"/>
          <w:vertAlign w:val="superscript"/>
          <w:lang w:val="hu-HU"/>
        </w:rPr>
        <w:footnoteReference w:id="106"/>
      </w:r>
      <w:r w:rsidRPr="00FB4EFA">
        <w:rPr>
          <w:rFonts w:cs="Charis SIL"/>
          <w:lang w:val="hu-HU"/>
        </w:rPr>
        <w:t xml:space="preserve">. Néhány kölcsönszó akár több kategóriába is besorolható (többedleges kölcsönszók): a </w:t>
      </w:r>
      <w:r w:rsidRPr="00FB4EFA">
        <w:rPr>
          <w:rFonts w:cs="Charis SIL"/>
          <w:i/>
          <w:iCs/>
          <w:lang w:val="hu-HU"/>
        </w:rPr>
        <w:t xml:space="preserve">kimegy </w:t>
      </w:r>
      <w:r w:rsidRPr="00FB4EFA">
        <w:rPr>
          <w:rFonts w:cs="Charis SIL"/>
          <w:lang w:val="hu-HU"/>
        </w:rPr>
        <w:t xml:space="preserve">ige pl. jelentésbeli kölcsönszó és tükörszó is egyben. A </w:t>
      </w:r>
      <w:r w:rsidRPr="00FB4EFA">
        <w:rPr>
          <w:rFonts w:cs="Charis SIL"/>
          <w:i/>
          <w:iCs/>
          <w:lang w:val="hu-HU"/>
        </w:rPr>
        <w:t>bográcsfeszt</w:t>
      </w:r>
      <w:r w:rsidRPr="00FB4EFA">
        <w:rPr>
          <w:rFonts w:cs="Charis SIL"/>
          <w:lang w:val="hu-HU"/>
        </w:rPr>
        <w:t xml:space="preserve"> közvetlen kölcsönszó is, hiszen ugyanebben az alakban él a szlovénban is, ugyanakkor hibrid típusú is, amennyiben előtagja magyar, utótagja viszont nemzetközi szó.</w:t>
      </w:r>
    </w:p>
    <w:p w14:paraId="50E5C1D0" w14:textId="77777777" w:rsidR="005E68D9" w:rsidRPr="00FB4EFA" w:rsidRDefault="005E68D9" w:rsidP="00AF0CAD">
      <w:pPr>
        <w:ind w:firstLine="709"/>
        <w:rPr>
          <w:rFonts w:cs="Charis SIL"/>
          <w:lang w:val="hu-HU"/>
        </w:rPr>
      </w:pPr>
      <w:r w:rsidRPr="00FB4EFA">
        <w:rPr>
          <w:rFonts w:cs="Charis SIL"/>
          <w:lang w:val="hu-HU"/>
        </w:rPr>
        <w:t xml:space="preserve">A hangalakkölcsönzés eredményezte alaki kölcsönszók jóval kevesebben vannak a korpuszban. Legtöbbjük nemzetközi szó, amelyeknek hangalakján érezhető az államnyelvi közvetítés: pl. </w:t>
      </w:r>
      <w:r w:rsidRPr="00FB4EFA">
        <w:rPr>
          <w:rFonts w:cs="Charis SIL"/>
          <w:i/>
          <w:iCs/>
          <w:lang w:val="hu-HU"/>
        </w:rPr>
        <w:t xml:space="preserve">folklora </w:t>
      </w:r>
      <w:r w:rsidRPr="00FB4EFA">
        <w:rPr>
          <w:rFonts w:cs="Charis SIL"/>
          <w:lang w:val="hu-HU"/>
        </w:rPr>
        <w:t>(</w:t>
      </w:r>
      <w:r w:rsidRPr="00FB4EFA">
        <w:rPr>
          <w:rFonts w:cs="Charis SIL"/>
          <w:i/>
          <w:iCs/>
          <w:lang w:val="hu-HU"/>
        </w:rPr>
        <w:t>Nogometre is jár meg folklorára, ezért nincs ideje délután</w:t>
      </w:r>
      <w:r w:rsidRPr="00FB4EFA">
        <w:rPr>
          <w:rFonts w:cs="Charis SIL"/>
          <w:lang w:val="hu-HU"/>
        </w:rPr>
        <w:t>)</w:t>
      </w:r>
      <w:r w:rsidRPr="00FB4EFA">
        <w:rPr>
          <w:rFonts w:cs="Charis SIL"/>
          <w:i/>
          <w:iCs/>
          <w:lang w:val="hu-HU"/>
        </w:rPr>
        <w:t xml:space="preserve"> </w:t>
      </w:r>
      <w:r w:rsidRPr="00FB4EFA">
        <w:rPr>
          <w:rFonts w:cs="Charis SIL"/>
          <w:lang w:val="hu-HU"/>
        </w:rPr>
        <w:t>vagy a</w:t>
      </w:r>
      <w:r w:rsidRPr="00FB4EFA">
        <w:rPr>
          <w:rFonts w:cs="Charis SIL"/>
          <w:i/>
          <w:iCs/>
          <w:lang w:val="hu-HU"/>
        </w:rPr>
        <w:t xml:space="preserve"> garderoba </w:t>
      </w:r>
      <w:r w:rsidRPr="00FB4EFA">
        <w:rPr>
          <w:rFonts w:cs="Charis SIL"/>
          <w:lang w:val="hu-HU"/>
        </w:rPr>
        <w:t>(</w:t>
      </w:r>
      <w:r w:rsidRPr="00FB4EFA">
        <w:rPr>
          <w:rFonts w:cs="Charis SIL"/>
          <w:i/>
          <w:iCs/>
          <w:lang w:val="hu-HU"/>
        </w:rPr>
        <w:t>Tréning után a garderobában még szoktunk kicsit beszélgetni</w:t>
      </w:r>
      <w:r w:rsidRPr="00FB4EFA">
        <w:rPr>
          <w:rFonts w:cs="Charis SIL"/>
          <w:lang w:val="hu-HU"/>
        </w:rPr>
        <w:t>) stb.</w:t>
      </w:r>
    </w:p>
    <w:p w14:paraId="19492A7F" w14:textId="51F2D1DB" w:rsidR="005E68D9" w:rsidRPr="00FB4EFA" w:rsidRDefault="005E68D9" w:rsidP="00AF0CAD">
      <w:pPr>
        <w:ind w:firstLine="709"/>
        <w:rPr>
          <w:rFonts w:cs="Charis SIL"/>
          <w:lang w:val="hu-HU"/>
        </w:rPr>
      </w:pPr>
      <w:r w:rsidRPr="00FB4EFA">
        <w:rPr>
          <w:rFonts w:cs="Charis SIL"/>
          <w:lang w:val="hu-HU"/>
        </w:rPr>
        <w:t xml:space="preserve">Vannak a szótárban ún. hibrid alakulatok is (hibrid tükörszók vagy -szerkezetek). Azokat az összetett szavakat vagy szószerkezeteket nevezzük így, amelyeknek egyik tagja kölcsönszó, a másik pedig magyar, illetve a magyarban is élő nemzetközi (idegen) szó alapalakja. Analitikus szerkezetben pl. a </w:t>
      </w:r>
      <w:r w:rsidRPr="00FB4EFA">
        <w:rPr>
          <w:rFonts w:cs="Charis SIL"/>
          <w:i/>
          <w:iCs/>
          <w:lang w:val="hu-HU"/>
        </w:rPr>
        <w:t>bográcsfeszt</w:t>
      </w:r>
      <w:r w:rsidRPr="00FB4EFA">
        <w:rPr>
          <w:rFonts w:cs="Charis SIL"/>
          <w:lang w:val="hu-HU"/>
        </w:rPr>
        <w:t xml:space="preserve"> vagy a </w:t>
      </w:r>
      <w:r w:rsidRPr="00FB4EFA">
        <w:rPr>
          <w:rFonts w:cs="Charis SIL"/>
          <w:i/>
          <w:iCs/>
          <w:lang w:val="hu-HU"/>
        </w:rPr>
        <w:t>pókafeszt</w:t>
      </w:r>
      <w:r w:rsidRPr="00FB4EFA">
        <w:rPr>
          <w:rFonts w:cs="Charis SIL"/>
          <w:lang w:val="hu-HU"/>
        </w:rPr>
        <w:t xml:space="preserve"> realizálódott ebben a témakörben, illetve szószerkezetként az </w:t>
      </w:r>
      <w:r w:rsidRPr="00FB4EFA">
        <w:rPr>
          <w:rFonts w:cs="Charis SIL"/>
          <w:i/>
          <w:iCs/>
          <w:lang w:val="hu-HU"/>
        </w:rPr>
        <w:t>odbojkát játszik</w:t>
      </w:r>
      <w:r w:rsidRPr="00FB4EFA">
        <w:rPr>
          <w:rFonts w:cs="Charis SIL"/>
          <w:lang w:val="hu-HU"/>
        </w:rPr>
        <w:t xml:space="preserve">. Az említett két </w:t>
      </w:r>
      <w:r w:rsidRPr="00FB4EFA">
        <w:rPr>
          <w:rFonts w:cs="Charis SIL"/>
          <w:i/>
          <w:iCs/>
          <w:lang w:val="hu-HU"/>
        </w:rPr>
        <w:t>feszt</w:t>
      </w:r>
      <w:r w:rsidRPr="00FB4EFA">
        <w:rPr>
          <w:rFonts w:cs="Charis SIL"/>
          <w:lang w:val="hu-HU"/>
        </w:rPr>
        <w:t xml:space="preserve"> egyre többször jelenik meg az írott és az elektronikus sajtóban (a Népújság című hetilapban), a szociális médiában, és kezd gyakoribbá válni a nagy kezdőbetűs írásmód. Ez érthető, hiszen a két neves nap, mindkét rendezvény egyre inkább intézményesülni látszik</w:t>
      </w:r>
      <w:r w:rsidRPr="00FB4EFA">
        <w:rPr>
          <w:rFonts w:cs="Charis SIL"/>
          <w:vertAlign w:val="superscript"/>
          <w:lang w:val="hu-HU"/>
        </w:rPr>
        <w:footnoteReference w:id="107"/>
      </w:r>
      <w:r w:rsidRPr="00FB4EFA">
        <w:rPr>
          <w:rFonts w:cs="Charis SIL"/>
          <w:lang w:val="hu-HU"/>
        </w:rPr>
        <w:t>: „</w:t>
      </w:r>
      <w:r w:rsidRPr="00FB4EFA">
        <w:rPr>
          <w:rFonts w:cs="Charis SIL"/>
          <w:i/>
          <w:iCs/>
          <w:lang w:val="hu-HU"/>
        </w:rPr>
        <w:t xml:space="preserve">A bogrács különleges helyet foglal el a hazaiak szívében. Lendva óvárosában, a polgári </w:t>
      </w:r>
      <w:r w:rsidR="0033568E" w:rsidRPr="00FB4EFA">
        <w:rPr>
          <w:rFonts w:cs="Charis SIL"/>
          <w:i/>
          <w:iCs/>
          <w:lang w:val="hu-HU"/>
        </w:rPr>
        <w:br/>
      </w:r>
      <w:r w:rsidRPr="00FB4EFA">
        <w:rPr>
          <w:rFonts w:cs="Charis SIL"/>
          <w:i/>
          <w:iCs/>
          <w:lang w:val="hu-HU"/>
        </w:rPr>
        <w:t xml:space="preserve">házak ölelésében, a festői szépségű lendvai szőlőskertek alatt már több évtizede zajlik az ország legnagyobb bográcsfőző versenye. A rendezvény kulináris fesztivál is, ahol a bogrács, e hagyományos szőlőtermelői étel </w:t>
      </w:r>
      <w:r w:rsidR="004166CB" w:rsidRPr="00FB4EFA">
        <w:rPr>
          <w:rFonts w:cs="Charis SIL"/>
          <w:i/>
          <w:iCs/>
          <w:lang w:val="hu-HU"/>
        </w:rPr>
        <w:br/>
      </w:r>
      <w:r w:rsidRPr="00FB4EFA">
        <w:rPr>
          <w:rFonts w:cs="Charis SIL"/>
          <w:i/>
          <w:iCs/>
          <w:lang w:val="hu-HU"/>
        </w:rPr>
        <w:t xml:space="preserve">mellett, amelyet kondérban főznek a versenyző csapatok a Fő utcán, </w:t>
      </w:r>
      <w:r w:rsidR="004166CB" w:rsidRPr="00FB4EFA">
        <w:rPr>
          <w:rFonts w:cs="Charis SIL"/>
          <w:i/>
          <w:iCs/>
          <w:lang w:val="hu-HU"/>
        </w:rPr>
        <w:br/>
      </w:r>
      <w:r w:rsidRPr="00FB4EFA">
        <w:rPr>
          <w:rFonts w:cs="Charis SIL"/>
          <w:i/>
          <w:iCs/>
          <w:lang w:val="hu-HU"/>
        </w:rPr>
        <w:lastRenderedPageBreak/>
        <w:t xml:space="preserve">számos más helyi finomság is kapható: lendvai perec, tepertős pogácsa stb. Eme gazdag kulináris kínálat mellett pedig nem feledkezhetünk meg a </w:t>
      </w:r>
      <w:r w:rsidR="004166CB" w:rsidRPr="00FB4EFA">
        <w:rPr>
          <w:rFonts w:cs="Charis SIL"/>
          <w:i/>
          <w:iCs/>
          <w:lang w:val="hu-HU"/>
        </w:rPr>
        <w:br/>
      </w:r>
      <w:r w:rsidRPr="00FB4EFA">
        <w:rPr>
          <w:rFonts w:cs="Charis SIL"/>
          <w:i/>
          <w:iCs/>
          <w:lang w:val="hu-HU"/>
        </w:rPr>
        <w:t>szőlőtermelők büszkeségéről, a nemes nedűről sem, amely a</w:t>
      </w:r>
      <w:r w:rsidR="00312ECF" w:rsidRPr="00FB4EFA">
        <w:rPr>
          <w:rFonts w:cs="Charis SIL"/>
          <w:i/>
          <w:iCs/>
          <w:lang w:val="hu-HU"/>
        </w:rPr>
        <w:t xml:space="preserve"> </w:t>
      </w:r>
      <w:r w:rsidRPr="00FB4EFA">
        <w:rPr>
          <w:rFonts w:cs="Charis SIL"/>
          <w:i/>
          <w:iCs/>
          <w:lang w:val="hu-HU"/>
        </w:rPr>
        <w:t>Bográcsfesztre</w:t>
      </w:r>
      <w:r w:rsidR="00312ECF" w:rsidRPr="00FB4EFA">
        <w:rPr>
          <w:rFonts w:cs="Charis SIL"/>
          <w:i/>
          <w:iCs/>
          <w:lang w:val="hu-HU"/>
        </w:rPr>
        <w:t xml:space="preserve"> </w:t>
      </w:r>
      <w:r w:rsidRPr="00FB4EFA">
        <w:rPr>
          <w:rFonts w:cs="Charis SIL"/>
          <w:i/>
          <w:iCs/>
          <w:lang w:val="hu-HU"/>
        </w:rPr>
        <w:t>látogatók poharában gyöngyözik.</w:t>
      </w:r>
      <w:r w:rsidR="00312ECF" w:rsidRPr="00FB4EFA">
        <w:rPr>
          <w:rFonts w:cs="Charis SIL"/>
          <w:lang w:val="hu-HU"/>
        </w:rPr>
        <w:t xml:space="preserve"> </w:t>
      </w:r>
      <w:r w:rsidRPr="00FB4EFA">
        <w:rPr>
          <w:rFonts w:cs="Charis SIL"/>
          <w:lang w:val="hu-HU"/>
        </w:rPr>
        <w:t>(</w:t>
      </w:r>
      <w:hyperlink r:id="rId341" w:history="1">
        <w:r w:rsidR="00312ECF" w:rsidRPr="00FB4EFA">
          <w:rPr>
            <w:rStyle w:val="Hyperlink"/>
            <w:rFonts w:cs="Charis SIL"/>
            <w:color w:val="auto"/>
            <w:lang w:val="hu-HU"/>
          </w:rPr>
          <w:t>http://www.lendava-lendva.si/</w:t>
        </w:r>
      </w:hyperlink>
      <w:r w:rsidRPr="00FB4EFA">
        <w:rPr>
          <w:rFonts w:cs="Charis SIL"/>
          <w:lang w:val="hu-HU"/>
        </w:rPr>
        <w:t xml:space="preserve">), </w:t>
      </w:r>
      <w:r w:rsidR="004166CB" w:rsidRPr="00FB4EFA">
        <w:rPr>
          <w:rFonts w:cs="Charis SIL"/>
          <w:lang w:val="hu-HU"/>
        </w:rPr>
        <w:br/>
      </w:r>
      <w:r w:rsidRPr="00FB4EFA">
        <w:rPr>
          <w:rFonts w:cs="Charis SIL"/>
          <w:lang w:val="hu-HU"/>
        </w:rPr>
        <w:t>illetve: „</w:t>
      </w:r>
      <w:r w:rsidRPr="00FB4EFA">
        <w:rPr>
          <w:rFonts w:cs="Charis SIL"/>
          <w:i/>
          <w:iCs/>
          <w:lang w:val="hu-HU"/>
        </w:rPr>
        <w:t>Az idei</w:t>
      </w:r>
      <w:r w:rsidR="00312ECF" w:rsidRPr="00FB4EFA">
        <w:rPr>
          <w:rFonts w:cs="Charis SIL"/>
          <w:i/>
          <w:iCs/>
          <w:lang w:val="hu-HU"/>
        </w:rPr>
        <w:t xml:space="preserve"> </w:t>
      </w:r>
      <w:r w:rsidRPr="00FB4EFA">
        <w:rPr>
          <w:rFonts w:cs="Charis SIL"/>
          <w:i/>
          <w:iCs/>
          <w:lang w:val="hu-HU"/>
        </w:rPr>
        <w:t>Pókafeszt</w:t>
      </w:r>
      <w:r w:rsidR="00312ECF" w:rsidRPr="00FB4EFA">
        <w:rPr>
          <w:rFonts w:cs="Charis SIL"/>
          <w:i/>
          <w:iCs/>
          <w:lang w:val="hu-HU"/>
        </w:rPr>
        <w:t xml:space="preserve"> </w:t>
      </w:r>
      <w:r w:rsidRPr="00FB4EFA">
        <w:rPr>
          <w:rFonts w:cs="Charis SIL"/>
          <w:i/>
          <w:iCs/>
          <w:lang w:val="hu-HU"/>
        </w:rPr>
        <w:t xml:space="preserve">különlegessége a "Születéstől az elmúlásig" című fotókiállítás, amely hűen tükrözi a település életét az 1930 és 1970 közötti </w:t>
      </w:r>
      <w:r w:rsidR="0033568E" w:rsidRPr="00FB4EFA">
        <w:rPr>
          <w:rFonts w:cs="Charis SIL"/>
          <w:i/>
          <w:iCs/>
          <w:lang w:val="hu-HU"/>
        </w:rPr>
        <w:br/>
      </w:r>
      <w:r w:rsidRPr="00FB4EFA">
        <w:rPr>
          <w:rFonts w:cs="Charis SIL"/>
          <w:i/>
          <w:iCs/>
          <w:lang w:val="hu-HU"/>
        </w:rPr>
        <w:t>időszakban</w:t>
      </w:r>
      <w:r w:rsidRPr="00FB4EFA">
        <w:rPr>
          <w:rFonts w:cs="Charis SIL"/>
          <w:lang w:val="hu-HU"/>
        </w:rPr>
        <w:t>” (Népújság, 2020. június 26. 64).</w:t>
      </w:r>
    </w:p>
    <w:p w14:paraId="26F00D20" w14:textId="77777777" w:rsidR="005E68D9" w:rsidRPr="00FB4EFA" w:rsidRDefault="005E68D9" w:rsidP="00AF0CAD">
      <w:pPr>
        <w:spacing w:before="240"/>
        <w:rPr>
          <w:rFonts w:cs="Charis SIL"/>
          <w:lang w:val="hu-HU"/>
        </w:rPr>
      </w:pPr>
      <w:r w:rsidRPr="00FB4EFA">
        <w:rPr>
          <w:rFonts w:cs="Charis SIL"/>
          <w:b/>
          <w:bCs/>
          <w:lang w:val="hu-HU"/>
        </w:rPr>
        <w:t>3. 2</w:t>
      </w:r>
      <w:r w:rsidRPr="00FB4EFA">
        <w:rPr>
          <w:rFonts w:cs="Charis SIL"/>
          <w:lang w:val="hu-HU"/>
        </w:rPr>
        <w:t xml:space="preserve"> Az közvetett nyelvi hatások eredményei a jelentésbeli és stílusbeli kölcsönszók, valamint a tükörszók és -szerkezetek csoportja. A jelentésbeli kölcsönszók esetében a már rögzült (megszokott) jelentésre rárakódik egy régióspecifikus jelentés, a stílusbeliek esetében a standard magyar stílusérték módosul az államnyelvi hatás következtében.</w:t>
      </w:r>
    </w:p>
    <w:p w14:paraId="623446EF" w14:textId="77777777" w:rsidR="005E68D9" w:rsidRPr="00FB4EFA" w:rsidRDefault="005E68D9" w:rsidP="00AF0CAD">
      <w:pPr>
        <w:ind w:firstLine="709"/>
        <w:rPr>
          <w:rFonts w:cs="Charis SIL"/>
          <w:lang w:val="hu-HU"/>
        </w:rPr>
      </w:pPr>
      <w:r w:rsidRPr="00FB4EFA">
        <w:rPr>
          <w:rFonts w:cs="Charis SIL"/>
          <w:lang w:val="hu-HU"/>
        </w:rPr>
        <w:t xml:space="preserve">Az </w:t>
      </w:r>
      <w:r w:rsidRPr="00FB4EFA">
        <w:rPr>
          <w:rFonts w:cs="Charis SIL"/>
          <w:i/>
          <w:iCs/>
          <w:lang w:val="hu-HU"/>
        </w:rPr>
        <w:t xml:space="preserve">ábrahám </w:t>
      </w:r>
      <w:r w:rsidRPr="00FB4EFA">
        <w:rPr>
          <w:rFonts w:cs="Charis SIL"/>
          <w:lang w:val="hu-HU"/>
        </w:rPr>
        <w:t>pl. a Muravidéken is ismert keresztnévként (de nagyon ritkán használatos ebben a kontextusban, talán pontosan a szlovénból átvett használati kör miatt), a beszélők többsége talán bibliai eredetét is ismeri, viszont elsődleges jelentése ’ötvenedik születésnap, illetve ennek megünneplése’ kölcsönjelentés. A szlovének ugyanis a kerek évfordulókat nagy becsben tartják. Az ötvenediket különösen. Ábrahámnak nevezik, az elnevezésnek természetesen bibliai háttere van. A két „dolog” összekapcsolását többféleképpen magyarázzák. A SSKJ (</w:t>
      </w:r>
      <w:r w:rsidRPr="00FB4EFA">
        <w:rPr>
          <w:rFonts w:cs="Charis SIL"/>
          <w:i/>
          <w:iCs/>
          <w:lang w:val="hu-HU"/>
        </w:rPr>
        <w:t>Slovar slovenskega knjižnega jezika</w:t>
      </w:r>
      <w:r w:rsidRPr="00FB4EFA">
        <w:rPr>
          <w:rFonts w:cs="Charis SIL"/>
          <w:lang w:val="hu-HU"/>
        </w:rPr>
        <w:t>/A szlovén irodalmi nyelv szótára) szerint a zsidók által Jézusnak feltett kérdés a nyitja: „Még ötvenéves se vagy, és láttad Ábrahámot?” Az tehát, aki ötvenéves lesz, az ábrahámot ünnepel, annak ábrahámja van, az lát(hat)ja Ábrahámot, az találkozhat Ábrahámmal… Egy másik interpretáció szerint Ábrahám nagyon magas kort ért meg, százéves korában halt meg (hivatalosan 175 volt halálakor), az ötven ennek a nem hivatalosnak a fele, így annak, aki betölti az ötvenet, megvan az esélye ábrahámi életkor elérésére…</w:t>
      </w:r>
    </w:p>
    <w:p w14:paraId="0A923584" w14:textId="77777777" w:rsidR="005E68D9" w:rsidRPr="00FB4EFA" w:rsidRDefault="005E68D9" w:rsidP="00AF0CAD">
      <w:pPr>
        <w:spacing w:before="240"/>
        <w:rPr>
          <w:rFonts w:cs="Charis SIL"/>
          <w:lang w:val="hu-HU"/>
        </w:rPr>
      </w:pPr>
      <w:r w:rsidRPr="00FB4EFA">
        <w:rPr>
          <w:rFonts w:cs="Charis SIL"/>
          <w:b/>
          <w:bCs/>
          <w:lang w:val="hu-HU"/>
        </w:rPr>
        <w:t>3. 3</w:t>
      </w:r>
      <w:r w:rsidRPr="00FB4EFA">
        <w:rPr>
          <w:rFonts w:cs="Charis SIL"/>
          <w:lang w:val="hu-HU"/>
        </w:rPr>
        <w:t xml:space="preserve"> A korpuszt meg lehet vizsgálni a kölcsönszók szófaja szerint is. A vizsgált muravidéki szóanyagban igazolódik a kontaktusnyelvészet alapvető megállapítása, miszerint a kölcsönzés a főneveket érinti legerősebben (lásd pl. a Thomason – Kaufman-féle skála [1988]): a főnevek vannak abszolút többségben minden témakörben (80%), a kevés az ige (pl. </w:t>
      </w:r>
      <w:r w:rsidRPr="00FB4EFA">
        <w:rPr>
          <w:rFonts w:cs="Charis SIL"/>
          <w:i/>
          <w:iCs/>
          <w:lang w:val="hu-HU"/>
        </w:rPr>
        <w:t>dirkál, lambadázik, lumpázik, odbojkázik, pecáz, rolkázik</w:t>
      </w:r>
      <w:r w:rsidRPr="00FB4EFA">
        <w:rPr>
          <w:rFonts w:cs="Charis SIL"/>
          <w:lang w:val="hu-HU"/>
        </w:rPr>
        <w:t xml:space="preserve"> stb.) vagy az igei </w:t>
      </w:r>
      <w:r w:rsidRPr="00FB4EFA">
        <w:rPr>
          <w:rFonts w:cs="Charis SIL"/>
          <w:lang w:val="hu-HU"/>
        </w:rPr>
        <w:lastRenderedPageBreak/>
        <w:t>alaptagú szószerkezet (</w:t>
      </w:r>
      <w:r w:rsidRPr="00FB4EFA">
        <w:rPr>
          <w:rFonts w:cs="Charis SIL"/>
          <w:i/>
          <w:iCs/>
          <w:lang w:val="hu-HU"/>
        </w:rPr>
        <w:t xml:space="preserve">gólt ad, odbojkát játszik </w:t>
      </w:r>
      <w:r w:rsidRPr="00FB4EFA">
        <w:rPr>
          <w:rFonts w:cs="Charis SIL"/>
          <w:lang w:val="hu-HU"/>
        </w:rPr>
        <w:t>stb.). A következő időszakban fokozott figyelemmel kell fordulni az igék, illetve a többi szófaj sorsának alakulása felé. És még egy összehasonlítás: a muravidéki korpuszban a szavak és a szószerkezetek előfordulási arányát tekintve a szavaké az abszolút elsőbbség, szószerkezetek (névszói, igei vagy igenévi alaptagúak) nagyon kis számban fordulnak elő akár a közvetlen, akár a közvetett kölcsönzések között.</w:t>
      </w:r>
    </w:p>
    <w:p w14:paraId="261BB1A4" w14:textId="26826CE1" w:rsidR="005E68D9" w:rsidRPr="00FB4EFA" w:rsidRDefault="005E68D9" w:rsidP="00AF0CAD">
      <w:pPr>
        <w:spacing w:before="240" w:after="240"/>
        <w:rPr>
          <w:rFonts w:cs="Charis SIL"/>
          <w:lang w:val="hu-HU"/>
        </w:rPr>
      </w:pPr>
      <w:r w:rsidRPr="00FB4EFA">
        <w:rPr>
          <w:rFonts w:cs="Charis SIL"/>
          <w:b/>
          <w:bCs/>
          <w:lang w:val="hu-HU"/>
        </w:rPr>
        <w:t>4.</w:t>
      </w:r>
      <w:r w:rsidRPr="00FB4EFA">
        <w:rPr>
          <w:rFonts w:cs="Charis SIL"/>
          <w:lang w:val="hu-HU"/>
        </w:rPr>
        <w:t xml:space="preserve"> A szótár szócikkei alapvetően kétfélék: ha az adott címszót csak egy régióban ismerik és használják, akkor az egyrégiós vagy saját szócikknek nevezhető. A kiválasztott 54 muravidéki szócikk hatvan százaléka ilyen (pl.</w:t>
      </w:r>
      <w:r w:rsidRPr="00FB4EFA">
        <w:rPr>
          <w:rFonts w:cs="Charis SIL"/>
          <w:i/>
          <w:lang w:val="hu-HU"/>
        </w:rPr>
        <w:t xml:space="preserve"> ábrahám, bográcsfeszt, lumpázik, autogol, sörc stb.</w:t>
      </w:r>
      <w:r w:rsidRPr="00FB4EFA">
        <w:rPr>
          <w:rFonts w:cs="Charis SIL"/>
          <w:lang w:val="hu-HU"/>
        </w:rPr>
        <w:t xml:space="preserve">). Ha a lexéma több külső régióban is használatos, akkor többrégiósnak vagy közösnek mondható a szócikk (a maradék negyven százalék ilyen a hobbi és sport fogalomkörű szavak körében: pl. </w:t>
      </w:r>
      <w:r w:rsidRPr="00FB4EFA">
        <w:rPr>
          <w:rFonts w:cs="Charis SIL"/>
          <w:i/>
          <w:iCs/>
          <w:lang w:val="hu-HU"/>
        </w:rPr>
        <w:t>nogomet, kosárkázik, rekreáció, rezerva, odbojka, rolka</w:t>
      </w:r>
      <w:r w:rsidRPr="00FB4EFA">
        <w:rPr>
          <w:rFonts w:cs="Charis SIL"/>
          <w:lang w:val="hu-HU"/>
        </w:rPr>
        <w:t xml:space="preserve"> stb). A közös szócikkek nyelvi, társadalmi és gazdasági kapcsolatok leképeződései. A muravidéki kölcsönszók gyakran találkoznak a déli szláv nyelvek kölcsönzéseivel, a horvátországi és a vajdasági lexikai egységekkel. Mv, Hv és Va felségjelű, tehát háromrégiós, közös szócikkek pl. a </w:t>
      </w:r>
      <w:r w:rsidRPr="00FB4EFA">
        <w:rPr>
          <w:rFonts w:cs="Charis SIL"/>
          <w:i/>
          <w:iCs/>
          <w:lang w:val="hu-HU"/>
        </w:rPr>
        <w:t>kosárka</w:t>
      </w:r>
      <w:r w:rsidRPr="00FB4EFA">
        <w:rPr>
          <w:rFonts w:cs="Charis SIL"/>
          <w:lang w:val="hu-HU"/>
        </w:rPr>
        <w:t xml:space="preserve">, az </w:t>
      </w:r>
      <w:r w:rsidRPr="00FB4EFA">
        <w:rPr>
          <w:rFonts w:cs="Charis SIL"/>
          <w:i/>
          <w:iCs/>
          <w:lang w:val="hu-HU"/>
        </w:rPr>
        <w:t>odbojka</w:t>
      </w:r>
      <w:r w:rsidRPr="00FB4EFA">
        <w:rPr>
          <w:rFonts w:cs="Charis SIL"/>
          <w:lang w:val="hu-HU"/>
        </w:rPr>
        <w:t xml:space="preserve">, az </w:t>
      </w:r>
      <w:r w:rsidRPr="00FB4EFA">
        <w:rPr>
          <w:rFonts w:cs="Charis SIL"/>
          <w:i/>
          <w:iCs/>
          <w:lang w:val="hu-HU"/>
        </w:rPr>
        <w:t>odbojkázik</w:t>
      </w:r>
      <w:r w:rsidRPr="00FB4EFA">
        <w:rPr>
          <w:rFonts w:cs="Charis SIL"/>
          <w:lang w:val="hu-HU"/>
        </w:rPr>
        <w:t xml:space="preserve">, a </w:t>
      </w:r>
      <w:r w:rsidRPr="00FB4EFA">
        <w:rPr>
          <w:rFonts w:cs="Charis SIL"/>
          <w:i/>
          <w:iCs/>
          <w:lang w:val="hu-HU"/>
        </w:rPr>
        <w:t>szelotejp</w:t>
      </w:r>
      <w:r w:rsidRPr="00FB4EFA">
        <w:rPr>
          <w:rFonts w:cs="Charis SIL"/>
          <w:lang w:val="hu-HU"/>
        </w:rPr>
        <w:t xml:space="preserve"> stb.</w:t>
      </w:r>
    </w:p>
    <w:tbl>
      <w:tblPr>
        <w:tblW w:w="0" w:type="auto"/>
        <w:tblBorders>
          <w:insideH w:val="single" w:sz="4" w:space="0" w:color="auto"/>
          <w:insideV w:val="single" w:sz="4" w:space="0" w:color="auto"/>
        </w:tblBorders>
        <w:tblLook w:val="04A0" w:firstRow="1" w:lastRow="0" w:firstColumn="1" w:lastColumn="0" w:noHBand="0" w:noVBand="1"/>
      </w:tblPr>
      <w:tblGrid>
        <w:gridCol w:w="1985"/>
        <w:gridCol w:w="4929"/>
      </w:tblGrid>
      <w:tr w:rsidR="00FB4EFA" w:rsidRPr="00FB4EFA" w14:paraId="5BAABC8D" w14:textId="77777777" w:rsidTr="00A72143">
        <w:tc>
          <w:tcPr>
            <w:tcW w:w="1985" w:type="dxa"/>
            <w:tcBorders>
              <w:top w:val="nil"/>
              <w:bottom w:val="single" w:sz="12" w:space="0" w:color="auto"/>
              <w:right w:val="single" w:sz="12" w:space="0" w:color="auto"/>
            </w:tcBorders>
          </w:tcPr>
          <w:p w14:paraId="0F7AAC42" w14:textId="77777777" w:rsidR="005E68D9" w:rsidRPr="00FB4EFA" w:rsidRDefault="005E68D9" w:rsidP="00312ECF">
            <w:pPr>
              <w:keepNext/>
              <w:keepLines/>
              <w:suppressAutoHyphens/>
              <w:spacing w:line="240" w:lineRule="auto"/>
              <w:jc w:val="center"/>
              <w:rPr>
                <w:rFonts w:cs="Charis SIL"/>
                <w:b/>
                <w:bCs/>
                <w:sz w:val="18"/>
                <w:szCs w:val="18"/>
                <w:lang w:val="hu-HU"/>
              </w:rPr>
            </w:pPr>
            <w:r w:rsidRPr="00FB4EFA">
              <w:rPr>
                <w:rFonts w:cs="Charis SIL"/>
                <w:b/>
                <w:bCs/>
                <w:sz w:val="18"/>
                <w:szCs w:val="18"/>
                <w:lang w:val="hu-HU"/>
              </w:rPr>
              <w:t>Szócikktípus</w:t>
            </w:r>
          </w:p>
        </w:tc>
        <w:tc>
          <w:tcPr>
            <w:tcW w:w="4929" w:type="dxa"/>
            <w:tcBorders>
              <w:top w:val="nil"/>
              <w:left w:val="single" w:sz="12" w:space="0" w:color="auto"/>
              <w:bottom w:val="single" w:sz="12" w:space="0" w:color="auto"/>
            </w:tcBorders>
          </w:tcPr>
          <w:p w14:paraId="702F24FC" w14:textId="77777777" w:rsidR="005E68D9" w:rsidRPr="00FB4EFA" w:rsidRDefault="005E68D9" w:rsidP="00312ECF">
            <w:pPr>
              <w:keepNext/>
              <w:keepLines/>
              <w:suppressAutoHyphens/>
              <w:spacing w:line="240" w:lineRule="auto"/>
              <w:jc w:val="center"/>
              <w:rPr>
                <w:rFonts w:cs="Charis SIL"/>
                <w:sz w:val="18"/>
                <w:szCs w:val="18"/>
                <w:lang w:val="hu-HU"/>
              </w:rPr>
            </w:pPr>
            <w:r w:rsidRPr="00FB4EFA">
              <w:rPr>
                <w:rFonts w:cs="Charis SIL"/>
                <w:b/>
                <w:bCs/>
                <w:sz w:val="18"/>
                <w:szCs w:val="18"/>
                <w:lang w:val="hu-HU"/>
              </w:rPr>
              <w:t>Példák (a kölcsönelemek)</w:t>
            </w:r>
          </w:p>
        </w:tc>
      </w:tr>
      <w:tr w:rsidR="00FB4EFA" w:rsidRPr="00FB4EFA" w14:paraId="258B4F81" w14:textId="77777777" w:rsidTr="00A72143">
        <w:tc>
          <w:tcPr>
            <w:tcW w:w="1985" w:type="dxa"/>
            <w:tcBorders>
              <w:top w:val="single" w:sz="12" w:space="0" w:color="auto"/>
              <w:right w:val="single" w:sz="12" w:space="0" w:color="auto"/>
            </w:tcBorders>
          </w:tcPr>
          <w:p w14:paraId="4010415E" w14:textId="77777777" w:rsidR="005E68D9" w:rsidRPr="00FB4EFA" w:rsidRDefault="005E68D9" w:rsidP="00312ECF">
            <w:pPr>
              <w:keepNext/>
              <w:keepLines/>
              <w:spacing w:line="240" w:lineRule="auto"/>
              <w:rPr>
                <w:rFonts w:cs="Charis SIL"/>
                <w:sz w:val="18"/>
                <w:szCs w:val="18"/>
                <w:lang w:val="hu-HU"/>
              </w:rPr>
            </w:pPr>
            <w:r w:rsidRPr="00FB4EFA">
              <w:rPr>
                <w:rFonts w:cs="Charis SIL"/>
                <w:sz w:val="18"/>
                <w:szCs w:val="18"/>
                <w:lang w:val="hu-HU"/>
              </w:rPr>
              <w:t>Többrégiós szócikkek –</w:t>
            </w:r>
          </w:p>
          <w:p w14:paraId="4AA88C50" w14:textId="77777777" w:rsidR="005E68D9" w:rsidRPr="00FB4EFA" w:rsidRDefault="005E68D9" w:rsidP="00312ECF">
            <w:pPr>
              <w:keepNext/>
              <w:keepLines/>
              <w:spacing w:line="240" w:lineRule="auto"/>
              <w:rPr>
                <w:rFonts w:cs="Charis SIL"/>
                <w:sz w:val="18"/>
                <w:szCs w:val="18"/>
                <w:lang w:val="hu-HU"/>
              </w:rPr>
            </w:pPr>
            <w:r w:rsidRPr="00FB4EFA">
              <w:rPr>
                <w:rFonts w:cs="Charis SIL"/>
                <w:sz w:val="18"/>
                <w:szCs w:val="18"/>
                <w:lang w:val="hu-HU"/>
              </w:rPr>
              <w:t>Mv + más régió(k)</w:t>
            </w:r>
          </w:p>
        </w:tc>
        <w:tc>
          <w:tcPr>
            <w:tcW w:w="4929" w:type="dxa"/>
            <w:tcBorders>
              <w:top w:val="single" w:sz="12" w:space="0" w:color="auto"/>
              <w:left w:val="single" w:sz="12" w:space="0" w:color="auto"/>
            </w:tcBorders>
          </w:tcPr>
          <w:p w14:paraId="3F1BB8BF" w14:textId="77777777" w:rsidR="005E68D9" w:rsidRPr="00FB4EFA" w:rsidRDefault="005E68D9" w:rsidP="00312ECF">
            <w:pPr>
              <w:keepNext/>
              <w:keepLines/>
              <w:suppressAutoHyphens/>
              <w:spacing w:line="240" w:lineRule="auto"/>
              <w:rPr>
                <w:rFonts w:cs="Charis SIL"/>
                <w:sz w:val="18"/>
                <w:szCs w:val="18"/>
                <w:lang w:val="hu-HU"/>
              </w:rPr>
            </w:pPr>
            <w:r w:rsidRPr="00FB4EFA">
              <w:rPr>
                <w:rFonts w:cs="Charis SIL"/>
                <w:sz w:val="18"/>
                <w:szCs w:val="18"/>
                <w:lang w:val="hu-HU"/>
              </w:rPr>
              <w:t xml:space="preserve"> </w:t>
            </w:r>
            <w:r w:rsidRPr="00FB4EFA">
              <w:rPr>
                <w:rFonts w:cs="Charis SIL"/>
                <w:i/>
                <w:iCs/>
                <w:sz w:val="18"/>
                <w:szCs w:val="18"/>
                <w:lang w:val="hu-HU"/>
              </w:rPr>
              <w:t xml:space="preserve">rekreáció </w:t>
            </w:r>
            <w:r w:rsidRPr="00FB4EFA">
              <w:rPr>
                <w:rFonts w:cs="Charis SIL"/>
                <w:sz w:val="18"/>
                <w:szCs w:val="18"/>
                <w:lang w:val="hu-HU"/>
              </w:rPr>
              <w:t>(</w:t>
            </w:r>
            <w:r w:rsidRPr="00FB4EFA">
              <w:rPr>
                <w:rFonts w:cs="Charis SIL"/>
                <w:b/>
                <w:bCs/>
                <w:sz w:val="18"/>
                <w:szCs w:val="18"/>
                <w:lang w:val="hu-HU"/>
              </w:rPr>
              <w:t>Mv</w:t>
            </w:r>
            <w:r w:rsidRPr="00FB4EFA">
              <w:rPr>
                <w:rFonts w:cs="Charis SIL"/>
                <w:sz w:val="18"/>
                <w:szCs w:val="18"/>
                <w:lang w:val="hu-HU"/>
              </w:rPr>
              <w:t xml:space="preserve"> + Fv + Va + Ka + Hv; Er), </w:t>
            </w:r>
            <w:r w:rsidRPr="00FB4EFA">
              <w:rPr>
                <w:rFonts w:cs="Charis SIL"/>
                <w:i/>
                <w:iCs/>
                <w:sz w:val="18"/>
                <w:szCs w:val="18"/>
                <w:lang w:val="hu-HU"/>
              </w:rPr>
              <w:t>ringispíl</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Er + Fv + Va + Őv), </w:t>
            </w:r>
            <w:r w:rsidRPr="00FB4EFA">
              <w:rPr>
                <w:rFonts w:cs="Charis SIL"/>
                <w:i/>
                <w:iCs/>
                <w:sz w:val="18"/>
                <w:szCs w:val="18"/>
                <w:lang w:val="hu-HU"/>
              </w:rPr>
              <w:t>szelotejp</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Va + Hv); </w:t>
            </w:r>
            <w:r w:rsidRPr="00FB4EFA">
              <w:rPr>
                <w:rFonts w:cs="Charis SIL"/>
                <w:i/>
                <w:iCs/>
                <w:sz w:val="18"/>
                <w:szCs w:val="18"/>
                <w:lang w:val="hu-HU"/>
              </w:rPr>
              <w:t>kanu</w:t>
            </w:r>
            <w:r w:rsidRPr="00FB4EFA">
              <w:rPr>
                <w:rFonts w:cs="Charis SIL"/>
                <w:sz w:val="18"/>
                <w:szCs w:val="18"/>
                <w:lang w:val="hu-HU"/>
              </w:rPr>
              <w:t xml:space="preserve"> (Mv + Hv + Őv), </w:t>
            </w:r>
            <w:r w:rsidRPr="00FB4EFA">
              <w:rPr>
                <w:rFonts w:cs="Charis SIL"/>
                <w:i/>
                <w:iCs/>
                <w:sz w:val="18"/>
                <w:szCs w:val="18"/>
                <w:lang w:val="hu-HU"/>
              </w:rPr>
              <w:t>kosárka</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Va + Hv), </w:t>
            </w:r>
            <w:r w:rsidRPr="00FB4EFA">
              <w:rPr>
                <w:rFonts w:cs="Charis SIL"/>
                <w:i/>
                <w:iCs/>
                <w:sz w:val="18"/>
                <w:szCs w:val="18"/>
                <w:lang w:val="hu-HU"/>
              </w:rPr>
              <w:t>kosárkázik</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Va + Hv), </w:t>
            </w:r>
            <w:r w:rsidRPr="00FB4EFA">
              <w:rPr>
                <w:rFonts w:cs="Charis SIL"/>
                <w:i/>
                <w:iCs/>
                <w:sz w:val="18"/>
                <w:szCs w:val="18"/>
                <w:lang w:val="hu-HU"/>
              </w:rPr>
              <w:t>mrezsa</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Hv), </w:t>
            </w:r>
            <w:r w:rsidRPr="00FB4EFA">
              <w:rPr>
                <w:rFonts w:cs="Charis SIL"/>
                <w:i/>
                <w:iCs/>
                <w:sz w:val="18"/>
                <w:szCs w:val="18"/>
                <w:lang w:val="hu-HU"/>
              </w:rPr>
              <w:t>nogomet</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Va), </w:t>
            </w:r>
            <w:r w:rsidRPr="00FB4EFA">
              <w:rPr>
                <w:rFonts w:cs="Charis SIL"/>
                <w:i/>
                <w:iCs/>
                <w:sz w:val="18"/>
                <w:szCs w:val="18"/>
                <w:lang w:val="hu-HU"/>
              </w:rPr>
              <w:t>odbojka</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Va + Hv), </w:t>
            </w:r>
            <w:r w:rsidRPr="00FB4EFA">
              <w:rPr>
                <w:rFonts w:cs="Charis SIL"/>
                <w:i/>
                <w:iCs/>
                <w:sz w:val="18"/>
                <w:szCs w:val="18"/>
                <w:lang w:val="hu-HU"/>
              </w:rPr>
              <w:t>odbojkázik</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Va + Hv), </w:t>
            </w:r>
            <w:r w:rsidRPr="00FB4EFA">
              <w:rPr>
                <w:rFonts w:cs="Charis SIL"/>
                <w:i/>
                <w:iCs/>
                <w:sz w:val="18"/>
                <w:szCs w:val="18"/>
                <w:lang w:val="hu-HU"/>
              </w:rPr>
              <w:t>rezerva</w:t>
            </w:r>
            <w:r w:rsidRPr="00FB4EFA">
              <w:rPr>
                <w:rFonts w:cs="Charis SIL"/>
                <w:sz w:val="18"/>
                <w:szCs w:val="18"/>
                <w:lang w:val="hu-HU"/>
              </w:rPr>
              <w:t xml:space="preserve"> (Mv + Er + Fv + Va + Hv + Őv), </w:t>
            </w:r>
            <w:r w:rsidRPr="00FB4EFA">
              <w:rPr>
                <w:rFonts w:cs="Charis SIL"/>
                <w:i/>
                <w:iCs/>
                <w:sz w:val="18"/>
                <w:szCs w:val="18"/>
                <w:lang w:val="hu-HU"/>
              </w:rPr>
              <w:t>rolka</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Va), </w:t>
            </w:r>
            <w:r w:rsidRPr="00FB4EFA">
              <w:rPr>
                <w:rFonts w:cs="Charis SIL"/>
                <w:i/>
                <w:iCs/>
                <w:sz w:val="18"/>
                <w:szCs w:val="18"/>
                <w:lang w:val="hu-HU"/>
              </w:rPr>
              <w:t>garderoba</w:t>
            </w:r>
            <w:r w:rsidRPr="00FB4EFA">
              <w:rPr>
                <w:rFonts w:cs="Charis SIL"/>
                <w:sz w:val="18"/>
                <w:szCs w:val="18"/>
                <w:lang w:val="hu-HU"/>
              </w:rPr>
              <w:t xml:space="preserve"> (</w:t>
            </w:r>
            <w:r w:rsidRPr="00FB4EFA">
              <w:rPr>
                <w:rFonts w:cs="Charis SIL"/>
                <w:b/>
                <w:bCs/>
                <w:sz w:val="18"/>
                <w:szCs w:val="18"/>
                <w:lang w:val="hu-HU"/>
              </w:rPr>
              <w:t>Mv</w:t>
            </w:r>
            <w:r w:rsidRPr="00FB4EFA">
              <w:rPr>
                <w:rFonts w:cs="Charis SIL"/>
                <w:sz w:val="18"/>
                <w:szCs w:val="18"/>
                <w:lang w:val="hu-HU"/>
              </w:rPr>
              <w:t xml:space="preserve"> + Er + Őv), trénerka (</w:t>
            </w:r>
            <w:r w:rsidRPr="00FB4EFA">
              <w:rPr>
                <w:rFonts w:cs="Charis SIL"/>
                <w:b/>
                <w:bCs/>
                <w:sz w:val="18"/>
                <w:szCs w:val="18"/>
                <w:lang w:val="hu-HU"/>
              </w:rPr>
              <w:t>Mv</w:t>
            </w:r>
            <w:r w:rsidRPr="00FB4EFA">
              <w:rPr>
                <w:rFonts w:cs="Charis SIL"/>
                <w:sz w:val="18"/>
                <w:szCs w:val="18"/>
                <w:lang w:val="hu-HU"/>
              </w:rPr>
              <w:t xml:space="preserve"> + Va + Hv), plázsa (</w:t>
            </w:r>
            <w:r w:rsidRPr="00FB4EFA">
              <w:rPr>
                <w:rFonts w:cs="Charis SIL"/>
                <w:b/>
                <w:bCs/>
                <w:sz w:val="18"/>
                <w:szCs w:val="18"/>
                <w:lang w:val="hu-HU"/>
              </w:rPr>
              <w:t>Mv</w:t>
            </w:r>
            <w:r w:rsidRPr="00FB4EFA">
              <w:rPr>
                <w:rFonts w:cs="Charis SIL"/>
                <w:sz w:val="18"/>
                <w:szCs w:val="18"/>
                <w:lang w:val="hu-HU"/>
              </w:rPr>
              <w:t xml:space="preserve"> + Er + Va + Hv)</w:t>
            </w:r>
          </w:p>
        </w:tc>
      </w:tr>
      <w:tr w:rsidR="00FB4EFA" w:rsidRPr="00FB4EFA" w14:paraId="484DED38" w14:textId="77777777" w:rsidTr="00A72143">
        <w:tc>
          <w:tcPr>
            <w:tcW w:w="1985" w:type="dxa"/>
            <w:tcBorders>
              <w:bottom w:val="nil"/>
              <w:right w:val="single" w:sz="12" w:space="0" w:color="auto"/>
            </w:tcBorders>
          </w:tcPr>
          <w:p w14:paraId="6C75D2B7" w14:textId="77777777" w:rsidR="005E68D9" w:rsidRPr="00FB4EFA" w:rsidRDefault="005E68D9" w:rsidP="00312ECF">
            <w:pPr>
              <w:keepNext/>
              <w:keepLines/>
              <w:spacing w:line="240" w:lineRule="auto"/>
              <w:rPr>
                <w:rFonts w:cs="Charis SIL"/>
                <w:sz w:val="18"/>
                <w:szCs w:val="18"/>
                <w:lang w:val="hu-HU"/>
              </w:rPr>
            </w:pPr>
            <w:r w:rsidRPr="00FB4EFA">
              <w:rPr>
                <w:rFonts w:cs="Charis SIL"/>
                <w:sz w:val="18"/>
                <w:szCs w:val="18"/>
                <w:lang w:val="hu-HU"/>
              </w:rPr>
              <w:t>Egyrégiós szócikkek (Mv)</w:t>
            </w:r>
          </w:p>
        </w:tc>
        <w:tc>
          <w:tcPr>
            <w:tcW w:w="4929" w:type="dxa"/>
            <w:tcBorders>
              <w:left w:val="single" w:sz="12" w:space="0" w:color="auto"/>
            </w:tcBorders>
          </w:tcPr>
          <w:p w14:paraId="7F21A1ED" w14:textId="77777777" w:rsidR="005E68D9" w:rsidRPr="00FB4EFA" w:rsidRDefault="005E68D9" w:rsidP="00312ECF">
            <w:pPr>
              <w:keepNext/>
              <w:keepLines/>
              <w:suppressAutoHyphens/>
              <w:spacing w:line="240" w:lineRule="auto"/>
              <w:rPr>
                <w:rFonts w:cs="Charis SIL"/>
                <w:i/>
                <w:iCs/>
                <w:sz w:val="18"/>
                <w:szCs w:val="18"/>
                <w:lang w:val="hu-HU"/>
              </w:rPr>
            </w:pPr>
            <w:r w:rsidRPr="00FB4EFA">
              <w:rPr>
                <w:rFonts w:cs="Charis SIL"/>
                <w:i/>
                <w:iCs/>
                <w:sz w:val="18"/>
                <w:szCs w:val="18"/>
                <w:lang w:val="hu-HU"/>
              </w:rPr>
              <w:t>ábrahám, adidászka, alsztarka, autogol, blazina, bográcsfeszt, csikpauza, dirkál, folklora, jugoplasztika, kimegy, kolebnica, lambadázik, lumpázik, martinovanje, odbojkát játszik, pancerka, pecáz, plavalni tecsaj, pókafeszt, prikolica, rokomet, rolkázik, sörc, sztártászka, telovadnica, tobogán, turnir, vikendica, zsogica</w:t>
            </w:r>
          </w:p>
        </w:tc>
      </w:tr>
    </w:tbl>
    <w:p w14:paraId="70925B60" w14:textId="77777777" w:rsidR="005E68D9" w:rsidRPr="00FB4EFA" w:rsidRDefault="005E68D9" w:rsidP="00AF0CAD">
      <w:pPr>
        <w:keepNext/>
        <w:spacing w:before="120" w:after="240"/>
        <w:jc w:val="center"/>
        <w:rPr>
          <w:rFonts w:cs="Charis SIL"/>
          <w:lang w:val="hu-HU"/>
        </w:rPr>
      </w:pPr>
      <w:r w:rsidRPr="00FB4EFA">
        <w:rPr>
          <w:b/>
          <w:bCs/>
          <w:sz w:val="18"/>
          <w:szCs w:val="18"/>
          <w:lang w:val="hu-HU"/>
        </w:rPr>
        <w:t xml:space="preserve">Táblázat 2. </w:t>
      </w:r>
      <w:r w:rsidRPr="00FB4EFA">
        <w:rPr>
          <w:sz w:val="18"/>
          <w:szCs w:val="18"/>
          <w:lang w:val="hu-HU"/>
        </w:rPr>
        <w:t>A kölcsönelemek régiós ismertsége (a szócikkek tipológiája)</w:t>
      </w:r>
      <w:r w:rsidRPr="00FB4EFA">
        <w:rPr>
          <w:sz w:val="18"/>
          <w:szCs w:val="18"/>
          <w:vertAlign w:val="superscript"/>
          <w:lang w:val="hu-HU"/>
        </w:rPr>
        <w:footnoteReference w:id="108"/>
      </w:r>
    </w:p>
    <w:p w14:paraId="39C87081" w14:textId="77777777" w:rsidR="005E68D9" w:rsidRPr="00FB4EFA" w:rsidRDefault="005E68D9" w:rsidP="00AF0CAD">
      <w:pPr>
        <w:rPr>
          <w:lang w:val="hu-HU"/>
        </w:rPr>
      </w:pPr>
      <w:r w:rsidRPr="00FB4EFA">
        <w:rPr>
          <w:b/>
          <w:bCs/>
          <w:lang w:val="hu-HU"/>
        </w:rPr>
        <w:t>5.</w:t>
      </w:r>
      <w:r w:rsidRPr="00FB4EFA">
        <w:rPr>
          <w:lang w:val="hu-HU"/>
        </w:rPr>
        <w:t xml:space="preserve"> A többnyelvű, többkultúrájú térségek arculatát számos társadalmi tényező alkotja és alakítja. Benne minden nyelvnek, kultúrának megvan a </w:t>
      </w:r>
      <w:r w:rsidRPr="00FB4EFA">
        <w:rPr>
          <w:lang w:val="hu-HU"/>
        </w:rPr>
        <w:lastRenderedPageBreak/>
        <w:t>maga helye és szerepe. Két vagy több nyelv együttes jelenléte nyelvi érintkezést eredményez, a nyelvi kontaktushelyzet pedig – többek közt – kölcsönzésfolyamatokat indít el (Bartha 1999: 98).</w:t>
      </w:r>
    </w:p>
    <w:p w14:paraId="5990DDCD" w14:textId="77777777" w:rsidR="005E68D9" w:rsidRPr="00FB4EFA" w:rsidRDefault="005E68D9" w:rsidP="00402EF4">
      <w:pPr>
        <w:ind w:firstLine="709"/>
        <w:rPr>
          <w:lang w:val="hu-HU"/>
        </w:rPr>
      </w:pPr>
      <w:r w:rsidRPr="00FB4EFA">
        <w:rPr>
          <w:lang w:val="hu-HU"/>
        </w:rPr>
        <w:t>Írásomban a Termini-szótár muravidéki korpuszának egy szeletét, a hobbi/kedvtelés és a sport fogalomkörű kölcsönszók világát mutattam be meghatározott szempontok alapján. Célom elsősorban a szótár szélesebb körben való megismertetése volt, az, hogy felkeltsem minél többek érdeklődését a szótárban megjelenített lexikai egységek iránt, hogy minél többen és minél többször használják, s hogy kihasználják lehetőségeit, az összegyűjtött és rendszerezett információkat.</w:t>
      </w:r>
    </w:p>
    <w:p w14:paraId="2599F29E" w14:textId="06DB0D21" w:rsidR="005E68D9" w:rsidRPr="00FB4EFA" w:rsidRDefault="005E68D9" w:rsidP="00402EF4">
      <w:pPr>
        <w:ind w:firstLine="709"/>
        <w:rPr>
          <w:lang w:val="hu-HU"/>
        </w:rPr>
      </w:pPr>
      <w:r w:rsidRPr="00FB4EFA">
        <w:rPr>
          <w:lang w:val="hu-HU"/>
        </w:rPr>
        <w:t>Az államnyelvi eredetű kölcsönszók és -szerkezetek (közvetlen vagy közvetett kontaktusjelenségek) szótárba rendezése óriási jelentőségű.</w:t>
      </w:r>
      <w:r w:rsidRPr="00FB4EFA">
        <w:rPr>
          <w:rFonts w:cs="Charis SIL"/>
          <w:vertAlign w:val="superscript"/>
          <w:lang w:val="hu-HU"/>
        </w:rPr>
        <w:footnoteReference w:id="109"/>
      </w:r>
      <w:r w:rsidRPr="00FB4EFA">
        <w:rPr>
          <w:lang w:val="hu-HU"/>
        </w:rPr>
        <w:t xml:space="preserve"> A ht szavak</w:t>
      </w:r>
      <w:r w:rsidRPr="00FB4EFA">
        <w:rPr>
          <w:rFonts w:cs="Charis SIL"/>
          <w:vertAlign w:val="superscript"/>
          <w:lang w:val="hu-HU"/>
        </w:rPr>
        <w:footnoteReference w:id="110"/>
      </w:r>
      <w:bookmarkStart w:id="90" w:name="_Hlk87178794"/>
      <w:r w:rsidRPr="00FB4EFA">
        <w:rPr>
          <w:lang w:val="hu-HU"/>
        </w:rPr>
        <w:t xml:space="preserve"> </w:t>
      </w:r>
      <w:bookmarkEnd w:id="90"/>
      <w:r w:rsidRPr="00FB4EFA">
        <w:rPr>
          <w:lang w:val="hu-HU"/>
        </w:rPr>
        <w:t>kodifikációja emeli a külső régiók magyar nyelvének presztízsét, ezzel segíti a nyelvi megmaradást, az intralingvális diverzitást, a sokféleség elismerésével az integráló egység megteremtését a magyar nyelvközösségben (Tolcsvai Nagy 2017: 187). A Termini-szótár megteremt egy jó gyakorlatot: lehetővé tesz egy olyan magyar–magyar kommunikációt, amire a korábbiakban nem volt lehetőség. A szótár ugyanis nemcsak a külső régiók magyar nyelvhasználatában segít megtalálni az ún. közmagyar megfelelőt, hanem visszafelé is hibátlanul működik: az egynyelvű magyar(országi) beszélő is megismerheti a külső régiók sajátos szavait, s ezzel legalább receptív szinten részt vehet nyelvi életükben, a közös nyelvi létezésben (szimbolikus szempont). Nem beszélve a szótár elméleti jelentőségéről, arról a tényről, hogy a szótárba rendezés és maga az adattárba rendezett korpusz számtalan (nyelvi és nemnyelvi) elemzési lehetőséget, bennük új, friss dimenziókat teremt, s ezzel felpezsdíti a kutatási célokat és tartalmakat az egész magyar nyelvterület nyelvi helyzetére vonatkozóan, többnyelvűségi szemléletet közvetítve, kontrasztív módszerrel, interdiszciplináris megközelítésben (lehetőséget adva pl. az egyes szakmák külső régiós terminológiájának – oktatáster</w:t>
      </w:r>
      <w:r w:rsidRPr="00FB4EFA">
        <w:rPr>
          <w:lang w:val="hu-HU"/>
        </w:rPr>
        <w:lastRenderedPageBreak/>
        <w:t>minológia, jogi, közigazgatási stb. – megismerésére, összevetésére, az egyes szaknyelvi korpuszok megszilárdítására, fejlesztésére).</w:t>
      </w:r>
    </w:p>
    <w:p w14:paraId="1DFD5584" w14:textId="77777777" w:rsidR="005E68D9" w:rsidRPr="00FB4EFA" w:rsidRDefault="005E68D9" w:rsidP="00545033">
      <w:pPr>
        <w:pStyle w:val="Heading2"/>
        <w:suppressAutoHyphens/>
        <w:spacing w:line="259" w:lineRule="auto"/>
        <w:rPr>
          <w:color w:val="auto"/>
          <w:lang w:val="hu-HU"/>
        </w:rPr>
      </w:pPr>
      <w:r w:rsidRPr="00FB4EFA">
        <w:rPr>
          <w:color w:val="auto"/>
          <w:lang w:val="hu-HU"/>
        </w:rPr>
        <w:t>Irodalom</w:t>
      </w:r>
    </w:p>
    <w:p w14:paraId="1AC672AF" w14:textId="2D0CBAB8" w:rsidR="005E68D9" w:rsidRPr="00FB4EFA" w:rsidRDefault="005E68D9" w:rsidP="004166CB">
      <w:pPr>
        <w:suppressAutoHyphens/>
        <w:spacing w:line="240" w:lineRule="auto"/>
        <w:ind w:left="426" w:hanging="426"/>
        <w:rPr>
          <w:rFonts w:cs="Charis SIL"/>
          <w:lang w:val="hu-HU"/>
        </w:rPr>
      </w:pPr>
      <w:r w:rsidRPr="00FB4EFA">
        <w:rPr>
          <w:rFonts w:cs="Charis SIL"/>
          <w:lang w:val="hu-HU"/>
        </w:rPr>
        <w:t>Bartha Csilla</w:t>
      </w:r>
      <w:r w:rsidR="00986D98" w:rsidRPr="00FB4EFA">
        <w:rPr>
          <w:rFonts w:cs="Charis SIL"/>
          <w:lang w:val="hu-HU"/>
        </w:rPr>
        <w:t>.</w:t>
      </w:r>
      <w:r w:rsidRPr="00FB4EFA">
        <w:rPr>
          <w:rFonts w:cs="Charis SIL"/>
          <w:lang w:val="hu-HU"/>
        </w:rPr>
        <w:t xml:space="preserve"> 1999. A kétnyelvűség alapkérdései. Budapest: Nemzeti Tankönyvkiadó.</w:t>
      </w:r>
    </w:p>
    <w:p w14:paraId="4A2A7339" w14:textId="3805F19F" w:rsidR="005E68D9" w:rsidRPr="00FB4EFA" w:rsidRDefault="005E68D9" w:rsidP="004166CB">
      <w:pPr>
        <w:suppressAutoHyphens/>
        <w:spacing w:line="240" w:lineRule="auto"/>
        <w:ind w:left="426" w:hanging="426"/>
        <w:rPr>
          <w:rFonts w:cs="Charis SIL"/>
          <w:lang w:val="hu-HU"/>
        </w:rPr>
      </w:pPr>
      <w:r w:rsidRPr="00FB4EFA">
        <w:rPr>
          <w:rFonts w:cs="Charis SIL"/>
          <w:shd w:val="clear" w:color="auto" w:fill="FFFFFF"/>
          <w:lang w:val="hu-HU"/>
        </w:rPr>
        <w:t>Benő Attila</w:t>
      </w:r>
      <w:r w:rsidR="00986D98" w:rsidRPr="00FB4EFA">
        <w:rPr>
          <w:rFonts w:cs="Charis SIL"/>
          <w:lang w:val="hu-HU"/>
        </w:rPr>
        <w:t>.</w:t>
      </w:r>
      <w:r w:rsidRPr="00FB4EFA">
        <w:rPr>
          <w:rFonts w:cs="Charis SIL"/>
          <w:shd w:val="clear" w:color="auto" w:fill="FFFFFF"/>
          <w:lang w:val="hu-HU"/>
        </w:rPr>
        <w:t xml:space="preserve"> 2004. </w:t>
      </w:r>
      <w:r w:rsidRPr="00FB4EFA">
        <w:rPr>
          <w:rFonts w:cs="Charis SIL"/>
          <w:i/>
          <w:iCs/>
          <w:shd w:val="clear" w:color="auto" w:fill="FFFFFF"/>
          <w:lang w:val="hu-HU"/>
        </w:rPr>
        <w:t>A kölcsönszó jelentésvilága. A román–magyar nyelvi érintkezés lexikai-szemantikai kérdései</w:t>
      </w:r>
      <w:r w:rsidRPr="00FB4EFA">
        <w:rPr>
          <w:rFonts w:cs="Charis SIL"/>
          <w:shd w:val="clear" w:color="auto" w:fill="FFFFFF"/>
          <w:lang w:val="hu-HU"/>
        </w:rPr>
        <w:t>. Kolozsvár: Erdélyi Múzeum Egyesület.</w:t>
      </w:r>
    </w:p>
    <w:p w14:paraId="59932EC4" w14:textId="49BF54CC" w:rsidR="005E68D9" w:rsidRPr="00FB4EFA" w:rsidRDefault="005E68D9" w:rsidP="004166CB">
      <w:pPr>
        <w:suppressAutoHyphens/>
        <w:spacing w:line="240" w:lineRule="auto"/>
        <w:ind w:left="426" w:hanging="426"/>
        <w:rPr>
          <w:rFonts w:cs="Charis SIL"/>
          <w:lang w:val="hu-HU"/>
        </w:rPr>
      </w:pPr>
      <w:r w:rsidRPr="00FB4EFA">
        <w:rPr>
          <w:rFonts w:cs="Charis SIL"/>
          <w:lang w:val="hu-HU"/>
        </w:rPr>
        <w:t>Benő Attila</w:t>
      </w:r>
      <w:r w:rsidR="00986D98" w:rsidRPr="00FB4EFA">
        <w:rPr>
          <w:rFonts w:cs="Charis SIL"/>
          <w:lang w:val="hu-HU"/>
        </w:rPr>
        <w:t>.</w:t>
      </w:r>
      <w:r w:rsidRPr="00FB4EFA">
        <w:rPr>
          <w:rFonts w:cs="Charis SIL"/>
          <w:lang w:val="hu-HU"/>
        </w:rPr>
        <w:t xml:space="preserve"> 2008. </w:t>
      </w:r>
      <w:r w:rsidRPr="00FB4EFA">
        <w:rPr>
          <w:rFonts w:cs="Charis SIL"/>
          <w:i/>
          <w:iCs/>
          <w:lang w:val="hu-HU"/>
        </w:rPr>
        <w:t xml:space="preserve">Kontaktológia. A nyelvi kapcsolatok alapfogalmai. </w:t>
      </w:r>
      <w:r w:rsidR="00986D98" w:rsidRPr="00FB4EFA">
        <w:rPr>
          <w:rFonts w:cs="Charis SIL"/>
          <w:lang w:val="hu-HU"/>
        </w:rPr>
        <w:t>Kolozsvár</w:t>
      </w:r>
      <w:r w:rsidRPr="00FB4EFA">
        <w:rPr>
          <w:rFonts w:cs="Charis SIL"/>
          <w:lang w:val="hu-HU"/>
        </w:rPr>
        <w:t>: Egyetemi Műhely Kiadó.</w:t>
      </w:r>
    </w:p>
    <w:p w14:paraId="7E7605F7" w14:textId="6E393BDE" w:rsidR="005E68D9" w:rsidRPr="00FB4EFA" w:rsidRDefault="005E68D9" w:rsidP="004166CB">
      <w:pPr>
        <w:suppressAutoHyphens/>
        <w:autoSpaceDE w:val="0"/>
        <w:autoSpaceDN w:val="0"/>
        <w:adjustRightInd w:val="0"/>
        <w:spacing w:line="240" w:lineRule="auto"/>
        <w:ind w:left="426" w:hanging="426"/>
        <w:rPr>
          <w:rFonts w:cs="Charis SIL"/>
          <w:lang w:val="hu-HU"/>
        </w:rPr>
      </w:pPr>
      <w:r w:rsidRPr="00FB4EFA">
        <w:rPr>
          <w:rFonts w:cs="Charis SIL"/>
          <w:lang w:val="hu-HU"/>
        </w:rPr>
        <w:t>Benő Attila</w:t>
      </w:r>
      <w:r w:rsidR="00986D98" w:rsidRPr="00FB4EFA">
        <w:rPr>
          <w:rFonts w:cs="Charis SIL"/>
          <w:lang w:val="hu-HU"/>
        </w:rPr>
        <w:t>.</w:t>
      </w:r>
      <w:r w:rsidRPr="00FB4EFA">
        <w:rPr>
          <w:rFonts w:cs="Charis SIL"/>
          <w:lang w:val="hu-HU"/>
        </w:rPr>
        <w:t xml:space="preserve"> 2014. </w:t>
      </w:r>
      <w:r w:rsidRPr="00FB4EFA">
        <w:rPr>
          <w:rFonts w:cs="Charis SIL"/>
          <w:i/>
          <w:iCs/>
          <w:lang w:val="hu-HU"/>
        </w:rPr>
        <w:t>Kontaktusjelenségek az erdélyi magyar nyelvváltozatokban.</w:t>
      </w:r>
      <w:r w:rsidRPr="00FB4EFA">
        <w:rPr>
          <w:rFonts w:cs="Charis SIL"/>
          <w:lang w:val="hu-HU"/>
        </w:rPr>
        <w:t xml:space="preserve"> Erdélyi Tudományos Füzetek 281. Kolozsvár: Erdélyi Múzeum Egyesület.</w:t>
      </w:r>
    </w:p>
    <w:p w14:paraId="10CFE319" w14:textId="57ECCCF6" w:rsidR="005E68D9" w:rsidRPr="00FB4EFA" w:rsidRDefault="005E68D9" w:rsidP="004166CB">
      <w:pPr>
        <w:suppressAutoHyphens/>
        <w:spacing w:line="240" w:lineRule="auto"/>
        <w:ind w:left="426" w:hanging="426"/>
        <w:rPr>
          <w:rFonts w:cs="Charis SIL"/>
          <w:lang w:val="hu-HU"/>
        </w:rPr>
      </w:pPr>
      <w:r w:rsidRPr="00FB4EFA">
        <w:rPr>
          <w:rFonts w:cs="Charis SIL"/>
          <w:lang w:val="hu-HU"/>
        </w:rPr>
        <w:t>Benő Attila, Juhász Tihamér, Lanstyák István</w:t>
      </w:r>
      <w:r w:rsidR="00986D98" w:rsidRPr="00FB4EFA">
        <w:rPr>
          <w:rFonts w:cs="Charis SIL"/>
          <w:lang w:val="hu-HU"/>
        </w:rPr>
        <w:t>.</w:t>
      </w:r>
      <w:r w:rsidRPr="00FB4EFA">
        <w:rPr>
          <w:rFonts w:cs="Charis SIL"/>
          <w:lang w:val="hu-HU"/>
        </w:rPr>
        <w:t xml:space="preserve"> 2020. A Termini </w:t>
      </w:r>
      <w:r w:rsidR="00265448" w:rsidRPr="00FB4EFA">
        <w:rPr>
          <w:rFonts w:cs="Charis SIL"/>
          <w:lang w:val="hu-HU"/>
        </w:rPr>
        <w:t>„</w:t>
      </w:r>
      <w:r w:rsidRPr="00FB4EFA">
        <w:rPr>
          <w:rFonts w:cs="Charis SIL"/>
          <w:lang w:val="hu-HU"/>
        </w:rPr>
        <w:t xml:space="preserve">határtalan” szótára. </w:t>
      </w:r>
      <w:r w:rsidRPr="00FB4EFA">
        <w:rPr>
          <w:rFonts w:cs="Charis SIL"/>
          <w:i/>
          <w:lang w:val="hu-HU"/>
        </w:rPr>
        <w:t>Magyar</w:t>
      </w:r>
      <w:r w:rsidR="00CB7F0B" w:rsidRPr="00FB4EFA">
        <w:rPr>
          <w:rFonts w:cs="Charis SIL"/>
          <w:i/>
          <w:lang w:val="hu-HU"/>
        </w:rPr>
        <w:t xml:space="preserve"> </w:t>
      </w:r>
      <w:r w:rsidRPr="00FB4EFA">
        <w:rPr>
          <w:rFonts w:cs="Charis SIL"/>
          <w:i/>
          <w:lang w:val="hu-HU"/>
        </w:rPr>
        <w:t>Tudomány</w:t>
      </w:r>
      <w:r w:rsidRPr="00FB4EFA">
        <w:rPr>
          <w:rFonts w:cs="Charis SIL"/>
          <w:lang w:val="hu-HU"/>
        </w:rPr>
        <w:t>. 181</w:t>
      </w:r>
      <w:r w:rsidR="00CB7F0B" w:rsidRPr="00FB4EFA">
        <w:rPr>
          <w:rFonts w:cs="Charis SIL"/>
          <w:lang w:val="hu-HU"/>
        </w:rPr>
        <w:t xml:space="preserve"> (</w:t>
      </w:r>
      <w:r w:rsidRPr="00FB4EFA">
        <w:rPr>
          <w:rFonts w:cs="Charis SIL"/>
          <w:lang w:val="hu-HU"/>
        </w:rPr>
        <w:t>2</w:t>
      </w:r>
      <w:r w:rsidR="00CB7F0B" w:rsidRPr="00FB4EFA">
        <w:rPr>
          <w:rFonts w:cs="Charis SIL"/>
          <w:lang w:val="hu-HU"/>
        </w:rPr>
        <w:t>).</w:t>
      </w:r>
      <w:r w:rsidRPr="00FB4EFA">
        <w:rPr>
          <w:rFonts w:cs="Charis SIL"/>
          <w:lang w:val="hu-HU"/>
        </w:rPr>
        <w:t xml:space="preserve"> 153–163.</w:t>
      </w:r>
    </w:p>
    <w:p w14:paraId="1247EE0E" w14:textId="467CFF9A" w:rsidR="005E68D9" w:rsidRPr="00FB4EFA" w:rsidRDefault="005E68D9" w:rsidP="004166CB">
      <w:pPr>
        <w:suppressAutoHyphens/>
        <w:spacing w:line="240" w:lineRule="auto"/>
        <w:ind w:left="426" w:hanging="426"/>
        <w:rPr>
          <w:rFonts w:cs="Charis SIL"/>
          <w:lang w:val="hu-HU"/>
        </w:rPr>
      </w:pPr>
      <w:r w:rsidRPr="00FB4EFA">
        <w:rPr>
          <w:rFonts w:cs="Charis SIL"/>
          <w:lang w:val="hu-HU"/>
        </w:rPr>
        <w:t>Benő Attila</w:t>
      </w:r>
      <w:r w:rsidR="00986D98" w:rsidRPr="00FB4EFA">
        <w:rPr>
          <w:rFonts w:cs="Charis SIL"/>
          <w:lang w:val="hu-HU"/>
        </w:rPr>
        <w:t>,</w:t>
      </w:r>
      <w:r w:rsidRPr="00FB4EFA">
        <w:rPr>
          <w:rFonts w:cs="Charis SIL"/>
          <w:lang w:val="hu-HU"/>
        </w:rPr>
        <w:t xml:space="preserve"> Péntek János</w:t>
      </w:r>
      <w:r w:rsidR="00986D98" w:rsidRPr="00FB4EFA">
        <w:rPr>
          <w:rFonts w:cs="Charis SIL"/>
          <w:lang w:val="hu-HU"/>
        </w:rPr>
        <w:t>.</w:t>
      </w:r>
      <w:r w:rsidRPr="00FB4EFA">
        <w:rPr>
          <w:rFonts w:cs="Charis SIL"/>
          <w:lang w:val="hu-HU"/>
        </w:rPr>
        <w:t xml:space="preserve"> 2011</w:t>
      </w:r>
      <w:r w:rsidR="00986D98" w:rsidRPr="00FB4EFA">
        <w:rPr>
          <w:rFonts w:cs="Charis SIL"/>
          <w:lang w:val="hu-HU"/>
        </w:rPr>
        <w:t>.</w:t>
      </w:r>
      <w:r w:rsidRPr="00FB4EFA">
        <w:rPr>
          <w:rFonts w:cs="Charis SIL"/>
          <w:lang w:val="hu-HU"/>
        </w:rPr>
        <w:t xml:space="preserve"> </w:t>
      </w:r>
      <w:r w:rsidRPr="00FB4EFA">
        <w:rPr>
          <w:rFonts w:cs="Charis SIL"/>
          <w:i/>
          <w:lang w:val="hu-HU"/>
        </w:rPr>
        <w:t>A Termini Magyar Nyelvi Kutatóhálózat tíz éve.</w:t>
      </w:r>
      <w:r w:rsidRPr="00FB4EFA">
        <w:rPr>
          <w:rFonts w:cs="Charis SIL"/>
          <w:lang w:val="hu-HU"/>
        </w:rPr>
        <w:t xml:space="preserve"> Dunaszerdahely: Gramma Nyelvi Iroda – Kolozsvár: Szabó T. Attila Nyelvi Intézet.</w:t>
      </w:r>
    </w:p>
    <w:p w14:paraId="6C845CDC" w14:textId="18832EDF" w:rsidR="005E68D9" w:rsidRPr="00FB4EFA" w:rsidRDefault="005E68D9" w:rsidP="004166CB">
      <w:pPr>
        <w:suppressAutoHyphens/>
        <w:spacing w:line="240" w:lineRule="auto"/>
        <w:ind w:left="426" w:hanging="426"/>
        <w:rPr>
          <w:rFonts w:cs="Charis SIL"/>
          <w:lang w:val="hu-HU"/>
        </w:rPr>
      </w:pPr>
      <w:r w:rsidRPr="00FB4EFA">
        <w:rPr>
          <w:rFonts w:cs="Charis SIL"/>
          <w:lang w:val="hu-HU"/>
        </w:rPr>
        <w:t xml:space="preserve">Eőry Vilma </w:t>
      </w:r>
      <w:r w:rsidR="00986D98" w:rsidRPr="00FB4EFA">
        <w:rPr>
          <w:rFonts w:cs="Charis SIL"/>
          <w:lang w:val="hu-HU"/>
        </w:rPr>
        <w:t>(</w:t>
      </w:r>
      <w:r w:rsidRPr="00FB4EFA">
        <w:rPr>
          <w:rFonts w:cs="Charis SIL"/>
          <w:lang w:val="hu-HU"/>
        </w:rPr>
        <w:t>szerk.</w:t>
      </w:r>
      <w:r w:rsidR="00986D98" w:rsidRPr="00FB4EFA">
        <w:rPr>
          <w:rFonts w:cs="Charis SIL"/>
          <w:lang w:val="hu-HU"/>
        </w:rPr>
        <w:t>).</w:t>
      </w:r>
      <w:r w:rsidRPr="00FB4EFA">
        <w:rPr>
          <w:rFonts w:cs="Charis SIL"/>
          <w:lang w:val="hu-HU"/>
        </w:rPr>
        <w:t xml:space="preserve"> 2007. </w:t>
      </w:r>
      <w:r w:rsidRPr="00FB4EFA">
        <w:rPr>
          <w:rFonts w:cs="Charis SIL"/>
          <w:i/>
          <w:iCs/>
          <w:lang w:val="hu-HU"/>
        </w:rPr>
        <w:t>Értelmező szótár+.</w:t>
      </w:r>
      <w:r w:rsidRPr="00FB4EFA">
        <w:rPr>
          <w:rFonts w:cs="Charis SIL"/>
          <w:lang w:val="hu-HU"/>
        </w:rPr>
        <w:t xml:space="preserve"> Budapest: Tinta Könyvkiadó.</w:t>
      </w:r>
    </w:p>
    <w:p w14:paraId="2CEB5298" w14:textId="4C44DB85" w:rsidR="005E68D9" w:rsidRPr="00FB4EFA" w:rsidRDefault="005E68D9" w:rsidP="004166CB">
      <w:pPr>
        <w:suppressAutoHyphens/>
        <w:spacing w:line="240" w:lineRule="auto"/>
        <w:ind w:left="426" w:hanging="426"/>
        <w:rPr>
          <w:rFonts w:cs="Charis SIL"/>
          <w:lang w:val="hu-HU"/>
        </w:rPr>
      </w:pPr>
      <w:r w:rsidRPr="00FB4EFA">
        <w:rPr>
          <w:rFonts w:cs="Charis SIL"/>
          <w:lang w:val="hu-HU"/>
        </w:rPr>
        <w:t>Gaál Péter</w:t>
      </w:r>
      <w:r w:rsidR="00986D98" w:rsidRPr="00FB4EFA">
        <w:rPr>
          <w:rFonts w:cs="Charis SIL"/>
          <w:lang w:val="hu-HU"/>
        </w:rPr>
        <w:t>.</w:t>
      </w:r>
      <w:r w:rsidRPr="00FB4EFA">
        <w:rPr>
          <w:rFonts w:cs="Charis SIL"/>
          <w:lang w:val="hu-HU"/>
        </w:rPr>
        <w:t xml:space="preserve"> 2020</w:t>
      </w:r>
      <w:r w:rsidR="00986D98" w:rsidRPr="00FB4EFA">
        <w:rPr>
          <w:rFonts w:cs="Charis SIL"/>
          <w:lang w:val="hu-HU"/>
        </w:rPr>
        <w:t>.</w:t>
      </w:r>
      <w:r w:rsidRPr="00FB4EFA">
        <w:rPr>
          <w:rFonts w:cs="Charis SIL"/>
          <w:lang w:val="hu-HU"/>
        </w:rPr>
        <w:t xml:space="preserve"> A változatos magyar nyelvhasználat a Kárpát-medencében II–VIII. </w:t>
      </w:r>
      <w:r w:rsidRPr="00FB4EFA">
        <w:rPr>
          <w:rFonts w:cs="Charis SIL"/>
          <w:i/>
          <w:lang w:val="hu-HU"/>
        </w:rPr>
        <w:t xml:space="preserve">Népújság </w:t>
      </w:r>
      <w:r w:rsidRPr="00FB4EFA">
        <w:rPr>
          <w:rFonts w:cs="Charis SIL"/>
          <w:lang w:val="hu-HU"/>
        </w:rPr>
        <w:t xml:space="preserve">64/3, 8, 12, 17, 21, 25, 29, 34, 37. </w:t>
      </w:r>
      <w:hyperlink r:id="rId342" w:history="1">
        <w:r w:rsidRPr="00FB4EFA">
          <w:rPr>
            <w:rFonts w:cs="Charis SIL"/>
            <w:u w:val="single"/>
            <w:lang w:val="hu-HU"/>
          </w:rPr>
          <w:t>nepujsag.net</w:t>
        </w:r>
      </w:hyperlink>
      <w:r w:rsidR="008F2CAE" w:rsidRPr="00FB4EFA">
        <w:rPr>
          <w:rFonts w:cs="Charis SIL"/>
          <w:lang w:val="hu-HU"/>
        </w:rPr>
        <w:t>.</w:t>
      </w:r>
    </w:p>
    <w:p w14:paraId="5ACC4FA2" w14:textId="3B30F086" w:rsidR="005E68D9" w:rsidRPr="00FB4EFA" w:rsidRDefault="005E68D9" w:rsidP="004166CB">
      <w:pPr>
        <w:suppressAutoHyphens/>
        <w:spacing w:line="240" w:lineRule="auto"/>
        <w:ind w:left="426" w:hanging="426"/>
        <w:rPr>
          <w:rFonts w:cs="Charis SIL"/>
          <w:lang w:val="hu-HU"/>
        </w:rPr>
      </w:pPr>
      <w:r w:rsidRPr="00FB4EFA">
        <w:rPr>
          <w:rFonts w:cs="Charis SIL"/>
          <w:lang w:val="hu-HU"/>
        </w:rPr>
        <w:t>Kolláth Anna</w:t>
      </w:r>
      <w:r w:rsidR="00986D98" w:rsidRPr="00FB4EFA">
        <w:rPr>
          <w:rFonts w:cs="Charis SIL"/>
          <w:lang w:val="hu-HU"/>
        </w:rPr>
        <w:t>.</w:t>
      </w:r>
      <w:r w:rsidRPr="00FB4EFA">
        <w:rPr>
          <w:rFonts w:cs="Charis SIL"/>
          <w:lang w:val="hu-HU"/>
        </w:rPr>
        <w:t xml:space="preserve"> 2005. Magyarul a Muravidéken. Maribor: ZORA 39.</w:t>
      </w:r>
    </w:p>
    <w:p w14:paraId="6B17DF74" w14:textId="25CE197F" w:rsidR="005E68D9" w:rsidRPr="00FB4EFA" w:rsidRDefault="005E68D9" w:rsidP="004166CB">
      <w:pPr>
        <w:suppressAutoHyphens/>
        <w:spacing w:line="240" w:lineRule="auto"/>
        <w:ind w:left="426" w:hanging="426"/>
        <w:rPr>
          <w:rFonts w:cs="Charis SIL"/>
          <w:lang w:val="hu-HU"/>
        </w:rPr>
      </w:pPr>
      <w:r w:rsidRPr="00FB4EFA">
        <w:rPr>
          <w:rFonts w:cs="Charis SIL"/>
          <w:lang w:val="hu-HU"/>
        </w:rPr>
        <w:t>Kolláth</w:t>
      </w:r>
      <w:r w:rsidRPr="00FB4EFA">
        <w:rPr>
          <w:rFonts w:cs="Charis SIL"/>
          <w:shd w:val="clear" w:color="auto" w:fill="FFFFFF"/>
          <w:lang w:val="hu-HU"/>
        </w:rPr>
        <w:t xml:space="preserve"> </w:t>
      </w:r>
      <w:r w:rsidRPr="00FB4EFA">
        <w:rPr>
          <w:rFonts w:cs="Charis SIL"/>
          <w:lang w:val="hu-HU"/>
        </w:rPr>
        <w:t>Anna</w:t>
      </w:r>
      <w:r w:rsidR="00986D98" w:rsidRPr="00FB4EFA">
        <w:rPr>
          <w:rFonts w:cs="Charis SIL"/>
          <w:lang w:val="hu-HU"/>
        </w:rPr>
        <w:t>.</w:t>
      </w:r>
      <w:r w:rsidRPr="00FB4EFA">
        <w:rPr>
          <w:rFonts w:cs="Charis SIL"/>
          <w:lang w:val="hu-HU"/>
        </w:rPr>
        <w:t xml:space="preserve"> </w:t>
      </w:r>
      <w:r w:rsidRPr="00FB4EFA">
        <w:rPr>
          <w:rFonts w:cs="Charis SIL"/>
          <w:shd w:val="clear" w:color="auto" w:fill="FFFFFF"/>
          <w:lang w:val="hu-HU"/>
        </w:rPr>
        <w:t xml:space="preserve">2007. Beszámoló a határon túli magyarnyelvi kutatóműhelyek virtuális hálózatának szótárprogramjáról. </w:t>
      </w:r>
      <w:r w:rsidRPr="00FB4EFA">
        <w:rPr>
          <w:rFonts w:cs="Charis SIL"/>
          <w:i/>
          <w:shd w:val="clear" w:color="auto" w:fill="FFFFFF"/>
          <w:lang w:val="hu-HU"/>
        </w:rPr>
        <w:t xml:space="preserve">Lexikográfiai füzetek </w:t>
      </w:r>
      <w:r w:rsidRPr="00FB4EFA">
        <w:rPr>
          <w:rFonts w:cs="Charis SIL"/>
          <w:shd w:val="clear" w:color="auto" w:fill="FFFFFF"/>
          <w:lang w:val="hu-HU"/>
        </w:rPr>
        <w:t>3. 257–271.</w:t>
      </w:r>
    </w:p>
    <w:p w14:paraId="0DE44AAC" w14:textId="10071172" w:rsidR="005E68D9" w:rsidRPr="00FB4EFA" w:rsidRDefault="005E68D9" w:rsidP="004166CB">
      <w:pPr>
        <w:suppressAutoHyphens/>
        <w:spacing w:line="240" w:lineRule="auto"/>
        <w:ind w:left="426" w:hanging="426"/>
        <w:rPr>
          <w:rFonts w:cs="Charis SIL"/>
          <w:shd w:val="clear" w:color="auto" w:fill="FFFFFF"/>
          <w:lang w:val="hu-HU"/>
        </w:rPr>
      </w:pPr>
      <w:r w:rsidRPr="00FB4EFA">
        <w:rPr>
          <w:rFonts w:cs="Charis SIL"/>
          <w:lang w:val="hu-HU"/>
        </w:rPr>
        <w:t>Kolláth</w:t>
      </w:r>
      <w:r w:rsidRPr="00FB4EFA">
        <w:rPr>
          <w:rFonts w:cs="Charis SIL"/>
          <w:shd w:val="clear" w:color="auto" w:fill="FFFFFF"/>
          <w:lang w:val="hu-HU"/>
        </w:rPr>
        <w:t xml:space="preserve"> </w:t>
      </w:r>
      <w:r w:rsidRPr="00FB4EFA">
        <w:rPr>
          <w:rFonts w:cs="Charis SIL"/>
          <w:lang w:val="hu-HU"/>
        </w:rPr>
        <w:t>Anna</w:t>
      </w:r>
      <w:r w:rsidR="00986D98" w:rsidRPr="00FB4EFA">
        <w:rPr>
          <w:rFonts w:cs="Charis SIL"/>
          <w:lang w:val="hu-HU"/>
        </w:rPr>
        <w:t>.</w:t>
      </w:r>
      <w:r w:rsidRPr="00FB4EFA">
        <w:rPr>
          <w:rFonts w:cs="Charis SIL"/>
          <w:lang w:val="hu-HU"/>
        </w:rPr>
        <w:t xml:space="preserve"> </w:t>
      </w:r>
      <w:r w:rsidRPr="00FB4EFA">
        <w:rPr>
          <w:rFonts w:cs="Charis SIL"/>
          <w:shd w:val="clear" w:color="auto" w:fill="FFFFFF"/>
          <w:lang w:val="hu-HU"/>
        </w:rPr>
        <w:t>2012</w:t>
      </w:r>
      <w:r w:rsidR="00986D98" w:rsidRPr="00FB4EFA">
        <w:rPr>
          <w:rFonts w:cs="Charis SIL"/>
          <w:lang w:val="hu-HU"/>
        </w:rPr>
        <w:t>.</w:t>
      </w:r>
      <w:r w:rsidRPr="00FB4EFA">
        <w:rPr>
          <w:rFonts w:cs="Charis SIL"/>
          <w:shd w:val="clear" w:color="auto" w:fill="FFFFFF"/>
          <w:lang w:val="hu-HU"/>
        </w:rPr>
        <w:t xml:space="preserve"> </w:t>
      </w:r>
      <w:r w:rsidRPr="00FB4EFA">
        <w:rPr>
          <w:rFonts w:cs="Charis SIL"/>
          <w:i/>
          <w:shd w:val="clear" w:color="auto" w:fill="FFFFFF"/>
          <w:lang w:val="hu-HU"/>
        </w:rPr>
        <w:t>A szlovéniai magyar nyelv a többnyelvűség kontextusában</w:t>
      </w:r>
      <w:r w:rsidRPr="00FB4EFA">
        <w:rPr>
          <w:rFonts w:cs="Charis SIL"/>
          <w:shd w:val="clear" w:color="auto" w:fill="FFFFFF"/>
          <w:lang w:val="hu-HU"/>
        </w:rPr>
        <w:t>. Bielsko-Biała</w:t>
      </w:r>
      <w:r w:rsidR="00F81BF1" w:rsidRPr="00FB4EFA">
        <w:rPr>
          <w:rFonts w:cs="Charis SIL"/>
          <w:lang w:val="hu-HU" w:eastAsia="hr-HR"/>
        </w:rPr>
        <w:t>/</w:t>
      </w:r>
      <w:r w:rsidRPr="00FB4EFA">
        <w:rPr>
          <w:rFonts w:cs="Charis SIL"/>
          <w:shd w:val="clear" w:color="auto" w:fill="FFFFFF"/>
          <w:lang w:val="hu-HU"/>
        </w:rPr>
        <w:t>Budapest</w:t>
      </w:r>
      <w:r w:rsidR="00F81BF1" w:rsidRPr="00FB4EFA">
        <w:rPr>
          <w:rFonts w:cs="Charis SIL"/>
          <w:lang w:val="hu-HU" w:eastAsia="hr-HR"/>
        </w:rPr>
        <w:t>/</w:t>
      </w:r>
      <w:r w:rsidRPr="00FB4EFA">
        <w:rPr>
          <w:rFonts w:cs="Charis SIL"/>
          <w:shd w:val="clear" w:color="auto" w:fill="FFFFFF"/>
          <w:lang w:val="hu-HU"/>
        </w:rPr>
        <w:t>Kansas</w:t>
      </w:r>
      <w:r w:rsidR="00F81BF1" w:rsidRPr="00FB4EFA">
        <w:rPr>
          <w:rFonts w:cs="Charis SIL"/>
          <w:lang w:val="hu-HU" w:eastAsia="hr-HR"/>
        </w:rPr>
        <w:t>/</w:t>
      </w:r>
      <w:r w:rsidRPr="00FB4EFA">
        <w:rPr>
          <w:rFonts w:cs="Charis SIL"/>
          <w:shd w:val="clear" w:color="auto" w:fill="FFFFFF"/>
          <w:lang w:val="hu-HU"/>
        </w:rPr>
        <w:t>Maribor</w:t>
      </w:r>
      <w:r w:rsidR="00F81BF1" w:rsidRPr="00FB4EFA">
        <w:rPr>
          <w:rFonts w:cs="Charis SIL"/>
          <w:lang w:val="hu-HU" w:eastAsia="hr-HR"/>
        </w:rPr>
        <w:t>/</w:t>
      </w:r>
      <w:r w:rsidRPr="00FB4EFA">
        <w:rPr>
          <w:rFonts w:cs="Charis SIL"/>
          <w:shd w:val="clear" w:color="auto" w:fill="FFFFFF"/>
          <w:lang w:val="hu-HU"/>
        </w:rPr>
        <w:t>Praha: ZORA 92.</w:t>
      </w:r>
    </w:p>
    <w:p w14:paraId="60DC1A01" w14:textId="44D5F8DA" w:rsidR="000121EA" w:rsidRPr="00FB4EFA" w:rsidRDefault="005E68D9" w:rsidP="004166CB">
      <w:pPr>
        <w:suppressAutoHyphens/>
        <w:spacing w:line="240" w:lineRule="auto"/>
        <w:ind w:left="426" w:hanging="426"/>
        <w:rPr>
          <w:rFonts w:cs="Charis SIL"/>
          <w:lang w:val="hu-HU"/>
        </w:rPr>
      </w:pPr>
      <w:r w:rsidRPr="00FB4EFA">
        <w:rPr>
          <w:rFonts w:cs="Charis SIL"/>
          <w:lang w:val="hu-HU"/>
        </w:rPr>
        <w:t>Kolláth Anna</w:t>
      </w:r>
      <w:r w:rsidR="00986D98" w:rsidRPr="00FB4EFA">
        <w:rPr>
          <w:rFonts w:cs="Charis SIL"/>
          <w:lang w:val="hu-HU"/>
        </w:rPr>
        <w:t>.</w:t>
      </w:r>
      <w:r w:rsidRPr="00FB4EFA">
        <w:rPr>
          <w:rFonts w:cs="Charis SIL"/>
          <w:lang w:val="hu-HU"/>
        </w:rPr>
        <w:t xml:space="preserve"> 2016. Nyelvek, nyelvváltozatok és a modern média a kisebbségi kétnyelvűségben. In Czetter Ibolya </w:t>
      </w:r>
      <w:r w:rsidR="000F68FF" w:rsidRPr="00FB4EFA">
        <w:rPr>
          <w:rFonts w:cs="Charis SIL"/>
          <w:lang w:val="hu-HU"/>
        </w:rPr>
        <w:t>(</w:t>
      </w:r>
      <w:r w:rsidRPr="00FB4EFA">
        <w:rPr>
          <w:rFonts w:cs="Charis SIL"/>
          <w:lang w:val="hu-HU"/>
        </w:rPr>
        <w:t>szerk.</w:t>
      </w:r>
      <w:r w:rsidR="000F68FF" w:rsidRPr="00FB4EFA">
        <w:rPr>
          <w:rFonts w:cs="Charis SIL"/>
          <w:lang w:val="hu-HU"/>
        </w:rPr>
        <w:t>)</w:t>
      </w:r>
      <w:r w:rsidR="00950296" w:rsidRPr="00FB4EFA">
        <w:rPr>
          <w:rFonts w:cs="Charis SIL"/>
          <w:lang w:val="hu-HU"/>
        </w:rPr>
        <w:t>,</w:t>
      </w:r>
      <w:r w:rsidR="000F68FF" w:rsidRPr="00FB4EFA">
        <w:rPr>
          <w:rFonts w:cs="Charis SIL"/>
          <w:lang w:val="hu-HU"/>
        </w:rPr>
        <w:t xml:space="preserve"> </w:t>
      </w:r>
      <w:r w:rsidRPr="00FB4EFA">
        <w:rPr>
          <w:rFonts w:cs="Charis SIL"/>
          <w:i/>
          <w:iCs/>
          <w:lang w:val="hu-HU"/>
        </w:rPr>
        <w:t>VI. Dialektológiai Szimpozion, Szombathely, 2015. szeptember 2–4</w:t>
      </w:r>
      <w:r w:rsidR="00950296" w:rsidRPr="00FB4EFA">
        <w:rPr>
          <w:rFonts w:cs="Charis SIL"/>
          <w:lang w:val="hu-HU"/>
        </w:rPr>
        <w:t>,</w:t>
      </w:r>
      <w:r w:rsidR="00986D98" w:rsidRPr="00FB4EFA">
        <w:rPr>
          <w:rFonts w:cs="Charis SIL"/>
          <w:lang w:val="hu-HU"/>
        </w:rPr>
        <w:t xml:space="preserve"> 417–425. </w:t>
      </w:r>
      <w:r w:rsidRPr="00FB4EFA">
        <w:rPr>
          <w:rFonts w:cs="Charis SIL"/>
          <w:lang w:val="hu-HU"/>
        </w:rPr>
        <w:t xml:space="preserve">Szombathely: A Berzsenyi Dániel Főiskola Magyar Nyelvészeti Tanszékének kiadványai </w:t>
      </w:r>
      <w:r w:rsidR="00986D98" w:rsidRPr="00FB4EFA">
        <w:rPr>
          <w:rFonts w:cs="Charis SIL"/>
          <w:lang w:val="hu-HU"/>
        </w:rPr>
        <w:t>/</w:t>
      </w:r>
      <w:r w:rsidRPr="00FB4EFA">
        <w:rPr>
          <w:rFonts w:cs="Charis SIL"/>
          <w:lang w:val="hu-HU"/>
        </w:rPr>
        <w:t xml:space="preserve"> Nyitra: Konstantin Filozófus Egyetem, Közép-európai Tanulmányok Kara; Szlovákai Magyar Akadémiai Tanács.</w:t>
      </w:r>
    </w:p>
    <w:p w14:paraId="57B9B5C3" w14:textId="721F578B" w:rsidR="005E68D9" w:rsidRPr="00FB4EFA" w:rsidRDefault="005E68D9" w:rsidP="004166CB">
      <w:pPr>
        <w:suppressAutoHyphens/>
        <w:spacing w:line="240" w:lineRule="auto"/>
        <w:ind w:left="426" w:hanging="426"/>
        <w:rPr>
          <w:rFonts w:cs="Charis SIL"/>
          <w:lang w:val="hu-HU"/>
        </w:rPr>
      </w:pPr>
      <w:r w:rsidRPr="00FB4EFA">
        <w:rPr>
          <w:rFonts w:cs="Charis SIL"/>
          <w:lang w:val="hu-HU"/>
        </w:rPr>
        <w:lastRenderedPageBreak/>
        <w:t>Kolláth Anna</w:t>
      </w:r>
      <w:r w:rsidR="00986D98" w:rsidRPr="00FB4EFA">
        <w:rPr>
          <w:rFonts w:cs="Charis SIL"/>
          <w:lang w:val="hu-HU"/>
        </w:rPr>
        <w:t>.</w:t>
      </w:r>
      <w:r w:rsidRPr="00FB4EFA">
        <w:rPr>
          <w:rFonts w:cs="Charis SIL"/>
          <w:lang w:val="hu-HU"/>
        </w:rPr>
        <w:t xml:space="preserve"> 2020. A magyar nyelv muravidéki változata az új évezredben – az oktatás és a kutatás kontextusában. </w:t>
      </w:r>
      <w:r w:rsidRPr="00FB4EFA">
        <w:rPr>
          <w:rFonts w:cs="Charis SIL"/>
          <w:i/>
          <w:iCs/>
          <w:lang w:val="hu-HU"/>
        </w:rPr>
        <w:t>Magyar Tudomány</w:t>
      </w:r>
      <w:r w:rsidRPr="00FB4EFA">
        <w:rPr>
          <w:rFonts w:cs="Charis SIL"/>
          <w:lang w:val="hu-HU"/>
        </w:rPr>
        <w:t xml:space="preserve"> 181</w:t>
      </w:r>
      <w:r w:rsidR="00BC5B01" w:rsidRPr="00FB4EFA">
        <w:rPr>
          <w:rFonts w:cs="Charis SIL"/>
          <w:lang w:val="hu-HU"/>
        </w:rPr>
        <w:t xml:space="preserve"> (</w:t>
      </w:r>
      <w:r w:rsidRPr="00FB4EFA">
        <w:rPr>
          <w:rFonts w:cs="Charis SIL"/>
          <w:lang w:val="hu-HU"/>
        </w:rPr>
        <w:t>2</w:t>
      </w:r>
      <w:r w:rsidR="00BC5B01" w:rsidRPr="00FB4EFA">
        <w:rPr>
          <w:rFonts w:cs="Charis SIL"/>
          <w:lang w:val="hu-HU"/>
        </w:rPr>
        <w:t>).</w:t>
      </w:r>
      <w:r w:rsidRPr="00FB4EFA">
        <w:rPr>
          <w:rFonts w:cs="Charis SIL"/>
          <w:lang w:val="hu-HU"/>
        </w:rPr>
        <w:t xml:space="preserve"> 177–189. </w:t>
      </w:r>
      <w:hyperlink r:id="rId343" w:history="1">
        <w:r w:rsidR="00BC5B01" w:rsidRPr="00FB4EFA">
          <w:rPr>
            <w:rStyle w:val="Hyperlink"/>
            <w:rFonts w:cs="Charis SIL"/>
            <w:color w:val="auto"/>
            <w:lang w:val="hu-HU"/>
          </w:rPr>
          <w:t>doi.org/10.1556/2065.181.2020.2.2</w:t>
        </w:r>
      </w:hyperlink>
      <w:r w:rsidR="00986D98" w:rsidRPr="00FB4EFA">
        <w:rPr>
          <w:rFonts w:cs="Charis SIL"/>
          <w:lang w:val="hu-HU"/>
        </w:rPr>
        <w:t>.</w:t>
      </w:r>
    </w:p>
    <w:p w14:paraId="0A7ED807" w14:textId="5BBC79F9" w:rsidR="005E68D9" w:rsidRPr="00FB4EFA" w:rsidRDefault="005E68D9" w:rsidP="004166CB">
      <w:pPr>
        <w:suppressAutoHyphens/>
        <w:spacing w:line="240" w:lineRule="auto"/>
        <w:ind w:left="426" w:hanging="426"/>
        <w:rPr>
          <w:rFonts w:cs="Charis SIL"/>
          <w:lang w:val="hu-HU"/>
        </w:rPr>
      </w:pPr>
      <w:r w:rsidRPr="00FB4EFA">
        <w:rPr>
          <w:rFonts w:cs="Charis SIL"/>
          <w:lang w:val="hu-HU"/>
        </w:rPr>
        <w:t>Kolláth Anna</w:t>
      </w:r>
      <w:r w:rsidR="00986D98" w:rsidRPr="00FB4EFA">
        <w:rPr>
          <w:rFonts w:cs="Charis SIL"/>
          <w:lang w:val="hu-HU"/>
        </w:rPr>
        <w:t>.</w:t>
      </w:r>
      <w:r w:rsidRPr="00FB4EFA">
        <w:rPr>
          <w:rFonts w:cs="Charis SIL"/>
          <w:lang w:val="hu-HU"/>
        </w:rPr>
        <w:t xml:space="preserve"> 2021. Az iskola nyelve(i) – a Termini szótár oktatás és nevelés fogalomkörű kölcsönszavainak élete a Muravidéken. In Csernicskó István</w:t>
      </w:r>
      <w:r w:rsidR="000F68FF" w:rsidRPr="00FB4EFA">
        <w:rPr>
          <w:rFonts w:cs="Charis SIL"/>
          <w:lang w:val="hu-HU"/>
        </w:rPr>
        <w:t>,</w:t>
      </w:r>
      <w:r w:rsidRPr="00FB4EFA">
        <w:rPr>
          <w:rFonts w:cs="Charis SIL"/>
          <w:lang w:val="hu-HU"/>
        </w:rPr>
        <w:t xml:space="preserve"> Kozmács István (szerk.)</w:t>
      </w:r>
      <w:r w:rsidR="00950296" w:rsidRPr="00FB4EFA">
        <w:rPr>
          <w:rFonts w:cs="Charis SIL"/>
          <w:lang w:val="hu-HU"/>
        </w:rPr>
        <w:t>,</w:t>
      </w:r>
      <w:r w:rsidRPr="00FB4EFA">
        <w:rPr>
          <w:rFonts w:cs="Charis SIL"/>
          <w:lang w:val="hu-HU"/>
        </w:rPr>
        <w:t xml:space="preserve"> </w:t>
      </w:r>
      <w:r w:rsidRPr="00FB4EFA">
        <w:rPr>
          <w:rFonts w:cs="Charis SIL"/>
          <w:i/>
          <w:iCs/>
          <w:lang w:val="hu-HU"/>
        </w:rPr>
        <w:t>Kétnyelvűség – oktatás – nyelvmenedzselés. Írások, tanulmányok Vančo Ildikó születésnapjára</w:t>
      </w:r>
      <w:r w:rsidR="00950296" w:rsidRPr="00FB4EFA">
        <w:rPr>
          <w:rFonts w:cs="Charis SIL"/>
          <w:lang w:val="hu-HU"/>
        </w:rPr>
        <w:t>, 175–182</w:t>
      </w:r>
      <w:r w:rsidRPr="00FB4EFA">
        <w:rPr>
          <w:rFonts w:cs="Charis SIL"/>
          <w:i/>
          <w:iCs/>
          <w:lang w:val="hu-HU"/>
        </w:rPr>
        <w:t xml:space="preserve">. </w:t>
      </w:r>
      <w:r w:rsidR="00986D98" w:rsidRPr="00FB4EFA">
        <w:rPr>
          <w:rFonts w:cs="Charis SIL"/>
          <w:lang w:val="hu-HU"/>
        </w:rPr>
        <w:t xml:space="preserve">Nyitra: </w:t>
      </w:r>
      <w:r w:rsidRPr="00FB4EFA">
        <w:rPr>
          <w:rFonts w:cs="Charis SIL"/>
          <w:lang w:val="hu-HU"/>
        </w:rPr>
        <w:t>Közép-európai Tanulmányok Kara, Nyitrai Konstantin Filozófus Egyetem.</w:t>
      </w:r>
    </w:p>
    <w:p w14:paraId="3F324462" w14:textId="20CBCE47" w:rsidR="005E68D9" w:rsidRPr="00FB4EFA" w:rsidRDefault="005E68D9" w:rsidP="004166CB">
      <w:pPr>
        <w:suppressAutoHyphens/>
        <w:spacing w:line="240" w:lineRule="auto"/>
        <w:ind w:left="426" w:hanging="426"/>
        <w:rPr>
          <w:rFonts w:cs="Charis SIL"/>
          <w:u w:val="single"/>
          <w:lang w:val="hu-HU"/>
        </w:rPr>
      </w:pPr>
      <w:r w:rsidRPr="00FB4EFA">
        <w:rPr>
          <w:rFonts w:cs="Charis SIL"/>
          <w:lang w:val="hu-HU"/>
        </w:rPr>
        <w:t>Kolláth Anna</w:t>
      </w:r>
      <w:r w:rsidR="00986D98" w:rsidRPr="00FB4EFA">
        <w:rPr>
          <w:rFonts w:cs="Charis SIL"/>
          <w:lang w:val="hu-HU"/>
        </w:rPr>
        <w:t>,</w:t>
      </w:r>
      <w:r w:rsidRPr="00FB4EFA">
        <w:rPr>
          <w:rFonts w:cs="Charis SIL"/>
          <w:lang w:val="hu-HU"/>
        </w:rPr>
        <w:t xml:space="preserve"> Gróf Annamária</w:t>
      </w:r>
      <w:r w:rsidR="00986D98" w:rsidRPr="00FB4EFA">
        <w:rPr>
          <w:rFonts w:cs="Charis SIL"/>
          <w:lang w:val="hu-HU"/>
        </w:rPr>
        <w:t>.</w:t>
      </w:r>
      <w:r w:rsidRPr="00FB4EFA">
        <w:rPr>
          <w:rFonts w:cs="Charis SIL"/>
          <w:lang w:val="hu-HU"/>
        </w:rPr>
        <w:t xml:space="preserve"> 2013. </w:t>
      </w:r>
      <w:r w:rsidRPr="00FB4EFA">
        <w:rPr>
          <w:rFonts w:cs="Charis SIL"/>
          <w:i/>
          <w:iCs/>
          <w:lang w:val="hu-HU"/>
        </w:rPr>
        <w:t>Hungarian in Slovenia. ELDIA case-specific report</w:t>
      </w:r>
      <w:r w:rsidRPr="00FB4EFA">
        <w:rPr>
          <w:rFonts w:cs="Charis SIL"/>
          <w:lang w:val="hu-HU"/>
        </w:rPr>
        <w:t xml:space="preserve">. </w:t>
      </w:r>
      <w:hyperlink r:id="rId344" w:history="1">
        <w:r w:rsidRPr="00FB4EFA">
          <w:rPr>
            <w:rFonts w:cs="Charis SIL"/>
            <w:u w:val="single"/>
            <w:lang w:val="hu-HU"/>
          </w:rPr>
          <w:t>phaidra.univie.ac.at/detail/o:356605.pdf</w:t>
        </w:r>
      </w:hyperlink>
      <w:r w:rsidR="008F2CAE" w:rsidRPr="00FB4EFA">
        <w:rPr>
          <w:rFonts w:cs="Charis SIL"/>
          <w:lang w:val="hu-HU"/>
        </w:rPr>
        <w:t>.</w:t>
      </w:r>
    </w:p>
    <w:p w14:paraId="06763427" w14:textId="6C537D9E" w:rsidR="005E68D9" w:rsidRPr="00FB4EFA" w:rsidRDefault="005E68D9" w:rsidP="004166CB">
      <w:pPr>
        <w:suppressAutoHyphens/>
        <w:spacing w:line="240" w:lineRule="auto"/>
        <w:ind w:left="426" w:hanging="426"/>
        <w:rPr>
          <w:rFonts w:cs="Charis SIL"/>
          <w:bCs/>
          <w:lang w:val="hu-HU"/>
        </w:rPr>
      </w:pPr>
      <w:r w:rsidRPr="00FB4EFA">
        <w:rPr>
          <w:rFonts w:cs="Charis SIL"/>
          <w:shd w:val="clear" w:color="auto" w:fill="FFFFFF"/>
          <w:lang w:val="hu-HU"/>
        </w:rPr>
        <w:t>Kolláth Anna</w:t>
      </w:r>
      <w:r w:rsidR="00986D98" w:rsidRPr="00FB4EFA">
        <w:rPr>
          <w:rFonts w:cs="Charis SIL"/>
          <w:shd w:val="clear" w:color="auto" w:fill="FFFFFF"/>
          <w:lang w:val="hu-HU"/>
        </w:rPr>
        <w:t>,</w:t>
      </w:r>
      <w:r w:rsidRPr="00FB4EFA">
        <w:rPr>
          <w:rFonts w:cs="Charis SIL"/>
          <w:shd w:val="clear" w:color="auto" w:fill="FFFFFF"/>
          <w:lang w:val="hu-HU"/>
        </w:rPr>
        <w:t xml:space="preserve"> </w:t>
      </w:r>
      <w:r w:rsidRPr="00FB4EFA">
        <w:rPr>
          <w:rFonts w:cs="Charis SIL"/>
          <w:lang w:val="hu-HU"/>
        </w:rPr>
        <w:t>Lehocki-Samardžić</w:t>
      </w:r>
      <w:r w:rsidRPr="00FB4EFA">
        <w:rPr>
          <w:rFonts w:cs="Charis SIL"/>
          <w:shd w:val="clear" w:color="auto" w:fill="FFFFFF"/>
          <w:lang w:val="hu-HU"/>
        </w:rPr>
        <w:t xml:space="preserve"> Ana</w:t>
      </w:r>
      <w:r w:rsidR="00986D98" w:rsidRPr="00FB4EFA">
        <w:rPr>
          <w:rFonts w:cs="Charis SIL"/>
          <w:shd w:val="clear" w:color="auto" w:fill="FFFFFF"/>
          <w:lang w:val="hu-HU"/>
        </w:rPr>
        <w:t>,</w:t>
      </w:r>
      <w:r w:rsidRPr="00FB4EFA">
        <w:rPr>
          <w:rFonts w:cs="Charis SIL"/>
          <w:shd w:val="clear" w:color="auto" w:fill="FFFFFF"/>
          <w:lang w:val="hu-HU"/>
        </w:rPr>
        <w:t xml:space="preserve"> Vukov-Raffai Éva</w:t>
      </w:r>
      <w:r w:rsidR="00986D98" w:rsidRPr="00FB4EFA">
        <w:rPr>
          <w:rFonts w:cs="Charis SIL"/>
          <w:lang w:val="hu-HU"/>
        </w:rPr>
        <w:t>.</w:t>
      </w:r>
      <w:r w:rsidRPr="00FB4EFA">
        <w:rPr>
          <w:rFonts w:cs="Charis SIL"/>
          <w:shd w:val="clear" w:color="auto" w:fill="FFFFFF"/>
          <w:lang w:val="hu-HU"/>
        </w:rPr>
        <w:t xml:space="preserve"> 2021. </w:t>
      </w:r>
      <w:r w:rsidRPr="00FB4EFA">
        <w:rPr>
          <w:rFonts w:cs="Charis SIL"/>
          <w:bCs/>
          <w:lang w:val="hu-HU"/>
        </w:rPr>
        <w:t>Az oktatás terminológiája a Termini-szótárban – délszláv nyelvi kontaktusban. Megjelenőben.</w:t>
      </w:r>
    </w:p>
    <w:p w14:paraId="7FBB79C1" w14:textId="15670965" w:rsidR="005E68D9" w:rsidRPr="00FB4EFA" w:rsidRDefault="005E68D9" w:rsidP="004166CB">
      <w:pPr>
        <w:suppressAutoHyphens/>
        <w:spacing w:line="240" w:lineRule="auto"/>
        <w:ind w:left="426" w:hanging="426"/>
        <w:rPr>
          <w:rFonts w:cs="Charis SIL"/>
          <w:lang w:val="hu-HU"/>
        </w:rPr>
      </w:pPr>
      <w:r w:rsidRPr="00FB4EFA">
        <w:rPr>
          <w:rFonts w:cs="Charis SIL"/>
          <w:bCs/>
          <w:lang w:val="hu-HU"/>
        </w:rPr>
        <w:t>Laczkó Krisztina</w:t>
      </w:r>
      <w:r w:rsidR="00986D98" w:rsidRPr="00FB4EFA">
        <w:rPr>
          <w:rFonts w:cs="Charis SIL"/>
          <w:bCs/>
          <w:lang w:val="hu-HU"/>
        </w:rPr>
        <w:t>,</w:t>
      </w:r>
      <w:r w:rsidRPr="00FB4EFA">
        <w:rPr>
          <w:rFonts w:cs="Charis SIL"/>
          <w:bCs/>
          <w:lang w:val="hu-HU"/>
        </w:rPr>
        <w:t xml:space="preserve"> Mártonfi Attila</w:t>
      </w:r>
      <w:r w:rsidR="00986D98" w:rsidRPr="00FB4EFA">
        <w:rPr>
          <w:rFonts w:cs="Charis SIL"/>
          <w:lang w:val="hu-HU"/>
        </w:rPr>
        <w:t>.</w:t>
      </w:r>
      <w:r w:rsidRPr="00FB4EFA">
        <w:rPr>
          <w:rFonts w:cs="Charis SIL"/>
          <w:bCs/>
          <w:lang w:val="hu-HU"/>
        </w:rPr>
        <w:t xml:space="preserve"> 2004. </w:t>
      </w:r>
      <w:r w:rsidRPr="00FB4EFA">
        <w:rPr>
          <w:rFonts w:cs="Charis SIL"/>
          <w:bCs/>
          <w:i/>
          <w:iCs/>
          <w:lang w:val="hu-HU"/>
        </w:rPr>
        <w:t>Helyesírás.</w:t>
      </w:r>
      <w:r w:rsidRPr="00FB4EFA">
        <w:rPr>
          <w:rFonts w:cs="Charis SIL"/>
          <w:bCs/>
          <w:lang w:val="hu-HU"/>
        </w:rPr>
        <w:t xml:space="preserve"> Budapest: Osiris Kiadó.</w:t>
      </w:r>
    </w:p>
    <w:p w14:paraId="563AED27" w14:textId="5E316023" w:rsidR="005E68D9" w:rsidRPr="00FB4EFA" w:rsidRDefault="005E68D9" w:rsidP="004166CB">
      <w:pPr>
        <w:suppressAutoHyphens/>
        <w:spacing w:line="240" w:lineRule="auto"/>
        <w:ind w:left="426" w:hanging="426"/>
        <w:rPr>
          <w:rFonts w:cs="Charis SIL"/>
          <w:shd w:val="clear" w:color="auto" w:fill="FFFFFF"/>
          <w:lang w:val="hu-HU"/>
        </w:rPr>
      </w:pPr>
      <w:r w:rsidRPr="00FB4EFA">
        <w:rPr>
          <w:rFonts w:cs="Charis SIL"/>
          <w:shd w:val="clear" w:color="auto" w:fill="FFFFFF"/>
          <w:lang w:val="hu-HU"/>
        </w:rPr>
        <w:t>Lanstyák István</w:t>
      </w:r>
      <w:r w:rsidR="00986D98" w:rsidRPr="00FB4EFA">
        <w:rPr>
          <w:rFonts w:cs="Charis SIL"/>
          <w:lang w:val="hu-HU"/>
        </w:rPr>
        <w:t>.</w:t>
      </w:r>
      <w:r w:rsidRPr="00FB4EFA">
        <w:rPr>
          <w:rFonts w:cs="Charis SIL"/>
          <w:shd w:val="clear" w:color="auto" w:fill="FFFFFF"/>
          <w:lang w:val="hu-HU"/>
        </w:rPr>
        <w:t xml:space="preserve"> 2006. </w:t>
      </w:r>
      <w:r w:rsidRPr="00FB4EFA">
        <w:rPr>
          <w:rFonts w:cs="Charis SIL"/>
          <w:i/>
          <w:iCs/>
          <w:shd w:val="clear" w:color="auto" w:fill="FFFFFF"/>
          <w:lang w:val="hu-HU"/>
        </w:rPr>
        <w:t>Nyelvből nyelvbe</w:t>
      </w:r>
      <w:r w:rsidRPr="00FB4EFA">
        <w:rPr>
          <w:rFonts w:cs="Charis SIL"/>
          <w:shd w:val="clear" w:color="auto" w:fill="FFFFFF"/>
          <w:lang w:val="hu-HU"/>
        </w:rPr>
        <w:t>. Pozsony: Kalligram Könyvkiadó.</w:t>
      </w:r>
    </w:p>
    <w:p w14:paraId="2DA8DDBE" w14:textId="4F03FA13" w:rsidR="005E68D9" w:rsidRPr="00FB4EFA" w:rsidRDefault="005E68D9" w:rsidP="004166CB">
      <w:pPr>
        <w:suppressAutoHyphens/>
        <w:spacing w:line="240" w:lineRule="auto"/>
        <w:ind w:left="426" w:hanging="426"/>
        <w:rPr>
          <w:rFonts w:cs="Charis SIL"/>
          <w:lang w:val="hu-HU"/>
        </w:rPr>
      </w:pPr>
      <w:r w:rsidRPr="00FB4EFA">
        <w:rPr>
          <w:rFonts w:cs="Charis SIL"/>
          <w:lang w:val="hu-HU"/>
        </w:rPr>
        <w:t>Lanstyák István</w:t>
      </w:r>
      <w:r w:rsidR="00986D98" w:rsidRPr="00FB4EFA">
        <w:rPr>
          <w:rFonts w:cs="Charis SIL"/>
          <w:lang w:val="hu-HU"/>
        </w:rPr>
        <w:t>.</w:t>
      </w:r>
      <w:r w:rsidRPr="00FB4EFA">
        <w:rPr>
          <w:rFonts w:cs="Charis SIL"/>
          <w:lang w:val="hu-HU"/>
        </w:rPr>
        <w:t xml:space="preserve"> 2008. A magyar szókészlet szétfejlődése 1918 után. In Fedinec Csilla (szerk.)</w:t>
      </w:r>
      <w:r w:rsidR="00397C6D" w:rsidRPr="00FB4EFA">
        <w:rPr>
          <w:rFonts w:cs="Charis SIL"/>
          <w:lang w:val="hu-HU"/>
        </w:rPr>
        <w:t>,</w:t>
      </w:r>
      <w:r w:rsidRPr="00FB4EFA">
        <w:rPr>
          <w:rFonts w:cs="Charis SIL"/>
          <w:lang w:val="hu-HU"/>
        </w:rPr>
        <w:t xml:space="preserve"> </w:t>
      </w:r>
      <w:r w:rsidRPr="00FB4EFA">
        <w:rPr>
          <w:rFonts w:cs="Charis SIL"/>
          <w:i/>
          <w:lang w:val="hu-HU"/>
        </w:rPr>
        <w:t>Értékek, dimenziók a magyarságkutatásban</w:t>
      </w:r>
      <w:r w:rsidR="00397C6D" w:rsidRPr="00FB4EFA">
        <w:rPr>
          <w:rFonts w:cs="Charis SIL"/>
          <w:iCs/>
          <w:lang w:val="hu-HU"/>
        </w:rPr>
        <w:t>,</w:t>
      </w:r>
      <w:r w:rsidRPr="00FB4EFA">
        <w:rPr>
          <w:rFonts w:cs="Charis SIL"/>
          <w:i/>
          <w:lang w:val="hu-HU"/>
        </w:rPr>
        <w:t xml:space="preserve"> </w:t>
      </w:r>
      <w:r w:rsidR="00986D98" w:rsidRPr="00FB4EFA">
        <w:rPr>
          <w:rFonts w:cs="Charis SIL"/>
          <w:lang w:val="hu-HU"/>
        </w:rPr>
        <w:t xml:space="preserve">118–135. Budapest: </w:t>
      </w:r>
      <w:r w:rsidRPr="00FB4EFA">
        <w:rPr>
          <w:rFonts w:cs="Charis SIL"/>
          <w:lang w:val="hu-HU"/>
        </w:rPr>
        <w:t>Magyar Tudományos Akadémia Magyar Tudományosság Külföldön Elnöki Bizottság.</w:t>
      </w:r>
    </w:p>
    <w:p w14:paraId="424F7D11" w14:textId="578A28B4" w:rsidR="005E68D9" w:rsidRPr="00FB4EFA" w:rsidRDefault="005E68D9" w:rsidP="004166CB">
      <w:pPr>
        <w:keepLines/>
        <w:suppressAutoHyphens/>
        <w:spacing w:line="240" w:lineRule="auto"/>
        <w:ind w:left="425" w:hanging="425"/>
        <w:rPr>
          <w:rFonts w:cs="Charis SIL"/>
          <w:lang w:val="hu-HU"/>
        </w:rPr>
      </w:pPr>
      <w:r w:rsidRPr="00FB4EFA">
        <w:rPr>
          <w:rFonts w:cs="Charis SIL"/>
          <w:lang w:val="hu-HU"/>
        </w:rPr>
        <w:t>Péntek János</w:t>
      </w:r>
      <w:r w:rsidR="00986D98" w:rsidRPr="00FB4EFA">
        <w:rPr>
          <w:rFonts w:cs="Charis SIL"/>
          <w:lang w:val="hu-HU"/>
        </w:rPr>
        <w:t>.</w:t>
      </w:r>
      <w:r w:rsidRPr="00FB4EFA">
        <w:rPr>
          <w:rFonts w:cs="Charis SIL"/>
          <w:lang w:val="hu-HU"/>
        </w:rPr>
        <w:t xml:space="preserve"> 2004. A magyar nyelv szótárai, nyelvtanai, kézikönyvei és a határontúli Magyar nyelvváltozatok. Az MTA határontúli kutatóállomásainak feladatait is ellátó nyelvi irodák állásfoglalása. </w:t>
      </w:r>
      <w:r w:rsidRPr="00FB4EFA">
        <w:rPr>
          <w:rFonts w:cs="Charis SIL"/>
          <w:i/>
          <w:lang w:val="hu-HU"/>
        </w:rPr>
        <w:t>Magyar Tudomány.</w:t>
      </w:r>
      <w:r w:rsidRPr="00FB4EFA">
        <w:rPr>
          <w:rFonts w:cs="Charis SIL"/>
          <w:lang w:val="hu-HU"/>
        </w:rPr>
        <w:t xml:space="preserve"> 7. </w:t>
      </w:r>
      <w:hyperlink r:id="rId345" w:history="1">
        <w:r w:rsidR="00312ECF" w:rsidRPr="00FB4EFA">
          <w:rPr>
            <w:rStyle w:val="Hyperlink"/>
            <w:rFonts w:cs="Charis SIL"/>
            <w:color w:val="auto"/>
            <w:lang w:val="hu-HU"/>
          </w:rPr>
          <w:t>www.matud.iif.hu/04jul/008.html</w:t>
        </w:r>
      </w:hyperlink>
      <w:r w:rsidR="008F2CAE" w:rsidRPr="00FB4EFA">
        <w:rPr>
          <w:rFonts w:cs="Charis SIL"/>
          <w:lang w:val="hu-HU"/>
        </w:rPr>
        <w:t>.</w:t>
      </w:r>
    </w:p>
    <w:p w14:paraId="7E7DD41B" w14:textId="786A2F5D" w:rsidR="005E68D9" w:rsidRPr="00FB4EFA" w:rsidRDefault="005E68D9" w:rsidP="004166CB">
      <w:pPr>
        <w:suppressAutoHyphens/>
        <w:spacing w:line="240" w:lineRule="auto"/>
        <w:ind w:left="426" w:hanging="426"/>
        <w:rPr>
          <w:rFonts w:cs="Charis SIL"/>
          <w:shd w:val="clear" w:color="auto" w:fill="FFFFFF"/>
          <w:lang w:val="hu-HU"/>
        </w:rPr>
      </w:pPr>
      <w:r w:rsidRPr="00FB4EFA">
        <w:rPr>
          <w:rFonts w:cs="Charis SIL"/>
          <w:shd w:val="clear" w:color="auto" w:fill="FFFFFF"/>
          <w:lang w:val="hu-HU"/>
        </w:rPr>
        <w:t>Pintér Tibor</w:t>
      </w:r>
      <w:r w:rsidR="00986D98" w:rsidRPr="00FB4EFA">
        <w:rPr>
          <w:rFonts w:cs="Charis SIL"/>
          <w:lang w:val="hu-HU"/>
        </w:rPr>
        <w:t>.</w:t>
      </w:r>
      <w:r w:rsidRPr="00FB4EFA">
        <w:rPr>
          <w:rFonts w:cs="Charis SIL"/>
          <w:shd w:val="clear" w:color="auto" w:fill="FFFFFF"/>
          <w:lang w:val="hu-HU"/>
        </w:rPr>
        <w:t xml:space="preserve"> 2017. Adatbányászat a kétnyelvűség mögött. In Benő Attila</w:t>
      </w:r>
      <w:r w:rsidR="00986D98" w:rsidRPr="00FB4EFA">
        <w:rPr>
          <w:rFonts w:cs="Charis SIL"/>
          <w:shd w:val="clear" w:color="auto" w:fill="FFFFFF"/>
          <w:lang w:val="hu-HU"/>
        </w:rPr>
        <w:t>,</w:t>
      </w:r>
      <w:r w:rsidRPr="00FB4EFA">
        <w:rPr>
          <w:rFonts w:cs="Charis SIL"/>
          <w:shd w:val="clear" w:color="auto" w:fill="FFFFFF"/>
          <w:lang w:val="hu-HU"/>
        </w:rPr>
        <w:t xml:space="preserve"> Gúti Erika</w:t>
      </w:r>
      <w:r w:rsidR="00986D98" w:rsidRPr="00FB4EFA">
        <w:rPr>
          <w:rFonts w:cs="Charis SIL"/>
          <w:shd w:val="clear" w:color="auto" w:fill="FFFFFF"/>
          <w:lang w:val="hu-HU"/>
        </w:rPr>
        <w:t>,</w:t>
      </w:r>
      <w:r w:rsidRPr="00FB4EFA">
        <w:rPr>
          <w:rFonts w:cs="Charis SIL"/>
          <w:shd w:val="clear" w:color="auto" w:fill="FFFFFF"/>
          <w:lang w:val="hu-HU"/>
        </w:rPr>
        <w:t xml:space="preserve"> Juhász Dezső</w:t>
      </w:r>
      <w:r w:rsidR="00986D98" w:rsidRPr="00FB4EFA">
        <w:rPr>
          <w:rFonts w:cs="Charis SIL"/>
          <w:shd w:val="clear" w:color="auto" w:fill="FFFFFF"/>
          <w:lang w:val="hu-HU"/>
        </w:rPr>
        <w:t>,</w:t>
      </w:r>
      <w:r w:rsidRPr="00FB4EFA">
        <w:rPr>
          <w:rFonts w:cs="Charis SIL"/>
          <w:shd w:val="clear" w:color="auto" w:fill="FFFFFF"/>
          <w:lang w:val="hu-HU"/>
        </w:rPr>
        <w:t xml:space="preserve"> Szoták Szilvia</w:t>
      </w:r>
      <w:r w:rsidR="00986D98" w:rsidRPr="00FB4EFA">
        <w:rPr>
          <w:rFonts w:cs="Charis SIL"/>
          <w:shd w:val="clear" w:color="auto" w:fill="FFFFFF"/>
          <w:lang w:val="hu-HU"/>
        </w:rPr>
        <w:t>,</w:t>
      </w:r>
      <w:r w:rsidRPr="00FB4EFA">
        <w:rPr>
          <w:rFonts w:cs="Charis SIL"/>
          <w:shd w:val="clear" w:color="auto" w:fill="FFFFFF"/>
          <w:lang w:val="hu-HU"/>
        </w:rPr>
        <w:t xml:space="preserve"> Terbe Erika</w:t>
      </w:r>
      <w:r w:rsidR="00397C6D" w:rsidRPr="00FB4EFA">
        <w:rPr>
          <w:rFonts w:cs="Charis SIL"/>
          <w:shd w:val="clear" w:color="auto" w:fill="FFFFFF"/>
          <w:lang w:val="hu-HU"/>
        </w:rPr>
        <w:t xml:space="preserve"> &amp;</w:t>
      </w:r>
      <w:r w:rsidRPr="00FB4EFA">
        <w:rPr>
          <w:rFonts w:cs="Charis SIL"/>
          <w:shd w:val="clear" w:color="auto" w:fill="FFFFFF"/>
          <w:lang w:val="hu-HU"/>
        </w:rPr>
        <w:t xml:space="preserve"> Trócsányi András (szerk.)</w:t>
      </w:r>
      <w:r w:rsidR="00397C6D" w:rsidRPr="00FB4EFA">
        <w:rPr>
          <w:rFonts w:cs="Charis SIL"/>
          <w:shd w:val="clear" w:color="auto" w:fill="FFFFFF"/>
          <w:lang w:val="hu-HU"/>
        </w:rPr>
        <w:t>,</w:t>
      </w:r>
      <w:r w:rsidRPr="00FB4EFA">
        <w:rPr>
          <w:rFonts w:cs="Charis SIL"/>
          <w:shd w:val="clear" w:color="auto" w:fill="FFFFFF"/>
          <w:lang w:val="hu-HU"/>
        </w:rPr>
        <w:t xml:space="preserve"> </w:t>
      </w:r>
      <w:r w:rsidRPr="00FB4EFA">
        <w:rPr>
          <w:rFonts w:cs="Charis SIL"/>
          <w:i/>
          <w:shd w:val="clear" w:color="auto" w:fill="FFFFFF"/>
          <w:lang w:val="hu-HU"/>
        </w:rPr>
        <w:t>Tudományköziség és magyarságtudomány a nyelvi dimenziók tükrében</w:t>
      </w:r>
      <w:r w:rsidR="00397C6D" w:rsidRPr="00FB4EFA">
        <w:rPr>
          <w:rFonts w:cs="Charis SIL"/>
          <w:shd w:val="clear" w:color="auto" w:fill="FFFFFF"/>
          <w:lang w:val="hu-HU"/>
        </w:rPr>
        <w:t>,</w:t>
      </w:r>
      <w:r w:rsidRPr="00FB4EFA">
        <w:rPr>
          <w:rFonts w:cs="Charis SIL"/>
          <w:shd w:val="clear" w:color="auto" w:fill="FFFFFF"/>
          <w:lang w:val="hu-HU"/>
        </w:rPr>
        <w:t xml:space="preserve"> </w:t>
      </w:r>
      <w:r w:rsidR="008F2CAE" w:rsidRPr="00FB4EFA">
        <w:rPr>
          <w:rFonts w:cs="Charis SIL"/>
          <w:shd w:val="clear" w:color="auto" w:fill="FFFFFF"/>
          <w:lang w:val="hu-HU"/>
        </w:rPr>
        <w:t xml:space="preserve">158–167. </w:t>
      </w:r>
      <w:r w:rsidRPr="00FB4EFA">
        <w:rPr>
          <w:rFonts w:cs="Charis SIL"/>
          <w:shd w:val="clear" w:color="auto" w:fill="FFFFFF"/>
          <w:lang w:val="hu-HU"/>
        </w:rPr>
        <w:t>Törökbálint: Termini Egyesület</w:t>
      </w:r>
      <w:r w:rsidR="008F2CAE" w:rsidRPr="00FB4EFA">
        <w:rPr>
          <w:rFonts w:cs="Charis SIL"/>
          <w:shd w:val="clear" w:color="auto" w:fill="FFFFFF"/>
          <w:lang w:val="hu-HU"/>
        </w:rPr>
        <w:t>.</w:t>
      </w:r>
      <w:r w:rsidRPr="00FB4EFA">
        <w:rPr>
          <w:rFonts w:cs="Charis SIL"/>
          <w:shd w:val="clear" w:color="auto" w:fill="FFFFFF"/>
          <w:lang w:val="hu-HU"/>
        </w:rPr>
        <w:t xml:space="preserve"> </w:t>
      </w:r>
      <w:hyperlink r:id="rId346" w:history="1">
        <w:r w:rsidRPr="00FB4EFA">
          <w:rPr>
            <w:rFonts w:cs="Charis SIL"/>
            <w:u w:val="single"/>
            <w:shd w:val="clear" w:color="auto" w:fill="FFFFFF"/>
            <w:lang w:val="hu-HU"/>
          </w:rPr>
          <w:t>mek.oszk.hu/18600/18698/18698.pdf</w:t>
        </w:r>
      </w:hyperlink>
      <w:r w:rsidR="008F2CAE" w:rsidRPr="00FB4EFA">
        <w:rPr>
          <w:rFonts w:cs="Charis SIL"/>
          <w:shd w:val="clear" w:color="auto" w:fill="FFFFFF"/>
          <w:lang w:val="hu-HU"/>
        </w:rPr>
        <w:t>.</w:t>
      </w:r>
    </w:p>
    <w:p w14:paraId="3C3F1555" w14:textId="77777777" w:rsidR="005E68D9" w:rsidRPr="00FB4EFA" w:rsidRDefault="005E68D9" w:rsidP="004166CB">
      <w:pPr>
        <w:suppressAutoHyphens/>
        <w:spacing w:line="240" w:lineRule="auto"/>
        <w:ind w:left="426" w:hanging="426"/>
        <w:rPr>
          <w:rFonts w:cs="Charis SIL"/>
          <w:shd w:val="clear" w:color="auto" w:fill="FFFFFF"/>
          <w:lang w:val="hu-HU"/>
        </w:rPr>
      </w:pPr>
      <w:r w:rsidRPr="00FB4EFA">
        <w:rPr>
          <w:rFonts w:cs="Charis SIL"/>
          <w:shd w:val="clear" w:color="auto" w:fill="FFFFFF"/>
          <w:lang w:val="hu-HU"/>
        </w:rPr>
        <w:t xml:space="preserve">Pusztai Ferenc szerk. 2003. </w:t>
      </w:r>
      <w:r w:rsidRPr="00FB4EFA">
        <w:rPr>
          <w:rFonts w:cs="Charis SIL"/>
          <w:i/>
          <w:shd w:val="clear" w:color="auto" w:fill="FFFFFF"/>
          <w:lang w:val="hu-HU"/>
        </w:rPr>
        <w:t xml:space="preserve">Magyar értelmező kéziszótár, </w:t>
      </w:r>
      <w:r w:rsidRPr="00FB4EFA">
        <w:rPr>
          <w:rFonts w:cs="Charis SIL"/>
          <w:shd w:val="clear" w:color="auto" w:fill="FFFFFF"/>
          <w:lang w:val="hu-HU"/>
        </w:rPr>
        <w:t>2 kiadás. Budapest: Akadémiai Kiadó.</w:t>
      </w:r>
    </w:p>
    <w:p w14:paraId="5B222BBA" w14:textId="6296F203" w:rsidR="005E68D9" w:rsidRPr="00FB4EFA" w:rsidRDefault="005E68D9" w:rsidP="004166CB">
      <w:pPr>
        <w:shd w:val="clear" w:color="auto" w:fill="FFFFFF"/>
        <w:suppressAutoHyphens/>
        <w:spacing w:line="240" w:lineRule="auto"/>
        <w:ind w:left="426" w:hanging="426"/>
        <w:rPr>
          <w:rFonts w:cs="Charis SIL"/>
          <w:lang w:val="hu-HU" w:eastAsia="hr-HR"/>
        </w:rPr>
      </w:pPr>
      <w:r w:rsidRPr="00FB4EFA">
        <w:rPr>
          <w:rFonts w:cs="Charis SIL"/>
          <w:lang w:val="hu-HU" w:eastAsia="hr-HR"/>
        </w:rPr>
        <w:t>Szoták Szilvia</w:t>
      </w:r>
      <w:r w:rsidR="00986D98" w:rsidRPr="00FB4EFA">
        <w:rPr>
          <w:rFonts w:cs="Charis SIL"/>
          <w:lang w:val="hu-HU"/>
        </w:rPr>
        <w:t>.</w:t>
      </w:r>
      <w:r w:rsidRPr="00FB4EFA">
        <w:rPr>
          <w:rFonts w:cs="Charis SIL"/>
          <w:lang w:val="hu-HU" w:eastAsia="hr-HR"/>
        </w:rPr>
        <w:t xml:space="preserve"> 2017. A Termini magyar–magyar szótár és adatbázis burgenlandi gyakorlati példái. In</w:t>
      </w:r>
      <w:r w:rsidR="0094753F" w:rsidRPr="00FB4EFA">
        <w:rPr>
          <w:rFonts w:cs="Charis SIL"/>
          <w:lang w:val="hu-HU" w:eastAsia="hr-HR"/>
        </w:rPr>
        <w:t xml:space="preserve"> </w:t>
      </w:r>
      <w:r w:rsidRPr="00FB4EFA">
        <w:rPr>
          <w:rFonts w:cs="Charis SIL"/>
          <w:lang w:val="hu-HU" w:eastAsia="hr-HR"/>
        </w:rPr>
        <w:t>Fábián Zsuzsanna (szerk.)</w:t>
      </w:r>
      <w:r w:rsidR="00397C6D" w:rsidRPr="00FB4EFA">
        <w:rPr>
          <w:rFonts w:cs="Charis SIL"/>
          <w:lang w:val="hu-HU" w:eastAsia="hr-HR"/>
        </w:rPr>
        <w:t>,</w:t>
      </w:r>
      <w:r w:rsidRPr="00FB4EFA">
        <w:rPr>
          <w:rFonts w:cs="Charis SIL"/>
          <w:lang w:val="hu-HU" w:eastAsia="hr-HR"/>
        </w:rPr>
        <w:t xml:space="preserve"> </w:t>
      </w:r>
      <w:r w:rsidRPr="00FB4EFA">
        <w:rPr>
          <w:rFonts w:cs="Charis SIL"/>
          <w:i/>
          <w:iCs/>
          <w:lang w:val="hu-HU" w:eastAsia="hr-HR"/>
        </w:rPr>
        <w:t>Szótárírás a Kárpát-medencében</w:t>
      </w:r>
      <w:r w:rsidR="00397C6D" w:rsidRPr="00FB4EFA">
        <w:rPr>
          <w:rFonts w:cs="Charis SIL"/>
          <w:lang w:val="hu-HU" w:eastAsia="hr-HR"/>
        </w:rPr>
        <w:t>,</w:t>
      </w:r>
      <w:r w:rsidRPr="00FB4EFA">
        <w:rPr>
          <w:rFonts w:cs="Charis SIL"/>
          <w:lang w:val="hu-HU" w:eastAsia="hr-HR"/>
        </w:rPr>
        <w:t xml:space="preserve"> </w:t>
      </w:r>
      <w:r w:rsidR="008F2CAE" w:rsidRPr="00FB4EFA">
        <w:rPr>
          <w:rFonts w:cs="Charis SIL"/>
          <w:lang w:val="hu-HU" w:eastAsia="hr-HR"/>
        </w:rPr>
        <w:t xml:space="preserve">228–240. </w:t>
      </w:r>
      <w:r w:rsidRPr="00FB4EFA">
        <w:rPr>
          <w:rFonts w:cs="Charis SIL"/>
          <w:lang w:val="hu-HU" w:eastAsia="hr-HR"/>
        </w:rPr>
        <w:t>Budapest: Tinta Könyvkiadó.</w:t>
      </w:r>
    </w:p>
    <w:p w14:paraId="48F47435" w14:textId="2D0D42CA" w:rsidR="005E68D9" w:rsidRPr="00FB4EFA" w:rsidRDefault="005E68D9" w:rsidP="004166CB">
      <w:pPr>
        <w:keepLines/>
        <w:shd w:val="clear" w:color="auto" w:fill="FFFFFF"/>
        <w:suppressAutoHyphens/>
        <w:spacing w:line="240" w:lineRule="auto"/>
        <w:ind w:left="425" w:hanging="425"/>
        <w:rPr>
          <w:rFonts w:cs="Charis SIL"/>
          <w:lang w:val="hu-HU" w:eastAsia="hr-HR"/>
        </w:rPr>
      </w:pPr>
      <w:r w:rsidRPr="00FB4EFA">
        <w:rPr>
          <w:rFonts w:cs="Charis SIL"/>
          <w:lang w:val="hu-HU" w:eastAsia="hr-HR"/>
        </w:rPr>
        <w:t>Szoták Szilvia</w:t>
      </w:r>
      <w:r w:rsidR="00986D98" w:rsidRPr="00FB4EFA">
        <w:rPr>
          <w:rFonts w:cs="Charis SIL"/>
          <w:lang w:val="hu-HU"/>
        </w:rPr>
        <w:t>.</w:t>
      </w:r>
      <w:r w:rsidRPr="00FB4EFA">
        <w:rPr>
          <w:rFonts w:cs="Charis SIL"/>
          <w:lang w:val="hu-HU" w:eastAsia="hr-HR"/>
        </w:rPr>
        <w:t xml:space="preserve"> 2019. Értjük egymást? Oktatásterminológiai különbségek a Kárpát-medence magyar–magyar kommunikációjában. In Szoták Szilvia (szerk.)</w:t>
      </w:r>
      <w:r w:rsidR="00397C6D" w:rsidRPr="00FB4EFA">
        <w:rPr>
          <w:rFonts w:cs="Charis SIL"/>
          <w:lang w:val="hu-HU" w:eastAsia="hr-HR"/>
        </w:rPr>
        <w:t>,</w:t>
      </w:r>
      <w:r w:rsidRPr="00FB4EFA">
        <w:rPr>
          <w:rFonts w:cs="Charis SIL"/>
          <w:lang w:val="hu-HU" w:eastAsia="hr-HR"/>
        </w:rPr>
        <w:t xml:space="preserve"> </w:t>
      </w:r>
      <w:r w:rsidRPr="00FB4EFA">
        <w:rPr>
          <w:rFonts w:cs="Charis SIL"/>
          <w:i/>
          <w:lang w:val="hu-HU" w:eastAsia="hr-HR"/>
        </w:rPr>
        <w:t>Diszciplinák találkozása – nyelvi közvetítés a 21. században</w:t>
      </w:r>
      <w:r w:rsidR="00397C6D" w:rsidRPr="00FB4EFA">
        <w:rPr>
          <w:rFonts w:cs="Charis SIL"/>
          <w:lang w:val="hu-HU" w:eastAsia="hr-HR"/>
        </w:rPr>
        <w:t>, 247–259.</w:t>
      </w:r>
      <w:r w:rsidRPr="00FB4EFA">
        <w:rPr>
          <w:rFonts w:cs="Charis SIL"/>
          <w:lang w:val="hu-HU" w:eastAsia="hr-HR"/>
        </w:rPr>
        <w:t xml:space="preserve"> Budapest: OFFI Zrt.</w:t>
      </w:r>
    </w:p>
    <w:p w14:paraId="651AF5D6" w14:textId="702CEFCC" w:rsidR="005E68D9" w:rsidRPr="00FB4EFA" w:rsidRDefault="005E68D9" w:rsidP="004166CB">
      <w:pPr>
        <w:shd w:val="clear" w:color="auto" w:fill="FFFFFF"/>
        <w:suppressAutoHyphens/>
        <w:spacing w:line="240" w:lineRule="auto"/>
        <w:ind w:left="426" w:hanging="426"/>
        <w:rPr>
          <w:rFonts w:cs="Charis SIL"/>
          <w:lang w:val="hu-HU" w:eastAsia="hr-HR"/>
        </w:rPr>
      </w:pPr>
      <w:r w:rsidRPr="00FB4EFA">
        <w:rPr>
          <w:rFonts w:cs="Charis SIL"/>
          <w:lang w:val="hu-HU" w:eastAsia="hr-HR"/>
        </w:rPr>
        <w:t>Thomason, Sarah Grey</w:t>
      </w:r>
      <w:r w:rsidR="00986D98" w:rsidRPr="00FB4EFA">
        <w:rPr>
          <w:rFonts w:cs="Charis SIL"/>
          <w:lang w:val="hu-HU" w:eastAsia="hr-HR"/>
        </w:rPr>
        <w:t>,</w:t>
      </w:r>
      <w:r w:rsidRPr="00FB4EFA">
        <w:rPr>
          <w:rFonts w:cs="Charis SIL"/>
          <w:lang w:val="hu-HU" w:eastAsia="hr-HR"/>
        </w:rPr>
        <w:t xml:space="preserve"> </w:t>
      </w:r>
      <w:r w:rsidR="00986D98" w:rsidRPr="00FB4EFA">
        <w:rPr>
          <w:rFonts w:cs="Charis SIL"/>
          <w:lang w:val="hu-HU" w:eastAsia="hr-HR"/>
        </w:rPr>
        <w:t xml:space="preserve">Terrence </w:t>
      </w:r>
      <w:r w:rsidRPr="00FB4EFA">
        <w:rPr>
          <w:rFonts w:cs="Charis SIL"/>
          <w:lang w:val="hu-HU" w:eastAsia="hr-HR"/>
        </w:rPr>
        <w:t>Kaufman</w:t>
      </w:r>
      <w:r w:rsidR="00986D98" w:rsidRPr="00FB4EFA">
        <w:rPr>
          <w:rFonts w:cs="Charis SIL"/>
          <w:lang w:val="hu-HU"/>
        </w:rPr>
        <w:t xml:space="preserve">. </w:t>
      </w:r>
      <w:r w:rsidRPr="00FB4EFA">
        <w:rPr>
          <w:rFonts w:cs="Charis SIL"/>
          <w:lang w:val="hu-HU" w:eastAsia="hr-HR"/>
        </w:rPr>
        <w:t>1988.</w:t>
      </w:r>
      <w:r w:rsidR="00986D98" w:rsidRPr="00FB4EFA">
        <w:rPr>
          <w:rFonts w:cs="Charis SIL"/>
          <w:lang w:val="hu-HU" w:eastAsia="hr-HR"/>
        </w:rPr>
        <w:t xml:space="preserve"> </w:t>
      </w:r>
      <w:r w:rsidRPr="00FB4EFA">
        <w:rPr>
          <w:rFonts w:cs="Charis SIL"/>
          <w:i/>
          <w:iCs/>
          <w:lang w:val="hu-HU" w:eastAsia="hr-HR"/>
        </w:rPr>
        <w:t>Language Contact, Creolization, and Genetic Linguistics</w:t>
      </w:r>
      <w:r w:rsidRPr="00FB4EFA">
        <w:rPr>
          <w:rFonts w:cs="Charis SIL"/>
          <w:lang w:val="hu-HU" w:eastAsia="hr-HR"/>
        </w:rPr>
        <w:t>. Berkeley</w:t>
      </w:r>
      <w:r w:rsidR="00397C6D" w:rsidRPr="00FB4EFA">
        <w:rPr>
          <w:rFonts w:cs="Charis SIL"/>
          <w:lang w:val="hu-HU" w:eastAsia="hr-HR"/>
        </w:rPr>
        <w:t xml:space="preserve"> </w:t>
      </w:r>
      <w:r w:rsidR="008F2CAE" w:rsidRPr="00FB4EFA">
        <w:rPr>
          <w:rFonts w:cs="Charis SIL"/>
          <w:lang w:val="hu-HU" w:eastAsia="hr-HR"/>
        </w:rPr>
        <w:t>/</w:t>
      </w:r>
      <w:r w:rsidR="00397C6D" w:rsidRPr="00FB4EFA">
        <w:rPr>
          <w:rFonts w:cs="Charis SIL"/>
          <w:lang w:val="hu-HU" w:eastAsia="hr-HR"/>
        </w:rPr>
        <w:t xml:space="preserve"> </w:t>
      </w:r>
      <w:r w:rsidRPr="00FB4EFA">
        <w:rPr>
          <w:rFonts w:cs="Charis SIL"/>
          <w:lang w:val="hu-HU" w:eastAsia="hr-HR"/>
        </w:rPr>
        <w:t>Los Angeles</w:t>
      </w:r>
      <w:r w:rsidR="00397C6D" w:rsidRPr="00FB4EFA">
        <w:rPr>
          <w:rFonts w:cs="Charis SIL"/>
          <w:lang w:val="hu-HU" w:eastAsia="hr-HR"/>
        </w:rPr>
        <w:t xml:space="preserve"> </w:t>
      </w:r>
      <w:r w:rsidR="008F2CAE" w:rsidRPr="00FB4EFA">
        <w:rPr>
          <w:rFonts w:cs="Charis SIL"/>
          <w:lang w:val="hu-HU" w:eastAsia="hr-HR"/>
        </w:rPr>
        <w:t>/</w:t>
      </w:r>
      <w:r w:rsidR="00397C6D" w:rsidRPr="00FB4EFA">
        <w:rPr>
          <w:rFonts w:cs="Charis SIL"/>
          <w:lang w:val="hu-HU" w:eastAsia="hr-HR"/>
        </w:rPr>
        <w:t xml:space="preserve"> </w:t>
      </w:r>
      <w:r w:rsidRPr="00FB4EFA">
        <w:rPr>
          <w:rFonts w:cs="Charis SIL"/>
          <w:lang w:val="hu-HU" w:eastAsia="hr-HR"/>
        </w:rPr>
        <w:t>Oxford</w:t>
      </w:r>
      <w:r w:rsidR="008F2CAE" w:rsidRPr="00FB4EFA">
        <w:rPr>
          <w:rFonts w:cs="Charis SIL"/>
          <w:lang w:val="hu-HU" w:eastAsia="hr-HR"/>
        </w:rPr>
        <w:t>:</w:t>
      </w:r>
      <w:r w:rsidRPr="00FB4EFA">
        <w:rPr>
          <w:rFonts w:cs="Charis SIL"/>
          <w:lang w:val="hu-HU" w:eastAsia="hr-HR"/>
        </w:rPr>
        <w:t xml:space="preserve"> University of California Press.</w:t>
      </w:r>
    </w:p>
    <w:p w14:paraId="5655F1C0" w14:textId="3F4E93BE" w:rsidR="005E68D9" w:rsidRPr="00FB4EFA" w:rsidRDefault="005E68D9" w:rsidP="004166CB">
      <w:pPr>
        <w:shd w:val="clear" w:color="auto" w:fill="FFFFFF"/>
        <w:suppressAutoHyphens/>
        <w:spacing w:line="240" w:lineRule="auto"/>
        <w:ind w:left="426" w:hanging="426"/>
        <w:rPr>
          <w:rFonts w:cs="Charis SIL"/>
          <w:lang w:val="hu-HU" w:eastAsia="hr-HR"/>
        </w:rPr>
      </w:pPr>
      <w:r w:rsidRPr="00FB4EFA">
        <w:rPr>
          <w:rFonts w:cs="Charis SIL"/>
          <w:shd w:val="clear" w:color="auto" w:fill="FFFFFF"/>
          <w:lang w:val="hu-HU"/>
        </w:rPr>
        <w:lastRenderedPageBreak/>
        <w:t>Tolcsvai Nagy Gábor</w:t>
      </w:r>
      <w:r w:rsidR="000F68FF" w:rsidRPr="00FB4EFA">
        <w:rPr>
          <w:rFonts w:cs="Charis SIL"/>
          <w:lang w:val="hu-HU"/>
        </w:rPr>
        <w:t>.</w:t>
      </w:r>
      <w:r w:rsidRPr="00FB4EFA">
        <w:rPr>
          <w:rFonts w:cs="Charis SIL"/>
          <w:shd w:val="clear" w:color="auto" w:fill="FFFFFF"/>
          <w:lang w:val="hu-HU"/>
        </w:rPr>
        <w:t xml:space="preserve"> 2007. </w:t>
      </w:r>
      <w:r w:rsidRPr="00FB4EFA">
        <w:rPr>
          <w:rFonts w:cs="Charis SIL"/>
          <w:i/>
          <w:iCs/>
          <w:shd w:val="clear" w:color="auto" w:fill="FFFFFF"/>
          <w:lang w:val="hu-HU"/>
        </w:rPr>
        <w:t>Idegen szavak szótára</w:t>
      </w:r>
      <w:r w:rsidRPr="00FB4EFA">
        <w:rPr>
          <w:rFonts w:cs="Charis SIL"/>
          <w:shd w:val="clear" w:color="auto" w:fill="FFFFFF"/>
          <w:lang w:val="hu-HU"/>
        </w:rPr>
        <w:t>. Budapest: Osiris Kiadó.</w:t>
      </w:r>
    </w:p>
    <w:p w14:paraId="3A2838E1" w14:textId="5D147B4E" w:rsidR="005E68D9" w:rsidRPr="00FB4EFA" w:rsidRDefault="005E68D9" w:rsidP="004166CB">
      <w:pPr>
        <w:suppressAutoHyphens/>
        <w:spacing w:line="240" w:lineRule="auto"/>
        <w:ind w:left="426" w:hanging="426"/>
        <w:rPr>
          <w:rFonts w:cs="Charis SIL"/>
          <w:shd w:val="clear" w:color="auto" w:fill="FFFFFF"/>
          <w:lang w:val="hu-HU"/>
        </w:rPr>
      </w:pPr>
      <w:r w:rsidRPr="00FB4EFA">
        <w:rPr>
          <w:rFonts w:cs="Charis SIL"/>
          <w:shd w:val="clear" w:color="auto" w:fill="FFFFFF"/>
          <w:lang w:val="hu-HU"/>
        </w:rPr>
        <w:t>Tolcsvai Nagy Gábor (szerk.)</w:t>
      </w:r>
      <w:r w:rsidR="000F68FF" w:rsidRPr="00FB4EFA">
        <w:rPr>
          <w:rFonts w:cs="Charis SIL"/>
          <w:lang w:val="hu-HU"/>
        </w:rPr>
        <w:t>.</w:t>
      </w:r>
      <w:r w:rsidRPr="00FB4EFA">
        <w:rPr>
          <w:rFonts w:cs="Charis SIL"/>
          <w:shd w:val="clear" w:color="auto" w:fill="FFFFFF"/>
          <w:lang w:val="hu-HU"/>
        </w:rPr>
        <w:t xml:space="preserve"> 2017. </w:t>
      </w:r>
      <w:r w:rsidRPr="00FB4EFA">
        <w:rPr>
          <w:rFonts w:cs="Charis SIL"/>
          <w:i/>
          <w:iCs/>
          <w:shd w:val="clear" w:color="auto" w:fill="FFFFFF"/>
          <w:lang w:val="hu-HU"/>
        </w:rPr>
        <w:t>A magyar nyelv jelene és jövője</w:t>
      </w:r>
      <w:r w:rsidRPr="00FB4EFA">
        <w:rPr>
          <w:rFonts w:cs="Charis SIL"/>
          <w:shd w:val="clear" w:color="auto" w:fill="FFFFFF"/>
          <w:lang w:val="hu-HU"/>
        </w:rPr>
        <w:t>. Budapest: Gondolat Kiadó.</w:t>
      </w:r>
    </w:p>
    <w:p w14:paraId="341AD952" w14:textId="7564CB9F" w:rsidR="005E68D9" w:rsidRPr="00FB4EFA" w:rsidRDefault="005E68D9" w:rsidP="004166CB">
      <w:pPr>
        <w:suppressAutoHyphens/>
        <w:spacing w:line="240" w:lineRule="auto"/>
        <w:ind w:left="426" w:hanging="426"/>
        <w:rPr>
          <w:rFonts w:cs="Charis SIL"/>
          <w:u w:val="single"/>
          <w:shd w:val="clear" w:color="auto" w:fill="FFFFFF"/>
          <w:lang w:val="hu-HU"/>
        </w:rPr>
      </w:pPr>
      <w:r w:rsidRPr="00FB4EFA">
        <w:rPr>
          <w:rFonts w:cs="Charis SIL"/>
          <w:shd w:val="clear" w:color="auto" w:fill="FFFFFF"/>
          <w:lang w:val="hu-HU"/>
        </w:rPr>
        <w:t>Veszelszki Ágnes</w:t>
      </w:r>
      <w:r w:rsidR="000F68FF" w:rsidRPr="00FB4EFA">
        <w:rPr>
          <w:rFonts w:cs="Charis SIL"/>
          <w:lang w:val="hu-HU"/>
        </w:rPr>
        <w:t>.</w:t>
      </w:r>
      <w:r w:rsidRPr="00FB4EFA">
        <w:rPr>
          <w:rFonts w:cs="Charis SIL"/>
          <w:shd w:val="clear" w:color="auto" w:fill="FFFFFF"/>
          <w:lang w:val="hu-HU"/>
        </w:rPr>
        <w:t xml:space="preserve"> 2013. Digilektus és netszótár. </w:t>
      </w:r>
      <w:hyperlink r:id="rId347" w:history="1">
        <w:r w:rsidR="00E50012" w:rsidRPr="00FB4EFA">
          <w:rPr>
            <w:rStyle w:val="Hyperlink"/>
            <w:rFonts w:cs="Charis SIL"/>
            <w:color w:val="auto"/>
            <w:shd w:val="clear" w:color="auto" w:fill="FFFFFF"/>
            <w:lang w:val="hu-HU"/>
          </w:rPr>
          <w:t>www.irodalomismeret.hu/files/2013_1/veszelszki_agnes.pdf</w:t>
        </w:r>
      </w:hyperlink>
      <w:r w:rsidR="00A47F9A" w:rsidRPr="00FB4EFA">
        <w:rPr>
          <w:rFonts w:cs="Charis SIL"/>
          <w:lang w:val="hu-HU"/>
        </w:rPr>
        <w:t>.</w:t>
      </w:r>
    </w:p>
    <w:p w14:paraId="050FE081" w14:textId="77777777" w:rsidR="005E68D9" w:rsidRPr="00FB4EFA" w:rsidRDefault="005E68D9" w:rsidP="00AF0CAD">
      <w:pPr>
        <w:pStyle w:val="Heading3"/>
        <w:spacing w:line="240" w:lineRule="auto"/>
        <w:rPr>
          <w:shd w:val="clear" w:color="auto" w:fill="FFFFFF"/>
          <w:lang w:val="hu-HU"/>
        </w:rPr>
      </w:pPr>
      <w:r w:rsidRPr="00FB4EFA">
        <w:rPr>
          <w:shd w:val="clear" w:color="auto" w:fill="FFFFFF"/>
          <w:lang w:val="hu-HU"/>
        </w:rPr>
        <w:t>Internetes oldalak</w:t>
      </w:r>
    </w:p>
    <w:p w14:paraId="4D2473CD" w14:textId="7846124D" w:rsidR="005E68D9" w:rsidRPr="00FB4EFA" w:rsidRDefault="00000000" w:rsidP="00AF0CAD">
      <w:pPr>
        <w:spacing w:line="240" w:lineRule="auto"/>
        <w:ind w:left="426" w:hanging="426"/>
        <w:rPr>
          <w:rFonts w:cs="Charis SIL"/>
          <w:lang w:val="hu-HU"/>
        </w:rPr>
      </w:pPr>
      <w:hyperlink r:id="rId348" w:history="1">
        <w:r w:rsidR="005E68D9" w:rsidRPr="00FB4EFA">
          <w:rPr>
            <w:rFonts w:cs="Charis SIL"/>
            <w:u w:val="single"/>
            <w:lang w:val="hu-HU"/>
          </w:rPr>
          <w:t>termini.nytud.hu/htonline/htlista.php?action=firstpage</w:t>
        </w:r>
      </w:hyperlink>
      <w:r w:rsidR="005E68D9" w:rsidRPr="00FB4EFA">
        <w:rPr>
          <w:rFonts w:cs="Charis SIL"/>
          <w:lang w:val="hu-HU"/>
        </w:rPr>
        <w:t>.</w:t>
      </w:r>
    </w:p>
    <w:p w14:paraId="0A7B6F7E" w14:textId="2F5D78F5" w:rsidR="005E68D9" w:rsidRPr="00FB4EFA" w:rsidRDefault="00000000" w:rsidP="00AF0CAD">
      <w:pPr>
        <w:spacing w:line="240" w:lineRule="auto"/>
        <w:ind w:left="426" w:hanging="426"/>
        <w:rPr>
          <w:lang w:val="hu-HU" w:eastAsia="en-GB"/>
        </w:rPr>
      </w:pPr>
      <w:hyperlink r:id="rId349" w:history="1">
        <w:r w:rsidR="005E68D9" w:rsidRPr="00FB4EFA">
          <w:rPr>
            <w:rFonts w:cs="Charis SIL"/>
            <w:u w:val="single"/>
            <w:lang w:val="hu-HU"/>
          </w:rPr>
          <w:t>fran.si/130/sskj-slovar-slovenskega-knjiznega-jezika</w:t>
        </w:r>
      </w:hyperlink>
      <w:r w:rsidR="005E68D9" w:rsidRPr="00FB4EFA">
        <w:rPr>
          <w:rFonts w:cs="Charis SIL"/>
          <w:lang w:val="hu-HU"/>
        </w:rPr>
        <w:t>.</w:t>
      </w:r>
    </w:p>
    <w:p w14:paraId="3C70FD74" w14:textId="77777777" w:rsidR="005E68D9" w:rsidRPr="00FB4EFA" w:rsidRDefault="005E68D9" w:rsidP="00AF0CAD">
      <w:pPr>
        <w:spacing w:after="160"/>
        <w:jc w:val="left"/>
        <w:rPr>
          <w:i/>
          <w:lang w:val="hu-HU"/>
        </w:rPr>
      </w:pPr>
    </w:p>
    <w:p w14:paraId="47E1E633" w14:textId="77777777" w:rsidR="00A96E85" w:rsidRPr="00FB4EFA" w:rsidRDefault="00A96E85" w:rsidP="00402EF4">
      <w:pPr>
        <w:spacing w:after="160"/>
        <w:jc w:val="center"/>
        <w:rPr>
          <w:smallCaps/>
          <w:sz w:val="48"/>
          <w:szCs w:val="48"/>
          <w:lang w:val="hu-HU"/>
        </w:rPr>
        <w:sectPr w:rsidR="00A96E85" w:rsidRPr="00FB4EFA">
          <w:headerReference w:type="even" r:id="rId350"/>
          <w:headerReference w:type="default" r:id="rId351"/>
          <w:headerReference w:type="first" r:id="rId352"/>
          <w:footnotePr>
            <w:numRestart w:val="eachSect"/>
          </w:footnotePr>
          <w:pgSz w:w="9180" w:h="13302"/>
          <w:pgMar w:top="779" w:right="1133" w:bottom="1132" w:left="1133" w:header="744" w:footer="720" w:gutter="0"/>
          <w:cols w:space="720"/>
          <w:titlePg/>
        </w:sectPr>
      </w:pPr>
    </w:p>
    <w:p w14:paraId="40490E51" w14:textId="27CEB7FB" w:rsidR="00A96E85" w:rsidRPr="00FB4EFA" w:rsidRDefault="00A96E85" w:rsidP="00AF0CAD">
      <w:pPr>
        <w:pStyle w:val="Authors"/>
        <w:spacing w:line="259" w:lineRule="auto"/>
        <w:rPr>
          <w:color w:val="auto"/>
          <w:lang w:val="hu-HU"/>
        </w:rPr>
      </w:pPr>
      <w:r w:rsidRPr="00FB4EFA">
        <w:rPr>
          <w:color w:val="auto"/>
          <w:lang w:val="hu-HU"/>
        </w:rPr>
        <w:lastRenderedPageBreak/>
        <w:t>Kadri Koreinik, Helen Plado</w:t>
      </w:r>
    </w:p>
    <w:p w14:paraId="4DB70075" w14:textId="77777777" w:rsidR="00A96E85" w:rsidRPr="00FB4EFA" w:rsidRDefault="00A96E85" w:rsidP="00402EF4">
      <w:pPr>
        <w:rPr>
          <w:lang w:val="hu-HU"/>
        </w:rPr>
      </w:pPr>
    </w:p>
    <w:p w14:paraId="009969D7" w14:textId="28F28451" w:rsidR="00A96E85" w:rsidRPr="00FB4EFA" w:rsidRDefault="00A96E85" w:rsidP="00994E2A">
      <w:pPr>
        <w:pStyle w:val="Heading1"/>
        <w:suppressAutoHyphens/>
        <w:spacing w:line="259" w:lineRule="auto"/>
        <w:ind w:right="74"/>
        <w:rPr>
          <w:color w:val="auto"/>
          <w:lang w:val="de-AT"/>
        </w:rPr>
      </w:pPr>
      <w:bookmarkStart w:id="91" w:name="_Toc87547011"/>
      <w:bookmarkStart w:id="92" w:name="_Ref90999653"/>
      <w:r w:rsidRPr="00FB4EFA">
        <w:rPr>
          <w:color w:val="auto"/>
          <w:lang w:val="de-AT"/>
        </w:rPr>
        <w:t>Linguistic and extra-linguistic arguments in graphization debates: an unsettled standard of Southern Estonian</w:t>
      </w:r>
      <w:bookmarkEnd w:id="91"/>
      <w:bookmarkEnd w:id="92"/>
    </w:p>
    <w:p w14:paraId="7FB335F7" w14:textId="67DEA416" w:rsidR="000A7F40" w:rsidRPr="00FB4EFA" w:rsidRDefault="000A7F40" w:rsidP="00545033">
      <w:pPr>
        <w:pStyle w:val="Heading2"/>
        <w:numPr>
          <w:ilvl w:val="0"/>
          <w:numId w:val="6"/>
        </w:numPr>
        <w:suppressAutoHyphens/>
        <w:spacing w:line="259" w:lineRule="auto"/>
        <w:rPr>
          <w:color w:val="auto"/>
        </w:rPr>
      </w:pPr>
      <w:r w:rsidRPr="00FB4EFA">
        <w:rPr>
          <w:color w:val="auto"/>
        </w:rPr>
        <w:t>Introduction</w:t>
      </w:r>
    </w:p>
    <w:p w14:paraId="31B73D96" w14:textId="3F56293F" w:rsidR="000B62E0" w:rsidRPr="00FB4EFA" w:rsidRDefault="000B62E0" w:rsidP="00AF0CAD">
      <w:pPr>
        <w:rPr>
          <w:lang w:val="en-GB"/>
        </w:rPr>
      </w:pPr>
      <w:r w:rsidRPr="00FB4EFA">
        <w:rPr>
          <w:lang w:val="en-GB"/>
        </w:rPr>
        <w:t>Language standardization has been an important area of inquiry in sociolinguistics and language policy and planning (LPP) research. Earlier, standardi</w:t>
      </w:r>
      <w:r w:rsidR="00A011ED" w:rsidRPr="00FB4EFA">
        <w:rPr>
          <w:lang w:val="en-GB"/>
        </w:rPr>
        <w:t>z</w:t>
      </w:r>
      <w:r w:rsidRPr="00FB4EFA">
        <w:rPr>
          <w:lang w:val="en-GB"/>
        </w:rPr>
        <w:t>ation was seen as a tool of promoting invariance and homogeneity by “</w:t>
      </w:r>
      <w:r w:rsidRPr="00FB4EFA">
        <w:rPr>
          <w:i/>
          <w:iCs/>
          <w:lang w:val="en-GB"/>
        </w:rPr>
        <w:t>the suppression of optional variability in language</w:t>
      </w:r>
      <w:r w:rsidRPr="00FB4EFA">
        <w:rPr>
          <w:lang w:val="en-GB"/>
        </w:rPr>
        <w:t>”</w:t>
      </w:r>
      <w:r w:rsidRPr="00FB4EFA">
        <w:rPr>
          <w:rStyle w:val="FootnoteReference"/>
          <w:lang w:val="en-GB"/>
        </w:rPr>
        <w:footnoteReference w:id="111"/>
      </w:r>
      <w:r w:rsidRPr="00FB4EFA">
        <w:rPr>
          <w:lang w:val="en-GB"/>
        </w:rPr>
        <w:t xml:space="preserve"> (Milroy &amp; Milroy 1999: 6; Milroy 2001). Now it is increasingly seen as a political matter, contributing to “more (and hierarchical) heterogeneity” by excluding some users (Gal 2006: 171; Lane 2015). Our main objective is to explore </w:t>
      </w:r>
      <w:r w:rsidR="008915B9" w:rsidRPr="00FB4EFA">
        <w:rPr>
          <w:lang w:val="en-GB"/>
        </w:rPr>
        <w:t>which</w:t>
      </w:r>
      <w:r w:rsidRPr="00FB4EFA">
        <w:rPr>
          <w:lang w:val="en-GB"/>
        </w:rPr>
        <w:t xml:space="preserve"> linguistic and extra-linguistic arguments are used in graphization debates by language activists and minority speakers within the context of competing standards. The research questions include how graphization choices were legitimated by language activists in the late 1980s, and how users have adopted a dominant orthography since then.</w:t>
      </w:r>
    </w:p>
    <w:p w14:paraId="5DC261E8" w14:textId="73089001" w:rsidR="000B62E0" w:rsidRPr="00FB4EFA" w:rsidRDefault="000B62E0" w:rsidP="000B62E0">
      <w:pPr>
        <w:ind w:firstLine="709"/>
        <w:rPr>
          <w:lang w:val="en-GB"/>
        </w:rPr>
      </w:pPr>
      <w:r w:rsidRPr="00FB4EFA">
        <w:rPr>
          <w:lang w:val="en-GB"/>
        </w:rPr>
        <w:t xml:space="preserve">Our study focuses on the standardization of Võro, a heritage language spoken mostly in South Estonia. It is a collateral language to standard Estonian, traditionally regarded as one of </w:t>
      </w:r>
      <w:r w:rsidR="008915B9" w:rsidRPr="00FB4EFA">
        <w:rPr>
          <w:lang w:val="en-GB"/>
        </w:rPr>
        <w:t xml:space="preserve">the four </w:t>
      </w:r>
      <w:r w:rsidRPr="00FB4EFA">
        <w:rPr>
          <w:lang w:val="en-GB"/>
        </w:rPr>
        <w:t>South Estonian dialects, the other three being Mulgi, Tartu, and Seto. The Tartu variety had a somewhat privileged position in the 18</w:t>
      </w:r>
      <w:r w:rsidRPr="00FB4EFA">
        <w:rPr>
          <w:vertAlign w:val="superscript"/>
          <w:lang w:val="en-GB"/>
        </w:rPr>
        <w:t>th</w:t>
      </w:r>
      <w:r w:rsidRPr="00FB4EFA">
        <w:rPr>
          <w:lang w:val="en-GB"/>
        </w:rPr>
        <w:t xml:space="preserve"> and 19</w:t>
      </w:r>
      <w:r w:rsidRPr="00FB4EFA">
        <w:rPr>
          <w:vertAlign w:val="superscript"/>
          <w:lang w:val="en-GB"/>
        </w:rPr>
        <w:t>th</w:t>
      </w:r>
      <w:r w:rsidRPr="00FB4EFA">
        <w:rPr>
          <w:lang w:val="en-GB"/>
        </w:rPr>
        <w:t xml:space="preserve"> centuries as it formed a basis for the only literary variety of South Estonian; nowadays it is almost extinct. Now Võro is the most spoken and cultivated South Estonian variety. There has been vigorous debate about the new literary standard of Võro, which offers an interesting insight to arguments used in standardizing a minority language.</w:t>
      </w:r>
    </w:p>
    <w:p w14:paraId="0532E6E3" w14:textId="0968EC50" w:rsidR="000B62E0" w:rsidRPr="00FB4EFA" w:rsidRDefault="000B62E0" w:rsidP="00AF0CAD">
      <w:pPr>
        <w:ind w:firstLine="709"/>
        <w:rPr>
          <w:lang w:val="en-GB"/>
        </w:rPr>
      </w:pPr>
      <w:r w:rsidRPr="00FB4EFA">
        <w:rPr>
          <w:lang w:val="en-GB"/>
        </w:rPr>
        <w:t xml:space="preserve">After presenting </w:t>
      </w:r>
      <w:r w:rsidR="008915B9" w:rsidRPr="00FB4EFA">
        <w:rPr>
          <w:lang w:val="en-GB"/>
        </w:rPr>
        <w:t xml:space="preserve">the </w:t>
      </w:r>
      <w:r w:rsidRPr="00FB4EFA">
        <w:rPr>
          <w:lang w:val="en-GB"/>
        </w:rPr>
        <w:t xml:space="preserve">theoretical and socio-historical context </w:t>
      </w:r>
      <w:r w:rsidR="008915B9" w:rsidRPr="00FB4EFA">
        <w:rPr>
          <w:lang w:val="en-GB"/>
        </w:rPr>
        <w:t>of</w:t>
      </w:r>
      <w:r w:rsidRPr="00FB4EFA">
        <w:rPr>
          <w:lang w:val="en-GB"/>
        </w:rPr>
        <w:t xml:space="preserve"> the case study, we will review graphization projects for the South Estonian </w:t>
      </w:r>
      <w:r w:rsidRPr="00FB4EFA">
        <w:rPr>
          <w:lang w:val="en-GB"/>
        </w:rPr>
        <w:lastRenderedPageBreak/>
        <w:t>variety of Võro</w:t>
      </w:r>
      <w:r w:rsidRPr="00FB4EFA">
        <w:rPr>
          <w:sz w:val="16"/>
          <w:szCs w:val="16"/>
          <w:lang w:val="en-GB"/>
        </w:rPr>
        <w:t>.</w:t>
      </w:r>
      <w:r w:rsidRPr="00FB4EFA">
        <w:rPr>
          <w:lang w:val="en-GB"/>
        </w:rPr>
        <w:t xml:space="preserve"> Considered as a first step of corpus planning, graphization</w:t>
      </w:r>
      <w:r w:rsidR="008915B9" w:rsidRPr="00FB4EFA">
        <w:rPr>
          <w:lang w:val="en-GB"/>
        </w:rPr>
        <w:t> </w:t>
      </w:r>
      <w:r w:rsidRPr="00FB4EFA">
        <w:rPr>
          <w:lang w:val="en-GB"/>
        </w:rPr>
        <w:t xml:space="preserve">– the selection of graphemes to represent phonemes – provides orthography for previously unwritten languages (Kaplan &amp; Baldauf 1997: 40). </w:t>
      </w:r>
      <w:r w:rsidR="00CB627E" w:rsidRPr="00FB4EFA">
        <w:rPr>
          <w:lang w:val="en-GB"/>
        </w:rPr>
        <w:t xml:space="preserve">We also explore how native Võro-speaking orthographers, who can also be profiled as language activists, discursively construct the potential user base of the new standard – and by extension potentially restrict who might belong to this user base. </w:t>
      </w:r>
      <w:r w:rsidRPr="00FB4EFA">
        <w:rPr>
          <w:lang w:val="en-GB"/>
        </w:rPr>
        <w:t xml:space="preserve">Language activists are defined as policy actors who self-identify as the members of a (minorized) ethno-linguistic group and actively seek social or legal recognition for that language and/or its speakers. While language planning involves a number of productive and receptive goals (cf. Hornberger 1994; Baldauf 2006; </w:t>
      </w:r>
      <w:r w:rsidR="004166CB" w:rsidRPr="00FB4EFA">
        <w:rPr>
          <w:lang w:val="en-GB"/>
        </w:rPr>
        <w:br/>
      </w:r>
      <w:r w:rsidRPr="00FB4EFA">
        <w:rPr>
          <w:lang w:val="en-GB"/>
        </w:rPr>
        <w:t>Ferguson 1968), our focus is on graphization and attempts to legitimate and standardize orthographies.</w:t>
      </w:r>
    </w:p>
    <w:p w14:paraId="0CD051A2" w14:textId="7C7F0B9A" w:rsidR="000B62E0" w:rsidRPr="00FB4EFA" w:rsidRDefault="000B62E0" w:rsidP="000B62E0">
      <w:pPr>
        <w:ind w:firstLine="709"/>
        <w:rPr>
          <w:lang w:val="en-GB"/>
        </w:rPr>
      </w:pPr>
      <w:r w:rsidRPr="00FB4EFA">
        <w:rPr>
          <w:lang w:val="en-GB"/>
        </w:rPr>
        <w:t>We present the positions of both those in favour of and those opposed to the one-to-one representation of Võro-specific sounds, the core issue of the debate. Moreover, as researchers, we have ourselves been engaged in the debate for almost two decades, as either participants or observers. LPP studies form an interdisciplinary context for this research, which is also informed by ethnographic, sociolinguistic</w:t>
      </w:r>
      <w:r w:rsidR="008915B9" w:rsidRPr="00FB4EFA">
        <w:rPr>
          <w:lang w:val="en-GB"/>
        </w:rPr>
        <w:t>,</w:t>
      </w:r>
      <w:r w:rsidRPr="00FB4EFA">
        <w:rPr>
          <w:lang w:val="en-GB"/>
        </w:rPr>
        <w:t xml:space="preserve"> and discourse analytic research methods.</w:t>
      </w:r>
    </w:p>
    <w:p w14:paraId="2ED86C0D" w14:textId="765DCF4D" w:rsidR="000B62E0" w:rsidRPr="00FB4EFA" w:rsidRDefault="000B62E0" w:rsidP="00AC1192">
      <w:pPr>
        <w:pStyle w:val="Heading2"/>
        <w:numPr>
          <w:ilvl w:val="0"/>
          <w:numId w:val="6"/>
        </w:numPr>
        <w:suppressAutoHyphens/>
        <w:rPr>
          <w:color w:val="auto"/>
        </w:rPr>
      </w:pPr>
      <w:r w:rsidRPr="00FB4EFA">
        <w:rPr>
          <w:color w:val="auto"/>
        </w:rPr>
        <w:t>Key issues</w:t>
      </w:r>
      <w:r w:rsidRPr="00FB4EFA">
        <w:rPr>
          <w:b/>
          <w:color w:val="auto"/>
        </w:rPr>
        <w:t xml:space="preserve"> </w:t>
      </w:r>
      <w:r w:rsidRPr="00FB4EFA">
        <w:rPr>
          <w:color w:val="auto"/>
        </w:rPr>
        <w:t xml:space="preserve">in standardization research: </w:t>
      </w:r>
      <w:r w:rsidR="008915B9" w:rsidRPr="00FB4EFA">
        <w:rPr>
          <w:color w:val="auto"/>
        </w:rPr>
        <w:t>w</w:t>
      </w:r>
      <w:r w:rsidRPr="00FB4EFA">
        <w:rPr>
          <w:color w:val="auto"/>
        </w:rPr>
        <w:t>hy standardize, whose standard?</w:t>
      </w:r>
    </w:p>
    <w:p w14:paraId="3FB5EB0A" w14:textId="44BB1CCD" w:rsidR="000B62E0" w:rsidRPr="00FB4EFA" w:rsidRDefault="000B62E0" w:rsidP="00AF0CAD">
      <w:pPr>
        <w:rPr>
          <w:lang w:val="en-GB"/>
        </w:rPr>
      </w:pPr>
      <w:r w:rsidRPr="00FB4EFA">
        <w:rPr>
          <w:lang w:val="en-GB"/>
        </w:rPr>
        <w:t>Standard language is regarded as a high prestige variety contributing to easier communication and better social cohesion (Haugen 1966; Spolsky 2009). Because of greater prestige, and perhaps because of graphocentrism, which privileges writing over speaking (Blommaert 2004), standardi</w:t>
      </w:r>
      <w:r w:rsidR="00A011ED" w:rsidRPr="00FB4EFA">
        <w:rPr>
          <w:lang w:val="en-GB"/>
        </w:rPr>
        <w:t>z</w:t>
      </w:r>
      <w:r w:rsidRPr="00FB4EFA">
        <w:rPr>
          <w:lang w:val="en-GB"/>
        </w:rPr>
        <w:t>ation has also been implemented as a measure for the revitali</w:t>
      </w:r>
      <w:r w:rsidR="00A011ED" w:rsidRPr="00FB4EFA">
        <w:rPr>
          <w:lang w:val="en-GB"/>
        </w:rPr>
        <w:t>z</w:t>
      </w:r>
      <w:r w:rsidRPr="00FB4EFA">
        <w:rPr>
          <w:lang w:val="en-GB"/>
        </w:rPr>
        <w:t>ation and maintenance of oral and minoritized languages over the last 40 years (cf. ethnic mobili</w:t>
      </w:r>
      <w:r w:rsidR="00A011ED" w:rsidRPr="00FB4EFA">
        <w:rPr>
          <w:lang w:val="en-GB"/>
        </w:rPr>
        <w:t>z</w:t>
      </w:r>
      <w:r w:rsidRPr="00FB4EFA">
        <w:rPr>
          <w:lang w:val="en-GB"/>
        </w:rPr>
        <w:t>ation). No matter whether standardi</w:t>
      </w:r>
      <w:r w:rsidR="00A011ED" w:rsidRPr="00FB4EFA">
        <w:rPr>
          <w:lang w:val="en-GB"/>
        </w:rPr>
        <w:t>z</w:t>
      </w:r>
      <w:r w:rsidRPr="00FB4EFA">
        <w:rPr>
          <w:lang w:val="en-GB"/>
        </w:rPr>
        <w:t xml:space="preserve">ation is implemented in majority or minority settings, each standard </w:t>
      </w:r>
      <w:r w:rsidRPr="00FB4EFA">
        <w:rPr>
          <w:i/>
          <w:iCs/>
          <w:lang w:val="en-GB"/>
        </w:rPr>
        <w:t>synthesi</w:t>
      </w:r>
      <w:r w:rsidR="00E67A68" w:rsidRPr="00FB4EFA">
        <w:rPr>
          <w:i/>
          <w:iCs/>
          <w:lang w:val="en-GB"/>
        </w:rPr>
        <w:t>z</w:t>
      </w:r>
      <w:r w:rsidRPr="00FB4EFA">
        <w:rPr>
          <w:i/>
          <w:iCs/>
          <w:lang w:val="en-GB"/>
        </w:rPr>
        <w:t>es choices of particular people</w:t>
      </w:r>
      <w:r w:rsidRPr="00FB4EFA">
        <w:rPr>
          <w:lang w:val="en-GB"/>
        </w:rPr>
        <w:t xml:space="preserve"> with authority beyond that of a speaker (Raag 2008: 12)</w:t>
      </w:r>
      <w:r w:rsidRPr="00FB4EFA">
        <w:rPr>
          <w:rStyle w:val="FootnoteReference"/>
          <w:lang w:val="en-GB"/>
        </w:rPr>
        <w:footnoteReference w:id="112"/>
      </w:r>
      <w:r w:rsidRPr="00FB4EFA">
        <w:rPr>
          <w:lang w:val="en-GB"/>
        </w:rPr>
        <w:t xml:space="preserve">. Moreover, the standard language is often targeted at an ideal type of user; the native speaker is a typical reference point in (applied) </w:t>
      </w:r>
      <w:r w:rsidRPr="00FB4EFA">
        <w:rPr>
          <w:lang w:val="en-GB"/>
        </w:rPr>
        <w:lastRenderedPageBreak/>
        <w:t>linguistics (Davies 2003). Inevitably, standardization may create different types of non-users who have various reasons to resist or reject the new standard (Lane 2015: 270). Non-users might include both native and non-native speakers with varying exposure to or command of the language. Seen as a technology for (re-)producing a language, the workings of a standard may be better understood through observation of the cultivation of new standards (Lane et al. 2017). In the case of older, socially and institutionally embedded standards, standardi</w:t>
      </w:r>
      <w:r w:rsidR="00A011ED" w:rsidRPr="00FB4EFA">
        <w:rPr>
          <w:lang w:val="en-GB"/>
        </w:rPr>
        <w:t>z</w:t>
      </w:r>
      <w:r w:rsidRPr="00FB4EFA">
        <w:rPr>
          <w:lang w:val="en-GB"/>
        </w:rPr>
        <w:t>ation choices are often path-dependent and taken for granted by ethnolinguistic communities as the best options. For example, some graphemes may become internali</w:t>
      </w:r>
      <w:r w:rsidR="008C4F74" w:rsidRPr="00FB4EFA">
        <w:rPr>
          <w:lang w:val="en-GB"/>
        </w:rPr>
        <w:t>z</w:t>
      </w:r>
      <w:r w:rsidRPr="00FB4EFA">
        <w:rPr>
          <w:lang w:val="en-GB"/>
        </w:rPr>
        <w:t>ed by speakers to such an extent that further reforms face opposition and heated public debates, as witnessed in the 1996 German orthography reform or after enforcing orthographic rectifications in France in 2015 (Johnson 2002; Drackley 201</w:t>
      </w:r>
      <w:r w:rsidR="00A775E8" w:rsidRPr="00FB4EFA">
        <w:rPr>
          <w:lang w:val="en-GB"/>
        </w:rPr>
        <w:t>9</w:t>
      </w:r>
      <w:r w:rsidRPr="00FB4EFA">
        <w:rPr>
          <w:lang w:val="en-GB"/>
        </w:rPr>
        <w:t>).</w:t>
      </w:r>
    </w:p>
    <w:p w14:paraId="4106C0F0" w14:textId="1705691A" w:rsidR="000B62E0" w:rsidRPr="00FB4EFA" w:rsidRDefault="000B62E0" w:rsidP="000B62E0">
      <w:pPr>
        <w:ind w:firstLine="709"/>
        <w:rPr>
          <w:lang w:val="en-GB"/>
        </w:rPr>
      </w:pPr>
      <w:r w:rsidRPr="00FB4EFA">
        <w:rPr>
          <w:lang w:val="en-GB"/>
        </w:rPr>
        <w:t>In Haugen’s revised model (1983), planning language form involves decision (selection, status planning) and standardi</w:t>
      </w:r>
      <w:r w:rsidR="00A011ED" w:rsidRPr="00FB4EFA">
        <w:rPr>
          <w:lang w:val="en-GB"/>
        </w:rPr>
        <w:t>z</w:t>
      </w:r>
      <w:r w:rsidRPr="00FB4EFA">
        <w:rPr>
          <w:lang w:val="en-GB"/>
        </w:rPr>
        <w:t>ation procedures (codification, corpus planning). The latter has to do with establishing norms by producing normative (prescriptive) dictionaries, grammar</w:t>
      </w:r>
      <w:r w:rsidR="008915B9" w:rsidRPr="00FB4EFA">
        <w:rPr>
          <w:lang w:val="en-GB"/>
        </w:rPr>
        <w:t>,</w:t>
      </w:r>
      <w:r w:rsidRPr="00FB4EFA">
        <w:rPr>
          <w:lang w:val="en-GB"/>
        </w:rPr>
        <w:t xml:space="preserve"> and orthography, but both are “just two sides of one and the same coin” (Fishman 2006: 17). Corpus planning has some purely linguistic aspects, but its underlying principles are extralinguistic, mostly social (e.g., purism, prestige, nationalism; for an outline see Kaplan &amp; Baldauf 1997: 38). The graphization process may lead to the creation of orthography as a set of norms and regulations involving varied elements including punctuation and capitalization, but most importantly, the symbols or graphemes used for writing. Decisions must be made, for example, regarding whether to use phonetism, i.e., </w:t>
      </w:r>
      <w:r w:rsidRPr="00FB4EFA">
        <w:rPr>
          <w:shd w:val="clear" w:color="auto" w:fill="FFFFFF"/>
          <w:lang w:val="en-GB"/>
        </w:rPr>
        <w:t>one-to-one correspondence between phonemes (sounds) and graphemes (symbols, letters)</w:t>
      </w:r>
      <w:r w:rsidRPr="00FB4EFA">
        <w:rPr>
          <w:lang w:val="en-GB"/>
        </w:rPr>
        <w:t>. A standard should be linguistically grounded, teachable, easy to reproduce, and acceptable to all stakeholders, but these roughly scientific, educational, technical, and political aspects are often in conflict (Cahill &amp; Karan 2008; Seifart 2006). Furthermore, various groups may have competing motivations for advancing a language and representing it in a certain way (Grenoble &amp; Whaley 2006:</w:t>
      </w:r>
      <w:r w:rsidR="005D7E18" w:rsidRPr="00FB4EFA">
        <w:rPr>
          <w:lang w:val="en-GB"/>
        </w:rPr>
        <w:t xml:space="preserve"> </w:t>
      </w:r>
      <w:r w:rsidRPr="00FB4EFA">
        <w:rPr>
          <w:lang w:val="en-GB"/>
        </w:rPr>
        <w:t>138).</w:t>
      </w:r>
    </w:p>
    <w:p w14:paraId="3B249D04" w14:textId="77777777" w:rsidR="000B62E0" w:rsidRPr="00FB4EFA" w:rsidRDefault="000B62E0" w:rsidP="000B62E0">
      <w:pPr>
        <w:ind w:firstLine="709"/>
        <w:rPr>
          <w:lang w:val="en-GB"/>
        </w:rPr>
      </w:pPr>
      <w:r w:rsidRPr="00FB4EFA">
        <w:rPr>
          <w:lang w:val="en-GB"/>
        </w:rPr>
        <w:t>In the past, up through most of the 20</w:t>
      </w:r>
      <w:r w:rsidRPr="00FB4EFA">
        <w:rPr>
          <w:vertAlign w:val="superscript"/>
          <w:lang w:val="en-GB"/>
        </w:rPr>
        <w:t>th</w:t>
      </w:r>
      <w:r w:rsidRPr="00FB4EFA">
        <w:rPr>
          <w:lang w:val="en-GB"/>
        </w:rPr>
        <w:t xml:space="preserve"> century, developing a writing system was mostly a technical matter of assigning a letter to each </w:t>
      </w:r>
      <w:r w:rsidRPr="00FB4EFA">
        <w:rPr>
          <w:lang w:val="en-GB"/>
        </w:rPr>
        <w:lastRenderedPageBreak/>
        <w:t>phoneme; (critical) scholarship on the sociolinguistics of scripts and orthographies did not gain momentum until the 1990s (Sebba 2012).</w:t>
      </w:r>
    </w:p>
    <w:p w14:paraId="06A87687" w14:textId="77777777" w:rsidR="000B62E0" w:rsidRPr="00FB4EFA" w:rsidRDefault="000B62E0" w:rsidP="00545033">
      <w:pPr>
        <w:pStyle w:val="Heading2"/>
        <w:numPr>
          <w:ilvl w:val="0"/>
          <w:numId w:val="6"/>
        </w:numPr>
        <w:suppressAutoHyphens/>
        <w:rPr>
          <w:bCs/>
          <w:color w:val="auto"/>
        </w:rPr>
      </w:pPr>
      <w:r w:rsidRPr="00FB4EFA">
        <w:rPr>
          <w:color w:val="auto"/>
        </w:rPr>
        <w:t>Standardization of Estonian and its impact on the status of Võro</w:t>
      </w:r>
    </w:p>
    <w:p w14:paraId="07D7C4E1" w14:textId="0C8C5883" w:rsidR="000B62E0" w:rsidRPr="00FB4EFA" w:rsidRDefault="000B62E0" w:rsidP="000B62E0">
      <w:pPr>
        <w:rPr>
          <w:lang w:val="en-GB"/>
        </w:rPr>
      </w:pPr>
      <w:r w:rsidRPr="00FB4EFA">
        <w:rPr>
          <w:lang w:val="en-GB"/>
        </w:rPr>
        <w:t>Modern Estonian was formed as a result of long-lasting contacts and the integration of varieties of early Finnic. The process involved the convergence and divergence of Estonian varieties</w:t>
      </w:r>
      <w:r w:rsidRPr="00FB4EFA">
        <w:rPr>
          <w:rStyle w:val="FootnoteReference"/>
          <w:lang w:val="en-GB"/>
        </w:rPr>
        <w:footnoteReference w:id="113"/>
      </w:r>
      <w:r w:rsidRPr="00FB4EFA">
        <w:rPr>
          <w:lang w:val="en-GB"/>
        </w:rPr>
        <w:t xml:space="preserve"> and a late modern era shift to South Estonian-North Estonian bilingualism, leading to North-Estonianization in south-eastern Estonia (Viitso 2007). Similarly to other standard languages, </w:t>
      </w:r>
      <w:r w:rsidR="007F30A7" w:rsidRPr="00FB4EFA">
        <w:rPr>
          <w:lang w:val="en-GB"/>
        </w:rPr>
        <w:t>l</w:t>
      </w:r>
      <w:r w:rsidRPr="00FB4EFA">
        <w:rPr>
          <w:lang w:val="en-GB"/>
        </w:rPr>
        <w:t>iterary Estonian was born as an ecclesiastical language at “a nexus of technology (literacy), reason, and faith and as a project of multiple conversion: of pagan to Christian, of speech to writing, and of the alien to the comprehensible” (Ross 2008;</w:t>
      </w:r>
      <w:r w:rsidRPr="00FB4EFA" w:rsidDel="000B6FEB">
        <w:rPr>
          <w:lang w:val="en-GB"/>
        </w:rPr>
        <w:t xml:space="preserve"> </w:t>
      </w:r>
      <w:r w:rsidRPr="00FB4EFA">
        <w:rPr>
          <w:lang w:val="en-GB"/>
        </w:rPr>
        <w:t>Errington 2001: 21). For example, the needs of German-speaking clergy, the then-new speakers of Estonian, were highlighted in the 17</w:t>
      </w:r>
      <w:r w:rsidRPr="00FB4EFA">
        <w:rPr>
          <w:vertAlign w:val="superscript"/>
          <w:lang w:val="en-GB"/>
        </w:rPr>
        <w:t>th</w:t>
      </w:r>
      <w:r w:rsidRPr="00FB4EFA">
        <w:rPr>
          <w:lang w:val="en-GB"/>
        </w:rPr>
        <w:t xml:space="preserve"> and 18</w:t>
      </w:r>
      <w:r w:rsidRPr="00FB4EFA">
        <w:rPr>
          <w:vertAlign w:val="superscript"/>
          <w:lang w:val="en-GB"/>
        </w:rPr>
        <w:t>th</w:t>
      </w:r>
      <w:r w:rsidRPr="00FB4EFA">
        <w:rPr>
          <w:lang w:val="en-GB"/>
        </w:rPr>
        <w:t xml:space="preserve"> century graphization debates regarding </w:t>
      </w:r>
      <w:r w:rsidR="007F30A7" w:rsidRPr="00FB4EFA">
        <w:rPr>
          <w:lang w:val="en-GB"/>
        </w:rPr>
        <w:t>l</w:t>
      </w:r>
      <w:r w:rsidRPr="00FB4EFA">
        <w:rPr>
          <w:lang w:val="en-GB"/>
        </w:rPr>
        <w:t>iterary Estonian. Furthermore, in the development of Modern Standard Estonian, the cultivation of two written varieties, named after two (later provincial) centres, Tallinn and Tartu (North and South Estonian, respectively), is of particular importance. Those were developed by German-speaking priests according to the Lutheran doctrine of disseminating the Scriptures in the vernacular and were used from the 17</w:t>
      </w:r>
      <w:r w:rsidRPr="00FB4EFA">
        <w:rPr>
          <w:vertAlign w:val="superscript"/>
          <w:lang w:val="en-GB"/>
        </w:rPr>
        <w:t>th</w:t>
      </w:r>
      <w:r w:rsidRPr="00FB4EFA">
        <w:rPr>
          <w:lang w:val="en-GB"/>
        </w:rPr>
        <w:t xml:space="preserve"> to</w:t>
      </w:r>
      <w:r w:rsidR="007F30A7" w:rsidRPr="00FB4EFA">
        <w:rPr>
          <w:lang w:val="en-GB"/>
        </w:rPr>
        <w:t xml:space="preserve"> the</w:t>
      </w:r>
      <w:r w:rsidRPr="00FB4EFA">
        <w:rPr>
          <w:lang w:val="en-GB"/>
        </w:rPr>
        <w:t xml:space="preserve"> 19</w:t>
      </w:r>
      <w:r w:rsidRPr="00FB4EFA">
        <w:rPr>
          <w:vertAlign w:val="superscript"/>
          <w:lang w:val="en-GB"/>
        </w:rPr>
        <w:t>th</w:t>
      </w:r>
      <w:r w:rsidRPr="00FB4EFA">
        <w:rPr>
          <w:lang w:val="en-GB"/>
        </w:rPr>
        <w:t xml:space="preserve"> centur</w:t>
      </w:r>
      <w:r w:rsidR="007F30A7" w:rsidRPr="00FB4EFA">
        <w:rPr>
          <w:lang w:val="en-GB"/>
        </w:rPr>
        <w:t>y</w:t>
      </w:r>
      <w:r w:rsidRPr="00FB4EFA">
        <w:rPr>
          <w:lang w:val="en-GB"/>
        </w:rPr>
        <w:t xml:space="preserve">, when Modern Standard Estonian finally took shape at the end of </w:t>
      </w:r>
      <w:r w:rsidR="007F30A7" w:rsidRPr="00FB4EFA">
        <w:rPr>
          <w:lang w:val="en-GB"/>
        </w:rPr>
        <w:t xml:space="preserve">the </w:t>
      </w:r>
      <w:r w:rsidRPr="00FB4EFA">
        <w:rPr>
          <w:lang w:val="en-GB"/>
        </w:rPr>
        <w:t>19</w:t>
      </w:r>
      <w:r w:rsidRPr="00FB4EFA">
        <w:rPr>
          <w:vertAlign w:val="superscript"/>
          <w:lang w:val="en-GB"/>
        </w:rPr>
        <w:t>th</w:t>
      </w:r>
      <w:r w:rsidRPr="00FB4EFA">
        <w:rPr>
          <w:lang w:val="en-GB"/>
        </w:rPr>
        <w:t xml:space="preserve"> and at the beginning of</w:t>
      </w:r>
      <w:r w:rsidR="007F30A7" w:rsidRPr="00FB4EFA">
        <w:rPr>
          <w:lang w:val="en-GB"/>
        </w:rPr>
        <w:t xml:space="preserve"> the</w:t>
      </w:r>
      <w:r w:rsidRPr="00FB4EFA">
        <w:rPr>
          <w:lang w:val="en-GB"/>
        </w:rPr>
        <w:t xml:space="preserve"> 20</w:t>
      </w:r>
      <w:r w:rsidRPr="00FB4EFA">
        <w:rPr>
          <w:vertAlign w:val="superscript"/>
          <w:lang w:val="en-GB"/>
        </w:rPr>
        <w:t>th</w:t>
      </w:r>
      <w:r w:rsidRPr="00FB4EFA">
        <w:rPr>
          <w:lang w:val="en-GB"/>
        </w:rPr>
        <w:t xml:space="preserve"> century (Raag 1999: 22; Raag 2010). With the translation and publication of the whole Bible in 1739</w:t>
      </w:r>
      <w:r w:rsidR="00412080" w:rsidRPr="00FB4EFA">
        <w:rPr>
          <w:lang w:val="en-GB"/>
        </w:rPr>
        <w:t>,</w:t>
      </w:r>
      <w:r w:rsidRPr="00FB4EFA">
        <w:rPr>
          <w:lang w:val="en-GB"/>
        </w:rPr>
        <w:t xml:space="preserve"> North Estonian gained momentum. This was further accelerated by the bigger pool of authors and publishers and potential readership</w:t>
      </w:r>
      <w:r w:rsidRPr="00FB4EFA">
        <w:rPr>
          <w:sz w:val="16"/>
          <w:szCs w:val="16"/>
          <w:lang w:val="en-GB"/>
        </w:rPr>
        <w:t>.</w:t>
      </w:r>
      <w:r w:rsidRPr="00FB4EFA">
        <w:rPr>
          <w:lang w:val="en-GB"/>
        </w:rPr>
        <w:t xml:space="preserve"> However, neither of the written varieties was fully institutionalized due to limited social integration and ethnic mobilization. While the first attempt to unify literary varieties was made in 1780, the single </w:t>
      </w:r>
      <w:r w:rsidRPr="00FB4EFA">
        <w:rPr>
          <w:lang w:val="en-GB"/>
        </w:rPr>
        <w:lastRenderedPageBreak/>
        <w:t>modern standard was established with the orthographic reform of the 1860s–1870s and took hold with the institutionalization of language planning in 1872 (Raag 1999). By the early 20</w:t>
      </w:r>
      <w:r w:rsidRPr="00FB4EFA">
        <w:rPr>
          <w:vertAlign w:val="superscript"/>
          <w:lang w:val="en-GB"/>
        </w:rPr>
        <w:t>th</w:t>
      </w:r>
      <w:r w:rsidRPr="00FB4EFA">
        <w:rPr>
          <w:lang w:val="en-GB"/>
        </w:rPr>
        <w:t xml:space="preserve"> century, the Tartu-based (southern) written language was gradually disappearing (cf. Laanekask &amp; Ross 2008).</w:t>
      </w:r>
    </w:p>
    <w:p w14:paraId="7BA8A92D" w14:textId="11B327A4" w:rsidR="000B62E0" w:rsidRPr="00FB4EFA" w:rsidRDefault="000B62E0" w:rsidP="000B62E0">
      <w:pPr>
        <w:ind w:firstLine="709"/>
        <w:rPr>
          <w:lang w:val="en-GB"/>
        </w:rPr>
      </w:pPr>
      <w:r w:rsidRPr="00FB4EFA">
        <w:rPr>
          <w:lang w:val="en-GB"/>
        </w:rPr>
        <w:t>The modernization and nation- and standard-building of the late 19</w:t>
      </w:r>
      <w:r w:rsidRPr="00FB4EFA">
        <w:rPr>
          <w:vertAlign w:val="superscript"/>
          <w:lang w:val="en-GB"/>
        </w:rPr>
        <w:t>th</w:t>
      </w:r>
      <w:r w:rsidRPr="00FB4EFA">
        <w:rPr>
          <w:lang w:val="en-GB"/>
        </w:rPr>
        <w:t xml:space="preserve"> century brought about the unwelcome position of dialectal, colloquial, or otherwise marginalized speech in the Estonian state between the wars of the 20</w:t>
      </w:r>
      <w:r w:rsidRPr="00FB4EFA">
        <w:rPr>
          <w:vertAlign w:val="superscript"/>
          <w:lang w:val="en-GB"/>
        </w:rPr>
        <w:t>th</w:t>
      </w:r>
      <w:r w:rsidRPr="00FB4EFA">
        <w:rPr>
          <w:lang w:val="en-GB"/>
        </w:rPr>
        <w:t xml:space="preserve"> century. The Soviet</w:t>
      </w:r>
      <w:r w:rsidR="00412080" w:rsidRPr="00FB4EFA">
        <w:rPr>
          <w:lang w:val="en-GB"/>
        </w:rPr>
        <w:t xml:space="preserve"> </w:t>
      </w:r>
      <w:r w:rsidRPr="00FB4EFA">
        <w:rPr>
          <w:lang w:val="en-GB"/>
        </w:rPr>
        <w:t>era (1944–1991) LPP further contributed to homogenized use of Estonian. The most intensive decades of language shift for Võro occurred in the 1960–1980s (Brown &amp; Koreinik 2019). To describe the political stance toward varieties such as Võro, which were neither mandated nor banned in Estonian schools, the term “benign neglect” has been used (Brown 2017: 187)</w:t>
      </w:r>
      <w:r w:rsidRPr="00FB4EFA">
        <w:rPr>
          <w:rStyle w:val="FootnoteReference"/>
          <w:lang w:val="en-GB"/>
        </w:rPr>
        <w:footnoteReference w:id="114"/>
      </w:r>
      <w:r w:rsidRPr="00FB4EFA">
        <w:rPr>
          <w:lang w:val="en-GB"/>
        </w:rPr>
        <w:t>. Standard Estonian, as a language of instruction in Estonian-medium schools for most of the 20</w:t>
      </w:r>
      <w:r w:rsidRPr="00FB4EFA">
        <w:rPr>
          <w:vertAlign w:val="superscript"/>
          <w:lang w:val="en-GB"/>
        </w:rPr>
        <w:t>th</w:t>
      </w:r>
      <w:r w:rsidRPr="00FB4EFA">
        <w:rPr>
          <w:lang w:val="en-GB"/>
        </w:rPr>
        <w:t xml:space="preserve"> century, also shaped how any further standardization and graphization efforts were adopted. Generations of South Estonian speakers had been schooled in the correct usage of Standard Estonian. Schooling further accelerated the contact of Võro with Standard Estonian and has had an enduring effect on the Võro-speaking community. Standardi</w:t>
      </w:r>
      <w:r w:rsidR="00A011ED" w:rsidRPr="00FB4EFA">
        <w:rPr>
          <w:lang w:val="en-GB"/>
        </w:rPr>
        <w:t>z</w:t>
      </w:r>
      <w:r w:rsidRPr="00FB4EFA">
        <w:rPr>
          <w:lang w:val="en-GB"/>
        </w:rPr>
        <w:t xml:space="preserve">ation has a profound effect on speech community as a technology of the self </w:t>
      </w:r>
      <w:r w:rsidR="004166CB" w:rsidRPr="00FB4EFA">
        <w:rPr>
          <w:lang w:val="en-GB"/>
        </w:rPr>
        <w:br/>
      </w:r>
      <w:r w:rsidRPr="00FB4EFA">
        <w:rPr>
          <w:lang w:val="en-GB"/>
        </w:rPr>
        <w:t>(Foucault 1988): linguistic features that have been “right” become seen as “wrong”.</w:t>
      </w:r>
    </w:p>
    <w:p w14:paraId="106F2175" w14:textId="204C03B8" w:rsidR="000B62E0" w:rsidRPr="00FB4EFA" w:rsidRDefault="000B62E0" w:rsidP="000B62E0">
      <w:pPr>
        <w:ind w:firstLine="720"/>
        <w:rPr>
          <w:lang w:val="en-GB"/>
        </w:rPr>
      </w:pPr>
      <w:r w:rsidRPr="00FB4EFA">
        <w:rPr>
          <w:lang w:val="en-GB"/>
        </w:rPr>
        <w:t xml:space="preserve">Age-based variation confirms the intensifying language shift: those born before 1935 can be profiled as L1 speakers of Võro who acquired Standard Estonian at local elementary school; those born between 1935 and 1960 can be positioned as balanced bilinguals who differ radically from the oldest group by demonstrating signs of interference; and finally, speakers born after 1960, largely L1 speakers of Estonian, show great variation in their command of Võro; their Estonian is more versatile and used for abstract, out-of-home topics (Org et al. 1994: 206). On </w:t>
      </w:r>
      <w:r w:rsidR="004166CB" w:rsidRPr="00FB4EFA">
        <w:rPr>
          <w:lang w:val="en-GB"/>
        </w:rPr>
        <w:br/>
      </w:r>
      <w:r w:rsidRPr="00FB4EFA">
        <w:rPr>
          <w:lang w:val="en-GB"/>
        </w:rPr>
        <w:lastRenderedPageBreak/>
        <w:t>Fishman’s (1991) GIDS Võro is positioned as moving from Stage 6 (“some intergenerational use”) to Stage 7 (“only adults beyond child-bearing age speak the language”) (Ehala 2006)</w:t>
      </w:r>
      <w:r w:rsidRPr="00FB4EFA">
        <w:rPr>
          <w:rStyle w:val="FootnoteReference"/>
          <w:lang w:val="en-GB"/>
        </w:rPr>
        <w:footnoteReference w:id="115"/>
      </w:r>
      <w:r w:rsidRPr="00FB4EFA">
        <w:rPr>
          <w:lang w:val="en-GB"/>
        </w:rPr>
        <w:t>. Nevertheless, according to the 2011 housing and population census in Estonia, passive or active Võro-Estonian bilingualism was self-reported by 75,000 permanent residents of Estonia, the majority of whom, though, reside in urban centres outside the language area (Koreinik &amp; Tender 2013).</w:t>
      </w:r>
    </w:p>
    <w:p w14:paraId="12632D98" w14:textId="5E4A49BC" w:rsidR="000B62E0" w:rsidRPr="00FB4EFA" w:rsidRDefault="000B62E0" w:rsidP="000B62E0">
      <w:pPr>
        <w:ind w:firstLine="720"/>
        <w:rPr>
          <w:lang w:val="en-GB"/>
        </w:rPr>
      </w:pPr>
      <w:r w:rsidRPr="00FB4EFA">
        <w:rPr>
          <w:lang w:val="en-GB"/>
        </w:rPr>
        <w:t>Since the 1990s, in addition to homogeni</w:t>
      </w:r>
      <w:r w:rsidR="00A011ED" w:rsidRPr="00FB4EFA">
        <w:rPr>
          <w:lang w:val="en-GB"/>
        </w:rPr>
        <w:t>z</w:t>
      </w:r>
      <w:r w:rsidRPr="00FB4EFA">
        <w:rPr>
          <w:lang w:val="en-GB"/>
        </w:rPr>
        <w:t>ation driven by Standard Estonian, the variation of spoken Võro has been subjected to another standard-induced change, originating in the standardi</w:t>
      </w:r>
      <w:r w:rsidR="00A011ED" w:rsidRPr="00FB4EFA">
        <w:rPr>
          <w:lang w:val="en-GB"/>
        </w:rPr>
        <w:t>z</w:t>
      </w:r>
      <w:r w:rsidRPr="00FB4EFA">
        <w:rPr>
          <w:lang w:val="en-GB"/>
        </w:rPr>
        <w:t>ation of Võro. The debate about standardization and graphization has taken place among at least three groups: L1 Võro speakers who have acquired Standard Estonian at school, L1 Standard Estonian speakers who have learned Võro later or simultaneously with Standard Estonian, and Estonian speakers who have no active command of Võro. Not all of them are in an equally authoritative position over decision-making, or for voicing their opinions in public. Literacy in Võro, the ability to read and write,</w:t>
      </w:r>
      <w:r w:rsidR="000E4CB7" w:rsidRPr="00FB4EFA">
        <w:rPr>
          <w:lang w:val="en-GB"/>
        </w:rPr>
        <w:t xml:space="preserve"> is </w:t>
      </w:r>
      <w:r w:rsidRPr="00FB4EFA">
        <w:rPr>
          <w:lang w:val="en-GB"/>
        </w:rPr>
        <w:t>also a socio-culturally constructed phenomenon, is not evenly distributed within those groups. While the average scores for both reading and writing were lower than for understanding and speaking, writing skills were rated significantly lower than reading skills (Koreinik et al. 2013).</w:t>
      </w:r>
    </w:p>
    <w:p w14:paraId="01D8DA84" w14:textId="77777777" w:rsidR="000B62E0" w:rsidRPr="00FB4EFA" w:rsidRDefault="000B62E0" w:rsidP="00545033">
      <w:pPr>
        <w:pStyle w:val="Heading2"/>
        <w:numPr>
          <w:ilvl w:val="0"/>
          <w:numId w:val="6"/>
        </w:numPr>
        <w:suppressAutoHyphens/>
        <w:rPr>
          <w:color w:val="auto"/>
        </w:rPr>
      </w:pPr>
      <w:r w:rsidRPr="00FB4EFA">
        <w:rPr>
          <w:color w:val="auto"/>
        </w:rPr>
        <w:t>Major differences between Võro South Estonian and (Standard) Estonian</w:t>
      </w:r>
    </w:p>
    <w:p w14:paraId="7743B990" w14:textId="77777777" w:rsidR="000B62E0" w:rsidRPr="00FB4EFA" w:rsidRDefault="000B62E0" w:rsidP="000B62E0">
      <w:pPr>
        <w:rPr>
          <w:lang w:val="en-GB"/>
        </w:rPr>
      </w:pPr>
      <w:r w:rsidRPr="00FB4EFA">
        <w:rPr>
          <w:lang w:val="en-GB"/>
        </w:rPr>
        <w:t>Võro differs from (Standard) Estonian in several aspects. Based on comparison of pronunciation, morphology, and basic vocabulary, Pajusalu (1999) demonstrates that only about a fifth of Võro overlaps with Estonian. However, most comparisons of Võro and Estonian contrast spoken Võro recorded in the mid-20</w:t>
      </w:r>
      <w:r w:rsidRPr="00FB4EFA">
        <w:rPr>
          <w:vertAlign w:val="superscript"/>
          <w:lang w:val="en-GB"/>
        </w:rPr>
        <w:t>th</w:t>
      </w:r>
      <w:r w:rsidRPr="00FB4EFA">
        <w:rPr>
          <w:lang w:val="en-GB"/>
        </w:rPr>
        <w:t xml:space="preserve"> century with Standard or contemporary Estonian; recent variation in Võro is often ignored in both language description and planning. With a few exceptions (Lindström 1997; Iva 2002; Pajusalu 2015; Lindström et al. 2021; Pilvik et al. 2021), up-to-date usage-based research on Võro is rare.</w:t>
      </w:r>
    </w:p>
    <w:p w14:paraId="7C32D1AE" w14:textId="77777777" w:rsidR="000B62E0" w:rsidRPr="00FB4EFA" w:rsidRDefault="000B62E0" w:rsidP="00AF0CAD">
      <w:pPr>
        <w:ind w:firstLine="720"/>
        <w:rPr>
          <w:lang w:val="en-GB"/>
        </w:rPr>
      </w:pPr>
      <w:r w:rsidRPr="00FB4EFA">
        <w:rPr>
          <w:lang w:val="en-GB"/>
        </w:rPr>
        <w:lastRenderedPageBreak/>
        <w:t xml:space="preserve">Regarding the lexicon, Koponen (1998) identifies 19,000 South Estonian stems not used in North Estonian. However, due to intense language contact and social demands for language modernization, loanwords are adopted from common Estonian. The intensity of the contact can also be seen from adapting Estonian basic vocabulary to the morphophonological system of Võro, e.g., </w:t>
      </w:r>
      <w:r w:rsidRPr="00FB4EFA">
        <w:rPr>
          <w:i/>
          <w:iCs/>
          <w:lang w:val="en-GB"/>
        </w:rPr>
        <w:t xml:space="preserve">õdõ </w:t>
      </w:r>
      <w:r w:rsidRPr="00FB4EFA">
        <w:rPr>
          <w:lang w:val="en-GB"/>
        </w:rPr>
        <w:t xml:space="preserve">‘sister’ (cf. Standard Estonian </w:t>
      </w:r>
      <w:r w:rsidRPr="00FB4EFA">
        <w:rPr>
          <w:i/>
          <w:iCs/>
          <w:lang w:val="en-GB"/>
        </w:rPr>
        <w:t xml:space="preserve">õde, </w:t>
      </w:r>
      <w:r w:rsidRPr="00FB4EFA">
        <w:rPr>
          <w:lang w:val="en-GB"/>
        </w:rPr>
        <w:t xml:space="preserve">Võro </w:t>
      </w:r>
      <w:r w:rsidRPr="00FB4EFA">
        <w:rPr>
          <w:i/>
          <w:iCs/>
          <w:lang w:val="en-GB"/>
        </w:rPr>
        <w:t>sõsar</w:t>
      </w:r>
      <w:r w:rsidRPr="00FB4EFA">
        <w:rPr>
          <w:lang w:val="en-GB"/>
        </w:rPr>
        <w:t xml:space="preserve">), </w:t>
      </w:r>
      <w:r w:rsidRPr="00FB4EFA">
        <w:rPr>
          <w:i/>
          <w:iCs/>
          <w:lang w:val="en-GB"/>
        </w:rPr>
        <w:t>uuõstõ ~ uvvõstõ</w:t>
      </w:r>
      <w:r w:rsidRPr="00FB4EFA">
        <w:rPr>
          <w:lang w:val="en-GB"/>
        </w:rPr>
        <w:t xml:space="preserve"> ‘again’ (cf. Standard Estonian </w:t>
      </w:r>
      <w:r w:rsidRPr="00FB4EFA">
        <w:rPr>
          <w:i/>
          <w:iCs/>
          <w:lang w:val="en-GB"/>
        </w:rPr>
        <w:t>uuesti</w:t>
      </w:r>
      <w:r w:rsidRPr="00FB4EFA">
        <w:rPr>
          <w:lang w:val="en-GB"/>
        </w:rPr>
        <w:t xml:space="preserve">, Võro </w:t>
      </w:r>
      <w:r w:rsidRPr="00FB4EFA">
        <w:rPr>
          <w:i/>
          <w:iCs/>
          <w:lang w:val="en-GB"/>
        </w:rPr>
        <w:t>vahtsõst, jälkiq</w:t>
      </w:r>
      <w:r w:rsidRPr="00FB4EFA">
        <w:rPr>
          <w:lang w:val="en-GB"/>
        </w:rPr>
        <w:t>).</w:t>
      </w:r>
    </w:p>
    <w:p w14:paraId="44A3079B" w14:textId="535345A4" w:rsidR="000B62E0" w:rsidRPr="00FB4EFA" w:rsidRDefault="000B62E0" w:rsidP="00AF0CAD">
      <w:pPr>
        <w:ind w:firstLine="720"/>
        <w:rPr>
          <w:lang w:val="en-GB"/>
        </w:rPr>
      </w:pPr>
      <w:r w:rsidRPr="00FB4EFA">
        <w:rPr>
          <w:lang w:val="en-GB"/>
        </w:rPr>
        <w:t xml:space="preserve">We have also repeatedly observed that some Võro words are often perceived as belonging to the neighbouring language variant of Seto. For example, when a Võro-speaking shopkeeper explained why </w:t>
      </w:r>
      <w:r w:rsidRPr="00FB4EFA">
        <w:rPr>
          <w:i/>
          <w:iCs/>
          <w:lang w:val="en-GB"/>
        </w:rPr>
        <w:t>Hõbõnöps (&lt;</w:t>
      </w:r>
      <w:r w:rsidR="007F30A7" w:rsidRPr="00FB4EFA">
        <w:rPr>
          <w:i/>
          <w:iCs/>
          <w:lang w:val="en-GB"/>
        </w:rPr>
        <w:t> </w:t>
      </w:r>
      <w:r w:rsidRPr="00FB4EFA">
        <w:rPr>
          <w:i/>
          <w:iCs/>
          <w:lang w:val="en-GB"/>
        </w:rPr>
        <w:t xml:space="preserve">hõbõ + nöps) </w:t>
      </w:r>
      <w:r w:rsidRPr="00FB4EFA">
        <w:rPr>
          <w:lang w:val="en-GB"/>
        </w:rPr>
        <w:t xml:space="preserve">‘silver button’ was used instead of Võro </w:t>
      </w:r>
      <w:r w:rsidRPr="00FB4EFA">
        <w:rPr>
          <w:i/>
          <w:iCs/>
          <w:lang w:val="en-GB"/>
        </w:rPr>
        <w:t>Hõpõnöps</w:t>
      </w:r>
      <w:r w:rsidRPr="00FB4EFA">
        <w:rPr>
          <w:lang w:val="en-GB"/>
        </w:rPr>
        <w:t xml:space="preserve"> on a sign in the store, her argument was that she spoke Võro, not Seto. However, the form </w:t>
      </w:r>
      <w:r w:rsidRPr="00FB4EFA">
        <w:rPr>
          <w:i/>
          <w:iCs/>
          <w:lang w:val="en-GB"/>
        </w:rPr>
        <w:t>hõbõ</w:t>
      </w:r>
      <w:r w:rsidRPr="00FB4EFA">
        <w:rPr>
          <w:lang w:val="en-GB"/>
        </w:rPr>
        <w:t xml:space="preserve"> is influenced by Standard Estonian </w:t>
      </w:r>
      <w:r w:rsidRPr="00FB4EFA">
        <w:rPr>
          <w:i/>
          <w:iCs/>
          <w:lang w:val="en-GB"/>
        </w:rPr>
        <w:t>hõbe</w:t>
      </w:r>
      <w:r w:rsidRPr="00FB4EFA">
        <w:rPr>
          <w:lang w:val="en-GB"/>
        </w:rPr>
        <w:t>. Võro speakers generally differentiate themselves from Setos as the Orthodox Setos were subjected to othering (Kalkun 2011).</w:t>
      </w:r>
    </w:p>
    <w:p w14:paraId="3D67A7D7" w14:textId="6A5D9E56" w:rsidR="000B62E0" w:rsidRPr="00FB4EFA" w:rsidRDefault="000B62E0" w:rsidP="00AF0CAD">
      <w:pPr>
        <w:ind w:firstLine="720"/>
        <w:rPr>
          <w:lang w:val="en-GB"/>
        </w:rPr>
      </w:pPr>
      <w:r w:rsidRPr="00FB4EFA">
        <w:rPr>
          <w:lang w:val="en-GB"/>
        </w:rPr>
        <w:t xml:space="preserve">There are also significant differences in grammar between Võro and Standard Estonian. For example, both languages have syntactic negation (cf. Dahl 1979; Miestamo 2007: 553–554), formed by the negation particle and the verb, e.g., Est </w:t>
      </w:r>
      <w:r w:rsidRPr="00FB4EFA">
        <w:rPr>
          <w:i/>
          <w:iCs/>
          <w:lang w:val="en-GB"/>
        </w:rPr>
        <w:t xml:space="preserve">ei söö </w:t>
      </w:r>
      <w:r w:rsidRPr="00FB4EFA">
        <w:rPr>
          <w:iCs/>
          <w:lang w:val="en-GB"/>
        </w:rPr>
        <w:t>and V</w:t>
      </w:r>
      <w:r w:rsidR="00312ECF" w:rsidRPr="00FB4EFA">
        <w:rPr>
          <w:iCs/>
          <w:lang w:val="en-GB"/>
        </w:rPr>
        <w:t>õ</w:t>
      </w:r>
      <w:r w:rsidRPr="00FB4EFA">
        <w:rPr>
          <w:iCs/>
          <w:lang w:val="en-GB"/>
        </w:rPr>
        <w:t xml:space="preserve">ro </w:t>
      </w:r>
      <w:r w:rsidRPr="00FB4EFA">
        <w:rPr>
          <w:i/>
          <w:iCs/>
          <w:lang w:val="en-GB"/>
        </w:rPr>
        <w:t>ei süüq</w:t>
      </w:r>
      <w:r w:rsidRPr="00FB4EFA">
        <w:rPr>
          <w:lang w:val="en-GB"/>
        </w:rPr>
        <w:t xml:space="preserve"> ‘I, you, (s)he, we, you, they don’t eat’. However, the Võro negation particle </w:t>
      </w:r>
      <w:r w:rsidRPr="00FB4EFA">
        <w:rPr>
          <w:i/>
          <w:iCs/>
          <w:lang w:val="en-GB"/>
        </w:rPr>
        <w:t>ei</w:t>
      </w:r>
      <w:r w:rsidRPr="00FB4EFA">
        <w:rPr>
          <w:lang w:val="en-GB"/>
        </w:rPr>
        <w:t xml:space="preserve"> has the counterpart </w:t>
      </w:r>
      <w:r w:rsidRPr="00FB4EFA">
        <w:rPr>
          <w:i/>
          <w:iCs/>
          <w:lang w:val="en-GB"/>
        </w:rPr>
        <w:t>es</w:t>
      </w:r>
      <w:r w:rsidRPr="00FB4EFA">
        <w:rPr>
          <w:lang w:val="en-GB"/>
        </w:rPr>
        <w:t xml:space="preserve"> in the past tense (e.g., </w:t>
      </w:r>
      <w:r w:rsidRPr="00FB4EFA">
        <w:rPr>
          <w:i/>
          <w:iCs/>
          <w:lang w:val="en-GB"/>
        </w:rPr>
        <w:t>es süü</w:t>
      </w:r>
      <w:r w:rsidRPr="00FB4EFA">
        <w:rPr>
          <w:lang w:val="en-GB"/>
        </w:rPr>
        <w:t xml:space="preserve"> ‘I, you, (s)he, we, you, they didn’t eat’), whereas in Standard Estonian the uninflected form </w:t>
      </w:r>
      <w:r w:rsidRPr="00FB4EFA">
        <w:rPr>
          <w:i/>
          <w:iCs/>
          <w:lang w:val="en-GB"/>
        </w:rPr>
        <w:t xml:space="preserve">ei </w:t>
      </w:r>
      <w:r w:rsidRPr="00FB4EFA">
        <w:rPr>
          <w:lang w:val="en-GB"/>
        </w:rPr>
        <w:t xml:space="preserve">is used in both the present and past tense. Unlike Standard Estonian, the Võro negation marker can occur in either pre- or post-verbal position, or in both positions with double negation (cf. Lindström 1997; Lindström et al. 2021; Pilvik et al. 2021), e.g., </w:t>
      </w:r>
      <w:r w:rsidRPr="00FB4EFA">
        <w:rPr>
          <w:i/>
          <w:iCs/>
          <w:lang w:val="en-GB"/>
        </w:rPr>
        <w:t>ei süü ~ süü ei ~ ei süü ei</w:t>
      </w:r>
      <w:r w:rsidRPr="00FB4EFA">
        <w:rPr>
          <w:lang w:val="en-GB"/>
        </w:rPr>
        <w:t>.</w:t>
      </w:r>
    </w:p>
    <w:p w14:paraId="4C9EB779" w14:textId="77777777" w:rsidR="000B62E0" w:rsidRPr="00FB4EFA" w:rsidRDefault="000B62E0" w:rsidP="000B62E0">
      <w:pPr>
        <w:ind w:firstLine="720"/>
        <w:rPr>
          <w:lang w:val="en-GB"/>
        </w:rPr>
      </w:pPr>
      <w:r w:rsidRPr="00FB4EFA">
        <w:rPr>
          <w:lang w:val="en-GB"/>
        </w:rPr>
        <w:t>In the next section, to provide linguistic background for the analysis of graphization discourse, we focus on language features which are 1) important for graphization (see also Table 1), and 2) in conflict with the Standard Estonian orthography which most users of Võro have been taught at school.</w:t>
      </w:r>
    </w:p>
    <w:p w14:paraId="7FF18B06" w14:textId="3525905A" w:rsidR="000B62E0" w:rsidRPr="00FB4EFA" w:rsidRDefault="000B62E0" w:rsidP="00AF0CAD">
      <w:pPr>
        <w:pStyle w:val="Heading3"/>
        <w:numPr>
          <w:ilvl w:val="1"/>
          <w:numId w:val="6"/>
        </w:numPr>
      </w:pPr>
      <w:r w:rsidRPr="00FB4EFA">
        <w:lastRenderedPageBreak/>
        <w:t>Why care about one-to-one correspondences? Specific linguistic properties of Võro</w:t>
      </w:r>
    </w:p>
    <w:p w14:paraId="706F5EDC" w14:textId="6DE7E26C" w:rsidR="000B62E0" w:rsidRPr="00FB4EFA" w:rsidRDefault="000B62E0" w:rsidP="00AF0CAD">
      <w:pPr>
        <w:rPr>
          <w:lang w:val="en-GB"/>
        </w:rPr>
      </w:pPr>
      <w:r w:rsidRPr="00FB4EFA">
        <w:rPr>
          <w:lang w:val="en-GB"/>
        </w:rPr>
        <w:t>Võro makes use of certain phonemes not present in Standard Estonian. Of central interest are the glottal stop (often marked as &lt;q&gt;), and extensive palatalization</w:t>
      </w:r>
      <w:r w:rsidRPr="00FB4EFA">
        <w:rPr>
          <w:rStyle w:val="FootnoteReference"/>
          <w:lang w:val="en-GB"/>
        </w:rPr>
        <w:footnoteReference w:id="116"/>
      </w:r>
      <w:r w:rsidRPr="00FB4EFA">
        <w:rPr>
          <w:lang w:val="en-GB"/>
        </w:rPr>
        <w:t>. All consonants but one (the glottal stop) can be palatali</w:t>
      </w:r>
      <w:r w:rsidR="008C4F74" w:rsidRPr="00FB4EFA">
        <w:rPr>
          <w:lang w:val="en-GB"/>
        </w:rPr>
        <w:t>z</w:t>
      </w:r>
      <w:r w:rsidRPr="00FB4EFA">
        <w:rPr>
          <w:lang w:val="en-GB"/>
        </w:rPr>
        <w:t xml:space="preserve">ed (cf. in Estonian all alveolars but one). Most importantly, both the glottal stop and palatalization have also grammatical functions in Võro: </w:t>
      </w:r>
      <w:r w:rsidR="00960CA9" w:rsidRPr="00FB4EFA">
        <w:rPr>
          <w:lang w:val="en-GB"/>
        </w:rPr>
        <w:t xml:space="preserve">for example, </w:t>
      </w:r>
      <w:r w:rsidRPr="00FB4EFA">
        <w:rPr>
          <w:lang w:val="en-GB"/>
        </w:rPr>
        <w:t>the former</w:t>
      </w:r>
      <w:r w:rsidR="00C42FA7" w:rsidRPr="00FB4EFA">
        <w:rPr>
          <w:lang w:val="en-GB"/>
        </w:rPr>
        <w:t>, among other things,</w:t>
      </w:r>
      <w:r w:rsidRPr="00FB4EFA">
        <w:rPr>
          <w:lang w:val="en-GB"/>
        </w:rPr>
        <w:t xml:space="preserve"> </w:t>
      </w:r>
      <w:r w:rsidR="00960CA9" w:rsidRPr="00FB4EFA">
        <w:rPr>
          <w:lang w:val="en-GB"/>
        </w:rPr>
        <w:t>can mark</w:t>
      </w:r>
      <w:r w:rsidRPr="00FB4EFA">
        <w:rPr>
          <w:lang w:val="en-GB"/>
        </w:rPr>
        <w:t xml:space="preserve"> the plural (e.g., </w:t>
      </w:r>
      <w:r w:rsidRPr="00FB4EFA">
        <w:rPr>
          <w:i/>
          <w:iCs/>
          <w:lang w:val="en-GB"/>
        </w:rPr>
        <w:t xml:space="preserve">puu </w:t>
      </w:r>
      <w:r w:rsidRPr="00FB4EFA">
        <w:rPr>
          <w:lang w:val="en-GB"/>
        </w:rPr>
        <w:t xml:space="preserve">‘tree’, </w:t>
      </w:r>
      <w:r w:rsidRPr="00FB4EFA">
        <w:rPr>
          <w:i/>
          <w:iCs/>
          <w:lang w:val="en-GB"/>
        </w:rPr>
        <w:t xml:space="preserve">puuq </w:t>
      </w:r>
      <w:r w:rsidRPr="00FB4EFA">
        <w:rPr>
          <w:lang w:val="en-GB"/>
        </w:rPr>
        <w:t xml:space="preserve">‘trees’), while the latter </w:t>
      </w:r>
      <w:r w:rsidR="00EB247B" w:rsidRPr="00FB4EFA">
        <w:rPr>
          <w:lang w:val="en-GB"/>
        </w:rPr>
        <w:t>marks</w:t>
      </w:r>
      <w:r w:rsidRPr="00FB4EFA">
        <w:rPr>
          <w:lang w:val="en-GB"/>
        </w:rPr>
        <w:t xml:space="preserve"> the past tense of third person singular in some verb types (e.g., </w:t>
      </w:r>
      <w:r w:rsidRPr="00FB4EFA">
        <w:rPr>
          <w:i/>
          <w:iCs/>
          <w:lang w:val="en-GB"/>
        </w:rPr>
        <w:t xml:space="preserve">timä laul </w:t>
      </w:r>
      <w:r w:rsidRPr="00FB4EFA">
        <w:rPr>
          <w:lang w:val="en-GB"/>
        </w:rPr>
        <w:t xml:space="preserve">‘(s)he sings’, </w:t>
      </w:r>
      <w:r w:rsidRPr="00FB4EFA">
        <w:rPr>
          <w:i/>
          <w:iCs/>
          <w:lang w:val="en-GB"/>
        </w:rPr>
        <w:t xml:space="preserve">timä laul´ </w:t>
      </w:r>
      <w:r w:rsidRPr="00FB4EFA">
        <w:rPr>
          <w:lang w:val="en-GB"/>
        </w:rPr>
        <w:t>‘(s)he sang’). Note, however, that there are other, parallel</w:t>
      </w:r>
      <w:r w:rsidR="00412080" w:rsidRPr="00FB4EFA">
        <w:rPr>
          <w:lang w:val="en-GB"/>
        </w:rPr>
        <w:t>,</w:t>
      </w:r>
      <w:r w:rsidRPr="00FB4EFA">
        <w:rPr>
          <w:lang w:val="en-GB"/>
        </w:rPr>
        <w:t xml:space="preserve"> options for marking the past tense of these verbs, (e.g., </w:t>
      </w:r>
      <w:r w:rsidRPr="00FB4EFA">
        <w:rPr>
          <w:i/>
          <w:iCs/>
          <w:lang w:val="en-GB"/>
        </w:rPr>
        <w:t xml:space="preserve">timä laulõ ~ laulsõ </w:t>
      </w:r>
      <w:r w:rsidR="00960CA9" w:rsidRPr="00FB4EFA">
        <w:rPr>
          <w:i/>
          <w:iCs/>
          <w:lang w:val="en-GB"/>
        </w:rPr>
        <w:br/>
      </w:r>
      <w:r w:rsidRPr="00FB4EFA">
        <w:rPr>
          <w:lang w:val="en-GB"/>
        </w:rPr>
        <w:t>‘(s)he sang’).</w:t>
      </w:r>
    </w:p>
    <w:p w14:paraId="7B971D85" w14:textId="5F155BF7" w:rsidR="000B62E0" w:rsidRPr="00FB4EFA" w:rsidRDefault="000B62E0" w:rsidP="00AF0CAD">
      <w:pPr>
        <w:ind w:firstLine="720"/>
        <w:rPr>
          <w:lang w:val="en-GB"/>
        </w:rPr>
      </w:pPr>
      <w:r w:rsidRPr="00FB4EFA">
        <w:rPr>
          <w:lang w:val="en-GB"/>
        </w:rPr>
        <w:t xml:space="preserve">The orthographic marking of the glottal stop has produced heated discussions among speakers and non-speakers even outside the community of practice. In its maximal realization, the glottal stop can occur in the end of the terminative, comitative, and ablative cases; it also occurs in imperative and conditional moods, and infinitival, participial, and </w:t>
      </w:r>
      <w:r w:rsidR="004166CB" w:rsidRPr="00FB4EFA">
        <w:rPr>
          <w:lang w:val="en-GB"/>
        </w:rPr>
        <w:br/>
      </w:r>
      <w:r w:rsidRPr="00FB4EFA">
        <w:rPr>
          <w:lang w:val="en-GB"/>
        </w:rPr>
        <w:t>negative forms. In addition to these grammatical contexts, it occurs at the end of some lexemes, e.g., personal pronouns (</w:t>
      </w:r>
      <w:r w:rsidRPr="00FB4EFA">
        <w:rPr>
          <w:i/>
          <w:iCs/>
          <w:lang w:val="en-GB"/>
        </w:rPr>
        <w:t xml:space="preserve">maq, </w:t>
      </w:r>
      <w:r w:rsidRPr="00FB4EFA">
        <w:rPr>
          <w:lang w:val="en-GB"/>
        </w:rPr>
        <w:t xml:space="preserve">‘I’, </w:t>
      </w:r>
      <w:r w:rsidRPr="00FB4EFA">
        <w:rPr>
          <w:i/>
          <w:iCs/>
          <w:lang w:val="en-GB"/>
        </w:rPr>
        <w:t>saq</w:t>
      </w:r>
      <w:r w:rsidRPr="00FB4EFA">
        <w:rPr>
          <w:lang w:val="en-GB"/>
        </w:rPr>
        <w:t xml:space="preserve"> ‘you’, </w:t>
      </w:r>
      <w:r w:rsidRPr="00FB4EFA">
        <w:rPr>
          <w:i/>
          <w:iCs/>
          <w:lang w:val="en-GB"/>
        </w:rPr>
        <w:t>miiq</w:t>
      </w:r>
      <w:r w:rsidRPr="00FB4EFA">
        <w:rPr>
          <w:lang w:val="en-GB"/>
        </w:rPr>
        <w:t xml:space="preserve"> ‘we’, </w:t>
      </w:r>
      <w:r w:rsidRPr="00FB4EFA">
        <w:rPr>
          <w:i/>
          <w:iCs/>
          <w:lang w:val="en-GB"/>
        </w:rPr>
        <w:t>tiiq</w:t>
      </w:r>
      <w:r w:rsidRPr="00FB4EFA">
        <w:rPr>
          <w:lang w:val="en-GB"/>
        </w:rPr>
        <w:t xml:space="preserve"> ‘you’), adverbs (</w:t>
      </w:r>
      <w:r w:rsidRPr="00FB4EFA">
        <w:rPr>
          <w:i/>
          <w:iCs/>
          <w:lang w:val="en-GB"/>
        </w:rPr>
        <w:t>eeläq</w:t>
      </w:r>
      <w:r w:rsidRPr="00FB4EFA">
        <w:rPr>
          <w:lang w:val="en-GB"/>
        </w:rPr>
        <w:t xml:space="preserve"> ‘yesterday’, </w:t>
      </w:r>
      <w:r w:rsidRPr="00FB4EFA">
        <w:rPr>
          <w:i/>
          <w:iCs/>
          <w:lang w:val="en-GB"/>
        </w:rPr>
        <w:t>siiäq</w:t>
      </w:r>
      <w:r w:rsidRPr="00FB4EFA">
        <w:rPr>
          <w:lang w:val="en-GB"/>
        </w:rPr>
        <w:t xml:space="preserve"> ‘here’), and nouns (</w:t>
      </w:r>
      <w:r w:rsidRPr="00FB4EFA">
        <w:rPr>
          <w:i/>
          <w:iCs/>
          <w:lang w:val="en-GB"/>
        </w:rPr>
        <w:t>läteq</w:t>
      </w:r>
      <w:r w:rsidRPr="00FB4EFA">
        <w:rPr>
          <w:lang w:val="en-GB"/>
        </w:rPr>
        <w:t xml:space="preserve"> ‘</w:t>
      </w:r>
      <w:r w:rsidR="004166CB" w:rsidRPr="00FB4EFA">
        <w:rPr>
          <w:lang w:val="en-GB"/>
        </w:rPr>
        <w:br/>
      </w:r>
      <w:r w:rsidRPr="00FB4EFA">
        <w:rPr>
          <w:lang w:val="en-GB"/>
        </w:rPr>
        <w:t xml:space="preserve">well; spring’). When followed by a vowel, in spoken language, it is </w:t>
      </w:r>
      <w:r w:rsidR="004166CB" w:rsidRPr="00FB4EFA">
        <w:rPr>
          <w:lang w:val="en-GB"/>
        </w:rPr>
        <w:br/>
      </w:r>
      <w:r w:rsidRPr="00FB4EFA">
        <w:rPr>
          <w:lang w:val="en-GB"/>
        </w:rPr>
        <w:t>often unpronounced.</w:t>
      </w:r>
    </w:p>
    <w:p w14:paraId="6F548467" w14:textId="5A63EB8D" w:rsidR="000B62E0" w:rsidRPr="00FB4EFA" w:rsidRDefault="000B62E0" w:rsidP="00AF0CAD">
      <w:pPr>
        <w:ind w:firstLine="720"/>
        <w:rPr>
          <w:lang w:val="en-GB"/>
        </w:rPr>
      </w:pPr>
      <w:r w:rsidRPr="00FB4EFA">
        <w:rPr>
          <w:lang w:val="en-GB"/>
        </w:rPr>
        <w:t xml:space="preserve">Alongside the unrounded (illabial) mid vowel </w:t>
      </w:r>
      <w:r w:rsidRPr="00FB4EFA">
        <w:rPr>
          <w:i/>
          <w:iCs/>
          <w:lang w:val="en-GB"/>
        </w:rPr>
        <w:t xml:space="preserve">õ </w:t>
      </w:r>
      <w:r w:rsidRPr="00FB4EFA">
        <w:rPr>
          <w:lang w:val="en-GB"/>
        </w:rPr>
        <w:t>([ɤ])</w:t>
      </w:r>
      <w:r w:rsidR="00412080" w:rsidRPr="00FB4EFA">
        <w:rPr>
          <w:lang w:val="en-GB"/>
        </w:rPr>
        <w:t>,</w:t>
      </w:r>
      <w:r w:rsidRPr="00FB4EFA">
        <w:rPr>
          <w:lang w:val="en-GB"/>
        </w:rPr>
        <w:t xml:space="preserve"> which is typical of all Southern Finnic languages, another unrounded but higher vowel </w:t>
      </w:r>
      <w:r w:rsidRPr="00FB4EFA">
        <w:rPr>
          <w:i/>
          <w:iCs/>
          <w:lang w:val="en-GB"/>
        </w:rPr>
        <w:t>y</w:t>
      </w:r>
      <w:r w:rsidRPr="00FB4EFA">
        <w:rPr>
          <w:lang w:val="en-GB"/>
        </w:rPr>
        <w:t xml:space="preserve"> ([ɨ]) also occurs in Võro. It has an important role in the vowel system: in Võro, vowels are high when they are either overlong or in pre-nasal position (e.g., </w:t>
      </w:r>
      <w:r w:rsidRPr="00FB4EFA">
        <w:rPr>
          <w:i/>
          <w:iCs/>
          <w:lang w:val="en-GB"/>
        </w:rPr>
        <w:t>suut´</w:t>
      </w:r>
      <w:r w:rsidRPr="00FB4EFA">
        <w:rPr>
          <w:lang w:val="en-GB"/>
        </w:rPr>
        <w:t xml:space="preserve"> ‘pond.</w:t>
      </w:r>
      <w:r w:rsidRPr="00FB4EFA">
        <w:rPr>
          <w:smallCaps/>
          <w:lang w:val="en-GB"/>
        </w:rPr>
        <w:t>nom</w:t>
      </w:r>
      <w:r w:rsidRPr="00FB4EFA">
        <w:rPr>
          <w:lang w:val="en-GB"/>
        </w:rPr>
        <w:t xml:space="preserve">’: </w:t>
      </w:r>
      <w:r w:rsidRPr="00FB4EFA">
        <w:rPr>
          <w:i/>
          <w:iCs/>
          <w:lang w:val="en-GB"/>
        </w:rPr>
        <w:t>soodi</w:t>
      </w:r>
      <w:r w:rsidRPr="00FB4EFA">
        <w:rPr>
          <w:lang w:val="en-GB"/>
        </w:rPr>
        <w:t xml:space="preserve"> ‘pond.</w:t>
      </w:r>
      <w:r w:rsidRPr="00FB4EFA">
        <w:rPr>
          <w:smallCaps/>
          <w:lang w:val="en-GB"/>
        </w:rPr>
        <w:t>gen</w:t>
      </w:r>
      <w:r w:rsidRPr="00FB4EFA">
        <w:rPr>
          <w:lang w:val="en-GB"/>
        </w:rPr>
        <w:t xml:space="preserve">’; </w:t>
      </w:r>
      <w:r w:rsidRPr="00FB4EFA">
        <w:rPr>
          <w:i/>
          <w:iCs/>
          <w:lang w:val="en-GB"/>
        </w:rPr>
        <w:t xml:space="preserve">kynd′ma </w:t>
      </w:r>
      <w:r w:rsidRPr="00FB4EFA">
        <w:rPr>
          <w:iCs/>
          <w:lang w:val="en-GB"/>
        </w:rPr>
        <w:t>‘walk.</w:t>
      </w:r>
      <w:r w:rsidRPr="00FB4EFA">
        <w:rPr>
          <w:rFonts w:cs="Arial (Body CS)"/>
          <w:iCs/>
          <w:smallCaps/>
          <w:lang w:val="en-GB"/>
        </w:rPr>
        <w:t>inf</w:t>
      </w:r>
      <w:r w:rsidRPr="00FB4EFA">
        <w:rPr>
          <w:lang w:val="en-GB"/>
        </w:rPr>
        <w:t>’). However, [ɨ]</w:t>
      </w:r>
      <w:r w:rsidR="008915B9" w:rsidRPr="00FB4EFA">
        <w:rPr>
          <w:lang w:val="en-GB"/>
        </w:rPr>
        <w:t xml:space="preserve"> </w:t>
      </w:r>
      <w:r w:rsidRPr="00FB4EFA">
        <w:rPr>
          <w:lang w:val="en-GB"/>
        </w:rPr>
        <w:t>alone never differentiates the meaning.</w:t>
      </w:r>
    </w:p>
    <w:p w14:paraId="186864D2" w14:textId="7B0BC1D3" w:rsidR="000B62E0" w:rsidRPr="00FB4EFA" w:rsidRDefault="000B62E0" w:rsidP="00AF0CAD">
      <w:pPr>
        <w:ind w:firstLine="720"/>
        <w:rPr>
          <w:lang w:val="en-GB"/>
        </w:rPr>
      </w:pPr>
      <w:r w:rsidRPr="00FB4EFA">
        <w:rPr>
          <w:lang w:val="en-GB"/>
        </w:rPr>
        <w:t>In addition, there is vowel harmony in Võro, a characteristic found in most Finnic languages but lost in Standard Estonian (</w:t>
      </w:r>
      <w:r w:rsidRPr="00FB4EFA">
        <w:rPr>
          <w:shd w:val="clear" w:color="auto" w:fill="FFFFFF"/>
          <w:lang w:val="en-GB"/>
        </w:rPr>
        <w:t>Laanest 1982: 129–130</w:t>
      </w:r>
      <w:r w:rsidRPr="00FB4EFA">
        <w:rPr>
          <w:lang w:val="en-GB"/>
        </w:rPr>
        <w:t xml:space="preserve">). Some diphthongs used in Võro are non-existent in Estonian (e.g., </w:t>
      </w:r>
      <w:r w:rsidRPr="00FB4EFA">
        <w:rPr>
          <w:i/>
          <w:iCs/>
          <w:lang w:val="en-GB"/>
        </w:rPr>
        <w:t>äü, öü</w:t>
      </w:r>
      <w:r w:rsidRPr="00FB4EFA">
        <w:rPr>
          <w:lang w:val="en-GB"/>
        </w:rPr>
        <w:t>), e.g., V</w:t>
      </w:r>
      <w:r w:rsidR="00312ECF" w:rsidRPr="00FB4EFA">
        <w:rPr>
          <w:lang w:val="en-GB"/>
        </w:rPr>
        <w:t>õ</w:t>
      </w:r>
      <w:r w:rsidRPr="00FB4EFA">
        <w:rPr>
          <w:lang w:val="en-GB"/>
        </w:rPr>
        <w:t xml:space="preserve">ro </w:t>
      </w:r>
      <w:r w:rsidRPr="00FB4EFA">
        <w:rPr>
          <w:i/>
          <w:lang w:val="en-GB"/>
        </w:rPr>
        <w:t xml:space="preserve">köüds, </w:t>
      </w:r>
      <w:r w:rsidRPr="00FB4EFA">
        <w:rPr>
          <w:lang w:val="en-GB"/>
        </w:rPr>
        <w:t xml:space="preserve">Est </w:t>
      </w:r>
      <w:r w:rsidRPr="00FB4EFA">
        <w:rPr>
          <w:i/>
          <w:lang w:val="en-GB"/>
        </w:rPr>
        <w:t xml:space="preserve">köis </w:t>
      </w:r>
      <w:r w:rsidRPr="00FB4EFA">
        <w:rPr>
          <w:lang w:val="en-GB"/>
        </w:rPr>
        <w:t xml:space="preserve">‘rope’. While these diphthongs and vowel harmony are incompatible with Standard Estonian, they can </w:t>
      </w:r>
      <w:r w:rsidRPr="00FB4EFA">
        <w:rPr>
          <w:lang w:val="en-GB"/>
        </w:rPr>
        <w:lastRenderedPageBreak/>
        <w:t xml:space="preserve">easily be marked by means of the Estonian alphabet (unlike the glottal stop and [ɨ]). Another discussion was about how to mark retracted </w:t>
      </w:r>
      <w:r w:rsidRPr="00FB4EFA">
        <w:rPr>
          <w:i/>
          <w:iCs/>
          <w:lang w:val="en-GB"/>
        </w:rPr>
        <w:t>e</w:t>
      </w:r>
      <w:r w:rsidRPr="00FB4EFA">
        <w:rPr>
          <w:lang w:val="en-GB"/>
        </w:rPr>
        <w:t xml:space="preserve"> [</w:t>
      </w:r>
      <w:r w:rsidRPr="00FB4EFA">
        <w:rPr>
          <w:rFonts w:cs="Cambria"/>
          <w:lang w:val="en-GB"/>
        </w:rPr>
        <w:t>ǝ</w:t>
      </w:r>
      <w:r w:rsidRPr="00FB4EFA">
        <w:rPr>
          <w:lang w:val="en-GB"/>
        </w:rPr>
        <w:t xml:space="preserve">] at the end of a word: whether it should be marked with </w:t>
      </w:r>
      <w:r w:rsidRPr="00FB4EFA">
        <w:rPr>
          <w:i/>
          <w:iCs/>
          <w:lang w:val="en-GB"/>
        </w:rPr>
        <w:t xml:space="preserve">e </w:t>
      </w:r>
      <w:r w:rsidRPr="00FB4EFA">
        <w:rPr>
          <w:lang w:val="en-GB"/>
        </w:rPr>
        <w:t xml:space="preserve">or </w:t>
      </w:r>
      <w:r w:rsidRPr="00FB4EFA">
        <w:rPr>
          <w:i/>
          <w:iCs/>
          <w:lang w:val="en-GB"/>
        </w:rPr>
        <w:t xml:space="preserve">õ. </w:t>
      </w:r>
      <w:r w:rsidRPr="00FB4EFA">
        <w:rPr>
          <w:lang w:val="en-GB"/>
        </w:rPr>
        <w:t xml:space="preserve">The marking also reflects vowel harmony in Võro: if there is a back vowel in the initial syllable of a stem, it is mostly marked with </w:t>
      </w:r>
      <w:r w:rsidRPr="00FB4EFA">
        <w:rPr>
          <w:i/>
          <w:iCs/>
          <w:lang w:val="en-GB"/>
        </w:rPr>
        <w:t xml:space="preserve">õ, </w:t>
      </w:r>
      <w:r w:rsidRPr="00FB4EFA">
        <w:rPr>
          <w:lang w:val="en-GB"/>
        </w:rPr>
        <w:t xml:space="preserve">e.g., </w:t>
      </w:r>
      <w:r w:rsidRPr="00FB4EFA">
        <w:rPr>
          <w:i/>
          <w:iCs/>
          <w:lang w:val="en-GB"/>
        </w:rPr>
        <w:t xml:space="preserve">truksalõ </w:t>
      </w:r>
      <w:r w:rsidRPr="00FB4EFA">
        <w:rPr>
          <w:lang w:val="en-GB"/>
        </w:rPr>
        <w:t xml:space="preserve">‘vigorously, briskly’, cf. words with a front vowel in the initial syllable, e.g., </w:t>
      </w:r>
      <w:r w:rsidRPr="00FB4EFA">
        <w:rPr>
          <w:i/>
          <w:iCs/>
          <w:lang w:val="en-GB"/>
        </w:rPr>
        <w:t xml:space="preserve">tsärehele </w:t>
      </w:r>
      <w:r w:rsidRPr="00FB4EFA">
        <w:rPr>
          <w:lang w:val="en-GB"/>
        </w:rPr>
        <w:t>‘hotly, passionately’.</w:t>
      </w:r>
    </w:p>
    <w:p w14:paraId="77F09A70" w14:textId="77777777" w:rsidR="000B62E0" w:rsidRPr="00FB4EFA" w:rsidRDefault="000B62E0" w:rsidP="000B62E0">
      <w:pPr>
        <w:ind w:firstLine="720"/>
        <w:rPr>
          <w:lang w:val="en-GB"/>
        </w:rPr>
      </w:pPr>
      <w:r w:rsidRPr="00FB4EFA">
        <w:rPr>
          <w:lang w:val="en-GB"/>
        </w:rPr>
        <w:t>In conclusion, the liveliest discussion has arisen around linguistic properties which are either absent from Estonian or are used differently (cf. also Raag 2010: 140–143).</w:t>
      </w:r>
    </w:p>
    <w:p w14:paraId="6461A5D5" w14:textId="11A8B294" w:rsidR="000B62E0" w:rsidRPr="00FB4EFA" w:rsidRDefault="000B62E0" w:rsidP="00AF0CAD">
      <w:pPr>
        <w:pStyle w:val="Heading3"/>
        <w:numPr>
          <w:ilvl w:val="1"/>
          <w:numId w:val="6"/>
        </w:numPr>
      </w:pPr>
      <w:r w:rsidRPr="00FB4EFA">
        <w:t>How Võro resists the Standard Estonian orthography</w:t>
      </w:r>
    </w:p>
    <w:p w14:paraId="1123D2FE" w14:textId="7779D765" w:rsidR="000B62E0" w:rsidRPr="00FB4EFA" w:rsidRDefault="000B62E0" w:rsidP="000B62E0">
      <w:pPr>
        <w:rPr>
          <w:lang w:val="en-GB"/>
        </w:rPr>
      </w:pPr>
      <w:r w:rsidRPr="00FB4EFA">
        <w:rPr>
          <w:lang w:val="en-GB"/>
        </w:rPr>
        <w:t>The social recognition and reception of Võro orthography is influenced by Estonian status and corpus planning in general, especially by some specific orthographic and lexico-grammatical choices. To graphize Võro, all options proposed by orthographer-activists remained between two extremes: 1) maximally highlighting the differences between Standard Estonian and Võro by graphization and orthography, or 2) matching the new graphic representation with that of Standard Estonian. In this section, we give examples of the orthography of Standard Estonian being transferred to written Võro.</w:t>
      </w:r>
    </w:p>
    <w:p w14:paraId="2662225B" w14:textId="77777777" w:rsidR="000B62E0" w:rsidRPr="00FB4EFA" w:rsidRDefault="000B62E0" w:rsidP="00AF0CAD">
      <w:pPr>
        <w:ind w:firstLine="720"/>
        <w:rPr>
          <w:lang w:val="en-GB"/>
        </w:rPr>
      </w:pPr>
      <w:r w:rsidRPr="00FB4EFA">
        <w:rPr>
          <w:lang w:val="en-GB"/>
        </w:rPr>
        <w:t xml:space="preserve">Võro has a number of properties which do not correspond to the Standard Estonian orthography. For example, the affricate /ts/, subjected to quantity alternation, is graphized by either </w:t>
      </w:r>
      <w:r w:rsidRPr="00FB4EFA">
        <w:rPr>
          <w:i/>
          <w:iCs/>
          <w:lang w:val="en-GB"/>
        </w:rPr>
        <w:t>ts</w:t>
      </w:r>
      <w:r w:rsidRPr="00FB4EFA">
        <w:rPr>
          <w:lang w:val="en-GB"/>
        </w:rPr>
        <w:t xml:space="preserve"> or </w:t>
      </w:r>
      <w:r w:rsidRPr="00FB4EFA">
        <w:rPr>
          <w:i/>
          <w:iCs/>
          <w:lang w:val="en-GB"/>
        </w:rPr>
        <w:t>ds.</w:t>
      </w:r>
      <w:r w:rsidRPr="00FB4EFA">
        <w:rPr>
          <w:lang w:val="en-GB"/>
        </w:rPr>
        <w:t xml:space="preserve"> As a phoneme in Võro without a graphemic representation</w:t>
      </w:r>
      <w:r w:rsidRPr="00FB4EFA">
        <w:rPr>
          <w:rStyle w:val="FootnoteReference"/>
          <w:lang w:val="en-GB"/>
        </w:rPr>
        <w:footnoteReference w:id="117"/>
      </w:r>
      <w:r w:rsidRPr="00FB4EFA">
        <w:rPr>
          <w:lang w:val="en-GB"/>
        </w:rPr>
        <w:t xml:space="preserve">, /ts/ is differentiated from the consonant cluster /ts/ of Standard Estonian (Lippus 2005). According to the Standard Estonian orthography, the sequence </w:t>
      </w:r>
      <w:r w:rsidRPr="00FB4EFA">
        <w:rPr>
          <w:i/>
          <w:iCs/>
          <w:lang w:val="en-GB"/>
        </w:rPr>
        <w:t xml:space="preserve">ds </w:t>
      </w:r>
      <w:r w:rsidRPr="00FB4EFA">
        <w:rPr>
          <w:lang w:val="en-GB"/>
        </w:rPr>
        <w:t xml:space="preserve">represents incorrect spelling, yet it reflects the language system of Võro, e.g., </w:t>
      </w:r>
      <w:r w:rsidRPr="00FB4EFA">
        <w:rPr>
          <w:i/>
          <w:iCs/>
          <w:lang w:val="en-GB"/>
        </w:rPr>
        <w:t>mudsu</w:t>
      </w:r>
      <w:r w:rsidRPr="00FB4EFA">
        <w:rPr>
          <w:lang w:val="en-GB"/>
        </w:rPr>
        <w:t xml:space="preserve"> ‘mind’. It may be that users tend to avoid it in written Võro because of the Standard Estonian orthography acquired at school. For example, in a submission to </w:t>
      </w:r>
      <w:r w:rsidRPr="00FB4EFA">
        <w:rPr>
          <w:i/>
          <w:iCs/>
          <w:lang w:val="en-GB"/>
        </w:rPr>
        <w:t xml:space="preserve">Uma Leht </w:t>
      </w:r>
      <w:r w:rsidRPr="00FB4EFA">
        <w:rPr>
          <w:lang w:val="en-GB"/>
        </w:rPr>
        <w:t xml:space="preserve">(8 December 2015), the proof editor corrected the contributor’s original </w:t>
      </w:r>
      <w:r w:rsidRPr="00FB4EFA">
        <w:rPr>
          <w:i/>
          <w:iCs/>
          <w:lang w:val="en-GB"/>
        </w:rPr>
        <w:t xml:space="preserve">lõõtsamäng </w:t>
      </w:r>
      <w:r w:rsidRPr="00FB4EFA">
        <w:rPr>
          <w:lang w:val="en-GB"/>
        </w:rPr>
        <w:t>to</w:t>
      </w:r>
      <w:r w:rsidRPr="00FB4EFA">
        <w:rPr>
          <w:i/>
          <w:iCs/>
          <w:lang w:val="en-GB"/>
        </w:rPr>
        <w:t xml:space="preserve"> lõõdsamäng </w:t>
      </w:r>
      <w:r w:rsidRPr="00FB4EFA">
        <w:rPr>
          <w:lang w:val="en-GB"/>
        </w:rPr>
        <w:t>‘concertina music’. Examples like this demonstrate that people transfer the rules/norms of writing Estonian to Võro as well.</w:t>
      </w:r>
    </w:p>
    <w:p w14:paraId="1DCCCCDC" w14:textId="150C449F" w:rsidR="000B62E0" w:rsidRPr="00FB4EFA" w:rsidRDefault="000B62E0" w:rsidP="00AF0CAD">
      <w:pPr>
        <w:ind w:firstLine="720"/>
        <w:rPr>
          <w:lang w:val="en-GB"/>
        </w:rPr>
      </w:pPr>
      <w:r w:rsidRPr="00FB4EFA">
        <w:rPr>
          <w:lang w:val="en-GB"/>
        </w:rPr>
        <w:lastRenderedPageBreak/>
        <w:t xml:space="preserve">Another misalignment is with compound words. In Standard Estonian these constitute a single unit, and only the main part of the word (the last component of the compound word) is inflected; in Võro both the attributive part and the head are inflected: e.g., Est </w:t>
      </w:r>
      <w:r w:rsidRPr="00FB4EFA">
        <w:rPr>
          <w:i/>
          <w:iCs/>
          <w:lang w:val="en-GB"/>
        </w:rPr>
        <w:t xml:space="preserve">sügavkülm </w:t>
      </w:r>
      <w:r w:rsidRPr="00FB4EFA">
        <w:rPr>
          <w:lang w:val="en-GB"/>
        </w:rPr>
        <w:t xml:space="preserve">‘deep freezer’ (lit. ‘deep+cold’): </w:t>
      </w:r>
      <w:r w:rsidRPr="00FB4EFA">
        <w:rPr>
          <w:i/>
          <w:iCs/>
          <w:lang w:val="en-GB"/>
        </w:rPr>
        <w:t>sügavkülma</w:t>
      </w:r>
      <w:r w:rsidRPr="00FB4EFA">
        <w:rPr>
          <w:lang w:val="en-GB"/>
        </w:rPr>
        <w:t xml:space="preserve"> ‘deep-freezer.</w:t>
      </w:r>
      <w:r w:rsidRPr="00FB4EFA">
        <w:rPr>
          <w:smallCaps/>
          <w:lang w:val="en-GB"/>
        </w:rPr>
        <w:t>ill</w:t>
      </w:r>
      <w:r w:rsidRPr="00FB4EFA">
        <w:rPr>
          <w:lang w:val="en-GB"/>
        </w:rPr>
        <w:t>’ and V</w:t>
      </w:r>
      <w:r w:rsidR="00312ECF" w:rsidRPr="00FB4EFA">
        <w:rPr>
          <w:lang w:val="en-GB"/>
        </w:rPr>
        <w:t>õ</w:t>
      </w:r>
      <w:r w:rsidRPr="00FB4EFA">
        <w:rPr>
          <w:lang w:val="en-GB"/>
        </w:rPr>
        <w:t xml:space="preserve">ro </w:t>
      </w:r>
      <w:r w:rsidRPr="00FB4EFA">
        <w:rPr>
          <w:i/>
          <w:iCs/>
          <w:lang w:val="en-GB"/>
        </w:rPr>
        <w:t xml:space="preserve">sükävkülm </w:t>
      </w:r>
      <w:r w:rsidRPr="00FB4EFA">
        <w:rPr>
          <w:lang w:val="en-GB"/>
        </w:rPr>
        <w:t xml:space="preserve">‘deep-freezer’: </w:t>
      </w:r>
      <w:r w:rsidRPr="00FB4EFA">
        <w:rPr>
          <w:i/>
          <w:iCs/>
          <w:lang w:val="en-GB"/>
        </w:rPr>
        <w:t xml:space="preserve">sügävähekülmä </w:t>
      </w:r>
      <w:r w:rsidRPr="00FB4EFA">
        <w:rPr>
          <w:lang w:val="en-GB"/>
        </w:rPr>
        <w:t>‘deep-freezer.</w:t>
      </w:r>
      <w:r w:rsidRPr="00FB4EFA">
        <w:rPr>
          <w:smallCaps/>
          <w:lang w:val="en-GB"/>
        </w:rPr>
        <w:t>ill</w:t>
      </w:r>
      <w:r w:rsidRPr="00FB4EFA">
        <w:rPr>
          <w:lang w:val="en-GB"/>
        </w:rPr>
        <w:t>’ (lit. deep</w:t>
      </w:r>
      <w:r w:rsidR="00C42FA7" w:rsidRPr="00FB4EFA">
        <w:rPr>
          <w:lang w:val="en-GB"/>
        </w:rPr>
        <w:t>:</w:t>
      </w:r>
      <w:r w:rsidRPr="00FB4EFA">
        <w:rPr>
          <w:smallCaps/>
          <w:lang w:val="en-GB"/>
        </w:rPr>
        <w:t>ill</w:t>
      </w:r>
      <w:r w:rsidRPr="00FB4EFA">
        <w:rPr>
          <w:lang w:val="en-GB"/>
        </w:rPr>
        <w:t>+cold.</w:t>
      </w:r>
      <w:r w:rsidRPr="00FB4EFA">
        <w:rPr>
          <w:smallCaps/>
          <w:lang w:val="en-GB"/>
        </w:rPr>
        <w:t>ill</w:t>
      </w:r>
      <w:r w:rsidRPr="00FB4EFA">
        <w:rPr>
          <w:lang w:val="en-GB"/>
        </w:rPr>
        <w:t xml:space="preserve">’). According to the Standard Estonian norms, an adjective and </w:t>
      </w:r>
      <w:r w:rsidR="007F30A7" w:rsidRPr="00FB4EFA">
        <w:rPr>
          <w:lang w:val="en-GB"/>
        </w:rPr>
        <w:t xml:space="preserve">a </w:t>
      </w:r>
      <w:r w:rsidRPr="00FB4EFA">
        <w:rPr>
          <w:lang w:val="en-GB"/>
        </w:rPr>
        <w:t xml:space="preserve">noun that both inflect are written separately. Hence, some people tend to write uninflected words as one unit, but inflected words as two units, in Võro as well. However, in some cases the meaning changes when an inflected compound word is written as two words: cf. </w:t>
      </w:r>
      <w:r w:rsidR="004166CB" w:rsidRPr="00FB4EFA">
        <w:rPr>
          <w:lang w:val="en-GB"/>
        </w:rPr>
        <w:br/>
      </w:r>
      <w:r w:rsidRPr="00FB4EFA">
        <w:rPr>
          <w:i/>
          <w:iCs/>
          <w:lang w:val="en-GB"/>
        </w:rPr>
        <w:t>vannaimmä</w:t>
      </w:r>
      <w:r w:rsidRPr="00FB4EFA">
        <w:rPr>
          <w:lang w:val="en-GB"/>
        </w:rPr>
        <w:t xml:space="preserve"> ‘grandmother.</w:t>
      </w:r>
      <w:r w:rsidRPr="00FB4EFA">
        <w:rPr>
          <w:smallCaps/>
          <w:lang w:val="en-GB"/>
        </w:rPr>
        <w:t>prt</w:t>
      </w:r>
      <w:r w:rsidRPr="00FB4EFA">
        <w:rPr>
          <w:lang w:val="en-GB"/>
        </w:rPr>
        <w:t xml:space="preserve">’ ‘grandmother’, but </w:t>
      </w:r>
      <w:r w:rsidRPr="00FB4EFA">
        <w:rPr>
          <w:i/>
          <w:iCs/>
          <w:lang w:val="en-GB"/>
        </w:rPr>
        <w:t xml:space="preserve">vanna immä </w:t>
      </w:r>
      <w:r w:rsidRPr="00FB4EFA">
        <w:rPr>
          <w:lang w:val="en-GB"/>
        </w:rPr>
        <w:t>‘old.</w:t>
      </w:r>
      <w:r w:rsidRPr="00FB4EFA">
        <w:rPr>
          <w:smallCaps/>
          <w:lang w:val="en-GB"/>
        </w:rPr>
        <w:t>prt</w:t>
      </w:r>
      <w:r w:rsidRPr="00FB4EFA">
        <w:rPr>
          <w:lang w:val="en-GB"/>
        </w:rPr>
        <w:t xml:space="preserve"> mother.</w:t>
      </w:r>
      <w:r w:rsidRPr="00FB4EFA">
        <w:rPr>
          <w:smallCaps/>
          <w:lang w:val="en-GB"/>
        </w:rPr>
        <w:t>prt</w:t>
      </w:r>
      <w:r w:rsidRPr="00FB4EFA">
        <w:rPr>
          <w:lang w:val="en-GB"/>
        </w:rPr>
        <w:t>’ ‘old mother’.</w:t>
      </w:r>
    </w:p>
    <w:p w14:paraId="54DBD88E" w14:textId="77777777" w:rsidR="000B62E0" w:rsidRPr="00FB4EFA" w:rsidRDefault="000B62E0" w:rsidP="00545033">
      <w:pPr>
        <w:pStyle w:val="Heading2"/>
        <w:numPr>
          <w:ilvl w:val="0"/>
          <w:numId w:val="6"/>
        </w:numPr>
        <w:suppressAutoHyphens/>
        <w:rPr>
          <w:color w:val="auto"/>
        </w:rPr>
      </w:pPr>
      <w:r w:rsidRPr="00FB4EFA">
        <w:rPr>
          <w:color w:val="auto"/>
        </w:rPr>
        <w:t>The cultivation of the new Standard: The Võro Movement and its agenda</w:t>
      </w:r>
    </w:p>
    <w:p w14:paraId="110FA81D" w14:textId="3B046B6C" w:rsidR="000B62E0" w:rsidRPr="00FB4EFA" w:rsidRDefault="000B62E0" w:rsidP="00AF0CAD">
      <w:pPr>
        <w:rPr>
          <w:lang w:val="en-GB"/>
        </w:rPr>
      </w:pPr>
      <w:r w:rsidRPr="00FB4EFA">
        <w:rPr>
          <w:lang w:val="en-GB"/>
        </w:rPr>
        <w:t xml:space="preserve">Three groups of participants have been identified in the voluntary stage of language management: “the activists who are would-be managers, the other speakers of the target language (and of other languages) that they wish to enlist or persuade to join them, and the established authority they would like to take over the task of management” (Spolsky 2009: 184–185). Since the late 1980s, with the national re-awakening in Estonia, a group of Võro speakers took up the mission of reversing the language shift from Estonian-Võro bilingualism to Estonian monolingualism. Simultaneously, the revival of a Tartu-based literary language was harnessed as a writing tradition for the Võro-speaking area (Raag 2010). The impetus for language activism came from the general liberalization of society following the disintegration of the Soviet Union, incl. the pluralization of language ideologies (cf. Hennoste 1999). A group of activist speakers soon came to be labelled as the Võro Movement, which was positioned as a heritage preservationist, cultural-regionalist collective action challenging both political centralism and Estonian linguistic authoritarianism (Kansui 1999; Raag 1999, 2010). Some of the language activism was channelled into the establishment of a state (funded) research and development institution, the Võro Institute (VI) (est. 1995). On </w:t>
      </w:r>
      <w:r w:rsidR="00412080" w:rsidRPr="00FB4EFA">
        <w:rPr>
          <w:lang w:val="en-GB"/>
        </w:rPr>
        <w:t xml:space="preserve">the </w:t>
      </w:r>
      <w:r w:rsidRPr="00FB4EFA">
        <w:rPr>
          <w:lang w:val="en-GB"/>
        </w:rPr>
        <w:t xml:space="preserve">one </w:t>
      </w:r>
      <w:r w:rsidRPr="00FB4EFA">
        <w:rPr>
          <w:lang w:val="en-GB"/>
        </w:rPr>
        <w:lastRenderedPageBreak/>
        <w:t>hand, VI functions as the institutional home of language activism, and on the other hand, it also operates as a state-funded research and development institution responsible for both linguistic research and LPP. But, as is common for minorized (oral) varieties</w:t>
      </w:r>
      <w:r w:rsidRPr="00FB4EFA">
        <w:rPr>
          <w:i/>
          <w:iCs/>
          <w:lang w:val="en-GB"/>
        </w:rPr>
        <w:t>,</w:t>
      </w:r>
      <w:r w:rsidRPr="00FB4EFA">
        <w:rPr>
          <w:lang w:val="en-GB"/>
        </w:rPr>
        <w:t xml:space="preserve"> none of the policy actors have “explicitly-recognized hegemony over the definition of the community’s norm” (Silverstein 1996: 285–286); neither did the VI. Its activities also remained at odds with the Estonian language laws (1995, 2011), which secured the official position of Estonian, but only remotely addressed Estonian regional varieties by considering them a part of the generic Estonian language (Meiorg 2012). While activists were lobbying for legislative change with a proposal to recognize South Estonian (incl. Võro) as a language in 2004 (Koreinik 2011), the legal status of regional varieties remained unchanged. One reason it was denied the status of a language was fear that the Võro Movement would go beyond the goal of linguistic emancipation, as ethnic activists were “challenging traditional concepts of the Estonian nation” (Jääts 2015: 243).</w:t>
      </w:r>
    </w:p>
    <w:p w14:paraId="20B122ED" w14:textId="6E0A9C54" w:rsidR="000B62E0" w:rsidRPr="00FB4EFA" w:rsidRDefault="000B62E0" w:rsidP="000B62E0">
      <w:pPr>
        <w:ind w:firstLine="720"/>
        <w:rPr>
          <w:lang w:val="en-GB"/>
        </w:rPr>
      </w:pPr>
      <w:r w:rsidRPr="00FB4EFA">
        <w:rPr>
          <w:lang w:val="en-GB"/>
        </w:rPr>
        <w:t>In fact, the activists’ agenda did involve more than the standardization of Võro and extending its language domains (see below Eller &amp; Kama 1988; Help 1990). Among the intellectuals of the regionalism movement, two types of claims prevailed (Kansui 1999). First, there were those who insisted the Võro people (=</w:t>
      </w:r>
      <w:r w:rsidR="007F30A7" w:rsidRPr="00FB4EFA">
        <w:rPr>
          <w:lang w:val="en-GB"/>
        </w:rPr>
        <w:t xml:space="preserve"> </w:t>
      </w:r>
      <w:r w:rsidRPr="00FB4EFA">
        <w:rPr>
          <w:lang w:val="en-GB"/>
        </w:rPr>
        <w:t xml:space="preserve">speakers) as a minority should show solidarity with other Finno-Ugric minorities, particularly in Russia. Their intention was to put the Võro language on an equal footing with Estonian by establishing a new orthography. However, their strategy seemed to be too radical for local people as the suggestions for the new standard (incl. orthography) were perceived inauthentic because it was a compromise above areal variation which did not always correspond to particular variants or idiolects. Moreover, the implementation of a new orthography also raised questions about the (legal) status of Võro. </w:t>
      </w:r>
      <w:r w:rsidR="000E4CB7" w:rsidRPr="00FB4EFA">
        <w:rPr>
          <w:lang w:val="en-GB"/>
        </w:rPr>
        <w:t>Also</w:t>
      </w:r>
      <w:r w:rsidRPr="00FB4EFA">
        <w:rPr>
          <w:lang w:val="en-GB"/>
        </w:rPr>
        <w:t>, the advocates of “subnationality” of Estonians and Võro as a regional language wanted to intensify the feeling of local pride and targeted locals who “feel more Estonian than Estonians proper”. Neither claim included demands for either independence or autonomy; they can be characteri</w:t>
      </w:r>
      <w:r w:rsidR="008C4F74" w:rsidRPr="00FB4EFA">
        <w:rPr>
          <w:lang w:val="en-GB"/>
        </w:rPr>
        <w:t>z</w:t>
      </w:r>
      <w:r w:rsidRPr="00FB4EFA">
        <w:rPr>
          <w:lang w:val="en-GB"/>
        </w:rPr>
        <w:t xml:space="preserve">ed as “quiet” movements which lack the surge of popular interest (ibid.). Later, when examining Võro ethnic mobilization through the prism of ethnicity- and language-related questions in the 2011 census, </w:t>
      </w:r>
      <w:r w:rsidRPr="00FB4EFA">
        <w:rPr>
          <w:lang w:val="en-GB"/>
        </w:rPr>
        <w:lastRenderedPageBreak/>
        <w:t>Jääts (2015) identified two different attitudes, conservative and liberal, among Võro speakers and speakers of other non-standard varieties. He labelled the former as parochial patriots who regard local speech as a dialect of Estonian; the latter were seen to be sympathetic to the aspiration of ethnic movements and tend to be critical of the domination of an all-Estonian identity and the Standard Estonian language (ibid. 245–246).</w:t>
      </w:r>
    </w:p>
    <w:p w14:paraId="46958F07" w14:textId="4640B74B" w:rsidR="000B62E0" w:rsidRPr="00FB4EFA" w:rsidRDefault="000B62E0" w:rsidP="000B62E0">
      <w:pPr>
        <w:ind w:firstLine="720"/>
        <w:rPr>
          <w:lang w:val="en-GB"/>
        </w:rPr>
      </w:pPr>
      <w:r w:rsidRPr="00FB4EFA">
        <w:rPr>
          <w:lang w:val="en-GB"/>
        </w:rPr>
        <w:t>Nevertheless, the vitality of Võro seems to depend not on “historic-linguistic separatism” these days (cf. Ehala 2007), but rather on the trade-off between maximi</w:t>
      </w:r>
      <w:r w:rsidR="001C0E73" w:rsidRPr="00FB4EFA">
        <w:rPr>
          <w:lang w:val="en-GB"/>
        </w:rPr>
        <w:t>z</w:t>
      </w:r>
      <w:r w:rsidRPr="00FB4EFA">
        <w:rPr>
          <w:lang w:val="en-GB"/>
        </w:rPr>
        <w:t>ing linguistic reach via learning global languages such as English and the intergenerational transmission of identity narratives via local languages such as Võro (cf. Weinstock 2014).</w:t>
      </w:r>
    </w:p>
    <w:p w14:paraId="729CCA78" w14:textId="0D38F405" w:rsidR="000B62E0" w:rsidRPr="00FB4EFA" w:rsidRDefault="000B62E0" w:rsidP="00AF0CAD">
      <w:pPr>
        <w:pStyle w:val="Heading3"/>
        <w:numPr>
          <w:ilvl w:val="1"/>
          <w:numId w:val="6"/>
        </w:numPr>
      </w:pPr>
      <w:r w:rsidRPr="00FB4EFA">
        <w:t>The graphization debate in the late 1980s and 1990s: pro and contra phonetism</w:t>
      </w:r>
    </w:p>
    <w:p w14:paraId="04105003" w14:textId="46560333" w:rsidR="000B62E0" w:rsidRPr="00FB4EFA" w:rsidRDefault="000B62E0" w:rsidP="000B62E0">
      <w:pPr>
        <w:rPr>
          <w:lang w:val="en-GB"/>
        </w:rPr>
      </w:pPr>
      <w:r w:rsidRPr="00FB4EFA">
        <w:rPr>
          <w:lang w:val="en-GB"/>
        </w:rPr>
        <w:t>Given the political nature of standardization, it can be expected that</w:t>
      </w:r>
      <w:r w:rsidRPr="00FB4EFA">
        <w:rPr>
          <w:shd w:val="clear" w:color="auto" w:fill="FFFFFF"/>
          <w:lang w:val="en-GB"/>
        </w:rPr>
        <w:t xml:space="preserve"> “revisions </w:t>
      </w:r>
      <w:r w:rsidRPr="00FB4EFA">
        <w:rPr>
          <w:lang w:val="en-GB"/>
        </w:rPr>
        <w:t>of existing orthographies or new competing orthographies are almost certain to lead to division within the community, even where the existing system(s) may be problematic” (Bradley 2010: 137). Metaphorically described as Brownian motion (Tender &amp; Kasak 1995; Tender et al. 1996)</w:t>
      </w:r>
      <w:r w:rsidR="00412080" w:rsidRPr="00FB4EFA">
        <w:rPr>
          <w:lang w:val="en-GB"/>
        </w:rPr>
        <w:t>,</w:t>
      </w:r>
      <w:r w:rsidRPr="00FB4EFA">
        <w:rPr>
          <w:lang w:val="en-GB"/>
        </w:rPr>
        <w:t xml:space="preserve"> where everyone used her/his own orthography, the cultivators of Võro orthography admitted having similar problems to other new standards (Kama 2005). While their main task was to “upgrade” a dialect to a language, a plethora of graphic representations appeared in the late 1980s and early 1990s. Generally, the graphization debate was split between two camps: those for and against phonetism. Moreover, users of the standard were also imagined or discursively constructed as native speakers.</w:t>
      </w:r>
    </w:p>
    <w:p w14:paraId="00DA44A8" w14:textId="77777777" w:rsidR="000B62E0" w:rsidRPr="00FB4EFA" w:rsidRDefault="000B62E0" w:rsidP="00AF0CAD">
      <w:pPr>
        <w:ind w:firstLine="720"/>
        <w:rPr>
          <w:lang w:val="en-GB"/>
        </w:rPr>
      </w:pPr>
      <w:r w:rsidRPr="00FB4EFA">
        <w:rPr>
          <w:lang w:val="en-GB"/>
        </w:rPr>
        <w:t xml:space="preserve">For cultivating a (new) South Estonian orthography, Toomas Help, a linguist by training and proponent of phonetism, admitted that codifying a dialect is greatly different from a language. For him, a language was an autonomous entity. To cultivate the Võro language as a full-fledged language, he envisaged a bold project involving one-to-one graphic representation. Nevertheless, he admitted that people educated in Standard Estonian would cope better with text that complies with their acquired understanding of rules for writing (Help 1990: 62). Yet his own graphization choices included the innovative representation of affricates </w:t>
      </w:r>
      <w:r w:rsidRPr="00FB4EFA">
        <w:rPr>
          <w:lang w:val="en-GB"/>
        </w:rPr>
        <w:lastRenderedPageBreak/>
        <w:t>(</w:t>
      </w:r>
      <w:r w:rsidRPr="00FB4EFA">
        <w:rPr>
          <w:i/>
          <w:iCs/>
          <w:lang w:val="en-GB"/>
        </w:rPr>
        <w:t>c, dz</w:t>
      </w:r>
      <w:r w:rsidRPr="00FB4EFA">
        <w:rPr>
          <w:lang w:val="en-GB"/>
        </w:rPr>
        <w:t>) and the glottal stop (</w:t>
      </w:r>
      <w:r w:rsidRPr="00FB4EFA">
        <w:rPr>
          <w:i/>
          <w:iCs/>
          <w:lang w:val="en-GB"/>
        </w:rPr>
        <w:t>q</w:t>
      </w:r>
      <w:r w:rsidRPr="00FB4EFA">
        <w:rPr>
          <w:lang w:val="en-GB"/>
        </w:rPr>
        <w:t>) (see Table 1). He also highlighted the identity aspects of a new orthography: the new orthography, free from inappropriate Estonianisms, might become a symbol to boost Võro speakers’ confidence. Archaic forms, rather than newer, sometimes contact-induced forms, were meant to help construct a language.</w:t>
      </w:r>
    </w:p>
    <w:p w14:paraId="50889209" w14:textId="653283ED" w:rsidR="000B62E0" w:rsidRPr="00FB4EFA" w:rsidRDefault="000B62E0" w:rsidP="00AF0CAD">
      <w:pPr>
        <w:ind w:firstLine="720"/>
        <w:rPr>
          <w:lang w:val="en-GB"/>
        </w:rPr>
      </w:pPr>
      <w:r w:rsidRPr="00FB4EFA">
        <w:rPr>
          <w:lang w:val="en-GB"/>
        </w:rPr>
        <w:t>Unlike Help, language activists Kalle Eller and Kaido Kama (1988: 1272–1274), used two traditional systems as their point</w:t>
      </w:r>
      <w:r w:rsidR="00412080" w:rsidRPr="00FB4EFA">
        <w:rPr>
          <w:lang w:val="en-GB"/>
        </w:rPr>
        <w:t>s</w:t>
      </w:r>
      <w:r w:rsidRPr="00FB4EFA">
        <w:rPr>
          <w:lang w:val="en-GB"/>
        </w:rPr>
        <w:t xml:space="preserve"> of departure: earlier South Estonian (i.e., Tartu-based spelling system) and the (North) Estonian-Finnish orthographic traditions. According to them, the Modern Estonian standard, with its “dotted” letters (e.g., </w:t>
      </w:r>
      <w:r w:rsidRPr="00FB4EFA">
        <w:rPr>
          <w:i/>
          <w:iCs/>
          <w:lang w:val="en-GB"/>
        </w:rPr>
        <w:t>õ</w:t>
      </w:r>
      <w:r w:rsidRPr="00FB4EFA">
        <w:rPr>
          <w:lang w:val="en-GB"/>
        </w:rPr>
        <w:t xml:space="preserve">, </w:t>
      </w:r>
      <w:r w:rsidRPr="00FB4EFA">
        <w:rPr>
          <w:i/>
          <w:iCs/>
          <w:lang w:val="en-GB"/>
        </w:rPr>
        <w:t>ä</w:t>
      </w:r>
      <w:r w:rsidRPr="00FB4EFA">
        <w:rPr>
          <w:lang w:val="en-GB"/>
        </w:rPr>
        <w:t xml:space="preserve">, </w:t>
      </w:r>
      <w:r w:rsidRPr="00FB4EFA">
        <w:rPr>
          <w:i/>
          <w:iCs/>
          <w:lang w:val="en-GB"/>
        </w:rPr>
        <w:t>ö</w:t>
      </w:r>
      <w:r w:rsidRPr="00FB4EFA">
        <w:rPr>
          <w:lang w:val="en-GB"/>
        </w:rPr>
        <w:t xml:space="preserve">, </w:t>
      </w:r>
      <w:r w:rsidRPr="00FB4EFA">
        <w:rPr>
          <w:i/>
          <w:iCs/>
          <w:lang w:val="en-GB"/>
        </w:rPr>
        <w:t>ü</w:t>
      </w:r>
      <w:r w:rsidRPr="00FB4EFA">
        <w:rPr>
          <w:lang w:val="en-GB"/>
        </w:rPr>
        <w:t>) is more or less at the limit of tolerance for the Latin alphabet (Eller &amp; Kama 1988). They were seconded by another man of letters, Ain Kaalep, who had endorsed similar ideas earlier by suggesting limiting the use of diacritics and comparing earlier graphization proposals to the Vietnamese orthographic system (Kaalep 1988: 52–53). These opponents of phonetism had observed a tendency toward greater phonetic precision in graphization, seen as marking “the slightest phonetic difference” from North Estonian in the written use of South Estonian in the 20</w:t>
      </w:r>
      <w:r w:rsidRPr="00FB4EFA">
        <w:rPr>
          <w:vertAlign w:val="superscript"/>
          <w:lang w:val="en-GB"/>
        </w:rPr>
        <w:t>th</w:t>
      </w:r>
      <w:r w:rsidRPr="00FB4EFA">
        <w:rPr>
          <w:lang w:val="en-GB"/>
        </w:rPr>
        <w:t xml:space="preserve"> century (Eller &amp; Kama 1988: 1272). They claimed an “elitist” orthography “supersaturated with almost phonetic transcriptions” would counteract massive literacy in South Estonian, as it would be rejected by potential users (ibid. 1274). However, potential users excluded North Estonians</w:t>
      </w:r>
      <w:r w:rsidR="00E07268" w:rsidRPr="00FB4EFA">
        <w:rPr>
          <w:lang w:val="en-GB"/>
        </w:rPr>
        <w:t>:</w:t>
      </w:r>
      <w:r w:rsidRPr="00FB4EFA">
        <w:rPr>
          <w:lang w:val="en-GB"/>
        </w:rPr>
        <w:t xml:space="preserve"> Eller and Kama (1988) doubted whether any orthography could help non-native speakers pronounce Võro correctly; meanwhile, South Estonian native speakers pronounce things correctly anyway. By positioning/configuring the users, they ruled out the possibility of language transfer: Võro (orthography) was mainly intended for fluent L1 speakers, but not for those who are willing to advance their language skills.</w:t>
      </w:r>
    </w:p>
    <w:p w14:paraId="1E0444AF" w14:textId="6EB6696E" w:rsidR="00C20091" w:rsidRPr="00FB4EFA" w:rsidRDefault="000B62E0" w:rsidP="00AF0CAD">
      <w:pPr>
        <w:ind w:firstLine="720"/>
        <w:rPr>
          <w:lang w:val="en-GB"/>
        </w:rPr>
      </w:pPr>
      <w:r w:rsidRPr="00FB4EFA">
        <w:rPr>
          <w:lang w:val="en-GB"/>
        </w:rPr>
        <w:t>Table 1 reviews different orthographies which have been proposed. Two graphizations, one from 1904 and the Standard Estonian orthography, serve as the point of reference for the rest. There is an explicit dialectic toward less complex, but also less phonetic, orthographies. Earlier orthographies, too radical and complex to find users outside the working group of linguists, formed the basis for follow-ups (Raag 2010). For example, Help’s orthography (1990), was first replaced by the Kuutsi (1992) system and then by a new spelling system (1995). Some graph</w:t>
      </w:r>
      <w:r w:rsidRPr="00FB4EFA">
        <w:rPr>
          <w:lang w:val="en-GB"/>
        </w:rPr>
        <w:lastRenderedPageBreak/>
        <w:t>emes such as &lt;c&gt;, &lt;z&gt;, &lt;x&gt;, and &lt;w&gt;, considered foreign in the Standard Estonian alphabet, were gradually abandoned by the working group. Some others such as &lt;</w:t>
      </w:r>
      <w:r w:rsidRPr="00FB4EFA">
        <w:rPr>
          <w:iCs/>
          <w:lang w:val="en-GB"/>
        </w:rPr>
        <w:t>y&gt;</w:t>
      </w:r>
      <w:r w:rsidRPr="00FB4EFA">
        <w:rPr>
          <w:lang w:val="en-GB"/>
        </w:rPr>
        <w:t xml:space="preserve"> and &lt;</w:t>
      </w:r>
      <w:r w:rsidRPr="00FB4EFA">
        <w:rPr>
          <w:iCs/>
          <w:lang w:val="en-GB"/>
        </w:rPr>
        <w:t>q&gt;</w:t>
      </w:r>
      <w:r w:rsidRPr="00FB4EFA">
        <w:rPr>
          <w:lang w:val="en-GB"/>
        </w:rPr>
        <w:t xml:space="preserve"> were kept, mainly due to one-to-one phonetic correspondence, but also for technical reasons: with existing fonts and keyboard settings, the texts in Võro were easy to reproduce. For marking palatalization, no agreement was reached (Raag 2010: 141). While some still use &lt;</w:t>
      </w:r>
      <w:r w:rsidRPr="00FB4EFA">
        <w:rPr>
          <w:iCs/>
          <w:lang w:val="en-GB"/>
        </w:rPr>
        <w:t>j&gt;</w:t>
      </w:r>
      <w:r w:rsidRPr="00FB4EFA">
        <w:rPr>
          <w:lang w:val="en-GB"/>
        </w:rPr>
        <w:t xml:space="preserve"> for palatalized consonants (V</w:t>
      </w:r>
      <w:r w:rsidR="00312ECF" w:rsidRPr="00FB4EFA">
        <w:rPr>
          <w:lang w:val="en-GB"/>
        </w:rPr>
        <w:t>õ</w:t>
      </w:r>
      <w:r w:rsidRPr="00FB4EFA">
        <w:rPr>
          <w:lang w:val="en-GB"/>
        </w:rPr>
        <w:t xml:space="preserve">ro </w:t>
      </w:r>
      <w:r w:rsidRPr="00FB4EFA">
        <w:rPr>
          <w:i/>
          <w:iCs/>
          <w:lang w:val="en-GB"/>
        </w:rPr>
        <w:t>sjoo</w:t>
      </w:r>
      <w:r w:rsidRPr="00FB4EFA">
        <w:rPr>
          <w:lang w:val="en-GB"/>
        </w:rPr>
        <w:t xml:space="preserve"> ‘that’)</w:t>
      </w:r>
      <w:r w:rsidRPr="00FB4EFA">
        <w:rPr>
          <w:rStyle w:val="FootnoteReference"/>
          <w:lang w:val="en-GB"/>
        </w:rPr>
        <w:footnoteReference w:id="118"/>
      </w:r>
      <w:r w:rsidRPr="00FB4EFA">
        <w:rPr>
          <w:lang w:val="en-GB"/>
        </w:rPr>
        <w:t>, others write an apostrophe or an acute accent after the respective letter. Both the latter options split the written word, which eventually led to the development and introduction of a Võro font in 1999. The font exploits the classic typefaces Times New Roman and Arial and can be downloaded from the web. However, we have observed that it is not widely used because, to be effective, both the sending and the receiving end must have the font installed. Furthermore, it is not compatible with or supported by Unicode.</w:t>
      </w:r>
    </w:p>
    <w:p w14:paraId="750FE722" w14:textId="77777777" w:rsidR="00C20091" w:rsidRPr="00FB4EFA" w:rsidRDefault="00C20091">
      <w:pPr>
        <w:spacing w:after="160"/>
        <w:jc w:val="left"/>
        <w:rPr>
          <w:lang w:val="en-GB"/>
        </w:rPr>
      </w:pPr>
      <w:r w:rsidRPr="00FB4EFA">
        <w:rPr>
          <w:lang w:val="en-GB"/>
        </w:rPr>
        <w:br w:type="page"/>
      </w:r>
    </w:p>
    <w:p w14:paraId="53642D15" w14:textId="46563922" w:rsidR="00C20091" w:rsidRPr="00FB4EFA" w:rsidRDefault="00C20091" w:rsidP="0018183D">
      <w:pPr>
        <w:spacing w:after="160"/>
        <w:jc w:val="center"/>
        <w:rPr>
          <w:lang w:val="en-GB"/>
        </w:rPr>
      </w:pPr>
      <w:r w:rsidRPr="00FB4EFA">
        <w:rPr>
          <w:lang w:val="en-GB"/>
        </w:rPr>
        <w:lastRenderedPageBreak/>
        <w:br w:type="page"/>
      </w:r>
    </w:p>
    <w:p w14:paraId="1E5553DA" w14:textId="28D1A452" w:rsidR="000B62E0" w:rsidRPr="00FB4EFA" w:rsidRDefault="000B62E0" w:rsidP="00AF0CAD">
      <w:pPr>
        <w:rPr>
          <w:lang w:val="en-GB"/>
        </w:rPr>
      </w:pPr>
      <w:r w:rsidRPr="00FB4EFA">
        <w:rPr>
          <w:lang w:val="en-GB"/>
        </w:rPr>
        <w:lastRenderedPageBreak/>
        <w:t xml:space="preserve">Despite all the differences in opinion within the circle of linguists and activists, a new spelling based on a compromise (1994/1995) reached wider readership via popular almanacs, school readers, and the first Võro-language periodical (print) media platform </w:t>
      </w:r>
      <w:r w:rsidRPr="00FB4EFA">
        <w:rPr>
          <w:i/>
          <w:iCs/>
          <w:lang w:val="en-GB"/>
        </w:rPr>
        <w:t>Uma Leht</w:t>
      </w:r>
      <w:r w:rsidRPr="00FB4EFA">
        <w:rPr>
          <w:lang w:val="en-GB"/>
        </w:rPr>
        <w:t xml:space="preserve"> (est. 2000) </w:t>
      </w:r>
      <w:r w:rsidR="004166CB" w:rsidRPr="00FB4EFA">
        <w:rPr>
          <w:lang w:val="en-GB"/>
        </w:rPr>
        <w:br/>
      </w:r>
      <w:r w:rsidRPr="00FB4EFA">
        <w:rPr>
          <w:lang w:val="en-GB"/>
        </w:rPr>
        <w:t>(cf. Raag 2010: 143).</w:t>
      </w:r>
    </w:p>
    <w:p w14:paraId="4A7EA06C" w14:textId="509F2B46" w:rsidR="000B62E0" w:rsidRPr="00FB4EFA" w:rsidRDefault="000B62E0" w:rsidP="00AF0CAD">
      <w:pPr>
        <w:pStyle w:val="Heading3"/>
        <w:numPr>
          <w:ilvl w:val="1"/>
          <w:numId w:val="6"/>
        </w:numPr>
      </w:pPr>
      <w:r w:rsidRPr="00FB4EFA">
        <w:t>The debate continues in the 21</w:t>
      </w:r>
      <w:r w:rsidRPr="00FB4EFA">
        <w:rPr>
          <w:vertAlign w:val="superscript"/>
        </w:rPr>
        <w:t>st</w:t>
      </w:r>
      <w:r w:rsidRPr="00FB4EFA">
        <w:t xml:space="preserve"> century: the focus on the under- and overrepresentation of the glottal stop in print media</w:t>
      </w:r>
    </w:p>
    <w:p w14:paraId="76DD1AFC" w14:textId="38398203" w:rsidR="000B62E0" w:rsidRPr="00FB4EFA" w:rsidRDefault="000B62E0" w:rsidP="00AF0CAD">
      <w:pPr>
        <w:spacing w:after="240"/>
        <w:rPr>
          <w:lang w:val="en-GB"/>
        </w:rPr>
      </w:pPr>
      <w:r w:rsidRPr="00FB4EFA">
        <w:rPr>
          <w:lang w:val="en-GB"/>
        </w:rPr>
        <w:t xml:space="preserve">The local bimonthly </w:t>
      </w:r>
      <w:r w:rsidRPr="00FB4EFA">
        <w:rPr>
          <w:i/>
          <w:iCs/>
          <w:lang w:val="en-GB"/>
        </w:rPr>
        <w:t>Uma Leht</w:t>
      </w:r>
      <w:r w:rsidRPr="00FB4EFA">
        <w:rPr>
          <w:lang w:val="en-GB"/>
        </w:rPr>
        <w:t xml:space="preserve"> (UL, est. 2000) has become a popular Võro-language news outlet, especially for older speakers who follow traditional paper media</w:t>
      </w:r>
      <w:r w:rsidRPr="00FB4EFA">
        <w:rPr>
          <w:i/>
          <w:iCs/>
          <w:lang w:val="en-GB"/>
        </w:rPr>
        <w:t xml:space="preserve">. </w:t>
      </w:r>
      <w:r w:rsidRPr="00FB4EFA">
        <w:rPr>
          <w:lang w:val="en-GB"/>
        </w:rPr>
        <w:t xml:space="preserve">It effectively tested the social acceptance of the new spelling (from 1995). The editorial decision of the newspaper at its founding was to use the new spelling, which differed from Standard Estonian orthography in the use of the grapheme &lt;q&gt; to mark a glottal stop, &lt;y&gt; </w:t>
      </w:r>
      <w:r w:rsidR="00412080" w:rsidRPr="00FB4EFA">
        <w:rPr>
          <w:lang w:val="en-GB"/>
        </w:rPr>
        <w:t>to mark</w:t>
      </w:r>
      <w:r w:rsidRPr="00FB4EFA">
        <w:rPr>
          <w:lang w:val="en-GB"/>
        </w:rPr>
        <w:t xml:space="preserve"> a raised mid-vowel, and </w:t>
      </w:r>
      <w:r w:rsidR="00412080" w:rsidRPr="00FB4EFA">
        <w:rPr>
          <w:lang w:val="en-GB"/>
        </w:rPr>
        <w:t>an</w:t>
      </w:r>
      <w:r w:rsidRPr="00FB4EFA">
        <w:rPr>
          <w:lang w:val="en-GB"/>
        </w:rPr>
        <w:t xml:space="preserve"> apostrophe to mark palatalization</w:t>
      </w:r>
      <w:r w:rsidRPr="00FB4EFA">
        <w:rPr>
          <w:rStyle w:val="FootnoteReference"/>
          <w:lang w:val="en-GB"/>
        </w:rPr>
        <w:footnoteReference w:id="119"/>
      </w:r>
      <w:r w:rsidRPr="00FB4EFA">
        <w:rPr>
          <w:lang w:val="en-GB"/>
        </w:rPr>
        <w:t>. Nevertheless, the editorial policy has always been to allow its authors the freedom to choose their preferred orthography. Yet again, in its first issue, the key graphization choices were identified in a column on ‘how to write’ (UL 2000):</w:t>
      </w:r>
    </w:p>
    <w:p w14:paraId="1B6127E4" w14:textId="77777777" w:rsidR="000B62E0" w:rsidRPr="00FB4EFA" w:rsidRDefault="000B62E0" w:rsidP="00302054">
      <w:pPr>
        <w:suppressAutoHyphens/>
        <w:spacing w:line="240" w:lineRule="auto"/>
        <w:ind w:left="720"/>
        <w:rPr>
          <w:sz w:val="20"/>
          <w:szCs w:val="20"/>
          <w:lang w:val="en-GB"/>
        </w:rPr>
      </w:pPr>
      <w:r w:rsidRPr="00FB4EFA">
        <w:rPr>
          <w:sz w:val="20"/>
          <w:szCs w:val="20"/>
          <w:lang w:val="en-GB"/>
        </w:rPr>
        <w:t xml:space="preserve">/--/In fact, it is not as if all stories, tales, news, etc., get to be printed in the way God has guided the writer. The story may be in one’s own village language, but the language editor will put it into the new orthography. With this new spelling, wise linguists have worked it out and recommend using it. In the new spelling, a diagonal mark </w:t>
      </w:r>
      <w:r w:rsidRPr="00FB4EFA">
        <w:rPr>
          <w:rFonts w:ascii="-webkit-standard" w:hAnsi="-webkit-standard"/>
          <w:sz w:val="20"/>
          <w:szCs w:val="20"/>
          <w:lang w:val="en-GB"/>
        </w:rPr>
        <w:t>`</w:t>
      </w:r>
      <w:r w:rsidRPr="00FB4EFA">
        <w:rPr>
          <w:sz w:val="20"/>
          <w:szCs w:val="20"/>
          <w:lang w:val="en-GB"/>
        </w:rPr>
        <w:t xml:space="preserve"> is used in palatalized words, </w:t>
      </w:r>
      <w:r w:rsidRPr="00FB4EFA">
        <w:rPr>
          <w:i/>
          <w:sz w:val="20"/>
          <w:szCs w:val="20"/>
          <w:lang w:val="en-GB"/>
        </w:rPr>
        <w:t>q</w:t>
      </w:r>
      <w:r w:rsidRPr="00FB4EFA">
        <w:rPr>
          <w:sz w:val="20"/>
          <w:szCs w:val="20"/>
          <w:lang w:val="en-GB"/>
        </w:rPr>
        <w:t xml:space="preserve"> marks plural (</w:t>
      </w:r>
      <w:r w:rsidRPr="00FB4EFA">
        <w:rPr>
          <w:i/>
          <w:iCs/>
          <w:sz w:val="20"/>
          <w:szCs w:val="20"/>
          <w:lang w:val="en-GB"/>
        </w:rPr>
        <w:t xml:space="preserve">pini mäe pääl </w:t>
      </w:r>
      <w:r w:rsidRPr="00FB4EFA">
        <w:rPr>
          <w:sz w:val="20"/>
          <w:szCs w:val="20"/>
          <w:lang w:val="en-GB"/>
        </w:rPr>
        <w:t xml:space="preserve">(one dog), </w:t>
      </w:r>
      <w:r w:rsidRPr="00FB4EFA">
        <w:rPr>
          <w:i/>
          <w:iCs/>
          <w:sz w:val="20"/>
          <w:szCs w:val="20"/>
          <w:lang w:val="en-GB"/>
        </w:rPr>
        <w:t>piniq mäe pääl</w:t>
      </w:r>
      <w:r w:rsidRPr="00FB4EFA">
        <w:rPr>
          <w:sz w:val="20"/>
          <w:szCs w:val="20"/>
          <w:lang w:val="en-GB"/>
        </w:rPr>
        <w:t xml:space="preserve"> (many dogs)). Moreover, </w:t>
      </w:r>
      <w:r w:rsidRPr="00FB4EFA">
        <w:rPr>
          <w:i/>
          <w:sz w:val="20"/>
          <w:szCs w:val="20"/>
          <w:lang w:val="en-GB"/>
        </w:rPr>
        <w:t>q</w:t>
      </w:r>
      <w:r w:rsidRPr="00FB4EFA">
        <w:rPr>
          <w:sz w:val="20"/>
          <w:szCs w:val="20"/>
          <w:lang w:val="en-GB"/>
        </w:rPr>
        <w:t xml:space="preserve"> goes with the ending of some verb forms and some nouns. </w:t>
      </w:r>
      <w:r w:rsidRPr="00FB4EFA">
        <w:rPr>
          <w:i/>
          <w:sz w:val="20"/>
          <w:szCs w:val="20"/>
          <w:lang w:val="en-GB"/>
        </w:rPr>
        <w:t>y</w:t>
      </w:r>
      <w:r w:rsidRPr="00FB4EFA">
        <w:rPr>
          <w:sz w:val="20"/>
          <w:szCs w:val="20"/>
          <w:lang w:val="en-GB"/>
        </w:rPr>
        <w:t xml:space="preserve"> is used instead of the Russian-like </w:t>
      </w:r>
      <w:r w:rsidRPr="00FB4EFA">
        <w:rPr>
          <w:i/>
          <w:sz w:val="20"/>
          <w:szCs w:val="20"/>
          <w:lang w:val="en-GB"/>
        </w:rPr>
        <w:t>õ</w:t>
      </w:r>
      <w:r w:rsidRPr="00FB4EFA">
        <w:rPr>
          <w:sz w:val="20"/>
          <w:szCs w:val="20"/>
          <w:lang w:val="en-GB"/>
        </w:rPr>
        <w:t xml:space="preserve"> (</w:t>
      </w:r>
      <w:r w:rsidRPr="00FB4EFA">
        <w:rPr>
          <w:i/>
          <w:iCs/>
          <w:sz w:val="20"/>
          <w:szCs w:val="20"/>
          <w:lang w:val="en-GB"/>
        </w:rPr>
        <w:t>syna, myni</w:t>
      </w:r>
      <w:r w:rsidRPr="00FB4EFA">
        <w:rPr>
          <w:sz w:val="20"/>
          <w:szCs w:val="20"/>
          <w:lang w:val="en-GB"/>
        </w:rPr>
        <w:t>). The language editor will also correct those Estonian words that have entered the writing of a story or amend some more recent word forms and replace those with older ones. How does (s)he know which one is newer, which one is older? Well, (s)he has studied this at university and written all kinds of studies about it.</w:t>
      </w:r>
      <w:r w:rsidRPr="00FB4EFA">
        <w:rPr>
          <w:rStyle w:val="FootnoteReference"/>
          <w:sz w:val="20"/>
          <w:szCs w:val="20"/>
          <w:lang w:val="en-GB"/>
        </w:rPr>
        <w:footnoteReference w:id="120"/>
      </w:r>
    </w:p>
    <w:p w14:paraId="7944107E" w14:textId="10F2ADE0" w:rsidR="000B62E0" w:rsidRPr="00FB4EFA" w:rsidRDefault="000B62E0" w:rsidP="00AF0CAD">
      <w:pPr>
        <w:spacing w:before="240" w:after="240"/>
        <w:rPr>
          <w:lang w:val="en-GB"/>
        </w:rPr>
      </w:pPr>
      <w:r w:rsidRPr="00FB4EFA">
        <w:rPr>
          <w:lang w:val="en-GB"/>
        </w:rPr>
        <w:lastRenderedPageBreak/>
        <w:t xml:space="preserve">This column illustrates explicitly how micro-level standardization works and where the authority of the (written) languages lies. Since the publication of this column, the UL readership has been polarized concerning orthography. In less than a year, the editor launched a small-scale poll about readers’ satisfaction which asked readers to rate the orthography on a three-item scale of difficult-medium-simple (UL 11/2001). Two issues later, the results were summarized and published under the title “UL is not difficult to read” (UL 13/2001). However, in 2003, despite the 2001 polling results and readers’ generally positive feedback, the orthography was further simplified by the removal of </w:t>
      </w:r>
      <w:r w:rsidRPr="00FB4EFA">
        <w:rPr>
          <w:i/>
          <w:iCs/>
          <w:lang w:val="en-GB"/>
        </w:rPr>
        <w:t>y</w:t>
      </w:r>
      <w:r w:rsidRPr="00FB4EFA">
        <w:rPr>
          <w:lang w:val="en-GB"/>
        </w:rPr>
        <w:t xml:space="preserve"> and </w:t>
      </w:r>
      <w:r w:rsidRPr="00FB4EFA">
        <w:rPr>
          <w:i/>
          <w:iCs/>
          <w:lang w:val="en-GB"/>
        </w:rPr>
        <w:t>q</w:t>
      </w:r>
      <w:r w:rsidRPr="00FB4EFA">
        <w:rPr>
          <w:lang w:val="en-GB"/>
        </w:rPr>
        <w:t>. The reason for dropping those letters was that readers had actively voiced their disapproval. Since the beginning, the editor received phone calls and notes from (sometimes anonymous) readers who did not embrace the new orthography. Surprisingly, the letter</w:t>
      </w:r>
      <w:r w:rsidRPr="00FB4EFA">
        <w:rPr>
          <w:i/>
          <w:iCs/>
          <w:lang w:val="en-GB"/>
        </w:rPr>
        <w:t xml:space="preserve"> q </w:t>
      </w:r>
      <w:r w:rsidRPr="00FB4EFA">
        <w:rPr>
          <w:lang w:val="en-GB"/>
        </w:rPr>
        <w:t xml:space="preserve">seems to have survived beyond its journalistic application: some readers are against it even today, long after it was abandoned by UL. For example, in an interview, the editor recalled a local man approaching him recently. After identifying himself as a frequent reader, the man admitted his disapproval of the use of </w:t>
      </w:r>
      <w:r w:rsidRPr="00FB4EFA">
        <w:rPr>
          <w:i/>
          <w:iCs/>
          <w:lang w:val="en-GB"/>
        </w:rPr>
        <w:t>q</w:t>
      </w:r>
      <w:r w:rsidRPr="00FB4EFA">
        <w:rPr>
          <w:lang w:val="en-GB"/>
        </w:rPr>
        <w:t xml:space="preserve"> in UL (interview from May 23, 2018). Similarly, Mets (2007) earlier observed generational polarization in contrast with generally positive attitudes towards Võro:</w:t>
      </w:r>
    </w:p>
    <w:p w14:paraId="4339BA98" w14:textId="77777777" w:rsidR="000B62E0" w:rsidRPr="00FB4EFA" w:rsidRDefault="000B62E0" w:rsidP="00302054">
      <w:pPr>
        <w:suppressAutoHyphens/>
        <w:spacing w:line="240" w:lineRule="auto"/>
        <w:ind w:left="720"/>
        <w:rPr>
          <w:sz w:val="20"/>
          <w:szCs w:val="20"/>
          <w:lang w:val="en-GB"/>
        </w:rPr>
      </w:pPr>
      <w:r w:rsidRPr="00FB4EFA">
        <w:rPr>
          <w:sz w:val="20"/>
          <w:szCs w:val="20"/>
          <w:lang w:val="en-GB"/>
        </w:rPr>
        <w:t>The only negative aspect which was brought forth is language use in UL. As for the Võru orthography people said that it has improved, it does not include those peculiar letters, /--/ but as one middle-aged man admitted, what makes reading difficult is being unaccustomed to it (“no matter what they say about the orthography, the trouble lies not in it but rather in the fact that we simply are not used to reading in Võro”).</w:t>
      </w:r>
    </w:p>
    <w:p w14:paraId="18B826C6" w14:textId="105B010B" w:rsidR="000B62E0" w:rsidRPr="00FB4EFA" w:rsidRDefault="000B62E0" w:rsidP="00AF0CAD">
      <w:pPr>
        <w:spacing w:before="240" w:after="240"/>
        <w:rPr>
          <w:lang w:val="en-GB"/>
        </w:rPr>
      </w:pPr>
      <w:r w:rsidRPr="00FB4EFA">
        <w:rPr>
          <w:lang w:val="en-GB"/>
        </w:rPr>
        <w:t xml:space="preserve">In the early 2010s, a decision to dispense with the </w:t>
      </w:r>
      <w:r w:rsidRPr="00FB4EFA">
        <w:rPr>
          <w:i/>
          <w:iCs/>
          <w:lang w:val="en-GB"/>
        </w:rPr>
        <w:t>q</w:t>
      </w:r>
      <w:r w:rsidRPr="00FB4EFA">
        <w:rPr>
          <w:lang w:val="en-GB"/>
        </w:rPr>
        <w:t xml:space="preserve"> was taken by the management of the VI. Since then, it has been not used in most texts except language learning textbooks, children’s books and (academic) publications. In 2011, the group of linguists who had been working with the bilingual Võro-Estonian-Võro dictionaries and teaching materials responded to this decision by sending a note to the director and the academic council of the VI (</w:t>
      </w:r>
      <w:r w:rsidR="00412080" w:rsidRPr="00FB4EFA">
        <w:rPr>
          <w:lang w:val="en-GB"/>
        </w:rPr>
        <w:t>u</w:t>
      </w:r>
      <w:r w:rsidRPr="00FB4EFA">
        <w:rPr>
          <w:lang w:val="en-GB"/>
        </w:rPr>
        <w:t xml:space="preserve">npublished appeal to the director and academic council of VI of July 9, 2011). In the note, they voiced disapproval of the decision to drop </w:t>
      </w:r>
      <w:r w:rsidRPr="00FB4EFA">
        <w:rPr>
          <w:i/>
          <w:iCs/>
          <w:lang w:val="en-GB"/>
        </w:rPr>
        <w:t>q</w:t>
      </w:r>
      <w:r w:rsidRPr="00FB4EFA">
        <w:rPr>
          <w:lang w:val="en-GB"/>
        </w:rPr>
        <w:t xml:space="preserve"> from publications. They considered one-to-one representation of the glottal stop to be symbolic to VI since its founding, as </w:t>
      </w:r>
      <w:r w:rsidRPr="00FB4EFA">
        <w:rPr>
          <w:lang w:val="en-GB"/>
        </w:rPr>
        <w:lastRenderedPageBreak/>
        <w:t>well as being a part of the new orthography and emblematic to written Võro:</w:t>
      </w:r>
    </w:p>
    <w:p w14:paraId="6BB42D54" w14:textId="77777777" w:rsidR="000B62E0" w:rsidRPr="00FB4EFA" w:rsidRDefault="000B62E0" w:rsidP="00302054">
      <w:pPr>
        <w:suppressAutoHyphens/>
        <w:spacing w:line="240" w:lineRule="auto"/>
        <w:ind w:left="720"/>
        <w:rPr>
          <w:sz w:val="20"/>
          <w:szCs w:val="20"/>
          <w:lang w:val="en-GB"/>
        </w:rPr>
      </w:pPr>
      <w:r w:rsidRPr="00FB4EFA">
        <w:rPr>
          <w:sz w:val="20"/>
          <w:szCs w:val="20"/>
          <w:lang w:val="en-GB"/>
        </w:rPr>
        <w:t>This is an easy, clear, and visually easy-flowing way to write and read, learn, and teach the Võro language daily. Over time, this orthography has been evolving into an element of the tradition of the Võro language, literature, and language learning and one of the most important attributes of the Võro language and identity. All textbooks published by the Võro Institute and the teaching of the Võro language, culture, and literature in schools and the University (of Tartu) were in the new orthography.</w:t>
      </w:r>
    </w:p>
    <w:p w14:paraId="7A3BE094" w14:textId="10473BBC" w:rsidR="000B62E0" w:rsidRPr="00FB4EFA" w:rsidRDefault="000B62E0" w:rsidP="00AF0CAD">
      <w:pPr>
        <w:spacing w:before="240"/>
        <w:rPr>
          <w:lang w:val="en-GB"/>
        </w:rPr>
      </w:pPr>
      <w:r w:rsidRPr="00FB4EFA">
        <w:rPr>
          <w:lang w:val="en-GB"/>
        </w:rPr>
        <w:t xml:space="preserve">As a compromise, they recommended returning to the new orthography (1994/1995) at least in publications targeted at young readers, i.e., language learners. Some language teachers have also argued for its usage by appealing to the specific needs of language learners. Nevertheless, the group of linguists acknowledged the reluctance of some speakers to use </w:t>
      </w:r>
      <w:r w:rsidRPr="00FB4EFA">
        <w:rPr>
          <w:i/>
          <w:iCs/>
          <w:lang w:val="en-GB"/>
        </w:rPr>
        <w:t>q</w:t>
      </w:r>
      <w:r w:rsidRPr="00FB4EFA">
        <w:rPr>
          <w:lang w:val="en-GB"/>
        </w:rPr>
        <w:t>, but drew parallels between the situation and the long period of accommodation to the new Estonian orthography in the 19</w:t>
      </w:r>
      <w:r w:rsidRPr="00FB4EFA">
        <w:rPr>
          <w:vertAlign w:val="superscript"/>
          <w:lang w:val="en-GB"/>
        </w:rPr>
        <w:t>th</w:t>
      </w:r>
      <w:r w:rsidRPr="00FB4EFA">
        <w:rPr>
          <w:lang w:val="en-GB"/>
        </w:rPr>
        <w:t xml:space="preserve"> century. A rather similar address was sent four years later (unpublished appeal to the director and academic council of the VI of March 4, 2015), when they again disagreed with the unilateral decision of the management to prohibit the marking of glottal stops and the palatalization of consonants in the publications of the VI. They also considered it wrong to change spelling against the will of the authors. After the addresses, exceptions were made for some teaching materials, which keep using </w:t>
      </w:r>
      <w:r w:rsidRPr="00FB4EFA">
        <w:rPr>
          <w:i/>
          <w:iCs/>
          <w:lang w:val="en-GB"/>
        </w:rPr>
        <w:t>q</w:t>
      </w:r>
      <w:r w:rsidRPr="00FB4EFA">
        <w:rPr>
          <w:lang w:val="en-GB"/>
        </w:rPr>
        <w:t xml:space="preserve"> for glottal stop and an apostrophe/acute accent for palatalization (interview dated October 5, 2017). For example, in the Estonian-Võro dictionary (2014), glottal stops are represented by a half-transparent superscript letter </w:t>
      </w:r>
      <w:r w:rsidRPr="00FB4EFA">
        <w:rPr>
          <w:i/>
          <w:iCs/>
          <w:lang w:val="en-GB"/>
        </w:rPr>
        <w:t>q</w:t>
      </w:r>
      <w:r w:rsidRPr="00FB4EFA">
        <w:rPr>
          <w:lang w:val="en-GB"/>
        </w:rPr>
        <w:t xml:space="preserve">. For marking palatalization, one of the informants regretted that an asterisk directing the reader to footnotes is attached to a word instead of “a forbidden tool” (i.e., </w:t>
      </w:r>
      <w:r w:rsidR="00412080" w:rsidRPr="00FB4EFA">
        <w:rPr>
          <w:lang w:val="en-GB"/>
        </w:rPr>
        <w:t xml:space="preserve">an </w:t>
      </w:r>
      <w:r w:rsidRPr="00FB4EFA">
        <w:rPr>
          <w:lang w:val="en-GB"/>
        </w:rPr>
        <w:t>apostrophe). The footnote in turn would include a remark on pronunciation (interview dated May 23, 2018). Interestingly, the editor of the peer-reviewed academic series “Võro Instituudi Toimõndusõq” (“Publications of Võro Institute”) published by the VI</w:t>
      </w:r>
      <w:r w:rsidR="004974D7" w:rsidRPr="00FB4EFA">
        <w:rPr>
          <w:lang w:val="en-GB"/>
        </w:rPr>
        <w:t>,</w:t>
      </w:r>
      <w:r w:rsidRPr="00FB4EFA">
        <w:rPr>
          <w:lang w:val="en-GB"/>
        </w:rPr>
        <w:t xml:space="preserve"> retains </w:t>
      </w:r>
      <w:r w:rsidRPr="00FB4EFA">
        <w:rPr>
          <w:i/>
          <w:iCs/>
          <w:lang w:val="en-GB"/>
        </w:rPr>
        <w:t>q</w:t>
      </w:r>
      <w:r w:rsidRPr="00FB4EFA">
        <w:rPr>
          <w:lang w:val="en-GB"/>
        </w:rPr>
        <w:t xml:space="preserve"> in journal submissions and abstracts</w:t>
      </w:r>
      <w:r w:rsidRPr="00FB4EFA">
        <w:rPr>
          <w:i/>
          <w:iCs/>
          <w:lang w:val="en-GB"/>
        </w:rPr>
        <w:t xml:space="preserve">. </w:t>
      </w:r>
      <w:r w:rsidRPr="00FB4EFA">
        <w:rPr>
          <w:lang w:val="en-GB"/>
        </w:rPr>
        <w:t>Together with the editorial decisions of UL, this choice demonstrates the language political agency of editors with respect to graphization and standardization in general.</w:t>
      </w:r>
    </w:p>
    <w:p w14:paraId="662391B6" w14:textId="27A767BF" w:rsidR="000B62E0" w:rsidRPr="00FB4EFA" w:rsidRDefault="000B62E0" w:rsidP="00AF0CAD">
      <w:pPr>
        <w:pStyle w:val="Heading3"/>
        <w:numPr>
          <w:ilvl w:val="1"/>
          <w:numId w:val="6"/>
        </w:numPr>
      </w:pPr>
      <w:r w:rsidRPr="00FB4EFA">
        <w:lastRenderedPageBreak/>
        <w:t>Recent developments in social media</w:t>
      </w:r>
    </w:p>
    <w:p w14:paraId="7D99EE5F" w14:textId="70827FF1" w:rsidR="000B62E0" w:rsidRPr="00FB4EFA" w:rsidRDefault="000B62E0" w:rsidP="000B62E0">
      <w:pPr>
        <w:rPr>
          <w:lang w:val="en-GB"/>
        </w:rPr>
      </w:pPr>
      <w:r w:rsidRPr="00FB4EFA">
        <w:rPr>
          <w:lang w:val="en-GB"/>
        </w:rPr>
        <w:t>The Internet has evolved into an essential platform for community building, also for speakers of minority languages, and the normalization of their language (Cunliﬀe 2007; Belmar &amp; Glass 2019). Languages of all statuses are present in cyber space; speakers’ agency to participate in speech communities, regardless of their location or even language skills, has increased (Moriarty 2015; Ferr</w:t>
      </w:r>
      <w:r w:rsidR="00750DCA" w:rsidRPr="00FB4EFA">
        <w:rPr>
          <w:lang w:val="en-GB"/>
        </w:rPr>
        <w:t>é</w:t>
      </w:r>
      <w:r w:rsidRPr="00FB4EFA">
        <w:rPr>
          <w:lang w:val="en-GB"/>
        </w:rPr>
        <w:t>-Pavia et al. 2018). With speakers aiming at effective communication, hybrid language use is common in social media (for an overview see Belmar &amp; Glass 2019).</w:t>
      </w:r>
    </w:p>
    <w:p w14:paraId="155AAB00" w14:textId="3E02F192" w:rsidR="000B62E0" w:rsidRPr="00FB4EFA" w:rsidRDefault="000B62E0" w:rsidP="00AF0CAD">
      <w:pPr>
        <w:ind w:firstLine="720"/>
        <w:rPr>
          <w:lang w:val="en-GB"/>
        </w:rPr>
      </w:pPr>
      <w:r w:rsidRPr="00FB4EFA">
        <w:rPr>
          <w:lang w:val="en-GB"/>
        </w:rPr>
        <w:t xml:space="preserve">The Võro language is not an exception. On Facebook (FB), over 11,000 people have joined an open group </w:t>
      </w:r>
      <w:r w:rsidRPr="00FB4EFA">
        <w:rPr>
          <w:i/>
          <w:iCs/>
          <w:lang w:val="en-GB"/>
        </w:rPr>
        <w:t>Võro kiil</w:t>
      </w:r>
      <w:r w:rsidRPr="00FB4EFA">
        <w:rPr>
          <w:lang w:val="en-GB"/>
        </w:rPr>
        <w:t xml:space="preserve"> ‘Võro language’ (created in September 2012) </w:t>
      </w:r>
      <w:r w:rsidR="004974D7" w:rsidRPr="00FB4EFA">
        <w:rPr>
          <w:lang w:val="en-GB"/>
        </w:rPr>
        <w:t>and have made it</w:t>
      </w:r>
      <w:r w:rsidRPr="00FB4EFA">
        <w:rPr>
          <w:lang w:val="en-GB"/>
        </w:rPr>
        <w:t xml:space="preserve"> the main platform for discussing issues of the Võro language. Most members joined the group when the administrator, </w:t>
      </w:r>
      <w:r w:rsidR="004974D7" w:rsidRPr="00FB4EFA">
        <w:rPr>
          <w:lang w:val="en-GB"/>
        </w:rPr>
        <w:t>the</w:t>
      </w:r>
      <w:r w:rsidRPr="00FB4EFA">
        <w:rPr>
          <w:lang w:val="en-GB"/>
        </w:rPr>
        <w:t xml:space="preserve"> linguist and language planner Sulev Iva, who is also the main contributor, started to post memes in Võro. The group brings together different people: there are linguists and language planners, language activists, active users of Võro, but also new speakers and people who do not speak Võro but who are interested in the language. The medium of communication is overwhelmingly Võro. In addition to memes and jokes, there are posts and discussions about the Võro language, its prestige, relationship to </w:t>
      </w:r>
      <w:r w:rsidR="004974D7" w:rsidRPr="00FB4EFA">
        <w:rPr>
          <w:lang w:val="en-GB"/>
        </w:rPr>
        <w:t xml:space="preserve">the </w:t>
      </w:r>
      <w:r w:rsidRPr="00FB4EFA">
        <w:rPr>
          <w:lang w:val="en-GB"/>
        </w:rPr>
        <w:t>linguistically similar but culturally distinct Seto, and the lexical and grammatical features of Võro</w:t>
      </w:r>
      <w:r w:rsidRPr="00FB4EFA">
        <w:rPr>
          <w:i/>
          <w:iCs/>
          <w:lang w:val="en-GB"/>
        </w:rPr>
        <w:t xml:space="preserve">. </w:t>
      </w:r>
      <w:r w:rsidRPr="00FB4EFA">
        <w:rPr>
          <w:lang w:val="en-GB"/>
        </w:rPr>
        <w:t>Among other topics (e.g., vowel harmony), graphization has also received attention.</w:t>
      </w:r>
      <w:r w:rsidRPr="00FB4EFA">
        <w:rPr>
          <w:i/>
          <w:iCs/>
          <w:lang w:val="en-GB"/>
        </w:rPr>
        <w:t xml:space="preserve"> </w:t>
      </w:r>
      <w:r w:rsidRPr="00FB4EFA">
        <w:rPr>
          <w:lang w:val="en-GB"/>
        </w:rPr>
        <w:t xml:space="preserve">Earlier (2019), when the group grew rapidly, the use and marking of glottal stop was often discussed. Now (2021), with the growth of the group having slowed down, this topic only rarely comes up. For example, during the last year (July 2020 to July 2021) it </w:t>
      </w:r>
      <w:r w:rsidR="004974D7" w:rsidRPr="00FB4EFA">
        <w:rPr>
          <w:lang w:val="en-GB"/>
        </w:rPr>
        <w:t>came</w:t>
      </w:r>
      <w:r w:rsidRPr="00FB4EFA">
        <w:rPr>
          <w:lang w:val="en-GB"/>
        </w:rPr>
        <w:t xml:space="preserve"> up only twice, and in neither case as a new post, but as the short comment about the use of grapheme &lt;q&gt; in members’ posts. At the same time, the marking of the glottal stop varies among the members who have posted or commented: some marked it by &lt;q&gt;, others by the apostrophe or left it unmarked. The marking of palatalization is similar: it is marked by acute, &lt;j&gt; behind the palatalized consonant, or not marked at all. Although the abundant marking of palatalization often prompts a discussion, the marking of palatalization is mostly not the issue.</w:t>
      </w:r>
    </w:p>
    <w:p w14:paraId="525ED579" w14:textId="20022146" w:rsidR="000B62E0" w:rsidRPr="00FB4EFA" w:rsidRDefault="000B62E0" w:rsidP="000B62E0">
      <w:pPr>
        <w:ind w:firstLine="720"/>
        <w:rPr>
          <w:lang w:val="en-GB"/>
        </w:rPr>
      </w:pPr>
      <w:r w:rsidRPr="00FB4EFA">
        <w:rPr>
          <w:lang w:val="en-GB"/>
        </w:rPr>
        <w:lastRenderedPageBreak/>
        <w:t>Whereas the marking of glottal stop and palatalization varies, the marking of raised [ɨ] is rather homogeneous: it is not marked by a separate grapheme. However, lately (19</w:t>
      </w:r>
      <w:r w:rsidR="007F30A7" w:rsidRPr="00FB4EFA">
        <w:rPr>
          <w:lang w:val="en-GB"/>
        </w:rPr>
        <w:t xml:space="preserve"> June </w:t>
      </w:r>
      <w:r w:rsidRPr="00FB4EFA">
        <w:rPr>
          <w:lang w:val="en-GB"/>
        </w:rPr>
        <w:t>2021) one active user of the Võro language used the grapheme &lt;y&gt;, but as (s)he perceived it as unusual, (s)he also commented its usage (“Although I know that there is no distinction made between “õ” and “y” nowadays, I would like to reflect my pronunciation”).</w:t>
      </w:r>
    </w:p>
    <w:p w14:paraId="1B305ED2" w14:textId="77777777" w:rsidR="000B62E0" w:rsidRPr="00FB4EFA" w:rsidRDefault="000B62E0" w:rsidP="000B62E0">
      <w:pPr>
        <w:ind w:firstLine="720"/>
        <w:rPr>
          <w:lang w:val="en-GB"/>
        </w:rPr>
      </w:pPr>
      <w:r w:rsidRPr="00FB4EFA">
        <w:rPr>
          <w:lang w:val="en-GB"/>
        </w:rPr>
        <w:t>Hence, the existence of different standards affects also the informal written use of language. Different users, e.g., L1 speakers, new speakers, and people who have become familiar with or literate in the Võro standard in language courses, use and need different writing systems. The usage of different spellings does not have an adverse effect on comprehension.</w:t>
      </w:r>
    </w:p>
    <w:p w14:paraId="29B26C4B" w14:textId="77777777" w:rsidR="000B62E0" w:rsidRPr="00FB4EFA" w:rsidRDefault="000B62E0" w:rsidP="00545033">
      <w:pPr>
        <w:pStyle w:val="Heading2"/>
        <w:numPr>
          <w:ilvl w:val="0"/>
          <w:numId w:val="6"/>
        </w:numPr>
        <w:suppressAutoHyphens/>
        <w:rPr>
          <w:color w:val="auto"/>
        </w:rPr>
      </w:pPr>
      <w:r w:rsidRPr="00FB4EFA">
        <w:rPr>
          <w:color w:val="auto"/>
        </w:rPr>
        <w:t>Discussion and concluding remarks</w:t>
      </w:r>
    </w:p>
    <w:p w14:paraId="3CF13018" w14:textId="230BAD1A" w:rsidR="000B62E0" w:rsidRPr="00FB4EFA" w:rsidRDefault="000B62E0" w:rsidP="000B62E0">
      <w:pPr>
        <w:rPr>
          <w:lang w:val="en-GB"/>
        </w:rPr>
      </w:pPr>
      <w:r w:rsidRPr="00FB4EFA">
        <w:rPr>
          <w:lang w:val="en-GB"/>
        </w:rPr>
        <w:t xml:space="preserve">Standardization is generally seen as a tool for revitalizing minoritized languages and is supposed to build a cohesive language community via the broader reach and higher prestige of written word. However, there are a number of linguistic and extralinguistic factors, including the existence of legacy orthographies and the orthographic conventions of dominant languages, which affect a new standard (Jones </w:t>
      </w:r>
      <w:r w:rsidR="00D6535A" w:rsidRPr="00FB4EFA">
        <w:rPr>
          <w:lang w:val="en-GB"/>
        </w:rPr>
        <w:t>&amp;</w:t>
      </w:r>
      <w:r w:rsidRPr="00FB4EFA">
        <w:rPr>
          <w:lang w:val="en-GB"/>
        </w:rPr>
        <w:t xml:space="preserve"> Mooney 2017). The acceptance of orthography is socially conditioned and often intersects with another language and identity: speakers want it to look distinct from other, dominant, neighbouring languages (Cahill 2011: 2).</w:t>
      </w:r>
    </w:p>
    <w:p w14:paraId="0BCEE110" w14:textId="063A22CE" w:rsidR="000B62E0" w:rsidRPr="00FB4EFA" w:rsidRDefault="000B62E0" w:rsidP="00AF0CAD">
      <w:pPr>
        <w:ind w:firstLine="720"/>
        <w:rPr>
          <w:lang w:val="en-GB"/>
        </w:rPr>
      </w:pPr>
      <w:r w:rsidRPr="00FB4EFA">
        <w:rPr>
          <w:lang w:val="en-GB"/>
        </w:rPr>
        <w:t xml:space="preserve">In the case of the new Võro orthography, the most important counterargument to one-to-one sound-spelling correspondence is the existence of Standard Estonian. Võro speakers are Estonian nationals who identify as Estonians and have been socialized into using the Estonian Standard orthography. Based on our research, the “foreign” letters </w:t>
      </w:r>
      <w:r w:rsidRPr="00FB4EFA">
        <w:rPr>
          <w:i/>
          <w:iCs/>
          <w:lang w:val="en-GB"/>
        </w:rPr>
        <w:t>q</w:t>
      </w:r>
      <w:r w:rsidRPr="00FB4EFA">
        <w:rPr>
          <w:lang w:val="en-GB"/>
        </w:rPr>
        <w:t xml:space="preserve"> and, to a lesser extent, </w:t>
      </w:r>
      <w:r w:rsidRPr="00FB4EFA">
        <w:rPr>
          <w:i/>
          <w:iCs/>
          <w:lang w:val="en-GB"/>
        </w:rPr>
        <w:t xml:space="preserve">y </w:t>
      </w:r>
      <w:r w:rsidRPr="00FB4EFA">
        <w:rPr>
          <w:lang w:val="en-GB"/>
        </w:rPr>
        <w:t>are seen as alien or inauthentic to both Estonian and Võro. However, some Võro teachers have indicated that the underrepresentation of the glottal stop and palatalization can be problematic for language learners</w:t>
      </w:r>
      <w:r w:rsidRPr="00FB4EFA">
        <w:rPr>
          <w:sz w:val="16"/>
          <w:szCs w:val="16"/>
          <w:lang w:val="en-GB"/>
        </w:rPr>
        <w:t>.</w:t>
      </w:r>
      <w:r w:rsidRPr="00FB4EFA">
        <w:rPr>
          <w:lang w:val="en-GB"/>
        </w:rPr>
        <w:t xml:space="preserve"> Also for some activists, the graphic underrepresentation of the glottal stop also compromises the learnability of Võro and further threatens its long-term vitality. Nevertheless, the glottal stop </w:t>
      </w:r>
      <w:r w:rsidRPr="00FB4EFA">
        <w:rPr>
          <w:lang w:val="en-GB"/>
        </w:rPr>
        <w:lastRenderedPageBreak/>
        <w:t xml:space="preserve">is also an example of overrepresentation when used in its maximal occurrence; this can be useful for a new speaker and a beginning reader but challenging to a writer (cf. Cahill &amp; Karan 2008: 8–9). Furthermore, an efficient orthography – linguistically sound, teachable, reproducible, and socially acceptable – facilitates transfer into other languages, especially into the national language (ibid.). In fact, the Võro </w:t>
      </w:r>
      <w:r w:rsidR="007F30A7" w:rsidRPr="00FB4EFA">
        <w:rPr>
          <w:lang w:val="en-GB"/>
        </w:rPr>
        <w:t>M</w:t>
      </w:r>
      <w:r w:rsidRPr="00FB4EFA">
        <w:rPr>
          <w:lang w:val="en-GB"/>
        </w:rPr>
        <w:t>ovement has been invited to reconsider its ideology and pursue a strategy of teaching Võro as a foreign language by one of the leading scholars of ethnolinguistic vitality (Ehala 2008).</w:t>
      </w:r>
    </w:p>
    <w:p w14:paraId="1A9CDC36" w14:textId="41048E14" w:rsidR="000B62E0" w:rsidRPr="00FB4EFA" w:rsidRDefault="000B62E0" w:rsidP="000B62E0">
      <w:pPr>
        <w:ind w:firstLine="720"/>
        <w:rPr>
          <w:shd w:val="clear" w:color="auto" w:fill="FFFFFF"/>
          <w:lang w:val="en-GB"/>
        </w:rPr>
      </w:pPr>
      <w:r w:rsidRPr="00FB4EFA">
        <w:rPr>
          <w:lang w:val="en-GB"/>
        </w:rPr>
        <w:t>With the digital revolution, few technological limitations stand in the way of reproducing any signs. Fonts are available for using the most socially acceptable orthography (Cahill 2011). In the case of the new Võro orthography, from time to time, people who engage with text production have reported a problem with the representation of palatalization. Indeed, it can demand additional time and energy at the print layout stage, as many uncommon fonts lack subsets incorporating Latin letters with an acute mark. For every character, an acute or an apostrophe must be adjusted manually. A</w:t>
      </w:r>
      <w:r w:rsidRPr="00FB4EFA">
        <w:rPr>
          <w:shd w:val="clear" w:color="auto" w:fill="FFFFFF"/>
          <w:lang w:val="en-GB"/>
        </w:rPr>
        <w:t xml:space="preserve"> Võro font based on Times New Roman has been developed for this reason, and it can be downloaded for free from the Internet, but due to its incompatibility with the Unicode Standard its use remains rather limited according to our observations. On the other hand, digital media such as social media ha</w:t>
      </w:r>
      <w:r w:rsidR="00E07268" w:rsidRPr="00FB4EFA">
        <w:rPr>
          <w:shd w:val="clear" w:color="auto" w:fill="FFFFFF"/>
          <w:lang w:val="en-GB"/>
        </w:rPr>
        <w:t>ve</w:t>
      </w:r>
      <w:r w:rsidRPr="00FB4EFA">
        <w:rPr>
          <w:shd w:val="clear" w:color="auto" w:fill="FFFFFF"/>
          <w:lang w:val="en-GB"/>
        </w:rPr>
        <w:t xml:space="preserve"> brought speakers with different backgrounds closer to representing the language they want to read and write. The use of different standards in social media causes neither incomprehensibility nor alienation.</w:t>
      </w:r>
    </w:p>
    <w:p w14:paraId="0EB8BC57" w14:textId="66E902FD" w:rsidR="000B62E0" w:rsidRPr="00FB4EFA" w:rsidRDefault="000B62E0" w:rsidP="000B62E0">
      <w:pPr>
        <w:ind w:firstLine="720"/>
        <w:rPr>
          <w:lang w:val="en-GB"/>
        </w:rPr>
      </w:pPr>
      <w:r w:rsidRPr="00FB4EFA">
        <w:rPr>
          <w:lang w:val="en-GB"/>
        </w:rPr>
        <w:t xml:space="preserve">However, native speakers are idealized “as speakers of the most </w:t>
      </w:r>
      <w:r w:rsidR="00E07268" w:rsidRPr="00FB4EFA">
        <w:rPr>
          <w:lang w:val="en-GB"/>
        </w:rPr>
        <w:t>‘</w:t>
      </w:r>
      <w:r w:rsidRPr="00FB4EFA">
        <w:rPr>
          <w:lang w:val="en-GB"/>
        </w:rPr>
        <w:t>authentic</w:t>
      </w:r>
      <w:r w:rsidR="00E07268" w:rsidRPr="00FB4EFA">
        <w:rPr>
          <w:lang w:val="en-GB"/>
        </w:rPr>
        <w:t>’</w:t>
      </w:r>
      <w:r w:rsidRPr="00FB4EFA">
        <w:rPr>
          <w:lang w:val="en-GB"/>
        </w:rPr>
        <w:t xml:space="preserve"> form of language” in language revitalization contexts (Dorian 1994: 50; cf. Davies 2003). In the case of Võro, language activists-orthographers often target L1 speakers only, not foreseeing other potential users or other motivations for language transfer. With non-native speakers backgrounded, native speakers are imagined rather one-dimensionally by ignoring their varying needs and orientations toward languages. For example, when the standardization of Võro started in the 1990s, Võro speakers were typically imagined </w:t>
      </w:r>
      <w:r w:rsidR="004974D7" w:rsidRPr="00FB4EFA">
        <w:rPr>
          <w:lang w:val="en-GB"/>
        </w:rPr>
        <w:t>having</w:t>
      </w:r>
      <w:r w:rsidRPr="00FB4EFA">
        <w:rPr>
          <w:lang w:val="en-GB"/>
        </w:rPr>
        <w:t xml:space="preserve"> been born with language skills and easily able to acquire new literacies; the learning potential of non-native speakers was not foreseen.</w:t>
      </w:r>
    </w:p>
    <w:p w14:paraId="601E1C56" w14:textId="72DBBFD6" w:rsidR="000B62E0" w:rsidRPr="00FB4EFA" w:rsidRDefault="000B62E0" w:rsidP="00AF0CAD">
      <w:pPr>
        <w:ind w:firstLine="720"/>
        <w:rPr>
          <w:lang w:val="en-GB"/>
        </w:rPr>
      </w:pPr>
      <w:r w:rsidRPr="00FB4EFA">
        <w:rPr>
          <w:lang w:val="en-GB"/>
        </w:rPr>
        <w:lastRenderedPageBreak/>
        <w:t xml:space="preserve">During the last three decades of cultivating standard Võro, we observed a dynamic from a “complex” to </w:t>
      </w:r>
      <w:r w:rsidR="004974D7" w:rsidRPr="00FB4EFA">
        <w:rPr>
          <w:lang w:val="en-GB"/>
        </w:rPr>
        <w:t xml:space="preserve">a </w:t>
      </w:r>
      <w:r w:rsidRPr="00FB4EFA">
        <w:rPr>
          <w:lang w:val="en-GB"/>
        </w:rPr>
        <w:t xml:space="preserve">“simple” orthography, or from over- to underrepresentation of Võro-specific sounds. There are at least three reasons behind this process. Until the early 1990s Võro was generally considered a dialect of Estonian. By graphization, which set Võro apart from Standard Estonian, its </w:t>
      </w:r>
      <w:r w:rsidRPr="00FB4EFA">
        <w:rPr>
          <w:i/>
          <w:iCs/>
          <w:lang w:val="en-GB"/>
        </w:rPr>
        <w:t xml:space="preserve">de facto </w:t>
      </w:r>
      <w:r w:rsidRPr="00FB4EFA">
        <w:rPr>
          <w:lang w:val="en-GB"/>
        </w:rPr>
        <w:t>language</w:t>
      </w:r>
      <w:r w:rsidRPr="00FB4EFA">
        <w:rPr>
          <w:i/>
          <w:iCs/>
          <w:lang w:val="en-GB"/>
        </w:rPr>
        <w:t xml:space="preserve"> </w:t>
      </w:r>
      <w:r w:rsidRPr="00FB4EFA">
        <w:rPr>
          <w:lang w:val="en-GB"/>
        </w:rPr>
        <w:t xml:space="preserve">status became increasingly recognized and there was further no need to emphasize its difference from Standard Estonian. Another reason for conforming to Standard Estonian may lie in activists’ changing agendas. With or without </w:t>
      </w:r>
      <w:r w:rsidR="004974D7" w:rsidRPr="00FB4EFA">
        <w:rPr>
          <w:lang w:val="en-GB"/>
        </w:rPr>
        <w:t xml:space="preserve">an </w:t>
      </w:r>
      <w:r w:rsidRPr="00FB4EFA">
        <w:rPr>
          <w:lang w:val="en-GB"/>
        </w:rPr>
        <w:t>established language status, progressing language shift makes activist</w:t>
      </w:r>
      <w:r w:rsidR="00E07268" w:rsidRPr="00FB4EFA">
        <w:rPr>
          <w:lang w:val="en-GB"/>
        </w:rPr>
        <w:t xml:space="preserve"> / </w:t>
      </w:r>
      <w:r w:rsidRPr="00FB4EFA">
        <w:rPr>
          <w:lang w:val="en-GB"/>
        </w:rPr>
        <w:t>language planners look for more resilient graphization solutions for users with varying skills and motivation. Finally, the virtual community of Võro speakers has played a major role in encouraging communication by bringing together different speaker types, language uses, and the unsettled standard.</w:t>
      </w:r>
    </w:p>
    <w:p w14:paraId="7E31FB0F" w14:textId="6B996BF0" w:rsidR="000B62E0" w:rsidRPr="00FB4EFA" w:rsidRDefault="000B62E0" w:rsidP="00545033">
      <w:pPr>
        <w:pStyle w:val="Heading2"/>
        <w:suppressAutoHyphens/>
        <w:rPr>
          <w:color w:val="auto"/>
        </w:rPr>
      </w:pPr>
      <w:r w:rsidRPr="00FB4EFA">
        <w:rPr>
          <w:color w:val="auto"/>
        </w:rPr>
        <w:t>Funding</w:t>
      </w:r>
    </w:p>
    <w:p w14:paraId="75C75545" w14:textId="45E262DF" w:rsidR="000B62E0" w:rsidRPr="00FB4EFA" w:rsidRDefault="000B62E0" w:rsidP="006F6A74">
      <w:pPr>
        <w:rPr>
          <w:lang w:val="en-GB" w:eastAsia="en-GB"/>
        </w:rPr>
      </w:pPr>
      <w:r w:rsidRPr="00FB4EFA">
        <w:rPr>
          <w:lang w:val="en-GB" w:eastAsia="en-GB"/>
        </w:rPr>
        <w:t>This research has been supported by the Centre of Excellence in Estonian Studies (European Union, European Regional Development Fund).</w:t>
      </w:r>
    </w:p>
    <w:p w14:paraId="407DDC33" w14:textId="780ED082" w:rsidR="00E324D9" w:rsidRPr="00FB4EFA" w:rsidRDefault="00E324D9" w:rsidP="00545033">
      <w:pPr>
        <w:pStyle w:val="Heading2"/>
        <w:suppressAutoHyphens/>
        <w:rPr>
          <w:color w:val="auto"/>
        </w:rPr>
      </w:pPr>
      <w:r w:rsidRPr="00FB4EFA">
        <w:rPr>
          <w:color w:val="auto"/>
        </w:rPr>
        <w:t>Acknowledgements</w:t>
      </w:r>
    </w:p>
    <w:p w14:paraId="7B1F216A" w14:textId="77777777" w:rsidR="000B62E0" w:rsidRPr="00FB4EFA" w:rsidRDefault="000B62E0" w:rsidP="00E324D9">
      <w:pPr>
        <w:rPr>
          <w:lang w:val="en-GB"/>
        </w:rPr>
      </w:pPr>
      <w:r w:rsidRPr="00FB4EFA">
        <w:rPr>
          <w:lang w:val="en-GB"/>
        </w:rPr>
        <w:t>We are grateful to our colleagues Kara D. Brown, Raimo Raag, and Virve-Anneli Vihman, and two anonymous reviewers for their valuable advice.</w:t>
      </w:r>
    </w:p>
    <w:p w14:paraId="7DD9A889" w14:textId="77777777" w:rsidR="004166CB" w:rsidRPr="00FB4EFA" w:rsidRDefault="004166CB">
      <w:pPr>
        <w:spacing w:after="160" w:line="259" w:lineRule="auto"/>
        <w:jc w:val="left"/>
        <w:rPr>
          <w:rFonts w:ascii="Gill Sans MT" w:eastAsia="Gill Sans MT" w:hAnsi="Gill Sans MT" w:cs="Gill Sans MT"/>
          <w:sz w:val="28"/>
          <w:lang w:val="en-GB" w:eastAsia="en-GB"/>
        </w:rPr>
      </w:pPr>
      <w:r w:rsidRPr="00FB4EFA">
        <w:br w:type="page"/>
      </w:r>
    </w:p>
    <w:p w14:paraId="7451C854" w14:textId="6AE56828" w:rsidR="000B62E0" w:rsidRPr="00FB4EFA" w:rsidRDefault="000B62E0" w:rsidP="00545033">
      <w:pPr>
        <w:pStyle w:val="Heading2"/>
        <w:suppressAutoHyphens/>
        <w:rPr>
          <w:color w:val="auto"/>
        </w:rPr>
      </w:pPr>
      <w:r w:rsidRPr="00FB4EFA">
        <w:rPr>
          <w:color w:val="auto"/>
        </w:rPr>
        <w:lastRenderedPageBreak/>
        <w:t>References</w:t>
      </w:r>
    </w:p>
    <w:p w14:paraId="007F4338" w14:textId="558FFC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Style w:val="tojvnm2t"/>
          <w:rFonts w:ascii="Cambria" w:hAnsi="Cambria" w:cs="Charis SIL"/>
        </w:rPr>
        <w:t xml:space="preserve">Baldauf, Richard B. Jr. 2006. Rearticulating the Case for Micro Language Planning in a Language Ecology Context. </w:t>
      </w:r>
      <w:r w:rsidRPr="00FB4EFA">
        <w:rPr>
          <w:rStyle w:val="tojvnm2t"/>
          <w:rFonts w:ascii="Cambria" w:hAnsi="Cambria" w:cs="Charis SIL"/>
          <w:i/>
        </w:rPr>
        <w:t>Current Issues in Language Planning</w:t>
      </w:r>
      <w:r w:rsidRPr="00FB4EFA">
        <w:rPr>
          <w:rStyle w:val="tojvnm2t"/>
          <w:rFonts w:ascii="Cambria" w:hAnsi="Cambria" w:cs="Charis SIL"/>
        </w:rPr>
        <w:t xml:space="preserve"> 7 (2–3). 147–170.</w:t>
      </w:r>
    </w:p>
    <w:p w14:paraId="2D4262D5" w14:textId="0DAA04C3"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Belmar, Guillem &amp; Maggy Glass. 2019. Virtual communities as breathing spaces for minority languages: Re-framing minority language use in social media. </w:t>
      </w:r>
      <w:r w:rsidRPr="00FB4EFA">
        <w:rPr>
          <w:rFonts w:ascii="Cambria" w:hAnsi="Cambria" w:cs="Charis SIL"/>
          <w:i/>
          <w:iCs/>
          <w:szCs w:val="22"/>
          <w:lang w:val="en-GB"/>
        </w:rPr>
        <w:t>Adeptus</w:t>
      </w:r>
      <w:r w:rsidRPr="00FB4EFA">
        <w:rPr>
          <w:rFonts w:ascii="Cambria" w:hAnsi="Cambria" w:cs="Charis SIL"/>
          <w:szCs w:val="22"/>
          <w:lang w:val="en-GB"/>
        </w:rPr>
        <w:t xml:space="preserve"> 2019 (4). </w:t>
      </w:r>
      <w:hyperlink r:id="rId353" w:history="1">
        <w:r w:rsidRPr="00FB4EFA">
          <w:rPr>
            <w:rStyle w:val="Hyperlink"/>
            <w:rFonts w:ascii="Cambria" w:hAnsi="Cambria" w:cs="Charis SIL"/>
            <w:color w:val="auto"/>
            <w:szCs w:val="22"/>
            <w:lang w:val="en-GB"/>
          </w:rPr>
          <w:t>doi.org/10.11649/a.1968</w:t>
        </w:r>
      </w:hyperlink>
      <w:r w:rsidRPr="00FB4EFA">
        <w:rPr>
          <w:rFonts w:ascii="Cambria" w:hAnsi="Cambria" w:cs="Charis SIL"/>
          <w:szCs w:val="22"/>
          <w:lang w:val="en-GB"/>
        </w:rPr>
        <w:t>.</w:t>
      </w:r>
    </w:p>
    <w:p w14:paraId="66D654A7"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Blommaert, Jan. 2004. Writing as a problem: African grassroots writing, economies of literacy, and globalization. </w:t>
      </w:r>
      <w:r w:rsidRPr="00FB4EFA">
        <w:rPr>
          <w:rFonts w:ascii="Cambria" w:hAnsi="Cambria" w:cs="Charis SIL"/>
          <w:i/>
          <w:iCs/>
          <w:szCs w:val="22"/>
          <w:lang w:val="en-GB"/>
        </w:rPr>
        <w:t>Language in Society</w:t>
      </w:r>
      <w:r w:rsidRPr="00FB4EFA">
        <w:rPr>
          <w:rFonts w:ascii="Cambria" w:hAnsi="Cambria" w:cs="Charis SIL"/>
          <w:szCs w:val="22"/>
          <w:lang w:val="en-GB"/>
        </w:rPr>
        <w:t xml:space="preserve"> 33. 643–671.</w:t>
      </w:r>
    </w:p>
    <w:p w14:paraId="477A76C0"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Bradley, David. 2010. Language Endangerment and Resilience Linguistics: Case Studies of Gong and Lisu. </w:t>
      </w:r>
      <w:r w:rsidRPr="00FB4EFA">
        <w:rPr>
          <w:rFonts w:ascii="Cambria" w:hAnsi="Cambria" w:cs="Charis SIL"/>
          <w:i/>
          <w:iCs/>
          <w:szCs w:val="22"/>
          <w:lang w:val="en-GB"/>
        </w:rPr>
        <w:t>Anthropological Linguistics</w:t>
      </w:r>
      <w:r w:rsidRPr="00FB4EFA">
        <w:rPr>
          <w:rFonts w:ascii="Cambria" w:hAnsi="Cambria" w:cs="Charis SIL"/>
          <w:szCs w:val="22"/>
          <w:lang w:val="en-GB"/>
        </w:rPr>
        <w:t xml:space="preserve"> 52 (2). 123–140.</w:t>
      </w:r>
    </w:p>
    <w:p w14:paraId="402A9172"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Brown, Kara D. 2017. Linguistic repression and resilience: Teachers’ response to voluntary language policy in south-eastern Estonia. In Maarja Siiner, Kadri Koreinik &amp; Kara D. Brown (eds.), </w:t>
      </w:r>
      <w:r w:rsidRPr="00FB4EFA">
        <w:rPr>
          <w:rFonts w:ascii="Cambria" w:hAnsi="Cambria" w:cs="Charis SIL"/>
          <w:i/>
          <w:iCs/>
          <w:szCs w:val="22"/>
          <w:lang w:val="en-GB"/>
        </w:rPr>
        <w:t xml:space="preserve">Language policy beyond the state, </w:t>
      </w:r>
      <w:r w:rsidRPr="00FB4EFA">
        <w:rPr>
          <w:rFonts w:ascii="Cambria" w:hAnsi="Cambria" w:cs="Charis SIL"/>
          <w:iCs/>
          <w:szCs w:val="22"/>
          <w:lang w:val="en-GB"/>
        </w:rPr>
        <w:t>183–200</w:t>
      </w:r>
      <w:r w:rsidRPr="00FB4EFA">
        <w:rPr>
          <w:rFonts w:ascii="Cambria" w:hAnsi="Cambria" w:cs="Charis SIL"/>
          <w:szCs w:val="22"/>
          <w:lang w:val="en-GB"/>
        </w:rPr>
        <w:t>. Berlin: Springer.</w:t>
      </w:r>
    </w:p>
    <w:p w14:paraId="3C1A9942" w14:textId="6B256B1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Brown, Kara D. &amp; Kadri Koreinik. 2019. Contested counting? What the census and schools reveal about Võro in Southeastern Estonia. In Sanita Lazdiņa, &amp; Heiko F. Marten (eds.), </w:t>
      </w:r>
      <w:r w:rsidRPr="00FB4EFA">
        <w:rPr>
          <w:rFonts w:ascii="Cambria" w:hAnsi="Cambria" w:cs="Charis SIL"/>
          <w:i/>
          <w:szCs w:val="22"/>
          <w:lang w:val="en-GB"/>
        </w:rPr>
        <w:t>Multilingualism in the Baltic States: Societal Discourses and Language Policies,</w:t>
      </w:r>
      <w:r w:rsidRPr="00FB4EFA">
        <w:rPr>
          <w:rFonts w:ascii="Cambria" w:hAnsi="Cambria" w:cs="Charis SIL"/>
          <w:szCs w:val="22"/>
          <w:lang w:val="en-GB"/>
        </w:rPr>
        <w:t xml:space="preserve"> 89</w:t>
      </w:r>
      <w:r w:rsidR="00E62396" w:rsidRPr="00FB4EFA">
        <w:rPr>
          <w:rFonts w:ascii="Cambria" w:hAnsi="Cambria" w:cs="Charis SIL"/>
          <w:szCs w:val="22"/>
          <w:lang w:val="en-GB"/>
        </w:rPr>
        <w:t>–</w:t>
      </w:r>
      <w:r w:rsidRPr="00FB4EFA">
        <w:rPr>
          <w:rFonts w:ascii="Cambria" w:hAnsi="Cambria" w:cs="Charis SIL"/>
          <w:szCs w:val="22"/>
          <w:lang w:val="en-GB"/>
        </w:rPr>
        <w:t>121. London: Palgrave Macmillan.</w:t>
      </w:r>
    </w:p>
    <w:p w14:paraId="63764075" w14:textId="6E14B1DD"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Cahill, Michael. 2011. Non-linguistic factors in orthographies. Linguistic Society of America Annual Meeting, Pittsburgh, Jan. 6–9, 2011 Symposium on Developing Orthographies for Unwritten Languages. </w:t>
      </w:r>
      <w:hyperlink r:id="rId354" w:history="1">
        <w:r w:rsidR="00302054" w:rsidRPr="00FB4EFA">
          <w:rPr>
            <w:rStyle w:val="Hyperlink"/>
            <w:rFonts w:ascii="Cambria" w:hAnsi="Cambria" w:cs="Charis SIL"/>
            <w:color w:val="auto"/>
            <w:szCs w:val="22"/>
            <w:lang w:val="en-GB"/>
          </w:rPr>
          <w:t>www.researchgate.net/profile/Mike-Cahill/publication/267786206</w:t>
        </w:r>
      </w:hyperlink>
      <w:r w:rsidRPr="00FB4EFA">
        <w:rPr>
          <w:rFonts w:ascii="Cambria" w:hAnsi="Cambria" w:cs="Charis SIL"/>
          <w:szCs w:val="22"/>
          <w:lang w:val="en-GB"/>
        </w:rPr>
        <w:t>.</w:t>
      </w:r>
    </w:p>
    <w:p w14:paraId="4A93AD48" w14:textId="133E3A6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Cahill, Michael &amp; Elke Karan. 2008. Factors in designing effective orthographies for unwritten languages. </w:t>
      </w:r>
      <w:r w:rsidRPr="00FB4EFA">
        <w:rPr>
          <w:rFonts w:ascii="Cambria" w:hAnsi="Cambria" w:cs="Charis SIL"/>
          <w:i/>
          <w:iCs/>
          <w:szCs w:val="22"/>
          <w:lang w:val="en-GB"/>
        </w:rPr>
        <w:t>SIL Electronic Working Papers</w:t>
      </w:r>
      <w:r w:rsidRPr="00FB4EFA">
        <w:rPr>
          <w:rFonts w:ascii="Cambria" w:hAnsi="Cambria" w:cs="Charis SIL"/>
          <w:szCs w:val="22"/>
          <w:lang w:val="en-GB"/>
        </w:rPr>
        <w:t xml:space="preserve"> 2008-001</w:t>
      </w:r>
      <w:r w:rsidR="00302054" w:rsidRPr="00FB4EFA">
        <w:rPr>
          <w:rFonts w:ascii="Cambria" w:hAnsi="Cambria" w:cs="Charis SIL"/>
          <w:szCs w:val="22"/>
          <w:lang w:val="en-GB"/>
        </w:rPr>
        <w:t>.</w:t>
      </w:r>
      <w:r w:rsidRPr="00FB4EFA">
        <w:rPr>
          <w:rFonts w:ascii="Cambria" w:hAnsi="Cambria" w:cs="Charis SIL"/>
          <w:szCs w:val="22"/>
          <w:lang w:val="en-GB"/>
        </w:rPr>
        <w:t xml:space="preserve"> </w:t>
      </w:r>
      <w:hyperlink r:id="rId355" w:history="1">
        <w:r w:rsidR="00302054" w:rsidRPr="00FB4EFA">
          <w:rPr>
            <w:rStyle w:val="Hyperlink"/>
            <w:rFonts w:ascii="Cambria" w:hAnsi="Cambria" w:cs="Charis SIL"/>
            <w:color w:val="auto"/>
            <w:szCs w:val="22"/>
            <w:lang w:val="en-GB"/>
          </w:rPr>
          <w:t>www.sil.org/system/files/reapdata/71/22/66/</w:t>
        </w:r>
        <w:r w:rsidR="00302054" w:rsidRPr="00FB4EFA">
          <w:rPr>
            <w:rStyle w:val="Hyperlink"/>
            <w:rFonts w:ascii="Cambria" w:hAnsi="Cambria" w:cs="Charis SIL"/>
            <w:color w:val="auto"/>
            <w:szCs w:val="22"/>
            <w:lang w:val="en-GB"/>
          </w:rPr>
          <w:br/>
          <w:t>71226648004357014393230040163130285698/</w:t>
        </w:r>
        <w:r w:rsidR="00302054" w:rsidRPr="00FB4EFA">
          <w:rPr>
            <w:rStyle w:val="Hyperlink"/>
            <w:rFonts w:ascii="Cambria" w:hAnsi="Cambria" w:cs="Charis SIL"/>
            <w:color w:val="auto"/>
            <w:szCs w:val="22"/>
            <w:lang w:val="en-GB"/>
          </w:rPr>
          <w:br/>
          <w:t>silewp2008_001.pdf</w:t>
        </w:r>
      </w:hyperlink>
      <w:r w:rsidRPr="00FB4EFA">
        <w:rPr>
          <w:rFonts w:ascii="Cambria" w:hAnsi="Cambria" w:cs="Charis SIL"/>
          <w:szCs w:val="22"/>
          <w:lang w:val="en-GB"/>
        </w:rPr>
        <w:t>.</w:t>
      </w:r>
    </w:p>
    <w:p w14:paraId="1E6B88C3" w14:textId="0BAF70E4"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t xml:space="preserve">Cunliﬀe, Daniel. 2007. Minority languages and the Internet: New threats, new opportunities. In Mike Cormack &amp; Niamh Hourigan (eds.), </w:t>
      </w:r>
      <w:r w:rsidRPr="00FB4EFA">
        <w:rPr>
          <w:rFonts w:ascii="Cambria" w:hAnsi="Cambria" w:cs="Charis SIL"/>
          <w:i/>
          <w:iCs/>
          <w:szCs w:val="22"/>
          <w:lang w:val="en-GB"/>
        </w:rPr>
        <w:t>Minority language media: Concepts, critiques, and case studies</w:t>
      </w:r>
      <w:r w:rsidRPr="00FB4EFA">
        <w:rPr>
          <w:rFonts w:ascii="Cambria" w:hAnsi="Cambria" w:cs="Charis SIL"/>
          <w:szCs w:val="22"/>
          <w:lang w:val="en-GB"/>
        </w:rPr>
        <w:t>, 133–151. Clevedon: Multilingual Matters.</w:t>
      </w:r>
    </w:p>
    <w:p w14:paraId="1E6A6002"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Dahl, Östen. 1979. Typology of sentence negation. </w:t>
      </w:r>
      <w:r w:rsidRPr="00FB4EFA">
        <w:rPr>
          <w:rFonts w:ascii="Cambria" w:hAnsi="Cambria" w:cs="Charis SIL"/>
          <w:i/>
          <w:iCs/>
          <w:szCs w:val="22"/>
          <w:lang w:val="en-GB"/>
        </w:rPr>
        <w:t>Linguistics</w:t>
      </w:r>
      <w:r w:rsidRPr="00FB4EFA">
        <w:rPr>
          <w:rFonts w:ascii="Cambria" w:hAnsi="Cambria" w:cs="Charis SIL"/>
          <w:szCs w:val="22"/>
          <w:lang w:val="en-GB"/>
        </w:rPr>
        <w:t xml:space="preserve"> 17. 79–106.</w:t>
      </w:r>
    </w:p>
    <w:p w14:paraId="71F1E4EC"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Davies, Alan. 2003. </w:t>
      </w:r>
      <w:r w:rsidRPr="00FB4EFA">
        <w:rPr>
          <w:rFonts w:ascii="Cambria" w:hAnsi="Cambria" w:cs="Charis SIL"/>
          <w:i/>
          <w:iCs/>
          <w:szCs w:val="22"/>
          <w:lang w:val="en-GB"/>
        </w:rPr>
        <w:t>The native speaker: Myth and reality</w:t>
      </w:r>
      <w:r w:rsidRPr="00FB4EFA">
        <w:rPr>
          <w:rFonts w:ascii="Cambria" w:hAnsi="Cambria" w:cs="Charis SIL"/>
          <w:szCs w:val="22"/>
          <w:lang w:val="en-GB"/>
        </w:rPr>
        <w:t>. Clevedon: Multilingual Matters.</w:t>
      </w:r>
    </w:p>
    <w:p w14:paraId="67E8146A" w14:textId="0556CC9E"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Dorian, Nancy C. 1994. Purism vs. compromise in language revitalization and language revival. </w:t>
      </w:r>
      <w:r w:rsidRPr="00FB4EFA">
        <w:rPr>
          <w:rFonts w:ascii="Cambria" w:hAnsi="Cambria" w:cs="Charis SIL"/>
          <w:i/>
          <w:iCs/>
          <w:szCs w:val="22"/>
          <w:lang w:val="en-GB"/>
        </w:rPr>
        <w:t>Language in Society</w:t>
      </w:r>
      <w:r w:rsidRPr="00FB4EFA">
        <w:rPr>
          <w:rFonts w:ascii="Cambria" w:hAnsi="Cambria" w:cs="Charis SIL"/>
          <w:szCs w:val="22"/>
          <w:lang w:val="en-GB"/>
        </w:rPr>
        <w:t xml:space="preserve"> 23 (4). 479–494.</w:t>
      </w:r>
    </w:p>
    <w:p w14:paraId="4D6408E3" w14:textId="7828F86F"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lastRenderedPageBreak/>
        <w:t>Drackley, Patrick. 201</w:t>
      </w:r>
      <w:r w:rsidR="00A775E8" w:rsidRPr="00FB4EFA">
        <w:rPr>
          <w:rFonts w:ascii="Cambria" w:hAnsi="Cambria" w:cs="Charis SIL"/>
          <w:szCs w:val="22"/>
          <w:lang w:val="en-GB"/>
        </w:rPr>
        <w:t>9</w:t>
      </w:r>
      <w:r w:rsidRPr="00FB4EFA">
        <w:rPr>
          <w:rFonts w:ascii="Cambria" w:hAnsi="Cambria" w:cs="Charis SIL"/>
          <w:szCs w:val="22"/>
          <w:lang w:val="en-GB"/>
        </w:rPr>
        <w:t xml:space="preserve">. “Je suis circonflexe”: grassroots prescriptivism and orthographic reform. </w:t>
      </w:r>
      <w:r w:rsidRPr="00FB4EFA">
        <w:rPr>
          <w:rFonts w:ascii="Cambria" w:hAnsi="Cambria" w:cs="Charis SIL"/>
          <w:i/>
          <w:iCs/>
          <w:szCs w:val="22"/>
          <w:lang w:val="en-GB"/>
        </w:rPr>
        <w:t xml:space="preserve">Language Policy </w:t>
      </w:r>
      <w:r w:rsidRPr="00FB4EFA">
        <w:rPr>
          <w:rFonts w:ascii="Cambria" w:hAnsi="Cambria" w:cs="Charis SIL"/>
          <w:szCs w:val="22"/>
          <w:lang w:val="en-GB"/>
        </w:rPr>
        <w:t xml:space="preserve">18. 295–313. </w:t>
      </w:r>
      <w:hyperlink r:id="rId356" w:history="1">
        <w:r w:rsidRPr="00FB4EFA">
          <w:rPr>
            <w:rStyle w:val="Hyperlink"/>
            <w:rFonts w:ascii="Cambria" w:hAnsi="Cambria" w:cs="Charis SIL"/>
            <w:color w:val="auto"/>
            <w:szCs w:val="22"/>
            <w:lang w:val="en-GB"/>
          </w:rPr>
          <w:t>doi.org/10.1007/s10993-018-9486-2</w:t>
        </w:r>
      </w:hyperlink>
      <w:r w:rsidRPr="00FB4EFA">
        <w:rPr>
          <w:rFonts w:ascii="Cambria" w:hAnsi="Cambria" w:cs="Charis SIL"/>
          <w:szCs w:val="22"/>
          <w:lang w:val="en-GB"/>
        </w:rPr>
        <w:t>.</w:t>
      </w:r>
    </w:p>
    <w:p w14:paraId="11B5D944" w14:textId="3F1D2831"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Ehala, Martin</w:t>
      </w:r>
      <w:r w:rsidR="00054818" w:rsidRPr="00FB4EFA">
        <w:rPr>
          <w:rFonts w:ascii="Cambria" w:hAnsi="Cambria" w:cs="Charis SIL"/>
          <w:szCs w:val="22"/>
          <w:lang w:val="en-GB"/>
        </w:rPr>
        <w:t>.</w:t>
      </w:r>
      <w:r w:rsidRPr="00FB4EFA">
        <w:rPr>
          <w:rFonts w:ascii="Cambria" w:hAnsi="Cambria" w:cs="Charis SIL"/>
          <w:szCs w:val="22"/>
          <w:lang w:val="en-GB"/>
        </w:rPr>
        <w:t xml:space="preserve"> 2006. Keelevahetuse pööramisvõimalusi võru keelealal [Options to reverse language shift in Võro-speaking area]. In Helen Koks &amp; Jan Rahman (eds.), </w:t>
      </w:r>
      <w:r w:rsidRPr="00FB4EFA">
        <w:rPr>
          <w:rFonts w:ascii="Cambria" w:hAnsi="Cambria" w:cs="Charis SIL"/>
          <w:i/>
          <w:iCs/>
          <w:szCs w:val="22"/>
          <w:lang w:val="en-GB"/>
        </w:rPr>
        <w:t>Mitmekeelsus ja keelevahetus läänemeresoome piirkonnas</w:t>
      </w:r>
      <w:r w:rsidRPr="00FB4EFA">
        <w:rPr>
          <w:rFonts w:ascii="Cambria" w:hAnsi="Cambria" w:cs="Charis SIL"/>
          <w:szCs w:val="22"/>
          <w:lang w:val="en-GB"/>
        </w:rPr>
        <w:t>,</w:t>
      </w:r>
      <w:r w:rsidRPr="00FB4EFA">
        <w:rPr>
          <w:rFonts w:ascii="Cambria" w:hAnsi="Cambria" w:cs="Charis SIL"/>
          <w:i/>
          <w:iCs/>
          <w:szCs w:val="22"/>
          <w:lang w:val="en-GB"/>
        </w:rPr>
        <w:t xml:space="preserve"> </w:t>
      </w:r>
      <w:r w:rsidRPr="00FB4EFA">
        <w:rPr>
          <w:rFonts w:ascii="Cambria" w:hAnsi="Cambria" w:cs="Charis SIL"/>
          <w:szCs w:val="22"/>
          <w:lang w:val="en-GB"/>
        </w:rPr>
        <w:t>11–26. Publications of Võro Institute 18. Võro: Võro Instituut.</w:t>
      </w:r>
    </w:p>
    <w:p w14:paraId="085CAF4B" w14:textId="70B7BFF9"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t>Ehala, Martin</w:t>
      </w:r>
      <w:r w:rsidR="00054818" w:rsidRPr="00FB4EFA">
        <w:rPr>
          <w:rFonts w:ascii="Cambria" w:hAnsi="Cambria" w:cs="Charis SIL"/>
          <w:szCs w:val="22"/>
          <w:lang w:val="en-GB"/>
        </w:rPr>
        <w:t>.</w:t>
      </w:r>
      <w:r w:rsidRPr="00FB4EFA">
        <w:rPr>
          <w:rFonts w:ascii="Cambria" w:hAnsi="Cambria" w:cs="Charis SIL"/>
          <w:szCs w:val="22"/>
          <w:lang w:val="en-GB"/>
        </w:rPr>
        <w:t xml:space="preserve"> 2007. Sustainability of double ethnic identity in majority-minority settings: The case of Estonian and Võro. In Rogier Blokland &amp; Cornelius Hasselblatt (eds.), </w:t>
      </w:r>
      <w:r w:rsidRPr="00FB4EFA">
        <w:rPr>
          <w:rFonts w:ascii="Cambria" w:hAnsi="Cambria" w:cs="Charis SIL"/>
          <w:i/>
          <w:iCs/>
          <w:szCs w:val="22"/>
          <w:lang w:val="en-GB"/>
        </w:rPr>
        <w:t>Language and Identity in the Finno-Ugric World. Proceedings of the Fourth International Symposium at the University of Groningen, May 17–19, 2006</w:t>
      </w:r>
      <w:r w:rsidRPr="00FB4EFA">
        <w:rPr>
          <w:rFonts w:ascii="Cambria" w:hAnsi="Cambria" w:cs="Charis SIL"/>
          <w:szCs w:val="22"/>
          <w:lang w:val="en-GB"/>
        </w:rPr>
        <w:t>, 44–54. Maastricht: Shaker.</w:t>
      </w:r>
    </w:p>
    <w:p w14:paraId="66BD7C74" w14:textId="4B10C85B"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t xml:space="preserve">Ehala, Martin. 2008. An evaluation matrix for ethno-linguistic vitality. In S. Pertot, T. Priestly &amp; C. Williams (eds.), </w:t>
      </w:r>
      <w:r w:rsidRPr="00FB4EFA">
        <w:rPr>
          <w:rFonts w:ascii="Cambria" w:hAnsi="Cambria" w:cs="Charis SIL"/>
          <w:i/>
          <w:iCs/>
          <w:szCs w:val="22"/>
          <w:lang w:val="en-GB"/>
        </w:rPr>
        <w:t>Rights, Promotion and Integration Issues for Minority Languages in Europe,</w:t>
      </w:r>
      <w:r w:rsidRPr="00FB4EFA">
        <w:rPr>
          <w:rFonts w:ascii="Cambria" w:hAnsi="Cambria" w:cs="Charis SIL"/>
          <w:szCs w:val="22"/>
          <w:lang w:val="en-GB"/>
        </w:rPr>
        <w:t xml:space="preserve"> 123</w:t>
      </w:r>
      <w:r w:rsidR="00E62396" w:rsidRPr="00FB4EFA">
        <w:rPr>
          <w:rFonts w:ascii="Cambria" w:hAnsi="Cambria" w:cs="Charis SIL"/>
          <w:szCs w:val="22"/>
          <w:lang w:val="en-GB"/>
        </w:rPr>
        <w:t>–</w:t>
      </w:r>
      <w:r w:rsidRPr="00FB4EFA">
        <w:rPr>
          <w:rFonts w:ascii="Cambria" w:hAnsi="Cambria" w:cs="Charis SIL"/>
          <w:szCs w:val="22"/>
          <w:lang w:val="en-GB"/>
        </w:rPr>
        <w:t>137. London: Palgrave Macmillan.</w:t>
      </w:r>
    </w:p>
    <w:p w14:paraId="0E5C4E6D"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Eller, Kalle I. &amp; Kaido Kama. 1988. Lõunaeesti keele ortograafiast [On the orthogaphy of South Estonian]. </w:t>
      </w:r>
      <w:r w:rsidRPr="00FB4EFA">
        <w:rPr>
          <w:rFonts w:ascii="Cambria" w:hAnsi="Cambria" w:cs="Charis SIL"/>
          <w:i/>
          <w:iCs/>
          <w:szCs w:val="22"/>
          <w:lang w:val="en-GB"/>
        </w:rPr>
        <w:t xml:space="preserve">Looming </w:t>
      </w:r>
      <w:r w:rsidRPr="00FB4EFA">
        <w:rPr>
          <w:rFonts w:ascii="Cambria" w:hAnsi="Cambria" w:cs="Charis SIL"/>
          <w:szCs w:val="22"/>
          <w:lang w:val="en-GB"/>
        </w:rPr>
        <w:t>9. 1271–1274.</w:t>
      </w:r>
    </w:p>
    <w:p w14:paraId="06396EBD"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Errington, Joseph. 2001. Colonial linguistics. </w:t>
      </w:r>
      <w:r w:rsidRPr="00FB4EFA">
        <w:rPr>
          <w:rFonts w:ascii="Cambria" w:hAnsi="Cambria" w:cs="Charis SIL"/>
          <w:i/>
          <w:iCs/>
          <w:szCs w:val="22"/>
          <w:lang w:val="en-GB"/>
        </w:rPr>
        <w:t>Annual Review of Anthropology</w:t>
      </w:r>
      <w:r w:rsidRPr="00FB4EFA">
        <w:rPr>
          <w:rFonts w:ascii="Cambria" w:hAnsi="Cambria" w:cs="Charis SIL"/>
          <w:szCs w:val="22"/>
          <w:lang w:val="en-GB"/>
        </w:rPr>
        <w:t xml:space="preserve"> 30. 19–39.</w:t>
      </w:r>
    </w:p>
    <w:p w14:paraId="6459F28B"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Style w:val="tojvnm2t"/>
          <w:rFonts w:ascii="Cambria" w:hAnsi="Cambria" w:cs="Charis SIL"/>
        </w:rPr>
        <w:t xml:space="preserve">Ferguson, Charles A. 1968. Language development. In Joshua A. Fishman, Charles A. Ferguson &amp; Jyotirindra Das Gupta (eds.), </w:t>
      </w:r>
      <w:r w:rsidRPr="00FB4EFA">
        <w:rPr>
          <w:rStyle w:val="tojvnm2t"/>
          <w:rFonts w:ascii="Cambria" w:hAnsi="Cambria" w:cs="Charis SIL"/>
          <w:i/>
        </w:rPr>
        <w:t>Language problems in developing nations,</w:t>
      </w:r>
      <w:r w:rsidRPr="00FB4EFA">
        <w:rPr>
          <w:rStyle w:val="tojvnm2t"/>
          <w:rFonts w:ascii="Cambria" w:hAnsi="Cambria" w:cs="Charis SIL"/>
        </w:rPr>
        <w:t xml:space="preserve"> 27–35. New York: Wiley.</w:t>
      </w:r>
    </w:p>
    <w:p w14:paraId="69BAACF0" w14:textId="16DDFD1F"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Ferr</w:t>
      </w:r>
      <w:r w:rsidR="00750DCA" w:rsidRPr="00FB4EFA">
        <w:rPr>
          <w:rFonts w:ascii="Cambria" w:hAnsi="Cambria" w:cs="Charis SIL"/>
          <w:szCs w:val="22"/>
          <w:lang w:val="en-GB"/>
        </w:rPr>
        <w:t>é</w:t>
      </w:r>
      <w:r w:rsidRPr="00FB4EFA">
        <w:rPr>
          <w:rFonts w:ascii="Cambria" w:hAnsi="Cambria" w:cs="Charis SIL"/>
          <w:szCs w:val="22"/>
          <w:lang w:val="en-GB"/>
        </w:rPr>
        <w:t>-Pavia, Carme, I</w:t>
      </w:r>
      <w:r w:rsidR="00750DCA" w:rsidRPr="00FB4EFA">
        <w:rPr>
          <w:rFonts w:ascii="Cambria" w:hAnsi="Cambria" w:cs="Charis SIL"/>
          <w:szCs w:val="22"/>
          <w:lang w:val="en-GB"/>
        </w:rPr>
        <w:t>ñ</w:t>
      </w:r>
      <w:r w:rsidRPr="00FB4EFA">
        <w:rPr>
          <w:rFonts w:ascii="Cambria" w:hAnsi="Cambria" w:cs="Charis SIL"/>
          <w:szCs w:val="22"/>
          <w:lang w:val="en-GB"/>
        </w:rPr>
        <w:t>aki Zabaleta, Arantza Gutierrez, Itxaso Fernandez-Astobiza &amp; Nicol</w:t>
      </w:r>
      <w:r w:rsidR="00750DCA" w:rsidRPr="00FB4EFA">
        <w:rPr>
          <w:rFonts w:ascii="Cambria" w:hAnsi="Cambria" w:cs="Charis SIL"/>
          <w:szCs w:val="22"/>
          <w:lang w:val="en-GB"/>
        </w:rPr>
        <w:t>á</w:t>
      </w:r>
      <w:r w:rsidRPr="00FB4EFA">
        <w:rPr>
          <w:rFonts w:ascii="Cambria" w:hAnsi="Cambria" w:cs="Charis SIL"/>
          <w:szCs w:val="22"/>
          <w:lang w:val="en-GB"/>
        </w:rPr>
        <w:t xml:space="preserve">s Xamardo. 2018. Internet and Social Media in European Minority Languages: Analysis of the Digitalization Process. </w:t>
      </w:r>
      <w:r w:rsidRPr="00FB4EFA">
        <w:rPr>
          <w:rFonts w:ascii="Cambria" w:hAnsi="Cambria" w:cs="Charis SIL"/>
          <w:i/>
          <w:iCs/>
          <w:szCs w:val="22"/>
          <w:lang w:val="en-GB"/>
        </w:rPr>
        <w:t>International Journal of Communication</w:t>
      </w:r>
      <w:r w:rsidRPr="00FB4EFA">
        <w:rPr>
          <w:rFonts w:ascii="Cambria" w:hAnsi="Cambria" w:cs="Charis SIL"/>
          <w:szCs w:val="22"/>
          <w:lang w:val="en-GB"/>
        </w:rPr>
        <w:t xml:space="preserve"> 12. 1065–1086.</w:t>
      </w:r>
    </w:p>
    <w:p w14:paraId="3989695A"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Fishman, Joshua A. 1991. </w:t>
      </w:r>
      <w:r w:rsidRPr="00FB4EFA">
        <w:rPr>
          <w:rFonts w:ascii="Cambria" w:hAnsi="Cambria" w:cs="Charis SIL"/>
          <w:i/>
          <w:iCs/>
          <w:szCs w:val="22"/>
          <w:lang w:val="en-GB"/>
        </w:rPr>
        <w:t xml:space="preserve">Reversing Language Shift. Theoretical and Empirical Foundations of Assistance to Threatened Languages. </w:t>
      </w:r>
      <w:r w:rsidRPr="00FB4EFA">
        <w:rPr>
          <w:rFonts w:ascii="Cambria" w:hAnsi="Cambria" w:cs="Charis SIL"/>
          <w:szCs w:val="22"/>
          <w:lang w:val="en-GB"/>
        </w:rPr>
        <w:t>Clevedon: Multilingual Matters.</w:t>
      </w:r>
    </w:p>
    <w:p w14:paraId="679B6654"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Fishman, Joshua A. 2006. </w:t>
      </w:r>
      <w:r w:rsidRPr="00FB4EFA">
        <w:rPr>
          <w:rFonts w:ascii="Cambria" w:hAnsi="Cambria" w:cs="Charis SIL"/>
          <w:i/>
          <w:iCs/>
          <w:szCs w:val="22"/>
          <w:lang w:val="en-GB"/>
        </w:rPr>
        <w:t>Do not leave your language alone: the hidden status agendas within corpus planning in language policy</w:t>
      </w:r>
      <w:r w:rsidRPr="00FB4EFA">
        <w:rPr>
          <w:rFonts w:ascii="Cambria" w:hAnsi="Cambria" w:cs="Charis SIL"/>
          <w:szCs w:val="22"/>
          <w:lang w:val="en-GB"/>
        </w:rPr>
        <w:t>. Mahwah: Erlbaum.</w:t>
      </w:r>
    </w:p>
    <w:p w14:paraId="4FB18D0A"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Foucault, Michel. 1988. </w:t>
      </w:r>
      <w:r w:rsidRPr="00FB4EFA">
        <w:rPr>
          <w:rFonts w:ascii="Cambria" w:hAnsi="Cambria" w:cs="Charis SIL"/>
          <w:i/>
          <w:iCs/>
          <w:szCs w:val="22"/>
          <w:lang w:val="en-GB"/>
        </w:rPr>
        <w:t>Technologies of the Self</w:t>
      </w:r>
      <w:r w:rsidRPr="00FB4EFA">
        <w:rPr>
          <w:rFonts w:ascii="Cambria" w:hAnsi="Cambria" w:cs="Charis SIL"/>
          <w:szCs w:val="22"/>
          <w:lang w:val="en-GB"/>
        </w:rPr>
        <w:t>. Amherst, MA: University. of Massachusetts Press.</w:t>
      </w:r>
    </w:p>
    <w:p w14:paraId="697CA161"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Gal, Susan. 2006. Contradictions of standard language in Europe: Implications for the study of publics and practices. </w:t>
      </w:r>
      <w:r w:rsidRPr="00FB4EFA">
        <w:rPr>
          <w:rFonts w:ascii="Cambria" w:hAnsi="Cambria" w:cs="Charis SIL"/>
          <w:i/>
          <w:iCs/>
          <w:szCs w:val="22"/>
          <w:lang w:val="en-GB"/>
        </w:rPr>
        <w:t>Social Anthropology</w:t>
      </w:r>
      <w:r w:rsidRPr="00FB4EFA">
        <w:rPr>
          <w:rFonts w:ascii="Cambria" w:hAnsi="Cambria" w:cs="Charis SIL"/>
          <w:szCs w:val="22"/>
          <w:lang w:val="en-GB"/>
        </w:rPr>
        <w:t xml:space="preserve"> 14 (2). 163–181.</w:t>
      </w:r>
    </w:p>
    <w:p w14:paraId="6D4803E4"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lastRenderedPageBreak/>
        <w:t xml:space="preserve">Grenoble, Lenore A. &amp; Lindsay J. Whaley. 2006. </w:t>
      </w:r>
      <w:r w:rsidRPr="00FB4EFA">
        <w:rPr>
          <w:rFonts w:ascii="Cambria" w:hAnsi="Cambria" w:cs="Charis SIL"/>
          <w:i/>
          <w:iCs/>
          <w:szCs w:val="22"/>
          <w:lang w:val="en-GB"/>
        </w:rPr>
        <w:t>Saving Languages. An Introduction to Language Revitalization</w:t>
      </w:r>
      <w:r w:rsidRPr="00FB4EFA">
        <w:rPr>
          <w:rFonts w:ascii="Cambria" w:hAnsi="Cambria" w:cs="Charis SIL"/>
          <w:szCs w:val="22"/>
          <w:lang w:val="en-GB"/>
        </w:rPr>
        <w:t>. Cambridge: Cambridge University Press.</w:t>
      </w:r>
    </w:p>
    <w:p w14:paraId="7ECA331E"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Haugen, Einar. 1966. Dialect, Language, Nation. </w:t>
      </w:r>
      <w:r w:rsidRPr="00FB4EFA">
        <w:rPr>
          <w:rFonts w:ascii="Cambria" w:hAnsi="Cambria" w:cs="Charis SIL"/>
          <w:i/>
          <w:iCs/>
          <w:szCs w:val="22"/>
          <w:lang w:val="en-GB"/>
        </w:rPr>
        <w:t>American Anthropologist</w:t>
      </w:r>
      <w:r w:rsidRPr="00FB4EFA">
        <w:rPr>
          <w:rFonts w:ascii="Cambria" w:hAnsi="Cambria" w:cs="Charis SIL"/>
          <w:szCs w:val="22"/>
          <w:lang w:val="en-GB"/>
        </w:rPr>
        <w:t xml:space="preserve"> </w:t>
      </w:r>
      <w:r w:rsidRPr="00FB4EFA">
        <w:rPr>
          <w:rFonts w:ascii="Cambria" w:hAnsi="Cambria" w:cs="Charis SIL"/>
          <w:szCs w:val="22"/>
          <w:shd w:val="clear" w:color="auto" w:fill="FFFFFF"/>
          <w:lang w:val="en-GB"/>
        </w:rPr>
        <w:t>68 (4)</w:t>
      </w:r>
      <w:r w:rsidRPr="00FB4EFA">
        <w:rPr>
          <w:rFonts w:ascii="Cambria" w:hAnsi="Cambria" w:cs="Charis SIL"/>
          <w:szCs w:val="22"/>
          <w:lang w:val="en-GB"/>
        </w:rPr>
        <w:t>.</w:t>
      </w:r>
      <w:r w:rsidRPr="00FB4EFA">
        <w:rPr>
          <w:rFonts w:ascii="Cambria" w:hAnsi="Cambria" w:cs="Charis SIL"/>
          <w:szCs w:val="22"/>
          <w:shd w:val="clear" w:color="auto" w:fill="FFFFFF"/>
          <w:lang w:val="en-GB"/>
        </w:rPr>
        <w:t xml:space="preserve"> 922–935.</w:t>
      </w:r>
    </w:p>
    <w:p w14:paraId="2E17F851"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Haugen, Einar. 1983. The implementation of corpus planning: Theory and practice. In J. Cobarrubias &amp; Joshua A. Fishman (eds.), </w:t>
      </w:r>
      <w:r w:rsidRPr="00FB4EFA">
        <w:rPr>
          <w:rFonts w:ascii="Cambria" w:hAnsi="Cambria" w:cs="Charis SIL"/>
          <w:i/>
          <w:iCs/>
          <w:szCs w:val="22"/>
          <w:lang w:val="en-GB"/>
        </w:rPr>
        <w:t>Progress in language planning,</w:t>
      </w:r>
      <w:r w:rsidRPr="00FB4EFA">
        <w:rPr>
          <w:rFonts w:ascii="Cambria" w:hAnsi="Cambria" w:cs="Charis SIL"/>
          <w:szCs w:val="22"/>
          <w:lang w:val="en-GB"/>
        </w:rPr>
        <w:t xml:space="preserve"> 269–290. The Hauge: Mouton.</w:t>
      </w:r>
    </w:p>
    <w:p w14:paraId="689DFCFC" w14:textId="77777777"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t xml:space="preserve">Help, Toomas. 1990. Selgituseks [For clarification]. In Tea Avarmaa, Ülle Kauksi, Madis Kõiv &amp; Agu Vissel (eds.), </w:t>
      </w:r>
      <w:r w:rsidRPr="00FB4EFA">
        <w:rPr>
          <w:rFonts w:ascii="Cambria" w:hAnsi="Cambria" w:cs="Charis SIL"/>
          <w:i/>
          <w:szCs w:val="22"/>
          <w:lang w:val="en-GB"/>
        </w:rPr>
        <w:t>Kaika suvõülikuul. Valit tüü 6.–9.augustil 1989 Kaikal peet edimedsest võrokiilsest oppajide õppamisest,</w:t>
      </w:r>
      <w:r w:rsidRPr="00FB4EFA">
        <w:rPr>
          <w:rFonts w:ascii="Cambria" w:hAnsi="Cambria" w:cs="Charis SIL"/>
          <w:szCs w:val="22"/>
          <w:lang w:val="en-GB"/>
        </w:rPr>
        <w:t xml:space="preserve"> 62–67. Tartu: Eesti Kostabi $elts.</w:t>
      </w:r>
    </w:p>
    <w:p w14:paraId="0FFF4D48"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Hennoste, Tiit. 1999. Eesti keele arengud: totalitaariast polüloogiasse. </w:t>
      </w:r>
      <w:r w:rsidRPr="00FB4EFA">
        <w:rPr>
          <w:rFonts w:ascii="Cambria" w:hAnsi="Cambria" w:cs="Charis SIL"/>
          <w:i/>
          <w:iCs/>
          <w:szCs w:val="22"/>
          <w:lang w:val="en-GB"/>
        </w:rPr>
        <w:t>Keel ja Kirjandus</w:t>
      </w:r>
      <w:r w:rsidRPr="00FB4EFA">
        <w:rPr>
          <w:rFonts w:ascii="Cambria" w:hAnsi="Cambria" w:cs="Charis SIL"/>
          <w:szCs w:val="22"/>
          <w:lang w:val="en-GB"/>
        </w:rPr>
        <w:t xml:space="preserve"> 2. 88–96.</w:t>
      </w:r>
    </w:p>
    <w:p w14:paraId="50446EB0" w14:textId="2E14557F"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Style w:val="authors0"/>
          <w:rFonts w:ascii="Cambria" w:hAnsi="Cambria" w:cs="Charis SIL"/>
        </w:rPr>
        <w:t>Hornberger, Nancy H.</w:t>
      </w:r>
      <w:r w:rsidRPr="00FB4EFA">
        <w:rPr>
          <w:rFonts w:ascii="Cambria" w:hAnsi="Cambria" w:cs="Charis SIL"/>
        </w:rPr>
        <w:t xml:space="preserve"> </w:t>
      </w:r>
      <w:r w:rsidRPr="00FB4EFA">
        <w:rPr>
          <w:rStyle w:val="Date1"/>
          <w:rFonts w:ascii="Cambria" w:hAnsi="Cambria" w:cs="Charis SIL"/>
        </w:rPr>
        <w:t>1994.</w:t>
      </w:r>
      <w:r w:rsidRPr="00FB4EFA">
        <w:rPr>
          <w:rFonts w:ascii="Cambria" w:hAnsi="Cambria" w:cs="Charis SIL"/>
        </w:rPr>
        <w:t xml:space="preserve"> </w:t>
      </w:r>
      <w:r w:rsidRPr="00FB4EFA">
        <w:rPr>
          <w:rStyle w:val="arttitle"/>
          <w:rFonts w:ascii="Cambria" w:hAnsi="Cambria" w:cs="Charis SIL"/>
        </w:rPr>
        <w:t>Literacy and language planning.</w:t>
      </w:r>
      <w:r w:rsidRPr="00FB4EFA">
        <w:rPr>
          <w:rFonts w:ascii="Cambria" w:hAnsi="Cambria" w:cs="Charis SIL"/>
        </w:rPr>
        <w:t xml:space="preserve"> </w:t>
      </w:r>
      <w:r w:rsidRPr="00FB4EFA">
        <w:rPr>
          <w:rStyle w:val="serialtitle"/>
          <w:rFonts w:ascii="Cambria" w:hAnsi="Cambria" w:cs="Charis SIL"/>
          <w:i/>
        </w:rPr>
        <w:t>Language and Education</w:t>
      </w:r>
      <w:r w:rsidRPr="00FB4EFA">
        <w:rPr>
          <w:rFonts w:ascii="Cambria" w:hAnsi="Cambria" w:cs="Charis SIL"/>
        </w:rPr>
        <w:t xml:space="preserve"> </w:t>
      </w:r>
      <w:r w:rsidRPr="00FB4EFA">
        <w:rPr>
          <w:rStyle w:val="volumeissue"/>
          <w:rFonts w:ascii="Cambria" w:hAnsi="Cambria" w:cs="Charis SIL"/>
        </w:rPr>
        <w:t>8</w:t>
      </w:r>
      <w:r w:rsidR="00750DCA" w:rsidRPr="00FB4EFA">
        <w:rPr>
          <w:rStyle w:val="volumeissue"/>
          <w:rFonts w:ascii="Cambria" w:hAnsi="Cambria" w:cs="Charis SIL"/>
        </w:rPr>
        <w:t xml:space="preserve"> </w:t>
      </w:r>
      <w:r w:rsidRPr="00FB4EFA">
        <w:rPr>
          <w:rStyle w:val="volumeissue"/>
          <w:rFonts w:ascii="Cambria" w:hAnsi="Cambria" w:cs="Charis SIL"/>
        </w:rPr>
        <w:t>(1</w:t>
      </w:r>
      <w:r w:rsidRPr="00FB4EFA">
        <w:rPr>
          <w:rFonts w:ascii="Cambria" w:hAnsi="Cambria" w:cs="Charis SIL"/>
          <w:szCs w:val="22"/>
          <w:lang w:val="en-GB"/>
        </w:rPr>
        <w:t>–</w:t>
      </w:r>
      <w:r w:rsidRPr="00FB4EFA">
        <w:rPr>
          <w:rStyle w:val="volumeissue"/>
          <w:rFonts w:ascii="Cambria" w:hAnsi="Cambria" w:cs="Charis SIL"/>
        </w:rPr>
        <w:t>2)</w:t>
      </w:r>
      <w:r w:rsidRPr="00FB4EFA">
        <w:rPr>
          <w:rFonts w:ascii="Cambria" w:hAnsi="Cambria" w:cs="Charis SIL"/>
          <w:szCs w:val="22"/>
          <w:lang w:val="en-GB"/>
        </w:rPr>
        <w:t>.</w:t>
      </w:r>
      <w:r w:rsidRPr="00FB4EFA">
        <w:rPr>
          <w:rFonts w:ascii="Cambria" w:hAnsi="Cambria" w:cs="Charis SIL"/>
        </w:rPr>
        <w:t xml:space="preserve"> </w:t>
      </w:r>
      <w:r w:rsidRPr="00FB4EFA">
        <w:rPr>
          <w:rStyle w:val="pagerange"/>
          <w:rFonts w:ascii="Cambria" w:hAnsi="Cambria" w:cs="Charis SIL"/>
        </w:rPr>
        <w:t>75</w:t>
      </w:r>
      <w:r w:rsidRPr="00FB4EFA">
        <w:rPr>
          <w:rFonts w:ascii="Cambria" w:hAnsi="Cambria" w:cs="Charis SIL"/>
          <w:szCs w:val="22"/>
          <w:lang w:val="en-GB"/>
        </w:rPr>
        <w:t>–</w:t>
      </w:r>
      <w:r w:rsidRPr="00FB4EFA">
        <w:rPr>
          <w:rStyle w:val="pagerange"/>
          <w:rFonts w:ascii="Cambria" w:hAnsi="Cambria" w:cs="Charis SIL"/>
        </w:rPr>
        <w:t>86.</w:t>
      </w:r>
    </w:p>
    <w:p w14:paraId="6C57443B" w14:textId="45DF4EF7"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t xml:space="preserve">Iva, Triin. 2002. Eesti ütiskeele mõotusõq võro keeleh. In Karl Pajusalu &amp; Jan Rahman (eds.), </w:t>
      </w:r>
      <w:r w:rsidRPr="00FB4EFA">
        <w:rPr>
          <w:rFonts w:ascii="Cambria" w:hAnsi="Cambria" w:cs="Charis SIL"/>
          <w:i/>
          <w:szCs w:val="22"/>
          <w:lang w:val="en-GB"/>
        </w:rPr>
        <w:t>Väikeisi kiili kokkoputmisõq. Väikeste keelte kontaktid: Konvõrents Pühäjärvel, 15.-17. märdikuu 2001,</w:t>
      </w:r>
      <w:r w:rsidRPr="00FB4EFA">
        <w:rPr>
          <w:rFonts w:ascii="Cambria" w:hAnsi="Cambria" w:cs="Charis SIL"/>
          <w:szCs w:val="22"/>
          <w:lang w:val="en-GB"/>
        </w:rPr>
        <w:t xml:space="preserve"> 84</w:t>
      </w:r>
      <w:r w:rsidR="00E62396" w:rsidRPr="00FB4EFA">
        <w:rPr>
          <w:rFonts w:ascii="Cambria" w:hAnsi="Cambria" w:cs="Charis SIL"/>
          <w:szCs w:val="22"/>
          <w:lang w:val="en-GB"/>
        </w:rPr>
        <w:t>–</w:t>
      </w:r>
      <w:r w:rsidRPr="00FB4EFA">
        <w:rPr>
          <w:rFonts w:ascii="Cambria" w:hAnsi="Cambria" w:cs="Charis SIL"/>
          <w:szCs w:val="22"/>
          <w:lang w:val="en-GB"/>
        </w:rPr>
        <w:t>92. Võro: Võro Instituut.</w:t>
      </w:r>
    </w:p>
    <w:p w14:paraId="6AE173A8" w14:textId="20DC886A"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Johnson, Sally. 2002. On the origin of linguistic norms: Orthography, ideology and the first constitutional challenge to the 1996 reform of German. </w:t>
      </w:r>
      <w:r w:rsidRPr="00FB4EFA">
        <w:rPr>
          <w:rFonts w:ascii="Cambria" w:hAnsi="Cambria" w:cs="Charis SIL"/>
          <w:i/>
          <w:iCs/>
          <w:szCs w:val="22"/>
          <w:lang w:val="en-GB"/>
        </w:rPr>
        <w:t>Language in Society</w:t>
      </w:r>
      <w:r w:rsidRPr="00FB4EFA">
        <w:rPr>
          <w:rFonts w:ascii="Cambria" w:hAnsi="Cambria" w:cs="Charis SIL"/>
          <w:szCs w:val="22"/>
          <w:lang w:val="en-GB"/>
        </w:rPr>
        <w:t xml:space="preserve"> 31 (4). 549</w:t>
      </w:r>
      <w:r w:rsidR="00E62396" w:rsidRPr="00FB4EFA">
        <w:rPr>
          <w:rFonts w:ascii="Cambria" w:hAnsi="Cambria" w:cs="Charis SIL"/>
          <w:szCs w:val="22"/>
          <w:lang w:val="en-GB"/>
        </w:rPr>
        <w:t>–</w:t>
      </w:r>
      <w:r w:rsidRPr="00FB4EFA">
        <w:rPr>
          <w:rFonts w:ascii="Cambria" w:hAnsi="Cambria" w:cs="Charis SIL"/>
          <w:szCs w:val="22"/>
          <w:lang w:val="en-GB"/>
        </w:rPr>
        <w:t>576.</w:t>
      </w:r>
    </w:p>
    <w:p w14:paraId="661EE758"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Jones, Mari C. &amp; Damien Mooney. 2017. Creating Orthographies for Endangered Languages. In Mari C. Jones &amp; Damien Mooney (eds.), </w:t>
      </w:r>
      <w:r w:rsidRPr="00FB4EFA">
        <w:rPr>
          <w:rFonts w:ascii="Cambria" w:hAnsi="Cambria" w:cs="Charis SIL"/>
          <w:i/>
          <w:szCs w:val="22"/>
          <w:lang w:val="en-GB"/>
        </w:rPr>
        <w:t>Creating Orthographies for Endangered Languages,</w:t>
      </w:r>
      <w:r w:rsidRPr="00FB4EFA">
        <w:rPr>
          <w:rFonts w:ascii="Cambria" w:hAnsi="Cambria" w:cs="Charis SIL"/>
          <w:szCs w:val="22"/>
          <w:lang w:val="en-GB"/>
        </w:rPr>
        <w:t xml:space="preserve"> 1–35. Cambridge: Cambridge University Press.</w:t>
      </w:r>
    </w:p>
    <w:p w14:paraId="4A9E09CA" w14:textId="6F060E3E"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shd w:val="clear" w:color="auto" w:fill="FFFFFF"/>
          <w:lang w:val="en-GB"/>
        </w:rPr>
        <w:t>Jääts, Indrek</w:t>
      </w:r>
      <w:r w:rsidR="00054818" w:rsidRPr="00FB4EFA">
        <w:rPr>
          <w:rFonts w:ascii="Cambria" w:hAnsi="Cambria" w:cs="Charis SIL"/>
          <w:szCs w:val="22"/>
          <w:shd w:val="clear" w:color="auto" w:fill="FFFFFF"/>
          <w:lang w:val="en-GB"/>
        </w:rPr>
        <w:t>.</w:t>
      </w:r>
      <w:r w:rsidRPr="00FB4EFA">
        <w:rPr>
          <w:rFonts w:ascii="Cambria" w:hAnsi="Cambria" w:cs="Charis SIL"/>
          <w:szCs w:val="22"/>
          <w:shd w:val="clear" w:color="auto" w:fill="FFFFFF"/>
          <w:lang w:val="en-GB"/>
        </w:rPr>
        <w:t xml:space="preserve"> 2015. Count Us! Ethnic Activism in South-Eastern Estonia, and the Census of 2011. </w:t>
      </w:r>
      <w:r w:rsidRPr="00FB4EFA">
        <w:rPr>
          <w:rFonts w:ascii="Cambria" w:hAnsi="Cambria" w:cs="Charis SIL"/>
          <w:i/>
          <w:iCs/>
          <w:szCs w:val="22"/>
          <w:shd w:val="clear" w:color="auto" w:fill="FFFFFF"/>
          <w:lang w:val="en-GB"/>
        </w:rPr>
        <w:t>Journal of Baltic Studies</w:t>
      </w:r>
      <w:r w:rsidRPr="00FB4EFA">
        <w:rPr>
          <w:rFonts w:ascii="Cambria" w:hAnsi="Cambria" w:cs="Charis SIL"/>
          <w:szCs w:val="22"/>
          <w:shd w:val="clear" w:color="auto" w:fill="FFFFFF"/>
          <w:lang w:val="en-GB"/>
        </w:rPr>
        <w:t xml:space="preserve"> 46 (2)</w:t>
      </w:r>
      <w:r w:rsidRPr="00FB4EFA">
        <w:rPr>
          <w:rFonts w:ascii="Cambria" w:hAnsi="Cambria" w:cs="Charis SIL"/>
          <w:szCs w:val="22"/>
          <w:lang w:val="en-GB"/>
        </w:rPr>
        <w:t>.</w:t>
      </w:r>
      <w:r w:rsidRPr="00FB4EFA">
        <w:rPr>
          <w:rFonts w:ascii="Cambria" w:hAnsi="Cambria" w:cs="Charis SIL"/>
          <w:szCs w:val="22"/>
          <w:shd w:val="clear" w:color="auto" w:fill="FFFFFF"/>
          <w:lang w:val="en-GB"/>
        </w:rPr>
        <w:t xml:space="preserve"> 243</w:t>
      </w:r>
      <w:r w:rsidR="00E62396" w:rsidRPr="00FB4EFA">
        <w:rPr>
          <w:rFonts w:ascii="Cambria" w:hAnsi="Cambria" w:cs="Charis SIL"/>
          <w:szCs w:val="22"/>
          <w:lang w:val="en-GB"/>
        </w:rPr>
        <w:t>–</w:t>
      </w:r>
      <w:r w:rsidRPr="00FB4EFA">
        <w:rPr>
          <w:rFonts w:ascii="Cambria" w:hAnsi="Cambria" w:cs="Charis SIL"/>
          <w:szCs w:val="22"/>
          <w:shd w:val="clear" w:color="auto" w:fill="FFFFFF"/>
          <w:lang w:val="en-GB"/>
        </w:rPr>
        <w:t>260.</w:t>
      </w:r>
    </w:p>
    <w:p w14:paraId="2BEA56A9" w14:textId="6B8B2A81"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Kaalep, Ain. 1988. </w:t>
      </w:r>
      <w:bookmarkStart w:id="93" w:name="_Hlk104307488"/>
      <w:r w:rsidRPr="00FB4EFA">
        <w:rPr>
          <w:rFonts w:ascii="Cambria" w:hAnsi="Cambria" w:cs="Charis SIL"/>
          <w:szCs w:val="22"/>
          <w:lang w:val="en-GB"/>
        </w:rPr>
        <w:t>Üt</w:t>
      </w:r>
      <w:r w:rsidR="00A775E8" w:rsidRPr="00FB4EFA">
        <w:rPr>
          <w:rFonts w:ascii="Cambria" w:hAnsi="Cambria" w:cs="Charis SIL"/>
          <w:szCs w:val="22"/>
          <w:lang w:val="en-GB"/>
        </w:rPr>
        <w:t>ś</w:t>
      </w:r>
      <w:r w:rsidRPr="00FB4EFA">
        <w:rPr>
          <w:rFonts w:ascii="Cambria" w:hAnsi="Cambria" w:cs="Charis SIL"/>
          <w:szCs w:val="22"/>
          <w:lang w:val="en-GB"/>
        </w:rPr>
        <w:t xml:space="preserve"> </w:t>
      </w:r>
      <w:bookmarkEnd w:id="93"/>
      <w:r w:rsidRPr="00FB4EFA">
        <w:rPr>
          <w:rFonts w:ascii="Cambria" w:hAnsi="Cambria" w:cs="Charis SIL"/>
          <w:szCs w:val="22"/>
          <w:lang w:val="en-GB"/>
        </w:rPr>
        <w:t xml:space="preserve">köikaigsündümine, tõistkõrdsündümine, ümbresündümine [An ever-birth, a second birth, a rebirth]. </w:t>
      </w:r>
      <w:r w:rsidRPr="00FB4EFA">
        <w:rPr>
          <w:rFonts w:ascii="Cambria" w:hAnsi="Cambria" w:cs="Charis SIL"/>
          <w:i/>
          <w:iCs/>
          <w:szCs w:val="22"/>
          <w:lang w:val="en-GB"/>
        </w:rPr>
        <w:t>Keel ja Kirjandus</w:t>
      </w:r>
      <w:r w:rsidRPr="00FB4EFA">
        <w:rPr>
          <w:rFonts w:ascii="Cambria" w:hAnsi="Cambria" w:cs="Charis SIL"/>
          <w:szCs w:val="22"/>
          <w:lang w:val="en-GB"/>
        </w:rPr>
        <w:t xml:space="preserve"> 1. 52–53.</w:t>
      </w:r>
    </w:p>
    <w:p w14:paraId="580B67C9" w14:textId="77777777"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t xml:space="preserve">Kalkun, Andreas. 2011. </w:t>
      </w:r>
      <w:r w:rsidRPr="00FB4EFA">
        <w:rPr>
          <w:rFonts w:ascii="Cambria" w:hAnsi="Cambria" w:cs="Charis SIL"/>
          <w:i/>
          <w:iCs/>
          <w:szCs w:val="22"/>
          <w:lang w:val="en-GB"/>
        </w:rPr>
        <w:t>Seto laul Eesti folkloristika ajaloos. Lisandusi representatsiooniloole</w:t>
      </w:r>
      <w:r w:rsidRPr="00FB4EFA">
        <w:rPr>
          <w:rFonts w:ascii="Cambria" w:hAnsi="Cambria" w:cs="Charis SIL"/>
          <w:szCs w:val="22"/>
          <w:lang w:val="en-GB"/>
        </w:rPr>
        <w:t xml:space="preserve"> [Seto songs in the history of Estonian folklore. Additions to the story of representation]. Dissertationes Folkloristicae Universitas Tartuensis 18. Tartu: Tartu Ülikooli Kirjastus.</w:t>
      </w:r>
    </w:p>
    <w:p w14:paraId="4899746B"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Kama, Kaido. 2005. Võru asi. </w:t>
      </w:r>
      <w:r w:rsidRPr="00FB4EFA">
        <w:rPr>
          <w:rFonts w:ascii="Cambria" w:hAnsi="Cambria" w:cs="Charis SIL"/>
          <w:i/>
          <w:iCs/>
          <w:szCs w:val="22"/>
          <w:lang w:val="en-GB"/>
        </w:rPr>
        <w:t>Vikerkaar</w:t>
      </w:r>
      <w:r w:rsidRPr="00FB4EFA">
        <w:rPr>
          <w:rFonts w:ascii="Cambria" w:hAnsi="Cambria" w:cs="Charis SIL"/>
          <w:szCs w:val="22"/>
          <w:lang w:val="en-GB"/>
        </w:rPr>
        <w:t xml:space="preserve"> 7–8. 115–123.</w:t>
      </w:r>
    </w:p>
    <w:p w14:paraId="42140403"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Kamusella, Tomasz. 2009.</w:t>
      </w:r>
      <w:r w:rsidRPr="00FB4EFA">
        <w:rPr>
          <w:rFonts w:ascii="Cambria" w:hAnsi="Cambria" w:cs="Charis SIL"/>
          <w:i/>
          <w:szCs w:val="22"/>
          <w:lang w:val="en-GB"/>
        </w:rPr>
        <w:t xml:space="preserve"> The Politics of Language and Nationalism in Modern Central Europe</w:t>
      </w:r>
      <w:r w:rsidRPr="00FB4EFA">
        <w:rPr>
          <w:rFonts w:ascii="Cambria" w:hAnsi="Cambria" w:cs="Charis SIL"/>
          <w:szCs w:val="22"/>
          <w:lang w:val="en-GB"/>
        </w:rPr>
        <w:t>. London: Palgrave Macmillan.</w:t>
      </w:r>
    </w:p>
    <w:p w14:paraId="14EACA73" w14:textId="31BDA53B"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lastRenderedPageBreak/>
        <w:t xml:space="preserve">Kansui, Akiko. 1999. </w:t>
      </w:r>
      <w:r w:rsidR="00507D9C" w:rsidRPr="00FB4EFA">
        <w:rPr>
          <w:rFonts w:ascii="Cambria" w:hAnsi="Cambria" w:cs="Charis SIL"/>
          <w:i/>
          <w:iCs/>
          <w:szCs w:val="22"/>
          <w:lang w:val="en-GB"/>
        </w:rPr>
        <w:t xml:space="preserve">Chiiki shugi undou ni okeru gengo to chishikijin </w:t>
      </w:r>
      <w:r w:rsidR="0039345E" w:rsidRPr="00FB4EFA">
        <w:rPr>
          <w:rFonts w:ascii="Cambria" w:hAnsi="Cambria" w:cs="Charis SIL"/>
          <w:i/>
          <w:iCs/>
          <w:szCs w:val="22"/>
          <w:lang w:val="en-GB"/>
        </w:rPr>
        <w:noBreakHyphen/>
      </w:r>
      <w:r w:rsidR="00507D9C" w:rsidRPr="00FB4EFA">
        <w:rPr>
          <w:rFonts w:ascii="Cambria" w:hAnsi="Cambria" w:cs="Charis SIL"/>
          <w:i/>
          <w:iCs/>
          <w:szCs w:val="22"/>
          <w:lang w:val="en-GB"/>
        </w:rPr>
        <w:t xml:space="preserve"> esutonia nanbu voro chihou no jirei kara </w:t>
      </w:r>
      <w:r w:rsidRPr="00FB4EFA">
        <w:rPr>
          <w:rFonts w:ascii="Cambria" w:hAnsi="Cambria" w:cs="Charis SIL"/>
          <w:szCs w:val="22"/>
          <w:lang w:val="en-GB"/>
        </w:rPr>
        <w:t xml:space="preserve">[The language and people in relation to regionalism movements – from the example of the Võro region in Southern Estonia]. PhD Dissertation, unpublished English summary. Osaka: </w:t>
      </w:r>
      <w:r w:rsidR="00750DCA" w:rsidRPr="00FB4EFA">
        <w:rPr>
          <w:rFonts w:ascii="Cambria" w:hAnsi="Cambria" w:cs="Charis SIL"/>
          <w:szCs w:val="22"/>
          <w:lang w:val="en-GB"/>
        </w:rPr>
        <w:t>The Graduate University for Advanced Studies, SOKENDAI</w:t>
      </w:r>
      <w:r w:rsidRPr="00FB4EFA">
        <w:rPr>
          <w:rFonts w:ascii="Cambria" w:hAnsi="Cambria" w:cs="Charis SIL"/>
          <w:szCs w:val="22"/>
          <w:lang w:val="en-GB"/>
        </w:rPr>
        <w:t>.</w:t>
      </w:r>
    </w:p>
    <w:p w14:paraId="0E654BB6"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Kaplan, Robert B. &amp; Richard B. Baldauf. 1997. </w:t>
      </w:r>
      <w:r w:rsidRPr="00FB4EFA">
        <w:rPr>
          <w:rFonts w:ascii="Cambria" w:hAnsi="Cambria" w:cs="Charis SIL"/>
          <w:i/>
          <w:iCs/>
          <w:szCs w:val="22"/>
          <w:lang w:val="en-GB"/>
        </w:rPr>
        <w:t>Language Planning from Practice to Theory</w:t>
      </w:r>
      <w:r w:rsidRPr="00FB4EFA">
        <w:rPr>
          <w:rFonts w:ascii="Cambria" w:hAnsi="Cambria" w:cs="Charis SIL"/>
          <w:szCs w:val="22"/>
          <w:lang w:val="en-GB"/>
        </w:rPr>
        <w:t>. Clevedon: Multilingual Matters.</w:t>
      </w:r>
    </w:p>
    <w:p w14:paraId="5F1645DB" w14:textId="34C2A775"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shd w:val="clear" w:color="auto" w:fill="FFFFFF"/>
          <w:lang w:val="en-GB"/>
        </w:rPr>
      </w:pPr>
      <w:r w:rsidRPr="00FB4EFA">
        <w:rPr>
          <w:rFonts w:ascii="Cambria" w:hAnsi="Cambria" w:cs="Charis SIL"/>
          <w:szCs w:val="22"/>
          <w:lang w:val="en-GB"/>
        </w:rPr>
        <w:t xml:space="preserve">Koponen, Eino. 1998. </w:t>
      </w:r>
      <w:r w:rsidRPr="00FB4EFA">
        <w:rPr>
          <w:rFonts w:ascii="Cambria" w:hAnsi="Cambria" w:cs="Charis SIL"/>
          <w:i/>
          <w:szCs w:val="22"/>
          <w:shd w:val="clear" w:color="auto" w:fill="FFFFFF"/>
          <w:lang w:val="en-GB"/>
        </w:rPr>
        <w:t>Eteläviron murteen sanaston alkuperä: itämerensuomalaista etymologiaa</w:t>
      </w:r>
      <w:r w:rsidRPr="00FB4EFA">
        <w:rPr>
          <w:rFonts w:ascii="Cambria" w:hAnsi="Cambria" w:cs="Charis SIL"/>
          <w:szCs w:val="22"/>
          <w:shd w:val="clear" w:color="auto" w:fill="FFFFFF"/>
          <w:lang w:val="en-GB"/>
        </w:rPr>
        <w:t xml:space="preserve"> [The origins of the lexicon of the South Estonian dialect: Finnic etymology]. Helsinki: Suomalais-</w:t>
      </w:r>
      <w:r w:rsidR="00750DCA" w:rsidRPr="00FB4EFA">
        <w:rPr>
          <w:rFonts w:ascii="Cambria" w:hAnsi="Cambria" w:cs="Charis SIL"/>
          <w:szCs w:val="22"/>
          <w:shd w:val="clear" w:color="auto" w:fill="FFFFFF"/>
          <w:lang w:val="en-GB"/>
        </w:rPr>
        <w:t>U</w:t>
      </w:r>
      <w:r w:rsidRPr="00FB4EFA">
        <w:rPr>
          <w:rFonts w:ascii="Cambria" w:hAnsi="Cambria" w:cs="Charis SIL"/>
          <w:szCs w:val="22"/>
          <w:shd w:val="clear" w:color="auto" w:fill="FFFFFF"/>
          <w:lang w:val="en-GB"/>
        </w:rPr>
        <w:t>grilainen Seura.</w:t>
      </w:r>
    </w:p>
    <w:p w14:paraId="7482B9FF" w14:textId="17693B4E"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Koreinik, Kadri. 2011. Public discourse of (de)legitimation: the case of South Estonian language. </w:t>
      </w:r>
      <w:r w:rsidRPr="00FB4EFA">
        <w:rPr>
          <w:rFonts w:ascii="Cambria" w:hAnsi="Cambria" w:cs="Charis SIL"/>
          <w:i/>
          <w:iCs/>
          <w:szCs w:val="22"/>
          <w:lang w:val="en-GB"/>
        </w:rPr>
        <w:t>Journal of Baltic Studies</w:t>
      </w:r>
      <w:r w:rsidRPr="00FB4EFA">
        <w:rPr>
          <w:rFonts w:ascii="Cambria" w:hAnsi="Cambria" w:cs="Charis SIL"/>
          <w:szCs w:val="22"/>
          <w:lang w:val="en-GB"/>
        </w:rPr>
        <w:t xml:space="preserve"> 42 (2). 239−261.</w:t>
      </w:r>
    </w:p>
    <w:p w14:paraId="56266ADD" w14:textId="4A6652DD"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fi-FI"/>
        </w:rPr>
        <w:t xml:space="preserve">Koreinik, Kadri, Sia Spiliopoulou Åkermark, Eva Kühhirt, Anneli Sarhimaa </w:t>
      </w:r>
      <w:r w:rsidRPr="00FB4EFA">
        <w:rPr>
          <w:rFonts w:ascii="Cambria" w:hAnsi="Cambria" w:cs="Charis SIL"/>
          <w:szCs w:val="22"/>
          <w:shd w:val="clear" w:color="auto" w:fill="FFFFFF"/>
          <w:lang w:val="fi-FI"/>
        </w:rPr>
        <w:t xml:space="preserve">&amp; Reetta </w:t>
      </w:r>
      <w:r w:rsidRPr="00FB4EFA">
        <w:rPr>
          <w:rFonts w:ascii="Cambria" w:hAnsi="Cambria" w:cs="Charis SIL"/>
          <w:szCs w:val="22"/>
          <w:lang w:val="fi-FI"/>
        </w:rPr>
        <w:t xml:space="preserve">Toivanen. </w:t>
      </w:r>
      <w:r w:rsidRPr="00FB4EFA">
        <w:rPr>
          <w:rFonts w:ascii="Cambria" w:hAnsi="Cambria" w:cs="Charis SIL"/>
          <w:szCs w:val="22"/>
          <w:lang w:val="en-GB"/>
        </w:rPr>
        <w:t>2013. The Võro language in Estonia: ELDIA Case-Specific Report. Mainz: Johannes Gutenberg-Universität.</w:t>
      </w:r>
    </w:p>
    <w:p w14:paraId="1ADE8A9C" w14:textId="2BF65328"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fi-FI"/>
        </w:rPr>
        <w:t xml:space="preserve">Koreinik, Kadri, Sia Spiliopoulou Åkermark, Eva Kühhirt, Anneli Sarhimaa </w:t>
      </w:r>
      <w:r w:rsidRPr="00FB4EFA">
        <w:rPr>
          <w:rFonts w:ascii="Cambria" w:hAnsi="Cambria" w:cs="Charis SIL"/>
          <w:szCs w:val="22"/>
          <w:shd w:val="clear" w:color="auto" w:fill="FFFFFF"/>
          <w:lang w:val="fi-FI"/>
        </w:rPr>
        <w:t xml:space="preserve">&amp; Reetta </w:t>
      </w:r>
      <w:r w:rsidRPr="00FB4EFA">
        <w:rPr>
          <w:rFonts w:ascii="Cambria" w:hAnsi="Cambria" w:cs="Charis SIL"/>
          <w:szCs w:val="22"/>
          <w:lang w:val="fi-FI"/>
        </w:rPr>
        <w:t xml:space="preserve">Toivanen. </w:t>
      </w:r>
      <w:r w:rsidRPr="00FB4EFA">
        <w:rPr>
          <w:rFonts w:ascii="Cambria" w:hAnsi="Cambria" w:cs="Charis SIL"/>
          <w:szCs w:val="22"/>
          <w:lang w:val="en-GB"/>
        </w:rPr>
        <w:t>2014. The Seto language in Estonia: ELDIA Case-Specific Report. Mainz: Johannes Gutenberg-Universität.</w:t>
      </w:r>
    </w:p>
    <w:p w14:paraId="667852D8"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Koreinik, Kadri &amp; Tõnu Tender. 2013. Eesti keeltest rahvaloendustel. </w:t>
      </w:r>
      <w:r w:rsidRPr="00FB4EFA">
        <w:rPr>
          <w:rFonts w:ascii="Cambria" w:hAnsi="Cambria" w:cs="Charis SIL"/>
          <w:i/>
          <w:iCs/>
          <w:szCs w:val="22"/>
          <w:lang w:val="en-GB"/>
        </w:rPr>
        <w:t>Emakeele Seltsi Aastaraamat</w:t>
      </w:r>
      <w:r w:rsidRPr="00FB4EFA">
        <w:rPr>
          <w:rFonts w:ascii="Cambria" w:hAnsi="Cambria" w:cs="Charis SIL"/>
          <w:szCs w:val="22"/>
          <w:lang w:val="en-GB"/>
        </w:rPr>
        <w:t xml:space="preserve"> 59. 77–102.</w:t>
      </w:r>
    </w:p>
    <w:p w14:paraId="310F0FF2" w14:textId="5A7236DB"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shd w:val="clear" w:color="auto" w:fill="FFFFFF"/>
          <w:lang w:val="en-GB"/>
        </w:rPr>
        <w:t xml:space="preserve">Laanekask, Heli &amp; Kristiina Ross. 2008. The language of Tartu and Tallinn in 17th-century Livonia. In Pēteris Vanags (ed.), </w:t>
      </w:r>
      <w:r w:rsidRPr="00FB4EFA">
        <w:rPr>
          <w:rFonts w:ascii="Cambria" w:hAnsi="Cambria" w:cs="Charis SIL"/>
          <w:i/>
          <w:iCs/>
          <w:szCs w:val="22"/>
          <w:shd w:val="clear" w:color="auto" w:fill="FFFFFF"/>
          <w:lang w:val="en-GB"/>
        </w:rPr>
        <w:t>Common Roots of the Latvian and Estonian Literary Languages,</w:t>
      </w:r>
      <w:r w:rsidRPr="00FB4EFA">
        <w:rPr>
          <w:rFonts w:ascii="Cambria" w:hAnsi="Cambria" w:cs="Charis SIL"/>
          <w:szCs w:val="22"/>
          <w:shd w:val="clear" w:color="auto" w:fill="FFFFFF"/>
          <w:lang w:val="en-GB"/>
        </w:rPr>
        <w:t xml:space="preserve"> 199−210. Frankfurt am Main: Peter Lang.</w:t>
      </w:r>
    </w:p>
    <w:p w14:paraId="29E38AD6"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shd w:val="clear" w:color="auto" w:fill="FFFFFF"/>
          <w:lang w:val="en-GB"/>
        </w:rPr>
        <w:t xml:space="preserve">Laanest, A. 1982. </w:t>
      </w:r>
      <w:r w:rsidRPr="00FB4EFA">
        <w:rPr>
          <w:rFonts w:ascii="Cambria" w:hAnsi="Cambria" w:cs="Charis SIL"/>
          <w:i/>
          <w:iCs/>
          <w:szCs w:val="22"/>
          <w:shd w:val="clear" w:color="auto" w:fill="FFFFFF"/>
          <w:lang w:val="en-GB"/>
        </w:rPr>
        <w:t>Einführung in die ostseefinnischen Sprachen</w:t>
      </w:r>
      <w:r w:rsidRPr="00FB4EFA">
        <w:rPr>
          <w:rFonts w:ascii="Cambria" w:hAnsi="Cambria" w:cs="Charis SIL"/>
          <w:szCs w:val="22"/>
          <w:shd w:val="clear" w:color="auto" w:fill="FFFFFF"/>
          <w:lang w:val="en-GB"/>
        </w:rPr>
        <w:t>. Hamburg: Helmut Buske Verlag.</w:t>
      </w:r>
    </w:p>
    <w:p w14:paraId="1951F801" w14:textId="028ADE7A" w:rsidR="000B62E0" w:rsidRPr="00FB4EFA" w:rsidRDefault="000B62E0" w:rsidP="004166CB">
      <w:pPr>
        <w:pStyle w:val="NormalWeb"/>
        <w:suppressAutoHyphens/>
        <w:spacing w:before="0" w:beforeAutospacing="0" w:after="0" w:afterAutospacing="0"/>
        <w:ind w:left="426" w:hanging="426"/>
        <w:rPr>
          <w:rFonts w:ascii="Cambria" w:hAnsi="Cambria" w:cs="Charis SIL"/>
          <w:szCs w:val="22"/>
          <w:shd w:val="clear" w:color="auto" w:fill="FFFFFF"/>
          <w:lang w:val="en-GB"/>
        </w:rPr>
      </w:pPr>
      <w:r w:rsidRPr="00FB4EFA">
        <w:rPr>
          <w:rFonts w:ascii="Cambria" w:hAnsi="Cambria" w:cs="Charis SIL"/>
          <w:szCs w:val="22"/>
          <w:shd w:val="clear" w:color="auto" w:fill="FFFFFF"/>
          <w:lang w:val="en-GB"/>
        </w:rPr>
        <w:t>Lane, Pia. 2015. </w:t>
      </w:r>
      <w:r w:rsidRPr="00FB4EFA">
        <w:rPr>
          <w:rFonts w:ascii="Cambria" w:hAnsi="Cambria" w:cs="Charis SIL"/>
          <w:szCs w:val="22"/>
          <w:lang w:val="en-GB"/>
        </w:rPr>
        <w:t>Minority language standardisation and the role of users.</w:t>
      </w:r>
      <w:r w:rsidR="00A82FE2" w:rsidRPr="00FB4EFA">
        <w:rPr>
          <w:rFonts w:ascii="Cambria" w:hAnsi="Cambria" w:cs="Charis SIL"/>
          <w:szCs w:val="22"/>
          <w:lang w:val="en-GB"/>
        </w:rPr>
        <w:t xml:space="preserve"> </w:t>
      </w:r>
      <w:r w:rsidRPr="00FB4EFA">
        <w:rPr>
          <w:rFonts w:ascii="Cambria" w:hAnsi="Cambria" w:cs="Charis SIL"/>
          <w:i/>
          <w:iCs/>
          <w:szCs w:val="22"/>
          <w:lang w:val="en-GB"/>
        </w:rPr>
        <w:t>Language Policy</w:t>
      </w:r>
      <w:r w:rsidRPr="00FB4EFA">
        <w:rPr>
          <w:rFonts w:ascii="Cambria" w:hAnsi="Cambria" w:cs="Charis SIL"/>
          <w:szCs w:val="22"/>
          <w:lang w:val="en-GB"/>
        </w:rPr>
        <w:t xml:space="preserve"> 14 (3). 263–283.</w:t>
      </w:r>
    </w:p>
    <w:p w14:paraId="78A4040B" w14:textId="560E8535"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shd w:val="clear" w:color="auto" w:fill="FFFFFF"/>
          <w:lang w:val="en-GB"/>
        </w:rPr>
        <w:t>Lane, Pia, James Costa &amp; Haley J. De Korne. (ed.) 2017. </w:t>
      </w:r>
      <w:r w:rsidRPr="00FB4EFA">
        <w:rPr>
          <w:rFonts w:ascii="Cambria" w:hAnsi="Cambria" w:cs="Charis SIL"/>
          <w:i/>
          <w:iCs/>
          <w:szCs w:val="22"/>
          <w:shd w:val="clear" w:color="auto" w:fill="FFFFFF"/>
          <w:lang w:val="en-GB"/>
        </w:rPr>
        <w:t>Standardizing minority languages: Competing ideologies of authority and authenticity in the global periphery</w:t>
      </w:r>
      <w:r w:rsidRPr="00FB4EFA">
        <w:rPr>
          <w:rFonts w:ascii="Cambria" w:hAnsi="Cambria" w:cs="Charis SIL"/>
          <w:szCs w:val="22"/>
          <w:shd w:val="clear" w:color="auto" w:fill="FFFFFF"/>
          <w:lang w:val="en-GB"/>
        </w:rPr>
        <w:t xml:space="preserve">. </w:t>
      </w:r>
      <w:r w:rsidR="00A82FE2" w:rsidRPr="00FB4EFA">
        <w:rPr>
          <w:rFonts w:ascii="Cambria" w:hAnsi="Cambria" w:cs="Charis SIL"/>
          <w:szCs w:val="22"/>
          <w:lang w:val="en-GB"/>
        </w:rPr>
        <w:t>London</w:t>
      </w:r>
      <w:r w:rsidRPr="00FB4EFA">
        <w:rPr>
          <w:rFonts w:ascii="Cambria" w:hAnsi="Cambria" w:cs="Charis SIL"/>
          <w:szCs w:val="22"/>
          <w:shd w:val="clear" w:color="auto" w:fill="FFFFFF"/>
          <w:lang w:val="en-GB"/>
        </w:rPr>
        <w:t>: Routledge.</w:t>
      </w:r>
    </w:p>
    <w:p w14:paraId="473C175A" w14:textId="77777777"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shd w:val="clear" w:color="auto" w:fill="FFFFFF"/>
          <w:lang w:val="en-GB"/>
        </w:rPr>
      </w:pPr>
      <w:r w:rsidRPr="00FB4EFA">
        <w:rPr>
          <w:rFonts w:ascii="Cambria" w:hAnsi="Cambria" w:cs="Charis SIL"/>
          <w:szCs w:val="22"/>
          <w:shd w:val="clear" w:color="auto" w:fill="FFFFFF"/>
          <w:lang w:val="en-GB"/>
        </w:rPr>
        <w:t>Lindström, Liina. 1997. Eitus Võru murde suulises kõnes [Negation in spoken Võro]. In Karl Pajusalu &amp; Sullõv Jüvä (eds.)</w:t>
      </w:r>
      <w:r w:rsidRPr="00FB4EFA">
        <w:rPr>
          <w:rFonts w:ascii="Cambria" w:hAnsi="Cambria" w:cs="Charis SIL"/>
          <w:szCs w:val="22"/>
          <w:lang w:val="en-GB"/>
        </w:rPr>
        <w:t>,</w:t>
      </w:r>
      <w:r w:rsidRPr="00FB4EFA">
        <w:rPr>
          <w:rFonts w:ascii="Cambria" w:hAnsi="Cambria" w:cs="Charis SIL"/>
          <w:szCs w:val="22"/>
          <w:shd w:val="clear" w:color="auto" w:fill="FFFFFF"/>
          <w:lang w:val="en-GB"/>
        </w:rPr>
        <w:t xml:space="preserve"> </w:t>
      </w:r>
      <w:r w:rsidRPr="00FB4EFA">
        <w:rPr>
          <w:rFonts w:ascii="Cambria" w:hAnsi="Cambria" w:cs="Charis SIL"/>
          <w:i/>
          <w:iCs/>
          <w:szCs w:val="22"/>
          <w:shd w:val="clear" w:color="auto" w:fill="FFFFFF"/>
          <w:lang w:val="en-GB"/>
        </w:rPr>
        <w:t xml:space="preserve">Läänemeresoome lõunapiir, </w:t>
      </w:r>
      <w:r w:rsidRPr="00FB4EFA">
        <w:rPr>
          <w:rFonts w:ascii="Cambria" w:hAnsi="Cambria" w:cs="Charis SIL"/>
          <w:szCs w:val="22"/>
          <w:shd w:val="clear" w:color="auto" w:fill="FFFFFF"/>
          <w:lang w:val="en-GB"/>
        </w:rPr>
        <w:t>143−154. Publications of Võro Institute 1. Võro: Võro Instituut.</w:t>
      </w:r>
    </w:p>
    <w:p w14:paraId="6758AD30" w14:textId="0AC07F92"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Lindström, Liina, Maarja-Liisa Pilvik &amp; Helen Plado. 2021. Variation in negation in Seto. </w:t>
      </w:r>
      <w:r w:rsidRPr="00FB4EFA">
        <w:rPr>
          <w:rFonts w:ascii="Cambria" w:hAnsi="Cambria" w:cs="Charis SIL"/>
          <w:i/>
          <w:iCs/>
          <w:szCs w:val="22"/>
          <w:lang w:val="en-GB"/>
        </w:rPr>
        <w:t>Studies in Language</w:t>
      </w:r>
      <w:r w:rsidRPr="00FB4EFA">
        <w:rPr>
          <w:rFonts w:ascii="Cambria" w:hAnsi="Cambria" w:cs="Charis SIL"/>
          <w:szCs w:val="22"/>
          <w:lang w:val="en-GB"/>
        </w:rPr>
        <w:t xml:space="preserve"> 45</w:t>
      </w:r>
      <w:r w:rsidR="00A82FE2" w:rsidRPr="00FB4EFA">
        <w:rPr>
          <w:rFonts w:ascii="Cambria" w:hAnsi="Cambria" w:cs="Charis SIL"/>
          <w:szCs w:val="22"/>
          <w:lang w:val="en-GB"/>
        </w:rPr>
        <w:t xml:space="preserve"> (</w:t>
      </w:r>
      <w:r w:rsidRPr="00FB4EFA">
        <w:rPr>
          <w:rFonts w:ascii="Cambria" w:hAnsi="Cambria" w:cs="Charis SIL"/>
          <w:szCs w:val="22"/>
          <w:lang w:val="en-GB"/>
        </w:rPr>
        <w:t>3</w:t>
      </w:r>
      <w:r w:rsidR="00A82FE2" w:rsidRPr="00FB4EFA">
        <w:rPr>
          <w:rFonts w:ascii="Cambria" w:hAnsi="Cambria" w:cs="Charis SIL"/>
          <w:szCs w:val="22"/>
          <w:lang w:val="en-GB"/>
        </w:rPr>
        <w:t>)</w:t>
      </w:r>
      <w:r w:rsidRPr="00FB4EFA">
        <w:rPr>
          <w:rFonts w:ascii="Cambria" w:hAnsi="Cambria" w:cs="Charis SIL"/>
          <w:szCs w:val="22"/>
          <w:lang w:val="en-GB"/>
        </w:rPr>
        <w:t>. 557–597.</w:t>
      </w:r>
    </w:p>
    <w:p w14:paraId="4FF8EDF1" w14:textId="6DB20D1E" w:rsidR="000B62E0" w:rsidRPr="00FB4EFA" w:rsidRDefault="000B62E0" w:rsidP="004166CB">
      <w:pPr>
        <w:pStyle w:val="NormalWeb"/>
        <w:suppressAutoHyphens/>
        <w:spacing w:before="0" w:beforeAutospacing="0" w:after="0" w:afterAutospacing="0"/>
        <w:ind w:left="426" w:hanging="426"/>
        <w:rPr>
          <w:rFonts w:ascii="Cambria" w:hAnsi="Cambria" w:cs="Charis SIL"/>
          <w:szCs w:val="22"/>
          <w:shd w:val="clear" w:color="auto" w:fill="FFFFFF"/>
          <w:lang w:val="en-GB"/>
        </w:rPr>
      </w:pPr>
      <w:r w:rsidRPr="00FB4EFA">
        <w:rPr>
          <w:rFonts w:ascii="Cambria" w:hAnsi="Cambria" w:cs="Charis SIL"/>
          <w:szCs w:val="22"/>
          <w:shd w:val="clear" w:color="auto" w:fill="FFFFFF"/>
          <w:lang w:val="en-GB"/>
        </w:rPr>
        <w:t xml:space="preserve">Lippus, Pärtel. 2005. Võru ja eesti standardkeele /ts/ [/ts/ in Võru and in Standard Estonian]. </w:t>
      </w:r>
      <w:r w:rsidRPr="00FB4EFA">
        <w:rPr>
          <w:rFonts w:ascii="Cambria" w:hAnsi="Cambria" w:cs="Charis SIL"/>
          <w:i/>
          <w:iCs/>
          <w:szCs w:val="22"/>
          <w:shd w:val="clear" w:color="auto" w:fill="FFFFFF"/>
          <w:lang w:val="en-GB"/>
        </w:rPr>
        <w:t>Emakeele Seltsi aastaraamat</w:t>
      </w:r>
      <w:r w:rsidRPr="00FB4EFA">
        <w:rPr>
          <w:rFonts w:ascii="Cambria" w:hAnsi="Cambria" w:cs="Charis SIL"/>
          <w:szCs w:val="22"/>
          <w:shd w:val="clear" w:color="auto" w:fill="FFFFFF"/>
          <w:lang w:val="en-GB"/>
        </w:rPr>
        <w:t xml:space="preserve"> 51. 61</w:t>
      </w:r>
      <w:r w:rsidR="00E62396" w:rsidRPr="00FB4EFA">
        <w:rPr>
          <w:rFonts w:ascii="Cambria" w:hAnsi="Cambria" w:cs="Charis SIL"/>
          <w:szCs w:val="22"/>
          <w:lang w:val="en-GB"/>
        </w:rPr>
        <w:t>–</w:t>
      </w:r>
      <w:r w:rsidRPr="00FB4EFA">
        <w:rPr>
          <w:rFonts w:ascii="Cambria" w:hAnsi="Cambria" w:cs="Charis SIL"/>
          <w:szCs w:val="22"/>
          <w:shd w:val="clear" w:color="auto" w:fill="FFFFFF"/>
          <w:lang w:val="en-GB"/>
        </w:rPr>
        <w:t>79.</w:t>
      </w:r>
    </w:p>
    <w:p w14:paraId="1BCD18C9" w14:textId="6C573FEA" w:rsidR="000B62E0" w:rsidRPr="00FB4EFA" w:rsidRDefault="000B62E0" w:rsidP="004166CB">
      <w:pPr>
        <w:pStyle w:val="NormalWeb"/>
        <w:suppressAutoHyphens/>
        <w:spacing w:before="0" w:beforeAutospacing="0" w:after="0" w:afterAutospacing="0"/>
        <w:ind w:left="426" w:hanging="426"/>
        <w:rPr>
          <w:rFonts w:ascii="Cambria" w:hAnsi="Cambria" w:cs="Charis SIL"/>
          <w:szCs w:val="22"/>
          <w:shd w:val="clear" w:color="auto" w:fill="FFFFFF"/>
          <w:lang w:val="en-US"/>
        </w:rPr>
      </w:pPr>
      <w:r w:rsidRPr="00FB4EFA">
        <w:rPr>
          <w:rFonts w:ascii="Cambria" w:hAnsi="Cambria" w:cs="Charis SIL"/>
          <w:szCs w:val="22"/>
          <w:shd w:val="clear" w:color="auto" w:fill="FFFFFF"/>
          <w:lang w:val="fi-FI"/>
        </w:rPr>
        <w:lastRenderedPageBreak/>
        <w:t xml:space="preserve">Lõbu, Terje. 2005. </w:t>
      </w:r>
      <w:r w:rsidRPr="00FB4EFA">
        <w:rPr>
          <w:rFonts w:ascii="Cambria" w:hAnsi="Cambria" w:cs="Charis SIL"/>
          <w:i/>
          <w:iCs/>
          <w:szCs w:val="22"/>
          <w:shd w:val="clear" w:color="auto" w:fill="FFFFFF"/>
          <w:lang w:val="fi-FI"/>
        </w:rPr>
        <w:t>Regionaalsete joonte ühtlustamise katsed 1920.</w:t>
      </w:r>
      <w:r w:rsidRPr="00FB4EFA">
        <w:rPr>
          <w:rFonts w:ascii="Cambria" w:hAnsi="Cambria" w:cs="Charis SIL"/>
          <w:szCs w:val="22"/>
          <w:shd w:val="clear" w:color="auto" w:fill="FFFFFF"/>
          <w:lang w:val="en-US"/>
        </w:rPr>
        <w:t>–</w:t>
      </w:r>
      <w:r w:rsidRPr="00FB4EFA">
        <w:rPr>
          <w:rFonts w:ascii="Cambria" w:hAnsi="Cambria" w:cs="Charis SIL"/>
          <w:i/>
          <w:iCs/>
          <w:szCs w:val="22"/>
          <w:shd w:val="clear" w:color="auto" w:fill="FFFFFF"/>
          <w:lang w:val="fi-FI"/>
        </w:rPr>
        <w:t>1930. aastail Võrumaa hariduselu näitel</w:t>
      </w:r>
      <w:r w:rsidRPr="00FB4EFA">
        <w:rPr>
          <w:rFonts w:ascii="Cambria" w:hAnsi="Cambria" w:cs="Charis SIL"/>
          <w:szCs w:val="22"/>
          <w:shd w:val="clear" w:color="auto" w:fill="FFFFFF"/>
          <w:lang w:val="fi-FI"/>
        </w:rPr>
        <w:t xml:space="preserve"> </w:t>
      </w:r>
      <w:r w:rsidRPr="00FB4EFA">
        <w:rPr>
          <w:rFonts w:ascii="Cambria" w:hAnsi="Cambria" w:cs="Charis SIL"/>
          <w:szCs w:val="22"/>
          <w:shd w:val="clear" w:color="auto" w:fill="FFFFFF"/>
          <w:lang w:val="en-US"/>
        </w:rPr>
        <w:t>[Attempts at homogenizing regional features on the example of Võrumaa educational life in the 1920s–1930s]. Tartu: Tartu Ülikool.</w:t>
      </w:r>
    </w:p>
    <w:p w14:paraId="263C8F84"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shd w:val="clear" w:color="auto" w:fill="FFFFFF"/>
          <w:lang w:val="en-GB"/>
        </w:rPr>
        <w:t xml:space="preserve">Meiorg, Marianne. 2012. Legal and Institutional Framework Analysis: Seto and Võro languages. </w:t>
      </w:r>
      <w:r w:rsidRPr="00FB4EFA">
        <w:rPr>
          <w:rFonts w:ascii="Cambria" w:hAnsi="Cambria" w:cs="Charis SIL"/>
          <w:i/>
          <w:iCs/>
          <w:szCs w:val="22"/>
          <w:shd w:val="clear" w:color="auto" w:fill="FFFFFF"/>
          <w:lang w:val="en-GB"/>
        </w:rPr>
        <w:t>Studies in European Language Diversity</w:t>
      </w:r>
      <w:r w:rsidRPr="00FB4EFA">
        <w:rPr>
          <w:rFonts w:ascii="Cambria" w:hAnsi="Cambria" w:cs="Charis SIL"/>
          <w:szCs w:val="22"/>
          <w:shd w:val="clear" w:color="auto" w:fill="FFFFFF"/>
          <w:lang w:val="en-GB"/>
        </w:rPr>
        <w:t xml:space="preserve"> 19.</w:t>
      </w:r>
    </w:p>
    <w:p w14:paraId="7C5A9324" w14:textId="74CD175C"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t>Mets, Mari. 2007. Keelehoiakutest ja võru keelt toetavatest teguritest ühes Ida-Võrumaa külas [On language attitudes and factors supporting the Võru language in an Ida-Võrumaa village]</w:t>
      </w:r>
      <w:r w:rsidR="00A82FE2" w:rsidRPr="00FB4EFA">
        <w:rPr>
          <w:rFonts w:ascii="Cambria" w:hAnsi="Cambria" w:cs="Charis SIL"/>
          <w:i/>
          <w:iCs/>
          <w:szCs w:val="22"/>
          <w:lang w:val="en-GB"/>
        </w:rPr>
        <w:t>.</w:t>
      </w:r>
      <w:r w:rsidRPr="00FB4EFA">
        <w:rPr>
          <w:rFonts w:ascii="Cambria" w:hAnsi="Cambria" w:cs="Charis SIL"/>
          <w:i/>
          <w:iCs/>
          <w:szCs w:val="22"/>
          <w:lang w:val="en-GB"/>
        </w:rPr>
        <w:t xml:space="preserve"> Sirp. Keele Infoleht </w:t>
      </w:r>
      <w:r w:rsidRPr="00FB4EFA">
        <w:rPr>
          <w:rFonts w:ascii="Cambria" w:hAnsi="Cambria" w:cs="Charis SIL"/>
          <w:szCs w:val="22"/>
          <w:lang w:val="en-GB"/>
        </w:rPr>
        <w:t>20.04.2007.</w:t>
      </w:r>
    </w:p>
    <w:p w14:paraId="39CBC444" w14:textId="59C21763"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Miestamo, Matti. 2007. Negation – An Overview of Typological Research. </w:t>
      </w:r>
      <w:r w:rsidRPr="00FB4EFA">
        <w:rPr>
          <w:rFonts w:ascii="Cambria" w:hAnsi="Cambria" w:cs="Charis SIL"/>
          <w:i/>
          <w:iCs/>
          <w:szCs w:val="22"/>
          <w:lang w:val="en-GB"/>
        </w:rPr>
        <w:t>Language and Linguistic Compass</w:t>
      </w:r>
      <w:r w:rsidRPr="00FB4EFA">
        <w:rPr>
          <w:rFonts w:ascii="Cambria" w:hAnsi="Cambria" w:cs="Charis SIL"/>
          <w:szCs w:val="22"/>
          <w:lang w:val="en-GB"/>
        </w:rPr>
        <w:t xml:space="preserve"> 1</w:t>
      </w:r>
      <w:r w:rsidR="00A82FE2" w:rsidRPr="00FB4EFA">
        <w:rPr>
          <w:rFonts w:ascii="Cambria" w:hAnsi="Cambria" w:cs="Charis SIL"/>
          <w:szCs w:val="22"/>
          <w:lang w:val="en-GB"/>
        </w:rPr>
        <w:t xml:space="preserve"> </w:t>
      </w:r>
      <w:r w:rsidRPr="00FB4EFA">
        <w:rPr>
          <w:rFonts w:ascii="Cambria" w:hAnsi="Cambria" w:cs="Charis SIL"/>
          <w:szCs w:val="22"/>
          <w:lang w:val="en-GB"/>
        </w:rPr>
        <w:t>(5). 552–570.</w:t>
      </w:r>
    </w:p>
    <w:p w14:paraId="593525AA"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Milroy, James. 2001. Language ideologies and consequences of standardization. </w:t>
      </w:r>
      <w:r w:rsidRPr="00FB4EFA">
        <w:rPr>
          <w:rFonts w:ascii="Cambria" w:hAnsi="Cambria" w:cs="Charis SIL"/>
          <w:i/>
          <w:iCs/>
          <w:szCs w:val="22"/>
          <w:lang w:val="en-GB"/>
        </w:rPr>
        <w:t>Journal of Sociolinguistics</w:t>
      </w:r>
      <w:r w:rsidRPr="00FB4EFA">
        <w:rPr>
          <w:rFonts w:ascii="Cambria" w:hAnsi="Cambria" w:cs="Charis SIL"/>
          <w:szCs w:val="22"/>
          <w:lang w:val="en-GB"/>
        </w:rPr>
        <w:t xml:space="preserve"> 5 (4). 530–555.</w:t>
      </w:r>
    </w:p>
    <w:p w14:paraId="66F2D71A" w14:textId="6BF9CB61"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Milroy, James &amp; Lesley Milroy. 1999. </w:t>
      </w:r>
      <w:r w:rsidRPr="00FB4EFA">
        <w:rPr>
          <w:rFonts w:ascii="Cambria" w:hAnsi="Cambria" w:cs="Charis SIL"/>
          <w:i/>
          <w:iCs/>
          <w:szCs w:val="22"/>
          <w:lang w:val="en-GB"/>
        </w:rPr>
        <w:t>Authority in Language. Investigating Standard English</w:t>
      </w:r>
      <w:r w:rsidRPr="00FB4EFA">
        <w:rPr>
          <w:rFonts w:ascii="Cambria" w:hAnsi="Cambria" w:cs="Charis SIL"/>
          <w:szCs w:val="22"/>
          <w:lang w:val="en-GB"/>
        </w:rPr>
        <w:t xml:space="preserve">. 3rd edition. </w:t>
      </w:r>
      <w:r w:rsidR="00A82FE2" w:rsidRPr="00FB4EFA">
        <w:rPr>
          <w:rFonts w:ascii="Cambria" w:hAnsi="Cambria" w:cs="Charis SIL"/>
          <w:szCs w:val="22"/>
          <w:lang w:val="en-GB"/>
        </w:rPr>
        <w:t>London</w:t>
      </w:r>
      <w:r w:rsidRPr="00FB4EFA">
        <w:rPr>
          <w:rFonts w:ascii="Cambria" w:hAnsi="Cambria" w:cs="Charis SIL"/>
          <w:szCs w:val="22"/>
          <w:lang w:val="en-GB"/>
        </w:rPr>
        <w:t>: Routledge.</w:t>
      </w:r>
    </w:p>
    <w:p w14:paraId="0D32F350" w14:textId="77777777" w:rsidR="000B62E0" w:rsidRPr="00FB4EFA" w:rsidRDefault="000B62E0" w:rsidP="004166CB">
      <w:pPr>
        <w:suppressAutoHyphens/>
        <w:spacing w:line="240" w:lineRule="auto"/>
        <w:ind w:left="426" w:hanging="426"/>
        <w:rPr>
          <w:rFonts w:cs="Charis SIL"/>
          <w:lang w:val="en-GB"/>
        </w:rPr>
      </w:pPr>
      <w:r w:rsidRPr="00FB4EFA">
        <w:rPr>
          <w:rFonts w:cs="Charis SIL"/>
          <w:lang w:val="en-GB" w:eastAsia="et-EE"/>
        </w:rPr>
        <w:t xml:space="preserve">Moriarty, </w:t>
      </w:r>
      <w:r w:rsidRPr="00FB4EFA">
        <w:rPr>
          <w:rFonts w:cs="Charis SIL"/>
          <w:shd w:val="clear" w:color="auto" w:fill="FFFFFF"/>
          <w:lang w:val="en-GB"/>
        </w:rPr>
        <w:t xml:space="preserve">Máiréad. </w:t>
      </w:r>
      <w:r w:rsidRPr="00FB4EFA">
        <w:rPr>
          <w:rFonts w:cs="Charis SIL"/>
          <w:lang w:val="en-GB" w:eastAsia="et-EE"/>
        </w:rPr>
        <w:t xml:space="preserve">2015. </w:t>
      </w:r>
      <w:r w:rsidRPr="00FB4EFA">
        <w:rPr>
          <w:rFonts w:cs="Charis SIL"/>
          <w:i/>
          <w:iCs/>
          <w:lang w:val="en-GB" w:eastAsia="et-EE"/>
        </w:rPr>
        <w:t>Globalizing language policy and planning: An Irish language perspective</w:t>
      </w:r>
      <w:r w:rsidRPr="00FB4EFA">
        <w:rPr>
          <w:rFonts w:cs="Charis SIL"/>
          <w:lang w:val="en-GB" w:eastAsia="et-EE"/>
        </w:rPr>
        <w:t>. London: Palgrave Macmillan.</w:t>
      </w:r>
    </w:p>
    <w:p w14:paraId="76AD08FE"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Org, Ervin, Nele Reimann, Katrin Uind, Eva Velsker &amp; Karl Pajusalu 1994. Vastseliina Sute küla elanike murdepruugist ja keelehoiakutest [On the dialect use and language attitude of the residents of Sute village in Vastseliina]. </w:t>
      </w:r>
      <w:r w:rsidRPr="00FB4EFA">
        <w:rPr>
          <w:rFonts w:ascii="Cambria" w:hAnsi="Cambria" w:cs="Charis SIL"/>
          <w:i/>
          <w:iCs/>
          <w:szCs w:val="22"/>
          <w:lang w:val="en-GB"/>
        </w:rPr>
        <w:t>Keel ja Kirjandus</w:t>
      </w:r>
      <w:r w:rsidRPr="00FB4EFA">
        <w:rPr>
          <w:rFonts w:ascii="Cambria" w:hAnsi="Cambria" w:cs="Charis SIL"/>
          <w:szCs w:val="22"/>
          <w:lang w:val="en-GB"/>
        </w:rPr>
        <w:t xml:space="preserve"> 4. 203–209.</w:t>
      </w:r>
    </w:p>
    <w:p w14:paraId="673EFCAB"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Pajusalu, Karl. 1999.</w:t>
      </w:r>
      <w:r w:rsidRPr="00FB4EFA">
        <w:rPr>
          <w:rFonts w:ascii="Cambria" w:hAnsi="Cambria" w:cs="Charis SIL"/>
          <w:szCs w:val="22"/>
          <w:shd w:val="clear" w:color="auto" w:fill="FFFFFF"/>
          <w:lang w:val="en-GB"/>
        </w:rPr>
        <w:t xml:space="preserve"> Eesti murded ja murderühmad [Estonian dialects and dialect groups]. </w:t>
      </w:r>
      <w:r w:rsidRPr="00FB4EFA">
        <w:rPr>
          <w:rFonts w:ascii="Cambria" w:hAnsi="Cambria" w:cs="Charis SIL"/>
          <w:i/>
          <w:szCs w:val="22"/>
          <w:shd w:val="clear" w:color="auto" w:fill="FFFFFF"/>
          <w:lang w:val="en-GB"/>
        </w:rPr>
        <w:t>Emakeele Seltsi aastaraamat</w:t>
      </w:r>
      <w:r w:rsidRPr="00FB4EFA">
        <w:rPr>
          <w:rFonts w:ascii="Cambria" w:hAnsi="Cambria" w:cs="Charis SIL"/>
          <w:szCs w:val="22"/>
          <w:shd w:val="clear" w:color="auto" w:fill="FFFFFF"/>
          <w:lang w:val="en-GB"/>
        </w:rPr>
        <w:t xml:space="preserve"> 43</w:t>
      </w:r>
      <w:r w:rsidRPr="00FB4EFA">
        <w:rPr>
          <w:rFonts w:ascii="Cambria" w:hAnsi="Cambria" w:cs="Charis SIL"/>
          <w:szCs w:val="22"/>
          <w:lang w:val="en-GB"/>
        </w:rPr>
        <w:t>.</w:t>
      </w:r>
      <w:r w:rsidRPr="00FB4EFA">
        <w:rPr>
          <w:rFonts w:ascii="Cambria" w:hAnsi="Cambria" w:cs="Charis SIL"/>
          <w:szCs w:val="22"/>
          <w:shd w:val="clear" w:color="auto" w:fill="FFFFFF"/>
          <w:lang w:val="en-GB"/>
        </w:rPr>
        <w:t xml:space="preserve"> 64</w:t>
      </w:r>
      <w:r w:rsidRPr="00FB4EFA">
        <w:rPr>
          <w:rFonts w:ascii="Cambria" w:hAnsi="Cambria" w:cs="Charis SIL"/>
          <w:szCs w:val="22"/>
          <w:lang w:val="en-GB"/>
        </w:rPr>
        <w:t>–</w:t>
      </w:r>
      <w:r w:rsidRPr="00FB4EFA">
        <w:rPr>
          <w:rFonts w:ascii="Cambria" w:hAnsi="Cambria" w:cs="Charis SIL"/>
          <w:szCs w:val="22"/>
          <w:shd w:val="clear" w:color="auto" w:fill="FFFFFF"/>
          <w:lang w:val="en-GB"/>
        </w:rPr>
        <w:t>98.</w:t>
      </w:r>
    </w:p>
    <w:p w14:paraId="76702AD2" w14:textId="7B0D248F"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shd w:val="clear" w:color="auto" w:fill="FFFFFF"/>
          <w:lang w:val="en-GB"/>
        </w:rPr>
        <w:t xml:space="preserve">Pajusalu, Renate. 2015. Võro demonstratives: changing or disappearing? </w:t>
      </w:r>
      <w:r w:rsidRPr="00FB4EFA">
        <w:rPr>
          <w:rFonts w:ascii="Cambria" w:hAnsi="Cambria" w:cs="Charis SIL"/>
          <w:i/>
          <w:iCs/>
          <w:szCs w:val="22"/>
          <w:shd w:val="clear" w:color="auto" w:fill="FFFFFF"/>
          <w:lang w:val="en-GB"/>
        </w:rPr>
        <w:t xml:space="preserve">Journal of Estonian and Finno-Ugric Linguistics </w:t>
      </w:r>
      <w:r w:rsidRPr="00FB4EFA">
        <w:rPr>
          <w:rFonts w:ascii="Cambria" w:hAnsi="Cambria" w:cs="Charis SIL"/>
          <w:szCs w:val="22"/>
          <w:shd w:val="clear" w:color="auto" w:fill="FFFFFF"/>
          <w:lang w:val="en-GB"/>
        </w:rPr>
        <w:t>6 (2)</w:t>
      </w:r>
      <w:r w:rsidRPr="00FB4EFA">
        <w:rPr>
          <w:rFonts w:ascii="Cambria" w:hAnsi="Cambria" w:cs="Charis SIL"/>
          <w:szCs w:val="22"/>
          <w:lang w:val="en-GB"/>
        </w:rPr>
        <w:t>.</w:t>
      </w:r>
      <w:r w:rsidRPr="00FB4EFA">
        <w:rPr>
          <w:rFonts w:ascii="Cambria" w:hAnsi="Cambria" w:cs="Charis SIL"/>
          <w:szCs w:val="22"/>
          <w:shd w:val="clear" w:color="auto" w:fill="FFFFFF"/>
          <w:lang w:val="en-GB"/>
        </w:rPr>
        <w:t xml:space="preserve"> 167</w:t>
      </w:r>
      <w:r w:rsidR="00E62396" w:rsidRPr="00FB4EFA">
        <w:rPr>
          <w:rFonts w:ascii="Cambria" w:hAnsi="Cambria" w:cs="Charis SIL"/>
          <w:szCs w:val="22"/>
          <w:lang w:val="en-GB"/>
        </w:rPr>
        <w:t>–</w:t>
      </w:r>
      <w:r w:rsidRPr="00FB4EFA">
        <w:rPr>
          <w:rFonts w:ascii="Cambria" w:hAnsi="Cambria" w:cs="Charis SIL"/>
          <w:szCs w:val="22"/>
          <w:shd w:val="clear" w:color="auto" w:fill="FFFFFF"/>
          <w:lang w:val="en-GB"/>
        </w:rPr>
        <w:t>190.</w:t>
      </w:r>
    </w:p>
    <w:p w14:paraId="4827C069" w14:textId="77777777"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t xml:space="preserve">Pilvik, Maarja-Liisa, Helen Plado &amp; Liina Lindström. 2021. Murded, varieerumine ja korpusandmed. Eitussõna paiknemine võro ja seto eituslausetes [Dialects, variation and corpus data. Location of the negative word in Võro and Seto negative sentences]. </w:t>
      </w:r>
      <w:r w:rsidRPr="00FB4EFA">
        <w:rPr>
          <w:rFonts w:ascii="Cambria" w:hAnsi="Cambria" w:cs="Charis SIL"/>
          <w:i/>
          <w:szCs w:val="22"/>
          <w:lang w:val="en-GB"/>
        </w:rPr>
        <w:t xml:space="preserve">Keel ja Kirjandus </w:t>
      </w:r>
      <w:r w:rsidRPr="00FB4EFA">
        <w:rPr>
          <w:rFonts w:ascii="Cambria" w:hAnsi="Cambria" w:cs="Charis SIL"/>
          <w:szCs w:val="22"/>
          <w:lang w:val="en-GB"/>
        </w:rPr>
        <w:t>8–9. 771–796.</w:t>
      </w:r>
    </w:p>
    <w:p w14:paraId="380D5B61"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Raag, Raimo. 1999. One Plus One Equals One: the Forging of Standard Estonian. </w:t>
      </w:r>
      <w:r w:rsidRPr="00FB4EFA">
        <w:rPr>
          <w:rFonts w:ascii="Cambria" w:hAnsi="Cambria" w:cs="Charis SIL"/>
          <w:i/>
          <w:iCs/>
          <w:szCs w:val="22"/>
          <w:lang w:val="en-GB"/>
        </w:rPr>
        <w:t xml:space="preserve">International Journal of the Sociology of Language </w:t>
      </w:r>
      <w:r w:rsidRPr="00FB4EFA">
        <w:rPr>
          <w:rFonts w:ascii="Cambria" w:hAnsi="Cambria" w:cs="Charis SIL"/>
          <w:szCs w:val="22"/>
          <w:lang w:val="en-GB"/>
        </w:rPr>
        <w:t>139. 17–38.</w:t>
      </w:r>
    </w:p>
    <w:p w14:paraId="73776CE8"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Raag, Raimo. 2008. </w:t>
      </w:r>
      <w:r w:rsidRPr="00FB4EFA">
        <w:rPr>
          <w:rFonts w:ascii="Cambria" w:hAnsi="Cambria" w:cs="Charis SIL"/>
          <w:i/>
          <w:iCs/>
          <w:szCs w:val="22"/>
          <w:lang w:val="en-GB"/>
        </w:rPr>
        <w:t xml:space="preserve">Talurahva keelest riigikeeleks </w:t>
      </w:r>
      <w:r w:rsidRPr="00FB4EFA">
        <w:rPr>
          <w:rFonts w:ascii="Cambria" w:hAnsi="Cambria" w:cs="Charis SIL"/>
          <w:szCs w:val="22"/>
          <w:lang w:val="en-GB"/>
        </w:rPr>
        <w:t>[From peasant idioms to a national language]</w:t>
      </w:r>
      <w:r w:rsidRPr="00FB4EFA">
        <w:rPr>
          <w:rFonts w:ascii="Cambria" w:hAnsi="Cambria" w:cs="Charis SIL"/>
          <w:i/>
          <w:iCs/>
          <w:szCs w:val="22"/>
          <w:lang w:val="en-GB"/>
        </w:rPr>
        <w:t xml:space="preserve">. </w:t>
      </w:r>
      <w:r w:rsidRPr="00FB4EFA">
        <w:rPr>
          <w:rFonts w:ascii="Cambria" w:hAnsi="Cambria" w:cs="Charis SIL"/>
          <w:szCs w:val="22"/>
          <w:lang w:val="en-GB"/>
        </w:rPr>
        <w:t>Tartu: Atlex.</w:t>
      </w:r>
    </w:p>
    <w:p w14:paraId="4799E3DC"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Raag, Raimo. 2010. Regionalism in Language Policy: the Case of Võru. In Baiba Metuzāle-Kangere (ed.), </w:t>
      </w:r>
      <w:r w:rsidRPr="00FB4EFA">
        <w:rPr>
          <w:rFonts w:ascii="Cambria" w:hAnsi="Cambria" w:cs="Charis SIL"/>
          <w:i/>
          <w:iCs/>
          <w:szCs w:val="22"/>
          <w:lang w:val="en-GB"/>
        </w:rPr>
        <w:t>Inheriting the 1990s. The Baltic Countries</w:t>
      </w:r>
      <w:r w:rsidRPr="00FB4EFA">
        <w:rPr>
          <w:rFonts w:ascii="Cambria" w:hAnsi="Cambria" w:cs="Charis SIL"/>
          <w:szCs w:val="22"/>
          <w:lang w:val="en-GB"/>
        </w:rPr>
        <w:t>, 131–152</w:t>
      </w:r>
      <w:r w:rsidRPr="00FB4EFA">
        <w:rPr>
          <w:rFonts w:ascii="Cambria" w:hAnsi="Cambria" w:cs="Charis SIL"/>
          <w:i/>
          <w:iCs/>
          <w:szCs w:val="22"/>
          <w:lang w:val="en-GB"/>
        </w:rPr>
        <w:t xml:space="preserve">. </w:t>
      </w:r>
      <w:r w:rsidRPr="00FB4EFA">
        <w:rPr>
          <w:rFonts w:ascii="Cambria" w:hAnsi="Cambria" w:cs="Charis SIL"/>
          <w:szCs w:val="22"/>
          <w:lang w:val="en-GB"/>
        </w:rPr>
        <w:t>Studia Uralica Upsaliensia 37. Uppsala: Uppsala universitet.</w:t>
      </w:r>
    </w:p>
    <w:p w14:paraId="75C75831" w14:textId="0E5D7F17"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Fonts w:ascii="Cambria" w:hAnsi="Cambria" w:cs="Charis SIL"/>
          <w:szCs w:val="22"/>
          <w:lang w:val="en-GB"/>
        </w:rPr>
        <w:lastRenderedPageBreak/>
        <w:t>Ross, Kristiina</w:t>
      </w:r>
      <w:r w:rsidR="00054818" w:rsidRPr="00FB4EFA">
        <w:rPr>
          <w:rFonts w:ascii="Cambria" w:hAnsi="Cambria" w:cs="Charis SIL"/>
          <w:szCs w:val="22"/>
          <w:lang w:val="en-GB"/>
        </w:rPr>
        <w:t>.</w:t>
      </w:r>
      <w:r w:rsidRPr="00FB4EFA">
        <w:rPr>
          <w:rFonts w:ascii="Cambria" w:hAnsi="Cambria" w:cs="Charis SIL"/>
          <w:szCs w:val="22"/>
          <w:lang w:val="en-GB"/>
        </w:rPr>
        <w:t xml:space="preserve"> 2008. Estonian Bible translations. In Kristiina Ross &amp; Pēteris Vanags (eds.) </w:t>
      </w:r>
      <w:r w:rsidRPr="00FB4EFA">
        <w:rPr>
          <w:rFonts w:ascii="Cambria" w:hAnsi="Cambria" w:cs="Charis SIL"/>
          <w:i/>
          <w:iCs/>
          <w:szCs w:val="22"/>
          <w:lang w:val="en-GB"/>
        </w:rPr>
        <w:t>Common Roots of the Latvian and Estonian Literary Languages</w:t>
      </w:r>
      <w:r w:rsidRPr="00FB4EFA">
        <w:rPr>
          <w:rFonts w:ascii="Cambria" w:hAnsi="Cambria" w:cs="Charis SIL"/>
          <w:szCs w:val="22"/>
          <w:lang w:val="en-GB"/>
        </w:rPr>
        <w:t>, 235</w:t>
      </w:r>
      <w:r w:rsidR="00E62396" w:rsidRPr="00FB4EFA">
        <w:rPr>
          <w:rFonts w:ascii="Cambria" w:hAnsi="Cambria" w:cs="Charis SIL"/>
          <w:szCs w:val="22"/>
          <w:lang w:val="en-GB"/>
        </w:rPr>
        <w:t>–</w:t>
      </w:r>
      <w:r w:rsidRPr="00FB4EFA">
        <w:rPr>
          <w:rFonts w:ascii="Cambria" w:hAnsi="Cambria" w:cs="Charis SIL"/>
          <w:szCs w:val="22"/>
          <w:lang w:val="en-GB"/>
        </w:rPr>
        <w:t>252. Frankfurt am Main: Peter Lang Verlag.</w:t>
      </w:r>
    </w:p>
    <w:p w14:paraId="7B8F57DE"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Sebba, Mark. 2012. Orthography as social action: Scripts, spelling, identity and power. In Alexandra Jaffe, Jannis Androutsopoulos, Mark Sebba &amp; Sally Johnson (eds.), </w:t>
      </w:r>
      <w:r w:rsidRPr="00FB4EFA">
        <w:rPr>
          <w:rFonts w:ascii="Cambria" w:hAnsi="Cambria" w:cs="Charis SIL"/>
          <w:i/>
          <w:szCs w:val="22"/>
          <w:lang w:val="en-GB"/>
        </w:rPr>
        <w:t>Orthography as Social Action: Scripts, spelling, identity and power</w:t>
      </w:r>
      <w:r w:rsidRPr="00FB4EFA">
        <w:rPr>
          <w:rFonts w:ascii="Cambria" w:hAnsi="Cambria" w:cs="Charis SIL"/>
          <w:szCs w:val="22"/>
          <w:lang w:val="en-GB"/>
        </w:rPr>
        <w:t>, 1–20. Berlin: De Gruyter.</w:t>
      </w:r>
    </w:p>
    <w:p w14:paraId="452ADA75" w14:textId="09DD7220"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Seifart, Frank. 2006. Orthography Development. In Jost Gippert, Nikolaus P. Himmelmann &amp; Ulrike Mosel (eds.), </w:t>
      </w:r>
      <w:r w:rsidRPr="00FB4EFA">
        <w:rPr>
          <w:rFonts w:ascii="Cambria" w:hAnsi="Cambria" w:cs="Charis SIL"/>
          <w:i/>
          <w:szCs w:val="22"/>
          <w:lang w:val="en-GB"/>
        </w:rPr>
        <w:t>Essentials of Language Documentation,</w:t>
      </w:r>
      <w:r w:rsidRPr="00FB4EFA">
        <w:rPr>
          <w:rFonts w:ascii="Cambria" w:hAnsi="Cambria" w:cs="Charis SIL"/>
          <w:szCs w:val="22"/>
          <w:lang w:val="en-GB"/>
        </w:rPr>
        <w:t xml:space="preserve"> 275–301. Trends in Linguistics 178. Berlin: Mouton de Gruyter.</w:t>
      </w:r>
    </w:p>
    <w:p w14:paraId="180B8942" w14:textId="3EA22BF2" w:rsidR="000B62E0" w:rsidRPr="00FB4EFA" w:rsidRDefault="000B62E0" w:rsidP="004166CB">
      <w:pPr>
        <w:pStyle w:val="NormalWeb"/>
        <w:keepLines/>
        <w:suppressAutoHyphens/>
        <w:spacing w:before="0" w:beforeAutospacing="0" w:after="0" w:afterAutospacing="0"/>
        <w:ind w:left="425" w:hanging="425"/>
        <w:rPr>
          <w:rFonts w:ascii="Cambria" w:hAnsi="Cambria" w:cs="Charis SIL"/>
          <w:szCs w:val="22"/>
          <w:lang w:val="en-GB"/>
        </w:rPr>
      </w:pPr>
      <w:r w:rsidRPr="00FB4EFA">
        <w:rPr>
          <w:rStyle w:val="tojvnm2t"/>
          <w:rFonts w:ascii="Cambria" w:hAnsi="Cambria" w:cs="Charis SIL"/>
        </w:rPr>
        <w:t>Silverstein, Michael. 1996. Monoglot “standard” in America: Standardization and metaphors of linguistic hegemony. In D. Brenneis &amp; R. Macauley (eds.)</w:t>
      </w:r>
      <w:r w:rsidR="00C47A52" w:rsidRPr="00FB4EFA">
        <w:rPr>
          <w:rStyle w:val="tojvnm2t"/>
          <w:rFonts w:ascii="Cambria" w:hAnsi="Cambria" w:cs="Charis SIL"/>
        </w:rPr>
        <w:t>,</w:t>
      </w:r>
      <w:r w:rsidRPr="00FB4EFA">
        <w:rPr>
          <w:rStyle w:val="tojvnm2t"/>
          <w:rFonts w:ascii="Cambria" w:hAnsi="Cambria" w:cs="Charis SIL"/>
        </w:rPr>
        <w:t xml:space="preserve"> </w:t>
      </w:r>
      <w:r w:rsidRPr="00FB4EFA">
        <w:rPr>
          <w:rStyle w:val="tojvnm2t"/>
          <w:rFonts w:ascii="Cambria" w:hAnsi="Cambria" w:cs="Charis SIL"/>
          <w:i/>
        </w:rPr>
        <w:t>The Matrix of Language: Contemporary Linguistic Anthropology</w:t>
      </w:r>
      <w:r w:rsidRPr="00FB4EFA">
        <w:rPr>
          <w:rStyle w:val="tojvnm2t"/>
          <w:rFonts w:ascii="Cambria" w:hAnsi="Cambria" w:cs="Charis SIL"/>
        </w:rPr>
        <w:t>, 284–306. Boulder, CO: Westview.</w:t>
      </w:r>
    </w:p>
    <w:p w14:paraId="0D9D58C9"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Spolsky, Bernard. 2009. </w:t>
      </w:r>
      <w:r w:rsidRPr="00FB4EFA">
        <w:rPr>
          <w:rFonts w:ascii="Cambria" w:hAnsi="Cambria" w:cs="Charis SIL"/>
          <w:i/>
          <w:iCs/>
          <w:szCs w:val="22"/>
          <w:lang w:val="en-GB"/>
        </w:rPr>
        <w:t>Language Management</w:t>
      </w:r>
      <w:r w:rsidRPr="00FB4EFA">
        <w:rPr>
          <w:rFonts w:ascii="Cambria" w:hAnsi="Cambria" w:cs="Charis SIL"/>
          <w:szCs w:val="22"/>
          <w:lang w:val="en-GB"/>
        </w:rPr>
        <w:t>. Cambridge: Cambridge University Press.</w:t>
      </w:r>
    </w:p>
    <w:p w14:paraId="6863C626"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Tender, Tõnu, Sulev Iva &amp; Enn Kasak. 1996. Võru uuemad kirjaviisid ja Brown(e)’i liikumine [New spellings of Võro and Brownian motion]. II. </w:t>
      </w:r>
      <w:r w:rsidRPr="00FB4EFA">
        <w:rPr>
          <w:rFonts w:ascii="Cambria" w:hAnsi="Cambria" w:cs="Charis SIL"/>
          <w:i/>
          <w:iCs/>
          <w:szCs w:val="22"/>
          <w:lang w:val="en-GB"/>
        </w:rPr>
        <w:t>Keel ja Kirjandus</w:t>
      </w:r>
      <w:r w:rsidRPr="00FB4EFA">
        <w:rPr>
          <w:rFonts w:ascii="Cambria" w:hAnsi="Cambria" w:cs="Charis SIL"/>
          <w:szCs w:val="22"/>
          <w:lang w:val="en-GB"/>
        </w:rPr>
        <w:t xml:space="preserve"> 9. 606–610.</w:t>
      </w:r>
    </w:p>
    <w:p w14:paraId="56B5834F"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Tender, Tõnu &amp; Enn Kasak. 1995. Võru uuemad kirjaviisid ja Brown(e)’i liikumine [New spellings of Võro and Brownian motion]. </w:t>
      </w:r>
      <w:r w:rsidRPr="00FB4EFA">
        <w:rPr>
          <w:rFonts w:ascii="Cambria" w:hAnsi="Cambria" w:cs="Charis SIL"/>
          <w:i/>
          <w:iCs/>
          <w:szCs w:val="22"/>
          <w:lang w:val="en-GB"/>
        </w:rPr>
        <w:t xml:space="preserve">Keel ja Kirjandus </w:t>
      </w:r>
      <w:r w:rsidRPr="00FB4EFA">
        <w:rPr>
          <w:rFonts w:ascii="Cambria" w:hAnsi="Cambria" w:cs="Charis SIL"/>
          <w:szCs w:val="22"/>
          <w:lang w:val="en-GB"/>
        </w:rPr>
        <w:t>5. 312–319.</w:t>
      </w:r>
    </w:p>
    <w:p w14:paraId="0C7B4FEF" w14:textId="76E3A4DD"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UL 2000 = Kuis kiruta [How to write]. </w:t>
      </w:r>
      <w:r w:rsidRPr="00FB4EFA">
        <w:rPr>
          <w:rFonts w:ascii="Cambria" w:hAnsi="Cambria" w:cs="Charis SIL"/>
          <w:i/>
          <w:iCs/>
          <w:szCs w:val="22"/>
          <w:lang w:val="en-GB"/>
        </w:rPr>
        <w:t>Uma Leht</w:t>
      </w:r>
      <w:r w:rsidRPr="00FB4EFA">
        <w:rPr>
          <w:rFonts w:ascii="Cambria" w:hAnsi="Cambria" w:cs="Charis SIL"/>
          <w:szCs w:val="22"/>
          <w:lang w:val="en-GB"/>
        </w:rPr>
        <w:t xml:space="preserve"> 01.08.2000. </w:t>
      </w:r>
      <w:hyperlink r:id="rId357" w:history="1">
        <w:r w:rsidR="00C47A52" w:rsidRPr="00FB4EFA">
          <w:rPr>
            <w:rStyle w:val="Hyperlink"/>
            <w:rFonts w:ascii="Cambria" w:hAnsi="Cambria" w:cs="Charis SIL"/>
            <w:color w:val="auto"/>
            <w:szCs w:val="22"/>
            <w:lang w:val="en-GB"/>
          </w:rPr>
          <w:t>www.umaleht.ee/umaarhiiv/aug/neli.htm</w:t>
        </w:r>
      </w:hyperlink>
      <w:r w:rsidRPr="00FB4EFA">
        <w:rPr>
          <w:rFonts w:ascii="Cambria" w:hAnsi="Cambria" w:cs="Charis SIL"/>
          <w:szCs w:val="22"/>
          <w:lang w:val="en-GB"/>
        </w:rPr>
        <w:t>.</w:t>
      </w:r>
    </w:p>
    <w:p w14:paraId="71B63C51"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UL 11/2001 = Uma Lehe küsitlüs [Uma Leht’s survey]. </w:t>
      </w:r>
      <w:r w:rsidRPr="00FB4EFA">
        <w:rPr>
          <w:rFonts w:ascii="Cambria" w:hAnsi="Cambria" w:cs="Charis SIL"/>
          <w:i/>
          <w:iCs/>
          <w:szCs w:val="22"/>
          <w:lang w:val="en-GB"/>
        </w:rPr>
        <w:t>Uma Leht</w:t>
      </w:r>
      <w:r w:rsidRPr="00FB4EFA">
        <w:rPr>
          <w:rFonts w:ascii="Cambria" w:hAnsi="Cambria" w:cs="Charis SIL"/>
          <w:szCs w:val="22"/>
          <w:lang w:val="en-GB"/>
        </w:rPr>
        <w:t xml:space="preserve"> 05.08.2001, p. 4.</w:t>
      </w:r>
    </w:p>
    <w:p w14:paraId="7734EDFA" w14:textId="1649EC93"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lang w:val="en-GB"/>
        </w:rPr>
        <w:t xml:space="preserve">UL 13/2001 = Umma Lehte olõ-i rassõ lukõq [UL is not difficult to read]. Uma Leht. August 7, 2001. </w:t>
      </w:r>
      <w:hyperlink r:id="rId358" w:history="1">
        <w:r w:rsidRPr="00FB4EFA">
          <w:rPr>
            <w:rStyle w:val="Hyperlink"/>
            <w:rFonts w:ascii="Cambria" w:hAnsi="Cambria" w:cs="Charis SIL"/>
            <w:color w:val="auto"/>
            <w:szCs w:val="22"/>
            <w:lang w:val="en-GB"/>
          </w:rPr>
          <w:t>www.umaleht.ee/umaarhiiv/suk/suvkerg.htm</w:t>
        </w:r>
      </w:hyperlink>
      <w:r w:rsidRPr="00FB4EFA">
        <w:rPr>
          <w:rFonts w:ascii="Cambria" w:hAnsi="Cambria" w:cs="Charis SIL"/>
          <w:szCs w:val="22"/>
          <w:lang w:val="en-GB"/>
        </w:rPr>
        <w:t>.</w:t>
      </w:r>
    </w:p>
    <w:p w14:paraId="449A8815" w14:textId="77777777" w:rsidR="000B62E0" w:rsidRPr="00FB4EFA" w:rsidRDefault="000B62E0" w:rsidP="004166CB">
      <w:pPr>
        <w:pStyle w:val="NormalWeb"/>
        <w:suppressAutoHyphens/>
        <w:spacing w:before="0" w:beforeAutospacing="0" w:after="0" w:afterAutospacing="0"/>
        <w:ind w:left="426" w:hanging="426"/>
        <w:rPr>
          <w:rFonts w:ascii="Cambria" w:hAnsi="Cambria" w:cs="Charis SIL"/>
          <w:szCs w:val="22"/>
          <w:lang w:val="en-GB"/>
        </w:rPr>
      </w:pPr>
      <w:r w:rsidRPr="00FB4EFA">
        <w:rPr>
          <w:rFonts w:ascii="Cambria" w:hAnsi="Cambria" w:cs="Charis SIL"/>
          <w:szCs w:val="22"/>
          <w:shd w:val="clear" w:color="auto" w:fill="FFFFFF"/>
          <w:lang w:val="en-GB"/>
        </w:rPr>
        <w:t xml:space="preserve">Viitso, Tiit-Rein. 2007. The linguistic background of the Estonian language. In Mati </w:t>
      </w:r>
      <w:r w:rsidRPr="00FB4EFA">
        <w:rPr>
          <w:rFonts w:ascii="Cambria" w:hAnsi="Cambria" w:cs="Charis SIL"/>
          <w:szCs w:val="22"/>
          <w:lang w:val="en-GB"/>
        </w:rPr>
        <w:t xml:space="preserve">Erelt (ed.), </w:t>
      </w:r>
      <w:r w:rsidRPr="00FB4EFA">
        <w:rPr>
          <w:rFonts w:ascii="Cambria" w:hAnsi="Cambria" w:cs="Charis SIL"/>
          <w:i/>
          <w:iCs/>
          <w:szCs w:val="22"/>
          <w:lang w:val="en-GB"/>
        </w:rPr>
        <w:t>Estonian language.</w:t>
      </w:r>
      <w:r w:rsidRPr="00FB4EFA">
        <w:rPr>
          <w:rFonts w:ascii="Cambria" w:hAnsi="Cambria" w:cs="Charis SIL"/>
          <w:szCs w:val="22"/>
          <w:lang w:val="en-GB"/>
        </w:rPr>
        <w:t xml:space="preserve"> </w:t>
      </w:r>
      <w:r w:rsidRPr="00FB4EFA">
        <w:rPr>
          <w:rFonts w:ascii="Cambria" w:hAnsi="Cambria" w:cs="Charis SIL"/>
          <w:i/>
          <w:iCs/>
          <w:szCs w:val="22"/>
          <w:lang w:val="en-GB"/>
        </w:rPr>
        <w:t>Linguistica Uralica. Suplementary Series</w:t>
      </w:r>
      <w:r w:rsidRPr="00FB4EFA">
        <w:rPr>
          <w:rFonts w:ascii="Cambria" w:hAnsi="Cambria" w:cs="Charis SIL"/>
          <w:szCs w:val="22"/>
          <w:lang w:val="en-GB"/>
        </w:rPr>
        <w:t xml:space="preserve">, </w:t>
      </w:r>
      <w:r w:rsidRPr="00FB4EFA">
        <w:rPr>
          <w:rFonts w:ascii="Cambria" w:hAnsi="Cambria" w:cs="Charis SIL"/>
          <w:i/>
          <w:iCs/>
          <w:szCs w:val="22"/>
          <w:lang w:val="en-GB"/>
        </w:rPr>
        <w:t>Volume 1, Second edition,</w:t>
      </w:r>
      <w:r w:rsidRPr="00FB4EFA">
        <w:rPr>
          <w:rFonts w:ascii="Cambria" w:hAnsi="Cambria" w:cs="Charis SIL"/>
          <w:szCs w:val="22"/>
          <w:lang w:val="en-GB"/>
        </w:rPr>
        <w:t xml:space="preserve"> 131–160. Tallinn: Estonian Academy Publishers.</w:t>
      </w:r>
    </w:p>
    <w:p w14:paraId="37071909" w14:textId="6D599E5B" w:rsidR="00A96E85" w:rsidRPr="00FB4EFA" w:rsidRDefault="000B62E0" w:rsidP="004166CB">
      <w:pPr>
        <w:suppressAutoHyphens/>
        <w:spacing w:line="240" w:lineRule="auto"/>
        <w:ind w:left="426" w:hanging="426"/>
        <w:rPr>
          <w:i/>
        </w:rPr>
      </w:pPr>
      <w:r w:rsidRPr="00FB4EFA">
        <w:rPr>
          <w:lang w:val="en-GB"/>
        </w:rPr>
        <w:t xml:space="preserve">Weinstock, Daniel. 2014. The Complex Normative Foundations of Language Policy. Thematic Issue: Language Policy and Political Theory. </w:t>
      </w:r>
      <w:r w:rsidRPr="00FB4EFA">
        <w:rPr>
          <w:i/>
          <w:iCs/>
          <w:lang w:val="en-GB"/>
        </w:rPr>
        <w:t>Language Policy</w:t>
      </w:r>
      <w:r w:rsidRPr="00FB4EFA">
        <w:rPr>
          <w:lang w:val="en-GB"/>
        </w:rPr>
        <w:t xml:space="preserve"> 13 (14). 317–333.</w:t>
      </w:r>
    </w:p>
    <w:p w14:paraId="26584719" w14:textId="77777777" w:rsidR="00A96E85" w:rsidRPr="00FB4EFA" w:rsidRDefault="00A96E85" w:rsidP="004166CB">
      <w:pPr>
        <w:suppressAutoHyphens/>
        <w:spacing w:after="160"/>
        <w:jc w:val="center"/>
        <w:rPr>
          <w:smallCaps/>
          <w:sz w:val="48"/>
          <w:szCs w:val="48"/>
        </w:rPr>
        <w:sectPr w:rsidR="00A96E85" w:rsidRPr="00FB4EFA" w:rsidSect="000A34AD">
          <w:headerReference w:type="default" r:id="rId359"/>
          <w:headerReference w:type="first" r:id="rId360"/>
          <w:footnotePr>
            <w:numStart w:val="9"/>
            <w:numRestart w:val="eachSect"/>
          </w:footnotePr>
          <w:pgSz w:w="9180" w:h="13302"/>
          <w:pgMar w:top="777" w:right="1134" w:bottom="1134" w:left="1134" w:header="743" w:footer="720" w:gutter="0"/>
          <w:cols w:space="720"/>
          <w:titlePg/>
          <w:docGrid w:linePitch="299"/>
        </w:sectPr>
      </w:pPr>
    </w:p>
    <w:p w14:paraId="23AC5D8E" w14:textId="77777777" w:rsidR="00A96E85" w:rsidRPr="00FB4EFA" w:rsidRDefault="00A96E85" w:rsidP="00AF0CAD">
      <w:pPr>
        <w:pStyle w:val="Authors"/>
        <w:spacing w:line="259" w:lineRule="auto"/>
        <w:rPr>
          <w:color w:val="auto"/>
          <w:lang w:val="de-AT"/>
        </w:rPr>
      </w:pPr>
      <w:r w:rsidRPr="00FB4EFA">
        <w:rPr>
          <w:color w:val="auto"/>
          <w:lang w:val="de-AT"/>
        </w:rPr>
        <w:lastRenderedPageBreak/>
        <w:t>Renate Pajusalu, Karl Pajusalu</w:t>
      </w:r>
    </w:p>
    <w:p w14:paraId="268DD167" w14:textId="77777777" w:rsidR="00A96E85" w:rsidRPr="00FB4EFA" w:rsidRDefault="00A96E85" w:rsidP="00402EF4"/>
    <w:p w14:paraId="29A71477" w14:textId="196C2113" w:rsidR="00A96E85" w:rsidRPr="00FB4EFA" w:rsidRDefault="00A96E85" w:rsidP="00994E2A">
      <w:pPr>
        <w:pStyle w:val="Heading1"/>
        <w:suppressAutoHyphens/>
        <w:spacing w:line="259" w:lineRule="auto"/>
        <w:ind w:right="74"/>
        <w:rPr>
          <w:color w:val="auto"/>
          <w:lang w:val="de-AT"/>
        </w:rPr>
      </w:pPr>
      <w:bookmarkStart w:id="94" w:name="_Toc87547012"/>
      <w:bookmarkStart w:id="95" w:name="_Ref90999660"/>
      <w:r w:rsidRPr="00FB4EFA">
        <w:rPr>
          <w:color w:val="auto"/>
          <w:lang w:val="de-AT"/>
        </w:rPr>
        <w:t>Ajavaos ja -vagudel</w:t>
      </w:r>
      <w:bookmarkEnd w:id="94"/>
      <w:bookmarkEnd w:id="95"/>
    </w:p>
    <w:p w14:paraId="02EC14F7" w14:textId="35245135" w:rsidR="009B4394" w:rsidRPr="00FB4EFA" w:rsidRDefault="009B4394" w:rsidP="00545033">
      <w:pPr>
        <w:pStyle w:val="Heading2"/>
        <w:numPr>
          <w:ilvl w:val="0"/>
          <w:numId w:val="7"/>
        </w:numPr>
        <w:suppressAutoHyphens/>
        <w:spacing w:line="259" w:lineRule="auto"/>
        <w:rPr>
          <w:color w:val="auto"/>
          <w:lang w:val="et-EE"/>
        </w:rPr>
      </w:pPr>
      <w:r w:rsidRPr="00FB4EFA">
        <w:rPr>
          <w:color w:val="auto"/>
          <w:lang w:val="et-EE"/>
        </w:rPr>
        <w:t>Sissejuhatuseks</w:t>
      </w:r>
    </w:p>
    <w:p w14:paraId="2CE3ACDF" w14:textId="77777777" w:rsidR="00E015F4" w:rsidRPr="00FB4EFA" w:rsidRDefault="00E015F4" w:rsidP="00AF0CAD">
      <w:pPr>
        <w:rPr>
          <w:lang w:val="et-EE"/>
        </w:rPr>
      </w:pPr>
      <w:r w:rsidRPr="00FB4EFA">
        <w:rPr>
          <w:lang w:val="et-EE"/>
        </w:rPr>
        <w:t xml:space="preserve">Sõnade päritolu, tähendus ja kasutus võivad näidata, kuidas keele kõnelejad mõtlevad ning millises kultuuris nad elavad. Vaatleme siinses artiklis eesti keele sõna </w:t>
      </w:r>
      <w:r w:rsidRPr="00FB4EFA">
        <w:rPr>
          <w:i/>
          <w:lang w:val="et-EE"/>
        </w:rPr>
        <w:t xml:space="preserve">vagu </w:t>
      </w:r>
      <w:r w:rsidRPr="00FB4EFA">
        <w:rPr>
          <w:lang w:val="et-EE"/>
        </w:rPr>
        <w:t xml:space="preserve">ja sellest moodustatud liitsõna </w:t>
      </w:r>
      <w:r w:rsidRPr="00FB4EFA">
        <w:rPr>
          <w:i/>
          <w:lang w:val="et-EE"/>
        </w:rPr>
        <w:t xml:space="preserve">ajavagu, </w:t>
      </w:r>
      <w:r w:rsidRPr="00FB4EFA">
        <w:rPr>
          <w:lang w:val="et-EE"/>
        </w:rPr>
        <w:t>püüdes avada nende sõnade tähenduste kujunemist ja tänapäevaseid semantilisi omadusi, kuid teiselt poolt jõuda ka lähemale sellele, kuidas on nähtud ja nähakse eesti keeles inimese elu ja töö tulemusi.</w:t>
      </w:r>
    </w:p>
    <w:p w14:paraId="356BB34A" w14:textId="77777777" w:rsidR="00E015F4" w:rsidRPr="00FB4EFA" w:rsidRDefault="00E015F4" w:rsidP="00AF0CAD">
      <w:pPr>
        <w:ind w:firstLine="709"/>
        <w:rPr>
          <w:lang w:val="et-EE"/>
        </w:rPr>
      </w:pPr>
      <w:r w:rsidRPr="00FB4EFA">
        <w:rPr>
          <w:lang w:val="et-EE"/>
        </w:rPr>
        <w:t xml:space="preserve">Sõna tähenduse kirjeldusel on kasutatud eri meetodeid. Strukturalistlikus leksikaalses semantikas püütakse leida tähenduste omavahelisi suhteid (Cruse 1986). Oluline on emakeelse kõneleja arvamus, millised tähendused on näiteks vastandlikud või sünonüümsed. Leksikaalsete suhete analüüsi käigus selguvad ka polüseemse sõna eri tähendused. Uuemas, kuid samuti klassikaliseks saanud kognitiivses metafoorikäsitluses on olulisem näha polüseemse sõna tähenduse tekke mehhanisme laiemas seoses mõtlemise ja tunnetusega. Uuritakse seda, kuidas sõna tähendused kujunevad metafoorsete ja metonüümsete ülekannete põhjal mitte ainult ühes sõnas, vaid paljudes väljendites ja laiemates tähendusvaldkondades tervikuna (nt Lakoff </w:t>
      </w:r>
      <w:r w:rsidRPr="00FB4EFA">
        <w:rPr>
          <w:rFonts w:eastAsia="Times New Roman" w:cs="Times New Roman"/>
          <w:szCs w:val="24"/>
          <w:lang w:val="et-EE" w:eastAsia="fi-FI"/>
        </w:rPr>
        <w:t>&amp;</w:t>
      </w:r>
      <w:r w:rsidRPr="00FB4EFA">
        <w:rPr>
          <w:lang w:val="et-EE"/>
        </w:rPr>
        <w:t xml:space="preserve"> Johnson 1999). Nii võime näiteks näha mõistemetafoori ELU ON TEE avaldumist sellistes väljendites, nagu </w:t>
      </w:r>
      <w:r w:rsidRPr="00FB4EFA">
        <w:rPr>
          <w:i/>
          <w:lang w:val="et-EE"/>
        </w:rPr>
        <w:t xml:space="preserve">elutee, elu läheb edasi </w:t>
      </w:r>
      <w:r w:rsidRPr="00FB4EFA">
        <w:rPr>
          <w:lang w:val="et-EE"/>
        </w:rPr>
        <w:t xml:space="preserve">või </w:t>
      </w:r>
      <w:r w:rsidRPr="00FB4EFA">
        <w:rPr>
          <w:i/>
          <w:lang w:val="et-EE"/>
        </w:rPr>
        <w:t xml:space="preserve">elu läheb rappa </w:t>
      </w:r>
      <w:r w:rsidRPr="00FB4EFA">
        <w:rPr>
          <w:lang w:val="et-EE"/>
        </w:rPr>
        <w:t xml:space="preserve">(vt ka Õim </w:t>
      </w:r>
      <w:r w:rsidRPr="00FB4EFA">
        <w:rPr>
          <w:rFonts w:eastAsia="Times New Roman" w:cs="Times New Roman"/>
          <w:szCs w:val="24"/>
          <w:lang w:val="et-EE" w:eastAsia="fi-FI"/>
        </w:rPr>
        <w:t>&amp;</w:t>
      </w:r>
      <w:r w:rsidRPr="00FB4EFA">
        <w:rPr>
          <w:lang w:val="et-EE"/>
        </w:rPr>
        <w:t xml:space="preserve"> Õim 2019: 230jj). Kuigi metafoorsed ja metonüümsed väljendid on suures osas kultuurispetsiifilised, avalduvad neis siiski tihti samad kognitiivsed skeemid ja mõistemetafoorid, mis põhinevad inimkogemusel (Barcelona 2000: 6; Köveces 2010, eesti ja soome metafooride võrdluse kohta vt nt Vainik jt 2021).</w:t>
      </w:r>
    </w:p>
    <w:p w14:paraId="7FC9F446" w14:textId="0A3D49A5" w:rsidR="00E015F4" w:rsidRPr="00FB4EFA" w:rsidRDefault="00E015F4" w:rsidP="00AF0CAD">
      <w:pPr>
        <w:ind w:firstLine="360"/>
        <w:rPr>
          <w:lang w:val="et-EE"/>
        </w:rPr>
      </w:pPr>
      <w:r w:rsidRPr="00FB4EFA">
        <w:rPr>
          <w:lang w:val="et-EE"/>
        </w:rPr>
        <w:t xml:space="preserve">Siinses artiklis käsitleme sõnade </w:t>
      </w:r>
      <w:r w:rsidRPr="00FB4EFA">
        <w:rPr>
          <w:i/>
          <w:lang w:val="et-EE"/>
        </w:rPr>
        <w:t xml:space="preserve">vagu </w:t>
      </w:r>
      <w:r w:rsidRPr="00FB4EFA">
        <w:rPr>
          <w:lang w:val="et-EE"/>
        </w:rPr>
        <w:t xml:space="preserve">ja </w:t>
      </w:r>
      <w:r w:rsidRPr="00FB4EFA">
        <w:rPr>
          <w:i/>
          <w:lang w:val="et-EE"/>
        </w:rPr>
        <w:t xml:space="preserve">ajavagu </w:t>
      </w:r>
      <w:r w:rsidRPr="00FB4EFA">
        <w:rPr>
          <w:lang w:val="et-EE"/>
        </w:rPr>
        <w:t xml:space="preserve">tähendusi nii ajaloolises kui kaasaegse keele perspektiivis kasutades erinevaid semantilisi lähenemisi. Materjalina kasutame eelkõige </w:t>
      </w:r>
      <w:r w:rsidRPr="00FB4EFA">
        <w:rPr>
          <w:i/>
          <w:lang w:val="et-EE"/>
        </w:rPr>
        <w:t xml:space="preserve">Eesti keele ühendkorpuses 2019 </w:t>
      </w:r>
      <w:r w:rsidRPr="00FB4EFA">
        <w:rPr>
          <w:lang w:val="et-EE"/>
        </w:rPr>
        <w:t xml:space="preserve">(EÜK2019) leiduvaid sõnu </w:t>
      </w:r>
      <w:r w:rsidRPr="00FB4EFA">
        <w:rPr>
          <w:i/>
          <w:lang w:val="et-EE"/>
        </w:rPr>
        <w:t xml:space="preserve">vagu </w:t>
      </w:r>
      <w:r w:rsidRPr="00FB4EFA">
        <w:rPr>
          <w:lang w:val="et-EE"/>
        </w:rPr>
        <w:t xml:space="preserve">ja </w:t>
      </w:r>
      <w:r w:rsidRPr="00FB4EFA">
        <w:rPr>
          <w:i/>
          <w:lang w:val="et-EE"/>
        </w:rPr>
        <w:t xml:space="preserve">ajavagu </w:t>
      </w:r>
      <w:r w:rsidRPr="00FB4EFA">
        <w:rPr>
          <w:lang w:val="et-EE"/>
        </w:rPr>
        <w:t xml:space="preserve">sisaldavaid lauseid, kuid ka sõnaraamatute andmeid ja muid keelenäiteid eri allikatest. </w:t>
      </w:r>
      <w:r w:rsidR="004166CB" w:rsidRPr="00FB4EFA">
        <w:rPr>
          <w:lang w:val="et-EE"/>
        </w:rPr>
        <w:br/>
      </w:r>
      <w:r w:rsidRPr="00FB4EFA">
        <w:rPr>
          <w:lang w:val="et-EE"/>
        </w:rPr>
        <w:lastRenderedPageBreak/>
        <w:t>Ühendkorpuse materjali analüüsil kasutasime päringusüsteemi Sketch Engine kaudu automaatselt moodustatud sõnavisandeid, milles on muu hulgas näha sõna esinemus eri käänetes, sõnaga koos esinevad naabersõnad (kollokaadid) ja sõna sisaldavad laused koos kontekstiga.</w:t>
      </w:r>
      <w:r w:rsidRPr="00FB4EFA">
        <w:rPr>
          <w:rFonts w:asciiTheme="minorHAnsi" w:hAnsiTheme="minorHAnsi"/>
          <w:szCs w:val="24"/>
          <w:vertAlign w:val="superscript"/>
          <w:lang w:val="et-EE"/>
        </w:rPr>
        <w:footnoteReference w:id="121"/>
      </w:r>
    </w:p>
    <w:p w14:paraId="01AD0BD5" w14:textId="77777777" w:rsidR="00E015F4" w:rsidRPr="00FB4EFA" w:rsidRDefault="00E015F4" w:rsidP="00AC1192">
      <w:pPr>
        <w:pStyle w:val="Heading2"/>
        <w:numPr>
          <w:ilvl w:val="0"/>
          <w:numId w:val="7"/>
        </w:numPr>
        <w:suppressAutoHyphens/>
        <w:spacing w:line="259" w:lineRule="auto"/>
        <w:rPr>
          <w:color w:val="auto"/>
          <w:lang w:val="et-EE"/>
        </w:rPr>
      </w:pPr>
      <w:r w:rsidRPr="00FB4EFA">
        <w:rPr>
          <w:i/>
          <w:color w:val="auto"/>
          <w:lang w:val="et-EE"/>
        </w:rPr>
        <w:t>Vagu</w:t>
      </w:r>
      <w:r w:rsidRPr="00FB4EFA">
        <w:rPr>
          <w:color w:val="auto"/>
          <w:lang w:val="et-EE"/>
        </w:rPr>
        <w:t xml:space="preserve"> seletussõnaraamatus</w:t>
      </w:r>
    </w:p>
    <w:p w14:paraId="66AB9B28" w14:textId="77777777" w:rsidR="00E015F4" w:rsidRPr="00FB4EFA" w:rsidRDefault="00E015F4" w:rsidP="00AF0CAD">
      <w:pPr>
        <w:rPr>
          <w:lang w:val="et-EE"/>
        </w:rPr>
      </w:pPr>
      <w:r w:rsidRPr="00FB4EFA">
        <w:rPr>
          <w:lang w:val="et-EE"/>
        </w:rPr>
        <w:t xml:space="preserve">Sõnal </w:t>
      </w:r>
      <w:r w:rsidRPr="00FB4EFA">
        <w:rPr>
          <w:i/>
          <w:lang w:val="et-EE"/>
        </w:rPr>
        <w:t xml:space="preserve">vagu </w:t>
      </w:r>
      <w:r w:rsidRPr="00FB4EFA">
        <w:rPr>
          <w:lang w:val="et-EE"/>
        </w:rPr>
        <w:t xml:space="preserve">on Eesti keele seletussõnaraamatus (EKSS) neli tähendust. Esimene, tõenäoliselt kõige prototüüpsem, on </w:t>
      </w:r>
      <w:r w:rsidRPr="00FB4EFA">
        <w:rPr>
          <w:i/>
          <w:lang w:val="et-EE"/>
        </w:rPr>
        <w:t xml:space="preserve">adra või muu töövahendiga viljeldava maa mullasse selle harimiseks v. millegi mahapanekuks tehtud pikk kitsas uure. </w:t>
      </w:r>
      <w:r w:rsidRPr="00FB4EFA">
        <w:rPr>
          <w:lang w:val="et-EE"/>
        </w:rPr>
        <w:t xml:space="preserve">Teine tähendus on üldisemalt </w:t>
      </w:r>
      <w:r w:rsidRPr="00FB4EFA">
        <w:rPr>
          <w:i/>
          <w:lang w:val="et-EE"/>
        </w:rPr>
        <w:t xml:space="preserve">piklik madal süvend millegi pinnas. </w:t>
      </w:r>
      <w:r w:rsidRPr="00FB4EFA">
        <w:rPr>
          <w:lang w:val="et-EE"/>
        </w:rPr>
        <w:t xml:space="preserve">Kolmas on spetsiifilisem: </w:t>
      </w:r>
      <w:r w:rsidRPr="00FB4EFA">
        <w:rPr>
          <w:i/>
          <w:lang w:val="et-EE"/>
        </w:rPr>
        <w:t xml:space="preserve">kurd või korts näos. </w:t>
      </w:r>
      <w:r w:rsidRPr="00FB4EFA">
        <w:rPr>
          <w:lang w:val="et-EE"/>
        </w:rPr>
        <w:t xml:space="preserve">Neljas tähendus – </w:t>
      </w:r>
      <w:r w:rsidRPr="00FB4EFA">
        <w:rPr>
          <w:i/>
          <w:lang w:val="et-EE"/>
        </w:rPr>
        <w:t>endisaegne pikkusmõõt</w:t>
      </w:r>
      <w:r w:rsidRPr="00FB4EFA">
        <w:rPr>
          <w:lang w:val="et-EE"/>
        </w:rPr>
        <w:t xml:space="preserve"> – näib olevat tänapäeva keeles ununenud. Nendest sõnaraamatus eristatud tähendustest võiks üldistada, et vagu on piklik süvend, eelkõige mullas (põllumajandusliku funktsiooniga) või näos, aga ka mujal mingi pinna sees.</w:t>
      </w:r>
    </w:p>
    <w:p w14:paraId="606C30E3" w14:textId="77777777" w:rsidR="00E015F4" w:rsidRPr="00FB4EFA" w:rsidRDefault="00E015F4" w:rsidP="00AF0CAD">
      <w:pPr>
        <w:ind w:firstLine="709"/>
        <w:rPr>
          <w:lang w:val="et-EE"/>
        </w:rPr>
      </w:pPr>
      <w:r w:rsidRPr="00FB4EFA">
        <w:rPr>
          <w:lang w:val="et-EE"/>
        </w:rPr>
        <w:t xml:space="preserve">Põllumajanduslik </w:t>
      </w:r>
      <w:r w:rsidRPr="00FB4EFA">
        <w:rPr>
          <w:i/>
          <w:lang w:val="et-EE"/>
        </w:rPr>
        <w:t>vagu</w:t>
      </w:r>
      <w:r w:rsidRPr="00FB4EFA">
        <w:rPr>
          <w:lang w:val="et-EE"/>
        </w:rPr>
        <w:t xml:space="preserve"> on siiski huvitav selle poolest, et see ei pruugi olla süvend, vaid võib olla ka kõrgend. Näiteks kartulivaod aetakse kinni ja pikast süvendist saab hoopis pikk kõrgend, millel on hari (</w:t>
      </w:r>
      <w:r w:rsidRPr="00FB4EFA">
        <w:rPr>
          <w:i/>
          <w:lang w:val="et-EE"/>
        </w:rPr>
        <w:t>vaohari</w:t>
      </w:r>
      <w:r w:rsidRPr="00FB4EFA">
        <w:rPr>
          <w:lang w:val="et-EE"/>
        </w:rPr>
        <w:t xml:space="preserve">) ja küljed ning vahel on madalam osa – </w:t>
      </w:r>
      <w:r w:rsidRPr="00FB4EFA">
        <w:rPr>
          <w:i/>
          <w:lang w:val="et-EE"/>
        </w:rPr>
        <w:t>vaovahe</w:t>
      </w:r>
      <w:r w:rsidRPr="00FB4EFA">
        <w:rPr>
          <w:lang w:val="et-EE"/>
        </w:rPr>
        <w:t xml:space="preserve">. Kaugelt vaadates võime öelda, et </w:t>
      </w:r>
      <w:r w:rsidRPr="00FB4EFA">
        <w:rPr>
          <w:i/>
          <w:lang w:val="et-EE"/>
        </w:rPr>
        <w:t>eemalt paistsid kõrged vaod.</w:t>
      </w:r>
      <w:r w:rsidRPr="00FB4EFA">
        <w:rPr>
          <w:lang w:val="et-EE"/>
        </w:rPr>
        <w:t xml:space="preserve"> Samas võidakse ka </w:t>
      </w:r>
      <w:r w:rsidRPr="00FB4EFA">
        <w:rPr>
          <w:i/>
          <w:lang w:val="et-EE"/>
        </w:rPr>
        <w:t xml:space="preserve">vaovahet </w:t>
      </w:r>
      <w:r w:rsidRPr="00FB4EFA">
        <w:rPr>
          <w:lang w:val="et-EE"/>
        </w:rPr>
        <w:t xml:space="preserve">nimetada </w:t>
      </w:r>
      <w:r w:rsidRPr="00FB4EFA">
        <w:rPr>
          <w:i/>
          <w:lang w:val="et-EE"/>
        </w:rPr>
        <w:t xml:space="preserve">vaoks, </w:t>
      </w:r>
      <w:r w:rsidRPr="00FB4EFA">
        <w:rPr>
          <w:lang w:val="et-EE"/>
        </w:rPr>
        <w:t xml:space="preserve">millel on </w:t>
      </w:r>
      <w:r w:rsidRPr="00FB4EFA">
        <w:rPr>
          <w:i/>
          <w:lang w:val="et-EE"/>
        </w:rPr>
        <w:t>vaopõhi</w:t>
      </w:r>
      <w:r w:rsidRPr="00FB4EFA">
        <w:rPr>
          <w:lang w:val="et-EE"/>
        </w:rPr>
        <w:t xml:space="preserve">, nagu näites (1). Seega võib </w:t>
      </w:r>
      <w:r w:rsidRPr="00FB4EFA">
        <w:rPr>
          <w:i/>
          <w:lang w:val="et-EE"/>
        </w:rPr>
        <w:t xml:space="preserve">vagu </w:t>
      </w:r>
      <w:r w:rsidRPr="00FB4EFA">
        <w:rPr>
          <w:lang w:val="et-EE"/>
        </w:rPr>
        <w:t xml:space="preserve">justkui olla iseenese vastand, tähistades kahte poolt (süvendit ja kõrgendit) sellises vastandipaari tüübis, mida on leksikaalses semantikas inglise keeles nimetatud </w:t>
      </w:r>
      <w:r w:rsidRPr="00FB4EFA">
        <w:rPr>
          <w:i/>
          <w:lang w:val="et-EE"/>
        </w:rPr>
        <w:t xml:space="preserve">counterpart </w:t>
      </w:r>
      <w:r w:rsidRPr="00FB4EFA">
        <w:rPr>
          <w:lang w:val="et-EE"/>
        </w:rPr>
        <w:t xml:space="preserve">(vrd eesti </w:t>
      </w:r>
      <w:r w:rsidRPr="00FB4EFA">
        <w:rPr>
          <w:i/>
          <w:lang w:val="et-EE"/>
        </w:rPr>
        <w:t>paarik</w:t>
      </w:r>
      <w:r w:rsidRPr="00FB4EFA">
        <w:rPr>
          <w:lang w:val="et-EE"/>
        </w:rPr>
        <w:t xml:space="preserve">) ja mille tüüpiline näited võiks olla </w:t>
      </w:r>
      <w:r w:rsidRPr="00FB4EFA">
        <w:rPr>
          <w:i/>
          <w:lang w:val="et-EE"/>
        </w:rPr>
        <w:t xml:space="preserve">mägi </w:t>
      </w:r>
      <w:r w:rsidRPr="00FB4EFA">
        <w:rPr>
          <w:lang w:val="et-EE"/>
        </w:rPr>
        <w:t xml:space="preserve">ja </w:t>
      </w:r>
      <w:r w:rsidRPr="00FB4EFA">
        <w:rPr>
          <w:i/>
          <w:lang w:val="et-EE"/>
        </w:rPr>
        <w:t xml:space="preserve">org </w:t>
      </w:r>
      <w:r w:rsidRPr="00FB4EFA">
        <w:rPr>
          <w:lang w:val="et-EE"/>
        </w:rPr>
        <w:t xml:space="preserve">või </w:t>
      </w:r>
      <w:r w:rsidRPr="00FB4EFA">
        <w:rPr>
          <w:i/>
          <w:lang w:val="et-EE"/>
        </w:rPr>
        <w:t>kühm</w:t>
      </w:r>
      <w:r w:rsidRPr="00FB4EFA">
        <w:rPr>
          <w:lang w:val="et-EE"/>
        </w:rPr>
        <w:t xml:space="preserve"> ja </w:t>
      </w:r>
      <w:r w:rsidRPr="00FB4EFA">
        <w:rPr>
          <w:i/>
          <w:lang w:val="et-EE"/>
        </w:rPr>
        <w:t>lohk</w:t>
      </w:r>
      <w:r w:rsidRPr="00FB4EFA">
        <w:rPr>
          <w:lang w:val="et-EE"/>
        </w:rPr>
        <w:t xml:space="preserve"> (Cruse 1986: 225).</w:t>
      </w:r>
    </w:p>
    <w:p w14:paraId="319C5FC3" w14:textId="77777777" w:rsidR="00E015F4" w:rsidRPr="00FB4EFA" w:rsidRDefault="00E015F4" w:rsidP="00AF0CAD">
      <w:pPr>
        <w:spacing w:before="240" w:after="240" w:line="240" w:lineRule="auto"/>
        <w:ind w:left="567" w:hanging="567"/>
        <w:rPr>
          <w:lang w:val="et-EE"/>
        </w:rPr>
      </w:pPr>
      <w:r w:rsidRPr="00FB4EFA">
        <w:rPr>
          <w:lang w:val="et-EE"/>
        </w:rPr>
        <w:t>(1)</w:t>
      </w:r>
      <w:r w:rsidRPr="00FB4EFA">
        <w:rPr>
          <w:lang w:val="et-EE"/>
        </w:rPr>
        <w:tab/>
        <w:t xml:space="preserve">Madalates kohtades olid </w:t>
      </w:r>
      <w:r w:rsidRPr="00FB4EFA">
        <w:rPr>
          <w:b/>
          <w:lang w:val="et-EE"/>
        </w:rPr>
        <w:t>vaod</w:t>
      </w:r>
      <w:r w:rsidRPr="00FB4EFA">
        <w:rPr>
          <w:lang w:val="et-EE"/>
        </w:rPr>
        <w:t xml:space="preserve"> veel vett täis, aga ülemises otsas, kõrgemal, mustendas </w:t>
      </w:r>
      <w:r w:rsidRPr="00FB4EFA">
        <w:rPr>
          <w:b/>
          <w:lang w:val="et-EE"/>
        </w:rPr>
        <w:t>vaopõhjas</w:t>
      </w:r>
      <w:r w:rsidRPr="00FB4EFA">
        <w:rPr>
          <w:lang w:val="et-EE"/>
        </w:rPr>
        <w:t xml:space="preserve"> rasvane nätske muld. (Jutt käib suve teisest poolest, mil </w:t>
      </w:r>
      <w:r w:rsidRPr="00FB4EFA">
        <w:rPr>
          <w:i/>
          <w:lang w:val="et-EE"/>
        </w:rPr>
        <w:t>kartul oli ammu ära õitsenud</w:t>
      </w:r>
      <w:r w:rsidRPr="00FB4EFA">
        <w:rPr>
          <w:lang w:val="et-EE"/>
        </w:rPr>
        <w:t>; Viivi Luik, Seitsmes rahukevad, lk 37)</w:t>
      </w:r>
    </w:p>
    <w:p w14:paraId="7FA5FEA3" w14:textId="3BD19E3E" w:rsidR="00E015F4" w:rsidRPr="00FB4EFA" w:rsidRDefault="00E015F4" w:rsidP="00AF0CAD">
      <w:pPr>
        <w:rPr>
          <w:rFonts w:asciiTheme="minorHAnsi" w:hAnsiTheme="minorHAnsi"/>
          <w:lang w:val="et-EE"/>
        </w:rPr>
      </w:pPr>
      <w:r w:rsidRPr="00FB4EFA">
        <w:rPr>
          <w:lang w:val="et-EE"/>
        </w:rPr>
        <w:t>V</w:t>
      </w:r>
      <w:r w:rsidRPr="00FB4EFA">
        <w:rPr>
          <w:i/>
          <w:lang w:val="et-EE"/>
        </w:rPr>
        <w:t xml:space="preserve">ao </w:t>
      </w:r>
      <w:r w:rsidRPr="00FB4EFA">
        <w:rPr>
          <w:lang w:val="et-EE"/>
        </w:rPr>
        <w:t xml:space="preserve">kategoriseerimises on seega näha kahte printsiipi: ruumiliselt on see pikk süvend ja seostub lainelise pinnaga, funktsionaalselt on see pikk joon või viir (enamasti kas süvend või kõrgend), mis on tehtud mingi </w:t>
      </w:r>
      <w:r w:rsidR="004166CB" w:rsidRPr="00FB4EFA">
        <w:rPr>
          <w:lang w:val="et-EE"/>
        </w:rPr>
        <w:br/>
      </w:r>
      <w:r w:rsidRPr="00FB4EFA">
        <w:rPr>
          <w:lang w:val="et-EE"/>
        </w:rPr>
        <w:t>põllukultuuri jaoks.</w:t>
      </w:r>
    </w:p>
    <w:p w14:paraId="1E26B25F" w14:textId="77777777" w:rsidR="00E015F4" w:rsidRPr="00FB4EFA" w:rsidRDefault="00E015F4" w:rsidP="00AC1192">
      <w:pPr>
        <w:pStyle w:val="Heading2"/>
        <w:numPr>
          <w:ilvl w:val="0"/>
          <w:numId w:val="7"/>
        </w:numPr>
        <w:suppressAutoHyphens/>
        <w:spacing w:line="259" w:lineRule="auto"/>
        <w:rPr>
          <w:color w:val="auto"/>
          <w:lang w:val="et-EE"/>
        </w:rPr>
      </w:pPr>
      <w:r w:rsidRPr="00FB4EFA">
        <w:rPr>
          <w:i/>
          <w:color w:val="auto"/>
          <w:lang w:val="et-EE"/>
        </w:rPr>
        <w:lastRenderedPageBreak/>
        <w:t>Vaod</w:t>
      </w:r>
      <w:r w:rsidRPr="00FB4EFA">
        <w:rPr>
          <w:color w:val="auto"/>
          <w:lang w:val="et-EE"/>
        </w:rPr>
        <w:t xml:space="preserve"> on nagu lained: </w:t>
      </w:r>
      <w:r w:rsidRPr="00FB4EFA">
        <w:rPr>
          <w:i/>
          <w:color w:val="auto"/>
          <w:lang w:val="et-EE"/>
        </w:rPr>
        <w:t>vagu</w:t>
      </w:r>
      <w:r w:rsidRPr="00FB4EFA">
        <w:rPr>
          <w:color w:val="auto"/>
          <w:lang w:val="et-EE"/>
        </w:rPr>
        <w:t xml:space="preserve"> ja </w:t>
      </w:r>
      <w:r w:rsidRPr="00FB4EFA">
        <w:rPr>
          <w:i/>
          <w:color w:val="auto"/>
          <w:lang w:val="et-EE"/>
        </w:rPr>
        <w:t>joom</w:t>
      </w:r>
    </w:p>
    <w:p w14:paraId="4D95A36E" w14:textId="77777777" w:rsidR="00E015F4" w:rsidRPr="00FB4EFA" w:rsidRDefault="00E015F4" w:rsidP="00AF0CAD">
      <w:pPr>
        <w:rPr>
          <w:lang w:val="et-EE"/>
        </w:rPr>
      </w:pPr>
      <w:r w:rsidRPr="00FB4EFA">
        <w:rPr>
          <w:lang w:val="et-EE"/>
        </w:rPr>
        <w:t xml:space="preserve">Sõna </w:t>
      </w:r>
      <w:r w:rsidRPr="00FB4EFA">
        <w:rPr>
          <w:i/>
          <w:lang w:val="et-EE"/>
        </w:rPr>
        <w:t xml:space="preserve">vagu </w:t>
      </w:r>
      <w:r w:rsidRPr="00FB4EFA">
        <w:rPr>
          <w:lang w:val="et-EE"/>
        </w:rPr>
        <w:t xml:space="preserve">on etümoloogiliselt balti laen (vrd leedu ja läti </w:t>
      </w:r>
      <w:r w:rsidRPr="00FB4EFA">
        <w:rPr>
          <w:i/>
          <w:lang w:val="et-EE"/>
        </w:rPr>
        <w:t>vaga</w:t>
      </w:r>
      <w:r w:rsidRPr="00FB4EFA">
        <w:rPr>
          <w:lang w:val="et-EE"/>
        </w:rPr>
        <w:t xml:space="preserve">, Junttila 2015: 96, soome </w:t>
      </w:r>
      <w:r w:rsidRPr="00FB4EFA">
        <w:rPr>
          <w:i/>
          <w:lang w:val="et-EE"/>
        </w:rPr>
        <w:t>vako</w:t>
      </w:r>
      <w:r w:rsidRPr="00FB4EFA">
        <w:rPr>
          <w:lang w:val="et-EE"/>
        </w:rPr>
        <w:t>), mis on läänemeresoome keeltesse laenatud viljelusterminina. Vagude tegemine ongi algselt olnud seotud põlluharimisega. Vagusid ei tehta tavaliselt üks, vaid terve põllu jagu. Seetõttu on sage sõna mitmuslik kasutus.</w:t>
      </w:r>
    </w:p>
    <w:p w14:paraId="00AB804B" w14:textId="77777777" w:rsidR="00E015F4" w:rsidRPr="00FB4EFA" w:rsidRDefault="00E015F4" w:rsidP="00AF0CAD">
      <w:pPr>
        <w:ind w:firstLine="709"/>
        <w:rPr>
          <w:rFonts w:eastAsia="Arial Unicode MS" w:cs="Arial Unicode MS"/>
          <w:lang w:val="et-EE"/>
        </w:rPr>
      </w:pPr>
      <w:r w:rsidRPr="00FB4EFA">
        <w:rPr>
          <w:lang w:val="et-EE"/>
        </w:rPr>
        <w:t xml:space="preserve">Vagudega sarnase ehk lainelise kujuga pinnavorme esineb nii maal kui ka meres. Merepõhja lainelise vormi puhul räägitakse eesti keeles joomedest. Sõna </w:t>
      </w:r>
      <w:r w:rsidRPr="00FB4EFA">
        <w:rPr>
          <w:i/>
          <w:lang w:val="et-EE"/>
        </w:rPr>
        <w:t xml:space="preserve">joom </w:t>
      </w:r>
      <w:r w:rsidRPr="00FB4EFA">
        <w:rPr>
          <w:lang w:val="et-EE"/>
        </w:rPr>
        <w:t>on eesti seletussõnaraamatus määratletud kui ’</w:t>
      </w:r>
      <w:r w:rsidRPr="00FB4EFA">
        <w:rPr>
          <w:rFonts w:eastAsia="Arial Unicode MS" w:cs="Arial Unicode MS"/>
          <w:lang w:val="et-EE"/>
        </w:rPr>
        <w:t xml:space="preserve">pikk kitsas rannalähedane liivamadalik’, selle kõrval tähendab sõna ka üldisemalt ‘viir, vööt; juga’ ja ‘vool, voolus’ (EKSS: joom). Teistes läänemeresoome keeltes tähistab vastav sõna eelkõige meremadalike vahelist sügavamat kohta (nt liivi </w:t>
      </w:r>
      <w:r w:rsidRPr="00FB4EFA">
        <w:rPr>
          <w:rFonts w:eastAsia="Arial Unicode MS" w:cs="Arial Unicode MS"/>
          <w:i/>
          <w:lang w:val="et-EE"/>
        </w:rPr>
        <w:t>jūom</w:t>
      </w:r>
      <w:r w:rsidRPr="00FB4EFA">
        <w:rPr>
          <w:rFonts w:eastAsia="Arial Unicode MS" w:cs="Arial Unicode MS"/>
          <w:lang w:val="et-EE"/>
        </w:rPr>
        <w:t xml:space="preserve">) või väina (nt vadja </w:t>
      </w:r>
      <w:r w:rsidRPr="00FB4EFA">
        <w:rPr>
          <w:rFonts w:eastAsia="Arial Unicode MS" w:cs="Arial Unicode MS"/>
          <w:i/>
          <w:lang w:val="et-EE"/>
        </w:rPr>
        <w:t>jooma</w:t>
      </w:r>
      <w:r w:rsidRPr="00FB4EFA">
        <w:rPr>
          <w:rFonts w:eastAsia="Arial Unicode MS" w:cs="Arial Unicode MS"/>
          <w:lang w:val="et-EE"/>
        </w:rPr>
        <w:t xml:space="preserve">, karjala </w:t>
      </w:r>
      <w:r w:rsidRPr="00FB4EFA">
        <w:rPr>
          <w:rFonts w:eastAsia="Arial Unicode MS" w:cs="Arial Unicode MS"/>
          <w:i/>
          <w:lang w:val="et-EE"/>
        </w:rPr>
        <w:t>juuma</w:t>
      </w:r>
      <w:r w:rsidRPr="00FB4EFA">
        <w:rPr>
          <w:rFonts w:eastAsia="Arial Unicode MS" w:cs="Arial Unicode MS"/>
          <w:lang w:val="et-EE"/>
        </w:rPr>
        <w:t>, ETY: joom); eesti murretest on andmeid sõna kasutusest nii veekogu põhjas oleva pikliku kõrgema kui ka madalama koha tähenduses (EMS: joom). Sarnaselt vaoga võib joome puhul esmaseks pidada uurde, pikliku süvendi tähendust, sekundaarselt on aga sõna hakatud kasutama kõrgema koha ehk pikliku meremadaliku tähistamiseks.</w:t>
      </w:r>
    </w:p>
    <w:p w14:paraId="4E655BBE" w14:textId="77777777" w:rsidR="00E015F4" w:rsidRPr="00FB4EFA" w:rsidRDefault="00E015F4" w:rsidP="00AF0CAD">
      <w:pPr>
        <w:ind w:firstLine="709"/>
        <w:rPr>
          <w:lang w:val="et-EE"/>
        </w:rPr>
      </w:pPr>
      <w:r w:rsidRPr="00FB4EFA">
        <w:rPr>
          <w:lang w:val="et-EE"/>
        </w:rPr>
        <w:t xml:space="preserve">Võrdlusena on huvipakkuv ka sõna </w:t>
      </w:r>
      <w:r w:rsidRPr="00FB4EFA">
        <w:rPr>
          <w:i/>
          <w:lang w:val="et-EE"/>
        </w:rPr>
        <w:t xml:space="preserve">joom </w:t>
      </w:r>
      <w:r w:rsidRPr="00FB4EFA">
        <w:rPr>
          <w:lang w:val="et-EE"/>
        </w:rPr>
        <w:t xml:space="preserve">dünaamiline tähendus kui ’vool, voolus, veekeeris’: Kihelkonna </w:t>
      </w:r>
      <w:r w:rsidRPr="00FB4EFA">
        <w:rPr>
          <w:i/>
          <w:iCs/>
          <w:lang w:val="et-EE"/>
        </w:rPr>
        <w:t xml:space="preserve">mere veel on sured külmad joomed sihes </w:t>
      </w:r>
      <w:r w:rsidRPr="00FB4EFA">
        <w:rPr>
          <w:iCs/>
          <w:lang w:val="et-EE"/>
        </w:rPr>
        <w:t>‘merevees on suured külmad voolused’</w:t>
      </w:r>
      <w:r w:rsidRPr="00FB4EFA">
        <w:rPr>
          <w:lang w:val="et-EE"/>
        </w:rPr>
        <w:t xml:space="preserve">, Tõstamaa </w:t>
      </w:r>
      <w:r w:rsidRPr="00FB4EFA">
        <w:rPr>
          <w:i/>
          <w:iCs/>
          <w:lang w:val="et-EE"/>
        </w:rPr>
        <w:t xml:space="preserve">vee jooma koht </w:t>
      </w:r>
      <w:r w:rsidRPr="00FB4EFA">
        <w:rPr>
          <w:iCs/>
          <w:lang w:val="et-EE"/>
        </w:rPr>
        <w:t>‘vee voolukoht’.</w:t>
      </w:r>
      <w:r w:rsidRPr="00FB4EFA">
        <w:rPr>
          <w:lang w:val="et-EE"/>
        </w:rPr>
        <w:t xml:space="preserve"> Viimases näites on sõna tõlgendatav lisaks uuema deverbaalse tuletisena verbist </w:t>
      </w:r>
      <w:r w:rsidRPr="00FB4EFA">
        <w:rPr>
          <w:i/>
          <w:lang w:val="et-EE"/>
        </w:rPr>
        <w:t>joo(ma)</w:t>
      </w:r>
      <w:r w:rsidRPr="00FB4EFA">
        <w:rPr>
          <w:lang w:val="et-EE"/>
        </w:rPr>
        <w:t xml:space="preserve"> tähenduses ’joomine’, kuigi ka sõna </w:t>
      </w:r>
      <w:r w:rsidRPr="00FB4EFA">
        <w:rPr>
          <w:i/>
          <w:lang w:val="et-EE"/>
        </w:rPr>
        <w:t>joom, -e</w:t>
      </w:r>
      <w:r w:rsidRPr="00FB4EFA">
        <w:rPr>
          <w:lang w:val="et-EE"/>
        </w:rPr>
        <w:t xml:space="preserve"> on oletatud vanaks tuletiseks samast verbist (ETY: joom), sõnu võib pidada ka osalisteks homonüümideks.</w:t>
      </w:r>
    </w:p>
    <w:p w14:paraId="217D5F18" w14:textId="77777777" w:rsidR="00E015F4" w:rsidRPr="00FB4EFA" w:rsidRDefault="00E015F4" w:rsidP="00AF0CAD">
      <w:pPr>
        <w:ind w:firstLine="709"/>
        <w:rPr>
          <w:lang w:val="et-EE"/>
        </w:rPr>
      </w:pPr>
      <w:r w:rsidRPr="00FB4EFA">
        <w:rPr>
          <w:lang w:val="et-EE"/>
        </w:rPr>
        <w:t xml:space="preserve">Võrreldes sõna </w:t>
      </w:r>
      <w:r w:rsidRPr="00FB4EFA">
        <w:rPr>
          <w:i/>
          <w:lang w:val="et-EE"/>
        </w:rPr>
        <w:t>vagu</w:t>
      </w:r>
      <w:r w:rsidRPr="00FB4EFA">
        <w:rPr>
          <w:lang w:val="et-EE"/>
        </w:rPr>
        <w:t xml:space="preserve"> semantilisi seoseid verbidega, torkab silma vanas eesti kirjakeeles esinev sõna </w:t>
      </w:r>
      <w:r w:rsidRPr="00FB4EFA">
        <w:rPr>
          <w:i/>
          <w:lang w:val="et-EE"/>
        </w:rPr>
        <w:t>vaguma</w:t>
      </w:r>
      <w:r w:rsidRPr="00FB4EFA">
        <w:rPr>
          <w:lang w:val="et-EE"/>
        </w:rPr>
        <w:t xml:space="preserve"> ’Furchen Ziehen’ (LEG: 276). See verb tähendab läänepoolsetes eesti murretes ka muldamist, esinedes samuti nõrgas astmes tüvega: </w:t>
      </w:r>
      <w:r w:rsidRPr="00FB4EFA">
        <w:rPr>
          <w:i/>
          <w:lang w:val="et-EE"/>
        </w:rPr>
        <w:t>vaoma</w:t>
      </w:r>
      <w:r w:rsidRPr="00FB4EFA">
        <w:rPr>
          <w:lang w:val="et-EE"/>
        </w:rPr>
        <w:t xml:space="preserve"> ~ </w:t>
      </w:r>
      <w:r w:rsidRPr="00FB4EFA">
        <w:rPr>
          <w:i/>
          <w:lang w:val="et-EE"/>
        </w:rPr>
        <w:t>vauma</w:t>
      </w:r>
      <w:r w:rsidRPr="00FB4EFA">
        <w:rPr>
          <w:lang w:val="et-EE"/>
        </w:rPr>
        <w:t xml:space="preserve"> (VMS: vaguma).</w:t>
      </w:r>
    </w:p>
    <w:p w14:paraId="61B5DD34" w14:textId="77777777" w:rsidR="00E015F4" w:rsidRPr="00FB4EFA" w:rsidRDefault="00E015F4" w:rsidP="00AF0CAD">
      <w:pPr>
        <w:ind w:firstLine="360"/>
        <w:rPr>
          <w:lang w:val="et-EE"/>
        </w:rPr>
      </w:pPr>
      <w:r w:rsidRPr="00FB4EFA">
        <w:rPr>
          <w:lang w:val="et-EE"/>
        </w:rPr>
        <w:t xml:space="preserve">Tänapäeva eesti kirjakeel tunneb verbi </w:t>
      </w:r>
      <w:r w:rsidRPr="00FB4EFA">
        <w:rPr>
          <w:i/>
          <w:lang w:val="et-EE"/>
        </w:rPr>
        <w:t>vaostama</w:t>
      </w:r>
      <w:r w:rsidRPr="00FB4EFA">
        <w:rPr>
          <w:lang w:val="et-EE"/>
        </w:rPr>
        <w:t xml:space="preserve"> ’vagusid ajama’ (EKSS: vaostama). </w:t>
      </w:r>
      <w:r w:rsidRPr="00FB4EFA">
        <w:rPr>
          <w:i/>
          <w:lang w:val="et-EE"/>
        </w:rPr>
        <w:t>Vaoma</w:t>
      </w:r>
      <w:r w:rsidRPr="00FB4EFA">
        <w:rPr>
          <w:lang w:val="et-EE"/>
        </w:rPr>
        <w:t xml:space="preserve"> on laiemalt levinud eesti keelealal siiski </w:t>
      </w:r>
      <w:r w:rsidRPr="00FB4EFA">
        <w:rPr>
          <w:i/>
          <w:lang w:val="et-EE"/>
        </w:rPr>
        <w:t>vajuma</w:t>
      </w:r>
      <w:r w:rsidRPr="00FB4EFA">
        <w:rPr>
          <w:lang w:val="et-EE"/>
        </w:rPr>
        <w:t xml:space="preserve"> variandina ning </w:t>
      </w:r>
      <w:r w:rsidRPr="00FB4EFA">
        <w:rPr>
          <w:i/>
          <w:lang w:val="et-EE"/>
        </w:rPr>
        <w:t>vaotama</w:t>
      </w:r>
      <w:r w:rsidRPr="00FB4EFA">
        <w:rPr>
          <w:lang w:val="et-EE"/>
        </w:rPr>
        <w:t xml:space="preserve"> verbi </w:t>
      </w:r>
      <w:r w:rsidRPr="00FB4EFA">
        <w:rPr>
          <w:i/>
          <w:lang w:val="et-EE"/>
        </w:rPr>
        <w:t>vajutama</w:t>
      </w:r>
      <w:r w:rsidRPr="00FB4EFA">
        <w:rPr>
          <w:lang w:val="et-EE"/>
        </w:rPr>
        <w:t xml:space="preserve"> variandina. </w:t>
      </w:r>
      <w:r w:rsidRPr="00FB4EFA">
        <w:rPr>
          <w:i/>
          <w:lang w:val="et-EE"/>
        </w:rPr>
        <w:t xml:space="preserve">Vaotama </w:t>
      </w:r>
      <w:r w:rsidRPr="00FB4EFA">
        <w:rPr>
          <w:lang w:val="et-EE"/>
        </w:rPr>
        <w:t xml:space="preserve">esitab seletussõnaraamat </w:t>
      </w:r>
      <w:r w:rsidRPr="00FB4EFA">
        <w:rPr>
          <w:i/>
          <w:lang w:val="et-EE"/>
        </w:rPr>
        <w:t>vajutama</w:t>
      </w:r>
      <w:r w:rsidRPr="00FB4EFA">
        <w:rPr>
          <w:lang w:val="et-EE"/>
        </w:rPr>
        <w:t xml:space="preserve"> kõnekeelse variandina (EKSS: </w:t>
      </w:r>
      <w:r w:rsidRPr="00FB4EFA">
        <w:rPr>
          <w:i/>
          <w:lang w:val="et-EE"/>
        </w:rPr>
        <w:t>vaotama</w:t>
      </w:r>
      <w:r w:rsidRPr="00FB4EFA">
        <w:rPr>
          <w:lang w:val="et-EE"/>
        </w:rPr>
        <w:t xml:space="preserve">). Eesti keele sõnaperede sõnaraamatus on aga esitatud </w:t>
      </w:r>
      <w:r w:rsidRPr="00FB4EFA">
        <w:rPr>
          <w:i/>
          <w:lang w:val="et-EE"/>
        </w:rPr>
        <w:t>vaotama</w:t>
      </w:r>
      <w:r w:rsidRPr="00FB4EFA">
        <w:rPr>
          <w:lang w:val="et-EE"/>
        </w:rPr>
        <w:t xml:space="preserve"> kuuluvana sõnaperre VAGU (ESP: </w:t>
      </w:r>
      <w:r w:rsidRPr="00FB4EFA">
        <w:rPr>
          <w:i/>
          <w:lang w:val="et-EE"/>
        </w:rPr>
        <w:t>vaotama</w:t>
      </w:r>
      <w:r w:rsidRPr="00FB4EFA">
        <w:rPr>
          <w:lang w:val="et-EE"/>
        </w:rPr>
        <w:t xml:space="preserve">). Siin on nähtavasti </w:t>
      </w:r>
      <w:r w:rsidRPr="00FB4EFA">
        <w:rPr>
          <w:i/>
          <w:lang w:val="et-EE"/>
        </w:rPr>
        <w:t>vagu</w:t>
      </w:r>
      <w:r w:rsidRPr="00FB4EFA">
        <w:rPr>
          <w:lang w:val="et-EE"/>
        </w:rPr>
        <w:t xml:space="preserve">-tüve nõrka astet </w:t>
      </w:r>
      <w:r w:rsidRPr="00FB4EFA">
        <w:rPr>
          <w:i/>
          <w:lang w:val="et-EE"/>
        </w:rPr>
        <w:lastRenderedPageBreak/>
        <w:t>vao-</w:t>
      </w:r>
      <w:r w:rsidRPr="00FB4EFA">
        <w:rPr>
          <w:lang w:val="et-EE"/>
        </w:rPr>
        <w:t xml:space="preserve"> tajutud juursõnana, mille abil saab tuletada uusi vaoga tähenduslikult seotud sõnu (vrd Laakso 2017: 143). Verbide </w:t>
      </w:r>
      <w:r w:rsidRPr="00FB4EFA">
        <w:rPr>
          <w:i/>
          <w:lang w:val="et-EE"/>
        </w:rPr>
        <w:t>vaoma</w:t>
      </w:r>
      <w:r w:rsidRPr="00FB4EFA">
        <w:rPr>
          <w:lang w:val="et-EE"/>
        </w:rPr>
        <w:t xml:space="preserve"> ja </w:t>
      </w:r>
      <w:r w:rsidRPr="00FB4EFA">
        <w:rPr>
          <w:i/>
          <w:lang w:val="et-EE"/>
        </w:rPr>
        <w:t xml:space="preserve">vaotama </w:t>
      </w:r>
      <w:r w:rsidRPr="00FB4EFA">
        <w:rPr>
          <w:lang w:val="et-EE"/>
        </w:rPr>
        <w:t xml:space="preserve">semantiline seos sõnaga </w:t>
      </w:r>
      <w:r w:rsidRPr="00FB4EFA">
        <w:rPr>
          <w:i/>
          <w:lang w:val="et-EE"/>
        </w:rPr>
        <w:t xml:space="preserve">vagu </w:t>
      </w:r>
      <w:r w:rsidRPr="00FB4EFA">
        <w:rPr>
          <w:lang w:val="et-EE"/>
        </w:rPr>
        <w:t xml:space="preserve">: </w:t>
      </w:r>
      <w:r w:rsidRPr="00FB4EFA">
        <w:rPr>
          <w:i/>
          <w:lang w:val="et-EE"/>
        </w:rPr>
        <w:t>vao</w:t>
      </w:r>
      <w:r w:rsidRPr="00FB4EFA">
        <w:rPr>
          <w:lang w:val="et-EE"/>
        </w:rPr>
        <w:t xml:space="preserve"> on ajalooliselt sekundaarne, kuid häälikuline sarnasus on soosinud ka erinevate metafooride moodustamist.</w:t>
      </w:r>
    </w:p>
    <w:p w14:paraId="18F40AA8" w14:textId="77777777" w:rsidR="00E015F4" w:rsidRPr="00FB4EFA" w:rsidRDefault="00E015F4" w:rsidP="00AC1192">
      <w:pPr>
        <w:pStyle w:val="Heading2"/>
        <w:numPr>
          <w:ilvl w:val="0"/>
          <w:numId w:val="7"/>
        </w:numPr>
        <w:suppressAutoHyphens/>
        <w:spacing w:line="259" w:lineRule="auto"/>
        <w:rPr>
          <w:color w:val="auto"/>
          <w:lang w:val="et-EE"/>
        </w:rPr>
      </w:pPr>
      <w:r w:rsidRPr="00FB4EFA">
        <w:rPr>
          <w:i/>
          <w:color w:val="auto"/>
          <w:lang w:val="et-EE"/>
        </w:rPr>
        <w:t xml:space="preserve">Vagu </w:t>
      </w:r>
      <w:r w:rsidRPr="00FB4EFA">
        <w:rPr>
          <w:color w:val="auto"/>
          <w:lang w:val="et-EE"/>
        </w:rPr>
        <w:t xml:space="preserve">ja </w:t>
      </w:r>
      <w:r w:rsidRPr="00FB4EFA">
        <w:rPr>
          <w:i/>
          <w:color w:val="auto"/>
          <w:lang w:val="et-EE"/>
        </w:rPr>
        <w:t xml:space="preserve">ajavagu </w:t>
      </w:r>
      <w:r w:rsidRPr="00FB4EFA">
        <w:rPr>
          <w:color w:val="auto"/>
          <w:lang w:val="et-EE"/>
        </w:rPr>
        <w:t>korpuses</w:t>
      </w:r>
    </w:p>
    <w:p w14:paraId="65497EAF" w14:textId="77777777" w:rsidR="00E015F4" w:rsidRPr="00FB4EFA" w:rsidRDefault="00E015F4" w:rsidP="00AF0CAD">
      <w:pPr>
        <w:rPr>
          <w:lang w:val="et-EE"/>
        </w:rPr>
      </w:pPr>
      <w:r w:rsidRPr="00FB4EFA">
        <w:rPr>
          <w:lang w:val="et-EE"/>
        </w:rPr>
        <w:t xml:space="preserve">Vaatlesime sõnu </w:t>
      </w:r>
      <w:r w:rsidRPr="00FB4EFA">
        <w:rPr>
          <w:i/>
          <w:lang w:val="et-EE"/>
        </w:rPr>
        <w:t xml:space="preserve">vagu </w:t>
      </w:r>
      <w:r w:rsidRPr="00FB4EFA">
        <w:rPr>
          <w:lang w:val="et-EE"/>
        </w:rPr>
        <w:t xml:space="preserve">ja </w:t>
      </w:r>
      <w:r w:rsidRPr="00FB4EFA">
        <w:rPr>
          <w:i/>
          <w:lang w:val="et-EE"/>
        </w:rPr>
        <w:t xml:space="preserve">ajavagu </w:t>
      </w:r>
      <w:r w:rsidRPr="00FB4EFA">
        <w:rPr>
          <w:lang w:val="et-EE"/>
        </w:rPr>
        <w:t xml:space="preserve">kasutuse selgitamiseks nende esinemisjuhte </w:t>
      </w:r>
      <w:r w:rsidRPr="00FB4EFA">
        <w:rPr>
          <w:i/>
          <w:lang w:val="et-EE"/>
        </w:rPr>
        <w:t xml:space="preserve">Eesti keele ühendkorpuses 2019 </w:t>
      </w:r>
      <w:r w:rsidRPr="00FB4EFA">
        <w:rPr>
          <w:lang w:val="et-EE"/>
        </w:rPr>
        <w:t xml:space="preserve">(EÜK2019), mis sisaldab varem loodud eesti kirjakeele korpuseid ja neile lisatud uusi internetitekste, kokku 1,5 miljardit sõnet. Korpusest pärisime päringusüsteemi Sketch Engine kaudu automaatselt sõnade </w:t>
      </w:r>
      <w:r w:rsidRPr="00FB4EFA">
        <w:rPr>
          <w:i/>
          <w:lang w:val="et-EE"/>
        </w:rPr>
        <w:t xml:space="preserve">vagu </w:t>
      </w:r>
      <w:r w:rsidRPr="00FB4EFA">
        <w:rPr>
          <w:lang w:val="et-EE"/>
        </w:rPr>
        <w:t>ja</w:t>
      </w:r>
      <w:r w:rsidRPr="00FB4EFA">
        <w:rPr>
          <w:i/>
          <w:lang w:val="et-EE"/>
        </w:rPr>
        <w:t xml:space="preserve"> ajavagu</w:t>
      </w:r>
      <w:r w:rsidRPr="00FB4EFA">
        <w:rPr>
          <w:lang w:val="et-EE"/>
        </w:rPr>
        <w:t xml:space="preserve"> sõnavisandid, milles on näha nende esinemus eri käänetes, koos esinevad naabersõnad ja sõna sisaldavad laused koos kontekstiga. Siinses käsitluses jälgime sõnade </w:t>
      </w:r>
      <w:r w:rsidRPr="00FB4EFA">
        <w:rPr>
          <w:i/>
          <w:lang w:val="et-EE"/>
        </w:rPr>
        <w:t xml:space="preserve">vagu </w:t>
      </w:r>
      <w:r w:rsidRPr="00FB4EFA">
        <w:rPr>
          <w:lang w:val="et-EE"/>
        </w:rPr>
        <w:t xml:space="preserve">ja </w:t>
      </w:r>
      <w:r w:rsidRPr="00FB4EFA">
        <w:rPr>
          <w:i/>
          <w:lang w:val="et-EE"/>
        </w:rPr>
        <w:t>ajavagu</w:t>
      </w:r>
      <w:r w:rsidRPr="00FB4EFA">
        <w:rPr>
          <w:lang w:val="et-EE"/>
        </w:rPr>
        <w:t xml:space="preserve"> vormide sagedust ja nende vormide kõrval esinevaid naabersõnu, et saada ülevaade, millistes tähendustes need sõnad eelkõige esinevad.</w:t>
      </w:r>
    </w:p>
    <w:p w14:paraId="12DCE686" w14:textId="1D2C5AC7" w:rsidR="00E015F4" w:rsidRPr="00FB4EFA" w:rsidRDefault="00E015F4" w:rsidP="00AF0CAD">
      <w:pPr>
        <w:spacing w:after="240"/>
        <w:ind w:firstLine="709"/>
        <w:rPr>
          <w:lang w:val="et-EE"/>
        </w:rPr>
      </w:pPr>
      <w:r w:rsidRPr="00FB4EFA">
        <w:rPr>
          <w:lang w:val="et-EE"/>
        </w:rPr>
        <w:t xml:space="preserve">Korpuses leidus pisut üle 10 tuhande sõna </w:t>
      </w:r>
      <w:r w:rsidRPr="00FB4EFA">
        <w:rPr>
          <w:i/>
          <w:lang w:val="et-EE"/>
        </w:rPr>
        <w:t>vagu</w:t>
      </w:r>
      <w:r w:rsidRPr="00FB4EFA">
        <w:rPr>
          <w:lang w:val="et-EE"/>
        </w:rPr>
        <w:t xml:space="preserve"> vormi. </w:t>
      </w:r>
      <w:r w:rsidR="004166CB" w:rsidRPr="00FB4EFA">
        <w:rPr>
          <w:lang w:val="et-EE"/>
        </w:rPr>
        <w:br/>
      </w:r>
      <w:r w:rsidRPr="00FB4EFA">
        <w:rPr>
          <w:lang w:val="et-EE"/>
        </w:rPr>
        <w:t xml:space="preserve">Tabelis 1 esitame sõna </w:t>
      </w:r>
      <w:r w:rsidRPr="00FB4EFA">
        <w:rPr>
          <w:i/>
          <w:lang w:val="et-EE"/>
        </w:rPr>
        <w:t xml:space="preserve">vagu </w:t>
      </w:r>
      <w:r w:rsidRPr="00FB4EFA">
        <w:rPr>
          <w:lang w:val="et-EE"/>
        </w:rPr>
        <w:t xml:space="preserve">vormide sageduse ja mõned tüüpilised </w:t>
      </w:r>
      <w:r w:rsidR="004166CB" w:rsidRPr="00FB4EFA">
        <w:rPr>
          <w:lang w:val="et-EE"/>
        </w:rPr>
        <w:br/>
      </w:r>
      <w:r w:rsidRPr="00FB4EFA">
        <w:rPr>
          <w:lang w:val="et-EE"/>
        </w:rPr>
        <w:t>näited korpusest.</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242"/>
        <w:gridCol w:w="851"/>
        <w:gridCol w:w="4811"/>
      </w:tblGrid>
      <w:tr w:rsidR="00FB4EFA" w:rsidRPr="00FB4EFA" w14:paraId="2A721F11" w14:textId="77777777" w:rsidTr="004F468E">
        <w:tc>
          <w:tcPr>
            <w:tcW w:w="1242" w:type="dxa"/>
            <w:tcBorders>
              <w:top w:val="nil"/>
              <w:bottom w:val="single" w:sz="12" w:space="0" w:color="auto"/>
            </w:tcBorders>
            <w:vAlign w:val="center"/>
          </w:tcPr>
          <w:p w14:paraId="3F845DCC" w14:textId="77777777" w:rsidR="00E015F4" w:rsidRPr="00FB4EFA" w:rsidRDefault="00E015F4" w:rsidP="00302054">
            <w:pPr>
              <w:keepNext/>
              <w:keepLines/>
              <w:suppressAutoHyphens/>
              <w:spacing w:line="240" w:lineRule="auto"/>
              <w:jc w:val="center"/>
              <w:rPr>
                <w:rFonts w:cs="Charis SIL"/>
                <w:b/>
                <w:bCs/>
                <w:sz w:val="20"/>
                <w:szCs w:val="20"/>
                <w:lang w:val="et-EE"/>
              </w:rPr>
            </w:pPr>
            <w:r w:rsidRPr="00FB4EFA">
              <w:rPr>
                <w:rFonts w:cs="Charis SIL"/>
                <w:b/>
                <w:bCs/>
                <w:sz w:val="20"/>
                <w:szCs w:val="20"/>
                <w:lang w:val="et-EE"/>
              </w:rPr>
              <w:lastRenderedPageBreak/>
              <w:t>Vorm</w:t>
            </w:r>
          </w:p>
        </w:tc>
        <w:tc>
          <w:tcPr>
            <w:tcW w:w="851" w:type="dxa"/>
            <w:tcBorders>
              <w:top w:val="nil"/>
              <w:bottom w:val="single" w:sz="12" w:space="0" w:color="auto"/>
            </w:tcBorders>
            <w:vAlign w:val="center"/>
          </w:tcPr>
          <w:p w14:paraId="540F4103" w14:textId="34EC5EC3" w:rsidR="00E015F4" w:rsidRPr="00FB4EFA" w:rsidRDefault="00E015F4" w:rsidP="00302054">
            <w:pPr>
              <w:keepNext/>
              <w:keepLines/>
              <w:suppressAutoHyphens/>
              <w:spacing w:line="240" w:lineRule="auto"/>
              <w:jc w:val="center"/>
              <w:rPr>
                <w:rFonts w:cs="Charis SIL"/>
                <w:b/>
                <w:bCs/>
                <w:sz w:val="20"/>
                <w:szCs w:val="20"/>
                <w:lang w:val="et-EE"/>
              </w:rPr>
            </w:pPr>
            <w:r w:rsidRPr="00FB4EFA">
              <w:rPr>
                <w:rFonts w:cs="Charis SIL"/>
                <w:b/>
                <w:bCs/>
                <w:sz w:val="20"/>
                <w:szCs w:val="20"/>
                <w:lang w:val="et-EE"/>
              </w:rPr>
              <w:t>Esin</w:t>
            </w:r>
            <w:r w:rsidR="004F468E" w:rsidRPr="00FB4EFA">
              <w:rPr>
                <w:rFonts w:cs="Charis SIL"/>
                <w:b/>
                <w:bCs/>
                <w:sz w:val="20"/>
                <w:szCs w:val="20"/>
                <w:lang w:val="et-EE"/>
              </w:rPr>
              <w:t>.</w:t>
            </w:r>
            <w:r w:rsidRPr="00FB4EFA">
              <w:rPr>
                <w:rFonts w:cs="Charis SIL"/>
                <w:b/>
                <w:bCs/>
                <w:sz w:val="20"/>
                <w:szCs w:val="20"/>
                <w:lang w:val="et-EE"/>
              </w:rPr>
              <w:t xml:space="preserve"> arv</w:t>
            </w:r>
          </w:p>
        </w:tc>
        <w:tc>
          <w:tcPr>
            <w:tcW w:w="4811" w:type="dxa"/>
            <w:tcBorders>
              <w:top w:val="nil"/>
              <w:bottom w:val="single" w:sz="12" w:space="0" w:color="auto"/>
            </w:tcBorders>
            <w:vAlign w:val="center"/>
          </w:tcPr>
          <w:p w14:paraId="683DEB20" w14:textId="77777777" w:rsidR="00E015F4" w:rsidRPr="00FB4EFA" w:rsidRDefault="00E015F4" w:rsidP="00302054">
            <w:pPr>
              <w:keepNext/>
              <w:keepLines/>
              <w:suppressAutoHyphens/>
              <w:spacing w:line="240" w:lineRule="auto"/>
              <w:jc w:val="center"/>
              <w:rPr>
                <w:rFonts w:cs="Charis SIL"/>
                <w:b/>
                <w:bCs/>
                <w:sz w:val="20"/>
                <w:szCs w:val="20"/>
                <w:lang w:val="et-EE"/>
              </w:rPr>
            </w:pPr>
            <w:r w:rsidRPr="00FB4EFA">
              <w:rPr>
                <w:rFonts w:cs="Charis SIL"/>
                <w:b/>
                <w:bCs/>
                <w:sz w:val="20"/>
                <w:szCs w:val="20"/>
                <w:lang w:val="et-EE"/>
              </w:rPr>
              <w:t>Näited</w:t>
            </w:r>
          </w:p>
        </w:tc>
      </w:tr>
      <w:tr w:rsidR="00FB4EFA" w:rsidRPr="00FB4EFA" w14:paraId="5D9AB78D" w14:textId="77777777" w:rsidTr="004F468E">
        <w:tc>
          <w:tcPr>
            <w:tcW w:w="1242" w:type="dxa"/>
            <w:tcBorders>
              <w:top w:val="single" w:sz="12" w:space="0" w:color="auto"/>
            </w:tcBorders>
          </w:tcPr>
          <w:p w14:paraId="771E8CFD"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Inessiiv</w:t>
            </w:r>
          </w:p>
          <w:p w14:paraId="6A13C07E" w14:textId="77777777" w:rsidR="00E015F4" w:rsidRPr="00FB4EFA" w:rsidRDefault="00E015F4" w:rsidP="00302054">
            <w:pPr>
              <w:keepNext/>
              <w:keepLines/>
              <w:suppressAutoHyphens/>
              <w:spacing w:line="240" w:lineRule="auto"/>
              <w:rPr>
                <w:rFonts w:cs="Charis SIL"/>
                <w:i/>
                <w:sz w:val="18"/>
                <w:szCs w:val="18"/>
                <w:lang w:val="et-EE"/>
              </w:rPr>
            </w:pPr>
            <w:r w:rsidRPr="00FB4EFA">
              <w:rPr>
                <w:rFonts w:cs="Charis SIL"/>
                <w:i/>
                <w:sz w:val="18"/>
                <w:szCs w:val="18"/>
                <w:lang w:val="et-EE"/>
              </w:rPr>
              <w:t>vaos</w:t>
            </w:r>
          </w:p>
          <w:p w14:paraId="12CC81E9" w14:textId="77777777" w:rsidR="00E015F4" w:rsidRPr="00FB4EFA" w:rsidRDefault="00E015F4" w:rsidP="00302054">
            <w:pPr>
              <w:keepNext/>
              <w:keepLines/>
              <w:suppressAutoHyphens/>
              <w:spacing w:line="240" w:lineRule="auto"/>
              <w:rPr>
                <w:rFonts w:cs="Charis SIL"/>
                <w:i/>
                <w:sz w:val="18"/>
                <w:szCs w:val="18"/>
                <w:lang w:val="et-EE"/>
              </w:rPr>
            </w:pPr>
            <w:r w:rsidRPr="00FB4EFA">
              <w:rPr>
                <w:rFonts w:cs="Charis SIL"/>
                <w:sz w:val="18"/>
                <w:szCs w:val="18"/>
                <w:lang w:val="et-EE"/>
              </w:rPr>
              <w:t xml:space="preserve">väga harva </w:t>
            </w:r>
            <w:r w:rsidRPr="00FB4EFA">
              <w:rPr>
                <w:rFonts w:cs="Charis SIL"/>
                <w:i/>
                <w:sz w:val="18"/>
                <w:szCs w:val="18"/>
                <w:lang w:val="et-EE"/>
              </w:rPr>
              <w:t>vagudes</w:t>
            </w:r>
          </w:p>
        </w:tc>
        <w:tc>
          <w:tcPr>
            <w:tcW w:w="851" w:type="dxa"/>
            <w:tcBorders>
              <w:top w:val="single" w:sz="12" w:space="0" w:color="auto"/>
            </w:tcBorders>
          </w:tcPr>
          <w:p w14:paraId="4AA07CD8"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3960</w:t>
            </w:r>
          </w:p>
        </w:tc>
        <w:tc>
          <w:tcPr>
            <w:tcW w:w="4811" w:type="dxa"/>
            <w:tcBorders>
              <w:top w:val="single" w:sz="12" w:space="0" w:color="auto"/>
            </w:tcBorders>
          </w:tcPr>
          <w:p w14:paraId="09E242F6"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Edgar püüab emast rääkides tundeid </w:t>
            </w:r>
            <w:r w:rsidRPr="00FB4EFA">
              <w:rPr>
                <w:rFonts w:cs="Charis SIL"/>
                <w:b/>
                <w:sz w:val="18"/>
                <w:szCs w:val="18"/>
                <w:lang w:val="et-EE"/>
              </w:rPr>
              <w:t>vaos</w:t>
            </w:r>
            <w:r w:rsidRPr="00FB4EFA">
              <w:rPr>
                <w:rFonts w:cs="Charis SIL"/>
                <w:sz w:val="18"/>
                <w:szCs w:val="18"/>
                <w:lang w:val="et-EE"/>
              </w:rPr>
              <w:t> hoida.</w:t>
            </w:r>
          </w:p>
          <w:p w14:paraId="482F9EB3"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 xml:space="preserve">Eestis tuleks jällegi </w:t>
            </w:r>
            <w:r w:rsidRPr="00FB4EFA">
              <w:rPr>
                <w:rFonts w:cs="Charis SIL"/>
                <w:b/>
                <w:sz w:val="18"/>
                <w:szCs w:val="18"/>
                <w:lang w:val="et-EE"/>
              </w:rPr>
              <w:t>vaos</w:t>
            </w:r>
            <w:r w:rsidRPr="00FB4EFA">
              <w:rPr>
                <w:rFonts w:cs="Charis SIL"/>
                <w:sz w:val="18"/>
                <w:szCs w:val="18"/>
                <w:lang w:val="et-EE"/>
              </w:rPr>
              <w:t xml:space="preserve"> hoida sedasorti poliitikuid, kellel pole au ega häbi.</w:t>
            </w:r>
          </w:p>
          <w:p w14:paraId="65E80FDE"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…ravimeetodeid, mis teeks naha ilusamaks ja hoiaks seisundit </w:t>
            </w:r>
            <w:r w:rsidRPr="00FB4EFA">
              <w:rPr>
                <w:rFonts w:cs="Charis SIL"/>
                <w:b/>
                <w:sz w:val="18"/>
                <w:szCs w:val="18"/>
                <w:lang w:val="et-EE"/>
              </w:rPr>
              <w:t>vaos</w:t>
            </w:r>
            <w:r w:rsidRPr="00FB4EFA">
              <w:rPr>
                <w:rFonts w:cs="Charis SIL"/>
                <w:sz w:val="18"/>
                <w:szCs w:val="18"/>
                <w:lang w:val="et-EE"/>
              </w:rPr>
              <w:t>.</w:t>
            </w:r>
          </w:p>
          <w:p w14:paraId="12B5A57F"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Kartul mädaneb </w:t>
            </w:r>
            <w:r w:rsidRPr="00FB4EFA">
              <w:rPr>
                <w:rFonts w:cs="Charis SIL"/>
                <w:b/>
                <w:sz w:val="18"/>
                <w:szCs w:val="18"/>
                <w:lang w:val="et-EE"/>
              </w:rPr>
              <w:t>vagudes</w:t>
            </w:r>
            <w:r w:rsidRPr="00FB4EFA">
              <w:rPr>
                <w:rFonts w:cs="Charis SIL"/>
                <w:sz w:val="18"/>
                <w:szCs w:val="18"/>
                <w:lang w:val="et-EE"/>
              </w:rPr>
              <w:t>, vihmast leotatud põllud ei kanna hoost ega inimestki.</w:t>
            </w:r>
          </w:p>
        </w:tc>
      </w:tr>
      <w:tr w:rsidR="00FB4EFA" w:rsidRPr="00FB4EFA" w14:paraId="05556810" w14:textId="77777777" w:rsidTr="004F468E">
        <w:tc>
          <w:tcPr>
            <w:tcW w:w="1242" w:type="dxa"/>
          </w:tcPr>
          <w:p w14:paraId="138081D4"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Nominatiiv</w:t>
            </w:r>
          </w:p>
          <w:p w14:paraId="4401612E" w14:textId="77777777" w:rsidR="00E015F4" w:rsidRPr="00FB4EFA" w:rsidRDefault="00E015F4" w:rsidP="00302054">
            <w:pPr>
              <w:keepNext/>
              <w:keepLines/>
              <w:suppressAutoHyphens/>
              <w:spacing w:line="240" w:lineRule="auto"/>
              <w:rPr>
                <w:rFonts w:cs="Charis SIL"/>
                <w:i/>
                <w:sz w:val="18"/>
                <w:szCs w:val="18"/>
                <w:lang w:val="et-EE"/>
              </w:rPr>
            </w:pPr>
            <w:r w:rsidRPr="00FB4EFA">
              <w:rPr>
                <w:rFonts w:cs="Charis SIL"/>
                <w:i/>
                <w:sz w:val="18"/>
                <w:szCs w:val="18"/>
                <w:lang w:val="et-EE"/>
              </w:rPr>
              <w:t>vagu</w:t>
            </w:r>
          </w:p>
          <w:p w14:paraId="03FA0046" w14:textId="77777777" w:rsidR="00E015F4" w:rsidRPr="00FB4EFA" w:rsidRDefault="00E015F4" w:rsidP="00302054">
            <w:pPr>
              <w:keepNext/>
              <w:keepLines/>
              <w:suppressAutoHyphens/>
              <w:spacing w:line="240" w:lineRule="auto"/>
              <w:rPr>
                <w:rFonts w:cs="Charis SIL"/>
                <w:i/>
                <w:sz w:val="18"/>
                <w:szCs w:val="18"/>
                <w:lang w:val="et-EE"/>
              </w:rPr>
            </w:pPr>
            <w:r w:rsidRPr="00FB4EFA">
              <w:rPr>
                <w:rFonts w:cs="Charis SIL"/>
                <w:i/>
                <w:sz w:val="18"/>
                <w:szCs w:val="18"/>
                <w:lang w:val="et-EE"/>
              </w:rPr>
              <w:t>vaod</w:t>
            </w:r>
          </w:p>
        </w:tc>
        <w:tc>
          <w:tcPr>
            <w:tcW w:w="851" w:type="dxa"/>
          </w:tcPr>
          <w:p w14:paraId="28E939C0"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2229</w:t>
            </w:r>
          </w:p>
        </w:tc>
        <w:tc>
          <w:tcPr>
            <w:tcW w:w="4811" w:type="dxa"/>
          </w:tcPr>
          <w:p w14:paraId="165936B2"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Kuju vedamisest maasse jäänud </w:t>
            </w:r>
            <w:r w:rsidRPr="00FB4EFA">
              <w:rPr>
                <w:rFonts w:cs="Charis SIL"/>
                <w:b/>
                <w:sz w:val="18"/>
                <w:szCs w:val="18"/>
                <w:lang w:val="et-EE"/>
              </w:rPr>
              <w:t>vagu</w:t>
            </w:r>
            <w:r w:rsidRPr="00FB4EFA">
              <w:rPr>
                <w:rFonts w:cs="Charis SIL"/>
                <w:sz w:val="18"/>
                <w:szCs w:val="18"/>
                <w:lang w:val="et-EE"/>
              </w:rPr>
              <w:t> oli veel näha.</w:t>
            </w:r>
          </w:p>
          <w:p w14:paraId="77940A20"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Nendegi elus pole tundmatuks jäänud elu pahupool ja aja küntud </w:t>
            </w:r>
            <w:r w:rsidRPr="00FB4EFA">
              <w:rPr>
                <w:rFonts w:cs="Charis SIL"/>
                <w:b/>
                <w:sz w:val="18"/>
                <w:szCs w:val="18"/>
                <w:lang w:val="et-EE"/>
              </w:rPr>
              <w:t>vaod.</w:t>
            </w:r>
          </w:p>
        </w:tc>
      </w:tr>
      <w:tr w:rsidR="00FB4EFA" w:rsidRPr="00FB4EFA" w14:paraId="1ED524DE" w14:textId="77777777" w:rsidTr="004F468E">
        <w:tc>
          <w:tcPr>
            <w:tcW w:w="1242" w:type="dxa"/>
          </w:tcPr>
          <w:p w14:paraId="3885D9CC"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Genitiiv</w:t>
            </w:r>
          </w:p>
          <w:p w14:paraId="0201327E" w14:textId="77777777" w:rsidR="00E015F4" w:rsidRPr="00FB4EFA" w:rsidRDefault="00E015F4" w:rsidP="00302054">
            <w:pPr>
              <w:keepNext/>
              <w:keepLines/>
              <w:suppressAutoHyphens/>
              <w:spacing w:line="240" w:lineRule="auto"/>
              <w:rPr>
                <w:rFonts w:cs="Charis SIL"/>
                <w:i/>
                <w:sz w:val="18"/>
                <w:szCs w:val="18"/>
                <w:lang w:val="et-EE"/>
              </w:rPr>
            </w:pPr>
            <w:r w:rsidRPr="00FB4EFA">
              <w:rPr>
                <w:rFonts w:cs="Charis SIL"/>
                <w:i/>
                <w:sz w:val="18"/>
                <w:szCs w:val="18"/>
                <w:lang w:val="et-EE"/>
              </w:rPr>
              <w:t>vao</w:t>
            </w:r>
          </w:p>
          <w:p w14:paraId="02FAB4EA" w14:textId="77777777" w:rsidR="00E015F4" w:rsidRPr="00FB4EFA" w:rsidRDefault="00E015F4" w:rsidP="00302054">
            <w:pPr>
              <w:keepNext/>
              <w:keepLines/>
              <w:suppressAutoHyphens/>
              <w:spacing w:line="240" w:lineRule="auto"/>
              <w:rPr>
                <w:rFonts w:cs="Charis SIL"/>
                <w:i/>
                <w:sz w:val="18"/>
                <w:szCs w:val="18"/>
                <w:lang w:val="et-EE"/>
              </w:rPr>
            </w:pPr>
            <w:r w:rsidRPr="00FB4EFA">
              <w:rPr>
                <w:rFonts w:cs="Charis SIL"/>
                <w:i/>
                <w:sz w:val="18"/>
                <w:szCs w:val="18"/>
                <w:lang w:val="et-EE"/>
              </w:rPr>
              <w:t>vagude</w:t>
            </w:r>
          </w:p>
        </w:tc>
        <w:tc>
          <w:tcPr>
            <w:tcW w:w="851" w:type="dxa"/>
          </w:tcPr>
          <w:p w14:paraId="66FB1DC5"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1863</w:t>
            </w:r>
          </w:p>
        </w:tc>
        <w:tc>
          <w:tcPr>
            <w:tcW w:w="4811" w:type="dxa"/>
          </w:tcPr>
          <w:p w14:paraId="4AB1F836"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Kui varem sai Sarap </w:t>
            </w:r>
            <w:r w:rsidRPr="00FB4EFA">
              <w:rPr>
                <w:rFonts w:cs="Charis SIL"/>
                <w:b/>
                <w:sz w:val="18"/>
                <w:szCs w:val="18"/>
                <w:lang w:val="et-EE"/>
              </w:rPr>
              <w:t>vao</w:t>
            </w:r>
            <w:r w:rsidRPr="00FB4EFA">
              <w:rPr>
                <w:rFonts w:cs="Charis SIL"/>
                <w:sz w:val="18"/>
                <w:szCs w:val="18"/>
                <w:lang w:val="et-EE"/>
              </w:rPr>
              <w:t> pealt neli kotti kartuleid, siis tänavu on hea, kui kakski tuleb.</w:t>
            </w:r>
          </w:p>
          <w:p w14:paraId="288C0629"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 xml:space="preserve">Põldudel, kus vesi mitmeks päevaks </w:t>
            </w:r>
            <w:r w:rsidRPr="00FB4EFA">
              <w:rPr>
                <w:rFonts w:cs="Charis SIL"/>
                <w:b/>
                <w:sz w:val="18"/>
                <w:szCs w:val="18"/>
                <w:lang w:val="et-EE"/>
              </w:rPr>
              <w:t>vagude</w:t>
            </w:r>
            <w:r w:rsidRPr="00FB4EFA">
              <w:rPr>
                <w:rFonts w:cs="Charis SIL"/>
                <w:sz w:val="18"/>
                <w:szCs w:val="18"/>
                <w:lang w:val="et-EE"/>
              </w:rPr>
              <w:t> vahele seisma jäi, võib saak ikalduda.</w:t>
            </w:r>
          </w:p>
        </w:tc>
      </w:tr>
      <w:tr w:rsidR="00FB4EFA" w:rsidRPr="00FB4EFA" w14:paraId="5ACFCFC5" w14:textId="77777777" w:rsidTr="004F468E">
        <w:tc>
          <w:tcPr>
            <w:tcW w:w="1242" w:type="dxa"/>
          </w:tcPr>
          <w:p w14:paraId="71F4278C"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Partitiiv</w:t>
            </w:r>
          </w:p>
          <w:p w14:paraId="3E9E09F7" w14:textId="77777777" w:rsidR="00E015F4" w:rsidRPr="00FB4EFA" w:rsidRDefault="00E015F4" w:rsidP="00302054">
            <w:pPr>
              <w:keepNext/>
              <w:keepLines/>
              <w:suppressAutoHyphens/>
              <w:spacing w:line="240" w:lineRule="auto"/>
              <w:rPr>
                <w:rFonts w:cs="Charis SIL"/>
                <w:i/>
                <w:sz w:val="18"/>
                <w:szCs w:val="18"/>
                <w:lang w:val="et-EE"/>
              </w:rPr>
            </w:pPr>
            <w:r w:rsidRPr="00FB4EFA">
              <w:rPr>
                <w:rFonts w:cs="Charis SIL"/>
                <w:i/>
                <w:sz w:val="18"/>
                <w:szCs w:val="18"/>
                <w:lang w:val="et-EE"/>
              </w:rPr>
              <w:t>vagu</w:t>
            </w:r>
          </w:p>
          <w:p w14:paraId="4FF115FB" w14:textId="77777777" w:rsidR="00E015F4" w:rsidRPr="00FB4EFA" w:rsidRDefault="00E015F4" w:rsidP="00302054">
            <w:pPr>
              <w:keepNext/>
              <w:keepLines/>
              <w:suppressAutoHyphens/>
              <w:spacing w:line="240" w:lineRule="auto"/>
              <w:rPr>
                <w:rFonts w:cs="Charis SIL"/>
                <w:i/>
                <w:sz w:val="18"/>
                <w:szCs w:val="18"/>
                <w:lang w:val="et-EE"/>
              </w:rPr>
            </w:pPr>
            <w:r w:rsidRPr="00FB4EFA">
              <w:rPr>
                <w:rFonts w:cs="Charis SIL"/>
                <w:i/>
                <w:sz w:val="18"/>
                <w:szCs w:val="18"/>
                <w:lang w:val="et-EE"/>
              </w:rPr>
              <w:t>vagusid</w:t>
            </w:r>
          </w:p>
        </w:tc>
        <w:tc>
          <w:tcPr>
            <w:tcW w:w="851" w:type="dxa"/>
          </w:tcPr>
          <w:p w14:paraId="6EE5226F"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1038</w:t>
            </w:r>
          </w:p>
        </w:tc>
        <w:tc>
          <w:tcPr>
            <w:tcW w:w="4811" w:type="dxa"/>
          </w:tcPr>
          <w:p w14:paraId="6766FDE0"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Ta õpetas mind külimitust rukist külvama ja lubas </w:t>
            </w:r>
            <w:r w:rsidRPr="00FB4EFA">
              <w:rPr>
                <w:rFonts w:cs="Charis SIL"/>
                <w:b/>
                <w:sz w:val="18"/>
                <w:szCs w:val="18"/>
                <w:lang w:val="et-EE"/>
              </w:rPr>
              <w:t>vagu</w:t>
            </w:r>
            <w:r w:rsidRPr="00FB4EFA">
              <w:rPr>
                <w:rFonts w:cs="Charis SIL"/>
                <w:sz w:val="18"/>
                <w:szCs w:val="18"/>
                <w:lang w:val="et-EE"/>
              </w:rPr>
              <w:t> ajades adrakurgedest kinni hoida.</w:t>
            </w:r>
          </w:p>
          <w:p w14:paraId="75265675"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Kutsehariduspõllul tahavad oma </w:t>
            </w:r>
            <w:r w:rsidRPr="00FB4EFA">
              <w:rPr>
                <w:rFonts w:cs="Charis SIL"/>
                <w:b/>
                <w:sz w:val="18"/>
                <w:szCs w:val="18"/>
                <w:lang w:val="et-EE"/>
              </w:rPr>
              <w:t>vagu</w:t>
            </w:r>
            <w:r w:rsidRPr="00FB4EFA">
              <w:rPr>
                <w:rFonts w:cs="Charis SIL"/>
                <w:sz w:val="18"/>
                <w:szCs w:val="18"/>
                <w:lang w:val="et-EE"/>
              </w:rPr>
              <w:t> künda nii väikesed koolid kui ka suured õppekeskused.</w:t>
            </w:r>
          </w:p>
        </w:tc>
      </w:tr>
      <w:tr w:rsidR="00FB4EFA" w:rsidRPr="00FB4EFA" w14:paraId="75475CE7" w14:textId="77777777" w:rsidTr="004F468E">
        <w:tc>
          <w:tcPr>
            <w:tcW w:w="1242" w:type="dxa"/>
          </w:tcPr>
          <w:p w14:paraId="7162AFC6"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Illatiiv</w:t>
            </w:r>
          </w:p>
          <w:p w14:paraId="71FE3EC1"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i/>
                <w:sz w:val="18"/>
                <w:szCs w:val="18"/>
                <w:lang w:val="et-EE"/>
              </w:rPr>
              <w:t xml:space="preserve">vakku vagudesse </w:t>
            </w:r>
          </w:p>
        </w:tc>
        <w:tc>
          <w:tcPr>
            <w:tcW w:w="851" w:type="dxa"/>
          </w:tcPr>
          <w:p w14:paraId="41BA6DD2"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322</w:t>
            </w:r>
          </w:p>
        </w:tc>
        <w:tc>
          <w:tcPr>
            <w:tcW w:w="4811" w:type="dxa"/>
          </w:tcPr>
          <w:p w14:paraId="2813E6EF"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Teise </w:t>
            </w:r>
            <w:r w:rsidRPr="00FB4EFA">
              <w:rPr>
                <w:rFonts w:cs="Charis SIL"/>
                <w:b/>
                <w:sz w:val="18"/>
                <w:szCs w:val="18"/>
                <w:lang w:val="et-EE"/>
              </w:rPr>
              <w:t>vakku</w:t>
            </w:r>
            <w:r w:rsidRPr="00FB4EFA">
              <w:rPr>
                <w:rFonts w:cs="Charis SIL"/>
                <w:sz w:val="18"/>
                <w:szCs w:val="18"/>
                <w:lang w:val="et-EE"/>
              </w:rPr>
              <w:t> panin kartulid.</w:t>
            </w:r>
          </w:p>
          <w:p w14:paraId="1E8F29E8"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Ta püsib tõesti terve päeva ja ei kogune </w:t>
            </w:r>
            <w:r w:rsidRPr="00FB4EFA">
              <w:rPr>
                <w:rFonts w:cs="Charis SIL"/>
                <w:b/>
                <w:sz w:val="18"/>
                <w:szCs w:val="18"/>
                <w:lang w:val="et-EE"/>
              </w:rPr>
              <w:t>vagudesse</w:t>
            </w:r>
            <w:r w:rsidRPr="00FB4EFA">
              <w:rPr>
                <w:rFonts w:cs="Charis SIL"/>
                <w:sz w:val="18"/>
                <w:szCs w:val="18"/>
                <w:lang w:val="et-EE"/>
              </w:rPr>
              <w:t>.</w:t>
            </w:r>
          </w:p>
        </w:tc>
      </w:tr>
      <w:tr w:rsidR="00FB4EFA" w:rsidRPr="00FB4EFA" w14:paraId="3739923C" w14:textId="77777777" w:rsidTr="004F468E">
        <w:tc>
          <w:tcPr>
            <w:tcW w:w="1242" w:type="dxa"/>
          </w:tcPr>
          <w:p w14:paraId="4DC40FE4"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 xml:space="preserve">Komitatiiv </w:t>
            </w:r>
            <w:r w:rsidRPr="00FB4EFA">
              <w:rPr>
                <w:rFonts w:cs="Charis SIL"/>
                <w:i/>
                <w:sz w:val="18"/>
                <w:szCs w:val="18"/>
                <w:lang w:val="et-EE"/>
              </w:rPr>
              <w:t>vaoga vagudega</w:t>
            </w:r>
          </w:p>
        </w:tc>
        <w:tc>
          <w:tcPr>
            <w:tcW w:w="851" w:type="dxa"/>
          </w:tcPr>
          <w:p w14:paraId="75A26EF9"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185</w:t>
            </w:r>
          </w:p>
        </w:tc>
        <w:tc>
          <w:tcPr>
            <w:tcW w:w="4811" w:type="dxa"/>
          </w:tcPr>
          <w:p w14:paraId="73883BCB"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Sellepärast ollakse leppinud tuttava </w:t>
            </w:r>
            <w:r w:rsidRPr="00FB4EFA">
              <w:rPr>
                <w:rFonts w:cs="Charis SIL"/>
                <w:b/>
                <w:sz w:val="18"/>
                <w:szCs w:val="18"/>
                <w:lang w:val="et-EE"/>
              </w:rPr>
              <w:t>vaoga</w:t>
            </w:r>
            <w:r w:rsidRPr="00FB4EFA">
              <w:rPr>
                <w:rFonts w:cs="Charis SIL"/>
                <w:sz w:val="18"/>
                <w:szCs w:val="18"/>
                <w:lang w:val="et-EE"/>
              </w:rPr>
              <w:t>, mida on terve elu ühtmoodi küntud</w:t>
            </w:r>
          </w:p>
          <w:p w14:paraId="4C6AC5F8"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Rehvi kiri on hõredam ja laiemate </w:t>
            </w:r>
            <w:r w:rsidRPr="00FB4EFA">
              <w:rPr>
                <w:rFonts w:cs="Charis SIL"/>
                <w:b/>
                <w:sz w:val="18"/>
                <w:szCs w:val="18"/>
                <w:lang w:val="et-EE"/>
              </w:rPr>
              <w:t>vagudega</w:t>
            </w:r>
            <w:r w:rsidRPr="00FB4EFA">
              <w:rPr>
                <w:rFonts w:cs="Charis SIL"/>
                <w:sz w:val="18"/>
                <w:szCs w:val="18"/>
                <w:lang w:val="et-EE"/>
              </w:rPr>
              <w:t>.</w:t>
            </w:r>
            <w:r w:rsidRPr="00FB4EFA">
              <w:rPr>
                <w:rFonts w:cs="Charis SIL"/>
                <w:sz w:val="18"/>
                <w:szCs w:val="18"/>
                <w:shd w:val="clear" w:color="auto" w:fill="F5F5F5"/>
                <w:lang w:val="et-EE"/>
              </w:rPr>
              <w:t> </w:t>
            </w:r>
          </w:p>
        </w:tc>
      </w:tr>
      <w:tr w:rsidR="00FB4EFA" w:rsidRPr="00FB4EFA" w14:paraId="5EB4BE2C" w14:textId="77777777" w:rsidTr="004F468E">
        <w:tc>
          <w:tcPr>
            <w:tcW w:w="1242" w:type="dxa"/>
          </w:tcPr>
          <w:p w14:paraId="36ABEB27"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Elatiiv</w:t>
            </w:r>
          </w:p>
          <w:p w14:paraId="7C690B75"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i/>
                <w:sz w:val="18"/>
                <w:szCs w:val="18"/>
                <w:lang w:val="et-EE"/>
              </w:rPr>
              <w:t xml:space="preserve">vaost vagudest </w:t>
            </w:r>
          </w:p>
        </w:tc>
        <w:tc>
          <w:tcPr>
            <w:tcW w:w="851" w:type="dxa"/>
          </w:tcPr>
          <w:p w14:paraId="64E994F7" w14:textId="77777777" w:rsidR="00E015F4" w:rsidRPr="00FB4EFA" w:rsidRDefault="00E015F4" w:rsidP="00302054">
            <w:pPr>
              <w:keepNext/>
              <w:keepLines/>
              <w:suppressAutoHyphens/>
              <w:spacing w:line="240" w:lineRule="auto"/>
              <w:rPr>
                <w:rFonts w:cs="Charis SIL"/>
                <w:sz w:val="18"/>
                <w:szCs w:val="18"/>
                <w:lang w:val="et-EE"/>
              </w:rPr>
            </w:pPr>
            <w:r w:rsidRPr="00FB4EFA">
              <w:rPr>
                <w:rFonts w:cs="Charis SIL"/>
                <w:sz w:val="18"/>
                <w:szCs w:val="18"/>
                <w:lang w:val="et-EE"/>
              </w:rPr>
              <w:t>142</w:t>
            </w:r>
          </w:p>
        </w:tc>
        <w:tc>
          <w:tcPr>
            <w:tcW w:w="4811" w:type="dxa"/>
          </w:tcPr>
          <w:p w14:paraId="7004C588"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Kindlasti omaette natuur, keda vaevalt keegi suudab mõjustada ja </w:t>
            </w:r>
            <w:r w:rsidRPr="00FB4EFA">
              <w:rPr>
                <w:rFonts w:cs="Charis SIL"/>
                <w:b/>
                <w:sz w:val="18"/>
                <w:szCs w:val="18"/>
                <w:lang w:val="et-EE"/>
              </w:rPr>
              <w:t>vaost</w:t>
            </w:r>
            <w:r w:rsidRPr="00FB4EFA">
              <w:rPr>
                <w:rFonts w:cs="Charis SIL"/>
                <w:sz w:val="18"/>
                <w:szCs w:val="18"/>
                <w:lang w:val="et-EE"/>
              </w:rPr>
              <w:t> välja viia.</w:t>
            </w:r>
          </w:p>
          <w:p w14:paraId="021AF1A3" w14:textId="77777777" w:rsidR="00E015F4" w:rsidRPr="00FB4EFA" w:rsidRDefault="00E015F4" w:rsidP="00302054">
            <w:pPr>
              <w:keepNext/>
              <w:keepLines/>
              <w:suppressAutoHyphens/>
              <w:spacing w:line="240" w:lineRule="auto"/>
              <w:jc w:val="left"/>
              <w:textAlignment w:val="top"/>
              <w:rPr>
                <w:rFonts w:cs="Charis SIL"/>
                <w:sz w:val="18"/>
                <w:szCs w:val="18"/>
                <w:lang w:val="et-EE"/>
              </w:rPr>
            </w:pPr>
            <w:r w:rsidRPr="00FB4EFA">
              <w:rPr>
                <w:rFonts w:cs="Charis SIL"/>
                <w:sz w:val="18"/>
                <w:szCs w:val="18"/>
                <w:lang w:val="et-EE"/>
              </w:rPr>
              <w:t>Homme tuli tal hakata kinnistest </w:t>
            </w:r>
            <w:r w:rsidRPr="00FB4EFA">
              <w:rPr>
                <w:rFonts w:cs="Charis SIL"/>
                <w:b/>
                <w:sz w:val="18"/>
                <w:szCs w:val="18"/>
                <w:lang w:val="et-EE"/>
              </w:rPr>
              <w:t>vagudest</w:t>
            </w:r>
            <w:r w:rsidRPr="00FB4EFA">
              <w:rPr>
                <w:rFonts w:cs="Charis SIL"/>
                <w:sz w:val="18"/>
                <w:szCs w:val="18"/>
                <w:lang w:val="et-EE"/>
              </w:rPr>
              <w:t> kartuleid võtma.</w:t>
            </w:r>
          </w:p>
        </w:tc>
      </w:tr>
    </w:tbl>
    <w:p w14:paraId="56F09486" w14:textId="77777777" w:rsidR="00E015F4" w:rsidRPr="00FB4EFA" w:rsidRDefault="00E015F4" w:rsidP="00AC1192">
      <w:pPr>
        <w:suppressAutoHyphens/>
        <w:spacing w:before="120" w:after="240"/>
        <w:jc w:val="center"/>
        <w:rPr>
          <w:sz w:val="18"/>
          <w:szCs w:val="18"/>
          <w:lang w:val="et-EE"/>
        </w:rPr>
      </w:pPr>
      <w:r w:rsidRPr="00FB4EFA">
        <w:rPr>
          <w:b/>
          <w:bCs/>
          <w:sz w:val="18"/>
          <w:szCs w:val="18"/>
          <w:lang w:val="et-EE"/>
        </w:rPr>
        <w:t xml:space="preserve">Tabel 1. </w:t>
      </w:r>
      <w:r w:rsidRPr="00FB4EFA">
        <w:rPr>
          <w:sz w:val="18"/>
          <w:szCs w:val="18"/>
          <w:lang w:val="et-EE"/>
        </w:rPr>
        <w:t xml:space="preserve">Lekseemi </w:t>
      </w:r>
      <w:r w:rsidRPr="00FB4EFA">
        <w:rPr>
          <w:i/>
          <w:sz w:val="18"/>
          <w:szCs w:val="18"/>
          <w:lang w:val="et-EE"/>
        </w:rPr>
        <w:t xml:space="preserve">vagu </w:t>
      </w:r>
      <w:r w:rsidRPr="00FB4EFA">
        <w:rPr>
          <w:sz w:val="18"/>
          <w:szCs w:val="18"/>
          <w:lang w:val="et-EE"/>
        </w:rPr>
        <w:t>esinemus eesti keele ühendkorpuses (2019)</w:t>
      </w:r>
    </w:p>
    <w:p w14:paraId="667EB0CB" w14:textId="77777777" w:rsidR="00E015F4" w:rsidRPr="00FB4EFA" w:rsidRDefault="00E015F4" w:rsidP="00AF0CAD">
      <w:pPr>
        <w:rPr>
          <w:lang w:val="et-EE"/>
        </w:rPr>
      </w:pPr>
      <w:r w:rsidRPr="00FB4EFA">
        <w:rPr>
          <w:lang w:val="et-EE"/>
        </w:rPr>
        <w:t xml:space="preserve">Käändeti jagunesid sõna </w:t>
      </w:r>
      <w:r w:rsidRPr="00FB4EFA">
        <w:rPr>
          <w:i/>
          <w:lang w:val="et-EE"/>
        </w:rPr>
        <w:t>vagu</w:t>
      </w:r>
      <w:r w:rsidRPr="00FB4EFA">
        <w:rPr>
          <w:lang w:val="et-EE"/>
        </w:rPr>
        <w:t xml:space="preserve"> vormid nii, et enim oli inessiivi vormi </w:t>
      </w:r>
      <w:r w:rsidRPr="00FB4EFA">
        <w:rPr>
          <w:i/>
          <w:lang w:val="et-EE"/>
        </w:rPr>
        <w:t xml:space="preserve">vaos </w:t>
      </w:r>
      <w:r w:rsidRPr="00FB4EFA">
        <w:rPr>
          <w:lang w:val="et-EE"/>
        </w:rPr>
        <w:t>(3960). Sagedasimad ees olevad naabersõnad</w:t>
      </w:r>
      <w:r w:rsidRPr="00FB4EFA">
        <w:rPr>
          <w:rFonts w:asciiTheme="minorHAnsi" w:hAnsiTheme="minorHAnsi"/>
          <w:vertAlign w:val="superscript"/>
          <w:lang w:val="et-EE"/>
        </w:rPr>
        <w:footnoteReference w:id="122"/>
      </w:r>
      <w:r w:rsidRPr="00FB4EFA">
        <w:rPr>
          <w:lang w:val="et-EE"/>
        </w:rPr>
        <w:t xml:space="preserve"> olid </w:t>
      </w:r>
      <w:r w:rsidRPr="00FB4EFA">
        <w:rPr>
          <w:i/>
          <w:lang w:val="et-EE"/>
        </w:rPr>
        <w:t>end</w:t>
      </w:r>
      <w:r w:rsidRPr="00FB4EFA">
        <w:rPr>
          <w:lang w:val="et-EE"/>
        </w:rPr>
        <w:t xml:space="preserve"> ja </w:t>
      </w:r>
      <w:r w:rsidRPr="00FB4EFA">
        <w:rPr>
          <w:i/>
          <w:lang w:val="et-EE"/>
        </w:rPr>
        <w:t xml:space="preserve">ennast </w:t>
      </w:r>
      <w:r w:rsidRPr="00FB4EFA">
        <w:rPr>
          <w:lang w:val="et-EE"/>
        </w:rPr>
        <w:t xml:space="preserve">ning </w:t>
      </w:r>
      <w:r w:rsidRPr="00FB4EFA">
        <w:rPr>
          <w:i/>
          <w:lang w:val="et-EE"/>
        </w:rPr>
        <w:t xml:space="preserve">tundeid </w:t>
      </w:r>
      <w:r w:rsidRPr="00FB4EFA">
        <w:rPr>
          <w:lang w:val="et-EE"/>
        </w:rPr>
        <w:t xml:space="preserve">ja </w:t>
      </w:r>
      <w:r w:rsidRPr="00FB4EFA">
        <w:rPr>
          <w:i/>
          <w:lang w:val="et-EE"/>
        </w:rPr>
        <w:t>emotsioone</w:t>
      </w:r>
      <w:r w:rsidRPr="00FB4EFA">
        <w:rPr>
          <w:lang w:val="et-EE"/>
        </w:rPr>
        <w:t xml:space="preserve">; järel esines kõige rohkem verbi </w:t>
      </w:r>
      <w:r w:rsidRPr="00FB4EFA">
        <w:rPr>
          <w:i/>
          <w:lang w:val="et-EE"/>
        </w:rPr>
        <w:t xml:space="preserve">hoidma </w:t>
      </w:r>
      <w:r w:rsidRPr="00FB4EFA">
        <w:rPr>
          <w:lang w:val="et-EE"/>
        </w:rPr>
        <w:t xml:space="preserve">eri vorme, seega on korpuse näidete hulgas valdavalt väljendite </w:t>
      </w:r>
      <w:r w:rsidRPr="00FB4EFA">
        <w:rPr>
          <w:i/>
          <w:lang w:val="et-EE"/>
        </w:rPr>
        <w:t>end/ennast/tundeid</w:t>
      </w:r>
      <w:r w:rsidRPr="00FB4EFA">
        <w:rPr>
          <w:lang w:val="et-EE"/>
        </w:rPr>
        <w:t xml:space="preserve"> </w:t>
      </w:r>
      <w:r w:rsidRPr="00FB4EFA">
        <w:rPr>
          <w:i/>
          <w:lang w:val="et-EE"/>
        </w:rPr>
        <w:t xml:space="preserve">vaos hoidma </w:t>
      </w:r>
      <w:r w:rsidRPr="00FB4EFA">
        <w:rPr>
          <w:lang w:val="et-EE"/>
        </w:rPr>
        <w:t>esinemusi</w:t>
      </w:r>
      <w:r w:rsidRPr="00FB4EFA">
        <w:rPr>
          <w:i/>
          <w:lang w:val="et-EE"/>
        </w:rPr>
        <w:t xml:space="preserve">. </w:t>
      </w:r>
      <w:r w:rsidRPr="00FB4EFA">
        <w:rPr>
          <w:lang w:val="et-EE"/>
        </w:rPr>
        <w:t xml:space="preserve">Samas on ka mõnevõrra näiteid millegi muu kui emotsioonide vaos hoidmisest, näiteks hoitakse vaos </w:t>
      </w:r>
      <w:r w:rsidRPr="00FB4EFA">
        <w:rPr>
          <w:i/>
          <w:lang w:val="et-EE"/>
        </w:rPr>
        <w:t xml:space="preserve">poliitikuid </w:t>
      </w:r>
      <w:r w:rsidRPr="00FB4EFA">
        <w:rPr>
          <w:lang w:val="et-EE"/>
        </w:rPr>
        <w:t xml:space="preserve">ja </w:t>
      </w:r>
      <w:r w:rsidRPr="00FB4EFA">
        <w:rPr>
          <w:i/>
          <w:lang w:val="et-EE"/>
        </w:rPr>
        <w:t>naha seisundit</w:t>
      </w:r>
      <w:r w:rsidRPr="00FB4EFA">
        <w:rPr>
          <w:lang w:val="et-EE"/>
        </w:rPr>
        <w:t>.</w:t>
      </w:r>
      <w:r w:rsidRPr="00FB4EFA">
        <w:rPr>
          <w:i/>
          <w:lang w:val="et-EE"/>
        </w:rPr>
        <w:t xml:space="preserve"> </w:t>
      </w:r>
      <w:r w:rsidRPr="00FB4EFA">
        <w:rPr>
          <w:lang w:val="et-EE"/>
        </w:rPr>
        <w:t xml:space="preserve">Üksikuid näiteid oli siiski ka </w:t>
      </w:r>
      <w:r w:rsidRPr="00FB4EFA">
        <w:rPr>
          <w:i/>
          <w:lang w:val="et-EE"/>
        </w:rPr>
        <w:t xml:space="preserve">vao </w:t>
      </w:r>
      <w:r w:rsidRPr="00FB4EFA">
        <w:rPr>
          <w:lang w:val="et-EE"/>
        </w:rPr>
        <w:t>otseses tähenduses, sel juhul esineb ka mitmuse insessiivi vorme (</w:t>
      </w:r>
      <w:r w:rsidRPr="00FB4EFA">
        <w:rPr>
          <w:i/>
          <w:lang w:val="et-EE"/>
        </w:rPr>
        <w:t>kartul mädaneb vagudes</w:t>
      </w:r>
      <w:r w:rsidRPr="00FB4EFA">
        <w:rPr>
          <w:lang w:val="et-EE"/>
        </w:rPr>
        <w:t>).</w:t>
      </w:r>
    </w:p>
    <w:p w14:paraId="25514CF7" w14:textId="77777777" w:rsidR="00E015F4" w:rsidRPr="00FB4EFA" w:rsidRDefault="00E015F4" w:rsidP="00AF0CAD">
      <w:pPr>
        <w:ind w:firstLine="709"/>
        <w:rPr>
          <w:lang w:val="et-EE"/>
        </w:rPr>
      </w:pPr>
      <w:r w:rsidRPr="00FB4EFA">
        <w:rPr>
          <w:lang w:val="et-EE"/>
        </w:rPr>
        <w:t>Sageduselt teine kääne oli nominatiiv (2229 korda), mis esines palju ka mitmuses ja mille naabersõnad seostusid kündmise ja sügavuse</w:t>
      </w:r>
      <w:r w:rsidRPr="00FB4EFA">
        <w:rPr>
          <w:lang w:val="et-EE"/>
        </w:rPr>
        <w:lastRenderedPageBreak/>
        <w:t xml:space="preserve">ga: vormidest </w:t>
      </w:r>
      <w:r w:rsidRPr="00FB4EFA">
        <w:rPr>
          <w:i/>
          <w:lang w:val="et-EE"/>
        </w:rPr>
        <w:t xml:space="preserve">vagu </w:t>
      </w:r>
      <w:r w:rsidRPr="00FB4EFA">
        <w:rPr>
          <w:lang w:val="et-EE"/>
        </w:rPr>
        <w:t xml:space="preserve">ja </w:t>
      </w:r>
      <w:r w:rsidRPr="00FB4EFA">
        <w:rPr>
          <w:i/>
          <w:lang w:val="et-EE"/>
        </w:rPr>
        <w:t xml:space="preserve">vaod </w:t>
      </w:r>
      <w:r w:rsidRPr="00FB4EFA">
        <w:rPr>
          <w:lang w:val="et-EE"/>
        </w:rPr>
        <w:t xml:space="preserve">eespool esinesid kõige sagedamini sõnavormid </w:t>
      </w:r>
      <w:r w:rsidRPr="00FB4EFA">
        <w:rPr>
          <w:i/>
          <w:lang w:val="et-EE"/>
        </w:rPr>
        <w:t xml:space="preserve">sügavad, sügav, küntud </w:t>
      </w:r>
      <w:r w:rsidRPr="00FB4EFA">
        <w:rPr>
          <w:lang w:val="et-EE"/>
        </w:rPr>
        <w:t>ja</w:t>
      </w:r>
      <w:r w:rsidRPr="00FB4EFA">
        <w:rPr>
          <w:i/>
          <w:lang w:val="et-EE"/>
        </w:rPr>
        <w:t xml:space="preserve"> suured, </w:t>
      </w:r>
      <w:r w:rsidRPr="00FB4EFA">
        <w:rPr>
          <w:lang w:val="et-EE"/>
        </w:rPr>
        <w:t xml:space="preserve">järel </w:t>
      </w:r>
      <w:r w:rsidRPr="00FB4EFA">
        <w:rPr>
          <w:i/>
          <w:lang w:val="et-EE"/>
        </w:rPr>
        <w:t xml:space="preserve">sisse, sees, lahti </w:t>
      </w:r>
      <w:r w:rsidRPr="00FB4EFA">
        <w:rPr>
          <w:lang w:val="et-EE"/>
        </w:rPr>
        <w:t xml:space="preserve">ja </w:t>
      </w:r>
      <w:r w:rsidRPr="00FB4EFA">
        <w:rPr>
          <w:i/>
          <w:lang w:val="et-EE"/>
        </w:rPr>
        <w:t xml:space="preserve">taga. </w:t>
      </w:r>
      <w:r w:rsidRPr="00FB4EFA">
        <w:rPr>
          <w:lang w:val="et-EE"/>
        </w:rPr>
        <w:t>Seega esinevad nominatiivi vormid erinevalt inessiivi vormidest eelkõige ruumilises ja/või põllumajanduslikus tähenduses.</w:t>
      </w:r>
    </w:p>
    <w:p w14:paraId="3B0264D1" w14:textId="77777777" w:rsidR="00E015F4" w:rsidRPr="00FB4EFA" w:rsidRDefault="00E015F4" w:rsidP="00AF0CAD">
      <w:pPr>
        <w:ind w:firstLine="709"/>
        <w:rPr>
          <w:i/>
          <w:lang w:val="et-EE"/>
        </w:rPr>
      </w:pPr>
      <w:r w:rsidRPr="00FB4EFA">
        <w:rPr>
          <w:lang w:val="et-EE"/>
        </w:rPr>
        <w:t>Sageduselt järgnevad genitiivi ja partitiivi vormid (vastavalt 1863 ja 1038 korda), millega samuti sageli seostub kündmine/ajamine ja sügavus, vähemal määral pikkus. Genitiivivormide</w:t>
      </w:r>
      <w:r w:rsidRPr="00FB4EFA">
        <w:rPr>
          <w:rFonts w:asciiTheme="minorHAnsi" w:hAnsiTheme="minorHAnsi"/>
          <w:vertAlign w:val="superscript"/>
          <w:lang w:val="et-EE"/>
        </w:rPr>
        <w:footnoteReference w:id="123"/>
      </w:r>
      <w:r w:rsidRPr="00FB4EFA">
        <w:rPr>
          <w:lang w:val="et-EE"/>
        </w:rPr>
        <w:t xml:space="preserve"> </w:t>
      </w:r>
      <w:r w:rsidRPr="00FB4EFA">
        <w:rPr>
          <w:i/>
          <w:lang w:val="et-EE"/>
        </w:rPr>
        <w:t xml:space="preserve">vao </w:t>
      </w:r>
      <w:r w:rsidRPr="00FB4EFA">
        <w:rPr>
          <w:lang w:val="et-EE"/>
        </w:rPr>
        <w:t xml:space="preserve">ja </w:t>
      </w:r>
      <w:r w:rsidRPr="00FB4EFA">
        <w:rPr>
          <w:i/>
          <w:lang w:val="et-EE"/>
        </w:rPr>
        <w:t xml:space="preserve">vagude </w:t>
      </w:r>
      <w:r w:rsidRPr="00FB4EFA">
        <w:rPr>
          <w:lang w:val="et-EE"/>
        </w:rPr>
        <w:t xml:space="preserve">ees esinevad näiteks </w:t>
      </w:r>
      <w:r w:rsidRPr="00FB4EFA">
        <w:rPr>
          <w:i/>
          <w:lang w:val="et-EE"/>
        </w:rPr>
        <w:t xml:space="preserve">sügava </w:t>
      </w:r>
      <w:r w:rsidRPr="00FB4EFA">
        <w:rPr>
          <w:lang w:val="et-EE"/>
        </w:rPr>
        <w:t xml:space="preserve">ja </w:t>
      </w:r>
      <w:r w:rsidRPr="00FB4EFA">
        <w:rPr>
          <w:i/>
          <w:lang w:val="et-EE"/>
        </w:rPr>
        <w:t>pika,</w:t>
      </w:r>
      <w:r w:rsidRPr="00FB4EFA">
        <w:rPr>
          <w:lang w:val="et-EE"/>
        </w:rPr>
        <w:t xml:space="preserve"> järel esinevad tüüpiliselt ruumilise tähendusega postpositsioonid </w:t>
      </w:r>
      <w:r w:rsidRPr="00FB4EFA">
        <w:rPr>
          <w:i/>
          <w:lang w:val="et-EE"/>
        </w:rPr>
        <w:t xml:space="preserve">vahel, vahele, põhja </w:t>
      </w:r>
      <w:r w:rsidRPr="00FB4EFA">
        <w:rPr>
          <w:lang w:val="et-EE"/>
        </w:rPr>
        <w:t xml:space="preserve">ja </w:t>
      </w:r>
      <w:r w:rsidRPr="00FB4EFA">
        <w:rPr>
          <w:i/>
          <w:lang w:val="et-EE"/>
        </w:rPr>
        <w:t>sisse.</w:t>
      </w:r>
      <w:r w:rsidRPr="00FB4EFA">
        <w:rPr>
          <w:lang w:val="et-EE"/>
        </w:rPr>
        <w:t xml:space="preserve"> Materjalis torkab silma genitiivivormide vähene kasutus metafoorses tähenduses. Partitiivivormide </w:t>
      </w:r>
      <w:r w:rsidRPr="00FB4EFA">
        <w:rPr>
          <w:i/>
          <w:lang w:val="et-EE"/>
        </w:rPr>
        <w:t xml:space="preserve">vagu </w:t>
      </w:r>
      <w:r w:rsidRPr="00FB4EFA">
        <w:rPr>
          <w:lang w:val="et-EE"/>
        </w:rPr>
        <w:t xml:space="preserve">ja </w:t>
      </w:r>
      <w:r w:rsidRPr="00FB4EFA">
        <w:rPr>
          <w:i/>
          <w:lang w:val="et-EE"/>
        </w:rPr>
        <w:t>vagusid</w:t>
      </w:r>
      <w:r w:rsidRPr="00FB4EFA">
        <w:rPr>
          <w:lang w:val="et-EE"/>
        </w:rPr>
        <w:t xml:space="preserve"> ees esines tüüpiliselt </w:t>
      </w:r>
      <w:r w:rsidRPr="00FB4EFA">
        <w:rPr>
          <w:i/>
          <w:lang w:val="et-EE"/>
        </w:rPr>
        <w:t>sügavaid, sügavat, sirgeid, mööda</w:t>
      </w:r>
      <w:r w:rsidRPr="00FB4EFA">
        <w:rPr>
          <w:lang w:val="et-EE"/>
        </w:rPr>
        <w:t xml:space="preserve">, taga </w:t>
      </w:r>
      <w:r w:rsidRPr="00FB4EFA">
        <w:rPr>
          <w:i/>
          <w:lang w:val="et-EE"/>
        </w:rPr>
        <w:t xml:space="preserve">ajama, ajada, sees </w:t>
      </w:r>
      <w:r w:rsidRPr="00FB4EFA">
        <w:rPr>
          <w:lang w:val="et-EE"/>
        </w:rPr>
        <w:t xml:space="preserve">ja </w:t>
      </w:r>
      <w:r w:rsidRPr="00FB4EFA">
        <w:rPr>
          <w:i/>
          <w:lang w:val="et-EE"/>
        </w:rPr>
        <w:t>künda.</w:t>
      </w:r>
    </w:p>
    <w:p w14:paraId="65E26B88" w14:textId="77777777" w:rsidR="00E015F4" w:rsidRPr="00FB4EFA" w:rsidRDefault="00E015F4" w:rsidP="00AF0CAD">
      <w:pPr>
        <w:ind w:firstLine="709"/>
        <w:rPr>
          <w:lang w:val="et-EE"/>
        </w:rPr>
      </w:pPr>
      <w:r w:rsidRPr="00FB4EFA">
        <w:rPr>
          <w:lang w:val="et-EE"/>
        </w:rPr>
        <w:t xml:space="preserve">Oluliselt harvemini esineb illatiivi (pikka vormi 189, peaaegu ainult mitmuslikuna </w:t>
      </w:r>
      <w:r w:rsidRPr="00FB4EFA">
        <w:rPr>
          <w:i/>
          <w:lang w:val="et-EE"/>
        </w:rPr>
        <w:t>vagudesse</w:t>
      </w:r>
      <w:r w:rsidRPr="00FB4EFA">
        <w:rPr>
          <w:lang w:val="et-EE"/>
        </w:rPr>
        <w:t xml:space="preserve">, lühikest vormi </w:t>
      </w:r>
      <w:r w:rsidRPr="00FB4EFA">
        <w:rPr>
          <w:i/>
          <w:lang w:val="et-EE"/>
        </w:rPr>
        <w:t xml:space="preserve">vakku </w:t>
      </w:r>
      <w:r w:rsidRPr="00FB4EFA">
        <w:rPr>
          <w:lang w:val="et-EE"/>
        </w:rPr>
        <w:t xml:space="preserve">133 korda). Illatiivi- ja elatiivivormidega seostuvad eelkõige </w:t>
      </w:r>
      <w:r w:rsidRPr="00FB4EFA">
        <w:rPr>
          <w:i/>
          <w:lang w:val="et-EE"/>
        </w:rPr>
        <w:t>külvamine, väetis</w:t>
      </w:r>
      <w:r w:rsidRPr="00FB4EFA">
        <w:rPr>
          <w:lang w:val="et-EE"/>
        </w:rPr>
        <w:t xml:space="preserve"> ja </w:t>
      </w:r>
      <w:r w:rsidRPr="00FB4EFA">
        <w:rPr>
          <w:i/>
          <w:lang w:val="et-EE"/>
        </w:rPr>
        <w:t>kartulid</w:t>
      </w:r>
      <w:r w:rsidRPr="00FB4EFA">
        <w:rPr>
          <w:lang w:val="et-EE"/>
        </w:rPr>
        <w:t xml:space="preserve">, seega võib öelda, et sisekohakäänetes üldiselt kõneldakse vagudest eelkõige põllumajanduslikus tähenduses (v.a suur hulk eespool nimetatud tüübi </w:t>
      </w:r>
      <w:r w:rsidRPr="00FB4EFA">
        <w:rPr>
          <w:i/>
          <w:lang w:val="et-EE"/>
        </w:rPr>
        <w:t>vaos hoidma</w:t>
      </w:r>
      <w:r w:rsidRPr="00FB4EFA">
        <w:rPr>
          <w:lang w:val="et-EE"/>
        </w:rPr>
        <w:t xml:space="preserve"> väljendeid). Komitatiiv väljendab üldjuhul mingi pinna omadust ega ole nii selgelt põllumajandusliku </w:t>
      </w:r>
      <w:r w:rsidRPr="00FB4EFA">
        <w:rPr>
          <w:i/>
          <w:lang w:val="et-EE"/>
        </w:rPr>
        <w:t xml:space="preserve">vao </w:t>
      </w:r>
      <w:r w:rsidRPr="00FB4EFA">
        <w:rPr>
          <w:lang w:val="et-EE"/>
        </w:rPr>
        <w:t>tüüpiline kasutuskontekst. Muid käändevorme esines harvemini.</w:t>
      </w:r>
    </w:p>
    <w:p w14:paraId="3A4436CB" w14:textId="77777777" w:rsidR="00E015F4" w:rsidRPr="00FB4EFA" w:rsidRDefault="00E015F4" w:rsidP="00AF0CAD">
      <w:pPr>
        <w:ind w:firstLine="709"/>
        <w:rPr>
          <w:lang w:val="et-EE"/>
        </w:rPr>
      </w:pPr>
      <w:r w:rsidRPr="00FB4EFA">
        <w:rPr>
          <w:lang w:val="et-EE"/>
        </w:rPr>
        <w:t xml:space="preserve">Sõnaühend </w:t>
      </w:r>
      <w:r w:rsidRPr="00FB4EFA">
        <w:rPr>
          <w:i/>
          <w:lang w:val="et-EE"/>
        </w:rPr>
        <w:t xml:space="preserve">aja vagu </w:t>
      </w:r>
      <w:r w:rsidRPr="00FB4EFA">
        <w:rPr>
          <w:lang w:val="et-EE"/>
        </w:rPr>
        <w:t xml:space="preserve">esines korpuses ainult 8 korda, neist neljal korral oli nimetatud saatesarja </w:t>
      </w:r>
      <w:r w:rsidRPr="00FB4EFA">
        <w:rPr>
          <w:i/>
          <w:lang w:val="et-EE"/>
        </w:rPr>
        <w:t>Ajavaod¸</w:t>
      </w:r>
      <w:r w:rsidRPr="00FB4EFA">
        <w:rPr>
          <w:lang w:val="et-EE"/>
        </w:rPr>
        <w:t xml:space="preserve"> ülejäänute hulgas esinesid Joel Steinfeldi laulu sõnad (</w:t>
      </w:r>
      <w:r w:rsidRPr="00FB4EFA">
        <w:rPr>
          <w:i/>
          <w:lang w:val="et-EE"/>
        </w:rPr>
        <w:t xml:space="preserve">aeg kaob ja kaob, on pikad aja vaod; </w:t>
      </w:r>
      <w:r w:rsidRPr="00FB4EFA">
        <w:rPr>
          <w:lang w:val="et-EE"/>
        </w:rPr>
        <w:t xml:space="preserve">vt näide 12 allpool). Seega ei ole väljend eriti sage. Liitsõna </w:t>
      </w:r>
      <w:r w:rsidRPr="00FB4EFA">
        <w:rPr>
          <w:i/>
          <w:lang w:val="et-EE"/>
        </w:rPr>
        <w:t xml:space="preserve">ajavagu </w:t>
      </w:r>
      <w:r w:rsidRPr="00FB4EFA">
        <w:rPr>
          <w:lang w:val="et-EE"/>
        </w:rPr>
        <w:t xml:space="preserve">annab küll 268 juhtumit, kuid neist valdav enamus on sellesama saatesarja </w:t>
      </w:r>
      <w:r w:rsidRPr="00FB4EFA">
        <w:rPr>
          <w:i/>
          <w:lang w:val="et-EE"/>
        </w:rPr>
        <w:t>Ajavaod</w:t>
      </w:r>
      <w:r w:rsidRPr="00FB4EFA">
        <w:rPr>
          <w:lang w:val="et-EE"/>
        </w:rPr>
        <w:t xml:space="preserve"> nimetus. Leidus siiski ka mõni üksik loovam kasutus, milles </w:t>
      </w:r>
      <w:r w:rsidRPr="00FB4EFA">
        <w:rPr>
          <w:i/>
          <w:lang w:val="et-EE"/>
        </w:rPr>
        <w:t xml:space="preserve">ajavagu </w:t>
      </w:r>
      <w:r w:rsidRPr="00FB4EFA">
        <w:rPr>
          <w:lang w:val="et-EE"/>
        </w:rPr>
        <w:t>on vanusega kaasnev joon klaveris (2) või inimnäos (3).</w:t>
      </w:r>
    </w:p>
    <w:p w14:paraId="65F6E349" w14:textId="77777777" w:rsidR="00E015F4" w:rsidRPr="00FB4EFA" w:rsidRDefault="00E015F4" w:rsidP="00AF0CAD">
      <w:pPr>
        <w:spacing w:before="240" w:after="240" w:line="240" w:lineRule="auto"/>
        <w:ind w:left="567" w:hanging="567"/>
        <w:rPr>
          <w:lang w:val="et-EE"/>
        </w:rPr>
      </w:pPr>
      <w:r w:rsidRPr="00FB4EFA">
        <w:rPr>
          <w:lang w:val="et-EE"/>
        </w:rPr>
        <w:t>(2)</w:t>
      </w:r>
      <w:r w:rsidRPr="00FB4EFA">
        <w:rPr>
          <w:lang w:val="et-EE"/>
        </w:rPr>
        <w:tab/>
        <w:t>Kuna pikk eluiga on klaverile joonistanud oma </w:t>
      </w:r>
      <w:r w:rsidRPr="00FB4EFA">
        <w:rPr>
          <w:b/>
          <w:lang w:val="et-EE"/>
        </w:rPr>
        <w:t>ajavaod</w:t>
      </w:r>
      <w:r w:rsidRPr="00FB4EFA">
        <w:rPr>
          <w:lang w:val="et-EE"/>
        </w:rPr>
        <w:t>, siis vajaks ta hädasti renoveerimist, et olla ka praeguste ja tulevaste õpilaste jaoks esinduslik ja väärikas kaaslane ning kooli ajaloo kandja.</w:t>
      </w:r>
    </w:p>
    <w:p w14:paraId="4B7A43AE" w14:textId="4E459BA3" w:rsidR="00E015F4" w:rsidRPr="00FB4EFA" w:rsidRDefault="00E015F4" w:rsidP="00AF0CAD">
      <w:pPr>
        <w:spacing w:after="240" w:line="240" w:lineRule="auto"/>
        <w:ind w:left="567" w:hanging="567"/>
        <w:rPr>
          <w:lang w:val="et-EE"/>
        </w:rPr>
      </w:pPr>
      <w:r w:rsidRPr="00FB4EFA">
        <w:rPr>
          <w:lang w:val="et-EE"/>
        </w:rPr>
        <w:t>(3)</w:t>
      </w:r>
      <w:r w:rsidRPr="00FB4EFA">
        <w:rPr>
          <w:lang w:val="et-EE"/>
        </w:rPr>
        <w:tab/>
        <w:t>Tuleval aastal 80. juubeli</w:t>
      </w:r>
      <w:r w:rsidR="00AD18A4" w:rsidRPr="00FB4EFA">
        <w:rPr>
          <w:lang w:val="et-EE"/>
        </w:rPr>
        <w:t>t</w:t>
      </w:r>
      <w:r w:rsidRPr="00FB4EFA">
        <w:rPr>
          <w:lang w:val="et-EE"/>
        </w:rPr>
        <w:t xml:space="preserve"> tähistava mehe näos peaaegu polegi </w:t>
      </w:r>
      <w:r w:rsidRPr="00FB4EFA">
        <w:rPr>
          <w:b/>
          <w:lang w:val="et-EE"/>
        </w:rPr>
        <w:t>ajavagusid</w:t>
      </w:r>
      <w:r w:rsidRPr="00FB4EFA">
        <w:rPr>
          <w:lang w:val="et-EE"/>
        </w:rPr>
        <w:t>.</w:t>
      </w:r>
    </w:p>
    <w:p w14:paraId="2C835416" w14:textId="77777777" w:rsidR="00E015F4" w:rsidRPr="00FB4EFA" w:rsidRDefault="00E015F4" w:rsidP="00AC1192">
      <w:pPr>
        <w:pStyle w:val="Heading2"/>
        <w:numPr>
          <w:ilvl w:val="0"/>
          <w:numId w:val="7"/>
        </w:numPr>
        <w:suppressAutoHyphens/>
        <w:spacing w:line="259" w:lineRule="auto"/>
        <w:rPr>
          <w:color w:val="auto"/>
          <w:lang w:val="et-EE"/>
        </w:rPr>
      </w:pPr>
      <w:r w:rsidRPr="00FB4EFA">
        <w:rPr>
          <w:i/>
          <w:color w:val="auto"/>
          <w:lang w:val="et-EE"/>
        </w:rPr>
        <w:lastRenderedPageBreak/>
        <w:t xml:space="preserve">Vao </w:t>
      </w:r>
      <w:r w:rsidRPr="00FB4EFA">
        <w:rPr>
          <w:color w:val="auto"/>
          <w:lang w:val="et-EE"/>
        </w:rPr>
        <w:t>metafoorika</w:t>
      </w:r>
    </w:p>
    <w:p w14:paraId="453D9CB8" w14:textId="77777777" w:rsidR="00E015F4" w:rsidRPr="00FB4EFA" w:rsidRDefault="00E015F4" w:rsidP="00AF0CAD">
      <w:pPr>
        <w:rPr>
          <w:lang w:val="et-EE"/>
        </w:rPr>
      </w:pPr>
      <w:r w:rsidRPr="00FB4EFA">
        <w:rPr>
          <w:lang w:val="et-EE"/>
        </w:rPr>
        <w:t xml:space="preserve">Vagude saamiseks on vaja kündjat, ajavagusid teeb aeg. Lisaks tegijale ja tema tööle on ometi vaja veel sobivat pinnast, mis võimaldab lainelise pinnavormi teket. Vagusid saab ajada haritud mullaga põldu, joomi pehmesse liivasesse merepõhja. Lainelist struktuuri võimaldav „pinnas“ annab aluse ka sõnaga </w:t>
      </w:r>
      <w:r w:rsidRPr="00FB4EFA">
        <w:rPr>
          <w:i/>
          <w:lang w:val="et-EE"/>
        </w:rPr>
        <w:t xml:space="preserve">vagu </w:t>
      </w:r>
      <w:r w:rsidRPr="00FB4EFA">
        <w:rPr>
          <w:lang w:val="et-EE"/>
        </w:rPr>
        <w:t>seotud metafooride sünnile.</w:t>
      </w:r>
    </w:p>
    <w:p w14:paraId="67B218AE" w14:textId="77777777" w:rsidR="00E015F4" w:rsidRPr="00FB4EFA" w:rsidRDefault="00E015F4" w:rsidP="00AF0CAD">
      <w:pPr>
        <w:ind w:firstLine="709"/>
        <w:rPr>
          <w:lang w:val="et-EE"/>
        </w:rPr>
      </w:pPr>
      <w:r w:rsidRPr="00FB4EFA">
        <w:rPr>
          <w:lang w:val="et-EE"/>
        </w:rPr>
        <w:t xml:space="preserve">Sõnaga </w:t>
      </w:r>
      <w:r w:rsidRPr="00FB4EFA">
        <w:rPr>
          <w:i/>
          <w:lang w:val="et-EE"/>
        </w:rPr>
        <w:t xml:space="preserve">vagu </w:t>
      </w:r>
      <w:r w:rsidRPr="00FB4EFA">
        <w:rPr>
          <w:lang w:val="et-EE"/>
        </w:rPr>
        <w:t xml:space="preserve">annab EKSS ka rühma metafoorseid väljendeid: </w:t>
      </w:r>
      <w:r w:rsidRPr="00FB4EFA">
        <w:rPr>
          <w:i/>
          <w:lang w:val="et-EE"/>
        </w:rPr>
        <w:t>vaos olema, vaos hoidma, vaos pidama</w:t>
      </w:r>
      <w:r w:rsidRPr="00FB4EFA">
        <w:rPr>
          <w:lang w:val="et-EE"/>
        </w:rPr>
        <w:t xml:space="preserve">, </w:t>
      </w:r>
      <w:r w:rsidRPr="00FB4EFA">
        <w:rPr>
          <w:i/>
          <w:lang w:val="et-EE"/>
        </w:rPr>
        <w:t xml:space="preserve">vaost välja viima </w:t>
      </w:r>
      <w:r w:rsidRPr="00FB4EFA">
        <w:rPr>
          <w:lang w:val="et-EE"/>
        </w:rPr>
        <w:t>jms, mis olid väga sagedad ka korpuses. Need väljendid on seotud emotsionaalse või muu kontrolli säilitamisega. Väljendi taustal on ettekujutus mingist normist, millest kõrvalekaldumist tuleb jõudu rakendades vältida. Selle mõistemetafoori võiks sõnastada: KONTROLLI OMAMINE ON VAOS ASUMINE/LIIKUMINE. Enamasti mõeldakse sõnaraamatu näitelausetes ja ka korpuse näidetes psüühilist tasakaalu (4), kuid see võib olla ka nt millegi koguse hoidmine etteantud piirides (5).</w:t>
      </w:r>
    </w:p>
    <w:p w14:paraId="3669C33F" w14:textId="77777777" w:rsidR="00E015F4" w:rsidRPr="00FB4EFA" w:rsidRDefault="00E015F4" w:rsidP="00AF0CAD">
      <w:pPr>
        <w:spacing w:before="240" w:after="240" w:line="240" w:lineRule="auto"/>
        <w:ind w:left="567" w:hanging="567"/>
        <w:rPr>
          <w:lang w:val="et-EE"/>
        </w:rPr>
      </w:pPr>
      <w:r w:rsidRPr="00FB4EFA">
        <w:rPr>
          <w:lang w:val="et-EE"/>
        </w:rPr>
        <w:t>(4)</w:t>
      </w:r>
      <w:r w:rsidRPr="00FB4EFA">
        <w:rPr>
          <w:lang w:val="et-EE"/>
        </w:rPr>
        <w:tab/>
        <w:t xml:space="preserve">Ta on ohtlik mees, kes ei suuda </w:t>
      </w:r>
      <w:r w:rsidRPr="00FB4EFA">
        <w:rPr>
          <w:b/>
          <w:lang w:val="et-EE"/>
        </w:rPr>
        <w:t>tundeid vaos hoida</w:t>
      </w:r>
      <w:r w:rsidRPr="00FB4EFA">
        <w:rPr>
          <w:lang w:val="et-EE"/>
        </w:rPr>
        <w:t>.</w:t>
      </w:r>
    </w:p>
    <w:p w14:paraId="12742147" w14:textId="461606B9" w:rsidR="00E015F4" w:rsidRPr="00FB4EFA" w:rsidRDefault="00E015F4" w:rsidP="00AF0CAD">
      <w:pPr>
        <w:spacing w:before="240" w:after="240" w:line="240" w:lineRule="auto"/>
        <w:ind w:left="567" w:hanging="567"/>
        <w:rPr>
          <w:lang w:val="et-EE"/>
        </w:rPr>
      </w:pPr>
      <w:r w:rsidRPr="00FB4EFA">
        <w:rPr>
          <w:lang w:val="et-EE"/>
        </w:rPr>
        <w:t>(5)</w:t>
      </w:r>
      <w:r w:rsidRPr="00FB4EFA">
        <w:rPr>
          <w:lang w:val="et-EE"/>
        </w:rPr>
        <w:tab/>
        <w:t xml:space="preserve">Uurijad süstisid uurimisalustele veresuhkru kontrolli all </w:t>
      </w:r>
      <w:r w:rsidR="00DB7FA0" w:rsidRPr="00FB4EFA">
        <w:rPr>
          <w:lang w:val="et-EE"/>
        </w:rPr>
        <w:br/>
      </w:r>
      <w:r w:rsidRPr="00FB4EFA">
        <w:rPr>
          <w:lang w:val="et-EE"/>
        </w:rPr>
        <w:t xml:space="preserve">hoidmiseks insuliini ja andsid suu kaudu manustatavat ravimit ning </w:t>
      </w:r>
      <w:r w:rsidRPr="00FB4EFA">
        <w:rPr>
          <w:b/>
          <w:lang w:val="et-EE"/>
        </w:rPr>
        <w:t>vererõhu vaos hoidmiseks</w:t>
      </w:r>
      <w:r w:rsidRPr="00FB4EFA">
        <w:rPr>
          <w:lang w:val="et-EE"/>
        </w:rPr>
        <w:t xml:space="preserve"> südameravimit.</w:t>
      </w:r>
    </w:p>
    <w:p w14:paraId="0C2D6F06" w14:textId="77777777" w:rsidR="00E015F4" w:rsidRPr="00FB4EFA" w:rsidRDefault="00E015F4" w:rsidP="00AF0CAD">
      <w:pPr>
        <w:rPr>
          <w:lang w:val="et-EE"/>
        </w:rPr>
      </w:pPr>
      <w:r w:rsidRPr="00FB4EFA">
        <w:rPr>
          <w:i/>
          <w:lang w:val="et-EE"/>
        </w:rPr>
        <w:t>Vagu</w:t>
      </w:r>
      <w:r w:rsidRPr="00FB4EFA">
        <w:rPr>
          <w:lang w:val="et-EE"/>
        </w:rPr>
        <w:t xml:space="preserve"> on seega midagi positiivset ja stabiilset, millest väljumine head ei too. Küllap on selle taga ikka põllumajandusliku </w:t>
      </w:r>
      <w:r w:rsidRPr="00FB4EFA">
        <w:rPr>
          <w:i/>
          <w:lang w:val="et-EE"/>
        </w:rPr>
        <w:t xml:space="preserve">vao </w:t>
      </w:r>
      <w:r w:rsidRPr="00FB4EFA">
        <w:rPr>
          <w:lang w:val="et-EE"/>
        </w:rPr>
        <w:t xml:space="preserve">mõiste: mis on </w:t>
      </w:r>
      <w:r w:rsidRPr="00FB4EFA">
        <w:rPr>
          <w:i/>
          <w:lang w:val="et-EE"/>
        </w:rPr>
        <w:t>vaos,</w:t>
      </w:r>
      <w:r w:rsidRPr="00FB4EFA">
        <w:rPr>
          <w:lang w:val="et-EE"/>
        </w:rPr>
        <w:t xml:space="preserve"> see kasvab ja edeneb, mis </w:t>
      </w:r>
      <w:r w:rsidRPr="00FB4EFA">
        <w:rPr>
          <w:i/>
          <w:lang w:val="et-EE"/>
        </w:rPr>
        <w:t xml:space="preserve">vaost </w:t>
      </w:r>
      <w:r w:rsidRPr="00FB4EFA">
        <w:rPr>
          <w:lang w:val="et-EE"/>
        </w:rPr>
        <w:t>väljas, see hukkub või vähemalt ei kasva nii hästi. Samuti võib mõistemetafoori motiveerida ka ettekujutus vaos kõndimisest: et vaos püsida, tuleb hoida tasakaalu, mis omakorda metafoorselt tähendab tunnete kontrolli all hoidmist.</w:t>
      </w:r>
    </w:p>
    <w:p w14:paraId="4608DE92" w14:textId="132D7322" w:rsidR="00E015F4" w:rsidRPr="00FB4EFA" w:rsidRDefault="00E015F4" w:rsidP="00AF0CAD">
      <w:pPr>
        <w:ind w:firstLine="709"/>
        <w:rPr>
          <w:lang w:val="et-EE"/>
        </w:rPr>
      </w:pPr>
      <w:r w:rsidRPr="00FB4EFA">
        <w:rPr>
          <w:lang w:val="et-EE"/>
        </w:rPr>
        <w:t xml:space="preserve">Eesti kõnekäändude ja fraseologismide andmebaasis JUSTKUI leidub sõnaga </w:t>
      </w:r>
      <w:r w:rsidRPr="00FB4EFA">
        <w:rPr>
          <w:i/>
          <w:lang w:val="et-EE"/>
        </w:rPr>
        <w:t xml:space="preserve">vagu </w:t>
      </w:r>
      <w:r w:rsidRPr="00FB4EFA">
        <w:rPr>
          <w:lang w:val="et-EE"/>
        </w:rPr>
        <w:t>üks rühm fraseologisme tüübinimega (</w:t>
      </w:r>
      <w:r w:rsidRPr="00FB4EFA">
        <w:rPr>
          <w:i/>
          <w:lang w:val="et-EE"/>
        </w:rPr>
        <w:t xml:space="preserve">nii et) vagu taga. </w:t>
      </w:r>
      <w:r w:rsidRPr="00FB4EFA">
        <w:rPr>
          <w:lang w:val="et-EE"/>
        </w:rPr>
        <w:t xml:space="preserve">Selle tüübi väljendeid on kasutatud eelkõige millegi kuuma või teravamaitselise alla neelamise kohta, väljendamaks subjektiivset </w:t>
      </w:r>
      <w:r w:rsidR="004806F8" w:rsidRPr="00FB4EFA">
        <w:rPr>
          <w:lang w:val="et-EE"/>
        </w:rPr>
        <w:br/>
      </w:r>
      <w:r w:rsidRPr="00FB4EFA">
        <w:rPr>
          <w:lang w:val="et-EE"/>
        </w:rPr>
        <w:t xml:space="preserve">(valu)aistingut (6). Metafooriline ülekanne on siin ilmselt toimunud selle alusel, et ka põletus võib tekitada vao, kui see on põhjustatud pikisuunas liikuva kuuma vedeliku poolt. Sama väljendit </w:t>
      </w:r>
      <w:r w:rsidRPr="00FB4EFA">
        <w:rPr>
          <w:i/>
          <w:lang w:val="et-EE"/>
        </w:rPr>
        <w:t xml:space="preserve">nii et vagu taga </w:t>
      </w:r>
      <w:r w:rsidRPr="00FB4EFA">
        <w:rPr>
          <w:lang w:val="et-EE"/>
        </w:rPr>
        <w:t xml:space="preserve">on kasutatud ka näiteks vankri kiire liikumise kohta (7) või ka tegusa inimese </w:t>
      </w:r>
      <w:r w:rsidR="004806F8" w:rsidRPr="00FB4EFA">
        <w:rPr>
          <w:lang w:val="et-EE"/>
        </w:rPr>
        <w:br/>
      </w:r>
      <w:r w:rsidRPr="00FB4EFA">
        <w:rPr>
          <w:lang w:val="et-EE"/>
        </w:rPr>
        <w:lastRenderedPageBreak/>
        <w:t xml:space="preserve">kohta (8), kus </w:t>
      </w:r>
      <w:r w:rsidRPr="00FB4EFA">
        <w:rPr>
          <w:i/>
          <w:lang w:val="et-EE"/>
        </w:rPr>
        <w:t xml:space="preserve">vagu </w:t>
      </w:r>
      <w:r w:rsidRPr="00FB4EFA">
        <w:rPr>
          <w:lang w:val="et-EE"/>
        </w:rPr>
        <w:t xml:space="preserve">näitab ilmselt liikumise või tegutsemise resultatiivsust. </w:t>
      </w:r>
      <w:r w:rsidRPr="00FB4EFA">
        <w:rPr>
          <w:i/>
          <w:lang w:val="et-EE"/>
        </w:rPr>
        <w:t xml:space="preserve">Kartulivagu ajama </w:t>
      </w:r>
      <w:r w:rsidRPr="00FB4EFA">
        <w:rPr>
          <w:lang w:val="et-EE"/>
        </w:rPr>
        <w:t>on andmebaasi JUSTKUI andmetel olnud kasutusel ka seksuaalsuhte tähenduses.</w:t>
      </w:r>
    </w:p>
    <w:p w14:paraId="5D4F5304" w14:textId="387CDD66" w:rsidR="00E015F4" w:rsidRPr="00FB4EFA" w:rsidRDefault="00E015F4" w:rsidP="00AF0CAD">
      <w:pPr>
        <w:spacing w:before="240" w:after="240" w:line="240" w:lineRule="auto"/>
        <w:ind w:left="567" w:hanging="567"/>
        <w:rPr>
          <w:lang w:val="et-EE"/>
        </w:rPr>
      </w:pPr>
      <w:r w:rsidRPr="00FB4EFA">
        <w:rPr>
          <w:lang w:val="et-EE"/>
        </w:rPr>
        <w:t>(6)</w:t>
      </w:r>
      <w:r w:rsidRPr="00FB4EFA">
        <w:rPr>
          <w:lang w:val="et-EE"/>
        </w:rPr>
        <w:tab/>
        <w:t xml:space="preserve">Kui mõni tulist toitu alla neelab: </w:t>
      </w:r>
      <w:r w:rsidR="00D7279E" w:rsidRPr="00FB4EFA">
        <w:rPr>
          <w:lang w:val="et-EE"/>
        </w:rPr>
        <w:t>„</w:t>
      </w:r>
      <w:r w:rsidRPr="00FB4EFA">
        <w:rPr>
          <w:lang w:val="et-EE"/>
        </w:rPr>
        <w:t xml:space="preserve">Läheb alla nii, </w:t>
      </w:r>
      <w:r w:rsidRPr="00FB4EFA">
        <w:rPr>
          <w:b/>
          <w:lang w:val="et-EE"/>
        </w:rPr>
        <w:t>et vagu taga</w:t>
      </w:r>
      <w:r w:rsidRPr="00FB4EFA">
        <w:rPr>
          <w:lang w:val="et-EE"/>
        </w:rPr>
        <w:t>.</w:t>
      </w:r>
      <w:r w:rsidR="00D7279E" w:rsidRPr="00FB4EFA">
        <w:rPr>
          <w:lang w:val="et-EE"/>
        </w:rPr>
        <w:t>“</w:t>
      </w:r>
    </w:p>
    <w:p w14:paraId="4730A156" w14:textId="77777777" w:rsidR="00E015F4" w:rsidRPr="00FB4EFA" w:rsidRDefault="00E015F4" w:rsidP="00AF0CAD">
      <w:pPr>
        <w:spacing w:before="240" w:after="240" w:line="240" w:lineRule="auto"/>
        <w:ind w:left="567" w:hanging="567"/>
        <w:rPr>
          <w:lang w:val="et-EE"/>
        </w:rPr>
      </w:pPr>
      <w:r w:rsidRPr="00FB4EFA">
        <w:rPr>
          <w:lang w:val="et-EE"/>
        </w:rPr>
        <w:t>(7)</w:t>
      </w:r>
      <w:r w:rsidRPr="00FB4EFA">
        <w:rPr>
          <w:lang w:val="et-EE"/>
        </w:rPr>
        <w:tab/>
        <w:t xml:space="preserve">Läheb igavese kiiruga, suure hooga lükkab teised eest kõrva, nii </w:t>
      </w:r>
      <w:r w:rsidRPr="00FB4EFA">
        <w:rPr>
          <w:b/>
          <w:lang w:val="et-EE"/>
        </w:rPr>
        <w:t>et vagu taga.</w:t>
      </w:r>
    </w:p>
    <w:p w14:paraId="2FAA34C3" w14:textId="1B0BD247" w:rsidR="00E015F4" w:rsidRPr="00FB4EFA" w:rsidRDefault="00E015F4" w:rsidP="00AF0CAD">
      <w:pPr>
        <w:spacing w:before="240" w:after="240" w:line="240" w:lineRule="auto"/>
        <w:ind w:left="567" w:hanging="567"/>
        <w:rPr>
          <w:lang w:val="et-EE"/>
        </w:rPr>
      </w:pPr>
      <w:r w:rsidRPr="00FB4EFA">
        <w:rPr>
          <w:lang w:val="et-EE"/>
        </w:rPr>
        <w:t>(8)</w:t>
      </w:r>
      <w:r w:rsidRPr="00FB4EFA">
        <w:rPr>
          <w:lang w:val="et-EE"/>
        </w:rPr>
        <w:tab/>
        <w:t xml:space="preserve">Magu ees ja </w:t>
      </w:r>
      <w:r w:rsidRPr="00FB4EFA">
        <w:rPr>
          <w:b/>
          <w:lang w:val="et-EE"/>
        </w:rPr>
        <w:t>vagu taga</w:t>
      </w:r>
      <w:r w:rsidRPr="00FB4EFA">
        <w:rPr>
          <w:lang w:val="et-EE"/>
        </w:rPr>
        <w:t xml:space="preserve"> </w:t>
      </w:r>
      <w:r w:rsidR="00466236" w:rsidRPr="00FB4EFA">
        <w:rPr>
          <w:lang w:val="en-GB"/>
        </w:rPr>
        <w:t>–</w:t>
      </w:r>
      <w:r w:rsidRPr="00FB4EFA">
        <w:rPr>
          <w:lang w:val="et-EE"/>
        </w:rPr>
        <w:t xml:space="preserve"> öeldakse uhke inimese kohta.</w:t>
      </w:r>
    </w:p>
    <w:p w14:paraId="2FB6F27C" w14:textId="77777777" w:rsidR="00E015F4" w:rsidRPr="00FB4EFA" w:rsidRDefault="00E015F4" w:rsidP="00AF0CAD">
      <w:pPr>
        <w:rPr>
          <w:i/>
          <w:lang w:val="et-EE"/>
        </w:rPr>
      </w:pPr>
      <w:r w:rsidRPr="00FB4EFA">
        <w:rPr>
          <w:lang w:val="et-EE"/>
        </w:rPr>
        <w:t xml:space="preserve">Vagude kündmine või ajamine näib eesti keeles ja meeles olevat prototüüpne resultatiivse, kuid raske töö esindaja: TÖÖTAMINE ON KÜNDMINE; TÖÖVALDKOND ON PÕLD. Korpuses leidus hulganisti näiteid, kus </w:t>
      </w:r>
      <w:r w:rsidRPr="00FB4EFA">
        <w:rPr>
          <w:i/>
          <w:lang w:val="et-EE"/>
        </w:rPr>
        <w:t xml:space="preserve">vagude kündmine </w:t>
      </w:r>
      <w:r w:rsidRPr="00FB4EFA">
        <w:rPr>
          <w:lang w:val="et-EE"/>
        </w:rPr>
        <w:t xml:space="preserve">või </w:t>
      </w:r>
      <w:r w:rsidRPr="00FB4EFA">
        <w:rPr>
          <w:i/>
          <w:lang w:val="et-EE"/>
        </w:rPr>
        <w:t xml:space="preserve">ajamine </w:t>
      </w:r>
      <w:r w:rsidRPr="00FB4EFA">
        <w:rPr>
          <w:lang w:val="et-EE"/>
        </w:rPr>
        <w:t xml:space="preserve">tähendas tööd mingis valdkonnas, mida mõnikord ka nimetatakse otsesõnu </w:t>
      </w:r>
      <w:r w:rsidRPr="00FB4EFA">
        <w:rPr>
          <w:i/>
          <w:lang w:val="et-EE"/>
        </w:rPr>
        <w:t xml:space="preserve">põlluks </w:t>
      </w:r>
      <w:r w:rsidRPr="00FB4EFA">
        <w:rPr>
          <w:lang w:val="et-EE"/>
        </w:rPr>
        <w:t>(9)</w:t>
      </w:r>
      <w:r w:rsidRPr="00FB4EFA">
        <w:rPr>
          <w:i/>
          <w:lang w:val="et-EE"/>
        </w:rPr>
        <w:t>.</w:t>
      </w:r>
    </w:p>
    <w:p w14:paraId="18814A21" w14:textId="18EE4624" w:rsidR="00E015F4" w:rsidRPr="00FB4EFA" w:rsidRDefault="00E015F4" w:rsidP="00AF0CAD">
      <w:pPr>
        <w:spacing w:before="240" w:after="240" w:line="240" w:lineRule="auto"/>
        <w:ind w:left="567" w:hanging="567"/>
        <w:rPr>
          <w:lang w:val="et-EE"/>
        </w:rPr>
      </w:pPr>
      <w:r w:rsidRPr="00FB4EFA">
        <w:rPr>
          <w:lang w:val="et-EE"/>
        </w:rPr>
        <w:t>(9)</w:t>
      </w:r>
      <w:r w:rsidRPr="00FB4EFA">
        <w:rPr>
          <w:lang w:val="et-EE"/>
        </w:rPr>
        <w:tab/>
        <w:t xml:space="preserve">Ajakirjanikuna on ta Eesti tipptase n-ö kõrgema pilotaaži alal: </w:t>
      </w:r>
      <w:r w:rsidR="004806F8" w:rsidRPr="00FB4EFA">
        <w:rPr>
          <w:lang w:val="et-EE"/>
        </w:rPr>
        <w:br/>
      </w:r>
      <w:r w:rsidRPr="00FB4EFA">
        <w:rPr>
          <w:lang w:val="et-EE"/>
        </w:rPr>
        <w:t>välis- ja siseelu kommenteerijana. </w:t>
      </w:r>
      <w:r w:rsidRPr="00FB4EFA">
        <w:rPr>
          <w:b/>
          <w:lang w:val="et-EE"/>
        </w:rPr>
        <w:t>Sel põllul</w:t>
      </w:r>
      <w:r w:rsidRPr="00FB4EFA">
        <w:rPr>
          <w:lang w:val="et-EE"/>
        </w:rPr>
        <w:t xml:space="preserve"> pole ühelgi kündjal </w:t>
      </w:r>
      <w:r w:rsidRPr="00FB4EFA">
        <w:rPr>
          <w:b/>
          <w:lang w:val="et-EE"/>
        </w:rPr>
        <w:t>nii pikka ja sirgelt aetud vagu</w:t>
      </w:r>
      <w:r w:rsidRPr="00FB4EFA">
        <w:rPr>
          <w:lang w:val="et-EE"/>
        </w:rPr>
        <w:t> ette näidata.</w:t>
      </w:r>
    </w:p>
    <w:p w14:paraId="3305879D" w14:textId="77777777" w:rsidR="00E015F4" w:rsidRPr="00FB4EFA" w:rsidRDefault="00E015F4" w:rsidP="00AF0CAD">
      <w:pPr>
        <w:rPr>
          <w:lang w:val="et-EE"/>
        </w:rPr>
      </w:pPr>
      <w:r w:rsidRPr="00FB4EFA">
        <w:rPr>
          <w:lang w:val="et-EE"/>
        </w:rPr>
        <w:t xml:space="preserve">Tihti on </w:t>
      </w:r>
      <w:r w:rsidRPr="00FB4EFA">
        <w:rPr>
          <w:i/>
          <w:lang w:val="et-EE"/>
        </w:rPr>
        <w:t>vagude ajamise</w:t>
      </w:r>
      <w:r w:rsidRPr="00FB4EFA">
        <w:rPr>
          <w:lang w:val="et-EE"/>
        </w:rPr>
        <w:t xml:space="preserve"> puhul tegemist treenimise ja saavutustega spordivaldkonnas (10).</w:t>
      </w:r>
    </w:p>
    <w:p w14:paraId="763071A4" w14:textId="77777777" w:rsidR="00E015F4" w:rsidRPr="00FB4EFA" w:rsidRDefault="00E015F4" w:rsidP="00AF0CAD">
      <w:pPr>
        <w:spacing w:before="240" w:after="240" w:line="240" w:lineRule="auto"/>
        <w:ind w:left="567" w:hanging="567"/>
        <w:rPr>
          <w:lang w:val="et-EE"/>
        </w:rPr>
      </w:pPr>
      <w:r w:rsidRPr="00FB4EFA">
        <w:rPr>
          <w:lang w:val="et-EE"/>
        </w:rPr>
        <w:t>(10)</w:t>
      </w:r>
      <w:r w:rsidRPr="00FB4EFA">
        <w:rPr>
          <w:lang w:val="et-EE"/>
        </w:rPr>
        <w:tab/>
        <w:t xml:space="preserve">Olle pole lasknud end heidutada ebaõnnest, vaid on maamehe kombel </w:t>
      </w:r>
      <w:r w:rsidRPr="00FB4EFA">
        <w:rPr>
          <w:b/>
          <w:lang w:val="et-EE"/>
        </w:rPr>
        <w:t>ajanud oma vag</w:t>
      </w:r>
      <w:r w:rsidRPr="00FB4EFA">
        <w:rPr>
          <w:b/>
          <w:bCs/>
          <w:lang w:val="et-EE"/>
        </w:rPr>
        <w:t>u</w:t>
      </w:r>
      <w:r w:rsidRPr="00FB4EFA">
        <w:rPr>
          <w:lang w:val="et-EE"/>
        </w:rPr>
        <w:t>.</w:t>
      </w:r>
    </w:p>
    <w:p w14:paraId="3B849817" w14:textId="77777777" w:rsidR="00E015F4" w:rsidRPr="00FB4EFA" w:rsidRDefault="00E015F4" w:rsidP="00AF0CAD">
      <w:pPr>
        <w:rPr>
          <w:sz w:val="20"/>
          <w:szCs w:val="20"/>
          <w:lang w:val="et-EE"/>
        </w:rPr>
      </w:pPr>
      <w:r w:rsidRPr="00FB4EFA">
        <w:rPr>
          <w:lang w:val="et-EE"/>
        </w:rPr>
        <w:t xml:space="preserve">Leidub ka metafoorseid laiendusi, kus sama allikvaldkond (põllu kündmine) on üle kantud pisut teisiti, näiteks on abistavat varasemat tööd nimetatud </w:t>
      </w:r>
      <w:r w:rsidRPr="00FB4EFA">
        <w:rPr>
          <w:i/>
          <w:lang w:val="et-EE"/>
        </w:rPr>
        <w:t xml:space="preserve">vagude ette ajamiseks </w:t>
      </w:r>
      <w:r w:rsidRPr="00FB4EFA">
        <w:rPr>
          <w:lang w:val="et-EE"/>
        </w:rPr>
        <w:t>(11).</w:t>
      </w:r>
    </w:p>
    <w:p w14:paraId="68CB7967" w14:textId="072F0D9F" w:rsidR="00E015F4" w:rsidRPr="00FB4EFA" w:rsidRDefault="00E015F4" w:rsidP="00AF0CAD">
      <w:pPr>
        <w:spacing w:before="240" w:after="240" w:line="240" w:lineRule="auto"/>
        <w:ind w:left="567" w:hanging="567"/>
        <w:rPr>
          <w:rFonts w:asciiTheme="minorHAnsi" w:hAnsiTheme="minorHAnsi"/>
          <w:i/>
          <w:lang w:val="et-EE"/>
        </w:rPr>
      </w:pPr>
      <w:r w:rsidRPr="00FB4EFA">
        <w:rPr>
          <w:lang w:val="et-EE"/>
        </w:rPr>
        <w:t>(11)</w:t>
      </w:r>
      <w:r w:rsidRPr="00FB4EFA">
        <w:rPr>
          <w:lang w:val="et-EE"/>
        </w:rPr>
        <w:tab/>
        <w:t xml:space="preserve">Kuid möödus veel mitu väärtuslikku aastat pärast okupatsiooni lõppu, enne kui avanes võimalus ammukavatsetud töö juurde asuda. </w:t>
      </w:r>
      <w:r w:rsidRPr="00FB4EFA">
        <w:rPr>
          <w:b/>
          <w:lang w:val="et-EE"/>
        </w:rPr>
        <w:t>Paar vagu on autorile ette ajanud</w:t>
      </w:r>
      <w:r w:rsidRPr="00FB4EFA">
        <w:rPr>
          <w:lang w:val="et-EE"/>
        </w:rPr>
        <w:t xml:space="preserve"> ka Tartu kunstimuuseumi 1991. aasta näitus </w:t>
      </w:r>
      <w:r w:rsidR="00D7279E" w:rsidRPr="00FB4EFA">
        <w:rPr>
          <w:lang w:val="et-EE"/>
        </w:rPr>
        <w:t>„</w:t>
      </w:r>
      <w:r w:rsidRPr="00FB4EFA">
        <w:rPr>
          <w:lang w:val="et-EE"/>
        </w:rPr>
        <w:t>Mida on sõjale kunstil öelda</w:t>
      </w:r>
      <w:r w:rsidR="00D7279E" w:rsidRPr="00FB4EFA">
        <w:rPr>
          <w:lang w:val="et-EE"/>
        </w:rPr>
        <w:t>“</w:t>
      </w:r>
      <w:r w:rsidRPr="00FB4EFA">
        <w:rPr>
          <w:lang w:val="et-EE"/>
        </w:rPr>
        <w:t>.</w:t>
      </w:r>
    </w:p>
    <w:p w14:paraId="60FD5675" w14:textId="77777777" w:rsidR="00E015F4" w:rsidRPr="00FB4EFA" w:rsidRDefault="00E015F4" w:rsidP="00AC1192">
      <w:pPr>
        <w:pStyle w:val="Heading2"/>
        <w:numPr>
          <w:ilvl w:val="0"/>
          <w:numId w:val="7"/>
        </w:numPr>
        <w:suppressAutoHyphens/>
        <w:spacing w:line="259" w:lineRule="auto"/>
        <w:rPr>
          <w:color w:val="auto"/>
          <w:lang w:val="et-EE"/>
        </w:rPr>
      </w:pPr>
      <w:r w:rsidRPr="00FB4EFA">
        <w:rPr>
          <w:i/>
          <w:color w:val="auto"/>
          <w:lang w:val="et-EE"/>
        </w:rPr>
        <w:t>Ajavagu</w:t>
      </w:r>
      <w:r w:rsidRPr="00FB4EFA">
        <w:rPr>
          <w:color w:val="auto"/>
          <w:lang w:val="et-EE"/>
        </w:rPr>
        <w:t>: aeg ja töö koos</w:t>
      </w:r>
    </w:p>
    <w:p w14:paraId="71EAB1E0" w14:textId="63C14258" w:rsidR="00E015F4" w:rsidRPr="00FB4EFA" w:rsidRDefault="00E015F4" w:rsidP="00AF0CAD">
      <w:pPr>
        <w:rPr>
          <w:lang w:val="et-EE"/>
        </w:rPr>
      </w:pPr>
      <w:r w:rsidRPr="00FB4EFA">
        <w:rPr>
          <w:lang w:val="et-EE"/>
        </w:rPr>
        <w:t xml:space="preserve">Olulist </w:t>
      </w:r>
      <w:r w:rsidRPr="00FB4EFA">
        <w:rPr>
          <w:i/>
          <w:lang w:val="et-EE"/>
        </w:rPr>
        <w:t>vao-</w:t>
      </w:r>
      <w:r w:rsidRPr="00FB4EFA">
        <w:rPr>
          <w:lang w:val="et-EE"/>
        </w:rPr>
        <w:t xml:space="preserve">metafoori kannab endas ka liitsõna </w:t>
      </w:r>
      <w:r w:rsidRPr="00FB4EFA">
        <w:rPr>
          <w:i/>
          <w:lang w:val="et-EE"/>
        </w:rPr>
        <w:t xml:space="preserve">ajavagu </w:t>
      </w:r>
      <w:r w:rsidRPr="00FB4EFA">
        <w:rPr>
          <w:lang w:val="et-EE"/>
        </w:rPr>
        <w:t xml:space="preserve">(või ka sõnaühend </w:t>
      </w:r>
      <w:r w:rsidRPr="00FB4EFA">
        <w:rPr>
          <w:i/>
          <w:lang w:val="et-EE"/>
        </w:rPr>
        <w:t>aja vagu</w:t>
      </w:r>
      <w:r w:rsidRPr="00FB4EFA">
        <w:rPr>
          <w:lang w:val="et-EE"/>
        </w:rPr>
        <w:t xml:space="preserve">), mis seostub laiemalt aja käsitlusega keeles. See esineb </w:t>
      </w:r>
      <w:r w:rsidRPr="00FB4EFA">
        <w:rPr>
          <w:lang w:val="et-EE"/>
        </w:rPr>
        <w:lastRenderedPageBreak/>
        <w:t xml:space="preserve">mitmuslikuna vormis </w:t>
      </w:r>
      <w:r w:rsidRPr="00FB4EFA">
        <w:rPr>
          <w:i/>
          <w:lang w:val="et-EE"/>
        </w:rPr>
        <w:t xml:space="preserve">ajavaod </w:t>
      </w:r>
      <w:r w:rsidRPr="00FB4EFA">
        <w:rPr>
          <w:lang w:val="et-EE"/>
        </w:rPr>
        <w:t xml:space="preserve">näiteks Eesti Rahvusringhäälingu saate pealkirjana (saatesari </w:t>
      </w:r>
      <w:r w:rsidRPr="00FB4EFA">
        <w:rPr>
          <w:i/>
          <w:lang w:val="et-EE"/>
        </w:rPr>
        <w:t xml:space="preserve">Ajavaod </w:t>
      </w:r>
      <w:r w:rsidRPr="00FB4EFA">
        <w:rPr>
          <w:lang w:val="et-EE"/>
        </w:rPr>
        <w:t>201</w:t>
      </w:r>
      <w:r w:rsidR="00C65823" w:rsidRPr="00FB4EFA">
        <w:rPr>
          <w:lang w:val="et-EE"/>
        </w:rPr>
        <w:t>0–2</w:t>
      </w:r>
      <w:r w:rsidRPr="00FB4EFA">
        <w:rPr>
          <w:lang w:val="et-EE"/>
        </w:rPr>
        <w:t xml:space="preserve">013) ja ka raamatu pealkirjas (Jaak Valdre raamat </w:t>
      </w:r>
      <w:r w:rsidRPr="00FB4EFA">
        <w:rPr>
          <w:i/>
          <w:lang w:val="et-EE"/>
        </w:rPr>
        <w:t xml:space="preserve">Eesti tõstespordi ajavaod, </w:t>
      </w:r>
      <w:r w:rsidRPr="00FB4EFA">
        <w:rPr>
          <w:lang w:val="et-EE"/>
        </w:rPr>
        <w:t>2017). Väljend näib olevat üsna uus, võimalik, et selle levikut on soosinud Joel Steinfeldti 1970. aastatel kuulsaks lauldud laulu sõnad (12).</w:t>
      </w:r>
    </w:p>
    <w:p w14:paraId="53B6C361" w14:textId="77777777" w:rsidR="00E015F4" w:rsidRPr="00FB4EFA" w:rsidRDefault="00E015F4" w:rsidP="00B60CB1">
      <w:pPr>
        <w:spacing w:before="240" w:line="240" w:lineRule="auto"/>
        <w:ind w:left="567" w:hanging="567"/>
        <w:jc w:val="left"/>
        <w:rPr>
          <w:rFonts w:cs="Charis SIL"/>
          <w:lang w:val="et-EE"/>
        </w:rPr>
      </w:pPr>
      <w:r w:rsidRPr="00FB4EFA">
        <w:rPr>
          <w:rFonts w:cs="Charis SIL"/>
          <w:lang w:val="et-EE"/>
        </w:rPr>
        <w:t>(12)</w:t>
      </w:r>
      <w:r w:rsidRPr="00FB4EFA">
        <w:rPr>
          <w:rFonts w:cs="Charis SIL"/>
          <w:lang w:val="et-EE"/>
        </w:rPr>
        <w:tab/>
        <w:t>Aeg kaob ja kaob, / on pikad aja vaod –</w:t>
      </w:r>
    </w:p>
    <w:p w14:paraId="25723462" w14:textId="461E825E" w:rsidR="00E015F4" w:rsidRPr="00FB4EFA" w:rsidRDefault="00E015F4" w:rsidP="00AF0CAD">
      <w:pPr>
        <w:spacing w:after="240" w:line="240" w:lineRule="auto"/>
        <w:ind w:left="567"/>
        <w:jc w:val="left"/>
        <w:rPr>
          <w:rFonts w:cs="Charis SIL"/>
          <w:shd w:val="clear" w:color="auto" w:fill="FFFFFF"/>
          <w:lang w:val="et-EE"/>
        </w:rPr>
      </w:pPr>
      <w:r w:rsidRPr="00FB4EFA">
        <w:rPr>
          <w:rFonts w:cs="Charis SIL"/>
          <w:lang w:val="et-EE"/>
        </w:rPr>
        <w:t>mil ükskord vagu valmis saab, / et sinna külvata,</w:t>
      </w:r>
      <w:r w:rsidRPr="00FB4EFA">
        <w:rPr>
          <w:rFonts w:cs="Charis SIL"/>
          <w:lang w:val="et-EE"/>
        </w:rPr>
        <w:br/>
        <w:t xml:space="preserve">aeg kaob ja kaob, / on pikad </w:t>
      </w:r>
      <w:r w:rsidRPr="00FB4EFA">
        <w:rPr>
          <w:rFonts w:cs="Charis SIL"/>
          <w:b/>
          <w:lang w:val="et-EE"/>
        </w:rPr>
        <w:t>aja vaod</w:t>
      </w:r>
      <w:r w:rsidRPr="00FB4EFA">
        <w:rPr>
          <w:rFonts w:cs="Charis SIL"/>
          <w:lang w:val="et-EE"/>
        </w:rPr>
        <w:t xml:space="preserve">. </w:t>
      </w:r>
      <w:r w:rsidRPr="00FB4EFA">
        <w:rPr>
          <w:rFonts w:cs="Charis SIL"/>
          <w:lang w:val="et-EE"/>
        </w:rPr>
        <w:br/>
      </w:r>
      <w:r w:rsidRPr="00FB4EFA">
        <w:rPr>
          <w:rFonts w:cs="Charis SIL"/>
          <w:shd w:val="clear" w:color="auto" w:fill="FFFFFF"/>
          <w:lang w:val="et-EE"/>
        </w:rPr>
        <w:t>(</w:t>
      </w:r>
      <w:hyperlink r:id="rId361" w:history="1">
        <w:r w:rsidRPr="00FB4EFA">
          <w:rPr>
            <w:rFonts w:cs="Charis SIL"/>
            <w:u w:val="single"/>
            <w:shd w:val="clear" w:color="auto" w:fill="FFFFFF"/>
            <w:lang w:val="et-EE"/>
          </w:rPr>
          <w:t>sasslantis.ee/lyrics-joel_steinfeld-aeg_kaob_ja_kaob</w:t>
        </w:r>
      </w:hyperlink>
      <w:r w:rsidRPr="00FB4EFA">
        <w:rPr>
          <w:rFonts w:cs="Charis SIL"/>
          <w:shd w:val="clear" w:color="auto" w:fill="FFFFFF"/>
          <w:lang w:val="et-EE"/>
        </w:rPr>
        <w:t>)</w:t>
      </w:r>
    </w:p>
    <w:p w14:paraId="29506CC5" w14:textId="77777777" w:rsidR="00E015F4" w:rsidRPr="00FB4EFA" w:rsidRDefault="00E015F4" w:rsidP="00AF0CAD">
      <w:pPr>
        <w:rPr>
          <w:rFonts w:cs="Charis SIL"/>
          <w:lang w:val="et-EE"/>
        </w:rPr>
      </w:pPr>
      <w:r w:rsidRPr="00FB4EFA">
        <w:rPr>
          <w:rFonts w:cs="Charis SIL"/>
          <w:lang w:val="et-EE"/>
        </w:rPr>
        <w:t xml:space="preserve">Sarnast kasutust on näha ka mõnes (tõenäoliselt hilisemas) juhuluuletuses (13). Sellisena on </w:t>
      </w:r>
      <w:r w:rsidRPr="00FB4EFA">
        <w:rPr>
          <w:rFonts w:cs="Charis SIL"/>
          <w:i/>
          <w:lang w:val="et-EE"/>
        </w:rPr>
        <w:t xml:space="preserve">ajavaod </w:t>
      </w:r>
      <w:r w:rsidRPr="00FB4EFA">
        <w:rPr>
          <w:rFonts w:cs="Charis SIL"/>
          <w:lang w:val="et-EE"/>
        </w:rPr>
        <w:t>tsitaatsõna (ununenud) laulust, mida kasutatakse aja jooksul saavutatu poeetiliseks nimetamiseks.</w:t>
      </w:r>
    </w:p>
    <w:p w14:paraId="0D697AE4" w14:textId="043B8DE8" w:rsidR="00E015F4" w:rsidRPr="00FB4EFA" w:rsidRDefault="00E015F4" w:rsidP="00AF0CAD">
      <w:pPr>
        <w:spacing w:before="240" w:after="240" w:line="240" w:lineRule="auto"/>
        <w:ind w:left="567" w:hanging="567"/>
        <w:jc w:val="left"/>
        <w:rPr>
          <w:rFonts w:cs="Charis SIL"/>
          <w:lang w:val="et-EE"/>
        </w:rPr>
      </w:pPr>
      <w:r w:rsidRPr="00FB4EFA">
        <w:rPr>
          <w:rFonts w:cs="Charis SIL"/>
          <w:lang w:val="et-EE"/>
        </w:rPr>
        <w:t>(13)</w:t>
      </w:r>
      <w:r w:rsidRPr="00FB4EFA">
        <w:rPr>
          <w:rFonts w:cs="Charis SIL"/>
          <w:lang w:val="et-EE"/>
        </w:rPr>
        <w:tab/>
        <w:t xml:space="preserve">Viljakad ja rõõmsad päevad, / elu sisukamaks teevad. / Aasta aasta järel kaob, / olgu pikad </w:t>
      </w:r>
      <w:r w:rsidRPr="00FB4EFA">
        <w:rPr>
          <w:rFonts w:cs="Charis SIL"/>
          <w:b/>
          <w:lang w:val="et-EE"/>
        </w:rPr>
        <w:t>ajavaod!</w:t>
      </w:r>
      <w:r w:rsidRPr="00FB4EFA">
        <w:rPr>
          <w:rFonts w:cs="Charis SIL"/>
          <w:lang w:val="et-EE"/>
        </w:rPr>
        <w:t xml:space="preserve"> </w:t>
      </w:r>
      <w:r w:rsidRPr="00FB4EFA">
        <w:rPr>
          <w:rFonts w:cs="Charis SIL"/>
          <w:lang w:val="et-EE"/>
        </w:rPr>
        <w:br/>
        <w:t>(</w:t>
      </w:r>
      <w:hyperlink r:id="rId362" w:history="1">
        <w:r w:rsidRPr="00FB4EFA">
          <w:rPr>
            <w:rFonts w:cs="Charis SIL"/>
            <w:u w:val="single"/>
            <w:lang w:val="et-EE"/>
          </w:rPr>
          <w:t>luuletused.score.ee/onn</w:t>
        </w:r>
      </w:hyperlink>
      <w:r w:rsidRPr="00FB4EFA">
        <w:rPr>
          <w:rFonts w:cs="Charis SIL"/>
          <w:lang w:val="et-EE"/>
        </w:rPr>
        <w:t>)</w:t>
      </w:r>
    </w:p>
    <w:p w14:paraId="207C07AB" w14:textId="043A70A9" w:rsidR="00E50012" w:rsidRPr="00FB4EFA" w:rsidRDefault="00E015F4" w:rsidP="00AF0CAD">
      <w:pPr>
        <w:rPr>
          <w:rFonts w:cs="Charis SIL"/>
          <w:i/>
          <w:lang w:val="et-EE"/>
        </w:rPr>
      </w:pPr>
      <w:r w:rsidRPr="00FB4EFA">
        <w:rPr>
          <w:rFonts w:cs="Charis SIL"/>
          <w:lang w:val="et-EE"/>
        </w:rPr>
        <w:t xml:space="preserve">Aja käsitlemisel on kognitiivses metafooriteoorias räägitud kõige rohkem kolmest ruumi ja liikumisega seotud põhimetafoorist: </w:t>
      </w:r>
      <w:r w:rsidRPr="00FB4EFA">
        <w:rPr>
          <w:rFonts w:cs="Charis SIL"/>
          <w:i/>
          <w:lang w:val="et-EE"/>
        </w:rPr>
        <w:t>liikuva aja metafoor, liikuva vaatleja metafoor</w:t>
      </w:r>
      <w:r w:rsidRPr="00FB4EFA">
        <w:rPr>
          <w:rFonts w:cs="Charis SIL"/>
          <w:lang w:val="et-EE"/>
        </w:rPr>
        <w:t xml:space="preserve"> ja </w:t>
      </w:r>
      <w:r w:rsidRPr="00FB4EFA">
        <w:rPr>
          <w:rFonts w:cs="Charis SIL"/>
          <w:i/>
          <w:lang w:val="et-EE"/>
        </w:rPr>
        <w:t xml:space="preserve">ajaorientatsiooni metafoor </w:t>
      </w:r>
      <w:r w:rsidRPr="00FB4EFA">
        <w:rPr>
          <w:rFonts w:cs="Charis SIL"/>
          <w:lang w:val="et-EE"/>
        </w:rPr>
        <w:t>(Lakoff</w:t>
      </w:r>
      <w:r w:rsidR="004806F8" w:rsidRPr="00FB4EFA">
        <w:rPr>
          <w:rFonts w:cs="Charis SIL"/>
          <w:lang w:val="et-EE"/>
        </w:rPr>
        <w:t xml:space="preserve"> &amp;</w:t>
      </w:r>
      <w:r w:rsidRPr="00FB4EFA">
        <w:rPr>
          <w:rFonts w:cs="Charis SIL"/>
          <w:lang w:val="et-EE"/>
        </w:rPr>
        <w:t xml:space="preserve"> Johnson 1999: 14</w:t>
      </w:r>
      <w:r w:rsidR="00C65823" w:rsidRPr="00FB4EFA">
        <w:rPr>
          <w:rFonts w:cs="Charis SIL"/>
          <w:lang w:val="et-EE"/>
        </w:rPr>
        <w:t>0–1</w:t>
      </w:r>
      <w:r w:rsidRPr="00FB4EFA">
        <w:rPr>
          <w:rFonts w:cs="Charis SIL"/>
          <w:lang w:val="et-EE"/>
        </w:rPr>
        <w:t xml:space="preserve">48). Kõigi nende väljendusi on Ann Veismann (2001) leidnud ka eesti keelest, näiteks </w:t>
      </w:r>
      <w:r w:rsidRPr="00FB4EFA">
        <w:rPr>
          <w:rFonts w:cs="Charis SIL"/>
          <w:i/>
          <w:lang w:val="et-EE"/>
        </w:rPr>
        <w:t>mineval aastal</w:t>
      </w:r>
      <w:r w:rsidRPr="00FB4EFA">
        <w:rPr>
          <w:rFonts w:cs="Charis SIL"/>
          <w:lang w:val="et-EE"/>
        </w:rPr>
        <w:t xml:space="preserve">, </w:t>
      </w:r>
      <w:r w:rsidRPr="00FB4EFA">
        <w:rPr>
          <w:rFonts w:cs="Charis SIL"/>
          <w:i/>
          <w:lang w:val="et-EE"/>
        </w:rPr>
        <w:t xml:space="preserve">läinud aastal </w:t>
      </w:r>
      <w:r w:rsidRPr="00FB4EFA">
        <w:rPr>
          <w:rFonts w:cs="Charis SIL"/>
          <w:lang w:val="et-EE"/>
        </w:rPr>
        <w:t xml:space="preserve">(liikuva aja metafoor); </w:t>
      </w:r>
      <w:r w:rsidRPr="00FB4EFA">
        <w:rPr>
          <w:rFonts w:cs="Charis SIL"/>
          <w:i/>
          <w:lang w:val="et-EE"/>
        </w:rPr>
        <w:t xml:space="preserve">kui ülikool seljataga, edaspidi </w:t>
      </w:r>
      <w:r w:rsidRPr="00FB4EFA">
        <w:rPr>
          <w:rFonts w:cs="Charis SIL"/>
          <w:lang w:val="et-EE"/>
        </w:rPr>
        <w:t>(liikuva vaatleja ehk ajamaastiku metafoor). Teisest küljest võib AEG olla mõistestatud TEGUTSEJANA, mille alametafooridena võib loetleda näiteks selliseid, nagu AEG ON HÄVITAJA, AEG ON RAVIJA, AEG ON VARAS (Lakoff</w:t>
      </w:r>
      <w:r w:rsidR="004806F8" w:rsidRPr="00FB4EFA">
        <w:rPr>
          <w:rFonts w:cs="Charis SIL"/>
          <w:lang w:val="et-EE"/>
        </w:rPr>
        <w:t xml:space="preserve"> &amp;</w:t>
      </w:r>
      <w:r w:rsidRPr="00FB4EFA">
        <w:rPr>
          <w:rFonts w:cs="Charis SIL"/>
          <w:lang w:val="et-EE"/>
        </w:rPr>
        <w:t xml:space="preserve"> Johnson 1999, Evans 2004: 15</w:t>
      </w:r>
      <w:r w:rsidR="00C65823" w:rsidRPr="00FB4EFA">
        <w:rPr>
          <w:rFonts w:cs="Charis SIL"/>
          <w:lang w:val="et-EE"/>
        </w:rPr>
        <w:t>9–1</w:t>
      </w:r>
      <w:r w:rsidRPr="00FB4EFA">
        <w:rPr>
          <w:rFonts w:cs="Charis SIL"/>
          <w:lang w:val="et-EE"/>
        </w:rPr>
        <w:t xml:space="preserve">67, Kövecses 2010). Eesti keelest võib siin tuua näiteks Heldur Karmo loodud laulusõnad: </w:t>
      </w:r>
      <w:r w:rsidRPr="00FB4EFA">
        <w:rPr>
          <w:rFonts w:cs="Charis SIL"/>
          <w:i/>
          <w:lang w:val="et-EE"/>
        </w:rPr>
        <w:t xml:space="preserve">aeg annab kõik ja kõik ta võtab ka, kuid, kallis, aeg ei keela silma vaadata </w:t>
      </w:r>
      <w:r w:rsidRPr="00FB4EFA">
        <w:rPr>
          <w:rFonts w:cs="Charis SIL"/>
          <w:lang w:val="et-EE"/>
        </w:rPr>
        <w:t>(</w:t>
      </w:r>
      <w:hyperlink r:id="rId363" w:history="1">
        <w:r w:rsidRPr="00FB4EFA">
          <w:rPr>
            <w:rFonts w:cs="Charis SIL"/>
            <w:u w:val="single"/>
            <w:lang w:val="et-EE"/>
          </w:rPr>
          <w:t>heldurkarmo.net.ee/?qry=1,1887</w:t>
        </w:r>
      </w:hyperlink>
      <w:r w:rsidRPr="00FB4EFA">
        <w:rPr>
          <w:rFonts w:cs="Charis SIL"/>
          <w:lang w:val="et-EE"/>
        </w:rPr>
        <w:t>)</w:t>
      </w:r>
      <w:r w:rsidRPr="00FB4EFA">
        <w:rPr>
          <w:rFonts w:cs="Charis SIL"/>
          <w:i/>
          <w:lang w:val="et-EE"/>
        </w:rPr>
        <w:t xml:space="preserve">, </w:t>
      </w:r>
      <w:r w:rsidRPr="00FB4EFA">
        <w:rPr>
          <w:rFonts w:cs="Charis SIL"/>
          <w:lang w:val="et-EE"/>
        </w:rPr>
        <w:t xml:space="preserve">kus </w:t>
      </w:r>
      <w:r w:rsidRPr="00FB4EFA">
        <w:rPr>
          <w:rFonts w:cs="Charis SIL"/>
          <w:i/>
          <w:lang w:val="et-EE"/>
        </w:rPr>
        <w:t xml:space="preserve">aeg </w:t>
      </w:r>
      <w:r w:rsidRPr="00FB4EFA">
        <w:rPr>
          <w:rFonts w:cs="Charis SIL"/>
          <w:lang w:val="et-EE"/>
        </w:rPr>
        <w:t xml:space="preserve">on personifitseeritud </w:t>
      </w:r>
      <w:r w:rsidR="004806F8" w:rsidRPr="00FB4EFA">
        <w:rPr>
          <w:rFonts w:cs="Charis SIL"/>
          <w:lang w:val="et-EE"/>
        </w:rPr>
        <w:br/>
      </w:r>
      <w:r w:rsidRPr="00FB4EFA">
        <w:rPr>
          <w:rFonts w:cs="Charis SIL"/>
          <w:i/>
          <w:lang w:val="et-EE"/>
        </w:rPr>
        <w:t xml:space="preserve">andjaks, võtjaks </w:t>
      </w:r>
      <w:r w:rsidRPr="00FB4EFA">
        <w:rPr>
          <w:rFonts w:cs="Charis SIL"/>
          <w:lang w:val="et-EE"/>
        </w:rPr>
        <w:t xml:space="preserve">ja </w:t>
      </w:r>
      <w:r w:rsidRPr="00FB4EFA">
        <w:rPr>
          <w:rFonts w:cs="Charis SIL"/>
          <w:i/>
          <w:lang w:val="et-EE"/>
        </w:rPr>
        <w:t>lubajaks.</w:t>
      </w:r>
    </w:p>
    <w:p w14:paraId="5CB3D4FB" w14:textId="7F0290DA" w:rsidR="00E015F4" w:rsidRPr="00FB4EFA" w:rsidRDefault="00E015F4" w:rsidP="00AF0CAD">
      <w:pPr>
        <w:ind w:firstLine="709"/>
        <w:rPr>
          <w:rFonts w:cs="Charis SIL"/>
          <w:i/>
          <w:lang w:val="et-EE"/>
        </w:rPr>
      </w:pPr>
      <w:r w:rsidRPr="00FB4EFA">
        <w:rPr>
          <w:i/>
          <w:lang w:val="et-EE"/>
        </w:rPr>
        <w:t>Ajavagu</w:t>
      </w:r>
      <w:r w:rsidRPr="00FB4EFA">
        <w:rPr>
          <w:lang w:val="et-EE"/>
        </w:rPr>
        <w:t xml:space="preserve"> võiks esindada metafoori AEG ON TÖÖ TEGIJA. Sama mõistemetafoori väljendus võib olla ka näiteks </w:t>
      </w:r>
      <w:r w:rsidRPr="00FB4EFA">
        <w:rPr>
          <w:i/>
          <w:lang w:val="et-EE"/>
        </w:rPr>
        <w:t xml:space="preserve">aeg teeb oma töö </w:t>
      </w:r>
      <w:r w:rsidRPr="00FB4EFA">
        <w:rPr>
          <w:lang w:val="et-EE"/>
        </w:rPr>
        <w:t>või</w:t>
      </w:r>
      <w:r w:rsidRPr="00FB4EFA">
        <w:rPr>
          <w:i/>
          <w:lang w:val="et-EE"/>
        </w:rPr>
        <w:t xml:space="preserve"> aeg töötab tema kasuks/kahjuks, </w:t>
      </w:r>
      <w:r w:rsidRPr="00FB4EFA">
        <w:rPr>
          <w:lang w:val="et-EE"/>
        </w:rPr>
        <w:t xml:space="preserve">mida kasutatakse aeglaste iseeneslike muutuste kirjeldamiseks. Võime selle nimetada </w:t>
      </w:r>
      <w:r w:rsidRPr="00FB4EFA">
        <w:rPr>
          <w:i/>
          <w:lang w:val="et-EE"/>
        </w:rPr>
        <w:t xml:space="preserve">töötava aja metafooriks, </w:t>
      </w:r>
      <w:r w:rsidRPr="00FB4EFA">
        <w:rPr>
          <w:lang w:val="et-EE"/>
        </w:rPr>
        <w:t xml:space="preserve">milles AEGA nähakse aeglasi, kuid kindlaid muutusi kaasa toova tegutsemise </w:t>
      </w:r>
      <w:r w:rsidRPr="00FB4EFA">
        <w:rPr>
          <w:lang w:val="et-EE"/>
        </w:rPr>
        <w:lastRenderedPageBreak/>
        <w:t xml:space="preserve">subjektina. </w:t>
      </w:r>
      <w:r w:rsidRPr="00FB4EFA">
        <w:rPr>
          <w:i/>
          <w:lang w:val="et-EE"/>
        </w:rPr>
        <w:t>Ajavaod</w:t>
      </w:r>
      <w:r w:rsidRPr="00FB4EFA">
        <w:rPr>
          <w:lang w:val="et-EE"/>
        </w:rPr>
        <w:t xml:space="preserve"> on üks </w:t>
      </w:r>
      <w:r w:rsidRPr="00FB4EFA">
        <w:rPr>
          <w:i/>
          <w:lang w:val="et-EE"/>
        </w:rPr>
        <w:t xml:space="preserve">töötava aja metafoori </w:t>
      </w:r>
      <w:r w:rsidRPr="00FB4EFA">
        <w:rPr>
          <w:lang w:val="et-EE"/>
        </w:rPr>
        <w:t xml:space="preserve">ilmekaid väljendusi: AEG ON KÜNDJA, kes muudab maastiku viljakandvaks, mistõttu </w:t>
      </w:r>
      <w:r w:rsidRPr="00FB4EFA">
        <w:rPr>
          <w:i/>
          <w:lang w:val="et-EE"/>
        </w:rPr>
        <w:t>ajavaod</w:t>
      </w:r>
      <w:r w:rsidRPr="00FB4EFA">
        <w:rPr>
          <w:lang w:val="et-EE"/>
        </w:rPr>
        <w:t xml:space="preserve"> ajaloo kontekstis on pigem positiivsed jäljed, mida ajalukku on jäetud. Samas võib </w:t>
      </w:r>
      <w:r w:rsidRPr="00FB4EFA">
        <w:rPr>
          <w:i/>
          <w:lang w:val="et-EE"/>
        </w:rPr>
        <w:t xml:space="preserve">ajavagusid </w:t>
      </w:r>
      <w:r w:rsidRPr="00FB4EFA">
        <w:rPr>
          <w:lang w:val="et-EE"/>
        </w:rPr>
        <w:t xml:space="preserve">ilmselt mõista ka </w:t>
      </w:r>
      <w:r w:rsidRPr="00FB4EFA">
        <w:rPr>
          <w:i/>
          <w:lang w:val="et-EE"/>
        </w:rPr>
        <w:t xml:space="preserve">aja sisse küntud vagudena, </w:t>
      </w:r>
      <w:r w:rsidRPr="00FB4EFA">
        <w:rPr>
          <w:lang w:val="et-EE"/>
        </w:rPr>
        <w:t>sel juhul ei ole AEG kündja, vaid pinnas. Õnneks ei peagi samast metafoorsest väljendist alati ühtmoodi aru saama.</w:t>
      </w:r>
    </w:p>
    <w:p w14:paraId="79FE8CA1" w14:textId="77777777" w:rsidR="00E015F4" w:rsidRPr="00FB4EFA" w:rsidRDefault="00E015F4" w:rsidP="00545033">
      <w:pPr>
        <w:pStyle w:val="Heading2"/>
        <w:numPr>
          <w:ilvl w:val="0"/>
          <w:numId w:val="7"/>
        </w:numPr>
        <w:suppressAutoHyphens/>
        <w:spacing w:line="259" w:lineRule="auto"/>
        <w:rPr>
          <w:color w:val="auto"/>
          <w:lang w:val="et-EE"/>
        </w:rPr>
      </w:pPr>
      <w:r w:rsidRPr="00FB4EFA">
        <w:rPr>
          <w:color w:val="auto"/>
          <w:lang w:val="et-EE"/>
        </w:rPr>
        <w:t>Kokkuvõte</w:t>
      </w:r>
    </w:p>
    <w:p w14:paraId="0DF2A256" w14:textId="37F90D6C" w:rsidR="00E50012" w:rsidRPr="00FB4EFA" w:rsidRDefault="00E015F4" w:rsidP="00AF0CAD">
      <w:pPr>
        <w:rPr>
          <w:lang w:val="et-EE"/>
        </w:rPr>
      </w:pPr>
      <w:r w:rsidRPr="00FB4EFA">
        <w:rPr>
          <w:lang w:val="et-EE"/>
        </w:rPr>
        <w:t xml:space="preserve">Vaatlesime artiklis sõna </w:t>
      </w:r>
      <w:r w:rsidRPr="00FB4EFA">
        <w:rPr>
          <w:i/>
          <w:lang w:val="et-EE"/>
        </w:rPr>
        <w:t xml:space="preserve">vagu </w:t>
      </w:r>
      <w:r w:rsidRPr="00FB4EFA">
        <w:rPr>
          <w:lang w:val="et-EE"/>
        </w:rPr>
        <w:t xml:space="preserve">ja sellest tuletatud sõnu eesti keeles, sealhulgas liitsõna </w:t>
      </w:r>
      <w:r w:rsidRPr="00FB4EFA">
        <w:rPr>
          <w:i/>
          <w:lang w:val="et-EE"/>
        </w:rPr>
        <w:t>ajavagu</w:t>
      </w:r>
      <w:r w:rsidRPr="00FB4EFA">
        <w:rPr>
          <w:lang w:val="et-EE"/>
        </w:rPr>
        <w:t xml:space="preserve"> erinevatest vaatenurkadest. Balti laenuna on </w:t>
      </w:r>
      <w:r w:rsidRPr="00FB4EFA">
        <w:rPr>
          <w:i/>
          <w:lang w:val="et-EE"/>
        </w:rPr>
        <w:t xml:space="preserve">vagu </w:t>
      </w:r>
      <w:r w:rsidRPr="00FB4EFA">
        <w:rPr>
          <w:lang w:val="et-EE"/>
        </w:rPr>
        <w:t>tulnud läänemeresoome keeltesse ilmselt põllumajanduslikus tähenduses, kuid selle tähendusväli on tunduvalt laienenud. Tänapäeva eesti keeles võib sõna tähendada ka mingit muud pikka süvendi ja kõrgendi kombinatsiooni, näiteks pinnases või näos. Vagu võib tähistada nii vaoharja kui ka vaovahet, olles nii iseenda semantiline paarik (</w:t>
      </w:r>
      <w:r w:rsidRPr="00FB4EFA">
        <w:rPr>
          <w:i/>
          <w:lang w:val="et-EE"/>
        </w:rPr>
        <w:t>counterpart</w:t>
      </w:r>
      <w:r w:rsidRPr="00FB4EFA">
        <w:rPr>
          <w:lang w:val="et-EE"/>
        </w:rPr>
        <w:t>).</w:t>
      </w:r>
    </w:p>
    <w:p w14:paraId="2193C6F8" w14:textId="77777777" w:rsidR="00E015F4" w:rsidRPr="00FB4EFA" w:rsidRDefault="00E015F4" w:rsidP="00AF0CAD">
      <w:pPr>
        <w:ind w:firstLine="709"/>
        <w:rPr>
          <w:lang w:val="et-EE"/>
        </w:rPr>
      </w:pPr>
      <w:r w:rsidRPr="00FB4EFA">
        <w:rPr>
          <w:lang w:val="et-EE"/>
        </w:rPr>
        <w:t xml:space="preserve">Sõna </w:t>
      </w:r>
      <w:r w:rsidRPr="00FB4EFA">
        <w:rPr>
          <w:i/>
          <w:lang w:val="et-EE"/>
        </w:rPr>
        <w:t>vagu</w:t>
      </w:r>
      <w:r w:rsidRPr="00FB4EFA">
        <w:rPr>
          <w:lang w:val="et-EE"/>
        </w:rPr>
        <w:t xml:space="preserve"> esineb eesti keeles kõige sagedamini sisekohakäänetes, enim ainsuse inessiivis (</w:t>
      </w:r>
      <w:r w:rsidRPr="00FB4EFA">
        <w:rPr>
          <w:i/>
          <w:lang w:val="et-EE"/>
        </w:rPr>
        <w:t>vaos</w:t>
      </w:r>
      <w:r w:rsidRPr="00FB4EFA">
        <w:rPr>
          <w:lang w:val="et-EE"/>
        </w:rPr>
        <w:t xml:space="preserve">). Sõna nõrgaastmeliste vormide sagedus on soosinud ka </w:t>
      </w:r>
      <w:r w:rsidRPr="00FB4EFA">
        <w:rPr>
          <w:i/>
          <w:lang w:val="et-EE"/>
        </w:rPr>
        <w:t>vao-</w:t>
      </w:r>
      <w:r w:rsidRPr="00FB4EFA">
        <w:rPr>
          <w:lang w:val="et-EE"/>
        </w:rPr>
        <w:t xml:space="preserve"> kasutust omaette juursõnana ning sekundaarset seostamist sõnadega nagu </w:t>
      </w:r>
      <w:r w:rsidRPr="00FB4EFA">
        <w:rPr>
          <w:i/>
          <w:lang w:val="et-EE"/>
        </w:rPr>
        <w:t>vaotama</w:t>
      </w:r>
      <w:r w:rsidRPr="00FB4EFA">
        <w:rPr>
          <w:lang w:val="et-EE"/>
        </w:rPr>
        <w:t>.</w:t>
      </w:r>
    </w:p>
    <w:p w14:paraId="3D44D23D" w14:textId="77777777" w:rsidR="00E015F4" w:rsidRPr="00FB4EFA" w:rsidRDefault="00E015F4" w:rsidP="00AF0CAD">
      <w:pPr>
        <w:ind w:firstLine="709"/>
        <w:rPr>
          <w:lang w:val="et-EE"/>
        </w:rPr>
      </w:pPr>
      <w:r w:rsidRPr="00FB4EFA">
        <w:rPr>
          <w:i/>
          <w:lang w:val="et-EE"/>
        </w:rPr>
        <w:t xml:space="preserve">Vagu </w:t>
      </w:r>
      <w:r w:rsidRPr="00FB4EFA">
        <w:rPr>
          <w:lang w:val="et-EE"/>
        </w:rPr>
        <w:t xml:space="preserve">on andnud hea aluse erinevate metafooriliste tähenduste sünniks. Ühelt poolt seostuvad need tähendused inimese vajadusega millegi üle kontrolli hoida: eelkõige hoitakse </w:t>
      </w:r>
      <w:r w:rsidRPr="00FB4EFA">
        <w:rPr>
          <w:i/>
          <w:lang w:val="et-EE"/>
        </w:rPr>
        <w:t>vaos</w:t>
      </w:r>
      <w:r w:rsidRPr="00FB4EFA">
        <w:rPr>
          <w:lang w:val="et-EE"/>
        </w:rPr>
        <w:t xml:space="preserve"> oma tundeid. Teiselt poolt on </w:t>
      </w:r>
      <w:r w:rsidRPr="00FB4EFA">
        <w:rPr>
          <w:i/>
          <w:lang w:val="et-EE"/>
        </w:rPr>
        <w:t xml:space="preserve">vagude kündmine </w:t>
      </w:r>
      <w:r w:rsidRPr="00FB4EFA">
        <w:rPr>
          <w:lang w:val="et-EE"/>
        </w:rPr>
        <w:t xml:space="preserve">andnud hulga inimese elu ja saatusega seotud metafoore. Nii nagu </w:t>
      </w:r>
      <w:r w:rsidRPr="00FB4EFA">
        <w:rPr>
          <w:i/>
          <w:lang w:val="et-EE"/>
        </w:rPr>
        <w:t xml:space="preserve">vagu </w:t>
      </w:r>
      <w:r w:rsidRPr="00FB4EFA">
        <w:rPr>
          <w:lang w:val="et-EE"/>
        </w:rPr>
        <w:t xml:space="preserve">sünnib kündja pingutuse tulemusel ja annab võimaluse saagiks, nii töötab ka inimene üldisemalt elu </w:t>
      </w:r>
      <w:r w:rsidRPr="00FB4EFA">
        <w:rPr>
          <w:i/>
          <w:lang w:val="et-EE"/>
        </w:rPr>
        <w:t xml:space="preserve">põllul </w:t>
      </w:r>
      <w:r w:rsidRPr="00FB4EFA">
        <w:rPr>
          <w:lang w:val="et-EE"/>
        </w:rPr>
        <w:t xml:space="preserve">ja künnab seal oma </w:t>
      </w:r>
      <w:r w:rsidRPr="00FB4EFA">
        <w:rPr>
          <w:i/>
          <w:lang w:val="et-EE"/>
        </w:rPr>
        <w:t xml:space="preserve">vagusid. </w:t>
      </w:r>
      <w:r w:rsidRPr="00FB4EFA">
        <w:rPr>
          <w:lang w:val="et-EE"/>
        </w:rPr>
        <w:t xml:space="preserve">Samuti </w:t>
      </w:r>
      <w:r w:rsidRPr="00FB4EFA">
        <w:rPr>
          <w:i/>
          <w:lang w:val="et-EE"/>
        </w:rPr>
        <w:t>künnab vagusid</w:t>
      </w:r>
      <w:r w:rsidRPr="00FB4EFA">
        <w:rPr>
          <w:lang w:val="et-EE"/>
        </w:rPr>
        <w:t xml:space="preserve"> aegki ja tekivad </w:t>
      </w:r>
      <w:r w:rsidRPr="00FB4EFA">
        <w:rPr>
          <w:i/>
          <w:lang w:val="et-EE"/>
        </w:rPr>
        <w:t xml:space="preserve">ajavaod. (Aja)vagude </w:t>
      </w:r>
      <w:r w:rsidRPr="00FB4EFA">
        <w:rPr>
          <w:lang w:val="et-EE"/>
        </w:rPr>
        <w:t>metafoor näib eesti keeles olevat kohanenud inimese elu ja selle jooksul tehtud töö tulemuslikkuse tähistajaks.</w:t>
      </w:r>
    </w:p>
    <w:p w14:paraId="7E61FA48" w14:textId="77777777" w:rsidR="00302054" w:rsidRPr="00FB4EFA" w:rsidRDefault="00302054">
      <w:pPr>
        <w:spacing w:after="160" w:line="259" w:lineRule="auto"/>
        <w:jc w:val="left"/>
        <w:rPr>
          <w:rFonts w:ascii="Gill Sans MT" w:eastAsia="Gill Sans MT" w:hAnsi="Gill Sans MT" w:cs="Gill Sans MT"/>
          <w:sz w:val="28"/>
          <w:lang w:val="et-EE" w:eastAsia="en-GB"/>
        </w:rPr>
      </w:pPr>
      <w:r w:rsidRPr="00FB4EFA">
        <w:rPr>
          <w:lang w:val="et-EE"/>
        </w:rPr>
        <w:br w:type="page"/>
      </w:r>
    </w:p>
    <w:p w14:paraId="14424634" w14:textId="14543AD7" w:rsidR="00E015F4" w:rsidRPr="00FB4EFA" w:rsidRDefault="00E015F4" w:rsidP="00545033">
      <w:pPr>
        <w:pStyle w:val="Heading2"/>
        <w:suppressAutoHyphens/>
        <w:spacing w:line="259" w:lineRule="auto"/>
        <w:rPr>
          <w:color w:val="auto"/>
          <w:lang w:val="et-EE"/>
        </w:rPr>
      </w:pPr>
      <w:r w:rsidRPr="00FB4EFA">
        <w:rPr>
          <w:color w:val="auto"/>
          <w:lang w:val="et-EE"/>
        </w:rPr>
        <w:lastRenderedPageBreak/>
        <w:t>Kasutatud kirjandus ja allikad</w:t>
      </w:r>
    </w:p>
    <w:p w14:paraId="4D8BFCC6" w14:textId="059034E2" w:rsidR="00E015F4" w:rsidRPr="00FB4EFA" w:rsidRDefault="00E015F4" w:rsidP="004806F8">
      <w:pPr>
        <w:suppressAutoHyphens/>
        <w:spacing w:line="240" w:lineRule="auto"/>
        <w:ind w:left="425" w:hanging="425"/>
        <w:rPr>
          <w:rFonts w:cs="Charis SIL"/>
          <w:i/>
          <w:lang w:val="et-EE"/>
        </w:rPr>
      </w:pPr>
      <w:r w:rsidRPr="00FB4EFA">
        <w:rPr>
          <w:rFonts w:cs="Charis SIL"/>
          <w:lang w:val="et-EE"/>
        </w:rPr>
        <w:t>Barcelona, Antonio. 2000. Introduction. The cognitive theory of metaphor and metonymy. Antonio Barcelona (</w:t>
      </w:r>
      <w:r w:rsidR="003364A0" w:rsidRPr="00FB4EFA">
        <w:rPr>
          <w:rFonts w:cs="Charis SIL"/>
          <w:lang w:val="et-EE"/>
        </w:rPr>
        <w:t>toim</w:t>
      </w:r>
      <w:r w:rsidRPr="00FB4EFA">
        <w:rPr>
          <w:rFonts w:cs="Charis SIL"/>
          <w:lang w:val="et-EE"/>
        </w:rPr>
        <w:t xml:space="preserve">.), </w:t>
      </w:r>
      <w:r w:rsidRPr="00FB4EFA">
        <w:rPr>
          <w:rFonts w:cs="Charis SIL"/>
          <w:i/>
          <w:lang w:val="et-EE"/>
        </w:rPr>
        <w:t>Metphor and Metonymy on the Crossroads. A Cognitive Perspective</w:t>
      </w:r>
      <w:r w:rsidR="00CB7F0B" w:rsidRPr="00FB4EFA">
        <w:rPr>
          <w:rFonts w:cs="Charis SIL"/>
          <w:iCs/>
          <w:lang w:val="et-EE"/>
        </w:rPr>
        <w:t xml:space="preserve">, </w:t>
      </w:r>
      <w:r w:rsidR="00CB7F0B" w:rsidRPr="00FB4EFA">
        <w:rPr>
          <w:rFonts w:cs="Charis SIL"/>
          <w:lang w:val="et-EE"/>
        </w:rPr>
        <w:t>1–39</w:t>
      </w:r>
      <w:r w:rsidRPr="00FB4EFA">
        <w:rPr>
          <w:rFonts w:cs="Charis SIL"/>
          <w:i/>
          <w:lang w:val="et-EE"/>
        </w:rPr>
        <w:t xml:space="preserve">. </w:t>
      </w:r>
      <w:r w:rsidRPr="00FB4EFA">
        <w:rPr>
          <w:rFonts w:cs="Charis SIL"/>
          <w:lang w:val="et-EE"/>
        </w:rPr>
        <w:t>Berlin: Moutun de Gruyter.</w:t>
      </w:r>
    </w:p>
    <w:p w14:paraId="0E6D2780" w14:textId="77777777"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Cruse, D. A. 1986. </w:t>
      </w:r>
      <w:r w:rsidRPr="00FB4EFA">
        <w:rPr>
          <w:rFonts w:cs="Charis SIL"/>
          <w:i/>
          <w:lang w:val="et-EE"/>
        </w:rPr>
        <w:t xml:space="preserve">Lexical semantics. </w:t>
      </w:r>
      <w:r w:rsidRPr="00FB4EFA">
        <w:rPr>
          <w:rFonts w:cs="Charis SIL"/>
          <w:lang w:val="et-EE"/>
        </w:rPr>
        <w:t>Cambridge Textbooks in Lingustics. Cambridge: Cambridge University Press.</w:t>
      </w:r>
    </w:p>
    <w:p w14:paraId="0C911EBD" w14:textId="23F894BD"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EKSS = </w:t>
      </w:r>
      <w:r w:rsidRPr="00FB4EFA">
        <w:rPr>
          <w:rFonts w:cs="Charis SIL"/>
          <w:i/>
          <w:lang w:val="et-EE"/>
        </w:rPr>
        <w:t>Eesti keele seletussõnaraamat.</w:t>
      </w:r>
      <w:r w:rsidRPr="00FB4EFA">
        <w:rPr>
          <w:rFonts w:cs="Charis SIL"/>
          <w:lang w:val="et-EE"/>
        </w:rPr>
        <w:t xml:space="preserve"> </w:t>
      </w:r>
      <w:hyperlink r:id="rId364" w:history="1">
        <w:r w:rsidRPr="00FB4EFA">
          <w:rPr>
            <w:rFonts w:cs="Charis SIL"/>
            <w:u w:val="single"/>
            <w:lang w:val="et-EE"/>
          </w:rPr>
          <w:t>www.eki.ee/dict/ekss/</w:t>
        </w:r>
      </w:hyperlink>
      <w:r w:rsidRPr="00FB4EFA">
        <w:rPr>
          <w:rFonts w:cs="Charis SIL"/>
          <w:lang w:val="et-EE"/>
        </w:rPr>
        <w:t>.</w:t>
      </w:r>
    </w:p>
    <w:p w14:paraId="3654E5D8" w14:textId="3F926F49"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EMS = </w:t>
      </w:r>
      <w:r w:rsidRPr="00FB4EFA">
        <w:rPr>
          <w:rFonts w:cs="Charis SIL"/>
          <w:i/>
          <w:lang w:val="et-EE"/>
        </w:rPr>
        <w:t>Eesti murrete sõnaraamat.</w:t>
      </w:r>
      <w:r w:rsidRPr="00FB4EFA">
        <w:rPr>
          <w:rFonts w:cs="Charis SIL"/>
          <w:lang w:val="et-EE"/>
        </w:rPr>
        <w:t xml:space="preserve"> </w:t>
      </w:r>
      <w:hyperlink r:id="rId365" w:history="1">
        <w:r w:rsidRPr="00FB4EFA">
          <w:rPr>
            <w:rFonts w:cs="Charis SIL"/>
            <w:u w:val="single"/>
            <w:lang w:val="et-EE"/>
          </w:rPr>
          <w:t>www.eki.ee/dict/ems/</w:t>
        </w:r>
      </w:hyperlink>
      <w:r w:rsidRPr="00FB4EFA">
        <w:rPr>
          <w:rFonts w:cs="Charis SIL"/>
          <w:lang w:val="et-EE"/>
        </w:rPr>
        <w:t>.</w:t>
      </w:r>
    </w:p>
    <w:p w14:paraId="7202573F" w14:textId="4E430B26" w:rsidR="00E015F4" w:rsidRPr="00FB4EFA" w:rsidRDefault="00E015F4" w:rsidP="004806F8">
      <w:pPr>
        <w:suppressAutoHyphens/>
        <w:spacing w:line="240" w:lineRule="auto"/>
        <w:ind w:left="425" w:hanging="425"/>
        <w:rPr>
          <w:rFonts w:cs="Charis SIL"/>
          <w:i/>
          <w:iCs/>
          <w:lang w:val="et-EE"/>
        </w:rPr>
      </w:pPr>
      <w:r w:rsidRPr="00FB4EFA">
        <w:rPr>
          <w:rFonts w:cs="Charis SIL"/>
          <w:lang w:val="et-EE"/>
        </w:rPr>
        <w:t xml:space="preserve">EÜK2019 = </w:t>
      </w:r>
      <w:r w:rsidRPr="00FB4EFA">
        <w:rPr>
          <w:rFonts w:cs="Charis SIL"/>
          <w:i/>
          <w:lang w:val="et-EE"/>
        </w:rPr>
        <w:t>Eesti keele ühendkorpus 2019</w:t>
      </w:r>
      <w:r w:rsidRPr="00FB4EFA">
        <w:rPr>
          <w:rFonts w:cs="Charis SIL"/>
          <w:lang w:val="et-EE"/>
        </w:rPr>
        <w:t xml:space="preserve">. </w:t>
      </w:r>
      <w:hyperlink r:id="rId366" w:history="1">
        <w:r w:rsidRPr="00FB4EFA">
          <w:rPr>
            <w:rFonts w:cs="Charis SIL"/>
            <w:u w:val="single"/>
            <w:lang w:val="et-EE"/>
          </w:rPr>
          <w:t>doi.org/10.15155/3-00-0000-0000-0000-08565L</w:t>
        </w:r>
      </w:hyperlink>
      <w:r w:rsidR="003F665A" w:rsidRPr="00FB4EFA">
        <w:rPr>
          <w:rFonts w:cs="Charis SIL"/>
          <w:lang w:val="et-EE"/>
        </w:rPr>
        <w:t>.</w:t>
      </w:r>
    </w:p>
    <w:p w14:paraId="5EDA0C89" w14:textId="5ABF1129"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ESP = </w:t>
      </w:r>
      <w:r w:rsidRPr="00FB4EFA">
        <w:rPr>
          <w:rFonts w:cs="Charis SIL"/>
          <w:i/>
          <w:lang w:val="et-EE"/>
        </w:rPr>
        <w:t>Eesti keele sõnapered.</w:t>
      </w:r>
      <w:r w:rsidRPr="00FB4EFA">
        <w:rPr>
          <w:rFonts w:cs="Charis SIL"/>
          <w:lang w:val="et-EE"/>
        </w:rPr>
        <w:t xml:space="preserve"> </w:t>
      </w:r>
      <w:hyperlink r:id="rId367" w:history="1">
        <w:r w:rsidRPr="00FB4EFA">
          <w:rPr>
            <w:rFonts w:cs="Charis SIL"/>
            <w:u w:val="single"/>
            <w:lang w:val="et-EE"/>
          </w:rPr>
          <w:t>www.eki.ee/dict/sp/</w:t>
        </w:r>
      </w:hyperlink>
      <w:r w:rsidRPr="00FB4EFA">
        <w:rPr>
          <w:rFonts w:cs="Charis SIL"/>
          <w:lang w:val="et-EE"/>
        </w:rPr>
        <w:t>.</w:t>
      </w:r>
    </w:p>
    <w:p w14:paraId="6E1FDF53" w14:textId="4365852C" w:rsidR="00E015F4" w:rsidRPr="00FB4EFA" w:rsidRDefault="00E015F4" w:rsidP="004806F8">
      <w:pPr>
        <w:suppressAutoHyphens/>
        <w:spacing w:line="240" w:lineRule="auto"/>
        <w:ind w:left="425" w:hanging="425"/>
        <w:rPr>
          <w:rFonts w:cs="Charis SIL"/>
          <w:lang w:val="et-EE"/>
        </w:rPr>
      </w:pPr>
      <w:r w:rsidRPr="00FB4EFA">
        <w:rPr>
          <w:rFonts w:cs="Charis SIL"/>
          <w:iCs/>
          <w:lang w:val="et-EE"/>
        </w:rPr>
        <w:t xml:space="preserve">ETY = </w:t>
      </w:r>
      <w:r w:rsidRPr="00FB4EFA">
        <w:rPr>
          <w:rFonts w:cs="Charis SIL"/>
          <w:i/>
          <w:iCs/>
          <w:lang w:val="et-EE"/>
        </w:rPr>
        <w:t>Eesti etümoloogiasõnaraamat.</w:t>
      </w:r>
      <w:r w:rsidRPr="00FB4EFA">
        <w:rPr>
          <w:rFonts w:cs="Charis SIL"/>
          <w:lang w:val="et-EE"/>
        </w:rPr>
        <w:t xml:space="preserve"> </w:t>
      </w:r>
      <w:hyperlink r:id="rId368" w:history="1">
        <w:r w:rsidRPr="00FB4EFA">
          <w:rPr>
            <w:rFonts w:cs="Charis SIL"/>
            <w:u w:val="single"/>
            <w:lang w:val="et-EE"/>
          </w:rPr>
          <w:t>www.eki.ee/dict/ety/</w:t>
        </w:r>
      </w:hyperlink>
      <w:r w:rsidRPr="00FB4EFA">
        <w:rPr>
          <w:rFonts w:cs="Charis SIL"/>
          <w:lang w:val="et-EE"/>
        </w:rPr>
        <w:t>.</w:t>
      </w:r>
    </w:p>
    <w:p w14:paraId="57C76125" w14:textId="081DDE41" w:rsidR="00E015F4" w:rsidRPr="00FB4EFA" w:rsidRDefault="00E015F4" w:rsidP="004806F8">
      <w:pPr>
        <w:suppressAutoHyphens/>
        <w:spacing w:line="240" w:lineRule="auto"/>
        <w:ind w:left="425" w:hanging="425"/>
        <w:rPr>
          <w:rFonts w:cs="Charis SIL"/>
          <w:iCs/>
          <w:lang w:val="et-EE"/>
        </w:rPr>
      </w:pPr>
      <w:r w:rsidRPr="00FB4EFA">
        <w:rPr>
          <w:rFonts w:cs="Charis SIL"/>
          <w:iCs/>
          <w:lang w:val="et-EE"/>
        </w:rPr>
        <w:t xml:space="preserve">Evans, Vyvyan. 2004. </w:t>
      </w:r>
      <w:r w:rsidRPr="00FB4EFA">
        <w:rPr>
          <w:rFonts w:cs="Charis SIL"/>
          <w:i/>
          <w:iCs/>
          <w:lang w:val="et-EE"/>
        </w:rPr>
        <w:t>The Structure of Time.</w:t>
      </w:r>
      <w:r w:rsidRPr="00FB4EFA">
        <w:rPr>
          <w:rFonts w:cs="Charis SIL"/>
          <w:iCs/>
          <w:lang w:val="et-EE"/>
        </w:rPr>
        <w:t xml:space="preserve"> </w:t>
      </w:r>
      <w:r w:rsidR="00F979A7" w:rsidRPr="00FB4EFA">
        <w:rPr>
          <w:rFonts w:cs="Charis SIL"/>
          <w:iCs/>
          <w:lang w:val="et-EE"/>
        </w:rPr>
        <w:t xml:space="preserve">Amsterdam: </w:t>
      </w:r>
      <w:r w:rsidRPr="00FB4EFA">
        <w:rPr>
          <w:rFonts w:cs="Charis SIL"/>
          <w:iCs/>
          <w:lang w:val="et-EE"/>
        </w:rPr>
        <w:t>John Benjamins.</w:t>
      </w:r>
    </w:p>
    <w:p w14:paraId="16E6BB29" w14:textId="7253BF1E"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Junttila, Santeri. 2015. </w:t>
      </w:r>
      <w:r w:rsidRPr="00FB4EFA">
        <w:rPr>
          <w:rFonts w:cs="Charis SIL"/>
          <w:i/>
          <w:lang w:val="et-EE"/>
        </w:rPr>
        <w:t>Tiedon kumuloituminen ja trendit lainasanatutkimuksessa. Kantasuomen balttilaislainojen tutkimushistoria.</w:t>
      </w:r>
      <w:r w:rsidRPr="00FB4EFA">
        <w:rPr>
          <w:rFonts w:cs="Charis SIL"/>
          <w:lang w:val="et-EE"/>
        </w:rPr>
        <w:t xml:space="preserve"> Helsin</w:t>
      </w:r>
      <w:r w:rsidR="003364A0" w:rsidRPr="00FB4EFA">
        <w:rPr>
          <w:rFonts w:cs="Charis SIL"/>
          <w:lang w:val="et-EE"/>
        </w:rPr>
        <w:t>g</w:t>
      </w:r>
      <w:r w:rsidRPr="00FB4EFA">
        <w:rPr>
          <w:rFonts w:cs="Charis SIL"/>
          <w:lang w:val="et-EE"/>
        </w:rPr>
        <w:t>i.</w:t>
      </w:r>
    </w:p>
    <w:p w14:paraId="2CA6CAE5" w14:textId="6E365B52"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JUSTKUI = Eesti kõnekäändude ja fraseologismide andmebaas. </w:t>
      </w:r>
      <w:hyperlink r:id="rId369" w:history="1">
        <w:r w:rsidR="00F979A7" w:rsidRPr="00FB4EFA">
          <w:rPr>
            <w:rStyle w:val="Hyperlink"/>
            <w:rFonts w:cs="Charis SIL"/>
            <w:color w:val="auto"/>
            <w:lang w:val="et-EE"/>
          </w:rPr>
          <w:t>www.folklore.ee/justkui/andmebaas.php</w:t>
        </w:r>
      </w:hyperlink>
      <w:r w:rsidRPr="00FB4EFA">
        <w:rPr>
          <w:rFonts w:cs="Charis SIL"/>
          <w:lang w:val="et-EE"/>
        </w:rPr>
        <w:t>.</w:t>
      </w:r>
    </w:p>
    <w:p w14:paraId="15C2731C" w14:textId="405D3951" w:rsidR="00E015F4" w:rsidRPr="00FB4EFA" w:rsidRDefault="00000000" w:rsidP="004806F8">
      <w:pPr>
        <w:suppressAutoHyphens/>
        <w:spacing w:line="240" w:lineRule="auto"/>
        <w:ind w:left="425" w:hanging="425"/>
        <w:rPr>
          <w:rFonts w:cs="Charis SIL"/>
          <w:lang w:val="et-EE"/>
        </w:rPr>
      </w:pPr>
      <w:hyperlink r:id="rId370" w:tgtFrame="_blank" w:history="1">
        <w:r w:rsidR="00E015F4" w:rsidRPr="00FB4EFA">
          <w:rPr>
            <w:rFonts w:cs="Charis SIL"/>
            <w:lang w:val="et-EE"/>
          </w:rPr>
          <w:t>Kallas, Jelena</w:t>
        </w:r>
        <w:r w:rsidR="00DB7FA0" w:rsidRPr="00FB4EFA">
          <w:rPr>
            <w:rFonts w:cs="Charis SIL"/>
            <w:lang w:val="et-EE"/>
          </w:rPr>
          <w:t>,</w:t>
        </w:r>
        <w:r w:rsidR="00E015F4" w:rsidRPr="00FB4EFA">
          <w:rPr>
            <w:rFonts w:cs="Charis SIL"/>
            <w:lang w:val="et-EE"/>
          </w:rPr>
          <w:t xml:space="preserve"> Kristina Koppel</w:t>
        </w:r>
        <w:r w:rsidR="00DB7FA0" w:rsidRPr="00FB4EFA">
          <w:rPr>
            <w:rFonts w:cs="Charis SIL"/>
            <w:lang w:val="et-EE"/>
          </w:rPr>
          <w:t xml:space="preserve"> &amp;</w:t>
        </w:r>
        <w:r w:rsidR="00E015F4" w:rsidRPr="00FB4EFA">
          <w:rPr>
            <w:rFonts w:cs="Charis SIL"/>
            <w:lang w:val="et-EE"/>
          </w:rPr>
          <w:t xml:space="preserve"> Maria Tuulik. 2015. Korpusleksikograafia uued võimalused eesti keele kollokatsioonisõnastiku näitel. </w:t>
        </w:r>
        <w:r w:rsidR="00E015F4" w:rsidRPr="00FB4EFA">
          <w:rPr>
            <w:rFonts w:cs="Charis SIL"/>
            <w:i/>
            <w:lang w:val="et-EE"/>
          </w:rPr>
          <w:t>Eesti</w:t>
        </w:r>
        <w:r w:rsidR="00E015F4" w:rsidRPr="00FB4EFA">
          <w:rPr>
            <w:rFonts w:cs="Charis SIL"/>
            <w:lang w:val="et-EE"/>
          </w:rPr>
          <w:t xml:space="preserve"> </w:t>
        </w:r>
        <w:r w:rsidR="00E015F4" w:rsidRPr="00FB4EFA">
          <w:rPr>
            <w:rFonts w:cs="Charis SIL"/>
            <w:i/>
            <w:lang w:val="et-EE"/>
          </w:rPr>
          <w:t xml:space="preserve">Rakenduslingvistika Ühingu aastaraamat </w:t>
        </w:r>
        <w:r w:rsidR="00E015F4" w:rsidRPr="00FB4EFA">
          <w:rPr>
            <w:rFonts w:cs="Charis SIL"/>
            <w:lang w:val="et-EE"/>
          </w:rPr>
          <w:t>11. 75</w:t>
        </w:r>
        <w:r w:rsidR="00B738EB" w:rsidRPr="00FB4EFA">
          <w:rPr>
            <w:rFonts w:cs="Charis SIL"/>
            <w:lang w:val="et-EE"/>
          </w:rPr>
          <w:t>–</w:t>
        </w:r>
        <w:r w:rsidR="00E015F4" w:rsidRPr="00FB4EFA">
          <w:rPr>
            <w:rFonts w:cs="Charis SIL"/>
            <w:lang w:val="et-EE"/>
          </w:rPr>
          <w:t>94.</w:t>
        </w:r>
      </w:hyperlink>
    </w:p>
    <w:p w14:paraId="5FC6AA53" w14:textId="77777777"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Kövecses, Zoltan. 2010. </w:t>
      </w:r>
      <w:r w:rsidRPr="00FB4EFA">
        <w:rPr>
          <w:rFonts w:cs="Charis SIL"/>
          <w:i/>
          <w:lang w:val="et-EE"/>
        </w:rPr>
        <w:t>Metaphor. A practical introduction</w:t>
      </w:r>
      <w:r w:rsidRPr="00FB4EFA">
        <w:rPr>
          <w:rFonts w:cs="Charis SIL"/>
          <w:lang w:val="et-EE"/>
        </w:rPr>
        <w:t>. Oxford: Oxford University Press.</w:t>
      </w:r>
    </w:p>
    <w:p w14:paraId="638111FC" w14:textId="77777777"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Laakso, Johanna. 2017. Back to the roots? Critical reflections on the ’root’ in Finno-Ugric Linguistics. </w:t>
      </w:r>
      <w:r w:rsidRPr="00FB4EFA">
        <w:rPr>
          <w:rFonts w:cs="Charis SIL"/>
          <w:i/>
          <w:lang w:val="et-EE"/>
        </w:rPr>
        <w:t>ESUKA – JEFUL</w:t>
      </w:r>
      <w:r w:rsidRPr="00FB4EFA">
        <w:rPr>
          <w:rFonts w:cs="Charis SIL"/>
          <w:lang w:val="et-EE"/>
        </w:rPr>
        <w:t xml:space="preserve"> 8 (1). 133–148.</w:t>
      </w:r>
    </w:p>
    <w:p w14:paraId="699BD699" w14:textId="6AA1A74F" w:rsidR="00E015F4" w:rsidRPr="00FB4EFA" w:rsidRDefault="00E015F4" w:rsidP="004806F8">
      <w:pPr>
        <w:suppressAutoHyphens/>
        <w:spacing w:line="240" w:lineRule="auto"/>
        <w:ind w:left="425" w:hanging="425"/>
        <w:rPr>
          <w:rFonts w:cs="Charis SIL"/>
          <w:lang w:val="et-EE"/>
        </w:rPr>
      </w:pPr>
      <w:r w:rsidRPr="00FB4EFA">
        <w:rPr>
          <w:rFonts w:cs="Charis SIL"/>
          <w:lang w:val="et-EE"/>
        </w:rPr>
        <w:t>Lakoff, George</w:t>
      </w:r>
      <w:r w:rsidR="004806F8" w:rsidRPr="00FB4EFA">
        <w:rPr>
          <w:rFonts w:cs="Charis SIL"/>
          <w:lang w:val="et-EE"/>
        </w:rPr>
        <w:t xml:space="preserve"> &amp;</w:t>
      </w:r>
      <w:r w:rsidRPr="00FB4EFA">
        <w:rPr>
          <w:rFonts w:cs="Charis SIL"/>
          <w:lang w:val="et-EE"/>
        </w:rPr>
        <w:t xml:space="preserve"> Mark Johnson. 1999. </w:t>
      </w:r>
      <w:r w:rsidRPr="00FB4EFA">
        <w:rPr>
          <w:rFonts w:cs="Charis SIL"/>
          <w:i/>
          <w:lang w:val="et-EE"/>
        </w:rPr>
        <w:t>Philosophy in the Flesh: the Embodied Mind and Its Challenge to Western Thought.</w:t>
      </w:r>
      <w:r w:rsidRPr="00FB4EFA">
        <w:rPr>
          <w:rFonts w:cs="Charis SIL"/>
          <w:lang w:val="et-EE"/>
        </w:rPr>
        <w:t xml:space="preserve"> New York: Basic Books.</w:t>
      </w:r>
    </w:p>
    <w:p w14:paraId="1A84948F" w14:textId="7B8CE82A" w:rsidR="00E015F4" w:rsidRPr="00FB4EFA" w:rsidRDefault="00E015F4" w:rsidP="004806F8">
      <w:pPr>
        <w:suppressAutoHyphens/>
        <w:spacing w:line="240" w:lineRule="auto"/>
        <w:ind w:left="425" w:hanging="425"/>
        <w:rPr>
          <w:rFonts w:cs="Charis SIL"/>
          <w:lang w:val="et-EE"/>
        </w:rPr>
      </w:pPr>
      <w:r w:rsidRPr="00FB4EFA">
        <w:rPr>
          <w:rFonts w:cs="Charis SIL"/>
          <w:lang w:val="et-EE"/>
        </w:rPr>
        <w:t>LEG = Salomon Heinrich</w:t>
      </w:r>
      <w:r w:rsidR="00F979A7" w:rsidRPr="00FB4EFA">
        <w:rPr>
          <w:rFonts w:cs="Charis SIL"/>
          <w:lang w:val="et-EE"/>
        </w:rPr>
        <w:t xml:space="preserve"> Vestring</w:t>
      </w:r>
      <w:r w:rsidRPr="00FB4EFA">
        <w:rPr>
          <w:rFonts w:cs="Charis SIL"/>
          <w:lang w:val="et-EE"/>
        </w:rPr>
        <w:t xml:space="preserve">. 1998. </w:t>
      </w:r>
      <w:r w:rsidRPr="00FB4EFA">
        <w:rPr>
          <w:rFonts w:cs="Charis SIL"/>
          <w:i/>
          <w:lang w:val="et-EE"/>
        </w:rPr>
        <w:t>Lexicon Esthonico Germanicum.</w:t>
      </w:r>
      <w:r w:rsidRPr="00FB4EFA">
        <w:rPr>
          <w:rFonts w:cs="Charis SIL"/>
          <w:lang w:val="et-EE"/>
        </w:rPr>
        <w:t xml:space="preserve"> Tartu: Eesti Kirjandusmuuseum.</w:t>
      </w:r>
    </w:p>
    <w:p w14:paraId="6B43F7C8" w14:textId="39484453" w:rsidR="00E015F4" w:rsidRPr="00FB4EFA" w:rsidRDefault="00E015F4" w:rsidP="004806F8">
      <w:pPr>
        <w:suppressAutoHyphens/>
        <w:spacing w:line="240" w:lineRule="auto"/>
        <w:ind w:left="425" w:hanging="425"/>
        <w:rPr>
          <w:rFonts w:cs="Charis SIL"/>
          <w:lang w:val="et-EE"/>
        </w:rPr>
      </w:pPr>
      <w:r w:rsidRPr="00FB4EFA">
        <w:rPr>
          <w:rFonts w:cs="Charis SIL"/>
          <w:lang w:val="et-EE"/>
        </w:rPr>
        <w:t>Vainik, Ene, Pirkko Muikku-Werner</w:t>
      </w:r>
      <w:r w:rsidR="00F979A7" w:rsidRPr="00FB4EFA">
        <w:rPr>
          <w:rFonts w:cs="Charis SIL"/>
          <w:lang w:val="et-EE"/>
        </w:rPr>
        <w:t xml:space="preserve"> &amp;</w:t>
      </w:r>
      <w:r w:rsidRPr="00FB4EFA">
        <w:rPr>
          <w:rFonts w:cs="Charis SIL"/>
          <w:lang w:val="et-EE"/>
        </w:rPr>
        <w:t xml:space="preserve"> Geda Paulsen. 2021. Miten kuvailla vihaa? Viron ja suomen idiomien vertailu kognitiivisen kielitieteen näkökulmasta. </w:t>
      </w:r>
      <w:r w:rsidRPr="00FB4EFA">
        <w:rPr>
          <w:rFonts w:cs="Charis SIL"/>
          <w:i/>
          <w:lang w:val="et-EE"/>
        </w:rPr>
        <w:t>Lähivõrdlusi</w:t>
      </w:r>
      <w:r w:rsidR="00CB7F0B" w:rsidRPr="00FB4EFA">
        <w:rPr>
          <w:rFonts w:cs="Charis SIL"/>
          <w:i/>
          <w:lang w:val="et-EE"/>
        </w:rPr>
        <w:t xml:space="preserve">. </w:t>
      </w:r>
      <w:r w:rsidRPr="00FB4EFA">
        <w:rPr>
          <w:rFonts w:cs="Charis SIL"/>
          <w:i/>
          <w:lang w:val="et-EE"/>
        </w:rPr>
        <w:t xml:space="preserve">Lähivertailuja </w:t>
      </w:r>
      <w:r w:rsidRPr="00FB4EFA">
        <w:rPr>
          <w:rFonts w:cs="Charis SIL"/>
          <w:iCs/>
          <w:lang w:val="et-EE"/>
        </w:rPr>
        <w:t>31</w:t>
      </w:r>
      <w:r w:rsidRPr="00FB4EFA">
        <w:rPr>
          <w:rFonts w:cs="Charis SIL"/>
          <w:lang w:val="et-EE"/>
        </w:rPr>
        <w:t>. 252</w:t>
      </w:r>
      <w:r w:rsidR="00B738EB" w:rsidRPr="00FB4EFA">
        <w:rPr>
          <w:rFonts w:cs="Charis SIL"/>
          <w:lang w:val="et-EE"/>
        </w:rPr>
        <w:t>–</w:t>
      </w:r>
      <w:r w:rsidRPr="00FB4EFA">
        <w:rPr>
          <w:rFonts w:cs="Charis SIL"/>
          <w:lang w:val="et-EE"/>
        </w:rPr>
        <w:t>285.</w:t>
      </w:r>
    </w:p>
    <w:p w14:paraId="29859896" w14:textId="0CF40163" w:rsidR="00E015F4" w:rsidRPr="00FB4EFA" w:rsidRDefault="00E015F4" w:rsidP="004806F8">
      <w:pPr>
        <w:suppressAutoHyphens/>
        <w:spacing w:line="240" w:lineRule="auto"/>
        <w:ind w:left="425" w:hanging="425"/>
        <w:rPr>
          <w:rFonts w:cs="Charis SIL"/>
          <w:lang w:val="et-EE"/>
        </w:rPr>
      </w:pPr>
      <w:r w:rsidRPr="00FB4EFA">
        <w:rPr>
          <w:rFonts w:cs="Charis SIL"/>
          <w:lang w:val="et-EE"/>
        </w:rPr>
        <w:t>Veismann, Ann. 2001</w:t>
      </w:r>
      <w:hyperlink r:id="rId371" w:tgtFrame="_blank" w:history="1">
        <w:r w:rsidRPr="00FB4EFA">
          <w:rPr>
            <w:rFonts w:cs="Charis SIL"/>
            <w:lang w:val="et-EE"/>
          </w:rPr>
          <w:t>. On the conceptualization of time in Estonian. Ilona Tragel (</w:t>
        </w:r>
        <w:r w:rsidR="003364A0" w:rsidRPr="00FB4EFA">
          <w:rPr>
            <w:rFonts w:cs="Charis SIL"/>
            <w:lang w:val="et-EE"/>
          </w:rPr>
          <w:t>toim</w:t>
        </w:r>
        <w:r w:rsidRPr="00FB4EFA">
          <w:rPr>
            <w:rFonts w:cs="Charis SIL"/>
            <w:lang w:val="et-EE"/>
          </w:rPr>
          <w:t xml:space="preserve">.), </w:t>
        </w:r>
        <w:r w:rsidRPr="00FB4EFA">
          <w:rPr>
            <w:rFonts w:cs="Charis SIL"/>
            <w:i/>
            <w:lang w:val="et-EE"/>
          </w:rPr>
          <w:t>Papers in Estonian Cognitive Linguistics</w:t>
        </w:r>
        <w:r w:rsidR="00CB7F0B" w:rsidRPr="00FB4EFA">
          <w:rPr>
            <w:rFonts w:cs="Charis SIL"/>
            <w:lang w:val="et-EE"/>
          </w:rPr>
          <w:t>,</w:t>
        </w:r>
        <w:r w:rsidRPr="00FB4EFA">
          <w:rPr>
            <w:rFonts w:cs="Charis SIL"/>
            <w:lang w:val="et-EE"/>
          </w:rPr>
          <w:t xml:space="preserve"> 22</w:t>
        </w:r>
        <w:r w:rsidR="00B738EB" w:rsidRPr="00FB4EFA">
          <w:rPr>
            <w:rFonts w:cs="Charis SIL"/>
            <w:lang w:val="et-EE"/>
          </w:rPr>
          <w:t>–</w:t>
        </w:r>
        <w:r w:rsidRPr="00FB4EFA">
          <w:rPr>
            <w:rFonts w:cs="Charis SIL"/>
            <w:lang w:val="et-EE"/>
          </w:rPr>
          <w:t>47. Tartu: Tartu Ülikooli Kirjastus.</w:t>
        </w:r>
      </w:hyperlink>
    </w:p>
    <w:p w14:paraId="053B7FBF" w14:textId="18F4782B" w:rsidR="00E015F4" w:rsidRPr="00FB4EFA" w:rsidRDefault="00E015F4" w:rsidP="004806F8">
      <w:pPr>
        <w:suppressAutoHyphens/>
        <w:spacing w:line="240" w:lineRule="auto"/>
        <w:ind w:left="425" w:hanging="425"/>
        <w:rPr>
          <w:rFonts w:cs="Charis SIL"/>
          <w:lang w:val="et-EE"/>
        </w:rPr>
      </w:pPr>
      <w:r w:rsidRPr="00FB4EFA">
        <w:rPr>
          <w:rFonts w:cs="Charis SIL"/>
          <w:lang w:val="et-EE"/>
        </w:rPr>
        <w:t xml:space="preserve">VMS = </w:t>
      </w:r>
      <w:r w:rsidRPr="00FB4EFA">
        <w:rPr>
          <w:rFonts w:cs="Charis SIL"/>
          <w:i/>
          <w:lang w:val="et-EE"/>
        </w:rPr>
        <w:t>Väike murdesõnastik</w:t>
      </w:r>
      <w:r w:rsidRPr="00FB4EFA">
        <w:rPr>
          <w:rFonts w:cs="Charis SIL"/>
          <w:lang w:val="et-EE"/>
        </w:rPr>
        <w:t xml:space="preserve">. </w:t>
      </w:r>
      <w:hyperlink r:id="rId372" w:history="1">
        <w:r w:rsidRPr="00FB4EFA">
          <w:rPr>
            <w:rFonts w:cs="Charis SIL"/>
            <w:u w:val="single"/>
            <w:lang w:val="et-EE"/>
          </w:rPr>
          <w:t>www.eki.ee/dict/vms/</w:t>
        </w:r>
      </w:hyperlink>
      <w:r w:rsidRPr="00FB4EFA">
        <w:rPr>
          <w:rFonts w:cs="Charis SIL"/>
          <w:lang w:val="et-EE"/>
        </w:rPr>
        <w:t>.</w:t>
      </w:r>
    </w:p>
    <w:p w14:paraId="56A08047" w14:textId="014F71BF" w:rsidR="00E015F4" w:rsidRPr="00FB4EFA" w:rsidRDefault="00E015F4" w:rsidP="004806F8">
      <w:pPr>
        <w:suppressAutoHyphens/>
        <w:spacing w:line="240" w:lineRule="auto"/>
        <w:ind w:left="425" w:hanging="425"/>
        <w:rPr>
          <w:lang w:val="et-EE"/>
        </w:rPr>
      </w:pPr>
      <w:r w:rsidRPr="00FB4EFA">
        <w:rPr>
          <w:rFonts w:cs="Charis SIL"/>
          <w:lang w:val="et-EE"/>
        </w:rPr>
        <w:t>Õim, Asta</w:t>
      </w:r>
      <w:r w:rsidR="004806F8" w:rsidRPr="00FB4EFA">
        <w:rPr>
          <w:rFonts w:cs="Charis SIL"/>
          <w:lang w:val="et-EE"/>
        </w:rPr>
        <w:t xml:space="preserve"> &amp;</w:t>
      </w:r>
      <w:r w:rsidRPr="00FB4EFA">
        <w:rPr>
          <w:rFonts w:cs="Charis SIL"/>
          <w:lang w:val="et-EE"/>
        </w:rPr>
        <w:t xml:space="preserve"> Katre Õim. 2019. </w:t>
      </w:r>
      <w:r w:rsidRPr="00FB4EFA">
        <w:rPr>
          <w:rFonts w:cs="Charis SIL"/>
          <w:i/>
          <w:lang w:val="et-EE"/>
        </w:rPr>
        <w:t xml:space="preserve">Lähtekohti eesti fraseoloogia käsitlemiseks. </w:t>
      </w:r>
      <w:r w:rsidRPr="00FB4EFA">
        <w:rPr>
          <w:rFonts w:cs="Charis SIL"/>
          <w:lang w:val="et-EE"/>
        </w:rPr>
        <w:t>Tallinn: Eesti Keele Sihtasutus</w:t>
      </w:r>
      <w:r w:rsidRPr="00FB4EFA">
        <w:rPr>
          <w:lang w:val="et-EE"/>
        </w:rPr>
        <w:t>.</w:t>
      </w:r>
    </w:p>
    <w:p w14:paraId="5490BD3D" w14:textId="77777777" w:rsidR="00A96E85" w:rsidRPr="00FB4EFA" w:rsidRDefault="00A96E85" w:rsidP="00402EF4">
      <w:pPr>
        <w:spacing w:after="160"/>
        <w:jc w:val="center"/>
        <w:rPr>
          <w:smallCaps/>
          <w:sz w:val="48"/>
          <w:szCs w:val="48"/>
        </w:rPr>
        <w:sectPr w:rsidR="00A96E85" w:rsidRPr="00FB4EFA">
          <w:headerReference w:type="even" r:id="rId373"/>
          <w:headerReference w:type="default" r:id="rId374"/>
          <w:headerReference w:type="first" r:id="rId375"/>
          <w:footnotePr>
            <w:numRestart w:val="eachSect"/>
          </w:footnotePr>
          <w:pgSz w:w="9180" w:h="13302"/>
          <w:pgMar w:top="779" w:right="1133" w:bottom="1132" w:left="1133" w:header="744" w:footer="720" w:gutter="0"/>
          <w:cols w:space="720"/>
          <w:titlePg/>
        </w:sectPr>
      </w:pPr>
    </w:p>
    <w:p w14:paraId="4FB8A92C" w14:textId="77777777" w:rsidR="00A96E85" w:rsidRPr="00FB4EFA" w:rsidRDefault="00A96E85" w:rsidP="00AF0CAD">
      <w:pPr>
        <w:pStyle w:val="Authors"/>
        <w:spacing w:line="259" w:lineRule="auto"/>
        <w:rPr>
          <w:color w:val="auto"/>
          <w:lang w:val="de-AT"/>
        </w:rPr>
      </w:pPr>
      <w:r w:rsidRPr="00FB4EFA">
        <w:rPr>
          <w:color w:val="auto"/>
          <w:lang w:val="de-AT"/>
        </w:rPr>
        <w:lastRenderedPageBreak/>
        <w:t>Christian Pischlöger</w:t>
      </w:r>
    </w:p>
    <w:p w14:paraId="7A3ED8EB" w14:textId="77777777" w:rsidR="00A96E85" w:rsidRPr="00FB4EFA" w:rsidRDefault="00A96E85" w:rsidP="00402EF4"/>
    <w:p w14:paraId="5814AAB4" w14:textId="77777777" w:rsidR="00A96E85" w:rsidRPr="00FB4EFA" w:rsidRDefault="00A96E85" w:rsidP="00994E2A">
      <w:pPr>
        <w:pStyle w:val="Heading1"/>
        <w:suppressAutoHyphens/>
        <w:spacing w:line="259" w:lineRule="auto"/>
        <w:ind w:right="74"/>
        <w:rPr>
          <w:color w:val="auto"/>
          <w:lang w:val="de-AT"/>
        </w:rPr>
      </w:pPr>
      <w:bookmarkStart w:id="96" w:name="_Toc87547013"/>
      <w:bookmarkStart w:id="97" w:name="_Ref90999666"/>
      <w:r w:rsidRPr="00FB4EFA">
        <w:rPr>
          <w:color w:val="auto"/>
          <w:lang w:val="de-AT"/>
        </w:rPr>
        <w:t>Vom Nutzen und Nachteil der Sprachwissenschaft für das Leben von Minderheitensprachen: Die „Wieso-Sprache“ Besermanisch</w:t>
      </w:r>
      <w:bookmarkEnd w:id="96"/>
      <w:bookmarkEnd w:id="97"/>
    </w:p>
    <w:p w14:paraId="00D3F2FD" w14:textId="36B90325" w:rsidR="00315E3D" w:rsidRPr="00FB4EFA" w:rsidRDefault="00434D3F" w:rsidP="00B60CB1">
      <w:pPr>
        <w:spacing w:before="240" w:after="240" w:line="240" w:lineRule="auto"/>
        <w:jc w:val="right"/>
        <w:rPr>
          <w:sz w:val="20"/>
          <w:szCs w:val="20"/>
        </w:rPr>
      </w:pPr>
      <w:r w:rsidRPr="00FB4EFA">
        <w:rPr>
          <w:rFonts w:ascii="Times New Roman" w:hAnsi="Times New Roman" w:cs="Times New Roman"/>
          <w:sz w:val="20"/>
          <w:szCs w:val="20"/>
          <w:lang w:bidi="he-IL"/>
        </w:rPr>
        <w:t>אַ</w:t>
      </w:r>
      <w:r w:rsidRPr="00FB4EFA">
        <w:rPr>
          <w:rFonts w:cs="Times New Roman"/>
          <w:sz w:val="20"/>
          <w:szCs w:val="20"/>
          <w:lang w:bidi="he-IL"/>
        </w:rPr>
        <w:t xml:space="preserve"> </w:t>
      </w:r>
      <w:r w:rsidRPr="00FB4EFA">
        <w:rPr>
          <w:rFonts w:ascii="Times New Roman" w:hAnsi="Times New Roman" w:cs="Times New Roman"/>
          <w:sz w:val="20"/>
          <w:szCs w:val="20"/>
          <w:lang w:bidi="he-IL"/>
        </w:rPr>
        <w:t>שפּראַך</w:t>
      </w:r>
      <w:r w:rsidRPr="00FB4EFA">
        <w:rPr>
          <w:rFonts w:cs="Times New Roman"/>
          <w:sz w:val="20"/>
          <w:szCs w:val="20"/>
          <w:lang w:bidi="he-IL"/>
        </w:rPr>
        <w:t xml:space="preserve"> </w:t>
      </w:r>
      <w:r w:rsidRPr="00FB4EFA">
        <w:rPr>
          <w:rFonts w:ascii="Times New Roman" w:hAnsi="Times New Roman" w:cs="Times New Roman"/>
          <w:sz w:val="20"/>
          <w:szCs w:val="20"/>
          <w:lang w:bidi="he-IL"/>
        </w:rPr>
        <w:t>איז</w:t>
      </w:r>
      <w:r w:rsidRPr="00FB4EFA">
        <w:rPr>
          <w:rFonts w:cs="Times New Roman"/>
          <w:sz w:val="20"/>
          <w:szCs w:val="20"/>
          <w:lang w:bidi="he-IL"/>
        </w:rPr>
        <w:t xml:space="preserve"> </w:t>
      </w:r>
      <w:r w:rsidRPr="00FB4EFA">
        <w:rPr>
          <w:rFonts w:ascii="Times New Roman" w:hAnsi="Times New Roman" w:cs="Times New Roman"/>
          <w:sz w:val="20"/>
          <w:szCs w:val="20"/>
          <w:lang w:bidi="he-IL"/>
        </w:rPr>
        <w:t>אַ</w:t>
      </w:r>
      <w:r w:rsidRPr="00FB4EFA">
        <w:rPr>
          <w:rFonts w:cs="Times New Roman"/>
          <w:sz w:val="20"/>
          <w:szCs w:val="20"/>
          <w:lang w:bidi="he-IL"/>
        </w:rPr>
        <w:t xml:space="preserve"> </w:t>
      </w:r>
      <w:r w:rsidRPr="00FB4EFA">
        <w:rPr>
          <w:rFonts w:ascii="Times New Roman" w:hAnsi="Times New Roman" w:cs="Times New Roman"/>
          <w:sz w:val="20"/>
          <w:szCs w:val="20"/>
          <w:lang w:bidi="he-IL"/>
        </w:rPr>
        <w:t>דיאַלעקט</w:t>
      </w:r>
      <w:r w:rsidRPr="00FB4EFA">
        <w:rPr>
          <w:rFonts w:cs="Times New Roman"/>
          <w:sz w:val="20"/>
          <w:szCs w:val="20"/>
          <w:lang w:bidi="he-IL"/>
        </w:rPr>
        <w:t xml:space="preserve"> </w:t>
      </w:r>
      <w:r w:rsidRPr="00FB4EFA">
        <w:rPr>
          <w:rFonts w:ascii="Times New Roman" w:hAnsi="Times New Roman" w:cs="Times New Roman"/>
          <w:sz w:val="20"/>
          <w:szCs w:val="20"/>
          <w:lang w:bidi="he-IL"/>
        </w:rPr>
        <w:t>מיט</w:t>
      </w:r>
      <w:r w:rsidRPr="00FB4EFA">
        <w:rPr>
          <w:rFonts w:cs="Times New Roman"/>
          <w:sz w:val="20"/>
          <w:szCs w:val="20"/>
          <w:lang w:bidi="he-IL"/>
        </w:rPr>
        <w:t xml:space="preserve"> </w:t>
      </w:r>
      <w:r w:rsidRPr="00FB4EFA">
        <w:rPr>
          <w:rFonts w:ascii="Times New Roman" w:hAnsi="Times New Roman" w:cs="Times New Roman"/>
          <w:sz w:val="20"/>
          <w:szCs w:val="20"/>
          <w:lang w:bidi="he-IL"/>
        </w:rPr>
        <w:t>אַן</w:t>
      </w:r>
      <w:r w:rsidRPr="00FB4EFA">
        <w:rPr>
          <w:rFonts w:cs="Times New Roman"/>
          <w:sz w:val="20"/>
          <w:szCs w:val="20"/>
          <w:lang w:bidi="he-IL"/>
        </w:rPr>
        <w:t xml:space="preserve"> </w:t>
      </w:r>
      <w:r w:rsidRPr="00FB4EFA">
        <w:rPr>
          <w:rFonts w:ascii="Times New Roman" w:hAnsi="Times New Roman" w:cs="Times New Roman"/>
          <w:sz w:val="20"/>
          <w:szCs w:val="20"/>
          <w:lang w:bidi="he-IL"/>
        </w:rPr>
        <w:t>אַרמיי</w:t>
      </w:r>
      <w:r w:rsidRPr="00FB4EFA">
        <w:rPr>
          <w:rFonts w:cs="Charis SIL"/>
          <w:sz w:val="20"/>
          <w:szCs w:val="20"/>
          <w:lang w:bidi="he-IL"/>
        </w:rPr>
        <w:t xml:space="preserve"> </w:t>
      </w:r>
      <w:r w:rsidRPr="00FB4EFA">
        <w:rPr>
          <w:rFonts w:ascii="Times New Roman" w:hAnsi="Times New Roman" w:cs="Times New Roman"/>
          <w:sz w:val="20"/>
          <w:szCs w:val="20"/>
          <w:lang w:bidi="he-IL"/>
        </w:rPr>
        <w:t>און</w:t>
      </w:r>
      <w:r w:rsidRPr="00FB4EFA">
        <w:rPr>
          <w:rFonts w:cs="Charis SIL"/>
          <w:sz w:val="20"/>
          <w:szCs w:val="20"/>
          <w:lang w:bidi="he-IL"/>
        </w:rPr>
        <w:t xml:space="preserve"> </w:t>
      </w:r>
      <w:r w:rsidRPr="00FB4EFA">
        <w:rPr>
          <w:rFonts w:ascii="Times New Roman" w:hAnsi="Times New Roman" w:cs="Times New Roman"/>
          <w:sz w:val="20"/>
          <w:szCs w:val="20"/>
          <w:lang w:bidi="he-IL"/>
        </w:rPr>
        <w:t>פֿלאָט</w:t>
      </w:r>
      <w:r w:rsidR="00315E3D" w:rsidRPr="00FB4EFA">
        <w:rPr>
          <w:sz w:val="20"/>
          <w:szCs w:val="20"/>
        </w:rPr>
        <w:br/>
        <w:t>(Weinreich 194</w:t>
      </w:r>
      <w:r w:rsidRPr="00FB4EFA">
        <w:rPr>
          <w:sz w:val="20"/>
          <w:szCs w:val="20"/>
        </w:rPr>
        <w:t>5</w:t>
      </w:r>
      <w:r w:rsidR="006057AB" w:rsidRPr="00FB4EFA">
        <w:rPr>
          <w:sz w:val="20"/>
          <w:szCs w:val="20"/>
        </w:rPr>
        <w:t>: 13</w:t>
      </w:r>
      <w:r w:rsidR="00315E3D" w:rsidRPr="00FB4EFA">
        <w:rPr>
          <w:sz w:val="20"/>
          <w:szCs w:val="20"/>
        </w:rPr>
        <w:t>)</w:t>
      </w:r>
    </w:p>
    <w:p w14:paraId="2CEFEFB3" w14:textId="6EED0114" w:rsidR="00315E3D" w:rsidRPr="00FB4EFA" w:rsidRDefault="00315E3D" w:rsidP="00B60CB1">
      <w:pPr>
        <w:spacing w:before="240" w:after="240" w:line="240" w:lineRule="auto"/>
        <w:jc w:val="right"/>
        <w:rPr>
          <w:sz w:val="20"/>
          <w:szCs w:val="20"/>
        </w:rPr>
      </w:pPr>
      <w:r w:rsidRPr="00FB4EFA">
        <w:rPr>
          <w:sz w:val="20"/>
          <w:szCs w:val="20"/>
        </w:rPr>
        <w:t xml:space="preserve">дифференциация </w:t>
      </w:r>
      <w:r w:rsidR="00EC71AC" w:rsidRPr="00FB4EFA">
        <w:rPr>
          <w:sz w:val="20"/>
          <w:szCs w:val="20"/>
        </w:rPr>
        <w:t>«</w:t>
      </w:r>
      <w:r w:rsidRPr="00FB4EFA">
        <w:rPr>
          <w:sz w:val="20"/>
          <w:szCs w:val="20"/>
        </w:rPr>
        <w:t xml:space="preserve">язык </w:t>
      </w:r>
      <w:r w:rsidR="00A62A6B" w:rsidRPr="00FB4EFA">
        <w:rPr>
          <w:sz w:val="20"/>
          <w:szCs w:val="20"/>
        </w:rPr>
        <w:t>–</w:t>
      </w:r>
      <w:r w:rsidRPr="00FB4EFA">
        <w:rPr>
          <w:sz w:val="20"/>
          <w:szCs w:val="20"/>
        </w:rPr>
        <w:t xml:space="preserve"> диалект</w:t>
      </w:r>
      <w:r w:rsidR="006057AB" w:rsidRPr="00FB4EFA">
        <w:rPr>
          <w:sz w:val="20"/>
          <w:szCs w:val="20"/>
        </w:rPr>
        <w:t>»</w:t>
      </w:r>
      <w:r w:rsidRPr="00FB4EFA">
        <w:rPr>
          <w:sz w:val="20"/>
          <w:szCs w:val="20"/>
        </w:rPr>
        <w:t xml:space="preserve"> лингвистически</w:t>
      </w:r>
      <w:r w:rsidRPr="00FB4EFA">
        <w:rPr>
          <w:sz w:val="20"/>
          <w:szCs w:val="20"/>
        </w:rPr>
        <w:br/>
        <w:t>не искушенному индивидууму не дана</w:t>
      </w:r>
      <w:r w:rsidRPr="00FB4EFA">
        <w:rPr>
          <w:sz w:val="20"/>
          <w:szCs w:val="20"/>
        </w:rPr>
        <w:br/>
        <w:t>(Kalnyn 1976: 38)</w:t>
      </w:r>
    </w:p>
    <w:p w14:paraId="01A5F0B7" w14:textId="336D9958" w:rsidR="00315E3D" w:rsidRPr="00FB4EFA" w:rsidRDefault="00315E3D" w:rsidP="00B60CB1">
      <w:pPr>
        <w:spacing w:before="240" w:after="240" w:line="240" w:lineRule="auto"/>
        <w:jc w:val="right"/>
        <w:rPr>
          <w:sz w:val="20"/>
          <w:szCs w:val="20"/>
        </w:rPr>
      </w:pPr>
      <w:r w:rsidRPr="00FB4EFA">
        <w:rPr>
          <w:sz w:val="20"/>
          <w:szCs w:val="20"/>
        </w:rPr>
        <w:t>Ты же лингвист, ты и скажи нам, диалект это или язык</w:t>
      </w:r>
      <w:r w:rsidRPr="00FB4EFA">
        <w:rPr>
          <w:sz w:val="20"/>
          <w:szCs w:val="20"/>
        </w:rPr>
        <w:br/>
        <w:t>(Kalnyn 1976: 38)</w:t>
      </w:r>
    </w:p>
    <w:p w14:paraId="4A42C267" w14:textId="50D4AE1E" w:rsidR="00315E3D" w:rsidRPr="00FB4EFA" w:rsidRDefault="00315E3D" w:rsidP="00AF0CAD">
      <w:r w:rsidRPr="00FB4EFA">
        <w:t>Die Beserman:innen sind eine kleine ethnische Minderheit in der Russländischen Föderation und Sprecher:innen einer permischen Varietät, die wie viele Sprachen in Russland gefährdet ist. Der vorliegende Artikel versucht anhand der Sprache der Beserman:innen darzustellen, welche Verantwortung Sprachwissenschafter:innen und Feldforscher:innen tragen, die eine solche Sprache erforschen und beschreiben. Auf der Habenseite steh</w:t>
      </w:r>
      <w:r w:rsidR="006057AB" w:rsidRPr="00FB4EFA">
        <w:t>t</w:t>
      </w:r>
      <w:r w:rsidRPr="00FB4EFA">
        <w:t xml:space="preserve"> zweifellos die große Anzahl an Publikationen, die das Besermanische zu einem der besterforschten (Minderheiten-)Idiome innerhalb der Uralistik machen, was auch von den Sprecher:innen sehr positiv rezipiert wird. Auf der Sollseite hingegen zu nennen ist die Einschätzung des Besermanischen als „nur“ ein Dialekt des Udmurtischen. Dies wird vor allem auch durch die prominente Verwendung der Bezeichnung </w:t>
      </w:r>
      <w:r w:rsidRPr="00FB4EFA">
        <w:rPr>
          <w:i/>
          <w:iCs/>
        </w:rPr>
        <w:t xml:space="preserve">наречие </w:t>
      </w:r>
      <w:r w:rsidRPr="00FB4EFA">
        <w:t>in den Titeln derselben Publikationen und somit auch für an linguistischen Inhalten nicht weiter interessierten Sprecher:innen und Informant:innen sofort und oft als einzige „Lehre“ wahrgenommen. Dies widerspricht aber der Selbsteinschätzung der Sprecher:innen des Besermanischen, die ihre Varietät als eigenständige und vom Udmurtischen zu unterscheidende Sprache ansehen. Der vorliegende Artikel versteht sich als Plädoyer dafür, dass Sprachwissenschafter:innen sich in ihrer Tätigkeit nicht ausschließlich auf strukturelle Kriterien und Forschungstradi</w:t>
      </w:r>
      <w:r w:rsidRPr="00FB4EFA">
        <w:lastRenderedPageBreak/>
        <w:t>tionen berufen sollten, sondern auch und vor allem den Willen und die Meinung der Sprecher:innen zu berücksichtigen haben.</w:t>
      </w:r>
    </w:p>
    <w:p w14:paraId="7E28BE62" w14:textId="77777777" w:rsidR="00315E3D" w:rsidRPr="00FB4EFA" w:rsidRDefault="00315E3D" w:rsidP="00545033">
      <w:pPr>
        <w:pStyle w:val="Heading2"/>
        <w:numPr>
          <w:ilvl w:val="0"/>
          <w:numId w:val="17"/>
        </w:numPr>
        <w:suppressAutoHyphens/>
        <w:spacing w:line="259" w:lineRule="auto"/>
        <w:rPr>
          <w:color w:val="auto"/>
          <w:lang w:val="de-AT"/>
        </w:rPr>
      </w:pPr>
      <w:r w:rsidRPr="00FB4EFA">
        <w:rPr>
          <w:color w:val="auto"/>
          <w:lang w:val="de-AT"/>
        </w:rPr>
        <w:t>Kontext</w:t>
      </w:r>
    </w:p>
    <w:p w14:paraId="7C1CB50D" w14:textId="77777777" w:rsidR="00315E3D" w:rsidRPr="00FB4EFA" w:rsidRDefault="00315E3D" w:rsidP="00402EF4">
      <w:r w:rsidRPr="00FB4EFA">
        <w:t>Die Beserman:innen leben vorwiegend im Nordwesten der Udmurtischen Republik in den Bezirken Jukamenskoe, Jar, Balezino und Glazov, manchmal in monoethnischen, meistens in ethnisch gemischten Siedlungen zusammen mit Tatar:innen, Russ:innen und Udmurt:innen (Popova 1998: 16). Bei der ersten Volkszählung der UdSSR im Jahre 1926 gaben noch 10.035 Personen an Beserman:innen zu sein. In allen weiteren Volkszählungen der Sowjetunion nach 1926 wurden sie dann zu den Udmurt:innen gezählt. Da diese Zurechnung vielfach als falsch erachtet wurde, gab es zwar noch bis Ende der 1930er Jahre diverse Versuche lokaler Behörden die Beserman:innen wieder offiziell zu erfassen, diese waren aber nicht von Erfolg gekrönt (Popova 2011: 275–276). Erst in der ersten Volkszählung der neuentstandenen Russländischen Föderation hatte man wieder die Möglichkeit die Zugehörigkeit zu den Beserman:innen auch offiziell anzugeben, wovon im Jahr 2002 aber nur mehr 3.122 Personen Gebrauch machten, also um mehr als zwei Drittel weniger als 1926. Acht Jahre später war die Zahl der sich als Beserman:innen identifizierenden Personen neuerlich um fast ein Drittel gesunken, und zwar auf 2.201 (Russlandweite Volkszählung 2002, 2010).</w:t>
      </w:r>
    </w:p>
    <w:p w14:paraId="745AB2E0" w14:textId="71C85B4A" w:rsidR="00315E3D" w:rsidRPr="00FB4EFA" w:rsidRDefault="00315E3D" w:rsidP="00AF0CAD">
      <w:pPr>
        <w:ind w:firstLine="709"/>
      </w:pPr>
      <w:r w:rsidRPr="00FB4EFA">
        <w:t xml:space="preserve">1990 wurde die </w:t>
      </w:r>
      <w:r w:rsidRPr="00FB4EFA">
        <w:rPr>
          <w:i/>
          <w:iCs/>
        </w:rPr>
        <w:t>Gesellschaft des besermanischen Volke</w:t>
      </w:r>
      <w:r w:rsidRPr="00FB4EFA">
        <w:t>s</w:t>
      </w:r>
      <w:r w:rsidRPr="00FB4EFA">
        <w:rPr>
          <w:i/>
          <w:iCs/>
        </w:rPr>
        <w:t xml:space="preserve"> in der </w:t>
      </w:r>
      <w:r w:rsidR="004806F8" w:rsidRPr="00FB4EFA">
        <w:rPr>
          <w:i/>
          <w:iCs/>
        </w:rPr>
        <w:br/>
      </w:r>
      <w:r w:rsidRPr="00FB4EFA">
        <w:rPr>
          <w:i/>
          <w:iCs/>
        </w:rPr>
        <w:t>Republik Udmurtien</w:t>
      </w:r>
      <w:r w:rsidRPr="00FB4EFA">
        <w:t xml:space="preserve"> („Общество бесермянского народа в Удмуртской Республике“) gegründet, deren Ziel zunächst die Wiederherstellung der historischen </w:t>
      </w:r>
      <w:r w:rsidR="006057AB" w:rsidRPr="00FB4EFA">
        <w:t xml:space="preserve">Volksbezeichnung </w:t>
      </w:r>
      <w:r w:rsidRPr="00FB4EFA">
        <w:t>und damit die Anerkennung als eigene Volksgruppe war. Im Juni 1992, also kurz nach dem Zerfall der Sowjetunion und dem Entstehen der Russländischen Föderation, beschloss das Präsidium des Obersten Sowjets der Udmurtischen Republik den Beserman:innen den Status eines eigenständigen Volkes zurückzugeben, der ihnen seit der Volkszählung 1926 verweigert wurde. Dieser Entscheidung stimmten 66,3</w:t>
      </w:r>
      <w:r w:rsidR="00F600F9" w:rsidRPr="00FB4EFA">
        <w:t> </w:t>
      </w:r>
      <w:r w:rsidRPr="00FB4EFA">
        <w:t>% der Beserman:innen zu, nur 12,8</w:t>
      </w:r>
      <w:r w:rsidR="00F600F9" w:rsidRPr="00FB4EFA">
        <w:t> </w:t>
      </w:r>
      <w:r w:rsidRPr="00FB4EFA">
        <w:t>% wollten weiterhin zu den Udmurt:innen und immerhin 3</w:t>
      </w:r>
      <w:r w:rsidR="00F600F9" w:rsidRPr="00FB4EFA">
        <w:t> </w:t>
      </w:r>
      <w:r w:rsidRPr="00FB4EFA">
        <w:t>% zu den Russ:innen gezählt werden; 17,8</w:t>
      </w:r>
      <w:r w:rsidR="00F600F9" w:rsidRPr="00FB4EFA">
        <w:t> </w:t>
      </w:r>
      <w:r w:rsidRPr="00FB4EFA">
        <w:t xml:space="preserve">% waren in der Beurteilung dieses Aktes noch unentschieden </w:t>
      </w:r>
      <w:r w:rsidR="004806F8" w:rsidRPr="00FB4EFA">
        <w:br/>
      </w:r>
      <w:r w:rsidRPr="00FB4EFA">
        <w:t>(</w:t>
      </w:r>
      <w:r w:rsidRPr="00FB4EFA">
        <w:rPr>
          <w:rFonts w:eastAsia="Noto Sans CJK SC" w:cs="Lohit Devanagari"/>
        </w:rPr>
        <w:t>Š</w:t>
      </w:r>
      <w:r w:rsidRPr="00FB4EFA">
        <w:t xml:space="preserve">kljaev 1997a: 118). Mit der erfolgreichen Anerkennung verbunden war </w:t>
      </w:r>
      <w:r w:rsidRPr="00FB4EFA">
        <w:lastRenderedPageBreak/>
        <w:t>auch die Aufnahme in die Liste der kleinen indigenen Völker der Russländischen Föderation (Popova 2011: 277, Liste der anerkannten Minderheiten 2000).</w:t>
      </w:r>
    </w:p>
    <w:p w14:paraId="568D1EA7" w14:textId="77777777" w:rsidR="00315E3D" w:rsidRPr="00FB4EFA" w:rsidRDefault="00315E3D" w:rsidP="00402EF4">
      <w:pPr>
        <w:ind w:firstLine="709"/>
      </w:pPr>
      <w:r w:rsidRPr="00FB4EFA">
        <w:t>Die Sprache der Beserman:innen gehört zu den permischen Sprachen der uralischen Sprachfamilie und ist mit dem Udmurtischen nahe verwandt. Im Gegensatz zum Udmurtischen ist Besermanisch nicht standardisiert und sein Status als eigene Sprache umstritten. Während die meisten Linguist:innen das Besermanische aus strukturellen Gründen als dialektale (Unter-)Gruppe dem Udmurtischen zuzählen, sieht die Mehrheit der Sprecher:innen es als eine selbständige Sprache an (vgl. Abschnitt 2). Die Beserman:innen folgen traditionell einer bäuerlichen Lebensweise, noch im Jahr 2010 bewohnten drei Viertel aller Beserman:innen den ländlichen Raum (Russlandweite Volkszählung 2010). In den von den städtischen Zentren mehr oder weniger abgelegenen besermanischen Siedlungen konnte sich in dieser relativ isolierten Lage die Sprache lange erhalten. Allerdings führen rezente Entwicklungen wie Landflucht, gemischte Ehen, der steigende Einfluss von Massenmedien etc. zu vermehrten Kontakten mit Nicht-Beserman:innen und damit auch zu einer zunehmenden Gefährdung der Weitergabe der Sprache von Generation zu Generation. Мit steigendem Bildungsniveau sinkt die Bereitschaft Besermanisch als Muttersprache anzusehen (</w:t>
      </w:r>
      <w:r w:rsidRPr="00FB4EFA">
        <w:rPr>
          <w:rFonts w:eastAsia="Noto Sans CJK SC" w:cs="Lohit Devanagari"/>
        </w:rPr>
        <w:t>Š</w:t>
      </w:r>
      <w:r w:rsidRPr="00FB4EFA">
        <w:t>kljaev 1997a: 113), in der Stadt – damit ist sind vor allem die „nördliche Hauptstadt“ Udmurtiens, Glazov, und Bezirkshaupstädte wie Jukamenskoe gemeint – wird entweder Russifizierung oder Udmurtisierung zur existenziellen Bedrohung. Das Aufkommen des Internets und der sozialen Medien sowie die damit ohne großen Aufwand auch Laien zugänglichen Forschungsresultate, die vom Besermanischen als „nur“ einem udmurtischen Dialekt sprechen, führen zu einer Verunsicherung der Sprecher:innen über den Status der Muttersprache. Dies gefährdet den Bestand des Besermanischen zusätzlich, denn für den Erhalt der eigenständigen Muttersprache nimmt man mehr Mühen und auch Frustration in Kauf als für den Dialekt einer Sprache, mit der man sich nicht identifiziert.</w:t>
      </w:r>
    </w:p>
    <w:p w14:paraId="7EDDE06E" w14:textId="77777777" w:rsidR="00315E3D" w:rsidRPr="00FB4EFA" w:rsidRDefault="00315E3D" w:rsidP="00545033">
      <w:pPr>
        <w:pStyle w:val="Heading2"/>
        <w:numPr>
          <w:ilvl w:val="0"/>
          <w:numId w:val="17"/>
        </w:numPr>
        <w:suppressAutoHyphens/>
        <w:spacing w:line="259" w:lineRule="auto"/>
        <w:rPr>
          <w:color w:val="auto"/>
          <w:lang w:val="de-AT"/>
        </w:rPr>
      </w:pPr>
      <w:r w:rsidRPr="00FB4EFA">
        <w:rPr>
          <w:color w:val="auto"/>
          <w:lang w:val="de-AT"/>
        </w:rPr>
        <w:lastRenderedPageBreak/>
        <w:t>Eigene Sprache oder Dialekt?</w:t>
      </w:r>
    </w:p>
    <w:p w14:paraId="20F7CE27" w14:textId="7EE991CC" w:rsidR="00315E3D" w:rsidRPr="00FB4EFA" w:rsidRDefault="00315E3D" w:rsidP="00AF0CAD">
      <w:r w:rsidRPr="00FB4EFA">
        <w:t xml:space="preserve">Vertreter:innen der vor allem russländischen, aber durch Übernahme der Forschungsergebnisse auch westlichen Sprachwissenschaft sind fast geschlossen der Meinung, dass die Sprache der Beserman:innen einen Dialekt bzw. eine (Sub-)Dialektgruppe des Udmurtischen darstellt. Diese Einschätzung beruht ausschließlich auf „harten“ strukturellen Kriterien, „weiche“ soziolinguistische Argumente, wie </w:t>
      </w:r>
      <w:r w:rsidR="0030017E" w:rsidRPr="00FB4EFA">
        <w:t>z. B.</w:t>
      </w:r>
      <w:r w:rsidRPr="00FB4EFA">
        <w:t xml:space="preserve"> das Eigenverständnis der Sprecher:innen</w:t>
      </w:r>
      <w:r w:rsidR="00E95B67" w:rsidRPr="00FB4EFA">
        <w:t>,</w:t>
      </w:r>
      <w:r w:rsidRPr="00FB4EFA">
        <w:t xml:space="preserve"> finden in den Publikationen kaum Beachtung und dürften vielleicht aus Desinteresse an solchen Fragestellungen den Forschenden gar nicht bekannt sein. Diese Auffassung des Besermanischen als Dialekt des Udmurtischen findet sich dementsprechend auch in den einschlägigen Publikationen. Dies beginnt schon in der ältesten </w:t>
      </w:r>
      <w:r w:rsidR="006E3FD1" w:rsidRPr="00FB4EFA">
        <w:br/>
      </w:r>
      <w:r w:rsidRPr="00FB4EFA">
        <w:t>(Wichmann 1893) und älteren Fachliteratur (</w:t>
      </w:r>
      <w:r w:rsidR="0030017E" w:rsidRPr="00FB4EFA">
        <w:t>z. B.</w:t>
      </w:r>
      <w:r w:rsidRPr="00FB4EFA">
        <w:t xml:space="preserve"> Csúcs 1985, Kelmakov 1985) und setzt sich bis heute fort (vgl. exemplarisch Usa</w:t>
      </w:r>
      <w:r w:rsidRPr="00FB4EFA">
        <w:rPr>
          <w:rFonts w:eastAsia="Noto Sans CJK SC" w:cs="Lohit Devanagari"/>
        </w:rPr>
        <w:t>čeva et al. 2017</w:t>
      </w:r>
      <w:r w:rsidRPr="00FB4EFA">
        <w:t>), wobei traditionelle Vorstellungen anscheinend unhinterfragt übernommen werden. Immerhin hat es die Sprache der Beserman:innen in der traditionellen udmurtischen Dialektologie zu einer eigenen Untergruppe geschafft. Diese Sonderstellung der „Sprache der Besermanen im System der udmurtischen Dialekte“ (Kelmakov 2003: 133) beruht auf phonetischen, morphosyntaktischen und lexikalischen Besonderheiten bzw. der Verflechtung der aus den beiden großen Hauptgruppen, namentlich der nördlichen und der südlichen Dialekte des Udmurtischen, stammenden Merkmale (Kelmakov 2003: 13</w:t>
      </w:r>
      <w:r w:rsidR="00C65823" w:rsidRPr="00FB4EFA">
        <w:t>3–1</w:t>
      </w:r>
      <w:r w:rsidRPr="00FB4EFA">
        <w:t>34). Die Erklärung für diesen „gemischten Charakter“ des Besermanischen ist zumindest teilweise in der Ethnogenese der Beserman:innen zu vermuten, die bis heute in vielen Fragen offen und von zahlreichen Mythen umrankt ist. Allerdings scheinen Ergebnisse der modernen (Korpus-)Linguistik den Beserman:innen und ihrer Sprache auch diese Sonderstellung abzusprechen, denn in einer vor allem auf lexikalischen Daten beruhenden Studie scheint das Besermanische gar nicht so auszuscheren. Trotzdem wird die Sonderstellung des Besermanischen vor allem aus soziolinguistischen Gründen beibehalten (Arkhangelskij 2021: 12). Die Berücksichtigung „weicher“ Kriterien in dieser rezenteren Publikation aus dem Jahr 2021 könnte man als ein Umdenken von zumindest einigen Sprachwissenschafter:innen in Bezug auf den Status des Besermanischen deuten.</w:t>
      </w:r>
    </w:p>
    <w:p w14:paraId="5DAC811D" w14:textId="5CCE4B37" w:rsidR="00315E3D" w:rsidRPr="00FB4EFA" w:rsidRDefault="00315E3D" w:rsidP="00AF0CAD">
      <w:pPr>
        <w:ind w:firstLine="709"/>
      </w:pPr>
      <w:r w:rsidRPr="00FB4EFA">
        <w:lastRenderedPageBreak/>
        <w:t>Wenn zuvor davon die Rede war, dass Sprach</w:t>
      </w:r>
      <w:r w:rsidR="00B60CB1" w:rsidRPr="00FB4EFA">
        <w:softHyphen/>
      </w:r>
      <w:r w:rsidRPr="00FB4EFA">
        <w:t>wissenschafter:innen in ihren Publikationen das Besermanische „nur“ als (Unter-)Dialekt des Udmurtischen bezeichnen, so stimmt das in dieser Form übrigens nicht ganz. Es findet sich eine Fülle an Bezeichnungen, die ohne Definition nebeneinander und augenscheinlich synonym verwendet werden, hier exemplarisch dargestellt an Hand von drei Quellen (</w:t>
      </w:r>
      <w:r w:rsidRPr="00FB4EFA">
        <w:rPr>
          <w:rFonts w:eastAsia="Noto Sans CJK SC" w:cs="Lohit Devanagari"/>
        </w:rPr>
        <w:t>Karpova 1998, Kelmakov 2003, Usačeva et al. 2017</w:t>
      </w:r>
      <w:r w:rsidRPr="00FB4EFA">
        <w:t xml:space="preserve">): </w:t>
      </w:r>
      <w:r w:rsidRPr="00FB4EFA">
        <w:rPr>
          <w:i/>
          <w:iCs/>
        </w:rPr>
        <w:t>бесермянское наречие</w:t>
      </w:r>
      <w:r w:rsidRPr="00FB4EFA">
        <w:t xml:space="preserve"> </w:t>
      </w:r>
      <w:r w:rsidR="006057AB" w:rsidRPr="00FB4EFA">
        <w:rPr>
          <w:lang w:val="en-GB"/>
        </w:rPr>
        <w:t>‘</w:t>
      </w:r>
      <w:r w:rsidRPr="00FB4EFA">
        <w:t>besermanischer Supradialekt</w:t>
      </w:r>
      <w:r w:rsidR="006057AB" w:rsidRPr="00FB4EFA">
        <w:rPr>
          <w:lang w:val="en-GB"/>
        </w:rPr>
        <w:t>’</w:t>
      </w:r>
      <w:r w:rsidRPr="00FB4EFA">
        <w:t xml:space="preserve"> (</w:t>
      </w:r>
      <w:r w:rsidR="0030017E" w:rsidRPr="00FB4EFA">
        <w:t>z. B.</w:t>
      </w:r>
      <w:r w:rsidRPr="00FB4EFA">
        <w:t xml:space="preserve"> </w:t>
      </w:r>
      <w:r w:rsidRPr="00FB4EFA">
        <w:rPr>
          <w:rFonts w:eastAsia="Noto Sans CJK SC" w:cs="Lohit Devanagari"/>
        </w:rPr>
        <w:t xml:space="preserve">Karpova 1998: 121, 123; </w:t>
      </w:r>
      <w:r w:rsidRPr="00FB4EFA">
        <w:t>Kelmakov 2003: 99, 100, 101, 105, 108, 109, 110 etc.; Usa</w:t>
      </w:r>
      <w:r w:rsidRPr="00FB4EFA">
        <w:rPr>
          <w:rFonts w:eastAsia="Noto Sans CJK SC" w:cs="Lohit Devanagari"/>
        </w:rPr>
        <w:t>čeva et al. 2017: 1, 2, 3, 4, 5, 11</w:t>
      </w:r>
      <w:r w:rsidRPr="00FB4EFA">
        <w:t xml:space="preserve">), </w:t>
      </w:r>
      <w:r w:rsidRPr="00FB4EFA">
        <w:rPr>
          <w:i/>
          <w:iCs/>
        </w:rPr>
        <w:t>язык бесермян</w:t>
      </w:r>
      <w:r w:rsidRPr="00FB4EFA">
        <w:t xml:space="preserve"> </w:t>
      </w:r>
      <w:r w:rsidR="006057AB" w:rsidRPr="00FB4EFA">
        <w:rPr>
          <w:lang w:val="en-GB"/>
        </w:rPr>
        <w:t>‘</w:t>
      </w:r>
      <w:r w:rsidRPr="00FB4EFA">
        <w:t>Sprache der Besermanen</w:t>
      </w:r>
      <w:r w:rsidR="006057AB" w:rsidRPr="00FB4EFA">
        <w:rPr>
          <w:rFonts w:eastAsia="Noto Sans CJK SC" w:cs="Lohit Devanagari"/>
        </w:rPr>
        <w:t>’</w:t>
      </w:r>
      <w:r w:rsidRPr="00FB4EFA">
        <w:t xml:space="preserve"> (</w:t>
      </w:r>
      <w:r w:rsidR="0030017E" w:rsidRPr="00FB4EFA">
        <w:t>z. B.</w:t>
      </w:r>
      <w:r w:rsidRPr="00FB4EFA">
        <w:t xml:space="preserve"> </w:t>
      </w:r>
      <w:r w:rsidRPr="00FB4EFA">
        <w:rPr>
          <w:rFonts w:eastAsia="Noto Sans CJK SC" w:cs="Lohit Devanagari"/>
        </w:rPr>
        <w:t xml:space="preserve">Karpova 1998: 121, 122, 123, 124, 125; </w:t>
      </w:r>
      <w:r w:rsidRPr="00FB4EFA">
        <w:t>Kelmakov 2003: 99; 100, 101, 133, 134; Usa</w:t>
      </w:r>
      <w:r w:rsidRPr="00FB4EFA">
        <w:rPr>
          <w:rFonts w:eastAsia="Noto Sans CJK SC" w:cs="Lohit Devanagari"/>
        </w:rPr>
        <w:t>čeva et al. 2017: 1, 3</w:t>
      </w:r>
      <w:r w:rsidRPr="00FB4EFA">
        <w:t xml:space="preserve">), </w:t>
      </w:r>
      <w:r w:rsidRPr="00FB4EFA">
        <w:rPr>
          <w:i/>
          <w:iCs/>
        </w:rPr>
        <w:t xml:space="preserve">бесермянский диалект </w:t>
      </w:r>
      <w:r w:rsidR="006057AB" w:rsidRPr="00FB4EFA">
        <w:rPr>
          <w:lang w:val="en-GB"/>
        </w:rPr>
        <w:t>‘</w:t>
      </w:r>
      <w:r w:rsidRPr="00FB4EFA">
        <w:t>besermanischer (Sub</w:t>
      </w:r>
      <w:r w:rsidR="008C6F01" w:rsidRPr="00FB4EFA">
        <w:noBreakHyphen/>
      </w:r>
      <w:r w:rsidRPr="00FB4EFA">
        <w:t>)Dialekt</w:t>
      </w:r>
      <w:r w:rsidR="006057AB" w:rsidRPr="00FB4EFA">
        <w:rPr>
          <w:rFonts w:eastAsia="Noto Sans CJK SC" w:cs="Lohit Devanagari"/>
        </w:rPr>
        <w:t>’</w:t>
      </w:r>
      <w:r w:rsidRPr="00FB4EFA">
        <w:t xml:space="preserve"> (</w:t>
      </w:r>
      <w:r w:rsidR="0030017E" w:rsidRPr="00FB4EFA">
        <w:t>z. B.</w:t>
      </w:r>
      <w:r w:rsidRPr="00FB4EFA">
        <w:t xml:space="preserve"> </w:t>
      </w:r>
      <w:r w:rsidRPr="00FB4EFA">
        <w:rPr>
          <w:rFonts w:eastAsia="Noto Sans CJK SC" w:cs="Lohit Devanagari"/>
        </w:rPr>
        <w:t xml:space="preserve">Karpova 1998: 121, 123, 124; </w:t>
      </w:r>
      <w:r w:rsidRPr="00FB4EFA">
        <w:t xml:space="preserve">Kelmakov 2003: 99, 100, 101, 107, 120, 121, 128, 133), ja sogar </w:t>
      </w:r>
      <w:r w:rsidRPr="00FB4EFA">
        <w:rPr>
          <w:i/>
          <w:iCs/>
        </w:rPr>
        <w:t xml:space="preserve">бесермянский язык </w:t>
      </w:r>
      <w:r w:rsidR="006057AB" w:rsidRPr="00FB4EFA">
        <w:rPr>
          <w:lang w:val="en-GB"/>
        </w:rPr>
        <w:t>‘</w:t>
      </w:r>
      <w:r w:rsidRPr="00FB4EFA">
        <w:t>besermanische Sprache</w:t>
      </w:r>
      <w:r w:rsidR="006057AB" w:rsidRPr="00FB4EFA">
        <w:rPr>
          <w:rFonts w:eastAsia="Noto Sans CJK SC" w:cs="Lohit Devanagari"/>
        </w:rPr>
        <w:t>’</w:t>
      </w:r>
      <w:r w:rsidRPr="00FB4EFA">
        <w:t xml:space="preserve"> (</w:t>
      </w:r>
      <w:r w:rsidR="0030017E" w:rsidRPr="00FB4EFA">
        <w:t>z. B.</w:t>
      </w:r>
      <w:r w:rsidRPr="00FB4EFA">
        <w:t xml:space="preserve"> </w:t>
      </w:r>
      <w:r w:rsidRPr="00FB4EFA">
        <w:rPr>
          <w:rFonts w:eastAsia="Noto Sans CJK SC" w:cs="Lohit Devanagari"/>
        </w:rPr>
        <w:t xml:space="preserve">Karpova 1998: 121, 124; </w:t>
      </w:r>
      <w:r w:rsidRPr="00FB4EFA">
        <w:t>Kelmakov 2003: 99; Usa</w:t>
      </w:r>
      <w:r w:rsidRPr="00FB4EFA">
        <w:rPr>
          <w:rFonts w:eastAsia="Noto Sans CJK SC" w:cs="Lohit Devanagari"/>
        </w:rPr>
        <w:t>čeva et al. 2017: 3, 4, 12</w:t>
      </w:r>
      <w:r w:rsidRPr="00FB4EFA">
        <w:t>). Wie man anhand dieser drei Quellen sieht, finden sich in der Fachliteratur in oft ein und derselben Publikation, ja sogar innerhalb eines Satzes</w:t>
      </w:r>
      <w:r w:rsidR="00E95B67" w:rsidRPr="00FB4EFA">
        <w:t>,</w:t>
      </w:r>
      <w:r w:rsidRPr="00FB4EFA">
        <w:t xml:space="preserve"> verschiedene Bezeichnungen, die sich bei genauer Betrachtung eigentlich ausschließen. Deutliches Übergewicht hat dabei wohl </w:t>
      </w:r>
      <w:r w:rsidRPr="00FB4EFA">
        <w:rPr>
          <w:i/>
          <w:iCs/>
        </w:rPr>
        <w:t>наречие</w:t>
      </w:r>
      <w:r w:rsidRPr="00FB4EFA">
        <w:t xml:space="preserve"> </w:t>
      </w:r>
      <w:r w:rsidR="006057AB" w:rsidRPr="00FB4EFA">
        <w:rPr>
          <w:lang w:val="en-GB"/>
        </w:rPr>
        <w:t>‘</w:t>
      </w:r>
      <w:r w:rsidRPr="00FB4EFA">
        <w:t>Supradialekt</w:t>
      </w:r>
      <w:r w:rsidR="006057AB" w:rsidRPr="00FB4EFA">
        <w:rPr>
          <w:rFonts w:eastAsia="Noto Sans CJK SC" w:cs="Lohit Devanagari"/>
        </w:rPr>
        <w:t>’</w:t>
      </w:r>
      <w:r w:rsidRPr="00FB4EFA">
        <w:t xml:space="preserve">, gefolgt von </w:t>
      </w:r>
      <w:r w:rsidRPr="00FB4EFA">
        <w:rPr>
          <w:i/>
          <w:iCs/>
        </w:rPr>
        <w:t>язык бесермян</w:t>
      </w:r>
      <w:r w:rsidRPr="00FB4EFA">
        <w:t xml:space="preserve"> </w:t>
      </w:r>
      <w:r w:rsidR="006057AB" w:rsidRPr="00FB4EFA">
        <w:rPr>
          <w:lang w:val="en-GB"/>
        </w:rPr>
        <w:t>‘</w:t>
      </w:r>
      <w:r w:rsidRPr="00FB4EFA">
        <w:t>Sprache der Besermanen</w:t>
      </w:r>
      <w:r w:rsidR="006057AB" w:rsidRPr="00FB4EFA">
        <w:rPr>
          <w:rFonts w:eastAsia="Noto Sans CJK SC" w:cs="Lohit Devanagari"/>
        </w:rPr>
        <w:t>’</w:t>
      </w:r>
      <w:r w:rsidRPr="00FB4EFA">
        <w:t>,</w:t>
      </w:r>
      <w:r w:rsidRPr="00FB4EFA">
        <w:rPr>
          <w:i/>
          <w:iCs/>
        </w:rPr>
        <w:t xml:space="preserve"> </w:t>
      </w:r>
      <w:r w:rsidRPr="00FB4EFA">
        <w:t xml:space="preserve">seltener findet man auch </w:t>
      </w:r>
      <w:r w:rsidRPr="00FB4EFA">
        <w:rPr>
          <w:i/>
          <w:iCs/>
        </w:rPr>
        <w:t>диалект</w:t>
      </w:r>
      <w:r w:rsidRPr="00FB4EFA">
        <w:t xml:space="preserve"> </w:t>
      </w:r>
      <w:r w:rsidR="006057AB" w:rsidRPr="00FB4EFA">
        <w:rPr>
          <w:lang w:val="en-GB"/>
        </w:rPr>
        <w:t>‘</w:t>
      </w:r>
      <w:r w:rsidRPr="00FB4EFA">
        <w:t>Dialekt</w:t>
      </w:r>
      <w:r w:rsidR="006057AB" w:rsidRPr="00FB4EFA">
        <w:rPr>
          <w:rFonts w:eastAsia="Noto Sans CJK SC" w:cs="Lohit Devanagari"/>
        </w:rPr>
        <w:t>’</w:t>
      </w:r>
      <w:r w:rsidRPr="00FB4EFA">
        <w:t xml:space="preserve">. Bemerkenswert ist die vereinzelt auftauchende Bezeichnung </w:t>
      </w:r>
      <w:r w:rsidRPr="00FB4EFA">
        <w:rPr>
          <w:i/>
          <w:iCs/>
        </w:rPr>
        <w:t>бесермянский</w:t>
      </w:r>
      <w:r w:rsidRPr="00FB4EFA">
        <w:t xml:space="preserve"> </w:t>
      </w:r>
      <w:r w:rsidR="006057AB" w:rsidRPr="00FB4EFA">
        <w:rPr>
          <w:lang w:val="en-GB"/>
        </w:rPr>
        <w:t>‘</w:t>
      </w:r>
      <w:r w:rsidRPr="00FB4EFA">
        <w:rPr>
          <w:rFonts w:eastAsia="Noto Sans CJK SC" w:cs="Lohit Devanagari"/>
        </w:rPr>
        <w:t>B</w:t>
      </w:r>
      <w:r w:rsidRPr="00FB4EFA">
        <w:t>esermanisch</w:t>
      </w:r>
      <w:r w:rsidR="006057AB" w:rsidRPr="00FB4EFA">
        <w:rPr>
          <w:rFonts w:eastAsia="Noto Sans CJK SC" w:cs="Lohit Devanagari"/>
        </w:rPr>
        <w:t>’</w:t>
      </w:r>
      <w:r w:rsidRPr="00FB4EFA">
        <w:rPr>
          <w:rFonts w:eastAsia="Noto Sans CJK SC" w:cs="Lohit Devanagari"/>
        </w:rPr>
        <w:t xml:space="preserve"> </w:t>
      </w:r>
      <w:r w:rsidRPr="00FB4EFA">
        <w:t xml:space="preserve">bzw. </w:t>
      </w:r>
      <w:r w:rsidRPr="00FB4EFA">
        <w:rPr>
          <w:i/>
          <w:iCs/>
        </w:rPr>
        <w:t xml:space="preserve">бесермянский язык </w:t>
      </w:r>
      <w:r w:rsidR="006057AB" w:rsidRPr="00FB4EFA">
        <w:rPr>
          <w:lang w:val="en-GB"/>
        </w:rPr>
        <w:t>‘</w:t>
      </w:r>
      <w:r w:rsidRPr="00FB4EFA">
        <w:t>besermanische Sprache</w:t>
      </w:r>
      <w:r w:rsidR="006057AB" w:rsidRPr="00FB4EFA">
        <w:rPr>
          <w:rFonts w:eastAsia="Noto Sans CJK SC" w:cs="Lohit Devanagari"/>
        </w:rPr>
        <w:t>’</w:t>
      </w:r>
      <w:r w:rsidRPr="00FB4EFA">
        <w:t xml:space="preserve">, und zwar auch bei Forscher:innen, die sich an anderer Stelle vehement gegen diese Sichtweise einsetzen. Diese Vielfalt findet sich allerdings nur </w:t>
      </w:r>
      <w:r w:rsidRPr="00FB4EFA">
        <w:rPr>
          <w:i/>
          <w:iCs/>
        </w:rPr>
        <w:t>in</w:t>
      </w:r>
      <w:r w:rsidRPr="00FB4EFA">
        <w:t xml:space="preserve"> den diversen Publikationen, in den Überschriften und Titeln selbst wird in der Regel ostentativ darauf beharrt, dass es sich beim Besermanischen keinesfalls um eine eigenständige Sprache handelt, sondern um irgendeine dialektale Form des Udmurtischen. Die berühmteste Ausnahme von dieser Regel stellt die Monographie von Tamara Tepljašina (1970) dar, die den Titel </w:t>
      </w:r>
      <w:r w:rsidRPr="00FB4EFA">
        <w:rPr>
          <w:i/>
          <w:iCs/>
        </w:rPr>
        <w:t>Sprache der Besermanen</w:t>
      </w:r>
      <w:r w:rsidRPr="00FB4EFA">
        <w:t xml:space="preserve"> trägt und damit diese Frage eben offen lässt. Erst nach einem längeren Überblick über die Ethnogenese und Siedlungsgeschichte der Beserman:innen kommt sie ziemlich spät – nämlich auf Seite 35 – zum eigentlichen Thema des Buches </w:t>
      </w:r>
      <w:r w:rsidRPr="00FB4EFA">
        <w:rPr>
          <w:lang w:eastAsia="en-GB"/>
        </w:rPr>
        <w:t>(Tepljašina 1970: 35–37)</w:t>
      </w:r>
      <w:r w:rsidRPr="00FB4EFA">
        <w:t>:</w:t>
      </w:r>
    </w:p>
    <w:p w14:paraId="43C7C9F8" w14:textId="77777777" w:rsidR="000121EA" w:rsidRPr="00FB4EFA" w:rsidRDefault="00315E3D" w:rsidP="002752AF">
      <w:pPr>
        <w:suppressAutoHyphens/>
        <w:spacing w:before="240" w:after="240" w:line="240" w:lineRule="auto"/>
        <w:ind w:left="709"/>
        <w:rPr>
          <w:sz w:val="20"/>
          <w:szCs w:val="20"/>
          <w:lang w:eastAsia="en-GB"/>
        </w:rPr>
      </w:pPr>
      <w:r w:rsidRPr="00FB4EFA">
        <w:rPr>
          <w:sz w:val="20"/>
          <w:szCs w:val="20"/>
          <w:lang w:eastAsia="en-GB"/>
        </w:rPr>
        <w:t xml:space="preserve">Под термином «язык бесермян» мы понимаем язык особой этнической группы удмуртского народа. До революции своей </w:t>
      </w:r>
      <w:r w:rsidRPr="00FB4EFA">
        <w:rPr>
          <w:sz w:val="20"/>
          <w:szCs w:val="20"/>
          <w:lang w:eastAsia="en-GB"/>
        </w:rPr>
        <w:lastRenderedPageBreak/>
        <w:t>письменности бесермяне не имели. После Великого Октября они получили письменность на удмуртском языке. Почти все бесермяне двуязычны: говорят на родном и удмуртском. Родной их язык, которые ныне определяется как спеицифический диалект удмуртского языка – это народно-разговорный язык; используется он в быту и фольклоре. Второй язык бесермян – удмуртский; они прекрасно владеют северноудмуртском диалектом. Литературный язык бесермян, как уже указывалось, удмуртский. Старшее поколение бесермян говорит на своеобразном удмуртском диалекте. В среде молодого поколения колхозников и местной сельской интеллигенции общепринятым средством общения является удмуртский литературный язык. Таким образом, наше описание ориентировано на состояние живой речи старшего поколения бесермян, и понятия «язык бесермян» и «бесермянский диалект удмуртского языка» адекватны.</w:t>
      </w:r>
    </w:p>
    <w:p w14:paraId="24E4C281" w14:textId="11199183" w:rsidR="00315E3D" w:rsidRPr="00FB4EFA" w:rsidRDefault="00315E3D" w:rsidP="00AF0CAD">
      <w:r w:rsidRPr="00FB4EFA">
        <w:t xml:space="preserve">Obwohl Tepljašina sogar von einem udmurtischen Subethnos spricht, was heute sicher nicht mehr haltbar wäre, und </w:t>
      </w:r>
      <w:r w:rsidRPr="00FB4EFA">
        <w:rPr>
          <w:i/>
          <w:iCs/>
        </w:rPr>
        <w:t xml:space="preserve">innerhalb </w:t>
      </w:r>
      <w:r w:rsidRPr="00FB4EFA">
        <w:t>ihrer Monographie in keinster Weise von der traditionellen Auffassung in der Sprachwissenschaft abweicht und meist von einem udmurtischen Dialekt spricht, hat sie sich dennoch für den Titel „Sprache der Besermanen“ entschieden und nicht etwa für „Besermanischer Dialekt des Udmurtischen“ o.</w:t>
      </w:r>
      <w:r w:rsidR="00394635" w:rsidRPr="00FB4EFA">
        <w:t xml:space="preserve"> </w:t>
      </w:r>
      <w:r w:rsidRPr="00FB4EFA">
        <w:t xml:space="preserve">ä., wie es in rezenten Publikationen Usus ist. Über die Gründe ihrer Wahl kann man nur mutmaßen, aber ich vermute, dass es sich hier um eine Rücksichtnahme auf die Sprecher:innen des Besermanischen </w:t>
      </w:r>
      <w:r w:rsidR="006E3FD1" w:rsidRPr="00FB4EFA">
        <w:br/>
      </w:r>
      <w:r w:rsidRPr="00FB4EFA">
        <w:t xml:space="preserve">handelt, diese Entscheidung daher nicht auf strukturellen, </w:t>
      </w:r>
      <w:r w:rsidR="006E3FD1" w:rsidRPr="00FB4EFA">
        <w:br/>
      </w:r>
      <w:r w:rsidRPr="00FB4EFA">
        <w:t xml:space="preserve">sondern „außerlinguistischen“, namentlich soziolinguistischen bzw. </w:t>
      </w:r>
      <w:r w:rsidR="006E3FD1" w:rsidRPr="00FB4EFA">
        <w:br/>
      </w:r>
      <w:r w:rsidRPr="00FB4EFA">
        <w:t xml:space="preserve">(forschungs)ethischen Kriterien beruhte. Denn zumindest durfte man 1970 noch annehmen, dass Informant:innen zwar den Titel der Monographie erfahren könnten, aber nur wenige von ihnen – wenn überhaupt – Gelegenheit haben würden, dieses Buch in die Hand zu bekommen, geschweige denn, genug Zeit und Muße zu haben, es in seiner Gänze zu studieren. Eine ähnliche löbliche Ausnahme stellt noch ein Artikel einer Spezialistin der udmurtischen Dialekte an der Mittleren </w:t>
      </w:r>
      <w:r w:rsidRPr="00FB4EFA">
        <w:rPr>
          <w:rFonts w:eastAsia="Noto Sans CJK SC" w:cs="Lohit Devanagari"/>
        </w:rPr>
        <w:t>Čepca dar, die diese Frage ähnlich delikat behandelt, sich offenbar nicht festlegen will und das Besermanische sowohl im Titel des Artikels als auch im Artikel selbst als Sprache bezeichnet (Karpova 1998: 121, 124; s.</w:t>
      </w:r>
      <w:r w:rsidR="00E95B67" w:rsidRPr="00FB4EFA">
        <w:rPr>
          <w:rFonts w:eastAsia="Noto Sans CJK SC" w:cs="Lohit Devanagari"/>
        </w:rPr>
        <w:t xml:space="preserve"> </w:t>
      </w:r>
      <w:r w:rsidRPr="00FB4EFA">
        <w:rPr>
          <w:rFonts w:eastAsia="Noto Sans CJK SC" w:cs="Lohit Devanagari"/>
        </w:rPr>
        <w:t>o.).</w:t>
      </w:r>
    </w:p>
    <w:p w14:paraId="7706A0FB" w14:textId="4C9B4785" w:rsidR="00315E3D" w:rsidRPr="00FB4EFA" w:rsidRDefault="00315E3D" w:rsidP="00402EF4">
      <w:pPr>
        <w:ind w:firstLine="709"/>
      </w:pPr>
      <w:r w:rsidRPr="00FB4EFA">
        <w:t xml:space="preserve">Halten wir also zum Ende dieses Abschnitts fest, dass die überwiegende Mehrheit der Linguist:innen in der Regel ohne Angaben der </w:t>
      </w:r>
      <w:r w:rsidRPr="00FB4EFA">
        <w:lastRenderedPageBreak/>
        <w:t>dafür zugrunde liegenden Kriterien die Auffassung vertritt, es handle sich beim Besermanischen um einen udmurtischen (Supra</w:t>
      </w:r>
      <w:r w:rsidR="00434D3F" w:rsidRPr="00FB4EFA">
        <w:noBreakHyphen/>
      </w:r>
      <w:r w:rsidRPr="00FB4EFA">
        <w:t>)Dialekt, was sich in der Regel vor allem in den Titeln der Publikationen manifestiert – mit wenigen Ausnahmen (s.</w:t>
      </w:r>
      <w:r w:rsidR="00E95B67" w:rsidRPr="00FB4EFA">
        <w:t xml:space="preserve"> </w:t>
      </w:r>
      <w:r w:rsidRPr="00FB4EFA">
        <w:t>o.). Die parallele Verwendung manchmal an sich nicht vereinbarer Begriffe (</w:t>
      </w:r>
      <w:r w:rsidR="006057AB" w:rsidRPr="00FB4EFA">
        <w:rPr>
          <w:lang w:val="en-GB"/>
        </w:rPr>
        <w:t>‘</w:t>
      </w:r>
      <w:r w:rsidRPr="00FB4EFA">
        <w:t>udmurtischer [Sub-]Dialekt</w:t>
      </w:r>
      <w:r w:rsidR="006057AB" w:rsidRPr="00FB4EFA">
        <w:rPr>
          <w:rFonts w:eastAsia="Noto Sans CJK SC" w:cs="Lohit Devanagari"/>
        </w:rPr>
        <w:t>’</w:t>
      </w:r>
      <w:r w:rsidRPr="00FB4EFA">
        <w:t xml:space="preserve">, </w:t>
      </w:r>
      <w:r w:rsidR="006057AB" w:rsidRPr="00FB4EFA">
        <w:rPr>
          <w:lang w:val="en-GB"/>
        </w:rPr>
        <w:t>‘</w:t>
      </w:r>
      <w:r w:rsidRPr="00FB4EFA">
        <w:t>udmurtischer [Supra-]Dialekt</w:t>
      </w:r>
      <w:r w:rsidR="006057AB" w:rsidRPr="00FB4EFA">
        <w:rPr>
          <w:rFonts w:eastAsia="Noto Sans CJK SC" w:cs="Lohit Devanagari"/>
        </w:rPr>
        <w:t>’</w:t>
      </w:r>
      <w:r w:rsidRPr="00FB4EFA">
        <w:t xml:space="preserve">, </w:t>
      </w:r>
      <w:r w:rsidR="006057AB" w:rsidRPr="00FB4EFA">
        <w:rPr>
          <w:lang w:val="en-GB"/>
        </w:rPr>
        <w:t>‘</w:t>
      </w:r>
      <w:r w:rsidRPr="00FB4EFA">
        <w:t>Sprache der Besermanen</w:t>
      </w:r>
      <w:r w:rsidR="006057AB" w:rsidRPr="00FB4EFA">
        <w:rPr>
          <w:rFonts w:eastAsia="Noto Sans CJK SC" w:cs="Lohit Devanagari"/>
        </w:rPr>
        <w:t>’</w:t>
      </w:r>
      <w:r w:rsidRPr="00FB4EFA">
        <w:t xml:space="preserve">, </w:t>
      </w:r>
      <w:r w:rsidR="006057AB" w:rsidRPr="00FB4EFA">
        <w:rPr>
          <w:lang w:val="en-GB"/>
        </w:rPr>
        <w:t>‘</w:t>
      </w:r>
      <w:r w:rsidRPr="00FB4EFA">
        <w:t>besermanische Sprache</w:t>
      </w:r>
      <w:r w:rsidR="006057AB" w:rsidRPr="00FB4EFA">
        <w:rPr>
          <w:rFonts w:eastAsia="Noto Sans CJK SC" w:cs="Lohit Devanagari"/>
        </w:rPr>
        <w:t>’</w:t>
      </w:r>
      <w:r w:rsidRPr="00FB4EFA">
        <w:t xml:space="preserve">) innerhalb der Texte der Publikationen sind wohl eher mit den stilistischen Regeln der russischen Sprache – nämlich der Vermeidung von Wortwiederholungen – zu erklären, als mit dem Verständnis laienlinguistischer Ansichten der Muttersprachler:innen und einer Rücksichtnahme darauf. Die Auffassung vom Besermanischen als Dialekt des Udmurtischen wird dann übrigens auch in Publikationen anderer nicht-linguistischer Disziplinen übernommen, obwohl die Autor:innen persönlich vielleicht anderer Ansicht sein mögen. So findet sich </w:t>
      </w:r>
      <w:r w:rsidR="0030017E" w:rsidRPr="00FB4EFA">
        <w:t>z. B.</w:t>
      </w:r>
      <w:r w:rsidRPr="00FB4EFA">
        <w:t xml:space="preserve"> in Veröffentlichungen aus den Bereichen der Kulturanthropologie, Ethnographie, aber auch des Journalismus immer und immer wieder die stereotype und nahezu gleichlautende Aussage „[б]есермяне [</w:t>
      </w:r>
      <w:r w:rsidR="00950296" w:rsidRPr="00FB4EFA">
        <w:t>…</w:t>
      </w:r>
      <w:r w:rsidRPr="00FB4EFA">
        <w:t>] говорят на бесермянском наречии удмуртского языка“ (</w:t>
      </w:r>
      <w:r w:rsidR="0030017E" w:rsidRPr="00FB4EFA">
        <w:t>z. B.</w:t>
      </w:r>
      <w:r w:rsidRPr="00FB4EFA">
        <w:t xml:space="preserve"> Popova 2011: 275), wenn von der Sprache der Beserman:innen die Rede ist. Dabei fühlen sich die Verfasser:innen anscheinend gezwungen sich auf das Urteil der Linguist:innen zu verlassen, denn wer sonst – so die Annahme der Nicht-Linguist:innen – außer den Sprachwissenschafter:innen sollte denn unterscheiden können, was eine Sprache und was ein Dialekt sei. Dass die Sprecher:innen selbst eine ganz andere Auffassung vom Status ihrer Muttersprache haben, soll im nächsten Abschnitt gezeigt werden.</w:t>
      </w:r>
    </w:p>
    <w:p w14:paraId="545AC062" w14:textId="77777777" w:rsidR="00315E3D" w:rsidRPr="00FB4EFA" w:rsidRDefault="00315E3D" w:rsidP="00545033">
      <w:pPr>
        <w:pStyle w:val="Heading2"/>
        <w:numPr>
          <w:ilvl w:val="0"/>
          <w:numId w:val="17"/>
        </w:numPr>
        <w:suppressAutoHyphens/>
        <w:spacing w:line="259" w:lineRule="auto"/>
        <w:rPr>
          <w:color w:val="auto"/>
          <w:lang w:val="de-AT"/>
        </w:rPr>
      </w:pPr>
      <w:r w:rsidRPr="00FB4EFA">
        <w:rPr>
          <w:color w:val="auto"/>
          <w:lang w:val="de-AT"/>
        </w:rPr>
        <w:t>Die Stimme der Sprecher:innen: Die „ethnostatistische Erhebung“ aus dem Jahr 1995</w:t>
      </w:r>
    </w:p>
    <w:p w14:paraId="38934B8A" w14:textId="3EF4AF66" w:rsidR="00315E3D" w:rsidRPr="00FB4EFA" w:rsidRDefault="00315E3D" w:rsidP="00402EF4">
      <w:r w:rsidRPr="00FB4EFA">
        <w:t>Im Jahre 1995 wurde vom Udmurtischen Institut für Geschichte, Sprache und Literatur eine Befragung unter 460 Beserman:innen über 16 Jahren durchgeführt, das entspricht einer Grundgesamtheit von 14,9</w:t>
      </w:r>
      <w:r w:rsidR="00F600F9" w:rsidRPr="00FB4EFA">
        <w:t> %</w:t>
      </w:r>
      <w:r w:rsidRPr="00FB4EFA">
        <w:t xml:space="preserve"> (</w:t>
      </w:r>
      <w:r w:rsidRPr="00FB4EFA">
        <w:rPr>
          <w:rFonts w:eastAsia="Noto Sans CJK SC" w:cs="Lohit Devanagari"/>
        </w:rPr>
        <w:t>Š</w:t>
      </w:r>
      <w:r w:rsidRPr="00FB4EFA">
        <w:t xml:space="preserve">kljaev 1997a: 110), also einer für solche Studien außerordentlich hohen Anzahl an Befragten. Bei dieser Studie wurden auch Daten zu den benutzten Sprachen sowie den damit zusammenhängenden Sprachattitüden und </w:t>
      </w:r>
      <w:r w:rsidR="00F600F9" w:rsidRPr="00FB4EFA">
        <w:noBreakHyphen/>
      </w:r>
      <w:r w:rsidRPr="00FB4EFA">
        <w:t xml:space="preserve">ideologien erhoben. Der aus 40 Fragen bestehende Fragebogen kann im </w:t>
      </w:r>
      <w:r w:rsidRPr="00FB4EFA">
        <w:lastRenderedPageBreak/>
        <w:t xml:space="preserve">Anhang eines Sammelbandes </w:t>
      </w:r>
      <w:r w:rsidRPr="00FB4EFA">
        <w:rPr>
          <w:rFonts w:eastAsia="Noto Sans CJK SC" w:cs="Lohit Devanagari"/>
        </w:rPr>
        <w:t>(Škljaev 1997b: 132–138) nachgelesen werden, eine Zusammenfassung der Ergebnisse, die hier in Kürze dargestellt werden soll, findet sich ebenda (Škljaev 1997a: 110–120)</w:t>
      </w:r>
      <w:r w:rsidRPr="00FB4EFA">
        <w:t>. Das vielleicht wichtigste Ergebnis dieser Erhebung ist wohl, dass für 72,6</w:t>
      </w:r>
      <w:r w:rsidR="00F600F9" w:rsidRPr="00FB4EFA">
        <w:t> %</w:t>
      </w:r>
      <w:r w:rsidRPr="00FB4EFA">
        <w:t xml:space="preserve"> der Befragten das Besermanische eine eigenständige Sprache ist. Nur 13,2</w:t>
      </w:r>
      <w:r w:rsidR="00F600F9" w:rsidRPr="00FB4EFA">
        <w:t> %</w:t>
      </w:r>
      <w:r w:rsidRPr="00FB4EFA">
        <w:t xml:space="preserve"> glauben, dass es sich dabei um einen Dialekt des Udmurtischen handelt. Vor allem ältere Sprecher:innen vertreten die Sichtweise einer eigenständigen besermanischen Sprache, nämlich 82,2</w:t>
      </w:r>
      <w:r w:rsidR="00F600F9" w:rsidRPr="00FB4EFA">
        <w:t> %</w:t>
      </w:r>
      <w:r w:rsidRPr="00FB4EFA">
        <w:t>. Was die Muttersprache angeht, so nannten 61,4</w:t>
      </w:r>
      <w:r w:rsidR="00F600F9" w:rsidRPr="00FB4EFA">
        <w:t> %</w:t>
      </w:r>
      <w:r w:rsidRPr="00FB4EFA">
        <w:t xml:space="preserve"> das Besermanische als ihre Muttersprache, 18,5</w:t>
      </w:r>
      <w:r w:rsidR="00F600F9" w:rsidRPr="00FB4EFA">
        <w:t> %</w:t>
      </w:r>
      <w:r w:rsidRPr="00FB4EFA">
        <w:t xml:space="preserve"> das Udmurtische und 10,7</w:t>
      </w:r>
      <w:r w:rsidR="00F600F9" w:rsidRPr="00FB4EFA">
        <w:t> %</w:t>
      </w:r>
      <w:r w:rsidRPr="00FB4EFA">
        <w:t xml:space="preserve"> das Russische, wobei sich dieses Verhältnis bei den in der Stadt wohnenden Beserman:innen deutlich zu Ungunsten des Besermanischen (48</w:t>
      </w:r>
      <w:r w:rsidR="00F600F9" w:rsidRPr="00FB4EFA">
        <w:t> %</w:t>
      </w:r>
      <w:r w:rsidRPr="00FB4EFA">
        <w:t>) und zu Gunsten des Udmurtischen (25,7</w:t>
      </w:r>
      <w:r w:rsidR="00F600F9" w:rsidRPr="00FB4EFA">
        <w:t> %</w:t>
      </w:r>
      <w:r w:rsidRPr="00FB4EFA">
        <w:t>) und Russischen (19,4</w:t>
      </w:r>
      <w:r w:rsidR="00F600F9" w:rsidRPr="00FB4EFA">
        <w:t> %</w:t>
      </w:r>
      <w:r w:rsidRPr="00FB4EFA">
        <w:t>) verschob. Auf die Frage, ob sie die Sendungen des udmurtischen Radios und Fernsehen, also die udmurtische Standardsprache verstünden, antworteten 30,4</w:t>
      </w:r>
      <w:r w:rsidR="00F600F9" w:rsidRPr="00FB4EFA">
        <w:t> %</w:t>
      </w:r>
      <w:r w:rsidRPr="00FB4EFA">
        <w:t xml:space="preserve"> der Informant:innen, dass sie diese nur schlecht verstehen.</w:t>
      </w:r>
    </w:p>
    <w:p w14:paraId="05C5C21B" w14:textId="546046B0" w:rsidR="00315E3D" w:rsidRPr="00FB4EFA" w:rsidRDefault="00315E3D" w:rsidP="00AF0CAD">
      <w:pPr>
        <w:ind w:firstLine="709"/>
      </w:pPr>
      <w:r w:rsidRPr="00FB4EFA">
        <w:t xml:space="preserve">In derselben Studie gab es auch zwei Fragen zur besermanischen Identität, bei denen die Sprache als eine von mehreren Antwortmöglichkeiten angeboten wurde, nämlich </w:t>
      </w:r>
      <w:r w:rsidRPr="00FB4EFA">
        <w:rPr>
          <w:i/>
          <w:iCs/>
        </w:rPr>
        <w:t>Was verbindet Sie mit Landsleuten Ihrer Nationalität?</w:t>
      </w:r>
      <w:r w:rsidRPr="00FB4EFA">
        <w:rPr>
          <w:iCs/>
          <w:vertAlign w:val="superscript"/>
        </w:rPr>
        <w:footnoteReference w:id="124"/>
      </w:r>
      <w:r w:rsidRPr="00FB4EFA">
        <w:t xml:space="preserve"> und </w:t>
      </w:r>
      <w:r w:rsidRPr="00FB4EFA">
        <w:rPr>
          <w:i/>
          <w:iCs/>
        </w:rPr>
        <w:t>Worin besteht Ihrer Meinung nach der Hauptunterschied zwischen Besermanen und Udmurten?</w:t>
      </w:r>
      <w:r w:rsidRPr="00FB4EFA">
        <w:rPr>
          <w:iCs/>
          <w:vertAlign w:val="superscript"/>
        </w:rPr>
        <w:footnoteReference w:id="125"/>
      </w:r>
      <w:r w:rsidRPr="00FB4EFA">
        <w:t xml:space="preserve"> (</w:t>
      </w:r>
      <w:r w:rsidRPr="00FB4EFA">
        <w:rPr>
          <w:rFonts w:eastAsia="Noto Sans CJK SC" w:cs="Lohit Devanagari"/>
        </w:rPr>
        <w:t>Škljaev 1997b: 137</w:t>
      </w:r>
      <w:r w:rsidRPr="00FB4EFA">
        <w:t>). Auf die erste Frage wurde die gemeinsame Sprache als wichtigstes Merkmal der Verbundenheit mit anderen Beserman:innen angegeben, und zwar von 38,5</w:t>
      </w:r>
      <w:r w:rsidR="00F600F9" w:rsidRPr="00FB4EFA">
        <w:t> %</w:t>
      </w:r>
      <w:r w:rsidRPr="00FB4EFA">
        <w:t xml:space="preserve"> der Befragten. Deutlich auf die Plätze dahinter wurden die anderen Kategorien verwiesen: Volksbräuche und Traditionen (21,1</w:t>
      </w:r>
      <w:r w:rsidR="00F600F9" w:rsidRPr="00FB4EFA">
        <w:t> %</w:t>
      </w:r>
      <w:r w:rsidRPr="00FB4EFA">
        <w:t>), gemeinsame Abstammung (14,9</w:t>
      </w:r>
      <w:r w:rsidR="00F600F9" w:rsidRPr="00FB4EFA">
        <w:t> %</w:t>
      </w:r>
      <w:r w:rsidRPr="00FB4EFA">
        <w:t>) sowie charakterliche und psychische Eigenschaften (12,4</w:t>
      </w:r>
      <w:r w:rsidR="00F600F9" w:rsidRPr="00FB4EFA">
        <w:t> %</w:t>
      </w:r>
      <w:r w:rsidRPr="00FB4EFA">
        <w:t>). Interessant scheint auch, dass auf die zweite Frage fast die Hälfte der Befragten (47,1</w:t>
      </w:r>
      <w:r w:rsidR="00F600F9" w:rsidRPr="00FB4EFA">
        <w:t> %</w:t>
      </w:r>
      <w:r w:rsidRPr="00FB4EFA">
        <w:t>) antwortete, sich von den Udmurt:innen vor allem durch die Sprache zu unterscheiden. Obwohl bei dieser Frage Mehrfachantworten zulässig waren, wurden hier die anderen vorgegebenen Kategorien noch viel seltener genannt: Traditionen und Gewohnheiten (14,6</w:t>
      </w:r>
      <w:r w:rsidR="00F600F9" w:rsidRPr="00FB4EFA">
        <w:t> %</w:t>
      </w:r>
      <w:r w:rsidRPr="00FB4EFA">
        <w:t>), Charakterzüge und Temperament (10,4</w:t>
      </w:r>
      <w:r w:rsidR="00F600F9" w:rsidRPr="00FB4EFA">
        <w:t> %</w:t>
      </w:r>
      <w:r w:rsidRPr="00FB4EFA">
        <w:t xml:space="preserve">), </w:t>
      </w:r>
      <w:r w:rsidRPr="00FB4EFA">
        <w:lastRenderedPageBreak/>
        <w:t>äußerliches Erscheinungsbild (6,3</w:t>
      </w:r>
      <w:r w:rsidR="00F600F9" w:rsidRPr="00FB4EFA">
        <w:t> %</w:t>
      </w:r>
      <w:r w:rsidRPr="00FB4EFA">
        <w:t>) und Lebensstil (6,1</w:t>
      </w:r>
      <w:r w:rsidR="00F600F9" w:rsidRPr="00FB4EFA">
        <w:t> %</w:t>
      </w:r>
      <w:r w:rsidRPr="00FB4EFA">
        <w:t>). Nur sehr wenige Befragte (6,3</w:t>
      </w:r>
      <w:r w:rsidR="00F600F9" w:rsidRPr="00FB4EFA">
        <w:t> %</w:t>
      </w:r>
      <w:r w:rsidRPr="00FB4EFA">
        <w:t>) gaben übrigens an, dass es zwischen Beserman:innen und Udmurt:innen keine Unterschiede gäbe. Für die Sprache als wichtigsten Marker der Identität und nationalen Zugehörigkeit zu den Beserman:innen sprechen auch andere Zahlen. So beabsichtigten 84,8</w:t>
      </w:r>
      <w:r w:rsidR="00F600F9" w:rsidRPr="00FB4EFA">
        <w:t> </w:t>
      </w:r>
      <w:r w:rsidRPr="00FB4EFA">
        <w:t>% der Befragten mit besermanischer Muttersprache sich bei der nächsten Volkszählung als Beserman:innen zu deklarieren, aber nur 37,1</w:t>
      </w:r>
      <w:r w:rsidR="00F600F9" w:rsidRPr="00FB4EFA">
        <w:t> </w:t>
      </w:r>
      <w:r w:rsidRPr="00FB4EFA">
        <w:t>% derjenigen, die eine andere Muttersprache, also Udmurtisch oder Russisch, angegeben hatten.</w:t>
      </w:r>
    </w:p>
    <w:p w14:paraId="0EB4388A" w14:textId="77777777" w:rsidR="00315E3D" w:rsidRPr="00FB4EFA" w:rsidRDefault="00315E3D" w:rsidP="002752AF">
      <w:pPr>
        <w:ind w:firstLine="709"/>
      </w:pPr>
      <w:r w:rsidRPr="00FB4EFA">
        <w:t>Bemerkenswert ist in dieser Studie (</w:t>
      </w:r>
      <w:r w:rsidRPr="00FB4EFA">
        <w:rPr>
          <w:rFonts w:eastAsia="Noto Sans CJK SC" w:cs="Lohit Devanagari"/>
        </w:rPr>
        <w:t>Š</w:t>
      </w:r>
      <w:r w:rsidRPr="00FB4EFA">
        <w:t xml:space="preserve">kljaev 1997a, 1997b) auch, dass „besermanische Sprache“ durchgehend in Anführungszeichen angegeben ist. Scheinbar gehen die Studienbetreiber:innen also davon aus, dass Besermanisch als eigene Sprache nicht haltbar und/oder es „unwissenschaftlich“ sei, alternative Beurteilungskriterien auch nur anzudenken. Auch hier verlässt man sich auf die kraft ihres Amtes auf Autorität beruhenden Forschungsergebnisse der Sprachwissenschafter:innen bzw. der offiziellen (Sprach-)Politik. Diese Sichtweise spiegelt sich auch in der folgenden Frage wider: </w:t>
      </w:r>
      <w:r w:rsidRPr="00FB4EFA">
        <w:rPr>
          <w:i/>
          <w:iCs/>
        </w:rPr>
        <w:t>Was denken Sie: Existiert eine besermanische Sprache?</w:t>
      </w:r>
      <w:r w:rsidRPr="00FB4EFA">
        <w:rPr>
          <w:iCs/>
          <w:vertAlign w:val="superscript"/>
        </w:rPr>
        <w:footnoteReference w:id="126"/>
      </w:r>
      <w:r w:rsidRPr="00FB4EFA">
        <w:rPr>
          <w:i/>
          <w:iCs/>
        </w:rPr>
        <w:t xml:space="preserve">. </w:t>
      </w:r>
      <w:r w:rsidRPr="00FB4EFA">
        <w:t>Als Antwortmöglichkeiten waren vorgegeben: „1. Ja, sie existiert</w:t>
      </w:r>
      <w:r w:rsidRPr="00FB4EFA">
        <w:rPr>
          <w:vertAlign w:val="superscript"/>
        </w:rPr>
        <w:footnoteReference w:id="127"/>
      </w:r>
      <w:r w:rsidRPr="00FB4EFA">
        <w:t>; 2. die Besermanen sprechen in einem Dialekt des Udmurtischen</w:t>
      </w:r>
      <w:r w:rsidRPr="00FB4EFA">
        <w:rPr>
          <w:vertAlign w:val="superscript"/>
        </w:rPr>
        <w:footnoteReference w:id="128"/>
      </w:r>
      <w:r w:rsidRPr="00FB4EFA">
        <w:t>, 3. andere Meinung (mit Möglichkeit zur Angabe dieser</w:t>
      </w:r>
      <w:r w:rsidRPr="00FB4EFA">
        <w:rPr>
          <w:vertAlign w:val="superscript"/>
        </w:rPr>
        <w:footnoteReference w:id="129"/>
      </w:r>
      <w:r w:rsidRPr="00FB4EFA">
        <w:t>), 4. ich bin nicht sicher</w:t>
      </w:r>
      <w:r w:rsidRPr="00FB4EFA">
        <w:rPr>
          <w:vertAlign w:val="superscript"/>
        </w:rPr>
        <w:footnoteReference w:id="130"/>
      </w:r>
      <w:r w:rsidRPr="00FB4EFA">
        <w:t>“ (</w:t>
      </w:r>
      <w:r w:rsidRPr="00FB4EFA">
        <w:rPr>
          <w:rFonts w:eastAsia="Noto Sans CJK SC" w:cs="Lohit Devanagari"/>
        </w:rPr>
        <w:t>Š</w:t>
      </w:r>
      <w:r w:rsidRPr="00FB4EFA">
        <w:t xml:space="preserve">kljaev 1997b: 133). Hier drängt sich die Frage auf, ob eine vielleicht weniger suggestive Herangehensweise von Seiten der Forscher:innen nicht noch höhere Zahlen zur Untermauerung der zwei sich meiner Meinung nach im Kontext dieses Artikels wesentlichsten Schlussfolgerungen aus der Studie ergeben hätten: 1. Die Beserman:innen vertreten mehrheitlich die Ansicht, dass Besermanisch eine eigene Sprache darstellt; 2. Die eigenständige besermanische Muttersprache ist gleichzeitig der wichtigste Marker der besermanischen nationalen Identität. Beide Vorstellungen spiegeln die emotionale Verbundenheit der Beserman:innen mit ihrer Muttersprache wider und spielen natürlich auch </w:t>
      </w:r>
      <w:r w:rsidRPr="00FB4EFA">
        <w:lastRenderedPageBreak/>
        <w:t>eine wesentliche Rolle bei den Chancen das Besermanische zu erhalten, denn „[w]ie aus der Attitüdenforschung bekannt, entscheiden die Einstellungen der Sprachgemeinschaft über Sprachwechsel, Spracherhalt, Revitaliserung, Sprachentod usw.“ (Wingeder 2013: 30). Aber auch Programme zur Erhaltung von Sprachen orientieren sich in der Regel an Sprachen, die offiziell als solche anerkannt sind, und nicht an Dialekten (Korjakov 2017: 80).</w:t>
      </w:r>
    </w:p>
    <w:p w14:paraId="32E9B87C" w14:textId="77777777" w:rsidR="00315E3D" w:rsidRPr="00FB4EFA" w:rsidRDefault="00315E3D" w:rsidP="00545033">
      <w:pPr>
        <w:pStyle w:val="Heading2"/>
        <w:numPr>
          <w:ilvl w:val="0"/>
          <w:numId w:val="17"/>
        </w:numPr>
        <w:suppressAutoHyphens/>
        <w:spacing w:line="259" w:lineRule="auto"/>
        <w:rPr>
          <w:color w:val="auto"/>
          <w:lang w:val="de-AT"/>
        </w:rPr>
      </w:pPr>
      <w:r w:rsidRPr="00FB4EFA">
        <w:rPr>
          <w:color w:val="auto"/>
          <w:lang w:val="de-AT"/>
        </w:rPr>
        <w:t>Das Besermanische im Internet</w:t>
      </w:r>
    </w:p>
    <w:p w14:paraId="4B574949" w14:textId="278CDCE5" w:rsidR="00315E3D" w:rsidRPr="00FB4EFA" w:rsidRDefault="00315E3D" w:rsidP="00AF0CAD">
      <w:r w:rsidRPr="00FB4EFA">
        <w:t>Wie bereits einleitend erwähnt, verfügt das Besermanische über keine offizielle und allgemein anerkannte Standardisierung, sieht man von zwei „Orthographie-Vorschlägen“ ab, auf die ich später eingehen werde (vgl. Abschnitt 5). Besermanisch wurde in der Vergangenheit v.</w:t>
      </w:r>
      <w:r w:rsidR="00E95B67" w:rsidRPr="00FB4EFA">
        <w:t xml:space="preserve"> </w:t>
      </w:r>
      <w:r w:rsidRPr="00FB4EFA">
        <w:t xml:space="preserve">a. mündlich im Alltag verwendet, Zeugnisse schriftlicher Fixierung finden sich in lokalen Dokumenten, persönlichen Korrespondenzen, Aufzeichungen von Folklorematerial durch Muttersprachler:innen etc. (Arkhangelskij et al. 2017: 10). Mit dem Aufkommen sozialer Netzwerke, </w:t>
      </w:r>
      <w:r w:rsidR="00E95B67" w:rsidRPr="00FB4EFA">
        <w:t xml:space="preserve">v. a. </w:t>
      </w:r>
      <w:r w:rsidRPr="00FB4EFA">
        <w:t>von VKontakte, dem russländischen Pendant von Facebook, konnte man auch vorsichtige erste Versuche einer schriftlichen Verwendung des Besermanischen im Internet beobachten. Im Gegensatz zu den udmurtischen (Sprach</w:t>
      </w:r>
      <w:r w:rsidR="00976F3E" w:rsidRPr="00FB4EFA">
        <w:noBreakHyphen/>
      </w:r>
      <w:r w:rsidRPr="00FB4EFA">
        <w:t>)Aktivist:innen, die von Anfang an VKontakte und andere soziale Medien erfolgreich für die Popularisierung und Sichtbarmachung des Udmurtischen benutzt haben (Pischlöger 2014, 2016), hatten die Beserman:innen einen verhaltenen Start in das digitale Zeitalter (Pischlöger 2013). Allerdings hat sich die besermanische Social</w:t>
      </w:r>
      <w:r w:rsidR="00E95B67" w:rsidRPr="00FB4EFA">
        <w:t>-</w:t>
      </w:r>
      <w:r w:rsidRPr="00FB4EFA">
        <w:t xml:space="preserve">Media-Sprachlandschaft seit ungefähr 2017/2018 markant verändert </w:t>
      </w:r>
      <w:r w:rsidR="006E3FD1" w:rsidRPr="00FB4EFA">
        <w:br/>
      </w:r>
      <w:r w:rsidRPr="00FB4EFA">
        <w:t>(Pischlöger 2022). Ehemals vorherrschende besermanische Gruppen auf VKontakte wurden jetzt von neueren Gruppen, die von jüngeren und internetaffineren Personen administriert werden, überflügelt. Die Mitgliederzahlen in diesen Gruppen machen fallweise über 20</w:t>
      </w:r>
      <w:r w:rsidR="00F600F9" w:rsidRPr="00FB4EFA">
        <w:t> %</w:t>
      </w:r>
      <w:r w:rsidRPr="00FB4EFA">
        <w:t xml:space="preserve"> der Gesamtzahl aller Beserman:innen aus. Aber auch einige schon länger bestehende Gruppen erfuhren durch frisches Blut in der Seitenadministration teilweise einen beachtlichen Wachstumsschub, so </w:t>
      </w:r>
      <w:r w:rsidR="0030017E" w:rsidRPr="00FB4EFA">
        <w:t>z. B.</w:t>
      </w:r>
      <w:r w:rsidRPr="00FB4EFA">
        <w:t xml:space="preserve"> die vielleicht wichtigste aller Gruppen zumindest der Anfangsphase besermanischer Aktivi</w:t>
      </w:r>
      <w:r w:rsidRPr="00FB4EFA">
        <w:lastRenderedPageBreak/>
        <w:t xml:space="preserve">täten auf VKontakte </w:t>
      </w:r>
      <w:r w:rsidRPr="00FB4EFA">
        <w:rPr>
          <w:i/>
          <w:iCs/>
        </w:rPr>
        <w:t>Wir Beserman:innen</w:t>
      </w:r>
      <w:r w:rsidRPr="00FB4EFA">
        <w:rPr>
          <w:rFonts w:eastAsia="Noto Sans CJK SC" w:cs="Lohit Devanagari"/>
          <w:vertAlign w:val="superscript"/>
        </w:rPr>
        <w:footnoteReference w:id="131"/>
      </w:r>
      <w:r w:rsidRPr="00FB4EFA">
        <w:t>, die seit 2012 besteht. Bereits 2013 – also ein Jahr nach ihrer Gründung – hatte diese Gruppe 80 Mitglieder, immerhin fast 4</w:t>
      </w:r>
      <w:r w:rsidR="00F600F9" w:rsidRPr="00FB4EFA">
        <w:t> %</w:t>
      </w:r>
      <w:r w:rsidRPr="00FB4EFA">
        <w:t xml:space="preserve"> der sich 2010 als Beserman:innen deklarierenden Personen, zur Zeit sind es schon deutlich über 300 (Stand August 2021). Von den neueren VK-Gruppen wäre </w:t>
      </w:r>
      <w:r w:rsidR="00E95B67" w:rsidRPr="00FB4EFA">
        <w:t xml:space="preserve">v. a. </w:t>
      </w:r>
      <w:r w:rsidRPr="00FB4EFA">
        <w:t xml:space="preserve">das </w:t>
      </w:r>
      <w:r w:rsidRPr="00FB4EFA">
        <w:rPr>
          <w:i/>
          <w:iCs/>
        </w:rPr>
        <w:t>Zentrum zur Wiederbelebung der besermanischen Kultur</w:t>
      </w:r>
      <w:r w:rsidRPr="00FB4EFA">
        <w:rPr>
          <w:vertAlign w:val="superscript"/>
        </w:rPr>
        <w:footnoteReference w:id="132"/>
      </w:r>
      <w:r w:rsidRPr="00FB4EFA">
        <w:t xml:space="preserve"> (gegründet im April 2018, heute über 400 Mitglieder; August 2021) zu nennen, und von denen, die in den letzten Jahren einen zweiten Schub an Mitgliedern bekommen haben </w:t>
      </w:r>
      <w:r w:rsidR="0030017E" w:rsidRPr="00FB4EFA">
        <w:t>z. B.</w:t>
      </w:r>
      <w:r w:rsidRPr="00FB4EFA">
        <w:t xml:space="preserve"> </w:t>
      </w:r>
      <w:r w:rsidRPr="00FB4EFA">
        <w:rPr>
          <w:i/>
          <w:iCs/>
        </w:rPr>
        <w:t>Haus der Kultur in Junda. Zentrum der besermanischen Kultur</w:t>
      </w:r>
      <w:r w:rsidRPr="00FB4EFA">
        <w:rPr>
          <w:vertAlign w:val="superscript"/>
        </w:rPr>
        <w:footnoteReference w:id="133"/>
      </w:r>
      <w:r w:rsidRPr="00FB4EFA">
        <w:t xml:space="preserve"> (März 2015, über 440 Mitglieder; August 2021) oder die Seite eines besermanischen Dorfes </w:t>
      </w:r>
      <w:r w:rsidRPr="00FB4EFA">
        <w:rPr>
          <w:i/>
          <w:iCs/>
        </w:rPr>
        <w:t xml:space="preserve">Mein Dorf </w:t>
      </w:r>
      <w:r w:rsidRPr="00FB4EFA">
        <w:rPr>
          <w:rFonts w:eastAsia="Noto Sans CJK SC" w:cs="Lohit Devanagari"/>
          <w:i/>
          <w:iCs/>
        </w:rPr>
        <w:t>Žuvam</w:t>
      </w:r>
      <w:r w:rsidRPr="00FB4EFA">
        <w:rPr>
          <w:i/>
          <w:iCs/>
        </w:rPr>
        <w:t xml:space="preserve"> </w:t>
      </w:r>
      <w:r w:rsidRPr="00FB4EFA">
        <w:rPr>
          <w:rFonts w:ascii="Segoe UI Symbol" w:hAnsi="Segoe UI Symbol" w:cs="Segoe UI Symbol"/>
          <w:i/>
          <w:iCs/>
        </w:rPr>
        <w:t>♡</w:t>
      </w:r>
      <w:r w:rsidRPr="00FB4EFA">
        <w:rPr>
          <w:i/>
          <w:iCs/>
        </w:rPr>
        <w:t xml:space="preserve"> Liebe deinen Geburtsort </w:t>
      </w:r>
      <w:r w:rsidRPr="00FB4EFA">
        <w:rPr>
          <w:rFonts w:ascii="Segoe UI Symbol" w:hAnsi="Segoe UI Symbol" w:cs="Segoe UI Symbol"/>
          <w:i/>
          <w:iCs/>
        </w:rPr>
        <w:t>♡</w:t>
      </w:r>
      <w:r w:rsidRPr="00FB4EFA">
        <w:rPr>
          <w:vertAlign w:val="superscript"/>
        </w:rPr>
        <w:footnoteReference w:id="134"/>
      </w:r>
      <w:r w:rsidRPr="00FB4EFA">
        <w:t xml:space="preserve"> (Jänner 2012, ca. 380 Mitglieder; August 2021). Die meines Wissens nach derzeit größte Gruppe auf VK, die sich der besermanischen Thematik widmet, nämlich </w:t>
      </w:r>
      <w:r w:rsidRPr="00FB4EFA">
        <w:rPr>
          <w:i/>
          <w:iCs/>
        </w:rPr>
        <w:t>Haus der Kultur in Junda. Zentrum der besermanischen Kultur</w:t>
      </w:r>
      <w:r w:rsidRPr="00FB4EFA">
        <w:t>,</w:t>
      </w:r>
      <w:r w:rsidRPr="00FB4EFA">
        <w:rPr>
          <w:i/>
          <w:iCs/>
        </w:rPr>
        <w:t xml:space="preserve"> </w:t>
      </w:r>
      <w:r w:rsidRPr="00FB4EFA">
        <w:t>hat über 440 Mitglieder, was rein zahlenmäßig mehr als 20</w:t>
      </w:r>
      <w:r w:rsidR="00F600F9" w:rsidRPr="00FB4EFA">
        <w:t> </w:t>
      </w:r>
      <w:r w:rsidRPr="00FB4EFA">
        <w:t>% der Zahl aller Beserman:innen entspricht (Stand August 2021) (Pischlöger 2022). Von den Mitgliedern dieser Gruppen waren bzw. sind natürlich nicht alle Beserman:innen, aber doch ein großer Anteil, was die große Reichweite und Bedeutung von Social Media in dieser geographisch doch recht zerstreuten Minderheitsgemeinschaft im Nordwesten von Udmurtien anzeigt. Der Rest entfällt auf mehr oder weniger Außenstehende und zeigt, dass einerseits auch außerhalb der eigenen Community Interesse an besermanischen Themen besteht und anderseits, dass die Administrator:innen dieser Gruppen im Sinne einer Social-Media-Kompetenz doch einiges richtig zu machen scheinen.</w:t>
      </w:r>
    </w:p>
    <w:p w14:paraId="19B5EBFA" w14:textId="41940D44" w:rsidR="000121EA" w:rsidRPr="00FB4EFA" w:rsidRDefault="00315E3D" w:rsidP="00402EF4">
      <w:pPr>
        <w:ind w:firstLine="709"/>
      </w:pPr>
      <w:r w:rsidRPr="00FB4EFA">
        <w:t>Interessant in unserem Zusammenhang ist aber, dass sich nicht nur die Aktivität, Mitgliederzahl und damit verbunden auch die Reichweite der besermanischen Gruppen auf VKontakte markant gesteigert ha</w:t>
      </w:r>
      <w:r w:rsidR="00E95B67" w:rsidRPr="00FB4EFA">
        <w:t>ben</w:t>
      </w:r>
      <w:r w:rsidRPr="00FB4EFA">
        <w:t xml:space="preserve">, sondern auch die Verwendung des Besermanischen, gleichzeitig aber auch des Standard-Udmurtischen. Die bevorzugte Sprache in den besermanischen Gruppen war anfangs fast durchgehend Russisch, nur ab und zu konnte man udmurtische Einsprengsel finden, </w:t>
      </w:r>
      <w:r w:rsidR="00E95B67" w:rsidRPr="00FB4EFA">
        <w:t xml:space="preserve">v. a. </w:t>
      </w:r>
      <w:r w:rsidRPr="00FB4EFA">
        <w:t xml:space="preserve">durch Teilen von </w:t>
      </w:r>
      <w:r w:rsidRPr="00FB4EFA">
        <w:lastRenderedPageBreak/>
        <w:t>udmurtischen Quellen (Pischlöger 2013). Versuche, die besermanische Muttersprache auch schriftlich zu verwenden, gab es kaum, wohl aufgrund der mangelnden Standardisierung. Das hat sich wie gesagt geändert, als auslösende Ursachen können neben anderen vielleicht vermutet werden: das Erscheinen des besermanischen Thesaurus (Usačeva et al. 2017) und/oder die erste Konferenz, die allein besermanischen Themen gewidmet war und an der auch Vertreter:innen des besermanischen Volkes teilgenommen haben (Ivanov &amp; Popova 2018).</w:t>
      </w:r>
    </w:p>
    <w:p w14:paraId="07DB089C" w14:textId="58585E26" w:rsidR="00315E3D" w:rsidRPr="00FB4EFA" w:rsidRDefault="00315E3D" w:rsidP="00402EF4">
      <w:pPr>
        <w:ind w:firstLine="709"/>
      </w:pPr>
      <w:r w:rsidRPr="00FB4EFA">
        <w:t>Bevor ich zum nächsten Abschnitt übergehe, möchte ich noch einen Unterschied zu den udmurtischen Social-Media-Aktivitäten anführen, der von Bedeutung für den schriftlichen Gebrauch des Besermanischen sein kann. Denn trotz der in den letzten Jahren merkbar angestiegenen Verwendung des Besermanischen, aber auch des Udmurtischen in besermanischen Gruppen auf VKontakte, gibt es ebendort kaum metalinguistische Diskurse, die die konkrete Sprachverwendung kommentieren oder gar kritisieren (Pischlöger 2022). Hierin scheinen sich die besermanischen und udmurtischen Positionen zu unterscheiden, denn gerade in udmurtischen Metadiskursen kann man oft puristische Tendenzen antreffen, die eher negative als positive Auswirkungen auf die von den Diskutierenden eigentlich erwünschte Vermehrung des Sprachgebrauches haben (Edygarova 2016; Khilkhanova 2021; Pischlöger 2016, 2021)</w:t>
      </w:r>
      <w:r w:rsidRPr="00FB4EFA">
        <w:rPr>
          <w:vertAlign w:val="superscript"/>
        </w:rPr>
        <w:footnoteReference w:id="135"/>
      </w:r>
      <w:r w:rsidRPr="00FB4EFA">
        <w:t>.</w:t>
      </w:r>
    </w:p>
    <w:p w14:paraId="78E5FC98" w14:textId="77777777" w:rsidR="00315E3D" w:rsidRPr="00FB4EFA" w:rsidRDefault="00315E3D" w:rsidP="00545033">
      <w:pPr>
        <w:pStyle w:val="Heading2"/>
        <w:numPr>
          <w:ilvl w:val="0"/>
          <w:numId w:val="17"/>
        </w:numPr>
        <w:suppressAutoHyphens/>
        <w:spacing w:line="259" w:lineRule="auto"/>
        <w:rPr>
          <w:color w:val="auto"/>
        </w:rPr>
      </w:pPr>
      <w:r w:rsidRPr="00FB4EFA">
        <w:rPr>
          <w:color w:val="auto"/>
          <w:lang w:val="de-AT"/>
        </w:rPr>
        <w:t>Rezente und mögliche zukünftige Lösungen der Verschriftlichung des Besermanischen</w:t>
      </w:r>
    </w:p>
    <w:p w14:paraId="458B101F" w14:textId="01D8BF66" w:rsidR="000121EA" w:rsidRPr="00FB4EFA" w:rsidRDefault="00315E3D" w:rsidP="00402EF4">
      <w:r w:rsidRPr="00FB4EFA">
        <w:t xml:space="preserve">Wie im letzten Abschnitt kurz angerissen, hat sich die Präsenz der Beserman:innen in sozialen Netzwerken, speziell auf VKontakte, in den letzten Jahren stark zum Positiven verändert. Insbesondere betrifft das die verschiedenen Versuche die eigene Muttersprache auch schriftlich zu verwenden. Damit verbunden stellt sich die Frage, welche Möglichkeiten es prinzipiell gibt, das Besermanische zu verschriftlichen und damit eventuell sogar dessen Überlebenschancen zu steigern. An dieser Stelle möchte ich zunächst die bereits vorhandenen Versuche einer Verschriftlichung </w:t>
      </w:r>
      <w:r w:rsidRPr="00FB4EFA">
        <w:lastRenderedPageBreak/>
        <w:t>kurz zusammenfassen und darauf aufbauend versuchen einige Ideen zu eventuellen Lösungen in der Zukunft vorzubringen (vgl. auch Pischlöger 2022). Dabei soll es sich nicht um eine taxative Au</w:t>
      </w:r>
      <w:r w:rsidR="00F600F9" w:rsidRPr="00FB4EFA">
        <w:t>f</w:t>
      </w:r>
      <w:r w:rsidRPr="00FB4EFA">
        <w:t>zählung aller möglichen Varianten handeln, sondern um Diskussionsgrundlagen sowohl für die Beserman:innen selbst als auch für Sprachwissenschafter:innen, die die Beserman:innen bei der Ausarbeitung von Zukunftsmodellen ihrer Sprache unterstützen wollen, anstatt sie über den Status derselben zu belehren.</w:t>
      </w:r>
    </w:p>
    <w:p w14:paraId="0190100F" w14:textId="732AA1B8" w:rsidR="00315E3D" w:rsidRPr="00FB4EFA" w:rsidRDefault="00315E3D" w:rsidP="00AF0CAD">
      <w:pPr>
        <w:pStyle w:val="Heading3"/>
        <w:numPr>
          <w:ilvl w:val="1"/>
          <w:numId w:val="17"/>
        </w:numPr>
        <w:spacing w:line="259" w:lineRule="auto"/>
        <w:rPr>
          <w:lang w:val="de-AT"/>
        </w:rPr>
      </w:pPr>
      <w:r w:rsidRPr="00FB4EFA">
        <w:t>Besermanisch</w:t>
      </w:r>
      <w:r w:rsidRPr="00FB4EFA">
        <w:rPr>
          <w:lang w:val="de-AT"/>
        </w:rPr>
        <w:t xml:space="preserve"> mit „Küchenorthographie“</w:t>
      </w:r>
    </w:p>
    <w:p w14:paraId="0EC4B990" w14:textId="77777777" w:rsidR="00315E3D" w:rsidRPr="00FB4EFA" w:rsidRDefault="00315E3D" w:rsidP="00402EF4">
      <w:r w:rsidRPr="00FB4EFA">
        <w:t>Da auf keine standardisierte Orthographie zurückgegriffen werden kann, finden in den sozialen Netzwerken des Internets verschiedene Ausweichstrategien Anwendung, die je nach individuellen Vorkenntnissen, persönlicher Präferenz und technologischen Affordanzen bzw. den Fähigkeiten mit diesen umzugehen unterschiedlich aussehen können. Versucht man diese Strategien auf „Idealtypen“ herunterzubrechen, so gibt es davon grundsätzlich drei (Pischlöger 2022):</w:t>
      </w:r>
    </w:p>
    <w:p w14:paraId="2C0F7FF0" w14:textId="002B629E" w:rsidR="00315E3D" w:rsidRPr="00FB4EFA" w:rsidRDefault="00315E3D" w:rsidP="00976F3E">
      <w:pPr>
        <w:spacing w:before="240" w:line="240" w:lineRule="auto"/>
        <w:ind w:left="284" w:hanging="284"/>
        <w:jc w:val="left"/>
      </w:pPr>
      <w:r w:rsidRPr="00FB4EFA">
        <w:t>1.</w:t>
      </w:r>
      <w:r w:rsidR="00B60CB1" w:rsidRPr="00FB4EFA">
        <w:tab/>
      </w:r>
      <w:r w:rsidRPr="00FB4EFA">
        <w:t>die Verwendung von bereits bestehenden Orthographievorschlägen;</w:t>
      </w:r>
    </w:p>
    <w:p w14:paraId="69ABE91F" w14:textId="13AD957C" w:rsidR="00315E3D" w:rsidRPr="00FB4EFA" w:rsidRDefault="00315E3D" w:rsidP="00976F3E">
      <w:pPr>
        <w:spacing w:line="240" w:lineRule="auto"/>
        <w:ind w:left="284" w:hanging="284"/>
        <w:jc w:val="left"/>
      </w:pPr>
      <w:r w:rsidRPr="00FB4EFA">
        <w:t>2.</w:t>
      </w:r>
      <w:r w:rsidR="00B60CB1" w:rsidRPr="00FB4EFA">
        <w:tab/>
      </w:r>
      <w:r w:rsidRPr="00FB4EFA">
        <w:t>die Anlehnung an die udmurtische Orthographie;</w:t>
      </w:r>
    </w:p>
    <w:p w14:paraId="031B4509" w14:textId="145DA992" w:rsidR="00315E3D" w:rsidRPr="00FB4EFA" w:rsidRDefault="00315E3D" w:rsidP="00976F3E">
      <w:pPr>
        <w:spacing w:after="240" w:line="240" w:lineRule="auto"/>
        <w:ind w:left="284" w:hanging="284"/>
        <w:jc w:val="left"/>
      </w:pPr>
      <w:r w:rsidRPr="00FB4EFA">
        <w:rPr>
          <w:rFonts w:eastAsia="Noto Sans CJK SC" w:cs="Lohit Devanagari"/>
        </w:rPr>
        <w:t>3.</w:t>
      </w:r>
      <w:r w:rsidR="00B60CB1" w:rsidRPr="00FB4EFA">
        <w:rPr>
          <w:rFonts w:eastAsia="Noto Sans CJK SC" w:cs="Lohit Devanagari"/>
        </w:rPr>
        <w:tab/>
      </w:r>
      <w:r w:rsidRPr="00FB4EFA">
        <w:rPr>
          <w:rFonts w:eastAsia="Noto Sans CJK SC" w:cs="Lohit Devanagari"/>
        </w:rPr>
        <w:t>die Anwendung der russischen Kyrillica (ohne diakritische Zeichen).</w:t>
      </w:r>
    </w:p>
    <w:p w14:paraId="3E176C30" w14:textId="18E2DE24" w:rsidR="000121EA" w:rsidRPr="00FB4EFA" w:rsidRDefault="00315E3D" w:rsidP="00AF0CAD">
      <w:r w:rsidRPr="00FB4EFA">
        <w:t xml:space="preserve">Als Beispiele dienen hier jeweils Schreibweisen des besermanischen Sommerfests </w:t>
      </w:r>
      <w:r w:rsidRPr="00FB4EFA">
        <w:rPr>
          <w:i/>
          <w:iCs/>
        </w:rPr>
        <w:t>Көрбан</w:t>
      </w:r>
      <w:r w:rsidRPr="00FB4EFA">
        <w:t xml:space="preserve"> [kə̑rban], das in ähnlicher Form auch bei anderen Völkern der Volga-Kama-Region begangen wird (vgl. udm. </w:t>
      </w:r>
      <w:r w:rsidRPr="00FB4EFA">
        <w:rPr>
          <w:i/>
          <w:iCs/>
        </w:rPr>
        <w:t xml:space="preserve">Гербер, </w:t>
      </w:r>
      <w:r w:rsidR="00F92DFA" w:rsidRPr="00FB4EFA">
        <w:rPr>
          <w:i/>
          <w:iCs/>
        </w:rPr>
        <w:br/>
      </w:r>
      <w:r w:rsidRPr="00FB4EFA">
        <w:t xml:space="preserve">tat. </w:t>
      </w:r>
      <w:r w:rsidRPr="00FB4EFA">
        <w:rPr>
          <w:i/>
          <w:iCs/>
        </w:rPr>
        <w:t xml:space="preserve">Сабантуй, </w:t>
      </w:r>
      <w:r w:rsidRPr="00A57C21">
        <w:t>baschk.</w:t>
      </w:r>
      <w:r w:rsidRPr="00FB4EFA">
        <w:rPr>
          <w:i/>
          <w:iCs/>
        </w:rPr>
        <w:t xml:space="preserve"> Һабантуй, </w:t>
      </w:r>
      <w:r w:rsidRPr="00A57C21">
        <w:t>tschuw.</w:t>
      </w:r>
      <w:r w:rsidRPr="00FB4EFA">
        <w:rPr>
          <w:i/>
          <w:iCs/>
        </w:rPr>
        <w:t xml:space="preserve"> Акатуй</w:t>
      </w:r>
      <w:r w:rsidRPr="00FB4EFA">
        <w:t xml:space="preserve">). Alle hier </w:t>
      </w:r>
      <w:r w:rsidR="00F92DFA" w:rsidRPr="00FB4EFA">
        <w:br/>
      </w:r>
      <w:r w:rsidRPr="00FB4EFA">
        <w:t>angeführten Verschriftlichungsvarianten werden aus VKontakte zitiert</w:t>
      </w:r>
      <w:r w:rsidR="00F92DFA" w:rsidRPr="00FB4EFA">
        <w:br/>
      </w:r>
      <w:r w:rsidRPr="00FB4EFA">
        <w:t>(vgl. Pischlöger 2022):</w:t>
      </w:r>
    </w:p>
    <w:p w14:paraId="1315522D" w14:textId="713797C7" w:rsidR="00315E3D" w:rsidRPr="00FB4EFA" w:rsidRDefault="00315E3D" w:rsidP="00AF0CAD">
      <w:pPr>
        <w:ind w:firstLine="709"/>
      </w:pPr>
      <w:r w:rsidRPr="00FB4EFA">
        <w:t>ad 1.</w:t>
      </w:r>
      <w:r w:rsidRPr="00FB4EFA">
        <w:rPr>
          <w:i/>
          <w:iCs/>
        </w:rPr>
        <w:t xml:space="preserve"> </w:t>
      </w:r>
      <w:r w:rsidRPr="00FB4EFA">
        <w:t>Die sowohl im Thesaurus als auch im ersten Buch in besermanischer Sprache (Ar-Sergi &amp; Djukin 2021</w:t>
      </w:r>
      <w:r w:rsidRPr="00FB4EFA">
        <w:rPr>
          <w:vertAlign w:val="superscript"/>
        </w:rPr>
        <w:footnoteReference w:id="136"/>
      </w:r>
      <w:r w:rsidRPr="00FB4EFA">
        <w:t xml:space="preserve">) verwendete Lösung wäre </w:t>
      </w:r>
      <w:r w:rsidRPr="00FB4EFA">
        <w:rPr>
          <w:i/>
          <w:iCs/>
        </w:rPr>
        <w:t>Көрбан</w:t>
      </w:r>
      <w:r w:rsidRPr="00FB4EFA">
        <w:t>. Beide mir bis dato bekannten besermanischen Orthographievor</w:t>
      </w:r>
      <w:r w:rsidRPr="00FB4EFA">
        <w:lastRenderedPageBreak/>
        <w:t>schläge (Usa</w:t>
      </w:r>
      <w:r w:rsidRPr="00FB4EFA">
        <w:rPr>
          <w:rFonts w:eastAsia="Arial Unicode MS" w:cs="Arial Unicode MS"/>
          <w:kern w:val="2"/>
          <w:szCs w:val="24"/>
          <w:lang w:val="en-US" w:eastAsia="zh-CN" w:bidi="hi-IN"/>
        </w:rPr>
        <w:t>č</w:t>
      </w:r>
      <w:r w:rsidRPr="00FB4EFA">
        <w:t xml:space="preserve">eva et al. 2017, Ar-Sergi &amp; Djukin 2021) verwenden das „besermanische Graphem“ </w:t>
      </w:r>
      <w:r w:rsidRPr="00FB4EFA">
        <w:rPr>
          <w:i/>
          <w:iCs/>
        </w:rPr>
        <w:t xml:space="preserve">Өө </w:t>
      </w:r>
      <w:r w:rsidRPr="00FB4EFA">
        <w:t>(Unicode U+04E8 bzw. U+04E9), das es weder im Russischen noch im Udmurtischen gibt und letzten Endes bereits auf Tepljašina (1970) zurüc</w:t>
      </w:r>
      <w:bookmarkStart w:id="98" w:name="docs-internal-guid-58ba1fa5-7fff-7362-ea"/>
      <w:bookmarkEnd w:id="98"/>
      <w:r w:rsidRPr="00FB4EFA">
        <w:t>kgeht. Weitere Grapheme, die es im Udmurtischen, aber nicht im Russischen gibt</w:t>
      </w:r>
      <w:bookmarkStart w:id="99" w:name="docs-internal-guid-a6d76893-7fff-902f-73"/>
      <w:bookmarkEnd w:id="99"/>
      <w:r w:rsidRPr="00FB4EFA">
        <w:t xml:space="preserve">, sind </w:t>
      </w:r>
      <w:r w:rsidRPr="00FB4EFA">
        <w:rPr>
          <w:i/>
          <w:iCs/>
        </w:rPr>
        <w:t xml:space="preserve">Ӟӟ, Ӥӥ </w:t>
      </w:r>
      <w:r w:rsidRPr="00FB4EFA">
        <w:t>und</w:t>
      </w:r>
      <w:r w:rsidRPr="00FB4EFA">
        <w:rPr>
          <w:i/>
          <w:iCs/>
        </w:rPr>
        <w:t xml:space="preserve"> Ӧӧ </w:t>
      </w:r>
      <w:r w:rsidRPr="00FB4EFA">
        <w:t xml:space="preserve">(Usačeva et al. 2017), wobei Ar-Sergi &amp; Djukin (2021) ohne </w:t>
      </w:r>
      <w:r w:rsidRPr="00FB4EFA">
        <w:rPr>
          <w:i/>
          <w:iCs/>
        </w:rPr>
        <w:t xml:space="preserve">Ӧӧ </w:t>
      </w:r>
      <w:r w:rsidRPr="00FB4EFA">
        <w:t>auskommen</w:t>
      </w:r>
      <w:r w:rsidRPr="00FB4EFA">
        <w:rPr>
          <w:i/>
          <w:iCs/>
        </w:rPr>
        <w:t xml:space="preserve">. </w:t>
      </w:r>
      <w:r w:rsidRPr="00FB4EFA">
        <w:t>Die konkreten Formen des [w]</w:t>
      </w:r>
      <w:r w:rsidRPr="00FB4EFA">
        <w:rPr>
          <w:i/>
          <w:iCs/>
        </w:rPr>
        <w:t xml:space="preserve"> </w:t>
      </w:r>
      <w:r w:rsidRPr="00FB4EFA">
        <w:t xml:space="preserve">im Anlaut, das im Standardudmurtischen nicht vorkommt, unterscheiden sich in beiden Vorschlägen: </w:t>
      </w:r>
      <w:r w:rsidRPr="00FB4EFA">
        <w:rPr>
          <w:i/>
          <w:iCs/>
        </w:rPr>
        <w:t xml:space="preserve">Ўў </w:t>
      </w:r>
      <w:r w:rsidRPr="00FB4EFA">
        <w:t>(U+040E bzw. U+045E)</w:t>
      </w:r>
      <w:r w:rsidRPr="00FB4EFA">
        <w:rPr>
          <w:i/>
          <w:iCs/>
        </w:rPr>
        <w:t xml:space="preserve"> </w:t>
      </w:r>
      <w:r w:rsidRPr="00FB4EFA">
        <w:t xml:space="preserve">(Usačeva et al. 2017) bzw. </w:t>
      </w:r>
      <w:r w:rsidRPr="00FB4EFA">
        <w:rPr>
          <w:i/>
          <w:iCs/>
        </w:rPr>
        <w:t xml:space="preserve">У̃у̃ </w:t>
      </w:r>
      <w:r w:rsidRPr="00FB4EFA">
        <w:t xml:space="preserve">(Ar-Sergi &amp; Djukin 2021). Letztere Schreibweise als </w:t>
      </w:r>
      <w:r w:rsidRPr="00FB4EFA">
        <w:rPr>
          <w:i/>
          <w:iCs/>
        </w:rPr>
        <w:t xml:space="preserve">У̃у̃ </w:t>
      </w:r>
      <w:r w:rsidRPr="00FB4EFA">
        <w:t>statt</w:t>
      </w:r>
      <w:r w:rsidRPr="00FB4EFA">
        <w:rPr>
          <w:i/>
          <w:iCs/>
        </w:rPr>
        <w:t xml:space="preserve"> Ўў </w:t>
      </w:r>
      <w:r w:rsidRPr="00FB4EFA">
        <w:t xml:space="preserve">wurde den Autoren, die im Manuskript </w:t>
      </w:r>
      <w:r w:rsidRPr="00FB4EFA">
        <w:rPr>
          <w:i/>
          <w:iCs/>
        </w:rPr>
        <w:t xml:space="preserve">Ўў </w:t>
      </w:r>
      <w:r w:rsidRPr="00FB4EFA">
        <w:t xml:space="preserve">verwendet haben, vom Verlag vorgeschlagen. Es dürfte den Verlagsverantwortlichen leider entgangen sein, dass es sich hierbei um kein offizielles Unicode-Zeichen handelt. Der aufgrund der Frequenz des Vorkommens augenfälligste Unterschied zwischen den beiden Orthographien ist die abweichende Wiedergabe des palatalen </w:t>
      </w:r>
      <w:r w:rsidRPr="00FB4EFA">
        <w:rPr>
          <w:i/>
          <w:iCs/>
        </w:rPr>
        <w:t xml:space="preserve">ś </w:t>
      </w:r>
      <w:r w:rsidRPr="00FB4EFA">
        <w:t>bzw.</w:t>
      </w:r>
      <w:r w:rsidRPr="00FB4EFA">
        <w:rPr>
          <w:i/>
          <w:iCs/>
        </w:rPr>
        <w:t xml:space="preserve"> s</w:t>
      </w:r>
      <w:r w:rsidRPr="00FB4EFA">
        <w:rPr>
          <w:i/>
          <w:iCs/>
          <w:vertAlign w:val="superscript"/>
        </w:rPr>
        <w:t>j</w:t>
      </w:r>
      <w:r w:rsidRPr="00FB4EFA">
        <w:t xml:space="preserve"> [ɕ], das im Udmurtischen mit </w:t>
      </w:r>
      <w:r w:rsidRPr="00FB4EFA">
        <w:rPr>
          <w:i/>
          <w:iCs/>
        </w:rPr>
        <w:t xml:space="preserve">сь </w:t>
      </w:r>
      <w:r w:rsidRPr="00FB4EFA">
        <w:t xml:space="preserve">bzw. </w:t>
      </w:r>
      <w:r w:rsidRPr="00FB4EFA">
        <w:rPr>
          <w:i/>
          <w:iCs/>
        </w:rPr>
        <w:t xml:space="preserve">с </w:t>
      </w:r>
      <w:r w:rsidRPr="00FB4EFA">
        <w:t>+ jotiertem Vokalzeichen (</w:t>
      </w:r>
      <w:r w:rsidRPr="00FB4EFA">
        <w:rPr>
          <w:i/>
          <w:iCs/>
        </w:rPr>
        <w:t>я</w:t>
      </w:r>
      <w:r w:rsidRPr="00FB4EFA">
        <w:t>,</w:t>
      </w:r>
      <w:r w:rsidRPr="00FB4EFA">
        <w:rPr>
          <w:i/>
          <w:iCs/>
        </w:rPr>
        <w:t xml:space="preserve"> е</w:t>
      </w:r>
      <w:r w:rsidRPr="00FB4EFA">
        <w:t>,</w:t>
      </w:r>
      <w:r w:rsidRPr="00FB4EFA">
        <w:rPr>
          <w:i/>
          <w:iCs/>
        </w:rPr>
        <w:t xml:space="preserve"> и</w:t>
      </w:r>
      <w:r w:rsidRPr="00FB4EFA">
        <w:t>,</w:t>
      </w:r>
      <w:r w:rsidRPr="00FB4EFA">
        <w:rPr>
          <w:i/>
          <w:iCs/>
        </w:rPr>
        <w:t xml:space="preserve"> ё</w:t>
      </w:r>
      <w:r w:rsidRPr="00FB4EFA">
        <w:t>,</w:t>
      </w:r>
      <w:r w:rsidRPr="00FB4EFA">
        <w:rPr>
          <w:i/>
          <w:iCs/>
        </w:rPr>
        <w:t xml:space="preserve"> ю</w:t>
      </w:r>
      <w:r w:rsidRPr="00FB4EFA">
        <w:t>)</w:t>
      </w:r>
      <w:r w:rsidRPr="00FB4EFA">
        <w:rPr>
          <w:i/>
          <w:iCs/>
        </w:rPr>
        <w:t xml:space="preserve"> </w:t>
      </w:r>
      <w:r w:rsidRPr="00FB4EFA">
        <w:t xml:space="preserve">wiedergegeben wird, was auch im besermanischen Thesaurus (Usačeva et al. 2017) so gehandhabt wird (zur Anlehnung des besermanischen Alphabets im Thesaurus an das udmurtische vgl. Arkhangelskij et al. 2017: 11). Im Orthographievorschlag des ersten Buchs in besermanischer Sprache (Ar-Sergi &amp; Djukin 2021) verwendet man hier durchgehend </w:t>
      </w:r>
      <w:r w:rsidRPr="00FB4EFA">
        <w:rPr>
          <w:i/>
          <w:iCs/>
        </w:rPr>
        <w:t>щ</w:t>
      </w:r>
      <w:r w:rsidRPr="00FB4EFA">
        <w:t xml:space="preserve">, </w:t>
      </w:r>
      <w:r w:rsidR="0030017E" w:rsidRPr="00FB4EFA">
        <w:t>z. B.</w:t>
      </w:r>
      <w:r w:rsidRPr="00FB4EFA">
        <w:t xml:space="preserve"> im Ethnonym </w:t>
      </w:r>
      <w:r w:rsidRPr="00FB4EFA">
        <w:rPr>
          <w:i/>
          <w:iCs/>
        </w:rPr>
        <w:t xml:space="preserve">бещерман </w:t>
      </w:r>
      <w:r w:rsidRPr="00FB4EFA">
        <w:t>statt</w:t>
      </w:r>
      <w:r w:rsidRPr="00FB4EFA">
        <w:rPr>
          <w:i/>
          <w:iCs/>
        </w:rPr>
        <w:t xml:space="preserve"> бесерман</w:t>
      </w:r>
      <w:r w:rsidRPr="00FB4EFA">
        <w:t>, was dem Prinzip „ein Phonem = ein Graphem“ entspricht. Dieses Prinzip wird allerdings (noch) nicht ganz konsequent auf alle übrigen palatalen Konsonanten (</w:t>
      </w:r>
      <w:r w:rsidRPr="00FB4EFA">
        <w:rPr>
          <w:i/>
          <w:iCs/>
        </w:rPr>
        <w:t>т’, д’, н’, л’, з’</w:t>
      </w:r>
      <w:r w:rsidRPr="00FB4EFA">
        <w:t xml:space="preserve">) angewandt, es liegt in der Zukunft, ob und wie dieses „Problem“ gelöst werden wird. Auf jeden Fall erschließt sich selbst einem oberflächlichen Betrachter durch die häufige Verwendung von </w:t>
      </w:r>
      <w:r w:rsidRPr="00FB4EFA">
        <w:rPr>
          <w:i/>
          <w:iCs/>
        </w:rPr>
        <w:t>Щщ –</w:t>
      </w:r>
      <w:r w:rsidRPr="00FB4EFA">
        <w:t xml:space="preserve"> das im Udmurtischen nur in russischen Lehnwörtern verwendet wird – auf den ersten Blick, dass es sich um einen besermanischen und keinen udmurtischen Text handelt. Besonders das Graphem </w:t>
      </w:r>
      <w:r w:rsidRPr="00FB4EFA">
        <w:rPr>
          <w:i/>
          <w:iCs/>
        </w:rPr>
        <w:t xml:space="preserve">Өө </w:t>
      </w:r>
      <w:r w:rsidRPr="00FB4EFA">
        <w:t>scheint übrigens eine indexikalische Funktion für die Beserman:innen zu erfüllen und auch außerhalb der besermanischen Community wird dieses Graphem als „typisch besermanisch“ angesehen, weshalb es zum Beispiel von Reisebüros für die Bewerbung von ethnotouristischen Destinationen verwendet wird, wo dieses Graphem als einziger Hinweis auf die Beserman:innen in einem sonst von udmurti</w:t>
      </w:r>
      <w:r w:rsidRPr="00FB4EFA">
        <w:lastRenderedPageBreak/>
        <w:t>scher Symbolik geprägten Kontext erscheint (Pischlöger 2022: 123) (Abb. 1).</w:t>
      </w:r>
    </w:p>
    <w:p w14:paraId="33FE3D2C" w14:textId="0E2EF98D" w:rsidR="00315E3D" w:rsidRPr="00FB4EFA" w:rsidRDefault="00315E3D" w:rsidP="00AF0CAD">
      <w:pPr>
        <w:ind w:firstLine="709"/>
      </w:pPr>
      <w:r w:rsidRPr="00FB4EFA">
        <w:t>ad 2.</w:t>
      </w:r>
      <w:r w:rsidRPr="00FB4EFA">
        <w:rPr>
          <w:i/>
          <w:iCs/>
        </w:rPr>
        <w:t xml:space="preserve"> </w:t>
      </w:r>
      <w:r w:rsidRPr="00FB4EFA">
        <w:t xml:space="preserve">Eine heute noch immer auch bei den Beserman:innen häufig anzutreffende Schreibweise gibt das besermanische Sommerfest mit </w:t>
      </w:r>
      <w:r w:rsidRPr="00FB4EFA">
        <w:rPr>
          <w:i/>
          <w:iCs/>
        </w:rPr>
        <w:t xml:space="preserve">кӧрбан </w:t>
      </w:r>
      <w:r w:rsidRPr="00FB4EFA">
        <w:t>wieder</w:t>
      </w:r>
      <w:r w:rsidRPr="00FB4EFA">
        <w:rPr>
          <w:i/>
          <w:iCs/>
        </w:rPr>
        <w:t>,</w:t>
      </w:r>
      <w:r w:rsidRPr="00FB4EFA">
        <w:t xml:space="preserve"> wobei die Wiedergabe unter Verwendung udmurtischer Grapheme mit </w:t>
      </w:r>
      <w:r w:rsidRPr="00FB4EFA">
        <w:rPr>
          <w:i/>
          <w:iCs/>
        </w:rPr>
        <w:t xml:space="preserve">Ӧӧ </w:t>
      </w:r>
      <w:r w:rsidRPr="00FB4EFA">
        <w:t xml:space="preserve">[ə] (Unicode U+04E6 bzw. U+04E7) nicht der besermanischen Aussprache von </w:t>
      </w:r>
      <w:r w:rsidRPr="00FB4EFA">
        <w:rPr>
          <w:i/>
          <w:iCs/>
        </w:rPr>
        <w:t xml:space="preserve">ө </w:t>
      </w:r>
      <w:r w:rsidRPr="00FB4EFA">
        <w:t xml:space="preserve">[ə̑] entspricht. Manchmal findet sich statt des kyrillischen </w:t>
      </w:r>
      <w:r w:rsidRPr="00FB4EFA">
        <w:rPr>
          <w:i/>
          <w:iCs/>
        </w:rPr>
        <w:t>Ӧӧ</w:t>
      </w:r>
      <w:r w:rsidRPr="00FB4EFA">
        <w:t xml:space="preserve"> das lateinische </w:t>
      </w:r>
      <w:r w:rsidRPr="00FB4EFA">
        <w:rPr>
          <w:i/>
          <w:iCs/>
        </w:rPr>
        <w:t xml:space="preserve">Öö </w:t>
      </w:r>
      <w:r w:rsidRPr="00FB4EFA">
        <w:t xml:space="preserve">(U+00D6 bzw. U+00F6) bzw. ein kyrillisches </w:t>
      </w:r>
      <w:r w:rsidRPr="00FB4EFA">
        <w:rPr>
          <w:i/>
          <w:iCs/>
        </w:rPr>
        <w:t xml:space="preserve">о + </w:t>
      </w:r>
      <w:r w:rsidRPr="00FB4EFA">
        <w:t>Doppelpunkt</w:t>
      </w:r>
      <w:r w:rsidRPr="00FB4EFA">
        <w:rPr>
          <w:i/>
          <w:iCs/>
        </w:rPr>
        <w:t xml:space="preserve"> </w:t>
      </w:r>
      <w:r w:rsidRPr="00FB4EFA">
        <w:t>(</w:t>
      </w:r>
      <w:r w:rsidRPr="00FB4EFA">
        <w:rPr>
          <w:i/>
          <w:iCs/>
        </w:rPr>
        <w:t>ко:рбан</w:t>
      </w:r>
      <w:r w:rsidRPr="00FB4EFA">
        <w:t xml:space="preserve">). Die letzteren beiden Ausweichvarianten sind wohl auf technologische Beschränkungen bzw. Unkenntnis oder Unwillen der User:innen, die entsprechenden Einstellungen auf den verwendeten Geräten zu ändern, zurückzuführen. Die konkrete Verwendung von </w:t>
      </w:r>
      <w:r w:rsidRPr="00FB4EFA">
        <w:rPr>
          <w:i/>
          <w:iCs/>
        </w:rPr>
        <w:t xml:space="preserve">кӧрбан </w:t>
      </w:r>
      <w:r w:rsidRPr="00FB4EFA">
        <w:t xml:space="preserve">statt </w:t>
      </w:r>
      <w:r w:rsidRPr="00FB4EFA">
        <w:rPr>
          <w:i/>
          <w:iCs/>
        </w:rPr>
        <w:t xml:space="preserve">көрбан </w:t>
      </w:r>
      <w:r w:rsidRPr="00FB4EFA">
        <w:t xml:space="preserve">hängt allerdings nicht nur mit technologischen </w:t>
      </w:r>
      <w:r w:rsidR="00976F3E" w:rsidRPr="00FB4EFA">
        <w:t xml:space="preserve">Schwierigkeiten </w:t>
      </w:r>
      <w:r w:rsidRPr="00FB4EFA">
        <w:t xml:space="preserve">zusammen, sondern vielleicht eher mit der „traditionellen“ Schreibweise dieses Festes, </w:t>
      </w:r>
      <w:r w:rsidR="00E95B67" w:rsidRPr="00FB4EFA">
        <w:t xml:space="preserve">v. a. </w:t>
      </w:r>
      <w:r w:rsidRPr="00FB4EFA">
        <w:t>in udmurtischen Medien. Diese Variante scheint sich durch den häufigen Gebrauch schon verfestigt zu haben.</w:t>
      </w:r>
    </w:p>
    <w:p w14:paraId="08722ADF" w14:textId="0DFB11E8" w:rsidR="000121EA" w:rsidRPr="00FB4EFA" w:rsidRDefault="00315E3D" w:rsidP="00AF0CAD">
      <w:pPr>
        <w:ind w:firstLine="709"/>
      </w:pPr>
      <w:r w:rsidRPr="00FB4EFA">
        <w:rPr>
          <w:rFonts w:eastAsia="Noto Sans CJK SC" w:cs="Lohit Devanagari"/>
        </w:rPr>
        <w:t xml:space="preserve">ad 3. Zu den ältesten schriftlichen Fixierungen des Feiertages zählen die Formen </w:t>
      </w:r>
      <w:r w:rsidRPr="00FB4EFA">
        <w:rPr>
          <w:rFonts w:eastAsia="Noto Sans CJK SC" w:cs="Lohit Devanagari"/>
          <w:i/>
          <w:iCs/>
        </w:rPr>
        <w:t xml:space="preserve">корбан </w:t>
      </w:r>
      <w:r w:rsidRPr="00FB4EFA">
        <w:rPr>
          <w:rFonts w:eastAsia="Noto Sans CJK SC" w:cs="Lohit Devanagari"/>
        </w:rPr>
        <w:t>bzw.</w:t>
      </w:r>
      <w:r w:rsidRPr="00FB4EFA">
        <w:rPr>
          <w:rFonts w:eastAsia="Noto Sans CJK SC" w:cs="Lohit Devanagari"/>
          <w:i/>
          <w:iCs/>
        </w:rPr>
        <w:t xml:space="preserve"> кырбан.</w:t>
      </w:r>
      <w:r w:rsidRPr="00FB4EFA">
        <w:rPr>
          <w:rFonts w:eastAsia="Noto Sans CJK SC" w:cs="Lohit Devanagari"/>
        </w:rPr>
        <w:t xml:space="preserve"> Sie beruhen </w:t>
      </w:r>
      <w:r w:rsidRPr="00FB4EFA">
        <w:t xml:space="preserve">auf der russischen Kyrillica ohne diakritische Zeichen bzw. kommen ohne vom Russischen abweichenden Grapheme aus. Dabei steht die ungefähre Aussprache im Russischen Pate: </w:t>
      </w:r>
      <w:r w:rsidRPr="00FB4EFA">
        <w:rPr>
          <w:i/>
          <w:iCs/>
        </w:rPr>
        <w:t>К</w:t>
      </w:r>
      <w:r w:rsidRPr="00FB4EFA">
        <w:rPr>
          <w:rFonts w:eastAsia="Noto Sans CJK SC" w:cs="Lohit Devanagari"/>
          <w:i/>
          <w:iCs/>
        </w:rPr>
        <w:t xml:space="preserve">өрбан </w:t>
      </w:r>
      <w:r w:rsidRPr="00FB4EFA">
        <w:rPr>
          <w:rFonts w:eastAsia="Noto Sans CJK SC" w:cs="Lohit Devanagari"/>
        </w:rPr>
        <w:t xml:space="preserve">wird auf der letzten Silbe betont und daher ist laut Regeln der russischen Orthoepie die unbetonte erste Silbe mit „Akanje“ zu realisieren, was dem </w:t>
      </w:r>
      <w:r w:rsidRPr="00FB4EFA">
        <w:rPr>
          <w:rFonts w:eastAsia="Noto Sans CJK SC" w:cs="Lohit Devanagari"/>
          <w:i/>
          <w:iCs/>
        </w:rPr>
        <w:t xml:space="preserve">ө </w:t>
      </w:r>
      <w:r w:rsidRPr="00FB4EFA">
        <w:rPr>
          <w:rFonts w:eastAsia="Noto Sans CJK SC" w:cs="Lohit Devanagari"/>
        </w:rPr>
        <w:t>[ə̑] recht nahe kommt</w:t>
      </w:r>
      <w:r w:rsidRPr="00FB4EFA">
        <w:t>. Diese Strategie entspricht wohl am ehesten einer „Küchenorthographie“ in Reinform („бытовая система письма“, Kolomej</w:t>
      </w:r>
      <w:r w:rsidRPr="00FB4EFA">
        <w:rPr>
          <w:rFonts w:eastAsia="Noto Sans CJK SC" w:cs="Lohit Devanagari"/>
        </w:rPr>
        <w:t>čenko 2016</w:t>
      </w:r>
      <w:r w:rsidRPr="00FB4EFA">
        <w:t xml:space="preserve">). Sie wird oft von techn(olog)ischen Beschränkungen provoziert, wie </w:t>
      </w:r>
      <w:r w:rsidR="0030017E" w:rsidRPr="00FB4EFA">
        <w:t>z. B.</w:t>
      </w:r>
      <w:r w:rsidRPr="00FB4EFA">
        <w:t xml:space="preserve"> der Verwendung von „Tastenhandys“, die aufgrund höherer Funktionalität (Netzabdeckung, Akkuleistung, Robustheit) unter den gegebenen Umständen in den besermanischen Dörfern noch immer häufig anzutreffen sind, anstelle von Smartphones.</w:t>
      </w:r>
    </w:p>
    <w:p w14:paraId="13331602" w14:textId="5C67571F" w:rsidR="000121EA" w:rsidRPr="00FB4EFA" w:rsidRDefault="00315E3D" w:rsidP="00402EF4">
      <w:pPr>
        <w:ind w:firstLine="709"/>
      </w:pPr>
      <w:r w:rsidRPr="00FB4EFA">
        <w:t xml:space="preserve">Prinzipiell handelt es sich bei dieser Küchenorthographie um eine Strategie, die auch für andere Sprachen für positive Impulse gesorgt haben, die in ähnlichen Kontaktsituationen stehen wie das Besermanische (verwandte Standardsprache: Udmurtisch, nichtverwandte Standardsprache: Russisch), </w:t>
      </w:r>
      <w:r w:rsidR="0030017E" w:rsidRPr="00FB4EFA">
        <w:t>z. B.</w:t>
      </w:r>
      <w:r w:rsidRPr="00FB4EFA">
        <w:t xml:space="preserve"> das Lëtzebu</w:t>
      </w:r>
      <w:r w:rsidR="00565CC1">
        <w:t>e</w:t>
      </w:r>
      <w:r w:rsidRPr="00FB4EFA">
        <w:t>rg</w:t>
      </w:r>
      <w:r w:rsidR="00565CC1">
        <w:t>e</w:t>
      </w:r>
      <w:r w:rsidRPr="00FB4EFA">
        <w:t>sche (verwandte Standardsprache: Deutsch, nichtverwandte Standard</w:t>
      </w:r>
      <w:r w:rsidR="0047502E" w:rsidRPr="00FB4EFA">
        <w:softHyphen/>
      </w:r>
      <w:r w:rsidRPr="00FB4EFA">
        <w:t xml:space="preserve">sprache Französisch; </w:t>
      </w:r>
      <w:r w:rsidRPr="00FB4EFA">
        <w:lastRenderedPageBreak/>
        <w:t>Wagner 2013) oder das Kaschubische (verwandte Standardsprache: Polnisch, nichtverwandte Standardsprache: Deutsch; Dołowy-Rybińska 2013). Es ist allerdings fraglich, ob so eine Lösung, die in hohem Maße individuell variabel ist, längerfristig Bestand haben kann – vor allem, wenn man in Betracht zieht, dass es sich bei Russland um ein Land mit stark ausgeprägter Standardsprachenideologie handelt. Diese vom Russischen ausgehende Ideologie wirkt auch sehr stark auf die Sprecher:innen von Minderheitensprachen. Diese Sprachen befinden sich allerdings in einer völlig anderen Situation als das allgegenwärtige und in fast allen Domänen vorherrschende Russisch, und die Voraussetzungen für eine strenge Befolgung der Standardvarietät, wie sie die Standardsprachenideologie vorgibt – etwa die Schulbildung –, sind hier meist nicht gegeben. Insofern erweist sich die Standardsprachenideologie als negativ für Minderheitensprachen (Edygarova 2016; Khilkhanova 2019, 2021; Pischlöger 2016, 2021).</w:t>
      </w:r>
    </w:p>
    <w:p w14:paraId="1375280E" w14:textId="66F507FE" w:rsidR="000121EA" w:rsidRPr="00FB4EFA" w:rsidRDefault="00315E3D" w:rsidP="00AF0CAD">
      <w:pPr>
        <w:spacing w:after="240"/>
        <w:ind w:firstLine="709"/>
      </w:pPr>
      <w:r w:rsidRPr="00FB4EFA">
        <w:t>Für eine solche (Zwischen-)Lösung spricht aber, dass sich kaum Anzeichen von Purismus in den besermanischen Gruppen finden (s.</w:t>
      </w:r>
      <w:r w:rsidR="00E95B67" w:rsidRPr="00FB4EFA">
        <w:t xml:space="preserve"> </w:t>
      </w:r>
      <w:r w:rsidRPr="00FB4EFA">
        <w:t>o.). Allerdings beklagten sich besermanische Vertreter:innen bei der bereits erwähnten Konferenz in Glazov (Ivanov &amp; Popova 2018) in einer Diskussion über die schriftliche Verwendung des Besermanischen, dass die Verwendung „der besermanischen Buchstaben“ auf technische Schwierigkeiten stoße (s.</w:t>
      </w:r>
      <w:r w:rsidR="00E95B67" w:rsidRPr="00FB4EFA">
        <w:t xml:space="preserve"> </w:t>
      </w:r>
      <w:r w:rsidRPr="00FB4EFA">
        <w:t xml:space="preserve">o. für die noch immer verbreitete Verwendung von Tastenhandys). Aus diesem Grund könne man auch „nicht auf Besermanisch schreiben“. Diese Argumentation die Muttersprache aus techn(olog)ischen Gründen nicht schreiben zu können, mag vielleicht wie eine Schutzbehauptung klingen, aber unter dem vom Russischen ausgehenden Hang zu (Hyper-)Korrektheit in allen sprachlichen Äußerungen sind solche Bedenken nicht zu unterschätzen. Andererseits sind vielleicht diejenigen Bevölkerungsschichten, die Besermanisch noch am besten beherrschen, vielleicht weniger mit den Errungenschaften der modernen Informationstechnologie vertraut. Gerade die Verwendung symbolisch so wichtiger Grapheme wie des </w:t>
      </w:r>
      <w:r w:rsidRPr="00FB4EFA">
        <w:rPr>
          <w:i/>
          <w:iCs/>
        </w:rPr>
        <w:t xml:space="preserve">Өө </w:t>
      </w:r>
      <w:r w:rsidRPr="00FB4EFA">
        <w:t>und</w:t>
      </w:r>
      <w:r w:rsidRPr="00FB4EFA">
        <w:rPr>
          <w:i/>
          <w:iCs/>
        </w:rPr>
        <w:t xml:space="preserve"> Ўў, </w:t>
      </w:r>
      <w:r w:rsidRPr="00FB4EFA">
        <w:t xml:space="preserve">aber auch der udmurtischen Grapheme </w:t>
      </w:r>
      <w:r w:rsidRPr="00FB4EFA">
        <w:rPr>
          <w:i/>
          <w:iCs/>
        </w:rPr>
        <w:t>Ӟ</w:t>
      </w:r>
      <w:bookmarkStart w:id="100" w:name="docs-internal-guid-04a66d1b-7fff-a7a6-d3"/>
      <w:bookmarkEnd w:id="100"/>
      <w:r w:rsidRPr="00FB4EFA">
        <w:rPr>
          <w:i/>
          <w:iCs/>
        </w:rPr>
        <w:t xml:space="preserve">ӟ, Ӥӥ </w:t>
      </w:r>
      <w:r w:rsidRPr="00FB4EFA">
        <w:t>(und</w:t>
      </w:r>
      <w:r w:rsidRPr="00FB4EFA">
        <w:rPr>
          <w:i/>
          <w:iCs/>
        </w:rPr>
        <w:t xml:space="preserve"> Ӧӧ</w:t>
      </w:r>
      <w:r w:rsidRPr="00FB4EFA">
        <w:t>), stößt also in der Realität (noch) auf Schwierigkeiten. Für eine temporäre Lösung erweist sich diese Küchenorthogra</w:t>
      </w:r>
      <w:r w:rsidR="00F600F9" w:rsidRPr="00FB4EFA">
        <w:t>ph</w:t>
      </w:r>
      <w:r w:rsidRPr="00FB4EFA">
        <w:t>ie allerdings als sehr brauchbar, zumindest bis sich die Beserman:innen auf etwas Tragfähigeres geeinigt haben.</w:t>
      </w:r>
    </w:p>
    <w:p w14:paraId="00242F9B" w14:textId="29E00D90" w:rsidR="00315E3D" w:rsidRPr="00FB4EFA" w:rsidRDefault="00315E3D" w:rsidP="00FE0856">
      <w:pPr>
        <w:keepNext/>
        <w:jc w:val="center"/>
      </w:pPr>
      <w:r w:rsidRPr="00FB4EFA">
        <w:rPr>
          <w:noProof/>
        </w:rPr>
        <w:lastRenderedPageBreak/>
        <w:drawing>
          <wp:inline distT="0" distB="0" distL="0" distR="0" wp14:anchorId="54F02A3F" wp14:editId="4F338B9C">
            <wp:extent cx="3604161" cy="2363700"/>
            <wp:effectExtent l="0" t="0" r="0" b="0"/>
            <wp:docPr id="25" name="Grafik 2"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2" descr="A picture containing calendar&#10;&#10;Description automatically generated"/>
                    <pic:cNvPicPr>
                      <a:picLocks noChangeAspect="1" noChangeArrowheads="1"/>
                    </pic:cNvPicPr>
                  </pic:nvPicPr>
                  <pic:blipFill>
                    <a:blip r:embed="rId376">
                      <a:extLst>
                        <a:ext uri="{BEBA8EAE-BF5A-486C-A8C5-ECC9F3942E4B}">
                          <a14:imgProps xmlns:a14="http://schemas.microsoft.com/office/drawing/2010/main">
                            <a14:imgLayer r:embed="rId377">
                              <a14:imgEffect>
                                <a14:saturation sat="0"/>
                              </a14:imgEffect>
                            </a14:imgLayer>
                          </a14:imgProps>
                        </a:ext>
                      </a:extLst>
                    </a:blip>
                    <a:stretch>
                      <a:fillRect/>
                    </a:stretch>
                  </pic:blipFill>
                  <pic:spPr bwMode="auto">
                    <a:xfrm>
                      <a:off x="0" y="0"/>
                      <a:ext cx="3609167" cy="2366983"/>
                    </a:xfrm>
                    <a:prstGeom prst="rect">
                      <a:avLst/>
                    </a:prstGeom>
                  </pic:spPr>
                </pic:pic>
              </a:graphicData>
            </a:graphic>
          </wp:inline>
        </w:drawing>
      </w:r>
    </w:p>
    <w:p w14:paraId="0742FFAA" w14:textId="77777777" w:rsidR="00315E3D" w:rsidRPr="00FB4EFA" w:rsidRDefault="00315E3D" w:rsidP="00AF0CAD">
      <w:pPr>
        <w:spacing w:before="120" w:after="240" w:line="240" w:lineRule="auto"/>
        <w:jc w:val="center"/>
        <w:rPr>
          <w:lang w:val="en-GB" w:eastAsia="en-GB"/>
        </w:rPr>
      </w:pPr>
      <w:r w:rsidRPr="00FB4EFA">
        <w:rPr>
          <w:rFonts w:cs="Charis SIL"/>
          <w:b/>
          <w:bCs/>
          <w:sz w:val="18"/>
          <w:szCs w:val="18"/>
          <w:lang w:val="en-US"/>
        </w:rPr>
        <w:t>Abbildung 1</w:t>
      </w:r>
      <w:r w:rsidRPr="00FB4EFA">
        <w:rPr>
          <w:rFonts w:cs="Charis SIL"/>
          <w:sz w:val="18"/>
          <w:szCs w:val="18"/>
          <w:lang w:val="en-US"/>
        </w:rPr>
        <w:t xml:space="preserve">. Das Graphem </w:t>
      </w:r>
      <w:r w:rsidRPr="00FB4EFA">
        <w:rPr>
          <w:rFonts w:cs="Charis SIL"/>
          <w:i/>
          <w:iCs/>
          <w:sz w:val="18"/>
          <w:szCs w:val="18"/>
          <w:lang w:val="en-US"/>
        </w:rPr>
        <w:t>Өө</w:t>
      </w:r>
      <w:r w:rsidRPr="00FB4EFA">
        <w:rPr>
          <w:rFonts w:cs="Charis SIL"/>
          <w:sz w:val="18"/>
          <w:szCs w:val="18"/>
          <w:lang w:val="en-US"/>
        </w:rPr>
        <w:t xml:space="preserve"> wurde nicht nur innerhalb der besermanischen Community zu einem Symbol des Besermanentums, sondern wird sogar von Reisebüros verwendet, um für Ethno-Reisen zu werben.</w:t>
      </w:r>
    </w:p>
    <w:p w14:paraId="3056D2A2" w14:textId="7E777B17" w:rsidR="00315E3D" w:rsidRPr="00FB4EFA" w:rsidRDefault="00315E3D" w:rsidP="00AF0CAD">
      <w:pPr>
        <w:pStyle w:val="Heading3"/>
        <w:numPr>
          <w:ilvl w:val="1"/>
          <w:numId w:val="17"/>
        </w:numPr>
        <w:spacing w:line="259" w:lineRule="auto"/>
        <w:rPr>
          <w:lang w:val="de-AT"/>
        </w:rPr>
      </w:pPr>
      <w:r w:rsidRPr="00FB4EFA">
        <w:t>Besermanisch</w:t>
      </w:r>
      <w:r w:rsidRPr="00FB4EFA">
        <w:rPr>
          <w:lang w:val="de-AT"/>
        </w:rPr>
        <w:t xml:space="preserve"> als eigene Standardsprache</w:t>
      </w:r>
    </w:p>
    <w:p w14:paraId="3F1E0C2F" w14:textId="734B73B7" w:rsidR="000121EA" w:rsidRPr="00FB4EFA" w:rsidRDefault="00315E3D" w:rsidP="00402EF4">
      <w:pPr>
        <w:rPr>
          <w:rFonts w:eastAsia="Noto Sans CJK SC" w:cs="Lohit Devanagari"/>
        </w:rPr>
      </w:pPr>
      <w:r w:rsidRPr="00FB4EFA">
        <w:t>Betrachtet man die Sprache der Beserman:innen im Rahmen der udmurtischen Sprachwissenschaft, so war Besermanisch der erste udmurtische Dialekt, dem eine ganze Monographie gewidmet war (Tepljašina 1970). Diese und weitere Publikationen der genannten Autorin sowie anderer Autor:innen machte</w:t>
      </w:r>
      <w:r w:rsidR="0021708D" w:rsidRPr="00FB4EFA">
        <w:t>n</w:t>
      </w:r>
      <w:r w:rsidRPr="00FB4EFA">
        <w:t xml:space="preserve"> die Sprache der Beserman:innen bereits in den 90er Jahren des vergangengen Jahrhunderts zum besterforschten Idiom der udmurtischen Dialektologie (Kelmakov 2003: 99). Diese Entwicklung fand ihre Fortsetzung durch die Feldforschungstätigkeit von Sprachwissenschafter:innen aus Moskau, die im Jahre 2003 zum ersten Mal im Dorf </w:t>
      </w:r>
      <w:r w:rsidRPr="00FB4EFA">
        <w:rPr>
          <w:rFonts w:eastAsia="Noto Sans CJK SC" w:cs="Lohit Devanagari"/>
        </w:rPr>
        <w:t xml:space="preserve">Šamardan eintrafen, spätestens aber seit 2009, als diese Expeditionen von lehrenden und lernenden Mitgliedern der Staatlichen Universität Moskau, der Wirtschaftshochschule Moskau sowie von unabhängigen Forscher:innen zur regelmäßigen Einrichtung wurden. Auf diese Weise mauserte sich Besermanisch zu einer der besterforschten Varietäten der zumindest permischen, vielleicht sogar aller uralischen </w:t>
      </w:r>
      <w:r w:rsidR="00F600F9" w:rsidRPr="00FB4EFA">
        <w:rPr>
          <w:rFonts w:eastAsia="Noto Sans CJK SC" w:cs="Lohit Devanagari"/>
        </w:rPr>
        <w:br/>
      </w:r>
      <w:r w:rsidRPr="00FB4EFA">
        <w:rPr>
          <w:rFonts w:eastAsia="Noto Sans CJK SC" w:cs="Lohit Devanagari"/>
        </w:rPr>
        <w:t>(Minderheiten</w:t>
      </w:r>
      <w:r w:rsidR="00F600F9" w:rsidRPr="00FB4EFA">
        <w:rPr>
          <w:rFonts w:eastAsia="Noto Sans CJK SC" w:cs="Lohit Devanagari"/>
        </w:rPr>
        <w:noBreakHyphen/>
      </w:r>
      <w:r w:rsidRPr="00FB4EFA">
        <w:rPr>
          <w:rFonts w:eastAsia="Noto Sans CJK SC" w:cs="Lohit Devanagari"/>
        </w:rPr>
        <w:t xml:space="preserve">)Sprachen. Neben den zahlreichen Artikeln sind als Resultate dieser Feldforschungen </w:t>
      </w:r>
      <w:r w:rsidR="00E95B67" w:rsidRPr="00FB4EFA">
        <w:t xml:space="preserve">v. a. </w:t>
      </w:r>
      <w:r w:rsidRPr="00FB4EFA">
        <w:rPr>
          <w:rFonts w:eastAsia="Noto Sans CJK SC" w:cs="Lohit Devanagari"/>
        </w:rPr>
        <w:t>das besermanische Korpus</w:t>
      </w:r>
      <w:r w:rsidRPr="00FB4EFA">
        <w:rPr>
          <w:rFonts w:eastAsia="Noto Sans CJK SC" w:cs="Lohit Devanagari"/>
          <w:vertAlign w:val="superscript"/>
        </w:rPr>
        <w:footnoteReference w:id="137"/>
      </w:r>
      <w:r w:rsidRPr="00FB4EFA">
        <w:rPr>
          <w:rFonts w:eastAsia="Noto Sans CJK SC" w:cs="Lohit Devanagari"/>
        </w:rPr>
        <w:t xml:space="preserve"> und der besermanische Thesaurus unter Mitwirkung von insgesamt 51 Infor</w:t>
      </w:r>
      <w:r w:rsidRPr="00FB4EFA">
        <w:rPr>
          <w:rFonts w:eastAsia="Noto Sans CJK SC" w:cs="Lohit Devanagari"/>
        </w:rPr>
        <w:lastRenderedPageBreak/>
        <w:t xml:space="preserve">mant:innen, sieben wissenschaftlichen Konsultant:innen und 54 Forscher:innen (Usačeva et al. 2017) hervorzuheben. Die Erforschung des Besermanischen findet bis zum heutigen Tag statt und wird auch in Publikationen bestens dokumentiert, hier ist </w:t>
      </w:r>
      <w:r w:rsidR="00E95B67" w:rsidRPr="00FB4EFA">
        <w:t xml:space="preserve">v. a. </w:t>
      </w:r>
      <w:r w:rsidRPr="00FB4EFA">
        <w:rPr>
          <w:rFonts w:eastAsia="Noto Sans CJK SC" w:cs="Lohit Devanagari"/>
        </w:rPr>
        <w:t>das Projekt LIDIVOKA</w:t>
      </w:r>
      <w:r w:rsidRPr="00FB4EFA">
        <w:rPr>
          <w:rFonts w:eastAsia="Noto Sans CJK SC" w:cs="Lohit Devanagari"/>
          <w:vertAlign w:val="superscript"/>
        </w:rPr>
        <w:footnoteReference w:id="138"/>
      </w:r>
      <w:r w:rsidRPr="00FB4EFA">
        <w:rPr>
          <w:rFonts w:eastAsia="Noto Sans CJK SC" w:cs="Lohit Devanagari"/>
        </w:rPr>
        <w:t xml:space="preserve"> unter der Leitung von Johanna Laakso (Universität Wien) und Maria Usačeva (Institut für Sprachwissenschaften der Russländischen Akademie der Wissenschaften)</w:t>
      </w:r>
      <w:r w:rsidR="00976F3E" w:rsidRPr="00FB4EFA">
        <w:rPr>
          <w:rFonts w:eastAsia="Noto Sans CJK SC" w:cs="Lohit Devanagari"/>
        </w:rPr>
        <w:t xml:space="preserve"> zu nennen</w:t>
      </w:r>
      <w:r w:rsidRPr="00FB4EFA">
        <w:rPr>
          <w:rFonts w:eastAsia="Noto Sans CJK SC" w:cs="Lohit Devanagari"/>
        </w:rPr>
        <w:t xml:space="preserve">. Dies alles – ein bereits vorhandenes Schriftsystem, eine „Orthographie“ mit „besermanischen Graphemen“, eine deskriptive Grammatik und ein gut beschriebener Wortschatz – </w:t>
      </w:r>
      <w:r w:rsidR="00F600F9" w:rsidRPr="00FB4EFA">
        <w:rPr>
          <w:rFonts w:eastAsia="Noto Sans CJK SC" w:cs="Lohit Devanagari"/>
        </w:rPr>
        <w:t>ist</w:t>
      </w:r>
      <w:r w:rsidRPr="00FB4EFA">
        <w:rPr>
          <w:rFonts w:eastAsia="Noto Sans CJK SC" w:cs="Lohit Devanagari"/>
        </w:rPr>
        <w:t xml:space="preserve"> wahrscheinlich nicht die schlechteste Voraussetzung, um eine eigene besermanische Standardsprache zu schaffen. Entscheidender Faktor wäre hier der Wille bei der besermanischen Community eine solche ins Leben zu rufen.</w:t>
      </w:r>
    </w:p>
    <w:p w14:paraId="35731FAE" w14:textId="0DAB9E80" w:rsidR="00315E3D" w:rsidRPr="00FB4EFA" w:rsidRDefault="00315E3D" w:rsidP="00AF0CAD">
      <w:pPr>
        <w:ind w:firstLine="709"/>
      </w:pPr>
      <w:r w:rsidRPr="00FB4EFA">
        <w:t xml:space="preserve">Zu bedenken wäre allerdings, ob die zerstreut lebende besermanische Community dazu bereit ist, den Dialekt von Šamardan als Grundlage dieser Standardsprache zu akzeptieren. Denn natürlich gibt es „das Besermanische“, wie im Titel des Thesaurus (Usačeva et al. 2017) ein wenig irreführend suggeriert wird, in dieser Form nicht. Das Besermanische ist kein monolithischer Block und besteht aus verschiedenen Dialekten, die in Phonologie und Lexikon voneinander abweichen und bei weitem nicht so gut wie der Dialekt von Šamardan erforscht sind. Als Beispiel für diese bei den Beserman:innen keineswegs uneingeschränkt vorhandene Akzeptanz der Orthographie des Thesaurus kann hier die alternative Rechtschreibung im ersten Buch auf Besermanisch genannt werden (Ar-Sergi &amp; Djukin 2021), die sich doch deutlich sichtbar vom Vorschlag der Moskauer Wissenschafter:innen unterscheidet, obwohl es auch Überschneidungspunkte gibt, wie die Verwendung von </w:t>
      </w:r>
      <w:r w:rsidRPr="00FB4EFA">
        <w:rPr>
          <w:i/>
          <w:iCs/>
        </w:rPr>
        <w:t xml:space="preserve">Өө </w:t>
      </w:r>
      <w:r w:rsidRPr="00FB4EFA">
        <w:t>und</w:t>
      </w:r>
      <w:r w:rsidRPr="00FB4EFA">
        <w:rPr>
          <w:i/>
          <w:iCs/>
        </w:rPr>
        <w:t xml:space="preserve"> Ўў </w:t>
      </w:r>
      <w:r w:rsidRPr="00FB4EFA">
        <w:t>(letzteres aufgrund einer zweifelhaften Verlagsentscheidung in „abgewandelter“ Form, s.</w:t>
      </w:r>
      <w:r w:rsidR="00E95B67" w:rsidRPr="00FB4EFA">
        <w:t xml:space="preserve"> </w:t>
      </w:r>
      <w:r w:rsidRPr="00FB4EFA">
        <w:t>o.)</w:t>
      </w:r>
      <w:r w:rsidRPr="00FB4EFA">
        <w:rPr>
          <w:i/>
          <w:iCs/>
        </w:rPr>
        <w:t>.</w:t>
      </w:r>
      <w:r w:rsidRPr="00FB4EFA">
        <w:t xml:space="preserve"> Diese Gemeinsamkeiten belegen, dass den beiden Autoren die im Thesaurus verwendete Orthographie bekannt war. Der nicht aus Šamardan (Bezirk Jukamensk), sondern aus Vorca (Bezirk Jar) stammende Co-Autor Rafail Djukin hat es aufgrund seines anders gearteten besermanischen Dialekts vorgezogen, einen anderen Entwurf vorzulegen. Ein weiterer, vielleicht noch wichtigerer Grund für die Wahl einer </w:t>
      </w:r>
      <w:r w:rsidRPr="00FB4EFA">
        <w:lastRenderedPageBreak/>
        <w:t xml:space="preserve">eigenen Rechtschreibung, </w:t>
      </w:r>
      <w:r w:rsidR="00E95B67" w:rsidRPr="00FB4EFA">
        <w:t xml:space="preserve">v. a. </w:t>
      </w:r>
      <w:r w:rsidRPr="00FB4EFA">
        <w:t xml:space="preserve">die Verwendung von </w:t>
      </w:r>
      <w:r w:rsidRPr="00FB4EFA">
        <w:rPr>
          <w:i/>
          <w:iCs/>
        </w:rPr>
        <w:t>Щщ</w:t>
      </w:r>
      <w:r w:rsidRPr="00FB4EFA">
        <w:t xml:space="preserve"> zur Darstellung von [ɕ] </w:t>
      </w:r>
      <w:r w:rsidRPr="00FB4EFA">
        <w:rPr>
          <w:rFonts w:eastAsia="Noto Sans CJK SC" w:cs="Lohit Devanagari"/>
        </w:rPr>
        <w:t>–</w:t>
      </w:r>
      <w:r w:rsidRPr="00FB4EFA">
        <w:t xml:space="preserve"> worauf hier nicht weiter eingegangen werden kann </w:t>
      </w:r>
      <w:r w:rsidRPr="00FB4EFA">
        <w:rPr>
          <w:rFonts w:eastAsia="Noto Sans CJK SC" w:cs="Lohit Devanagari"/>
        </w:rPr>
        <w:t>–</w:t>
      </w:r>
      <w:r w:rsidRPr="00FB4EFA">
        <w:t>, ist in der bewussten Abweichung von der udmurtischen Orthographie zu suchen, die von den Autor:innen des Thesaurus ja als Ausgangsbasis zur Darstellung des besermanischen Dialekts in Šamardan gewählt wurde (s.</w:t>
      </w:r>
      <w:r w:rsidR="00E95B67" w:rsidRPr="00FB4EFA">
        <w:t xml:space="preserve"> </w:t>
      </w:r>
      <w:r w:rsidRPr="00FB4EFA">
        <w:t>o.; Arkhangelskij et al. 2017: 11).</w:t>
      </w:r>
    </w:p>
    <w:p w14:paraId="15A40EF8" w14:textId="77777777" w:rsidR="000121EA" w:rsidRPr="00FB4EFA" w:rsidRDefault="00315E3D" w:rsidP="00402EF4">
      <w:pPr>
        <w:ind w:firstLine="709"/>
      </w:pPr>
      <w:r w:rsidRPr="00FB4EFA">
        <w:t>Auch müsste man sich Gedanken darüber machen, wer denn dieses Standardbesermanisch unterrichten soll und inwieweit der Unterricht einer solchen Sprache in den Schulen der Region überhaupt stattfinden kann, in denen bereits das weitaus besser etablierte Udmurtisch an die Grenzen des Bildungssystems stößt. Es gibt zwar keine Bedarfserhebungen, aber man kann davon ausgehen, dass der Markt für eine eigene Standardsprache wahrscheinlich fehlt oder jedenfalls sehr klein ist. Prinzipiell wäre dieses Modell einer noch zu schaffenden Standardsprache eine Möglichkeit, die sich positiv auf die Überlebenschancen des Besermanischen auswirken könnte. Eine eigene Standardsprache würde auch den Wunschträumen derjenigen Beserman:innen, die das Besermanische für eine eigene Sprache und gleichzeitig für das wichtigste Merkmal einer besermanischen Identität halten, am besten entsprechen.</w:t>
      </w:r>
    </w:p>
    <w:p w14:paraId="5532C9AB" w14:textId="7EC639CB" w:rsidR="00315E3D" w:rsidRPr="00FB4EFA" w:rsidRDefault="00315E3D" w:rsidP="00AF0CAD">
      <w:pPr>
        <w:pStyle w:val="Heading3"/>
        <w:numPr>
          <w:ilvl w:val="1"/>
          <w:numId w:val="17"/>
        </w:numPr>
        <w:spacing w:line="259" w:lineRule="auto"/>
        <w:rPr>
          <w:lang w:val="de-AT"/>
        </w:rPr>
      </w:pPr>
      <w:r w:rsidRPr="00FB4EFA">
        <w:t>Besermanisch</w:t>
      </w:r>
      <w:r w:rsidRPr="00FB4EFA">
        <w:rPr>
          <w:lang w:val="de-AT"/>
        </w:rPr>
        <w:t xml:space="preserve"> als Standardvarietät einer plurizentrischen udmurtischen Sprache</w:t>
      </w:r>
    </w:p>
    <w:p w14:paraId="72526CC7" w14:textId="77777777" w:rsidR="000121EA" w:rsidRPr="00FB4EFA" w:rsidRDefault="00315E3D" w:rsidP="00402EF4">
      <w:pPr>
        <w:spacing w:after="240"/>
      </w:pPr>
      <w:r w:rsidRPr="00FB4EFA">
        <w:t xml:space="preserve">Die Vereinnahmung des Besermanischen durch die udmurtische Dialektologie hat zwar aus Sicht der Beserman:innen negative Folgen für ihr Bild einer eigenständigen besermanischen Sprache als wichtigsten Marker der ethnischen Identität und damit auch für die Chancen auf Erhalt und Wiederbelebung, aber sie könnte auch Vorteile bieten. So ging der Moskauer Linguist Vladimir Ivanov in einem Vortrag auf einer Konferenz in </w:t>
      </w:r>
      <w:r w:rsidRPr="00FB4EFA">
        <w:rPr>
          <w:rFonts w:eastAsia="Noto Sans CJK SC" w:cs="Lohit Devanagari"/>
        </w:rPr>
        <w:t>Šamardan</w:t>
      </w:r>
      <w:r w:rsidRPr="00FB4EFA">
        <w:t xml:space="preserve"> auf die potentielle Rolle eines Udmurtischunterrichtes für den Spracherhalt ein und nannte dabei folgende Punkte (Ivanov 2019):</w:t>
      </w:r>
    </w:p>
    <w:p w14:paraId="0ADED897" w14:textId="51DEFB10" w:rsidR="00315E3D" w:rsidRPr="00FB4EFA" w:rsidRDefault="00315E3D" w:rsidP="002037B6">
      <w:pPr>
        <w:numPr>
          <w:ilvl w:val="0"/>
          <w:numId w:val="18"/>
        </w:numPr>
        <w:spacing w:line="240" w:lineRule="auto"/>
        <w:ind w:hanging="720"/>
        <w:jc w:val="left"/>
      </w:pPr>
      <w:r w:rsidRPr="00FB4EFA">
        <w:t>Udmurtisch ist eine allgemein akzeptierte Varietät, die es erleichtert Udmurten aus verschiedenen Regionen zu verstehen</w:t>
      </w:r>
    </w:p>
    <w:p w14:paraId="2227D9F8" w14:textId="77777777" w:rsidR="00315E3D" w:rsidRPr="00FB4EFA" w:rsidRDefault="00315E3D" w:rsidP="002037B6">
      <w:pPr>
        <w:numPr>
          <w:ilvl w:val="0"/>
          <w:numId w:val="18"/>
        </w:numPr>
        <w:spacing w:line="240" w:lineRule="auto"/>
        <w:ind w:hanging="720"/>
        <w:jc w:val="left"/>
      </w:pPr>
      <w:r w:rsidRPr="00FB4EFA">
        <w:t>Udmurtisch hat eine etablierte Form der Schriftlichkeit</w:t>
      </w:r>
    </w:p>
    <w:p w14:paraId="6DE1D303" w14:textId="77777777" w:rsidR="00315E3D" w:rsidRPr="00FB4EFA" w:rsidRDefault="00315E3D" w:rsidP="002037B6">
      <w:pPr>
        <w:numPr>
          <w:ilvl w:val="0"/>
          <w:numId w:val="18"/>
        </w:numPr>
        <w:spacing w:line="240" w:lineRule="auto"/>
        <w:ind w:hanging="720"/>
        <w:jc w:val="left"/>
      </w:pPr>
      <w:r w:rsidRPr="00FB4EFA">
        <w:t>Udmurtisch hat bewährte Regeln und Normen</w:t>
      </w:r>
    </w:p>
    <w:p w14:paraId="0B6904B7" w14:textId="77777777" w:rsidR="00315E3D" w:rsidRPr="00FB4EFA" w:rsidRDefault="00315E3D" w:rsidP="002037B6">
      <w:pPr>
        <w:numPr>
          <w:ilvl w:val="0"/>
          <w:numId w:val="18"/>
        </w:numPr>
        <w:spacing w:line="240" w:lineRule="auto"/>
        <w:ind w:hanging="720"/>
        <w:jc w:val="left"/>
      </w:pPr>
      <w:r w:rsidRPr="00FB4EFA">
        <w:t>Udmurtisch kann in der Schule gelehrt und erlernt werden</w:t>
      </w:r>
    </w:p>
    <w:p w14:paraId="56E6A63D" w14:textId="77777777" w:rsidR="00315E3D" w:rsidRPr="00FB4EFA" w:rsidRDefault="00315E3D" w:rsidP="002037B6">
      <w:pPr>
        <w:numPr>
          <w:ilvl w:val="0"/>
          <w:numId w:val="18"/>
        </w:numPr>
        <w:spacing w:line="240" w:lineRule="auto"/>
        <w:ind w:hanging="720"/>
        <w:jc w:val="left"/>
      </w:pPr>
      <w:r w:rsidRPr="00FB4EFA">
        <w:lastRenderedPageBreak/>
        <w:t>Udmurtisch kann Ausgangsbasis für die Wiederbelebung des Besermanischen sein</w:t>
      </w:r>
    </w:p>
    <w:p w14:paraId="00F761CF" w14:textId="77777777" w:rsidR="000121EA" w:rsidRPr="00FB4EFA" w:rsidRDefault="00315E3D" w:rsidP="00402EF4">
      <w:pPr>
        <w:spacing w:before="240"/>
      </w:pPr>
      <w:r w:rsidRPr="00FB4EFA">
        <w:t>Zunächst ist festzuhalten, dass Besermanisch in diesem Revitalisierungsentwurf weiterhin in der Tradition der russländischen Sprachwissenschaft als Dialekt des Udmurtischen angesehen wird. Das wurde übrigens auch im erwähnten Vortrag als unerschütterliche „Tatsache“ bezeichnet, in bereits gewohnter Weise ohne Angabe der Kriterien, obwohl die Präsentation zweifellos in der besten Absicht geschah, den Beserman:innen Perspektiven für die Zukunft ihrer Sprache aufzuzeigen. Betrachtet man die einzelnen Punkte näher, so kann man zwar mit den Punkten 2 bis 4 übereinstimmen, wohl auch aus besermanischer Sicht. Aber warum eine eventuelle Möglichkeit der Verständigung mit Udmurt:innen aus allen Regionen (Punkt 1) ein Ansporn für die Beserman:innen sein soll, das Udmurtische als Dachsprache ihres „Dialekts“ zu akzeptieren, scheint nicht ganz einleuchtend, dafür kann man ja – sollten bei muttersprachlicher Kommunikation zwischen Beserman:innen und Udmurt:innen die Verständnisschwierigkeiten zu groß werden – schließlich auch auf das Russische zurückgreifen. Auch ist die Annahme, dass die Kenntnisse einer nicht als die eigene empfundenen Sprache zur Wiederbelebung eines „Dialekts“ beitragen kann (Punkt 5), wohl nicht nur für die Beserman:innen schwer nachzuvollziehen. Die Zuwendung zum Udmurtischen hätte zwar unbestreitbar Vorteile, aber ob die obengenannten Argumente für alle (nicht nur) Beserman:innen schlüssig sind, darf an dieser Stelle vorsichtig bezweifelt werden.</w:t>
      </w:r>
    </w:p>
    <w:p w14:paraId="391737B5" w14:textId="0EEC7C69" w:rsidR="000121EA" w:rsidRPr="00FB4EFA" w:rsidRDefault="00315E3D" w:rsidP="00AF0CAD">
      <w:pPr>
        <w:ind w:firstLine="709"/>
      </w:pPr>
      <w:r w:rsidRPr="00FB4EFA">
        <w:t xml:space="preserve">Vielleicht kann man dieses Modell aber weiterdenken und sich die vorhandenen Ressourcen des Udmurtischen für das Besermanische zu Nutze machen, indem man darauf aufbauend eine Standardvarietät des Besermanischen schafft. Dabei würde man sich den wahrscheinlich kompliziert(er)en Weg der Schaffung einer eigenen besermanischen Schriftsprache ersparen, die zwar aufgrund der vorhandenen Kenntnisse prinzipiell möglich scheint (vgl. Abschnitt 5.2.), aber doch einen langwierigen Prozess darstellt, der mit Entscheidungen verbunden ist, die vielleicht niemand zu treffen bereit ist oder für die sich niemand kompetent genug fühlt. Der Gedanke, dass es sich beim Udmurtischen um eine plurizentrische Sprache handeln könnte, scheint zwar ungewöhnlich, ist aber in der </w:t>
      </w:r>
      <w:r w:rsidRPr="00FB4EFA">
        <w:lastRenderedPageBreak/>
        <w:t xml:space="preserve">Fachliteratur bereits angedacht worden (vgl. Kubitsch &amp; Németh 2019). Damit sich die Eigenständigkeit des besermanischen Ethnos auch in der Sprache der Beserman:innen widerspiegeln kann, könnten einige Unterschiede zum Standardudmurtischen in diese Standardvarietät übernommen werden. Die Unterschiede müssen gar nicht groß sein, es reichen vielleicht bestimmte „besermanische“ lexikalische oder phonologische Eigenheiten, wie </w:t>
      </w:r>
      <w:r w:rsidR="0030017E" w:rsidRPr="00FB4EFA">
        <w:t>z. B.</w:t>
      </w:r>
      <w:r w:rsidRPr="00FB4EFA">
        <w:t xml:space="preserve"> die Metathese bei Wörtern wie bes. </w:t>
      </w:r>
      <w:r w:rsidRPr="00FB4EFA">
        <w:rPr>
          <w:i/>
          <w:iCs/>
        </w:rPr>
        <w:t>вельтыны</w:t>
      </w:r>
      <w:r w:rsidRPr="00FB4EFA">
        <w:t xml:space="preserve"> vs. udm. </w:t>
      </w:r>
      <w:r w:rsidRPr="00FB4EFA">
        <w:rPr>
          <w:i/>
          <w:iCs/>
        </w:rPr>
        <w:t xml:space="preserve">ветлыны </w:t>
      </w:r>
      <w:r w:rsidR="006057AB" w:rsidRPr="00FB4EFA">
        <w:rPr>
          <w:lang w:val="en-GB"/>
        </w:rPr>
        <w:t>‘</w:t>
      </w:r>
      <w:r w:rsidRPr="00FB4EFA">
        <w:t>gehen</w:t>
      </w:r>
      <w:r w:rsidR="006057AB" w:rsidRPr="00FB4EFA">
        <w:t>’</w:t>
      </w:r>
      <w:r w:rsidRPr="00FB4EFA">
        <w:t xml:space="preserve"> oder die Verwendung des „besermanischen“</w:t>
      </w:r>
      <w:r w:rsidRPr="00FB4EFA">
        <w:rPr>
          <w:i/>
          <w:iCs/>
        </w:rPr>
        <w:t xml:space="preserve"> ө </w:t>
      </w:r>
      <w:r w:rsidRPr="00FB4EFA">
        <w:t xml:space="preserve">zur Wiedergabe von bes. </w:t>
      </w:r>
      <w:r w:rsidRPr="00FB4EFA">
        <w:rPr>
          <w:i/>
          <w:iCs/>
        </w:rPr>
        <w:t>ə̑</w:t>
      </w:r>
      <w:r w:rsidRPr="00FB4EFA">
        <w:t>,</w:t>
      </w:r>
      <w:r w:rsidRPr="00FB4EFA">
        <w:rPr>
          <w:i/>
          <w:iCs/>
        </w:rPr>
        <w:t xml:space="preserve"> </w:t>
      </w:r>
      <w:r w:rsidRPr="00FB4EFA">
        <w:t xml:space="preserve">oder auch </w:t>
      </w:r>
      <w:r w:rsidRPr="00FB4EFA">
        <w:rPr>
          <w:i/>
          <w:iCs/>
        </w:rPr>
        <w:t xml:space="preserve">ў </w:t>
      </w:r>
      <w:r w:rsidRPr="00FB4EFA">
        <w:t xml:space="preserve">[w], letzteres meistens zur Wiedergabe von stand.udm. </w:t>
      </w:r>
      <w:r w:rsidRPr="00FB4EFA">
        <w:rPr>
          <w:i/>
          <w:iCs/>
        </w:rPr>
        <w:t xml:space="preserve">в </w:t>
      </w:r>
      <w:r w:rsidRPr="00FB4EFA">
        <w:t>[v]</w:t>
      </w:r>
      <w:r w:rsidRPr="00FB4EFA">
        <w:rPr>
          <w:i/>
          <w:iCs/>
        </w:rPr>
        <w:t xml:space="preserve"> </w:t>
      </w:r>
      <w:r w:rsidRPr="00FB4EFA">
        <w:t>im Anlaut.</w:t>
      </w:r>
    </w:p>
    <w:p w14:paraId="3FF0F8DC" w14:textId="7C253703" w:rsidR="00315E3D" w:rsidRPr="00FB4EFA" w:rsidRDefault="00315E3D" w:rsidP="00AF0CAD">
      <w:pPr>
        <w:ind w:firstLine="709"/>
      </w:pPr>
      <w:r w:rsidRPr="00FB4EFA">
        <w:t xml:space="preserve">Die udmurtische Standardsprache scheint für diese Lösung jedenfalls bestens geeignet, denn bereits jetzt gibt es lexikalische Doubletten, die jeweils den zwei großen Dialektgebieten, nämlich dem nördlichen und südlichen, zuzuordnen sind, </w:t>
      </w:r>
      <w:r w:rsidR="0030017E" w:rsidRPr="00FB4EFA">
        <w:t>z. B.</w:t>
      </w:r>
      <w:r w:rsidRPr="00FB4EFA">
        <w:t xml:space="preserve"> </w:t>
      </w:r>
      <w:r w:rsidRPr="00FB4EFA">
        <w:rPr>
          <w:i/>
          <w:iCs/>
        </w:rPr>
        <w:t>уксё</w:t>
      </w:r>
      <w:r w:rsidRPr="00FB4EFA">
        <w:t xml:space="preserve"> (Süden) und </w:t>
      </w:r>
      <w:r w:rsidRPr="00FB4EFA">
        <w:rPr>
          <w:i/>
          <w:iCs/>
        </w:rPr>
        <w:t>кондонь</w:t>
      </w:r>
      <w:r w:rsidRPr="00FB4EFA">
        <w:t xml:space="preserve"> (Norden) </w:t>
      </w:r>
      <w:r w:rsidR="006057AB" w:rsidRPr="00FB4EFA">
        <w:rPr>
          <w:lang w:val="en-GB"/>
        </w:rPr>
        <w:t>‘</w:t>
      </w:r>
      <w:r w:rsidRPr="00FB4EFA">
        <w:t>Geld</w:t>
      </w:r>
      <w:r w:rsidR="006057AB" w:rsidRPr="00FB4EFA">
        <w:t>’</w:t>
      </w:r>
      <w:r w:rsidRPr="00FB4EFA">
        <w:t xml:space="preserve"> oder </w:t>
      </w:r>
      <w:r w:rsidRPr="00FB4EFA">
        <w:rPr>
          <w:i/>
          <w:iCs/>
        </w:rPr>
        <w:t>урам</w:t>
      </w:r>
      <w:r w:rsidRPr="00FB4EFA">
        <w:t xml:space="preserve"> (Süden) und </w:t>
      </w:r>
      <w:r w:rsidRPr="00FB4EFA">
        <w:rPr>
          <w:i/>
          <w:iCs/>
        </w:rPr>
        <w:t>ульча</w:t>
      </w:r>
      <w:r w:rsidRPr="00FB4EFA">
        <w:t xml:space="preserve"> (Norden) </w:t>
      </w:r>
      <w:r w:rsidR="006057AB" w:rsidRPr="00FB4EFA">
        <w:rPr>
          <w:lang w:val="en-GB"/>
        </w:rPr>
        <w:t>‘</w:t>
      </w:r>
      <w:r w:rsidRPr="00FB4EFA">
        <w:t>Straße</w:t>
      </w:r>
      <w:r w:rsidR="006057AB" w:rsidRPr="00FB4EFA">
        <w:t>’</w:t>
      </w:r>
      <w:r w:rsidRPr="00FB4EFA">
        <w:t xml:space="preserve">. Aber auch auf morphologischer Ebene gibt es Doppelformen, </w:t>
      </w:r>
      <w:r w:rsidR="0030017E" w:rsidRPr="00FB4EFA">
        <w:t>z. B.</w:t>
      </w:r>
      <w:r w:rsidRPr="00FB4EFA">
        <w:t xml:space="preserve"> können im Akkusativ Plural die Allomorphe -</w:t>
      </w:r>
      <w:r w:rsidRPr="00FB4EFA">
        <w:rPr>
          <w:i/>
          <w:iCs/>
        </w:rPr>
        <w:t xml:space="preserve">ты </w:t>
      </w:r>
      <w:r w:rsidRPr="00FB4EFA">
        <w:t>aus den südlichen Dialekten</w:t>
      </w:r>
      <w:r w:rsidRPr="00FB4EFA">
        <w:rPr>
          <w:i/>
          <w:iCs/>
        </w:rPr>
        <w:t xml:space="preserve"> </w:t>
      </w:r>
      <w:r w:rsidRPr="00FB4EFA">
        <w:t>bzw. -</w:t>
      </w:r>
      <w:r w:rsidRPr="00FB4EFA">
        <w:rPr>
          <w:i/>
          <w:iCs/>
        </w:rPr>
        <w:t>ыз</w:t>
      </w:r>
      <w:r w:rsidRPr="00FB4EFA">
        <w:t xml:space="preserve"> aus den nördlichen Dialekten gleichrangig nebeneinander verwendet werden (Csúcs 1987: 35), ebenso wie bei der Negation des Perfekts synthetische (südl. Dialekte) und analytische Bildungen (nördl. Dialekte) möglich sind. Der Abstand der besermanischen zur udmurtischen Standardvarietät könnte dabei je nach Willen und Ressourcen beinahe beliebig groß gestaltet werden, man könnte dabei sogar die Aufnahme von noch nicht voll grammatikaliserten „neuen Kasus im Besermanischen“ (Usačeva &amp; Arkhangelskiy 2017) in Betracht ziehen.</w:t>
      </w:r>
    </w:p>
    <w:p w14:paraId="1A87F2C1" w14:textId="20C60DA9" w:rsidR="00315E3D" w:rsidRPr="00FB4EFA" w:rsidRDefault="00315E3D" w:rsidP="00402EF4">
      <w:pPr>
        <w:ind w:firstLine="709"/>
      </w:pPr>
      <w:r w:rsidRPr="00FB4EFA">
        <w:t xml:space="preserve">Aber auch hier stellt sich natürlich die Frage inwieweit eine solche Lösung – Besermanisch als udmurtische Standardvarietät mit bestimmten „besermanischen“ Features, und seien sie auch nur symbolisch – von der Sprachgemeinschaft selbst akzeptiert wird. Nicht nur die in Russland wohl nur unzureichende Kenntnis des plurizentrischen Modells an sich ist problematisch, sondern auch, dass eine plurizentrische Lösung unter der Dachsprache Udmurtisch stattfinden müsste, die von den meisten Beserman:innen nicht als eigene Sprache anerkannt wird. Eine solche plurizentrische Lösung würde für das Besermanische unter Vorherrschaft des Udmurtischen ein klar asymmetrisches Machtverhältnis bedeuten, deutlich zugunsten des Letzteren. Davon betroffen wäre sowohl </w:t>
      </w:r>
      <w:r w:rsidRPr="00FB4EFA">
        <w:lastRenderedPageBreak/>
        <w:t xml:space="preserve">in der Innen- als auch Außensicht die besermanische Identität, da </w:t>
      </w:r>
      <w:r w:rsidR="00E95B67" w:rsidRPr="00FB4EFA">
        <w:t xml:space="preserve">v. a. </w:t>
      </w:r>
      <w:r w:rsidRPr="00FB4EFA">
        <w:t xml:space="preserve">in Laiendiskussionen, aber nicht nur dort, allzu oft Sprache und Ethnos gleichgesetzt werden. Ein schwerwiegender Nachteil ist, dass man bei dieser plurizentrischen Lösung gerade aufgrund der Asymmetrie doch wesentlich vom Wohlwollen der offiziellen udmurtischen Sprachplanung abhängig ist, die davon ausgeht, dass Besermanisch ein Dialekt des Udmurtischen ist. Welche Probleme die allgemeine Akzeptanz und das Verständnis eines plurizentrischen Ansatzes manchmal in anderen Sprachen hervorrufen kann, zeigt sich gerade auch am Beispiel der österreichischen Standardvarietät (vgl. </w:t>
      </w:r>
      <w:r w:rsidR="0030017E" w:rsidRPr="00FB4EFA">
        <w:t>z. B.</w:t>
      </w:r>
      <w:r w:rsidRPr="00FB4EFA">
        <w:t xml:space="preserve"> Dollinger 2019). Dass sich aber für solche Fragen durchaus auch ein Laienpublikum interessieren kann, zeigt der Erfolg des populärwissenschaftlichen Buches vom selben Autor (Dollinger 2021).</w:t>
      </w:r>
    </w:p>
    <w:p w14:paraId="6C789FFD" w14:textId="77777777" w:rsidR="00315E3D" w:rsidRPr="00FB4EFA" w:rsidRDefault="00315E3D" w:rsidP="00545033">
      <w:pPr>
        <w:pStyle w:val="Heading2"/>
        <w:numPr>
          <w:ilvl w:val="0"/>
          <w:numId w:val="18"/>
        </w:numPr>
        <w:suppressAutoHyphens/>
        <w:spacing w:line="259" w:lineRule="auto"/>
        <w:rPr>
          <w:color w:val="auto"/>
        </w:rPr>
      </w:pPr>
      <w:r w:rsidRPr="00FB4EFA">
        <w:rPr>
          <w:color w:val="auto"/>
        </w:rPr>
        <w:t>Konklusionen und Ausblick</w:t>
      </w:r>
    </w:p>
    <w:p w14:paraId="63DDD62C" w14:textId="73EF16F1" w:rsidR="000121EA" w:rsidRPr="00FB4EFA" w:rsidRDefault="00315E3D" w:rsidP="00AF0CAD">
      <w:r w:rsidRPr="00FB4EFA">
        <w:t>Beim Besermanischen handelt es sich offenbar um eine Sprache, welche einer Kategorie angehört, die Heinz Kloss (1985) ironisch als „Wieso-Sprache“ bezeichnet hat. Dabei handelt es sich um Sprachen, bei denen die eine Seite – in unserem konkreten Falle die besermanischen Sprecher:innen – fragt: „Wieso kann irgendjemand bezweifeln, daß es sich hier um selbständige Sprachen handelt?“ und die andere – die Seite der Sprachwissenschafter:innen – „Wieso kann jemand bezweifeln, daß das bloß Dialekte sind?“ (Zitate aus Kloss 1985: 211). Leider wurde für die Studie über sprachliche Attitüden im Jahr 1995 (Škljaev 1997a, 1997b) nicht danach gefragt, was denn die Beserman:innen davon halten, wenn ihre Muttersprache als Dialekt des Udmurtischen bezeichnet wird. Aber konkret konnte man die Reaktionen der bei einer – und zwar der ersten nur besermanischen Themen gewidmeten (Ivanov &amp; Popova 2018) – Konferenz anwesenden Beserman:innen beobachten, als ich in meinem Vortrag die Frage aufwarf, ob sie selbst denn ihre Muttersprache als einen Dialekt oder eine Sprache betrachten würden. Die Sprachwissenschafter:innen, die damals schon seit ungefähr 15 Jahren Feldforschung über den besermanischen Dialekt des Dorfes Šamardan im Bezirk Jukamensk gemacht hatten, mussten überrascht feststellen, dass die anwesenden Beserman:innen den Begriff (udmurtischer) (Supra</w:t>
      </w:r>
      <w:r w:rsidR="00F600F9" w:rsidRPr="00FB4EFA">
        <w:noBreakHyphen/>
      </w:r>
      <w:r w:rsidRPr="00FB4EFA">
        <w:t>)</w:t>
      </w:r>
      <w:r w:rsidR="006057AB" w:rsidRPr="00FB4EFA">
        <w:rPr>
          <w:lang w:val="en-GB"/>
        </w:rPr>
        <w:t>‘</w:t>
      </w:r>
      <w:r w:rsidRPr="00FB4EFA">
        <w:t>Dialekt</w:t>
      </w:r>
      <w:r w:rsidR="006057AB" w:rsidRPr="00FB4EFA">
        <w:t>’</w:t>
      </w:r>
      <w:r w:rsidRPr="00FB4EFA">
        <w:t xml:space="preserve"> </w:t>
      </w:r>
      <w:r w:rsidRPr="00FB4EFA">
        <w:lastRenderedPageBreak/>
        <w:t>(</w:t>
      </w:r>
      <w:r w:rsidRPr="00FB4EFA">
        <w:rPr>
          <w:i/>
          <w:iCs/>
        </w:rPr>
        <w:t>наречие</w:t>
      </w:r>
      <w:r w:rsidRPr="00FB4EFA">
        <w:t xml:space="preserve">) als Herabwürdigung ihrer Muttersprache auffassten, die sie selber als eigenständige Sprache ansehen. Die Sprachwissenschafter:innen zeigten sich überdies erstaunt, welche emotionalen Reaktionen ein für sie neutraler und nicht abwertender Fachterminus bei den Sprecher:innen hervorzurufen vermag. Dabei löst vor allem – aber längst nicht nur – bei Lai:innen der Begriff </w:t>
      </w:r>
      <w:r w:rsidR="006057AB" w:rsidRPr="00FB4EFA">
        <w:rPr>
          <w:lang w:val="en-GB"/>
        </w:rPr>
        <w:t>‘</w:t>
      </w:r>
      <w:r w:rsidRPr="00FB4EFA">
        <w:t>Dialekt</w:t>
      </w:r>
      <w:r w:rsidR="006057AB" w:rsidRPr="00FB4EFA">
        <w:t>’</w:t>
      </w:r>
      <w:r w:rsidRPr="00FB4EFA">
        <w:t xml:space="preserve"> oft negative Assoziationen aus, die auch in der Fachliteratur hinreichend dokumentiert sind (</w:t>
      </w:r>
      <w:r w:rsidR="0030017E" w:rsidRPr="00FB4EFA">
        <w:t>z. B.</w:t>
      </w:r>
      <w:r w:rsidRPr="00FB4EFA">
        <w:t xml:space="preserve"> Chambers &amp; Trudgill 1998: 3):</w:t>
      </w:r>
    </w:p>
    <w:p w14:paraId="2F6F74D7" w14:textId="77777777" w:rsidR="000121EA" w:rsidRPr="00FB4EFA" w:rsidRDefault="00315E3D" w:rsidP="002752AF">
      <w:pPr>
        <w:suppressAutoHyphens/>
        <w:spacing w:before="240" w:after="240" w:line="240" w:lineRule="auto"/>
        <w:ind w:left="709"/>
        <w:rPr>
          <w:rFonts w:eastAsia="Noto Sans CJK SC" w:cs="Lohit Devanagari"/>
          <w:sz w:val="20"/>
          <w:szCs w:val="20"/>
          <w:lang w:val="en-IE"/>
        </w:rPr>
      </w:pPr>
      <w:r w:rsidRPr="00FB4EFA">
        <w:rPr>
          <w:sz w:val="20"/>
          <w:szCs w:val="20"/>
          <w:lang w:val="en-IE" w:eastAsia="en-GB"/>
        </w:rPr>
        <w:t>In common usage, of course, a dialect is a substandard, low-status, often rustic form of language, generally associated with the peasantry, the working class, or other groups lacking in prestige. Dialect is also a term which is often applied to forms of language, particularly those spoken in more isolated parts of the world, which have no written form. And dialects are also often regarded as some kind of (often erroneous) deviation from a norm – as aberrations of a correct or standard form of language</w:t>
      </w:r>
      <w:r w:rsidRPr="00FB4EFA">
        <w:rPr>
          <w:rFonts w:eastAsia="Noto Sans CJK SC" w:cs="Lohit Devanagari"/>
          <w:sz w:val="20"/>
          <w:szCs w:val="20"/>
          <w:lang w:val="en-IE"/>
        </w:rPr>
        <w:t>.</w:t>
      </w:r>
    </w:p>
    <w:p w14:paraId="759F700B" w14:textId="3888B62D" w:rsidR="00315E3D" w:rsidRPr="00FB4EFA" w:rsidRDefault="00315E3D" w:rsidP="00402EF4">
      <w:pPr>
        <w:spacing w:before="240" w:after="240"/>
      </w:pPr>
      <w:r w:rsidRPr="00FB4EFA">
        <w:t xml:space="preserve">Den Beserman:innen wurden durch die Zuordnung zu den Udmurt:innen bei den Volkszählungen der Sowjetunion nach 1926 der Status einer eigenen nationalen Identität verwehrt, und obwohl die Beserman:innen 1992 ihre historische Selbstbezeichnung zurück erhalten haben und sich auch offiziell dazu bekennen können, scheint diese Politik durch die konsequente Bezeichnung des Besermanischen als udmurtischer Dialekt durch Sprachwissenschaftler:innen – und in Folge auch anderer inoffizieller und offizieller Akteur:innen der Sprachpolitik – fortgesetzt zu werden. Solche Zuschreibungen von außen wie „nur ein Dialekt“ können schwerwiegende Konsequenzen für die Sprecher:innen von Minderheitensprachen haben </w:t>
      </w:r>
      <w:r w:rsidRPr="00FB4EFA">
        <w:rPr>
          <w:lang w:eastAsia="en-GB"/>
        </w:rPr>
        <w:t>(</w:t>
      </w:r>
      <w:r w:rsidRPr="00FB4EFA">
        <w:rPr>
          <w:rFonts w:eastAsia="Noto Sans CJK SC" w:cs="Lohit Devanagari"/>
        </w:rPr>
        <w:t>Phillipson &amp; Skutnabb-Kangas 1995: 498</w:t>
      </w:r>
      <w:r w:rsidRPr="00FB4EFA">
        <w:rPr>
          <w:lang w:eastAsia="en-GB"/>
        </w:rPr>
        <w:t>)</w:t>
      </w:r>
      <w:r w:rsidRPr="00FB4EFA">
        <w:t>:</w:t>
      </w:r>
    </w:p>
    <w:p w14:paraId="009A5933" w14:textId="7F8FB726" w:rsidR="00315E3D" w:rsidRPr="00FB4EFA" w:rsidRDefault="00315E3D" w:rsidP="002752AF">
      <w:pPr>
        <w:suppressAutoHyphens/>
        <w:spacing w:line="240" w:lineRule="auto"/>
        <w:ind w:left="709"/>
        <w:rPr>
          <w:sz w:val="20"/>
          <w:szCs w:val="20"/>
          <w:lang w:val="en-IE"/>
        </w:rPr>
      </w:pPr>
      <w:r w:rsidRPr="00FB4EFA">
        <w:rPr>
          <w:sz w:val="20"/>
          <w:szCs w:val="20"/>
          <w:lang w:val="en-IE" w:eastAsia="en-GB"/>
        </w:rPr>
        <w:t>Labelling a language a “dialect”, “vernacular” or “patois” has been used to exclude powerless nations</w:t>
      </w:r>
      <w:r w:rsidR="00E77EA1" w:rsidRPr="00FB4EFA">
        <w:rPr>
          <w:sz w:val="20"/>
          <w:szCs w:val="20"/>
          <w:lang w:val="en-IE" w:eastAsia="en-GB"/>
        </w:rPr>
        <w:t>’</w:t>
      </w:r>
      <w:r w:rsidRPr="00FB4EFA">
        <w:rPr>
          <w:sz w:val="20"/>
          <w:szCs w:val="20"/>
          <w:lang w:val="en-IE" w:eastAsia="en-GB"/>
        </w:rPr>
        <w:t xml:space="preserve"> demands for self-determination, by claiming that they do not possess one of the prerequisites for nationhood, a fully developed language.</w:t>
      </w:r>
    </w:p>
    <w:p w14:paraId="3C5CAF1A" w14:textId="50AA81A2" w:rsidR="00315E3D" w:rsidRPr="00FB4EFA" w:rsidRDefault="00315E3D" w:rsidP="00402EF4">
      <w:pPr>
        <w:spacing w:before="240"/>
      </w:pPr>
      <w:r w:rsidRPr="00FB4EFA">
        <w:t>Die an der obenge</w:t>
      </w:r>
      <w:r w:rsidR="0021708D" w:rsidRPr="00FB4EFA">
        <w:t>n</w:t>
      </w:r>
      <w:r w:rsidRPr="00FB4EFA">
        <w:t xml:space="preserve">annten Diskussion teilnehmenden Sprachwissenschafter:innen, die sich neben strukturellen Argumentationen als Grundlage für die Zuordnung des Besermanischen zu den udmurtischen Dialekten auch auf die Forschungstradition in der udmurtischen Dialektologie </w:t>
      </w:r>
      <w:r w:rsidRPr="00FB4EFA">
        <w:lastRenderedPageBreak/>
        <w:t xml:space="preserve">beriefen, waren dabei der festen Überzeugung, dass es objektive Kriterien gäbe, zwischen Sprachen und Dialekten „auf wissenschaftlicher Basis“ zu unterscheiden. In einer sich später ergebenden privaten Korrespondenz verwies man mich dabei </w:t>
      </w:r>
      <w:r w:rsidR="00E95B67" w:rsidRPr="00FB4EFA">
        <w:t xml:space="preserve">v. a. </w:t>
      </w:r>
      <w:r w:rsidRPr="00FB4EFA">
        <w:t xml:space="preserve">auf die Arbeiten von Korjakov (2017, 2018) und tatsächlich kann man dort die folgenden, altbekannten „objektiven“ Kriterien zur Unterscheidung von Sprache und Dialekt </w:t>
      </w:r>
      <w:r w:rsidR="0021708D" w:rsidRPr="00FB4EFA">
        <w:br/>
      </w:r>
      <w:r w:rsidRPr="00FB4EFA">
        <w:t>finden (Korjakov 2018: 157):</w:t>
      </w:r>
    </w:p>
    <w:p w14:paraId="4AB64D6A" w14:textId="333010D2" w:rsidR="00315E3D" w:rsidRPr="00FB4EFA" w:rsidRDefault="00315E3D" w:rsidP="002037B6">
      <w:pPr>
        <w:numPr>
          <w:ilvl w:val="0"/>
          <w:numId w:val="19"/>
        </w:numPr>
        <w:spacing w:before="240" w:line="240" w:lineRule="auto"/>
        <w:ind w:hanging="720"/>
        <w:jc w:val="left"/>
      </w:pPr>
      <w:r w:rsidRPr="00FB4EFA">
        <w:t>Messung der gegenseitigen Verständlichkeit</w:t>
      </w:r>
      <w:r w:rsidR="002037B6" w:rsidRPr="00FB4EFA">
        <w:rPr>
          <w:rStyle w:val="FootnoteReference"/>
        </w:rPr>
        <w:footnoteReference w:id="139"/>
      </w:r>
    </w:p>
    <w:p w14:paraId="4EC4C010" w14:textId="76827AEF" w:rsidR="00315E3D" w:rsidRPr="00FB4EFA" w:rsidRDefault="00315E3D" w:rsidP="002037B6">
      <w:pPr>
        <w:numPr>
          <w:ilvl w:val="0"/>
          <w:numId w:val="19"/>
        </w:numPr>
        <w:spacing w:line="240" w:lineRule="auto"/>
        <w:ind w:hanging="720"/>
        <w:jc w:val="left"/>
      </w:pPr>
      <w:r w:rsidRPr="00FB4EFA">
        <w:t>Messung der strukturellen Unterschiede</w:t>
      </w:r>
      <w:r w:rsidR="002037B6" w:rsidRPr="00FB4EFA">
        <w:rPr>
          <w:rStyle w:val="FootnoteReference"/>
        </w:rPr>
        <w:footnoteReference w:id="140"/>
      </w:r>
    </w:p>
    <w:p w14:paraId="3DFD196E" w14:textId="5944F08F" w:rsidR="000121EA" w:rsidRPr="00FB4EFA" w:rsidRDefault="00315E3D" w:rsidP="002037B6">
      <w:pPr>
        <w:numPr>
          <w:ilvl w:val="0"/>
          <w:numId w:val="19"/>
        </w:numPr>
        <w:spacing w:after="240" w:line="240" w:lineRule="auto"/>
        <w:ind w:hanging="720"/>
        <w:jc w:val="left"/>
      </w:pPr>
      <w:r w:rsidRPr="00FB4EFA">
        <w:t>lexikostatistische Berechnungen</w:t>
      </w:r>
      <w:r w:rsidR="002037B6" w:rsidRPr="00FB4EFA">
        <w:rPr>
          <w:rStyle w:val="FootnoteReference"/>
        </w:rPr>
        <w:footnoteReference w:id="141"/>
      </w:r>
    </w:p>
    <w:p w14:paraId="0BE5CB1F" w14:textId="443BB5A9" w:rsidR="00315E3D" w:rsidRPr="00FB4EFA" w:rsidRDefault="00315E3D" w:rsidP="00402EF4">
      <w:r w:rsidRPr="00FB4EFA">
        <w:t xml:space="preserve">Was von denjenigen, die sich ausdrücklich auf Korjakov berufen, aber überlesen wird, ist, dass auch er sich bewusst ist, dass die gegenseitige Verständlichkeit in höchstem Maße von subjektiven Faktoren abhängig ist, nämlich zum einen vom sprachlichen Vorwissen, zum anderen aber auch vom Willen der konkreten Sprecher:innen (Korjakov 2017: 86). Auch versagen die Kriterien „gegenseitige Verständlichkeit“ und „lexikostatistische Verfahren“ wie Swadesh-Listen </w:t>
      </w:r>
      <w:r w:rsidR="0030017E" w:rsidRPr="00FB4EFA">
        <w:t>z. B.</w:t>
      </w:r>
      <w:r w:rsidRPr="00FB4EFA">
        <w:t xml:space="preserve"> bei den skandinavischen Sprachen (Korjakov 2017: 93–94), bei denen wohl niemand ernsthaft den Status als eigenständige Sprachen bezweifeln würde. Ausschlaggebend sind dafür natürlich keine strukturellen Gründe, sondern vielmehr die Tatsache, dass Schwedisch, Norwegisch und Dänisch nicht nur im realen, sondern </w:t>
      </w:r>
      <w:r w:rsidR="00E95B67" w:rsidRPr="00FB4EFA">
        <w:t xml:space="preserve">v. a. </w:t>
      </w:r>
      <w:r w:rsidRPr="00FB4EFA">
        <w:t>im übertragenen Sinne jeweils über „eine Armee und Flotte“ (Weinreich 194</w:t>
      </w:r>
      <w:r w:rsidR="00434D3F" w:rsidRPr="00FB4EFA">
        <w:t>5</w:t>
      </w:r>
      <w:r w:rsidR="002037B6" w:rsidRPr="00FB4EFA">
        <w:t>: 13</w:t>
      </w:r>
      <w:r w:rsidRPr="00FB4EFA">
        <w:t>) verfügen und deshalb auch trotz aller struktureller Ähnlichkeiten zweifellos als eigenständige Sprachen zu betrachten sind.</w:t>
      </w:r>
    </w:p>
    <w:p w14:paraId="09AE1B56" w14:textId="77777777" w:rsidR="00315E3D" w:rsidRPr="00FB4EFA" w:rsidRDefault="00315E3D" w:rsidP="002752AF">
      <w:pPr>
        <w:ind w:firstLine="709"/>
      </w:pPr>
      <w:r w:rsidRPr="00FB4EFA">
        <w:t xml:space="preserve">Überlesen wird bei Korjakov offensichtlich auch, dass die innersprachlichen oder strukturellen Kriterien keineswegs die einzigen sind, die bei der Entscheidung mitspielen, was denn konkret eine Varietät zu einer Sprache macht. Denn es gibt eben auch äußere oder soziolinguistische Kriterien („социо-этно-политические критерии“), deren Basis </w:t>
      </w:r>
      <w:r w:rsidRPr="00FB4EFA">
        <w:lastRenderedPageBreak/>
        <w:t>nicht die Struktur der Sprache, sondern individuelle und gesellschaftliche Auffassungen von Sprache sind (Korjakov 2018: 156).</w:t>
      </w:r>
    </w:p>
    <w:p w14:paraId="7FA474DD" w14:textId="1BF8DE29" w:rsidR="000121EA" w:rsidRPr="00FB4EFA" w:rsidRDefault="00315E3D" w:rsidP="002752AF">
      <w:pPr>
        <w:ind w:firstLine="709"/>
      </w:pPr>
      <w:r w:rsidRPr="00FB4EFA">
        <w:t xml:space="preserve">Diese einseitige Lesart und die letztendlich nicht offengelegten Kriterien für die Entscheidung, das Besermanische als Dialekt des Udmurtischen einzuordnen, haben übrigens nicht nur Folgen für die Beserman:innen und deren Einstellungen zur Muttersprache, sondern auch für die wissenschaftliche Arbeit der Sprachwissenschaftler:innen selbst. So findet man </w:t>
      </w:r>
      <w:r w:rsidR="0030017E" w:rsidRPr="00FB4EFA">
        <w:t>z. B.</w:t>
      </w:r>
      <w:r w:rsidRPr="00FB4EFA">
        <w:t xml:space="preserve"> im Thesaurus Übersetzungen für Begriffe, die wohl schwerlich mit der genauen Wiedergabe der Aussagen von Informant:innen zu erklären sind. Eher fließen hier eigene Meinungen und Interpretationen ein, das sei hier am Eintrag des Wortes </w:t>
      </w:r>
      <w:r w:rsidRPr="00FB4EFA">
        <w:rPr>
          <w:i/>
          <w:iCs/>
        </w:rPr>
        <w:t>көл</w:t>
      </w:r>
      <w:r w:rsidRPr="00FB4EFA">
        <w:rPr>
          <w:rFonts w:eastAsia="Noto Sans CJK SC" w:cs="Lohit Devanagari"/>
        </w:rPr>
        <w:t xml:space="preserve"> aufgezeigt, das in Verbindung mit Adjektiven, die Nationalitäten bezeichnen, immer als </w:t>
      </w:r>
      <w:r w:rsidRPr="00FB4EFA">
        <w:rPr>
          <w:rFonts w:eastAsia="Noto Sans CJK SC" w:cs="Lohit Devanagari"/>
          <w:i/>
          <w:iCs/>
        </w:rPr>
        <w:t>Sprache</w:t>
      </w:r>
      <w:r w:rsidRPr="00FB4EFA">
        <w:rPr>
          <w:rFonts w:eastAsia="Noto Sans CJK SC" w:cs="Lohit Devanagari"/>
        </w:rPr>
        <w:t xml:space="preserve"> übersetzt wird, allerdings mit einer einzigen Ausnahme, nämlich in Verbindung mit </w:t>
      </w:r>
      <w:r w:rsidRPr="00FB4EFA">
        <w:rPr>
          <w:rFonts w:eastAsia="Noto Sans CJK SC" w:cs="Lohit Devanagari"/>
          <w:i/>
          <w:iCs/>
        </w:rPr>
        <w:t>besermanisch</w:t>
      </w:r>
      <w:r w:rsidRPr="00FB4EFA">
        <w:rPr>
          <w:rFonts w:eastAsia="Noto Sans CJK SC" w:cs="Lohit Devanagari"/>
        </w:rPr>
        <w:t xml:space="preserve">, wo es durchgehend als </w:t>
      </w:r>
      <w:r w:rsidRPr="00FB4EFA">
        <w:rPr>
          <w:rFonts w:eastAsia="Noto Sans CJK SC" w:cs="Lohit Devanagari"/>
          <w:i/>
          <w:iCs/>
        </w:rPr>
        <w:t>Dialekt</w:t>
      </w:r>
      <w:r w:rsidRPr="00FB4EFA">
        <w:rPr>
          <w:rFonts w:eastAsia="Noto Sans CJK SC" w:cs="Lohit Devanagari"/>
        </w:rPr>
        <w:t xml:space="preserve"> wiedergegeben wird </w:t>
      </w:r>
      <w:r w:rsidRPr="00FB4EFA">
        <w:t>(</w:t>
      </w:r>
      <w:bookmarkStart w:id="101" w:name="__DdeLink__1220_3969860338"/>
      <w:r w:rsidRPr="00FB4EFA">
        <w:t>Usa</w:t>
      </w:r>
      <w:r w:rsidRPr="00FB4EFA">
        <w:rPr>
          <w:rFonts w:eastAsia="Noto Sans CJK SC" w:cs="Lohit Devanagari"/>
        </w:rPr>
        <w:t xml:space="preserve">čeva et al. 2017: </w:t>
      </w:r>
      <w:bookmarkEnd w:id="101"/>
      <w:r w:rsidRPr="00FB4EFA">
        <w:rPr>
          <w:rFonts w:eastAsia="Noto Sans CJK SC" w:cs="Lohit Devanagari"/>
        </w:rPr>
        <w:t>42</w:t>
      </w:r>
      <w:r w:rsidR="00C65823" w:rsidRPr="00FB4EFA">
        <w:rPr>
          <w:rFonts w:eastAsia="Noto Sans CJK SC" w:cs="Lohit Devanagari"/>
        </w:rPr>
        <w:t>6–4</w:t>
      </w:r>
      <w:r w:rsidRPr="00FB4EFA">
        <w:rPr>
          <w:rFonts w:eastAsia="Noto Sans CJK SC" w:cs="Lohit Devanagari"/>
        </w:rPr>
        <w:t>27; Hervorhebung Ch.</w:t>
      </w:r>
      <w:r w:rsidR="0071462F" w:rsidRPr="00FB4EFA">
        <w:rPr>
          <w:rFonts w:eastAsia="Noto Sans CJK SC" w:cs="Lohit Devanagari"/>
        </w:rPr>
        <w:t xml:space="preserve"> </w:t>
      </w:r>
      <w:r w:rsidRPr="00FB4EFA">
        <w:rPr>
          <w:rFonts w:eastAsia="Noto Sans CJK SC" w:cs="Lohit Devanagari"/>
        </w:rPr>
        <w:t>P</w:t>
      </w:r>
      <w:r w:rsidR="0071462F" w:rsidRPr="00FB4EFA">
        <w:rPr>
          <w:rFonts w:eastAsia="Noto Sans CJK SC" w:cs="Lohit Devanagari"/>
        </w:rPr>
        <w:t>.</w:t>
      </w:r>
      <w:r w:rsidRPr="00FB4EFA">
        <w:rPr>
          <w:rFonts w:eastAsia="Noto Sans CJK SC" w:cs="Lohit Devanagari"/>
        </w:rPr>
        <w:t>):</w:t>
      </w:r>
    </w:p>
    <w:p w14:paraId="0B429406" w14:textId="31C5784A" w:rsidR="00315E3D" w:rsidRPr="00FB4EFA" w:rsidRDefault="00315E3D" w:rsidP="00AC1192">
      <w:pPr>
        <w:suppressAutoHyphens/>
        <w:spacing w:before="240" w:after="240" w:line="240" w:lineRule="auto"/>
        <w:ind w:left="709"/>
        <w:rPr>
          <w:sz w:val="20"/>
          <w:szCs w:val="20"/>
          <w:lang w:val="ru-RU"/>
        </w:rPr>
      </w:pPr>
      <w:r w:rsidRPr="00FB4EFA">
        <w:rPr>
          <w:sz w:val="20"/>
          <w:szCs w:val="20"/>
          <w:lang w:val="ru-RU"/>
        </w:rPr>
        <w:t xml:space="preserve">КӨЛ сущ. […] язык, наречие: бесерман көл – </w:t>
      </w:r>
      <w:r w:rsidRPr="00FB4EFA">
        <w:rPr>
          <w:b/>
          <w:bCs/>
          <w:sz w:val="20"/>
          <w:szCs w:val="20"/>
          <w:lang w:val="ru-RU"/>
        </w:rPr>
        <w:t>бесермянское наречие</w:t>
      </w:r>
      <w:r w:rsidRPr="00FB4EFA">
        <w:rPr>
          <w:sz w:val="20"/>
          <w:szCs w:val="20"/>
          <w:lang w:val="ru-RU"/>
        </w:rPr>
        <w:t xml:space="preserve">|бигер көл – </w:t>
      </w:r>
      <w:r w:rsidRPr="00FB4EFA">
        <w:rPr>
          <w:b/>
          <w:bCs/>
          <w:sz w:val="20"/>
          <w:szCs w:val="20"/>
          <w:lang w:val="ru-RU"/>
        </w:rPr>
        <w:t>татарский язык</w:t>
      </w:r>
      <w:r w:rsidRPr="00FB4EFA">
        <w:rPr>
          <w:sz w:val="20"/>
          <w:szCs w:val="20"/>
          <w:lang w:val="ru-RU"/>
        </w:rPr>
        <w:t xml:space="preserve">|пинялъёстө удмурт көллө дөшетөнө – учить детей </w:t>
      </w:r>
      <w:r w:rsidRPr="00FB4EFA">
        <w:rPr>
          <w:b/>
          <w:bCs/>
          <w:sz w:val="20"/>
          <w:szCs w:val="20"/>
          <w:lang w:val="ru-RU"/>
        </w:rPr>
        <w:t>удмуртскому языку</w:t>
      </w:r>
      <w:r w:rsidRPr="00FB4EFA">
        <w:rPr>
          <w:sz w:val="20"/>
          <w:szCs w:val="20"/>
          <w:lang w:val="ru-RU"/>
        </w:rPr>
        <w:t xml:space="preserve">. (vgl. noch дюсь көл – </w:t>
      </w:r>
      <w:r w:rsidRPr="00FB4EFA">
        <w:rPr>
          <w:b/>
          <w:bCs/>
          <w:sz w:val="20"/>
          <w:szCs w:val="20"/>
          <w:lang w:val="ru-RU"/>
        </w:rPr>
        <w:t>русский</w:t>
      </w:r>
      <w:r w:rsidRPr="00FB4EFA">
        <w:rPr>
          <w:sz w:val="20"/>
          <w:szCs w:val="20"/>
          <w:lang w:val="ru-RU"/>
        </w:rPr>
        <w:t xml:space="preserve"> </w:t>
      </w:r>
      <w:r w:rsidRPr="00FB4EFA">
        <w:rPr>
          <w:b/>
          <w:bCs/>
          <w:sz w:val="20"/>
          <w:szCs w:val="20"/>
          <w:lang w:val="ru-RU"/>
        </w:rPr>
        <w:t>язык</w:t>
      </w:r>
      <w:r w:rsidRPr="00FB4EFA">
        <w:rPr>
          <w:sz w:val="20"/>
          <w:szCs w:val="20"/>
          <w:lang w:val="ru-RU"/>
        </w:rPr>
        <w:t>, Usa</w:t>
      </w:r>
      <w:r w:rsidRPr="00FB4EFA">
        <w:rPr>
          <w:rFonts w:eastAsia="Noto Sans CJK SC" w:cs="Lohit Devanagari"/>
          <w:sz w:val="20"/>
          <w:szCs w:val="20"/>
          <w:lang w:val="ru-RU"/>
        </w:rPr>
        <w:t>čeva et al. 2017: 248</w:t>
      </w:r>
      <w:r w:rsidRPr="00FB4EFA">
        <w:rPr>
          <w:sz w:val="20"/>
          <w:szCs w:val="20"/>
          <w:lang w:val="ru-RU"/>
        </w:rPr>
        <w:t>)</w:t>
      </w:r>
    </w:p>
    <w:p w14:paraId="1435641A" w14:textId="3AE8617C" w:rsidR="00315E3D" w:rsidRPr="00FB4EFA" w:rsidRDefault="00315E3D" w:rsidP="00402EF4">
      <w:pPr>
        <w:spacing w:after="240"/>
      </w:pPr>
      <w:r w:rsidRPr="00FB4EFA">
        <w:t>Es scheint Sprachwissenschafter:innen oft gar nicht bewusst zu sein, welch massive Folgen für die Sprecher:innen und ihre Einstellungen zu ihrer Muttersprache ihre Forschungen haben können. Man stelle sich nur vor, eine ähnliche Umfrage wie im Jahre 1995 (</w:t>
      </w:r>
      <w:r w:rsidRPr="00FB4EFA">
        <w:rPr>
          <w:rFonts w:eastAsia="Noto Sans CJK SC" w:cs="Lohit Devanagari"/>
        </w:rPr>
        <w:t>Š</w:t>
      </w:r>
      <w:r w:rsidRPr="00FB4EFA">
        <w:t>kljaev 1997a, 1997b) würde heute durchgeführt werden, nachdem die Forschungsergebnisse über einen Zeitraum von beinahe 20 Jahren sowohl via Social Media als auch als Printerzeugnisse in die besermanischen Dörfer gelangt sind (Abb. 2), was dort auf der einen Seite Stolz über die Prominenz und das Interesse am Besermanischen, auf der anderen Seite aber Verwunderung und Unverständnis über die Klassifizierung des Besermanischen als udmurtischer Dialekt hervorruft. Diese Sorglosigkeit im Hinblick auf mögliche Konsequenzen der eigenen Forschung scheint aber gerade in der Sprachwissenschaft keine Ausnahme zu sein (Newman 2009: 118):</w:t>
      </w:r>
    </w:p>
    <w:p w14:paraId="7F17DE2C" w14:textId="77777777" w:rsidR="000121EA" w:rsidRPr="00FB4EFA" w:rsidRDefault="00315E3D" w:rsidP="002752AF">
      <w:pPr>
        <w:suppressAutoHyphens/>
        <w:spacing w:line="240" w:lineRule="auto"/>
        <w:ind w:left="709"/>
        <w:rPr>
          <w:sz w:val="20"/>
          <w:szCs w:val="20"/>
          <w:lang w:val="en-IE"/>
        </w:rPr>
      </w:pPr>
      <w:r w:rsidRPr="00FB4EFA">
        <w:rPr>
          <w:sz w:val="20"/>
          <w:szCs w:val="20"/>
          <w:lang w:val="en-IE"/>
        </w:rPr>
        <w:t xml:space="preserve">Ironically, in linguistics, a discipline in which the major intellectual figure has written extensively about the social and ethical responsibility of scientists (see Chomsky 1969, for example), the matter of professional </w:t>
      </w:r>
      <w:r w:rsidRPr="00FB4EFA">
        <w:rPr>
          <w:sz w:val="20"/>
          <w:szCs w:val="20"/>
          <w:lang w:val="en-IE"/>
        </w:rPr>
        <w:lastRenderedPageBreak/>
        <w:t>ethics is almost never discussed. Unlike anthropologists, who seem to be obsessed with the matter, or at least concerned enough to devote space to it in their newsletter month after month, linguists rarely mention the matter or even acknowledge that it could be a problem.</w:t>
      </w:r>
    </w:p>
    <w:p w14:paraId="197E4152" w14:textId="24BE0FEE" w:rsidR="00315E3D" w:rsidRPr="00FB4EFA" w:rsidRDefault="00315E3D" w:rsidP="00AF0CAD">
      <w:pPr>
        <w:spacing w:before="240"/>
      </w:pPr>
      <w:r w:rsidRPr="00FB4EFA">
        <w:t xml:space="preserve">Es ist bis zu einem gewissen Grade durchaus nachvollziehbar, dass Sprachwissenschafter:innen aufgrund struktureller Gründe Bedenken haben das Besermanische als eigene Sprache einzustufen, allerdings ist das vielleicht auch gar nicht notwendig. Die sensiblere Wahl einer neutralen Bezeichnung des Besermanischen als </w:t>
      </w:r>
      <w:r w:rsidRPr="00FB4EFA">
        <w:rPr>
          <w:i/>
          <w:iCs/>
        </w:rPr>
        <w:t>Sprache der Besermanen</w:t>
      </w:r>
      <w:r w:rsidRPr="00FB4EFA">
        <w:t xml:space="preserve"> (Tepljašina 1970) wäre vielleicht schon ein wichtiger Ausgangspunkt. Auch die prominentere oder sogar ausschließliche Verwendung der Begriffe </w:t>
      </w:r>
      <w:r w:rsidRPr="00FB4EFA">
        <w:rPr>
          <w:i/>
          <w:iCs/>
        </w:rPr>
        <w:t>besermanische Sprache</w:t>
      </w:r>
      <w:r w:rsidRPr="00FB4EFA">
        <w:t xml:space="preserve"> oder </w:t>
      </w:r>
      <w:r w:rsidRPr="00FB4EFA">
        <w:rPr>
          <w:i/>
          <w:iCs/>
        </w:rPr>
        <w:t>Besermanisch</w:t>
      </w:r>
      <w:r w:rsidRPr="00FB4EFA">
        <w:t xml:space="preserve"> in Titeln von Publikationen könnte hilfreich sein, denn wie in diesem Artikel aufgezeigt wurde, verwenden selbst eingefleischte Vertreter:innen der These des Besermanischen als (Supra-)Dialekt des Udmurtischen bereits heute diese Begriffe ohne Verlust des Anspruchs der Wissenschaftlichkeit nebeneinander, aber nur </w:t>
      </w:r>
      <w:r w:rsidRPr="00FB4EFA">
        <w:rPr>
          <w:i/>
          <w:iCs/>
        </w:rPr>
        <w:t xml:space="preserve">innerhalb </w:t>
      </w:r>
      <w:r w:rsidRPr="00FB4EFA">
        <w:t>ihrer Publikationen (</w:t>
      </w:r>
      <w:r w:rsidR="0030017E" w:rsidRPr="00FB4EFA">
        <w:t>z. B.</w:t>
      </w:r>
      <w:r w:rsidRPr="00FB4EFA">
        <w:t xml:space="preserve"> Kelmakov 2003, Usa</w:t>
      </w:r>
      <w:r w:rsidRPr="00FB4EFA">
        <w:rPr>
          <w:rFonts w:eastAsia="Noto Sans CJK SC" w:cs="Lohit Devanagari"/>
        </w:rPr>
        <w:t>čeva et al. 2017 etc.</w:t>
      </w:r>
      <w:r w:rsidRPr="00FB4EFA">
        <w:t>). Diese werden in der Regel aufgrund ihrer Spezifizität von Sprecher:innen aber gar nicht zur Gänze gelesen und somit auch nicht rezipiert. Der offensichtliche Grund für die Verwendung einer breiteren Begriffspalette ist wohl, dass Wortwiederholungen ganz im Sinne der russ(länd)ischen stilistischen Tradition vermieden werden sollen. Es ist aber nicht einzusehen, warum stilistische Gründe einen höheren Wert als die Meinung der Sprachgemeinschaft über ihre Muttersprache haben sollen.</w:t>
      </w:r>
    </w:p>
    <w:p w14:paraId="1B9CB697" w14:textId="77777777" w:rsidR="00315E3D" w:rsidRPr="00FB4EFA" w:rsidRDefault="00315E3D" w:rsidP="00402EF4">
      <w:pPr>
        <w:keepNext/>
        <w:spacing w:before="240"/>
      </w:pPr>
      <w:r w:rsidRPr="00FB4EFA">
        <w:rPr>
          <w:noProof/>
        </w:rPr>
        <w:lastRenderedPageBreak/>
        <w:drawing>
          <wp:inline distT="0" distB="0" distL="0" distR="0" wp14:anchorId="19B06C23" wp14:editId="6BFCB5E0">
            <wp:extent cx="4392417" cy="3924795"/>
            <wp:effectExtent l="0" t="0" r="0" b="0"/>
            <wp:docPr id="37" name="Grafik 3" descr="Ein Bild, das Text, Screenshot, Personen,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3" descr="Ein Bild, das Text, Screenshot, Personen, mehrere enthält.&#10;&#10;Automatisch generierte Beschreibung"/>
                    <pic:cNvPicPr>
                      <a:picLocks noChangeAspect="1" noChangeArrowheads="1"/>
                    </pic:cNvPicPr>
                  </pic:nvPicPr>
                  <pic:blipFill rotWithShape="1">
                    <a:blip r:embed="rId378">
                      <a:extLst>
                        <a:ext uri="{BEBA8EAE-BF5A-486C-A8C5-ECC9F3942E4B}">
                          <a14:imgProps xmlns:a14="http://schemas.microsoft.com/office/drawing/2010/main">
                            <a14:imgLayer r:embed="rId379">
                              <a14:imgEffect>
                                <a14:saturation sat="0"/>
                              </a14:imgEffect>
                            </a14:imgLayer>
                          </a14:imgProps>
                        </a:ext>
                      </a:extLst>
                    </a:blip>
                    <a:srcRect t="2166" b="2397"/>
                    <a:stretch/>
                  </pic:blipFill>
                  <pic:spPr bwMode="auto">
                    <a:xfrm>
                      <a:off x="0" y="0"/>
                      <a:ext cx="4392417" cy="3924795"/>
                    </a:xfrm>
                    <a:prstGeom prst="rect">
                      <a:avLst/>
                    </a:prstGeom>
                    <a:ln>
                      <a:noFill/>
                    </a:ln>
                    <a:extLst>
                      <a:ext uri="{53640926-AAD7-44D8-BBD7-CCE9431645EC}">
                        <a14:shadowObscured xmlns:a14="http://schemas.microsoft.com/office/drawing/2010/main"/>
                      </a:ext>
                    </a:extLst>
                  </pic:spPr>
                </pic:pic>
              </a:graphicData>
            </a:graphic>
          </wp:inline>
        </w:drawing>
      </w:r>
    </w:p>
    <w:p w14:paraId="6615837D" w14:textId="19AB9023" w:rsidR="00315E3D" w:rsidRPr="00FB4EFA" w:rsidRDefault="00315E3D" w:rsidP="00AF0CAD">
      <w:pPr>
        <w:spacing w:before="120" w:after="240" w:line="240" w:lineRule="auto"/>
        <w:jc w:val="center"/>
      </w:pPr>
      <w:r w:rsidRPr="00FB4EFA">
        <w:rPr>
          <w:rFonts w:cs="Charis SIL"/>
          <w:b/>
          <w:bCs/>
          <w:sz w:val="18"/>
          <w:szCs w:val="18"/>
        </w:rPr>
        <w:t xml:space="preserve">Abbildung </w:t>
      </w:r>
      <w:r w:rsidR="00FE0856" w:rsidRPr="00FB4EFA">
        <w:rPr>
          <w:rFonts w:cs="Charis SIL"/>
          <w:b/>
          <w:bCs/>
          <w:sz w:val="18"/>
          <w:szCs w:val="18"/>
        </w:rPr>
        <w:t>2</w:t>
      </w:r>
      <w:r w:rsidRPr="00FB4EFA">
        <w:rPr>
          <w:rFonts w:cs="Charis SIL"/>
          <w:sz w:val="18"/>
          <w:szCs w:val="18"/>
        </w:rPr>
        <w:t>. Resultate sprachwissenschaftlicher Forschung gelangen heutzutage sowohl über das Internet als auch in der Form gedruckter Publikationen zu den Beserman:innen. Hier blättern Mitglieder einer besermanischen Jugendorganisation im „besermanischen Thesaurus</w:t>
      </w:r>
      <w:r w:rsidR="00D2687C" w:rsidRPr="00FB4EFA">
        <w:rPr>
          <w:rFonts w:cs="Charis SIL"/>
          <w:sz w:val="18"/>
          <w:szCs w:val="18"/>
        </w:rPr>
        <w:t>“</w:t>
      </w:r>
      <w:r w:rsidRPr="00FB4EFA">
        <w:rPr>
          <w:rFonts w:cs="Charis SIL"/>
          <w:sz w:val="18"/>
          <w:szCs w:val="18"/>
        </w:rPr>
        <w:t xml:space="preserve"> (Screenshot aus einer besermanischen Gruppe auf VKontakte).</w:t>
      </w:r>
    </w:p>
    <w:p w14:paraId="6611D5D6" w14:textId="657605B4" w:rsidR="000121EA" w:rsidRPr="00FB4EFA" w:rsidRDefault="00315E3D" w:rsidP="00402EF4">
      <w:r w:rsidRPr="00FB4EFA">
        <w:t xml:space="preserve">Inwieweit die von Sprachwissenschafter:innen ausgehenden langjährigen Belehrungen der Beserman:innen von außen deren Einstellung zu ihrer Muttersprache bereits verändert haben und inwieweit dies Auswirkungen auf die Chancen zur Erhaltung oder Wiederbelebung des Besermanischen hat, darüber kann man aufgrund mangelnder Untersuchungen höchstens Vermutungen anstellen. Aber auch ohne diese sicher nicht böswilligen, sondern eher unbedachten Eingriffe vonseiten der Sprachwissenschafter:innen haben sich die Bedingungen in der traditionellen besermanischen Lebenswelt verändert. Die lange vorhandende relative Isolation in den besermanischen Dörfern hat dazu beigetragen, dass Sprache, Kultur und das Selbstverständnis der Beserman:innen aufrecht </w:t>
      </w:r>
      <w:r w:rsidRPr="00FB4EFA">
        <w:lastRenderedPageBreak/>
        <w:t xml:space="preserve">erhalten werden konnten. Doch gemischte Ehen, zahlreichere Kontakte mit der Außenwelt, die Verlagerung der Arbeits- und Lebenswelt von immer mehr Beserman:innen in urbane Umgebungen, höhere Bildung, die Wirkung von Massenmedien und Internet etc. führen dazu, dass die Weitergabe des Besermanischen an jüngere Generationen unterbrochen werden könnte. Diese die Zukunft des Besermanischen gefährdenden Entwicklungstendenzen sind unumkehrbar, denn niemand kann sich ernsthaft eine Rückwendung zur „goldenen Vergangenheit“ wünschen. Das wäre ein Schritt zurück und gleichbedeutend mit Isolation, Fernbleiben von Bildung und modernen Entwicklungen, </w:t>
      </w:r>
      <w:r w:rsidR="00E95B67" w:rsidRPr="00FB4EFA">
        <w:t xml:space="preserve">v. a. </w:t>
      </w:r>
      <w:r w:rsidRPr="00FB4EFA">
        <w:t>für jüngere Generationen. Um das Besermanische in irgendeiner Form zu erhalten, muss man sich Gedanken über die Zukunft machen, dazu gehört auch, wie man das Besermanische in einer modernen Welt von einer traditionell rein mündlichen zu einer auch vermehrt schriftlichen Verwendung bringen kann, wie es zum Beispiel heute schon im sozialen Netzwerk VKontakte, dem russländischen Facebook, passiert.</w:t>
      </w:r>
    </w:p>
    <w:p w14:paraId="6D7BCB92" w14:textId="6EB064D5" w:rsidR="00315E3D" w:rsidRPr="00FB4EFA" w:rsidRDefault="00315E3D" w:rsidP="00AF0CAD">
      <w:pPr>
        <w:ind w:firstLine="709"/>
      </w:pPr>
      <w:r w:rsidRPr="00FB4EFA">
        <w:t xml:space="preserve">Da das Besermanische (noch) nicht standardisiert ist und das Udmurtische von den Beserman:innen mehrheitlich nicht als Dachsprache akzeptiert wird, war die vorherrschende Sprache der ersten Gruppen in den sozialen Netzwerken des Internets das Russische. Seit ungefähr 2017/2018 jedoch kann man </w:t>
      </w:r>
      <w:r w:rsidR="0030017E" w:rsidRPr="00FB4EFA">
        <w:t>z. B.</w:t>
      </w:r>
      <w:r w:rsidRPr="00FB4EFA">
        <w:t xml:space="preserve"> auf VKontakte eine gesteigerte Verwendung des Besermanischen, aber auch des Udmurtischen beobachten. Um die besermanische Muttersprache schriftlich im Internet verwenden zu können, werden verschiedene Strategien verwendet, deren abstrahierte Reintypen hier kurz dargestellt wurden: Orientierung an einem der beiden bereits vorhandenen besermanischen Orthographieentwürfe oder des udmurtischen Alphabets bzw. die Verwendung einer eigentlichen „Küchenorthographie“ unter Verwendung der russischen Kyrillica ohne diakritische Zeichen</w:t>
      </w:r>
      <w:r w:rsidRPr="00FB4EFA">
        <w:rPr>
          <w:rFonts w:eastAsia="Noto Sans CJK SC" w:cs="Lohit Devanagari"/>
        </w:rPr>
        <w:t>. Ausschlaggebend für die Wahl können verschiedene Gründe sein, darunter Vorwissen (</w:t>
      </w:r>
      <w:r w:rsidR="0030017E" w:rsidRPr="00FB4EFA">
        <w:rPr>
          <w:rFonts w:eastAsia="Noto Sans CJK SC" w:cs="Lohit Devanagari"/>
        </w:rPr>
        <w:t>z. B.</w:t>
      </w:r>
      <w:r w:rsidRPr="00FB4EFA">
        <w:rPr>
          <w:rFonts w:eastAsia="Noto Sans CJK SC" w:cs="Lohit Devanagari"/>
        </w:rPr>
        <w:t xml:space="preserve"> der udmurtischen Orthographie), persönliche Präferenz oder Willensbezeugung, aber auch techn(olog)ische Hindernisse bzw. Fähigkeiten solche zu beseitigen. Wenn man in der schriftlichen Verwendung des Besermanischen einen Beitrag zur Erhöhung seiner Überlebenschance sieht, so wurden hier drei Hauptvarianten vorgeschlagen, die für dieses Ziel in Frage kommen: </w:t>
      </w:r>
      <w:r w:rsidRPr="00FB4EFA">
        <w:t>1. die (Weiter</w:t>
      </w:r>
      <w:r w:rsidR="0071462F" w:rsidRPr="00FB4EFA">
        <w:noBreakHyphen/>
      </w:r>
      <w:r w:rsidRPr="00FB4EFA">
        <w:t xml:space="preserve">)Verwendung einer „Küchenorthographie“, wie es </w:t>
      </w:r>
      <w:r w:rsidR="0030017E" w:rsidRPr="00FB4EFA">
        <w:t>z. B.</w:t>
      </w:r>
      <w:r w:rsidRPr="00FB4EFA">
        <w:t xml:space="preserve"> für </w:t>
      </w:r>
      <w:r w:rsidRPr="00FB4EFA">
        <w:lastRenderedPageBreak/>
        <w:t>das Luxemburgische (Wagner 2013) oder Kaschubische (</w:t>
      </w:r>
      <w:r w:rsidRPr="00FB4EFA">
        <w:rPr>
          <w:rFonts w:eastAsia="Noto Sans CJK SC" w:cs="Lohit Devanagari"/>
        </w:rPr>
        <w:t>Dołowy-Rybińska 2013</w:t>
      </w:r>
      <w:r w:rsidRPr="00FB4EFA">
        <w:t xml:space="preserve">) nützlich war, aber als nachhaltige Lösung für das Besermanische im Umfeld der in Russland vorherrschenden Standardsprachenideologie vielleicht schwer vorstellbar ist, 2. die Schaffung einer besermanischen Standardsprache, was aufgrund der hervorragenden Datenlage durch </w:t>
      </w:r>
      <w:r w:rsidR="00E95B67" w:rsidRPr="00FB4EFA">
        <w:t>v. a.</w:t>
      </w:r>
      <w:r w:rsidRPr="00FB4EFA">
        <w:t xml:space="preserve"> die Arbeiten von Tamara Ivanovna Tepljašina und nach beinahe 20 Jahren Feldforschung </w:t>
      </w:r>
      <w:r w:rsidRPr="00FB4EFA">
        <w:rPr>
          <w:rFonts w:eastAsia="Noto Sans CJK SC" w:cs="Lohit Devanagari"/>
        </w:rPr>
        <w:t xml:space="preserve">von insgesamt fast 60 Forscher:innen </w:t>
      </w:r>
      <w:r w:rsidRPr="00FB4EFA">
        <w:t xml:space="preserve">im Dorf </w:t>
      </w:r>
      <w:r w:rsidRPr="00FB4EFA">
        <w:rPr>
          <w:rFonts w:eastAsia="Noto Sans CJK SC" w:cs="Lohit Devanagari"/>
        </w:rPr>
        <w:t xml:space="preserve">Šamardan </w:t>
      </w:r>
      <w:r w:rsidRPr="00FB4EFA">
        <w:t>prinzipiell möglich erscheint, 3. die Nutzung der Vorteile einer bereits standardisierten und nahverwandten (Dach</w:t>
      </w:r>
      <w:r w:rsidR="00AC69C9" w:rsidRPr="00FB4EFA">
        <w:noBreakHyphen/>
      </w:r>
      <w:r w:rsidRPr="00FB4EFA">
        <w:t>)Sprache wie dem Udmurtischen, wenngleich auch unter Bewahrung von – und sei es auch nur symbolischen – besermanischen Eigenheiten. Das Udmurtische, das bereits jetzt sowohl lexikalische als auch morphosyntaktische Doubletten aus den beiden großen Dialektgruppen – den nördlichen und südlichen – in sich zu vereinen vermag, scheint als Dachsprache prinzipiell gut geeignet. Letzteres würde die Finno</w:t>
      </w:r>
      <w:r w:rsidR="005F2FC4" w:rsidRPr="00FB4EFA">
        <w:t>-U</w:t>
      </w:r>
      <w:r w:rsidRPr="00FB4EFA">
        <w:t xml:space="preserve">gristik also um eine plurizentrische Sprache bereichern, deren Konzept für das Udmurtische neuartig erscheint, aber in der Literatur bereits </w:t>
      </w:r>
      <w:r w:rsidR="002302FA" w:rsidRPr="00FB4EFA">
        <w:t xml:space="preserve">geäußert </w:t>
      </w:r>
      <w:r w:rsidRPr="00FB4EFA">
        <w:t>wurde (Kubitsch &amp; Németh 2020).</w:t>
      </w:r>
    </w:p>
    <w:p w14:paraId="413D9DB2" w14:textId="6DCD086B" w:rsidR="00315E3D" w:rsidRPr="00FB4EFA" w:rsidRDefault="00315E3D" w:rsidP="00402EF4">
      <w:pPr>
        <w:ind w:firstLine="709"/>
      </w:pPr>
      <w:r w:rsidRPr="00FB4EFA">
        <w:t xml:space="preserve">Am Beispiel des alternativen Orthographievorschlags im ersten Buch in besermanischer Sprache (Ar-Sergi &amp; Djukin 2021) kann man sehen, dass die Beserman:innen keineswegs geneigt sind, von außen aufgedrängte Lösungen kritiklos zu übernehmen, sondern durchaus eigene Vorstellungen von ihrer Muttersprache und deren (schriftlicher) Zukunft haben. Obwohl diese Orthographie von sprachwissenschaftlichen Lai:innen in die Diskussion eingebracht wurde, ist sie in sich logisch und schlüssig (sieht man von der nicht ganz konsistenten Bezeichnung palataler Konsonanten und der etwas unglücklichen Verwendung eines Graphems ab, das noch nicht vom Unicode-Konsortium aufgenommen wurde). </w:t>
      </w:r>
      <w:bookmarkStart w:id="102" w:name="__DdeLink__1003_3655644614"/>
      <w:r w:rsidRPr="00FB4EFA">
        <w:t xml:space="preserve">Aufgabe der Sprachwissenschafter:innen sollte daher nicht die Belehrung der besermanischen Nicht-Sprachwissenschafter:innen über die Natur ihrer Muttersprache sein, sondern im Interesse des Spracherhalts vielmehr die fachkundige Beratung und eventuell sogar praktische Unterstützung der Sprecher:innen bei möglichen Lösungen zur Verschriftlichung derselben. </w:t>
      </w:r>
      <w:bookmarkEnd w:id="102"/>
      <w:r w:rsidRPr="00FB4EFA">
        <w:t>Denn gerade sie als im Feld forschende Linguist:innen kennen die Situation vor Ort, verfügen aber auch über Kenntnisse und verschiedene Lösungsansätze aus anderen Sprachen (</w:t>
      </w:r>
      <w:r w:rsidR="0030017E" w:rsidRPr="00FB4EFA">
        <w:t>z. B.</w:t>
      </w:r>
      <w:r w:rsidRPr="00FB4EFA">
        <w:t xml:space="preserve"> Jones &amp; </w:t>
      </w:r>
      <w:r w:rsidRPr="00FB4EFA">
        <w:lastRenderedPageBreak/>
        <w:t>Mooney 2016, Ayres-Bennett 2021, Laakso &amp; Skribnik 2022). Die Beserman:innen hätten dann eine solide Basis, um eine für sie selbst akzeptable Entscheidung über die Zukunft ihrer Sprache zu treffen, wofür sie verantwortlich und wozu allein sie als Sprecher:innen berechtigt sind.</w:t>
      </w:r>
    </w:p>
    <w:p w14:paraId="73D780AA" w14:textId="77777777" w:rsidR="00315E3D" w:rsidRPr="00FB4EFA" w:rsidRDefault="00315E3D" w:rsidP="00545033">
      <w:pPr>
        <w:pStyle w:val="Heading2"/>
        <w:suppressAutoHyphens/>
        <w:spacing w:line="259" w:lineRule="auto"/>
        <w:rPr>
          <w:color w:val="auto"/>
          <w:lang w:val="de-AT"/>
        </w:rPr>
      </w:pPr>
      <w:r w:rsidRPr="00FB4EFA">
        <w:rPr>
          <w:color w:val="auto"/>
          <w:lang w:val="de-AT"/>
        </w:rPr>
        <w:t>7. Literatur</w:t>
      </w:r>
    </w:p>
    <w:p w14:paraId="2D6FF325" w14:textId="64132501" w:rsidR="00315E3D" w:rsidRPr="00FB4EFA" w:rsidRDefault="00315E3D" w:rsidP="00AF0CAD">
      <w:pPr>
        <w:spacing w:line="240" w:lineRule="auto"/>
        <w:ind w:left="426" w:hanging="426"/>
      </w:pPr>
      <w:r w:rsidRPr="00FB4EFA">
        <w:t xml:space="preserve">Arkhangelskij et al. 2017 = </w:t>
      </w:r>
      <w:r w:rsidR="00FE0856" w:rsidRPr="00FB4EFA">
        <w:t>Т</w:t>
      </w:r>
      <w:r w:rsidR="00770CB4" w:rsidRPr="00FB4EFA">
        <w:t>.</w:t>
      </w:r>
      <w:r w:rsidR="00FE0856" w:rsidRPr="00FB4EFA">
        <w:t xml:space="preserve">А. </w:t>
      </w:r>
      <w:r w:rsidRPr="00FB4EFA">
        <w:t>Архангельский, В</w:t>
      </w:r>
      <w:r w:rsidR="00770CB4" w:rsidRPr="00FB4EFA">
        <w:t>.</w:t>
      </w:r>
      <w:r w:rsidRPr="00FB4EFA">
        <w:t>А. Иванов, Р</w:t>
      </w:r>
      <w:r w:rsidR="00770CB4" w:rsidRPr="00FB4EFA">
        <w:t>.</w:t>
      </w:r>
      <w:r w:rsidRPr="00FB4EFA">
        <w:t>И. Идрисов, В</w:t>
      </w:r>
      <w:r w:rsidR="00770CB4" w:rsidRPr="00FB4EFA">
        <w:t>.</w:t>
      </w:r>
      <w:r w:rsidRPr="00FB4EFA">
        <w:t>А. Плунгян, Е</w:t>
      </w:r>
      <w:r w:rsidR="00770CB4" w:rsidRPr="00FB4EFA">
        <w:t>.</w:t>
      </w:r>
      <w:r w:rsidRPr="00FB4EFA">
        <w:t>В. Попова. Письменность на языке бесермян: история, проблемы, перспективы. In Е.В. Головко, С.А. Оскольская, А.М. Певнов, А.А. Сюрюн, А.Ю. Урманчиева.</w:t>
      </w:r>
      <w:r w:rsidRPr="00FB4EFA">
        <w:rPr>
          <w:i/>
          <w:iCs/>
        </w:rPr>
        <w:t xml:space="preserve"> Языки малочисленных народов России: устное vs. письменное. Тезисы докладов международной научной конференции Санкт-Петербург, 4–6 декабря 2017 г.</w:t>
      </w:r>
      <w:r w:rsidRPr="00FB4EFA">
        <w:t xml:space="preserve"> 10–12. </w:t>
      </w:r>
      <w:hyperlink r:id="rId380" w:history="1">
        <w:r w:rsidR="00434D3F" w:rsidRPr="00FB4EFA">
          <w:rPr>
            <w:u w:val="single"/>
          </w:rPr>
          <w:t>iling.spb.ru/confs/minorlang2017/abstracts.pdf</w:t>
        </w:r>
      </w:hyperlink>
      <w:r w:rsidR="004F468E" w:rsidRPr="00FB4EFA">
        <w:t>.</w:t>
      </w:r>
    </w:p>
    <w:p w14:paraId="3ACF8FCF" w14:textId="37F26CBF" w:rsidR="00315E3D" w:rsidRPr="00FB4EFA" w:rsidRDefault="00315E3D" w:rsidP="00AF0CAD">
      <w:pPr>
        <w:spacing w:line="240" w:lineRule="auto"/>
        <w:ind w:left="426" w:hanging="426"/>
      </w:pPr>
      <w:r w:rsidRPr="00FB4EFA">
        <w:t xml:space="preserve">Arkhangelskij 2021 = </w:t>
      </w:r>
      <w:r w:rsidR="00FE0856" w:rsidRPr="00FB4EFA">
        <w:t>Т</w:t>
      </w:r>
      <w:r w:rsidR="00770CB4" w:rsidRPr="00FB4EFA">
        <w:t>.</w:t>
      </w:r>
      <w:r w:rsidR="00FE0856" w:rsidRPr="00FB4EFA">
        <w:t xml:space="preserve">А. </w:t>
      </w:r>
      <w:r w:rsidRPr="00FB4EFA">
        <w:t xml:space="preserve">Архангельский, 2021. Применение диалектометрического метода к классификации удмуртских диалектов. </w:t>
      </w:r>
      <w:r w:rsidRPr="00FB4EFA">
        <w:rPr>
          <w:i/>
        </w:rPr>
        <w:t>Ural-Altaic Studies</w:t>
      </w:r>
      <w:r w:rsidRPr="00FB4EFA">
        <w:t xml:space="preserve"> 2</w:t>
      </w:r>
      <w:r w:rsidR="00CB7F0B" w:rsidRPr="00FB4EFA">
        <w:t xml:space="preserve"> (</w:t>
      </w:r>
      <w:r w:rsidRPr="00FB4EFA">
        <w:t>41</w:t>
      </w:r>
      <w:r w:rsidR="00CB7F0B" w:rsidRPr="00FB4EFA">
        <w:t>)</w:t>
      </w:r>
      <w:r w:rsidRPr="00FB4EFA">
        <w:t>. 7–20.</w:t>
      </w:r>
    </w:p>
    <w:p w14:paraId="47CCC8F9" w14:textId="4AFCDB63" w:rsidR="00315E3D" w:rsidRPr="00FB4EFA" w:rsidRDefault="00315E3D" w:rsidP="00AF0CAD">
      <w:pPr>
        <w:spacing w:line="240" w:lineRule="auto"/>
        <w:ind w:left="426" w:hanging="426"/>
      </w:pPr>
      <w:r w:rsidRPr="00FB4EFA">
        <w:t xml:space="preserve">Ayres-Bennett, Wendy &amp; John Bellamy (Hrsg.). 2021. </w:t>
      </w:r>
      <w:r w:rsidRPr="00FB4EFA">
        <w:rPr>
          <w:i/>
        </w:rPr>
        <w:t>The Cambridge Handbook of Language Standardization</w:t>
      </w:r>
      <w:r w:rsidRPr="00FB4EFA">
        <w:t>. Cambridge: Cambridge University Press.</w:t>
      </w:r>
    </w:p>
    <w:p w14:paraId="1646CAF5" w14:textId="5FED43AF" w:rsidR="00315E3D" w:rsidRPr="00FB4EFA" w:rsidRDefault="00315E3D" w:rsidP="00AF0CAD">
      <w:pPr>
        <w:spacing w:line="240" w:lineRule="auto"/>
        <w:ind w:left="426" w:hanging="426"/>
      </w:pPr>
      <w:r w:rsidRPr="00FB4EFA">
        <w:t xml:space="preserve">Ar-Sergi &amp; Djukin 2021 = </w:t>
      </w:r>
      <w:r w:rsidR="002302FA" w:rsidRPr="00FB4EFA">
        <w:t>В.В.</w:t>
      </w:r>
      <w:r w:rsidR="00FE0856" w:rsidRPr="00FB4EFA">
        <w:t xml:space="preserve"> </w:t>
      </w:r>
      <w:r w:rsidRPr="00FB4EFA">
        <w:t>Ар-Серги</w:t>
      </w:r>
      <w:r w:rsidR="00FE0856" w:rsidRPr="00FB4EFA">
        <w:t xml:space="preserve"> </w:t>
      </w:r>
      <w:r w:rsidRPr="00FB4EFA">
        <w:t xml:space="preserve">&amp; </w:t>
      </w:r>
      <w:r w:rsidR="002302FA" w:rsidRPr="00FB4EFA">
        <w:t>Р.М</w:t>
      </w:r>
      <w:r w:rsidR="00C2108B" w:rsidRPr="00FB4EFA">
        <w:t>.</w:t>
      </w:r>
      <w:r w:rsidRPr="00FB4EFA">
        <w:t xml:space="preserve"> </w:t>
      </w:r>
      <w:r w:rsidR="00054818" w:rsidRPr="00FB4EFA">
        <w:t>Дюкин</w:t>
      </w:r>
      <w:r w:rsidRPr="00FB4EFA">
        <w:t xml:space="preserve">. </w:t>
      </w:r>
      <w:r w:rsidRPr="00FB4EFA">
        <w:rPr>
          <w:i/>
          <w:iCs/>
        </w:rPr>
        <w:t>Ворча мадьёс.</w:t>
      </w:r>
      <w:r w:rsidRPr="00FB4EFA">
        <w:t xml:space="preserve"> Ижевск: Удмуртия.</w:t>
      </w:r>
    </w:p>
    <w:p w14:paraId="34E4CBF5" w14:textId="6BCFFD9C" w:rsidR="00315E3D" w:rsidRPr="00FB4EFA" w:rsidRDefault="00315E3D" w:rsidP="00AF0CAD">
      <w:pPr>
        <w:spacing w:line="240" w:lineRule="auto"/>
        <w:ind w:left="426" w:hanging="426"/>
      </w:pPr>
      <w:r w:rsidRPr="00FB4EFA">
        <w:t xml:space="preserve">Chambers, Jack K. &amp; Peter Trudgill. 1998. </w:t>
      </w:r>
      <w:r w:rsidRPr="00FB4EFA">
        <w:rPr>
          <w:i/>
        </w:rPr>
        <w:t>Dialectology</w:t>
      </w:r>
      <w:r w:rsidR="00EB759E" w:rsidRPr="00FB4EFA">
        <w:rPr>
          <w:iCs/>
        </w:rPr>
        <w:t>.</w:t>
      </w:r>
      <w:r w:rsidRPr="00FB4EFA">
        <w:rPr>
          <w:i/>
        </w:rPr>
        <w:t xml:space="preserve"> </w:t>
      </w:r>
      <w:r w:rsidRPr="00FB4EFA">
        <w:t>Cambridge textbooks in linguistics</w:t>
      </w:r>
      <w:r w:rsidRPr="00FB4EFA">
        <w:rPr>
          <w:i/>
          <w:iCs/>
        </w:rPr>
        <w:t>.</w:t>
      </w:r>
      <w:r w:rsidRPr="00FB4EFA">
        <w:t xml:space="preserve"> Cambridge: Cambridge University Press.</w:t>
      </w:r>
    </w:p>
    <w:p w14:paraId="643DA0BF" w14:textId="22E22A19" w:rsidR="000121EA" w:rsidRPr="00FB4EFA" w:rsidRDefault="00315E3D" w:rsidP="00AF0CAD">
      <w:pPr>
        <w:keepLines/>
        <w:spacing w:line="240" w:lineRule="auto"/>
        <w:ind w:left="425" w:hanging="425"/>
      </w:pPr>
      <w:r w:rsidRPr="00FB4EFA">
        <w:t>Csúcs, Sándor. 1985. Kriterien zur Qualifizierung der Dialekte des Wotjakischen. In Wolfgang Veenker (Hrsg.)</w:t>
      </w:r>
      <w:r w:rsidR="007C5960" w:rsidRPr="00FB4EFA">
        <w:t>,</w:t>
      </w:r>
      <w:r w:rsidRPr="00FB4EFA">
        <w:t xml:space="preserve"> </w:t>
      </w:r>
      <w:r w:rsidRPr="00FB4EFA">
        <w:rPr>
          <w:i/>
        </w:rPr>
        <w:t>Dialectologia Uralica: Materialien des Ersten Internationalen Symposions zur Dialektologie der uralischen Sprachen, 4.–7. September 1984 in Hamburg</w:t>
      </w:r>
      <w:r w:rsidR="007C5960" w:rsidRPr="00FB4EFA">
        <w:rPr>
          <w:iCs/>
        </w:rPr>
        <w:t xml:space="preserve">, </w:t>
      </w:r>
      <w:r w:rsidR="007C5960" w:rsidRPr="00FB4EFA">
        <w:t>201–208</w:t>
      </w:r>
      <w:r w:rsidRPr="00FB4EFA">
        <w:t>. Veröffentlichungen der Societas Uralo-Altaica</w:t>
      </w:r>
      <w:r w:rsidR="007C5960" w:rsidRPr="00FB4EFA">
        <w:t xml:space="preserve"> 20</w:t>
      </w:r>
      <w:r w:rsidRPr="00FB4EFA">
        <w:t>. Wiesbaden: Harrassowitz.</w:t>
      </w:r>
    </w:p>
    <w:p w14:paraId="3B480337" w14:textId="7B0DC93F" w:rsidR="00315E3D" w:rsidRPr="00FB4EFA" w:rsidRDefault="00315E3D" w:rsidP="00AF0CAD">
      <w:pPr>
        <w:spacing w:line="240" w:lineRule="auto"/>
        <w:ind w:left="426" w:hanging="426"/>
      </w:pPr>
      <w:r w:rsidRPr="00FB4EFA">
        <w:t>Dołowy-Rybińska, Nicole. 2013. Kashubian and Modern Media: The influence of New Technologies on Endangered Languages. In Elin Haf Gruffydd Jones &amp; Enrique Uribe-Jongbloed</w:t>
      </w:r>
      <w:r w:rsidR="008629E6" w:rsidRPr="00FB4EFA">
        <w:t xml:space="preserve"> (eds.)</w:t>
      </w:r>
      <w:r w:rsidRPr="00FB4EFA">
        <w:t xml:space="preserve">, </w:t>
      </w:r>
      <w:r w:rsidRPr="00FB4EFA">
        <w:rPr>
          <w:i/>
        </w:rPr>
        <w:t>Social Media and Minority Languages: Convergence and the Creative Industries</w:t>
      </w:r>
      <w:r w:rsidR="00FE0856" w:rsidRPr="00FB4EFA">
        <w:rPr>
          <w:iCs/>
        </w:rPr>
        <w:t>,</w:t>
      </w:r>
      <w:r w:rsidRPr="00FB4EFA">
        <w:rPr>
          <w:iCs/>
        </w:rPr>
        <w:t xml:space="preserve"> 119–129</w:t>
      </w:r>
      <w:r w:rsidRPr="00FB4EFA">
        <w:rPr>
          <w:i/>
        </w:rPr>
        <w:t xml:space="preserve">. </w:t>
      </w:r>
      <w:r w:rsidR="00FE0856" w:rsidRPr="00FB4EFA">
        <w:rPr>
          <w:rFonts w:cs="Charis SIL"/>
          <w:lang w:val="en-GB"/>
        </w:rPr>
        <w:t xml:space="preserve">Clevedon: </w:t>
      </w:r>
      <w:r w:rsidRPr="00FB4EFA">
        <w:t xml:space="preserve">Multilingual </w:t>
      </w:r>
      <w:r w:rsidR="00FE0856" w:rsidRPr="00FB4EFA">
        <w:t>M</w:t>
      </w:r>
      <w:r w:rsidRPr="00FB4EFA">
        <w:t>atters.</w:t>
      </w:r>
    </w:p>
    <w:p w14:paraId="54B02095" w14:textId="487FA480" w:rsidR="00315E3D" w:rsidRPr="00FB4EFA" w:rsidRDefault="00315E3D" w:rsidP="00AF0CAD">
      <w:pPr>
        <w:spacing w:line="240" w:lineRule="auto"/>
        <w:ind w:left="426" w:hanging="426"/>
      </w:pPr>
      <w:r w:rsidRPr="00FB4EFA">
        <w:t xml:space="preserve">Dollinger, Stefan. 2019. </w:t>
      </w:r>
      <w:r w:rsidRPr="00FB4EFA">
        <w:rPr>
          <w:i/>
        </w:rPr>
        <w:t>The Pluricentricity Debate: On Austrian German and other Germanic Standard Varieties</w:t>
      </w:r>
      <w:r w:rsidRPr="00FB4EFA">
        <w:t xml:space="preserve">. </w:t>
      </w:r>
      <w:r w:rsidR="00A82FE2" w:rsidRPr="00FB4EFA">
        <w:t>London</w:t>
      </w:r>
      <w:r w:rsidRPr="00FB4EFA">
        <w:t>: Routledge.</w:t>
      </w:r>
    </w:p>
    <w:p w14:paraId="3A1CB881" w14:textId="09ACCD8A" w:rsidR="000121EA" w:rsidRPr="00FB4EFA" w:rsidRDefault="00315E3D" w:rsidP="00AF0CAD">
      <w:pPr>
        <w:spacing w:line="240" w:lineRule="auto"/>
        <w:ind w:left="426" w:hanging="426"/>
      </w:pPr>
      <w:r w:rsidRPr="00FB4EFA">
        <w:t xml:space="preserve">Dollinger, Stefan. 2021. </w:t>
      </w:r>
      <w:r w:rsidRPr="00FB4EFA">
        <w:rPr>
          <w:i/>
          <w:iCs/>
        </w:rPr>
        <w:t xml:space="preserve">Österreichisches Deutsch oder Deutsch in Österreich? Identitäten im 21. Jahrhundert. </w:t>
      </w:r>
      <w:r w:rsidRPr="00FB4EFA">
        <w:t>Wien: New Academic Press.</w:t>
      </w:r>
    </w:p>
    <w:p w14:paraId="55F4BCE2" w14:textId="6FBF8D37" w:rsidR="000121EA" w:rsidRPr="00FB4EFA" w:rsidRDefault="00315E3D" w:rsidP="00AF0CAD">
      <w:pPr>
        <w:spacing w:line="240" w:lineRule="auto"/>
        <w:ind w:left="426" w:hanging="426"/>
      </w:pPr>
      <w:r w:rsidRPr="00FB4EFA">
        <w:lastRenderedPageBreak/>
        <w:t>Edygarova, Svetlana. 2016. Standard Language Ideology and Minority Languages: The Case of the Permian Languages. In Reetta Toivanen &amp; Janne Saarikivi (Hrsg.)</w:t>
      </w:r>
      <w:r w:rsidR="00466236" w:rsidRPr="00FB4EFA">
        <w:t>,</w:t>
      </w:r>
      <w:r w:rsidRPr="00FB4EFA">
        <w:t xml:space="preserve"> </w:t>
      </w:r>
      <w:r w:rsidRPr="00FB4EFA">
        <w:rPr>
          <w:i/>
        </w:rPr>
        <w:t>Linguistic Genocide or Superdiversity?</w:t>
      </w:r>
      <w:r w:rsidR="00466236" w:rsidRPr="00FB4EFA">
        <w:rPr>
          <w:iCs/>
        </w:rPr>
        <w:t>,</w:t>
      </w:r>
      <w:r w:rsidRPr="00FB4EFA">
        <w:t xml:space="preserve"> 326–352. </w:t>
      </w:r>
      <w:r w:rsidR="008629E6" w:rsidRPr="00FB4EFA">
        <w:rPr>
          <w:rFonts w:cs="Charis SIL"/>
          <w:lang w:val="en-GB"/>
        </w:rPr>
        <w:t xml:space="preserve">Clevedon: </w:t>
      </w:r>
      <w:r w:rsidRPr="00FB4EFA">
        <w:t>Multilingual Matters.</w:t>
      </w:r>
    </w:p>
    <w:p w14:paraId="1EA4AF2E" w14:textId="11CC92E1" w:rsidR="00315E3D" w:rsidRPr="00FB4EFA" w:rsidRDefault="00315E3D" w:rsidP="00AF0CAD">
      <w:pPr>
        <w:spacing w:line="240" w:lineRule="auto"/>
        <w:ind w:left="426" w:hanging="426"/>
      </w:pPr>
      <w:r w:rsidRPr="00FB4EFA">
        <w:t xml:space="preserve">Ivanov 2019 = </w:t>
      </w:r>
      <w:r w:rsidR="009D7D44" w:rsidRPr="00FB4EFA">
        <w:t>В</w:t>
      </w:r>
      <w:r w:rsidR="00770CB4" w:rsidRPr="00FB4EFA">
        <w:t>.</w:t>
      </w:r>
      <w:r w:rsidR="009D7D44" w:rsidRPr="00FB4EFA">
        <w:t xml:space="preserve">А. </w:t>
      </w:r>
      <w:r w:rsidRPr="00FB4EFA">
        <w:t xml:space="preserve">Иванов. Удмуртский язык и его роль в сохранении бесермянского. </w:t>
      </w:r>
      <w:r w:rsidRPr="00FB4EFA">
        <w:rPr>
          <w:i/>
          <w:iCs/>
        </w:rPr>
        <w:t>Научно-практическая конференция</w:t>
      </w:r>
      <w:r w:rsidR="00AC69C9" w:rsidRPr="00FB4EFA">
        <w:rPr>
          <w:i/>
          <w:iCs/>
        </w:rPr>
        <w:t xml:space="preserve"> </w:t>
      </w:r>
      <w:r w:rsidRPr="00FB4EFA">
        <w:rPr>
          <w:i/>
          <w:iCs/>
        </w:rPr>
        <w:t>«Бесермяне сегодня: как сохранить себя в меняющемся мире?».</w:t>
      </w:r>
      <w:r w:rsidRPr="00FB4EFA">
        <w:t xml:space="preserve"> Шамардан. Konferenzvortrag</w:t>
      </w:r>
      <w:r w:rsidR="00A47F9A" w:rsidRPr="00FB4EFA">
        <w:t>.</w:t>
      </w:r>
    </w:p>
    <w:p w14:paraId="2EE12E09" w14:textId="4755AEBB" w:rsidR="00315E3D" w:rsidRPr="00FB4EFA" w:rsidRDefault="00315E3D" w:rsidP="00AF0CAD">
      <w:pPr>
        <w:keepLines/>
        <w:spacing w:line="240" w:lineRule="auto"/>
        <w:ind w:left="425" w:hanging="425"/>
      </w:pPr>
      <w:r w:rsidRPr="00FB4EFA">
        <w:t xml:space="preserve">Ivanov &amp; Popova 2018 = </w:t>
      </w:r>
      <w:r w:rsidR="009D7D44" w:rsidRPr="00FB4EFA">
        <w:t>В</w:t>
      </w:r>
      <w:r w:rsidR="00770CB4" w:rsidRPr="00FB4EFA">
        <w:t>.</w:t>
      </w:r>
      <w:r w:rsidR="009D7D44" w:rsidRPr="00FB4EFA">
        <w:t xml:space="preserve">А. </w:t>
      </w:r>
      <w:r w:rsidRPr="00FB4EFA">
        <w:t>Иванов &amp; Е</w:t>
      </w:r>
      <w:r w:rsidR="00770CB4" w:rsidRPr="00FB4EFA">
        <w:t>.</w:t>
      </w:r>
      <w:r w:rsidRPr="00FB4EFA">
        <w:t xml:space="preserve">В. Попова. Обзор работы Всероссийской научной конференции с международным участием «язык, история, культура бесермян: состояние и перспективы исследований». </w:t>
      </w:r>
      <w:r w:rsidRPr="00FB4EFA">
        <w:rPr>
          <w:i/>
        </w:rPr>
        <w:t xml:space="preserve">Ежегодник финно-угорских исследований </w:t>
      </w:r>
      <w:r w:rsidRPr="00FB4EFA">
        <w:t>4</w:t>
      </w:r>
      <w:r w:rsidR="00CB7F0B" w:rsidRPr="00FB4EFA">
        <w:t>.</w:t>
      </w:r>
      <w:r w:rsidRPr="00FB4EFA">
        <w:t xml:space="preserve"> 161–170.</w:t>
      </w:r>
    </w:p>
    <w:p w14:paraId="0FAFDD33" w14:textId="4D3B8A00" w:rsidR="00315E3D" w:rsidRPr="00FB4EFA" w:rsidRDefault="00315E3D" w:rsidP="00AF0CAD">
      <w:pPr>
        <w:spacing w:line="240" w:lineRule="auto"/>
        <w:ind w:left="426" w:hanging="426"/>
      </w:pPr>
      <w:r w:rsidRPr="00FB4EFA">
        <w:t>Jones, Mari C. &amp; Damien Mooney (Hrsg.)</w:t>
      </w:r>
      <w:r w:rsidR="007C5960" w:rsidRPr="00FB4EFA">
        <w:t>.</w:t>
      </w:r>
      <w:r w:rsidRPr="00FB4EFA">
        <w:t xml:space="preserve"> </w:t>
      </w:r>
      <w:r w:rsidRPr="00FB4EFA">
        <w:rPr>
          <w:i/>
        </w:rPr>
        <w:t>Creating Orthographies for Endangered Languages</w:t>
      </w:r>
      <w:r w:rsidRPr="00FB4EFA">
        <w:t>. Cambridge: Cambridge University Press.</w:t>
      </w:r>
    </w:p>
    <w:p w14:paraId="68C59D68" w14:textId="6281E4A0" w:rsidR="00315E3D" w:rsidRPr="00FB4EFA" w:rsidRDefault="00315E3D" w:rsidP="00AF0CAD">
      <w:pPr>
        <w:spacing w:line="240" w:lineRule="auto"/>
        <w:ind w:left="426" w:hanging="426"/>
      </w:pPr>
      <w:r w:rsidRPr="00FB4EFA">
        <w:t xml:space="preserve">Kalnyn 1976 = </w:t>
      </w:r>
      <w:r w:rsidR="009D7D44" w:rsidRPr="00FB4EFA">
        <w:t>Л</w:t>
      </w:r>
      <w:r w:rsidR="00770CB4" w:rsidRPr="00FB4EFA">
        <w:t>.</w:t>
      </w:r>
      <w:r w:rsidR="009D7D44" w:rsidRPr="00FB4EFA">
        <w:t xml:space="preserve">Э. </w:t>
      </w:r>
      <w:r w:rsidRPr="00FB4EFA">
        <w:t>Калнынь</w:t>
      </w:r>
      <w:r w:rsidR="009D7D44" w:rsidRPr="00FB4EFA">
        <w:t>.</w:t>
      </w:r>
      <w:r w:rsidRPr="00FB4EFA">
        <w:t xml:space="preserve"> </w:t>
      </w:r>
      <w:r w:rsidRPr="00FB4EFA">
        <w:rPr>
          <w:i/>
          <w:iCs/>
        </w:rPr>
        <w:t>Диалектологический аспект проблемы «язык и диалект»</w:t>
      </w:r>
      <w:r w:rsidRPr="00FB4EFA">
        <w:t>. Серия литературы и языка 35</w:t>
      </w:r>
      <w:r w:rsidR="009D7D44" w:rsidRPr="00FB4EFA">
        <w:t xml:space="preserve"> (</w:t>
      </w:r>
      <w:r w:rsidRPr="00FB4EFA">
        <w:t>1</w:t>
      </w:r>
      <w:r w:rsidR="009D7D44" w:rsidRPr="00FB4EFA">
        <w:t>),</w:t>
      </w:r>
      <w:r w:rsidRPr="00FB4EFA">
        <w:t xml:space="preserve"> 34</w:t>
      </w:r>
      <w:r w:rsidR="009D7D44" w:rsidRPr="00FB4EFA">
        <w:t>–</w:t>
      </w:r>
      <w:r w:rsidRPr="00FB4EFA">
        <w:t>45. Москва</w:t>
      </w:r>
      <w:r w:rsidR="009D7D44" w:rsidRPr="00FB4EFA">
        <w:t>: Известия АН СССР</w:t>
      </w:r>
      <w:r w:rsidRPr="00FB4EFA">
        <w:t>.</w:t>
      </w:r>
    </w:p>
    <w:p w14:paraId="5E9114D2" w14:textId="1C097734" w:rsidR="000121EA" w:rsidRPr="00FB4EFA" w:rsidRDefault="00315E3D" w:rsidP="00AF0CAD">
      <w:pPr>
        <w:spacing w:line="240" w:lineRule="auto"/>
        <w:ind w:left="426" w:hanging="426"/>
      </w:pPr>
      <w:r w:rsidRPr="00FB4EFA">
        <w:t xml:space="preserve">Karpova 1998 = </w:t>
      </w:r>
      <w:r w:rsidR="009D7D44" w:rsidRPr="00FB4EFA">
        <w:t>Л</w:t>
      </w:r>
      <w:r w:rsidR="00770CB4" w:rsidRPr="00FB4EFA">
        <w:t>.</w:t>
      </w:r>
      <w:r w:rsidR="009D7D44" w:rsidRPr="00FB4EFA">
        <w:t xml:space="preserve">Л. </w:t>
      </w:r>
      <w:r w:rsidRPr="00FB4EFA">
        <w:t>Карпова</w:t>
      </w:r>
      <w:r w:rsidR="009D7D44" w:rsidRPr="00FB4EFA">
        <w:t>.</w:t>
      </w:r>
      <w:r w:rsidRPr="00FB4EFA">
        <w:t xml:space="preserve"> Бесермяно-удмуртское взаимовлияние (на материале среднечепецкого региона). </w:t>
      </w:r>
      <w:r w:rsidRPr="00FB4EFA">
        <w:rPr>
          <w:i/>
        </w:rPr>
        <w:t>Linguistica Uralica</w:t>
      </w:r>
      <w:r w:rsidRPr="00FB4EFA">
        <w:rPr>
          <w:i/>
          <w:iCs/>
        </w:rPr>
        <w:t xml:space="preserve"> </w:t>
      </w:r>
      <w:r w:rsidR="00CB7F0B" w:rsidRPr="00FB4EFA">
        <w:t>34</w:t>
      </w:r>
      <w:r w:rsidRPr="00FB4EFA">
        <w:t xml:space="preserve"> </w:t>
      </w:r>
      <w:r w:rsidR="00CB7F0B" w:rsidRPr="00FB4EFA">
        <w:t>(</w:t>
      </w:r>
      <w:r w:rsidRPr="00FB4EFA">
        <w:t>2</w:t>
      </w:r>
      <w:r w:rsidR="00CB7F0B" w:rsidRPr="00FB4EFA">
        <w:t>)</w:t>
      </w:r>
      <w:r w:rsidRPr="00FB4EFA">
        <w:t>. 121–27.</w:t>
      </w:r>
    </w:p>
    <w:p w14:paraId="7868D8E7" w14:textId="0BFFB33D" w:rsidR="00315E3D" w:rsidRPr="00FB4EFA" w:rsidRDefault="00315E3D" w:rsidP="00AF0CAD">
      <w:pPr>
        <w:spacing w:line="240" w:lineRule="auto"/>
        <w:ind w:left="426" w:hanging="426"/>
      </w:pPr>
      <w:r w:rsidRPr="00FB4EFA">
        <w:t xml:space="preserve">Kelmakov, Valej K. 1985. Kriterien zur Qualifizierung der Dialekte des Votjakischen. In </w:t>
      </w:r>
      <w:r w:rsidRPr="00FB4EFA">
        <w:rPr>
          <w:i/>
        </w:rPr>
        <w:t>Dialectologia Uralica: Materialien des Ersten Internationalen Symposions zur Dialektologie der uralischen Sprachen, 4.-7. September 1984 in Hamburg</w:t>
      </w:r>
      <w:r w:rsidRPr="00FB4EFA">
        <w:t>, 20: 209–14. Veröffentlichungen der Societas Uralo-Altaica. Wiesbaden: Harrassowitz.</w:t>
      </w:r>
    </w:p>
    <w:p w14:paraId="69561EE3" w14:textId="610E4D13" w:rsidR="00315E3D" w:rsidRPr="00FB4EFA" w:rsidRDefault="00315E3D" w:rsidP="00AF0CAD">
      <w:pPr>
        <w:spacing w:line="240" w:lineRule="auto"/>
        <w:ind w:left="426" w:hanging="426"/>
      </w:pPr>
      <w:r w:rsidRPr="00FB4EFA">
        <w:t xml:space="preserve">Kelmakov 2003 = </w:t>
      </w:r>
      <w:r w:rsidR="009D7D44" w:rsidRPr="00FB4EFA">
        <w:t>В</w:t>
      </w:r>
      <w:r w:rsidR="00770CB4" w:rsidRPr="00FB4EFA">
        <w:t>.</w:t>
      </w:r>
      <w:r w:rsidR="009D7D44" w:rsidRPr="00FB4EFA">
        <w:t xml:space="preserve">К. </w:t>
      </w:r>
      <w:r w:rsidRPr="00FB4EFA">
        <w:t>Кельмаков</w:t>
      </w:r>
      <w:r w:rsidR="009D7D44" w:rsidRPr="00FB4EFA">
        <w:t>.</w:t>
      </w:r>
      <w:r w:rsidRPr="00FB4EFA">
        <w:t xml:space="preserve"> Бесермянское наречие в системе удмуртских диалектов. In В</w:t>
      </w:r>
      <w:r w:rsidR="00770CB4" w:rsidRPr="00FB4EFA">
        <w:t>.</w:t>
      </w:r>
      <w:r w:rsidRPr="00FB4EFA">
        <w:t>К. Кельмаков</w:t>
      </w:r>
      <w:r w:rsidR="00CF4EE3" w:rsidRPr="00FB4EFA">
        <w:t>,</w:t>
      </w:r>
      <w:r w:rsidRPr="00FB4EFA">
        <w:t xml:space="preserve"> </w:t>
      </w:r>
      <w:r w:rsidRPr="00FB4EFA">
        <w:rPr>
          <w:i/>
        </w:rPr>
        <w:t>Диалектная и историческая фонетика удмуртского языка</w:t>
      </w:r>
      <w:r w:rsidRPr="00FB4EFA">
        <w:t>, 99–135. Ижевск: Удмуртский университет.</w:t>
      </w:r>
    </w:p>
    <w:p w14:paraId="27EBD431" w14:textId="53A718A3" w:rsidR="00315E3D" w:rsidRPr="00FB4EFA" w:rsidRDefault="00315E3D" w:rsidP="00AF0CAD">
      <w:pPr>
        <w:spacing w:line="240" w:lineRule="auto"/>
        <w:ind w:left="426" w:hanging="426"/>
      </w:pPr>
      <w:r w:rsidRPr="00FB4EFA">
        <w:t xml:space="preserve">Khilkhanova 2019 = </w:t>
      </w:r>
      <w:r w:rsidR="00CF4EE3" w:rsidRPr="00FB4EFA">
        <w:t>Э</w:t>
      </w:r>
      <w:r w:rsidR="00770CB4" w:rsidRPr="00FB4EFA">
        <w:t>.</w:t>
      </w:r>
      <w:r w:rsidR="00CF4EE3" w:rsidRPr="00FB4EFA">
        <w:t xml:space="preserve">В. </w:t>
      </w:r>
      <w:r w:rsidRPr="00FB4EFA">
        <w:t>Хилханова</w:t>
      </w:r>
      <w:r w:rsidR="00CF4EE3" w:rsidRPr="00FB4EFA">
        <w:t>.</w:t>
      </w:r>
      <w:r w:rsidRPr="00FB4EFA">
        <w:t xml:space="preserve"> Интернет и миноритарные языки России: символическое присутствие или инструмент ревитализации? (на примере бурятского языка). </w:t>
      </w:r>
      <w:r w:rsidRPr="00FB4EFA">
        <w:rPr>
          <w:i/>
        </w:rPr>
        <w:t>Монголоведение</w:t>
      </w:r>
      <w:r w:rsidRPr="00FB4EFA">
        <w:t xml:space="preserve"> 4. 981–1002.</w:t>
      </w:r>
    </w:p>
    <w:p w14:paraId="1D381A98" w14:textId="1FED478C" w:rsidR="00315E3D" w:rsidRPr="00FB4EFA" w:rsidRDefault="00315E3D" w:rsidP="00AF0CAD">
      <w:pPr>
        <w:keepLines/>
        <w:spacing w:line="240" w:lineRule="auto"/>
        <w:ind w:left="425" w:hanging="425"/>
      </w:pPr>
      <w:r w:rsidRPr="00FB4EFA">
        <w:t xml:space="preserve">Khilkhanova, Erzhen. 2021. Language Ideologies and Multilingual Practices of Post-Soviet Migrants in Western Europe from a Translanguaging Perspective. </w:t>
      </w:r>
      <w:r w:rsidRPr="00FB4EFA">
        <w:rPr>
          <w:i/>
          <w:iCs/>
        </w:rPr>
        <w:t>Balcania et Slavia. Studi linguistici.</w:t>
      </w:r>
      <w:r w:rsidRPr="00FB4EFA">
        <w:t xml:space="preserve"> 1</w:t>
      </w:r>
      <w:r w:rsidR="00F951D0" w:rsidRPr="00FB4EFA">
        <w:t xml:space="preserve"> (</w:t>
      </w:r>
      <w:r w:rsidRPr="00FB4EFA">
        <w:t>1</w:t>
      </w:r>
      <w:r w:rsidR="00F951D0" w:rsidRPr="00FB4EFA">
        <w:t>)</w:t>
      </w:r>
      <w:r w:rsidRPr="00FB4EFA">
        <w:t>. 117–147.</w:t>
      </w:r>
    </w:p>
    <w:p w14:paraId="0C60F4F1" w14:textId="08E333A2" w:rsidR="00315E3D" w:rsidRPr="00FB4EFA" w:rsidRDefault="00315E3D" w:rsidP="00AF0CAD">
      <w:pPr>
        <w:keepLines/>
        <w:spacing w:line="240" w:lineRule="auto"/>
        <w:ind w:left="425" w:hanging="425"/>
      </w:pPr>
      <w:r w:rsidRPr="00FB4EFA">
        <w:lastRenderedPageBreak/>
        <w:t>Kloss, Heinz. 1985. Sprache, Nationalität, Volk und andere ethnostatistische Begriffe im Lichte der Kontaktlinguistik. In P</w:t>
      </w:r>
      <w:r w:rsidR="00CB1B20" w:rsidRPr="00FB4EFA">
        <w:t>er</w:t>
      </w:r>
      <w:r w:rsidRPr="00FB4EFA">
        <w:t xml:space="preserve"> Sture Ureland (Hrsg.)</w:t>
      </w:r>
      <w:r w:rsidR="007C5960" w:rsidRPr="00FB4EFA">
        <w:t>,</w:t>
      </w:r>
      <w:r w:rsidRPr="00FB4EFA">
        <w:t xml:space="preserve"> </w:t>
      </w:r>
      <w:r w:rsidRPr="00FB4EFA">
        <w:rPr>
          <w:i/>
        </w:rPr>
        <w:t>Entstehung von Sprachen und Völkern: glotto- und ethnogenetische Aspekte europäischer Sprachen; Akten d. 6. Symposions über Sprachkontakt in Europa, Mannheim 1984</w:t>
      </w:r>
      <w:r w:rsidR="00CB1B20" w:rsidRPr="00FB4EFA">
        <w:rPr>
          <w:iCs/>
        </w:rPr>
        <w:t>, 209–218</w:t>
      </w:r>
      <w:r w:rsidRPr="00FB4EFA">
        <w:t>. Linguistische Arbeiten 162. Tübingen: Niemeyer.</w:t>
      </w:r>
    </w:p>
    <w:p w14:paraId="55BF44C3" w14:textId="6BE2CFA7" w:rsidR="000121EA" w:rsidRPr="00FB4EFA" w:rsidRDefault="00315E3D" w:rsidP="00AF0CAD">
      <w:pPr>
        <w:spacing w:line="240" w:lineRule="auto"/>
        <w:ind w:left="426" w:hanging="426"/>
      </w:pPr>
      <w:r w:rsidRPr="00FB4EFA">
        <w:t>Kolomej</w:t>
      </w:r>
      <w:r w:rsidRPr="00FB4EFA">
        <w:rPr>
          <w:rFonts w:eastAsia="Noto Sans CJK SC" w:cs="Lohit Devanagari"/>
        </w:rPr>
        <w:t xml:space="preserve">čenko et al. 2015 = </w:t>
      </w:r>
      <w:r w:rsidR="00CF4EE3" w:rsidRPr="00FB4EFA">
        <w:t>М</w:t>
      </w:r>
      <w:r w:rsidR="00770CB4" w:rsidRPr="00FB4EFA">
        <w:t>.</w:t>
      </w:r>
      <w:r w:rsidR="00CF4EE3" w:rsidRPr="00FB4EFA">
        <w:t xml:space="preserve">И. </w:t>
      </w:r>
      <w:r w:rsidRPr="00FB4EFA">
        <w:t>Коломейченко, И</w:t>
      </w:r>
      <w:r w:rsidR="00770CB4" w:rsidRPr="00FB4EFA">
        <w:t>.</w:t>
      </w:r>
      <w:r w:rsidRPr="00FB4EFA">
        <w:t>В. Поляков, А</w:t>
      </w:r>
      <w:r w:rsidR="00770CB4" w:rsidRPr="00FB4EFA">
        <w:t>.</w:t>
      </w:r>
      <w:r w:rsidRPr="00FB4EFA">
        <w:t>А. Чеповский &amp; А</w:t>
      </w:r>
      <w:r w:rsidR="00770CB4" w:rsidRPr="00FB4EFA">
        <w:t>.</w:t>
      </w:r>
      <w:r w:rsidRPr="00FB4EFA">
        <w:t xml:space="preserve">М. Чеповский. О хранении графа социальной сети. In </w:t>
      </w:r>
      <w:r w:rsidRPr="00FB4EFA">
        <w:rPr>
          <w:i/>
        </w:rPr>
        <w:t>Международная конференция CPT2015, 1</w:t>
      </w:r>
      <w:r w:rsidR="00C65823" w:rsidRPr="00FB4EFA">
        <w:rPr>
          <w:i/>
        </w:rPr>
        <w:t>0–1</w:t>
      </w:r>
      <w:r w:rsidRPr="00FB4EFA">
        <w:rPr>
          <w:i/>
        </w:rPr>
        <w:t xml:space="preserve">7 мая 2015, Ларнака, Кипр; </w:t>
      </w:r>
      <w:r w:rsidR="00C65823" w:rsidRPr="00FB4EFA">
        <w:rPr>
          <w:i/>
        </w:rPr>
        <w:t>1–3</w:t>
      </w:r>
      <w:r w:rsidRPr="00FB4EFA">
        <w:rPr>
          <w:i/>
        </w:rPr>
        <w:t xml:space="preserve"> июля 2015. </w:t>
      </w:r>
      <w:r w:rsidRPr="00FB4EFA">
        <w:t>ЦарьГрад, Моск. обл.: Изд. ИФТИ.</w:t>
      </w:r>
    </w:p>
    <w:p w14:paraId="11BD4E9C" w14:textId="3B2C8A19" w:rsidR="00315E3D" w:rsidRPr="00FB4EFA" w:rsidRDefault="00315E3D" w:rsidP="00AF0CAD">
      <w:pPr>
        <w:spacing w:line="240" w:lineRule="auto"/>
        <w:ind w:left="426" w:hanging="426"/>
      </w:pPr>
      <w:r w:rsidRPr="00FB4EFA">
        <w:t xml:space="preserve">Korjakov 2017 = </w:t>
      </w:r>
      <w:r w:rsidR="00CF4EE3" w:rsidRPr="00FB4EFA">
        <w:t>Ю</w:t>
      </w:r>
      <w:r w:rsidR="00770CB4" w:rsidRPr="00FB4EFA">
        <w:t>.</w:t>
      </w:r>
      <w:r w:rsidR="00CF4EE3" w:rsidRPr="00FB4EFA">
        <w:t xml:space="preserve">Б. </w:t>
      </w:r>
      <w:r w:rsidRPr="00FB4EFA">
        <w:t>Коряков</w:t>
      </w:r>
      <w:r w:rsidR="00CF4EE3" w:rsidRPr="00FB4EFA">
        <w:t>.</w:t>
      </w:r>
      <w:r w:rsidRPr="00FB4EFA">
        <w:t xml:space="preserve"> Проблема «язык или диалект» и попытка лексикостатистического подхода. </w:t>
      </w:r>
      <w:r w:rsidRPr="00FB4EFA">
        <w:rPr>
          <w:i/>
        </w:rPr>
        <w:t>Вопросы Языкознания</w:t>
      </w:r>
      <w:r w:rsidRPr="00FB4EFA">
        <w:t xml:space="preserve"> 6</w:t>
      </w:r>
      <w:r w:rsidR="00F951D0" w:rsidRPr="00FB4EFA">
        <w:t>.</w:t>
      </w:r>
      <w:r w:rsidRPr="00FB4EFA">
        <w:t xml:space="preserve"> 79–101.</w:t>
      </w:r>
    </w:p>
    <w:p w14:paraId="267D6175" w14:textId="40CDC4E5" w:rsidR="00315E3D" w:rsidRPr="00FB4EFA" w:rsidRDefault="00315E3D" w:rsidP="00AF0CAD">
      <w:pPr>
        <w:spacing w:line="240" w:lineRule="auto"/>
        <w:ind w:left="426" w:hanging="426"/>
      </w:pPr>
      <w:r w:rsidRPr="00FB4EFA">
        <w:t>Korjakov 201</w:t>
      </w:r>
      <w:r w:rsidR="00567824" w:rsidRPr="00FB4EFA">
        <w:t>8</w:t>
      </w:r>
      <w:r w:rsidRPr="00FB4EFA">
        <w:t xml:space="preserve"> = </w:t>
      </w:r>
      <w:r w:rsidR="00CF4EE3" w:rsidRPr="00FB4EFA">
        <w:t>Ю</w:t>
      </w:r>
      <w:r w:rsidR="00770CB4" w:rsidRPr="00FB4EFA">
        <w:t>.</w:t>
      </w:r>
      <w:r w:rsidR="00CF4EE3" w:rsidRPr="00FB4EFA">
        <w:t xml:space="preserve">Б. </w:t>
      </w:r>
      <w:r w:rsidRPr="00FB4EFA">
        <w:t xml:space="preserve">Коряков. Проблема «язык или диалект» и самодийские языки. </w:t>
      </w:r>
      <w:r w:rsidRPr="00FB4EFA">
        <w:rPr>
          <w:i/>
        </w:rPr>
        <w:t>Урало-алтайские исследования</w:t>
      </w:r>
      <w:r w:rsidRPr="00FB4EFA">
        <w:t xml:space="preserve"> 4 (31). 156–217.</w:t>
      </w:r>
    </w:p>
    <w:p w14:paraId="3310947B" w14:textId="505C880F" w:rsidR="00315E3D" w:rsidRPr="00FB4EFA" w:rsidRDefault="00315E3D" w:rsidP="00AF0CAD">
      <w:pPr>
        <w:spacing w:line="240" w:lineRule="auto"/>
        <w:ind w:left="425" w:hanging="425"/>
      </w:pPr>
      <w:r w:rsidRPr="00FB4EFA">
        <w:t xml:space="preserve">Kubitsch, Rebeka &amp; Zoltán Németh. 2020. Evidential forms as politeness strategies in Udmurt from a pluricentric point of view. In Rudolf Muhr, Josep Angel Mas Castells &amp; Jack Rueter (Hrsg.), </w:t>
      </w:r>
      <w:r w:rsidRPr="00FB4EFA">
        <w:rPr>
          <w:i/>
        </w:rPr>
        <w:t>European Pluricentric Languages in Contact and Conflict</w:t>
      </w:r>
      <w:r w:rsidR="00567824" w:rsidRPr="00FB4EFA">
        <w:rPr>
          <w:iCs/>
        </w:rPr>
        <w:t>, 207–220</w:t>
      </w:r>
      <w:r w:rsidRPr="00FB4EFA">
        <w:t xml:space="preserve">. </w:t>
      </w:r>
      <w:r w:rsidR="00567824" w:rsidRPr="00FB4EFA">
        <w:t xml:space="preserve">Österreichisches Deutsch – Sprache der Gegenwart 21. </w:t>
      </w:r>
      <w:r w:rsidRPr="00FB4EFA">
        <w:t>Berlin: Peter Lang.</w:t>
      </w:r>
    </w:p>
    <w:p w14:paraId="1E1CF765" w14:textId="307451C7" w:rsidR="00315E3D" w:rsidRPr="00FB4EFA" w:rsidRDefault="00315E3D" w:rsidP="00AF0CAD">
      <w:pPr>
        <w:spacing w:line="240" w:lineRule="auto"/>
        <w:ind w:left="426" w:hanging="426"/>
      </w:pPr>
      <w:r w:rsidRPr="00FB4EFA">
        <w:t xml:space="preserve">Laakso, Johanna &amp; Elena Skribnik. 2022. Graphization and orthographies of Uralic minority languages. In </w:t>
      </w:r>
      <w:r w:rsidR="00CB1B20" w:rsidRPr="00FB4EFA">
        <w:t xml:space="preserve">Marianne </w:t>
      </w:r>
      <w:r w:rsidRPr="00FB4EFA">
        <w:t>Bakró-Nagy, Johanna Laakso &amp; Elena Skribnik (Hrsg.)</w:t>
      </w:r>
      <w:r w:rsidR="00CB1B20" w:rsidRPr="00FB4EFA">
        <w:t>,</w:t>
      </w:r>
      <w:r w:rsidRPr="00FB4EFA">
        <w:t xml:space="preserve"> </w:t>
      </w:r>
      <w:r w:rsidR="001E161A" w:rsidRPr="00FB4EFA">
        <w:rPr>
          <w:i/>
          <w:iCs/>
          <w:lang w:val="en-GB" w:eastAsia="en-GB"/>
        </w:rPr>
        <w:t>The Oxford Guide to the Uralic Languages</w:t>
      </w:r>
      <w:r w:rsidR="002302FA" w:rsidRPr="00FB4EFA">
        <w:rPr>
          <w:lang w:val="en-GB" w:eastAsia="en-GB"/>
        </w:rPr>
        <w:t>, 91–100</w:t>
      </w:r>
      <w:r w:rsidRPr="00FB4EFA">
        <w:t xml:space="preserve">. Oxford: </w:t>
      </w:r>
      <w:r w:rsidR="001E161A" w:rsidRPr="00FB4EFA">
        <w:t xml:space="preserve">Oxford </w:t>
      </w:r>
      <w:r w:rsidRPr="00FB4EFA">
        <w:t>University Press.</w:t>
      </w:r>
    </w:p>
    <w:p w14:paraId="584BA6D2" w14:textId="2F151352" w:rsidR="00315E3D" w:rsidRPr="00FB4EFA" w:rsidRDefault="00315E3D" w:rsidP="00AF0CAD">
      <w:pPr>
        <w:spacing w:line="240" w:lineRule="auto"/>
        <w:ind w:left="426" w:hanging="426"/>
      </w:pPr>
      <w:r w:rsidRPr="00FB4EFA">
        <w:rPr>
          <w:i/>
          <w:iCs/>
        </w:rPr>
        <w:t>Liste der anerkannten Minderheiten 2000</w:t>
      </w:r>
      <w:r w:rsidRPr="00FB4EFA">
        <w:t xml:space="preserve">. </w:t>
      </w:r>
      <w:hyperlink r:id="rId381" w:history="1">
        <w:r w:rsidR="00592482" w:rsidRPr="00FB4EFA">
          <w:rPr>
            <w:u w:val="single"/>
          </w:rPr>
          <w:t>docs.cntd.ru/document/</w:t>
        </w:r>
        <w:r w:rsidR="00592482" w:rsidRPr="00FB4EFA">
          <w:rPr>
            <w:u w:val="single"/>
          </w:rPr>
          <w:br/>
          <w:t>901757631?marker=6580IP</w:t>
        </w:r>
      </w:hyperlink>
      <w:r w:rsidR="004F468E" w:rsidRPr="00FB4EFA">
        <w:t>.</w:t>
      </w:r>
    </w:p>
    <w:p w14:paraId="694BAAEA" w14:textId="411DBB9A" w:rsidR="00315E3D" w:rsidRPr="00FB4EFA" w:rsidRDefault="00315E3D" w:rsidP="00AF0CAD">
      <w:pPr>
        <w:spacing w:line="240" w:lineRule="auto"/>
        <w:ind w:left="426" w:hanging="426"/>
      </w:pPr>
      <w:r w:rsidRPr="00FB4EFA">
        <w:t xml:space="preserve">Newman, Paul. 2009. Fieldwork and field methods in linguistics. </w:t>
      </w:r>
      <w:r w:rsidRPr="00FB4EFA">
        <w:rPr>
          <w:i/>
          <w:iCs/>
        </w:rPr>
        <w:t>Language Documentation &amp; Conservation</w:t>
      </w:r>
      <w:r w:rsidRPr="00FB4EFA">
        <w:t xml:space="preserve"> 3</w:t>
      </w:r>
      <w:r w:rsidR="00F951D0" w:rsidRPr="00FB4EFA">
        <w:t xml:space="preserve"> (</w:t>
      </w:r>
      <w:r w:rsidRPr="00FB4EFA">
        <w:t>1</w:t>
      </w:r>
      <w:r w:rsidR="00F951D0" w:rsidRPr="00FB4EFA">
        <w:t>)</w:t>
      </w:r>
      <w:r w:rsidRPr="00FB4EFA">
        <w:t>. 113–125.</w:t>
      </w:r>
    </w:p>
    <w:p w14:paraId="16E8D10A" w14:textId="77777777" w:rsidR="00315E3D" w:rsidRPr="00FB4EFA" w:rsidRDefault="00315E3D" w:rsidP="00AF0CAD">
      <w:pPr>
        <w:spacing w:line="240" w:lineRule="auto"/>
        <w:ind w:left="426" w:hanging="426"/>
      </w:pPr>
      <w:r w:rsidRPr="00FB4EFA">
        <w:t xml:space="preserve">Orekhov, Boris, Lyudmila Zaydelman, Irina Krylova, I. Popov &amp; E. Stepanova. 2016. Russian Minority Languages on the Web: Descriptive Statistics. In </w:t>
      </w:r>
      <w:r w:rsidRPr="00FB4EFA">
        <w:rPr>
          <w:i/>
        </w:rPr>
        <w:t>Proceedings of the Annual International Conference “Dialogue” (2016) – Computational Linguistics and Intellectual Technologies</w:t>
      </w:r>
      <w:r w:rsidRPr="00FB4EFA">
        <w:t>, 498–508. Moscow: RSUH.</w:t>
      </w:r>
    </w:p>
    <w:p w14:paraId="7CA83409" w14:textId="5C87D1E4" w:rsidR="00315E3D" w:rsidRPr="00FB4EFA" w:rsidRDefault="00315E3D" w:rsidP="00AF0CAD">
      <w:pPr>
        <w:spacing w:line="240" w:lineRule="auto"/>
        <w:ind w:left="426" w:hanging="426"/>
      </w:pPr>
      <w:r w:rsidRPr="00FB4EFA">
        <w:t xml:space="preserve">Phillipson, Robert &amp; Tove Skutnabb-Kangas. 1995. Linguistic Rights and Wrongs. </w:t>
      </w:r>
      <w:r w:rsidRPr="00FB4EFA">
        <w:rPr>
          <w:i/>
        </w:rPr>
        <w:t>Applied Linguistics</w:t>
      </w:r>
      <w:r w:rsidRPr="00FB4EFA">
        <w:t xml:space="preserve"> 16</w:t>
      </w:r>
      <w:r w:rsidR="001E161A" w:rsidRPr="00FB4EFA">
        <w:t xml:space="preserve"> (</w:t>
      </w:r>
      <w:r w:rsidRPr="00FB4EFA">
        <w:t>4</w:t>
      </w:r>
      <w:r w:rsidR="001E161A" w:rsidRPr="00FB4EFA">
        <w:t>)</w:t>
      </w:r>
      <w:r w:rsidRPr="00FB4EFA">
        <w:t>. 483–504.</w:t>
      </w:r>
    </w:p>
    <w:p w14:paraId="5BE14171" w14:textId="0612CFCA" w:rsidR="00315E3D" w:rsidRPr="00FB4EFA" w:rsidRDefault="00315E3D" w:rsidP="00AF0CAD">
      <w:pPr>
        <w:spacing w:line="240" w:lineRule="auto"/>
        <w:ind w:left="426" w:hanging="426"/>
      </w:pPr>
      <w:r w:rsidRPr="00FB4EFA">
        <w:t xml:space="preserve">Pischlöger 2013 = </w:t>
      </w:r>
      <w:r w:rsidR="00567824" w:rsidRPr="00FB4EFA">
        <w:t xml:space="preserve">Кристиан </w:t>
      </w:r>
      <w:r w:rsidRPr="00FB4EFA">
        <w:t>Пишлёгер</w:t>
      </w:r>
      <w:r w:rsidR="00567824" w:rsidRPr="00FB4EFA">
        <w:t>.</w:t>
      </w:r>
      <w:r w:rsidRPr="00FB4EFA">
        <w:t xml:space="preserve"> Бесермяне в интернете: социальные сети как шанс для сохранения родного языка? In Е.А. Ягафова (Hrsg.)</w:t>
      </w:r>
      <w:r w:rsidR="001E161A" w:rsidRPr="00FB4EFA">
        <w:t>,</w:t>
      </w:r>
      <w:r w:rsidRPr="00FB4EFA">
        <w:rPr>
          <w:rFonts w:ascii="Helvetica Neue;Helvetica;Arial;" w:hAnsi="Helvetica Neue;Helvetica;Arial;"/>
          <w:i/>
          <w:sz w:val="21"/>
        </w:rPr>
        <w:t xml:space="preserve"> </w:t>
      </w:r>
      <w:r w:rsidRPr="00FB4EFA">
        <w:rPr>
          <w:i/>
        </w:rPr>
        <w:t>Проблемы этнокультурного взаимодействия в Урало-Поволжье: история и современность</w:t>
      </w:r>
      <w:r w:rsidRPr="00FB4EFA">
        <w:t>, 216–19. Самара: ПГСГА.</w:t>
      </w:r>
    </w:p>
    <w:p w14:paraId="6B9875C6" w14:textId="77777777" w:rsidR="00315E3D" w:rsidRPr="00FB4EFA" w:rsidRDefault="00315E3D" w:rsidP="00AF0CAD">
      <w:pPr>
        <w:spacing w:line="240" w:lineRule="auto"/>
        <w:ind w:left="426" w:hanging="426"/>
      </w:pPr>
      <w:r w:rsidRPr="00FB4EFA">
        <w:lastRenderedPageBreak/>
        <w:t xml:space="preserve">Pischlöger, Christian. 2014. Udmurtness in Web 2.0: Urban Udmurts resisting language shift. </w:t>
      </w:r>
      <w:r w:rsidRPr="00FB4EFA">
        <w:rPr>
          <w:i/>
        </w:rPr>
        <w:t>Finnisch-Ugrische Mitteilungen</w:t>
      </w:r>
      <w:r w:rsidRPr="00FB4EFA">
        <w:t xml:space="preserve"> 38. 143–61.</w:t>
      </w:r>
    </w:p>
    <w:p w14:paraId="7FC32D1E" w14:textId="2E46F2A8" w:rsidR="000121EA" w:rsidRPr="00FB4EFA" w:rsidRDefault="00315E3D" w:rsidP="00AF0CAD">
      <w:pPr>
        <w:spacing w:line="240" w:lineRule="auto"/>
        <w:ind w:left="426" w:hanging="426"/>
      </w:pPr>
      <w:r w:rsidRPr="00FB4EFA">
        <w:t>Pischlöger, Christian. 2016. Udmurt on Social Network Sites: A Comparison with the Welsh Case. In Reetta Toivanen &amp; Janne Saarikivi (Hrsg.)</w:t>
      </w:r>
      <w:r w:rsidR="001E161A" w:rsidRPr="00FB4EFA">
        <w:t>,</w:t>
      </w:r>
      <w:r w:rsidRPr="00FB4EFA">
        <w:t xml:space="preserve"> </w:t>
      </w:r>
      <w:r w:rsidRPr="00FB4EFA">
        <w:rPr>
          <w:i/>
        </w:rPr>
        <w:t>Linguistic Genocide or Superdiversity?</w:t>
      </w:r>
      <w:r w:rsidRPr="00FB4EFA">
        <w:t>, 108</w:t>
      </w:r>
      <w:bookmarkStart w:id="103" w:name="__DdeLink__985_3187363060"/>
      <w:r w:rsidRPr="00FB4EFA">
        <w:t>–</w:t>
      </w:r>
      <w:bookmarkEnd w:id="103"/>
      <w:r w:rsidRPr="00FB4EFA">
        <w:t xml:space="preserve">132. </w:t>
      </w:r>
      <w:r w:rsidR="008629E6" w:rsidRPr="00FB4EFA">
        <w:rPr>
          <w:rFonts w:cs="Charis SIL"/>
          <w:lang w:val="en-GB"/>
        </w:rPr>
        <w:t xml:space="preserve">Clevedon: </w:t>
      </w:r>
      <w:r w:rsidRPr="00FB4EFA">
        <w:t>Multilingual Matters.</w:t>
      </w:r>
    </w:p>
    <w:p w14:paraId="1F2191DD" w14:textId="115E708B" w:rsidR="00315E3D" w:rsidRPr="00FB4EFA" w:rsidRDefault="00315E3D" w:rsidP="00AF0CAD">
      <w:pPr>
        <w:spacing w:line="240" w:lineRule="auto"/>
        <w:ind w:left="426" w:hanging="426"/>
      </w:pPr>
      <w:r w:rsidRPr="00FB4EFA">
        <w:t xml:space="preserve">Pischlöger 2021 = </w:t>
      </w:r>
      <w:r w:rsidR="00567824" w:rsidRPr="00FB4EFA">
        <w:t xml:space="preserve">Кристиан </w:t>
      </w:r>
      <w:r w:rsidRPr="00FB4EFA">
        <w:t>Пишлёгер</w:t>
      </w:r>
      <w:r w:rsidR="00567824" w:rsidRPr="00FB4EFA">
        <w:t>.</w:t>
      </w:r>
      <w:r w:rsidRPr="00FB4EFA">
        <w:t xml:space="preserve"> Янгыш! Успех удмуртского языка с «ошибками» в интернете. In </w:t>
      </w:r>
      <w:r w:rsidRPr="00FB4EFA">
        <w:rPr>
          <w:i/>
        </w:rPr>
        <w:t>Современная удмуртская культурa. Том II</w:t>
      </w:r>
      <w:r w:rsidRPr="00FB4EFA">
        <w:t>. 89–112. Tallinn: Tallinn University Press.</w:t>
      </w:r>
    </w:p>
    <w:p w14:paraId="65E583C7" w14:textId="7DC3D8AD" w:rsidR="00315E3D" w:rsidRPr="00FB4EFA" w:rsidRDefault="00315E3D" w:rsidP="00AF0CAD">
      <w:pPr>
        <w:keepLines/>
        <w:spacing w:line="240" w:lineRule="auto"/>
        <w:ind w:left="425" w:hanging="425"/>
      </w:pPr>
      <w:r w:rsidRPr="00FB4EFA">
        <w:t xml:space="preserve">Pischlöger 2022 = </w:t>
      </w:r>
      <w:r w:rsidR="00567824" w:rsidRPr="00FB4EFA">
        <w:t xml:space="preserve">Кристиан </w:t>
      </w:r>
      <w:r w:rsidRPr="00FB4EFA">
        <w:t xml:space="preserve">Пишлёгер. Выбор языка и </w:t>
      </w:r>
      <w:r w:rsidRPr="00FB4EFA">
        <w:rPr>
          <w:rFonts w:eastAsia="Arial Unicode MS" w:cs="Arial Unicode MS"/>
          <w:kern w:val="2"/>
          <w:lang w:val="en-US" w:eastAsia="zh-CN" w:bidi="hi-IN"/>
        </w:rPr>
        <w:t xml:space="preserve">стратегии написания в бесермянских группах в Вконтакте. In </w:t>
      </w:r>
      <w:r w:rsidRPr="00FB4EFA">
        <w:rPr>
          <w:rFonts w:eastAsia="Arial Unicode MS" w:cs="Arial Unicode MS"/>
          <w:i/>
          <w:iCs/>
          <w:kern w:val="2"/>
          <w:lang w:val="en-US" w:eastAsia="zh-CN" w:bidi="hi-IN"/>
        </w:rPr>
        <w:t>Электронная письменность народов Российской Федерации – 2021 &amp; IWCLUL 2021: материалы Международной науч.-практ. конф. (23–24 сентября 2021 г., г. Сыктывкар)</w:t>
      </w:r>
      <w:r w:rsidR="002302FA" w:rsidRPr="00FB4EFA">
        <w:rPr>
          <w:rFonts w:eastAsia="Arial Unicode MS" w:cs="Arial Unicode MS"/>
          <w:kern w:val="2"/>
          <w:lang w:val="en-US" w:eastAsia="zh-CN" w:bidi="hi-IN"/>
        </w:rPr>
        <w:t>, 116-132</w:t>
      </w:r>
      <w:r w:rsidRPr="00FB4EFA">
        <w:rPr>
          <w:rFonts w:eastAsia="Arial Unicode MS" w:cs="Arial Unicode MS"/>
          <w:i/>
          <w:iCs/>
          <w:kern w:val="2"/>
          <w:lang w:val="en-US" w:eastAsia="zh-CN" w:bidi="hi-IN"/>
        </w:rPr>
        <w:t xml:space="preserve">. </w:t>
      </w:r>
      <w:r w:rsidRPr="00FB4EFA">
        <w:rPr>
          <w:rFonts w:eastAsia="Arial Unicode MS" w:cs="Arial Unicode MS"/>
          <w:kern w:val="2"/>
          <w:lang w:val="en-US" w:eastAsia="zh-CN" w:bidi="hi-IN"/>
        </w:rPr>
        <w:t>Сыктывкар.</w:t>
      </w:r>
    </w:p>
    <w:p w14:paraId="30FD67D9" w14:textId="1000966F" w:rsidR="00315E3D" w:rsidRPr="00FB4EFA" w:rsidRDefault="00315E3D" w:rsidP="00AF0CAD">
      <w:pPr>
        <w:spacing w:line="240" w:lineRule="auto"/>
        <w:ind w:left="426" w:hanging="426"/>
      </w:pPr>
      <w:r w:rsidRPr="00FB4EFA">
        <w:t xml:space="preserve">Popova 1998 = </w:t>
      </w:r>
      <w:r w:rsidR="00567824" w:rsidRPr="00FB4EFA">
        <w:t>Е</w:t>
      </w:r>
      <w:r w:rsidR="00770CB4" w:rsidRPr="00FB4EFA">
        <w:t>.</w:t>
      </w:r>
      <w:r w:rsidR="00567824" w:rsidRPr="00FB4EFA">
        <w:t>В</w:t>
      </w:r>
      <w:r w:rsidR="00770CB4" w:rsidRPr="00FB4EFA">
        <w:t>.</w:t>
      </w:r>
      <w:r w:rsidR="00567824" w:rsidRPr="00FB4EFA">
        <w:t xml:space="preserve"> </w:t>
      </w:r>
      <w:r w:rsidRPr="00FB4EFA">
        <w:t>Попова</w:t>
      </w:r>
      <w:r w:rsidR="00567824" w:rsidRPr="00FB4EFA">
        <w:t>.</w:t>
      </w:r>
      <w:r w:rsidRPr="00FB4EFA">
        <w:t xml:space="preserve"> 1998. </w:t>
      </w:r>
      <w:r w:rsidRPr="00FB4EFA">
        <w:rPr>
          <w:i/>
        </w:rPr>
        <w:t>Семейные обычаи и обряды бесермян: конец XIX-90-е годы XX вв.</w:t>
      </w:r>
      <w:r w:rsidRPr="00FB4EFA">
        <w:t xml:space="preserve"> Ижевск: Удмуртский институт истории, языка и литературы УрО РАН.</w:t>
      </w:r>
    </w:p>
    <w:p w14:paraId="0485C1A8" w14:textId="0046F87F" w:rsidR="00315E3D" w:rsidRPr="00FB4EFA" w:rsidRDefault="00315E3D" w:rsidP="00AF0CAD">
      <w:pPr>
        <w:spacing w:line="240" w:lineRule="auto"/>
        <w:ind w:left="426" w:hanging="426"/>
      </w:pPr>
      <w:r w:rsidRPr="00FB4EFA">
        <w:t xml:space="preserve">Popova 2011 = </w:t>
      </w:r>
      <w:r w:rsidR="00567824" w:rsidRPr="00FB4EFA">
        <w:t>Е</w:t>
      </w:r>
      <w:r w:rsidR="00770CB4" w:rsidRPr="00FB4EFA">
        <w:t>.</w:t>
      </w:r>
      <w:r w:rsidR="00567824" w:rsidRPr="00FB4EFA">
        <w:t>В</w:t>
      </w:r>
      <w:r w:rsidR="00770CB4" w:rsidRPr="00FB4EFA">
        <w:t>.</w:t>
      </w:r>
      <w:r w:rsidR="00567824" w:rsidRPr="00FB4EFA">
        <w:t xml:space="preserve"> </w:t>
      </w:r>
      <w:r w:rsidRPr="00FB4EFA">
        <w:t>Попова</w:t>
      </w:r>
      <w:r w:rsidR="00567824" w:rsidRPr="00FB4EFA">
        <w:t>.</w:t>
      </w:r>
      <w:r w:rsidRPr="00FB4EFA">
        <w:t xml:space="preserve"> Бесермяне: проблемы статистического учета. In </w:t>
      </w:r>
      <w:r w:rsidR="002302FA" w:rsidRPr="00FB4EFA">
        <w:t>В.</w:t>
      </w:r>
      <w:r w:rsidRPr="00FB4EFA">
        <w:t>В. Степанов (Hrsg.)</w:t>
      </w:r>
      <w:r w:rsidR="00CB1B20" w:rsidRPr="00FB4EFA">
        <w:t>,</w:t>
      </w:r>
      <w:r w:rsidRPr="00FB4EFA">
        <w:t xml:space="preserve"> </w:t>
      </w:r>
      <w:r w:rsidRPr="00FB4EFA">
        <w:rPr>
          <w:i/>
        </w:rPr>
        <w:t>Этнологический мониторинг переписи населения</w:t>
      </w:r>
      <w:r w:rsidR="00CB1B20" w:rsidRPr="00FB4EFA">
        <w:rPr>
          <w:iCs/>
        </w:rPr>
        <w:t xml:space="preserve">, </w:t>
      </w:r>
      <w:r w:rsidR="00CB1B20" w:rsidRPr="00FB4EFA">
        <w:t>170–179</w:t>
      </w:r>
      <w:r w:rsidRPr="00FB4EFA">
        <w:t>. Москва: Институт этнологии и антропологии РАН.</w:t>
      </w:r>
    </w:p>
    <w:p w14:paraId="1A630AFF" w14:textId="5F3CF47D" w:rsidR="00315E3D" w:rsidRPr="00FB4EFA" w:rsidRDefault="00315E3D" w:rsidP="00AF0CAD">
      <w:pPr>
        <w:spacing w:line="240" w:lineRule="auto"/>
        <w:ind w:left="426" w:hanging="426"/>
      </w:pPr>
      <w:r w:rsidRPr="00FB4EFA">
        <w:rPr>
          <w:i/>
          <w:iCs/>
        </w:rPr>
        <w:t>Russlandweite Volkszählung 2002</w:t>
      </w:r>
      <w:r w:rsidRPr="00FB4EFA">
        <w:t xml:space="preserve">. </w:t>
      </w:r>
      <w:hyperlink r:id="rId382" w:history="1">
        <w:r w:rsidR="00592482" w:rsidRPr="00FB4EFA">
          <w:rPr>
            <w:u w:val="single"/>
          </w:rPr>
          <w:t>www.perepis2002.ru/</w:t>
        </w:r>
        <w:r w:rsidR="00592482" w:rsidRPr="00FB4EFA">
          <w:rPr>
            <w:u w:val="single"/>
          </w:rPr>
          <w:br/>
          <w:t>index.html?id=11</w:t>
        </w:r>
      </w:hyperlink>
      <w:r w:rsidR="004F468E" w:rsidRPr="00FB4EFA">
        <w:t>.</w:t>
      </w:r>
    </w:p>
    <w:p w14:paraId="64A99E9E" w14:textId="7D86E60D" w:rsidR="00315E3D" w:rsidRPr="00FB4EFA" w:rsidRDefault="00315E3D" w:rsidP="00AF0CAD">
      <w:pPr>
        <w:spacing w:line="240" w:lineRule="auto"/>
        <w:ind w:left="426" w:hanging="426"/>
      </w:pPr>
      <w:r w:rsidRPr="00FB4EFA">
        <w:rPr>
          <w:i/>
          <w:iCs/>
        </w:rPr>
        <w:t>Russlandweite Volkszählung 2010</w:t>
      </w:r>
      <w:r w:rsidRPr="00FB4EFA">
        <w:t xml:space="preserve">. </w:t>
      </w:r>
      <w:hyperlink r:id="rId383" w:history="1">
        <w:r w:rsidR="00592482" w:rsidRPr="00FB4EFA">
          <w:rPr>
            <w:u w:val="single"/>
          </w:rPr>
          <w:t>www.gks.ru/free_doc/new_site/</w:t>
        </w:r>
        <w:r w:rsidR="00592482" w:rsidRPr="00FB4EFA">
          <w:rPr>
            <w:u w:val="single"/>
          </w:rPr>
          <w:br/>
          <w:t>perepis2010/croc/perepis_itogi1612.htm</w:t>
        </w:r>
      </w:hyperlink>
      <w:r w:rsidR="004F468E" w:rsidRPr="00FB4EFA">
        <w:t>.</w:t>
      </w:r>
    </w:p>
    <w:p w14:paraId="5A370643" w14:textId="15C647FE" w:rsidR="00315E3D" w:rsidRPr="00FB4EFA" w:rsidRDefault="00315E3D" w:rsidP="00AF0CAD">
      <w:pPr>
        <w:spacing w:line="240" w:lineRule="auto"/>
        <w:ind w:left="426" w:hanging="426"/>
      </w:pPr>
      <w:r w:rsidRPr="00FB4EFA">
        <w:rPr>
          <w:rFonts w:eastAsia="Noto Sans CJK SC" w:cs="Lohit Devanagari"/>
        </w:rPr>
        <w:t xml:space="preserve">Škljaev 1997a = </w:t>
      </w:r>
      <w:r w:rsidR="00567824" w:rsidRPr="00FB4EFA">
        <w:t>Г</w:t>
      </w:r>
      <w:r w:rsidR="00770CB4" w:rsidRPr="00FB4EFA">
        <w:t>.</w:t>
      </w:r>
      <w:r w:rsidR="00567824" w:rsidRPr="00FB4EFA">
        <w:t xml:space="preserve">К. </w:t>
      </w:r>
      <w:r w:rsidRPr="00FB4EFA">
        <w:t xml:space="preserve">Шкляев. Бесермяне. Опыт этностатистического обследования. In </w:t>
      </w:r>
      <w:r w:rsidR="00A5239C" w:rsidRPr="00FB4EFA">
        <w:t>Г</w:t>
      </w:r>
      <w:r w:rsidR="00770CB4" w:rsidRPr="00FB4EFA">
        <w:t>.</w:t>
      </w:r>
      <w:r w:rsidR="00A5239C" w:rsidRPr="00FB4EFA">
        <w:t xml:space="preserve">К. </w:t>
      </w:r>
      <w:r w:rsidRPr="00FB4EFA">
        <w:t>Шкляев (Hrsg.)</w:t>
      </w:r>
      <w:r w:rsidR="00CB1B20" w:rsidRPr="00FB4EFA">
        <w:t>,</w:t>
      </w:r>
      <w:r w:rsidRPr="00FB4EFA">
        <w:t xml:space="preserve"> </w:t>
      </w:r>
      <w:r w:rsidRPr="00FB4EFA">
        <w:rPr>
          <w:i/>
        </w:rPr>
        <w:t>О бесермянах: сборник статей</w:t>
      </w:r>
      <w:r w:rsidR="00CB1B20" w:rsidRPr="00FB4EFA">
        <w:t>,</w:t>
      </w:r>
      <w:r w:rsidRPr="00FB4EFA">
        <w:t xml:space="preserve"> 110–120. Ижевск: Российская академия наук, Уральское отделение, Удмуртский институт истории, языка и литературы.</w:t>
      </w:r>
    </w:p>
    <w:p w14:paraId="0BF823A4" w14:textId="6E0EAD55" w:rsidR="00315E3D" w:rsidRPr="00FB4EFA" w:rsidRDefault="00315E3D" w:rsidP="00AF0CAD">
      <w:pPr>
        <w:keepLines/>
        <w:spacing w:line="240" w:lineRule="auto"/>
        <w:ind w:left="425" w:hanging="425"/>
      </w:pPr>
      <w:r w:rsidRPr="00FB4EFA">
        <w:rPr>
          <w:rFonts w:eastAsia="Noto Sans CJK SC" w:cs="Lohit Devanagari"/>
        </w:rPr>
        <w:t xml:space="preserve">Škljaev 1997b = </w:t>
      </w:r>
      <w:r w:rsidR="00567824" w:rsidRPr="00FB4EFA">
        <w:t>Г</w:t>
      </w:r>
      <w:r w:rsidR="00770CB4" w:rsidRPr="00FB4EFA">
        <w:t>.</w:t>
      </w:r>
      <w:r w:rsidR="00567824" w:rsidRPr="00FB4EFA">
        <w:t xml:space="preserve">К. </w:t>
      </w:r>
      <w:r w:rsidR="00A5239C" w:rsidRPr="00FB4EFA">
        <w:t xml:space="preserve">Шкляев. </w:t>
      </w:r>
      <w:r w:rsidRPr="00FB4EFA">
        <w:t xml:space="preserve">Приложение 2. In </w:t>
      </w:r>
      <w:r w:rsidR="00A5239C" w:rsidRPr="00FB4EFA">
        <w:t>Г</w:t>
      </w:r>
      <w:r w:rsidR="00770CB4" w:rsidRPr="00FB4EFA">
        <w:t>.</w:t>
      </w:r>
      <w:r w:rsidR="00A5239C" w:rsidRPr="00FB4EFA">
        <w:t xml:space="preserve">К. </w:t>
      </w:r>
      <w:r w:rsidRPr="00FB4EFA">
        <w:t>Шкляев</w:t>
      </w:r>
      <w:r w:rsidR="00A5239C" w:rsidRPr="00FB4EFA">
        <w:t xml:space="preserve"> </w:t>
      </w:r>
      <w:r w:rsidRPr="00FB4EFA">
        <w:t>(Hrsg.)</w:t>
      </w:r>
      <w:r w:rsidR="00CB1B20" w:rsidRPr="00FB4EFA">
        <w:t>,</w:t>
      </w:r>
      <w:r w:rsidRPr="00FB4EFA">
        <w:t xml:space="preserve"> </w:t>
      </w:r>
      <w:r w:rsidRPr="00FB4EFA">
        <w:rPr>
          <w:i/>
        </w:rPr>
        <w:t>О бесермянах: сборник статей</w:t>
      </w:r>
      <w:r w:rsidR="00CB1B20" w:rsidRPr="00FB4EFA">
        <w:t>,</w:t>
      </w:r>
      <w:r w:rsidRPr="00FB4EFA">
        <w:t xml:space="preserve"> 132–138. Ижевск: Российская академия наук, Уральское отделение, Удмуртский институт истории, языка и литературы.</w:t>
      </w:r>
    </w:p>
    <w:p w14:paraId="497C0240" w14:textId="74091288" w:rsidR="00315E3D" w:rsidRPr="00FB4EFA" w:rsidRDefault="00315E3D" w:rsidP="00AF0CAD">
      <w:pPr>
        <w:spacing w:line="240" w:lineRule="auto"/>
        <w:ind w:left="426" w:hanging="426"/>
      </w:pPr>
      <w:r w:rsidRPr="00FB4EFA">
        <w:t xml:space="preserve">Tepljašina 1970 = </w:t>
      </w:r>
      <w:r w:rsidR="00AC69C9" w:rsidRPr="00FB4EFA">
        <w:t xml:space="preserve">Т.И. </w:t>
      </w:r>
      <w:r w:rsidRPr="00FB4EFA">
        <w:t>Тепляшина</w:t>
      </w:r>
      <w:r w:rsidR="00AC69C9" w:rsidRPr="00FB4EFA">
        <w:t>.</w:t>
      </w:r>
      <w:r w:rsidRPr="00FB4EFA">
        <w:t xml:space="preserve"> </w:t>
      </w:r>
      <w:r w:rsidRPr="00FB4EFA">
        <w:rPr>
          <w:i/>
        </w:rPr>
        <w:t>Язык бесермян</w:t>
      </w:r>
      <w:r w:rsidRPr="00FB4EFA">
        <w:t>. Москва: Наука.</w:t>
      </w:r>
    </w:p>
    <w:p w14:paraId="356F2984" w14:textId="0419C175" w:rsidR="00315E3D" w:rsidRPr="00FB4EFA" w:rsidRDefault="00315E3D" w:rsidP="00AF0CAD">
      <w:pPr>
        <w:spacing w:line="240" w:lineRule="auto"/>
        <w:ind w:left="426" w:hanging="426"/>
      </w:pPr>
      <w:r w:rsidRPr="00FB4EFA">
        <w:t>Usacheva, Maria</w:t>
      </w:r>
      <w:r w:rsidR="00AC69C9" w:rsidRPr="00FB4EFA">
        <w:t xml:space="preserve"> &amp;</w:t>
      </w:r>
      <w:r w:rsidRPr="00FB4EFA">
        <w:t xml:space="preserve"> Timofey Arkhangelskiy. 2017. Grammaticalization of New Cases in Beserman Udmurt. </w:t>
      </w:r>
      <w:r w:rsidRPr="00FB4EFA">
        <w:rPr>
          <w:i/>
        </w:rPr>
        <w:t>Linguistica Uralica</w:t>
      </w:r>
      <w:r w:rsidRPr="00FB4EFA">
        <w:t xml:space="preserve"> 53</w:t>
      </w:r>
      <w:r w:rsidR="00F951D0" w:rsidRPr="00FB4EFA">
        <w:t xml:space="preserve"> (</w:t>
      </w:r>
      <w:r w:rsidRPr="00FB4EFA">
        <w:t>1</w:t>
      </w:r>
      <w:r w:rsidR="00F951D0" w:rsidRPr="00FB4EFA">
        <w:t>).</w:t>
      </w:r>
      <w:r w:rsidRPr="00FB4EFA">
        <w:t xml:space="preserve"> 27–48.</w:t>
      </w:r>
    </w:p>
    <w:p w14:paraId="028F8849" w14:textId="7C18FB6E" w:rsidR="000121EA" w:rsidRPr="00FB4EFA" w:rsidRDefault="00315E3D" w:rsidP="00AF0CAD">
      <w:pPr>
        <w:spacing w:line="240" w:lineRule="auto"/>
        <w:ind w:left="426" w:hanging="426"/>
      </w:pPr>
      <w:r w:rsidRPr="00FB4EFA">
        <w:t>Usa</w:t>
      </w:r>
      <w:r w:rsidRPr="00FB4EFA">
        <w:rPr>
          <w:rFonts w:eastAsia="Noto Sans CJK SC" w:cs="Lohit Devanagari"/>
        </w:rPr>
        <w:t xml:space="preserve">čeva et al. 2017 = </w:t>
      </w:r>
      <w:r w:rsidR="00AC69C9" w:rsidRPr="00FB4EFA">
        <w:t>М</w:t>
      </w:r>
      <w:r w:rsidR="00770CB4" w:rsidRPr="00FB4EFA">
        <w:t>.</w:t>
      </w:r>
      <w:r w:rsidR="00AC69C9" w:rsidRPr="00FB4EFA">
        <w:t xml:space="preserve">Н. </w:t>
      </w:r>
      <w:r w:rsidRPr="00FB4EFA">
        <w:t>Усачева, Т</w:t>
      </w:r>
      <w:r w:rsidR="00770CB4" w:rsidRPr="00FB4EFA">
        <w:t>.</w:t>
      </w:r>
      <w:r w:rsidRPr="00FB4EFA">
        <w:t>А. Архангельский, О</w:t>
      </w:r>
      <w:r w:rsidR="00770CB4" w:rsidRPr="00FB4EFA">
        <w:t>.</w:t>
      </w:r>
      <w:r w:rsidRPr="00FB4EFA">
        <w:t>Л. Бирюк, В</w:t>
      </w:r>
      <w:r w:rsidR="00770CB4" w:rsidRPr="00FB4EFA">
        <w:t>.</w:t>
      </w:r>
      <w:r w:rsidRPr="00FB4EFA">
        <w:t>А. Иванов &amp; Р</w:t>
      </w:r>
      <w:r w:rsidR="00770CB4" w:rsidRPr="00FB4EFA">
        <w:t>.</w:t>
      </w:r>
      <w:r w:rsidRPr="00FB4EFA">
        <w:t xml:space="preserve">И. Идрисов. </w:t>
      </w:r>
      <w:r w:rsidRPr="00FB4EFA">
        <w:rPr>
          <w:i/>
        </w:rPr>
        <w:t>Тезаурус бесермянского наречия: Имена и служебныечасти речи (говор деревни Шамардан)</w:t>
      </w:r>
      <w:r w:rsidRPr="00FB4EFA">
        <w:t>. Москва: Издательские решения.</w:t>
      </w:r>
    </w:p>
    <w:p w14:paraId="6A4FAD3A" w14:textId="78DE9CF7" w:rsidR="00315E3D" w:rsidRPr="00FB4EFA" w:rsidRDefault="00315E3D" w:rsidP="00AF0CAD">
      <w:pPr>
        <w:keepLines/>
        <w:spacing w:line="240" w:lineRule="auto"/>
        <w:ind w:left="425" w:hanging="425"/>
      </w:pPr>
      <w:r w:rsidRPr="00FB4EFA">
        <w:lastRenderedPageBreak/>
        <w:t>Wagner, Melanie. 2013. Luxembourgish on Facebook: Language Ideologies and Writing Strategies. In Elin Haf Gruffydd Jones &amp; Enrique Uribe-Jongbloed (Hrsg.)</w:t>
      </w:r>
      <w:r w:rsidR="007C5960" w:rsidRPr="00FB4EFA">
        <w:t>,</w:t>
      </w:r>
      <w:r w:rsidRPr="00FB4EFA">
        <w:t xml:space="preserve"> </w:t>
      </w:r>
      <w:r w:rsidRPr="00FB4EFA">
        <w:rPr>
          <w:i/>
        </w:rPr>
        <w:t>Social Media and Minority Languages: Convergence and the Creative Industries</w:t>
      </w:r>
      <w:r w:rsidR="007C5960" w:rsidRPr="00FB4EFA">
        <w:t>,</w:t>
      </w:r>
      <w:r w:rsidRPr="00FB4EFA">
        <w:t xml:space="preserve"> 87–98. </w:t>
      </w:r>
      <w:r w:rsidR="008629E6" w:rsidRPr="00FB4EFA">
        <w:rPr>
          <w:rFonts w:cs="Charis SIL"/>
          <w:lang w:val="en-GB"/>
        </w:rPr>
        <w:t xml:space="preserve">Clevedon: </w:t>
      </w:r>
      <w:r w:rsidRPr="00FB4EFA">
        <w:t>Multilingual Matters.</w:t>
      </w:r>
    </w:p>
    <w:p w14:paraId="0DB576CB" w14:textId="65DBB185" w:rsidR="00315E3D" w:rsidRPr="00FB4EFA" w:rsidRDefault="00315E3D" w:rsidP="00AF0CAD">
      <w:pPr>
        <w:spacing w:line="240" w:lineRule="auto"/>
        <w:ind w:left="426" w:hanging="426"/>
      </w:pPr>
      <w:r w:rsidRPr="00FB4EFA">
        <w:t>Weinreich, Max.</w:t>
      </w:r>
      <w:r w:rsidR="00484004" w:rsidRPr="00FB4EFA">
        <w:t xml:space="preserve"> 1945.</w:t>
      </w:r>
      <w:r w:rsidRPr="00FB4EFA">
        <w:t xml:space="preserve"> </w:t>
      </w:r>
      <w:r w:rsidRPr="00FB4EFA">
        <w:rPr>
          <w:i/>
          <w:iCs/>
        </w:rPr>
        <w:t>YIVO Bleter</w:t>
      </w:r>
      <w:r w:rsidRPr="00FB4EFA">
        <w:t xml:space="preserve"> (Ausgabe 23). </w:t>
      </w:r>
      <w:hyperlink r:id="rId384" w:history="1">
        <w:r w:rsidR="00434D3F" w:rsidRPr="00FB4EFA">
          <w:rPr>
            <w:u w:val="single"/>
          </w:rPr>
          <w:t>download.hebrewbooks.org/downloadhandler.ashx?req=43629</w:t>
        </w:r>
      </w:hyperlink>
      <w:r w:rsidR="00FE638A" w:rsidRPr="00FB4EFA">
        <w:t>.</w:t>
      </w:r>
    </w:p>
    <w:p w14:paraId="059B12BB" w14:textId="77777777" w:rsidR="00315E3D" w:rsidRPr="00FB4EFA" w:rsidRDefault="00315E3D" w:rsidP="00AF0CAD">
      <w:pPr>
        <w:spacing w:line="240" w:lineRule="auto"/>
        <w:ind w:left="426" w:hanging="426"/>
      </w:pPr>
      <w:r w:rsidRPr="00FB4EFA">
        <w:t xml:space="preserve">Wichmann, Yrjö. 1893. </w:t>
      </w:r>
      <w:r w:rsidRPr="00FB4EFA">
        <w:rPr>
          <w:i/>
          <w:iCs/>
        </w:rPr>
        <w:t>Wotjakische Sprachproben I: Lieder, Gebete und Zaubersprüche</w:t>
      </w:r>
      <w:r w:rsidRPr="00FB4EFA">
        <w:t>. Helsingfors.</w:t>
      </w:r>
    </w:p>
    <w:p w14:paraId="377DBC22" w14:textId="25B3F6FF" w:rsidR="00A96E85" w:rsidRPr="00FB4EFA" w:rsidRDefault="00315E3D" w:rsidP="00AF0CAD">
      <w:pPr>
        <w:spacing w:line="240" w:lineRule="auto"/>
        <w:ind w:left="426" w:hanging="426"/>
      </w:pPr>
      <w:r w:rsidRPr="00FB4EFA">
        <w:t>Wingeder, Monika. 2013. Modell zur Beschreibung von Standardsprachentypen. In Daniel Müller &amp; Monika Wingeder (Hrsg.)</w:t>
      </w:r>
      <w:r w:rsidR="007C5960" w:rsidRPr="00FB4EFA">
        <w:t>,</w:t>
      </w:r>
      <w:r w:rsidRPr="00FB4EFA">
        <w:t xml:space="preserve"> </w:t>
      </w:r>
      <w:r w:rsidRPr="00FB4EFA">
        <w:rPr>
          <w:i/>
          <w:iCs/>
        </w:rPr>
        <w:t>Typen slavischer Standardsprachen. Theoretische, methodische und empirische</w:t>
      </w:r>
      <w:bookmarkStart w:id="104" w:name="__DdeLink__755_139134449"/>
      <w:bookmarkEnd w:id="104"/>
      <w:r w:rsidRPr="00FB4EFA">
        <w:rPr>
          <w:i/>
          <w:iCs/>
        </w:rPr>
        <w:t xml:space="preserve"> Zugänge</w:t>
      </w:r>
      <w:r w:rsidR="007C5960" w:rsidRPr="00FB4EFA">
        <w:t>,</w:t>
      </w:r>
      <w:r w:rsidRPr="00FB4EFA">
        <w:t xml:space="preserve"> 19–38. Wiesbaden: Harrassowitz.</w:t>
      </w:r>
    </w:p>
    <w:p w14:paraId="6DA725E9" w14:textId="77777777" w:rsidR="00A96E85" w:rsidRPr="00FB4EFA" w:rsidRDefault="00A96E85" w:rsidP="00402EF4">
      <w:pPr>
        <w:spacing w:after="160"/>
        <w:jc w:val="center"/>
        <w:rPr>
          <w:smallCaps/>
          <w:sz w:val="48"/>
          <w:szCs w:val="48"/>
        </w:rPr>
        <w:sectPr w:rsidR="00A96E85" w:rsidRPr="00FB4EFA">
          <w:headerReference w:type="even" r:id="rId385"/>
          <w:headerReference w:type="default" r:id="rId386"/>
          <w:headerReference w:type="first" r:id="rId387"/>
          <w:footnotePr>
            <w:numRestart w:val="eachSect"/>
          </w:footnotePr>
          <w:pgSz w:w="9180" w:h="13302"/>
          <w:pgMar w:top="779" w:right="1133" w:bottom="1132" w:left="1133" w:header="744" w:footer="720" w:gutter="0"/>
          <w:cols w:space="720"/>
          <w:titlePg/>
        </w:sectPr>
      </w:pPr>
    </w:p>
    <w:p w14:paraId="40665960" w14:textId="77777777" w:rsidR="00A96E85" w:rsidRPr="00FB4EFA" w:rsidRDefault="00A96E85" w:rsidP="00AF0CAD">
      <w:pPr>
        <w:pStyle w:val="Authors"/>
        <w:spacing w:line="259" w:lineRule="auto"/>
        <w:rPr>
          <w:color w:val="auto"/>
          <w:lang w:val="de-AT"/>
        </w:rPr>
      </w:pPr>
      <w:r w:rsidRPr="00FB4EFA">
        <w:rPr>
          <w:color w:val="auto"/>
          <w:lang w:val="de-AT"/>
        </w:rPr>
        <w:lastRenderedPageBreak/>
        <w:t>Janne Saarikivi</w:t>
      </w:r>
    </w:p>
    <w:p w14:paraId="317F89EC" w14:textId="77777777" w:rsidR="00A96E85" w:rsidRPr="00FB4EFA" w:rsidRDefault="00A96E85" w:rsidP="00402EF4"/>
    <w:p w14:paraId="32603E3F" w14:textId="36BA9FA6" w:rsidR="006C46C9" w:rsidRPr="00FB4EFA" w:rsidRDefault="00A96E85" w:rsidP="00994E2A">
      <w:pPr>
        <w:pStyle w:val="Heading1"/>
        <w:suppressAutoHyphens/>
        <w:spacing w:line="259" w:lineRule="auto"/>
        <w:ind w:right="74"/>
        <w:rPr>
          <w:color w:val="auto"/>
          <w:lang w:val="fi-FI"/>
        </w:rPr>
      </w:pPr>
      <w:bookmarkStart w:id="105" w:name="_Toc87547014"/>
      <w:bookmarkStart w:id="106" w:name="_Ref90999670"/>
      <w:r w:rsidRPr="00FB4EFA">
        <w:rPr>
          <w:color w:val="auto"/>
          <w:lang w:val="fi-FI"/>
        </w:rPr>
        <w:t>Huomioita Agricolan psalttarin esipuheen jumalista ja muusta itämerensuomalaisesta mytologisesta sanastosta</w:t>
      </w:r>
      <w:bookmarkEnd w:id="105"/>
      <w:bookmarkEnd w:id="106"/>
    </w:p>
    <w:p w14:paraId="5F560D4C" w14:textId="246796AE" w:rsidR="006C46C9" w:rsidRPr="00FB4EFA" w:rsidRDefault="006C46C9" w:rsidP="00545033">
      <w:pPr>
        <w:pStyle w:val="Heading2"/>
        <w:numPr>
          <w:ilvl w:val="0"/>
          <w:numId w:val="26"/>
        </w:numPr>
        <w:suppressAutoHyphens/>
        <w:spacing w:line="259" w:lineRule="auto"/>
        <w:rPr>
          <w:color w:val="auto"/>
          <w:lang w:val="fi-FI"/>
        </w:rPr>
      </w:pPr>
      <w:r w:rsidRPr="00FB4EFA">
        <w:rPr>
          <w:color w:val="auto"/>
          <w:lang w:val="fi-FI"/>
        </w:rPr>
        <w:t>Kysymyksenasettelu</w:t>
      </w:r>
    </w:p>
    <w:p w14:paraId="5745E9D8" w14:textId="77777777" w:rsidR="0000782F" w:rsidRPr="00FB4EFA" w:rsidRDefault="0000782F" w:rsidP="00402EF4">
      <w:pPr>
        <w:rPr>
          <w:lang w:val="fi-FI"/>
        </w:rPr>
      </w:pPr>
      <w:r w:rsidRPr="00FB4EFA">
        <w:rPr>
          <w:lang w:val="fi-FI"/>
        </w:rPr>
        <w:t>Artikkelin aiheena ovat suomen kielessä esiintyvät esikristillisten jumalien tai uskomusolentojen nimet alkuperän ja motivaation näkökulmasta. Kyseessä ei ole systemaattinen vaan satunnainen, etten sanoisi jopa juhlakirjamainen esitys. Siitä huolimatta toivon, että esitettävät etymologiat tarjoavat lisiä itämerensuomalaiseen uskontohistoriaan ja sanastontutkimukseen.</w:t>
      </w:r>
    </w:p>
    <w:p w14:paraId="3028F67C" w14:textId="77777777" w:rsidR="0000782F" w:rsidRPr="00FB4EFA" w:rsidRDefault="0000782F" w:rsidP="00AF0CAD">
      <w:pPr>
        <w:ind w:firstLine="709"/>
        <w:rPr>
          <w:lang w:val="fi-FI"/>
        </w:rPr>
      </w:pPr>
      <w:r w:rsidRPr="00FB4EFA">
        <w:rPr>
          <w:lang w:val="fi-FI"/>
        </w:rPr>
        <w:t>Erityisesti esitän seuraavassa, että Agricolan psalttarin esipuheessa mainittujen jumaluuksien nimiä voi selittää itämerensuomalaisina johdoksina ja aikaisemmin attestoimattomina germaanisina lainasanoina. Käsiteltyjen etymologioiden joukossa on sekä uusia (</w:t>
      </w:r>
      <w:r w:rsidRPr="00FB4EFA">
        <w:rPr>
          <w:i/>
          <w:lang w:val="fi-FI"/>
        </w:rPr>
        <w:t>Tapio, Ahti, Väinämöinen</w:t>
      </w:r>
      <w:r w:rsidRPr="00FB4EFA">
        <w:rPr>
          <w:lang w:val="fi-FI"/>
        </w:rPr>
        <w:t>) että aikaisemmin julkaistuja, mutta hylättyjä (</w:t>
      </w:r>
      <w:r w:rsidRPr="00FB4EFA">
        <w:rPr>
          <w:i/>
          <w:lang w:val="fi-FI"/>
        </w:rPr>
        <w:t>Pekko</w:t>
      </w:r>
      <w:r w:rsidRPr="00FB4EFA">
        <w:rPr>
          <w:lang w:val="fi-FI"/>
        </w:rPr>
        <w:t>) tai tarkennettavia (</w:t>
      </w:r>
      <w:r w:rsidRPr="00FB4EFA">
        <w:rPr>
          <w:i/>
          <w:lang w:val="fi-FI"/>
        </w:rPr>
        <w:t>Rahkoi, Turisas, Liekkö, Ilmarinen, Kekri</w:t>
      </w:r>
      <w:r w:rsidRPr="00FB4EFA">
        <w:rPr>
          <w:lang w:val="fi-FI"/>
        </w:rPr>
        <w:t>). Lopuksi esitän eräitä muita etymologisia huomiota koskien mytologista sanastoa (</w:t>
      </w:r>
      <w:r w:rsidRPr="00FB4EFA">
        <w:rPr>
          <w:i/>
          <w:lang w:val="fi-FI"/>
        </w:rPr>
        <w:t>pisa, aurinko</w:t>
      </w:r>
      <w:r w:rsidRPr="00FB4EFA">
        <w:rPr>
          <w:lang w:val="fi-FI"/>
        </w:rPr>
        <w:t>).</w:t>
      </w:r>
    </w:p>
    <w:p w14:paraId="2E84C5EB" w14:textId="20CDEAA9" w:rsidR="0000782F" w:rsidRPr="00FB4EFA" w:rsidRDefault="0000782F" w:rsidP="00545033">
      <w:pPr>
        <w:pStyle w:val="Heading2"/>
        <w:numPr>
          <w:ilvl w:val="0"/>
          <w:numId w:val="26"/>
        </w:numPr>
        <w:suppressAutoHyphens/>
        <w:spacing w:line="259" w:lineRule="auto"/>
        <w:rPr>
          <w:color w:val="auto"/>
          <w:lang w:val="fi-FI"/>
        </w:rPr>
      </w:pPr>
      <w:r w:rsidRPr="00FB4EFA">
        <w:rPr>
          <w:color w:val="auto"/>
          <w:lang w:val="fi-FI"/>
        </w:rPr>
        <w:t>Agricolan psalttarin esipuheessa mainittuja jumaluuksia</w:t>
      </w:r>
    </w:p>
    <w:p w14:paraId="36A99E2A" w14:textId="5368BCE0" w:rsidR="0000782F" w:rsidRPr="00FB4EFA" w:rsidRDefault="0000782F" w:rsidP="00AF0CAD">
      <w:pPr>
        <w:pStyle w:val="Heading3"/>
        <w:numPr>
          <w:ilvl w:val="1"/>
          <w:numId w:val="26"/>
        </w:numPr>
        <w:spacing w:line="259" w:lineRule="auto"/>
        <w:rPr>
          <w:lang w:val="fi-FI"/>
        </w:rPr>
      </w:pPr>
      <w:r w:rsidRPr="00FB4EFA">
        <w:rPr>
          <w:rFonts w:eastAsia="Charis SIL"/>
          <w:lang w:val="fi-FI"/>
        </w:rPr>
        <w:t>Yleistä</w:t>
      </w:r>
    </w:p>
    <w:p w14:paraId="24258A46" w14:textId="181CD804" w:rsidR="0000782F" w:rsidRPr="00FB4EFA" w:rsidRDefault="0000782F" w:rsidP="00402EF4">
      <w:pPr>
        <w:rPr>
          <w:lang w:val="fi-FI"/>
        </w:rPr>
      </w:pPr>
      <w:r w:rsidRPr="00FB4EFA">
        <w:rPr>
          <w:lang w:val="fi-FI"/>
        </w:rPr>
        <w:t>Suomalaisen esikristillisen uskontohistorian keskeisiin lähteisiin kuuluu Agricolan Davidin Psalttarin esipuheen muinaissuomalaisten jumaluuksien luettelo (esim. Siikala 2012: 2</w:t>
      </w:r>
      <w:r w:rsidR="00C65823" w:rsidRPr="00FB4EFA">
        <w:rPr>
          <w:lang w:val="fi-FI"/>
        </w:rPr>
        <w:t>7–2</w:t>
      </w:r>
      <w:r w:rsidRPr="00FB4EFA">
        <w:rPr>
          <w:lang w:val="fi-FI"/>
        </w:rPr>
        <w:t xml:space="preserve">8). Agricola on luetteloa laatiessaan ilmeisesti tavoitellut antiikin maailman panteonin 12-jumalaista järjestelmää. Siksi hän on löytänyt kutakuinkin vastaavan luvun jumalia sekä hämäläisiltä että karjalaisilta. Ilmeistä kuitenkin on, että itämerensuomalaisten uskomusolentojen luettelona psalttarin esipuhe ei ole tyhjentävä, ja että palvotut jumaluudet eivät ole muodostaneet yhtenäistä järjestelmää. Niiden lisäksi on ollut olemassa monia muitakin uskomusolentoja. </w:t>
      </w:r>
      <w:r w:rsidRPr="00FB4EFA">
        <w:rPr>
          <w:lang w:val="fi-FI"/>
        </w:rPr>
        <w:lastRenderedPageBreak/>
        <w:t>Osa niistä esiintyy myöhemmin Gananderin Mythologia Fennicassa (Ganander 1789) ja sittemmin jo modernin tieteellisin menetelmin attestoidussa kansanperinteessä.</w:t>
      </w:r>
    </w:p>
    <w:p w14:paraId="4F36712D" w14:textId="4566CB54" w:rsidR="0000782F" w:rsidRPr="00FB4EFA" w:rsidRDefault="0000782F" w:rsidP="00402EF4">
      <w:pPr>
        <w:ind w:firstLine="709"/>
        <w:rPr>
          <w:lang w:val="fi-FI"/>
        </w:rPr>
      </w:pPr>
      <w:r w:rsidRPr="00FB4EFA">
        <w:rPr>
          <w:lang w:val="fi-FI"/>
        </w:rPr>
        <w:t>Tästä huolimatta Agricolan listan merkitys vanhimman uskontohistorian lähteenä on merkittävä. Listassa esiintyviä jumaluuksien nimiä ovat käsitelleet monet tutkijat (</w:t>
      </w:r>
      <w:bookmarkStart w:id="107" w:name="_Hlk104305915"/>
      <w:r w:rsidRPr="00FB4EFA">
        <w:rPr>
          <w:lang w:val="fi-FI"/>
        </w:rPr>
        <w:t xml:space="preserve">esim. Kaarle ja Julius Krohn, Uno Harva, Martti Haavio, Anna-Leena Siikala, Risto Pulkkinen ym.), </w:t>
      </w:r>
      <w:bookmarkEnd w:id="107"/>
      <w:r w:rsidRPr="00FB4EFA">
        <w:rPr>
          <w:lang w:val="fi-FI"/>
        </w:rPr>
        <w:t>enimmäkseen kuitenkin varsinaisen etymologisen kontekstin ulkopuolella (viitteitä relevantteihin tutkimuksiin löytyy esim. SSA:n ja LÄGLOSin jumaluudennimiä koskevista sana-artikkeleista). Tekstissä Agricola varoittaa epäjumalien palvonnasta ja luettelee tässä yhteydessä muinaisten hämäläisten ja karjalaisten vanhojen uskomusolentojen nimiä, jotka ovat seuraavat:</w:t>
      </w:r>
    </w:p>
    <w:p w14:paraId="76A0ABB4" w14:textId="77777777" w:rsidR="0000782F" w:rsidRPr="00FB4EFA" w:rsidRDefault="0000782F" w:rsidP="002752AF">
      <w:pPr>
        <w:tabs>
          <w:tab w:val="left" w:pos="1276"/>
          <w:tab w:val="left" w:pos="1418"/>
        </w:tabs>
        <w:spacing w:before="240"/>
        <w:rPr>
          <w:u w:val="single"/>
          <w:lang w:val="fi-FI"/>
        </w:rPr>
      </w:pPr>
      <w:r w:rsidRPr="00FB4EFA">
        <w:rPr>
          <w:u w:val="single"/>
          <w:lang w:val="fi-FI"/>
        </w:rPr>
        <w:t>Hämäläiset</w:t>
      </w:r>
    </w:p>
    <w:p w14:paraId="0CE808DD"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Tapio</w:t>
      </w:r>
      <w:r w:rsidRPr="00FB4EFA">
        <w:rPr>
          <w:sz w:val="20"/>
          <w:szCs w:val="20"/>
          <w:lang w:val="fi-FI"/>
        </w:rPr>
        <w:tab/>
        <w:t>–</w:t>
      </w:r>
      <w:r w:rsidRPr="00FB4EFA">
        <w:rPr>
          <w:sz w:val="20"/>
          <w:szCs w:val="20"/>
          <w:lang w:val="fi-FI"/>
        </w:rPr>
        <w:tab/>
        <w:t>metsän ja pyydysten jumala</w:t>
      </w:r>
    </w:p>
    <w:p w14:paraId="3CA8AC20"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Ahti</w:t>
      </w:r>
      <w:r w:rsidRPr="00FB4EFA">
        <w:rPr>
          <w:sz w:val="20"/>
          <w:szCs w:val="20"/>
          <w:lang w:val="fi-FI"/>
        </w:rPr>
        <w:tab/>
        <w:t>–</w:t>
      </w:r>
      <w:r w:rsidRPr="00FB4EFA">
        <w:rPr>
          <w:sz w:val="20"/>
          <w:szCs w:val="20"/>
          <w:lang w:val="fi-FI"/>
        </w:rPr>
        <w:tab/>
        <w:t>kalojen ja veden jumala</w:t>
      </w:r>
    </w:p>
    <w:p w14:paraId="2DE0170D"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Äinemöinen</w:t>
      </w:r>
      <w:r w:rsidRPr="00FB4EFA">
        <w:rPr>
          <w:sz w:val="20"/>
          <w:szCs w:val="20"/>
          <w:lang w:val="fi-FI"/>
        </w:rPr>
        <w:tab/>
        <w:t>–</w:t>
      </w:r>
      <w:r w:rsidRPr="00FB4EFA">
        <w:rPr>
          <w:sz w:val="20"/>
          <w:szCs w:val="20"/>
          <w:lang w:val="fi-FI"/>
        </w:rPr>
        <w:tab/>
        <w:t>virsien takoja</w:t>
      </w:r>
    </w:p>
    <w:p w14:paraId="08E115E2"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Rahkoi</w:t>
      </w:r>
      <w:r w:rsidRPr="00FB4EFA">
        <w:rPr>
          <w:sz w:val="20"/>
          <w:szCs w:val="20"/>
          <w:lang w:val="fi-FI"/>
        </w:rPr>
        <w:tab/>
        <w:t>–</w:t>
      </w:r>
      <w:r w:rsidRPr="00FB4EFA">
        <w:rPr>
          <w:sz w:val="20"/>
          <w:szCs w:val="20"/>
          <w:lang w:val="fi-FI"/>
        </w:rPr>
        <w:tab/>
        <w:t>kuun mustaaja</w:t>
      </w:r>
    </w:p>
    <w:p w14:paraId="3E112F81"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Liekkiö</w:t>
      </w:r>
      <w:r w:rsidRPr="00FB4EFA">
        <w:rPr>
          <w:sz w:val="20"/>
          <w:szCs w:val="20"/>
          <w:lang w:val="fi-FI"/>
        </w:rPr>
        <w:tab/>
        <w:t>–</w:t>
      </w:r>
      <w:r w:rsidRPr="00FB4EFA">
        <w:rPr>
          <w:sz w:val="20"/>
          <w:szCs w:val="20"/>
          <w:lang w:val="fi-FI"/>
        </w:rPr>
        <w:tab/>
        <w:t>ruohojen, juurten ja puiden hallitsija</w:t>
      </w:r>
    </w:p>
    <w:p w14:paraId="34584EBE"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Ilmarinen</w:t>
      </w:r>
      <w:r w:rsidRPr="00FB4EFA">
        <w:rPr>
          <w:sz w:val="20"/>
          <w:szCs w:val="20"/>
          <w:lang w:val="fi-FI"/>
        </w:rPr>
        <w:tab/>
        <w:t>–</w:t>
      </w:r>
      <w:r w:rsidRPr="00FB4EFA">
        <w:rPr>
          <w:sz w:val="20"/>
          <w:szCs w:val="20"/>
          <w:lang w:val="fi-FI"/>
        </w:rPr>
        <w:tab/>
        <w:t>rauhan, sään ja matkustajien jumala</w:t>
      </w:r>
    </w:p>
    <w:p w14:paraId="3AD1918F"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Turisas</w:t>
      </w:r>
      <w:r w:rsidRPr="00FB4EFA">
        <w:rPr>
          <w:sz w:val="20"/>
          <w:szCs w:val="20"/>
          <w:lang w:val="fi-FI"/>
        </w:rPr>
        <w:tab/>
        <w:t>–</w:t>
      </w:r>
      <w:r w:rsidRPr="00FB4EFA">
        <w:rPr>
          <w:sz w:val="20"/>
          <w:szCs w:val="20"/>
          <w:lang w:val="fi-FI"/>
        </w:rPr>
        <w:tab/>
        <w:t>sodan jumala</w:t>
      </w:r>
    </w:p>
    <w:p w14:paraId="14CA002E"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Tonttu</w:t>
      </w:r>
      <w:r w:rsidRPr="00FB4EFA">
        <w:rPr>
          <w:sz w:val="20"/>
          <w:szCs w:val="20"/>
          <w:lang w:val="fi-FI"/>
        </w:rPr>
        <w:tab/>
        <w:t>–</w:t>
      </w:r>
      <w:r w:rsidRPr="00FB4EFA">
        <w:rPr>
          <w:sz w:val="20"/>
          <w:szCs w:val="20"/>
          <w:lang w:val="fi-FI"/>
        </w:rPr>
        <w:tab/>
        <w:t>talon haltia</w:t>
      </w:r>
    </w:p>
    <w:p w14:paraId="2475A766"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Piru</w:t>
      </w:r>
      <w:r w:rsidRPr="00FB4EFA">
        <w:rPr>
          <w:sz w:val="20"/>
          <w:szCs w:val="20"/>
          <w:lang w:val="fi-FI"/>
        </w:rPr>
        <w:tab/>
        <w:t>–</w:t>
      </w:r>
      <w:r w:rsidRPr="00FB4EFA">
        <w:rPr>
          <w:sz w:val="20"/>
          <w:szCs w:val="20"/>
          <w:lang w:val="fi-FI"/>
        </w:rPr>
        <w:tab/>
        <w:t>paha haltia</w:t>
      </w:r>
    </w:p>
    <w:p w14:paraId="50A3C0DB"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Kapeet</w:t>
      </w:r>
      <w:r w:rsidRPr="00FB4EFA">
        <w:rPr>
          <w:sz w:val="20"/>
          <w:szCs w:val="20"/>
          <w:lang w:val="fi-FI"/>
        </w:rPr>
        <w:tab/>
        <w:t>–</w:t>
      </w:r>
      <w:r w:rsidRPr="00FB4EFA">
        <w:rPr>
          <w:sz w:val="20"/>
          <w:szCs w:val="20"/>
          <w:lang w:val="fi-FI"/>
        </w:rPr>
        <w:tab/>
        <w:t>kuun syöjiä</w:t>
      </w:r>
    </w:p>
    <w:p w14:paraId="352A725E" w14:textId="77777777" w:rsidR="0000782F" w:rsidRPr="00FB4EFA" w:rsidRDefault="0000782F" w:rsidP="002752AF">
      <w:pPr>
        <w:tabs>
          <w:tab w:val="left" w:pos="1276"/>
          <w:tab w:val="left" w:pos="1418"/>
        </w:tabs>
        <w:spacing w:line="240" w:lineRule="auto"/>
        <w:rPr>
          <w:sz w:val="20"/>
          <w:szCs w:val="20"/>
          <w:lang w:val="fi-FI"/>
        </w:rPr>
      </w:pPr>
      <w:r w:rsidRPr="00FB4EFA">
        <w:rPr>
          <w:sz w:val="20"/>
          <w:szCs w:val="20"/>
          <w:lang w:val="fi-FI"/>
        </w:rPr>
        <w:t>Kalevanpojat</w:t>
      </w:r>
      <w:r w:rsidRPr="00FB4EFA">
        <w:rPr>
          <w:sz w:val="20"/>
          <w:szCs w:val="20"/>
          <w:lang w:val="fi-FI"/>
        </w:rPr>
        <w:tab/>
        <w:t>–</w:t>
      </w:r>
      <w:r w:rsidRPr="00FB4EFA">
        <w:rPr>
          <w:sz w:val="20"/>
          <w:szCs w:val="20"/>
          <w:lang w:val="fi-FI"/>
        </w:rPr>
        <w:tab/>
        <w:t>niittyjen tekijöitä</w:t>
      </w:r>
    </w:p>
    <w:p w14:paraId="38724DB3" w14:textId="77777777" w:rsidR="0000782F" w:rsidRPr="00FB4EFA" w:rsidRDefault="0000782F" w:rsidP="002752AF">
      <w:pPr>
        <w:tabs>
          <w:tab w:val="left" w:pos="1276"/>
          <w:tab w:val="left" w:pos="1418"/>
        </w:tabs>
        <w:spacing w:before="240"/>
        <w:rPr>
          <w:u w:val="single"/>
          <w:lang w:val="fi-FI"/>
        </w:rPr>
      </w:pPr>
      <w:r w:rsidRPr="00FB4EFA">
        <w:rPr>
          <w:u w:val="single"/>
          <w:lang w:val="fi-FI"/>
        </w:rPr>
        <w:t>Karjalaiset</w:t>
      </w:r>
    </w:p>
    <w:p w14:paraId="141BA5CB"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Rongoteus</w:t>
      </w:r>
      <w:r w:rsidRPr="00FB4EFA">
        <w:rPr>
          <w:sz w:val="20"/>
          <w:szCs w:val="20"/>
          <w:lang w:val="fi-FI"/>
        </w:rPr>
        <w:tab/>
        <w:t>–</w:t>
      </w:r>
      <w:r w:rsidRPr="00FB4EFA">
        <w:rPr>
          <w:sz w:val="20"/>
          <w:szCs w:val="20"/>
          <w:lang w:val="fi-FI"/>
        </w:rPr>
        <w:tab/>
        <w:t>rukiin jumala</w:t>
      </w:r>
    </w:p>
    <w:p w14:paraId="03B42774"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Pellonpekko</w:t>
      </w:r>
      <w:r w:rsidRPr="00FB4EFA">
        <w:rPr>
          <w:sz w:val="20"/>
          <w:szCs w:val="20"/>
          <w:lang w:val="fi-FI"/>
        </w:rPr>
        <w:tab/>
        <w:t>–</w:t>
      </w:r>
      <w:r w:rsidRPr="00FB4EFA">
        <w:rPr>
          <w:sz w:val="20"/>
          <w:szCs w:val="20"/>
          <w:lang w:val="fi-FI"/>
        </w:rPr>
        <w:tab/>
        <w:t>ohran jumala</w:t>
      </w:r>
    </w:p>
    <w:p w14:paraId="315A444A"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Virankannos</w:t>
      </w:r>
      <w:r w:rsidRPr="00FB4EFA">
        <w:rPr>
          <w:sz w:val="20"/>
          <w:szCs w:val="20"/>
          <w:lang w:val="fi-FI"/>
        </w:rPr>
        <w:tab/>
        <w:t>–</w:t>
      </w:r>
      <w:r w:rsidRPr="00FB4EFA">
        <w:rPr>
          <w:sz w:val="20"/>
          <w:szCs w:val="20"/>
          <w:lang w:val="fi-FI"/>
        </w:rPr>
        <w:tab/>
        <w:t>kauran jumala</w:t>
      </w:r>
    </w:p>
    <w:p w14:paraId="6EFA98BB" w14:textId="77777777" w:rsidR="0000782F" w:rsidRPr="00FB4EFA" w:rsidRDefault="0000782F" w:rsidP="002752AF">
      <w:pPr>
        <w:tabs>
          <w:tab w:val="left" w:pos="1418"/>
          <w:tab w:val="left" w:pos="1560"/>
        </w:tabs>
        <w:suppressAutoHyphens/>
        <w:spacing w:line="240" w:lineRule="auto"/>
        <w:ind w:left="1559" w:hanging="1559"/>
        <w:rPr>
          <w:sz w:val="20"/>
          <w:szCs w:val="20"/>
          <w:lang w:val="fi-FI"/>
        </w:rPr>
      </w:pPr>
      <w:r w:rsidRPr="00FB4EFA">
        <w:rPr>
          <w:sz w:val="20"/>
          <w:szCs w:val="20"/>
          <w:lang w:val="fi-FI"/>
        </w:rPr>
        <w:t>Ägräs</w:t>
      </w:r>
      <w:r w:rsidRPr="00FB4EFA">
        <w:rPr>
          <w:sz w:val="20"/>
          <w:szCs w:val="20"/>
          <w:lang w:val="fi-FI"/>
        </w:rPr>
        <w:tab/>
        <w:t>–</w:t>
      </w:r>
      <w:r w:rsidRPr="00FB4EFA">
        <w:rPr>
          <w:sz w:val="20"/>
          <w:szCs w:val="20"/>
          <w:lang w:val="fi-FI"/>
        </w:rPr>
        <w:tab/>
        <w:t>herneitten, papujen, nauriiden, kaalin, pellavan ja hampun jumala</w:t>
      </w:r>
    </w:p>
    <w:p w14:paraId="1EC23393"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Köndös</w:t>
      </w:r>
      <w:r w:rsidRPr="00FB4EFA">
        <w:rPr>
          <w:sz w:val="20"/>
          <w:szCs w:val="20"/>
          <w:lang w:val="fi-FI"/>
        </w:rPr>
        <w:tab/>
        <w:t>–</w:t>
      </w:r>
      <w:r w:rsidRPr="00FB4EFA">
        <w:rPr>
          <w:sz w:val="20"/>
          <w:szCs w:val="20"/>
          <w:lang w:val="fi-FI"/>
        </w:rPr>
        <w:tab/>
        <w:t>kaskeamisen ja pellonraivauksen jumala</w:t>
      </w:r>
    </w:p>
    <w:p w14:paraId="1B4148C6"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Ukko</w:t>
      </w:r>
      <w:r w:rsidRPr="00FB4EFA">
        <w:rPr>
          <w:sz w:val="20"/>
          <w:szCs w:val="20"/>
          <w:lang w:val="fi-FI"/>
        </w:rPr>
        <w:tab/>
        <w:t>–</w:t>
      </w:r>
      <w:r w:rsidRPr="00FB4EFA">
        <w:rPr>
          <w:sz w:val="20"/>
          <w:szCs w:val="20"/>
          <w:lang w:val="fi-FI"/>
        </w:rPr>
        <w:tab/>
        <w:t>jumala, jonka kunniaksi juotiin ja tehtiin häpeällisiä tekoja</w:t>
      </w:r>
    </w:p>
    <w:p w14:paraId="32919A83"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Rauni</w:t>
      </w:r>
      <w:r w:rsidRPr="00FB4EFA">
        <w:rPr>
          <w:sz w:val="20"/>
          <w:szCs w:val="20"/>
          <w:lang w:val="fi-FI"/>
        </w:rPr>
        <w:tab/>
        <w:t>–</w:t>
      </w:r>
      <w:r w:rsidRPr="00FB4EFA">
        <w:rPr>
          <w:sz w:val="20"/>
          <w:szCs w:val="20"/>
          <w:lang w:val="fi-FI"/>
        </w:rPr>
        <w:tab/>
        <w:t>ukon vaimo, sään ja sadon jumala</w:t>
      </w:r>
    </w:p>
    <w:p w14:paraId="16E1717A"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käkri</w:t>
      </w:r>
      <w:r w:rsidRPr="00FB4EFA">
        <w:rPr>
          <w:sz w:val="20"/>
          <w:szCs w:val="20"/>
          <w:lang w:val="fi-FI"/>
        </w:rPr>
        <w:tab/>
        <w:t>–</w:t>
      </w:r>
      <w:r w:rsidRPr="00FB4EFA">
        <w:rPr>
          <w:sz w:val="20"/>
          <w:szCs w:val="20"/>
          <w:lang w:val="fi-FI"/>
        </w:rPr>
        <w:tab/>
        <w:t>karjan jumala</w:t>
      </w:r>
    </w:p>
    <w:p w14:paraId="61CB1FA6"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hiisi</w:t>
      </w:r>
      <w:r w:rsidRPr="00FB4EFA">
        <w:rPr>
          <w:sz w:val="20"/>
          <w:szCs w:val="20"/>
          <w:lang w:val="fi-FI"/>
        </w:rPr>
        <w:tab/>
        <w:t>–</w:t>
      </w:r>
      <w:r w:rsidRPr="00FB4EFA">
        <w:rPr>
          <w:sz w:val="20"/>
          <w:szCs w:val="20"/>
          <w:lang w:val="fi-FI"/>
        </w:rPr>
        <w:tab/>
        <w:t>jumala, joka suo voiton metsäläisistä</w:t>
      </w:r>
    </w:p>
    <w:p w14:paraId="488A0456"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veden emä</w:t>
      </w:r>
      <w:r w:rsidRPr="00FB4EFA">
        <w:rPr>
          <w:sz w:val="20"/>
          <w:szCs w:val="20"/>
          <w:lang w:val="fi-FI"/>
        </w:rPr>
        <w:tab/>
        <w:t>–</w:t>
      </w:r>
      <w:r w:rsidRPr="00FB4EFA">
        <w:rPr>
          <w:sz w:val="20"/>
          <w:szCs w:val="20"/>
          <w:lang w:val="fi-FI"/>
        </w:rPr>
        <w:tab/>
        <w:t>kalastuksen jumala</w:t>
      </w:r>
    </w:p>
    <w:p w14:paraId="71D539B2"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nyrckes</w:t>
      </w:r>
      <w:r w:rsidRPr="00FB4EFA">
        <w:rPr>
          <w:sz w:val="20"/>
          <w:szCs w:val="20"/>
          <w:lang w:val="fi-FI"/>
        </w:rPr>
        <w:tab/>
        <w:t>–</w:t>
      </w:r>
      <w:r w:rsidRPr="00FB4EFA">
        <w:rPr>
          <w:sz w:val="20"/>
          <w:szCs w:val="20"/>
          <w:lang w:val="fi-FI"/>
        </w:rPr>
        <w:tab/>
        <w:t>oravanmetsästyksen jumala</w:t>
      </w:r>
    </w:p>
    <w:p w14:paraId="1C13556E"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hittavanin</w:t>
      </w:r>
      <w:r w:rsidRPr="00FB4EFA">
        <w:rPr>
          <w:sz w:val="20"/>
          <w:szCs w:val="20"/>
          <w:lang w:val="fi-FI"/>
        </w:rPr>
        <w:tab/>
        <w:t>–</w:t>
      </w:r>
      <w:r w:rsidRPr="00FB4EFA">
        <w:rPr>
          <w:sz w:val="20"/>
          <w:szCs w:val="20"/>
          <w:lang w:val="fi-FI"/>
        </w:rPr>
        <w:tab/>
        <w:t>jäniksen metsästyksen jumala</w:t>
      </w:r>
    </w:p>
    <w:p w14:paraId="2CC128DD" w14:textId="77777777" w:rsidR="0000782F" w:rsidRPr="00FB4EFA" w:rsidRDefault="0000782F" w:rsidP="002752AF">
      <w:pPr>
        <w:tabs>
          <w:tab w:val="left" w:pos="1418"/>
          <w:tab w:val="left" w:pos="1560"/>
        </w:tabs>
        <w:spacing w:line="240" w:lineRule="auto"/>
        <w:rPr>
          <w:sz w:val="20"/>
          <w:szCs w:val="20"/>
          <w:lang w:val="fi-FI"/>
        </w:rPr>
      </w:pPr>
      <w:r w:rsidRPr="00FB4EFA">
        <w:rPr>
          <w:sz w:val="20"/>
          <w:szCs w:val="20"/>
          <w:lang w:val="fi-FI"/>
        </w:rPr>
        <w:t>menninkäinen</w:t>
      </w:r>
      <w:r w:rsidRPr="00FB4EFA">
        <w:rPr>
          <w:sz w:val="20"/>
          <w:szCs w:val="20"/>
          <w:lang w:val="fi-FI"/>
        </w:rPr>
        <w:tab/>
        <w:t>–</w:t>
      </w:r>
      <w:r w:rsidRPr="00FB4EFA">
        <w:rPr>
          <w:sz w:val="20"/>
          <w:szCs w:val="20"/>
          <w:lang w:val="fi-FI"/>
        </w:rPr>
        <w:tab/>
        <w:t>kuolleiden henkiin liittyvä palvonnan kohde</w:t>
      </w:r>
    </w:p>
    <w:p w14:paraId="09498034" w14:textId="77777777" w:rsidR="0000782F" w:rsidRPr="00FB4EFA" w:rsidRDefault="0000782F" w:rsidP="00402EF4">
      <w:pPr>
        <w:spacing w:before="240"/>
        <w:rPr>
          <w:lang w:val="fi-FI"/>
        </w:rPr>
      </w:pPr>
      <w:r w:rsidRPr="00FB4EFA">
        <w:rPr>
          <w:lang w:val="fi-FI"/>
        </w:rPr>
        <w:lastRenderedPageBreak/>
        <w:t>Kommentoin seuraavassa eräiden listassa mainittujen jumaluuksien nimiä etymologisesta näkökulmasta, täydelliseen listan analyysiin pyrkimättä.</w:t>
      </w:r>
    </w:p>
    <w:p w14:paraId="63C7FD2A" w14:textId="04FDB4DD" w:rsidR="0000782F" w:rsidRPr="00FB4EFA" w:rsidRDefault="0000782F" w:rsidP="00AF0CAD">
      <w:pPr>
        <w:pStyle w:val="Heading3"/>
        <w:numPr>
          <w:ilvl w:val="1"/>
          <w:numId w:val="26"/>
        </w:numPr>
        <w:spacing w:line="259" w:lineRule="auto"/>
        <w:rPr>
          <w:lang w:val="fi-FI"/>
        </w:rPr>
      </w:pPr>
      <w:r w:rsidRPr="00FB4EFA">
        <w:rPr>
          <w:rFonts w:eastAsia="Charis SIL"/>
          <w:lang w:val="fi-FI"/>
        </w:rPr>
        <w:t>Johdettuja nimiä</w:t>
      </w:r>
    </w:p>
    <w:p w14:paraId="0A482FE5" w14:textId="77777777" w:rsidR="0000782F" w:rsidRPr="00FB4EFA" w:rsidRDefault="0000782F" w:rsidP="00402EF4">
      <w:pPr>
        <w:pStyle w:val="Heading4"/>
        <w:spacing w:line="259" w:lineRule="auto"/>
        <w:rPr>
          <w:lang w:val="fi-FI"/>
        </w:rPr>
      </w:pPr>
      <w:r w:rsidRPr="00FB4EFA">
        <w:rPr>
          <w:lang w:val="fi-FI"/>
        </w:rPr>
        <w:t>Tapio</w:t>
      </w:r>
    </w:p>
    <w:p w14:paraId="0E620C6E" w14:textId="10737BB0" w:rsidR="0000782F" w:rsidRPr="00FB4EFA" w:rsidRDefault="0000782F" w:rsidP="00AF0CAD">
      <w:pPr>
        <w:rPr>
          <w:lang w:val="fi-FI"/>
        </w:rPr>
      </w:pPr>
      <w:r w:rsidRPr="00FB4EFA">
        <w:rPr>
          <w:lang w:val="fi-FI"/>
        </w:rPr>
        <w:t>Pyyntionnen takaavan Tapion nimeä, jonka mainitsevat mm. Agricola ja Ganander, ei käsitellä SSA:ssa, mutta sana</w:t>
      </w:r>
      <w:r w:rsidRPr="00FB4EFA">
        <w:rPr>
          <w:i/>
          <w:lang w:val="fi-FI"/>
        </w:rPr>
        <w:t xml:space="preserve"> </w:t>
      </w:r>
      <w:r w:rsidRPr="00FB4EFA">
        <w:rPr>
          <w:lang w:val="fi-FI"/>
        </w:rPr>
        <w:t xml:space="preserve">vaikuttaa levikiltään länsimurteisiin rajottuvalta – esim. KKS ei vastaavaa nimitystä tunne. Siikala (2012: 377) viittaa Tunkeloon ja Krohniin, joiden mukaan </w:t>
      </w:r>
      <w:r w:rsidRPr="00FB4EFA">
        <w:rPr>
          <w:i/>
          <w:lang w:val="fi-FI"/>
        </w:rPr>
        <w:t>Tapio</w:t>
      </w:r>
      <w:r w:rsidRPr="00FB4EFA">
        <w:rPr>
          <w:lang w:val="fi-FI"/>
        </w:rPr>
        <w:t xml:space="preserve"> olisi peräisin</w:t>
      </w:r>
      <w:r w:rsidR="000838DC" w:rsidRPr="00FB4EFA">
        <w:rPr>
          <w:lang w:val="fi-FI"/>
        </w:rPr>
        <w:t xml:space="preserve"> ’</w:t>
      </w:r>
      <w:r w:rsidRPr="00FB4EFA">
        <w:rPr>
          <w:lang w:val="fi-FI"/>
        </w:rPr>
        <w:t xml:space="preserve">pyydyksen lukkoa’ merkitsevästä </w:t>
      </w:r>
      <w:r w:rsidRPr="00FB4EFA">
        <w:rPr>
          <w:i/>
          <w:lang w:val="fi-FI"/>
        </w:rPr>
        <w:t>tapa-</w:t>
      </w:r>
      <w:r w:rsidRPr="00FB4EFA">
        <w:rPr>
          <w:lang w:val="fi-FI"/>
        </w:rPr>
        <w:t xml:space="preserve">sanasta. Virossa todella tunnetaankin </w:t>
      </w:r>
      <w:r w:rsidRPr="00FB4EFA">
        <w:rPr>
          <w:i/>
          <w:lang w:val="fi-FI"/>
        </w:rPr>
        <w:t>taba</w:t>
      </w:r>
      <w:r w:rsidR="000838DC" w:rsidRPr="00FB4EFA">
        <w:rPr>
          <w:i/>
          <w:lang w:val="fi-FI"/>
        </w:rPr>
        <w:t xml:space="preserve"> </w:t>
      </w:r>
      <w:r w:rsidR="000838DC" w:rsidRPr="00FB4EFA">
        <w:rPr>
          <w:lang w:val="fi-FI"/>
        </w:rPr>
        <w:t>’</w:t>
      </w:r>
      <w:r w:rsidRPr="00FB4EFA">
        <w:rPr>
          <w:lang w:val="fi-FI"/>
        </w:rPr>
        <w:t>ripplukk; (vanem, lihtsam) lukk’ (EES), mutta ainakaan SSA ja SKES eivät mainitse vastaavaa sanaa suomen länsimurteista.</w:t>
      </w:r>
    </w:p>
    <w:p w14:paraId="67264688" w14:textId="77777777" w:rsidR="000121EA" w:rsidRPr="00FB4EFA" w:rsidRDefault="0000782F" w:rsidP="00AF0CAD">
      <w:pPr>
        <w:ind w:firstLine="720"/>
        <w:rPr>
          <w:lang w:val="fi-FI"/>
        </w:rPr>
      </w:pPr>
      <w:r w:rsidRPr="00FB4EFA">
        <w:rPr>
          <w:lang w:val="fi-FI"/>
        </w:rPr>
        <w:t xml:space="preserve">Nimitys selittyisikin luontevammin johdokseksi </w:t>
      </w:r>
      <w:r w:rsidRPr="00FB4EFA">
        <w:rPr>
          <w:i/>
          <w:lang w:val="fi-FI"/>
        </w:rPr>
        <w:t>tavata-</w:t>
      </w:r>
      <w:r w:rsidRPr="00FB4EFA">
        <w:rPr>
          <w:lang w:val="fi-FI"/>
        </w:rPr>
        <w:t>verbistä, jonka murteelliset merkitykset ovat mm.</w:t>
      </w:r>
      <w:r w:rsidR="000838DC" w:rsidRPr="00FB4EFA">
        <w:rPr>
          <w:lang w:val="fi-FI"/>
        </w:rPr>
        <w:t xml:space="preserve"> ’</w:t>
      </w:r>
      <w:r w:rsidRPr="00FB4EFA">
        <w:rPr>
          <w:lang w:val="fi-FI"/>
        </w:rPr>
        <w:t xml:space="preserve">osua; saada kiinni, tavoittaa’ jne. Kyseessä on siis tavoittamisen ja osumisen eli riistan saannin takaava Jumala. </w:t>
      </w:r>
      <w:r w:rsidRPr="00FB4EFA">
        <w:rPr>
          <w:i/>
          <w:lang w:val="fi-FI"/>
        </w:rPr>
        <w:t>-iO-</w:t>
      </w:r>
      <w:r w:rsidRPr="00FB4EFA">
        <w:rPr>
          <w:lang w:val="fi-FI"/>
        </w:rPr>
        <w:t xml:space="preserve">johdokset näyttävät olevan sekä nomini- että verbikantaisia (jälkimmäisestä tyypistä vrt. </w:t>
      </w:r>
      <w:r w:rsidRPr="00FB4EFA">
        <w:rPr>
          <w:i/>
          <w:lang w:val="fi-FI"/>
        </w:rPr>
        <w:t xml:space="preserve">heittiö </w:t>
      </w:r>
      <w:r w:rsidRPr="00FB4EFA">
        <w:rPr>
          <w:lang w:val="fi-FI"/>
        </w:rPr>
        <w:t xml:space="preserve">&lt; </w:t>
      </w:r>
      <w:r w:rsidRPr="00FB4EFA">
        <w:rPr>
          <w:i/>
          <w:lang w:val="fi-FI"/>
        </w:rPr>
        <w:t xml:space="preserve">heittä-, luopio </w:t>
      </w:r>
      <w:r w:rsidRPr="00FB4EFA">
        <w:rPr>
          <w:lang w:val="fi-FI"/>
        </w:rPr>
        <w:t xml:space="preserve">&lt; </w:t>
      </w:r>
      <w:r w:rsidRPr="00FB4EFA">
        <w:rPr>
          <w:i/>
          <w:lang w:val="fi-FI"/>
        </w:rPr>
        <w:t xml:space="preserve">luopu- </w:t>
      </w:r>
      <w:r w:rsidRPr="00FB4EFA">
        <w:rPr>
          <w:lang w:val="fi-FI"/>
        </w:rPr>
        <w:t>jne.), joten ainakaan johdostyyppi ei etymologiaa vastusta.</w:t>
      </w:r>
    </w:p>
    <w:p w14:paraId="6EA55589" w14:textId="576C0C72" w:rsidR="0000782F" w:rsidRPr="00FB4EFA" w:rsidRDefault="0000782F" w:rsidP="00402EF4">
      <w:pPr>
        <w:pStyle w:val="Heading4"/>
        <w:spacing w:line="259" w:lineRule="auto"/>
        <w:rPr>
          <w:lang w:val="fi-FI"/>
        </w:rPr>
      </w:pPr>
      <w:r w:rsidRPr="00FB4EFA">
        <w:rPr>
          <w:lang w:val="fi-FI"/>
        </w:rPr>
        <w:t>Ahti</w:t>
      </w:r>
    </w:p>
    <w:p w14:paraId="57CF4B86" w14:textId="560F59C5" w:rsidR="0000782F" w:rsidRPr="00FB4EFA" w:rsidRDefault="0000782F" w:rsidP="002752AF">
      <w:pPr>
        <w:rPr>
          <w:i/>
          <w:lang w:val="fi-FI"/>
        </w:rPr>
      </w:pPr>
      <w:r w:rsidRPr="00FB4EFA">
        <w:rPr>
          <w:lang w:val="fi-FI"/>
        </w:rPr>
        <w:t xml:space="preserve">Kalaonnen takaava </w:t>
      </w:r>
      <w:r w:rsidRPr="00FB4EFA">
        <w:rPr>
          <w:i/>
          <w:lang w:val="fi-FI"/>
        </w:rPr>
        <w:t xml:space="preserve">Ahti </w:t>
      </w:r>
      <w:r w:rsidRPr="00FB4EFA">
        <w:rPr>
          <w:lang w:val="fi-FI"/>
        </w:rPr>
        <w:t xml:space="preserve">vaikuttaa sekin johdokselta, erityisesti kun nimityksen rinnalla on Gananderilta, Renvallilta ja Lönnrotin sanakirjasta tunnettu </w:t>
      </w:r>
      <w:r w:rsidRPr="00FB4EFA">
        <w:rPr>
          <w:i/>
          <w:lang w:val="fi-FI"/>
        </w:rPr>
        <w:t xml:space="preserve">Ahto. </w:t>
      </w:r>
      <w:r w:rsidRPr="00FB4EFA">
        <w:rPr>
          <w:lang w:val="fi-FI"/>
        </w:rPr>
        <w:t xml:space="preserve">Ilmeinen johdoksen kantasana voisi olla </w:t>
      </w:r>
      <w:r w:rsidRPr="00FB4EFA">
        <w:rPr>
          <w:i/>
          <w:lang w:val="fi-FI"/>
        </w:rPr>
        <w:t xml:space="preserve">ahtaa </w:t>
      </w:r>
      <w:r w:rsidRPr="00FB4EFA">
        <w:rPr>
          <w:lang w:val="fi-FI"/>
        </w:rPr>
        <w:t xml:space="preserve">(&lt; </w:t>
      </w:r>
      <w:r w:rsidRPr="00FB4EFA">
        <w:rPr>
          <w:i/>
          <w:lang w:val="fi-FI"/>
        </w:rPr>
        <w:t>*akta-</w:t>
      </w:r>
      <w:r w:rsidRPr="00FB4EFA">
        <w:rPr>
          <w:lang w:val="fi-FI"/>
        </w:rPr>
        <w:t>)</w:t>
      </w:r>
      <w:r w:rsidRPr="00FB4EFA">
        <w:rPr>
          <w:i/>
          <w:lang w:val="fi-FI"/>
        </w:rPr>
        <w:t xml:space="preserve">, </w:t>
      </w:r>
      <w:r w:rsidRPr="00FB4EFA">
        <w:rPr>
          <w:lang w:val="fi-FI"/>
        </w:rPr>
        <w:t>joka</w:t>
      </w:r>
      <w:r w:rsidRPr="00FB4EFA">
        <w:rPr>
          <w:i/>
          <w:lang w:val="fi-FI"/>
        </w:rPr>
        <w:t xml:space="preserve"> </w:t>
      </w:r>
      <w:r w:rsidRPr="00FB4EFA">
        <w:rPr>
          <w:lang w:val="fi-FI"/>
        </w:rPr>
        <w:t>merkitsee murteissa mm.</w:t>
      </w:r>
      <w:r w:rsidR="000838DC" w:rsidRPr="00FB4EFA">
        <w:rPr>
          <w:lang w:val="fi-FI"/>
        </w:rPr>
        <w:t xml:space="preserve"> ’</w:t>
      </w:r>
      <w:r w:rsidRPr="00FB4EFA">
        <w:rPr>
          <w:lang w:val="fi-FI"/>
        </w:rPr>
        <w:t xml:space="preserve">panna verkot kuivamaan’. Tähän liittyy verkonkuivatustelineen nimitys </w:t>
      </w:r>
      <w:r w:rsidRPr="00FB4EFA">
        <w:rPr>
          <w:i/>
          <w:lang w:val="fi-FI"/>
        </w:rPr>
        <w:t xml:space="preserve">ahde </w:t>
      </w:r>
      <w:r w:rsidRPr="00FB4EFA">
        <w:rPr>
          <w:lang w:val="fi-FI"/>
        </w:rPr>
        <w:t>(&lt;</w:t>
      </w:r>
      <w:r w:rsidR="00770CB4" w:rsidRPr="00FB4EFA">
        <w:rPr>
          <w:lang w:val="fi-FI"/>
        </w:rPr>
        <w:t> </w:t>
      </w:r>
      <w:r w:rsidRPr="00FB4EFA">
        <w:rPr>
          <w:i/>
          <w:lang w:val="fi-FI"/>
        </w:rPr>
        <w:t>*akt-ek</w:t>
      </w:r>
      <w:r w:rsidRPr="00FB4EFA">
        <w:rPr>
          <w:lang w:val="fi-FI"/>
        </w:rPr>
        <w:t>)</w:t>
      </w:r>
      <w:r w:rsidRPr="00FB4EFA">
        <w:rPr>
          <w:i/>
          <w:lang w:val="fi-FI"/>
        </w:rPr>
        <w:t xml:space="preserve">. </w:t>
      </w:r>
      <w:r w:rsidRPr="00FB4EFA">
        <w:rPr>
          <w:lang w:val="fi-FI"/>
        </w:rPr>
        <w:t xml:space="preserve">Vastaavia merkityksiä on </w:t>
      </w:r>
      <w:r w:rsidRPr="00FB4EFA">
        <w:rPr>
          <w:i/>
          <w:lang w:val="fi-FI"/>
        </w:rPr>
        <w:t>ahta-</w:t>
      </w:r>
      <w:r w:rsidRPr="00FB4EFA">
        <w:rPr>
          <w:lang w:val="fi-FI"/>
        </w:rPr>
        <w:t xml:space="preserve">vartalolla kaikkialla uralilaisissa kielissä etäsukukieliä myöten: SaaE </w:t>
      </w:r>
      <w:r w:rsidRPr="00FB4EFA">
        <w:rPr>
          <w:i/>
          <w:lang w:val="fi-FI"/>
        </w:rPr>
        <w:t>vuokteje, vuoktinje</w:t>
      </w:r>
      <w:r w:rsidR="000838DC" w:rsidRPr="00FB4EFA">
        <w:rPr>
          <w:lang w:val="fi-FI"/>
        </w:rPr>
        <w:t xml:space="preserve"> ’</w:t>
      </w:r>
      <w:r w:rsidRPr="00FB4EFA">
        <w:rPr>
          <w:lang w:val="fi-FI"/>
        </w:rPr>
        <w:t xml:space="preserve">maahan isketty paalu verkkojen kuivuuta varten’’| mdM </w:t>
      </w:r>
      <w:r w:rsidRPr="00FB4EFA">
        <w:rPr>
          <w:i/>
          <w:lang w:val="fi-FI"/>
        </w:rPr>
        <w:t>aftəms</w:t>
      </w:r>
      <w:r w:rsidR="000838DC" w:rsidRPr="00FB4EFA">
        <w:rPr>
          <w:i/>
          <w:lang w:val="fi-FI"/>
        </w:rPr>
        <w:t xml:space="preserve"> </w:t>
      </w:r>
      <w:r w:rsidR="000838DC" w:rsidRPr="00FB4EFA">
        <w:rPr>
          <w:iCs/>
          <w:lang w:val="fi-FI"/>
        </w:rPr>
        <w:t>’</w:t>
      </w:r>
      <w:r w:rsidRPr="00FB4EFA">
        <w:rPr>
          <w:iCs/>
          <w:lang w:val="fi-FI"/>
        </w:rPr>
        <w:t>la</w:t>
      </w:r>
      <w:r w:rsidRPr="00FB4EFA">
        <w:rPr>
          <w:lang w:val="fi-FI"/>
        </w:rPr>
        <w:t xml:space="preserve">skea verkko, rysä, merta; virittää sadin ym.’, </w:t>
      </w:r>
      <w:r w:rsidRPr="00FB4EFA">
        <w:rPr>
          <w:i/>
          <w:lang w:val="fi-FI"/>
        </w:rPr>
        <w:t>aftəma</w:t>
      </w:r>
      <w:r w:rsidRPr="00FB4EFA">
        <w:rPr>
          <w:lang w:val="fi-FI"/>
        </w:rPr>
        <w:t xml:space="preserve">, E </w:t>
      </w:r>
      <w:r w:rsidRPr="00FB4EFA">
        <w:rPr>
          <w:i/>
          <w:lang w:val="fi-FI"/>
        </w:rPr>
        <w:t xml:space="preserve">aftuma </w:t>
      </w:r>
      <w:r w:rsidRPr="00FB4EFA">
        <w:rPr>
          <w:lang w:val="fi-FI"/>
        </w:rPr>
        <w:t xml:space="preserve">’verkko’ | ma </w:t>
      </w:r>
      <w:r w:rsidRPr="00FB4EFA">
        <w:rPr>
          <w:i/>
          <w:lang w:val="fi-FI"/>
        </w:rPr>
        <w:t>optem</w:t>
      </w:r>
      <w:r w:rsidRPr="00FB4EFA">
        <w:rPr>
          <w:lang w:val="fi-FI"/>
        </w:rPr>
        <w:t xml:space="preserve"> ’virittää verkko, ansa, sadin’, </w:t>
      </w:r>
      <w:r w:rsidRPr="00FB4EFA">
        <w:rPr>
          <w:i/>
          <w:lang w:val="fi-FI"/>
        </w:rPr>
        <w:t xml:space="preserve">optəš, oktəš </w:t>
      </w:r>
      <w:r w:rsidRPr="00FB4EFA">
        <w:rPr>
          <w:lang w:val="fi-FI"/>
        </w:rPr>
        <w:t xml:space="preserve">’jäniksen, linnun jouhiansa; verkko’ | </w:t>
      </w:r>
      <w:r w:rsidR="00C37B5C" w:rsidRPr="00FB4EFA">
        <w:rPr>
          <w:lang w:val="fi-FI"/>
        </w:rPr>
        <w:t>ko</w:t>
      </w:r>
      <w:r w:rsidRPr="00FB4EFA">
        <w:rPr>
          <w:lang w:val="fi-FI"/>
        </w:rPr>
        <w:t xml:space="preserve"> </w:t>
      </w:r>
      <w:r w:rsidRPr="00FB4EFA">
        <w:rPr>
          <w:i/>
          <w:lang w:val="fi-FI"/>
        </w:rPr>
        <w:t>oktyny</w:t>
      </w:r>
      <w:r w:rsidRPr="00FB4EFA">
        <w:rPr>
          <w:lang w:val="fi-FI"/>
        </w:rPr>
        <w:t xml:space="preserve"> ’virittää sadin, pyyntiraudat’ hantiP</w:t>
      </w:r>
      <w:r w:rsidRPr="00FB4EFA">
        <w:rPr>
          <w:i/>
          <w:lang w:val="fi-FI"/>
        </w:rPr>
        <w:t xml:space="preserve"> egət- </w:t>
      </w:r>
      <w:r w:rsidRPr="00FB4EFA">
        <w:rPr>
          <w:lang w:val="fi-FI"/>
        </w:rPr>
        <w:t>’panna riippumaan, kuivumaan (esim. verkko, liina orrelle); hirttää’ (SSA I: 12)</w:t>
      </w:r>
      <w:r w:rsidRPr="00FB4EFA">
        <w:rPr>
          <w:i/>
          <w:lang w:val="fi-FI"/>
        </w:rPr>
        <w:t>.</w:t>
      </w:r>
    </w:p>
    <w:p w14:paraId="46913D1B" w14:textId="77777777" w:rsidR="0000782F" w:rsidRPr="00FB4EFA" w:rsidRDefault="0000782F" w:rsidP="002752AF">
      <w:pPr>
        <w:ind w:firstLine="720"/>
        <w:rPr>
          <w:lang w:val="fi-FI"/>
        </w:rPr>
      </w:pPr>
      <w:r w:rsidRPr="00FB4EFA">
        <w:rPr>
          <w:i/>
          <w:lang w:val="fi-FI"/>
        </w:rPr>
        <w:t xml:space="preserve">Ahti </w:t>
      </w:r>
      <w:r w:rsidRPr="00FB4EFA">
        <w:rPr>
          <w:lang w:val="fi-FI"/>
        </w:rPr>
        <w:t>vaikuttaisi siis verkko-onnen takaavalta jumalalta, jonka nimi on johdos (</w:t>
      </w:r>
      <w:r w:rsidRPr="00FB4EFA">
        <w:rPr>
          <w:i/>
          <w:lang w:val="fi-FI"/>
        </w:rPr>
        <w:t>ahta-j</w:t>
      </w:r>
      <w:r w:rsidRPr="00FB4EFA">
        <w:rPr>
          <w:lang w:val="fi-FI"/>
        </w:rPr>
        <w:t xml:space="preserve">) </w:t>
      </w:r>
      <w:r w:rsidRPr="00FB4EFA">
        <w:rPr>
          <w:i/>
          <w:lang w:val="fi-FI"/>
        </w:rPr>
        <w:t>ahta-</w:t>
      </w:r>
      <w:r w:rsidRPr="00FB4EFA">
        <w:rPr>
          <w:lang w:val="fi-FI"/>
        </w:rPr>
        <w:t xml:space="preserve">vartalosta (&lt; </w:t>
      </w:r>
      <w:r w:rsidRPr="00FB4EFA">
        <w:rPr>
          <w:i/>
          <w:lang w:val="fi-FI"/>
        </w:rPr>
        <w:t>*akta-</w:t>
      </w:r>
      <w:r w:rsidRPr="00FB4EFA">
        <w:rPr>
          <w:lang w:val="fi-FI"/>
        </w:rPr>
        <w:t xml:space="preserve">). Myös Siikala (2012: 375) huomauttaa, että </w:t>
      </w:r>
      <w:r w:rsidRPr="00FB4EFA">
        <w:rPr>
          <w:i/>
          <w:lang w:val="fi-FI"/>
        </w:rPr>
        <w:t xml:space="preserve">Ahti </w:t>
      </w:r>
      <w:r w:rsidRPr="00FB4EFA">
        <w:rPr>
          <w:lang w:val="fi-FI"/>
        </w:rPr>
        <w:t xml:space="preserve">on kansanperinteessä lähinnä suurpyynnin kuten nuottauksen jumaluus. Tätä käsitystä on tosin vastustanut Heikkilä </w:t>
      </w:r>
      <w:r w:rsidRPr="00FB4EFA">
        <w:rPr>
          <w:lang w:val="fi-FI"/>
        </w:rPr>
        <w:lastRenderedPageBreak/>
        <w:t xml:space="preserve">(2013), jonka mukaan yhteys </w:t>
      </w:r>
      <w:r w:rsidRPr="00FB4EFA">
        <w:rPr>
          <w:i/>
          <w:lang w:val="fi-FI"/>
        </w:rPr>
        <w:t>Ahti-</w:t>
      </w:r>
      <w:r w:rsidRPr="00FB4EFA">
        <w:rPr>
          <w:lang w:val="fi-FI"/>
        </w:rPr>
        <w:t xml:space="preserve">nimen ja </w:t>
      </w:r>
      <w:r w:rsidRPr="00FB4EFA">
        <w:rPr>
          <w:i/>
          <w:lang w:val="fi-FI"/>
        </w:rPr>
        <w:t>ahtaa-</w:t>
      </w:r>
      <w:r w:rsidRPr="00FB4EFA">
        <w:rPr>
          <w:lang w:val="fi-FI"/>
        </w:rPr>
        <w:t xml:space="preserve">verbin välillä on satunnainen. Hänen mukaansa </w:t>
      </w:r>
      <w:r w:rsidRPr="00FB4EFA">
        <w:rPr>
          <w:i/>
          <w:lang w:val="fi-FI"/>
        </w:rPr>
        <w:t>-j-</w:t>
      </w:r>
      <w:r w:rsidRPr="00FB4EFA">
        <w:rPr>
          <w:lang w:val="fi-FI"/>
        </w:rPr>
        <w:t xml:space="preserve">johdos </w:t>
      </w:r>
      <w:r w:rsidRPr="00FB4EFA">
        <w:rPr>
          <w:i/>
          <w:lang w:val="fi-FI"/>
        </w:rPr>
        <w:t>ahtaa-</w:t>
      </w:r>
      <w:r w:rsidRPr="00FB4EFA">
        <w:rPr>
          <w:lang w:val="fi-FI"/>
        </w:rPr>
        <w:t xml:space="preserve">verbistä olisi tuottanut muodot </w:t>
      </w:r>
      <w:r w:rsidRPr="00FB4EFA">
        <w:rPr>
          <w:i/>
          <w:lang w:val="fi-FI"/>
        </w:rPr>
        <w:t xml:space="preserve">*ahto </w:t>
      </w:r>
      <w:r w:rsidRPr="00FB4EFA">
        <w:rPr>
          <w:lang w:val="fi-FI"/>
        </w:rPr>
        <w:t xml:space="preserve">ja </w:t>
      </w:r>
      <w:r w:rsidRPr="00FB4EFA">
        <w:rPr>
          <w:i/>
          <w:lang w:val="fi-FI"/>
        </w:rPr>
        <w:t xml:space="preserve">*aksi. </w:t>
      </w:r>
      <w:r w:rsidRPr="00FB4EFA">
        <w:rPr>
          <w:lang w:val="fi-FI"/>
        </w:rPr>
        <w:t xml:space="preserve">Edellinen muoto on kuitenkin olemassa, ja jälkimmäinen taas edellyttää niin varhaista johtamisajankohtaa, että </w:t>
      </w:r>
      <w:r w:rsidRPr="00FB4EFA">
        <w:rPr>
          <w:i/>
          <w:lang w:val="fi-FI"/>
        </w:rPr>
        <w:t xml:space="preserve">*-kt- </w:t>
      </w:r>
      <w:r w:rsidRPr="00FB4EFA">
        <w:rPr>
          <w:lang w:val="fi-FI"/>
        </w:rPr>
        <w:t xml:space="preserve">&gt; </w:t>
      </w:r>
      <w:r w:rsidRPr="00FB4EFA">
        <w:rPr>
          <w:i/>
          <w:lang w:val="fi-FI"/>
        </w:rPr>
        <w:t>-ht-</w:t>
      </w:r>
      <w:r w:rsidRPr="00FB4EFA">
        <w:rPr>
          <w:lang w:val="fi-FI"/>
        </w:rPr>
        <w:t xml:space="preserve">muutos ei olisi vielä tapahtunut. Mikäli lainautuminen olisi näin varhainen, olettaisi </w:t>
      </w:r>
      <w:r w:rsidRPr="00FB4EFA">
        <w:rPr>
          <w:i/>
          <w:lang w:val="fi-FI"/>
        </w:rPr>
        <w:t>Ahti-</w:t>
      </w:r>
      <w:r w:rsidRPr="00FB4EFA">
        <w:rPr>
          <w:lang w:val="fi-FI"/>
        </w:rPr>
        <w:t xml:space="preserve">nimen olevan itämerensuomalaiselta levikiltään laajempi ulottuen esim. viroon. Huomattakoon tässä yhteydessä myös analogiset </w:t>
      </w:r>
      <w:r w:rsidRPr="00FB4EFA">
        <w:rPr>
          <w:i/>
          <w:lang w:val="fi-FI"/>
        </w:rPr>
        <w:t>ht-</w:t>
      </w:r>
      <w:r w:rsidRPr="00FB4EFA">
        <w:rPr>
          <w:lang w:val="fi-FI"/>
        </w:rPr>
        <w:t xml:space="preserve">vartalot kuten </w:t>
      </w:r>
      <w:r w:rsidRPr="00FB4EFA">
        <w:rPr>
          <w:i/>
          <w:lang w:val="fi-FI"/>
        </w:rPr>
        <w:t xml:space="preserve">lahti, </w:t>
      </w:r>
      <w:r w:rsidRPr="00FB4EFA">
        <w:rPr>
          <w:lang w:val="fi-FI"/>
        </w:rPr>
        <w:t xml:space="preserve">joka on korvannut varhaisemman </w:t>
      </w:r>
      <w:r w:rsidRPr="00FB4EFA">
        <w:rPr>
          <w:i/>
          <w:lang w:val="fi-FI"/>
        </w:rPr>
        <w:t>laksi-</w:t>
      </w:r>
      <w:r w:rsidRPr="00FB4EFA">
        <w:rPr>
          <w:lang w:val="fi-FI"/>
        </w:rPr>
        <w:t>vartalon verrattain myöhään.</w:t>
      </w:r>
    </w:p>
    <w:p w14:paraId="4CE1FE17" w14:textId="7C521B9E" w:rsidR="0000782F" w:rsidRPr="00FB4EFA" w:rsidRDefault="0000782F" w:rsidP="002752AF">
      <w:pPr>
        <w:ind w:firstLine="720"/>
        <w:rPr>
          <w:lang w:val="fi-FI"/>
        </w:rPr>
      </w:pPr>
      <w:r w:rsidRPr="00FB4EFA">
        <w:rPr>
          <w:lang w:val="fi-FI"/>
        </w:rPr>
        <w:t xml:space="preserve">Heikkilän argumentaatio ei näin muodoin vaikuta pitävältä, eikä ole syytä tarttua hänen konstruoimaansa monimutkaiseen </w:t>
      </w:r>
      <w:r w:rsidRPr="00FB4EFA">
        <w:rPr>
          <w:i/>
          <w:lang w:val="fi-FI"/>
        </w:rPr>
        <w:t>Ahti-</w:t>
      </w:r>
      <w:r w:rsidRPr="00FB4EFA">
        <w:rPr>
          <w:lang w:val="fi-FI"/>
        </w:rPr>
        <w:t xml:space="preserve">nimen selitykseen, jonka mukaan kyseessä olisi laina saamesta </w:t>
      </w:r>
      <w:r w:rsidRPr="00FB4EFA">
        <w:rPr>
          <w:i/>
          <w:lang w:val="fi-FI"/>
        </w:rPr>
        <w:t>*āhččē</w:t>
      </w:r>
      <w:r w:rsidR="006B1A2B" w:rsidRPr="00FB4EFA">
        <w:rPr>
          <w:lang w:val="fi-FI"/>
        </w:rPr>
        <w:t xml:space="preserve"> ’</w:t>
      </w:r>
      <w:r w:rsidRPr="00FB4EFA">
        <w:rPr>
          <w:lang w:val="fi-FI"/>
        </w:rPr>
        <w:t xml:space="preserve">isä(ntähenki)’ (&gt; saaN </w:t>
      </w:r>
      <w:r w:rsidRPr="00FB4EFA">
        <w:rPr>
          <w:i/>
          <w:lang w:val="fi-FI"/>
        </w:rPr>
        <w:t>áhčči</w:t>
      </w:r>
      <w:r w:rsidR="006B1A2B" w:rsidRPr="00FB4EFA">
        <w:rPr>
          <w:i/>
          <w:lang w:val="fi-FI"/>
        </w:rPr>
        <w:t xml:space="preserve"> </w:t>
      </w:r>
      <w:r w:rsidR="006B1A2B" w:rsidRPr="00FB4EFA">
        <w:rPr>
          <w:lang w:val="fi-FI"/>
        </w:rPr>
        <w:t>’</w:t>
      </w:r>
      <w:r w:rsidRPr="00FB4EFA">
        <w:rPr>
          <w:lang w:val="fi-FI"/>
        </w:rPr>
        <w:t>isä’). Homonyyminen henkilönimi puolestaan olisi Heikkilän mukaan germaaninen laina vartalosta</w:t>
      </w:r>
      <w:r w:rsidRPr="00FB4EFA">
        <w:rPr>
          <w:i/>
          <w:lang w:val="fi-FI"/>
        </w:rPr>
        <w:t xml:space="preserve"> *āχtiR</w:t>
      </w:r>
      <w:r w:rsidRPr="00FB4EFA">
        <w:rPr>
          <w:lang w:val="fi-FI"/>
        </w:rPr>
        <w:t xml:space="preserve"> </w:t>
      </w:r>
      <w:r w:rsidR="001B7C25" w:rsidRPr="00FB4EFA">
        <w:rPr>
          <w:lang w:val="fi-FI"/>
        </w:rPr>
        <w:t>’</w:t>
      </w:r>
      <w:r w:rsidRPr="00FB4EFA">
        <w:rPr>
          <w:lang w:val="fi-FI"/>
        </w:rPr>
        <w:t>wealth, property; family</w:t>
      </w:r>
      <w:r w:rsidR="0093480B" w:rsidRPr="00FB4EFA">
        <w:rPr>
          <w:lang w:val="fi-FI"/>
        </w:rPr>
        <w:t>’</w:t>
      </w:r>
      <w:r w:rsidRPr="00FB4EFA">
        <w:rPr>
          <w:lang w:val="fi-FI"/>
        </w:rPr>
        <w:t>. Tämä on kyllä mahdollista, mutta verkkoamisen ja nuottaamisen jumaluuden nimityksenä verkkojen kuivattamiseen liittyvä sana on mitä luontevin alkuperän selitys.</w:t>
      </w:r>
    </w:p>
    <w:p w14:paraId="14DD848F" w14:textId="77777777" w:rsidR="0000782F" w:rsidRPr="00FB4EFA" w:rsidRDefault="0000782F" w:rsidP="00402EF4">
      <w:pPr>
        <w:pStyle w:val="Heading4"/>
        <w:spacing w:line="259" w:lineRule="auto"/>
        <w:rPr>
          <w:lang w:val="fi-FI"/>
        </w:rPr>
      </w:pPr>
      <w:r w:rsidRPr="00FB4EFA">
        <w:rPr>
          <w:lang w:val="fi-FI"/>
        </w:rPr>
        <w:t>Rahkoi</w:t>
      </w:r>
    </w:p>
    <w:p w14:paraId="11333160" w14:textId="5B40ABE1" w:rsidR="0000782F" w:rsidRPr="00FB4EFA" w:rsidRDefault="0000782F" w:rsidP="002752AF">
      <w:pPr>
        <w:rPr>
          <w:lang w:val="fi-FI"/>
        </w:rPr>
      </w:pPr>
      <w:r w:rsidRPr="00FB4EFA">
        <w:rPr>
          <w:i/>
          <w:lang w:val="fi-FI"/>
        </w:rPr>
        <w:t>Rahkoi</w:t>
      </w:r>
      <w:r w:rsidRPr="00FB4EFA">
        <w:rPr>
          <w:lang w:val="fi-FI"/>
        </w:rPr>
        <w:t xml:space="preserve"> esiintyy Agricolan listassa</w:t>
      </w:r>
      <w:r w:rsidR="006B1A2B" w:rsidRPr="00FB4EFA">
        <w:rPr>
          <w:lang w:val="fi-FI"/>
        </w:rPr>
        <w:t xml:space="preserve"> ’</w:t>
      </w:r>
      <w:r w:rsidRPr="00FB4EFA">
        <w:rPr>
          <w:lang w:val="fi-FI"/>
        </w:rPr>
        <w:t>kuun mustaajana’. Myöhemmin samanlainen uskomusolento tavataan vepsäläisillä riihen- tai uuninhaltijana (</w:t>
      </w:r>
      <w:r w:rsidRPr="00FB4EFA">
        <w:rPr>
          <w:i/>
          <w:lang w:val="fi-FI"/>
        </w:rPr>
        <w:t>päčinrahkoi</w:t>
      </w:r>
      <w:r w:rsidR="00CB76D2" w:rsidRPr="00FB4EFA">
        <w:rPr>
          <w:iCs/>
          <w:lang w:val="fi-FI"/>
        </w:rPr>
        <w:t xml:space="preserve"> ’домовой</w:t>
      </w:r>
      <w:r w:rsidR="00FA3555" w:rsidRPr="00FB4EFA">
        <w:rPr>
          <w:iCs/>
          <w:lang w:val="fi-FI"/>
        </w:rPr>
        <w:t>, живущий на печи</w:t>
      </w:r>
      <w:r w:rsidR="00CB76D2" w:rsidRPr="00FB4EFA">
        <w:rPr>
          <w:iCs/>
          <w:lang w:val="fi-FI"/>
        </w:rPr>
        <w:t>’</w:t>
      </w:r>
      <w:r w:rsidRPr="00FB4EFA">
        <w:rPr>
          <w:i/>
          <w:lang w:val="fi-FI"/>
        </w:rPr>
        <w:t>, rihenrahkoi</w:t>
      </w:r>
      <w:r w:rsidR="00CB76D2" w:rsidRPr="00FB4EFA">
        <w:rPr>
          <w:i/>
          <w:lang w:val="fi-FI"/>
        </w:rPr>
        <w:t xml:space="preserve"> </w:t>
      </w:r>
      <w:r w:rsidR="00CB76D2" w:rsidRPr="00FB4EFA">
        <w:rPr>
          <w:iCs/>
          <w:lang w:val="fi-FI"/>
        </w:rPr>
        <w:t>’овинный домовой’</w:t>
      </w:r>
      <w:r w:rsidRPr="00FB4EFA">
        <w:rPr>
          <w:i/>
          <w:lang w:val="fi-FI"/>
        </w:rPr>
        <w:t xml:space="preserve">, </w:t>
      </w:r>
      <w:r w:rsidRPr="00FB4EFA">
        <w:rPr>
          <w:lang w:val="fi-FI"/>
        </w:rPr>
        <w:t>Mullonen &amp; Zajceva 1972</w:t>
      </w:r>
      <w:r w:rsidR="00CB76D2" w:rsidRPr="00FB4EFA">
        <w:rPr>
          <w:lang w:val="fi-FI"/>
        </w:rPr>
        <w:t xml:space="preserve"> s.v. </w:t>
      </w:r>
      <w:r w:rsidR="00CB76D2" w:rsidRPr="00FB4EFA">
        <w:rPr>
          <w:iCs/>
          <w:lang w:val="fi-FI"/>
        </w:rPr>
        <w:t>päčinrahkoi, rihenrahkoi</w:t>
      </w:r>
      <w:r w:rsidRPr="00FB4EFA">
        <w:rPr>
          <w:lang w:val="fi-FI"/>
        </w:rPr>
        <w:t>). Jos kyseessä on alkuaan tulen tai hiilten haltija, on luontevaa olettaa, että kyse on johdos</w:t>
      </w:r>
      <w:r w:rsidR="006B1A2B" w:rsidRPr="00FB4EFA">
        <w:rPr>
          <w:lang w:val="fi-FI"/>
        </w:rPr>
        <w:t xml:space="preserve"> ’</w:t>
      </w:r>
      <w:r w:rsidRPr="00FB4EFA">
        <w:rPr>
          <w:lang w:val="fi-FI"/>
        </w:rPr>
        <w:t xml:space="preserve">(päre)pihtiä’ tarkoittavasta </w:t>
      </w:r>
      <w:r w:rsidRPr="00FB4EFA">
        <w:rPr>
          <w:i/>
          <w:lang w:val="fi-FI"/>
        </w:rPr>
        <w:t>rahko-</w:t>
      </w:r>
      <w:r w:rsidRPr="00FB4EFA">
        <w:rPr>
          <w:lang w:val="fi-FI"/>
        </w:rPr>
        <w:t xml:space="preserve">sanasta, joka esiintyy suomen murteiden lisäksi karjalassa ja vatjassa (SKES 713, Rahkonen tulossa; SSA III: 8). Tällä on puolestaan mahdollinen vastine mordvalaiskielissä, mdE </w:t>
      </w:r>
      <w:r w:rsidRPr="00FB4EFA">
        <w:rPr>
          <w:i/>
          <w:lang w:val="fi-FI"/>
        </w:rPr>
        <w:t xml:space="preserve">raško </w:t>
      </w:r>
      <w:r w:rsidRPr="00FB4EFA">
        <w:rPr>
          <w:lang w:val="fi-FI"/>
        </w:rPr>
        <w:t xml:space="preserve">M </w:t>
      </w:r>
      <w:r w:rsidRPr="00FB4EFA">
        <w:rPr>
          <w:i/>
          <w:lang w:val="fi-FI"/>
        </w:rPr>
        <w:t>raška</w:t>
      </w:r>
      <w:r w:rsidR="006B1A2B" w:rsidRPr="00FB4EFA">
        <w:rPr>
          <w:i/>
          <w:lang w:val="fi-FI"/>
        </w:rPr>
        <w:t xml:space="preserve"> </w:t>
      </w:r>
      <w:r w:rsidR="006B1A2B" w:rsidRPr="00FB4EFA">
        <w:rPr>
          <w:lang w:val="fi-FI"/>
        </w:rPr>
        <w:t>’</w:t>
      </w:r>
      <w:r w:rsidRPr="00FB4EFA">
        <w:rPr>
          <w:lang w:val="fi-FI"/>
        </w:rPr>
        <w:t>haara; sormien väli’. Sanaa ovat balttilaisena lainana pitäneet sekä Liukkonen (1999: 11</w:t>
      </w:r>
      <w:r w:rsidR="00C65823" w:rsidRPr="00FB4EFA">
        <w:rPr>
          <w:lang w:val="fi-FI"/>
        </w:rPr>
        <w:t>4–1</w:t>
      </w:r>
      <w:r w:rsidRPr="00FB4EFA">
        <w:rPr>
          <w:lang w:val="fi-FI"/>
        </w:rPr>
        <w:t xml:space="preserve">15) että Grünthal (2012: 327). Lainaoriginaalina mainitaan kantabaltin </w:t>
      </w:r>
      <w:r w:rsidRPr="00FB4EFA">
        <w:rPr>
          <w:i/>
          <w:lang w:val="fi-FI"/>
        </w:rPr>
        <w:t xml:space="preserve">*raškā, </w:t>
      </w:r>
      <w:r w:rsidRPr="00FB4EFA">
        <w:rPr>
          <w:lang w:val="fi-FI"/>
        </w:rPr>
        <w:t xml:space="preserve">josta on kehittynyt liettuan </w:t>
      </w:r>
      <w:r w:rsidRPr="00FB4EFA">
        <w:rPr>
          <w:i/>
          <w:lang w:val="fi-FI"/>
        </w:rPr>
        <w:t>raškà</w:t>
      </w:r>
      <w:r w:rsidR="006B1A2B" w:rsidRPr="00FB4EFA">
        <w:rPr>
          <w:lang w:val="fi-FI"/>
        </w:rPr>
        <w:t xml:space="preserve"> ’</w:t>
      </w:r>
      <w:r w:rsidRPr="00FB4EFA">
        <w:rPr>
          <w:lang w:val="fi-FI"/>
        </w:rPr>
        <w:t>haaramainen tikku, jota käytetään omenoita poimittaessa’.</w:t>
      </w:r>
    </w:p>
    <w:p w14:paraId="73F9F807" w14:textId="56518C31" w:rsidR="0000782F" w:rsidRPr="00FB4EFA" w:rsidRDefault="0000782F" w:rsidP="002752AF">
      <w:pPr>
        <w:ind w:firstLine="709"/>
        <w:rPr>
          <w:lang w:val="fi-FI"/>
        </w:rPr>
      </w:pPr>
      <w:r w:rsidRPr="00FB4EFA">
        <w:rPr>
          <w:lang w:val="fi-FI"/>
        </w:rPr>
        <w:t>Entä miksi sama uskomusolento on sekä</w:t>
      </w:r>
      <w:r w:rsidR="006B1A2B" w:rsidRPr="00FB4EFA">
        <w:rPr>
          <w:lang w:val="fi-FI"/>
        </w:rPr>
        <w:t xml:space="preserve"> ’</w:t>
      </w:r>
      <w:r w:rsidRPr="00FB4EFA">
        <w:rPr>
          <w:lang w:val="fi-FI"/>
        </w:rPr>
        <w:t>kuun mustaaja’ että</w:t>
      </w:r>
      <w:r w:rsidR="006B1A2B" w:rsidRPr="00FB4EFA">
        <w:rPr>
          <w:lang w:val="fi-FI"/>
        </w:rPr>
        <w:t xml:space="preserve"> ’</w:t>
      </w:r>
      <w:r w:rsidRPr="00FB4EFA">
        <w:rPr>
          <w:lang w:val="fi-FI"/>
        </w:rPr>
        <w:t>uuninhaltija’? Ganander siteeraa Mythologia Fennicassaan runoa, jossa kuu mustuessaan pannaan</w:t>
      </w:r>
      <w:r w:rsidR="006B1A2B" w:rsidRPr="00FB4EFA">
        <w:rPr>
          <w:lang w:val="fi-FI"/>
        </w:rPr>
        <w:t xml:space="preserve"> ’</w:t>
      </w:r>
      <w:r w:rsidRPr="00FB4EFA">
        <w:rPr>
          <w:lang w:val="fi-FI"/>
        </w:rPr>
        <w:t xml:space="preserve">rautaiseen riiheen’ (Ganander 1789 s.v. </w:t>
      </w:r>
      <w:r w:rsidRPr="00FB4EFA">
        <w:rPr>
          <w:i/>
          <w:lang w:val="fi-FI"/>
        </w:rPr>
        <w:t>kuumeet</w:t>
      </w:r>
      <w:r w:rsidRPr="00FB4EFA">
        <w:rPr>
          <w:lang w:val="fi-FI"/>
        </w:rPr>
        <w:t xml:space="preserve">). Runo kertoo riihen ja kuun mustaamisen välisestä käsitteellisestä yhteydestä. Voidaan spekuloida, että tulen ja riihen pihtiä pitelevän haltian </w:t>
      </w:r>
      <w:r w:rsidRPr="00FB4EFA">
        <w:rPr>
          <w:lang w:val="fi-FI"/>
        </w:rPr>
        <w:lastRenderedPageBreak/>
        <w:t>siirtyminen kuun mustaajan rooliin saattaisi olla selitettävissä sillä, että pihdeillä käsitellään myös mustaa hiiltä, keskeistä mustan värin lähdettä.</w:t>
      </w:r>
    </w:p>
    <w:p w14:paraId="57AD21AC" w14:textId="77777777" w:rsidR="0000782F" w:rsidRPr="00FB4EFA" w:rsidRDefault="0000782F" w:rsidP="00402EF4">
      <w:pPr>
        <w:pStyle w:val="Heading4"/>
        <w:spacing w:line="259" w:lineRule="auto"/>
        <w:rPr>
          <w:lang w:val="fi-FI"/>
        </w:rPr>
      </w:pPr>
      <w:r w:rsidRPr="00FB4EFA">
        <w:rPr>
          <w:lang w:val="fi-FI"/>
        </w:rPr>
        <w:t>Liekkiö</w:t>
      </w:r>
    </w:p>
    <w:p w14:paraId="27F1AA83" w14:textId="67B4E2B3" w:rsidR="0000782F" w:rsidRPr="00FB4EFA" w:rsidRDefault="0000782F" w:rsidP="002752AF">
      <w:pPr>
        <w:rPr>
          <w:lang w:val="fi-FI"/>
        </w:rPr>
      </w:pPr>
      <w:r w:rsidRPr="00FB4EFA">
        <w:rPr>
          <w:lang w:val="fi-FI"/>
        </w:rPr>
        <w:t xml:space="preserve">Agricolan psalttarissa puiden ja ruohojen jumalana mainittu </w:t>
      </w:r>
      <w:r w:rsidRPr="00FB4EFA">
        <w:rPr>
          <w:i/>
          <w:lang w:val="fi-FI"/>
        </w:rPr>
        <w:t xml:space="preserve">liekkiö </w:t>
      </w:r>
      <w:r w:rsidRPr="00FB4EFA">
        <w:rPr>
          <w:lang w:val="fi-FI"/>
        </w:rPr>
        <w:t>esiintyy nykymurteissa merkityksessä</w:t>
      </w:r>
      <w:r w:rsidR="006B1A2B" w:rsidRPr="00FB4EFA">
        <w:rPr>
          <w:lang w:val="fi-FI"/>
        </w:rPr>
        <w:t xml:space="preserve"> ’</w:t>
      </w:r>
      <w:r w:rsidRPr="00FB4EFA">
        <w:rPr>
          <w:lang w:val="fi-FI"/>
        </w:rPr>
        <w:t>paha uskomusolento; surmatun t. kastamatta kuolleen (aviottoman) lapsen (linnunhahmoinen) sielu, jonka uskotaan huutavan t. itkevän syysöinä metsässä’ tai</w:t>
      </w:r>
      <w:r w:rsidR="006B1A2B" w:rsidRPr="00FB4EFA">
        <w:rPr>
          <w:lang w:val="fi-FI"/>
        </w:rPr>
        <w:t xml:space="preserve"> ’</w:t>
      </w:r>
      <w:r w:rsidRPr="00FB4EFA">
        <w:rPr>
          <w:lang w:val="fi-FI"/>
        </w:rPr>
        <w:t>levoton ja vallaton ihminen, erit. nainen’ (SMS s.v. liekkiö). Etymologisissa sanakirjoissa se on tulkittu sanan liekkua</w:t>
      </w:r>
      <w:r w:rsidR="006B1A2B" w:rsidRPr="00FB4EFA">
        <w:rPr>
          <w:lang w:val="fi-FI"/>
        </w:rPr>
        <w:t xml:space="preserve"> ’</w:t>
      </w:r>
      <w:r w:rsidRPr="00FB4EFA">
        <w:rPr>
          <w:lang w:val="fi-FI"/>
        </w:rPr>
        <w:t>heilua, liikkua vilkkaasti’ kanssa rinnakkaiseksi johdokseksi (SSA II: 40).</w:t>
      </w:r>
    </w:p>
    <w:p w14:paraId="7D27340F" w14:textId="4B844FF2" w:rsidR="0000782F" w:rsidRPr="00FB4EFA" w:rsidRDefault="0000782F" w:rsidP="002752AF">
      <w:pPr>
        <w:ind w:firstLine="720"/>
        <w:rPr>
          <w:lang w:val="fi-FI"/>
        </w:rPr>
      </w:pPr>
      <w:r w:rsidRPr="00FB4EFA">
        <w:rPr>
          <w:i/>
          <w:lang w:val="fi-FI"/>
        </w:rPr>
        <w:t>Liekkiö</w:t>
      </w:r>
      <w:r w:rsidRPr="00FB4EFA">
        <w:rPr>
          <w:lang w:val="fi-FI"/>
        </w:rPr>
        <w:t xml:space="preserve"> kuuluu varsin varioivaan sanueeseen. Se</w:t>
      </w:r>
      <w:r w:rsidRPr="00FB4EFA">
        <w:rPr>
          <w:i/>
          <w:lang w:val="fi-FI"/>
        </w:rPr>
        <w:t xml:space="preserve"> </w:t>
      </w:r>
      <w:r w:rsidRPr="00FB4EFA">
        <w:rPr>
          <w:lang w:val="fi-FI"/>
        </w:rPr>
        <w:t xml:space="preserve">voisi periaatteessa olla johdos sanasta </w:t>
      </w:r>
      <w:r w:rsidRPr="00FB4EFA">
        <w:rPr>
          <w:i/>
          <w:lang w:val="fi-FI"/>
        </w:rPr>
        <w:t>liekku</w:t>
      </w:r>
      <w:r w:rsidR="006B1A2B" w:rsidRPr="00FB4EFA">
        <w:rPr>
          <w:i/>
          <w:lang w:val="fi-FI"/>
        </w:rPr>
        <w:t xml:space="preserve"> </w:t>
      </w:r>
      <w:r w:rsidR="006B1A2B" w:rsidRPr="00FB4EFA">
        <w:rPr>
          <w:lang w:val="fi-FI"/>
        </w:rPr>
        <w:t>’</w:t>
      </w:r>
      <w:r w:rsidRPr="00FB4EFA">
        <w:rPr>
          <w:lang w:val="fi-FI"/>
        </w:rPr>
        <w:t xml:space="preserve">keinu’ (esim. SMS s.v. </w:t>
      </w:r>
      <w:r w:rsidRPr="00FB4EFA">
        <w:rPr>
          <w:i/>
          <w:lang w:val="fi-FI"/>
        </w:rPr>
        <w:t>liekku, liekkua</w:t>
      </w:r>
      <w:r w:rsidRPr="00FB4EFA">
        <w:rPr>
          <w:lang w:val="fi-FI"/>
        </w:rPr>
        <w:t xml:space="preserve">). Verbaalinen </w:t>
      </w:r>
      <w:r w:rsidRPr="00FB4EFA">
        <w:rPr>
          <w:i/>
          <w:lang w:val="fi-FI"/>
        </w:rPr>
        <w:t>-kku-</w:t>
      </w:r>
      <w:r w:rsidRPr="00FB4EFA">
        <w:rPr>
          <w:lang w:val="fi-FI"/>
        </w:rPr>
        <w:t xml:space="preserve">johdostyyppi vaikuttaisi kuitenkin olevan korrelaatiosuhteessa mm. </w:t>
      </w:r>
      <w:r w:rsidRPr="00FB4EFA">
        <w:rPr>
          <w:i/>
          <w:lang w:val="fi-FI"/>
        </w:rPr>
        <w:t>-hu-</w:t>
      </w:r>
      <w:r w:rsidRPr="00FB4EFA">
        <w:rPr>
          <w:lang w:val="fi-FI"/>
        </w:rPr>
        <w:t xml:space="preserve">johdoksiin, vrt. </w:t>
      </w:r>
      <w:r w:rsidRPr="00FB4EFA">
        <w:rPr>
          <w:i/>
          <w:lang w:val="fi-FI"/>
        </w:rPr>
        <w:t>riekkua ~ riehua</w:t>
      </w:r>
      <w:r w:rsidRPr="00FB4EFA">
        <w:rPr>
          <w:vertAlign w:val="superscript"/>
          <w:lang w:val="fi-FI"/>
        </w:rPr>
        <w:footnoteReference w:id="142"/>
      </w:r>
      <w:r w:rsidRPr="00FB4EFA">
        <w:rPr>
          <w:i/>
          <w:lang w:val="fi-FI"/>
        </w:rPr>
        <w:t>, kolkkaa ~ kolkata ~ kolhata ~ kolhu ~ kolhia</w:t>
      </w:r>
      <w:r w:rsidRPr="00FB4EFA">
        <w:rPr>
          <w:vertAlign w:val="superscript"/>
          <w:lang w:val="fi-FI"/>
        </w:rPr>
        <w:footnoteReference w:id="143"/>
      </w:r>
      <w:r w:rsidRPr="00FB4EFA">
        <w:rPr>
          <w:i/>
          <w:lang w:val="fi-FI"/>
        </w:rPr>
        <w:t xml:space="preserve"> </w:t>
      </w:r>
      <w:r w:rsidRPr="00FB4EFA">
        <w:rPr>
          <w:lang w:val="fi-FI"/>
        </w:rPr>
        <w:t xml:space="preserve">(Jeongdo Kim suullisesti; vastaavista verbijohdosten ja niihin pohjautuvien nominien suhteista ks. Kulonen 2010, Kim 2019). Jos </w:t>
      </w:r>
      <w:r w:rsidRPr="00FB4EFA">
        <w:rPr>
          <w:i/>
          <w:lang w:val="fi-FI"/>
        </w:rPr>
        <w:t xml:space="preserve">liekkua </w:t>
      </w:r>
      <w:r w:rsidRPr="00FB4EFA">
        <w:rPr>
          <w:lang w:val="fi-FI"/>
        </w:rPr>
        <w:t xml:space="preserve">olisi samaa kantaa kuin </w:t>
      </w:r>
      <w:r w:rsidRPr="00FB4EFA">
        <w:rPr>
          <w:i/>
          <w:lang w:val="fi-FI"/>
        </w:rPr>
        <w:t xml:space="preserve">liehua, </w:t>
      </w:r>
      <w:r w:rsidRPr="00FB4EFA">
        <w:rPr>
          <w:lang w:val="fi-FI"/>
        </w:rPr>
        <w:t>joka tarkoittaa myös</w:t>
      </w:r>
      <w:r w:rsidR="006B1A2B" w:rsidRPr="00FB4EFA">
        <w:rPr>
          <w:lang w:val="fi-FI"/>
        </w:rPr>
        <w:t xml:space="preserve"> ’</w:t>
      </w:r>
      <w:r w:rsidRPr="00FB4EFA">
        <w:rPr>
          <w:lang w:val="fi-FI"/>
        </w:rPr>
        <w:t xml:space="preserve">loimuta; liikkua, touhuta’(~ </w:t>
      </w:r>
      <w:r w:rsidRPr="00FB4EFA">
        <w:rPr>
          <w:i/>
          <w:lang w:val="fi-FI"/>
        </w:rPr>
        <w:t>liehme</w:t>
      </w:r>
      <w:r w:rsidR="006B1A2B" w:rsidRPr="00FB4EFA">
        <w:rPr>
          <w:i/>
          <w:lang w:val="fi-FI"/>
        </w:rPr>
        <w:t xml:space="preserve"> </w:t>
      </w:r>
      <w:r w:rsidR="006B1A2B" w:rsidRPr="00FB4EFA">
        <w:rPr>
          <w:lang w:val="fi-FI"/>
        </w:rPr>
        <w:t>’</w:t>
      </w:r>
      <w:r w:rsidRPr="00FB4EFA">
        <w:rPr>
          <w:lang w:val="fi-FI"/>
        </w:rPr>
        <w:t xml:space="preserve">loimu, paahde’, todennäköisesti tähän yhteyteen kuuluu myös </w:t>
      </w:r>
      <w:r w:rsidRPr="00FB4EFA">
        <w:rPr>
          <w:i/>
          <w:lang w:val="fi-FI"/>
        </w:rPr>
        <w:t>lehahtaa</w:t>
      </w:r>
      <w:r w:rsidR="006B1A2B" w:rsidRPr="00FB4EFA">
        <w:rPr>
          <w:i/>
          <w:lang w:val="fi-FI"/>
        </w:rPr>
        <w:t xml:space="preserve"> </w:t>
      </w:r>
      <w:r w:rsidR="006B1A2B" w:rsidRPr="00FB4EFA">
        <w:rPr>
          <w:lang w:val="fi-FI"/>
        </w:rPr>
        <w:t>’</w:t>
      </w:r>
      <w:r w:rsidRPr="00FB4EFA">
        <w:rPr>
          <w:lang w:val="fi-FI"/>
        </w:rPr>
        <w:t xml:space="preserve">syttyä tuleen’), lienee ehdotettavissa, että samaan yhteyteen kuuluu myös </w:t>
      </w:r>
      <w:r w:rsidRPr="00FB4EFA">
        <w:rPr>
          <w:i/>
          <w:lang w:val="fi-FI"/>
        </w:rPr>
        <w:t xml:space="preserve">liekki, </w:t>
      </w:r>
      <w:r w:rsidRPr="00FB4EFA">
        <w:rPr>
          <w:lang w:val="fi-FI"/>
        </w:rPr>
        <w:t>jolla on vastineet sekä karjalassa että virossa ja tässä mielessä kantasuomalainen tausta (SSA II: 39). Vilkkaan liikkeen ja lämmön merkitykset olisivat siis alkuperältään yhteisiä, mikä ei tarvinne erityisiä perusteluja.</w:t>
      </w:r>
      <w:r w:rsidRPr="00FB4EFA">
        <w:rPr>
          <w:vertAlign w:val="superscript"/>
          <w:lang w:val="fi-FI"/>
        </w:rPr>
        <w:footnoteReference w:id="144"/>
      </w:r>
    </w:p>
    <w:p w14:paraId="640526CC" w14:textId="77777777" w:rsidR="0000782F" w:rsidRPr="00FB4EFA" w:rsidRDefault="0000782F" w:rsidP="00402EF4">
      <w:pPr>
        <w:pStyle w:val="Heading4"/>
        <w:spacing w:line="259" w:lineRule="auto"/>
        <w:rPr>
          <w:lang w:val="fi-FI"/>
        </w:rPr>
      </w:pPr>
      <w:r w:rsidRPr="00FB4EFA">
        <w:rPr>
          <w:lang w:val="fi-FI"/>
        </w:rPr>
        <w:lastRenderedPageBreak/>
        <w:t>Ilmarinen</w:t>
      </w:r>
    </w:p>
    <w:p w14:paraId="34AE49FC" w14:textId="75A978F7" w:rsidR="0000782F" w:rsidRPr="00FB4EFA" w:rsidRDefault="0000782F" w:rsidP="00AF0CAD">
      <w:pPr>
        <w:rPr>
          <w:lang w:val="fi-FI"/>
        </w:rPr>
      </w:pPr>
      <w:r w:rsidRPr="00FB4EFA">
        <w:rPr>
          <w:lang w:val="fi-FI"/>
        </w:rPr>
        <w:t xml:space="preserve">Vanhastaan tunnettua on, että itämerensuomen </w:t>
      </w:r>
      <w:r w:rsidRPr="00FB4EFA">
        <w:rPr>
          <w:i/>
          <w:lang w:val="fi-FI"/>
        </w:rPr>
        <w:t>ilma-</w:t>
      </w:r>
      <w:r w:rsidRPr="00FB4EFA">
        <w:rPr>
          <w:lang w:val="fi-FI"/>
        </w:rPr>
        <w:t xml:space="preserve">sanueen vastine </w:t>
      </w:r>
      <w:r w:rsidRPr="00FB4EFA">
        <w:rPr>
          <w:i/>
          <w:lang w:val="fi-FI"/>
        </w:rPr>
        <w:t xml:space="preserve">jen(-m-) </w:t>
      </w:r>
      <w:r w:rsidRPr="00FB4EFA">
        <w:rPr>
          <w:lang w:val="fi-FI"/>
        </w:rPr>
        <w:t>komissa merkitsee</w:t>
      </w:r>
      <w:r w:rsidR="006B1A2B" w:rsidRPr="00FB4EFA">
        <w:rPr>
          <w:lang w:val="fi-FI"/>
        </w:rPr>
        <w:t xml:space="preserve"> ’</w:t>
      </w:r>
      <w:r w:rsidRPr="00FB4EFA">
        <w:rPr>
          <w:lang w:val="fi-FI"/>
        </w:rPr>
        <w:t xml:space="preserve">jumalaa’ (esim. SSA I s.v. </w:t>
      </w:r>
      <w:r w:rsidRPr="00FB4EFA">
        <w:rPr>
          <w:i/>
          <w:lang w:val="fi-FI"/>
        </w:rPr>
        <w:t>ilma</w:t>
      </w:r>
      <w:r w:rsidRPr="00FB4EFA">
        <w:rPr>
          <w:lang w:val="fi-FI"/>
        </w:rPr>
        <w:t>). Kyseessä on siis samantyyppinen</w:t>
      </w:r>
      <w:r w:rsidR="006B1A2B" w:rsidRPr="00FB4EFA">
        <w:rPr>
          <w:lang w:val="fi-FI"/>
        </w:rPr>
        <w:t xml:space="preserve"> ’</w:t>
      </w:r>
      <w:r w:rsidRPr="00FB4EFA">
        <w:rPr>
          <w:lang w:val="fi-FI"/>
        </w:rPr>
        <w:t>taivaan’ ja</w:t>
      </w:r>
      <w:r w:rsidR="006B1A2B" w:rsidRPr="00FB4EFA">
        <w:rPr>
          <w:lang w:val="fi-FI"/>
        </w:rPr>
        <w:t xml:space="preserve"> ’</w:t>
      </w:r>
      <w:r w:rsidRPr="00FB4EFA">
        <w:rPr>
          <w:lang w:val="fi-FI"/>
        </w:rPr>
        <w:t xml:space="preserve">jumalan’ käsitteiden samaistaminen, jonka tapaamme myös indoeurooppalaisella taholla (su </w:t>
      </w:r>
      <w:r w:rsidRPr="00FB4EFA">
        <w:rPr>
          <w:i/>
          <w:lang w:val="fi-FI"/>
        </w:rPr>
        <w:t xml:space="preserve">juma- </w:t>
      </w:r>
      <w:r w:rsidRPr="00FB4EFA">
        <w:rPr>
          <w:lang w:val="fi-FI"/>
        </w:rPr>
        <w:t xml:space="preserve">&lt; </w:t>
      </w:r>
      <w:r w:rsidR="000E6849" w:rsidRPr="00FB4EFA">
        <w:rPr>
          <w:rStyle w:val="tojvnm2t"/>
          <w:lang w:val="fi-FI"/>
        </w:rPr>
        <w:t>kiran</w:t>
      </w:r>
      <w:r w:rsidR="000E6849" w:rsidRPr="00FB4EFA">
        <w:rPr>
          <w:i/>
          <w:lang w:val="fi-FI"/>
        </w:rPr>
        <w:t xml:space="preserve"> </w:t>
      </w:r>
      <w:r w:rsidRPr="00FB4EFA">
        <w:rPr>
          <w:i/>
          <w:lang w:val="fi-FI"/>
        </w:rPr>
        <w:t xml:space="preserve">*dyuman- </w:t>
      </w:r>
      <w:r w:rsidRPr="00FB4EFA">
        <w:rPr>
          <w:lang w:val="fi-FI"/>
        </w:rPr>
        <w:t>←</w:t>
      </w:r>
      <w:r w:rsidRPr="00FB4EFA">
        <w:rPr>
          <w:i/>
          <w:lang w:val="fi-FI"/>
        </w:rPr>
        <w:t>*dyew-</w:t>
      </w:r>
      <w:r w:rsidR="006B1A2B" w:rsidRPr="00FB4EFA">
        <w:rPr>
          <w:i/>
          <w:lang w:val="fi-FI"/>
        </w:rPr>
        <w:t xml:space="preserve"> </w:t>
      </w:r>
      <w:r w:rsidR="006B1A2B" w:rsidRPr="00FB4EFA">
        <w:rPr>
          <w:lang w:val="fi-FI"/>
        </w:rPr>
        <w:t>’</w:t>
      </w:r>
      <w:r w:rsidRPr="00FB4EFA">
        <w:rPr>
          <w:lang w:val="fi-FI"/>
        </w:rPr>
        <w:t xml:space="preserve">taivas-’, su </w:t>
      </w:r>
      <w:r w:rsidRPr="00FB4EFA">
        <w:rPr>
          <w:i/>
          <w:lang w:val="fi-FI"/>
        </w:rPr>
        <w:t xml:space="preserve">taivas </w:t>
      </w:r>
      <w:r w:rsidRPr="00FB4EFA">
        <w:rPr>
          <w:lang w:val="fi-FI"/>
        </w:rPr>
        <w:t xml:space="preserve">&lt; ?balt </w:t>
      </w:r>
      <w:r w:rsidRPr="00FB4EFA">
        <w:rPr>
          <w:i/>
          <w:lang w:val="fi-FI"/>
        </w:rPr>
        <w:t xml:space="preserve">*deivas </w:t>
      </w:r>
      <w:r w:rsidRPr="00FB4EFA">
        <w:rPr>
          <w:lang w:val="fi-FI"/>
        </w:rPr>
        <w:t xml:space="preserve">&lt; </w:t>
      </w:r>
      <w:r w:rsidR="000E6849" w:rsidRPr="00FB4EFA">
        <w:rPr>
          <w:lang w:val="fi-FI"/>
        </w:rPr>
        <w:t xml:space="preserve">kieur </w:t>
      </w:r>
      <w:r w:rsidRPr="00FB4EFA">
        <w:rPr>
          <w:i/>
          <w:lang w:val="fi-FI"/>
        </w:rPr>
        <w:t xml:space="preserve">*deiwos </w:t>
      </w:r>
      <w:r w:rsidRPr="00FB4EFA">
        <w:rPr>
          <w:lang w:val="fi-FI"/>
        </w:rPr>
        <w:t xml:space="preserve">&gt; lat </w:t>
      </w:r>
      <w:r w:rsidRPr="00FB4EFA">
        <w:rPr>
          <w:i/>
          <w:lang w:val="fi-FI"/>
        </w:rPr>
        <w:t>Deus</w:t>
      </w:r>
      <w:r w:rsidR="006B1A2B" w:rsidRPr="00FB4EFA">
        <w:rPr>
          <w:i/>
          <w:lang w:val="fi-FI"/>
        </w:rPr>
        <w:t xml:space="preserve"> </w:t>
      </w:r>
      <w:r w:rsidR="006B1A2B" w:rsidRPr="00FB4EFA">
        <w:rPr>
          <w:lang w:val="fi-FI"/>
        </w:rPr>
        <w:t>’</w:t>
      </w:r>
      <w:r w:rsidRPr="00FB4EFA">
        <w:rPr>
          <w:lang w:val="fi-FI"/>
        </w:rPr>
        <w:t>Jumala’, de Vaan 2008: 167; Fraenkel 1962</w:t>
      </w:r>
      <w:r w:rsidR="00F4627D" w:rsidRPr="00FB4EFA">
        <w:rPr>
          <w:lang w:val="fi-FI"/>
        </w:rPr>
        <w:t>–1965</w:t>
      </w:r>
      <w:r w:rsidRPr="00FB4EFA">
        <w:rPr>
          <w:lang w:val="fi-FI"/>
        </w:rPr>
        <w:t>:</w:t>
      </w:r>
      <w:r w:rsidR="00F4627D" w:rsidRPr="00FB4EFA">
        <w:rPr>
          <w:lang w:val="fi-FI"/>
        </w:rPr>
        <w:t xml:space="preserve"> 1:</w:t>
      </w:r>
      <w:r w:rsidRPr="00FB4EFA">
        <w:rPr>
          <w:lang w:val="fi-FI"/>
        </w:rPr>
        <w:t xml:space="preserve"> 9</w:t>
      </w:r>
      <w:r w:rsidR="00C65823" w:rsidRPr="00FB4EFA">
        <w:rPr>
          <w:lang w:val="fi-FI"/>
        </w:rPr>
        <w:t>3–9</w:t>
      </w:r>
      <w:r w:rsidRPr="00FB4EFA">
        <w:rPr>
          <w:lang w:val="fi-FI"/>
        </w:rPr>
        <w:t xml:space="preserve">4). Frog (2011) esittää, että </w:t>
      </w:r>
      <w:r w:rsidRPr="00FB4EFA">
        <w:rPr>
          <w:i/>
          <w:lang w:val="fi-FI"/>
        </w:rPr>
        <w:t xml:space="preserve">Ilmarinen </w:t>
      </w:r>
      <w:r w:rsidRPr="00FB4EFA">
        <w:rPr>
          <w:lang w:val="fi-FI"/>
        </w:rPr>
        <w:t>on aikaisemmin ollut keskeinen jumala, jonka taivaanjumalan tehtävät ovat attestoidussa kansanrunoudessa siirtyneet taivaanjumala Ukolle, ja joka on kansanomaisessa epiikassa jäänyt uuden Odinia muistuttavan, skandinaavikontakteissa muotoutuneen pääsankarin Väinämöisen varjoon.</w:t>
      </w:r>
    </w:p>
    <w:p w14:paraId="1D591547" w14:textId="69C75BE3" w:rsidR="0000782F" w:rsidRPr="00FB4EFA" w:rsidRDefault="0000782F" w:rsidP="00AF0CAD">
      <w:pPr>
        <w:ind w:firstLine="720"/>
        <w:rPr>
          <w:lang w:val="fi-FI"/>
        </w:rPr>
      </w:pPr>
      <w:r w:rsidRPr="00FB4EFA">
        <w:rPr>
          <w:i/>
          <w:lang w:val="fi-FI"/>
        </w:rPr>
        <w:t xml:space="preserve">Ilmarinen </w:t>
      </w:r>
      <w:r w:rsidRPr="00FB4EFA">
        <w:rPr>
          <w:lang w:val="fi-FI"/>
        </w:rPr>
        <w:t xml:space="preserve">edustaa siis vanhaa taivaanjumalaa, jonka nimitys on johdettu sanasta </w:t>
      </w:r>
      <w:r w:rsidRPr="00FB4EFA">
        <w:rPr>
          <w:i/>
          <w:lang w:val="fi-FI"/>
        </w:rPr>
        <w:t xml:space="preserve">*ilma. </w:t>
      </w:r>
      <w:r w:rsidRPr="00FB4EFA">
        <w:rPr>
          <w:lang w:val="fi-FI"/>
        </w:rPr>
        <w:t xml:space="preserve">Tällä sanalla on ollut länsiuralissa mahdollisesti samanlainen kaksoismerkitys kuin </w:t>
      </w:r>
      <w:r w:rsidR="000E6849" w:rsidRPr="00FB4EFA">
        <w:rPr>
          <w:lang w:val="fi-FI"/>
        </w:rPr>
        <w:t xml:space="preserve">kieur </w:t>
      </w:r>
      <w:r w:rsidRPr="00FB4EFA">
        <w:rPr>
          <w:i/>
          <w:lang w:val="fi-FI"/>
        </w:rPr>
        <w:t>*deiwos</w:t>
      </w:r>
      <w:r w:rsidRPr="00FB4EFA">
        <w:rPr>
          <w:lang w:val="fi-FI"/>
        </w:rPr>
        <w:t xml:space="preserve">-sanueella. Olen esittänyt, että udmurttien pääjumalan </w:t>
      </w:r>
      <w:r w:rsidRPr="00FB4EFA">
        <w:rPr>
          <w:i/>
          <w:lang w:val="fi-FI"/>
        </w:rPr>
        <w:t xml:space="preserve">Inmarin </w:t>
      </w:r>
      <w:r w:rsidRPr="00FB4EFA">
        <w:rPr>
          <w:lang w:val="fi-FI"/>
        </w:rPr>
        <w:t xml:space="preserve">nimi voisi olla laina länsiuralista samaan tapaan kuin jo vanhastaan tunnettu venäläisten udmurttiin asti ulottuva etnonyymi (ko </w:t>
      </w:r>
      <w:r w:rsidRPr="00FB4EFA">
        <w:rPr>
          <w:i/>
          <w:lang w:val="fi-FI"/>
        </w:rPr>
        <w:t>roč</w:t>
      </w:r>
      <w:r w:rsidRPr="00FB4EFA">
        <w:rPr>
          <w:lang w:val="fi-FI"/>
        </w:rPr>
        <w:t xml:space="preserve"> ud </w:t>
      </w:r>
      <w:r w:rsidR="009013B4" w:rsidRPr="00FB4EFA">
        <w:rPr>
          <w:rFonts w:eastAsia="Arial Unicode MS" w:cs="Charis SIL"/>
          <w:i/>
          <w:lang w:val="fi-FI"/>
        </w:rPr>
        <w:t>ʒ́</w:t>
      </w:r>
      <w:r w:rsidRPr="00FB4EFA">
        <w:rPr>
          <w:rFonts w:cs="Charis SIL"/>
          <w:i/>
          <w:lang w:val="fi-FI"/>
        </w:rPr>
        <w:t>u</w:t>
      </w:r>
      <w:r w:rsidR="006B1A2B" w:rsidRPr="00FB4EFA">
        <w:rPr>
          <w:rFonts w:cs="Charis SIL"/>
          <w:i/>
          <w:lang w:val="fi-FI"/>
        </w:rPr>
        <w:t>č́</w:t>
      </w:r>
      <w:r w:rsidRPr="00FB4EFA">
        <w:rPr>
          <w:rFonts w:cs="Charis SIL"/>
          <w:lang w:val="fi-FI"/>
        </w:rPr>
        <w:t>). Samaan yhteyteen voi liittyä myös tshuvassissa esiintyvä pahan hengen</w:t>
      </w:r>
      <w:r w:rsidRPr="00FB4EFA">
        <w:rPr>
          <w:lang w:val="fi-FI"/>
        </w:rPr>
        <w:t xml:space="preserve"> nimitys </w:t>
      </w:r>
      <w:r w:rsidRPr="00FB4EFA">
        <w:rPr>
          <w:i/>
          <w:lang w:val="fi-FI"/>
        </w:rPr>
        <w:t xml:space="preserve">Ilmar’ </w:t>
      </w:r>
      <w:r w:rsidRPr="00FB4EFA">
        <w:rPr>
          <w:lang w:val="fi-FI"/>
        </w:rPr>
        <w:t>(Saarikivi 2018). Oletusta on kriittisesti käsitellyt Metsäranta (2020: 23</w:t>
      </w:r>
      <w:r w:rsidR="00C65823" w:rsidRPr="00FB4EFA">
        <w:rPr>
          <w:lang w:val="fi-FI"/>
        </w:rPr>
        <w:t>7–2</w:t>
      </w:r>
      <w:r w:rsidRPr="00FB4EFA">
        <w:rPr>
          <w:lang w:val="fi-FI"/>
        </w:rPr>
        <w:t>38,). Parpola (2019: 14</w:t>
      </w:r>
      <w:r w:rsidR="00C65823" w:rsidRPr="00FB4EFA">
        <w:rPr>
          <w:lang w:val="fi-FI"/>
        </w:rPr>
        <w:t>8–1</w:t>
      </w:r>
      <w:r w:rsidRPr="00FB4EFA">
        <w:rPr>
          <w:lang w:val="fi-FI"/>
        </w:rPr>
        <w:t xml:space="preserve">49) on yrittänyt yhdistää indoiranilaisen </w:t>
      </w:r>
      <w:r w:rsidRPr="00FB4EFA">
        <w:rPr>
          <w:i/>
          <w:lang w:val="fi-FI"/>
        </w:rPr>
        <w:t>Indra-</w:t>
      </w:r>
      <w:r w:rsidRPr="00FB4EFA">
        <w:rPr>
          <w:lang w:val="fi-FI"/>
        </w:rPr>
        <w:t xml:space="preserve">jumalan ja Ilmari(sen)-nimet, mutta tähänkin oletukseen liittyy epäselvyyksiä </w:t>
      </w:r>
      <w:r w:rsidR="00132900" w:rsidRPr="00FB4EFA">
        <w:rPr>
          <w:lang w:val="fi-FI"/>
        </w:rPr>
        <w:br/>
      </w:r>
      <w:r w:rsidRPr="00FB4EFA">
        <w:rPr>
          <w:lang w:val="fi-FI"/>
        </w:rPr>
        <w:t>(Metsäranta ibid., Holopainen 2019: 389).</w:t>
      </w:r>
    </w:p>
    <w:p w14:paraId="7D91F844" w14:textId="77777777" w:rsidR="0000782F" w:rsidRPr="00FB4EFA" w:rsidRDefault="0000782F" w:rsidP="00AF0CAD">
      <w:pPr>
        <w:ind w:firstLine="720"/>
        <w:rPr>
          <w:lang w:val="fi-FI"/>
        </w:rPr>
      </w:pPr>
      <w:r w:rsidRPr="00FB4EFA">
        <w:rPr>
          <w:lang w:val="fi-FI"/>
        </w:rPr>
        <w:t xml:space="preserve">Psalttarin jumalanluettelon nimien selittämisen kannalta oleellista on lähinnä, että </w:t>
      </w:r>
      <w:r w:rsidRPr="00FB4EFA">
        <w:rPr>
          <w:i/>
          <w:lang w:val="fi-FI"/>
        </w:rPr>
        <w:t xml:space="preserve">Ilmarinen </w:t>
      </w:r>
      <w:r w:rsidRPr="00FB4EFA">
        <w:rPr>
          <w:lang w:val="fi-FI"/>
        </w:rPr>
        <w:t>on vanhan länsiuralilaisen taivaanjumalan nimityksen jatkaja suomen kielessä, ja edustaa samalla taivaan personifikaatiota jumalaksi.</w:t>
      </w:r>
    </w:p>
    <w:p w14:paraId="63EE40BD" w14:textId="77777777" w:rsidR="0000782F" w:rsidRPr="00FB4EFA" w:rsidRDefault="0000782F" w:rsidP="00402EF4">
      <w:pPr>
        <w:pStyle w:val="Heading4"/>
        <w:spacing w:line="259" w:lineRule="auto"/>
        <w:rPr>
          <w:lang w:val="fi-FI"/>
        </w:rPr>
      </w:pPr>
      <w:r w:rsidRPr="00FB4EFA">
        <w:rPr>
          <w:lang w:val="fi-FI"/>
        </w:rPr>
        <w:lastRenderedPageBreak/>
        <w:t>Kekri</w:t>
      </w:r>
    </w:p>
    <w:p w14:paraId="46366C33" w14:textId="77777777" w:rsidR="0000782F" w:rsidRPr="00FB4EFA" w:rsidRDefault="0000782F" w:rsidP="00AF0CAD">
      <w:pPr>
        <w:rPr>
          <w:i/>
          <w:lang w:val="fi-FI"/>
        </w:rPr>
      </w:pPr>
      <w:r w:rsidRPr="00FB4EFA">
        <w:rPr>
          <w:lang w:val="fi-FI"/>
        </w:rPr>
        <w:t xml:space="preserve">Kekri, joka Agricolan psalttarin esipuheessa mainitaan karjan kasvua lisäävänä jumalana, on muuten tunnettu lähinnä syksyn vuotuisjuhlan nimityksenä. Sanan variantteja eri murteissa ovat mm. </w:t>
      </w:r>
      <w:r w:rsidRPr="00FB4EFA">
        <w:rPr>
          <w:i/>
          <w:lang w:val="fi-FI"/>
        </w:rPr>
        <w:t>köyri, keyri, köyry</w:t>
      </w:r>
      <w:r w:rsidRPr="00FB4EFA">
        <w:rPr>
          <w:lang w:val="fi-FI"/>
        </w:rPr>
        <w:t xml:space="preserve"> SSA (I s.v. </w:t>
      </w:r>
      <w:r w:rsidRPr="00FB4EFA">
        <w:rPr>
          <w:i/>
          <w:lang w:val="fi-FI"/>
        </w:rPr>
        <w:t>kekri</w:t>
      </w:r>
      <w:r w:rsidRPr="00FB4EFA">
        <w:rPr>
          <w:lang w:val="fi-FI"/>
        </w:rPr>
        <w:t xml:space="preserve">). Myös Ganander (1789 s.v. </w:t>
      </w:r>
      <w:r w:rsidRPr="00FB4EFA">
        <w:rPr>
          <w:i/>
          <w:lang w:val="fi-FI"/>
        </w:rPr>
        <w:t>kekri</w:t>
      </w:r>
      <w:r w:rsidRPr="00FB4EFA">
        <w:rPr>
          <w:lang w:val="fi-FI"/>
        </w:rPr>
        <w:t xml:space="preserve">) tuntee molemmat merkitykset sekä erikseen äänne- tai kirjoitusasut </w:t>
      </w:r>
      <w:r w:rsidRPr="00FB4EFA">
        <w:rPr>
          <w:i/>
          <w:lang w:val="fi-FI"/>
        </w:rPr>
        <w:t xml:space="preserve">kekri </w:t>
      </w:r>
      <w:r w:rsidRPr="00FB4EFA">
        <w:rPr>
          <w:lang w:val="fi-FI"/>
        </w:rPr>
        <w:t xml:space="preserve">ja </w:t>
      </w:r>
      <w:r w:rsidRPr="00FB4EFA">
        <w:rPr>
          <w:i/>
          <w:lang w:val="fi-FI"/>
        </w:rPr>
        <w:t>käkri.</w:t>
      </w:r>
    </w:p>
    <w:p w14:paraId="63120918" w14:textId="7ACFF093" w:rsidR="000121EA" w:rsidRPr="00FB4EFA" w:rsidRDefault="0000782F" w:rsidP="00AF0CAD">
      <w:pPr>
        <w:ind w:firstLine="720"/>
        <w:rPr>
          <w:i/>
          <w:lang w:val="fi-FI"/>
        </w:rPr>
      </w:pPr>
      <w:r w:rsidRPr="00FB4EFA">
        <w:rPr>
          <w:lang w:val="fi-FI"/>
        </w:rPr>
        <w:t>Jorma Koivulehto (20</w:t>
      </w:r>
      <w:r w:rsidR="00892BF7" w:rsidRPr="00FB4EFA">
        <w:rPr>
          <w:lang w:val="fi-FI"/>
        </w:rPr>
        <w:t>16</w:t>
      </w:r>
      <w:r w:rsidRPr="00FB4EFA">
        <w:rPr>
          <w:lang w:val="fi-FI"/>
        </w:rPr>
        <w:t>: 24</w:t>
      </w:r>
      <w:r w:rsidR="00892BF7" w:rsidRPr="00FB4EFA">
        <w:rPr>
          <w:lang w:val="fi-FI"/>
        </w:rPr>
        <w:t>5</w:t>
      </w:r>
      <w:r w:rsidR="009013B4" w:rsidRPr="00FB4EFA">
        <w:rPr>
          <w:lang w:val="fi-FI"/>
        </w:rPr>
        <w:t>–</w:t>
      </w:r>
      <w:r w:rsidRPr="00FB4EFA">
        <w:rPr>
          <w:lang w:val="fi-FI"/>
        </w:rPr>
        <w:t>2</w:t>
      </w:r>
      <w:r w:rsidR="00892BF7" w:rsidRPr="00FB4EFA">
        <w:rPr>
          <w:lang w:val="fi-FI"/>
        </w:rPr>
        <w:t>50</w:t>
      </w:r>
      <w:r w:rsidRPr="00FB4EFA">
        <w:rPr>
          <w:lang w:val="fi-FI"/>
        </w:rPr>
        <w:t>) on esittänyt, että kyseessä on johdos (</w:t>
      </w:r>
      <w:r w:rsidRPr="00FB4EFA">
        <w:rPr>
          <w:i/>
          <w:lang w:val="fi-FI"/>
        </w:rPr>
        <w:t>*kekrä-j</w:t>
      </w:r>
      <w:r w:rsidRPr="00FB4EFA">
        <w:rPr>
          <w:lang w:val="fi-FI"/>
        </w:rPr>
        <w:t>)</w:t>
      </w:r>
      <w:r w:rsidRPr="00FB4EFA">
        <w:rPr>
          <w:i/>
          <w:lang w:val="fi-FI"/>
        </w:rPr>
        <w:t xml:space="preserve"> </w:t>
      </w:r>
      <w:r w:rsidRPr="00FB4EFA">
        <w:rPr>
          <w:lang w:val="fi-FI"/>
        </w:rPr>
        <w:t xml:space="preserve">sellaisenaan attestoimattomasta </w:t>
      </w:r>
      <w:r w:rsidRPr="00FB4EFA">
        <w:rPr>
          <w:i/>
          <w:lang w:val="fi-FI"/>
        </w:rPr>
        <w:t>*kekrä-</w:t>
      </w:r>
      <w:r w:rsidRPr="00FB4EFA">
        <w:rPr>
          <w:lang w:val="fi-FI"/>
        </w:rPr>
        <w:t>sanasta, joka hänen mukaansa olisi tarkoittanut</w:t>
      </w:r>
      <w:r w:rsidR="006B1A2B" w:rsidRPr="00FB4EFA">
        <w:rPr>
          <w:lang w:val="fi-FI"/>
        </w:rPr>
        <w:t xml:space="preserve"> ’</w:t>
      </w:r>
      <w:r w:rsidRPr="00FB4EFA">
        <w:rPr>
          <w:lang w:val="fi-FI"/>
        </w:rPr>
        <w:t>ympyrää’ tai</w:t>
      </w:r>
      <w:r w:rsidR="006B1A2B" w:rsidRPr="00FB4EFA">
        <w:rPr>
          <w:lang w:val="fi-FI"/>
        </w:rPr>
        <w:t xml:space="preserve"> ’</w:t>
      </w:r>
      <w:r w:rsidRPr="00FB4EFA">
        <w:rPr>
          <w:lang w:val="fi-FI"/>
        </w:rPr>
        <w:t>pyörää’, josta taas olisi syntynyt</w:t>
      </w:r>
      <w:r w:rsidR="006B1A2B" w:rsidRPr="00FB4EFA">
        <w:rPr>
          <w:lang w:val="fi-FI"/>
        </w:rPr>
        <w:t xml:space="preserve"> ’</w:t>
      </w:r>
      <w:r w:rsidRPr="00FB4EFA">
        <w:rPr>
          <w:lang w:val="fi-FI"/>
        </w:rPr>
        <w:t>vuoden kierron’ merkitys. Kehitys olisi siis tapahtunut samaan tapaan kuin germaanisessa</w:t>
      </w:r>
      <w:r w:rsidR="006B1A2B" w:rsidRPr="00FB4EFA">
        <w:rPr>
          <w:lang w:val="fi-FI"/>
        </w:rPr>
        <w:t xml:space="preserve"> ’</w:t>
      </w:r>
      <w:r w:rsidRPr="00FB4EFA">
        <w:rPr>
          <w:lang w:val="fi-FI"/>
        </w:rPr>
        <w:t>joulua’ ja</w:t>
      </w:r>
      <w:r w:rsidR="006B1A2B" w:rsidRPr="00FB4EFA">
        <w:rPr>
          <w:lang w:val="fi-FI"/>
        </w:rPr>
        <w:t xml:space="preserve"> ’</w:t>
      </w:r>
      <w:r w:rsidRPr="00FB4EFA">
        <w:rPr>
          <w:lang w:val="fi-FI"/>
        </w:rPr>
        <w:t>pyörää’ merkitsevässä sanueessa</w:t>
      </w:r>
      <w:r w:rsidRPr="00FB4EFA">
        <w:rPr>
          <w:i/>
          <w:lang w:val="fi-FI"/>
        </w:rPr>
        <w:t xml:space="preserve"> </w:t>
      </w:r>
      <w:r w:rsidRPr="00FB4EFA">
        <w:rPr>
          <w:lang w:val="fi-FI"/>
        </w:rPr>
        <w:t xml:space="preserve">(esim. ru) </w:t>
      </w:r>
      <w:r w:rsidRPr="00FB4EFA">
        <w:rPr>
          <w:i/>
          <w:lang w:val="fi-FI"/>
        </w:rPr>
        <w:t>jul ~ hjul</w:t>
      </w:r>
      <w:r w:rsidRPr="00FB4EFA">
        <w:rPr>
          <w:lang w:val="fi-FI"/>
        </w:rPr>
        <w:t xml:space="preserve">. Johtamaton sanavartalo olisi edustuneena saamen sanavartalossa </w:t>
      </w:r>
      <w:r w:rsidRPr="00FB4EFA">
        <w:rPr>
          <w:i/>
          <w:lang w:val="fi-FI"/>
        </w:rPr>
        <w:t xml:space="preserve">geavri </w:t>
      </w:r>
      <w:r w:rsidRPr="00FB4EFA">
        <w:rPr>
          <w:lang w:val="fi-FI"/>
        </w:rPr>
        <w:t xml:space="preserve">(&lt; </w:t>
      </w:r>
      <w:r w:rsidRPr="00FB4EFA">
        <w:rPr>
          <w:i/>
          <w:lang w:val="fi-FI"/>
        </w:rPr>
        <w:t xml:space="preserve">*kekrä </w:t>
      </w:r>
      <w:r w:rsidRPr="00FB4EFA">
        <w:rPr>
          <w:lang w:val="fi-FI"/>
        </w:rPr>
        <w:t xml:space="preserve">tai </w:t>
      </w:r>
      <w:r w:rsidRPr="00FB4EFA">
        <w:rPr>
          <w:i/>
          <w:lang w:val="fi-FI"/>
        </w:rPr>
        <w:t>*kevrä</w:t>
      </w:r>
      <w:r w:rsidRPr="00FB4EFA">
        <w:rPr>
          <w:lang w:val="fi-FI"/>
        </w:rPr>
        <w:t>)</w:t>
      </w:r>
      <w:r w:rsidRPr="00FB4EFA">
        <w:rPr>
          <w:i/>
          <w:lang w:val="fi-FI"/>
        </w:rPr>
        <w:t xml:space="preserve">, </w:t>
      </w:r>
      <w:r w:rsidRPr="00FB4EFA">
        <w:rPr>
          <w:lang w:val="fi-FI"/>
        </w:rPr>
        <w:t>joka tarkoittaa mm.</w:t>
      </w:r>
      <w:r w:rsidR="006B1A2B" w:rsidRPr="00FB4EFA">
        <w:rPr>
          <w:lang w:val="fi-FI"/>
        </w:rPr>
        <w:t xml:space="preserve"> ’</w:t>
      </w:r>
      <w:r w:rsidRPr="00FB4EFA">
        <w:rPr>
          <w:lang w:val="fi-FI"/>
        </w:rPr>
        <w:t>sompaa’ ja</w:t>
      </w:r>
      <w:r w:rsidR="006B1A2B" w:rsidRPr="00FB4EFA">
        <w:rPr>
          <w:lang w:val="fi-FI"/>
        </w:rPr>
        <w:t xml:space="preserve"> ’</w:t>
      </w:r>
      <w:r w:rsidRPr="00FB4EFA">
        <w:rPr>
          <w:lang w:val="fi-FI"/>
        </w:rPr>
        <w:t xml:space="preserve">noitarumpua’. Koko </w:t>
      </w:r>
      <w:r w:rsidRPr="00FB4EFA">
        <w:rPr>
          <w:i/>
          <w:lang w:val="fi-FI"/>
        </w:rPr>
        <w:t>*kekrä-</w:t>
      </w:r>
      <w:r w:rsidRPr="00FB4EFA">
        <w:rPr>
          <w:lang w:val="fi-FI"/>
        </w:rPr>
        <w:t xml:space="preserve">sanue puolestaan olisi Koivulehdon mukaan esiarjalainen laina originaalista </w:t>
      </w:r>
      <w:r w:rsidRPr="00FB4EFA">
        <w:rPr>
          <w:i/>
          <w:lang w:val="fi-FI"/>
        </w:rPr>
        <w:t xml:space="preserve">*kekro-, </w:t>
      </w:r>
      <w:r w:rsidRPr="00FB4EFA">
        <w:rPr>
          <w:lang w:val="fi-FI"/>
        </w:rPr>
        <w:t xml:space="preserve">jonka jatkaja on sanskritin </w:t>
      </w:r>
      <w:r w:rsidRPr="00FB4EFA">
        <w:rPr>
          <w:i/>
          <w:lang w:val="fi-FI"/>
        </w:rPr>
        <w:t>cakra-</w:t>
      </w:r>
      <w:r w:rsidR="006B1A2B" w:rsidRPr="00FB4EFA">
        <w:rPr>
          <w:i/>
          <w:lang w:val="fi-FI"/>
        </w:rPr>
        <w:t xml:space="preserve"> </w:t>
      </w:r>
      <w:r w:rsidR="006B1A2B" w:rsidRPr="00FB4EFA">
        <w:rPr>
          <w:lang w:val="fi-FI"/>
        </w:rPr>
        <w:t>’</w:t>
      </w:r>
      <w:r w:rsidRPr="00FB4EFA">
        <w:rPr>
          <w:lang w:val="fi-FI"/>
        </w:rPr>
        <w:t xml:space="preserve">pyörä’. Samasta sanueesta olisi lainattu myös levikiltään laajempi (ims saa md) </w:t>
      </w:r>
      <w:r w:rsidRPr="00FB4EFA">
        <w:rPr>
          <w:i/>
          <w:lang w:val="fi-FI"/>
        </w:rPr>
        <w:t xml:space="preserve">kehrä </w:t>
      </w:r>
      <w:r w:rsidRPr="00FB4EFA">
        <w:rPr>
          <w:lang w:val="fi-FI"/>
        </w:rPr>
        <w:t xml:space="preserve">(~ sanskr. </w:t>
      </w:r>
      <w:r w:rsidRPr="00FB4EFA">
        <w:rPr>
          <w:i/>
          <w:lang w:val="fi-FI"/>
        </w:rPr>
        <w:t xml:space="preserve">cattra-m, </w:t>
      </w:r>
      <w:r w:rsidRPr="00FB4EFA">
        <w:rPr>
          <w:lang w:val="fi-FI"/>
        </w:rPr>
        <w:t xml:space="preserve">ibid., SSA I s.v. </w:t>
      </w:r>
      <w:r w:rsidRPr="00FB4EFA">
        <w:rPr>
          <w:i/>
          <w:lang w:val="fi-FI"/>
        </w:rPr>
        <w:t>kehrä</w:t>
      </w:r>
      <w:r w:rsidRPr="00FB4EFA">
        <w:rPr>
          <w:lang w:val="fi-FI"/>
        </w:rPr>
        <w:t xml:space="preserve">). </w:t>
      </w:r>
      <w:r w:rsidR="00132900" w:rsidRPr="00FB4EFA">
        <w:rPr>
          <w:lang w:val="fi-FI"/>
        </w:rPr>
        <w:br/>
      </w:r>
      <w:r w:rsidRPr="00FB4EFA">
        <w:rPr>
          <w:lang w:val="fi-FI"/>
        </w:rPr>
        <w:t xml:space="preserve">Molempia etymologioita on pidetty uskottavina Sampsa Holopaisen </w:t>
      </w:r>
      <w:r w:rsidR="00132900" w:rsidRPr="00FB4EFA">
        <w:rPr>
          <w:lang w:val="fi-FI"/>
        </w:rPr>
        <w:br/>
      </w:r>
      <w:r w:rsidRPr="00FB4EFA">
        <w:rPr>
          <w:lang w:val="fi-FI"/>
        </w:rPr>
        <w:t xml:space="preserve">uralilaisten kielten indoiranilaisten lainojen kompendiumissa </w:t>
      </w:r>
      <w:r w:rsidR="00132900" w:rsidRPr="00FB4EFA">
        <w:rPr>
          <w:lang w:val="fi-FI"/>
        </w:rPr>
        <w:br/>
      </w:r>
      <w:r w:rsidRPr="00FB4EFA">
        <w:rPr>
          <w:lang w:val="fi-FI"/>
        </w:rPr>
        <w:t>(Holopainen 2019: 11</w:t>
      </w:r>
      <w:r w:rsidR="00C65823" w:rsidRPr="00FB4EFA">
        <w:rPr>
          <w:lang w:val="fi-FI"/>
        </w:rPr>
        <w:t>7–1</w:t>
      </w:r>
      <w:r w:rsidRPr="00FB4EFA">
        <w:rPr>
          <w:lang w:val="fi-FI"/>
        </w:rPr>
        <w:t>19).</w:t>
      </w:r>
    </w:p>
    <w:p w14:paraId="5F1095CF" w14:textId="5DB3BF74" w:rsidR="0000782F" w:rsidRPr="00FB4EFA" w:rsidRDefault="0000782F" w:rsidP="00AF0CAD">
      <w:pPr>
        <w:ind w:firstLine="709"/>
        <w:rPr>
          <w:lang w:val="fi-FI"/>
        </w:rPr>
      </w:pPr>
      <w:r w:rsidRPr="00FB4EFA">
        <w:rPr>
          <w:lang w:val="fi-FI"/>
        </w:rPr>
        <w:t xml:space="preserve">Vaikka Koivulehdon etymologia on äänteellisesti mahdollinen ja semanttisestikin perusteltu, on se melko konstruoidun oloinen. Lainautumisajankohtaan (esiarja, </w:t>
      </w:r>
      <w:r w:rsidRPr="00FB4EFA">
        <w:rPr>
          <w:i/>
          <w:lang w:val="fi-FI"/>
        </w:rPr>
        <w:t>k-</w:t>
      </w:r>
      <w:r w:rsidRPr="00FB4EFA">
        <w:rPr>
          <w:lang w:val="fi-FI"/>
        </w:rPr>
        <w:t xml:space="preserve">ja </w:t>
      </w:r>
      <w:r w:rsidRPr="00FB4EFA">
        <w:rPr>
          <w:i/>
          <w:lang w:val="fi-FI"/>
        </w:rPr>
        <w:t>e-</w:t>
      </w:r>
      <w:r w:rsidRPr="00FB4EFA">
        <w:rPr>
          <w:lang w:val="fi-FI"/>
        </w:rPr>
        <w:t xml:space="preserve">substituutiot) nähden kyseessä olisi huomattavan suppealevikkinen sana (suomi, karjala </w:t>
      </w:r>
      <w:r w:rsidR="00466236" w:rsidRPr="00FB4EFA">
        <w:rPr>
          <w:lang w:val="fi-FI"/>
        </w:rPr>
        <w:t>–</w:t>
      </w:r>
      <w:r w:rsidRPr="00FB4EFA">
        <w:rPr>
          <w:lang w:val="fi-FI"/>
        </w:rPr>
        <w:t xml:space="preserve"> vrt. </w:t>
      </w:r>
      <w:r w:rsidRPr="00FB4EFA">
        <w:rPr>
          <w:i/>
          <w:lang w:val="fi-FI"/>
        </w:rPr>
        <w:t>kehrä-</w:t>
      </w:r>
      <w:r w:rsidRPr="00FB4EFA">
        <w:rPr>
          <w:lang w:val="fi-FI"/>
        </w:rPr>
        <w:t xml:space="preserve">sanan laajempi levikki, joka käsittää koko itämerensuomen ja lisäksi saamen ja mordvan). Huomattavaa on edelleen, että itämerensuomessa sanalla </w:t>
      </w:r>
      <w:r w:rsidRPr="00FB4EFA">
        <w:rPr>
          <w:i/>
          <w:lang w:val="fi-FI"/>
        </w:rPr>
        <w:t xml:space="preserve">kekri </w:t>
      </w:r>
      <w:r w:rsidRPr="00FB4EFA">
        <w:rPr>
          <w:lang w:val="fi-FI"/>
        </w:rPr>
        <w:t>ei ole</w:t>
      </w:r>
      <w:r w:rsidR="006B1A2B" w:rsidRPr="00FB4EFA">
        <w:rPr>
          <w:lang w:val="fi-FI"/>
        </w:rPr>
        <w:t xml:space="preserve"> ’</w:t>
      </w:r>
      <w:r w:rsidRPr="00FB4EFA">
        <w:rPr>
          <w:lang w:val="fi-FI"/>
        </w:rPr>
        <w:t>pyörän’ eikä edes</w:t>
      </w:r>
      <w:r w:rsidR="006B1A2B" w:rsidRPr="00FB4EFA">
        <w:rPr>
          <w:lang w:val="fi-FI"/>
        </w:rPr>
        <w:t xml:space="preserve"> ’</w:t>
      </w:r>
      <w:r w:rsidRPr="00FB4EFA">
        <w:rPr>
          <w:lang w:val="fi-FI"/>
        </w:rPr>
        <w:t>ympyrän’ tai</w:t>
      </w:r>
      <w:r w:rsidR="006B1A2B" w:rsidRPr="00FB4EFA">
        <w:rPr>
          <w:lang w:val="fi-FI"/>
        </w:rPr>
        <w:t xml:space="preserve"> ’</w:t>
      </w:r>
      <w:r w:rsidRPr="00FB4EFA">
        <w:rPr>
          <w:lang w:val="fi-FI"/>
        </w:rPr>
        <w:t>kehän’ merkitystä vaan ainoastaan vuotuisjuhlan ja karjanjumalan merkitys. Saamessakaan merkitystä</w:t>
      </w:r>
      <w:r w:rsidR="006B1A2B" w:rsidRPr="00FB4EFA">
        <w:rPr>
          <w:lang w:val="fi-FI"/>
        </w:rPr>
        <w:t xml:space="preserve"> ’</w:t>
      </w:r>
      <w:r w:rsidRPr="00FB4EFA">
        <w:rPr>
          <w:lang w:val="fi-FI"/>
        </w:rPr>
        <w:t>kehä’ ei tunneta, joskin se voidaan</w:t>
      </w:r>
      <w:r w:rsidR="006B1A2B" w:rsidRPr="00FB4EFA">
        <w:rPr>
          <w:lang w:val="fi-FI"/>
        </w:rPr>
        <w:t xml:space="preserve"> ’</w:t>
      </w:r>
      <w:r w:rsidRPr="00FB4EFA">
        <w:rPr>
          <w:lang w:val="fi-FI"/>
        </w:rPr>
        <w:t>somman’ ja</w:t>
      </w:r>
      <w:r w:rsidR="006B1A2B" w:rsidRPr="00FB4EFA">
        <w:rPr>
          <w:lang w:val="fi-FI"/>
        </w:rPr>
        <w:t xml:space="preserve"> ’</w:t>
      </w:r>
      <w:r w:rsidRPr="00FB4EFA">
        <w:rPr>
          <w:lang w:val="fi-FI"/>
        </w:rPr>
        <w:t>rummun’ merkityksestä abstrahoida. Oletetusta semanttisten muutosten ketjusta puuttuu siis paloja.</w:t>
      </w:r>
    </w:p>
    <w:p w14:paraId="1A50194B" w14:textId="1378C087" w:rsidR="0000782F" w:rsidRPr="00FB4EFA" w:rsidRDefault="0000782F" w:rsidP="00AF0CAD">
      <w:pPr>
        <w:ind w:firstLine="709"/>
        <w:rPr>
          <w:lang w:val="fi-FI"/>
        </w:rPr>
      </w:pPr>
      <w:r w:rsidRPr="00FB4EFA">
        <w:rPr>
          <w:lang w:val="fi-FI"/>
        </w:rPr>
        <w:t xml:space="preserve">Suomen nykymurteissa on attestoitu paitsi </w:t>
      </w:r>
      <w:r w:rsidRPr="00FB4EFA">
        <w:rPr>
          <w:i/>
          <w:lang w:val="fi-FI"/>
        </w:rPr>
        <w:t>kekri</w:t>
      </w:r>
      <w:r w:rsidR="006B1A2B" w:rsidRPr="00FB4EFA">
        <w:rPr>
          <w:i/>
          <w:lang w:val="fi-FI"/>
        </w:rPr>
        <w:t xml:space="preserve"> </w:t>
      </w:r>
      <w:r w:rsidR="006B1A2B" w:rsidRPr="00FB4EFA">
        <w:rPr>
          <w:iCs/>
          <w:lang w:val="fi-FI"/>
        </w:rPr>
        <w:t>’</w:t>
      </w:r>
      <w:r w:rsidRPr="00FB4EFA">
        <w:rPr>
          <w:lang w:val="fi-FI"/>
        </w:rPr>
        <w:t xml:space="preserve">syksyn vuotuisjuhla; haltija, kummitus’ myös lukuisia käyrään muotoon liittyviä sanoja, jotka vaikuttaisivat olevan peräisin samankaltaisesta sanueesta, mm. </w:t>
      </w:r>
      <w:r w:rsidRPr="00FB4EFA">
        <w:rPr>
          <w:i/>
          <w:lang w:val="fi-FI"/>
        </w:rPr>
        <w:t>keuru</w:t>
      </w:r>
      <w:r w:rsidR="006B1A2B" w:rsidRPr="00FB4EFA">
        <w:rPr>
          <w:i/>
          <w:lang w:val="fi-FI"/>
        </w:rPr>
        <w:t xml:space="preserve"> </w:t>
      </w:r>
      <w:r w:rsidR="006B1A2B" w:rsidRPr="00FB4EFA">
        <w:rPr>
          <w:lang w:val="fi-FI"/>
        </w:rPr>
        <w:t>’</w:t>
      </w:r>
      <w:r w:rsidRPr="00FB4EFA">
        <w:rPr>
          <w:lang w:val="fi-FI"/>
        </w:rPr>
        <w:t>vääntynyt, kumarainen’ ja</w:t>
      </w:r>
      <w:r w:rsidRPr="00FB4EFA">
        <w:rPr>
          <w:i/>
          <w:lang w:val="fi-FI"/>
        </w:rPr>
        <w:t xml:space="preserve"> köyry</w:t>
      </w:r>
      <w:r w:rsidR="006B1A2B" w:rsidRPr="00FB4EFA">
        <w:rPr>
          <w:i/>
          <w:lang w:val="fi-FI"/>
        </w:rPr>
        <w:t xml:space="preserve"> </w:t>
      </w:r>
      <w:r w:rsidR="00D17301" w:rsidRPr="00FB4EFA">
        <w:rPr>
          <w:iCs/>
          <w:lang w:val="fi-FI"/>
        </w:rPr>
        <w:t>id.</w:t>
      </w:r>
      <w:r w:rsidRPr="00FB4EFA">
        <w:rPr>
          <w:lang w:val="fi-FI"/>
        </w:rPr>
        <w:t xml:space="preserve"> (&lt;</w:t>
      </w:r>
      <w:r w:rsidR="00770CB4" w:rsidRPr="00FB4EFA">
        <w:rPr>
          <w:lang w:val="fi-FI"/>
        </w:rPr>
        <w:t> </w:t>
      </w:r>
      <w:r w:rsidRPr="00FB4EFA">
        <w:rPr>
          <w:i/>
          <w:lang w:val="fi-FI"/>
        </w:rPr>
        <w:t>*kekrä</w:t>
      </w:r>
      <w:r w:rsidR="00770CB4" w:rsidRPr="00FB4EFA">
        <w:rPr>
          <w:i/>
          <w:lang w:val="fi-FI"/>
        </w:rPr>
        <w:noBreakHyphen/>
      </w:r>
      <w:r w:rsidRPr="00FB4EFA">
        <w:rPr>
          <w:i/>
          <w:lang w:val="fi-FI"/>
        </w:rPr>
        <w:t xml:space="preserve">j </w:t>
      </w:r>
      <w:r w:rsidRPr="00FB4EFA">
        <w:rPr>
          <w:lang w:val="fi-FI"/>
        </w:rPr>
        <w:t xml:space="preserve">tai </w:t>
      </w:r>
      <w:r w:rsidRPr="00FB4EFA">
        <w:rPr>
          <w:i/>
          <w:lang w:val="fi-FI"/>
        </w:rPr>
        <w:t>*kevrä-j</w:t>
      </w:r>
      <w:r w:rsidRPr="00FB4EFA">
        <w:rPr>
          <w:lang w:val="fi-FI"/>
        </w:rPr>
        <w:t xml:space="preserve">). Aivan yleinen on itäisessä itämerensuomessa </w:t>
      </w:r>
      <w:r w:rsidRPr="00FB4EFA">
        <w:rPr>
          <w:i/>
          <w:lang w:val="fi-FI"/>
        </w:rPr>
        <w:t>käkrä</w:t>
      </w:r>
      <w:r w:rsidR="006B1A2B" w:rsidRPr="00FB4EFA">
        <w:rPr>
          <w:i/>
          <w:lang w:val="fi-FI"/>
        </w:rPr>
        <w:t xml:space="preserve"> </w:t>
      </w:r>
      <w:r w:rsidR="006B1A2B" w:rsidRPr="00FB4EFA">
        <w:rPr>
          <w:iCs/>
          <w:lang w:val="fi-FI"/>
        </w:rPr>
        <w:t>’</w:t>
      </w:r>
      <w:r w:rsidRPr="00FB4EFA">
        <w:rPr>
          <w:lang w:val="fi-FI"/>
        </w:rPr>
        <w:t xml:space="preserve">käyrä’ (mm. KKS s.v. </w:t>
      </w:r>
      <w:r w:rsidRPr="00FB4EFA">
        <w:rPr>
          <w:i/>
          <w:lang w:val="fi-FI"/>
        </w:rPr>
        <w:t xml:space="preserve">käkrä </w:t>
      </w:r>
      <w:r w:rsidRPr="00FB4EFA">
        <w:rPr>
          <w:lang w:val="fi-FI"/>
        </w:rPr>
        <w:lastRenderedPageBreak/>
        <w:t>ja siihen perustuvat yhdyssanat ja johdokset). Henkilönimenä näyttää esiintyneen mahdollisesti alkuaan</w:t>
      </w:r>
      <w:r w:rsidR="006B1A2B" w:rsidRPr="00FB4EFA">
        <w:rPr>
          <w:lang w:val="fi-FI"/>
        </w:rPr>
        <w:t xml:space="preserve"> ’</w:t>
      </w:r>
      <w:r w:rsidRPr="00FB4EFA">
        <w:rPr>
          <w:lang w:val="fi-FI"/>
        </w:rPr>
        <w:t xml:space="preserve">käyräselkää’ tai muulla tavoin vääntynyttä ihmistä merkinnyt </w:t>
      </w:r>
      <w:r w:rsidRPr="00FB4EFA">
        <w:rPr>
          <w:i/>
          <w:lang w:val="fi-FI"/>
        </w:rPr>
        <w:t xml:space="preserve">*kekroi, </w:t>
      </w:r>
      <w:r w:rsidRPr="00FB4EFA">
        <w:rPr>
          <w:lang w:val="fi-FI"/>
        </w:rPr>
        <w:t xml:space="preserve">sillä tämäntyyppinen elementti esiintyy sekä henkilö- että paikannimissä (esim. pn </w:t>
      </w:r>
      <w:r w:rsidRPr="00FB4EFA">
        <w:rPr>
          <w:i/>
          <w:lang w:val="fi-FI"/>
        </w:rPr>
        <w:t xml:space="preserve">Kekroila </w:t>
      </w:r>
      <w:r w:rsidRPr="00FB4EFA">
        <w:rPr>
          <w:lang w:val="fi-FI"/>
        </w:rPr>
        <w:t xml:space="preserve">Nevansuussa ja </w:t>
      </w:r>
      <w:r w:rsidRPr="00FB4EFA">
        <w:rPr>
          <w:i/>
          <w:lang w:val="fi-FI"/>
        </w:rPr>
        <w:t xml:space="preserve">Kegrela </w:t>
      </w:r>
      <w:r w:rsidRPr="00FB4EFA">
        <w:rPr>
          <w:lang w:val="fi-FI"/>
        </w:rPr>
        <w:t xml:space="preserve">&gt; </w:t>
      </w:r>
      <w:r w:rsidRPr="00FB4EFA">
        <w:rPr>
          <w:i/>
          <w:lang w:val="fi-FI"/>
        </w:rPr>
        <w:t xml:space="preserve">Kevrola </w:t>
      </w:r>
      <w:r w:rsidRPr="00FB4EFA">
        <w:rPr>
          <w:lang w:val="fi-FI"/>
        </w:rPr>
        <w:t>Pinega-joella, Kepsu 1995; Saarikivi 2017: 17]).</w:t>
      </w:r>
    </w:p>
    <w:p w14:paraId="0DE705BA" w14:textId="48B60384" w:rsidR="0000782F" w:rsidRPr="00FB4EFA" w:rsidRDefault="0000782F" w:rsidP="00AF0CAD">
      <w:pPr>
        <w:ind w:firstLine="720"/>
        <w:rPr>
          <w:lang w:val="fi-FI"/>
        </w:rPr>
      </w:pPr>
      <w:r w:rsidRPr="00FB4EFA">
        <w:rPr>
          <w:i/>
          <w:lang w:val="fi-FI"/>
        </w:rPr>
        <w:t xml:space="preserve">Kekri, </w:t>
      </w:r>
      <w:r w:rsidRPr="00FB4EFA">
        <w:rPr>
          <w:lang w:val="fi-FI"/>
        </w:rPr>
        <w:t xml:space="preserve">samoin kuin samaa merkitsevät </w:t>
      </w:r>
      <w:r w:rsidRPr="00FB4EFA">
        <w:rPr>
          <w:i/>
          <w:lang w:val="fi-FI"/>
        </w:rPr>
        <w:t xml:space="preserve">keyri, köyri, köyry </w:t>
      </w:r>
      <w:r w:rsidRPr="00FB4EFA">
        <w:rPr>
          <w:lang w:val="fi-FI"/>
        </w:rPr>
        <w:t xml:space="preserve">selittyisivät luontevasti itämerensuomalaiseksi johdokseksi taipunutta ja käyrää merkitsevästä </w:t>
      </w:r>
      <w:r w:rsidRPr="00FB4EFA">
        <w:rPr>
          <w:i/>
          <w:lang w:val="fi-FI"/>
        </w:rPr>
        <w:t xml:space="preserve">*kekrä- </w:t>
      </w:r>
      <w:r w:rsidRPr="00FB4EFA">
        <w:rPr>
          <w:lang w:val="fi-FI"/>
        </w:rPr>
        <w:t xml:space="preserve">tai </w:t>
      </w:r>
      <w:r w:rsidRPr="00FB4EFA">
        <w:rPr>
          <w:i/>
          <w:lang w:val="fi-FI"/>
        </w:rPr>
        <w:t>*käkrä-</w:t>
      </w:r>
      <w:r w:rsidRPr="00FB4EFA">
        <w:rPr>
          <w:lang w:val="fi-FI"/>
        </w:rPr>
        <w:t xml:space="preserve">sanueesta, josta on kehittynyt myös suomen kirjakielen </w:t>
      </w:r>
      <w:r w:rsidRPr="00FB4EFA">
        <w:rPr>
          <w:i/>
          <w:lang w:val="fi-FI"/>
        </w:rPr>
        <w:t xml:space="preserve">käyrä. </w:t>
      </w:r>
      <w:r w:rsidRPr="00FB4EFA">
        <w:rPr>
          <w:lang w:val="fi-FI"/>
        </w:rPr>
        <w:t>Tästä voitaneen johtaa myös</w:t>
      </w:r>
      <w:r w:rsidR="006B1A2B" w:rsidRPr="00FB4EFA">
        <w:rPr>
          <w:lang w:val="fi-FI"/>
        </w:rPr>
        <w:t xml:space="preserve"> ’</w:t>
      </w:r>
      <w:r w:rsidRPr="00FB4EFA">
        <w:rPr>
          <w:lang w:val="fi-FI"/>
        </w:rPr>
        <w:t>vuoden kääntymisen’ merkitys ilman melko spekulatiivista oletusta esiarjalaisesta lainasta. Mahdollisesti semanttisena mallina on toiminut skandinaavien</w:t>
      </w:r>
      <w:r w:rsidR="006B1A2B" w:rsidRPr="00FB4EFA">
        <w:rPr>
          <w:lang w:val="fi-FI"/>
        </w:rPr>
        <w:t xml:space="preserve"> ’</w:t>
      </w:r>
      <w:r w:rsidRPr="00FB4EFA">
        <w:rPr>
          <w:lang w:val="fi-FI"/>
        </w:rPr>
        <w:t>ympyrän’ ja</w:t>
      </w:r>
      <w:r w:rsidR="006B1A2B" w:rsidRPr="00FB4EFA">
        <w:rPr>
          <w:lang w:val="fi-FI"/>
        </w:rPr>
        <w:t xml:space="preserve"> ’</w:t>
      </w:r>
      <w:r w:rsidRPr="00FB4EFA">
        <w:rPr>
          <w:lang w:val="fi-FI"/>
        </w:rPr>
        <w:t xml:space="preserve">vuodenkierron’ samaistaminen. Vääntynyttä tai käyrää merkitsevä sana vaikuttaisi fonotaktisesta näkökulmasta niin ikään vanhalta lainalta, sillä vanhoja lateraalin ja klusiilin yhtymiä ei uralilaisissa kielissä näytä esiintyneen, lukuunottamatta mahdollisesti sanaa </w:t>
      </w:r>
      <w:r w:rsidRPr="00FB4EFA">
        <w:rPr>
          <w:i/>
          <w:lang w:val="fi-FI"/>
        </w:rPr>
        <w:t xml:space="preserve">syylä </w:t>
      </w:r>
      <w:r w:rsidRPr="00FB4EFA">
        <w:rPr>
          <w:lang w:val="fi-FI"/>
        </w:rPr>
        <w:t xml:space="preserve">&lt; </w:t>
      </w:r>
      <w:r w:rsidRPr="00FB4EFA">
        <w:rPr>
          <w:i/>
          <w:lang w:val="fi-FI"/>
        </w:rPr>
        <w:t xml:space="preserve">*süklä, </w:t>
      </w:r>
      <w:r w:rsidRPr="00FB4EFA">
        <w:rPr>
          <w:lang w:val="fi-FI"/>
        </w:rPr>
        <w:t xml:space="preserve">jolla on mahdollisia (osin epäsäännöllisiä) vastineita mordvassa, marissa ja eräissä muissakin kielissä (SSA III s.v. </w:t>
      </w:r>
      <w:r w:rsidRPr="00FB4EFA">
        <w:rPr>
          <w:i/>
          <w:lang w:val="fi-FI"/>
        </w:rPr>
        <w:t>syylä</w:t>
      </w:r>
      <w:r w:rsidRPr="00FB4EFA">
        <w:rPr>
          <w:lang w:val="fi-FI"/>
        </w:rPr>
        <w:t>). Mahdollisen lainaoriginaalin etsiminen kuuluu jo toisten tutkimusten tehtäviin.</w:t>
      </w:r>
    </w:p>
    <w:p w14:paraId="72D35BE0" w14:textId="3222C9A6" w:rsidR="0000782F" w:rsidRPr="00FB4EFA" w:rsidRDefault="0000782F" w:rsidP="00AF0CAD">
      <w:pPr>
        <w:ind w:firstLine="720"/>
        <w:rPr>
          <w:lang w:val="fi-FI"/>
        </w:rPr>
      </w:pPr>
      <w:r w:rsidRPr="00FB4EFA">
        <w:rPr>
          <w:lang w:val="fi-FI"/>
        </w:rPr>
        <w:t xml:space="preserve">Huomattavaa on lisäksi, että </w:t>
      </w:r>
      <w:r w:rsidRPr="00FB4EFA">
        <w:rPr>
          <w:i/>
          <w:lang w:val="fi-FI"/>
        </w:rPr>
        <w:t>kekri</w:t>
      </w:r>
      <w:r w:rsidRPr="00FB4EFA">
        <w:rPr>
          <w:lang w:val="fi-FI"/>
        </w:rPr>
        <w:t xml:space="preserve"> tai </w:t>
      </w:r>
      <w:r w:rsidRPr="00FB4EFA">
        <w:rPr>
          <w:i/>
          <w:lang w:val="fi-FI"/>
        </w:rPr>
        <w:t xml:space="preserve">käkri </w:t>
      </w:r>
      <w:r w:rsidRPr="00FB4EFA">
        <w:rPr>
          <w:lang w:val="fi-FI"/>
        </w:rPr>
        <w:t xml:space="preserve">on ollut paitsi vuotuisjuhla myös karjan jumaluus. Kekrin viettoon ovat historiallisena aikana kuuluneet kekripukkeina esiintyminen ja pässin teurastaminen. Tässä yhteydessä on mielenkiintoista huomata, että esim. kreikan </w:t>
      </w:r>
      <w:r w:rsidRPr="00FB4EFA">
        <w:rPr>
          <w:i/>
          <w:lang w:val="fi-FI"/>
        </w:rPr>
        <w:t>kriós</w:t>
      </w:r>
      <w:r w:rsidR="006B1A2B" w:rsidRPr="00FB4EFA">
        <w:rPr>
          <w:i/>
          <w:lang w:val="fi-FI"/>
        </w:rPr>
        <w:t xml:space="preserve"> </w:t>
      </w:r>
      <w:r w:rsidR="006B1A2B" w:rsidRPr="00FB4EFA">
        <w:rPr>
          <w:lang w:val="fi-FI"/>
        </w:rPr>
        <w:t>’</w:t>
      </w:r>
      <w:r w:rsidRPr="00FB4EFA">
        <w:rPr>
          <w:lang w:val="fi-FI"/>
        </w:rPr>
        <w:t>pässi’ on ilmeisesti etymologisesti syntynyt</w:t>
      </w:r>
      <w:r w:rsidR="006B1A2B" w:rsidRPr="00FB4EFA">
        <w:rPr>
          <w:lang w:val="fi-FI"/>
        </w:rPr>
        <w:t xml:space="preserve"> ’</w:t>
      </w:r>
      <w:r w:rsidRPr="00FB4EFA">
        <w:rPr>
          <w:lang w:val="fi-FI"/>
        </w:rPr>
        <w:t xml:space="preserve">käyrää’ tarkoittavasta indoeurooppalaisesta sanueesta (~ ven </w:t>
      </w:r>
      <w:r w:rsidRPr="00FB4EFA">
        <w:rPr>
          <w:i/>
          <w:lang w:val="fi-FI"/>
        </w:rPr>
        <w:t xml:space="preserve">krivoj, </w:t>
      </w:r>
      <w:r w:rsidRPr="00FB4EFA">
        <w:rPr>
          <w:lang w:val="fi-FI"/>
        </w:rPr>
        <w:t xml:space="preserve">liet. </w:t>
      </w:r>
      <w:r w:rsidRPr="00FB4EFA">
        <w:rPr>
          <w:i/>
          <w:lang w:val="fi-FI"/>
        </w:rPr>
        <w:t>kreĩvas</w:t>
      </w:r>
      <w:r w:rsidR="006B1A2B" w:rsidRPr="00FB4EFA">
        <w:rPr>
          <w:i/>
          <w:lang w:val="fi-FI"/>
        </w:rPr>
        <w:t xml:space="preserve"> </w:t>
      </w:r>
      <w:r w:rsidR="006B1A2B" w:rsidRPr="00FB4EFA">
        <w:rPr>
          <w:lang w:val="fi-FI"/>
        </w:rPr>
        <w:t>’</w:t>
      </w:r>
      <w:r w:rsidRPr="00FB4EFA">
        <w:rPr>
          <w:lang w:val="fi-FI"/>
        </w:rPr>
        <w:t>käyrä’). Beekes (20</w:t>
      </w:r>
      <w:r w:rsidR="00550B7F" w:rsidRPr="00FB4EFA">
        <w:rPr>
          <w:lang w:val="fi-FI"/>
        </w:rPr>
        <w:t>1</w:t>
      </w:r>
      <w:r w:rsidR="00C54042" w:rsidRPr="00FB4EFA">
        <w:rPr>
          <w:lang w:val="fi-FI"/>
        </w:rPr>
        <w:t>0</w:t>
      </w:r>
      <w:r w:rsidRPr="00FB4EFA">
        <w:rPr>
          <w:lang w:val="fi-FI"/>
        </w:rPr>
        <w:t xml:space="preserve">: 781) spekuloi, että motivaationa ovat olleet pässin käyrät sarvet – periaatteessa tämä olisikin mahdollinen uhrieläimen nimityksen kiertoilmaus. Miten tämä liittyy suomen kekriin </w:t>
      </w:r>
      <w:r w:rsidR="000838DC" w:rsidRPr="00FB4EFA">
        <w:rPr>
          <w:lang w:val="fi-FI"/>
        </w:rPr>
        <w:t>–</w:t>
      </w:r>
      <w:r w:rsidRPr="00FB4EFA">
        <w:rPr>
          <w:lang w:val="fi-FI"/>
        </w:rPr>
        <w:t xml:space="preserve"> tai liittyykö se siihen lainkaan </w:t>
      </w:r>
      <w:r w:rsidR="00466236" w:rsidRPr="00FB4EFA">
        <w:rPr>
          <w:lang w:val="fi-FI"/>
        </w:rPr>
        <w:t>–</w:t>
      </w:r>
      <w:r w:rsidRPr="00FB4EFA">
        <w:rPr>
          <w:lang w:val="fi-FI"/>
        </w:rPr>
        <w:t xml:space="preserve"> jää tässä selvittämättä.</w:t>
      </w:r>
    </w:p>
    <w:p w14:paraId="3178A021" w14:textId="3A251CCA" w:rsidR="0000782F" w:rsidRPr="00FB4EFA" w:rsidRDefault="0000782F" w:rsidP="002752AF">
      <w:pPr>
        <w:pStyle w:val="Heading3"/>
        <w:numPr>
          <w:ilvl w:val="1"/>
          <w:numId w:val="26"/>
        </w:numPr>
        <w:spacing w:line="259" w:lineRule="auto"/>
        <w:rPr>
          <w:lang w:val="fi-FI"/>
        </w:rPr>
      </w:pPr>
      <w:r w:rsidRPr="00FB4EFA">
        <w:rPr>
          <w:rFonts w:eastAsia="Charis SIL"/>
          <w:lang w:val="fi-FI"/>
        </w:rPr>
        <w:t>Lainattuja nimiä</w:t>
      </w:r>
    </w:p>
    <w:p w14:paraId="7BA3E049" w14:textId="77777777" w:rsidR="0000782F" w:rsidRPr="00FB4EFA" w:rsidRDefault="0000782F" w:rsidP="002752AF">
      <w:pPr>
        <w:pStyle w:val="Heading4"/>
        <w:spacing w:line="259" w:lineRule="auto"/>
        <w:rPr>
          <w:lang w:val="fi-FI"/>
        </w:rPr>
      </w:pPr>
      <w:r w:rsidRPr="00FB4EFA">
        <w:rPr>
          <w:lang w:val="fi-FI"/>
        </w:rPr>
        <w:t>Äkräs</w:t>
      </w:r>
    </w:p>
    <w:p w14:paraId="58E0499A" w14:textId="0EBF46BB" w:rsidR="0000782F" w:rsidRPr="00FB4EFA" w:rsidRDefault="0000782F" w:rsidP="00AF0CAD">
      <w:pPr>
        <w:rPr>
          <w:lang w:val="fi-FI"/>
        </w:rPr>
      </w:pPr>
      <w:r w:rsidRPr="00FB4EFA">
        <w:rPr>
          <w:lang w:val="fi-FI"/>
        </w:rPr>
        <w:t xml:space="preserve">Jumalanluettelossa on myös selviä, tutkimuksessa ilmeisesti mainitsemattomia germaanisia lainoja. Viljelysten jumaluus </w:t>
      </w:r>
      <w:r w:rsidRPr="00FB4EFA">
        <w:rPr>
          <w:i/>
          <w:lang w:val="fi-FI"/>
        </w:rPr>
        <w:t xml:space="preserve">Äkräs </w:t>
      </w:r>
      <w:r w:rsidRPr="00FB4EFA">
        <w:rPr>
          <w:lang w:val="fi-FI"/>
        </w:rPr>
        <w:t xml:space="preserve">(Egres) olisi mahdollista tulkita kantagermaanilaiseiksi lainaksi sanasta </w:t>
      </w:r>
      <w:r w:rsidRPr="00FB4EFA">
        <w:rPr>
          <w:i/>
          <w:lang w:val="fi-FI"/>
        </w:rPr>
        <w:t>*akra-z</w:t>
      </w:r>
      <w:r w:rsidR="006B1A2B" w:rsidRPr="00FB4EFA">
        <w:rPr>
          <w:i/>
          <w:lang w:val="fi-FI"/>
        </w:rPr>
        <w:t xml:space="preserve"> </w:t>
      </w:r>
      <w:r w:rsidR="00132900" w:rsidRPr="00FB4EFA">
        <w:rPr>
          <w:i/>
          <w:lang w:val="fi-FI"/>
        </w:rPr>
        <w:br/>
      </w:r>
      <w:r w:rsidR="006B1A2B" w:rsidRPr="00FB4EFA">
        <w:rPr>
          <w:lang w:val="fi-FI"/>
        </w:rPr>
        <w:t>’</w:t>
      </w:r>
      <w:r w:rsidRPr="00FB4EFA">
        <w:rPr>
          <w:lang w:val="fi-FI"/>
        </w:rPr>
        <w:t>pelto’, jolla on vahva indoeurooppalainen tausta (&lt;</w:t>
      </w:r>
      <w:r w:rsidR="00770CB4" w:rsidRPr="00FB4EFA">
        <w:rPr>
          <w:lang w:val="fi-FI"/>
        </w:rPr>
        <w:t> </w:t>
      </w:r>
      <w:r w:rsidR="000E6849" w:rsidRPr="00FB4EFA">
        <w:rPr>
          <w:lang w:val="fi-FI"/>
        </w:rPr>
        <w:t xml:space="preserve">kieur </w:t>
      </w:r>
      <w:hyperlink r:id="rId388">
        <w:r w:rsidRPr="00FB4EFA">
          <w:rPr>
            <w:i/>
            <w:lang w:val="fi-FI"/>
          </w:rPr>
          <w:t>*h₂éǵros</w:t>
        </w:r>
      </w:hyperlink>
      <w:r w:rsidRPr="00FB4EFA">
        <w:rPr>
          <w:lang w:val="fi-FI"/>
        </w:rPr>
        <w:t xml:space="preserve">, ks. Saarikivi 2014, Kroonen 2013: 18). Äkräs mainitaan Agricolan psalttarin </w:t>
      </w:r>
      <w:r w:rsidRPr="00FB4EFA">
        <w:rPr>
          <w:lang w:val="fi-FI"/>
        </w:rPr>
        <w:lastRenderedPageBreak/>
        <w:t xml:space="preserve">esipuheen lisäksi I.D. Alopaeuksen muistiinpanoissa Kuopion ja Leppävirran seudulla nauriita antavana jumalana. Murteissa </w:t>
      </w:r>
      <w:r w:rsidRPr="00FB4EFA">
        <w:rPr>
          <w:i/>
          <w:lang w:val="fi-FI"/>
        </w:rPr>
        <w:t xml:space="preserve">äkräs </w:t>
      </w:r>
      <w:r w:rsidRPr="00FB4EFA">
        <w:rPr>
          <w:lang w:val="fi-FI"/>
        </w:rPr>
        <w:t>tunnetaan merkityksessä</w:t>
      </w:r>
      <w:r w:rsidR="006B1A2B" w:rsidRPr="00FB4EFA">
        <w:rPr>
          <w:lang w:val="fi-FI"/>
        </w:rPr>
        <w:t xml:space="preserve"> ’</w:t>
      </w:r>
      <w:r w:rsidRPr="00FB4EFA">
        <w:rPr>
          <w:lang w:val="fi-FI"/>
        </w:rPr>
        <w:t xml:space="preserve">iso, epämuodostunut peruna t. nauris t. kaksi yhteen kasvanutta mukulaa’. Vastaava merkitys on myös johdoksella </w:t>
      </w:r>
      <w:r w:rsidRPr="00FB4EFA">
        <w:rPr>
          <w:i/>
          <w:lang w:val="fi-FI"/>
        </w:rPr>
        <w:t xml:space="preserve">äkräkäs </w:t>
      </w:r>
      <w:r w:rsidR="00132900" w:rsidRPr="00FB4EFA">
        <w:rPr>
          <w:i/>
          <w:lang w:val="fi-FI"/>
        </w:rPr>
        <w:br/>
      </w:r>
      <w:r w:rsidRPr="00FB4EFA">
        <w:rPr>
          <w:lang w:val="fi-FI"/>
        </w:rPr>
        <w:t xml:space="preserve">(Kangasniemi, SSA s.v. </w:t>
      </w:r>
      <w:r w:rsidRPr="00FB4EFA">
        <w:rPr>
          <w:i/>
          <w:lang w:val="fi-FI"/>
        </w:rPr>
        <w:t>äkräs</w:t>
      </w:r>
      <w:r w:rsidRPr="00FB4EFA">
        <w:rPr>
          <w:lang w:val="fi-FI"/>
        </w:rPr>
        <w:t>). Karjalan kielessä</w:t>
      </w:r>
      <w:r w:rsidRPr="00FB4EFA">
        <w:rPr>
          <w:i/>
          <w:lang w:val="fi-FI"/>
        </w:rPr>
        <w:t xml:space="preserve"> äkräs, äkröi</w:t>
      </w:r>
      <w:r w:rsidRPr="00FB4EFA">
        <w:rPr>
          <w:lang w:val="fi-FI"/>
        </w:rPr>
        <w:t xml:space="preserve"> on</w:t>
      </w:r>
      <w:r w:rsidR="006B1A2B" w:rsidRPr="00FB4EFA">
        <w:rPr>
          <w:lang w:val="fi-FI"/>
        </w:rPr>
        <w:t xml:space="preserve"> ’</w:t>
      </w:r>
      <w:r w:rsidRPr="00FB4EFA">
        <w:rPr>
          <w:lang w:val="fi-FI"/>
        </w:rPr>
        <w:t xml:space="preserve">erikoisen näköinen nauris t. peruna; yhteenkasvanut nauris- tai perunapari’. Näitä on kuvattu myös yhdyssanalla </w:t>
      </w:r>
      <w:r w:rsidRPr="00FB4EFA">
        <w:rPr>
          <w:i/>
          <w:lang w:val="fi-FI"/>
        </w:rPr>
        <w:t xml:space="preserve">pyhä-äkräs, pyhä-äkröi. </w:t>
      </w:r>
      <w:r w:rsidRPr="00FB4EFA">
        <w:rPr>
          <w:lang w:val="fi-FI"/>
        </w:rPr>
        <w:t>Vastaavaa käyttöä tunnetaan myös lyydistä. Kaksoisnaurista on pidetty hyvän sadon enteenä ja tunnuskuvana (Haavio 1959).</w:t>
      </w:r>
    </w:p>
    <w:p w14:paraId="2F74872B" w14:textId="2E2BBD5E" w:rsidR="0000782F" w:rsidRPr="00FB4EFA" w:rsidRDefault="0000782F" w:rsidP="002752AF">
      <w:pPr>
        <w:ind w:firstLine="720"/>
        <w:rPr>
          <w:lang w:val="fi-FI"/>
        </w:rPr>
      </w:pPr>
      <w:r w:rsidRPr="00FB4EFA">
        <w:rPr>
          <w:lang w:val="fi-FI"/>
        </w:rPr>
        <w:t xml:space="preserve">Martti Haavio arveli sanaa </w:t>
      </w:r>
      <w:r w:rsidRPr="00FB4EFA">
        <w:rPr>
          <w:i/>
          <w:lang w:val="fi-FI"/>
        </w:rPr>
        <w:t>äkräs</w:t>
      </w:r>
      <w:r w:rsidRPr="00FB4EFA">
        <w:rPr>
          <w:lang w:val="fi-FI"/>
        </w:rPr>
        <w:t xml:space="preserve"> mukaelmaksi pyhimyksennimestä Gregorius, sillä pyhä Gregorius (Agr Pyhe Greus) on viljan suojeluspyhimys (ibid.). Ilmeistä on kuitenkin, että suora pellon tai viljelyksen nimityksestä saatu jumaluudennimi on semanttisesti suoraviivaisempi oletus, erityisesti kun etymologia on äänteellisestikin säännöllinen. Vanhojen jumaluudennimien assosioituminen pyhimyksennimiin on tunnettu ilmiö moniaalla, mm. itämerensuomen piirissä, mistä esimerkkinä mainittakoon </w:t>
      </w:r>
      <w:r w:rsidRPr="00FB4EFA">
        <w:rPr>
          <w:i/>
          <w:lang w:val="fi-FI"/>
        </w:rPr>
        <w:t xml:space="preserve">Pekon </w:t>
      </w:r>
      <w:r w:rsidRPr="00FB4EFA">
        <w:rPr>
          <w:lang w:val="fi-FI"/>
        </w:rPr>
        <w:t xml:space="preserve">ja </w:t>
      </w:r>
      <w:r w:rsidRPr="00FB4EFA">
        <w:rPr>
          <w:i/>
          <w:lang w:val="fi-FI"/>
        </w:rPr>
        <w:t xml:space="preserve">Pekan </w:t>
      </w:r>
      <w:r w:rsidRPr="00FB4EFA">
        <w:rPr>
          <w:lang w:val="fi-FI"/>
        </w:rPr>
        <w:t xml:space="preserve">assosioituminen Pyhään Pietariin (esim. kalaonnea antavan hokeman toisinnoissa </w:t>
      </w:r>
      <w:r w:rsidR="00D7279E" w:rsidRPr="00FB4EFA">
        <w:rPr>
          <w:lang w:val="fi-FI"/>
        </w:rPr>
        <w:t>”</w:t>
      </w:r>
      <w:r w:rsidRPr="00FB4EFA">
        <w:rPr>
          <w:lang w:val="fi-FI"/>
        </w:rPr>
        <w:t xml:space="preserve">Anna Antti ahvenia, Pekka pieniä kaloja” → </w:t>
      </w:r>
      <w:r w:rsidR="00D7279E" w:rsidRPr="00FB4EFA">
        <w:rPr>
          <w:lang w:val="fi-FI"/>
        </w:rPr>
        <w:t>”</w:t>
      </w:r>
      <w:r w:rsidRPr="00FB4EFA">
        <w:rPr>
          <w:lang w:val="fi-FI"/>
        </w:rPr>
        <w:t xml:space="preserve">Anna Antti Ahvenia, Petri pieniä kaloja”). Kantagermaanin 1. tavun </w:t>
      </w:r>
      <w:r w:rsidRPr="00FB4EFA">
        <w:rPr>
          <w:i/>
          <w:lang w:val="fi-FI"/>
        </w:rPr>
        <w:t>a:</w:t>
      </w:r>
      <w:r w:rsidRPr="00FB4EFA">
        <w:rPr>
          <w:lang w:val="fi-FI"/>
        </w:rPr>
        <w:t xml:space="preserve">n vastineena tunnetaan </w:t>
      </w:r>
      <w:r w:rsidRPr="00FB4EFA">
        <w:rPr>
          <w:i/>
          <w:lang w:val="fi-FI"/>
        </w:rPr>
        <w:t xml:space="preserve">ä </w:t>
      </w:r>
      <w:r w:rsidRPr="00FB4EFA">
        <w:rPr>
          <w:lang w:val="fi-FI"/>
        </w:rPr>
        <w:t xml:space="preserve">mm. sanoissa </w:t>
      </w:r>
      <w:r w:rsidRPr="00FB4EFA">
        <w:rPr>
          <w:i/>
          <w:lang w:val="fi-FI"/>
        </w:rPr>
        <w:t xml:space="preserve">kärsiä </w:t>
      </w:r>
      <w:r w:rsidRPr="00FB4EFA">
        <w:rPr>
          <w:lang w:val="fi-FI"/>
        </w:rPr>
        <w:t xml:space="preserve">(&lt; </w:t>
      </w:r>
      <w:r w:rsidRPr="00FB4EFA">
        <w:rPr>
          <w:i/>
          <w:lang w:val="fi-FI"/>
        </w:rPr>
        <w:t>*xarð(w)ijan</w:t>
      </w:r>
      <w:r w:rsidRPr="00FB4EFA">
        <w:rPr>
          <w:lang w:val="fi-FI"/>
        </w:rPr>
        <w:t xml:space="preserve">) </w:t>
      </w:r>
      <w:r w:rsidRPr="00FB4EFA">
        <w:rPr>
          <w:i/>
          <w:lang w:val="fi-FI"/>
        </w:rPr>
        <w:t xml:space="preserve">häpeä </w:t>
      </w:r>
      <w:r w:rsidRPr="00FB4EFA">
        <w:rPr>
          <w:lang w:val="fi-FI"/>
        </w:rPr>
        <w:t xml:space="preserve">(&lt; </w:t>
      </w:r>
      <w:r w:rsidRPr="00FB4EFA">
        <w:rPr>
          <w:i/>
          <w:lang w:val="fi-FI"/>
        </w:rPr>
        <w:t xml:space="preserve">*xawiða, </w:t>
      </w:r>
      <w:r w:rsidRPr="00FB4EFA">
        <w:rPr>
          <w:lang w:val="fi-FI"/>
        </w:rPr>
        <w:t xml:space="preserve">ks. LÄGLOS I s.v. </w:t>
      </w:r>
      <w:r w:rsidRPr="00FB4EFA">
        <w:rPr>
          <w:i/>
          <w:lang w:val="fi-FI"/>
        </w:rPr>
        <w:t>häpeä, kärsiä</w:t>
      </w:r>
      <w:r w:rsidRPr="00FB4EFA">
        <w:rPr>
          <w:lang w:val="fi-FI"/>
        </w:rPr>
        <w:t>), nimenomaan velaarin vieressä.</w:t>
      </w:r>
    </w:p>
    <w:p w14:paraId="24723784" w14:textId="77777777" w:rsidR="0000782F" w:rsidRPr="00FB4EFA" w:rsidRDefault="0000782F" w:rsidP="002752AF">
      <w:pPr>
        <w:pStyle w:val="Heading4"/>
        <w:spacing w:line="259" w:lineRule="auto"/>
        <w:rPr>
          <w:lang w:val="fi-FI"/>
        </w:rPr>
      </w:pPr>
      <w:r w:rsidRPr="00FB4EFA">
        <w:rPr>
          <w:lang w:val="fi-FI"/>
        </w:rPr>
        <w:t>Turisas</w:t>
      </w:r>
    </w:p>
    <w:p w14:paraId="4CC893F3" w14:textId="235583F7" w:rsidR="0000782F" w:rsidRPr="00FB4EFA" w:rsidRDefault="0000782F" w:rsidP="002752AF">
      <w:pPr>
        <w:rPr>
          <w:lang w:val="fi-FI"/>
        </w:rPr>
      </w:pPr>
      <w:r w:rsidRPr="00FB4EFA">
        <w:rPr>
          <w:lang w:val="fi-FI"/>
        </w:rPr>
        <w:t>Olen aikaisemmin ehdottanut, että sodan jumaluuden Turisaan nimi voisi olla skandinaavien laina (Saarikivi 2014: 207)</w:t>
      </w:r>
      <w:r w:rsidR="006B1A2B" w:rsidRPr="00FB4EFA">
        <w:rPr>
          <w:lang w:val="fi-FI"/>
        </w:rPr>
        <w:t xml:space="preserve"> ’</w:t>
      </w:r>
      <w:r w:rsidRPr="00FB4EFA">
        <w:rPr>
          <w:lang w:val="fi-FI"/>
        </w:rPr>
        <w:t xml:space="preserve">jättiläistä’ merkitsevästä </w:t>
      </w:r>
      <w:r w:rsidRPr="00FB4EFA">
        <w:rPr>
          <w:i/>
          <w:lang w:val="fi-FI"/>
        </w:rPr>
        <w:t>þurisa-z-</w:t>
      </w:r>
      <w:r w:rsidRPr="00FB4EFA">
        <w:rPr>
          <w:lang w:val="fi-FI"/>
        </w:rPr>
        <w:t>sanasta</w:t>
      </w:r>
      <w:r w:rsidRPr="00FB4EFA">
        <w:rPr>
          <w:i/>
          <w:lang w:val="fi-FI"/>
        </w:rPr>
        <w:t xml:space="preserve"> </w:t>
      </w:r>
      <w:r w:rsidRPr="00FB4EFA">
        <w:rPr>
          <w:lang w:val="fi-FI"/>
        </w:rPr>
        <w:t xml:space="preserve">(Kroonen 2013: 552). Ajatus ei ole uusi, vaan se löytyy jo Vilhem Thomsenilta (vrt. LÄGLOS III s.v. </w:t>
      </w:r>
      <w:r w:rsidRPr="00FB4EFA">
        <w:rPr>
          <w:i/>
          <w:lang w:val="fi-FI"/>
        </w:rPr>
        <w:t>turisas</w:t>
      </w:r>
      <w:r w:rsidRPr="00FB4EFA">
        <w:rPr>
          <w:lang w:val="fi-FI"/>
        </w:rPr>
        <w:t xml:space="preserve">). Anna-Leena Siikalan </w:t>
      </w:r>
      <w:r w:rsidRPr="00FB4EFA">
        <w:rPr>
          <w:i/>
          <w:lang w:val="fi-FI"/>
        </w:rPr>
        <w:t xml:space="preserve">Itämerensuomalaiseen mytologiaan </w:t>
      </w:r>
      <w:r w:rsidRPr="00FB4EFA">
        <w:rPr>
          <w:lang w:val="fi-FI"/>
        </w:rPr>
        <w:t xml:space="preserve">(Siikala 2012: 222) sisältyy toinen nimiini pantu (julkaisemattomaan esitelmään pohjautuva) selitys, jonka mukaan sana saattaisi liittyä </w:t>
      </w:r>
      <w:r w:rsidRPr="00FB4EFA">
        <w:rPr>
          <w:i/>
          <w:lang w:val="fi-FI"/>
        </w:rPr>
        <w:t xml:space="preserve">Thorin </w:t>
      </w:r>
      <w:r w:rsidRPr="00FB4EFA">
        <w:rPr>
          <w:lang w:val="fi-FI"/>
        </w:rPr>
        <w:t xml:space="preserve">nimeen (&lt; </w:t>
      </w:r>
      <w:r w:rsidRPr="00FB4EFA">
        <w:rPr>
          <w:i/>
          <w:lang w:val="fi-FI"/>
        </w:rPr>
        <w:t>*þunra-z</w:t>
      </w:r>
      <w:r w:rsidRPr="00FB4EFA">
        <w:rPr>
          <w:lang w:val="fi-FI"/>
        </w:rPr>
        <w:t xml:space="preserve">). Erityisesti Gananderin (1789) kirjoitusasu </w:t>
      </w:r>
      <w:r w:rsidRPr="00FB4EFA">
        <w:rPr>
          <w:i/>
          <w:lang w:val="fi-FI"/>
        </w:rPr>
        <w:t xml:space="preserve">Turras </w:t>
      </w:r>
      <w:r w:rsidRPr="00FB4EFA">
        <w:rPr>
          <w:lang w:val="fi-FI"/>
        </w:rPr>
        <w:t xml:space="preserve">(rinnalla </w:t>
      </w:r>
      <w:r w:rsidRPr="00FB4EFA">
        <w:rPr>
          <w:i/>
          <w:lang w:val="fi-FI"/>
        </w:rPr>
        <w:t>Turrisas</w:t>
      </w:r>
      <w:r w:rsidRPr="00FB4EFA">
        <w:rPr>
          <w:lang w:val="fi-FI"/>
        </w:rPr>
        <w:t>) saattaisi viitata tällaiseen alkuperään, joka ei kuitenkaan ole täysin vailla äänteellisiä ongelmia (</w:t>
      </w:r>
      <w:r w:rsidRPr="00FB4EFA">
        <w:rPr>
          <w:i/>
          <w:lang w:val="fi-FI"/>
        </w:rPr>
        <w:t>-nr-</w:t>
      </w:r>
      <w:r w:rsidRPr="00FB4EFA">
        <w:rPr>
          <w:lang w:val="fi-FI"/>
        </w:rPr>
        <w:t>yhtymä on itämerensuomessa mahdoton, ja germaanissakin siinä määrin harvinainen, että mahdollisista itämerensuomalaisista substituutioista ei liene täysin varmaa tietoa). Kyseessä voi olla myös molempien nimien kontaminaatio, erityisesti kun sanan äänneasu viittaa pikemminkin</w:t>
      </w:r>
      <w:r w:rsidR="006B1A2B" w:rsidRPr="00FB4EFA">
        <w:rPr>
          <w:lang w:val="fi-FI"/>
        </w:rPr>
        <w:t xml:space="preserve"> ’</w:t>
      </w:r>
      <w:r w:rsidRPr="00FB4EFA">
        <w:rPr>
          <w:lang w:val="fi-FI"/>
        </w:rPr>
        <w:t xml:space="preserve">jättiläistä’ merkitsevään sanaan ja semantiikka taas sopisi </w:t>
      </w:r>
      <w:r w:rsidRPr="00FB4EFA">
        <w:rPr>
          <w:lang w:val="fi-FI"/>
        </w:rPr>
        <w:lastRenderedPageBreak/>
        <w:t xml:space="preserve">sodanjumala Thorin yhteyteen. Joka tapauksessa niin äänneasu kuin kahdenkin sopivan etymonin olemassaolo viittaa siihen, että </w:t>
      </w:r>
      <w:r w:rsidRPr="00FB4EFA">
        <w:rPr>
          <w:i/>
          <w:lang w:val="fi-FI"/>
        </w:rPr>
        <w:t xml:space="preserve">Turisas </w:t>
      </w:r>
      <w:r w:rsidRPr="00FB4EFA">
        <w:rPr>
          <w:lang w:val="fi-FI"/>
        </w:rPr>
        <w:t>on germaaninen laina.</w:t>
      </w:r>
    </w:p>
    <w:p w14:paraId="45E0B8AE" w14:textId="77777777" w:rsidR="0000782F" w:rsidRPr="00FB4EFA" w:rsidRDefault="0000782F" w:rsidP="002752AF">
      <w:pPr>
        <w:pStyle w:val="Heading4"/>
        <w:spacing w:line="259" w:lineRule="auto"/>
        <w:rPr>
          <w:lang w:val="fi-FI"/>
        </w:rPr>
      </w:pPr>
      <w:r w:rsidRPr="00FB4EFA">
        <w:rPr>
          <w:lang w:val="fi-FI"/>
        </w:rPr>
        <w:t>Pellonpekko</w:t>
      </w:r>
    </w:p>
    <w:p w14:paraId="5919B829" w14:textId="5DD2A8B8" w:rsidR="0000782F" w:rsidRPr="00FB4EFA" w:rsidRDefault="0000782F" w:rsidP="002752AF">
      <w:pPr>
        <w:rPr>
          <w:lang w:val="fi-FI"/>
        </w:rPr>
      </w:pPr>
      <w:r w:rsidRPr="00FB4EFA">
        <w:rPr>
          <w:lang w:val="fi-FI"/>
        </w:rPr>
        <w:t>Pellonpekon nimellekin tuntee jo aikaisempi tutkimus etymologian</w:t>
      </w:r>
      <w:r w:rsidR="006B1A2B" w:rsidRPr="00FB4EFA">
        <w:rPr>
          <w:lang w:val="fi-FI"/>
        </w:rPr>
        <w:t xml:space="preserve"> ’</w:t>
      </w:r>
      <w:r w:rsidRPr="00FB4EFA">
        <w:rPr>
          <w:lang w:val="fi-FI"/>
        </w:rPr>
        <w:t xml:space="preserve">ohraa’ tarkoittavasta germaanisperäisestä sanueesta </w:t>
      </w:r>
      <w:r w:rsidRPr="00FB4EFA">
        <w:rPr>
          <w:i/>
          <w:lang w:val="fi-FI"/>
        </w:rPr>
        <w:t>*beggwu</w:t>
      </w:r>
      <w:r w:rsidR="006B1A2B" w:rsidRPr="00FB4EFA">
        <w:rPr>
          <w:i/>
          <w:lang w:val="fi-FI"/>
        </w:rPr>
        <w:t xml:space="preserve"> </w:t>
      </w:r>
      <w:r w:rsidR="006B1A2B" w:rsidRPr="00FB4EFA">
        <w:rPr>
          <w:lang w:val="fi-FI"/>
        </w:rPr>
        <w:t>’</w:t>
      </w:r>
      <w:r w:rsidRPr="00FB4EFA">
        <w:rPr>
          <w:lang w:val="fi-FI"/>
        </w:rPr>
        <w:t xml:space="preserve">ohra’ (Setälä 1910: 56). Etymologiset sanakirjat (de Vries 1962: 66, SSA II: 306) ovat pitäneet tätä kuitenkin epäuskottavana. </w:t>
      </w:r>
      <w:r w:rsidRPr="00FB4EFA">
        <w:rPr>
          <w:i/>
          <w:lang w:val="fi-FI"/>
        </w:rPr>
        <w:t xml:space="preserve">Äkrään, Tapion, Ahdin, Rahkoin, Ilmarisen </w:t>
      </w:r>
      <w:r w:rsidRPr="00FB4EFA">
        <w:rPr>
          <w:lang w:val="fi-FI"/>
        </w:rPr>
        <w:t>ym.</w:t>
      </w:r>
      <w:r w:rsidRPr="00FB4EFA">
        <w:rPr>
          <w:i/>
          <w:lang w:val="fi-FI"/>
        </w:rPr>
        <w:t xml:space="preserve"> </w:t>
      </w:r>
      <w:r w:rsidRPr="00FB4EFA">
        <w:rPr>
          <w:lang w:val="fi-FI"/>
        </w:rPr>
        <w:t xml:space="preserve">personifikaatioihin perustuvien etymologioiden valossa voi tätä tätä vanhaa etymologiaa kuitenkin tukea, sikälikin, että etymologia on äänteellisesti täysin mahdollinen (ks. LÄGLOS III s.v. </w:t>
      </w:r>
      <w:r w:rsidRPr="00FB4EFA">
        <w:rPr>
          <w:i/>
          <w:lang w:val="fi-FI"/>
        </w:rPr>
        <w:t>pekko</w:t>
      </w:r>
      <w:r w:rsidRPr="00FB4EFA">
        <w:rPr>
          <w:lang w:val="fi-FI"/>
        </w:rPr>
        <w:t xml:space="preserve">). </w:t>
      </w:r>
      <w:r w:rsidRPr="00FB4EFA">
        <w:rPr>
          <w:i/>
          <w:lang w:val="fi-FI"/>
        </w:rPr>
        <w:t>Äkräs</w:t>
      </w:r>
      <w:r w:rsidRPr="00FB4EFA">
        <w:rPr>
          <w:lang w:val="fi-FI"/>
        </w:rPr>
        <w:t xml:space="preserve"> pellon nimitykseen perustuvana pellon jumaluutena ja </w:t>
      </w:r>
      <w:r w:rsidRPr="00FB4EFA">
        <w:rPr>
          <w:i/>
          <w:lang w:val="fi-FI"/>
        </w:rPr>
        <w:t xml:space="preserve">Pekko </w:t>
      </w:r>
      <w:r w:rsidRPr="00FB4EFA">
        <w:rPr>
          <w:lang w:val="fi-FI"/>
        </w:rPr>
        <w:t>ohran nimitykseen perustuvana ohran jumaluutena muodostavat semanttisen paralleelin. Äänteellisestä puolesta mainittakoon, että olen hiljattain (Saarikivi 202</w:t>
      </w:r>
      <w:r w:rsidR="00DB7971" w:rsidRPr="00FB4EFA">
        <w:rPr>
          <w:lang w:val="fi-FI"/>
        </w:rPr>
        <w:t>0: 280–281</w:t>
      </w:r>
      <w:r w:rsidRPr="00FB4EFA">
        <w:rPr>
          <w:lang w:val="fi-FI"/>
        </w:rPr>
        <w:t xml:space="preserve">) esittänyt myös suomen </w:t>
      </w:r>
      <w:r w:rsidRPr="00FB4EFA">
        <w:rPr>
          <w:i/>
          <w:lang w:val="fi-FI"/>
        </w:rPr>
        <w:t>vero-</w:t>
      </w:r>
      <w:r w:rsidRPr="00FB4EFA">
        <w:rPr>
          <w:lang w:val="fi-FI"/>
        </w:rPr>
        <w:t>sanalle lainaoriginaalin (</w:t>
      </w:r>
      <w:r w:rsidRPr="00FB4EFA">
        <w:rPr>
          <w:i/>
          <w:lang w:val="fi-FI"/>
        </w:rPr>
        <w:t>*werþu</w:t>
      </w:r>
      <w:r w:rsidR="006B1A2B" w:rsidRPr="00FB4EFA">
        <w:rPr>
          <w:i/>
          <w:lang w:val="fi-FI"/>
        </w:rPr>
        <w:t xml:space="preserve"> </w:t>
      </w:r>
      <w:r w:rsidR="006B1A2B" w:rsidRPr="00FB4EFA">
        <w:rPr>
          <w:lang w:val="fi-FI"/>
        </w:rPr>
        <w:t>’</w:t>
      </w:r>
      <w:r w:rsidRPr="00FB4EFA">
        <w:rPr>
          <w:lang w:val="fi-FI"/>
        </w:rPr>
        <w:t xml:space="preserve">mieskohtainen kestitys, ateria’), jossa niin ikään esiintyy </w:t>
      </w:r>
      <w:r w:rsidR="00132900" w:rsidRPr="00FB4EFA">
        <w:rPr>
          <w:lang w:val="fi-FI"/>
        </w:rPr>
        <w:br/>
      </w:r>
      <w:r w:rsidRPr="00FB4EFA">
        <w:rPr>
          <w:lang w:val="fi-FI"/>
        </w:rPr>
        <w:t xml:space="preserve">pohjoisgermaanin 2. tavun </w:t>
      </w:r>
      <w:r w:rsidRPr="00FB4EFA">
        <w:rPr>
          <w:i/>
          <w:lang w:val="fi-FI"/>
        </w:rPr>
        <w:t>u-</w:t>
      </w:r>
      <w:r w:rsidRPr="00FB4EFA">
        <w:rPr>
          <w:lang w:val="fi-FI"/>
        </w:rPr>
        <w:t xml:space="preserve">äänteen korvaaminen </w:t>
      </w:r>
      <w:r w:rsidRPr="00FB4EFA">
        <w:rPr>
          <w:i/>
          <w:lang w:val="fi-FI"/>
        </w:rPr>
        <w:t>o-</w:t>
      </w:r>
      <w:r w:rsidRPr="00FB4EFA">
        <w:rPr>
          <w:lang w:val="fi-FI"/>
        </w:rPr>
        <w:t xml:space="preserve">äänteellä ja </w:t>
      </w:r>
      <w:r w:rsidR="00132900" w:rsidRPr="00FB4EFA">
        <w:rPr>
          <w:lang w:val="fi-FI"/>
        </w:rPr>
        <w:br/>
      </w:r>
      <w:r w:rsidRPr="00FB4EFA">
        <w:rPr>
          <w:lang w:val="fi-FI"/>
        </w:rPr>
        <w:t>keskikonsonantiston yksinkertaistuminen.</w:t>
      </w:r>
    </w:p>
    <w:p w14:paraId="4ABAEBA3" w14:textId="77777777" w:rsidR="0000782F" w:rsidRPr="00FB4EFA" w:rsidRDefault="0000782F" w:rsidP="002752AF">
      <w:pPr>
        <w:pStyle w:val="Heading4"/>
        <w:spacing w:line="259" w:lineRule="auto"/>
        <w:rPr>
          <w:lang w:val="fi-FI"/>
        </w:rPr>
      </w:pPr>
      <w:r w:rsidRPr="00FB4EFA">
        <w:rPr>
          <w:lang w:val="fi-FI"/>
        </w:rPr>
        <w:t>Väinämöinen</w:t>
      </w:r>
    </w:p>
    <w:p w14:paraId="7FEEB7E2" w14:textId="63A97C62" w:rsidR="0000782F" w:rsidRPr="00FB4EFA" w:rsidRDefault="0000782F" w:rsidP="00AF0CAD">
      <w:pPr>
        <w:rPr>
          <w:i/>
          <w:lang w:val="fi-FI"/>
        </w:rPr>
      </w:pPr>
      <w:r w:rsidRPr="00FB4EFA">
        <w:rPr>
          <w:lang w:val="fi-FI"/>
        </w:rPr>
        <w:t xml:space="preserve">Kalevalaisen runouden keskeishahmon Väinämöisen nimi on ymmärrettävästi kiehtonut selittäjiä. Mm. Haavio (1950), Frog (2011) ja Siikala (2012) ovat tukeneet ajatusta, että Väinämöinen on suhteellisen hiljattain, mahdollisesti myöhäisellä rautakaudella, syrjäyttänyt aikaisemman pääjumalan Ilmarisen eeppisen runouden keskeishahmona. Useimmat nimen alkuperän selittäjät (mm. Krohn ja Setälä, ks. SSA III s.v. </w:t>
      </w:r>
      <w:r w:rsidRPr="00FB4EFA">
        <w:rPr>
          <w:i/>
          <w:lang w:val="fi-FI"/>
        </w:rPr>
        <w:t>väineä</w:t>
      </w:r>
      <w:r w:rsidRPr="00FB4EFA">
        <w:rPr>
          <w:lang w:val="fi-FI"/>
        </w:rPr>
        <w:t>) ovat liittäneet Väinämöisen nimen</w:t>
      </w:r>
      <w:r w:rsidR="006B1A2B" w:rsidRPr="00FB4EFA">
        <w:rPr>
          <w:lang w:val="fi-FI"/>
        </w:rPr>
        <w:t xml:space="preserve"> ’</w:t>
      </w:r>
      <w:r w:rsidRPr="00FB4EFA">
        <w:rPr>
          <w:lang w:val="fi-FI"/>
        </w:rPr>
        <w:t>hidasta’ ja</w:t>
      </w:r>
      <w:r w:rsidR="006B1A2B" w:rsidRPr="00FB4EFA">
        <w:rPr>
          <w:lang w:val="fi-FI"/>
        </w:rPr>
        <w:t xml:space="preserve"> ’</w:t>
      </w:r>
      <w:r w:rsidRPr="00FB4EFA">
        <w:rPr>
          <w:lang w:val="fi-FI"/>
        </w:rPr>
        <w:t xml:space="preserve">saamatonta’ tarkoittavaan </w:t>
      </w:r>
      <w:r w:rsidRPr="00FB4EFA">
        <w:rPr>
          <w:i/>
          <w:lang w:val="fi-FI"/>
        </w:rPr>
        <w:t>väineä-</w:t>
      </w:r>
      <w:r w:rsidRPr="00FB4EFA">
        <w:rPr>
          <w:lang w:val="fi-FI"/>
        </w:rPr>
        <w:t>sanueeseen tai mahdollisesti samaan yhteyteen liittyvään</w:t>
      </w:r>
      <w:r w:rsidR="006B1A2B" w:rsidRPr="00FB4EFA">
        <w:rPr>
          <w:lang w:val="fi-FI"/>
        </w:rPr>
        <w:t xml:space="preserve"> ’</w:t>
      </w:r>
      <w:r w:rsidRPr="00FB4EFA">
        <w:rPr>
          <w:lang w:val="fi-FI"/>
        </w:rPr>
        <w:t>salmea’ ja</w:t>
      </w:r>
      <w:r w:rsidR="006B1A2B" w:rsidRPr="00FB4EFA">
        <w:rPr>
          <w:lang w:val="fi-FI"/>
        </w:rPr>
        <w:t xml:space="preserve"> ’</w:t>
      </w:r>
      <w:r w:rsidRPr="00FB4EFA">
        <w:rPr>
          <w:lang w:val="fi-FI"/>
        </w:rPr>
        <w:t xml:space="preserve">suvantoa’ tarkoittavaan </w:t>
      </w:r>
      <w:r w:rsidRPr="00FB4EFA">
        <w:rPr>
          <w:i/>
          <w:lang w:val="fi-FI"/>
        </w:rPr>
        <w:t>väinä-</w:t>
      </w:r>
      <w:r w:rsidRPr="00FB4EFA">
        <w:rPr>
          <w:lang w:val="fi-FI"/>
        </w:rPr>
        <w:t xml:space="preserve">sanueeseen (&gt; vi </w:t>
      </w:r>
      <w:r w:rsidRPr="00FB4EFA">
        <w:rPr>
          <w:i/>
          <w:lang w:val="fi-FI"/>
        </w:rPr>
        <w:t>väin</w:t>
      </w:r>
      <w:r w:rsidR="006B1A2B" w:rsidRPr="00FB4EFA">
        <w:rPr>
          <w:i/>
          <w:lang w:val="fi-FI"/>
        </w:rPr>
        <w:t xml:space="preserve"> </w:t>
      </w:r>
      <w:r w:rsidR="006B1A2B" w:rsidRPr="00FB4EFA">
        <w:rPr>
          <w:lang w:val="fi-FI"/>
        </w:rPr>
        <w:t>’</w:t>
      </w:r>
      <w:r w:rsidRPr="00FB4EFA">
        <w:rPr>
          <w:lang w:val="fi-FI"/>
        </w:rPr>
        <w:t xml:space="preserve">salmi’). Tätä tukee mm. Haavion (1950) esittämä Väinämöisen toisintonimiin Uvantolainen ja Suvantolainen liittyvä argumentti. Ei ole kuitenkaan poissuljettua, että nämä ovat syntyneet jälkikäteen </w:t>
      </w:r>
      <w:r w:rsidRPr="00FB4EFA">
        <w:rPr>
          <w:i/>
          <w:lang w:val="fi-FI"/>
        </w:rPr>
        <w:t>väinä-</w:t>
      </w:r>
      <w:r w:rsidRPr="00FB4EFA">
        <w:rPr>
          <w:lang w:val="fi-FI"/>
        </w:rPr>
        <w:t xml:space="preserve">sanueen vaikutuksesta. </w:t>
      </w:r>
      <w:r w:rsidR="00132900" w:rsidRPr="00FB4EFA">
        <w:rPr>
          <w:lang w:val="fi-FI"/>
        </w:rPr>
        <w:br/>
      </w:r>
      <w:r w:rsidRPr="00FB4EFA">
        <w:rPr>
          <w:i/>
          <w:lang w:val="fi-FI"/>
        </w:rPr>
        <w:t xml:space="preserve">Väinämöinen </w:t>
      </w:r>
      <w:r w:rsidRPr="00FB4EFA">
        <w:rPr>
          <w:lang w:val="fi-FI"/>
        </w:rPr>
        <w:t xml:space="preserve">ei myöskään rakenteellisesti vaikuta paikannimestä muodostetulta henkilönimeltä, erityisesti kun sen rinnalla esiintyy kansanrunoissikin lyhyempi variantti </w:t>
      </w:r>
      <w:r w:rsidRPr="00FB4EFA">
        <w:rPr>
          <w:i/>
          <w:lang w:val="fi-FI"/>
        </w:rPr>
        <w:t>Väinö.</w:t>
      </w:r>
    </w:p>
    <w:p w14:paraId="041159FB" w14:textId="77777777" w:rsidR="0000782F" w:rsidRPr="00FB4EFA" w:rsidRDefault="0000782F" w:rsidP="00AF0CAD">
      <w:pPr>
        <w:ind w:firstLine="709"/>
        <w:rPr>
          <w:lang w:val="fi-FI"/>
        </w:rPr>
      </w:pPr>
      <w:r w:rsidRPr="00FB4EFA">
        <w:rPr>
          <w:lang w:val="fi-FI"/>
        </w:rPr>
        <w:lastRenderedPageBreak/>
        <w:t>Kansanrunouden tutkimuksessa on kiinnitetty huomiota Väinämöis-hahmon ja germaanisen Odinin tai Wotanin samankaltaisuuksiin. Molemmat ovat tietäjiä, vanhoja parrakkaita miehiä, jotka ovat antaneet ihmisille sanoja ja runouden (vrt. Haavio 1950, Siikala 2012). Ilmeisesti Väinämöisen ja Odinin nimiä ei ole etymologiselta kannalta kuitenkaan vertailtu.</w:t>
      </w:r>
    </w:p>
    <w:p w14:paraId="28B5B5D8" w14:textId="5380322A" w:rsidR="0000782F" w:rsidRPr="00FB4EFA" w:rsidRDefault="0000782F" w:rsidP="002752AF">
      <w:pPr>
        <w:ind w:firstLine="720"/>
        <w:rPr>
          <w:lang w:val="fi-FI"/>
        </w:rPr>
      </w:pPr>
      <w:r w:rsidRPr="00FB4EFA">
        <w:rPr>
          <w:lang w:val="fi-FI"/>
        </w:rPr>
        <w:t xml:space="preserve">Odinin nimi esiintyy kaikkialla germaanisella taholla (mn </w:t>
      </w:r>
      <w:hyperlink r:id="rId389" w:anchor="Old_Norse">
        <w:r w:rsidRPr="00FB4EFA">
          <w:rPr>
            <w:i/>
            <w:lang w:val="fi-FI"/>
          </w:rPr>
          <w:t>Óðinn</w:t>
        </w:r>
      </w:hyperlink>
      <w:r w:rsidRPr="00FB4EFA">
        <w:rPr>
          <w:i/>
          <w:lang w:val="fi-FI"/>
        </w:rPr>
        <w:t xml:space="preserve">, </w:t>
      </w:r>
      <w:r w:rsidRPr="00FB4EFA">
        <w:rPr>
          <w:lang w:val="fi-FI"/>
        </w:rPr>
        <w:t xml:space="preserve">me </w:t>
      </w:r>
      <w:r w:rsidRPr="00FB4EFA">
        <w:rPr>
          <w:i/>
          <w:lang w:val="fi-FI"/>
        </w:rPr>
        <w:t xml:space="preserve">Woden, </w:t>
      </w:r>
      <w:r w:rsidRPr="00FB4EFA">
        <w:rPr>
          <w:lang w:val="fi-FI"/>
        </w:rPr>
        <w:t xml:space="preserve">mys </w:t>
      </w:r>
      <w:r w:rsidRPr="00FB4EFA">
        <w:rPr>
          <w:i/>
          <w:lang w:val="fi-FI"/>
        </w:rPr>
        <w:t xml:space="preserve">Wotan </w:t>
      </w:r>
      <w:r w:rsidRPr="00FB4EFA">
        <w:rPr>
          <w:lang w:val="fi-FI"/>
        </w:rPr>
        <w:t xml:space="preserve">&lt; kgerm </w:t>
      </w:r>
      <w:r w:rsidRPr="00FB4EFA">
        <w:rPr>
          <w:i/>
          <w:lang w:val="fi-FI"/>
        </w:rPr>
        <w:t>*wō</w:t>
      </w:r>
      <w:hyperlink r:id="rId390" w:anchor="Old_Norse">
        <w:r w:rsidRPr="00FB4EFA">
          <w:rPr>
            <w:i/>
            <w:lang w:val="fi-FI"/>
          </w:rPr>
          <w:t>ð</w:t>
        </w:r>
      </w:hyperlink>
      <w:r w:rsidRPr="00FB4EFA">
        <w:rPr>
          <w:i/>
          <w:lang w:val="fi-FI"/>
        </w:rPr>
        <w:t>anaz</w:t>
      </w:r>
      <w:r w:rsidRPr="00FB4EFA">
        <w:rPr>
          <w:lang w:val="fi-FI"/>
        </w:rPr>
        <w:t xml:space="preserve">). Kyseessä on ilmeisesti johdos kantagermaanin sanasta </w:t>
      </w:r>
      <w:hyperlink r:id="rId391">
        <w:r w:rsidRPr="00FB4EFA">
          <w:rPr>
            <w:i/>
            <w:lang w:val="fi-FI"/>
          </w:rPr>
          <w:t>wōdaz</w:t>
        </w:r>
      </w:hyperlink>
      <w:r w:rsidRPr="00FB4EFA">
        <w:rPr>
          <w:lang w:val="fi-FI"/>
        </w:rPr>
        <w:t xml:space="preserve"> </w:t>
      </w:r>
      <w:r w:rsidR="005E1CCE" w:rsidRPr="00FB4EFA">
        <w:rPr>
          <w:lang w:val="fi-FI"/>
        </w:rPr>
        <w:t>’</w:t>
      </w:r>
      <w:r w:rsidRPr="00FB4EFA">
        <w:rPr>
          <w:lang w:val="fi-FI"/>
        </w:rPr>
        <w:t>raivo, maaginen inspiraatio, furor poeticus</w:t>
      </w:r>
      <w:r w:rsidR="005E1CCE" w:rsidRPr="00FB4EFA">
        <w:rPr>
          <w:lang w:val="fi-FI"/>
        </w:rPr>
        <w:t>’</w:t>
      </w:r>
      <w:r w:rsidRPr="00FB4EFA">
        <w:rPr>
          <w:lang w:val="fi-FI"/>
        </w:rPr>
        <w:t xml:space="preserve"> (~ gootti </w:t>
      </w:r>
      <w:hyperlink r:id="rId392" w:anchor="Gothic">
        <w:r w:rsidRPr="00FB4EFA">
          <w:rPr>
            <w:i/>
            <w:lang w:val="fi-FI"/>
          </w:rPr>
          <w:t>wōds</w:t>
        </w:r>
      </w:hyperlink>
      <w:r w:rsidRPr="00FB4EFA">
        <w:rPr>
          <w:lang w:val="fi-FI"/>
        </w:rPr>
        <w:t xml:space="preserve">, </w:t>
      </w:r>
      <w:r w:rsidR="005E1CCE" w:rsidRPr="00FB4EFA">
        <w:rPr>
          <w:lang w:val="fi-FI"/>
        </w:rPr>
        <w:t>’</w:t>
      </w:r>
      <w:r w:rsidRPr="00FB4EFA">
        <w:rPr>
          <w:lang w:val="fi-FI"/>
        </w:rPr>
        <w:t>possessed, mad</w:t>
      </w:r>
      <w:r w:rsidR="005E1CCE" w:rsidRPr="00FB4EFA">
        <w:rPr>
          <w:lang w:val="fi-FI"/>
        </w:rPr>
        <w:t>’</w:t>
      </w:r>
      <w:r w:rsidRPr="00FB4EFA">
        <w:rPr>
          <w:lang w:val="fi-FI"/>
        </w:rPr>
        <w:t xml:space="preserve"> ~ sa </w:t>
      </w:r>
      <w:r w:rsidRPr="00FB4EFA">
        <w:rPr>
          <w:i/>
          <w:lang w:val="fi-FI"/>
        </w:rPr>
        <w:t>Wut</w:t>
      </w:r>
      <w:r w:rsidR="006B1A2B" w:rsidRPr="00FB4EFA">
        <w:rPr>
          <w:i/>
          <w:lang w:val="fi-FI"/>
        </w:rPr>
        <w:t xml:space="preserve"> </w:t>
      </w:r>
      <w:r w:rsidR="006B1A2B" w:rsidRPr="00FB4EFA">
        <w:rPr>
          <w:lang w:val="fi-FI"/>
        </w:rPr>
        <w:t>’</w:t>
      </w:r>
      <w:r w:rsidRPr="00FB4EFA">
        <w:rPr>
          <w:lang w:val="fi-FI"/>
        </w:rPr>
        <w:t xml:space="preserve">viha, raivo’). Tämä puolestaan vastaa kantakeltin sanaa </w:t>
      </w:r>
      <w:r w:rsidRPr="00FB4EFA">
        <w:rPr>
          <w:i/>
          <w:lang w:val="fi-FI"/>
        </w:rPr>
        <w:t>*</w:t>
      </w:r>
      <w:hyperlink r:id="rId393">
        <w:r w:rsidRPr="00FB4EFA">
          <w:rPr>
            <w:i/>
            <w:lang w:val="fi-FI"/>
          </w:rPr>
          <w:t>wātis</w:t>
        </w:r>
      </w:hyperlink>
      <w:r w:rsidR="006B1A2B" w:rsidRPr="00FB4EFA">
        <w:rPr>
          <w:lang w:val="fi-FI"/>
        </w:rPr>
        <w:t xml:space="preserve"> ’</w:t>
      </w:r>
      <w:r w:rsidRPr="00FB4EFA">
        <w:rPr>
          <w:lang w:val="fi-FI"/>
        </w:rPr>
        <w:t xml:space="preserve">ennustaja’. Koko sana on muodostettu juuresta </w:t>
      </w:r>
      <w:hyperlink r:id="rId394">
        <w:r w:rsidRPr="00FB4EFA">
          <w:rPr>
            <w:i/>
            <w:lang w:val="fi-FI"/>
          </w:rPr>
          <w:t>*weh₂t-</w:t>
        </w:r>
      </w:hyperlink>
      <w:r w:rsidR="006B1A2B" w:rsidRPr="00FB4EFA">
        <w:rPr>
          <w:lang w:val="fi-FI"/>
        </w:rPr>
        <w:t xml:space="preserve"> ’</w:t>
      </w:r>
      <w:r w:rsidRPr="00FB4EFA">
        <w:rPr>
          <w:lang w:val="fi-FI"/>
        </w:rPr>
        <w:t xml:space="preserve">excited, possessed’, joka rajoittuu Kroonenin mukaan germaaniin ja kelttiin (Kroonen 2013: 592). Hänen mukaansa latinan </w:t>
      </w:r>
      <w:r w:rsidRPr="00FB4EFA">
        <w:rPr>
          <w:i/>
          <w:lang w:val="fi-FI"/>
        </w:rPr>
        <w:t>vates</w:t>
      </w:r>
      <w:r w:rsidR="006B1A2B" w:rsidRPr="00FB4EFA">
        <w:rPr>
          <w:lang w:val="fi-FI"/>
        </w:rPr>
        <w:t xml:space="preserve"> ’</w:t>
      </w:r>
      <w:r w:rsidRPr="00FB4EFA">
        <w:rPr>
          <w:lang w:val="fi-FI"/>
        </w:rPr>
        <w:t>inspiroitu runonlaulaja t. bardi’ on laina keltistä, de Vaan (2008: 656) puolestaan pitää sanaa vastineena.</w:t>
      </w:r>
    </w:p>
    <w:p w14:paraId="5E0DFA21" w14:textId="3F19DDF8" w:rsidR="0000782F" w:rsidRPr="00FB4EFA" w:rsidRDefault="0000782F" w:rsidP="002752AF">
      <w:pPr>
        <w:ind w:firstLine="720"/>
        <w:rPr>
          <w:i/>
          <w:lang w:val="fi-FI"/>
        </w:rPr>
      </w:pPr>
      <w:r w:rsidRPr="00FB4EFA">
        <w:rPr>
          <w:lang w:val="fi-FI"/>
        </w:rPr>
        <w:t xml:space="preserve">Kantagermaanin </w:t>
      </w:r>
      <w:r w:rsidRPr="00FB4EFA">
        <w:rPr>
          <w:i/>
          <w:lang w:val="fi-FI"/>
        </w:rPr>
        <w:t>*wō</w:t>
      </w:r>
      <w:hyperlink r:id="rId395" w:anchor="Old_Norse">
        <w:r w:rsidRPr="00FB4EFA">
          <w:rPr>
            <w:i/>
            <w:lang w:val="fi-FI"/>
          </w:rPr>
          <w:t>ð</w:t>
        </w:r>
      </w:hyperlink>
      <w:r w:rsidRPr="00FB4EFA">
        <w:rPr>
          <w:i/>
          <w:lang w:val="fi-FI"/>
        </w:rPr>
        <w:t>anaz-</w:t>
      </w:r>
      <w:r w:rsidRPr="00FB4EFA">
        <w:rPr>
          <w:lang w:val="fi-FI"/>
        </w:rPr>
        <w:t xml:space="preserve">sanan esigermaaninen edeltäjä on muotoa </w:t>
      </w:r>
      <w:r w:rsidRPr="00FB4EFA">
        <w:rPr>
          <w:i/>
          <w:lang w:val="fi-FI"/>
        </w:rPr>
        <w:t xml:space="preserve">*wātónos. </w:t>
      </w:r>
      <w:r w:rsidRPr="00FB4EFA">
        <w:rPr>
          <w:lang w:val="fi-FI"/>
        </w:rPr>
        <w:t xml:space="preserve">Sanalla on ilmeisesti ollut myös 2. tavun suppean vokaalin sisältänuyt umlaut-variantti </w:t>
      </w:r>
      <w:r w:rsidRPr="00FB4EFA">
        <w:rPr>
          <w:i/>
          <w:lang w:val="fi-FI"/>
        </w:rPr>
        <w:t>*wō</w:t>
      </w:r>
      <w:hyperlink r:id="rId396" w:anchor="Old_Norse">
        <w:r w:rsidRPr="00FB4EFA">
          <w:rPr>
            <w:i/>
            <w:lang w:val="fi-FI"/>
          </w:rPr>
          <w:t>ð</w:t>
        </w:r>
      </w:hyperlink>
      <w:r w:rsidRPr="00FB4EFA">
        <w:rPr>
          <w:i/>
          <w:lang w:val="fi-FI"/>
        </w:rPr>
        <w:t xml:space="preserve">inaz, </w:t>
      </w:r>
      <w:r w:rsidRPr="00FB4EFA">
        <w:rPr>
          <w:lang w:val="fi-FI"/>
        </w:rPr>
        <w:t>josta on syntynyt englannin</w:t>
      </w:r>
      <w:r w:rsidR="006B1A2B" w:rsidRPr="00FB4EFA">
        <w:rPr>
          <w:lang w:val="fi-FI"/>
        </w:rPr>
        <w:t xml:space="preserve"> ’</w:t>
      </w:r>
      <w:r w:rsidRPr="00FB4EFA">
        <w:rPr>
          <w:lang w:val="fi-FI"/>
        </w:rPr>
        <w:t xml:space="preserve">keskiviikkoa’ tarkoittava </w:t>
      </w:r>
      <w:r w:rsidRPr="00FB4EFA">
        <w:rPr>
          <w:i/>
          <w:lang w:val="fi-FI"/>
        </w:rPr>
        <w:t xml:space="preserve">wednesday </w:t>
      </w:r>
      <w:r w:rsidRPr="00FB4EFA">
        <w:rPr>
          <w:lang w:val="fi-FI"/>
        </w:rPr>
        <w:t xml:space="preserve">(&lt; me </w:t>
      </w:r>
      <w:r w:rsidRPr="00FB4EFA">
        <w:rPr>
          <w:i/>
          <w:lang w:val="fi-FI"/>
        </w:rPr>
        <w:t xml:space="preserve">*wēdnesdæġ </w:t>
      </w:r>
      <w:r w:rsidRPr="00FB4EFA">
        <w:rPr>
          <w:lang w:val="fi-FI"/>
        </w:rPr>
        <w:t xml:space="preserve">pro odotuksenmukainen </w:t>
      </w:r>
      <w:hyperlink r:id="rId397" w:anchor="Old_English">
        <w:r w:rsidRPr="00FB4EFA">
          <w:rPr>
            <w:i/>
            <w:lang w:val="fi-FI"/>
          </w:rPr>
          <w:t>wōdnesdæġ</w:t>
        </w:r>
      </w:hyperlink>
      <w:r w:rsidRPr="00FB4EFA">
        <w:rPr>
          <w:lang w:val="fi-FI"/>
        </w:rPr>
        <w:t xml:space="preserve">; esim. de Vaan ibid. rekonstruoi 2. tavuun suppean vokaalin). Tätä vastaisi varhaisempi muoto </w:t>
      </w:r>
      <w:r w:rsidRPr="00FB4EFA">
        <w:rPr>
          <w:i/>
          <w:lang w:val="fi-FI"/>
        </w:rPr>
        <w:t>*wātenos.</w:t>
      </w:r>
    </w:p>
    <w:p w14:paraId="5941BBF2" w14:textId="77777777" w:rsidR="0000782F" w:rsidRPr="00FB4EFA" w:rsidRDefault="0000782F" w:rsidP="002752AF">
      <w:pPr>
        <w:ind w:firstLine="720"/>
        <w:rPr>
          <w:lang w:val="fi-FI"/>
        </w:rPr>
      </w:pPr>
      <w:r w:rsidRPr="00FB4EFA">
        <w:rPr>
          <w:lang w:val="fi-FI"/>
        </w:rPr>
        <w:t xml:space="preserve">Olisiko mahdollista, että </w:t>
      </w:r>
      <w:r w:rsidRPr="00FB4EFA">
        <w:rPr>
          <w:i/>
          <w:lang w:val="fi-FI"/>
        </w:rPr>
        <w:t xml:space="preserve">Väinämöinen </w:t>
      </w:r>
      <w:r w:rsidRPr="00FB4EFA">
        <w:rPr>
          <w:lang w:val="fi-FI"/>
        </w:rPr>
        <w:t>ei ainoastaan olisi Odinin itämerensuomalainen mytologinen vastine vaan että myös Väinämöisen nimi olisi syntynyt lainaamalla Odinin nimi itämerensuomeen? Tai että Odinin nimitys olisi vähintäänkin vaikuttanut Väinämöisen nimen kehitykseen?</w:t>
      </w:r>
    </w:p>
    <w:p w14:paraId="49D42BB3" w14:textId="019F2A21" w:rsidR="0000782F" w:rsidRPr="00FB4EFA" w:rsidRDefault="0000782F" w:rsidP="002752AF">
      <w:pPr>
        <w:ind w:firstLine="720"/>
        <w:rPr>
          <w:lang w:val="fi-FI"/>
        </w:rPr>
      </w:pPr>
      <w:r w:rsidRPr="00FB4EFA">
        <w:rPr>
          <w:lang w:val="fi-FI"/>
        </w:rPr>
        <w:t xml:space="preserve">Itämerensuomalaisten kielten germaanisissa lainoissa tunnetaan tapauksia, joissa dentaalin ja sitä seuraavan tavun suppean vokaalin yhdistelmä edustuu ensi tavun diftongina. Näitä on erityisesti nimissä, vrt. esim. </w:t>
      </w:r>
      <w:r w:rsidRPr="00FB4EFA">
        <w:rPr>
          <w:i/>
          <w:lang w:val="fi-FI"/>
        </w:rPr>
        <w:t>Kaerla</w:t>
      </w:r>
      <w:r w:rsidRPr="00FB4EFA">
        <w:rPr>
          <w:lang w:val="fi-FI"/>
        </w:rPr>
        <w:t xml:space="preserve"> (&lt; </w:t>
      </w:r>
      <w:r w:rsidRPr="00FB4EFA">
        <w:rPr>
          <w:i/>
          <w:lang w:val="fi-FI"/>
        </w:rPr>
        <w:t>*kadriala</w:t>
      </w:r>
      <w:r w:rsidRPr="00FB4EFA">
        <w:rPr>
          <w:lang w:val="fi-FI"/>
        </w:rPr>
        <w:t xml:space="preserve">), </w:t>
      </w:r>
      <w:r w:rsidRPr="00FB4EFA">
        <w:rPr>
          <w:i/>
          <w:lang w:val="fi-FI"/>
        </w:rPr>
        <w:t xml:space="preserve">Kuitia </w:t>
      </w:r>
      <w:r w:rsidRPr="00FB4EFA">
        <w:rPr>
          <w:lang w:val="fi-FI"/>
        </w:rPr>
        <w:t xml:space="preserve">&lt; </w:t>
      </w:r>
      <w:r w:rsidRPr="00FB4EFA">
        <w:rPr>
          <w:i/>
          <w:lang w:val="fi-FI"/>
        </w:rPr>
        <w:t xml:space="preserve">*kvidja </w:t>
      </w:r>
      <w:r w:rsidRPr="00FB4EFA">
        <w:rPr>
          <w:lang w:val="fi-FI"/>
        </w:rPr>
        <w:t xml:space="preserve">SPN, </w:t>
      </w:r>
      <w:r w:rsidRPr="00FB4EFA">
        <w:rPr>
          <w:i/>
          <w:lang w:val="fi-FI"/>
        </w:rPr>
        <w:t xml:space="preserve">Voiluoto </w:t>
      </w:r>
      <w:r w:rsidRPr="00FB4EFA">
        <w:rPr>
          <w:lang w:val="fi-FI"/>
        </w:rPr>
        <w:t xml:space="preserve">&lt; </w:t>
      </w:r>
      <w:r w:rsidRPr="00FB4EFA">
        <w:rPr>
          <w:i/>
          <w:lang w:val="fi-FI"/>
        </w:rPr>
        <w:t xml:space="preserve">*Voidonluoto, Iisalmi </w:t>
      </w:r>
      <w:r w:rsidRPr="00FB4EFA">
        <w:rPr>
          <w:lang w:val="fi-FI"/>
        </w:rPr>
        <w:t xml:space="preserve">&lt; </w:t>
      </w:r>
      <w:r w:rsidRPr="00FB4EFA">
        <w:rPr>
          <w:i/>
          <w:lang w:val="fi-FI"/>
        </w:rPr>
        <w:t>*Iidensalmi,</w:t>
      </w:r>
      <w:r w:rsidRPr="00FB4EFA">
        <w:rPr>
          <w:lang w:val="fi-FI"/>
        </w:rPr>
        <w:t xml:space="preserve"> SPN). Appellatiiveissa tällaiset tapaukset ovat tosin harvinaisia. Esim. sanalle </w:t>
      </w:r>
      <w:r w:rsidRPr="00FB4EFA">
        <w:rPr>
          <w:i/>
          <w:lang w:val="fi-FI"/>
        </w:rPr>
        <w:t xml:space="preserve">väylä </w:t>
      </w:r>
      <w:r w:rsidRPr="00FB4EFA">
        <w:rPr>
          <w:lang w:val="fi-FI"/>
        </w:rPr>
        <w:t xml:space="preserve">on Karsten esittänyt etymologiaa muinaisnorjan </w:t>
      </w:r>
      <w:r w:rsidRPr="00FB4EFA">
        <w:rPr>
          <w:i/>
          <w:lang w:val="fi-FI"/>
        </w:rPr>
        <w:t>vaðill</w:t>
      </w:r>
      <w:r w:rsidR="006B1A2B" w:rsidRPr="00FB4EFA">
        <w:rPr>
          <w:i/>
          <w:lang w:val="fi-FI"/>
        </w:rPr>
        <w:t xml:space="preserve"> </w:t>
      </w:r>
      <w:r w:rsidR="006B1A2B" w:rsidRPr="00FB4EFA">
        <w:rPr>
          <w:lang w:val="fi-FI"/>
        </w:rPr>
        <w:t>’</w:t>
      </w:r>
      <w:r w:rsidRPr="00FB4EFA">
        <w:rPr>
          <w:lang w:val="fi-FI"/>
        </w:rPr>
        <w:t xml:space="preserve">Untiefe, Furt’-sanaa vastaavasta sanasta (&lt; </w:t>
      </w:r>
      <w:r w:rsidRPr="00FB4EFA">
        <w:rPr>
          <w:i/>
          <w:lang w:val="fi-FI"/>
        </w:rPr>
        <w:t>*wađilaz</w:t>
      </w:r>
      <w:r w:rsidRPr="00FB4EFA">
        <w:rPr>
          <w:lang w:val="fi-FI"/>
        </w:rPr>
        <w:t xml:space="preserve">, LÄGLOS III: 423), mutta Aikio (2009: 290) pitää sanaa pohjoismurteisiin rajoittuvana saamelaislainana, mikä levikkisyistä ja semantiikan suhteen vaikuttaa todennäköisemmältä. Sellaisissa yleisesti tunnetuissa lainoissa </w:t>
      </w:r>
      <w:r w:rsidRPr="00FB4EFA">
        <w:rPr>
          <w:lang w:val="fi-FI"/>
        </w:rPr>
        <w:lastRenderedPageBreak/>
        <w:t xml:space="preserve">kuin </w:t>
      </w:r>
      <w:r w:rsidRPr="00FB4EFA">
        <w:rPr>
          <w:i/>
          <w:lang w:val="fi-FI"/>
        </w:rPr>
        <w:t xml:space="preserve">äyräs, neula </w:t>
      </w:r>
      <w:r w:rsidRPr="00FB4EFA">
        <w:rPr>
          <w:lang w:val="fi-FI"/>
        </w:rPr>
        <w:t xml:space="preserve">tai </w:t>
      </w:r>
      <w:r w:rsidRPr="00FB4EFA">
        <w:rPr>
          <w:i/>
          <w:lang w:val="fi-FI"/>
        </w:rPr>
        <w:t xml:space="preserve">seula </w:t>
      </w:r>
      <w:r w:rsidRPr="00FB4EFA">
        <w:rPr>
          <w:lang w:val="fi-FI"/>
        </w:rPr>
        <w:t>esiintyy niin ikään dentaalispirantin vastineena vokaali, tosin itäisissä kielimuodoissa niissä tavataan useimmiten klusiili.</w:t>
      </w:r>
    </w:p>
    <w:p w14:paraId="326E13C5" w14:textId="77777777" w:rsidR="000121EA" w:rsidRPr="00FB4EFA" w:rsidRDefault="0000782F" w:rsidP="002752AF">
      <w:pPr>
        <w:ind w:firstLine="709"/>
        <w:rPr>
          <w:i/>
          <w:lang w:val="fi-FI"/>
        </w:rPr>
      </w:pPr>
      <w:r w:rsidRPr="00FB4EFA">
        <w:rPr>
          <w:lang w:val="fi-FI"/>
        </w:rPr>
        <w:t>Ehdoton valtaosa Väinämöistä käsittelevästä runoudesta on itäistä alkuperää. Muinaiskarjalaan lainautumisen jälkeen *</w:t>
      </w:r>
      <w:r w:rsidRPr="00FB4EFA">
        <w:rPr>
          <w:i/>
          <w:lang w:val="fi-FI"/>
        </w:rPr>
        <w:t>-đ</w:t>
      </w:r>
      <w:r w:rsidRPr="00FB4EFA">
        <w:rPr>
          <w:lang w:val="fi-FI"/>
        </w:rPr>
        <w:t xml:space="preserve">-aines (&gt; </w:t>
      </w:r>
      <w:r w:rsidRPr="00FB4EFA">
        <w:rPr>
          <w:i/>
          <w:lang w:val="fi-FI"/>
        </w:rPr>
        <w:t>t</w:t>
      </w:r>
      <w:r w:rsidRPr="00FB4EFA">
        <w:rPr>
          <w:lang w:val="fi-FI"/>
        </w:rPr>
        <w:t xml:space="preserve">) olisi todennäköisesti vokaloitunut painottomassa asemassa (dentaalispirantin läntiset </w:t>
      </w:r>
      <w:r w:rsidRPr="00FB4EFA">
        <w:rPr>
          <w:i/>
          <w:lang w:val="fi-FI"/>
        </w:rPr>
        <w:t xml:space="preserve">-r-, -l-, </w:t>
      </w:r>
      <w:r w:rsidRPr="00FB4EFA">
        <w:rPr>
          <w:lang w:val="fi-FI"/>
        </w:rPr>
        <w:t>ja itäiset</w:t>
      </w:r>
      <w:r w:rsidRPr="00FB4EFA">
        <w:rPr>
          <w:i/>
          <w:lang w:val="fi-FI"/>
        </w:rPr>
        <w:t xml:space="preserve"> -ø-</w:t>
      </w:r>
      <w:r w:rsidRPr="00FB4EFA">
        <w:rPr>
          <w:lang w:val="fi-FI"/>
        </w:rPr>
        <w:t xml:space="preserve">refleksit). Skandinaavissa vahvimmin attestoitu </w:t>
      </w:r>
      <w:r w:rsidRPr="00FB4EFA">
        <w:rPr>
          <w:i/>
          <w:lang w:val="fi-FI"/>
        </w:rPr>
        <w:t>*ōdanaz-</w:t>
      </w:r>
      <w:r w:rsidRPr="00FB4EFA">
        <w:rPr>
          <w:lang w:val="fi-FI"/>
        </w:rPr>
        <w:t xml:space="preserve">asu olisi muinaiskarjalaan lainautuessaan tuottanut lähinnä asun </w:t>
      </w:r>
      <w:r w:rsidRPr="00FB4EFA">
        <w:rPr>
          <w:i/>
          <w:lang w:val="fi-FI"/>
        </w:rPr>
        <w:t xml:space="preserve">*vuotana- </w:t>
      </w:r>
      <w:r w:rsidRPr="00FB4EFA">
        <w:rPr>
          <w:lang w:val="fi-FI"/>
        </w:rPr>
        <w:t>(painollisen tavun edellä)</w:t>
      </w:r>
      <w:r w:rsidRPr="00FB4EFA">
        <w:rPr>
          <w:i/>
          <w:lang w:val="fi-FI"/>
        </w:rPr>
        <w:t xml:space="preserve">. </w:t>
      </w:r>
      <w:r w:rsidRPr="00FB4EFA">
        <w:rPr>
          <w:lang w:val="fi-FI"/>
        </w:rPr>
        <w:t xml:space="preserve">Mikäli lainautuminen olisi tapahtunut umlautin sisältäneen asun </w:t>
      </w:r>
      <w:r w:rsidRPr="00FB4EFA">
        <w:rPr>
          <w:i/>
          <w:lang w:val="fi-FI"/>
        </w:rPr>
        <w:t xml:space="preserve">*ōdinaz </w:t>
      </w:r>
      <w:r w:rsidRPr="00FB4EFA">
        <w:rPr>
          <w:lang w:val="fi-FI"/>
        </w:rPr>
        <w:t xml:space="preserve">sisäheitollisesta asusta, olisi karjalaan saatu </w:t>
      </w:r>
      <w:r w:rsidRPr="00FB4EFA">
        <w:rPr>
          <w:i/>
          <w:lang w:val="fi-FI"/>
        </w:rPr>
        <w:t>vuonna-</w:t>
      </w:r>
      <w:r w:rsidRPr="00FB4EFA">
        <w:rPr>
          <w:lang w:val="fi-FI"/>
        </w:rPr>
        <w:t xml:space="preserve">. Jos laina kuitenkin olisi kyllin vanha – lähinnä saatu ennen germaanin sananalkuisen </w:t>
      </w:r>
      <w:r w:rsidRPr="00FB4EFA">
        <w:rPr>
          <w:i/>
          <w:lang w:val="fi-FI"/>
        </w:rPr>
        <w:t>wa-</w:t>
      </w:r>
      <w:r w:rsidRPr="00FB4EFA">
        <w:rPr>
          <w:lang w:val="fi-FI"/>
        </w:rPr>
        <w:t xml:space="preserve">sekvenssin katoa – olisivat mahdollsia sisäheitollisia substituutiota kenties olleet myös </w:t>
      </w:r>
      <w:r w:rsidRPr="00FB4EFA">
        <w:rPr>
          <w:i/>
          <w:lang w:val="fi-FI"/>
        </w:rPr>
        <w:t xml:space="preserve">*vätnä </w:t>
      </w:r>
      <w:r w:rsidRPr="00FB4EFA">
        <w:rPr>
          <w:lang w:val="fi-FI"/>
        </w:rPr>
        <w:t xml:space="preserve">tai </w:t>
      </w:r>
      <w:r w:rsidRPr="00FB4EFA">
        <w:rPr>
          <w:i/>
          <w:lang w:val="fi-FI"/>
        </w:rPr>
        <w:t>*väinä.</w:t>
      </w:r>
    </w:p>
    <w:p w14:paraId="0B54E242" w14:textId="529F8E53" w:rsidR="0000782F" w:rsidRPr="00FB4EFA" w:rsidRDefault="0000782F" w:rsidP="00AF0CAD">
      <w:pPr>
        <w:ind w:firstLine="720"/>
        <w:rPr>
          <w:lang w:val="fi-FI"/>
        </w:rPr>
      </w:pPr>
      <w:r w:rsidRPr="00FB4EFA">
        <w:rPr>
          <w:lang w:val="fi-FI"/>
        </w:rPr>
        <w:t xml:space="preserve">Germaanisella taholla tunnetaan myös erilaisia 1. tavun diftongin sisältämiä muotoja, joten nimen asussa on ollut vaihtelua (esim. </w:t>
      </w:r>
      <w:r w:rsidRPr="00FB4EFA">
        <w:rPr>
          <w:i/>
          <w:lang w:val="fi-FI"/>
        </w:rPr>
        <w:t xml:space="preserve">Auðunn, </w:t>
      </w:r>
      <w:r w:rsidRPr="00FB4EFA">
        <w:rPr>
          <w:lang w:val="fi-FI"/>
        </w:rPr>
        <w:t xml:space="preserve">de Vries 1962: 18, joka esittää myös mahdollisen attestoimattoman muodon </w:t>
      </w:r>
      <w:r w:rsidRPr="00FB4EFA">
        <w:rPr>
          <w:i/>
          <w:lang w:val="fi-FI"/>
        </w:rPr>
        <w:t xml:space="preserve">Aydynn </w:t>
      </w:r>
      <w:r w:rsidRPr="00FB4EFA">
        <w:rPr>
          <w:lang w:val="fi-FI"/>
        </w:rPr>
        <w:t xml:space="preserve">ym ~ vrt. Agricolan </w:t>
      </w:r>
      <w:r w:rsidRPr="00FB4EFA">
        <w:rPr>
          <w:i/>
          <w:lang w:val="fi-FI"/>
        </w:rPr>
        <w:t>Äinemöinen</w:t>
      </w:r>
      <w:r w:rsidRPr="00FB4EFA">
        <w:rPr>
          <w:lang w:val="fi-FI"/>
        </w:rPr>
        <w:t xml:space="preserve">). Tällainen epäsäännöllinen variaatio on tietenkin jumaluudennimiin hyvin sopivaa. Kun </w:t>
      </w:r>
      <w:r w:rsidR="00132900" w:rsidRPr="00FB4EFA">
        <w:rPr>
          <w:lang w:val="fi-FI"/>
        </w:rPr>
        <w:br/>
      </w:r>
      <w:r w:rsidRPr="00FB4EFA">
        <w:rPr>
          <w:lang w:val="fi-FI"/>
        </w:rPr>
        <w:t xml:space="preserve">germaanisten lainasanojen lähtömurteet eivät ole täysin tiedossa, oletus </w:t>
      </w:r>
      <w:r w:rsidRPr="00FB4EFA">
        <w:rPr>
          <w:i/>
          <w:lang w:val="fi-FI"/>
        </w:rPr>
        <w:t xml:space="preserve">Väinämöisen </w:t>
      </w:r>
      <w:r w:rsidRPr="00FB4EFA">
        <w:rPr>
          <w:lang w:val="fi-FI"/>
        </w:rPr>
        <w:t xml:space="preserve">nimen lainautumisesta jää hypoteettiseksi, mutta tuleva tutkimus voi mahdollisesti selvittää yksityiskohtia. Joka tapauksessa </w:t>
      </w:r>
      <w:r w:rsidR="00132900" w:rsidRPr="00FB4EFA">
        <w:rPr>
          <w:lang w:val="fi-FI"/>
        </w:rPr>
        <w:br/>
      </w:r>
      <w:r w:rsidRPr="00FB4EFA">
        <w:rPr>
          <w:i/>
          <w:lang w:val="fi-FI"/>
        </w:rPr>
        <w:t xml:space="preserve">Odinin </w:t>
      </w:r>
      <w:r w:rsidRPr="00FB4EFA">
        <w:rPr>
          <w:lang w:val="fi-FI"/>
        </w:rPr>
        <w:t xml:space="preserve">ja </w:t>
      </w:r>
      <w:r w:rsidRPr="00FB4EFA">
        <w:rPr>
          <w:i/>
          <w:lang w:val="fi-FI"/>
        </w:rPr>
        <w:t xml:space="preserve">Väinämöisen </w:t>
      </w:r>
      <w:r w:rsidRPr="00FB4EFA">
        <w:rPr>
          <w:lang w:val="fi-FI"/>
        </w:rPr>
        <w:t>semanttinen parallelismi tulee ottaa huomioon jälkimmäisen nimen alkuperää selitettäessä.</w:t>
      </w:r>
    </w:p>
    <w:p w14:paraId="5278A743" w14:textId="137B0D6C" w:rsidR="0000782F" w:rsidRPr="00FB4EFA" w:rsidRDefault="0000782F" w:rsidP="00545033">
      <w:pPr>
        <w:pStyle w:val="Heading2"/>
        <w:numPr>
          <w:ilvl w:val="0"/>
          <w:numId w:val="26"/>
        </w:numPr>
        <w:suppressAutoHyphens/>
        <w:spacing w:line="259" w:lineRule="auto"/>
        <w:rPr>
          <w:color w:val="auto"/>
          <w:lang w:val="fi-FI"/>
        </w:rPr>
      </w:pPr>
      <w:r w:rsidRPr="00FB4EFA">
        <w:rPr>
          <w:color w:val="auto"/>
          <w:lang w:val="fi-FI"/>
        </w:rPr>
        <w:t>Muutama sana muista pyhistä asioista</w:t>
      </w:r>
    </w:p>
    <w:p w14:paraId="79B59266" w14:textId="6B70763D" w:rsidR="0000782F" w:rsidRPr="00FB4EFA" w:rsidRDefault="0000782F" w:rsidP="00AF0CAD">
      <w:pPr>
        <w:pStyle w:val="Heading3"/>
        <w:numPr>
          <w:ilvl w:val="1"/>
          <w:numId w:val="26"/>
        </w:numPr>
        <w:spacing w:line="259" w:lineRule="auto"/>
        <w:rPr>
          <w:lang w:val="fi-FI"/>
        </w:rPr>
      </w:pPr>
      <w:r w:rsidRPr="00FB4EFA">
        <w:rPr>
          <w:rFonts w:eastAsia="Charis SIL"/>
          <w:lang w:val="fi-FI"/>
        </w:rPr>
        <w:t>Pisa</w:t>
      </w:r>
    </w:p>
    <w:p w14:paraId="45BE43D2" w14:textId="4012F938" w:rsidR="0000782F" w:rsidRPr="00FB4EFA" w:rsidRDefault="0000782F" w:rsidP="00AF0CAD">
      <w:pPr>
        <w:rPr>
          <w:lang w:val="fi-FI"/>
        </w:rPr>
      </w:pPr>
      <w:r w:rsidRPr="00FB4EFA">
        <w:rPr>
          <w:i/>
          <w:lang w:val="fi-FI"/>
        </w:rPr>
        <w:t xml:space="preserve">Pisa </w:t>
      </w:r>
      <w:r w:rsidRPr="00FB4EFA">
        <w:rPr>
          <w:lang w:val="fi-FI"/>
        </w:rPr>
        <w:t xml:space="preserve">on lievä kirosana, joka ei ilmeisesti esiinny yksinään vaan ainoastaan ekspletiivina. Sanan esiintymät ovat Itä-Suomesta ja Laatokan Karjalasta. Jälkimmäisestä mainitaan etymologisissa lähteissä johdokset </w:t>
      </w:r>
      <w:r w:rsidRPr="00FB4EFA">
        <w:rPr>
          <w:i/>
          <w:lang w:val="fi-FI"/>
        </w:rPr>
        <w:t xml:space="preserve">pisahinen </w:t>
      </w:r>
      <w:r w:rsidRPr="00FB4EFA">
        <w:rPr>
          <w:lang w:val="fi-FI"/>
        </w:rPr>
        <w:t xml:space="preserve">ja </w:t>
      </w:r>
      <w:r w:rsidRPr="00FB4EFA">
        <w:rPr>
          <w:i/>
          <w:lang w:val="fi-FI"/>
        </w:rPr>
        <w:t>pisalainen</w:t>
      </w:r>
      <w:r w:rsidRPr="00FB4EFA">
        <w:rPr>
          <w:lang w:val="fi-FI"/>
        </w:rPr>
        <w:t>. SSA (II: 426) ja Aikio (2009: 13</w:t>
      </w:r>
      <w:r w:rsidR="00C65823" w:rsidRPr="00FB4EFA">
        <w:rPr>
          <w:lang w:val="fi-FI"/>
        </w:rPr>
        <w:t>4–1</w:t>
      </w:r>
      <w:r w:rsidRPr="00FB4EFA">
        <w:rPr>
          <w:lang w:val="fi-FI"/>
        </w:rPr>
        <w:t>36) ovat pitäneet sanaa saamelaisena lainana</w:t>
      </w:r>
      <w:r w:rsidR="006B1A2B" w:rsidRPr="00FB4EFA">
        <w:rPr>
          <w:lang w:val="fi-FI"/>
        </w:rPr>
        <w:t xml:space="preserve"> ’</w:t>
      </w:r>
      <w:r w:rsidRPr="00FB4EFA">
        <w:rPr>
          <w:lang w:val="fi-FI"/>
        </w:rPr>
        <w:t>pyhää’ tarkoittavasta sanueesta ksa</w:t>
      </w:r>
      <w:r w:rsidR="00957231" w:rsidRPr="00FB4EFA">
        <w:rPr>
          <w:lang w:val="fi-FI"/>
        </w:rPr>
        <w:t>a</w:t>
      </w:r>
      <w:r w:rsidRPr="00FB4EFA">
        <w:rPr>
          <w:lang w:val="fi-FI"/>
        </w:rPr>
        <w:t xml:space="preserve"> </w:t>
      </w:r>
      <w:r w:rsidRPr="00FB4EFA">
        <w:rPr>
          <w:i/>
          <w:lang w:val="fi-FI"/>
        </w:rPr>
        <w:t xml:space="preserve">*pe̮sē </w:t>
      </w:r>
      <w:r w:rsidRPr="00FB4EFA">
        <w:rPr>
          <w:lang w:val="fi-FI"/>
        </w:rPr>
        <w:t xml:space="preserve">(&gt; saaN </w:t>
      </w:r>
      <w:r w:rsidRPr="00FB4EFA">
        <w:rPr>
          <w:i/>
          <w:lang w:val="fi-FI"/>
        </w:rPr>
        <w:t>bassi</w:t>
      </w:r>
      <w:r w:rsidRPr="00FB4EFA">
        <w:rPr>
          <w:lang w:val="fi-FI"/>
        </w:rPr>
        <w:t>)</w:t>
      </w:r>
      <w:r w:rsidRPr="00FB4EFA">
        <w:rPr>
          <w:i/>
          <w:lang w:val="fi-FI"/>
        </w:rPr>
        <w:t xml:space="preserve">, </w:t>
      </w:r>
      <w:r w:rsidRPr="00FB4EFA">
        <w:rPr>
          <w:lang w:val="fi-FI"/>
        </w:rPr>
        <w:t xml:space="preserve">joka puolestaan on länsiuralilaista alkuperää (&lt; </w:t>
      </w:r>
      <w:r w:rsidRPr="00FB4EFA">
        <w:rPr>
          <w:i/>
          <w:lang w:val="fi-FI"/>
        </w:rPr>
        <w:t xml:space="preserve">*püšä </w:t>
      </w:r>
      <w:r w:rsidRPr="00FB4EFA">
        <w:rPr>
          <w:lang w:val="fi-FI"/>
        </w:rPr>
        <w:t xml:space="preserve">&gt; su </w:t>
      </w:r>
      <w:r w:rsidRPr="00FB4EFA">
        <w:rPr>
          <w:i/>
          <w:lang w:val="fi-FI"/>
        </w:rPr>
        <w:t xml:space="preserve">pyhä, </w:t>
      </w:r>
      <w:r w:rsidRPr="00FB4EFA">
        <w:rPr>
          <w:lang w:val="fi-FI"/>
        </w:rPr>
        <w:t>md</w:t>
      </w:r>
      <w:r w:rsidR="00400195" w:rsidRPr="00FB4EFA">
        <w:rPr>
          <w:lang w:val="fi-FI"/>
        </w:rPr>
        <w:t>E</w:t>
      </w:r>
      <w:r w:rsidRPr="00FB4EFA">
        <w:rPr>
          <w:lang w:val="fi-FI"/>
        </w:rPr>
        <w:t xml:space="preserve"> </w:t>
      </w:r>
      <w:r w:rsidRPr="00FB4EFA">
        <w:rPr>
          <w:i/>
          <w:lang w:val="fi-FI"/>
        </w:rPr>
        <w:t>peže-dems</w:t>
      </w:r>
      <w:r w:rsidR="006B1A2B" w:rsidRPr="00FB4EFA">
        <w:rPr>
          <w:i/>
          <w:lang w:val="fi-FI"/>
        </w:rPr>
        <w:t xml:space="preserve"> </w:t>
      </w:r>
      <w:r w:rsidR="006B1A2B" w:rsidRPr="00FB4EFA">
        <w:rPr>
          <w:lang w:val="fi-FI"/>
        </w:rPr>
        <w:t>’</w:t>
      </w:r>
      <w:r w:rsidRPr="00FB4EFA">
        <w:rPr>
          <w:lang w:val="fi-FI"/>
        </w:rPr>
        <w:t xml:space="preserve">rukoilla, kiroilla’, mahdollisesti tähän yhteyteen kuuluu myös komin </w:t>
      </w:r>
      <w:r w:rsidRPr="00FB4EFA">
        <w:rPr>
          <w:i/>
          <w:lang w:val="fi-FI"/>
        </w:rPr>
        <w:t>pež</w:t>
      </w:r>
      <w:r w:rsidR="006B1A2B" w:rsidRPr="00FB4EFA">
        <w:rPr>
          <w:i/>
          <w:lang w:val="fi-FI"/>
        </w:rPr>
        <w:t xml:space="preserve"> </w:t>
      </w:r>
      <w:r w:rsidR="006B1A2B" w:rsidRPr="00FB4EFA">
        <w:rPr>
          <w:lang w:val="fi-FI"/>
        </w:rPr>
        <w:t>’</w:t>
      </w:r>
      <w:r w:rsidRPr="00FB4EFA">
        <w:rPr>
          <w:lang w:val="fi-FI"/>
        </w:rPr>
        <w:t>pyhä, epäpyhä, likainen’ udmurttilaisine vastineineen, vrt. Saarikivi 2007).</w:t>
      </w:r>
    </w:p>
    <w:p w14:paraId="595489A9" w14:textId="6EB617F7" w:rsidR="00FA2B8C" w:rsidRPr="00FB4EFA" w:rsidRDefault="0000782F" w:rsidP="00AF0CAD">
      <w:pPr>
        <w:ind w:firstLine="720"/>
        <w:rPr>
          <w:lang w:val="fi-FI"/>
        </w:rPr>
      </w:pPr>
      <w:r w:rsidRPr="00FB4EFA">
        <w:rPr>
          <w:lang w:val="fi-FI"/>
        </w:rPr>
        <w:lastRenderedPageBreak/>
        <w:t xml:space="preserve">Saamen kielissä </w:t>
      </w:r>
      <w:r w:rsidRPr="00FB4EFA">
        <w:rPr>
          <w:i/>
          <w:lang w:val="fi-FI"/>
        </w:rPr>
        <w:t xml:space="preserve">bassi </w:t>
      </w:r>
      <w:r w:rsidRPr="00FB4EFA">
        <w:rPr>
          <w:lang w:val="fi-FI"/>
        </w:rPr>
        <w:t>vastineineen ei kuitenkaan liene käytössä minkäänlaisena kirouksena, ainakaan yleisimpien sanastolähteiden valossa. Siksi voisikin olla syytä verrata sanaa myös venäjän</w:t>
      </w:r>
      <w:r w:rsidR="006B1A2B" w:rsidRPr="00FB4EFA">
        <w:rPr>
          <w:lang w:val="fi-FI"/>
        </w:rPr>
        <w:t xml:space="preserve"> ’</w:t>
      </w:r>
      <w:r w:rsidRPr="00FB4EFA">
        <w:rPr>
          <w:lang w:val="fi-FI"/>
        </w:rPr>
        <w:t>pirua’ ja</w:t>
      </w:r>
      <w:r w:rsidR="006B1A2B" w:rsidRPr="00FB4EFA">
        <w:rPr>
          <w:lang w:val="fi-FI"/>
        </w:rPr>
        <w:t xml:space="preserve"> ’</w:t>
      </w:r>
      <w:r w:rsidRPr="00FB4EFA">
        <w:rPr>
          <w:lang w:val="fi-FI"/>
        </w:rPr>
        <w:t xml:space="preserve">paholaista’ merkitsevään sanaan </w:t>
      </w:r>
      <w:r w:rsidRPr="00FB4EFA">
        <w:rPr>
          <w:i/>
          <w:lang w:val="fi-FI"/>
        </w:rPr>
        <w:t xml:space="preserve">bes </w:t>
      </w:r>
      <w:r w:rsidRPr="00FB4EFA">
        <w:rPr>
          <w:lang w:val="fi-FI"/>
        </w:rPr>
        <w:t xml:space="preserve">(&lt; </w:t>
      </w:r>
      <w:bookmarkStart w:id="109" w:name="_Hlk104306288"/>
      <w:r w:rsidRPr="00FB4EFA">
        <w:rPr>
          <w:rFonts w:cs="Times New Roman"/>
          <w:i/>
          <w:lang w:val="fi-FI"/>
        </w:rPr>
        <w:t>b</w:t>
      </w:r>
      <w:r w:rsidR="00FA2B8C" w:rsidRPr="00FB4EFA">
        <w:rPr>
          <w:rFonts w:eastAsia="Ebrima" w:cs="Times New Roman"/>
          <w:i/>
          <w:lang w:val="fi-FI"/>
        </w:rPr>
        <w:t>ѣ</w:t>
      </w:r>
      <w:r w:rsidRPr="00FB4EFA">
        <w:rPr>
          <w:rFonts w:cs="Times New Roman"/>
          <w:i/>
          <w:lang w:val="fi-FI"/>
        </w:rPr>
        <w:t>sъ</w:t>
      </w:r>
      <w:bookmarkEnd w:id="109"/>
      <w:r w:rsidRPr="00FB4EFA">
        <w:rPr>
          <w:lang w:val="fi-FI"/>
        </w:rPr>
        <w:t>)</w:t>
      </w:r>
      <w:r w:rsidRPr="00FB4EFA">
        <w:rPr>
          <w:i/>
          <w:lang w:val="fi-FI"/>
        </w:rPr>
        <w:t xml:space="preserve">. </w:t>
      </w:r>
      <w:r w:rsidRPr="00FB4EFA">
        <w:rPr>
          <w:lang w:val="fi-FI"/>
        </w:rPr>
        <w:t xml:space="preserve">Tästä sanasta on suomeen saatu vanhastaan tunnettu laina </w:t>
      </w:r>
      <w:r w:rsidRPr="00FB4EFA">
        <w:rPr>
          <w:i/>
          <w:lang w:val="fi-FI"/>
        </w:rPr>
        <w:t>piessa</w:t>
      </w:r>
      <w:r w:rsidR="006B1A2B" w:rsidRPr="00FB4EFA">
        <w:rPr>
          <w:i/>
          <w:lang w:val="fi-FI"/>
        </w:rPr>
        <w:t xml:space="preserve"> </w:t>
      </w:r>
      <w:r w:rsidR="006B1A2B" w:rsidRPr="00FB4EFA">
        <w:rPr>
          <w:lang w:val="fi-FI"/>
        </w:rPr>
        <w:t>’</w:t>
      </w:r>
      <w:r w:rsidRPr="00FB4EFA">
        <w:rPr>
          <w:lang w:val="fi-FI"/>
        </w:rPr>
        <w:t>paholainen, piru; pahus (voimasanana, Kalima 1952, SSA II:324). Sana esiintyy myös karjalassa (</w:t>
      </w:r>
      <w:r w:rsidRPr="00FB4EFA">
        <w:rPr>
          <w:i/>
          <w:lang w:val="fi-FI"/>
        </w:rPr>
        <w:t xml:space="preserve">piessa, </w:t>
      </w:r>
      <w:r w:rsidR="00132900" w:rsidRPr="00FB4EFA">
        <w:rPr>
          <w:i/>
          <w:lang w:val="fi-FI"/>
        </w:rPr>
        <w:br/>
      </w:r>
      <w:r w:rsidRPr="00FB4EFA">
        <w:rPr>
          <w:i/>
          <w:lang w:val="fi-FI"/>
        </w:rPr>
        <w:t>piessa(ha)inen, piessalaine, piesa</w:t>
      </w:r>
      <w:r w:rsidRPr="00FB4EFA">
        <w:rPr>
          <w:lang w:val="fi-FI"/>
        </w:rPr>
        <w:t>) sekä virossa (</w:t>
      </w:r>
      <w:r w:rsidRPr="00FB4EFA">
        <w:rPr>
          <w:i/>
          <w:lang w:val="fi-FI"/>
        </w:rPr>
        <w:t>pees, pess</w:t>
      </w:r>
      <w:r w:rsidRPr="00FB4EFA">
        <w:rPr>
          <w:lang w:val="fi-FI"/>
        </w:rPr>
        <w:t xml:space="preserve">). Vepsän </w:t>
      </w:r>
      <w:r w:rsidRPr="00FB4EFA">
        <w:rPr>
          <w:i/>
          <w:lang w:val="fi-FI"/>
        </w:rPr>
        <w:t xml:space="preserve">bes </w:t>
      </w:r>
      <w:r w:rsidRPr="00FB4EFA">
        <w:rPr>
          <w:lang w:val="fi-FI"/>
        </w:rPr>
        <w:t xml:space="preserve">ja lyydin </w:t>
      </w:r>
      <w:r w:rsidRPr="00FB4EFA">
        <w:rPr>
          <w:i/>
          <w:lang w:val="fi-FI"/>
        </w:rPr>
        <w:t>bies</w:t>
      </w:r>
      <w:r w:rsidRPr="00FB4EFA">
        <w:rPr>
          <w:lang w:val="fi-FI"/>
        </w:rPr>
        <w:t xml:space="preserve"> (mon. </w:t>
      </w:r>
      <w:r w:rsidRPr="00FB4EFA">
        <w:rPr>
          <w:i/>
          <w:lang w:val="fi-FI"/>
        </w:rPr>
        <w:t>biessad</w:t>
      </w:r>
      <w:r w:rsidRPr="00FB4EFA">
        <w:rPr>
          <w:lang w:val="fi-FI"/>
        </w:rPr>
        <w:t>), jotka SSA (ibid.) liittää suomen, karjalan ja viron sanoihin, voivat edustaa joko sekundaaria soinnillistumista tai myöhempää itsenäistä lainautumista.</w:t>
      </w:r>
    </w:p>
    <w:p w14:paraId="47535017" w14:textId="5098EE29" w:rsidR="0000782F" w:rsidRPr="00FB4EFA" w:rsidRDefault="0000782F" w:rsidP="00AF0CAD">
      <w:pPr>
        <w:ind w:firstLine="720"/>
        <w:rPr>
          <w:lang w:val="fi-FI"/>
        </w:rPr>
      </w:pPr>
      <w:r w:rsidRPr="00FB4EFA">
        <w:rPr>
          <w:i/>
          <w:lang w:val="fi-FI"/>
        </w:rPr>
        <w:t xml:space="preserve">Piessa- </w:t>
      </w:r>
      <w:r w:rsidRPr="00FB4EFA">
        <w:rPr>
          <w:lang w:val="fi-FI"/>
        </w:rPr>
        <w:t xml:space="preserve">ja </w:t>
      </w:r>
      <w:r w:rsidRPr="00FB4EFA">
        <w:rPr>
          <w:i/>
          <w:lang w:val="fi-FI"/>
        </w:rPr>
        <w:t>pisa-</w:t>
      </w:r>
      <w:r w:rsidRPr="00FB4EFA">
        <w:rPr>
          <w:lang w:val="fi-FI"/>
        </w:rPr>
        <w:t xml:space="preserve">sanojen yhteydessä mainitaan etymologisissa standardilähteissä samat johdostyypit: </w:t>
      </w:r>
      <w:r w:rsidRPr="00FB4EFA">
        <w:rPr>
          <w:i/>
          <w:lang w:val="fi-FI"/>
        </w:rPr>
        <w:t>pisahine ~ piessahainen, pisalainen ~ piessalainen</w:t>
      </w:r>
      <w:r w:rsidRPr="00FB4EFA">
        <w:rPr>
          <w:lang w:val="fi-FI"/>
        </w:rPr>
        <w:t xml:space="preserve">. Myös sanojen levikkialueet (Laatokan Karjala, paikoin </w:t>
      </w:r>
      <w:r w:rsidR="00132900" w:rsidRPr="00FB4EFA">
        <w:rPr>
          <w:lang w:val="fi-FI"/>
        </w:rPr>
        <w:br/>
      </w:r>
      <w:r w:rsidRPr="00FB4EFA">
        <w:rPr>
          <w:lang w:val="fi-FI"/>
        </w:rPr>
        <w:t xml:space="preserve">Pohjois- ja Itä-Suomi) ovat käytännössä samat. Esitänkin harkittavaksi, että ainoastaan sanaliitoissa esiintyvä </w:t>
      </w:r>
      <w:r w:rsidRPr="00FB4EFA">
        <w:rPr>
          <w:i/>
          <w:lang w:val="fi-FI"/>
        </w:rPr>
        <w:t xml:space="preserve">pisa </w:t>
      </w:r>
      <w:r w:rsidRPr="00FB4EFA">
        <w:rPr>
          <w:lang w:val="fi-FI"/>
        </w:rPr>
        <w:t xml:space="preserve">olisi sanan </w:t>
      </w:r>
      <w:r w:rsidRPr="00FB4EFA">
        <w:rPr>
          <w:i/>
          <w:lang w:val="fi-FI"/>
        </w:rPr>
        <w:t xml:space="preserve">piessa </w:t>
      </w:r>
      <w:r w:rsidRPr="00FB4EFA">
        <w:rPr>
          <w:lang w:val="fi-FI"/>
        </w:rPr>
        <w:t>ekspletiivinen variantti</w:t>
      </w:r>
      <w:r w:rsidRPr="00FB4EFA">
        <w:rPr>
          <w:i/>
          <w:lang w:val="fi-FI"/>
        </w:rPr>
        <w:t xml:space="preserve">, </w:t>
      </w:r>
      <w:r w:rsidRPr="00FB4EFA">
        <w:rPr>
          <w:lang w:val="fi-FI"/>
        </w:rPr>
        <w:t xml:space="preserve">tai edustaisi erillistä, myöhempää lainautumista samasta venäläisestä, yleisesti kirouksissa ja sadatteluissa käytetystä sanueesta. Mm. SSA:ssa ja eräissä muissa lähteissä mainittujen </w:t>
      </w:r>
      <w:r w:rsidRPr="00FB4EFA">
        <w:rPr>
          <w:i/>
          <w:lang w:val="fi-FI"/>
        </w:rPr>
        <w:t>Pisa-</w:t>
      </w:r>
      <w:r w:rsidRPr="00FB4EFA">
        <w:rPr>
          <w:lang w:val="fi-FI"/>
        </w:rPr>
        <w:t xml:space="preserve">alkuisten paikannimien alkuperä on mahdollisesti erotettava tästä yhteydestä, siitäkin huolimatta, että venäjän </w:t>
      </w:r>
      <w:r w:rsidRPr="00FB4EFA">
        <w:rPr>
          <w:i/>
          <w:lang w:val="fi-FI"/>
        </w:rPr>
        <w:t>bes-</w:t>
      </w:r>
      <w:r w:rsidRPr="00FB4EFA">
        <w:rPr>
          <w:lang w:val="fi-FI"/>
        </w:rPr>
        <w:t xml:space="preserve">sana on paikannimissä yleinen, samoin kuin suomen semanttisesti vastaava appellatiivi </w:t>
      </w:r>
      <w:r w:rsidRPr="00FB4EFA">
        <w:rPr>
          <w:i/>
          <w:lang w:val="fi-FI"/>
        </w:rPr>
        <w:t>piru</w:t>
      </w:r>
      <w:r w:rsidRPr="00FB4EFA">
        <w:rPr>
          <w:lang w:val="fi-FI"/>
        </w:rPr>
        <w:t>.</w:t>
      </w:r>
    </w:p>
    <w:p w14:paraId="62344C02" w14:textId="7D275165" w:rsidR="0000782F" w:rsidRPr="00FB4EFA" w:rsidRDefault="0000782F" w:rsidP="00AF0CAD">
      <w:pPr>
        <w:pStyle w:val="Heading3"/>
        <w:numPr>
          <w:ilvl w:val="1"/>
          <w:numId w:val="26"/>
        </w:numPr>
        <w:spacing w:line="259" w:lineRule="auto"/>
        <w:rPr>
          <w:lang w:val="fi-FI"/>
        </w:rPr>
      </w:pPr>
      <w:r w:rsidRPr="00FB4EFA">
        <w:rPr>
          <w:rFonts w:eastAsia="Charis SIL"/>
          <w:lang w:val="fi-FI"/>
        </w:rPr>
        <w:t xml:space="preserve">Suomen </w:t>
      </w:r>
      <w:r w:rsidRPr="00FB4EFA">
        <w:rPr>
          <w:rFonts w:eastAsia="Charis SIL"/>
          <w:i/>
          <w:lang w:val="fi-FI"/>
        </w:rPr>
        <w:t>aurinko-</w:t>
      </w:r>
      <w:r w:rsidRPr="00FB4EFA">
        <w:rPr>
          <w:rFonts w:eastAsia="Charis SIL"/>
          <w:lang w:val="fi-FI"/>
        </w:rPr>
        <w:t>sanan mahdollisesta mytologisesta alkuperästä</w:t>
      </w:r>
    </w:p>
    <w:p w14:paraId="0B54D7C6" w14:textId="5BA6EF43" w:rsidR="0000782F" w:rsidRPr="00FB4EFA" w:rsidRDefault="0000782F" w:rsidP="00AF0CAD">
      <w:pPr>
        <w:rPr>
          <w:lang w:val="fi-FI"/>
        </w:rPr>
      </w:pPr>
      <w:r w:rsidRPr="00FB4EFA">
        <w:rPr>
          <w:lang w:val="fi-FI"/>
        </w:rPr>
        <w:t xml:space="preserve">Suomen </w:t>
      </w:r>
      <w:r w:rsidRPr="00FB4EFA">
        <w:rPr>
          <w:i/>
          <w:lang w:val="fi-FI"/>
        </w:rPr>
        <w:t>aurinko-</w:t>
      </w:r>
      <w:r w:rsidRPr="00FB4EFA">
        <w:rPr>
          <w:lang w:val="fi-FI"/>
        </w:rPr>
        <w:t xml:space="preserve">sanaa on pidetty etymologisena arvoituksena (esim. akateemikko Kaisa Häkkinen haastattelussa, Vasenkari 2021). Sana rajoittuu suomen länsimurteisiin, eikä sillä näytä olevan minkäänlaista itämerensuomalaista taustaa. SSA:ssa (SSA I s.v. </w:t>
      </w:r>
      <w:r w:rsidRPr="00FB4EFA">
        <w:rPr>
          <w:i/>
          <w:lang w:val="fi-FI"/>
        </w:rPr>
        <w:t>aurinko</w:t>
      </w:r>
      <w:r w:rsidRPr="00FB4EFA">
        <w:rPr>
          <w:lang w:val="fi-FI"/>
        </w:rPr>
        <w:t xml:space="preserve">) esitetään kysymysmerkillä varustettu vertailu eteläsaamen sanaan </w:t>
      </w:r>
      <w:r w:rsidRPr="00FB4EFA">
        <w:rPr>
          <w:i/>
          <w:lang w:val="fi-FI"/>
        </w:rPr>
        <w:t>åvrudeh</w:t>
      </w:r>
      <w:r w:rsidRPr="00FB4EFA">
        <w:rPr>
          <w:lang w:val="fi-FI"/>
        </w:rPr>
        <w:t xml:space="preserve"> ’helle’ sekä turjansaamen sanaan </w:t>
      </w:r>
      <w:r w:rsidRPr="00FB4EFA">
        <w:rPr>
          <w:i/>
          <w:lang w:val="fi-FI"/>
        </w:rPr>
        <w:t>aūr</w:t>
      </w:r>
      <w:r w:rsidRPr="00FB4EFA">
        <w:rPr>
          <w:lang w:val="fi-FI"/>
        </w:rPr>
        <w:t xml:space="preserve"> ’hehkuhiillos; liekki’, joista kuitenkin molempiin liittyy äänteellisiä epäselvyyksiä (sekä 1. tavun vokaalikvaliteetti että sanan merkitys). Esitetty balttilainen lainaetymologia (&lt; </w:t>
      </w:r>
      <w:r w:rsidRPr="00FB4EFA">
        <w:rPr>
          <w:i/>
          <w:lang w:val="fi-FI"/>
        </w:rPr>
        <w:t>*aušringas</w:t>
      </w:r>
      <w:r w:rsidR="006B1A2B" w:rsidRPr="00FB4EFA">
        <w:rPr>
          <w:lang w:val="fi-FI"/>
        </w:rPr>
        <w:t xml:space="preserve"> ’</w:t>
      </w:r>
      <w:r w:rsidRPr="00FB4EFA">
        <w:rPr>
          <w:lang w:val="fi-FI"/>
        </w:rPr>
        <w:t>mit Morgenröte’, Liukkonen 1999: 22</w:t>
      </w:r>
      <w:r w:rsidR="00957231" w:rsidRPr="00FB4EFA">
        <w:rPr>
          <w:lang w:val="fi-FI"/>
        </w:rPr>
        <w:t>–</w:t>
      </w:r>
      <w:r w:rsidRPr="00FB4EFA">
        <w:rPr>
          <w:lang w:val="fi-FI"/>
        </w:rPr>
        <w:t>24) perustuu sekin attestoimattomaan ja konstruoituun sanaan, eikä sikäli vaikuta uskottavalta.</w:t>
      </w:r>
    </w:p>
    <w:p w14:paraId="50E681BF" w14:textId="508C3916" w:rsidR="0000782F" w:rsidRPr="00FB4EFA" w:rsidRDefault="0000782F" w:rsidP="00AF0CAD">
      <w:pPr>
        <w:ind w:firstLine="720"/>
        <w:rPr>
          <w:lang w:val="fi-FI"/>
        </w:rPr>
      </w:pPr>
      <w:r w:rsidRPr="00FB4EFA">
        <w:rPr>
          <w:lang w:val="fi-FI"/>
        </w:rPr>
        <w:t xml:space="preserve">Tämän kirjoittaja on aiemmin ehdottanut alaviitteessa, että </w:t>
      </w:r>
      <w:r w:rsidR="00132900" w:rsidRPr="00FB4EFA">
        <w:rPr>
          <w:lang w:val="fi-FI"/>
        </w:rPr>
        <w:br/>
      </w:r>
      <w:r w:rsidRPr="00FB4EFA">
        <w:rPr>
          <w:i/>
          <w:lang w:val="fi-FI"/>
        </w:rPr>
        <w:t xml:space="preserve">aurinko </w:t>
      </w:r>
      <w:r w:rsidRPr="00FB4EFA">
        <w:rPr>
          <w:lang w:val="fi-FI"/>
        </w:rPr>
        <w:t xml:space="preserve">olisi johdos </w:t>
      </w:r>
      <w:r w:rsidRPr="00FB4EFA">
        <w:rPr>
          <w:i/>
          <w:lang w:val="fi-FI"/>
        </w:rPr>
        <w:t>auer-</w:t>
      </w:r>
      <w:r w:rsidRPr="00FB4EFA">
        <w:rPr>
          <w:lang w:val="fi-FI"/>
        </w:rPr>
        <w:t xml:space="preserve">sanueesta, lähinnä muodosta </w:t>
      </w:r>
      <w:r w:rsidRPr="00FB4EFA">
        <w:rPr>
          <w:i/>
          <w:lang w:val="fi-FI"/>
        </w:rPr>
        <w:t>*auδ(e)re</w:t>
      </w:r>
      <w:r w:rsidR="00957231" w:rsidRPr="00FB4EFA">
        <w:rPr>
          <w:i/>
          <w:lang w:val="fi-FI"/>
        </w:rPr>
        <w:noBreakHyphen/>
      </w:r>
      <w:r w:rsidRPr="00FB4EFA">
        <w:rPr>
          <w:i/>
          <w:lang w:val="fi-FI"/>
        </w:rPr>
        <w:t>j</w:t>
      </w:r>
      <w:r w:rsidR="00957231" w:rsidRPr="00FB4EFA">
        <w:rPr>
          <w:i/>
          <w:lang w:val="fi-FI"/>
        </w:rPr>
        <w:noBreakHyphen/>
      </w:r>
      <w:r w:rsidRPr="00FB4EFA">
        <w:rPr>
          <w:i/>
          <w:lang w:val="fi-FI"/>
        </w:rPr>
        <w:t xml:space="preserve">nke(j) </w:t>
      </w:r>
      <w:r w:rsidRPr="00FB4EFA">
        <w:rPr>
          <w:lang w:val="fi-FI"/>
        </w:rPr>
        <w:lastRenderedPageBreak/>
        <w:t>(Saarikivi 201</w:t>
      </w:r>
      <w:r w:rsidR="00585A7F" w:rsidRPr="00FB4EFA">
        <w:rPr>
          <w:lang w:val="fi-FI"/>
        </w:rPr>
        <w:t>0</w:t>
      </w:r>
      <w:r w:rsidRPr="00FB4EFA">
        <w:rPr>
          <w:lang w:val="fi-FI"/>
        </w:rPr>
        <w:t>: 259)</w:t>
      </w:r>
      <w:r w:rsidRPr="00FB4EFA">
        <w:rPr>
          <w:i/>
          <w:lang w:val="fi-FI"/>
        </w:rPr>
        <w:t xml:space="preserve">. </w:t>
      </w:r>
      <w:r w:rsidRPr="00FB4EFA">
        <w:rPr>
          <w:lang w:val="fi-FI"/>
        </w:rPr>
        <w:t xml:space="preserve">Kun </w:t>
      </w:r>
      <w:r w:rsidRPr="00FB4EFA">
        <w:rPr>
          <w:i/>
          <w:lang w:val="fi-FI"/>
        </w:rPr>
        <w:t>auer-</w:t>
      </w:r>
      <w:r w:rsidRPr="00FB4EFA">
        <w:rPr>
          <w:lang w:val="fi-FI"/>
        </w:rPr>
        <w:t>sanueeseen kuuluvat sanat</w:t>
      </w:r>
      <w:r w:rsidRPr="00FB4EFA">
        <w:rPr>
          <w:i/>
          <w:lang w:val="fi-FI"/>
        </w:rPr>
        <w:t xml:space="preserve"> </w:t>
      </w:r>
      <w:r w:rsidRPr="00FB4EFA">
        <w:rPr>
          <w:lang w:val="fi-FI"/>
        </w:rPr>
        <w:t>tarkoittavat sekä valoa että lämpöä, olisi sanueen alkumerkitys siis lähinnä</w:t>
      </w:r>
      <w:r w:rsidR="006B1A2B" w:rsidRPr="00FB4EFA">
        <w:rPr>
          <w:lang w:val="fi-FI"/>
        </w:rPr>
        <w:t xml:space="preserve"> ’</w:t>
      </w:r>
      <w:r w:rsidRPr="00FB4EFA">
        <w:rPr>
          <w:lang w:val="fi-FI"/>
        </w:rPr>
        <w:t>lämpöinen’,</w:t>
      </w:r>
      <w:r w:rsidR="006B1A2B" w:rsidRPr="00FB4EFA">
        <w:rPr>
          <w:lang w:val="fi-FI"/>
        </w:rPr>
        <w:t xml:space="preserve"> ’</w:t>
      </w:r>
      <w:r w:rsidRPr="00FB4EFA">
        <w:rPr>
          <w:lang w:val="fi-FI"/>
        </w:rPr>
        <w:t>valoisa’. Vastaava lienee alkuaan myös sanan</w:t>
      </w:r>
      <w:r w:rsidR="000121EA" w:rsidRPr="00FB4EFA">
        <w:rPr>
          <w:lang w:val="fi-FI"/>
        </w:rPr>
        <w:t xml:space="preserve"> </w:t>
      </w:r>
      <w:r w:rsidRPr="00FB4EFA">
        <w:rPr>
          <w:i/>
          <w:lang w:val="fi-FI"/>
        </w:rPr>
        <w:t xml:space="preserve">päivä </w:t>
      </w:r>
      <w:r w:rsidRPr="00FB4EFA">
        <w:rPr>
          <w:lang w:val="fi-FI"/>
        </w:rPr>
        <w:t>merkitys.</w:t>
      </w:r>
      <w:r w:rsidRPr="00FB4EFA">
        <w:rPr>
          <w:i/>
          <w:lang w:val="fi-FI"/>
        </w:rPr>
        <w:t xml:space="preserve"> </w:t>
      </w:r>
      <w:r w:rsidRPr="00FB4EFA">
        <w:rPr>
          <w:lang w:val="fi-FI"/>
        </w:rPr>
        <w:t xml:space="preserve">Sitäkin voinee pitää johdoksena lämmintä tarkoittavasta </w:t>
      </w:r>
      <w:r w:rsidRPr="00FB4EFA">
        <w:rPr>
          <w:i/>
          <w:lang w:val="fi-FI"/>
        </w:rPr>
        <w:t>*päjä-</w:t>
      </w:r>
      <w:r w:rsidRPr="00FB4EFA">
        <w:rPr>
          <w:lang w:val="fi-FI"/>
        </w:rPr>
        <w:t xml:space="preserve">vartalosta (ibid., – samasta vartalosta varmaankin myös suomen </w:t>
      </w:r>
      <w:r w:rsidRPr="00FB4EFA">
        <w:rPr>
          <w:i/>
          <w:lang w:val="fi-FI"/>
        </w:rPr>
        <w:t>peittä-</w:t>
      </w:r>
      <w:r w:rsidRPr="00FB4EFA">
        <w:rPr>
          <w:lang w:val="fi-FI"/>
        </w:rPr>
        <w:t>kausatiivi, alk</w:t>
      </w:r>
      <w:r w:rsidR="006B1A2B" w:rsidRPr="00FB4EFA">
        <w:rPr>
          <w:lang w:val="fi-FI"/>
        </w:rPr>
        <w:t xml:space="preserve"> ’</w:t>
      </w:r>
      <w:r w:rsidRPr="00FB4EFA">
        <w:rPr>
          <w:lang w:val="fi-FI"/>
        </w:rPr>
        <w:t>tehdä lämpimäksi’).</w:t>
      </w:r>
    </w:p>
    <w:p w14:paraId="360C6CC8" w14:textId="13CFE3CB" w:rsidR="0000782F" w:rsidRPr="00FB4EFA" w:rsidRDefault="0000782F" w:rsidP="00AF0CAD">
      <w:pPr>
        <w:ind w:firstLine="720"/>
        <w:rPr>
          <w:lang w:val="fi-FI"/>
        </w:rPr>
      </w:pPr>
      <w:r w:rsidRPr="00FB4EFA">
        <w:rPr>
          <w:lang w:val="fi-FI"/>
        </w:rPr>
        <w:t xml:space="preserve">Mikä seikka on saanut länsisuomalaisen kielimuodon puhujat korvaamaan muualla itämerensuomessa esiintyvän </w:t>
      </w:r>
      <w:r w:rsidRPr="00FB4EFA">
        <w:rPr>
          <w:i/>
          <w:lang w:val="fi-FI"/>
        </w:rPr>
        <w:t>päivä-</w:t>
      </w:r>
      <w:r w:rsidRPr="00FB4EFA">
        <w:rPr>
          <w:lang w:val="fi-FI"/>
        </w:rPr>
        <w:t xml:space="preserve">vartalon </w:t>
      </w:r>
      <w:r w:rsidR="00132900" w:rsidRPr="00FB4EFA">
        <w:rPr>
          <w:lang w:val="fi-FI"/>
        </w:rPr>
        <w:br/>
      </w:r>
      <w:r w:rsidRPr="00FB4EFA">
        <w:rPr>
          <w:lang w:val="fi-FI"/>
        </w:rPr>
        <w:t xml:space="preserve">uudella sanavartalolla? Monet tutkijat ovat arvelleet, että sanaan saattaa liittyä mytologisia käsityksiä, jotka selittävät sen tulon kieleen (ks. </w:t>
      </w:r>
      <w:r w:rsidR="00132900" w:rsidRPr="00FB4EFA">
        <w:rPr>
          <w:lang w:val="fi-FI"/>
        </w:rPr>
        <w:br/>
      </w:r>
      <w:r w:rsidRPr="00FB4EFA">
        <w:rPr>
          <w:lang w:val="fi-FI"/>
        </w:rPr>
        <w:t xml:space="preserve">esim. Häkkinen ed.). Tässä mielessä huomiota kiinnittävät Gananderin (1789) mainitsemat </w:t>
      </w:r>
      <w:r w:rsidRPr="00FB4EFA">
        <w:rPr>
          <w:i/>
          <w:lang w:val="fi-FI"/>
        </w:rPr>
        <w:t>Auterinen</w:t>
      </w:r>
      <w:r w:rsidRPr="00FB4EFA">
        <w:rPr>
          <w:lang w:val="fi-FI"/>
        </w:rPr>
        <w:t xml:space="preserve"> ja </w:t>
      </w:r>
      <w:r w:rsidRPr="00FB4EFA">
        <w:rPr>
          <w:i/>
          <w:lang w:val="fi-FI"/>
        </w:rPr>
        <w:t>Auteretar</w:t>
      </w:r>
      <w:r w:rsidRPr="00FB4EFA">
        <w:rPr>
          <w:lang w:val="fi-FI"/>
        </w:rPr>
        <w:t xml:space="preserve">, </w:t>
      </w:r>
      <w:r w:rsidR="005E1CCE" w:rsidRPr="00FB4EFA">
        <w:rPr>
          <w:lang w:val="fi-FI"/>
        </w:rPr>
        <w:t>’</w:t>
      </w:r>
      <w:r w:rsidRPr="00FB4EFA">
        <w:rPr>
          <w:lang w:val="fi-FI"/>
        </w:rPr>
        <w:t>Bad-qualme</w:t>
      </w:r>
      <w:r w:rsidR="005E1CCE" w:rsidRPr="00FB4EFA">
        <w:rPr>
          <w:lang w:val="fi-FI"/>
        </w:rPr>
        <w:t>’</w:t>
      </w:r>
      <w:r w:rsidRPr="00FB4EFA">
        <w:rPr>
          <w:lang w:val="fi-FI"/>
        </w:rPr>
        <w:t xml:space="preserve"> ja</w:t>
      </w:r>
      <w:r w:rsidR="006B1A2B" w:rsidRPr="00FB4EFA">
        <w:rPr>
          <w:lang w:val="fi-FI"/>
        </w:rPr>
        <w:t xml:space="preserve"> ’</w:t>
      </w:r>
      <w:r w:rsidRPr="00FB4EFA">
        <w:rPr>
          <w:lang w:val="fi-FI"/>
        </w:rPr>
        <w:t xml:space="preserve">botande och sundgörande gudomligheter’. Nämä uskomusolennot on ilmeisesti </w:t>
      </w:r>
      <w:r w:rsidR="00132900" w:rsidRPr="00FB4EFA">
        <w:rPr>
          <w:lang w:val="fi-FI"/>
        </w:rPr>
        <w:br/>
      </w:r>
      <w:r w:rsidRPr="00FB4EFA">
        <w:rPr>
          <w:lang w:val="fi-FI"/>
        </w:rPr>
        <w:t>assosioitu nimenomaan saunaan, höyryyn ja lämpöön.</w:t>
      </w:r>
    </w:p>
    <w:p w14:paraId="15B5F9D1" w14:textId="2C396C2D" w:rsidR="0000782F" w:rsidRPr="00FB4EFA" w:rsidRDefault="0000782F" w:rsidP="00AF0CAD">
      <w:pPr>
        <w:ind w:firstLine="720"/>
        <w:rPr>
          <w:lang w:val="fi-FI"/>
        </w:rPr>
      </w:pPr>
      <w:r w:rsidRPr="00FB4EFA">
        <w:rPr>
          <w:lang w:val="fi-FI"/>
        </w:rPr>
        <w:t xml:space="preserve">Muinaisnorjan tekstikorpuksissa esiintyy jumaluuden nimi </w:t>
      </w:r>
      <w:r w:rsidRPr="00FB4EFA">
        <w:rPr>
          <w:i/>
          <w:lang w:val="fi-FI"/>
        </w:rPr>
        <w:t xml:space="preserve">Aurvandil </w:t>
      </w:r>
      <w:r w:rsidRPr="00FB4EFA">
        <w:rPr>
          <w:lang w:val="fi-FI"/>
        </w:rPr>
        <w:t xml:space="preserve">(de Vries 1962: 20), joka anglosaksissa kehittyy valontuojaksi nimeltä </w:t>
      </w:r>
      <w:r w:rsidRPr="00FB4EFA">
        <w:rPr>
          <w:i/>
          <w:lang w:val="fi-FI"/>
        </w:rPr>
        <w:t xml:space="preserve">Earendil </w:t>
      </w:r>
      <w:r w:rsidRPr="00FB4EFA">
        <w:rPr>
          <w:lang w:val="fi-FI"/>
        </w:rPr>
        <w:t xml:space="preserve">ja assosoituu mm. aamutähteen. De Vries (ibid.) johtaa nimen asusta </w:t>
      </w:r>
      <w:r w:rsidRPr="00FB4EFA">
        <w:rPr>
          <w:i/>
          <w:lang w:val="fi-FI"/>
        </w:rPr>
        <w:t xml:space="preserve">*auza-wandila-z, </w:t>
      </w:r>
      <w:r w:rsidRPr="00FB4EFA">
        <w:rPr>
          <w:lang w:val="fi-FI"/>
        </w:rPr>
        <w:t xml:space="preserve">mutta eräissä muissa lähteissä kuten </w:t>
      </w:r>
      <w:r w:rsidR="00132900" w:rsidRPr="00FB4EFA">
        <w:rPr>
          <w:lang w:val="fi-FI"/>
        </w:rPr>
        <w:br/>
      </w:r>
      <w:r w:rsidRPr="00FB4EFA">
        <w:rPr>
          <w:lang w:val="fi-FI"/>
        </w:rPr>
        <w:t xml:space="preserve">Wiktionaryssa ja Religion Wikissä esiintyy myös </w:t>
      </w:r>
      <w:r w:rsidRPr="00FB4EFA">
        <w:rPr>
          <w:i/>
          <w:lang w:val="fi-FI"/>
        </w:rPr>
        <w:t xml:space="preserve">ausi-wandila-z. </w:t>
      </w:r>
      <w:r w:rsidRPr="00FB4EFA">
        <w:rPr>
          <w:lang w:val="fi-FI"/>
        </w:rPr>
        <w:t>Sana on mahdollisesti johdettu</w:t>
      </w:r>
      <w:r w:rsidR="006B1A2B" w:rsidRPr="00FB4EFA">
        <w:rPr>
          <w:lang w:val="fi-FI"/>
        </w:rPr>
        <w:t xml:space="preserve"> ’</w:t>
      </w:r>
      <w:r w:rsidRPr="00FB4EFA">
        <w:rPr>
          <w:lang w:val="fi-FI"/>
        </w:rPr>
        <w:t>aamua’ ja</w:t>
      </w:r>
      <w:r w:rsidR="006B1A2B" w:rsidRPr="00FB4EFA">
        <w:rPr>
          <w:lang w:val="fi-FI"/>
        </w:rPr>
        <w:t xml:space="preserve"> ’</w:t>
      </w:r>
      <w:r w:rsidRPr="00FB4EFA">
        <w:rPr>
          <w:lang w:val="fi-FI"/>
        </w:rPr>
        <w:t xml:space="preserve">itää’ (&gt; </w:t>
      </w:r>
      <w:r w:rsidRPr="00FB4EFA">
        <w:rPr>
          <w:i/>
          <w:lang w:val="fi-FI"/>
        </w:rPr>
        <w:t xml:space="preserve">*austaz- </w:t>
      </w:r>
      <w:r w:rsidRPr="00FB4EFA">
        <w:rPr>
          <w:lang w:val="fi-FI"/>
        </w:rPr>
        <w:t xml:space="preserve">ru </w:t>
      </w:r>
      <w:r w:rsidRPr="00FB4EFA">
        <w:rPr>
          <w:i/>
          <w:lang w:val="fi-FI"/>
        </w:rPr>
        <w:t>öster</w:t>
      </w:r>
      <w:r w:rsidRPr="00FB4EFA">
        <w:rPr>
          <w:lang w:val="fi-FI"/>
        </w:rPr>
        <w:t>) sekä</w:t>
      </w:r>
      <w:r w:rsidR="006B1A2B" w:rsidRPr="00FB4EFA">
        <w:rPr>
          <w:lang w:val="fi-FI"/>
        </w:rPr>
        <w:t xml:space="preserve"> </w:t>
      </w:r>
      <w:r w:rsidR="00132900" w:rsidRPr="00FB4EFA">
        <w:rPr>
          <w:lang w:val="fi-FI"/>
        </w:rPr>
        <w:br/>
      </w:r>
      <w:r w:rsidR="006B1A2B" w:rsidRPr="00FB4EFA">
        <w:rPr>
          <w:lang w:val="fi-FI"/>
        </w:rPr>
        <w:t>’</w:t>
      </w:r>
      <w:r w:rsidRPr="00FB4EFA">
        <w:rPr>
          <w:lang w:val="fi-FI"/>
        </w:rPr>
        <w:t>vaeltamista’ ja</w:t>
      </w:r>
      <w:r w:rsidR="006B1A2B" w:rsidRPr="00FB4EFA">
        <w:rPr>
          <w:lang w:val="fi-FI"/>
        </w:rPr>
        <w:t xml:space="preserve"> ’</w:t>
      </w:r>
      <w:r w:rsidRPr="00FB4EFA">
        <w:rPr>
          <w:lang w:val="fi-FI"/>
        </w:rPr>
        <w:t xml:space="preserve">muuttumista’ merkitsevästä sanajuuresta (mn </w:t>
      </w:r>
      <w:r w:rsidRPr="00FB4EFA">
        <w:rPr>
          <w:i/>
          <w:lang w:val="fi-FI"/>
        </w:rPr>
        <w:t xml:space="preserve">vandr, </w:t>
      </w:r>
      <w:r w:rsidRPr="00FB4EFA">
        <w:rPr>
          <w:lang w:val="fi-FI"/>
        </w:rPr>
        <w:t xml:space="preserve">ru </w:t>
      </w:r>
      <w:r w:rsidRPr="00FB4EFA">
        <w:rPr>
          <w:i/>
          <w:lang w:val="fi-FI"/>
        </w:rPr>
        <w:t>vandra</w:t>
      </w:r>
      <w:r w:rsidRPr="00FB4EFA">
        <w:rPr>
          <w:lang w:val="fi-FI"/>
        </w:rPr>
        <w:t xml:space="preserve"> eng</w:t>
      </w:r>
      <w:r w:rsidRPr="00FB4EFA">
        <w:rPr>
          <w:i/>
          <w:lang w:val="fi-FI"/>
        </w:rPr>
        <w:t xml:space="preserve"> wend, wanderer</w:t>
      </w:r>
      <w:r w:rsidRPr="00FB4EFA">
        <w:rPr>
          <w:lang w:val="fi-FI"/>
        </w:rPr>
        <w:t>).</w:t>
      </w:r>
    </w:p>
    <w:p w14:paraId="013D9382" w14:textId="77777777" w:rsidR="0000782F" w:rsidRPr="00FB4EFA" w:rsidRDefault="0000782F" w:rsidP="00AF0CAD">
      <w:pPr>
        <w:ind w:firstLine="720"/>
        <w:rPr>
          <w:lang w:val="fi-FI"/>
        </w:rPr>
      </w:pPr>
      <w:r w:rsidRPr="00FB4EFA">
        <w:rPr>
          <w:lang w:val="fi-FI"/>
        </w:rPr>
        <w:t xml:space="preserve">Voisiko aamutähteä, itää ja aamunvaloa merkitsevän jumaluuden nimi olla osaltaan selittämässä </w:t>
      </w:r>
      <w:r w:rsidRPr="00FB4EFA">
        <w:rPr>
          <w:i/>
          <w:lang w:val="fi-FI"/>
        </w:rPr>
        <w:t>aurinko-</w:t>
      </w:r>
      <w:r w:rsidRPr="00FB4EFA">
        <w:rPr>
          <w:lang w:val="fi-FI"/>
        </w:rPr>
        <w:t xml:space="preserve">sanan yleistymistä Suomen länsimurteissa tai olla jopa </w:t>
      </w:r>
      <w:r w:rsidRPr="00FB4EFA">
        <w:rPr>
          <w:i/>
          <w:lang w:val="fi-FI"/>
        </w:rPr>
        <w:t>aurinko-</w:t>
      </w:r>
      <w:r w:rsidRPr="00FB4EFA">
        <w:rPr>
          <w:lang w:val="fi-FI"/>
        </w:rPr>
        <w:t>sanan etymologinen lähde?</w:t>
      </w:r>
    </w:p>
    <w:p w14:paraId="325087C4" w14:textId="2E73ED42" w:rsidR="0000782F" w:rsidRPr="00FB4EFA" w:rsidRDefault="0000782F" w:rsidP="00AF0CAD">
      <w:pPr>
        <w:ind w:firstLine="720"/>
        <w:rPr>
          <w:lang w:val="fi-FI"/>
        </w:rPr>
      </w:pPr>
      <w:r w:rsidRPr="00FB4EFA">
        <w:rPr>
          <w:i/>
          <w:lang w:val="fi-FI"/>
        </w:rPr>
        <w:t>Aurvandill-</w:t>
      </w:r>
      <w:r w:rsidRPr="00FB4EFA">
        <w:rPr>
          <w:lang w:val="fi-FI"/>
        </w:rPr>
        <w:t xml:space="preserve">tyyppisen kompleksisen nimen tuottamista lainareflekseistä ei ole mahdollista esittää paralleelitapauksia. Mahdollisia substituutioita olisivat varmasti </w:t>
      </w:r>
      <w:r w:rsidRPr="00FB4EFA">
        <w:rPr>
          <w:i/>
          <w:lang w:val="fi-FI"/>
        </w:rPr>
        <w:t xml:space="preserve">*auruntila, aurintila, aurintola </w:t>
      </w:r>
      <w:r w:rsidRPr="00FB4EFA">
        <w:rPr>
          <w:lang w:val="fi-FI"/>
        </w:rPr>
        <w:t xml:space="preserve">tms. Ottaen huomioon jälkitavujen substituutioihin vaikuttavan suffiksaalisten sanojen analogian </w:t>
      </w:r>
      <w:r w:rsidRPr="00FB4EFA">
        <w:rPr>
          <w:i/>
          <w:lang w:val="fi-FI"/>
        </w:rPr>
        <w:t xml:space="preserve">aurinko </w:t>
      </w:r>
      <w:r w:rsidRPr="00FB4EFA">
        <w:rPr>
          <w:lang w:val="fi-FI"/>
        </w:rPr>
        <w:t xml:space="preserve">ei vaikuta täysin mahdottomalta substituutiolta sekään, erityisesti, jos lainautuminen olisi tapahtunut vain kerran pienessä yhteisössä. Oletus jäänee joka tapauksessa spekulatiiviseksi, sillä </w:t>
      </w:r>
      <w:r w:rsidR="00132900" w:rsidRPr="00FB4EFA">
        <w:rPr>
          <w:lang w:val="fi-FI"/>
        </w:rPr>
        <w:br/>
      </w:r>
      <w:r w:rsidRPr="00FB4EFA">
        <w:rPr>
          <w:i/>
          <w:lang w:val="fi-FI"/>
        </w:rPr>
        <w:t xml:space="preserve">aurinko </w:t>
      </w:r>
      <w:r w:rsidRPr="00FB4EFA">
        <w:rPr>
          <w:lang w:val="fi-FI"/>
        </w:rPr>
        <w:t xml:space="preserve">vaikuttaa vain yhden kerran muodostuneelta sanalta, jossa on minimaalinen variaatio. Lainautumisen tapauksessa odotuksenmukaiset rinnakkaiset johdostyypit, esim. </w:t>
      </w:r>
      <w:r w:rsidRPr="00FB4EFA">
        <w:rPr>
          <w:i/>
          <w:lang w:val="fi-FI"/>
        </w:rPr>
        <w:t xml:space="preserve">**aurinto, **aurinne </w:t>
      </w:r>
      <w:r w:rsidRPr="00FB4EFA">
        <w:rPr>
          <w:lang w:val="fi-FI"/>
        </w:rPr>
        <w:t>tms. puuttuvat tässä tapauksessa täysin.</w:t>
      </w:r>
    </w:p>
    <w:p w14:paraId="5675441E" w14:textId="77777777" w:rsidR="0000782F" w:rsidRPr="00FB4EFA" w:rsidRDefault="0000782F" w:rsidP="00402EF4">
      <w:pPr>
        <w:ind w:firstLine="720"/>
        <w:rPr>
          <w:lang w:val="fi-FI"/>
        </w:rPr>
      </w:pPr>
      <w:r w:rsidRPr="00FB4EFA">
        <w:rPr>
          <w:lang w:val="fi-FI"/>
        </w:rPr>
        <w:lastRenderedPageBreak/>
        <w:t>Sana voi olla myös alkuperältään itämerensuomalainen johdos (vrt. yllä), jonka vakiintumista on tukenut naapurikielen mytologisia merkityksiä sisältänyt läheinen sana.</w:t>
      </w:r>
    </w:p>
    <w:p w14:paraId="6BC3170A" w14:textId="0681C3F8" w:rsidR="0000782F" w:rsidRPr="00FB4EFA" w:rsidRDefault="0000782F" w:rsidP="00545033">
      <w:pPr>
        <w:pStyle w:val="Heading2"/>
        <w:numPr>
          <w:ilvl w:val="0"/>
          <w:numId w:val="26"/>
        </w:numPr>
        <w:suppressAutoHyphens/>
        <w:spacing w:line="259" w:lineRule="auto"/>
        <w:rPr>
          <w:color w:val="auto"/>
          <w:lang w:val="fi-FI"/>
        </w:rPr>
      </w:pPr>
      <w:r w:rsidRPr="00FB4EFA">
        <w:rPr>
          <w:color w:val="auto"/>
          <w:lang w:val="fi-FI"/>
        </w:rPr>
        <w:t>Johtopäätösten asemesta</w:t>
      </w:r>
    </w:p>
    <w:p w14:paraId="3657BE97" w14:textId="77777777" w:rsidR="0000782F" w:rsidRPr="00FB4EFA" w:rsidRDefault="0000782F" w:rsidP="00AF0CAD">
      <w:pPr>
        <w:rPr>
          <w:lang w:val="fi-FI"/>
        </w:rPr>
      </w:pPr>
      <w:r w:rsidRPr="00FB4EFA">
        <w:rPr>
          <w:lang w:val="fi-FI"/>
        </w:rPr>
        <w:t>Edelläesitetyt etymologiset pohdinnat osoittavat, että mytologinen sanasto on suomen kielen edeltäjiin saatu varsin monista eri lähteistä, niin uralilaisesta sanastosta johtamalla kuin myös naapurikielistä lainaamalla. Monet Agricolan psalttarin jumalainluettelon nimistä vaikuttaisivat olevan personifikaatioita, ts. yleissanan siirtymisiä jumalan nimitykseksi. Tämä on edellyttänyt joko johtoprosessia (</w:t>
      </w:r>
      <w:r w:rsidRPr="00FB4EFA">
        <w:rPr>
          <w:i/>
          <w:lang w:val="fi-FI"/>
        </w:rPr>
        <w:t>Tapio, Ahti, Kekri</w:t>
      </w:r>
      <w:r w:rsidRPr="00FB4EFA">
        <w:rPr>
          <w:lang w:val="fi-FI"/>
        </w:rPr>
        <w:t>) tai sanan lainautumista naapurikielistä (</w:t>
      </w:r>
      <w:r w:rsidRPr="00FB4EFA">
        <w:rPr>
          <w:i/>
          <w:lang w:val="fi-FI"/>
        </w:rPr>
        <w:t>Äkräs, Turisas</w:t>
      </w:r>
      <w:r w:rsidRPr="00FB4EFA">
        <w:rPr>
          <w:lang w:val="fi-FI"/>
        </w:rPr>
        <w:t xml:space="preserve">). Mytologiset käsitykset vaikuttavat muutenkin vaikuttaneet sanaston kehittymiseen, mikä ilmenee </w:t>
      </w:r>
      <w:r w:rsidRPr="00FB4EFA">
        <w:rPr>
          <w:i/>
          <w:lang w:val="fi-FI"/>
        </w:rPr>
        <w:t xml:space="preserve">pisa- </w:t>
      </w:r>
      <w:r w:rsidRPr="00FB4EFA">
        <w:rPr>
          <w:lang w:val="fi-FI"/>
        </w:rPr>
        <w:t xml:space="preserve">ja </w:t>
      </w:r>
      <w:r w:rsidRPr="00FB4EFA">
        <w:rPr>
          <w:i/>
          <w:lang w:val="fi-FI"/>
        </w:rPr>
        <w:t>aurinko</w:t>
      </w:r>
      <w:r w:rsidRPr="00FB4EFA">
        <w:rPr>
          <w:lang w:val="fi-FI"/>
        </w:rPr>
        <w:t>-sanojen edellä esitetyissä tulkinnoissa.</w:t>
      </w:r>
    </w:p>
    <w:p w14:paraId="5F376651" w14:textId="7DFD3C7E" w:rsidR="0000782F" w:rsidRPr="00FB4EFA" w:rsidRDefault="0000782F" w:rsidP="00402EF4">
      <w:pPr>
        <w:ind w:firstLine="709"/>
        <w:rPr>
          <w:lang w:val="fi-FI"/>
        </w:rPr>
      </w:pPr>
      <w:r w:rsidRPr="00FB4EFA">
        <w:rPr>
          <w:lang w:val="fi-FI"/>
        </w:rPr>
        <w:t>Haspelmath ja Tadmor (200</w:t>
      </w:r>
      <w:r w:rsidR="004206AD" w:rsidRPr="00FB4EFA">
        <w:rPr>
          <w:lang w:val="fi-FI"/>
        </w:rPr>
        <w:t>9</w:t>
      </w:r>
      <w:r w:rsidRPr="00FB4EFA">
        <w:rPr>
          <w:lang w:val="fi-FI"/>
        </w:rPr>
        <w:t xml:space="preserve">) jotka ovat tutkineet sanojen lainautumista, ovat osoittaneet, että uskomuksiin ja uskontoon liittyvä sanasto ovat herkimmin lainautuviin kuuluvia semanttisia kenttiä (yli 40 % uskonnollisesta sanastosta typologisessa yli 40 kieltä sisältävässä sanastokorpuksessa on lainoja). Itämerensuomalaisissa kielissä onkin havaittavissa useita erilaisia uskonnollisen sanaston kerrostumia, mikä todistaa yhtäältä lainautumisista ja kulttuurikontakteista, toisaalta kulttuurin jatkuvasta muutoksesta. Tämä on mielestäni otettava huomioon silloinkin, kun uskonnollisten tapojen </w:t>
      </w:r>
      <w:r w:rsidR="004206AD" w:rsidRPr="00FB4EFA">
        <w:rPr>
          <w:lang w:val="fi-FI"/>
        </w:rPr>
        <w:t>–</w:t>
      </w:r>
      <w:r w:rsidRPr="00FB4EFA">
        <w:rPr>
          <w:lang w:val="fi-FI"/>
        </w:rPr>
        <w:t xml:space="preserve"> mm. hautaustapojen </w:t>
      </w:r>
      <w:r w:rsidR="004206AD" w:rsidRPr="00FB4EFA">
        <w:rPr>
          <w:lang w:val="fi-FI"/>
        </w:rPr>
        <w:t>–</w:t>
      </w:r>
      <w:r w:rsidRPr="00FB4EFA">
        <w:rPr>
          <w:lang w:val="fi-FI"/>
        </w:rPr>
        <w:t xml:space="preserve"> muuttuminen tulkitaan osoitukseksi uuden väestön saapumisesta jollekin alueelle (vrt. esim. Valter Langin esittämät käsitykset itämerensuomalaisten kielten varhaisesta leviämisestä Baltiaan, Lang 2020). Kieli osoittaa, että mytologisten ja uskonnollisten käsitysten muutos on ollut jatkuvaa, ja varmaankin myös graduaalista. Kaikkiin muutoksiin ei välttämättä liity migraatioita, ainoastaan kulttuurikontakteja.</w:t>
      </w:r>
    </w:p>
    <w:p w14:paraId="6B5D2BDB" w14:textId="5AA10D55" w:rsidR="0000782F" w:rsidRPr="00FB4EFA" w:rsidRDefault="0000782F" w:rsidP="00402EF4">
      <w:pPr>
        <w:ind w:firstLine="720"/>
        <w:rPr>
          <w:lang w:val="fi-FI"/>
        </w:rPr>
      </w:pPr>
      <w:r w:rsidRPr="00FB4EFA">
        <w:rPr>
          <w:lang w:val="fi-FI"/>
        </w:rPr>
        <w:t>Mahdollinen mytologisen sanaston kerrostuminen nykysuomessa voidaan</w:t>
      </w:r>
      <w:r w:rsidR="000121EA" w:rsidRPr="00FB4EFA">
        <w:rPr>
          <w:lang w:val="fi-FI"/>
        </w:rPr>
        <w:t xml:space="preserve"> </w:t>
      </w:r>
      <w:r w:rsidRPr="00FB4EFA">
        <w:rPr>
          <w:lang w:val="fi-FI"/>
        </w:rPr>
        <w:t>esittää seuraavankaltaisesti:</w:t>
      </w:r>
    </w:p>
    <w:p w14:paraId="7068691E" w14:textId="30A2E4C8" w:rsidR="0000782F" w:rsidRPr="00FB4EFA" w:rsidRDefault="0000782F" w:rsidP="00AF0CAD">
      <w:pPr>
        <w:spacing w:before="240" w:after="240"/>
        <w:ind w:left="426" w:hanging="426"/>
        <w:rPr>
          <w:lang w:val="fi-FI"/>
        </w:rPr>
      </w:pPr>
      <w:r w:rsidRPr="00FB4EFA">
        <w:rPr>
          <w:lang w:val="fi-FI"/>
        </w:rPr>
        <w:lastRenderedPageBreak/>
        <w:t>1)</w:t>
      </w:r>
      <w:r w:rsidRPr="00FB4EFA">
        <w:rPr>
          <w:lang w:val="fi-FI"/>
        </w:rPr>
        <w:tab/>
        <w:t>Kristillinen sanasto (</w:t>
      </w:r>
      <w:r w:rsidRPr="00FB4EFA">
        <w:rPr>
          <w:i/>
          <w:lang w:val="fi-FI"/>
        </w:rPr>
        <w:t>pappi, pakana, raamattu, kirkko</w:t>
      </w:r>
      <w:r w:rsidRPr="00FB4EFA">
        <w:rPr>
          <w:vertAlign w:val="superscript"/>
          <w:lang w:val="fi-FI"/>
        </w:rPr>
        <w:footnoteReference w:id="145"/>
      </w:r>
      <w:r w:rsidRPr="00FB4EFA">
        <w:rPr>
          <w:lang w:val="fi-FI"/>
        </w:rPr>
        <w:t>), slaavilaisia lainoja, kantasuomen hajoamisvaiheessa, mahdollisesti noin 60</w:t>
      </w:r>
      <w:r w:rsidR="00C65823" w:rsidRPr="00FB4EFA">
        <w:rPr>
          <w:lang w:val="fi-FI"/>
        </w:rPr>
        <w:t>0–7</w:t>
      </w:r>
      <w:r w:rsidRPr="00FB4EFA">
        <w:rPr>
          <w:lang w:val="fi-FI"/>
        </w:rPr>
        <w:t>00 jKr.</w:t>
      </w:r>
    </w:p>
    <w:p w14:paraId="709587C6" w14:textId="77777777" w:rsidR="0000782F" w:rsidRPr="00FB4EFA" w:rsidRDefault="0000782F" w:rsidP="00AF0CAD">
      <w:pPr>
        <w:spacing w:after="240"/>
        <w:ind w:left="426" w:hanging="426"/>
        <w:rPr>
          <w:lang w:val="fi-FI"/>
        </w:rPr>
      </w:pPr>
      <w:r w:rsidRPr="00FB4EFA">
        <w:rPr>
          <w:lang w:val="fi-FI"/>
        </w:rPr>
        <w:t>2)</w:t>
      </w:r>
      <w:r w:rsidRPr="00FB4EFA">
        <w:rPr>
          <w:lang w:val="fi-FI"/>
        </w:rPr>
        <w:tab/>
        <w:t>Agricolan psalttarin esipuheessa ja Gananderin mytologiassa esiintyviä uskomusolioiden nimiä, omaperäisiä johdoksia ja germaanista alkuperää (</w:t>
      </w:r>
      <w:r w:rsidRPr="00FB4EFA">
        <w:rPr>
          <w:i/>
          <w:lang w:val="fi-FI"/>
        </w:rPr>
        <w:t>Äkräs, Turisas, ?Väinämöinen</w:t>
      </w:r>
      <w:r w:rsidRPr="00FB4EFA">
        <w:rPr>
          <w:lang w:val="fi-FI"/>
        </w:rPr>
        <w:t>), ennen kristillistä sanastoa. Ryhmään kuuluvien sanojen suhteellisen suppea levikki viittaa monien paikallisten uskonnollis-mytologisten traditioiden olemassaoloon.</w:t>
      </w:r>
    </w:p>
    <w:p w14:paraId="3386BC14" w14:textId="77777777" w:rsidR="0000782F" w:rsidRPr="00FB4EFA" w:rsidRDefault="0000782F" w:rsidP="00AF0CAD">
      <w:pPr>
        <w:spacing w:after="240"/>
        <w:ind w:left="426" w:hanging="426"/>
        <w:rPr>
          <w:lang w:val="fi-FI"/>
        </w:rPr>
      </w:pPr>
      <w:r w:rsidRPr="00FB4EFA">
        <w:rPr>
          <w:lang w:val="fi-FI"/>
        </w:rPr>
        <w:t>3)</w:t>
      </w:r>
      <w:r w:rsidRPr="00FB4EFA">
        <w:rPr>
          <w:lang w:val="fi-FI"/>
        </w:rPr>
        <w:tab/>
        <w:t>Taivaan kulttiin liittyvä sanasto (</w:t>
      </w:r>
      <w:r w:rsidRPr="00FB4EFA">
        <w:rPr>
          <w:i/>
          <w:lang w:val="fi-FI"/>
        </w:rPr>
        <w:t>taivas, jumala, perkele</w:t>
      </w:r>
      <w:r w:rsidRPr="00FB4EFA">
        <w:rPr>
          <w:lang w:val="fi-FI"/>
        </w:rPr>
        <w:t>), arjalaisia tai balttilaisia (satem-kielistä saatuja) lainoja, pronssikaudelta.</w:t>
      </w:r>
    </w:p>
    <w:p w14:paraId="52EA1C90" w14:textId="740F296B" w:rsidR="0000782F" w:rsidRPr="00FB4EFA" w:rsidRDefault="0000782F" w:rsidP="00AF0CAD">
      <w:pPr>
        <w:spacing w:after="280"/>
        <w:ind w:left="426" w:hanging="426"/>
        <w:rPr>
          <w:lang w:val="fi-FI"/>
        </w:rPr>
      </w:pPr>
      <w:r w:rsidRPr="00FB4EFA">
        <w:rPr>
          <w:lang w:val="fi-FI"/>
        </w:rPr>
        <w:t>4)</w:t>
      </w:r>
      <w:r w:rsidRPr="00FB4EFA">
        <w:rPr>
          <w:lang w:val="fi-FI"/>
        </w:rPr>
        <w:tab/>
        <w:t>Vanha uralilainen mytologinen käsitteistö (</w:t>
      </w:r>
      <w:r w:rsidRPr="00FB4EFA">
        <w:rPr>
          <w:i/>
          <w:lang w:val="fi-FI"/>
        </w:rPr>
        <w:t>*ilma</w:t>
      </w:r>
      <w:r w:rsidR="006B1A2B" w:rsidRPr="00FB4EFA">
        <w:rPr>
          <w:i/>
          <w:lang w:val="fi-FI"/>
        </w:rPr>
        <w:t xml:space="preserve"> </w:t>
      </w:r>
      <w:r w:rsidR="006B1A2B" w:rsidRPr="00FB4EFA">
        <w:rPr>
          <w:lang w:val="fi-FI"/>
        </w:rPr>
        <w:t>’</w:t>
      </w:r>
      <w:r w:rsidRPr="00FB4EFA">
        <w:rPr>
          <w:lang w:val="fi-FI"/>
        </w:rPr>
        <w:t>jumala/taivas’, sotkan munaan liittyvä maailmanluomismyytti), länsiuralilaisia tai sirkumpolaarisia käsitteitä, kivikauden loppuvaiheesta.</w:t>
      </w:r>
    </w:p>
    <w:p w14:paraId="7A569D38" w14:textId="77777777" w:rsidR="0000782F" w:rsidRPr="00FB4EFA" w:rsidRDefault="0000782F" w:rsidP="00402EF4">
      <w:pPr>
        <w:spacing w:before="240"/>
        <w:rPr>
          <w:lang w:val="fi-FI"/>
        </w:rPr>
      </w:pPr>
      <w:r w:rsidRPr="00FB4EFA">
        <w:rPr>
          <w:lang w:val="fi-FI"/>
        </w:rPr>
        <w:t>Tuleva tutkimus voinee selvittää lisää.</w:t>
      </w:r>
    </w:p>
    <w:p w14:paraId="3E1E3F95" w14:textId="77777777" w:rsidR="002752AF" w:rsidRPr="00FB4EFA" w:rsidRDefault="002752AF">
      <w:pPr>
        <w:spacing w:after="160" w:line="259" w:lineRule="auto"/>
        <w:jc w:val="left"/>
        <w:rPr>
          <w:rFonts w:ascii="Gill Sans MT" w:eastAsia="Gill Sans MT" w:hAnsi="Gill Sans MT" w:cs="Gill Sans MT"/>
          <w:sz w:val="28"/>
          <w:lang w:val="fi-FI" w:eastAsia="en-GB"/>
        </w:rPr>
      </w:pPr>
      <w:r w:rsidRPr="00FB4EFA">
        <w:rPr>
          <w:lang w:val="fi-FI"/>
        </w:rPr>
        <w:br w:type="page"/>
      </w:r>
    </w:p>
    <w:p w14:paraId="38CD0F8E" w14:textId="27212892" w:rsidR="0032585A" w:rsidRPr="00FB4EFA" w:rsidRDefault="0032585A" w:rsidP="00545033">
      <w:pPr>
        <w:pStyle w:val="Heading2"/>
        <w:suppressAutoHyphens/>
        <w:spacing w:line="259" w:lineRule="auto"/>
        <w:rPr>
          <w:color w:val="auto"/>
          <w:lang w:val="fi-FI"/>
        </w:rPr>
      </w:pPr>
      <w:r w:rsidRPr="00FB4EFA">
        <w:rPr>
          <w:color w:val="auto"/>
          <w:lang w:val="fi-FI"/>
        </w:rPr>
        <w:lastRenderedPageBreak/>
        <w:t>Lyhenteet</w:t>
      </w:r>
    </w:p>
    <w:p w14:paraId="05A3946F" w14:textId="77777777" w:rsidR="00A14352" w:rsidRPr="00FB4EFA" w:rsidRDefault="00A14352" w:rsidP="00402EF4">
      <w:pPr>
        <w:keepNext/>
        <w:rPr>
          <w:lang w:val="fi-FI"/>
        </w:rPr>
        <w:sectPr w:rsidR="00A14352" w:rsidRPr="00FB4EFA">
          <w:headerReference w:type="even" r:id="rId398"/>
          <w:headerReference w:type="default" r:id="rId399"/>
          <w:headerReference w:type="first" r:id="rId400"/>
          <w:footnotePr>
            <w:numRestart w:val="eachSect"/>
          </w:footnotePr>
          <w:pgSz w:w="9180" w:h="13302"/>
          <w:pgMar w:top="779" w:right="1133" w:bottom="1132" w:left="1133" w:header="744" w:footer="720" w:gutter="0"/>
          <w:cols w:space="720"/>
          <w:titlePg/>
        </w:sectPr>
      </w:pPr>
    </w:p>
    <w:p w14:paraId="6BA002D7" w14:textId="08B61688" w:rsidR="000E6849" w:rsidRPr="00FB4EFA" w:rsidRDefault="000E6849" w:rsidP="000B273B">
      <w:pPr>
        <w:keepNext/>
        <w:spacing w:line="240" w:lineRule="auto"/>
        <w:rPr>
          <w:lang w:val="fi-FI"/>
        </w:rPr>
      </w:pPr>
      <w:r w:rsidRPr="00FB4EFA">
        <w:rPr>
          <w:lang w:val="fi-FI"/>
        </w:rPr>
        <w:t>balt</w:t>
      </w:r>
      <w:r w:rsidRPr="00FB4EFA">
        <w:rPr>
          <w:lang w:val="fi-FI"/>
        </w:rPr>
        <w:tab/>
        <w:t>= baltti</w:t>
      </w:r>
    </w:p>
    <w:p w14:paraId="6E77F07D" w14:textId="11B39C5C" w:rsidR="00132900" w:rsidRPr="00FB4EFA" w:rsidRDefault="00132900" w:rsidP="000B273B">
      <w:pPr>
        <w:spacing w:line="240" w:lineRule="auto"/>
        <w:rPr>
          <w:lang w:val="fi-FI"/>
        </w:rPr>
      </w:pPr>
      <w:r w:rsidRPr="00FB4EFA">
        <w:rPr>
          <w:lang w:val="fi-FI"/>
        </w:rPr>
        <w:t>eng</w:t>
      </w:r>
      <w:r w:rsidRPr="00FB4EFA">
        <w:rPr>
          <w:lang w:val="fi-FI"/>
        </w:rPr>
        <w:tab/>
        <w:t>= englanti</w:t>
      </w:r>
    </w:p>
    <w:p w14:paraId="0AE0F40B" w14:textId="481526A2" w:rsidR="0032585A" w:rsidRPr="00FB4EFA" w:rsidRDefault="0032585A" w:rsidP="000B273B">
      <w:pPr>
        <w:spacing w:line="240" w:lineRule="auto"/>
        <w:rPr>
          <w:lang w:val="fi-FI"/>
        </w:rPr>
      </w:pPr>
      <w:r w:rsidRPr="00FB4EFA">
        <w:rPr>
          <w:lang w:val="fi-FI"/>
        </w:rPr>
        <w:t>hantiP</w:t>
      </w:r>
      <w:r w:rsidR="00A14352" w:rsidRPr="00FB4EFA">
        <w:rPr>
          <w:lang w:val="fi-FI"/>
        </w:rPr>
        <w:tab/>
      </w:r>
      <w:r w:rsidRPr="00FB4EFA">
        <w:rPr>
          <w:lang w:val="fi-FI"/>
        </w:rPr>
        <w:t>= pohjoishanti</w:t>
      </w:r>
    </w:p>
    <w:p w14:paraId="4E83A4F4" w14:textId="388993BF" w:rsidR="00A14352" w:rsidRPr="00FB4EFA" w:rsidRDefault="00A14352" w:rsidP="000B273B">
      <w:pPr>
        <w:spacing w:line="240" w:lineRule="auto"/>
        <w:rPr>
          <w:lang w:val="fi-FI"/>
        </w:rPr>
      </w:pPr>
      <w:r w:rsidRPr="00FB4EFA">
        <w:rPr>
          <w:lang w:val="fi-FI"/>
        </w:rPr>
        <w:t>kgerm</w:t>
      </w:r>
      <w:r w:rsidRPr="00FB4EFA">
        <w:rPr>
          <w:lang w:val="fi-FI"/>
        </w:rPr>
        <w:tab/>
        <w:t>= kantagermaani</w:t>
      </w:r>
    </w:p>
    <w:p w14:paraId="49012424" w14:textId="55CA88A6" w:rsidR="000121EA" w:rsidRPr="00FB4EFA" w:rsidRDefault="00957231" w:rsidP="000B273B">
      <w:pPr>
        <w:spacing w:line="240" w:lineRule="auto"/>
        <w:rPr>
          <w:lang w:val="fi-FI"/>
        </w:rPr>
      </w:pPr>
      <w:r w:rsidRPr="00FB4EFA">
        <w:rPr>
          <w:lang w:val="fi-FI"/>
        </w:rPr>
        <w:t>kieur</w:t>
      </w:r>
      <w:r w:rsidR="00985F45" w:rsidRPr="00FB4EFA">
        <w:rPr>
          <w:lang w:val="fi-FI"/>
        </w:rPr>
        <w:tab/>
        <w:t>=</w:t>
      </w:r>
      <w:r w:rsidRPr="00FB4EFA">
        <w:rPr>
          <w:lang w:val="fi-FI"/>
        </w:rPr>
        <w:t xml:space="preserve"> kantaindoeurooppa</w:t>
      </w:r>
    </w:p>
    <w:p w14:paraId="55E91D0C" w14:textId="473009DB" w:rsidR="00957231" w:rsidRPr="00FB4EFA" w:rsidRDefault="00957231" w:rsidP="000B273B">
      <w:pPr>
        <w:spacing w:line="240" w:lineRule="auto"/>
        <w:rPr>
          <w:lang w:val="fi-FI"/>
        </w:rPr>
      </w:pPr>
      <w:r w:rsidRPr="00FB4EFA">
        <w:rPr>
          <w:lang w:val="fi-FI"/>
        </w:rPr>
        <w:t>kiran</w:t>
      </w:r>
      <w:r w:rsidRPr="00FB4EFA">
        <w:rPr>
          <w:lang w:val="fi-FI"/>
        </w:rPr>
        <w:tab/>
        <w:t>= kantairani</w:t>
      </w:r>
    </w:p>
    <w:p w14:paraId="6F032D41" w14:textId="0B1C98BF" w:rsidR="00A14352" w:rsidRPr="00FB4EFA" w:rsidRDefault="00A14352" w:rsidP="000B273B">
      <w:pPr>
        <w:spacing w:line="240" w:lineRule="auto"/>
        <w:rPr>
          <w:lang w:val="fi-FI"/>
        </w:rPr>
      </w:pPr>
      <w:r w:rsidRPr="00FB4EFA">
        <w:rPr>
          <w:lang w:val="fi-FI"/>
        </w:rPr>
        <w:t>ksaa</w:t>
      </w:r>
      <w:r w:rsidRPr="00FB4EFA">
        <w:rPr>
          <w:lang w:val="fi-FI"/>
        </w:rPr>
        <w:tab/>
        <w:t>= kantasaame</w:t>
      </w:r>
    </w:p>
    <w:p w14:paraId="1B95DAE4" w14:textId="01427EB2" w:rsidR="0032585A" w:rsidRPr="00FB4EFA" w:rsidRDefault="0032585A" w:rsidP="000B273B">
      <w:pPr>
        <w:spacing w:line="240" w:lineRule="auto"/>
        <w:rPr>
          <w:lang w:val="fi-FI"/>
        </w:rPr>
      </w:pPr>
      <w:r w:rsidRPr="00FB4EFA">
        <w:rPr>
          <w:lang w:val="fi-FI"/>
        </w:rPr>
        <w:t>ko</w:t>
      </w:r>
      <w:r w:rsidRPr="00FB4EFA">
        <w:rPr>
          <w:lang w:val="fi-FI"/>
        </w:rPr>
        <w:tab/>
        <w:t>= komi</w:t>
      </w:r>
    </w:p>
    <w:p w14:paraId="0F100410" w14:textId="449BF340" w:rsidR="000E6849" w:rsidRPr="00FB4EFA" w:rsidRDefault="000E6849" w:rsidP="000B273B">
      <w:pPr>
        <w:spacing w:line="240" w:lineRule="auto"/>
        <w:rPr>
          <w:lang w:val="fi-FI"/>
        </w:rPr>
      </w:pPr>
      <w:r w:rsidRPr="00FB4EFA">
        <w:rPr>
          <w:lang w:val="fi-FI"/>
        </w:rPr>
        <w:t>lat</w:t>
      </w:r>
      <w:r w:rsidRPr="00FB4EFA">
        <w:rPr>
          <w:lang w:val="fi-FI"/>
        </w:rPr>
        <w:tab/>
        <w:t>= latina</w:t>
      </w:r>
    </w:p>
    <w:p w14:paraId="0F1703FB" w14:textId="7CD4E988" w:rsidR="00C37B5C" w:rsidRPr="00FB4EFA" w:rsidRDefault="00C37B5C" w:rsidP="000B273B">
      <w:pPr>
        <w:spacing w:line="240" w:lineRule="auto"/>
        <w:rPr>
          <w:lang w:val="fi-FI"/>
        </w:rPr>
      </w:pPr>
      <w:r w:rsidRPr="00FB4EFA">
        <w:rPr>
          <w:lang w:val="fi-FI"/>
        </w:rPr>
        <w:t>ma</w:t>
      </w:r>
      <w:r w:rsidRPr="00FB4EFA">
        <w:rPr>
          <w:lang w:val="fi-FI"/>
        </w:rPr>
        <w:tab/>
        <w:t>= mari</w:t>
      </w:r>
    </w:p>
    <w:p w14:paraId="10DDE27F" w14:textId="4D611DE8" w:rsidR="0032585A" w:rsidRPr="00FB4EFA" w:rsidRDefault="0032585A" w:rsidP="000B273B">
      <w:pPr>
        <w:spacing w:line="240" w:lineRule="auto"/>
        <w:rPr>
          <w:lang w:val="fi-FI"/>
        </w:rPr>
      </w:pPr>
      <w:r w:rsidRPr="00FB4EFA">
        <w:rPr>
          <w:lang w:val="fi-FI"/>
        </w:rPr>
        <w:t>mdE</w:t>
      </w:r>
      <w:r w:rsidRPr="00FB4EFA">
        <w:rPr>
          <w:lang w:val="fi-FI"/>
        </w:rPr>
        <w:tab/>
        <w:t>= ersämordva</w:t>
      </w:r>
    </w:p>
    <w:p w14:paraId="2B46EBDE" w14:textId="5B1F658E" w:rsidR="0032585A" w:rsidRPr="00FB4EFA" w:rsidRDefault="0032585A" w:rsidP="000B273B">
      <w:pPr>
        <w:spacing w:line="240" w:lineRule="auto"/>
        <w:rPr>
          <w:lang w:val="fi-FI"/>
        </w:rPr>
      </w:pPr>
      <w:r w:rsidRPr="00FB4EFA">
        <w:rPr>
          <w:lang w:val="fi-FI"/>
        </w:rPr>
        <w:t>mdM</w:t>
      </w:r>
      <w:r w:rsidRPr="00FB4EFA">
        <w:rPr>
          <w:lang w:val="fi-FI"/>
        </w:rPr>
        <w:tab/>
        <w:t>= mokšamordva</w:t>
      </w:r>
    </w:p>
    <w:p w14:paraId="5E87E8FA" w14:textId="538A1607" w:rsidR="00A14352" w:rsidRPr="00FB4EFA" w:rsidRDefault="00A14352" w:rsidP="000B273B">
      <w:pPr>
        <w:spacing w:line="240" w:lineRule="auto"/>
        <w:rPr>
          <w:lang w:val="fi-FI"/>
        </w:rPr>
      </w:pPr>
      <w:r w:rsidRPr="00FB4EFA">
        <w:rPr>
          <w:lang w:val="fi-FI"/>
        </w:rPr>
        <w:t>me</w:t>
      </w:r>
      <w:r w:rsidRPr="00FB4EFA">
        <w:rPr>
          <w:lang w:val="fi-FI"/>
        </w:rPr>
        <w:tab/>
        <w:t>= muinaisenglanti</w:t>
      </w:r>
    </w:p>
    <w:p w14:paraId="19E886DB" w14:textId="0244D6D7" w:rsidR="00A14352" w:rsidRPr="00FB4EFA" w:rsidRDefault="00A14352" w:rsidP="000B273B">
      <w:pPr>
        <w:spacing w:line="240" w:lineRule="auto"/>
        <w:rPr>
          <w:lang w:val="fi-FI"/>
        </w:rPr>
      </w:pPr>
      <w:r w:rsidRPr="00FB4EFA">
        <w:rPr>
          <w:lang w:val="fi-FI"/>
        </w:rPr>
        <w:t>mn</w:t>
      </w:r>
      <w:r w:rsidRPr="00FB4EFA">
        <w:rPr>
          <w:lang w:val="fi-FI"/>
        </w:rPr>
        <w:tab/>
        <w:t>= muinaisnorja</w:t>
      </w:r>
    </w:p>
    <w:p w14:paraId="6B4DD1F4" w14:textId="68A430C3" w:rsidR="00957231" w:rsidRPr="00FB4EFA" w:rsidRDefault="00957231" w:rsidP="000B273B">
      <w:pPr>
        <w:spacing w:line="240" w:lineRule="auto"/>
        <w:rPr>
          <w:lang w:val="fi-FI"/>
        </w:rPr>
      </w:pPr>
      <w:r w:rsidRPr="00FB4EFA">
        <w:rPr>
          <w:lang w:val="fi-FI"/>
        </w:rPr>
        <w:t>mven</w:t>
      </w:r>
      <w:r w:rsidRPr="00FB4EFA">
        <w:rPr>
          <w:lang w:val="fi-FI"/>
        </w:rPr>
        <w:tab/>
        <w:t>= muinaisvenäjä</w:t>
      </w:r>
    </w:p>
    <w:p w14:paraId="7DEF8CDE" w14:textId="19C2E8E2" w:rsidR="00A14352" w:rsidRPr="00FB4EFA" w:rsidRDefault="00A14352" w:rsidP="000B273B">
      <w:pPr>
        <w:spacing w:line="240" w:lineRule="auto"/>
        <w:rPr>
          <w:lang w:val="fi-FI"/>
        </w:rPr>
      </w:pPr>
      <w:r w:rsidRPr="00FB4EFA">
        <w:rPr>
          <w:lang w:val="fi-FI"/>
        </w:rPr>
        <w:t>mys</w:t>
      </w:r>
      <w:r w:rsidRPr="00FB4EFA">
        <w:rPr>
          <w:lang w:val="fi-FI"/>
        </w:rPr>
        <w:tab/>
        <w:t>= muinaisyläsaksa</w:t>
      </w:r>
    </w:p>
    <w:p w14:paraId="5AD3734C" w14:textId="476E3E03" w:rsidR="0032585A" w:rsidRPr="00FB4EFA" w:rsidRDefault="0032585A" w:rsidP="000B273B">
      <w:pPr>
        <w:spacing w:line="240" w:lineRule="auto"/>
        <w:rPr>
          <w:lang w:val="fi-FI"/>
        </w:rPr>
      </w:pPr>
      <w:r w:rsidRPr="00FB4EFA">
        <w:rPr>
          <w:lang w:val="fi-FI"/>
        </w:rPr>
        <w:t>PI</w:t>
      </w:r>
      <w:r w:rsidRPr="00FB4EFA">
        <w:rPr>
          <w:lang w:val="fi-FI"/>
        </w:rPr>
        <w:tab/>
        <w:t>= kantairani</w:t>
      </w:r>
    </w:p>
    <w:p w14:paraId="06F35685" w14:textId="43E7DBE1" w:rsidR="0032585A" w:rsidRPr="00FB4EFA" w:rsidRDefault="0032585A" w:rsidP="000B273B">
      <w:pPr>
        <w:spacing w:line="240" w:lineRule="auto"/>
        <w:rPr>
          <w:lang w:val="fi-FI"/>
        </w:rPr>
      </w:pPr>
      <w:r w:rsidRPr="00FB4EFA">
        <w:rPr>
          <w:lang w:val="fi-FI"/>
        </w:rPr>
        <w:t>PIE</w:t>
      </w:r>
      <w:r w:rsidRPr="00FB4EFA">
        <w:rPr>
          <w:lang w:val="fi-FI"/>
        </w:rPr>
        <w:tab/>
        <w:t>= kantaindoeurooppa</w:t>
      </w:r>
    </w:p>
    <w:p w14:paraId="30EB2274" w14:textId="65981C42" w:rsidR="00132900" w:rsidRPr="00FB4EFA" w:rsidRDefault="00132900" w:rsidP="000B273B">
      <w:pPr>
        <w:spacing w:line="240" w:lineRule="auto"/>
        <w:rPr>
          <w:lang w:val="fi-FI"/>
        </w:rPr>
      </w:pPr>
      <w:r w:rsidRPr="00FB4EFA">
        <w:rPr>
          <w:lang w:val="fi-FI"/>
        </w:rPr>
        <w:t>ru</w:t>
      </w:r>
      <w:r w:rsidRPr="00FB4EFA">
        <w:rPr>
          <w:lang w:val="fi-FI"/>
        </w:rPr>
        <w:tab/>
        <w:t>= ruotsi</w:t>
      </w:r>
    </w:p>
    <w:p w14:paraId="69F71C34" w14:textId="414479BC" w:rsidR="00A14352" w:rsidRPr="00FB4EFA" w:rsidRDefault="00A14352" w:rsidP="000B273B">
      <w:pPr>
        <w:spacing w:line="240" w:lineRule="auto"/>
        <w:rPr>
          <w:lang w:val="fi-FI"/>
        </w:rPr>
      </w:pPr>
      <w:r w:rsidRPr="00FB4EFA">
        <w:rPr>
          <w:lang w:val="fi-FI"/>
        </w:rPr>
        <w:t>sa</w:t>
      </w:r>
      <w:r w:rsidRPr="00FB4EFA">
        <w:rPr>
          <w:lang w:val="fi-FI"/>
        </w:rPr>
        <w:tab/>
        <w:t>= saksa</w:t>
      </w:r>
    </w:p>
    <w:p w14:paraId="2F8E85B9" w14:textId="5E132DD7" w:rsidR="0032585A" w:rsidRPr="00FB4EFA" w:rsidRDefault="0032585A" w:rsidP="000B273B">
      <w:pPr>
        <w:keepNext/>
        <w:spacing w:line="240" w:lineRule="auto"/>
        <w:rPr>
          <w:lang w:val="fi-FI"/>
        </w:rPr>
      </w:pPr>
      <w:r w:rsidRPr="00FB4EFA">
        <w:rPr>
          <w:lang w:val="fi-FI"/>
        </w:rPr>
        <w:t>saaE</w:t>
      </w:r>
      <w:r w:rsidRPr="00FB4EFA">
        <w:rPr>
          <w:lang w:val="fi-FI"/>
        </w:rPr>
        <w:tab/>
        <w:t>= eteläsaame</w:t>
      </w:r>
    </w:p>
    <w:p w14:paraId="09ACE1A7" w14:textId="1E2FD13F" w:rsidR="0032585A" w:rsidRPr="00FB4EFA" w:rsidRDefault="0032585A" w:rsidP="000B273B">
      <w:pPr>
        <w:keepNext/>
        <w:spacing w:line="240" w:lineRule="auto"/>
        <w:rPr>
          <w:lang w:val="fi-FI"/>
        </w:rPr>
      </w:pPr>
      <w:r w:rsidRPr="00FB4EFA">
        <w:rPr>
          <w:lang w:val="fi-FI"/>
        </w:rPr>
        <w:t>saaN</w:t>
      </w:r>
      <w:r w:rsidRPr="00FB4EFA">
        <w:rPr>
          <w:lang w:val="fi-FI"/>
        </w:rPr>
        <w:tab/>
        <w:t>= pohjoissaame</w:t>
      </w:r>
    </w:p>
    <w:p w14:paraId="2B7B1B68" w14:textId="04B9B7F1" w:rsidR="00C37B5C" w:rsidRPr="00FB4EFA" w:rsidRDefault="00C37B5C" w:rsidP="000B273B">
      <w:pPr>
        <w:keepNext/>
        <w:spacing w:line="240" w:lineRule="auto"/>
        <w:rPr>
          <w:lang w:val="fi-FI"/>
        </w:rPr>
      </w:pPr>
      <w:r w:rsidRPr="00FB4EFA">
        <w:rPr>
          <w:lang w:val="fi-FI"/>
        </w:rPr>
        <w:t>su</w:t>
      </w:r>
      <w:r w:rsidRPr="00FB4EFA">
        <w:rPr>
          <w:lang w:val="fi-FI"/>
        </w:rPr>
        <w:tab/>
        <w:t>= suomi</w:t>
      </w:r>
    </w:p>
    <w:p w14:paraId="104846F9" w14:textId="1E05B4E8" w:rsidR="0032585A" w:rsidRPr="00FB4EFA" w:rsidRDefault="0032585A" w:rsidP="000B273B">
      <w:pPr>
        <w:spacing w:line="240" w:lineRule="auto"/>
        <w:rPr>
          <w:lang w:val="fi-FI"/>
        </w:rPr>
      </w:pPr>
      <w:r w:rsidRPr="00FB4EFA">
        <w:rPr>
          <w:lang w:val="fi-FI"/>
        </w:rPr>
        <w:t>ud</w:t>
      </w:r>
      <w:r w:rsidRPr="00FB4EFA">
        <w:rPr>
          <w:lang w:val="fi-FI"/>
        </w:rPr>
        <w:tab/>
        <w:t>= udmurtti</w:t>
      </w:r>
    </w:p>
    <w:p w14:paraId="5BF9EDE3" w14:textId="44CE2C68" w:rsidR="00C37B5C" w:rsidRPr="00FB4EFA" w:rsidRDefault="00C37B5C" w:rsidP="000B273B">
      <w:pPr>
        <w:spacing w:line="240" w:lineRule="auto"/>
        <w:rPr>
          <w:lang w:val="fi-FI"/>
        </w:rPr>
      </w:pPr>
      <w:r w:rsidRPr="00FB4EFA">
        <w:rPr>
          <w:lang w:val="fi-FI"/>
        </w:rPr>
        <w:t>vi</w:t>
      </w:r>
      <w:r w:rsidRPr="00FB4EFA">
        <w:rPr>
          <w:lang w:val="fi-FI"/>
        </w:rPr>
        <w:tab/>
        <w:t>= viro</w:t>
      </w:r>
    </w:p>
    <w:p w14:paraId="348A5FC8" w14:textId="77777777" w:rsidR="002752AF" w:rsidRPr="00FB4EFA" w:rsidRDefault="002752AF" w:rsidP="002752AF">
      <w:pPr>
        <w:spacing w:after="240" w:line="240" w:lineRule="auto"/>
        <w:rPr>
          <w:lang w:val="fi-FI"/>
        </w:rPr>
      </w:pPr>
    </w:p>
    <w:p w14:paraId="6F822363" w14:textId="77777777" w:rsidR="00A14352" w:rsidRPr="00FB4EFA" w:rsidRDefault="00A14352" w:rsidP="00545033">
      <w:pPr>
        <w:pStyle w:val="Heading2"/>
        <w:suppressAutoHyphens/>
        <w:spacing w:line="259" w:lineRule="auto"/>
        <w:rPr>
          <w:color w:val="auto"/>
          <w:lang w:val="fi-FI"/>
        </w:rPr>
        <w:sectPr w:rsidR="00A14352" w:rsidRPr="00FB4EFA" w:rsidSect="00A14352">
          <w:footnotePr>
            <w:numRestart w:val="eachSect"/>
          </w:footnotePr>
          <w:type w:val="continuous"/>
          <w:pgSz w:w="9180" w:h="13302"/>
          <w:pgMar w:top="779" w:right="1133" w:bottom="1132" w:left="1133" w:header="744" w:footer="720" w:gutter="0"/>
          <w:cols w:num="2" w:space="720"/>
          <w:titlePg/>
        </w:sectPr>
      </w:pPr>
    </w:p>
    <w:p w14:paraId="44AAAD51" w14:textId="77777777" w:rsidR="0000782F" w:rsidRPr="00FB4EFA" w:rsidRDefault="0000782F" w:rsidP="00545033">
      <w:pPr>
        <w:pStyle w:val="Heading2"/>
        <w:suppressAutoHyphens/>
        <w:spacing w:line="259" w:lineRule="auto"/>
        <w:rPr>
          <w:color w:val="auto"/>
          <w:lang w:val="fi-FI"/>
        </w:rPr>
      </w:pPr>
      <w:r w:rsidRPr="00FB4EFA">
        <w:rPr>
          <w:color w:val="auto"/>
          <w:lang w:val="fi-FI"/>
        </w:rPr>
        <w:t>Lähteitä</w:t>
      </w:r>
    </w:p>
    <w:p w14:paraId="62C7D0B8" w14:textId="694E536D" w:rsidR="0000782F" w:rsidRPr="00FB4EFA" w:rsidRDefault="0000782F" w:rsidP="00AC2528">
      <w:pPr>
        <w:suppressAutoHyphens/>
        <w:spacing w:line="240" w:lineRule="auto"/>
        <w:ind w:left="426" w:hanging="426"/>
        <w:rPr>
          <w:lang w:val="fi-FI"/>
        </w:rPr>
      </w:pPr>
      <w:r w:rsidRPr="00FB4EFA">
        <w:rPr>
          <w:lang w:val="fi-FI"/>
        </w:rPr>
        <w:t>Aikio, Ante</w:t>
      </w:r>
      <w:r w:rsidR="006B1A2B" w:rsidRPr="00FB4EFA">
        <w:rPr>
          <w:lang w:val="fi-FI"/>
        </w:rPr>
        <w:t>.</w:t>
      </w:r>
      <w:r w:rsidRPr="00FB4EFA">
        <w:rPr>
          <w:lang w:val="fi-FI"/>
        </w:rPr>
        <w:t xml:space="preserve"> 200</w:t>
      </w:r>
      <w:r w:rsidR="003F3B91" w:rsidRPr="00FB4EFA">
        <w:rPr>
          <w:lang w:val="fi-FI"/>
        </w:rPr>
        <w:t>6</w:t>
      </w:r>
      <w:r w:rsidR="006B1A2B" w:rsidRPr="00FB4EFA">
        <w:rPr>
          <w:lang w:val="fi-FI"/>
        </w:rPr>
        <w:t>.</w:t>
      </w:r>
      <w:r w:rsidRPr="00FB4EFA">
        <w:rPr>
          <w:lang w:val="fi-FI"/>
        </w:rPr>
        <w:t xml:space="preserve"> On Germanic-Saami contacts and Saami prehistory. </w:t>
      </w:r>
      <w:r w:rsidR="00C95A41" w:rsidRPr="00FB4EFA">
        <w:rPr>
          <w:rFonts w:eastAsia="Times New Roman" w:cs="Times New Roman"/>
          <w:i/>
          <w:szCs w:val="24"/>
          <w:lang w:val="fi-FI"/>
        </w:rPr>
        <w:t>Journal de la Société Finno-Ougrienne</w:t>
      </w:r>
      <w:r w:rsidR="00C95A41" w:rsidRPr="00FB4EFA">
        <w:rPr>
          <w:rFonts w:eastAsia="Times New Roman" w:cs="Times New Roman"/>
          <w:szCs w:val="24"/>
          <w:lang w:val="fi-FI"/>
        </w:rPr>
        <w:t xml:space="preserve"> </w:t>
      </w:r>
      <w:r w:rsidRPr="00FB4EFA">
        <w:rPr>
          <w:lang w:val="fi-FI"/>
        </w:rPr>
        <w:t>91</w:t>
      </w:r>
      <w:r w:rsidR="00C95A41" w:rsidRPr="00FB4EFA">
        <w:rPr>
          <w:lang w:val="fi-FI"/>
        </w:rPr>
        <w:t>.</w:t>
      </w:r>
      <w:r w:rsidRPr="00FB4EFA">
        <w:rPr>
          <w:lang w:val="fi-FI"/>
        </w:rPr>
        <w:t xml:space="preserve"> 9</w:t>
      </w:r>
      <w:r w:rsidR="00E710F2" w:rsidRPr="00FB4EFA">
        <w:rPr>
          <w:lang w:val="fi-FI"/>
        </w:rPr>
        <w:t>–</w:t>
      </w:r>
      <w:r w:rsidRPr="00FB4EFA">
        <w:rPr>
          <w:lang w:val="fi-FI"/>
        </w:rPr>
        <w:t>55.</w:t>
      </w:r>
    </w:p>
    <w:p w14:paraId="269F09F2" w14:textId="35134B63" w:rsidR="0000782F" w:rsidRPr="00FB4EFA" w:rsidRDefault="0000782F" w:rsidP="00AC2528">
      <w:pPr>
        <w:suppressAutoHyphens/>
        <w:spacing w:line="240" w:lineRule="auto"/>
        <w:ind w:left="426" w:hanging="426"/>
        <w:rPr>
          <w:lang w:val="fi-FI"/>
        </w:rPr>
      </w:pPr>
      <w:r w:rsidRPr="00FB4EFA">
        <w:rPr>
          <w:lang w:val="fi-FI"/>
        </w:rPr>
        <w:t>Aikio, Ante</w:t>
      </w:r>
      <w:r w:rsidR="006B1A2B" w:rsidRPr="00FB4EFA">
        <w:rPr>
          <w:lang w:val="fi-FI"/>
        </w:rPr>
        <w:t>.</w:t>
      </w:r>
      <w:r w:rsidRPr="00FB4EFA">
        <w:rPr>
          <w:lang w:val="fi-FI"/>
        </w:rPr>
        <w:t xml:space="preserve"> 2009</w:t>
      </w:r>
      <w:r w:rsidR="006B1A2B" w:rsidRPr="00FB4EFA">
        <w:rPr>
          <w:lang w:val="fi-FI"/>
        </w:rPr>
        <w:t>.</w:t>
      </w:r>
      <w:r w:rsidRPr="00FB4EFA">
        <w:rPr>
          <w:lang w:val="fi-FI"/>
        </w:rPr>
        <w:t xml:space="preserve"> </w:t>
      </w:r>
      <w:r w:rsidR="00E710F2" w:rsidRPr="00FB4EFA">
        <w:rPr>
          <w:i/>
          <w:iCs/>
          <w:lang w:val="fi-FI"/>
        </w:rPr>
        <w:t>The</w:t>
      </w:r>
      <w:r w:rsidR="00E710F2" w:rsidRPr="00FB4EFA">
        <w:rPr>
          <w:lang w:val="fi-FI"/>
        </w:rPr>
        <w:t xml:space="preserve"> </w:t>
      </w:r>
      <w:r w:rsidRPr="00FB4EFA">
        <w:rPr>
          <w:i/>
          <w:lang w:val="fi-FI"/>
        </w:rPr>
        <w:t xml:space="preserve">Saami loanwords in Finnish and Karelian. </w:t>
      </w:r>
      <w:r w:rsidR="001C2D40" w:rsidRPr="00FB4EFA">
        <w:rPr>
          <w:lang w:val="fi-FI"/>
        </w:rPr>
        <w:t>Tohtorinväitöskirja. Oulu: Oulun yliopisto.</w:t>
      </w:r>
    </w:p>
    <w:p w14:paraId="3E4D605B" w14:textId="6E88F6ED" w:rsidR="0000782F" w:rsidRPr="00FB4EFA" w:rsidRDefault="0000782F" w:rsidP="00AC2528">
      <w:pPr>
        <w:keepLines/>
        <w:suppressAutoHyphens/>
        <w:spacing w:line="240" w:lineRule="auto"/>
        <w:ind w:left="425" w:hanging="425"/>
        <w:rPr>
          <w:lang w:val="fi-FI"/>
        </w:rPr>
      </w:pPr>
      <w:r w:rsidRPr="00FB4EFA">
        <w:rPr>
          <w:lang w:val="fi-FI"/>
        </w:rPr>
        <w:t>Aikio, Ante</w:t>
      </w:r>
      <w:r w:rsidR="006B1A2B" w:rsidRPr="00FB4EFA">
        <w:rPr>
          <w:lang w:val="fi-FI"/>
        </w:rPr>
        <w:t>.</w:t>
      </w:r>
      <w:r w:rsidRPr="00FB4EFA">
        <w:rPr>
          <w:lang w:val="fi-FI"/>
        </w:rPr>
        <w:t xml:space="preserve"> 2012</w:t>
      </w:r>
      <w:r w:rsidR="006B1A2B" w:rsidRPr="00FB4EFA">
        <w:rPr>
          <w:lang w:val="fi-FI"/>
        </w:rPr>
        <w:t>.</w:t>
      </w:r>
      <w:r w:rsidRPr="00FB4EFA">
        <w:rPr>
          <w:lang w:val="fi-FI"/>
        </w:rPr>
        <w:t xml:space="preserve"> </w:t>
      </w:r>
      <w:hyperlink r:id="rId401">
        <w:r w:rsidRPr="00FB4EFA">
          <w:rPr>
            <w:lang w:val="fi-FI"/>
          </w:rPr>
          <w:t>On Finnic long vowels, Samoyed vowel sequences, and Proto-Uralic</w:t>
        </w:r>
        <w:r w:rsidR="007B3BBC" w:rsidRPr="00FB4EFA">
          <w:rPr>
            <w:lang w:val="fi-FI"/>
          </w:rPr>
          <w:t xml:space="preserve"> </w:t>
        </w:r>
        <w:r w:rsidRPr="00FB4EFA">
          <w:rPr>
            <w:lang w:val="fi-FI"/>
          </w:rPr>
          <w:t>*x</w:t>
        </w:r>
      </w:hyperlink>
      <w:r w:rsidRPr="00FB4EFA">
        <w:rPr>
          <w:lang w:val="fi-FI"/>
        </w:rPr>
        <w:t xml:space="preserve">. </w:t>
      </w:r>
      <w:r w:rsidR="004206AD" w:rsidRPr="00FB4EFA">
        <w:rPr>
          <w:lang w:val="fi-FI"/>
        </w:rPr>
        <w:t xml:space="preserve">Teoksessa </w:t>
      </w:r>
      <w:r w:rsidRPr="00FB4EFA">
        <w:rPr>
          <w:lang w:val="fi-FI"/>
        </w:rPr>
        <w:t>Tiina Hyytiäinen</w:t>
      </w:r>
      <w:r w:rsidR="004206AD" w:rsidRPr="00FB4EFA">
        <w:rPr>
          <w:lang w:val="fi-FI"/>
        </w:rPr>
        <w:t>,</w:t>
      </w:r>
      <w:r w:rsidRPr="00FB4EFA">
        <w:rPr>
          <w:lang w:val="fi-FI"/>
        </w:rPr>
        <w:t xml:space="preserve"> Lotta Jalava</w:t>
      </w:r>
      <w:r w:rsidR="004206AD" w:rsidRPr="00FB4EFA">
        <w:rPr>
          <w:lang w:val="fi-FI"/>
        </w:rPr>
        <w:t>,</w:t>
      </w:r>
      <w:r w:rsidRPr="00FB4EFA">
        <w:rPr>
          <w:lang w:val="fi-FI"/>
        </w:rPr>
        <w:t xml:space="preserve"> Janne Saarikivi &amp; Erika Sandman (</w:t>
      </w:r>
      <w:r w:rsidR="004206AD" w:rsidRPr="00FB4EFA">
        <w:rPr>
          <w:lang w:val="fi-FI"/>
        </w:rPr>
        <w:t>toim</w:t>
      </w:r>
      <w:r w:rsidRPr="00FB4EFA">
        <w:rPr>
          <w:lang w:val="fi-FI"/>
        </w:rPr>
        <w:t>.)</w:t>
      </w:r>
      <w:r w:rsidR="004206AD" w:rsidRPr="00FB4EFA">
        <w:rPr>
          <w:lang w:val="fi-FI"/>
        </w:rPr>
        <w:t>,</w:t>
      </w:r>
      <w:r w:rsidRPr="00FB4EFA">
        <w:rPr>
          <w:lang w:val="fi-FI"/>
        </w:rPr>
        <w:t xml:space="preserve"> </w:t>
      </w:r>
      <w:r w:rsidR="00C1423C" w:rsidRPr="00FB4EFA">
        <w:rPr>
          <w:i/>
          <w:lang w:val="fi-FI"/>
        </w:rPr>
        <w:t>Per Urales ad Orientem. Iter polyphonicum multilingue. Festskrift tillägnad Juha Janhunen på hans sextioårsdag den 12 februari 2012</w:t>
      </w:r>
      <w:r w:rsidR="004206AD" w:rsidRPr="00FB4EFA">
        <w:rPr>
          <w:iCs/>
          <w:lang w:val="fi-FI"/>
        </w:rPr>
        <w:t xml:space="preserve">, </w:t>
      </w:r>
      <w:r w:rsidR="004206AD" w:rsidRPr="00FB4EFA">
        <w:rPr>
          <w:lang w:val="fi-FI"/>
        </w:rPr>
        <w:t>227–250</w:t>
      </w:r>
      <w:r w:rsidRPr="00FB4EFA">
        <w:rPr>
          <w:iCs/>
          <w:lang w:val="fi-FI"/>
        </w:rPr>
        <w:t>.</w:t>
      </w:r>
      <w:r w:rsidRPr="00FB4EFA">
        <w:rPr>
          <w:i/>
          <w:lang w:val="fi-FI"/>
        </w:rPr>
        <w:t xml:space="preserve"> </w:t>
      </w:r>
      <w:r w:rsidRPr="00FB4EFA">
        <w:rPr>
          <w:lang w:val="fi-FI"/>
        </w:rPr>
        <w:t xml:space="preserve">Suomalais-Ugrilaisen Seuran </w:t>
      </w:r>
      <w:r w:rsidR="008E6C33" w:rsidRPr="00FB4EFA">
        <w:rPr>
          <w:lang w:val="fi-FI"/>
        </w:rPr>
        <w:t>T</w:t>
      </w:r>
      <w:r w:rsidRPr="00FB4EFA">
        <w:rPr>
          <w:lang w:val="fi-FI"/>
        </w:rPr>
        <w:t xml:space="preserve">oimituksia 265. Helsinki: Suomalais-Ugrilainen </w:t>
      </w:r>
      <w:r w:rsidR="004206AD" w:rsidRPr="00FB4EFA">
        <w:rPr>
          <w:lang w:val="fi-FI"/>
        </w:rPr>
        <w:t>S</w:t>
      </w:r>
      <w:r w:rsidRPr="00FB4EFA">
        <w:rPr>
          <w:lang w:val="fi-FI"/>
        </w:rPr>
        <w:t>eura.</w:t>
      </w:r>
    </w:p>
    <w:p w14:paraId="39765BED" w14:textId="203D53ED" w:rsidR="0000782F" w:rsidRPr="00FB4EFA" w:rsidRDefault="0000782F" w:rsidP="00AC2528">
      <w:pPr>
        <w:suppressAutoHyphens/>
        <w:spacing w:line="240" w:lineRule="auto"/>
        <w:ind w:left="426" w:hanging="426"/>
        <w:rPr>
          <w:lang w:val="fi-FI"/>
        </w:rPr>
      </w:pPr>
      <w:r w:rsidRPr="00FB4EFA">
        <w:rPr>
          <w:lang w:val="fi-FI"/>
        </w:rPr>
        <w:t>Beekes, Robert</w:t>
      </w:r>
      <w:r w:rsidR="00550B7F" w:rsidRPr="00FB4EFA">
        <w:rPr>
          <w:lang w:val="fi-FI"/>
        </w:rPr>
        <w:t xml:space="preserve"> </w:t>
      </w:r>
      <w:r w:rsidR="00550B7F" w:rsidRPr="00FB4EFA">
        <w:rPr>
          <w:rFonts w:cs="Charis SIL"/>
          <w:lang w:val="fi-FI"/>
        </w:rPr>
        <w:t>Stephen Paul</w:t>
      </w:r>
      <w:r w:rsidR="006B1A2B" w:rsidRPr="00FB4EFA">
        <w:rPr>
          <w:lang w:val="fi-FI"/>
        </w:rPr>
        <w:t>.</w:t>
      </w:r>
      <w:r w:rsidRPr="00FB4EFA">
        <w:rPr>
          <w:lang w:val="fi-FI"/>
        </w:rPr>
        <w:t xml:space="preserve"> 20</w:t>
      </w:r>
      <w:r w:rsidR="00550B7F" w:rsidRPr="00FB4EFA">
        <w:rPr>
          <w:lang w:val="fi-FI"/>
        </w:rPr>
        <w:t>10</w:t>
      </w:r>
      <w:r w:rsidR="006B1A2B" w:rsidRPr="00FB4EFA">
        <w:rPr>
          <w:lang w:val="fi-FI"/>
        </w:rPr>
        <w:t>.</w:t>
      </w:r>
      <w:r w:rsidRPr="00FB4EFA">
        <w:rPr>
          <w:lang w:val="fi-FI"/>
        </w:rPr>
        <w:t xml:space="preserve"> </w:t>
      </w:r>
      <w:r w:rsidRPr="00FB4EFA">
        <w:rPr>
          <w:i/>
          <w:lang w:val="fi-FI"/>
        </w:rPr>
        <w:t xml:space="preserve">Etymological dictionary of Greek </w:t>
      </w:r>
      <w:r w:rsidRPr="00FB4EFA">
        <w:rPr>
          <w:iCs/>
          <w:lang w:val="fi-FI"/>
        </w:rPr>
        <w:t>I</w:t>
      </w:r>
      <w:r w:rsidR="00C1423C" w:rsidRPr="00FB4EFA">
        <w:rPr>
          <w:iCs/>
          <w:lang w:val="fi-FI"/>
        </w:rPr>
        <w:t>–</w:t>
      </w:r>
      <w:r w:rsidRPr="00FB4EFA">
        <w:rPr>
          <w:iCs/>
          <w:lang w:val="fi-FI"/>
        </w:rPr>
        <w:t>II</w:t>
      </w:r>
      <w:r w:rsidRPr="00FB4EFA">
        <w:rPr>
          <w:i/>
          <w:lang w:val="fi-FI"/>
        </w:rPr>
        <w:t>.</w:t>
      </w:r>
      <w:r w:rsidRPr="00FB4EFA">
        <w:rPr>
          <w:lang w:val="fi-FI"/>
        </w:rPr>
        <w:t xml:space="preserve"> </w:t>
      </w:r>
      <w:r w:rsidR="00550B7F" w:rsidRPr="00FB4EFA">
        <w:rPr>
          <w:rFonts w:cs="Charis SIL"/>
          <w:lang w:val="fi-FI"/>
        </w:rPr>
        <w:t xml:space="preserve">Leiden Indo-European Etymological Dictionary Series 10. </w:t>
      </w:r>
      <w:r w:rsidRPr="00FB4EFA">
        <w:rPr>
          <w:lang w:val="fi-FI"/>
        </w:rPr>
        <w:t xml:space="preserve">Leiden </w:t>
      </w:r>
      <w:r w:rsidR="006B1A2B" w:rsidRPr="00FB4EFA">
        <w:rPr>
          <w:lang w:val="fi-FI"/>
        </w:rPr>
        <w:t>/</w:t>
      </w:r>
      <w:r w:rsidRPr="00FB4EFA">
        <w:rPr>
          <w:lang w:val="fi-FI"/>
        </w:rPr>
        <w:t xml:space="preserve"> Boston: Brill.</w:t>
      </w:r>
    </w:p>
    <w:p w14:paraId="0CB156E9" w14:textId="611E0FCD" w:rsidR="0000782F" w:rsidRPr="00FB4EFA" w:rsidRDefault="0000782F" w:rsidP="00AC2528">
      <w:pPr>
        <w:keepLines/>
        <w:suppressAutoHyphens/>
        <w:spacing w:line="240" w:lineRule="auto"/>
        <w:ind w:left="425" w:hanging="425"/>
        <w:rPr>
          <w:lang w:val="fi-FI"/>
        </w:rPr>
      </w:pPr>
      <w:r w:rsidRPr="00FB4EFA">
        <w:rPr>
          <w:lang w:val="fi-FI"/>
        </w:rPr>
        <w:t>Bentlin, Mikko</w:t>
      </w:r>
      <w:r w:rsidR="006B1A2B" w:rsidRPr="00FB4EFA">
        <w:rPr>
          <w:lang w:val="fi-FI"/>
        </w:rPr>
        <w:t>.</w:t>
      </w:r>
      <w:r w:rsidRPr="00FB4EFA">
        <w:rPr>
          <w:lang w:val="fi-FI"/>
        </w:rPr>
        <w:t xml:space="preserve"> 2008</w:t>
      </w:r>
      <w:r w:rsidR="006B1A2B" w:rsidRPr="00FB4EFA">
        <w:rPr>
          <w:lang w:val="fi-FI"/>
        </w:rPr>
        <w:t>.</w:t>
      </w:r>
      <w:r w:rsidRPr="00FB4EFA">
        <w:rPr>
          <w:lang w:val="fi-FI"/>
        </w:rPr>
        <w:t xml:space="preserve"> </w:t>
      </w:r>
      <w:r w:rsidRPr="00FB4EFA">
        <w:rPr>
          <w:i/>
          <w:lang w:val="fi-FI"/>
        </w:rPr>
        <w:t>Niederdeutsch-Finnische Sprachkontakte. Der lexikalische Einflu</w:t>
      </w:r>
      <w:r w:rsidR="00C54042" w:rsidRPr="00FB4EFA">
        <w:rPr>
          <w:i/>
          <w:lang w:val="fi-FI"/>
        </w:rPr>
        <w:t>ß</w:t>
      </w:r>
      <w:r w:rsidRPr="00FB4EFA">
        <w:rPr>
          <w:i/>
          <w:lang w:val="fi-FI"/>
        </w:rPr>
        <w:t xml:space="preserve"> des Niederdeutschen auf die finnische Sprache während des Mittelalters und der frühen Neuzeit. </w:t>
      </w:r>
      <w:r w:rsidRPr="00FB4EFA">
        <w:rPr>
          <w:lang w:val="fi-FI"/>
        </w:rPr>
        <w:t xml:space="preserve">Suomalais-Ugrilaisen Seuran </w:t>
      </w:r>
      <w:r w:rsidR="00C54042" w:rsidRPr="00FB4EFA">
        <w:rPr>
          <w:lang w:val="fi-FI"/>
        </w:rPr>
        <w:t>T</w:t>
      </w:r>
      <w:r w:rsidRPr="00FB4EFA">
        <w:rPr>
          <w:lang w:val="fi-FI"/>
        </w:rPr>
        <w:t>oimituksia 256. Helsinki: Suomalais-Ugrilainen Seura.</w:t>
      </w:r>
    </w:p>
    <w:p w14:paraId="0A5FEAE2" w14:textId="7DACFB71" w:rsidR="0000782F" w:rsidRPr="00FB4EFA" w:rsidRDefault="0000782F" w:rsidP="00AC2528">
      <w:pPr>
        <w:suppressAutoHyphens/>
        <w:spacing w:line="240" w:lineRule="auto"/>
        <w:ind w:left="426" w:hanging="426"/>
        <w:rPr>
          <w:lang w:val="fi-FI"/>
        </w:rPr>
      </w:pPr>
      <w:r w:rsidRPr="00FB4EFA">
        <w:rPr>
          <w:lang w:val="fi-FI"/>
        </w:rPr>
        <w:t>EES = Iris Metsmägi, Meeli Sedrik</w:t>
      </w:r>
      <w:r w:rsidR="004206AD" w:rsidRPr="00FB4EFA">
        <w:rPr>
          <w:lang w:val="fi-FI"/>
        </w:rPr>
        <w:t xml:space="preserve"> &amp;</w:t>
      </w:r>
      <w:r w:rsidRPr="00FB4EFA">
        <w:rPr>
          <w:lang w:val="fi-FI"/>
        </w:rPr>
        <w:t xml:space="preserve"> Sven-Erik Soosaar</w:t>
      </w:r>
      <w:r w:rsidR="004206AD" w:rsidRPr="00FB4EFA">
        <w:rPr>
          <w:lang w:val="fi-FI"/>
        </w:rPr>
        <w:t>. 2012.</w:t>
      </w:r>
      <w:r w:rsidRPr="00FB4EFA">
        <w:rPr>
          <w:lang w:val="fi-FI"/>
        </w:rPr>
        <w:t xml:space="preserve"> </w:t>
      </w:r>
      <w:r w:rsidRPr="00FB4EFA">
        <w:rPr>
          <w:i/>
          <w:lang w:val="fi-FI"/>
        </w:rPr>
        <w:t xml:space="preserve">Eesti etümoloogiasõnaraamat. </w:t>
      </w:r>
      <w:r w:rsidRPr="00FB4EFA">
        <w:rPr>
          <w:lang w:val="fi-FI"/>
        </w:rPr>
        <w:t>Tallinn: Eesti Keele instituut &amp; Eesti keele sihtasutus.</w:t>
      </w:r>
    </w:p>
    <w:p w14:paraId="1CC2A975" w14:textId="6D101A81" w:rsidR="0000782F" w:rsidRPr="00FB4EFA" w:rsidRDefault="0000782F" w:rsidP="00AC2528">
      <w:pPr>
        <w:suppressAutoHyphens/>
        <w:spacing w:line="240" w:lineRule="auto"/>
        <w:ind w:left="426" w:hanging="426"/>
        <w:rPr>
          <w:lang w:val="fi-FI"/>
        </w:rPr>
      </w:pPr>
      <w:r w:rsidRPr="00FB4EFA">
        <w:rPr>
          <w:lang w:val="fi-FI"/>
        </w:rPr>
        <w:t>Fraenkel</w:t>
      </w:r>
      <w:r w:rsidR="004206AD" w:rsidRPr="00FB4EFA">
        <w:rPr>
          <w:lang w:val="fi-FI"/>
        </w:rPr>
        <w:t>, Ernst.</w:t>
      </w:r>
      <w:r w:rsidRPr="00FB4EFA">
        <w:rPr>
          <w:lang w:val="fi-FI"/>
        </w:rPr>
        <w:t xml:space="preserve"> 1962</w:t>
      </w:r>
      <w:r w:rsidR="00892BF7" w:rsidRPr="00FB4EFA">
        <w:rPr>
          <w:lang w:val="fi-FI"/>
        </w:rPr>
        <w:t>–1965</w:t>
      </w:r>
      <w:r w:rsidR="004206AD" w:rsidRPr="00FB4EFA">
        <w:rPr>
          <w:lang w:val="fi-FI"/>
        </w:rPr>
        <w:t>.</w:t>
      </w:r>
      <w:r w:rsidRPr="00FB4EFA">
        <w:rPr>
          <w:lang w:val="fi-FI"/>
        </w:rPr>
        <w:t xml:space="preserve"> </w:t>
      </w:r>
      <w:r w:rsidRPr="00FB4EFA">
        <w:rPr>
          <w:i/>
          <w:lang w:val="fi-FI"/>
        </w:rPr>
        <w:t>Litauisches etymologisches Wörterbuch.</w:t>
      </w:r>
      <w:r w:rsidR="00892BF7" w:rsidRPr="00FB4EFA">
        <w:rPr>
          <w:i/>
          <w:lang w:val="fi-FI"/>
        </w:rPr>
        <w:t xml:space="preserve"> </w:t>
      </w:r>
      <w:r w:rsidR="00892BF7" w:rsidRPr="00FB4EFA">
        <w:rPr>
          <w:iCs/>
          <w:lang w:val="fi-FI"/>
        </w:rPr>
        <w:t>1–2</w:t>
      </w:r>
      <w:r w:rsidR="00892BF7" w:rsidRPr="00FB4EFA">
        <w:rPr>
          <w:i/>
          <w:lang w:val="fi-FI"/>
        </w:rPr>
        <w:t>.</w:t>
      </w:r>
      <w:r w:rsidRPr="00FB4EFA">
        <w:rPr>
          <w:i/>
          <w:lang w:val="fi-FI"/>
        </w:rPr>
        <w:t xml:space="preserve"> </w:t>
      </w:r>
      <w:r w:rsidR="00F4627D" w:rsidRPr="00FB4EFA">
        <w:rPr>
          <w:iCs/>
          <w:lang w:val="fi-FI"/>
        </w:rPr>
        <w:t xml:space="preserve">Indogermanische Bibliothek. Abteilung 1. Reihe 2: Wörterbücher. </w:t>
      </w:r>
      <w:r w:rsidRPr="00FB4EFA">
        <w:rPr>
          <w:lang w:val="fi-FI"/>
        </w:rPr>
        <w:t xml:space="preserve">Heidelberg: C. Winter </w:t>
      </w:r>
      <w:r w:rsidR="004206AD" w:rsidRPr="00FB4EFA">
        <w:rPr>
          <w:lang w:val="fi-FI"/>
        </w:rPr>
        <w:t>/</w:t>
      </w:r>
      <w:r w:rsidRPr="00FB4EFA">
        <w:rPr>
          <w:lang w:val="fi-FI"/>
        </w:rPr>
        <w:t xml:space="preserve"> Göttingen: Vandenhoeck &amp; Ruprecht.</w:t>
      </w:r>
    </w:p>
    <w:p w14:paraId="72EBC0AC" w14:textId="304A5439" w:rsidR="0000782F" w:rsidRPr="00FB4EFA" w:rsidRDefault="0000782F" w:rsidP="00AC2528">
      <w:pPr>
        <w:suppressAutoHyphens/>
        <w:spacing w:line="240" w:lineRule="auto"/>
        <w:ind w:left="426" w:hanging="426"/>
        <w:rPr>
          <w:lang w:val="fi-FI"/>
        </w:rPr>
      </w:pPr>
      <w:r w:rsidRPr="00FB4EFA">
        <w:rPr>
          <w:lang w:val="fi-FI"/>
        </w:rPr>
        <w:lastRenderedPageBreak/>
        <w:t>Frog</w:t>
      </w:r>
      <w:r w:rsidR="004206AD" w:rsidRPr="00FB4EFA">
        <w:rPr>
          <w:lang w:val="fi-FI"/>
        </w:rPr>
        <w:t>.</w:t>
      </w:r>
      <w:r w:rsidRPr="00FB4EFA">
        <w:rPr>
          <w:lang w:val="fi-FI"/>
        </w:rPr>
        <w:t xml:space="preserve"> 2011</w:t>
      </w:r>
      <w:r w:rsidR="004206AD" w:rsidRPr="00FB4EFA">
        <w:rPr>
          <w:lang w:val="fi-FI"/>
        </w:rPr>
        <w:t>.</w:t>
      </w:r>
      <w:r w:rsidRPr="00FB4EFA">
        <w:rPr>
          <w:lang w:val="fi-FI"/>
        </w:rPr>
        <w:t xml:space="preserve"> Ethnocultural Substratum. Its Potential as Tool for Lateral Approaches to Tradition History. </w:t>
      </w:r>
      <w:r w:rsidRPr="00FB4EFA">
        <w:rPr>
          <w:i/>
          <w:lang w:val="fi-FI"/>
        </w:rPr>
        <w:t>Retrospective Methods</w:t>
      </w:r>
      <w:r w:rsidR="00297BC2" w:rsidRPr="00FB4EFA">
        <w:rPr>
          <w:i/>
          <w:lang w:val="fi-FI"/>
        </w:rPr>
        <w:t xml:space="preserve"> Network</w:t>
      </w:r>
      <w:r w:rsidRPr="00FB4EFA">
        <w:rPr>
          <w:i/>
          <w:lang w:val="fi-FI"/>
        </w:rPr>
        <w:t xml:space="preserve"> Newsletter </w:t>
      </w:r>
      <w:r w:rsidRPr="00FB4EFA">
        <w:rPr>
          <w:lang w:val="fi-FI"/>
        </w:rPr>
        <w:t>3</w:t>
      </w:r>
      <w:r w:rsidR="00F951D0" w:rsidRPr="00FB4EFA">
        <w:rPr>
          <w:lang w:val="fi-FI"/>
        </w:rPr>
        <w:t>.</w:t>
      </w:r>
      <w:r w:rsidRPr="00FB4EFA">
        <w:rPr>
          <w:lang w:val="fi-FI"/>
        </w:rPr>
        <w:t xml:space="preserve"> 23</w:t>
      </w:r>
      <w:r w:rsidR="004206AD" w:rsidRPr="00FB4EFA">
        <w:rPr>
          <w:lang w:val="fi-FI"/>
        </w:rPr>
        <w:t>–</w:t>
      </w:r>
      <w:r w:rsidRPr="00FB4EFA">
        <w:rPr>
          <w:lang w:val="fi-FI"/>
        </w:rPr>
        <w:t>37.</w:t>
      </w:r>
    </w:p>
    <w:p w14:paraId="594B7826" w14:textId="5D9FC520" w:rsidR="0000782F" w:rsidRPr="00FB4EFA" w:rsidRDefault="0000782F" w:rsidP="00AC2528">
      <w:pPr>
        <w:keepLines/>
        <w:suppressAutoHyphens/>
        <w:spacing w:line="240" w:lineRule="auto"/>
        <w:ind w:left="425" w:hanging="425"/>
        <w:rPr>
          <w:lang w:val="fi-FI"/>
        </w:rPr>
      </w:pPr>
      <w:r w:rsidRPr="00FB4EFA">
        <w:rPr>
          <w:lang w:val="fi-FI"/>
        </w:rPr>
        <w:t>Grünthal, Riho</w:t>
      </w:r>
      <w:r w:rsidR="00297BC2" w:rsidRPr="00FB4EFA">
        <w:rPr>
          <w:lang w:val="fi-FI"/>
        </w:rPr>
        <w:t>.</w:t>
      </w:r>
      <w:r w:rsidRPr="00FB4EFA">
        <w:rPr>
          <w:lang w:val="fi-FI"/>
        </w:rPr>
        <w:t xml:space="preserve"> 2012</w:t>
      </w:r>
      <w:r w:rsidR="00297BC2" w:rsidRPr="00FB4EFA">
        <w:rPr>
          <w:lang w:val="fi-FI"/>
        </w:rPr>
        <w:t>.</w:t>
      </w:r>
      <w:r w:rsidRPr="00FB4EFA">
        <w:rPr>
          <w:lang w:val="fi-FI"/>
        </w:rPr>
        <w:t xml:space="preserve"> Baltic loanwords of Mordvin. </w:t>
      </w:r>
      <w:r w:rsidR="00297BC2" w:rsidRPr="00FB4EFA">
        <w:rPr>
          <w:lang w:val="fi-FI"/>
        </w:rPr>
        <w:t xml:space="preserve">Teoksessa </w:t>
      </w:r>
      <w:r w:rsidRPr="00FB4EFA">
        <w:rPr>
          <w:lang w:val="fi-FI"/>
        </w:rPr>
        <w:t>Petri Kallio &amp; Riho Grünthal (</w:t>
      </w:r>
      <w:r w:rsidR="00297BC2" w:rsidRPr="00FB4EFA">
        <w:rPr>
          <w:lang w:val="fi-FI"/>
        </w:rPr>
        <w:t>toim.</w:t>
      </w:r>
      <w:r w:rsidRPr="00FB4EFA">
        <w:rPr>
          <w:lang w:val="fi-FI"/>
        </w:rPr>
        <w:t>)</w:t>
      </w:r>
      <w:r w:rsidR="00297BC2" w:rsidRPr="00FB4EFA">
        <w:rPr>
          <w:lang w:val="fi-FI"/>
        </w:rPr>
        <w:t>,</w:t>
      </w:r>
      <w:r w:rsidRPr="00FB4EFA">
        <w:rPr>
          <w:lang w:val="fi-FI"/>
        </w:rPr>
        <w:t xml:space="preserve"> </w:t>
      </w:r>
      <w:r w:rsidR="002D149B" w:rsidRPr="00FB4EFA">
        <w:rPr>
          <w:i/>
          <w:lang w:val="fi-FI"/>
        </w:rPr>
        <w:t>A</w:t>
      </w:r>
      <w:r w:rsidRPr="00FB4EFA">
        <w:rPr>
          <w:i/>
          <w:lang w:val="fi-FI"/>
        </w:rPr>
        <w:t xml:space="preserve"> Linguistic Map of </w:t>
      </w:r>
      <w:r w:rsidR="00297BC2" w:rsidRPr="00FB4EFA">
        <w:rPr>
          <w:i/>
          <w:lang w:val="fi-FI"/>
        </w:rPr>
        <w:t xml:space="preserve">Prehistoric </w:t>
      </w:r>
      <w:r w:rsidRPr="00FB4EFA">
        <w:rPr>
          <w:i/>
          <w:lang w:val="fi-FI"/>
        </w:rPr>
        <w:t>Northern Europe</w:t>
      </w:r>
      <w:r w:rsidR="00297BC2" w:rsidRPr="00FB4EFA">
        <w:rPr>
          <w:iCs/>
          <w:lang w:val="fi-FI"/>
        </w:rPr>
        <w:t>,</w:t>
      </w:r>
      <w:r w:rsidR="00297BC2" w:rsidRPr="00FB4EFA">
        <w:rPr>
          <w:lang w:val="fi-FI"/>
        </w:rPr>
        <w:t xml:space="preserve"> 297–343</w:t>
      </w:r>
      <w:r w:rsidRPr="00FB4EFA">
        <w:rPr>
          <w:i/>
          <w:lang w:val="fi-FI"/>
        </w:rPr>
        <w:t xml:space="preserve">. </w:t>
      </w:r>
      <w:r w:rsidRPr="00FB4EFA">
        <w:rPr>
          <w:lang w:val="fi-FI"/>
        </w:rPr>
        <w:t xml:space="preserve">Suomalais-Ugrilaisen Seuran </w:t>
      </w:r>
      <w:r w:rsidR="00EF08F6" w:rsidRPr="00FB4EFA">
        <w:rPr>
          <w:lang w:val="fi-FI"/>
        </w:rPr>
        <w:t>T</w:t>
      </w:r>
      <w:r w:rsidRPr="00FB4EFA">
        <w:rPr>
          <w:lang w:val="fi-FI"/>
        </w:rPr>
        <w:t>oimituksia</w:t>
      </w:r>
      <w:r w:rsidR="00297BC2" w:rsidRPr="00FB4EFA">
        <w:rPr>
          <w:lang w:val="fi-FI"/>
        </w:rPr>
        <w:t xml:space="preserve"> 266</w:t>
      </w:r>
      <w:r w:rsidRPr="00FB4EFA">
        <w:rPr>
          <w:lang w:val="fi-FI"/>
        </w:rPr>
        <w:t>. Helsinki: Suomalais-Ugrilainen Seura.</w:t>
      </w:r>
    </w:p>
    <w:p w14:paraId="3F4D38C6" w14:textId="2015BA1E" w:rsidR="0000782F" w:rsidRPr="00FB4EFA" w:rsidRDefault="0000782F" w:rsidP="00AC2528">
      <w:pPr>
        <w:suppressAutoHyphens/>
        <w:spacing w:line="240" w:lineRule="auto"/>
        <w:ind w:left="426" w:hanging="426"/>
        <w:rPr>
          <w:lang w:val="fi-FI"/>
        </w:rPr>
      </w:pPr>
      <w:r w:rsidRPr="00FB4EFA">
        <w:rPr>
          <w:lang w:val="fi-FI"/>
        </w:rPr>
        <w:t>Ganander, Christfrid</w:t>
      </w:r>
      <w:r w:rsidR="00BE6AB4" w:rsidRPr="00FB4EFA">
        <w:rPr>
          <w:lang w:val="fi-FI"/>
        </w:rPr>
        <w:t>.</w:t>
      </w:r>
      <w:r w:rsidRPr="00FB4EFA">
        <w:rPr>
          <w:lang w:val="fi-FI"/>
        </w:rPr>
        <w:t xml:space="preserve"> 1789</w:t>
      </w:r>
      <w:r w:rsidR="00BE6AB4" w:rsidRPr="00FB4EFA">
        <w:rPr>
          <w:lang w:val="fi-FI"/>
        </w:rPr>
        <w:t>.</w:t>
      </w:r>
      <w:r w:rsidRPr="00FB4EFA">
        <w:rPr>
          <w:lang w:val="fi-FI"/>
        </w:rPr>
        <w:t xml:space="preserve"> </w:t>
      </w:r>
      <w:r w:rsidRPr="00FB4EFA">
        <w:rPr>
          <w:i/>
          <w:lang w:val="fi-FI"/>
        </w:rPr>
        <w:t>Mythologia Fennica. Eller förklaring öfver de nomina propria deastrorum, idolorum, locorum, virorum &amp; c.</w:t>
      </w:r>
      <w:r w:rsidRPr="00FB4EFA">
        <w:rPr>
          <w:lang w:val="fi-FI"/>
        </w:rPr>
        <w:t xml:space="preserve"> The Project Gutenberg EBook. </w:t>
      </w:r>
      <w:hyperlink r:id="rId402" w:history="1">
        <w:r w:rsidR="00550B7F" w:rsidRPr="00FB4EFA">
          <w:rPr>
            <w:rStyle w:val="Hyperlink"/>
            <w:color w:val="auto"/>
            <w:lang w:val="fi-FI"/>
          </w:rPr>
          <w:t>www.gutenberg.org/cache/epub/</w:t>
        </w:r>
        <w:r w:rsidR="00550B7F" w:rsidRPr="00FB4EFA">
          <w:rPr>
            <w:rStyle w:val="Hyperlink"/>
            <w:color w:val="auto"/>
            <w:lang w:val="fi-FI"/>
          </w:rPr>
          <w:br/>
          <w:t>52445/pg52445.html</w:t>
        </w:r>
      </w:hyperlink>
      <w:r w:rsidRPr="00FB4EFA">
        <w:rPr>
          <w:lang w:val="fi-FI"/>
        </w:rPr>
        <w:t>.</w:t>
      </w:r>
    </w:p>
    <w:p w14:paraId="1087DE26" w14:textId="1CE5F74F" w:rsidR="0000782F" w:rsidRPr="00FB4EFA" w:rsidRDefault="0000782F" w:rsidP="00AC2528">
      <w:pPr>
        <w:suppressAutoHyphens/>
        <w:spacing w:line="240" w:lineRule="auto"/>
        <w:ind w:left="426" w:hanging="426"/>
        <w:rPr>
          <w:lang w:val="fi-FI"/>
        </w:rPr>
      </w:pPr>
      <w:r w:rsidRPr="00FB4EFA">
        <w:rPr>
          <w:lang w:val="fi-FI"/>
        </w:rPr>
        <w:t>Haavio, Martti</w:t>
      </w:r>
      <w:r w:rsidR="00C2108B" w:rsidRPr="00FB4EFA">
        <w:rPr>
          <w:lang w:val="fi-FI"/>
        </w:rPr>
        <w:t>.</w:t>
      </w:r>
      <w:r w:rsidRPr="00FB4EFA">
        <w:rPr>
          <w:lang w:val="fi-FI"/>
        </w:rPr>
        <w:t xml:space="preserve"> 1950</w:t>
      </w:r>
      <w:r w:rsidR="00E162E1" w:rsidRPr="00FB4EFA">
        <w:rPr>
          <w:lang w:val="fi-FI"/>
        </w:rPr>
        <w:t>.</w:t>
      </w:r>
      <w:r w:rsidRPr="00FB4EFA">
        <w:rPr>
          <w:lang w:val="fi-FI"/>
        </w:rPr>
        <w:t xml:space="preserve"> </w:t>
      </w:r>
      <w:r w:rsidRPr="00FB4EFA">
        <w:rPr>
          <w:i/>
          <w:lang w:val="fi-FI"/>
        </w:rPr>
        <w:t xml:space="preserve">Väinämöinen. Suomalaisten runojen keskushahmo. </w:t>
      </w:r>
      <w:r w:rsidRPr="00FB4EFA">
        <w:rPr>
          <w:lang w:val="fi-FI"/>
        </w:rPr>
        <w:t>Porvoo: WSOY.</w:t>
      </w:r>
    </w:p>
    <w:p w14:paraId="4761FF97" w14:textId="3C24B170" w:rsidR="0000782F" w:rsidRPr="00FB4EFA" w:rsidRDefault="0000782F" w:rsidP="00AC2528">
      <w:pPr>
        <w:suppressAutoHyphens/>
        <w:spacing w:line="240" w:lineRule="auto"/>
        <w:ind w:left="426" w:hanging="426"/>
        <w:rPr>
          <w:lang w:val="fi-FI"/>
        </w:rPr>
      </w:pPr>
      <w:r w:rsidRPr="00FB4EFA">
        <w:rPr>
          <w:lang w:val="fi-FI"/>
        </w:rPr>
        <w:t>Haavio, Martti</w:t>
      </w:r>
      <w:r w:rsidR="00C2108B" w:rsidRPr="00FB4EFA">
        <w:rPr>
          <w:lang w:val="fi-FI"/>
        </w:rPr>
        <w:t>.</w:t>
      </w:r>
      <w:r w:rsidRPr="00FB4EFA">
        <w:rPr>
          <w:lang w:val="fi-FI"/>
        </w:rPr>
        <w:t xml:space="preserve"> 1959</w:t>
      </w:r>
      <w:r w:rsidR="00E162E1" w:rsidRPr="00FB4EFA">
        <w:rPr>
          <w:lang w:val="fi-FI"/>
        </w:rPr>
        <w:t>.</w:t>
      </w:r>
      <w:r w:rsidRPr="00FB4EFA">
        <w:rPr>
          <w:lang w:val="fi-FI"/>
        </w:rPr>
        <w:t xml:space="preserve"> </w:t>
      </w:r>
      <w:r w:rsidRPr="00FB4EFA">
        <w:rPr>
          <w:i/>
          <w:lang w:val="fi-FI"/>
        </w:rPr>
        <w:t>Karjalan Jumalat.</w:t>
      </w:r>
      <w:r w:rsidRPr="00FB4EFA">
        <w:rPr>
          <w:lang w:val="fi-FI"/>
        </w:rPr>
        <w:t xml:space="preserve"> Porvoo: WSOY.</w:t>
      </w:r>
    </w:p>
    <w:p w14:paraId="63F30976" w14:textId="23D14736" w:rsidR="0000782F" w:rsidRPr="00FB4EFA" w:rsidRDefault="0000782F" w:rsidP="00AC2528">
      <w:pPr>
        <w:suppressAutoHyphens/>
        <w:spacing w:line="240" w:lineRule="auto"/>
        <w:ind w:left="426" w:hanging="426"/>
        <w:rPr>
          <w:lang w:val="fi-FI"/>
        </w:rPr>
      </w:pPr>
      <w:r w:rsidRPr="00FB4EFA">
        <w:rPr>
          <w:lang w:val="fi-FI"/>
        </w:rPr>
        <w:t>Haspelmath</w:t>
      </w:r>
      <w:r w:rsidR="006B1A2B" w:rsidRPr="00FB4EFA">
        <w:rPr>
          <w:lang w:val="fi-FI"/>
        </w:rPr>
        <w:t xml:space="preserve">, Martin </w:t>
      </w:r>
      <w:r w:rsidRPr="00FB4EFA">
        <w:rPr>
          <w:lang w:val="fi-FI"/>
        </w:rPr>
        <w:t xml:space="preserve">&amp; </w:t>
      </w:r>
      <w:r w:rsidR="006B1A2B" w:rsidRPr="00FB4EFA">
        <w:rPr>
          <w:lang w:val="fi-FI"/>
        </w:rPr>
        <w:t xml:space="preserve">Uri </w:t>
      </w:r>
      <w:r w:rsidRPr="00FB4EFA">
        <w:rPr>
          <w:lang w:val="fi-FI"/>
        </w:rPr>
        <w:t>Tadmor</w:t>
      </w:r>
      <w:r w:rsidR="006B1A2B" w:rsidRPr="00FB4EFA">
        <w:rPr>
          <w:lang w:val="fi-FI"/>
        </w:rPr>
        <w:t>.</w:t>
      </w:r>
      <w:r w:rsidRPr="00FB4EFA">
        <w:rPr>
          <w:lang w:val="fi-FI"/>
        </w:rPr>
        <w:t xml:space="preserve"> 2009</w:t>
      </w:r>
      <w:r w:rsidR="00E162E1" w:rsidRPr="00FB4EFA">
        <w:rPr>
          <w:lang w:val="fi-FI"/>
        </w:rPr>
        <w:t>.</w:t>
      </w:r>
      <w:r w:rsidRPr="00FB4EFA">
        <w:rPr>
          <w:lang w:val="fi-FI"/>
        </w:rPr>
        <w:t xml:space="preserve"> </w:t>
      </w:r>
      <w:r w:rsidRPr="00FB4EFA">
        <w:rPr>
          <w:i/>
          <w:lang w:val="fi-FI"/>
        </w:rPr>
        <w:t>Loanwords in the World’s Languages. A Comparative Handbook.</w:t>
      </w:r>
      <w:r w:rsidRPr="00FB4EFA">
        <w:rPr>
          <w:lang w:val="fi-FI"/>
        </w:rPr>
        <w:t xml:space="preserve"> Berlin: Walter de Gruyter.</w:t>
      </w:r>
    </w:p>
    <w:p w14:paraId="7DBED45F" w14:textId="23185618" w:rsidR="0000782F" w:rsidRPr="00FB4EFA" w:rsidRDefault="0000782F" w:rsidP="00AC2528">
      <w:pPr>
        <w:suppressAutoHyphens/>
        <w:spacing w:line="240" w:lineRule="auto"/>
        <w:ind w:left="426" w:hanging="426"/>
        <w:rPr>
          <w:lang w:val="fi-FI"/>
        </w:rPr>
      </w:pPr>
      <w:r w:rsidRPr="00FB4EFA">
        <w:rPr>
          <w:lang w:val="fi-FI"/>
        </w:rPr>
        <w:t>Heikkilä, Mikko</w:t>
      </w:r>
      <w:r w:rsidR="00654A3C" w:rsidRPr="00FB4EFA">
        <w:rPr>
          <w:lang w:val="fi-FI"/>
        </w:rPr>
        <w:t>.</w:t>
      </w:r>
      <w:r w:rsidRPr="00FB4EFA">
        <w:rPr>
          <w:lang w:val="fi-FI"/>
        </w:rPr>
        <w:t xml:space="preserve"> 2013</w:t>
      </w:r>
      <w:r w:rsidR="00654A3C" w:rsidRPr="00FB4EFA">
        <w:rPr>
          <w:lang w:val="fi-FI"/>
        </w:rPr>
        <w:t>.</w:t>
      </w:r>
      <w:r w:rsidRPr="00FB4EFA">
        <w:rPr>
          <w:lang w:val="fi-FI"/>
        </w:rPr>
        <w:t xml:space="preserve"> From Surging Waves to the Spirit of Waves – On the Germanic and Sami Origin of the Proper Names </w:t>
      </w:r>
      <w:r w:rsidRPr="00FB4EFA">
        <w:rPr>
          <w:i/>
          <w:iCs/>
          <w:lang w:val="fi-FI"/>
        </w:rPr>
        <w:t>Ahti</w:t>
      </w:r>
      <w:r w:rsidRPr="00FB4EFA">
        <w:rPr>
          <w:lang w:val="fi-FI"/>
        </w:rPr>
        <w:t xml:space="preserve"> and </w:t>
      </w:r>
      <w:r w:rsidRPr="00FB4EFA">
        <w:rPr>
          <w:i/>
          <w:iCs/>
          <w:lang w:val="fi-FI"/>
        </w:rPr>
        <w:t>Vellamo</w:t>
      </w:r>
      <w:r w:rsidRPr="00FB4EFA">
        <w:rPr>
          <w:lang w:val="fi-FI"/>
        </w:rPr>
        <w:t xml:space="preserve"> in Finnic Mythology. </w:t>
      </w:r>
      <w:r w:rsidRPr="00FB4EFA">
        <w:rPr>
          <w:i/>
          <w:lang w:val="fi-FI"/>
        </w:rPr>
        <w:t>SKY Journal of Linguistics</w:t>
      </w:r>
      <w:r w:rsidRPr="00FB4EFA">
        <w:rPr>
          <w:lang w:val="fi-FI"/>
        </w:rPr>
        <w:t xml:space="preserve"> 26</w:t>
      </w:r>
      <w:r w:rsidR="00F951D0" w:rsidRPr="00FB4EFA">
        <w:rPr>
          <w:lang w:val="fi-FI"/>
        </w:rPr>
        <w:t>.</w:t>
      </w:r>
      <w:r w:rsidR="00282085" w:rsidRPr="00FB4EFA">
        <w:rPr>
          <w:lang w:val="fi-FI"/>
        </w:rPr>
        <w:t xml:space="preserve"> </w:t>
      </w:r>
      <w:r w:rsidRPr="00FB4EFA">
        <w:rPr>
          <w:lang w:val="fi-FI"/>
        </w:rPr>
        <w:t>7</w:t>
      </w:r>
      <w:r w:rsidR="00C65823" w:rsidRPr="00FB4EFA">
        <w:rPr>
          <w:lang w:val="fi-FI"/>
        </w:rPr>
        <w:t>1–8</w:t>
      </w:r>
      <w:r w:rsidRPr="00FB4EFA">
        <w:rPr>
          <w:lang w:val="fi-FI"/>
        </w:rPr>
        <w:t>6.</w:t>
      </w:r>
    </w:p>
    <w:p w14:paraId="1CE63EEB" w14:textId="4BD6DC27" w:rsidR="0000782F" w:rsidRPr="00FB4EFA" w:rsidRDefault="0000782F" w:rsidP="00AC2528">
      <w:pPr>
        <w:suppressAutoHyphens/>
        <w:spacing w:line="240" w:lineRule="auto"/>
        <w:ind w:left="426" w:hanging="426"/>
        <w:rPr>
          <w:lang w:val="fi-FI"/>
        </w:rPr>
      </w:pPr>
      <w:r w:rsidRPr="00FB4EFA">
        <w:rPr>
          <w:lang w:val="fi-FI"/>
        </w:rPr>
        <w:t>Holopainen, Sampsa</w:t>
      </w:r>
      <w:r w:rsidR="00654A3C" w:rsidRPr="00FB4EFA">
        <w:rPr>
          <w:lang w:val="fi-FI"/>
        </w:rPr>
        <w:t>.</w:t>
      </w:r>
      <w:r w:rsidRPr="00FB4EFA">
        <w:rPr>
          <w:lang w:val="fi-FI"/>
        </w:rPr>
        <w:t xml:space="preserve"> 2019</w:t>
      </w:r>
      <w:r w:rsidR="00654A3C" w:rsidRPr="00FB4EFA">
        <w:rPr>
          <w:lang w:val="fi-FI"/>
        </w:rPr>
        <w:t>.</w:t>
      </w:r>
      <w:r w:rsidRPr="00FB4EFA">
        <w:rPr>
          <w:i/>
          <w:lang w:val="fi-FI"/>
        </w:rPr>
        <w:t xml:space="preserve"> Indo-Iranian borrowings in Uralic. Critical overview of the sound substitutions and distribution criterion</w:t>
      </w:r>
      <w:r w:rsidRPr="00FB4EFA">
        <w:rPr>
          <w:lang w:val="fi-FI"/>
        </w:rPr>
        <w:t xml:space="preserve">. </w:t>
      </w:r>
      <w:r w:rsidR="001C2D40" w:rsidRPr="00FB4EFA">
        <w:rPr>
          <w:lang w:val="fi-FI"/>
        </w:rPr>
        <w:t>Tohtorinväitöskirja. Helsinki: Helsingin yliopisto.</w:t>
      </w:r>
    </w:p>
    <w:p w14:paraId="48088155" w14:textId="0DB304FE" w:rsidR="0000782F" w:rsidRPr="00FB4EFA" w:rsidRDefault="0000782F" w:rsidP="00AC2528">
      <w:pPr>
        <w:suppressAutoHyphens/>
        <w:spacing w:line="240" w:lineRule="auto"/>
        <w:ind w:left="426" w:hanging="426"/>
        <w:rPr>
          <w:lang w:val="fi-FI"/>
        </w:rPr>
      </w:pPr>
      <w:r w:rsidRPr="00FB4EFA">
        <w:rPr>
          <w:lang w:val="fi-FI"/>
        </w:rPr>
        <w:t>Kalima, Jalo</w:t>
      </w:r>
      <w:r w:rsidR="00654A3C" w:rsidRPr="00FB4EFA">
        <w:rPr>
          <w:lang w:val="fi-FI"/>
        </w:rPr>
        <w:t>.</w:t>
      </w:r>
      <w:r w:rsidRPr="00FB4EFA">
        <w:rPr>
          <w:lang w:val="fi-FI"/>
        </w:rPr>
        <w:t xml:space="preserve"> 1952</w:t>
      </w:r>
      <w:r w:rsidR="00654A3C" w:rsidRPr="00FB4EFA">
        <w:rPr>
          <w:lang w:val="fi-FI"/>
        </w:rPr>
        <w:t>.</w:t>
      </w:r>
      <w:r w:rsidRPr="00FB4EFA">
        <w:rPr>
          <w:lang w:val="fi-FI"/>
        </w:rPr>
        <w:t xml:space="preserve"> </w:t>
      </w:r>
      <w:r w:rsidRPr="00FB4EFA">
        <w:rPr>
          <w:i/>
          <w:lang w:val="fi-FI"/>
        </w:rPr>
        <w:t>Slaavilaisperäinen sanastomme.</w:t>
      </w:r>
      <w:r w:rsidRPr="00FB4EFA">
        <w:rPr>
          <w:lang w:val="fi-FI"/>
        </w:rPr>
        <w:t xml:space="preserve"> Suomalaisen Kirjallisuuden Seuran </w:t>
      </w:r>
      <w:r w:rsidR="00324208" w:rsidRPr="00FB4EFA">
        <w:rPr>
          <w:lang w:val="fi-FI"/>
        </w:rPr>
        <w:t>T</w:t>
      </w:r>
      <w:r w:rsidRPr="00FB4EFA">
        <w:rPr>
          <w:lang w:val="fi-FI"/>
        </w:rPr>
        <w:t xml:space="preserve">oimituksia 243. Helsinki: </w:t>
      </w:r>
      <w:r w:rsidR="00F9255F" w:rsidRPr="00FB4EFA">
        <w:rPr>
          <w:lang w:val="fi-FI"/>
        </w:rPr>
        <w:t>SKS</w:t>
      </w:r>
      <w:r w:rsidRPr="00FB4EFA">
        <w:rPr>
          <w:lang w:val="fi-FI"/>
        </w:rPr>
        <w:t>.</w:t>
      </w:r>
    </w:p>
    <w:p w14:paraId="09566A0E" w14:textId="0E7E27F1" w:rsidR="0000782F" w:rsidRPr="00FB4EFA" w:rsidRDefault="0000782F" w:rsidP="00AC2528">
      <w:pPr>
        <w:suppressAutoHyphens/>
        <w:spacing w:line="240" w:lineRule="auto"/>
        <w:ind w:left="426" w:hanging="426"/>
        <w:rPr>
          <w:lang w:val="fi-FI"/>
        </w:rPr>
      </w:pPr>
      <w:r w:rsidRPr="00FB4EFA">
        <w:rPr>
          <w:lang w:val="fi-FI"/>
        </w:rPr>
        <w:t>Kepsu, Saulo</w:t>
      </w:r>
      <w:r w:rsidR="00C2108B" w:rsidRPr="00FB4EFA">
        <w:rPr>
          <w:lang w:val="fi-FI"/>
        </w:rPr>
        <w:t>.</w:t>
      </w:r>
      <w:r w:rsidRPr="00FB4EFA">
        <w:rPr>
          <w:lang w:val="fi-FI"/>
        </w:rPr>
        <w:t xml:space="preserve"> 1995</w:t>
      </w:r>
      <w:r w:rsidR="00C2108B" w:rsidRPr="00FB4EFA">
        <w:rPr>
          <w:lang w:val="fi-FI"/>
        </w:rPr>
        <w:t>.</w:t>
      </w:r>
      <w:r w:rsidRPr="00FB4EFA">
        <w:rPr>
          <w:lang w:val="fi-FI"/>
        </w:rPr>
        <w:t xml:space="preserve"> </w:t>
      </w:r>
      <w:r w:rsidRPr="00FB4EFA">
        <w:rPr>
          <w:i/>
          <w:lang w:val="fi-FI"/>
        </w:rPr>
        <w:t>Pietari ennen Pietaria. Nevansuun vaiheita ennen Pietarin kaupungin perustamista.</w:t>
      </w:r>
      <w:r w:rsidRPr="00FB4EFA">
        <w:rPr>
          <w:lang w:val="fi-FI"/>
        </w:rPr>
        <w:t xml:space="preserve"> Suomalaisen </w:t>
      </w:r>
      <w:r w:rsidR="00324208" w:rsidRPr="00FB4EFA">
        <w:rPr>
          <w:lang w:val="fi-FI"/>
        </w:rPr>
        <w:t>K</w:t>
      </w:r>
      <w:r w:rsidRPr="00FB4EFA">
        <w:rPr>
          <w:lang w:val="fi-FI"/>
        </w:rPr>
        <w:t xml:space="preserve">irjallisuuden </w:t>
      </w:r>
      <w:r w:rsidR="00324208" w:rsidRPr="00FB4EFA">
        <w:rPr>
          <w:lang w:val="fi-FI"/>
        </w:rPr>
        <w:t>S</w:t>
      </w:r>
      <w:r w:rsidRPr="00FB4EFA">
        <w:rPr>
          <w:lang w:val="fi-FI"/>
        </w:rPr>
        <w:t xml:space="preserve">euran </w:t>
      </w:r>
      <w:r w:rsidR="00324208" w:rsidRPr="00FB4EFA">
        <w:rPr>
          <w:lang w:val="fi-FI"/>
        </w:rPr>
        <w:t>T</w:t>
      </w:r>
      <w:r w:rsidRPr="00FB4EFA">
        <w:rPr>
          <w:lang w:val="fi-FI"/>
        </w:rPr>
        <w:t xml:space="preserve">oimituksia 608. Helsinki: </w:t>
      </w:r>
      <w:r w:rsidR="00F9255F" w:rsidRPr="00FB4EFA">
        <w:rPr>
          <w:lang w:val="fi-FI"/>
        </w:rPr>
        <w:t>SKS</w:t>
      </w:r>
      <w:r w:rsidRPr="00FB4EFA">
        <w:rPr>
          <w:lang w:val="fi-FI"/>
        </w:rPr>
        <w:t>.</w:t>
      </w:r>
    </w:p>
    <w:p w14:paraId="532F5C33" w14:textId="07260236" w:rsidR="0000782F" w:rsidRPr="00FB4EFA" w:rsidRDefault="0000782F" w:rsidP="00AC2528">
      <w:pPr>
        <w:suppressAutoHyphens/>
        <w:spacing w:line="240" w:lineRule="auto"/>
        <w:ind w:left="426" w:hanging="426"/>
        <w:rPr>
          <w:lang w:val="fi-FI"/>
        </w:rPr>
      </w:pPr>
      <w:r w:rsidRPr="00FB4EFA">
        <w:rPr>
          <w:lang w:val="fi-FI"/>
        </w:rPr>
        <w:t>Kim, Jeongdo</w:t>
      </w:r>
      <w:r w:rsidR="00C2108B" w:rsidRPr="00FB4EFA">
        <w:rPr>
          <w:lang w:val="fi-FI"/>
        </w:rPr>
        <w:t>.</w:t>
      </w:r>
      <w:r w:rsidRPr="00FB4EFA">
        <w:rPr>
          <w:lang w:val="fi-FI"/>
        </w:rPr>
        <w:t xml:space="preserve"> 2019</w:t>
      </w:r>
      <w:r w:rsidR="00C2108B" w:rsidRPr="00FB4EFA">
        <w:rPr>
          <w:lang w:val="fi-FI"/>
        </w:rPr>
        <w:t>.</w:t>
      </w:r>
      <w:r w:rsidRPr="00FB4EFA">
        <w:rPr>
          <w:lang w:val="fi-FI"/>
        </w:rPr>
        <w:t xml:space="preserve"> </w:t>
      </w:r>
      <w:r w:rsidR="001C2D40" w:rsidRPr="00FB4EFA">
        <w:rPr>
          <w:rFonts w:eastAsia="Times New Roman" w:cs="Charis SIL"/>
          <w:i/>
          <w:iCs/>
          <w:lang w:val="fi-FI"/>
        </w:rPr>
        <w:t xml:space="preserve">Hulisemisesta </w:t>
      </w:r>
      <w:r w:rsidRPr="00FB4EFA">
        <w:rPr>
          <w:i/>
          <w:lang w:val="fi-FI"/>
        </w:rPr>
        <w:t xml:space="preserve">hulinaksi. Onomatopoieettisuuden haalistuminen suomen fonesteemisten substantiivien valossa. </w:t>
      </w:r>
      <w:r w:rsidRPr="00FB4EFA">
        <w:rPr>
          <w:lang w:val="fi-FI"/>
        </w:rPr>
        <w:t>Tohtorinväitöskirja. Helsinki: Helsingin yliopisto.</w:t>
      </w:r>
    </w:p>
    <w:p w14:paraId="5AF0E472" w14:textId="3DB804AA" w:rsidR="0000782F" w:rsidRPr="00FB4EFA" w:rsidRDefault="0000782F" w:rsidP="00AC2528">
      <w:pPr>
        <w:suppressAutoHyphens/>
        <w:spacing w:line="240" w:lineRule="auto"/>
        <w:ind w:left="426" w:hanging="426"/>
        <w:rPr>
          <w:lang w:val="fi-FI"/>
        </w:rPr>
      </w:pPr>
      <w:r w:rsidRPr="00FB4EFA">
        <w:rPr>
          <w:lang w:val="fi-FI"/>
        </w:rPr>
        <w:t>KKS = Pertti Virtaranta, Raija Koponen (</w:t>
      </w:r>
      <w:r w:rsidR="008D5612" w:rsidRPr="00FB4EFA">
        <w:rPr>
          <w:lang w:val="fi-FI"/>
        </w:rPr>
        <w:t>toim</w:t>
      </w:r>
      <w:r w:rsidRPr="00FB4EFA">
        <w:rPr>
          <w:lang w:val="fi-FI"/>
        </w:rPr>
        <w:t>.)</w:t>
      </w:r>
      <w:r w:rsidR="00C2108B" w:rsidRPr="00FB4EFA">
        <w:rPr>
          <w:lang w:val="fi-FI"/>
        </w:rPr>
        <w:t>.</w:t>
      </w:r>
      <w:r w:rsidR="008D5612" w:rsidRPr="00FB4EFA">
        <w:rPr>
          <w:lang w:val="fi-FI"/>
        </w:rPr>
        <w:t xml:space="preserve"> 1968–2005.</w:t>
      </w:r>
      <w:r w:rsidRPr="00FB4EFA">
        <w:rPr>
          <w:lang w:val="fi-FI"/>
        </w:rPr>
        <w:t xml:space="preserve"> </w:t>
      </w:r>
      <w:r w:rsidRPr="00FB4EFA">
        <w:rPr>
          <w:i/>
          <w:iCs/>
          <w:lang w:val="fi-FI"/>
        </w:rPr>
        <w:t>Karjalan kielen sanakirja</w:t>
      </w:r>
      <w:r w:rsidRPr="00FB4EFA">
        <w:rPr>
          <w:lang w:val="fi-FI"/>
        </w:rPr>
        <w:t xml:space="preserve">. Lexica Societatis Fenno-Ugricae </w:t>
      </w:r>
      <w:r w:rsidR="00DC75BE" w:rsidRPr="00FB4EFA">
        <w:rPr>
          <w:lang w:val="fi-FI"/>
        </w:rPr>
        <w:t>16</w:t>
      </w:r>
      <w:r w:rsidRPr="00FB4EFA">
        <w:rPr>
          <w:lang w:val="fi-FI"/>
        </w:rPr>
        <w:t>:</w:t>
      </w:r>
      <w:r w:rsidR="00DC75BE" w:rsidRPr="00FB4EFA">
        <w:rPr>
          <w:lang w:val="fi-FI"/>
        </w:rPr>
        <w:t xml:space="preserve"> </w:t>
      </w:r>
      <w:r w:rsidRPr="00FB4EFA">
        <w:rPr>
          <w:lang w:val="fi-FI"/>
        </w:rPr>
        <w:t>1</w:t>
      </w:r>
      <w:r w:rsidR="008D5612" w:rsidRPr="00FB4EFA">
        <w:rPr>
          <w:lang w:val="fi-FI"/>
        </w:rPr>
        <w:t>–</w:t>
      </w:r>
      <w:r w:rsidRPr="00FB4EFA">
        <w:rPr>
          <w:lang w:val="fi-FI"/>
        </w:rPr>
        <w:t>6</w:t>
      </w:r>
      <w:r w:rsidR="008D5612" w:rsidRPr="00FB4EFA">
        <w:rPr>
          <w:lang w:val="fi-FI"/>
        </w:rPr>
        <w:t xml:space="preserve"> /</w:t>
      </w:r>
      <w:r w:rsidRPr="00FB4EFA">
        <w:rPr>
          <w:lang w:val="fi-FI"/>
        </w:rPr>
        <w:t xml:space="preserve"> Kotimaisten kielten tutkimuskeskuksen julkaisuja 25. Helsinki: Suomalais-Ugrilainen Seura &amp; Kotimaisten kielten tutkimuskeskus.</w:t>
      </w:r>
    </w:p>
    <w:p w14:paraId="6678D409" w14:textId="029B4445" w:rsidR="0000782F" w:rsidRPr="00FB4EFA" w:rsidRDefault="0000782F" w:rsidP="00AC2528">
      <w:pPr>
        <w:keepLines/>
        <w:suppressAutoHyphens/>
        <w:spacing w:line="240" w:lineRule="auto"/>
        <w:ind w:left="425" w:hanging="425"/>
        <w:rPr>
          <w:lang w:val="fi-FI"/>
        </w:rPr>
      </w:pPr>
      <w:r w:rsidRPr="00FB4EFA">
        <w:rPr>
          <w:lang w:val="fi-FI"/>
        </w:rPr>
        <w:t>Koivulehto, Jorma</w:t>
      </w:r>
      <w:r w:rsidR="00C2108B" w:rsidRPr="00FB4EFA">
        <w:rPr>
          <w:lang w:val="fi-FI"/>
        </w:rPr>
        <w:t>.</w:t>
      </w:r>
      <w:r w:rsidRPr="00FB4EFA">
        <w:rPr>
          <w:lang w:val="fi-FI"/>
        </w:rPr>
        <w:t xml:space="preserve"> 2016</w:t>
      </w:r>
      <w:r w:rsidR="00C2108B" w:rsidRPr="00FB4EFA">
        <w:rPr>
          <w:lang w:val="fi-FI"/>
        </w:rPr>
        <w:t>.</w:t>
      </w:r>
      <w:r w:rsidRPr="00FB4EFA">
        <w:rPr>
          <w:lang w:val="fi-FI"/>
        </w:rPr>
        <w:t xml:space="preserve"> Fest und Zyklus des Jahres. </w:t>
      </w:r>
      <w:r w:rsidRPr="00FB4EFA">
        <w:rPr>
          <w:i/>
          <w:iCs/>
          <w:lang w:val="fi-FI"/>
        </w:rPr>
        <w:t>Jul</w:t>
      </w:r>
      <w:r w:rsidRPr="00FB4EFA">
        <w:rPr>
          <w:lang w:val="fi-FI"/>
        </w:rPr>
        <w:t xml:space="preserve"> und </w:t>
      </w:r>
      <w:r w:rsidRPr="00FB4EFA">
        <w:rPr>
          <w:i/>
          <w:iCs/>
          <w:lang w:val="fi-FI"/>
        </w:rPr>
        <w:t>Kekri</w:t>
      </w:r>
      <w:r w:rsidRPr="00FB4EFA">
        <w:rPr>
          <w:lang w:val="fi-FI"/>
        </w:rPr>
        <w:t xml:space="preserve"> [</w:t>
      </w:r>
      <w:r w:rsidR="00892BF7" w:rsidRPr="00FB4EFA">
        <w:rPr>
          <w:lang w:val="fi-FI"/>
        </w:rPr>
        <w:t>julkaistu alun perin</w:t>
      </w:r>
      <w:r w:rsidRPr="00FB4EFA">
        <w:rPr>
          <w:lang w:val="fi-FI"/>
        </w:rPr>
        <w:t xml:space="preserve"> 2000]. </w:t>
      </w:r>
      <w:r w:rsidR="008D5612" w:rsidRPr="00FB4EFA">
        <w:rPr>
          <w:lang w:val="fi-FI"/>
        </w:rPr>
        <w:t xml:space="preserve">Teoksessa </w:t>
      </w:r>
      <w:r w:rsidRPr="00FB4EFA">
        <w:rPr>
          <w:lang w:val="fi-FI"/>
        </w:rPr>
        <w:t>Sampsa Holopainen</w:t>
      </w:r>
      <w:r w:rsidR="00EF08F6" w:rsidRPr="00FB4EFA">
        <w:rPr>
          <w:lang w:val="fi-FI"/>
        </w:rPr>
        <w:t>,</w:t>
      </w:r>
      <w:r w:rsidRPr="00FB4EFA">
        <w:rPr>
          <w:lang w:val="fi-FI"/>
        </w:rPr>
        <w:t xml:space="preserve"> Petri Kallio &amp; Janne Saarikivi (</w:t>
      </w:r>
      <w:r w:rsidR="008D5612" w:rsidRPr="00FB4EFA">
        <w:rPr>
          <w:lang w:val="fi-FI"/>
        </w:rPr>
        <w:t>toim</w:t>
      </w:r>
      <w:r w:rsidRPr="00FB4EFA">
        <w:rPr>
          <w:lang w:val="fi-FI"/>
        </w:rPr>
        <w:t>.)</w:t>
      </w:r>
      <w:r w:rsidR="008D5612" w:rsidRPr="00FB4EFA">
        <w:rPr>
          <w:lang w:val="fi-FI"/>
        </w:rPr>
        <w:t>,</w:t>
      </w:r>
      <w:r w:rsidRPr="00FB4EFA">
        <w:rPr>
          <w:lang w:val="fi-FI"/>
        </w:rPr>
        <w:t xml:space="preserve"> </w:t>
      </w:r>
      <w:r w:rsidRPr="00FB4EFA">
        <w:rPr>
          <w:i/>
          <w:lang w:val="fi-FI"/>
        </w:rPr>
        <w:t>Verba vagantur. Jorma Koivulehto in memoriam</w:t>
      </w:r>
      <w:r w:rsidR="00EF08F6" w:rsidRPr="00FB4EFA">
        <w:rPr>
          <w:lang w:val="fi-FI"/>
        </w:rPr>
        <w:t xml:space="preserve">, </w:t>
      </w:r>
      <w:r w:rsidR="00892BF7" w:rsidRPr="00FB4EFA">
        <w:rPr>
          <w:lang w:val="fi-FI"/>
        </w:rPr>
        <w:t>23</w:t>
      </w:r>
      <w:r w:rsidR="00C65823" w:rsidRPr="00FB4EFA">
        <w:rPr>
          <w:lang w:val="fi-FI"/>
        </w:rPr>
        <w:t>9–2</w:t>
      </w:r>
      <w:r w:rsidR="00892BF7" w:rsidRPr="00FB4EFA">
        <w:rPr>
          <w:lang w:val="fi-FI"/>
        </w:rPr>
        <w:t>56</w:t>
      </w:r>
      <w:r w:rsidRPr="00FB4EFA">
        <w:rPr>
          <w:i/>
          <w:lang w:val="fi-FI"/>
        </w:rPr>
        <w:t xml:space="preserve">. </w:t>
      </w:r>
      <w:r w:rsidRPr="00FB4EFA">
        <w:rPr>
          <w:lang w:val="fi-FI"/>
        </w:rPr>
        <w:t xml:space="preserve">Suomalais-Ugrilaisen Seuran </w:t>
      </w:r>
      <w:r w:rsidR="00EF08F6" w:rsidRPr="00FB4EFA">
        <w:rPr>
          <w:lang w:val="fi-FI"/>
        </w:rPr>
        <w:t>T</w:t>
      </w:r>
      <w:r w:rsidRPr="00FB4EFA">
        <w:rPr>
          <w:lang w:val="fi-FI"/>
        </w:rPr>
        <w:t>oimituksia 274. Helsinki: Suomalais-Ugrilainen Seura.</w:t>
      </w:r>
    </w:p>
    <w:p w14:paraId="446B4951" w14:textId="2C044609" w:rsidR="0000782F" w:rsidRPr="00FB4EFA" w:rsidRDefault="0000782F" w:rsidP="00AC2528">
      <w:pPr>
        <w:suppressAutoHyphens/>
        <w:spacing w:line="240" w:lineRule="auto"/>
        <w:ind w:left="426" w:hanging="426"/>
        <w:rPr>
          <w:lang w:val="fi-FI"/>
        </w:rPr>
      </w:pPr>
      <w:r w:rsidRPr="00FB4EFA">
        <w:rPr>
          <w:lang w:val="fi-FI"/>
        </w:rPr>
        <w:t>Kroonen, Guus</w:t>
      </w:r>
      <w:r w:rsidR="00EF08F6" w:rsidRPr="00FB4EFA">
        <w:rPr>
          <w:lang w:val="fi-FI"/>
        </w:rPr>
        <w:t>.</w:t>
      </w:r>
      <w:r w:rsidRPr="00FB4EFA">
        <w:rPr>
          <w:lang w:val="fi-FI"/>
        </w:rPr>
        <w:t xml:space="preserve"> 2013</w:t>
      </w:r>
      <w:r w:rsidR="00EF08F6" w:rsidRPr="00FB4EFA">
        <w:rPr>
          <w:lang w:val="fi-FI"/>
        </w:rPr>
        <w:t>.</w:t>
      </w:r>
      <w:r w:rsidRPr="00FB4EFA">
        <w:rPr>
          <w:lang w:val="fi-FI"/>
        </w:rPr>
        <w:t xml:space="preserve"> </w:t>
      </w:r>
      <w:r w:rsidRPr="00FB4EFA">
        <w:rPr>
          <w:i/>
          <w:lang w:val="fi-FI"/>
        </w:rPr>
        <w:t xml:space="preserve">Etymological dictionary of Proto-Germanic. </w:t>
      </w:r>
      <w:r w:rsidRPr="00FB4EFA">
        <w:rPr>
          <w:lang w:val="fi-FI"/>
        </w:rPr>
        <w:t xml:space="preserve">Leiden Indo-European Etymological Dictionary Series </w:t>
      </w:r>
      <w:r w:rsidR="00803FC7" w:rsidRPr="00FB4EFA">
        <w:rPr>
          <w:lang w:val="fi-FI"/>
        </w:rPr>
        <w:t>2</w:t>
      </w:r>
      <w:r w:rsidRPr="00FB4EFA">
        <w:rPr>
          <w:lang w:val="fi-FI"/>
        </w:rPr>
        <w:t xml:space="preserve">. Leiden </w:t>
      </w:r>
      <w:r w:rsidR="00EF08F6" w:rsidRPr="00FB4EFA">
        <w:rPr>
          <w:lang w:val="fi-FI"/>
        </w:rPr>
        <w:t>/</w:t>
      </w:r>
      <w:r w:rsidRPr="00FB4EFA">
        <w:rPr>
          <w:lang w:val="fi-FI"/>
        </w:rPr>
        <w:t xml:space="preserve"> Boston: Brill.</w:t>
      </w:r>
    </w:p>
    <w:p w14:paraId="62E87F6A" w14:textId="1E176D2A" w:rsidR="0000782F" w:rsidRPr="00FB4EFA" w:rsidRDefault="0000782F" w:rsidP="00AC2528">
      <w:pPr>
        <w:suppressAutoHyphens/>
        <w:spacing w:line="240" w:lineRule="auto"/>
        <w:ind w:left="426" w:hanging="426"/>
        <w:rPr>
          <w:lang w:val="fi-FI"/>
        </w:rPr>
      </w:pPr>
      <w:r w:rsidRPr="00FB4EFA">
        <w:rPr>
          <w:lang w:val="fi-FI"/>
        </w:rPr>
        <w:lastRenderedPageBreak/>
        <w:t>Lang, Valter</w:t>
      </w:r>
      <w:r w:rsidR="00EF08F6" w:rsidRPr="00FB4EFA">
        <w:rPr>
          <w:lang w:val="fi-FI"/>
        </w:rPr>
        <w:t>.</w:t>
      </w:r>
      <w:r w:rsidRPr="00FB4EFA">
        <w:rPr>
          <w:lang w:val="fi-FI"/>
        </w:rPr>
        <w:t xml:space="preserve"> 2020</w:t>
      </w:r>
      <w:r w:rsidR="00EF08F6" w:rsidRPr="00FB4EFA">
        <w:rPr>
          <w:lang w:val="fi-FI"/>
        </w:rPr>
        <w:t>.</w:t>
      </w:r>
      <w:r w:rsidRPr="00FB4EFA">
        <w:rPr>
          <w:lang w:val="fi-FI"/>
        </w:rPr>
        <w:t xml:space="preserve"> </w:t>
      </w:r>
      <w:r w:rsidRPr="00FB4EFA">
        <w:rPr>
          <w:i/>
          <w:lang w:val="fi-FI"/>
        </w:rPr>
        <w:t xml:space="preserve">Homo Fennicus. Itämerensuomalaisten etnohistoria. </w:t>
      </w:r>
      <w:r w:rsidRPr="00FB4EFA">
        <w:rPr>
          <w:lang w:val="fi-FI"/>
        </w:rPr>
        <w:t xml:space="preserve">Kirjokansi 276. Helsinki: </w:t>
      </w:r>
      <w:r w:rsidR="00F9255F" w:rsidRPr="00FB4EFA">
        <w:rPr>
          <w:lang w:val="fi-FI"/>
        </w:rPr>
        <w:t>SKS</w:t>
      </w:r>
      <w:r w:rsidRPr="00FB4EFA">
        <w:rPr>
          <w:lang w:val="fi-FI"/>
        </w:rPr>
        <w:t>.</w:t>
      </w:r>
    </w:p>
    <w:p w14:paraId="0C6D014B" w14:textId="6863A9CA" w:rsidR="0000782F" w:rsidRPr="00FB4EFA" w:rsidRDefault="0000782F" w:rsidP="00AC2528">
      <w:pPr>
        <w:suppressAutoHyphens/>
        <w:spacing w:line="240" w:lineRule="auto"/>
        <w:ind w:left="426" w:hanging="426"/>
        <w:rPr>
          <w:lang w:val="fi-FI"/>
        </w:rPr>
      </w:pPr>
      <w:r w:rsidRPr="00FB4EFA">
        <w:rPr>
          <w:lang w:val="fi-FI"/>
        </w:rPr>
        <w:t>Liukkonen, Kari</w:t>
      </w:r>
      <w:r w:rsidR="00EF08F6" w:rsidRPr="00FB4EFA">
        <w:rPr>
          <w:lang w:val="fi-FI"/>
        </w:rPr>
        <w:t>.</w:t>
      </w:r>
      <w:r w:rsidRPr="00FB4EFA">
        <w:rPr>
          <w:lang w:val="fi-FI"/>
        </w:rPr>
        <w:t xml:space="preserve"> 1999</w:t>
      </w:r>
      <w:r w:rsidR="00EF08F6" w:rsidRPr="00FB4EFA">
        <w:rPr>
          <w:lang w:val="fi-FI"/>
        </w:rPr>
        <w:t>.</w:t>
      </w:r>
      <w:r w:rsidRPr="00FB4EFA">
        <w:rPr>
          <w:i/>
          <w:lang w:val="fi-FI"/>
        </w:rPr>
        <w:t xml:space="preserve"> Baltisches im Finnischen</w:t>
      </w:r>
      <w:r w:rsidRPr="00FB4EFA">
        <w:rPr>
          <w:lang w:val="fi-FI"/>
        </w:rPr>
        <w:t xml:space="preserve">. Suomalais-Ugrilaisen Seuran </w:t>
      </w:r>
      <w:r w:rsidR="00EF08F6" w:rsidRPr="00FB4EFA">
        <w:rPr>
          <w:lang w:val="fi-FI"/>
        </w:rPr>
        <w:t>T</w:t>
      </w:r>
      <w:r w:rsidRPr="00FB4EFA">
        <w:rPr>
          <w:lang w:val="fi-FI"/>
        </w:rPr>
        <w:t>oimituksia 235. Helsinki: Suomalais-Ugrilainen Seura.</w:t>
      </w:r>
    </w:p>
    <w:p w14:paraId="4CD7506B" w14:textId="4B074B50" w:rsidR="0000782F" w:rsidRPr="00FB4EFA" w:rsidRDefault="0000782F" w:rsidP="00AC2528">
      <w:pPr>
        <w:suppressAutoHyphens/>
        <w:spacing w:line="240" w:lineRule="auto"/>
        <w:ind w:left="426" w:hanging="426"/>
        <w:rPr>
          <w:lang w:val="fi-FI"/>
        </w:rPr>
      </w:pPr>
      <w:r w:rsidRPr="00FB4EFA">
        <w:rPr>
          <w:lang w:val="fi-FI"/>
        </w:rPr>
        <w:t>Kulonen, Ulla-Maija</w:t>
      </w:r>
      <w:r w:rsidR="00C2108B" w:rsidRPr="00FB4EFA">
        <w:rPr>
          <w:lang w:val="fi-FI"/>
        </w:rPr>
        <w:t>.</w:t>
      </w:r>
      <w:r w:rsidRPr="00FB4EFA">
        <w:rPr>
          <w:lang w:val="fi-FI"/>
        </w:rPr>
        <w:t xml:space="preserve"> 2010</w:t>
      </w:r>
      <w:r w:rsidR="00C2108B" w:rsidRPr="00FB4EFA">
        <w:rPr>
          <w:lang w:val="fi-FI"/>
        </w:rPr>
        <w:t>.</w:t>
      </w:r>
      <w:r w:rsidRPr="00FB4EFA">
        <w:rPr>
          <w:lang w:val="fi-FI"/>
        </w:rPr>
        <w:t xml:space="preserve"> </w:t>
      </w:r>
      <w:r w:rsidRPr="00FB4EFA">
        <w:rPr>
          <w:i/>
          <w:lang w:val="fi-FI"/>
        </w:rPr>
        <w:t>Fonesteemit ja sananmuodostus. Suomen kontinuatiivisten u-johdosten historiaa.</w:t>
      </w:r>
      <w:r w:rsidRPr="00FB4EFA">
        <w:rPr>
          <w:lang w:val="fi-FI"/>
        </w:rPr>
        <w:t xml:space="preserve"> Suomi 197. Helsinki: </w:t>
      </w:r>
      <w:r w:rsidR="00F9255F" w:rsidRPr="00FB4EFA">
        <w:rPr>
          <w:lang w:val="fi-FI"/>
        </w:rPr>
        <w:t>SKS</w:t>
      </w:r>
      <w:r w:rsidRPr="00FB4EFA">
        <w:rPr>
          <w:lang w:val="fi-FI"/>
        </w:rPr>
        <w:t>.</w:t>
      </w:r>
    </w:p>
    <w:p w14:paraId="7B34FF38" w14:textId="182C2ADA" w:rsidR="0000782F" w:rsidRPr="00FB4EFA" w:rsidRDefault="0000782F" w:rsidP="00AC2528">
      <w:pPr>
        <w:suppressAutoHyphens/>
        <w:spacing w:line="240" w:lineRule="auto"/>
        <w:ind w:left="426" w:hanging="426"/>
        <w:rPr>
          <w:lang w:val="fi-FI"/>
        </w:rPr>
      </w:pPr>
      <w:r w:rsidRPr="00FB4EFA">
        <w:rPr>
          <w:lang w:val="fi-FI"/>
        </w:rPr>
        <w:t>LÄGLOS = A.D. Kylstra, Sirkka-Liisa Hahmo, Tette Hofstra &amp; Osmo Nikkilä</w:t>
      </w:r>
      <w:r w:rsidR="002E6C66" w:rsidRPr="00FB4EFA">
        <w:rPr>
          <w:lang w:val="fi-FI"/>
        </w:rPr>
        <w:t>. 1991–2012.</w:t>
      </w:r>
      <w:r w:rsidRPr="00FB4EFA">
        <w:rPr>
          <w:lang w:val="fi-FI"/>
        </w:rPr>
        <w:t xml:space="preserve"> </w:t>
      </w:r>
      <w:r w:rsidRPr="00FB4EFA">
        <w:rPr>
          <w:i/>
          <w:lang w:val="fi-FI"/>
        </w:rPr>
        <w:t xml:space="preserve">Lexikon der älteren </w:t>
      </w:r>
      <w:r w:rsidR="002E6C66" w:rsidRPr="00FB4EFA">
        <w:rPr>
          <w:i/>
          <w:lang w:val="fi-FI"/>
        </w:rPr>
        <w:t>g</w:t>
      </w:r>
      <w:r w:rsidRPr="00FB4EFA">
        <w:rPr>
          <w:i/>
          <w:lang w:val="fi-FI"/>
        </w:rPr>
        <w:t xml:space="preserve">ermanischen Lehnwörter der </w:t>
      </w:r>
      <w:r w:rsidR="002E6C66" w:rsidRPr="00FB4EFA">
        <w:rPr>
          <w:i/>
          <w:lang w:val="fi-FI"/>
        </w:rPr>
        <w:t>o</w:t>
      </w:r>
      <w:r w:rsidRPr="00FB4EFA">
        <w:rPr>
          <w:i/>
          <w:lang w:val="fi-FI"/>
        </w:rPr>
        <w:t>stseefinnischen Sp</w:t>
      </w:r>
      <w:r w:rsidR="002E6C66" w:rsidRPr="00FB4EFA">
        <w:rPr>
          <w:i/>
          <w:lang w:val="fi-FI"/>
        </w:rPr>
        <w:t>r</w:t>
      </w:r>
      <w:r w:rsidRPr="00FB4EFA">
        <w:rPr>
          <w:i/>
          <w:lang w:val="fi-FI"/>
        </w:rPr>
        <w:t xml:space="preserve">achen. </w:t>
      </w:r>
      <w:r w:rsidR="002E6C66" w:rsidRPr="00FB4EFA">
        <w:rPr>
          <w:lang w:val="fi-FI"/>
        </w:rPr>
        <w:t>Amsterdam: Rodopi.</w:t>
      </w:r>
    </w:p>
    <w:p w14:paraId="3B300C31" w14:textId="168840D0" w:rsidR="0000782F" w:rsidRPr="00FB4EFA" w:rsidRDefault="0000782F" w:rsidP="00AC2528">
      <w:pPr>
        <w:suppressAutoHyphens/>
        <w:spacing w:line="240" w:lineRule="auto"/>
        <w:ind w:left="426" w:hanging="426"/>
        <w:rPr>
          <w:lang w:val="fi-FI"/>
        </w:rPr>
      </w:pPr>
      <w:r w:rsidRPr="00FB4EFA">
        <w:rPr>
          <w:lang w:val="fi-FI"/>
        </w:rPr>
        <w:t>Metsäranta, Niklas</w:t>
      </w:r>
      <w:r w:rsidR="00C2108B" w:rsidRPr="00FB4EFA">
        <w:rPr>
          <w:lang w:val="fi-FI"/>
        </w:rPr>
        <w:t>.</w:t>
      </w:r>
      <w:r w:rsidRPr="00FB4EFA">
        <w:rPr>
          <w:lang w:val="fi-FI"/>
        </w:rPr>
        <w:t xml:space="preserve"> 2020</w:t>
      </w:r>
      <w:r w:rsidR="00C2108B" w:rsidRPr="00FB4EFA">
        <w:rPr>
          <w:lang w:val="fi-FI"/>
        </w:rPr>
        <w:t>.</w:t>
      </w:r>
      <w:r w:rsidRPr="00FB4EFA">
        <w:rPr>
          <w:lang w:val="fi-FI"/>
        </w:rPr>
        <w:t xml:space="preserve"> </w:t>
      </w:r>
      <w:r w:rsidRPr="00FB4EFA">
        <w:rPr>
          <w:i/>
          <w:lang w:val="fi-FI"/>
        </w:rPr>
        <w:t xml:space="preserve">Periytyminen ja lainautuminen. Marin ja permiläisten kielten sanastontutkimusta. </w:t>
      </w:r>
      <w:r w:rsidR="0047334E" w:rsidRPr="00FB4EFA">
        <w:rPr>
          <w:lang w:val="fi-FI"/>
        </w:rPr>
        <w:t xml:space="preserve">Tohtorinväitöskirja. </w:t>
      </w:r>
      <w:r w:rsidRPr="00FB4EFA">
        <w:rPr>
          <w:lang w:val="fi-FI"/>
        </w:rPr>
        <w:t>Helsinki: Helsingin yliopisto.</w:t>
      </w:r>
    </w:p>
    <w:p w14:paraId="2A27C26F" w14:textId="77777777" w:rsidR="000121EA" w:rsidRPr="00FB4EFA" w:rsidRDefault="0000782F" w:rsidP="00AC2528">
      <w:pPr>
        <w:suppressAutoHyphens/>
        <w:spacing w:line="240" w:lineRule="auto"/>
        <w:ind w:left="426" w:hanging="426"/>
        <w:rPr>
          <w:i/>
          <w:lang w:val="fi-FI"/>
        </w:rPr>
      </w:pPr>
      <w:r w:rsidRPr="00FB4EFA">
        <w:rPr>
          <w:lang w:val="fi-FI"/>
        </w:rPr>
        <w:t>Mullonen, Marija &amp; Marija Zajceva</w:t>
      </w:r>
      <w:r w:rsidR="00BE6AB4" w:rsidRPr="00FB4EFA">
        <w:rPr>
          <w:lang w:val="fi-FI"/>
        </w:rPr>
        <w:t>.</w:t>
      </w:r>
      <w:r w:rsidRPr="00FB4EFA">
        <w:rPr>
          <w:lang w:val="fi-FI"/>
        </w:rPr>
        <w:t xml:space="preserve"> 1972</w:t>
      </w:r>
      <w:r w:rsidR="00BE6AB4" w:rsidRPr="00FB4EFA">
        <w:rPr>
          <w:lang w:val="fi-FI"/>
        </w:rPr>
        <w:t>.</w:t>
      </w:r>
      <w:r w:rsidRPr="00FB4EFA">
        <w:rPr>
          <w:i/>
          <w:lang w:val="fi-FI"/>
        </w:rPr>
        <w:t xml:space="preserve"> Slovar’ vepsskogo jazyka</w:t>
      </w:r>
      <w:r w:rsidRPr="00FB4EFA">
        <w:rPr>
          <w:lang w:val="fi-FI"/>
        </w:rPr>
        <w:t>. Moskva: Nauka.</w:t>
      </w:r>
    </w:p>
    <w:p w14:paraId="56A15AE3" w14:textId="0867C657" w:rsidR="0000782F" w:rsidRPr="00FB4EFA" w:rsidRDefault="0000782F" w:rsidP="00AC2528">
      <w:pPr>
        <w:suppressAutoHyphens/>
        <w:spacing w:line="240" w:lineRule="auto"/>
        <w:ind w:left="426" w:hanging="426"/>
        <w:rPr>
          <w:lang w:val="fi-FI"/>
        </w:rPr>
      </w:pPr>
      <w:r w:rsidRPr="00FB4EFA">
        <w:rPr>
          <w:lang w:val="fi-FI"/>
        </w:rPr>
        <w:t>Parpola, Asko</w:t>
      </w:r>
      <w:r w:rsidR="00BE6AB4" w:rsidRPr="00FB4EFA">
        <w:rPr>
          <w:lang w:val="fi-FI"/>
        </w:rPr>
        <w:t>.</w:t>
      </w:r>
      <w:r w:rsidRPr="00FB4EFA">
        <w:rPr>
          <w:lang w:val="fi-FI"/>
        </w:rPr>
        <w:t xml:space="preserve"> 2019</w:t>
      </w:r>
      <w:r w:rsidR="00BE6AB4" w:rsidRPr="00FB4EFA">
        <w:rPr>
          <w:lang w:val="fi-FI"/>
        </w:rPr>
        <w:t>.</w:t>
      </w:r>
      <w:r w:rsidRPr="00FB4EFA">
        <w:rPr>
          <w:lang w:val="fi-FI"/>
        </w:rPr>
        <w:t xml:space="preserve"> Jumal’avita. </w:t>
      </w:r>
      <w:r w:rsidR="0047334E" w:rsidRPr="00FB4EFA">
        <w:rPr>
          <w:lang w:val="fi-FI"/>
        </w:rPr>
        <w:t>Te</w:t>
      </w:r>
      <w:r w:rsidR="005F4E08" w:rsidRPr="00FB4EFA">
        <w:rPr>
          <w:lang w:val="fi-FI"/>
        </w:rPr>
        <w:t>o</w:t>
      </w:r>
      <w:r w:rsidR="0047334E" w:rsidRPr="00FB4EFA">
        <w:rPr>
          <w:lang w:val="fi-FI"/>
        </w:rPr>
        <w:t xml:space="preserve">ksessa </w:t>
      </w:r>
      <w:r w:rsidRPr="00FB4EFA">
        <w:rPr>
          <w:lang w:val="fi-FI"/>
        </w:rPr>
        <w:t>Santeri Junttila &amp; Juha Kuokkala (toim.)</w:t>
      </w:r>
      <w:r w:rsidR="0047334E" w:rsidRPr="00FB4EFA">
        <w:rPr>
          <w:lang w:val="fi-FI"/>
        </w:rPr>
        <w:t>,</w:t>
      </w:r>
      <w:r w:rsidRPr="00FB4EFA">
        <w:rPr>
          <w:lang w:val="fi-FI"/>
        </w:rPr>
        <w:t xml:space="preserve"> </w:t>
      </w:r>
      <w:r w:rsidRPr="00FB4EFA">
        <w:rPr>
          <w:i/>
          <w:lang w:val="fi-FI"/>
        </w:rPr>
        <w:t xml:space="preserve">Petri Kallio rocks. Liber </w:t>
      </w:r>
      <w:r w:rsidR="0047334E" w:rsidRPr="00FB4EFA">
        <w:rPr>
          <w:i/>
          <w:lang w:val="fi-FI"/>
        </w:rPr>
        <w:t xml:space="preserve">semisaecularis </w:t>
      </w:r>
      <w:r w:rsidRPr="00FB4EFA">
        <w:rPr>
          <w:lang w:val="fi-FI"/>
        </w:rPr>
        <w:t>7.2. 2019</w:t>
      </w:r>
      <w:r w:rsidR="0047334E" w:rsidRPr="00FB4EFA">
        <w:rPr>
          <w:lang w:val="fi-FI"/>
        </w:rPr>
        <w:t>, 13</w:t>
      </w:r>
      <w:r w:rsidR="00C65823" w:rsidRPr="00FB4EFA">
        <w:rPr>
          <w:lang w:val="fi-FI"/>
        </w:rPr>
        <w:t>9–1</w:t>
      </w:r>
      <w:r w:rsidR="0047334E" w:rsidRPr="00FB4EFA">
        <w:rPr>
          <w:lang w:val="fi-FI"/>
        </w:rPr>
        <w:t>52</w:t>
      </w:r>
      <w:r w:rsidRPr="00FB4EFA">
        <w:rPr>
          <w:lang w:val="fi-FI"/>
        </w:rPr>
        <w:t>. Helsinki</w:t>
      </w:r>
      <w:r w:rsidR="0047334E" w:rsidRPr="00FB4EFA">
        <w:rPr>
          <w:lang w:val="fi-FI"/>
        </w:rPr>
        <w:t>: Kallion etymologiseura</w:t>
      </w:r>
      <w:r w:rsidRPr="00FB4EFA">
        <w:rPr>
          <w:lang w:val="fi-FI"/>
        </w:rPr>
        <w:t>.</w:t>
      </w:r>
    </w:p>
    <w:p w14:paraId="072897CD" w14:textId="4D457C4B" w:rsidR="0000782F" w:rsidRPr="00FB4EFA" w:rsidRDefault="0000782F" w:rsidP="00AC2528">
      <w:pPr>
        <w:suppressAutoHyphens/>
        <w:spacing w:line="240" w:lineRule="auto"/>
        <w:ind w:left="426" w:hanging="426"/>
        <w:rPr>
          <w:lang w:val="fi-FI"/>
        </w:rPr>
      </w:pPr>
      <w:r w:rsidRPr="00FB4EFA">
        <w:rPr>
          <w:lang w:val="fi-FI"/>
        </w:rPr>
        <w:t>Rahkonen, Pauli</w:t>
      </w:r>
      <w:r w:rsidR="00803FC7" w:rsidRPr="00FB4EFA">
        <w:rPr>
          <w:lang w:val="fi-FI"/>
        </w:rPr>
        <w:t>.</w:t>
      </w:r>
      <w:r w:rsidRPr="00FB4EFA">
        <w:rPr>
          <w:lang w:val="fi-FI"/>
        </w:rPr>
        <w:t xml:space="preserve"> (</w:t>
      </w:r>
      <w:r w:rsidR="00803FC7" w:rsidRPr="00FB4EFA">
        <w:rPr>
          <w:lang w:val="fi-FI"/>
        </w:rPr>
        <w:t>T</w:t>
      </w:r>
      <w:r w:rsidRPr="00FB4EFA">
        <w:rPr>
          <w:lang w:val="fi-FI"/>
        </w:rPr>
        <w:t>ulossa</w:t>
      </w:r>
      <w:r w:rsidR="00803FC7" w:rsidRPr="00FB4EFA">
        <w:rPr>
          <w:lang w:val="fi-FI"/>
        </w:rPr>
        <w:t>.</w:t>
      </w:r>
      <w:r w:rsidRPr="00FB4EFA">
        <w:rPr>
          <w:lang w:val="fi-FI"/>
        </w:rPr>
        <w:t xml:space="preserve">) </w:t>
      </w:r>
      <w:r w:rsidRPr="00FB4EFA">
        <w:rPr>
          <w:i/>
          <w:lang w:val="fi-FI"/>
        </w:rPr>
        <w:t xml:space="preserve">Rahkoi-nimen varhaishistoria ja alkuperä esihistoriallisella ajalla. </w:t>
      </w:r>
      <w:r w:rsidRPr="00FB4EFA">
        <w:rPr>
          <w:lang w:val="fi-FI"/>
        </w:rPr>
        <w:t>Rahkosten sukuseura: Rahkosten sukukirja.</w:t>
      </w:r>
    </w:p>
    <w:p w14:paraId="3B544513" w14:textId="5165CF1E" w:rsidR="0000782F" w:rsidRPr="00FB4EFA" w:rsidRDefault="0000782F" w:rsidP="00AC2528">
      <w:pPr>
        <w:keepLines/>
        <w:suppressAutoHyphens/>
        <w:spacing w:line="240" w:lineRule="auto"/>
        <w:ind w:left="425" w:hanging="425"/>
        <w:rPr>
          <w:lang w:val="fi-FI"/>
        </w:rPr>
      </w:pPr>
      <w:r w:rsidRPr="00FB4EFA">
        <w:rPr>
          <w:lang w:val="fi-FI"/>
        </w:rPr>
        <w:t>Saarikivi, Janne</w:t>
      </w:r>
      <w:r w:rsidR="00803FC7" w:rsidRPr="00FB4EFA">
        <w:rPr>
          <w:lang w:val="fi-FI"/>
        </w:rPr>
        <w:t>.</w:t>
      </w:r>
      <w:r w:rsidRPr="00FB4EFA">
        <w:rPr>
          <w:lang w:val="fi-FI"/>
        </w:rPr>
        <w:t xml:space="preserve"> 2007</w:t>
      </w:r>
      <w:r w:rsidR="00803FC7" w:rsidRPr="00FB4EFA">
        <w:rPr>
          <w:lang w:val="fi-FI"/>
        </w:rPr>
        <w:t>.</w:t>
      </w:r>
      <w:r w:rsidRPr="00FB4EFA">
        <w:rPr>
          <w:lang w:val="fi-FI"/>
        </w:rPr>
        <w:t xml:space="preserve"> Uusia vanhoja sanoja. </w:t>
      </w:r>
      <w:r w:rsidR="00803FC7" w:rsidRPr="00FB4EFA">
        <w:rPr>
          <w:rFonts w:cs="Charis SIL"/>
          <w:iCs/>
          <w:lang w:val="fi-FI"/>
        </w:rPr>
        <w:t xml:space="preserve">Teoksessa </w:t>
      </w:r>
      <w:r w:rsidRPr="00FB4EFA">
        <w:rPr>
          <w:lang w:val="fi-FI"/>
        </w:rPr>
        <w:t>Jussi Ylikoski &amp; Ante Aikio (toim</w:t>
      </w:r>
      <w:r w:rsidR="00803FC7" w:rsidRPr="00FB4EFA">
        <w:rPr>
          <w:lang w:val="fi-FI"/>
        </w:rPr>
        <w:t>.</w:t>
      </w:r>
      <w:r w:rsidRPr="00FB4EFA">
        <w:rPr>
          <w:lang w:val="fi-FI"/>
        </w:rPr>
        <w:t>)</w:t>
      </w:r>
      <w:r w:rsidR="00803FC7" w:rsidRPr="00FB4EFA">
        <w:rPr>
          <w:lang w:val="fi-FI"/>
        </w:rPr>
        <w:t>,</w:t>
      </w:r>
      <w:r w:rsidRPr="00FB4EFA">
        <w:rPr>
          <w:lang w:val="fi-FI"/>
        </w:rPr>
        <w:t xml:space="preserve"> </w:t>
      </w:r>
      <w:r w:rsidRPr="00FB4EFA">
        <w:rPr>
          <w:i/>
          <w:lang w:val="fi-FI"/>
        </w:rPr>
        <w:t>Sámit, sánit, sátnehámit</w:t>
      </w:r>
      <w:r w:rsidR="00803FC7" w:rsidRPr="00FB4EFA">
        <w:rPr>
          <w:i/>
          <w:lang w:val="fi-FI"/>
        </w:rPr>
        <w:t>.</w:t>
      </w:r>
      <w:r w:rsidRPr="00FB4EFA">
        <w:rPr>
          <w:i/>
          <w:lang w:val="fi-FI"/>
        </w:rPr>
        <w:t xml:space="preserve"> Riepmočála Pekka Sammallahtii miessemánu 21. beaivve 2007</w:t>
      </w:r>
      <w:r w:rsidR="00803FC7" w:rsidRPr="00FB4EFA">
        <w:rPr>
          <w:iCs/>
          <w:lang w:val="fi-FI"/>
        </w:rPr>
        <w:t xml:space="preserve">, </w:t>
      </w:r>
      <w:r w:rsidR="00803FC7" w:rsidRPr="00FB4EFA">
        <w:rPr>
          <w:lang w:val="fi-FI"/>
        </w:rPr>
        <w:t>32</w:t>
      </w:r>
      <w:r w:rsidR="00C65823" w:rsidRPr="00FB4EFA">
        <w:rPr>
          <w:lang w:val="fi-FI"/>
        </w:rPr>
        <w:t>5–3</w:t>
      </w:r>
      <w:r w:rsidR="00803FC7" w:rsidRPr="00FB4EFA">
        <w:rPr>
          <w:lang w:val="fi-FI"/>
        </w:rPr>
        <w:t>47</w:t>
      </w:r>
      <w:r w:rsidRPr="00FB4EFA">
        <w:rPr>
          <w:lang w:val="fi-FI"/>
        </w:rPr>
        <w:t xml:space="preserve">. Suomalais-Ugrilaisen Seuran </w:t>
      </w:r>
      <w:r w:rsidR="00EF08F6" w:rsidRPr="00FB4EFA">
        <w:rPr>
          <w:lang w:val="fi-FI"/>
        </w:rPr>
        <w:t>T</w:t>
      </w:r>
      <w:r w:rsidRPr="00FB4EFA">
        <w:rPr>
          <w:lang w:val="fi-FI"/>
        </w:rPr>
        <w:t>oimituksia 253. Helsinki: Suomalais-Ugrilainen Seura.</w:t>
      </w:r>
    </w:p>
    <w:p w14:paraId="2AEACD2F" w14:textId="0981C9BB" w:rsidR="0000782F" w:rsidRPr="00FB4EFA" w:rsidRDefault="0000782F" w:rsidP="00AC2528">
      <w:pPr>
        <w:suppressAutoHyphens/>
        <w:spacing w:line="240" w:lineRule="auto"/>
        <w:ind w:left="426" w:hanging="426"/>
        <w:rPr>
          <w:lang w:val="fi-FI"/>
        </w:rPr>
      </w:pPr>
      <w:r w:rsidRPr="00FB4EFA">
        <w:rPr>
          <w:lang w:val="fi-FI"/>
        </w:rPr>
        <w:t>Saarikivi, Janne</w:t>
      </w:r>
      <w:r w:rsidR="006576A1" w:rsidRPr="00FB4EFA">
        <w:rPr>
          <w:lang w:val="fi-FI"/>
        </w:rPr>
        <w:t>.</w:t>
      </w:r>
      <w:r w:rsidRPr="00FB4EFA">
        <w:rPr>
          <w:lang w:val="fi-FI"/>
        </w:rPr>
        <w:t xml:space="preserve"> 2009</w:t>
      </w:r>
      <w:r w:rsidR="006576A1" w:rsidRPr="00FB4EFA">
        <w:rPr>
          <w:lang w:val="fi-FI"/>
        </w:rPr>
        <w:t>.</w:t>
      </w:r>
      <w:r w:rsidRPr="00FB4EFA">
        <w:rPr>
          <w:lang w:val="fi-FI"/>
        </w:rPr>
        <w:t xml:space="preserve"> Itämerensuomalais-slaavilaisten kontaktien tutkimuksen nykytilasta. </w:t>
      </w:r>
      <w:r w:rsidR="006576A1" w:rsidRPr="00FB4EFA">
        <w:rPr>
          <w:lang w:val="fi-FI"/>
        </w:rPr>
        <w:t xml:space="preserve">Teoksessa </w:t>
      </w:r>
      <w:r w:rsidRPr="00FB4EFA">
        <w:rPr>
          <w:lang w:val="fi-FI"/>
        </w:rPr>
        <w:t>Jussi Ylikoski (</w:t>
      </w:r>
      <w:r w:rsidR="006576A1" w:rsidRPr="00FB4EFA">
        <w:rPr>
          <w:lang w:val="fi-FI"/>
        </w:rPr>
        <w:t>toim.</w:t>
      </w:r>
      <w:r w:rsidRPr="00FB4EFA">
        <w:rPr>
          <w:lang w:val="fi-FI"/>
        </w:rPr>
        <w:t>)</w:t>
      </w:r>
      <w:r w:rsidR="006576A1" w:rsidRPr="00FB4EFA">
        <w:rPr>
          <w:lang w:val="fi-FI"/>
        </w:rPr>
        <w:t>,</w:t>
      </w:r>
      <w:r w:rsidRPr="00FB4EFA">
        <w:rPr>
          <w:lang w:val="fi-FI"/>
        </w:rPr>
        <w:t xml:space="preserve"> </w:t>
      </w:r>
      <w:r w:rsidRPr="00FB4EFA">
        <w:rPr>
          <w:i/>
          <w:lang w:val="fi-FI"/>
        </w:rPr>
        <w:t xml:space="preserve">The </w:t>
      </w:r>
      <w:r w:rsidR="006576A1" w:rsidRPr="00FB4EFA">
        <w:rPr>
          <w:i/>
          <w:lang w:val="fi-FI"/>
        </w:rPr>
        <w:t>Q</w:t>
      </w:r>
      <w:r w:rsidRPr="00FB4EFA">
        <w:rPr>
          <w:i/>
          <w:lang w:val="fi-FI"/>
        </w:rPr>
        <w:t xml:space="preserve">uasquicentennial of the Finno-Ugrian </w:t>
      </w:r>
      <w:r w:rsidR="006576A1" w:rsidRPr="00FB4EFA">
        <w:rPr>
          <w:i/>
          <w:lang w:val="fi-FI"/>
        </w:rPr>
        <w:t>S</w:t>
      </w:r>
      <w:r w:rsidRPr="00FB4EFA">
        <w:rPr>
          <w:i/>
          <w:lang w:val="fi-FI"/>
        </w:rPr>
        <w:t>ociety</w:t>
      </w:r>
      <w:r w:rsidR="006576A1" w:rsidRPr="00FB4EFA">
        <w:rPr>
          <w:iCs/>
          <w:lang w:val="fi-FI"/>
        </w:rPr>
        <w:t xml:space="preserve">, </w:t>
      </w:r>
      <w:r w:rsidR="006576A1" w:rsidRPr="00FB4EFA">
        <w:rPr>
          <w:lang w:val="fi-FI"/>
        </w:rPr>
        <w:t>10</w:t>
      </w:r>
      <w:r w:rsidR="00C65823" w:rsidRPr="00FB4EFA">
        <w:rPr>
          <w:lang w:val="fi-FI"/>
        </w:rPr>
        <w:t>9–1</w:t>
      </w:r>
      <w:r w:rsidR="006576A1" w:rsidRPr="00FB4EFA">
        <w:rPr>
          <w:lang w:val="fi-FI"/>
        </w:rPr>
        <w:t>60.</w:t>
      </w:r>
      <w:r w:rsidRPr="00FB4EFA">
        <w:rPr>
          <w:i/>
          <w:lang w:val="fi-FI"/>
        </w:rPr>
        <w:t xml:space="preserve"> </w:t>
      </w:r>
      <w:r w:rsidRPr="00FB4EFA">
        <w:rPr>
          <w:lang w:val="fi-FI"/>
        </w:rPr>
        <w:t xml:space="preserve">Suomalais-Ugrilaisen Seuran </w:t>
      </w:r>
      <w:r w:rsidR="00EF08F6" w:rsidRPr="00FB4EFA">
        <w:rPr>
          <w:lang w:val="fi-FI"/>
        </w:rPr>
        <w:t>T</w:t>
      </w:r>
      <w:r w:rsidRPr="00FB4EFA">
        <w:rPr>
          <w:lang w:val="fi-FI"/>
        </w:rPr>
        <w:t>oimituksia 258. Helsinki: Suomalais-Ugrilainen Seura.</w:t>
      </w:r>
    </w:p>
    <w:p w14:paraId="05522A11" w14:textId="530196DB" w:rsidR="000121EA" w:rsidRPr="00FB4EFA" w:rsidRDefault="0000782F" w:rsidP="00AC2528">
      <w:pPr>
        <w:suppressAutoHyphens/>
        <w:spacing w:line="240" w:lineRule="auto"/>
        <w:ind w:left="426" w:hanging="426"/>
        <w:rPr>
          <w:lang w:val="fi-FI"/>
        </w:rPr>
      </w:pPr>
      <w:r w:rsidRPr="00FB4EFA">
        <w:rPr>
          <w:lang w:val="fi-FI"/>
        </w:rPr>
        <w:t>Saarikivi, Janne</w:t>
      </w:r>
      <w:r w:rsidR="00EF7024" w:rsidRPr="00FB4EFA">
        <w:rPr>
          <w:lang w:val="fi-FI"/>
        </w:rPr>
        <w:t>.</w:t>
      </w:r>
      <w:r w:rsidRPr="00FB4EFA">
        <w:rPr>
          <w:lang w:val="fi-FI"/>
        </w:rPr>
        <w:t xml:space="preserve"> 2014</w:t>
      </w:r>
      <w:r w:rsidR="00EF7024" w:rsidRPr="00FB4EFA">
        <w:rPr>
          <w:lang w:val="fi-FI"/>
        </w:rPr>
        <w:t>.</w:t>
      </w:r>
      <w:r w:rsidRPr="00FB4EFA">
        <w:rPr>
          <w:lang w:val="fi-FI"/>
        </w:rPr>
        <w:t xml:space="preserve"> Reconstruction of culture and ethnicity. Remarks on the methodology of historical-comparative linguistics (on the basis of Western Uralic languges</w:t>
      </w:r>
      <w:r w:rsidR="006576A1" w:rsidRPr="00FB4EFA">
        <w:rPr>
          <w:lang w:val="fi-FI"/>
        </w:rPr>
        <w:t>)</w:t>
      </w:r>
      <w:r w:rsidRPr="00FB4EFA">
        <w:rPr>
          <w:lang w:val="fi-FI"/>
        </w:rPr>
        <w:t xml:space="preserve">. </w:t>
      </w:r>
      <w:r w:rsidR="00EF7024" w:rsidRPr="00FB4EFA">
        <w:rPr>
          <w:lang w:val="fi-FI"/>
        </w:rPr>
        <w:t xml:space="preserve">Teoksessa </w:t>
      </w:r>
      <w:r w:rsidRPr="00FB4EFA">
        <w:rPr>
          <w:lang w:val="fi-FI"/>
        </w:rPr>
        <w:t>Eldar Heide &amp; Karen Bek-Pedersen</w:t>
      </w:r>
      <w:r w:rsidR="00EF7024" w:rsidRPr="00FB4EFA">
        <w:rPr>
          <w:lang w:val="fi-FI"/>
        </w:rPr>
        <w:t xml:space="preserve"> (toim.),</w:t>
      </w:r>
      <w:r w:rsidRPr="00FB4EFA">
        <w:rPr>
          <w:lang w:val="fi-FI"/>
        </w:rPr>
        <w:t xml:space="preserve"> </w:t>
      </w:r>
      <w:r w:rsidRPr="00FB4EFA">
        <w:rPr>
          <w:i/>
          <w:lang w:val="fi-FI"/>
        </w:rPr>
        <w:t xml:space="preserve">New Focus on Retrospective Methods. Resuming </w:t>
      </w:r>
      <w:r w:rsidR="00EF7024" w:rsidRPr="00FB4EFA">
        <w:rPr>
          <w:i/>
          <w:lang w:val="fi-FI"/>
        </w:rPr>
        <w:t>M</w:t>
      </w:r>
      <w:r w:rsidRPr="00FB4EFA">
        <w:rPr>
          <w:i/>
          <w:lang w:val="fi-FI"/>
        </w:rPr>
        <w:t xml:space="preserve">ethodological </w:t>
      </w:r>
      <w:r w:rsidR="00EF7024" w:rsidRPr="00FB4EFA">
        <w:rPr>
          <w:i/>
          <w:lang w:val="fi-FI"/>
        </w:rPr>
        <w:t>D</w:t>
      </w:r>
      <w:r w:rsidRPr="00FB4EFA">
        <w:rPr>
          <w:i/>
          <w:lang w:val="fi-FI"/>
        </w:rPr>
        <w:t>iscussions</w:t>
      </w:r>
      <w:r w:rsidR="00EF7024" w:rsidRPr="00FB4EFA">
        <w:rPr>
          <w:i/>
          <w:lang w:val="fi-FI"/>
        </w:rPr>
        <w:t>.</w:t>
      </w:r>
      <w:r w:rsidRPr="00FB4EFA">
        <w:rPr>
          <w:i/>
          <w:lang w:val="fi-FI"/>
        </w:rPr>
        <w:t xml:space="preserve"> </w:t>
      </w:r>
      <w:r w:rsidR="00EF7024" w:rsidRPr="00FB4EFA">
        <w:rPr>
          <w:i/>
          <w:lang w:val="fi-FI"/>
        </w:rPr>
        <w:t>C</w:t>
      </w:r>
      <w:r w:rsidRPr="00FB4EFA">
        <w:rPr>
          <w:i/>
          <w:lang w:val="fi-FI"/>
        </w:rPr>
        <w:t xml:space="preserve">ase </w:t>
      </w:r>
      <w:r w:rsidR="00EF7024" w:rsidRPr="00FB4EFA">
        <w:rPr>
          <w:i/>
          <w:lang w:val="fi-FI"/>
        </w:rPr>
        <w:t>S</w:t>
      </w:r>
      <w:r w:rsidRPr="00FB4EFA">
        <w:rPr>
          <w:i/>
          <w:lang w:val="fi-FI"/>
        </w:rPr>
        <w:t>tudies from Northern Europe</w:t>
      </w:r>
      <w:r w:rsidR="00EF7024" w:rsidRPr="00FB4EFA">
        <w:rPr>
          <w:iCs/>
          <w:lang w:val="fi-FI"/>
        </w:rPr>
        <w:t>,</w:t>
      </w:r>
      <w:r w:rsidRPr="00FB4EFA">
        <w:rPr>
          <w:i/>
          <w:lang w:val="fi-FI"/>
        </w:rPr>
        <w:t xml:space="preserve"> </w:t>
      </w:r>
      <w:r w:rsidR="00EF7024" w:rsidRPr="00FB4EFA">
        <w:rPr>
          <w:lang w:val="fi-FI"/>
        </w:rPr>
        <w:t>18</w:t>
      </w:r>
      <w:r w:rsidR="00C65823" w:rsidRPr="00FB4EFA">
        <w:rPr>
          <w:lang w:val="fi-FI"/>
        </w:rPr>
        <w:t>6–2</w:t>
      </w:r>
      <w:r w:rsidR="00EF7024" w:rsidRPr="00FB4EFA">
        <w:rPr>
          <w:lang w:val="fi-FI"/>
        </w:rPr>
        <w:t xml:space="preserve">16. </w:t>
      </w:r>
      <w:r w:rsidRPr="00FB4EFA">
        <w:rPr>
          <w:lang w:val="fi-FI"/>
        </w:rPr>
        <w:t>Folklore Fellows Communications 307. Helsinki: Suomalainen Tiedeakatemia</w:t>
      </w:r>
      <w:r w:rsidR="00614E7B" w:rsidRPr="00FB4EFA">
        <w:rPr>
          <w:lang w:val="fi-FI"/>
        </w:rPr>
        <w:t>.</w:t>
      </w:r>
    </w:p>
    <w:p w14:paraId="6215A146" w14:textId="7DD430A9" w:rsidR="0000782F" w:rsidRPr="00FB4EFA" w:rsidRDefault="0000782F" w:rsidP="00AC2528">
      <w:pPr>
        <w:suppressAutoHyphens/>
        <w:spacing w:line="240" w:lineRule="auto"/>
        <w:ind w:left="426" w:hanging="426"/>
        <w:rPr>
          <w:lang w:val="fi-FI"/>
        </w:rPr>
      </w:pPr>
      <w:r w:rsidRPr="00FB4EFA">
        <w:rPr>
          <w:lang w:val="fi-FI"/>
        </w:rPr>
        <w:t>Saarikivi, Janne</w:t>
      </w:r>
      <w:r w:rsidR="00EF7024" w:rsidRPr="00FB4EFA">
        <w:rPr>
          <w:lang w:val="fi-FI"/>
        </w:rPr>
        <w:t>.</w:t>
      </w:r>
      <w:r w:rsidRPr="00FB4EFA">
        <w:rPr>
          <w:lang w:val="fi-FI"/>
        </w:rPr>
        <w:t xml:space="preserve"> 201</w:t>
      </w:r>
      <w:r w:rsidR="00585A7F" w:rsidRPr="00FB4EFA">
        <w:rPr>
          <w:lang w:val="fi-FI"/>
        </w:rPr>
        <w:t>0</w:t>
      </w:r>
      <w:r w:rsidR="00EF7024" w:rsidRPr="00FB4EFA">
        <w:rPr>
          <w:lang w:val="fi-FI"/>
        </w:rPr>
        <w:t>.</w:t>
      </w:r>
      <w:r w:rsidRPr="00FB4EFA">
        <w:rPr>
          <w:lang w:val="fi-FI"/>
        </w:rPr>
        <w:t xml:space="preserve"> Ystävästä, uskosta ja vokaaleista. </w:t>
      </w:r>
      <w:r w:rsidR="00EF7024" w:rsidRPr="00FB4EFA">
        <w:rPr>
          <w:lang w:val="fi-FI"/>
        </w:rPr>
        <w:t xml:space="preserve">Teoksessa </w:t>
      </w:r>
      <w:r w:rsidRPr="00FB4EFA">
        <w:rPr>
          <w:lang w:val="fi-FI"/>
        </w:rPr>
        <w:t>Sirkka Saarinen, Kirsti Siitonen &amp; Tanja Vaittinen (toim.)</w:t>
      </w:r>
      <w:r w:rsidR="00EF7024" w:rsidRPr="00FB4EFA">
        <w:rPr>
          <w:lang w:val="fi-FI"/>
        </w:rPr>
        <w:t>,</w:t>
      </w:r>
      <w:r w:rsidRPr="00FB4EFA">
        <w:rPr>
          <w:lang w:val="fi-FI"/>
        </w:rPr>
        <w:t xml:space="preserve"> </w:t>
      </w:r>
      <w:r w:rsidRPr="00FB4EFA">
        <w:rPr>
          <w:i/>
          <w:lang w:val="fi-FI"/>
        </w:rPr>
        <w:t>Sanoista kirjakieliin. Juhlakirja Kaisa Häkkiselle 17.</w:t>
      </w:r>
      <w:r w:rsidR="00585A7F" w:rsidRPr="00FB4EFA">
        <w:rPr>
          <w:i/>
          <w:lang w:val="fi-FI"/>
        </w:rPr>
        <w:t xml:space="preserve"> marraskuuta </w:t>
      </w:r>
      <w:r w:rsidRPr="00FB4EFA">
        <w:rPr>
          <w:i/>
          <w:lang w:val="fi-FI"/>
        </w:rPr>
        <w:t>2010</w:t>
      </w:r>
      <w:r w:rsidR="00585A7F" w:rsidRPr="00FB4EFA">
        <w:rPr>
          <w:iCs/>
          <w:lang w:val="fi-FI"/>
        </w:rPr>
        <w:t xml:space="preserve">, </w:t>
      </w:r>
      <w:r w:rsidR="00585A7F" w:rsidRPr="00FB4EFA">
        <w:rPr>
          <w:lang w:val="fi-FI"/>
        </w:rPr>
        <w:t>24</w:t>
      </w:r>
      <w:r w:rsidR="00C65823" w:rsidRPr="00FB4EFA">
        <w:rPr>
          <w:lang w:val="fi-FI"/>
        </w:rPr>
        <w:t>9–2</w:t>
      </w:r>
      <w:r w:rsidR="00585A7F" w:rsidRPr="00FB4EFA">
        <w:rPr>
          <w:lang w:val="fi-FI"/>
        </w:rPr>
        <w:t>63.</w:t>
      </w:r>
      <w:r w:rsidRPr="00FB4EFA">
        <w:rPr>
          <w:i/>
          <w:lang w:val="fi-FI"/>
        </w:rPr>
        <w:t xml:space="preserve"> </w:t>
      </w:r>
      <w:r w:rsidRPr="00FB4EFA">
        <w:rPr>
          <w:lang w:val="fi-FI"/>
        </w:rPr>
        <w:t xml:space="preserve">Suomalais-Ugrilaisen Seuran </w:t>
      </w:r>
      <w:r w:rsidR="00585A7F" w:rsidRPr="00FB4EFA">
        <w:rPr>
          <w:lang w:val="fi-FI"/>
        </w:rPr>
        <w:t xml:space="preserve">Toimituksia </w:t>
      </w:r>
      <w:r w:rsidRPr="00FB4EFA">
        <w:rPr>
          <w:lang w:val="fi-FI"/>
        </w:rPr>
        <w:t>259. Helsinki: Suomalais-Ugrilainen Seura.</w:t>
      </w:r>
    </w:p>
    <w:p w14:paraId="72D8F7DB" w14:textId="2D0DB5B0" w:rsidR="0000782F" w:rsidRPr="00FB4EFA" w:rsidRDefault="0000782F" w:rsidP="00AC2528">
      <w:pPr>
        <w:suppressAutoHyphens/>
        <w:spacing w:line="240" w:lineRule="auto"/>
        <w:ind w:left="426" w:hanging="426"/>
        <w:rPr>
          <w:lang w:val="fi-FI"/>
        </w:rPr>
      </w:pPr>
      <w:r w:rsidRPr="00FB4EFA">
        <w:rPr>
          <w:lang w:val="fi-FI"/>
        </w:rPr>
        <w:lastRenderedPageBreak/>
        <w:t>Saarikivi, Janne</w:t>
      </w:r>
      <w:r w:rsidR="002544DA" w:rsidRPr="00FB4EFA">
        <w:rPr>
          <w:lang w:val="fi-FI"/>
        </w:rPr>
        <w:t>.</w:t>
      </w:r>
      <w:r w:rsidRPr="00FB4EFA">
        <w:rPr>
          <w:lang w:val="fi-FI"/>
        </w:rPr>
        <w:t xml:space="preserve"> 2017</w:t>
      </w:r>
      <w:r w:rsidR="002544DA" w:rsidRPr="00FB4EFA">
        <w:rPr>
          <w:lang w:val="fi-FI"/>
        </w:rPr>
        <w:t>.</w:t>
      </w:r>
      <w:r w:rsidRPr="00FB4EFA">
        <w:rPr>
          <w:lang w:val="fi-FI"/>
        </w:rPr>
        <w:t xml:space="preserve"> Spread of Finnic Pre-Christian anthroponyms in toponyms. </w:t>
      </w:r>
      <w:r w:rsidR="00585A7F" w:rsidRPr="00FB4EFA">
        <w:rPr>
          <w:lang w:val="fi-FI"/>
        </w:rPr>
        <w:t xml:space="preserve">Teoksessa </w:t>
      </w:r>
      <w:r w:rsidRPr="00FB4EFA">
        <w:rPr>
          <w:lang w:val="fi-FI"/>
        </w:rPr>
        <w:t>Terhi Ainiala &amp; Janne Saarikivi (</w:t>
      </w:r>
      <w:r w:rsidR="00585A7F" w:rsidRPr="00FB4EFA">
        <w:rPr>
          <w:lang w:val="fi-FI"/>
        </w:rPr>
        <w:t>toim</w:t>
      </w:r>
      <w:r w:rsidRPr="00FB4EFA">
        <w:rPr>
          <w:lang w:val="fi-FI"/>
        </w:rPr>
        <w:t>.)</w:t>
      </w:r>
      <w:r w:rsidR="00585A7F" w:rsidRPr="00FB4EFA">
        <w:rPr>
          <w:lang w:val="fi-FI"/>
        </w:rPr>
        <w:t>,</w:t>
      </w:r>
      <w:r w:rsidRPr="00FB4EFA">
        <w:rPr>
          <w:lang w:val="fi-FI"/>
        </w:rPr>
        <w:t xml:space="preserve"> </w:t>
      </w:r>
      <w:r w:rsidRPr="00FB4EFA">
        <w:rPr>
          <w:i/>
          <w:lang w:val="fi-FI"/>
        </w:rPr>
        <w:t>Personal name systems in Finnic and beyond</w:t>
      </w:r>
      <w:r w:rsidR="00585A7F" w:rsidRPr="00FB4EFA">
        <w:rPr>
          <w:iCs/>
          <w:lang w:val="fi-FI"/>
        </w:rPr>
        <w:t xml:space="preserve">, </w:t>
      </w:r>
      <w:r w:rsidR="00585A7F" w:rsidRPr="00FB4EFA">
        <w:rPr>
          <w:lang w:val="fi-FI"/>
        </w:rPr>
        <w:t>1</w:t>
      </w:r>
      <w:r w:rsidR="00C65823" w:rsidRPr="00FB4EFA">
        <w:rPr>
          <w:lang w:val="fi-FI"/>
        </w:rPr>
        <w:t>3–3</w:t>
      </w:r>
      <w:r w:rsidR="00585A7F" w:rsidRPr="00FB4EFA">
        <w:rPr>
          <w:lang w:val="fi-FI"/>
        </w:rPr>
        <w:t>2</w:t>
      </w:r>
      <w:r w:rsidRPr="00FB4EFA">
        <w:rPr>
          <w:i/>
          <w:lang w:val="fi-FI"/>
        </w:rPr>
        <w:t>.</w:t>
      </w:r>
      <w:r w:rsidRPr="00FB4EFA">
        <w:rPr>
          <w:lang w:val="fi-FI"/>
        </w:rPr>
        <w:t xml:space="preserve"> Uralica Helsingiensia 12. Helsinki: Suomalais-Ugrilainen Seura.</w:t>
      </w:r>
    </w:p>
    <w:p w14:paraId="08A98F50" w14:textId="4F64EE17" w:rsidR="0000782F" w:rsidRPr="00FB4EFA" w:rsidRDefault="0000782F" w:rsidP="00AC2528">
      <w:pPr>
        <w:keepLines/>
        <w:suppressAutoHyphens/>
        <w:spacing w:line="240" w:lineRule="auto"/>
        <w:ind w:left="425" w:hanging="425"/>
        <w:rPr>
          <w:lang w:val="fi-FI"/>
        </w:rPr>
      </w:pPr>
      <w:r w:rsidRPr="00FB4EFA">
        <w:rPr>
          <w:lang w:val="fi-FI"/>
        </w:rPr>
        <w:t>Saarikivi, Janne</w:t>
      </w:r>
      <w:r w:rsidR="002544DA" w:rsidRPr="00FB4EFA">
        <w:rPr>
          <w:lang w:val="fi-FI"/>
        </w:rPr>
        <w:t>.</w:t>
      </w:r>
      <w:r w:rsidRPr="00FB4EFA">
        <w:rPr>
          <w:lang w:val="fi-FI"/>
        </w:rPr>
        <w:t xml:space="preserve"> 2018</w:t>
      </w:r>
      <w:r w:rsidR="002544DA" w:rsidRPr="00FB4EFA">
        <w:rPr>
          <w:lang w:val="fi-FI"/>
        </w:rPr>
        <w:t>.</w:t>
      </w:r>
      <w:r w:rsidRPr="00FB4EFA">
        <w:rPr>
          <w:lang w:val="fi-FI"/>
        </w:rPr>
        <w:t xml:space="preserve"> Finnic and other west Uralic borrowings in Permian. </w:t>
      </w:r>
      <w:r w:rsidR="00585A7F" w:rsidRPr="00FB4EFA">
        <w:rPr>
          <w:lang w:val="fi-FI"/>
        </w:rPr>
        <w:t xml:space="preserve">Teoksessa </w:t>
      </w:r>
      <w:r w:rsidRPr="00FB4EFA">
        <w:rPr>
          <w:lang w:val="fi-FI"/>
        </w:rPr>
        <w:t>Sampsa Holopainen &amp; Janne Saarikivi (</w:t>
      </w:r>
      <w:r w:rsidR="00585A7F" w:rsidRPr="00FB4EFA">
        <w:rPr>
          <w:lang w:val="fi-FI"/>
        </w:rPr>
        <w:t>toim</w:t>
      </w:r>
      <w:r w:rsidRPr="00FB4EFA">
        <w:rPr>
          <w:lang w:val="fi-FI"/>
        </w:rPr>
        <w:t>.)</w:t>
      </w:r>
      <w:r w:rsidR="00585A7F" w:rsidRPr="00FB4EFA">
        <w:rPr>
          <w:lang w:val="fi-FI"/>
        </w:rPr>
        <w:t>,</w:t>
      </w:r>
      <w:r w:rsidRPr="00FB4EFA">
        <w:rPr>
          <w:lang w:val="fi-FI"/>
        </w:rPr>
        <w:t xml:space="preserve"> </w:t>
      </w:r>
      <w:r w:rsidRPr="00FB4EFA">
        <w:rPr>
          <w:rFonts w:cs="Times New Roman"/>
          <w:i/>
          <w:lang w:val="fi-FI"/>
        </w:rPr>
        <w:t>Π</w:t>
      </w:r>
      <w:r w:rsidRPr="00FB4EFA">
        <w:rPr>
          <w:rFonts w:eastAsia="Cambria" w:cs="Times New Roman"/>
          <w:i/>
          <w:lang w:val="fi-FI"/>
        </w:rPr>
        <w:t>ε</w:t>
      </w:r>
      <w:r w:rsidRPr="00FB4EFA">
        <w:rPr>
          <w:rFonts w:cs="Times New Roman"/>
          <w:i/>
          <w:lang w:val="fi-FI"/>
        </w:rPr>
        <w:t>ρ</w:t>
      </w:r>
      <w:r w:rsidRPr="00FB4EFA">
        <w:rPr>
          <w:rFonts w:eastAsia="Times New Roman" w:cs="Times New Roman"/>
          <w:i/>
          <w:lang w:val="fi-FI"/>
        </w:rPr>
        <w:t>ὶ</w:t>
      </w:r>
      <w:r w:rsidRPr="00FB4EFA">
        <w:rPr>
          <w:rFonts w:cs="Times New Roman"/>
          <w:i/>
          <w:lang w:val="fi-FI"/>
        </w:rPr>
        <w:t xml:space="preserve"> </w:t>
      </w:r>
      <w:r w:rsidRPr="00FB4EFA">
        <w:rPr>
          <w:rFonts w:eastAsia="Times New Roman" w:cs="Times New Roman"/>
          <w:i/>
          <w:lang w:val="fi-FI"/>
        </w:rPr>
        <w:t>ὀ</w:t>
      </w:r>
      <w:r w:rsidRPr="00FB4EFA">
        <w:rPr>
          <w:rFonts w:cs="Times New Roman"/>
          <w:i/>
          <w:lang w:val="fi-FI"/>
        </w:rPr>
        <w:t>ρθ</w:t>
      </w:r>
      <w:r w:rsidRPr="00FB4EFA">
        <w:rPr>
          <w:rFonts w:eastAsia="Cambria" w:cs="Times New Roman"/>
          <w:i/>
          <w:lang w:val="fi-FI"/>
        </w:rPr>
        <w:t>ότητος</w:t>
      </w:r>
      <w:r w:rsidRPr="00FB4EFA">
        <w:rPr>
          <w:rFonts w:cs="Times New Roman"/>
          <w:i/>
          <w:lang w:val="fi-FI"/>
        </w:rPr>
        <w:t xml:space="preserve"> </w:t>
      </w:r>
      <w:r w:rsidRPr="00FB4EFA">
        <w:rPr>
          <w:rFonts w:eastAsia="Times New Roman" w:cs="Times New Roman"/>
          <w:i/>
          <w:lang w:val="fi-FI"/>
        </w:rPr>
        <w:t>ἐτύ</w:t>
      </w:r>
      <w:r w:rsidRPr="00FB4EFA">
        <w:rPr>
          <w:rFonts w:cs="Times New Roman"/>
          <w:i/>
          <w:lang w:val="fi-FI"/>
        </w:rPr>
        <w:t>μω</w:t>
      </w:r>
      <w:r w:rsidRPr="00FB4EFA">
        <w:rPr>
          <w:rFonts w:eastAsia="Cambria" w:cs="Times New Roman"/>
          <w:i/>
          <w:lang w:val="fi-FI"/>
        </w:rPr>
        <w:t>ν</w:t>
      </w:r>
      <w:r w:rsidRPr="00FB4EFA">
        <w:rPr>
          <w:i/>
          <w:lang w:val="fi-FI"/>
        </w:rPr>
        <w:t>. Uusiutuva uralilainen etymologia</w:t>
      </w:r>
      <w:r w:rsidR="002544DA" w:rsidRPr="00FB4EFA">
        <w:rPr>
          <w:i/>
          <w:lang w:val="fi-FI"/>
        </w:rPr>
        <w:t xml:space="preserve">, </w:t>
      </w:r>
      <w:r w:rsidR="002544DA" w:rsidRPr="00FB4EFA">
        <w:rPr>
          <w:lang w:val="fi-FI"/>
        </w:rPr>
        <w:t>26</w:t>
      </w:r>
      <w:r w:rsidR="00C65823" w:rsidRPr="00FB4EFA">
        <w:rPr>
          <w:lang w:val="fi-FI"/>
        </w:rPr>
        <w:t>9–3</w:t>
      </w:r>
      <w:r w:rsidR="002544DA" w:rsidRPr="00FB4EFA">
        <w:rPr>
          <w:lang w:val="fi-FI"/>
        </w:rPr>
        <w:t>56.</w:t>
      </w:r>
      <w:r w:rsidRPr="00FB4EFA">
        <w:rPr>
          <w:i/>
          <w:lang w:val="fi-FI"/>
        </w:rPr>
        <w:t xml:space="preserve"> </w:t>
      </w:r>
      <w:r w:rsidRPr="00FB4EFA">
        <w:rPr>
          <w:lang w:val="fi-FI"/>
        </w:rPr>
        <w:t>Uralica Helsingiensia 11. Helsinki: Suomalais-Ugrilainen Seura.</w:t>
      </w:r>
    </w:p>
    <w:p w14:paraId="0FDF789F" w14:textId="363C01FF" w:rsidR="00DB7971" w:rsidRPr="00FB4EFA" w:rsidRDefault="002544DA" w:rsidP="00AC2528">
      <w:pPr>
        <w:keepLines/>
        <w:suppressAutoHyphens/>
        <w:spacing w:line="240" w:lineRule="auto"/>
        <w:ind w:left="425" w:hanging="425"/>
        <w:rPr>
          <w:lang w:val="fi-FI"/>
        </w:rPr>
      </w:pPr>
      <w:r w:rsidRPr="00FB4EFA">
        <w:rPr>
          <w:lang w:val="fi-FI"/>
        </w:rPr>
        <w:t>Saarikivi, Janne. 202</w:t>
      </w:r>
      <w:r w:rsidR="00DB7971" w:rsidRPr="00FB4EFA">
        <w:rPr>
          <w:lang w:val="fi-FI"/>
        </w:rPr>
        <w:t>0</w:t>
      </w:r>
      <w:r w:rsidRPr="00FB4EFA">
        <w:rPr>
          <w:lang w:val="fi-FI"/>
        </w:rPr>
        <w:t>.</w:t>
      </w:r>
      <w:r w:rsidR="00DB7971" w:rsidRPr="00FB4EFA">
        <w:rPr>
          <w:lang w:val="fi-FI"/>
        </w:rPr>
        <w:t xml:space="preserve"> Kyllä kiitos. Muutaman yleisen sanan etymologiasta (</w:t>
      </w:r>
      <w:r w:rsidR="00DB7971" w:rsidRPr="00FB4EFA">
        <w:rPr>
          <w:i/>
          <w:iCs/>
          <w:lang w:val="fi-FI"/>
        </w:rPr>
        <w:t>kyllä</w:t>
      </w:r>
      <w:r w:rsidR="00DB7971" w:rsidRPr="00FB4EFA">
        <w:rPr>
          <w:lang w:val="fi-FI"/>
        </w:rPr>
        <w:t xml:space="preserve">, </w:t>
      </w:r>
      <w:r w:rsidR="00DB7971" w:rsidRPr="00FB4EFA">
        <w:rPr>
          <w:i/>
          <w:iCs/>
          <w:lang w:val="fi-FI"/>
        </w:rPr>
        <w:t>kiittää</w:t>
      </w:r>
      <w:r w:rsidR="00DB7971" w:rsidRPr="00FB4EFA">
        <w:rPr>
          <w:lang w:val="fi-FI"/>
        </w:rPr>
        <w:t xml:space="preserve">, </w:t>
      </w:r>
      <w:r w:rsidR="00DB7971" w:rsidRPr="00FB4EFA">
        <w:rPr>
          <w:i/>
          <w:iCs/>
          <w:lang w:val="fi-FI"/>
        </w:rPr>
        <w:t>kirja</w:t>
      </w:r>
      <w:r w:rsidR="00DB7971" w:rsidRPr="00FB4EFA">
        <w:rPr>
          <w:lang w:val="fi-FI"/>
        </w:rPr>
        <w:t xml:space="preserve">, </w:t>
      </w:r>
      <w:r w:rsidR="00DB7971" w:rsidRPr="00FB4EFA">
        <w:rPr>
          <w:i/>
          <w:iCs/>
          <w:lang w:val="fi-FI"/>
        </w:rPr>
        <w:t>vero</w:t>
      </w:r>
      <w:r w:rsidR="00DB7971" w:rsidRPr="00FB4EFA">
        <w:rPr>
          <w:lang w:val="fi-FI"/>
        </w:rPr>
        <w:t xml:space="preserve"> ynnä muuta pientä. In Janne Saarikivi, Susanna Virtanen, Sampsa Holopainen (</w:t>
      </w:r>
      <w:r w:rsidR="001E6714" w:rsidRPr="00FB4EFA">
        <w:rPr>
          <w:lang w:val="fi-FI"/>
        </w:rPr>
        <w:t>toim</w:t>
      </w:r>
      <w:r w:rsidR="00DB7971" w:rsidRPr="00FB4EFA">
        <w:rPr>
          <w:lang w:val="fi-FI"/>
        </w:rPr>
        <w:t xml:space="preserve">.), </w:t>
      </w:r>
      <w:r w:rsidR="00DB7971" w:rsidRPr="00FB4EFA">
        <w:rPr>
          <w:i/>
          <w:iCs/>
          <w:lang w:val="fi-FI"/>
        </w:rPr>
        <w:t>Ёмас сымыӈ нэ̄кве во̄ртур э̄тпост самын патум. Scripta miscellanea in honorem Ulla-Maija Forsberg</w:t>
      </w:r>
      <w:r w:rsidR="00DB7971" w:rsidRPr="00FB4EFA">
        <w:rPr>
          <w:lang w:val="fi-FI"/>
        </w:rPr>
        <w:t>, 272–283. Suomalais-Ugrilaisen Seuran Toimituksia 275. Helsinki: Suomalais-Ugrilainen Seura.</w:t>
      </w:r>
    </w:p>
    <w:p w14:paraId="5D0232B2" w14:textId="65DE69DB" w:rsidR="000121EA" w:rsidRPr="00FB4EFA" w:rsidRDefault="0000782F" w:rsidP="00AC2528">
      <w:pPr>
        <w:suppressAutoHyphens/>
        <w:spacing w:line="240" w:lineRule="auto"/>
        <w:ind w:left="426" w:hanging="426"/>
        <w:rPr>
          <w:lang w:val="fi-FI"/>
        </w:rPr>
      </w:pPr>
      <w:r w:rsidRPr="00FB4EFA">
        <w:rPr>
          <w:lang w:val="fi-FI"/>
        </w:rPr>
        <w:t>Setälä, Emil Nestor</w:t>
      </w:r>
      <w:r w:rsidR="00BE6AB4" w:rsidRPr="00FB4EFA">
        <w:rPr>
          <w:lang w:val="fi-FI"/>
        </w:rPr>
        <w:t>.</w:t>
      </w:r>
      <w:r w:rsidRPr="00FB4EFA">
        <w:rPr>
          <w:lang w:val="fi-FI"/>
        </w:rPr>
        <w:t xml:space="preserve"> 1910</w:t>
      </w:r>
      <w:r w:rsidR="00BE6AB4" w:rsidRPr="00FB4EFA">
        <w:rPr>
          <w:lang w:val="fi-FI"/>
        </w:rPr>
        <w:t>.</w:t>
      </w:r>
      <w:r w:rsidR="00FE7673" w:rsidRPr="00FB4EFA">
        <w:rPr>
          <w:lang w:val="fi-FI"/>
        </w:rPr>
        <w:t xml:space="preserve"> Kullervo-Hamlet. Ein sagenvergleichender versuch. IV. Über die personennamen der Kullervolieder. </w:t>
      </w:r>
      <w:r w:rsidR="00FE7673" w:rsidRPr="00FB4EFA">
        <w:rPr>
          <w:i/>
          <w:iCs/>
          <w:lang w:val="fi-FI"/>
        </w:rPr>
        <w:t>Finnisch-Ugrische Forschungen</w:t>
      </w:r>
      <w:r w:rsidR="00FE7673" w:rsidRPr="00FB4EFA">
        <w:rPr>
          <w:lang w:val="fi-FI"/>
        </w:rPr>
        <w:t xml:space="preserve"> 10. 44–127.</w:t>
      </w:r>
    </w:p>
    <w:p w14:paraId="49B9F922" w14:textId="3C2470A5" w:rsidR="0000782F" w:rsidRPr="00FB4EFA" w:rsidRDefault="0000782F" w:rsidP="00AC2528">
      <w:pPr>
        <w:suppressAutoHyphens/>
        <w:spacing w:line="240" w:lineRule="auto"/>
        <w:ind w:left="426" w:hanging="426"/>
        <w:rPr>
          <w:lang w:val="fi-FI"/>
        </w:rPr>
      </w:pPr>
      <w:r w:rsidRPr="00FB4EFA">
        <w:rPr>
          <w:lang w:val="fi-FI"/>
        </w:rPr>
        <w:t>Siikala, Anna-Leena</w:t>
      </w:r>
      <w:r w:rsidR="00324208" w:rsidRPr="00FB4EFA">
        <w:rPr>
          <w:lang w:val="fi-FI"/>
        </w:rPr>
        <w:t>.</w:t>
      </w:r>
      <w:r w:rsidRPr="00FB4EFA">
        <w:rPr>
          <w:lang w:val="fi-FI"/>
        </w:rPr>
        <w:t xml:space="preserve"> 2012</w:t>
      </w:r>
      <w:r w:rsidR="00324208" w:rsidRPr="00FB4EFA">
        <w:rPr>
          <w:lang w:val="fi-FI"/>
        </w:rPr>
        <w:t>.</w:t>
      </w:r>
      <w:r w:rsidRPr="00FB4EFA">
        <w:rPr>
          <w:lang w:val="fi-FI"/>
        </w:rPr>
        <w:t xml:space="preserve"> </w:t>
      </w:r>
      <w:r w:rsidRPr="00FB4EFA">
        <w:rPr>
          <w:i/>
          <w:lang w:val="fi-FI"/>
        </w:rPr>
        <w:t xml:space="preserve">Itämerensuomalainen mytologia. </w:t>
      </w:r>
      <w:r w:rsidRPr="00FB4EFA">
        <w:rPr>
          <w:lang w:val="fi-FI"/>
        </w:rPr>
        <w:t xml:space="preserve">Suomalaisen </w:t>
      </w:r>
      <w:r w:rsidR="00324208" w:rsidRPr="00FB4EFA">
        <w:rPr>
          <w:lang w:val="fi-FI"/>
        </w:rPr>
        <w:t>K</w:t>
      </w:r>
      <w:r w:rsidRPr="00FB4EFA">
        <w:rPr>
          <w:lang w:val="fi-FI"/>
        </w:rPr>
        <w:t xml:space="preserve">irjallisuuden </w:t>
      </w:r>
      <w:r w:rsidR="00324208" w:rsidRPr="00FB4EFA">
        <w:rPr>
          <w:lang w:val="fi-FI"/>
        </w:rPr>
        <w:t>S</w:t>
      </w:r>
      <w:r w:rsidRPr="00FB4EFA">
        <w:rPr>
          <w:lang w:val="fi-FI"/>
        </w:rPr>
        <w:t xml:space="preserve">euran </w:t>
      </w:r>
      <w:r w:rsidR="00324208" w:rsidRPr="00FB4EFA">
        <w:rPr>
          <w:lang w:val="fi-FI"/>
        </w:rPr>
        <w:t>T</w:t>
      </w:r>
      <w:r w:rsidRPr="00FB4EFA">
        <w:rPr>
          <w:lang w:val="fi-FI"/>
        </w:rPr>
        <w:t xml:space="preserve">oimituksia 1388. Helsinki: </w:t>
      </w:r>
      <w:r w:rsidR="00F9255F" w:rsidRPr="00FB4EFA">
        <w:rPr>
          <w:lang w:val="fi-FI"/>
        </w:rPr>
        <w:t>SKS</w:t>
      </w:r>
      <w:r w:rsidRPr="00FB4EFA">
        <w:rPr>
          <w:lang w:val="fi-FI"/>
        </w:rPr>
        <w:t>.</w:t>
      </w:r>
    </w:p>
    <w:p w14:paraId="75267AC4" w14:textId="6AD551BA" w:rsidR="00324208" w:rsidRPr="00FB4EFA" w:rsidRDefault="00324208" w:rsidP="00AC2528">
      <w:pPr>
        <w:keepLines/>
        <w:suppressAutoHyphens/>
        <w:spacing w:line="240" w:lineRule="auto"/>
        <w:ind w:left="425" w:hanging="425"/>
        <w:rPr>
          <w:rFonts w:eastAsia="Times New Roman" w:cs="Charis SIL"/>
          <w:lang w:val="fi-FI"/>
        </w:rPr>
      </w:pPr>
      <w:r w:rsidRPr="00FB4EFA">
        <w:rPr>
          <w:rFonts w:eastAsia="Times New Roman" w:cs="Charis SIL"/>
          <w:lang w:val="fi-FI"/>
        </w:rPr>
        <w:t xml:space="preserve">SKES = </w:t>
      </w:r>
      <w:r w:rsidR="009E157F" w:rsidRPr="00FB4EFA">
        <w:rPr>
          <w:rFonts w:eastAsia="Times New Roman" w:cs="Charis SIL"/>
          <w:lang w:val="fi-FI"/>
        </w:rPr>
        <w:t xml:space="preserve">Y. H. </w:t>
      </w:r>
      <w:r w:rsidRPr="00FB4EFA">
        <w:rPr>
          <w:rFonts w:eastAsia="Times New Roman" w:cs="Charis SIL"/>
          <w:lang w:val="fi-FI"/>
        </w:rPr>
        <w:t xml:space="preserve">Toivonen, Erkki Itkonen, Aulis J. Joki &amp; Reino Peltola (toim.). 1955–1979. </w:t>
      </w:r>
      <w:r w:rsidRPr="00FB4EFA">
        <w:rPr>
          <w:rFonts w:eastAsia="Times New Roman" w:cs="Charis SIL"/>
          <w:i/>
          <w:lang w:val="fi-FI"/>
        </w:rPr>
        <w:t>Suomen kielen etymologinen sanakirja</w:t>
      </w:r>
      <w:r w:rsidRPr="00FB4EFA">
        <w:rPr>
          <w:rFonts w:eastAsia="Times New Roman" w:cs="Charis SIL"/>
          <w:lang w:val="fi-FI"/>
        </w:rPr>
        <w:t xml:space="preserve"> I–VII. Lexica Societatis Fenno-Ugricae 12. Helsinki: Suomalais-Ugrilainen Seura.</w:t>
      </w:r>
    </w:p>
    <w:p w14:paraId="10EB99A6" w14:textId="03E1921B" w:rsidR="0000782F" w:rsidRPr="00FB4EFA" w:rsidRDefault="0000782F" w:rsidP="00AC2528">
      <w:pPr>
        <w:suppressAutoHyphens/>
        <w:spacing w:line="240" w:lineRule="auto"/>
        <w:ind w:left="426" w:hanging="426"/>
        <w:rPr>
          <w:lang w:val="fi-FI"/>
        </w:rPr>
      </w:pPr>
      <w:r w:rsidRPr="00FB4EFA">
        <w:rPr>
          <w:lang w:val="fi-FI"/>
        </w:rPr>
        <w:t>SMS = Maija Länsimäki, Heikki Hurtta (</w:t>
      </w:r>
      <w:r w:rsidR="00324208" w:rsidRPr="00FB4EFA">
        <w:rPr>
          <w:lang w:val="fi-FI"/>
        </w:rPr>
        <w:t>toim.</w:t>
      </w:r>
      <w:r w:rsidRPr="00FB4EFA">
        <w:rPr>
          <w:lang w:val="fi-FI"/>
        </w:rPr>
        <w:t>)</w:t>
      </w:r>
      <w:r w:rsidR="00324208" w:rsidRPr="00FB4EFA">
        <w:rPr>
          <w:lang w:val="fi-FI"/>
        </w:rPr>
        <w:t>.</w:t>
      </w:r>
      <w:r w:rsidRPr="00FB4EFA">
        <w:rPr>
          <w:lang w:val="fi-FI"/>
        </w:rPr>
        <w:t xml:space="preserve"> </w:t>
      </w:r>
      <w:r w:rsidRPr="00FB4EFA">
        <w:rPr>
          <w:i/>
          <w:lang w:val="fi-FI"/>
        </w:rPr>
        <w:t>Suomen murteiden sanakirja.</w:t>
      </w:r>
      <w:r w:rsidRPr="00FB4EFA">
        <w:rPr>
          <w:lang w:val="fi-FI"/>
        </w:rPr>
        <w:t xml:space="preserve"> </w:t>
      </w:r>
      <w:hyperlink r:id="rId403">
        <w:r w:rsidRPr="00FB4EFA">
          <w:rPr>
            <w:u w:val="single"/>
            <w:lang w:val="fi-FI"/>
          </w:rPr>
          <w:t>kaino.kotus.fi/sms/</w:t>
        </w:r>
      </w:hyperlink>
      <w:r w:rsidR="00324208" w:rsidRPr="00FB4EFA">
        <w:rPr>
          <w:lang w:val="fi-FI"/>
        </w:rPr>
        <w:t>.</w:t>
      </w:r>
    </w:p>
    <w:p w14:paraId="397233DF" w14:textId="397F8466" w:rsidR="0000782F" w:rsidRPr="00FB4EFA" w:rsidRDefault="0000782F" w:rsidP="00AC2528">
      <w:pPr>
        <w:suppressAutoHyphens/>
        <w:spacing w:line="240" w:lineRule="auto"/>
        <w:ind w:left="426" w:hanging="426"/>
        <w:rPr>
          <w:lang w:val="fi-FI"/>
        </w:rPr>
      </w:pPr>
      <w:r w:rsidRPr="00FB4EFA">
        <w:rPr>
          <w:lang w:val="fi-FI"/>
        </w:rPr>
        <w:t>SPN = Sirkka Paikkala (</w:t>
      </w:r>
      <w:r w:rsidR="006B1070" w:rsidRPr="00FB4EFA">
        <w:rPr>
          <w:lang w:val="fi-FI"/>
        </w:rPr>
        <w:t>toim.</w:t>
      </w:r>
      <w:r w:rsidRPr="00FB4EFA">
        <w:rPr>
          <w:lang w:val="fi-FI"/>
        </w:rPr>
        <w:t>).</w:t>
      </w:r>
      <w:r w:rsidR="006B1070" w:rsidRPr="00FB4EFA">
        <w:rPr>
          <w:lang w:val="fi-FI"/>
        </w:rPr>
        <w:t xml:space="preserve"> 2007.</w:t>
      </w:r>
      <w:r w:rsidRPr="00FB4EFA">
        <w:rPr>
          <w:lang w:val="fi-FI"/>
        </w:rPr>
        <w:t xml:space="preserve"> Suomalainen </w:t>
      </w:r>
      <w:r w:rsidR="006B1070" w:rsidRPr="00FB4EFA">
        <w:rPr>
          <w:lang w:val="fi-FI"/>
        </w:rPr>
        <w:t>paikannimikirja</w:t>
      </w:r>
      <w:r w:rsidRPr="00FB4EFA">
        <w:rPr>
          <w:lang w:val="fi-FI"/>
        </w:rPr>
        <w:t>.</w:t>
      </w:r>
      <w:r w:rsidR="006B1070" w:rsidRPr="00FB4EFA">
        <w:rPr>
          <w:lang w:val="fi-FI"/>
        </w:rPr>
        <w:t xml:space="preserve"> Kotimaisten kielten tutkimuskeskuksen julkaisuja 146.</w:t>
      </w:r>
      <w:r w:rsidRPr="00FB4EFA">
        <w:rPr>
          <w:lang w:val="fi-FI"/>
        </w:rPr>
        <w:t xml:space="preserve"> </w:t>
      </w:r>
      <w:r w:rsidR="006B1070" w:rsidRPr="00FB4EFA">
        <w:rPr>
          <w:lang w:val="fi-FI"/>
        </w:rPr>
        <w:t xml:space="preserve">Helsinki: </w:t>
      </w:r>
      <w:r w:rsidRPr="00FB4EFA">
        <w:rPr>
          <w:lang w:val="fi-FI"/>
        </w:rPr>
        <w:t>Kotimaisten kielten tutkimuskeskus.</w:t>
      </w:r>
    </w:p>
    <w:p w14:paraId="15955BD6" w14:textId="08A172E6" w:rsidR="006B1070" w:rsidRPr="00FB4EFA" w:rsidRDefault="006B1070" w:rsidP="00AC2528">
      <w:pPr>
        <w:suppressAutoHyphens/>
        <w:spacing w:line="240" w:lineRule="auto"/>
        <w:ind w:left="426" w:hanging="426"/>
        <w:rPr>
          <w:rFonts w:cs="Times New Roman"/>
          <w:lang w:val="fi-FI"/>
        </w:rPr>
      </w:pPr>
      <w:r w:rsidRPr="00FB4EFA">
        <w:rPr>
          <w:rFonts w:cs="Times New Roman"/>
          <w:lang w:val="fi-FI"/>
        </w:rPr>
        <w:t xml:space="preserve">SSA = </w:t>
      </w:r>
      <w:r w:rsidR="00054818" w:rsidRPr="00FB4EFA">
        <w:rPr>
          <w:rFonts w:cs="Times New Roman"/>
          <w:lang w:val="fi-FI"/>
        </w:rPr>
        <w:t xml:space="preserve">Erkki </w:t>
      </w:r>
      <w:r w:rsidRPr="00FB4EFA">
        <w:rPr>
          <w:rFonts w:cs="Times New Roman"/>
          <w:lang w:val="fi-FI"/>
        </w:rPr>
        <w:t xml:space="preserve">Itkonen &amp; Ulla-Maija Kulonen (toim.). 1992–2000. </w:t>
      </w:r>
      <w:r w:rsidRPr="00FB4EFA">
        <w:rPr>
          <w:rFonts w:cs="Times New Roman"/>
          <w:i/>
          <w:iCs/>
          <w:lang w:val="fi-FI"/>
        </w:rPr>
        <w:t>Suomen sanojen alkuperä. Etymologinen sanakirja</w:t>
      </w:r>
      <w:r w:rsidR="00F4627D" w:rsidRPr="00FB4EFA">
        <w:rPr>
          <w:rFonts w:cs="Times New Roman"/>
          <w:i/>
          <w:iCs/>
          <w:lang w:val="fi-FI"/>
        </w:rPr>
        <w:t>.</w:t>
      </w:r>
      <w:r w:rsidRPr="00FB4EFA">
        <w:rPr>
          <w:rFonts w:cs="Times New Roman"/>
          <w:i/>
          <w:iCs/>
          <w:lang w:val="fi-FI"/>
        </w:rPr>
        <w:t xml:space="preserve"> </w:t>
      </w:r>
      <w:r w:rsidR="00F4627D" w:rsidRPr="00FB4EFA">
        <w:rPr>
          <w:rFonts w:cs="Times New Roman"/>
          <w:lang w:val="fi-FI"/>
        </w:rPr>
        <w:t>1</w:t>
      </w:r>
      <w:r w:rsidRPr="00FB4EFA">
        <w:rPr>
          <w:rFonts w:cs="Times New Roman"/>
          <w:lang w:val="fi-FI"/>
        </w:rPr>
        <w:t>–</w:t>
      </w:r>
      <w:r w:rsidR="00F4627D" w:rsidRPr="00FB4EFA">
        <w:rPr>
          <w:rFonts w:cs="Times New Roman"/>
          <w:lang w:val="fi-FI"/>
        </w:rPr>
        <w:t>3</w:t>
      </w:r>
      <w:r w:rsidRPr="00FB4EFA">
        <w:rPr>
          <w:rFonts w:cs="Times New Roman"/>
          <w:lang w:val="fi-FI"/>
        </w:rPr>
        <w:t xml:space="preserve">. Helsinki: </w:t>
      </w:r>
      <w:bookmarkStart w:id="110" w:name="_Hlk104919485"/>
      <w:r w:rsidRPr="00FB4EFA">
        <w:rPr>
          <w:rFonts w:cs="Times New Roman"/>
          <w:lang w:val="fi-FI"/>
        </w:rPr>
        <w:t>SKS &amp; Kotimaisten kielten tutkimuskeskus.</w:t>
      </w:r>
      <w:bookmarkEnd w:id="110"/>
    </w:p>
    <w:p w14:paraId="26690D21" w14:textId="3798350C" w:rsidR="00803FC7" w:rsidRPr="00FB4EFA" w:rsidRDefault="00A14352" w:rsidP="00AC2528">
      <w:pPr>
        <w:suppressAutoHyphens/>
        <w:spacing w:line="240" w:lineRule="auto"/>
        <w:ind w:left="426" w:hanging="426"/>
        <w:rPr>
          <w:rFonts w:cs="Charis SIL"/>
          <w:lang w:val="fi-FI"/>
        </w:rPr>
      </w:pPr>
      <w:r w:rsidRPr="00FB4EFA">
        <w:rPr>
          <w:rFonts w:cs="Charis SIL"/>
          <w:lang w:val="fi-FI"/>
        </w:rPr>
        <w:t xml:space="preserve">De </w:t>
      </w:r>
      <w:r w:rsidR="00803FC7" w:rsidRPr="00FB4EFA">
        <w:rPr>
          <w:rFonts w:cs="Charis SIL"/>
          <w:lang w:val="fi-FI"/>
        </w:rPr>
        <w:t xml:space="preserve">Vaan, Michiel. 2008. </w:t>
      </w:r>
      <w:r w:rsidR="00803FC7" w:rsidRPr="00FB4EFA">
        <w:rPr>
          <w:rFonts w:cs="Charis SIL"/>
          <w:i/>
          <w:iCs/>
          <w:lang w:val="fi-FI"/>
        </w:rPr>
        <w:t>Etymological dictionary of Latin and the other Italic languages</w:t>
      </w:r>
      <w:r w:rsidR="00803FC7" w:rsidRPr="00FB4EFA">
        <w:rPr>
          <w:rFonts w:cs="Charis SIL"/>
          <w:lang w:val="fi-FI"/>
        </w:rPr>
        <w:t>. Leiden Indo-European Etymological Dictionary Series 7. Leiden / Boston: Brill.</w:t>
      </w:r>
    </w:p>
    <w:p w14:paraId="4E67C6A7" w14:textId="6E13D6B5" w:rsidR="00803FC7" w:rsidRPr="00FB4EFA" w:rsidRDefault="0000782F" w:rsidP="00AC2528">
      <w:pPr>
        <w:suppressAutoHyphens/>
        <w:spacing w:line="240" w:lineRule="auto"/>
        <w:ind w:left="426" w:hanging="426"/>
        <w:rPr>
          <w:lang w:val="fi-FI"/>
        </w:rPr>
      </w:pPr>
      <w:r w:rsidRPr="00FB4EFA">
        <w:rPr>
          <w:lang w:val="fi-FI"/>
        </w:rPr>
        <w:t>Vasenkari, Maria</w:t>
      </w:r>
      <w:r w:rsidR="00BE6AB4" w:rsidRPr="00FB4EFA">
        <w:rPr>
          <w:lang w:val="fi-FI"/>
        </w:rPr>
        <w:t>.</w:t>
      </w:r>
      <w:r w:rsidRPr="00FB4EFA">
        <w:rPr>
          <w:lang w:val="fi-FI"/>
        </w:rPr>
        <w:t xml:space="preserve"> 2021</w:t>
      </w:r>
      <w:r w:rsidR="00BE6AB4" w:rsidRPr="00FB4EFA">
        <w:rPr>
          <w:lang w:val="fi-FI"/>
        </w:rPr>
        <w:t>.</w:t>
      </w:r>
      <w:r w:rsidRPr="00FB4EFA">
        <w:rPr>
          <w:lang w:val="fi-FI"/>
        </w:rPr>
        <w:t xml:space="preserve"> Akateemikko Kaisa Häkkinen ja suomen kielen sanojen arvoitus. Aurora 1/ 2021</w:t>
      </w:r>
      <w:r w:rsidR="00FE638A" w:rsidRPr="00FB4EFA">
        <w:rPr>
          <w:lang w:val="fi-FI"/>
        </w:rPr>
        <w:t>.</w:t>
      </w:r>
      <w:r w:rsidRPr="00FB4EFA">
        <w:rPr>
          <w:lang w:val="fi-FI"/>
        </w:rPr>
        <w:t xml:space="preserve"> </w:t>
      </w:r>
      <w:r w:rsidR="00FE638A" w:rsidRPr="00FB4EFA">
        <w:rPr>
          <w:lang w:val="fi-FI"/>
        </w:rPr>
        <w:t xml:space="preserve">Turku: Turun yliopisto. </w:t>
      </w:r>
      <w:hyperlink r:id="rId404" w:history="1">
        <w:r w:rsidR="00FE638A" w:rsidRPr="00FB4EFA">
          <w:rPr>
            <w:rStyle w:val="Hyperlink"/>
            <w:color w:val="auto"/>
            <w:lang w:val="fi-FI"/>
          </w:rPr>
          <w:t>www.auroralehti.fi/akateemikko-kaisa-hakkinen-ja-suomen-kielen-sanojen-arvoitus/</w:t>
        </w:r>
      </w:hyperlink>
      <w:r w:rsidRPr="00FB4EFA">
        <w:rPr>
          <w:lang w:val="fi-FI"/>
        </w:rPr>
        <w:t>.</w:t>
      </w:r>
    </w:p>
    <w:p w14:paraId="651BA66D" w14:textId="29435983" w:rsidR="00A96E85" w:rsidRPr="00FB4EFA" w:rsidRDefault="00A14352" w:rsidP="00AC2528">
      <w:pPr>
        <w:suppressAutoHyphens/>
        <w:spacing w:line="240" w:lineRule="auto"/>
        <w:ind w:left="426" w:hanging="426"/>
        <w:rPr>
          <w:lang w:val="fi-FI"/>
        </w:rPr>
      </w:pPr>
      <w:r w:rsidRPr="00FB4EFA">
        <w:rPr>
          <w:lang w:val="fi-FI"/>
        </w:rPr>
        <w:t xml:space="preserve">De </w:t>
      </w:r>
      <w:hyperlink r:id="rId405">
        <w:r w:rsidR="0000782F" w:rsidRPr="00FB4EFA">
          <w:rPr>
            <w:lang w:val="fi-FI"/>
          </w:rPr>
          <w:t>Vries, Jan</w:t>
        </w:r>
      </w:hyperlink>
      <w:r w:rsidR="00803FC7" w:rsidRPr="00FB4EFA">
        <w:rPr>
          <w:lang w:val="fi-FI"/>
        </w:rPr>
        <w:t>.</w:t>
      </w:r>
      <w:r w:rsidR="0000782F" w:rsidRPr="00FB4EFA">
        <w:rPr>
          <w:lang w:val="fi-FI"/>
        </w:rPr>
        <w:t xml:space="preserve"> 1962</w:t>
      </w:r>
      <w:r w:rsidR="00BE6AB4" w:rsidRPr="00FB4EFA">
        <w:rPr>
          <w:lang w:val="fi-FI"/>
        </w:rPr>
        <w:t>.</w:t>
      </w:r>
      <w:r w:rsidR="0000782F" w:rsidRPr="00FB4EFA">
        <w:rPr>
          <w:lang w:val="fi-FI"/>
        </w:rPr>
        <w:t xml:space="preserve"> </w:t>
      </w:r>
      <w:r w:rsidR="0000782F" w:rsidRPr="00FB4EFA">
        <w:rPr>
          <w:i/>
          <w:lang w:val="fi-FI"/>
        </w:rPr>
        <w:t xml:space="preserve">Altnordisches Etymologisches Worterbuch. </w:t>
      </w:r>
      <w:r w:rsidR="0000782F" w:rsidRPr="00FB4EFA">
        <w:rPr>
          <w:lang w:val="fi-FI"/>
        </w:rPr>
        <w:t>Leiden: Brill.</w:t>
      </w:r>
    </w:p>
    <w:p w14:paraId="33C784AF" w14:textId="77777777" w:rsidR="00803FC7" w:rsidRPr="00FB4EFA" w:rsidRDefault="00803FC7" w:rsidP="00402EF4">
      <w:pPr>
        <w:ind w:left="426" w:hanging="426"/>
        <w:rPr>
          <w:lang w:val="fi-FI"/>
        </w:rPr>
      </w:pPr>
    </w:p>
    <w:p w14:paraId="2F51E30E" w14:textId="67132913" w:rsidR="0000782F" w:rsidRPr="00FB4EFA" w:rsidRDefault="0000782F" w:rsidP="00402EF4">
      <w:pPr>
        <w:spacing w:after="160"/>
        <w:jc w:val="center"/>
        <w:rPr>
          <w:smallCaps/>
          <w:sz w:val="48"/>
          <w:szCs w:val="48"/>
          <w:lang w:val="fi-FI"/>
        </w:rPr>
        <w:sectPr w:rsidR="0000782F" w:rsidRPr="00FB4EFA" w:rsidSect="00A14352">
          <w:footnotePr>
            <w:numRestart w:val="eachSect"/>
          </w:footnotePr>
          <w:type w:val="continuous"/>
          <w:pgSz w:w="9180" w:h="13302"/>
          <w:pgMar w:top="779" w:right="1133" w:bottom="1132" w:left="1133" w:header="744" w:footer="720" w:gutter="0"/>
          <w:cols w:space="720"/>
          <w:titlePg/>
        </w:sectPr>
      </w:pPr>
    </w:p>
    <w:p w14:paraId="73805A7D" w14:textId="77777777" w:rsidR="00A96E85" w:rsidRPr="00FB4EFA" w:rsidRDefault="00A96E85" w:rsidP="00AF0CAD">
      <w:pPr>
        <w:pStyle w:val="Authors"/>
        <w:spacing w:line="259" w:lineRule="auto"/>
        <w:rPr>
          <w:color w:val="auto"/>
          <w:lang w:val="fi-FI"/>
        </w:rPr>
      </w:pPr>
      <w:r w:rsidRPr="00FB4EFA">
        <w:rPr>
          <w:color w:val="auto"/>
          <w:lang w:val="fi-FI"/>
        </w:rPr>
        <w:lastRenderedPageBreak/>
        <w:t xml:space="preserve">Ksenia Shagal, Merit Niinemägi, </w:t>
      </w:r>
      <w:r w:rsidRPr="00FB4EFA">
        <w:rPr>
          <w:color w:val="auto"/>
          <w:lang w:val="fi-FI"/>
        </w:rPr>
        <w:br/>
        <w:t>Luan Hammer, Kitti Vojter, Mátyás Béres</w:t>
      </w:r>
    </w:p>
    <w:p w14:paraId="2D3675FD" w14:textId="77777777" w:rsidR="008F73FD" w:rsidRPr="00FB4EFA" w:rsidRDefault="008F73FD" w:rsidP="00402EF4">
      <w:pPr>
        <w:jc w:val="right"/>
        <w:rPr>
          <w:rFonts w:ascii="Gill Sans MT" w:eastAsia="Gill Sans MT" w:hAnsi="Gill Sans MT" w:cs="Gill Sans MT"/>
          <w:sz w:val="32"/>
          <w:lang w:val="fi-FI"/>
        </w:rPr>
      </w:pPr>
    </w:p>
    <w:p w14:paraId="04870D3D" w14:textId="77777777" w:rsidR="008F73FD" w:rsidRPr="00FB4EFA" w:rsidRDefault="00A96E85" w:rsidP="002752AF">
      <w:pPr>
        <w:pStyle w:val="Heading1"/>
        <w:spacing w:line="259" w:lineRule="auto"/>
        <w:ind w:right="74"/>
        <w:rPr>
          <w:color w:val="auto"/>
        </w:rPr>
      </w:pPr>
      <w:bookmarkStart w:id="111" w:name="_Toc87547015"/>
      <w:bookmarkStart w:id="112" w:name="_Ref90999674"/>
      <w:r w:rsidRPr="00FB4EFA">
        <w:rPr>
          <w:color w:val="auto"/>
        </w:rPr>
        <w:t>Gendered job titles in genderless languages:</w:t>
      </w:r>
      <w:r w:rsidRPr="00FB4EFA">
        <w:rPr>
          <w:color w:val="auto"/>
        </w:rPr>
        <w:br/>
        <w:t>A case of Finno-Ugric</w:t>
      </w:r>
      <w:bookmarkEnd w:id="111"/>
      <w:bookmarkEnd w:id="112"/>
    </w:p>
    <w:p w14:paraId="2D5EEB76" w14:textId="1C787448" w:rsidR="00A96E85" w:rsidRPr="00FB4EFA" w:rsidRDefault="00A96E85" w:rsidP="002752AF">
      <w:pPr>
        <w:pStyle w:val="Heading2"/>
        <w:numPr>
          <w:ilvl w:val="0"/>
          <w:numId w:val="20"/>
        </w:numPr>
        <w:spacing w:line="259" w:lineRule="auto"/>
        <w:rPr>
          <w:color w:val="auto"/>
        </w:rPr>
      </w:pPr>
      <w:r w:rsidRPr="00FB4EFA">
        <w:rPr>
          <w:color w:val="auto"/>
        </w:rPr>
        <w:t>Introduction</w:t>
      </w:r>
    </w:p>
    <w:p w14:paraId="274A6935" w14:textId="64BC382F" w:rsidR="00EC74AD" w:rsidRPr="00FB4EFA" w:rsidRDefault="00EC74AD" w:rsidP="00AF0CAD">
      <w:pPr>
        <w:rPr>
          <w:lang w:val="en-US"/>
        </w:rPr>
      </w:pPr>
      <w:r w:rsidRPr="00FB4EFA">
        <w:rPr>
          <w:lang w:val="en-US"/>
        </w:rPr>
        <w:t xml:space="preserve">One of the grammatical features shared by all Finno-Ugric languages is that they lack grammatical gender. That is, they do not show verbal and nominal agreement in gender, they lack gender distinctions in pronouns, etc. There </w:t>
      </w:r>
      <w:r w:rsidR="00917AA2" w:rsidRPr="00FB4EFA">
        <w:rPr>
          <w:lang w:val="en-US"/>
        </w:rPr>
        <w:t>is</w:t>
      </w:r>
      <w:r w:rsidRPr="00FB4EFA">
        <w:rPr>
          <w:lang w:val="en-US"/>
        </w:rPr>
        <w:t xml:space="preserve">, however, a lexical domain in which gender distinctions are often expressed in a fairly regular and systematic way, namely, job titles. Indeed, many, possibly all, Finno-Ugric languages have gendered variants of job titles that form minimal pairs, such as </w:t>
      </w:r>
      <w:r w:rsidRPr="00FB4EFA">
        <w:rPr>
          <w:i/>
          <w:iCs/>
          <w:lang w:val="en-US"/>
        </w:rPr>
        <w:t>kuningas</w:t>
      </w:r>
      <w:r w:rsidRPr="00FB4EFA">
        <w:rPr>
          <w:lang w:val="en-US"/>
        </w:rPr>
        <w:t xml:space="preserve"> ‘king’ – </w:t>
      </w:r>
      <w:r w:rsidRPr="00FB4EFA">
        <w:rPr>
          <w:i/>
          <w:iCs/>
          <w:lang w:val="en-US"/>
        </w:rPr>
        <w:t>kuningatar</w:t>
      </w:r>
      <w:r w:rsidRPr="00FB4EFA">
        <w:rPr>
          <w:lang w:val="en-US"/>
        </w:rPr>
        <w:t xml:space="preserve"> ‘queen’ in Finnish, or </w:t>
      </w:r>
      <w:r w:rsidRPr="00FB4EFA">
        <w:rPr>
          <w:i/>
          <w:iCs/>
          <w:lang w:val="en-US"/>
        </w:rPr>
        <w:t>színész</w:t>
      </w:r>
      <w:r w:rsidRPr="00FB4EFA">
        <w:rPr>
          <w:lang w:val="en-US"/>
        </w:rPr>
        <w:t xml:space="preserve"> ‘actor’ – </w:t>
      </w:r>
      <w:r w:rsidRPr="00FB4EFA">
        <w:rPr>
          <w:i/>
          <w:iCs/>
          <w:lang w:val="en-US"/>
        </w:rPr>
        <w:t>színészn</w:t>
      </w:r>
      <w:r w:rsidRPr="00FB4EFA">
        <w:rPr>
          <w:rFonts w:cs="Cambria"/>
          <w:i/>
          <w:iCs/>
          <w:lang w:val="en-US"/>
        </w:rPr>
        <w:t>ő</w:t>
      </w:r>
      <w:r w:rsidRPr="00FB4EFA">
        <w:rPr>
          <w:i/>
          <w:iCs/>
          <w:lang w:val="en-US"/>
        </w:rPr>
        <w:t xml:space="preserve"> </w:t>
      </w:r>
      <w:r w:rsidRPr="00FB4EFA">
        <w:rPr>
          <w:lang w:val="en-US"/>
        </w:rPr>
        <w:t>‘actress’ in Hungarian.</w:t>
      </w:r>
    </w:p>
    <w:p w14:paraId="6CB2DD6F" w14:textId="7C4092E9" w:rsidR="00EC74AD" w:rsidRPr="00FB4EFA" w:rsidRDefault="00EC74AD" w:rsidP="002752AF">
      <w:pPr>
        <w:ind w:firstLine="720"/>
        <w:rPr>
          <w:lang w:val="en-US"/>
        </w:rPr>
      </w:pPr>
      <w:r w:rsidRPr="00FB4EFA">
        <w:rPr>
          <w:lang w:val="en-US"/>
        </w:rPr>
        <w:t xml:space="preserve">Despite the lack of gender distinctions in the grammar, most gender distinctions in the lexicon are expressed by means of the native language material, such as the derivational suffix </w:t>
      </w:r>
      <w:r w:rsidRPr="00FB4EFA">
        <w:rPr>
          <w:i/>
          <w:iCs/>
          <w:lang w:val="en-US"/>
        </w:rPr>
        <w:noBreakHyphen/>
        <w:t>tar</w:t>
      </w:r>
      <w:r w:rsidRPr="00FB4EFA">
        <w:rPr>
          <w:lang w:val="en-US"/>
        </w:rPr>
        <w:t xml:space="preserve"> in Finnic languages or the noun </w:t>
      </w:r>
      <w:r w:rsidRPr="00FB4EFA">
        <w:rPr>
          <w:i/>
          <w:iCs/>
          <w:lang w:val="en-US"/>
        </w:rPr>
        <w:t>n</w:t>
      </w:r>
      <w:r w:rsidRPr="00FB4EFA">
        <w:rPr>
          <w:rFonts w:cs="Cambria"/>
          <w:i/>
          <w:iCs/>
          <w:lang w:val="en-US"/>
        </w:rPr>
        <w:t>ő</w:t>
      </w:r>
      <w:r w:rsidRPr="00FB4EFA">
        <w:rPr>
          <w:i/>
          <w:iCs/>
          <w:lang w:val="en-US"/>
        </w:rPr>
        <w:t xml:space="preserve"> </w:t>
      </w:r>
      <w:r w:rsidRPr="00FB4EFA">
        <w:rPr>
          <w:lang w:val="en-US"/>
        </w:rPr>
        <w:t xml:space="preserve">‘woman’ in Hungarian illustrated </w:t>
      </w:r>
      <w:r w:rsidR="00917AA2" w:rsidRPr="00FB4EFA">
        <w:rPr>
          <w:lang w:val="en-US"/>
        </w:rPr>
        <w:t xml:space="preserve">in the examples </w:t>
      </w:r>
      <w:r w:rsidRPr="00FB4EFA">
        <w:rPr>
          <w:lang w:val="en-US"/>
        </w:rPr>
        <w:t xml:space="preserve">above. However, some of the available distinctions are the result of massive borrowings from languages with grammatical gender. For instance, Meadow Mari has borrowed separate words for ‘salesman’ and ‘saleswoman’ from Russian, </w:t>
      </w:r>
      <w:r w:rsidRPr="00FB4EFA">
        <w:rPr>
          <w:rFonts w:cs="Cambria"/>
          <w:i/>
          <w:iCs/>
          <w:lang w:val="fi-FI"/>
        </w:rPr>
        <w:t>продавец</w:t>
      </w:r>
      <w:r w:rsidRPr="00FB4EFA">
        <w:rPr>
          <w:i/>
          <w:iCs/>
          <w:lang w:val="en-US"/>
        </w:rPr>
        <w:t xml:space="preserve"> </w:t>
      </w:r>
      <w:r w:rsidRPr="00FB4EFA">
        <w:rPr>
          <w:lang w:val="en-US"/>
        </w:rPr>
        <w:t xml:space="preserve">and </w:t>
      </w:r>
      <w:r w:rsidRPr="00FB4EFA">
        <w:rPr>
          <w:rFonts w:cs="Cambria"/>
          <w:i/>
          <w:iCs/>
          <w:lang w:val="fi-FI"/>
        </w:rPr>
        <w:t>продавщица</w:t>
      </w:r>
      <w:r w:rsidRPr="00FB4EFA">
        <w:rPr>
          <w:lang w:val="en-US"/>
        </w:rPr>
        <w:t>/</w:t>
      </w:r>
      <w:r w:rsidRPr="00FB4EFA">
        <w:rPr>
          <w:rFonts w:cs="Cambria"/>
          <w:i/>
          <w:iCs/>
          <w:lang w:val="fi-FI"/>
        </w:rPr>
        <w:t>продавщице</w:t>
      </w:r>
      <w:r w:rsidRPr="00FB4EFA">
        <w:rPr>
          <w:lang w:val="en-US"/>
        </w:rPr>
        <w:t>, as well as many other gendered job titles.</w:t>
      </w:r>
    </w:p>
    <w:p w14:paraId="24E5DA98" w14:textId="7A01B9B9" w:rsidR="00EC74AD" w:rsidRPr="00FB4EFA" w:rsidRDefault="00EC74AD" w:rsidP="002752AF">
      <w:pPr>
        <w:ind w:firstLine="720"/>
        <w:rPr>
          <w:lang w:val="en-US"/>
        </w:rPr>
      </w:pPr>
      <w:r w:rsidRPr="00FB4EFA">
        <w:rPr>
          <w:lang w:val="en-US"/>
        </w:rPr>
        <w:t>This article presents a pilot study of the ways in which languages without grammatical gender can express gender in lexical items. It focuses on six Finno-Ugric languages</w:t>
      </w:r>
      <w:r w:rsidR="00917AA2" w:rsidRPr="00FB4EFA">
        <w:rPr>
          <w:lang w:val="en-US"/>
        </w:rPr>
        <w:t xml:space="preserve"> –</w:t>
      </w:r>
      <w:r w:rsidRPr="00FB4EFA">
        <w:rPr>
          <w:lang w:val="en-US"/>
        </w:rPr>
        <w:t xml:space="preserve"> three national languages (Estonian, Finnish, and Hungarian) and three smaller languages (Aanaar Saami, Meadow Mari, and Northern Mansi)</w:t>
      </w:r>
      <w:r w:rsidR="00917AA2" w:rsidRPr="00FB4EFA">
        <w:rPr>
          <w:lang w:val="en-US"/>
        </w:rPr>
        <w:t xml:space="preserve"> –</w:t>
      </w:r>
      <w:r w:rsidRPr="00FB4EFA">
        <w:rPr>
          <w:lang w:val="en-US"/>
        </w:rPr>
        <w:t xml:space="preserve"> that differ in their genealogical affiliation, contact history, and sociolinguistic status. We investigate data from native speakers and available corpora in order to discover all the strategies that these languages use for expressing gender in job titles, reveal patterns in their use and formulate generalizations concerning their distribution.</w:t>
      </w:r>
    </w:p>
    <w:p w14:paraId="20FFC905" w14:textId="3950BE81" w:rsidR="00EC74AD" w:rsidRPr="00FB4EFA" w:rsidRDefault="00EC74AD" w:rsidP="002752AF">
      <w:pPr>
        <w:ind w:firstLine="720"/>
        <w:rPr>
          <w:lang w:val="en-US"/>
        </w:rPr>
      </w:pPr>
      <w:r w:rsidRPr="00FB4EFA">
        <w:rPr>
          <w:lang w:val="en-US"/>
        </w:rPr>
        <w:lastRenderedPageBreak/>
        <w:t>A variety of earlier studies have addressed the representation of gender in Hungarian (</w:t>
      </w:r>
      <w:r w:rsidR="00466236" w:rsidRPr="00FB4EFA">
        <w:rPr>
          <w:lang w:val="en-US"/>
        </w:rPr>
        <w:t>e.g., </w:t>
      </w:r>
      <w:r w:rsidRPr="00FB4EFA">
        <w:rPr>
          <w:lang w:val="en-US"/>
        </w:rPr>
        <w:t>Pete 2000, Nagy &amp; Patti 2006, Kegyes 2008, Vasvári 2015), Finnish (</w:t>
      </w:r>
      <w:r w:rsidR="00466236" w:rsidRPr="00FB4EFA">
        <w:rPr>
          <w:lang w:val="en-US"/>
        </w:rPr>
        <w:t>e.g., </w:t>
      </w:r>
      <w:r w:rsidRPr="00FB4EFA">
        <w:rPr>
          <w:lang w:val="en-US"/>
        </w:rPr>
        <w:t>Tainio 2001, Engelberg 2002, Tainio 2006), and Estonian (</w:t>
      </w:r>
      <w:r w:rsidR="00466236" w:rsidRPr="00FB4EFA">
        <w:rPr>
          <w:lang w:val="en-US"/>
        </w:rPr>
        <w:t>e.g., </w:t>
      </w:r>
      <w:r w:rsidRPr="00FB4EFA">
        <w:rPr>
          <w:lang w:val="en-US"/>
        </w:rPr>
        <w:t>Ross 1996, Olt 2004, Puna 2005, Hasselblatt 2015). Aanaar Saami, Meadow Mari and Northern Mansi, on the other hand, have so far not been subject to research on the expression of gender. An overview of strategies that these languages use to express gender in job titles is, therefore, one of the major contributions of this paper. In addition, the paper aims to contribute to developing connections between Finno-Ugric studies and gender linguistics as outlined in Laakso (2011).</w:t>
      </w:r>
    </w:p>
    <w:p w14:paraId="0FCF8974" w14:textId="311CCC76" w:rsidR="00EC74AD" w:rsidRPr="00FB4EFA" w:rsidRDefault="00EC74AD" w:rsidP="002752AF">
      <w:pPr>
        <w:ind w:firstLine="720"/>
        <w:rPr>
          <w:lang w:val="en-US"/>
        </w:rPr>
      </w:pPr>
      <w:r w:rsidRPr="00FB4EFA">
        <w:rPr>
          <w:lang w:val="en-US"/>
        </w:rPr>
        <w:t>The paper is organized as follows</w:t>
      </w:r>
      <w:r w:rsidR="00917AA2" w:rsidRPr="00FB4EFA">
        <w:rPr>
          <w:lang w:val="en-US"/>
        </w:rPr>
        <w:t>:</w:t>
      </w:r>
      <w:r w:rsidRPr="00FB4EFA">
        <w:rPr>
          <w:lang w:val="en-US"/>
        </w:rPr>
        <w:t xml:space="preserve"> Section 2 presents our methodology and gives an overview of the data used in the study. In</w:t>
      </w:r>
      <w:r w:rsidRPr="00FB4EFA">
        <w:rPr>
          <w:rFonts w:asciiTheme="minorHAnsi" w:hAnsiTheme="minorHAnsi"/>
          <w:lang w:val="en-US"/>
        </w:rPr>
        <w:t> </w:t>
      </w:r>
      <w:r w:rsidRPr="00FB4EFA">
        <w:rPr>
          <w:lang w:val="en-US"/>
        </w:rPr>
        <w:t xml:space="preserve">Section 3, we discuss seven strategies of gender expression that we were </w:t>
      </w:r>
      <w:r w:rsidR="00AC2528" w:rsidRPr="00FB4EFA">
        <w:rPr>
          <w:lang w:val="en-US"/>
        </w:rPr>
        <w:br/>
      </w:r>
      <w:r w:rsidRPr="00FB4EFA">
        <w:rPr>
          <w:lang w:val="en-US"/>
        </w:rPr>
        <w:t xml:space="preserve">able to find in the languages under investigation. In Section 4, we </w:t>
      </w:r>
      <w:r w:rsidR="00AC2528" w:rsidRPr="00FB4EFA">
        <w:rPr>
          <w:lang w:val="en-US"/>
        </w:rPr>
        <w:br/>
      </w:r>
      <w:r w:rsidRPr="00FB4EFA">
        <w:rPr>
          <w:lang w:val="en-US"/>
        </w:rPr>
        <w:t>summarize and discuss our findings and formulate potential questions for further studies.</w:t>
      </w:r>
    </w:p>
    <w:p w14:paraId="27D8E94E" w14:textId="4B649B16" w:rsidR="00EC74AD" w:rsidRPr="00FB4EFA" w:rsidRDefault="00EC74AD" w:rsidP="002752AF">
      <w:pPr>
        <w:pStyle w:val="Heading2"/>
        <w:numPr>
          <w:ilvl w:val="0"/>
          <w:numId w:val="20"/>
        </w:numPr>
        <w:tabs>
          <w:tab w:val="right" w:pos="6914"/>
        </w:tabs>
        <w:spacing w:line="259" w:lineRule="auto"/>
        <w:rPr>
          <w:color w:val="auto"/>
        </w:rPr>
      </w:pPr>
      <w:r w:rsidRPr="00FB4EFA">
        <w:rPr>
          <w:color w:val="auto"/>
        </w:rPr>
        <w:t>Methodology and data</w:t>
      </w:r>
    </w:p>
    <w:p w14:paraId="477B17B9" w14:textId="18FEFFCE" w:rsidR="00EC74AD" w:rsidRPr="00FB4EFA" w:rsidRDefault="00EC74AD" w:rsidP="002752AF">
      <w:pPr>
        <w:rPr>
          <w:lang w:val="en-US"/>
        </w:rPr>
      </w:pPr>
      <w:r w:rsidRPr="00FB4EFA">
        <w:rPr>
          <w:lang w:val="en-US"/>
        </w:rPr>
        <w:t xml:space="preserve">Since this is a pilot study, we aimed at using a variety of methods, which would allow us to capture the diversity of the existing strategies. In order to give the process some structure and make it more uniform across the languages, we compiled a list of jobs to serve as a starting point. The list contained 25 jobs which met the following conditions: (a) they were common enough for the respective titles to be familiar to native speakers and to be well represented in the available corpora; (b) they differed </w:t>
      </w:r>
      <w:r w:rsidR="00AC2528" w:rsidRPr="00FB4EFA">
        <w:rPr>
          <w:lang w:val="en-US"/>
        </w:rPr>
        <w:br/>
      </w:r>
      <w:r w:rsidRPr="00FB4EFA">
        <w:rPr>
          <w:lang w:val="en-US"/>
        </w:rPr>
        <w:t xml:space="preserve">in their status, that is, in how often they are normally carried out </w:t>
      </w:r>
      <w:r w:rsidR="00AC2528" w:rsidRPr="00FB4EFA">
        <w:rPr>
          <w:lang w:val="en-US"/>
        </w:rPr>
        <w:br/>
      </w:r>
      <w:r w:rsidRPr="00FB4EFA">
        <w:rPr>
          <w:lang w:val="en-US"/>
        </w:rPr>
        <w:t xml:space="preserve">by men and women, and in whether they are typically seen as </w:t>
      </w:r>
      <w:r w:rsidR="00AC2528" w:rsidRPr="00FB4EFA">
        <w:rPr>
          <w:lang w:val="en-US"/>
        </w:rPr>
        <w:br/>
      </w:r>
      <w:r w:rsidRPr="00FB4EFA">
        <w:rPr>
          <w:lang w:val="en-US"/>
        </w:rPr>
        <w:t>masculine or feminine.</w:t>
      </w:r>
    </w:p>
    <w:p w14:paraId="5849EB7F" w14:textId="4B8B971C" w:rsidR="00EC74AD" w:rsidRPr="00FB4EFA" w:rsidRDefault="00EC74AD" w:rsidP="002752AF">
      <w:pPr>
        <w:ind w:firstLine="720"/>
        <w:rPr>
          <w:lang w:val="en-US"/>
        </w:rPr>
      </w:pPr>
      <w:r w:rsidRPr="00FB4EFA">
        <w:rPr>
          <w:lang w:val="en-US"/>
        </w:rPr>
        <w:t>These 25 jobs were then used as a basis for a questionnaire. For each job, we found three photos</w:t>
      </w:r>
      <w:r w:rsidR="00917AA2" w:rsidRPr="00FB4EFA">
        <w:rPr>
          <w:lang w:val="en-US"/>
        </w:rPr>
        <w:t>,</w:t>
      </w:r>
      <w:r w:rsidRPr="00FB4EFA">
        <w:rPr>
          <w:lang w:val="en-US"/>
        </w:rPr>
        <w:t xml:space="preserve"> two of which showed a woman and a man doing the job, and the third featured a person whose sex was unclear (</w:t>
      </w:r>
      <w:r w:rsidR="00466236" w:rsidRPr="00FB4EFA">
        <w:rPr>
          <w:lang w:val="en-US"/>
        </w:rPr>
        <w:t>e.g., </w:t>
      </w:r>
      <w:r w:rsidRPr="00FB4EFA">
        <w:rPr>
          <w:lang w:val="en-US"/>
        </w:rPr>
        <w:t>a person shown from the back) or somehow not emphasized.</w:t>
      </w:r>
      <w:r w:rsidRPr="00FB4EFA">
        <w:rPr>
          <w:vertAlign w:val="superscript"/>
        </w:rPr>
        <w:footnoteReference w:id="146"/>
      </w:r>
      <w:r w:rsidRPr="00FB4EFA">
        <w:rPr>
          <w:lang w:val="en-US"/>
        </w:rPr>
        <w:t xml:space="preserve"> In </w:t>
      </w:r>
      <w:r w:rsidRPr="00FB4EFA">
        <w:rPr>
          <w:lang w:val="en-US"/>
        </w:rPr>
        <w:lastRenderedPageBreak/>
        <w:t xml:space="preserve">order to avoid interference with other languages, we did not use translation equivalents of job titles in the questionnaire and had descriptions of the jobs instead. For example, the description we used to elicit possible expressions for ‘teacher’ was ‘a person whose job is teaching, especially in a school’ (the descriptions were mostly based on Lea &amp; Bradbery 2020). For each job, the respondents were asked to list all the words and expressions that they could use to refer to this job in general and all the words and expressions that they could use to refer to a woman and a man doing the job. Additionally, we included five concepts that are not job titles but are likely to have regularly expressed gendered variants, namely, female and male friend, female and male guest, hostess and host, widow and widower, Frenchwoman and Frenchman. The questionnaire was available in two languages, English and Russian, so the speakers could choose one according to their language skills. It was implemented as a Google Form that potential respondents could access online. Both versions of the questionnaire are available at </w:t>
      </w:r>
      <w:hyperlink r:id="rId406" w:history="1">
        <w:r w:rsidRPr="00FB4EFA">
          <w:rPr>
            <w:u w:val="single"/>
          </w:rPr>
          <w:t>tinyurl.com/fujobs</w:t>
        </w:r>
      </w:hyperlink>
      <w:r w:rsidRPr="00FB4EFA">
        <w:rPr>
          <w:lang w:val="en-US"/>
        </w:rPr>
        <w:t>.</w:t>
      </w:r>
    </w:p>
    <w:p w14:paraId="26DC586E" w14:textId="77777777" w:rsidR="00EC74AD" w:rsidRPr="00FB4EFA" w:rsidRDefault="00EC74AD" w:rsidP="002752AF">
      <w:pPr>
        <w:ind w:firstLine="720"/>
        <w:rPr>
          <w:lang w:val="en-GB"/>
        </w:rPr>
      </w:pPr>
      <w:r w:rsidRPr="00FB4EFA">
        <w:rPr>
          <w:lang w:val="en-US"/>
        </w:rPr>
        <w:t>As we did not intend to perform any statistical analysis based on the data we received from the speakers, our goal was simply to collect at least a couple of responses per language, so that we could get a general idea of what strategies are available. In addition to the members of our team who speak some Finno-Ugric languages themselves, we received responses from a number of native speakers: five speakers of Finnish, five speakers of Hungarian, three speakers of Mari, two speakers of Northern Mansi, and two speakers of Estonian. In addition, we consulted one native speaker of Aanaar Saami who did not fill in the online questionnaire.</w:t>
      </w:r>
    </w:p>
    <w:p w14:paraId="6E394003" w14:textId="77777777" w:rsidR="00EC74AD" w:rsidRPr="00FB4EFA" w:rsidRDefault="00EC74AD" w:rsidP="002752AF">
      <w:pPr>
        <w:spacing w:after="240"/>
        <w:ind w:firstLine="720"/>
        <w:rPr>
          <w:lang w:val="en-US"/>
        </w:rPr>
      </w:pPr>
      <w:r w:rsidRPr="00FB4EFA">
        <w:rPr>
          <w:lang w:val="en-US"/>
        </w:rPr>
        <w:t>Once we identified the strategies available in each language, we carried out a corpus analysis to investigate how common specific strategies are and how they behave in actual language use. The corpora we used in our study are the following:</w:t>
      </w:r>
    </w:p>
    <w:p w14:paraId="25599AF1" w14:textId="00F885CF" w:rsidR="00EC74AD" w:rsidRPr="00FB4EFA" w:rsidRDefault="00EC74AD" w:rsidP="002752AF">
      <w:pPr>
        <w:rPr>
          <w:lang w:val="en-US"/>
        </w:rPr>
      </w:pPr>
      <w:r w:rsidRPr="00FB4EFA">
        <w:rPr>
          <w:b/>
          <w:bCs/>
          <w:lang w:val="en-US"/>
        </w:rPr>
        <w:lastRenderedPageBreak/>
        <w:t>Estonian:</w:t>
      </w:r>
      <w:r w:rsidRPr="00FB4EFA">
        <w:rPr>
          <w:lang w:val="en-US"/>
        </w:rPr>
        <w:t xml:space="preserve"> Estonian Web corpus (etTenTen19, </w:t>
      </w:r>
      <w:hyperlink r:id="rId407" w:history="1">
        <w:r w:rsidR="00AC2528" w:rsidRPr="00FB4EFA">
          <w:rPr>
            <w:rStyle w:val="Hyperlink"/>
            <w:color w:val="auto"/>
          </w:rPr>
          <w:t>www.sketchengine.eu/</w:t>
        </w:r>
        <w:r w:rsidR="00AC2528" w:rsidRPr="00FB4EFA">
          <w:rPr>
            <w:rStyle w:val="Hyperlink"/>
            <w:color w:val="auto"/>
          </w:rPr>
          <w:br/>
          <w:t>ettenten-estonian-corpus/</w:t>
        </w:r>
      </w:hyperlink>
      <w:r w:rsidRPr="00FB4EFA">
        <w:rPr>
          <w:lang w:val="en-US"/>
        </w:rPr>
        <w:t>); 508 million words crawled and processed from September 2019 to January 2020.</w:t>
      </w:r>
    </w:p>
    <w:p w14:paraId="7999E018" w14:textId="6E093645" w:rsidR="00EC74AD" w:rsidRPr="00FB4EFA" w:rsidRDefault="00EC74AD" w:rsidP="002752AF">
      <w:pPr>
        <w:rPr>
          <w:lang w:val="en-US"/>
        </w:rPr>
      </w:pPr>
      <w:r w:rsidRPr="00FB4EFA">
        <w:rPr>
          <w:b/>
          <w:bCs/>
          <w:lang w:val="en-US"/>
        </w:rPr>
        <w:t>Finnish:</w:t>
      </w:r>
      <w:r w:rsidRPr="00FB4EFA">
        <w:rPr>
          <w:lang w:val="en-US"/>
        </w:rPr>
        <w:t xml:space="preserve"> Corpus of online forum discussions Suomi 24 (</w:t>
      </w:r>
      <w:hyperlink r:id="rId408" w:history="1">
        <w:r w:rsidRPr="00FB4EFA">
          <w:rPr>
            <w:u w:val="single"/>
          </w:rPr>
          <w:t>urn.fi/urn:nbn:fi:lb-2020021803</w:t>
        </w:r>
      </w:hyperlink>
      <w:r w:rsidRPr="00FB4EFA">
        <w:rPr>
          <w:lang w:val="en-US"/>
        </w:rPr>
        <w:t>); 4.1 billion words from 2001–2017.</w:t>
      </w:r>
    </w:p>
    <w:p w14:paraId="1F37030A" w14:textId="64CBF2DD" w:rsidR="00EC74AD" w:rsidRPr="00FB4EFA" w:rsidRDefault="00EC74AD" w:rsidP="002752AF">
      <w:pPr>
        <w:rPr>
          <w:lang w:val="en-US"/>
        </w:rPr>
      </w:pPr>
      <w:r w:rsidRPr="00FB4EFA">
        <w:rPr>
          <w:b/>
          <w:bCs/>
          <w:lang w:val="en-US"/>
        </w:rPr>
        <w:t>Hungarian:</w:t>
      </w:r>
      <w:r w:rsidRPr="00FB4EFA">
        <w:rPr>
          <w:lang w:val="en-US"/>
        </w:rPr>
        <w:t xml:space="preserve"> Magyar Nemzeti Szövegtár (MNSZ2, </w:t>
      </w:r>
      <w:hyperlink r:id="rId409" w:history="1">
        <w:r w:rsidRPr="00FB4EFA">
          <w:rPr>
            <w:u w:val="single"/>
          </w:rPr>
          <w:t>clara.nytud.hu/</w:t>
        </w:r>
        <w:r w:rsidR="00AC2528" w:rsidRPr="00FB4EFA">
          <w:rPr>
            <w:u w:val="single"/>
          </w:rPr>
          <w:br/>
        </w:r>
        <w:r w:rsidRPr="00FB4EFA">
          <w:rPr>
            <w:u w:val="single"/>
          </w:rPr>
          <w:t>mnsz2-dev/</w:t>
        </w:r>
      </w:hyperlink>
      <w:r w:rsidRPr="00FB4EFA">
        <w:rPr>
          <w:lang w:val="en-US"/>
        </w:rPr>
        <w:t>); over 1 billion words of texts from several registers and different varieties of Hungarian (see Oravecz et al. 2014).</w:t>
      </w:r>
    </w:p>
    <w:p w14:paraId="1C7C5619" w14:textId="15594985" w:rsidR="00EC74AD" w:rsidRPr="00FB4EFA" w:rsidRDefault="00EC74AD" w:rsidP="002752AF">
      <w:pPr>
        <w:rPr>
          <w:lang w:val="en-US"/>
        </w:rPr>
      </w:pPr>
      <w:r w:rsidRPr="00FB4EFA">
        <w:rPr>
          <w:b/>
          <w:bCs/>
          <w:lang w:val="en-US"/>
        </w:rPr>
        <w:t>Aanaar Saami:</w:t>
      </w:r>
      <w:r w:rsidRPr="00FB4EFA">
        <w:rPr>
          <w:lang w:val="en-US"/>
        </w:rPr>
        <w:t xml:space="preserve"> Text corpus provided by the SIKOR corpus at UiT The Arctic University of Norway (</w:t>
      </w:r>
      <w:hyperlink r:id="rId410" w:history="1">
        <w:r w:rsidRPr="00FB4EFA">
          <w:rPr>
            <w:u w:val="single"/>
          </w:rPr>
          <w:t>gtweb.uit.no/korp/</w:t>
        </w:r>
      </w:hyperlink>
      <w:r w:rsidRPr="00FB4EFA">
        <w:rPr>
          <w:lang w:val="en-US"/>
        </w:rPr>
        <w:t>); about 1.77 million words, primarily from articles published in periodical publications.</w:t>
      </w:r>
    </w:p>
    <w:p w14:paraId="68FFD126" w14:textId="72B18E00" w:rsidR="00EC74AD" w:rsidRPr="00FB4EFA" w:rsidRDefault="00EC74AD" w:rsidP="002752AF">
      <w:pPr>
        <w:rPr>
          <w:lang w:val="en-US"/>
        </w:rPr>
      </w:pPr>
      <w:r w:rsidRPr="00FB4EFA">
        <w:rPr>
          <w:b/>
          <w:bCs/>
          <w:lang w:val="en-US"/>
        </w:rPr>
        <w:t>Meadow Mari:</w:t>
      </w:r>
      <w:r w:rsidRPr="00FB4EFA">
        <w:rPr>
          <w:lang w:val="en-US"/>
        </w:rPr>
        <w:t xml:space="preserve"> Corpus of Literary Mari (</w:t>
      </w:r>
      <w:hyperlink r:id="rId411" w:history="1">
        <w:r w:rsidRPr="00FB4EFA">
          <w:rPr>
            <w:u w:val="single"/>
          </w:rPr>
          <w:t>corpus.mari-language.com</w:t>
        </w:r>
      </w:hyperlink>
      <w:r w:rsidRPr="00FB4EFA">
        <w:rPr>
          <w:lang w:val="en-US"/>
        </w:rPr>
        <w:t>), specifically the Meadow Mari corpus; 57.38 million words from non-fiction texts, fiction texts, law texts, science texts, news texts and Wikipedia texts from 1912–2018.</w:t>
      </w:r>
    </w:p>
    <w:p w14:paraId="3907975D" w14:textId="72D55195" w:rsidR="00EC74AD" w:rsidRPr="00FB4EFA" w:rsidRDefault="00EC74AD" w:rsidP="002752AF">
      <w:pPr>
        <w:rPr>
          <w:lang w:val="en-US"/>
        </w:rPr>
      </w:pPr>
      <w:r w:rsidRPr="00FB4EFA">
        <w:rPr>
          <w:b/>
          <w:bCs/>
          <w:lang w:val="en-US"/>
        </w:rPr>
        <w:t>Northern Mansi:</w:t>
      </w:r>
      <w:r w:rsidRPr="00FB4EFA">
        <w:rPr>
          <w:lang w:val="en-US"/>
        </w:rPr>
        <w:t xml:space="preserve"> Corpus of the Ob-Ugric Database (OUDB, </w:t>
      </w:r>
      <w:hyperlink r:id="rId412" w:history="1">
        <w:r w:rsidRPr="00FB4EFA">
          <w:rPr>
            <w:rFonts w:eastAsia="Calibri" w:cs="Calibri"/>
            <w:u w:val="single"/>
            <w:lang w:val="en-GB" w:eastAsia="en-GB"/>
          </w:rPr>
          <w:t>www.babel.gwi.uni-muenchen.de/index.php?abfrage=NM_corpus&amp;</w:t>
        </w:r>
        <w:r w:rsidRPr="00FB4EFA">
          <w:rPr>
            <w:rFonts w:eastAsia="Calibri" w:cs="Calibri"/>
            <w:u w:val="single"/>
            <w:lang w:val="en-GB" w:eastAsia="en-GB"/>
          </w:rPr>
          <w:br/>
          <w:t>subnavi=corpus_pub</w:t>
        </w:r>
      </w:hyperlink>
      <w:r w:rsidRPr="00FB4EFA">
        <w:rPr>
          <w:lang w:val="en-US"/>
        </w:rPr>
        <w:t>); Northern Mansi section offers 137 texts (the exact number of words is unknown), including mainly folklore texts and several newspaper articles.</w:t>
      </w:r>
    </w:p>
    <w:p w14:paraId="7346AE96" w14:textId="77777777" w:rsidR="00EC74AD" w:rsidRPr="00FB4EFA" w:rsidRDefault="00EC74AD" w:rsidP="002752AF">
      <w:pPr>
        <w:spacing w:before="240"/>
        <w:rPr>
          <w:lang w:val="en-US"/>
        </w:rPr>
      </w:pPr>
      <w:r w:rsidRPr="00FB4EFA">
        <w:rPr>
          <w:lang w:val="en-US"/>
        </w:rPr>
        <w:t>As is clear from the descriptions above, the corpora we used differ greatly in size and content, so the data on different languages are not directly comparable. However, they provide a first glimpse into how common different strategies are within each language and allow us to formulate preliminary generalizations and further questions. Due to some technical difficulties in the use of the corpora, such as the impossibility to eliminate homonymy, some of the figures given below should be seen as estimates rather than exact numbers. Nevertheless, we believe that they still reflect the bigger picture and are accurate enough to support our observations.</w:t>
      </w:r>
    </w:p>
    <w:p w14:paraId="79A4AE98" w14:textId="2ADA7FE2" w:rsidR="00EC74AD" w:rsidRPr="00FB4EFA" w:rsidRDefault="00EC74AD" w:rsidP="002752AF">
      <w:pPr>
        <w:ind w:firstLine="720"/>
        <w:rPr>
          <w:lang w:val="en-US"/>
        </w:rPr>
      </w:pPr>
      <w:r w:rsidRPr="00FB4EFA">
        <w:rPr>
          <w:lang w:val="en-US"/>
        </w:rPr>
        <w:t>In the corpus part of our study, we primarily investigated the same jobs that were used for the questionnaire, but we did include some further job titles if they seemed more representative (</w:t>
      </w:r>
      <w:r w:rsidR="00466236" w:rsidRPr="00FB4EFA">
        <w:rPr>
          <w:lang w:val="en-US"/>
        </w:rPr>
        <w:t>e.g., </w:t>
      </w:r>
      <w:r w:rsidRPr="00FB4EFA">
        <w:rPr>
          <w:lang w:val="en-US"/>
        </w:rPr>
        <w:t>occurred more frequently in a specific corpus) or worked better as an illustration of a certain point.</w:t>
      </w:r>
    </w:p>
    <w:p w14:paraId="3DCAF208" w14:textId="7EC53E45" w:rsidR="00EC74AD" w:rsidRPr="00FB4EFA" w:rsidRDefault="00EC74AD" w:rsidP="002752AF">
      <w:pPr>
        <w:pStyle w:val="Heading2"/>
        <w:numPr>
          <w:ilvl w:val="0"/>
          <w:numId w:val="20"/>
        </w:numPr>
        <w:spacing w:line="259" w:lineRule="auto"/>
        <w:rPr>
          <w:color w:val="auto"/>
        </w:rPr>
      </w:pPr>
      <w:r w:rsidRPr="00FB4EFA">
        <w:rPr>
          <w:color w:val="auto"/>
        </w:rPr>
        <w:lastRenderedPageBreak/>
        <w:t>Strategies of expressing gender in job titles</w:t>
      </w:r>
    </w:p>
    <w:p w14:paraId="2DB3FDA4" w14:textId="77777777" w:rsidR="00EC74AD" w:rsidRPr="00FB4EFA" w:rsidRDefault="00EC74AD" w:rsidP="002752AF">
      <w:pPr>
        <w:rPr>
          <w:lang w:val="en-US"/>
        </w:rPr>
      </w:pPr>
      <w:r w:rsidRPr="00FB4EFA">
        <w:rPr>
          <w:lang w:val="en-US"/>
        </w:rPr>
        <w:t xml:space="preserve">In this section, we provide an overview of the strategies that are used in the languages of our sample to express gender in job titles. We primarily aim to focus on strategies that work at the level of single lexemes, including compounds that can be lexicalized to a different extent. However, since it is a widely accepted fact that formulating a cross-linguistically applicable definition of lexeme may be problematic, we mean to be rather inclusive than restrictive in determining our scope. One thing that we do not include at this point are expressions where gender is expressed by a specialized attribute referring to gender, such as </w:t>
      </w:r>
      <w:r w:rsidRPr="00FB4EFA">
        <w:rPr>
          <w:i/>
          <w:iCs/>
          <w:lang w:val="en-US"/>
        </w:rPr>
        <w:t>naispuolinen</w:t>
      </w:r>
      <w:r w:rsidRPr="00FB4EFA">
        <w:rPr>
          <w:lang w:val="en-US"/>
        </w:rPr>
        <w:t xml:space="preserve"> ‘female’ and </w:t>
      </w:r>
      <w:r w:rsidRPr="00FB4EFA">
        <w:rPr>
          <w:i/>
          <w:iCs/>
          <w:lang w:val="en-US"/>
        </w:rPr>
        <w:t>miespuolinen</w:t>
      </w:r>
      <w:r w:rsidRPr="00FB4EFA">
        <w:rPr>
          <w:lang w:val="en-US"/>
        </w:rPr>
        <w:t xml:space="preserve"> ‘male’ in Finnish, or </w:t>
      </w:r>
      <w:r w:rsidRPr="00FB4EFA">
        <w:rPr>
          <w:i/>
          <w:iCs/>
          <w:lang w:val="en-US"/>
        </w:rPr>
        <w:t>naissoost</w:t>
      </w:r>
      <w:r w:rsidRPr="00FB4EFA">
        <w:rPr>
          <w:lang w:val="en-US"/>
        </w:rPr>
        <w:t>/</w:t>
      </w:r>
      <w:r w:rsidRPr="00FB4EFA">
        <w:rPr>
          <w:i/>
          <w:iCs/>
          <w:lang w:val="en-US"/>
        </w:rPr>
        <w:t>meessoost</w:t>
      </w:r>
      <w:r w:rsidRPr="00FB4EFA">
        <w:rPr>
          <w:lang w:val="en-US"/>
        </w:rPr>
        <w:t xml:space="preserve"> ‘of male/female gender’ in Estonian.</w:t>
      </w:r>
    </w:p>
    <w:p w14:paraId="6D164328" w14:textId="500D145A" w:rsidR="00EC74AD" w:rsidRPr="00FB4EFA" w:rsidRDefault="00EC74AD" w:rsidP="00AF0CAD">
      <w:pPr>
        <w:ind w:firstLine="720"/>
        <w:rPr>
          <w:lang w:val="en-US"/>
        </w:rPr>
      </w:pPr>
      <w:r w:rsidRPr="00FB4EFA">
        <w:rPr>
          <w:lang w:val="en-US"/>
        </w:rPr>
        <w:t>In some of the descriptions below, we use the term “gender-neutral job title”, which requires a brief clarification. Since Finno-Ugric languages lack grammatical gender, it is natural that all of them feature many job titles that can be used for a person of any gender. Many of these job titles are inherently gender</w:t>
      </w:r>
      <w:r w:rsidR="00125E62" w:rsidRPr="00FB4EFA">
        <w:rPr>
          <w:lang w:val="en-US"/>
        </w:rPr>
        <w:t xml:space="preserve"> </w:t>
      </w:r>
      <w:r w:rsidRPr="00FB4EFA">
        <w:rPr>
          <w:lang w:val="en-US"/>
        </w:rPr>
        <w:t xml:space="preserve">neutral, that is, they do not contain any elements that could be seen as indicative of gender, </w:t>
      </w:r>
      <w:r w:rsidR="00466236" w:rsidRPr="00FB4EFA">
        <w:rPr>
          <w:lang w:val="en-US"/>
        </w:rPr>
        <w:t>e.g., </w:t>
      </w:r>
      <w:r w:rsidRPr="00FB4EFA">
        <w:rPr>
          <w:i/>
          <w:iCs/>
          <w:lang w:val="en-US"/>
        </w:rPr>
        <w:t xml:space="preserve">opiskelija </w:t>
      </w:r>
      <w:r w:rsidRPr="00FB4EFA">
        <w:rPr>
          <w:lang w:val="en-US"/>
        </w:rPr>
        <w:t xml:space="preserve">‘student’ in Finnish is an agent nominalization from </w:t>
      </w:r>
      <w:r w:rsidRPr="00FB4EFA">
        <w:rPr>
          <w:i/>
          <w:lang w:val="en-US"/>
        </w:rPr>
        <w:t>opiskella</w:t>
      </w:r>
      <w:r w:rsidRPr="00FB4EFA">
        <w:rPr>
          <w:lang w:val="en-US"/>
        </w:rPr>
        <w:t xml:space="preserve"> ‘to study’, and </w:t>
      </w:r>
      <w:r w:rsidRPr="00FB4EFA">
        <w:rPr>
          <w:rFonts w:cs="Cambria"/>
          <w:i/>
          <w:iCs/>
          <w:lang w:val="fi-FI"/>
        </w:rPr>
        <w:t>туныктышо</w:t>
      </w:r>
      <w:r w:rsidRPr="00FB4EFA">
        <w:rPr>
          <w:i/>
          <w:iCs/>
          <w:lang w:val="en-US"/>
        </w:rPr>
        <w:t xml:space="preserve"> </w:t>
      </w:r>
      <w:r w:rsidRPr="00FB4EFA">
        <w:rPr>
          <w:lang w:val="en-US"/>
        </w:rPr>
        <w:t>‘teacher’ in Meadow Mari is a present participle of</w:t>
      </w:r>
      <w:r w:rsidRPr="00FB4EFA">
        <w:rPr>
          <w:rFonts w:asciiTheme="minorHAnsi" w:hAnsiTheme="minorHAnsi"/>
          <w:lang w:val="en-US"/>
        </w:rPr>
        <w:t xml:space="preserve"> </w:t>
      </w:r>
      <w:r w:rsidRPr="00FB4EFA">
        <w:rPr>
          <w:rFonts w:cs="Cambria"/>
          <w:i/>
          <w:iCs/>
          <w:lang w:val="fi-FI"/>
        </w:rPr>
        <w:t>туныкташ</w:t>
      </w:r>
      <w:r w:rsidRPr="00FB4EFA">
        <w:rPr>
          <w:rFonts w:asciiTheme="minorHAnsi" w:hAnsiTheme="minorHAnsi"/>
          <w:lang w:val="en-US"/>
        </w:rPr>
        <w:t xml:space="preserve"> </w:t>
      </w:r>
      <w:r w:rsidRPr="00FB4EFA">
        <w:rPr>
          <w:lang w:val="en-US"/>
        </w:rPr>
        <w:t xml:space="preserve">‘to teach’. Nevertheless, it is also common that a job title containing an inherently masculine element is used gender-neutrally, </w:t>
      </w:r>
      <w:r w:rsidR="00466236" w:rsidRPr="00FB4EFA">
        <w:rPr>
          <w:lang w:val="en-US"/>
        </w:rPr>
        <w:t>e.g., </w:t>
      </w:r>
      <w:r w:rsidRPr="00FB4EFA">
        <w:rPr>
          <w:i/>
          <w:iCs/>
          <w:lang w:val="en-US"/>
        </w:rPr>
        <w:t>kalamees</w:t>
      </w:r>
      <w:r w:rsidRPr="00FB4EFA">
        <w:rPr>
          <w:lang w:val="en-US"/>
        </w:rPr>
        <w:t xml:space="preserve"> ‘fisherman (lit. fish+man)’ in Estonian. The use of inherently (at least historically) feminine variants as gender</w:t>
      </w:r>
      <w:r w:rsidR="00125E62" w:rsidRPr="00FB4EFA">
        <w:rPr>
          <w:lang w:val="en-US"/>
        </w:rPr>
        <w:t xml:space="preserve"> </w:t>
      </w:r>
      <w:r w:rsidRPr="00FB4EFA">
        <w:rPr>
          <w:lang w:val="en-US"/>
        </w:rPr>
        <w:t xml:space="preserve">neutral is fairly marginal but also attested, </w:t>
      </w:r>
      <w:r w:rsidR="00466236" w:rsidRPr="00FB4EFA">
        <w:rPr>
          <w:lang w:val="en-US"/>
        </w:rPr>
        <w:t>e.g., </w:t>
      </w:r>
      <w:r w:rsidRPr="00FB4EFA">
        <w:rPr>
          <w:lang w:val="en-US"/>
        </w:rPr>
        <w:t xml:space="preserve">Finnish </w:t>
      </w:r>
      <w:r w:rsidRPr="00FB4EFA">
        <w:rPr>
          <w:i/>
          <w:iCs/>
          <w:lang w:val="en-US"/>
        </w:rPr>
        <w:t>karjakko</w:t>
      </w:r>
      <w:r w:rsidRPr="00FB4EFA">
        <w:rPr>
          <w:lang w:val="en-US"/>
        </w:rPr>
        <w:t xml:space="preserve"> ‘milkmaid’,</w:t>
      </w:r>
      <w:r w:rsidRPr="00FB4EFA">
        <w:rPr>
          <w:i/>
          <w:iCs/>
          <w:lang w:val="en-US"/>
        </w:rPr>
        <w:t xml:space="preserve"> </w:t>
      </w:r>
      <w:r w:rsidRPr="00FB4EFA">
        <w:rPr>
          <w:lang w:val="en-US"/>
        </w:rPr>
        <w:t xml:space="preserve">Estonian </w:t>
      </w:r>
      <w:r w:rsidRPr="00FB4EFA">
        <w:rPr>
          <w:i/>
          <w:iCs/>
          <w:lang w:val="en-US"/>
        </w:rPr>
        <w:t>õde</w:t>
      </w:r>
      <w:r w:rsidRPr="00FB4EFA">
        <w:rPr>
          <w:lang w:val="en-US"/>
        </w:rPr>
        <w:t xml:space="preserve"> ‘nurse (lit. sister)’ or the same in Hungarian: </w:t>
      </w:r>
      <w:r w:rsidRPr="00FB4EFA">
        <w:rPr>
          <w:i/>
          <w:iCs/>
          <w:lang w:val="en-US"/>
        </w:rPr>
        <w:t>n</w:t>
      </w:r>
      <w:r w:rsidRPr="00FB4EFA">
        <w:rPr>
          <w:rFonts w:cs="Cambria"/>
          <w:i/>
          <w:iCs/>
          <w:lang w:val="en-US"/>
        </w:rPr>
        <w:t>ő</w:t>
      </w:r>
      <w:r w:rsidRPr="00FB4EFA">
        <w:rPr>
          <w:i/>
          <w:iCs/>
          <w:lang w:val="en-US"/>
        </w:rPr>
        <w:t>v</w:t>
      </w:r>
      <w:r w:rsidRPr="00FB4EFA">
        <w:rPr>
          <w:rFonts w:cs="Baskerville Old Face"/>
          <w:i/>
          <w:iCs/>
          <w:lang w:val="en-US"/>
        </w:rPr>
        <w:t>é</w:t>
      </w:r>
      <w:r w:rsidRPr="00FB4EFA">
        <w:rPr>
          <w:i/>
          <w:iCs/>
          <w:lang w:val="en-US"/>
        </w:rPr>
        <w:t>r</w:t>
      </w:r>
      <w:r w:rsidRPr="00FB4EFA">
        <w:rPr>
          <w:lang w:val="en-US"/>
        </w:rPr>
        <w:t xml:space="preserve"> ‘nurse (lit. older </w:t>
      </w:r>
      <w:r w:rsidR="00917AA2" w:rsidRPr="00FB4EFA">
        <w:rPr>
          <w:lang w:val="en-US"/>
        </w:rPr>
        <w:br/>
      </w:r>
      <w:r w:rsidRPr="00FB4EFA">
        <w:rPr>
          <w:lang w:val="en-US"/>
        </w:rPr>
        <w:t>sister)’. All these cases count as gender-neutral job titles for the purposes of this study.</w:t>
      </w:r>
    </w:p>
    <w:p w14:paraId="0A1B59C9" w14:textId="4115BB10" w:rsidR="00EC74AD" w:rsidRPr="00FB4EFA" w:rsidRDefault="00EC74AD" w:rsidP="002752AF">
      <w:pPr>
        <w:pStyle w:val="Heading3"/>
        <w:numPr>
          <w:ilvl w:val="1"/>
          <w:numId w:val="20"/>
        </w:numPr>
        <w:spacing w:line="259" w:lineRule="auto"/>
      </w:pPr>
      <w:r w:rsidRPr="00FB4EFA">
        <w:t>The gender-neutral job title takes a gendered prefix to refer to either gender</w:t>
      </w:r>
    </w:p>
    <w:p w14:paraId="5650180F" w14:textId="127F9209" w:rsidR="00EC74AD" w:rsidRPr="00FB4EFA" w:rsidRDefault="00EC74AD" w:rsidP="002752AF">
      <w:pPr>
        <w:rPr>
          <w:lang w:val="en-US"/>
        </w:rPr>
      </w:pPr>
      <w:r w:rsidRPr="00FB4EFA">
        <w:rPr>
          <w:lang w:val="en-US"/>
        </w:rPr>
        <w:t>In three languages, Finnish, Estonian</w:t>
      </w:r>
      <w:r w:rsidR="00917AA2" w:rsidRPr="00FB4EFA">
        <w:rPr>
          <w:lang w:val="en-US"/>
        </w:rPr>
        <w:t>,</w:t>
      </w:r>
      <w:r w:rsidRPr="00FB4EFA">
        <w:rPr>
          <w:lang w:val="en-US"/>
        </w:rPr>
        <w:t xml:space="preserve"> and Aanaar Saami, gender-neutral job titles can take gendered prefixes derived from the words ‘woman’ and ‘man’ to form gendered job titles. The respective prefixes are </w:t>
      </w:r>
      <w:r w:rsidRPr="00FB4EFA">
        <w:rPr>
          <w:i/>
          <w:iCs/>
          <w:lang w:val="en-US"/>
        </w:rPr>
        <w:t>nais-</w:t>
      </w:r>
      <w:r w:rsidRPr="00FB4EFA">
        <w:rPr>
          <w:lang w:val="en-US"/>
        </w:rPr>
        <w:t xml:space="preserve"> and </w:t>
      </w:r>
      <w:r w:rsidRPr="00FB4EFA">
        <w:rPr>
          <w:i/>
          <w:iCs/>
          <w:lang w:val="en-US"/>
        </w:rPr>
        <w:t>mies-</w:t>
      </w:r>
      <w:r w:rsidRPr="00FB4EFA">
        <w:rPr>
          <w:lang w:val="en-US"/>
        </w:rPr>
        <w:t xml:space="preserve"> in Finnish, </w:t>
      </w:r>
      <w:r w:rsidR="00466236" w:rsidRPr="00FB4EFA">
        <w:rPr>
          <w:lang w:val="en-US"/>
        </w:rPr>
        <w:t>e.g., </w:t>
      </w:r>
      <w:r w:rsidRPr="00FB4EFA">
        <w:rPr>
          <w:i/>
          <w:iCs/>
          <w:lang w:val="en-US"/>
        </w:rPr>
        <w:t>naisopiskelija</w:t>
      </w:r>
      <w:r w:rsidRPr="00FB4EFA">
        <w:rPr>
          <w:lang w:val="en-US"/>
        </w:rPr>
        <w:t xml:space="preserve"> ‘female student’ and </w:t>
      </w:r>
      <w:r w:rsidRPr="00FB4EFA">
        <w:rPr>
          <w:i/>
          <w:iCs/>
          <w:lang w:val="en-US"/>
        </w:rPr>
        <w:t>miesopiskelija</w:t>
      </w:r>
      <w:r w:rsidRPr="00FB4EFA">
        <w:rPr>
          <w:lang w:val="en-US"/>
        </w:rPr>
        <w:t xml:space="preserve"> </w:t>
      </w:r>
      <w:r w:rsidRPr="00FB4EFA">
        <w:rPr>
          <w:lang w:val="en-US"/>
        </w:rPr>
        <w:lastRenderedPageBreak/>
        <w:t xml:space="preserve">‘male student’, </w:t>
      </w:r>
      <w:r w:rsidRPr="00FB4EFA">
        <w:rPr>
          <w:i/>
          <w:iCs/>
          <w:lang w:val="en-US"/>
        </w:rPr>
        <w:t>nais-</w:t>
      </w:r>
      <w:r w:rsidRPr="00FB4EFA">
        <w:rPr>
          <w:lang w:val="en-US"/>
        </w:rPr>
        <w:t xml:space="preserve"> and </w:t>
      </w:r>
      <w:r w:rsidRPr="00FB4EFA">
        <w:rPr>
          <w:i/>
          <w:iCs/>
          <w:lang w:val="en-US"/>
        </w:rPr>
        <w:t>mees-</w:t>
      </w:r>
      <w:r w:rsidRPr="00FB4EFA">
        <w:rPr>
          <w:lang w:val="en-US"/>
        </w:rPr>
        <w:t xml:space="preserve"> in Estonian, </w:t>
      </w:r>
      <w:r w:rsidR="00466236" w:rsidRPr="00FB4EFA">
        <w:rPr>
          <w:lang w:val="en-US"/>
        </w:rPr>
        <w:t>e.g., </w:t>
      </w:r>
      <w:r w:rsidRPr="00FB4EFA">
        <w:rPr>
          <w:i/>
          <w:iCs/>
          <w:lang w:val="en-US"/>
        </w:rPr>
        <w:t>naisnäitleja</w:t>
      </w:r>
      <w:r w:rsidRPr="00FB4EFA">
        <w:rPr>
          <w:lang w:val="en-US"/>
        </w:rPr>
        <w:t xml:space="preserve"> ‘actress’ and </w:t>
      </w:r>
      <w:r w:rsidRPr="00FB4EFA">
        <w:rPr>
          <w:i/>
          <w:iCs/>
          <w:lang w:val="en-US"/>
        </w:rPr>
        <w:t>meesnäitleja</w:t>
      </w:r>
      <w:r w:rsidRPr="00FB4EFA">
        <w:rPr>
          <w:lang w:val="en-US"/>
        </w:rPr>
        <w:t xml:space="preserve"> ‘male actor’, and </w:t>
      </w:r>
      <w:r w:rsidRPr="00FB4EFA">
        <w:rPr>
          <w:i/>
          <w:iCs/>
          <w:lang w:val="en-US"/>
        </w:rPr>
        <w:t>nissoon-</w:t>
      </w:r>
      <w:r w:rsidRPr="00FB4EFA">
        <w:rPr>
          <w:lang w:val="en-US"/>
        </w:rPr>
        <w:t xml:space="preserve"> and </w:t>
      </w:r>
      <w:r w:rsidRPr="00FB4EFA">
        <w:rPr>
          <w:i/>
          <w:iCs/>
          <w:lang w:val="en-US"/>
        </w:rPr>
        <w:t>almai-</w:t>
      </w:r>
      <w:r w:rsidRPr="00FB4EFA">
        <w:rPr>
          <w:lang w:val="en-US"/>
        </w:rPr>
        <w:t xml:space="preserve"> in Aanaar Saami, </w:t>
      </w:r>
      <w:r w:rsidR="00466236" w:rsidRPr="00FB4EFA">
        <w:rPr>
          <w:lang w:val="en-US"/>
        </w:rPr>
        <w:t>e.g., </w:t>
      </w:r>
      <w:r w:rsidRPr="00FB4EFA">
        <w:rPr>
          <w:i/>
          <w:iCs/>
          <w:lang w:val="en-US"/>
        </w:rPr>
        <w:t>nissoonkokkâ</w:t>
      </w:r>
      <w:r w:rsidRPr="00FB4EFA">
        <w:rPr>
          <w:lang w:val="en-US"/>
        </w:rPr>
        <w:t xml:space="preserve"> ‘female chef’ and </w:t>
      </w:r>
      <w:r w:rsidRPr="00FB4EFA">
        <w:rPr>
          <w:i/>
          <w:iCs/>
          <w:lang w:val="en-US"/>
        </w:rPr>
        <w:t>almaikokkâ</w:t>
      </w:r>
      <w:r w:rsidRPr="00FB4EFA">
        <w:rPr>
          <w:lang w:val="en-US"/>
        </w:rPr>
        <w:t xml:space="preserve"> ‘male chef’. According to our consultant, in Aanaar Saami, these prefixes can be used freely with various job titles. However, the strategy is not well represented in the corpus, and the only two examples apart from those mentioned above are </w:t>
      </w:r>
      <w:r w:rsidRPr="00FB4EFA">
        <w:rPr>
          <w:i/>
          <w:iCs/>
          <w:lang w:val="en-US"/>
        </w:rPr>
        <w:t>nissoonpresident</w:t>
      </w:r>
      <w:r w:rsidRPr="00FB4EFA">
        <w:rPr>
          <w:lang w:val="en-US"/>
        </w:rPr>
        <w:t xml:space="preserve"> ‘female president’ and </w:t>
      </w:r>
      <w:r w:rsidRPr="00FB4EFA">
        <w:rPr>
          <w:i/>
          <w:iCs/>
          <w:lang w:val="en-US"/>
        </w:rPr>
        <w:t>nissoonproffeet</w:t>
      </w:r>
      <w:r w:rsidRPr="00FB4EFA">
        <w:rPr>
          <w:lang w:val="en-US"/>
        </w:rPr>
        <w:t xml:space="preserve"> ‘female prophet’, each occurring only once (although the small number of examples might be due to the comparatively small size of the Aanaar Saami corpus). In Finnish and Estonian, on the other hand, the strategy is attested with most job titles and is overall very frequent, although job titles differ greatly as to how frequently these prefixes are used at all and how frequently each of them (feminine or masculine) is used. In what follows, we will address these two issues in turn.</w:t>
      </w:r>
    </w:p>
    <w:p w14:paraId="59B7DF73" w14:textId="3F3D3450" w:rsidR="00EC74AD" w:rsidRPr="00FB4EFA" w:rsidRDefault="00EC74AD" w:rsidP="002752AF">
      <w:pPr>
        <w:ind w:firstLine="720"/>
        <w:rPr>
          <w:lang w:val="en-US"/>
        </w:rPr>
      </w:pPr>
      <w:r w:rsidRPr="00FB4EFA">
        <w:rPr>
          <w:lang w:val="en-US"/>
        </w:rPr>
        <w:t>In order to calculate the frequency of a job title’s gendered variants, we divided the total number of their occurrences (both feminine and masculine) by the total number of all occurrences (gender</w:t>
      </w:r>
      <w:r w:rsidR="00932326" w:rsidRPr="00FB4EFA">
        <w:rPr>
          <w:lang w:val="en-US"/>
        </w:rPr>
        <w:t xml:space="preserve"> </w:t>
      </w:r>
      <w:r w:rsidRPr="00FB4EFA">
        <w:rPr>
          <w:lang w:val="en-US"/>
        </w:rPr>
        <w:t xml:space="preserve">neutral as well as gendered formed by prefixes). In Finnish, two words stand out in this respect, namely </w:t>
      </w:r>
      <w:r w:rsidRPr="00FB4EFA">
        <w:rPr>
          <w:i/>
          <w:iCs/>
          <w:lang w:val="en-US"/>
        </w:rPr>
        <w:t xml:space="preserve">pappi </w:t>
      </w:r>
      <w:r w:rsidRPr="00FB4EFA">
        <w:rPr>
          <w:lang w:val="en-US"/>
        </w:rPr>
        <w:t xml:space="preserve">‘priest’ and </w:t>
      </w:r>
      <w:r w:rsidRPr="00FB4EFA">
        <w:rPr>
          <w:i/>
          <w:iCs/>
          <w:lang w:val="en-US"/>
        </w:rPr>
        <w:t>näyttelijä</w:t>
      </w:r>
      <w:r w:rsidRPr="00FB4EFA">
        <w:rPr>
          <w:lang w:val="en-US"/>
        </w:rPr>
        <w:t xml:space="preserve"> ‘actor’. For these job titles, 5.54% and 3.85% of all the occurrences are gendered. For a handful of other job titles, gendered versions constitute roughly </w:t>
      </w:r>
      <w:r w:rsidR="008E13C9" w:rsidRPr="00FB4EFA">
        <w:rPr>
          <w:lang w:val="en-US"/>
        </w:rPr>
        <w:t>1–</w:t>
      </w:r>
      <w:r w:rsidRPr="00FB4EFA">
        <w:rPr>
          <w:lang w:val="en-US"/>
        </w:rPr>
        <w:t xml:space="preserve">1.5%, namely </w:t>
      </w:r>
      <w:r w:rsidRPr="00FB4EFA">
        <w:rPr>
          <w:i/>
          <w:iCs/>
          <w:lang w:val="en-US"/>
        </w:rPr>
        <w:t>siivooja</w:t>
      </w:r>
      <w:r w:rsidRPr="00FB4EFA">
        <w:rPr>
          <w:lang w:val="en-US"/>
        </w:rPr>
        <w:t xml:space="preserve"> ‘cleaner’ (1.51%), </w:t>
      </w:r>
      <w:r w:rsidRPr="00FB4EFA">
        <w:rPr>
          <w:i/>
          <w:iCs/>
          <w:lang w:val="en-US"/>
        </w:rPr>
        <w:t>opettaja</w:t>
      </w:r>
      <w:r w:rsidRPr="00FB4EFA">
        <w:rPr>
          <w:lang w:val="en-US"/>
        </w:rPr>
        <w:t xml:space="preserve"> ‘teacher’ (1.07%), </w:t>
      </w:r>
      <w:r w:rsidRPr="00FB4EFA">
        <w:rPr>
          <w:i/>
          <w:iCs/>
          <w:lang w:val="en-US"/>
        </w:rPr>
        <w:t>hoitaja</w:t>
      </w:r>
      <w:r w:rsidRPr="00FB4EFA">
        <w:rPr>
          <w:lang w:val="en-US"/>
        </w:rPr>
        <w:t xml:space="preserve"> ‘nurse’ (1.06%), and </w:t>
      </w:r>
      <w:r w:rsidRPr="00FB4EFA">
        <w:rPr>
          <w:i/>
          <w:iCs/>
          <w:lang w:val="en-US"/>
        </w:rPr>
        <w:t>johtaja</w:t>
      </w:r>
      <w:r w:rsidRPr="00FB4EFA">
        <w:rPr>
          <w:lang w:val="en-US"/>
        </w:rPr>
        <w:t xml:space="preserve"> ‘boss, director’ (0.97%). Interestingly, the job titles with a relatively high share of gendered </w:t>
      </w:r>
      <w:r w:rsidRPr="00FB4EFA">
        <w:rPr>
          <w:i/>
          <w:iCs/>
          <w:lang w:val="en-US"/>
        </w:rPr>
        <w:t>nais-</w:t>
      </w:r>
      <w:r w:rsidRPr="00FB4EFA">
        <w:rPr>
          <w:lang w:val="en-US"/>
        </w:rPr>
        <w:t>/</w:t>
      </w:r>
      <w:r w:rsidRPr="00FB4EFA">
        <w:rPr>
          <w:i/>
          <w:iCs/>
          <w:lang w:val="en-US"/>
        </w:rPr>
        <w:t>mies-</w:t>
      </w:r>
      <w:r w:rsidRPr="00FB4EFA">
        <w:rPr>
          <w:lang w:val="en-US"/>
        </w:rPr>
        <w:t xml:space="preserve"> versions almost exactly correspond to the jobs that have widely used female </w:t>
      </w:r>
      <w:r w:rsidRPr="00FB4EFA">
        <w:rPr>
          <w:i/>
          <w:iCs/>
          <w:lang w:val="en-US"/>
        </w:rPr>
        <w:noBreakHyphen/>
        <w:t>tar</w:t>
      </w:r>
      <w:r w:rsidRPr="00FB4EFA">
        <w:rPr>
          <w:lang w:val="en-US"/>
        </w:rPr>
        <w:t xml:space="preserve"> versions discussed in Section 3.2.1. The exceptions are </w:t>
      </w:r>
      <w:r w:rsidRPr="00FB4EFA">
        <w:rPr>
          <w:i/>
          <w:iCs/>
          <w:lang w:val="en-US"/>
        </w:rPr>
        <w:t>siivooja</w:t>
      </w:r>
      <w:r w:rsidRPr="00FB4EFA">
        <w:rPr>
          <w:lang w:val="en-US"/>
        </w:rPr>
        <w:t xml:space="preserve"> ‘cleaner’, which has 1.51% of gendered </w:t>
      </w:r>
      <w:r w:rsidRPr="00FB4EFA">
        <w:rPr>
          <w:i/>
          <w:iCs/>
          <w:lang w:val="en-US"/>
        </w:rPr>
        <w:t>nais-</w:t>
      </w:r>
      <w:r w:rsidRPr="00FB4EFA">
        <w:rPr>
          <w:lang w:val="en-US"/>
        </w:rPr>
        <w:t>/</w:t>
      </w:r>
      <w:r w:rsidRPr="00FB4EFA">
        <w:rPr>
          <w:i/>
          <w:iCs/>
          <w:lang w:val="en-US"/>
        </w:rPr>
        <w:t>mies-</w:t>
      </w:r>
      <w:r w:rsidRPr="00FB4EFA">
        <w:rPr>
          <w:lang w:val="en-US"/>
        </w:rPr>
        <w:t xml:space="preserve"> forms but for which the form </w:t>
      </w:r>
      <w:r w:rsidRPr="00FB4EFA">
        <w:rPr>
          <w:i/>
          <w:iCs/>
          <w:lang w:val="en-US"/>
        </w:rPr>
        <w:t>siivoojatar</w:t>
      </w:r>
      <w:r w:rsidRPr="00FB4EFA">
        <w:rPr>
          <w:lang w:val="en-US"/>
        </w:rPr>
        <w:t xml:space="preserve"> is not very common (66 occurrences in our data), and </w:t>
      </w:r>
      <w:r w:rsidRPr="00FB4EFA">
        <w:rPr>
          <w:i/>
          <w:iCs/>
          <w:lang w:val="en-US"/>
        </w:rPr>
        <w:t>myyjä</w:t>
      </w:r>
      <w:r w:rsidRPr="00FB4EFA">
        <w:rPr>
          <w:lang w:val="en-US"/>
        </w:rPr>
        <w:t xml:space="preserve"> ‘salesperson’, for which the form </w:t>
      </w:r>
      <w:r w:rsidRPr="00FB4EFA">
        <w:rPr>
          <w:i/>
          <w:iCs/>
          <w:lang w:val="en-US"/>
        </w:rPr>
        <w:t>myyjätär</w:t>
      </w:r>
      <w:r w:rsidRPr="00FB4EFA">
        <w:rPr>
          <w:lang w:val="en-US"/>
        </w:rPr>
        <w:t xml:space="preserve"> is relatively common (2 636 hits), but the gendered </w:t>
      </w:r>
      <w:r w:rsidRPr="00FB4EFA">
        <w:rPr>
          <w:i/>
          <w:iCs/>
          <w:lang w:val="en-US"/>
        </w:rPr>
        <w:t>nais-</w:t>
      </w:r>
      <w:r w:rsidRPr="00FB4EFA">
        <w:rPr>
          <w:lang w:val="en-US"/>
        </w:rPr>
        <w:t>/</w:t>
      </w:r>
      <w:r w:rsidRPr="00FB4EFA">
        <w:rPr>
          <w:i/>
          <w:iCs/>
          <w:lang w:val="en-US"/>
        </w:rPr>
        <w:t>mies-</w:t>
      </w:r>
      <w:r w:rsidRPr="00FB4EFA">
        <w:rPr>
          <w:lang w:val="en-US"/>
        </w:rPr>
        <w:t xml:space="preserve"> forms constitute only 0.81% of all instances.</w:t>
      </w:r>
      <w:r w:rsidRPr="00FB4EFA">
        <w:rPr>
          <w:vertAlign w:val="superscript"/>
        </w:rPr>
        <w:footnoteReference w:id="147"/>
      </w:r>
      <w:r w:rsidRPr="00FB4EFA">
        <w:rPr>
          <w:lang w:val="en-US"/>
        </w:rPr>
        <w:t xml:space="preserve"> This neat correspondence probably shows that these jobs (at least in Finnish) are generally prone to specify the gender of people doing them.</w:t>
      </w:r>
    </w:p>
    <w:p w14:paraId="7E041D1C" w14:textId="3D8B3F06" w:rsidR="00EC74AD" w:rsidRPr="00FB4EFA" w:rsidRDefault="00EC74AD" w:rsidP="00AF0CAD">
      <w:pPr>
        <w:ind w:firstLine="720"/>
        <w:rPr>
          <w:lang w:val="en-US"/>
        </w:rPr>
      </w:pPr>
      <w:r w:rsidRPr="00FB4EFA">
        <w:rPr>
          <w:lang w:val="en-US"/>
        </w:rPr>
        <w:t>In Estonian, for most job titles, the respective percentage</w:t>
      </w:r>
      <w:r w:rsidR="00917AA2" w:rsidRPr="00FB4EFA">
        <w:rPr>
          <w:lang w:val="en-US"/>
        </w:rPr>
        <w:t>s</w:t>
      </w:r>
      <w:r w:rsidRPr="00FB4EFA">
        <w:rPr>
          <w:lang w:val="en-US"/>
        </w:rPr>
        <w:t xml:space="preserve"> of gendered variants </w:t>
      </w:r>
      <w:r w:rsidR="00917AA2" w:rsidRPr="00FB4EFA">
        <w:rPr>
          <w:lang w:val="en-US"/>
        </w:rPr>
        <w:t>are</w:t>
      </w:r>
      <w:r w:rsidRPr="00FB4EFA">
        <w:rPr>
          <w:lang w:val="en-US"/>
        </w:rPr>
        <w:t xml:space="preserve"> below 1%, with two exceptions: </w:t>
      </w:r>
      <w:r w:rsidRPr="00FB4EFA">
        <w:rPr>
          <w:i/>
          <w:iCs/>
          <w:lang w:val="en-US"/>
        </w:rPr>
        <w:t>näitleja</w:t>
      </w:r>
      <w:r w:rsidRPr="00FB4EFA">
        <w:rPr>
          <w:lang w:val="en-US"/>
        </w:rPr>
        <w:t xml:space="preserve"> ‘actor’ </w:t>
      </w:r>
      <w:r w:rsidRPr="00FB4EFA">
        <w:rPr>
          <w:lang w:val="en-US"/>
        </w:rPr>
        <w:lastRenderedPageBreak/>
        <w:t xml:space="preserve">(3.03%) and </w:t>
      </w:r>
      <w:r w:rsidRPr="00FB4EFA">
        <w:rPr>
          <w:i/>
          <w:iCs/>
          <w:lang w:val="en-US"/>
        </w:rPr>
        <w:t>lendur</w:t>
      </w:r>
      <w:r w:rsidRPr="00FB4EFA">
        <w:rPr>
          <w:lang w:val="en-US"/>
        </w:rPr>
        <w:t xml:space="preserve"> ‘pilot’ (2.11%). Besides gendered variants </w:t>
      </w:r>
      <w:r w:rsidR="008E13C9" w:rsidRPr="00FB4EFA">
        <w:rPr>
          <w:lang w:val="en-US"/>
        </w:rPr>
        <w:t>with</w:t>
      </w:r>
      <w:r w:rsidRPr="00FB4EFA">
        <w:rPr>
          <w:lang w:val="en-US"/>
        </w:rPr>
        <w:t xml:space="preserve"> </w:t>
      </w:r>
      <w:r w:rsidRPr="00FB4EFA">
        <w:rPr>
          <w:i/>
          <w:iCs/>
          <w:lang w:val="en-US"/>
        </w:rPr>
        <w:t>nais-</w:t>
      </w:r>
      <w:r w:rsidRPr="00FB4EFA">
        <w:rPr>
          <w:lang w:val="en-US"/>
        </w:rPr>
        <w:t xml:space="preserve"> and </w:t>
      </w:r>
      <w:r w:rsidRPr="00FB4EFA">
        <w:rPr>
          <w:i/>
          <w:iCs/>
          <w:lang w:val="en-US"/>
        </w:rPr>
        <w:t>mees-</w:t>
      </w:r>
      <w:r w:rsidRPr="00FB4EFA">
        <w:rPr>
          <w:lang w:val="en-US"/>
        </w:rPr>
        <w:t xml:space="preserve">, </w:t>
      </w:r>
      <w:r w:rsidRPr="00FB4EFA">
        <w:rPr>
          <w:i/>
          <w:iCs/>
          <w:lang w:val="en-US"/>
        </w:rPr>
        <w:t>näitleja</w:t>
      </w:r>
      <w:r w:rsidRPr="00FB4EFA">
        <w:rPr>
          <w:lang w:val="en-US"/>
        </w:rPr>
        <w:t xml:space="preserve"> ‘actor’ can also take the feminine suffixes </w:t>
      </w:r>
      <w:r w:rsidRPr="00FB4EFA">
        <w:rPr>
          <w:i/>
          <w:iCs/>
          <w:lang w:val="en-US"/>
        </w:rPr>
        <w:noBreakHyphen/>
        <w:t>nna</w:t>
      </w:r>
      <w:r w:rsidRPr="00FB4EFA">
        <w:rPr>
          <w:lang w:val="en-US"/>
        </w:rPr>
        <w:t xml:space="preserve"> and </w:t>
      </w:r>
      <w:r w:rsidRPr="00FB4EFA">
        <w:rPr>
          <w:i/>
          <w:iCs/>
          <w:lang w:val="en-US"/>
        </w:rPr>
        <w:noBreakHyphen/>
        <w:t>tar</w:t>
      </w:r>
      <w:r w:rsidRPr="00FB4EFA">
        <w:rPr>
          <w:lang w:val="en-US"/>
        </w:rPr>
        <w:t xml:space="preserve">: </w:t>
      </w:r>
      <w:r w:rsidRPr="00FB4EFA">
        <w:rPr>
          <w:i/>
          <w:iCs/>
          <w:lang w:val="en-US"/>
        </w:rPr>
        <w:t>näitlejanna</w:t>
      </w:r>
      <w:r w:rsidRPr="00FB4EFA">
        <w:rPr>
          <w:lang w:val="en-US"/>
        </w:rPr>
        <w:t xml:space="preserve"> and </w:t>
      </w:r>
      <w:r w:rsidRPr="00FB4EFA">
        <w:rPr>
          <w:i/>
          <w:iCs/>
          <w:lang w:val="en-US"/>
        </w:rPr>
        <w:t>näitlejatar</w:t>
      </w:r>
      <w:r w:rsidRPr="00FB4EFA">
        <w:rPr>
          <w:lang w:val="en-US"/>
        </w:rPr>
        <w:t xml:space="preserve"> ‘actress’ (see Section 3.2.1). The total occurrences of the four gendered variants (</w:t>
      </w:r>
      <w:r w:rsidRPr="00FB4EFA">
        <w:rPr>
          <w:i/>
          <w:iCs/>
          <w:lang w:val="en-US"/>
        </w:rPr>
        <w:t>meesnäitleja</w:t>
      </w:r>
      <w:r w:rsidRPr="00FB4EFA">
        <w:rPr>
          <w:lang w:val="en-US"/>
        </w:rPr>
        <w:t xml:space="preserve">, </w:t>
      </w:r>
      <w:r w:rsidRPr="00FB4EFA">
        <w:rPr>
          <w:i/>
          <w:iCs/>
          <w:lang w:val="en-US"/>
        </w:rPr>
        <w:t>naisnäitleja</w:t>
      </w:r>
      <w:r w:rsidRPr="00FB4EFA">
        <w:rPr>
          <w:lang w:val="en-US"/>
        </w:rPr>
        <w:t xml:space="preserve">, </w:t>
      </w:r>
      <w:r w:rsidR="00AC2528" w:rsidRPr="00FB4EFA">
        <w:rPr>
          <w:lang w:val="en-US"/>
        </w:rPr>
        <w:br/>
      </w:r>
      <w:r w:rsidRPr="00FB4EFA">
        <w:rPr>
          <w:i/>
          <w:iCs/>
          <w:lang w:val="en-US"/>
        </w:rPr>
        <w:t>näitlejanna</w:t>
      </w:r>
      <w:r w:rsidRPr="00FB4EFA">
        <w:rPr>
          <w:lang w:val="en-US"/>
        </w:rPr>
        <w:t xml:space="preserve"> and </w:t>
      </w:r>
      <w:r w:rsidRPr="00FB4EFA">
        <w:rPr>
          <w:i/>
          <w:iCs/>
          <w:lang w:val="en-US"/>
        </w:rPr>
        <w:t>näitlejatar</w:t>
      </w:r>
      <w:r w:rsidRPr="00FB4EFA">
        <w:rPr>
          <w:lang w:val="en-US"/>
        </w:rPr>
        <w:t xml:space="preserve">) make up 17.09% of all occurrences of </w:t>
      </w:r>
      <w:r w:rsidRPr="00FB4EFA">
        <w:rPr>
          <w:i/>
          <w:iCs/>
          <w:lang w:val="en-US"/>
        </w:rPr>
        <w:t>näitleja</w:t>
      </w:r>
      <w:r w:rsidRPr="00FB4EFA">
        <w:rPr>
          <w:lang w:val="en-US"/>
        </w:rPr>
        <w:t xml:space="preserve"> ‘actor’. This percentage is much higher than for any other job title, which </w:t>
      </w:r>
      <w:r w:rsidR="00917AA2" w:rsidRPr="00FB4EFA">
        <w:rPr>
          <w:lang w:val="en-US"/>
        </w:rPr>
        <w:t>shows</w:t>
      </w:r>
      <w:r w:rsidRPr="00FB4EFA">
        <w:rPr>
          <w:lang w:val="en-US"/>
        </w:rPr>
        <w:t xml:space="preserve"> that speakers of Estonian are more prone to indicate the gender of an actor than of any other professional included in our study. In the case of </w:t>
      </w:r>
      <w:r w:rsidRPr="00FB4EFA">
        <w:rPr>
          <w:i/>
          <w:iCs/>
          <w:lang w:val="en-US"/>
        </w:rPr>
        <w:t>lendur</w:t>
      </w:r>
      <w:r w:rsidRPr="00FB4EFA">
        <w:rPr>
          <w:lang w:val="en-US"/>
        </w:rPr>
        <w:t xml:space="preserve"> ‘pilot’, however, </w:t>
      </w:r>
      <w:r w:rsidRPr="00FB4EFA">
        <w:rPr>
          <w:i/>
          <w:iCs/>
          <w:lang w:val="en-US"/>
        </w:rPr>
        <w:t>naislendur</w:t>
      </w:r>
      <w:r w:rsidRPr="00FB4EFA">
        <w:rPr>
          <w:lang w:val="en-US"/>
        </w:rPr>
        <w:t xml:space="preserve"> ‘female pilot’ was the only </w:t>
      </w:r>
      <w:r w:rsidR="00AC2528" w:rsidRPr="00FB4EFA">
        <w:rPr>
          <w:lang w:val="en-US"/>
        </w:rPr>
        <w:br/>
      </w:r>
      <w:r w:rsidRPr="00FB4EFA">
        <w:rPr>
          <w:lang w:val="en-US"/>
        </w:rPr>
        <w:t xml:space="preserve">gendered variant attested in the corpus, while </w:t>
      </w:r>
      <w:r w:rsidRPr="00FB4EFA">
        <w:rPr>
          <w:i/>
          <w:iCs/>
          <w:lang w:val="en-US"/>
        </w:rPr>
        <w:t>meeslendur</w:t>
      </w:r>
      <w:r w:rsidRPr="00FB4EFA">
        <w:rPr>
          <w:lang w:val="en-US"/>
        </w:rPr>
        <w:t xml:space="preserve"> ‘male pilot’ did not occur at all.</w:t>
      </w:r>
    </w:p>
    <w:p w14:paraId="7EDDAF4F" w14:textId="0092EF97" w:rsidR="00EC74AD" w:rsidRPr="00FB4EFA" w:rsidRDefault="00EC74AD" w:rsidP="00AF0CAD">
      <w:pPr>
        <w:ind w:firstLine="720"/>
        <w:rPr>
          <w:lang w:val="en-US"/>
        </w:rPr>
      </w:pPr>
      <w:r w:rsidRPr="00FB4EFA">
        <w:rPr>
          <w:lang w:val="en-US"/>
        </w:rPr>
        <w:t>To take a closer look at the ratio of job titles with feminine and masculine prefixes, we considered 19 job titles with more than 50 occurrences in Finnish and 20 job titles with more than 10 occurrences in Estonian. In Finnish, these job titles split into three more or less equal groups based on how common each of the gendered variants is. On the one hand, there are six job titles for which the female variant is much more common (female/male ratio from</w:t>
      </w:r>
      <w:r w:rsidR="008E13C9" w:rsidRPr="00FB4EFA">
        <w:rPr>
          <w:lang w:val="en-US"/>
        </w:rPr>
        <w:t xml:space="preserve"> 7 to</w:t>
      </w:r>
      <w:r w:rsidRPr="00FB4EFA">
        <w:rPr>
          <w:lang w:val="en-US"/>
        </w:rPr>
        <w:t xml:space="preserve"> 12.5), namely </w:t>
      </w:r>
      <w:r w:rsidRPr="00FB4EFA">
        <w:rPr>
          <w:i/>
          <w:iCs/>
          <w:lang w:val="en-US"/>
        </w:rPr>
        <w:t>pappi</w:t>
      </w:r>
      <w:r w:rsidRPr="00FB4EFA">
        <w:rPr>
          <w:lang w:val="en-US"/>
        </w:rPr>
        <w:t xml:space="preserve"> ‘priest’, </w:t>
      </w:r>
      <w:r w:rsidRPr="00FB4EFA">
        <w:rPr>
          <w:i/>
          <w:iCs/>
          <w:lang w:val="en-US"/>
        </w:rPr>
        <w:t>paimen</w:t>
      </w:r>
      <w:r w:rsidRPr="00FB4EFA">
        <w:rPr>
          <w:lang w:val="en-US"/>
        </w:rPr>
        <w:t xml:space="preserve"> ‘shepherd’ (predominately in religious contexts), </w:t>
      </w:r>
      <w:r w:rsidRPr="00FB4EFA">
        <w:rPr>
          <w:i/>
          <w:iCs/>
          <w:lang w:val="en-US"/>
        </w:rPr>
        <w:t>sotilas</w:t>
      </w:r>
      <w:r w:rsidRPr="00FB4EFA">
        <w:rPr>
          <w:lang w:val="en-US"/>
        </w:rPr>
        <w:t xml:space="preserve"> and </w:t>
      </w:r>
      <w:r w:rsidR="00AC2528" w:rsidRPr="00FB4EFA">
        <w:rPr>
          <w:lang w:val="en-US"/>
        </w:rPr>
        <w:br/>
      </w:r>
      <w:r w:rsidRPr="00FB4EFA">
        <w:rPr>
          <w:i/>
          <w:iCs/>
          <w:lang w:val="en-US"/>
        </w:rPr>
        <w:t>varusmies</w:t>
      </w:r>
      <w:r w:rsidRPr="00FB4EFA">
        <w:rPr>
          <w:lang w:val="en-US"/>
        </w:rPr>
        <w:t xml:space="preserve"> ‘soldier’, </w:t>
      </w:r>
      <w:r w:rsidRPr="00FB4EFA">
        <w:rPr>
          <w:i/>
          <w:iCs/>
          <w:lang w:val="en-US"/>
        </w:rPr>
        <w:t>lentäjä</w:t>
      </w:r>
      <w:r w:rsidRPr="00FB4EFA">
        <w:rPr>
          <w:lang w:val="en-US"/>
        </w:rPr>
        <w:t xml:space="preserve"> ‘pilot’, and </w:t>
      </w:r>
      <w:r w:rsidRPr="00FB4EFA">
        <w:rPr>
          <w:i/>
          <w:iCs/>
          <w:lang w:val="en-US"/>
        </w:rPr>
        <w:t>metsästäjä</w:t>
      </w:r>
      <w:r w:rsidRPr="00FB4EFA">
        <w:rPr>
          <w:lang w:val="en-US"/>
        </w:rPr>
        <w:t xml:space="preserve"> ‘hunter’. These are jobs that are often seen as stereotypically male and/or are usually done by men. On the other hand, there are five jobs where the male variant is more common (female/male ratio under 1), namely </w:t>
      </w:r>
      <w:r w:rsidRPr="00FB4EFA">
        <w:rPr>
          <w:i/>
          <w:iCs/>
          <w:lang w:val="en-US"/>
        </w:rPr>
        <w:t>kätilö</w:t>
      </w:r>
      <w:r w:rsidRPr="00FB4EFA">
        <w:rPr>
          <w:lang w:val="en-US"/>
        </w:rPr>
        <w:t xml:space="preserve"> ‘midwife’, </w:t>
      </w:r>
      <w:r w:rsidRPr="00FB4EFA">
        <w:rPr>
          <w:i/>
          <w:iCs/>
          <w:lang w:val="en-US"/>
        </w:rPr>
        <w:t>hoitaja</w:t>
      </w:r>
      <w:r w:rsidRPr="00FB4EFA">
        <w:rPr>
          <w:lang w:val="en-US"/>
        </w:rPr>
        <w:t xml:space="preserve"> ‘nurse’, </w:t>
      </w:r>
      <w:r w:rsidRPr="00FB4EFA">
        <w:rPr>
          <w:i/>
          <w:iCs/>
          <w:lang w:val="en-US"/>
        </w:rPr>
        <w:t>siivooja</w:t>
      </w:r>
      <w:r w:rsidRPr="00FB4EFA">
        <w:rPr>
          <w:lang w:val="en-US"/>
        </w:rPr>
        <w:t xml:space="preserve"> ‘cleaner’, </w:t>
      </w:r>
      <w:r w:rsidRPr="00FB4EFA">
        <w:rPr>
          <w:i/>
          <w:iCs/>
          <w:lang w:val="en-US"/>
        </w:rPr>
        <w:t>palvelija</w:t>
      </w:r>
      <w:r w:rsidRPr="00FB4EFA">
        <w:rPr>
          <w:lang w:val="en-US"/>
        </w:rPr>
        <w:t xml:space="preserve"> ‘servant’, </w:t>
      </w:r>
      <w:r w:rsidRPr="00FB4EFA">
        <w:rPr>
          <w:i/>
          <w:iCs/>
          <w:lang w:val="en-US"/>
        </w:rPr>
        <w:t>kokki</w:t>
      </w:r>
      <w:r w:rsidRPr="00FB4EFA">
        <w:rPr>
          <w:lang w:val="en-US"/>
        </w:rPr>
        <w:t xml:space="preserve"> ‘cook, chef’. These are jobs that are often seen as stereotypically female and/or are usually done by women. For the remaining eight job titles, the female variant is more frequent, but the ratio is not as high (from 1 to 4). These job titles are </w:t>
      </w:r>
      <w:r w:rsidRPr="00FB4EFA">
        <w:rPr>
          <w:i/>
          <w:iCs/>
          <w:lang w:val="en-US"/>
        </w:rPr>
        <w:t>näyttelijä</w:t>
      </w:r>
      <w:r w:rsidRPr="00FB4EFA">
        <w:rPr>
          <w:lang w:val="en-US"/>
        </w:rPr>
        <w:t xml:space="preserve"> ‘actor/actress’, </w:t>
      </w:r>
      <w:r w:rsidRPr="00FB4EFA">
        <w:rPr>
          <w:i/>
          <w:iCs/>
          <w:lang w:val="en-US"/>
        </w:rPr>
        <w:t>myyjä</w:t>
      </w:r>
      <w:r w:rsidRPr="00FB4EFA">
        <w:rPr>
          <w:lang w:val="en-US"/>
        </w:rPr>
        <w:t xml:space="preserve"> ‘salesperson’, </w:t>
      </w:r>
      <w:r w:rsidRPr="00FB4EFA">
        <w:rPr>
          <w:i/>
          <w:iCs/>
          <w:lang w:val="en-US"/>
        </w:rPr>
        <w:t>opiskelija</w:t>
      </w:r>
      <w:r w:rsidRPr="00FB4EFA">
        <w:rPr>
          <w:lang w:val="en-US"/>
        </w:rPr>
        <w:t xml:space="preserve"> </w:t>
      </w:r>
      <w:r w:rsidR="00AC2528" w:rsidRPr="00FB4EFA">
        <w:rPr>
          <w:lang w:val="en-US"/>
        </w:rPr>
        <w:br/>
      </w:r>
      <w:r w:rsidRPr="00FB4EFA">
        <w:rPr>
          <w:lang w:val="en-US"/>
        </w:rPr>
        <w:t xml:space="preserve">‘student’, </w:t>
      </w:r>
      <w:r w:rsidRPr="00FB4EFA">
        <w:rPr>
          <w:i/>
          <w:iCs/>
          <w:lang w:val="en-US"/>
        </w:rPr>
        <w:t>opettaja</w:t>
      </w:r>
      <w:r w:rsidRPr="00FB4EFA">
        <w:rPr>
          <w:lang w:val="en-US"/>
        </w:rPr>
        <w:t xml:space="preserve"> ‘teacher’, </w:t>
      </w:r>
      <w:r w:rsidRPr="00FB4EFA">
        <w:rPr>
          <w:i/>
          <w:iCs/>
          <w:lang w:val="en-US"/>
        </w:rPr>
        <w:t>lääkäri</w:t>
      </w:r>
      <w:r w:rsidRPr="00FB4EFA">
        <w:rPr>
          <w:lang w:val="en-US"/>
        </w:rPr>
        <w:t xml:space="preserve"> ‘doctor, physician’, </w:t>
      </w:r>
      <w:r w:rsidRPr="00FB4EFA">
        <w:rPr>
          <w:i/>
          <w:iCs/>
          <w:lang w:val="en-US"/>
        </w:rPr>
        <w:t>johtaja</w:t>
      </w:r>
      <w:r w:rsidRPr="00FB4EFA">
        <w:rPr>
          <w:lang w:val="en-US"/>
        </w:rPr>
        <w:t xml:space="preserve"> and </w:t>
      </w:r>
      <w:r w:rsidR="00917AA2" w:rsidRPr="00FB4EFA">
        <w:rPr>
          <w:lang w:val="en-US"/>
        </w:rPr>
        <w:br/>
      </w:r>
      <w:r w:rsidRPr="00FB4EFA">
        <w:rPr>
          <w:i/>
          <w:iCs/>
          <w:lang w:val="en-US"/>
        </w:rPr>
        <w:t>esimies</w:t>
      </w:r>
      <w:r w:rsidR="00917AA2" w:rsidRPr="00FB4EFA">
        <w:rPr>
          <w:lang w:val="en-US"/>
        </w:rPr>
        <w:t>, both</w:t>
      </w:r>
      <w:r w:rsidRPr="00FB4EFA">
        <w:rPr>
          <w:lang w:val="en-US"/>
        </w:rPr>
        <w:t xml:space="preserve"> ‘boss, director’ (for the latter two the female/male ratio is close to the upper value, i.e.</w:t>
      </w:r>
      <w:r w:rsidR="00A75644" w:rsidRPr="00FB4EFA">
        <w:rPr>
          <w:lang w:val="en-US"/>
        </w:rPr>
        <w:t>,</w:t>
      </w:r>
      <w:r w:rsidRPr="00FB4EFA">
        <w:rPr>
          <w:lang w:val="en-US"/>
        </w:rPr>
        <w:t xml:space="preserve"> around 4). These jobs are probably seen as relatively neutral, and they are often done by both men and women.</w:t>
      </w:r>
    </w:p>
    <w:p w14:paraId="199B5885" w14:textId="57E76F02" w:rsidR="00EC74AD" w:rsidRPr="00FB4EFA" w:rsidRDefault="00EC74AD" w:rsidP="00AF0CAD">
      <w:pPr>
        <w:ind w:firstLine="720"/>
        <w:rPr>
          <w:lang w:val="en-US"/>
        </w:rPr>
      </w:pPr>
      <w:r w:rsidRPr="00FB4EFA">
        <w:rPr>
          <w:lang w:val="en-US"/>
        </w:rPr>
        <w:t xml:space="preserve">In Estonian, with three of the 20 job titles, only the feminine prefix </w:t>
      </w:r>
      <w:r w:rsidRPr="00FB4EFA">
        <w:rPr>
          <w:i/>
          <w:iCs/>
          <w:lang w:val="en-US"/>
        </w:rPr>
        <w:t>nais-</w:t>
      </w:r>
      <w:r w:rsidRPr="00FB4EFA">
        <w:rPr>
          <w:lang w:val="en-US"/>
        </w:rPr>
        <w:t xml:space="preserve"> was used, while variants with the prefix </w:t>
      </w:r>
      <w:r w:rsidRPr="00FB4EFA">
        <w:rPr>
          <w:i/>
          <w:iCs/>
          <w:lang w:val="en-US"/>
        </w:rPr>
        <w:t>mees-</w:t>
      </w:r>
      <w:r w:rsidRPr="00FB4EFA">
        <w:rPr>
          <w:lang w:val="en-US"/>
        </w:rPr>
        <w:t xml:space="preserve"> were not attested. These three job titles were </w:t>
      </w:r>
      <w:r w:rsidRPr="00FB4EFA">
        <w:rPr>
          <w:i/>
          <w:iCs/>
          <w:lang w:val="en-US"/>
        </w:rPr>
        <w:t>kirikuõpetaja</w:t>
      </w:r>
      <w:r w:rsidRPr="00FB4EFA">
        <w:rPr>
          <w:lang w:val="en-US"/>
        </w:rPr>
        <w:t xml:space="preserve"> ‘priest’ and the synonyms </w:t>
      </w:r>
      <w:r w:rsidRPr="00FB4EFA">
        <w:rPr>
          <w:i/>
          <w:iCs/>
          <w:lang w:val="en-US"/>
        </w:rPr>
        <w:t>piloot</w:t>
      </w:r>
      <w:r w:rsidRPr="00FB4EFA">
        <w:rPr>
          <w:lang w:val="en-US"/>
        </w:rPr>
        <w:t xml:space="preserve"> and </w:t>
      </w:r>
      <w:r w:rsidRPr="00FB4EFA">
        <w:rPr>
          <w:i/>
          <w:iCs/>
          <w:lang w:val="en-US"/>
        </w:rPr>
        <w:t>lendur</w:t>
      </w:r>
      <w:r w:rsidRPr="00FB4EFA">
        <w:rPr>
          <w:lang w:val="en-US"/>
        </w:rPr>
        <w:t xml:space="preserve"> ‘pilot’. For three more job titles, the female/male ratio was </w:t>
      </w:r>
      <w:r w:rsidRPr="00FB4EFA">
        <w:rPr>
          <w:lang w:val="en-US"/>
        </w:rPr>
        <w:lastRenderedPageBreak/>
        <w:t xml:space="preserve">very high (between 9 and 15): </w:t>
      </w:r>
      <w:r w:rsidRPr="00FB4EFA">
        <w:rPr>
          <w:i/>
          <w:iCs/>
          <w:lang w:val="en-US"/>
        </w:rPr>
        <w:t>jahimees</w:t>
      </w:r>
      <w:r w:rsidRPr="00FB4EFA">
        <w:rPr>
          <w:lang w:val="en-US"/>
        </w:rPr>
        <w:t xml:space="preserve"> ‘hunter’, </w:t>
      </w:r>
      <w:r w:rsidRPr="00FB4EFA">
        <w:rPr>
          <w:i/>
          <w:iCs/>
          <w:lang w:val="en-US"/>
        </w:rPr>
        <w:t>sõdur</w:t>
      </w:r>
      <w:r w:rsidRPr="00FB4EFA">
        <w:rPr>
          <w:lang w:val="en-US"/>
        </w:rPr>
        <w:t xml:space="preserve"> ‘soldier’ and </w:t>
      </w:r>
      <w:r w:rsidRPr="00FB4EFA">
        <w:rPr>
          <w:i/>
          <w:iCs/>
          <w:lang w:val="en-US"/>
        </w:rPr>
        <w:t>tuletõrjuja</w:t>
      </w:r>
      <w:r w:rsidRPr="00FB4EFA">
        <w:rPr>
          <w:lang w:val="en-US"/>
        </w:rPr>
        <w:t xml:space="preserve"> ‘firefighter’. Like in Finnish, the high female/male ratio seems to correlate with the profession being viewed as typically male. In contrast, a low female/male ratio is found with jobs which could be considered typically female, such as </w:t>
      </w:r>
      <w:r w:rsidRPr="00FB4EFA">
        <w:rPr>
          <w:i/>
          <w:iCs/>
          <w:lang w:val="en-US"/>
        </w:rPr>
        <w:t>lapsehoidja</w:t>
      </w:r>
      <w:r w:rsidRPr="00FB4EFA">
        <w:rPr>
          <w:lang w:val="en-US"/>
        </w:rPr>
        <w:t xml:space="preserve"> ‘nanny’ (0.1) and </w:t>
      </w:r>
      <w:r w:rsidRPr="00FB4EFA">
        <w:rPr>
          <w:i/>
          <w:iCs/>
          <w:lang w:val="en-US"/>
        </w:rPr>
        <w:t>hooldaja</w:t>
      </w:r>
      <w:r w:rsidRPr="00FB4EFA">
        <w:rPr>
          <w:lang w:val="en-US"/>
        </w:rPr>
        <w:t xml:space="preserve"> ‘caretaker’ (0.3). For seven jobs, the female/male ratio was between 0.6 and 1.3. This means that one of the two variants was generally more frequent, but the difference was not as big. For the professions </w:t>
      </w:r>
      <w:r w:rsidRPr="00FB4EFA">
        <w:rPr>
          <w:i/>
          <w:iCs/>
          <w:lang w:val="en-US"/>
        </w:rPr>
        <w:t xml:space="preserve">õpetaja </w:t>
      </w:r>
      <w:r w:rsidRPr="00FB4EFA">
        <w:rPr>
          <w:lang w:val="en-US"/>
        </w:rPr>
        <w:t xml:space="preserve">‘teacher’, </w:t>
      </w:r>
      <w:r w:rsidRPr="00FB4EFA">
        <w:rPr>
          <w:i/>
          <w:iCs/>
          <w:lang w:val="en-US"/>
        </w:rPr>
        <w:t>müüja</w:t>
      </w:r>
      <w:r w:rsidRPr="00FB4EFA">
        <w:rPr>
          <w:lang w:val="en-US"/>
        </w:rPr>
        <w:t xml:space="preserve"> ‘seller’ and </w:t>
      </w:r>
      <w:r w:rsidRPr="00FB4EFA">
        <w:rPr>
          <w:i/>
          <w:iCs/>
          <w:lang w:val="en-US"/>
        </w:rPr>
        <w:t>arst</w:t>
      </w:r>
      <w:r w:rsidRPr="00FB4EFA">
        <w:rPr>
          <w:lang w:val="en-US"/>
        </w:rPr>
        <w:t xml:space="preserve"> ‘doctor’, the female/</w:t>
      </w:r>
      <w:r w:rsidR="00917AA2" w:rsidRPr="00FB4EFA">
        <w:rPr>
          <w:lang w:val="en-US"/>
        </w:rPr>
        <w:t xml:space="preserve">male </w:t>
      </w:r>
      <w:r w:rsidRPr="00FB4EFA">
        <w:rPr>
          <w:lang w:val="en-US"/>
        </w:rPr>
        <w:t>ratio was between 0.6 and 0.76, i.e.</w:t>
      </w:r>
      <w:r w:rsidR="00F700B0" w:rsidRPr="00FB4EFA">
        <w:rPr>
          <w:lang w:val="en-US"/>
        </w:rPr>
        <w:t>,</w:t>
      </w:r>
      <w:r w:rsidRPr="00FB4EFA">
        <w:rPr>
          <w:lang w:val="en-US"/>
        </w:rPr>
        <w:t xml:space="preserve"> the male prefix was used slightly more often. For the professions </w:t>
      </w:r>
      <w:r w:rsidRPr="00FB4EFA">
        <w:rPr>
          <w:i/>
          <w:iCs/>
          <w:lang w:val="en-US"/>
        </w:rPr>
        <w:t>näitleja</w:t>
      </w:r>
      <w:r w:rsidRPr="00FB4EFA">
        <w:rPr>
          <w:lang w:val="en-US"/>
        </w:rPr>
        <w:t xml:space="preserve"> ‘actor’, </w:t>
      </w:r>
      <w:r w:rsidRPr="00FB4EFA">
        <w:rPr>
          <w:i/>
          <w:iCs/>
          <w:lang w:val="en-US"/>
        </w:rPr>
        <w:t>juhataja</w:t>
      </w:r>
      <w:r w:rsidRPr="00FB4EFA">
        <w:rPr>
          <w:lang w:val="en-US"/>
        </w:rPr>
        <w:t xml:space="preserve"> ‘chairman; manager; head (of an institution)’, </w:t>
      </w:r>
      <w:r w:rsidRPr="00FB4EFA">
        <w:rPr>
          <w:i/>
          <w:iCs/>
          <w:lang w:val="en-US"/>
        </w:rPr>
        <w:t>direktor</w:t>
      </w:r>
      <w:r w:rsidRPr="00FB4EFA">
        <w:rPr>
          <w:lang w:val="en-US"/>
        </w:rPr>
        <w:t xml:space="preserve"> ‘director; headmaster’ and </w:t>
      </w:r>
      <w:r w:rsidRPr="00FB4EFA">
        <w:rPr>
          <w:i/>
          <w:iCs/>
          <w:lang w:val="en-US"/>
        </w:rPr>
        <w:t>ülemus</w:t>
      </w:r>
      <w:r w:rsidRPr="00FB4EFA">
        <w:rPr>
          <w:lang w:val="en-US"/>
        </w:rPr>
        <w:t xml:space="preserve"> ‘boss’, the ratio was between 1.1 and 1.3, i.e.</w:t>
      </w:r>
      <w:r w:rsidR="00F700B0" w:rsidRPr="00FB4EFA">
        <w:rPr>
          <w:lang w:val="en-US"/>
        </w:rPr>
        <w:t>,</w:t>
      </w:r>
      <w:r w:rsidRPr="00FB4EFA">
        <w:rPr>
          <w:lang w:val="en-US"/>
        </w:rPr>
        <w:t xml:space="preserve"> the female prefix was used slightly more often. In addition, there were five jobs with a relatively high female/male ratio (between 2.2 and 7.8). These were </w:t>
      </w:r>
      <w:r w:rsidRPr="00FB4EFA">
        <w:rPr>
          <w:i/>
          <w:iCs/>
          <w:lang w:val="en-US"/>
        </w:rPr>
        <w:t>tudeng</w:t>
      </w:r>
      <w:r w:rsidRPr="00FB4EFA">
        <w:rPr>
          <w:lang w:val="en-US"/>
        </w:rPr>
        <w:t xml:space="preserve"> ‘university student’ (2.2), </w:t>
      </w:r>
      <w:r w:rsidRPr="00FB4EFA">
        <w:rPr>
          <w:i/>
          <w:iCs/>
          <w:lang w:val="en-US"/>
        </w:rPr>
        <w:t>koristaja</w:t>
      </w:r>
      <w:r w:rsidRPr="00FB4EFA">
        <w:rPr>
          <w:lang w:val="en-US"/>
        </w:rPr>
        <w:t xml:space="preserve"> ‘cleaner’ (4), </w:t>
      </w:r>
      <w:r w:rsidRPr="00FB4EFA">
        <w:rPr>
          <w:i/>
          <w:iCs/>
          <w:lang w:val="en-US"/>
        </w:rPr>
        <w:t>juht</w:t>
      </w:r>
      <w:r w:rsidRPr="00FB4EFA">
        <w:rPr>
          <w:lang w:val="en-US"/>
        </w:rPr>
        <w:t xml:space="preserve"> ‘leader; manager; driver (5), </w:t>
      </w:r>
      <w:r w:rsidRPr="00FB4EFA">
        <w:rPr>
          <w:i/>
          <w:iCs/>
          <w:lang w:val="en-US"/>
        </w:rPr>
        <w:t>vaimulik</w:t>
      </w:r>
      <w:r w:rsidRPr="00FB4EFA">
        <w:rPr>
          <w:lang w:val="en-US"/>
        </w:rPr>
        <w:t xml:space="preserve"> ‘cleric’ (5) and </w:t>
      </w:r>
      <w:r w:rsidRPr="00FB4EFA">
        <w:rPr>
          <w:i/>
          <w:iCs/>
          <w:lang w:val="en-US"/>
        </w:rPr>
        <w:t>üliõpilane</w:t>
      </w:r>
      <w:r w:rsidRPr="00FB4EFA">
        <w:rPr>
          <w:lang w:val="en-US"/>
        </w:rPr>
        <w:t xml:space="preserve"> ‘university student’ (7.8). In a nutshell, these numbers resemble the female/male ratios attested for the same job titles in Finnish, with one exception. With the Finnish word </w:t>
      </w:r>
      <w:r w:rsidRPr="00FB4EFA">
        <w:rPr>
          <w:i/>
          <w:iCs/>
          <w:lang w:val="en-US"/>
        </w:rPr>
        <w:t>siivooja</w:t>
      </w:r>
      <w:r w:rsidRPr="00FB4EFA">
        <w:rPr>
          <w:lang w:val="en-US"/>
        </w:rPr>
        <w:t xml:space="preserve"> ‘cleaner’, the male variant </w:t>
      </w:r>
      <w:r w:rsidR="008E13C9" w:rsidRPr="00FB4EFA">
        <w:rPr>
          <w:lang w:val="en-US"/>
        </w:rPr>
        <w:t>with</w:t>
      </w:r>
      <w:r w:rsidRPr="00FB4EFA">
        <w:rPr>
          <w:lang w:val="en-US"/>
        </w:rPr>
        <w:t xml:space="preserve"> </w:t>
      </w:r>
      <w:r w:rsidRPr="00FB4EFA">
        <w:rPr>
          <w:i/>
          <w:iCs/>
          <w:lang w:val="en-US"/>
        </w:rPr>
        <w:t>mies-</w:t>
      </w:r>
      <w:r w:rsidRPr="00FB4EFA">
        <w:rPr>
          <w:lang w:val="en-US"/>
        </w:rPr>
        <w:t xml:space="preserve"> was more often used than the female variant </w:t>
      </w:r>
      <w:r w:rsidR="003B02E6" w:rsidRPr="00FB4EFA">
        <w:rPr>
          <w:lang w:val="en-US"/>
        </w:rPr>
        <w:t>with</w:t>
      </w:r>
      <w:r w:rsidRPr="00FB4EFA">
        <w:rPr>
          <w:lang w:val="en-US"/>
        </w:rPr>
        <w:t xml:space="preserve"> </w:t>
      </w:r>
      <w:r w:rsidRPr="00FB4EFA">
        <w:rPr>
          <w:i/>
          <w:iCs/>
          <w:lang w:val="en-US"/>
        </w:rPr>
        <w:t>nais</w:t>
      </w:r>
      <w:r w:rsidR="00CC29AA" w:rsidRPr="00FB4EFA">
        <w:rPr>
          <w:i/>
          <w:iCs/>
          <w:lang w:val="en-US"/>
        </w:rPr>
        <w:noBreakHyphen/>
      </w:r>
      <w:r w:rsidRPr="00FB4EFA">
        <w:rPr>
          <w:i/>
          <w:iCs/>
          <w:lang w:val="en-US"/>
        </w:rPr>
        <w:t xml:space="preserve">. </w:t>
      </w:r>
      <w:r w:rsidRPr="00FB4EFA">
        <w:rPr>
          <w:lang w:val="en-US"/>
        </w:rPr>
        <w:t xml:space="preserve">As indicated by the female/male ratio of 4, the opposite was the case for its Estonian counterpart, </w:t>
      </w:r>
      <w:r w:rsidRPr="00FB4EFA">
        <w:rPr>
          <w:i/>
          <w:iCs/>
          <w:lang w:val="en-US"/>
        </w:rPr>
        <w:t>koristaja</w:t>
      </w:r>
      <w:r w:rsidRPr="00FB4EFA">
        <w:rPr>
          <w:lang w:val="en-US"/>
        </w:rPr>
        <w:t xml:space="preserve"> ‘cleaner’. For reasons yet to be determined, some (partly) synonymous words behave differently in </w:t>
      </w:r>
      <w:r w:rsidR="00CC29AA" w:rsidRPr="00FB4EFA">
        <w:rPr>
          <w:lang w:val="en-US"/>
        </w:rPr>
        <w:br/>
      </w:r>
      <w:r w:rsidRPr="00FB4EFA">
        <w:rPr>
          <w:lang w:val="en-US"/>
        </w:rPr>
        <w:t xml:space="preserve">respect to these prefixes, </w:t>
      </w:r>
      <w:r w:rsidR="00466236" w:rsidRPr="00FB4EFA">
        <w:rPr>
          <w:lang w:val="en-US"/>
        </w:rPr>
        <w:t>e.g., </w:t>
      </w:r>
      <w:r w:rsidRPr="00FB4EFA">
        <w:rPr>
          <w:i/>
          <w:iCs/>
          <w:lang w:val="en-US"/>
        </w:rPr>
        <w:t>tudeng</w:t>
      </w:r>
      <w:r w:rsidRPr="00FB4EFA">
        <w:rPr>
          <w:lang w:val="en-US"/>
        </w:rPr>
        <w:t xml:space="preserve"> and </w:t>
      </w:r>
      <w:r w:rsidRPr="00FB4EFA">
        <w:rPr>
          <w:i/>
          <w:iCs/>
          <w:lang w:val="en-US"/>
        </w:rPr>
        <w:t>üliõpilane</w:t>
      </w:r>
      <w:r w:rsidRPr="00FB4EFA">
        <w:rPr>
          <w:lang w:val="en-US"/>
        </w:rPr>
        <w:t xml:space="preserve"> both translate as ‘university student’, yet the latter has a significantly higher female/male ratio.</w:t>
      </w:r>
    </w:p>
    <w:p w14:paraId="779FB2AA" w14:textId="54FAE511" w:rsidR="00EC74AD" w:rsidRPr="00FB4EFA" w:rsidRDefault="00EC74AD" w:rsidP="002752AF">
      <w:pPr>
        <w:ind w:firstLine="720"/>
        <w:rPr>
          <w:lang w:val="en-US"/>
        </w:rPr>
      </w:pPr>
      <w:r w:rsidRPr="00FB4EFA">
        <w:rPr>
          <w:lang w:val="en-US"/>
        </w:rPr>
        <w:t>A generalization that can be formulated based on the data from both languages is that speakers are likely to specify the gender if it breaks a stereotype regarding a specific job (</w:t>
      </w:r>
      <w:r w:rsidR="00466236" w:rsidRPr="00FB4EFA">
        <w:rPr>
          <w:lang w:val="en-US"/>
        </w:rPr>
        <w:t>e.g., </w:t>
      </w:r>
      <w:r w:rsidRPr="00FB4EFA">
        <w:rPr>
          <w:lang w:val="en-US"/>
        </w:rPr>
        <w:t>a female soldier or a male midwife), while in neutral contexts they more often feel the need to specify that they are talking about a woman doing a specific job, while male interpretation is seen as default.</w:t>
      </w:r>
    </w:p>
    <w:p w14:paraId="4496277B" w14:textId="44C6E412" w:rsidR="00EC74AD" w:rsidRPr="00FB4EFA" w:rsidRDefault="00EC74AD" w:rsidP="002752AF">
      <w:pPr>
        <w:pStyle w:val="Heading3"/>
        <w:numPr>
          <w:ilvl w:val="1"/>
          <w:numId w:val="20"/>
        </w:numPr>
        <w:spacing w:line="259" w:lineRule="auto"/>
      </w:pPr>
      <w:r w:rsidRPr="00FB4EFA">
        <w:lastRenderedPageBreak/>
        <w:t>The job title has a feminine suffix to refer to a woman doing the job</w:t>
      </w:r>
    </w:p>
    <w:p w14:paraId="4F75801C" w14:textId="42C791C7" w:rsidR="00EC74AD" w:rsidRPr="00FB4EFA" w:rsidRDefault="00EC74AD" w:rsidP="002752AF">
      <w:pPr>
        <w:pStyle w:val="Heading4"/>
        <w:numPr>
          <w:ilvl w:val="2"/>
          <w:numId w:val="20"/>
        </w:numPr>
        <w:spacing w:line="259" w:lineRule="auto"/>
      </w:pPr>
      <w:r w:rsidRPr="00FB4EFA">
        <w:t>The job title takes a (productive) feminine suffix</w:t>
      </w:r>
    </w:p>
    <w:p w14:paraId="4C281DD5" w14:textId="5E5AFAEB" w:rsidR="000121EA" w:rsidRPr="00FB4EFA" w:rsidRDefault="00EC74AD" w:rsidP="002752AF">
      <w:pPr>
        <w:rPr>
          <w:lang w:val="en-US"/>
        </w:rPr>
      </w:pPr>
      <w:r w:rsidRPr="00FB4EFA">
        <w:rPr>
          <w:lang w:val="en-US"/>
        </w:rPr>
        <w:t>In two of the languages, Estonian and Finnish, female versions of job titles can be formed using a more or less productive feminine suffix. In this case, the title without a suffix can be either gender</w:t>
      </w:r>
      <w:r w:rsidR="00125E62" w:rsidRPr="00FB4EFA">
        <w:rPr>
          <w:lang w:val="en-US"/>
        </w:rPr>
        <w:t xml:space="preserve"> </w:t>
      </w:r>
      <w:r w:rsidRPr="00FB4EFA">
        <w:rPr>
          <w:lang w:val="en-US"/>
        </w:rPr>
        <w:t xml:space="preserve">neutral, </w:t>
      </w:r>
      <w:r w:rsidR="00466236" w:rsidRPr="00FB4EFA">
        <w:rPr>
          <w:lang w:val="en-US"/>
        </w:rPr>
        <w:t>e.g., </w:t>
      </w:r>
      <w:r w:rsidRPr="00FB4EFA">
        <w:rPr>
          <w:i/>
          <w:iCs/>
          <w:lang w:val="en-US"/>
        </w:rPr>
        <w:t>müüja</w:t>
      </w:r>
      <w:r w:rsidRPr="00FB4EFA">
        <w:rPr>
          <w:lang w:val="en-US"/>
        </w:rPr>
        <w:t xml:space="preserve"> ‘seller’ in Estonian or </w:t>
      </w:r>
      <w:r w:rsidRPr="00FB4EFA">
        <w:rPr>
          <w:i/>
          <w:iCs/>
          <w:lang w:val="en-US"/>
        </w:rPr>
        <w:t>johtaja</w:t>
      </w:r>
      <w:r w:rsidRPr="00FB4EFA">
        <w:rPr>
          <w:lang w:val="en-US"/>
        </w:rPr>
        <w:t xml:space="preserve"> ‘director, manager’ in Finnish, or masculine, </w:t>
      </w:r>
      <w:r w:rsidR="00466236" w:rsidRPr="00FB4EFA">
        <w:rPr>
          <w:lang w:val="en-US"/>
        </w:rPr>
        <w:t>e.g., </w:t>
      </w:r>
      <w:r w:rsidRPr="00FB4EFA">
        <w:rPr>
          <w:i/>
          <w:iCs/>
          <w:lang w:val="en-US"/>
        </w:rPr>
        <w:t>kuningas</w:t>
      </w:r>
      <w:r w:rsidRPr="00FB4EFA">
        <w:rPr>
          <w:lang w:val="en-US"/>
        </w:rPr>
        <w:t xml:space="preserve"> ‘king’ in both Estonian and Finnish.</w:t>
      </w:r>
    </w:p>
    <w:p w14:paraId="1C85ACB8" w14:textId="73327368" w:rsidR="00EC74AD" w:rsidRPr="00FB4EFA" w:rsidRDefault="00EC74AD" w:rsidP="002752AF">
      <w:pPr>
        <w:spacing w:after="240"/>
        <w:ind w:firstLine="720"/>
        <w:rPr>
          <w:lang w:val="en-US"/>
        </w:rPr>
      </w:pPr>
      <w:r w:rsidRPr="00FB4EFA">
        <w:rPr>
          <w:lang w:val="en-US"/>
        </w:rPr>
        <w:t xml:space="preserve">In Estonian, two suffixes can be used to form the female variants of job titles: </w:t>
      </w:r>
      <w:r w:rsidRPr="00FB4EFA">
        <w:rPr>
          <w:i/>
          <w:iCs/>
          <w:lang w:val="en-US"/>
        </w:rPr>
        <w:noBreakHyphen/>
        <w:t>nna</w:t>
      </w:r>
      <w:r w:rsidRPr="00FB4EFA">
        <w:rPr>
          <w:lang w:val="en-US"/>
        </w:rPr>
        <w:t xml:space="preserve"> and </w:t>
      </w:r>
      <w:r w:rsidRPr="00FB4EFA">
        <w:rPr>
          <w:i/>
          <w:iCs/>
          <w:lang w:val="en-US"/>
        </w:rPr>
        <w:noBreakHyphen/>
        <w:t>tar</w:t>
      </w:r>
      <w:r w:rsidRPr="00FB4EFA">
        <w:rPr>
          <w:lang w:val="en-US"/>
        </w:rPr>
        <w:t xml:space="preserve">. The list below provides an overview of the job titles for which the female variants </w:t>
      </w:r>
      <w:r w:rsidR="0039345E" w:rsidRPr="00FB4EFA">
        <w:rPr>
          <w:lang w:val="en-US"/>
        </w:rPr>
        <w:t>with</w:t>
      </w:r>
      <w:r w:rsidRPr="00FB4EFA">
        <w:rPr>
          <w:lang w:val="en-US"/>
        </w:rPr>
        <w:t xml:space="preserve"> </w:t>
      </w:r>
      <w:r w:rsidRPr="00FB4EFA">
        <w:rPr>
          <w:lang w:val="en-US"/>
        </w:rPr>
        <w:noBreakHyphen/>
      </w:r>
      <w:r w:rsidRPr="00FB4EFA">
        <w:rPr>
          <w:i/>
          <w:iCs/>
          <w:lang w:val="en-US"/>
        </w:rPr>
        <w:t>nna</w:t>
      </w:r>
      <w:r w:rsidRPr="00FB4EFA">
        <w:rPr>
          <w:lang w:val="en-US"/>
        </w:rPr>
        <w:t xml:space="preserve"> and </w:t>
      </w:r>
      <w:r w:rsidRPr="00FB4EFA">
        <w:rPr>
          <w:i/>
          <w:iCs/>
          <w:lang w:val="en-US"/>
        </w:rPr>
        <w:noBreakHyphen/>
        <w:t>tar</w:t>
      </w:r>
      <w:r w:rsidRPr="00FB4EFA">
        <w:rPr>
          <w:lang w:val="en-US"/>
        </w:rPr>
        <w:t xml:space="preserve"> appeared at least 10 times in the corpus. For each of these job titles, we counted the occurrences of all three variants (the neutral/masculine form as well as the female variants </w:t>
      </w:r>
      <w:r w:rsidR="0039345E" w:rsidRPr="00FB4EFA">
        <w:rPr>
          <w:lang w:val="en-US"/>
        </w:rPr>
        <w:t>with</w:t>
      </w:r>
      <w:r w:rsidRPr="00FB4EFA">
        <w:rPr>
          <w:lang w:val="en-US"/>
        </w:rPr>
        <w:t xml:space="preserve"> </w:t>
      </w:r>
      <w:r w:rsidRPr="00FB4EFA">
        <w:rPr>
          <w:i/>
          <w:iCs/>
          <w:lang w:val="en-US"/>
        </w:rPr>
        <w:noBreakHyphen/>
        <w:t xml:space="preserve">nna </w:t>
      </w:r>
      <w:r w:rsidRPr="00FB4EFA">
        <w:rPr>
          <w:lang w:val="en-US"/>
        </w:rPr>
        <w:t>and</w:t>
      </w:r>
      <w:r w:rsidRPr="00FB4EFA">
        <w:rPr>
          <w:i/>
          <w:iCs/>
          <w:lang w:val="en-US"/>
        </w:rPr>
        <w:t xml:space="preserve"> </w:t>
      </w:r>
      <w:r w:rsidRPr="00FB4EFA">
        <w:rPr>
          <w:i/>
          <w:iCs/>
          <w:lang w:val="en-US"/>
        </w:rPr>
        <w:noBreakHyphen/>
        <w:t>tar</w:t>
      </w:r>
      <w:r w:rsidRPr="00FB4EFA">
        <w:rPr>
          <w:lang w:val="en-US"/>
        </w:rPr>
        <w:t>) and calculated the percentage of each variant’s occurrences.</w:t>
      </w:r>
    </w:p>
    <w:tbl>
      <w:tblPr>
        <w:tblW w:w="6851" w:type="dxa"/>
        <w:tblLook w:val="04A0" w:firstRow="1" w:lastRow="0" w:firstColumn="1" w:lastColumn="0" w:noHBand="0" w:noVBand="1"/>
      </w:tblPr>
      <w:tblGrid>
        <w:gridCol w:w="1801"/>
        <w:gridCol w:w="1851"/>
        <w:gridCol w:w="1276"/>
        <w:gridCol w:w="1923"/>
      </w:tblGrid>
      <w:tr w:rsidR="00FB4EFA" w:rsidRPr="00FB4EFA" w14:paraId="18827C7B" w14:textId="77777777" w:rsidTr="00EC74AD">
        <w:tc>
          <w:tcPr>
            <w:tcW w:w="0" w:type="auto"/>
          </w:tcPr>
          <w:p w14:paraId="4F3FCF48" w14:textId="77777777" w:rsidR="00EC74AD" w:rsidRPr="00FB4EFA" w:rsidRDefault="00EC74AD" w:rsidP="00863238">
            <w:pPr>
              <w:spacing w:line="240" w:lineRule="auto"/>
              <w:rPr>
                <w:sz w:val="20"/>
                <w:szCs w:val="20"/>
              </w:rPr>
            </w:pPr>
            <w:r w:rsidRPr="00FB4EFA">
              <w:rPr>
                <w:i/>
                <w:iCs/>
                <w:sz w:val="20"/>
                <w:szCs w:val="20"/>
                <w:lang w:val="fi-FI"/>
              </w:rPr>
              <w:t>kuningas</w:t>
            </w:r>
            <w:r w:rsidRPr="00FB4EFA">
              <w:rPr>
                <w:sz w:val="20"/>
                <w:szCs w:val="20"/>
                <w:lang w:val="fi-FI"/>
              </w:rPr>
              <w:t xml:space="preserve"> ‘king’</w:t>
            </w:r>
            <w:r w:rsidRPr="00FB4EFA">
              <w:rPr>
                <w:sz w:val="20"/>
                <w:szCs w:val="20"/>
                <w:lang w:val="fi-FI"/>
              </w:rPr>
              <w:tab/>
            </w:r>
          </w:p>
        </w:tc>
        <w:tc>
          <w:tcPr>
            <w:tcW w:w="1851" w:type="dxa"/>
          </w:tcPr>
          <w:p w14:paraId="5DFFDF16" w14:textId="77777777" w:rsidR="00EC74AD" w:rsidRPr="00FB4EFA" w:rsidRDefault="00EC74AD" w:rsidP="00863238">
            <w:pPr>
              <w:spacing w:line="240" w:lineRule="auto"/>
              <w:jc w:val="right"/>
              <w:rPr>
                <w:sz w:val="20"/>
                <w:szCs w:val="20"/>
              </w:rPr>
            </w:pPr>
            <w:r w:rsidRPr="00FB4EFA">
              <w:rPr>
                <w:sz w:val="20"/>
                <w:szCs w:val="20"/>
                <w:lang w:val="fi-FI"/>
              </w:rPr>
              <w:t>39 216 (79.98%)</w:t>
            </w:r>
          </w:p>
        </w:tc>
        <w:tc>
          <w:tcPr>
            <w:tcW w:w="1276" w:type="dxa"/>
          </w:tcPr>
          <w:p w14:paraId="3C1E3858" w14:textId="77777777" w:rsidR="00EC74AD" w:rsidRPr="00FB4EFA" w:rsidRDefault="00EC74AD" w:rsidP="00863238">
            <w:pPr>
              <w:spacing w:line="240" w:lineRule="auto"/>
              <w:rPr>
                <w:sz w:val="20"/>
                <w:szCs w:val="20"/>
              </w:rPr>
            </w:pPr>
            <w:r w:rsidRPr="00FB4EFA">
              <w:rPr>
                <w:i/>
                <w:iCs/>
                <w:sz w:val="20"/>
                <w:szCs w:val="20"/>
                <w:lang w:val="fi-FI"/>
              </w:rPr>
              <w:t>kuninganna</w:t>
            </w:r>
          </w:p>
        </w:tc>
        <w:tc>
          <w:tcPr>
            <w:tcW w:w="1923" w:type="dxa"/>
          </w:tcPr>
          <w:p w14:paraId="6E644A47"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r>
            <w:r w:rsidRPr="00FB4EFA">
              <w:rPr>
                <w:sz w:val="20"/>
                <w:szCs w:val="20"/>
                <w:lang w:val="fi-FI"/>
              </w:rPr>
              <w:t>9 805</w:t>
            </w:r>
            <w:r w:rsidRPr="00FB4EFA">
              <w:rPr>
                <w:sz w:val="20"/>
                <w:szCs w:val="20"/>
                <w:lang w:val="en-US"/>
              </w:rPr>
              <w:tab/>
            </w:r>
            <w:r w:rsidRPr="00FB4EFA">
              <w:rPr>
                <w:sz w:val="20"/>
                <w:szCs w:val="20"/>
                <w:lang w:val="fi-FI"/>
              </w:rPr>
              <w:t>(20.00%)</w:t>
            </w:r>
          </w:p>
        </w:tc>
      </w:tr>
      <w:tr w:rsidR="00FB4EFA" w:rsidRPr="00FB4EFA" w14:paraId="503014F6" w14:textId="77777777" w:rsidTr="00EC74AD">
        <w:tc>
          <w:tcPr>
            <w:tcW w:w="0" w:type="auto"/>
          </w:tcPr>
          <w:p w14:paraId="60EE49BB" w14:textId="77777777" w:rsidR="00EC74AD" w:rsidRPr="00FB4EFA" w:rsidRDefault="00EC74AD" w:rsidP="00863238">
            <w:pPr>
              <w:spacing w:line="240" w:lineRule="auto"/>
              <w:rPr>
                <w:sz w:val="20"/>
                <w:szCs w:val="20"/>
              </w:rPr>
            </w:pPr>
          </w:p>
        </w:tc>
        <w:tc>
          <w:tcPr>
            <w:tcW w:w="1851" w:type="dxa"/>
          </w:tcPr>
          <w:p w14:paraId="308F7CFA" w14:textId="77777777" w:rsidR="00EC74AD" w:rsidRPr="00FB4EFA" w:rsidRDefault="00EC74AD" w:rsidP="00863238">
            <w:pPr>
              <w:spacing w:line="240" w:lineRule="auto"/>
              <w:jc w:val="right"/>
              <w:rPr>
                <w:sz w:val="20"/>
                <w:szCs w:val="20"/>
              </w:rPr>
            </w:pPr>
          </w:p>
        </w:tc>
        <w:tc>
          <w:tcPr>
            <w:tcW w:w="1276" w:type="dxa"/>
          </w:tcPr>
          <w:p w14:paraId="0BBA47D5" w14:textId="77777777" w:rsidR="00EC74AD" w:rsidRPr="00FB4EFA" w:rsidRDefault="00EC74AD" w:rsidP="00863238">
            <w:pPr>
              <w:spacing w:line="240" w:lineRule="auto"/>
              <w:rPr>
                <w:sz w:val="20"/>
                <w:szCs w:val="20"/>
              </w:rPr>
            </w:pPr>
            <w:r w:rsidRPr="00FB4EFA">
              <w:rPr>
                <w:i/>
                <w:iCs/>
                <w:sz w:val="20"/>
                <w:szCs w:val="20"/>
                <w:lang w:val="fi-FI"/>
              </w:rPr>
              <w:t>kuningatar</w:t>
            </w:r>
          </w:p>
        </w:tc>
        <w:tc>
          <w:tcPr>
            <w:tcW w:w="1923" w:type="dxa"/>
          </w:tcPr>
          <w:p w14:paraId="04627506"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14</w:t>
            </w:r>
            <w:r w:rsidRPr="00FB4EFA">
              <w:rPr>
                <w:sz w:val="20"/>
                <w:szCs w:val="20"/>
                <w:lang w:val="en-US"/>
              </w:rPr>
              <w:tab/>
              <w:t>(0.02%)</w:t>
            </w:r>
          </w:p>
        </w:tc>
      </w:tr>
      <w:tr w:rsidR="00FB4EFA" w:rsidRPr="00FB4EFA" w14:paraId="354C25A6" w14:textId="77777777" w:rsidTr="00EC74AD">
        <w:tc>
          <w:tcPr>
            <w:tcW w:w="0" w:type="auto"/>
          </w:tcPr>
          <w:p w14:paraId="5FA0FA88" w14:textId="77777777" w:rsidR="00EC74AD" w:rsidRPr="00FB4EFA" w:rsidRDefault="00EC74AD" w:rsidP="00863238">
            <w:pPr>
              <w:spacing w:line="240" w:lineRule="auto"/>
              <w:rPr>
                <w:sz w:val="20"/>
                <w:szCs w:val="20"/>
              </w:rPr>
            </w:pPr>
            <w:r w:rsidRPr="00FB4EFA">
              <w:rPr>
                <w:i/>
                <w:iCs/>
                <w:sz w:val="20"/>
                <w:szCs w:val="20"/>
                <w:lang w:val="fi-FI"/>
              </w:rPr>
              <w:t>näitleja</w:t>
            </w:r>
            <w:r w:rsidRPr="00FB4EFA">
              <w:rPr>
                <w:sz w:val="20"/>
                <w:szCs w:val="20"/>
                <w:lang w:val="fi-FI"/>
              </w:rPr>
              <w:t xml:space="preserve"> ‘actor’</w:t>
            </w:r>
            <w:r w:rsidRPr="00FB4EFA">
              <w:rPr>
                <w:sz w:val="20"/>
                <w:szCs w:val="20"/>
                <w:lang w:val="fi-FI"/>
              </w:rPr>
              <w:tab/>
            </w:r>
          </w:p>
        </w:tc>
        <w:tc>
          <w:tcPr>
            <w:tcW w:w="1851" w:type="dxa"/>
          </w:tcPr>
          <w:p w14:paraId="3DB81317" w14:textId="77777777" w:rsidR="00EC74AD" w:rsidRPr="00FB4EFA" w:rsidRDefault="00EC74AD" w:rsidP="00863238">
            <w:pPr>
              <w:spacing w:line="240" w:lineRule="auto"/>
              <w:jc w:val="right"/>
              <w:rPr>
                <w:sz w:val="20"/>
                <w:szCs w:val="20"/>
              </w:rPr>
            </w:pPr>
            <w:r w:rsidRPr="00FB4EFA">
              <w:rPr>
                <w:sz w:val="20"/>
                <w:szCs w:val="20"/>
                <w:lang w:val="fi-FI"/>
              </w:rPr>
              <w:t>43 495 (85.12%)</w:t>
            </w:r>
          </w:p>
        </w:tc>
        <w:tc>
          <w:tcPr>
            <w:tcW w:w="1276" w:type="dxa"/>
          </w:tcPr>
          <w:p w14:paraId="59C13178" w14:textId="77777777" w:rsidR="00EC74AD" w:rsidRPr="00FB4EFA" w:rsidRDefault="00EC74AD" w:rsidP="00863238">
            <w:pPr>
              <w:spacing w:line="240" w:lineRule="auto"/>
              <w:rPr>
                <w:sz w:val="20"/>
                <w:szCs w:val="20"/>
              </w:rPr>
            </w:pPr>
            <w:r w:rsidRPr="00FB4EFA">
              <w:rPr>
                <w:i/>
                <w:iCs/>
                <w:sz w:val="20"/>
                <w:szCs w:val="20"/>
                <w:lang w:val="fi-FI"/>
              </w:rPr>
              <w:t>näitlejanna</w:t>
            </w:r>
            <w:r w:rsidRPr="00FB4EFA">
              <w:rPr>
                <w:sz w:val="20"/>
                <w:szCs w:val="20"/>
                <w:lang w:val="fi-FI"/>
              </w:rPr>
              <w:t xml:space="preserve"> </w:t>
            </w:r>
          </w:p>
        </w:tc>
        <w:tc>
          <w:tcPr>
            <w:tcW w:w="1923" w:type="dxa"/>
          </w:tcPr>
          <w:p w14:paraId="6393B9CF"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5 906</w:t>
            </w:r>
            <w:r w:rsidRPr="00FB4EFA">
              <w:rPr>
                <w:sz w:val="20"/>
                <w:szCs w:val="20"/>
                <w:lang w:val="en-US"/>
              </w:rPr>
              <w:tab/>
              <w:t>(11.56%)</w:t>
            </w:r>
          </w:p>
        </w:tc>
      </w:tr>
      <w:tr w:rsidR="00FB4EFA" w:rsidRPr="00FB4EFA" w14:paraId="322D4547" w14:textId="77777777" w:rsidTr="00EC74AD">
        <w:tc>
          <w:tcPr>
            <w:tcW w:w="0" w:type="auto"/>
          </w:tcPr>
          <w:p w14:paraId="454D16EA" w14:textId="77777777" w:rsidR="00EC74AD" w:rsidRPr="00FB4EFA" w:rsidRDefault="00EC74AD" w:rsidP="00863238">
            <w:pPr>
              <w:spacing w:line="240" w:lineRule="auto"/>
              <w:rPr>
                <w:sz w:val="20"/>
                <w:szCs w:val="20"/>
              </w:rPr>
            </w:pPr>
          </w:p>
        </w:tc>
        <w:tc>
          <w:tcPr>
            <w:tcW w:w="1851" w:type="dxa"/>
          </w:tcPr>
          <w:p w14:paraId="3974DF08" w14:textId="77777777" w:rsidR="00EC74AD" w:rsidRPr="00FB4EFA" w:rsidRDefault="00EC74AD" w:rsidP="00863238">
            <w:pPr>
              <w:spacing w:line="240" w:lineRule="auto"/>
              <w:jc w:val="right"/>
              <w:rPr>
                <w:sz w:val="20"/>
                <w:szCs w:val="20"/>
              </w:rPr>
            </w:pPr>
          </w:p>
        </w:tc>
        <w:tc>
          <w:tcPr>
            <w:tcW w:w="1276" w:type="dxa"/>
          </w:tcPr>
          <w:p w14:paraId="539D0F72" w14:textId="77777777" w:rsidR="00EC74AD" w:rsidRPr="00FB4EFA" w:rsidRDefault="00EC74AD" w:rsidP="00863238">
            <w:pPr>
              <w:spacing w:line="240" w:lineRule="auto"/>
              <w:rPr>
                <w:sz w:val="20"/>
                <w:szCs w:val="20"/>
              </w:rPr>
            </w:pPr>
            <w:r w:rsidRPr="00FB4EFA">
              <w:rPr>
                <w:i/>
                <w:iCs/>
                <w:sz w:val="20"/>
                <w:szCs w:val="20"/>
                <w:lang w:val="fi-FI"/>
              </w:rPr>
              <w:t>näitlejatar</w:t>
            </w:r>
          </w:p>
        </w:tc>
        <w:tc>
          <w:tcPr>
            <w:tcW w:w="1923" w:type="dxa"/>
          </w:tcPr>
          <w:p w14:paraId="4B666493"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1 701</w:t>
            </w:r>
            <w:r w:rsidRPr="00FB4EFA">
              <w:rPr>
                <w:sz w:val="20"/>
                <w:szCs w:val="20"/>
                <w:lang w:val="en-US"/>
              </w:rPr>
              <w:tab/>
              <w:t>(3.32%)</w:t>
            </w:r>
          </w:p>
        </w:tc>
      </w:tr>
      <w:tr w:rsidR="00FB4EFA" w:rsidRPr="00FB4EFA" w14:paraId="77EFB561" w14:textId="77777777" w:rsidTr="00EC74AD">
        <w:tc>
          <w:tcPr>
            <w:tcW w:w="0" w:type="auto"/>
          </w:tcPr>
          <w:p w14:paraId="0DC78186" w14:textId="77777777" w:rsidR="00EC74AD" w:rsidRPr="00FB4EFA" w:rsidRDefault="00EC74AD" w:rsidP="00863238">
            <w:pPr>
              <w:spacing w:line="240" w:lineRule="auto"/>
              <w:rPr>
                <w:sz w:val="20"/>
                <w:szCs w:val="20"/>
              </w:rPr>
            </w:pPr>
            <w:r w:rsidRPr="00FB4EFA">
              <w:rPr>
                <w:i/>
                <w:iCs/>
                <w:sz w:val="20"/>
                <w:szCs w:val="20"/>
                <w:lang w:val="fi-FI"/>
              </w:rPr>
              <w:t>õmbleja</w:t>
            </w:r>
            <w:r w:rsidRPr="00FB4EFA">
              <w:rPr>
                <w:sz w:val="20"/>
                <w:szCs w:val="20"/>
                <w:lang w:val="fi-FI"/>
              </w:rPr>
              <w:t xml:space="preserve"> ‘sewer’</w:t>
            </w:r>
          </w:p>
        </w:tc>
        <w:tc>
          <w:tcPr>
            <w:tcW w:w="1851" w:type="dxa"/>
          </w:tcPr>
          <w:p w14:paraId="39C0A528" w14:textId="77777777" w:rsidR="00EC74AD" w:rsidRPr="00FB4EFA" w:rsidRDefault="00EC74AD" w:rsidP="00863238">
            <w:pPr>
              <w:spacing w:line="240" w:lineRule="auto"/>
              <w:jc w:val="right"/>
              <w:rPr>
                <w:sz w:val="20"/>
                <w:szCs w:val="20"/>
              </w:rPr>
            </w:pPr>
            <w:r w:rsidRPr="00FB4EFA">
              <w:rPr>
                <w:sz w:val="20"/>
                <w:szCs w:val="20"/>
                <w:lang w:val="fi-FI"/>
              </w:rPr>
              <w:t>1 604 (94.46%)</w:t>
            </w:r>
          </w:p>
        </w:tc>
        <w:tc>
          <w:tcPr>
            <w:tcW w:w="1276" w:type="dxa"/>
          </w:tcPr>
          <w:p w14:paraId="2E8CC134" w14:textId="77777777" w:rsidR="00EC74AD" w:rsidRPr="00FB4EFA" w:rsidRDefault="00EC74AD" w:rsidP="00863238">
            <w:pPr>
              <w:spacing w:line="240" w:lineRule="auto"/>
              <w:rPr>
                <w:sz w:val="20"/>
                <w:szCs w:val="20"/>
              </w:rPr>
            </w:pPr>
            <w:r w:rsidRPr="00FB4EFA">
              <w:rPr>
                <w:i/>
                <w:iCs/>
                <w:sz w:val="20"/>
                <w:szCs w:val="20"/>
                <w:lang w:val="fi-FI"/>
              </w:rPr>
              <w:t>õmblejanna</w:t>
            </w:r>
          </w:p>
        </w:tc>
        <w:tc>
          <w:tcPr>
            <w:tcW w:w="1923" w:type="dxa"/>
          </w:tcPr>
          <w:p w14:paraId="68DCC147"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94</w:t>
            </w:r>
            <w:r w:rsidRPr="00FB4EFA">
              <w:rPr>
                <w:sz w:val="20"/>
                <w:szCs w:val="20"/>
                <w:lang w:val="en-US"/>
              </w:rPr>
              <w:tab/>
              <w:t>(5.54%)</w:t>
            </w:r>
          </w:p>
        </w:tc>
      </w:tr>
      <w:tr w:rsidR="00FB4EFA" w:rsidRPr="00FB4EFA" w14:paraId="11C0B2C9" w14:textId="77777777" w:rsidTr="00EC74AD">
        <w:tc>
          <w:tcPr>
            <w:tcW w:w="0" w:type="auto"/>
          </w:tcPr>
          <w:p w14:paraId="420E3C5B" w14:textId="77777777" w:rsidR="00EC74AD" w:rsidRPr="00FB4EFA" w:rsidRDefault="00EC74AD" w:rsidP="00863238">
            <w:pPr>
              <w:spacing w:line="240" w:lineRule="auto"/>
              <w:rPr>
                <w:sz w:val="20"/>
                <w:szCs w:val="20"/>
              </w:rPr>
            </w:pPr>
            <w:r w:rsidRPr="00FB4EFA">
              <w:rPr>
                <w:i/>
                <w:iCs/>
                <w:sz w:val="20"/>
                <w:szCs w:val="20"/>
                <w:lang w:val="fi-FI"/>
              </w:rPr>
              <w:t>preester</w:t>
            </w:r>
            <w:r w:rsidRPr="00FB4EFA">
              <w:rPr>
                <w:sz w:val="20"/>
                <w:szCs w:val="20"/>
                <w:lang w:val="fi-FI"/>
              </w:rPr>
              <w:t xml:space="preserve"> ‘priest’</w:t>
            </w:r>
          </w:p>
        </w:tc>
        <w:tc>
          <w:tcPr>
            <w:tcW w:w="1851" w:type="dxa"/>
          </w:tcPr>
          <w:p w14:paraId="372E3B1D" w14:textId="77777777" w:rsidR="00EC74AD" w:rsidRPr="00FB4EFA" w:rsidRDefault="00EC74AD" w:rsidP="00863238">
            <w:pPr>
              <w:spacing w:line="240" w:lineRule="auto"/>
              <w:jc w:val="right"/>
              <w:rPr>
                <w:sz w:val="20"/>
                <w:szCs w:val="20"/>
              </w:rPr>
            </w:pPr>
            <w:r w:rsidRPr="00FB4EFA">
              <w:rPr>
                <w:sz w:val="20"/>
                <w:szCs w:val="20"/>
                <w:lang w:val="fi-FI"/>
              </w:rPr>
              <w:t>7 910 (97.88%)</w:t>
            </w:r>
          </w:p>
        </w:tc>
        <w:tc>
          <w:tcPr>
            <w:tcW w:w="1276" w:type="dxa"/>
          </w:tcPr>
          <w:p w14:paraId="039E8907" w14:textId="77777777" w:rsidR="00EC74AD" w:rsidRPr="00FB4EFA" w:rsidRDefault="00EC74AD" w:rsidP="00863238">
            <w:pPr>
              <w:spacing w:line="240" w:lineRule="auto"/>
              <w:rPr>
                <w:sz w:val="20"/>
                <w:szCs w:val="20"/>
              </w:rPr>
            </w:pPr>
            <w:r w:rsidRPr="00FB4EFA">
              <w:rPr>
                <w:i/>
                <w:iCs/>
                <w:sz w:val="20"/>
                <w:szCs w:val="20"/>
                <w:lang w:val="fi-FI"/>
              </w:rPr>
              <w:t>preestrinna</w:t>
            </w:r>
          </w:p>
        </w:tc>
        <w:tc>
          <w:tcPr>
            <w:tcW w:w="1923" w:type="dxa"/>
          </w:tcPr>
          <w:p w14:paraId="73FB7B93"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131</w:t>
            </w:r>
            <w:r w:rsidRPr="00FB4EFA">
              <w:rPr>
                <w:sz w:val="20"/>
                <w:szCs w:val="20"/>
                <w:lang w:val="en-US"/>
              </w:rPr>
              <w:tab/>
              <w:t>(1.78%)</w:t>
            </w:r>
          </w:p>
        </w:tc>
      </w:tr>
      <w:tr w:rsidR="00FB4EFA" w:rsidRPr="00FB4EFA" w14:paraId="5ED98245" w14:textId="77777777" w:rsidTr="00EC74AD">
        <w:tc>
          <w:tcPr>
            <w:tcW w:w="0" w:type="auto"/>
          </w:tcPr>
          <w:p w14:paraId="28979094" w14:textId="77777777" w:rsidR="00EC74AD" w:rsidRPr="00FB4EFA" w:rsidRDefault="00EC74AD" w:rsidP="00863238">
            <w:pPr>
              <w:spacing w:line="240" w:lineRule="auto"/>
              <w:rPr>
                <w:sz w:val="20"/>
                <w:szCs w:val="20"/>
              </w:rPr>
            </w:pPr>
          </w:p>
        </w:tc>
        <w:tc>
          <w:tcPr>
            <w:tcW w:w="1851" w:type="dxa"/>
          </w:tcPr>
          <w:p w14:paraId="59924326" w14:textId="77777777" w:rsidR="00EC74AD" w:rsidRPr="00FB4EFA" w:rsidRDefault="00EC74AD" w:rsidP="00863238">
            <w:pPr>
              <w:spacing w:line="240" w:lineRule="auto"/>
              <w:jc w:val="right"/>
              <w:rPr>
                <w:sz w:val="20"/>
                <w:szCs w:val="20"/>
              </w:rPr>
            </w:pPr>
          </w:p>
        </w:tc>
        <w:tc>
          <w:tcPr>
            <w:tcW w:w="1276" w:type="dxa"/>
          </w:tcPr>
          <w:p w14:paraId="5B26EA49" w14:textId="77777777" w:rsidR="00EC74AD" w:rsidRPr="00FB4EFA" w:rsidRDefault="00EC74AD" w:rsidP="00863238">
            <w:pPr>
              <w:spacing w:line="240" w:lineRule="auto"/>
              <w:rPr>
                <w:sz w:val="20"/>
                <w:szCs w:val="20"/>
              </w:rPr>
            </w:pPr>
            <w:r w:rsidRPr="00FB4EFA">
              <w:rPr>
                <w:i/>
                <w:iCs/>
                <w:sz w:val="20"/>
                <w:szCs w:val="20"/>
                <w:lang w:val="fi-FI"/>
              </w:rPr>
              <w:t>preestritar</w:t>
            </w:r>
          </w:p>
        </w:tc>
        <w:tc>
          <w:tcPr>
            <w:tcW w:w="1923" w:type="dxa"/>
          </w:tcPr>
          <w:p w14:paraId="7EF6D86B"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25</w:t>
            </w:r>
            <w:r w:rsidRPr="00FB4EFA">
              <w:rPr>
                <w:sz w:val="20"/>
                <w:szCs w:val="20"/>
                <w:lang w:val="en-US"/>
              </w:rPr>
              <w:tab/>
              <w:t>(0.34%)</w:t>
            </w:r>
          </w:p>
        </w:tc>
      </w:tr>
      <w:tr w:rsidR="00FB4EFA" w:rsidRPr="00FB4EFA" w14:paraId="02744D57" w14:textId="77777777" w:rsidTr="00EC74AD">
        <w:tc>
          <w:tcPr>
            <w:tcW w:w="0" w:type="auto"/>
          </w:tcPr>
          <w:p w14:paraId="59678594" w14:textId="77777777" w:rsidR="00EC74AD" w:rsidRPr="00FB4EFA" w:rsidRDefault="00EC74AD" w:rsidP="00863238">
            <w:pPr>
              <w:spacing w:line="240" w:lineRule="auto"/>
              <w:rPr>
                <w:sz w:val="20"/>
                <w:szCs w:val="20"/>
              </w:rPr>
            </w:pPr>
            <w:r w:rsidRPr="00FB4EFA">
              <w:rPr>
                <w:i/>
                <w:iCs/>
                <w:sz w:val="20"/>
                <w:szCs w:val="20"/>
                <w:lang w:val="fi-FI"/>
              </w:rPr>
              <w:t>müüja</w:t>
            </w:r>
            <w:r w:rsidRPr="00FB4EFA">
              <w:rPr>
                <w:sz w:val="20"/>
                <w:szCs w:val="20"/>
                <w:lang w:val="fi-FI"/>
              </w:rPr>
              <w:t xml:space="preserve"> ‘seller’</w:t>
            </w:r>
          </w:p>
        </w:tc>
        <w:tc>
          <w:tcPr>
            <w:tcW w:w="1851" w:type="dxa"/>
          </w:tcPr>
          <w:p w14:paraId="737C69E9" w14:textId="77777777" w:rsidR="00EC74AD" w:rsidRPr="00FB4EFA" w:rsidRDefault="00EC74AD" w:rsidP="00863238">
            <w:pPr>
              <w:spacing w:line="240" w:lineRule="auto"/>
              <w:jc w:val="right"/>
              <w:rPr>
                <w:sz w:val="20"/>
                <w:szCs w:val="20"/>
              </w:rPr>
            </w:pPr>
            <w:r w:rsidRPr="00FB4EFA">
              <w:rPr>
                <w:sz w:val="20"/>
                <w:szCs w:val="20"/>
                <w:lang w:val="fi-FI"/>
              </w:rPr>
              <w:t>59 143 (99.36%)</w:t>
            </w:r>
          </w:p>
        </w:tc>
        <w:tc>
          <w:tcPr>
            <w:tcW w:w="1276" w:type="dxa"/>
          </w:tcPr>
          <w:p w14:paraId="06F8061C" w14:textId="77777777" w:rsidR="00EC74AD" w:rsidRPr="00FB4EFA" w:rsidRDefault="00EC74AD" w:rsidP="00863238">
            <w:pPr>
              <w:spacing w:line="240" w:lineRule="auto"/>
              <w:rPr>
                <w:sz w:val="20"/>
                <w:szCs w:val="20"/>
              </w:rPr>
            </w:pPr>
            <w:r w:rsidRPr="00FB4EFA">
              <w:rPr>
                <w:i/>
                <w:iCs/>
                <w:sz w:val="20"/>
                <w:szCs w:val="20"/>
                <w:lang w:val="fi-FI"/>
              </w:rPr>
              <w:t>müüjanna</w:t>
            </w:r>
          </w:p>
        </w:tc>
        <w:tc>
          <w:tcPr>
            <w:tcW w:w="1923" w:type="dxa"/>
          </w:tcPr>
          <w:p w14:paraId="740F1A63"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314</w:t>
            </w:r>
            <w:r w:rsidRPr="00FB4EFA">
              <w:rPr>
                <w:sz w:val="20"/>
                <w:szCs w:val="20"/>
                <w:lang w:val="en-US"/>
              </w:rPr>
              <w:tab/>
              <w:t>(0.53%)</w:t>
            </w:r>
          </w:p>
        </w:tc>
      </w:tr>
      <w:tr w:rsidR="00FB4EFA" w:rsidRPr="00FB4EFA" w14:paraId="423D5DCB" w14:textId="77777777" w:rsidTr="00EC74AD">
        <w:tc>
          <w:tcPr>
            <w:tcW w:w="0" w:type="auto"/>
          </w:tcPr>
          <w:p w14:paraId="42C7C25F" w14:textId="77777777" w:rsidR="00EC74AD" w:rsidRPr="00FB4EFA" w:rsidRDefault="00EC74AD" w:rsidP="00863238">
            <w:pPr>
              <w:spacing w:line="240" w:lineRule="auto"/>
              <w:rPr>
                <w:sz w:val="20"/>
                <w:szCs w:val="20"/>
              </w:rPr>
            </w:pPr>
          </w:p>
        </w:tc>
        <w:tc>
          <w:tcPr>
            <w:tcW w:w="1851" w:type="dxa"/>
          </w:tcPr>
          <w:p w14:paraId="04788019" w14:textId="77777777" w:rsidR="00EC74AD" w:rsidRPr="00FB4EFA" w:rsidRDefault="00EC74AD" w:rsidP="00863238">
            <w:pPr>
              <w:spacing w:line="240" w:lineRule="auto"/>
              <w:jc w:val="right"/>
              <w:rPr>
                <w:sz w:val="20"/>
                <w:szCs w:val="20"/>
              </w:rPr>
            </w:pPr>
          </w:p>
        </w:tc>
        <w:tc>
          <w:tcPr>
            <w:tcW w:w="1276" w:type="dxa"/>
          </w:tcPr>
          <w:p w14:paraId="1DD6F170" w14:textId="77777777" w:rsidR="00EC74AD" w:rsidRPr="00FB4EFA" w:rsidRDefault="00EC74AD" w:rsidP="00863238">
            <w:pPr>
              <w:spacing w:line="240" w:lineRule="auto"/>
              <w:rPr>
                <w:sz w:val="20"/>
                <w:szCs w:val="20"/>
              </w:rPr>
            </w:pPr>
            <w:r w:rsidRPr="00FB4EFA">
              <w:rPr>
                <w:i/>
                <w:iCs/>
                <w:sz w:val="20"/>
                <w:szCs w:val="20"/>
                <w:lang w:val="fi-FI"/>
              </w:rPr>
              <w:t>müüjatar</w:t>
            </w:r>
          </w:p>
        </w:tc>
        <w:tc>
          <w:tcPr>
            <w:tcW w:w="1923" w:type="dxa"/>
          </w:tcPr>
          <w:p w14:paraId="59F90B8F"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66</w:t>
            </w:r>
            <w:r w:rsidRPr="00FB4EFA">
              <w:rPr>
                <w:sz w:val="20"/>
                <w:szCs w:val="20"/>
                <w:lang w:val="en-US"/>
              </w:rPr>
              <w:tab/>
              <w:t>(0.11%)</w:t>
            </w:r>
          </w:p>
        </w:tc>
      </w:tr>
      <w:tr w:rsidR="00FB4EFA" w:rsidRPr="00FB4EFA" w14:paraId="6A01124A" w14:textId="77777777" w:rsidTr="00EC74AD">
        <w:tc>
          <w:tcPr>
            <w:tcW w:w="0" w:type="auto"/>
          </w:tcPr>
          <w:p w14:paraId="4743FD5A" w14:textId="77777777" w:rsidR="00EC74AD" w:rsidRPr="00FB4EFA" w:rsidRDefault="00EC74AD" w:rsidP="00863238">
            <w:pPr>
              <w:spacing w:line="240" w:lineRule="auto"/>
              <w:rPr>
                <w:sz w:val="20"/>
                <w:szCs w:val="20"/>
              </w:rPr>
            </w:pPr>
            <w:r w:rsidRPr="00FB4EFA">
              <w:rPr>
                <w:i/>
                <w:iCs/>
                <w:sz w:val="20"/>
                <w:szCs w:val="20"/>
                <w:lang w:val="fi-FI"/>
              </w:rPr>
              <w:t>õpetaja</w:t>
            </w:r>
            <w:r w:rsidRPr="00FB4EFA">
              <w:rPr>
                <w:sz w:val="20"/>
                <w:szCs w:val="20"/>
                <w:lang w:val="fi-FI"/>
              </w:rPr>
              <w:t xml:space="preserve"> ‘teacher’</w:t>
            </w:r>
          </w:p>
        </w:tc>
        <w:tc>
          <w:tcPr>
            <w:tcW w:w="1851" w:type="dxa"/>
          </w:tcPr>
          <w:p w14:paraId="165B3FE9" w14:textId="77777777" w:rsidR="00EC74AD" w:rsidRPr="00FB4EFA" w:rsidRDefault="00EC74AD" w:rsidP="00863238">
            <w:pPr>
              <w:spacing w:line="240" w:lineRule="auto"/>
              <w:jc w:val="right"/>
              <w:rPr>
                <w:sz w:val="20"/>
                <w:szCs w:val="20"/>
              </w:rPr>
            </w:pPr>
            <w:r w:rsidRPr="00FB4EFA">
              <w:rPr>
                <w:sz w:val="20"/>
                <w:szCs w:val="20"/>
                <w:lang w:val="fi-FI"/>
              </w:rPr>
              <w:t>152 311 (99.78%)</w:t>
            </w:r>
          </w:p>
        </w:tc>
        <w:tc>
          <w:tcPr>
            <w:tcW w:w="1276" w:type="dxa"/>
          </w:tcPr>
          <w:p w14:paraId="45AF9BCB" w14:textId="77777777" w:rsidR="00EC74AD" w:rsidRPr="00FB4EFA" w:rsidRDefault="00EC74AD" w:rsidP="00863238">
            <w:pPr>
              <w:spacing w:line="240" w:lineRule="auto"/>
              <w:rPr>
                <w:sz w:val="20"/>
                <w:szCs w:val="20"/>
              </w:rPr>
            </w:pPr>
            <w:r w:rsidRPr="00FB4EFA">
              <w:rPr>
                <w:i/>
                <w:iCs/>
                <w:sz w:val="20"/>
                <w:szCs w:val="20"/>
                <w:lang w:val="fi-FI"/>
              </w:rPr>
              <w:t>õpetajanna</w:t>
            </w:r>
          </w:p>
        </w:tc>
        <w:tc>
          <w:tcPr>
            <w:tcW w:w="1923" w:type="dxa"/>
          </w:tcPr>
          <w:p w14:paraId="7CF8A5E4" w14:textId="77777777" w:rsidR="00EC74AD" w:rsidRPr="00FB4EFA" w:rsidRDefault="00EC74AD" w:rsidP="00863238">
            <w:pPr>
              <w:tabs>
                <w:tab w:val="right" w:pos="499"/>
                <w:tab w:val="right" w:pos="1449"/>
              </w:tabs>
              <w:spacing w:line="240" w:lineRule="auto"/>
              <w:jc w:val="left"/>
              <w:rPr>
                <w:sz w:val="20"/>
                <w:szCs w:val="20"/>
                <w:lang w:val="fi-FI"/>
              </w:rPr>
            </w:pPr>
            <w:r w:rsidRPr="00FB4EFA">
              <w:rPr>
                <w:sz w:val="20"/>
                <w:szCs w:val="20"/>
                <w:lang w:val="en-US"/>
              </w:rPr>
              <w:tab/>
              <w:t>338</w:t>
            </w:r>
            <w:r w:rsidRPr="00FB4EFA">
              <w:rPr>
                <w:sz w:val="20"/>
                <w:szCs w:val="20"/>
                <w:lang w:val="en-US"/>
              </w:rPr>
              <w:tab/>
              <w:t>(0.22%)</w:t>
            </w:r>
          </w:p>
        </w:tc>
      </w:tr>
    </w:tbl>
    <w:p w14:paraId="46278177" w14:textId="1DE2E83B" w:rsidR="00EC74AD" w:rsidRPr="00FB4EFA" w:rsidRDefault="00EC74AD" w:rsidP="002752AF">
      <w:pPr>
        <w:spacing w:before="240"/>
        <w:rPr>
          <w:lang w:val="en-US"/>
        </w:rPr>
      </w:pPr>
      <w:r w:rsidRPr="00FB4EFA">
        <w:rPr>
          <w:lang w:val="en-US"/>
        </w:rPr>
        <w:t xml:space="preserve">The female variant </w:t>
      </w:r>
      <w:r w:rsidR="0039345E" w:rsidRPr="00FB4EFA">
        <w:rPr>
          <w:lang w:val="en-US"/>
        </w:rPr>
        <w:t>with</w:t>
      </w:r>
      <w:r w:rsidRPr="00FB4EFA">
        <w:rPr>
          <w:lang w:val="en-US"/>
        </w:rPr>
        <w:t xml:space="preserve"> </w:t>
      </w:r>
      <w:r w:rsidRPr="00FB4EFA">
        <w:rPr>
          <w:i/>
          <w:iCs/>
          <w:lang w:val="en-US"/>
        </w:rPr>
        <w:noBreakHyphen/>
        <w:t>nna</w:t>
      </w:r>
      <w:r w:rsidRPr="00FB4EFA">
        <w:rPr>
          <w:lang w:val="en-US"/>
        </w:rPr>
        <w:t xml:space="preserve"> was by far the most used in the case of </w:t>
      </w:r>
      <w:r w:rsidRPr="00FB4EFA">
        <w:rPr>
          <w:i/>
          <w:iCs/>
          <w:lang w:val="en-US"/>
        </w:rPr>
        <w:t>kuningas</w:t>
      </w:r>
      <w:r w:rsidRPr="00FB4EFA">
        <w:rPr>
          <w:lang w:val="en-US"/>
        </w:rPr>
        <w:t xml:space="preserve"> ‘king, male regent’ &gt; </w:t>
      </w:r>
      <w:r w:rsidRPr="00FB4EFA">
        <w:rPr>
          <w:i/>
          <w:iCs/>
          <w:lang w:val="en-US"/>
        </w:rPr>
        <w:t>kuninganna</w:t>
      </w:r>
      <w:r w:rsidRPr="00FB4EFA">
        <w:rPr>
          <w:lang w:val="en-US"/>
        </w:rPr>
        <w:t xml:space="preserve"> ‘queen, female regent’. The explanation for this might be twofold. Firstly, the use of female suffixes (</w:t>
      </w:r>
      <w:r w:rsidRPr="00FB4EFA">
        <w:rPr>
          <w:i/>
          <w:iCs/>
          <w:lang w:val="en-US"/>
        </w:rPr>
        <w:noBreakHyphen/>
        <w:t>nna</w:t>
      </w:r>
      <w:r w:rsidRPr="00FB4EFA">
        <w:rPr>
          <w:lang w:val="en-US"/>
        </w:rPr>
        <w:t xml:space="preserve"> and </w:t>
      </w:r>
      <w:r w:rsidRPr="00FB4EFA">
        <w:rPr>
          <w:i/>
          <w:iCs/>
          <w:lang w:val="en-US"/>
        </w:rPr>
        <w:noBreakHyphen/>
        <w:t>tar</w:t>
      </w:r>
      <w:r w:rsidRPr="00FB4EFA">
        <w:rPr>
          <w:lang w:val="en-US"/>
        </w:rPr>
        <w:t xml:space="preserve">) is the only strategy used with the word </w:t>
      </w:r>
      <w:r w:rsidRPr="00FB4EFA">
        <w:rPr>
          <w:i/>
          <w:iCs/>
          <w:lang w:val="en-US"/>
        </w:rPr>
        <w:t>kuningas</w:t>
      </w:r>
      <w:r w:rsidRPr="00FB4EFA">
        <w:rPr>
          <w:lang w:val="en-US"/>
        </w:rPr>
        <w:t xml:space="preserve">. Secondly, as mentioned above, unlike most other job titles, </w:t>
      </w:r>
      <w:r w:rsidRPr="00FB4EFA">
        <w:rPr>
          <w:i/>
          <w:iCs/>
          <w:lang w:val="en-US"/>
        </w:rPr>
        <w:t>kuningas</w:t>
      </w:r>
      <w:r w:rsidRPr="00FB4EFA">
        <w:rPr>
          <w:lang w:val="en-US"/>
        </w:rPr>
        <w:t xml:space="preserve"> is not gender</w:t>
      </w:r>
      <w:r w:rsidR="00125E62" w:rsidRPr="00FB4EFA">
        <w:rPr>
          <w:lang w:val="en-US"/>
        </w:rPr>
        <w:t xml:space="preserve"> </w:t>
      </w:r>
      <w:r w:rsidRPr="00FB4EFA">
        <w:rPr>
          <w:lang w:val="en-US"/>
        </w:rPr>
        <w:t>neutral, i.e.</w:t>
      </w:r>
      <w:r w:rsidR="00F700B0" w:rsidRPr="00FB4EFA">
        <w:rPr>
          <w:lang w:val="en-US"/>
        </w:rPr>
        <w:t>,</w:t>
      </w:r>
      <w:r w:rsidRPr="00FB4EFA">
        <w:rPr>
          <w:lang w:val="en-US"/>
        </w:rPr>
        <w:t xml:space="preserve"> it is only used to refer to a king, not a queen.</w:t>
      </w:r>
    </w:p>
    <w:p w14:paraId="749E913D" w14:textId="6AEE5C7D" w:rsidR="00EC74AD" w:rsidRPr="00FB4EFA" w:rsidRDefault="00EC74AD" w:rsidP="002752AF">
      <w:pPr>
        <w:ind w:firstLine="720"/>
        <w:rPr>
          <w:lang w:val="en-US"/>
        </w:rPr>
      </w:pPr>
      <w:r w:rsidRPr="00FB4EFA">
        <w:rPr>
          <w:lang w:val="en-US"/>
        </w:rPr>
        <w:t xml:space="preserve">For all of the job titles listed above, the female variant </w:t>
      </w:r>
      <w:r w:rsidR="0039345E" w:rsidRPr="00FB4EFA">
        <w:rPr>
          <w:lang w:val="en-US"/>
        </w:rPr>
        <w:t xml:space="preserve">with </w:t>
      </w:r>
      <w:r w:rsidRPr="00FB4EFA">
        <w:rPr>
          <w:i/>
          <w:iCs/>
          <w:lang w:val="en-US"/>
        </w:rPr>
        <w:noBreakHyphen/>
        <w:t>nna</w:t>
      </w:r>
      <w:r w:rsidRPr="00FB4EFA">
        <w:rPr>
          <w:lang w:val="en-US"/>
        </w:rPr>
        <w:t xml:space="preserve"> was more often used than the variant </w:t>
      </w:r>
      <w:r w:rsidR="0039345E" w:rsidRPr="00FB4EFA">
        <w:rPr>
          <w:lang w:val="en-US"/>
        </w:rPr>
        <w:t>with</w:t>
      </w:r>
      <w:r w:rsidRPr="00FB4EFA">
        <w:rPr>
          <w:lang w:val="en-US"/>
        </w:rPr>
        <w:t xml:space="preserve"> </w:t>
      </w:r>
      <w:r w:rsidRPr="00FB4EFA">
        <w:rPr>
          <w:i/>
          <w:iCs/>
          <w:lang w:val="en-US"/>
        </w:rPr>
        <w:noBreakHyphen/>
        <w:t>tar</w:t>
      </w:r>
      <w:r w:rsidRPr="00FB4EFA">
        <w:rPr>
          <w:lang w:val="en-US"/>
        </w:rPr>
        <w:t xml:space="preserve">. The suffix </w:t>
      </w:r>
      <w:r w:rsidRPr="00FB4EFA">
        <w:rPr>
          <w:i/>
          <w:iCs/>
          <w:lang w:val="en-US"/>
        </w:rPr>
        <w:noBreakHyphen/>
        <w:t>nna</w:t>
      </w:r>
      <w:r w:rsidRPr="00FB4EFA">
        <w:rPr>
          <w:lang w:val="en-US"/>
        </w:rPr>
        <w:t xml:space="preserve"> </w:t>
      </w:r>
      <w:r w:rsidR="0039345E" w:rsidRPr="00FB4EFA">
        <w:rPr>
          <w:lang w:val="en-US"/>
        </w:rPr>
        <w:br/>
      </w:r>
      <w:r w:rsidRPr="00FB4EFA">
        <w:rPr>
          <w:lang w:val="en-US"/>
        </w:rPr>
        <w:t xml:space="preserve">mostly occurred with job titles that end in the derivational suffix </w:t>
      </w:r>
      <w:r w:rsidRPr="00FB4EFA">
        <w:rPr>
          <w:i/>
          <w:iCs/>
          <w:lang w:val="en-US"/>
        </w:rPr>
        <w:noBreakHyphen/>
        <w:t>ja</w:t>
      </w:r>
      <w:r w:rsidRPr="00FB4EFA">
        <w:rPr>
          <w:lang w:val="en-US"/>
        </w:rPr>
        <w:t xml:space="preserve">. In addition to the job titles above, this also included scarce occurrences of </w:t>
      </w:r>
      <w:r w:rsidRPr="00FB4EFA">
        <w:rPr>
          <w:i/>
          <w:iCs/>
          <w:lang w:val="en-US"/>
        </w:rPr>
        <w:t>juhatajanna</w:t>
      </w:r>
      <w:r w:rsidRPr="00FB4EFA">
        <w:rPr>
          <w:lang w:val="en-US"/>
        </w:rPr>
        <w:t xml:space="preserve"> ‘female manager’, </w:t>
      </w:r>
      <w:r w:rsidRPr="00FB4EFA">
        <w:rPr>
          <w:i/>
          <w:iCs/>
          <w:lang w:val="en-US"/>
        </w:rPr>
        <w:t>koristajanna</w:t>
      </w:r>
      <w:r w:rsidRPr="00FB4EFA">
        <w:rPr>
          <w:lang w:val="en-US"/>
        </w:rPr>
        <w:t xml:space="preserve"> ‘female cleaner’, </w:t>
      </w:r>
      <w:r w:rsidRPr="00FB4EFA">
        <w:rPr>
          <w:i/>
          <w:iCs/>
          <w:lang w:val="en-US"/>
        </w:rPr>
        <w:t>hooldajanna</w:t>
      </w:r>
      <w:r w:rsidRPr="00FB4EFA">
        <w:rPr>
          <w:lang w:val="en-US"/>
        </w:rPr>
        <w:t xml:space="preserve"> </w:t>
      </w:r>
      <w:r w:rsidRPr="00FB4EFA">
        <w:rPr>
          <w:lang w:val="en-US"/>
        </w:rPr>
        <w:lastRenderedPageBreak/>
        <w:t xml:space="preserve">‘female caretaker’, </w:t>
      </w:r>
      <w:r w:rsidRPr="00FB4EFA">
        <w:rPr>
          <w:i/>
          <w:iCs/>
          <w:lang w:val="en-US"/>
        </w:rPr>
        <w:t>lüpsjanna</w:t>
      </w:r>
      <w:r w:rsidRPr="00FB4EFA">
        <w:rPr>
          <w:lang w:val="en-US"/>
        </w:rPr>
        <w:t xml:space="preserve"> ‘female milker’</w:t>
      </w:r>
      <w:r w:rsidR="00917AA2" w:rsidRPr="00FB4EFA">
        <w:rPr>
          <w:lang w:val="en-US"/>
        </w:rPr>
        <w:t>,</w:t>
      </w:r>
      <w:r w:rsidRPr="00FB4EFA">
        <w:rPr>
          <w:lang w:val="en-US"/>
        </w:rPr>
        <w:t xml:space="preserve"> and </w:t>
      </w:r>
      <w:r w:rsidRPr="00FB4EFA">
        <w:rPr>
          <w:i/>
          <w:iCs/>
          <w:lang w:val="en-US"/>
        </w:rPr>
        <w:t>kirikuõpetajanna</w:t>
      </w:r>
      <w:r w:rsidRPr="00FB4EFA">
        <w:rPr>
          <w:lang w:val="en-US"/>
        </w:rPr>
        <w:t xml:space="preserve"> </w:t>
      </w:r>
      <w:r w:rsidR="00917AA2" w:rsidRPr="00FB4EFA">
        <w:rPr>
          <w:lang w:val="en-US"/>
        </w:rPr>
        <w:br/>
      </w:r>
      <w:r w:rsidRPr="00FB4EFA">
        <w:rPr>
          <w:lang w:val="en-US"/>
        </w:rPr>
        <w:t>‘female priest’. The suffix</w:t>
      </w:r>
      <w:r w:rsidRPr="00FB4EFA">
        <w:rPr>
          <w:i/>
          <w:iCs/>
          <w:lang w:val="en-US"/>
        </w:rPr>
        <w:t xml:space="preserve"> </w:t>
      </w:r>
      <w:r w:rsidRPr="00FB4EFA">
        <w:rPr>
          <w:i/>
          <w:iCs/>
          <w:lang w:val="en-US"/>
        </w:rPr>
        <w:noBreakHyphen/>
        <w:t>tar</w:t>
      </w:r>
      <w:r w:rsidRPr="00FB4EFA">
        <w:rPr>
          <w:lang w:val="en-US"/>
        </w:rPr>
        <w:t xml:space="preserve">, on the other hand, typically occurs with stems that do not end in a derivational suffix. In addition to the four words listed above, we attested two more female job titles </w:t>
      </w:r>
      <w:r w:rsidR="0039345E" w:rsidRPr="00FB4EFA">
        <w:rPr>
          <w:lang w:val="en-US"/>
        </w:rPr>
        <w:t>with</w:t>
      </w:r>
      <w:r w:rsidRPr="00FB4EFA">
        <w:rPr>
          <w:lang w:val="en-US"/>
        </w:rPr>
        <w:t xml:space="preserve"> </w:t>
      </w:r>
      <w:r w:rsidRPr="00FB4EFA">
        <w:rPr>
          <w:i/>
          <w:iCs/>
          <w:lang w:val="en-US"/>
        </w:rPr>
        <w:noBreakHyphen/>
        <w:t xml:space="preserve">tar </w:t>
      </w:r>
      <w:r w:rsidRPr="00FB4EFA">
        <w:rPr>
          <w:lang w:val="en-US"/>
        </w:rPr>
        <w:t xml:space="preserve">in the corpus: </w:t>
      </w:r>
      <w:r w:rsidRPr="00FB4EFA">
        <w:rPr>
          <w:i/>
          <w:iCs/>
          <w:lang w:val="en-US"/>
        </w:rPr>
        <w:t>kokatar</w:t>
      </w:r>
      <w:r w:rsidRPr="00FB4EFA">
        <w:rPr>
          <w:lang w:val="en-US"/>
        </w:rPr>
        <w:t xml:space="preserve"> ‘female chef’ and </w:t>
      </w:r>
      <w:r w:rsidRPr="00FB4EFA">
        <w:rPr>
          <w:i/>
          <w:iCs/>
          <w:lang w:val="en-US"/>
        </w:rPr>
        <w:t>pilooditar</w:t>
      </w:r>
      <w:r w:rsidRPr="00FB4EFA">
        <w:rPr>
          <w:lang w:val="en-US"/>
        </w:rPr>
        <w:t xml:space="preserve"> ‘female pilot’.</w:t>
      </w:r>
    </w:p>
    <w:p w14:paraId="0236B74B" w14:textId="3C8B9F2C" w:rsidR="00EC74AD" w:rsidRPr="00FB4EFA" w:rsidRDefault="00EC74AD" w:rsidP="002752AF">
      <w:pPr>
        <w:ind w:firstLine="720"/>
        <w:rPr>
          <w:lang w:val="en-US"/>
        </w:rPr>
      </w:pPr>
      <w:r w:rsidRPr="00FB4EFA">
        <w:rPr>
          <w:lang w:val="en-US"/>
        </w:rPr>
        <w:t xml:space="preserve">If the original word refers to a member of the aristocracy, such as </w:t>
      </w:r>
      <w:r w:rsidRPr="00FB4EFA">
        <w:rPr>
          <w:i/>
          <w:iCs/>
          <w:lang w:val="en-US"/>
        </w:rPr>
        <w:t>kuningas</w:t>
      </w:r>
      <w:r w:rsidRPr="00FB4EFA">
        <w:rPr>
          <w:lang w:val="en-US"/>
        </w:rPr>
        <w:t xml:space="preserve"> ‘king’, then the suffix </w:t>
      </w:r>
      <w:r w:rsidRPr="00FB4EFA">
        <w:rPr>
          <w:i/>
          <w:iCs/>
          <w:lang w:val="en-US"/>
        </w:rPr>
        <w:noBreakHyphen/>
        <w:t>nna</w:t>
      </w:r>
      <w:r w:rsidRPr="00FB4EFA">
        <w:rPr>
          <w:lang w:val="en-US"/>
        </w:rPr>
        <w:t xml:space="preserve"> is commonly used for their wife and the suffix </w:t>
      </w:r>
      <w:r w:rsidRPr="00FB4EFA">
        <w:rPr>
          <w:i/>
          <w:iCs/>
          <w:lang w:val="en-US"/>
        </w:rPr>
        <w:noBreakHyphen/>
        <w:t>tar</w:t>
      </w:r>
      <w:r w:rsidRPr="00FB4EFA">
        <w:rPr>
          <w:lang w:val="en-US"/>
        </w:rPr>
        <w:t xml:space="preserve"> for their daughter, i.e.</w:t>
      </w:r>
      <w:r w:rsidR="00F700B0" w:rsidRPr="00FB4EFA">
        <w:rPr>
          <w:lang w:val="en-US"/>
        </w:rPr>
        <w:t>,</w:t>
      </w:r>
      <w:r w:rsidRPr="00FB4EFA">
        <w:rPr>
          <w:lang w:val="en-US"/>
        </w:rPr>
        <w:t xml:space="preserve"> </w:t>
      </w:r>
      <w:r w:rsidRPr="00FB4EFA">
        <w:rPr>
          <w:i/>
          <w:iCs/>
          <w:lang w:val="en-US"/>
        </w:rPr>
        <w:t>kuninganna</w:t>
      </w:r>
      <w:r w:rsidRPr="00FB4EFA">
        <w:rPr>
          <w:lang w:val="en-US"/>
        </w:rPr>
        <w:t xml:space="preserve"> ‘queen’ and </w:t>
      </w:r>
      <w:r w:rsidRPr="00FB4EFA">
        <w:rPr>
          <w:i/>
          <w:iCs/>
          <w:lang w:val="en-US"/>
        </w:rPr>
        <w:t>kuningatar</w:t>
      </w:r>
      <w:r w:rsidRPr="00FB4EFA">
        <w:rPr>
          <w:lang w:val="en-US"/>
        </w:rPr>
        <w:t xml:space="preserve"> ‘princess’. However, both </w:t>
      </w:r>
      <w:r w:rsidRPr="00FB4EFA">
        <w:rPr>
          <w:i/>
          <w:iCs/>
          <w:lang w:val="en-US"/>
        </w:rPr>
        <w:t>kuninganna</w:t>
      </w:r>
      <w:r w:rsidRPr="00FB4EFA">
        <w:rPr>
          <w:lang w:val="en-US"/>
        </w:rPr>
        <w:t xml:space="preserve"> and </w:t>
      </w:r>
      <w:r w:rsidRPr="00FB4EFA">
        <w:rPr>
          <w:i/>
          <w:iCs/>
          <w:lang w:val="en-US"/>
        </w:rPr>
        <w:t>kuningatar</w:t>
      </w:r>
      <w:r w:rsidRPr="00FB4EFA">
        <w:rPr>
          <w:lang w:val="en-US"/>
        </w:rPr>
        <w:t xml:space="preserve"> can also be used to refer to a female regent, that is the female counterpart of </w:t>
      </w:r>
      <w:r w:rsidRPr="00FB4EFA">
        <w:rPr>
          <w:i/>
          <w:iCs/>
          <w:lang w:val="en-US"/>
        </w:rPr>
        <w:t>kuningas</w:t>
      </w:r>
      <w:r w:rsidRPr="00FB4EFA">
        <w:rPr>
          <w:lang w:val="en-US"/>
        </w:rPr>
        <w:t xml:space="preserve"> ‘male regent’ (see also Erelt et al. 2007: SM22). Whether or not there is a semantic difference in the case of other job titles</w:t>
      </w:r>
      <w:r w:rsidR="00917AA2" w:rsidRPr="00FB4EFA">
        <w:rPr>
          <w:lang w:val="en-US"/>
        </w:rPr>
        <w:t>,</w:t>
      </w:r>
      <w:r w:rsidRPr="00FB4EFA">
        <w:rPr>
          <w:lang w:val="en-US"/>
        </w:rPr>
        <w:t xml:space="preserve"> such as </w:t>
      </w:r>
      <w:r w:rsidRPr="00FB4EFA">
        <w:rPr>
          <w:i/>
          <w:iCs/>
          <w:lang w:val="en-US"/>
        </w:rPr>
        <w:t>näitlejanna</w:t>
      </w:r>
      <w:r w:rsidRPr="00FB4EFA">
        <w:rPr>
          <w:lang w:val="en-US"/>
        </w:rPr>
        <w:t xml:space="preserve"> and </w:t>
      </w:r>
      <w:r w:rsidRPr="00FB4EFA">
        <w:rPr>
          <w:i/>
          <w:iCs/>
          <w:lang w:val="en-US"/>
        </w:rPr>
        <w:t>näitlejatar</w:t>
      </w:r>
      <w:r w:rsidRPr="00FB4EFA">
        <w:rPr>
          <w:lang w:val="en-US"/>
        </w:rPr>
        <w:t xml:space="preserve"> ‘actress’</w:t>
      </w:r>
      <w:r w:rsidR="00917AA2" w:rsidRPr="00FB4EFA">
        <w:rPr>
          <w:lang w:val="en-US"/>
        </w:rPr>
        <w:t>,</w:t>
      </w:r>
      <w:r w:rsidRPr="00FB4EFA">
        <w:rPr>
          <w:lang w:val="en-US"/>
        </w:rPr>
        <w:t xml:space="preserve"> must be left to future research.</w:t>
      </w:r>
    </w:p>
    <w:p w14:paraId="08225B8B" w14:textId="0D342F05" w:rsidR="00EC74AD" w:rsidRPr="00FB4EFA" w:rsidRDefault="00EC74AD" w:rsidP="002752AF">
      <w:pPr>
        <w:spacing w:after="240"/>
        <w:ind w:firstLine="720"/>
        <w:rPr>
          <w:lang w:val="en-US"/>
        </w:rPr>
      </w:pPr>
      <w:r w:rsidRPr="00FB4EFA">
        <w:rPr>
          <w:lang w:val="en-US"/>
        </w:rPr>
        <w:t xml:space="preserve">In Finnish, the only currently productive feminine suffix used in job titles is </w:t>
      </w:r>
      <w:r w:rsidRPr="00FB4EFA">
        <w:rPr>
          <w:i/>
          <w:iCs/>
          <w:lang w:val="en-US"/>
        </w:rPr>
        <w:noBreakHyphen/>
        <w:t>tar</w:t>
      </w:r>
      <w:r w:rsidRPr="00FB4EFA">
        <w:rPr>
          <w:lang w:val="en-US"/>
        </w:rPr>
        <w:t>/</w:t>
      </w:r>
      <w:r w:rsidRPr="00FB4EFA">
        <w:rPr>
          <w:i/>
          <w:iCs/>
          <w:lang w:val="en-US"/>
        </w:rPr>
        <w:noBreakHyphen/>
        <w:t>tär</w:t>
      </w:r>
      <w:r w:rsidRPr="00FB4EFA">
        <w:rPr>
          <w:lang w:val="en-US"/>
        </w:rPr>
        <w:t xml:space="preserve"> (for a detailed overview of Finnish feminine suffixes including also </w:t>
      </w:r>
      <w:r w:rsidRPr="00FB4EFA">
        <w:rPr>
          <w:i/>
          <w:iCs/>
          <w:lang w:val="en-US"/>
        </w:rPr>
        <w:noBreakHyphen/>
        <w:t>kko</w:t>
      </w:r>
      <w:r w:rsidRPr="00FB4EFA">
        <w:rPr>
          <w:lang w:val="en-US"/>
        </w:rPr>
        <w:t>/</w:t>
      </w:r>
      <w:r w:rsidRPr="00FB4EFA">
        <w:rPr>
          <w:i/>
          <w:iCs/>
          <w:lang w:val="en-US"/>
        </w:rPr>
        <w:noBreakHyphen/>
        <w:t>kkö</w:t>
      </w:r>
      <w:r w:rsidRPr="00FB4EFA">
        <w:rPr>
          <w:lang w:val="en-US"/>
        </w:rPr>
        <w:t xml:space="preserve">, </w:t>
      </w:r>
      <w:r w:rsidRPr="00FB4EFA">
        <w:rPr>
          <w:i/>
          <w:iCs/>
          <w:lang w:val="en-US"/>
        </w:rPr>
        <w:noBreakHyphen/>
        <w:t>ska</w:t>
      </w:r>
      <w:r w:rsidRPr="00FB4EFA">
        <w:rPr>
          <w:lang w:val="en-US"/>
        </w:rPr>
        <w:t>/</w:t>
      </w:r>
      <w:r w:rsidRPr="00FB4EFA">
        <w:rPr>
          <w:i/>
          <w:iCs/>
          <w:lang w:val="en-US"/>
        </w:rPr>
        <w:noBreakHyphen/>
        <w:t xml:space="preserve">skä </w:t>
      </w:r>
      <w:r w:rsidRPr="00FB4EFA">
        <w:rPr>
          <w:lang w:val="en-US"/>
        </w:rPr>
        <w:t xml:space="preserve">and </w:t>
      </w:r>
      <w:r w:rsidRPr="00FB4EFA">
        <w:rPr>
          <w:i/>
          <w:iCs/>
          <w:lang w:val="en-US"/>
        </w:rPr>
        <w:noBreakHyphen/>
        <w:t>nna</w:t>
      </w:r>
      <w:r w:rsidRPr="00FB4EFA">
        <w:rPr>
          <w:lang w:val="en-US"/>
        </w:rPr>
        <w:t xml:space="preserve">, see Kyrölä 1989, 1990). The list of job titles for which feminine variants with </w:t>
      </w:r>
      <w:r w:rsidRPr="00FB4EFA">
        <w:rPr>
          <w:i/>
          <w:iCs/>
          <w:lang w:val="en-US"/>
        </w:rPr>
        <w:noBreakHyphen/>
        <w:t>tar</w:t>
      </w:r>
      <w:r w:rsidRPr="00FB4EFA">
        <w:rPr>
          <w:lang w:val="en-US"/>
        </w:rPr>
        <w:t>/</w:t>
      </w:r>
      <w:r w:rsidRPr="00FB4EFA">
        <w:rPr>
          <w:i/>
          <w:iCs/>
          <w:lang w:val="en-US"/>
        </w:rPr>
        <w:noBreakHyphen/>
        <w:t xml:space="preserve">tär </w:t>
      </w:r>
      <w:r w:rsidRPr="00FB4EFA">
        <w:rPr>
          <w:lang w:val="en-US"/>
        </w:rPr>
        <w:t xml:space="preserve">are most common (among those with more than 500 occurrences in the corpus) is </w:t>
      </w:r>
      <w:r w:rsidR="00AC2528" w:rsidRPr="00FB4EFA">
        <w:rPr>
          <w:lang w:val="en-US"/>
        </w:rPr>
        <w:br/>
      </w:r>
      <w:r w:rsidRPr="00FB4EFA">
        <w:rPr>
          <w:lang w:val="en-US"/>
        </w:rPr>
        <w:t>provided below.</w:t>
      </w:r>
    </w:p>
    <w:tbl>
      <w:tblPr>
        <w:tblW w:w="0" w:type="auto"/>
        <w:tblLook w:val="04A0" w:firstRow="1" w:lastRow="0" w:firstColumn="1" w:lastColumn="0" w:noHBand="0" w:noVBand="1"/>
      </w:tblPr>
      <w:tblGrid>
        <w:gridCol w:w="1691"/>
        <w:gridCol w:w="1784"/>
        <w:gridCol w:w="1272"/>
        <w:gridCol w:w="1562"/>
      </w:tblGrid>
      <w:tr w:rsidR="00FB4EFA" w:rsidRPr="00FB4EFA" w14:paraId="78AE88F1" w14:textId="77777777" w:rsidTr="00EC74AD">
        <w:tc>
          <w:tcPr>
            <w:tcW w:w="0" w:type="auto"/>
          </w:tcPr>
          <w:p w14:paraId="291E85D1" w14:textId="77777777" w:rsidR="00EC74AD" w:rsidRPr="00FB4EFA" w:rsidRDefault="00EC74AD" w:rsidP="00863238">
            <w:pPr>
              <w:keepNext/>
              <w:spacing w:line="240" w:lineRule="auto"/>
              <w:rPr>
                <w:sz w:val="20"/>
                <w:szCs w:val="20"/>
                <w:lang w:val="fi-FI"/>
              </w:rPr>
            </w:pPr>
            <w:r w:rsidRPr="00FB4EFA">
              <w:rPr>
                <w:i/>
                <w:iCs/>
                <w:sz w:val="20"/>
                <w:szCs w:val="20"/>
                <w:lang w:val="fi-FI"/>
              </w:rPr>
              <w:t>kuningas</w:t>
            </w:r>
            <w:r w:rsidRPr="00FB4EFA">
              <w:rPr>
                <w:sz w:val="20"/>
                <w:szCs w:val="20"/>
                <w:lang w:val="fi-FI"/>
              </w:rPr>
              <w:t xml:space="preserve"> ‘king’</w:t>
            </w:r>
          </w:p>
        </w:tc>
        <w:tc>
          <w:tcPr>
            <w:tcW w:w="0" w:type="auto"/>
          </w:tcPr>
          <w:p w14:paraId="130074BE" w14:textId="77777777" w:rsidR="00EC74AD" w:rsidRPr="00FB4EFA" w:rsidRDefault="00EC74AD" w:rsidP="00863238">
            <w:pPr>
              <w:keepNext/>
              <w:spacing w:line="240" w:lineRule="auto"/>
              <w:jc w:val="right"/>
              <w:rPr>
                <w:sz w:val="20"/>
                <w:szCs w:val="20"/>
                <w:lang w:val="fi-FI"/>
              </w:rPr>
            </w:pPr>
            <w:r w:rsidRPr="00FB4EFA">
              <w:rPr>
                <w:sz w:val="20"/>
                <w:szCs w:val="20"/>
                <w:lang w:val="fi-FI"/>
              </w:rPr>
              <w:t>190 882 (93.13%)</w:t>
            </w:r>
          </w:p>
        </w:tc>
        <w:tc>
          <w:tcPr>
            <w:tcW w:w="0" w:type="auto"/>
          </w:tcPr>
          <w:p w14:paraId="138B4EBE" w14:textId="77777777" w:rsidR="00EC74AD" w:rsidRPr="00FB4EFA" w:rsidRDefault="00EC74AD" w:rsidP="00863238">
            <w:pPr>
              <w:keepNext/>
              <w:spacing w:line="240" w:lineRule="auto"/>
              <w:rPr>
                <w:sz w:val="20"/>
                <w:szCs w:val="20"/>
                <w:lang w:val="fi-FI"/>
              </w:rPr>
            </w:pPr>
            <w:r w:rsidRPr="00FB4EFA">
              <w:rPr>
                <w:i/>
                <w:iCs/>
                <w:sz w:val="20"/>
                <w:szCs w:val="20"/>
                <w:lang w:val="fi-FI"/>
              </w:rPr>
              <w:t>kuningatar</w:t>
            </w:r>
          </w:p>
        </w:tc>
        <w:tc>
          <w:tcPr>
            <w:tcW w:w="0" w:type="auto"/>
          </w:tcPr>
          <w:p w14:paraId="62588336" w14:textId="77777777" w:rsidR="00EC74AD" w:rsidRPr="00FB4EFA" w:rsidRDefault="00EC74AD" w:rsidP="00863238">
            <w:pPr>
              <w:keepNext/>
              <w:spacing w:line="240" w:lineRule="auto"/>
              <w:jc w:val="right"/>
              <w:rPr>
                <w:sz w:val="20"/>
                <w:szCs w:val="20"/>
                <w:lang w:val="fi-FI"/>
              </w:rPr>
            </w:pPr>
            <w:r w:rsidRPr="00FB4EFA">
              <w:rPr>
                <w:sz w:val="20"/>
                <w:szCs w:val="20"/>
                <w:lang w:val="fi-FI"/>
              </w:rPr>
              <w:t>14 081 (6.87%)</w:t>
            </w:r>
          </w:p>
        </w:tc>
      </w:tr>
      <w:tr w:rsidR="00FB4EFA" w:rsidRPr="00FB4EFA" w14:paraId="118D1CF0" w14:textId="77777777" w:rsidTr="00EC74AD">
        <w:tc>
          <w:tcPr>
            <w:tcW w:w="0" w:type="auto"/>
          </w:tcPr>
          <w:p w14:paraId="5AC8714C" w14:textId="77777777" w:rsidR="00EC74AD" w:rsidRPr="00FB4EFA" w:rsidRDefault="00EC74AD" w:rsidP="00863238">
            <w:pPr>
              <w:keepNext/>
              <w:spacing w:line="240" w:lineRule="auto"/>
              <w:rPr>
                <w:sz w:val="20"/>
                <w:szCs w:val="20"/>
                <w:lang w:val="fi-FI"/>
              </w:rPr>
            </w:pPr>
            <w:r w:rsidRPr="00FB4EFA">
              <w:rPr>
                <w:i/>
                <w:iCs/>
                <w:sz w:val="20"/>
                <w:szCs w:val="20"/>
                <w:lang w:val="fi-FI"/>
              </w:rPr>
              <w:t>näyttelijä</w:t>
            </w:r>
            <w:r w:rsidRPr="00FB4EFA">
              <w:rPr>
                <w:sz w:val="20"/>
                <w:szCs w:val="20"/>
                <w:lang w:val="fi-FI"/>
              </w:rPr>
              <w:t xml:space="preserve"> ‘actor’</w:t>
            </w:r>
          </w:p>
        </w:tc>
        <w:tc>
          <w:tcPr>
            <w:tcW w:w="0" w:type="auto"/>
          </w:tcPr>
          <w:p w14:paraId="56AF523D" w14:textId="77777777" w:rsidR="00EC74AD" w:rsidRPr="00FB4EFA" w:rsidRDefault="00EC74AD" w:rsidP="00863238">
            <w:pPr>
              <w:keepNext/>
              <w:spacing w:line="240" w:lineRule="auto"/>
              <w:jc w:val="right"/>
              <w:rPr>
                <w:sz w:val="20"/>
                <w:szCs w:val="20"/>
                <w:lang w:val="fi-FI"/>
              </w:rPr>
            </w:pPr>
            <w:r w:rsidRPr="00FB4EFA">
              <w:rPr>
                <w:sz w:val="20"/>
                <w:szCs w:val="20"/>
                <w:lang w:val="fi-FI"/>
              </w:rPr>
              <w:t>70 954 (97.7</w:t>
            </w:r>
            <w:r w:rsidRPr="00FB4EFA">
              <w:rPr>
                <w:sz w:val="20"/>
                <w:szCs w:val="20"/>
              </w:rPr>
              <w:t>0</w:t>
            </w:r>
            <w:r w:rsidRPr="00FB4EFA">
              <w:rPr>
                <w:sz w:val="20"/>
                <w:szCs w:val="20"/>
                <w:lang w:val="fi-FI"/>
              </w:rPr>
              <w:t>%)</w:t>
            </w:r>
          </w:p>
        </w:tc>
        <w:tc>
          <w:tcPr>
            <w:tcW w:w="0" w:type="auto"/>
          </w:tcPr>
          <w:p w14:paraId="1EF2E200" w14:textId="77777777" w:rsidR="00EC74AD" w:rsidRPr="00FB4EFA" w:rsidRDefault="00EC74AD" w:rsidP="00863238">
            <w:pPr>
              <w:keepNext/>
              <w:spacing w:line="240" w:lineRule="auto"/>
              <w:rPr>
                <w:sz w:val="20"/>
                <w:szCs w:val="20"/>
                <w:lang w:val="fi-FI"/>
              </w:rPr>
            </w:pPr>
            <w:r w:rsidRPr="00FB4EFA">
              <w:rPr>
                <w:i/>
                <w:iCs/>
                <w:sz w:val="20"/>
                <w:szCs w:val="20"/>
                <w:lang w:val="fi-FI"/>
              </w:rPr>
              <w:t>näyttelijätär</w:t>
            </w:r>
          </w:p>
        </w:tc>
        <w:tc>
          <w:tcPr>
            <w:tcW w:w="0" w:type="auto"/>
          </w:tcPr>
          <w:p w14:paraId="66D4ECCB" w14:textId="77777777" w:rsidR="00EC74AD" w:rsidRPr="00FB4EFA" w:rsidRDefault="00EC74AD" w:rsidP="00863238">
            <w:pPr>
              <w:keepNext/>
              <w:spacing w:line="240" w:lineRule="auto"/>
              <w:jc w:val="right"/>
              <w:rPr>
                <w:sz w:val="20"/>
                <w:szCs w:val="20"/>
                <w:lang w:val="fi-FI"/>
              </w:rPr>
            </w:pPr>
            <w:r w:rsidRPr="00FB4EFA">
              <w:rPr>
                <w:sz w:val="20"/>
                <w:szCs w:val="20"/>
                <w:lang w:val="fi-FI"/>
              </w:rPr>
              <w:t>1 668 (2.3</w:t>
            </w:r>
            <w:r w:rsidRPr="00FB4EFA">
              <w:rPr>
                <w:sz w:val="20"/>
                <w:szCs w:val="20"/>
              </w:rPr>
              <w:t>0</w:t>
            </w:r>
            <w:r w:rsidRPr="00FB4EFA">
              <w:rPr>
                <w:sz w:val="20"/>
                <w:szCs w:val="20"/>
                <w:lang w:val="fi-FI"/>
              </w:rPr>
              <w:t>%)</w:t>
            </w:r>
          </w:p>
        </w:tc>
      </w:tr>
      <w:tr w:rsidR="00FB4EFA" w:rsidRPr="00FB4EFA" w14:paraId="6A5ECD80" w14:textId="77777777" w:rsidTr="00EC74AD">
        <w:tc>
          <w:tcPr>
            <w:tcW w:w="0" w:type="auto"/>
          </w:tcPr>
          <w:p w14:paraId="6D9BD9F5" w14:textId="77777777" w:rsidR="00EC74AD" w:rsidRPr="00FB4EFA" w:rsidRDefault="00EC74AD" w:rsidP="00863238">
            <w:pPr>
              <w:keepNext/>
              <w:spacing w:line="240" w:lineRule="auto"/>
              <w:rPr>
                <w:sz w:val="20"/>
                <w:szCs w:val="20"/>
                <w:lang w:val="fi-FI"/>
              </w:rPr>
            </w:pPr>
            <w:r w:rsidRPr="00FB4EFA">
              <w:rPr>
                <w:i/>
                <w:iCs/>
                <w:sz w:val="20"/>
                <w:szCs w:val="20"/>
                <w:lang w:val="fi-FI"/>
              </w:rPr>
              <w:t>pappi</w:t>
            </w:r>
            <w:r w:rsidRPr="00FB4EFA">
              <w:rPr>
                <w:sz w:val="20"/>
                <w:szCs w:val="20"/>
                <w:lang w:val="fi-FI"/>
              </w:rPr>
              <w:t xml:space="preserve"> ‘priest’</w:t>
            </w:r>
          </w:p>
        </w:tc>
        <w:tc>
          <w:tcPr>
            <w:tcW w:w="0" w:type="auto"/>
          </w:tcPr>
          <w:p w14:paraId="0F0583BE" w14:textId="77777777" w:rsidR="00EC74AD" w:rsidRPr="00FB4EFA" w:rsidRDefault="00EC74AD" w:rsidP="00863238">
            <w:pPr>
              <w:keepNext/>
              <w:spacing w:line="240" w:lineRule="auto"/>
              <w:jc w:val="right"/>
              <w:rPr>
                <w:sz w:val="20"/>
                <w:szCs w:val="20"/>
                <w:lang w:val="fi-FI"/>
              </w:rPr>
            </w:pPr>
            <w:r w:rsidRPr="00FB4EFA">
              <w:rPr>
                <w:sz w:val="20"/>
                <w:szCs w:val="20"/>
                <w:lang w:val="fi-FI"/>
              </w:rPr>
              <w:t>319 877 (98.96%)</w:t>
            </w:r>
          </w:p>
        </w:tc>
        <w:tc>
          <w:tcPr>
            <w:tcW w:w="0" w:type="auto"/>
          </w:tcPr>
          <w:p w14:paraId="619BCDB0" w14:textId="77777777" w:rsidR="00EC74AD" w:rsidRPr="00FB4EFA" w:rsidRDefault="00EC74AD" w:rsidP="00863238">
            <w:pPr>
              <w:keepNext/>
              <w:spacing w:line="240" w:lineRule="auto"/>
              <w:rPr>
                <w:i/>
                <w:iCs/>
                <w:sz w:val="20"/>
                <w:szCs w:val="20"/>
                <w:lang w:val="fi-FI"/>
              </w:rPr>
            </w:pPr>
            <w:r w:rsidRPr="00FB4EFA">
              <w:rPr>
                <w:i/>
                <w:iCs/>
                <w:sz w:val="20"/>
                <w:szCs w:val="20"/>
                <w:lang w:val="fi-FI"/>
              </w:rPr>
              <w:t>papitar</w:t>
            </w:r>
          </w:p>
        </w:tc>
        <w:tc>
          <w:tcPr>
            <w:tcW w:w="0" w:type="auto"/>
          </w:tcPr>
          <w:p w14:paraId="312EC596" w14:textId="77777777" w:rsidR="00EC74AD" w:rsidRPr="00FB4EFA" w:rsidRDefault="00EC74AD" w:rsidP="00863238">
            <w:pPr>
              <w:keepNext/>
              <w:spacing w:line="240" w:lineRule="auto"/>
              <w:jc w:val="right"/>
              <w:rPr>
                <w:sz w:val="20"/>
                <w:szCs w:val="20"/>
                <w:lang w:val="fi-FI"/>
              </w:rPr>
            </w:pPr>
            <w:r w:rsidRPr="00FB4EFA">
              <w:rPr>
                <w:sz w:val="20"/>
                <w:szCs w:val="20"/>
                <w:lang w:val="fi-FI"/>
              </w:rPr>
              <w:t>3 371 (1.04%)</w:t>
            </w:r>
          </w:p>
        </w:tc>
      </w:tr>
      <w:tr w:rsidR="00FB4EFA" w:rsidRPr="00FB4EFA" w14:paraId="0D5F9487" w14:textId="77777777" w:rsidTr="00EC74AD">
        <w:tc>
          <w:tcPr>
            <w:tcW w:w="0" w:type="auto"/>
          </w:tcPr>
          <w:p w14:paraId="51FEA8AD" w14:textId="77777777" w:rsidR="00EC74AD" w:rsidRPr="00FB4EFA" w:rsidRDefault="00EC74AD" w:rsidP="00863238">
            <w:pPr>
              <w:keepNext/>
              <w:spacing w:line="240" w:lineRule="auto"/>
              <w:rPr>
                <w:sz w:val="20"/>
                <w:szCs w:val="20"/>
                <w:lang w:val="fi-FI"/>
              </w:rPr>
            </w:pPr>
            <w:r w:rsidRPr="00FB4EFA">
              <w:rPr>
                <w:i/>
                <w:iCs/>
                <w:sz w:val="20"/>
                <w:szCs w:val="20"/>
                <w:lang w:val="fi-FI"/>
              </w:rPr>
              <w:t>myyjä</w:t>
            </w:r>
            <w:r w:rsidRPr="00FB4EFA">
              <w:rPr>
                <w:sz w:val="20"/>
                <w:szCs w:val="20"/>
                <w:lang w:val="fi-FI"/>
              </w:rPr>
              <w:t xml:space="preserve"> ‘seller’</w:t>
            </w:r>
          </w:p>
        </w:tc>
        <w:tc>
          <w:tcPr>
            <w:tcW w:w="0" w:type="auto"/>
          </w:tcPr>
          <w:p w14:paraId="3199D462" w14:textId="77777777" w:rsidR="00EC74AD" w:rsidRPr="00FB4EFA" w:rsidRDefault="00EC74AD" w:rsidP="00863238">
            <w:pPr>
              <w:keepNext/>
              <w:spacing w:line="240" w:lineRule="auto"/>
              <w:jc w:val="right"/>
              <w:rPr>
                <w:sz w:val="20"/>
                <w:szCs w:val="20"/>
                <w:lang w:val="fi-FI"/>
              </w:rPr>
            </w:pPr>
            <w:r w:rsidRPr="00FB4EFA">
              <w:rPr>
                <w:sz w:val="20"/>
                <w:szCs w:val="20"/>
                <w:lang w:val="fi-FI"/>
              </w:rPr>
              <w:t>388 182 (99.33%)</w:t>
            </w:r>
          </w:p>
        </w:tc>
        <w:tc>
          <w:tcPr>
            <w:tcW w:w="0" w:type="auto"/>
          </w:tcPr>
          <w:p w14:paraId="75757DC7" w14:textId="77777777" w:rsidR="00EC74AD" w:rsidRPr="00FB4EFA" w:rsidRDefault="00EC74AD" w:rsidP="00863238">
            <w:pPr>
              <w:keepNext/>
              <w:spacing w:line="240" w:lineRule="auto"/>
              <w:rPr>
                <w:sz w:val="20"/>
                <w:szCs w:val="20"/>
                <w:lang w:val="fi-FI"/>
              </w:rPr>
            </w:pPr>
            <w:r w:rsidRPr="00FB4EFA">
              <w:rPr>
                <w:i/>
                <w:iCs/>
                <w:sz w:val="20"/>
                <w:szCs w:val="20"/>
                <w:lang w:val="fi-FI"/>
              </w:rPr>
              <w:t>myyjätär</w:t>
            </w:r>
          </w:p>
        </w:tc>
        <w:tc>
          <w:tcPr>
            <w:tcW w:w="0" w:type="auto"/>
          </w:tcPr>
          <w:p w14:paraId="376734C1" w14:textId="77777777" w:rsidR="00EC74AD" w:rsidRPr="00FB4EFA" w:rsidRDefault="00EC74AD" w:rsidP="00863238">
            <w:pPr>
              <w:keepNext/>
              <w:spacing w:line="240" w:lineRule="auto"/>
              <w:jc w:val="right"/>
              <w:rPr>
                <w:sz w:val="20"/>
                <w:szCs w:val="20"/>
                <w:lang w:val="fi-FI"/>
              </w:rPr>
            </w:pPr>
            <w:r w:rsidRPr="00FB4EFA">
              <w:rPr>
                <w:sz w:val="20"/>
                <w:szCs w:val="20"/>
                <w:lang w:val="fi-FI"/>
              </w:rPr>
              <w:t>2 636 (0.67%)</w:t>
            </w:r>
          </w:p>
        </w:tc>
      </w:tr>
      <w:tr w:rsidR="00FB4EFA" w:rsidRPr="00FB4EFA" w14:paraId="1554BCA8" w14:textId="77777777" w:rsidTr="00EC74AD">
        <w:tc>
          <w:tcPr>
            <w:tcW w:w="0" w:type="auto"/>
          </w:tcPr>
          <w:p w14:paraId="26D1AC4D" w14:textId="77777777" w:rsidR="00EC74AD" w:rsidRPr="00FB4EFA" w:rsidRDefault="00EC74AD" w:rsidP="00863238">
            <w:pPr>
              <w:keepNext/>
              <w:spacing w:line="240" w:lineRule="auto"/>
              <w:rPr>
                <w:sz w:val="20"/>
                <w:szCs w:val="20"/>
                <w:lang w:val="fi-FI"/>
              </w:rPr>
            </w:pPr>
            <w:r w:rsidRPr="00FB4EFA">
              <w:rPr>
                <w:i/>
                <w:iCs/>
                <w:sz w:val="20"/>
                <w:szCs w:val="20"/>
                <w:lang w:val="fi-FI"/>
              </w:rPr>
              <w:t>hoitaja</w:t>
            </w:r>
            <w:r w:rsidRPr="00FB4EFA">
              <w:rPr>
                <w:sz w:val="20"/>
                <w:szCs w:val="20"/>
                <w:lang w:val="fi-FI"/>
              </w:rPr>
              <w:t xml:space="preserve"> ‘nurse’</w:t>
            </w:r>
          </w:p>
        </w:tc>
        <w:tc>
          <w:tcPr>
            <w:tcW w:w="0" w:type="auto"/>
          </w:tcPr>
          <w:p w14:paraId="54CBD4B9" w14:textId="77777777" w:rsidR="00EC74AD" w:rsidRPr="00FB4EFA" w:rsidRDefault="00EC74AD" w:rsidP="00863238">
            <w:pPr>
              <w:keepNext/>
              <w:spacing w:line="240" w:lineRule="auto"/>
              <w:jc w:val="right"/>
              <w:rPr>
                <w:sz w:val="20"/>
                <w:szCs w:val="20"/>
                <w:lang w:val="fi-FI"/>
              </w:rPr>
            </w:pPr>
            <w:r w:rsidRPr="00FB4EFA">
              <w:rPr>
                <w:sz w:val="20"/>
                <w:szCs w:val="20"/>
                <w:lang w:val="fi-FI"/>
              </w:rPr>
              <w:t>166 338 (99.58%)</w:t>
            </w:r>
          </w:p>
        </w:tc>
        <w:tc>
          <w:tcPr>
            <w:tcW w:w="0" w:type="auto"/>
          </w:tcPr>
          <w:p w14:paraId="2AAC9360" w14:textId="77777777" w:rsidR="00EC74AD" w:rsidRPr="00FB4EFA" w:rsidRDefault="00EC74AD" w:rsidP="00863238">
            <w:pPr>
              <w:keepNext/>
              <w:spacing w:line="240" w:lineRule="auto"/>
              <w:rPr>
                <w:sz w:val="20"/>
                <w:szCs w:val="20"/>
                <w:lang w:val="fi-FI"/>
              </w:rPr>
            </w:pPr>
            <w:r w:rsidRPr="00FB4EFA">
              <w:rPr>
                <w:i/>
                <w:iCs/>
                <w:sz w:val="20"/>
                <w:szCs w:val="20"/>
                <w:lang w:val="fi-FI"/>
              </w:rPr>
              <w:t>hoitajatar</w:t>
            </w:r>
          </w:p>
        </w:tc>
        <w:tc>
          <w:tcPr>
            <w:tcW w:w="0" w:type="auto"/>
          </w:tcPr>
          <w:p w14:paraId="399E9F5E" w14:textId="77777777" w:rsidR="00EC74AD" w:rsidRPr="00FB4EFA" w:rsidRDefault="00EC74AD" w:rsidP="00863238">
            <w:pPr>
              <w:keepNext/>
              <w:spacing w:line="240" w:lineRule="auto"/>
              <w:jc w:val="right"/>
              <w:rPr>
                <w:sz w:val="20"/>
                <w:szCs w:val="20"/>
                <w:lang w:val="fi-FI"/>
              </w:rPr>
            </w:pPr>
            <w:r w:rsidRPr="00FB4EFA">
              <w:rPr>
                <w:sz w:val="20"/>
                <w:szCs w:val="20"/>
                <w:lang w:val="fi-FI"/>
              </w:rPr>
              <w:t>703 (0.42%)</w:t>
            </w:r>
          </w:p>
        </w:tc>
      </w:tr>
      <w:tr w:rsidR="00FB4EFA" w:rsidRPr="00FB4EFA" w14:paraId="0D420018" w14:textId="77777777" w:rsidTr="00EC74AD">
        <w:tc>
          <w:tcPr>
            <w:tcW w:w="0" w:type="auto"/>
          </w:tcPr>
          <w:p w14:paraId="6ED634E5" w14:textId="77777777" w:rsidR="00EC74AD" w:rsidRPr="00FB4EFA" w:rsidRDefault="00EC74AD" w:rsidP="00863238">
            <w:pPr>
              <w:keepNext/>
              <w:spacing w:line="240" w:lineRule="auto"/>
              <w:rPr>
                <w:sz w:val="20"/>
                <w:szCs w:val="20"/>
                <w:lang w:val="fi-FI"/>
              </w:rPr>
            </w:pPr>
            <w:r w:rsidRPr="00FB4EFA">
              <w:rPr>
                <w:i/>
                <w:iCs/>
                <w:sz w:val="20"/>
                <w:szCs w:val="20"/>
                <w:lang w:val="fi-FI"/>
              </w:rPr>
              <w:t>johtaja</w:t>
            </w:r>
            <w:r w:rsidRPr="00FB4EFA">
              <w:rPr>
                <w:sz w:val="20"/>
                <w:szCs w:val="20"/>
                <w:lang w:val="fi-FI"/>
              </w:rPr>
              <w:t xml:space="preserve"> ‘director’</w:t>
            </w:r>
          </w:p>
        </w:tc>
        <w:tc>
          <w:tcPr>
            <w:tcW w:w="0" w:type="auto"/>
          </w:tcPr>
          <w:p w14:paraId="2AB83A6A" w14:textId="77777777" w:rsidR="00EC74AD" w:rsidRPr="00FB4EFA" w:rsidRDefault="00EC74AD" w:rsidP="00863238">
            <w:pPr>
              <w:keepNext/>
              <w:spacing w:line="240" w:lineRule="auto"/>
              <w:jc w:val="right"/>
              <w:rPr>
                <w:sz w:val="20"/>
                <w:szCs w:val="20"/>
                <w:lang w:val="fi-FI"/>
              </w:rPr>
            </w:pPr>
            <w:r w:rsidRPr="00FB4EFA">
              <w:rPr>
                <w:sz w:val="20"/>
                <w:szCs w:val="20"/>
                <w:lang w:val="fi-FI"/>
              </w:rPr>
              <w:t>323 758 (99.67%)</w:t>
            </w:r>
          </w:p>
        </w:tc>
        <w:tc>
          <w:tcPr>
            <w:tcW w:w="0" w:type="auto"/>
          </w:tcPr>
          <w:p w14:paraId="78A5CCD8" w14:textId="77777777" w:rsidR="00EC74AD" w:rsidRPr="00FB4EFA" w:rsidRDefault="00EC74AD" w:rsidP="00863238">
            <w:pPr>
              <w:keepNext/>
              <w:spacing w:line="240" w:lineRule="auto"/>
              <w:rPr>
                <w:sz w:val="20"/>
                <w:szCs w:val="20"/>
                <w:lang w:val="fi-FI"/>
              </w:rPr>
            </w:pPr>
            <w:r w:rsidRPr="00FB4EFA">
              <w:rPr>
                <w:i/>
                <w:iCs/>
                <w:sz w:val="20"/>
                <w:szCs w:val="20"/>
                <w:lang w:val="fi-FI"/>
              </w:rPr>
              <w:t>johtajatar</w:t>
            </w:r>
          </w:p>
        </w:tc>
        <w:tc>
          <w:tcPr>
            <w:tcW w:w="0" w:type="auto"/>
          </w:tcPr>
          <w:p w14:paraId="0BB08098" w14:textId="77777777" w:rsidR="00EC74AD" w:rsidRPr="00FB4EFA" w:rsidRDefault="00EC74AD" w:rsidP="00863238">
            <w:pPr>
              <w:keepNext/>
              <w:spacing w:line="240" w:lineRule="auto"/>
              <w:jc w:val="right"/>
              <w:rPr>
                <w:sz w:val="20"/>
                <w:szCs w:val="20"/>
                <w:lang w:val="fi-FI"/>
              </w:rPr>
            </w:pPr>
            <w:r w:rsidRPr="00FB4EFA">
              <w:rPr>
                <w:sz w:val="20"/>
                <w:szCs w:val="20"/>
                <w:lang w:val="fi-FI"/>
              </w:rPr>
              <w:t>1 064 (0.33%)</w:t>
            </w:r>
          </w:p>
        </w:tc>
      </w:tr>
      <w:tr w:rsidR="00FB4EFA" w:rsidRPr="00FB4EFA" w14:paraId="0B4A9510" w14:textId="77777777" w:rsidTr="00EC74AD">
        <w:tc>
          <w:tcPr>
            <w:tcW w:w="0" w:type="auto"/>
          </w:tcPr>
          <w:p w14:paraId="380A4706" w14:textId="77777777" w:rsidR="00EC74AD" w:rsidRPr="00FB4EFA" w:rsidRDefault="00EC74AD" w:rsidP="00863238">
            <w:pPr>
              <w:spacing w:line="240" w:lineRule="auto"/>
              <w:rPr>
                <w:sz w:val="20"/>
                <w:szCs w:val="20"/>
                <w:lang w:val="fi-FI"/>
              </w:rPr>
            </w:pPr>
            <w:r w:rsidRPr="00FB4EFA">
              <w:rPr>
                <w:i/>
                <w:iCs/>
                <w:sz w:val="20"/>
                <w:szCs w:val="20"/>
                <w:lang w:val="fi-FI"/>
              </w:rPr>
              <w:t>opettaja</w:t>
            </w:r>
            <w:r w:rsidRPr="00FB4EFA">
              <w:rPr>
                <w:sz w:val="20"/>
                <w:szCs w:val="20"/>
                <w:lang w:val="fi-FI"/>
              </w:rPr>
              <w:t xml:space="preserve"> ‘teacher’</w:t>
            </w:r>
          </w:p>
        </w:tc>
        <w:tc>
          <w:tcPr>
            <w:tcW w:w="0" w:type="auto"/>
          </w:tcPr>
          <w:p w14:paraId="7D5394C2" w14:textId="77777777" w:rsidR="00EC74AD" w:rsidRPr="00FB4EFA" w:rsidRDefault="00EC74AD" w:rsidP="00863238">
            <w:pPr>
              <w:spacing w:line="240" w:lineRule="auto"/>
              <w:jc w:val="right"/>
              <w:rPr>
                <w:sz w:val="20"/>
                <w:szCs w:val="20"/>
                <w:lang w:val="fi-FI"/>
              </w:rPr>
            </w:pPr>
            <w:r w:rsidRPr="00FB4EFA">
              <w:rPr>
                <w:sz w:val="20"/>
                <w:szCs w:val="20"/>
                <w:lang w:val="fi-FI"/>
              </w:rPr>
              <w:t>442 815 (99.7</w:t>
            </w:r>
            <w:r w:rsidRPr="00FB4EFA">
              <w:rPr>
                <w:sz w:val="20"/>
                <w:szCs w:val="20"/>
              </w:rPr>
              <w:t>0</w:t>
            </w:r>
            <w:r w:rsidRPr="00FB4EFA">
              <w:rPr>
                <w:sz w:val="20"/>
                <w:szCs w:val="20"/>
                <w:lang w:val="fi-FI"/>
              </w:rPr>
              <w:t>%)</w:t>
            </w:r>
          </w:p>
        </w:tc>
        <w:tc>
          <w:tcPr>
            <w:tcW w:w="0" w:type="auto"/>
          </w:tcPr>
          <w:p w14:paraId="0A7EBFAE" w14:textId="77777777" w:rsidR="00EC74AD" w:rsidRPr="00FB4EFA" w:rsidRDefault="00EC74AD" w:rsidP="00863238">
            <w:pPr>
              <w:spacing w:line="240" w:lineRule="auto"/>
              <w:rPr>
                <w:sz w:val="20"/>
                <w:szCs w:val="20"/>
                <w:lang w:val="fi-FI"/>
              </w:rPr>
            </w:pPr>
            <w:r w:rsidRPr="00FB4EFA">
              <w:rPr>
                <w:i/>
                <w:iCs/>
                <w:sz w:val="20"/>
                <w:szCs w:val="20"/>
                <w:lang w:val="fi-FI"/>
              </w:rPr>
              <w:t>opettajatar</w:t>
            </w:r>
          </w:p>
        </w:tc>
        <w:tc>
          <w:tcPr>
            <w:tcW w:w="0" w:type="auto"/>
          </w:tcPr>
          <w:p w14:paraId="3B8C2A96" w14:textId="77777777" w:rsidR="00EC74AD" w:rsidRPr="00FB4EFA" w:rsidRDefault="00EC74AD" w:rsidP="00863238">
            <w:pPr>
              <w:spacing w:line="240" w:lineRule="auto"/>
              <w:jc w:val="right"/>
              <w:rPr>
                <w:sz w:val="20"/>
                <w:szCs w:val="20"/>
                <w:lang w:val="fi-FI"/>
              </w:rPr>
            </w:pPr>
            <w:r w:rsidRPr="00FB4EFA">
              <w:rPr>
                <w:sz w:val="20"/>
                <w:szCs w:val="20"/>
                <w:lang w:val="fi-FI"/>
              </w:rPr>
              <w:t>1 330 (0.3</w:t>
            </w:r>
            <w:r w:rsidRPr="00FB4EFA">
              <w:rPr>
                <w:sz w:val="20"/>
                <w:szCs w:val="20"/>
              </w:rPr>
              <w:t>0</w:t>
            </w:r>
            <w:r w:rsidRPr="00FB4EFA">
              <w:rPr>
                <w:sz w:val="20"/>
                <w:szCs w:val="20"/>
                <w:lang w:val="fi-FI"/>
              </w:rPr>
              <w:t>%)</w:t>
            </w:r>
          </w:p>
        </w:tc>
      </w:tr>
    </w:tbl>
    <w:p w14:paraId="47452EC0" w14:textId="120AC325" w:rsidR="00EC74AD" w:rsidRPr="00FB4EFA" w:rsidRDefault="00EC74AD" w:rsidP="002752AF">
      <w:pPr>
        <w:spacing w:before="240"/>
        <w:rPr>
          <w:lang w:val="fi-FI"/>
        </w:rPr>
      </w:pPr>
      <w:r w:rsidRPr="00FB4EFA">
        <w:rPr>
          <w:lang w:val="fi-FI"/>
        </w:rPr>
        <w:t xml:space="preserve">Other female variants </w:t>
      </w:r>
      <w:r w:rsidR="0039345E" w:rsidRPr="00FB4EFA">
        <w:rPr>
          <w:lang w:val="fi-FI"/>
        </w:rPr>
        <w:t>with</w:t>
      </w:r>
      <w:r w:rsidRPr="00FB4EFA">
        <w:rPr>
          <w:lang w:val="fi-FI"/>
        </w:rPr>
        <w:t xml:space="preserve"> </w:t>
      </w:r>
      <w:r w:rsidRPr="00FB4EFA">
        <w:rPr>
          <w:i/>
          <w:iCs/>
          <w:lang w:val="fi-FI"/>
        </w:rPr>
        <w:noBreakHyphen/>
        <w:t>tar</w:t>
      </w:r>
      <w:r w:rsidRPr="00FB4EFA">
        <w:rPr>
          <w:lang w:val="fi-FI"/>
        </w:rPr>
        <w:t>/</w:t>
      </w:r>
      <w:r w:rsidRPr="00FB4EFA">
        <w:rPr>
          <w:i/>
          <w:iCs/>
          <w:lang w:val="fi-FI"/>
        </w:rPr>
        <w:noBreakHyphen/>
        <w:t>tär</w:t>
      </w:r>
      <w:r w:rsidRPr="00FB4EFA">
        <w:rPr>
          <w:lang w:val="fi-FI"/>
        </w:rPr>
        <w:t xml:space="preserve">, which occur more rarely, include, for example, </w:t>
      </w:r>
      <w:r w:rsidRPr="00FB4EFA">
        <w:rPr>
          <w:i/>
          <w:iCs/>
          <w:lang w:val="fi-FI"/>
        </w:rPr>
        <w:t>siivoojatar</w:t>
      </w:r>
      <w:r w:rsidRPr="00FB4EFA">
        <w:rPr>
          <w:lang w:val="fi-FI"/>
        </w:rPr>
        <w:t xml:space="preserve"> ‘female cleaner’, </w:t>
      </w:r>
      <w:r w:rsidRPr="00FB4EFA">
        <w:rPr>
          <w:i/>
          <w:iCs/>
          <w:lang w:val="fi-FI"/>
        </w:rPr>
        <w:t>ompelijatar</w:t>
      </w:r>
      <w:r w:rsidRPr="00FB4EFA">
        <w:rPr>
          <w:lang w:val="fi-FI"/>
        </w:rPr>
        <w:t xml:space="preserve"> ‘female sewer’, </w:t>
      </w:r>
      <w:r w:rsidR="00AC2528" w:rsidRPr="00FB4EFA">
        <w:rPr>
          <w:lang w:val="fi-FI"/>
        </w:rPr>
        <w:br/>
      </w:r>
      <w:r w:rsidRPr="00FB4EFA">
        <w:rPr>
          <w:i/>
          <w:iCs/>
          <w:lang w:val="fi-FI"/>
        </w:rPr>
        <w:t>metsästäjätär</w:t>
      </w:r>
      <w:r w:rsidRPr="00FB4EFA">
        <w:rPr>
          <w:lang w:val="fi-FI"/>
        </w:rPr>
        <w:t xml:space="preserve"> ‘female hunter’, and </w:t>
      </w:r>
      <w:r w:rsidRPr="00FB4EFA">
        <w:rPr>
          <w:i/>
          <w:iCs/>
          <w:lang w:val="fi-FI"/>
        </w:rPr>
        <w:t>lääkäritär</w:t>
      </w:r>
      <w:r w:rsidRPr="00FB4EFA">
        <w:rPr>
          <w:lang w:val="fi-FI"/>
        </w:rPr>
        <w:t xml:space="preserve"> ‘female doctor’.</w:t>
      </w:r>
    </w:p>
    <w:p w14:paraId="441F4E79" w14:textId="77777777" w:rsidR="00EC74AD" w:rsidRPr="00FB4EFA" w:rsidRDefault="00EC74AD" w:rsidP="002752AF">
      <w:pPr>
        <w:ind w:firstLine="720"/>
        <w:rPr>
          <w:lang w:val="en-US"/>
        </w:rPr>
      </w:pPr>
      <w:r w:rsidRPr="00FB4EFA">
        <w:rPr>
          <w:lang w:val="en-US"/>
        </w:rPr>
        <w:t>As can be seen, the lists for Finnish and Estonian are fairly similar, even though not all of the job titles are cognates. In particular, the words meaning ‘female priest’ are derived from different stems but are relatively common in both languages, which reflects a general preference to express gender with this occupation (see also Sections 3.1 and 3.6).</w:t>
      </w:r>
    </w:p>
    <w:p w14:paraId="00123FD1" w14:textId="4FB556CB" w:rsidR="00EC74AD" w:rsidRPr="00FB4EFA" w:rsidRDefault="00EC74AD" w:rsidP="002752AF">
      <w:pPr>
        <w:pStyle w:val="Heading4"/>
        <w:numPr>
          <w:ilvl w:val="2"/>
          <w:numId w:val="20"/>
        </w:numPr>
        <w:spacing w:line="259" w:lineRule="auto"/>
      </w:pPr>
      <w:r w:rsidRPr="00FB4EFA">
        <w:lastRenderedPageBreak/>
        <w:t>The job title is borrowed with a feminine suffix</w:t>
      </w:r>
    </w:p>
    <w:p w14:paraId="5726EFD1" w14:textId="77E5589F" w:rsidR="00EC74AD" w:rsidRPr="00FB4EFA" w:rsidRDefault="00EC74AD" w:rsidP="002752AF">
      <w:pPr>
        <w:rPr>
          <w:lang w:val="en-US"/>
        </w:rPr>
      </w:pPr>
      <w:r w:rsidRPr="00FB4EFA">
        <w:rPr>
          <w:lang w:val="en-US"/>
        </w:rPr>
        <w:t xml:space="preserve">Several languages feature female job titles that contain feminine suffixes not productive in the respective languages. These are the cases where both the gender-neutral/masculine and the female variant can easily be identified as loanwords. A clear example attested in several languages and featuring basically the same suffix is ‘deacon’ &gt; ‘deaconess’: </w:t>
      </w:r>
      <w:r w:rsidRPr="00FB4EFA">
        <w:rPr>
          <w:i/>
          <w:iCs/>
          <w:lang w:val="en-US"/>
        </w:rPr>
        <w:t>diakon</w:t>
      </w:r>
      <w:r w:rsidRPr="00FB4EFA">
        <w:rPr>
          <w:lang w:val="en-US"/>
        </w:rPr>
        <w:t xml:space="preserve"> &gt; </w:t>
      </w:r>
      <w:r w:rsidRPr="00FB4EFA">
        <w:rPr>
          <w:i/>
          <w:iCs/>
          <w:lang w:val="en-US"/>
        </w:rPr>
        <w:t>diakoniss</w:t>
      </w:r>
      <w:r w:rsidRPr="00FB4EFA">
        <w:rPr>
          <w:lang w:val="en-US"/>
        </w:rPr>
        <w:t xml:space="preserve"> in Estonian, </w:t>
      </w:r>
      <w:r w:rsidRPr="00FB4EFA">
        <w:rPr>
          <w:i/>
          <w:iCs/>
          <w:lang w:val="en-US"/>
        </w:rPr>
        <w:t>diakónus</w:t>
      </w:r>
      <w:r w:rsidRPr="00FB4EFA">
        <w:rPr>
          <w:lang w:val="en-US"/>
        </w:rPr>
        <w:t xml:space="preserve"> &gt; </w:t>
      </w:r>
      <w:r w:rsidRPr="00FB4EFA">
        <w:rPr>
          <w:i/>
          <w:iCs/>
          <w:lang w:val="en-US"/>
        </w:rPr>
        <w:t xml:space="preserve">diakonissza </w:t>
      </w:r>
      <w:r w:rsidRPr="00FB4EFA">
        <w:rPr>
          <w:lang w:val="en-US"/>
        </w:rPr>
        <w:t xml:space="preserve">in Hungarian, and </w:t>
      </w:r>
      <w:r w:rsidRPr="00FB4EFA">
        <w:rPr>
          <w:i/>
          <w:iCs/>
          <w:lang w:val="en-US"/>
        </w:rPr>
        <w:t>diakoni</w:t>
      </w:r>
      <w:r w:rsidRPr="00FB4EFA">
        <w:rPr>
          <w:rFonts w:asciiTheme="minorHAnsi" w:hAnsiTheme="minorHAnsi"/>
          <w:lang w:val="en-US"/>
        </w:rPr>
        <w:t> </w:t>
      </w:r>
      <w:r w:rsidRPr="00FB4EFA">
        <w:rPr>
          <w:lang w:val="en-US"/>
        </w:rPr>
        <w:t xml:space="preserve">&gt; </w:t>
      </w:r>
      <w:r w:rsidRPr="00FB4EFA">
        <w:rPr>
          <w:i/>
          <w:iCs/>
          <w:lang w:val="en-US"/>
        </w:rPr>
        <w:t>diakonissa</w:t>
      </w:r>
      <w:r w:rsidRPr="00FB4EFA">
        <w:rPr>
          <w:lang w:val="en-US"/>
        </w:rPr>
        <w:t xml:space="preserve"> in Finnish. Among the jobs on our list, the same suffix is also found in the words </w:t>
      </w:r>
      <w:r w:rsidRPr="00FB4EFA">
        <w:rPr>
          <w:i/>
          <w:iCs/>
          <w:lang w:val="en-US"/>
        </w:rPr>
        <w:t>direktriss</w:t>
      </w:r>
      <w:r w:rsidRPr="00FB4EFA">
        <w:rPr>
          <w:lang w:val="en-US"/>
        </w:rPr>
        <w:t xml:space="preserve"> in Estonian and </w:t>
      </w:r>
      <w:r w:rsidR="00917AA2" w:rsidRPr="00FB4EFA">
        <w:rPr>
          <w:lang w:val="en-US"/>
        </w:rPr>
        <w:t>in the</w:t>
      </w:r>
      <w:r w:rsidRPr="00FB4EFA">
        <w:rPr>
          <w:lang w:val="en-US"/>
        </w:rPr>
        <w:t xml:space="preserve"> fairly marginal word </w:t>
      </w:r>
      <w:r w:rsidRPr="00FB4EFA">
        <w:rPr>
          <w:i/>
          <w:iCs/>
          <w:lang w:val="en-US"/>
        </w:rPr>
        <w:t xml:space="preserve">direktrisz </w:t>
      </w:r>
      <w:r w:rsidRPr="00FB4EFA">
        <w:rPr>
          <w:lang w:val="en-US"/>
        </w:rPr>
        <w:t xml:space="preserve">in Hungarian (35 occurrences in our data) meaning ‘female director’. Another example of a word borrowed with a feminine suffix is </w:t>
      </w:r>
      <w:r w:rsidRPr="00FB4EFA">
        <w:rPr>
          <w:i/>
          <w:iCs/>
          <w:lang w:val="en-US"/>
        </w:rPr>
        <w:t xml:space="preserve">kollegina </w:t>
      </w:r>
      <w:r w:rsidRPr="00FB4EFA">
        <w:rPr>
          <w:lang w:val="en-US"/>
        </w:rPr>
        <w:t xml:space="preserve">‘female colleague’ in Hungarian, a loanword from German. In Aanaar Saami, a borrowed feminine suffix </w:t>
      </w:r>
      <w:r w:rsidRPr="00FB4EFA">
        <w:rPr>
          <w:i/>
          <w:iCs/>
          <w:lang w:val="en-US"/>
        </w:rPr>
        <w:noBreakHyphen/>
        <w:t>târ</w:t>
      </w:r>
      <w:r w:rsidRPr="00FB4EFA">
        <w:rPr>
          <w:lang w:val="en-US"/>
        </w:rPr>
        <w:t xml:space="preserve"> can be attested in the word pair </w:t>
      </w:r>
      <w:r w:rsidRPr="00FB4EFA">
        <w:rPr>
          <w:i/>
          <w:iCs/>
          <w:lang w:val="en-US"/>
        </w:rPr>
        <w:t xml:space="preserve">kunâgâs </w:t>
      </w:r>
      <w:r w:rsidRPr="00FB4EFA">
        <w:rPr>
          <w:lang w:val="en-US"/>
        </w:rPr>
        <w:t xml:space="preserve">‘king’ and </w:t>
      </w:r>
      <w:r w:rsidRPr="00FB4EFA">
        <w:rPr>
          <w:i/>
          <w:iCs/>
          <w:lang w:val="en-US"/>
        </w:rPr>
        <w:t xml:space="preserve">kunâgâtâr </w:t>
      </w:r>
      <w:r w:rsidRPr="00FB4EFA">
        <w:rPr>
          <w:lang w:val="en-US"/>
        </w:rPr>
        <w:t>‘queen’ (</w:t>
      </w:r>
      <w:r w:rsidR="00466236" w:rsidRPr="00FB4EFA">
        <w:rPr>
          <w:lang w:val="en-US"/>
        </w:rPr>
        <w:t>cf. </w:t>
      </w:r>
      <w:r w:rsidRPr="00FB4EFA">
        <w:rPr>
          <w:lang w:val="en-US"/>
        </w:rPr>
        <w:t xml:space="preserve">Finnish </w:t>
      </w:r>
      <w:r w:rsidRPr="00FB4EFA">
        <w:rPr>
          <w:i/>
          <w:iCs/>
          <w:lang w:val="en-US"/>
        </w:rPr>
        <w:t>kuningas</w:t>
      </w:r>
      <w:r w:rsidRPr="00FB4EFA">
        <w:rPr>
          <w:lang w:val="en-US"/>
        </w:rPr>
        <w:t xml:space="preserve"> ‘king’ and </w:t>
      </w:r>
      <w:r w:rsidRPr="00FB4EFA">
        <w:rPr>
          <w:i/>
          <w:iCs/>
          <w:lang w:val="en-US"/>
        </w:rPr>
        <w:t>kuningatar</w:t>
      </w:r>
      <w:r w:rsidRPr="00FB4EFA">
        <w:rPr>
          <w:lang w:val="en-US"/>
        </w:rPr>
        <w:t xml:space="preserve"> ‘queen’, where </w:t>
      </w:r>
      <w:r w:rsidRPr="00FB4EFA">
        <w:rPr>
          <w:i/>
          <w:iCs/>
          <w:lang w:val="en-US"/>
        </w:rPr>
        <w:noBreakHyphen/>
        <w:t>tar</w:t>
      </w:r>
      <w:r w:rsidRPr="00FB4EFA">
        <w:rPr>
          <w:lang w:val="en-US"/>
        </w:rPr>
        <w:t xml:space="preserve"> is a productive feminine suffix as discussed in Section 3.2.1).</w:t>
      </w:r>
    </w:p>
    <w:p w14:paraId="0BCB1C4B" w14:textId="704C2971" w:rsidR="00EC74AD" w:rsidRPr="00FB4EFA" w:rsidRDefault="00EC74AD" w:rsidP="002752AF">
      <w:pPr>
        <w:spacing w:after="240"/>
        <w:ind w:firstLine="720"/>
        <w:rPr>
          <w:lang w:val="en-US"/>
        </w:rPr>
      </w:pPr>
      <w:r w:rsidRPr="00FB4EFA">
        <w:rPr>
          <w:lang w:val="en-US"/>
        </w:rPr>
        <w:t xml:space="preserve">For the aforementioned languages, this strategy is fairly marginal, but for another one of the </w:t>
      </w:r>
      <w:r w:rsidR="00D879AD" w:rsidRPr="00FB4EFA">
        <w:rPr>
          <w:lang w:val="en-US"/>
        </w:rPr>
        <w:t xml:space="preserve">investigated </w:t>
      </w:r>
      <w:r w:rsidRPr="00FB4EFA">
        <w:rPr>
          <w:lang w:val="en-US"/>
        </w:rPr>
        <w:t>languages, Meadow Mari, it is the main way to express gender in job titles. Basically, it seems that in Meadow Mari, the general concept of using gendered job titles is mostly a result of Russian influence. Gender is rarely expressed in native job titles, but for those borrowed from Russian, often both the male and the female version (usually adapted to Meadow Mari phonology) are borrowed, with the male version typically being used to refer to the job in general; see examples below.</w:t>
      </w:r>
    </w:p>
    <w:tbl>
      <w:tblPr>
        <w:tblW w:w="0" w:type="auto"/>
        <w:tblLook w:val="04A0" w:firstRow="1" w:lastRow="0" w:firstColumn="1" w:lastColumn="0" w:noHBand="0" w:noVBand="1"/>
      </w:tblPr>
      <w:tblGrid>
        <w:gridCol w:w="2091"/>
        <w:gridCol w:w="1562"/>
        <w:gridCol w:w="1775"/>
        <w:gridCol w:w="1407"/>
      </w:tblGrid>
      <w:tr w:rsidR="00FB4EFA" w:rsidRPr="00FB4EFA" w14:paraId="6C55D6C0" w14:textId="77777777" w:rsidTr="00EC74AD">
        <w:tc>
          <w:tcPr>
            <w:tcW w:w="0" w:type="auto"/>
          </w:tcPr>
          <w:p w14:paraId="0A091190" w14:textId="77777777" w:rsidR="00EC74AD" w:rsidRPr="00FB4EFA" w:rsidRDefault="00EC74AD" w:rsidP="00863238">
            <w:pPr>
              <w:spacing w:line="240" w:lineRule="auto"/>
              <w:rPr>
                <w:sz w:val="20"/>
                <w:szCs w:val="20"/>
                <w:lang w:val="ru-RU"/>
              </w:rPr>
            </w:pPr>
            <w:r w:rsidRPr="00FB4EFA">
              <w:rPr>
                <w:rFonts w:cs="Cambria"/>
                <w:i/>
                <w:iCs/>
                <w:sz w:val="20"/>
                <w:szCs w:val="20"/>
                <w:lang w:val="ru-RU"/>
              </w:rPr>
              <w:t>санитар</w:t>
            </w:r>
            <w:r w:rsidRPr="00FB4EFA">
              <w:rPr>
                <w:sz w:val="20"/>
                <w:szCs w:val="20"/>
                <w:lang w:val="ru-RU"/>
              </w:rPr>
              <w:t xml:space="preserve"> ‘</w:t>
            </w:r>
            <w:r w:rsidRPr="00FB4EFA">
              <w:rPr>
                <w:sz w:val="20"/>
                <w:szCs w:val="20"/>
              </w:rPr>
              <w:t>paramedic</w:t>
            </w:r>
            <w:r w:rsidRPr="00FB4EFA">
              <w:rPr>
                <w:sz w:val="20"/>
                <w:szCs w:val="20"/>
                <w:lang w:val="ru-RU"/>
              </w:rPr>
              <w:t>’</w:t>
            </w:r>
          </w:p>
        </w:tc>
        <w:tc>
          <w:tcPr>
            <w:tcW w:w="0" w:type="auto"/>
          </w:tcPr>
          <w:p w14:paraId="18F36A27" w14:textId="77777777" w:rsidR="00EC74AD" w:rsidRPr="00FB4EFA" w:rsidRDefault="00EC74AD" w:rsidP="00863238">
            <w:pPr>
              <w:spacing w:line="240" w:lineRule="auto"/>
              <w:jc w:val="right"/>
              <w:rPr>
                <w:sz w:val="20"/>
                <w:szCs w:val="20"/>
                <w:lang w:val="ru-RU"/>
              </w:rPr>
            </w:pPr>
            <w:r w:rsidRPr="00FB4EFA">
              <w:rPr>
                <w:sz w:val="20"/>
                <w:szCs w:val="20"/>
                <w:lang w:val="ru-RU"/>
              </w:rPr>
              <w:t>352 (63.2</w:t>
            </w:r>
            <w:r w:rsidRPr="00FB4EFA">
              <w:rPr>
                <w:sz w:val="20"/>
                <w:szCs w:val="20"/>
              </w:rPr>
              <w:t>0</w:t>
            </w:r>
            <w:r w:rsidRPr="00FB4EFA">
              <w:rPr>
                <w:sz w:val="20"/>
                <w:szCs w:val="20"/>
                <w:lang w:val="ru-RU"/>
              </w:rPr>
              <w:t>%)</w:t>
            </w:r>
          </w:p>
        </w:tc>
        <w:tc>
          <w:tcPr>
            <w:tcW w:w="0" w:type="auto"/>
          </w:tcPr>
          <w:p w14:paraId="4D3C0D6B" w14:textId="77777777" w:rsidR="00EC74AD" w:rsidRPr="00FB4EFA" w:rsidRDefault="00EC74AD" w:rsidP="00863238">
            <w:pPr>
              <w:spacing w:line="240" w:lineRule="auto"/>
              <w:rPr>
                <w:sz w:val="20"/>
                <w:szCs w:val="20"/>
                <w:lang w:val="ru-RU"/>
              </w:rPr>
            </w:pPr>
            <w:r w:rsidRPr="00FB4EFA">
              <w:rPr>
                <w:rFonts w:cs="Cambria"/>
                <w:i/>
                <w:iCs/>
                <w:sz w:val="20"/>
                <w:szCs w:val="20"/>
                <w:lang w:val="ru-RU"/>
              </w:rPr>
              <w:t>санитарка</w:t>
            </w:r>
            <w:r w:rsidRPr="00FB4EFA">
              <w:rPr>
                <w:sz w:val="20"/>
                <w:szCs w:val="20"/>
                <w:lang w:val="ru-RU"/>
              </w:rPr>
              <w:t>/</w:t>
            </w:r>
            <w:r w:rsidRPr="00FB4EFA">
              <w:rPr>
                <w:rFonts w:cs="Cambria"/>
                <w:i/>
                <w:iCs/>
                <w:sz w:val="20"/>
                <w:szCs w:val="20"/>
                <w:lang w:val="ru-RU"/>
              </w:rPr>
              <w:t>-ке</w:t>
            </w:r>
          </w:p>
        </w:tc>
        <w:tc>
          <w:tcPr>
            <w:tcW w:w="0" w:type="auto"/>
          </w:tcPr>
          <w:p w14:paraId="13DBA501" w14:textId="77777777" w:rsidR="00EC74AD" w:rsidRPr="00FB4EFA" w:rsidRDefault="00EC74AD" w:rsidP="00863238">
            <w:pPr>
              <w:spacing w:line="240" w:lineRule="auto"/>
              <w:jc w:val="right"/>
              <w:rPr>
                <w:sz w:val="20"/>
                <w:szCs w:val="20"/>
                <w:lang w:val="ru-RU"/>
              </w:rPr>
            </w:pPr>
            <w:r w:rsidRPr="00FB4EFA">
              <w:rPr>
                <w:sz w:val="20"/>
                <w:szCs w:val="20"/>
                <w:lang w:val="ru-RU"/>
              </w:rPr>
              <w:t>205 (36.8</w:t>
            </w:r>
            <w:r w:rsidRPr="00FB4EFA">
              <w:rPr>
                <w:sz w:val="20"/>
                <w:szCs w:val="20"/>
              </w:rPr>
              <w:t>0</w:t>
            </w:r>
            <w:r w:rsidRPr="00FB4EFA">
              <w:rPr>
                <w:sz w:val="20"/>
                <w:szCs w:val="20"/>
                <w:lang w:val="ru-RU"/>
              </w:rPr>
              <w:t>%)</w:t>
            </w:r>
          </w:p>
        </w:tc>
      </w:tr>
      <w:tr w:rsidR="00FB4EFA" w:rsidRPr="00FB4EFA" w14:paraId="19B08061" w14:textId="77777777" w:rsidTr="00EC74AD">
        <w:tc>
          <w:tcPr>
            <w:tcW w:w="0" w:type="auto"/>
          </w:tcPr>
          <w:p w14:paraId="341C7737" w14:textId="77777777" w:rsidR="00EC74AD" w:rsidRPr="00FB4EFA" w:rsidRDefault="00EC74AD" w:rsidP="00863238">
            <w:pPr>
              <w:spacing w:line="240" w:lineRule="auto"/>
              <w:rPr>
                <w:sz w:val="20"/>
                <w:szCs w:val="20"/>
                <w:lang w:val="ru-RU"/>
              </w:rPr>
            </w:pPr>
            <w:r w:rsidRPr="00FB4EFA">
              <w:rPr>
                <w:rFonts w:cs="Cambria"/>
                <w:i/>
                <w:iCs/>
                <w:sz w:val="20"/>
                <w:szCs w:val="20"/>
                <w:lang w:val="ru-RU"/>
              </w:rPr>
              <w:t>актёр</w:t>
            </w:r>
            <w:r w:rsidRPr="00FB4EFA">
              <w:rPr>
                <w:sz w:val="20"/>
                <w:szCs w:val="20"/>
                <w:lang w:val="ru-RU"/>
              </w:rPr>
              <w:t xml:space="preserve"> ‘</w:t>
            </w:r>
            <w:r w:rsidRPr="00FB4EFA">
              <w:rPr>
                <w:sz w:val="20"/>
                <w:szCs w:val="20"/>
              </w:rPr>
              <w:t>actor</w:t>
            </w:r>
            <w:r w:rsidRPr="00FB4EFA">
              <w:rPr>
                <w:sz w:val="20"/>
                <w:szCs w:val="20"/>
                <w:lang w:val="ru-RU"/>
              </w:rPr>
              <w:t>’</w:t>
            </w:r>
          </w:p>
        </w:tc>
        <w:tc>
          <w:tcPr>
            <w:tcW w:w="0" w:type="auto"/>
          </w:tcPr>
          <w:p w14:paraId="43164F5F" w14:textId="5A3511EA" w:rsidR="00EC74AD" w:rsidRPr="00FB4EFA" w:rsidRDefault="00EC74AD" w:rsidP="00863238">
            <w:pPr>
              <w:spacing w:line="240" w:lineRule="auto"/>
              <w:jc w:val="right"/>
              <w:rPr>
                <w:sz w:val="20"/>
                <w:szCs w:val="20"/>
                <w:lang w:val="ru-RU"/>
              </w:rPr>
            </w:pPr>
            <w:r w:rsidRPr="00FB4EFA">
              <w:rPr>
                <w:sz w:val="20"/>
                <w:szCs w:val="20"/>
                <w:lang w:val="ru-RU"/>
              </w:rPr>
              <w:t>1</w:t>
            </w:r>
            <w:r w:rsidR="00565CC1">
              <w:rPr>
                <w:sz w:val="20"/>
                <w:szCs w:val="20"/>
                <w:lang w:val="en-GB"/>
              </w:rPr>
              <w:t xml:space="preserve"> </w:t>
            </w:r>
            <w:r w:rsidRPr="00FB4EFA">
              <w:rPr>
                <w:sz w:val="20"/>
                <w:szCs w:val="20"/>
                <w:lang w:val="ru-RU"/>
              </w:rPr>
              <w:t>554 (69.87%)</w:t>
            </w:r>
          </w:p>
        </w:tc>
        <w:tc>
          <w:tcPr>
            <w:tcW w:w="0" w:type="auto"/>
          </w:tcPr>
          <w:p w14:paraId="49EFD9E9" w14:textId="77777777" w:rsidR="00EC74AD" w:rsidRPr="00FB4EFA" w:rsidRDefault="00EC74AD" w:rsidP="00863238">
            <w:pPr>
              <w:spacing w:line="240" w:lineRule="auto"/>
              <w:rPr>
                <w:sz w:val="20"/>
                <w:szCs w:val="20"/>
                <w:lang w:val="ru-RU"/>
              </w:rPr>
            </w:pPr>
            <w:r w:rsidRPr="00FB4EFA">
              <w:rPr>
                <w:rFonts w:cs="Cambria"/>
                <w:i/>
                <w:iCs/>
                <w:sz w:val="20"/>
                <w:szCs w:val="20"/>
                <w:lang w:val="ru-RU"/>
              </w:rPr>
              <w:t>актриса</w:t>
            </w:r>
            <w:r w:rsidRPr="00FB4EFA">
              <w:rPr>
                <w:sz w:val="20"/>
                <w:szCs w:val="20"/>
                <w:lang w:val="ru-RU"/>
              </w:rPr>
              <w:t>/</w:t>
            </w:r>
            <w:r w:rsidRPr="00FB4EFA">
              <w:rPr>
                <w:rFonts w:cs="Cambria"/>
                <w:i/>
                <w:iCs/>
                <w:sz w:val="20"/>
                <w:szCs w:val="20"/>
                <w:lang w:val="ru-RU"/>
              </w:rPr>
              <w:t>-се</w:t>
            </w:r>
          </w:p>
        </w:tc>
        <w:tc>
          <w:tcPr>
            <w:tcW w:w="0" w:type="auto"/>
          </w:tcPr>
          <w:p w14:paraId="118796CA" w14:textId="77777777" w:rsidR="00EC74AD" w:rsidRPr="00FB4EFA" w:rsidRDefault="00EC74AD" w:rsidP="00863238">
            <w:pPr>
              <w:spacing w:line="240" w:lineRule="auto"/>
              <w:jc w:val="right"/>
              <w:rPr>
                <w:sz w:val="20"/>
                <w:szCs w:val="20"/>
                <w:lang w:val="ru-RU"/>
              </w:rPr>
            </w:pPr>
            <w:r w:rsidRPr="00FB4EFA">
              <w:rPr>
                <w:sz w:val="20"/>
                <w:szCs w:val="20"/>
                <w:lang w:val="ru-RU"/>
              </w:rPr>
              <w:t>670 (30.13%)</w:t>
            </w:r>
          </w:p>
        </w:tc>
      </w:tr>
      <w:tr w:rsidR="00FB4EFA" w:rsidRPr="00FB4EFA" w14:paraId="4D499FAA" w14:textId="77777777" w:rsidTr="00EC74AD">
        <w:tc>
          <w:tcPr>
            <w:tcW w:w="0" w:type="auto"/>
          </w:tcPr>
          <w:p w14:paraId="2339B72C" w14:textId="77777777" w:rsidR="00EC74AD" w:rsidRPr="00FB4EFA" w:rsidRDefault="00EC74AD" w:rsidP="00863238">
            <w:pPr>
              <w:spacing w:line="240" w:lineRule="auto"/>
              <w:rPr>
                <w:sz w:val="20"/>
                <w:szCs w:val="20"/>
                <w:lang w:val="ru-RU"/>
              </w:rPr>
            </w:pPr>
            <w:r w:rsidRPr="00FB4EFA">
              <w:rPr>
                <w:rFonts w:cs="Cambria"/>
                <w:i/>
                <w:iCs/>
                <w:sz w:val="20"/>
                <w:szCs w:val="20"/>
                <w:lang w:val="ru-RU"/>
              </w:rPr>
              <w:t>продавец</w:t>
            </w:r>
            <w:r w:rsidRPr="00FB4EFA">
              <w:rPr>
                <w:sz w:val="20"/>
                <w:szCs w:val="20"/>
                <w:lang w:val="ru-RU"/>
              </w:rPr>
              <w:t xml:space="preserve"> ‘</w:t>
            </w:r>
            <w:r w:rsidRPr="00FB4EFA">
              <w:rPr>
                <w:sz w:val="20"/>
                <w:szCs w:val="20"/>
              </w:rPr>
              <w:t>seller</w:t>
            </w:r>
            <w:r w:rsidRPr="00FB4EFA">
              <w:rPr>
                <w:sz w:val="20"/>
                <w:szCs w:val="20"/>
                <w:lang w:val="ru-RU"/>
              </w:rPr>
              <w:t>’</w:t>
            </w:r>
          </w:p>
        </w:tc>
        <w:tc>
          <w:tcPr>
            <w:tcW w:w="0" w:type="auto"/>
          </w:tcPr>
          <w:p w14:paraId="7834D3B8" w14:textId="77777777" w:rsidR="00EC74AD" w:rsidRPr="00FB4EFA" w:rsidRDefault="00EC74AD" w:rsidP="00863238">
            <w:pPr>
              <w:spacing w:line="240" w:lineRule="auto"/>
              <w:jc w:val="right"/>
              <w:rPr>
                <w:sz w:val="20"/>
                <w:szCs w:val="20"/>
                <w:lang w:val="ru-RU"/>
              </w:rPr>
            </w:pPr>
            <w:r w:rsidRPr="00FB4EFA">
              <w:rPr>
                <w:sz w:val="20"/>
                <w:szCs w:val="20"/>
                <w:lang w:val="ru-RU"/>
              </w:rPr>
              <w:t>220 (70.51%)</w:t>
            </w:r>
          </w:p>
        </w:tc>
        <w:tc>
          <w:tcPr>
            <w:tcW w:w="0" w:type="auto"/>
          </w:tcPr>
          <w:p w14:paraId="1DAB37A7" w14:textId="77777777" w:rsidR="00EC74AD" w:rsidRPr="00FB4EFA" w:rsidRDefault="00EC74AD" w:rsidP="00863238">
            <w:pPr>
              <w:spacing w:line="240" w:lineRule="auto"/>
              <w:rPr>
                <w:sz w:val="20"/>
                <w:szCs w:val="20"/>
                <w:lang w:val="ru-RU"/>
              </w:rPr>
            </w:pPr>
            <w:r w:rsidRPr="00FB4EFA">
              <w:rPr>
                <w:rFonts w:cs="Cambria"/>
                <w:i/>
                <w:iCs/>
                <w:sz w:val="20"/>
                <w:szCs w:val="20"/>
                <w:lang w:val="ru-RU"/>
              </w:rPr>
              <w:t>продавщица</w:t>
            </w:r>
            <w:r w:rsidRPr="00FB4EFA">
              <w:rPr>
                <w:sz w:val="20"/>
                <w:szCs w:val="20"/>
                <w:lang w:val="ru-RU"/>
              </w:rPr>
              <w:t>/</w:t>
            </w:r>
            <w:r w:rsidRPr="00FB4EFA">
              <w:rPr>
                <w:rFonts w:cs="Cambria"/>
                <w:i/>
                <w:iCs/>
                <w:sz w:val="20"/>
                <w:szCs w:val="20"/>
                <w:lang w:val="ru-RU"/>
              </w:rPr>
              <w:t>-це</w:t>
            </w:r>
          </w:p>
        </w:tc>
        <w:tc>
          <w:tcPr>
            <w:tcW w:w="0" w:type="auto"/>
          </w:tcPr>
          <w:p w14:paraId="4C82B43E" w14:textId="77777777" w:rsidR="00EC74AD" w:rsidRPr="00FB4EFA" w:rsidRDefault="00EC74AD" w:rsidP="00863238">
            <w:pPr>
              <w:spacing w:line="240" w:lineRule="auto"/>
              <w:jc w:val="right"/>
              <w:rPr>
                <w:rFonts w:asciiTheme="minorHAnsi" w:hAnsiTheme="minorHAnsi"/>
                <w:sz w:val="20"/>
                <w:szCs w:val="20"/>
                <w:lang w:val="ru-RU"/>
              </w:rPr>
            </w:pPr>
            <w:r w:rsidRPr="00FB4EFA">
              <w:rPr>
                <w:sz w:val="20"/>
                <w:szCs w:val="20"/>
                <w:lang w:val="ru-RU"/>
              </w:rPr>
              <w:t>92 (29.49%)</w:t>
            </w:r>
          </w:p>
        </w:tc>
      </w:tr>
      <w:tr w:rsidR="00FB4EFA" w:rsidRPr="00FB4EFA" w14:paraId="2B04C702" w14:textId="77777777" w:rsidTr="00EC74AD">
        <w:tc>
          <w:tcPr>
            <w:tcW w:w="0" w:type="auto"/>
          </w:tcPr>
          <w:p w14:paraId="1C7F213D" w14:textId="77777777" w:rsidR="00EC74AD" w:rsidRPr="00FB4EFA" w:rsidRDefault="00EC74AD" w:rsidP="00863238">
            <w:pPr>
              <w:spacing w:line="240" w:lineRule="auto"/>
              <w:rPr>
                <w:sz w:val="20"/>
                <w:szCs w:val="20"/>
                <w:lang w:val="ru-RU"/>
              </w:rPr>
            </w:pPr>
            <w:r w:rsidRPr="00FB4EFA">
              <w:rPr>
                <w:rFonts w:cs="Cambria"/>
                <w:i/>
                <w:iCs/>
                <w:sz w:val="20"/>
                <w:szCs w:val="20"/>
                <w:lang w:val="ru-RU"/>
              </w:rPr>
              <w:t>слуга</w:t>
            </w:r>
            <w:r w:rsidRPr="00FB4EFA">
              <w:rPr>
                <w:sz w:val="20"/>
                <w:szCs w:val="20"/>
                <w:lang w:val="ru-RU"/>
              </w:rPr>
              <w:t xml:space="preserve"> ‘</w:t>
            </w:r>
            <w:r w:rsidRPr="00FB4EFA">
              <w:rPr>
                <w:sz w:val="20"/>
                <w:szCs w:val="20"/>
              </w:rPr>
              <w:t>servant</w:t>
            </w:r>
            <w:r w:rsidRPr="00FB4EFA">
              <w:rPr>
                <w:sz w:val="20"/>
                <w:szCs w:val="20"/>
                <w:lang w:val="ru-RU"/>
              </w:rPr>
              <w:t>’</w:t>
            </w:r>
          </w:p>
        </w:tc>
        <w:tc>
          <w:tcPr>
            <w:tcW w:w="0" w:type="auto"/>
          </w:tcPr>
          <w:p w14:paraId="542AEAE4" w14:textId="77777777" w:rsidR="00EC74AD" w:rsidRPr="00FB4EFA" w:rsidRDefault="00EC74AD" w:rsidP="00863238">
            <w:pPr>
              <w:spacing w:line="240" w:lineRule="auto"/>
              <w:jc w:val="right"/>
              <w:rPr>
                <w:sz w:val="20"/>
                <w:szCs w:val="20"/>
                <w:lang w:val="ru-RU"/>
              </w:rPr>
            </w:pPr>
            <w:r w:rsidRPr="00FB4EFA">
              <w:rPr>
                <w:sz w:val="20"/>
                <w:szCs w:val="20"/>
                <w:lang w:val="ru-RU"/>
              </w:rPr>
              <w:t>161 (84.23%)</w:t>
            </w:r>
          </w:p>
        </w:tc>
        <w:tc>
          <w:tcPr>
            <w:tcW w:w="0" w:type="auto"/>
          </w:tcPr>
          <w:p w14:paraId="0D81FC7B" w14:textId="77777777" w:rsidR="00EC74AD" w:rsidRPr="00FB4EFA" w:rsidRDefault="00EC74AD" w:rsidP="00863238">
            <w:pPr>
              <w:spacing w:line="240" w:lineRule="auto"/>
              <w:rPr>
                <w:sz w:val="20"/>
                <w:szCs w:val="20"/>
                <w:lang w:val="ru-RU"/>
              </w:rPr>
            </w:pPr>
            <w:r w:rsidRPr="00FB4EFA">
              <w:rPr>
                <w:rFonts w:cs="Cambria"/>
                <w:i/>
                <w:iCs/>
                <w:sz w:val="20"/>
                <w:szCs w:val="20"/>
                <w:lang w:val="ru-RU"/>
              </w:rPr>
              <w:t>служанка</w:t>
            </w:r>
            <w:r w:rsidRPr="00FB4EFA">
              <w:rPr>
                <w:sz w:val="20"/>
                <w:szCs w:val="20"/>
                <w:lang w:val="ru-RU"/>
              </w:rPr>
              <w:t>/</w:t>
            </w:r>
            <w:r w:rsidRPr="00FB4EFA">
              <w:rPr>
                <w:rFonts w:cs="Cambria"/>
                <w:i/>
                <w:iCs/>
                <w:sz w:val="20"/>
                <w:szCs w:val="20"/>
                <w:lang w:val="ru-RU"/>
              </w:rPr>
              <w:t>-ке</w:t>
            </w:r>
          </w:p>
        </w:tc>
        <w:tc>
          <w:tcPr>
            <w:tcW w:w="0" w:type="auto"/>
          </w:tcPr>
          <w:p w14:paraId="4EBFB161" w14:textId="77777777" w:rsidR="00EC74AD" w:rsidRPr="00FB4EFA" w:rsidRDefault="00EC74AD" w:rsidP="00863238">
            <w:pPr>
              <w:spacing w:line="240" w:lineRule="auto"/>
              <w:jc w:val="right"/>
              <w:rPr>
                <w:rFonts w:asciiTheme="minorHAnsi" w:hAnsiTheme="minorHAnsi"/>
                <w:sz w:val="20"/>
                <w:szCs w:val="20"/>
                <w:lang w:val="ru-RU"/>
              </w:rPr>
            </w:pPr>
            <w:r w:rsidRPr="00FB4EFA">
              <w:rPr>
                <w:sz w:val="20"/>
                <w:szCs w:val="20"/>
                <w:lang w:val="ru-RU"/>
              </w:rPr>
              <w:t>30 (15.77%)</w:t>
            </w:r>
          </w:p>
        </w:tc>
      </w:tr>
      <w:tr w:rsidR="00FB4EFA" w:rsidRPr="00FB4EFA" w14:paraId="5C1C0AC8" w14:textId="77777777" w:rsidTr="00EC74AD">
        <w:tc>
          <w:tcPr>
            <w:tcW w:w="0" w:type="auto"/>
          </w:tcPr>
          <w:p w14:paraId="7153595C" w14:textId="77777777" w:rsidR="00EC74AD" w:rsidRPr="00FB4EFA" w:rsidRDefault="00EC74AD" w:rsidP="00863238">
            <w:pPr>
              <w:spacing w:line="240" w:lineRule="auto"/>
              <w:rPr>
                <w:sz w:val="20"/>
                <w:szCs w:val="20"/>
                <w:lang w:val="ru-RU"/>
              </w:rPr>
            </w:pPr>
            <w:r w:rsidRPr="00FB4EFA">
              <w:rPr>
                <w:rFonts w:cs="Cambria"/>
                <w:i/>
                <w:iCs/>
                <w:sz w:val="20"/>
                <w:szCs w:val="20"/>
                <w:lang w:val="ru-RU"/>
              </w:rPr>
              <w:t>почтальон</w:t>
            </w:r>
            <w:r w:rsidRPr="00FB4EFA">
              <w:rPr>
                <w:sz w:val="20"/>
                <w:szCs w:val="20"/>
                <w:lang w:val="ru-RU"/>
              </w:rPr>
              <w:t xml:space="preserve"> ‘</w:t>
            </w:r>
            <w:r w:rsidRPr="00FB4EFA">
              <w:rPr>
                <w:sz w:val="20"/>
                <w:szCs w:val="20"/>
                <w:lang w:val="fi-FI"/>
              </w:rPr>
              <w:t>mail</w:t>
            </w:r>
            <w:r w:rsidRPr="00FB4EFA">
              <w:rPr>
                <w:sz w:val="20"/>
                <w:szCs w:val="20"/>
                <w:lang w:val="ru-RU"/>
              </w:rPr>
              <w:t>man’</w:t>
            </w:r>
          </w:p>
        </w:tc>
        <w:tc>
          <w:tcPr>
            <w:tcW w:w="0" w:type="auto"/>
          </w:tcPr>
          <w:p w14:paraId="2598231F" w14:textId="77777777" w:rsidR="00EC74AD" w:rsidRPr="00FB4EFA" w:rsidRDefault="00EC74AD" w:rsidP="00863238">
            <w:pPr>
              <w:spacing w:line="240" w:lineRule="auto"/>
              <w:jc w:val="right"/>
              <w:rPr>
                <w:sz w:val="20"/>
                <w:szCs w:val="20"/>
                <w:lang w:val="ru-RU"/>
              </w:rPr>
            </w:pPr>
            <w:r w:rsidRPr="00FB4EFA">
              <w:rPr>
                <w:sz w:val="20"/>
                <w:szCs w:val="20"/>
                <w:lang w:val="ru-RU"/>
              </w:rPr>
              <w:t>646 (88.61%)</w:t>
            </w:r>
          </w:p>
        </w:tc>
        <w:tc>
          <w:tcPr>
            <w:tcW w:w="0" w:type="auto"/>
          </w:tcPr>
          <w:p w14:paraId="58882A1C" w14:textId="77777777" w:rsidR="00EC74AD" w:rsidRPr="00FB4EFA" w:rsidRDefault="00EC74AD" w:rsidP="00863238">
            <w:pPr>
              <w:spacing w:line="240" w:lineRule="auto"/>
              <w:rPr>
                <w:rFonts w:asciiTheme="minorHAnsi" w:hAnsiTheme="minorHAnsi"/>
                <w:sz w:val="20"/>
                <w:szCs w:val="20"/>
                <w:lang w:val="ru-RU"/>
              </w:rPr>
            </w:pPr>
            <w:r w:rsidRPr="00FB4EFA">
              <w:rPr>
                <w:rFonts w:cs="Cambria"/>
                <w:i/>
                <w:iCs/>
                <w:sz w:val="20"/>
                <w:szCs w:val="20"/>
                <w:lang w:val="ru-RU"/>
              </w:rPr>
              <w:t>почтальонка</w:t>
            </w:r>
            <w:r w:rsidRPr="00FB4EFA">
              <w:rPr>
                <w:sz w:val="20"/>
                <w:szCs w:val="20"/>
                <w:lang w:val="ru-RU"/>
              </w:rPr>
              <w:t>/</w:t>
            </w:r>
            <w:r w:rsidRPr="00FB4EFA">
              <w:rPr>
                <w:rFonts w:cs="Cambria"/>
                <w:i/>
                <w:iCs/>
                <w:sz w:val="20"/>
                <w:szCs w:val="20"/>
                <w:lang w:val="ru-RU"/>
              </w:rPr>
              <w:t>-ко</w:t>
            </w:r>
          </w:p>
        </w:tc>
        <w:tc>
          <w:tcPr>
            <w:tcW w:w="0" w:type="auto"/>
          </w:tcPr>
          <w:p w14:paraId="7AC469CE" w14:textId="77777777" w:rsidR="00EC74AD" w:rsidRPr="00FB4EFA" w:rsidRDefault="00EC74AD" w:rsidP="00863238">
            <w:pPr>
              <w:spacing w:line="240" w:lineRule="auto"/>
              <w:jc w:val="right"/>
              <w:rPr>
                <w:rFonts w:asciiTheme="minorHAnsi" w:hAnsiTheme="minorHAnsi"/>
                <w:sz w:val="20"/>
                <w:szCs w:val="20"/>
                <w:lang w:val="ru-RU"/>
              </w:rPr>
            </w:pPr>
            <w:r w:rsidRPr="00FB4EFA">
              <w:rPr>
                <w:sz w:val="20"/>
                <w:szCs w:val="20"/>
                <w:lang w:val="ru-RU"/>
              </w:rPr>
              <w:t>83 (11.39%)</w:t>
            </w:r>
          </w:p>
        </w:tc>
      </w:tr>
      <w:tr w:rsidR="00FB4EFA" w:rsidRPr="00FB4EFA" w14:paraId="79A36735" w14:textId="77777777" w:rsidTr="00EC74AD">
        <w:tc>
          <w:tcPr>
            <w:tcW w:w="0" w:type="auto"/>
          </w:tcPr>
          <w:p w14:paraId="3AD679BE" w14:textId="77777777" w:rsidR="00EC74AD" w:rsidRPr="00FB4EFA" w:rsidRDefault="00EC74AD" w:rsidP="00863238">
            <w:pPr>
              <w:spacing w:line="240" w:lineRule="auto"/>
              <w:rPr>
                <w:sz w:val="20"/>
                <w:szCs w:val="20"/>
                <w:lang w:val="ru-RU"/>
              </w:rPr>
            </w:pPr>
            <w:r w:rsidRPr="00FB4EFA">
              <w:rPr>
                <w:rFonts w:cs="Cambria"/>
                <w:i/>
                <w:iCs/>
                <w:sz w:val="20"/>
                <w:szCs w:val="20"/>
                <w:lang w:val="ru-RU"/>
              </w:rPr>
              <w:t>учитель</w:t>
            </w:r>
            <w:r w:rsidRPr="00FB4EFA">
              <w:rPr>
                <w:sz w:val="20"/>
                <w:szCs w:val="20"/>
                <w:lang w:val="ru-RU"/>
              </w:rPr>
              <w:t xml:space="preserve"> ‘</w:t>
            </w:r>
            <w:r w:rsidRPr="00FB4EFA">
              <w:rPr>
                <w:sz w:val="20"/>
                <w:szCs w:val="20"/>
                <w:lang w:val="fi-FI"/>
              </w:rPr>
              <w:t>teacher</w:t>
            </w:r>
            <w:r w:rsidRPr="00FB4EFA">
              <w:rPr>
                <w:sz w:val="20"/>
                <w:szCs w:val="20"/>
                <w:lang w:val="ru-RU"/>
              </w:rPr>
              <w:t>’</w:t>
            </w:r>
          </w:p>
        </w:tc>
        <w:tc>
          <w:tcPr>
            <w:tcW w:w="0" w:type="auto"/>
          </w:tcPr>
          <w:p w14:paraId="510934C1" w14:textId="4C2367FD" w:rsidR="00EC74AD" w:rsidRPr="00FB4EFA" w:rsidRDefault="00EC74AD" w:rsidP="00863238">
            <w:pPr>
              <w:spacing w:line="240" w:lineRule="auto"/>
              <w:jc w:val="right"/>
              <w:rPr>
                <w:sz w:val="20"/>
                <w:szCs w:val="20"/>
                <w:lang w:val="ru-RU"/>
              </w:rPr>
            </w:pPr>
            <w:r w:rsidRPr="00FB4EFA">
              <w:rPr>
                <w:sz w:val="20"/>
                <w:szCs w:val="20"/>
                <w:lang w:val="ru-RU"/>
              </w:rPr>
              <w:t>1</w:t>
            </w:r>
            <w:r w:rsidR="00565CC1">
              <w:rPr>
                <w:sz w:val="20"/>
                <w:szCs w:val="20"/>
                <w:lang w:val="en-GB"/>
              </w:rPr>
              <w:t xml:space="preserve"> </w:t>
            </w:r>
            <w:r w:rsidRPr="00FB4EFA">
              <w:rPr>
                <w:sz w:val="20"/>
                <w:szCs w:val="20"/>
                <w:lang w:val="ru-RU"/>
              </w:rPr>
              <w:t>570 (91.17%)</w:t>
            </w:r>
          </w:p>
        </w:tc>
        <w:tc>
          <w:tcPr>
            <w:tcW w:w="0" w:type="auto"/>
          </w:tcPr>
          <w:p w14:paraId="6939BBEF" w14:textId="77777777" w:rsidR="00EC74AD" w:rsidRPr="00FB4EFA" w:rsidRDefault="00EC74AD" w:rsidP="00863238">
            <w:pPr>
              <w:spacing w:line="240" w:lineRule="auto"/>
              <w:rPr>
                <w:sz w:val="20"/>
                <w:szCs w:val="20"/>
                <w:lang w:val="ru-RU"/>
              </w:rPr>
            </w:pPr>
            <w:r w:rsidRPr="00FB4EFA">
              <w:rPr>
                <w:rFonts w:cs="Cambria"/>
                <w:i/>
                <w:iCs/>
                <w:sz w:val="20"/>
                <w:szCs w:val="20"/>
                <w:lang w:val="ru-RU"/>
              </w:rPr>
              <w:t>учительница</w:t>
            </w:r>
            <w:r w:rsidRPr="00FB4EFA">
              <w:rPr>
                <w:sz w:val="20"/>
                <w:szCs w:val="20"/>
                <w:lang w:val="ru-RU"/>
              </w:rPr>
              <w:t>/</w:t>
            </w:r>
            <w:r w:rsidRPr="00FB4EFA">
              <w:rPr>
                <w:rFonts w:cs="Cambria"/>
                <w:i/>
                <w:iCs/>
                <w:sz w:val="20"/>
                <w:szCs w:val="20"/>
                <w:lang w:val="ru-RU"/>
              </w:rPr>
              <w:t>-це</w:t>
            </w:r>
          </w:p>
        </w:tc>
        <w:tc>
          <w:tcPr>
            <w:tcW w:w="0" w:type="auto"/>
          </w:tcPr>
          <w:p w14:paraId="66EBA846" w14:textId="77777777" w:rsidR="00EC74AD" w:rsidRPr="00FB4EFA" w:rsidRDefault="00EC74AD" w:rsidP="00863238">
            <w:pPr>
              <w:spacing w:line="240" w:lineRule="auto"/>
              <w:jc w:val="right"/>
              <w:rPr>
                <w:sz w:val="20"/>
                <w:szCs w:val="20"/>
                <w:lang w:val="ru-RU"/>
              </w:rPr>
            </w:pPr>
            <w:r w:rsidRPr="00FB4EFA">
              <w:rPr>
                <w:sz w:val="20"/>
                <w:szCs w:val="20"/>
                <w:lang w:val="ru-RU"/>
              </w:rPr>
              <w:t>152 (</w:t>
            </w:r>
            <w:r w:rsidRPr="00FB4EFA">
              <w:rPr>
                <w:sz w:val="20"/>
                <w:szCs w:val="20"/>
              </w:rPr>
              <w:t>0</w:t>
            </w:r>
            <w:r w:rsidRPr="00FB4EFA">
              <w:rPr>
                <w:sz w:val="20"/>
                <w:szCs w:val="20"/>
                <w:lang w:val="ru-RU"/>
              </w:rPr>
              <w:t>8.83%)</w:t>
            </w:r>
          </w:p>
        </w:tc>
      </w:tr>
      <w:tr w:rsidR="00FB4EFA" w:rsidRPr="00FB4EFA" w14:paraId="33CF880B" w14:textId="77777777" w:rsidTr="00EC74AD">
        <w:tc>
          <w:tcPr>
            <w:tcW w:w="0" w:type="auto"/>
          </w:tcPr>
          <w:p w14:paraId="0CBB5E08" w14:textId="77777777" w:rsidR="00EC74AD" w:rsidRPr="00FB4EFA" w:rsidRDefault="00EC74AD" w:rsidP="00863238">
            <w:pPr>
              <w:spacing w:line="240" w:lineRule="auto"/>
              <w:rPr>
                <w:sz w:val="20"/>
                <w:szCs w:val="20"/>
                <w:lang w:val="ru-RU"/>
              </w:rPr>
            </w:pPr>
            <w:r w:rsidRPr="00FB4EFA">
              <w:rPr>
                <w:rFonts w:cs="Cambria"/>
                <w:i/>
                <w:iCs/>
                <w:sz w:val="20"/>
                <w:szCs w:val="20"/>
                <w:lang w:val="ru-RU"/>
              </w:rPr>
              <w:t>студент</w:t>
            </w:r>
            <w:r w:rsidRPr="00FB4EFA">
              <w:rPr>
                <w:sz w:val="20"/>
                <w:szCs w:val="20"/>
                <w:lang w:val="ru-RU"/>
              </w:rPr>
              <w:t xml:space="preserve"> ‘</w:t>
            </w:r>
            <w:r w:rsidRPr="00FB4EFA">
              <w:rPr>
                <w:sz w:val="20"/>
                <w:szCs w:val="20"/>
              </w:rPr>
              <w:t>student</w:t>
            </w:r>
            <w:r w:rsidRPr="00FB4EFA">
              <w:rPr>
                <w:sz w:val="20"/>
                <w:szCs w:val="20"/>
                <w:lang w:val="ru-RU"/>
              </w:rPr>
              <w:t>’</w:t>
            </w:r>
          </w:p>
        </w:tc>
        <w:tc>
          <w:tcPr>
            <w:tcW w:w="0" w:type="auto"/>
          </w:tcPr>
          <w:p w14:paraId="0B132377" w14:textId="40FD2FE6" w:rsidR="00EC74AD" w:rsidRPr="00FB4EFA" w:rsidRDefault="00EC74AD" w:rsidP="00863238">
            <w:pPr>
              <w:spacing w:line="240" w:lineRule="auto"/>
              <w:jc w:val="right"/>
              <w:rPr>
                <w:sz w:val="20"/>
                <w:szCs w:val="20"/>
                <w:lang w:val="ru-RU"/>
              </w:rPr>
            </w:pPr>
            <w:r w:rsidRPr="00FB4EFA">
              <w:rPr>
                <w:sz w:val="20"/>
                <w:szCs w:val="20"/>
                <w:lang w:val="ru-RU"/>
              </w:rPr>
              <w:t>6</w:t>
            </w:r>
            <w:r w:rsidR="00565CC1">
              <w:rPr>
                <w:sz w:val="20"/>
                <w:szCs w:val="20"/>
                <w:lang w:val="en-GB"/>
              </w:rPr>
              <w:t xml:space="preserve"> </w:t>
            </w:r>
            <w:r w:rsidRPr="00FB4EFA">
              <w:rPr>
                <w:sz w:val="20"/>
                <w:szCs w:val="20"/>
                <w:lang w:val="ru-RU"/>
              </w:rPr>
              <w:t>686 (95.24%)</w:t>
            </w:r>
          </w:p>
        </w:tc>
        <w:tc>
          <w:tcPr>
            <w:tcW w:w="0" w:type="auto"/>
          </w:tcPr>
          <w:p w14:paraId="78443570" w14:textId="77777777" w:rsidR="00EC74AD" w:rsidRPr="00FB4EFA" w:rsidRDefault="00EC74AD" w:rsidP="00863238">
            <w:pPr>
              <w:spacing w:line="240" w:lineRule="auto"/>
              <w:rPr>
                <w:sz w:val="20"/>
                <w:szCs w:val="20"/>
                <w:lang w:val="ru-RU"/>
              </w:rPr>
            </w:pPr>
            <w:r w:rsidRPr="00FB4EFA">
              <w:rPr>
                <w:rFonts w:cs="Cambria"/>
                <w:i/>
                <w:iCs/>
                <w:sz w:val="20"/>
                <w:szCs w:val="20"/>
                <w:lang w:val="ru-RU"/>
              </w:rPr>
              <w:t>студентка</w:t>
            </w:r>
            <w:r w:rsidRPr="00FB4EFA">
              <w:rPr>
                <w:sz w:val="20"/>
                <w:szCs w:val="20"/>
                <w:lang w:val="ru-RU"/>
              </w:rPr>
              <w:t>/</w:t>
            </w:r>
            <w:r w:rsidRPr="00FB4EFA">
              <w:rPr>
                <w:rFonts w:cs="Cambria"/>
                <w:i/>
                <w:iCs/>
                <w:sz w:val="20"/>
                <w:szCs w:val="20"/>
                <w:lang w:val="ru-RU"/>
              </w:rPr>
              <w:t>-ке</w:t>
            </w:r>
          </w:p>
        </w:tc>
        <w:tc>
          <w:tcPr>
            <w:tcW w:w="0" w:type="auto"/>
          </w:tcPr>
          <w:p w14:paraId="6BC30624" w14:textId="77777777" w:rsidR="00EC74AD" w:rsidRPr="00FB4EFA" w:rsidRDefault="00EC74AD" w:rsidP="00863238">
            <w:pPr>
              <w:spacing w:line="240" w:lineRule="auto"/>
              <w:jc w:val="right"/>
              <w:rPr>
                <w:sz w:val="20"/>
                <w:szCs w:val="20"/>
                <w:lang w:val="ru-RU"/>
              </w:rPr>
            </w:pPr>
            <w:r w:rsidRPr="00FB4EFA">
              <w:rPr>
                <w:sz w:val="20"/>
                <w:szCs w:val="20"/>
                <w:lang w:val="ru-RU"/>
              </w:rPr>
              <w:t>334 (</w:t>
            </w:r>
            <w:r w:rsidRPr="00FB4EFA">
              <w:rPr>
                <w:sz w:val="20"/>
                <w:szCs w:val="20"/>
              </w:rPr>
              <w:t>0</w:t>
            </w:r>
            <w:r w:rsidRPr="00FB4EFA">
              <w:rPr>
                <w:sz w:val="20"/>
                <w:szCs w:val="20"/>
                <w:lang w:val="ru-RU"/>
              </w:rPr>
              <w:t>4.76%)</w:t>
            </w:r>
          </w:p>
        </w:tc>
      </w:tr>
      <w:tr w:rsidR="00FB4EFA" w:rsidRPr="00FB4EFA" w14:paraId="4258B1EF" w14:textId="77777777" w:rsidTr="00EC74AD">
        <w:tc>
          <w:tcPr>
            <w:tcW w:w="0" w:type="auto"/>
          </w:tcPr>
          <w:p w14:paraId="3BA2D64D" w14:textId="77777777" w:rsidR="00EC74AD" w:rsidRPr="00FB4EFA" w:rsidRDefault="00EC74AD" w:rsidP="00863238">
            <w:pPr>
              <w:spacing w:line="240" w:lineRule="auto"/>
              <w:rPr>
                <w:sz w:val="20"/>
                <w:szCs w:val="20"/>
                <w:lang w:val="ru-RU"/>
              </w:rPr>
            </w:pPr>
            <w:r w:rsidRPr="00FB4EFA">
              <w:rPr>
                <w:rFonts w:cs="Cambria"/>
                <w:i/>
                <w:iCs/>
                <w:sz w:val="20"/>
                <w:szCs w:val="20"/>
                <w:lang w:val="ru-RU"/>
              </w:rPr>
              <w:t>лётчик</w:t>
            </w:r>
            <w:r w:rsidRPr="00FB4EFA">
              <w:rPr>
                <w:sz w:val="20"/>
                <w:szCs w:val="20"/>
                <w:lang w:val="ru-RU"/>
              </w:rPr>
              <w:t xml:space="preserve"> ‘</w:t>
            </w:r>
            <w:r w:rsidRPr="00FB4EFA">
              <w:rPr>
                <w:sz w:val="20"/>
                <w:szCs w:val="20"/>
              </w:rPr>
              <w:t>pilot</w:t>
            </w:r>
            <w:r w:rsidRPr="00FB4EFA">
              <w:rPr>
                <w:sz w:val="20"/>
                <w:szCs w:val="20"/>
                <w:lang w:val="ru-RU"/>
              </w:rPr>
              <w:t>’</w:t>
            </w:r>
          </w:p>
        </w:tc>
        <w:tc>
          <w:tcPr>
            <w:tcW w:w="0" w:type="auto"/>
          </w:tcPr>
          <w:p w14:paraId="71042CAC" w14:textId="77777777" w:rsidR="00EC74AD" w:rsidRPr="00FB4EFA" w:rsidRDefault="00EC74AD" w:rsidP="00863238">
            <w:pPr>
              <w:spacing w:line="240" w:lineRule="auto"/>
              <w:jc w:val="right"/>
              <w:rPr>
                <w:sz w:val="20"/>
                <w:szCs w:val="20"/>
                <w:lang w:val="ru-RU"/>
              </w:rPr>
            </w:pPr>
            <w:r w:rsidRPr="00FB4EFA">
              <w:rPr>
                <w:sz w:val="20"/>
                <w:szCs w:val="20"/>
                <w:lang w:val="ru-RU"/>
              </w:rPr>
              <w:t>719 (98.76%)</w:t>
            </w:r>
          </w:p>
        </w:tc>
        <w:tc>
          <w:tcPr>
            <w:tcW w:w="0" w:type="auto"/>
          </w:tcPr>
          <w:p w14:paraId="4832C77B" w14:textId="77777777" w:rsidR="00EC74AD" w:rsidRPr="00FB4EFA" w:rsidRDefault="00EC74AD" w:rsidP="00863238">
            <w:pPr>
              <w:spacing w:line="240" w:lineRule="auto"/>
              <w:rPr>
                <w:sz w:val="20"/>
                <w:szCs w:val="20"/>
                <w:lang w:val="ru-RU"/>
              </w:rPr>
            </w:pPr>
            <w:r w:rsidRPr="00FB4EFA">
              <w:rPr>
                <w:rFonts w:cs="Cambria"/>
                <w:i/>
                <w:iCs/>
                <w:sz w:val="20"/>
                <w:szCs w:val="20"/>
                <w:lang w:val="ru-RU"/>
              </w:rPr>
              <w:t>лётчица</w:t>
            </w:r>
            <w:r w:rsidRPr="00FB4EFA">
              <w:rPr>
                <w:sz w:val="20"/>
                <w:szCs w:val="20"/>
                <w:lang w:val="ru-RU"/>
              </w:rPr>
              <w:t>/</w:t>
            </w:r>
            <w:r w:rsidRPr="00FB4EFA">
              <w:rPr>
                <w:rFonts w:cs="Cambria"/>
                <w:i/>
                <w:iCs/>
                <w:sz w:val="20"/>
                <w:szCs w:val="20"/>
                <w:lang w:val="ru-RU"/>
              </w:rPr>
              <w:t>-це</w:t>
            </w:r>
          </w:p>
        </w:tc>
        <w:tc>
          <w:tcPr>
            <w:tcW w:w="0" w:type="auto"/>
          </w:tcPr>
          <w:p w14:paraId="5F1BA368" w14:textId="77777777" w:rsidR="00EC74AD" w:rsidRPr="00FB4EFA" w:rsidRDefault="00EC74AD" w:rsidP="00863238">
            <w:pPr>
              <w:spacing w:line="240" w:lineRule="auto"/>
              <w:jc w:val="right"/>
              <w:rPr>
                <w:sz w:val="20"/>
                <w:szCs w:val="20"/>
                <w:lang w:val="ru-RU"/>
              </w:rPr>
            </w:pPr>
            <w:r w:rsidRPr="00FB4EFA">
              <w:rPr>
                <w:sz w:val="20"/>
                <w:szCs w:val="20"/>
                <w:lang w:val="ru-RU"/>
              </w:rPr>
              <w:t>9 (</w:t>
            </w:r>
            <w:r w:rsidRPr="00FB4EFA">
              <w:rPr>
                <w:sz w:val="20"/>
                <w:szCs w:val="20"/>
              </w:rPr>
              <w:t>0</w:t>
            </w:r>
            <w:r w:rsidRPr="00FB4EFA">
              <w:rPr>
                <w:sz w:val="20"/>
                <w:szCs w:val="20"/>
                <w:lang w:val="ru-RU"/>
              </w:rPr>
              <w:t>1.24%)</w:t>
            </w:r>
          </w:p>
        </w:tc>
      </w:tr>
    </w:tbl>
    <w:p w14:paraId="5FAEFFE7" w14:textId="77777777" w:rsidR="00EC74AD" w:rsidRPr="00FB4EFA" w:rsidRDefault="00EC74AD" w:rsidP="002752AF">
      <w:pPr>
        <w:spacing w:before="240" w:after="240"/>
        <w:rPr>
          <w:lang w:val="en-US"/>
        </w:rPr>
      </w:pPr>
      <w:r w:rsidRPr="00FB4EFA">
        <w:rPr>
          <w:lang w:val="en-US"/>
        </w:rPr>
        <w:t>Even though the male forms are often perceived as default by the Mari speakers, they are still not very likely to be used to refer to female representatives of these jobs. Therefore, the frequency of the gendered ver</w:t>
      </w:r>
      <w:r w:rsidRPr="00FB4EFA">
        <w:rPr>
          <w:lang w:val="en-US"/>
        </w:rPr>
        <w:lastRenderedPageBreak/>
        <w:t xml:space="preserve">sions to a large extent depends on how often specific jobs are actually performed by women. For instance, for ‘pilot’, a traditionally male job, the percentage of occurrences of the feminine versions </w:t>
      </w:r>
      <w:r w:rsidRPr="00FB4EFA">
        <w:rPr>
          <w:rFonts w:cs="Cambria"/>
          <w:i/>
          <w:iCs/>
          <w:lang w:val="fi-FI"/>
        </w:rPr>
        <w:t>лётчица</w:t>
      </w:r>
      <w:r w:rsidRPr="00FB4EFA">
        <w:rPr>
          <w:lang w:val="en-US"/>
        </w:rPr>
        <w:t>/</w:t>
      </w:r>
      <w:r w:rsidRPr="00FB4EFA">
        <w:rPr>
          <w:rFonts w:cs="Cambria"/>
          <w:i/>
          <w:iCs/>
          <w:lang w:val="fi-FI"/>
        </w:rPr>
        <w:t>лётчице</w:t>
      </w:r>
      <w:r w:rsidRPr="00FB4EFA">
        <w:rPr>
          <w:lang w:val="en-US"/>
        </w:rPr>
        <w:t xml:space="preserve"> is relatively low. On the other hand, for </w:t>
      </w:r>
      <w:r w:rsidRPr="00FB4EFA">
        <w:rPr>
          <w:rFonts w:cs="Cambria"/>
          <w:i/>
          <w:iCs/>
          <w:lang w:val="fi-FI"/>
        </w:rPr>
        <w:t>дояр</w:t>
      </w:r>
      <w:r w:rsidRPr="00FB4EFA">
        <w:rPr>
          <w:i/>
          <w:iCs/>
          <w:lang w:val="en-US"/>
        </w:rPr>
        <w:t>(</w:t>
      </w:r>
      <w:r w:rsidRPr="00FB4EFA">
        <w:rPr>
          <w:rFonts w:cs="Cambria"/>
          <w:i/>
          <w:iCs/>
          <w:lang w:val="fi-FI"/>
        </w:rPr>
        <w:t>ке</w:t>
      </w:r>
      <w:r w:rsidRPr="00FB4EFA">
        <w:rPr>
          <w:i/>
          <w:iCs/>
          <w:lang w:val="en-US"/>
        </w:rPr>
        <w:t>)</w:t>
      </w:r>
      <w:r w:rsidRPr="00FB4EFA">
        <w:rPr>
          <w:lang w:val="en-US"/>
        </w:rPr>
        <w:t xml:space="preserve"> </w:t>
      </w:r>
      <w:r w:rsidRPr="00FB4EFA">
        <w:rPr>
          <w:rFonts w:cs="Baskerville Old Face"/>
          <w:lang w:val="en-US"/>
        </w:rPr>
        <w:t>‘</w:t>
      </w:r>
      <w:r w:rsidRPr="00FB4EFA">
        <w:rPr>
          <w:lang w:val="en-US"/>
        </w:rPr>
        <w:t>milker</w:t>
      </w:r>
      <w:r w:rsidRPr="00FB4EFA">
        <w:rPr>
          <w:rFonts w:cs="Baskerville Old Face"/>
          <w:lang w:val="en-US"/>
        </w:rPr>
        <w:t>’</w:t>
      </w:r>
      <w:r w:rsidRPr="00FB4EFA">
        <w:rPr>
          <w:lang w:val="en-US"/>
        </w:rPr>
        <w:t xml:space="preserve">, </w:t>
      </w:r>
      <w:r w:rsidRPr="00FB4EFA">
        <w:rPr>
          <w:rFonts w:cs="Cambria"/>
          <w:i/>
          <w:iCs/>
          <w:lang w:val="fi-FI"/>
        </w:rPr>
        <w:t>акушер</w:t>
      </w:r>
      <w:r w:rsidRPr="00FB4EFA">
        <w:rPr>
          <w:i/>
          <w:iCs/>
          <w:lang w:val="en-US"/>
        </w:rPr>
        <w:t>(</w:t>
      </w:r>
      <w:r w:rsidRPr="00FB4EFA">
        <w:rPr>
          <w:rFonts w:cs="Cambria"/>
          <w:i/>
          <w:iCs/>
          <w:lang w:val="fi-FI"/>
        </w:rPr>
        <w:t>ке</w:t>
      </w:r>
      <w:r w:rsidRPr="00FB4EFA">
        <w:rPr>
          <w:i/>
          <w:iCs/>
          <w:lang w:val="en-US"/>
        </w:rPr>
        <w:t>)</w:t>
      </w:r>
      <w:r w:rsidRPr="00FB4EFA">
        <w:rPr>
          <w:lang w:val="en-US"/>
        </w:rPr>
        <w:t xml:space="preserve"> </w:t>
      </w:r>
      <w:r w:rsidRPr="00FB4EFA">
        <w:rPr>
          <w:rFonts w:cs="Baskerville Old Face"/>
          <w:lang w:val="en-US"/>
        </w:rPr>
        <w:t>‘</w:t>
      </w:r>
      <w:r w:rsidRPr="00FB4EFA">
        <w:rPr>
          <w:lang w:val="en-US"/>
        </w:rPr>
        <w:t>midwife</w:t>
      </w:r>
      <w:r w:rsidRPr="00FB4EFA">
        <w:rPr>
          <w:rFonts w:cs="Baskerville Old Face"/>
          <w:lang w:val="en-US"/>
        </w:rPr>
        <w:t>’</w:t>
      </w:r>
      <w:r w:rsidRPr="00FB4EFA">
        <w:rPr>
          <w:lang w:val="en-US"/>
        </w:rPr>
        <w:t xml:space="preserve"> and </w:t>
      </w:r>
      <w:r w:rsidRPr="00FB4EFA">
        <w:rPr>
          <w:rFonts w:cs="Cambria"/>
          <w:i/>
          <w:iCs/>
          <w:lang w:val="fi-FI"/>
        </w:rPr>
        <w:t>уборщик</w:t>
      </w:r>
      <w:r w:rsidRPr="00FB4EFA">
        <w:rPr>
          <w:lang w:val="en-US"/>
        </w:rPr>
        <w:t>/</w:t>
      </w:r>
      <w:r w:rsidRPr="00FB4EFA">
        <w:rPr>
          <w:rFonts w:cs="Cambria"/>
          <w:i/>
          <w:iCs/>
          <w:lang w:val="fi-FI"/>
        </w:rPr>
        <w:t>уборщице</w:t>
      </w:r>
      <w:r w:rsidRPr="00FB4EFA">
        <w:rPr>
          <w:lang w:val="en-US"/>
        </w:rPr>
        <w:t xml:space="preserve"> </w:t>
      </w:r>
      <w:r w:rsidRPr="00FB4EFA">
        <w:rPr>
          <w:rFonts w:cs="Baskerville Old Face"/>
          <w:lang w:val="en-US"/>
        </w:rPr>
        <w:t>‘</w:t>
      </w:r>
      <w:r w:rsidRPr="00FB4EFA">
        <w:rPr>
          <w:lang w:val="en-US"/>
        </w:rPr>
        <w:t>cleaner</w:t>
      </w:r>
      <w:r w:rsidRPr="00FB4EFA">
        <w:rPr>
          <w:rFonts w:cs="Baskerville Old Face"/>
          <w:lang w:val="en-US"/>
        </w:rPr>
        <w:t>’</w:t>
      </w:r>
      <w:r w:rsidRPr="00FB4EFA">
        <w:rPr>
          <w:lang w:val="en-US"/>
        </w:rPr>
        <w:t xml:space="preserve">, traditionally female jobs, the feminine version is actually the one more often encountered in the corpus. Moreover, </w:t>
      </w:r>
      <w:r w:rsidRPr="00FB4EFA">
        <w:rPr>
          <w:rFonts w:cs="Cambria"/>
          <w:i/>
          <w:iCs/>
          <w:lang w:val="fi-FI"/>
        </w:rPr>
        <w:t>акушерке</w:t>
      </w:r>
      <w:r w:rsidRPr="00FB4EFA">
        <w:rPr>
          <w:lang w:val="en-US"/>
        </w:rPr>
        <w:t xml:space="preserve"> ‘midwife’ was also mentioned as the neutral and male form in the questionnaire by one of the respondents.</w:t>
      </w:r>
    </w:p>
    <w:tbl>
      <w:tblPr>
        <w:tblW w:w="0" w:type="auto"/>
        <w:tblLook w:val="04A0" w:firstRow="1" w:lastRow="0" w:firstColumn="1" w:lastColumn="0" w:noHBand="0" w:noVBand="1"/>
      </w:tblPr>
      <w:tblGrid>
        <w:gridCol w:w="2308"/>
        <w:gridCol w:w="1407"/>
        <w:gridCol w:w="1451"/>
        <w:gridCol w:w="1562"/>
      </w:tblGrid>
      <w:tr w:rsidR="00FB4EFA" w:rsidRPr="00FB4EFA" w14:paraId="0BB4D519" w14:textId="77777777" w:rsidTr="00EC74AD">
        <w:tc>
          <w:tcPr>
            <w:tcW w:w="0" w:type="auto"/>
          </w:tcPr>
          <w:p w14:paraId="579C3834" w14:textId="77777777" w:rsidR="00EC74AD" w:rsidRPr="00FB4EFA" w:rsidRDefault="00EC74AD" w:rsidP="00863238">
            <w:pPr>
              <w:spacing w:line="240" w:lineRule="auto"/>
              <w:rPr>
                <w:sz w:val="20"/>
                <w:szCs w:val="20"/>
              </w:rPr>
            </w:pPr>
            <w:r w:rsidRPr="00FB4EFA">
              <w:rPr>
                <w:rFonts w:cs="Cambria"/>
                <w:i/>
                <w:iCs/>
                <w:sz w:val="20"/>
                <w:szCs w:val="20"/>
                <w:lang w:val="fi-FI"/>
              </w:rPr>
              <w:t>дояр</w:t>
            </w:r>
            <w:r w:rsidRPr="00FB4EFA">
              <w:rPr>
                <w:sz w:val="20"/>
                <w:szCs w:val="20"/>
              </w:rPr>
              <w:t xml:space="preserve"> ‘milker’</w:t>
            </w:r>
          </w:p>
        </w:tc>
        <w:tc>
          <w:tcPr>
            <w:tcW w:w="0" w:type="auto"/>
          </w:tcPr>
          <w:p w14:paraId="1F250353" w14:textId="77777777" w:rsidR="00EC74AD" w:rsidRPr="00FB4EFA" w:rsidRDefault="00EC74AD" w:rsidP="00863238">
            <w:pPr>
              <w:spacing w:line="240" w:lineRule="auto"/>
              <w:jc w:val="right"/>
              <w:rPr>
                <w:sz w:val="20"/>
                <w:szCs w:val="20"/>
              </w:rPr>
            </w:pPr>
            <w:r w:rsidRPr="00FB4EFA">
              <w:rPr>
                <w:sz w:val="20"/>
                <w:szCs w:val="20"/>
              </w:rPr>
              <w:t>136 (09.40%)</w:t>
            </w:r>
          </w:p>
        </w:tc>
        <w:tc>
          <w:tcPr>
            <w:tcW w:w="0" w:type="auto"/>
          </w:tcPr>
          <w:p w14:paraId="69FD5839" w14:textId="77777777" w:rsidR="00EC74AD" w:rsidRPr="00FB4EFA" w:rsidRDefault="00EC74AD" w:rsidP="00863238">
            <w:pPr>
              <w:spacing w:line="240" w:lineRule="auto"/>
              <w:rPr>
                <w:sz w:val="20"/>
                <w:szCs w:val="20"/>
              </w:rPr>
            </w:pPr>
            <w:r w:rsidRPr="00FB4EFA">
              <w:rPr>
                <w:rFonts w:cs="Cambria"/>
                <w:i/>
                <w:iCs/>
                <w:sz w:val="20"/>
                <w:szCs w:val="20"/>
                <w:lang w:val="fi-FI"/>
              </w:rPr>
              <w:t>доярке</w:t>
            </w:r>
          </w:p>
        </w:tc>
        <w:tc>
          <w:tcPr>
            <w:tcW w:w="0" w:type="auto"/>
          </w:tcPr>
          <w:p w14:paraId="372E7114" w14:textId="05594229" w:rsidR="00EC74AD" w:rsidRPr="00FB4EFA" w:rsidRDefault="00EC74AD" w:rsidP="00863238">
            <w:pPr>
              <w:spacing w:line="240" w:lineRule="auto"/>
              <w:jc w:val="right"/>
              <w:rPr>
                <w:sz w:val="20"/>
                <w:szCs w:val="20"/>
              </w:rPr>
            </w:pPr>
            <w:r w:rsidRPr="00FB4EFA">
              <w:rPr>
                <w:sz w:val="20"/>
                <w:szCs w:val="20"/>
              </w:rPr>
              <w:t>1</w:t>
            </w:r>
            <w:r w:rsidR="00565CC1">
              <w:rPr>
                <w:sz w:val="20"/>
                <w:szCs w:val="20"/>
              </w:rPr>
              <w:t xml:space="preserve"> </w:t>
            </w:r>
            <w:r w:rsidRPr="00FB4EFA">
              <w:rPr>
                <w:sz w:val="20"/>
                <w:szCs w:val="20"/>
              </w:rPr>
              <w:t>312 (90.60%)</w:t>
            </w:r>
          </w:p>
        </w:tc>
      </w:tr>
      <w:tr w:rsidR="00FB4EFA" w:rsidRPr="00FB4EFA" w14:paraId="1B7D87B5" w14:textId="77777777" w:rsidTr="00EC74AD">
        <w:tc>
          <w:tcPr>
            <w:tcW w:w="0" w:type="auto"/>
          </w:tcPr>
          <w:p w14:paraId="335FE8D7" w14:textId="77777777" w:rsidR="00EC74AD" w:rsidRPr="00FB4EFA" w:rsidRDefault="00EC74AD" w:rsidP="00863238">
            <w:pPr>
              <w:spacing w:line="240" w:lineRule="auto"/>
              <w:rPr>
                <w:sz w:val="20"/>
                <w:szCs w:val="20"/>
              </w:rPr>
            </w:pPr>
            <w:r w:rsidRPr="00FB4EFA">
              <w:rPr>
                <w:rFonts w:cs="Cambria"/>
                <w:i/>
                <w:iCs/>
                <w:sz w:val="20"/>
                <w:szCs w:val="20"/>
                <w:lang w:val="fi-FI"/>
              </w:rPr>
              <w:t>акушер</w:t>
            </w:r>
            <w:r w:rsidRPr="00FB4EFA">
              <w:rPr>
                <w:sz w:val="20"/>
                <w:szCs w:val="20"/>
              </w:rPr>
              <w:t xml:space="preserve"> ‘midwife (male)’</w:t>
            </w:r>
          </w:p>
        </w:tc>
        <w:tc>
          <w:tcPr>
            <w:tcW w:w="0" w:type="auto"/>
          </w:tcPr>
          <w:p w14:paraId="017441E6" w14:textId="77777777" w:rsidR="00EC74AD" w:rsidRPr="00FB4EFA" w:rsidRDefault="00EC74AD" w:rsidP="00863238">
            <w:pPr>
              <w:spacing w:line="240" w:lineRule="auto"/>
              <w:jc w:val="right"/>
              <w:rPr>
                <w:sz w:val="20"/>
                <w:szCs w:val="20"/>
              </w:rPr>
            </w:pPr>
            <w:r w:rsidRPr="00FB4EFA">
              <w:rPr>
                <w:sz w:val="20"/>
                <w:szCs w:val="20"/>
              </w:rPr>
              <w:t>51 (38.64%)</w:t>
            </w:r>
          </w:p>
        </w:tc>
        <w:tc>
          <w:tcPr>
            <w:tcW w:w="0" w:type="auto"/>
          </w:tcPr>
          <w:p w14:paraId="6410B419" w14:textId="77777777" w:rsidR="00EC74AD" w:rsidRPr="00FB4EFA" w:rsidRDefault="00EC74AD" w:rsidP="00863238">
            <w:pPr>
              <w:spacing w:line="240" w:lineRule="auto"/>
              <w:rPr>
                <w:sz w:val="20"/>
                <w:szCs w:val="20"/>
              </w:rPr>
            </w:pPr>
            <w:r w:rsidRPr="00FB4EFA">
              <w:rPr>
                <w:rFonts w:cs="Cambria"/>
                <w:i/>
                <w:iCs/>
                <w:sz w:val="20"/>
                <w:szCs w:val="20"/>
                <w:lang w:val="fi-FI"/>
              </w:rPr>
              <w:t>акушерке</w:t>
            </w:r>
          </w:p>
        </w:tc>
        <w:tc>
          <w:tcPr>
            <w:tcW w:w="0" w:type="auto"/>
          </w:tcPr>
          <w:p w14:paraId="6FDA0EFA" w14:textId="77777777" w:rsidR="00EC74AD" w:rsidRPr="00FB4EFA" w:rsidRDefault="00EC74AD" w:rsidP="00863238">
            <w:pPr>
              <w:spacing w:line="240" w:lineRule="auto"/>
              <w:jc w:val="right"/>
              <w:rPr>
                <w:sz w:val="20"/>
                <w:szCs w:val="20"/>
              </w:rPr>
            </w:pPr>
            <w:r w:rsidRPr="00FB4EFA">
              <w:rPr>
                <w:sz w:val="20"/>
                <w:szCs w:val="20"/>
              </w:rPr>
              <w:t>81 (61.36%)</w:t>
            </w:r>
          </w:p>
        </w:tc>
      </w:tr>
      <w:tr w:rsidR="00FB4EFA" w:rsidRPr="00FB4EFA" w14:paraId="4FDF5D34" w14:textId="77777777" w:rsidTr="00EC74AD">
        <w:tc>
          <w:tcPr>
            <w:tcW w:w="0" w:type="auto"/>
          </w:tcPr>
          <w:p w14:paraId="39CBDA09" w14:textId="77777777" w:rsidR="00EC74AD" w:rsidRPr="00FB4EFA" w:rsidRDefault="00EC74AD" w:rsidP="00863238">
            <w:pPr>
              <w:spacing w:line="240" w:lineRule="auto"/>
              <w:rPr>
                <w:sz w:val="20"/>
                <w:szCs w:val="20"/>
              </w:rPr>
            </w:pPr>
            <w:r w:rsidRPr="00FB4EFA">
              <w:rPr>
                <w:rFonts w:cs="Cambria"/>
                <w:i/>
                <w:iCs/>
                <w:sz w:val="20"/>
                <w:szCs w:val="20"/>
                <w:lang w:val="fi-FI"/>
              </w:rPr>
              <w:t>уборщик</w:t>
            </w:r>
            <w:r w:rsidRPr="00FB4EFA">
              <w:rPr>
                <w:sz w:val="20"/>
                <w:szCs w:val="20"/>
              </w:rPr>
              <w:t xml:space="preserve"> ‘cleaner’</w:t>
            </w:r>
          </w:p>
        </w:tc>
        <w:tc>
          <w:tcPr>
            <w:tcW w:w="0" w:type="auto"/>
          </w:tcPr>
          <w:p w14:paraId="5C785659" w14:textId="77777777" w:rsidR="00EC74AD" w:rsidRPr="00FB4EFA" w:rsidRDefault="00EC74AD" w:rsidP="00863238">
            <w:pPr>
              <w:spacing w:line="240" w:lineRule="auto"/>
              <w:jc w:val="right"/>
              <w:rPr>
                <w:sz w:val="20"/>
                <w:szCs w:val="20"/>
              </w:rPr>
            </w:pPr>
            <w:r w:rsidRPr="00FB4EFA">
              <w:rPr>
                <w:sz w:val="20"/>
                <w:szCs w:val="20"/>
              </w:rPr>
              <w:t>7 (14.89%)</w:t>
            </w:r>
          </w:p>
        </w:tc>
        <w:tc>
          <w:tcPr>
            <w:tcW w:w="0" w:type="auto"/>
          </w:tcPr>
          <w:p w14:paraId="0F956E53" w14:textId="77777777" w:rsidR="00EC74AD" w:rsidRPr="00FB4EFA" w:rsidRDefault="00EC74AD" w:rsidP="00863238">
            <w:pPr>
              <w:spacing w:line="240" w:lineRule="auto"/>
              <w:rPr>
                <w:sz w:val="20"/>
                <w:szCs w:val="20"/>
              </w:rPr>
            </w:pPr>
            <w:r w:rsidRPr="00FB4EFA">
              <w:rPr>
                <w:rFonts w:cs="Cambria"/>
                <w:i/>
                <w:iCs/>
                <w:sz w:val="20"/>
                <w:szCs w:val="20"/>
                <w:lang w:val="fi-FI"/>
              </w:rPr>
              <w:t>уборщица</w:t>
            </w:r>
            <w:r w:rsidRPr="00FB4EFA">
              <w:rPr>
                <w:sz w:val="20"/>
                <w:szCs w:val="20"/>
              </w:rPr>
              <w:t>/</w:t>
            </w:r>
            <w:r w:rsidRPr="00FB4EFA">
              <w:rPr>
                <w:rFonts w:cs="Cambria"/>
                <w:i/>
                <w:iCs/>
                <w:sz w:val="20"/>
                <w:szCs w:val="20"/>
              </w:rPr>
              <w:t>-</w:t>
            </w:r>
            <w:r w:rsidRPr="00FB4EFA">
              <w:rPr>
                <w:rFonts w:cs="Cambria"/>
                <w:i/>
                <w:iCs/>
                <w:sz w:val="20"/>
                <w:szCs w:val="20"/>
                <w:lang w:val="fi-FI"/>
              </w:rPr>
              <w:t>це</w:t>
            </w:r>
          </w:p>
        </w:tc>
        <w:tc>
          <w:tcPr>
            <w:tcW w:w="0" w:type="auto"/>
          </w:tcPr>
          <w:p w14:paraId="72B61F65" w14:textId="77777777" w:rsidR="00EC74AD" w:rsidRPr="00FB4EFA" w:rsidRDefault="00EC74AD" w:rsidP="00863238">
            <w:pPr>
              <w:spacing w:line="240" w:lineRule="auto"/>
              <w:jc w:val="right"/>
              <w:rPr>
                <w:sz w:val="20"/>
                <w:szCs w:val="20"/>
              </w:rPr>
            </w:pPr>
            <w:r w:rsidRPr="00FB4EFA">
              <w:rPr>
                <w:sz w:val="20"/>
                <w:szCs w:val="20"/>
              </w:rPr>
              <w:t>40 (85.11%)</w:t>
            </w:r>
          </w:p>
        </w:tc>
      </w:tr>
    </w:tbl>
    <w:p w14:paraId="470762F1" w14:textId="0E94ED5D" w:rsidR="00EC74AD" w:rsidRPr="00FB4EFA" w:rsidRDefault="00EC74AD" w:rsidP="002752AF">
      <w:pPr>
        <w:spacing w:before="240"/>
        <w:rPr>
          <w:lang w:val="en-US"/>
        </w:rPr>
      </w:pPr>
      <w:r w:rsidRPr="00FB4EFA">
        <w:rPr>
          <w:lang w:val="en-US"/>
        </w:rPr>
        <w:t xml:space="preserve">Interestingly, if certain Russian borrowings in Meadow Mari also allow for other strategies of gender expression, the feminine version borrowed from Russian is in general found more often in the corpus than other options, </w:t>
      </w:r>
      <w:r w:rsidR="00466236" w:rsidRPr="00FB4EFA">
        <w:rPr>
          <w:lang w:val="en-US"/>
        </w:rPr>
        <w:t>e.g., </w:t>
      </w:r>
      <w:r w:rsidRPr="00FB4EFA">
        <w:rPr>
          <w:rFonts w:cs="Cambria"/>
          <w:i/>
          <w:iCs/>
          <w:lang w:val="fi-FI"/>
        </w:rPr>
        <w:t>учительница</w:t>
      </w:r>
      <w:r w:rsidRPr="00FB4EFA">
        <w:rPr>
          <w:lang w:val="en-US"/>
        </w:rPr>
        <w:t>/</w:t>
      </w:r>
      <w:r w:rsidRPr="00FB4EFA">
        <w:rPr>
          <w:rFonts w:cs="Cambria"/>
          <w:i/>
          <w:iCs/>
          <w:lang w:val="fi-FI"/>
        </w:rPr>
        <w:t>учительнице</w:t>
      </w:r>
      <w:r w:rsidRPr="00FB4EFA">
        <w:rPr>
          <w:lang w:val="en-US"/>
        </w:rPr>
        <w:t xml:space="preserve"> ‘female teacher’ (gendered borrowing) </w:t>
      </w:r>
      <w:r w:rsidR="00A62A6B" w:rsidRPr="00FB4EFA">
        <w:rPr>
          <w:lang w:val="en-US"/>
        </w:rPr>
        <w:t>–</w:t>
      </w:r>
      <w:r w:rsidRPr="00FB4EFA">
        <w:rPr>
          <w:lang w:val="en-US"/>
        </w:rPr>
        <w:t xml:space="preserve"> 152 occurrences, </w:t>
      </w:r>
      <w:r w:rsidRPr="00FB4EFA">
        <w:rPr>
          <w:rFonts w:cs="Cambria"/>
          <w:i/>
          <w:iCs/>
          <w:lang w:val="fi-FI"/>
        </w:rPr>
        <w:t>учитель</w:t>
      </w:r>
      <w:r w:rsidRPr="00FB4EFA">
        <w:rPr>
          <w:i/>
          <w:iCs/>
          <w:lang w:val="en-US"/>
        </w:rPr>
        <w:t xml:space="preserve"> </w:t>
      </w:r>
      <w:r w:rsidRPr="00FB4EFA">
        <w:rPr>
          <w:rFonts w:cs="Cambria"/>
          <w:i/>
          <w:iCs/>
          <w:lang w:val="fi-FI"/>
        </w:rPr>
        <w:t>ӱдыр</w:t>
      </w:r>
      <w:r w:rsidRPr="00FB4EFA">
        <w:rPr>
          <w:lang w:val="en-US"/>
        </w:rPr>
        <w:t xml:space="preserve"> ‘lit. teacher girl’ </w:t>
      </w:r>
      <w:r w:rsidR="00A62A6B" w:rsidRPr="00FB4EFA">
        <w:rPr>
          <w:lang w:val="en-US"/>
        </w:rPr>
        <w:t>–</w:t>
      </w:r>
      <w:r w:rsidRPr="00FB4EFA">
        <w:rPr>
          <w:lang w:val="en-US"/>
        </w:rPr>
        <w:t xml:space="preserve"> 2, </w:t>
      </w:r>
      <w:r w:rsidRPr="00FB4EFA">
        <w:rPr>
          <w:rFonts w:cs="Cambria"/>
          <w:i/>
          <w:iCs/>
          <w:lang w:val="fi-FI"/>
        </w:rPr>
        <w:t>ӱдырамаш</w:t>
      </w:r>
      <w:r w:rsidRPr="00FB4EFA">
        <w:rPr>
          <w:i/>
          <w:iCs/>
          <w:lang w:val="en-US"/>
        </w:rPr>
        <w:t xml:space="preserve"> </w:t>
      </w:r>
      <w:r w:rsidRPr="00FB4EFA">
        <w:rPr>
          <w:rFonts w:cs="Cambria"/>
          <w:i/>
          <w:iCs/>
          <w:lang w:val="fi-FI"/>
        </w:rPr>
        <w:t>учитель</w:t>
      </w:r>
      <w:r w:rsidRPr="00FB4EFA">
        <w:rPr>
          <w:lang w:val="en-US"/>
        </w:rPr>
        <w:t xml:space="preserve"> ‘lit. woman teacher’ </w:t>
      </w:r>
      <w:r w:rsidR="00A62A6B" w:rsidRPr="00FB4EFA">
        <w:rPr>
          <w:lang w:val="en-US"/>
        </w:rPr>
        <w:t>–</w:t>
      </w:r>
      <w:r w:rsidRPr="00FB4EFA">
        <w:rPr>
          <w:lang w:val="en-US"/>
        </w:rPr>
        <w:t xml:space="preserve"> 2; </w:t>
      </w:r>
      <w:r w:rsidRPr="00FB4EFA">
        <w:rPr>
          <w:rFonts w:cs="Cambria"/>
          <w:i/>
          <w:iCs/>
          <w:lang w:val="fi-FI"/>
        </w:rPr>
        <w:t>лётчица</w:t>
      </w:r>
      <w:r w:rsidRPr="00FB4EFA">
        <w:rPr>
          <w:lang w:val="en-US"/>
        </w:rPr>
        <w:t>/</w:t>
      </w:r>
      <w:r w:rsidRPr="00FB4EFA">
        <w:rPr>
          <w:rFonts w:cs="Cambria"/>
          <w:i/>
          <w:iCs/>
          <w:lang w:val="fi-FI"/>
        </w:rPr>
        <w:t>лётчице</w:t>
      </w:r>
      <w:r w:rsidRPr="00FB4EFA">
        <w:rPr>
          <w:i/>
          <w:iCs/>
          <w:lang w:val="en-US"/>
        </w:rPr>
        <w:t xml:space="preserve"> </w:t>
      </w:r>
      <w:r w:rsidRPr="00FB4EFA">
        <w:rPr>
          <w:lang w:val="en-US"/>
        </w:rPr>
        <w:t xml:space="preserve">‘female pilot’ (gendered borrowing) </w:t>
      </w:r>
      <w:r w:rsidR="00A62A6B" w:rsidRPr="00FB4EFA">
        <w:rPr>
          <w:lang w:val="en-US"/>
        </w:rPr>
        <w:t>–</w:t>
      </w:r>
      <w:r w:rsidRPr="00FB4EFA">
        <w:rPr>
          <w:lang w:val="en-US"/>
        </w:rPr>
        <w:t xml:space="preserve"> 9 occurrences, </w:t>
      </w:r>
      <w:r w:rsidRPr="00FB4EFA">
        <w:rPr>
          <w:rFonts w:cs="Cambria"/>
          <w:i/>
          <w:iCs/>
          <w:lang w:val="fi-FI"/>
        </w:rPr>
        <w:t>лётчик</w:t>
      </w:r>
      <w:r w:rsidRPr="00FB4EFA">
        <w:rPr>
          <w:i/>
          <w:iCs/>
          <w:lang w:val="en-US"/>
        </w:rPr>
        <w:t xml:space="preserve"> </w:t>
      </w:r>
      <w:r w:rsidRPr="00FB4EFA">
        <w:rPr>
          <w:rFonts w:cs="Cambria"/>
          <w:i/>
          <w:iCs/>
          <w:lang w:val="fi-FI"/>
        </w:rPr>
        <w:t>ӱдыр</w:t>
      </w:r>
      <w:r w:rsidRPr="00FB4EFA">
        <w:rPr>
          <w:lang w:val="en-US"/>
        </w:rPr>
        <w:t xml:space="preserve"> </w:t>
      </w:r>
      <w:r w:rsidR="00A62A6B" w:rsidRPr="00FB4EFA">
        <w:rPr>
          <w:lang w:val="en-US"/>
        </w:rPr>
        <w:t>–</w:t>
      </w:r>
      <w:r w:rsidRPr="00FB4EFA">
        <w:rPr>
          <w:lang w:val="en-US"/>
        </w:rPr>
        <w:t xml:space="preserve"> 1 ‘lit. pilot girl’, </w:t>
      </w:r>
      <w:r w:rsidRPr="00FB4EFA">
        <w:rPr>
          <w:rFonts w:cs="Cambria"/>
          <w:i/>
          <w:iCs/>
          <w:lang w:val="fi-FI"/>
        </w:rPr>
        <w:t>ӱдырамаш</w:t>
      </w:r>
      <w:r w:rsidRPr="00FB4EFA">
        <w:rPr>
          <w:i/>
          <w:iCs/>
          <w:lang w:val="en-US"/>
        </w:rPr>
        <w:t xml:space="preserve"> </w:t>
      </w:r>
      <w:r w:rsidRPr="00FB4EFA">
        <w:rPr>
          <w:rFonts w:cs="Cambria"/>
          <w:i/>
          <w:iCs/>
          <w:lang w:val="fi-FI"/>
        </w:rPr>
        <w:t>лётчик</w:t>
      </w:r>
      <w:r w:rsidRPr="00FB4EFA">
        <w:rPr>
          <w:i/>
          <w:iCs/>
          <w:lang w:val="en-US"/>
        </w:rPr>
        <w:t xml:space="preserve"> </w:t>
      </w:r>
      <w:r w:rsidRPr="00FB4EFA">
        <w:rPr>
          <w:lang w:val="en-US"/>
        </w:rPr>
        <w:t>‘lit. woman pilot’</w:t>
      </w:r>
      <w:r w:rsidRPr="00FB4EFA">
        <w:rPr>
          <w:i/>
          <w:iCs/>
          <w:lang w:val="en-US"/>
        </w:rPr>
        <w:t xml:space="preserve"> </w:t>
      </w:r>
      <w:r w:rsidR="00A62A6B" w:rsidRPr="00FB4EFA">
        <w:rPr>
          <w:lang w:val="en-US"/>
        </w:rPr>
        <w:t xml:space="preserve">– </w:t>
      </w:r>
      <w:r w:rsidRPr="00FB4EFA">
        <w:rPr>
          <w:lang w:val="en-US"/>
        </w:rPr>
        <w:t>1.</w:t>
      </w:r>
    </w:p>
    <w:p w14:paraId="016B833C" w14:textId="4DA5588D" w:rsidR="00EC74AD" w:rsidRPr="00FB4EFA" w:rsidRDefault="00EC74AD" w:rsidP="002752AF">
      <w:pPr>
        <w:pStyle w:val="Heading3"/>
        <w:numPr>
          <w:ilvl w:val="1"/>
          <w:numId w:val="20"/>
        </w:numPr>
        <w:spacing w:line="259" w:lineRule="auto"/>
      </w:pPr>
      <w:r w:rsidRPr="00FB4EFA">
        <w:t>The job title contains a gendered part that can be replaced to refer to another gender</w:t>
      </w:r>
    </w:p>
    <w:p w14:paraId="14963372" w14:textId="73CDD71A" w:rsidR="00EC74AD" w:rsidRPr="00FB4EFA" w:rsidRDefault="00EC74AD" w:rsidP="002752AF">
      <w:pPr>
        <w:spacing w:after="240"/>
        <w:rPr>
          <w:lang w:val="en-US"/>
        </w:rPr>
      </w:pPr>
      <w:r w:rsidRPr="00FB4EFA">
        <w:rPr>
          <w:lang w:val="en-US"/>
        </w:rPr>
        <w:t xml:space="preserve">In several languages in our sample, some of the job titles contain a gendered part, typically the one meaning ‘man’, like in Finnish </w:t>
      </w:r>
      <w:r w:rsidRPr="00FB4EFA">
        <w:rPr>
          <w:i/>
          <w:iCs/>
          <w:lang w:val="en-US"/>
        </w:rPr>
        <w:t>palomies</w:t>
      </w:r>
      <w:r w:rsidRPr="00FB4EFA">
        <w:rPr>
          <w:lang w:val="en-US"/>
        </w:rPr>
        <w:t xml:space="preserve"> ‘fireman’, Estonian </w:t>
      </w:r>
      <w:r w:rsidRPr="00FB4EFA">
        <w:rPr>
          <w:i/>
          <w:iCs/>
          <w:lang w:val="en-US"/>
        </w:rPr>
        <w:t>jahimees</w:t>
      </w:r>
      <w:r w:rsidRPr="00FB4EFA">
        <w:rPr>
          <w:lang w:val="en-US"/>
        </w:rPr>
        <w:t xml:space="preserve"> ‘hunter’, or Aanaar Saami </w:t>
      </w:r>
      <w:r w:rsidRPr="00FB4EFA">
        <w:rPr>
          <w:i/>
          <w:iCs/>
          <w:lang w:val="en-US"/>
        </w:rPr>
        <w:t>suátialmai</w:t>
      </w:r>
      <w:r w:rsidRPr="00FB4EFA">
        <w:rPr>
          <w:lang w:val="en-US"/>
        </w:rPr>
        <w:t xml:space="preserve"> ‘soldier’</w:t>
      </w:r>
      <w:r w:rsidR="00D879AD" w:rsidRPr="00FB4EFA">
        <w:rPr>
          <w:lang w:val="en-US"/>
        </w:rPr>
        <w:t>.</w:t>
      </w:r>
      <w:r w:rsidRPr="00FB4EFA">
        <w:rPr>
          <w:lang w:val="en-US"/>
        </w:rPr>
        <w:t xml:space="preserve"> (</w:t>
      </w:r>
      <w:r w:rsidR="00D879AD" w:rsidRPr="00FB4EFA">
        <w:rPr>
          <w:lang w:val="en-US"/>
        </w:rPr>
        <w:t>A</w:t>
      </w:r>
      <w:r w:rsidRPr="00FB4EFA">
        <w:rPr>
          <w:lang w:val="en-US"/>
        </w:rPr>
        <w:t>mong these jobs, many are indeed seen as typically done by men</w:t>
      </w:r>
      <w:r w:rsidR="00D879AD" w:rsidRPr="00FB4EFA">
        <w:rPr>
          <w:lang w:val="en-US"/>
        </w:rPr>
        <w:t>.</w:t>
      </w:r>
      <w:r w:rsidRPr="00FB4EFA">
        <w:rPr>
          <w:lang w:val="en-US"/>
        </w:rPr>
        <w:t>) Although these job titles are usually perceived as gender</w:t>
      </w:r>
      <w:r w:rsidR="00125E62" w:rsidRPr="00FB4EFA">
        <w:rPr>
          <w:lang w:val="en-US"/>
        </w:rPr>
        <w:t xml:space="preserve"> </w:t>
      </w:r>
      <w:r w:rsidRPr="00FB4EFA">
        <w:rPr>
          <w:lang w:val="en-US"/>
        </w:rPr>
        <w:t xml:space="preserve">neutral rather than gendered, it is usually possible to replace the gendered part they contain by a different one in order to refer to the opposite gender. For example, in Finnish, all these job titles ending </w:t>
      </w:r>
      <w:r w:rsidR="003B02E6" w:rsidRPr="00FB4EFA">
        <w:rPr>
          <w:lang w:val="en-US"/>
        </w:rPr>
        <w:t>in</w:t>
      </w:r>
      <w:r w:rsidRPr="00FB4EFA">
        <w:rPr>
          <w:lang w:val="en-US"/>
        </w:rPr>
        <w:t xml:space="preserve"> </w:t>
      </w:r>
      <w:r w:rsidRPr="00FB4EFA">
        <w:rPr>
          <w:i/>
          <w:iCs/>
          <w:lang w:val="en-US"/>
        </w:rPr>
        <w:noBreakHyphen/>
        <w:t>mies</w:t>
      </w:r>
      <w:r w:rsidRPr="00FB4EFA">
        <w:rPr>
          <w:lang w:val="en-US"/>
        </w:rPr>
        <w:t xml:space="preserve"> ‘</w:t>
      </w:r>
      <w:r w:rsidRPr="00FB4EFA">
        <w:rPr>
          <w:lang w:val="en-US"/>
        </w:rPr>
        <w:noBreakHyphen/>
        <w:t xml:space="preserve">man’ have a feminine version, although </w:t>
      </w:r>
      <w:r w:rsidR="00D879AD" w:rsidRPr="00FB4EFA">
        <w:rPr>
          <w:lang w:val="en-US"/>
        </w:rPr>
        <w:t>they are</w:t>
      </w:r>
      <w:r w:rsidRPr="00FB4EFA">
        <w:rPr>
          <w:lang w:val="en-US"/>
        </w:rPr>
        <w:t xml:space="preserve"> much less frequent, with feminine/masculine ratio between 0.0025 and 0.0066:</w:t>
      </w:r>
      <w:r w:rsidRPr="00FB4EFA">
        <w:rPr>
          <w:vertAlign w:val="superscript"/>
        </w:rPr>
        <w:footnoteReference w:id="148"/>
      </w:r>
    </w:p>
    <w:tbl>
      <w:tblPr>
        <w:tblW w:w="0" w:type="auto"/>
        <w:tblLook w:val="04A0" w:firstRow="1" w:lastRow="0" w:firstColumn="1" w:lastColumn="0" w:noHBand="0" w:noVBand="1"/>
      </w:tblPr>
      <w:tblGrid>
        <w:gridCol w:w="2051"/>
        <w:gridCol w:w="874"/>
        <w:gridCol w:w="1354"/>
        <w:gridCol w:w="582"/>
        <w:gridCol w:w="1824"/>
      </w:tblGrid>
      <w:tr w:rsidR="00FB4EFA" w:rsidRPr="00FB4EFA" w14:paraId="0CB54B0A" w14:textId="77777777" w:rsidTr="00EC74AD">
        <w:tc>
          <w:tcPr>
            <w:tcW w:w="0" w:type="auto"/>
          </w:tcPr>
          <w:p w14:paraId="61405B0E" w14:textId="77777777" w:rsidR="00EC74AD" w:rsidRPr="00FB4EFA" w:rsidRDefault="00EC74AD" w:rsidP="00863238">
            <w:pPr>
              <w:spacing w:line="240" w:lineRule="auto"/>
              <w:contextualSpacing/>
              <w:rPr>
                <w:lang w:val="fi-FI"/>
              </w:rPr>
            </w:pPr>
            <w:r w:rsidRPr="00FB4EFA">
              <w:rPr>
                <w:i/>
                <w:iCs/>
                <w:lang w:val="fi-FI"/>
              </w:rPr>
              <w:lastRenderedPageBreak/>
              <w:t>postimies</w:t>
            </w:r>
            <w:r w:rsidRPr="00FB4EFA">
              <w:rPr>
                <w:lang w:val="fi-FI"/>
              </w:rPr>
              <w:t xml:space="preserve"> ‘postman’</w:t>
            </w:r>
          </w:p>
        </w:tc>
        <w:tc>
          <w:tcPr>
            <w:tcW w:w="0" w:type="auto"/>
          </w:tcPr>
          <w:p w14:paraId="7CF207BA" w14:textId="77777777" w:rsidR="00EC74AD" w:rsidRPr="00FB4EFA" w:rsidRDefault="00EC74AD" w:rsidP="00863238">
            <w:pPr>
              <w:spacing w:line="240" w:lineRule="auto"/>
              <w:contextualSpacing/>
              <w:jc w:val="right"/>
              <w:rPr>
                <w:lang w:val="fi-FI"/>
              </w:rPr>
            </w:pPr>
            <w:r w:rsidRPr="00FB4EFA">
              <w:rPr>
                <w:lang w:val="fi-FI"/>
              </w:rPr>
              <w:t>2 130</w:t>
            </w:r>
          </w:p>
        </w:tc>
        <w:tc>
          <w:tcPr>
            <w:tcW w:w="0" w:type="auto"/>
          </w:tcPr>
          <w:p w14:paraId="6C1F78C8" w14:textId="77777777" w:rsidR="00EC74AD" w:rsidRPr="00FB4EFA" w:rsidRDefault="00EC74AD" w:rsidP="00863238">
            <w:pPr>
              <w:spacing w:line="240" w:lineRule="auto"/>
              <w:contextualSpacing/>
              <w:rPr>
                <w:lang w:val="fi-FI"/>
              </w:rPr>
            </w:pPr>
            <w:r w:rsidRPr="00FB4EFA">
              <w:rPr>
                <w:i/>
                <w:iCs/>
                <w:lang w:val="fi-FI"/>
              </w:rPr>
              <w:t>postinainen</w:t>
            </w:r>
            <w:r w:rsidRPr="00FB4EFA">
              <w:rPr>
                <w:lang w:val="fi-FI"/>
              </w:rPr>
              <w:t xml:space="preserve"> </w:t>
            </w:r>
          </w:p>
        </w:tc>
        <w:tc>
          <w:tcPr>
            <w:tcW w:w="0" w:type="auto"/>
          </w:tcPr>
          <w:p w14:paraId="0E698792" w14:textId="77777777" w:rsidR="00EC74AD" w:rsidRPr="00FB4EFA" w:rsidRDefault="00EC74AD" w:rsidP="00863238">
            <w:pPr>
              <w:spacing w:line="240" w:lineRule="auto"/>
              <w:contextualSpacing/>
              <w:jc w:val="right"/>
              <w:rPr>
                <w:lang w:val="fi-FI"/>
              </w:rPr>
            </w:pPr>
            <w:r w:rsidRPr="00FB4EFA">
              <w:rPr>
                <w:lang w:val="fi-FI"/>
              </w:rPr>
              <w:t>14</w:t>
            </w:r>
          </w:p>
        </w:tc>
        <w:tc>
          <w:tcPr>
            <w:tcW w:w="0" w:type="auto"/>
          </w:tcPr>
          <w:p w14:paraId="0182A9B6" w14:textId="77777777" w:rsidR="00EC74AD" w:rsidRPr="00FB4EFA" w:rsidRDefault="00EC74AD" w:rsidP="00863238">
            <w:pPr>
              <w:spacing w:line="240" w:lineRule="auto"/>
              <w:contextualSpacing/>
              <w:rPr>
                <w:lang w:val="fi-FI"/>
              </w:rPr>
            </w:pPr>
            <w:r w:rsidRPr="00FB4EFA">
              <w:rPr>
                <w:lang w:val="fi-FI"/>
              </w:rPr>
              <w:t>F/M ratio 0.0066</w:t>
            </w:r>
          </w:p>
        </w:tc>
      </w:tr>
      <w:tr w:rsidR="00FB4EFA" w:rsidRPr="00FB4EFA" w14:paraId="3FC934DD" w14:textId="77777777" w:rsidTr="00EC74AD">
        <w:tc>
          <w:tcPr>
            <w:tcW w:w="0" w:type="auto"/>
          </w:tcPr>
          <w:p w14:paraId="220C80A6" w14:textId="77777777" w:rsidR="00EC74AD" w:rsidRPr="00FB4EFA" w:rsidRDefault="00EC74AD" w:rsidP="00863238">
            <w:pPr>
              <w:spacing w:line="240" w:lineRule="auto"/>
              <w:contextualSpacing/>
              <w:rPr>
                <w:lang w:val="sv-SE"/>
              </w:rPr>
            </w:pPr>
            <w:r w:rsidRPr="00FB4EFA">
              <w:rPr>
                <w:i/>
                <w:iCs/>
                <w:lang w:val="sv-SE"/>
              </w:rPr>
              <w:t>varusmies</w:t>
            </w:r>
            <w:r w:rsidRPr="00FB4EFA">
              <w:rPr>
                <w:lang w:val="sv-SE"/>
              </w:rPr>
              <w:t xml:space="preserve"> ‘soldier’</w:t>
            </w:r>
          </w:p>
        </w:tc>
        <w:tc>
          <w:tcPr>
            <w:tcW w:w="0" w:type="auto"/>
          </w:tcPr>
          <w:p w14:paraId="54B02041" w14:textId="77777777" w:rsidR="00EC74AD" w:rsidRPr="00FB4EFA" w:rsidRDefault="00EC74AD" w:rsidP="00863238">
            <w:pPr>
              <w:spacing w:line="240" w:lineRule="auto"/>
              <w:contextualSpacing/>
              <w:jc w:val="right"/>
              <w:rPr>
                <w:lang w:val="sv-SE"/>
              </w:rPr>
            </w:pPr>
            <w:r w:rsidRPr="00FB4EFA">
              <w:rPr>
                <w:lang w:val="sv-SE"/>
              </w:rPr>
              <w:t>23 378</w:t>
            </w:r>
          </w:p>
        </w:tc>
        <w:tc>
          <w:tcPr>
            <w:tcW w:w="0" w:type="auto"/>
          </w:tcPr>
          <w:p w14:paraId="03D24BCD" w14:textId="77777777" w:rsidR="00EC74AD" w:rsidRPr="00FB4EFA" w:rsidRDefault="00EC74AD" w:rsidP="00863238">
            <w:pPr>
              <w:spacing w:line="240" w:lineRule="auto"/>
              <w:contextualSpacing/>
              <w:rPr>
                <w:lang w:val="sv-SE"/>
              </w:rPr>
            </w:pPr>
            <w:r w:rsidRPr="00FB4EFA">
              <w:rPr>
                <w:i/>
                <w:iCs/>
                <w:lang w:val="sv-SE"/>
              </w:rPr>
              <w:t>varusnainen</w:t>
            </w:r>
          </w:p>
        </w:tc>
        <w:tc>
          <w:tcPr>
            <w:tcW w:w="0" w:type="auto"/>
          </w:tcPr>
          <w:p w14:paraId="35B29BBD" w14:textId="77777777" w:rsidR="00EC74AD" w:rsidRPr="00FB4EFA" w:rsidRDefault="00EC74AD" w:rsidP="00863238">
            <w:pPr>
              <w:spacing w:line="240" w:lineRule="auto"/>
              <w:contextualSpacing/>
              <w:jc w:val="right"/>
              <w:rPr>
                <w:lang w:val="sv-SE"/>
              </w:rPr>
            </w:pPr>
            <w:r w:rsidRPr="00FB4EFA">
              <w:rPr>
                <w:lang w:val="sv-SE"/>
              </w:rPr>
              <w:t>111</w:t>
            </w:r>
          </w:p>
        </w:tc>
        <w:tc>
          <w:tcPr>
            <w:tcW w:w="0" w:type="auto"/>
          </w:tcPr>
          <w:p w14:paraId="200D7834" w14:textId="77777777" w:rsidR="00EC74AD" w:rsidRPr="00FB4EFA" w:rsidRDefault="00EC74AD" w:rsidP="00863238">
            <w:pPr>
              <w:spacing w:line="240" w:lineRule="auto"/>
              <w:contextualSpacing/>
              <w:rPr>
                <w:lang w:val="sv-SE"/>
              </w:rPr>
            </w:pPr>
            <w:r w:rsidRPr="00FB4EFA">
              <w:rPr>
                <w:lang w:val="sv-SE"/>
              </w:rPr>
              <w:t>F/M ratio 0.0047</w:t>
            </w:r>
          </w:p>
        </w:tc>
      </w:tr>
      <w:tr w:rsidR="00FB4EFA" w:rsidRPr="00FB4EFA" w14:paraId="7D76165C" w14:textId="77777777" w:rsidTr="00EC74AD">
        <w:tc>
          <w:tcPr>
            <w:tcW w:w="0" w:type="auto"/>
          </w:tcPr>
          <w:p w14:paraId="24FDD130" w14:textId="77777777" w:rsidR="00EC74AD" w:rsidRPr="00FB4EFA" w:rsidRDefault="00EC74AD" w:rsidP="00863238">
            <w:pPr>
              <w:spacing w:line="240" w:lineRule="auto"/>
              <w:contextualSpacing/>
              <w:rPr>
                <w:lang w:val="fi-FI"/>
              </w:rPr>
            </w:pPr>
            <w:r w:rsidRPr="00FB4EFA">
              <w:rPr>
                <w:i/>
                <w:iCs/>
                <w:lang w:val="fi-FI"/>
              </w:rPr>
              <w:t>esimies</w:t>
            </w:r>
            <w:r w:rsidRPr="00FB4EFA">
              <w:rPr>
                <w:lang w:val="fi-FI"/>
              </w:rPr>
              <w:t xml:space="preserve"> ‘boss’</w:t>
            </w:r>
          </w:p>
        </w:tc>
        <w:tc>
          <w:tcPr>
            <w:tcW w:w="0" w:type="auto"/>
          </w:tcPr>
          <w:p w14:paraId="384EDC2E" w14:textId="77777777" w:rsidR="00EC74AD" w:rsidRPr="00FB4EFA" w:rsidRDefault="00EC74AD" w:rsidP="00863238">
            <w:pPr>
              <w:spacing w:line="240" w:lineRule="auto"/>
              <w:contextualSpacing/>
              <w:jc w:val="right"/>
              <w:rPr>
                <w:lang w:val="fi-FI"/>
              </w:rPr>
            </w:pPr>
            <w:r w:rsidRPr="00FB4EFA">
              <w:rPr>
                <w:lang w:val="fi-FI"/>
              </w:rPr>
              <w:t>88 047</w:t>
            </w:r>
          </w:p>
        </w:tc>
        <w:tc>
          <w:tcPr>
            <w:tcW w:w="0" w:type="auto"/>
          </w:tcPr>
          <w:p w14:paraId="44619DF6" w14:textId="77777777" w:rsidR="00EC74AD" w:rsidRPr="00FB4EFA" w:rsidRDefault="00EC74AD" w:rsidP="00863238">
            <w:pPr>
              <w:spacing w:line="240" w:lineRule="auto"/>
              <w:contextualSpacing/>
              <w:rPr>
                <w:lang w:val="fi-FI"/>
              </w:rPr>
            </w:pPr>
            <w:r w:rsidRPr="00FB4EFA">
              <w:rPr>
                <w:i/>
                <w:iCs/>
                <w:lang w:val="fi-FI"/>
              </w:rPr>
              <w:t>esinainen</w:t>
            </w:r>
          </w:p>
        </w:tc>
        <w:tc>
          <w:tcPr>
            <w:tcW w:w="0" w:type="auto"/>
          </w:tcPr>
          <w:p w14:paraId="6FF5CA9E" w14:textId="77777777" w:rsidR="00EC74AD" w:rsidRPr="00FB4EFA" w:rsidRDefault="00EC74AD" w:rsidP="00863238">
            <w:pPr>
              <w:spacing w:line="240" w:lineRule="auto"/>
              <w:contextualSpacing/>
              <w:jc w:val="right"/>
              <w:rPr>
                <w:lang w:val="fi-FI"/>
              </w:rPr>
            </w:pPr>
            <w:r w:rsidRPr="00FB4EFA">
              <w:rPr>
                <w:lang w:val="fi-FI"/>
              </w:rPr>
              <w:t>369</w:t>
            </w:r>
          </w:p>
        </w:tc>
        <w:tc>
          <w:tcPr>
            <w:tcW w:w="0" w:type="auto"/>
          </w:tcPr>
          <w:p w14:paraId="436B10F3" w14:textId="77777777" w:rsidR="00EC74AD" w:rsidRPr="00FB4EFA" w:rsidRDefault="00EC74AD" w:rsidP="00863238">
            <w:pPr>
              <w:spacing w:line="240" w:lineRule="auto"/>
              <w:contextualSpacing/>
              <w:rPr>
                <w:lang w:val="fi-FI"/>
              </w:rPr>
            </w:pPr>
            <w:r w:rsidRPr="00FB4EFA">
              <w:rPr>
                <w:lang w:val="fi-FI"/>
              </w:rPr>
              <w:t>F/M ratio 0.0042</w:t>
            </w:r>
          </w:p>
        </w:tc>
      </w:tr>
      <w:tr w:rsidR="00FB4EFA" w:rsidRPr="00FB4EFA" w14:paraId="24B7E3D0" w14:textId="77777777" w:rsidTr="00EC74AD">
        <w:tc>
          <w:tcPr>
            <w:tcW w:w="0" w:type="auto"/>
          </w:tcPr>
          <w:p w14:paraId="3644D0B1" w14:textId="77777777" w:rsidR="00EC74AD" w:rsidRPr="00FB4EFA" w:rsidRDefault="00EC74AD" w:rsidP="00863238">
            <w:pPr>
              <w:spacing w:line="240" w:lineRule="auto"/>
              <w:contextualSpacing/>
              <w:rPr>
                <w:lang w:val="fi-FI"/>
              </w:rPr>
            </w:pPr>
            <w:r w:rsidRPr="00FB4EFA">
              <w:rPr>
                <w:i/>
                <w:iCs/>
                <w:lang w:val="fi-FI"/>
              </w:rPr>
              <w:t>palomies</w:t>
            </w:r>
            <w:r w:rsidRPr="00FB4EFA">
              <w:rPr>
                <w:lang w:val="fi-FI"/>
              </w:rPr>
              <w:t xml:space="preserve"> ‘fireman’</w:t>
            </w:r>
          </w:p>
        </w:tc>
        <w:tc>
          <w:tcPr>
            <w:tcW w:w="0" w:type="auto"/>
          </w:tcPr>
          <w:p w14:paraId="0906E727" w14:textId="77777777" w:rsidR="00EC74AD" w:rsidRPr="00FB4EFA" w:rsidRDefault="00EC74AD" w:rsidP="00863238">
            <w:pPr>
              <w:spacing w:line="240" w:lineRule="auto"/>
              <w:contextualSpacing/>
              <w:jc w:val="right"/>
              <w:rPr>
                <w:lang w:val="fi-FI"/>
              </w:rPr>
            </w:pPr>
            <w:r w:rsidRPr="00FB4EFA">
              <w:rPr>
                <w:lang w:val="fi-FI"/>
              </w:rPr>
              <w:t>17 897</w:t>
            </w:r>
          </w:p>
        </w:tc>
        <w:tc>
          <w:tcPr>
            <w:tcW w:w="0" w:type="auto"/>
          </w:tcPr>
          <w:p w14:paraId="68DE7644" w14:textId="77777777" w:rsidR="00EC74AD" w:rsidRPr="00FB4EFA" w:rsidRDefault="00EC74AD" w:rsidP="00863238">
            <w:pPr>
              <w:spacing w:line="240" w:lineRule="auto"/>
              <w:contextualSpacing/>
              <w:rPr>
                <w:lang w:val="fi-FI"/>
              </w:rPr>
            </w:pPr>
            <w:r w:rsidRPr="00FB4EFA">
              <w:rPr>
                <w:i/>
                <w:iCs/>
                <w:lang w:val="fi-FI"/>
              </w:rPr>
              <w:t>palonainen</w:t>
            </w:r>
          </w:p>
        </w:tc>
        <w:tc>
          <w:tcPr>
            <w:tcW w:w="0" w:type="auto"/>
          </w:tcPr>
          <w:p w14:paraId="396C0A43" w14:textId="77777777" w:rsidR="00EC74AD" w:rsidRPr="00FB4EFA" w:rsidRDefault="00EC74AD" w:rsidP="00863238">
            <w:pPr>
              <w:spacing w:line="240" w:lineRule="auto"/>
              <w:contextualSpacing/>
              <w:jc w:val="right"/>
              <w:rPr>
                <w:lang w:val="fi-FI"/>
              </w:rPr>
            </w:pPr>
            <w:r w:rsidRPr="00FB4EFA">
              <w:rPr>
                <w:lang w:val="fi-FI"/>
              </w:rPr>
              <w:t>65</w:t>
            </w:r>
          </w:p>
        </w:tc>
        <w:tc>
          <w:tcPr>
            <w:tcW w:w="0" w:type="auto"/>
          </w:tcPr>
          <w:p w14:paraId="00D273FA" w14:textId="77777777" w:rsidR="00EC74AD" w:rsidRPr="00FB4EFA" w:rsidRDefault="00EC74AD" w:rsidP="00863238">
            <w:pPr>
              <w:spacing w:line="240" w:lineRule="auto"/>
              <w:contextualSpacing/>
              <w:rPr>
                <w:lang w:val="fi-FI"/>
              </w:rPr>
            </w:pPr>
            <w:r w:rsidRPr="00FB4EFA">
              <w:rPr>
                <w:lang w:val="fi-FI"/>
              </w:rPr>
              <w:t>F/M ratio 0.0036</w:t>
            </w:r>
          </w:p>
        </w:tc>
      </w:tr>
      <w:tr w:rsidR="00FB4EFA" w:rsidRPr="00FB4EFA" w14:paraId="52D3881C" w14:textId="77777777" w:rsidTr="00EC74AD">
        <w:tc>
          <w:tcPr>
            <w:tcW w:w="0" w:type="auto"/>
          </w:tcPr>
          <w:p w14:paraId="3DAB5990" w14:textId="77777777" w:rsidR="00EC74AD" w:rsidRPr="00FB4EFA" w:rsidRDefault="00EC74AD" w:rsidP="00863238">
            <w:pPr>
              <w:spacing w:line="240" w:lineRule="auto"/>
              <w:contextualSpacing/>
              <w:rPr>
                <w:lang w:val="fi-FI"/>
              </w:rPr>
            </w:pPr>
            <w:r w:rsidRPr="00FB4EFA">
              <w:rPr>
                <w:i/>
                <w:iCs/>
                <w:lang w:val="fi-FI"/>
              </w:rPr>
              <w:t>sotamies</w:t>
            </w:r>
            <w:r w:rsidRPr="00FB4EFA">
              <w:rPr>
                <w:lang w:val="fi-FI"/>
              </w:rPr>
              <w:t xml:space="preserve"> ‘soldier’</w:t>
            </w:r>
          </w:p>
        </w:tc>
        <w:tc>
          <w:tcPr>
            <w:tcW w:w="0" w:type="auto"/>
          </w:tcPr>
          <w:p w14:paraId="7197B4BA" w14:textId="77777777" w:rsidR="00EC74AD" w:rsidRPr="00FB4EFA" w:rsidRDefault="00EC74AD" w:rsidP="00863238">
            <w:pPr>
              <w:spacing w:line="240" w:lineRule="auto"/>
              <w:contextualSpacing/>
              <w:jc w:val="right"/>
              <w:rPr>
                <w:lang w:val="fi-FI"/>
              </w:rPr>
            </w:pPr>
            <w:r w:rsidRPr="00FB4EFA">
              <w:rPr>
                <w:lang w:val="fi-FI"/>
              </w:rPr>
              <w:t>7 469</w:t>
            </w:r>
          </w:p>
        </w:tc>
        <w:tc>
          <w:tcPr>
            <w:tcW w:w="0" w:type="auto"/>
          </w:tcPr>
          <w:p w14:paraId="63FD29C5" w14:textId="77777777" w:rsidR="00EC74AD" w:rsidRPr="00FB4EFA" w:rsidRDefault="00EC74AD" w:rsidP="00863238">
            <w:pPr>
              <w:spacing w:line="240" w:lineRule="auto"/>
              <w:contextualSpacing/>
              <w:rPr>
                <w:lang w:val="fi-FI"/>
              </w:rPr>
            </w:pPr>
            <w:r w:rsidRPr="00FB4EFA">
              <w:rPr>
                <w:i/>
                <w:iCs/>
                <w:lang w:val="fi-FI"/>
              </w:rPr>
              <w:t>sotanainen</w:t>
            </w:r>
          </w:p>
        </w:tc>
        <w:tc>
          <w:tcPr>
            <w:tcW w:w="0" w:type="auto"/>
          </w:tcPr>
          <w:p w14:paraId="0238617B" w14:textId="77777777" w:rsidR="00EC74AD" w:rsidRPr="00FB4EFA" w:rsidRDefault="00EC74AD" w:rsidP="00863238">
            <w:pPr>
              <w:spacing w:line="240" w:lineRule="auto"/>
              <w:contextualSpacing/>
              <w:jc w:val="right"/>
              <w:rPr>
                <w:lang w:val="fi-FI"/>
              </w:rPr>
            </w:pPr>
            <w:r w:rsidRPr="00FB4EFA">
              <w:rPr>
                <w:lang w:val="fi-FI"/>
              </w:rPr>
              <w:t>19</w:t>
            </w:r>
          </w:p>
        </w:tc>
        <w:tc>
          <w:tcPr>
            <w:tcW w:w="0" w:type="auto"/>
          </w:tcPr>
          <w:p w14:paraId="48006946" w14:textId="77777777" w:rsidR="00EC74AD" w:rsidRPr="00FB4EFA" w:rsidRDefault="00EC74AD" w:rsidP="00863238">
            <w:pPr>
              <w:spacing w:line="240" w:lineRule="auto"/>
              <w:contextualSpacing/>
              <w:rPr>
                <w:lang w:val="fi-FI"/>
              </w:rPr>
            </w:pPr>
            <w:r w:rsidRPr="00FB4EFA">
              <w:rPr>
                <w:lang w:val="fi-FI"/>
              </w:rPr>
              <w:t>F/M ratio 0.0025</w:t>
            </w:r>
          </w:p>
        </w:tc>
      </w:tr>
    </w:tbl>
    <w:p w14:paraId="1819774F" w14:textId="77777777" w:rsidR="00EC74AD" w:rsidRPr="00FB4EFA" w:rsidRDefault="00EC74AD" w:rsidP="002752AF">
      <w:pPr>
        <w:spacing w:before="240" w:after="240"/>
        <w:rPr>
          <w:lang w:val="en-US"/>
        </w:rPr>
      </w:pPr>
      <w:r w:rsidRPr="00FB4EFA">
        <w:rPr>
          <w:lang w:val="en-US"/>
        </w:rPr>
        <w:t xml:space="preserve">In Estonian, the picture is similar. For the following job titles the corpus data includes instances in which the gendered part </w:t>
      </w:r>
      <w:r w:rsidRPr="00FB4EFA">
        <w:rPr>
          <w:i/>
          <w:iCs/>
          <w:lang w:val="en-US"/>
        </w:rPr>
        <w:noBreakHyphen/>
        <w:t xml:space="preserve">mees </w:t>
      </w:r>
      <w:r w:rsidRPr="00FB4EFA">
        <w:rPr>
          <w:lang w:val="en-US"/>
        </w:rPr>
        <w:t xml:space="preserve">is replaced by its female counterpart </w:t>
      </w:r>
      <w:r w:rsidRPr="00FB4EFA">
        <w:rPr>
          <w:i/>
          <w:iCs/>
          <w:lang w:val="en-US"/>
        </w:rPr>
        <w:noBreakHyphen/>
        <w:t xml:space="preserve">naine </w:t>
      </w:r>
      <w:r w:rsidRPr="00FB4EFA">
        <w:rPr>
          <w:lang w:val="en-US"/>
        </w:rPr>
        <w:t>‘woman’:</w:t>
      </w:r>
    </w:p>
    <w:tbl>
      <w:tblPr>
        <w:tblW w:w="0" w:type="auto"/>
        <w:tblLook w:val="04A0" w:firstRow="1" w:lastRow="0" w:firstColumn="1" w:lastColumn="0" w:noHBand="0" w:noVBand="1"/>
      </w:tblPr>
      <w:tblGrid>
        <w:gridCol w:w="2178"/>
        <w:gridCol w:w="874"/>
        <w:gridCol w:w="1127"/>
        <w:gridCol w:w="752"/>
        <w:gridCol w:w="1824"/>
      </w:tblGrid>
      <w:tr w:rsidR="00FB4EFA" w:rsidRPr="00FB4EFA" w14:paraId="05B1D37D" w14:textId="77777777" w:rsidTr="00EC74AD">
        <w:tc>
          <w:tcPr>
            <w:tcW w:w="0" w:type="auto"/>
          </w:tcPr>
          <w:p w14:paraId="2402E313" w14:textId="77777777" w:rsidR="00EC74AD" w:rsidRPr="00FB4EFA" w:rsidRDefault="00EC74AD" w:rsidP="00863238">
            <w:pPr>
              <w:keepNext/>
              <w:spacing w:line="240" w:lineRule="auto"/>
            </w:pPr>
            <w:r w:rsidRPr="00FB4EFA">
              <w:rPr>
                <w:i/>
                <w:iCs/>
              </w:rPr>
              <w:t xml:space="preserve">jahimees </w:t>
            </w:r>
            <w:r w:rsidRPr="00FB4EFA">
              <w:t>‘hunter’</w:t>
            </w:r>
          </w:p>
        </w:tc>
        <w:tc>
          <w:tcPr>
            <w:tcW w:w="0" w:type="auto"/>
          </w:tcPr>
          <w:p w14:paraId="1DCE0D6C" w14:textId="77777777" w:rsidR="00EC74AD" w:rsidRPr="00FB4EFA" w:rsidRDefault="00EC74AD" w:rsidP="00863238">
            <w:pPr>
              <w:keepNext/>
              <w:spacing w:line="240" w:lineRule="auto"/>
              <w:jc w:val="right"/>
            </w:pPr>
            <w:r w:rsidRPr="00FB4EFA">
              <w:t>11 766</w:t>
            </w:r>
          </w:p>
        </w:tc>
        <w:tc>
          <w:tcPr>
            <w:tcW w:w="0" w:type="auto"/>
          </w:tcPr>
          <w:p w14:paraId="04E5A096" w14:textId="77777777" w:rsidR="00EC74AD" w:rsidRPr="00FB4EFA" w:rsidRDefault="00EC74AD" w:rsidP="00863238">
            <w:pPr>
              <w:keepNext/>
              <w:spacing w:line="240" w:lineRule="auto"/>
            </w:pPr>
            <w:r w:rsidRPr="00FB4EFA">
              <w:rPr>
                <w:i/>
                <w:iCs/>
              </w:rPr>
              <w:t>jahinaine</w:t>
            </w:r>
          </w:p>
        </w:tc>
        <w:tc>
          <w:tcPr>
            <w:tcW w:w="0" w:type="auto"/>
          </w:tcPr>
          <w:p w14:paraId="784E3E61" w14:textId="77777777" w:rsidR="00EC74AD" w:rsidRPr="00FB4EFA" w:rsidRDefault="00EC74AD" w:rsidP="00863238">
            <w:pPr>
              <w:keepNext/>
              <w:spacing w:line="240" w:lineRule="auto"/>
              <w:jc w:val="right"/>
            </w:pPr>
            <w:r w:rsidRPr="00FB4EFA">
              <w:t>423</w:t>
            </w:r>
          </w:p>
        </w:tc>
        <w:tc>
          <w:tcPr>
            <w:tcW w:w="0" w:type="auto"/>
          </w:tcPr>
          <w:p w14:paraId="6CBC0FAA" w14:textId="77777777" w:rsidR="00EC74AD" w:rsidRPr="00FB4EFA" w:rsidRDefault="00EC74AD" w:rsidP="00863238">
            <w:pPr>
              <w:keepNext/>
              <w:spacing w:line="240" w:lineRule="auto"/>
            </w:pPr>
            <w:r w:rsidRPr="00FB4EFA">
              <w:t>F/M ratio 0.0360</w:t>
            </w:r>
          </w:p>
        </w:tc>
      </w:tr>
      <w:tr w:rsidR="00FB4EFA" w:rsidRPr="00FB4EFA" w14:paraId="3F601AA9" w14:textId="77777777" w:rsidTr="00EC74AD">
        <w:tc>
          <w:tcPr>
            <w:tcW w:w="0" w:type="auto"/>
          </w:tcPr>
          <w:p w14:paraId="120B1716" w14:textId="77777777" w:rsidR="00EC74AD" w:rsidRPr="00FB4EFA" w:rsidRDefault="00EC74AD" w:rsidP="00863238">
            <w:pPr>
              <w:keepNext/>
              <w:spacing w:line="240" w:lineRule="auto"/>
            </w:pPr>
            <w:r w:rsidRPr="00FB4EFA">
              <w:rPr>
                <w:i/>
                <w:iCs/>
              </w:rPr>
              <w:t xml:space="preserve">esimees </w:t>
            </w:r>
            <w:r w:rsidRPr="00FB4EFA">
              <w:t>‘chairman’</w:t>
            </w:r>
          </w:p>
        </w:tc>
        <w:tc>
          <w:tcPr>
            <w:tcW w:w="0" w:type="auto"/>
          </w:tcPr>
          <w:p w14:paraId="4E817511" w14:textId="77777777" w:rsidR="00EC74AD" w:rsidRPr="00FB4EFA" w:rsidRDefault="00EC74AD" w:rsidP="00863238">
            <w:pPr>
              <w:keepNext/>
              <w:spacing w:line="240" w:lineRule="auto"/>
              <w:jc w:val="right"/>
            </w:pPr>
            <w:r w:rsidRPr="00FB4EFA">
              <w:t>91 466</w:t>
            </w:r>
          </w:p>
        </w:tc>
        <w:tc>
          <w:tcPr>
            <w:tcW w:w="0" w:type="auto"/>
          </w:tcPr>
          <w:p w14:paraId="5774F15B" w14:textId="77777777" w:rsidR="00EC74AD" w:rsidRPr="00FB4EFA" w:rsidRDefault="00EC74AD" w:rsidP="00863238">
            <w:pPr>
              <w:keepNext/>
              <w:spacing w:line="240" w:lineRule="auto"/>
            </w:pPr>
            <w:r w:rsidRPr="00FB4EFA">
              <w:rPr>
                <w:i/>
                <w:iCs/>
              </w:rPr>
              <w:t>esinaine</w:t>
            </w:r>
          </w:p>
        </w:tc>
        <w:tc>
          <w:tcPr>
            <w:tcW w:w="0" w:type="auto"/>
          </w:tcPr>
          <w:p w14:paraId="3C5C0447" w14:textId="4C4BCBED" w:rsidR="00EC74AD" w:rsidRPr="00FB4EFA" w:rsidRDefault="00EC74AD" w:rsidP="00863238">
            <w:pPr>
              <w:keepNext/>
              <w:spacing w:line="240" w:lineRule="auto"/>
              <w:jc w:val="right"/>
            </w:pPr>
            <w:r w:rsidRPr="00FB4EFA">
              <w:t>2</w:t>
            </w:r>
            <w:r w:rsidR="00565CC1">
              <w:t xml:space="preserve"> </w:t>
            </w:r>
            <w:r w:rsidRPr="00FB4EFA">
              <w:t>758</w:t>
            </w:r>
          </w:p>
        </w:tc>
        <w:tc>
          <w:tcPr>
            <w:tcW w:w="0" w:type="auto"/>
          </w:tcPr>
          <w:p w14:paraId="311CF7ED" w14:textId="77777777" w:rsidR="00EC74AD" w:rsidRPr="00FB4EFA" w:rsidRDefault="00EC74AD" w:rsidP="00863238">
            <w:pPr>
              <w:keepNext/>
              <w:spacing w:line="240" w:lineRule="auto"/>
            </w:pPr>
            <w:r w:rsidRPr="00FB4EFA">
              <w:t>F/M ratio 0.0302</w:t>
            </w:r>
          </w:p>
        </w:tc>
      </w:tr>
      <w:tr w:rsidR="00FB4EFA" w:rsidRPr="00FB4EFA" w14:paraId="3405BB3D" w14:textId="77777777" w:rsidTr="00EC74AD">
        <w:tc>
          <w:tcPr>
            <w:tcW w:w="0" w:type="auto"/>
          </w:tcPr>
          <w:p w14:paraId="64EB9DE2" w14:textId="77777777" w:rsidR="00EC74AD" w:rsidRPr="00FB4EFA" w:rsidRDefault="00EC74AD" w:rsidP="00863238">
            <w:pPr>
              <w:spacing w:line="240" w:lineRule="auto"/>
            </w:pPr>
            <w:r w:rsidRPr="00FB4EFA">
              <w:rPr>
                <w:i/>
                <w:iCs/>
              </w:rPr>
              <w:t xml:space="preserve">kalamees </w:t>
            </w:r>
            <w:r w:rsidRPr="00FB4EFA">
              <w:t>‘fisherman’</w:t>
            </w:r>
          </w:p>
        </w:tc>
        <w:tc>
          <w:tcPr>
            <w:tcW w:w="0" w:type="auto"/>
          </w:tcPr>
          <w:p w14:paraId="3E14D4CC" w14:textId="77777777" w:rsidR="00EC74AD" w:rsidRPr="00FB4EFA" w:rsidRDefault="00EC74AD" w:rsidP="00863238">
            <w:pPr>
              <w:spacing w:line="240" w:lineRule="auto"/>
              <w:jc w:val="right"/>
            </w:pPr>
            <w:r w:rsidRPr="00FB4EFA">
              <w:t>5 146</w:t>
            </w:r>
          </w:p>
        </w:tc>
        <w:tc>
          <w:tcPr>
            <w:tcW w:w="0" w:type="auto"/>
          </w:tcPr>
          <w:p w14:paraId="40346CF4" w14:textId="77777777" w:rsidR="00EC74AD" w:rsidRPr="00FB4EFA" w:rsidRDefault="00EC74AD" w:rsidP="00863238">
            <w:pPr>
              <w:spacing w:line="240" w:lineRule="auto"/>
            </w:pPr>
            <w:r w:rsidRPr="00FB4EFA">
              <w:rPr>
                <w:i/>
                <w:iCs/>
              </w:rPr>
              <w:t>kalanaine</w:t>
            </w:r>
          </w:p>
        </w:tc>
        <w:tc>
          <w:tcPr>
            <w:tcW w:w="0" w:type="auto"/>
          </w:tcPr>
          <w:p w14:paraId="36449420" w14:textId="77777777" w:rsidR="00EC74AD" w:rsidRPr="00FB4EFA" w:rsidRDefault="00EC74AD" w:rsidP="00863238">
            <w:pPr>
              <w:spacing w:line="240" w:lineRule="auto"/>
              <w:jc w:val="right"/>
            </w:pPr>
            <w:r w:rsidRPr="00FB4EFA">
              <w:t>16</w:t>
            </w:r>
          </w:p>
        </w:tc>
        <w:tc>
          <w:tcPr>
            <w:tcW w:w="0" w:type="auto"/>
          </w:tcPr>
          <w:p w14:paraId="7FF34E09" w14:textId="77777777" w:rsidR="00EC74AD" w:rsidRPr="00FB4EFA" w:rsidRDefault="00EC74AD" w:rsidP="00863238">
            <w:pPr>
              <w:spacing w:line="240" w:lineRule="auto"/>
            </w:pPr>
            <w:r w:rsidRPr="00FB4EFA">
              <w:t>F/M ratio 0.0031</w:t>
            </w:r>
          </w:p>
        </w:tc>
      </w:tr>
    </w:tbl>
    <w:p w14:paraId="5AECD253" w14:textId="77777777" w:rsidR="00EC74AD" w:rsidRPr="00FB4EFA" w:rsidRDefault="00EC74AD" w:rsidP="002752AF">
      <w:pPr>
        <w:spacing w:before="240"/>
        <w:rPr>
          <w:lang w:val="en-US"/>
        </w:rPr>
      </w:pPr>
      <w:r w:rsidRPr="00FB4EFA">
        <w:rPr>
          <w:lang w:val="en-US"/>
        </w:rPr>
        <w:t xml:space="preserve">As can be seen, the feminine/masculine ratio for </w:t>
      </w:r>
      <w:r w:rsidRPr="00FB4EFA">
        <w:rPr>
          <w:i/>
          <w:iCs/>
          <w:lang w:val="en-US"/>
        </w:rPr>
        <w:t>kalamees</w:t>
      </w:r>
      <w:r w:rsidRPr="00FB4EFA">
        <w:rPr>
          <w:lang w:val="en-US"/>
        </w:rPr>
        <w:t>/</w:t>
      </w:r>
      <w:r w:rsidRPr="00FB4EFA">
        <w:rPr>
          <w:i/>
          <w:iCs/>
          <w:lang w:val="en-US"/>
        </w:rPr>
        <w:t>kalanaine</w:t>
      </w:r>
      <w:r w:rsidRPr="00FB4EFA">
        <w:rPr>
          <w:lang w:val="en-US"/>
        </w:rPr>
        <w:t xml:space="preserve"> is much lower than for the other two jobs. A possible explanation for this might be the existence of at least two gender-neutral terms for fisherman, </w:t>
      </w:r>
      <w:r w:rsidRPr="00FB4EFA">
        <w:rPr>
          <w:i/>
          <w:iCs/>
          <w:lang w:val="en-US"/>
        </w:rPr>
        <w:t xml:space="preserve">kalur </w:t>
      </w:r>
      <w:r w:rsidRPr="00FB4EFA">
        <w:rPr>
          <w:lang w:val="en-US"/>
        </w:rPr>
        <w:t>and</w:t>
      </w:r>
      <w:r w:rsidRPr="00FB4EFA">
        <w:rPr>
          <w:i/>
          <w:iCs/>
          <w:lang w:val="en-US"/>
        </w:rPr>
        <w:t xml:space="preserve"> kalastaja</w:t>
      </w:r>
      <w:r w:rsidRPr="00FB4EFA">
        <w:rPr>
          <w:lang w:val="en-US"/>
        </w:rPr>
        <w:t xml:space="preserve"> ‘fisher’, which do not contain an inherently masculine part and are relatively frequent (5074 and 954 occurrences in the corpus, respectively).</w:t>
      </w:r>
    </w:p>
    <w:p w14:paraId="4A4D98B6" w14:textId="5AC2B975" w:rsidR="00EC74AD" w:rsidRPr="00FB4EFA" w:rsidRDefault="00EC74AD" w:rsidP="002752AF">
      <w:pPr>
        <w:spacing w:after="120"/>
        <w:ind w:firstLine="720"/>
        <w:rPr>
          <w:lang w:val="en-US"/>
        </w:rPr>
      </w:pPr>
      <w:r w:rsidRPr="00FB4EFA">
        <w:rPr>
          <w:lang w:val="en-US"/>
        </w:rPr>
        <w:t>As mentioned earlier, there is good evidence that these job titles are usually seen as gender</w:t>
      </w:r>
      <w:r w:rsidR="00125E62" w:rsidRPr="00FB4EFA">
        <w:rPr>
          <w:lang w:val="en-US"/>
        </w:rPr>
        <w:t xml:space="preserve"> </w:t>
      </w:r>
      <w:r w:rsidRPr="00FB4EFA">
        <w:rPr>
          <w:lang w:val="en-US"/>
        </w:rPr>
        <w:t xml:space="preserve">neutral by native speakers despite containing an overtly masculine element. For instance, both Finnish and Estonian speakers who filled in our questionnaire used the words containing the part </w:t>
      </w:r>
      <w:r w:rsidRPr="00FB4EFA">
        <w:rPr>
          <w:i/>
          <w:iCs/>
          <w:lang w:val="en-US"/>
        </w:rPr>
        <w:noBreakHyphen/>
        <w:t>mies</w:t>
      </w:r>
      <w:r w:rsidRPr="00FB4EFA">
        <w:rPr>
          <w:lang w:val="en-US"/>
        </w:rPr>
        <w:t>/</w:t>
      </w:r>
      <w:r w:rsidRPr="00FB4EFA">
        <w:rPr>
          <w:i/>
          <w:iCs/>
          <w:lang w:val="en-US"/>
        </w:rPr>
        <w:noBreakHyphen/>
        <w:t>mees</w:t>
      </w:r>
      <w:r w:rsidRPr="00FB4EFA">
        <w:rPr>
          <w:lang w:val="en-US"/>
        </w:rPr>
        <w:t xml:space="preserve"> to refer both to the job in general and to men and women doing the job. In fact, the respective words with the part </w:t>
      </w:r>
      <w:r w:rsidRPr="00FB4EFA">
        <w:rPr>
          <w:i/>
          <w:iCs/>
          <w:lang w:val="en-US"/>
        </w:rPr>
        <w:noBreakHyphen/>
        <w:t>nainen</w:t>
      </w:r>
      <w:r w:rsidRPr="00FB4EFA">
        <w:rPr>
          <w:lang w:val="en-US"/>
        </w:rPr>
        <w:t>/</w:t>
      </w:r>
      <w:r w:rsidRPr="00FB4EFA">
        <w:rPr>
          <w:i/>
          <w:iCs/>
          <w:lang w:val="en-US"/>
        </w:rPr>
        <w:noBreakHyphen/>
        <w:t>naine</w:t>
      </w:r>
      <w:r w:rsidRPr="00FB4EFA">
        <w:rPr>
          <w:lang w:val="en-US"/>
        </w:rPr>
        <w:t xml:space="preserve"> were hardly ever suggested, even to refer to women. The same tendency is observed in the corpus data: judging from the context, words containing the masculine part are widely used with female referents. For example, Kaja Kallas, the current (female) prime minister of Estonia and head of the Estonian Reform Party, is referred to as </w:t>
      </w:r>
      <w:r w:rsidRPr="00FB4EFA">
        <w:rPr>
          <w:i/>
          <w:iCs/>
          <w:lang w:val="en-US"/>
        </w:rPr>
        <w:t>esimees</w:t>
      </w:r>
      <w:r w:rsidRPr="00FB4EFA">
        <w:rPr>
          <w:lang w:val="en-US"/>
        </w:rPr>
        <w:t xml:space="preserve"> ‘chairman, leader’ 527 times in our data. This is quite in line with the recommendations of the Estonian Language Institute (Eesti Keele Instituut; </w:t>
      </w:r>
      <w:r w:rsidRPr="00FB4EFA">
        <w:rPr>
          <w:lang w:val="en-US"/>
        </w:rPr>
        <w:lastRenderedPageBreak/>
        <w:t xml:space="preserve">see, </w:t>
      </w:r>
      <w:r w:rsidR="00466236" w:rsidRPr="00FB4EFA">
        <w:rPr>
          <w:lang w:val="en-US"/>
        </w:rPr>
        <w:t>e.g., </w:t>
      </w:r>
      <w:r w:rsidRPr="00FB4EFA">
        <w:rPr>
          <w:lang w:val="en-US"/>
        </w:rPr>
        <w:t>AMSS</w:t>
      </w:r>
      <w:r w:rsidRPr="00FB4EFA">
        <w:rPr>
          <w:vertAlign w:val="superscript"/>
        </w:rPr>
        <w:footnoteReference w:id="149"/>
      </w:r>
      <w:r w:rsidRPr="00FB4EFA">
        <w:rPr>
          <w:lang w:val="en-US"/>
        </w:rPr>
        <w:t xml:space="preserve">), which state that </w:t>
      </w:r>
      <w:r w:rsidRPr="00FB4EFA">
        <w:rPr>
          <w:i/>
          <w:iCs/>
          <w:lang w:val="en-US"/>
        </w:rPr>
        <w:t xml:space="preserve">esinaine </w:t>
      </w:r>
      <w:r w:rsidRPr="00FB4EFA">
        <w:rPr>
          <w:lang w:val="en-US"/>
        </w:rPr>
        <w:t xml:space="preserve">‘female chairman, leader’ should only be used if a woman is the leader of an entirely female organization, association or society as illustrated by example (1). However, the actual use is not entirely in accordance with this recommendation. Even though the Estonian Reform Party has male and female members, Kaja Kallas is sometimes referred to as the </w:t>
      </w:r>
      <w:r w:rsidRPr="00FB4EFA">
        <w:rPr>
          <w:i/>
          <w:iCs/>
          <w:lang w:val="en-US"/>
        </w:rPr>
        <w:t>esinaine</w:t>
      </w:r>
      <w:r w:rsidRPr="00FB4EFA">
        <w:rPr>
          <w:lang w:val="en-US"/>
        </w:rPr>
        <w:t xml:space="preserve"> of the party, as in example (2) and 87 other examples.</w:t>
      </w:r>
    </w:p>
    <w:p w14:paraId="1DE860CD" w14:textId="0384B283" w:rsidR="00EC74AD" w:rsidRPr="00FB4EFA" w:rsidRDefault="00EC74AD" w:rsidP="00F700B0">
      <w:pPr>
        <w:spacing w:before="240" w:line="240" w:lineRule="auto"/>
        <w:ind w:left="705" w:hanging="705"/>
        <w:jc w:val="left"/>
        <w:rPr>
          <w:lang w:val="fi-FI"/>
        </w:rPr>
      </w:pPr>
      <w:r w:rsidRPr="00FB4EFA">
        <w:rPr>
          <w:lang w:val="fi-FI"/>
        </w:rPr>
        <w:t>(1)</w:t>
      </w:r>
      <w:r w:rsidRPr="00FB4EFA">
        <w:rPr>
          <w:lang w:val="fi-FI"/>
        </w:rPr>
        <w:tab/>
      </w:r>
      <w:r w:rsidRPr="00FB4EFA">
        <w:rPr>
          <w:i/>
          <w:iCs/>
          <w:lang w:val="fi-FI"/>
        </w:rPr>
        <w:t xml:space="preserve">Kas sa tead, mis on Naiskodukaitse </w:t>
      </w:r>
      <w:r w:rsidRPr="00FB4EFA">
        <w:rPr>
          <w:b/>
          <w:bCs/>
          <w:i/>
          <w:iCs/>
          <w:lang w:val="fi-FI"/>
        </w:rPr>
        <w:t>esinaise</w:t>
      </w:r>
      <w:r w:rsidRPr="00FB4EFA">
        <w:rPr>
          <w:i/>
          <w:iCs/>
          <w:lang w:val="fi-FI"/>
        </w:rPr>
        <w:t xml:space="preserve"> nimi?</w:t>
      </w:r>
      <w:r w:rsidRPr="00FB4EFA">
        <w:rPr>
          <w:i/>
          <w:iCs/>
          <w:lang w:val="fi-FI"/>
        </w:rPr>
        <w:br/>
      </w:r>
      <w:r w:rsidRPr="00FB4EFA">
        <w:rPr>
          <w:lang w:val="en-US"/>
        </w:rPr>
        <w:t xml:space="preserve">‘Do you know who’s the </w:t>
      </w:r>
      <w:r w:rsidRPr="00FB4EFA">
        <w:rPr>
          <w:b/>
          <w:bCs/>
          <w:lang w:val="en-US"/>
        </w:rPr>
        <w:t xml:space="preserve">(female) leader </w:t>
      </w:r>
      <w:r w:rsidRPr="00FB4EFA">
        <w:rPr>
          <w:lang w:val="en-US"/>
        </w:rPr>
        <w:t>of the Women</w:t>
      </w:r>
      <w:r w:rsidR="007C5960" w:rsidRPr="00FB4EFA">
        <w:rPr>
          <w:lang w:val="en-US"/>
        </w:rPr>
        <w:t>’</w:t>
      </w:r>
      <w:r w:rsidRPr="00FB4EFA">
        <w:rPr>
          <w:lang w:val="en-US"/>
        </w:rPr>
        <w:t xml:space="preserve">s voluntary defence organization?’ </w:t>
      </w:r>
      <w:r w:rsidRPr="00FB4EFA">
        <w:rPr>
          <w:lang w:val="fi-FI"/>
        </w:rPr>
        <w:t>(etTenTen19)</w:t>
      </w:r>
    </w:p>
    <w:p w14:paraId="76D6546A" w14:textId="77777777" w:rsidR="00EC74AD" w:rsidRPr="00FB4EFA" w:rsidRDefault="00EC74AD" w:rsidP="00F700B0">
      <w:pPr>
        <w:spacing w:before="240" w:line="240" w:lineRule="auto"/>
        <w:ind w:left="709" w:hanging="709"/>
        <w:jc w:val="left"/>
        <w:rPr>
          <w:lang w:val="en-US"/>
        </w:rPr>
      </w:pPr>
      <w:r w:rsidRPr="00FB4EFA">
        <w:rPr>
          <w:lang w:val="fi-FI"/>
        </w:rPr>
        <w:t>(2)</w:t>
      </w:r>
      <w:r w:rsidRPr="00FB4EFA">
        <w:rPr>
          <w:lang w:val="fi-FI"/>
        </w:rPr>
        <w:tab/>
      </w:r>
      <w:r w:rsidRPr="00FB4EFA">
        <w:rPr>
          <w:i/>
          <w:iCs/>
          <w:lang w:val="fi-FI"/>
        </w:rPr>
        <w:t xml:space="preserve">Reformierakond valis laupäeval Tallinnas toimunud üldkogul erakonna </w:t>
      </w:r>
      <w:r w:rsidRPr="00FB4EFA">
        <w:rPr>
          <w:b/>
          <w:bCs/>
          <w:i/>
          <w:iCs/>
          <w:lang w:val="fi-FI"/>
        </w:rPr>
        <w:t xml:space="preserve">esinaiseks </w:t>
      </w:r>
      <w:r w:rsidRPr="00FB4EFA">
        <w:rPr>
          <w:i/>
          <w:iCs/>
          <w:lang w:val="fi-FI"/>
        </w:rPr>
        <w:t>Kaja Kallase 1067 poolthäälega.</w:t>
      </w:r>
      <w:r w:rsidRPr="00FB4EFA">
        <w:rPr>
          <w:i/>
          <w:iCs/>
          <w:lang w:val="fi-FI"/>
        </w:rPr>
        <w:br/>
      </w:r>
      <w:r w:rsidRPr="00FB4EFA">
        <w:rPr>
          <w:lang w:val="en-US"/>
        </w:rPr>
        <w:t xml:space="preserve">‘At their general assembly in Tallinn last Saturday, the Estonian Reform Party chose Kaja Kallas as their </w:t>
      </w:r>
      <w:r w:rsidRPr="00FB4EFA">
        <w:rPr>
          <w:b/>
          <w:bCs/>
          <w:lang w:val="en-US"/>
        </w:rPr>
        <w:t xml:space="preserve">(female) leader </w:t>
      </w:r>
      <w:r w:rsidRPr="00FB4EFA">
        <w:rPr>
          <w:lang w:val="en-US"/>
        </w:rPr>
        <w:t>with 1067 votes in favour.’ (etTenTen19)</w:t>
      </w:r>
    </w:p>
    <w:p w14:paraId="17714C57" w14:textId="22AF9926" w:rsidR="00EC74AD" w:rsidRPr="00FB4EFA" w:rsidRDefault="00EC74AD" w:rsidP="002752AF">
      <w:pPr>
        <w:spacing w:before="240" w:after="240"/>
        <w:rPr>
          <w:lang w:val="en-US"/>
        </w:rPr>
      </w:pPr>
      <w:r w:rsidRPr="00FB4EFA">
        <w:rPr>
          <w:lang w:val="en-US"/>
        </w:rPr>
        <w:t xml:space="preserve">Another reason to see the words ending </w:t>
      </w:r>
      <w:r w:rsidR="003B02E6" w:rsidRPr="00FB4EFA">
        <w:rPr>
          <w:lang w:val="en-US"/>
        </w:rPr>
        <w:t>in</w:t>
      </w:r>
      <w:r w:rsidRPr="00FB4EFA">
        <w:rPr>
          <w:lang w:val="en-US"/>
        </w:rPr>
        <w:t xml:space="preserve"> </w:t>
      </w:r>
      <w:r w:rsidRPr="00FB4EFA">
        <w:rPr>
          <w:i/>
          <w:iCs/>
          <w:lang w:val="en-US"/>
        </w:rPr>
        <w:noBreakHyphen/>
        <w:t>mies</w:t>
      </w:r>
      <w:r w:rsidRPr="00FB4EFA">
        <w:rPr>
          <w:lang w:val="en-US"/>
        </w:rPr>
        <w:t>/</w:t>
      </w:r>
      <w:r w:rsidRPr="00FB4EFA">
        <w:rPr>
          <w:i/>
          <w:iCs/>
          <w:lang w:val="en-US"/>
        </w:rPr>
        <w:noBreakHyphen/>
        <w:t xml:space="preserve">mees </w:t>
      </w:r>
      <w:r w:rsidRPr="00FB4EFA">
        <w:rPr>
          <w:lang w:val="en-US"/>
        </w:rPr>
        <w:t>as gender</w:t>
      </w:r>
      <w:r w:rsidR="00125E62" w:rsidRPr="00FB4EFA">
        <w:rPr>
          <w:lang w:val="en-US"/>
        </w:rPr>
        <w:t xml:space="preserve"> </w:t>
      </w:r>
      <w:r w:rsidRPr="00FB4EFA">
        <w:rPr>
          <w:lang w:val="en-US"/>
        </w:rPr>
        <w:t xml:space="preserve">neutral is that they can be modified using other strategies in order to form gendered job titles. For example, in the Finnish corpus, the words </w:t>
      </w:r>
      <w:r w:rsidRPr="00FB4EFA">
        <w:rPr>
          <w:i/>
          <w:iCs/>
          <w:lang w:val="en-US"/>
        </w:rPr>
        <w:t>naisesimies</w:t>
      </w:r>
      <w:r w:rsidRPr="00FB4EFA">
        <w:rPr>
          <w:lang w:val="en-US"/>
        </w:rPr>
        <w:t xml:space="preserve"> ‘female superior, boss’, </w:t>
      </w:r>
      <w:r w:rsidRPr="00FB4EFA">
        <w:rPr>
          <w:i/>
          <w:iCs/>
          <w:lang w:val="en-US"/>
        </w:rPr>
        <w:t>naisvarusmies</w:t>
      </w:r>
      <w:r w:rsidRPr="00FB4EFA">
        <w:rPr>
          <w:lang w:val="en-US"/>
        </w:rPr>
        <w:t xml:space="preserve"> ‘female soldier’ and </w:t>
      </w:r>
      <w:r w:rsidRPr="00FB4EFA">
        <w:rPr>
          <w:i/>
          <w:iCs/>
          <w:lang w:val="en-US"/>
        </w:rPr>
        <w:t>naispalomies</w:t>
      </w:r>
      <w:r w:rsidRPr="00FB4EFA">
        <w:rPr>
          <w:lang w:val="en-US"/>
        </w:rPr>
        <w:t xml:space="preserve"> ‘female firefighter’ had 213, 84 and 15 occurrences, respectively. Moreover, the word </w:t>
      </w:r>
      <w:r w:rsidRPr="00FB4EFA">
        <w:rPr>
          <w:i/>
          <w:iCs/>
          <w:lang w:val="en-US"/>
        </w:rPr>
        <w:t>miesesimies</w:t>
      </w:r>
      <w:r w:rsidRPr="00FB4EFA">
        <w:rPr>
          <w:lang w:val="en-US"/>
        </w:rPr>
        <w:t xml:space="preserve"> ‘male superior, boss’, which is formally tautological, is attested 55 times; see example (3).</w:t>
      </w:r>
    </w:p>
    <w:p w14:paraId="708A5362" w14:textId="77777777" w:rsidR="00EC74AD" w:rsidRPr="00FB4EFA" w:rsidRDefault="00EC74AD" w:rsidP="00F700B0">
      <w:pPr>
        <w:spacing w:line="240" w:lineRule="auto"/>
        <w:ind w:left="709" w:hanging="709"/>
        <w:jc w:val="left"/>
        <w:rPr>
          <w:lang w:val="en-US"/>
        </w:rPr>
      </w:pPr>
      <w:r w:rsidRPr="00FB4EFA">
        <w:rPr>
          <w:lang w:val="fi-FI"/>
        </w:rPr>
        <w:t>(3)</w:t>
      </w:r>
      <w:r w:rsidRPr="00FB4EFA">
        <w:rPr>
          <w:lang w:val="fi-FI"/>
        </w:rPr>
        <w:tab/>
      </w:r>
      <w:r w:rsidRPr="00FB4EFA">
        <w:rPr>
          <w:i/>
          <w:iCs/>
          <w:lang w:val="fi-FI"/>
        </w:rPr>
        <w:t xml:space="preserve">Lisäksi, kun yrityshierarkiassa mennään ylöspäin, niin </w:t>
      </w:r>
      <w:r w:rsidRPr="00FB4EFA">
        <w:rPr>
          <w:b/>
          <w:bCs/>
          <w:i/>
          <w:iCs/>
          <w:lang w:val="fi-FI"/>
        </w:rPr>
        <w:t>miesesimiehiähän</w:t>
      </w:r>
      <w:r w:rsidRPr="00FB4EFA">
        <w:rPr>
          <w:i/>
          <w:iCs/>
          <w:lang w:val="fi-FI"/>
        </w:rPr>
        <w:t xml:space="preserve"> siellä alkaa tulla vastaan.</w:t>
      </w:r>
      <w:r w:rsidRPr="00FB4EFA">
        <w:rPr>
          <w:lang w:val="fi-FI"/>
        </w:rPr>
        <w:br/>
      </w:r>
      <w:r w:rsidRPr="00FB4EFA">
        <w:rPr>
          <w:lang w:val="en-US"/>
        </w:rPr>
        <w:t xml:space="preserve">‘In addition, when you go up the company hierarchy, you start to encounter </w:t>
      </w:r>
      <w:r w:rsidRPr="00FB4EFA">
        <w:rPr>
          <w:b/>
          <w:bCs/>
          <w:lang w:val="en-US"/>
        </w:rPr>
        <w:t>male bosses</w:t>
      </w:r>
      <w:r w:rsidRPr="00FB4EFA">
        <w:rPr>
          <w:lang w:val="en-US"/>
        </w:rPr>
        <w:t xml:space="preserve"> there.’ (Suomi24)</w:t>
      </w:r>
    </w:p>
    <w:p w14:paraId="05ADD622" w14:textId="48AE22B3" w:rsidR="00EC74AD" w:rsidRPr="00FB4EFA" w:rsidRDefault="00EC74AD" w:rsidP="00AF0CAD">
      <w:pPr>
        <w:spacing w:before="240"/>
        <w:rPr>
          <w:lang w:val="en-US"/>
        </w:rPr>
      </w:pPr>
      <w:r w:rsidRPr="00FB4EFA">
        <w:rPr>
          <w:lang w:val="en-US"/>
        </w:rPr>
        <w:t xml:space="preserve">Despite the gender neutrality of the job titles ending </w:t>
      </w:r>
      <w:r w:rsidR="003B02E6" w:rsidRPr="00FB4EFA">
        <w:rPr>
          <w:lang w:val="en-US"/>
        </w:rPr>
        <w:t>in</w:t>
      </w:r>
      <w:r w:rsidR="0039345E" w:rsidRPr="00FB4EFA">
        <w:rPr>
          <w:lang w:val="en-US"/>
        </w:rPr>
        <w:t xml:space="preserve"> </w:t>
      </w:r>
      <w:r w:rsidRPr="00FB4EFA">
        <w:rPr>
          <w:i/>
          <w:iCs/>
          <w:lang w:val="en-US"/>
        </w:rPr>
        <w:noBreakHyphen/>
        <w:t>mies</w:t>
      </w:r>
      <w:r w:rsidRPr="00FB4EFA">
        <w:rPr>
          <w:lang w:val="en-US"/>
        </w:rPr>
        <w:t xml:space="preserve"> ‘man’, in Finnish, for some of these jobs there is yet another gender-neutral option containing the part </w:t>
      </w:r>
      <w:r w:rsidRPr="00FB4EFA">
        <w:rPr>
          <w:i/>
          <w:iCs/>
          <w:lang w:val="en-US"/>
        </w:rPr>
        <w:noBreakHyphen/>
        <w:t>henkilö</w:t>
      </w:r>
      <w:r w:rsidRPr="00FB4EFA">
        <w:rPr>
          <w:lang w:val="en-US"/>
        </w:rPr>
        <w:t xml:space="preserve"> ‘person’ instead of </w:t>
      </w:r>
      <w:r w:rsidRPr="00FB4EFA">
        <w:rPr>
          <w:i/>
          <w:iCs/>
          <w:lang w:val="en-US"/>
        </w:rPr>
        <w:t>-mies</w:t>
      </w:r>
      <w:r w:rsidRPr="00FB4EFA">
        <w:rPr>
          <w:lang w:val="en-US"/>
        </w:rPr>
        <w:t>. There has been quite a lot of discussion around these variants in terms of gender equality in recent years (</w:t>
      </w:r>
      <w:r w:rsidR="00466236" w:rsidRPr="00FB4EFA">
        <w:rPr>
          <w:lang w:val="en-US"/>
        </w:rPr>
        <w:t>e.g.,</w:t>
      </w:r>
      <w:r w:rsidR="006524EE" w:rsidRPr="00FB4EFA">
        <w:rPr>
          <w:lang w:val="en-US"/>
        </w:rPr>
        <w:t xml:space="preserve"> </w:t>
      </w:r>
      <w:hyperlink r:id="rId413" w:history="1">
        <w:r w:rsidR="00F700B0" w:rsidRPr="00FB4EFA">
          <w:rPr>
            <w:rStyle w:val="Hyperlink"/>
            <w:rFonts w:eastAsia="Calibri" w:cs="Calibri"/>
            <w:color w:val="auto"/>
            <w:lang w:val="en-GB" w:eastAsia="en-GB"/>
          </w:rPr>
          <w:t>www.helsinginuutiset.fi/paikalliset/1805575</w:t>
        </w:r>
      </w:hyperlink>
      <w:r w:rsidRPr="00FB4EFA">
        <w:rPr>
          <w:lang w:val="en-US"/>
        </w:rPr>
        <w:t>), and yet</w:t>
      </w:r>
      <w:r w:rsidR="00D879AD" w:rsidRPr="00FB4EFA">
        <w:rPr>
          <w:lang w:val="en-US"/>
        </w:rPr>
        <w:t>,</w:t>
      </w:r>
      <w:r w:rsidRPr="00FB4EFA">
        <w:rPr>
          <w:lang w:val="en-US"/>
        </w:rPr>
        <w:t xml:space="preserve"> in the corpus from 2001</w:t>
      </w:r>
      <w:r w:rsidR="00D879AD" w:rsidRPr="00FB4EFA">
        <w:rPr>
          <w:lang w:val="en-US"/>
        </w:rPr>
        <w:t xml:space="preserve"> to </w:t>
      </w:r>
      <w:r w:rsidRPr="00FB4EFA">
        <w:rPr>
          <w:lang w:val="en-US"/>
        </w:rPr>
        <w:t xml:space="preserve">2017 surveyed for this study, they are </w:t>
      </w:r>
      <w:r w:rsidRPr="00FB4EFA">
        <w:rPr>
          <w:lang w:val="en-US"/>
        </w:rPr>
        <w:lastRenderedPageBreak/>
        <w:t xml:space="preserve">roughly as frequent or even less frequent than the feminine forms: </w:t>
      </w:r>
      <w:r w:rsidR="00AC2528" w:rsidRPr="00FB4EFA">
        <w:rPr>
          <w:lang w:val="en-US"/>
        </w:rPr>
        <w:br/>
      </w:r>
      <w:r w:rsidRPr="00FB4EFA">
        <w:rPr>
          <w:i/>
          <w:iCs/>
          <w:lang w:val="en-US"/>
        </w:rPr>
        <w:t>esihenkilö</w:t>
      </w:r>
      <w:r w:rsidRPr="00FB4EFA">
        <w:rPr>
          <w:lang w:val="en-US"/>
        </w:rPr>
        <w:t xml:space="preserve"> ‘boss’ </w:t>
      </w:r>
      <w:r w:rsidR="00A62A6B" w:rsidRPr="00FB4EFA">
        <w:rPr>
          <w:lang w:val="en-US"/>
        </w:rPr>
        <w:t>–</w:t>
      </w:r>
      <w:r w:rsidRPr="00FB4EFA">
        <w:rPr>
          <w:lang w:val="en-US"/>
        </w:rPr>
        <w:t xml:space="preserve"> 114 occurrences, </w:t>
      </w:r>
      <w:r w:rsidRPr="00FB4EFA">
        <w:rPr>
          <w:i/>
          <w:iCs/>
          <w:lang w:val="en-US"/>
        </w:rPr>
        <w:t>varushenkilö</w:t>
      </w:r>
      <w:r w:rsidRPr="00FB4EFA">
        <w:rPr>
          <w:lang w:val="en-US"/>
        </w:rPr>
        <w:t xml:space="preserve"> ‘soldier’ </w:t>
      </w:r>
      <w:r w:rsidR="00A62A6B" w:rsidRPr="00FB4EFA">
        <w:rPr>
          <w:lang w:val="en-US"/>
        </w:rPr>
        <w:t>–</w:t>
      </w:r>
      <w:r w:rsidRPr="00FB4EFA">
        <w:rPr>
          <w:lang w:val="en-US"/>
        </w:rPr>
        <w:t xml:space="preserve"> 69, </w:t>
      </w:r>
      <w:r w:rsidR="00AC2528" w:rsidRPr="00FB4EFA">
        <w:rPr>
          <w:lang w:val="en-US"/>
        </w:rPr>
        <w:br/>
      </w:r>
      <w:r w:rsidRPr="00FB4EFA">
        <w:rPr>
          <w:i/>
          <w:iCs/>
          <w:lang w:val="en-US"/>
        </w:rPr>
        <w:t>palohenkilö</w:t>
      </w:r>
      <w:r w:rsidRPr="00FB4EFA">
        <w:rPr>
          <w:lang w:val="en-US"/>
        </w:rPr>
        <w:t xml:space="preserve"> ‘firefighter’ </w:t>
      </w:r>
      <w:r w:rsidR="00A62A6B" w:rsidRPr="00FB4EFA">
        <w:rPr>
          <w:lang w:val="en-US"/>
        </w:rPr>
        <w:t>–</w:t>
      </w:r>
      <w:r w:rsidRPr="00FB4EFA">
        <w:rPr>
          <w:lang w:val="en-US"/>
        </w:rPr>
        <w:t xml:space="preserve"> 35, </w:t>
      </w:r>
      <w:r w:rsidRPr="00FB4EFA">
        <w:rPr>
          <w:i/>
          <w:iCs/>
          <w:lang w:val="en-US"/>
        </w:rPr>
        <w:t>postihenkilö</w:t>
      </w:r>
      <w:r w:rsidRPr="00FB4EFA">
        <w:rPr>
          <w:lang w:val="en-US"/>
        </w:rPr>
        <w:t xml:space="preserve"> ‘postman’ </w:t>
      </w:r>
      <w:r w:rsidR="00A62A6B" w:rsidRPr="00FB4EFA">
        <w:rPr>
          <w:lang w:val="en-US"/>
        </w:rPr>
        <w:t>–</w:t>
      </w:r>
      <w:r w:rsidRPr="00FB4EFA">
        <w:rPr>
          <w:lang w:val="en-US"/>
        </w:rPr>
        <w:t xml:space="preserve"> 16, </w:t>
      </w:r>
      <w:r w:rsidRPr="00FB4EFA">
        <w:rPr>
          <w:i/>
          <w:iCs/>
          <w:lang w:val="en-US"/>
        </w:rPr>
        <w:t>sotahenkilö</w:t>
      </w:r>
      <w:r w:rsidRPr="00FB4EFA">
        <w:rPr>
          <w:lang w:val="en-US"/>
        </w:rPr>
        <w:t xml:space="preserve"> ‘soldier’ </w:t>
      </w:r>
      <w:r w:rsidR="00A62A6B" w:rsidRPr="00FB4EFA">
        <w:rPr>
          <w:lang w:val="en-US"/>
        </w:rPr>
        <w:t>–</w:t>
      </w:r>
      <w:r w:rsidRPr="00FB4EFA">
        <w:rPr>
          <w:lang w:val="en-US"/>
        </w:rPr>
        <w:t xml:space="preserve"> 13.</w:t>
      </w:r>
    </w:p>
    <w:p w14:paraId="78FC8FD2" w14:textId="3F11141C" w:rsidR="00EC74AD" w:rsidRPr="00FB4EFA" w:rsidRDefault="00EC74AD" w:rsidP="002752AF">
      <w:pPr>
        <w:ind w:firstLine="720"/>
        <w:rPr>
          <w:lang w:val="en-US"/>
        </w:rPr>
      </w:pPr>
      <w:r w:rsidRPr="00FB4EFA">
        <w:rPr>
          <w:lang w:val="en-US"/>
        </w:rPr>
        <w:t xml:space="preserve">In Aanaar Saami, on the other hand, the inherently neutral version is more common than the feminine one. There is only one job title in our data in which the gendered part </w:t>
      </w:r>
      <w:r w:rsidRPr="00FB4EFA">
        <w:rPr>
          <w:i/>
          <w:iCs/>
          <w:lang w:val="en-US"/>
        </w:rPr>
        <w:noBreakHyphen/>
        <w:t>almai</w:t>
      </w:r>
      <w:r w:rsidRPr="00FB4EFA">
        <w:rPr>
          <w:lang w:val="en-US"/>
        </w:rPr>
        <w:t xml:space="preserve"> ‘man’ is replaced by its feminine counterpart, </w:t>
      </w:r>
      <w:r w:rsidRPr="00FB4EFA">
        <w:rPr>
          <w:i/>
          <w:iCs/>
          <w:lang w:val="en-US"/>
        </w:rPr>
        <w:noBreakHyphen/>
        <w:t>nissoon</w:t>
      </w:r>
      <w:r w:rsidRPr="00FB4EFA">
        <w:rPr>
          <w:lang w:val="en-US"/>
        </w:rPr>
        <w:t xml:space="preserve"> ‘woman’. This job title is ‘public officer’, which occurs 34 times as </w:t>
      </w:r>
      <w:r w:rsidRPr="00FB4EFA">
        <w:rPr>
          <w:i/>
          <w:iCs/>
          <w:lang w:val="en-US"/>
        </w:rPr>
        <w:t>virgealmai</w:t>
      </w:r>
      <w:r w:rsidRPr="00FB4EFA">
        <w:rPr>
          <w:lang w:val="en-US"/>
        </w:rPr>
        <w:t xml:space="preserve"> ‘lit. office man’, 29 times as </w:t>
      </w:r>
      <w:r w:rsidRPr="00FB4EFA">
        <w:rPr>
          <w:i/>
          <w:iCs/>
          <w:lang w:val="en-US"/>
        </w:rPr>
        <w:t>virgeolmooš</w:t>
      </w:r>
      <w:r w:rsidRPr="00FB4EFA">
        <w:rPr>
          <w:lang w:val="en-US"/>
        </w:rPr>
        <w:t xml:space="preserve"> ‘lit. office person’ and only two times as </w:t>
      </w:r>
      <w:r w:rsidRPr="00FB4EFA">
        <w:rPr>
          <w:i/>
          <w:iCs/>
          <w:lang w:val="en-US"/>
        </w:rPr>
        <w:t>virgenissoon</w:t>
      </w:r>
      <w:r w:rsidRPr="00FB4EFA">
        <w:rPr>
          <w:lang w:val="en-US"/>
        </w:rPr>
        <w:t xml:space="preserve"> ‘lit. office woman’. For another job title, </w:t>
      </w:r>
      <w:r w:rsidRPr="00FB4EFA">
        <w:rPr>
          <w:i/>
          <w:iCs/>
          <w:lang w:val="en-US"/>
        </w:rPr>
        <w:t>ovdâalmai</w:t>
      </w:r>
      <w:r w:rsidRPr="00FB4EFA">
        <w:rPr>
          <w:lang w:val="en-US"/>
        </w:rPr>
        <w:t xml:space="preserve"> ‘foreman’, the variant </w:t>
      </w:r>
      <w:r w:rsidR="0039345E" w:rsidRPr="00FB4EFA">
        <w:rPr>
          <w:lang w:val="en-US"/>
        </w:rPr>
        <w:t xml:space="preserve">with </w:t>
      </w:r>
      <w:r w:rsidRPr="00FB4EFA">
        <w:rPr>
          <w:i/>
          <w:iCs/>
          <w:lang w:val="en-US"/>
        </w:rPr>
        <w:noBreakHyphen/>
        <w:t>olmooš</w:t>
      </w:r>
      <w:r w:rsidRPr="00FB4EFA">
        <w:rPr>
          <w:lang w:val="en-US"/>
        </w:rPr>
        <w:t xml:space="preserve"> ‘person’ (</w:t>
      </w:r>
      <w:r w:rsidRPr="00FB4EFA">
        <w:rPr>
          <w:i/>
          <w:iCs/>
          <w:lang w:val="en-US"/>
        </w:rPr>
        <w:t>ovdâolmooš</w:t>
      </w:r>
      <w:r w:rsidRPr="00FB4EFA">
        <w:rPr>
          <w:lang w:val="en-US"/>
        </w:rPr>
        <w:t xml:space="preserve">) was even slightly more frequent (10 occurrences) than the variant </w:t>
      </w:r>
      <w:r w:rsidR="0039345E" w:rsidRPr="00FB4EFA">
        <w:rPr>
          <w:lang w:val="en-US"/>
        </w:rPr>
        <w:t xml:space="preserve">with </w:t>
      </w:r>
      <w:r w:rsidRPr="00FB4EFA">
        <w:rPr>
          <w:i/>
          <w:iCs/>
          <w:lang w:val="en-US"/>
        </w:rPr>
        <w:noBreakHyphen/>
        <w:t>almai</w:t>
      </w:r>
      <w:r w:rsidRPr="00FB4EFA">
        <w:rPr>
          <w:lang w:val="en-US"/>
        </w:rPr>
        <w:t xml:space="preserve"> ‘man’ (8 occurrences). For two other job titles </w:t>
      </w:r>
      <w:r w:rsidR="00D879AD" w:rsidRPr="00FB4EFA">
        <w:rPr>
          <w:lang w:val="en-US"/>
        </w:rPr>
        <w:t>ending in</w:t>
      </w:r>
      <w:r w:rsidR="0039345E" w:rsidRPr="00FB4EFA">
        <w:rPr>
          <w:lang w:val="en-US"/>
        </w:rPr>
        <w:t xml:space="preserve"> </w:t>
      </w:r>
      <w:r w:rsidRPr="00FB4EFA">
        <w:rPr>
          <w:i/>
          <w:iCs/>
          <w:lang w:val="en-US"/>
        </w:rPr>
        <w:noBreakHyphen/>
        <w:t>almai</w:t>
      </w:r>
      <w:r w:rsidRPr="00FB4EFA">
        <w:rPr>
          <w:lang w:val="en-US"/>
        </w:rPr>
        <w:t xml:space="preserve"> ‘man’ found in our data, </w:t>
      </w:r>
      <w:r w:rsidRPr="00FB4EFA">
        <w:rPr>
          <w:i/>
          <w:iCs/>
          <w:lang w:val="en-US"/>
        </w:rPr>
        <w:t>puálualmai</w:t>
      </w:r>
      <w:r w:rsidRPr="00FB4EFA">
        <w:rPr>
          <w:lang w:val="en-US"/>
        </w:rPr>
        <w:t xml:space="preserve"> ‘firefighter’ and </w:t>
      </w:r>
      <w:r w:rsidRPr="00FB4EFA">
        <w:rPr>
          <w:i/>
          <w:iCs/>
          <w:lang w:val="en-US"/>
        </w:rPr>
        <w:t>suátialmai</w:t>
      </w:r>
      <w:r w:rsidRPr="00FB4EFA">
        <w:rPr>
          <w:lang w:val="en-US"/>
        </w:rPr>
        <w:t xml:space="preserve"> ‘soldier’, no other variant was attested.</w:t>
      </w:r>
    </w:p>
    <w:p w14:paraId="0C265158" w14:textId="09573754" w:rsidR="00EC74AD" w:rsidRPr="00FB4EFA" w:rsidRDefault="00EC74AD" w:rsidP="002752AF">
      <w:pPr>
        <w:ind w:firstLine="720"/>
        <w:rPr>
          <w:lang w:val="en-US"/>
        </w:rPr>
      </w:pPr>
      <w:r w:rsidRPr="00FB4EFA">
        <w:rPr>
          <w:lang w:val="en-US"/>
        </w:rPr>
        <w:t xml:space="preserve">Besides job titles ending </w:t>
      </w:r>
      <w:r w:rsidR="003B02E6" w:rsidRPr="00FB4EFA">
        <w:rPr>
          <w:lang w:val="en-US"/>
        </w:rPr>
        <w:t>in</w:t>
      </w:r>
      <w:r w:rsidR="0039345E" w:rsidRPr="00FB4EFA">
        <w:rPr>
          <w:lang w:val="en-US"/>
        </w:rPr>
        <w:t xml:space="preserve"> </w:t>
      </w:r>
      <w:r w:rsidRPr="00FB4EFA">
        <w:rPr>
          <w:i/>
          <w:iCs/>
          <w:lang w:val="en-US"/>
        </w:rPr>
        <w:noBreakHyphen/>
        <w:t>mees</w:t>
      </w:r>
      <w:r w:rsidRPr="00FB4EFA">
        <w:rPr>
          <w:lang w:val="en-US"/>
        </w:rPr>
        <w:t xml:space="preserve"> ‘man’, in Estonian we also find professions made of gendered kinship terms: </w:t>
      </w:r>
      <w:r w:rsidRPr="00FB4EFA">
        <w:rPr>
          <w:i/>
          <w:iCs/>
          <w:lang w:val="en-US"/>
        </w:rPr>
        <w:t>(med)õde</w:t>
      </w:r>
      <w:r w:rsidRPr="00FB4EFA">
        <w:rPr>
          <w:lang w:val="en-US"/>
        </w:rPr>
        <w:t xml:space="preserve"> ‘nurse’</w:t>
      </w:r>
      <w:r w:rsidRPr="00FB4EFA">
        <w:rPr>
          <w:vertAlign w:val="superscript"/>
        </w:rPr>
        <w:footnoteReference w:id="150"/>
      </w:r>
      <w:r w:rsidRPr="00FB4EFA">
        <w:rPr>
          <w:lang w:val="en-US"/>
        </w:rPr>
        <w:t xml:space="preserve"> from </w:t>
      </w:r>
      <w:r w:rsidRPr="00FB4EFA">
        <w:rPr>
          <w:i/>
          <w:iCs/>
          <w:lang w:val="en-US"/>
        </w:rPr>
        <w:t>õde</w:t>
      </w:r>
      <w:r w:rsidRPr="00FB4EFA">
        <w:rPr>
          <w:lang w:val="en-US"/>
        </w:rPr>
        <w:t xml:space="preserve"> ‘sister’, and </w:t>
      </w:r>
      <w:r w:rsidRPr="00FB4EFA">
        <w:rPr>
          <w:i/>
          <w:iCs/>
          <w:lang w:val="en-US"/>
        </w:rPr>
        <w:t>ämmaemand</w:t>
      </w:r>
      <w:r w:rsidRPr="00FB4EFA">
        <w:rPr>
          <w:lang w:val="en-US"/>
        </w:rPr>
        <w:t xml:space="preserve"> ‘midwife’, which is a compound of </w:t>
      </w:r>
      <w:r w:rsidRPr="00FB4EFA">
        <w:rPr>
          <w:i/>
          <w:iCs/>
          <w:lang w:val="en-US"/>
        </w:rPr>
        <w:t>ämm</w:t>
      </w:r>
      <w:r w:rsidRPr="00FB4EFA">
        <w:rPr>
          <w:lang w:val="en-US"/>
        </w:rPr>
        <w:t xml:space="preserve"> ‘mother-in-law’ and </w:t>
      </w:r>
      <w:r w:rsidRPr="00FB4EFA">
        <w:rPr>
          <w:i/>
          <w:iCs/>
          <w:lang w:val="en-US"/>
        </w:rPr>
        <w:t>emand</w:t>
      </w:r>
      <w:r w:rsidRPr="00FB4EFA">
        <w:rPr>
          <w:lang w:val="en-US"/>
        </w:rPr>
        <w:t xml:space="preserve"> ‘mistress, lady’ originating from </w:t>
      </w:r>
      <w:r w:rsidRPr="00FB4EFA">
        <w:rPr>
          <w:i/>
          <w:iCs/>
          <w:lang w:val="en-US"/>
        </w:rPr>
        <w:t>ema</w:t>
      </w:r>
      <w:r w:rsidRPr="00FB4EFA">
        <w:rPr>
          <w:lang w:val="en-US"/>
        </w:rPr>
        <w:t xml:space="preserve"> ‘mother’. In Finnish, a cognate word does not appear in job titles but is present in the word </w:t>
      </w:r>
      <w:r w:rsidRPr="00FB4EFA">
        <w:rPr>
          <w:i/>
          <w:iCs/>
          <w:lang w:val="en-US"/>
        </w:rPr>
        <w:t>emäntä</w:t>
      </w:r>
      <w:r w:rsidRPr="00FB4EFA">
        <w:rPr>
          <w:lang w:val="en-US"/>
        </w:rPr>
        <w:t xml:space="preserve"> ‘hostess’ whose masculine counterpart </w:t>
      </w:r>
      <w:r w:rsidRPr="00FB4EFA">
        <w:rPr>
          <w:i/>
          <w:iCs/>
          <w:lang w:val="en-US"/>
        </w:rPr>
        <w:t>isäntä</w:t>
      </w:r>
      <w:r w:rsidRPr="00FB4EFA">
        <w:rPr>
          <w:lang w:val="en-US"/>
        </w:rPr>
        <w:t xml:space="preserve"> ‘host’ is derived from the word </w:t>
      </w:r>
      <w:r w:rsidRPr="00FB4EFA">
        <w:rPr>
          <w:i/>
          <w:iCs/>
          <w:lang w:val="en-US"/>
        </w:rPr>
        <w:t>isä</w:t>
      </w:r>
      <w:r w:rsidRPr="00FB4EFA">
        <w:rPr>
          <w:lang w:val="en-US"/>
        </w:rPr>
        <w:t xml:space="preserve"> ‘father’.</w:t>
      </w:r>
    </w:p>
    <w:p w14:paraId="350B5FBB" w14:textId="207EBF94" w:rsidR="00EC74AD" w:rsidRPr="00FB4EFA" w:rsidRDefault="00EC74AD" w:rsidP="00AF0CAD">
      <w:pPr>
        <w:ind w:firstLine="720"/>
        <w:rPr>
          <w:lang w:val="en-US"/>
        </w:rPr>
      </w:pPr>
      <w:r w:rsidRPr="00FB4EFA">
        <w:rPr>
          <w:lang w:val="en-US"/>
        </w:rPr>
        <w:t xml:space="preserve">In the Estonian corpus, there are some occurrences where the latter part of the compounds </w:t>
      </w:r>
      <w:r w:rsidRPr="00FB4EFA">
        <w:rPr>
          <w:i/>
          <w:iCs/>
          <w:lang w:val="en-US"/>
        </w:rPr>
        <w:t>medõde</w:t>
      </w:r>
      <w:r w:rsidRPr="00FB4EFA">
        <w:rPr>
          <w:lang w:val="en-US"/>
        </w:rPr>
        <w:t xml:space="preserve"> and </w:t>
      </w:r>
      <w:r w:rsidRPr="00FB4EFA">
        <w:rPr>
          <w:i/>
          <w:iCs/>
          <w:lang w:val="en-US"/>
        </w:rPr>
        <w:t>ämmaemand</w:t>
      </w:r>
      <w:r w:rsidRPr="00FB4EFA">
        <w:rPr>
          <w:lang w:val="en-US"/>
        </w:rPr>
        <w:t xml:space="preserve"> is replaced by its male counterparts, i.e.</w:t>
      </w:r>
      <w:r w:rsidR="00F700B0" w:rsidRPr="00FB4EFA">
        <w:rPr>
          <w:lang w:val="en-US"/>
        </w:rPr>
        <w:t>,</w:t>
      </w:r>
      <w:r w:rsidRPr="00FB4EFA">
        <w:rPr>
          <w:lang w:val="en-US"/>
        </w:rPr>
        <w:t xml:space="preserve"> </w:t>
      </w:r>
      <w:r w:rsidRPr="00FB4EFA">
        <w:rPr>
          <w:i/>
          <w:iCs/>
          <w:lang w:val="en-US"/>
        </w:rPr>
        <w:t>medvend</w:t>
      </w:r>
      <w:r w:rsidRPr="00FB4EFA">
        <w:rPr>
          <w:lang w:val="en-US"/>
        </w:rPr>
        <w:t xml:space="preserve"> ‘male nurse’ from </w:t>
      </w:r>
      <w:r w:rsidRPr="00FB4EFA">
        <w:rPr>
          <w:i/>
          <w:iCs/>
          <w:lang w:val="en-US"/>
        </w:rPr>
        <w:t>vend</w:t>
      </w:r>
      <w:r w:rsidRPr="00FB4EFA">
        <w:rPr>
          <w:lang w:val="en-US"/>
        </w:rPr>
        <w:t xml:space="preserve"> ‘brother’ and </w:t>
      </w:r>
      <w:r w:rsidRPr="00FB4EFA">
        <w:rPr>
          <w:i/>
          <w:iCs/>
          <w:lang w:val="en-US"/>
        </w:rPr>
        <w:t>ämmaisand</w:t>
      </w:r>
      <w:r w:rsidRPr="00FB4EFA">
        <w:rPr>
          <w:lang w:val="en-US"/>
        </w:rPr>
        <w:t xml:space="preserve"> ‘male midwife’ from </w:t>
      </w:r>
      <w:r w:rsidRPr="00FB4EFA">
        <w:rPr>
          <w:i/>
          <w:iCs/>
          <w:lang w:val="en-US"/>
        </w:rPr>
        <w:t>isand</w:t>
      </w:r>
      <w:r w:rsidRPr="00FB4EFA">
        <w:rPr>
          <w:lang w:val="en-US"/>
        </w:rPr>
        <w:t xml:space="preserve"> ‘master, lord’ (&lt; </w:t>
      </w:r>
      <w:r w:rsidRPr="00FB4EFA">
        <w:rPr>
          <w:i/>
          <w:iCs/>
          <w:lang w:val="en-US"/>
        </w:rPr>
        <w:t>isa</w:t>
      </w:r>
      <w:r w:rsidRPr="00FB4EFA">
        <w:rPr>
          <w:lang w:val="en-US"/>
        </w:rPr>
        <w:t xml:space="preserve"> ‘father’). However, the consulted Estonian native speakers considered both general job titles, </w:t>
      </w:r>
      <w:r w:rsidRPr="00FB4EFA">
        <w:rPr>
          <w:i/>
          <w:iCs/>
          <w:lang w:val="en-US"/>
        </w:rPr>
        <w:t>(med)õde</w:t>
      </w:r>
      <w:r w:rsidRPr="00FB4EFA">
        <w:rPr>
          <w:lang w:val="en-US"/>
        </w:rPr>
        <w:t xml:space="preserve"> and </w:t>
      </w:r>
      <w:r w:rsidRPr="00FB4EFA">
        <w:rPr>
          <w:i/>
          <w:iCs/>
          <w:lang w:val="en-US"/>
        </w:rPr>
        <w:t>ämmaemand</w:t>
      </w:r>
      <w:r w:rsidRPr="00FB4EFA">
        <w:rPr>
          <w:lang w:val="en-US"/>
        </w:rPr>
        <w:t>, to be gender</w:t>
      </w:r>
      <w:r w:rsidR="00125E62" w:rsidRPr="00FB4EFA">
        <w:rPr>
          <w:lang w:val="en-US"/>
        </w:rPr>
        <w:t xml:space="preserve"> </w:t>
      </w:r>
      <w:r w:rsidRPr="00FB4EFA">
        <w:rPr>
          <w:lang w:val="en-US"/>
        </w:rPr>
        <w:t xml:space="preserve">neutral and commonly used for men, too. Moreover, the corpus data (etTenTen19) suggest that the use of the gender-specific male counterparts </w:t>
      </w:r>
      <w:r w:rsidRPr="00FB4EFA">
        <w:rPr>
          <w:i/>
          <w:iCs/>
          <w:lang w:val="en-US"/>
        </w:rPr>
        <w:t>medvend</w:t>
      </w:r>
      <w:r w:rsidRPr="00FB4EFA">
        <w:rPr>
          <w:lang w:val="en-US"/>
        </w:rPr>
        <w:t xml:space="preserve"> and </w:t>
      </w:r>
      <w:r w:rsidR="00AC2528" w:rsidRPr="00FB4EFA">
        <w:rPr>
          <w:lang w:val="en-US"/>
        </w:rPr>
        <w:br/>
      </w:r>
      <w:r w:rsidRPr="00FB4EFA">
        <w:rPr>
          <w:i/>
          <w:iCs/>
          <w:lang w:val="en-US"/>
        </w:rPr>
        <w:t>ämmaisand</w:t>
      </w:r>
      <w:r w:rsidRPr="00FB4EFA">
        <w:rPr>
          <w:lang w:val="en-US"/>
        </w:rPr>
        <w:t xml:space="preserve"> is scarce: </w:t>
      </w:r>
      <w:r w:rsidRPr="00FB4EFA">
        <w:rPr>
          <w:i/>
          <w:iCs/>
          <w:lang w:val="en-US"/>
        </w:rPr>
        <w:t>medvend</w:t>
      </w:r>
      <w:r w:rsidRPr="00FB4EFA">
        <w:rPr>
          <w:lang w:val="en-US"/>
        </w:rPr>
        <w:t xml:space="preserve"> appeared 39 times in the corpus (as opposed to 887 occurrences of </w:t>
      </w:r>
      <w:r w:rsidRPr="00FB4EFA">
        <w:rPr>
          <w:i/>
          <w:iCs/>
          <w:lang w:val="en-US"/>
        </w:rPr>
        <w:t>medõde</w:t>
      </w:r>
      <w:r w:rsidRPr="00FB4EFA">
        <w:rPr>
          <w:lang w:val="en-US"/>
        </w:rPr>
        <w:t xml:space="preserve">) and </w:t>
      </w:r>
      <w:r w:rsidRPr="00FB4EFA">
        <w:rPr>
          <w:i/>
          <w:iCs/>
          <w:lang w:val="en-US"/>
        </w:rPr>
        <w:t>ämmaisand</w:t>
      </w:r>
      <w:r w:rsidRPr="00FB4EFA">
        <w:rPr>
          <w:lang w:val="en-US"/>
        </w:rPr>
        <w:t xml:space="preserve"> only three times (as opposed to 4</w:t>
      </w:r>
      <w:r w:rsidR="003B02E6" w:rsidRPr="00FB4EFA">
        <w:rPr>
          <w:lang w:val="en-US"/>
        </w:rPr>
        <w:t> </w:t>
      </w:r>
      <w:r w:rsidRPr="00FB4EFA">
        <w:rPr>
          <w:lang w:val="en-US"/>
        </w:rPr>
        <w:t xml:space="preserve">146 occurrences of </w:t>
      </w:r>
      <w:r w:rsidRPr="00FB4EFA">
        <w:rPr>
          <w:i/>
          <w:iCs/>
          <w:lang w:val="en-US"/>
        </w:rPr>
        <w:t>ämmaemand</w:t>
      </w:r>
      <w:r w:rsidRPr="00FB4EFA">
        <w:rPr>
          <w:lang w:val="en-US"/>
        </w:rPr>
        <w:t>).</w:t>
      </w:r>
    </w:p>
    <w:p w14:paraId="10645CB5" w14:textId="377EAE9A" w:rsidR="00EC74AD" w:rsidRPr="00FB4EFA" w:rsidRDefault="00EC74AD" w:rsidP="00AF0CAD">
      <w:pPr>
        <w:spacing w:after="240"/>
        <w:ind w:firstLine="720"/>
        <w:rPr>
          <w:lang w:val="en-US"/>
        </w:rPr>
      </w:pPr>
      <w:r w:rsidRPr="00FB4EFA">
        <w:rPr>
          <w:lang w:val="en-US"/>
        </w:rPr>
        <w:lastRenderedPageBreak/>
        <w:t xml:space="preserve">In the corpus, we found no occurrences in which both parts of the compound </w:t>
      </w:r>
      <w:r w:rsidRPr="00FB4EFA">
        <w:rPr>
          <w:i/>
          <w:iCs/>
          <w:lang w:val="en-US"/>
        </w:rPr>
        <w:t>ämmaemand</w:t>
      </w:r>
      <w:r w:rsidRPr="00FB4EFA">
        <w:rPr>
          <w:lang w:val="en-US"/>
        </w:rPr>
        <w:t xml:space="preserve"> ‘midwife (mother-in-law+mistress)’ would be substituted by their male counterparts. An </w:t>
      </w:r>
      <w:r w:rsidR="004974D7" w:rsidRPr="00FB4EFA">
        <w:rPr>
          <w:lang w:val="en-US"/>
        </w:rPr>
        <w:t>I</w:t>
      </w:r>
      <w:r w:rsidRPr="00FB4EFA">
        <w:rPr>
          <w:lang w:val="en-US"/>
        </w:rPr>
        <w:t xml:space="preserve">nternet search did give very few results in which </w:t>
      </w:r>
      <w:r w:rsidRPr="00FB4EFA">
        <w:rPr>
          <w:i/>
          <w:iCs/>
          <w:lang w:val="en-US"/>
        </w:rPr>
        <w:t>äiaisand</w:t>
      </w:r>
      <w:r w:rsidRPr="00FB4EFA">
        <w:rPr>
          <w:lang w:val="en-US"/>
        </w:rPr>
        <w:t xml:space="preserve"> (from </w:t>
      </w:r>
      <w:r w:rsidRPr="00FB4EFA">
        <w:rPr>
          <w:i/>
          <w:iCs/>
          <w:lang w:val="en-US"/>
        </w:rPr>
        <w:t>äi</w:t>
      </w:r>
      <w:r w:rsidRPr="00FB4EFA">
        <w:rPr>
          <w:lang w:val="en-US"/>
        </w:rPr>
        <w:t xml:space="preserve"> ‘father-in-law’ and </w:t>
      </w:r>
      <w:r w:rsidRPr="00FB4EFA">
        <w:rPr>
          <w:i/>
          <w:iCs/>
          <w:lang w:val="en-US"/>
        </w:rPr>
        <w:t>isand</w:t>
      </w:r>
      <w:r w:rsidRPr="00FB4EFA">
        <w:rPr>
          <w:lang w:val="en-US"/>
        </w:rPr>
        <w:t xml:space="preserve"> ‘master’) appeared. However, as illustrated by example (4) below, the word </w:t>
      </w:r>
      <w:r w:rsidR="00AC2528" w:rsidRPr="00FB4EFA">
        <w:rPr>
          <w:lang w:val="en-US"/>
        </w:rPr>
        <w:br/>
      </w:r>
      <w:r w:rsidRPr="00FB4EFA">
        <w:rPr>
          <w:i/>
          <w:iCs/>
          <w:lang w:val="en-US"/>
        </w:rPr>
        <w:t>äiaisand</w:t>
      </w:r>
      <w:r w:rsidRPr="00FB4EFA">
        <w:rPr>
          <w:lang w:val="en-US"/>
        </w:rPr>
        <w:t xml:space="preserve"> typically occurred in discussions regarding the job title of a </w:t>
      </w:r>
      <w:r w:rsidR="00F662F9" w:rsidRPr="00FB4EFA">
        <w:rPr>
          <w:lang w:val="en-US"/>
        </w:rPr>
        <w:br/>
      </w:r>
      <w:r w:rsidRPr="00FB4EFA">
        <w:rPr>
          <w:lang w:val="en-US"/>
        </w:rPr>
        <w:t>male midwife.</w:t>
      </w:r>
    </w:p>
    <w:p w14:paraId="26168371" w14:textId="125DC709" w:rsidR="00841624" w:rsidRPr="00FB4EFA" w:rsidRDefault="00EC74AD" w:rsidP="00AF0CAD">
      <w:pPr>
        <w:tabs>
          <w:tab w:val="left" w:pos="709"/>
          <w:tab w:val="left" w:pos="1134"/>
        </w:tabs>
        <w:spacing w:line="240" w:lineRule="auto"/>
        <w:ind w:left="1134" w:hanging="1134"/>
        <w:jc w:val="left"/>
        <w:rPr>
          <w:lang w:val="en-US"/>
        </w:rPr>
      </w:pPr>
      <w:r w:rsidRPr="00FB4EFA">
        <w:rPr>
          <w:lang w:val="fi-FI"/>
        </w:rPr>
        <w:t>(4)</w:t>
      </w:r>
      <w:r w:rsidRPr="00FB4EFA">
        <w:rPr>
          <w:lang w:val="fi-FI"/>
        </w:rPr>
        <w:tab/>
        <w:t>A:</w:t>
      </w:r>
      <w:r w:rsidR="00841624" w:rsidRPr="00FB4EFA">
        <w:rPr>
          <w:lang w:val="fi-FI"/>
        </w:rPr>
        <w:tab/>
      </w:r>
      <w:r w:rsidRPr="00FB4EFA">
        <w:rPr>
          <w:i/>
          <w:iCs/>
          <w:lang w:val="fi-FI"/>
        </w:rPr>
        <w:t xml:space="preserve">Kui seda tööd teeb mees, kas siis on tema ametinimetus </w:t>
      </w:r>
      <w:r w:rsidR="00F662F9" w:rsidRPr="00FB4EFA">
        <w:rPr>
          <w:i/>
          <w:iCs/>
          <w:lang w:val="fi-FI"/>
        </w:rPr>
        <w:br/>
      </w:r>
      <w:r w:rsidRPr="00FB4EFA">
        <w:rPr>
          <w:b/>
          <w:bCs/>
          <w:i/>
          <w:iCs/>
          <w:lang w:val="fi-FI"/>
        </w:rPr>
        <w:t>ämmaisand</w:t>
      </w:r>
      <w:r w:rsidRPr="00FB4EFA">
        <w:rPr>
          <w:i/>
          <w:iCs/>
          <w:lang w:val="fi-FI"/>
        </w:rPr>
        <w:t>?</w:t>
      </w:r>
      <w:r w:rsidRPr="00FB4EFA">
        <w:rPr>
          <w:i/>
          <w:iCs/>
          <w:lang w:val="fi-FI"/>
        </w:rPr>
        <w:br/>
      </w:r>
      <w:r w:rsidRPr="00FB4EFA">
        <w:rPr>
          <w:lang w:val="en-US"/>
        </w:rPr>
        <w:t>‘If this work is done by a man, is the title of his profession then</w:t>
      </w:r>
      <w:r w:rsidRPr="00FB4EFA">
        <w:rPr>
          <w:b/>
          <w:bCs/>
          <w:lang w:val="en-US"/>
        </w:rPr>
        <w:t xml:space="preserve"> male midwife (lit. mother-in-law + master)?</w:t>
      </w:r>
    </w:p>
    <w:p w14:paraId="75454213" w14:textId="5B3435D6" w:rsidR="00EC74AD" w:rsidRPr="00FB4EFA" w:rsidRDefault="00841624" w:rsidP="002752AF">
      <w:pPr>
        <w:keepLines/>
        <w:tabs>
          <w:tab w:val="left" w:pos="709"/>
          <w:tab w:val="left" w:pos="1134"/>
        </w:tabs>
        <w:spacing w:line="240" w:lineRule="auto"/>
        <w:ind w:left="1134" w:hanging="1134"/>
        <w:jc w:val="left"/>
        <w:rPr>
          <w:lang w:val="en-US"/>
        </w:rPr>
      </w:pPr>
      <w:r w:rsidRPr="00FB4EFA">
        <w:rPr>
          <w:lang w:val="en-US"/>
        </w:rPr>
        <w:tab/>
      </w:r>
      <w:r w:rsidR="00EC74AD" w:rsidRPr="00FB4EFA">
        <w:rPr>
          <w:lang w:val="en-US"/>
        </w:rPr>
        <w:t>B:</w:t>
      </w:r>
      <w:r w:rsidRPr="00FB4EFA">
        <w:rPr>
          <w:lang w:val="fi-FI"/>
        </w:rPr>
        <w:t xml:space="preserve"> </w:t>
      </w:r>
      <w:r w:rsidRPr="00FB4EFA">
        <w:rPr>
          <w:lang w:val="fi-FI"/>
        </w:rPr>
        <w:tab/>
      </w:r>
      <w:r w:rsidR="00EC74AD" w:rsidRPr="00FB4EFA">
        <w:rPr>
          <w:i/>
          <w:iCs/>
          <w:lang w:val="en-US"/>
        </w:rPr>
        <w:t xml:space="preserve">Ei, </w:t>
      </w:r>
      <w:r w:rsidR="00EC74AD" w:rsidRPr="00FB4EFA">
        <w:rPr>
          <w:b/>
          <w:bCs/>
          <w:i/>
          <w:iCs/>
          <w:lang w:val="en-US"/>
        </w:rPr>
        <w:t>äiaisand</w:t>
      </w:r>
      <w:r w:rsidR="00EC74AD" w:rsidRPr="00FB4EFA">
        <w:rPr>
          <w:i/>
          <w:iCs/>
          <w:lang w:val="en-US"/>
        </w:rPr>
        <w:t xml:space="preserve"> ikka!</w:t>
      </w:r>
      <w:r w:rsidR="00EC74AD" w:rsidRPr="00FB4EFA">
        <w:rPr>
          <w:i/>
          <w:iCs/>
          <w:lang w:val="en-US"/>
        </w:rPr>
        <w:br/>
      </w:r>
      <w:r w:rsidR="00EC74AD" w:rsidRPr="00FB4EFA">
        <w:rPr>
          <w:lang w:val="en-US"/>
        </w:rPr>
        <w:t xml:space="preserve">‘No, of course it’s </w:t>
      </w:r>
      <w:r w:rsidR="00EC74AD" w:rsidRPr="00FB4EFA">
        <w:rPr>
          <w:b/>
          <w:bCs/>
          <w:lang w:val="en-US"/>
        </w:rPr>
        <w:t>male</w:t>
      </w:r>
      <w:r w:rsidR="00EC74AD" w:rsidRPr="00FB4EFA">
        <w:rPr>
          <w:lang w:val="en-US"/>
        </w:rPr>
        <w:t xml:space="preserve"> </w:t>
      </w:r>
      <w:r w:rsidR="00EC74AD" w:rsidRPr="00FB4EFA">
        <w:rPr>
          <w:b/>
          <w:bCs/>
          <w:lang w:val="en-US"/>
        </w:rPr>
        <w:t xml:space="preserve">midwife </w:t>
      </w:r>
      <w:r w:rsidR="00F700B0" w:rsidRPr="00FB4EFA">
        <w:rPr>
          <w:b/>
          <w:bCs/>
          <w:lang w:val="en-US"/>
        </w:rPr>
        <w:br/>
      </w:r>
      <w:r w:rsidR="00EC74AD" w:rsidRPr="00FB4EFA">
        <w:rPr>
          <w:b/>
          <w:bCs/>
          <w:lang w:val="en-US"/>
        </w:rPr>
        <w:t>(lit. father-in-law+master)</w:t>
      </w:r>
      <w:r w:rsidR="00EC74AD" w:rsidRPr="00FB4EFA">
        <w:rPr>
          <w:lang w:val="en-US"/>
        </w:rPr>
        <w:t>!’</w:t>
      </w:r>
      <w:r w:rsidR="00EC74AD" w:rsidRPr="00FB4EFA">
        <w:rPr>
          <w:lang w:val="en-US"/>
        </w:rPr>
        <w:br/>
        <w:t>(</w:t>
      </w:r>
      <w:hyperlink r:id="rId414" w:history="1">
        <w:r w:rsidRPr="00FB4EFA">
          <w:rPr>
            <w:u w:val="single"/>
            <w:lang w:val="en-US"/>
          </w:rPr>
          <w:t>foorum.naistekas.delfi.ee/</w:t>
        </w:r>
      </w:hyperlink>
      <w:r w:rsidR="00EC74AD" w:rsidRPr="00FB4EFA">
        <w:rPr>
          <w:lang w:val="en-US"/>
        </w:rPr>
        <w:t>)</w:t>
      </w:r>
    </w:p>
    <w:p w14:paraId="7D04C730" w14:textId="7C5206A6" w:rsidR="00EC74AD" w:rsidRPr="00FB4EFA" w:rsidRDefault="00EC74AD" w:rsidP="002752AF">
      <w:pPr>
        <w:spacing w:before="240"/>
        <w:rPr>
          <w:lang w:val="mi-NZ"/>
        </w:rPr>
      </w:pPr>
      <w:r w:rsidRPr="00FB4EFA">
        <w:rPr>
          <w:lang w:val="en-IE"/>
        </w:rPr>
        <w:t xml:space="preserve">The strategy outlined above is also marginally present in Meadow Mari. The word </w:t>
      </w:r>
      <w:r w:rsidRPr="00FB4EFA">
        <w:rPr>
          <w:rFonts w:cs="Cambria"/>
          <w:i/>
          <w:iCs/>
          <w:lang w:val="en-IE"/>
        </w:rPr>
        <w:t>медшӱжар</w:t>
      </w:r>
      <w:r w:rsidRPr="00FB4EFA">
        <w:rPr>
          <w:lang w:val="en-IE"/>
        </w:rPr>
        <w:t xml:space="preserve"> ‘nurse’, which the native speakers provided as a gender-neutral job title, contains </w:t>
      </w:r>
      <w:r w:rsidR="00D879AD" w:rsidRPr="00FB4EFA">
        <w:rPr>
          <w:lang w:val="en-IE"/>
        </w:rPr>
        <w:t>the</w:t>
      </w:r>
      <w:r w:rsidRPr="00FB4EFA">
        <w:rPr>
          <w:lang w:val="en-IE"/>
        </w:rPr>
        <w:t xml:space="preserve"> part </w:t>
      </w:r>
      <w:r w:rsidRPr="00FB4EFA">
        <w:rPr>
          <w:i/>
          <w:iCs/>
          <w:lang w:val="en-IE"/>
        </w:rPr>
        <w:noBreakHyphen/>
      </w:r>
      <w:r w:rsidRPr="00FB4EFA">
        <w:rPr>
          <w:rFonts w:cs="Cambria"/>
          <w:i/>
          <w:iCs/>
          <w:lang w:val="en-IE"/>
        </w:rPr>
        <w:t>шӱжар</w:t>
      </w:r>
      <w:r w:rsidRPr="00FB4EFA">
        <w:rPr>
          <w:lang w:val="en-IE"/>
        </w:rPr>
        <w:t xml:space="preserve"> meaning ‘</w:t>
      </w:r>
      <w:r w:rsidR="00256C20" w:rsidRPr="00FB4EFA">
        <w:rPr>
          <w:lang w:val="en-IE"/>
        </w:rPr>
        <w:t xml:space="preserve">younger </w:t>
      </w:r>
      <w:r w:rsidRPr="00FB4EFA">
        <w:rPr>
          <w:lang w:val="en-IE"/>
        </w:rPr>
        <w:t xml:space="preserve">sister’. One of our respondents mentioned </w:t>
      </w:r>
      <w:r w:rsidRPr="00FB4EFA">
        <w:rPr>
          <w:rFonts w:cs="Cambria"/>
          <w:i/>
          <w:iCs/>
          <w:lang w:val="en-IE"/>
        </w:rPr>
        <w:t>медиза</w:t>
      </w:r>
      <w:r w:rsidRPr="00FB4EFA">
        <w:rPr>
          <w:lang w:val="en-IE"/>
        </w:rPr>
        <w:t xml:space="preserve"> with a part </w:t>
      </w:r>
      <w:r w:rsidRPr="00FB4EFA">
        <w:rPr>
          <w:i/>
          <w:iCs/>
          <w:lang w:val="en-IE"/>
        </w:rPr>
        <w:noBreakHyphen/>
      </w:r>
      <w:r w:rsidRPr="00FB4EFA">
        <w:rPr>
          <w:rFonts w:cs="Cambria"/>
          <w:i/>
          <w:iCs/>
          <w:lang w:val="en-IE"/>
        </w:rPr>
        <w:t>иза</w:t>
      </w:r>
      <w:r w:rsidRPr="00FB4EFA">
        <w:rPr>
          <w:lang w:val="en-IE"/>
        </w:rPr>
        <w:t xml:space="preserve"> meaning ‘</w:t>
      </w:r>
      <w:r w:rsidR="00256C20" w:rsidRPr="00FB4EFA">
        <w:rPr>
          <w:lang w:val="en-IE"/>
        </w:rPr>
        <w:t xml:space="preserve">older </w:t>
      </w:r>
      <w:r w:rsidRPr="00FB4EFA">
        <w:rPr>
          <w:lang w:val="en-IE"/>
        </w:rPr>
        <w:t>brother’ as the male counterpart, although examples for this</w:t>
      </w:r>
      <w:r w:rsidR="00256C20" w:rsidRPr="00FB4EFA">
        <w:rPr>
          <w:lang w:val="en-IE"/>
        </w:rPr>
        <w:t xml:space="preserve"> (or </w:t>
      </w:r>
      <w:r w:rsidR="00DB7B0F" w:rsidRPr="00FB4EFA">
        <w:rPr>
          <w:lang w:val="en-IE"/>
        </w:rPr>
        <w:t xml:space="preserve">&lt; </w:t>
      </w:r>
      <w:r w:rsidR="00256C20" w:rsidRPr="00FB4EFA">
        <w:rPr>
          <w:i/>
          <w:iCs/>
          <w:lang w:val="en-IE"/>
        </w:rPr>
        <w:t>шольо</w:t>
      </w:r>
      <w:r w:rsidR="00256C20" w:rsidRPr="00FB4EFA">
        <w:rPr>
          <w:lang w:val="en-IE"/>
        </w:rPr>
        <w:t xml:space="preserve"> ‘younger brother’)</w:t>
      </w:r>
      <w:r w:rsidRPr="00FB4EFA">
        <w:rPr>
          <w:lang w:val="en-IE"/>
        </w:rPr>
        <w:t xml:space="preserve"> are not attested in the corpus. The corresponding Russian borrowing </w:t>
      </w:r>
      <w:r w:rsidRPr="00FB4EFA">
        <w:rPr>
          <w:rFonts w:cs="Cambria"/>
          <w:i/>
          <w:iCs/>
          <w:lang w:val="en-IE"/>
        </w:rPr>
        <w:t>медбрат</w:t>
      </w:r>
      <w:r w:rsidRPr="00FB4EFA">
        <w:rPr>
          <w:lang w:val="en-IE"/>
        </w:rPr>
        <w:t xml:space="preserve"> (&lt; </w:t>
      </w:r>
      <w:r w:rsidRPr="00FB4EFA">
        <w:rPr>
          <w:rFonts w:cs="Cambria"/>
          <w:i/>
          <w:iCs/>
          <w:lang w:val="en-IE"/>
        </w:rPr>
        <w:t>брат</w:t>
      </w:r>
      <w:r w:rsidRPr="00FB4EFA">
        <w:rPr>
          <w:lang w:val="en-IE"/>
        </w:rPr>
        <w:t xml:space="preserve"> ‘brother’) occurred once in the corpus, while the Russian borrowing </w:t>
      </w:r>
      <w:r w:rsidRPr="00FB4EFA">
        <w:rPr>
          <w:rFonts w:cs="Cambria"/>
          <w:i/>
          <w:iCs/>
          <w:lang w:val="en-IE"/>
        </w:rPr>
        <w:t>медсестра</w:t>
      </w:r>
      <w:r w:rsidRPr="00FB4EFA">
        <w:rPr>
          <w:lang w:val="en-IE"/>
        </w:rPr>
        <w:t xml:space="preserve"> (&lt; </w:t>
      </w:r>
      <w:r w:rsidRPr="00FB4EFA">
        <w:rPr>
          <w:rFonts w:cs="Cambria"/>
          <w:i/>
          <w:iCs/>
          <w:lang w:val="en-IE"/>
        </w:rPr>
        <w:t>сестра</w:t>
      </w:r>
      <w:r w:rsidR="003B02E6" w:rsidRPr="00FB4EFA">
        <w:rPr>
          <w:lang w:val="en-IE"/>
        </w:rPr>
        <w:t> </w:t>
      </w:r>
      <w:r w:rsidRPr="00FB4EFA">
        <w:rPr>
          <w:lang w:val="en-IE"/>
        </w:rPr>
        <w:t>‘sister’) had 445 occurrences.</w:t>
      </w:r>
      <w:r w:rsidR="00256C20" w:rsidRPr="00FB4EFA">
        <w:rPr>
          <w:lang w:val="en-IE"/>
        </w:rPr>
        <w:t xml:space="preserve"> Meanwhile there are 354 occurrences of </w:t>
      </w:r>
      <w:r w:rsidR="00256C20" w:rsidRPr="00FB4EFA">
        <w:rPr>
          <w:rFonts w:cs="Cambria"/>
          <w:i/>
          <w:iCs/>
          <w:lang w:val="en-IE"/>
        </w:rPr>
        <w:t>медшӱжар</w:t>
      </w:r>
      <w:r w:rsidR="00256C20" w:rsidRPr="00FB4EFA">
        <w:rPr>
          <w:rFonts w:cs="Cambria"/>
          <w:lang w:val="en-IE"/>
        </w:rPr>
        <w:t xml:space="preserve">, and </w:t>
      </w:r>
      <w:r w:rsidR="00DB7B0F" w:rsidRPr="00FB4EFA">
        <w:rPr>
          <w:rFonts w:cs="Cambria"/>
          <w:lang w:val="en-IE"/>
        </w:rPr>
        <w:t xml:space="preserve">also </w:t>
      </w:r>
      <w:r w:rsidR="00256C20" w:rsidRPr="00FB4EFA">
        <w:rPr>
          <w:rFonts w:cs="Cambria"/>
          <w:lang w:val="en-IE"/>
        </w:rPr>
        <w:t xml:space="preserve">two occurrences of </w:t>
      </w:r>
      <w:r w:rsidR="00256C20" w:rsidRPr="00FB4EFA">
        <w:rPr>
          <w:rFonts w:cs="Cambria"/>
          <w:i/>
          <w:iCs/>
          <w:lang w:val="mi-NZ"/>
        </w:rPr>
        <w:t>медака</w:t>
      </w:r>
      <w:r w:rsidR="00256C20" w:rsidRPr="00FB4EFA">
        <w:rPr>
          <w:rFonts w:cs="Cambria"/>
          <w:lang w:val="en-GB"/>
        </w:rPr>
        <w:t xml:space="preserve"> (</w:t>
      </w:r>
      <w:r w:rsidR="00DB7B0F" w:rsidRPr="00FB4EFA">
        <w:rPr>
          <w:rFonts w:cs="Cambria"/>
          <w:lang w:val="en-GB"/>
        </w:rPr>
        <w:t xml:space="preserve">&lt; </w:t>
      </w:r>
      <w:r w:rsidR="00256C20" w:rsidRPr="00FB4EFA">
        <w:rPr>
          <w:rFonts w:cs="Cambria"/>
          <w:i/>
          <w:iCs/>
          <w:lang w:val="en-GB"/>
        </w:rPr>
        <w:t>ака</w:t>
      </w:r>
      <w:r w:rsidR="00256C20" w:rsidRPr="00FB4EFA">
        <w:rPr>
          <w:rFonts w:cs="Cambria"/>
          <w:lang w:val="en-GB"/>
        </w:rPr>
        <w:t xml:space="preserve"> ‘older sister’).</w:t>
      </w:r>
    </w:p>
    <w:p w14:paraId="3B5A790B" w14:textId="57688FAB" w:rsidR="00EC74AD" w:rsidRPr="00FB4EFA" w:rsidRDefault="00EC74AD" w:rsidP="002752AF">
      <w:pPr>
        <w:pStyle w:val="Heading3"/>
        <w:numPr>
          <w:ilvl w:val="1"/>
          <w:numId w:val="20"/>
        </w:numPr>
        <w:spacing w:line="259" w:lineRule="auto"/>
      </w:pPr>
      <w:r w:rsidRPr="00FB4EFA">
        <w:t>The gender-neutral job title forms a compound with a gendered noun</w:t>
      </w:r>
    </w:p>
    <w:p w14:paraId="18E27789" w14:textId="77777777" w:rsidR="00EC74AD" w:rsidRPr="00FB4EFA" w:rsidRDefault="00EC74AD" w:rsidP="002752AF">
      <w:pPr>
        <w:rPr>
          <w:lang w:val="en-US"/>
        </w:rPr>
      </w:pPr>
      <w:r w:rsidRPr="00FB4EFA">
        <w:rPr>
          <w:lang w:val="en-US"/>
        </w:rPr>
        <w:t xml:space="preserve">All the languages considered in our study can create gendered job titles by adding a gendered noun to a gender-neutral job title. However, the languages differ in how common and regular this strategy is. For Hungarian, for example, it can be seen as the primary strategy. The gender-neutral forms of Hungarian job titles do not contain a gendered part, that is, such words as </w:t>
      </w:r>
      <w:r w:rsidRPr="00FB4EFA">
        <w:rPr>
          <w:i/>
          <w:iCs/>
          <w:lang w:val="en-US"/>
        </w:rPr>
        <w:t>tanár</w:t>
      </w:r>
      <w:r w:rsidRPr="00FB4EFA">
        <w:rPr>
          <w:lang w:val="en-US"/>
        </w:rPr>
        <w:t xml:space="preserve"> ‘teacher’ or </w:t>
      </w:r>
      <w:r w:rsidRPr="00FB4EFA">
        <w:rPr>
          <w:i/>
          <w:iCs/>
          <w:lang w:val="en-US"/>
        </w:rPr>
        <w:t>szakács</w:t>
      </w:r>
      <w:r w:rsidRPr="00FB4EFA">
        <w:rPr>
          <w:lang w:val="en-US"/>
        </w:rPr>
        <w:t xml:space="preserve"> ‘cook’ can be used for both men and women. However, by adding the word </w:t>
      </w:r>
      <w:r w:rsidRPr="00FB4EFA">
        <w:rPr>
          <w:i/>
          <w:iCs/>
          <w:lang w:val="en-US"/>
        </w:rPr>
        <w:t>n</w:t>
      </w:r>
      <w:r w:rsidRPr="00FB4EFA">
        <w:rPr>
          <w:rFonts w:cs="Cambria"/>
          <w:i/>
          <w:iCs/>
          <w:lang w:val="en-US"/>
        </w:rPr>
        <w:t>ő</w:t>
      </w:r>
      <w:r w:rsidRPr="00FB4EFA">
        <w:rPr>
          <w:lang w:val="en-US"/>
        </w:rPr>
        <w:t xml:space="preserve"> ‘woman’ to them it is possible to create a feminine variant.</w:t>
      </w:r>
    </w:p>
    <w:p w14:paraId="431082C2" w14:textId="07343314" w:rsidR="00EC74AD" w:rsidRPr="00FB4EFA" w:rsidRDefault="00EC74AD" w:rsidP="002752AF">
      <w:pPr>
        <w:spacing w:after="240"/>
        <w:ind w:firstLine="720"/>
        <w:rPr>
          <w:lang w:val="en-US"/>
        </w:rPr>
      </w:pPr>
      <w:r w:rsidRPr="00FB4EFA">
        <w:rPr>
          <w:lang w:val="en-US"/>
        </w:rPr>
        <w:lastRenderedPageBreak/>
        <w:t xml:space="preserve">The use of different job titles </w:t>
      </w:r>
      <w:r w:rsidR="00DB7B0F" w:rsidRPr="00FB4EFA">
        <w:rPr>
          <w:lang w:val="en-US"/>
        </w:rPr>
        <w:t>ending</w:t>
      </w:r>
      <w:r w:rsidR="0039345E" w:rsidRPr="00FB4EFA">
        <w:rPr>
          <w:lang w:val="en-US"/>
        </w:rPr>
        <w:t xml:space="preserve"> </w:t>
      </w:r>
      <w:r w:rsidR="00DB7B0F" w:rsidRPr="00FB4EFA">
        <w:rPr>
          <w:lang w:val="en-US"/>
        </w:rPr>
        <w:t xml:space="preserve">in </w:t>
      </w:r>
      <w:r w:rsidRPr="00FB4EFA">
        <w:rPr>
          <w:i/>
          <w:iCs/>
          <w:lang w:val="en-US"/>
        </w:rPr>
        <w:noBreakHyphen/>
        <w:t>n</w:t>
      </w:r>
      <w:r w:rsidRPr="00FB4EFA">
        <w:rPr>
          <w:rFonts w:cs="Cambria"/>
          <w:i/>
          <w:iCs/>
          <w:lang w:val="en-US"/>
        </w:rPr>
        <w:t>ő</w:t>
      </w:r>
      <w:r w:rsidRPr="00FB4EFA">
        <w:rPr>
          <w:lang w:val="en-US"/>
        </w:rPr>
        <w:t xml:space="preserve"> reflects some of the tendencies that we described for Estonian and Finnish in Sections 3.1 and 3.2.1. In general, the frequency of the feminine version of a job title in Hungarian depends rather on how often the respective job is actually performed by women than on its image of typically female or male. For example, traditionally female jobs, such as ‘housekeeper’ or ‘midwife’ show a high (&gt;</w:t>
      </w:r>
      <w:r w:rsidR="00DB7B0F" w:rsidRPr="00FB4EFA">
        <w:rPr>
          <w:lang w:val="en-US"/>
        </w:rPr>
        <w:t xml:space="preserve"> </w:t>
      </w:r>
      <w:r w:rsidRPr="00FB4EFA">
        <w:rPr>
          <w:lang w:val="en-US"/>
        </w:rPr>
        <w:t>1) female/male ratio, that is, their feminine versions are more common than the neutral ones and are not perceived as marked. Contrarily, for traditionally male jobs, such as ‘soldier’ or ‘hunter’, feminine variants are rarely used, and if they are, they put a significant emphasis on the gender of the word and might even seem unnatural to native speakers. Among the jobs that do not have clear gender preference, ‘actor/actress’ is the one for which a gendered version (feminine in this case) is particularly common.</w:t>
      </w:r>
    </w:p>
    <w:tbl>
      <w:tblPr>
        <w:tblW w:w="0" w:type="auto"/>
        <w:tblLook w:val="04A0" w:firstRow="1" w:lastRow="0" w:firstColumn="1" w:lastColumn="0" w:noHBand="0" w:noVBand="1"/>
      </w:tblPr>
      <w:tblGrid>
        <w:gridCol w:w="2080"/>
        <w:gridCol w:w="854"/>
        <w:gridCol w:w="1157"/>
        <w:gridCol w:w="754"/>
        <w:gridCol w:w="1531"/>
      </w:tblGrid>
      <w:tr w:rsidR="00FB4EFA" w:rsidRPr="00FB4EFA" w14:paraId="05C61E32" w14:textId="77777777" w:rsidTr="00EC74AD">
        <w:tc>
          <w:tcPr>
            <w:tcW w:w="0" w:type="auto"/>
          </w:tcPr>
          <w:p w14:paraId="6B752AF5" w14:textId="77777777" w:rsidR="00EC74AD" w:rsidRPr="00FB4EFA" w:rsidRDefault="00EC74AD" w:rsidP="00863238">
            <w:pPr>
              <w:keepNext/>
              <w:spacing w:line="240" w:lineRule="auto"/>
              <w:rPr>
                <w:sz w:val="18"/>
                <w:szCs w:val="18"/>
              </w:rPr>
            </w:pPr>
            <w:r w:rsidRPr="00FB4EFA">
              <w:rPr>
                <w:i/>
                <w:iCs/>
                <w:sz w:val="18"/>
                <w:szCs w:val="18"/>
              </w:rPr>
              <w:t>házvezet</w:t>
            </w:r>
            <w:r w:rsidRPr="00FB4EFA">
              <w:rPr>
                <w:rFonts w:cs="Cambria"/>
                <w:i/>
                <w:iCs/>
                <w:sz w:val="18"/>
                <w:szCs w:val="18"/>
              </w:rPr>
              <w:t>ő</w:t>
            </w:r>
            <w:r w:rsidRPr="00FB4EFA">
              <w:rPr>
                <w:i/>
                <w:iCs/>
                <w:sz w:val="18"/>
                <w:szCs w:val="18"/>
              </w:rPr>
              <w:t xml:space="preserve"> </w:t>
            </w:r>
            <w:r w:rsidRPr="00FB4EFA">
              <w:rPr>
                <w:sz w:val="18"/>
                <w:szCs w:val="18"/>
              </w:rPr>
              <w:t>‘housekeeper’</w:t>
            </w:r>
          </w:p>
        </w:tc>
        <w:tc>
          <w:tcPr>
            <w:tcW w:w="0" w:type="auto"/>
          </w:tcPr>
          <w:p w14:paraId="08FDFB15" w14:textId="77777777" w:rsidR="00EC74AD" w:rsidRPr="00FB4EFA" w:rsidRDefault="00EC74AD" w:rsidP="00863238">
            <w:pPr>
              <w:keepNext/>
              <w:spacing w:line="240" w:lineRule="auto"/>
              <w:jc w:val="right"/>
              <w:rPr>
                <w:sz w:val="18"/>
                <w:szCs w:val="18"/>
              </w:rPr>
            </w:pPr>
            <w:r w:rsidRPr="00FB4EFA">
              <w:rPr>
                <w:sz w:val="18"/>
                <w:szCs w:val="18"/>
              </w:rPr>
              <w:t>210</w:t>
            </w:r>
          </w:p>
        </w:tc>
        <w:tc>
          <w:tcPr>
            <w:tcW w:w="0" w:type="auto"/>
          </w:tcPr>
          <w:p w14:paraId="129614B2" w14:textId="77777777" w:rsidR="00EC74AD" w:rsidRPr="00FB4EFA" w:rsidRDefault="00EC74AD" w:rsidP="00863238">
            <w:pPr>
              <w:keepNext/>
              <w:spacing w:line="240" w:lineRule="auto"/>
              <w:rPr>
                <w:sz w:val="18"/>
                <w:szCs w:val="18"/>
              </w:rPr>
            </w:pPr>
            <w:r w:rsidRPr="00FB4EFA">
              <w:rPr>
                <w:i/>
                <w:iCs/>
                <w:sz w:val="18"/>
                <w:szCs w:val="18"/>
              </w:rPr>
              <w:t>házvezet</w:t>
            </w:r>
            <w:r w:rsidRPr="00FB4EFA">
              <w:rPr>
                <w:rFonts w:cs="Cambria"/>
                <w:i/>
                <w:iCs/>
                <w:sz w:val="18"/>
                <w:szCs w:val="18"/>
              </w:rPr>
              <w:t>ő</w:t>
            </w:r>
            <w:r w:rsidRPr="00FB4EFA">
              <w:rPr>
                <w:i/>
                <w:iCs/>
                <w:sz w:val="18"/>
                <w:szCs w:val="18"/>
              </w:rPr>
              <w:t>n</w:t>
            </w:r>
            <w:r w:rsidRPr="00FB4EFA">
              <w:rPr>
                <w:rFonts w:cs="Cambria"/>
                <w:i/>
                <w:iCs/>
                <w:sz w:val="18"/>
                <w:szCs w:val="18"/>
              </w:rPr>
              <w:t>ő</w:t>
            </w:r>
          </w:p>
        </w:tc>
        <w:tc>
          <w:tcPr>
            <w:tcW w:w="0" w:type="auto"/>
          </w:tcPr>
          <w:p w14:paraId="22A4AFC1" w14:textId="77777777" w:rsidR="00EC74AD" w:rsidRPr="00FB4EFA" w:rsidRDefault="00EC74AD" w:rsidP="00863238">
            <w:pPr>
              <w:keepNext/>
              <w:spacing w:line="240" w:lineRule="auto"/>
              <w:jc w:val="right"/>
              <w:rPr>
                <w:sz w:val="18"/>
                <w:szCs w:val="18"/>
              </w:rPr>
            </w:pPr>
            <w:r w:rsidRPr="00FB4EFA">
              <w:rPr>
                <w:sz w:val="18"/>
                <w:szCs w:val="18"/>
              </w:rPr>
              <w:t>798</w:t>
            </w:r>
          </w:p>
        </w:tc>
        <w:tc>
          <w:tcPr>
            <w:tcW w:w="0" w:type="auto"/>
          </w:tcPr>
          <w:p w14:paraId="22F756B5" w14:textId="77777777" w:rsidR="00EC74AD" w:rsidRPr="00FB4EFA" w:rsidRDefault="00EC74AD" w:rsidP="00863238">
            <w:pPr>
              <w:keepNext/>
              <w:spacing w:line="240" w:lineRule="auto"/>
              <w:rPr>
                <w:sz w:val="18"/>
                <w:szCs w:val="18"/>
              </w:rPr>
            </w:pPr>
            <w:r w:rsidRPr="00FB4EFA">
              <w:rPr>
                <w:sz w:val="18"/>
                <w:szCs w:val="18"/>
              </w:rPr>
              <w:t>F/M ratio 3.8</w:t>
            </w:r>
          </w:p>
        </w:tc>
      </w:tr>
      <w:tr w:rsidR="00FB4EFA" w:rsidRPr="00FB4EFA" w14:paraId="4ED781BA" w14:textId="77777777" w:rsidTr="00EC74AD">
        <w:tc>
          <w:tcPr>
            <w:tcW w:w="0" w:type="auto"/>
          </w:tcPr>
          <w:p w14:paraId="1C811FBC" w14:textId="77777777" w:rsidR="00EC74AD" w:rsidRPr="00FB4EFA" w:rsidRDefault="00EC74AD" w:rsidP="00863238">
            <w:pPr>
              <w:keepNext/>
              <w:spacing w:line="240" w:lineRule="auto"/>
              <w:rPr>
                <w:sz w:val="18"/>
                <w:szCs w:val="18"/>
              </w:rPr>
            </w:pPr>
            <w:r w:rsidRPr="00FB4EFA">
              <w:rPr>
                <w:i/>
                <w:iCs/>
                <w:sz w:val="18"/>
                <w:szCs w:val="18"/>
              </w:rPr>
              <w:t xml:space="preserve">szülész </w:t>
            </w:r>
            <w:r w:rsidRPr="00FB4EFA">
              <w:rPr>
                <w:sz w:val="18"/>
                <w:szCs w:val="18"/>
              </w:rPr>
              <w:t>‘male midwife’</w:t>
            </w:r>
          </w:p>
        </w:tc>
        <w:tc>
          <w:tcPr>
            <w:tcW w:w="0" w:type="auto"/>
          </w:tcPr>
          <w:p w14:paraId="20AB3249" w14:textId="77777777" w:rsidR="00EC74AD" w:rsidRPr="00FB4EFA" w:rsidRDefault="00EC74AD" w:rsidP="00863238">
            <w:pPr>
              <w:keepNext/>
              <w:spacing w:line="240" w:lineRule="auto"/>
              <w:jc w:val="right"/>
              <w:rPr>
                <w:sz w:val="18"/>
                <w:szCs w:val="18"/>
              </w:rPr>
            </w:pPr>
            <w:r w:rsidRPr="00FB4EFA">
              <w:rPr>
                <w:sz w:val="18"/>
                <w:szCs w:val="18"/>
              </w:rPr>
              <w:t>822</w:t>
            </w:r>
          </w:p>
        </w:tc>
        <w:tc>
          <w:tcPr>
            <w:tcW w:w="0" w:type="auto"/>
          </w:tcPr>
          <w:p w14:paraId="62B4DCD4" w14:textId="77777777" w:rsidR="00EC74AD" w:rsidRPr="00FB4EFA" w:rsidRDefault="00EC74AD" w:rsidP="00863238">
            <w:pPr>
              <w:keepNext/>
              <w:spacing w:line="240" w:lineRule="auto"/>
              <w:rPr>
                <w:sz w:val="18"/>
                <w:szCs w:val="18"/>
              </w:rPr>
            </w:pPr>
            <w:r w:rsidRPr="00FB4EFA">
              <w:rPr>
                <w:i/>
                <w:iCs/>
                <w:sz w:val="18"/>
                <w:szCs w:val="18"/>
              </w:rPr>
              <w:t>szülészn</w:t>
            </w:r>
            <w:r w:rsidRPr="00FB4EFA">
              <w:rPr>
                <w:rFonts w:cs="Cambria"/>
                <w:i/>
                <w:iCs/>
                <w:sz w:val="18"/>
                <w:szCs w:val="18"/>
              </w:rPr>
              <w:t>ő</w:t>
            </w:r>
          </w:p>
        </w:tc>
        <w:tc>
          <w:tcPr>
            <w:tcW w:w="0" w:type="auto"/>
          </w:tcPr>
          <w:p w14:paraId="4F88A7B4" w14:textId="77777777" w:rsidR="00EC74AD" w:rsidRPr="00FB4EFA" w:rsidRDefault="00EC74AD" w:rsidP="00863238">
            <w:pPr>
              <w:keepNext/>
              <w:spacing w:line="240" w:lineRule="auto"/>
              <w:jc w:val="right"/>
              <w:rPr>
                <w:sz w:val="18"/>
                <w:szCs w:val="18"/>
              </w:rPr>
            </w:pPr>
            <w:r w:rsidRPr="00FB4EFA">
              <w:rPr>
                <w:sz w:val="18"/>
                <w:szCs w:val="18"/>
              </w:rPr>
              <w:t>1 522</w:t>
            </w:r>
          </w:p>
        </w:tc>
        <w:tc>
          <w:tcPr>
            <w:tcW w:w="0" w:type="auto"/>
          </w:tcPr>
          <w:p w14:paraId="48967371" w14:textId="77777777" w:rsidR="00EC74AD" w:rsidRPr="00FB4EFA" w:rsidRDefault="00EC74AD" w:rsidP="00863238">
            <w:pPr>
              <w:keepNext/>
              <w:spacing w:line="240" w:lineRule="auto"/>
              <w:rPr>
                <w:sz w:val="18"/>
                <w:szCs w:val="18"/>
              </w:rPr>
            </w:pPr>
            <w:r w:rsidRPr="00FB4EFA">
              <w:rPr>
                <w:sz w:val="18"/>
                <w:szCs w:val="18"/>
              </w:rPr>
              <w:t>F/M ratio 1.8516</w:t>
            </w:r>
          </w:p>
        </w:tc>
      </w:tr>
      <w:tr w:rsidR="00FB4EFA" w:rsidRPr="00FB4EFA" w14:paraId="16EB7852" w14:textId="77777777" w:rsidTr="00EC74AD">
        <w:tc>
          <w:tcPr>
            <w:tcW w:w="0" w:type="auto"/>
          </w:tcPr>
          <w:p w14:paraId="3C98A7F1" w14:textId="77777777" w:rsidR="00EC74AD" w:rsidRPr="00FB4EFA" w:rsidRDefault="00EC74AD" w:rsidP="00863238">
            <w:pPr>
              <w:keepNext/>
              <w:spacing w:line="240" w:lineRule="auto"/>
              <w:rPr>
                <w:sz w:val="18"/>
                <w:szCs w:val="18"/>
              </w:rPr>
            </w:pPr>
            <w:r w:rsidRPr="00FB4EFA">
              <w:rPr>
                <w:i/>
                <w:iCs/>
                <w:sz w:val="18"/>
                <w:szCs w:val="18"/>
              </w:rPr>
              <w:t>színész</w:t>
            </w:r>
            <w:r w:rsidRPr="00FB4EFA">
              <w:rPr>
                <w:sz w:val="18"/>
                <w:szCs w:val="18"/>
              </w:rPr>
              <w:t xml:space="preserve"> ‘actor’</w:t>
            </w:r>
          </w:p>
        </w:tc>
        <w:tc>
          <w:tcPr>
            <w:tcW w:w="0" w:type="auto"/>
          </w:tcPr>
          <w:p w14:paraId="476FAD8E" w14:textId="77777777" w:rsidR="00EC74AD" w:rsidRPr="00FB4EFA" w:rsidRDefault="00EC74AD" w:rsidP="00863238">
            <w:pPr>
              <w:keepNext/>
              <w:spacing w:line="240" w:lineRule="auto"/>
              <w:jc w:val="right"/>
              <w:rPr>
                <w:sz w:val="18"/>
                <w:szCs w:val="18"/>
              </w:rPr>
            </w:pPr>
            <w:r w:rsidRPr="00FB4EFA">
              <w:rPr>
                <w:sz w:val="18"/>
                <w:szCs w:val="18"/>
              </w:rPr>
              <w:t>99 318</w:t>
            </w:r>
          </w:p>
        </w:tc>
        <w:tc>
          <w:tcPr>
            <w:tcW w:w="0" w:type="auto"/>
          </w:tcPr>
          <w:p w14:paraId="2261F4BC" w14:textId="77777777" w:rsidR="00EC74AD" w:rsidRPr="00FB4EFA" w:rsidRDefault="00EC74AD" w:rsidP="00863238">
            <w:pPr>
              <w:keepNext/>
              <w:spacing w:line="240" w:lineRule="auto"/>
              <w:rPr>
                <w:i/>
                <w:iCs/>
                <w:sz w:val="18"/>
                <w:szCs w:val="18"/>
              </w:rPr>
            </w:pPr>
            <w:r w:rsidRPr="00FB4EFA">
              <w:rPr>
                <w:i/>
                <w:iCs/>
                <w:sz w:val="18"/>
                <w:szCs w:val="18"/>
              </w:rPr>
              <w:t>színészn</w:t>
            </w:r>
            <w:r w:rsidRPr="00FB4EFA">
              <w:rPr>
                <w:rFonts w:cs="Cambria"/>
                <w:i/>
                <w:iCs/>
                <w:sz w:val="18"/>
                <w:szCs w:val="18"/>
              </w:rPr>
              <w:t>ő</w:t>
            </w:r>
          </w:p>
        </w:tc>
        <w:tc>
          <w:tcPr>
            <w:tcW w:w="0" w:type="auto"/>
          </w:tcPr>
          <w:p w14:paraId="22F6831A" w14:textId="77777777" w:rsidR="00EC74AD" w:rsidRPr="00FB4EFA" w:rsidRDefault="00EC74AD" w:rsidP="00863238">
            <w:pPr>
              <w:keepNext/>
              <w:spacing w:line="240" w:lineRule="auto"/>
              <w:jc w:val="right"/>
              <w:rPr>
                <w:sz w:val="18"/>
                <w:szCs w:val="18"/>
              </w:rPr>
            </w:pPr>
            <w:r w:rsidRPr="00FB4EFA">
              <w:rPr>
                <w:sz w:val="18"/>
                <w:szCs w:val="18"/>
              </w:rPr>
              <w:t>46 211</w:t>
            </w:r>
          </w:p>
        </w:tc>
        <w:tc>
          <w:tcPr>
            <w:tcW w:w="0" w:type="auto"/>
          </w:tcPr>
          <w:p w14:paraId="661035C3" w14:textId="77777777" w:rsidR="00EC74AD" w:rsidRPr="00FB4EFA" w:rsidRDefault="00EC74AD" w:rsidP="00863238">
            <w:pPr>
              <w:keepNext/>
              <w:spacing w:line="240" w:lineRule="auto"/>
              <w:rPr>
                <w:sz w:val="18"/>
                <w:szCs w:val="18"/>
              </w:rPr>
            </w:pPr>
            <w:r w:rsidRPr="00FB4EFA">
              <w:rPr>
                <w:sz w:val="18"/>
                <w:szCs w:val="18"/>
              </w:rPr>
              <w:t>F/M ratio 0.4653</w:t>
            </w:r>
          </w:p>
        </w:tc>
      </w:tr>
      <w:tr w:rsidR="00FB4EFA" w:rsidRPr="00FB4EFA" w14:paraId="58D49FC4" w14:textId="77777777" w:rsidTr="00EC74AD">
        <w:tc>
          <w:tcPr>
            <w:tcW w:w="0" w:type="auto"/>
          </w:tcPr>
          <w:p w14:paraId="6273ACA4" w14:textId="77777777" w:rsidR="00EC74AD" w:rsidRPr="00FB4EFA" w:rsidRDefault="00EC74AD" w:rsidP="00863238">
            <w:pPr>
              <w:keepNext/>
              <w:spacing w:line="240" w:lineRule="auto"/>
              <w:rPr>
                <w:sz w:val="18"/>
                <w:szCs w:val="18"/>
                <w:lang w:val="sv-SE"/>
              </w:rPr>
            </w:pPr>
            <w:r w:rsidRPr="00FB4EFA">
              <w:rPr>
                <w:i/>
                <w:iCs/>
                <w:sz w:val="18"/>
                <w:szCs w:val="18"/>
                <w:lang w:val="sv-SE"/>
              </w:rPr>
              <w:t xml:space="preserve">doktor </w:t>
            </w:r>
            <w:r w:rsidRPr="00FB4EFA">
              <w:rPr>
                <w:iCs/>
                <w:sz w:val="18"/>
                <w:szCs w:val="18"/>
                <w:lang w:val="sv-SE"/>
              </w:rPr>
              <w:t>‘</w:t>
            </w:r>
            <w:r w:rsidRPr="00FB4EFA">
              <w:rPr>
                <w:sz w:val="18"/>
                <w:szCs w:val="18"/>
                <w:lang w:val="sv-SE"/>
              </w:rPr>
              <w:t>physician’</w:t>
            </w:r>
          </w:p>
        </w:tc>
        <w:tc>
          <w:tcPr>
            <w:tcW w:w="0" w:type="auto"/>
          </w:tcPr>
          <w:p w14:paraId="0AB2FB07" w14:textId="77777777" w:rsidR="00EC74AD" w:rsidRPr="00FB4EFA" w:rsidRDefault="00EC74AD" w:rsidP="00863238">
            <w:pPr>
              <w:keepNext/>
              <w:spacing w:line="240" w:lineRule="auto"/>
              <w:jc w:val="right"/>
              <w:rPr>
                <w:sz w:val="18"/>
                <w:szCs w:val="18"/>
                <w:lang w:val="sv-SE"/>
              </w:rPr>
            </w:pPr>
            <w:r w:rsidRPr="00FB4EFA">
              <w:rPr>
                <w:sz w:val="18"/>
                <w:szCs w:val="18"/>
                <w:lang w:val="sv-SE"/>
              </w:rPr>
              <w:t>32 595</w:t>
            </w:r>
          </w:p>
        </w:tc>
        <w:tc>
          <w:tcPr>
            <w:tcW w:w="0" w:type="auto"/>
          </w:tcPr>
          <w:p w14:paraId="0F550128" w14:textId="77777777" w:rsidR="00EC74AD" w:rsidRPr="00FB4EFA" w:rsidRDefault="00EC74AD" w:rsidP="00863238">
            <w:pPr>
              <w:keepNext/>
              <w:spacing w:line="240" w:lineRule="auto"/>
              <w:rPr>
                <w:sz w:val="18"/>
                <w:szCs w:val="18"/>
                <w:lang w:val="sv-SE"/>
              </w:rPr>
            </w:pPr>
            <w:r w:rsidRPr="00FB4EFA">
              <w:rPr>
                <w:i/>
                <w:iCs/>
                <w:sz w:val="18"/>
                <w:szCs w:val="18"/>
                <w:lang w:val="sv-SE"/>
              </w:rPr>
              <w:t>doktorn</w:t>
            </w:r>
            <w:r w:rsidRPr="00FB4EFA">
              <w:rPr>
                <w:rFonts w:cs="Cambria"/>
                <w:i/>
                <w:iCs/>
                <w:sz w:val="18"/>
                <w:szCs w:val="18"/>
                <w:lang w:val="sv-SE"/>
              </w:rPr>
              <w:t>ő</w:t>
            </w:r>
          </w:p>
        </w:tc>
        <w:tc>
          <w:tcPr>
            <w:tcW w:w="0" w:type="auto"/>
          </w:tcPr>
          <w:p w14:paraId="4B1A0531" w14:textId="77777777" w:rsidR="00EC74AD" w:rsidRPr="00FB4EFA" w:rsidRDefault="00EC74AD" w:rsidP="00863238">
            <w:pPr>
              <w:keepNext/>
              <w:spacing w:line="240" w:lineRule="auto"/>
              <w:jc w:val="right"/>
              <w:rPr>
                <w:sz w:val="18"/>
                <w:szCs w:val="18"/>
                <w:lang w:val="sv-SE"/>
              </w:rPr>
            </w:pPr>
            <w:r w:rsidRPr="00FB4EFA">
              <w:rPr>
                <w:sz w:val="18"/>
                <w:szCs w:val="18"/>
                <w:lang w:val="sv-SE"/>
              </w:rPr>
              <w:t>3 840</w:t>
            </w:r>
          </w:p>
        </w:tc>
        <w:tc>
          <w:tcPr>
            <w:tcW w:w="0" w:type="auto"/>
          </w:tcPr>
          <w:p w14:paraId="40460257" w14:textId="77777777" w:rsidR="00EC74AD" w:rsidRPr="00FB4EFA" w:rsidRDefault="00EC74AD" w:rsidP="00863238">
            <w:pPr>
              <w:keepNext/>
              <w:spacing w:line="240" w:lineRule="auto"/>
              <w:rPr>
                <w:sz w:val="18"/>
                <w:szCs w:val="18"/>
                <w:lang w:val="sv-SE"/>
              </w:rPr>
            </w:pPr>
            <w:r w:rsidRPr="00FB4EFA">
              <w:rPr>
                <w:sz w:val="18"/>
                <w:szCs w:val="18"/>
                <w:lang w:val="sv-SE"/>
              </w:rPr>
              <w:t>F/M ratio 0.1178</w:t>
            </w:r>
          </w:p>
        </w:tc>
      </w:tr>
      <w:tr w:rsidR="00FB4EFA" w:rsidRPr="00FB4EFA" w14:paraId="24404D2B" w14:textId="77777777" w:rsidTr="00EC74AD">
        <w:tc>
          <w:tcPr>
            <w:tcW w:w="0" w:type="auto"/>
          </w:tcPr>
          <w:p w14:paraId="70020C13" w14:textId="77777777" w:rsidR="00EC74AD" w:rsidRPr="00FB4EFA" w:rsidRDefault="00EC74AD" w:rsidP="00863238">
            <w:pPr>
              <w:keepNext/>
              <w:spacing w:line="240" w:lineRule="auto"/>
              <w:rPr>
                <w:sz w:val="18"/>
                <w:szCs w:val="18"/>
              </w:rPr>
            </w:pPr>
            <w:r w:rsidRPr="00FB4EFA">
              <w:rPr>
                <w:i/>
                <w:iCs/>
                <w:sz w:val="18"/>
                <w:szCs w:val="18"/>
              </w:rPr>
              <w:t>tanár</w:t>
            </w:r>
            <w:r w:rsidRPr="00FB4EFA">
              <w:rPr>
                <w:sz w:val="18"/>
                <w:szCs w:val="18"/>
              </w:rPr>
              <w:t xml:space="preserve"> ‘teacher’</w:t>
            </w:r>
          </w:p>
        </w:tc>
        <w:tc>
          <w:tcPr>
            <w:tcW w:w="0" w:type="auto"/>
          </w:tcPr>
          <w:p w14:paraId="199627FF" w14:textId="77777777" w:rsidR="00EC74AD" w:rsidRPr="00FB4EFA" w:rsidRDefault="00EC74AD" w:rsidP="00863238">
            <w:pPr>
              <w:keepNext/>
              <w:spacing w:line="240" w:lineRule="auto"/>
              <w:jc w:val="right"/>
              <w:rPr>
                <w:sz w:val="18"/>
                <w:szCs w:val="18"/>
              </w:rPr>
            </w:pPr>
            <w:r w:rsidRPr="00FB4EFA">
              <w:rPr>
                <w:sz w:val="18"/>
                <w:szCs w:val="18"/>
              </w:rPr>
              <w:t>122 981</w:t>
            </w:r>
          </w:p>
        </w:tc>
        <w:tc>
          <w:tcPr>
            <w:tcW w:w="0" w:type="auto"/>
          </w:tcPr>
          <w:p w14:paraId="3089151D" w14:textId="77777777" w:rsidR="00EC74AD" w:rsidRPr="00FB4EFA" w:rsidRDefault="00EC74AD" w:rsidP="00863238">
            <w:pPr>
              <w:keepNext/>
              <w:spacing w:line="240" w:lineRule="auto"/>
              <w:rPr>
                <w:sz w:val="18"/>
                <w:szCs w:val="18"/>
              </w:rPr>
            </w:pPr>
            <w:r w:rsidRPr="00FB4EFA">
              <w:rPr>
                <w:i/>
                <w:iCs/>
                <w:sz w:val="18"/>
                <w:szCs w:val="18"/>
              </w:rPr>
              <w:t>tanárn</w:t>
            </w:r>
            <w:r w:rsidRPr="00FB4EFA">
              <w:rPr>
                <w:rFonts w:cs="Cambria"/>
                <w:i/>
                <w:iCs/>
                <w:sz w:val="18"/>
                <w:szCs w:val="18"/>
              </w:rPr>
              <w:t>ő</w:t>
            </w:r>
          </w:p>
        </w:tc>
        <w:tc>
          <w:tcPr>
            <w:tcW w:w="0" w:type="auto"/>
          </w:tcPr>
          <w:p w14:paraId="15FBCB36" w14:textId="77777777" w:rsidR="00EC74AD" w:rsidRPr="00FB4EFA" w:rsidRDefault="00EC74AD" w:rsidP="00863238">
            <w:pPr>
              <w:keepNext/>
              <w:spacing w:line="240" w:lineRule="auto"/>
              <w:jc w:val="right"/>
              <w:rPr>
                <w:sz w:val="18"/>
                <w:szCs w:val="18"/>
              </w:rPr>
            </w:pPr>
            <w:r w:rsidRPr="00FB4EFA">
              <w:rPr>
                <w:sz w:val="18"/>
                <w:szCs w:val="18"/>
              </w:rPr>
              <w:t>10 184</w:t>
            </w:r>
          </w:p>
        </w:tc>
        <w:tc>
          <w:tcPr>
            <w:tcW w:w="0" w:type="auto"/>
          </w:tcPr>
          <w:p w14:paraId="77AF89A4" w14:textId="77777777" w:rsidR="00EC74AD" w:rsidRPr="00FB4EFA" w:rsidRDefault="00EC74AD" w:rsidP="00863238">
            <w:pPr>
              <w:keepNext/>
              <w:spacing w:line="240" w:lineRule="auto"/>
              <w:rPr>
                <w:sz w:val="18"/>
                <w:szCs w:val="18"/>
              </w:rPr>
            </w:pPr>
            <w:r w:rsidRPr="00FB4EFA">
              <w:rPr>
                <w:sz w:val="18"/>
                <w:szCs w:val="18"/>
              </w:rPr>
              <w:t>F/M ratio 0.0828</w:t>
            </w:r>
          </w:p>
        </w:tc>
      </w:tr>
      <w:tr w:rsidR="00FB4EFA" w:rsidRPr="00FB4EFA" w14:paraId="7895DBD5" w14:textId="77777777" w:rsidTr="00EC74AD">
        <w:tc>
          <w:tcPr>
            <w:tcW w:w="0" w:type="auto"/>
          </w:tcPr>
          <w:p w14:paraId="51DD365F" w14:textId="77777777" w:rsidR="00EC74AD" w:rsidRPr="00FB4EFA" w:rsidRDefault="00EC74AD" w:rsidP="00863238">
            <w:pPr>
              <w:keepNext/>
              <w:spacing w:line="240" w:lineRule="auto"/>
              <w:rPr>
                <w:i/>
                <w:iCs/>
                <w:sz w:val="18"/>
                <w:szCs w:val="18"/>
                <w:lang w:val="sv-SE"/>
              </w:rPr>
            </w:pPr>
            <w:r w:rsidRPr="00FB4EFA">
              <w:rPr>
                <w:i/>
                <w:iCs/>
                <w:sz w:val="18"/>
                <w:szCs w:val="18"/>
                <w:lang w:val="sv-SE"/>
              </w:rPr>
              <w:t xml:space="preserve">katona </w:t>
            </w:r>
            <w:r w:rsidRPr="00FB4EFA">
              <w:rPr>
                <w:sz w:val="18"/>
                <w:szCs w:val="18"/>
                <w:lang w:val="sv-SE"/>
              </w:rPr>
              <w:t>‘soldier’</w:t>
            </w:r>
          </w:p>
        </w:tc>
        <w:tc>
          <w:tcPr>
            <w:tcW w:w="0" w:type="auto"/>
          </w:tcPr>
          <w:p w14:paraId="2E7BCCDB" w14:textId="77777777" w:rsidR="00EC74AD" w:rsidRPr="00FB4EFA" w:rsidRDefault="00EC74AD" w:rsidP="00863238">
            <w:pPr>
              <w:keepNext/>
              <w:spacing w:line="240" w:lineRule="auto"/>
              <w:jc w:val="right"/>
              <w:rPr>
                <w:i/>
                <w:iCs/>
                <w:sz w:val="18"/>
                <w:szCs w:val="18"/>
                <w:lang w:val="sv-SE"/>
              </w:rPr>
            </w:pPr>
            <w:r w:rsidRPr="00FB4EFA">
              <w:rPr>
                <w:sz w:val="18"/>
                <w:szCs w:val="18"/>
                <w:lang w:val="sv-SE"/>
              </w:rPr>
              <w:t>127 111</w:t>
            </w:r>
          </w:p>
        </w:tc>
        <w:tc>
          <w:tcPr>
            <w:tcW w:w="0" w:type="auto"/>
          </w:tcPr>
          <w:p w14:paraId="5E6EA813" w14:textId="77777777" w:rsidR="00EC74AD" w:rsidRPr="00FB4EFA" w:rsidRDefault="00EC74AD" w:rsidP="00863238">
            <w:pPr>
              <w:keepNext/>
              <w:spacing w:line="240" w:lineRule="auto"/>
              <w:rPr>
                <w:i/>
                <w:iCs/>
                <w:sz w:val="18"/>
                <w:szCs w:val="18"/>
                <w:lang w:val="sv-SE"/>
              </w:rPr>
            </w:pPr>
            <w:r w:rsidRPr="00FB4EFA">
              <w:rPr>
                <w:i/>
                <w:iCs/>
                <w:sz w:val="18"/>
                <w:szCs w:val="18"/>
                <w:lang w:val="sv-SE"/>
              </w:rPr>
              <w:t>katonan</w:t>
            </w:r>
            <w:r w:rsidRPr="00FB4EFA">
              <w:rPr>
                <w:rFonts w:cs="Cambria"/>
                <w:i/>
                <w:iCs/>
                <w:sz w:val="18"/>
                <w:szCs w:val="18"/>
                <w:lang w:val="sv-SE"/>
              </w:rPr>
              <w:t>ő</w:t>
            </w:r>
          </w:p>
        </w:tc>
        <w:tc>
          <w:tcPr>
            <w:tcW w:w="0" w:type="auto"/>
          </w:tcPr>
          <w:p w14:paraId="5632DBC9" w14:textId="77777777" w:rsidR="00EC74AD" w:rsidRPr="00FB4EFA" w:rsidRDefault="00EC74AD" w:rsidP="00863238">
            <w:pPr>
              <w:keepNext/>
              <w:spacing w:line="240" w:lineRule="auto"/>
              <w:jc w:val="right"/>
              <w:rPr>
                <w:sz w:val="18"/>
                <w:szCs w:val="18"/>
                <w:lang w:val="sv-SE"/>
              </w:rPr>
            </w:pPr>
            <w:r w:rsidRPr="00FB4EFA">
              <w:rPr>
                <w:sz w:val="18"/>
                <w:szCs w:val="18"/>
                <w:lang w:val="sv-SE"/>
              </w:rPr>
              <w:t>374</w:t>
            </w:r>
          </w:p>
        </w:tc>
        <w:tc>
          <w:tcPr>
            <w:tcW w:w="0" w:type="auto"/>
          </w:tcPr>
          <w:p w14:paraId="782683A9" w14:textId="77777777" w:rsidR="00EC74AD" w:rsidRPr="00FB4EFA" w:rsidRDefault="00EC74AD" w:rsidP="00863238">
            <w:pPr>
              <w:keepNext/>
              <w:spacing w:line="240" w:lineRule="auto"/>
              <w:rPr>
                <w:sz w:val="18"/>
                <w:szCs w:val="18"/>
                <w:lang w:val="sv-SE"/>
              </w:rPr>
            </w:pPr>
            <w:r w:rsidRPr="00FB4EFA">
              <w:rPr>
                <w:sz w:val="18"/>
                <w:szCs w:val="18"/>
                <w:lang w:val="sv-SE"/>
              </w:rPr>
              <w:t>F/M ratio 0.0029</w:t>
            </w:r>
          </w:p>
        </w:tc>
      </w:tr>
      <w:tr w:rsidR="00FB4EFA" w:rsidRPr="00FB4EFA" w14:paraId="6F05BFF0" w14:textId="77777777" w:rsidTr="00EC74AD">
        <w:tc>
          <w:tcPr>
            <w:tcW w:w="0" w:type="auto"/>
          </w:tcPr>
          <w:p w14:paraId="281F7AE2" w14:textId="77777777" w:rsidR="00EC74AD" w:rsidRPr="00FB4EFA" w:rsidRDefault="00EC74AD" w:rsidP="00863238">
            <w:pPr>
              <w:keepNext/>
              <w:spacing w:line="240" w:lineRule="auto"/>
              <w:rPr>
                <w:sz w:val="18"/>
                <w:szCs w:val="18"/>
                <w:lang w:val="sv-SE"/>
              </w:rPr>
            </w:pPr>
            <w:r w:rsidRPr="00FB4EFA">
              <w:rPr>
                <w:i/>
                <w:iCs/>
                <w:sz w:val="18"/>
                <w:szCs w:val="18"/>
                <w:lang w:val="sv-SE"/>
              </w:rPr>
              <w:t xml:space="preserve">vadász </w:t>
            </w:r>
            <w:r w:rsidRPr="00FB4EFA">
              <w:rPr>
                <w:sz w:val="18"/>
                <w:szCs w:val="18"/>
                <w:lang w:val="sv-SE"/>
              </w:rPr>
              <w:t>‘hunter’</w:t>
            </w:r>
          </w:p>
        </w:tc>
        <w:tc>
          <w:tcPr>
            <w:tcW w:w="0" w:type="auto"/>
          </w:tcPr>
          <w:p w14:paraId="5AB9F75B" w14:textId="77777777" w:rsidR="00EC74AD" w:rsidRPr="00FB4EFA" w:rsidRDefault="00EC74AD" w:rsidP="00863238">
            <w:pPr>
              <w:keepNext/>
              <w:spacing w:line="240" w:lineRule="auto"/>
              <w:jc w:val="right"/>
              <w:rPr>
                <w:i/>
                <w:iCs/>
                <w:sz w:val="18"/>
                <w:szCs w:val="18"/>
                <w:lang w:val="sv-SE"/>
              </w:rPr>
            </w:pPr>
            <w:r w:rsidRPr="00FB4EFA">
              <w:rPr>
                <w:sz w:val="18"/>
                <w:szCs w:val="18"/>
                <w:lang w:val="sv-SE"/>
              </w:rPr>
              <w:t>12 955</w:t>
            </w:r>
          </w:p>
        </w:tc>
        <w:tc>
          <w:tcPr>
            <w:tcW w:w="0" w:type="auto"/>
          </w:tcPr>
          <w:p w14:paraId="2B53544C" w14:textId="77777777" w:rsidR="00EC74AD" w:rsidRPr="00FB4EFA" w:rsidRDefault="00EC74AD" w:rsidP="00863238">
            <w:pPr>
              <w:keepNext/>
              <w:spacing w:line="240" w:lineRule="auto"/>
              <w:rPr>
                <w:i/>
                <w:iCs/>
                <w:sz w:val="18"/>
                <w:szCs w:val="18"/>
                <w:lang w:val="sv-SE"/>
              </w:rPr>
            </w:pPr>
            <w:r w:rsidRPr="00FB4EFA">
              <w:rPr>
                <w:i/>
                <w:iCs/>
                <w:sz w:val="18"/>
                <w:szCs w:val="18"/>
                <w:lang w:val="sv-SE"/>
              </w:rPr>
              <w:t>vadászn</w:t>
            </w:r>
            <w:r w:rsidRPr="00FB4EFA">
              <w:rPr>
                <w:rFonts w:cs="Cambria"/>
                <w:i/>
                <w:iCs/>
                <w:sz w:val="18"/>
                <w:szCs w:val="18"/>
                <w:lang w:val="sv-SE"/>
              </w:rPr>
              <w:t>ő</w:t>
            </w:r>
          </w:p>
        </w:tc>
        <w:tc>
          <w:tcPr>
            <w:tcW w:w="0" w:type="auto"/>
          </w:tcPr>
          <w:p w14:paraId="36D5B337" w14:textId="77777777" w:rsidR="00EC74AD" w:rsidRPr="00FB4EFA" w:rsidRDefault="00EC74AD" w:rsidP="00863238">
            <w:pPr>
              <w:keepNext/>
              <w:spacing w:line="240" w:lineRule="auto"/>
              <w:jc w:val="right"/>
              <w:rPr>
                <w:sz w:val="18"/>
                <w:szCs w:val="18"/>
                <w:lang w:val="sv-SE"/>
              </w:rPr>
            </w:pPr>
            <w:r w:rsidRPr="00FB4EFA">
              <w:rPr>
                <w:sz w:val="18"/>
                <w:szCs w:val="18"/>
                <w:lang w:val="sv-SE"/>
              </w:rPr>
              <w:t>25</w:t>
            </w:r>
          </w:p>
        </w:tc>
        <w:tc>
          <w:tcPr>
            <w:tcW w:w="0" w:type="auto"/>
          </w:tcPr>
          <w:p w14:paraId="3F490305" w14:textId="77777777" w:rsidR="00EC74AD" w:rsidRPr="00FB4EFA" w:rsidRDefault="00EC74AD" w:rsidP="00863238">
            <w:pPr>
              <w:keepNext/>
              <w:spacing w:line="240" w:lineRule="auto"/>
              <w:rPr>
                <w:sz w:val="18"/>
                <w:szCs w:val="18"/>
                <w:lang w:val="sv-SE"/>
              </w:rPr>
            </w:pPr>
            <w:r w:rsidRPr="00FB4EFA">
              <w:rPr>
                <w:sz w:val="18"/>
                <w:szCs w:val="18"/>
                <w:lang w:val="sv-SE"/>
              </w:rPr>
              <w:t>F/M ratio 0.0019</w:t>
            </w:r>
          </w:p>
        </w:tc>
      </w:tr>
      <w:tr w:rsidR="00FB4EFA" w:rsidRPr="00FB4EFA" w14:paraId="6BFC96E6" w14:textId="77777777" w:rsidTr="00EC74AD">
        <w:tc>
          <w:tcPr>
            <w:tcW w:w="0" w:type="auto"/>
          </w:tcPr>
          <w:p w14:paraId="4AA15452" w14:textId="77777777" w:rsidR="00EC74AD" w:rsidRPr="00FB4EFA" w:rsidRDefault="00EC74AD" w:rsidP="00863238">
            <w:pPr>
              <w:spacing w:line="240" w:lineRule="auto"/>
              <w:rPr>
                <w:sz w:val="18"/>
                <w:szCs w:val="18"/>
              </w:rPr>
            </w:pPr>
            <w:r w:rsidRPr="00FB4EFA">
              <w:rPr>
                <w:i/>
                <w:iCs/>
                <w:sz w:val="18"/>
                <w:szCs w:val="18"/>
              </w:rPr>
              <w:t xml:space="preserve">pilóta </w:t>
            </w:r>
            <w:r w:rsidRPr="00FB4EFA">
              <w:rPr>
                <w:sz w:val="18"/>
                <w:szCs w:val="18"/>
              </w:rPr>
              <w:t>‘pilot’</w:t>
            </w:r>
          </w:p>
        </w:tc>
        <w:tc>
          <w:tcPr>
            <w:tcW w:w="0" w:type="auto"/>
          </w:tcPr>
          <w:p w14:paraId="2A2CAAA0" w14:textId="77777777" w:rsidR="00EC74AD" w:rsidRPr="00FB4EFA" w:rsidRDefault="00EC74AD" w:rsidP="00863238">
            <w:pPr>
              <w:spacing w:line="240" w:lineRule="auto"/>
              <w:jc w:val="right"/>
              <w:rPr>
                <w:sz w:val="18"/>
                <w:szCs w:val="18"/>
              </w:rPr>
            </w:pPr>
            <w:r w:rsidRPr="00FB4EFA">
              <w:rPr>
                <w:sz w:val="18"/>
                <w:szCs w:val="18"/>
              </w:rPr>
              <w:t>46 091</w:t>
            </w:r>
          </w:p>
        </w:tc>
        <w:tc>
          <w:tcPr>
            <w:tcW w:w="0" w:type="auto"/>
          </w:tcPr>
          <w:p w14:paraId="0E9A97FE" w14:textId="77777777" w:rsidR="00EC74AD" w:rsidRPr="00FB4EFA" w:rsidRDefault="00EC74AD" w:rsidP="00863238">
            <w:pPr>
              <w:spacing w:line="240" w:lineRule="auto"/>
              <w:rPr>
                <w:i/>
                <w:iCs/>
                <w:sz w:val="18"/>
                <w:szCs w:val="18"/>
              </w:rPr>
            </w:pPr>
            <w:r w:rsidRPr="00FB4EFA">
              <w:rPr>
                <w:i/>
                <w:iCs/>
                <w:sz w:val="18"/>
                <w:szCs w:val="18"/>
              </w:rPr>
              <w:t>pilótan</w:t>
            </w:r>
            <w:r w:rsidRPr="00FB4EFA">
              <w:rPr>
                <w:rFonts w:cs="Cambria"/>
                <w:i/>
                <w:iCs/>
                <w:sz w:val="18"/>
                <w:szCs w:val="18"/>
              </w:rPr>
              <w:t>ő</w:t>
            </w:r>
          </w:p>
        </w:tc>
        <w:tc>
          <w:tcPr>
            <w:tcW w:w="0" w:type="auto"/>
          </w:tcPr>
          <w:p w14:paraId="5BC592E9" w14:textId="77777777" w:rsidR="00EC74AD" w:rsidRPr="00FB4EFA" w:rsidRDefault="00EC74AD" w:rsidP="00863238">
            <w:pPr>
              <w:spacing w:line="240" w:lineRule="auto"/>
              <w:jc w:val="right"/>
              <w:rPr>
                <w:sz w:val="18"/>
                <w:szCs w:val="18"/>
              </w:rPr>
            </w:pPr>
            <w:r w:rsidRPr="00FB4EFA">
              <w:rPr>
                <w:sz w:val="18"/>
                <w:szCs w:val="18"/>
              </w:rPr>
              <w:t>221</w:t>
            </w:r>
          </w:p>
        </w:tc>
        <w:tc>
          <w:tcPr>
            <w:tcW w:w="0" w:type="auto"/>
          </w:tcPr>
          <w:p w14:paraId="45A1D1DB" w14:textId="77777777" w:rsidR="00EC74AD" w:rsidRPr="00FB4EFA" w:rsidRDefault="00EC74AD" w:rsidP="00863238">
            <w:pPr>
              <w:spacing w:line="240" w:lineRule="auto"/>
              <w:rPr>
                <w:sz w:val="18"/>
                <w:szCs w:val="18"/>
              </w:rPr>
            </w:pPr>
            <w:r w:rsidRPr="00FB4EFA">
              <w:rPr>
                <w:sz w:val="18"/>
                <w:szCs w:val="18"/>
              </w:rPr>
              <w:t>F/M ratio 0.0048</w:t>
            </w:r>
          </w:p>
        </w:tc>
      </w:tr>
    </w:tbl>
    <w:p w14:paraId="5435D550" w14:textId="78982EB9" w:rsidR="00EC74AD" w:rsidRPr="00FB4EFA" w:rsidRDefault="00EC74AD" w:rsidP="00AF0CAD">
      <w:pPr>
        <w:spacing w:before="240" w:after="240"/>
        <w:rPr>
          <w:lang w:val="en-US"/>
        </w:rPr>
      </w:pPr>
      <w:r w:rsidRPr="00FB4EFA">
        <w:rPr>
          <w:i/>
          <w:iCs/>
          <w:lang w:val="en-US"/>
        </w:rPr>
        <w:t>N</w:t>
      </w:r>
      <w:r w:rsidRPr="00FB4EFA">
        <w:rPr>
          <w:rFonts w:cs="Cambria"/>
          <w:i/>
          <w:iCs/>
          <w:lang w:val="en-US"/>
        </w:rPr>
        <w:t>ő</w:t>
      </w:r>
      <w:r w:rsidRPr="00FB4EFA">
        <w:rPr>
          <w:lang w:val="en-US"/>
        </w:rPr>
        <w:t xml:space="preserve"> is the most frequent component of these compounds in Hungarian, but it is not the only one. Instead, speakers can also use the word </w:t>
      </w:r>
      <w:r w:rsidRPr="00FB4EFA">
        <w:rPr>
          <w:i/>
          <w:iCs/>
          <w:lang w:val="en-US"/>
        </w:rPr>
        <w:t xml:space="preserve">lány </w:t>
      </w:r>
      <w:r w:rsidRPr="00FB4EFA">
        <w:rPr>
          <w:lang w:val="en-US"/>
        </w:rPr>
        <w:t xml:space="preserve">‘girl’ in some of the job titles. </w:t>
      </w:r>
      <w:r w:rsidRPr="00FB4EFA">
        <w:rPr>
          <w:i/>
          <w:iCs/>
          <w:lang w:val="en-US"/>
        </w:rPr>
        <w:t xml:space="preserve">Diáklány </w:t>
      </w:r>
      <w:r w:rsidRPr="00FB4EFA">
        <w:rPr>
          <w:lang w:val="en-US"/>
        </w:rPr>
        <w:t>‘girl student’ was mentioned by the respondents, and it also has a relatively high number of occurrences in the corpus (3</w:t>
      </w:r>
      <w:r w:rsidR="003B02E6" w:rsidRPr="00FB4EFA">
        <w:rPr>
          <w:lang w:val="en-US"/>
        </w:rPr>
        <w:t> </w:t>
      </w:r>
      <w:r w:rsidRPr="00FB4EFA">
        <w:rPr>
          <w:lang w:val="en-US"/>
        </w:rPr>
        <w:t xml:space="preserve">692). Gendered words with similar meanings are also occasionally used to form compounds in other languages, for example </w:t>
      </w:r>
      <w:r w:rsidRPr="00FB4EFA">
        <w:rPr>
          <w:i/>
          <w:iCs/>
          <w:lang w:val="en-US"/>
        </w:rPr>
        <w:t>neiu</w:t>
      </w:r>
      <w:r w:rsidRPr="00FB4EFA">
        <w:rPr>
          <w:lang w:val="en-US"/>
        </w:rPr>
        <w:t xml:space="preserve"> ‘maiden’, </w:t>
      </w:r>
      <w:r w:rsidRPr="00FB4EFA">
        <w:rPr>
          <w:i/>
          <w:iCs/>
          <w:lang w:val="en-US"/>
        </w:rPr>
        <w:t>tüdruk</w:t>
      </w:r>
      <w:r w:rsidRPr="00FB4EFA">
        <w:rPr>
          <w:lang w:val="en-US"/>
        </w:rPr>
        <w:t xml:space="preserve"> ‘girl’ and </w:t>
      </w:r>
      <w:r w:rsidRPr="00FB4EFA">
        <w:rPr>
          <w:i/>
          <w:iCs/>
          <w:lang w:val="en-US"/>
        </w:rPr>
        <w:t>poiss</w:t>
      </w:r>
      <w:r w:rsidRPr="00FB4EFA">
        <w:rPr>
          <w:lang w:val="en-US"/>
        </w:rPr>
        <w:t xml:space="preserve"> ‘boy’ in Estonian, as in </w:t>
      </w:r>
      <w:r w:rsidR="00F662F9" w:rsidRPr="00FB4EFA">
        <w:rPr>
          <w:lang w:val="en-US"/>
        </w:rPr>
        <w:br/>
      </w:r>
      <w:r w:rsidRPr="00FB4EFA">
        <w:rPr>
          <w:i/>
          <w:iCs/>
          <w:lang w:val="en-US"/>
        </w:rPr>
        <w:t>õpetajaneiu</w:t>
      </w:r>
      <w:r w:rsidRPr="00FB4EFA">
        <w:rPr>
          <w:lang w:val="en-US"/>
        </w:rPr>
        <w:t xml:space="preserve"> ‘lit. teacher+maiden’, </w:t>
      </w:r>
      <w:r w:rsidRPr="00FB4EFA">
        <w:rPr>
          <w:i/>
          <w:iCs/>
          <w:lang w:val="en-US"/>
        </w:rPr>
        <w:t>müüjatüdruk</w:t>
      </w:r>
      <w:r w:rsidRPr="00FB4EFA">
        <w:rPr>
          <w:lang w:val="en-US"/>
        </w:rPr>
        <w:t xml:space="preserve"> ‘lit. seller+girl’ and </w:t>
      </w:r>
      <w:r w:rsidR="00F662F9" w:rsidRPr="00FB4EFA">
        <w:rPr>
          <w:lang w:val="en-US"/>
        </w:rPr>
        <w:br/>
      </w:r>
      <w:r w:rsidRPr="00FB4EFA">
        <w:rPr>
          <w:i/>
          <w:iCs/>
          <w:lang w:val="en-US"/>
        </w:rPr>
        <w:t>kokapoiss</w:t>
      </w:r>
      <w:r w:rsidRPr="00FB4EFA">
        <w:rPr>
          <w:lang w:val="en-US"/>
        </w:rPr>
        <w:t xml:space="preserve"> ‘lit. chef+boy’, </w:t>
      </w:r>
      <w:r w:rsidRPr="00FB4EFA">
        <w:rPr>
          <w:i/>
          <w:iCs/>
          <w:lang w:val="en-US"/>
        </w:rPr>
        <w:t>neiti</w:t>
      </w:r>
      <w:r w:rsidRPr="00FB4EFA">
        <w:rPr>
          <w:lang w:val="en-US"/>
        </w:rPr>
        <w:t xml:space="preserve"> ‘young lady’, </w:t>
      </w:r>
      <w:r w:rsidRPr="00FB4EFA">
        <w:rPr>
          <w:i/>
          <w:iCs/>
          <w:lang w:val="en-US"/>
        </w:rPr>
        <w:t>tyttö</w:t>
      </w:r>
      <w:r w:rsidRPr="00FB4EFA">
        <w:rPr>
          <w:lang w:val="en-US"/>
        </w:rPr>
        <w:t xml:space="preserve"> ‘girl’ and </w:t>
      </w:r>
      <w:r w:rsidRPr="00FB4EFA">
        <w:rPr>
          <w:i/>
          <w:iCs/>
          <w:lang w:val="en-US"/>
        </w:rPr>
        <w:t>poika</w:t>
      </w:r>
      <w:r w:rsidRPr="00FB4EFA">
        <w:rPr>
          <w:lang w:val="en-US"/>
        </w:rPr>
        <w:t xml:space="preserve"> ‘boy’ in Finnish, as in </w:t>
      </w:r>
      <w:r w:rsidRPr="00FB4EFA">
        <w:rPr>
          <w:i/>
          <w:iCs/>
          <w:lang w:val="en-US"/>
        </w:rPr>
        <w:t>tarjoilijaneiti</w:t>
      </w:r>
      <w:r w:rsidRPr="00FB4EFA">
        <w:rPr>
          <w:lang w:val="en-US"/>
        </w:rPr>
        <w:t xml:space="preserve"> ‘waiter+young lady’ </w:t>
      </w:r>
      <w:r w:rsidRPr="00FB4EFA">
        <w:rPr>
          <w:i/>
          <w:iCs/>
          <w:lang w:val="en-US"/>
        </w:rPr>
        <w:t>opiskelijatyttö</w:t>
      </w:r>
      <w:r w:rsidRPr="00FB4EFA">
        <w:rPr>
          <w:lang w:val="en-US"/>
        </w:rPr>
        <w:t xml:space="preserve"> ‘lit. </w:t>
      </w:r>
      <w:r w:rsidR="00F662F9" w:rsidRPr="00FB4EFA">
        <w:rPr>
          <w:lang w:val="en-US"/>
        </w:rPr>
        <w:br/>
      </w:r>
      <w:r w:rsidRPr="00FB4EFA">
        <w:rPr>
          <w:lang w:val="en-US"/>
        </w:rPr>
        <w:t xml:space="preserve">student+girl’ and </w:t>
      </w:r>
      <w:r w:rsidRPr="00FB4EFA">
        <w:rPr>
          <w:i/>
          <w:iCs/>
          <w:lang w:val="en-US"/>
        </w:rPr>
        <w:t>paimenpoika</w:t>
      </w:r>
      <w:r w:rsidRPr="00FB4EFA">
        <w:rPr>
          <w:lang w:val="en-US"/>
        </w:rPr>
        <w:t xml:space="preserve"> ‘shepherd+boy’, and </w:t>
      </w:r>
      <w:r w:rsidRPr="00FB4EFA">
        <w:rPr>
          <w:i/>
          <w:iCs/>
          <w:lang w:val="en-US"/>
        </w:rPr>
        <w:t>nieidâ</w:t>
      </w:r>
      <w:r w:rsidRPr="00FB4EFA">
        <w:rPr>
          <w:lang w:val="en-US"/>
        </w:rPr>
        <w:t xml:space="preserve"> ‘girl, daughter’ in Aanaar Saami, as in </w:t>
      </w:r>
      <w:r w:rsidRPr="00FB4EFA">
        <w:rPr>
          <w:i/>
          <w:iCs/>
          <w:lang w:val="en-US"/>
        </w:rPr>
        <w:t>kävppijâsnieidâ</w:t>
      </w:r>
      <w:r w:rsidRPr="00FB4EFA">
        <w:rPr>
          <w:lang w:val="en-US"/>
        </w:rPr>
        <w:t xml:space="preserve"> ‘seller girl’ or </w:t>
      </w:r>
      <w:r w:rsidRPr="00FB4EFA">
        <w:rPr>
          <w:i/>
          <w:iCs/>
          <w:lang w:val="en-US"/>
        </w:rPr>
        <w:t>puásuike</w:t>
      </w:r>
      <w:r w:rsidRPr="00FB4EFA">
        <w:rPr>
          <w:rFonts w:cs="Cambria"/>
          <w:i/>
          <w:iCs/>
          <w:lang w:val="en-US"/>
        </w:rPr>
        <w:t>čč</w:t>
      </w:r>
      <w:r w:rsidRPr="00FB4EFA">
        <w:rPr>
          <w:i/>
          <w:iCs/>
          <w:lang w:val="en-US"/>
        </w:rPr>
        <w:t>eenieid</w:t>
      </w:r>
      <w:r w:rsidRPr="00FB4EFA">
        <w:rPr>
          <w:rFonts w:cs="Baskerville Old Face"/>
          <w:i/>
          <w:iCs/>
          <w:lang w:val="en-US"/>
        </w:rPr>
        <w:t>â</w:t>
      </w:r>
      <w:r w:rsidRPr="00FB4EFA">
        <w:rPr>
          <w:lang w:val="en-US"/>
        </w:rPr>
        <w:t xml:space="preserve"> ‘reindeer herder girl’. In many cases, these words are used to stress </w:t>
      </w:r>
      <w:r w:rsidR="00F662F9" w:rsidRPr="00FB4EFA">
        <w:rPr>
          <w:lang w:val="en-US"/>
        </w:rPr>
        <w:br/>
      </w:r>
      <w:r w:rsidRPr="00FB4EFA">
        <w:rPr>
          <w:lang w:val="en-US"/>
        </w:rPr>
        <w:t xml:space="preserve">the young age of the respective person, as in example (5) below </w:t>
      </w:r>
      <w:r w:rsidR="00F662F9" w:rsidRPr="00FB4EFA">
        <w:rPr>
          <w:lang w:val="en-US"/>
        </w:rPr>
        <w:br/>
      </w:r>
      <w:r w:rsidRPr="00FB4EFA">
        <w:rPr>
          <w:lang w:val="en-US"/>
        </w:rPr>
        <w:t>from Estonian.</w:t>
      </w:r>
    </w:p>
    <w:p w14:paraId="30453D4C" w14:textId="77777777" w:rsidR="00EC74AD" w:rsidRPr="00FB4EFA" w:rsidRDefault="00EC74AD" w:rsidP="00863238">
      <w:pPr>
        <w:spacing w:line="240" w:lineRule="auto"/>
        <w:ind w:left="709" w:hanging="709"/>
        <w:jc w:val="left"/>
        <w:rPr>
          <w:lang w:val="en-US"/>
        </w:rPr>
      </w:pPr>
      <w:r w:rsidRPr="00FB4EFA">
        <w:rPr>
          <w:lang w:val="en-US"/>
        </w:rPr>
        <w:lastRenderedPageBreak/>
        <w:t>(5)</w:t>
      </w:r>
      <w:r w:rsidRPr="00FB4EFA">
        <w:rPr>
          <w:i/>
          <w:iCs/>
          <w:lang w:val="en-US"/>
        </w:rPr>
        <w:tab/>
        <w:t xml:space="preserve">Seal olid kaks nooremapoolset meessoost </w:t>
      </w:r>
      <w:r w:rsidRPr="00FB4EFA">
        <w:rPr>
          <w:b/>
          <w:bCs/>
          <w:i/>
          <w:iCs/>
          <w:lang w:val="en-US"/>
        </w:rPr>
        <w:t>tohtripoissi</w:t>
      </w:r>
      <w:r w:rsidRPr="00FB4EFA">
        <w:rPr>
          <w:i/>
          <w:iCs/>
          <w:lang w:val="en-US"/>
        </w:rPr>
        <w:t>.</w:t>
      </w:r>
      <w:r w:rsidRPr="00FB4EFA">
        <w:rPr>
          <w:i/>
          <w:iCs/>
          <w:lang w:val="en-US"/>
        </w:rPr>
        <w:br/>
      </w:r>
      <w:r w:rsidRPr="00FB4EFA">
        <w:rPr>
          <w:lang w:val="en-US"/>
        </w:rPr>
        <w:t xml:space="preserve">‘There were two youngish male </w:t>
      </w:r>
      <w:r w:rsidRPr="00FB4EFA">
        <w:rPr>
          <w:b/>
          <w:bCs/>
          <w:lang w:val="en-US"/>
        </w:rPr>
        <w:t>physicians (lit. doctor+boys)</w:t>
      </w:r>
      <w:r w:rsidRPr="00FB4EFA">
        <w:rPr>
          <w:lang w:val="en-US"/>
        </w:rPr>
        <w:t>.’</w:t>
      </w:r>
      <w:r w:rsidRPr="00FB4EFA">
        <w:rPr>
          <w:b/>
          <w:bCs/>
          <w:lang w:val="en-US"/>
        </w:rPr>
        <w:t xml:space="preserve"> </w:t>
      </w:r>
      <w:r w:rsidRPr="00FB4EFA">
        <w:rPr>
          <w:lang w:val="en-US"/>
        </w:rPr>
        <w:t>(etTenTen19)</w:t>
      </w:r>
    </w:p>
    <w:p w14:paraId="6B4D6147" w14:textId="77777777" w:rsidR="00EC74AD" w:rsidRPr="00FB4EFA" w:rsidRDefault="00EC74AD" w:rsidP="002752AF">
      <w:pPr>
        <w:spacing w:before="240" w:after="240"/>
        <w:rPr>
          <w:lang w:val="en-US"/>
        </w:rPr>
      </w:pPr>
      <w:r w:rsidRPr="00FB4EFA">
        <w:rPr>
          <w:lang w:val="en-US"/>
        </w:rPr>
        <w:t xml:space="preserve">Other words that frequently appear in such compounds are those meaning ‘aunt’ and ‘uncle’. In colloquial Estonian, the words </w:t>
      </w:r>
      <w:r w:rsidRPr="00FB4EFA">
        <w:rPr>
          <w:i/>
          <w:iCs/>
          <w:lang w:val="en-US"/>
        </w:rPr>
        <w:t>tädi</w:t>
      </w:r>
      <w:r w:rsidRPr="00FB4EFA">
        <w:rPr>
          <w:lang w:val="en-US"/>
        </w:rPr>
        <w:t xml:space="preserve"> ‘aunt’ and </w:t>
      </w:r>
      <w:r w:rsidRPr="00FB4EFA">
        <w:rPr>
          <w:i/>
          <w:iCs/>
          <w:lang w:val="en-US"/>
        </w:rPr>
        <w:t>onu</w:t>
      </w:r>
      <w:r w:rsidRPr="00FB4EFA">
        <w:rPr>
          <w:lang w:val="en-US"/>
        </w:rPr>
        <w:t xml:space="preserve"> ‘uncle’ are commonly used instead of </w:t>
      </w:r>
      <w:r w:rsidRPr="00FB4EFA">
        <w:rPr>
          <w:i/>
          <w:iCs/>
          <w:lang w:val="en-US"/>
        </w:rPr>
        <w:t>naine</w:t>
      </w:r>
      <w:r w:rsidRPr="00FB4EFA">
        <w:rPr>
          <w:lang w:val="en-US"/>
        </w:rPr>
        <w:t xml:space="preserve"> ‘woman’ and </w:t>
      </w:r>
      <w:r w:rsidRPr="00FB4EFA">
        <w:rPr>
          <w:i/>
          <w:iCs/>
          <w:lang w:val="en-US"/>
        </w:rPr>
        <w:t>mees</w:t>
      </w:r>
      <w:r w:rsidRPr="00FB4EFA">
        <w:rPr>
          <w:lang w:val="en-US"/>
        </w:rPr>
        <w:t xml:space="preserve"> ‘man’ to refer to an unknown adult person. This is especially typical for (but not limited to) the communication with small children. Both, </w:t>
      </w:r>
      <w:r w:rsidRPr="00FB4EFA">
        <w:rPr>
          <w:i/>
          <w:iCs/>
          <w:lang w:val="en-US"/>
        </w:rPr>
        <w:t xml:space="preserve">tädi </w:t>
      </w:r>
      <w:r w:rsidRPr="00FB4EFA">
        <w:rPr>
          <w:lang w:val="en-US"/>
        </w:rPr>
        <w:t xml:space="preserve">and </w:t>
      </w:r>
      <w:r w:rsidRPr="00FB4EFA">
        <w:rPr>
          <w:i/>
          <w:iCs/>
          <w:lang w:val="en-US"/>
        </w:rPr>
        <w:t>onu</w:t>
      </w:r>
      <w:r w:rsidRPr="00FB4EFA">
        <w:rPr>
          <w:lang w:val="en-US"/>
        </w:rPr>
        <w:t xml:space="preserve"> are also frequently used in compound nouns, amongst others with common professions. In the Estonian Web Corpus (etTenTen19), the following compounds with </w:t>
      </w:r>
      <w:r w:rsidRPr="00FB4EFA">
        <w:rPr>
          <w:i/>
          <w:iCs/>
          <w:lang w:val="en-US"/>
        </w:rPr>
        <w:noBreakHyphen/>
        <w:t>onu</w:t>
      </w:r>
      <w:r w:rsidRPr="00FB4EFA">
        <w:rPr>
          <w:lang w:val="en-US"/>
        </w:rPr>
        <w:t xml:space="preserve"> and </w:t>
      </w:r>
      <w:r w:rsidRPr="00FB4EFA">
        <w:rPr>
          <w:i/>
          <w:iCs/>
          <w:lang w:val="en-US"/>
        </w:rPr>
        <w:noBreakHyphen/>
        <w:t>tädi</w:t>
      </w:r>
      <w:r w:rsidRPr="00FB4EFA">
        <w:rPr>
          <w:lang w:val="en-US"/>
        </w:rPr>
        <w:t xml:space="preserve"> could be attested:</w:t>
      </w:r>
    </w:p>
    <w:tbl>
      <w:tblPr>
        <w:tblW w:w="0" w:type="auto"/>
        <w:tblLook w:val="04A0" w:firstRow="1" w:lastRow="0" w:firstColumn="1" w:lastColumn="0" w:noHBand="0" w:noVBand="1"/>
      </w:tblPr>
      <w:tblGrid>
        <w:gridCol w:w="2555"/>
        <w:gridCol w:w="549"/>
        <w:gridCol w:w="2612"/>
        <w:gridCol w:w="438"/>
      </w:tblGrid>
      <w:tr w:rsidR="00FB4EFA" w:rsidRPr="00FB4EFA" w14:paraId="60268920" w14:textId="77777777" w:rsidTr="00EC74AD">
        <w:tc>
          <w:tcPr>
            <w:tcW w:w="0" w:type="auto"/>
          </w:tcPr>
          <w:p w14:paraId="1299C460" w14:textId="77777777" w:rsidR="00EC74AD" w:rsidRPr="00FB4EFA" w:rsidRDefault="00EC74AD" w:rsidP="00863238">
            <w:pPr>
              <w:keepNext/>
              <w:spacing w:line="240" w:lineRule="auto"/>
              <w:rPr>
                <w:sz w:val="20"/>
                <w:szCs w:val="20"/>
              </w:rPr>
            </w:pPr>
            <w:r w:rsidRPr="00FB4EFA">
              <w:rPr>
                <w:i/>
                <w:iCs/>
                <w:sz w:val="20"/>
                <w:szCs w:val="20"/>
              </w:rPr>
              <w:t>arstitädi</w:t>
            </w:r>
            <w:r w:rsidRPr="00FB4EFA">
              <w:rPr>
                <w:sz w:val="20"/>
                <w:szCs w:val="20"/>
              </w:rPr>
              <w:t xml:space="preserve"> ‘physician+aunt’</w:t>
            </w:r>
          </w:p>
        </w:tc>
        <w:tc>
          <w:tcPr>
            <w:tcW w:w="0" w:type="auto"/>
          </w:tcPr>
          <w:p w14:paraId="300F59CA" w14:textId="77777777" w:rsidR="00EC74AD" w:rsidRPr="00FB4EFA" w:rsidRDefault="00EC74AD" w:rsidP="00863238">
            <w:pPr>
              <w:keepNext/>
              <w:spacing w:line="240" w:lineRule="auto"/>
              <w:jc w:val="right"/>
              <w:rPr>
                <w:sz w:val="20"/>
                <w:szCs w:val="20"/>
              </w:rPr>
            </w:pPr>
            <w:r w:rsidRPr="00FB4EFA">
              <w:rPr>
                <w:sz w:val="20"/>
                <w:szCs w:val="20"/>
              </w:rPr>
              <w:t>201</w:t>
            </w:r>
          </w:p>
        </w:tc>
        <w:tc>
          <w:tcPr>
            <w:tcW w:w="0" w:type="auto"/>
          </w:tcPr>
          <w:p w14:paraId="57F455BA" w14:textId="77777777" w:rsidR="00EC74AD" w:rsidRPr="00FB4EFA" w:rsidRDefault="00EC74AD" w:rsidP="00863238">
            <w:pPr>
              <w:keepNext/>
              <w:spacing w:line="240" w:lineRule="auto"/>
              <w:rPr>
                <w:sz w:val="20"/>
                <w:szCs w:val="20"/>
              </w:rPr>
            </w:pPr>
            <w:r w:rsidRPr="00FB4EFA">
              <w:rPr>
                <w:i/>
                <w:iCs/>
                <w:sz w:val="20"/>
                <w:szCs w:val="20"/>
              </w:rPr>
              <w:t>arstionu</w:t>
            </w:r>
            <w:r w:rsidRPr="00FB4EFA">
              <w:rPr>
                <w:sz w:val="20"/>
                <w:szCs w:val="20"/>
              </w:rPr>
              <w:t xml:space="preserve"> ‘physician+uncle’</w:t>
            </w:r>
          </w:p>
        </w:tc>
        <w:tc>
          <w:tcPr>
            <w:tcW w:w="0" w:type="auto"/>
          </w:tcPr>
          <w:p w14:paraId="53899503" w14:textId="77777777" w:rsidR="00EC74AD" w:rsidRPr="00FB4EFA" w:rsidRDefault="00EC74AD" w:rsidP="00863238">
            <w:pPr>
              <w:keepNext/>
              <w:spacing w:line="240" w:lineRule="auto"/>
              <w:jc w:val="right"/>
              <w:rPr>
                <w:sz w:val="20"/>
                <w:szCs w:val="20"/>
              </w:rPr>
            </w:pPr>
            <w:r w:rsidRPr="00FB4EFA">
              <w:rPr>
                <w:sz w:val="20"/>
                <w:szCs w:val="20"/>
              </w:rPr>
              <w:t>70</w:t>
            </w:r>
          </w:p>
        </w:tc>
      </w:tr>
      <w:tr w:rsidR="00FB4EFA" w:rsidRPr="00FB4EFA" w14:paraId="686F6160" w14:textId="77777777" w:rsidTr="00EC74AD">
        <w:tc>
          <w:tcPr>
            <w:tcW w:w="0" w:type="auto"/>
          </w:tcPr>
          <w:p w14:paraId="41678630" w14:textId="77777777" w:rsidR="00EC74AD" w:rsidRPr="00FB4EFA" w:rsidRDefault="00EC74AD" w:rsidP="00863238">
            <w:pPr>
              <w:spacing w:line="240" w:lineRule="auto"/>
              <w:rPr>
                <w:sz w:val="20"/>
                <w:szCs w:val="20"/>
              </w:rPr>
            </w:pPr>
            <w:r w:rsidRPr="00FB4EFA">
              <w:rPr>
                <w:i/>
                <w:iCs/>
                <w:sz w:val="20"/>
                <w:szCs w:val="20"/>
              </w:rPr>
              <w:t>kokatädi</w:t>
            </w:r>
            <w:r w:rsidRPr="00FB4EFA">
              <w:rPr>
                <w:sz w:val="20"/>
                <w:szCs w:val="20"/>
              </w:rPr>
              <w:t xml:space="preserve"> ‘chef+aunt’</w:t>
            </w:r>
          </w:p>
        </w:tc>
        <w:tc>
          <w:tcPr>
            <w:tcW w:w="0" w:type="auto"/>
          </w:tcPr>
          <w:p w14:paraId="3B93B90D" w14:textId="77777777" w:rsidR="00EC74AD" w:rsidRPr="00FB4EFA" w:rsidRDefault="00EC74AD" w:rsidP="00863238">
            <w:pPr>
              <w:spacing w:line="240" w:lineRule="auto"/>
              <w:jc w:val="right"/>
              <w:rPr>
                <w:sz w:val="20"/>
                <w:szCs w:val="20"/>
              </w:rPr>
            </w:pPr>
            <w:r w:rsidRPr="00FB4EFA">
              <w:rPr>
                <w:sz w:val="20"/>
                <w:szCs w:val="20"/>
              </w:rPr>
              <w:t>191</w:t>
            </w:r>
          </w:p>
        </w:tc>
        <w:tc>
          <w:tcPr>
            <w:tcW w:w="0" w:type="auto"/>
          </w:tcPr>
          <w:p w14:paraId="2D2F0ADB" w14:textId="77777777" w:rsidR="00EC74AD" w:rsidRPr="00FB4EFA" w:rsidRDefault="00EC74AD" w:rsidP="00863238">
            <w:pPr>
              <w:spacing w:line="240" w:lineRule="auto"/>
              <w:rPr>
                <w:sz w:val="20"/>
                <w:szCs w:val="20"/>
              </w:rPr>
            </w:pPr>
            <w:r w:rsidRPr="00FB4EFA">
              <w:rPr>
                <w:i/>
                <w:iCs/>
                <w:sz w:val="20"/>
                <w:szCs w:val="20"/>
              </w:rPr>
              <w:t>kokaonu</w:t>
            </w:r>
            <w:r w:rsidRPr="00FB4EFA">
              <w:rPr>
                <w:sz w:val="20"/>
                <w:szCs w:val="20"/>
              </w:rPr>
              <w:t xml:space="preserve"> ‘chef+uncle’</w:t>
            </w:r>
          </w:p>
        </w:tc>
        <w:tc>
          <w:tcPr>
            <w:tcW w:w="0" w:type="auto"/>
          </w:tcPr>
          <w:p w14:paraId="00C032F4" w14:textId="77777777" w:rsidR="00EC74AD" w:rsidRPr="00FB4EFA" w:rsidRDefault="00EC74AD" w:rsidP="00863238">
            <w:pPr>
              <w:spacing w:line="240" w:lineRule="auto"/>
              <w:jc w:val="right"/>
              <w:rPr>
                <w:sz w:val="20"/>
                <w:szCs w:val="20"/>
              </w:rPr>
            </w:pPr>
            <w:r w:rsidRPr="00FB4EFA">
              <w:rPr>
                <w:sz w:val="20"/>
                <w:szCs w:val="20"/>
              </w:rPr>
              <w:t>13</w:t>
            </w:r>
          </w:p>
        </w:tc>
      </w:tr>
      <w:tr w:rsidR="00FB4EFA" w:rsidRPr="00FB4EFA" w14:paraId="3C7A6FB5" w14:textId="77777777" w:rsidTr="00EC74AD">
        <w:tc>
          <w:tcPr>
            <w:tcW w:w="0" w:type="auto"/>
          </w:tcPr>
          <w:p w14:paraId="13F79C8F" w14:textId="77777777" w:rsidR="00EC74AD" w:rsidRPr="00FB4EFA" w:rsidRDefault="00EC74AD" w:rsidP="00863238">
            <w:pPr>
              <w:spacing w:line="240" w:lineRule="auto"/>
              <w:rPr>
                <w:sz w:val="20"/>
                <w:szCs w:val="20"/>
              </w:rPr>
            </w:pPr>
            <w:r w:rsidRPr="00FB4EFA">
              <w:rPr>
                <w:i/>
                <w:iCs/>
                <w:sz w:val="20"/>
                <w:szCs w:val="20"/>
              </w:rPr>
              <w:t xml:space="preserve">koristajatädi </w:t>
            </w:r>
            <w:r w:rsidRPr="00FB4EFA">
              <w:rPr>
                <w:sz w:val="20"/>
                <w:szCs w:val="20"/>
              </w:rPr>
              <w:t>‘cleaner+aunt’</w:t>
            </w:r>
          </w:p>
        </w:tc>
        <w:tc>
          <w:tcPr>
            <w:tcW w:w="0" w:type="auto"/>
          </w:tcPr>
          <w:p w14:paraId="1D3DE27B" w14:textId="77777777" w:rsidR="00EC74AD" w:rsidRPr="00FB4EFA" w:rsidRDefault="00EC74AD" w:rsidP="00863238">
            <w:pPr>
              <w:spacing w:line="240" w:lineRule="auto"/>
              <w:jc w:val="right"/>
              <w:rPr>
                <w:sz w:val="20"/>
                <w:szCs w:val="20"/>
              </w:rPr>
            </w:pPr>
            <w:r w:rsidRPr="00FB4EFA">
              <w:rPr>
                <w:sz w:val="20"/>
                <w:szCs w:val="20"/>
              </w:rPr>
              <w:t>83</w:t>
            </w:r>
          </w:p>
        </w:tc>
        <w:tc>
          <w:tcPr>
            <w:tcW w:w="0" w:type="auto"/>
          </w:tcPr>
          <w:p w14:paraId="6A265BED" w14:textId="29B460E6" w:rsidR="00EC74AD" w:rsidRPr="00FB4EFA" w:rsidRDefault="00EC74AD" w:rsidP="00863238">
            <w:pPr>
              <w:spacing w:line="240" w:lineRule="auto"/>
              <w:rPr>
                <w:sz w:val="20"/>
                <w:szCs w:val="20"/>
              </w:rPr>
            </w:pPr>
            <w:r w:rsidRPr="00FB4EFA">
              <w:rPr>
                <w:i/>
                <w:iCs/>
                <w:sz w:val="20"/>
                <w:szCs w:val="20"/>
              </w:rPr>
              <w:t xml:space="preserve">koristajaonu </w:t>
            </w:r>
            <w:r w:rsidRPr="00FB4EFA">
              <w:rPr>
                <w:sz w:val="20"/>
                <w:szCs w:val="20"/>
              </w:rPr>
              <w:t>‘cleaner+uncle</w:t>
            </w:r>
            <w:r w:rsidR="007C5960" w:rsidRPr="00FB4EFA">
              <w:rPr>
                <w:sz w:val="20"/>
                <w:szCs w:val="20"/>
              </w:rPr>
              <w:t>’</w:t>
            </w:r>
          </w:p>
        </w:tc>
        <w:tc>
          <w:tcPr>
            <w:tcW w:w="0" w:type="auto"/>
          </w:tcPr>
          <w:p w14:paraId="5CA18BBB" w14:textId="77777777" w:rsidR="00EC74AD" w:rsidRPr="00FB4EFA" w:rsidRDefault="00EC74AD" w:rsidP="00863238">
            <w:pPr>
              <w:spacing w:line="240" w:lineRule="auto"/>
              <w:jc w:val="right"/>
              <w:rPr>
                <w:sz w:val="20"/>
                <w:szCs w:val="20"/>
              </w:rPr>
            </w:pPr>
            <w:r w:rsidRPr="00FB4EFA">
              <w:rPr>
                <w:sz w:val="20"/>
                <w:szCs w:val="20"/>
              </w:rPr>
              <w:t>4</w:t>
            </w:r>
          </w:p>
        </w:tc>
      </w:tr>
      <w:tr w:rsidR="00FB4EFA" w:rsidRPr="00FB4EFA" w14:paraId="531A2B3D" w14:textId="77777777" w:rsidTr="00EC74AD">
        <w:tc>
          <w:tcPr>
            <w:tcW w:w="0" w:type="auto"/>
          </w:tcPr>
          <w:p w14:paraId="401C4660" w14:textId="77777777" w:rsidR="00EC74AD" w:rsidRPr="00FB4EFA" w:rsidRDefault="00EC74AD" w:rsidP="00863238">
            <w:pPr>
              <w:spacing w:line="240" w:lineRule="auto"/>
              <w:rPr>
                <w:sz w:val="20"/>
                <w:szCs w:val="20"/>
              </w:rPr>
            </w:pPr>
            <w:r w:rsidRPr="00FB4EFA">
              <w:rPr>
                <w:i/>
                <w:iCs/>
                <w:sz w:val="20"/>
                <w:szCs w:val="20"/>
              </w:rPr>
              <w:t xml:space="preserve">müüjatädi </w:t>
            </w:r>
            <w:r w:rsidRPr="00FB4EFA">
              <w:rPr>
                <w:sz w:val="20"/>
                <w:szCs w:val="20"/>
              </w:rPr>
              <w:t>‘seller+aunt’</w:t>
            </w:r>
          </w:p>
        </w:tc>
        <w:tc>
          <w:tcPr>
            <w:tcW w:w="0" w:type="auto"/>
          </w:tcPr>
          <w:p w14:paraId="17C49FA1" w14:textId="77777777" w:rsidR="00EC74AD" w:rsidRPr="00FB4EFA" w:rsidRDefault="00EC74AD" w:rsidP="00863238">
            <w:pPr>
              <w:spacing w:line="240" w:lineRule="auto"/>
              <w:jc w:val="right"/>
              <w:rPr>
                <w:sz w:val="20"/>
                <w:szCs w:val="20"/>
              </w:rPr>
            </w:pPr>
            <w:r w:rsidRPr="00FB4EFA">
              <w:rPr>
                <w:sz w:val="20"/>
                <w:szCs w:val="20"/>
              </w:rPr>
              <w:t>50</w:t>
            </w:r>
          </w:p>
        </w:tc>
        <w:tc>
          <w:tcPr>
            <w:tcW w:w="0" w:type="auto"/>
          </w:tcPr>
          <w:p w14:paraId="6D2C934A" w14:textId="77777777" w:rsidR="00EC74AD" w:rsidRPr="00FB4EFA" w:rsidRDefault="00EC74AD" w:rsidP="00863238">
            <w:pPr>
              <w:spacing w:line="240" w:lineRule="auto"/>
              <w:rPr>
                <w:sz w:val="20"/>
                <w:szCs w:val="20"/>
              </w:rPr>
            </w:pPr>
            <w:r w:rsidRPr="00FB4EFA">
              <w:rPr>
                <w:i/>
                <w:iCs/>
                <w:sz w:val="20"/>
                <w:szCs w:val="20"/>
              </w:rPr>
              <w:t xml:space="preserve">müüjaonu </w:t>
            </w:r>
            <w:r w:rsidRPr="00FB4EFA">
              <w:rPr>
                <w:sz w:val="20"/>
                <w:szCs w:val="20"/>
              </w:rPr>
              <w:t>‘seller+uncle’</w:t>
            </w:r>
          </w:p>
        </w:tc>
        <w:tc>
          <w:tcPr>
            <w:tcW w:w="0" w:type="auto"/>
          </w:tcPr>
          <w:p w14:paraId="621B79BD" w14:textId="77777777" w:rsidR="00EC74AD" w:rsidRPr="00FB4EFA" w:rsidRDefault="00EC74AD" w:rsidP="00863238">
            <w:pPr>
              <w:spacing w:line="240" w:lineRule="auto"/>
              <w:jc w:val="right"/>
              <w:rPr>
                <w:sz w:val="20"/>
                <w:szCs w:val="20"/>
              </w:rPr>
            </w:pPr>
            <w:r w:rsidRPr="00FB4EFA">
              <w:rPr>
                <w:sz w:val="20"/>
                <w:szCs w:val="20"/>
              </w:rPr>
              <w:t>5</w:t>
            </w:r>
          </w:p>
        </w:tc>
      </w:tr>
      <w:tr w:rsidR="00FB4EFA" w:rsidRPr="00FB4EFA" w14:paraId="0614F259" w14:textId="77777777" w:rsidTr="00EC74AD">
        <w:tc>
          <w:tcPr>
            <w:tcW w:w="0" w:type="auto"/>
          </w:tcPr>
          <w:p w14:paraId="2DF9AC5C" w14:textId="77777777" w:rsidR="00EC74AD" w:rsidRPr="00FB4EFA" w:rsidRDefault="00EC74AD" w:rsidP="00863238">
            <w:pPr>
              <w:keepNext/>
              <w:spacing w:line="240" w:lineRule="auto"/>
              <w:rPr>
                <w:sz w:val="20"/>
                <w:szCs w:val="20"/>
              </w:rPr>
            </w:pPr>
            <w:r w:rsidRPr="00FB4EFA">
              <w:rPr>
                <w:i/>
                <w:iCs/>
                <w:sz w:val="20"/>
                <w:szCs w:val="20"/>
              </w:rPr>
              <w:t>tohtritädi</w:t>
            </w:r>
            <w:r w:rsidRPr="00FB4EFA">
              <w:rPr>
                <w:sz w:val="20"/>
                <w:szCs w:val="20"/>
              </w:rPr>
              <w:t xml:space="preserve"> ‘doctor+aunt’</w:t>
            </w:r>
          </w:p>
        </w:tc>
        <w:tc>
          <w:tcPr>
            <w:tcW w:w="0" w:type="auto"/>
          </w:tcPr>
          <w:p w14:paraId="5E562029" w14:textId="77777777" w:rsidR="00EC74AD" w:rsidRPr="00FB4EFA" w:rsidRDefault="00EC74AD" w:rsidP="00863238">
            <w:pPr>
              <w:keepNext/>
              <w:spacing w:line="240" w:lineRule="auto"/>
              <w:jc w:val="right"/>
              <w:rPr>
                <w:sz w:val="20"/>
                <w:szCs w:val="20"/>
              </w:rPr>
            </w:pPr>
            <w:r w:rsidRPr="00FB4EFA">
              <w:rPr>
                <w:sz w:val="20"/>
                <w:szCs w:val="20"/>
              </w:rPr>
              <w:t>5</w:t>
            </w:r>
          </w:p>
        </w:tc>
        <w:tc>
          <w:tcPr>
            <w:tcW w:w="0" w:type="auto"/>
          </w:tcPr>
          <w:p w14:paraId="291C9D76" w14:textId="77777777" w:rsidR="00EC74AD" w:rsidRPr="00FB4EFA" w:rsidRDefault="00EC74AD" w:rsidP="00863238">
            <w:pPr>
              <w:keepNext/>
              <w:spacing w:line="240" w:lineRule="auto"/>
              <w:rPr>
                <w:sz w:val="20"/>
                <w:szCs w:val="20"/>
              </w:rPr>
            </w:pPr>
            <w:r w:rsidRPr="00FB4EFA">
              <w:rPr>
                <w:i/>
                <w:iCs/>
                <w:sz w:val="20"/>
                <w:szCs w:val="20"/>
              </w:rPr>
              <w:t>tohtrionu</w:t>
            </w:r>
            <w:r w:rsidRPr="00FB4EFA">
              <w:rPr>
                <w:sz w:val="20"/>
                <w:szCs w:val="20"/>
              </w:rPr>
              <w:t xml:space="preserve"> ‘doctor+uncle’</w:t>
            </w:r>
          </w:p>
        </w:tc>
        <w:tc>
          <w:tcPr>
            <w:tcW w:w="0" w:type="auto"/>
          </w:tcPr>
          <w:p w14:paraId="49D1862B" w14:textId="77777777" w:rsidR="00EC74AD" w:rsidRPr="00FB4EFA" w:rsidRDefault="00EC74AD" w:rsidP="00863238">
            <w:pPr>
              <w:keepNext/>
              <w:spacing w:line="240" w:lineRule="auto"/>
              <w:jc w:val="right"/>
              <w:rPr>
                <w:sz w:val="20"/>
                <w:szCs w:val="20"/>
              </w:rPr>
            </w:pPr>
            <w:r w:rsidRPr="00FB4EFA">
              <w:rPr>
                <w:sz w:val="20"/>
                <w:szCs w:val="20"/>
              </w:rPr>
              <w:t>26</w:t>
            </w:r>
          </w:p>
        </w:tc>
      </w:tr>
      <w:tr w:rsidR="00FB4EFA" w:rsidRPr="00FB4EFA" w14:paraId="68C78EEA" w14:textId="77777777" w:rsidTr="00EC74AD">
        <w:tc>
          <w:tcPr>
            <w:tcW w:w="0" w:type="auto"/>
          </w:tcPr>
          <w:p w14:paraId="6CA1E1D3" w14:textId="77777777" w:rsidR="00EC74AD" w:rsidRPr="00FB4EFA" w:rsidRDefault="00EC74AD" w:rsidP="00863238">
            <w:pPr>
              <w:spacing w:line="240" w:lineRule="auto"/>
              <w:rPr>
                <w:sz w:val="20"/>
                <w:szCs w:val="20"/>
              </w:rPr>
            </w:pPr>
            <w:r w:rsidRPr="00FB4EFA">
              <w:rPr>
                <w:i/>
                <w:iCs/>
                <w:sz w:val="20"/>
                <w:szCs w:val="20"/>
              </w:rPr>
              <w:t xml:space="preserve">õmblejatädi </w:t>
            </w:r>
            <w:r w:rsidRPr="00FB4EFA">
              <w:rPr>
                <w:sz w:val="20"/>
                <w:szCs w:val="20"/>
              </w:rPr>
              <w:t>‘sewer+aunt’</w:t>
            </w:r>
          </w:p>
        </w:tc>
        <w:tc>
          <w:tcPr>
            <w:tcW w:w="0" w:type="auto"/>
          </w:tcPr>
          <w:p w14:paraId="19613CE9" w14:textId="77777777" w:rsidR="00EC74AD" w:rsidRPr="00FB4EFA" w:rsidRDefault="00EC74AD" w:rsidP="00863238">
            <w:pPr>
              <w:spacing w:line="240" w:lineRule="auto"/>
              <w:jc w:val="right"/>
              <w:rPr>
                <w:sz w:val="20"/>
                <w:szCs w:val="20"/>
              </w:rPr>
            </w:pPr>
            <w:r w:rsidRPr="00FB4EFA">
              <w:rPr>
                <w:sz w:val="20"/>
                <w:szCs w:val="20"/>
              </w:rPr>
              <w:t>1</w:t>
            </w:r>
          </w:p>
        </w:tc>
        <w:tc>
          <w:tcPr>
            <w:tcW w:w="0" w:type="auto"/>
          </w:tcPr>
          <w:p w14:paraId="426A87CB" w14:textId="77777777" w:rsidR="00EC74AD" w:rsidRPr="00FB4EFA" w:rsidRDefault="00EC74AD" w:rsidP="00863238">
            <w:pPr>
              <w:spacing w:line="240" w:lineRule="auto"/>
              <w:rPr>
                <w:sz w:val="20"/>
                <w:szCs w:val="20"/>
              </w:rPr>
            </w:pPr>
            <w:r w:rsidRPr="00FB4EFA">
              <w:rPr>
                <w:sz w:val="20"/>
                <w:szCs w:val="20"/>
              </w:rPr>
              <w:t>-</w:t>
            </w:r>
          </w:p>
        </w:tc>
        <w:tc>
          <w:tcPr>
            <w:tcW w:w="0" w:type="auto"/>
          </w:tcPr>
          <w:p w14:paraId="0BE845B9" w14:textId="77777777" w:rsidR="00EC74AD" w:rsidRPr="00FB4EFA" w:rsidRDefault="00EC74AD" w:rsidP="00863238">
            <w:pPr>
              <w:spacing w:line="240" w:lineRule="auto"/>
              <w:jc w:val="right"/>
              <w:rPr>
                <w:sz w:val="20"/>
                <w:szCs w:val="20"/>
              </w:rPr>
            </w:pPr>
          </w:p>
        </w:tc>
      </w:tr>
    </w:tbl>
    <w:p w14:paraId="4AC29680" w14:textId="635BC71F" w:rsidR="00EC74AD" w:rsidRPr="00FB4EFA" w:rsidRDefault="00EC74AD" w:rsidP="002752AF">
      <w:pPr>
        <w:spacing w:before="240" w:after="240"/>
        <w:rPr>
          <w:lang w:val="en-US"/>
        </w:rPr>
      </w:pPr>
      <w:r w:rsidRPr="00FB4EFA">
        <w:rPr>
          <w:lang w:val="en-US"/>
        </w:rPr>
        <w:t xml:space="preserve">Just like the words </w:t>
      </w:r>
      <w:r w:rsidRPr="00FB4EFA">
        <w:rPr>
          <w:i/>
          <w:iCs/>
          <w:lang w:val="en-US"/>
        </w:rPr>
        <w:t>tädi</w:t>
      </w:r>
      <w:r w:rsidRPr="00FB4EFA">
        <w:rPr>
          <w:lang w:val="en-US"/>
        </w:rPr>
        <w:t xml:space="preserve"> ‘aunt’ and </w:t>
      </w:r>
      <w:r w:rsidRPr="00FB4EFA">
        <w:rPr>
          <w:i/>
          <w:iCs/>
          <w:lang w:val="en-US"/>
        </w:rPr>
        <w:t>onu</w:t>
      </w:r>
      <w:r w:rsidRPr="00FB4EFA">
        <w:rPr>
          <w:lang w:val="en-US"/>
        </w:rPr>
        <w:t xml:space="preserve"> ‘uncle’ by themselves, the compounds listed above are often used by children or in contexts that involve children, </w:t>
      </w:r>
      <w:r w:rsidR="00466236" w:rsidRPr="00FB4EFA">
        <w:rPr>
          <w:lang w:val="en-US"/>
        </w:rPr>
        <w:t>e.g., </w:t>
      </w:r>
      <w:r w:rsidRPr="00FB4EFA">
        <w:rPr>
          <w:lang w:val="en-US"/>
        </w:rPr>
        <w:t>when addressing children (6) or when talking about a person who works at a kindergarten or school (7).</w:t>
      </w:r>
    </w:p>
    <w:p w14:paraId="26149121" w14:textId="77777777" w:rsidR="00EC74AD" w:rsidRPr="00FB4EFA" w:rsidRDefault="00EC74AD" w:rsidP="00863238">
      <w:pPr>
        <w:spacing w:before="240" w:after="240" w:line="240" w:lineRule="auto"/>
        <w:ind w:left="705" w:hanging="705"/>
        <w:rPr>
          <w:lang w:val="en-US"/>
        </w:rPr>
      </w:pPr>
      <w:r w:rsidRPr="00FB4EFA">
        <w:t>(6)</w:t>
      </w:r>
      <w:r w:rsidRPr="00FB4EFA">
        <w:tab/>
      </w:r>
      <w:r w:rsidRPr="00FB4EFA">
        <w:rPr>
          <w:i/>
          <w:iCs/>
        </w:rPr>
        <w:t xml:space="preserve">Tule kooli </w:t>
      </w:r>
      <w:r w:rsidRPr="00FB4EFA">
        <w:rPr>
          <w:b/>
          <w:bCs/>
          <w:i/>
          <w:iCs/>
        </w:rPr>
        <w:t>arstionuna</w:t>
      </w:r>
      <w:r w:rsidRPr="00FB4EFA">
        <w:rPr>
          <w:i/>
          <w:iCs/>
        </w:rPr>
        <w:t xml:space="preserve"> või </w:t>
      </w:r>
      <w:r w:rsidRPr="00FB4EFA">
        <w:rPr>
          <w:b/>
          <w:bCs/>
          <w:i/>
          <w:iCs/>
        </w:rPr>
        <w:t>arstitädina</w:t>
      </w:r>
      <w:r w:rsidRPr="00FB4EFA">
        <w:rPr>
          <w:i/>
          <w:iCs/>
        </w:rPr>
        <w:t xml:space="preserve"> või hoopis </w:t>
      </w:r>
      <w:r w:rsidRPr="00FB4EFA">
        <w:rPr>
          <w:b/>
          <w:bCs/>
          <w:i/>
          <w:iCs/>
        </w:rPr>
        <w:t>doktorina</w:t>
      </w:r>
      <w:r w:rsidRPr="00FB4EFA">
        <w:rPr>
          <w:i/>
          <w:iCs/>
        </w:rPr>
        <w:t>.</w:t>
      </w:r>
      <w:r w:rsidRPr="00FB4EFA">
        <w:rPr>
          <w:i/>
          <w:iCs/>
        </w:rPr>
        <w:br/>
      </w:r>
      <w:r w:rsidRPr="00FB4EFA">
        <w:rPr>
          <w:lang w:val="en-US"/>
        </w:rPr>
        <w:t xml:space="preserve">‘Come to school as a </w:t>
      </w:r>
      <w:r w:rsidRPr="00FB4EFA">
        <w:rPr>
          <w:b/>
          <w:bCs/>
          <w:lang w:val="en-US"/>
        </w:rPr>
        <w:t>male physician (lit. physician+uncle)</w:t>
      </w:r>
      <w:r w:rsidRPr="00FB4EFA">
        <w:rPr>
          <w:lang w:val="en-US"/>
        </w:rPr>
        <w:t xml:space="preserve"> or </w:t>
      </w:r>
      <w:r w:rsidRPr="00FB4EFA">
        <w:rPr>
          <w:b/>
          <w:bCs/>
          <w:lang w:val="en-US"/>
        </w:rPr>
        <w:t xml:space="preserve">female physician (lit. physician+aunt) </w:t>
      </w:r>
      <w:r w:rsidRPr="00FB4EFA">
        <w:rPr>
          <w:lang w:val="en-US"/>
        </w:rPr>
        <w:t xml:space="preserve">or rather as a </w:t>
      </w:r>
      <w:r w:rsidRPr="00FB4EFA">
        <w:rPr>
          <w:b/>
          <w:bCs/>
          <w:lang w:val="en-US"/>
        </w:rPr>
        <w:t>doctor</w:t>
      </w:r>
      <w:r w:rsidRPr="00FB4EFA">
        <w:rPr>
          <w:lang w:val="en-US"/>
        </w:rPr>
        <w:t>.’ (etTenTen19; originally a call for pupils to dress up as a physician for the school’s “Health Day”)</w:t>
      </w:r>
    </w:p>
    <w:p w14:paraId="7E1076A7" w14:textId="77777777" w:rsidR="00EC74AD" w:rsidRPr="00FB4EFA" w:rsidRDefault="00EC74AD" w:rsidP="002752AF">
      <w:pPr>
        <w:keepLines/>
        <w:spacing w:line="240" w:lineRule="auto"/>
        <w:ind w:left="709" w:hanging="709"/>
        <w:rPr>
          <w:lang w:val="en-US"/>
        </w:rPr>
      </w:pPr>
      <w:r w:rsidRPr="00FB4EFA">
        <w:rPr>
          <w:lang w:val="fi-FI"/>
        </w:rPr>
        <w:t>(7)</w:t>
      </w:r>
      <w:r w:rsidRPr="00FB4EFA">
        <w:rPr>
          <w:lang w:val="fi-FI"/>
        </w:rPr>
        <w:tab/>
      </w:r>
      <w:r w:rsidRPr="00FB4EFA">
        <w:rPr>
          <w:i/>
          <w:iCs/>
          <w:lang w:val="fi-FI"/>
        </w:rPr>
        <w:t xml:space="preserve">Muidugi kõik lasteaias teadsid, et neil ei ole tööl mitte </w:t>
      </w:r>
      <w:r w:rsidRPr="00FB4EFA">
        <w:rPr>
          <w:b/>
          <w:bCs/>
          <w:i/>
          <w:iCs/>
          <w:lang w:val="fi-FI"/>
        </w:rPr>
        <w:t>kokatädi</w:t>
      </w:r>
      <w:r w:rsidRPr="00FB4EFA">
        <w:rPr>
          <w:i/>
          <w:iCs/>
          <w:lang w:val="fi-FI"/>
        </w:rPr>
        <w:t xml:space="preserve">, vaid </w:t>
      </w:r>
      <w:r w:rsidRPr="00FB4EFA">
        <w:rPr>
          <w:b/>
          <w:bCs/>
          <w:i/>
          <w:iCs/>
          <w:lang w:val="fi-FI"/>
        </w:rPr>
        <w:t>kokaonu</w:t>
      </w:r>
      <w:r w:rsidRPr="00FB4EFA">
        <w:rPr>
          <w:i/>
          <w:iCs/>
          <w:lang w:val="fi-FI"/>
        </w:rPr>
        <w:t>, aga mina seda ilmselgelt ei teadnud ja sellest aru ei saanud!</w:t>
      </w:r>
      <w:r w:rsidRPr="00FB4EFA">
        <w:rPr>
          <w:i/>
          <w:iCs/>
          <w:lang w:val="fi-FI"/>
        </w:rPr>
        <w:br/>
      </w:r>
      <w:r w:rsidRPr="00FB4EFA">
        <w:rPr>
          <w:lang w:val="en-US"/>
        </w:rPr>
        <w:t xml:space="preserve">‘Of course everybody in the kindergarten knew that they did not have a </w:t>
      </w:r>
      <w:r w:rsidRPr="00FB4EFA">
        <w:rPr>
          <w:b/>
          <w:bCs/>
          <w:lang w:val="en-US"/>
        </w:rPr>
        <w:t>female chef (lit. chef+aunt)</w:t>
      </w:r>
      <w:r w:rsidRPr="00FB4EFA">
        <w:rPr>
          <w:lang w:val="en-US"/>
        </w:rPr>
        <w:t xml:space="preserve"> working there, but a </w:t>
      </w:r>
      <w:r w:rsidRPr="00FB4EFA">
        <w:rPr>
          <w:b/>
          <w:bCs/>
          <w:lang w:val="en-US"/>
        </w:rPr>
        <w:t>male chef (lit. chef+uncle)</w:t>
      </w:r>
      <w:r w:rsidRPr="00FB4EFA">
        <w:rPr>
          <w:lang w:val="en-US"/>
        </w:rPr>
        <w:t>, but I clearly did not know nor understand that.’ (etTenTen19)</w:t>
      </w:r>
    </w:p>
    <w:p w14:paraId="58A4D270" w14:textId="6EA84960" w:rsidR="00EC74AD" w:rsidRPr="00FB4EFA" w:rsidRDefault="00EC74AD" w:rsidP="00AF0CAD">
      <w:pPr>
        <w:spacing w:before="240"/>
        <w:rPr>
          <w:lang w:val="en-US"/>
        </w:rPr>
      </w:pPr>
      <w:r w:rsidRPr="00FB4EFA">
        <w:rPr>
          <w:lang w:val="en-US"/>
        </w:rPr>
        <w:t xml:space="preserve">The corresponding words can also function in a similar way in Hungarian and Finnish. In Hungarian, the expressions </w:t>
      </w:r>
      <w:r w:rsidRPr="00FB4EFA">
        <w:rPr>
          <w:i/>
          <w:iCs/>
          <w:lang w:val="en-US"/>
        </w:rPr>
        <w:t>doktor néni</w:t>
      </w:r>
      <w:r w:rsidRPr="00FB4EFA">
        <w:rPr>
          <w:lang w:val="en-US"/>
        </w:rPr>
        <w:t xml:space="preserve">, </w:t>
      </w:r>
      <w:r w:rsidRPr="00FB4EFA">
        <w:rPr>
          <w:i/>
          <w:iCs/>
          <w:lang w:val="en-US"/>
        </w:rPr>
        <w:t>doktor bácsi</w:t>
      </w:r>
      <w:r w:rsidRPr="00FB4EFA">
        <w:rPr>
          <w:lang w:val="en-US"/>
        </w:rPr>
        <w:t xml:space="preserve">, </w:t>
      </w:r>
      <w:r w:rsidR="00F662F9" w:rsidRPr="00FB4EFA">
        <w:rPr>
          <w:lang w:val="en-US"/>
        </w:rPr>
        <w:br/>
      </w:r>
      <w:r w:rsidRPr="00FB4EFA">
        <w:rPr>
          <w:lang w:val="en-US"/>
        </w:rPr>
        <w:lastRenderedPageBreak/>
        <w:t xml:space="preserve">‘female/male doctor’ and </w:t>
      </w:r>
      <w:r w:rsidRPr="00FB4EFA">
        <w:rPr>
          <w:i/>
          <w:iCs/>
          <w:lang w:val="en-US"/>
        </w:rPr>
        <w:t>tanító néni</w:t>
      </w:r>
      <w:r w:rsidRPr="00FB4EFA">
        <w:rPr>
          <w:lang w:val="en-US"/>
        </w:rPr>
        <w:t xml:space="preserve">, </w:t>
      </w:r>
      <w:r w:rsidRPr="00FB4EFA">
        <w:rPr>
          <w:i/>
          <w:iCs/>
          <w:lang w:val="en-US"/>
        </w:rPr>
        <w:t xml:space="preserve">tanító bácsi </w:t>
      </w:r>
      <w:r w:rsidRPr="00FB4EFA">
        <w:rPr>
          <w:lang w:val="en-US"/>
        </w:rPr>
        <w:t>‘female/male teacher’</w:t>
      </w:r>
      <w:r w:rsidRPr="00FB4EFA">
        <w:rPr>
          <w:i/>
          <w:iCs/>
          <w:lang w:val="en-US"/>
        </w:rPr>
        <w:t xml:space="preserve"> </w:t>
      </w:r>
      <w:r w:rsidRPr="00FB4EFA">
        <w:rPr>
          <w:lang w:val="en-US"/>
        </w:rPr>
        <w:t xml:space="preserve">featuring the words </w:t>
      </w:r>
      <w:r w:rsidRPr="00FB4EFA">
        <w:rPr>
          <w:i/>
          <w:iCs/>
          <w:lang w:val="en-US"/>
        </w:rPr>
        <w:t>néni</w:t>
      </w:r>
      <w:r w:rsidRPr="00FB4EFA">
        <w:rPr>
          <w:lang w:val="en-US"/>
        </w:rPr>
        <w:t xml:space="preserve"> ‘older lady, aunt’ and </w:t>
      </w:r>
      <w:r w:rsidRPr="00FB4EFA">
        <w:rPr>
          <w:i/>
          <w:iCs/>
          <w:lang w:val="en-US"/>
        </w:rPr>
        <w:t>bácsi</w:t>
      </w:r>
      <w:r w:rsidRPr="00FB4EFA">
        <w:rPr>
          <w:lang w:val="en-US"/>
        </w:rPr>
        <w:t xml:space="preserve"> ‘sir, uncle’ are very common in contexts where children are addressed. In Finnish, the words </w:t>
      </w:r>
      <w:r w:rsidRPr="00FB4EFA">
        <w:rPr>
          <w:i/>
          <w:iCs/>
          <w:lang w:val="en-US"/>
        </w:rPr>
        <w:t>täti</w:t>
      </w:r>
      <w:r w:rsidRPr="00FB4EFA">
        <w:rPr>
          <w:lang w:val="en-US"/>
        </w:rPr>
        <w:t xml:space="preserve"> ‘aunt’ and </w:t>
      </w:r>
      <w:r w:rsidRPr="00FB4EFA">
        <w:rPr>
          <w:i/>
          <w:iCs/>
          <w:lang w:val="en-US"/>
        </w:rPr>
        <w:t>setä</w:t>
      </w:r>
      <w:r w:rsidRPr="00FB4EFA">
        <w:rPr>
          <w:lang w:val="en-US"/>
        </w:rPr>
        <w:t xml:space="preserve"> ‘uncle’ can form compounds with various job titles, such as, for instance, </w:t>
      </w:r>
      <w:r w:rsidRPr="00FB4EFA">
        <w:rPr>
          <w:i/>
          <w:iCs/>
          <w:lang w:val="en-US"/>
        </w:rPr>
        <w:t>opettajatäti</w:t>
      </w:r>
      <w:r w:rsidRPr="00FB4EFA">
        <w:rPr>
          <w:lang w:val="en-US"/>
        </w:rPr>
        <w:t xml:space="preserve"> ‘lit. teacher+aunt’, </w:t>
      </w:r>
      <w:r w:rsidRPr="00FB4EFA">
        <w:rPr>
          <w:i/>
          <w:iCs/>
          <w:lang w:val="en-US"/>
        </w:rPr>
        <w:t>lääkärisetä</w:t>
      </w:r>
      <w:r w:rsidRPr="00FB4EFA">
        <w:rPr>
          <w:lang w:val="en-US"/>
        </w:rPr>
        <w:t xml:space="preserve"> ‘lit. </w:t>
      </w:r>
      <w:r w:rsidR="00F662F9" w:rsidRPr="00FB4EFA">
        <w:rPr>
          <w:lang w:val="en-US"/>
        </w:rPr>
        <w:br/>
      </w:r>
      <w:r w:rsidRPr="00FB4EFA">
        <w:rPr>
          <w:lang w:val="en-US"/>
        </w:rPr>
        <w:t xml:space="preserve">doctor+uncle’, and occasionally even </w:t>
      </w:r>
      <w:r w:rsidRPr="00FB4EFA">
        <w:rPr>
          <w:i/>
          <w:iCs/>
          <w:lang w:val="en-US"/>
        </w:rPr>
        <w:t>esimiestäti</w:t>
      </w:r>
      <w:r w:rsidRPr="00FB4EFA">
        <w:rPr>
          <w:lang w:val="en-US"/>
        </w:rPr>
        <w:t xml:space="preserve"> ‘lit. boss+aunt’ or </w:t>
      </w:r>
      <w:r w:rsidR="00F662F9" w:rsidRPr="00FB4EFA">
        <w:rPr>
          <w:lang w:val="en-US"/>
        </w:rPr>
        <w:br/>
      </w:r>
      <w:r w:rsidRPr="00FB4EFA">
        <w:rPr>
          <w:i/>
          <w:iCs/>
          <w:lang w:val="en-US"/>
        </w:rPr>
        <w:t>palomiessetä</w:t>
      </w:r>
      <w:r w:rsidRPr="00FB4EFA">
        <w:rPr>
          <w:lang w:val="en-US"/>
        </w:rPr>
        <w:t xml:space="preserve"> ‘lit. fireman+uncle’, where the original job title already </w:t>
      </w:r>
      <w:r w:rsidR="00F662F9" w:rsidRPr="00FB4EFA">
        <w:rPr>
          <w:lang w:val="en-US"/>
        </w:rPr>
        <w:br/>
      </w:r>
      <w:r w:rsidRPr="00FB4EFA">
        <w:rPr>
          <w:lang w:val="en-US"/>
        </w:rPr>
        <w:t>contains a gendered part (see Section 3.3).</w:t>
      </w:r>
    </w:p>
    <w:p w14:paraId="4629F093" w14:textId="06028BE4" w:rsidR="00EC74AD" w:rsidRPr="00FB4EFA" w:rsidRDefault="00EC74AD" w:rsidP="002752AF">
      <w:pPr>
        <w:ind w:firstLine="720"/>
        <w:rPr>
          <w:lang w:val="en-US"/>
        </w:rPr>
      </w:pPr>
      <w:r w:rsidRPr="00FB4EFA">
        <w:rPr>
          <w:lang w:val="en-US"/>
        </w:rPr>
        <w:t xml:space="preserve">In Hungarian, Estonian, Finnish and Aanaar Saami, many of the gendered compounds described above are lexicalized, or at least the order of the elements in them is fixed. In Meadow Mari, on the other hand, this strategy, which was the </w:t>
      </w:r>
      <w:r w:rsidR="00DB7B0F" w:rsidRPr="00FB4EFA">
        <w:rPr>
          <w:lang w:val="en-US"/>
        </w:rPr>
        <w:t xml:space="preserve">one </w:t>
      </w:r>
      <w:r w:rsidRPr="00FB4EFA">
        <w:rPr>
          <w:lang w:val="en-US"/>
        </w:rPr>
        <w:t xml:space="preserve">most frequently used in the questionnaire, is more flexible. The gendered noun (usually </w:t>
      </w:r>
      <w:r w:rsidRPr="00FB4EFA">
        <w:rPr>
          <w:rFonts w:cs="Cambria"/>
          <w:i/>
          <w:iCs/>
          <w:lang w:val="fi-FI"/>
        </w:rPr>
        <w:t>ӱдырамаш</w:t>
      </w:r>
      <w:r w:rsidRPr="00FB4EFA">
        <w:rPr>
          <w:lang w:val="en-US"/>
        </w:rPr>
        <w:t xml:space="preserve"> ‘woman’, </w:t>
      </w:r>
      <w:r w:rsidRPr="00FB4EFA">
        <w:rPr>
          <w:rFonts w:cs="Cambria"/>
          <w:i/>
          <w:iCs/>
          <w:lang w:val="fi-FI"/>
        </w:rPr>
        <w:t>пӧръеҥ</w:t>
      </w:r>
      <w:r w:rsidRPr="00FB4EFA">
        <w:rPr>
          <w:lang w:val="en-US"/>
        </w:rPr>
        <w:t xml:space="preserve"> ‘man’, </w:t>
      </w:r>
      <w:r w:rsidRPr="00FB4EFA">
        <w:rPr>
          <w:rFonts w:cs="Cambria"/>
          <w:i/>
          <w:iCs/>
          <w:lang w:val="fi-FI"/>
        </w:rPr>
        <w:t>ӱдыр</w:t>
      </w:r>
      <w:r w:rsidRPr="00FB4EFA">
        <w:rPr>
          <w:lang w:val="en-US"/>
        </w:rPr>
        <w:t xml:space="preserve"> ‘girl’, or </w:t>
      </w:r>
      <w:r w:rsidRPr="00FB4EFA">
        <w:rPr>
          <w:rFonts w:cs="Cambria"/>
          <w:i/>
          <w:iCs/>
          <w:lang w:val="fi-FI"/>
        </w:rPr>
        <w:t>рвезе</w:t>
      </w:r>
      <w:r w:rsidRPr="00FB4EFA">
        <w:rPr>
          <w:lang w:val="en-US"/>
        </w:rPr>
        <w:t xml:space="preserve"> ‘boy’) can be placed either before or after the job title, </w:t>
      </w:r>
      <w:r w:rsidR="00466236" w:rsidRPr="00FB4EFA">
        <w:rPr>
          <w:lang w:val="en-US"/>
        </w:rPr>
        <w:t>e.g., </w:t>
      </w:r>
      <w:r w:rsidRPr="00FB4EFA">
        <w:rPr>
          <w:rFonts w:cs="Cambria"/>
          <w:i/>
          <w:iCs/>
          <w:lang w:val="fi-FI"/>
        </w:rPr>
        <w:t>ӱдырамаш</w:t>
      </w:r>
      <w:r w:rsidRPr="00FB4EFA">
        <w:rPr>
          <w:i/>
          <w:iCs/>
          <w:lang w:val="en-US"/>
        </w:rPr>
        <w:t xml:space="preserve"> </w:t>
      </w:r>
      <w:r w:rsidRPr="00FB4EFA">
        <w:rPr>
          <w:rFonts w:cs="Cambria"/>
          <w:i/>
          <w:iCs/>
          <w:lang w:val="fi-FI"/>
        </w:rPr>
        <w:t>туныктышо</w:t>
      </w:r>
      <w:r w:rsidRPr="00FB4EFA">
        <w:rPr>
          <w:lang w:val="en-US"/>
        </w:rPr>
        <w:t xml:space="preserve"> ‘lit. woman teacher</w:t>
      </w:r>
      <w:r w:rsidR="00841624" w:rsidRPr="00FB4EFA">
        <w:rPr>
          <w:lang w:val="en-US"/>
        </w:rPr>
        <w:t>’</w:t>
      </w:r>
      <w:r w:rsidRPr="00FB4EFA">
        <w:rPr>
          <w:lang w:val="en-US"/>
        </w:rPr>
        <w:t xml:space="preserve">, </w:t>
      </w:r>
      <w:r w:rsidRPr="00FB4EFA">
        <w:rPr>
          <w:rFonts w:cs="Cambria"/>
          <w:i/>
          <w:iCs/>
          <w:lang w:val="fi-FI"/>
        </w:rPr>
        <w:t>пӧръеҥ</w:t>
      </w:r>
      <w:r w:rsidRPr="00FB4EFA">
        <w:rPr>
          <w:i/>
          <w:iCs/>
          <w:lang w:val="en-US"/>
        </w:rPr>
        <w:t xml:space="preserve"> </w:t>
      </w:r>
      <w:r w:rsidRPr="00FB4EFA">
        <w:rPr>
          <w:rFonts w:cs="Cambria"/>
          <w:i/>
          <w:iCs/>
          <w:lang w:val="fi-FI"/>
        </w:rPr>
        <w:t>туныктышо</w:t>
      </w:r>
      <w:r w:rsidRPr="00FB4EFA">
        <w:rPr>
          <w:lang w:val="en-US"/>
        </w:rPr>
        <w:t xml:space="preserve"> ‘lit. man teacher’, </w:t>
      </w:r>
      <w:r w:rsidRPr="00FB4EFA">
        <w:rPr>
          <w:rFonts w:cs="Cambria"/>
          <w:i/>
          <w:iCs/>
          <w:lang w:val="fi-FI"/>
        </w:rPr>
        <w:t>ургызо</w:t>
      </w:r>
      <w:r w:rsidRPr="00FB4EFA">
        <w:rPr>
          <w:i/>
          <w:iCs/>
          <w:lang w:val="en-US"/>
        </w:rPr>
        <w:t xml:space="preserve"> </w:t>
      </w:r>
      <w:r w:rsidRPr="00FB4EFA">
        <w:rPr>
          <w:rFonts w:cs="Cambria"/>
          <w:i/>
          <w:iCs/>
          <w:lang w:val="fi-FI"/>
        </w:rPr>
        <w:t>ӱдыр</w:t>
      </w:r>
      <w:r w:rsidRPr="00FB4EFA">
        <w:rPr>
          <w:lang w:val="en-US"/>
        </w:rPr>
        <w:t xml:space="preserve"> ‘lit. tailor girl’, </w:t>
      </w:r>
      <w:r w:rsidRPr="00FB4EFA">
        <w:rPr>
          <w:rFonts w:cs="Cambria"/>
          <w:i/>
          <w:iCs/>
          <w:lang w:val="fi-FI"/>
        </w:rPr>
        <w:t>ургызо</w:t>
      </w:r>
      <w:r w:rsidRPr="00FB4EFA">
        <w:rPr>
          <w:i/>
          <w:iCs/>
          <w:lang w:val="en-US"/>
        </w:rPr>
        <w:t xml:space="preserve"> </w:t>
      </w:r>
      <w:r w:rsidRPr="00FB4EFA">
        <w:rPr>
          <w:rFonts w:cs="Cambria"/>
          <w:i/>
          <w:iCs/>
          <w:lang w:val="fi-FI"/>
        </w:rPr>
        <w:t>рвезе</w:t>
      </w:r>
      <w:r w:rsidRPr="00FB4EFA">
        <w:rPr>
          <w:lang w:val="en-US"/>
        </w:rPr>
        <w:t xml:space="preserve"> ‘lit. tailor boy’. Though usually </w:t>
      </w:r>
      <w:r w:rsidRPr="00FB4EFA">
        <w:rPr>
          <w:rFonts w:cs="Cambria"/>
          <w:i/>
          <w:iCs/>
          <w:lang w:val="fi-FI"/>
        </w:rPr>
        <w:t>ӱдырамаш</w:t>
      </w:r>
      <w:r w:rsidRPr="00FB4EFA">
        <w:rPr>
          <w:lang w:val="en-US"/>
        </w:rPr>
        <w:t xml:space="preserve"> and </w:t>
      </w:r>
      <w:r w:rsidRPr="00FB4EFA">
        <w:rPr>
          <w:rFonts w:cs="Cambria"/>
          <w:i/>
          <w:iCs/>
          <w:lang w:val="fi-FI"/>
        </w:rPr>
        <w:t>пӧръеҥ</w:t>
      </w:r>
      <w:r w:rsidRPr="00FB4EFA">
        <w:rPr>
          <w:lang w:val="en-US"/>
        </w:rPr>
        <w:t xml:space="preserve"> are placed before the job title and </w:t>
      </w:r>
      <w:r w:rsidRPr="00FB4EFA">
        <w:rPr>
          <w:rFonts w:cs="Cambria"/>
          <w:i/>
          <w:iCs/>
          <w:lang w:val="fi-FI"/>
        </w:rPr>
        <w:t>ӱдыр</w:t>
      </w:r>
      <w:r w:rsidRPr="00FB4EFA">
        <w:rPr>
          <w:lang w:val="en-US"/>
        </w:rPr>
        <w:t xml:space="preserve"> and </w:t>
      </w:r>
      <w:r w:rsidRPr="00FB4EFA">
        <w:rPr>
          <w:rFonts w:cs="Cambria"/>
          <w:i/>
          <w:iCs/>
          <w:lang w:val="fi-FI"/>
        </w:rPr>
        <w:t>рвезе</w:t>
      </w:r>
      <w:r w:rsidRPr="00FB4EFA">
        <w:rPr>
          <w:lang w:val="en-US"/>
        </w:rPr>
        <w:t xml:space="preserve"> after the job title, also gender-neutral job titles followed by </w:t>
      </w:r>
      <w:r w:rsidRPr="00FB4EFA">
        <w:rPr>
          <w:rFonts w:cs="Cambria"/>
          <w:i/>
          <w:iCs/>
          <w:lang w:val="fi-FI"/>
        </w:rPr>
        <w:t>ӱдырамаш</w:t>
      </w:r>
      <w:r w:rsidRPr="00FB4EFA">
        <w:rPr>
          <w:lang w:val="en-US"/>
        </w:rPr>
        <w:t xml:space="preserve"> or </w:t>
      </w:r>
      <w:r w:rsidRPr="00FB4EFA">
        <w:rPr>
          <w:rFonts w:cs="Cambria"/>
          <w:i/>
          <w:iCs/>
          <w:lang w:val="fi-FI"/>
        </w:rPr>
        <w:t>пӧръеҥ</w:t>
      </w:r>
      <w:r w:rsidRPr="00FB4EFA">
        <w:rPr>
          <w:lang w:val="en-US"/>
        </w:rPr>
        <w:t xml:space="preserve"> were mentioned by the respondents, </w:t>
      </w:r>
      <w:r w:rsidR="00466236" w:rsidRPr="00FB4EFA">
        <w:rPr>
          <w:lang w:val="en-US"/>
        </w:rPr>
        <w:t>e.g., </w:t>
      </w:r>
      <w:r w:rsidRPr="00FB4EFA">
        <w:rPr>
          <w:rFonts w:cs="Cambria"/>
          <w:i/>
          <w:iCs/>
          <w:lang w:val="fi-FI"/>
        </w:rPr>
        <w:t>эмлыше</w:t>
      </w:r>
      <w:r w:rsidRPr="00FB4EFA">
        <w:rPr>
          <w:i/>
          <w:iCs/>
          <w:lang w:val="en-US"/>
        </w:rPr>
        <w:t xml:space="preserve"> </w:t>
      </w:r>
      <w:r w:rsidRPr="00FB4EFA">
        <w:rPr>
          <w:rFonts w:cs="Cambria"/>
          <w:i/>
          <w:iCs/>
          <w:lang w:val="fi-FI"/>
        </w:rPr>
        <w:t>пӧръеҥ</w:t>
      </w:r>
      <w:r w:rsidRPr="00FB4EFA">
        <w:rPr>
          <w:lang w:val="en-US"/>
        </w:rPr>
        <w:t xml:space="preserve"> ‘doctor man’, </w:t>
      </w:r>
      <w:r w:rsidRPr="00FB4EFA">
        <w:rPr>
          <w:rFonts w:cs="Cambria"/>
          <w:i/>
          <w:iCs/>
          <w:lang w:val="fi-FI"/>
        </w:rPr>
        <w:t>ургызо</w:t>
      </w:r>
      <w:r w:rsidRPr="00FB4EFA">
        <w:rPr>
          <w:i/>
          <w:iCs/>
          <w:lang w:val="en-US"/>
        </w:rPr>
        <w:t xml:space="preserve"> </w:t>
      </w:r>
      <w:r w:rsidRPr="00FB4EFA">
        <w:rPr>
          <w:rFonts w:cs="Cambria"/>
          <w:i/>
          <w:iCs/>
          <w:lang w:val="fi-FI"/>
        </w:rPr>
        <w:t>пӧръеҥ</w:t>
      </w:r>
      <w:r w:rsidRPr="00FB4EFA">
        <w:rPr>
          <w:lang w:val="en-US"/>
        </w:rPr>
        <w:t xml:space="preserve"> ‘tailor man’, or </w:t>
      </w:r>
      <w:r w:rsidRPr="00FB4EFA">
        <w:rPr>
          <w:rFonts w:cs="Cambria"/>
          <w:i/>
          <w:iCs/>
          <w:lang w:val="fi-FI"/>
        </w:rPr>
        <w:t>сарзе</w:t>
      </w:r>
      <w:r w:rsidRPr="00FB4EFA">
        <w:rPr>
          <w:i/>
          <w:iCs/>
          <w:lang w:val="en-US"/>
        </w:rPr>
        <w:t xml:space="preserve"> </w:t>
      </w:r>
      <w:r w:rsidRPr="00FB4EFA">
        <w:rPr>
          <w:rFonts w:cs="Cambria"/>
          <w:i/>
          <w:iCs/>
          <w:lang w:val="fi-FI"/>
        </w:rPr>
        <w:t>ӱдырамаш</w:t>
      </w:r>
      <w:r w:rsidRPr="00FB4EFA">
        <w:rPr>
          <w:lang w:val="en-US"/>
        </w:rPr>
        <w:t xml:space="preserve"> ‘soldier woman’. The respondents also mentioned one word (not exactly a job title) with which other gendered nouns are used, namely </w:t>
      </w:r>
      <w:r w:rsidRPr="00FB4EFA">
        <w:rPr>
          <w:rFonts w:cs="Cambria"/>
          <w:i/>
          <w:iCs/>
          <w:lang w:val="fi-FI"/>
        </w:rPr>
        <w:t>оза</w:t>
      </w:r>
      <w:r w:rsidRPr="00FB4EFA">
        <w:rPr>
          <w:lang w:val="en-US"/>
        </w:rPr>
        <w:t xml:space="preserve"> ‘host, landlord’ &gt; </w:t>
      </w:r>
      <w:r w:rsidRPr="00FB4EFA">
        <w:rPr>
          <w:rFonts w:cs="Cambria"/>
          <w:i/>
          <w:iCs/>
          <w:lang w:val="fi-FI"/>
        </w:rPr>
        <w:t>озавате</w:t>
      </w:r>
      <w:r w:rsidRPr="00FB4EFA">
        <w:rPr>
          <w:lang w:val="en-US"/>
        </w:rPr>
        <w:t xml:space="preserve"> ‘lit host+wife’ (</w:t>
      </w:r>
      <w:r w:rsidRPr="00FB4EFA">
        <w:rPr>
          <w:rFonts w:cs="Cambria"/>
          <w:i/>
          <w:iCs/>
          <w:lang w:val="fi-FI"/>
        </w:rPr>
        <w:t>озавате</w:t>
      </w:r>
      <w:r w:rsidRPr="00FB4EFA">
        <w:rPr>
          <w:lang w:val="en-US"/>
        </w:rPr>
        <w:t xml:space="preserve"> was also mentioned as the neutral version by one of the speakers). In the corpus, also </w:t>
      </w:r>
      <w:r w:rsidRPr="00FB4EFA">
        <w:rPr>
          <w:rFonts w:cs="Cambria"/>
          <w:i/>
          <w:iCs/>
          <w:lang w:val="fi-FI"/>
        </w:rPr>
        <w:t>озакува</w:t>
      </w:r>
      <w:r w:rsidRPr="00FB4EFA">
        <w:rPr>
          <w:lang w:val="en-US"/>
        </w:rPr>
        <w:t xml:space="preserve"> ‘lit. host+old woman’ and its male counterpart </w:t>
      </w:r>
      <w:r w:rsidRPr="00FB4EFA">
        <w:rPr>
          <w:rFonts w:cs="Cambria"/>
          <w:i/>
          <w:iCs/>
          <w:lang w:val="fi-FI"/>
        </w:rPr>
        <w:t>озакугыза</w:t>
      </w:r>
      <w:r w:rsidRPr="00FB4EFA">
        <w:rPr>
          <w:lang w:val="en-US"/>
        </w:rPr>
        <w:t xml:space="preserve"> ‘lit. host+old man’ are attested.</w:t>
      </w:r>
    </w:p>
    <w:p w14:paraId="51FF01BB" w14:textId="73AEBC68" w:rsidR="00EC74AD" w:rsidRPr="00FB4EFA" w:rsidRDefault="00EC74AD" w:rsidP="002752AF">
      <w:pPr>
        <w:ind w:firstLine="720"/>
        <w:rPr>
          <w:lang w:val="en-US"/>
        </w:rPr>
      </w:pPr>
      <w:r w:rsidRPr="00FB4EFA">
        <w:rPr>
          <w:lang w:val="en-US"/>
        </w:rPr>
        <w:t xml:space="preserve">In the corpus, this strategy is not very common – most of the gendered forms are attested less than 10 times, and for most of the job titles the gendered forms make less than 1% of all the occurrences (gender-neutral versions and gendered versions in total). Exceptions are </w:t>
      </w:r>
      <w:r w:rsidRPr="00FB4EFA">
        <w:rPr>
          <w:rFonts w:cs="Cambria"/>
          <w:i/>
          <w:iCs/>
          <w:lang w:val="fi-FI"/>
        </w:rPr>
        <w:t>повар</w:t>
      </w:r>
      <w:r w:rsidRPr="00FB4EFA">
        <w:rPr>
          <w:lang w:val="en-US"/>
        </w:rPr>
        <w:t xml:space="preserve"> ‘cook’ (2.2%), </w:t>
      </w:r>
      <w:r w:rsidRPr="00FB4EFA">
        <w:rPr>
          <w:rFonts w:cs="Cambria"/>
          <w:i/>
          <w:iCs/>
          <w:lang w:val="fi-FI"/>
        </w:rPr>
        <w:t>тунемше</w:t>
      </w:r>
      <w:r w:rsidRPr="00FB4EFA">
        <w:rPr>
          <w:lang w:val="en-US"/>
        </w:rPr>
        <w:t xml:space="preserve"> ‘student’ (2.9%), </w:t>
      </w:r>
      <w:r w:rsidRPr="00FB4EFA">
        <w:rPr>
          <w:rFonts w:cs="Cambria"/>
          <w:i/>
          <w:iCs/>
          <w:lang w:val="fi-FI"/>
        </w:rPr>
        <w:t>кӱтӱчӧ</w:t>
      </w:r>
      <w:r w:rsidRPr="00FB4EFA">
        <w:rPr>
          <w:lang w:val="en-US"/>
        </w:rPr>
        <w:t xml:space="preserve"> ‘herder’ (3.28%), </w:t>
      </w:r>
      <w:r w:rsidRPr="00FB4EFA">
        <w:rPr>
          <w:rFonts w:cs="Cambria"/>
          <w:i/>
          <w:iCs/>
          <w:lang w:val="fi-FI"/>
        </w:rPr>
        <w:t>шолтышо</w:t>
      </w:r>
      <w:r w:rsidRPr="00FB4EFA">
        <w:rPr>
          <w:lang w:val="en-US"/>
        </w:rPr>
        <w:t xml:space="preserve"> ‘cook’ (6.4%), and </w:t>
      </w:r>
      <w:r w:rsidRPr="00FB4EFA">
        <w:rPr>
          <w:rFonts w:cs="Cambria"/>
          <w:i/>
          <w:iCs/>
          <w:lang w:val="fi-FI"/>
        </w:rPr>
        <w:t>оза</w:t>
      </w:r>
      <w:r w:rsidRPr="00FB4EFA">
        <w:rPr>
          <w:lang w:val="en-US"/>
        </w:rPr>
        <w:t xml:space="preserve"> ‘host, landlord’ (12.29%). The high frequency of gendered versions for </w:t>
      </w:r>
      <w:r w:rsidRPr="00FB4EFA">
        <w:rPr>
          <w:rFonts w:cs="Cambria"/>
          <w:i/>
          <w:iCs/>
          <w:lang w:val="fi-FI"/>
        </w:rPr>
        <w:t>оза</w:t>
      </w:r>
      <w:r w:rsidRPr="00FB4EFA">
        <w:rPr>
          <w:lang w:val="en-US"/>
        </w:rPr>
        <w:t xml:space="preserve"> might be partly explained by the fact that </w:t>
      </w:r>
      <w:r w:rsidRPr="00FB4EFA">
        <w:rPr>
          <w:rFonts w:cs="Cambria"/>
          <w:i/>
          <w:iCs/>
          <w:lang w:val="fi-FI"/>
        </w:rPr>
        <w:t>озавате</w:t>
      </w:r>
      <w:r w:rsidRPr="00FB4EFA">
        <w:rPr>
          <w:lang w:val="en-US"/>
        </w:rPr>
        <w:t xml:space="preserve">, </w:t>
      </w:r>
      <w:r w:rsidRPr="00FB4EFA">
        <w:rPr>
          <w:rFonts w:cs="Cambria"/>
          <w:i/>
          <w:iCs/>
          <w:lang w:val="fi-FI"/>
        </w:rPr>
        <w:t>озакува</w:t>
      </w:r>
      <w:r w:rsidRPr="00FB4EFA">
        <w:rPr>
          <w:lang w:val="en-US"/>
        </w:rPr>
        <w:t xml:space="preserve"> and </w:t>
      </w:r>
      <w:r w:rsidRPr="00FB4EFA">
        <w:rPr>
          <w:rFonts w:cs="Cambria"/>
          <w:i/>
          <w:iCs/>
          <w:lang w:val="fi-FI"/>
        </w:rPr>
        <w:t>озакугыза</w:t>
      </w:r>
      <w:r w:rsidRPr="00FB4EFA">
        <w:rPr>
          <w:lang w:val="en-US"/>
        </w:rPr>
        <w:t xml:space="preserve"> appear to be relatively fixed terms (compared to other gendered words in our study), which is also reflected in them being traditionally spelled as single words. This also holds true </w:t>
      </w:r>
      <w:r w:rsidRPr="00FB4EFA">
        <w:rPr>
          <w:lang w:val="en-US"/>
        </w:rPr>
        <w:lastRenderedPageBreak/>
        <w:t xml:space="preserve">for </w:t>
      </w:r>
      <w:r w:rsidRPr="00FB4EFA">
        <w:rPr>
          <w:rFonts w:cs="Cambria"/>
          <w:i/>
          <w:iCs/>
          <w:lang w:val="fi-FI"/>
        </w:rPr>
        <w:t>тулар</w:t>
      </w:r>
      <w:r w:rsidRPr="00FB4EFA">
        <w:rPr>
          <w:lang w:val="en-US"/>
        </w:rPr>
        <w:t xml:space="preserve"> ‘matchmaker’ and its gendered terms </w:t>
      </w:r>
      <w:r w:rsidRPr="00FB4EFA">
        <w:rPr>
          <w:rFonts w:cs="Cambria"/>
          <w:i/>
          <w:iCs/>
          <w:lang w:val="fi-FI"/>
        </w:rPr>
        <w:t>туларвате</w:t>
      </w:r>
      <w:r w:rsidRPr="00FB4EFA">
        <w:rPr>
          <w:lang w:val="en-US"/>
        </w:rPr>
        <w:t>/</w:t>
      </w:r>
      <w:r w:rsidRPr="00FB4EFA">
        <w:rPr>
          <w:rFonts w:cs="Cambria"/>
          <w:i/>
          <w:iCs/>
          <w:lang w:val="fi-FI"/>
        </w:rPr>
        <w:t>тулар</w:t>
      </w:r>
      <w:r w:rsidRPr="00FB4EFA">
        <w:rPr>
          <w:i/>
          <w:iCs/>
          <w:lang w:val="en-US"/>
        </w:rPr>
        <w:t xml:space="preserve"> </w:t>
      </w:r>
      <w:r w:rsidRPr="00FB4EFA">
        <w:rPr>
          <w:rFonts w:cs="Cambria"/>
          <w:i/>
          <w:iCs/>
          <w:lang w:val="fi-FI"/>
        </w:rPr>
        <w:t>вате</w:t>
      </w:r>
      <w:r w:rsidRPr="00FB4EFA">
        <w:rPr>
          <w:lang w:val="en-US"/>
        </w:rPr>
        <w:t xml:space="preserve"> ‘lit. matchmaker+wife‘ and </w:t>
      </w:r>
      <w:r w:rsidRPr="00FB4EFA">
        <w:rPr>
          <w:rFonts w:cs="Cambria"/>
          <w:i/>
          <w:iCs/>
          <w:lang w:val="fi-FI"/>
        </w:rPr>
        <w:t>тулармарий</w:t>
      </w:r>
      <w:r w:rsidRPr="00FB4EFA">
        <w:rPr>
          <w:lang w:val="en-US"/>
        </w:rPr>
        <w:t>/</w:t>
      </w:r>
      <w:r w:rsidRPr="00FB4EFA">
        <w:rPr>
          <w:rFonts w:cs="Cambria"/>
          <w:i/>
          <w:iCs/>
          <w:lang w:val="fi-FI"/>
        </w:rPr>
        <w:t>тулар</w:t>
      </w:r>
      <w:r w:rsidRPr="00FB4EFA">
        <w:rPr>
          <w:i/>
          <w:iCs/>
          <w:lang w:val="en-US"/>
        </w:rPr>
        <w:t xml:space="preserve"> </w:t>
      </w:r>
      <w:r w:rsidRPr="00FB4EFA">
        <w:rPr>
          <w:rFonts w:cs="Cambria"/>
          <w:i/>
          <w:iCs/>
          <w:lang w:val="fi-FI"/>
        </w:rPr>
        <w:t>марий</w:t>
      </w:r>
      <w:r w:rsidRPr="00FB4EFA">
        <w:rPr>
          <w:lang w:val="en-US"/>
        </w:rPr>
        <w:t xml:space="preserve"> ‘lit. matchmaker+husband‘ (18.12% of the total occurrences are gendered). However, not all the gendered expressions that can be written in one word are that common. For example, for the word </w:t>
      </w:r>
      <w:r w:rsidRPr="00FB4EFA">
        <w:rPr>
          <w:rFonts w:cs="Cambria"/>
          <w:i/>
          <w:iCs/>
          <w:lang w:val="fi-FI"/>
        </w:rPr>
        <w:t>таҥ</w:t>
      </w:r>
      <w:r w:rsidRPr="00FB4EFA">
        <w:rPr>
          <w:lang w:val="en-US"/>
        </w:rPr>
        <w:t xml:space="preserve"> ‘friend, lover’, the gendered versions </w:t>
      </w:r>
      <w:r w:rsidRPr="00FB4EFA">
        <w:rPr>
          <w:rFonts w:cs="Cambria"/>
          <w:i/>
          <w:iCs/>
          <w:lang w:val="fi-FI"/>
        </w:rPr>
        <w:t>таҥӱдыр</w:t>
      </w:r>
      <w:r w:rsidRPr="00FB4EFA">
        <w:rPr>
          <w:lang w:val="en-US"/>
        </w:rPr>
        <w:t>/</w:t>
      </w:r>
      <w:r w:rsidRPr="00FB4EFA">
        <w:rPr>
          <w:rFonts w:cs="Cambria"/>
          <w:i/>
          <w:iCs/>
          <w:lang w:val="fi-FI"/>
        </w:rPr>
        <w:t>таҥ</w:t>
      </w:r>
      <w:r w:rsidRPr="00FB4EFA">
        <w:rPr>
          <w:i/>
          <w:iCs/>
          <w:lang w:val="en-US"/>
        </w:rPr>
        <w:t xml:space="preserve"> </w:t>
      </w:r>
      <w:r w:rsidRPr="00FB4EFA">
        <w:rPr>
          <w:rFonts w:cs="Cambria"/>
          <w:i/>
          <w:iCs/>
          <w:lang w:val="fi-FI"/>
        </w:rPr>
        <w:t>ӱдыр</w:t>
      </w:r>
      <w:r w:rsidRPr="00FB4EFA">
        <w:rPr>
          <w:lang w:val="en-US"/>
        </w:rPr>
        <w:t xml:space="preserve"> ‘lit. friend+girl’, </w:t>
      </w:r>
      <w:r w:rsidRPr="00FB4EFA">
        <w:rPr>
          <w:rFonts w:cs="Cambria"/>
          <w:i/>
          <w:iCs/>
          <w:lang w:val="fi-FI"/>
        </w:rPr>
        <w:t>таҥвате</w:t>
      </w:r>
      <w:r w:rsidRPr="00FB4EFA">
        <w:rPr>
          <w:lang w:val="en-US"/>
        </w:rPr>
        <w:t>/</w:t>
      </w:r>
      <w:r w:rsidRPr="00FB4EFA">
        <w:rPr>
          <w:rFonts w:cs="Cambria"/>
          <w:i/>
          <w:iCs/>
          <w:lang w:val="fi-FI"/>
        </w:rPr>
        <w:t>таҥ</w:t>
      </w:r>
      <w:r w:rsidRPr="00FB4EFA">
        <w:rPr>
          <w:i/>
          <w:iCs/>
          <w:lang w:val="en-US"/>
        </w:rPr>
        <w:t xml:space="preserve"> </w:t>
      </w:r>
      <w:r w:rsidRPr="00FB4EFA">
        <w:rPr>
          <w:rFonts w:cs="Cambria"/>
          <w:i/>
          <w:iCs/>
          <w:lang w:val="fi-FI"/>
        </w:rPr>
        <w:t>вате</w:t>
      </w:r>
      <w:r w:rsidRPr="00FB4EFA">
        <w:rPr>
          <w:lang w:val="en-US"/>
        </w:rPr>
        <w:t xml:space="preserve"> ‘friend+wife’, </w:t>
      </w:r>
      <w:r w:rsidRPr="00FB4EFA">
        <w:rPr>
          <w:rFonts w:cs="Cambria"/>
          <w:i/>
          <w:iCs/>
          <w:lang w:val="fi-FI"/>
        </w:rPr>
        <w:t>ӱдырамаш</w:t>
      </w:r>
      <w:r w:rsidRPr="00FB4EFA">
        <w:rPr>
          <w:i/>
          <w:iCs/>
          <w:lang w:val="en-US"/>
        </w:rPr>
        <w:t xml:space="preserve"> </w:t>
      </w:r>
      <w:r w:rsidRPr="00FB4EFA">
        <w:rPr>
          <w:rFonts w:cs="Cambria"/>
          <w:i/>
          <w:iCs/>
          <w:lang w:val="fi-FI"/>
        </w:rPr>
        <w:t>таҥ</w:t>
      </w:r>
      <w:r w:rsidRPr="00FB4EFA">
        <w:rPr>
          <w:lang w:val="en-US"/>
        </w:rPr>
        <w:t xml:space="preserve"> ‘lit. woman+friend’, </w:t>
      </w:r>
      <w:r w:rsidRPr="00FB4EFA">
        <w:rPr>
          <w:rFonts w:cs="Cambria"/>
          <w:i/>
          <w:iCs/>
          <w:lang w:val="fi-FI"/>
        </w:rPr>
        <w:t>таҥ</w:t>
      </w:r>
      <w:r w:rsidRPr="00FB4EFA">
        <w:rPr>
          <w:i/>
          <w:iCs/>
          <w:lang w:val="en-US"/>
        </w:rPr>
        <w:t xml:space="preserve"> </w:t>
      </w:r>
      <w:r w:rsidRPr="00FB4EFA">
        <w:rPr>
          <w:rFonts w:cs="Cambria"/>
          <w:i/>
          <w:iCs/>
          <w:lang w:val="fi-FI"/>
        </w:rPr>
        <w:t>рвезе</w:t>
      </w:r>
      <w:r w:rsidRPr="00FB4EFA">
        <w:rPr>
          <w:lang w:val="en-US"/>
        </w:rPr>
        <w:t xml:space="preserve"> ‘lit. friend+boy’,</w:t>
      </w:r>
      <w:r w:rsidR="00DB7B0F" w:rsidRPr="00FB4EFA">
        <w:rPr>
          <w:lang w:val="en-US"/>
        </w:rPr>
        <w:t xml:space="preserve"> and</w:t>
      </w:r>
      <w:r w:rsidRPr="00FB4EFA">
        <w:rPr>
          <w:lang w:val="en-US"/>
        </w:rPr>
        <w:t xml:space="preserve"> </w:t>
      </w:r>
      <w:r w:rsidRPr="00FB4EFA">
        <w:rPr>
          <w:rFonts w:cs="Cambria"/>
          <w:i/>
          <w:iCs/>
          <w:lang w:val="fi-FI"/>
        </w:rPr>
        <w:t>таҥмарий</w:t>
      </w:r>
      <w:r w:rsidRPr="00FB4EFA">
        <w:rPr>
          <w:lang w:val="en-US"/>
        </w:rPr>
        <w:t>/</w:t>
      </w:r>
      <w:r w:rsidRPr="00FB4EFA">
        <w:rPr>
          <w:rFonts w:cs="Cambria"/>
          <w:i/>
          <w:iCs/>
          <w:lang w:val="fi-FI"/>
        </w:rPr>
        <w:t>таҥ</w:t>
      </w:r>
      <w:r w:rsidRPr="00FB4EFA">
        <w:rPr>
          <w:i/>
          <w:iCs/>
          <w:lang w:val="en-US"/>
        </w:rPr>
        <w:t xml:space="preserve"> </w:t>
      </w:r>
      <w:r w:rsidRPr="00FB4EFA">
        <w:rPr>
          <w:rFonts w:cs="Cambria"/>
          <w:i/>
          <w:iCs/>
          <w:lang w:val="fi-FI"/>
        </w:rPr>
        <w:t>марий</w:t>
      </w:r>
      <w:r w:rsidRPr="00FB4EFA">
        <w:rPr>
          <w:lang w:val="en-US"/>
        </w:rPr>
        <w:t xml:space="preserve"> ‘lit. friend+husband’ constitute only 0.58% of all the occurrences, and for </w:t>
      </w:r>
      <w:r w:rsidRPr="00FB4EFA">
        <w:rPr>
          <w:rFonts w:cs="Cambria"/>
          <w:i/>
          <w:iCs/>
          <w:lang w:val="fi-FI"/>
        </w:rPr>
        <w:t>йолташ</w:t>
      </w:r>
      <w:r w:rsidRPr="00FB4EFA">
        <w:rPr>
          <w:lang w:val="en-US"/>
        </w:rPr>
        <w:t xml:space="preserve"> ‘friend’, the versions </w:t>
      </w:r>
      <w:r w:rsidRPr="00FB4EFA">
        <w:rPr>
          <w:rFonts w:cs="Cambria"/>
          <w:i/>
          <w:iCs/>
          <w:lang w:val="fi-FI"/>
        </w:rPr>
        <w:t>йолташӱдыр</w:t>
      </w:r>
      <w:r w:rsidRPr="00FB4EFA">
        <w:rPr>
          <w:lang w:val="en-US"/>
        </w:rPr>
        <w:t>/</w:t>
      </w:r>
      <w:r w:rsidRPr="00FB4EFA">
        <w:rPr>
          <w:rFonts w:cs="Cambria"/>
          <w:i/>
          <w:iCs/>
          <w:lang w:val="fi-FI"/>
        </w:rPr>
        <w:t>йолташ</w:t>
      </w:r>
      <w:r w:rsidRPr="00FB4EFA">
        <w:rPr>
          <w:i/>
          <w:iCs/>
          <w:lang w:val="en-US"/>
        </w:rPr>
        <w:t xml:space="preserve"> </w:t>
      </w:r>
      <w:r w:rsidRPr="00FB4EFA">
        <w:rPr>
          <w:rFonts w:cs="Cambria"/>
          <w:i/>
          <w:iCs/>
          <w:lang w:val="fi-FI"/>
        </w:rPr>
        <w:t>ӱдыр</w:t>
      </w:r>
      <w:r w:rsidRPr="00FB4EFA">
        <w:rPr>
          <w:lang w:val="en-US"/>
        </w:rPr>
        <w:t xml:space="preserve"> ‘lit. friend girl’, </w:t>
      </w:r>
      <w:r w:rsidRPr="00FB4EFA">
        <w:rPr>
          <w:rFonts w:cs="Cambria"/>
          <w:i/>
          <w:iCs/>
          <w:lang w:val="fi-FI"/>
        </w:rPr>
        <w:t>йолташрвезе</w:t>
      </w:r>
      <w:r w:rsidRPr="00FB4EFA">
        <w:rPr>
          <w:lang w:val="en-US"/>
        </w:rPr>
        <w:t>/</w:t>
      </w:r>
      <w:r w:rsidRPr="00FB4EFA">
        <w:rPr>
          <w:rFonts w:cs="Cambria"/>
          <w:i/>
          <w:iCs/>
          <w:lang w:val="fi-FI"/>
        </w:rPr>
        <w:t>йолташ</w:t>
      </w:r>
      <w:r w:rsidRPr="00FB4EFA">
        <w:rPr>
          <w:i/>
          <w:iCs/>
          <w:lang w:val="en-US"/>
        </w:rPr>
        <w:t xml:space="preserve"> </w:t>
      </w:r>
      <w:r w:rsidRPr="00FB4EFA">
        <w:rPr>
          <w:rFonts w:cs="Cambria"/>
          <w:i/>
          <w:iCs/>
          <w:lang w:val="fi-FI"/>
        </w:rPr>
        <w:t>рвезе</w:t>
      </w:r>
      <w:r w:rsidRPr="00FB4EFA">
        <w:rPr>
          <w:lang w:val="en-US"/>
        </w:rPr>
        <w:t xml:space="preserve"> ‘lit. friend boy’ make up only 3.82%.</w:t>
      </w:r>
    </w:p>
    <w:p w14:paraId="3EF243F7" w14:textId="77777777" w:rsidR="00EC74AD" w:rsidRPr="00FB4EFA" w:rsidRDefault="00EC74AD" w:rsidP="002752AF">
      <w:pPr>
        <w:spacing w:after="240"/>
        <w:ind w:firstLine="720"/>
        <w:rPr>
          <w:lang w:val="en-US"/>
        </w:rPr>
      </w:pPr>
      <w:r w:rsidRPr="00FB4EFA">
        <w:rPr>
          <w:lang w:val="en-US"/>
        </w:rPr>
        <w:t xml:space="preserve">For most job titles for which this strategy is used, the female versions can be found in the corpus about as often as the male versions. The only exceptions are </w:t>
      </w:r>
      <w:r w:rsidRPr="00FB4EFA">
        <w:rPr>
          <w:rFonts w:cs="Cambria"/>
          <w:i/>
          <w:iCs/>
          <w:lang w:val="fi-FI"/>
        </w:rPr>
        <w:t>туныктышо</w:t>
      </w:r>
      <w:r w:rsidRPr="00FB4EFA">
        <w:rPr>
          <w:lang w:val="en-US"/>
        </w:rPr>
        <w:t xml:space="preserve"> ‘teacher’, </w:t>
      </w:r>
      <w:r w:rsidRPr="00FB4EFA">
        <w:rPr>
          <w:rFonts w:cs="Cambria"/>
          <w:i/>
          <w:iCs/>
          <w:lang w:val="fi-FI"/>
        </w:rPr>
        <w:t>повар</w:t>
      </w:r>
      <w:r w:rsidRPr="00FB4EFA">
        <w:rPr>
          <w:i/>
          <w:iCs/>
          <w:lang w:val="en-US"/>
        </w:rPr>
        <w:t xml:space="preserve"> </w:t>
      </w:r>
      <w:r w:rsidRPr="00FB4EFA">
        <w:rPr>
          <w:lang w:val="en-US"/>
        </w:rPr>
        <w:t xml:space="preserve">and </w:t>
      </w:r>
      <w:r w:rsidRPr="00FB4EFA">
        <w:rPr>
          <w:rFonts w:cs="Cambria"/>
          <w:i/>
          <w:iCs/>
          <w:lang w:val="fi-FI"/>
        </w:rPr>
        <w:t>шолтышо</w:t>
      </w:r>
      <w:r w:rsidRPr="00FB4EFA">
        <w:rPr>
          <w:i/>
          <w:iCs/>
          <w:lang w:val="en-US"/>
        </w:rPr>
        <w:t xml:space="preserve"> </w:t>
      </w:r>
      <w:r w:rsidRPr="00FB4EFA">
        <w:rPr>
          <w:lang w:val="en-US"/>
        </w:rPr>
        <w:t xml:space="preserve">‘cook’ and </w:t>
      </w:r>
      <w:r w:rsidRPr="00FB4EFA">
        <w:rPr>
          <w:rFonts w:cs="Cambria"/>
          <w:i/>
          <w:iCs/>
          <w:lang w:val="fi-FI"/>
        </w:rPr>
        <w:t>оза</w:t>
      </w:r>
      <w:r w:rsidRPr="00FB4EFA">
        <w:rPr>
          <w:lang w:val="en-US"/>
        </w:rPr>
        <w:t xml:space="preserve"> ‘host’, which favour feminine versions, and </w:t>
      </w:r>
      <w:r w:rsidRPr="00FB4EFA">
        <w:rPr>
          <w:rFonts w:cs="Cambria"/>
          <w:i/>
          <w:iCs/>
          <w:lang w:val="fi-FI"/>
        </w:rPr>
        <w:t>кӱтӱчӧ</w:t>
      </w:r>
      <w:r w:rsidRPr="00FB4EFA">
        <w:rPr>
          <w:lang w:val="en-US"/>
        </w:rPr>
        <w:t xml:space="preserve"> ‘herder’, which is more common with the masculine noun </w:t>
      </w:r>
      <w:r w:rsidRPr="00FB4EFA">
        <w:rPr>
          <w:rFonts w:cs="Cambria"/>
          <w:i/>
          <w:iCs/>
          <w:lang w:val="fi-FI"/>
        </w:rPr>
        <w:t>рвезе</w:t>
      </w:r>
      <w:r w:rsidRPr="00FB4EFA">
        <w:rPr>
          <w:i/>
          <w:iCs/>
          <w:lang w:val="en-US"/>
        </w:rPr>
        <w:t xml:space="preserve"> </w:t>
      </w:r>
      <w:r w:rsidRPr="00FB4EFA">
        <w:rPr>
          <w:lang w:val="en-US"/>
        </w:rPr>
        <w:t>‘boy’, as shown below.</w:t>
      </w:r>
    </w:p>
    <w:tbl>
      <w:tblPr>
        <w:tblW w:w="0" w:type="auto"/>
        <w:tblLook w:val="04A0" w:firstRow="1" w:lastRow="0" w:firstColumn="1" w:lastColumn="0" w:noHBand="0" w:noVBand="1"/>
      </w:tblPr>
      <w:tblGrid>
        <w:gridCol w:w="2150"/>
        <w:gridCol w:w="2367"/>
        <w:gridCol w:w="704"/>
      </w:tblGrid>
      <w:tr w:rsidR="00FB4EFA" w:rsidRPr="00FB4EFA" w14:paraId="029F39A5" w14:textId="77777777" w:rsidTr="00EC74AD">
        <w:tc>
          <w:tcPr>
            <w:tcW w:w="0" w:type="auto"/>
          </w:tcPr>
          <w:p w14:paraId="6F263D2F" w14:textId="77777777" w:rsidR="00EC74AD" w:rsidRPr="00FB4EFA" w:rsidRDefault="00EC74AD" w:rsidP="00863238">
            <w:pPr>
              <w:keepNext/>
              <w:spacing w:line="240" w:lineRule="auto"/>
              <w:rPr>
                <w:sz w:val="20"/>
                <w:szCs w:val="20"/>
              </w:rPr>
            </w:pPr>
            <w:r w:rsidRPr="00FB4EFA">
              <w:rPr>
                <w:rFonts w:cs="Cambria"/>
                <w:i/>
                <w:iCs/>
                <w:sz w:val="20"/>
                <w:szCs w:val="20"/>
                <w:lang w:val="fi-FI"/>
              </w:rPr>
              <w:t>туныктышо</w:t>
            </w:r>
            <w:r w:rsidRPr="00FB4EFA">
              <w:rPr>
                <w:sz w:val="20"/>
                <w:szCs w:val="20"/>
              </w:rPr>
              <w:t xml:space="preserve"> ‘teacher’</w:t>
            </w:r>
          </w:p>
        </w:tc>
        <w:tc>
          <w:tcPr>
            <w:tcW w:w="0" w:type="auto"/>
          </w:tcPr>
          <w:p w14:paraId="290627D7" w14:textId="77777777" w:rsidR="00EC74AD" w:rsidRPr="00FB4EFA" w:rsidRDefault="00EC74AD" w:rsidP="00863238">
            <w:pPr>
              <w:keepNext/>
              <w:spacing w:line="240" w:lineRule="auto"/>
              <w:rPr>
                <w:sz w:val="20"/>
                <w:szCs w:val="20"/>
              </w:rPr>
            </w:pPr>
            <w:r w:rsidRPr="00FB4EFA">
              <w:rPr>
                <w:rFonts w:cs="Cambria"/>
                <w:i/>
                <w:iCs/>
                <w:sz w:val="20"/>
                <w:szCs w:val="20"/>
                <w:lang w:val="fi-FI"/>
              </w:rPr>
              <w:t>туныктышо</w:t>
            </w:r>
            <w:r w:rsidRPr="00FB4EFA">
              <w:rPr>
                <w:i/>
                <w:iCs/>
                <w:sz w:val="20"/>
                <w:szCs w:val="20"/>
              </w:rPr>
              <w:t xml:space="preserve"> </w:t>
            </w:r>
            <w:r w:rsidRPr="00FB4EFA">
              <w:rPr>
                <w:rFonts w:cs="Cambria"/>
                <w:i/>
                <w:iCs/>
                <w:sz w:val="20"/>
                <w:szCs w:val="20"/>
                <w:lang w:val="fi-FI"/>
              </w:rPr>
              <w:t>ӱдыр</w:t>
            </w:r>
          </w:p>
        </w:tc>
        <w:tc>
          <w:tcPr>
            <w:tcW w:w="0" w:type="auto"/>
          </w:tcPr>
          <w:p w14:paraId="6C332F01" w14:textId="77777777" w:rsidR="00EC74AD" w:rsidRPr="00FB4EFA" w:rsidRDefault="00EC74AD" w:rsidP="00863238">
            <w:pPr>
              <w:keepNext/>
              <w:spacing w:line="240" w:lineRule="auto"/>
              <w:jc w:val="right"/>
              <w:rPr>
                <w:sz w:val="20"/>
                <w:szCs w:val="20"/>
              </w:rPr>
            </w:pPr>
            <w:r w:rsidRPr="00FB4EFA">
              <w:rPr>
                <w:sz w:val="20"/>
                <w:szCs w:val="20"/>
              </w:rPr>
              <w:t>88</w:t>
            </w:r>
          </w:p>
        </w:tc>
      </w:tr>
      <w:tr w:rsidR="00FB4EFA" w:rsidRPr="00FB4EFA" w14:paraId="712EF4BD" w14:textId="77777777" w:rsidTr="00EC74AD">
        <w:tc>
          <w:tcPr>
            <w:tcW w:w="0" w:type="auto"/>
          </w:tcPr>
          <w:p w14:paraId="31732138" w14:textId="77777777" w:rsidR="00EC74AD" w:rsidRPr="00FB4EFA" w:rsidRDefault="00EC74AD" w:rsidP="00863238">
            <w:pPr>
              <w:keepNext/>
              <w:spacing w:line="240" w:lineRule="auto"/>
              <w:rPr>
                <w:sz w:val="20"/>
                <w:szCs w:val="20"/>
              </w:rPr>
            </w:pPr>
          </w:p>
        </w:tc>
        <w:tc>
          <w:tcPr>
            <w:tcW w:w="0" w:type="auto"/>
          </w:tcPr>
          <w:p w14:paraId="28CE369E" w14:textId="77777777" w:rsidR="00EC74AD" w:rsidRPr="00FB4EFA" w:rsidRDefault="00EC74AD" w:rsidP="00863238">
            <w:pPr>
              <w:keepNext/>
              <w:spacing w:line="240" w:lineRule="auto"/>
              <w:rPr>
                <w:sz w:val="20"/>
                <w:szCs w:val="20"/>
              </w:rPr>
            </w:pPr>
            <w:r w:rsidRPr="00FB4EFA">
              <w:rPr>
                <w:rFonts w:cs="Cambria"/>
                <w:i/>
                <w:iCs/>
                <w:sz w:val="20"/>
                <w:szCs w:val="20"/>
                <w:lang w:val="fi-FI"/>
              </w:rPr>
              <w:t>туныктышо</w:t>
            </w:r>
            <w:r w:rsidRPr="00FB4EFA">
              <w:rPr>
                <w:i/>
                <w:iCs/>
                <w:sz w:val="20"/>
                <w:szCs w:val="20"/>
              </w:rPr>
              <w:t xml:space="preserve"> </w:t>
            </w:r>
            <w:r w:rsidRPr="00FB4EFA">
              <w:rPr>
                <w:rFonts w:cs="Cambria"/>
                <w:i/>
                <w:iCs/>
                <w:sz w:val="20"/>
                <w:szCs w:val="20"/>
                <w:lang w:val="fi-FI"/>
              </w:rPr>
              <w:t>пӧръеҥ</w:t>
            </w:r>
          </w:p>
        </w:tc>
        <w:tc>
          <w:tcPr>
            <w:tcW w:w="0" w:type="auto"/>
          </w:tcPr>
          <w:p w14:paraId="0A120AA4" w14:textId="77777777" w:rsidR="00EC74AD" w:rsidRPr="00FB4EFA" w:rsidRDefault="00EC74AD" w:rsidP="00863238">
            <w:pPr>
              <w:keepNext/>
              <w:spacing w:line="240" w:lineRule="auto"/>
              <w:jc w:val="right"/>
              <w:rPr>
                <w:sz w:val="20"/>
                <w:szCs w:val="20"/>
              </w:rPr>
            </w:pPr>
            <w:r w:rsidRPr="00FB4EFA">
              <w:rPr>
                <w:sz w:val="20"/>
                <w:szCs w:val="20"/>
              </w:rPr>
              <w:t>2</w:t>
            </w:r>
          </w:p>
        </w:tc>
      </w:tr>
      <w:tr w:rsidR="00FB4EFA" w:rsidRPr="00FB4EFA" w14:paraId="46B54679" w14:textId="77777777" w:rsidTr="00EC74AD">
        <w:tc>
          <w:tcPr>
            <w:tcW w:w="0" w:type="auto"/>
          </w:tcPr>
          <w:p w14:paraId="316FFB96" w14:textId="77777777" w:rsidR="00EC74AD" w:rsidRPr="00FB4EFA" w:rsidRDefault="00EC74AD" w:rsidP="00863238">
            <w:pPr>
              <w:keepNext/>
              <w:spacing w:line="240" w:lineRule="auto"/>
              <w:rPr>
                <w:sz w:val="20"/>
                <w:szCs w:val="20"/>
              </w:rPr>
            </w:pPr>
          </w:p>
        </w:tc>
        <w:tc>
          <w:tcPr>
            <w:tcW w:w="0" w:type="auto"/>
          </w:tcPr>
          <w:p w14:paraId="301365F6" w14:textId="77777777" w:rsidR="00EC74AD" w:rsidRPr="00FB4EFA" w:rsidRDefault="00EC74AD" w:rsidP="00863238">
            <w:pPr>
              <w:keepNext/>
              <w:spacing w:line="240" w:lineRule="auto"/>
              <w:rPr>
                <w:sz w:val="20"/>
                <w:szCs w:val="20"/>
              </w:rPr>
            </w:pPr>
            <w:r w:rsidRPr="00FB4EFA">
              <w:rPr>
                <w:rFonts w:cs="Cambria"/>
                <w:i/>
                <w:iCs/>
                <w:sz w:val="20"/>
                <w:szCs w:val="20"/>
                <w:lang w:val="fi-FI"/>
              </w:rPr>
              <w:t>ӱдырамаш</w:t>
            </w:r>
            <w:r w:rsidRPr="00FB4EFA">
              <w:rPr>
                <w:i/>
                <w:iCs/>
                <w:sz w:val="20"/>
                <w:szCs w:val="20"/>
              </w:rPr>
              <w:t xml:space="preserve"> </w:t>
            </w:r>
            <w:r w:rsidRPr="00FB4EFA">
              <w:rPr>
                <w:rFonts w:cs="Cambria"/>
                <w:i/>
                <w:iCs/>
                <w:sz w:val="20"/>
                <w:szCs w:val="20"/>
                <w:lang w:val="fi-FI"/>
              </w:rPr>
              <w:t>туныктышо</w:t>
            </w:r>
          </w:p>
        </w:tc>
        <w:tc>
          <w:tcPr>
            <w:tcW w:w="0" w:type="auto"/>
          </w:tcPr>
          <w:p w14:paraId="733B583E" w14:textId="77777777" w:rsidR="00EC74AD" w:rsidRPr="00FB4EFA" w:rsidRDefault="00EC74AD" w:rsidP="00863238">
            <w:pPr>
              <w:keepNext/>
              <w:spacing w:line="240" w:lineRule="auto"/>
              <w:jc w:val="right"/>
              <w:rPr>
                <w:sz w:val="20"/>
                <w:szCs w:val="20"/>
              </w:rPr>
            </w:pPr>
            <w:r w:rsidRPr="00FB4EFA">
              <w:rPr>
                <w:sz w:val="20"/>
                <w:szCs w:val="20"/>
              </w:rPr>
              <w:t>12</w:t>
            </w:r>
          </w:p>
        </w:tc>
      </w:tr>
      <w:tr w:rsidR="00FB4EFA" w:rsidRPr="00FB4EFA" w14:paraId="3B1EFF34" w14:textId="77777777" w:rsidTr="00EC74AD">
        <w:tc>
          <w:tcPr>
            <w:tcW w:w="0" w:type="auto"/>
          </w:tcPr>
          <w:p w14:paraId="335D64DA" w14:textId="77777777" w:rsidR="00EC74AD" w:rsidRPr="00FB4EFA" w:rsidRDefault="00EC74AD" w:rsidP="00863238">
            <w:pPr>
              <w:keepNext/>
              <w:spacing w:line="240" w:lineRule="auto"/>
              <w:rPr>
                <w:sz w:val="20"/>
                <w:szCs w:val="20"/>
              </w:rPr>
            </w:pPr>
          </w:p>
        </w:tc>
        <w:tc>
          <w:tcPr>
            <w:tcW w:w="0" w:type="auto"/>
          </w:tcPr>
          <w:p w14:paraId="20F2D152" w14:textId="77777777" w:rsidR="00EC74AD" w:rsidRPr="00FB4EFA" w:rsidRDefault="00EC74AD" w:rsidP="00863238">
            <w:pPr>
              <w:keepNext/>
              <w:spacing w:line="240" w:lineRule="auto"/>
              <w:rPr>
                <w:sz w:val="20"/>
                <w:szCs w:val="20"/>
              </w:rPr>
            </w:pPr>
            <w:r w:rsidRPr="00FB4EFA">
              <w:rPr>
                <w:rFonts w:cs="Cambria"/>
                <w:i/>
                <w:iCs/>
                <w:sz w:val="20"/>
                <w:szCs w:val="20"/>
                <w:lang w:val="fi-FI"/>
              </w:rPr>
              <w:t>пӧръеҥ</w:t>
            </w:r>
            <w:r w:rsidRPr="00FB4EFA">
              <w:rPr>
                <w:i/>
                <w:iCs/>
                <w:sz w:val="20"/>
                <w:szCs w:val="20"/>
              </w:rPr>
              <w:t xml:space="preserve"> </w:t>
            </w:r>
            <w:r w:rsidRPr="00FB4EFA">
              <w:rPr>
                <w:rFonts w:cs="Cambria"/>
                <w:i/>
                <w:iCs/>
                <w:sz w:val="20"/>
                <w:szCs w:val="20"/>
                <w:lang w:val="fi-FI"/>
              </w:rPr>
              <w:t>туныктышо</w:t>
            </w:r>
          </w:p>
        </w:tc>
        <w:tc>
          <w:tcPr>
            <w:tcW w:w="0" w:type="auto"/>
          </w:tcPr>
          <w:p w14:paraId="1E54ED44" w14:textId="77777777" w:rsidR="00EC74AD" w:rsidRPr="00FB4EFA" w:rsidRDefault="00EC74AD" w:rsidP="00863238">
            <w:pPr>
              <w:keepNext/>
              <w:spacing w:line="240" w:lineRule="auto"/>
              <w:jc w:val="right"/>
              <w:rPr>
                <w:sz w:val="20"/>
                <w:szCs w:val="20"/>
              </w:rPr>
            </w:pPr>
            <w:r w:rsidRPr="00FB4EFA">
              <w:rPr>
                <w:sz w:val="20"/>
                <w:szCs w:val="20"/>
              </w:rPr>
              <w:t>10</w:t>
            </w:r>
          </w:p>
        </w:tc>
      </w:tr>
      <w:tr w:rsidR="00FB4EFA" w:rsidRPr="00FB4EFA" w14:paraId="1C353A38" w14:textId="77777777" w:rsidTr="00EC74AD">
        <w:tc>
          <w:tcPr>
            <w:tcW w:w="0" w:type="auto"/>
          </w:tcPr>
          <w:p w14:paraId="2F313BE4" w14:textId="77777777" w:rsidR="00EC74AD" w:rsidRPr="00FB4EFA" w:rsidRDefault="00EC74AD" w:rsidP="00863238">
            <w:pPr>
              <w:keepNext/>
              <w:spacing w:line="240" w:lineRule="auto"/>
              <w:rPr>
                <w:sz w:val="20"/>
                <w:szCs w:val="20"/>
              </w:rPr>
            </w:pPr>
            <w:r w:rsidRPr="00FB4EFA">
              <w:rPr>
                <w:rFonts w:cs="Cambria"/>
                <w:i/>
                <w:iCs/>
                <w:sz w:val="20"/>
                <w:szCs w:val="20"/>
                <w:lang w:val="fi-FI"/>
              </w:rPr>
              <w:t>повар</w:t>
            </w:r>
            <w:r w:rsidRPr="00FB4EFA">
              <w:rPr>
                <w:sz w:val="20"/>
                <w:szCs w:val="20"/>
              </w:rPr>
              <w:t xml:space="preserve"> ‘cook’</w:t>
            </w:r>
          </w:p>
        </w:tc>
        <w:tc>
          <w:tcPr>
            <w:tcW w:w="0" w:type="auto"/>
          </w:tcPr>
          <w:p w14:paraId="0ED3770B" w14:textId="77777777" w:rsidR="00EC74AD" w:rsidRPr="00FB4EFA" w:rsidRDefault="00EC74AD" w:rsidP="00863238">
            <w:pPr>
              <w:keepNext/>
              <w:spacing w:line="240" w:lineRule="auto"/>
              <w:rPr>
                <w:sz w:val="20"/>
                <w:szCs w:val="20"/>
              </w:rPr>
            </w:pPr>
            <w:r w:rsidRPr="00FB4EFA">
              <w:rPr>
                <w:rFonts w:cs="Cambria"/>
                <w:i/>
                <w:iCs/>
                <w:sz w:val="20"/>
                <w:szCs w:val="20"/>
                <w:lang w:val="fi-FI"/>
              </w:rPr>
              <w:t>повар</w:t>
            </w:r>
            <w:r w:rsidRPr="00FB4EFA">
              <w:rPr>
                <w:i/>
                <w:iCs/>
                <w:sz w:val="20"/>
                <w:szCs w:val="20"/>
              </w:rPr>
              <w:t xml:space="preserve"> </w:t>
            </w:r>
            <w:r w:rsidRPr="00FB4EFA">
              <w:rPr>
                <w:rFonts w:cs="Cambria"/>
                <w:i/>
                <w:iCs/>
                <w:sz w:val="20"/>
                <w:szCs w:val="20"/>
                <w:lang w:val="fi-FI"/>
              </w:rPr>
              <w:t>ӱдыр</w:t>
            </w:r>
          </w:p>
        </w:tc>
        <w:tc>
          <w:tcPr>
            <w:tcW w:w="0" w:type="auto"/>
          </w:tcPr>
          <w:p w14:paraId="618A92F9" w14:textId="77777777" w:rsidR="00EC74AD" w:rsidRPr="00FB4EFA" w:rsidRDefault="00EC74AD" w:rsidP="00863238">
            <w:pPr>
              <w:keepNext/>
              <w:spacing w:line="240" w:lineRule="auto"/>
              <w:jc w:val="right"/>
              <w:rPr>
                <w:sz w:val="20"/>
                <w:szCs w:val="20"/>
              </w:rPr>
            </w:pPr>
            <w:r w:rsidRPr="00FB4EFA">
              <w:rPr>
                <w:sz w:val="20"/>
                <w:szCs w:val="20"/>
              </w:rPr>
              <w:t>13</w:t>
            </w:r>
          </w:p>
        </w:tc>
      </w:tr>
      <w:tr w:rsidR="00FB4EFA" w:rsidRPr="00FB4EFA" w14:paraId="6AF10AE5" w14:textId="77777777" w:rsidTr="00EC74AD">
        <w:tc>
          <w:tcPr>
            <w:tcW w:w="0" w:type="auto"/>
          </w:tcPr>
          <w:p w14:paraId="41072F11" w14:textId="77777777" w:rsidR="00EC74AD" w:rsidRPr="00FB4EFA" w:rsidRDefault="00EC74AD" w:rsidP="00863238">
            <w:pPr>
              <w:keepNext/>
              <w:spacing w:line="240" w:lineRule="auto"/>
              <w:rPr>
                <w:sz w:val="20"/>
                <w:szCs w:val="20"/>
              </w:rPr>
            </w:pPr>
            <w:r w:rsidRPr="00FB4EFA">
              <w:rPr>
                <w:rFonts w:cs="Cambria"/>
                <w:i/>
                <w:iCs/>
                <w:sz w:val="20"/>
                <w:szCs w:val="20"/>
                <w:lang w:val="fi-FI"/>
              </w:rPr>
              <w:t>шолтышо</w:t>
            </w:r>
            <w:r w:rsidRPr="00FB4EFA">
              <w:rPr>
                <w:sz w:val="20"/>
                <w:szCs w:val="20"/>
              </w:rPr>
              <w:t xml:space="preserve"> ‘cook’</w:t>
            </w:r>
          </w:p>
        </w:tc>
        <w:tc>
          <w:tcPr>
            <w:tcW w:w="0" w:type="auto"/>
          </w:tcPr>
          <w:p w14:paraId="4BA565E8" w14:textId="77777777" w:rsidR="00EC74AD" w:rsidRPr="00FB4EFA" w:rsidRDefault="00EC74AD" w:rsidP="00863238">
            <w:pPr>
              <w:keepNext/>
              <w:spacing w:line="240" w:lineRule="auto"/>
              <w:rPr>
                <w:sz w:val="20"/>
                <w:szCs w:val="20"/>
              </w:rPr>
            </w:pPr>
            <w:r w:rsidRPr="00FB4EFA">
              <w:rPr>
                <w:rFonts w:cs="Cambria"/>
                <w:i/>
                <w:iCs/>
                <w:sz w:val="20"/>
                <w:szCs w:val="20"/>
                <w:lang w:val="fi-FI"/>
              </w:rPr>
              <w:t>шолтышо</w:t>
            </w:r>
            <w:r w:rsidRPr="00FB4EFA">
              <w:rPr>
                <w:i/>
                <w:iCs/>
                <w:sz w:val="20"/>
                <w:szCs w:val="20"/>
              </w:rPr>
              <w:t xml:space="preserve"> </w:t>
            </w:r>
            <w:r w:rsidRPr="00FB4EFA">
              <w:rPr>
                <w:rFonts w:cs="Cambria"/>
                <w:i/>
                <w:iCs/>
                <w:sz w:val="20"/>
                <w:szCs w:val="20"/>
                <w:lang w:val="fi-FI"/>
              </w:rPr>
              <w:t>ӱдыр</w:t>
            </w:r>
          </w:p>
        </w:tc>
        <w:tc>
          <w:tcPr>
            <w:tcW w:w="0" w:type="auto"/>
          </w:tcPr>
          <w:p w14:paraId="2343611B" w14:textId="77777777" w:rsidR="00EC74AD" w:rsidRPr="00FB4EFA" w:rsidRDefault="00EC74AD" w:rsidP="00863238">
            <w:pPr>
              <w:keepNext/>
              <w:spacing w:line="240" w:lineRule="auto"/>
              <w:jc w:val="right"/>
              <w:rPr>
                <w:sz w:val="20"/>
                <w:szCs w:val="20"/>
              </w:rPr>
            </w:pPr>
            <w:r w:rsidRPr="00FB4EFA">
              <w:rPr>
                <w:sz w:val="20"/>
                <w:szCs w:val="20"/>
              </w:rPr>
              <w:t>8</w:t>
            </w:r>
          </w:p>
        </w:tc>
      </w:tr>
      <w:tr w:rsidR="00FB4EFA" w:rsidRPr="00FB4EFA" w14:paraId="64FE1C23" w14:textId="77777777" w:rsidTr="00EC74AD">
        <w:tc>
          <w:tcPr>
            <w:tcW w:w="0" w:type="auto"/>
          </w:tcPr>
          <w:p w14:paraId="3C3BD4F9" w14:textId="77777777" w:rsidR="00EC74AD" w:rsidRPr="00FB4EFA" w:rsidRDefault="00EC74AD" w:rsidP="00863238">
            <w:pPr>
              <w:keepNext/>
              <w:spacing w:line="240" w:lineRule="auto"/>
              <w:rPr>
                <w:sz w:val="20"/>
                <w:szCs w:val="20"/>
              </w:rPr>
            </w:pPr>
            <w:r w:rsidRPr="00FB4EFA">
              <w:rPr>
                <w:rFonts w:cs="Cambria"/>
                <w:i/>
                <w:iCs/>
                <w:sz w:val="20"/>
                <w:szCs w:val="20"/>
                <w:lang w:val="fi-FI"/>
              </w:rPr>
              <w:t>кӱтӱчӧ</w:t>
            </w:r>
            <w:r w:rsidRPr="00FB4EFA">
              <w:rPr>
                <w:sz w:val="20"/>
                <w:szCs w:val="20"/>
              </w:rPr>
              <w:t xml:space="preserve"> ‘herder’</w:t>
            </w:r>
          </w:p>
        </w:tc>
        <w:tc>
          <w:tcPr>
            <w:tcW w:w="0" w:type="auto"/>
          </w:tcPr>
          <w:p w14:paraId="5E662FF1" w14:textId="77777777" w:rsidR="00EC74AD" w:rsidRPr="00FB4EFA" w:rsidRDefault="00EC74AD" w:rsidP="00863238">
            <w:pPr>
              <w:keepNext/>
              <w:spacing w:line="240" w:lineRule="auto"/>
              <w:rPr>
                <w:sz w:val="20"/>
                <w:szCs w:val="20"/>
              </w:rPr>
            </w:pPr>
            <w:r w:rsidRPr="00FB4EFA">
              <w:rPr>
                <w:rFonts w:cs="Cambria"/>
                <w:i/>
                <w:iCs/>
                <w:sz w:val="20"/>
                <w:szCs w:val="20"/>
                <w:lang w:val="fi-FI"/>
              </w:rPr>
              <w:t>кӱтӱчӧ</w:t>
            </w:r>
            <w:r w:rsidRPr="00FB4EFA">
              <w:rPr>
                <w:i/>
                <w:iCs/>
                <w:sz w:val="20"/>
                <w:szCs w:val="20"/>
              </w:rPr>
              <w:t xml:space="preserve"> </w:t>
            </w:r>
            <w:r w:rsidRPr="00FB4EFA">
              <w:rPr>
                <w:rFonts w:cs="Cambria"/>
                <w:i/>
                <w:iCs/>
                <w:sz w:val="20"/>
                <w:szCs w:val="20"/>
                <w:lang w:val="fi-FI"/>
              </w:rPr>
              <w:t>ӱдыр</w:t>
            </w:r>
          </w:p>
        </w:tc>
        <w:tc>
          <w:tcPr>
            <w:tcW w:w="0" w:type="auto"/>
          </w:tcPr>
          <w:p w14:paraId="114A2870" w14:textId="77777777" w:rsidR="00EC74AD" w:rsidRPr="00FB4EFA" w:rsidRDefault="00EC74AD" w:rsidP="00863238">
            <w:pPr>
              <w:keepNext/>
              <w:spacing w:line="240" w:lineRule="auto"/>
              <w:jc w:val="right"/>
              <w:rPr>
                <w:sz w:val="20"/>
                <w:szCs w:val="20"/>
              </w:rPr>
            </w:pPr>
            <w:r w:rsidRPr="00FB4EFA">
              <w:rPr>
                <w:sz w:val="20"/>
                <w:szCs w:val="20"/>
              </w:rPr>
              <w:t>8</w:t>
            </w:r>
          </w:p>
        </w:tc>
      </w:tr>
      <w:tr w:rsidR="00FB4EFA" w:rsidRPr="00FB4EFA" w14:paraId="1AAFD111" w14:textId="77777777" w:rsidTr="00EC74AD">
        <w:tc>
          <w:tcPr>
            <w:tcW w:w="0" w:type="auto"/>
          </w:tcPr>
          <w:p w14:paraId="038A678D" w14:textId="77777777" w:rsidR="00EC74AD" w:rsidRPr="00FB4EFA" w:rsidRDefault="00EC74AD" w:rsidP="00863238">
            <w:pPr>
              <w:keepNext/>
              <w:spacing w:line="240" w:lineRule="auto"/>
              <w:rPr>
                <w:sz w:val="20"/>
                <w:szCs w:val="20"/>
              </w:rPr>
            </w:pPr>
          </w:p>
        </w:tc>
        <w:tc>
          <w:tcPr>
            <w:tcW w:w="0" w:type="auto"/>
          </w:tcPr>
          <w:p w14:paraId="6FB330DC" w14:textId="77777777" w:rsidR="00EC74AD" w:rsidRPr="00FB4EFA" w:rsidRDefault="00EC74AD" w:rsidP="00863238">
            <w:pPr>
              <w:keepNext/>
              <w:spacing w:line="240" w:lineRule="auto"/>
              <w:rPr>
                <w:sz w:val="20"/>
                <w:szCs w:val="20"/>
              </w:rPr>
            </w:pPr>
            <w:r w:rsidRPr="00FB4EFA">
              <w:rPr>
                <w:rFonts w:cs="Cambria"/>
                <w:i/>
                <w:iCs/>
                <w:sz w:val="20"/>
                <w:szCs w:val="20"/>
                <w:lang w:val="fi-FI"/>
              </w:rPr>
              <w:t>кӱтӱчӧ</w:t>
            </w:r>
            <w:r w:rsidRPr="00FB4EFA">
              <w:rPr>
                <w:i/>
                <w:iCs/>
                <w:sz w:val="20"/>
                <w:szCs w:val="20"/>
              </w:rPr>
              <w:t xml:space="preserve"> </w:t>
            </w:r>
            <w:r w:rsidRPr="00FB4EFA">
              <w:rPr>
                <w:rFonts w:cs="Cambria"/>
                <w:i/>
                <w:iCs/>
                <w:sz w:val="20"/>
                <w:szCs w:val="20"/>
                <w:lang w:val="fi-FI"/>
              </w:rPr>
              <w:t>рвезе</w:t>
            </w:r>
          </w:p>
        </w:tc>
        <w:tc>
          <w:tcPr>
            <w:tcW w:w="0" w:type="auto"/>
          </w:tcPr>
          <w:p w14:paraId="4866614E" w14:textId="77777777" w:rsidR="00EC74AD" w:rsidRPr="00FB4EFA" w:rsidRDefault="00EC74AD" w:rsidP="00863238">
            <w:pPr>
              <w:keepNext/>
              <w:spacing w:line="240" w:lineRule="auto"/>
              <w:jc w:val="right"/>
              <w:rPr>
                <w:sz w:val="20"/>
                <w:szCs w:val="20"/>
              </w:rPr>
            </w:pPr>
            <w:r w:rsidRPr="00FB4EFA">
              <w:rPr>
                <w:sz w:val="20"/>
                <w:szCs w:val="20"/>
              </w:rPr>
              <w:t>30</w:t>
            </w:r>
          </w:p>
        </w:tc>
      </w:tr>
      <w:tr w:rsidR="00FB4EFA" w:rsidRPr="00FB4EFA" w14:paraId="42081225" w14:textId="77777777" w:rsidTr="00EC74AD">
        <w:tc>
          <w:tcPr>
            <w:tcW w:w="0" w:type="auto"/>
          </w:tcPr>
          <w:p w14:paraId="65F449F2" w14:textId="77777777" w:rsidR="00EC74AD" w:rsidRPr="00FB4EFA" w:rsidRDefault="00EC74AD" w:rsidP="00863238">
            <w:pPr>
              <w:keepNext/>
              <w:spacing w:line="240" w:lineRule="auto"/>
              <w:rPr>
                <w:sz w:val="20"/>
                <w:szCs w:val="20"/>
              </w:rPr>
            </w:pPr>
            <w:r w:rsidRPr="00FB4EFA">
              <w:rPr>
                <w:rFonts w:cs="Cambria"/>
                <w:i/>
                <w:iCs/>
                <w:sz w:val="20"/>
                <w:szCs w:val="20"/>
                <w:lang w:val="ru-RU"/>
              </w:rPr>
              <w:t>оза</w:t>
            </w:r>
            <w:r w:rsidRPr="00FB4EFA">
              <w:rPr>
                <w:sz w:val="20"/>
                <w:szCs w:val="20"/>
              </w:rPr>
              <w:t xml:space="preserve"> ‘host’</w:t>
            </w:r>
          </w:p>
        </w:tc>
        <w:tc>
          <w:tcPr>
            <w:tcW w:w="0" w:type="auto"/>
          </w:tcPr>
          <w:p w14:paraId="67C5C1C5" w14:textId="77777777" w:rsidR="00EC74AD" w:rsidRPr="00FB4EFA" w:rsidRDefault="00EC74AD" w:rsidP="00863238">
            <w:pPr>
              <w:keepNext/>
              <w:spacing w:line="240" w:lineRule="auto"/>
              <w:rPr>
                <w:sz w:val="20"/>
                <w:szCs w:val="20"/>
              </w:rPr>
            </w:pPr>
            <w:r w:rsidRPr="00FB4EFA">
              <w:rPr>
                <w:rFonts w:cs="Cambria"/>
                <w:i/>
                <w:iCs/>
                <w:sz w:val="20"/>
                <w:szCs w:val="20"/>
                <w:lang w:val="ru-RU"/>
              </w:rPr>
              <w:t>озавате</w:t>
            </w:r>
          </w:p>
        </w:tc>
        <w:tc>
          <w:tcPr>
            <w:tcW w:w="0" w:type="auto"/>
          </w:tcPr>
          <w:p w14:paraId="28A7A23F" w14:textId="5F9DB3E1" w:rsidR="00EC74AD" w:rsidRPr="00FB4EFA" w:rsidRDefault="00EC74AD" w:rsidP="00863238">
            <w:pPr>
              <w:keepNext/>
              <w:spacing w:line="240" w:lineRule="auto"/>
              <w:jc w:val="right"/>
              <w:rPr>
                <w:sz w:val="20"/>
                <w:szCs w:val="20"/>
              </w:rPr>
            </w:pPr>
            <w:r w:rsidRPr="00FB4EFA">
              <w:rPr>
                <w:sz w:val="20"/>
                <w:szCs w:val="20"/>
              </w:rPr>
              <w:t>2</w:t>
            </w:r>
            <w:r w:rsidR="00565CC1">
              <w:rPr>
                <w:sz w:val="20"/>
                <w:szCs w:val="20"/>
              </w:rPr>
              <w:t xml:space="preserve"> </w:t>
            </w:r>
            <w:r w:rsidRPr="00FB4EFA">
              <w:rPr>
                <w:sz w:val="20"/>
                <w:szCs w:val="20"/>
              </w:rPr>
              <w:t>316</w:t>
            </w:r>
          </w:p>
        </w:tc>
      </w:tr>
      <w:tr w:rsidR="00FB4EFA" w:rsidRPr="00FB4EFA" w14:paraId="48307D0A" w14:textId="77777777" w:rsidTr="00EC74AD">
        <w:tc>
          <w:tcPr>
            <w:tcW w:w="0" w:type="auto"/>
          </w:tcPr>
          <w:p w14:paraId="4AACE551" w14:textId="77777777" w:rsidR="00EC74AD" w:rsidRPr="00FB4EFA" w:rsidRDefault="00EC74AD" w:rsidP="00863238">
            <w:pPr>
              <w:keepNext/>
              <w:spacing w:line="240" w:lineRule="auto"/>
              <w:rPr>
                <w:sz w:val="20"/>
                <w:szCs w:val="20"/>
              </w:rPr>
            </w:pPr>
          </w:p>
        </w:tc>
        <w:tc>
          <w:tcPr>
            <w:tcW w:w="0" w:type="auto"/>
          </w:tcPr>
          <w:p w14:paraId="65E62007" w14:textId="77777777" w:rsidR="00EC74AD" w:rsidRPr="00FB4EFA" w:rsidRDefault="00EC74AD" w:rsidP="00863238">
            <w:pPr>
              <w:keepNext/>
              <w:spacing w:line="240" w:lineRule="auto"/>
              <w:rPr>
                <w:sz w:val="20"/>
                <w:szCs w:val="20"/>
              </w:rPr>
            </w:pPr>
            <w:r w:rsidRPr="00FB4EFA">
              <w:rPr>
                <w:rFonts w:cs="Cambria"/>
                <w:i/>
                <w:iCs/>
                <w:sz w:val="20"/>
                <w:szCs w:val="20"/>
                <w:lang w:val="ru-RU"/>
              </w:rPr>
              <w:t>озакугыза</w:t>
            </w:r>
          </w:p>
        </w:tc>
        <w:tc>
          <w:tcPr>
            <w:tcW w:w="0" w:type="auto"/>
          </w:tcPr>
          <w:p w14:paraId="486790F2" w14:textId="77777777" w:rsidR="00EC74AD" w:rsidRPr="00FB4EFA" w:rsidRDefault="00EC74AD" w:rsidP="00863238">
            <w:pPr>
              <w:keepNext/>
              <w:spacing w:line="240" w:lineRule="auto"/>
              <w:jc w:val="right"/>
              <w:rPr>
                <w:sz w:val="20"/>
                <w:szCs w:val="20"/>
              </w:rPr>
            </w:pPr>
            <w:r w:rsidRPr="00FB4EFA">
              <w:rPr>
                <w:sz w:val="20"/>
                <w:szCs w:val="20"/>
              </w:rPr>
              <w:t>44</w:t>
            </w:r>
          </w:p>
        </w:tc>
      </w:tr>
      <w:tr w:rsidR="00FB4EFA" w:rsidRPr="00FB4EFA" w14:paraId="04D22F8B" w14:textId="77777777" w:rsidTr="00EC74AD">
        <w:tc>
          <w:tcPr>
            <w:tcW w:w="0" w:type="auto"/>
          </w:tcPr>
          <w:p w14:paraId="0739BC68" w14:textId="77777777" w:rsidR="00EC74AD" w:rsidRPr="00FB4EFA" w:rsidRDefault="00EC74AD" w:rsidP="00863238">
            <w:pPr>
              <w:spacing w:line="240" w:lineRule="auto"/>
              <w:rPr>
                <w:sz w:val="20"/>
                <w:szCs w:val="20"/>
              </w:rPr>
            </w:pPr>
          </w:p>
        </w:tc>
        <w:tc>
          <w:tcPr>
            <w:tcW w:w="0" w:type="auto"/>
          </w:tcPr>
          <w:p w14:paraId="4CFD981B" w14:textId="77777777" w:rsidR="00EC74AD" w:rsidRPr="00FB4EFA" w:rsidRDefault="00EC74AD" w:rsidP="00863238">
            <w:pPr>
              <w:spacing w:line="240" w:lineRule="auto"/>
              <w:rPr>
                <w:sz w:val="20"/>
                <w:szCs w:val="20"/>
              </w:rPr>
            </w:pPr>
            <w:r w:rsidRPr="00FB4EFA">
              <w:rPr>
                <w:rFonts w:cs="Cambria"/>
                <w:i/>
                <w:iCs/>
                <w:sz w:val="20"/>
                <w:szCs w:val="20"/>
                <w:lang w:val="ru-RU"/>
              </w:rPr>
              <w:t>озакува</w:t>
            </w:r>
          </w:p>
        </w:tc>
        <w:tc>
          <w:tcPr>
            <w:tcW w:w="0" w:type="auto"/>
          </w:tcPr>
          <w:p w14:paraId="37C111BC" w14:textId="77777777" w:rsidR="00EC74AD" w:rsidRPr="00FB4EFA" w:rsidRDefault="00EC74AD" w:rsidP="00863238">
            <w:pPr>
              <w:spacing w:line="240" w:lineRule="auto"/>
              <w:jc w:val="right"/>
              <w:rPr>
                <w:sz w:val="20"/>
                <w:szCs w:val="20"/>
              </w:rPr>
            </w:pPr>
            <w:r w:rsidRPr="00FB4EFA">
              <w:rPr>
                <w:sz w:val="20"/>
                <w:szCs w:val="20"/>
              </w:rPr>
              <w:t>157</w:t>
            </w:r>
          </w:p>
        </w:tc>
      </w:tr>
    </w:tbl>
    <w:p w14:paraId="0E769D99" w14:textId="77777777" w:rsidR="00EC74AD" w:rsidRPr="00FB4EFA" w:rsidRDefault="00EC74AD" w:rsidP="002752AF">
      <w:pPr>
        <w:spacing w:before="240"/>
        <w:rPr>
          <w:lang w:val="en-US"/>
        </w:rPr>
      </w:pPr>
      <w:r w:rsidRPr="00FB4EFA">
        <w:rPr>
          <w:lang w:val="en-US"/>
        </w:rPr>
        <w:t>As mentioned earlier, for most of these words, gendered variants are generally more common in Meadow Mari than for others. In other words, if speakers of Meadow Mari often specify gender with a specific job title, there is also a relatively clear tendency as to which gender is specified.</w:t>
      </w:r>
    </w:p>
    <w:p w14:paraId="7788AF99" w14:textId="669B11F0" w:rsidR="00EC74AD" w:rsidRPr="00FB4EFA" w:rsidRDefault="00EC74AD" w:rsidP="00AF0CAD">
      <w:pPr>
        <w:ind w:firstLine="720"/>
        <w:rPr>
          <w:lang w:val="en-US"/>
        </w:rPr>
      </w:pPr>
      <w:r w:rsidRPr="00FB4EFA">
        <w:rPr>
          <w:lang w:val="en-US"/>
        </w:rPr>
        <w:t xml:space="preserve">Finally, this strategy is also occasionally used in Northern Mansi, but is mainly restricted to loanwords, such as </w:t>
      </w:r>
      <w:r w:rsidRPr="00FB4EFA">
        <w:rPr>
          <w:rFonts w:cs="Cambria"/>
          <w:i/>
          <w:iCs/>
          <w:lang w:val="fi-FI"/>
        </w:rPr>
        <w:t>χ</w:t>
      </w:r>
      <w:r w:rsidRPr="00FB4EFA">
        <w:rPr>
          <w:rFonts w:cs="Cambria"/>
          <w:i/>
          <w:iCs/>
          <w:lang w:val="en-US"/>
        </w:rPr>
        <w:t>ō</w:t>
      </w:r>
      <w:r w:rsidRPr="00FB4EFA">
        <w:rPr>
          <w:i/>
          <w:iCs/>
          <w:lang w:val="en-US"/>
        </w:rPr>
        <w:t>n</w:t>
      </w:r>
      <w:r w:rsidRPr="00FB4EFA">
        <w:rPr>
          <w:lang w:val="en-US"/>
        </w:rPr>
        <w:t xml:space="preserve"> ‘king, tsar’, </w:t>
      </w:r>
      <w:r w:rsidRPr="00FB4EFA">
        <w:rPr>
          <w:i/>
          <w:iCs/>
          <w:lang w:val="en-US"/>
        </w:rPr>
        <w:t>k</w:t>
      </w:r>
      <w:r w:rsidRPr="00FB4EFA">
        <w:rPr>
          <w:rFonts w:cs="Cambria"/>
          <w:i/>
          <w:iCs/>
          <w:lang w:val="en-US"/>
        </w:rPr>
        <w:t>ūś</w:t>
      </w:r>
      <w:r w:rsidRPr="00FB4EFA">
        <w:rPr>
          <w:i/>
          <w:iCs/>
          <w:lang w:val="en-US"/>
        </w:rPr>
        <w:t>aj</w:t>
      </w:r>
      <w:r w:rsidRPr="00FB4EFA">
        <w:rPr>
          <w:lang w:val="en-US"/>
        </w:rPr>
        <w:t xml:space="preserve"> ‘host, boss’</w:t>
      </w:r>
      <w:r w:rsidR="00DB7B0F" w:rsidRPr="00FB4EFA">
        <w:rPr>
          <w:lang w:val="en-US"/>
        </w:rPr>
        <w:t>,</w:t>
      </w:r>
      <w:r w:rsidRPr="00FB4EFA">
        <w:rPr>
          <w:lang w:val="en-US"/>
        </w:rPr>
        <w:t xml:space="preserve"> or </w:t>
      </w:r>
      <w:r w:rsidRPr="00FB4EFA">
        <w:rPr>
          <w:i/>
          <w:iCs/>
          <w:lang w:val="en-US"/>
        </w:rPr>
        <w:t>p</w:t>
      </w:r>
      <w:r w:rsidRPr="00FB4EFA">
        <w:rPr>
          <w:rFonts w:cs="Cambria"/>
          <w:i/>
          <w:iCs/>
          <w:lang w:val="en-US"/>
        </w:rPr>
        <w:t>ū</w:t>
      </w:r>
      <w:r w:rsidRPr="00FB4EFA">
        <w:rPr>
          <w:i/>
          <w:iCs/>
          <w:lang w:val="en-US"/>
        </w:rPr>
        <w:t>p</w:t>
      </w:r>
      <w:r w:rsidRPr="00FB4EFA">
        <w:rPr>
          <w:lang w:val="en-US"/>
        </w:rPr>
        <w:t xml:space="preserve"> ‘priest’, which have a general meaning when used on their own. In gendered compounds, these word form</w:t>
      </w:r>
      <w:r w:rsidR="00DB7B0F" w:rsidRPr="00FB4EFA">
        <w:rPr>
          <w:lang w:val="en-US"/>
        </w:rPr>
        <w:t>s</w:t>
      </w:r>
      <w:r w:rsidRPr="00FB4EFA">
        <w:rPr>
          <w:lang w:val="en-US"/>
        </w:rPr>
        <w:t xml:space="preserve"> are followed by a gendered noun, which is primarily either </w:t>
      </w:r>
      <w:r w:rsidRPr="00FB4EFA">
        <w:rPr>
          <w:i/>
          <w:iCs/>
          <w:lang w:val="en-US"/>
        </w:rPr>
        <w:t>n</w:t>
      </w:r>
      <w:r w:rsidRPr="00FB4EFA">
        <w:rPr>
          <w:rFonts w:cs="Cambria"/>
          <w:i/>
          <w:iCs/>
          <w:lang w:val="en-US"/>
        </w:rPr>
        <w:t>ē</w:t>
      </w:r>
      <w:r w:rsidRPr="00FB4EFA">
        <w:rPr>
          <w:i/>
          <w:iCs/>
          <w:lang w:val="en-US"/>
        </w:rPr>
        <w:t xml:space="preserve"> </w:t>
      </w:r>
      <w:r w:rsidRPr="00FB4EFA">
        <w:rPr>
          <w:lang w:val="en-US"/>
        </w:rPr>
        <w:t xml:space="preserve">‘woman’ or </w:t>
      </w:r>
      <w:r w:rsidRPr="00FB4EFA">
        <w:rPr>
          <w:rFonts w:cs="Cambria"/>
          <w:i/>
          <w:iCs/>
          <w:lang w:val="fi-FI"/>
        </w:rPr>
        <w:t>χ</w:t>
      </w:r>
      <w:r w:rsidRPr="00FB4EFA">
        <w:rPr>
          <w:i/>
          <w:iCs/>
          <w:lang w:val="en-US"/>
        </w:rPr>
        <w:t xml:space="preserve">um </w:t>
      </w:r>
      <w:r w:rsidRPr="00FB4EFA">
        <w:rPr>
          <w:lang w:val="en-US"/>
        </w:rPr>
        <w:t xml:space="preserve">‘man’, but in </w:t>
      </w:r>
      <w:r w:rsidRPr="00FB4EFA">
        <w:rPr>
          <w:lang w:val="en-US"/>
        </w:rPr>
        <w:lastRenderedPageBreak/>
        <w:t xml:space="preserve">some cases also </w:t>
      </w:r>
      <w:r w:rsidRPr="00FB4EFA">
        <w:rPr>
          <w:rFonts w:cs="Cambria"/>
          <w:i/>
          <w:iCs/>
          <w:lang w:val="en-US"/>
        </w:rPr>
        <w:t>ē</w:t>
      </w:r>
      <w:r w:rsidRPr="00FB4EFA">
        <w:rPr>
          <w:i/>
          <w:iCs/>
          <w:lang w:val="en-US"/>
        </w:rPr>
        <w:t xml:space="preserve">kwa </w:t>
      </w:r>
      <w:r w:rsidRPr="00FB4EFA">
        <w:rPr>
          <w:lang w:val="en-US"/>
        </w:rPr>
        <w:t xml:space="preserve">‘woman, elderly lady’ or </w:t>
      </w:r>
      <w:r w:rsidRPr="00FB4EFA">
        <w:rPr>
          <w:rFonts w:cs="Cambria"/>
          <w:i/>
          <w:iCs/>
          <w:lang w:val="en-US"/>
        </w:rPr>
        <w:t>ō</w:t>
      </w:r>
      <w:r w:rsidRPr="00FB4EFA">
        <w:rPr>
          <w:i/>
          <w:iCs/>
          <w:lang w:val="en-US"/>
        </w:rPr>
        <w:t xml:space="preserve">jka </w:t>
      </w:r>
      <w:r w:rsidRPr="00FB4EFA">
        <w:rPr>
          <w:lang w:val="en-US"/>
        </w:rPr>
        <w:t xml:space="preserve">‘old man’, </w:t>
      </w:r>
      <w:r w:rsidR="00F662F9" w:rsidRPr="00FB4EFA">
        <w:rPr>
          <w:lang w:val="en-US"/>
        </w:rPr>
        <w:br/>
      </w:r>
      <w:r w:rsidR="00466236" w:rsidRPr="00FB4EFA">
        <w:rPr>
          <w:lang w:val="en-US"/>
        </w:rPr>
        <w:t>e.g., </w:t>
      </w:r>
      <w:r w:rsidRPr="00FB4EFA">
        <w:rPr>
          <w:i/>
          <w:iCs/>
          <w:lang w:val="en-US"/>
        </w:rPr>
        <w:t>p</w:t>
      </w:r>
      <w:r w:rsidRPr="00FB4EFA">
        <w:rPr>
          <w:rFonts w:cs="Cambria"/>
          <w:i/>
          <w:iCs/>
          <w:lang w:val="en-US"/>
        </w:rPr>
        <w:t>ū</w:t>
      </w:r>
      <w:r w:rsidRPr="00FB4EFA">
        <w:rPr>
          <w:i/>
          <w:iCs/>
          <w:lang w:val="en-US"/>
        </w:rPr>
        <w:t xml:space="preserve">p </w:t>
      </w:r>
      <w:r w:rsidRPr="00FB4EFA">
        <w:rPr>
          <w:rFonts w:cs="Cambria"/>
          <w:i/>
          <w:iCs/>
          <w:lang w:val="en-US"/>
        </w:rPr>
        <w:t>ē</w:t>
      </w:r>
      <w:r w:rsidRPr="00FB4EFA">
        <w:rPr>
          <w:i/>
          <w:iCs/>
          <w:lang w:val="en-US"/>
        </w:rPr>
        <w:t>kwa</w:t>
      </w:r>
      <w:r w:rsidRPr="00FB4EFA">
        <w:rPr>
          <w:lang w:val="en-US"/>
        </w:rPr>
        <w:t xml:space="preserve"> ‘female priest, nun’, </w:t>
      </w:r>
      <w:r w:rsidRPr="00FB4EFA">
        <w:rPr>
          <w:i/>
          <w:iCs/>
          <w:lang w:val="en-US"/>
        </w:rPr>
        <w:t>p</w:t>
      </w:r>
      <w:r w:rsidRPr="00FB4EFA">
        <w:rPr>
          <w:rFonts w:cs="Cambria"/>
          <w:i/>
          <w:iCs/>
          <w:lang w:val="en-US"/>
        </w:rPr>
        <w:t>ū</w:t>
      </w:r>
      <w:r w:rsidRPr="00FB4EFA">
        <w:rPr>
          <w:i/>
          <w:iCs/>
          <w:lang w:val="en-US"/>
        </w:rPr>
        <w:t xml:space="preserve">p </w:t>
      </w:r>
      <w:r w:rsidRPr="00FB4EFA">
        <w:rPr>
          <w:rFonts w:cs="Cambria"/>
          <w:i/>
          <w:iCs/>
          <w:lang w:val="en-US"/>
        </w:rPr>
        <w:t>ō</w:t>
      </w:r>
      <w:r w:rsidRPr="00FB4EFA">
        <w:rPr>
          <w:i/>
          <w:iCs/>
          <w:lang w:val="en-US"/>
        </w:rPr>
        <w:t>jka</w:t>
      </w:r>
      <w:r w:rsidRPr="00FB4EFA">
        <w:rPr>
          <w:lang w:val="en-US"/>
        </w:rPr>
        <w:t xml:space="preserve"> ‘male priest, monk’,</w:t>
      </w:r>
      <w:r w:rsidRPr="00FB4EFA">
        <w:rPr>
          <w:vertAlign w:val="superscript"/>
        </w:rPr>
        <w:footnoteReference w:id="151"/>
      </w:r>
      <w:r w:rsidRPr="00FB4EFA">
        <w:rPr>
          <w:lang w:val="en-US"/>
        </w:rPr>
        <w:t xml:space="preserve"> </w:t>
      </w:r>
      <w:r w:rsidR="00F662F9" w:rsidRPr="00FB4EFA">
        <w:rPr>
          <w:lang w:val="en-US"/>
        </w:rPr>
        <w:br/>
      </w:r>
      <w:r w:rsidRPr="00FB4EFA">
        <w:rPr>
          <w:i/>
          <w:iCs/>
          <w:lang w:val="en-US"/>
        </w:rPr>
        <w:t>pirikaska n</w:t>
      </w:r>
      <w:r w:rsidRPr="00FB4EFA">
        <w:rPr>
          <w:rFonts w:cs="Cambria"/>
          <w:i/>
          <w:iCs/>
          <w:lang w:val="en-US"/>
        </w:rPr>
        <w:t>ē</w:t>
      </w:r>
      <w:r w:rsidRPr="00FB4EFA">
        <w:rPr>
          <w:lang w:val="en-US"/>
        </w:rPr>
        <w:t xml:space="preserve"> ‘female seller’, </w:t>
      </w:r>
      <w:r w:rsidRPr="00FB4EFA">
        <w:rPr>
          <w:rFonts w:cs="Cambria"/>
          <w:i/>
          <w:iCs/>
          <w:lang w:val="fi-FI"/>
        </w:rPr>
        <w:t>χ</w:t>
      </w:r>
      <w:r w:rsidRPr="00FB4EFA">
        <w:rPr>
          <w:rFonts w:cs="Cambria"/>
          <w:i/>
          <w:iCs/>
          <w:lang w:val="en-US"/>
        </w:rPr>
        <w:t>ō</w:t>
      </w:r>
      <w:r w:rsidRPr="00FB4EFA">
        <w:rPr>
          <w:i/>
          <w:iCs/>
          <w:lang w:val="en-US"/>
        </w:rPr>
        <w:t>n n</w:t>
      </w:r>
      <w:r w:rsidRPr="00FB4EFA">
        <w:rPr>
          <w:rFonts w:cs="Cambria"/>
          <w:i/>
          <w:iCs/>
          <w:lang w:val="en-US"/>
        </w:rPr>
        <w:t>ē</w:t>
      </w:r>
      <w:r w:rsidRPr="00FB4EFA">
        <w:rPr>
          <w:lang w:val="en-US"/>
        </w:rPr>
        <w:t xml:space="preserve"> ‘queen’.</w:t>
      </w:r>
    </w:p>
    <w:p w14:paraId="51C5898D" w14:textId="202BFD83" w:rsidR="00EC74AD" w:rsidRPr="00FB4EFA" w:rsidRDefault="00EC74AD" w:rsidP="002752AF">
      <w:pPr>
        <w:pStyle w:val="Heading3"/>
        <w:numPr>
          <w:ilvl w:val="1"/>
          <w:numId w:val="20"/>
        </w:numPr>
        <w:spacing w:line="259" w:lineRule="auto"/>
      </w:pPr>
      <w:r w:rsidRPr="00FB4EFA">
        <w:t>The first part of a compound is related to the job and the second is a gendered noun</w:t>
      </w:r>
    </w:p>
    <w:p w14:paraId="223AC190" w14:textId="361771F2" w:rsidR="00EC74AD" w:rsidRPr="00FB4EFA" w:rsidRDefault="00EC74AD" w:rsidP="002752AF">
      <w:pPr>
        <w:rPr>
          <w:lang w:val="en-US"/>
        </w:rPr>
      </w:pPr>
      <w:r w:rsidRPr="00FB4EFA">
        <w:rPr>
          <w:lang w:val="en-US"/>
        </w:rPr>
        <w:t xml:space="preserve">In the strategy considered in the previous section, gendered nouns are attached to existing job titles in order to form gendered versions. In this section, we address the cases where gendered nouns are an essential part of job titles, that is, where they combine with </w:t>
      </w:r>
      <w:r w:rsidR="00DB7B0F" w:rsidRPr="00FB4EFA">
        <w:rPr>
          <w:lang w:val="en-US"/>
        </w:rPr>
        <w:t>a</w:t>
      </w:r>
      <w:r w:rsidRPr="00FB4EFA">
        <w:rPr>
          <w:lang w:val="en-US"/>
        </w:rPr>
        <w:t xml:space="preserve"> job-related </w:t>
      </w:r>
      <w:r w:rsidR="00DB7B0F" w:rsidRPr="00FB4EFA">
        <w:rPr>
          <w:lang w:val="en-US"/>
        </w:rPr>
        <w:t>expression</w:t>
      </w:r>
      <w:r w:rsidRPr="00FB4EFA">
        <w:rPr>
          <w:lang w:val="en-US"/>
        </w:rPr>
        <w:t xml:space="preserve"> to form an inherently gendered job title. This is the most widely used strategy in Northern Mansi. Job titles which use this strategy are built up by more or less the same method. If there is an end product or an object of the working act, it stands in the first place, and it is followed by a present participle. This first part of the title is then always followed by a noun, which is predominantly </w:t>
      </w:r>
      <w:r w:rsidRPr="00FB4EFA">
        <w:rPr>
          <w:rFonts w:cs="Cambria"/>
          <w:i/>
          <w:iCs/>
          <w:lang w:val="fi-FI"/>
        </w:rPr>
        <w:t>χ</w:t>
      </w:r>
      <w:r w:rsidRPr="00FB4EFA">
        <w:rPr>
          <w:rFonts w:cs="Cambria"/>
          <w:i/>
          <w:iCs/>
          <w:lang w:val="en-US"/>
        </w:rPr>
        <w:t>ō</w:t>
      </w:r>
      <w:r w:rsidRPr="00FB4EFA">
        <w:rPr>
          <w:i/>
          <w:iCs/>
          <w:lang w:val="en-US"/>
        </w:rPr>
        <w:t xml:space="preserve">tpa </w:t>
      </w:r>
      <w:r w:rsidRPr="00FB4EFA">
        <w:rPr>
          <w:lang w:val="en-US"/>
        </w:rPr>
        <w:t xml:space="preserve">‘person’ or </w:t>
      </w:r>
      <w:r w:rsidRPr="00FB4EFA">
        <w:rPr>
          <w:i/>
          <w:iCs/>
          <w:lang w:val="en-US"/>
        </w:rPr>
        <w:t>m</w:t>
      </w:r>
      <w:r w:rsidRPr="00FB4EFA">
        <w:rPr>
          <w:rFonts w:cs="Cambria"/>
          <w:i/>
          <w:iCs/>
          <w:lang w:val="en-US"/>
        </w:rPr>
        <w:t>ā</w:t>
      </w:r>
      <w:r w:rsidRPr="00FB4EFA">
        <w:rPr>
          <w:rFonts w:cs="Cambria"/>
          <w:i/>
          <w:iCs/>
          <w:lang w:val="fi-FI"/>
        </w:rPr>
        <w:t>χ</w:t>
      </w:r>
      <w:r w:rsidRPr="00FB4EFA">
        <w:rPr>
          <w:rFonts w:cs="Times New Roman"/>
          <w:i/>
          <w:iCs/>
          <w:lang w:val="en-US"/>
        </w:rPr>
        <w:t>ə</w:t>
      </w:r>
      <w:r w:rsidRPr="00FB4EFA">
        <w:rPr>
          <w:i/>
          <w:iCs/>
          <w:lang w:val="en-US"/>
        </w:rPr>
        <w:t xml:space="preserve">m </w:t>
      </w:r>
      <w:r w:rsidRPr="00FB4EFA">
        <w:rPr>
          <w:lang w:val="en-US"/>
        </w:rPr>
        <w:t xml:space="preserve">‘people’ to refer to the job in general. For example, </w:t>
      </w:r>
      <w:r w:rsidRPr="00FB4EFA">
        <w:rPr>
          <w:i/>
          <w:iCs/>
          <w:lang w:val="en-US"/>
        </w:rPr>
        <w:t>t</w:t>
      </w:r>
      <w:r w:rsidRPr="00FB4EFA">
        <w:rPr>
          <w:rFonts w:cs="Cambria"/>
          <w:i/>
          <w:iCs/>
          <w:lang w:val="en-US"/>
        </w:rPr>
        <w:t>ē</w:t>
      </w:r>
      <w:r w:rsidRPr="00FB4EFA">
        <w:rPr>
          <w:i/>
          <w:iCs/>
          <w:lang w:val="en-US"/>
        </w:rPr>
        <w:t>nut p</w:t>
      </w:r>
      <w:r w:rsidRPr="00FB4EFA">
        <w:rPr>
          <w:rFonts w:cs="Cambria"/>
          <w:i/>
          <w:iCs/>
          <w:lang w:val="en-US"/>
        </w:rPr>
        <w:t>ā</w:t>
      </w:r>
      <w:r w:rsidRPr="00FB4EFA">
        <w:rPr>
          <w:i/>
          <w:iCs/>
          <w:lang w:val="en-US"/>
        </w:rPr>
        <w:t xml:space="preserve">jtne </w:t>
      </w:r>
      <w:r w:rsidRPr="00FB4EFA">
        <w:rPr>
          <w:rFonts w:cs="Cambria"/>
          <w:i/>
          <w:iCs/>
          <w:lang w:val="fi-FI"/>
        </w:rPr>
        <w:t>χ</w:t>
      </w:r>
      <w:r w:rsidRPr="00FB4EFA">
        <w:rPr>
          <w:rFonts w:cs="Cambria"/>
          <w:i/>
          <w:iCs/>
          <w:lang w:val="en-US"/>
        </w:rPr>
        <w:t>ō</w:t>
      </w:r>
      <w:r w:rsidRPr="00FB4EFA">
        <w:rPr>
          <w:i/>
          <w:iCs/>
          <w:lang w:val="en-US"/>
        </w:rPr>
        <w:t>tpa</w:t>
      </w:r>
      <w:r w:rsidRPr="00FB4EFA">
        <w:rPr>
          <w:lang w:val="en-US"/>
        </w:rPr>
        <w:t xml:space="preserve"> ‘chef, cook’ can be analyzed as </w:t>
      </w:r>
      <w:r w:rsidRPr="00FB4EFA">
        <w:rPr>
          <w:i/>
          <w:iCs/>
          <w:lang w:val="en-US"/>
        </w:rPr>
        <w:t>t</w:t>
      </w:r>
      <w:r w:rsidRPr="00FB4EFA">
        <w:rPr>
          <w:rFonts w:cs="Cambria"/>
          <w:i/>
          <w:iCs/>
          <w:lang w:val="en-US"/>
        </w:rPr>
        <w:t>ē</w:t>
      </w:r>
      <w:r w:rsidRPr="00FB4EFA">
        <w:rPr>
          <w:i/>
          <w:iCs/>
          <w:lang w:val="en-US"/>
        </w:rPr>
        <w:t xml:space="preserve">nut </w:t>
      </w:r>
      <w:r w:rsidRPr="00FB4EFA">
        <w:rPr>
          <w:lang w:val="en-US"/>
        </w:rPr>
        <w:t xml:space="preserve">‘food’ + </w:t>
      </w:r>
      <w:r w:rsidRPr="00FB4EFA">
        <w:rPr>
          <w:i/>
          <w:iCs/>
          <w:lang w:val="en-US"/>
        </w:rPr>
        <w:t>p</w:t>
      </w:r>
      <w:r w:rsidRPr="00FB4EFA">
        <w:rPr>
          <w:rFonts w:cs="Cambria"/>
          <w:i/>
          <w:iCs/>
          <w:lang w:val="en-US"/>
        </w:rPr>
        <w:t>ā</w:t>
      </w:r>
      <w:r w:rsidRPr="00FB4EFA">
        <w:rPr>
          <w:i/>
          <w:iCs/>
          <w:lang w:val="en-US"/>
        </w:rPr>
        <w:t xml:space="preserve">jtne </w:t>
      </w:r>
      <w:r w:rsidRPr="00FB4EFA">
        <w:rPr>
          <w:lang w:val="en-US"/>
        </w:rPr>
        <w:t xml:space="preserve">‘cooking’ + </w:t>
      </w:r>
      <w:r w:rsidRPr="00FB4EFA">
        <w:rPr>
          <w:rFonts w:cs="Cambria"/>
          <w:i/>
          <w:iCs/>
          <w:lang w:val="fi-FI"/>
        </w:rPr>
        <w:t>χ</w:t>
      </w:r>
      <w:r w:rsidRPr="00FB4EFA">
        <w:rPr>
          <w:rFonts w:cs="Cambria"/>
          <w:i/>
          <w:iCs/>
          <w:lang w:val="en-US"/>
        </w:rPr>
        <w:t>ō</w:t>
      </w:r>
      <w:r w:rsidRPr="00FB4EFA">
        <w:rPr>
          <w:i/>
          <w:iCs/>
          <w:lang w:val="en-US"/>
        </w:rPr>
        <w:t xml:space="preserve">tpa </w:t>
      </w:r>
      <w:r w:rsidRPr="00FB4EFA">
        <w:rPr>
          <w:lang w:val="en-US"/>
        </w:rPr>
        <w:t xml:space="preserve">‘person’. Instead of </w:t>
      </w:r>
      <w:r w:rsidRPr="00FB4EFA">
        <w:rPr>
          <w:i/>
          <w:iCs/>
          <w:lang w:val="en-US"/>
        </w:rPr>
        <w:t>m</w:t>
      </w:r>
      <w:r w:rsidRPr="00FB4EFA">
        <w:rPr>
          <w:rFonts w:cs="Cambria"/>
          <w:i/>
          <w:iCs/>
          <w:lang w:val="en-US"/>
        </w:rPr>
        <w:t>ā</w:t>
      </w:r>
      <w:r w:rsidRPr="00FB4EFA">
        <w:rPr>
          <w:rFonts w:cs="Cambria"/>
          <w:i/>
          <w:iCs/>
          <w:lang w:val="fi-FI"/>
        </w:rPr>
        <w:t>χ</w:t>
      </w:r>
      <w:r w:rsidRPr="00FB4EFA">
        <w:rPr>
          <w:rFonts w:cs="Times New Roman"/>
          <w:i/>
          <w:iCs/>
          <w:lang w:val="en-US"/>
        </w:rPr>
        <w:t>ə</w:t>
      </w:r>
      <w:r w:rsidRPr="00FB4EFA">
        <w:rPr>
          <w:i/>
          <w:iCs/>
          <w:lang w:val="en-US"/>
        </w:rPr>
        <w:t xml:space="preserve">m </w:t>
      </w:r>
      <w:r w:rsidRPr="00FB4EFA">
        <w:rPr>
          <w:lang w:val="en-US"/>
        </w:rPr>
        <w:t>and</w:t>
      </w:r>
      <w:r w:rsidRPr="00FB4EFA">
        <w:rPr>
          <w:i/>
          <w:iCs/>
          <w:lang w:val="en-US"/>
        </w:rPr>
        <w:t xml:space="preserve"> </w:t>
      </w:r>
      <w:r w:rsidRPr="00FB4EFA">
        <w:rPr>
          <w:rFonts w:cs="Cambria"/>
          <w:i/>
          <w:iCs/>
          <w:lang w:val="fi-FI"/>
        </w:rPr>
        <w:t>χ</w:t>
      </w:r>
      <w:r w:rsidRPr="00FB4EFA">
        <w:rPr>
          <w:rFonts w:cs="Cambria"/>
          <w:i/>
          <w:iCs/>
          <w:lang w:val="en-US"/>
        </w:rPr>
        <w:t>ō</w:t>
      </w:r>
      <w:r w:rsidRPr="00FB4EFA">
        <w:rPr>
          <w:i/>
          <w:iCs/>
          <w:lang w:val="en-US"/>
        </w:rPr>
        <w:t>tpa</w:t>
      </w:r>
      <w:r w:rsidRPr="00FB4EFA">
        <w:rPr>
          <w:lang w:val="en-US"/>
        </w:rPr>
        <w:t xml:space="preserve">, gender-specific nouns can also be used, as in </w:t>
      </w:r>
      <w:r w:rsidRPr="00FB4EFA">
        <w:rPr>
          <w:rFonts w:cs="Cambria"/>
          <w:i/>
          <w:iCs/>
          <w:lang w:val="fi-FI"/>
        </w:rPr>
        <w:t>χ</w:t>
      </w:r>
      <w:r w:rsidRPr="00FB4EFA">
        <w:rPr>
          <w:i/>
          <w:iCs/>
          <w:lang w:val="en-US"/>
        </w:rPr>
        <w:t>ul al</w:t>
      </w:r>
      <w:r w:rsidRPr="00FB4EFA">
        <w:rPr>
          <w:rFonts w:cs="Times New Roman"/>
          <w:i/>
          <w:iCs/>
          <w:lang w:val="en-US"/>
        </w:rPr>
        <w:t>ə</w:t>
      </w:r>
      <w:r w:rsidRPr="00FB4EFA">
        <w:rPr>
          <w:rFonts w:cs="Cambria"/>
          <w:i/>
          <w:iCs/>
          <w:lang w:val="en-US"/>
        </w:rPr>
        <w:t>ś</w:t>
      </w:r>
      <w:r w:rsidRPr="00FB4EFA">
        <w:rPr>
          <w:i/>
          <w:iCs/>
          <w:lang w:val="en-US"/>
        </w:rPr>
        <w:t xml:space="preserve">lan </w:t>
      </w:r>
      <w:r w:rsidRPr="00FB4EFA">
        <w:rPr>
          <w:rFonts w:cs="Cambria"/>
          <w:i/>
          <w:iCs/>
          <w:lang w:val="fi-FI"/>
        </w:rPr>
        <w:t>χ</w:t>
      </w:r>
      <w:r w:rsidRPr="00FB4EFA">
        <w:rPr>
          <w:i/>
          <w:iCs/>
          <w:lang w:val="en-US"/>
        </w:rPr>
        <w:t>um</w:t>
      </w:r>
      <w:r w:rsidRPr="00FB4EFA">
        <w:rPr>
          <w:lang w:val="en-US"/>
        </w:rPr>
        <w:t xml:space="preserve"> ‘fisherman (lit. fish-catching man)’ or </w:t>
      </w:r>
      <w:r w:rsidRPr="00FB4EFA">
        <w:rPr>
          <w:rFonts w:cs="Cambria"/>
          <w:i/>
          <w:iCs/>
          <w:lang w:val="fi-FI"/>
        </w:rPr>
        <w:t>χ</w:t>
      </w:r>
      <w:r w:rsidRPr="00FB4EFA">
        <w:rPr>
          <w:i/>
          <w:iCs/>
          <w:lang w:val="en-US"/>
        </w:rPr>
        <w:t>anti l</w:t>
      </w:r>
      <w:r w:rsidRPr="00FB4EFA">
        <w:rPr>
          <w:rFonts w:cs="Cambria"/>
          <w:i/>
          <w:iCs/>
          <w:lang w:val="en-US"/>
        </w:rPr>
        <w:t>ā</w:t>
      </w:r>
      <w:r w:rsidRPr="00FB4EFA">
        <w:rPr>
          <w:i/>
          <w:iCs/>
          <w:lang w:val="en-US"/>
        </w:rPr>
        <w:t>t</w:t>
      </w:r>
      <w:r w:rsidRPr="00FB4EFA">
        <w:rPr>
          <w:rFonts w:cs="Times New Roman"/>
          <w:i/>
          <w:iCs/>
          <w:lang w:val="en-US"/>
        </w:rPr>
        <w:t>ə</w:t>
      </w:r>
      <w:r w:rsidRPr="00FB4EFA">
        <w:rPr>
          <w:rFonts w:cs="Cambria"/>
          <w:i/>
          <w:iCs/>
          <w:lang w:val="en-US"/>
        </w:rPr>
        <w:t>ŋ</w:t>
      </w:r>
      <w:r w:rsidRPr="00FB4EFA">
        <w:rPr>
          <w:i/>
          <w:iCs/>
          <w:lang w:val="en-US"/>
        </w:rPr>
        <w:t xml:space="preserve"> </w:t>
      </w:r>
      <w:r w:rsidRPr="00FB4EFA">
        <w:rPr>
          <w:rFonts w:cs="Cambria"/>
          <w:i/>
          <w:iCs/>
          <w:lang w:val="fi-FI"/>
        </w:rPr>
        <w:t>χ</w:t>
      </w:r>
      <w:r w:rsidRPr="00FB4EFA">
        <w:rPr>
          <w:i/>
          <w:iCs/>
          <w:lang w:val="en-US"/>
        </w:rPr>
        <w:t>a</w:t>
      </w:r>
      <w:r w:rsidRPr="00FB4EFA">
        <w:rPr>
          <w:rFonts w:cs="Cambria"/>
          <w:i/>
          <w:iCs/>
          <w:lang w:val="en-US"/>
        </w:rPr>
        <w:t>ń</w:t>
      </w:r>
      <w:r w:rsidRPr="00FB4EFA">
        <w:rPr>
          <w:i/>
          <w:iCs/>
          <w:lang w:val="en-US"/>
        </w:rPr>
        <w:t>i</w:t>
      </w:r>
      <w:r w:rsidRPr="00FB4EFA">
        <w:rPr>
          <w:rFonts w:cs="Cambria"/>
          <w:i/>
          <w:iCs/>
          <w:lang w:val="en-US"/>
        </w:rPr>
        <w:t>ś</w:t>
      </w:r>
      <w:r w:rsidRPr="00FB4EFA">
        <w:rPr>
          <w:i/>
          <w:iCs/>
          <w:lang w:val="en-US"/>
        </w:rPr>
        <w:t>tan n</w:t>
      </w:r>
      <w:r w:rsidRPr="00FB4EFA">
        <w:rPr>
          <w:rFonts w:cs="Cambria"/>
          <w:i/>
          <w:iCs/>
          <w:lang w:val="en-US"/>
        </w:rPr>
        <w:t>ē</w:t>
      </w:r>
      <w:r w:rsidRPr="00FB4EFA">
        <w:rPr>
          <w:i/>
          <w:iCs/>
          <w:lang w:val="en-US"/>
        </w:rPr>
        <w:t xml:space="preserve"> </w:t>
      </w:r>
      <w:r w:rsidRPr="00FB4EFA">
        <w:rPr>
          <w:lang w:val="en-US"/>
        </w:rPr>
        <w:t xml:space="preserve">‘female Khanty language teacher (lit. Khanty-language-teaching woman)’. The nouns which are most likely to be found as a gender-specifier are </w:t>
      </w:r>
      <w:r w:rsidRPr="00FB4EFA">
        <w:rPr>
          <w:i/>
          <w:iCs/>
          <w:lang w:val="en-US"/>
        </w:rPr>
        <w:t>n</w:t>
      </w:r>
      <w:r w:rsidRPr="00FB4EFA">
        <w:rPr>
          <w:rFonts w:cs="Cambria"/>
          <w:i/>
          <w:iCs/>
          <w:lang w:val="en-US"/>
        </w:rPr>
        <w:t>ē</w:t>
      </w:r>
      <w:r w:rsidRPr="00FB4EFA">
        <w:rPr>
          <w:i/>
          <w:iCs/>
          <w:lang w:val="en-US"/>
        </w:rPr>
        <w:t xml:space="preserve"> </w:t>
      </w:r>
      <w:r w:rsidRPr="00FB4EFA">
        <w:rPr>
          <w:lang w:val="en-US"/>
        </w:rPr>
        <w:t>‘woman’</w:t>
      </w:r>
      <w:r w:rsidRPr="00FB4EFA">
        <w:rPr>
          <w:i/>
          <w:iCs/>
          <w:lang w:val="en-US"/>
        </w:rPr>
        <w:t xml:space="preserve"> </w:t>
      </w:r>
      <w:r w:rsidRPr="00FB4EFA">
        <w:rPr>
          <w:lang w:val="en-US"/>
        </w:rPr>
        <w:t>and</w:t>
      </w:r>
      <w:r w:rsidRPr="00FB4EFA">
        <w:rPr>
          <w:i/>
          <w:iCs/>
          <w:lang w:val="en-US"/>
        </w:rPr>
        <w:t xml:space="preserve"> </w:t>
      </w:r>
      <w:r w:rsidRPr="00FB4EFA">
        <w:rPr>
          <w:rFonts w:cs="Cambria"/>
          <w:i/>
          <w:iCs/>
          <w:lang w:val="fi-FI"/>
        </w:rPr>
        <w:t>χ</w:t>
      </w:r>
      <w:r w:rsidRPr="00FB4EFA">
        <w:rPr>
          <w:i/>
          <w:iCs/>
          <w:lang w:val="en-US"/>
        </w:rPr>
        <w:t>um</w:t>
      </w:r>
      <w:r w:rsidRPr="00FB4EFA">
        <w:rPr>
          <w:lang w:val="en-US"/>
        </w:rPr>
        <w:t xml:space="preserve"> ‘man’, although </w:t>
      </w:r>
      <w:r w:rsidRPr="00FB4EFA">
        <w:rPr>
          <w:rFonts w:cs="Cambria"/>
          <w:i/>
          <w:iCs/>
          <w:lang w:val="en-US"/>
        </w:rPr>
        <w:t>ā</w:t>
      </w:r>
      <w:r w:rsidRPr="00FB4EFA">
        <w:rPr>
          <w:rFonts w:cs="Cambria"/>
          <w:i/>
          <w:iCs/>
          <w:lang w:val="fi-FI"/>
        </w:rPr>
        <w:t>γ</w:t>
      </w:r>
      <w:r w:rsidRPr="00FB4EFA">
        <w:rPr>
          <w:i/>
          <w:iCs/>
          <w:lang w:val="en-US"/>
        </w:rPr>
        <w:t xml:space="preserve">i </w:t>
      </w:r>
      <w:r w:rsidRPr="00FB4EFA">
        <w:rPr>
          <w:lang w:val="en-US"/>
        </w:rPr>
        <w:t>‘girl’</w:t>
      </w:r>
      <w:r w:rsidRPr="00FB4EFA">
        <w:rPr>
          <w:i/>
          <w:iCs/>
          <w:lang w:val="en-US"/>
        </w:rPr>
        <w:t xml:space="preserve"> </w:t>
      </w:r>
      <w:r w:rsidRPr="00FB4EFA">
        <w:rPr>
          <w:lang w:val="en-US"/>
        </w:rPr>
        <w:t>and</w:t>
      </w:r>
      <w:r w:rsidRPr="00FB4EFA">
        <w:rPr>
          <w:i/>
          <w:iCs/>
          <w:lang w:val="en-US"/>
        </w:rPr>
        <w:t xml:space="preserve"> pi</w:t>
      </w:r>
      <w:r w:rsidR="007C4BE6" w:rsidRPr="00FB4EFA">
        <w:rPr>
          <w:rFonts w:cs="Cambria"/>
          <w:i/>
          <w:iCs/>
          <w:lang w:val="fi-FI"/>
        </w:rPr>
        <w:t>γ</w:t>
      </w:r>
      <w:r w:rsidRPr="00FB4EFA">
        <w:rPr>
          <w:i/>
          <w:iCs/>
          <w:lang w:val="en-US"/>
        </w:rPr>
        <w:t xml:space="preserve"> </w:t>
      </w:r>
      <w:r w:rsidRPr="00FB4EFA">
        <w:rPr>
          <w:lang w:val="en-US"/>
        </w:rPr>
        <w:t xml:space="preserve">‘boy’ are also often used when the job title describes a young person, </w:t>
      </w:r>
      <w:r w:rsidR="00466236" w:rsidRPr="00FB4EFA">
        <w:rPr>
          <w:lang w:val="en-US"/>
        </w:rPr>
        <w:t>e.g., </w:t>
      </w:r>
      <w:r w:rsidRPr="00FB4EFA">
        <w:rPr>
          <w:i/>
          <w:iCs/>
          <w:lang w:val="en-US"/>
        </w:rPr>
        <w:t>kolled</w:t>
      </w:r>
      <w:r w:rsidRPr="00FB4EFA">
        <w:rPr>
          <w:rFonts w:cs="Cambria"/>
          <w:i/>
          <w:iCs/>
          <w:lang w:val="en-US"/>
        </w:rPr>
        <w:t>ź</w:t>
      </w:r>
      <w:r w:rsidRPr="00FB4EFA">
        <w:rPr>
          <w:i/>
          <w:iCs/>
          <w:lang w:val="en-US"/>
        </w:rPr>
        <w:t xml:space="preserve">it </w:t>
      </w:r>
      <w:r w:rsidRPr="00FB4EFA">
        <w:rPr>
          <w:rFonts w:cs="Cambria"/>
          <w:i/>
          <w:iCs/>
          <w:lang w:val="fi-FI"/>
        </w:rPr>
        <w:t>χ</w:t>
      </w:r>
      <w:r w:rsidRPr="00FB4EFA">
        <w:rPr>
          <w:i/>
          <w:iCs/>
          <w:lang w:val="en-US"/>
        </w:rPr>
        <w:t>a</w:t>
      </w:r>
      <w:r w:rsidRPr="00FB4EFA">
        <w:rPr>
          <w:rFonts w:cs="Cambria"/>
          <w:i/>
          <w:iCs/>
          <w:lang w:val="en-US"/>
        </w:rPr>
        <w:t>ń</w:t>
      </w:r>
      <w:r w:rsidRPr="00FB4EFA">
        <w:rPr>
          <w:i/>
          <w:iCs/>
          <w:lang w:val="en-US"/>
        </w:rPr>
        <w:t>i</w:t>
      </w:r>
      <w:r w:rsidRPr="00FB4EFA">
        <w:rPr>
          <w:rFonts w:cs="Cambria"/>
          <w:i/>
          <w:iCs/>
          <w:lang w:val="en-US"/>
        </w:rPr>
        <w:t>ś</w:t>
      </w:r>
      <w:r w:rsidRPr="00FB4EFA">
        <w:rPr>
          <w:i/>
          <w:iCs/>
          <w:lang w:val="en-US"/>
        </w:rPr>
        <w:t>ta</w:t>
      </w:r>
      <w:r w:rsidRPr="00FB4EFA">
        <w:rPr>
          <w:rFonts w:cs="Cambria"/>
          <w:i/>
          <w:iCs/>
          <w:lang w:val="fi-FI"/>
        </w:rPr>
        <w:t>χ</w:t>
      </w:r>
      <w:r w:rsidRPr="00FB4EFA">
        <w:rPr>
          <w:i/>
          <w:iCs/>
          <w:lang w:val="en-US"/>
        </w:rPr>
        <w:t>t</w:t>
      </w:r>
      <w:r w:rsidRPr="00FB4EFA">
        <w:rPr>
          <w:rFonts w:cs="Times New Roman"/>
          <w:i/>
          <w:iCs/>
          <w:lang w:val="en-US"/>
        </w:rPr>
        <w:t>ə</w:t>
      </w:r>
      <w:r w:rsidRPr="00FB4EFA">
        <w:rPr>
          <w:i/>
          <w:iCs/>
          <w:lang w:val="en-US"/>
        </w:rPr>
        <w:t xml:space="preserve">n </w:t>
      </w:r>
      <w:r w:rsidRPr="00FB4EFA">
        <w:rPr>
          <w:rFonts w:cs="Cambria"/>
          <w:i/>
          <w:iCs/>
          <w:lang w:val="en-US"/>
        </w:rPr>
        <w:t>ā</w:t>
      </w:r>
      <w:r w:rsidR="007C4BE6" w:rsidRPr="00FB4EFA">
        <w:rPr>
          <w:rFonts w:cs="Cambria"/>
          <w:i/>
          <w:iCs/>
          <w:lang w:val="fi-FI"/>
        </w:rPr>
        <w:t>γ</w:t>
      </w:r>
      <w:r w:rsidRPr="00FB4EFA">
        <w:rPr>
          <w:i/>
          <w:iCs/>
          <w:lang w:val="en-US"/>
        </w:rPr>
        <w:t>i</w:t>
      </w:r>
      <w:r w:rsidRPr="00FB4EFA">
        <w:rPr>
          <w:lang w:val="en-US"/>
        </w:rPr>
        <w:t xml:space="preserve"> ‘female student (lit. in a college + learning + girl)’ or </w:t>
      </w:r>
      <w:r w:rsidRPr="00FB4EFA">
        <w:rPr>
          <w:i/>
          <w:iCs/>
          <w:lang w:val="en-US"/>
        </w:rPr>
        <w:t>(armijat) lusitan pi</w:t>
      </w:r>
      <w:r w:rsidR="007C4BE6" w:rsidRPr="00FB4EFA">
        <w:rPr>
          <w:rFonts w:cs="Cambria"/>
          <w:i/>
          <w:iCs/>
          <w:lang w:val="fi-FI"/>
        </w:rPr>
        <w:t>γ</w:t>
      </w:r>
      <w:r w:rsidRPr="00FB4EFA">
        <w:rPr>
          <w:lang w:val="en-US"/>
        </w:rPr>
        <w:t xml:space="preserve"> ‘male soldier (lit. [in the army] + serving + boy)’.</w:t>
      </w:r>
    </w:p>
    <w:p w14:paraId="432074E6" w14:textId="1541EFF9" w:rsidR="00EC74AD" w:rsidRPr="00FB4EFA" w:rsidRDefault="00EC74AD" w:rsidP="00AF0CAD">
      <w:pPr>
        <w:ind w:firstLine="720"/>
        <w:rPr>
          <w:lang w:val="en-US"/>
        </w:rPr>
      </w:pPr>
      <w:r w:rsidRPr="00FB4EFA">
        <w:rPr>
          <w:lang w:val="en-US"/>
        </w:rPr>
        <w:t xml:space="preserve">Interestingly, such gendered versions can be used by native speakers even if a completely different word exists for the job in general. For instance, one of our respondents used the word </w:t>
      </w:r>
      <w:r w:rsidRPr="00FB4EFA">
        <w:rPr>
          <w:i/>
          <w:iCs/>
          <w:lang w:val="en-US"/>
        </w:rPr>
        <w:t xml:space="preserve">saltat </w:t>
      </w:r>
      <w:r w:rsidRPr="00FB4EFA">
        <w:rPr>
          <w:lang w:val="en-US"/>
        </w:rPr>
        <w:t xml:space="preserve">‘soldier’ (&lt; Russian </w:t>
      </w:r>
      <w:r w:rsidRPr="00FB4EFA">
        <w:rPr>
          <w:rFonts w:cs="Cambria"/>
          <w:i/>
          <w:iCs/>
          <w:lang w:val="fi-FI"/>
        </w:rPr>
        <w:t>солдат</w:t>
      </w:r>
      <w:r w:rsidRPr="00FB4EFA">
        <w:rPr>
          <w:lang w:val="en-US"/>
        </w:rPr>
        <w:t xml:space="preserve">) to describe a soldier in general, while for the gender-specific terms she preferred the compound strategy mentioned above. Similarly, </w:t>
      </w:r>
      <w:r w:rsidR="005C57DF" w:rsidRPr="00FB4EFA">
        <w:rPr>
          <w:lang w:val="en-US"/>
        </w:rPr>
        <w:t>the</w:t>
      </w:r>
      <w:r w:rsidRPr="00FB4EFA">
        <w:rPr>
          <w:lang w:val="en-US"/>
        </w:rPr>
        <w:t xml:space="preserve"> gender-neutral word </w:t>
      </w:r>
      <w:r w:rsidRPr="00FB4EFA">
        <w:rPr>
          <w:i/>
          <w:iCs/>
          <w:lang w:val="en-US"/>
        </w:rPr>
        <w:t xml:space="preserve">pirikaska </w:t>
      </w:r>
      <w:r w:rsidRPr="00FB4EFA">
        <w:rPr>
          <w:lang w:val="en-US"/>
        </w:rPr>
        <w:t xml:space="preserve">‘seller’ (&lt; Russian </w:t>
      </w:r>
      <w:r w:rsidRPr="00FB4EFA">
        <w:rPr>
          <w:rFonts w:cs="Cambria"/>
          <w:i/>
          <w:iCs/>
          <w:lang w:val="fi-FI"/>
        </w:rPr>
        <w:t>приказчик</w:t>
      </w:r>
      <w:r w:rsidRPr="00FB4EFA">
        <w:rPr>
          <w:i/>
          <w:iCs/>
          <w:lang w:val="en-US"/>
        </w:rPr>
        <w:t xml:space="preserve"> </w:t>
      </w:r>
      <w:r w:rsidRPr="00FB4EFA">
        <w:rPr>
          <w:lang w:val="en-US"/>
        </w:rPr>
        <w:t>‘counterman’) was provided as a general term, but the corresponding</w:t>
      </w:r>
      <w:r w:rsidR="00863238" w:rsidRPr="00FB4EFA">
        <w:rPr>
          <w:lang w:val="en-US"/>
        </w:rPr>
        <w:t> </w:t>
      </w:r>
      <w:r w:rsidRPr="00FB4EFA">
        <w:rPr>
          <w:lang w:val="en-US"/>
        </w:rPr>
        <w:t xml:space="preserve">gendered versions were </w:t>
      </w:r>
      <w:r w:rsidRPr="00FB4EFA">
        <w:rPr>
          <w:i/>
          <w:iCs/>
          <w:lang w:val="en-US"/>
        </w:rPr>
        <w:t>l</w:t>
      </w:r>
      <w:r w:rsidRPr="00FB4EFA">
        <w:rPr>
          <w:rFonts w:cs="Cambria"/>
          <w:i/>
          <w:iCs/>
          <w:lang w:val="en-US"/>
        </w:rPr>
        <w:t>ā</w:t>
      </w:r>
      <w:r w:rsidRPr="00FB4EFA">
        <w:rPr>
          <w:i/>
          <w:iCs/>
          <w:lang w:val="en-US"/>
        </w:rPr>
        <w:t>pkat r</w:t>
      </w:r>
      <w:r w:rsidRPr="00FB4EFA">
        <w:rPr>
          <w:rFonts w:cs="Cambria"/>
          <w:i/>
          <w:iCs/>
          <w:lang w:val="en-US"/>
        </w:rPr>
        <w:t>ū</w:t>
      </w:r>
      <w:r w:rsidRPr="00FB4EFA">
        <w:rPr>
          <w:i/>
          <w:iCs/>
          <w:lang w:val="en-US"/>
        </w:rPr>
        <w:t>pitan n</w:t>
      </w:r>
      <w:r w:rsidRPr="00FB4EFA">
        <w:rPr>
          <w:rFonts w:cs="Cambria"/>
          <w:i/>
          <w:iCs/>
          <w:lang w:val="en-US"/>
        </w:rPr>
        <w:t>ē</w:t>
      </w:r>
      <w:r w:rsidRPr="00FB4EFA">
        <w:rPr>
          <w:i/>
          <w:iCs/>
          <w:lang w:val="en-US"/>
        </w:rPr>
        <w:t xml:space="preserve"> </w:t>
      </w:r>
      <w:r w:rsidRPr="00FB4EFA">
        <w:rPr>
          <w:lang w:val="en-US"/>
        </w:rPr>
        <w:t>‘lit. in a store+</w:t>
      </w:r>
      <w:r w:rsidR="005C57DF" w:rsidRPr="00FB4EFA">
        <w:rPr>
          <w:lang w:val="en-US"/>
        </w:rPr>
        <w:br/>
      </w:r>
      <w:r w:rsidRPr="00FB4EFA">
        <w:rPr>
          <w:lang w:val="en-US"/>
        </w:rPr>
        <w:lastRenderedPageBreak/>
        <w:t xml:space="preserve">working+woman’ and </w:t>
      </w:r>
      <w:r w:rsidRPr="00FB4EFA">
        <w:rPr>
          <w:i/>
          <w:iCs/>
          <w:lang w:val="en-US"/>
        </w:rPr>
        <w:t>l</w:t>
      </w:r>
      <w:r w:rsidRPr="00FB4EFA">
        <w:rPr>
          <w:rFonts w:cs="Cambria"/>
          <w:i/>
          <w:iCs/>
          <w:lang w:val="en-US"/>
        </w:rPr>
        <w:t>ā</w:t>
      </w:r>
      <w:r w:rsidRPr="00FB4EFA">
        <w:rPr>
          <w:i/>
          <w:iCs/>
          <w:lang w:val="en-US"/>
        </w:rPr>
        <w:t>pkat r</w:t>
      </w:r>
      <w:r w:rsidRPr="00FB4EFA">
        <w:rPr>
          <w:rFonts w:cs="Cambria"/>
          <w:i/>
          <w:iCs/>
          <w:lang w:val="en-US"/>
        </w:rPr>
        <w:t>ū</w:t>
      </w:r>
      <w:r w:rsidRPr="00FB4EFA">
        <w:rPr>
          <w:i/>
          <w:iCs/>
          <w:lang w:val="en-US"/>
        </w:rPr>
        <w:t xml:space="preserve">pitan </w:t>
      </w:r>
      <w:r w:rsidRPr="00FB4EFA">
        <w:rPr>
          <w:rFonts w:cs="Cambria"/>
          <w:i/>
          <w:iCs/>
          <w:lang w:val="fi-FI"/>
        </w:rPr>
        <w:t>χ</w:t>
      </w:r>
      <w:r w:rsidRPr="00FB4EFA">
        <w:rPr>
          <w:i/>
          <w:iCs/>
          <w:lang w:val="en-US"/>
        </w:rPr>
        <w:t xml:space="preserve">um </w:t>
      </w:r>
      <w:r w:rsidRPr="00FB4EFA">
        <w:rPr>
          <w:lang w:val="en-US"/>
        </w:rPr>
        <w:t>‘lit. in a store+working+man’. This can be seen as an indication that at least this particular speaker prefers this strategy of expressing gender to the one discussed in Section 3.4.</w:t>
      </w:r>
    </w:p>
    <w:p w14:paraId="4F316F40" w14:textId="72F7935C" w:rsidR="00EC74AD" w:rsidRPr="00FB4EFA" w:rsidRDefault="00EC74AD" w:rsidP="00AF0CAD">
      <w:pPr>
        <w:ind w:firstLine="720"/>
        <w:rPr>
          <w:lang w:val="en-US"/>
        </w:rPr>
      </w:pPr>
      <w:r w:rsidRPr="00FB4EFA">
        <w:rPr>
          <w:lang w:val="en-US"/>
        </w:rPr>
        <w:t xml:space="preserve">In the rest of the languages in our sample, this strategy is fairly marginal. In most cases, the first part of the compound is a place with which the job is associated. This is the case, for example, with </w:t>
      </w:r>
      <w:r w:rsidRPr="00FB4EFA">
        <w:rPr>
          <w:i/>
          <w:iCs/>
          <w:lang w:val="en-US"/>
        </w:rPr>
        <w:t>köögitüdruk</w:t>
      </w:r>
      <w:r w:rsidRPr="00FB4EFA">
        <w:rPr>
          <w:lang w:val="en-US"/>
        </w:rPr>
        <w:t xml:space="preserve"> ‘lit. kitchen+girl’ in Estonian, </w:t>
      </w:r>
      <w:r w:rsidRPr="00FB4EFA">
        <w:rPr>
          <w:i/>
          <w:iCs/>
          <w:lang w:val="en-US"/>
        </w:rPr>
        <w:t>kassaneiti</w:t>
      </w:r>
      <w:r w:rsidRPr="00FB4EFA">
        <w:rPr>
          <w:lang w:val="en-US"/>
        </w:rPr>
        <w:t xml:space="preserve"> ‘lit. cash register+girl’ in Finnish, </w:t>
      </w:r>
      <w:r w:rsidRPr="00FB4EFA">
        <w:rPr>
          <w:i/>
          <w:iCs/>
          <w:lang w:val="en-US"/>
        </w:rPr>
        <w:t xml:space="preserve">konyhás néni </w:t>
      </w:r>
      <w:r w:rsidRPr="00FB4EFA">
        <w:rPr>
          <w:lang w:val="en-US"/>
        </w:rPr>
        <w:t xml:space="preserve">‘kitchenaid (lit. kitchen-ADJ+aunt)’ in Hungarian, </w:t>
      </w:r>
      <w:r w:rsidRPr="00FB4EFA">
        <w:rPr>
          <w:i/>
          <w:iCs/>
          <w:lang w:val="en-US"/>
        </w:rPr>
        <w:t>kävppinissoon</w:t>
      </w:r>
      <w:r w:rsidRPr="00FB4EFA">
        <w:rPr>
          <w:lang w:val="en-US"/>
        </w:rPr>
        <w:t xml:space="preserve"> ‘female seller (lit. shop+woman)’</w:t>
      </w:r>
      <w:r w:rsidR="005C57DF" w:rsidRPr="00FB4EFA">
        <w:rPr>
          <w:lang w:val="en-US"/>
        </w:rPr>
        <w:t>,</w:t>
      </w:r>
      <w:r w:rsidRPr="00FB4EFA">
        <w:rPr>
          <w:lang w:val="en-US"/>
        </w:rPr>
        <w:t xml:space="preserve"> and </w:t>
      </w:r>
      <w:r w:rsidRPr="00FB4EFA">
        <w:rPr>
          <w:i/>
          <w:iCs/>
          <w:lang w:val="en-US"/>
        </w:rPr>
        <w:t>asuntolasiäsá</w:t>
      </w:r>
      <w:r w:rsidRPr="00FB4EFA">
        <w:rPr>
          <w:lang w:val="en-US"/>
        </w:rPr>
        <w:t xml:space="preserve"> ‘lit. dormitory+aunt’ in Aanaar Saami, and </w:t>
      </w:r>
      <w:r w:rsidRPr="00FB4EFA">
        <w:rPr>
          <w:rFonts w:cs="Cambria"/>
          <w:i/>
          <w:iCs/>
          <w:lang w:val="fi-FI"/>
        </w:rPr>
        <w:t>унагудо</w:t>
      </w:r>
      <w:r w:rsidRPr="00FB4EFA">
        <w:rPr>
          <w:i/>
          <w:iCs/>
          <w:lang w:val="en-US"/>
        </w:rPr>
        <w:t xml:space="preserve"> </w:t>
      </w:r>
      <w:r w:rsidRPr="00FB4EFA">
        <w:rPr>
          <w:rFonts w:cs="Cambria"/>
          <w:i/>
          <w:iCs/>
          <w:lang w:val="fi-FI"/>
        </w:rPr>
        <w:t>рвезе</w:t>
      </w:r>
      <w:r w:rsidRPr="00FB4EFA">
        <w:rPr>
          <w:lang w:val="en-US"/>
        </w:rPr>
        <w:t xml:space="preserve"> ‘hotel boy’ in Meadow Mari. One of our Meadow Mari respondents also mentioned the word </w:t>
      </w:r>
      <w:r w:rsidRPr="00FB4EFA">
        <w:rPr>
          <w:rFonts w:cs="Cambria"/>
          <w:i/>
          <w:iCs/>
          <w:lang w:val="fi-FI"/>
        </w:rPr>
        <w:t>тулӱдыр</w:t>
      </w:r>
      <w:r w:rsidRPr="00FB4EFA">
        <w:rPr>
          <w:lang w:val="en-US"/>
        </w:rPr>
        <w:t xml:space="preserve"> ‘lit. fire+girl’ meaning ‘female firefighter’, but </w:t>
      </w:r>
      <w:r w:rsidR="005C57DF" w:rsidRPr="00FB4EFA">
        <w:rPr>
          <w:lang w:val="en-US"/>
        </w:rPr>
        <w:t>this</w:t>
      </w:r>
      <w:r w:rsidRPr="00FB4EFA">
        <w:rPr>
          <w:lang w:val="en-US"/>
        </w:rPr>
        <w:t xml:space="preserve"> is not </w:t>
      </w:r>
      <w:r w:rsidR="005C57DF" w:rsidRPr="00FB4EFA">
        <w:rPr>
          <w:lang w:val="en-US"/>
        </w:rPr>
        <w:br/>
      </w:r>
      <w:r w:rsidRPr="00FB4EFA">
        <w:rPr>
          <w:lang w:val="en-US"/>
        </w:rPr>
        <w:t>attested in the corpus.</w:t>
      </w:r>
    </w:p>
    <w:p w14:paraId="3685BFF8" w14:textId="1848AF70" w:rsidR="00EC74AD" w:rsidRPr="00FB4EFA" w:rsidRDefault="00EC74AD" w:rsidP="002752AF">
      <w:pPr>
        <w:ind w:firstLine="720"/>
        <w:rPr>
          <w:lang w:val="en-US"/>
        </w:rPr>
      </w:pPr>
      <w:r w:rsidRPr="00FB4EFA">
        <w:rPr>
          <w:lang w:val="en-US"/>
        </w:rPr>
        <w:t xml:space="preserve">Gendered parts of the resulting compounds demonstrate some variation. For instance, in Estonian, the second part of a gendered compound starting with </w:t>
      </w:r>
      <w:r w:rsidRPr="00FB4EFA">
        <w:rPr>
          <w:i/>
          <w:iCs/>
          <w:lang w:val="en-US"/>
        </w:rPr>
        <w:t>kassa-</w:t>
      </w:r>
      <w:r w:rsidRPr="00FB4EFA">
        <w:rPr>
          <w:lang w:val="en-US"/>
        </w:rPr>
        <w:t xml:space="preserve"> ‘cash register, counter’ can be </w:t>
      </w:r>
      <w:r w:rsidRPr="00FB4EFA">
        <w:rPr>
          <w:i/>
          <w:iCs/>
          <w:lang w:val="en-US"/>
        </w:rPr>
        <w:t>neiu</w:t>
      </w:r>
      <w:r w:rsidRPr="00FB4EFA">
        <w:rPr>
          <w:lang w:val="en-US"/>
        </w:rPr>
        <w:t xml:space="preserve"> ‘maiden’ (25 occurrences), </w:t>
      </w:r>
      <w:r w:rsidRPr="00FB4EFA">
        <w:rPr>
          <w:i/>
          <w:iCs/>
          <w:lang w:val="en-US"/>
        </w:rPr>
        <w:t>tädi</w:t>
      </w:r>
      <w:r w:rsidRPr="00FB4EFA">
        <w:rPr>
          <w:lang w:val="en-US"/>
        </w:rPr>
        <w:t xml:space="preserve"> ‘aunt’ (23), </w:t>
      </w:r>
      <w:r w:rsidRPr="00FB4EFA">
        <w:rPr>
          <w:i/>
          <w:iCs/>
          <w:lang w:val="en-US"/>
        </w:rPr>
        <w:t>poiss</w:t>
      </w:r>
      <w:r w:rsidRPr="00FB4EFA">
        <w:rPr>
          <w:lang w:val="en-US"/>
        </w:rPr>
        <w:t xml:space="preserve"> ‘boy’ (4), or </w:t>
      </w:r>
      <w:r w:rsidRPr="00FB4EFA">
        <w:rPr>
          <w:i/>
          <w:iCs/>
          <w:lang w:val="en-US"/>
        </w:rPr>
        <w:t>tüdruk</w:t>
      </w:r>
      <w:r w:rsidRPr="00FB4EFA">
        <w:rPr>
          <w:lang w:val="en-US"/>
        </w:rPr>
        <w:t xml:space="preserve"> ‘girl’ (3). For postman, the compound nouns consist of </w:t>
      </w:r>
      <w:r w:rsidRPr="00FB4EFA">
        <w:rPr>
          <w:i/>
          <w:iCs/>
          <w:lang w:val="en-US"/>
        </w:rPr>
        <w:t>post</w:t>
      </w:r>
      <w:r w:rsidRPr="00FB4EFA">
        <w:rPr>
          <w:lang w:val="en-US"/>
        </w:rPr>
        <w:t xml:space="preserve"> ‘post, mail’ and the respective gendered noun: </w:t>
      </w:r>
      <w:r w:rsidRPr="00FB4EFA">
        <w:rPr>
          <w:i/>
          <w:iCs/>
          <w:lang w:val="en-US"/>
        </w:rPr>
        <w:t>postitädi</w:t>
      </w:r>
      <w:r w:rsidRPr="00FB4EFA">
        <w:rPr>
          <w:lang w:val="en-US"/>
        </w:rPr>
        <w:t xml:space="preserve"> ‘lit. post+aunt’ (62), </w:t>
      </w:r>
      <w:r w:rsidRPr="00FB4EFA">
        <w:rPr>
          <w:i/>
          <w:iCs/>
          <w:lang w:val="en-US"/>
        </w:rPr>
        <w:t>postionu</w:t>
      </w:r>
      <w:r w:rsidRPr="00FB4EFA">
        <w:rPr>
          <w:lang w:val="en-US"/>
        </w:rPr>
        <w:t xml:space="preserve"> ‘lit. post+uncle’ (10), and </w:t>
      </w:r>
      <w:r w:rsidRPr="00FB4EFA">
        <w:rPr>
          <w:i/>
          <w:iCs/>
          <w:lang w:val="en-US"/>
        </w:rPr>
        <w:t>postineiu</w:t>
      </w:r>
      <w:r w:rsidRPr="00FB4EFA">
        <w:rPr>
          <w:lang w:val="en-US"/>
        </w:rPr>
        <w:t xml:space="preserve"> ‘lit. post+maiden’ (3). There were also 208 occurrences of </w:t>
      </w:r>
      <w:r w:rsidRPr="00FB4EFA">
        <w:rPr>
          <w:i/>
          <w:iCs/>
          <w:lang w:val="en-US"/>
        </w:rPr>
        <w:t>postipoiss</w:t>
      </w:r>
      <w:r w:rsidRPr="00FB4EFA">
        <w:rPr>
          <w:lang w:val="en-US"/>
        </w:rPr>
        <w:t xml:space="preserve"> ‘lit. post+boy’, but in most of them, </w:t>
      </w:r>
      <w:r w:rsidRPr="00FB4EFA">
        <w:rPr>
          <w:i/>
          <w:iCs/>
          <w:lang w:val="en-US"/>
        </w:rPr>
        <w:t>postipoiss</w:t>
      </w:r>
      <w:r w:rsidRPr="00FB4EFA">
        <w:rPr>
          <w:lang w:val="en-US"/>
        </w:rPr>
        <w:t xml:space="preserve"> occurred as a proper noun, that is, as a part of a newspaper’s name. To refer to someone working in the kitchen, either a chef or a kitchenaid, a compound noun consisting of </w:t>
      </w:r>
      <w:r w:rsidRPr="00FB4EFA">
        <w:rPr>
          <w:i/>
          <w:iCs/>
          <w:lang w:val="en-US"/>
        </w:rPr>
        <w:t>köök</w:t>
      </w:r>
      <w:r w:rsidRPr="00FB4EFA">
        <w:rPr>
          <w:lang w:val="en-US"/>
        </w:rPr>
        <w:t xml:space="preserve"> ‘kitchen’ and a gendered noun can be used. In the corpus, such compounds were </w:t>
      </w:r>
      <w:r w:rsidRPr="00FB4EFA">
        <w:rPr>
          <w:i/>
          <w:iCs/>
          <w:lang w:val="en-US"/>
        </w:rPr>
        <w:t>köögitüdruk</w:t>
      </w:r>
      <w:r w:rsidRPr="00FB4EFA">
        <w:rPr>
          <w:lang w:val="en-US"/>
        </w:rPr>
        <w:t xml:space="preserve"> ‘lit. kitchen+girl’ (160 instances), </w:t>
      </w:r>
      <w:r w:rsidRPr="00FB4EFA">
        <w:rPr>
          <w:i/>
          <w:iCs/>
          <w:lang w:val="en-US"/>
        </w:rPr>
        <w:t>köögitädi</w:t>
      </w:r>
      <w:r w:rsidRPr="00FB4EFA">
        <w:rPr>
          <w:lang w:val="en-US"/>
        </w:rPr>
        <w:t xml:space="preserve"> ‘lit. kitchen+aunt’ (21) and </w:t>
      </w:r>
      <w:r w:rsidRPr="00FB4EFA">
        <w:rPr>
          <w:i/>
          <w:iCs/>
          <w:lang w:val="en-US"/>
        </w:rPr>
        <w:t>köögipoiss</w:t>
      </w:r>
      <w:r w:rsidRPr="00FB4EFA">
        <w:rPr>
          <w:lang w:val="en-US"/>
        </w:rPr>
        <w:t xml:space="preserve"> </w:t>
      </w:r>
      <w:r w:rsidR="00F662F9" w:rsidRPr="00FB4EFA">
        <w:rPr>
          <w:lang w:val="en-US"/>
        </w:rPr>
        <w:br/>
      </w:r>
      <w:r w:rsidRPr="00FB4EFA">
        <w:rPr>
          <w:lang w:val="en-US"/>
        </w:rPr>
        <w:t>‘lit. kitchen+boy’ (5).</w:t>
      </w:r>
    </w:p>
    <w:p w14:paraId="44225F24" w14:textId="66026173" w:rsidR="00EC74AD" w:rsidRPr="00FB4EFA" w:rsidRDefault="00EC74AD" w:rsidP="002752AF">
      <w:pPr>
        <w:ind w:firstLine="720"/>
        <w:rPr>
          <w:lang w:val="en-US"/>
        </w:rPr>
      </w:pPr>
      <w:r w:rsidRPr="00FB4EFA">
        <w:rPr>
          <w:lang w:val="en-US"/>
        </w:rPr>
        <w:t xml:space="preserve">In colloquial Estonian, similar compound nouns are also formed with male or female first names. A plumber, for example, can be referred to as </w:t>
      </w:r>
      <w:r w:rsidRPr="00FB4EFA">
        <w:rPr>
          <w:i/>
          <w:iCs/>
          <w:lang w:val="en-US"/>
        </w:rPr>
        <w:t>torujüri</w:t>
      </w:r>
      <w:r w:rsidRPr="00FB4EFA">
        <w:rPr>
          <w:lang w:val="en-US"/>
        </w:rPr>
        <w:t xml:space="preserve">, a compound which consists of </w:t>
      </w:r>
      <w:r w:rsidRPr="00FB4EFA">
        <w:rPr>
          <w:i/>
          <w:iCs/>
          <w:lang w:val="en-US"/>
        </w:rPr>
        <w:t>toru</w:t>
      </w:r>
      <w:r w:rsidRPr="00FB4EFA">
        <w:rPr>
          <w:lang w:val="en-US"/>
        </w:rPr>
        <w:t xml:space="preserve"> ‘pipe’ and the male given name </w:t>
      </w:r>
      <w:r w:rsidRPr="00FB4EFA">
        <w:rPr>
          <w:i/>
          <w:iCs/>
          <w:lang w:val="en-US"/>
        </w:rPr>
        <w:t>Jüri</w:t>
      </w:r>
      <w:r w:rsidRPr="00FB4EFA">
        <w:rPr>
          <w:lang w:val="en-US"/>
        </w:rPr>
        <w:t xml:space="preserve"> (see Mäearu 2002 for more examples). In regard to the job titles analysed in this study, this strategy could be attested in </w:t>
      </w:r>
      <w:r w:rsidRPr="00FB4EFA">
        <w:rPr>
          <w:i/>
          <w:iCs/>
          <w:lang w:val="en-US"/>
        </w:rPr>
        <w:t>köögikata</w:t>
      </w:r>
      <w:r w:rsidRPr="00FB4EFA">
        <w:rPr>
          <w:lang w:val="en-US"/>
        </w:rPr>
        <w:t xml:space="preserve"> ‘female chef, kitchenaid’ (46 instances in the corpus), which consists of </w:t>
      </w:r>
      <w:r w:rsidRPr="00FB4EFA">
        <w:rPr>
          <w:i/>
          <w:iCs/>
          <w:lang w:val="en-US"/>
        </w:rPr>
        <w:t>köök</w:t>
      </w:r>
      <w:r w:rsidRPr="00FB4EFA">
        <w:rPr>
          <w:lang w:val="en-US"/>
        </w:rPr>
        <w:t xml:space="preserve"> ‘kitchen’ and the female given name </w:t>
      </w:r>
      <w:r w:rsidRPr="00FB4EFA">
        <w:rPr>
          <w:i/>
          <w:iCs/>
          <w:lang w:val="en-US"/>
        </w:rPr>
        <w:t>Kata</w:t>
      </w:r>
      <w:r w:rsidRPr="00FB4EFA">
        <w:rPr>
          <w:lang w:val="en-US"/>
        </w:rPr>
        <w:t xml:space="preserve">. However, the examples found in the corpus suggest that </w:t>
      </w:r>
      <w:r w:rsidRPr="00FB4EFA">
        <w:rPr>
          <w:i/>
          <w:iCs/>
          <w:lang w:val="en-US"/>
        </w:rPr>
        <w:t>köögikata</w:t>
      </w:r>
      <w:r w:rsidRPr="00FB4EFA">
        <w:rPr>
          <w:lang w:val="en-US"/>
        </w:rPr>
        <w:t xml:space="preserve"> is commonly used to refer to housewives and, more often than not, has a rather pejorative meaning. In </w:t>
      </w:r>
      <w:r w:rsidRPr="00FB4EFA">
        <w:rPr>
          <w:lang w:val="en-US"/>
        </w:rPr>
        <w:lastRenderedPageBreak/>
        <w:t xml:space="preserve">her article Mäearu (2002: 31) also mentions alternative names for other job titles included in the present study, such as </w:t>
      </w:r>
      <w:r w:rsidRPr="00FB4EFA">
        <w:rPr>
          <w:i/>
          <w:iCs/>
          <w:lang w:val="en-US"/>
        </w:rPr>
        <w:t>karjakusti</w:t>
      </w:r>
      <w:r w:rsidRPr="00FB4EFA">
        <w:rPr>
          <w:lang w:val="en-US"/>
        </w:rPr>
        <w:t xml:space="preserve"> (&lt; </w:t>
      </w:r>
      <w:r w:rsidRPr="00FB4EFA">
        <w:rPr>
          <w:i/>
          <w:iCs/>
          <w:lang w:val="en-US"/>
        </w:rPr>
        <w:t>kari</w:t>
      </w:r>
      <w:r w:rsidRPr="00FB4EFA">
        <w:rPr>
          <w:lang w:val="en-US"/>
        </w:rPr>
        <w:t xml:space="preserve"> ‘herd’ and the male given name </w:t>
      </w:r>
      <w:r w:rsidRPr="00FB4EFA">
        <w:rPr>
          <w:i/>
          <w:iCs/>
          <w:lang w:val="en-US"/>
        </w:rPr>
        <w:t>Kusti</w:t>
      </w:r>
      <w:r w:rsidRPr="00FB4EFA">
        <w:rPr>
          <w:lang w:val="en-US"/>
        </w:rPr>
        <w:t xml:space="preserve">) and </w:t>
      </w:r>
      <w:r w:rsidRPr="00FB4EFA">
        <w:rPr>
          <w:i/>
          <w:iCs/>
          <w:lang w:val="en-US"/>
        </w:rPr>
        <w:t>lehmaliisu</w:t>
      </w:r>
      <w:r w:rsidRPr="00FB4EFA">
        <w:rPr>
          <w:lang w:val="en-US"/>
        </w:rPr>
        <w:t xml:space="preserve"> (&lt; </w:t>
      </w:r>
      <w:r w:rsidRPr="00FB4EFA">
        <w:rPr>
          <w:i/>
          <w:iCs/>
          <w:lang w:val="en-US"/>
        </w:rPr>
        <w:t>lehm</w:t>
      </w:r>
      <w:r w:rsidRPr="00FB4EFA">
        <w:rPr>
          <w:lang w:val="en-US"/>
        </w:rPr>
        <w:t xml:space="preserve"> ‘cow’ and the female given name </w:t>
      </w:r>
      <w:r w:rsidRPr="00FB4EFA">
        <w:rPr>
          <w:i/>
          <w:iCs/>
          <w:lang w:val="en-US"/>
        </w:rPr>
        <w:t>Liisu</w:t>
      </w:r>
      <w:r w:rsidRPr="00FB4EFA">
        <w:rPr>
          <w:lang w:val="en-US"/>
        </w:rPr>
        <w:t xml:space="preserve">), which refer to a male and a female shepherd, respectively. </w:t>
      </w:r>
      <w:r w:rsidR="005C57DF" w:rsidRPr="00FB4EFA">
        <w:rPr>
          <w:lang w:val="en-US"/>
        </w:rPr>
        <w:t>However</w:t>
      </w:r>
      <w:r w:rsidRPr="00FB4EFA">
        <w:rPr>
          <w:lang w:val="en-US"/>
        </w:rPr>
        <w:t xml:space="preserve">, these compounds were not attested in our corpus data and shall therefore not be discussed further. The same strategy is also found in the Finnish word </w:t>
      </w:r>
      <w:r w:rsidRPr="00FB4EFA">
        <w:rPr>
          <w:i/>
          <w:iCs/>
          <w:lang w:val="en-US"/>
        </w:rPr>
        <w:t>maajussi</w:t>
      </w:r>
      <w:r w:rsidRPr="00FB4EFA">
        <w:rPr>
          <w:lang w:val="en-US"/>
        </w:rPr>
        <w:t xml:space="preserve"> (&lt; </w:t>
      </w:r>
      <w:r w:rsidRPr="00FB4EFA">
        <w:rPr>
          <w:i/>
          <w:iCs/>
          <w:lang w:val="en-US"/>
        </w:rPr>
        <w:t>maa</w:t>
      </w:r>
      <w:r w:rsidRPr="00FB4EFA">
        <w:rPr>
          <w:lang w:val="en-US"/>
        </w:rPr>
        <w:t xml:space="preserve"> ‘land’ and the male given name </w:t>
      </w:r>
      <w:r w:rsidRPr="00FB4EFA">
        <w:rPr>
          <w:i/>
          <w:iCs/>
          <w:lang w:val="en-US"/>
        </w:rPr>
        <w:t>Jussi</w:t>
      </w:r>
      <w:r w:rsidRPr="00FB4EFA">
        <w:rPr>
          <w:lang w:val="en-US"/>
        </w:rPr>
        <w:t>), which is a slightly derogatory term for ‘farmer’.</w:t>
      </w:r>
    </w:p>
    <w:p w14:paraId="75A8BDF1" w14:textId="18FC195F" w:rsidR="00EC74AD" w:rsidRPr="00FB4EFA" w:rsidRDefault="00EC74AD" w:rsidP="002752AF">
      <w:pPr>
        <w:pStyle w:val="Heading3"/>
        <w:numPr>
          <w:ilvl w:val="1"/>
          <w:numId w:val="20"/>
        </w:numPr>
        <w:spacing w:line="259" w:lineRule="auto"/>
      </w:pPr>
      <w:r w:rsidRPr="00FB4EFA">
        <w:t>Borrowings with different stems</w:t>
      </w:r>
    </w:p>
    <w:p w14:paraId="658BCCE5" w14:textId="039EB02B" w:rsidR="00EC74AD" w:rsidRPr="00FB4EFA" w:rsidRDefault="00EC74AD" w:rsidP="002752AF">
      <w:pPr>
        <w:rPr>
          <w:lang w:val="en-US"/>
        </w:rPr>
      </w:pPr>
      <w:r w:rsidRPr="00FB4EFA">
        <w:rPr>
          <w:lang w:val="en-US"/>
        </w:rPr>
        <w:t xml:space="preserve">Among the occupations that were systematically considered in this study, there was one that in several languages had different stems for female and male representatives </w:t>
      </w:r>
      <w:r w:rsidR="00A62A6B" w:rsidRPr="00FB4EFA">
        <w:rPr>
          <w:lang w:val="en-US"/>
        </w:rPr>
        <w:t>–</w:t>
      </w:r>
      <w:r w:rsidRPr="00FB4EFA">
        <w:rPr>
          <w:lang w:val="en-US"/>
        </w:rPr>
        <w:t xml:space="preserve"> ‘a member of a religious community of women/men who serve God and often live together in a monastery/convent’, that is, ‘nun’ and ‘monk’. The respective words are </w:t>
      </w:r>
      <w:r w:rsidRPr="00FB4EFA">
        <w:rPr>
          <w:i/>
          <w:iCs/>
          <w:lang w:val="en-US"/>
        </w:rPr>
        <w:t>nunn</w:t>
      </w:r>
      <w:r w:rsidRPr="00FB4EFA">
        <w:rPr>
          <w:lang w:val="en-US"/>
        </w:rPr>
        <w:t xml:space="preserve"> and </w:t>
      </w:r>
      <w:r w:rsidRPr="00FB4EFA">
        <w:rPr>
          <w:i/>
          <w:iCs/>
          <w:lang w:val="en-US"/>
        </w:rPr>
        <w:t>munk</w:t>
      </w:r>
      <w:r w:rsidRPr="00FB4EFA">
        <w:rPr>
          <w:lang w:val="en-US"/>
        </w:rPr>
        <w:t xml:space="preserve"> in Estonian, </w:t>
      </w:r>
      <w:r w:rsidRPr="00FB4EFA">
        <w:rPr>
          <w:i/>
          <w:iCs/>
          <w:lang w:val="en-US"/>
        </w:rPr>
        <w:t>nunna</w:t>
      </w:r>
      <w:r w:rsidRPr="00FB4EFA">
        <w:rPr>
          <w:lang w:val="en-US"/>
        </w:rPr>
        <w:t xml:space="preserve"> and </w:t>
      </w:r>
      <w:r w:rsidRPr="00FB4EFA">
        <w:rPr>
          <w:i/>
          <w:iCs/>
          <w:lang w:val="en-US"/>
        </w:rPr>
        <w:t>munkki</w:t>
      </w:r>
      <w:r w:rsidRPr="00FB4EFA">
        <w:rPr>
          <w:lang w:val="en-US"/>
        </w:rPr>
        <w:t xml:space="preserve"> in Finnish,</w:t>
      </w:r>
      <w:r w:rsidR="005C57DF" w:rsidRPr="00FB4EFA">
        <w:rPr>
          <w:lang w:val="en-US"/>
        </w:rPr>
        <w:t xml:space="preserve"> and</w:t>
      </w:r>
      <w:r w:rsidRPr="00FB4EFA">
        <w:rPr>
          <w:lang w:val="en-US"/>
        </w:rPr>
        <w:t xml:space="preserve"> </w:t>
      </w:r>
      <w:r w:rsidRPr="00FB4EFA">
        <w:rPr>
          <w:i/>
          <w:iCs/>
          <w:lang w:val="en-US"/>
        </w:rPr>
        <w:t xml:space="preserve">nunná </w:t>
      </w:r>
      <w:r w:rsidRPr="00FB4EFA">
        <w:rPr>
          <w:lang w:val="en-US"/>
        </w:rPr>
        <w:t xml:space="preserve">and </w:t>
      </w:r>
      <w:r w:rsidRPr="00FB4EFA">
        <w:rPr>
          <w:i/>
          <w:iCs/>
          <w:lang w:val="en-US"/>
        </w:rPr>
        <w:t>mu</w:t>
      </w:r>
      <w:r w:rsidRPr="00FB4EFA">
        <w:rPr>
          <w:rFonts w:cs="Cambria"/>
          <w:i/>
          <w:iCs/>
          <w:lang w:val="en-US"/>
        </w:rPr>
        <w:t>ŋ</w:t>
      </w:r>
      <w:r w:rsidRPr="00FB4EFA">
        <w:rPr>
          <w:i/>
          <w:iCs/>
          <w:lang w:val="en-US"/>
        </w:rPr>
        <w:t xml:space="preserve">kki </w:t>
      </w:r>
      <w:r w:rsidRPr="00FB4EFA">
        <w:rPr>
          <w:lang w:val="en-US"/>
        </w:rPr>
        <w:t xml:space="preserve">in Aanaar Saami. Hungarian has two options for each, </w:t>
      </w:r>
      <w:r w:rsidRPr="00FB4EFA">
        <w:rPr>
          <w:i/>
          <w:iCs/>
          <w:lang w:val="en-US"/>
        </w:rPr>
        <w:t>apáca</w:t>
      </w:r>
      <w:r w:rsidRPr="00FB4EFA">
        <w:rPr>
          <w:lang w:val="en-US"/>
        </w:rPr>
        <w:t xml:space="preserve"> or </w:t>
      </w:r>
      <w:r w:rsidRPr="00FB4EFA">
        <w:rPr>
          <w:i/>
          <w:iCs/>
          <w:lang w:val="en-US"/>
        </w:rPr>
        <w:t>n</w:t>
      </w:r>
      <w:r w:rsidRPr="00FB4EFA">
        <w:rPr>
          <w:rFonts w:cs="Cambria"/>
          <w:i/>
          <w:iCs/>
          <w:lang w:val="en-US"/>
        </w:rPr>
        <w:t>ő</w:t>
      </w:r>
      <w:r w:rsidRPr="00FB4EFA">
        <w:rPr>
          <w:i/>
          <w:iCs/>
          <w:lang w:val="en-US"/>
        </w:rPr>
        <w:t>v</w:t>
      </w:r>
      <w:r w:rsidRPr="00FB4EFA">
        <w:rPr>
          <w:rFonts w:cs="Baskerville Old Face"/>
          <w:i/>
          <w:iCs/>
          <w:lang w:val="en-US"/>
        </w:rPr>
        <w:t>é</w:t>
      </w:r>
      <w:r w:rsidRPr="00FB4EFA">
        <w:rPr>
          <w:i/>
          <w:iCs/>
          <w:lang w:val="en-US"/>
        </w:rPr>
        <w:t xml:space="preserve">r </w:t>
      </w:r>
      <w:r w:rsidRPr="00FB4EFA">
        <w:rPr>
          <w:lang w:val="en-US"/>
        </w:rPr>
        <w:t xml:space="preserve">for ‘nun’ and </w:t>
      </w:r>
      <w:r w:rsidRPr="00FB4EFA">
        <w:rPr>
          <w:i/>
          <w:iCs/>
          <w:lang w:val="en-US"/>
        </w:rPr>
        <w:t xml:space="preserve">szerzetes </w:t>
      </w:r>
      <w:r w:rsidRPr="00FB4EFA">
        <w:rPr>
          <w:lang w:val="en-US"/>
        </w:rPr>
        <w:t xml:space="preserve">or </w:t>
      </w:r>
      <w:r w:rsidRPr="00FB4EFA">
        <w:rPr>
          <w:i/>
          <w:iCs/>
          <w:lang w:val="en-US"/>
        </w:rPr>
        <w:t xml:space="preserve">barát </w:t>
      </w:r>
      <w:r w:rsidRPr="00FB4EFA">
        <w:rPr>
          <w:lang w:val="en-US"/>
        </w:rPr>
        <w:t xml:space="preserve">for ‘monk’, although the word </w:t>
      </w:r>
      <w:r w:rsidRPr="00FB4EFA">
        <w:rPr>
          <w:i/>
          <w:iCs/>
          <w:lang w:val="en-US"/>
        </w:rPr>
        <w:t>szerzetesn</w:t>
      </w:r>
      <w:r w:rsidRPr="00FB4EFA">
        <w:rPr>
          <w:rFonts w:cs="Cambria"/>
          <w:i/>
          <w:iCs/>
          <w:lang w:val="en-US"/>
        </w:rPr>
        <w:t>ő</w:t>
      </w:r>
      <w:r w:rsidRPr="00FB4EFA">
        <w:rPr>
          <w:i/>
          <w:iCs/>
          <w:lang w:val="en-US"/>
        </w:rPr>
        <w:t xml:space="preserve"> </w:t>
      </w:r>
      <w:r w:rsidRPr="00FB4EFA">
        <w:rPr>
          <w:lang w:val="en-US"/>
        </w:rPr>
        <w:t xml:space="preserve">with a gendered part </w:t>
      </w:r>
      <w:r w:rsidRPr="00FB4EFA">
        <w:rPr>
          <w:i/>
          <w:iCs/>
          <w:lang w:val="en-US"/>
        </w:rPr>
        <w:noBreakHyphen/>
        <w:t>n</w:t>
      </w:r>
      <w:r w:rsidRPr="00FB4EFA">
        <w:rPr>
          <w:rFonts w:cs="Cambria"/>
          <w:i/>
          <w:iCs/>
          <w:lang w:val="en-US"/>
        </w:rPr>
        <w:t>ő</w:t>
      </w:r>
      <w:r w:rsidRPr="00FB4EFA">
        <w:rPr>
          <w:lang w:val="en-US"/>
        </w:rPr>
        <w:t xml:space="preserve"> ‘woman’ also exists (see Section 3.4).</w:t>
      </w:r>
    </w:p>
    <w:p w14:paraId="3F406141" w14:textId="661DD7A4" w:rsidR="00EC74AD" w:rsidRPr="00FB4EFA" w:rsidRDefault="00EC74AD" w:rsidP="002752AF">
      <w:pPr>
        <w:ind w:firstLine="720"/>
        <w:rPr>
          <w:lang w:val="en-US"/>
        </w:rPr>
      </w:pPr>
      <w:r w:rsidRPr="00FB4EFA">
        <w:rPr>
          <w:lang w:val="en-US"/>
        </w:rPr>
        <w:t xml:space="preserve">Most of these words are ultimately borrowed from Indo-European languages, where the same strategy is used in this case; </w:t>
      </w:r>
      <w:r w:rsidR="00466236" w:rsidRPr="00FB4EFA">
        <w:rPr>
          <w:lang w:val="en-US"/>
        </w:rPr>
        <w:t>cf. </w:t>
      </w:r>
      <w:r w:rsidRPr="00FB4EFA">
        <w:rPr>
          <w:lang w:val="en-US"/>
        </w:rPr>
        <w:t xml:space="preserve">Swedish </w:t>
      </w:r>
      <w:r w:rsidRPr="00FB4EFA">
        <w:rPr>
          <w:i/>
          <w:lang w:val="en-US"/>
        </w:rPr>
        <w:t>munk</w:t>
      </w:r>
      <w:r w:rsidRPr="00FB4EFA">
        <w:rPr>
          <w:lang w:val="en-US"/>
        </w:rPr>
        <w:t xml:space="preserve"> ‘monk’ and </w:t>
      </w:r>
      <w:r w:rsidRPr="00FB4EFA">
        <w:rPr>
          <w:i/>
          <w:lang w:val="en-US"/>
        </w:rPr>
        <w:t>nunna</w:t>
      </w:r>
      <w:r w:rsidRPr="00FB4EFA">
        <w:rPr>
          <w:lang w:val="en-US"/>
        </w:rPr>
        <w:t xml:space="preserve"> ‘nun’. Additionally, the existence of two distinct versions for this occupation might reflect the fact that religious titles in general tend to be gender-specific across languages. For example, in Finnish, even though there is a gender-neutral word for ‘priest’, </w:t>
      </w:r>
      <w:r w:rsidRPr="00FB4EFA">
        <w:rPr>
          <w:i/>
          <w:iCs/>
          <w:lang w:val="en-US"/>
        </w:rPr>
        <w:t>pappi</w:t>
      </w:r>
      <w:r w:rsidRPr="00FB4EFA">
        <w:rPr>
          <w:lang w:val="en-US"/>
        </w:rPr>
        <w:t xml:space="preserve">, the gender of the priest is very often specified using different strategies outlined in the earlier sections. This word is among the job titles that most frequently take the </w:t>
      </w:r>
      <w:r w:rsidRPr="00FB4EFA">
        <w:rPr>
          <w:i/>
          <w:iCs/>
          <w:lang w:val="en-US"/>
        </w:rPr>
        <w:noBreakHyphen/>
        <w:t>tar</w:t>
      </w:r>
      <w:r w:rsidRPr="00FB4EFA">
        <w:rPr>
          <w:lang w:val="en-US"/>
        </w:rPr>
        <w:t xml:space="preserve"> suffix (see Section 3.2.1), and it has by far the highest percentage of gendered uses with the </w:t>
      </w:r>
      <w:r w:rsidRPr="00FB4EFA">
        <w:rPr>
          <w:i/>
          <w:iCs/>
          <w:lang w:val="en-US"/>
        </w:rPr>
        <w:t>nais-</w:t>
      </w:r>
      <w:r w:rsidRPr="00FB4EFA">
        <w:rPr>
          <w:lang w:val="en-US"/>
        </w:rPr>
        <w:t>/</w:t>
      </w:r>
      <w:r w:rsidRPr="00FB4EFA">
        <w:rPr>
          <w:i/>
          <w:iCs/>
          <w:lang w:val="en-US"/>
        </w:rPr>
        <w:t>mies-</w:t>
      </w:r>
      <w:r w:rsidRPr="00FB4EFA">
        <w:rPr>
          <w:lang w:val="en-US"/>
        </w:rPr>
        <w:t xml:space="preserve"> prefix (see Section 3.1).</w:t>
      </w:r>
    </w:p>
    <w:p w14:paraId="23DFE251" w14:textId="612C8B1B" w:rsidR="00EC74AD" w:rsidRPr="00FB4EFA" w:rsidRDefault="00EC74AD" w:rsidP="002752AF">
      <w:pPr>
        <w:pStyle w:val="Heading2"/>
        <w:numPr>
          <w:ilvl w:val="0"/>
          <w:numId w:val="20"/>
        </w:numPr>
        <w:spacing w:line="259" w:lineRule="auto"/>
        <w:rPr>
          <w:color w:val="auto"/>
        </w:rPr>
      </w:pPr>
      <w:r w:rsidRPr="00FB4EFA">
        <w:rPr>
          <w:color w:val="auto"/>
        </w:rPr>
        <w:t>Summary and discussion</w:t>
      </w:r>
    </w:p>
    <w:p w14:paraId="5EF9FFE3" w14:textId="66F56D76" w:rsidR="00EC74AD" w:rsidRPr="00FB4EFA" w:rsidRDefault="00EC74AD" w:rsidP="002752AF">
      <w:pPr>
        <w:spacing w:after="240"/>
        <w:rPr>
          <w:lang w:val="en-US"/>
        </w:rPr>
      </w:pPr>
      <w:r w:rsidRPr="00FB4EFA">
        <w:rPr>
          <w:lang w:val="en-US"/>
        </w:rPr>
        <w:t xml:space="preserve">In this paper, we </w:t>
      </w:r>
      <w:r w:rsidR="003B02E6" w:rsidRPr="00FB4EFA">
        <w:rPr>
          <w:lang w:val="en-US"/>
        </w:rPr>
        <w:t xml:space="preserve">have </w:t>
      </w:r>
      <w:r w:rsidRPr="00FB4EFA">
        <w:rPr>
          <w:lang w:val="en-US"/>
        </w:rPr>
        <w:t xml:space="preserve">provided an overview of the strategies that six Finno-Ugric languages use to express gender in job titles. The data on the strategies are summarized in Table 1 below: “++” means that the strategy </w:t>
      </w:r>
      <w:r w:rsidRPr="00FB4EFA">
        <w:rPr>
          <w:lang w:val="en-US"/>
        </w:rPr>
        <w:lastRenderedPageBreak/>
        <w:t>is common in a language, “+” stands for “common but possibly somewhat marked”, “(+)” means “fairly marginal”, and “</w:t>
      </w:r>
      <w:r w:rsidR="00B738EB" w:rsidRPr="00FB4EFA">
        <w:rPr>
          <w:rFonts w:cs="Times New Roman"/>
          <w:lang w:val="en-US"/>
        </w:rPr>
        <w:t>–</w:t>
      </w:r>
      <w:r w:rsidRPr="00FB4EFA">
        <w:rPr>
          <w:rFonts w:cs="Baskerville Old Face"/>
          <w:lang w:val="en-US"/>
        </w:rPr>
        <w:t>”</w:t>
      </w:r>
      <w:r w:rsidRPr="00FB4EFA">
        <w:rPr>
          <w:lang w:val="en-US"/>
        </w:rPr>
        <w:t xml:space="preserve"> means that the strategy is neither mentioned by our respondents nor attested in our corpus data.</w:t>
      </w:r>
    </w:p>
    <w:tbl>
      <w:tblPr>
        <w:tblW w:w="0" w:type="auto"/>
        <w:tblInd w:w="110" w:type="dxa"/>
        <w:tblBorders>
          <w:insideH w:val="single" w:sz="4" w:space="0" w:color="auto"/>
          <w:insideV w:val="single" w:sz="4" w:space="0" w:color="auto"/>
        </w:tblBorders>
        <w:tblLook w:val="04A0" w:firstRow="1" w:lastRow="0" w:firstColumn="1" w:lastColumn="0" w:noHBand="0" w:noVBand="1"/>
      </w:tblPr>
      <w:tblGrid>
        <w:gridCol w:w="3062"/>
        <w:gridCol w:w="562"/>
        <w:gridCol w:w="533"/>
        <w:gridCol w:w="632"/>
        <w:gridCol w:w="774"/>
        <w:gridCol w:w="648"/>
        <w:gridCol w:w="768"/>
      </w:tblGrid>
      <w:tr w:rsidR="00FB4EFA" w:rsidRPr="00FB4EFA" w14:paraId="51AD0578" w14:textId="77777777" w:rsidTr="00EC74AD">
        <w:tc>
          <w:tcPr>
            <w:tcW w:w="0" w:type="auto"/>
            <w:tcBorders>
              <w:top w:val="nil"/>
              <w:left w:val="nil"/>
              <w:bottom w:val="single" w:sz="12" w:space="0" w:color="auto"/>
              <w:right w:val="single" w:sz="12" w:space="0" w:color="auto"/>
            </w:tcBorders>
          </w:tcPr>
          <w:p w14:paraId="37DA85BA" w14:textId="77777777" w:rsidR="00EC74AD" w:rsidRPr="00FB4EFA" w:rsidRDefault="00EC74AD" w:rsidP="00863238">
            <w:pPr>
              <w:keepNext/>
              <w:spacing w:line="240" w:lineRule="auto"/>
              <w:jc w:val="left"/>
              <w:rPr>
                <w:sz w:val="20"/>
                <w:szCs w:val="20"/>
                <w:lang w:val="fi-FI"/>
              </w:rPr>
            </w:pPr>
            <w:r w:rsidRPr="00FB4EFA">
              <w:rPr>
                <w:b/>
                <w:bCs/>
                <w:sz w:val="20"/>
                <w:szCs w:val="20"/>
                <w:lang w:val="fi-FI"/>
              </w:rPr>
              <w:t>Strategy</w:t>
            </w:r>
          </w:p>
        </w:tc>
        <w:tc>
          <w:tcPr>
            <w:tcW w:w="0" w:type="auto"/>
            <w:tcBorders>
              <w:top w:val="nil"/>
              <w:left w:val="single" w:sz="12" w:space="0" w:color="auto"/>
              <w:bottom w:val="single" w:sz="12" w:space="0" w:color="auto"/>
            </w:tcBorders>
          </w:tcPr>
          <w:p w14:paraId="5548F760" w14:textId="77777777" w:rsidR="00EC74AD" w:rsidRPr="00FB4EFA" w:rsidRDefault="00EC74AD" w:rsidP="00863238">
            <w:pPr>
              <w:keepNext/>
              <w:spacing w:line="240" w:lineRule="auto"/>
              <w:jc w:val="left"/>
              <w:rPr>
                <w:sz w:val="20"/>
                <w:szCs w:val="20"/>
                <w:lang w:val="fi-FI"/>
              </w:rPr>
            </w:pPr>
            <w:r w:rsidRPr="00FB4EFA">
              <w:rPr>
                <w:b/>
                <w:bCs/>
                <w:sz w:val="20"/>
                <w:szCs w:val="20"/>
                <w:lang w:val="fi-FI"/>
              </w:rPr>
              <w:t>EST</w:t>
            </w:r>
          </w:p>
        </w:tc>
        <w:tc>
          <w:tcPr>
            <w:tcW w:w="0" w:type="auto"/>
            <w:tcBorders>
              <w:top w:val="nil"/>
              <w:bottom w:val="single" w:sz="12" w:space="0" w:color="auto"/>
            </w:tcBorders>
          </w:tcPr>
          <w:p w14:paraId="6B4710AA" w14:textId="77777777" w:rsidR="00EC74AD" w:rsidRPr="00FB4EFA" w:rsidRDefault="00EC74AD" w:rsidP="00863238">
            <w:pPr>
              <w:keepNext/>
              <w:spacing w:line="240" w:lineRule="auto"/>
              <w:jc w:val="left"/>
              <w:rPr>
                <w:sz w:val="20"/>
                <w:szCs w:val="20"/>
                <w:lang w:val="fi-FI"/>
              </w:rPr>
            </w:pPr>
            <w:r w:rsidRPr="00FB4EFA">
              <w:rPr>
                <w:b/>
                <w:bCs/>
                <w:sz w:val="20"/>
                <w:szCs w:val="20"/>
                <w:lang w:val="fi-FI"/>
              </w:rPr>
              <w:t>FIN</w:t>
            </w:r>
          </w:p>
        </w:tc>
        <w:tc>
          <w:tcPr>
            <w:tcW w:w="0" w:type="auto"/>
            <w:tcBorders>
              <w:top w:val="nil"/>
              <w:bottom w:val="single" w:sz="12" w:space="0" w:color="auto"/>
            </w:tcBorders>
          </w:tcPr>
          <w:p w14:paraId="20572E17" w14:textId="77777777" w:rsidR="00EC74AD" w:rsidRPr="00FB4EFA" w:rsidRDefault="00EC74AD" w:rsidP="00863238">
            <w:pPr>
              <w:keepNext/>
              <w:spacing w:line="240" w:lineRule="auto"/>
              <w:jc w:val="left"/>
              <w:rPr>
                <w:sz w:val="20"/>
                <w:szCs w:val="20"/>
                <w:lang w:val="fi-FI"/>
              </w:rPr>
            </w:pPr>
            <w:r w:rsidRPr="00FB4EFA">
              <w:rPr>
                <w:b/>
                <w:bCs/>
                <w:sz w:val="20"/>
                <w:szCs w:val="20"/>
                <w:lang w:val="fi-FI"/>
              </w:rPr>
              <w:t>HUN</w:t>
            </w:r>
          </w:p>
        </w:tc>
        <w:tc>
          <w:tcPr>
            <w:tcW w:w="0" w:type="auto"/>
            <w:tcBorders>
              <w:top w:val="nil"/>
              <w:bottom w:val="single" w:sz="12" w:space="0" w:color="auto"/>
            </w:tcBorders>
          </w:tcPr>
          <w:p w14:paraId="4B8FE439" w14:textId="77777777" w:rsidR="00EC74AD" w:rsidRPr="00FB4EFA" w:rsidRDefault="00EC74AD" w:rsidP="00863238">
            <w:pPr>
              <w:keepNext/>
              <w:spacing w:line="240" w:lineRule="auto"/>
              <w:jc w:val="left"/>
              <w:rPr>
                <w:sz w:val="20"/>
                <w:szCs w:val="20"/>
                <w:lang w:val="fi-FI"/>
              </w:rPr>
            </w:pPr>
            <w:r w:rsidRPr="00FB4EFA">
              <w:rPr>
                <w:b/>
                <w:bCs/>
                <w:sz w:val="20"/>
                <w:szCs w:val="20"/>
                <w:lang w:val="fi-FI"/>
              </w:rPr>
              <w:t>Saami</w:t>
            </w:r>
          </w:p>
        </w:tc>
        <w:tc>
          <w:tcPr>
            <w:tcW w:w="0" w:type="auto"/>
            <w:tcBorders>
              <w:top w:val="nil"/>
              <w:bottom w:val="single" w:sz="12" w:space="0" w:color="auto"/>
            </w:tcBorders>
          </w:tcPr>
          <w:p w14:paraId="6A333D90" w14:textId="77777777" w:rsidR="00EC74AD" w:rsidRPr="00FB4EFA" w:rsidRDefault="00EC74AD" w:rsidP="00863238">
            <w:pPr>
              <w:keepNext/>
              <w:spacing w:line="240" w:lineRule="auto"/>
              <w:jc w:val="left"/>
              <w:rPr>
                <w:sz w:val="20"/>
                <w:szCs w:val="20"/>
                <w:lang w:val="fi-FI"/>
              </w:rPr>
            </w:pPr>
            <w:r w:rsidRPr="00FB4EFA">
              <w:rPr>
                <w:b/>
                <w:bCs/>
                <w:sz w:val="20"/>
                <w:szCs w:val="20"/>
                <w:lang w:val="fi-FI"/>
              </w:rPr>
              <w:t>Mari</w:t>
            </w:r>
          </w:p>
        </w:tc>
        <w:tc>
          <w:tcPr>
            <w:tcW w:w="0" w:type="auto"/>
            <w:tcBorders>
              <w:top w:val="nil"/>
              <w:bottom w:val="single" w:sz="12" w:space="0" w:color="auto"/>
              <w:right w:val="nil"/>
            </w:tcBorders>
          </w:tcPr>
          <w:p w14:paraId="4ACDBBDE" w14:textId="77777777" w:rsidR="00EC74AD" w:rsidRPr="00FB4EFA" w:rsidRDefault="00EC74AD" w:rsidP="00863238">
            <w:pPr>
              <w:keepNext/>
              <w:spacing w:line="240" w:lineRule="auto"/>
              <w:jc w:val="left"/>
              <w:rPr>
                <w:sz w:val="20"/>
                <w:szCs w:val="20"/>
                <w:lang w:val="fi-FI"/>
              </w:rPr>
            </w:pPr>
            <w:r w:rsidRPr="00FB4EFA">
              <w:rPr>
                <w:b/>
                <w:bCs/>
                <w:sz w:val="20"/>
                <w:szCs w:val="20"/>
                <w:lang w:val="fi-FI"/>
              </w:rPr>
              <w:t>Mansi</w:t>
            </w:r>
          </w:p>
        </w:tc>
      </w:tr>
      <w:tr w:rsidR="00FB4EFA" w:rsidRPr="00FB4EFA" w14:paraId="04AF3190" w14:textId="77777777" w:rsidTr="00EC74AD">
        <w:tc>
          <w:tcPr>
            <w:tcW w:w="0" w:type="auto"/>
            <w:tcBorders>
              <w:top w:val="single" w:sz="12" w:space="0" w:color="auto"/>
              <w:left w:val="nil"/>
              <w:right w:val="single" w:sz="12" w:space="0" w:color="auto"/>
            </w:tcBorders>
          </w:tcPr>
          <w:p w14:paraId="75B7B3EB" w14:textId="77777777" w:rsidR="00EC74AD" w:rsidRPr="00FB4EFA" w:rsidRDefault="00EC74AD" w:rsidP="00863238">
            <w:pPr>
              <w:keepNext/>
              <w:spacing w:line="240" w:lineRule="auto"/>
              <w:jc w:val="left"/>
              <w:rPr>
                <w:sz w:val="20"/>
                <w:szCs w:val="20"/>
                <w:lang w:val="fi-FI"/>
              </w:rPr>
            </w:pPr>
            <w:r w:rsidRPr="00FB4EFA">
              <w:rPr>
                <w:sz w:val="20"/>
                <w:szCs w:val="20"/>
                <w:lang w:val="fi-FI"/>
              </w:rPr>
              <w:t>Gendered prefix</w:t>
            </w:r>
          </w:p>
        </w:tc>
        <w:tc>
          <w:tcPr>
            <w:tcW w:w="0" w:type="auto"/>
            <w:tcBorders>
              <w:top w:val="single" w:sz="12" w:space="0" w:color="auto"/>
              <w:left w:val="single" w:sz="12" w:space="0" w:color="auto"/>
            </w:tcBorders>
          </w:tcPr>
          <w:p w14:paraId="237E2AB8"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Borders>
              <w:top w:val="single" w:sz="12" w:space="0" w:color="auto"/>
            </w:tcBorders>
          </w:tcPr>
          <w:p w14:paraId="3A39A17F"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Borders>
              <w:top w:val="single" w:sz="12" w:space="0" w:color="auto"/>
            </w:tcBorders>
          </w:tcPr>
          <w:p w14:paraId="4FF55802" w14:textId="139AD97C"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c>
          <w:tcPr>
            <w:tcW w:w="0" w:type="auto"/>
            <w:tcBorders>
              <w:top w:val="single" w:sz="12" w:space="0" w:color="auto"/>
            </w:tcBorders>
          </w:tcPr>
          <w:p w14:paraId="123E1A86"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Borders>
              <w:top w:val="single" w:sz="12" w:space="0" w:color="auto"/>
            </w:tcBorders>
          </w:tcPr>
          <w:p w14:paraId="738C3954" w14:textId="3748173E"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c>
          <w:tcPr>
            <w:tcW w:w="0" w:type="auto"/>
            <w:tcBorders>
              <w:top w:val="single" w:sz="12" w:space="0" w:color="auto"/>
              <w:right w:val="nil"/>
            </w:tcBorders>
          </w:tcPr>
          <w:p w14:paraId="658043A0" w14:textId="026F62DA"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r>
      <w:tr w:rsidR="00FB4EFA" w:rsidRPr="00FB4EFA" w14:paraId="65432FF9" w14:textId="77777777" w:rsidTr="00EC74AD">
        <w:tc>
          <w:tcPr>
            <w:tcW w:w="0" w:type="auto"/>
            <w:tcBorders>
              <w:left w:val="nil"/>
              <w:right w:val="single" w:sz="12" w:space="0" w:color="auto"/>
            </w:tcBorders>
          </w:tcPr>
          <w:p w14:paraId="500D0C05" w14:textId="77777777" w:rsidR="00EC74AD" w:rsidRPr="00FB4EFA" w:rsidRDefault="00EC74AD" w:rsidP="00863238">
            <w:pPr>
              <w:keepNext/>
              <w:spacing w:line="240" w:lineRule="auto"/>
              <w:jc w:val="left"/>
              <w:rPr>
                <w:sz w:val="20"/>
                <w:szCs w:val="20"/>
                <w:lang w:val="fi-FI"/>
              </w:rPr>
            </w:pPr>
            <w:r w:rsidRPr="00FB4EFA">
              <w:rPr>
                <w:sz w:val="20"/>
                <w:szCs w:val="20"/>
                <w:lang w:val="fi-FI"/>
              </w:rPr>
              <w:t>Productive feminine suffix</w:t>
            </w:r>
          </w:p>
        </w:tc>
        <w:tc>
          <w:tcPr>
            <w:tcW w:w="0" w:type="auto"/>
            <w:tcBorders>
              <w:left w:val="single" w:sz="12" w:space="0" w:color="auto"/>
            </w:tcBorders>
          </w:tcPr>
          <w:p w14:paraId="1F930A30"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66FA9C44"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3749CBD3" w14:textId="7AB9C0C4"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c>
          <w:tcPr>
            <w:tcW w:w="0" w:type="auto"/>
          </w:tcPr>
          <w:p w14:paraId="251D1F71" w14:textId="0112DB74"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c>
          <w:tcPr>
            <w:tcW w:w="0" w:type="auto"/>
          </w:tcPr>
          <w:p w14:paraId="694BF7F5" w14:textId="13DB3C84"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c>
          <w:tcPr>
            <w:tcW w:w="0" w:type="auto"/>
            <w:tcBorders>
              <w:right w:val="nil"/>
            </w:tcBorders>
          </w:tcPr>
          <w:p w14:paraId="22745DE7" w14:textId="7F57D018"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r>
      <w:tr w:rsidR="00FB4EFA" w:rsidRPr="00FB4EFA" w14:paraId="0F752BAA" w14:textId="77777777" w:rsidTr="00EC74AD">
        <w:tc>
          <w:tcPr>
            <w:tcW w:w="0" w:type="auto"/>
            <w:tcBorders>
              <w:left w:val="nil"/>
              <w:right w:val="single" w:sz="12" w:space="0" w:color="auto"/>
            </w:tcBorders>
          </w:tcPr>
          <w:p w14:paraId="5D94411E" w14:textId="77777777" w:rsidR="00EC74AD" w:rsidRPr="00FB4EFA" w:rsidRDefault="00EC74AD" w:rsidP="00863238">
            <w:pPr>
              <w:keepNext/>
              <w:spacing w:line="240" w:lineRule="auto"/>
              <w:jc w:val="left"/>
              <w:rPr>
                <w:sz w:val="20"/>
                <w:szCs w:val="20"/>
              </w:rPr>
            </w:pPr>
            <w:r w:rsidRPr="00FB4EFA">
              <w:rPr>
                <w:sz w:val="20"/>
                <w:szCs w:val="20"/>
              </w:rPr>
              <w:t>Borrowing with a feminine suffix</w:t>
            </w:r>
          </w:p>
        </w:tc>
        <w:tc>
          <w:tcPr>
            <w:tcW w:w="0" w:type="auto"/>
            <w:tcBorders>
              <w:left w:val="single" w:sz="12" w:space="0" w:color="auto"/>
            </w:tcBorders>
          </w:tcPr>
          <w:p w14:paraId="1B92F7B0"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7034E1F8"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37CDC86D"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6C8ED5A3"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3EA6B877"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Borders>
              <w:right w:val="nil"/>
            </w:tcBorders>
          </w:tcPr>
          <w:p w14:paraId="1CFF7696" w14:textId="66B43E34"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r>
      <w:tr w:rsidR="00FB4EFA" w:rsidRPr="00FB4EFA" w14:paraId="5B783FF3" w14:textId="77777777" w:rsidTr="00EC74AD">
        <w:tc>
          <w:tcPr>
            <w:tcW w:w="0" w:type="auto"/>
            <w:tcBorders>
              <w:left w:val="nil"/>
              <w:right w:val="single" w:sz="12" w:space="0" w:color="auto"/>
            </w:tcBorders>
          </w:tcPr>
          <w:p w14:paraId="1D18E410" w14:textId="77777777" w:rsidR="00EC74AD" w:rsidRPr="00FB4EFA" w:rsidRDefault="00EC74AD" w:rsidP="00863238">
            <w:pPr>
              <w:keepNext/>
              <w:spacing w:line="240" w:lineRule="auto"/>
              <w:jc w:val="left"/>
              <w:rPr>
                <w:sz w:val="20"/>
                <w:szCs w:val="20"/>
                <w:lang w:val="fi-FI"/>
              </w:rPr>
            </w:pPr>
            <w:r w:rsidRPr="00FB4EFA">
              <w:rPr>
                <w:sz w:val="20"/>
                <w:szCs w:val="20"/>
                <w:lang w:val="fi-FI"/>
              </w:rPr>
              <w:t>Replacing the gendered part</w:t>
            </w:r>
          </w:p>
        </w:tc>
        <w:tc>
          <w:tcPr>
            <w:tcW w:w="0" w:type="auto"/>
            <w:tcBorders>
              <w:left w:val="single" w:sz="12" w:space="0" w:color="auto"/>
            </w:tcBorders>
          </w:tcPr>
          <w:p w14:paraId="5EF20257"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0550BD38"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0577B941" w14:textId="7DA3878E"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c>
          <w:tcPr>
            <w:tcW w:w="0" w:type="auto"/>
          </w:tcPr>
          <w:p w14:paraId="5D0AB705"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7F1C34CC"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Borders>
              <w:right w:val="nil"/>
            </w:tcBorders>
          </w:tcPr>
          <w:p w14:paraId="78226B38" w14:textId="22DD67BA" w:rsidR="00EC74AD" w:rsidRPr="00FB4EFA" w:rsidRDefault="00B738EB" w:rsidP="00863238">
            <w:pPr>
              <w:keepNext/>
              <w:spacing w:line="240" w:lineRule="auto"/>
              <w:jc w:val="left"/>
              <w:rPr>
                <w:sz w:val="20"/>
                <w:szCs w:val="20"/>
                <w:lang w:val="fi-FI"/>
              </w:rPr>
            </w:pPr>
            <w:r w:rsidRPr="00FB4EFA">
              <w:rPr>
                <w:rFonts w:cs="Times New Roman"/>
                <w:sz w:val="20"/>
                <w:szCs w:val="20"/>
                <w:lang w:val="fi-FI"/>
              </w:rPr>
              <w:t>–</w:t>
            </w:r>
          </w:p>
        </w:tc>
      </w:tr>
      <w:tr w:rsidR="00FB4EFA" w:rsidRPr="00FB4EFA" w14:paraId="16FBF61A" w14:textId="77777777" w:rsidTr="00EC74AD">
        <w:tc>
          <w:tcPr>
            <w:tcW w:w="0" w:type="auto"/>
            <w:tcBorders>
              <w:left w:val="nil"/>
              <w:right w:val="single" w:sz="12" w:space="0" w:color="auto"/>
            </w:tcBorders>
          </w:tcPr>
          <w:p w14:paraId="2F3A29D1" w14:textId="77777777" w:rsidR="00EC74AD" w:rsidRPr="00FB4EFA" w:rsidRDefault="00EC74AD" w:rsidP="00863238">
            <w:pPr>
              <w:keepNext/>
              <w:spacing w:line="240" w:lineRule="auto"/>
              <w:jc w:val="left"/>
              <w:rPr>
                <w:sz w:val="20"/>
                <w:szCs w:val="20"/>
                <w:lang w:val="fi-FI"/>
              </w:rPr>
            </w:pPr>
            <w:r w:rsidRPr="00FB4EFA">
              <w:rPr>
                <w:sz w:val="20"/>
                <w:szCs w:val="20"/>
                <w:lang w:val="fi-FI"/>
              </w:rPr>
              <w:t>Job title + gendered noun</w:t>
            </w:r>
          </w:p>
        </w:tc>
        <w:tc>
          <w:tcPr>
            <w:tcW w:w="0" w:type="auto"/>
            <w:tcBorders>
              <w:left w:val="single" w:sz="12" w:space="0" w:color="auto"/>
            </w:tcBorders>
          </w:tcPr>
          <w:p w14:paraId="6562F6EA"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20A74D7F"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4D54B67C"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45E99979"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2DB19C69"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Borders>
              <w:right w:val="nil"/>
            </w:tcBorders>
          </w:tcPr>
          <w:p w14:paraId="11CA3FBD"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r>
      <w:tr w:rsidR="00FB4EFA" w:rsidRPr="00FB4EFA" w14:paraId="24A464B6" w14:textId="77777777" w:rsidTr="00EC74AD">
        <w:tc>
          <w:tcPr>
            <w:tcW w:w="0" w:type="auto"/>
            <w:tcBorders>
              <w:left w:val="nil"/>
              <w:right w:val="single" w:sz="12" w:space="0" w:color="auto"/>
            </w:tcBorders>
          </w:tcPr>
          <w:p w14:paraId="5B1CFF03" w14:textId="77777777" w:rsidR="00EC74AD" w:rsidRPr="00FB4EFA" w:rsidRDefault="00EC74AD" w:rsidP="00863238">
            <w:pPr>
              <w:keepNext/>
              <w:spacing w:line="240" w:lineRule="auto"/>
              <w:jc w:val="left"/>
              <w:rPr>
                <w:sz w:val="20"/>
                <w:szCs w:val="20"/>
              </w:rPr>
            </w:pPr>
            <w:r w:rsidRPr="00FB4EFA">
              <w:rPr>
                <w:sz w:val="20"/>
                <w:szCs w:val="20"/>
              </w:rPr>
              <w:t>Compound with a gendered noun</w:t>
            </w:r>
          </w:p>
        </w:tc>
        <w:tc>
          <w:tcPr>
            <w:tcW w:w="0" w:type="auto"/>
            <w:tcBorders>
              <w:left w:val="single" w:sz="12" w:space="0" w:color="auto"/>
            </w:tcBorders>
          </w:tcPr>
          <w:p w14:paraId="026FFF71"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1DA7545D"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375C441D"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69ADCC39"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Pr>
          <w:p w14:paraId="4B808FAE"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c>
          <w:tcPr>
            <w:tcW w:w="0" w:type="auto"/>
            <w:tcBorders>
              <w:right w:val="nil"/>
            </w:tcBorders>
          </w:tcPr>
          <w:p w14:paraId="1E14F269" w14:textId="77777777" w:rsidR="00EC74AD" w:rsidRPr="00FB4EFA" w:rsidRDefault="00EC74AD" w:rsidP="00863238">
            <w:pPr>
              <w:keepNext/>
              <w:spacing w:line="240" w:lineRule="auto"/>
              <w:jc w:val="left"/>
              <w:rPr>
                <w:sz w:val="20"/>
                <w:szCs w:val="20"/>
                <w:lang w:val="fi-FI"/>
              </w:rPr>
            </w:pPr>
            <w:r w:rsidRPr="00FB4EFA">
              <w:rPr>
                <w:sz w:val="20"/>
                <w:szCs w:val="20"/>
                <w:lang w:val="fi-FI"/>
              </w:rPr>
              <w:t>++</w:t>
            </w:r>
          </w:p>
        </w:tc>
      </w:tr>
      <w:tr w:rsidR="00FB4EFA" w:rsidRPr="00FB4EFA" w14:paraId="008DF749" w14:textId="77777777" w:rsidTr="00EC74AD">
        <w:tc>
          <w:tcPr>
            <w:tcW w:w="0" w:type="auto"/>
            <w:tcBorders>
              <w:left w:val="nil"/>
              <w:bottom w:val="nil"/>
              <w:right w:val="single" w:sz="12" w:space="0" w:color="auto"/>
            </w:tcBorders>
          </w:tcPr>
          <w:p w14:paraId="51B8674B" w14:textId="77777777" w:rsidR="00EC74AD" w:rsidRPr="00FB4EFA" w:rsidRDefault="00EC74AD" w:rsidP="00863238">
            <w:pPr>
              <w:spacing w:line="240" w:lineRule="auto"/>
              <w:jc w:val="left"/>
              <w:rPr>
                <w:sz w:val="20"/>
                <w:szCs w:val="20"/>
                <w:lang w:val="fi-FI"/>
              </w:rPr>
            </w:pPr>
            <w:r w:rsidRPr="00FB4EFA">
              <w:rPr>
                <w:sz w:val="20"/>
                <w:szCs w:val="20"/>
                <w:lang w:val="fi-FI"/>
              </w:rPr>
              <w:t>Borrowings with different stems</w:t>
            </w:r>
          </w:p>
        </w:tc>
        <w:tc>
          <w:tcPr>
            <w:tcW w:w="0" w:type="auto"/>
            <w:tcBorders>
              <w:left w:val="single" w:sz="12" w:space="0" w:color="auto"/>
              <w:bottom w:val="nil"/>
            </w:tcBorders>
          </w:tcPr>
          <w:p w14:paraId="2A5F8589" w14:textId="77777777" w:rsidR="00EC74AD" w:rsidRPr="00FB4EFA" w:rsidRDefault="00EC74AD" w:rsidP="00863238">
            <w:pPr>
              <w:spacing w:line="240" w:lineRule="auto"/>
              <w:jc w:val="left"/>
              <w:rPr>
                <w:sz w:val="20"/>
                <w:szCs w:val="20"/>
                <w:lang w:val="fi-FI"/>
              </w:rPr>
            </w:pPr>
            <w:r w:rsidRPr="00FB4EFA">
              <w:rPr>
                <w:sz w:val="20"/>
                <w:szCs w:val="20"/>
                <w:lang w:val="fi-FI"/>
              </w:rPr>
              <w:t>(+)</w:t>
            </w:r>
          </w:p>
        </w:tc>
        <w:tc>
          <w:tcPr>
            <w:tcW w:w="0" w:type="auto"/>
            <w:tcBorders>
              <w:bottom w:val="nil"/>
            </w:tcBorders>
          </w:tcPr>
          <w:p w14:paraId="2D9291B7" w14:textId="77777777" w:rsidR="00EC74AD" w:rsidRPr="00FB4EFA" w:rsidRDefault="00EC74AD" w:rsidP="00863238">
            <w:pPr>
              <w:spacing w:line="240" w:lineRule="auto"/>
              <w:jc w:val="left"/>
              <w:rPr>
                <w:sz w:val="20"/>
                <w:szCs w:val="20"/>
                <w:lang w:val="fi-FI"/>
              </w:rPr>
            </w:pPr>
            <w:r w:rsidRPr="00FB4EFA">
              <w:rPr>
                <w:sz w:val="20"/>
                <w:szCs w:val="20"/>
                <w:lang w:val="fi-FI"/>
              </w:rPr>
              <w:t>(+)</w:t>
            </w:r>
          </w:p>
        </w:tc>
        <w:tc>
          <w:tcPr>
            <w:tcW w:w="0" w:type="auto"/>
            <w:tcBorders>
              <w:bottom w:val="nil"/>
            </w:tcBorders>
          </w:tcPr>
          <w:p w14:paraId="6AECF51E" w14:textId="77777777" w:rsidR="00EC74AD" w:rsidRPr="00FB4EFA" w:rsidRDefault="00EC74AD" w:rsidP="00863238">
            <w:pPr>
              <w:spacing w:line="240" w:lineRule="auto"/>
              <w:jc w:val="left"/>
              <w:rPr>
                <w:sz w:val="20"/>
                <w:szCs w:val="20"/>
                <w:lang w:val="fi-FI"/>
              </w:rPr>
            </w:pPr>
            <w:r w:rsidRPr="00FB4EFA">
              <w:rPr>
                <w:sz w:val="20"/>
                <w:szCs w:val="20"/>
                <w:lang w:val="fi-FI"/>
              </w:rPr>
              <w:t>(+)</w:t>
            </w:r>
          </w:p>
        </w:tc>
        <w:tc>
          <w:tcPr>
            <w:tcW w:w="0" w:type="auto"/>
            <w:tcBorders>
              <w:bottom w:val="nil"/>
            </w:tcBorders>
          </w:tcPr>
          <w:p w14:paraId="1F845F5C" w14:textId="77777777" w:rsidR="00EC74AD" w:rsidRPr="00FB4EFA" w:rsidRDefault="00EC74AD" w:rsidP="00863238">
            <w:pPr>
              <w:spacing w:line="240" w:lineRule="auto"/>
              <w:jc w:val="left"/>
              <w:rPr>
                <w:sz w:val="20"/>
                <w:szCs w:val="20"/>
                <w:lang w:val="fi-FI"/>
              </w:rPr>
            </w:pPr>
            <w:r w:rsidRPr="00FB4EFA">
              <w:rPr>
                <w:sz w:val="20"/>
                <w:szCs w:val="20"/>
                <w:lang w:val="fi-FI"/>
              </w:rPr>
              <w:t>(+)</w:t>
            </w:r>
          </w:p>
        </w:tc>
        <w:tc>
          <w:tcPr>
            <w:tcW w:w="0" w:type="auto"/>
            <w:tcBorders>
              <w:bottom w:val="nil"/>
            </w:tcBorders>
          </w:tcPr>
          <w:p w14:paraId="344B0FC9" w14:textId="2D1CFCEB" w:rsidR="00EC74AD" w:rsidRPr="00FB4EFA" w:rsidRDefault="00B738EB" w:rsidP="00863238">
            <w:pPr>
              <w:spacing w:line="240" w:lineRule="auto"/>
              <w:jc w:val="left"/>
              <w:rPr>
                <w:sz w:val="20"/>
                <w:szCs w:val="20"/>
                <w:lang w:val="fi-FI"/>
              </w:rPr>
            </w:pPr>
            <w:r w:rsidRPr="00FB4EFA">
              <w:rPr>
                <w:rFonts w:cs="Times New Roman"/>
                <w:sz w:val="20"/>
                <w:szCs w:val="20"/>
                <w:lang w:val="fi-FI"/>
              </w:rPr>
              <w:t>–</w:t>
            </w:r>
          </w:p>
        </w:tc>
        <w:tc>
          <w:tcPr>
            <w:tcW w:w="0" w:type="auto"/>
            <w:tcBorders>
              <w:bottom w:val="nil"/>
              <w:right w:val="nil"/>
            </w:tcBorders>
          </w:tcPr>
          <w:p w14:paraId="3EA950CF" w14:textId="7454CCFC" w:rsidR="00EC74AD" w:rsidRPr="00FB4EFA" w:rsidRDefault="00B738EB" w:rsidP="00863238">
            <w:pPr>
              <w:spacing w:line="240" w:lineRule="auto"/>
              <w:jc w:val="left"/>
              <w:rPr>
                <w:sz w:val="20"/>
                <w:szCs w:val="20"/>
                <w:lang w:val="fi-FI"/>
              </w:rPr>
            </w:pPr>
            <w:r w:rsidRPr="00FB4EFA">
              <w:rPr>
                <w:rFonts w:cs="Times New Roman"/>
                <w:sz w:val="20"/>
                <w:szCs w:val="20"/>
                <w:lang w:val="fi-FI"/>
              </w:rPr>
              <w:t>–</w:t>
            </w:r>
          </w:p>
        </w:tc>
      </w:tr>
    </w:tbl>
    <w:p w14:paraId="61545614" w14:textId="77777777" w:rsidR="00EC74AD" w:rsidRPr="00FB4EFA" w:rsidRDefault="00EC74AD" w:rsidP="002752AF">
      <w:pPr>
        <w:keepNext/>
        <w:spacing w:before="120" w:after="240"/>
        <w:jc w:val="center"/>
        <w:rPr>
          <w:sz w:val="18"/>
          <w:szCs w:val="18"/>
          <w:lang w:val="en-US"/>
        </w:rPr>
      </w:pPr>
      <w:r w:rsidRPr="00FB4EFA">
        <w:rPr>
          <w:b/>
          <w:bCs/>
          <w:sz w:val="18"/>
          <w:szCs w:val="18"/>
          <w:lang w:val="en-US"/>
        </w:rPr>
        <w:t xml:space="preserve">Table 1. </w:t>
      </w:r>
      <w:r w:rsidRPr="00FB4EFA">
        <w:rPr>
          <w:sz w:val="18"/>
          <w:szCs w:val="18"/>
          <w:lang w:val="en-US"/>
        </w:rPr>
        <w:t>Expressing gender in job titles in Finno-Ugric languages</w:t>
      </w:r>
    </w:p>
    <w:p w14:paraId="7B771DB2" w14:textId="4CBBC51E" w:rsidR="00EC74AD" w:rsidRPr="00FB4EFA" w:rsidRDefault="00EC74AD" w:rsidP="002752AF">
      <w:pPr>
        <w:rPr>
          <w:lang w:val="en-US"/>
        </w:rPr>
      </w:pPr>
      <w:r w:rsidRPr="00FB4EFA">
        <w:rPr>
          <w:lang w:val="en-US"/>
        </w:rPr>
        <w:t>As is clear from the table, the languages differ greatly as to how many strategies they use and how frequently. Estonian and Finnish each have a wide selection of strategies ranging from very common and productive to fairly marginal</w:t>
      </w:r>
      <w:r w:rsidR="005C57DF" w:rsidRPr="00FB4EFA">
        <w:rPr>
          <w:lang w:val="en-US"/>
        </w:rPr>
        <w:t xml:space="preserve"> ones</w:t>
      </w:r>
      <w:r w:rsidRPr="00FB4EFA">
        <w:rPr>
          <w:lang w:val="en-US"/>
        </w:rPr>
        <w:t>. Aanaar Saami also uses almost all the strategies (which, judging by some specific gendered nouns, might to some extent be a result of its contact with Finnish), even though none of them is very productive. Each of the remaining three languages has one productive strategy and one or more that are quite infrequent. Among the strategies, the only two that we were able to find in all of the languages in question are compounds with a gendered noun, where the first part either is a job title itself or is somehow related to the job.</w:t>
      </w:r>
    </w:p>
    <w:p w14:paraId="23BB3891" w14:textId="472C064B" w:rsidR="00EC74AD" w:rsidRPr="00FB4EFA" w:rsidRDefault="00EC74AD" w:rsidP="002752AF">
      <w:pPr>
        <w:ind w:firstLine="720"/>
        <w:rPr>
          <w:lang w:val="en-US"/>
        </w:rPr>
      </w:pPr>
      <w:r w:rsidRPr="00FB4EFA">
        <w:rPr>
          <w:lang w:val="en-US"/>
        </w:rPr>
        <w:t>An important observation that can be made concerning the distribution of strategies is that different job titles behave differently in terms of how often they specify the gender and how common each of the gendered variants is. The preferences regarding the frequency of gendered forms in general seem to be mostly language-specific, with occasional overlaps. For example, the speakers of Estonian, Finnish, Hungarian</w:t>
      </w:r>
      <w:r w:rsidR="005C57DF" w:rsidRPr="00FB4EFA">
        <w:rPr>
          <w:lang w:val="en-US"/>
        </w:rPr>
        <w:t>,</w:t>
      </w:r>
      <w:r w:rsidRPr="00FB4EFA">
        <w:rPr>
          <w:lang w:val="en-US"/>
        </w:rPr>
        <w:t xml:space="preserve"> and Meadow Mari all tend to specify the gender of actors/actresses (notably, English also has a widely used lexicalized female variant for this job), but for the rest of the jobs there is hardly any clear tendency.</w:t>
      </w:r>
    </w:p>
    <w:p w14:paraId="6075D2BD" w14:textId="3202F236" w:rsidR="00EC74AD" w:rsidRPr="00FB4EFA" w:rsidRDefault="00EC74AD" w:rsidP="002752AF">
      <w:pPr>
        <w:ind w:firstLine="720"/>
        <w:rPr>
          <w:lang w:val="en-US"/>
        </w:rPr>
      </w:pPr>
      <w:r w:rsidRPr="00FB4EFA">
        <w:rPr>
          <w:lang w:val="en-US"/>
        </w:rPr>
        <w:t>As for the frequency of specific gendered variants, it is mainly dependent on two factors</w:t>
      </w:r>
      <w:r w:rsidR="005C57DF" w:rsidRPr="00FB4EFA">
        <w:rPr>
          <w:lang w:val="en-US"/>
        </w:rPr>
        <w:t>:</w:t>
      </w:r>
      <w:r w:rsidRPr="00FB4EFA">
        <w:rPr>
          <w:lang w:val="en-US"/>
        </w:rPr>
        <w:t xml:space="preserve"> (a) how often the respective job is actually done by women and men, and (b) whether the job is seen as stereotypically </w:t>
      </w:r>
      <w:r w:rsidRPr="00FB4EFA">
        <w:rPr>
          <w:lang w:val="en-US"/>
        </w:rPr>
        <w:lastRenderedPageBreak/>
        <w:t>masculine or feminine. The first factor is crucial in the situation when the feminine variant exists in binary opposition to a masculine one which is not normally perceived as gender</w:t>
      </w:r>
      <w:r w:rsidR="00932326" w:rsidRPr="00FB4EFA">
        <w:rPr>
          <w:lang w:val="en-US"/>
        </w:rPr>
        <w:t xml:space="preserve"> </w:t>
      </w:r>
      <w:r w:rsidRPr="00FB4EFA">
        <w:rPr>
          <w:lang w:val="en-US"/>
        </w:rPr>
        <w:t xml:space="preserve">neutral. For example, in Meadow Mari, loanwords from Russian form such pairs, and </w:t>
      </w:r>
      <w:r w:rsidRPr="00FB4EFA">
        <w:rPr>
          <w:rFonts w:cs="Cambria"/>
          <w:i/>
          <w:iCs/>
          <w:lang w:val="fi-FI"/>
        </w:rPr>
        <w:t>лётчик</w:t>
      </w:r>
      <w:r w:rsidRPr="00FB4EFA">
        <w:rPr>
          <w:lang w:val="en-US"/>
        </w:rPr>
        <w:t xml:space="preserve"> ‘male pilot’ is much more frequent than </w:t>
      </w:r>
      <w:r w:rsidRPr="00FB4EFA">
        <w:rPr>
          <w:rFonts w:cs="Cambria"/>
          <w:i/>
          <w:iCs/>
          <w:lang w:val="fi-FI"/>
        </w:rPr>
        <w:t>лётчица</w:t>
      </w:r>
      <w:r w:rsidRPr="00FB4EFA">
        <w:rPr>
          <w:lang w:val="en-US"/>
        </w:rPr>
        <w:t>/</w:t>
      </w:r>
      <w:r w:rsidRPr="00FB4EFA">
        <w:rPr>
          <w:rFonts w:cs="Cambria"/>
          <w:i/>
          <w:iCs/>
          <w:lang w:val="fi-FI"/>
        </w:rPr>
        <w:t>лётчице</w:t>
      </w:r>
      <w:r w:rsidRPr="00FB4EFA">
        <w:rPr>
          <w:lang w:val="en-US"/>
        </w:rPr>
        <w:t xml:space="preserve"> ‘female pilot’, while </w:t>
      </w:r>
      <w:r w:rsidRPr="00FB4EFA">
        <w:rPr>
          <w:rFonts w:cs="Cambria"/>
          <w:i/>
          <w:iCs/>
          <w:lang w:val="fi-FI"/>
        </w:rPr>
        <w:t>доярке</w:t>
      </w:r>
      <w:r w:rsidRPr="00FB4EFA">
        <w:rPr>
          <w:lang w:val="en-US"/>
        </w:rPr>
        <w:t xml:space="preserve"> ‘female milker’ is much more frequent than </w:t>
      </w:r>
      <w:r w:rsidRPr="00FB4EFA">
        <w:rPr>
          <w:rFonts w:cs="Cambria"/>
          <w:i/>
          <w:iCs/>
          <w:lang w:val="fi-FI"/>
        </w:rPr>
        <w:t>дояр</w:t>
      </w:r>
      <w:r w:rsidRPr="00FB4EFA">
        <w:rPr>
          <w:lang w:val="en-US"/>
        </w:rPr>
        <w:t xml:space="preserve"> ‘male milker’ (see Section 3.2.2). The second factor is relevant in the situation when a gender-neutral form is available, and thus, any gendered variant can be seen as marked. In this case, a speaker is more likely to use a gendered variant if the reality does not match the existing stereotype. For example, in Finnish and Estonian, gender-neutral words meaning ‘nurse’ or ‘nanny’ are more likely to take male prefixes, while with gender-neutral words meaning ‘soldier’ or ‘hunter’ female prefixes are notably more frequent.</w:t>
      </w:r>
    </w:p>
    <w:p w14:paraId="2322821D" w14:textId="79CF49F1" w:rsidR="00EC74AD" w:rsidRPr="00FB4EFA" w:rsidRDefault="00EC74AD" w:rsidP="002752AF">
      <w:pPr>
        <w:ind w:firstLine="720"/>
        <w:rPr>
          <w:lang w:val="en-US"/>
        </w:rPr>
      </w:pPr>
      <w:r w:rsidRPr="00FB4EFA">
        <w:rPr>
          <w:lang w:val="en-US"/>
        </w:rPr>
        <w:t xml:space="preserve">As </w:t>
      </w:r>
      <w:r w:rsidR="005C57DF" w:rsidRPr="00FB4EFA">
        <w:rPr>
          <w:lang w:val="en-US"/>
        </w:rPr>
        <w:t xml:space="preserve">already </w:t>
      </w:r>
      <w:r w:rsidRPr="00FB4EFA">
        <w:rPr>
          <w:lang w:val="en-US"/>
        </w:rPr>
        <w:t>mentioned in the introduction, this project is seen as a pilot study, which means that it might actually raise more questions than it is able to answer, both within individual languages and on a more abstract level. For instance, it is yet to be discovered what determines the choice of a specific strategy if several options are available. If specifying the gender is optional in a language, what factors motivate the use of the gendered variant? How stylistically neutral are different strategies and what are the stylistic properties of each of them? Can the strategies be combined, and what are the rules regulating their interaction? These and many other questions remain for further research.</w:t>
      </w:r>
    </w:p>
    <w:p w14:paraId="7DE66A1F" w14:textId="77777777" w:rsidR="00EC74AD" w:rsidRPr="00FB4EFA" w:rsidRDefault="00EC74AD" w:rsidP="002752AF">
      <w:pPr>
        <w:pStyle w:val="Heading2"/>
        <w:spacing w:line="259" w:lineRule="auto"/>
        <w:rPr>
          <w:color w:val="auto"/>
        </w:rPr>
      </w:pPr>
      <w:r w:rsidRPr="00FB4EFA">
        <w:rPr>
          <w:color w:val="auto"/>
        </w:rPr>
        <w:t>References</w:t>
      </w:r>
    </w:p>
    <w:p w14:paraId="0B82346E" w14:textId="77777777" w:rsidR="00EC74AD" w:rsidRPr="00FB4EFA" w:rsidRDefault="00EC74AD" w:rsidP="00F662F9">
      <w:pPr>
        <w:suppressAutoHyphens/>
        <w:spacing w:line="240" w:lineRule="auto"/>
        <w:ind w:left="426" w:hanging="426"/>
        <w:rPr>
          <w:lang w:val="en-US"/>
        </w:rPr>
      </w:pPr>
      <w:r w:rsidRPr="00FB4EFA">
        <w:rPr>
          <w:lang w:val="en-US"/>
        </w:rPr>
        <w:t xml:space="preserve">Engelberg, Mila. 2002. The communication of gender in Finnish. In Marlis Hellinger &amp; Hadumod Bussmann (eds.), </w:t>
      </w:r>
      <w:r w:rsidRPr="00FB4EFA">
        <w:rPr>
          <w:i/>
          <w:lang w:val="en-US"/>
        </w:rPr>
        <w:t>Gender across languages. The Linguistic representation of women and men,</w:t>
      </w:r>
      <w:r w:rsidRPr="00FB4EFA">
        <w:rPr>
          <w:lang w:val="en-US"/>
        </w:rPr>
        <w:t xml:space="preserve"> vol. 2, 109–132. Amsterdam: John Benjamins.</w:t>
      </w:r>
    </w:p>
    <w:p w14:paraId="1D221B88" w14:textId="5735E4A5" w:rsidR="00EC74AD" w:rsidRPr="00FB4EFA" w:rsidRDefault="00EC74AD" w:rsidP="00F662F9">
      <w:pPr>
        <w:suppressAutoHyphens/>
        <w:spacing w:line="240" w:lineRule="auto"/>
        <w:ind w:left="426" w:hanging="426"/>
      </w:pPr>
      <w:r w:rsidRPr="00FB4EFA">
        <w:rPr>
          <w:lang w:val="en-US"/>
        </w:rPr>
        <w:t>Erelt, Mati, Tiiu Erelt &amp; Kristiina Ross. 2007. Eesti keele käsiraamat, 3</w:t>
      </w:r>
      <w:r w:rsidRPr="00FB4EFA">
        <w:rPr>
          <w:vertAlign w:val="superscript"/>
          <w:lang w:val="en-US"/>
        </w:rPr>
        <w:t>rd</w:t>
      </w:r>
      <w:r w:rsidRPr="00FB4EFA">
        <w:rPr>
          <w:lang w:val="en-US"/>
        </w:rPr>
        <w:t xml:space="preserve"> edn. Tallinn: Eesti Keele Sihtasutus. </w:t>
      </w:r>
      <w:hyperlink r:id="rId415" w:history="1">
        <w:r w:rsidRPr="00FB4EFA">
          <w:rPr>
            <w:rFonts w:eastAsia="Calibri" w:cs="Calibri"/>
            <w:u w:val="single"/>
            <w:lang w:val="en-GB" w:eastAsia="en-GB"/>
          </w:rPr>
          <w:t>www.eki.ee/books/ekk09/</w:t>
        </w:r>
      </w:hyperlink>
      <w:r w:rsidRPr="00FB4EFA">
        <w:t>.</w:t>
      </w:r>
    </w:p>
    <w:p w14:paraId="4086F364" w14:textId="39658B0F" w:rsidR="00EC74AD" w:rsidRPr="00FB4EFA" w:rsidRDefault="00EC74AD" w:rsidP="00F662F9">
      <w:pPr>
        <w:suppressAutoHyphens/>
        <w:spacing w:line="240" w:lineRule="auto"/>
        <w:ind w:left="426" w:hanging="426"/>
      </w:pPr>
      <w:r w:rsidRPr="00FB4EFA">
        <w:rPr>
          <w:lang w:val="en-US"/>
        </w:rPr>
        <w:t xml:space="preserve">Hasselblatt, Cornelius. 2015. The representation of gender in Estonian. </w:t>
      </w:r>
      <w:r w:rsidRPr="00FB4EFA">
        <w:t xml:space="preserve">In Marlis Hellinger &amp; Heiko Motschenbacher (eds.), </w:t>
      </w:r>
      <w:r w:rsidRPr="00FB4EFA">
        <w:rPr>
          <w:i/>
        </w:rPr>
        <w:t>Gender across languages</w:t>
      </w:r>
      <w:r w:rsidR="00170B29" w:rsidRPr="00FB4EFA">
        <w:rPr>
          <w:i/>
        </w:rPr>
        <w:t xml:space="preserve"> </w:t>
      </w:r>
      <w:r w:rsidRPr="00FB4EFA">
        <w:t>4, 125–151. Amsterdam: John Benjamins.</w:t>
      </w:r>
    </w:p>
    <w:p w14:paraId="14342C02" w14:textId="77777777" w:rsidR="00EC74AD" w:rsidRPr="00FB4EFA" w:rsidRDefault="00EC74AD" w:rsidP="00451CE2">
      <w:pPr>
        <w:suppressAutoHyphens/>
        <w:spacing w:line="240" w:lineRule="auto"/>
        <w:ind w:left="425" w:hanging="425"/>
        <w:rPr>
          <w:lang w:val="sv-SE"/>
        </w:rPr>
      </w:pPr>
      <w:r w:rsidRPr="00FB4EFA">
        <w:t xml:space="preserve">Kegyes, Erika. 2008. Sexusgrammatik und Gendersemantik. </w:t>
      </w:r>
      <w:r w:rsidRPr="00FB4EFA">
        <w:rPr>
          <w:lang w:val="sv-SE"/>
        </w:rPr>
        <w:t xml:space="preserve">Ausdrucksformen des Geschlechts im Ungarischen. In Erika Kegyes &amp; </w:t>
      </w:r>
      <w:r w:rsidRPr="00FB4EFA">
        <w:rPr>
          <w:lang w:val="sv-SE"/>
        </w:rPr>
        <w:lastRenderedPageBreak/>
        <w:t xml:space="preserve">Ágnes Hussar (eds.), </w:t>
      </w:r>
      <w:r w:rsidRPr="00FB4EFA">
        <w:rPr>
          <w:i/>
          <w:lang w:val="sv-SE"/>
        </w:rPr>
        <w:t xml:space="preserve">Genderbilder aus Ungarn. Ergebnisse der ungarischen Genderforschung, </w:t>
      </w:r>
      <w:r w:rsidRPr="00FB4EFA">
        <w:rPr>
          <w:lang w:val="sv-SE"/>
        </w:rPr>
        <w:t>73–90. Hamburg: Kova</w:t>
      </w:r>
      <w:r w:rsidRPr="00FB4EFA">
        <w:rPr>
          <w:rFonts w:cs="Cambria"/>
          <w:lang w:val="sv-SE"/>
        </w:rPr>
        <w:t>č</w:t>
      </w:r>
      <w:r w:rsidRPr="00FB4EFA">
        <w:rPr>
          <w:lang w:val="sv-SE"/>
        </w:rPr>
        <w:t>.</w:t>
      </w:r>
    </w:p>
    <w:p w14:paraId="3088F2B0" w14:textId="77777777" w:rsidR="00EC74AD" w:rsidRPr="00FB4EFA" w:rsidRDefault="00EC74AD" w:rsidP="00F662F9">
      <w:pPr>
        <w:suppressAutoHyphens/>
        <w:spacing w:line="240" w:lineRule="auto"/>
        <w:ind w:left="426" w:hanging="426"/>
        <w:rPr>
          <w:rFonts w:cs="Charis SIL"/>
          <w:lang w:val="fi-FI"/>
        </w:rPr>
      </w:pPr>
      <w:r w:rsidRPr="00FB4EFA">
        <w:rPr>
          <w:lang w:val="sv-SE"/>
        </w:rPr>
        <w:t xml:space="preserve">Kyrölä, Katriina. </w:t>
      </w:r>
      <w:r w:rsidRPr="00FB4EFA">
        <w:rPr>
          <w:rFonts w:cs="Charis SIL"/>
          <w:lang w:val="sv-SE"/>
        </w:rPr>
        <w:t>1</w:t>
      </w:r>
      <w:r w:rsidRPr="00FB4EFA">
        <w:rPr>
          <w:rFonts w:cs="Charis SIL"/>
          <w:lang w:val="fi-FI"/>
        </w:rPr>
        <w:t xml:space="preserve">989. </w:t>
      </w:r>
      <w:r w:rsidRPr="00FB4EFA">
        <w:rPr>
          <w:rFonts w:cs="Charis SIL"/>
          <w:i/>
          <w:lang w:val="fi-FI"/>
        </w:rPr>
        <w:t>Feminiinijohdokset suomen kielessä.</w:t>
      </w:r>
      <w:r w:rsidRPr="00FB4EFA">
        <w:rPr>
          <w:rFonts w:cs="Charis SIL"/>
          <w:lang w:val="fi-FI"/>
        </w:rPr>
        <w:t xml:space="preserve"> Turku: Turun yliopisto Master’s thesis.</w:t>
      </w:r>
    </w:p>
    <w:p w14:paraId="10D318FD" w14:textId="6C4C9E0C" w:rsidR="00EC74AD" w:rsidRPr="00FB4EFA" w:rsidRDefault="00EC74AD" w:rsidP="00F662F9">
      <w:pPr>
        <w:suppressAutoHyphens/>
        <w:spacing w:line="240" w:lineRule="auto"/>
        <w:ind w:left="426" w:hanging="426"/>
        <w:rPr>
          <w:rFonts w:cs="Charis SIL"/>
        </w:rPr>
      </w:pPr>
      <w:r w:rsidRPr="00FB4EFA">
        <w:rPr>
          <w:rFonts w:cs="Charis SIL"/>
          <w:lang w:val="fi-FI"/>
        </w:rPr>
        <w:t xml:space="preserve">Kyrölä, Katriina. 1990. Kaunotar elää, laamannitar on kuollut. </w:t>
      </w:r>
      <w:r w:rsidRPr="00FB4EFA">
        <w:rPr>
          <w:rFonts w:cs="Charis SIL"/>
          <w:i/>
          <w:lang w:val="fi-FI"/>
        </w:rPr>
        <w:t>Kielikello</w:t>
      </w:r>
      <w:r w:rsidRPr="00FB4EFA">
        <w:rPr>
          <w:rFonts w:cs="Charis SIL"/>
          <w:lang w:val="fi-FI"/>
        </w:rPr>
        <w:t xml:space="preserve"> 2/1990. </w:t>
      </w:r>
      <w:hyperlink r:id="rId416" w:history="1">
        <w:r w:rsidRPr="00FB4EFA">
          <w:rPr>
            <w:rFonts w:cs="Charis SIL"/>
            <w:u w:val="single"/>
          </w:rPr>
          <w:t>www.kielikello.fi/-/kaunotar-elaa-laamannitar-on-kuollut</w:t>
        </w:r>
      </w:hyperlink>
      <w:r w:rsidRPr="00FB4EFA">
        <w:rPr>
          <w:rFonts w:cs="Charis SIL"/>
        </w:rPr>
        <w:t>.</w:t>
      </w:r>
    </w:p>
    <w:p w14:paraId="0D726D97" w14:textId="7AC5356B" w:rsidR="00EC74AD" w:rsidRPr="00FB4EFA" w:rsidRDefault="00EC74AD" w:rsidP="00F662F9">
      <w:pPr>
        <w:suppressAutoHyphens/>
        <w:spacing w:line="240" w:lineRule="auto"/>
        <w:ind w:left="426" w:hanging="426"/>
        <w:rPr>
          <w:rFonts w:cs="Charis SIL"/>
          <w:lang w:val="en-US"/>
        </w:rPr>
      </w:pPr>
      <w:r w:rsidRPr="00FB4EFA">
        <w:rPr>
          <w:rFonts w:cs="Charis SIL"/>
        </w:rPr>
        <w:t xml:space="preserve">Laakso, Johanna. 2011. Some basic issues of gender theory from a Finno-Ugric point of view. In Hanneke Boode &amp; Edit Zsadányi (eds.), </w:t>
      </w:r>
      <w:r w:rsidRPr="00FB4EFA">
        <w:rPr>
          <w:rFonts w:cs="Charis SIL"/>
          <w:i/>
        </w:rPr>
        <w:t>Gender Perspectives on Hungarian and Finnish Culture</w:t>
      </w:r>
      <w:r w:rsidR="00875DD7" w:rsidRPr="00FB4EFA">
        <w:rPr>
          <w:rFonts w:cs="Charis SIL"/>
        </w:rPr>
        <w:t>, 7</w:t>
      </w:r>
      <w:r w:rsidR="00875DD7" w:rsidRPr="00FB4EFA">
        <w:rPr>
          <w:rFonts w:cs="Charis SIL"/>
          <w:lang w:val="en-US"/>
        </w:rPr>
        <w:t>–24.</w:t>
      </w:r>
      <w:r w:rsidRPr="00FB4EFA">
        <w:rPr>
          <w:rFonts w:cs="Charis SIL"/>
        </w:rPr>
        <w:t xml:space="preserve"> Studia Fenno-Ugrica Groningana 6</w:t>
      </w:r>
      <w:r w:rsidRPr="00FB4EFA">
        <w:rPr>
          <w:rFonts w:cs="Charis SIL"/>
          <w:lang w:val="en-US"/>
        </w:rPr>
        <w:t>. Maastricht: Shaker Publishing.</w:t>
      </w:r>
    </w:p>
    <w:p w14:paraId="79E2FEDC" w14:textId="1A98E715" w:rsidR="00EC74AD" w:rsidRPr="00FB4EFA" w:rsidRDefault="00EC74AD" w:rsidP="00F662F9">
      <w:pPr>
        <w:suppressAutoHyphens/>
        <w:spacing w:line="240" w:lineRule="auto"/>
        <w:ind w:left="426" w:hanging="426"/>
        <w:rPr>
          <w:lang w:val="en-US"/>
        </w:rPr>
      </w:pPr>
      <w:r w:rsidRPr="00FB4EFA">
        <w:rPr>
          <w:rFonts w:cs="Charis SIL"/>
          <w:lang w:val="en-US"/>
        </w:rPr>
        <w:t xml:space="preserve">Lea, Diana &amp; Jennifer Bradbery (eds.). 2020. </w:t>
      </w:r>
      <w:r w:rsidRPr="00FB4EFA">
        <w:rPr>
          <w:rFonts w:cs="Charis SIL"/>
          <w:i/>
          <w:lang w:val="en-US"/>
        </w:rPr>
        <w:t>Oxford Advanced Learner’s Dictionary,</w:t>
      </w:r>
      <w:r w:rsidRPr="00FB4EFA">
        <w:rPr>
          <w:rFonts w:cs="Charis SIL"/>
          <w:lang w:val="en-US"/>
        </w:rPr>
        <w:t xml:space="preserve"> 10</w:t>
      </w:r>
      <w:r w:rsidRPr="00FB4EFA">
        <w:rPr>
          <w:rFonts w:cs="Charis SIL"/>
          <w:vertAlign w:val="superscript"/>
          <w:lang w:val="en-US"/>
        </w:rPr>
        <w:t>th</w:t>
      </w:r>
      <w:r w:rsidRPr="00FB4EFA">
        <w:rPr>
          <w:rFonts w:cs="Charis SIL"/>
          <w:lang w:val="en-US"/>
        </w:rPr>
        <w:t xml:space="preserve"> edn. Oxford: Oxford University Press. </w:t>
      </w:r>
      <w:hyperlink r:id="rId417" w:history="1">
        <w:r w:rsidRPr="00FB4EFA">
          <w:rPr>
            <w:rFonts w:cs="Charis SIL"/>
            <w:u w:val="single"/>
          </w:rPr>
          <w:t>www.oxfordlearnersdictionaries.com/definition/english/</w:t>
        </w:r>
      </w:hyperlink>
      <w:r w:rsidRPr="00FB4EFA">
        <w:rPr>
          <w:lang w:val="en-US"/>
        </w:rPr>
        <w:t>.</w:t>
      </w:r>
    </w:p>
    <w:p w14:paraId="1458494B" w14:textId="0FDAC724" w:rsidR="00EC74AD" w:rsidRPr="00FB4EFA" w:rsidRDefault="00EC74AD" w:rsidP="00F662F9">
      <w:pPr>
        <w:suppressAutoHyphens/>
        <w:spacing w:line="240" w:lineRule="auto"/>
        <w:ind w:left="426" w:hanging="426"/>
        <w:rPr>
          <w:lang w:val="en-US"/>
        </w:rPr>
      </w:pPr>
      <w:r w:rsidRPr="00FB4EFA">
        <w:rPr>
          <w:lang w:val="fi-FI"/>
        </w:rPr>
        <w:t xml:space="preserve">Mäearu, Sirje. 2002. Pindejürist prügikastikustini. Eesnimelised isikunimetused. </w:t>
      </w:r>
      <w:r w:rsidRPr="00FB4EFA">
        <w:rPr>
          <w:i/>
          <w:lang w:val="en-US"/>
        </w:rPr>
        <w:t>Oma Keel</w:t>
      </w:r>
      <w:r w:rsidRPr="00FB4EFA">
        <w:rPr>
          <w:lang w:val="en-US"/>
        </w:rPr>
        <w:t xml:space="preserve"> 2002/1</w:t>
      </w:r>
      <w:r w:rsidR="00F951D0" w:rsidRPr="00FB4EFA">
        <w:rPr>
          <w:lang w:val="en-US"/>
        </w:rPr>
        <w:t>.</w:t>
      </w:r>
      <w:r w:rsidRPr="00FB4EFA">
        <w:rPr>
          <w:lang w:val="en-US"/>
        </w:rPr>
        <w:t xml:space="preserve"> 29–31.</w:t>
      </w:r>
    </w:p>
    <w:p w14:paraId="1A007008" w14:textId="77777777" w:rsidR="00EC74AD" w:rsidRPr="00FB4EFA" w:rsidRDefault="00EC74AD" w:rsidP="00F662F9">
      <w:pPr>
        <w:suppressAutoHyphens/>
        <w:spacing w:line="240" w:lineRule="auto"/>
        <w:ind w:left="426" w:hanging="426"/>
        <w:rPr>
          <w:lang w:val="en-US"/>
        </w:rPr>
      </w:pPr>
      <w:r w:rsidRPr="00FB4EFA">
        <w:rPr>
          <w:lang w:val="en-US"/>
        </w:rPr>
        <w:t xml:space="preserve">Nagy, Marcell &amp; Viviana Patti. 2006. Lexical gender in Hungarian: Reflections of social structures in an electronic corpus. In Eva Maria Thüne, Simona Leonardi &amp; Carla Bazzanella (eds.), </w:t>
      </w:r>
      <w:r w:rsidRPr="00FB4EFA">
        <w:rPr>
          <w:i/>
          <w:lang w:val="en-US"/>
        </w:rPr>
        <w:t xml:space="preserve">Gender, language and new literacy, </w:t>
      </w:r>
      <w:r w:rsidRPr="00FB4EFA">
        <w:rPr>
          <w:lang w:val="en-US"/>
        </w:rPr>
        <w:t>182–195. New York: Continuum Press.</w:t>
      </w:r>
    </w:p>
    <w:p w14:paraId="1DD695B6" w14:textId="0B4C8D05" w:rsidR="00EC74AD" w:rsidRPr="00FB4EFA" w:rsidRDefault="00EC74AD" w:rsidP="00F662F9">
      <w:pPr>
        <w:keepLines/>
        <w:suppressAutoHyphens/>
        <w:spacing w:line="240" w:lineRule="auto"/>
        <w:ind w:left="425" w:hanging="425"/>
        <w:rPr>
          <w:lang w:val="fi-FI"/>
        </w:rPr>
      </w:pPr>
      <w:r w:rsidRPr="00FB4EFA">
        <w:rPr>
          <w:lang w:val="en-US"/>
        </w:rPr>
        <w:t xml:space="preserve">Olt, Kerli. 2004. </w:t>
      </w:r>
      <w:r w:rsidRPr="00FB4EFA">
        <w:rPr>
          <w:lang w:val="fi-FI"/>
        </w:rPr>
        <w:t xml:space="preserve">Sooliselt markeeritud sõnavara trükiajakirjanduses. In Reet Kasik (ed.), </w:t>
      </w:r>
      <w:r w:rsidRPr="00FB4EFA">
        <w:rPr>
          <w:i/>
          <w:lang w:val="fi-FI"/>
        </w:rPr>
        <w:t>Tekstid ja taustad III: lingvistiline tekstianalüüs</w:t>
      </w:r>
      <w:r w:rsidRPr="00FB4EFA">
        <w:rPr>
          <w:lang w:val="fi-FI"/>
        </w:rPr>
        <w:t xml:space="preserve">, 90–107. </w:t>
      </w:r>
      <w:r w:rsidR="00875DD7" w:rsidRPr="00FB4EFA">
        <w:rPr>
          <w:lang w:val="fi-FI"/>
        </w:rPr>
        <w:t xml:space="preserve">Tartu Ülikooli eesti keele õppetooli toimetised 28. </w:t>
      </w:r>
      <w:r w:rsidRPr="00FB4EFA">
        <w:rPr>
          <w:lang w:val="fi-FI"/>
        </w:rPr>
        <w:t>Tartu: Tartu Ülikooli Kirjastus.</w:t>
      </w:r>
    </w:p>
    <w:p w14:paraId="4C3A2070" w14:textId="0F39B673" w:rsidR="00EC74AD" w:rsidRPr="00FB4EFA" w:rsidRDefault="00EC74AD" w:rsidP="00F662F9">
      <w:pPr>
        <w:suppressAutoHyphens/>
        <w:spacing w:line="240" w:lineRule="auto"/>
        <w:ind w:left="426" w:hanging="426"/>
        <w:rPr>
          <w:lang w:val="fi-FI"/>
        </w:rPr>
      </w:pPr>
      <w:r w:rsidRPr="00FB4EFA">
        <w:rPr>
          <w:lang w:val="fi-FI"/>
        </w:rPr>
        <w:t xml:space="preserve">Oravecz, Csaba, Tamás Váradi &amp; Bálint Sass. 2014. The Hungarian Gigaword Corpus. In </w:t>
      </w:r>
      <w:r w:rsidRPr="00FB4EFA">
        <w:rPr>
          <w:i/>
          <w:lang w:val="fi-FI"/>
        </w:rPr>
        <w:t>Proceedings of LREC 2014</w:t>
      </w:r>
      <w:r w:rsidR="00C3771F" w:rsidRPr="00FB4EFA">
        <w:rPr>
          <w:lang w:val="fi-FI"/>
        </w:rPr>
        <w:t>, 1719–1723.</w:t>
      </w:r>
    </w:p>
    <w:p w14:paraId="6CFB40CD" w14:textId="0674BCD1" w:rsidR="00EC74AD" w:rsidRPr="00FB4EFA" w:rsidRDefault="00EC74AD" w:rsidP="00F662F9">
      <w:pPr>
        <w:suppressAutoHyphens/>
        <w:spacing w:line="240" w:lineRule="auto"/>
        <w:ind w:left="426" w:hanging="426"/>
        <w:rPr>
          <w:lang w:val="fi-FI"/>
        </w:rPr>
      </w:pPr>
      <w:r w:rsidRPr="00FB4EFA">
        <w:rPr>
          <w:lang w:val="fi-FI"/>
        </w:rPr>
        <w:t xml:space="preserve">Pete, István. 2000. Férfinyelv-e a magyar? </w:t>
      </w:r>
      <w:r w:rsidRPr="00FB4EFA">
        <w:rPr>
          <w:i/>
          <w:lang w:val="fi-FI"/>
        </w:rPr>
        <w:t>Magyar Nyelv</w:t>
      </w:r>
      <w:r w:rsidRPr="00FB4EFA">
        <w:rPr>
          <w:rFonts w:cs="Cambria"/>
          <w:i/>
          <w:lang w:val="fi-FI"/>
        </w:rPr>
        <w:t>ő</w:t>
      </w:r>
      <w:r w:rsidRPr="00FB4EFA">
        <w:rPr>
          <w:i/>
          <w:lang w:val="fi-FI"/>
        </w:rPr>
        <w:t>r</w:t>
      </w:r>
      <w:r w:rsidRPr="00FB4EFA">
        <w:rPr>
          <w:lang w:val="fi-FI"/>
        </w:rPr>
        <w:t xml:space="preserve"> 124</w:t>
      </w:r>
      <w:r w:rsidR="00C3771F" w:rsidRPr="00FB4EFA">
        <w:rPr>
          <w:lang w:val="fi-FI"/>
        </w:rPr>
        <w:t>.</w:t>
      </w:r>
      <w:r w:rsidRPr="00FB4EFA">
        <w:rPr>
          <w:lang w:val="fi-FI"/>
        </w:rPr>
        <w:t xml:space="preserve"> 198–115.</w:t>
      </w:r>
    </w:p>
    <w:p w14:paraId="7DF1E9B0" w14:textId="69ADA661" w:rsidR="00EC74AD" w:rsidRPr="00FB4EFA" w:rsidRDefault="00EC74AD" w:rsidP="00F662F9">
      <w:pPr>
        <w:suppressAutoHyphens/>
        <w:spacing w:line="240" w:lineRule="auto"/>
        <w:ind w:left="426" w:hanging="426"/>
        <w:rPr>
          <w:lang w:val="fi-FI"/>
        </w:rPr>
      </w:pPr>
      <w:r w:rsidRPr="00FB4EFA">
        <w:rPr>
          <w:lang w:val="fi-FI"/>
        </w:rPr>
        <w:t xml:space="preserve">Puna, Kerli. 2005. Mees- ja nais-alguliste liitsõnade kasutuse dünaamika. In Reet Kasik (ed.), </w:t>
      </w:r>
      <w:r w:rsidRPr="00FB4EFA">
        <w:rPr>
          <w:i/>
          <w:lang w:val="fi-FI"/>
        </w:rPr>
        <w:t>Tekstid ja taustad IV: tekstiliigivaatlusi</w:t>
      </w:r>
      <w:r w:rsidRPr="00FB4EFA">
        <w:rPr>
          <w:lang w:val="fi-FI"/>
        </w:rPr>
        <w:t xml:space="preserve">, 82–99. </w:t>
      </w:r>
      <w:r w:rsidR="00875DD7" w:rsidRPr="00FB4EFA">
        <w:rPr>
          <w:lang w:val="fi-FI"/>
        </w:rPr>
        <w:t xml:space="preserve">Tartu Ülikooli eesti keele õppetooli toimetised 29. </w:t>
      </w:r>
      <w:r w:rsidRPr="00FB4EFA">
        <w:rPr>
          <w:lang w:val="fi-FI"/>
        </w:rPr>
        <w:t>Tartu: Tartu Ülikooli Kirjastus.</w:t>
      </w:r>
    </w:p>
    <w:p w14:paraId="449EF076" w14:textId="58A322C1" w:rsidR="00EC74AD" w:rsidRPr="00FB4EFA" w:rsidRDefault="00EC74AD" w:rsidP="00F662F9">
      <w:pPr>
        <w:suppressAutoHyphens/>
        <w:spacing w:line="240" w:lineRule="auto"/>
        <w:ind w:left="426" w:hanging="426"/>
        <w:rPr>
          <w:lang w:val="fi-FI"/>
        </w:rPr>
      </w:pPr>
      <w:r w:rsidRPr="00FB4EFA">
        <w:rPr>
          <w:lang w:val="fi-FI"/>
        </w:rPr>
        <w:t xml:space="preserve">Ross, Kristiina. 1996. Naine eesti keele grammatikas. </w:t>
      </w:r>
      <w:r w:rsidRPr="00FB4EFA">
        <w:rPr>
          <w:i/>
          <w:lang w:val="fi-FI"/>
        </w:rPr>
        <w:t>Vikerkaar</w:t>
      </w:r>
      <w:r w:rsidRPr="00FB4EFA">
        <w:rPr>
          <w:lang w:val="fi-FI"/>
        </w:rPr>
        <w:t xml:space="preserve"> 11–12</w:t>
      </w:r>
      <w:r w:rsidR="00C3771F" w:rsidRPr="00FB4EFA">
        <w:rPr>
          <w:lang w:val="fi-FI"/>
        </w:rPr>
        <w:t>.</w:t>
      </w:r>
      <w:r w:rsidRPr="00FB4EFA">
        <w:rPr>
          <w:lang w:val="fi-FI"/>
        </w:rPr>
        <w:t xml:space="preserve"> 102–106.</w:t>
      </w:r>
    </w:p>
    <w:p w14:paraId="207BAB85" w14:textId="44ABDBFF" w:rsidR="00EC74AD" w:rsidRPr="00FB4EFA" w:rsidRDefault="00EC74AD" w:rsidP="00F662F9">
      <w:pPr>
        <w:suppressAutoHyphens/>
        <w:spacing w:line="240" w:lineRule="auto"/>
        <w:ind w:left="426" w:hanging="426"/>
        <w:rPr>
          <w:lang w:val="fi-FI"/>
        </w:rPr>
      </w:pPr>
      <w:r w:rsidRPr="00FB4EFA">
        <w:rPr>
          <w:lang w:val="fi-FI"/>
        </w:rPr>
        <w:t xml:space="preserve">Tainio, Liisa. 2001. </w:t>
      </w:r>
      <w:r w:rsidRPr="00FB4EFA">
        <w:rPr>
          <w:i/>
          <w:lang w:val="fi-FI"/>
        </w:rPr>
        <w:t>Puhuvan naisen paikka. Sukupuoli kulttuurisena kategoriana kielenkäytössä</w:t>
      </w:r>
      <w:r w:rsidR="00484004" w:rsidRPr="00FB4EFA">
        <w:rPr>
          <w:iCs/>
          <w:lang w:val="fi-FI"/>
        </w:rPr>
        <w:t>.</w:t>
      </w:r>
      <w:r w:rsidRPr="00FB4EFA">
        <w:rPr>
          <w:lang w:val="fi-FI"/>
        </w:rPr>
        <w:t xml:space="preserve"> Suomalaisen Kirjallisuuden Seuran Toimituksia 854. Helsinki: </w:t>
      </w:r>
      <w:r w:rsidR="00F9255F" w:rsidRPr="00FB4EFA">
        <w:rPr>
          <w:lang w:val="fi-FI"/>
        </w:rPr>
        <w:t>SKS</w:t>
      </w:r>
      <w:r w:rsidRPr="00FB4EFA">
        <w:rPr>
          <w:lang w:val="fi-FI"/>
        </w:rPr>
        <w:t>.</w:t>
      </w:r>
    </w:p>
    <w:p w14:paraId="436FE030" w14:textId="694D5E35" w:rsidR="00EC74AD" w:rsidRPr="00FB4EFA" w:rsidRDefault="00EC74AD" w:rsidP="00F662F9">
      <w:pPr>
        <w:suppressAutoHyphens/>
        <w:spacing w:line="240" w:lineRule="auto"/>
        <w:ind w:left="426" w:hanging="426"/>
        <w:rPr>
          <w:lang w:val="fi-FI"/>
        </w:rPr>
      </w:pPr>
      <w:r w:rsidRPr="00FB4EFA">
        <w:rPr>
          <w:lang w:val="fi-FI"/>
        </w:rPr>
        <w:t xml:space="preserve">Tainio, Liisa. 2006. </w:t>
      </w:r>
      <w:r w:rsidRPr="00FB4EFA">
        <w:rPr>
          <w:lang w:val="en-US"/>
        </w:rPr>
        <w:t xml:space="preserve">Gender in Finnish language use: Equal, inequal and/or queer? </w:t>
      </w:r>
      <w:r w:rsidRPr="00FB4EFA">
        <w:rPr>
          <w:i/>
          <w:lang w:val="sv-SE"/>
        </w:rPr>
        <w:t>Wiener elektronische Beiträge des Instituts für Finno-Ugristik</w:t>
      </w:r>
      <w:r w:rsidRPr="00FB4EFA">
        <w:rPr>
          <w:lang w:val="sv-SE"/>
        </w:rPr>
        <w:t>.</w:t>
      </w:r>
      <w:r w:rsidR="000C2655" w:rsidRPr="00FB4EFA">
        <w:t xml:space="preserve"> </w:t>
      </w:r>
      <w:hyperlink r:id="rId418" w:history="1">
        <w:r w:rsidR="00B23065" w:rsidRPr="00FB4EFA">
          <w:rPr>
            <w:rStyle w:val="Hyperlink"/>
            <w:rFonts w:cs="Cambria"/>
            <w:color w:val="auto"/>
            <w:lang w:val="en-GB"/>
          </w:rPr>
          <w:t>webfu.univie.ac.at/texte/tainio.pdf</w:t>
        </w:r>
      </w:hyperlink>
      <w:r w:rsidRPr="00FB4EFA">
        <w:rPr>
          <w:lang w:val="fi-FI"/>
        </w:rPr>
        <w:t>.</w:t>
      </w:r>
    </w:p>
    <w:p w14:paraId="62CA2FAA" w14:textId="6AC166A7" w:rsidR="00A96E85" w:rsidRPr="00FB4EFA" w:rsidRDefault="00EC74AD" w:rsidP="00F662F9">
      <w:pPr>
        <w:suppressAutoHyphens/>
        <w:spacing w:line="240" w:lineRule="auto"/>
        <w:ind w:left="426" w:hanging="426"/>
      </w:pPr>
      <w:r w:rsidRPr="00FB4EFA">
        <w:rPr>
          <w:lang w:val="fi-FI"/>
        </w:rPr>
        <w:t xml:space="preserve">Vasvári, Louise O. 2015. </w:t>
      </w:r>
      <w:r w:rsidRPr="00FB4EFA">
        <w:rPr>
          <w:lang w:val="en-US"/>
        </w:rPr>
        <w:t xml:space="preserve">Gender trouble in a grammatically genderless language: Hungarian. </w:t>
      </w:r>
      <w:r w:rsidRPr="00FB4EFA">
        <w:t xml:space="preserve">Marlis Hellinger &amp; Heiko Motschenbacher (eds.), </w:t>
      </w:r>
      <w:r w:rsidRPr="00FB4EFA">
        <w:rPr>
          <w:i/>
        </w:rPr>
        <w:t>Gender across languages,</w:t>
      </w:r>
      <w:r w:rsidRPr="00FB4EFA">
        <w:t xml:space="preserve"> vol. 4, 203–225. Amsterdam: John Benjamins.</w:t>
      </w:r>
    </w:p>
    <w:p w14:paraId="01938AB7" w14:textId="77777777" w:rsidR="00A96E85" w:rsidRPr="00FB4EFA" w:rsidRDefault="00A96E85" w:rsidP="002752AF">
      <w:pPr>
        <w:spacing w:after="160"/>
        <w:jc w:val="center"/>
        <w:rPr>
          <w:smallCaps/>
          <w:sz w:val="48"/>
          <w:szCs w:val="48"/>
        </w:rPr>
        <w:sectPr w:rsidR="00A96E85" w:rsidRPr="00FB4EFA">
          <w:headerReference w:type="even" r:id="rId419"/>
          <w:headerReference w:type="default" r:id="rId420"/>
          <w:headerReference w:type="first" r:id="rId421"/>
          <w:footnotePr>
            <w:numRestart w:val="eachSect"/>
          </w:footnotePr>
          <w:pgSz w:w="9180" w:h="13302"/>
          <w:pgMar w:top="779" w:right="1133" w:bottom="1132" w:left="1133" w:header="744" w:footer="720" w:gutter="0"/>
          <w:cols w:space="720"/>
          <w:titlePg/>
        </w:sectPr>
      </w:pPr>
    </w:p>
    <w:p w14:paraId="143D4EEC" w14:textId="77777777" w:rsidR="00A96E85" w:rsidRPr="00FB4EFA" w:rsidRDefault="00A96E85" w:rsidP="002752AF">
      <w:pPr>
        <w:pStyle w:val="Authors"/>
        <w:spacing w:line="259" w:lineRule="auto"/>
        <w:rPr>
          <w:color w:val="auto"/>
          <w:lang w:val="de-AT"/>
        </w:rPr>
      </w:pPr>
      <w:bookmarkStart w:id="113" w:name="_Hlk119075027"/>
      <w:r w:rsidRPr="00FB4EFA">
        <w:rPr>
          <w:color w:val="auto"/>
          <w:lang w:val="de-AT"/>
        </w:rPr>
        <w:lastRenderedPageBreak/>
        <w:t>Beáta Wagner-Nagy</w:t>
      </w:r>
    </w:p>
    <w:p w14:paraId="0F096F4F" w14:textId="77777777" w:rsidR="00A96E85" w:rsidRPr="00FB4EFA" w:rsidRDefault="00A96E85" w:rsidP="002752AF"/>
    <w:p w14:paraId="77FFD1D2" w14:textId="22E5F335" w:rsidR="00A96E85" w:rsidRPr="00FB4EFA" w:rsidRDefault="00A96E85" w:rsidP="00994E2A">
      <w:pPr>
        <w:pStyle w:val="Heading1"/>
        <w:suppressAutoHyphens/>
        <w:spacing w:line="259" w:lineRule="auto"/>
        <w:ind w:right="74"/>
        <w:rPr>
          <w:color w:val="auto"/>
        </w:rPr>
      </w:pPr>
      <w:bookmarkStart w:id="114" w:name="_Toc87547016"/>
      <w:bookmarkStart w:id="115" w:name="_Ref90999680"/>
      <w:r w:rsidRPr="00FB4EFA">
        <w:rPr>
          <w:color w:val="auto"/>
        </w:rPr>
        <w:t xml:space="preserve">How many right and left sides are there </w:t>
      </w:r>
      <w:r w:rsidR="004A53B7" w:rsidRPr="00FB4EFA">
        <w:rPr>
          <w:color w:val="auto"/>
        </w:rPr>
        <w:br/>
      </w:r>
      <w:r w:rsidRPr="00FB4EFA">
        <w:rPr>
          <w:color w:val="auto"/>
        </w:rPr>
        <w:t>in Nganasan?</w:t>
      </w:r>
      <w:bookmarkEnd w:id="114"/>
      <w:bookmarkEnd w:id="115"/>
    </w:p>
    <w:p w14:paraId="2C215C9D" w14:textId="74D90DB9" w:rsidR="00A96E85" w:rsidRPr="00FB4EFA" w:rsidRDefault="00A96E85" w:rsidP="00545033">
      <w:pPr>
        <w:pStyle w:val="Heading2"/>
        <w:numPr>
          <w:ilvl w:val="0"/>
          <w:numId w:val="21"/>
        </w:numPr>
        <w:suppressAutoHyphens/>
        <w:spacing w:line="259" w:lineRule="auto"/>
        <w:rPr>
          <w:color w:val="auto"/>
        </w:rPr>
      </w:pPr>
      <w:r w:rsidRPr="00FB4EFA">
        <w:rPr>
          <w:color w:val="auto"/>
        </w:rPr>
        <w:t>Introduction</w:t>
      </w:r>
    </w:p>
    <w:p w14:paraId="165989E5" w14:textId="7DDF28C1" w:rsidR="00092304" w:rsidRPr="00FB4EFA" w:rsidRDefault="00092304" w:rsidP="00402EF4">
      <w:pPr>
        <w:rPr>
          <w:lang w:val="en-US"/>
        </w:rPr>
      </w:pPr>
      <w:r w:rsidRPr="00FB4EFA">
        <w:rPr>
          <w:lang w:val="en-US"/>
        </w:rPr>
        <w:t>In recent decades, spatial expressions have been studied in a substantial number of works (</w:t>
      </w:r>
      <w:r w:rsidR="00466236" w:rsidRPr="00FB4EFA">
        <w:rPr>
          <w:lang w:val="en-US"/>
        </w:rPr>
        <w:t>e.g., </w:t>
      </w:r>
      <w:r w:rsidRPr="00FB4EFA">
        <w:rPr>
          <w:lang w:val="en-US"/>
        </w:rPr>
        <w:t xml:space="preserve">Talmy 2000, Levinson 2003, Levinson </w:t>
      </w:r>
      <w:r w:rsidR="00D6535A" w:rsidRPr="00FB4EFA">
        <w:rPr>
          <w:lang w:val="en-US"/>
        </w:rPr>
        <w:t>&amp;</w:t>
      </w:r>
      <w:r w:rsidRPr="00FB4EFA">
        <w:rPr>
          <w:lang w:val="en-US"/>
        </w:rPr>
        <w:t xml:space="preserve"> Wilkins 2006). The expressions that we use for the location of objects are often built upon metaphorical conceptualization</w:t>
      </w:r>
      <w:r w:rsidR="00DA1CE3" w:rsidRPr="00FB4EFA">
        <w:rPr>
          <w:lang w:val="en-US"/>
        </w:rPr>
        <w:t>s</w:t>
      </w:r>
      <w:r w:rsidRPr="00FB4EFA">
        <w:rPr>
          <w:lang w:val="en-US"/>
        </w:rPr>
        <w:t>, which in turn have their origins in the human body and bodily experience (</w:t>
      </w:r>
      <w:r w:rsidR="00466236" w:rsidRPr="00FB4EFA">
        <w:rPr>
          <w:lang w:val="en-US"/>
        </w:rPr>
        <w:t>e.g., </w:t>
      </w:r>
      <w:r w:rsidRPr="00FB4EFA">
        <w:rPr>
          <w:lang w:val="en-US"/>
        </w:rPr>
        <w:t xml:space="preserve">Lakoff </w:t>
      </w:r>
      <w:r w:rsidR="00D6535A" w:rsidRPr="00FB4EFA">
        <w:rPr>
          <w:lang w:val="en-US"/>
        </w:rPr>
        <w:t>&amp;</w:t>
      </w:r>
      <w:r w:rsidRPr="00FB4EFA">
        <w:rPr>
          <w:lang w:val="en-US"/>
        </w:rPr>
        <w:t xml:space="preserve"> Johnson 1980, Svorou 1994, Heine 1997, Wen </w:t>
      </w:r>
      <w:r w:rsidR="00D6535A" w:rsidRPr="00FB4EFA">
        <w:rPr>
          <w:lang w:val="en-US"/>
        </w:rPr>
        <w:t>&amp;</w:t>
      </w:r>
      <w:r w:rsidRPr="00FB4EFA">
        <w:rPr>
          <w:lang w:val="en-US"/>
        </w:rPr>
        <w:t xml:space="preserve"> Jiang 2021).</w:t>
      </w:r>
    </w:p>
    <w:p w14:paraId="7AA028E1" w14:textId="78BC69EA" w:rsidR="008A7171" w:rsidRPr="00FB4EFA" w:rsidRDefault="00DA1CE3" w:rsidP="008A7171">
      <w:pPr>
        <w:ind w:firstLine="709"/>
        <w:rPr>
          <w:lang w:val="en-US"/>
        </w:rPr>
      </w:pPr>
      <w:r w:rsidRPr="00FB4EFA">
        <w:rPr>
          <w:lang w:val="en-US"/>
        </w:rPr>
        <w:t>A</w:t>
      </w:r>
      <w:r w:rsidR="00092304" w:rsidRPr="00FB4EFA">
        <w:rPr>
          <w:lang w:val="en-US"/>
        </w:rPr>
        <w:t xml:space="preserve"> considerable number of works have also been devoted to the study of the grammaticalization of body part terms</w:t>
      </w:r>
      <w:r w:rsidRPr="00FB4EFA">
        <w:rPr>
          <w:lang w:val="en-US"/>
        </w:rPr>
        <w:t xml:space="preserve">, both in general and </w:t>
      </w:r>
      <w:r w:rsidR="00092304" w:rsidRPr="00FB4EFA">
        <w:rPr>
          <w:lang w:val="en-US"/>
        </w:rPr>
        <w:t xml:space="preserve">Uralic </w:t>
      </w:r>
      <w:r w:rsidRPr="00FB4EFA">
        <w:rPr>
          <w:lang w:val="en-US"/>
        </w:rPr>
        <w:t>linguistics</w:t>
      </w:r>
      <w:r w:rsidR="00092304" w:rsidRPr="00FB4EFA">
        <w:rPr>
          <w:lang w:val="en-US"/>
        </w:rPr>
        <w:t xml:space="preserve"> (</w:t>
      </w:r>
      <w:r w:rsidR="00466236" w:rsidRPr="00FB4EFA">
        <w:rPr>
          <w:lang w:val="en-US"/>
        </w:rPr>
        <w:t>e.g., </w:t>
      </w:r>
      <w:r w:rsidR="00092304" w:rsidRPr="00FB4EFA">
        <w:rPr>
          <w:lang w:val="en-US"/>
        </w:rPr>
        <w:t xml:space="preserve">Svorou 1994, Heine </w:t>
      </w:r>
      <w:r w:rsidR="00D6535A" w:rsidRPr="00FB4EFA">
        <w:rPr>
          <w:lang w:val="en-US"/>
        </w:rPr>
        <w:t>&amp;</w:t>
      </w:r>
      <w:r w:rsidR="00092304" w:rsidRPr="00FB4EFA">
        <w:rPr>
          <w:lang w:val="en-US"/>
        </w:rPr>
        <w:t xml:space="preserve"> Kuteva 2002, Heine 2014, Sip</w:t>
      </w:r>
      <w:r w:rsidR="00092304" w:rsidRPr="00FB4EFA">
        <w:rPr>
          <w:rFonts w:cs="Cambria"/>
          <w:lang w:val="en-US"/>
        </w:rPr>
        <w:t>ő</w:t>
      </w:r>
      <w:r w:rsidR="00092304" w:rsidRPr="00FB4EFA">
        <w:rPr>
          <w:lang w:val="en-US"/>
        </w:rPr>
        <w:t>cz 2005, van Pareren 2013). In addition, numerous studies have dealt with the extensions of body parts in various domains (</w:t>
      </w:r>
      <w:r w:rsidR="00466236" w:rsidRPr="00FB4EFA">
        <w:rPr>
          <w:lang w:val="en-US"/>
        </w:rPr>
        <w:t>e.g., </w:t>
      </w:r>
      <w:r w:rsidR="00092304" w:rsidRPr="00FB4EFA">
        <w:rPr>
          <w:lang w:val="en-US"/>
        </w:rPr>
        <w:t xml:space="preserve">Hilpert 2007, Sharifan et al. 2008, Brenzinger and Kraska-Szlenk 2014, </w:t>
      </w:r>
      <w:r w:rsidR="00092304" w:rsidRPr="00FB4EFA">
        <w:fldChar w:fldCharType="begin"/>
      </w:r>
      <w:r w:rsidR="00092304" w:rsidRPr="00FB4EFA">
        <w:fldChar w:fldCharType="separate"/>
      </w:r>
      <w:r w:rsidR="00092304" w:rsidRPr="00FB4EFA">
        <w:rPr>
          <w:lang w:val="en-US"/>
        </w:rPr>
        <w:t>Kraska-Szlenk</w:t>
      </w:r>
      <w:r w:rsidR="00092304" w:rsidRPr="00FB4EFA">
        <w:rPr>
          <w:lang w:val="en-US"/>
        </w:rPr>
        <w:fldChar w:fldCharType="end"/>
      </w:r>
      <w:r w:rsidR="00092304" w:rsidRPr="00FB4EFA">
        <w:rPr>
          <w:lang w:val="en-US"/>
        </w:rPr>
        <w:t>2019). In some languages, such as in Mixtepec Mixtec (spoken in Mexico) or in Kanuri (spoken in Nigeria, Niger, Chad</w:t>
      </w:r>
      <w:r w:rsidRPr="00FB4EFA">
        <w:rPr>
          <w:lang w:val="en-US"/>
        </w:rPr>
        <w:t>,</w:t>
      </w:r>
      <w:r w:rsidR="00092304" w:rsidRPr="00FB4EFA">
        <w:rPr>
          <w:lang w:val="en-US"/>
        </w:rPr>
        <w:t xml:space="preserve"> and Cameroon)</w:t>
      </w:r>
      <w:r w:rsidRPr="00FB4EFA">
        <w:rPr>
          <w:lang w:val="en-US"/>
        </w:rPr>
        <w:t>,</w:t>
      </w:r>
      <w:r w:rsidR="00092304" w:rsidRPr="00FB4EFA">
        <w:rPr>
          <w:lang w:val="en-US"/>
        </w:rPr>
        <w:t xml:space="preserve"> there are lexical-semantic extensions such </w:t>
      </w:r>
      <w:r w:rsidRPr="00FB4EFA">
        <w:rPr>
          <w:lang w:val="en-US"/>
        </w:rPr>
        <w:t>as</w:t>
      </w:r>
      <w:r w:rsidR="00092304" w:rsidRPr="00FB4EFA">
        <w:rPr>
          <w:lang w:val="en-US"/>
        </w:rPr>
        <w:t xml:space="preserve"> designation</w:t>
      </w:r>
      <w:r w:rsidRPr="00FB4EFA">
        <w:rPr>
          <w:lang w:val="en-US"/>
        </w:rPr>
        <w:t>s</w:t>
      </w:r>
      <w:r w:rsidR="00092304" w:rsidRPr="00FB4EFA">
        <w:rPr>
          <w:lang w:val="en-US"/>
        </w:rPr>
        <w:t xml:space="preserve"> of body parts that can be extended and used in</w:t>
      </w:r>
      <w:r w:rsidRPr="00FB4EFA">
        <w:rPr>
          <w:lang w:val="en-US"/>
        </w:rPr>
        <w:t xml:space="preserve"> relation to</w:t>
      </w:r>
      <w:r w:rsidR="00092304" w:rsidRPr="00FB4EFA">
        <w:rPr>
          <w:lang w:val="en-US"/>
        </w:rPr>
        <w:t xml:space="preserve"> new concepts. In Kanuri, for example, the word ‘arm’ has undergone an extension and has the secondary meaning ‘elephant trunk’ (Hilpert 2007: 78). In Mixtepec Mixtec, a metonymic lexicalization can be observed: body part terms are combined with other content words and new concepts are formed such as other body parts, objects, or spatial terms, </w:t>
      </w:r>
      <w:r w:rsidR="00466236" w:rsidRPr="00FB4EFA">
        <w:rPr>
          <w:lang w:val="en-US"/>
        </w:rPr>
        <w:t>e.g., </w:t>
      </w:r>
      <w:r w:rsidR="00092304" w:rsidRPr="00FB4EFA">
        <w:rPr>
          <w:lang w:val="en-US"/>
        </w:rPr>
        <w:t>cloud+face &gt; ‘eye’; face+field &gt; ‘cornfield’ (</w:t>
      </w:r>
      <w:r w:rsidR="00466236" w:rsidRPr="00FB4EFA">
        <w:rPr>
          <w:lang w:val="en-US"/>
        </w:rPr>
        <w:t>cf. </w:t>
      </w:r>
      <w:r w:rsidR="00092304" w:rsidRPr="00FB4EFA">
        <w:rPr>
          <w:lang w:val="en-US"/>
        </w:rPr>
        <w:t xml:space="preserve">Lewandowska-Tomaszczyk 2020: 38). For metonymic conceptualization, we also find examples in Nganasan, described in </w:t>
      </w:r>
      <w:r w:rsidR="00DE7479" w:rsidRPr="00FB4EFA">
        <w:rPr>
          <w:lang w:val="en-US"/>
        </w:rPr>
        <w:t>S</w:t>
      </w:r>
      <w:r w:rsidR="00092304" w:rsidRPr="00FB4EFA">
        <w:rPr>
          <w:lang w:val="en-US"/>
        </w:rPr>
        <w:t>ection 2.3 below.</w:t>
      </w:r>
    </w:p>
    <w:p w14:paraId="544A0B06" w14:textId="4F0E3067" w:rsidR="00092304" w:rsidRPr="00FB4EFA" w:rsidRDefault="00092304" w:rsidP="008A7171">
      <w:pPr>
        <w:ind w:firstLine="709"/>
        <w:rPr>
          <w:rFonts w:cs="Charis SIL"/>
          <w:szCs w:val="24"/>
          <w:lang w:val="en-US"/>
        </w:rPr>
      </w:pPr>
      <w:r w:rsidRPr="00FB4EFA">
        <w:rPr>
          <w:lang w:val="en-US"/>
        </w:rPr>
        <w:t xml:space="preserve">To understand the linguistic data in Nganasan (and other languages) as well as these conceptualizations, we need to take an excursion into the structure of the human body and the relation between the expression of movement and the planes of the body. Three </w:t>
      </w:r>
      <w:r w:rsidR="00E01F5E" w:rsidRPr="00FB4EFA">
        <w:rPr>
          <w:lang w:val="en-US"/>
        </w:rPr>
        <w:t xml:space="preserve">principal </w:t>
      </w:r>
      <w:r w:rsidRPr="00FB4EFA">
        <w:rPr>
          <w:lang w:val="en-US"/>
        </w:rPr>
        <w:t>anatomical planes run through the human body</w:t>
      </w:r>
      <w:r w:rsidR="00DA1CE3" w:rsidRPr="00FB4EFA">
        <w:rPr>
          <w:lang w:val="en-US"/>
        </w:rPr>
        <w:t>;</w:t>
      </w:r>
      <w:r w:rsidRPr="00FB4EFA">
        <w:rPr>
          <w:lang w:val="en-US"/>
        </w:rPr>
        <w:t xml:space="preserve"> direction of motion</w:t>
      </w:r>
      <w:r w:rsidR="00DA1CE3" w:rsidRPr="00FB4EFA">
        <w:rPr>
          <w:lang w:val="en-US"/>
        </w:rPr>
        <w:t xml:space="preserve"> can be </w:t>
      </w:r>
      <w:r w:rsidR="00DA1CE3" w:rsidRPr="00FB4EFA">
        <w:rPr>
          <w:lang w:val="en-US"/>
        </w:rPr>
        <w:lastRenderedPageBreak/>
        <w:t>indicated along these</w:t>
      </w:r>
      <w:r w:rsidRPr="00FB4EFA">
        <w:rPr>
          <w:lang w:val="en-US"/>
        </w:rPr>
        <w:t xml:space="preserve">. One of them is the sagittal plane, which divides the body into right and left halves. Along the sagittal plane, movement occurs forward and backward. The second axis is the coronal or frontal plane, which splits the body into the front (anterior) and the back (posterior). Motion along this plane occurs sideways. The </w:t>
      </w:r>
      <w:r w:rsidR="00560B47" w:rsidRPr="00FB4EFA">
        <w:rPr>
          <w:lang w:val="en-US"/>
        </w:rPr>
        <w:t>third</w:t>
      </w:r>
      <w:r w:rsidRPr="00FB4EFA">
        <w:rPr>
          <w:lang w:val="en-US"/>
        </w:rPr>
        <w:t xml:space="preserve"> </w:t>
      </w:r>
      <w:r w:rsidR="00560B47" w:rsidRPr="00FB4EFA">
        <w:rPr>
          <w:lang w:val="en-US"/>
        </w:rPr>
        <w:t>axis</w:t>
      </w:r>
      <w:r w:rsidRPr="00FB4EFA">
        <w:rPr>
          <w:lang w:val="en-US"/>
        </w:rPr>
        <w:t xml:space="preserve"> is the transverse plane, which divides </w:t>
      </w:r>
      <w:r w:rsidR="00560B47" w:rsidRPr="00FB4EFA">
        <w:rPr>
          <w:lang w:val="en-US"/>
        </w:rPr>
        <w:t>the body</w:t>
      </w:r>
      <w:r w:rsidRPr="00FB4EFA">
        <w:rPr>
          <w:lang w:val="en-US"/>
        </w:rPr>
        <w:t xml:space="preserve"> into upper (superior) and lower (inferior) parts. (For body planes see also Bailey 2020.) Figure 1 shows the body planes.</w:t>
      </w:r>
    </w:p>
    <w:p w14:paraId="3795C730" w14:textId="77777777" w:rsidR="00092304" w:rsidRPr="00FB4EFA" w:rsidRDefault="00092304" w:rsidP="005B35DE">
      <w:pPr>
        <w:jc w:val="center"/>
        <w:rPr>
          <w:rFonts w:cs="Charis SIL"/>
          <w:szCs w:val="24"/>
          <w:lang w:val="en-US"/>
        </w:rPr>
      </w:pPr>
      <w:r w:rsidRPr="00FB4EFA">
        <w:rPr>
          <w:noProof/>
          <w:szCs w:val="24"/>
          <w:lang w:val="de-DE" w:eastAsia="de-DE"/>
        </w:rPr>
        <w:drawing>
          <wp:inline distT="0" distB="0" distL="0" distR="0" wp14:anchorId="08F92A19" wp14:editId="59D0BA7A">
            <wp:extent cx="2729865" cy="3281905"/>
            <wp:effectExtent l="0" t="0" r="0" b="0"/>
            <wp:docPr id="9" name="Grafik 9" descr="https://upload.wikimedia.org/wikipedia/commons/3/34/BodyPla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3/34/BodyPlanes.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760163" cy="3318330"/>
                    </a:xfrm>
                    <a:prstGeom prst="rect">
                      <a:avLst/>
                    </a:prstGeom>
                    <a:noFill/>
                    <a:ln>
                      <a:noFill/>
                    </a:ln>
                  </pic:spPr>
                </pic:pic>
              </a:graphicData>
            </a:graphic>
          </wp:inline>
        </w:drawing>
      </w:r>
    </w:p>
    <w:p w14:paraId="08074665" w14:textId="77777777" w:rsidR="00092304" w:rsidRPr="00FB4EFA" w:rsidRDefault="00092304" w:rsidP="00AC1192">
      <w:pPr>
        <w:suppressAutoHyphens/>
        <w:jc w:val="center"/>
        <w:rPr>
          <w:rFonts w:cs="Charis SIL"/>
          <w:sz w:val="18"/>
          <w:szCs w:val="18"/>
          <w:lang w:val="en-US"/>
        </w:rPr>
      </w:pPr>
      <w:r w:rsidRPr="00FB4EFA">
        <w:rPr>
          <w:rFonts w:cs="Charis SIL"/>
          <w:b/>
          <w:bCs/>
          <w:sz w:val="18"/>
          <w:szCs w:val="18"/>
          <w:lang w:val="en-US"/>
        </w:rPr>
        <w:t>Figure 1</w:t>
      </w:r>
      <w:r w:rsidRPr="00FB4EFA">
        <w:rPr>
          <w:rFonts w:cs="Charis SIL"/>
          <w:sz w:val="18"/>
          <w:szCs w:val="18"/>
          <w:lang w:val="en-US"/>
        </w:rPr>
        <w:t>. Body planes</w:t>
      </w:r>
      <w:r w:rsidRPr="00FB4EFA">
        <w:rPr>
          <w:rFonts w:cs="Charis SIL"/>
          <w:sz w:val="18"/>
          <w:szCs w:val="18"/>
          <w:vertAlign w:val="superscript"/>
          <w:lang w:val="en-US"/>
        </w:rPr>
        <w:footnoteReference w:id="152"/>
      </w:r>
    </w:p>
    <w:p w14:paraId="24F080D0" w14:textId="1A52435C" w:rsidR="00560B47" w:rsidRPr="00FB4EFA" w:rsidRDefault="00092304" w:rsidP="00402EF4">
      <w:pPr>
        <w:rPr>
          <w:lang w:val="en-US"/>
        </w:rPr>
      </w:pPr>
      <w:r w:rsidRPr="00FB4EFA">
        <w:rPr>
          <w:lang w:val="en-US"/>
        </w:rPr>
        <w:t xml:space="preserve">In order to localize an object, the speaker considers the structure of the object. An object usually has a vertical and a horizontal axis like the human body. Along these axes, we can identify the concepts </w:t>
      </w:r>
      <w:r w:rsidRPr="00FB4EFA">
        <w:rPr>
          <w:smallCaps/>
          <w:lang w:val="en-US"/>
        </w:rPr>
        <w:t>up/down, front/back</w:t>
      </w:r>
      <w:r w:rsidRPr="00FB4EFA">
        <w:rPr>
          <w:lang w:val="en-US"/>
        </w:rPr>
        <w:t xml:space="preserve">, and </w:t>
      </w:r>
      <w:r w:rsidRPr="00FB4EFA">
        <w:rPr>
          <w:smallCaps/>
          <w:lang w:val="en-US"/>
        </w:rPr>
        <w:t>left/right</w:t>
      </w:r>
      <w:r w:rsidRPr="00FB4EFA">
        <w:rPr>
          <w:lang w:val="en-US"/>
        </w:rPr>
        <w:t xml:space="preserve">. (A non-exhaustive list of the concepts is given in Evans 2019: 236.) However, not all objects have the same three concepts. For example, a tree, unlike </w:t>
      </w:r>
      <w:r w:rsidR="00466236" w:rsidRPr="00FB4EFA">
        <w:rPr>
          <w:lang w:val="en-US"/>
        </w:rPr>
        <w:t>e.g., </w:t>
      </w:r>
      <w:r w:rsidRPr="00FB4EFA">
        <w:rPr>
          <w:lang w:val="en-US"/>
        </w:rPr>
        <w:t xml:space="preserve">a </w:t>
      </w:r>
      <w:r w:rsidR="00560B47" w:rsidRPr="00FB4EFA">
        <w:rPr>
          <w:lang w:val="en-US"/>
        </w:rPr>
        <w:t>car</w:t>
      </w:r>
      <w:r w:rsidRPr="00FB4EFA">
        <w:rPr>
          <w:lang w:val="en-US"/>
        </w:rPr>
        <w:t>, normally has no front or back regions</w:t>
      </w:r>
      <w:r w:rsidR="00560B47" w:rsidRPr="00FB4EFA">
        <w:rPr>
          <w:lang w:val="en-US"/>
        </w:rPr>
        <w:t>, while a ball has no sides at all – or rather, can only assigned sides within the context of a specific situation.</w:t>
      </w:r>
    </w:p>
    <w:p w14:paraId="6F0BF7FF" w14:textId="77777777" w:rsidR="00092304" w:rsidRPr="00FB4EFA" w:rsidRDefault="00092304" w:rsidP="00402EF4">
      <w:pPr>
        <w:ind w:firstLine="709"/>
        <w:rPr>
          <w:lang w:val="en-US"/>
        </w:rPr>
      </w:pPr>
      <w:r w:rsidRPr="00FB4EFA">
        <w:rPr>
          <w:lang w:val="en-US"/>
        </w:rPr>
        <w:lastRenderedPageBreak/>
        <w:t>In this study, I will discuss how the Nganasan orient themselves in their environment. Due to the richness of the topic, not all its facets can be described here. Only two types of direction, the concepts RIGHT and LEFT are dealt with in this paper. Although this topic was already touched upon in Hajdú’s 1951 article, a detailed description has been lacking until today, and I will now try to fill this gap. The basis of this study is the theory of conceptualization of space in cognitive linguistics. Before I turn to the Nganasan expressions of ‘left’ and ‘right’, the domain of spatial expressions should be briefly presented, and the data used in this study will be introduced.</w:t>
      </w:r>
    </w:p>
    <w:p w14:paraId="3935F570" w14:textId="313084C6" w:rsidR="00092304" w:rsidRPr="00FB4EFA" w:rsidRDefault="00092304" w:rsidP="00AF0CAD">
      <w:pPr>
        <w:pStyle w:val="Heading3"/>
        <w:numPr>
          <w:ilvl w:val="1"/>
          <w:numId w:val="21"/>
        </w:numPr>
        <w:spacing w:line="259" w:lineRule="auto"/>
        <w:rPr>
          <w:lang w:val="en-US"/>
        </w:rPr>
      </w:pPr>
      <w:r w:rsidRPr="00FB4EFA">
        <w:rPr>
          <w:lang w:val="en-US"/>
        </w:rPr>
        <w:t>Spatial scenes</w:t>
      </w:r>
    </w:p>
    <w:p w14:paraId="661590A5" w14:textId="3166A275" w:rsidR="00092304" w:rsidRPr="00FB4EFA" w:rsidRDefault="00092304" w:rsidP="00402EF4">
      <w:pPr>
        <w:rPr>
          <w:lang w:val="en-US"/>
        </w:rPr>
      </w:pPr>
      <w:r w:rsidRPr="00FB4EFA">
        <w:rPr>
          <w:lang w:val="en-US"/>
        </w:rPr>
        <w:t xml:space="preserve">When a speaker wants to describe an object located in a scene, s/he uses spatial expressions. The object placed in the scene is termed </w:t>
      </w:r>
      <w:r w:rsidRPr="00FB4EFA">
        <w:rPr>
          <w:smallCaps/>
          <w:lang w:val="en-US"/>
        </w:rPr>
        <w:t>figure</w:t>
      </w:r>
      <w:r w:rsidRPr="00FB4EFA">
        <w:rPr>
          <w:lang w:val="en-US"/>
        </w:rPr>
        <w:t xml:space="preserve">. However, the scene may also contain other objects. The object which serves to describe the location of the </w:t>
      </w:r>
      <w:r w:rsidRPr="00FB4EFA">
        <w:rPr>
          <w:smallCaps/>
          <w:lang w:val="en-US"/>
        </w:rPr>
        <w:t>figure</w:t>
      </w:r>
      <w:r w:rsidRPr="00FB4EFA">
        <w:rPr>
          <w:lang w:val="en-US"/>
        </w:rPr>
        <w:t xml:space="preserve"> is called the reference object, or </w:t>
      </w:r>
      <w:r w:rsidRPr="00FB4EFA">
        <w:rPr>
          <w:smallCaps/>
          <w:lang w:val="en-US"/>
        </w:rPr>
        <w:t>ground</w:t>
      </w:r>
      <w:r w:rsidRPr="00FB4EFA">
        <w:rPr>
          <w:lang w:val="en-US"/>
        </w:rPr>
        <w:t xml:space="preserve"> (Talmy 1983: 102; 2000: 101). The </w:t>
      </w:r>
      <w:r w:rsidRPr="00FB4EFA">
        <w:rPr>
          <w:smallCaps/>
          <w:lang w:val="en-US"/>
        </w:rPr>
        <w:t>ground</w:t>
      </w:r>
      <w:r w:rsidRPr="00FB4EFA">
        <w:rPr>
          <w:lang w:val="en-US"/>
        </w:rPr>
        <w:t xml:space="preserve"> can also be related to another, secondary reference object, which is not necessarily expressed lexically in the clause, but only implied. Thus, there are two types of secondary reference object</w:t>
      </w:r>
      <w:r w:rsidR="00560B47" w:rsidRPr="00FB4EFA">
        <w:rPr>
          <w:lang w:val="en-US"/>
        </w:rPr>
        <w:t>s</w:t>
      </w:r>
      <w:r w:rsidRPr="00FB4EFA">
        <w:rPr>
          <w:lang w:val="en-US"/>
        </w:rPr>
        <w:t xml:space="preserve">: encompassive and external. The third component of the spatial scene is the reference frame, which specifies how the </w:t>
      </w:r>
      <w:r w:rsidRPr="00FB4EFA">
        <w:rPr>
          <w:smallCaps/>
          <w:lang w:val="en-US"/>
        </w:rPr>
        <w:t>figure</w:t>
      </w:r>
      <w:r w:rsidRPr="00FB4EFA">
        <w:rPr>
          <w:lang w:val="en-US"/>
        </w:rPr>
        <w:t xml:space="preserve"> is localized concerning the </w:t>
      </w:r>
      <w:r w:rsidRPr="00FB4EFA">
        <w:rPr>
          <w:smallCaps/>
          <w:lang w:val="en-US"/>
        </w:rPr>
        <w:t>ground</w:t>
      </w:r>
      <w:r w:rsidRPr="00FB4EFA">
        <w:rPr>
          <w:lang w:val="en-US"/>
        </w:rPr>
        <w:t xml:space="preserve">. According to Talmy (2000: 183), the </w:t>
      </w:r>
      <w:r w:rsidRPr="00FB4EFA">
        <w:rPr>
          <w:smallCaps/>
          <w:lang w:val="en-US"/>
        </w:rPr>
        <w:t>figure</w:t>
      </w:r>
      <w:r w:rsidRPr="00FB4EFA">
        <w:rPr>
          <w:lang w:val="en-US"/>
        </w:rPr>
        <w:t xml:space="preserve"> is a smaller, moveable, more dependent entity, which is usually geometrically simpler and more salient than the </w:t>
      </w:r>
      <w:r w:rsidRPr="00FB4EFA">
        <w:rPr>
          <w:smallCaps/>
          <w:lang w:val="en-US"/>
        </w:rPr>
        <w:t>ground</w:t>
      </w:r>
      <w:r w:rsidRPr="00FB4EFA">
        <w:rPr>
          <w:lang w:val="en-US"/>
        </w:rPr>
        <w:t xml:space="preserve">. A bike or a ball is a prototypical </w:t>
      </w:r>
      <w:r w:rsidRPr="00FB4EFA">
        <w:rPr>
          <w:smallCaps/>
          <w:lang w:val="en-US"/>
        </w:rPr>
        <w:t xml:space="preserve">figure, </w:t>
      </w:r>
      <w:r w:rsidRPr="00FB4EFA">
        <w:rPr>
          <w:lang w:val="en-US"/>
        </w:rPr>
        <w:t xml:space="preserve">while a house or church is a prototypical </w:t>
      </w:r>
      <w:r w:rsidRPr="00FB4EFA">
        <w:rPr>
          <w:smallCaps/>
          <w:lang w:val="en-US"/>
        </w:rPr>
        <w:t>ground</w:t>
      </w:r>
      <w:r w:rsidRPr="00FB4EFA">
        <w:rPr>
          <w:lang w:val="en-US"/>
        </w:rPr>
        <w:t>.</w:t>
      </w:r>
    </w:p>
    <w:p w14:paraId="645AE44E" w14:textId="575BA1AF" w:rsidR="00092304" w:rsidRPr="00FB4EFA" w:rsidRDefault="00092304" w:rsidP="00402EF4">
      <w:pPr>
        <w:ind w:firstLine="709"/>
        <w:rPr>
          <w:lang w:val="en-US"/>
        </w:rPr>
      </w:pPr>
      <w:r w:rsidRPr="00FB4EFA">
        <w:rPr>
          <w:lang w:val="en-US"/>
        </w:rPr>
        <w:t xml:space="preserve">There are two different approaches to the frame of reference of </w:t>
      </w:r>
      <w:r w:rsidR="00560B47" w:rsidRPr="00FB4EFA">
        <w:rPr>
          <w:lang w:val="en-US"/>
        </w:rPr>
        <w:t xml:space="preserve">spatial </w:t>
      </w:r>
      <w:r w:rsidRPr="00FB4EFA">
        <w:rPr>
          <w:lang w:val="en-US"/>
        </w:rPr>
        <w:t>expression</w:t>
      </w:r>
      <w:r w:rsidR="00560B47" w:rsidRPr="00FB4EFA">
        <w:rPr>
          <w:lang w:val="en-US"/>
        </w:rPr>
        <w:t>s</w:t>
      </w:r>
      <w:r w:rsidRPr="00FB4EFA">
        <w:rPr>
          <w:lang w:val="en-US"/>
        </w:rPr>
        <w:t>, one elaborated by Levinson (2003) and the other by Talmy (1983, 2000, among others). In this study, I use Talmy’s frames, which show certain differences to Levinson’s system. On the one hand, there are certain terminological differences; on the other hand, Talmy takes movements into account, which do not occur in this form in Levinson’s work. The terminology used by Levinson is given in brackets.</w:t>
      </w:r>
    </w:p>
    <w:p w14:paraId="0DF5606D" w14:textId="0042DFFA" w:rsidR="00092304" w:rsidRPr="00FB4EFA" w:rsidRDefault="00092304" w:rsidP="00AF0CAD">
      <w:pPr>
        <w:spacing w:after="240"/>
        <w:ind w:firstLine="709"/>
        <w:rPr>
          <w:lang w:val="en-US"/>
        </w:rPr>
      </w:pPr>
      <w:r w:rsidRPr="00FB4EFA">
        <w:rPr>
          <w:lang w:val="en-US"/>
        </w:rPr>
        <w:t xml:space="preserve">Talmy (2000: 178–214) identifies four frames of reference found in languages of the world: ground-based, field-based, guidepost-based, and projector-based. The </w:t>
      </w:r>
      <w:r w:rsidRPr="00FB4EFA">
        <w:rPr>
          <w:smallCaps/>
          <w:lang w:val="en-US"/>
        </w:rPr>
        <w:t>ground</w:t>
      </w:r>
      <w:r w:rsidRPr="00FB4EFA">
        <w:rPr>
          <w:lang w:val="en-US"/>
        </w:rPr>
        <w:t xml:space="preserve">-based (also called </w:t>
      </w:r>
      <w:r w:rsidRPr="00FB4EFA">
        <w:rPr>
          <w:i/>
          <w:lang w:val="en-US"/>
        </w:rPr>
        <w:t>intrinsic</w:t>
      </w:r>
      <w:r w:rsidRPr="00FB4EFA">
        <w:rPr>
          <w:lang w:val="en-US"/>
        </w:rPr>
        <w:t xml:space="preserve">) frame is the </w:t>
      </w:r>
      <w:r w:rsidRPr="00FB4EFA">
        <w:rPr>
          <w:lang w:val="en-US"/>
        </w:rPr>
        <w:lastRenderedPageBreak/>
        <w:t xml:space="preserve">simplest; it involves only the primary reference object, as </w:t>
      </w:r>
      <w:r w:rsidR="00560B47" w:rsidRPr="00FB4EFA">
        <w:rPr>
          <w:lang w:val="en-US"/>
        </w:rPr>
        <w:t xml:space="preserve">example </w:t>
      </w:r>
      <w:r w:rsidRPr="00FB4EFA">
        <w:rPr>
          <w:lang w:val="en-US"/>
        </w:rPr>
        <w:t>(1) shows. In th</w:t>
      </w:r>
      <w:r w:rsidR="00CF0C2F" w:rsidRPr="00FB4EFA">
        <w:rPr>
          <w:lang w:val="en-US"/>
        </w:rPr>
        <w:t>is</w:t>
      </w:r>
      <w:r w:rsidRPr="00FB4EFA">
        <w:rPr>
          <w:lang w:val="en-US"/>
        </w:rPr>
        <w:t xml:space="preserve"> example, Simbia is the </w:t>
      </w:r>
      <w:r w:rsidRPr="00FB4EFA">
        <w:rPr>
          <w:smallCaps/>
          <w:lang w:val="en-US"/>
        </w:rPr>
        <w:t xml:space="preserve">figure </w:t>
      </w:r>
      <w:r w:rsidRPr="00FB4EFA">
        <w:rPr>
          <w:lang w:val="en-US"/>
        </w:rPr>
        <w:t>(marked as</w:t>
      </w:r>
      <w:r w:rsidRPr="00FB4EFA">
        <w:rPr>
          <w:smallCaps/>
          <w:lang w:val="en-US"/>
        </w:rPr>
        <w:t xml:space="preserve"> F), </w:t>
      </w:r>
      <w:r w:rsidRPr="00FB4EFA">
        <w:rPr>
          <w:lang w:val="en-US"/>
        </w:rPr>
        <w:t xml:space="preserve">the object that is localized, and the tent is the primary reference object, </w:t>
      </w:r>
      <w:r w:rsidR="00466236" w:rsidRPr="00FB4EFA">
        <w:rPr>
          <w:lang w:val="en-US"/>
        </w:rPr>
        <w:t>i.e., </w:t>
      </w:r>
      <w:r w:rsidRPr="00FB4EFA">
        <w:rPr>
          <w:lang w:val="en-US"/>
        </w:rPr>
        <w:t xml:space="preserve">the </w:t>
      </w:r>
      <w:r w:rsidRPr="00FB4EFA">
        <w:rPr>
          <w:smallCaps/>
          <w:lang w:val="en-US"/>
        </w:rPr>
        <w:t xml:space="preserve">ground </w:t>
      </w:r>
      <w:r w:rsidRPr="00FB4EFA">
        <w:rPr>
          <w:lang w:val="en-US"/>
        </w:rPr>
        <w:t>(marked as</w:t>
      </w:r>
      <w:r w:rsidRPr="00FB4EFA">
        <w:rPr>
          <w:smallCaps/>
          <w:lang w:val="en-US"/>
        </w:rPr>
        <w:t xml:space="preserve"> g)</w:t>
      </w:r>
      <w:r w:rsidRPr="00FB4EFA">
        <w:rPr>
          <w:lang w:val="en-US"/>
        </w:rPr>
        <w:t>.</w:t>
      </w:r>
    </w:p>
    <w:p w14:paraId="1980F224" w14:textId="77777777" w:rsidR="00092304" w:rsidRPr="00FB4EFA" w:rsidRDefault="00092304" w:rsidP="008A7171">
      <w:pPr>
        <w:tabs>
          <w:tab w:val="left" w:pos="709"/>
        </w:tabs>
        <w:spacing w:line="240" w:lineRule="auto"/>
        <w:rPr>
          <w:rFonts w:cs="Charis SIL"/>
          <w:szCs w:val="24"/>
          <w:lang w:val="en-US"/>
        </w:rPr>
      </w:pPr>
      <w:r w:rsidRPr="00FB4EFA">
        <w:rPr>
          <w:rFonts w:cs="Charis SIL"/>
          <w:szCs w:val="24"/>
          <w:lang w:val="en-US"/>
        </w:rPr>
        <w:tab/>
        <w:t>{</w:t>
      </w:r>
      <w:r w:rsidRPr="00FB4EFA">
        <w:rPr>
          <w:rFonts w:cs="Charis SIL"/>
          <w:smallCaps/>
          <w:szCs w:val="24"/>
          <w:lang w:val="en-US"/>
        </w:rPr>
        <w:t>f}</w:t>
      </w:r>
      <w:r w:rsidRPr="00FB4EFA">
        <w:rPr>
          <w:rFonts w:cs="Charis SIL"/>
          <w:smallCaps/>
          <w:szCs w:val="24"/>
          <w:lang w:val="en-US"/>
        </w:rPr>
        <w:tab/>
      </w:r>
      <w:r w:rsidRPr="00FB4EFA">
        <w:rPr>
          <w:rFonts w:cs="Charis SIL"/>
          <w:smallCaps/>
          <w:szCs w:val="24"/>
          <w:lang w:val="en-US"/>
        </w:rPr>
        <w:tab/>
        <w:t>{g}</w:t>
      </w:r>
    </w:p>
    <w:p w14:paraId="02D61FEE" w14:textId="77777777" w:rsidR="00092304" w:rsidRPr="00FB4EFA" w:rsidRDefault="00092304" w:rsidP="00AF0CAD">
      <w:pPr>
        <w:tabs>
          <w:tab w:val="left" w:pos="709"/>
          <w:tab w:val="left" w:pos="5103"/>
        </w:tabs>
        <w:spacing w:line="240" w:lineRule="auto"/>
        <w:rPr>
          <w:rFonts w:cs="Charis SIL"/>
          <w:szCs w:val="24"/>
          <w:lang w:val="en-US"/>
        </w:rPr>
      </w:pPr>
      <w:r w:rsidRPr="00FB4EFA">
        <w:rPr>
          <w:rFonts w:cs="Charis SIL"/>
          <w:szCs w:val="24"/>
          <w:lang w:val="en-US"/>
        </w:rPr>
        <w:t>(1)</w:t>
      </w:r>
      <w:r w:rsidRPr="00FB4EFA">
        <w:rPr>
          <w:rFonts w:cs="Charis SIL"/>
          <w:szCs w:val="24"/>
          <w:lang w:val="en-US"/>
        </w:rPr>
        <w:tab/>
      </w:r>
      <w:r w:rsidRPr="00FB4EFA">
        <w:rPr>
          <w:rFonts w:cs="Charis SIL"/>
          <w:i/>
          <w:szCs w:val="24"/>
          <w:lang w:val="en-US"/>
        </w:rPr>
        <w:t>Simbia is near the tent.</w:t>
      </w:r>
      <w:r w:rsidRPr="00FB4EFA">
        <w:rPr>
          <w:rFonts w:cs="Charis SIL"/>
          <w:szCs w:val="24"/>
          <w:lang w:val="en-US"/>
        </w:rPr>
        <w:t xml:space="preserve"> </w:t>
      </w:r>
      <w:r w:rsidRPr="00FB4EFA">
        <w:rPr>
          <w:rFonts w:cs="Charis SIL"/>
          <w:szCs w:val="24"/>
          <w:lang w:val="en-US"/>
        </w:rPr>
        <w:tab/>
      </w:r>
      <w:r w:rsidRPr="00FB4EFA">
        <w:rPr>
          <w:rFonts w:cs="Charis SIL"/>
          <w:smallCaps/>
          <w:szCs w:val="24"/>
          <w:lang w:val="en-US"/>
        </w:rPr>
        <w:t>ground</w:t>
      </w:r>
      <w:r w:rsidRPr="00FB4EFA">
        <w:rPr>
          <w:rFonts w:cs="Charis SIL"/>
          <w:szCs w:val="24"/>
          <w:lang w:val="en-US"/>
        </w:rPr>
        <w:t>-based</w:t>
      </w:r>
    </w:p>
    <w:p w14:paraId="6B93A08F" w14:textId="17B4EA92" w:rsidR="00092304" w:rsidRPr="00FB4EFA" w:rsidRDefault="00092304" w:rsidP="00AF0CAD">
      <w:pPr>
        <w:spacing w:before="240" w:after="240"/>
        <w:rPr>
          <w:lang w:val="en-US"/>
        </w:rPr>
      </w:pPr>
      <w:r w:rsidRPr="00FB4EFA">
        <w:rPr>
          <w:lang w:val="en-US"/>
        </w:rPr>
        <w:t xml:space="preserve">The other three types of frames involve both primary and secondary reference objects. Sentence (2) is an example of the </w:t>
      </w:r>
      <w:r w:rsidRPr="00FB4EFA">
        <w:rPr>
          <w:smallCaps/>
          <w:lang w:val="en-US"/>
        </w:rPr>
        <w:t>field</w:t>
      </w:r>
      <w:r w:rsidRPr="00FB4EFA">
        <w:rPr>
          <w:lang w:val="en-US"/>
        </w:rPr>
        <w:t xml:space="preserve">-based (also called </w:t>
      </w:r>
      <w:r w:rsidRPr="00FB4EFA">
        <w:rPr>
          <w:i/>
          <w:lang w:val="en-US"/>
        </w:rPr>
        <w:t>absolute</w:t>
      </w:r>
      <w:r w:rsidRPr="00FB4EFA">
        <w:rPr>
          <w:lang w:val="en-US"/>
        </w:rPr>
        <w:t>) reference frame. In this case, there is a fixed point in the cosmo</w:t>
      </w:r>
      <w:r w:rsidR="001C2F6B" w:rsidRPr="00FB4EFA">
        <w:rPr>
          <w:lang w:val="en-US"/>
        </w:rPr>
        <w:t>s</w:t>
      </w:r>
      <w:r w:rsidRPr="00FB4EFA">
        <w:rPr>
          <w:lang w:val="en-US"/>
        </w:rPr>
        <w:t xml:space="preserve"> or landscape, which acts as the secondary reference object. In example (2), the primary reference object (</w:t>
      </w:r>
      <w:r w:rsidRPr="00FB4EFA">
        <w:rPr>
          <w:smallCaps/>
          <w:lang w:val="en-US"/>
        </w:rPr>
        <w:t>ground</w:t>
      </w:r>
      <w:r w:rsidRPr="00FB4EFA">
        <w:rPr>
          <w:lang w:val="en-US"/>
        </w:rPr>
        <w:t xml:space="preserve">) is the </w:t>
      </w:r>
      <w:r w:rsidRPr="00FB4EFA">
        <w:rPr>
          <w:i/>
          <w:lang w:val="en-US"/>
        </w:rPr>
        <w:t>river Avam</w:t>
      </w:r>
      <w:r w:rsidRPr="00FB4EFA">
        <w:rPr>
          <w:lang w:val="en-US"/>
        </w:rPr>
        <w:t xml:space="preserve">. The spatial expression “north of” only implies the secondary reference object, </w:t>
      </w:r>
      <w:r w:rsidR="00466236" w:rsidRPr="00FB4EFA">
        <w:rPr>
          <w:lang w:val="en-US"/>
        </w:rPr>
        <w:t>i.e., </w:t>
      </w:r>
      <w:r w:rsidRPr="00FB4EFA">
        <w:rPr>
          <w:lang w:val="en-US"/>
        </w:rPr>
        <w:t>the Earth. This kind of secondary reference object encompasses the primary reference object.</w:t>
      </w:r>
    </w:p>
    <w:p w14:paraId="19838983" w14:textId="77777777" w:rsidR="00092304" w:rsidRPr="00FB4EFA" w:rsidRDefault="00092304" w:rsidP="008A7171">
      <w:pPr>
        <w:tabs>
          <w:tab w:val="left" w:pos="851"/>
          <w:tab w:val="left" w:pos="2694"/>
        </w:tabs>
        <w:spacing w:line="240" w:lineRule="auto"/>
        <w:rPr>
          <w:rFonts w:cs="Charis SIL"/>
          <w:szCs w:val="24"/>
          <w:lang w:val="en-US"/>
        </w:rPr>
      </w:pPr>
      <w:r w:rsidRPr="00FB4EFA">
        <w:rPr>
          <w:rFonts w:cs="Charis SIL"/>
          <w:szCs w:val="24"/>
          <w:lang w:val="en-US"/>
        </w:rPr>
        <w:tab/>
        <w:t>{</w:t>
      </w:r>
      <w:r w:rsidRPr="00FB4EFA">
        <w:rPr>
          <w:rFonts w:cs="Charis SIL"/>
          <w:smallCaps/>
          <w:szCs w:val="24"/>
          <w:lang w:val="en-US"/>
        </w:rPr>
        <w:t>f</w:t>
      </w:r>
      <w:r w:rsidRPr="00FB4EFA">
        <w:rPr>
          <w:rFonts w:cs="Charis SIL"/>
          <w:szCs w:val="24"/>
          <w:lang w:val="en-US"/>
        </w:rPr>
        <w:t>}</w:t>
      </w:r>
      <w:r w:rsidRPr="00FB4EFA">
        <w:rPr>
          <w:rFonts w:cs="Charis SIL"/>
          <w:szCs w:val="24"/>
          <w:lang w:val="en-US"/>
        </w:rPr>
        <w:tab/>
        <w:t>{</w:t>
      </w:r>
      <w:r w:rsidRPr="00FB4EFA">
        <w:rPr>
          <w:rFonts w:cs="Charis SIL"/>
          <w:smallCaps/>
          <w:szCs w:val="24"/>
          <w:lang w:val="en-US"/>
        </w:rPr>
        <w:t>g</w:t>
      </w:r>
      <w:r w:rsidRPr="00FB4EFA">
        <w:rPr>
          <w:rFonts w:cs="Charis SIL"/>
          <w:szCs w:val="24"/>
          <w:lang w:val="en-US"/>
        </w:rPr>
        <w:t>}</w:t>
      </w:r>
    </w:p>
    <w:p w14:paraId="663F1EDC" w14:textId="77777777" w:rsidR="00092304" w:rsidRPr="00FB4EFA" w:rsidRDefault="00092304" w:rsidP="00AF0CAD">
      <w:pPr>
        <w:tabs>
          <w:tab w:val="left" w:pos="709"/>
          <w:tab w:val="left" w:pos="5103"/>
        </w:tabs>
        <w:spacing w:line="240" w:lineRule="auto"/>
        <w:rPr>
          <w:rFonts w:cs="Charis SIL"/>
          <w:szCs w:val="24"/>
          <w:lang w:val="en-US"/>
        </w:rPr>
      </w:pPr>
      <w:r w:rsidRPr="00FB4EFA">
        <w:rPr>
          <w:rFonts w:cs="Charis SIL"/>
          <w:szCs w:val="24"/>
          <w:lang w:val="en-US"/>
        </w:rPr>
        <w:t>(2)</w:t>
      </w:r>
      <w:r w:rsidRPr="00FB4EFA">
        <w:rPr>
          <w:rFonts w:cs="Charis SIL"/>
          <w:szCs w:val="24"/>
          <w:lang w:val="en-US"/>
        </w:rPr>
        <w:tab/>
      </w:r>
      <w:r w:rsidRPr="00FB4EFA">
        <w:rPr>
          <w:rFonts w:cs="Charis SIL"/>
          <w:i/>
          <w:szCs w:val="24"/>
          <w:lang w:val="en-US"/>
        </w:rPr>
        <w:t>The sled is north of the river Avam.</w:t>
      </w:r>
      <w:r w:rsidRPr="00FB4EFA">
        <w:rPr>
          <w:rFonts w:cs="Charis SIL"/>
          <w:i/>
          <w:szCs w:val="24"/>
          <w:lang w:val="en-US"/>
        </w:rPr>
        <w:tab/>
      </w:r>
      <w:r w:rsidRPr="00FB4EFA">
        <w:rPr>
          <w:rFonts w:cs="Charis SIL"/>
          <w:smallCaps/>
          <w:szCs w:val="24"/>
          <w:lang w:val="en-US"/>
        </w:rPr>
        <w:t>field</w:t>
      </w:r>
      <w:r w:rsidRPr="00FB4EFA">
        <w:rPr>
          <w:rFonts w:cs="Charis SIL"/>
          <w:szCs w:val="24"/>
          <w:lang w:val="en-US"/>
        </w:rPr>
        <w:t>-based</w:t>
      </w:r>
    </w:p>
    <w:p w14:paraId="1E8FC793" w14:textId="77777777" w:rsidR="00092304" w:rsidRPr="00FB4EFA" w:rsidRDefault="00092304" w:rsidP="00402EF4">
      <w:pPr>
        <w:spacing w:before="240" w:after="240"/>
        <w:rPr>
          <w:lang w:val="en-US"/>
        </w:rPr>
      </w:pPr>
      <w:r w:rsidRPr="00FB4EFA">
        <w:rPr>
          <w:lang w:val="en-US"/>
        </w:rPr>
        <w:t xml:space="preserve">The </w:t>
      </w:r>
      <w:r w:rsidRPr="00FB4EFA">
        <w:rPr>
          <w:smallCaps/>
          <w:lang w:val="en-US"/>
        </w:rPr>
        <w:t>guidepost</w:t>
      </w:r>
      <w:r w:rsidRPr="00FB4EFA">
        <w:rPr>
          <w:lang w:val="en-US"/>
        </w:rPr>
        <w:t>-based frame (not present in Levinson’s categorization) involves a so-called non-projective external secondary reference object. Such an object does not have any projection either since it is a punctual entity, or its projection is not used for localization. The speaker can often function as an external non-projective reference object just like in example (3). The “this side” of the tent is determined concerning the speaker’s location, but the reference frame is not projected from the speaker. The speaker is external to the primary reference object (tent) and acts as a guidepost.</w:t>
      </w:r>
    </w:p>
    <w:p w14:paraId="0CE80A3A" w14:textId="77777777" w:rsidR="00092304" w:rsidRPr="00FB4EFA" w:rsidRDefault="00092304" w:rsidP="008A7171">
      <w:pPr>
        <w:tabs>
          <w:tab w:val="left" w:pos="700"/>
          <w:tab w:val="left" w:pos="3261"/>
        </w:tabs>
        <w:spacing w:line="240" w:lineRule="auto"/>
        <w:rPr>
          <w:rFonts w:cs="Charis SIL"/>
          <w:szCs w:val="24"/>
          <w:lang w:val="en-US"/>
        </w:rPr>
      </w:pPr>
      <w:r w:rsidRPr="00FB4EFA">
        <w:rPr>
          <w:rFonts w:cs="Charis SIL"/>
          <w:szCs w:val="24"/>
          <w:lang w:val="en-US"/>
        </w:rPr>
        <w:tab/>
        <w:t>{</w:t>
      </w:r>
      <w:r w:rsidRPr="00FB4EFA">
        <w:rPr>
          <w:rFonts w:cs="Charis SIL"/>
          <w:smallCaps/>
          <w:szCs w:val="24"/>
          <w:lang w:val="en-US"/>
        </w:rPr>
        <w:t>f</w:t>
      </w:r>
      <w:r w:rsidRPr="00FB4EFA">
        <w:rPr>
          <w:rFonts w:cs="Charis SIL"/>
          <w:szCs w:val="24"/>
          <w:lang w:val="en-US"/>
        </w:rPr>
        <w:t>}</w:t>
      </w:r>
      <w:r w:rsidRPr="00FB4EFA">
        <w:rPr>
          <w:rFonts w:cs="Charis SIL"/>
          <w:szCs w:val="24"/>
          <w:lang w:val="en-US"/>
        </w:rPr>
        <w:tab/>
        <w:t>{</w:t>
      </w:r>
      <w:r w:rsidRPr="00FB4EFA">
        <w:rPr>
          <w:rFonts w:cs="Charis SIL"/>
          <w:smallCaps/>
          <w:szCs w:val="24"/>
          <w:lang w:val="en-US"/>
        </w:rPr>
        <w:t>g</w:t>
      </w:r>
      <w:r w:rsidRPr="00FB4EFA">
        <w:rPr>
          <w:rFonts w:cs="Charis SIL"/>
          <w:szCs w:val="24"/>
          <w:lang w:val="en-US"/>
        </w:rPr>
        <w:t>}</w:t>
      </w:r>
    </w:p>
    <w:p w14:paraId="3CDD12E9" w14:textId="77777777" w:rsidR="00092304" w:rsidRPr="00FB4EFA" w:rsidRDefault="00092304" w:rsidP="00AF0CAD">
      <w:pPr>
        <w:tabs>
          <w:tab w:val="left" w:pos="709"/>
          <w:tab w:val="left" w:pos="5103"/>
          <w:tab w:val="left" w:pos="7088"/>
        </w:tabs>
        <w:spacing w:line="240" w:lineRule="auto"/>
        <w:rPr>
          <w:rFonts w:cs="Charis SIL"/>
          <w:szCs w:val="24"/>
          <w:lang w:val="en-US"/>
        </w:rPr>
      </w:pPr>
      <w:r w:rsidRPr="00FB4EFA">
        <w:rPr>
          <w:rFonts w:cs="Charis SIL"/>
          <w:szCs w:val="24"/>
          <w:lang w:val="en-US"/>
        </w:rPr>
        <w:t>(3)</w:t>
      </w:r>
      <w:r w:rsidRPr="00FB4EFA">
        <w:rPr>
          <w:rFonts w:cs="Charis SIL"/>
          <w:szCs w:val="24"/>
          <w:lang w:val="en-US"/>
        </w:rPr>
        <w:tab/>
      </w:r>
      <w:r w:rsidRPr="00FB4EFA">
        <w:rPr>
          <w:rFonts w:cs="Charis SIL"/>
          <w:i/>
          <w:szCs w:val="24"/>
          <w:lang w:val="en-US"/>
        </w:rPr>
        <w:t>Kurumaku is on this side of the tent</w:t>
      </w:r>
      <w:r w:rsidRPr="00FB4EFA">
        <w:rPr>
          <w:rFonts w:cs="Charis SIL"/>
          <w:szCs w:val="24"/>
          <w:lang w:val="en-US"/>
        </w:rPr>
        <w:t>.</w:t>
      </w:r>
      <w:r w:rsidRPr="00FB4EFA">
        <w:rPr>
          <w:rFonts w:cs="Charis SIL"/>
          <w:szCs w:val="24"/>
          <w:lang w:val="en-US"/>
        </w:rPr>
        <w:tab/>
      </w:r>
      <w:r w:rsidRPr="00FB4EFA">
        <w:rPr>
          <w:rFonts w:cs="Charis SIL"/>
          <w:smallCaps/>
          <w:szCs w:val="24"/>
          <w:lang w:val="en-US"/>
        </w:rPr>
        <w:t>guidepost</w:t>
      </w:r>
      <w:r w:rsidRPr="00FB4EFA">
        <w:rPr>
          <w:rFonts w:cs="Charis SIL"/>
          <w:szCs w:val="24"/>
          <w:lang w:val="en-US"/>
        </w:rPr>
        <w:t>-based</w:t>
      </w:r>
    </w:p>
    <w:p w14:paraId="082B4532" w14:textId="12B52F31" w:rsidR="00092304" w:rsidRPr="00FB4EFA" w:rsidRDefault="00092304" w:rsidP="00AF0CAD">
      <w:pPr>
        <w:spacing w:before="240" w:after="240"/>
        <w:rPr>
          <w:lang w:val="en-US"/>
        </w:rPr>
      </w:pPr>
      <w:r w:rsidRPr="00FB4EFA">
        <w:rPr>
          <w:lang w:val="en-US"/>
        </w:rPr>
        <w:t xml:space="preserve">The last type is the </w:t>
      </w:r>
      <w:r w:rsidRPr="00FB4EFA">
        <w:rPr>
          <w:smallCaps/>
          <w:lang w:val="en-US"/>
        </w:rPr>
        <w:t>projector-</w:t>
      </w:r>
      <w:r w:rsidRPr="00FB4EFA">
        <w:rPr>
          <w:lang w:val="en-US"/>
        </w:rPr>
        <w:t xml:space="preserve">based (also called </w:t>
      </w:r>
      <w:r w:rsidRPr="00FB4EFA">
        <w:rPr>
          <w:i/>
          <w:lang w:val="en-US"/>
        </w:rPr>
        <w:t>relative</w:t>
      </w:r>
      <w:r w:rsidRPr="00FB4EFA">
        <w:rPr>
          <w:lang w:val="en-US"/>
        </w:rPr>
        <w:t xml:space="preserve">) frame. This frame also involves an external secondary reference object, which is typically (but not exclusively) animate, </w:t>
      </w:r>
      <w:r w:rsidR="001C2F6B" w:rsidRPr="00FB4EFA">
        <w:rPr>
          <w:lang w:val="en-US"/>
        </w:rPr>
        <w:t xml:space="preserve">and </w:t>
      </w:r>
      <w:r w:rsidRPr="00FB4EFA">
        <w:rPr>
          <w:lang w:val="en-US"/>
        </w:rPr>
        <w:t xml:space="preserve">whose location and orientation function as a frame of reference. Usually, the speaker serves as the source of the projection. For instance, in example (4) one needs both the location </w:t>
      </w:r>
      <w:r w:rsidRPr="00FB4EFA">
        <w:rPr>
          <w:lang w:val="en-US"/>
        </w:rPr>
        <w:lastRenderedPageBreak/>
        <w:t xml:space="preserve">of the speaker and his/her orientation towards the tent to determine which side is the </w:t>
      </w:r>
      <w:r w:rsidRPr="00FB4EFA">
        <w:rPr>
          <w:smallCaps/>
          <w:lang w:val="en-US"/>
        </w:rPr>
        <w:t>left</w:t>
      </w:r>
      <w:r w:rsidRPr="00FB4EFA">
        <w:rPr>
          <w:lang w:val="en-US"/>
        </w:rPr>
        <w:t xml:space="preserve"> side of the tent. In the example, the </w:t>
      </w:r>
      <w:r w:rsidRPr="00FB4EFA">
        <w:rPr>
          <w:smallCaps/>
          <w:lang w:val="en-US"/>
        </w:rPr>
        <w:t>figure</w:t>
      </w:r>
      <w:r w:rsidRPr="00FB4EFA">
        <w:rPr>
          <w:lang w:val="en-US"/>
        </w:rPr>
        <w:t xml:space="preserve"> is the sled, the </w:t>
      </w:r>
      <w:r w:rsidRPr="00FB4EFA">
        <w:rPr>
          <w:smallCaps/>
          <w:lang w:val="en-US"/>
        </w:rPr>
        <w:t>ground</w:t>
      </w:r>
      <w:r w:rsidRPr="00FB4EFA">
        <w:rPr>
          <w:lang w:val="en-US"/>
        </w:rPr>
        <w:t xml:space="preserve"> is the tent, and the reference frame is projected by the speaker, who is the external secondary reference object.</w:t>
      </w:r>
    </w:p>
    <w:p w14:paraId="7F0A4CC0" w14:textId="77777777" w:rsidR="00092304" w:rsidRPr="00FB4EFA" w:rsidRDefault="00092304" w:rsidP="008A7171">
      <w:pPr>
        <w:tabs>
          <w:tab w:val="left" w:pos="709"/>
          <w:tab w:val="left" w:pos="2552"/>
        </w:tabs>
        <w:spacing w:line="240" w:lineRule="auto"/>
        <w:rPr>
          <w:rFonts w:cs="Charis SIL"/>
          <w:szCs w:val="24"/>
          <w:lang w:val="en-US"/>
        </w:rPr>
      </w:pPr>
      <w:r w:rsidRPr="00FB4EFA">
        <w:rPr>
          <w:rFonts w:cs="Charis SIL"/>
          <w:szCs w:val="24"/>
          <w:lang w:val="en-US"/>
        </w:rPr>
        <w:tab/>
        <w:t>{</w:t>
      </w:r>
      <w:r w:rsidRPr="00FB4EFA">
        <w:rPr>
          <w:rFonts w:cs="Charis SIL"/>
          <w:smallCaps/>
          <w:szCs w:val="24"/>
          <w:lang w:val="en-US"/>
        </w:rPr>
        <w:t>f</w:t>
      </w:r>
      <w:r w:rsidRPr="00FB4EFA">
        <w:rPr>
          <w:rFonts w:cs="Charis SIL"/>
          <w:szCs w:val="24"/>
          <w:lang w:val="en-US"/>
        </w:rPr>
        <w:t>}</w:t>
      </w:r>
      <w:r w:rsidRPr="00FB4EFA">
        <w:rPr>
          <w:rFonts w:cs="Charis SIL"/>
          <w:szCs w:val="24"/>
          <w:lang w:val="en-US"/>
        </w:rPr>
        <w:tab/>
        <w:t>{</w:t>
      </w:r>
      <w:r w:rsidRPr="00FB4EFA">
        <w:rPr>
          <w:rFonts w:cs="Charis SIL"/>
          <w:smallCaps/>
          <w:szCs w:val="24"/>
          <w:lang w:val="en-US"/>
        </w:rPr>
        <w:t>g</w:t>
      </w:r>
      <w:r w:rsidRPr="00FB4EFA">
        <w:rPr>
          <w:rFonts w:cs="Charis SIL"/>
          <w:szCs w:val="24"/>
          <w:lang w:val="en-US"/>
        </w:rPr>
        <w:t>}</w:t>
      </w:r>
    </w:p>
    <w:p w14:paraId="492F6DCA" w14:textId="77777777" w:rsidR="00092304" w:rsidRPr="00FB4EFA" w:rsidRDefault="00092304" w:rsidP="00AF0CAD">
      <w:pPr>
        <w:tabs>
          <w:tab w:val="left" w:pos="709"/>
          <w:tab w:val="left" w:pos="5103"/>
          <w:tab w:val="left" w:pos="7513"/>
        </w:tabs>
        <w:spacing w:line="240" w:lineRule="auto"/>
        <w:rPr>
          <w:rFonts w:cs="Charis SIL"/>
          <w:szCs w:val="24"/>
          <w:lang w:val="en-US"/>
        </w:rPr>
      </w:pPr>
      <w:r w:rsidRPr="00FB4EFA">
        <w:rPr>
          <w:rFonts w:cs="Charis SIL"/>
          <w:szCs w:val="24"/>
          <w:lang w:val="en-US"/>
        </w:rPr>
        <w:t>(4)</w:t>
      </w:r>
      <w:r w:rsidRPr="00FB4EFA">
        <w:rPr>
          <w:rFonts w:cs="Charis SIL"/>
          <w:szCs w:val="24"/>
          <w:lang w:val="en-US"/>
        </w:rPr>
        <w:tab/>
      </w:r>
      <w:r w:rsidRPr="00FB4EFA">
        <w:rPr>
          <w:rFonts w:cs="Charis SIL"/>
          <w:i/>
          <w:szCs w:val="24"/>
          <w:lang w:val="en-US"/>
        </w:rPr>
        <w:t>The sled is to the left of the tent.</w:t>
      </w:r>
      <w:r w:rsidRPr="00FB4EFA">
        <w:rPr>
          <w:rFonts w:cs="Charis SIL"/>
          <w:i/>
          <w:szCs w:val="24"/>
          <w:lang w:val="en-US"/>
        </w:rPr>
        <w:tab/>
      </w:r>
      <w:r w:rsidRPr="00FB4EFA">
        <w:rPr>
          <w:rFonts w:cs="Charis SIL"/>
          <w:smallCaps/>
          <w:szCs w:val="24"/>
          <w:lang w:val="en-US"/>
        </w:rPr>
        <w:t>projector</w:t>
      </w:r>
      <w:r w:rsidRPr="00FB4EFA">
        <w:rPr>
          <w:rFonts w:cs="Charis SIL"/>
          <w:szCs w:val="24"/>
          <w:lang w:val="en-US"/>
        </w:rPr>
        <w:noBreakHyphen/>
        <w:t>based</w:t>
      </w:r>
    </w:p>
    <w:p w14:paraId="3B93CAF4" w14:textId="006DA059" w:rsidR="00092304" w:rsidRPr="00FB4EFA" w:rsidRDefault="00092304" w:rsidP="00AF0CAD">
      <w:pPr>
        <w:spacing w:before="240" w:after="240"/>
        <w:rPr>
          <w:lang w:val="en-US"/>
        </w:rPr>
      </w:pPr>
      <w:r w:rsidRPr="00FB4EFA">
        <w:rPr>
          <w:lang w:val="en-US"/>
        </w:rPr>
        <w:t xml:space="preserve">The expressions of the concepts </w:t>
      </w:r>
      <w:r w:rsidRPr="00FB4EFA">
        <w:rPr>
          <w:smallCaps/>
          <w:lang w:val="en-US"/>
        </w:rPr>
        <w:t>left</w:t>
      </w:r>
      <w:r w:rsidRPr="00FB4EFA">
        <w:rPr>
          <w:lang w:val="en-US"/>
        </w:rPr>
        <w:t xml:space="preserve"> and </w:t>
      </w:r>
      <w:r w:rsidRPr="00FB4EFA">
        <w:rPr>
          <w:smallCaps/>
          <w:lang w:val="en-US"/>
        </w:rPr>
        <w:t>right</w:t>
      </w:r>
      <w:r w:rsidRPr="00FB4EFA">
        <w:rPr>
          <w:lang w:val="en-US"/>
        </w:rPr>
        <w:t xml:space="preserve"> are </w:t>
      </w:r>
      <w:r w:rsidRPr="00FB4EFA">
        <w:rPr>
          <w:smallCaps/>
          <w:lang w:val="en-US"/>
        </w:rPr>
        <w:t>projector</w:t>
      </w:r>
      <w:r w:rsidRPr="00FB4EFA">
        <w:rPr>
          <w:lang w:val="en-US"/>
        </w:rPr>
        <w:t xml:space="preserve">-based in many languages and use the so-called </w:t>
      </w:r>
      <w:r w:rsidRPr="00FB4EFA">
        <w:rPr>
          <w:smallCaps/>
          <w:lang w:val="en-US"/>
        </w:rPr>
        <w:t>speaker</w:t>
      </w:r>
      <w:r w:rsidRPr="00FB4EFA">
        <w:rPr>
          <w:lang w:val="en-US"/>
        </w:rPr>
        <w:t xml:space="preserve">-based system, in which the speaker projects their own body onto the entity. According to Talmy’s definition, the </w:t>
      </w:r>
      <w:r w:rsidRPr="00FB4EFA">
        <w:rPr>
          <w:smallCaps/>
          <w:lang w:val="en-US"/>
        </w:rPr>
        <w:t>speaker</w:t>
      </w:r>
      <w:r w:rsidRPr="00FB4EFA">
        <w:rPr>
          <w:lang w:val="en-US"/>
        </w:rPr>
        <w:t xml:space="preserve">-based system also “can use the speaker as a nonprojective landmark in a guidepost-based system for localizing a Figure as in </w:t>
      </w:r>
      <w:r w:rsidRPr="00FB4EFA">
        <w:rPr>
          <w:i/>
          <w:lang w:val="en-US"/>
        </w:rPr>
        <w:t>The bike is this side of the silo.”</w:t>
      </w:r>
      <w:r w:rsidRPr="00FB4EFA">
        <w:rPr>
          <w:lang w:val="en-US"/>
        </w:rPr>
        <w:t xml:space="preserve"> (Talmy 2000: 213). However, as we will see in </w:t>
      </w:r>
      <w:r w:rsidR="00DE7479" w:rsidRPr="00FB4EFA">
        <w:rPr>
          <w:lang w:val="en-US"/>
        </w:rPr>
        <w:t>S</w:t>
      </w:r>
      <w:r w:rsidRPr="00FB4EFA">
        <w:rPr>
          <w:lang w:val="en-US"/>
        </w:rPr>
        <w:t xml:space="preserve">ection 2, this is not true for all cases in Nganasan, which also uses the </w:t>
      </w:r>
      <w:r w:rsidRPr="00FB4EFA">
        <w:rPr>
          <w:smallCaps/>
          <w:lang w:val="en-US"/>
        </w:rPr>
        <w:t>field</w:t>
      </w:r>
      <w:r w:rsidRPr="00FB4EFA">
        <w:rPr>
          <w:lang w:val="en-US"/>
        </w:rPr>
        <w:t>-</w:t>
      </w:r>
      <w:r w:rsidRPr="00FB4EFA">
        <w:rPr>
          <w:smallCaps/>
          <w:lang w:val="en-US"/>
        </w:rPr>
        <w:t>based</w:t>
      </w:r>
      <w:r w:rsidRPr="00FB4EFA">
        <w:rPr>
          <w:lang w:val="en-US"/>
        </w:rPr>
        <w:t xml:space="preserve"> frame to express the concept </w:t>
      </w:r>
      <w:r w:rsidRPr="00FB4EFA">
        <w:rPr>
          <w:smallCaps/>
          <w:lang w:val="en-US"/>
        </w:rPr>
        <w:t xml:space="preserve">left/right </w:t>
      </w:r>
      <w:r w:rsidRPr="00FB4EFA">
        <w:rPr>
          <w:lang w:val="en-US"/>
        </w:rPr>
        <w:t xml:space="preserve">(see </w:t>
      </w:r>
      <w:r w:rsidR="00DE7479" w:rsidRPr="00FB4EFA">
        <w:rPr>
          <w:lang w:val="en-US"/>
        </w:rPr>
        <w:t>S</w:t>
      </w:r>
      <w:r w:rsidRPr="00FB4EFA">
        <w:rPr>
          <w:lang w:val="en-US"/>
        </w:rPr>
        <w:t>ection 2.2). Figure 2 summarizes the reference frames described by Talmy. The categories used by Levinson (2003: 40) are given in brackets.</w:t>
      </w:r>
    </w:p>
    <w:p w14:paraId="2FDDD40C" w14:textId="77777777" w:rsidR="00092304" w:rsidRPr="00FB4EFA" w:rsidRDefault="00092304" w:rsidP="00402EF4">
      <w:pPr>
        <w:tabs>
          <w:tab w:val="left" w:pos="567"/>
          <w:tab w:val="left" w:pos="7513"/>
        </w:tabs>
        <w:jc w:val="center"/>
        <w:rPr>
          <w:rFonts w:cs="Charis SIL"/>
          <w:szCs w:val="24"/>
          <w:lang w:val="en-US"/>
        </w:rPr>
      </w:pPr>
      <w:r w:rsidRPr="00FB4EFA">
        <w:rPr>
          <w:noProof/>
          <w:szCs w:val="24"/>
          <w:lang w:val="de-DE" w:eastAsia="de-DE"/>
        </w:rPr>
        <w:drawing>
          <wp:inline distT="0" distB="0" distL="0" distR="0" wp14:anchorId="378EB968" wp14:editId="796B9183">
            <wp:extent cx="4387850" cy="1775460"/>
            <wp:effectExtent l="0" t="0" r="0" b="0"/>
            <wp:docPr id="35" name="Picture 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387850" cy="1775460"/>
                    </a:xfrm>
                    <a:prstGeom prst="rect">
                      <a:avLst/>
                    </a:prstGeom>
                    <a:noFill/>
                    <a:ln>
                      <a:noFill/>
                    </a:ln>
                  </pic:spPr>
                </pic:pic>
              </a:graphicData>
            </a:graphic>
          </wp:inline>
        </w:drawing>
      </w:r>
    </w:p>
    <w:p w14:paraId="6C1CAF4B" w14:textId="77777777" w:rsidR="00092304" w:rsidRPr="00FB4EFA" w:rsidRDefault="00092304" w:rsidP="00AC1192">
      <w:pPr>
        <w:tabs>
          <w:tab w:val="left" w:pos="567"/>
          <w:tab w:val="left" w:pos="7513"/>
        </w:tabs>
        <w:suppressAutoHyphens/>
        <w:spacing w:before="120" w:after="240"/>
        <w:jc w:val="center"/>
        <w:rPr>
          <w:rFonts w:cs="Charis SIL"/>
          <w:sz w:val="18"/>
          <w:szCs w:val="20"/>
          <w:lang w:val="en-US"/>
        </w:rPr>
      </w:pPr>
      <w:r w:rsidRPr="00FB4EFA">
        <w:rPr>
          <w:rFonts w:cs="Charis SIL"/>
          <w:b/>
          <w:bCs/>
          <w:sz w:val="18"/>
          <w:szCs w:val="20"/>
          <w:lang w:val="en-US"/>
        </w:rPr>
        <w:t>Figure 2</w:t>
      </w:r>
      <w:r w:rsidRPr="00FB4EFA">
        <w:rPr>
          <w:rFonts w:cs="Charis SIL"/>
          <w:sz w:val="18"/>
          <w:szCs w:val="20"/>
          <w:lang w:val="en-US"/>
        </w:rPr>
        <w:t>. Reference frames according to Talmy (Talmy 2000: 213)</w:t>
      </w:r>
    </w:p>
    <w:p w14:paraId="237DAF68" w14:textId="502102DC" w:rsidR="00092304" w:rsidRPr="00FB4EFA" w:rsidRDefault="00092304" w:rsidP="00AF0CAD">
      <w:pPr>
        <w:pStyle w:val="Heading3"/>
        <w:numPr>
          <w:ilvl w:val="1"/>
          <w:numId w:val="21"/>
        </w:numPr>
        <w:spacing w:line="259" w:lineRule="auto"/>
        <w:rPr>
          <w:lang w:val="en-US"/>
        </w:rPr>
      </w:pPr>
      <w:r w:rsidRPr="00FB4EFA">
        <w:rPr>
          <w:lang w:val="en-US"/>
        </w:rPr>
        <w:t>Data used in this study</w:t>
      </w:r>
    </w:p>
    <w:p w14:paraId="27BEF6A2" w14:textId="035053A9" w:rsidR="00092304" w:rsidRPr="00FB4EFA" w:rsidRDefault="00092304" w:rsidP="00AF0CAD">
      <w:pPr>
        <w:spacing w:after="240"/>
        <w:rPr>
          <w:lang w:val="en-US"/>
        </w:rPr>
      </w:pPr>
      <w:r w:rsidRPr="00FB4EFA">
        <w:rPr>
          <w:lang w:val="en-US"/>
        </w:rPr>
        <w:t xml:space="preserve">This study is based on two important sources: the Nganasan-Russian-Nganasan school dictionary (Kosterkina et al. 2001), </w:t>
      </w:r>
      <w:r w:rsidRPr="00FB4EFA">
        <w:rPr>
          <w:rFonts w:cs="Charis SIL"/>
          <w:szCs w:val="24"/>
          <w:lang w:val="en-US"/>
        </w:rPr>
        <w:t>from which the basic terms were extracted and checked</w:t>
      </w:r>
      <w:r w:rsidR="00DC496E" w:rsidRPr="00FB4EFA">
        <w:rPr>
          <w:rFonts w:cs="Charis SIL"/>
          <w:szCs w:val="24"/>
          <w:lang w:val="en-US"/>
        </w:rPr>
        <w:t>, and</w:t>
      </w:r>
      <w:r w:rsidRPr="00FB4EFA">
        <w:rPr>
          <w:rFonts w:cs="Charis SIL"/>
          <w:szCs w:val="24"/>
          <w:lang w:val="en-US"/>
        </w:rPr>
        <w:t xml:space="preserve"> </w:t>
      </w:r>
      <w:r w:rsidRPr="00FB4EFA">
        <w:rPr>
          <w:lang w:val="en-US"/>
        </w:rPr>
        <w:t xml:space="preserve">an extended version of the </w:t>
      </w:r>
      <w:r w:rsidRPr="00FB4EFA">
        <w:rPr>
          <w:i/>
          <w:lang w:val="en-US"/>
        </w:rPr>
        <w:t>Nganasan Spoken Language Corpus</w:t>
      </w:r>
      <w:r w:rsidRPr="00FB4EFA">
        <w:rPr>
          <w:lang w:val="en-US"/>
        </w:rPr>
        <w:t xml:space="preserve">. This version contains 11 transcripts (about 1,000 utterances) more than the already published version </w:t>
      </w:r>
      <w:r w:rsidRPr="00FB4EFA">
        <w:rPr>
          <w:lang w:val="en-US"/>
        </w:rPr>
        <w:lastRenderedPageBreak/>
        <w:t xml:space="preserve">(Brykina et al. 2018). Prokofiev collected the earliest transcript in this corpus in 1933. The latest transcripts were collected in 2019 during fieldwork sessions with two speakers. Part of </w:t>
      </w:r>
      <w:r w:rsidRPr="00FB4EFA">
        <w:rPr>
          <w:rFonts w:cs="Charis SIL"/>
          <w:szCs w:val="24"/>
          <w:lang w:val="en-US"/>
        </w:rPr>
        <w:t>the new texts are the so-called self-recordings of these two speakers.</w:t>
      </w:r>
      <w:r w:rsidRPr="00FB4EFA">
        <w:rPr>
          <w:lang w:val="en-US"/>
        </w:rPr>
        <w:t xml:space="preserve"> Table (1) gives the basic information about the extended corpus.</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2972"/>
        <w:gridCol w:w="1134"/>
      </w:tblGrid>
      <w:tr w:rsidR="00FB4EFA" w:rsidRPr="00FB4EFA" w14:paraId="644F6043" w14:textId="77777777" w:rsidTr="00FC2B6B">
        <w:trPr>
          <w:jc w:val="center"/>
        </w:trPr>
        <w:tc>
          <w:tcPr>
            <w:tcW w:w="2972" w:type="dxa"/>
          </w:tcPr>
          <w:p w14:paraId="64087420" w14:textId="77777777" w:rsidR="00092304" w:rsidRPr="00FB4EFA" w:rsidRDefault="00092304" w:rsidP="00863238">
            <w:pPr>
              <w:keepNext/>
              <w:spacing w:line="240" w:lineRule="auto"/>
              <w:rPr>
                <w:rFonts w:cs="Charis SIL"/>
                <w:szCs w:val="24"/>
                <w:lang w:val="en-US"/>
              </w:rPr>
            </w:pPr>
            <w:r w:rsidRPr="00FB4EFA">
              <w:rPr>
                <w:rFonts w:cs="Charis SIL"/>
                <w:szCs w:val="24"/>
                <w:lang w:val="en-US"/>
              </w:rPr>
              <w:t>Number of utterances:</w:t>
            </w:r>
          </w:p>
        </w:tc>
        <w:tc>
          <w:tcPr>
            <w:tcW w:w="1134" w:type="dxa"/>
          </w:tcPr>
          <w:p w14:paraId="335BD035" w14:textId="77777777" w:rsidR="00092304" w:rsidRPr="00FB4EFA" w:rsidRDefault="00092304" w:rsidP="00863238">
            <w:pPr>
              <w:keepNext/>
              <w:spacing w:line="240" w:lineRule="auto"/>
              <w:jc w:val="right"/>
              <w:rPr>
                <w:rFonts w:cs="Charis SIL"/>
                <w:szCs w:val="24"/>
                <w:lang w:val="en-US"/>
              </w:rPr>
            </w:pPr>
            <w:r w:rsidRPr="00FB4EFA">
              <w:rPr>
                <w:rFonts w:cs="Charis SIL"/>
                <w:szCs w:val="24"/>
                <w:lang w:val="en-US"/>
              </w:rPr>
              <w:t>23,865</w:t>
            </w:r>
          </w:p>
        </w:tc>
      </w:tr>
      <w:tr w:rsidR="00FB4EFA" w:rsidRPr="00FB4EFA" w14:paraId="633E610F" w14:textId="77777777" w:rsidTr="00FC2B6B">
        <w:trPr>
          <w:jc w:val="center"/>
        </w:trPr>
        <w:tc>
          <w:tcPr>
            <w:tcW w:w="2972" w:type="dxa"/>
          </w:tcPr>
          <w:p w14:paraId="542CD077" w14:textId="77777777" w:rsidR="00092304" w:rsidRPr="00FB4EFA" w:rsidRDefault="00092304" w:rsidP="00863238">
            <w:pPr>
              <w:keepNext/>
              <w:spacing w:line="240" w:lineRule="auto"/>
              <w:rPr>
                <w:rFonts w:cs="Charis SIL"/>
                <w:szCs w:val="24"/>
                <w:lang w:val="en-US"/>
              </w:rPr>
            </w:pPr>
            <w:r w:rsidRPr="00FB4EFA">
              <w:rPr>
                <w:rFonts w:cs="Charis SIL"/>
                <w:szCs w:val="24"/>
                <w:lang w:val="en-US"/>
              </w:rPr>
              <w:t>Number of words (tokens):</w:t>
            </w:r>
          </w:p>
        </w:tc>
        <w:tc>
          <w:tcPr>
            <w:tcW w:w="1134" w:type="dxa"/>
          </w:tcPr>
          <w:p w14:paraId="5646552C" w14:textId="77777777" w:rsidR="00092304" w:rsidRPr="00FB4EFA" w:rsidRDefault="00092304" w:rsidP="00863238">
            <w:pPr>
              <w:keepNext/>
              <w:spacing w:line="240" w:lineRule="auto"/>
              <w:jc w:val="right"/>
              <w:rPr>
                <w:rFonts w:cs="Charis SIL"/>
                <w:szCs w:val="24"/>
                <w:lang w:val="en-US"/>
              </w:rPr>
            </w:pPr>
            <w:r w:rsidRPr="00FB4EFA">
              <w:rPr>
                <w:rFonts w:cs="Charis SIL"/>
                <w:szCs w:val="24"/>
                <w:lang w:val="en-US"/>
              </w:rPr>
              <w:t>155,245</w:t>
            </w:r>
          </w:p>
        </w:tc>
      </w:tr>
      <w:tr w:rsidR="00FB4EFA" w:rsidRPr="00FB4EFA" w14:paraId="11A63853" w14:textId="77777777" w:rsidTr="00FC2B6B">
        <w:trPr>
          <w:jc w:val="center"/>
        </w:trPr>
        <w:tc>
          <w:tcPr>
            <w:tcW w:w="2972" w:type="dxa"/>
          </w:tcPr>
          <w:p w14:paraId="6B1E61C0" w14:textId="77777777" w:rsidR="00092304" w:rsidRPr="00FB4EFA" w:rsidRDefault="00092304" w:rsidP="00863238">
            <w:pPr>
              <w:keepNext/>
              <w:spacing w:line="240" w:lineRule="auto"/>
              <w:rPr>
                <w:rFonts w:cs="Charis SIL"/>
                <w:szCs w:val="24"/>
                <w:lang w:val="en-US"/>
              </w:rPr>
            </w:pPr>
            <w:r w:rsidRPr="00FB4EFA">
              <w:rPr>
                <w:rFonts w:cs="Charis SIL"/>
                <w:szCs w:val="24"/>
                <w:lang w:val="en-US"/>
              </w:rPr>
              <w:t>Number of words (types):</w:t>
            </w:r>
          </w:p>
        </w:tc>
        <w:tc>
          <w:tcPr>
            <w:tcW w:w="1134" w:type="dxa"/>
          </w:tcPr>
          <w:p w14:paraId="0798F2C6" w14:textId="77777777" w:rsidR="00092304" w:rsidRPr="00FB4EFA" w:rsidRDefault="00092304" w:rsidP="00863238">
            <w:pPr>
              <w:keepNext/>
              <w:spacing w:line="240" w:lineRule="auto"/>
              <w:jc w:val="right"/>
              <w:rPr>
                <w:rFonts w:cs="Charis SIL"/>
                <w:szCs w:val="24"/>
                <w:lang w:val="en-US"/>
              </w:rPr>
            </w:pPr>
            <w:r w:rsidRPr="00FB4EFA">
              <w:rPr>
                <w:rFonts w:cs="Charis SIL"/>
                <w:szCs w:val="24"/>
                <w:lang w:val="en-US"/>
              </w:rPr>
              <w:t>37,609</w:t>
            </w:r>
          </w:p>
        </w:tc>
      </w:tr>
      <w:tr w:rsidR="00FB4EFA" w:rsidRPr="00FB4EFA" w14:paraId="08867C68" w14:textId="77777777" w:rsidTr="00FC2B6B">
        <w:trPr>
          <w:jc w:val="center"/>
        </w:trPr>
        <w:tc>
          <w:tcPr>
            <w:tcW w:w="2972" w:type="dxa"/>
          </w:tcPr>
          <w:p w14:paraId="30CB89F1" w14:textId="77777777" w:rsidR="00092304" w:rsidRPr="00FB4EFA" w:rsidRDefault="00092304" w:rsidP="00863238">
            <w:pPr>
              <w:keepNext/>
              <w:spacing w:line="240" w:lineRule="auto"/>
              <w:rPr>
                <w:rFonts w:cs="Charis SIL"/>
                <w:szCs w:val="24"/>
                <w:lang w:val="en-US"/>
              </w:rPr>
            </w:pPr>
            <w:r w:rsidRPr="00FB4EFA">
              <w:rPr>
                <w:rFonts w:cs="Charis SIL"/>
                <w:szCs w:val="24"/>
                <w:lang w:val="en-US"/>
              </w:rPr>
              <w:t>Number of transcripts:</w:t>
            </w:r>
          </w:p>
        </w:tc>
        <w:tc>
          <w:tcPr>
            <w:tcW w:w="1134" w:type="dxa"/>
          </w:tcPr>
          <w:p w14:paraId="0B77A876" w14:textId="77777777" w:rsidR="00092304" w:rsidRPr="00FB4EFA" w:rsidRDefault="00092304" w:rsidP="00863238">
            <w:pPr>
              <w:keepNext/>
              <w:spacing w:line="240" w:lineRule="auto"/>
              <w:jc w:val="right"/>
              <w:rPr>
                <w:rFonts w:cs="Charis SIL"/>
                <w:szCs w:val="24"/>
                <w:lang w:val="en-US"/>
              </w:rPr>
            </w:pPr>
            <w:r w:rsidRPr="00FB4EFA">
              <w:rPr>
                <w:rFonts w:cs="Charis SIL"/>
                <w:szCs w:val="24"/>
                <w:lang w:val="en-US"/>
              </w:rPr>
              <w:t>188</w:t>
            </w:r>
          </w:p>
        </w:tc>
      </w:tr>
      <w:tr w:rsidR="00FB4EFA" w:rsidRPr="00FB4EFA" w14:paraId="6541902F" w14:textId="77777777" w:rsidTr="00FC2B6B">
        <w:trPr>
          <w:jc w:val="center"/>
        </w:trPr>
        <w:tc>
          <w:tcPr>
            <w:tcW w:w="2972" w:type="dxa"/>
          </w:tcPr>
          <w:p w14:paraId="2A5F447A" w14:textId="77777777" w:rsidR="00092304" w:rsidRPr="00FB4EFA" w:rsidRDefault="00092304" w:rsidP="00863238">
            <w:pPr>
              <w:keepNext/>
              <w:spacing w:line="240" w:lineRule="auto"/>
              <w:rPr>
                <w:rFonts w:cs="Charis SIL"/>
                <w:szCs w:val="24"/>
                <w:lang w:val="en-US"/>
              </w:rPr>
            </w:pPr>
            <w:r w:rsidRPr="00FB4EFA">
              <w:rPr>
                <w:rFonts w:cs="Charis SIL"/>
                <w:szCs w:val="24"/>
                <w:lang w:val="en-US"/>
              </w:rPr>
              <w:t>Number of speakers:</w:t>
            </w:r>
          </w:p>
        </w:tc>
        <w:tc>
          <w:tcPr>
            <w:tcW w:w="1134" w:type="dxa"/>
          </w:tcPr>
          <w:p w14:paraId="23D2B39F" w14:textId="77777777" w:rsidR="00092304" w:rsidRPr="00FB4EFA" w:rsidRDefault="00092304" w:rsidP="00863238">
            <w:pPr>
              <w:keepNext/>
              <w:spacing w:line="240" w:lineRule="auto"/>
              <w:jc w:val="right"/>
              <w:rPr>
                <w:rFonts w:cs="Charis SIL"/>
                <w:szCs w:val="24"/>
                <w:lang w:val="en-US"/>
              </w:rPr>
            </w:pPr>
            <w:r w:rsidRPr="00FB4EFA">
              <w:rPr>
                <w:rFonts w:cs="Charis SIL"/>
                <w:szCs w:val="24"/>
                <w:lang w:val="en-US"/>
              </w:rPr>
              <w:t>39</w:t>
            </w:r>
          </w:p>
        </w:tc>
      </w:tr>
    </w:tbl>
    <w:p w14:paraId="1F454879" w14:textId="77777777" w:rsidR="00092304" w:rsidRPr="00FB4EFA" w:rsidRDefault="00092304" w:rsidP="00AC1192">
      <w:pPr>
        <w:suppressAutoHyphens/>
        <w:spacing w:before="120" w:after="240"/>
        <w:jc w:val="center"/>
        <w:rPr>
          <w:rFonts w:cs="Charis SIL"/>
          <w:sz w:val="18"/>
          <w:szCs w:val="20"/>
          <w:lang w:val="en-US"/>
        </w:rPr>
      </w:pPr>
      <w:r w:rsidRPr="00FB4EFA">
        <w:rPr>
          <w:rFonts w:cs="Charis SIL"/>
          <w:b/>
          <w:bCs/>
          <w:sz w:val="18"/>
          <w:szCs w:val="20"/>
          <w:lang w:val="en-US"/>
        </w:rPr>
        <w:t>Table 1</w:t>
      </w:r>
      <w:r w:rsidRPr="00FB4EFA">
        <w:rPr>
          <w:rFonts w:cs="Charis SIL"/>
          <w:sz w:val="18"/>
          <w:szCs w:val="20"/>
          <w:lang w:val="en-US"/>
        </w:rPr>
        <w:t>. Basic information on the NSL Corpus</w:t>
      </w:r>
    </w:p>
    <w:p w14:paraId="3FFA04ED" w14:textId="7010EE93" w:rsidR="00092304" w:rsidRPr="00FB4EFA" w:rsidRDefault="00092304" w:rsidP="00AF0CAD">
      <w:pPr>
        <w:rPr>
          <w:lang w:val="en-US"/>
        </w:rPr>
      </w:pPr>
      <w:r w:rsidRPr="00FB4EFA">
        <w:rPr>
          <w:lang w:val="en-US"/>
        </w:rPr>
        <w:t xml:space="preserve">The examples given below refer to the corpus following the pattern &lt;speaker code&gt;_&lt;year&gt;_&lt;text title&gt;_&lt;genre code&gt;.&lt;sentence number&gt;. Thus, </w:t>
      </w:r>
      <w:r w:rsidR="00466236" w:rsidRPr="00FB4EFA">
        <w:rPr>
          <w:lang w:val="en-US"/>
        </w:rPr>
        <w:t>e.g., </w:t>
      </w:r>
      <w:r w:rsidRPr="00FB4EFA">
        <w:rPr>
          <w:rFonts w:eastAsia="Times New Roman"/>
          <w:lang w:val="en-US" w:eastAsia="de-DE"/>
        </w:rPr>
        <w:t xml:space="preserve">ChND_0412_Djajku_flkd.004 is the fourth sentence in </w:t>
      </w:r>
      <w:r w:rsidR="00DC496E" w:rsidRPr="00FB4EFA">
        <w:rPr>
          <w:rFonts w:eastAsia="Times New Roman"/>
          <w:lang w:val="en-US" w:eastAsia="de-DE"/>
        </w:rPr>
        <w:t>the</w:t>
      </w:r>
      <w:r w:rsidRPr="00FB4EFA">
        <w:rPr>
          <w:rFonts w:eastAsia="Times New Roman"/>
          <w:lang w:val="en-US" w:eastAsia="de-DE"/>
        </w:rPr>
        <w:t xml:space="preserve"> folklore text ‘Djajku’ recorded in December 2004 from the speaker ChND</w:t>
      </w:r>
      <w:r w:rsidRPr="00FB4EFA">
        <w:rPr>
          <w:lang w:val="en-US"/>
        </w:rPr>
        <w:t>. The genre of this text is folklore-</w:t>
      </w:r>
      <w:r w:rsidRPr="00FB4EFA">
        <w:rPr>
          <w:i/>
          <w:lang w:val="en-US"/>
        </w:rPr>
        <w:t>d</w:t>
      </w:r>
      <w:r w:rsidR="009B1442" w:rsidRPr="00FB4EFA">
        <w:rPr>
          <w:i/>
          <w:lang w:val="en-US"/>
        </w:rPr>
        <w:t>’</w:t>
      </w:r>
      <w:r w:rsidRPr="00FB4EFA">
        <w:rPr>
          <w:i/>
          <w:lang w:val="en-US"/>
        </w:rPr>
        <w:t>urimy</w:t>
      </w:r>
      <w:r w:rsidRPr="00FB4EFA">
        <w:rPr>
          <w:lang w:val="en-US"/>
        </w:rPr>
        <w:t>. For this study, I have adapted both the glosses and the translations, and the orthography is also modified. (More about the corpus can be found in Wagner-Nagy &amp; Szeverényi 2015 or Wagner-Nagy et al. 2018.)</w:t>
      </w:r>
    </w:p>
    <w:p w14:paraId="759BD00F" w14:textId="6370F4CC" w:rsidR="00092304" w:rsidRPr="00FB4EFA" w:rsidRDefault="00092304" w:rsidP="00545033">
      <w:pPr>
        <w:pStyle w:val="Heading2"/>
        <w:numPr>
          <w:ilvl w:val="0"/>
          <w:numId w:val="21"/>
        </w:numPr>
        <w:suppressAutoHyphens/>
        <w:spacing w:line="259" w:lineRule="auto"/>
        <w:rPr>
          <w:color w:val="auto"/>
          <w:lang w:val="en-US"/>
        </w:rPr>
      </w:pPr>
      <w:r w:rsidRPr="00FB4EFA">
        <w:rPr>
          <w:color w:val="auto"/>
          <w:lang w:val="en-US"/>
        </w:rPr>
        <w:t>Right side and left side</w:t>
      </w:r>
    </w:p>
    <w:p w14:paraId="7589D917" w14:textId="23BF0361" w:rsidR="00092304" w:rsidRPr="00FB4EFA" w:rsidRDefault="00092304" w:rsidP="00402EF4">
      <w:pPr>
        <w:rPr>
          <w:lang w:val="en-US"/>
        </w:rPr>
      </w:pPr>
      <w:r w:rsidRPr="00FB4EFA">
        <w:rPr>
          <w:lang w:val="en-US"/>
        </w:rPr>
        <w:t xml:space="preserve">Hajdú (1951) was one of the first to write about the naming of the </w:t>
      </w:r>
      <w:r w:rsidRPr="00FB4EFA">
        <w:rPr>
          <w:smallCaps/>
          <w:lang w:val="en-US"/>
        </w:rPr>
        <w:t>right</w:t>
      </w:r>
      <w:r w:rsidRPr="00FB4EFA">
        <w:rPr>
          <w:lang w:val="en-US"/>
        </w:rPr>
        <w:t xml:space="preserve"> and </w:t>
      </w:r>
      <w:r w:rsidRPr="00FB4EFA">
        <w:rPr>
          <w:smallCaps/>
          <w:lang w:val="en-US"/>
        </w:rPr>
        <w:t>left</w:t>
      </w:r>
      <w:r w:rsidRPr="00FB4EFA">
        <w:rPr>
          <w:lang w:val="en-US"/>
        </w:rPr>
        <w:t xml:space="preserve"> sides in the Uralic languages. In addition to morphological analyses, he also investigated the question of what connections can be made between the way of thinking and the history, or way of life, of the Uralic peoples. I will not elaborate on these latter questions here but will rather concentrate on how many possibilities Nganasan has to name the </w:t>
      </w:r>
      <w:r w:rsidRPr="00FB4EFA">
        <w:rPr>
          <w:smallCaps/>
          <w:lang w:val="en-US"/>
        </w:rPr>
        <w:t>right</w:t>
      </w:r>
      <w:r w:rsidRPr="00FB4EFA">
        <w:rPr>
          <w:lang w:val="en-US"/>
        </w:rPr>
        <w:t xml:space="preserve"> and </w:t>
      </w:r>
      <w:r w:rsidRPr="00FB4EFA">
        <w:rPr>
          <w:smallCaps/>
          <w:lang w:val="en-US"/>
        </w:rPr>
        <w:t>left</w:t>
      </w:r>
      <w:r w:rsidRPr="00FB4EFA">
        <w:rPr>
          <w:lang w:val="en-US"/>
        </w:rPr>
        <w:t xml:space="preserve"> sides. Is one single </w:t>
      </w:r>
      <w:r w:rsidR="00467933" w:rsidRPr="00FB4EFA">
        <w:rPr>
          <w:lang w:val="en-US"/>
        </w:rPr>
        <w:t xml:space="preserve">pair of </w:t>
      </w:r>
      <w:r w:rsidRPr="00FB4EFA">
        <w:rPr>
          <w:lang w:val="en-US"/>
        </w:rPr>
        <w:t>term</w:t>
      </w:r>
      <w:r w:rsidR="00467933" w:rsidRPr="00FB4EFA">
        <w:rPr>
          <w:lang w:val="en-US"/>
        </w:rPr>
        <w:t>s</w:t>
      </w:r>
      <w:r w:rsidRPr="00FB4EFA">
        <w:rPr>
          <w:lang w:val="en-US"/>
        </w:rPr>
        <w:t xml:space="preserve"> used universally or are there situation-specific expressions? As already mentioned, </w:t>
      </w:r>
      <w:r w:rsidR="00466236" w:rsidRPr="00FB4EFA">
        <w:rPr>
          <w:lang w:val="en-US"/>
        </w:rPr>
        <w:t>e.g., </w:t>
      </w:r>
      <w:r w:rsidRPr="00FB4EFA">
        <w:rPr>
          <w:lang w:val="en-US"/>
        </w:rPr>
        <w:t xml:space="preserve">English uses the </w:t>
      </w:r>
      <w:r w:rsidRPr="00FB4EFA">
        <w:rPr>
          <w:smallCaps/>
          <w:lang w:val="en-US"/>
        </w:rPr>
        <w:t>projector</w:t>
      </w:r>
      <w:r w:rsidRPr="00FB4EFA">
        <w:rPr>
          <w:lang w:val="en-US"/>
        </w:rPr>
        <w:t xml:space="preserve">-based frame of reference to describe the spatial relationship. Other languages use other frames. As we will see, Nganasan uses both the </w:t>
      </w:r>
      <w:r w:rsidRPr="00FB4EFA">
        <w:rPr>
          <w:smallCaps/>
          <w:lang w:val="en-US"/>
        </w:rPr>
        <w:t>projector</w:t>
      </w:r>
      <w:r w:rsidRPr="00FB4EFA">
        <w:rPr>
          <w:lang w:val="en-US"/>
        </w:rPr>
        <w:t xml:space="preserve">-based and the </w:t>
      </w:r>
      <w:r w:rsidRPr="00FB4EFA">
        <w:rPr>
          <w:smallCaps/>
          <w:lang w:val="en-US"/>
        </w:rPr>
        <w:t>field</w:t>
      </w:r>
      <w:r w:rsidRPr="00FB4EFA">
        <w:rPr>
          <w:lang w:val="en-US"/>
        </w:rPr>
        <w:t xml:space="preserve">-based frames, but in different situations. In </w:t>
      </w:r>
      <w:r w:rsidR="00DE7479" w:rsidRPr="00FB4EFA">
        <w:rPr>
          <w:lang w:val="en-US"/>
        </w:rPr>
        <w:t>S</w:t>
      </w:r>
      <w:r w:rsidRPr="00FB4EFA">
        <w:rPr>
          <w:lang w:val="en-US"/>
        </w:rPr>
        <w:t xml:space="preserve">ection 2.1 the naming of the </w:t>
      </w:r>
      <w:r w:rsidRPr="00FB4EFA">
        <w:rPr>
          <w:smallCaps/>
          <w:lang w:val="en-US"/>
        </w:rPr>
        <w:t>right</w:t>
      </w:r>
      <w:r w:rsidRPr="00FB4EFA">
        <w:rPr>
          <w:lang w:val="en-US"/>
        </w:rPr>
        <w:t xml:space="preserve"> and </w:t>
      </w:r>
      <w:r w:rsidRPr="00FB4EFA">
        <w:rPr>
          <w:smallCaps/>
          <w:lang w:val="en-US"/>
        </w:rPr>
        <w:t>left</w:t>
      </w:r>
      <w:r w:rsidRPr="00FB4EFA">
        <w:rPr>
          <w:lang w:val="en-US"/>
        </w:rPr>
        <w:t xml:space="preserve"> hand is dis</w:t>
      </w:r>
      <w:r w:rsidRPr="00FB4EFA">
        <w:rPr>
          <w:lang w:val="en-US"/>
        </w:rPr>
        <w:lastRenderedPageBreak/>
        <w:t>cussed, then in 2.2 I turn to the indications of the sides with verbs of motion, and in 2.3 to the motivations behind the names of the sides in a tent.</w:t>
      </w:r>
    </w:p>
    <w:p w14:paraId="445A3B1F" w14:textId="4F265350" w:rsidR="00092304" w:rsidRPr="00FB4EFA" w:rsidRDefault="00092304" w:rsidP="00AF0CAD">
      <w:pPr>
        <w:pStyle w:val="Heading3"/>
        <w:numPr>
          <w:ilvl w:val="1"/>
          <w:numId w:val="21"/>
        </w:numPr>
        <w:spacing w:line="259" w:lineRule="auto"/>
        <w:rPr>
          <w:lang w:val="en-US"/>
        </w:rPr>
      </w:pPr>
      <w:r w:rsidRPr="00FB4EFA">
        <w:rPr>
          <w:lang w:val="en-US"/>
        </w:rPr>
        <w:t>His right hand stuck</w:t>
      </w:r>
    </w:p>
    <w:p w14:paraId="549AE02A" w14:textId="6956C619" w:rsidR="00092304" w:rsidRPr="00FB4EFA" w:rsidRDefault="00092304" w:rsidP="00AF0CAD">
      <w:pPr>
        <w:spacing w:after="240"/>
        <w:rPr>
          <w:lang w:val="en-US"/>
        </w:rPr>
      </w:pPr>
      <w:r w:rsidRPr="00FB4EFA">
        <w:rPr>
          <w:lang w:val="en-US"/>
        </w:rPr>
        <w:t xml:space="preserve">The two central lexemes are </w:t>
      </w:r>
      <w:r w:rsidRPr="00FB4EFA">
        <w:rPr>
          <w:i/>
          <w:lang w:val="en-US"/>
        </w:rPr>
        <w:t>mantimü</w:t>
      </w:r>
      <w:r w:rsidRPr="00FB4EFA">
        <w:rPr>
          <w:lang w:val="en-US"/>
        </w:rPr>
        <w:t xml:space="preserve"> ~ </w:t>
      </w:r>
      <w:r w:rsidRPr="00FB4EFA">
        <w:rPr>
          <w:i/>
          <w:lang w:val="en-US"/>
        </w:rPr>
        <w:t>mantimi</w:t>
      </w:r>
      <w:r w:rsidRPr="00FB4EFA">
        <w:rPr>
          <w:lang w:val="en-US"/>
        </w:rPr>
        <w:t xml:space="preserve"> ‘right-hand, right (side)’</w:t>
      </w:r>
      <w:r w:rsidRPr="00FB4EFA">
        <w:rPr>
          <w:rFonts w:cs="Charis SIL"/>
          <w:szCs w:val="24"/>
          <w:vertAlign w:val="superscript"/>
          <w:lang w:val="en-US"/>
        </w:rPr>
        <w:footnoteReference w:id="153"/>
      </w:r>
      <w:r w:rsidRPr="00FB4EFA">
        <w:rPr>
          <w:lang w:val="en-US"/>
        </w:rPr>
        <w:t xml:space="preserve"> and </w:t>
      </w:r>
      <w:r w:rsidRPr="00FB4EFA">
        <w:rPr>
          <w:i/>
          <w:lang w:val="en-US"/>
        </w:rPr>
        <w:t>b</w:t>
      </w:r>
      <w:r w:rsidRPr="00FB4EFA">
        <w:rPr>
          <w:rFonts w:cs="Times New Roman"/>
          <w:i/>
          <w:lang w:val="en-US"/>
        </w:rPr>
        <w:t>ə</w:t>
      </w:r>
      <w:r w:rsidRPr="00FB4EFA">
        <w:rPr>
          <w:i/>
          <w:lang w:val="en-US"/>
        </w:rPr>
        <w:t>ði</w:t>
      </w:r>
      <w:r w:rsidRPr="00FB4EFA">
        <w:rPr>
          <w:rFonts w:cs="Cambria"/>
          <w:i/>
          <w:lang w:val="en-US"/>
        </w:rPr>
        <w:t>Ɂ</w:t>
      </w:r>
      <w:r w:rsidRPr="00FB4EFA">
        <w:rPr>
          <w:rFonts w:cs="Times New Roman"/>
          <w:i/>
          <w:lang w:val="en-US"/>
        </w:rPr>
        <w:t>ə</w:t>
      </w:r>
      <w:r w:rsidRPr="00FB4EFA">
        <w:rPr>
          <w:i/>
          <w:lang w:val="en-US"/>
        </w:rPr>
        <w:t xml:space="preserve"> ~ b</w:t>
      </w:r>
      <w:r w:rsidRPr="00FB4EFA">
        <w:rPr>
          <w:rFonts w:cs="Times New Roman"/>
          <w:i/>
          <w:lang w:val="en-US"/>
        </w:rPr>
        <w:t>ə</w:t>
      </w:r>
      <w:r w:rsidRPr="00FB4EFA">
        <w:rPr>
          <w:i/>
          <w:lang w:val="en-US"/>
        </w:rPr>
        <w:t>ði</w:t>
      </w:r>
      <w:r w:rsidRPr="00FB4EFA">
        <w:rPr>
          <w:rFonts w:cs="Times New Roman"/>
          <w:i/>
          <w:lang w:val="en-US"/>
        </w:rPr>
        <w:t>ə</w:t>
      </w:r>
      <w:r w:rsidRPr="00FB4EFA">
        <w:rPr>
          <w:lang w:val="en-US"/>
        </w:rPr>
        <w:t xml:space="preserve"> ‘left-hand, left-handed person, left (side)’. The word </w:t>
      </w:r>
      <w:r w:rsidRPr="00FB4EFA">
        <w:rPr>
          <w:i/>
          <w:lang w:val="en-US"/>
        </w:rPr>
        <w:t>mantimü</w:t>
      </w:r>
      <w:r w:rsidRPr="00FB4EFA">
        <w:rPr>
          <w:lang w:val="en-US"/>
        </w:rPr>
        <w:t xml:space="preserve"> can be used as a noun or as an attribute modifying the noun </w:t>
      </w:r>
      <w:r w:rsidRPr="00FB4EFA">
        <w:rPr>
          <w:rFonts w:cs="Cambria"/>
          <w:i/>
          <w:lang w:val="en-US"/>
        </w:rPr>
        <w:t>ď</w:t>
      </w:r>
      <w:r w:rsidRPr="00FB4EFA">
        <w:rPr>
          <w:rFonts w:cs="Baskerville Old Face"/>
          <w:i/>
          <w:lang w:val="en-US"/>
        </w:rPr>
        <w:t>ü</w:t>
      </w:r>
      <w:r w:rsidRPr="00FB4EFA">
        <w:rPr>
          <w:i/>
          <w:lang w:val="en-US"/>
        </w:rPr>
        <w:t>t</w:t>
      </w:r>
      <w:r w:rsidRPr="00FB4EFA">
        <w:rPr>
          <w:rFonts w:cs="Baskerville Old Face"/>
          <w:i/>
          <w:lang w:val="en-US"/>
        </w:rPr>
        <w:t>ü</w:t>
      </w:r>
      <w:r w:rsidRPr="00FB4EFA">
        <w:rPr>
          <w:lang w:val="en-US"/>
        </w:rPr>
        <w:t xml:space="preserve"> ‘hand’ (5a). An adjectivized form, </w:t>
      </w:r>
      <w:r w:rsidRPr="00FB4EFA">
        <w:rPr>
          <w:i/>
          <w:lang w:val="en-US"/>
        </w:rPr>
        <w:t>b</w:t>
      </w:r>
      <w:r w:rsidRPr="00FB4EFA">
        <w:rPr>
          <w:rFonts w:cs="Times New Roman"/>
          <w:i/>
          <w:lang w:val="en-US"/>
        </w:rPr>
        <w:t>ə</w:t>
      </w:r>
      <w:r w:rsidRPr="00FB4EFA">
        <w:rPr>
          <w:i/>
          <w:lang w:val="en-US"/>
        </w:rPr>
        <w:t>ti</w:t>
      </w:r>
      <w:r w:rsidRPr="00FB4EFA">
        <w:rPr>
          <w:rFonts w:cs="Cambria"/>
          <w:i/>
          <w:lang w:val="en-US"/>
        </w:rPr>
        <w:t>ď</w:t>
      </w:r>
      <w:r w:rsidRPr="00FB4EFA">
        <w:rPr>
          <w:i/>
          <w:lang w:val="en-US"/>
        </w:rPr>
        <w:t>i</w:t>
      </w:r>
      <w:r w:rsidRPr="00FB4EFA">
        <w:rPr>
          <w:lang w:val="en-US"/>
        </w:rPr>
        <w:t xml:space="preserve">, derived from the root </w:t>
      </w:r>
      <w:r w:rsidRPr="00FB4EFA">
        <w:rPr>
          <w:i/>
          <w:lang w:val="en-US"/>
        </w:rPr>
        <w:t>b</w:t>
      </w:r>
      <w:r w:rsidRPr="00FB4EFA">
        <w:rPr>
          <w:rFonts w:cs="Times New Roman"/>
          <w:i/>
          <w:lang w:val="en-US"/>
        </w:rPr>
        <w:t>ə</w:t>
      </w:r>
      <w:r w:rsidRPr="00FB4EFA">
        <w:rPr>
          <w:i/>
          <w:lang w:val="en-US"/>
        </w:rPr>
        <w:t>ti-</w:t>
      </w:r>
      <w:r w:rsidRPr="00FB4EFA">
        <w:rPr>
          <w:lang w:val="en-US"/>
        </w:rPr>
        <w:t>, is used in attribute position (5b). Although, according to Tereshchenko (1979: 136), these lexemes can also be used in connection with the lexemes ‘foot’ (</w:t>
      </w:r>
      <w:r w:rsidRPr="00FB4EFA">
        <w:rPr>
          <w:i/>
          <w:lang w:val="en-US"/>
        </w:rPr>
        <w:t>b</w:t>
      </w:r>
      <w:r w:rsidRPr="00FB4EFA">
        <w:rPr>
          <w:rFonts w:cs="Times New Roman"/>
          <w:i/>
          <w:lang w:val="en-US"/>
        </w:rPr>
        <w:t>ə</w:t>
      </w:r>
      <w:r w:rsidRPr="00FB4EFA">
        <w:rPr>
          <w:i/>
          <w:lang w:val="en-US"/>
        </w:rPr>
        <w:t>t</w:t>
      </w:r>
      <w:r w:rsidRPr="00FB4EFA">
        <w:rPr>
          <w:rFonts w:cs="Times New Roman"/>
          <w:i/>
          <w:lang w:val="en-US"/>
        </w:rPr>
        <w:t>ɨ</w:t>
      </w:r>
      <w:r w:rsidRPr="00FB4EFA">
        <w:rPr>
          <w:rFonts w:cs="Cambria"/>
          <w:i/>
          <w:lang w:val="en-US"/>
        </w:rPr>
        <w:t>ď</w:t>
      </w:r>
      <w:r w:rsidRPr="00FB4EFA">
        <w:rPr>
          <w:i/>
          <w:lang w:val="en-US"/>
        </w:rPr>
        <w:t xml:space="preserve">i </w:t>
      </w:r>
      <w:r w:rsidRPr="00FB4EFA">
        <w:rPr>
          <w:rFonts w:cs="Cambria"/>
          <w:i/>
          <w:lang w:val="en-US"/>
        </w:rPr>
        <w:t>ŋ</w:t>
      </w:r>
      <w:r w:rsidRPr="00FB4EFA">
        <w:rPr>
          <w:i/>
          <w:lang w:val="en-US"/>
        </w:rPr>
        <w:t>u</w:t>
      </w:r>
      <w:r w:rsidRPr="00FB4EFA">
        <w:rPr>
          <w:rFonts w:cs="Times New Roman"/>
          <w:i/>
          <w:lang w:val="en-US"/>
        </w:rPr>
        <w:t>ə</w:t>
      </w:r>
      <w:r w:rsidRPr="00FB4EFA">
        <w:rPr>
          <w:i/>
          <w:lang w:val="en-US"/>
        </w:rPr>
        <w:t>j</w:t>
      </w:r>
      <w:r w:rsidRPr="00FB4EFA">
        <w:rPr>
          <w:lang w:val="en-US"/>
        </w:rPr>
        <w:t xml:space="preserve"> ‘left foot’ and </w:t>
      </w:r>
      <w:r w:rsidRPr="00FB4EFA">
        <w:rPr>
          <w:i/>
          <w:lang w:val="en-US"/>
        </w:rPr>
        <w:t xml:space="preserve">mantimü </w:t>
      </w:r>
      <w:r w:rsidRPr="00FB4EFA">
        <w:rPr>
          <w:rFonts w:cs="Cambria"/>
          <w:i/>
          <w:lang w:val="en-US"/>
        </w:rPr>
        <w:t>ŋ</w:t>
      </w:r>
      <w:r w:rsidRPr="00FB4EFA">
        <w:rPr>
          <w:i/>
          <w:lang w:val="en-US"/>
        </w:rPr>
        <w:t>uoj</w:t>
      </w:r>
      <w:r w:rsidRPr="00FB4EFA">
        <w:rPr>
          <w:lang w:val="en-US"/>
        </w:rPr>
        <w:t xml:space="preserve"> ‘right foot’) and ‘side’ (</w:t>
      </w:r>
      <w:r w:rsidRPr="00FB4EFA">
        <w:rPr>
          <w:i/>
          <w:lang w:val="en-US"/>
        </w:rPr>
        <w:t>b</w:t>
      </w:r>
      <w:r w:rsidRPr="00FB4EFA">
        <w:rPr>
          <w:rFonts w:cs="Times New Roman"/>
          <w:i/>
          <w:lang w:val="en-US"/>
        </w:rPr>
        <w:t>ə</w:t>
      </w:r>
      <w:r w:rsidRPr="00FB4EFA">
        <w:rPr>
          <w:i/>
          <w:lang w:val="en-US"/>
        </w:rPr>
        <w:t>t</w:t>
      </w:r>
      <w:r w:rsidRPr="00FB4EFA">
        <w:rPr>
          <w:rFonts w:cs="Times New Roman"/>
          <w:i/>
          <w:lang w:val="en-US"/>
        </w:rPr>
        <w:t>ɨ</w:t>
      </w:r>
      <w:r w:rsidRPr="00FB4EFA">
        <w:rPr>
          <w:rFonts w:cs="Cambria"/>
          <w:i/>
          <w:lang w:val="en-US"/>
        </w:rPr>
        <w:t>ď</w:t>
      </w:r>
      <w:r w:rsidRPr="00FB4EFA">
        <w:rPr>
          <w:i/>
          <w:lang w:val="en-US"/>
        </w:rPr>
        <w:t>i k</w:t>
      </w:r>
      <w:r w:rsidRPr="00FB4EFA">
        <w:rPr>
          <w:rFonts w:cs="Times New Roman"/>
          <w:i/>
          <w:lang w:val="en-US"/>
        </w:rPr>
        <w:t>ə</w:t>
      </w:r>
      <w:r w:rsidRPr="00FB4EFA">
        <w:rPr>
          <w:i/>
          <w:lang w:val="en-US"/>
        </w:rPr>
        <w:t>i</w:t>
      </w:r>
      <w:r w:rsidRPr="00FB4EFA">
        <w:rPr>
          <w:lang w:val="en-US"/>
        </w:rPr>
        <w:t xml:space="preserve"> ‘left side’ and </w:t>
      </w:r>
      <w:r w:rsidRPr="00FB4EFA">
        <w:rPr>
          <w:i/>
          <w:lang w:val="en-US"/>
        </w:rPr>
        <w:t>mantimü k</w:t>
      </w:r>
      <w:r w:rsidRPr="00FB4EFA">
        <w:rPr>
          <w:rFonts w:cs="Times New Roman"/>
          <w:i/>
          <w:lang w:val="en-US"/>
        </w:rPr>
        <w:t>ə</w:t>
      </w:r>
      <w:r w:rsidRPr="00FB4EFA">
        <w:rPr>
          <w:i/>
          <w:lang w:val="en-US"/>
        </w:rPr>
        <w:t>i</w:t>
      </w:r>
      <w:r w:rsidRPr="00FB4EFA">
        <w:rPr>
          <w:lang w:val="en-US"/>
        </w:rPr>
        <w:t xml:space="preserve"> ‘right side’), there are unfortunately no example sentences for such use. The fact that these words can appear as an attribute of the lexeme ‘foot’ is obvious. Somewhat less trivial is the use with the word </w:t>
      </w:r>
      <w:r w:rsidRPr="00FB4EFA">
        <w:rPr>
          <w:i/>
          <w:lang w:val="en-US"/>
        </w:rPr>
        <w:t>k</w:t>
      </w:r>
      <w:r w:rsidRPr="00FB4EFA">
        <w:rPr>
          <w:rFonts w:cs="Times New Roman"/>
          <w:i/>
          <w:lang w:val="en-US"/>
        </w:rPr>
        <w:t>ə</w:t>
      </w:r>
      <w:r w:rsidRPr="00FB4EFA">
        <w:rPr>
          <w:i/>
          <w:lang w:val="en-US"/>
        </w:rPr>
        <w:t>i</w:t>
      </w:r>
      <w:r w:rsidRPr="00FB4EFA">
        <w:rPr>
          <w:lang w:val="en-US"/>
        </w:rPr>
        <w:t xml:space="preserve"> ‘side’. As we will see below, when talking about the parts of a tent (</w:t>
      </w:r>
      <w:r w:rsidR="00DE7479" w:rsidRPr="00FB4EFA">
        <w:rPr>
          <w:lang w:val="en-US"/>
        </w:rPr>
        <w:t>S</w:t>
      </w:r>
      <w:r w:rsidRPr="00FB4EFA">
        <w:rPr>
          <w:lang w:val="en-US"/>
        </w:rPr>
        <w:t>ection 2.2) or the sides along a movement (</w:t>
      </w:r>
      <w:r w:rsidR="00DE7479" w:rsidRPr="00FB4EFA">
        <w:rPr>
          <w:lang w:val="en-US"/>
        </w:rPr>
        <w:t>S</w:t>
      </w:r>
      <w:r w:rsidRPr="00FB4EFA">
        <w:rPr>
          <w:lang w:val="en-US"/>
        </w:rPr>
        <w:t xml:space="preserve">ection 2.3), two other lexeme pairs are used for the expression of the LEFT/RIGHT opposition. To clarify whether these words can be used with the lexeme </w:t>
      </w:r>
      <w:r w:rsidRPr="00FB4EFA">
        <w:rPr>
          <w:i/>
          <w:lang w:val="en-US"/>
        </w:rPr>
        <w:t>k</w:t>
      </w:r>
      <w:r w:rsidRPr="00FB4EFA">
        <w:rPr>
          <w:rFonts w:cs="Times New Roman"/>
          <w:i/>
          <w:lang w:val="en-US"/>
        </w:rPr>
        <w:t>ə</w:t>
      </w:r>
      <w:r w:rsidRPr="00FB4EFA">
        <w:rPr>
          <w:i/>
          <w:lang w:val="en-US"/>
        </w:rPr>
        <w:t>i</w:t>
      </w:r>
      <w:r w:rsidRPr="00FB4EFA">
        <w:rPr>
          <w:lang w:val="en-US"/>
        </w:rPr>
        <w:t xml:space="preserve"> ‘side’, and if so, in which context, native speakers should be consulted. There was no opportunity for that at this moment.</w:t>
      </w:r>
    </w:p>
    <w:p w14:paraId="5496852C" w14:textId="77777777" w:rsidR="00092304" w:rsidRPr="00FB4EFA" w:rsidRDefault="00092304" w:rsidP="00AF0CAD">
      <w:pPr>
        <w:tabs>
          <w:tab w:val="left" w:pos="709"/>
          <w:tab w:val="left" w:pos="1276"/>
          <w:tab w:val="left" w:pos="2835"/>
          <w:tab w:val="left" w:pos="4395"/>
        </w:tabs>
        <w:spacing w:line="240" w:lineRule="auto"/>
        <w:rPr>
          <w:rFonts w:eastAsia="Times New Roman" w:cs="Charis SIL"/>
          <w:i/>
          <w:szCs w:val="24"/>
          <w:lang w:val="en-US" w:eastAsia="de-DE"/>
        </w:rPr>
      </w:pPr>
      <w:r w:rsidRPr="00FB4EFA">
        <w:rPr>
          <w:rFonts w:eastAsia="Times New Roman" w:cs="Charis SIL"/>
          <w:szCs w:val="24"/>
          <w:lang w:val="en-US" w:eastAsia="de-DE"/>
        </w:rPr>
        <w:t>(5)</w:t>
      </w:r>
      <w:r w:rsidRPr="00FB4EFA">
        <w:rPr>
          <w:rFonts w:eastAsia="Times New Roman" w:cs="Charis SIL"/>
          <w:szCs w:val="24"/>
          <w:lang w:val="en-US" w:eastAsia="de-DE"/>
        </w:rPr>
        <w:tab/>
        <w:t>a.</w:t>
      </w:r>
      <w:r w:rsidRPr="00FB4EFA">
        <w:rPr>
          <w:rFonts w:eastAsia="Times New Roman" w:cs="Charis SIL"/>
          <w:szCs w:val="24"/>
          <w:lang w:val="en-US" w:eastAsia="de-DE"/>
        </w:rPr>
        <w:tab/>
      </w:r>
      <w:r w:rsidRPr="00FB4EFA">
        <w:rPr>
          <w:rFonts w:eastAsia="Times New Roman" w:cs="Charis SIL"/>
          <w:i/>
          <w:szCs w:val="24"/>
          <w:lang w:val="en-US" w:eastAsia="de-DE"/>
        </w:rPr>
        <w:t xml:space="preserve">mantimü </w:t>
      </w:r>
      <w:r w:rsidRPr="00FB4EFA">
        <w:rPr>
          <w:rFonts w:eastAsia="Times New Roman" w:cs="Charis SIL"/>
          <w:i/>
          <w:szCs w:val="24"/>
          <w:lang w:val="en-US" w:eastAsia="de-DE"/>
        </w:rPr>
        <w:tab/>
      </w:r>
      <w:r w:rsidRPr="00FB4EFA">
        <w:rPr>
          <w:rFonts w:eastAsia="Times New Roman" w:cs="Cambria"/>
          <w:i/>
          <w:szCs w:val="24"/>
          <w:lang w:val="en-US" w:eastAsia="de-DE"/>
        </w:rPr>
        <w:t>ď</w:t>
      </w:r>
      <w:r w:rsidRPr="00FB4EFA">
        <w:rPr>
          <w:rFonts w:eastAsia="Times New Roman" w:cs="Charis SIL"/>
          <w:i/>
          <w:szCs w:val="24"/>
          <w:lang w:val="en-US" w:eastAsia="de-DE"/>
        </w:rPr>
        <w:t xml:space="preserve">ütü-ðü </w:t>
      </w:r>
      <w:r w:rsidRPr="00FB4EFA">
        <w:rPr>
          <w:rFonts w:eastAsia="Times New Roman" w:cs="Charis SIL"/>
          <w:i/>
          <w:szCs w:val="24"/>
          <w:lang w:val="en-US" w:eastAsia="de-DE"/>
        </w:rPr>
        <w:tab/>
        <w:t>t</w:t>
      </w:r>
      <w:r w:rsidRPr="00FB4EFA">
        <w:rPr>
          <w:rFonts w:eastAsia="Times New Roman" w:cs="Times New Roman"/>
          <w:i/>
          <w:szCs w:val="24"/>
          <w:lang w:val="en-US" w:eastAsia="de-DE"/>
        </w:rPr>
        <w:t>ə</w:t>
      </w:r>
      <w:r w:rsidRPr="00FB4EFA">
        <w:rPr>
          <w:rFonts w:eastAsia="Times New Roman" w:cs="Baskerville Old Face"/>
          <w:i/>
          <w:szCs w:val="24"/>
          <w:lang w:val="en-US" w:eastAsia="de-DE"/>
        </w:rPr>
        <w:t>ðü</w:t>
      </w:r>
      <w:r w:rsidRPr="00FB4EFA">
        <w:rPr>
          <w:rFonts w:eastAsia="Times New Roman" w:cs="Charis SIL"/>
          <w:i/>
          <w:szCs w:val="24"/>
          <w:lang w:val="en-US" w:eastAsia="de-DE"/>
        </w:rPr>
        <w:t>-</w:t>
      </w:r>
      <w:r w:rsidRPr="00FB4EFA">
        <w:rPr>
          <w:rFonts w:eastAsia="Times New Roman" w:cs="Cambria"/>
          <w:i/>
          <w:szCs w:val="24"/>
          <w:lang w:val="en-US" w:eastAsia="de-DE"/>
        </w:rPr>
        <w:t>Ɂə</w:t>
      </w:r>
      <w:r w:rsidRPr="00FB4EFA">
        <w:rPr>
          <w:rFonts w:eastAsia="Times New Roman" w:cs="Charis SIL"/>
          <w:i/>
          <w:szCs w:val="24"/>
          <w:lang w:val="en-US" w:eastAsia="de-DE"/>
        </w:rPr>
        <w:t>.</w:t>
      </w:r>
    </w:p>
    <w:p w14:paraId="2D7FC1A0" w14:textId="77777777" w:rsidR="00092304" w:rsidRPr="00FB4EFA" w:rsidRDefault="00092304" w:rsidP="008A7171">
      <w:pPr>
        <w:tabs>
          <w:tab w:val="left" w:pos="709"/>
          <w:tab w:val="left" w:pos="1276"/>
          <w:tab w:val="left" w:pos="2835"/>
          <w:tab w:val="left" w:pos="4395"/>
        </w:tabs>
        <w:spacing w:line="240" w:lineRule="auto"/>
        <w:rPr>
          <w:rFonts w:eastAsia="Times New Roman" w:cs="Charis SIL"/>
          <w:szCs w:val="24"/>
          <w:lang w:val="en-US" w:eastAsia="de-DE"/>
        </w:rPr>
      </w:pPr>
      <w:r w:rsidRPr="00FB4EFA">
        <w:rPr>
          <w:rFonts w:eastAsia="Times New Roman" w:cs="Charis SIL"/>
          <w:szCs w:val="24"/>
          <w:lang w:val="en-US" w:eastAsia="de-DE"/>
        </w:rPr>
        <w:tab/>
      </w:r>
      <w:r w:rsidRPr="00FB4EFA">
        <w:rPr>
          <w:rFonts w:eastAsia="Times New Roman" w:cs="Charis SIL"/>
          <w:szCs w:val="24"/>
          <w:lang w:val="en-US" w:eastAsia="de-DE"/>
        </w:rPr>
        <w:tab/>
        <w:t>right</w:t>
      </w:r>
      <w:r w:rsidRPr="00FB4EFA">
        <w:rPr>
          <w:rFonts w:eastAsia="Times New Roman" w:cs="Charis SIL"/>
          <w:szCs w:val="24"/>
          <w:lang w:val="en-US" w:eastAsia="de-DE"/>
        </w:rPr>
        <w:tab/>
        <w:t>hand-</w:t>
      </w:r>
      <w:r w:rsidRPr="00FB4EFA">
        <w:rPr>
          <w:rFonts w:eastAsia="Times New Roman" w:cs="Charis SIL"/>
          <w:smallCaps/>
          <w:szCs w:val="24"/>
          <w:lang w:val="en-US" w:eastAsia="de-DE"/>
        </w:rPr>
        <w:t>poss3sg</w:t>
      </w:r>
      <w:r w:rsidRPr="00FB4EFA">
        <w:rPr>
          <w:rFonts w:eastAsia="Times New Roman" w:cs="Charis SIL"/>
          <w:smallCaps/>
          <w:szCs w:val="24"/>
          <w:lang w:val="en-US" w:eastAsia="de-DE"/>
        </w:rPr>
        <w:tab/>
      </w:r>
      <w:r w:rsidRPr="00FB4EFA">
        <w:rPr>
          <w:rFonts w:eastAsia="Times New Roman" w:cs="Charis SIL"/>
          <w:szCs w:val="24"/>
          <w:lang w:val="en-US" w:eastAsia="de-DE"/>
        </w:rPr>
        <w:t>stick</w:t>
      </w:r>
      <w:r w:rsidRPr="00FB4EFA">
        <w:rPr>
          <w:rFonts w:eastAsia="Times New Roman" w:cs="Charis SIL"/>
          <w:smallCaps/>
          <w:szCs w:val="24"/>
          <w:lang w:val="en-US" w:eastAsia="de-DE"/>
        </w:rPr>
        <w:t>-co.3sg</w:t>
      </w:r>
    </w:p>
    <w:p w14:paraId="1933EC65" w14:textId="77777777" w:rsidR="00092304" w:rsidRPr="00FB4EFA" w:rsidRDefault="00092304" w:rsidP="008A7171">
      <w:pPr>
        <w:tabs>
          <w:tab w:val="left" w:pos="709"/>
          <w:tab w:val="left" w:pos="1276"/>
          <w:tab w:val="left" w:pos="2835"/>
          <w:tab w:val="left" w:pos="4395"/>
        </w:tabs>
        <w:spacing w:line="240" w:lineRule="auto"/>
        <w:rPr>
          <w:rFonts w:eastAsia="Times New Roman" w:cs="Charis SIL"/>
          <w:szCs w:val="24"/>
          <w:lang w:val="en-US" w:eastAsia="de-DE"/>
        </w:rPr>
      </w:pPr>
      <w:r w:rsidRPr="00FB4EFA">
        <w:rPr>
          <w:rFonts w:eastAsia="Times New Roman" w:cs="Charis SIL"/>
          <w:szCs w:val="24"/>
          <w:lang w:val="en-US" w:eastAsia="de-DE"/>
        </w:rPr>
        <w:tab/>
      </w:r>
      <w:r w:rsidRPr="00FB4EFA">
        <w:rPr>
          <w:rFonts w:eastAsia="Times New Roman" w:cs="Charis SIL"/>
          <w:szCs w:val="24"/>
          <w:lang w:val="en-US" w:eastAsia="de-DE"/>
        </w:rPr>
        <w:tab/>
        <w:t>‘His right hand stuck (to the stub).’</w:t>
      </w:r>
    </w:p>
    <w:p w14:paraId="7800AD4A" w14:textId="59B4343D" w:rsidR="00092304" w:rsidRPr="00FB4EFA" w:rsidRDefault="00092304" w:rsidP="008A7171">
      <w:pPr>
        <w:tabs>
          <w:tab w:val="left" w:pos="709"/>
          <w:tab w:val="left" w:pos="1276"/>
          <w:tab w:val="left" w:pos="2835"/>
          <w:tab w:val="left" w:pos="4395"/>
        </w:tabs>
        <w:spacing w:line="240" w:lineRule="auto"/>
        <w:rPr>
          <w:rFonts w:eastAsia="Times New Roman" w:cs="Charis SIL"/>
          <w:szCs w:val="24"/>
          <w:lang w:val="en-US" w:eastAsia="de-DE"/>
        </w:rPr>
      </w:pPr>
      <w:r w:rsidRPr="00FB4EFA">
        <w:rPr>
          <w:rFonts w:eastAsia="Times New Roman" w:cs="Charis SIL"/>
          <w:szCs w:val="24"/>
          <w:lang w:val="en-US" w:eastAsia="de-DE"/>
        </w:rPr>
        <w:tab/>
      </w:r>
      <w:r w:rsidRPr="00FB4EFA">
        <w:rPr>
          <w:rFonts w:eastAsia="Times New Roman" w:cs="Charis SIL"/>
          <w:szCs w:val="24"/>
          <w:lang w:val="en-US" w:eastAsia="de-DE"/>
        </w:rPr>
        <w:tab/>
      </w:r>
      <w:r w:rsidR="00F606CE" w:rsidRPr="00FB4EFA">
        <w:rPr>
          <w:rFonts w:eastAsia="Times New Roman" w:cs="Charis SIL"/>
          <w:szCs w:val="24"/>
          <w:lang w:val="en-US" w:eastAsia="de-DE"/>
        </w:rPr>
        <w:t>(</w:t>
      </w:r>
      <w:r w:rsidRPr="00FB4EFA">
        <w:rPr>
          <w:rFonts w:eastAsia="Times New Roman" w:cs="Charis SIL"/>
          <w:szCs w:val="24"/>
          <w:lang w:val="en-US" w:eastAsia="de-DE"/>
        </w:rPr>
        <w:t>ChND_0412_Djajku_flkd.004</w:t>
      </w:r>
      <w:r w:rsidR="00F606CE" w:rsidRPr="00FB4EFA">
        <w:rPr>
          <w:rFonts w:eastAsia="Times New Roman" w:cs="Charis SIL"/>
          <w:szCs w:val="24"/>
          <w:lang w:val="en-US" w:eastAsia="de-DE"/>
        </w:rPr>
        <w:t>)</w:t>
      </w:r>
    </w:p>
    <w:p w14:paraId="4D04DE7A" w14:textId="77777777" w:rsidR="00092304" w:rsidRPr="00FB4EFA" w:rsidRDefault="00092304" w:rsidP="00AF0CAD">
      <w:pPr>
        <w:tabs>
          <w:tab w:val="left" w:pos="709"/>
          <w:tab w:val="left" w:pos="1276"/>
          <w:tab w:val="left" w:pos="2835"/>
          <w:tab w:val="left" w:pos="4395"/>
        </w:tabs>
        <w:spacing w:before="120" w:line="240" w:lineRule="auto"/>
        <w:rPr>
          <w:rFonts w:eastAsia="Times New Roman" w:cs="Charis SIL"/>
          <w:i/>
          <w:szCs w:val="24"/>
          <w:lang w:val="en-US" w:eastAsia="de-DE"/>
        </w:rPr>
      </w:pPr>
      <w:r w:rsidRPr="00FB4EFA">
        <w:rPr>
          <w:rFonts w:eastAsia="Times New Roman" w:cs="Charis SIL"/>
          <w:szCs w:val="24"/>
          <w:lang w:val="en-US" w:eastAsia="de-DE"/>
        </w:rPr>
        <w:tab/>
        <w:t>b.</w:t>
      </w:r>
      <w:r w:rsidRPr="00FB4EFA">
        <w:rPr>
          <w:rFonts w:eastAsia="Times New Roman" w:cs="Charis SIL"/>
          <w:szCs w:val="24"/>
          <w:lang w:val="en-US" w:eastAsia="de-DE"/>
        </w:rPr>
        <w:tab/>
      </w:r>
      <w:r w:rsidRPr="00FB4EFA">
        <w:rPr>
          <w:rFonts w:eastAsia="Times New Roman" w:cs="Charis SIL"/>
          <w:i/>
          <w:szCs w:val="24"/>
          <w:lang w:val="en-US" w:eastAsia="de-DE"/>
        </w:rPr>
        <w:t>b</w:t>
      </w:r>
      <w:r w:rsidRPr="00FB4EFA">
        <w:rPr>
          <w:rFonts w:eastAsia="Times New Roman" w:cs="Times New Roman"/>
          <w:i/>
          <w:szCs w:val="24"/>
          <w:lang w:val="en-US" w:eastAsia="de-DE"/>
        </w:rPr>
        <w:t>ə</w:t>
      </w:r>
      <w:r w:rsidRPr="00FB4EFA">
        <w:rPr>
          <w:rFonts w:eastAsia="Times New Roman" w:cs="Charis SIL"/>
          <w:i/>
          <w:szCs w:val="24"/>
          <w:lang w:val="en-US" w:eastAsia="de-DE"/>
        </w:rPr>
        <w:t>t</w:t>
      </w:r>
      <w:r w:rsidRPr="00FB4EFA">
        <w:rPr>
          <w:rFonts w:eastAsia="Times New Roman" w:cs="Times New Roman"/>
          <w:i/>
          <w:szCs w:val="24"/>
          <w:lang w:val="en-US" w:eastAsia="de-DE"/>
        </w:rPr>
        <w:t>ɨď</w:t>
      </w:r>
      <w:r w:rsidRPr="00FB4EFA">
        <w:rPr>
          <w:rFonts w:eastAsia="Times New Roman" w:cs="Charis SIL"/>
          <w:i/>
          <w:szCs w:val="24"/>
          <w:lang w:val="en-US" w:eastAsia="de-DE"/>
        </w:rPr>
        <w:t>i</w:t>
      </w:r>
      <w:r w:rsidRPr="00FB4EFA">
        <w:rPr>
          <w:rFonts w:eastAsia="Times New Roman" w:cs="Charis SIL"/>
          <w:i/>
          <w:szCs w:val="24"/>
          <w:lang w:val="en-US" w:eastAsia="de-DE"/>
        </w:rPr>
        <w:tab/>
      </w:r>
      <w:r w:rsidRPr="00FB4EFA">
        <w:rPr>
          <w:rFonts w:eastAsia="Times New Roman" w:cs="Cambria"/>
          <w:i/>
          <w:szCs w:val="24"/>
          <w:lang w:val="en-US" w:eastAsia="de-DE"/>
        </w:rPr>
        <w:t>ď</w:t>
      </w:r>
      <w:r w:rsidRPr="00FB4EFA">
        <w:rPr>
          <w:rFonts w:eastAsia="Times New Roman" w:cs="Baskerville Old Face"/>
          <w:i/>
          <w:szCs w:val="24"/>
          <w:lang w:val="en-US" w:eastAsia="de-DE"/>
        </w:rPr>
        <w:t>ü</w:t>
      </w:r>
      <w:r w:rsidRPr="00FB4EFA">
        <w:rPr>
          <w:rFonts w:eastAsia="Times New Roman" w:cs="Charis SIL"/>
          <w:i/>
          <w:szCs w:val="24"/>
          <w:lang w:val="en-US" w:eastAsia="de-DE"/>
        </w:rPr>
        <w:t>t</w:t>
      </w:r>
      <w:r w:rsidRPr="00FB4EFA">
        <w:rPr>
          <w:rFonts w:eastAsia="Times New Roman" w:cs="Baskerville Old Face"/>
          <w:i/>
          <w:szCs w:val="24"/>
          <w:lang w:val="en-US" w:eastAsia="de-DE"/>
        </w:rPr>
        <w:t>ü</w:t>
      </w:r>
      <w:r w:rsidRPr="00FB4EFA">
        <w:rPr>
          <w:rFonts w:eastAsia="Times New Roman" w:cs="Charis SIL"/>
          <w:i/>
          <w:szCs w:val="24"/>
          <w:lang w:val="en-US" w:eastAsia="de-DE"/>
        </w:rPr>
        <w:t>-</w:t>
      </w:r>
      <w:r w:rsidRPr="00FB4EFA">
        <w:rPr>
          <w:rFonts w:eastAsia="Times New Roman" w:cs="Baskerville Old Face"/>
          <w:i/>
          <w:szCs w:val="24"/>
          <w:lang w:val="en-US" w:eastAsia="de-DE"/>
        </w:rPr>
        <w:t>ðü</w:t>
      </w:r>
      <w:r w:rsidRPr="00FB4EFA">
        <w:rPr>
          <w:rFonts w:eastAsia="Times New Roman" w:cs="Charis SIL"/>
          <w:i/>
          <w:szCs w:val="24"/>
          <w:lang w:val="en-US" w:eastAsia="de-DE"/>
        </w:rPr>
        <w:t xml:space="preserve"> </w:t>
      </w:r>
      <w:r w:rsidRPr="00FB4EFA">
        <w:rPr>
          <w:rFonts w:eastAsia="Times New Roman" w:cs="Charis SIL"/>
          <w:i/>
          <w:szCs w:val="24"/>
          <w:lang w:val="en-US" w:eastAsia="de-DE"/>
        </w:rPr>
        <w:tab/>
        <w:t>t</w:t>
      </w:r>
      <w:r w:rsidRPr="00FB4EFA">
        <w:rPr>
          <w:rFonts w:eastAsia="Times New Roman" w:cs="Times New Roman"/>
          <w:i/>
          <w:szCs w:val="24"/>
          <w:lang w:val="en-US" w:eastAsia="de-DE"/>
        </w:rPr>
        <w:t>ə</w:t>
      </w:r>
      <w:r w:rsidRPr="00FB4EFA">
        <w:rPr>
          <w:rFonts w:eastAsia="Times New Roman" w:cs="Baskerville Old Face"/>
          <w:i/>
          <w:szCs w:val="24"/>
          <w:lang w:val="en-US" w:eastAsia="de-DE"/>
        </w:rPr>
        <w:t>ðü</w:t>
      </w:r>
      <w:r w:rsidRPr="00FB4EFA">
        <w:rPr>
          <w:rFonts w:eastAsia="Times New Roman" w:cs="Charis SIL"/>
          <w:i/>
          <w:szCs w:val="24"/>
          <w:lang w:val="en-US" w:eastAsia="de-DE"/>
        </w:rPr>
        <w:t>-</w:t>
      </w:r>
      <w:r w:rsidRPr="00FB4EFA">
        <w:rPr>
          <w:rFonts w:eastAsia="Times New Roman" w:cs="Cambria"/>
          <w:i/>
          <w:szCs w:val="24"/>
          <w:lang w:val="en-US" w:eastAsia="de-DE"/>
        </w:rPr>
        <w:t>Ɂə</w:t>
      </w:r>
      <w:r w:rsidRPr="00FB4EFA">
        <w:rPr>
          <w:rFonts w:eastAsia="Times New Roman" w:cs="Charis SIL"/>
          <w:i/>
          <w:szCs w:val="24"/>
          <w:lang w:val="en-US" w:eastAsia="de-DE"/>
        </w:rPr>
        <w:t>.</w:t>
      </w:r>
    </w:p>
    <w:p w14:paraId="4ED7CC0E" w14:textId="77777777" w:rsidR="00092304" w:rsidRPr="00FB4EFA" w:rsidRDefault="00092304" w:rsidP="008A7171">
      <w:pPr>
        <w:tabs>
          <w:tab w:val="left" w:pos="709"/>
          <w:tab w:val="left" w:pos="1276"/>
          <w:tab w:val="left" w:pos="2835"/>
          <w:tab w:val="left" w:pos="4395"/>
        </w:tabs>
        <w:spacing w:line="240" w:lineRule="auto"/>
        <w:rPr>
          <w:rFonts w:eastAsia="Times New Roman" w:cs="Charis SIL"/>
          <w:szCs w:val="24"/>
          <w:lang w:val="en-US" w:eastAsia="de-DE"/>
        </w:rPr>
      </w:pPr>
      <w:r w:rsidRPr="00FB4EFA">
        <w:rPr>
          <w:rFonts w:eastAsia="Times New Roman" w:cs="Charis SIL"/>
          <w:szCs w:val="24"/>
          <w:lang w:val="en-US" w:eastAsia="de-DE"/>
        </w:rPr>
        <w:tab/>
      </w:r>
      <w:r w:rsidRPr="00FB4EFA">
        <w:rPr>
          <w:rFonts w:eastAsia="Times New Roman" w:cs="Charis SIL"/>
          <w:szCs w:val="24"/>
          <w:lang w:val="en-US" w:eastAsia="de-DE"/>
        </w:rPr>
        <w:tab/>
        <w:t>left</w:t>
      </w:r>
      <w:r w:rsidRPr="00FB4EFA">
        <w:rPr>
          <w:rFonts w:eastAsia="Times New Roman" w:cs="Charis SIL"/>
          <w:szCs w:val="24"/>
          <w:lang w:val="en-US" w:eastAsia="de-DE"/>
        </w:rPr>
        <w:tab/>
        <w:t>hand-</w:t>
      </w:r>
      <w:r w:rsidRPr="00FB4EFA">
        <w:rPr>
          <w:rFonts w:eastAsia="Times New Roman" w:cs="Charis SIL"/>
          <w:smallCaps/>
          <w:szCs w:val="24"/>
          <w:lang w:val="en-US" w:eastAsia="de-DE"/>
        </w:rPr>
        <w:t>poss3sg</w:t>
      </w:r>
      <w:r w:rsidRPr="00FB4EFA">
        <w:rPr>
          <w:rFonts w:eastAsia="Times New Roman" w:cs="Charis SIL"/>
          <w:szCs w:val="24"/>
          <w:lang w:val="en-US" w:eastAsia="de-DE"/>
        </w:rPr>
        <w:t xml:space="preserve"> </w:t>
      </w:r>
      <w:r w:rsidRPr="00FB4EFA">
        <w:rPr>
          <w:rFonts w:eastAsia="Times New Roman" w:cs="Charis SIL"/>
          <w:szCs w:val="24"/>
          <w:lang w:val="en-US" w:eastAsia="de-DE"/>
        </w:rPr>
        <w:tab/>
        <w:t>stuck-</w:t>
      </w:r>
      <w:r w:rsidRPr="00FB4EFA">
        <w:rPr>
          <w:rFonts w:eastAsia="Times New Roman" w:cs="Charis SIL"/>
          <w:smallCaps/>
          <w:szCs w:val="24"/>
          <w:lang w:val="en-US" w:eastAsia="de-DE"/>
        </w:rPr>
        <w:t>co.3sg</w:t>
      </w:r>
    </w:p>
    <w:p w14:paraId="47BC17D7" w14:textId="77777777" w:rsidR="00092304" w:rsidRPr="00FB4EFA" w:rsidRDefault="00092304" w:rsidP="008A7171">
      <w:pPr>
        <w:tabs>
          <w:tab w:val="left" w:pos="709"/>
          <w:tab w:val="left" w:pos="1276"/>
          <w:tab w:val="left" w:pos="2835"/>
          <w:tab w:val="left" w:pos="4395"/>
        </w:tabs>
        <w:spacing w:line="240" w:lineRule="auto"/>
        <w:rPr>
          <w:rFonts w:eastAsia="Times New Roman" w:cs="Charis SIL"/>
          <w:szCs w:val="24"/>
          <w:lang w:val="en-US" w:eastAsia="de-DE"/>
        </w:rPr>
      </w:pPr>
      <w:r w:rsidRPr="00FB4EFA">
        <w:rPr>
          <w:rFonts w:eastAsia="Times New Roman" w:cs="Charis SIL"/>
          <w:szCs w:val="24"/>
          <w:lang w:val="en-US" w:eastAsia="de-DE"/>
        </w:rPr>
        <w:tab/>
      </w:r>
      <w:r w:rsidRPr="00FB4EFA">
        <w:rPr>
          <w:rFonts w:eastAsia="Times New Roman" w:cs="Charis SIL"/>
          <w:szCs w:val="24"/>
          <w:lang w:val="en-US" w:eastAsia="de-DE"/>
        </w:rPr>
        <w:tab/>
        <w:t>‘His left hand stuck (to the stub).’</w:t>
      </w:r>
    </w:p>
    <w:p w14:paraId="15EB7C62" w14:textId="6306941C" w:rsidR="00092304" w:rsidRPr="00FB4EFA" w:rsidRDefault="00092304" w:rsidP="008A7171">
      <w:pPr>
        <w:tabs>
          <w:tab w:val="left" w:pos="709"/>
          <w:tab w:val="left" w:pos="1276"/>
          <w:tab w:val="left" w:pos="2835"/>
          <w:tab w:val="left" w:pos="4395"/>
        </w:tabs>
        <w:spacing w:line="240" w:lineRule="auto"/>
        <w:rPr>
          <w:rFonts w:eastAsia="Times New Roman" w:cs="Charis SIL"/>
          <w:szCs w:val="24"/>
          <w:lang w:val="en-US" w:eastAsia="de-DE"/>
        </w:rPr>
      </w:pPr>
      <w:r w:rsidRPr="00FB4EFA">
        <w:rPr>
          <w:rFonts w:eastAsia="Times New Roman" w:cs="Charis SIL"/>
          <w:szCs w:val="24"/>
          <w:lang w:val="en-US" w:eastAsia="de-DE"/>
        </w:rPr>
        <w:tab/>
      </w:r>
      <w:r w:rsidRPr="00FB4EFA">
        <w:rPr>
          <w:rFonts w:eastAsia="Times New Roman" w:cs="Charis SIL"/>
          <w:szCs w:val="24"/>
          <w:lang w:val="en-US" w:eastAsia="de-DE"/>
        </w:rPr>
        <w:tab/>
      </w:r>
      <w:r w:rsidR="00F606CE" w:rsidRPr="00FB4EFA">
        <w:rPr>
          <w:rFonts w:eastAsia="Times New Roman" w:cs="Charis SIL"/>
          <w:szCs w:val="24"/>
          <w:lang w:val="en-US" w:eastAsia="de-DE"/>
        </w:rPr>
        <w:t>(</w:t>
      </w:r>
      <w:r w:rsidRPr="00FB4EFA">
        <w:rPr>
          <w:rFonts w:eastAsia="Times New Roman" w:cs="Charis SIL"/>
          <w:szCs w:val="24"/>
          <w:lang w:val="en-US" w:eastAsia="de-DE"/>
        </w:rPr>
        <w:t>ChND_0412_Djajku_flkd.007</w:t>
      </w:r>
      <w:r w:rsidR="00F606CE" w:rsidRPr="00FB4EFA">
        <w:rPr>
          <w:rFonts w:eastAsia="Times New Roman" w:cs="Charis SIL"/>
          <w:szCs w:val="24"/>
          <w:lang w:val="en-US" w:eastAsia="de-DE"/>
        </w:rPr>
        <w:t>)</w:t>
      </w:r>
    </w:p>
    <w:p w14:paraId="060F76F3" w14:textId="77777777" w:rsidR="00092304" w:rsidRPr="00FB4EFA" w:rsidRDefault="00092304" w:rsidP="00AF0CAD">
      <w:pPr>
        <w:spacing w:before="240" w:after="240"/>
        <w:rPr>
          <w:lang w:val="en-US" w:eastAsia="de-DE"/>
        </w:rPr>
      </w:pPr>
      <w:r w:rsidRPr="00FB4EFA">
        <w:rPr>
          <w:lang w:val="en-US" w:eastAsia="de-DE"/>
        </w:rPr>
        <w:t xml:space="preserve">The speaker can also use these words to denote directions, as in (6a-b). This is the </w:t>
      </w:r>
      <w:r w:rsidRPr="00FB4EFA">
        <w:rPr>
          <w:smallCaps/>
          <w:lang w:val="en-US" w:eastAsia="de-DE"/>
        </w:rPr>
        <w:t>projector-based</w:t>
      </w:r>
      <w:r w:rsidRPr="00FB4EFA">
        <w:rPr>
          <w:lang w:val="en-US" w:eastAsia="de-DE"/>
        </w:rPr>
        <w:t xml:space="preserve"> reference frame, in which the frame of the speaker or hearer is projected out. Here, the </w:t>
      </w:r>
      <w:r w:rsidRPr="00FB4EFA">
        <w:rPr>
          <w:smallCaps/>
          <w:lang w:val="en-US" w:eastAsia="de-DE"/>
        </w:rPr>
        <w:t>figure</w:t>
      </w:r>
      <w:r w:rsidRPr="00FB4EFA">
        <w:rPr>
          <w:lang w:val="en-US" w:eastAsia="de-DE"/>
        </w:rPr>
        <w:t xml:space="preserve"> is localized with respect to the primary reference object. In the story these two sentences </w:t>
      </w:r>
      <w:r w:rsidRPr="00FB4EFA">
        <w:rPr>
          <w:lang w:val="en-US" w:eastAsia="de-DE"/>
        </w:rPr>
        <w:lastRenderedPageBreak/>
        <w:t>refer to the protagonist who wants to defeat another person, trying to throw him down. This means that the protagonist is the projector. In both sentences, the lexemes for ‘right’ and ‘left’ are used as nouns, which is not uncommon in Uralic languages. The same construction is possible in Hungarian (</w:t>
      </w:r>
      <w:r w:rsidRPr="00FB4EFA">
        <w:rPr>
          <w:i/>
          <w:lang w:val="en-US" w:eastAsia="de-DE"/>
        </w:rPr>
        <w:t>balra / jobbra dobta</w:t>
      </w:r>
      <w:r w:rsidRPr="00FB4EFA">
        <w:rPr>
          <w:lang w:val="en-US" w:eastAsia="de-DE"/>
        </w:rPr>
        <w:t xml:space="preserve"> ‘s/he threw (it) to the left/right’).</w:t>
      </w:r>
    </w:p>
    <w:p w14:paraId="1A52F65C" w14:textId="77777777" w:rsidR="00092304" w:rsidRPr="00FB4EFA" w:rsidRDefault="00092304" w:rsidP="00C9146D">
      <w:pPr>
        <w:keepNext/>
        <w:tabs>
          <w:tab w:val="left" w:pos="709"/>
          <w:tab w:val="left" w:pos="1276"/>
          <w:tab w:val="left" w:pos="2835"/>
          <w:tab w:val="left" w:pos="3686"/>
          <w:tab w:val="left" w:pos="5670"/>
        </w:tabs>
        <w:spacing w:line="240" w:lineRule="auto"/>
        <w:rPr>
          <w:rFonts w:eastAsia="Times New Roman" w:cs="Charis SIL"/>
          <w:lang w:val="en-US" w:eastAsia="de-DE"/>
        </w:rPr>
      </w:pPr>
      <w:r w:rsidRPr="00FB4EFA">
        <w:rPr>
          <w:rFonts w:eastAsia="Times New Roman" w:cs="Charis SIL"/>
          <w:lang w:val="en-US" w:eastAsia="de-DE"/>
        </w:rPr>
        <w:t>(6)</w:t>
      </w:r>
      <w:r w:rsidRPr="00FB4EFA">
        <w:rPr>
          <w:rFonts w:eastAsia="Times New Roman" w:cs="Charis SIL"/>
          <w:lang w:val="en-US" w:eastAsia="de-DE"/>
        </w:rPr>
        <w:tab/>
        <w:t>a.</w:t>
      </w:r>
      <w:r w:rsidRPr="00FB4EFA">
        <w:rPr>
          <w:rFonts w:eastAsia="Times New Roman" w:cs="Charis SIL"/>
          <w:lang w:val="en-US" w:eastAsia="de-DE"/>
        </w:rPr>
        <w:tab/>
      </w:r>
      <w:r w:rsidRPr="00FB4EFA">
        <w:rPr>
          <w:rFonts w:eastAsia="Times New Roman" w:cs="Charis SIL"/>
          <w:i/>
          <w:lang w:val="en-US" w:eastAsia="de-DE"/>
        </w:rPr>
        <w:t>mantimü</w:t>
      </w:r>
      <w:r w:rsidRPr="00FB4EFA">
        <w:rPr>
          <w:rFonts w:eastAsia="Times New Roman" w:cs="Charis SIL"/>
          <w:i/>
          <w:lang w:val="en-US" w:eastAsia="de-DE"/>
        </w:rPr>
        <w:tab/>
        <w:t xml:space="preserve">ďa </w:t>
      </w:r>
      <w:r w:rsidRPr="00FB4EFA">
        <w:rPr>
          <w:rFonts w:eastAsia="Times New Roman" w:cs="Charis SIL"/>
          <w:i/>
          <w:lang w:val="en-US" w:eastAsia="de-DE"/>
        </w:rPr>
        <w:tab/>
        <w:t xml:space="preserve">hu͡atəmi-Ɂə-ðu, </w:t>
      </w:r>
      <w:r w:rsidRPr="00FB4EFA">
        <w:rPr>
          <w:rFonts w:eastAsia="Times New Roman" w:cs="Charis SIL"/>
          <w:i/>
          <w:lang w:val="en-US" w:eastAsia="de-DE"/>
        </w:rPr>
        <w:tab/>
      </w:r>
      <w:r w:rsidRPr="00FB4EFA">
        <w:rPr>
          <w:rFonts w:eastAsia="Times New Roman" w:cs="Charis SIL"/>
          <w:i/>
          <w:lang w:val="en-US" w:eastAsia="de-DE"/>
        </w:rPr>
        <w:tab/>
        <w:t>ďaŋku.</w:t>
      </w:r>
    </w:p>
    <w:p w14:paraId="7BC1F618" w14:textId="77777777" w:rsidR="00092304" w:rsidRPr="00FB4EFA" w:rsidRDefault="00092304" w:rsidP="008A7171">
      <w:pPr>
        <w:keepNext/>
        <w:tabs>
          <w:tab w:val="left" w:pos="709"/>
          <w:tab w:val="left" w:pos="1276"/>
          <w:tab w:val="left" w:pos="2835"/>
          <w:tab w:val="left" w:pos="3686"/>
          <w:tab w:val="left" w:pos="5670"/>
        </w:tabs>
        <w:spacing w:line="240" w:lineRule="auto"/>
        <w:rPr>
          <w:rFonts w:eastAsia="Times New Roman" w:cs="Charis SIL"/>
          <w:lang w:val="en-US" w:eastAsia="de-DE"/>
        </w:rPr>
      </w:pPr>
      <w:r w:rsidRPr="00FB4EFA">
        <w:rPr>
          <w:rFonts w:eastAsia="Times New Roman" w:cs="Charis SIL"/>
          <w:lang w:val="en-US" w:eastAsia="de-DE"/>
        </w:rPr>
        <w:tab/>
      </w:r>
      <w:r w:rsidRPr="00FB4EFA">
        <w:rPr>
          <w:rFonts w:eastAsia="Times New Roman" w:cs="Charis SIL"/>
          <w:lang w:val="en-US" w:eastAsia="de-DE"/>
        </w:rPr>
        <w:tab/>
        <w:t>right.</w:t>
      </w:r>
      <w:r w:rsidRPr="00FB4EFA">
        <w:rPr>
          <w:rFonts w:eastAsia="Times New Roman" w:cs="Charis SIL"/>
          <w:smallCaps/>
          <w:lang w:val="en-US" w:eastAsia="de-DE"/>
        </w:rPr>
        <w:t>gen</w:t>
      </w:r>
      <w:r w:rsidRPr="00FB4EFA">
        <w:rPr>
          <w:rFonts w:eastAsia="Times New Roman" w:cs="Charis SIL"/>
          <w:lang w:val="en-US" w:eastAsia="de-DE"/>
        </w:rPr>
        <w:tab/>
      </w:r>
      <w:r w:rsidRPr="00FB4EFA">
        <w:rPr>
          <w:rFonts w:eastAsia="Times New Roman" w:cs="Charis SIL"/>
          <w:smallCaps/>
          <w:lang w:val="en-US" w:eastAsia="de-DE"/>
        </w:rPr>
        <w:t>all</w:t>
      </w:r>
      <w:r w:rsidRPr="00FB4EFA">
        <w:rPr>
          <w:rFonts w:eastAsia="Times New Roman" w:cs="Charis SIL"/>
          <w:lang w:val="en-US" w:eastAsia="de-DE"/>
        </w:rPr>
        <w:tab/>
        <w:t>whip-</w:t>
      </w:r>
      <w:r w:rsidRPr="00FB4EFA">
        <w:rPr>
          <w:rFonts w:eastAsia="Times New Roman" w:cs="Charis SIL"/>
          <w:smallCaps/>
          <w:lang w:val="en-US" w:eastAsia="de-DE"/>
        </w:rPr>
        <w:t>co-3sg&gt;sg</w:t>
      </w:r>
      <w:r w:rsidRPr="00FB4EFA">
        <w:rPr>
          <w:rFonts w:eastAsia="Times New Roman" w:cs="Charis SIL"/>
          <w:smallCaps/>
          <w:lang w:val="en-US" w:eastAsia="de-DE"/>
        </w:rPr>
        <w:tab/>
      </w:r>
      <w:r w:rsidRPr="00FB4EFA">
        <w:rPr>
          <w:rFonts w:eastAsia="Times New Roman" w:cs="Charis SIL"/>
          <w:lang w:val="en-US" w:eastAsia="de-DE"/>
        </w:rPr>
        <w:t>not.exist.</w:t>
      </w:r>
      <w:r w:rsidRPr="00FB4EFA">
        <w:rPr>
          <w:rFonts w:eastAsia="Times New Roman" w:cs="Charis SIL"/>
          <w:smallCaps/>
          <w:lang w:val="en-US" w:eastAsia="de-DE"/>
        </w:rPr>
        <w:t>3sg</w:t>
      </w:r>
    </w:p>
    <w:p w14:paraId="4D175FD8" w14:textId="58D1D38F" w:rsidR="00092304" w:rsidRPr="00FB4EFA" w:rsidRDefault="00092304" w:rsidP="00F606CE">
      <w:pPr>
        <w:spacing w:line="240" w:lineRule="auto"/>
        <w:ind w:left="1276"/>
        <w:rPr>
          <w:rFonts w:eastAsia="Times New Roman" w:cs="Charis SIL"/>
          <w:lang w:val="en-US" w:eastAsia="de-DE"/>
        </w:rPr>
      </w:pPr>
      <w:r w:rsidRPr="00FB4EFA">
        <w:rPr>
          <w:rFonts w:eastAsia="Times New Roman" w:cs="Charis SIL"/>
          <w:lang w:val="en-US" w:eastAsia="de-DE"/>
        </w:rPr>
        <w:t>‘(He) wanted to throw (him) to the right side, (but) it didn’t work.’</w:t>
      </w:r>
      <w:r w:rsidR="00F606CE" w:rsidRPr="00FB4EFA">
        <w:rPr>
          <w:rFonts w:eastAsia="Times New Roman" w:cs="Charis SIL"/>
          <w:lang w:val="en-US" w:eastAsia="de-DE"/>
        </w:rPr>
        <w:t xml:space="preserve"> (</w:t>
      </w:r>
      <w:r w:rsidRPr="00FB4EFA">
        <w:rPr>
          <w:rFonts w:eastAsia="Times New Roman" w:cs="Charis SIL"/>
          <w:lang w:val="en-US" w:eastAsia="de-DE"/>
        </w:rPr>
        <w:t>JDH_00_Musuna_flkd.233</w:t>
      </w:r>
      <w:r w:rsidR="00F606CE" w:rsidRPr="00FB4EFA">
        <w:rPr>
          <w:rFonts w:eastAsia="Times New Roman" w:cs="Charis SIL"/>
          <w:lang w:val="en-US" w:eastAsia="de-DE"/>
        </w:rPr>
        <w:t>)</w:t>
      </w:r>
    </w:p>
    <w:p w14:paraId="14C4CB92" w14:textId="77777777" w:rsidR="00092304" w:rsidRPr="00FB4EFA" w:rsidRDefault="00092304" w:rsidP="00C9146D">
      <w:pPr>
        <w:tabs>
          <w:tab w:val="left" w:pos="1276"/>
          <w:tab w:val="left" w:pos="1843"/>
          <w:tab w:val="left" w:pos="2694"/>
          <w:tab w:val="left" w:pos="3544"/>
          <w:tab w:val="left" w:pos="5529"/>
        </w:tabs>
        <w:spacing w:before="120" w:line="240" w:lineRule="auto"/>
        <w:ind w:left="284" w:firstLine="425"/>
        <w:rPr>
          <w:rFonts w:eastAsia="Times New Roman" w:cs="Charis SIL"/>
          <w:i/>
          <w:lang w:val="en-US" w:eastAsia="de-DE"/>
        </w:rPr>
      </w:pPr>
      <w:r w:rsidRPr="00FB4EFA">
        <w:rPr>
          <w:rFonts w:eastAsia="Times New Roman" w:cs="Charis SIL"/>
          <w:lang w:val="en-US" w:eastAsia="de-DE"/>
        </w:rPr>
        <w:t>b.</w:t>
      </w:r>
      <w:r w:rsidRPr="00FB4EFA">
        <w:rPr>
          <w:rFonts w:eastAsia="Times New Roman" w:cs="Charis SIL"/>
          <w:lang w:val="en-US" w:eastAsia="de-DE"/>
        </w:rPr>
        <w:tab/>
      </w:r>
      <w:r w:rsidRPr="00FB4EFA">
        <w:rPr>
          <w:rFonts w:eastAsia="Times New Roman" w:cs="Charis SIL"/>
          <w:i/>
          <w:lang w:val="en-US" w:eastAsia="de-DE"/>
        </w:rPr>
        <w:t xml:space="preserve">tə, </w:t>
      </w:r>
      <w:r w:rsidRPr="00FB4EFA">
        <w:rPr>
          <w:rFonts w:eastAsia="Times New Roman" w:cs="Charis SIL"/>
          <w:i/>
          <w:lang w:val="en-US" w:eastAsia="de-DE"/>
        </w:rPr>
        <w:tab/>
        <w:t xml:space="preserve">bəðiə </w:t>
      </w:r>
      <w:r w:rsidRPr="00FB4EFA">
        <w:rPr>
          <w:rFonts w:eastAsia="Times New Roman" w:cs="Charis SIL"/>
          <w:i/>
          <w:lang w:val="en-US" w:eastAsia="de-DE"/>
        </w:rPr>
        <w:tab/>
        <w:t>ďa</w:t>
      </w:r>
      <w:r w:rsidRPr="00FB4EFA">
        <w:rPr>
          <w:rFonts w:eastAsia="Times New Roman" w:cs="Charis SIL"/>
          <w:i/>
          <w:lang w:val="en-US" w:eastAsia="de-DE"/>
        </w:rPr>
        <w:tab/>
        <w:t>hu͡atəmi-Ɂə-ðu,</w:t>
      </w:r>
      <w:r w:rsidRPr="00FB4EFA">
        <w:rPr>
          <w:rFonts w:eastAsia="Times New Roman" w:cs="Charis SIL"/>
          <w:i/>
          <w:lang w:val="en-US" w:eastAsia="de-DE"/>
        </w:rPr>
        <w:tab/>
        <w:t>ďaŋku,</w:t>
      </w:r>
      <w:r w:rsidRPr="00FB4EFA">
        <w:rPr>
          <w:rFonts w:eastAsia="Times New Roman" w:cs="Charis SIL"/>
          <w:i/>
          <w:lang w:val="en-US" w:eastAsia="de-DE"/>
        </w:rPr>
        <w:br/>
      </w:r>
      <w:r w:rsidRPr="00FB4EFA">
        <w:rPr>
          <w:rFonts w:eastAsia="Times New Roman" w:cs="Charis SIL"/>
          <w:i/>
          <w:lang w:val="en-US" w:eastAsia="de-DE"/>
        </w:rPr>
        <w:tab/>
      </w:r>
      <w:r w:rsidRPr="00FB4EFA">
        <w:rPr>
          <w:rFonts w:eastAsia="Times New Roman" w:cs="Charis SIL"/>
          <w:lang w:val="en-US" w:eastAsia="de-DE"/>
        </w:rPr>
        <w:t>now</w:t>
      </w:r>
      <w:r w:rsidRPr="00FB4EFA">
        <w:rPr>
          <w:rFonts w:eastAsia="Times New Roman" w:cs="Charis SIL"/>
          <w:lang w:val="en-US" w:eastAsia="de-DE"/>
        </w:rPr>
        <w:tab/>
        <w:t>left.</w:t>
      </w:r>
      <w:r w:rsidRPr="00FB4EFA">
        <w:rPr>
          <w:rFonts w:eastAsia="Times New Roman" w:cs="Charis SIL"/>
          <w:smallCaps/>
          <w:lang w:val="en-US" w:eastAsia="de-DE"/>
        </w:rPr>
        <w:t>gen</w:t>
      </w:r>
      <w:r w:rsidRPr="00FB4EFA">
        <w:rPr>
          <w:rFonts w:eastAsia="Times New Roman" w:cs="Charis SIL"/>
          <w:smallCaps/>
          <w:lang w:val="en-US" w:eastAsia="de-DE"/>
        </w:rPr>
        <w:tab/>
        <w:t>all</w:t>
      </w:r>
      <w:r w:rsidRPr="00FB4EFA">
        <w:rPr>
          <w:rFonts w:eastAsia="Times New Roman" w:cs="Charis SIL"/>
          <w:smallCaps/>
          <w:lang w:val="en-US" w:eastAsia="de-DE"/>
        </w:rPr>
        <w:tab/>
      </w:r>
      <w:r w:rsidRPr="00FB4EFA">
        <w:rPr>
          <w:rFonts w:eastAsia="Times New Roman" w:cs="Charis SIL"/>
          <w:lang w:val="en-US" w:eastAsia="de-DE"/>
        </w:rPr>
        <w:t>whip-</w:t>
      </w:r>
      <w:r w:rsidRPr="00FB4EFA">
        <w:rPr>
          <w:rFonts w:eastAsia="Times New Roman" w:cs="Charis SIL"/>
          <w:smallCaps/>
          <w:lang w:val="en-US" w:eastAsia="de-DE"/>
        </w:rPr>
        <w:t>co-3sg&gt;sg</w:t>
      </w:r>
      <w:r w:rsidRPr="00FB4EFA">
        <w:rPr>
          <w:rFonts w:eastAsia="Times New Roman" w:cs="Charis SIL"/>
          <w:smallCaps/>
          <w:lang w:val="en-US" w:eastAsia="de-DE"/>
        </w:rPr>
        <w:tab/>
      </w:r>
      <w:r w:rsidRPr="00FB4EFA">
        <w:rPr>
          <w:rFonts w:eastAsia="Times New Roman" w:cs="Charis SIL"/>
          <w:lang w:val="en-US" w:eastAsia="de-DE"/>
        </w:rPr>
        <w:t>not.exist</w:t>
      </w:r>
      <w:r w:rsidRPr="00FB4EFA">
        <w:rPr>
          <w:rFonts w:eastAsia="Times New Roman" w:cs="Charis SIL"/>
          <w:smallCaps/>
          <w:lang w:val="en-US" w:eastAsia="de-DE"/>
        </w:rPr>
        <w:t>.3sg</w:t>
      </w:r>
    </w:p>
    <w:p w14:paraId="5CC25B4E" w14:textId="77777777" w:rsidR="00092304" w:rsidRPr="00FB4EFA" w:rsidRDefault="00092304" w:rsidP="00AF0CAD">
      <w:pPr>
        <w:tabs>
          <w:tab w:val="left" w:pos="1276"/>
          <w:tab w:val="left" w:pos="1843"/>
          <w:tab w:val="left" w:pos="2694"/>
          <w:tab w:val="left" w:pos="3402"/>
        </w:tabs>
        <w:spacing w:before="120" w:line="240" w:lineRule="auto"/>
        <w:ind w:left="284" w:firstLine="284"/>
        <w:rPr>
          <w:rFonts w:eastAsia="Times New Roman" w:cs="Charis SIL"/>
          <w:i/>
          <w:lang w:val="en-US" w:eastAsia="de-DE"/>
        </w:rPr>
      </w:pPr>
      <w:r w:rsidRPr="00FB4EFA">
        <w:rPr>
          <w:rFonts w:eastAsia="Times New Roman" w:cs="Charis SIL"/>
          <w:lang w:val="en-US" w:eastAsia="de-DE"/>
        </w:rPr>
        <w:tab/>
      </w:r>
      <w:r w:rsidRPr="00FB4EFA">
        <w:rPr>
          <w:rFonts w:eastAsia="Times New Roman" w:cs="Charis SIL"/>
          <w:i/>
          <w:lang w:val="en-US" w:eastAsia="de-DE"/>
        </w:rPr>
        <w:t xml:space="preserve">hüə-tə </w:t>
      </w:r>
      <w:r w:rsidRPr="00FB4EFA">
        <w:rPr>
          <w:rFonts w:eastAsia="Times New Roman" w:cs="Charis SIL"/>
          <w:i/>
          <w:lang w:val="en-US" w:eastAsia="de-DE"/>
        </w:rPr>
        <w:tab/>
        <w:t>nəńďi-tɨ.</w:t>
      </w:r>
    </w:p>
    <w:p w14:paraId="2735B32D" w14:textId="77777777" w:rsidR="00092304" w:rsidRPr="00FB4EFA" w:rsidRDefault="00092304" w:rsidP="008A7171">
      <w:pPr>
        <w:tabs>
          <w:tab w:val="left" w:pos="1276"/>
          <w:tab w:val="left" w:pos="1843"/>
          <w:tab w:val="left" w:pos="2694"/>
          <w:tab w:val="left" w:pos="3402"/>
        </w:tabs>
        <w:spacing w:line="240" w:lineRule="auto"/>
        <w:ind w:left="284" w:firstLine="284"/>
        <w:rPr>
          <w:rFonts w:eastAsia="Times New Roman" w:cs="Charis SIL"/>
          <w:lang w:val="en-US" w:eastAsia="de-DE"/>
        </w:rPr>
      </w:pPr>
      <w:r w:rsidRPr="00FB4EFA">
        <w:rPr>
          <w:rFonts w:eastAsia="Times New Roman" w:cs="Charis SIL"/>
          <w:smallCaps/>
          <w:lang w:val="en-US" w:eastAsia="de-DE"/>
        </w:rPr>
        <w:tab/>
      </w:r>
      <w:r w:rsidRPr="00FB4EFA">
        <w:rPr>
          <w:rFonts w:eastAsia="Times New Roman" w:cs="Charis SIL"/>
          <w:lang w:val="en-US" w:eastAsia="de-DE"/>
        </w:rPr>
        <w:t>time</w:t>
      </w:r>
      <w:r w:rsidRPr="00FB4EFA">
        <w:rPr>
          <w:rFonts w:eastAsia="Times New Roman" w:cs="Charis SIL"/>
          <w:smallCaps/>
          <w:lang w:val="en-US" w:eastAsia="de-DE"/>
        </w:rPr>
        <w:t>-lat</w:t>
      </w:r>
      <w:r w:rsidRPr="00FB4EFA">
        <w:rPr>
          <w:rFonts w:eastAsia="Times New Roman" w:cs="Charis SIL"/>
          <w:smallCaps/>
          <w:lang w:val="en-US" w:eastAsia="de-DE"/>
        </w:rPr>
        <w:tab/>
      </w:r>
      <w:r w:rsidRPr="00FB4EFA">
        <w:rPr>
          <w:rFonts w:eastAsia="Times New Roman" w:cs="Charis SIL"/>
          <w:lang w:val="en-US" w:eastAsia="de-DE"/>
        </w:rPr>
        <w:t>stand</w:t>
      </w:r>
      <w:r w:rsidRPr="00FB4EFA">
        <w:rPr>
          <w:rFonts w:eastAsia="Times New Roman" w:cs="Charis SIL"/>
          <w:smallCaps/>
          <w:lang w:val="en-US" w:eastAsia="de-DE"/>
        </w:rPr>
        <w:t>-co.3sg</w:t>
      </w:r>
    </w:p>
    <w:p w14:paraId="54049244" w14:textId="1D053671" w:rsidR="00092304" w:rsidRPr="00FB4EFA" w:rsidRDefault="00092304" w:rsidP="00F606CE">
      <w:pPr>
        <w:spacing w:line="240" w:lineRule="auto"/>
        <w:ind w:left="1276" w:hanging="424"/>
        <w:rPr>
          <w:rFonts w:eastAsia="Times New Roman" w:cs="Charis SIL"/>
          <w:lang w:val="en-US" w:eastAsia="de-DE"/>
        </w:rPr>
      </w:pPr>
      <w:r w:rsidRPr="00FB4EFA">
        <w:rPr>
          <w:rFonts w:eastAsia="Times New Roman" w:cs="Charis SIL"/>
          <w:lang w:val="en-US" w:eastAsia="de-DE"/>
        </w:rPr>
        <w:tab/>
        <w:t>‘Now (he) threw (him) to the left side (back), no, (he) is still standing.’</w:t>
      </w:r>
      <w:r w:rsidR="00F606CE" w:rsidRPr="00FB4EFA">
        <w:rPr>
          <w:rFonts w:eastAsia="Times New Roman" w:cs="Charis SIL"/>
          <w:lang w:val="en-US" w:eastAsia="de-DE"/>
        </w:rPr>
        <w:t xml:space="preserve"> (</w:t>
      </w:r>
      <w:r w:rsidRPr="00FB4EFA">
        <w:rPr>
          <w:rFonts w:eastAsia="Times New Roman" w:cs="Charis SIL"/>
          <w:lang w:val="en-US" w:eastAsia="de-DE"/>
        </w:rPr>
        <w:t>JDH_00_Musuna_flkd.235</w:t>
      </w:r>
      <w:r w:rsidR="00F606CE" w:rsidRPr="00FB4EFA">
        <w:rPr>
          <w:rFonts w:eastAsia="Times New Roman" w:cs="Charis SIL"/>
          <w:lang w:val="en-US" w:eastAsia="de-DE"/>
        </w:rPr>
        <w:t>)</w:t>
      </w:r>
    </w:p>
    <w:p w14:paraId="4E6C17D7" w14:textId="69FC5220" w:rsidR="00092304" w:rsidRPr="00FB4EFA" w:rsidRDefault="00092304" w:rsidP="00AF0CAD">
      <w:pPr>
        <w:pStyle w:val="Heading3"/>
        <w:numPr>
          <w:ilvl w:val="1"/>
          <w:numId w:val="21"/>
        </w:numPr>
        <w:spacing w:line="259" w:lineRule="auto"/>
        <w:rPr>
          <w:lang w:val="en-US"/>
        </w:rPr>
      </w:pPr>
      <w:r w:rsidRPr="00FB4EFA">
        <w:rPr>
          <w:lang w:val="en-US"/>
        </w:rPr>
        <w:t>He is walking on the face road</w:t>
      </w:r>
    </w:p>
    <w:p w14:paraId="23DB647B" w14:textId="2FE29EF7" w:rsidR="00092304" w:rsidRPr="00FB4EFA" w:rsidRDefault="00092304" w:rsidP="00402EF4">
      <w:pPr>
        <w:spacing w:after="240"/>
        <w:rPr>
          <w:rFonts w:cs="Charis SIL"/>
          <w:szCs w:val="24"/>
          <w:lang w:val="en-US"/>
        </w:rPr>
      </w:pPr>
      <w:r w:rsidRPr="00FB4EFA">
        <w:rPr>
          <w:rFonts w:cs="Charis SIL"/>
          <w:szCs w:val="24"/>
          <w:lang w:val="en-US"/>
        </w:rPr>
        <w:t>As mentioned above, a kind of conceptual transfer can be found in the Northern Samoyedic languages as well. Two types of transfer are mostly used in languages: metonymic and metaphoric. In case of metonymic transfer an expression that is used to denote one entity is used instead to denote another one (</w:t>
      </w:r>
      <w:r w:rsidR="00466236" w:rsidRPr="00FB4EFA">
        <w:rPr>
          <w:rFonts w:cs="Charis SIL"/>
          <w:szCs w:val="24"/>
          <w:lang w:val="en-US"/>
        </w:rPr>
        <w:t>cf. </w:t>
      </w:r>
      <w:r w:rsidRPr="00FB4EFA">
        <w:rPr>
          <w:rFonts w:cs="Charis SIL"/>
          <w:szCs w:val="24"/>
          <w:lang w:val="en-US"/>
        </w:rPr>
        <w:t>Langacker 2000: 201). In the case of metaphoric transfer there is a transfer from one term to the other which is not formally marked, and which would be false if the statement were taken literally. Such conceptual transfers can also be found with the expressions of the direction of movement in Nganasan, where the source of the transfer is the human body. As Heine (2014: 17) points out, “the human body provides one of the most salient models for understanding, describing, and denoting concepts that are more difficult to understand, describe, and denote.” The motivation of the directional expressions in the Northern Samoyedic languages is the sitting position on a sled. As Figure 3 shows, the driver sits on the sled half-turned, with both feet hanging down from the left side of the sled and half turned front-left with respect to the direction of movement.</w:t>
      </w:r>
    </w:p>
    <w:p w14:paraId="32AA8033" w14:textId="77777777" w:rsidR="00092304" w:rsidRPr="00FB4EFA" w:rsidRDefault="00092304" w:rsidP="005B35DE">
      <w:pPr>
        <w:jc w:val="center"/>
        <w:rPr>
          <w:rFonts w:cs="Charis SIL"/>
          <w:szCs w:val="24"/>
          <w:lang w:val="en-US"/>
        </w:rPr>
      </w:pPr>
      <w:r w:rsidRPr="00FB4EFA">
        <w:rPr>
          <w:noProof/>
          <w:szCs w:val="24"/>
          <w:lang w:val="de-DE" w:eastAsia="de-DE"/>
        </w:rPr>
        <w:lastRenderedPageBreak/>
        <w:drawing>
          <wp:inline distT="0" distB="0" distL="0" distR="0" wp14:anchorId="2EBA3A6A" wp14:editId="7D8F6861">
            <wp:extent cx="4390390" cy="2774950"/>
            <wp:effectExtent l="0" t="0" r="0" b="6350"/>
            <wp:docPr id="36" name="Picture 36" descr="A picture containing outdoor, dog, transport, s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dog, transport, sled&#10;&#10;Description automatically generated"/>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390390" cy="2774950"/>
                    </a:xfrm>
                    <a:prstGeom prst="rect">
                      <a:avLst/>
                    </a:prstGeom>
                    <a:noFill/>
                    <a:ln>
                      <a:noFill/>
                    </a:ln>
                  </pic:spPr>
                </pic:pic>
              </a:graphicData>
            </a:graphic>
          </wp:inline>
        </w:drawing>
      </w:r>
    </w:p>
    <w:p w14:paraId="5205033C" w14:textId="2FC7526C" w:rsidR="00092304" w:rsidRPr="00FB4EFA" w:rsidRDefault="00092304" w:rsidP="00AC1192">
      <w:pPr>
        <w:suppressAutoHyphens/>
        <w:spacing w:before="120" w:after="240" w:line="240" w:lineRule="auto"/>
        <w:jc w:val="center"/>
        <w:rPr>
          <w:rFonts w:cs="Charis SIL"/>
          <w:sz w:val="18"/>
          <w:szCs w:val="18"/>
          <w:lang w:val="en-US"/>
        </w:rPr>
      </w:pPr>
      <w:r w:rsidRPr="00FB4EFA">
        <w:rPr>
          <w:rFonts w:cs="Charis SIL"/>
          <w:b/>
          <w:bCs/>
          <w:sz w:val="18"/>
          <w:szCs w:val="18"/>
          <w:lang w:val="en-US"/>
        </w:rPr>
        <w:t>Figure 3</w:t>
      </w:r>
      <w:r w:rsidRPr="00FB4EFA">
        <w:rPr>
          <w:rFonts w:cs="Charis SIL"/>
          <w:sz w:val="18"/>
          <w:szCs w:val="18"/>
          <w:lang w:val="en-US"/>
        </w:rPr>
        <w:t>. A Nenets man on a sled (sketch by Laura Bradley, inspired by Golovnev et al. 2018:</w:t>
      </w:r>
      <w:r w:rsidR="005D7E18" w:rsidRPr="00FB4EFA">
        <w:rPr>
          <w:rFonts w:cs="Charis SIL"/>
          <w:sz w:val="18"/>
          <w:szCs w:val="18"/>
          <w:lang w:val="en-US"/>
        </w:rPr>
        <w:t xml:space="preserve"> </w:t>
      </w:r>
      <w:r w:rsidRPr="00FB4EFA">
        <w:rPr>
          <w:rFonts w:cs="Charis SIL"/>
          <w:sz w:val="18"/>
          <w:szCs w:val="18"/>
          <w:lang w:val="en-US"/>
        </w:rPr>
        <w:t>172)</w:t>
      </w:r>
    </w:p>
    <w:p w14:paraId="255A056B" w14:textId="4F546B6F" w:rsidR="00092304" w:rsidRPr="00FB4EFA" w:rsidRDefault="00092304" w:rsidP="00AF0CAD">
      <w:pPr>
        <w:rPr>
          <w:lang w:val="en-US"/>
        </w:rPr>
      </w:pPr>
      <w:r w:rsidRPr="00FB4EFA">
        <w:rPr>
          <w:lang w:val="en-US"/>
        </w:rPr>
        <w:t xml:space="preserve">If we now recall the planes of the human body described in </w:t>
      </w:r>
      <w:r w:rsidR="00DE7479" w:rsidRPr="00FB4EFA">
        <w:rPr>
          <w:lang w:val="en-US"/>
        </w:rPr>
        <w:t>S</w:t>
      </w:r>
      <w:r w:rsidRPr="00FB4EFA">
        <w:rPr>
          <w:lang w:val="en-US"/>
        </w:rPr>
        <w:t xml:space="preserve">ection 1 above, we can observe that the arrangement of the body on the sled corresponds to the coronal plane, but the upper part of the body is rotated along the traverse plane, slightly to the right. As described above, the forward and backward movement only takes place </w:t>
      </w:r>
      <w:r w:rsidR="00FB3540" w:rsidRPr="00FB4EFA">
        <w:rPr>
          <w:lang w:val="en-US"/>
        </w:rPr>
        <w:t>along</w:t>
      </w:r>
      <w:r w:rsidRPr="00FB4EFA">
        <w:rPr>
          <w:lang w:val="en-US"/>
        </w:rPr>
        <w:t xml:space="preserve"> the </w:t>
      </w:r>
      <w:r w:rsidR="00FB3540" w:rsidRPr="00FB4EFA">
        <w:rPr>
          <w:lang w:val="en-US"/>
        </w:rPr>
        <w:t>sagittal</w:t>
      </w:r>
      <w:r w:rsidRPr="00FB4EFA">
        <w:rPr>
          <w:lang w:val="en-US"/>
        </w:rPr>
        <w:t xml:space="preserve"> plane. </w:t>
      </w:r>
      <w:r w:rsidR="00B36705" w:rsidRPr="00FB4EFA">
        <w:rPr>
          <w:lang w:val="en-US"/>
        </w:rPr>
        <w:t xml:space="preserve">Even if the driver is turned counter-clockwise for </w:t>
      </w:r>
      <w:r w:rsidRPr="00FB4EFA">
        <w:rPr>
          <w:lang w:val="en-US"/>
        </w:rPr>
        <w:t>practical reasons</w:t>
      </w:r>
      <w:r w:rsidR="00DE288E" w:rsidRPr="00FB4EFA">
        <w:rPr>
          <w:lang w:val="en-US"/>
        </w:rPr>
        <w:t xml:space="preserve"> </w:t>
      </w:r>
      <w:r w:rsidRPr="00FB4EFA">
        <w:rPr>
          <w:lang w:val="en-US"/>
        </w:rPr>
        <w:t xml:space="preserve">so that the driver can see the way ahead, the perception of the body corresponds to the non-rotated state. Accordingly, the back of the body is on the right side with respect to the movement, and the front side of the body on the left side. Correspondingly, in Nganasan expressions of the direction to the right and the left side with verbs of motion, </w:t>
      </w:r>
      <w:r w:rsidR="00466236" w:rsidRPr="00FB4EFA">
        <w:rPr>
          <w:lang w:val="en-US"/>
        </w:rPr>
        <w:t>i.e., </w:t>
      </w:r>
      <w:r w:rsidRPr="00FB4EFA">
        <w:rPr>
          <w:lang w:val="en-US"/>
        </w:rPr>
        <w:t xml:space="preserve">the concepts </w:t>
      </w:r>
      <w:r w:rsidRPr="00FB4EFA">
        <w:rPr>
          <w:smallCaps/>
          <w:lang w:val="en-US"/>
        </w:rPr>
        <w:t>left/right</w:t>
      </w:r>
      <w:r w:rsidRPr="00FB4EFA">
        <w:rPr>
          <w:lang w:val="en-US"/>
        </w:rPr>
        <w:t xml:space="preserve">, are expressed lexically by </w:t>
      </w:r>
      <w:r w:rsidRPr="00FB4EFA">
        <w:rPr>
          <w:i/>
          <w:lang w:val="en-US"/>
        </w:rPr>
        <w:t>m</w:t>
      </w:r>
      <w:r w:rsidRPr="00FB4EFA">
        <w:rPr>
          <w:rFonts w:cs="Times New Roman"/>
          <w:i/>
          <w:lang w:val="en-US"/>
        </w:rPr>
        <w:t>ə</w:t>
      </w:r>
      <w:r w:rsidRPr="00FB4EFA">
        <w:rPr>
          <w:i/>
          <w:lang w:val="en-US"/>
        </w:rPr>
        <w:t xml:space="preserve">gu </w:t>
      </w:r>
      <w:r w:rsidRPr="00FB4EFA">
        <w:rPr>
          <w:rFonts w:cs="Cambria"/>
          <w:i/>
          <w:lang w:val="en-US"/>
        </w:rPr>
        <w:t>ń</w:t>
      </w:r>
      <w:r w:rsidRPr="00FB4EFA">
        <w:rPr>
          <w:i/>
          <w:lang w:val="en-US"/>
        </w:rPr>
        <w:t>ii</w:t>
      </w:r>
      <w:r w:rsidRPr="00FB4EFA">
        <w:rPr>
          <w:lang w:val="en-US"/>
        </w:rPr>
        <w:t xml:space="preserve"> [back.</w:t>
      </w:r>
      <w:r w:rsidRPr="00FB4EFA">
        <w:rPr>
          <w:smallCaps/>
          <w:lang w:val="en-US"/>
        </w:rPr>
        <w:t>gen</w:t>
      </w:r>
      <w:r w:rsidRPr="00FB4EFA">
        <w:rPr>
          <w:lang w:val="en-US"/>
        </w:rPr>
        <w:t xml:space="preserve"> direction] ‘the direction of the back, </w:t>
      </w:r>
      <w:r w:rsidR="00466236" w:rsidRPr="00FB4EFA">
        <w:rPr>
          <w:lang w:val="en-US"/>
        </w:rPr>
        <w:t>i.e., </w:t>
      </w:r>
      <w:r w:rsidRPr="00FB4EFA">
        <w:rPr>
          <w:lang w:val="en-US"/>
        </w:rPr>
        <w:t xml:space="preserve">backwards’ as in (7a) and </w:t>
      </w:r>
      <w:r w:rsidRPr="00FB4EFA">
        <w:rPr>
          <w:i/>
          <w:lang w:val="en-US"/>
        </w:rPr>
        <w:t>hor</w:t>
      </w:r>
      <w:r w:rsidRPr="00FB4EFA">
        <w:rPr>
          <w:rFonts w:cs="Times New Roman"/>
          <w:i/>
          <w:lang w:val="en-US"/>
        </w:rPr>
        <w:t>ə</w:t>
      </w:r>
      <w:r w:rsidRPr="00FB4EFA">
        <w:rPr>
          <w:i/>
          <w:lang w:val="en-US"/>
        </w:rPr>
        <w:t xml:space="preserve"> </w:t>
      </w:r>
      <w:r w:rsidRPr="00FB4EFA">
        <w:rPr>
          <w:rFonts w:cs="Cambria"/>
          <w:i/>
          <w:lang w:val="en-US"/>
        </w:rPr>
        <w:t>ń</w:t>
      </w:r>
      <w:r w:rsidRPr="00FB4EFA">
        <w:rPr>
          <w:i/>
          <w:lang w:val="en-US"/>
        </w:rPr>
        <w:t>ii</w:t>
      </w:r>
      <w:r w:rsidRPr="00FB4EFA">
        <w:rPr>
          <w:lang w:val="en-US"/>
        </w:rPr>
        <w:t xml:space="preserve"> [face.</w:t>
      </w:r>
      <w:r w:rsidRPr="00FB4EFA">
        <w:rPr>
          <w:smallCaps/>
          <w:lang w:val="en-US"/>
        </w:rPr>
        <w:t>gen</w:t>
      </w:r>
      <w:r w:rsidRPr="00FB4EFA">
        <w:rPr>
          <w:lang w:val="en-US"/>
        </w:rPr>
        <w:t xml:space="preserve"> direction] ‘the direction of the face, </w:t>
      </w:r>
      <w:r w:rsidR="00466236" w:rsidRPr="00FB4EFA">
        <w:rPr>
          <w:lang w:val="en-US"/>
        </w:rPr>
        <w:t>i.e., </w:t>
      </w:r>
      <w:r w:rsidRPr="00FB4EFA">
        <w:rPr>
          <w:lang w:val="en-US"/>
        </w:rPr>
        <w:t>facewards’ as in (</w:t>
      </w:r>
      <w:r w:rsidR="00DE288E" w:rsidRPr="00FB4EFA">
        <w:rPr>
          <w:lang w:val="en-US"/>
        </w:rPr>
        <w:t>7</w:t>
      </w:r>
      <w:r w:rsidRPr="00FB4EFA">
        <w:rPr>
          <w:lang w:val="en-US"/>
        </w:rPr>
        <w:t xml:space="preserve">b). We can thus observe a conceptual shift, which has not yet led to grammaticalization, but definitely to a metonymic lexicalization. In addition to common verbs of motion such as ‘go away’ as in (7a), ‘go’, ‘walk’, and ‘run’, etc., other verbs fall in this group which describe the change of position of an entity, </w:t>
      </w:r>
      <w:r w:rsidRPr="00FB4EFA">
        <w:rPr>
          <w:lang w:val="en-US"/>
        </w:rPr>
        <w:lastRenderedPageBreak/>
        <w:t>such as ‘pull’ as illustrated by (</w:t>
      </w:r>
      <w:r w:rsidR="00DE288E" w:rsidRPr="00FB4EFA">
        <w:rPr>
          <w:lang w:val="en-US"/>
        </w:rPr>
        <w:t>7</w:t>
      </w:r>
      <w:r w:rsidRPr="00FB4EFA">
        <w:rPr>
          <w:lang w:val="en-US"/>
        </w:rPr>
        <w:t>b), etc. Positional verbs like ‘sit’, ‘stand’ cannot be used together with these expressions.</w:t>
      </w:r>
    </w:p>
    <w:p w14:paraId="098E8D93" w14:textId="3FAFDCE7" w:rsidR="00092304" w:rsidRPr="00FB4EFA" w:rsidRDefault="00092304" w:rsidP="00AF0CAD">
      <w:pPr>
        <w:spacing w:after="240"/>
        <w:ind w:firstLine="709"/>
        <w:rPr>
          <w:rFonts w:cs="Charis SIL"/>
          <w:lang w:val="en-US"/>
        </w:rPr>
      </w:pPr>
      <w:r w:rsidRPr="00FB4EFA">
        <w:rPr>
          <w:lang w:val="en-US"/>
        </w:rPr>
        <w:t xml:space="preserve">The nouns </w:t>
      </w:r>
      <w:r w:rsidRPr="00FB4EFA">
        <w:rPr>
          <w:i/>
          <w:lang w:val="en-US"/>
        </w:rPr>
        <w:t>hor</w:t>
      </w:r>
      <w:r w:rsidRPr="00FB4EFA">
        <w:rPr>
          <w:rFonts w:cs="Times New Roman"/>
          <w:i/>
          <w:lang w:val="en-US"/>
        </w:rPr>
        <w:t>ə</w:t>
      </w:r>
      <w:r w:rsidRPr="00FB4EFA">
        <w:rPr>
          <w:lang w:val="en-US"/>
        </w:rPr>
        <w:t xml:space="preserve"> ‘face’ and </w:t>
      </w:r>
      <w:r w:rsidRPr="00FB4EFA">
        <w:rPr>
          <w:i/>
          <w:lang w:val="en-US"/>
        </w:rPr>
        <w:t>m</w:t>
      </w:r>
      <w:r w:rsidRPr="00FB4EFA">
        <w:rPr>
          <w:rFonts w:cs="Times New Roman"/>
          <w:i/>
          <w:lang w:val="en-US"/>
        </w:rPr>
        <w:t>ə</w:t>
      </w:r>
      <w:r w:rsidRPr="00FB4EFA">
        <w:rPr>
          <w:i/>
          <w:lang w:val="en-US"/>
        </w:rPr>
        <w:t>ku</w:t>
      </w:r>
      <w:r w:rsidRPr="00FB4EFA">
        <w:rPr>
          <w:lang w:val="en-US"/>
        </w:rPr>
        <w:t xml:space="preserve"> ‘back’ in this function can only be used in their base form in the genitive and are never expanded with possessive suffixes. In (</w:t>
      </w:r>
      <w:r w:rsidR="00C9146D" w:rsidRPr="00FB4EFA">
        <w:rPr>
          <w:lang w:val="en-US"/>
        </w:rPr>
        <w:t>7</w:t>
      </w:r>
      <w:r w:rsidRPr="00FB4EFA">
        <w:rPr>
          <w:lang w:val="en-US"/>
        </w:rPr>
        <w:t xml:space="preserve">a) the storyteller talks about a road, which is at ‘the side of the back’. If one applies the above concept to this situation, then </w:t>
      </w:r>
      <w:r w:rsidRPr="00FB4EFA">
        <w:rPr>
          <w:rFonts w:cs="Charis SIL"/>
          <w:lang w:val="en-US"/>
        </w:rPr>
        <w:t>one can imagine that the road corresponds to the sled and the right side of the road is the side where the back of the sled driver is. This means that the sled is projected on the path/road.</w:t>
      </w:r>
    </w:p>
    <w:p w14:paraId="3CDA009E" w14:textId="77777777" w:rsidR="00092304" w:rsidRPr="00FB4EFA" w:rsidRDefault="00092304" w:rsidP="00AF0CAD">
      <w:pPr>
        <w:keepNext/>
        <w:tabs>
          <w:tab w:val="left" w:pos="709"/>
          <w:tab w:val="left" w:pos="1276"/>
          <w:tab w:val="left" w:pos="2268"/>
          <w:tab w:val="left" w:pos="3119"/>
          <w:tab w:val="left" w:pos="4253"/>
          <w:tab w:val="left" w:pos="5812"/>
        </w:tabs>
        <w:spacing w:line="240" w:lineRule="auto"/>
        <w:rPr>
          <w:rFonts w:cs="Charis SIL"/>
          <w:lang w:val="en-US"/>
        </w:rPr>
      </w:pPr>
      <w:r w:rsidRPr="00FB4EFA">
        <w:rPr>
          <w:rFonts w:cs="Charis SIL"/>
          <w:lang w:val="en-US"/>
        </w:rPr>
        <w:t>(7)</w:t>
      </w:r>
      <w:r w:rsidRPr="00FB4EFA">
        <w:rPr>
          <w:rFonts w:cs="Charis SIL"/>
          <w:lang w:val="en-US"/>
        </w:rPr>
        <w:tab/>
        <w:t>a.</w:t>
      </w:r>
      <w:r w:rsidRPr="00FB4EFA">
        <w:rPr>
          <w:rFonts w:cs="Charis SIL"/>
          <w:lang w:val="en-US"/>
        </w:rPr>
        <w:tab/>
      </w:r>
      <w:r w:rsidRPr="00FB4EFA">
        <w:rPr>
          <w:rFonts w:cs="Charis SIL"/>
          <w:i/>
          <w:lang w:val="en-US"/>
        </w:rPr>
        <w:t>tahari͡aa</w:t>
      </w:r>
      <w:r w:rsidRPr="00FB4EFA">
        <w:rPr>
          <w:rFonts w:cs="Charis SIL"/>
          <w:i/>
          <w:lang w:val="en-US"/>
        </w:rPr>
        <w:tab/>
        <w:t>kurəgüiɁ</w:t>
      </w:r>
      <w:r w:rsidRPr="00FB4EFA">
        <w:rPr>
          <w:rFonts w:cs="Charis SIL"/>
          <w:i/>
          <w:lang w:val="en-US"/>
        </w:rPr>
        <w:tab/>
        <w:t>{məgu</w:t>
      </w:r>
      <w:r w:rsidRPr="00FB4EFA">
        <w:rPr>
          <w:rFonts w:cs="Charis SIL"/>
          <w:i/>
          <w:lang w:val="en-US"/>
        </w:rPr>
        <w:tab/>
        <w:t>ńii</w:t>
      </w:r>
      <w:r w:rsidRPr="00FB4EFA">
        <w:rPr>
          <w:rFonts w:cs="Charis SIL"/>
          <w:i/>
          <w:lang w:val="en-US"/>
        </w:rPr>
        <w:tab/>
        <w:t>sərəə-mənɨ</w:t>
      </w:r>
      <w:r w:rsidRPr="00FB4EFA">
        <w:rPr>
          <w:rFonts w:cs="Charis SIL"/>
          <w:lang w:val="en-US"/>
        </w:rPr>
        <w:t>}</w:t>
      </w:r>
      <w:r w:rsidRPr="00FB4EFA">
        <w:rPr>
          <w:rFonts w:cs="Charis SIL"/>
          <w:i/>
          <w:lang w:val="en-US"/>
        </w:rPr>
        <w:tab/>
      </w:r>
      <w:r w:rsidRPr="00FB4EFA">
        <w:rPr>
          <w:rFonts w:cs="Charis SIL"/>
          <w:lang w:val="en-US"/>
        </w:rPr>
        <w:tab/>
        <w:t>now</w:t>
      </w:r>
      <w:r w:rsidRPr="00FB4EFA">
        <w:rPr>
          <w:rFonts w:cs="Charis SIL"/>
          <w:lang w:val="en-US"/>
        </w:rPr>
        <w:tab/>
        <w:t>even</w:t>
      </w:r>
      <w:r w:rsidRPr="00FB4EFA">
        <w:rPr>
          <w:rFonts w:cs="Charis SIL"/>
          <w:lang w:val="en-US"/>
        </w:rPr>
        <w:tab/>
        <w:t>back.</w:t>
      </w:r>
      <w:r w:rsidRPr="00FB4EFA">
        <w:rPr>
          <w:rFonts w:cs="Charis SIL"/>
          <w:smallCaps/>
          <w:lang w:val="en-US"/>
        </w:rPr>
        <w:t>gen</w:t>
      </w:r>
      <w:r w:rsidRPr="00FB4EFA">
        <w:rPr>
          <w:rFonts w:cs="Charis SIL"/>
          <w:lang w:val="en-US"/>
        </w:rPr>
        <w:tab/>
        <w:t>direction.</w:t>
      </w:r>
      <w:r w:rsidRPr="00FB4EFA">
        <w:rPr>
          <w:rFonts w:cs="Charis SIL"/>
          <w:smallCaps/>
          <w:lang w:val="en-US"/>
        </w:rPr>
        <w:t>gen</w:t>
      </w:r>
      <w:r w:rsidRPr="00FB4EFA">
        <w:rPr>
          <w:rFonts w:cs="Charis SIL"/>
          <w:lang w:val="en-US"/>
        </w:rPr>
        <w:tab/>
        <w:t>road-</w:t>
      </w:r>
      <w:r w:rsidRPr="00FB4EFA">
        <w:rPr>
          <w:rFonts w:cs="Charis SIL"/>
          <w:smallCaps/>
          <w:lang w:val="en-US"/>
        </w:rPr>
        <w:t>prol</w:t>
      </w:r>
    </w:p>
    <w:p w14:paraId="12567A6E" w14:textId="77777777" w:rsidR="00092304" w:rsidRPr="00FB4EFA" w:rsidRDefault="00092304" w:rsidP="00AF0CAD">
      <w:pPr>
        <w:keepNext/>
        <w:tabs>
          <w:tab w:val="left" w:pos="709"/>
          <w:tab w:val="left" w:pos="1276"/>
          <w:tab w:val="left" w:pos="4253"/>
          <w:tab w:val="left" w:pos="5812"/>
        </w:tabs>
        <w:spacing w:before="120" w:line="240" w:lineRule="auto"/>
        <w:rPr>
          <w:rFonts w:cs="Charis SIL"/>
          <w:smallCaps/>
          <w:lang w:val="en-US"/>
        </w:rPr>
      </w:pPr>
      <w:r w:rsidRPr="00FB4EFA">
        <w:rPr>
          <w:rFonts w:cs="Charis SIL"/>
          <w:i/>
          <w:lang w:val="en-US"/>
        </w:rPr>
        <w:tab/>
      </w:r>
      <w:r w:rsidRPr="00FB4EFA">
        <w:rPr>
          <w:rFonts w:cs="Charis SIL"/>
          <w:lang w:val="en-US"/>
        </w:rPr>
        <w:tab/>
      </w:r>
      <w:r w:rsidRPr="00FB4EFA">
        <w:rPr>
          <w:rFonts w:cs="Charis SIL"/>
          <w:i/>
          <w:lang w:val="en-US"/>
        </w:rPr>
        <w:t>bii-Ɂi͡ai-ðə</w:t>
      </w:r>
      <w:r w:rsidRPr="00FB4EFA">
        <w:rPr>
          <w:rFonts w:cs="Charis SIL"/>
          <w:i/>
          <w:lang w:val="en-US"/>
        </w:rPr>
        <w:tab/>
        <w:t>taa-ðu</w:t>
      </w:r>
      <w:r w:rsidRPr="00FB4EFA">
        <w:rPr>
          <w:rFonts w:cs="Charis SIL"/>
          <w:lang w:val="en-US"/>
        </w:rPr>
        <w:br/>
      </w:r>
      <w:r w:rsidRPr="00FB4EFA">
        <w:rPr>
          <w:rFonts w:cs="Charis SIL"/>
          <w:i/>
          <w:lang w:val="en-US"/>
        </w:rPr>
        <w:tab/>
      </w:r>
      <w:r w:rsidRPr="00FB4EFA">
        <w:rPr>
          <w:rFonts w:cs="Charis SIL"/>
          <w:lang w:val="en-US"/>
        </w:rPr>
        <w:tab/>
        <w:t>go.away-</w:t>
      </w:r>
      <w:r w:rsidRPr="00FB4EFA">
        <w:rPr>
          <w:rFonts w:cs="Charis SIL"/>
          <w:smallCaps/>
          <w:lang w:val="en-US"/>
        </w:rPr>
        <w:t>co.rfl-3sg.rfl</w:t>
      </w:r>
      <w:r w:rsidRPr="00FB4EFA">
        <w:rPr>
          <w:rFonts w:cs="Charis SIL"/>
          <w:smallCaps/>
          <w:lang w:val="en-US"/>
        </w:rPr>
        <w:tab/>
      </w:r>
      <w:r w:rsidRPr="00FB4EFA">
        <w:rPr>
          <w:rFonts w:cs="Charis SIL"/>
          <w:lang w:val="en-US"/>
        </w:rPr>
        <w:t>reindeer-</w:t>
      </w:r>
      <w:r w:rsidRPr="00FB4EFA">
        <w:rPr>
          <w:rFonts w:cs="Charis SIL"/>
          <w:smallCaps/>
          <w:lang w:val="en-US"/>
        </w:rPr>
        <w:t>poss3sg</w:t>
      </w:r>
    </w:p>
    <w:p w14:paraId="0C170978" w14:textId="117EB9E7" w:rsidR="00092304" w:rsidRPr="00FB4EFA" w:rsidRDefault="00092304" w:rsidP="009B1442">
      <w:pPr>
        <w:tabs>
          <w:tab w:val="left" w:pos="709"/>
          <w:tab w:val="left" w:pos="1276"/>
          <w:tab w:val="left" w:pos="4253"/>
          <w:tab w:val="left" w:pos="5812"/>
        </w:tabs>
        <w:spacing w:after="120" w:line="240" w:lineRule="auto"/>
        <w:ind w:left="1276" w:hanging="1276"/>
        <w:rPr>
          <w:rFonts w:eastAsia="Calibri" w:cs="Charis SIL"/>
          <w:lang w:val="en-US"/>
        </w:rPr>
      </w:pPr>
      <w:r w:rsidRPr="00FB4EFA">
        <w:rPr>
          <w:rFonts w:cs="Charis SIL"/>
          <w:lang w:val="en-US"/>
        </w:rPr>
        <w:tab/>
      </w:r>
      <w:r w:rsidRPr="00FB4EFA">
        <w:rPr>
          <w:rFonts w:cs="Charis SIL"/>
          <w:lang w:val="en-US"/>
        </w:rPr>
        <w:tab/>
        <w:t>‘Here on the right road (lit. backside road) went the reindeer.’</w:t>
      </w:r>
      <w:r w:rsidR="00F606CE" w:rsidRPr="00FB4EFA">
        <w:rPr>
          <w:rFonts w:cs="Charis SIL"/>
          <w:lang w:val="en-US"/>
        </w:rPr>
        <w:t xml:space="preserve"> (</w:t>
      </w:r>
      <w:r w:rsidRPr="00FB4EFA">
        <w:rPr>
          <w:rFonts w:eastAsia="Calibri" w:cs="Charis SIL"/>
          <w:lang w:val="en-US"/>
        </w:rPr>
        <w:t>MVL_080304_NjomuKamleguNy_flks.154</w:t>
      </w:r>
      <w:r w:rsidR="00F606CE" w:rsidRPr="00FB4EFA">
        <w:rPr>
          <w:rFonts w:eastAsia="Calibri" w:cs="Charis SIL"/>
          <w:lang w:val="en-US"/>
        </w:rPr>
        <w:t>)</w:t>
      </w:r>
    </w:p>
    <w:p w14:paraId="6AD2F51E" w14:textId="77777777" w:rsidR="00092304" w:rsidRPr="00FB4EFA" w:rsidRDefault="00092304" w:rsidP="00AF0CAD">
      <w:pPr>
        <w:keepNext/>
        <w:tabs>
          <w:tab w:val="left" w:pos="709"/>
          <w:tab w:val="left" w:pos="1276"/>
          <w:tab w:val="left" w:pos="1701"/>
          <w:tab w:val="left" w:pos="2835"/>
          <w:tab w:val="left" w:pos="4678"/>
          <w:tab w:val="left" w:pos="5954"/>
        </w:tabs>
        <w:spacing w:line="240" w:lineRule="auto"/>
        <w:rPr>
          <w:rFonts w:cs="Charis SIL"/>
          <w:lang w:val="en-US"/>
        </w:rPr>
      </w:pPr>
      <w:r w:rsidRPr="00FB4EFA">
        <w:rPr>
          <w:rFonts w:eastAsia="Calibri" w:cs="Charis SIL"/>
          <w:lang w:val="en-US"/>
        </w:rPr>
        <w:tab/>
        <w:t>b.</w:t>
      </w:r>
      <w:r w:rsidRPr="00FB4EFA">
        <w:rPr>
          <w:rFonts w:eastAsia="Calibri" w:cs="Charis SIL"/>
          <w:lang w:val="en-US"/>
        </w:rPr>
        <w:tab/>
        <w:t>…</w:t>
      </w:r>
      <w:r w:rsidRPr="00FB4EFA">
        <w:rPr>
          <w:rFonts w:eastAsia="Calibri" w:cs="Charis SIL"/>
          <w:lang w:val="en-US"/>
        </w:rPr>
        <w:tab/>
      </w:r>
      <w:r w:rsidRPr="00FB4EFA">
        <w:rPr>
          <w:rFonts w:cs="Charis SIL"/>
          <w:i/>
          <w:lang w:val="en-US"/>
        </w:rPr>
        <w:t>horə</w:t>
      </w:r>
      <w:r w:rsidRPr="00FB4EFA">
        <w:rPr>
          <w:rFonts w:cs="Charis SIL"/>
          <w:i/>
          <w:lang w:val="en-US"/>
        </w:rPr>
        <w:tab/>
        <w:t>ńii-ďə</w:t>
      </w:r>
      <w:r w:rsidRPr="00FB4EFA">
        <w:rPr>
          <w:rFonts w:cs="Charis SIL"/>
          <w:i/>
          <w:lang w:val="en-US"/>
        </w:rPr>
        <w:tab/>
        <w:t>sərəə-mənɨ</w:t>
      </w:r>
      <w:r w:rsidRPr="00FB4EFA">
        <w:rPr>
          <w:rFonts w:cs="Charis SIL"/>
          <w:i/>
          <w:lang w:val="en-US"/>
        </w:rPr>
        <w:tab/>
      </w:r>
      <w:r w:rsidRPr="00FB4EFA">
        <w:rPr>
          <w:rFonts w:cs="Charis SIL"/>
          <w:i/>
          <w:lang w:val="en-US"/>
        </w:rPr>
        <w:br/>
      </w:r>
      <w:r w:rsidRPr="00FB4EFA">
        <w:rPr>
          <w:rFonts w:cs="Charis SIL"/>
          <w:lang w:val="en-US"/>
        </w:rPr>
        <w:tab/>
      </w:r>
      <w:r w:rsidRPr="00FB4EFA">
        <w:rPr>
          <w:rFonts w:cs="Charis SIL"/>
          <w:lang w:val="en-US"/>
        </w:rPr>
        <w:tab/>
      </w:r>
      <w:r w:rsidRPr="00FB4EFA">
        <w:rPr>
          <w:rFonts w:cs="Charis SIL"/>
          <w:lang w:val="en-US"/>
        </w:rPr>
        <w:tab/>
        <w:t>face.</w:t>
      </w:r>
      <w:r w:rsidRPr="00FB4EFA">
        <w:rPr>
          <w:rFonts w:cs="Charis SIL"/>
          <w:smallCaps/>
          <w:lang w:val="en-US"/>
        </w:rPr>
        <w:t>gen</w:t>
      </w:r>
      <w:r w:rsidRPr="00FB4EFA">
        <w:rPr>
          <w:rFonts w:cs="Charis SIL"/>
          <w:lang w:val="en-US"/>
        </w:rPr>
        <w:tab/>
        <w:t>direction-</w:t>
      </w:r>
      <w:r w:rsidRPr="00FB4EFA">
        <w:rPr>
          <w:rFonts w:cs="Charis SIL"/>
          <w:smallCaps/>
          <w:lang w:val="en-US"/>
        </w:rPr>
        <w:t>adj.gen</w:t>
      </w:r>
      <w:r w:rsidRPr="00FB4EFA">
        <w:rPr>
          <w:rFonts w:cs="Charis SIL"/>
          <w:lang w:val="en-US"/>
        </w:rPr>
        <w:tab/>
        <w:t>road-</w:t>
      </w:r>
      <w:r w:rsidRPr="00FB4EFA">
        <w:rPr>
          <w:rFonts w:cs="Charis SIL"/>
          <w:smallCaps/>
          <w:lang w:val="en-US"/>
        </w:rPr>
        <w:t>prol</w:t>
      </w:r>
      <w:r w:rsidRPr="00FB4EFA">
        <w:rPr>
          <w:rFonts w:cs="Charis SIL"/>
          <w:lang w:val="en-US"/>
        </w:rPr>
        <w:t xml:space="preserve"> </w:t>
      </w:r>
      <w:r w:rsidRPr="00FB4EFA">
        <w:rPr>
          <w:rFonts w:cs="Charis SIL"/>
          <w:lang w:val="en-US"/>
        </w:rPr>
        <w:tab/>
      </w:r>
    </w:p>
    <w:p w14:paraId="3A126667" w14:textId="77777777" w:rsidR="00092304" w:rsidRPr="00FB4EFA" w:rsidRDefault="00092304" w:rsidP="00AF0CAD">
      <w:pPr>
        <w:keepNext/>
        <w:tabs>
          <w:tab w:val="left" w:pos="709"/>
          <w:tab w:val="left" w:pos="1276"/>
          <w:tab w:val="left" w:pos="1701"/>
          <w:tab w:val="left" w:pos="3686"/>
          <w:tab w:val="left" w:pos="5954"/>
        </w:tabs>
        <w:spacing w:before="120" w:line="240" w:lineRule="auto"/>
        <w:rPr>
          <w:rFonts w:cs="Charis SIL"/>
          <w:lang w:val="en-US"/>
        </w:rPr>
      </w:pPr>
      <w:r w:rsidRPr="00FB4EFA">
        <w:rPr>
          <w:rFonts w:cs="Charis SIL"/>
          <w:lang w:val="en-US"/>
        </w:rPr>
        <w:tab/>
      </w:r>
      <w:r w:rsidRPr="00FB4EFA">
        <w:rPr>
          <w:rFonts w:cs="Charis SIL"/>
          <w:lang w:val="en-US"/>
        </w:rPr>
        <w:tab/>
      </w:r>
      <w:r w:rsidRPr="00FB4EFA">
        <w:rPr>
          <w:rFonts w:cs="Charis SIL"/>
          <w:i/>
          <w:lang w:val="en-US"/>
        </w:rPr>
        <w:t xml:space="preserve">taa-mtu </w:t>
      </w:r>
      <w:r w:rsidRPr="00FB4EFA">
        <w:rPr>
          <w:rFonts w:cs="Charis SIL"/>
          <w:i/>
          <w:lang w:val="en-US"/>
        </w:rPr>
        <w:tab/>
        <w:t>ńagitə-gə-tɨ</w:t>
      </w:r>
      <w:r w:rsidRPr="00FB4EFA">
        <w:rPr>
          <w:rFonts w:cs="Charis SIL"/>
          <w:i/>
          <w:lang w:val="en-US"/>
        </w:rPr>
        <w:br/>
      </w:r>
      <w:r w:rsidRPr="00FB4EFA">
        <w:rPr>
          <w:rFonts w:cs="Charis SIL"/>
          <w:lang w:val="en-US"/>
        </w:rPr>
        <w:tab/>
      </w:r>
      <w:r w:rsidRPr="00FB4EFA">
        <w:rPr>
          <w:rFonts w:cs="Charis SIL"/>
          <w:lang w:val="en-US"/>
        </w:rPr>
        <w:tab/>
        <w:t>reindeer-</w:t>
      </w:r>
      <w:r w:rsidRPr="00FB4EFA">
        <w:rPr>
          <w:rFonts w:cs="Charis SIL"/>
          <w:smallCaps/>
          <w:lang w:val="en-US"/>
        </w:rPr>
        <w:t>acc.poss3sg</w:t>
      </w:r>
      <w:r w:rsidRPr="00FB4EFA">
        <w:rPr>
          <w:rFonts w:cs="Charis SIL"/>
          <w:lang w:val="en-US"/>
        </w:rPr>
        <w:tab/>
        <w:t>pull</w:t>
      </w:r>
      <w:r w:rsidRPr="00FB4EFA">
        <w:rPr>
          <w:rFonts w:cs="Charis SIL"/>
          <w:smallCaps/>
          <w:lang w:val="en-US"/>
        </w:rPr>
        <w:t>-iter-co.3sg</w:t>
      </w:r>
    </w:p>
    <w:p w14:paraId="6EEF4379" w14:textId="77777777" w:rsidR="00092304" w:rsidRPr="00FB4EFA" w:rsidRDefault="00092304" w:rsidP="00AF0CAD">
      <w:pPr>
        <w:keepNext/>
        <w:tabs>
          <w:tab w:val="left" w:pos="709"/>
          <w:tab w:val="left" w:pos="1276"/>
          <w:tab w:val="left" w:pos="3261"/>
          <w:tab w:val="left" w:pos="4253"/>
          <w:tab w:val="left" w:pos="5670"/>
        </w:tabs>
        <w:spacing w:before="120" w:line="240" w:lineRule="auto"/>
        <w:rPr>
          <w:rFonts w:cs="Charis SIL"/>
          <w:i/>
          <w:lang w:val="en-US"/>
        </w:rPr>
      </w:pPr>
      <w:r w:rsidRPr="00FB4EFA">
        <w:rPr>
          <w:rFonts w:cs="Charis SIL"/>
          <w:lang w:val="en-US"/>
        </w:rPr>
        <w:tab/>
      </w:r>
      <w:r w:rsidRPr="00FB4EFA">
        <w:rPr>
          <w:rFonts w:cs="Charis SIL"/>
          <w:lang w:val="en-US"/>
        </w:rPr>
        <w:tab/>
      </w:r>
      <w:r w:rsidRPr="00FB4EFA">
        <w:rPr>
          <w:rFonts w:cs="Charis SIL"/>
          <w:i/>
          <w:lang w:val="en-US"/>
        </w:rPr>
        <w:t>taa-ðu</w:t>
      </w:r>
      <w:r w:rsidRPr="00FB4EFA">
        <w:rPr>
          <w:rFonts w:cs="Charis SIL"/>
          <w:i/>
          <w:lang w:val="en-US"/>
        </w:rPr>
        <w:tab/>
        <w:t>məľi</w:t>
      </w:r>
      <w:r w:rsidRPr="00FB4EFA">
        <w:rPr>
          <w:rFonts w:cs="Charis SIL"/>
          <w:lang w:val="en-US"/>
        </w:rPr>
        <w:tab/>
      </w:r>
      <w:r w:rsidRPr="00FB4EFA">
        <w:rPr>
          <w:rFonts w:cs="Charis SIL"/>
          <w:i/>
          <w:lang w:val="en-US"/>
        </w:rPr>
        <w:t>ńi-ntɨ</w:t>
      </w:r>
      <w:r w:rsidRPr="00FB4EFA">
        <w:rPr>
          <w:rFonts w:cs="Charis SIL"/>
          <w:i/>
          <w:lang w:val="en-US"/>
        </w:rPr>
        <w:tab/>
        <w:t>kərbu-Ɂ</w:t>
      </w:r>
      <w:r w:rsidRPr="00FB4EFA">
        <w:rPr>
          <w:rFonts w:cs="Charis SIL"/>
          <w:i/>
          <w:lang w:val="en-US"/>
        </w:rPr>
        <w:br/>
      </w:r>
      <w:r w:rsidRPr="00FB4EFA">
        <w:rPr>
          <w:rFonts w:cs="Charis SIL"/>
          <w:lang w:val="en-US"/>
        </w:rPr>
        <w:tab/>
      </w:r>
      <w:r w:rsidRPr="00FB4EFA">
        <w:rPr>
          <w:rFonts w:cs="Charis SIL"/>
          <w:lang w:val="en-US"/>
        </w:rPr>
        <w:tab/>
        <w:t>reindeer-</w:t>
      </w:r>
      <w:r w:rsidRPr="00FB4EFA">
        <w:rPr>
          <w:rFonts w:cs="Charis SIL"/>
          <w:smallCaps/>
          <w:lang w:val="en-US"/>
        </w:rPr>
        <w:t>poss3sg</w:t>
      </w:r>
      <w:r w:rsidRPr="00FB4EFA">
        <w:rPr>
          <w:rFonts w:cs="Charis SIL"/>
          <w:lang w:val="en-US"/>
        </w:rPr>
        <w:tab/>
        <w:t>totally</w:t>
      </w:r>
      <w:r w:rsidRPr="00FB4EFA">
        <w:rPr>
          <w:rFonts w:cs="Charis SIL"/>
          <w:lang w:val="en-US"/>
        </w:rPr>
        <w:tab/>
      </w:r>
      <w:r w:rsidRPr="00FB4EFA">
        <w:rPr>
          <w:rFonts w:cs="Charis SIL"/>
          <w:smallCaps/>
          <w:lang w:val="en-US"/>
        </w:rPr>
        <w:t>neg-co.3sg</w:t>
      </w:r>
      <w:r w:rsidRPr="00FB4EFA">
        <w:rPr>
          <w:rFonts w:cs="Charis SIL"/>
          <w:i/>
          <w:smallCaps/>
          <w:lang w:val="en-US"/>
        </w:rPr>
        <w:tab/>
      </w:r>
      <w:r w:rsidRPr="00FB4EFA">
        <w:rPr>
          <w:rFonts w:cs="Charis SIL"/>
          <w:lang w:val="en-US"/>
        </w:rPr>
        <w:t>want-</w:t>
      </w:r>
      <w:r w:rsidRPr="00FB4EFA">
        <w:rPr>
          <w:rFonts w:cs="Charis SIL"/>
          <w:smallCaps/>
          <w:lang w:val="en-US"/>
        </w:rPr>
        <w:t>cng</w:t>
      </w:r>
    </w:p>
    <w:p w14:paraId="6BFC72CA" w14:textId="77777777" w:rsidR="00092304" w:rsidRPr="00FB4EFA" w:rsidRDefault="00092304" w:rsidP="008A7171">
      <w:pPr>
        <w:keepNext/>
        <w:tabs>
          <w:tab w:val="left" w:pos="709"/>
          <w:tab w:val="left" w:pos="1276"/>
        </w:tabs>
        <w:spacing w:line="240" w:lineRule="auto"/>
        <w:ind w:left="1276"/>
        <w:rPr>
          <w:rFonts w:cs="Charis SIL"/>
          <w:lang w:val="en-US"/>
        </w:rPr>
      </w:pPr>
      <w:r w:rsidRPr="00FB4EFA">
        <w:rPr>
          <w:rFonts w:cs="Charis SIL"/>
          <w:lang w:val="en-US"/>
        </w:rPr>
        <w:t>‘… he pulls the reindeer to the left road (lit. face-side road), the reindeer does not want to.’</w:t>
      </w:r>
    </w:p>
    <w:p w14:paraId="4ECC96B5" w14:textId="7DA1C2F6" w:rsidR="00092304" w:rsidRPr="00FB4EFA" w:rsidRDefault="00F606CE" w:rsidP="008A7171">
      <w:pPr>
        <w:keepNext/>
        <w:tabs>
          <w:tab w:val="left" w:pos="709"/>
          <w:tab w:val="left" w:pos="1276"/>
        </w:tabs>
        <w:spacing w:line="240" w:lineRule="auto"/>
        <w:ind w:left="1276"/>
        <w:rPr>
          <w:rFonts w:eastAsia="Calibri" w:cs="Charis SIL"/>
          <w:lang w:val="en-US"/>
        </w:rPr>
      </w:pPr>
      <w:r w:rsidRPr="00FB4EFA">
        <w:rPr>
          <w:rFonts w:eastAsia="Calibri" w:cs="Charis SIL"/>
          <w:lang w:val="en-US"/>
        </w:rPr>
        <w:t>(</w:t>
      </w:r>
      <w:r w:rsidR="00092304" w:rsidRPr="00FB4EFA">
        <w:rPr>
          <w:rFonts w:eastAsia="Calibri" w:cs="Charis SIL"/>
          <w:lang w:val="en-US"/>
        </w:rPr>
        <w:t>MVL_080304_NjomuKamleguNy_flks.152</w:t>
      </w:r>
      <w:r w:rsidRPr="00FB4EFA">
        <w:rPr>
          <w:rFonts w:eastAsia="Calibri" w:cs="Charis SIL"/>
          <w:lang w:val="en-US"/>
        </w:rPr>
        <w:t>)</w:t>
      </w:r>
    </w:p>
    <w:p w14:paraId="19BE8A2E" w14:textId="77777777" w:rsidR="00092304" w:rsidRPr="00FB4EFA" w:rsidRDefault="00092304" w:rsidP="00AF0CAD">
      <w:pPr>
        <w:tabs>
          <w:tab w:val="left" w:pos="709"/>
          <w:tab w:val="left" w:pos="1276"/>
          <w:tab w:val="left" w:pos="1985"/>
          <w:tab w:val="left" w:pos="3402"/>
        </w:tabs>
        <w:spacing w:before="240" w:line="240" w:lineRule="auto"/>
        <w:rPr>
          <w:rFonts w:cs="Charis SIL"/>
          <w:shd w:val="clear" w:color="auto" w:fill="FFFFFF"/>
          <w:lang w:val="en-US"/>
        </w:rPr>
      </w:pPr>
      <w:r w:rsidRPr="00FB4EFA">
        <w:rPr>
          <w:rFonts w:eastAsia="Calibri" w:cs="Charis SIL"/>
          <w:lang w:val="en-US"/>
        </w:rPr>
        <w:t>(8)</w:t>
      </w:r>
      <w:r w:rsidRPr="00FB4EFA">
        <w:rPr>
          <w:rFonts w:eastAsia="Calibri" w:cs="Charis SIL"/>
          <w:lang w:val="en-US"/>
        </w:rPr>
        <w:tab/>
      </w:r>
      <w:r w:rsidRPr="00FB4EFA">
        <w:rPr>
          <w:rFonts w:eastAsia="Calibri" w:cs="Charis SIL"/>
          <w:i/>
          <w:lang w:val="en-US"/>
        </w:rPr>
        <w:t>heðɨtɨ-Ɂ</w:t>
      </w:r>
      <w:r w:rsidRPr="00FB4EFA">
        <w:rPr>
          <w:rFonts w:eastAsia="Calibri" w:cs="Charis SIL"/>
          <w:lang w:val="en-US"/>
        </w:rPr>
        <w:tab/>
      </w:r>
      <w:r w:rsidRPr="00FB4EFA">
        <w:rPr>
          <w:rFonts w:eastAsia="Calibri" w:cs="Charis SIL"/>
          <w:i/>
          <w:lang w:val="en-US"/>
        </w:rPr>
        <w:t>nəməgəi-Ɂ,</w:t>
      </w:r>
      <w:r w:rsidRPr="00FB4EFA">
        <w:rPr>
          <w:rFonts w:eastAsia="Calibri" w:cs="Charis SIL"/>
          <w:i/>
          <w:lang w:val="en-US"/>
        </w:rPr>
        <w:tab/>
        <w:t>təńi-ðə</w:t>
      </w:r>
      <w:r w:rsidRPr="00FB4EFA">
        <w:rPr>
          <w:rFonts w:eastAsia="Calibri" w:cs="Charis SIL"/>
          <w:i/>
          <w:lang w:val="en-US"/>
        </w:rPr>
        <w:br/>
      </w:r>
      <w:r w:rsidRPr="00FB4EFA">
        <w:rPr>
          <w:rFonts w:eastAsia="Calibri" w:cs="Charis SIL"/>
          <w:lang w:val="en-US"/>
        </w:rPr>
        <w:tab/>
        <w:t>go-</w:t>
      </w:r>
      <w:r w:rsidRPr="00FB4EFA">
        <w:rPr>
          <w:rFonts w:eastAsia="Calibri" w:cs="Charis SIL"/>
          <w:smallCaps/>
          <w:lang w:val="en-US"/>
        </w:rPr>
        <w:t>imp.2sg</w:t>
      </w:r>
      <w:r w:rsidRPr="00FB4EFA">
        <w:rPr>
          <w:rFonts w:eastAsia="Calibri" w:cs="Charis SIL"/>
          <w:smallCaps/>
          <w:lang w:val="en-US"/>
        </w:rPr>
        <w:tab/>
      </w:r>
      <w:r w:rsidRPr="00FB4EFA">
        <w:rPr>
          <w:rFonts w:cs="Charis SIL"/>
          <w:shd w:val="clear" w:color="auto" w:fill="FFFFFF"/>
          <w:lang w:val="en-US"/>
        </w:rPr>
        <w:t>straight-</w:t>
      </w:r>
      <w:r w:rsidRPr="00FB4EFA">
        <w:rPr>
          <w:rFonts w:cs="Charis SIL"/>
          <w:smallCaps/>
          <w:shd w:val="clear" w:color="auto" w:fill="FFFFFF"/>
          <w:lang w:val="en-US"/>
        </w:rPr>
        <w:t>adv</w:t>
      </w:r>
      <w:r w:rsidRPr="00FB4EFA">
        <w:rPr>
          <w:rFonts w:cs="Charis SIL"/>
          <w:shd w:val="clear" w:color="auto" w:fill="FFFFFF"/>
          <w:lang w:val="en-US"/>
        </w:rPr>
        <w:tab/>
        <w:t>turn</w:t>
      </w:r>
      <w:r w:rsidRPr="00FB4EFA">
        <w:rPr>
          <w:rFonts w:cs="Charis SIL"/>
          <w:smallCaps/>
          <w:shd w:val="clear" w:color="auto" w:fill="FFFFFF"/>
          <w:lang w:val="en-US"/>
        </w:rPr>
        <w:t>-imp.2sg.rfl</w:t>
      </w:r>
      <w:r w:rsidRPr="00FB4EFA">
        <w:rPr>
          <w:rFonts w:cs="Charis SIL"/>
          <w:shd w:val="clear" w:color="auto" w:fill="FFFFFF"/>
          <w:lang w:val="en-US"/>
        </w:rPr>
        <w:tab/>
      </w:r>
    </w:p>
    <w:p w14:paraId="3DC7B3D1" w14:textId="77777777" w:rsidR="00092304" w:rsidRPr="00FB4EFA" w:rsidRDefault="00092304" w:rsidP="00AF0CAD">
      <w:pPr>
        <w:tabs>
          <w:tab w:val="left" w:pos="709"/>
          <w:tab w:val="left" w:pos="1985"/>
          <w:tab w:val="left" w:pos="2835"/>
          <w:tab w:val="left" w:pos="3261"/>
          <w:tab w:val="left" w:pos="4395"/>
        </w:tabs>
        <w:spacing w:before="120" w:line="240" w:lineRule="auto"/>
        <w:rPr>
          <w:rFonts w:eastAsia="Calibri" w:cs="Charis SIL"/>
          <w:i/>
          <w:lang w:val="en-US"/>
        </w:rPr>
      </w:pPr>
      <w:r w:rsidRPr="00FB4EFA">
        <w:rPr>
          <w:rFonts w:cs="Charis SIL"/>
          <w:shd w:val="clear" w:color="auto" w:fill="FFFFFF"/>
          <w:lang w:val="en-US"/>
        </w:rPr>
        <w:tab/>
      </w:r>
      <w:r w:rsidRPr="00FB4EFA">
        <w:rPr>
          <w:rFonts w:eastAsia="Calibri" w:cs="Charis SIL"/>
          <w:i/>
          <w:lang w:val="en-US"/>
        </w:rPr>
        <w:t>məgu</w:t>
      </w:r>
      <w:r w:rsidRPr="00FB4EFA">
        <w:rPr>
          <w:rFonts w:eastAsia="Calibri" w:cs="Charis SIL"/>
          <w:i/>
          <w:lang w:val="en-US"/>
        </w:rPr>
        <w:tab/>
        <w:t>ďa</w:t>
      </w:r>
      <w:r w:rsidRPr="00FB4EFA">
        <w:rPr>
          <w:rFonts w:eastAsia="Calibri" w:cs="Charis SIL"/>
          <w:i/>
          <w:lang w:val="en-US"/>
        </w:rPr>
        <w:tab/>
        <w:t>/</w:t>
      </w:r>
      <w:r w:rsidRPr="00FB4EFA">
        <w:rPr>
          <w:rFonts w:eastAsia="Calibri" w:cs="Charis SIL"/>
          <w:i/>
          <w:lang w:val="en-US"/>
        </w:rPr>
        <w:tab/>
        <w:t>horə</w:t>
      </w:r>
      <w:r w:rsidRPr="00FB4EFA">
        <w:rPr>
          <w:rFonts w:eastAsia="Calibri" w:cs="Charis SIL"/>
          <w:i/>
          <w:lang w:val="en-US"/>
        </w:rPr>
        <w:tab/>
        <w:t>ďa</w:t>
      </w:r>
      <w:r w:rsidRPr="00FB4EFA">
        <w:rPr>
          <w:rFonts w:eastAsia="Calibri" w:cs="Charis SIL"/>
          <w:i/>
          <w:lang w:val="en-US"/>
        </w:rPr>
        <w:br/>
      </w:r>
      <w:r w:rsidRPr="00FB4EFA">
        <w:rPr>
          <w:rFonts w:cs="Charis SIL"/>
          <w:shd w:val="clear" w:color="auto" w:fill="FFFFFF"/>
          <w:lang w:val="en-US"/>
        </w:rPr>
        <w:tab/>
        <w:t>back.</w:t>
      </w:r>
      <w:r w:rsidRPr="00FB4EFA">
        <w:rPr>
          <w:rFonts w:cs="Charis SIL"/>
          <w:smallCaps/>
          <w:shd w:val="clear" w:color="auto" w:fill="FFFFFF"/>
          <w:lang w:val="en-US"/>
        </w:rPr>
        <w:t>gen</w:t>
      </w:r>
      <w:r w:rsidRPr="00FB4EFA">
        <w:rPr>
          <w:rFonts w:cs="Charis SIL"/>
          <w:shd w:val="clear" w:color="auto" w:fill="FFFFFF"/>
          <w:lang w:val="en-US"/>
        </w:rPr>
        <w:tab/>
      </w:r>
      <w:r w:rsidRPr="00FB4EFA">
        <w:rPr>
          <w:rFonts w:cs="Charis SIL"/>
          <w:smallCaps/>
          <w:shd w:val="clear" w:color="auto" w:fill="FFFFFF"/>
          <w:lang w:val="en-US"/>
        </w:rPr>
        <w:t>all</w:t>
      </w:r>
      <w:r w:rsidRPr="00FB4EFA">
        <w:rPr>
          <w:rFonts w:cs="Charis SIL"/>
          <w:shd w:val="clear" w:color="auto" w:fill="FFFFFF"/>
          <w:lang w:val="en-US"/>
        </w:rPr>
        <w:tab/>
        <w:t>/</w:t>
      </w:r>
      <w:r w:rsidRPr="00FB4EFA">
        <w:rPr>
          <w:rFonts w:cs="Charis SIL"/>
          <w:shd w:val="clear" w:color="auto" w:fill="FFFFFF"/>
          <w:lang w:val="en-US"/>
        </w:rPr>
        <w:tab/>
        <w:t>face.</w:t>
      </w:r>
      <w:r w:rsidRPr="00FB4EFA">
        <w:rPr>
          <w:rFonts w:cs="Charis SIL"/>
          <w:smallCaps/>
          <w:shd w:val="clear" w:color="auto" w:fill="FFFFFF"/>
          <w:lang w:val="en-US"/>
        </w:rPr>
        <w:t>gen</w:t>
      </w:r>
      <w:r w:rsidRPr="00FB4EFA">
        <w:rPr>
          <w:rFonts w:cs="Charis SIL"/>
          <w:shd w:val="clear" w:color="auto" w:fill="FFFFFF"/>
          <w:lang w:val="en-US"/>
        </w:rPr>
        <w:tab/>
      </w:r>
      <w:r w:rsidRPr="00FB4EFA">
        <w:rPr>
          <w:rFonts w:cs="Charis SIL"/>
          <w:smallCaps/>
          <w:shd w:val="clear" w:color="auto" w:fill="FFFFFF"/>
          <w:lang w:val="en-US"/>
        </w:rPr>
        <w:t>all</w:t>
      </w:r>
    </w:p>
    <w:p w14:paraId="314A401A" w14:textId="77777777" w:rsidR="00092304" w:rsidRPr="00FB4EFA" w:rsidRDefault="00092304" w:rsidP="008A7171">
      <w:pPr>
        <w:tabs>
          <w:tab w:val="left" w:pos="709"/>
          <w:tab w:val="left" w:pos="1276"/>
        </w:tabs>
        <w:spacing w:line="240" w:lineRule="auto"/>
        <w:rPr>
          <w:rFonts w:cs="Charis SIL"/>
          <w:shd w:val="clear" w:color="auto" w:fill="FFFFFF"/>
          <w:lang w:val="en-US"/>
        </w:rPr>
      </w:pPr>
      <w:r w:rsidRPr="00FB4EFA">
        <w:rPr>
          <w:rFonts w:cs="Charis SIL"/>
          <w:shd w:val="clear" w:color="auto" w:fill="FFFFFF"/>
          <w:lang w:val="en-US"/>
        </w:rPr>
        <w:tab/>
        <w:t>‘Go straight, and then turn left/right.’</w:t>
      </w:r>
    </w:p>
    <w:p w14:paraId="088A03DC" w14:textId="77554FAE" w:rsidR="00092304" w:rsidRPr="00FB4EFA" w:rsidRDefault="00092304" w:rsidP="008A7171">
      <w:pPr>
        <w:tabs>
          <w:tab w:val="left" w:pos="709"/>
          <w:tab w:val="left" w:pos="1276"/>
        </w:tabs>
        <w:spacing w:line="240" w:lineRule="auto"/>
        <w:rPr>
          <w:rFonts w:eastAsia="Calibri" w:cs="Charis SIL"/>
          <w:lang w:val="en-US"/>
        </w:rPr>
      </w:pPr>
      <w:r w:rsidRPr="00FB4EFA">
        <w:rPr>
          <w:rFonts w:cs="Charis SIL"/>
          <w:shd w:val="clear" w:color="auto" w:fill="FFFFFF"/>
          <w:lang w:val="en-US"/>
        </w:rPr>
        <w:tab/>
        <w:t xml:space="preserve">(Aron </w:t>
      </w:r>
      <w:r w:rsidR="00D6535A" w:rsidRPr="00FB4EFA">
        <w:rPr>
          <w:rFonts w:cs="Charis SIL"/>
          <w:shd w:val="clear" w:color="auto" w:fill="FFFFFF"/>
          <w:lang w:val="en-US"/>
        </w:rPr>
        <w:t>&amp;</w:t>
      </w:r>
      <w:r w:rsidRPr="00FB4EFA">
        <w:rPr>
          <w:rFonts w:cs="Charis SIL"/>
          <w:shd w:val="clear" w:color="auto" w:fill="FFFFFF"/>
          <w:lang w:val="en-US"/>
        </w:rPr>
        <w:t xml:space="preserve"> Momde 1992: 48)</w:t>
      </w:r>
    </w:p>
    <w:p w14:paraId="31C2BD4E" w14:textId="77777777" w:rsidR="00092304" w:rsidRPr="00FB4EFA" w:rsidRDefault="00092304" w:rsidP="00402EF4">
      <w:pPr>
        <w:spacing w:before="240"/>
        <w:rPr>
          <w:rFonts w:eastAsia="Calibri" w:cs="Charis SIL"/>
          <w:lang w:val="en-US"/>
        </w:rPr>
      </w:pPr>
      <w:r w:rsidRPr="00FB4EFA">
        <w:rPr>
          <w:rFonts w:eastAsia="Calibri" w:cs="Charis SIL"/>
          <w:lang w:val="en-US"/>
        </w:rPr>
        <w:t xml:space="preserve">In Tereshchenko’s grammar (1979: 139) we can also find an example (9) in which the ‘face side’ is used with respect to a river. Here the river can be considered as if it were the sled and the speaker would sit on it, and the sled is transferred to the river. The direction of flow of the river is </w:t>
      </w:r>
      <w:r w:rsidRPr="00FB4EFA">
        <w:rPr>
          <w:rFonts w:eastAsia="Calibri" w:cs="Charis SIL"/>
          <w:lang w:val="en-US"/>
        </w:rPr>
        <w:lastRenderedPageBreak/>
        <w:t xml:space="preserve">considered as if it were the direction of travel of the sled. Thus, the concept </w:t>
      </w:r>
      <w:r w:rsidRPr="00FB4EFA">
        <w:rPr>
          <w:rFonts w:eastAsia="Calibri" w:cs="Charis SIL"/>
          <w:smallCaps/>
          <w:lang w:val="en-US"/>
        </w:rPr>
        <w:t>left/right</w:t>
      </w:r>
      <w:r w:rsidRPr="00FB4EFA">
        <w:rPr>
          <w:rFonts w:eastAsia="Calibri" w:cs="Charis SIL"/>
          <w:lang w:val="en-US"/>
        </w:rPr>
        <w:t xml:space="preserve"> is expressed exactly as it is the verbs of motion.</w:t>
      </w:r>
    </w:p>
    <w:p w14:paraId="16E51D86" w14:textId="43B9D01E" w:rsidR="00092304" w:rsidRPr="00FB4EFA" w:rsidRDefault="00092304" w:rsidP="00AF0CAD">
      <w:pPr>
        <w:tabs>
          <w:tab w:val="left" w:pos="709"/>
          <w:tab w:val="left" w:pos="2127"/>
          <w:tab w:val="left" w:pos="3119"/>
          <w:tab w:val="left" w:pos="5103"/>
          <w:tab w:val="left" w:pos="5954"/>
        </w:tabs>
        <w:spacing w:before="240" w:line="240" w:lineRule="auto"/>
        <w:rPr>
          <w:rFonts w:cs="Charis SIL"/>
          <w:smallCaps/>
          <w:lang w:val="en-US"/>
        </w:rPr>
      </w:pPr>
      <w:r w:rsidRPr="00FB4EFA">
        <w:rPr>
          <w:rFonts w:eastAsia="Calibri" w:cs="Charis SIL"/>
          <w:lang w:val="en-US"/>
        </w:rPr>
        <w:t>(</w:t>
      </w:r>
      <w:r w:rsidR="00C9146D" w:rsidRPr="00FB4EFA">
        <w:rPr>
          <w:rFonts w:eastAsia="Calibri" w:cs="Charis SIL"/>
          <w:lang w:val="en-US"/>
        </w:rPr>
        <w:t>9</w:t>
      </w:r>
      <w:r w:rsidRPr="00FB4EFA">
        <w:rPr>
          <w:rFonts w:eastAsia="Calibri" w:cs="Charis SIL"/>
          <w:lang w:val="en-US"/>
        </w:rPr>
        <w:t>)</w:t>
      </w:r>
      <w:r w:rsidRPr="00FB4EFA">
        <w:rPr>
          <w:rFonts w:eastAsia="Calibri" w:cs="Charis SIL"/>
          <w:lang w:val="en-US"/>
        </w:rPr>
        <w:tab/>
      </w:r>
      <w:r w:rsidRPr="00FB4EFA">
        <w:rPr>
          <w:rFonts w:eastAsia="Calibri" w:cs="Charis SIL"/>
          <w:i/>
          <w:lang w:val="en-US"/>
        </w:rPr>
        <w:t>bika-a</w:t>
      </w:r>
      <w:r w:rsidRPr="00FB4EFA">
        <w:rPr>
          <w:rFonts w:eastAsia="Calibri" w:cs="Charis SIL"/>
          <w:i/>
          <w:lang w:val="en-US"/>
        </w:rPr>
        <w:tab/>
        <w:t>horə</w:t>
      </w:r>
      <w:r w:rsidRPr="00FB4EFA">
        <w:rPr>
          <w:rFonts w:eastAsia="Calibri" w:cs="Charis SIL"/>
          <w:i/>
          <w:lang w:val="en-US"/>
        </w:rPr>
        <w:tab/>
        <w:t>ńii-ďə</w:t>
      </w:r>
      <w:r w:rsidRPr="00FB4EFA">
        <w:rPr>
          <w:rFonts w:eastAsia="Calibri" w:cs="Charis SIL"/>
          <w:i/>
          <w:lang w:val="en-US"/>
        </w:rPr>
        <w:tab/>
        <w:t>bərə</w:t>
      </w:r>
      <w:r w:rsidRPr="00FB4EFA">
        <w:rPr>
          <w:rFonts w:eastAsia="Calibri" w:cs="Charis SIL"/>
          <w:i/>
          <w:lang w:val="en-US"/>
        </w:rPr>
        <w:tab/>
        <w:t>hirəgə.</w:t>
      </w:r>
      <w:r w:rsidRPr="00FB4EFA">
        <w:rPr>
          <w:rFonts w:eastAsia="Calibri" w:cs="Charis SIL"/>
          <w:i/>
          <w:lang w:val="en-US"/>
        </w:rPr>
        <w:br/>
      </w:r>
      <w:r w:rsidRPr="00FB4EFA">
        <w:rPr>
          <w:rFonts w:eastAsia="Calibri" w:cs="Charis SIL"/>
          <w:lang w:val="en-US"/>
        </w:rPr>
        <w:tab/>
        <w:t>river-</w:t>
      </w:r>
      <w:r w:rsidRPr="00FB4EFA">
        <w:rPr>
          <w:rFonts w:eastAsia="Calibri" w:cs="Charis SIL"/>
          <w:smallCaps/>
          <w:lang w:val="en-US"/>
        </w:rPr>
        <w:t>ep.gen</w:t>
      </w:r>
      <w:r w:rsidRPr="00FB4EFA">
        <w:rPr>
          <w:rFonts w:eastAsia="Calibri" w:cs="Charis SIL"/>
          <w:lang w:val="en-US"/>
        </w:rPr>
        <w:tab/>
        <w:t>face.</w:t>
      </w:r>
      <w:r w:rsidRPr="00FB4EFA">
        <w:rPr>
          <w:rFonts w:eastAsia="Calibri" w:cs="Charis SIL"/>
          <w:smallCaps/>
          <w:lang w:val="en-US"/>
        </w:rPr>
        <w:t>gen</w:t>
      </w:r>
      <w:r w:rsidRPr="00FB4EFA">
        <w:rPr>
          <w:rFonts w:eastAsia="Calibri" w:cs="Charis SIL"/>
          <w:lang w:val="en-US"/>
        </w:rPr>
        <w:tab/>
      </w:r>
      <w:r w:rsidRPr="00FB4EFA">
        <w:rPr>
          <w:rFonts w:cs="Charis SIL"/>
          <w:lang w:val="en-US"/>
        </w:rPr>
        <w:t>direction-</w:t>
      </w:r>
      <w:r w:rsidRPr="00FB4EFA">
        <w:rPr>
          <w:rFonts w:cs="Charis SIL"/>
          <w:smallCaps/>
          <w:lang w:val="en-US"/>
        </w:rPr>
        <w:t>adj.gen</w:t>
      </w:r>
      <w:r w:rsidRPr="00FB4EFA">
        <w:rPr>
          <w:rFonts w:cs="Charis SIL"/>
          <w:smallCaps/>
          <w:lang w:val="en-US"/>
        </w:rPr>
        <w:tab/>
      </w:r>
      <w:r w:rsidRPr="00FB4EFA">
        <w:rPr>
          <w:rFonts w:cs="Charis SIL"/>
          <w:lang w:val="en-US"/>
        </w:rPr>
        <w:t>bank</w:t>
      </w:r>
      <w:r w:rsidRPr="00FB4EFA">
        <w:rPr>
          <w:rFonts w:cs="Charis SIL"/>
          <w:i/>
          <w:smallCaps/>
          <w:lang w:val="en-US"/>
        </w:rPr>
        <w:tab/>
      </w:r>
      <w:r w:rsidRPr="00FB4EFA">
        <w:rPr>
          <w:rFonts w:cs="Charis SIL"/>
          <w:lang w:val="en-US"/>
        </w:rPr>
        <w:t>high</w:t>
      </w:r>
      <w:r w:rsidRPr="00FB4EFA">
        <w:rPr>
          <w:rFonts w:cs="Charis SIL"/>
          <w:i/>
          <w:smallCaps/>
          <w:lang w:val="en-US"/>
        </w:rPr>
        <w:t>.</w:t>
      </w:r>
      <w:r w:rsidRPr="00FB4EFA">
        <w:rPr>
          <w:rFonts w:cs="Charis SIL"/>
          <w:smallCaps/>
          <w:lang w:val="en-US"/>
        </w:rPr>
        <w:t>3sg</w:t>
      </w:r>
    </w:p>
    <w:p w14:paraId="6EAA5C64" w14:textId="77777777" w:rsidR="00092304" w:rsidRPr="00FB4EFA" w:rsidRDefault="00092304" w:rsidP="008A7171">
      <w:pPr>
        <w:spacing w:line="240" w:lineRule="auto"/>
        <w:rPr>
          <w:rFonts w:eastAsia="Calibri" w:cs="Charis SIL"/>
          <w:lang w:val="en-US"/>
        </w:rPr>
      </w:pPr>
      <w:r w:rsidRPr="00FB4EFA">
        <w:rPr>
          <w:rFonts w:cs="Charis SIL"/>
          <w:lang w:val="en-US"/>
        </w:rPr>
        <w:tab/>
        <w:t xml:space="preserve">‘The left bank of the river is high.’ (Tereshchenko </w:t>
      </w:r>
      <w:r w:rsidRPr="00FB4EFA">
        <w:rPr>
          <w:rFonts w:eastAsia="Calibri" w:cs="Charis SIL"/>
          <w:lang w:val="en-US"/>
        </w:rPr>
        <w:t>1979: 139)</w:t>
      </w:r>
    </w:p>
    <w:p w14:paraId="18A769CF" w14:textId="765CB9D7" w:rsidR="00092304" w:rsidRPr="00FB4EFA" w:rsidRDefault="00092304" w:rsidP="00AF0CAD">
      <w:pPr>
        <w:spacing w:before="240"/>
        <w:rPr>
          <w:rFonts w:eastAsia="Calibri" w:cs="Charis SIL"/>
          <w:lang w:val="en-US"/>
        </w:rPr>
      </w:pPr>
      <w:r w:rsidRPr="00FB4EFA">
        <w:rPr>
          <w:rFonts w:eastAsia="Calibri" w:cs="Charis SIL"/>
          <w:lang w:val="en-US"/>
        </w:rPr>
        <w:t xml:space="preserve">If we look at the data of the dictionary (Kosterkina et al. 2005: 198, 281), we find an interesting case. According to the data, at least the word ‘face’ can also be used concerning the hand or foot, </w:t>
      </w:r>
      <w:r w:rsidR="00466236" w:rsidRPr="00FB4EFA">
        <w:rPr>
          <w:rFonts w:eastAsia="Calibri" w:cs="Charis SIL"/>
          <w:lang w:val="en-US"/>
        </w:rPr>
        <w:t>e.g., </w:t>
      </w:r>
      <w:r w:rsidRPr="00FB4EFA">
        <w:rPr>
          <w:rFonts w:eastAsia="Calibri" w:cs="Charis SIL"/>
          <w:i/>
          <w:lang w:val="en-US"/>
        </w:rPr>
        <w:t>horə ńii-ďə ďütü</w:t>
      </w:r>
      <w:r w:rsidRPr="00FB4EFA">
        <w:rPr>
          <w:rFonts w:eastAsia="Calibri" w:cs="Charis SIL"/>
          <w:lang w:val="en-US"/>
        </w:rPr>
        <w:t xml:space="preserve"> (face.</w:t>
      </w:r>
      <w:r w:rsidRPr="00FB4EFA">
        <w:rPr>
          <w:rFonts w:eastAsia="Calibri" w:cs="Charis SIL"/>
          <w:smallCaps/>
          <w:lang w:val="en-US"/>
        </w:rPr>
        <w:t>gen</w:t>
      </w:r>
      <w:r w:rsidRPr="00FB4EFA">
        <w:rPr>
          <w:rFonts w:eastAsia="Calibri" w:cs="Charis SIL"/>
          <w:lang w:val="en-US"/>
        </w:rPr>
        <w:t xml:space="preserve"> direction-</w:t>
      </w:r>
      <w:r w:rsidRPr="00FB4EFA">
        <w:rPr>
          <w:rFonts w:eastAsia="Calibri" w:cs="Charis SIL"/>
          <w:smallCaps/>
          <w:lang w:val="en-US"/>
        </w:rPr>
        <w:t>adj</w:t>
      </w:r>
      <w:r w:rsidRPr="00FB4EFA">
        <w:rPr>
          <w:rFonts w:eastAsia="Calibri" w:cs="Charis SIL"/>
          <w:lang w:val="en-US"/>
        </w:rPr>
        <w:t xml:space="preserve"> hand) ‘left hand’ and </w:t>
      </w:r>
      <w:r w:rsidRPr="00FB4EFA">
        <w:rPr>
          <w:rFonts w:eastAsia="Calibri" w:cs="Charis SIL"/>
          <w:i/>
          <w:lang w:val="en-US"/>
        </w:rPr>
        <w:t>horə ńii-ďə ŋoj</w:t>
      </w:r>
      <w:r w:rsidRPr="00FB4EFA">
        <w:rPr>
          <w:rFonts w:eastAsia="Calibri" w:cs="Charis SIL"/>
          <w:lang w:val="en-US"/>
        </w:rPr>
        <w:t xml:space="preserve"> (face.</w:t>
      </w:r>
      <w:r w:rsidRPr="00FB4EFA">
        <w:rPr>
          <w:rFonts w:eastAsia="Calibri" w:cs="Charis SIL"/>
          <w:smallCaps/>
          <w:lang w:val="en-US"/>
        </w:rPr>
        <w:t>gen</w:t>
      </w:r>
      <w:r w:rsidRPr="00FB4EFA">
        <w:rPr>
          <w:rFonts w:eastAsia="Calibri" w:cs="Charis SIL"/>
          <w:lang w:val="en-US"/>
        </w:rPr>
        <w:t xml:space="preserve"> direction-</w:t>
      </w:r>
      <w:r w:rsidRPr="00FB4EFA">
        <w:rPr>
          <w:rFonts w:eastAsia="Calibri" w:cs="Charis SIL"/>
          <w:smallCaps/>
          <w:lang w:val="en-US"/>
        </w:rPr>
        <w:t>adj</w:t>
      </w:r>
      <w:r w:rsidRPr="00FB4EFA">
        <w:rPr>
          <w:rFonts w:eastAsia="Calibri" w:cs="Charis SIL"/>
          <w:lang w:val="en-US"/>
        </w:rPr>
        <w:t xml:space="preserve"> foot) ‘left foot’. However, this construction was not found even once in the corpus. Whether these terms can actually be used in this manner can only be corroborated by data collected in the field.</w:t>
      </w:r>
    </w:p>
    <w:p w14:paraId="6992D8E1" w14:textId="0C97024C" w:rsidR="00092304" w:rsidRPr="00FB4EFA" w:rsidRDefault="00092304" w:rsidP="00AF0CAD">
      <w:pPr>
        <w:pStyle w:val="Heading3"/>
        <w:numPr>
          <w:ilvl w:val="1"/>
          <w:numId w:val="21"/>
        </w:numPr>
        <w:spacing w:line="259" w:lineRule="auto"/>
        <w:rPr>
          <w:lang w:val="en-US"/>
        </w:rPr>
      </w:pPr>
      <w:r w:rsidRPr="00FB4EFA">
        <w:rPr>
          <w:lang w:val="en-US"/>
        </w:rPr>
        <w:t>His bed is on the blizzard side</w:t>
      </w:r>
    </w:p>
    <w:p w14:paraId="41970FCC" w14:textId="0B157866" w:rsidR="00092304" w:rsidRPr="00FB4EFA" w:rsidRDefault="00092304" w:rsidP="00AF0CAD">
      <w:pPr>
        <w:spacing w:after="240"/>
        <w:rPr>
          <w:rFonts w:cs="Charis SIL"/>
          <w:szCs w:val="24"/>
          <w:lang w:val="en-US"/>
        </w:rPr>
      </w:pPr>
      <w:r w:rsidRPr="00FB4EFA">
        <w:rPr>
          <w:lang w:val="en-US"/>
        </w:rPr>
        <w:t>Another important spatial domain is orientation in a tent. A Nganasan family rarely lived alone in their tent. The common practice was that two families, or often even more than two, lived together in one tent. The families then lived – seen from the entrance (</w:t>
      </w:r>
      <w:r w:rsidRPr="00FB4EFA">
        <w:rPr>
          <w:rFonts w:cs="Cambria"/>
          <w:i/>
          <w:lang w:val="en-US"/>
        </w:rPr>
        <w:t>ŋ</w:t>
      </w:r>
      <w:r w:rsidRPr="00FB4EFA">
        <w:rPr>
          <w:i/>
          <w:lang w:val="en-US"/>
        </w:rPr>
        <w:t>ua</w:t>
      </w:r>
      <w:r w:rsidRPr="00FB4EFA">
        <w:rPr>
          <w:lang w:val="en-US"/>
        </w:rPr>
        <w:t xml:space="preserve">) – on different sides of the tent. The part furthest from the entrance, opposite the entrance, is the sacral place </w:t>
      </w:r>
      <w:r w:rsidRPr="00FB4EFA">
        <w:rPr>
          <w:i/>
          <w:lang w:val="en-US"/>
        </w:rPr>
        <w:t>s</w:t>
      </w:r>
      <w:r w:rsidRPr="00FB4EFA">
        <w:rPr>
          <w:rFonts w:cs="Times New Roman"/>
          <w:i/>
          <w:lang w:val="en-US"/>
        </w:rPr>
        <w:t>ɨ</w:t>
      </w:r>
      <w:r w:rsidRPr="00FB4EFA">
        <w:rPr>
          <w:rFonts w:cs="Cambria"/>
          <w:i/>
          <w:lang w:val="en-US"/>
        </w:rPr>
        <w:t>ŋ</w:t>
      </w:r>
      <w:r w:rsidRPr="00FB4EFA">
        <w:rPr>
          <w:lang w:val="en-US"/>
        </w:rPr>
        <w:t xml:space="preserve">. Between the entrance and the sacral place, like the sagittal plane of the human body, an imaginary line can be drawn </w:t>
      </w:r>
      <w:r w:rsidR="004E3AAC" w:rsidRPr="00FB4EFA">
        <w:rPr>
          <w:lang w:val="en-US"/>
        </w:rPr>
        <w:t xml:space="preserve">across the ground of a tent </w:t>
      </w:r>
      <w:r w:rsidRPr="00FB4EFA">
        <w:rPr>
          <w:lang w:val="en-US"/>
        </w:rPr>
        <w:t xml:space="preserve">which divides </w:t>
      </w:r>
      <w:r w:rsidR="004E3AAC" w:rsidRPr="00FB4EFA">
        <w:rPr>
          <w:lang w:val="en-US"/>
        </w:rPr>
        <w:t xml:space="preserve">it </w:t>
      </w:r>
      <w:r w:rsidRPr="00FB4EFA">
        <w:rPr>
          <w:lang w:val="en-US"/>
        </w:rPr>
        <w:t xml:space="preserve">into two parts. These two regions correspond to the concept </w:t>
      </w:r>
      <w:r w:rsidRPr="00FB4EFA">
        <w:rPr>
          <w:smallCaps/>
          <w:lang w:val="en-US"/>
        </w:rPr>
        <w:t>left/right.</w:t>
      </w:r>
      <w:r w:rsidRPr="00FB4EFA">
        <w:rPr>
          <w:lang w:val="en-US"/>
        </w:rPr>
        <w:t xml:space="preserve"> The two points in the tent are shown in Figure 4 below.</w:t>
      </w:r>
    </w:p>
    <w:p w14:paraId="5B45D9B4" w14:textId="77777777" w:rsidR="00092304" w:rsidRPr="00FB4EFA" w:rsidRDefault="00092304" w:rsidP="00863238">
      <w:pPr>
        <w:keepNext/>
        <w:jc w:val="center"/>
        <w:rPr>
          <w:szCs w:val="24"/>
          <w:lang w:val="en-US"/>
        </w:rPr>
      </w:pPr>
      <w:r w:rsidRPr="00FB4EFA">
        <w:rPr>
          <w:noProof/>
          <w:szCs w:val="24"/>
          <w:lang w:val="de-DE" w:eastAsia="de-DE"/>
        </w:rPr>
        <w:drawing>
          <wp:inline distT="0" distB="0" distL="0" distR="0" wp14:anchorId="27EFA6DF" wp14:editId="5F692678">
            <wp:extent cx="1353787" cy="1125500"/>
            <wp:effectExtent l="0" t="0" r="0" b="0"/>
            <wp:docPr id="13" name="Grafik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 descr="Diagram&#10;&#10;Description automatically generated"/>
                    <pic:cNvPicPr/>
                  </pic:nvPicPr>
                  <pic:blipFill rotWithShape="1">
                    <a:blip r:embed="rId425" cstate="print">
                      <a:extLst>
                        <a:ext uri="{28A0092B-C50C-407E-A947-70E740481C1C}">
                          <a14:useLocalDpi xmlns:a14="http://schemas.microsoft.com/office/drawing/2010/main" val="0"/>
                        </a:ext>
                      </a:extLst>
                    </a:blip>
                    <a:srcRect t="3082" b="4481"/>
                    <a:stretch/>
                  </pic:blipFill>
                  <pic:spPr bwMode="auto">
                    <a:xfrm>
                      <a:off x="0" y="0"/>
                      <a:ext cx="1361918" cy="1132260"/>
                    </a:xfrm>
                    <a:prstGeom prst="rect">
                      <a:avLst/>
                    </a:prstGeom>
                    <a:ln>
                      <a:noFill/>
                    </a:ln>
                    <a:extLst>
                      <a:ext uri="{53640926-AAD7-44D8-BBD7-CCE9431645EC}">
                        <a14:shadowObscured xmlns:a14="http://schemas.microsoft.com/office/drawing/2010/main"/>
                      </a:ext>
                    </a:extLst>
                  </pic:spPr>
                </pic:pic>
              </a:graphicData>
            </a:graphic>
          </wp:inline>
        </w:drawing>
      </w:r>
    </w:p>
    <w:p w14:paraId="21BDAB01" w14:textId="77777777" w:rsidR="00092304" w:rsidRPr="00FB4EFA" w:rsidRDefault="00092304" w:rsidP="00863238">
      <w:pPr>
        <w:suppressAutoHyphens/>
        <w:spacing w:after="240"/>
        <w:jc w:val="center"/>
        <w:rPr>
          <w:rFonts w:cs="Charis SIL"/>
          <w:sz w:val="18"/>
          <w:szCs w:val="18"/>
        </w:rPr>
      </w:pPr>
      <w:r w:rsidRPr="00FB4EFA">
        <w:rPr>
          <w:rFonts w:cs="Charis SIL"/>
          <w:b/>
          <w:bCs/>
          <w:sz w:val="18"/>
          <w:szCs w:val="18"/>
        </w:rPr>
        <w:t>Figure 4</w:t>
      </w:r>
      <w:r w:rsidRPr="00FB4EFA">
        <w:rPr>
          <w:rFonts w:cs="Charis SIL"/>
          <w:sz w:val="18"/>
          <w:szCs w:val="18"/>
        </w:rPr>
        <w:t>. A Nganasan tent (Popov 1948: 87, modified by Laetitia Lilla Wagner)</w:t>
      </w:r>
    </w:p>
    <w:p w14:paraId="04560C53" w14:textId="3CE389AD" w:rsidR="00092304" w:rsidRPr="00FB4EFA" w:rsidRDefault="00092304" w:rsidP="00AF0CAD">
      <w:pPr>
        <w:spacing w:after="240"/>
        <w:rPr>
          <w:rFonts w:cs="Charis SIL"/>
          <w:szCs w:val="24"/>
          <w:lang w:val="en-US"/>
        </w:rPr>
      </w:pPr>
      <w:r w:rsidRPr="00FB4EFA">
        <w:rPr>
          <w:lang w:val="en-US"/>
        </w:rPr>
        <w:t xml:space="preserve">Tents were built taking the atmospheric conditions into account. Two important winds dominate the weather on the Taimyr Peninsula. The </w:t>
      </w:r>
      <w:r w:rsidRPr="00FB4EFA">
        <w:rPr>
          <w:lang w:val="en-US"/>
        </w:rPr>
        <w:lastRenderedPageBreak/>
        <w:t>wind that blows from the southwest brings blizzards and rain (</w:t>
      </w:r>
      <w:r w:rsidRPr="00FB4EFA">
        <w:rPr>
          <w:i/>
          <w:lang w:val="en-US"/>
        </w:rPr>
        <w:t>koðu</w:t>
      </w:r>
      <w:r w:rsidRPr="00FB4EFA">
        <w:rPr>
          <w:rFonts w:cs="Cambria"/>
          <w:i/>
          <w:lang w:val="en-US"/>
        </w:rPr>
        <w:t>Ɂ</w:t>
      </w:r>
      <w:r w:rsidRPr="00FB4EFA">
        <w:rPr>
          <w:lang w:val="en-US"/>
        </w:rPr>
        <w:t xml:space="preserve"> ‘blizzard’). In the traditional dwelling areas of the Nganasan, this is also the side where the town of Dudinka is located (see Figure </w:t>
      </w:r>
      <w:r w:rsidR="00231203" w:rsidRPr="00FB4EFA">
        <w:rPr>
          <w:lang w:val="en-US"/>
        </w:rPr>
        <w:t>5</w:t>
      </w:r>
      <w:r w:rsidRPr="00FB4EFA">
        <w:rPr>
          <w:lang w:val="en-US"/>
        </w:rPr>
        <w:t xml:space="preserve">). This town is called </w:t>
      </w:r>
      <w:r w:rsidRPr="00FB4EFA">
        <w:rPr>
          <w:i/>
          <w:lang w:val="en-US"/>
        </w:rPr>
        <w:t>Koðuta</w:t>
      </w:r>
      <w:r w:rsidRPr="00FB4EFA">
        <w:rPr>
          <w:rFonts w:cs="Cambria"/>
          <w:i/>
          <w:lang w:val="en-US"/>
        </w:rPr>
        <w:t>Ɂ</w:t>
      </w:r>
      <w:r w:rsidRPr="00FB4EFA">
        <w:rPr>
          <w:i/>
          <w:lang w:val="en-US"/>
        </w:rPr>
        <w:t>a</w:t>
      </w:r>
      <w:r w:rsidRPr="00FB4EFA">
        <w:rPr>
          <w:lang w:val="en-US"/>
        </w:rPr>
        <w:t xml:space="preserve"> ‘big blizzard’ in Nganasan. From the opposite side blows the northeastern wind </w:t>
      </w:r>
      <w:r w:rsidRPr="00FB4EFA">
        <w:rPr>
          <w:rFonts w:cs="Cambria"/>
          <w:i/>
          <w:lang w:val="en-US"/>
        </w:rPr>
        <w:t>ŋ</w:t>
      </w:r>
      <w:r w:rsidRPr="00FB4EFA">
        <w:rPr>
          <w:i/>
          <w:lang w:val="en-US"/>
        </w:rPr>
        <w:t>arm</w:t>
      </w:r>
      <w:r w:rsidRPr="00FB4EFA">
        <w:rPr>
          <w:rFonts w:cs="Baskerville Old Face"/>
          <w:i/>
          <w:lang w:val="en-US"/>
        </w:rPr>
        <w:t>ü</w:t>
      </w:r>
      <w:r w:rsidRPr="00FB4EFA">
        <w:rPr>
          <w:i/>
          <w:lang w:val="en-US"/>
        </w:rPr>
        <w:t xml:space="preserve"> </w:t>
      </w:r>
      <w:r w:rsidRPr="00FB4EFA">
        <w:rPr>
          <w:lang w:val="en-US"/>
        </w:rPr>
        <w:t xml:space="preserve">or </w:t>
      </w:r>
      <w:r w:rsidRPr="00FB4EFA">
        <w:rPr>
          <w:rFonts w:cs="Cambria"/>
          <w:i/>
          <w:lang w:val="en-US"/>
        </w:rPr>
        <w:t>ŋ</w:t>
      </w:r>
      <w:r w:rsidRPr="00FB4EFA">
        <w:rPr>
          <w:i/>
          <w:lang w:val="en-US"/>
        </w:rPr>
        <w:t>armi</w:t>
      </w:r>
      <w:r w:rsidRPr="00FB4EFA">
        <w:rPr>
          <w:lang w:val="en-US"/>
        </w:rPr>
        <w:t>, which brings cold air. To protect a tent, especially the entrance (</w:t>
      </w:r>
      <w:r w:rsidRPr="00FB4EFA">
        <w:rPr>
          <w:rFonts w:cs="Cambria"/>
          <w:i/>
          <w:lang w:val="en-US"/>
        </w:rPr>
        <w:t>ŋ</w:t>
      </w:r>
      <w:r w:rsidRPr="00FB4EFA">
        <w:rPr>
          <w:i/>
          <w:lang w:val="en-US"/>
        </w:rPr>
        <w:t>ua</w:t>
      </w:r>
      <w:r w:rsidRPr="00FB4EFA">
        <w:rPr>
          <w:lang w:val="en-US"/>
        </w:rPr>
        <w:t>), it was placed so that the entrance was directed to the southeast. Accordingly, the opposite side, where the sacral place (</w:t>
      </w:r>
      <w:r w:rsidRPr="00FB4EFA">
        <w:rPr>
          <w:i/>
          <w:lang w:val="en-US"/>
        </w:rPr>
        <w:t>s</w:t>
      </w:r>
      <w:r w:rsidRPr="00FB4EFA">
        <w:rPr>
          <w:rFonts w:cs="Times New Roman"/>
          <w:i/>
          <w:lang w:val="en-US"/>
        </w:rPr>
        <w:t>ɨ</w:t>
      </w:r>
      <w:r w:rsidRPr="00FB4EFA">
        <w:rPr>
          <w:rFonts w:cs="Cambria"/>
          <w:i/>
          <w:lang w:val="en-US"/>
        </w:rPr>
        <w:t>ŋ</w:t>
      </w:r>
      <w:r w:rsidRPr="00FB4EFA">
        <w:rPr>
          <w:lang w:val="en-US"/>
        </w:rPr>
        <w:t>) is, was oriented towards the northwest. The spatial alignment of a tent is shown schematically in Figure 5. (For more details see</w:t>
      </w:r>
      <w:r w:rsidR="00467933" w:rsidRPr="00FB4EFA">
        <w:rPr>
          <w:lang w:val="en-US"/>
        </w:rPr>
        <w:t>,</w:t>
      </w:r>
      <w:r w:rsidRPr="00FB4EFA">
        <w:rPr>
          <w:lang w:val="en-US"/>
        </w:rPr>
        <w:t xml:space="preserve"> among others</w:t>
      </w:r>
      <w:r w:rsidR="00467933" w:rsidRPr="00FB4EFA">
        <w:rPr>
          <w:lang w:val="en-US"/>
        </w:rPr>
        <w:t xml:space="preserve">, </w:t>
      </w:r>
      <w:r w:rsidRPr="00FB4EFA">
        <w:rPr>
          <w:lang w:val="en-US"/>
        </w:rPr>
        <w:t>Popov 1948 and 1966.)</w:t>
      </w:r>
    </w:p>
    <w:p w14:paraId="74238026" w14:textId="77777777" w:rsidR="00092304" w:rsidRPr="00FB4EFA" w:rsidRDefault="00092304" w:rsidP="00402EF4">
      <w:pPr>
        <w:jc w:val="center"/>
        <w:rPr>
          <w:rFonts w:cs="Charis SIL"/>
          <w:szCs w:val="24"/>
          <w:lang w:val="en-US"/>
        </w:rPr>
      </w:pPr>
      <w:r w:rsidRPr="00FB4EFA">
        <w:rPr>
          <w:noProof/>
          <w:szCs w:val="24"/>
          <w:lang w:val="de-DE" w:eastAsia="de-DE"/>
        </w:rPr>
        <w:drawing>
          <wp:inline distT="0" distB="0" distL="0" distR="0" wp14:anchorId="7B69CB43" wp14:editId="7C4964C3">
            <wp:extent cx="3616036" cy="1979088"/>
            <wp:effectExtent l="0" t="0" r="0" b="0"/>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a:picLocks noChangeAspect="1" noChangeArrowheads="1"/>
                    </pic:cNvPicPr>
                  </pic:nvPicPr>
                  <pic:blipFill rotWithShape="1">
                    <a:blip r:embed="rId426">
                      <a:extLst>
                        <a:ext uri="{BEBA8EAE-BF5A-486C-A8C5-ECC9F3942E4B}">
                          <a14:imgProps xmlns:a14="http://schemas.microsoft.com/office/drawing/2010/main">
                            <a14:imgLayer r:embed="rId427">
                              <a14:imgEffect>
                                <a14:saturation sat="0"/>
                              </a14:imgEffect>
                            </a14:imgLayer>
                          </a14:imgProps>
                        </a:ext>
                        <a:ext uri="{28A0092B-C50C-407E-A947-70E740481C1C}">
                          <a14:useLocalDpi xmlns:a14="http://schemas.microsoft.com/office/drawing/2010/main" val="0"/>
                        </a:ext>
                      </a:extLst>
                    </a:blip>
                    <a:srcRect t="8024"/>
                    <a:stretch/>
                  </pic:blipFill>
                  <pic:spPr bwMode="auto">
                    <a:xfrm>
                      <a:off x="0" y="0"/>
                      <a:ext cx="3645680" cy="1995313"/>
                    </a:xfrm>
                    <a:prstGeom prst="rect">
                      <a:avLst/>
                    </a:prstGeom>
                    <a:noFill/>
                    <a:ln>
                      <a:noFill/>
                    </a:ln>
                    <a:extLst>
                      <a:ext uri="{53640926-AAD7-44D8-BBD7-CCE9431645EC}">
                        <a14:shadowObscured xmlns:a14="http://schemas.microsoft.com/office/drawing/2010/main"/>
                      </a:ext>
                    </a:extLst>
                  </pic:spPr>
                </pic:pic>
              </a:graphicData>
            </a:graphic>
          </wp:inline>
        </w:drawing>
      </w:r>
    </w:p>
    <w:p w14:paraId="10F83442" w14:textId="77777777" w:rsidR="00092304" w:rsidRPr="00FB4EFA" w:rsidRDefault="00092304" w:rsidP="00AC1192">
      <w:pPr>
        <w:suppressAutoHyphens/>
        <w:spacing w:before="120" w:after="240"/>
        <w:jc w:val="center"/>
        <w:rPr>
          <w:sz w:val="18"/>
          <w:szCs w:val="18"/>
          <w:lang w:val="en-US"/>
        </w:rPr>
      </w:pPr>
      <w:r w:rsidRPr="00FB4EFA">
        <w:rPr>
          <w:b/>
          <w:bCs/>
          <w:sz w:val="18"/>
          <w:szCs w:val="18"/>
          <w:lang w:val="en-US"/>
        </w:rPr>
        <w:t>Figure 5</w:t>
      </w:r>
      <w:r w:rsidRPr="00FB4EFA">
        <w:rPr>
          <w:sz w:val="18"/>
          <w:szCs w:val="18"/>
          <w:lang w:val="en-US"/>
        </w:rPr>
        <w:t>. The spatial alignment of a tent</w:t>
      </w:r>
      <w:r w:rsidRPr="00FB4EFA">
        <w:rPr>
          <w:sz w:val="18"/>
          <w:szCs w:val="18"/>
          <w:vertAlign w:val="superscript"/>
          <w:lang w:val="en-US"/>
        </w:rPr>
        <w:footnoteReference w:id="154"/>
      </w:r>
      <w:r w:rsidRPr="00FB4EFA">
        <w:rPr>
          <w:sz w:val="18"/>
          <w:szCs w:val="18"/>
          <w:lang w:val="en-US"/>
        </w:rPr>
        <w:t>)</w:t>
      </w:r>
    </w:p>
    <w:p w14:paraId="1CF98499" w14:textId="1853C0BA" w:rsidR="00092304" w:rsidRPr="00FB4EFA" w:rsidRDefault="00092304" w:rsidP="00AF0CAD">
      <w:pPr>
        <w:tabs>
          <w:tab w:val="left" w:pos="5812"/>
        </w:tabs>
        <w:spacing w:after="240"/>
        <w:rPr>
          <w:rFonts w:cs="Charis SIL"/>
          <w:lang w:val="en-US"/>
        </w:rPr>
      </w:pPr>
      <w:r w:rsidRPr="00FB4EFA">
        <w:rPr>
          <w:lang w:val="en-US"/>
        </w:rPr>
        <w:t xml:space="preserve">The naming of the sides in the tent was not speaker-based, but relied on other </w:t>
      </w:r>
      <w:r w:rsidRPr="00FB4EFA">
        <w:rPr>
          <w:smallCaps/>
          <w:lang w:val="en-US"/>
        </w:rPr>
        <w:t>field-based</w:t>
      </w:r>
      <w:r w:rsidRPr="00FB4EFA">
        <w:rPr>
          <w:lang w:val="en-US"/>
        </w:rPr>
        <w:t xml:space="preserve"> reference frames, where the weather phenomena played a decisive role. The names were as follows: the southwestern side is called </w:t>
      </w:r>
      <w:r w:rsidRPr="00FB4EFA">
        <w:rPr>
          <w:i/>
          <w:lang w:val="en-US"/>
        </w:rPr>
        <w:t>kotuðə ńiiďə kəi</w:t>
      </w:r>
      <w:r w:rsidRPr="00FB4EFA">
        <w:rPr>
          <w:lang w:val="en-US"/>
        </w:rPr>
        <w:t xml:space="preserve"> [blizzard.</w:t>
      </w:r>
      <w:r w:rsidRPr="00FB4EFA">
        <w:rPr>
          <w:smallCaps/>
          <w:lang w:val="en-US"/>
        </w:rPr>
        <w:t>gen+</w:t>
      </w:r>
      <w:r w:rsidRPr="00FB4EFA">
        <w:rPr>
          <w:i/>
          <w:lang w:val="en-US"/>
        </w:rPr>
        <w:t>ńii-ďə</w:t>
      </w:r>
      <w:r w:rsidRPr="00FB4EFA">
        <w:rPr>
          <w:smallCaps/>
          <w:lang w:val="en-US"/>
        </w:rPr>
        <w:t xml:space="preserve"> </w:t>
      </w:r>
      <w:r w:rsidRPr="00FB4EFA">
        <w:rPr>
          <w:lang w:val="en-US"/>
        </w:rPr>
        <w:t>direction</w:t>
      </w:r>
      <w:r w:rsidRPr="00FB4EFA">
        <w:rPr>
          <w:smallCaps/>
          <w:lang w:val="en-US"/>
        </w:rPr>
        <w:t xml:space="preserve">-adj+ </w:t>
      </w:r>
      <w:r w:rsidRPr="00FB4EFA">
        <w:rPr>
          <w:lang w:val="en-US"/>
        </w:rPr>
        <w:t>side</w:t>
      </w:r>
      <w:r w:rsidRPr="00FB4EFA">
        <w:rPr>
          <w:smallCaps/>
          <w:lang w:val="en-US"/>
        </w:rPr>
        <w:t>]</w:t>
      </w:r>
      <w:r w:rsidRPr="00FB4EFA">
        <w:rPr>
          <w:lang w:val="en-US"/>
        </w:rPr>
        <w:t xml:space="preserve"> ‘blizzard side’, the northeastern side </w:t>
      </w:r>
      <w:r w:rsidRPr="00FB4EFA">
        <w:rPr>
          <w:i/>
          <w:lang w:val="en-US"/>
        </w:rPr>
        <w:t>ŋarmüðə</w:t>
      </w:r>
      <w:r w:rsidRPr="00FB4EFA">
        <w:rPr>
          <w:lang w:val="en-US"/>
        </w:rPr>
        <w:t xml:space="preserve"> </w:t>
      </w:r>
      <w:r w:rsidRPr="00FB4EFA">
        <w:rPr>
          <w:i/>
          <w:lang w:val="en-US"/>
        </w:rPr>
        <w:t>ńiiďə kəi</w:t>
      </w:r>
      <w:r w:rsidRPr="00FB4EFA">
        <w:rPr>
          <w:lang w:val="en-US"/>
        </w:rPr>
        <w:t xml:space="preserve"> [northeast_wind-</w:t>
      </w:r>
      <w:r w:rsidRPr="00FB4EFA">
        <w:rPr>
          <w:smallCaps/>
          <w:lang w:val="en-US"/>
        </w:rPr>
        <w:t>adj.gen+</w:t>
      </w:r>
      <w:r w:rsidRPr="00FB4EFA">
        <w:rPr>
          <w:i/>
          <w:lang w:val="en-US"/>
        </w:rPr>
        <w:t>ńii-ďə</w:t>
      </w:r>
      <w:r w:rsidRPr="00FB4EFA">
        <w:rPr>
          <w:smallCaps/>
          <w:lang w:val="en-US"/>
        </w:rPr>
        <w:t xml:space="preserve"> </w:t>
      </w:r>
      <w:r w:rsidRPr="00FB4EFA">
        <w:rPr>
          <w:lang w:val="en-US"/>
        </w:rPr>
        <w:t>direction</w:t>
      </w:r>
      <w:r w:rsidRPr="00FB4EFA">
        <w:rPr>
          <w:smallCaps/>
          <w:lang w:val="en-US"/>
        </w:rPr>
        <w:t xml:space="preserve">-adj+ </w:t>
      </w:r>
      <w:r w:rsidRPr="00FB4EFA">
        <w:rPr>
          <w:lang w:val="en-US"/>
        </w:rPr>
        <w:t>side</w:t>
      </w:r>
      <w:r w:rsidRPr="00FB4EFA">
        <w:rPr>
          <w:smallCaps/>
          <w:lang w:val="en-US"/>
        </w:rPr>
        <w:t>]</w:t>
      </w:r>
      <w:r w:rsidRPr="00FB4EFA">
        <w:rPr>
          <w:lang w:val="en-US"/>
        </w:rPr>
        <w:t xml:space="preserve"> ‘north-east wind side’, the northwestern side </w:t>
      </w:r>
      <w:r w:rsidRPr="00FB4EFA">
        <w:rPr>
          <w:i/>
          <w:lang w:val="en-US"/>
        </w:rPr>
        <w:t>sɨŋə ńiiďə kəi</w:t>
      </w:r>
      <w:r w:rsidRPr="00FB4EFA">
        <w:rPr>
          <w:lang w:val="en-US"/>
        </w:rPr>
        <w:t xml:space="preserve"> [sacral_place.</w:t>
      </w:r>
      <w:r w:rsidRPr="00FB4EFA">
        <w:rPr>
          <w:smallCaps/>
          <w:lang w:val="en-US"/>
        </w:rPr>
        <w:t>gen+</w:t>
      </w:r>
      <w:r w:rsidRPr="00FB4EFA">
        <w:rPr>
          <w:i/>
          <w:lang w:val="en-US"/>
        </w:rPr>
        <w:t>ńii-ďə</w:t>
      </w:r>
      <w:r w:rsidRPr="00FB4EFA">
        <w:rPr>
          <w:smallCaps/>
          <w:lang w:val="en-US"/>
        </w:rPr>
        <w:t xml:space="preserve"> </w:t>
      </w:r>
      <w:r w:rsidRPr="00FB4EFA">
        <w:rPr>
          <w:lang w:val="en-US"/>
        </w:rPr>
        <w:t>direction</w:t>
      </w:r>
      <w:r w:rsidRPr="00FB4EFA">
        <w:rPr>
          <w:smallCaps/>
          <w:lang w:val="en-US"/>
        </w:rPr>
        <w:t xml:space="preserve">-adj+ </w:t>
      </w:r>
      <w:r w:rsidRPr="00FB4EFA">
        <w:rPr>
          <w:lang w:val="en-US"/>
        </w:rPr>
        <w:t>side</w:t>
      </w:r>
      <w:r w:rsidRPr="00FB4EFA">
        <w:rPr>
          <w:smallCaps/>
          <w:lang w:val="en-US"/>
        </w:rPr>
        <w:t>]</w:t>
      </w:r>
      <w:r w:rsidRPr="00FB4EFA">
        <w:rPr>
          <w:lang w:val="en-US"/>
        </w:rPr>
        <w:t xml:space="preserve"> ‘the side of the sacral place’, and the southeastern side was called </w:t>
      </w:r>
      <w:r w:rsidRPr="00FB4EFA">
        <w:rPr>
          <w:i/>
          <w:lang w:val="en-US"/>
        </w:rPr>
        <w:t>ŋua ńiiďə kəi</w:t>
      </w:r>
      <w:r w:rsidRPr="00FB4EFA">
        <w:rPr>
          <w:lang w:val="en-US"/>
        </w:rPr>
        <w:t xml:space="preserve"> [door.</w:t>
      </w:r>
      <w:r w:rsidRPr="00FB4EFA">
        <w:rPr>
          <w:smallCaps/>
          <w:lang w:val="en-US"/>
        </w:rPr>
        <w:t>gen+</w:t>
      </w:r>
      <w:r w:rsidRPr="00FB4EFA">
        <w:rPr>
          <w:i/>
          <w:lang w:val="en-US"/>
        </w:rPr>
        <w:t>ńii-ďə</w:t>
      </w:r>
      <w:r w:rsidRPr="00FB4EFA">
        <w:rPr>
          <w:smallCaps/>
          <w:lang w:val="en-US"/>
        </w:rPr>
        <w:t xml:space="preserve"> </w:t>
      </w:r>
      <w:r w:rsidRPr="00FB4EFA">
        <w:rPr>
          <w:lang w:val="en-US"/>
        </w:rPr>
        <w:t>direction</w:t>
      </w:r>
      <w:r w:rsidRPr="00FB4EFA">
        <w:rPr>
          <w:smallCaps/>
          <w:lang w:val="en-US"/>
        </w:rPr>
        <w:t xml:space="preserve">-adj+ </w:t>
      </w:r>
      <w:r w:rsidRPr="00FB4EFA">
        <w:rPr>
          <w:lang w:val="en-US"/>
        </w:rPr>
        <w:t>side</w:t>
      </w:r>
      <w:r w:rsidRPr="00FB4EFA">
        <w:rPr>
          <w:smallCaps/>
          <w:lang w:val="en-US"/>
        </w:rPr>
        <w:t>]</w:t>
      </w:r>
      <w:r w:rsidRPr="00FB4EFA">
        <w:rPr>
          <w:lang w:val="en-US"/>
        </w:rPr>
        <w:t xml:space="preserve"> ‘the door side’. The word </w:t>
      </w:r>
      <w:r w:rsidRPr="00FB4EFA">
        <w:rPr>
          <w:i/>
          <w:lang w:val="en-US"/>
        </w:rPr>
        <w:t>ńii</w:t>
      </w:r>
      <w:r w:rsidRPr="00FB4EFA">
        <w:rPr>
          <w:lang w:val="en-US"/>
        </w:rPr>
        <w:t xml:space="preserve"> ‘direction’ is a relator noun, which is adjectivized in this construction and </w:t>
      </w:r>
      <w:r w:rsidRPr="00FB4EFA">
        <w:rPr>
          <w:lang w:val="en-US"/>
        </w:rPr>
        <w:lastRenderedPageBreak/>
        <w:t xml:space="preserve">stands as an attribute before the noun </w:t>
      </w:r>
      <w:r w:rsidRPr="00FB4EFA">
        <w:rPr>
          <w:i/>
          <w:lang w:val="en-US"/>
        </w:rPr>
        <w:t>kəi</w:t>
      </w:r>
      <w:r w:rsidRPr="00FB4EFA">
        <w:rPr>
          <w:lang w:val="en-US"/>
        </w:rPr>
        <w:t xml:space="preserve"> ‘side’. These expressions are not relative; that is, they do not depend on the position of the speaker, but are absolute. Regardless of where the viewer stands, the designations remain the same, thus the system is not </w:t>
      </w:r>
      <w:r w:rsidRPr="00FB4EFA">
        <w:rPr>
          <w:smallCaps/>
          <w:lang w:val="en-US"/>
        </w:rPr>
        <w:t>speaker-</w:t>
      </w:r>
      <w:r w:rsidRPr="00FB4EFA">
        <w:rPr>
          <w:lang w:val="en-US"/>
        </w:rPr>
        <w:t xml:space="preserve">based; the frame of reference cannot be considered </w:t>
      </w:r>
      <w:r w:rsidRPr="00FB4EFA">
        <w:rPr>
          <w:smallCaps/>
          <w:lang w:val="en-US"/>
        </w:rPr>
        <w:t>ground</w:t>
      </w:r>
      <w:r w:rsidRPr="00FB4EFA">
        <w:rPr>
          <w:lang w:val="en-US"/>
        </w:rPr>
        <w:t xml:space="preserve">-based (intrinsic). As it is shown above, the Nganasan use the weather terms for naming the cardinal points as well. This naming convention is transferred to the microcosm, that is, to the tent. Therefore, in this case, the speaker uses the </w:t>
      </w:r>
      <w:r w:rsidRPr="00FB4EFA">
        <w:rPr>
          <w:smallCaps/>
          <w:lang w:val="en-US"/>
        </w:rPr>
        <w:t>field-</w:t>
      </w:r>
      <w:r w:rsidR="007032B8" w:rsidRPr="00FB4EFA">
        <w:rPr>
          <w:rFonts w:eastAsia="Calibri" w:cs="Charis SIL"/>
          <w:lang w:val="en-US"/>
        </w:rPr>
        <w:t>based</w:t>
      </w:r>
      <w:r w:rsidRPr="00FB4EFA">
        <w:rPr>
          <w:lang w:val="en-US"/>
        </w:rPr>
        <w:t xml:space="preserve"> reference frame. The following examples illustrate the naming of the two sides of the tent. In sentence (1</w:t>
      </w:r>
      <w:r w:rsidR="00C9146D" w:rsidRPr="00FB4EFA">
        <w:rPr>
          <w:lang w:val="en-US"/>
        </w:rPr>
        <w:t>0</w:t>
      </w:r>
      <w:r w:rsidRPr="00FB4EFA">
        <w:rPr>
          <w:lang w:val="en-US"/>
        </w:rPr>
        <w:t xml:space="preserve">a) the </w:t>
      </w:r>
      <w:r w:rsidRPr="00FB4EFA">
        <w:rPr>
          <w:smallCaps/>
          <w:lang w:val="en-US"/>
        </w:rPr>
        <w:t>figure</w:t>
      </w:r>
      <w:r w:rsidRPr="00FB4EFA">
        <w:rPr>
          <w:lang w:val="en-US"/>
        </w:rPr>
        <w:t xml:space="preserve"> (the old woman on the bed) is localized to the </w:t>
      </w:r>
      <w:r w:rsidRPr="00FB4EFA">
        <w:rPr>
          <w:smallCaps/>
          <w:lang w:val="en-US"/>
        </w:rPr>
        <w:t>ground</w:t>
      </w:r>
      <w:r w:rsidRPr="00FB4EFA">
        <w:rPr>
          <w:lang w:val="en-US"/>
        </w:rPr>
        <w:t xml:space="preserve"> (tent) and </w:t>
      </w:r>
      <w:r w:rsidRPr="00FB4EFA">
        <w:rPr>
          <w:rFonts w:cs="Charis SIL"/>
          <w:lang w:val="en-US"/>
        </w:rPr>
        <w:t>the exact spatial relation is expressed on the basis of the anchor, which is, in this case, an immovable point of reference.</w:t>
      </w:r>
    </w:p>
    <w:p w14:paraId="2B609309" w14:textId="3129B06B" w:rsidR="00092304" w:rsidRPr="00FB4EFA" w:rsidRDefault="00092304" w:rsidP="00AF0CAD">
      <w:pPr>
        <w:keepNext/>
        <w:tabs>
          <w:tab w:val="left" w:pos="709"/>
          <w:tab w:val="left" w:pos="1276"/>
          <w:tab w:val="left" w:pos="2552"/>
          <w:tab w:val="left" w:pos="4253"/>
        </w:tabs>
        <w:spacing w:line="240" w:lineRule="auto"/>
        <w:rPr>
          <w:rFonts w:eastAsia="Times New Roman" w:cs="Charis SIL"/>
          <w:smallCaps/>
          <w:lang w:val="en-US" w:eastAsia="de-DE"/>
        </w:rPr>
      </w:pPr>
      <w:r w:rsidRPr="00FB4EFA">
        <w:rPr>
          <w:rFonts w:cs="Charis SIL"/>
          <w:lang w:val="en-US"/>
        </w:rPr>
        <w:t>(1</w:t>
      </w:r>
      <w:r w:rsidR="00C9146D" w:rsidRPr="00FB4EFA">
        <w:rPr>
          <w:rFonts w:cs="Charis SIL"/>
          <w:lang w:val="en-US"/>
        </w:rPr>
        <w:t>0</w:t>
      </w:r>
      <w:r w:rsidRPr="00FB4EFA">
        <w:rPr>
          <w:rFonts w:cs="Charis SIL"/>
          <w:lang w:val="en-US"/>
        </w:rPr>
        <w:t>)</w:t>
      </w:r>
      <w:r w:rsidRPr="00FB4EFA">
        <w:rPr>
          <w:rFonts w:cs="Charis SIL"/>
          <w:lang w:val="en-US"/>
        </w:rPr>
        <w:tab/>
        <w:t>a.</w:t>
      </w:r>
      <w:r w:rsidRPr="00FB4EFA">
        <w:rPr>
          <w:rFonts w:cs="Charis SIL"/>
          <w:lang w:val="en-US"/>
        </w:rPr>
        <w:tab/>
      </w:r>
      <w:r w:rsidRPr="00FB4EFA">
        <w:rPr>
          <w:rFonts w:eastAsia="Times New Roman" w:cs="Charis SIL"/>
          <w:i/>
          <w:lang w:val="en-US" w:eastAsia="de-DE"/>
        </w:rPr>
        <w:t>tahari͡abiɁ</w:t>
      </w:r>
      <w:r w:rsidRPr="00FB4EFA">
        <w:rPr>
          <w:rFonts w:eastAsia="Times New Roman" w:cs="Charis SIL"/>
          <w:i/>
          <w:lang w:val="en-US" w:eastAsia="de-DE"/>
        </w:rPr>
        <w:tab/>
        <w:t xml:space="preserve">kotuðə </w:t>
      </w:r>
      <w:r w:rsidRPr="00FB4EFA">
        <w:rPr>
          <w:rFonts w:eastAsia="Times New Roman" w:cs="Charis SIL"/>
          <w:i/>
          <w:lang w:val="en-US" w:eastAsia="de-DE"/>
        </w:rPr>
        <w:tab/>
      </w:r>
      <w:r w:rsidRPr="00FB4EFA">
        <w:rPr>
          <w:rFonts w:eastAsia="Times New Roman" w:cs="Charis SIL"/>
          <w:i/>
          <w:lang w:val="en-US" w:eastAsia="de-DE"/>
        </w:rPr>
        <w:tab/>
        <w:t>ńii-ďə</w:t>
      </w:r>
      <w:r w:rsidRPr="00FB4EFA">
        <w:rPr>
          <w:rFonts w:eastAsia="Times New Roman" w:cs="Charis SIL"/>
          <w:i/>
          <w:lang w:val="en-US" w:eastAsia="de-DE"/>
        </w:rPr>
        <w:br/>
      </w:r>
      <w:r w:rsidRPr="00FB4EFA">
        <w:rPr>
          <w:rFonts w:eastAsia="Times New Roman" w:cs="Charis SIL"/>
          <w:i/>
          <w:lang w:val="en-US" w:eastAsia="de-DE"/>
        </w:rPr>
        <w:tab/>
      </w:r>
      <w:r w:rsidRPr="00FB4EFA">
        <w:rPr>
          <w:rFonts w:eastAsia="Times New Roman" w:cs="Charis SIL"/>
          <w:i/>
          <w:lang w:val="en-US" w:eastAsia="de-DE"/>
        </w:rPr>
        <w:tab/>
      </w:r>
      <w:r w:rsidRPr="00FB4EFA">
        <w:rPr>
          <w:rFonts w:eastAsia="Times New Roman" w:cs="Charis SIL"/>
          <w:lang w:val="en-US" w:eastAsia="de-DE"/>
        </w:rPr>
        <w:t>now</w:t>
      </w:r>
      <w:r w:rsidRPr="00FB4EFA">
        <w:rPr>
          <w:rFonts w:eastAsia="Times New Roman" w:cs="Charis SIL"/>
          <w:lang w:val="en-US" w:eastAsia="de-DE"/>
        </w:rPr>
        <w:tab/>
        <w:t>blizzard.</w:t>
      </w:r>
      <w:r w:rsidRPr="00FB4EFA">
        <w:rPr>
          <w:rFonts w:eastAsia="Times New Roman" w:cs="Charis SIL"/>
          <w:smallCaps/>
          <w:lang w:val="en-US" w:eastAsia="de-DE"/>
        </w:rPr>
        <w:t>gen</w:t>
      </w:r>
      <w:r w:rsidRPr="00FB4EFA">
        <w:rPr>
          <w:rFonts w:eastAsia="Times New Roman" w:cs="Charis SIL"/>
          <w:lang w:val="en-US" w:eastAsia="de-DE"/>
        </w:rPr>
        <w:tab/>
        <w:t>direction-</w:t>
      </w:r>
      <w:r w:rsidRPr="00FB4EFA">
        <w:rPr>
          <w:rFonts w:eastAsia="Times New Roman" w:cs="Charis SIL"/>
          <w:smallCaps/>
          <w:lang w:val="en-US" w:eastAsia="de-DE"/>
        </w:rPr>
        <w:t>adj.gen</w:t>
      </w:r>
    </w:p>
    <w:p w14:paraId="32F5959D" w14:textId="77777777" w:rsidR="00092304" w:rsidRPr="00FB4EFA" w:rsidRDefault="00092304" w:rsidP="00AF0CAD">
      <w:pPr>
        <w:tabs>
          <w:tab w:val="left" w:pos="709"/>
          <w:tab w:val="left" w:pos="1276"/>
          <w:tab w:val="left" w:pos="2552"/>
          <w:tab w:val="left" w:pos="4253"/>
          <w:tab w:val="left" w:pos="5954"/>
        </w:tabs>
        <w:spacing w:before="120" w:line="240" w:lineRule="auto"/>
        <w:rPr>
          <w:rFonts w:eastAsia="Times New Roman" w:cs="Charis SIL"/>
          <w:lang w:val="en-US" w:eastAsia="de-DE"/>
        </w:rPr>
      </w:pPr>
      <w:r w:rsidRPr="00FB4EFA">
        <w:rPr>
          <w:rFonts w:eastAsia="Times New Roman" w:cs="Charis SIL"/>
          <w:smallCaps/>
          <w:lang w:val="en-US" w:eastAsia="de-DE"/>
        </w:rPr>
        <w:tab/>
      </w:r>
      <w:r w:rsidRPr="00FB4EFA">
        <w:rPr>
          <w:rFonts w:eastAsia="Times New Roman" w:cs="Charis SIL"/>
          <w:smallCaps/>
          <w:lang w:val="en-US" w:eastAsia="de-DE"/>
        </w:rPr>
        <w:tab/>
      </w:r>
      <w:r w:rsidRPr="00FB4EFA">
        <w:rPr>
          <w:rFonts w:eastAsia="Times New Roman" w:cs="Charis SIL"/>
          <w:i/>
          <w:lang w:val="en-US" w:eastAsia="de-DE"/>
        </w:rPr>
        <w:t xml:space="preserve">kəi-tə </w:t>
      </w:r>
      <w:r w:rsidRPr="00FB4EFA">
        <w:rPr>
          <w:rFonts w:eastAsia="Times New Roman" w:cs="Charis SIL"/>
          <w:i/>
          <w:lang w:val="en-US" w:eastAsia="de-DE"/>
        </w:rPr>
        <w:tab/>
        <w:t xml:space="preserve">bəbə-tənɨ </w:t>
      </w:r>
      <w:r w:rsidRPr="00FB4EFA">
        <w:rPr>
          <w:rFonts w:eastAsia="Times New Roman" w:cs="Charis SIL"/>
          <w:i/>
          <w:lang w:val="en-US" w:eastAsia="de-DE"/>
        </w:rPr>
        <w:tab/>
        <w:t>iniɁi͡a-təə</w:t>
      </w:r>
      <w:r w:rsidRPr="00FB4EFA">
        <w:rPr>
          <w:rFonts w:eastAsia="Times New Roman" w:cs="Charis SIL"/>
          <w:smallCaps/>
          <w:lang w:val="en-US" w:eastAsia="de-DE"/>
        </w:rPr>
        <w:tab/>
      </w:r>
      <w:r w:rsidRPr="00FB4EFA">
        <w:rPr>
          <w:rFonts w:eastAsia="Times New Roman" w:cs="Charis SIL"/>
          <w:i/>
          <w:lang w:val="en-US" w:eastAsia="de-DE"/>
        </w:rPr>
        <w:t>ŋomtü-tü.</w:t>
      </w:r>
      <w:r w:rsidRPr="00FB4EFA">
        <w:rPr>
          <w:rFonts w:eastAsia="Times New Roman" w:cs="Charis SIL"/>
          <w:i/>
          <w:lang w:val="en-US" w:eastAsia="de-DE"/>
        </w:rPr>
        <w:br/>
      </w:r>
      <w:r w:rsidRPr="00FB4EFA">
        <w:rPr>
          <w:rFonts w:eastAsia="Times New Roman" w:cs="Charis SIL"/>
          <w:lang w:val="en-US" w:eastAsia="de-DE"/>
        </w:rPr>
        <w:tab/>
      </w:r>
      <w:r w:rsidRPr="00FB4EFA">
        <w:rPr>
          <w:rFonts w:eastAsia="Times New Roman" w:cs="Charis SIL"/>
          <w:lang w:val="en-US" w:eastAsia="de-DE"/>
        </w:rPr>
        <w:tab/>
        <w:t>side-</w:t>
      </w:r>
      <w:r w:rsidRPr="00FB4EFA">
        <w:rPr>
          <w:rFonts w:eastAsia="Times New Roman" w:cs="Charis SIL"/>
          <w:smallCaps/>
          <w:lang w:val="en-US" w:eastAsia="de-DE"/>
        </w:rPr>
        <w:t>lat</w:t>
      </w:r>
      <w:r w:rsidRPr="00FB4EFA">
        <w:rPr>
          <w:rFonts w:eastAsia="Times New Roman" w:cs="Charis SIL"/>
          <w:lang w:val="en-US" w:eastAsia="de-DE"/>
        </w:rPr>
        <w:tab/>
        <w:t>bed-</w:t>
      </w:r>
      <w:r w:rsidRPr="00FB4EFA">
        <w:rPr>
          <w:rFonts w:eastAsia="Times New Roman" w:cs="Charis SIL"/>
          <w:smallCaps/>
          <w:lang w:val="en-US" w:eastAsia="de-DE"/>
        </w:rPr>
        <w:t>loc</w:t>
      </w:r>
      <w:r w:rsidRPr="00FB4EFA">
        <w:rPr>
          <w:rFonts w:eastAsia="Times New Roman" w:cs="Charis SIL"/>
          <w:lang w:val="en-US" w:eastAsia="de-DE"/>
        </w:rPr>
        <w:tab/>
        <w:t>old.woman-</w:t>
      </w:r>
      <w:r w:rsidRPr="00FB4EFA">
        <w:rPr>
          <w:rFonts w:eastAsia="Times New Roman" w:cs="Charis SIL"/>
          <w:smallCaps/>
          <w:lang w:val="en-US" w:eastAsia="de-DE"/>
        </w:rPr>
        <w:t>drv</w:t>
      </w:r>
      <w:r w:rsidRPr="00FB4EFA">
        <w:rPr>
          <w:rFonts w:eastAsia="Times New Roman" w:cs="Charis SIL"/>
          <w:lang w:val="en-US" w:eastAsia="de-DE"/>
        </w:rPr>
        <w:tab/>
        <w:t>sit-</w:t>
      </w:r>
      <w:r w:rsidRPr="00FB4EFA">
        <w:rPr>
          <w:rFonts w:eastAsia="Times New Roman" w:cs="Charis SIL"/>
          <w:smallCaps/>
          <w:lang w:val="en-US" w:eastAsia="de-DE"/>
        </w:rPr>
        <w:t>co.3sg</w:t>
      </w:r>
    </w:p>
    <w:p w14:paraId="59D4676B" w14:textId="0752A591" w:rsidR="00092304" w:rsidRPr="00FB4EFA" w:rsidRDefault="00092304" w:rsidP="00F606CE">
      <w:pPr>
        <w:tabs>
          <w:tab w:val="left" w:pos="709"/>
          <w:tab w:val="left" w:pos="1276"/>
        </w:tabs>
        <w:spacing w:line="240" w:lineRule="auto"/>
        <w:ind w:left="1276" w:hanging="1276"/>
        <w:rPr>
          <w:rFonts w:eastAsia="Calibri" w:cs="Charis SIL"/>
          <w:lang w:val="en-US"/>
        </w:rPr>
      </w:pPr>
      <w:r w:rsidRPr="00FB4EFA">
        <w:rPr>
          <w:rFonts w:cs="Charis SIL"/>
          <w:lang w:val="en-US"/>
        </w:rPr>
        <w:tab/>
      </w:r>
      <w:r w:rsidRPr="00FB4EFA">
        <w:rPr>
          <w:rFonts w:cs="Charis SIL"/>
          <w:lang w:val="en-US"/>
        </w:rPr>
        <w:tab/>
        <w:t>‘</w:t>
      </w:r>
      <w:r w:rsidRPr="00FB4EFA">
        <w:rPr>
          <w:rFonts w:eastAsia="Calibri" w:cs="Charis SIL"/>
          <w:lang w:val="en-US"/>
        </w:rPr>
        <w:t>On</w:t>
      </w:r>
      <w:r w:rsidRPr="00FB4EFA">
        <w:rPr>
          <w:rFonts w:cs="Charis SIL"/>
          <w:lang w:val="en-US"/>
        </w:rPr>
        <w:t xml:space="preserve"> </w:t>
      </w:r>
      <w:r w:rsidRPr="00FB4EFA">
        <w:rPr>
          <w:rFonts w:eastAsia="Calibri" w:cs="Charis SIL"/>
          <w:lang w:val="en-US"/>
        </w:rPr>
        <w:t>the</w:t>
      </w:r>
      <w:r w:rsidRPr="00FB4EFA">
        <w:rPr>
          <w:rFonts w:cs="Charis SIL"/>
          <w:lang w:val="en-US"/>
        </w:rPr>
        <w:t xml:space="preserve"> </w:t>
      </w:r>
      <w:r w:rsidRPr="00FB4EFA">
        <w:rPr>
          <w:rFonts w:eastAsia="Calibri" w:cs="Charis SIL"/>
          <w:lang w:val="en-US"/>
        </w:rPr>
        <w:t>bed</w:t>
      </w:r>
      <w:r w:rsidRPr="00FB4EFA">
        <w:rPr>
          <w:rFonts w:cs="Charis SIL"/>
          <w:lang w:val="en-US"/>
        </w:rPr>
        <w:t xml:space="preserve"> </w:t>
      </w:r>
      <w:r w:rsidRPr="00FB4EFA">
        <w:rPr>
          <w:rFonts w:eastAsia="Calibri" w:cs="Charis SIL"/>
          <w:lang w:val="en-US"/>
        </w:rPr>
        <w:t>in</w:t>
      </w:r>
      <w:r w:rsidRPr="00FB4EFA">
        <w:rPr>
          <w:rFonts w:cs="Charis SIL"/>
          <w:lang w:val="en-US"/>
        </w:rPr>
        <w:t xml:space="preserve"> </w:t>
      </w:r>
      <w:r w:rsidRPr="00FB4EFA">
        <w:rPr>
          <w:rFonts w:eastAsia="Calibri" w:cs="Charis SIL"/>
          <w:lang w:val="en-US"/>
        </w:rPr>
        <w:t>the</w:t>
      </w:r>
      <w:r w:rsidRPr="00FB4EFA">
        <w:rPr>
          <w:rFonts w:cs="Charis SIL"/>
          <w:lang w:val="en-US"/>
        </w:rPr>
        <w:t xml:space="preserve"> </w:t>
      </w:r>
      <w:r w:rsidRPr="00FB4EFA">
        <w:rPr>
          <w:rFonts w:eastAsia="Calibri" w:cs="Charis SIL"/>
          <w:lang w:val="en-US"/>
        </w:rPr>
        <w:t>left</w:t>
      </w:r>
      <w:r w:rsidRPr="00FB4EFA">
        <w:rPr>
          <w:rFonts w:cs="Charis SIL"/>
          <w:lang w:val="en-US"/>
        </w:rPr>
        <w:t xml:space="preserve"> </w:t>
      </w:r>
      <w:r w:rsidRPr="00FB4EFA">
        <w:rPr>
          <w:rFonts w:eastAsia="Calibri" w:cs="Charis SIL"/>
          <w:lang w:val="en-US"/>
        </w:rPr>
        <w:t>side (lit. ‘blizzard side’)</w:t>
      </w:r>
      <w:r w:rsidRPr="00FB4EFA">
        <w:rPr>
          <w:rFonts w:cs="Charis SIL"/>
          <w:lang w:val="en-US"/>
        </w:rPr>
        <w:t xml:space="preserve"> </w:t>
      </w:r>
      <w:r w:rsidRPr="00FB4EFA">
        <w:rPr>
          <w:rFonts w:eastAsia="Calibri" w:cs="Charis SIL"/>
          <w:lang w:val="en-US"/>
        </w:rPr>
        <w:t>of</w:t>
      </w:r>
      <w:r w:rsidRPr="00FB4EFA">
        <w:rPr>
          <w:rFonts w:cs="Charis SIL"/>
          <w:lang w:val="en-US"/>
        </w:rPr>
        <w:t xml:space="preserve"> </w:t>
      </w:r>
      <w:r w:rsidRPr="00FB4EFA">
        <w:rPr>
          <w:rFonts w:eastAsia="Calibri" w:cs="Charis SIL"/>
          <w:lang w:val="en-US"/>
        </w:rPr>
        <w:t>the</w:t>
      </w:r>
      <w:r w:rsidRPr="00FB4EFA">
        <w:rPr>
          <w:rFonts w:cs="Charis SIL"/>
          <w:lang w:val="en-US"/>
        </w:rPr>
        <w:t xml:space="preserve"> </w:t>
      </w:r>
      <w:r w:rsidRPr="00FB4EFA">
        <w:rPr>
          <w:rFonts w:eastAsia="Calibri" w:cs="Charis SIL"/>
          <w:lang w:val="en-US"/>
        </w:rPr>
        <w:t>tent</w:t>
      </w:r>
      <w:r w:rsidRPr="00FB4EFA">
        <w:rPr>
          <w:rFonts w:cs="Charis SIL"/>
          <w:lang w:val="en-US"/>
        </w:rPr>
        <w:t xml:space="preserve"> </w:t>
      </w:r>
      <w:r w:rsidRPr="00FB4EFA">
        <w:rPr>
          <w:rFonts w:eastAsia="Calibri" w:cs="Charis SIL"/>
          <w:lang w:val="en-US"/>
        </w:rPr>
        <w:t>sits</w:t>
      </w:r>
      <w:r w:rsidRPr="00FB4EFA">
        <w:rPr>
          <w:rFonts w:cs="Charis SIL"/>
          <w:lang w:val="en-US"/>
        </w:rPr>
        <w:t xml:space="preserve"> </w:t>
      </w:r>
      <w:r w:rsidRPr="00FB4EFA">
        <w:rPr>
          <w:rFonts w:eastAsia="Calibri" w:cs="Charis SIL"/>
          <w:lang w:val="en-US"/>
        </w:rPr>
        <w:t>an</w:t>
      </w:r>
      <w:r w:rsidRPr="00FB4EFA">
        <w:rPr>
          <w:rFonts w:cs="Charis SIL"/>
          <w:lang w:val="en-US"/>
        </w:rPr>
        <w:t xml:space="preserve"> </w:t>
      </w:r>
      <w:r w:rsidRPr="00FB4EFA">
        <w:rPr>
          <w:rFonts w:eastAsia="Calibri" w:cs="Charis SIL"/>
          <w:lang w:val="en-US"/>
        </w:rPr>
        <w:t>old</w:t>
      </w:r>
      <w:r w:rsidRPr="00FB4EFA">
        <w:rPr>
          <w:rFonts w:cs="Charis SIL"/>
          <w:lang w:val="en-US"/>
        </w:rPr>
        <w:t xml:space="preserve"> </w:t>
      </w:r>
      <w:r w:rsidRPr="00FB4EFA">
        <w:rPr>
          <w:rFonts w:eastAsia="Calibri" w:cs="Charis SIL"/>
          <w:lang w:val="en-US"/>
        </w:rPr>
        <w:t>woman</w:t>
      </w:r>
      <w:r w:rsidRPr="00FB4EFA">
        <w:rPr>
          <w:rFonts w:cs="Charis SIL"/>
          <w:lang w:val="en-US"/>
        </w:rPr>
        <w:t>.’</w:t>
      </w:r>
      <w:r w:rsidR="00F606CE" w:rsidRPr="00FB4EFA">
        <w:rPr>
          <w:rFonts w:cs="Charis SIL"/>
          <w:lang w:val="en-US"/>
        </w:rPr>
        <w:t xml:space="preserve"> (</w:t>
      </w:r>
      <w:r w:rsidRPr="00FB4EFA">
        <w:rPr>
          <w:rFonts w:eastAsia="Calibri" w:cs="Charis SIL"/>
          <w:lang w:val="en-US"/>
        </w:rPr>
        <w:t>ChND_041212_Girl_flkd.070</w:t>
      </w:r>
      <w:r w:rsidR="00F606CE" w:rsidRPr="00FB4EFA">
        <w:rPr>
          <w:rFonts w:eastAsia="Calibri" w:cs="Charis SIL"/>
          <w:lang w:val="en-US"/>
        </w:rPr>
        <w:t>)</w:t>
      </w:r>
    </w:p>
    <w:p w14:paraId="449051FB" w14:textId="77777777" w:rsidR="00092304" w:rsidRPr="00FB4EFA" w:rsidRDefault="00092304" w:rsidP="00AF0CAD">
      <w:pPr>
        <w:keepNext/>
        <w:tabs>
          <w:tab w:val="left" w:pos="709"/>
          <w:tab w:val="left" w:pos="1276"/>
          <w:tab w:val="left" w:pos="1843"/>
          <w:tab w:val="left" w:pos="4536"/>
        </w:tabs>
        <w:spacing w:before="120" w:line="240" w:lineRule="auto"/>
        <w:rPr>
          <w:rFonts w:eastAsia="Times New Roman" w:cs="Charis SIL"/>
          <w:lang w:val="en-US" w:eastAsia="de-DE"/>
        </w:rPr>
      </w:pPr>
      <w:r w:rsidRPr="00FB4EFA">
        <w:rPr>
          <w:rFonts w:eastAsia="Calibri" w:cs="Charis SIL"/>
          <w:lang w:val="en-US"/>
        </w:rPr>
        <w:tab/>
        <w:t>b.</w:t>
      </w:r>
      <w:r w:rsidRPr="00FB4EFA">
        <w:rPr>
          <w:rFonts w:eastAsia="Calibri" w:cs="Charis SIL"/>
          <w:lang w:val="en-US"/>
        </w:rPr>
        <w:tab/>
      </w:r>
      <w:r w:rsidRPr="00FB4EFA">
        <w:rPr>
          <w:rFonts w:eastAsia="Times New Roman" w:cs="Charis SIL"/>
          <w:i/>
          <w:lang w:val="en-US" w:eastAsia="de-DE"/>
        </w:rPr>
        <w:t>ouɁ,</w:t>
      </w:r>
      <w:r w:rsidRPr="00FB4EFA">
        <w:rPr>
          <w:rFonts w:eastAsia="Times New Roman" w:cs="Charis SIL"/>
          <w:i/>
          <w:lang w:val="en-US" w:eastAsia="de-DE"/>
        </w:rPr>
        <w:tab/>
        <w:t>ŋarmü-ðə</w:t>
      </w:r>
      <w:r w:rsidRPr="00FB4EFA">
        <w:rPr>
          <w:rFonts w:eastAsia="Times New Roman" w:cs="Charis SIL"/>
          <w:i/>
          <w:lang w:val="en-US" w:eastAsia="de-DE"/>
        </w:rPr>
        <w:tab/>
        <w:t xml:space="preserve">tə, </w:t>
      </w:r>
      <w:r w:rsidRPr="00FB4EFA">
        <w:rPr>
          <w:rFonts w:eastAsia="Times New Roman" w:cs="Charis SIL"/>
          <w:i/>
          <w:lang w:val="en-US" w:eastAsia="de-DE"/>
        </w:rPr>
        <w:tab/>
      </w:r>
      <w:r w:rsidRPr="00FB4EFA">
        <w:rPr>
          <w:rFonts w:eastAsia="Times New Roman" w:cs="Charis SIL"/>
          <w:i/>
          <w:lang w:val="en-US" w:eastAsia="de-DE"/>
        </w:rPr>
        <w:br/>
      </w:r>
      <w:r w:rsidRPr="00FB4EFA">
        <w:rPr>
          <w:rFonts w:eastAsia="Times New Roman" w:cs="Charis SIL"/>
          <w:i/>
          <w:lang w:val="en-US" w:eastAsia="de-DE"/>
        </w:rPr>
        <w:tab/>
      </w:r>
      <w:r w:rsidRPr="00FB4EFA">
        <w:rPr>
          <w:rFonts w:eastAsia="Times New Roman" w:cs="Charis SIL"/>
          <w:i/>
          <w:lang w:val="en-US" w:eastAsia="de-DE"/>
        </w:rPr>
        <w:tab/>
      </w:r>
      <w:r w:rsidRPr="00FB4EFA">
        <w:rPr>
          <w:rFonts w:eastAsia="Times New Roman" w:cs="Charis SIL"/>
          <w:lang w:val="en-US" w:eastAsia="de-DE"/>
        </w:rPr>
        <w:t>oh</w:t>
      </w:r>
      <w:r w:rsidRPr="00FB4EFA">
        <w:rPr>
          <w:rFonts w:eastAsia="Times New Roman" w:cs="Charis SIL"/>
          <w:lang w:val="en-US" w:eastAsia="de-DE"/>
        </w:rPr>
        <w:tab/>
        <w:t>north_east.wind-</w:t>
      </w:r>
      <w:r w:rsidRPr="00FB4EFA">
        <w:rPr>
          <w:rFonts w:eastAsia="Times New Roman" w:cs="Charis SIL"/>
          <w:smallCaps/>
          <w:lang w:val="en-US" w:eastAsia="de-DE"/>
        </w:rPr>
        <w:t>adj.gen</w:t>
      </w:r>
      <w:r w:rsidRPr="00FB4EFA">
        <w:rPr>
          <w:rFonts w:eastAsia="Times New Roman" w:cs="Charis SIL"/>
          <w:smallCaps/>
          <w:lang w:val="en-US" w:eastAsia="de-DE"/>
        </w:rPr>
        <w:tab/>
      </w:r>
      <w:r w:rsidRPr="00FB4EFA">
        <w:rPr>
          <w:rFonts w:eastAsia="Times New Roman" w:cs="Charis SIL"/>
          <w:lang w:val="en-US" w:eastAsia="de-DE"/>
        </w:rPr>
        <w:t>well</w:t>
      </w:r>
      <w:r w:rsidRPr="00FB4EFA">
        <w:rPr>
          <w:rFonts w:eastAsia="Times New Roman" w:cs="Charis SIL"/>
          <w:lang w:val="en-US" w:eastAsia="de-DE"/>
        </w:rPr>
        <w:tab/>
      </w:r>
    </w:p>
    <w:p w14:paraId="6FA5E96A" w14:textId="77777777" w:rsidR="00092304" w:rsidRPr="00FB4EFA" w:rsidRDefault="00092304" w:rsidP="00AF0CAD">
      <w:pPr>
        <w:keepNext/>
        <w:tabs>
          <w:tab w:val="left" w:pos="709"/>
          <w:tab w:val="left" w:pos="1276"/>
          <w:tab w:val="left" w:pos="3969"/>
          <w:tab w:val="left" w:pos="5954"/>
        </w:tabs>
        <w:spacing w:before="120" w:line="240" w:lineRule="auto"/>
        <w:rPr>
          <w:rFonts w:eastAsia="Times New Roman" w:cs="Charis SIL"/>
          <w:i/>
          <w:lang w:val="en-US" w:eastAsia="de-DE"/>
        </w:rPr>
      </w:pPr>
      <w:r w:rsidRPr="00FB4EFA">
        <w:rPr>
          <w:rFonts w:eastAsia="Times New Roman" w:cs="Charis SIL"/>
          <w:i/>
          <w:lang w:val="en-US" w:eastAsia="de-DE"/>
        </w:rPr>
        <w:tab/>
      </w:r>
      <w:r w:rsidRPr="00FB4EFA">
        <w:rPr>
          <w:rFonts w:eastAsia="Times New Roman" w:cs="Charis SIL"/>
          <w:i/>
          <w:lang w:val="en-US" w:eastAsia="de-DE"/>
        </w:rPr>
        <w:tab/>
        <w:t xml:space="preserve">ŋarmü-ðə </w:t>
      </w:r>
      <w:r w:rsidRPr="00FB4EFA">
        <w:rPr>
          <w:rFonts w:eastAsia="Times New Roman" w:cs="Charis SIL"/>
          <w:i/>
          <w:lang w:val="en-US" w:eastAsia="de-DE"/>
        </w:rPr>
        <w:tab/>
        <w:t>ńii-ďə</w:t>
      </w:r>
      <w:r w:rsidRPr="00FB4EFA">
        <w:rPr>
          <w:rFonts w:eastAsia="Times New Roman" w:cs="Charis SIL"/>
          <w:i/>
          <w:lang w:val="en-US" w:eastAsia="de-DE"/>
        </w:rPr>
        <w:tab/>
        <w:t>kəi-tə</w:t>
      </w:r>
      <w:r w:rsidRPr="00FB4EFA">
        <w:rPr>
          <w:rFonts w:eastAsia="Times New Roman" w:cs="Charis SIL"/>
          <w:i/>
          <w:lang w:val="en-US" w:eastAsia="de-DE"/>
        </w:rPr>
        <w:br/>
      </w:r>
      <w:r w:rsidRPr="00FB4EFA">
        <w:rPr>
          <w:rFonts w:eastAsia="Times New Roman" w:cs="Charis SIL"/>
          <w:i/>
          <w:lang w:val="en-US" w:eastAsia="de-DE"/>
        </w:rPr>
        <w:tab/>
      </w:r>
      <w:r w:rsidRPr="00FB4EFA">
        <w:rPr>
          <w:rFonts w:eastAsia="Times New Roman" w:cs="Charis SIL"/>
          <w:i/>
          <w:lang w:val="en-US" w:eastAsia="de-DE"/>
        </w:rPr>
        <w:tab/>
      </w:r>
      <w:r w:rsidRPr="00FB4EFA">
        <w:rPr>
          <w:rFonts w:eastAsia="Times New Roman" w:cs="Charis SIL"/>
          <w:lang w:val="en-US" w:eastAsia="de-DE"/>
        </w:rPr>
        <w:t>north_east.wind-</w:t>
      </w:r>
      <w:r w:rsidRPr="00FB4EFA">
        <w:rPr>
          <w:rFonts w:eastAsia="Times New Roman" w:cs="Charis SIL"/>
          <w:smallCaps/>
          <w:lang w:val="en-US" w:eastAsia="de-DE"/>
        </w:rPr>
        <w:t>adj.gen</w:t>
      </w:r>
      <w:r w:rsidRPr="00FB4EFA">
        <w:rPr>
          <w:rFonts w:eastAsia="Times New Roman" w:cs="Charis SIL"/>
          <w:smallCaps/>
          <w:lang w:val="en-US" w:eastAsia="de-DE"/>
        </w:rPr>
        <w:tab/>
      </w:r>
      <w:r w:rsidRPr="00FB4EFA">
        <w:rPr>
          <w:rFonts w:eastAsia="Times New Roman" w:cs="Charis SIL"/>
          <w:lang w:val="en-US" w:eastAsia="de-DE"/>
        </w:rPr>
        <w:t>direction-</w:t>
      </w:r>
      <w:r w:rsidRPr="00FB4EFA">
        <w:rPr>
          <w:rFonts w:eastAsia="Times New Roman" w:cs="Charis SIL"/>
          <w:smallCaps/>
          <w:lang w:val="en-US" w:eastAsia="de-DE"/>
        </w:rPr>
        <w:t>adj.gen</w:t>
      </w:r>
      <w:r w:rsidRPr="00FB4EFA">
        <w:rPr>
          <w:rFonts w:eastAsia="Times New Roman" w:cs="Charis SIL"/>
          <w:lang w:val="en-US" w:eastAsia="de-DE"/>
        </w:rPr>
        <w:tab/>
        <w:t>side-</w:t>
      </w:r>
      <w:r w:rsidRPr="00FB4EFA">
        <w:rPr>
          <w:rFonts w:eastAsia="Times New Roman" w:cs="Charis SIL"/>
          <w:smallCaps/>
          <w:lang w:val="en-US" w:eastAsia="de-DE"/>
        </w:rPr>
        <w:t>lat</w:t>
      </w:r>
    </w:p>
    <w:p w14:paraId="4AF8828A" w14:textId="77777777" w:rsidR="00092304" w:rsidRPr="00FB4EFA" w:rsidRDefault="00092304" w:rsidP="00AF0CAD">
      <w:pPr>
        <w:keepNext/>
        <w:tabs>
          <w:tab w:val="left" w:pos="709"/>
          <w:tab w:val="left" w:pos="1276"/>
          <w:tab w:val="left" w:pos="2977"/>
          <w:tab w:val="left" w:pos="4253"/>
          <w:tab w:val="left" w:pos="5670"/>
        </w:tabs>
        <w:spacing w:before="120" w:line="240" w:lineRule="auto"/>
        <w:rPr>
          <w:rFonts w:cs="Charis SIL"/>
          <w:lang w:val="en-US"/>
        </w:rPr>
      </w:pPr>
      <w:r w:rsidRPr="00FB4EFA">
        <w:rPr>
          <w:rFonts w:eastAsia="Times New Roman" w:cs="Charis SIL"/>
          <w:i/>
          <w:lang w:val="en-US" w:eastAsia="de-DE"/>
        </w:rPr>
        <w:tab/>
      </w:r>
      <w:r w:rsidRPr="00FB4EFA">
        <w:rPr>
          <w:rFonts w:eastAsia="Times New Roman" w:cs="Charis SIL"/>
          <w:i/>
          <w:lang w:val="en-US" w:eastAsia="de-DE"/>
        </w:rPr>
        <w:tab/>
        <w:t>batu</w:t>
      </w:r>
      <w:r w:rsidRPr="00FB4EFA">
        <w:rPr>
          <w:rFonts w:eastAsia="Times New Roman" w:cs="Charis SIL"/>
          <w:i/>
          <w:lang w:val="en-US" w:eastAsia="de-DE"/>
        </w:rPr>
        <w:tab/>
        <w:t xml:space="preserve">śai-tənɨ </w:t>
      </w:r>
      <w:r w:rsidRPr="00FB4EFA">
        <w:rPr>
          <w:rFonts w:eastAsia="Times New Roman" w:cs="Charis SIL"/>
          <w:i/>
          <w:lang w:val="en-US" w:eastAsia="de-DE"/>
        </w:rPr>
        <w:tab/>
        <w:t>kobtu͡a-tu</w:t>
      </w:r>
      <w:r w:rsidRPr="00FB4EFA">
        <w:rPr>
          <w:rFonts w:eastAsia="Times New Roman" w:cs="Charis SIL"/>
          <w:i/>
          <w:lang w:val="en-US" w:eastAsia="de-DE"/>
        </w:rPr>
        <w:tab/>
      </w:r>
      <w:r w:rsidRPr="00FB4EFA">
        <w:rPr>
          <w:rFonts w:eastAsia="Times New Roman" w:cs="Charis SIL"/>
          <w:i/>
          <w:lang w:val="en-US" w:eastAsia="de-DE"/>
        </w:rPr>
        <w:tab/>
        <w:t>ŋomtü-tü.</w:t>
      </w:r>
      <w:r w:rsidRPr="00FB4EFA">
        <w:rPr>
          <w:rFonts w:eastAsia="Times New Roman" w:cs="Charis SIL"/>
          <w:i/>
          <w:lang w:val="en-US" w:eastAsia="de-DE"/>
        </w:rPr>
        <w:br/>
      </w:r>
      <w:r w:rsidRPr="00FB4EFA">
        <w:rPr>
          <w:rFonts w:cs="Charis SIL"/>
          <w:lang w:val="en-US"/>
        </w:rPr>
        <w:tab/>
      </w:r>
      <w:r w:rsidRPr="00FB4EFA">
        <w:rPr>
          <w:rFonts w:cs="Charis SIL"/>
          <w:lang w:val="en-US"/>
        </w:rPr>
        <w:tab/>
      </w:r>
      <w:r w:rsidRPr="00FB4EFA">
        <w:rPr>
          <w:rFonts w:eastAsia="Times New Roman" w:cs="Charis SIL"/>
          <w:lang w:val="en-US" w:eastAsia="de-DE"/>
        </w:rPr>
        <w:t>woma’s.place</w:t>
      </w:r>
      <w:r w:rsidRPr="00FB4EFA">
        <w:rPr>
          <w:rFonts w:eastAsia="Times New Roman" w:cs="Charis SIL"/>
          <w:lang w:val="en-US" w:eastAsia="de-DE"/>
        </w:rPr>
        <w:tab/>
        <w:t>corner-</w:t>
      </w:r>
      <w:r w:rsidRPr="00FB4EFA">
        <w:rPr>
          <w:rFonts w:eastAsia="Times New Roman" w:cs="Charis SIL"/>
          <w:smallCaps/>
          <w:lang w:val="en-US" w:eastAsia="de-DE"/>
        </w:rPr>
        <w:t>loc</w:t>
      </w:r>
      <w:r w:rsidRPr="00FB4EFA">
        <w:rPr>
          <w:rFonts w:eastAsia="Times New Roman" w:cs="Charis SIL"/>
          <w:lang w:val="en-US" w:eastAsia="de-DE"/>
        </w:rPr>
        <w:tab/>
        <w:t>girl-</w:t>
      </w:r>
      <w:r w:rsidRPr="00FB4EFA">
        <w:rPr>
          <w:rFonts w:eastAsia="Times New Roman" w:cs="Charis SIL"/>
          <w:smallCaps/>
          <w:lang w:val="en-US" w:eastAsia="de-DE"/>
        </w:rPr>
        <w:t>poss3sg</w:t>
      </w:r>
      <w:r w:rsidRPr="00FB4EFA">
        <w:rPr>
          <w:rFonts w:eastAsia="Times New Roman" w:cs="Charis SIL"/>
          <w:smallCaps/>
          <w:lang w:val="en-US" w:eastAsia="de-DE"/>
        </w:rPr>
        <w:tab/>
      </w:r>
      <w:r w:rsidRPr="00FB4EFA">
        <w:rPr>
          <w:rFonts w:eastAsia="Times New Roman" w:cs="Charis SIL"/>
          <w:lang w:val="en-US" w:eastAsia="de-DE"/>
        </w:rPr>
        <w:t>sit-</w:t>
      </w:r>
      <w:r w:rsidRPr="00FB4EFA">
        <w:rPr>
          <w:rFonts w:eastAsia="Times New Roman" w:cs="Charis SIL"/>
          <w:smallCaps/>
          <w:lang w:val="en-US" w:eastAsia="de-DE"/>
        </w:rPr>
        <w:t>co.3sg</w:t>
      </w:r>
    </w:p>
    <w:p w14:paraId="3AB4CBDD" w14:textId="77777777" w:rsidR="00092304" w:rsidRPr="00FB4EFA" w:rsidRDefault="00092304" w:rsidP="00F606CE">
      <w:pPr>
        <w:tabs>
          <w:tab w:val="left" w:pos="709"/>
          <w:tab w:val="left" w:pos="1276"/>
          <w:tab w:val="left" w:pos="2977"/>
          <w:tab w:val="left" w:pos="4253"/>
          <w:tab w:val="left" w:pos="5670"/>
        </w:tabs>
        <w:spacing w:line="240" w:lineRule="auto"/>
        <w:ind w:left="1276"/>
        <w:rPr>
          <w:rFonts w:cs="Charis SIL"/>
          <w:lang w:val="en-US"/>
        </w:rPr>
      </w:pPr>
      <w:r w:rsidRPr="00FB4EFA">
        <w:rPr>
          <w:rFonts w:cs="Charis SIL"/>
          <w:lang w:val="en-US"/>
        </w:rPr>
        <w:t>‘On the right side (lit. ‘northeast wind side’) by the woman’s seat sits the daughter.’</w:t>
      </w:r>
    </w:p>
    <w:p w14:paraId="44FDAE0F" w14:textId="32521499" w:rsidR="00092304" w:rsidRPr="00FB4EFA" w:rsidRDefault="00F606CE" w:rsidP="00F606CE">
      <w:pPr>
        <w:tabs>
          <w:tab w:val="left" w:pos="709"/>
          <w:tab w:val="left" w:pos="1276"/>
          <w:tab w:val="left" w:pos="2977"/>
          <w:tab w:val="left" w:pos="4253"/>
          <w:tab w:val="left" w:pos="5670"/>
        </w:tabs>
        <w:spacing w:line="240" w:lineRule="auto"/>
        <w:ind w:left="1276"/>
        <w:rPr>
          <w:rFonts w:eastAsia="Calibri" w:cs="Charis SIL"/>
          <w:lang w:val="en-US"/>
        </w:rPr>
      </w:pPr>
      <w:r w:rsidRPr="00FB4EFA">
        <w:rPr>
          <w:rFonts w:eastAsia="Calibri" w:cs="Charis SIL"/>
          <w:lang w:val="en-US"/>
        </w:rPr>
        <w:t>(</w:t>
      </w:r>
      <w:r w:rsidR="00092304" w:rsidRPr="00FB4EFA">
        <w:rPr>
          <w:rFonts w:eastAsia="Calibri" w:cs="Charis SIL"/>
          <w:lang w:val="en-US"/>
        </w:rPr>
        <w:t>JDH_00_Musuna_flkd.044</w:t>
      </w:r>
      <w:r w:rsidRPr="00FB4EFA">
        <w:rPr>
          <w:rFonts w:eastAsia="Calibri" w:cs="Charis SIL"/>
          <w:lang w:val="en-US"/>
        </w:rPr>
        <w:t>)</w:t>
      </w:r>
    </w:p>
    <w:p w14:paraId="530B47F2" w14:textId="478B7EA3" w:rsidR="00092304" w:rsidRPr="00FB4EFA" w:rsidRDefault="00092304" w:rsidP="00402EF4">
      <w:pPr>
        <w:spacing w:before="240" w:after="240"/>
        <w:rPr>
          <w:rFonts w:eastAsia="Calibri" w:cs="Charis SIL"/>
          <w:lang w:val="en-US"/>
        </w:rPr>
      </w:pPr>
      <w:r w:rsidRPr="00FB4EFA">
        <w:rPr>
          <w:rFonts w:eastAsia="Calibri" w:cs="Charis SIL"/>
          <w:lang w:val="en-US"/>
        </w:rPr>
        <w:t xml:space="preserve">As in the scenario described in </w:t>
      </w:r>
      <w:r w:rsidR="00DE7479" w:rsidRPr="00FB4EFA">
        <w:rPr>
          <w:rFonts w:eastAsia="Calibri" w:cs="Charis SIL"/>
          <w:lang w:val="en-US"/>
        </w:rPr>
        <w:t>S</w:t>
      </w:r>
      <w:r w:rsidRPr="00FB4EFA">
        <w:rPr>
          <w:rFonts w:eastAsia="Calibri" w:cs="Charis SIL"/>
          <w:lang w:val="en-US"/>
        </w:rPr>
        <w:t xml:space="preserve">ection 2.2 above, this case can also be considered a metonymic transfer, but here a </w:t>
      </w:r>
      <w:r w:rsidRPr="00FB4EFA">
        <w:rPr>
          <w:rFonts w:eastAsia="Calibri" w:cs="Charis SIL"/>
          <w:smallCaps/>
          <w:lang w:val="en-US"/>
        </w:rPr>
        <w:t>field</w:t>
      </w:r>
      <w:r w:rsidRPr="00FB4EFA">
        <w:rPr>
          <w:rFonts w:eastAsia="Calibri" w:cs="Charis SIL"/>
          <w:lang w:val="en-US"/>
        </w:rPr>
        <w:t>-based frame is used.</w:t>
      </w:r>
    </w:p>
    <w:p w14:paraId="72D3E83A" w14:textId="7147381E" w:rsidR="00092304" w:rsidRPr="00FB4EFA" w:rsidRDefault="00092304" w:rsidP="00545033">
      <w:pPr>
        <w:pStyle w:val="Heading2"/>
        <w:numPr>
          <w:ilvl w:val="0"/>
          <w:numId w:val="21"/>
        </w:numPr>
        <w:suppressAutoHyphens/>
        <w:spacing w:line="259" w:lineRule="auto"/>
        <w:rPr>
          <w:color w:val="auto"/>
          <w:lang w:val="en-US"/>
        </w:rPr>
      </w:pPr>
      <w:r w:rsidRPr="00FB4EFA">
        <w:rPr>
          <w:color w:val="auto"/>
          <w:lang w:val="en-US"/>
        </w:rPr>
        <w:t>Summary</w:t>
      </w:r>
    </w:p>
    <w:p w14:paraId="4680E6B1" w14:textId="6AB11761" w:rsidR="00092304" w:rsidRPr="00FB4EFA" w:rsidRDefault="00092304" w:rsidP="00402EF4">
      <w:pPr>
        <w:spacing w:after="240"/>
        <w:rPr>
          <w:lang w:val="en-US"/>
        </w:rPr>
      </w:pPr>
      <w:r w:rsidRPr="00FB4EFA">
        <w:rPr>
          <w:lang w:val="en-US"/>
        </w:rPr>
        <w:t xml:space="preserve">As we have seen, in Nganasan there are three possibilities for the naming of the concepts </w:t>
      </w:r>
      <w:r w:rsidRPr="00FB4EFA">
        <w:rPr>
          <w:smallCaps/>
          <w:lang w:val="en-US"/>
        </w:rPr>
        <w:t>left</w:t>
      </w:r>
      <w:r w:rsidRPr="00FB4EFA">
        <w:rPr>
          <w:lang w:val="en-US"/>
        </w:rPr>
        <w:t xml:space="preserve"> and </w:t>
      </w:r>
      <w:r w:rsidRPr="00FB4EFA">
        <w:rPr>
          <w:smallCaps/>
          <w:lang w:val="en-US"/>
        </w:rPr>
        <w:t xml:space="preserve">right. </w:t>
      </w:r>
      <w:r w:rsidRPr="00FB4EFA">
        <w:rPr>
          <w:lang w:val="en-US"/>
        </w:rPr>
        <w:t xml:space="preserve">The use of the lexemes and the reference </w:t>
      </w:r>
      <w:r w:rsidRPr="00FB4EFA">
        <w:rPr>
          <w:lang w:val="en-US"/>
        </w:rPr>
        <w:lastRenderedPageBreak/>
        <w:t xml:space="preserve">frame depends on the situation. In two cases (see </w:t>
      </w:r>
      <w:r w:rsidR="00DE7479" w:rsidRPr="00FB4EFA">
        <w:rPr>
          <w:lang w:val="en-US"/>
        </w:rPr>
        <w:t>S</w:t>
      </w:r>
      <w:r w:rsidRPr="00FB4EFA">
        <w:rPr>
          <w:lang w:val="en-US"/>
        </w:rPr>
        <w:t xml:space="preserve">ection 2.1 and 2.2), the speakers use the </w:t>
      </w:r>
      <w:r w:rsidRPr="00FB4EFA">
        <w:rPr>
          <w:smallCaps/>
          <w:lang w:val="en-US"/>
        </w:rPr>
        <w:t>projector</w:t>
      </w:r>
      <w:r w:rsidRPr="00FB4EFA">
        <w:rPr>
          <w:lang w:val="en-US"/>
        </w:rPr>
        <w:t xml:space="preserve">-based frame. The </w:t>
      </w:r>
      <w:r w:rsidRPr="00FB4EFA">
        <w:rPr>
          <w:smallCaps/>
          <w:lang w:val="en-US"/>
        </w:rPr>
        <w:t>field</w:t>
      </w:r>
      <w:r w:rsidRPr="00FB4EFA">
        <w:rPr>
          <w:lang w:val="en-US"/>
        </w:rPr>
        <w:t xml:space="preserve">-based frame is used exclusively in connection with the tent. As we have seen, in this case the macrocosm was transferred to the microcosm, and the movement of the speakers does not change the naming of the regions. Therefore, this is not a </w:t>
      </w:r>
      <w:r w:rsidRPr="00FB4EFA">
        <w:rPr>
          <w:smallCaps/>
          <w:lang w:val="en-US"/>
        </w:rPr>
        <w:t>speaker-</w:t>
      </w:r>
      <w:r w:rsidRPr="00FB4EFA">
        <w:rPr>
          <w:lang w:val="en-US"/>
        </w:rPr>
        <w:t>based system. Table 2 summarizes the use of frames of reference.</w:t>
      </w:r>
    </w:p>
    <w:tbl>
      <w:tblPr>
        <w:tblW w:w="0" w:type="auto"/>
        <w:jc w:val="center"/>
        <w:tblBorders>
          <w:insideH w:val="single" w:sz="4" w:space="0" w:color="auto"/>
          <w:insideV w:val="single" w:sz="4" w:space="0" w:color="auto"/>
        </w:tblBorders>
        <w:tblLook w:val="04A0" w:firstRow="1" w:lastRow="0" w:firstColumn="1" w:lastColumn="0" w:noHBand="0" w:noVBand="1"/>
      </w:tblPr>
      <w:tblGrid>
        <w:gridCol w:w="1921"/>
        <w:gridCol w:w="1554"/>
        <w:gridCol w:w="1918"/>
        <w:gridCol w:w="1041"/>
      </w:tblGrid>
      <w:tr w:rsidR="00FB4EFA" w:rsidRPr="00FB4EFA" w14:paraId="70F90953" w14:textId="77777777" w:rsidTr="00FC2B6B">
        <w:trPr>
          <w:jc w:val="center"/>
        </w:trPr>
        <w:tc>
          <w:tcPr>
            <w:tcW w:w="0" w:type="auto"/>
            <w:tcBorders>
              <w:top w:val="nil"/>
              <w:left w:val="nil"/>
              <w:bottom w:val="single" w:sz="12" w:space="0" w:color="auto"/>
              <w:right w:val="single" w:sz="12" w:space="0" w:color="auto"/>
            </w:tcBorders>
          </w:tcPr>
          <w:p w14:paraId="5A1EE43F" w14:textId="77777777" w:rsidR="00092304" w:rsidRPr="00FB4EFA" w:rsidRDefault="00092304" w:rsidP="00AC1192">
            <w:pPr>
              <w:keepNext/>
              <w:suppressAutoHyphens/>
              <w:jc w:val="center"/>
              <w:rPr>
                <w:rFonts w:cs="Charis SIL"/>
                <w:b/>
                <w:bCs/>
                <w:sz w:val="20"/>
                <w:szCs w:val="20"/>
                <w:lang w:val="en-US"/>
              </w:rPr>
            </w:pPr>
            <w:r w:rsidRPr="00FB4EFA">
              <w:rPr>
                <w:rFonts w:cs="Charis SIL"/>
                <w:b/>
                <w:bCs/>
                <w:sz w:val="20"/>
                <w:szCs w:val="20"/>
                <w:lang w:val="en-US"/>
              </w:rPr>
              <w:t>frame of reference</w:t>
            </w:r>
          </w:p>
        </w:tc>
        <w:tc>
          <w:tcPr>
            <w:tcW w:w="0" w:type="auto"/>
            <w:tcBorders>
              <w:top w:val="nil"/>
              <w:left w:val="single" w:sz="12" w:space="0" w:color="auto"/>
              <w:bottom w:val="single" w:sz="12" w:space="0" w:color="auto"/>
            </w:tcBorders>
          </w:tcPr>
          <w:p w14:paraId="6E273DD2" w14:textId="77777777" w:rsidR="00092304" w:rsidRPr="00FB4EFA" w:rsidRDefault="00092304" w:rsidP="00AC1192">
            <w:pPr>
              <w:keepNext/>
              <w:suppressAutoHyphens/>
              <w:jc w:val="center"/>
              <w:rPr>
                <w:rFonts w:cs="Charis SIL"/>
                <w:b/>
                <w:bCs/>
                <w:sz w:val="20"/>
                <w:szCs w:val="20"/>
                <w:lang w:val="en-US"/>
              </w:rPr>
            </w:pPr>
            <w:r w:rsidRPr="00FB4EFA">
              <w:rPr>
                <w:rFonts w:cs="Charis SIL"/>
                <w:b/>
                <w:bCs/>
                <w:smallCaps/>
                <w:sz w:val="20"/>
                <w:szCs w:val="20"/>
                <w:lang w:val="en-US"/>
              </w:rPr>
              <w:t>left</w:t>
            </w:r>
          </w:p>
        </w:tc>
        <w:tc>
          <w:tcPr>
            <w:tcW w:w="0" w:type="auto"/>
            <w:tcBorders>
              <w:top w:val="nil"/>
              <w:bottom w:val="single" w:sz="12" w:space="0" w:color="auto"/>
            </w:tcBorders>
          </w:tcPr>
          <w:p w14:paraId="727B8192" w14:textId="77777777" w:rsidR="00092304" w:rsidRPr="00FB4EFA" w:rsidRDefault="00092304" w:rsidP="00AC1192">
            <w:pPr>
              <w:keepNext/>
              <w:suppressAutoHyphens/>
              <w:jc w:val="center"/>
              <w:rPr>
                <w:rFonts w:cs="Charis SIL"/>
                <w:b/>
                <w:bCs/>
                <w:sz w:val="20"/>
                <w:szCs w:val="20"/>
                <w:lang w:val="en-US"/>
              </w:rPr>
            </w:pPr>
            <w:r w:rsidRPr="00FB4EFA">
              <w:rPr>
                <w:rFonts w:cs="Charis SIL"/>
                <w:b/>
                <w:bCs/>
                <w:smallCaps/>
                <w:sz w:val="20"/>
                <w:szCs w:val="20"/>
                <w:lang w:val="en-US"/>
              </w:rPr>
              <w:t>right</w:t>
            </w:r>
          </w:p>
        </w:tc>
        <w:tc>
          <w:tcPr>
            <w:tcW w:w="0" w:type="auto"/>
            <w:tcBorders>
              <w:top w:val="nil"/>
              <w:bottom w:val="single" w:sz="12" w:space="0" w:color="auto"/>
              <w:right w:val="nil"/>
            </w:tcBorders>
          </w:tcPr>
          <w:p w14:paraId="0726A79E" w14:textId="77777777" w:rsidR="00092304" w:rsidRPr="00FB4EFA" w:rsidRDefault="00092304" w:rsidP="00AC1192">
            <w:pPr>
              <w:keepNext/>
              <w:suppressAutoHyphens/>
              <w:jc w:val="center"/>
              <w:rPr>
                <w:rFonts w:cs="Charis SIL"/>
                <w:b/>
                <w:bCs/>
                <w:sz w:val="20"/>
                <w:szCs w:val="20"/>
                <w:lang w:val="en-US"/>
              </w:rPr>
            </w:pPr>
            <w:r w:rsidRPr="00FB4EFA">
              <w:rPr>
                <w:rFonts w:cs="Charis SIL"/>
                <w:b/>
                <w:bCs/>
                <w:sz w:val="20"/>
                <w:szCs w:val="20"/>
                <w:lang w:val="en-US"/>
              </w:rPr>
              <w:t>situation</w:t>
            </w:r>
          </w:p>
        </w:tc>
      </w:tr>
      <w:tr w:rsidR="00FB4EFA" w:rsidRPr="00FB4EFA" w14:paraId="2D555061" w14:textId="77777777" w:rsidTr="00FC2B6B">
        <w:trPr>
          <w:jc w:val="center"/>
        </w:trPr>
        <w:tc>
          <w:tcPr>
            <w:tcW w:w="0" w:type="auto"/>
            <w:vMerge w:val="restart"/>
            <w:tcBorders>
              <w:top w:val="single" w:sz="12" w:space="0" w:color="auto"/>
              <w:left w:val="nil"/>
              <w:right w:val="single" w:sz="12" w:space="0" w:color="auto"/>
            </w:tcBorders>
            <w:vAlign w:val="center"/>
          </w:tcPr>
          <w:p w14:paraId="1CE7A672" w14:textId="77777777" w:rsidR="00092304" w:rsidRPr="00FB4EFA" w:rsidRDefault="00092304" w:rsidP="00AC1192">
            <w:pPr>
              <w:keepNext/>
              <w:suppressAutoHyphens/>
              <w:jc w:val="center"/>
              <w:rPr>
                <w:rFonts w:cs="Charis SIL"/>
                <w:b/>
                <w:bCs/>
                <w:sz w:val="20"/>
                <w:szCs w:val="20"/>
                <w:lang w:val="en-US"/>
              </w:rPr>
            </w:pPr>
            <w:r w:rsidRPr="00FB4EFA">
              <w:rPr>
                <w:rFonts w:cs="Charis SIL"/>
                <w:b/>
                <w:bCs/>
                <w:smallCaps/>
                <w:sz w:val="20"/>
                <w:szCs w:val="20"/>
                <w:lang w:val="en-US"/>
              </w:rPr>
              <w:t>projector</w:t>
            </w:r>
            <w:r w:rsidRPr="00FB4EFA">
              <w:rPr>
                <w:rFonts w:cs="Charis SIL"/>
                <w:b/>
                <w:bCs/>
                <w:sz w:val="20"/>
                <w:szCs w:val="20"/>
                <w:lang w:val="en-US"/>
              </w:rPr>
              <w:t>-based</w:t>
            </w:r>
          </w:p>
        </w:tc>
        <w:tc>
          <w:tcPr>
            <w:tcW w:w="0" w:type="auto"/>
            <w:tcBorders>
              <w:top w:val="single" w:sz="12" w:space="0" w:color="auto"/>
              <w:left w:val="single" w:sz="12" w:space="0" w:color="auto"/>
            </w:tcBorders>
          </w:tcPr>
          <w:p w14:paraId="7DE92F76" w14:textId="77777777" w:rsidR="00092304" w:rsidRPr="00FB4EFA" w:rsidRDefault="00092304" w:rsidP="00AC1192">
            <w:pPr>
              <w:keepNext/>
              <w:suppressAutoHyphens/>
              <w:rPr>
                <w:rFonts w:cs="Charis SIL"/>
                <w:sz w:val="20"/>
                <w:szCs w:val="20"/>
                <w:lang w:val="en-US"/>
              </w:rPr>
            </w:pPr>
            <w:r w:rsidRPr="00FB4EFA">
              <w:rPr>
                <w:rFonts w:cs="Charis SIL"/>
                <w:i/>
                <w:sz w:val="20"/>
                <w:szCs w:val="20"/>
                <w:lang w:val="en-US"/>
              </w:rPr>
              <w:t>b</w:t>
            </w:r>
            <w:r w:rsidRPr="00FB4EFA">
              <w:rPr>
                <w:rFonts w:cs="Times New Roman"/>
                <w:i/>
                <w:sz w:val="20"/>
                <w:szCs w:val="20"/>
                <w:lang w:val="en-US"/>
              </w:rPr>
              <w:t>ə</w:t>
            </w:r>
            <w:r w:rsidRPr="00FB4EFA">
              <w:rPr>
                <w:rFonts w:cs="Charis SIL"/>
                <w:i/>
                <w:sz w:val="20"/>
                <w:szCs w:val="20"/>
                <w:lang w:val="en-US"/>
              </w:rPr>
              <w:t>ði</w:t>
            </w:r>
            <w:r w:rsidRPr="00FB4EFA">
              <w:rPr>
                <w:rFonts w:cs="Cambria"/>
                <w:i/>
                <w:sz w:val="20"/>
                <w:szCs w:val="20"/>
                <w:lang w:val="en-US"/>
              </w:rPr>
              <w:t>Ɂ</w:t>
            </w:r>
            <w:r w:rsidRPr="00FB4EFA">
              <w:rPr>
                <w:rFonts w:cs="Times New Roman"/>
                <w:i/>
                <w:sz w:val="20"/>
                <w:szCs w:val="20"/>
                <w:lang w:val="en-US"/>
              </w:rPr>
              <w:t>ə</w:t>
            </w:r>
            <w:r w:rsidRPr="00FB4EFA">
              <w:rPr>
                <w:rFonts w:cs="Charis SIL"/>
                <w:i/>
                <w:sz w:val="20"/>
                <w:szCs w:val="20"/>
                <w:lang w:val="en-US"/>
              </w:rPr>
              <w:t xml:space="preserve"> ~ b</w:t>
            </w:r>
            <w:r w:rsidRPr="00FB4EFA">
              <w:rPr>
                <w:rFonts w:cs="Times New Roman"/>
                <w:i/>
                <w:sz w:val="20"/>
                <w:szCs w:val="20"/>
                <w:lang w:val="en-US"/>
              </w:rPr>
              <w:t>ə</w:t>
            </w:r>
            <w:r w:rsidRPr="00FB4EFA">
              <w:rPr>
                <w:rFonts w:cs="Charis SIL"/>
                <w:i/>
                <w:sz w:val="20"/>
                <w:szCs w:val="20"/>
                <w:lang w:val="en-US"/>
              </w:rPr>
              <w:t>ði</w:t>
            </w:r>
            <w:r w:rsidRPr="00FB4EFA">
              <w:rPr>
                <w:rFonts w:cs="Times New Roman"/>
                <w:i/>
                <w:sz w:val="20"/>
                <w:szCs w:val="20"/>
                <w:lang w:val="en-US"/>
              </w:rPr>
              <w:t>ə</w:t>
            </w:r>
          </w:p>
        </w:tc>
        <w:tc>
          <w:tcPr>
            <w:tcW w:w="0" w:type="auto"/>
            <w:tcBorders>
              <w:top w:val="single" w:sz="12" w:space="0" w:color="auto"/>
            </w:tcBorders>
          </w:tcPr>
          <w:p w14:paraId="75CED014" w14:textId="77777777" w:rsidR="00092304" w:rsidRPr="00FB4EFA" w:rsidRDefault="00092304" w:rsidP="00AC1192">
            <w:pPr>
              <w:keepNext/>
              <w:suppressAutoHyphens/>
              <w:rPr>
                <w:rFonts w:cs="Charis SIL"/>
                <w:sz w:val="20"/>
                <w:szCs w:val="20"/>
                <w:lang w:val="en-US"/>
              </w:rPr>
            </w:pPr>
            <w:r w:rsidRPr="00FB4EFA">
              <w:rPr>
                <w:rFonts w:cs="Charis SIL"/>
                <w:i/>
                <w:sz w:val="20"/>
                <w:szCs w:val="20"/>
                <w:lang w:val="en-US"/>
              </w:rPr>
              <w:t>mantimü</w:t>
            </w:r>
            <w:r w:rsidRPr="00FB4EFA">
              <w:rPr>
                <w:rFonts w:cs="Charis SIL"/>
                <w:sz w:val="20"/>
                <w:szCs w:val="20"/>
                <w:lang w:val="en-US"/>
              </w:rPr>
              <w:t xml:space="preserve"> ~ </w:t>
            </w:r>
            <w:r w:rsidRPr="00FB4EFA">
              <w:rPr>
                <w:rFonts w:cs="Charis SIL"/>
                <w:i/>
                <w:sz w:val="20"/>
                <w:szCs w:val="20"/>
                <w:lang w:val="en-US"/>
              </w:rPr>
              <w:t>mantimi</w:t>
            </w:r>
          </w:p>
        </w:tc>
        <w:tc>
          <w:tcPr>
            <w:tcW w:w="0" w:type="auto"/>
            <w:tcBorders>
              <w:top w:val="single" w:sz="12" w:space="0" w:color="auto"/>
              <w:right w:val="nil"/>
            </w:tcBorders>
          </w:tcPr>
          <w:p w14:paraId="1A11862E" w14:textId="77777777" w:rsidR="00092304" w:rsidRPr="00FB4EFA" w:rsidRDefault="00092304" w:rsidP="00AC1192">
            <w:pPr>
              <w:keepNext/>
              <w:suppressAutoHyphens/>
              <w:rPr>
                <w:rFonts w:cs="Charis SIL"/>
                <w:i/>
                <w:sz w:val="20"/>
                <w:szCs w:val="20"/>
                <w:lang w:val="en-US"/>
              </w:rPr>
            </w:pPr>
            <w:r w:rsidRPr="00FB4EFA">
              <w:rPr>
                <w:rFonts w:cs="Charis SIL"/>
                <w:sz w:val="20"/>
                <w:szCs w:val="20"/>
                <w:lang w:val="en-US"/>
              </w:rPr>
              <w:t>hand</w:t>
            </w:r>
          </w:p>
        </w:tc>
      </w:tr>
      <w:tr w:rsidR="00FB4EFA" w:rsidRPr="00FB4EFA" w14:paraId="4FCCBAB8" w14:textId="77777777" w:rsidTr="00FC2B6B">
        <w:trPr>
          <w:jc w:val="center"/>
        </w:trPr>
        <w:tc>
          <w:tcPr>
            <w:tcW w:w="0" w:type="auto"/>
            <w:vMerge/>
            <w:tcBorders>
              <w:left w:val="nil"/>
              <w:right w:val="single" w:sz="12" w:space="0" w:color="auto"/>
            </w:tcBorders>
          </w:tcPr>
          <w:p w14:paraId="3CF95F86" w14:textId="77777777" w:rsidR="00092304" w:rsidRPr="00FB4EFA" w:rsidRDefault="00092304" w:rsidP="00AC1192">
            <w:pPr>
              <w:keepNext/>
              <w:suppressAutoHyphens/>
              <w:jc w:val="center"/>
              <w:rPr>
                <w:rFonts w:cs="Charis SIL"/>
                <w:b/>
                <w:bCs/>
                <w:sz w:val="20"/>
                <w:szCs w:val="20"/>
                <w:lang w:val="en-US"/>
              </w:rPr>
            </w:pPr>
          </w:p>
        </w:tc>
        <w:tc>
          <w:tcPr>
            <w:tcW w:w="0" w:type="auto"/>
            <w:tcBorders>
              <w:left w:val="single" w:sz="12" w:space="0" w:color="auto"/>
            </w:tcBorders>
          </w:tcPr>
          <w:p w14:paraId="45D259B1" w14:textId="77777777" w:rsidR="00092304" w:rsidRPr="00FB4EFA" w:rsidRDefault="00092304" w:rsidP="00AC1192">
            <w:pPr>
              <w:keepNext/>
              <w:suppressAutoHyphens/>
              <w:rPr>
                <w:rFonts w:cs="Charis SIL"/>
                <w:i/>
                <w:sz w:val="20"/>
                <w:szCs w:val="20"/>
                <w:lang w:val="en-US"/>
              </w:rPr>
            </w:pPr>
            <w:r w:rsidRPr="00FB4EFA">
              <w:rPr>
                <w:rFonts w:cs="Charis SIL"/>
                <w:i/>
                <w:sz w:val="20"/>
                <w:szCs w:val="20"/>
                <w:lang w:val="en-US"/>
              </w:rPr>
              <w:t>hor</w:t>
            </w:r>
            <w:r w:rsidRPr="00FB4EFA">
              <w:rPr>
                <w:rFonts w:cs="Times New Roman"/>
                <w:i/>
                <w:sz w:val="20"/>
                <w:szCs w:val="20"/>
                <w:lang w:val="en-US"/>
              </w:rPr>
              <w:t>ə</w:t>
            </w:r>
            <w:r w:rsidRPr="00FB4EFA">
              <w:rPr>
                <w:rFonts w:cs="Charis SIL"/>
                <w:i/>
                <w:sz w:val="20"/>
                <w:szCs w:val="20"/>
                <w:lang w:val="en-US"/>
              </w:rPr>
              <w:t xml:space="preserve"> </w:t>
            </w:r>
            <w:r w:rsidRPr="00FB4EFA">
              <w:rPr>
                <w:rFonts w:cs="Cambria"/>
                <w:i/>
                <w:sz w:val="20"/>
                <w:szCs w:val="20"/>
                <w:lang w:val="en-US"/>
              </w:rPr>
              <w:t>ń</w:t>
            </w:r>
            <w:r w:rsidRPr="00FB4EFA">
              <w:rPr>
                <w:rFonts w:cs="Charis SIL"/>
                <w:i/>
                <w:sz w:val="20"/>
                <w:szCs w:val="20"/>
                <w:lang w:val="en-US"/>
              </w:rPr>
              <w:t>ii</w:t>
            </w:r>
          </w:p>
        </w:tc>
        <w:tc>
          <w:tcPr>
            <w:tcW w:w="0" w:type="auto"/>
          </w:tcPr>
          <w:p w14:paraId="31C7B61D" w14:textId="77777777" w:rsidR="00092304" w:rsidRPr="00FB4EFA" w:rsidRDefault="00092304" w:rsidP="00AC1192">
            <w:pPr>
              <w:keepNext/>
              <w:suppressAutoHyphens/>
              <w:rPr>
                <w:rFonts w:cs="Charis SIL"/>
                <w:i/>
                <w:sz w:val="20"/>
                <w:szCs w:val="20"/>
                <w:lang w:val="en-US"/>
              </w:rPr>
            </w:pPr>
            <w:r w:rsidRPr="00FB4EFA">
              <w:rPr>
                <w:rFonts w:cs="Charis SIL"/>
                <w:i/>
                <w:sz w:val="20"/>
                <w:szCs w:val="20"/>
                <w:lang w:val="en-US"/>
              </w:rPr>
              <w:t>m</w:t>
            </w:r>
            <w:r w:rsidRPr="00FB4EFA">
              <w:rPr>
                <w:rFonts w:cs="Times New Roman"/>
                <w:i/>
                <w:sz w:val="20"/>
                <w:szCs w:val="20"/>
                <w:lang w:val="en-US"/>
              </w:rPr>
              <w:t>ə</w:t>
            </w:r>
            <w:r w:rsidRPr="00FB4EFA">
              <w:rPr>
                <w:rFonts w:cs="Charis SIL"/>
                <w:i/>
                <w:sz w:val="20"/>
                <w:szCs w:val="20"/>
                <w:lang w:val="en-US"/>
              </w:rPr>
              <w:t xml:space="preserve">gu </w:t>
            </w:r>
            <w:r w:rsidRPr="00FB4EFA">
              <w:rPr>
                <w:rFonts w:cs="Cambria"/>
                <w:i/>
                <w:sz w:val="20"/>
                <w:szCs w:val="20"/>
                <w:lang w:val="en-US"/>
              </w:rPr>
              <w:t>ń</w:t>
            </w:r>
            <w:r w:rsidRPr="00FB4EFA">
              <w:rPr>
                <w:rFonts w:cs="Charis SIL"/>
                <w:i/>
                <w:sz w:val="20"/>
                <w:szCs w:val="20"/>
                <w:lang w:val="en-US"/>
              </w:rPr>
              <w:t>ii</w:t>
            </w:r>
          </w:p>
        </w:tc>
        <w:tc>
          <w:tcPr>
            <w:tcW w:w="0" w:type="auto"/>
            <w:tcBorders>
              <w:right w:val="nil"/>
            </w:tcBorders>
          </w:tcPr>
          <w:p w14:paraId="55A25611" w14:textId="77777777" w:rsidR="00092304" w:rsidRPr="00FB4EFA" w:rsidRDefault="00092304" w:rsidP="00E1311F">
            <w:pPr>
              <w:keepNext/>
              <w:rPr>
                <w:rFonts w:cs="Charis SIL"/>
                <w:smallCaps/>
                <w:sz w:val="20"/>
                <w:szCs w:val="20"/>
                <w:lang w:val="en-US"/>
              </w:rPr>
            </w:pPr>
            <w:r w:rsidRPr="00FB4EFA">
              <w:rPr>
                <w:rFonts w:cs="Charis SIL"/>
                <w:sz w:val="20"/>
                <w:szCs w:val="20"/>
                <w:lang w:val="en-US"/>
              </w:rPr>
              <w:t xml:space="preserve">moving </w:t>
            </w:r>
          </w:p>
        </w:tc>
      </w:tr>
      <w:tr w:rsidR="00FB4EFA" w:rsidRPr="00FB4EFA" w14:paraId="3603ED5C" w14:textId="77777777" w:rsidTr="00FC2B6B">
        <w:trPr>
          <w:jc w:val="center"/>
        </w:trPr>
        <w:tc>
          <w:tcPr>
            <w:tcW w:w="0" w:type="auto"/>
            <w:tcBorders>
              <w:left w:val="nil"/>
              <w:bottom w:val="nil"/>
              <w:right w:val="single" w:sz="12" w:space="0" w:color="auto"/>
            </w:tcBorders>
          </w:tcPr>
          <w:p w14:paraId="7C23F7F0" w14:textId="77777777" w:rsidR="00092304" w:rsidRPr="00FB4EFA" w:rsidRDefault="00092304" w:rsidP="00AC1192">
            <w:pPr>
              <w:suppressAutoHyphens/>
              <w:jc w:val="center"/>
              <w:rPr>
                <w:rFonts w:cs="Charis SIL"/>
                <w:b/>
                <w:bCs/>
                <w:sz w:val="20"/>
                <w:szCs w:val="20"/>
                <w:lang w:val="en-US"/>
              </w:rPr>
            </w:pPr>
            <w:r w:rsidRPr="00FB4EFA">
              <w:rPr>
                <w:rFonts w:cs="Charis SIL"/>
                <w:b/>
                <w:bCs/>
                <w:smallCaps/>
                <w:sz w:val="20"/>
                <w:szCs w:val="20"/>
                <w:lang w:val="en-US"/>
              </w:rPr>
              <w:t>field</w:t>
            </w:r>
            <w:r w:rsidRPr="00FB4EFA">
              <w:rPr>
                <w:rFonts w:cs="Charis SIL"/>
                <w:b/>
                <w:bCs/>
                <w:i/>
                <w:sz w:val="20"/>
                <w:szCs w:val="20"/>
                <w:lang w:val="en-US"/>
              </w:rPr>
              <w:t>-</w:t>
            </w:r>
            <w:r w:rsidRPr="00FB4EFA">
              <w:rPr>
                <w:rFonts w:cs="Charis SIL"/>
                <w:b/>
                <w:bCs/>
                <w:iCs/>
                <w:sz w:val="20"/>
                <w:szCs w:val="20"/>
                <w:lang w:val="en-US"/>
              </w:rPr>
              <w:t>based</w:t>
            </w:r>
          </w:p>
        </w:tc>
        <w:tc>
          <w:tcPr>
            <w:tcW w:w="0" w:type="auto"/>
            <w:tcBorders>
              <w:left w:val="single" w:sz="12" w:space="0" w:color="auto"/>
              <w:bottom w:val="nil"/>
            </w:tcBorders>
          </w:tcPr>
          <w:p w14:paraId="0AEB9CE4" w14:textId="77777777" w:rsidR="00092304" w:rsidRPr="00FB4EFA" w:rsidRDefault="00092304" w:rsidP="00AC1192">
            <w:pPr>
              <w:suppressAutoHyphens/>
              <w:rPr>
                <w:rFonts w:cs="Charis SIL"/>
                <w:sz w:val="20"/>
                <w:szCs w:val="20"/>
                <w:lang w:val="en-US"/>
              </w:rPr>
            </w:pPr>
            <w:r w:rsidRPr="00FB4EFA">
              <w:rPr>
                <w:rFonts w:cs="Charis SIL"/>
                <w:i/>
                <w:sz w:val="20"/>
                <w:szCs w:val="20"/>
                <w:lang w:val="en-US"/>
              </w:rPr>
              <w:t>kotuð</w:t>
            </w:r>
            <w:r w:rsidRPr="00FB4EFA">
              <w:rPr>
                <w:rFonts w:cs="Times New Roman"/>
                <w:i/>
                <w:sz w:val="20"/>
                <w:szCs w:val="20"/>
                <w:lang w:val="en-US"/>
              </w:rPr>
              <w:t>ə</w:t>
            </w:r>
            <w:r w:rsidRPr="00FB4EFA">
              <w:rPr>
                <w:rFonts w:cs="Charis SIL"/>
                <w:i/>
                <w:sz w:val="20"/>
                <w:szCs w:val="20"/>
                <w:lang w:val="en-US"/>
              </w:rPr>
              <w:t xml:space="preserve"> </w:t>
            </w:r>
            <w:r w:rsidRPr="00FB4EFA">
              <w:rPr>
                <w:rFonts w:cs="Cambria"/>
                <w:i/>
                <w:sz w:val="20"/>
                <w:szCs w:val="20"/>
                <w:lang w:val="en-US"/>
              </w:rPr>
              <w:t>ń</w:t>
            </w:r>
            <w:r w:rsidRPr="00FB4EFA">
              <w:rPr>
                <w:rFonts w:cs="Charis SIL"/>
                <w:i/>
                <w:sz w:val="20"/>
                <w:szCs w:val="20"/>
                <w:lang w:val="en-US"/>
              </w:rPr>
              <w:t>ii</w:t>
            </w:r>
            <w:r w:rsidRPr="00FB4EFA">
              <w:rPr>
                <w:rFonts w:cs="Cambria"/>
                <w:i/>
                <w:sz w:val="20"/>
                <w:szCs w:val="20"/>
                <w:lang w:val="en-US"/>
              </w:rPr>
              <w:t>ď</w:t>
            </w:r>
            <w:r w:rsidRPr="00FB4EFA">
              <w:rPr>
                <w:rFonts w:cs="Times New Roman"/>
                <w:i/>
                <w:sz w:val="20"/>
                <w:szCs w:val="20"/>
                <w:lang w:val="en-US"/>
              </w:rPr>
              <w:t>ə</w:t>
            </w:r>
            <w:r w:rsidRPr="00FB4EFA">
              <w:rPr>
                <w:rFonts w:cs="Charis SIL"/>
                <w:i/>
                <w:sz w:val="20"/>
                <w:szCs w:val="20"/>
                <w:lang w:val="en-US"/>
              </w:rPr>
              <w:t xml:space="preserve"> k</w:t>
            </w:r>
            <w:r w:rsidRPr="00FB4EFA">
              <w:rPr>
                <w:rFonts w:cs="Times New Roman"/>
                <w:i/>
                <w:sz w:val="20"/>
                <w:szCs w:val="20"/>
                <w:lang w:val="en-US"/>
              </w:rPr>
              <w:t>ə</w:t>
            </w:r>
            <w:r w:rsidRPr="00FB4EFA">
              <w:rPr>
                <w:rFonts w:cs="Charis SIL"/>
                <w:i/>
                <w:sz w:val="20"/>
                <w:szCs w:val="20"/>
                <w:lang w:val="en-US"/>
              </w:rPr>
              <w:t>i</w:t>
            </w:r>
          </w:p>
        </w:tc>
        <w:tc>
          <w:tcPr>
            <w:tcW w:w="0" w:type="auto"/>
            <w:tcBorders>
              <w:bottom w:val="nil"/>
            </w:tcBorders>
          </w:tcPr>
          <w:p w14:paraId="0BEE7D1F" w14:textId="77777777" w:rsidR="00092304" w:rsidRPr="00FB4EFA" w:rsidRDefault="00092304" w:rsidP="00AC1192">
            <w:pPr>
              <w:suppressAutoHyphens/>
              <w:rPr>
                <w:rFonts w:cs="Charis SIL"/>
                <w:sz w:val="20"/>
                <w:szCs w:val="20"/>
                <w:lang w:val="en-US"/>
              </w:rPr>
            </w:pPr>
            <w:r w:rsidRPr="00FB4EFA">
              <w:rPr>
                <w:rFonts w:cs="Cambria"/>
                <w:i/>
                <w:sz w:val="20"/>
                <w:szCs w:val="20"/>
                <w:lang w:val="en-US"/>
              </w:rPr>
              <w:t>ŋ</w:t>
            </w:r>
            <w:r w:rsidRPr="00FB4EFA">
              <w:rPr>
                <w:rFonts w:cs="Charis SIL"/>
                <w:i/>
                <w:sz w:val="20"/>
                <w:szCs w:val="20"/>
                <w:lang w:val="en-US"/>
              </w:rPr>
              <w:t>arm</w:t>
            </w:r>
            <w:r w:rsidRPr="00FB4EFA">
              <w:rPr>
                <w:rFonts w:cs="Baskerville Old Face"/>
                <w:i/>
                <w:sz w:val="20"/>
                <w:szCs w:val="20"/>
                <w:lang w:val="en-US"/>
              </w:rPr>
              <w:t>üð</w:t>
            </w:r>
            <w:r w:rsidRPr="00FB4EFA">
              <w:rPr>
                <w:rFonts w:cs="Times New Roman"/>
                <w:i/>
                <w:sz w:val="20"/>
                <w:szCs w:val="20"/>
                <w:lang w:val="en-US"/>
              </w:rPr>
              <w:t>ə</w:t>
            </w:r>
            <w:r w:rsidRPr="00FB4EFA">
              <w:rPr>
                <w:rFonts w:cs="Charis SIL"/>
                <w:sz w:val="20"/>
                <w:szCs w:val="20"/>
                <w:lang w:val="en-US"/>
              </w:rPr>
              <w:t xml:space="preserve"> </w:t>
            </w:r>
            <w:r w:rsidRPr="00FB4EFA">
              <w:rPr>
                <w:rFonts w:cs="Cambria"/>
                <w:i/>
                <w:sz w:val="20"/>
                <w:szCs w:val="20"/>
                <w:lang w:val="en-US"/>
              </w:rPr>
              <w:t>ń</w:t>
            </w:r>
            <w:r w:rsidRPr="00FB4EFA">
              <w:rPr>
                <w:rFonts w:cs="Charis SIL"/>
                <w:i/>
                <w:sz w:val="20"/>
                <w:szCs w:val="20"/>
                <w:lang w:val="en-US"/>
              </w:rPr>
              <w:t>ii</w:t>
            </w:r>
            <w:r w:rsidRPr="00FB4EFA">
              <w:rPr>
                <w:rFonts w:cs="Cambria"/>
                <w:i/>
                <w:sz w:val="20"/>
                <w:szCs w:val="20"/>
                <w:lang w:val="en-US"/>
              </w:rPr>
              <w:t>ď</w:t>
            </w:r>
            <w:r w:rsidRPr="00FB4EFA">
              <w:rPr>
                <w:rFonts w:cs="Times New Roman"/>
                <w:i/>
                <w:sz w:val="20"/>
                <w:szCs w:val="20"/>
                <w:lang w:val="en-US"/>
              </w:rPr>
              <w:t>ə</w:t>
            </w:r>
            <w:r w:rsidRPr="00FB4EFA">
              <w:rPr>
                <w:rFonts w:cs="Charis SIL"/>
                <w:i/>
                <w:sz w:val="20"/>
                <w:szCs w:val="20"/>
                <w:lang w:val="en-US"/>
              </w:rPr>
              <w:t xml:space="preserve"> k</w:t>
            </w:r>
            <w:r w:rsidRPr="00FB4EFA">
              <w:rPr>
                <w:rFonts w:cs="Times New Roman"/>
                <w:i/>
                <w:sz w:val="20"/>
                <w:szCs w:val="20"/>
                <w:lang w:val="en-US"/>
              </w:rPr>
              <w:t>ə</w:t>
            </w:r>
            <w:r w:rsidRPr="00FB4EFA">
              <w:rPr>
                <w:rFonts w:cs="Charis SIL"/>
                <w:i/>
                <w:sz w:val="20"/>
                <w:szCs w:val="20"/>
                <w:lang w:val="en-US"/>
              </w:rPr>
              <w:t>i</w:t>
            </w:r>
          </w:p>
        </w:tc>
        <w:tc>
          <w:tcPr>
            <w:tcW w:w="0" w:type="auto"/>
            <w:tcBorders>
              <w:bottom w:val="nil"/>
              <w:right w:val="nil"/>
            </w:tcBorders>
          </w:tcPr>
          <w:p w14:paraId="5742BAC5" w14:textId="77777777" w:rsidR="00092304" w:rsidRPr="00FB4EFA" w:rsidRDefault="00092304" w:rsidP="00AC1192">
            <w:pPr>
              <w:suppressAutoHyphens/>
              <w:rPr>
                <w:rFonts w:cs="Charis SIL"/>
                <w:i/>
                <w:sz w:val="20"/>
                <w:szCs w:val="20"/>
                <w:lang w:val="en-US"/>
              </w:rPr>
            </w:pPr>
            <w:r w:rsidRPr="00FB4EFA">
              <w:rPr>
                <w:rFonts w:cs="Charis SIL"/>
                <w:sz w:val="20"/>
                <w:szCs w:val="20"/>
                <w:lang w:val="en-US"/>
              </w:rPr>
              <w:t>tent</w:t>
            </w:r>
          </w:p>
        </w:tc>
      </w:tr>
    </w:tbl>
    <w:p w14:paraId="4FB5BB70" w14:textId="77777777" w:rsidR="00092304" w:rsidRPr="00FB4EFA" w:rsidRDefault="00092304" w:rsidP="00AC1192">
      <w:pPr>
        <w:suppressAutoHyphens/>
        <w:spacing w:before="120" w:after="240"/>
        <w:jc w:val="center"/>
        <w:rPr>
          <w:rFonts w:cs="Charis SIL"/>
          <w:sz w:val="18"/>
          <w:szCs w:val="20"/>
          <w:lang w:val="en-US"/>
        </w:rPr>
      </w:pPr>
      <w:r w:rsidRPr="00FB4EFA">
        <w:rPr>
          <w:rFonts w:cs="Charis SIL"/>
          <w:b/>
          <w:bCs/>
          <w:sz w:val="18"/>
          <w:szCs w:val="20"/>
          <w:lang w:val="en-US"/>
        </w:rPr>
        <w:t>Table 2</w:t>
      </w:r>
      <w:r w:rsidRPr="00FB4EFA">
        <w:rPr>
          <w:rFonts w:cs="Charis SIL"/>
          <w:sz w:val="18"/>
          <w:szCs w:val="20"/>
          <w:lang w:val="en-US"/>
        </w:rPr>
        <w:t>. Frames in Nganasan</w:t>
      </w:r>
    </w:p>
    <w:p w14:paraId="09E48970" w14:textId="1D458FB2" w:rsidR="00092304" w:rsidRPr="00FB4EFA" w:rsidRDefault="00092304" w:rsidP="00402EF4">
      <w:pPr>
        <w:rPr>
          <w:rFonts w:cs="Charis SIL"/>
          <w:szCs w:val="24"/>
          <w:lang w:val="en-US"/>
        </w:rPr>
      </w:pPr>
      <w:r w:rsidRPr="00FB4EFA">
        <w:rPr>
          <w:rFonts w:cs="Charis SIL"/>
          <w:szCs w:val="24"/>
          <w:lang w:val="en-US"/>
        </w:rPr>
        <w:t>It could also be shown that Nganasan uses metonymic transfer in at least two situations, in reference to a movement, and in reference to position verbs for indicating a position in the tent. As we have seen in sentence (</w:t>
      </w:r>
      <w:r w:rsidR="00C9146D" w:rsidRPr="00FB4EFA">
        <w:rPr>
          <w:rFonts w:cs="Charis SIL"/>
          <w:szCs w:val="24"/>
          <w:lang w:val="en-US"/>
        </w:rPr>
        <w:t>9</w:t>
      </w:r>
      <w:r w:rsidRPr="00FB4EFA">
        <w:rPr>
          <w:rFonts w:cs="Charis SIL"/>
          <w:szCs w:val="24"/>
          <w:lang w:val="en-US"/>
        </w:rPr>
        <w:t xml:space="preserve">), it is not self-explanatory which lexical expression the speakers will use to express the left and right side, which indicates </w:t>
      </w:r>
      <w:r w:rsidR="004E3AAC" w:rsidRPr="00FB4EFA">
        <w:rPr>
          <w:rFonts w:cs="Charis SIL"/>
          <w:szCs w:val="24"/>
          <w:lang w:val="en-US"/>
        </w:rPr>
        <w:t xml:space="preserve">that </w:t>
      </w:r>
      <w:r w:rsidRPr="00FB4EFA">
        <w:rPr>
          <w:rFonts w:cs="Charis SIL"/>
          <w:szCs w:val="24"/>
          <w:lang w:val="en-US"/>
        </w:rPr>
        <w:t xml:space="preserve">more research on the mode of expression of the concepts </w:t>
      </w:r>
      <w:r w:rsidRPr="00FB4EFA">
        <w:rPr>
          <w:rFonts w:cs="Charis SIL"/>
          <w:smallCaps/>
          <w:szCs w:val="24"/>
          <w:lang w:val="en-US"/>
        </w:rPr>
        <w:t>left/right</w:t>
      </w:r>
      <w:r w:rsidRPr="00FB4EFA">
        <w:rPr>
          <w:rFonts w:cs="Charis SIL"/>
          <w:szCs w:val="24"/>
          <w:lang w:val="en-US"/>
        </w:rPr>
        <w:t xml:space="preserve"> outside the tent is needed.</w:t>
      </w:r>
    </w:p>
    <w:p w14:paraId="12DC6924" w14:textId="56E6E62C" w:rsidR="00E1311F" w:rsidRPr="00FB4EFA" w:rsidRDefault="00092304" w:rsidP="00F606CE">
      <w:pPr>
        <w:ind w:firstLine="709"/>
      </w:pPr>
      <w:r w:rsidRPr="00FB4EFA">
        <w:rPr>
          <w:rFonts w:cs="Charis SIL"/>
          <w:szCs w:val="24"/>
          <w:lang w:val="en-US"/>
        </w:rPr>
        <w:t xml:space="preserve">This work is a corpus-based study in which an area should be presented that, except for a few examples, has been mostly unexplored not only in Nganasan but in the Samoyedic languages in general. These results clearly show that a corpus can be used for cognitive linguistic studies, but the limitations of a corpus are also obvious. </w:t>
      </w:r>
      <w:r w:rsidR="00C9146D" w:rsidRPr="00FB4EFA">
        <w:rPr>
          <w:rFonts w:cs="Charis SIL"/>
          <w:szCs w:val="24"/>
          <w:lang w:val="en-US"/>
        </w:rPr>
        <w:t>R</w:t>
      </w:r>
      <w:r w:rsidRPr="00FB4EFA">
        <w:rPr>
          <w:rFonts w:cs="Charis SIL"/>
          <w:szCs w:val="24"/>
          <w:lang w:val="en-US"/>
        </w:rPr>
        <w:t>esearch conducted in the field (rather than via social media) could help to ensure that these concepts are also described in less-documented languages. This, in turn, could contribute both to the refinement of the conceptual framework and to a better typological description.</w:t>
      </w:r>
    </w:p>
    <w:p w14:paraId="4F37A5A4" w14:textId="77777777" w:rsidR="00281B2F" w:rsidRDefault="00281B2F">
      <w:pPr>
        <w:spacing w:after="160" w:line="259" w:lineRule="auto"/>
        <w:jc w:val="left"/>
        <w:rPr>
          <w:rFonts w:ascii="Gill Sans MT" w:eastAsia="Gill Sans MT" w:hAnsi="Gill Sans MT" w:cs="Gill Sans MT"/>
          <w:sz w:val="28"/>
          <w:lang w:val="en-US" w:eastAsia="en-GB"/>
        </w:rPr>
      </w:pPr>
      <w:r>
        <w:rPr>
          <w:lang w:val="en-US"/>
        </w:rPr>
        <w:br w:type="page"/>
      </w:r>
    </w:p>
    <w:p w14:paraId="0ABFCEAF" w14:textId="46553DFB" w:rsidR="00092304" w:rsidRPr="00FB4EFA" w:rsidRDefault="00092304" w:rsidP="00545033">
      <w:pPr>
        <w:pStyle w:val="Heading2"/>
        <w:suppressAutoHyphens/>
        <w:spacing w:line="259" w:lineRule="auto"/>
        <w:rPr>
          <w:color w:val="auto"/>
          <w:lang w:val="en-US"/>
        </w:rPr>
      </w:pPr>
      <w:r w:rsidRPr="00FB4EFA">
        <w:rPr>
          <w:color w:val="auto"/>
          <w:lang w:val="en-US"/>
        </w:rPr>
        <w:lastRenderedPageBreak/>
        <w:t>Abbreviations</w:t>
      </w:r>
    </w:p>
    <w:p w14:paraId="7B68B556" w14:textId="77777777" w:rsidR="00092304" w:rsidRPr="00FB4EFA" w:rsidRDefault="00092304" w:rsidP="00402EF4">
      <w:pPr>
        <w:rPr>
          <w:rFonts w:cs="Charis SIL"/>
          <w:smallCaps/>
          <w:szCs w:val="24"/>
          <w:lang w:val="en-US"/>
        </w:rPr>
        <w:sectPr w:rsidR="00092304" w:rsidRPr="00FB4EFA">
          <w:headerReference w:type="even" r:id="rId428"/>
          <w:headerReference w:type="default" r:id="rId429"/>
          <w:headerReference w:type="first" r:id="rId430"/>
          <w:footnotePr>
            <w:numRestart w:val="eachSect"/>
          </w:footnotePr>
          <w:pgSz w:w="9180" w:h="13302"/>
          <w:pgMar w:top="779" w:right="1133" w:bottom="1132" w:left="1133" w:header="744" w:footer="720" w:gutter="0"/>
          <w:cols w:space="720"/>
          <w:titlePg/>
        </w:sectPr>
      </w:pPr>
    </w:p>
    <w:p w14:paraId="7B01930F"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acc</w:t>
      </w:r>
      <w:r w:rsidRPr="00FB4EFA">
        <w:rPr>
          <w:rFonts w:cs="Charis SIL"/>
          <w:szCs w:val="24"/>
          <w:lang w:val="en-US"/>
        </w:rPr>
        <w:tab/>
        <w:t>accusative</w:t>
      </w:r>
    </w:p>
    <w:p w14:paraId="0673992B"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adj</w:t>
      </w:r>
      <w:r w:rsidRPr="00FB4EFA">
        <w:rPr>
          <w:rFonts w:cs="Charis SIL"/>
          <w:szCs w:val="24"/>
          <w:lang w:val="en-US"/>
        </w:rPr>
        <w:tab/>
        <w:t>adjectivizer</w:t>
      </w:r>
    </w:p>
    <w:p w14:paraId="1BC7BDB2"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all</w:t>
      </w:r>
      <w:r w:rsidRPr="00FB4EFA">
        <w:rPr>
          <w:rFonts w:cs="Charis SIL"/>
          <w:szCs w:val="24"/>
          <w:lang w:val="en-US"/>
        </w:rPr>
        <w:tab/>
        <w:t>allative</w:t>
      </w:r>
    </w:p>
    <w:p w14:paraId="58C51C8C"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cng</w:t>
      </w:r>
      <w:r w:rsidRPr="00FB4EFA">
        <w:rPr>
          <w:rFonts w:cs="Charis SIL"/>
          <w:szCs w:val="24"/>
          <w:lang w:val="en-US"/>
        </w:rPr>
        <w:tab/>
        <w:t>connegative</w:t>
      </w:r>
    </w:p>
    <w:p w14:paraId="1CE4FA42"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co</w:t>
      </w:r>
      <w:r w:rsidRPr="00FB4EFA">
        <w:rPr>
          <w:rFonts w:cs="Charis SIL"/>
          <w:szCs w:val="24"/>
          <w:lang w:val="en-US"/>
        </w:rPr>
        <w:tab/>
        <w:t>coaffix</w:t>
      </w:r>
    </w:p>
    <w:p w14:paraId="17616FD3"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drv</w:t>
      </w:r>
      <w:r w:rsidRPr="00FB4EFA">
        <w:rPr>
          <w:rFonts w:cs="Charis SIL"/>
          <w:szCs w:val="24"/>
          <w:lang w:val="en-US"/>
        </w:rPr>
        <w:tab/>
        <w:t>derivation suffix</w:t>
      </w:r>
    </w:p>
    <w:p w14:paraId="100BADD3" w14:textId="77777777" w:rsidR="00092304" w:rsidRPr="00FB4EFA" w:rsidRDefault="00092304" w:rsidP="00F606CE">
      <w:pPr>
        <w:spacing w:line="240" w:lineRule="auto"/>
        <w:rPr>
          <w:rFonts w:cs="Charis SIL"/>
          <w:szCs w:val="24"/>
          <w:lang w:val="en-US"/>
        </w:rPr>
      </w:pPr>
      <w:r w:rsidRPr="00FB4EFA">
        <w:rPr>
          <w:rFonts w:cs="Charis SIL"/>
          <w:szCs w:val="24"/>
          <w:lang w:val="en-US"/>
        </w:rPr>
        <w:t>flkd</w:t>
      </w:r>
      <w:r w:rsidRPr="00FB4EFA">
        <w:rPr>
          <w:rFonts w:cs="Charis SIL"/>
          <w:szCs w:val="24"/>
          <w:lang w:val="en-US"/>
        </w:rPr>
        <w:tab/>
        <w:t xml:space="preserve">folklore genre </w:t>
      </w:r>
      <w:r w:rsidRPr="00FB4EFA">
        <w:rPr>
          <w:rFonts w:cs="Cambria"/>
          <w:szCs w:val="24"/>
          <w:lang w:val="en-US"/>
        </w:rPr>
        <w:t>ď</w:t>
      </w:r>
      <w:r w:rsidRPr="00FB4EFA">
        <w:rPr>
          <w:rFonts w:cs="Charis SIL"/>
          <w:szCs w:val="24"/>
          <w:lang w:val="en-US"/>
        </w:rPr>
        <w:t>urimy</w:t>
      </w:r>
    </w:p>
    <w:p w14:paraId="2B1825A9" w14:textId="77777777" w:rsidR="00092304" w:rsidRPr="00FB4EFA" w:rsidRDefault="00092304" w:rsidP="00F606CE">
      <w:pPr>
        <w:spacing w:line="240" w:lineRule="auto"/>
        <w:rPr>
          <w:rFonts w:cs="Charis SIL"/>
          <w:szCs w:val="24"/>
          <w:lang w:val="en-US"/>
        </w:rPr>
      </w:pPr>
      <w:r w:rsidRPr="00FB4EFA">
        <w:rPr>
          <w:rFonts w:cs="Charis SIL"/>
          <w:szCs w:val="24"/>
          <w:lang w:val="en-US"/>
        </w:rPr>
        <w:t>flks</w:t>
      </w:r>
      <w:r w:rsidRPr="00FB4EFA">
        <w:rPr>
          <w:rFonts w:cs="Charis SIL"/>
          <w:szCs w:val="24"/>
          <w:lang w:val="en-US"/>
        </w:rPr>
        <w:tab/>
        <w:t xml:space="preserve">folklore genre </w:t>
      </w:r>
      <w:r w:rsidRPr="00FB4EFA">
        <w:rPr>
          <w:rFonts w:cs="Cambria"/>
          <w:szCs w:val="24"/>
          <w:lang w:val="en-US"/>
        </w:rPr>
        <w:t>ś</w:t>
      </w:r>
      <w:r w:rsidRPr="00FB4EFA">
        <w:rPr>
          <w:rFonts w:cs="Charis SIL"/>
          <w:szCs w:val="24"/>
          <w:lang w:val="en-US"/>
        </w:rPr>
        <w:t>iteby</w:t>
      </w:r>
    </w:p>
    <w:p w14:paraId="58698C1A"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gen</w:t>
      </w:r>
      <w:r w:rsidRPr="00FB4EFA">
        <w:rPr>
          <w:rFonts w:cs="Charis SIL"/>
          <w:szCs w:val="24"/>
          <w:lang w:val="en-US"/>
        </w:rPr>
        <w:tab/>
        <w:t>genitive</w:t>
      </w:r>
    </w:p>
    <w:p w14:paraId="643094C4"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iter</w:t>
      </w:r>
      <w:r w:rsidRPr="00FB4EFA">
        <w:rPr>
          <w:rFonts w:cs="Charis SIL"/>
          <w:szCs w:val="24"/>
          <w:lang w:val="en-US"/>
        </w:rPr>
        <w:tab/>
        <w:t>iterative</w:t>
      </w:r>
    </w:p>
    <w:p w14:paraId="36C7FC72"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lat</w:t>
      </w:r>
      <w:r w:rsidRPr="00FB4EFA">
        <w:rPr>
          <w:rFonts w:cs="Charis SIL"/>
          <w:szCs w:val="24"/>
          <w:lang w:val="en-US"/>
        </w:rPr>
        <w:tab/>
        <w:t>lative</w:t>
      </w:r>
    </w:p>
    <w:p w14:paraId="312C61B4"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loc</w:t>
      </w:r>
      <w:r w:rsidRPr="00FB4EFA">
        <w:rPr>
          <w:rFonts w:cs="Charis SIL"/>
          <w:szCs w:val="24"/>
          <w:lang w:val="en-US"/>
        </w:rPr>
        <w:tab/>
        <w:t>locative</w:t>
      </w:r>
    </w:p>
    <w:p w14:paraId="0EAD0A63"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neg</w:t>
      </w:r>
      <w:r w:rsidRPr="00FB4EFA">
        <w:rPr>
          <w:rFonts w:cs="Charis SIL"/>
          <w:szCs w:val="24"/>
          <w:lang w:val="en-US"/>
        </w:rPr>
        <w:tab/>
        <w:t>negative auxiliary</w:t>
      </w:r>
    </w:p>
    <w:p w14:paraId="1F744332" w14:textId="3FEFC329" w:rsidR="00092304" w:rsidRPr="00FB4EFA" w:rsidRDefault="00092304" w:rsidP="00F606CE">
      <w:pPr>
        <w:spacing w:line="240" w:lineRule="auto"/>
        <w:rPr>
          <w:rFonts w:cs="Charis SIL"/>
          <w:szCs w:val="24"/>
          <w:lang w:val="en-US"/>
        </w:rPr>
      </w:pPr>
      <w:r w:rsidRPr="00FB4EFA">
        <w:rPr>
          <w:rFonts w:cs="Charis SIL"/>
          <w:smallCaps/>
          <w:szCs w:val="24"/>
          <w:lang w:val="en-US"/>
        </w:rPr>
        <w:t>poss</w:t>
      </w:r>
      <w:r w:rsidRPr="00FB4EFA">
        <w:rPr>
          <w:rFonts w:cs="Charis SIL"/>
          <w:szCs w:val="24"/>
          <w:lang w:val="en-US"/>
        </w:rPr>
        <w:tab/>
        <w:t>possessive</w:t>
      </w:r>
    </w:p>
    <w:p w14:paraId="4A4296BA"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prol</w:t>
      </w:r>
      <w:r w:rsidRPr="00FB4EFA">
        <w:rPr>
          <w:rFonts w:cs="Charis SIL"/>
          <w:szCs w:val="24"/>
          <w:lang w:val="en-US"/>
        </w:rPr>
        <w:tab/>
        <w:t>prolative</w:t>
      </w:r>
    </w:p>
    <w:p w14:paraId="779D34EF"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rfl</w:t>
      </w:r>
      <w:r w:rsidRPr="00FB4EFA">
        <w:rPr>
          <w:rFonts w:cs="Charis SIL"/>
          <w:szCs w:val="24"/>
          <w:lang w:val="en-US"/>
        </w:rPr>
        <w:tab/>
        <w:t>reflexive</w:t>
      </w:r>
    </w:p>
    <w:p w14:paraId="6504AD15" w14:textId="77777777" w:rsidR="00092304" w:rsidRPr="00FB4EFA" w:rsidRDefault="00092304" w:rsidP="00F606CE">
      <w:pPr>
        <w:spacing w:line="240" w:lineRule="auto"/>
        <w:rPr>
          <w:rFonts w:cs="Charis SIL"/>
          <w:szCs w:val="24"/>
          <w:lang w:val="en-US"/>
        </w:rPr>
      </w:pPr>
      <w:r w:rsidRPr="00FB4EFA">
        <w:rPr>
          <w:rFonts w:cs="Charis SIL"/>
          <w:smallCaps/>
          <w:szCs w:val="24"/>
          <w:lang w:val="en-US"/>
        </w:rPr>
        <w:t>sg</w:t>
      </w:r>
      <w:r w:rsidRPr="00FB4EFA">
        <w:rPr>
          <w:rFonts w:cs="Charis SIL"/>
          <w:szCs w:val="24"/>
          <w:lang w:val="en-US"/>
        </w:rPr>
        <w:tab/>
        <w:t>singular</w:t>
      </w:r>
    </w:p>
    <w:p w14:paraId="7F70ECFF" w14:textId="77777777" w:rsidR="00092304" w:rsidRPr="00FB4EFA" w:rsidRDefault="00092304" w:rsidP="00402EF4">
      <w:pPr>
        <w:rPr>
          <w:rFonts w:cs="Charis SIL"/>
          <w:szCs w:val="24"/>
          <w:lang w:val="en-US"/>
        </w:rPr>
        <w:sectPr w:rsidR="00092304" w:rsidRPr="00FB4EFA" w:rsidSect="00C339F1">
          <w:footnotePr>
            <w:numRestart w:val="eachSect"/>
          </w:footnotePr>
          <w:type w:val="continuous"/>
          <w:pgSz w:w="9180" w:h="13302"/>
          <w:pgMar w:top="779" w:right="1133" w:bottom="1132" w:left="1133" w:header="744" w:footer="720" w:gutter="0"/>
          <w:cols w:num="2" w:space="720"/>
          <w:titlePg/>
        </w:sectPr>
      </w:pPr>
    </w:p>
    <w:p w14:paraId="2A40E1D5" w14:textId="77777777" w:rsidR="00092304" w:rsidRPr="00FB4EFA" w:rsidRDefault="00092304" w:rsidP="00545033">
      <w:pPr>
        <w:pStyle w:val="Heading2"/>
        <w:suppressAutoHyphens/>
        <w:spacing w:line="259" w:lineRule="auto"/>
        <w:rPr>
          <w:color w:val="auto"/>
          <w:lang w:val="en-US"/>
        </w:rPr>
      </w:pPr>
      <w:r w:rsidRPr="00FB4EFA">
        <w:rPr>
          <w:color w:val="auto"/>
          <w:lang w:val="en-US"/>
        </w:rPr>
        <w:t>Literature</w:t>
      </w:r>
    </w:p>
    <w:p w14:paraId="16247123"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Aron, Natalja &amp; Aleksandre Momde. 1992. </w:t>
      </w:r>
      <w:r w:rsidRPr="00FB4EFA">
        <w:rPr>
          <w:rFonts w:cs="Charis SIL"/>
          <w:i/>
          <w:lang w:val="en-US"/>
        </w:rPr>
        <w:t>Язык нганасан</w:t>
      </w:r>
      <w:r w:rsidRPr="00FB4EFA">
        <w:rPr>
          <w:rFonts w:cs="Charis SIL"/>
          <w:lang w:val="en-US"/>
        </w:rPr>
        <w:t>. [Nganasan language.] Norilsk: Uchebnoe izdanie.</w:t>
      </w:r>
    </w:p>
    <w:p w14:paraId="0F150D81" w14:textId="7B8DB635"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Bailey, Regina. 2020. </w:t>
      </w:r>
      <w:r w:rsidRPr="00FB4EFA">
        <w:rPr>
          <w:rFonts w:cs="Charis SIL"/>
          <w:i/>
          <w:lang w:val="en-US"/>
        </w:rPr>
        <w:t>Anatomical Directional Terms and Body Planes</w:t>
      </w:r>
      <w:r w:rsidRPr="00FB4EFA">
        <w:rPr>
          <w:rFonts w:cs="Charis SIL"/>
          <w:lang w:val="en-US"/>
        </w:rPr>
        <w:t xml:space="preserve">. ThoughtCo, Aug. 28, 2020, </w:t>
      </w:r>
      <w:hyperlink r:id="rId431" w:history="1">
        <w:r w:rsidR="00FE638A" w:rsidRPr="00FB4EFA">
          <w:rPr>
            <w:rStyle w:val="Hyperlink"/>
            <w:rFonts w:cs="Charis SIL"/>
            <w:color w:val="auto"/>
            <w:lang w:val="en-US"/>
          </w:rPr>
          <w:t>www.thoughtco.com/anatomical-directional-terms-and-body-planes-373204</w:t>
        </w:r>
      </w:hyperlink>
      <w:r w:rsidR="00FE638A" w:rsidRPr="00FB4EFA">
        <w:rPr>
          <w:rFonts w:cs="Charis SIL"/>
          <w:lang w:val="en-US"/>
        </w:rPr>
        <w:t>.</w:t>
      </w:r>
    </w:p>
    <w:p w14:paraId="35B3D3C6"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Brenzinger, Matthias &amp; Iwona Kraska-Szlenk (eds.). 2014. </w:t>
      </w:r>
      <w:r w:rsidRPr="00FB4EFA">
        <w:rPr>
          <w:rFonts w:cs="Charis SIL"/>
          <w:i/>
          <w:iCs/>
          <w:lang w:val="en-US"/>
        </w:rPr>
        <w:t>The Body in Language: Comparative Studies of Linguistic Embodiment</w:t>
      </w:r>
      <w:r w:rsidRPr="00FB4EFA">
        <w:rPr>
          <w:rFonts w:cs="Charis SIL"/>
          <w:lang w:val="en-US"/>
        </w:rPr>
        <w:t>. Leiden: Brill.</w:t>
      </w:r>
    </w:p>
    <w:p w14:paraId="4ED01876" w14:textId="78419756" w:rsidR="00092304" w:rsidRPr="00FB4EFA" w:rsidRDefault="00092304" w:rsidP="007032B8">
      <w:pPr>
        <w:suppressAutoHyphens/>
        <w:spacing w:line="240" w:lineRule="auto"/>
        <w:ind w:left="426" w:hanging="426"/>
        <w:rPr>
          <w:rFonts w:cs="Charis SIL"/>
          <w:lang w:val="en-US"/>
        </w:rPr>
      </w:pPr>
      <w:r w:rsidRPr="00FB4EFA">
        <w:rPr>
          <w:rFonts w:cs="Charis SIL"/>
          <w:lang w:val="en-US"/>
        </w:rPr>
        <w:t>Brykina, Maria, Valentin Gusev, Sándor Szeverényi &amp; Beáta Wagner-Nagy. 2018</w:t>
      </w:r>
      <w:r w:rsidR="00E162E1" w:rsidRPr="00FB4EFA">
        <w:rPr>
          <w:rFonts w:cs="Charis SIL"/>
          <w:lang w:val="en-US"/>
        </w:rPr>
        <w:t>.</w:t>
      </w:r>
      <w:r w:rsidRPr="00FB4EFA">
        <w:rPr>
          <w:rFonts w:cs="Charis SIL"/>
          <w:lang w:val="en-US"/>
        </w:rPr>
        <w:t xml:space="preserve"> </w:t>
      </w:r>
      <w:r w:rsidRPr="00FB4EFA">
        <w:rPr>
          <w:rFonts w:cs="Charis SIL"/>
          <w:i/>
          <w:lang w:val="en-US"/>
        </w:rPr>
        <w:t>Nganasan Spoken Language Corpus</w:t>
      </w:r>
      <w:r w:rsidRPr="00FB4EFA">
        <w:rPr>
          <w:rFonts w:cs="Charis SIL"/>
          <w:lang w:val="en-US"/>
        </w:rPr>
        <w:t xml:space="preserve"> (NSLC). Archived in Hamburger Zentrum für Sprachkorpora. Version 0.2. Publication date 2018-06-12. </w:t>
      </w:r>
      <w:hyperlink r:id="rId432" w:history="1">
        <w:r w:rsidRPr="00FB4EFA">
          <w:rPr>
            <w:rFonts w:cs="Charis SIL"/>
            <w:u w:val="single"/>
            <w:lang w:val="en-US"/>
          </w:rPr>
          <w:t>hdl.handle.net/11022/0000-0007-C6F2-8</w:t>
        </w:r>
      </w:hyperlink>
      <w:r w:rsidRPr="00FB4EFA">
        <w:rPr>
          <w:rFonts w:cs="Charis SIL"/>
          <w:lang w:val="en-US"/>
        </w:rPr>
        <w:t>.</w:t>
      </w:r>
    </w:p>
    <w:p w14:paraId="2047564A"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Evans, Vyvyan. 2019. </w:t>
      </w:r>
      <w:r w:rsidRPr="00FB4EFA">
        <w:rPr>
          <w:rFonts w:cs="Charis SIL"/>
          <w:i/>
          <w:lang w:val="en-US"/>
        </w:rPr>
        <w:t>Cognitive Linguistics: A complete guide</w:t>
      </w:r>
      <w:r w:rsidRPr="00FB4EFA">
        <w:rPr>
          <w:rFonts w:cs="Charis SIL"/>
          <w:lang w:val="en-US"/>
        </w:rPr>
        <w:t>. Edinburgh: Edinburgh University Press.</w:t>
      </w:r>
    </w:p>
    <w:p w14:paraId="6BC60C2D" w14:textId="77777777" w:rsidR="00092304" w:rsidRPr="00FB4EFA" w:rsidRDefault="00092304" w:rsidP="007032B8">
      <w:pPr>
        <w:suppressAutoHyphens/>
        <w:spacing w:line="240" w:lineRule="auto"/>
        <w:ind w:left="426" w:hanging="426"/>
        <w:rPr>
          <w:rFonts w:cs="Charis SIL"/>
          <w:lang w:val="de-DE"/>
        </w:rPr>
      </w:pPr>
      <w:r w:rsidRPr="00FB4EFA">
        <w:rPr>
          <w:rFonts w:cs="Charis SIL"/>
          <w:lang w:val="en-US"/>
        </w:rPr>
        <w:t xml:space="preserve">Golovnev, A.V., D.A. Kunakov &amp; E.V. Perevalova. 2018. </w:t>
      </w:r>
      <w:r w:rsidRPr="00FB4EFA">
        <w:rPr>
          <w:rFonts w:cs="Charis SIL"/>
          <w:i/>
          <w:lang w:val="en-US"/>
        </w:rPr>
        <w:t>Арктика: атлас кочевых технологий</w:t>
      </w:r>
      <w:r w:rsidRPr="00FB4EFA">
        <w:rPr>
          <w:rFonts w:cs="Charis SIL"/>
          <w:lang w:val="en-US"/>
        </w:rPr>
        <w:t xml:space="preserve">. [The Arctic: atlas of nomadic technologies.] </w:t>
      </w:r>
      <w:r w:rsidRPr="00FB4EFA">
        <w:rPr>
          <w:rFonts w:cs="Charis SIL"/>
          <w:lang w:val="de-DE"/>
        </w:rPr>
        <w:t>St. Petersburg: MAE, RAN.</w:t>
      </w:r>
    </w:p>
    <w:p w14:paraId="27CE1C80" w14:textId="1D01B60E" w:rsidR="00092304" w:rsidRPr="00FB4EFA" w:rsidRDefault="00092304" w:rsidP="007032B8">
      <w:pPr>
        <w:suppressAutoHyphens/>
        <w:spacing w:line="240" w:lineRule="auto"/>
        <w:ind w:left="426" w:hanging="426"/>
        <w:rPr>
          <w:rFonts w:cs="Charis SIL"/>
          <w:lang w:val="en-US"/>
        </w:rPr>
      </w:pPr>
      <w:r w:rsidRPr="00FB4EFA">
        <w:rPr>
          <w:rFonts w:cs="Charis SIL"/>
          <w:lang w:val="de-DE"/>
        </w:rPr>
        <w:t xml:space="preserve">Hajdú, Péter. 1951. Die Benennungen der Begriffe recht- und link-, als Ausdruck der Beziehung zwischen Sprache und Denken. </w:t>
      </w:r>
      <w:r w:rsidRPr="00FB4EFA">
        <w:rPr>
          <w:rFonts w:cs="Charis SIL"/>
          <w:i/>
          <w:lang w:val="en-US"/>
        </w:rPr>
        <w:t>Acta Linguistica Academiae Scientiarum Hungaricae</w:t>
      </w:r>
      <w:r w:rsidRPr="00FB4EFA">
        <w:rPr>
          <w:rFonts w:cs="Charis SIL"/>
          <w:lang w:val="en-US"/>
        </w:rPr>
        <w:t xml:space="preserve"> 1</w:t>
      </w:r>
      <w:r w:rsidR="00C3771F" w:rsidRPr="00FB4EFA">
        <w:rPr>
          <w:rFonts w:cs="Charis SIL"/>
          <w:lang w:val="en-US"/>
        </w:rPr>
        <w:t xml:space="preserve"> (</w:t>
      </w:r>
      <w:r w:rsidRPr="00FB4EFA">
        <w:rPr>
          <w:rFonts w:cs="Charis SIL"/>
          <w:lang w:val="en-US"/>
        </w:rPr>
        <w:t>1</w:t>
      </w:r>
      <w:r w:rsidR="00C3771F" w:rsidRPr="00FB4EFA">
        <w:rPr>
          <w:rFonts w:cs="Charis SIL"/>
          <w:lang w:val="en-US"/>
        </w:rPr>
        <w:t>)</w:t>
      </w:r>
      <w:r w:rsidRPr="00FB4EFA">
        <w:rPr>
          <w:rFonts w:cs="Charis SIL"/>
          <w:lang w:val="en-US"/>
        </w:rPr>
        <w:t>. 171–210.</w:t>
      </w:r>
    </w:p>
    <w:p w14:paraId="2928219C"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Heine, Bernd. 1997. </w:t>
      </w:r>
      <w:r w:rsidRPr="00FB4EFA">
        <w:rPr>
          <w:rFonts w:cs="Charis SIL"/>
          <w:i/>
          <w:lang w:val="en-US"/>
        </w:rPr>
        <w:t>Cognitive Foundations of Grammar</w:t>
      </w:r>
      <w:r w:rsidRPr="00FB4EFA">
        <w:rPr>
          <w:rFonts w:cs="Charis SIL"/>
          <w:lang w:val="en-US"/>
        </w:rPr>
        <w:t>. New York / Oxford: Oxford University Press.</w:t>
      </w:r>
    </w:p>
    <w:p w14:paraId="039E1F9D" w14:textId="39D08734"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Heine, Bernd. 2014. The body in language: Observations from grammaticalization. In </w:t>
      </w:r>
      <w:r w:rsidR="00BC5B64" w:rsidRPr="00FB4EFA">
        <w:rPr>
          <w:rFonts w:cs="Charis SIL"/>
          <w:lang w:val="en-US"/>
        </w:rPr>
        <w:t xml:space="preserve">Matthias </w:t>
      </w:r>
      <w:r w:rsidRPr="00FB4EFA">
        <w:rPr>
          <w:rFonts w:cs="Charis SIL"/>
          <w:lang w:val="en-US"/>
        </w:rPr>
        <w:t xml:space="preserve">Brenzinger &amp; Iwona Kraska-Szlenk (eds.), </w:t>
      </w:r>
      <w:r w:rsidRPr="00FB4EFA">
        <w:rPr>
          <w:rFonts w:cs="Charis SIL"/>
          <w:i/>
          <w:iCs/>
          <w:lang w:val="en-US"/>
        </w:rPr>
        <w:t>The Body in Language: Comparative Studies of Linguistic Embodiment</w:t>
      </w:r>
      <w:r w:rsidRPr="00FB4EFA">
        <w:rPr>
          <w:rFonts w:cs="Charis SIL"/>
          <w:lang w:val="en-US"/>
        </w:rPr>
        <w:t>, 13–32. Leiden: Brill.</w:t>
      </w:r>
    </w:p>
    <w:p w14:paraId="642F7784" w14:textId="20C651C1" w:rsidR="00092304" w:rsidRPr="00FB4EFA" w:rsidRDefault="00092304" w:rsidP="007032B8">
      <w:pPr>
        <w:suppressAutoHyphens/>
        <w:spacing w:line="240" w:lineRule="auto"/>
        <w:ind w:left="426" w:hanging="426"/>
        <w:rPr>
          <w:rFonts w:cs="Charis SIL"/>
          <w:lang w:val="en-US"/>
        </w:rPr>
      </w:pPr>
      <w:r w:rsidRPr="00FB4EFA">
        <w:rPr>
          <w:rFonts w:cs="Charis SIL"/>
          <w:lang w:val="en-US"/>
        </w:rPr>
        <w:lastRenderedPageBreak/>
        <w:t>Heine, Bernd &amp; Tania Kuteva (eds.). 2002</w:t>
      </w:r>
      <w:r w:rsidR="00E162E1" w:rsidRPr="00FB4EFA">
        <w:rPr>
          <w:rFonts w:cs="Charis SIL"/>
          <w:lang w:val="en-US"/>
        </w:rPr>
        <w:t>.</w:t>
      </w:r>
      <w:r w:rsidRPr="00FB4EFA">
        <w:rPr>
          <w:rFonts w:cs="Charis SIL"/>
          <w:lang w:val="en-US"/>
        </w:rPr>
        <w:t xml:space="preserve"> World lexicon of grammaticalization. Cambridge: Cambridge University Press.</w:t>
      </w:r>
    </w:p>
    <w:p w14:paraId="0C08E69C"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Hilpert, Martin. 2007. Chained metonymies in lexicon and grammar: A cross-linguistic perspective on body-part terms. In Günter Radden, Klaus-Michael Köpcke, Thomas Berg &amp; Peter Siemund (eds.), </w:t>
      </w:r>
      <w:r w:rsidRPr="00FB4EFA">
        <w:rPr>
          <w:rFonts w:cs="Charis SIL"/>
          <w:i/>
          <w:lang w:val="en-US"/>
        </w:rPr>
        <w:t>Aspects of Meaning Construction</w:t>
      </w:r>
      <w:r w:rsidRPr="00FB4EFA">
        <w:rPr>
          <w:rFonts w:cs="Charis SIL"/>
          <w:lang w:val="en-US"/>
        </w:rPr>
        <w:t>, 77–98. Amsterdam: John Benjamins.</w:t>
      </w:r>
    </w:p>
    <w:p w14:paraId="4C83B87A" w14:textId="77777777" w:rsidR="00092304" w:rsidRPr="00FB4EFA" w:rsidRDefault="00092304" w:rsidP="007032B8">
      <w:pPr>
        <w:suppressAutoHyphens/>
        <w:spacing w:line="240" w:lineRule="auto"/>
        <w:ind w:left="425" w:hanging="425"/>
        <w:rPr>
          <w:rFonts w:cs="Charis SIL"/>
          <w:lang w:val="en-US"/>
        </w:rPr>
      </w:pPr>
      <w:r w:rsidRPr="00FB4EFA">
        <w:rPr>
          <w:rFonts w:cs="Charis SIL"/>
          <w:lang w:val="en-US"/>
        </w:rPr>
        <w:t xml:space="preserve">Kosterkina, Nadezhda, Aleksandr Momde &amp; Tatjana Zhdanova. 2001. </w:t>
      </w:r>
      <w:r w:rsidRPr="00FB4EFA">
        <w:rPr>
          <w:rFonts w:cs="Charis SIL"/>
          <w:i/>
          <w:lang w:val="en-US"/>
        </w:rPr>
        <w:t>Словарь нганасанско-русский и русско-нганасанский</w:t>
      </w:r>
      <w:r w:rsidRPr="00FB4EFA">
        <w:rPr>
          <w:rFonts w:cs="Charis SIL"/>
          <w:lang w:val="en-US"/>
        </w:rPr>
        <w:t>. [Nganasan-Russian and Russian-Nganasan Dictionary.] Sankt-Petersburg: Prosveshchenie.</w:t>
      </w:r>
    </w:p>
    <w:p w14:paraId="7448F6EF" w14:textId="4999EAF6" w:rsidR="00092304" w:rsidRPr="00FB4EFA" w:rsidRDefault="00000000" w:rsidP="007032B8">
      <w:pPr>
        <w:suppressAutoHyphens/>
        <w:spacing w:line="240" w:lineRule="auto"/>
        <w:ind w:left="426" w:hanging="426"/>
        <w:rPr>
          <w:rFonts w:cs="Charis SIL"/>
          <w:lang w:val="en-US"/>
        </w:rPr>
      </w:pPr>
      <w:hyperlink r:id="rId433" w:history="1">
        <w:r w:rsidR="00092304" w:rsidRPr="00FB4EFA">
          <w:rPr>
            <w:rFonts w:cs="Charis SIL"/>
            <w:lang w:val="en-US"/>
          </w:rPr>
          <w:t>Kraska-Szlenk</w:t>
        </w:r>
      </w:hyperlink>
      <w:r w:rsidR="00092304" w:rsidRPr="00FB4EFA">
        <w:rPr>
          <w:rFonts w:cs="Charis SIL"/>
          <w:lang w:val="en-US"/>
        </w:rPr>
        <w:t>, Iwona (ed.). 2019</w:t>
      </w:r>
      <w:r w:rsidR="00E162E1" w:rsidRPr="00FB4EFA">
        <w:rPr>
          <w:rFonts w:cs="Charis SIL"/>
          <w:lang w:val="en-US"/>
        </w:rPr>
        <w:t>.</w:t>
      </w:r>
      <w:r w:rsidR="00092304" w:rsidRPr="00FB4EFA">
        <w:rPr>
          <w:rFonts w:cs="Charis SIL"/>
          <w:lang w:val="en-US"/>
        </w:rPr>
        <w:t xml:space="preserve"> </w:t>
      </w:r>
      <w:r w:rsidR="00092304" w:rsidRPr="00FB4EFA">
        <w:rPr>
          <w:rFonts w:cs="Charis SIL"/>
          <w:i/>
          <w:lang w:val="en-US"/>
        </w:rPr>
        <w:t>Embodiment in Cross-Linguistic Studies: The ‘Head’</w:t>
      </w:r>
      <w:r w:rsidR="00092304" w:rsidRPr="00FB4EFA">
        <w:rPr>
          <w:rFonts w:cs="Charis SIL"/>
          <w:lang w:val="en-US"/>
        </w:rPr>
        <w:t>. Leiden / Boston: Brill.</w:t>
      </w:r>
    </w:p>
    <w:p w14:paraId="2E362E21"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Lakoff, George &amp; Mark Johnson. 1980. </w:t>
      </w:r>
      <w:r w:rsidRPr="00FB4EFA">
        <w:rPr>
          <w:rFonts w:cs="Charis SIL"/>
          <w:i/>
          <w:lang w:val="en-US"/>
        </w:rPr>
        <w:t>Metaphors we live by</w:t>
      </w:r>
      <w:r w:rsidRPr="00FB4EFA">
        <w:rPr>
          <w:rFonts w:cs="Charis SIL"/>
          <w:lang w:val="en-US"/>
        </w:rPr>
        <w:t>. Chicago / London: University of Chicago Press.</w:t>
      </w:r>
    </w:p>
    <w:p w14:paraId="6F9472D7"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Langacker, Ronald W. 2000. </w:t>
      </w:r>
      <w:r w:rsidRPr="00FB4EFA">
        <w:rPr>
          <w:rFonts w:cs="Charis SIL"/>
          <w:i/>
          <w:lang w:val="en-US"/>
        </w:rPr>
        <w:t>Grammar and conceptualization</w:t>
      </w:r>
      <w:r w:rsidRPr="00FB4EFA">
        <w:rPr>
          <w:rFonts w:cs="Charis SIL"/>
          <w:lang w:val="en-US"/>
        </w:rPr>
        <w:t>. Berlin / New York: Mouton de Gruyter.</w:t>
      </w:r>
    </w:p>
    <w:p w14:paraId="2D068D8E"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Levinson, Stephen. 2003. </w:t>
      </w:r>
      <w:r w:rsidRPr="00FB4EFA">
        <w:rPr>
          <w:rFonts w:cs="Charis SIL"/>
          <w:i/>
          <w:lang w:val="en-US"/>
        </w:rPr>
        <w:t>Space in language and cognition: explorations in cognitive diversity</w:t>
      </w:r>
      <w:r w:rsidRPr="00FB4EFA">
        <w:rPr>
          <w:rFonts w:cs="Charis SIL"/>
          <w:lang w:val="en-US"/>
        </w:rPr>
        <w:t>. Cambridge: Cambridge University Press.</w:t>
      </w:r>
    </w:p>
    <w:p w14:paraId="6F714657"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Levinson, Stephen &amp; David P. Wilkins (eds.). 2006. </w:t>
      </w:r>
      <w:r w:rsidRPr="00FB4EFA">
        <w:rPr>
          <w:rFonts w:cs="Charis SIL"/>
          <w:i/>
          <w:lang w:val="en-US"/>
        </w:rPr>
        <w:t xml:space="preserve">Grammars of Space. Explorations in Cognitive Diversity. </w:t>
      </w:r>
      <w:r w:rsidRPr="00FB4EFA">
        <w:rPr>
          <w:rFonts w:cs="Charis SIL"/>
          <w:lang w:val="en-US"/>
        </w:rPr>
        <w:t>Cambridge: Cambridge University Press.</w:t>
      </w:r>
    </w:p>
    <w:p w14:paraId="67A47BED" w14:textId="6F3F9908"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Lewandowska-Tomaszczyk, Barbara. 2020. Polysemic chains, body parts and embodiment. In Iwona Kraska-Szlenk (ed.), </w:t>
      </w:r>
      <w:r w:rsidRPr="00FB4EFA">
        <w:rPr>
          <w:rFonts w:cs="Charis SIL"/>
          <w:i/>
          <w:lang w:val="en-US"/>
        </w:rPr>
        <w:t>Body Part Terms in Conceptualization and Language Usage</w:t>
      </w:r>
      <w:r w:rsidRPr="00FB4EFA">
        <w:rPr>
          <w:rFonts w:cs="Charis SIL"/>
          <w:lang w:val="en-US"/>
        </w:rPr>
        <w:t>, 31–52. Amsterdam: John Benjamins.</w:t>
      </w:r>
    </w:p>
    <w:p w14:paraId="2C332AE9" w14:textId="3D6B65E1" w:rsidR="00092304" w:rsidRPr="00FB4EFA" w:rsidRDefault="00DA117E" w:rsidP="007032B8">
      <w:pPr>
        <w:suppressAutoHyphens/>
        <w:spacing w:line="240" w:lineRule="auto"/>
        <w:ind w:left="426" w:hanging="426"/>
        <w:rPr>
          <w:rFonts w:cs="Charis SIL"/>
          <w:lang w:val="en-US"/>
        </w:rPr>
      </w:pPr>
      <w:r w:rsidRPr="00FB4EFA">
        <w:rPr>
          <w:rFonts w:cs="Charis SIL"/>
          <w:lang w:val="en-US"/>
        </w:rPr>
        <w:t xml:space="preserve">Van </w:t>
      </w:r>
      <w:r w:rsidR="00092304" w:rsidRPr="00FB4EFA">
        <w:rPr>
          <w:rFonts w:cs="Charis SIL"/>
          <w:lang w:val="en-US"/>
        </w:rPr>
        <w:t xml:space="preserve">Pareren, Remco. 2013. Body part terms as a semantic basis for grammaticalization: A Mordvin case study into spatial reference and beyond. </w:t>
      </w:r>
      <w:r w:rsidR="00092304" w:rsidRPr="00FB4EFA">
        <w:rPr>
          <w:rFonts w:cs="Charis SIL"/>
          <w:i/>
          <w:iCs/>
          <w:lang w:val="en-US"/>
        </w:rPr>
        <w:t>Language Sciences</w:t>
      </w:r>
      <w:r w:rsidR="00092304" w:rsidRPr="00FB4EFA">
        <w:rPr>
          <w:rFonts w:cs="Charis SIL"/>
          <w:lang w:val="en-US"/>
        </w:rPr>
        <w:t xml:space="preserve"> </w:t>
      </w:r>
      <w:r w:rsidR="00092304" w:rsidRPr="00FB4EFA">
        <w:rPr>
          <w:rFonts w:cs="Charis SIL"/>
          <w:i/>
          <w:iCs/>
          <w:lang w:val="en-US"/>
        </w:rPr>
        <w:t>36</w:t>
      </w:r>
      <w:r w:rsidR="00092304" w:rsidRPr="00FB4EFA">
        <w:rPr>
          <w:rFonts w:cs="Charis SIL"/>
          <w:lang w:val="en-US"/>
        </w:rPr>
        <w:t>. 90–102.</w:t>
      </w:r>
    </w:p>
    <w:p w14:paraId="4201F121"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Popov, A.A. 1948. </w:t>
      </w:r>
      <w:r w:rsidRPr="00FB4EFA">
        <w:rPr>
          <w:rFonts w:cs="Charis SIL"/>
          <w:i/>
          <w:lang w:val="en-US"/>
        </w:rPr>
        <w:t>Нганасаны</w:t>
      </w:r>
      <w:r w:rsidRPr="00FB4EFA">
        <w:rPr>
          <w:rFonts w:cs="Charis SIL"/>
          <w:lang w:val="en-US"/>
        </w:rPr>
        <w:t>. Вып. 1. Материальная культура. [The Nganasan. Issue 1. Material Culture.] Leningrad: Nauka.</w:t>
      </w:r>
    </w:p>
    <w:p w14:paraId="5F8C5993" w14:textId="09CE9DAC"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Popov, A.A. 1966. </w:t>
      </w:r>
      <w:r w:rsidRPr="00FB4EFA">
        <w:rPr>
          <w:rFonts w:cs="Charis SIL"/>
          <w:i/>
          <w:iCs/>
          <w:lang w:val="en-US"/>
        </w:rPr>
        <w:t>The Nganasan.</w:t>
      </w:r>
      <w:r w:rsidRPr="00FB4EFA">
        <w:rPr>
          <w:rFonts w:cs="Charis SIL"/>
          <w:lang w:val="en-US"/>
        </w:rPr>
        <w:t xml:space="preserve"> </w:t>
      </w:r>
      <w:r w:rsidRPr="00FB4EFA">
        <w:rPr>
          <w:rFonts w:cs="Charis SIL"/>
          <w:i/>
          <w:lang w:val="en-US"/>
        </w:rPr>
        <w:t>The Material Culture of the Tavgi Samoyeds</w:t>
      </w:r>
      <w:r w:rsidRPr="00FB4EFA">
        <w:rPr>
          <w:rFonts w:cs="Charis SIL"/>
          <w:lang w:val="en-US"/>
        </w:rPr>
        <w:t>. Bloomington / The Hague: Indiana University.</w:t>
      </w:r>
    </w:p>
    <w:p w14:paraId="26554D65"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Sipőcz, Katalin. 2005. Spatial orientation and grammaticalization. </w:t>
      </w:r>
      <w:r w:rsidRPr="00FB4EFA">
        <w:rPr>
          <w:rFonts w:cs="Charis SIL"/>
          <w:i/>
          <w:lang w:val="en-US"/>
        </w:rPr>
        <w:t>Acta Linguistica Hungarica</w:t>
      </w:r>
      <w:r w:rsidRPr="00FB4EFA">
        <w:rPr>
          <w:rFonts w:cs="Charis SIL"/>
          <w:lang w:val="en-US"/>
        </w:rPr>
        <w:t xml:space="preserve"> 52. 411–425.</w:t>
      </w:r>
    </w:p>
    <w:p w14:paraId="3186F23C" w14:textId="77777777" w:rsidR="00092304" w:rsidRPr="00FB4EFA" w:rsidRDefault="00092304" w:rsidP="007032B8">
      <w:pPr>
        <w:suppressAutoHyphens/>
        <w:spacing w:line="240" w:lineRule="auto"/>
        <w:ind w:left="425" w:hanging="425"/>
        <w:rPr>
          <w:rFonts w:cs="Charis SIL"/>
          <w:lang w:val="en-US"/>
        </w:rPr>
      </w:pPr>
      <w:r w:rsidRPr="00FB4EFA">
        <w:rPr>
          <w:rFonts w:cs="Charis SIL"/>
          <w:lang w:val="en-US"/>
        </w:rPr>
        <w:t xml:space="preserve">Sharifian, Farzad, René Dirven, Ning Yu &amp; Susanne Niemeier (eds.). 2008. </w:t>
      </w:r>
      <w:r w:rsidRPr="00FB4EFA">
        <w:rPr>
          <w:rFonts w:cs="Charis SIL"/>
          <w:i/>
          <w:iCs/>
          <w:lang w:val="en-US"/>
        </w:rPr>
        <w:t>Culture, Body, and Language: Conceptualizations of Internal Body Organs across Cultures and Languages</w:t>
      </w:r>
      <w:r w:rsidRPr="00FB4EFA">
        <w:rPr>
          <w:rFonts w:cs="Charis SIL"/>
          <w:lang w:val="en-US"/>
        </w:rPr>
        <w:t>. Berlin / New York: Mouton de Gruyter.</w:t>
      </w:r>
    </w:p>
    <w:p w14:paraId="2107B9C5" w14:textId="7C7B59CE"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Svorou, Soteria. 1994. </w:t>
      </w:r>
      <w:r w:rsidRPr="00FB4EFA">
        <w:rPr>
          <w:rFonts w:cs="Charis SIL"/>
          <w:i/>
          <w:lang w:val="en-US"/>
        </w:rPr>
        <w:t>The grammar of space</w:t>
      </w:r>
      <w:r w:rsidRPr="00FB4EFA">
        <w:rPr>
          <w:rFonts w:cs="Charis SIL"/>
          <w:iCs/>
          <w:lang w:val="en-US"/>
        </w:rPr>
        <w:t>.</w:t>
      </w:r>
      <w:r w:rsidRPr="00FB4EFA">
        <w:rPr>
          <w:rFonts w:cs="Charis SIL"/>
          <w:lang w:val="en-US"/>
        </w:rPr>
        <w:t xml:space="preserve"> Typological Studies in Language 25. Amsterdam: John Benjamins.</w:t>
      </w:r>
    </w:p>
    <w:p w14:paraId="406E8977"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lastRenderedPageBreak/>
        <w:t xml:space="preserve">Talmy, Leonard. 1983. How language structures space. In Herbert L. Pick &amp; Linda P. Acredolo (eds.), </w:t>
      </w:r>
      <w:r w:rsidRPr="00FB4EFA">
        <w:rPr>
          <w:rFonts w:cs="Charis SIL"/>
          <w:i/>
          <w:lang w:val="en-US"/>
        </w:rPr>
        <w:t>Spatial orientation: Theory, research and application</w:t>
      </w:r>
      <w:r w:rsidRPr="00FB4EFA">
        <w:rPr>
          <w:rFonts w:cs="Charis SIL"/>
          <w:lang w:val="en-US"/>
        </w:rPr>
        <w:t>, 225–320. New York: Plenum Press.</w:t>
      </w:r>
    </w:p>
    <w:p w14:paraId="6B9C7E55" w14:textId="77777777"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Talmy, Leonard. 2002. </w:t>
      </w:r>
      <w:r w:rsidRPr="00FB4EFA">
        <w:rPr>
          <w:rFonts w:cs="Charis SIL"/>
          <w:i/>
          <w:lang w:val="en-US"/>
        </w:rPr>
        <w:t>Toward a cognitive semantics</w:t>
      </w:r>
      <w:r w:rsidRPr="00FB4EFA">
        <w:rPr>
          <w:rFonts w:cs="Charis SIL"/>
          <w:lang w:val="en-US"/>
        </w:rPr>
        <w:t>. Volume 1. Cambridge, MA: MIT Press.</w:t>
      </w:r>
    </w:p>
    <w:p w14:paraId="6DA7767E" w14:textId="3F5FF1EA" w:rsidR="00092304" w:rsidRPr="00FB4EFA" w:rsidRDefault="00092304" w:rsidP="007032B8">
      <w:pPr>
        <w:suppressAutoHyphens/>
        <w:spacing w:line="240" w:lineRule="auto"/>
        <w:ind w:left="426" w:hanging="426"/>
        <w:rPr>
          <w:rFonts w:cs="Charis SIL"/>
          <w:lang w:val="en-US"/>
        </w:rPr>
      </w:pPr>
      <w:r w:rsidRPr="00FB4EFA">
        <w:rPr>
          <w:rFonts w:cs="Charis SIL"/>
          <w:lang w:val="en-US"/>
        </w:rPr>
        <w:t>Tereshchenko</w:t>
      </w:r>
      <w:r w:rsidRPr="00FB4EFA">
        <w:rPr>
          <w:rFonts w:cs="Charis SIL"/>
          <w:lang w:val="ru-RU"/>
        </w:rPr>
        <w:t xml:space="preserve">, </w:t>
      </w:r>
      <w:r w:rsidRPr="00FB4EFA">
        <w:rPr>
          <w:rFonts w:cs="Charis SIL"/>
          <w:lang w:val="en-US"/>
        </w:rPr>
        <w:t>N</w:t>
      </w:r>
      <w:r w:rsidRPr="00FB4EFA">
        <w:rPr>
          <w:rFonts w:cs="Charis SIL"/>
          <w:lang w:val="ru-RU"/>
        </w:rPr>
        <w:t>.</w:t>
      </w:r>
      <w:r w:rsidRPr="00FB4EFA">
        <w:rPr>
          <w:rFonts w:cs="Charis SIL"/>
          <w:lang w:val="en-US"/>
        </w:rPr>
        <w:t>M</w:t>
      </w:r>
      <w:r w:rsidRPr="00FB4EFA">
        <w:rPr>
          <w:rFonts w:cs="Charis SIL"/>
          <w:lang w:val="ru-RU"/>
        </w:rPr>
        <w:t xml:space="preserve">. 1979. </w:t>
      </w:r>
      <w:r w:rsidRPr="00FB4EFA">
        <w:rPr>
          <w:rFonts w:cs="Charis SIL"/>
          <w:i/>
          <w:iCs/>
          <w:lang w:val="ru-RU"/>
        </w:rPr>
        <w:t>Нганасанский язык.</w:t>
      </w:r>
      <w:r w:rsidRPr="00FB4EFA">
        <w:rPr>
          <w:rFonts w:cs="Charis SIL"/>
          <w:lang w:val="ru-RU"/>
        </w:rPr>
        <w:t xml:space="preserve"> </w:t>
      </w:r>
      <w:r w:rsidRPr="00FB4EFA">
        <w:rPr>
          <w:rFonts w:cs="Charis SIL"/>
          <w:lang w:val="en-US"/>
        </w:rPr>
        <w:t>[The Nganasan language.] Leningrad: Nauka.</w:t>
      </w:r>
    </w:p>
    <w:p w14:paraId="4C79A41A" w14:textId="6B263CE6"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Wagner-Nagy Beáta &amp; Sándor Szeverényi. 2015. Linguistically annotated spoken Nganasan corpus. </w:t>
      </w:r>
      <w:r w:rsidRPr="00FB4EFA">
        <w:rPr>
          <w:rFonts w:cs="Charis SIL"/>
          <w:i/>
          <w:iCs/>
          <w:lang w:val="en-US"/>
        </w:rPr>
        <w:t>Tomsk</w:t>
      </w:r>
      <w:r w:rsidRPr="00FB4EFA">
        <w:rPr>
          <w:rFonts w:cs="Charis SIL"/>
          <w:lang w:val="en-US"/>
        </w:rPr>
        <w:t xml:space="preserve"> </w:t>
      </w:r>
      <w:r w:rsidRPr="00FB4EFA">
        <w:rPr>
          <w:rFonts w:cs="Charis SIL"/>
          <w:i/>
          <w:lang w:val="en-US"/>
        </w:rPr>
        <w:t xml:space="preserve">Journal of Linguistics and Anthropology </w:t>
      </w:r>
      <w:r w:rsidRPr="00FB4EFA">
        <w:rPr>
          <w:rFonts w:cs="Charis SIL"/>
          <w:iCs/>
          <w:lang w:val="en-US"/>
        </w:rPr>
        <w:t>2</w:t>
      </w:r>
      <w:r w:rsidR="001E161A" w:rsidRPr="00FB4EFA">
        <w:rPr>
          <w:rFonts w:cs="Charis SIL"/>
          <w:iCs/>
          <w:lang w:val="en-US"/>
        </w:rPr>
        <w:t xml:space="preserve"> </w:t>
      </w:r>
      <w:r w:rsidRPr="00FB4EFA">
        <w:rPr>
          <w:rFonts w:cs="Charis SIL"/>
          <w:iCs/>
          <w:lang w:val="en-US"/>
        </w:rPr>
        <w:t>(8).</w:t>
      </w:r>
      <w:r w:rsidRPr="00FB4EFA">
        <w:rPr>
          <w:rFonts w:cs="Charis SIL"/>
          <w:lang w:val="en-US"/>
        </w:rPr>
        <w:t xml:space="preserve"> 25–33.</w:t>
      </w:r>
    </w:p>
    <w:p w14:paraId="71995BAC" w14:textId="5DC6A4FC" w:rsidR="00092304" w:rsidRPr="00FB4EFA" w:rsidRDefault="00092304" w:rsidP="007032B8">
      <w:pPr>
        <w:suppressAutoHyphens/>
        <w:spacing w:line="240" w:lineRule="auto"/>
        <w:ind w:left="426" w:hanging="426"/>
        <w:rPr>
          <w:rFonts w:cs="Charis SIL"/>
          <w:lang w:val="en-US"/>
        </w:rPr>
      </w:pPr>
      <w:r w:rsidRPr="00FB4EFA">
        <w:rPr>
          <w:rFonts w:cs="Charis SIL"/>
          <w:lang w:val="en-US"/>
        </w:rPr>
        <w:t xml:space="preserve">Wagner-Nagy, Beáta, Sándor Szeverényi &amp; Valentin Gusev. 2018. </w:t>
      </w:r>
      <w:r w:rsidRPr="00FB4EFA">
        <w:rPr>
          <w:rFonts w:cs="Charis SIL"/>
          <w:i/>
          <w:lang w:val="en-US"/>
        </w:rPr>
        <w:t>User’s Guide to Nganasan Spoken Language Corpus</w:t>
      </w:r>
      <w:r w:rsidRPr="00FB4EFA">
        <w:rPr>
          <w:rFonts w:cs="Charis SIL"/>
          <w:lang w:val="en-US"/>
        </w:rPr>
        <w:t xml:space="preserve">. Working Papers in Corpus Linguistics and Digital Technologies: Analyses and Methodology. Volume 1. Available at </w:t>
      </w:r>
      <w:r w:rsidRPr="00FB4EFA">
        <w:rPr>
          <w:rFonts w:cs="Charis SIL"/>
          <w:lang w:val="en-US"/>
        </w:rPr>
        <w:br/>
      </w:r>
      <w:hyperlink r:id="rId434">
        <w:r w:rsidRPr="00FB4EFA">
          <w:rPr>
            <w:rFonts w:cs="Charis SIL"/>
            <w:u w:val="single"/>
            <w:lang w:val="en-US"/>
          </w:rPr>
          <w:t>ojs.bibl.u-szeged.hu/index.php/wpcl/issue/view/810</w:t>
        </w:r>
      </w:hyperlink>
      <w:r w:rsidRPr="00FB4EFA">
        <w:rPr>
          <w:rFonts w:cs="Charis SIL"/>
          <w:lang w:val="en-US"/>
        </w:rPr>
        <w:t>.</w:t>
      </w:r>
    </w:p>
    <w:p w14:paraId="235EDAB5" w14:textId="69FDB315" w:rsidR="00092304" w:rsidRPr="00FB4EFA" w:rsidRDefault="00092304" w:rsidP="007032B8">
      <w:pPr>
        <w:suppressAutoHyphens/>
        <w:spacing w:line="240" w:lineRule="auto"/>
        <w:ind w:left="426" w:hanging="426"/>
        <w:rPr>
          <w:rFonts w:cs="Charis SIL"/>
          <w:szCs w:val="24"/>
          <w:lang w:val="en-US"/>
        </w:rPr>
      </w:pPr>
      <w:r w:rsidRPr="00FB4EFA">
        <w:rPr>
          <w:rFonts w:cs="Charis SIL"/>
          <w:lang w:val="en-US"/>
        </w:rPr>
        <w:t xml:space="preserve">Wen, Xu &amp; Canzhong Jiang. 2021. Embodiment. In Xu Wen &amp; John R. Taylor (eds.), </w:t>
      </w:r>
      <w:r w:rsidRPr="00FB4EFA">
        <w:rPr>
          <w:rFonts w:cs="Charis SIL"/>
          <w:i/>
          <w:lang w:val="en-US"/>
        </w:rPr>
        <w:t xml:space="preserve">The Routledge Handbook of Cognitive Linguistics. </w:t>
      </w:r>
      <w:r w:rsidRPr="00FB4EFA">
        <w:rPr>
          <w:rFonts w:cs="Charis SIL"/>
          <w:lang w:val="en-US"/>
        </w:rPr>
        <w:t>145–160. London: Routledge.</w:t>
      </w:r>
    </w:p>
    <w:bookmarkEnd w:id="113"/>
    <w:p w14:paraId="428D22E0" w14:textId="77777777" w:rsidR="00A96E85" w:rsidRPr="00FB4EFA" w:rsidRDefault="00A96E85" w:rsidP="00402EF4">
      <w:pPr>
        <w:spacing w:after="160"/>
        <w:jc w:val="center"/>
        <w:rPr>
          <w:smallCaps/>
          <w:sz w:val="48"/>
          <w:szCs w:val="48"/>
        </w:rPr>
        <w:sectPr w:rsidR="00A96E85" w:rsidRPr="00FB4EFA" w:rsidSect="005D457B">
          <w:headerReference w:type="even" r:id="rId435"/>
          <w:headerReference w:type="default" r:id="rId436"/>
          <w:headerReference w:type="first" r:id="rId437"/>
          <w:footnotePr>
            <w:numRestart w:val="eachSect"/>
          </w:footnotePr>
          <w:type w:val="continuous"/>
          <w:pgSz w:w="9180" w:h="13302"/>
          <w:pgMar w:top="779" w:right="1133" w:bottom="1132" w:left="1133" w:header="744" w:footer="720" w:gutter="0"/>
          <w:cols w:space="720"/>
          <w:docGrid w:linePitch="299"/>
        </w:sectPr>
      </w:pPr>
    </w:p>
    <w:p w14:paraId="0146AB9A" w14:textId="77777777" w:rsidR="003E0C4B" w:rsidRPr="00FB4EFA" w:rsidRDefault="003E0C4B" w:rsidP="00AF0CAD">
      <w:pPr>
        <w:pStyle w:val="Authors"/>
        <w:spacing w:line="259" w:lineRule="auto"/>
        <w:rPr>
          <w:color w:val="auto"/>
        </w:rPr>
      </w:pPr>
      <w:r w:rsidRPr="00FB4EFA">
        <w:rPr>
          <w:color w:val="auto"/>
        </w:rPr>
        <w:lastRenderedPageBreak/>
        <w:t>Jussi Ylikoski</w:t>
      </w:r>
    </w:p>
    <w:p w14:paraId="55824699" w14:textId="77777777" w:rsidR="008F73FD" w:rsidRPr="00FB4EFA" w:rsidRDefault="008F73FD" w:rsidP="00402EF4">
      <w:pPr>
        <w:jc w:val="right"/>
        <w:rPr>
          <w:rFonts w:ascii="Gill Sans MT" w:eastAsia="Gill Sans MT" w:hAnsi="Gill Sans MT" w:cs="Gill Sans MT"/>
          <w:sz w:val="32"/>
        </w:rPr>
      </w:pPr>
    </w:p>
    <w:p w14:paraId="057BF047" w14:textId="7913A639" w:rsidR="003E0C4B" w:rsidRPr="00FB4EFA" w:rsidRDefault="003E0C4B" w:rsidP="00863238">
      <w:pPr>
        <w:pStyle w:val="Heading1"/>
        <w:suppressAutoHyphens/>
        <w:spacing w:line="259" w:lineRule="auto"/>
        <w:ind w:right="74"/>
        <w:rPr>
          <w:color w:val="auto"/>
          <w:lang w:val="fi-FI"/>
        </w:rPr>
      </w:pPr>
      <w:bookmarkStart w:id="116" w:name="_Ref90999687"/>
      <w:r w:rsidRPr="00FB4EFA">
        <w:rPr>
          <w:color w:val="auto"/>
          <w:lang w:val="fi-FI"/>
        </w:rPr>
        <w:t>Kieliopillistutaan sitä vielä meilläkin!</w:t>
      </w:r>
      <w:r w:rsidR="00863238" w:rsidRPr="00FB4EFA">
        <w:rPr>
          <w:color w:val="auto"/>
          <w:lang w:val="fi-FI"/>
        </w:rPr>
        <w:t xml:space="preserve"> </w:t>
      </w:r>
      <w:r w:rsidRPr="00FB4EFA">
        <w:rPr>
          <w:color w:val="auto"/>
          <w:lang w:val="fi-FI"/>
        </w:rPr>
        <w:t>Kaksi vuosisataa viron ja suomen komitatiivien vertailua</w:t>
      </w:r>
      <w:bookmarkEnd w:id="116"/>
    </w:p>
    <w:p w14:paraId="7EBD8761" w14:textId="582E4216" w:rsidR="003E0C4B" w:rsidRPr="00FB4EFA" w:rsidRDefault="003E0C4B" w:rsidP="00863238">
      <w:pPr>
        <w:pStyle w:val="Heading2"/>
        <w:numPr>
          <w:ilvl w:val="0"/>
          <w:numId w:val="22"/>
        </w:numPr>
        <w:spacing w:line="259" w:lineRule="auto"/>
        <w:rPr>
          <w:color w:val="auto"/>
          <w:lang w:val="fi-FI"/>
        </w:rPr>
      </w:pPr>
      <w:r w:rsidRPr="00FB4EFA">
        <w:rPr>
          <w:color w:val="auto"/>
          <w:lang w:val="fi-FI"/>
        </w:rPr>
        <w:t>Aluksi</w:t>
      </w:r>
    </w:p>
    <w:p w14:paraId="47FF838B" w14:textId="77777777" w:rsidR="003E0C4B" w:rsidRPr="00FB4EFA" w:rsidRDefault="003E0C4B" w:rsidP="00863238">
      <w:pPr>
        <w:rPr>
          <w:lang w:val="fi-FI"/>
        </w:rPr>
      </w:pPr>
      <w:r w:rsidRPr="00FB4EFA">
        <w:rPr>
          <w:lang w:val="fi-FI"/>
        </w:rPr>
        <w:t xml:space="preserve">Tässä artikkelissa vertailen suomen </w:t>
      </w:r>
      <w:r w:rsidRPr="00FB4EFA">
        <w:rPr>
          <w:i/>
          <w:iCs/>
          <w:lang w:val="fi-FI"/>
        </w:rPr>
        <w:t>kanssa</w:t>
      </w:r>
      <w:r w:rsidRPr="00FB4EFA">
        <w:rPr>
          <w:lang w:val="fi-FI"/>
        </w:rPr>
        <w:t>-postpositiota ja sen variantteja niiden virolaiseen vastineeseen eli komitatiivin sijapäätteeseen -</w:t>
      </w:r>
      <w:r w:rsidRPr="00FB4EFA">
        <w:rPr>
          <w:i/>
          <w:iCs/>
          <w:lang w:val="fi-FI"/>
        </w:rPr>
        <w:t>ga</w:t>
      </w:r>
      <w:r w:rsidRPr="00FB4EFA">
        <w:rPr>
          <w:lang w:val="fi-FI"/>
        </w:rPr>
        <w:t>. Aiheen tutkimushistoria on yli kaksisataa tai tavallaan jopa lähes neljäsataa vuotta pitkä. Tässä kirjoituksessa esittelen pääkohtia ja muita vaikutelmia tutkimusperinteestä, jonka katson sisältävän myös ongelmia: sekä ylimalkaisuuksia että ajan myötä lisääntynyttä toisteisuutta eli uusien näkökulmien vähenemistä. Toisaalta esitän tarkennuksia ja uusia havaintoja niin viron komitatiivista kuin sen sukulaisilmiöistä sekä virossa että suomessa.</w:t>
      </w:r>
    </w:p>
    <w:p w14:paraId="306651ED" w14:textId="7C183462" w:rsidR="003E0C4B" w:rsidRPr="00FB4EFA" w:rsidRDefault="003E0C4B" w:rsidP="00D06B39">
      <w:pPr>
        <w:ind w:firstLine="709"/>
        <w:rPr>
          <w:lang w:val="fi-FI"/>
        </w:rPr>
      </w:pPr>
      <w:r w:rsidRPr="00FB4EFA">
        <w:rPr>
          <w:lang w:val="fi-FI"/>
        </w:rPr>
        <w:t xml:space="preserve">Alla kuvaan tarkastelemieni ilmiöiden tutkimushistorian pääkohdat kiinnittäen erityistä huomiota suomen ja viron vertailuun. Suomen ns. </w:t>
      </w:r>
      <w:r w:rsidRPr="00FB4EFA">
        <w:rPr>
          <w:i/>
          <w:iCs/>
          <w:lang w:val="fi-FI"/>
        </w:rPr>
        <w:t>kaa</w:t>
      </w:r>
      <w:r w:rsidRPr="00FB4EFA">
        <w:rPr>
          <w:lang w:val="fi-FI"/>
        </w:rPr>
        <w:t xml:space="preserve">-komitatiivi – nähdäkseni </w:t>
      </w:r>
      <w:r w:rsidRPr="00FB4EFA">
        <w:rPr>
          <w:i/>
          <w:iCs/>
          <w:lang w:val="fi-FI"/>
        </w:rPr>
        <w:t>kaa</w:t>
      </w:r>
      <w:r w:rsidRPr="00FB4EFA">
        <w:rPr>
          <w:lang w:val="fi-FI"/>
        </w:rPr>
        <w:t xml:space="preserve">-muotoon lyhentynyt postpositio, josta on edelleen kehittynyt Kymenlaakson itäpuolen kaakkoishämäläisten murteiden </w:t>
      </w:r>
      <w:r w:rsidRPr="00FB4EFA">
        <w:rPr>
          <w:i/>
          <w:iCs/>
          <w:lang w:val="fi-FI"/>
        </w:rPr>
        <w:t>nkAA</w:t>
      </w:r>
      <w:r w:rsidRPr="00FB4EFA">
        <w:rPr>
          <w:lang w:val="fi-FI"/>
        </w:rPr>
        <w:t xml:space="preserve">-suffiksi – ansaitsee toki myös viron kielen tutkimuksesta erillisen tarkastelun, mutta </w:t>
      </w:r>
      <w:r w:rsidR="00956440" w:rsidRPr="00FB4EFA">
        <w:rPr>
          <w:lang w:val="fi-FI"/>
        </w:rPr>
        <w:t>olen rajannut</w:t>
      </w:r>
      <w:r w:rsidRPr="00FB4EFA">
        <w:rPr>
          <w:lang w:val="fi-FI"/>
        </w:rPr>
        <w:t xml:space="preserve"> aiheen syvällisemmän dialektologisen käsittelyn toisaalla </w:t>
      </w:r>
      <w:r w:rsidR="00956440" w:rsidRPr="00FB4EFA">
        <w:rPr>
          <w:lang w:val="fi-FI"/>
        </w:rPr>
        <w:t xml:space="preserve">ilmestyneeseen </w:t>
      </w:r>
      <w:r w:rsidRPr="00FB4EFA">
        <w:rPr>
          <w:lang w:val="fi-FI"/>
        </w:rPr>
        <w:t xml:space="preserve">tutkimukseeni </w:t>
      </w:r>
      <w:r w:rsidR="00D06B39" w:rsidRPr="00FB4EFA">
        <w:rPr>
          <w:lang w:val="fi-FI"/>
        </w:rPr>
        <w:br/>
      </w:r>
      <w:r w:rsidRPr="00FB4EFA">
        <w:rPr>
          <w:lang w:val="fi-FI"/>
        </w:rPr>
        <w:t>(Ylikoski</w:t>
      </w:r>
      <w:r w:rsidR="001C3977" w:rsidRPr="00FB4EFA">
        <w:rPr>
          <w:lang w:val="fi-FI"/>
        </w:rPr>
        <w:t xml:space="preserve"> 2022</w:t>
      </w:r>
      <w:r w:rsidRPr="00FB4EFA">
        <w:rPr>
          <w:lang w:val="fi-FI"/>
        </w:rPr>
        <w:t>). Tässä kirjoituksessa kiinnitän huomioni suomalais-virolaisen vertailun historiaan ja mahdollisuuksiin.</w:t>
      </w:r>
    </w:p>
    <w:p w14:paraId="6061B030" w14:textId="77777777" w:rsidR="003E0C4B" w:rsidRPr="00FB4EFA" w:rsidRDefault="003E0C4B" w:rsidP="00863238">
      <w:pPr>
        <w:ind w:firstLine="709"/>
        <w:rPr>
          <w:lang w:val="fi-FI"/>
        </w:rPr>
      </w:pPr>
      <w:r w:rsidRPr="00FB4EFA">
        <w:rPr>
          <w:lang w:val="fi-FI"/>
        </w:rPr>
        <w:t xml:space="preserve">Otsikostaan huolimatta tämä artikkeli ei varsinaisesti käsittele suomen </w:t>
      </w:r>
      <w:r w:rsidRPr="00FB4EFA">
        <w:rPr>
          <w:i/>
          <w:iCs/>
          <w:lang w:val="fi-FI"/>
        </w:rPr>
        <w:t>ine</w:t>
      </w:r>
      <w:r w:rsidRPr="00FB4EFA">
        <w:rPr>
          <w:lang w:val="fi-FI"/>
        </w:rPr>
        <w:t xml:space="preserve">-komitatiivia, jonka olemuksen on vastikään kuvannut Sirola-Belliard (2011, 2016, 2017) monissa tutkimuksissaan. Sen sijaan käsittelen komitatiivin käsitteen alla paitsi viron komitatiivisijaa, myös sen postpositioina säilyneitä suomalaisia vastineita – </w:t>
      </w:r>
      <w:r w:rsidRPr="00FB4EFA">
        <w:rPr>
          <w:i/>
          <w:iCs/>
          <w:lang w:val="fi-FI"/>
        </w:rPr>
        <w:t>komitatiivi</w:t>
      </w:r>
      <w:r w:rsidRPr="00FB4EFA">
        <w:rPr>
          <w:lang w:val="fi-FI"/>
        </w:rPr>
        <w:t xml:space="preserve"> tulee näin ollen ymmärtää osin semanttisena terminä hieman samaan tapaan kuin </w:t>
      </w:r>
      <w:r w:rsidRPr="00FB4EFA">
        <w:rPr>
          <w:i/>
          <w:iCs/>
          <w:lang w:val="fi-FI"/>
        </w:rPr>
        <w:t>genetiivi</w:t>
      </w:r>
      <w:r w:rsidRPr="00FB4EFA">
        <w:rPr>
          <w:lang w:val="fi-FI"/>
        </w:rPr>
        <w:t xml:space="preserve"> puhuessamme usein esimerkiksi englannin </w:t>
      </w:r>
      <w:r w:rsidRPr="00FB4EFA">
        <w:rPr>
          <w:i/>
          <w:iCs/>
          <w:lang w:val="fi-FI"/>
        </w:rPr>
        <w:t>of</w:t>
      </w:r>
      <w:r w:rsidRPr="00FB4EFA">
        <w:rPr>
          <w:lang w:val="fi-FI"/>
        </w:rPr>
        <w:t>-genetiivistä, vaikka semantiikkaa tarkasteltaessa olisikin periaatteessa johdonmukaisempaa puhua esimerkiksi genetiivisistä ja komitatiivisista adpositiosta. Toisaalta tarkastelen, missä määrin mitäkin (*)</w:t>
      </w:r>
      <w:r w:rsidRPr="00FB4EFA">
        <w:rPr>
          <w:i/>
          <w:iCs/>
          <w:lang w:val="fi-FI"/>
        </w:rPr>
        <w:t>kanssa</w:t>
      </w:r>
      <w:r w:rsidRPr="00FB4EFA">
        <w:rPr>
          <w:lang w:val="fi-FI"/>
        </w:rPr>
        <w:t xml:space="preserve">-taustaista komitatiivia </w:t>
      </w:r>
      <w:r w:rsidRPr="00FB4EFA">
        <w:rPr>
          <w:lang w:val="fi-FI"/>
        </w:rPr>
        <w:lastRenderedPageBreak/>
        <w:t>on syytä pitää suffiksina eli itsenäisestä sanasta sidonnaiseksi morfeemiksi kieliopillistuneena sijapäätteenä. Komitatiivisten ilmausten morfofonologiaan ja morfosyntaksiin keskittyessäni rajaan niiden semanttisen tarkastelun tämän esityksen ulkopuolelle (ks. kuitenkin Sirola-Belliard 2011, 2016 ja Vierula 2017).</w:t>
      </w:r>
    </w:p>
    <w:p w14:paraId="1EB0F908" w14:textId="77777777" w:rsidR="003E0C4B" w:rsidRPr="00FB4EFA" w:rsidRDefault="003E0C4B" w:rsidP="00863238">
      <w:pPr>
        <w:ind w:firstLine="709"/>
        <w:rPr>
          <w:lang w:val="fi-FI"/>
        </w:rPr>
      </w:pPr>
      <w:r w:rsidRPr="00FB4EFA">
        <w:rPr>
          <w:lang w:val="fi-FI"/>
        </w:rPr>
        <w:t xml:space="preserve">Jaksossa 2 kuvaan </w:t>
      </w:r>
      <w:r w:rsidRPr="00FB4EFA">
        <w:rPr>
          <w:i/>
          <w:iCs/>
          <w:lang w:val="fi-FI"/>
        </w:rPr>
        <w:t>kanssa</w:t>
      </w:r>
      <w:r w:rsidRPr="00FB4EFA">
        <w:rPr>
          <w:lang w:val="fi-FI"/>
        </w:rPr>
        <w:t xml:space="preserve">-komitatiivien tutkimushistorian päälinjat ja kohokohdat tiiviisti, mutta aiempaa tutkimusta kattavammin. Tämän jälkeen jaksossa 3 esitän omat käsitykseni </w:t>
      </w:r>
      <w:r w:rsidRPr="00FB4EFA">
        <w:rPr>
          <w:i/>
          <w:iCs/>
          <w:lang w:val="fi-FI"/>
        </w:rPr>
        <w:t>kanssa</w:t>
      </w:r>
      <w:r w:rsidRPr="00FB4EFA">
        <w:rPr>
          <w:lang w:val="fi-FI"/>
        </w:rPr>
        <w:t xml:space="preserve">-komitatiivien olemuksesta ja huomioitani aiheen käsittelystä osana suomalaista kielitiedettä. Lopuksi jaksossa 4 nostan esille havaintoja erityisesti viron komitatiivin ja sen sukulaisilmiöiden morfologiasta ja syntaksista. Esitän, että viron komitatiivin ja eteläsuomalaisen yleispuhekielen </w:t>
      </w:r>
      <w:r w:rsidRPr="00FB4EFA">
        <w:rPr>
          <w:i/>
          <w:iCs/>
          <w:lang w:val="fi-FI"/>
        </w:rPr>
        <w:t>kaa</w:t>
      </w:r>
      <w:r w:rsidRPr="00FB4EFA">
        <w:rPr>
          <w:lang w:val="fi-FI"/>
        </w:rPr>
        <w:t xml:space="preserve">-aineksen sijamaisuudessa on huomattavia eroja, jotka vastoin vallitsevaa käsitystä eivät näytä olevan vähenemässä vaan pikemminkin kasvamassa: Nykyviron komitatiivi on sijamaisempi kuin koskaan, suomen </w:t>
      </w:r>
      <w:r w:rsidRPr="00FB4EFA">
        <w:rPr>
          <w:i/>
          <w:iCs/>
          <w:lang w:val="fi-FI"/>
        </w:rPr>
        <w:t>kaa</w:t>
      </w:r>
      <w:r w:rsidRPr="00FB4EFA">
        <w:rPr>
          <w:lang w:val="fi-FI"/>
        </w:rPr>
        <w:t xml:space="preserve"> sen sijaan on edelleen postpositio, joka ennen pitkää syrjäyttänee myös kaakkoishämäläisten murteiden suffiksoituneen </w:t>
      </w:r>
      <w:r w:rsidRPr="00FB4EFA">
        <w:rPr>
          <w:i/>
          <w:iCs/>
          <w:lang w:val="fi-FI"/>
        </w:rPr>
        <w:t>nkAA</w:t>
      </w:r>
      <w:r w:rsidRPr="00FB4EFA">
        <w:rPr>
          <w:lang w:val="fi-FI"/>
        </w:rPr>
        <w:t>-komitatiivin.</w:t>
      </w:r>
    </w:p>
    <w:p w14:paraId="064E6859" w14:textId="03BB80FE" w:rsidR="003E0C4B" w:rsidRPr="00FB4EFA" w:rsidRDefault="003E0C4B" w:rsidP="00863238">
      <w:pPr>
        <w:pStyle w:val="Heading2"/>
        <w:numPr>
          <w:ilvl w:val="0"/>
          <w:numId w:val="22"/>
        </w:numPr>
        <w:spacing w:line="259" w:lineRule="auto"/>
        <w:rPr>
          <w:color w:val="auto"/>
          <w:lang w:val="fi-FI"/>
        </w:rPr>
      </w:pPr>
      <w:r w:rsidRPr="00FB4EFA">
        <w:rPr>
          <w:color w:val="auto"/>
          <w:lang w:val="fi-FI"/>
        </w:rPr>
        <w:t>Tutkimushistoria</w:t>
      </w:r>
    </w:p>
    <w:p w14:paraId="408535E7" w14:textId="405EC0F5" w:rsidR="003E0C4B" w:rsidRPr="00FB4EFA" w:rsidRDefault="003E0C4B" w:rsidP="00863238">
      <w:pPr>
        <w:spacing w:after="240"/>
        <w:rPr>
          <w:lang w:val="fi-FI"/>
        </w:rPr>
      </w:pPr>
      <w:r w:rsidRPr="00FB4EFA">
        <w:rPr>
          <w:lang w:val="fi-FI"/>
        </w:rPr>
        <w:t xml:space="preserve">Suuri osa nykyfennisteistä on kuullut moneen kertaan, että eteläsuomalaisen puhekielen </w:t>
      </w:r>
      <w:r w:rsidRPr="00FB4EFA">
        <w:rPr>
          <w:i/>
          <w:iCs/>
          <w:lang w:val="fi-FI"/>
        </w:rPr>
        <w:t>kaa</w:t>
      </w:r>
      <w:r w:rsidRPr="00FB4EFA">
        <w:rPr>
          <w:lang w:val="fi-FI"/>
        </w:rPr>
        <w:t xml:space="preserve"> on postpositiosyntyinen sijapäätemäinen elementti, kliitti, joka muistuttaa viron </w:t>
      </w:r>
      <w:r w:rsidRPr="00FB4EFA">
        <w:rPr>
          <w:i/>
          <w:iCs/>
          <w:lang w:val="fi-FI"/>
        </w:rPr>
        <w:t>ga</w:t>
      </w:r>
      <w:r w:rsidRPr="00FB4EFA">
        <w:rPr>
          <w:lang w:val="fi-FI"/>
        </w:rPr>
        <w:t xml:space="preserve">-komitatiivia. Nämä ainekset esitetään niin suomalaisessa, virolaisessa kuin kansainvälisessäkin kirjallisuudessa usein oppikirjaesimerkkinä kieliopillistumisesta, jonka tuloksena postpositioista voi syntyä uusia sijasuffikseja. Vallitsevan käsityksen esittää mm. </w:t>
      </w:r>
      <w:r w:rsidRPr="00FB4EFA">
        <w:rPr>
          <w:i/>
          <w:iCs/>
          <w:lang w:val="fi-FI"/>
        </w:rPr>
        <w:t>Iso suomen kielioppi</w:t>
      </w:r>
      <w:r w:rsidRPr="00FB4EFA">
        <w:rPr>
          <w:lang w:val="fi-FI"/>
        </w:rPr>
        <w:t>:</w:t>
      </w:r>
    </w:p>
    <w:p w14:paraId="5171C798" w14:textId="463A4386" w:rsidR="003E0C4B" w:rsidRPr="00FB4EFA" w:rsidRDefault="003E0C4B" w:rsidP="00FC7388">
      <w:pPr>
        <w:spacing w:after="240" w:line="240" w:lineRule="auto"/>
        <w:ind w:left="720"/>
        <w:rPr>
          <w:rFonts w:cs="Times New Roman"/>
          <w:sz w:val="20"/>
          <w:szCs w:val="20"/>
          <w:lang w:val="fi-FI"/>
        </w:rPr>
      </w:pPr>
      <w:r w:rsidRPr="00FB4EFA">
        <w:rPr>
          <w:rFonts w:cs="Times New Roman"/>
          <w:sz w:val="20"/>
          <w:szCs w:val="20"/>
          <w:lang w:val="fi-FI"/>
        </w:rPr>
        <w:t xml:space="preserve">Sijapäätemäinen elementti voi olla postpositiosyntyinen. Tällainen on puhekielinen </w:t>
      </w:r>
      <w:r w:rsidRPr="00FB4EFA">
        <w:rPr>
          <w:rFonts w:cs="Times New Roman"/>
          <w:i/>
          <w:iCs/>
          <w:sz w:val="20"/>
          <w:szCs w:val="20"/>
          <w:lang w:val="fi-FI"/>
        </w:rPr>
        <w:t>kaa</w:t>
      </w:r>
      <w:r w:rsidRPr="00FB4EFA">
        <w:rPr>
          <w:rFonts w:cs="Times New Roman"/>
          <w:sz w:val="20"/>
          <w:szCs w:val="20"/>
          <w:lang w:val="fi-FI"/>
        </w:rPr>
        <w:t xml:space="preserve"> ’kanssa’ – – Esimerkiksi ilmaus </w:t>
      </w:r>
      <w:r w:rsidRPr="00FB4EFA">
        <w:rPr>
          <w:rFonts w:cs="Times New Roman"/>
          <w:i/>
          <w:iCs/>
          <w:sz w:val="20"/>
          <w:szCs w:val="20"/>
          <w:lang w:val="fi-FI"/>
        </w:rPr>
        <w:t>munkaa</w:t>
      </w:r>
      <w:r w:rsidRPr="00FB4EFA">
        <w:rPr>
          <w:rFonts w:cs="Times New Roman"/>
          <w:sz w:val="20"/>
          <w:szCs w:val="20"/>
          <w:lang w:val="fi-FI"/>
        </w:rPr>
        <w:t xml:space="preserve"> muodostaa yhden pääpainollisen prosodisen kokonaisuuden, toisin kuin </w:t>
      </w:r>
      <w:r w:rsidRPr="00FB4EFA">
        <w:rPr>
          <w:rFonts w:cs="Times New Roman"/>
          <w:i/>
          <w:iCs/>
          <w:sz w:val="20"/>
          <w:szCs w:val="20"/>
          <w:lang w:val="fi-FI"/>
        </w:rPr>
        <w:t>minun kanssani</w:t>
      </w:r>
      <w:r w:rsidRPr="00FB4EFA">
        <w:rPr>
          <w:rFonts w:cs="Times New Roman"/>
          <w:sz w:val="20"/>
          <w:szCs w:val="20"/>
          <w:lang w:val="fi-FI"/>
        </w:rPr>
        <w:t xml:space="preserve">. Silti </w:t>
      </w:r>
      <w:r w:rsidRPr="00FB4EFA">
        <w:rPr>
          <w:rFonts w:cs="Times New Roman"/>
          <w:i/>
          <w:iCs/>
          <w:sz w:val="20"/>
          <w:szCs w:val="20"/>
          <w:lang w:val="fi-FI"/>
        </w:rPr>
        <w:t>kaa</w:t>
      </w:r>
      <w:r w:rsidRPr="00FB4EFA">
        <w:rPr>
          <w:rFonts w:cs="Times New Roman"/>
          <w:sz w:val="20"/>
          <w:szCs w:val="20"/>
          <w:lang w:val="fi-FI"/>
        </w:rPr>
        <w:t xml:space="preserve"> ei ole sijapääte, vaan sillä on pikemmin liitteen </w:t>
      </w:r>
      <w:r w:rsidR="00FC7388" w:rsidRPr="00FB4EFA">
        <w:rPr>
          <w:rFonts w:cs="Times New Roman"/>
          <w:sz w:val="20"/>
          <w:szCs w:val="20"/>
          <w:lang w:val="fi-FI"/>
        </w:rPr>
        <w:br/>
      </w:r>
      <w:r w:rsidRPr="00FB4EFA">
        <w:rPr>
          <w:rFonts w:cs="Times New Roman"/>
          <w:sz w:val="20"/>
          <w:szCs w:val="20"/>
          <w:lang w:val="fi-FI"/>
        </w:rPr>
        <w:t xml:space="preserve">ominaisuuksia. Ensiksikin kokonaisuuden morfologinen muodostustapa on toinen kuin taivutusmuodon: pääteaines liittyy sanan genetiivimuotoon eikä vartaloon; rakenne vastaa siis postpositiolauseketta </w:t>
      </w:r>
      <w:r w:rsidR="00FC7388" w:rsidRPr="00FB4EFA">
        <w:rPr>
          <w:rFonts w:cs="Times New Roman"/>
          <w:sz w:val="20"/>
          <w:szCs w:val="20"/>
          <w:lang w:val="fi-FI"/>
        </w:rPr>
        <w:br/>
      </w:r>
      <w:r w:rsidRPr="00FB4EFA">
        <w:rPr>
          <w:rFonts w:cs="Times New Roman"/>
          <w:sz w:val="20"/>
          <w:szCs w:val="20"/>
          <w:lang w:val="fi-FI"/>
        </w:rPr>
        <w:t xml:space="preserve">(a). Toiseksi </w:t>
      </w:r>
      <w:r w:rsidRPr="00FB4EFA">
        <w:rPr>
          <w:rFonts w:cs="Times New Roman"/>
          <w:i/>
          <w:iCs/>
          <w:sz w:val="20"/>
          <w:szCs w:val="20"/>
          <w:lang w:val="fi-FI"/>
        </w:rPr>
        <w:t>kaa</w:t>
      </w:r>
      <w:r w:rsidRPr="00FB4EFA">
        <w:rPr>
          <w:rFonts w:cs="Times New Roman"/>
          <w:sz w:val="20"/>
          <w:szCs w:val="20"/>
          <w:lang w:val="fi-FI"/>
        </w:rPr>
        <w:t xml:space="preserve">-lopun epäsijamaisuus näkyy siinä, että se liittyy </w:t>
      </w:r>
      <w:r w:rsidR="00FC7388" w:rsidRPr="00FB4EFA">
        <w:rPr>
          <w:rFonts w:cs="Times New Roman"/>
          <w:sz w:val="20"/>
          <w:szCs w:val="20"/>
          <w:lang w:val="fi-FI"/>
        </w:rPr>
        <w:br/>
      </w:r>
      <w:r w:rsidRPr="00FB4EFA">
        <w:rPr>
          <w:rFonts w:cs="Times New Roman"/>
          <w:sz w:val="20"/>
          <w:szCs w:val="20"/>
          <w:lang w:val="fi-FI"/>
        </w:rPr>
        <w:t xml:space="preserve">rinnastuksessa vain jälkimmäiseen rinnastettavaan (b) ja ettei se </w:t>
      </w:r>
      <w:r w:rsidR="00FC7388" w:rsidRPr="00FB4EFA">
        <w:rPr>
          <w:rFonts w:cs="Times New Roman"/>
          <w:sz w:val="20"/>
          <w:szCs w:val="20"/>
          <w:lang w:val="fi-FI"/>
        </w:rPr>
        <w:br/>
      </w:r>
      <w:r w:rsidRPr="00FB4EFA">
        <w:rPr>
          <w:rFonts w:cs="Times New Roman"/>
          <w:sz w:val="20"/>
          <w:szCs w:val="20"/>
          <w:lang w:val="fi-FI"/>
        </w:rPr>
        <w:t>esiinny adjektiivimääritteessä (c).</w:t>
      </w:r>
    </w:p>
    <w:p w14:paraId="2AB9BD8C" w14:textId="3B74264D" w:rsidR="003E0C4B" w:rsidRPr="00FB4EFA" w:rsidRDefault="003E0C4B" w:rsidP="00863238">
      <w:pPr>
        <w:tabs>
          <w:tab w:val="left" w:pos="1276"/>
          <w:tab w:val="left" w:pos="2835"/>
          <w:tab w:val="left" w:pos="4678"/>
          <w:tab w:val="left" w:pos="5387"/>
        </w:tabs>
        <w:spacing w:line="240" w:lineRule="auto"/>
        <w:ind w:left="720"/>
        <w:rPr>
          <w:rFonts w:cs="Times New Roman"/>
          <w:sz w:val="20"/>
          <w:szCs w:val="20"/>
          <w:lang w:val="fi-FI"/>
        </w:rPr>
      </w:pPr>
      <w:r w:rsidRPr="00FB4EFA">
        <w:rPr>
          <w:rFonts w:cs="Times New Roman"/>
          <w:sz w:val="20"/>
          <w:szCs w:val="20"/>
          <w:lang w:val="fi-FI"/>
        </w:rPr>
        <w:lastRenderedPageBreak/>
        <w:t>(a)</w:t>
      </w:r>
      <w:r w:rsidRPr="00FB4EFA">
        <w:rPr>
          <w:rFonts w:cs="Times New Roman"/>
          <w:sz w:val="20"/>
          <w:szCs w:val="20"/>
          <w:lang w:val="fi-FI"/>
        </w:rPr>
        <w:tab/>
        <w:t>Mati</w:t>
      </w:r>
      <w:r w:rsidRPr="00FB4EFA">
        <w:rPr>
          <w:rFonts w:cs="Times New Roman"/>
          <w:i/>
          <w:iCs/>
          <w:sz w:val="20"/>
          <w:szCs w:val="20"/>
          <w:lang w:val="fi-FI"/>
        </w:rPr>
        <w:t>n</w:t>
      </w:r>
      <w:r w:rsidRPr="00FB4EFA">
        <w:rPr>
          <w:rFonts w:cs="Times New Roman"/>
          <w:sz w:val="20"/>
          <w:szCs w:val="20"/>
          <w:lang w:val="fi-FI"/>
        </w:rPr>
        <w:t>+kaa</w:t>
      </w:r>
      <w:r w:rsidRPr="00FB4EFA">
        <w:rPr>
          <w:rFonts w:cs="Times New Roman"/>
          <w:sz w:val="20"/>
          <w:szCs w:val="20"/>
          <w:lang w:val="fi-FI"/>
        </w:rPr>
        <w:tab/>
        <w:t>*Mati+kaa</w:t>
      </w:r>
      <w:r w:rsidRPr="00FB4EFA">
        <w:rPr>
          <w:rFonts w:cs="Times New Roman"/>
          <w:sz w:val="20"/>
          <w:szCs w:val="20"/>
          <w:lang w:val="fi-FI"/>
        </w:rPr>
        <w:tab/>
      </w:r>
      <w:r w:rsidRPr="00FB4EFA">
        <w:rPr>
          <w:rFonts w:cs="Times New Roman"/>
          <w:smallCaps/>
          <w:sz w:val="20"/>
          <w:szCs w:val="20"/>
          <w:lang w:val="fi-FI"/>
        </w:rPr>
        <w:t>vrt</w:t>
      </w:r>
      <w:r w:rsidRPr="00FB4EFA">
        <w:rPr>
          <w:rFonts w:cs="Times New Roman"/>
          <w:sz w:val="20"/>
          <w:szCs w:val="20"/>
          <w:lang w:val="fi-FI"/>
        </w:rPr>
        <w:t>.</w:t>
      </w:r>
      <w:r w:rsidRPr="00FB4EFA">
        <w:rPr>
          <w:rFonts w:cs="Times New Roman"/>
          <w:sz w:val="20"/>
          <w:szCs w:val="20"/>
          <w:lang w:val="fi-FI"/>
        </w:rPr>
        <w:tab/>
        <w:t>Mati+lla</w:t>
      </w:r>
    </w:p>
    <w:p w14:paraId="32A96F8A" w14:textId="77777777" w:rsidR="003E0C4B" w:rsidRPr="00FB4EFA" w:rsidRDefault="003E0C4B" w:rsidP="00863238">
      <w:pPr>
        <w:tabs>
          <w:tab w:val="left" w:pos="1276"/>
          <w:tab w:val="left" w:pos="2835"/>
          <w:tab w:val="left" w:pos="4678"/>
          <w:tab w:val="left" w:pos="5387"/>
        </w:tabs>
        <w:spacing w:line="240" w:lineRule="auto"/>
        <w:ind w:left="720"/>
        <w:rPr>
          <w:rFonts w:cs="Times New Roman"/>
          <w:sz w:val="20"/>
          <w:szCs w:val="20"/>
          <w:lang w:val="fi-FI"/>
        </w:rPr>
      </w:pPr>
      <w:r w:rsidRPr="00FB4EFA">
        <w:rPr>
          <w:rFonts w:cs="Times New Roman"/>
          <w:sz w:val="20"/>
          <w:szCs w:val="20"/>
          <w:lang w:val="fi-FI"/>
        </w:rPr>
        <w:t>(b)</w:t>
      </w:r>
      <w:r w:rsidRPr="00FB4EFA">
        <w:rPr>
          <w:rFonts w:cs="Times New Roman"/>
          <w:sz w:val="20"/>
          <w:szCs w:val="20"/>
          <w:lang w:val="fi-FI"/>
        </w:rPr>
        <w:tab/>
        <w:t>isän ja äitin</w:t>
      </w:r>
      <w:r w:rsidRPr="00FB4EFA">
        <w:rPr>
          <w:rFonts w:cs="Times New Roman"/>
          <w:i/>
          <w:iCs/>
          <w:sz w:val="20"/>
          <w:szCs w:val="20"/>
          <w:lang w:val="fi-FI"/>
        </w:rPr>
        <w:t>kaa</w:t>
      </w:r>
      <w:r w:rsidRPr="00FB4EFA">
        <w:rPr>
          <w:rFonts w:cs="Times New Roman"/>
          <w:sz w:val="20"/>
          <w:szCs w:val="20"/>
          <w:lang w:val="fi-FI"/>
        </w:rPr>
        <w:tab/>
        <w:t>?isänkaa ja äitinkaa</w:t>
      </w:r>
      <w:r w:rsidRPr="00FB4EFA">
        <w:rPr>
          <w:rFonts w:cs="Times New Roman"/>
          <w:sz w:val="20"/>
          <w:szCs w:val="20"/>
          <w:lang w:val="fi-FI"/>
        </w:rPr>
        <w:tab/>
      </w:r>
      <w:r w:rsidRPr="00FB4EFA">
        <w:rPr>
          <w:rFonts w:cs="Times New Roman"/>
          <w:smallCaps/>
          <w:sz w:val="20"/>
          <w:szCs w:val="20"/>
          <w:lang w:val="fi-FI"/>
        </w:rPr>
        <w:t>vrt</w:t>
      </w:r>
      <w:r w:rsidRPr="00FB4EFA">
        <w:rPr>
          <w:rFonts w:cs="Times New Roman"/>
          <w:sz w:val="20"/>
          <w:szCs w:val="20"/>
          <w:lang w:val="fi-FI"/>
        </w:rPr>
        <w:t>.</w:t>
      </w:r>
      <w:r w:rsidRPr="00FB4EFA">
        <w:rPr>
          <w:rFonts w:cs="Times New Roman"/>
          <w:sz w:val="20"/>
          <w:szCs w:val="20"/>
          <w:lang w:val="fi-FI"/>
        </w:rPr>
        <w:tab/>
        <w:t>isällä ja äitillä</w:t>
      </w:r>
    </w:p>
    <w:p w14:paraId="2928C625" w14:textId="77777777" w:rsidR="003E0C4B" w:rsidRPr="00FB4EFA" w:rsidRDefault="003E0C4B" w:rsidP="00863238">
      <w:pPr>
        <w:tabs>
          <w:tab w:val="left" w:pos="1276"/>
          <w:tab w:val="left" w:pos="2835"/>
          <w:tab w:val="left" w:pos="4678"/>
          <w:tab w:val="left" w:pos="5387"/>
        </w:tabs>
        <w:spacing w:line="240" w:lineRule="auto"/>
        <w:ind w:left="720"/>
        <w:rPr>
          <w:rFonts w:cs="Times New Roman"/>
          <w:sz w:val="20"/>
          <w:szCs w:val="20"/>
          <w:lang w:val="fi-FI"/>
        </w:rPr>
      </w:pPr>
      <w:r w:rsidRPr="00FB4EFA">
        <w:rPr>
          <w:rFonts w:cs="Times New Roman"/>
          <w:sz w:val="20"/>
          <w:szCs w:val="20"/>
          <w:lang w:val="fi-FI"/>
        </w:rPr>
        <w:t>(c)</w:t>
      </w:r>
      <w:r w:rsidRPr="00FB4EFA">
        <w:rPr>
          <w:rFonts w:cs="Times New Roman"/>
          <w:sz w:val="20"/>
          <w:szCs w:val="20"/>
          <w:lang w:val="fi-FI"/>
        </w:rPr>
        <w:tab/>
        <w:t>kivan pojankaa</w:t>
      </w:r>
      <w:r w:rsidRPr="00FB4EFA">
        <w:rPr>
          <w:rFonts w:cs="Times New Roman"/>
          <w:sz w:val="20"/>
          <w:szCs w:val="20"/>
          <w:lang w:val="fi-FI"/>
        </w:rPr>
        <w:tab/>
        <w:t>*kivan</w:t>
      </w:r>
      <w:r w:rsidRPr="00FB4EFA">
        <w:rPr>
          <w:rFonts w:cs="Times New Roman"/>
          <w:i/>
          <w:iCs/>
          <w:sz w:val="20"/>
          <w:szCs w:val="20"/>
          <w:lang w:val="fi-FI"/>
        </w:rPr>
        <w:t>kaa</w:t>
      </w:r>
      <w:r w:rsidRPr="00FB4EFA">
        <w:rPr>
          <w:rFonts w:cs="Times New Roman"/>
          <w:sz w:val="20"/>
          <w:szCs w:val="20"/>
          <w:lang w:val="fi-FI"/>
        </w:rPr>
        <w:t xml:space="preserve"> pojan</w:t>
      </w:r>
      <w:r w:rsidRPr="00FB4EFA">
        <w:rPr>
          <w:rFonts w:cs="Times New Roman"/>
          <w:i/>
          <w:iCs/>
          <w:sz w:val="20"/>
          <w:szCs w:val="20"/>
          <w:lang w:val="fi-FI"/>
        </w:rPr>
        <w:t>kaa</w:t>
      </w:r>
      <w:r w:rsidRPr="00FB4EFA">
        <w:rPr>
          <w:rFonts w:cs="Times New Roman"/>
          <w:sz w:val="20"/>
          <w:szCs w:val="20"/>
          <w:lang w:val="fi-FI"/>
        </w:rPr>
        <w:tab/>
      </w:r>
      <w:r w:rsidRPr="00FB4EFA">
        <w:rPr>
          <w:rFonts w:cs="Times New Roman"/>
          <w:smallCaps/>
          <w:sz w:val="20"/>
          <w:szCs w:val="20"/>
          <w:lang w:val="fi-FI"/>
        </w:rPr>
        <w:t>vrt</w:t>
      </w:r>
      <w:r w:rsidRPr="00FB4EFA">
        <w:rPr>
          <w:rFonts w:cs="Times New Roman"/>
          <w:sz w:val="20"/>
          <w:szCs w:val="20"/>
          <w:lang w:val="fi-FI"/>
        </w:rPr>
        <w:t>.</w:t>
      </w:r>
      <w:r w:rsidRPr="00FB4EFA">
        <w:rPr>
          <w:rFonts w:cs="Times New Roman"/>
          <w:sz w:val="20"/>
          <w:szCs w:val="20"/>
          <w:lang w:val="fi-FI"/>
        </w:rPr>
        <w:tab/>
        <w:t>kivalla pojalla</w:t>
      </w:r>
    </w:p>
    <w:p w14:paraId="4CE251C6" w14:textId="77777777" w:rsidR="003E0C4B" w:rsidRPr="00FB4EFA" w:rsidRDefault="003E0C4B" w:rsidP="00863238">
      <w:pPr>
        <w:spacing w:before="240" w:line="240" w:lineRule="auto"/>
        <w:ind w:left="720"/>
        <w:rPr>
          <w:rFonts w:cs="Times New Roman"/>
          <w:sz w:val="20"/>
          <w:szCs w:val="20"/>
          <w:lang w:val="fi-FI"/>
        </w:rPr>
      </w:pPr>
      <w:r w:rsidRPr="00FB4EFA">
        <w:rPr>
          <w:rFonts w:cs="Times New Roman"/>
          <w:sz w:val="20"/>
          <w:szCs w:val="20"/>
          <w:lang w:val="fi-FI"/>
        </w:rPr>
        <w:t>(ISK § 1266; ks. myös § 140)</w:t>
      </w:r>
    </w:p>
    <w:p w14:paraId="2BBF6267" w14:textId="2627307D" w:rsidR="003E0C4B" w:rsidRPr="00FB4EFA" w:rsidRDefault="003E0C4B" w:rsidP="00D06B39">
      <w:pPr>
        <w:spacing w:before="240"/>
        <w:rPr>
          <w:lang w:val="fi-FI"/>
        </w:rPr>
      </w:pPr>
      <w:r w:rsidRPr="00FB4EFA">
        <w:rPr>
          <w:lang w:val="fi-FI"/>
        </w:rPr>
        <w:t xml:space="preserve">Diakronisesta näkökulmasta eli kieliopillistumista tarkastellen samaa aihetta ovat esitelleet mm. Laitinen ja Lehtinen (1997: 7–8) sekä usein heihin viitaten mm. Sirola-Belliard (2011: 137, 140–141; 2016: 62), </w:t>
      </w:r>
      <w:r w:rsidR="00D06B39" w:rsidRPr="00FB4EFA">
        <w:rPr>
          <w:lang w:val="fi-FI"/>
        </w:rPr>
        <w:br/>
      </w:r>
      <w:r w:rsidRPr="00FB4EFA">
        <w:rPr>
          <w:lang w:val="fi-FI"/>
        </w:rPr>
        <w:t xml:space="preserve">Juvonen (2013) ja Vierula (2017). Samoja käsityksiä toistavat oppikirjoissa Ojutkangas ym. (2009: 217) ja Saarikivi (2020: 711). Kyseistä </w:t>
      </w:r>
      <w:r w:rsidRPr="00FB4EFA">
        <w:rPr>
          <w:i/>
          <w:iCs/>
          <w:lang w:val="fi-FI"/>
        </w:rPr>
        <w:t>kaa</w:t>
      </w:r>
      <w:r w:rsidRPr="00FB4EFA">
        <w:rPr>
          <w:lang w:val="fi-FI"/>
        </w:rPr>
        <w:t>-ainesta luonnehditaan usein ”eteläsuomalaiseen puhekieleen” kehittymässä olevaksi suffiksiksi, joka on ”menettänyt siinä määrin painoaan, että se tuntuu jo liittyvän edeltävään substantiiviin affiksina”, joskaan viroon verrattuna ”kehitys sijapäätteen suuntaan ei ole yhtä pitkällä” (Laitinen &amp; Lehtinen 1997:</w:t>
      </w:r>
      <w:r w:rsidR="00A75644" w:rsidRPr="00FB4EFA">
        <w:rPr>
          <w:lang w:val="fi-FI"/>
        </w:rPr>
        <w:t> </w:t>
      </w:r>
      <w:r w:rsidRPr="00FB4EFA">
        <w:rPr>
          <w:lang w:val="fi-FI"/>
        </w:rPr>
        <w:t xml:space="preserve">7). Kuvaukset ovat siis varsin dynaamisia ja toisaalta subjektiivisia: ilmiö kuuluu nykypuhekieleen ja entinen postpositio tuntuu olevan kehittymässä kieliopilliseksi suffiksiksi. Puhutun suomen kielen ja kieliopillistumisen tutkimuksen pitkään historiaan perehtymätön ei tällöin kenties tule panneeksi merkille sitä, että jo pari kolme sukupolvea aiemmin Ravila (1946: 47–48; 1961: 84) käytti kirjasessaan </w:t>
      </w:r>
      <w:r w:rsidRPr="00FB4EFA">
        <w:rPr>
          <w:i/>
          <w:iCs/>
          <w:lang w:val="fi-FI"/>
        </w:rPr>
        <w:t>Johdatus kielihistoriaan</w:t>
      </w:r>
      <w:r w:rsidRPr="00FB4EFA">
        <w:rPr>
          <w:lang w:val="fi-FI"/>
        </w:rPr>
        <w:t xml:space="preserve"> samaa tai oikeastaan paljon parempaa esimerkkiä sitä nimenomaisesti </w:t>
      </w:r>
      <w:r w:rsidRPr="00FB4EFA">
        <w:rPr>
          <w:i/>
          <w:iCs/>
          <w:lang w:val="fi-FI"/>
        </w:rPr>
        <w:t>grammatikalisaatioksi</w:t>
      </w:r>
      <w:r w:rsidRPr="00FB4EFA">
        <w:rPr>
          <w:lang w:val="fi-FI"/>
        </w:rPr>
        <w:t xml:space="preserve"> kutsuen. Ravilan mainitsema ilmiö – kaakkoishämäläisten ja Suomenlahden itäosan saarten murteiden vokaalisoinnullinen ja sen perusteella aidosti suffiksoitunut </w:t>
      </w:r>
      <w:r w:rsidRPr="00FB4EFA">
        <w:rPr>
          <w:i/>
          <w:iCs/>
          <w:lang w:val="fi-FI"/>
        </w:rPr>
        <w:t>nkAA</w:t>
      </w:r>
      <w:r w:rsidRPr="00FB4EFA">
        <w:rPr>
          <w:lang w:val="fi-FI"/>
        </w:rPr>
        <w:t>-komitatiivi (</w:t>
      </w:r>
      <w:r w:rsidRPr="00FB4EFA">
        <w:rPr>
          <w:i/>
          <w:iCs/>
          <w:lang w:val="fi-FI"/>
        </w:rPr>
        <w:t>pojankaa</w:t>
      </w:r>
      <w:r w:rsidRPr="00FB4EFA">
        <w:rPr>
          <w:lang w:val="fi-FI"/>
        </w:rPr>
        <w:t xml:space="preserve">, mutta </w:t>
      </w:r>
      <w:r w:rsidRPr="00FB4EFA">
        <w:rPr>
          <w:i/>
          <w:iCs/>
          <w:lang w:val="fi-FI"/>
        </w:rPr>
        <w:t>isänkää</w:t>
      </w:r>
      <w:r w:rsidRPr="00FB4EFA">
        <w:rPr>
          <w:lang w:val="fi-FI"/>
        </w:rPr>
        <w:t>) – sopikin oppikirjaesimerkiksi jo tuohon aikaan mm. siksi, että se oli tunnettu ja kuvattu jo pari sukupolvea aiemmin (Äimä 1901: 24).</w:t>
      </w:r>
    </w:p>
    <w:p w14:paraId="682EE188" w14:textId="1CC0BCE8" w:rsidR="003E0C4B" w:rsidRPr="00FB4EFA" w:rsidRDefault="003E0C4B" w:rsidP="00D06B39">
      <w:pPr>
        <w:ind w:firstLine="709"/>
        <w:rPr>
          <w:lang w:val="fi-FI"/>
        </w:rPr>
      </w:pPr>
      <w:r w:rsidRPr="00FB4EFA">
        <w:rPr>
          <w:lang w:val="fi-FI"/>
        </w:rPr>
        <w:t xml:space="preserve">Lähes kaikki edellä mainitut lähteet vertaavat suomen kielen kehitystä viron komitatiiviin. Tämä on silmiinpistävän yleinen piirre muissakin </w:t>
      </w:r>
      <w:r w:rsidRPr="00FB4EFA">
        <w:rPr>
          <w:i/>
          <w:iCs/>
          <w:lang w:val="fi-FI"/>
        </w:rPr>
        <w:t>kanssa</w:t>
      </w:r>
      <w:r w:rsidRPr="00FB4EFA">
        <w:rPr>
          <w:lang w:val="fi-FI"/>
        </w:rPr>
        <w:t xml:space="preserve">-aineksen olemusta ja kehitystä tarkastelevissa esityksissä. Vertaileva lähestymistapa ulottuu jopa yli kahdensadan vuoden taakse, ja itse asiassa jo kielitieteen esihistoriaan kuuluva Wexioniuksen (1650, luku X) kuvaus Ruotsin valtakunnasta sisältää havainnon, että suomen </w:t>
      </w:r>
      <w:r w:rsidRPr="00FB4EFA">
        <w:rPr>
          <w:i/>
          <w:iCs/>
          <w:lang w:val="fi-FI"/>
        </w:rPr>
        <w:t>cans</w:t>
      </w:r>
      <w:r w:rsidRPr="00FB4EFA">
        <w:rPr>
          <w:lang w:val="fi-FI"/>
        </w:rPr>
        <w:t xml:space="preserve"> ja viron </w:t>
      </w:r>
      <w:r w:rsidRPr="00FB4EFA">
        <w:rPr>
          <w:i/>
          <w:iCs/>
          <w:lang w:val="fi-FI"/>
        </w:rPr>
        <w:t>kahs</w:t>
      </w:r>
      <w:r w:rsidRPr="00FB4EFA">
        <w:rPr>
          <w:lang w:val="fi-FI"/>
        </w:rPr>
        <w:t xml:space="preserve"> vastaavat toisiaan. Kuitenkin vasta – tai jo – vuonna 1819 ilmestyi Turun akatemian oppineisuuden historian ja teoreettisen filosofian professorin, matemaatikkonakin kunnostautuneen Gabriel </w:t>
      </w:r>
      <w:r w:rsidR="00D06B39" w:rsidRPr="00FB4EFA">
        <w:rPr>
          <w:lang w:val="fi-FI"/>
        </w:rPr>
        <w:br/>
      </w:r>
      <w:r w:rsidRPr="00FB4EFA">
        <w:rPr>
          <w:lang w:val="fi-FI"/>
        </w:rPr>
        <w:lastRenderedPageBreak/>
        <w:t xml:space="preserve">Palanderin tutkimus suomen ja viron etymologisesta vertailusta, joka sisältää yli sivun pituisen petiitillä tiiviisti ladotun alaviitteen viron </w:t>
      </w:r>
      <w:r w:rsidRPr="00FB4EFA">
        <w:rPr>
          <w:i/>
          <w:iCs/>
          <w:lang w:val="fi-FI"/>
        </w:rPr>
        <w:t>ga</w:t>
      </w:r>
      <w:r w:rsidR="00863238" w:rsidRPr="00FB4EFA">
        <w:rPr>
          <w:lang w:val="fi-FI"/>
        </w:rPr>
        <w:noBreakHyphen/>
      </w:r>
      <w:r w:rsidRPr="00FB4EFA">
        <w:rPr>
          <w:lang w:val="fi-FI"/>
        </w:rPr>
        <w:t xml:space="preserve">elementin olemuksesta ja alkuperästä (Palander 1819: 9–11). Vaikka teemaa on käsitelty varsin moneen kertaan, Palanderiin ei liene tässä yhteydessä viitattu muualla kuin SSA:n (s.v. </w:t>
      </w:r>
      <w:r w:rsidRPr="00FB4EFA">
        <w:rPr>
          <w:i/>
          <w:iCs/>
          <w:lang w:val="fi-FI"/>
        </w:rPr>
        <w:t>kanssa</w:t>
      </w:r>
      <w:r w:rsidRPr="00FB4EFA">
        <w:rPr>
          <w:lang w:val="fi-FI"/>
        </w:rPr>
        <w:t xml:space="preserve">) kirjallisuuslähteissä. Tämä on suorastaan hämmästyttävää siksi, että jo Palander esittää ytimekkäästi lähes kaikki keskeiset argumentit ja näkökulmat, joihin </w:t>
      </w:r>
      <w:r w:rsidR="00D06B39" w:rsidRPr="00FB4EFA">
        <w:rPr>
          <w:lang w:val="fi-FI"/>
        </w:rPr>
        <w:br/>
      </w:r>
      <w:r w:rsidRPr="00FB4EFA">
        <w:rPr>
          <w:lang w:val="fi-FI"/>
        </w:rPr>
        <w:t>vedoten viron komitatiivin sijastatuksesta ja myöhemmin suomenkin komitatiiveista on keskusteltu.</w:t>
      </w:r>
    </w:p>
    <w:p w14:paraId="698F0F9F" w14:textId="2FD794E3" w:rsidR="003E0C4B" w:rsidRPr="00FB4EFA" w:rsidRDefault="003E0C4B" w:rsidP="00D06B39">
      <w:pPr>
        <w:ind w:firstLine="709"/>
        <w:rPr>
          <w:lang w:val="fi-FI"/>
        </w:rPr>
      </w:pPr>
      <w:r w:rsidRPr="00FB4EFA">
        <w:rPr>
          <w:lang w:val="fi-FI"/>
        </w:rPr>
        <w:t xml:space="preserve">Palanderin mukaan viron </w:t>
      </w:r>
      <w:r w:rsidRPr="00FB4EFA">
        <w:rPr>
          <w:i/>
          <w:iCs/>
          <w:lang w:val="fi-FI"/>
        </w:rPr>
        <w:t>ka ~ kaas</w:t>
      </w:r>
      <w:r w:rsidRPr="00FB4EFA">
        <w:rPr>
          <w:lang w:val="fi-FI"/>
        </w:rPr>
        <w:t xml:space="preserve"> on suomen </w:t>
      </w:r>
      <w:r w:rsidRPr="00FB4EFA">
        <w:rPr>
          <w:i/>
          <w:iCs/>
          <w:lang w:val="fi-FI"/>
        </w:rPr>
        <w:t>kanssa</w:t>
      </w:r>
      <w:r w:rsidRPr="00FB4EFA">
        <w:rPr>
          <w:lang w:val="fi-FI"/>
        </w:rPr>
        <w:t>-postposition etymologinen vastine, joka on ajan myötä sulautunut virossa päätteettömäksi lyhentyneeseen genetiiviin. Hänen mukaansa ne muodostavat niin tiiviin liiton, että se muistuttaa morfologian näkökulmasta sijapäätettä (</w:t>
      </w:r>
      <w:r w:rsidRPr="00FB4EFA">
        <w:rPr>
          <w:i/>
          <w:iCs/>
          <w:lang w:val="fi-FI"/>
        </w:rPr>
        <w:t>laiw</w:t>
      </w:r>
      <w:r w:rsidRPr="00FB4EFA">
        <w:rPr>
          <w:lang w:val="fi-FI"/>
        </w:rPr>
        <w:t xml:space="preserve"> : </w:t>
      </w:r>
      <w:r w:rsidRPr="00FB4EFA">
        <w:rPr>
          <w:i/>
          <w:iCs/>
          <w:lang w:val="fi-FI"/>
        </w:rPr>
        <w:t>laiwa</w:t>
      </w:r>
      <w:r w:rsidRPr="00FB4EFA">
        <w:rPr>
          <w:lang w:val="fi-FI"/>
        </w:rPr>
        <w:t xml:space="preserve"> &amp; </w:t>
      </w:r>
      <w:r w:rsidRPr="00FB4EFA">
        <w:rPr>
          <w:i/>
          <w:iCs/>
          <w:lang w:val="fi-FI"/>
        </w:rPr>
        <w:t>ka</w:t>
      </w:r>
      <w:r w:rsidRPr="00FB4EFA">
        <w:rPr>
          <w:lang w:val="fi-FI"/>
        </w:rPr>
        <w:t xml:space="preserve"> &gt; </w:t>
      </w:r>
      <w:r w:rsidRPr="00FB4EFA">
        <w:rPr>
          <w:i/>
          <w:iCs/>
          <w:lang w:val="fi-FI"/>
        </w:rPr>
        <w:t>laiwaga</w:t>
      </w:r>
      <w:r w:rsidRPr="00FB4EFA">
        <w:rPr>
          <w:lang w:val="fi-FI"/>
        </w:rPr>
        <w:t>). Toisaalta lauseopilliset seikat – samassa sijassa kongruoimattomat määritteet (</w:t>
      </w:r>
      <w:r w:rsidRPr="00FB4EFA">
        <w:rPr>
          <w:i/>
          <w:iCs/>
          <w:lang w:val="fi-FI"/>
        </w:rPr>
        <w:t>ühhe laasto ga</w:t>
      </w:r>
      <w:r w:rsidRPr="00FB4EFA">
        <w:rPr>
          <w:lang w:val="fi-FI"/>
        </w:rPr>
        <w:t xml:space="preserve"> pro *</w:t>
      </w:r>
      <w:r w:rsidRPr="00FB4EFA">
        <w:rPr>
          <w:i/>
          <w:iCs/>
          <w:lang w:val="fi-FI"/>
        </w:rPr>
        <w:t>ühhega laastoga</w:t>
      </w:r>
      <w:r w:rsidRPr="00FB4EFA">
        <w:rPr>
          <w:lang w:val="fi-FI"/>
        </w:rPr>
        <w:t xml:space="preserve"> sananlaskussa </w:t>
      </w:r>
      <w:r w:rsidRPr="00FB4EFA">
        <w:rPr>
          <w:i/>
          <w:iCs/>
          <w:lang w:val="fi-FI"/>
        </w:rPr>
        <w:t>ei pu lange ühhe laastoga</w:t>
      </w:r>
      <w:r w:rsidRPr="00FB4EFA">
        <w:rPr>
          <w:lang w:val="fi-FI"/>
        </w:rPr>
        <w:t>) ja elementin tavallinen toistumattomuus rinnasteisissa lausekkeissa – viittaavat siihen, että kyse ei ole vielä täysimittaisesta sijasuffiksista vaan pikemminkin edelleen postpositiosta. Palander kiinnittää kuitenkin huomiota myös siihen, että hänen aikanaan -</w:t>
      </w:r>
      <w:r w:rsidRPr="00FB4EFA">
        <w:rPr>
          <w:i/>
          <w:iCs/>
          <w:lang w:val="fi-FI"/>
        </w:rPr>
        <w:t>ga</w:t>
      </w:r>
      <w:r w:rsidRPr="00FB4EFA">
        <w:rPr>
          <w:lang w:val="fi-FI"/>
        </w:rPr>
        <w:t xml:space="preserve"> kirjoitettiin jo suffiksina, mutta vanhemmassa kirjavirossa vielä itsenäisenä sanana (esim. </w:t>
      </w:r>
      <w:r w:rsidRPr="00FB4EFA">
        <w:rPr>
          <w:i/>
          <w:iCs/>
          <w:lang w:val="fi-FI"/>
        </w:rPr>
        <w:t>ühhe laasto kaas ~ ka</w:t>
      </w:r>
      <w:r w:rsidRPr="00FB4EFA">
        <w:rPr>
          <w:lang w:val="fi-FI"/>
        </w:rPr>
        <w:t xml:space="preserve"> tai </w:t>
      </w:r>
      <w:r w:rsidRPr="00FB4EFA">
        <w:rPr>
          <w:i/>
          <w:iCs/>
          <w:lang w:val="fi-FI"/>
        </w:rPr>
        <w:t>naese ja laste kaas</w:t>
      </w:r>
      <w:r w:rsidRPr="00FB4EFA">
        <w:rPr>
          <w:lang w:val="fi-FI"/>
        </w:rPr>
        <w:t xml:space="preserve"> pro myöhempi </w:t>
      </w:r>
      <w:r w:rsidRPr="00FB4EFA">
        <w:rPr>
          <w:i/>
          <w:iCs/>
          <w:lang w:val="fi-FI"/>
        </w:rPr>
        <w:t>naise ja lastega</w:t>
      </w:r>
      <w:r w:rsidRPr="00FB4EFA">
        <w:rPr>
          <w:lang w:val="fi-FI"/>
        </w:rPr>
        <w:t xml:space="preserve">). Viron ja suomen samankaltaisuus on Palanderin mukaan joka tapauksessa yhä ilmeinen: </w:t>
      </w:r>
      <w:r w:rsidRPr="00FB4EFA">
        <w:rPr>
          <w:i/>
          <w:iCs/>
          <w:lang w:val="fi-FI"/>
        </w:rPr>
        <w:t>temma läks emma ja naese ja lastega</w:t>
      </w:r>
      <w:r w:rsidRPr="00FB4EFA">
        <w:rPr>
          <w:lang w:val="fi-FI"/>
        </w:rPr>
        <w:t xml:space="preserve"> on suomeksi </w:t>
      </w:r>
      <w:r w:rsidRPr="00FB4EFA">
        <w:rPr>
          <w:i/>
          <w:iCs/>
          <w:lang w:val="fi-FI"/>
        </w:rPr>
        <w:t xml:space="preserve">Hän läkse äidin ja </w:t>
      </w:r>
      <w:r w:rsidR="00D06B39" w:rsidRPr="00FB4EFA">
        <w:rPr>
          <w:i/>
          <w:iCs/>
          <w:lang w:val="fi-FI"/>
        </w:rPr>
        <w:br/>
      </w:r>
      <w:r w:rsidRPr="00FB4EFA">
        <w:rPr>
          <w:i/>
          <w:iCs/>
          <w:lang w:val="fi-FI"/>
        </w:rPr>
        <w:t>waimon ja lasten kanssa</w:t>
      </w:r>
      <w:r w:rsidRPr="00FB4EFA">
        <w:rPr>
          <w:lang w:val="fi-FI"/>
        </w:rPr>
        <w:t>.</w:t>
      </w:r>
    </w:p>
    <w:p w14:paraId="7754CE41" w14:textId="44B5EB43" w:rsidR="003E0C4B" w:rsidRPr="00FB4EFA" w:rsidRDefault="003E0C4B" w:rsidP="00863238">
      <w:pPr>
        <w:spacing w:after="240"/>
        <w:ind w:firstLine="709"/>
        <w:rPr>
          <w:lang w:val="fi-FI"/>
        </w:rPr>
      </w:pPr>
      <w:r w:rsidRPr="00FB4EFA">
        <w:rPr>
          <w:lang w:val="fi-FI"/>
        </w:rPr>
        <w:t xml:space="preserve">Palanderin argumentit olivat siis aivan samat kuin meidän aikanamme, ja omana aikanaan erittäin edistyksellisiä. Toki tiede on edistynyt tämän jälkeenkin ja sitä kuvatakseni esitän taulukossa 1 joukon havaitsemiani merkkipaaluja aiheen tutkimushistoriassa. Näkökulmani on enemmän suomalainen kuin virolainen, koska viron </w:t>
      </w:r>
      <w:r w:rsidRPr="00FB4EFA">
        <w:rPr>
          <w:i/>
          <w:iCs/>
          <w:lang w:val="fi-FI"/>
        </w:rPr>
        <w:t>ga</w:t>
      </w:r>
      <w:r w:rsidRPr="00FB4EFA">
        <w:rPr>
          <w:lang w:val="fi-FI"/>
        </w:rPr>
        <w:t>-komitatiivin sijastatuksesta on jo pitkään vallinnut laaja yksimielisyys, kun taas sen suomalaisista vastineista esitetyt näkemykset ovat ajan mittaan sekä lisääntyneet että monipuolistuneet, mutta samalla saaneet piirteitä, jotka kaipaavat kriittistä tarkastelua.</w:t>
      </w:r>
    </w:p>
    <w:tbl>
      <w:tblPr>
        <w:tblW w:w="6904" w:type="dxa"/>
        <w:tblBorders>
          <w:insideH w:val="single" w:sz="4" w:space="0" w:color="auto"/>
          <w:insideV w:val="single" w:sz="4" w:space="0" w:color="auto"/>
        </w:tblBorders>
        <w:tblLook w:val="04A0" w:firstRow="1" w:lastRow="0" w:firstColumn="1" w:lastColumn="0" w:noHBand="0" w:noVBand="1"/>
      </w:tblPr>
      <w:tblGrid>
        <w:gridCol w:w="1838"/>
        <w:gridCol w:w="5066"/>
      </w:tblGrid>
      <w:tr w:rsidR="00FB4EFA" w:rsidRPr="00FB4EFA" w14:paraId="52E67B53" w14:textId="77777777" w:rsidTr="00816D34">
        <w:trPr>
          <w:trHeight w:val="57"/>
        </w:trPr>
        <w:tc>
          <w:tcPr>
            <w:tcW w:w="1838" w:type="dxa"/>
          </w:tcPr>
          <w:p w14:paraId="0B799624" w14:textId="77777777" w:rsidR="003E0C4B" w:rsidRPr="00FB4EFA" w:rsidRDefault="003E0C4B" w:rsidP="00D06B39">
            <w:pPr>
              <w:keepNext/>
              <w:keepLines/>
              <w:spacing w:line="240" w:lineRule="auto"/>
              <w:jc w:val="left"/>
              <w:rPr>
                <w:sz w:val="20"/>
                <w:szCs w:val="20"/>
                <w:lang w:val="fi-FI"/>
              </w:rPr>
            </w:pPr>
            <w:r w:rsidRPr="00FB4EFA">
              <w:rPr>
                <w:rFonts w:cs="Times New Roman"/>
                <w:sz w:val="20"/>
                <w:szCs w:val="20"/>
                <w:lang w:val="fi-FI"/>
              </w:rPr>
              <w:lastRenderedPageBreak/>
              <w:t>Wexionius (1650)</w:t>
            </w:r>
          </w:p>
        </w:tc>
        <w:tc>
          <w:tcPr>
            <w:tcW w:w="5066" w:type="dxa"/>
          </w:tcPr>
          <w:p w14:paraId="5281A6BD" w14:textId="77777777" w:rsidR="003E0C4B" w:rsidRPr="00FB4EFA" w:rsidRDefault="003E0C4B" w:rsidP="00816D34">
            <w:pPr>
              <w:keepNext/>
              <w:keepLines/>
              <w:spacing w:line="240" w:lineRule="auto"/>
              <w:rPr>
                <w:sz w:val="20"/>
                <w:szCs w:val="20"/>
                <w:lang w:val="fi-FI"/>
              </w:rPr>
            </w:pPr>
            <w:r w:rsidRPr="00FB4EFA">
              <w:rPr>
                <w:rFonts w:cs="Times New Roman"/>
                <w:sz w:val="20"/>
                <w:szCs w:val="20"/>
                <w:lang w:val="fi-FI"/>
              </w:rPr>
              <w:t xml:space="preserve">rinnastaa sanat </w:t>
            </w:r>
            <w:r w:rsidRPr="00FB4EFA">
              <w:rPr>
                <w:rFonts w:cs="Times New Roman"/>
                <w:i/>
                <w:iCs/>
                <w:sz w:val="20"/>
                <w:szCs w:val="20"/>
                <w:lang w:val="fi-FI"/>
              </w:rPr>
              <w:t>cans</w:t>
            </w:r>
            <w:r w:rsidRPr="00FB4EFA">
              <w:rPr>
                <w:rFonts w:cs="Times New Roman"/>
                <w:sz w:val="20"/>
                <w:szCs w:val="20"/>
                <w:lang w:val="fi-FI"/>
              </w:rPr>
              <w:t xml:space="preserve"> ja </w:t>
            </w:r>
            <w:r w:rsidRPr="00FB4EFA">
              <w:rPr>
                <w:rFonts w:cs="Times New Roman"/>
                <w:i/>
                <w:iCs/>
                <w:sz w:val="20"/>
                <w:szCs w:val="20"/>
                <w:lang w:val="fi-FI"/>
              </w:rPr>
              <w:t>kahs</w:t>
            </w:r>
            <w:r w:rsidRPr="00FB4EFA">
              <w:rPr>
                <w:rFonts w:cs="Times New Roman"/>
                <w:sz w:val="20"/>
                <w:szCs w:val="20"/>
                <w:lang w:val="fi-FI"/>
              </w:rPr>
              <w:t>.</w:t>
            </w:r>
          </w:p>
        </w:tc>
      </w:tr>
      <w:tr w:rsidR="00FB4EFA" w:rsidRPr="00FB4EFA" w14:paraId="20291255" w14:textId="77777777" w:rsidTr="00816D34">
        <w:tc>
          <w:tcPr>
            <w:tcW w:w="1838" w:type="dxa"/>
          </w:tcPr>
          <w:p w14:paraId="6F15F0BF" w14:textId="77777777" w:rsidR="003E0C4B" w:rsidRPr="00FB4EFA" w:rsidRDefault="003E0C4B" w:rsidP="00D06B39">
            <w:pPr>
              <w:keepNext/>
              <w:keepLines/>
              <w:spacing w:line="240" w:lineRule="auto"/>
              <w:jc w:val="left"/>
              <w:rPr>
                <w:sz w:val="20"/>
                <w:szCs w:val="20"/>
                <w:lang w:val="fi-FI"/>
              </w:rPr>
            </w:pPr>
            <w:r w:rsidRPr="00FB4EFA">
              <w:rPr>
                <w:rFonts w:cs="Times New Roman"/>
                <w:sz w:val="20"/>
                <w:szCs w:val="20"/>
                <w:lang w:val="fi-FI"/>
              </w:rPr>
              <w:t>Palander (1819)</w:t>
            </w:r>
          </w:p>
        </w:tc>
        <w:tc>
          <w:tcPr>
            <w:tcW w:w="5066" w:type="dxa"/>
          </w:tcPr>
          <w:p w14:paraId="37C1C82C" w14:textId="77777777" w:rsidR="003E0C4B" w:rsidRPr="00FB4EFA" w:rsidRDefault="003E0C4B" w:rsidP="00816D34">
            <w:pPr>
              <w:keepNext/>
              <w:keepLines/>
              <w:spacing w:line="240" w:lineRule="auto"/>
              <w:rPr>
                <w:sz w:val="20"/>
                <w:szCs w:val="20"/>
                <w:lang w:val="fi-FI"/>
              </w:rPr>
            </w:pPr>
            <w:r w:rsidRPr="00FB4EFA">
              <w:rPr>
                <w:rFonts w:cs="Times New Roman"/>
                <w:sz w:val="20"/>
                <w:szCs w:val="20"/>
                <w:lang w:val="fi-FI"/>
              </w:rPr>
              <w:t xml:space="preserve">pohtii viron </w:t>
            </w:r>
            <w:r w:rsidRPr="00FB4EFA">
              <w:rPr>
                <w:rFonts w:cs="Times New Roman"/>
                <w:i/>
                <w:iCs/>
                <w:sz w:val="20"/>
                <w:szCs w:val="20"/>
                <w:lang w:val="fi-FI"/>
              </w:rPr>
              <w:t>ga</w:t>
            </w:r>
            <w:r w:rsidRPr="00FB4EFA">
              <w:rPr>
                <w:rFonts w:cs="Times New Roman"/>
                <w:sz w:val="20"/>
                <w:szCs w:val="20"/>
                <w:lang w:val="fi-FI"/>
              </w:rPr>
              <w:t xml:space="preserve">-komitatiivin sijastatusta, joskin päätyy kielteiseen vastaukseen; vertaa sen käyttöä suomen </w:t>
            </w:r>
            <w:r w:rsidRPr="00FB4EFA">
              <w:rPr>
                <w:rFonts w:cs="Times New Roman"/>
                <w:i/>
                <w:iCs/>
                <w:sz w:val="20"/>
                <w:szCs w:val="20"/>
                <w:lang w:val="fi-FI"/>
              </w:rPr>
              <w:t>kanssa</w:t>
            </w:r>
            <w:r w:rsidRPr="00FB4EFA">
              <w:rPr>
                <w:rFonts w:cs="Times New Roman"/>
                <w:sz w:val="20"/>
                <w:szCs w:val="20"/>
                <w:lang w:val="fi-FI"/>
              </w:rPr>
              <w:t>-postpositioon.</w:t>
            </w:r>
          </w:p>
        </w:tc>
      </w:tr>
      <w:tr w:rsidR="00FB4EFA" w:rsidRPr="00FB4EFA" w14:paraId="76414071" w14:textId="77777777" w:rsidTr="00816D34">
        <w:tc>
          <w:tcPr>
            <w:tcW w:w="1838" w:type="dxa"/>
          </w:tcPr>
          <w:p w14:paraId="62B11241"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Renvall (1826)</w:t>
            </w:r>
          </w:p>
        </w:tc>
        <w:tc>
          <w:tcPr>
            <w:tcW w:w="5066" w:type="dxa"/>
          </w:tcPr>
          <w:p w14:paraId="3E163D7A"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arvelee </w:t>
            </w:r>
            <w:r w:rsidRPr="00FB4EFA">
              <w:rPr>
                <w:rFonts w:cs="Times New Roman"/>
                <w:i/>
                <w:iCs/>
                <w:sz w:val="20"/>
                <w:szCs w:val="20"/>
                <w:lang w:val="fi-FI"/>
              </w:rPr>
              <w:t>kanssa</w:t>
            </w:r>
            <w:r w:rsidRPr="00FB4EFA">
              <w:rPr>
                <w:rFonts w:cs="Times New Roman"/>
                <w:sz w:val="20"/>
                <w:szCs w:val="20"/>
                <w:lang w:val="fi-FI"/>
              </w:rPr>
              <w:t xml:space="preserve">-postpositiota alkuaan substantiivin </w:t>
            </w:r>
            <w:r w:rsidRPr="00FB4EFA">
              <w:rPr>
                <w:rFonts w:cs="Times New Roman"/>
                <w:i/>
                <w:iCs/>
                <w:sz w:val="20"/>
                <w:szCs w:val="20"/>
                <w:lang w:val="fi-FI"/>
              </w:rPr>
              <w:t>kansa</w:t>
            </w:r>
            <w:r w:rsidRPr="00FB4EFA">
              <w:rPr>
                <w:rFonts w:cs="Times New Roman"/>
                <w:sz w:val="20"/>
                <w:szCs w:val="20"/>
                <w:lang w:val="fi-FI"/>
              </w:rPr>
              <w:t xml:space="preserve"> inessiivimuodoksi.</w:t>
            </w:r>
          </w:p>
        </w:tc>
      </w:tr>
      <w:tr w:rsidR="00FB4EFA" w:rsidRPr="00FB4EFA" w14:paraId="2F58CE47" w14:textId="77777777" w:rsidTr="00816D34">
        <w:tc>
          <w:tcPr>
            <w:tcW w:w="1838" w:type="dxa"/>
          </w:tcPr>
          <w:p w14:paraId="4052280F"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Fählmann (1844)</w:t>
            </w:r>
          </w:p>
        </w:tc>
        <w:tc>
          <w:tcPr>
            <w:tcW w:w="5066" w:type="dxa"/>
          </w:tcPr>
          <w:p w14:paraId="2AD7AEC7"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tulkitsee </w:t>
            </w:r>
            <w:r w:rsidRPr="00FB4EFA">
              <w:rPr>
                <w:rFonts w:cs="Times New Roman"/>
                <w:i/>
                <w:iCs/>
                <w:sz w:val="20"/>
                <w:szCs w:val="20"/>
                <w:lang w:val="fi-FI"/>
              </w:rPr>
              <w:t>ga</w:t>
            </w:r>
            <w:r w:rsidRPr="00FB4EFA">
              <w:rPr>
                <w:rFonts w:cs="Times New Roman"/>
                <w:sz w:val="20"/>
                <w:szCs w:val="20"/>
                <w:lang w:val="fi-FI"/>
              </w:rPr>
              <w:t>-komitatiivin ensi kertaa sijaksi.</w:t>
            </w:r>
          </w:p>
        </w:tc>
      </w:tr>
      <w:tr w:rsidR="00FB4EFA" w:rsidRPr="00FB4EFA" w14:paraId="439B3088" w14:textId="77777777" w:rsidTr="00816D34">
        <w:tc>
          <w:tcPr>
            <w:tcW w:w="1838" w:type="dxa"/>
          </w:tcPr>
          <w:p w14:paraId="7CEE464B"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Lönnrot (1844)</w:t>
            </w:r>
          </w:p>
        </w:tc>
        <w:tc>
          <w:tcPr>
            <w:tcW w:w="5066" w:type="dxa"/>
          </w:tcPr>
          <w:p w14:paraId="5C0B968B" w14:textId="77777777" w:rsidR="003E0C4B" w:rsidRPr="00FB4EFA" w:rsidRDefault="003E0C4B" w:rsidP="00816D34">
            <w:pPr>
              <w:spacing w:line="240" w:lineRule="auto"/>
              <w:rPr>
                <w:sz w:val="20"/>
                <w:szCs w:val="20"/>
                <w:lang w:val="fi-FI"/>
              </w:rPr>
            </w:pPr>
            <w:r w:rsidRPr="00FB4EFA">
              <w:rPr>
                <w:rFonts w:cs="Times New Roman"/>
                <w:sz w:val="20"/>
                <w:szCs w:val="20"/>
                <w:lang w:val="fi-FI"/>
              </w:rPr>
              <w:t>vertaa viron komitatiivisijaa suomeen ja katsoo sen muistuttavan lähinnä instruktiivia.</w:t>
            </w:r>
          </w:p>
        </w:tc>
      </w:tr>
      <w:tr w:rsidR="00FB4EFA" w:rsidRPr="00FB4EFA" w14:paraId="2E6BD4A3" w14:textId="77777777" w:rsidTr="00816D34">
        <w:tc>
          <w:tcPr>
            <w:tcW w:w="1838" w:type="dxa"/>
          </w:tcPr>
          <w:p w14:paraId="33A1A9AC" w14:textId="5DD9A5FF" w:rsidR="003E0C4B" w:rsidRPr="00FB4EFA" w:rsidRDefault="003E0C4B" w:rsidP="00863238">
            <w:pPr>
              <w:keepLines/>
              <w:spacing w:line="240" w:lineRule="auto"/>
              <w:jc w:val="left"/>
              <w:rPr>
                <w:sz w:val="20"/>
                <w:szCs w:val="20"/>
                <w:lang w:val="fi-FI"/>
              </w:rPr>
            </w:pPr>
            <w:r w:rsidRPr="00FB4EFA">
              <w:rPr>
                <w:rFonts w:cs="Times New Roman"/>
                <w:sz w:val="20"/>
                <w:szCs w:val="20"/>
                <w:lang w:val="fi-FI"/>
              </w:rPr>
              <w:t>Wiedemann (1864)</w:t>
            </w:r>
          </w:p>
        </w:tc>
        <w:tc>
          <w:tcPr>
            <w:tcW w:w="5066" w:type="dxa"/>
          </w:tcPr>
          <w:p w14:paraId="5BF70446" w14:textId="77777777" w:rsidR="003E0C4B" w:rsidRPr="00FB4EFA" w:rsidRDefault="003E0C4B" w:rsidP="00816D34">
            <w:pPr>
              <w:keepLines/>
              <w:spacing w:line="240" w:lineRule="auto"/>
              <w:rPr>
                <w:sz w:val="20"/>
                <w:szCs w:val="20"/>
                <w:lang w:val="fi-FI"/>
              </w:rPr>
            </w:pPr>
            <w:r w:rsidRPr="00FB4EFA">
              <w:rPr>
                <w:rFonts w:cs="Times New Roman"/>
                <w:sz w:val="20"/>
                <w:szCs w:val="20"/>
                <w:lang w:val="fi-FI"/>
              </w:rPr>
              <w:t xml:space="preserve">mainitsee võrun (instrumentaaliksi kutsumansa) komitatiivin, mutta pitää sitä morfologian näkökulmasta vielä vähemmän sijamaisena kuin pohjoisviron komitatiivia, jota ei myöskään pidä sijana. </w:t>
            </w:r>
          </w:p>
        </w:tc>
      </w:tr>
      <w:tr w:rsidR="00FB4EFA" w:rsidRPr="00FB4EFA" w14:paraId="57384571" w14:textId="77777777" w:rsidTr="00816D34">
        <w:tc>
          <w:tcPr>
            <w:tcW w:w="1838" w:type="dxa"/>
          </w:tcPr>
          <w:p w14:paraId="79C93792"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Wiedemann (1875)</w:t>
            </w:r>
          </w:p>
        </w:tc>
        <w:tc>
          <w:tcPr>
            <w:tcW w:w="5066" w:type="dxa"/>
          </w:tcPr>
          <w:p w14:paraId="3765CB62" w14:textId="77777777" w:rsidR="003E0C4B" w:rsidRPr="00FB4EFA" w:rsidRDefault="003E0C4B" w:rsidP="00816D34">
            <w:pPr>
              <w:keepLines/>
              <w:spacing w:line="240" w:lineRule="auto"/>
              <w:rPr>
                <w:sz w:val="20"/>
                <w:szCs w:val="20"/>
                <w:lang w:val="fi-FI"/>
              </w:rPr>
            </w:pPr>
            <w:r w:rsidRPr="00FB4EFA">
              <w:rPr>
                <w:rFonts w:cs="Times New Roman"/>
                <w:sz w:val="20"/>
                <w:szCs w:val="20"/>
                <w:lang w:val="fi-FI"/>
              </w:rPr>
              <w:t>torjuu viimeisenä merkittävänä auktoriteettina viron komitatiivin sijastatuksen, mutta pitää sitä itsenäisyytensä menettäneenä postpositiona; toteaa myös, että võrun komitatiivilta puuttuu kielelle ominainen vokaalisointu.</w:t>
            </w:r>
          </w:p>
        </w:tc>
      </w:tr>
      <w:tr w:rsidR="00FB4EFA" w:rsidRPr="00FB4EFA" w14:paraId="001565B3" w14:textId="77777777" w:rsidTr="00816D34">
        <w:tc>
          <w:tcPr>
            <w:tcW w:w="1838" w:type="dxa"/>
          </w:tcPr>
          <w:p w14:paraId="24CCEDE6"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Hermann (1884)</w:t>
            </w:r>
          </w:p>
        </w:tc>
        <w:tc>
          <w:tcPr>
            <w:tcW w:w="5066" w:type="dxa"/>
          </w:tcPr>
          <w:p w14:paraId="64CF4EF8" w14:textId="77777777" w:rsidR="003E0C4B" w:rsidRPr="00FB4EFA" w:rsidRDefault="003E0C4B" w:rsidP="00816D34">
            <w:pPr>
              <w:spacing w:line="240" w:lineRule="auto"/>
              <w:rPr>
                <w:sz w:val="20"/>
                <w:szCs w:val="20"/>
                <w:lang w:val="fi-FI"/>
              </w:rPr>
            </w:pPr>
            <w:r w:rsidRPr="00FB4EFA">
              <w:rPr>
                <w:rFonts w:cs="Times New Roman"/>
                <w:sz w:val="20"/>
                <w:szCs w:val="20"/>
                <w:lang w:val="fi-FI"/>
              </w:rPr>
              <w:t>pitää viron komitatiivia sijana ja niin myös kaikki kieliopit tämän jälkeen.</w:t>
            </w:r>
          </w:p>
        </w:tc>
      </w:tr>
      <w:tr w:rsidR="00FB4EFA" w:rsidRPr="00FB4EFA" w14:paraId="5EA4F2BD" w14:textId="77777777" w:rsidTr="00816D34">
        <w:tc>
          <w:tcPr>
            <w:tcW w:w="1838" w:type="dxa"/>
          </w:tcPr>
          <w:p w14:paraId="4FEB4331"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Setälä (1890)</w:t>
            </w:r>
          </w:p>
        </w:tc>
        <w:tc>
          <w:tcPr>
            <w:tcW w:w="5066" w:type="dxa"/>
          </w:tcPr>
          <w:p w14:paraId="0F7D8D5D" w14:textId="77777777" w:rsidR="003E0C4B" w:rsidRPr="00FB4EFA" w:rsidRDefault="003E0C4B" w:rsidP="00816D34">
            <w:pPr>
              <w:spacing w:line="240" w:lineRule="auto"/>
              <w:rPr>
                <w:sz w:val="20"/>
                <w:szCs w:val="20"/>
                <w:lang w:val="fi-FI"/>
              </w:rPr>
            </w:pPr>
            <w:r w:rsidRPr="00FB4EFA">
              <w:rPr>
                <w:rFonts w:cs="Times New Roman"/>
                <w:sz w:val="20"/>
                <w:szCs w:val="20"/>
                <w:lang w:val="fi-FI"/>
              </w:rPr>
              <w:t>on massiivinen itämerensuomen äänne- ja muotohistoriallinen esitys, jossa käsitellään niin viron, liivin kuin vatjankin komitatiivien kieliopillistuminen, mutta ei vastaavia ajatuksia suomesta.</w:t>
            </w:r>
          </w:p>
        </w:tc>
      </w:tr>
      <w:tr w:rsidR="00FB4EFA" w:rsidRPr="00FB4EFA" w14:paraId="0820DDD1" w14:textId="77777777" w:rsidTr="00816D34">
        <w:tc>
          <w:tcPr>
            <w:tcW w:w="1838" w:type="dxa"/>
          </w:tcPr>
          <w:p w14:paraId="79012136"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Korjula (1900)</w:t>
            </w:r>
          </w:p>
        </w:tc>
        <w:tc>
          <w:tcPr>
            <w:tcW w:w="5066" w:type="dxa"/>
          </w:tcPr>
          <w:p w14:paraId="3B640BAE"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esittää kaakkoishämäläistä Vehkalahden murretta käsittelevässä pro gradu -tutkielmassaan myös suomen komitatiivisen </w:t>
            </w:r>
            <w:r w:rsidRPr="00FB4EFA">
              <w:rPr>
                <w:rFonts w:cs="Times New Roman"/>
                <w:i/>
                <w:iCs/>
                <w:sz w:val="20"/>
                <w:szCs w:val="20"/>
                <w:lang w:val="fi-FI"/>
              </w:rPr>
              <w:t>kaa</w:t>
            </w:r>
            <w:r w:rsidRPr="00FB4EFA">
              <w:rPr>
                <w:rFonts w:cs="Times New Roman"/>
                <w:sz w:val="20"/>
                <w:szCs w:val="20"/>
                <w:lang w:val="fi-FI"/>
              </w:rPr>
              <w:t>-elementin, joka ”seuraa pääsanaansa loppuliitteen tavoin, mutta eroaa tavallisista loppuliitteistä siinä, että siltä puuttuu etuvokaalinen vaihtelumuoto”; lisää, että ”[s]ana [!] tosin esiintyy aina lausekorottomassa asemassa”, ja vertaa sitä viron komitatiiviin todeten, että kyseessä saattaa olla ”suora laina virosta, sillä niin samanluontoisia ne ovat” (s. 83–84).</w:t>
            </w:r>
          </w:p>
        </w:tc>
      </w:tr>
      <w:tr w:rsidR="00FB4EFA" w:rsidRPr="00FB4EFA" w14:paraId="6F4F7967" w14:textId="77777777" w:rsidTr="00816D34">
        <w:tc>
          <w:tcPr>
            <w:tcW w:w="1838" w:type="dxa"/>
          </w:tcPr>
          <w:p w14:paraId="6FEA58F7" w14:textId="154CBF72" w:rsidR="003E0C4B" w:rsidRPr="00FB4EFA" w:rsidRDefault="003E0C4B" w:rsidP="00863238">
            <w:pPr>
              <w:spacing w:line="240" w:lineRule="auto"/>
              <w:jc w:val="left"/>
              <w:rPr>
                <w:sz w:val="20"/>
                <w:szCs w:val="20"/>
                <w:lang w:val="fi-FI"/>
              </w:rPr>
            </w:pPr>
            <w:r w:rsidRPr="00FB4EFA">
              <w:rPr>
                <w:rFonts w:cs="Times New Roman"/>
                <w:sz w:val="20"/>
                <w:szCs w:val="20"/>
                <w:lang w:val="fi-FI"/>
              </w:rPr>
              <w:t>Äimä (1901)</w:t>
            </w:r>
          </w:p>
        </w:tc>
        <w:tc>
          <w:tcPr>
            <w:tcW w:w="5066" w:type="dxa"/>
          </w:tcPr>
          <w:p w14:paraId="0C63E4DC" w14:textId="47CD2C33" w:rsidR="003E0C4B" w:rsidRPr="00FB4EFA" w:rsidRDefault="003E0C4B" w:rsidP="00816D34">
            <w:pPr>
              <w:spacing w:line="240" w:lineRule="auto"/>
              <w:rPr>
                <w:sz w:val="20"/>
                <w:szCs w:val="20"/>
                <w:lang w:val="fi-FI"/>
              </w:rPr>
            </w:pPr>
            <w:r w:rsidRPr="00FB4EFA">
              <w:rPr>
                <w:rFonts w:cs="Times New Roman"/>
                <w:sz w:val="20"/>
                <w:szCs w:val="20"/>
                <w:lang w:val="fi-FI"/>
              </w:rPr>
              <w:t>esittää Tytärsaaren murteesta ”</w:t>
            </w:r>
            <w:r w:rsidRPr="00FB4EFA">
              <w:rPr>
                <w:rFonts w:cs="Times New Roman"/>
                <w:i/>
                <w:sz w:val="20"/>
                <w:szCs w:val="20"/>
                <w:lang w:val="fi-FI"/>
              </w:rPr>
              <w:t>kaa</w:t>
            </w:r>
            <w:r w:rsidRPr="00FB4EFA">
              <w:rPr>
                <w:rFonts w:cs="Times New Roman"/>
                <w:sz w:val="20"/>
                <w:szCs w:val="20"/>
                <w:lang w:val="fi-FI"/>
              </w:rPr>
              <w:t xml:space="preserve">, </w:t>
            </w:r>
            <w:r w:rsidRPr="00FB4EFA">
              <w:rPr>
                <w:rFonts w:cs="Times New Roman"/>
                <w:i/>
                <w:sz w:val="20"/>
                <w:szCs w:val="20"/>
                <w:lang w:val="fi-FI"/>
              </w:rPr>
              <w:t>kää</w:t>
            </w:r>
            <w:r w:rsidRPr="00FB4EFA">
              <w:rPr>
                <w:rFonts w:cs="Times New Roman"/>
                <w:sz w:val="20"/>
                <w:szCs w:val="20"/>
                <w:lang w:val="fi-FI"/>
              </w:rPr>
              <w:t xml:space="preserve"> liitännäisen” tai ”liitteen”, joka mukautuu suomelle ominaiseen vokaalisointuun, minkä Korjula (luultavasti Äimän tietoihin perustuen) edellisenä vuonna oli todennut Vehkalahden murteelle vieraaksi piirteeksi; kielennäytteet sisältävät mm. lauseen </w:t>
            </w:r>
            <w:r w:rsidRPr="00FB4EFA">
              <w:rPr>
                <w:rFonts w:cs="Times New Roman"/>
                <w:i/>
                <w:iCs/>
                <w:sz w:val="20"/>
                <w:szCs w:val="20"/>
                <w:lang w:val="fi-FI"/>
              </w:rPr>
              <w:t>viisaat pojat kävi päivällä isänkää työssä</w:t>
            </w:r>
            <w:r w:rsidRPr="00FB4EFA">
              <w:rPr>
                <w:rFonts w:cs="Times New Roman"/>
                <w:sz w:val="20"/>
                <w:szCs w:val="20"/>
                <w:lang w:val="fi-FI"/>
              </w:rPr>
              <w:t xml:space="preserve"> (s.</w:t>
            </w:r>
            <w:r w:rsidR="00863238" w:rsidRPr="00FB4EFA">
              <w:rPr>
                <w:rFonts w:cs="Times New Roman"/>
                <w:sz w:val="20"/>
                <w:szCs w:val="20"/>
                <w:lang w:val="fi-FI"/>
              </w:rPr>
              <w:t> </w:t>
            </w:r>
            <w:r w:rsidRPr="00FB4EFA">
              <w:rPr>
                <w:rFonts w:cs="Times New Roman"/>
                <w:sz w:val="20"/>
                <w:szCs w:val="20"/>
                <w:lang w:val="fi-FI"/>
              </w:rPr>
              <w:t>85).</w:t>
            </w:r>
          </w:p>
        </w:tc>
      </w:tr>
      <w:tr w:rsidR="00FB4EFA" w:rsidRPr="00FB4EFA" w14:paraId="5F81181C" w14:textId="77777777" w:rsidTr="00816D34">
        <w:tc>
          <w:tcPr>
            <w:tcW w:w="1838" w:type="dxa"/>
          </w:tcPr>
          <w:p w14:paraId="56F14812" w14:textId="77777777" w:rsidR="003E0C4B" w:rsidRPr="00FB4EFA" w:rsidRDefault="003E0C4B" w:rsidP="00816D34">
            <w:pPr>
              <w:keepNext/>
              <w:keepLines/>
              <w:spacing w:line="240" w:lineRule="auto"/>
              <w:jc w:val="left"/>
              <w:rPr>
                <w:sz w:val="20"/>
                <w:szCs w:val="20"/>
                <w:lang w:val="fi-FI"/>
              </w:rPr>
            </w:pPr>
            <w:r w:rsidRPr="00FB4EFA">
              <w:rPr>
                <w:rFonts w:cs="Times New Roman"/>
                <w:sz w:val="20"/>
                <w:szCs w:val="20"/>
                <w:lang w:val="fi-FI"/>
              </w:rPr>
              <w:lastRenderedPageBreak/>
              <w:t>Ojansuu (1909)</w:t>
            </w:r>
          </w:p>
        </w:tc>
        <w:tc>
          <w:tcPr>
            <w:tcW w:w="5066" w:type="dxa"/>
          </w:tcPr>
          <w:p w14:paraId="0166CADC" w14:textId="77777777" w:rsidR="003E0C4B" w:rsidRPr="00FB4EFA" w:rsidRDefault="003E0C4B" w:rsidP="00816D34">
            <w:pPr>
              <w:keepNext/>
              <w:keepLines/>
              <w:spacing w:line="240" w:lineRule="auto"/>
              <w:rPr>
                <w:sz w:val="20"/>
                <w:szCs w:val="20"/>
                <w:lang w:val="fi-FI"/>
              </w:rPr>
            </w:pPr>
            <w:r w:rsidRPr="00FB4EFA">
              <w:rPr>
                <w:rFonts w:cs="Times New Roman"/>
                <w:sz w:val="20"/>
                <w:szCs w:val="20"/>
                <w:lang w:val="fi-FI"/>
              </w:rPr>
              <w:t xml:space="preserve">huomauttaa osuvasti, että Renvallin (1826 s.v. </w:t>
            </w:r>
            <w:r w:rsidRPr="00FB4EFA">
              <w:rPr>
                <w:rFonts w:cs="Times New Roman"/>
                <w:i/>
                <w:iCs/>
                <w:sz w:val="20"/>
                <w:szCs w:val="20"/>
                <w:lang w:val="fi-FI"/>
              </w:rPr>
              <w:t>kansa</w:t>
            </w:r>
            <w:r w:rsidRPr="00FB4EFA">
              <w:rPr>
                <w:rFonts w:cs="Times New Roman"/>
                <w:sz w:val="20"/>
                <w:szCs w:val="20"/>
                <w:lang w:val="fi-FI"/>
              </w:rPr>
              <w:t xml:space="preserve">) sinänsä perustelematonta ehdotusta </w:t>
            </w:r>
            <w:r w:rsidRPr="00FB4EFA">
              <w:rPr>
                <w:rFonts w:cs="Times New Roman"/>
                <w:i/>
                <w:iCs/>
                <w:sz w:val="20"/>
                <w:szCs w:val="20"/>
                <w:lang w:val="fi-FI"/>
              </w:rPr>
              <w:t>kanssa</w:t>
            </w:r>
            <w:r w:rsidRPr="00FB4EFA">
              <w:rPr>
                <w:rFonts w:cs="Times New Roman"/>
                <w:sz w:val="20"/>
                <w:szCs w:val="20"/>
                <w:lang w:val="fi-FI"/>
              </w:rPr>
              <w:t xml:space="preserve">-sanan inessiivisestä alkuperästä tukevat erityisesti eteläpohjalaismurteissa säilyneet omistusliitteelliset muodot </w:t>
            </w:r>
            <w:r w:rsidRPr="00FB4EFA">
              <w:rPr>
                <w:rFonts w:cs="Times New Roman"/>
                <w:i/>
                <w:iCs/>
                <w:sz w:val="20"/>
                <w:szCs w:val="20"/>
                <w:lang w:val="fi-FI"/>
              </w:rPr>
              <w:t>kansahnani</w:t>
            </w:r>
            <w:r w:rsidRPr="00FB4EFA">
              <w:rPr>
                <w:rFonts w:cs="Times New Roman"/>
                <w:sz w:val="20"/>
                <w:szCs w:val="20"/>
                <w:lang w:val="fi-FI"/>
              </w:rPr>
              <w:t xml:space="preserve">, </w:t>
            </w:r>
            <w:r w:rsidRPr="00FB4EFA">
              <w:rPr>
                <w:rFonts w:cs="Times New Roman"/>
                <w:i/>
                <w:iCs/>
                <w:sz w:val="20"/>
                <w:szCs w:val="20"/>
                <w:lang w:val="fi-FI"/>
              </w:rPr>
              <w:t>kansahnas</w:t>
            </w:r>
            <w:r w:rsidRPr="00FB4EFA">
              <w:rPr>
                <w:rFonts w:cs="Times New Roman"/>
                <w:sz w:val="20"/>
                <w:szCs w:val="20"/>
                <w:lang w:val="fi-FI"/>
              </w:rPr>
              <w:t xml:space="preserve"> jne.</w:t>
            </w:r>
            <w:r w:rsidRPr="00FB4EFA">
              <w:rPr>
                <w:rFonts w:cs="Times New Roman"/>
                <w:sz w:val="20"/>
                <w:szCs w:val="20"/>
                <w:vertAlign w:val="superscript"/>
                <w:lang w:val="fi-FI"/>
              </w:rPr>
              <w:footnoteReference w:id="155"/>
            </w:r>
          </w:p>
        </w:tc>
      </w:tr>
      <w:tr w:rsidR="00FB4EFA" w:rsidRPr="00FB4EFA" w14:paraId="3294C7E1" w14:textId="77777777" w:rsidTr="00816D34">
        <w:tc>
          <w:tcPr>
            <w:tcW w:w="1838" w:type="dxa"/>
          </w:tcPr>
          <w:p w14:paraId="7686E13B"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Ojansuu (1916)</w:t>
            </w:r>
          </w:p>
        </w:tc>
        <w:tc>
          <w:tcPr>
            <w:tcW w:w="5066" w:type="dxa"/>
          </w:tcPr>
          <w:p w14:paraId="2F7B91CA" w14:textId="77777777" w:rsidR="003E0C4B" w:rsidRPr="00FB4EFA" w:rsidRDefault="003E0C4B" w:rsidP="00816D34">
            <w:pPr>
              <w:spacing w:line="240" w:lineRule="auto"/>
              <w:rPr>
                <w:sz w:val="20"/>
                <w:szCs w:val="20"/>
                <w:lang w:val="fi-FI"/>
              </w:rPr>
            </w:pPr>
            <w:r w:rsidRPr="00FB4EFA">
              <w:rPr>
                <w:rFonts w:cs="Times New Roman"/>
                <w:sz w:val="20"/>
                <w:szCs w:val="20"/>
                <w:lang w:val="fi-FI"/>
              </w:rPr>
              <w:t>kertoo, että ”</w:t>
            </w:r>
            <w:r w:rsidRPr="00FB4EFA">
              <w:rPr>
                <w:rFonts w:cs="Times New Roman"/>
                <w:i/>
                <w:iCs/>
                <w:sz w:val="20"/>
                <w:szCs w:val="20"/>
                <w:lang w:val="fi-FI"/>
              </w:rPr>
              <w:t>kaa</w:t>
            </w:r>
            <w:r w:rsidRPr="00FB4EFA">
              <w:rPr>
                <w:rFonts w:cs="Times New Roman"/>
                <w:sz w:val="20"/>
                <w:szCs w:val="20"/>
                <w:lang w:val="fi-FI"/>
              </w:rPr>
              <w:t xml:space="preserve">, </w:t>
            </w:r>
            <w:r w:rsidRPr="00FB4EFA">
              <w:rPr>
                <w:rFonts w:cs="Times New Roman"/>
                <w:i/>
                <w:iCs/>
                <w:sz w:val="20"/>
                <w:szCs w:val="20"/>
                <w:lang w:val="fi-FI"/>
              </w:rPr>
              <w:t>kää</w:t>
            </w:r>
            <w:r w:rsidRPr="00FB4EFA">
              <w:rPr>
                <w:rFonts w:cs="Times New Roman"/>
                <w:sz w:val="20"/>
                <w:szCs w:val="20"/>
                <w:lang w:val="fi-FI"/>
              </w:rPr>
              <w:t xml:space="preserve"> jälkiliitettä tai vain edellistä tavataan merkityksessä ’kanssa’ Tytärsaarilla, Haapasaaren ja Suursaaren murteessa (viimemainitussa myös muodossa </w:t>
            </w:r>
            <w:r w:rsidRPr="00FB4EFA">
              <w:rPr>
                <w:rFonts w:cs="Times New Roman"/>
                <w:i/>
                <w:iCs/>
                <w:sz w:val="20"/>
                <w:szCs w:val="20"/>
                <w:lang w:val="fi-FI"/>
              </w:rPr>
              <w:t>kaan</w:t>
            </w:r>
            <w:r w:rsidRPr="00FB4EFA">
              <w:rPr>
                <w:rFonts w:cs="Times New Roman"/>
                <w:sz w:val="20"/>
                <w:szCs w:val="20"/>
                <w:lang w:val="fi-FI"/>
              </w:rPr>
              <w:t xml:space="preserve">, </w:t>
            </w:r>
            <w:r w:rsidRPr="00FB4EFA">
              <w:rPr>
                <w:rFonts w:cs="Times New Roman"/>
                <w:i/>
                <w:iCs/>
                <w:sz w:val="20"/>
                <w:szCs w:val="20"/>
                <w:lang w:val="fi-FI"/>
              </w:rPr>
              <w:t>kään</w:t>
            </w:r>
            <w:r w:rsidRPr="00FB4EFA">
              <w:rPr>
                <w:rFonts w:cs="Times New Roman"/>
                <w:sz w:val="20"/>
                <w:szCs w:val="20"/>
                <w:lang w:val="fi-FI"/>
              </w:rPr>
              <w:t xml:space="preserve">) sekä mantereella” katsoen, että ”kehitys </w:t>
            </w:r>
            <w:r w:rsidRPr="00FB4EFA">
              <w:rPr>
                <w:rFonts w:cs="Times New Roman"/>
                <w:i/>
                <w:sz w:val="20"/>
                <w:szCs w:val="20"/>
                <w:lang w:val="fi-FI"/>
              </w:rPr>
              <w:t>kaasa</w:t>
            </w:r>
            <w:r w:rsidRPr="00FB4EFA">
              <w:rPr>
                <w:rFonts w:cs="Times New Roman"/>
                <w:sz w:val="20"/>
                <w:szCs w:val="20"/>
                <w:lang w:val="fi-FI"/>
              </w:rPr>
              <w:t xml:space="preserve"> &gt;&gt; </w:t>
            </w:r>
            <w:r w:rsidRPr="00FB4EFA">
              <w:rPr>
                <w:rFonts w:cs="Times New Roman"/>
                <w:i/>
                <w:sz w:val="20"/>
                <w:szCs w:val="20"/>
                <w:lang w:val="fi-FI"/>
              </w:rPr>
              <w:t>ka, ga</w:t>
            </w:r>
            <w:r w:rsidRPr="00FB4EFA">
              <w:rPr>
                <w:rFonts w:cs="Times New Roman"/>
                <w:sz w:val="20"/>
                <w:szCs w:val="20"/>
                <w:lang w:val="fi-FI"/>
              </w:rPr>
              <w:t xml:space="preserve"> on virolainen ja virolaisalueiden ulkopuolella lainaa” (s. 112).</w:t>
            </w:r>
          </w:p>
        </w:tc>
      </w:tr>
      <w:tr w:rsidR="00FB4EFA" w:rsidRPr="00FB4EFA" w14:paraId="525294F4" w14:textId="77777777" w:rsidTr="00816D34">
        <w:tc>
          <w:tcPr>
            <w:tcW w:w="1838" w:type="dxa"/>
          </w:tcPr>
          <w:p w14:paraId="10C4BFE2" w14:textId="134150D2" w:rsidR="003E0C4B" w:rsidRPr="00FB4EFA" w:rsidRDefault="003E0C4B" w:rsidP="00863238">
            <w:pPr>
              <w:spacing w:line="240" w:lineRule="auto"/>
              <w:jc w:val="left"/>
              <w:rPr>
                <w:sz w:val="20"/>
                <w:szCs w:val="20"/>
                <w:lang w:val="fi-FI"/>
              </w:rPr>
            </w:pPr>
            <w:r w:rsidRPr="00FB4EFA">
              <w:rPr>
                <w:rFonts w:cs="Times New Roman"/>
                <w:sz w:val="20"/>
                <w:szCs w:val="20"/>
                <w:lang w:val="fi-FI"/>
              </w:rPr>
              <w:t>Kettunen (1930)</w:t>
            </w:r>
          </w:p>
        </w:tc>
        <w:tc>
          <w:tcPr>
            <w:tcW w:w="5066" w:type="dxa"/>
          </w:tcPr>
          <w:p w14:paraId="6701FCF8"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toteaa, että ”[o]mituisesti on Virolahden seuduilla yleinen, </w:t>
            </w:r>
            <w:r w:rsidRPr="00FB4EFA">
              <w:rPr>
                <w:rFonts w:cs="Times New Roman"/>
                <w:spacing w:val="30"/>
                <w:sz w:val="20"/>
                <w:szCs w:val="20"/>
                <w:lang w:val="fi-FI"/>
              </w:rPr>
              <w:t>eestin</w:t>
            </w:r>
            <w:r w:rsidRPr="00FB4EFA">
              <w:rPr>
                <w:rFonts w:cs="Times New Roman"/>
                <w:sz w:val="20"/>
                <w:szCs w:val="20"/>
                <w:lang w:val="fi-FI"/>
              </w:rPr>
              <w:t xml:space="preserve"> tapaan miltei sijapäätteeksi muodostunut ’kanssa’ postposition vastine -</w:t>
            </w:r>
            <w:r w:rsidRPr="00FB4EFA">
              <w:rPr>
                <w:rFonts w:cs="Times New Roman"/>
                <w:i/>
                <w:iCs/>
                <w:sz w:val="20"/>
                <w:szCs w:val="20"/>
                <w:lang w:val="fi-FI"/>
              </w:rPr>
              <w:t>kaa</w:t>
            </w:r>
            <w:r w:rsidRPr="00FB4EFA">
              <w:rPr>
                <w:rFonts w:cs="Times New Roman"/>
                <w:sz w:val="20"/>
                <w:szCs w:val="20"/>
                <w:lang w:val="fi-FI"/>
              </w:rPr>
              <w:t>, -</w:t>
            </w:r>
            <w:r w:rsidRPr="00FB4EFA">
              <w:rPr>
                <w:rFonts w:cs="Times New Roman"/>
                <w:i/>
                <w:iCs/>
                <w:sz w:val="20"/>
                <w:szCs w:val="20"/>
                <w:lang w:val="fi-FI"/>
              </w:rPr>
              <w:t>kää</w:t>
            </w:r>
            <w:r w:rsidRPr="00FB4EFA">
              <w:rPr>
                <w:rFonts w:cs="Times New Roman"/>
                <w:sz w:val="20"/>
                <w:szCs w:val="20"/>
                <w:lang w:val="fi-FI"/>
              </w:rPr>
              <w:t xml:space="preserve"> (</w:t>
            </w:r>
            <w:r w:rsidRPr="00FB4EFA">
              <w:rPr>
                <w:rFonts w:cs="Times New Roman"/>
                <w:i/>
                <w:iCs/>
                <w:sz w:val="20"/>
                <w:szCs w:val="20"/>
                <w:lang w:val="fi-FI"/>
              </w:rPr>
              <w:t>poja</w:t>
            </w:r>
            <w:r w:rsidRPr="00FB4EFA">
              <w:rPr>
                <w:rFonts w:cs="Cambria"/>
                <w:i/>
                <w:iCs/>
                <w:sz w:val="20"/>
                <w:szCs w:val="20"/>
                <w:lang w:val="fi-FI"/>
              </w:rPr>
              <w:t>η</w:t>
            </w:r>
            <w:r w:rsidRPr="00FB4EFA">
              <w:rPr>
                <w:rFonts w:cs="Times New Roman"/>
                <w:i/>
                <w:iCs/>
                <w:sz w:val="20"/>
                <w:szCs w:val="20"/>
                <w:lang w:val="fi-FI"/>
              </w:rPr>
              <w:t>k</w:t>
            </w:r>
            <w:r w:rsidRPr="00FB4EFA">
              <w:rPr>
                <w:rFonts w:cs="Cambria"/>
                <w:i/>
                <w:iCs/>
                <w:sz w:val="20"/>
                <w:szCs w:val="20"/>
                <w:lang w:val="fi-FI"/>
              </w:rPr>
              <w:t>ā</w:t>
            </w:r>
            <w:r w:rsidRPr="00FB4EFA">
              <w:rPr>
                <w:rFonts w:cs="Times New Roman"/>
                <w:sz w:val="20"/>
                <w:szCs w:val="20"/>
                <w:lang w:val="fi-FI"/>
              </w:rPr>
              <w:t xml:space="preserve">, </w:t>
            </w:r>
            <w:r w:rsidRPr="00FB4EFA">
              <w:rPr>
                <w:rFonts w:cs="Times New Roman"/>
                <w:i/>
                <w:iCs/>
                <w:sz w:val="20"/>
                <w:szCs w:val="20"/>
                <w:lang w:val="fi-FI"/>
              </w:rPr>
              <w:t>lai̯va</w:t>
            </w:r>
            <w:r w:rsidRPr="00FB4EFA">
              <w:rPr>
                <w:rFonts w:cs="Cambria"/>
                <w:i/>
                <w:iCs/>
                <w:sz w:val="20"/>
                <w:szCs w:val="20"/>
                <w:lang w:val="fi-FI"/>
              </w:rPr>
              <w:t>η</w:t>
            </w:r>
            <w:r w:rsidRPr="00FB4EFA">
              <w:rPr>
                <w:rFonts w:cs="Times New Roman"/>
                <w:i/>
                <w:iCs/>
                <w:sz w:val="20"/>
                <w:szCs w:val="20"/>
                <w:lang w:val="fi-FI"/>
              </w:rPr>
              <w:t>k</w:t>
            </w:r>
            <w:r w:rsidRPr="00FB4EFA">
              <w:rPr>
                <w:rFonts w:cs="Cambria"/>
                <w:i/>
                <w:iCs/>
                <w:sz w:val="20"/>
                <w:szCs w:val="20"/>
                <w:lang w:val="fi-FI"/>
              </w:rPr>
              <w:t>ā</w:t>
            </w:r>
            <w:r w:rsidRPr="00FB4EFA">
              <w:rPr>
                <w:rFonts w:cs="Times New Roman"/>
                <w:sz w:val="20"/>
                <w:szCs w:val="20"/>
                <w:lang w:val="fi-FI"/>
              </w:rPr>
              <w:t xml:space="preserve">, </w:t>
            </w:r>
            <w:r w:rsidRPr="00FB4EFA">
              <w:rPr>
                <w:rFonts w:cs="Times New Roman"/>
                <w:i/>
                <w:iCs/>
                <w:sz w:val="20"/>
                <w:szCs w:val="20"/>
                <w:lang w:val="fi-FI"/>
              </w:rPr>
              <w:t>isä</w:t>
            </w:r>
            <w:r w:rsidRPr="00FB4EFA">
              <w:rPr>
                <w:rFonts w:cs="Cambria"/>
                <w:i/>
                <w:iCs/>
                <w:sz w:val="20"/>
                <w:szCs w:val="20"/>
                <w:lang w:val="fi-FI"/>
              </w:rPr>
              <w:t>η</w:t>
            </w:r>
            <w:r w:rsidRPr="00FB4EFA">
              <w:rPr>
                <w:rFonts w:cs="Times New Roman"/>
                <w:i/>
                <w:iCs/>
                <w:sz w:val="20"/>
                <w:szCs w:val="20"/>
                <w:lang w:val="fi-FI"/>
              </w:rPr>
              <w:t>k</w:t>
            </w:r>
            <w:r w:rsidRPr="00FB4EFA">
              <w:rPr>
                <w:rFonts w:cs="Cambria"/>
                <w:i/>
                <w:iCs/>
                <w:sz w:val="20"/>
                <w:szCs w:val="20"/>
                <w:lang w:val="fi-FI"/>
              </w:rPr>
              <w:t>ǟ</w:t>
            </w:r>
            <w:r w:rsidRPr="00FB4EFA">
              <w:rPr>
                <w:rFonts w:cs="Times New Roman"/>
                <w:sz w:val="20"/>
                <w:szCs w:val="20"/>
                <w:lang w:val="fi-FI"/>
              </w:rPr>
              <w:t xml:space="preserve">, </w:t>
            </w:r>
            <w:r w:rsidRPr="00FB4EFA">
              <w:rPr>
                <w:rFonts w:cs="Times New Roman"/>
                <w:i/>
                <w:iCs/>
                <w:sz w:val="20"/>
                <w:szCs w:val="20"/>
                <w:lang w:val="fi-FI"/>
              </w:rPr>
              <w:t>mei̯ti</w:t>
            </w:r>
            <w:r w:rsidRPr="00FB4EFA">
              <w:rPr>
                <w:rFonts w:cs="Cambria"/>
                <w:i/>
                <w:iCs/>
                <w:sz w:val="20"/>
                <w:szCs w:val="20"/>
                <w:lang w:val="fi-FI"/>
              </w:rPr>
              <w:t>η</w:t>
            </w:r>
            <w:r w:rsidRPr="00FB4EFA">
              <w:rPr>
                <w:rFonts w:cs="Times New Roman"/>
                <w:i/>
                <w:iCs/>
                <w:sz w:val="20"/>
                <w:szCs w:val="20"/>
                <w:lang w:val="fi-FI"/>
              </w:rPr>
              <w:t>k</w:t>
            </w:r>
            <w:r w:rsidRPr="00FB4EFA">
              <w:rPr>
                <w:rFonts w:cs="Cambria"/>
                <w:i/>
                <w:iCs/>
                <w:sz w:val="20"/>
                <w:szCs w:val="20"/>
                <w:lang w:val="fi-FI"/>
              </w:rPr>
              <w:t>ǟ</w:t>
            </w:r>
            <w:r w:rsidRPr="00FB4EFA">
              <w:rPr>
                <w:rFonts w:cs="Times New Roman"/>
                <w:sz w:val="20"/>
                <w:szCs w:val="20"/>
                <w:lang w:val="fi-FI"/>
              </w:rPr>
              <w:t xml:space="preserve"> jne.) levinnyt eteläsavoon aina Sulkavalle ja Rantasalmelle saakka (Valkealan ja Sulkavan välillä lienee se kuitenkin tuntematon)”, sekä ihmettelee, että samantapaista lyhennystä tavataan myös Ylä-Satakunnassa (s. 126).</w:t>
            </w:r>
          </w:p>
        </w:tc>
      </w:tr>
      <w:tr w:rsidR="00FB4EFA" w:rsidRPr="00FB4EFA" w14:paraId="2532C0DB" w14:textId="77777777" w:rsidTr="00816D34">
        <w:tc>
          <w:tcPr>
            <w:tcW w:w="1838" w:type="dxa"/>
          </w:tcPr>
          <w:p w14:paraId="45292CD5"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Kettunen (1937)</w:t>
            </w:r>
          </w:p>
        </w:tc>
        <w:tc>
          <w:tcPr>
            <w:tcW w:w="5066" w:type="dxa"/>
          </w:tcPr>
          <w:p w14:paraId="57A9B933" w14:textId="13284B4E" w:rsidR="003E0C4B" w:rsidRPr="00FB4EFA" w:rsidRDefault="003E0C4B" w:rsidP="00816D34">
            <w:pPr>
              <w:spacing w:line="240" w:lineRule="auto"/>
              <w:rPr>
                <w:sz w:val="20"/>
                <w:szCs w:val="20"/>
                <w:lang w:val="fi-FI"/>
              </w:rPr>
            </w:pPr>
            <w:r w:rsidRPr="00FB4EFA">
              <w:rPr>
                <w:rFonts w:cs="Times New Roman"/>
                <w:sz w:val="20"/>
                <w:szCs w:val="20"/>
                <w:lang w:val="fi-FI"/>
              </w:rPr>
              <w:t xml:space="preserve">toteaa vatjassa esiintyvän myös kongruoivia komitatiiviattribuutteja, kuten </w:t>
            </w:r>
            <w:r w:rsidRPr="00FB4EFA">
              <w:rPr>
                <w:rFonts w:cs="Charis SIL"/>
                <w:i/>
                <w:iCs/>
                <w:sz w:val="20"/>
                <w:szCs w:val="20"/>
                <w:lang w:val="fi-FI"/>
              </w:rPr>
              <w:t>nōr</w:t>
            </w:r>
            <w:r w:rsidR="00A565ED" w:rsidRPr="00FB4EFA">
              <w:rPr>
                <w:rFonts w:cs="Charis SIL"/>
                <w:i/>
                <w:iCs/>
                <w:sz w:val="20"/>
                <w:szCs w:val="20"/>
                <w:lang w:val="fi-FI"/>
              </w:rPr>
              <w:t>ē̮</w:t>
            </w:r>
            <w:r w:rsidRPr="00FB4EFA">
              <w:rPr>
                <w:rFonts w:cs="Charis SIL"/>
                <w:i/>
                <w:iCs/>
                <w:sz w:val="20"/>
                <w:szCs w:val="20"/>
                <w:lang w:val="fi-FI"/>
              </w:rPr>
              <w:t>kā</w:t>
            </w:r>
            <w:r w:rsidRPr="00FB4EFA">
              <w:rPr>
                <w:rFonts w:cs="Times New Roman"/>
                <w:i/>
                <w:iCs/>
                <w:sz w:val="20"/>
                <w:szCs w:val="20"/>
                <w:lang w:val="fi-FI"/>
              </w:rPr>
              <w:t xml:space="preserve"> </w:t>
            </w:r>
            <w:r w:rsidRPr="00FB4EFA">
              <w:rPr>
                <w:rFonts w:cs="Charis SIL"/>
                <w:i/>
                <w:iCs/>
                <w:sz w:val="20"/>
                <w:szCs w:val="20"/>
                <w:lang w:val="fi-FI"/>
              </w:rPr>
              <w:t>nai̯zikōkā</w:t>
            </w:r>
            <w:r w:rsidRPr="00FB4EFA">
              <w:rPr>
                <w:rFonts w:cs="Times New Roman"/>
                <w:sz w:val="20"/>
                <w:szCs w:val="20"/>
                <w:lang w:val="fi-FI"/>
              </w:rPr>
              <w:t>.</w:t>
            </w:r>
          </w:p>
        </w:tc>
      </w:tr>
      <w:tr w:rsidR="00FB4EFA" w:rsidRPr="00FB4EFA" w14:paraId="3C6E90EF" w14:textId="77777777" w:rsidTr="00816D34">
        <w:tc>
          <w:tcPr>
            <w:tcW w:w="1838" w:type="dxa"/>
          </w:tcPr>
          <w:p w14:paraId="271D578B"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Kettunen (1940)</w:t>
            </w:r>
          </w:p>
        </w:tc>
        <w:tc>
          <w:tcPr>
            <w:tcW w:w="5066" w:type="dxa"/>
          </w:tcPr>
          <w:p w14:paraId="2BB43C00" w14:textId="7B27CB0D" w:rsidR="003E0C4B" w:rsidRPr="00FB4EFA" w:rsidRDefault="003E0C4B" w:rsidP="00816D34">
            <w:pPr>
              <w:keepLines/>
              <w:spacing w:line="240" w:lineRule="auto"/>
              <w:rPr>
                <w:sz w:val="20"/>
                <w:szCs w:val="20"/>
                <w:lang w:val="fi-FI"/>
              </w:rPr>
            </w:pPr>
            <w:r w:rsidRPr="00FB4EFA">
              <w:rPr>
                <w:rFonts w:cs="Times New Roman"/>
                <w:sz w:val="20"/>
                <w:szCs w:val="20"/>
                <w:lang w:val="fi-FI"/>
              </w:rPr>
              <w:t xml:space="preserve">esittää kartan suomen </w:t>
            </w:r>
            <w:r w:rsidRPr="00FB4EFA">
              <w:rPr>
                <w:rFonts w:cs="Times New Roman"/>
                <w:i/>
                <w:iCs/>
                <w:sz w:val="20"/>
                <w:szCs w:val="20"/>
                <w:lang w:val="fi-FI"/>
              </w:rPr>
              <w:t>kanssa</w:t>
            </w:r>
            <w:r w:rsidRPr="00FB4EFA">
              <w:rPr>
                <w:rFonts w:cs="Times New Roman"/>
                <w:sz w:val="20"/>
                <w:szCs w:val="20"/>
                <w:lang w:val="fi-FI"/>
              </w:rPr>
              <w:t>-sanan varianttien levikistä, mutta notaatiolla ”-kaa</w:t>
            </w:r>
            <w:r w:rsidRPr="00FB4EFA">
              <w:rPr>
                <w:rFonts w:cs="Times New Roman"/>
                <w:sz w:val="20"/>
                <w:szCs w:val="20"/>
                <w:vertAlign w:val="superscript"/>
                <w:lang w:val="fi-FI"/>
              </w:rPr>
              <w:t>(</w:t>
            </w:r>
            <w:r w:rsidRPr="00FB4EFA">
              <w:rPr>
                <w:rFonts w:cs="Times New Roman"/>
                <w:sz w:val="20"/>
                <w:szCs w:val="20"/>
                <w:lang w:val="fi-FI"/>
              </w:rPr>
              <w:t>’</w:t>
            </w:r>
            <w:r w:rsidRPr="00FB4EFA">
              <w:rPr>
                <w:rFonts w:cs="Times New Roman"/>
                <w:sz w:val="20"/>
                <w:szCs w:val="20"/>
                <w:vertAlign w:val="superscript"/>
                <w:lang w:val="fi-FI"/>
              </w:rPr>
              <w:t>)</w:t>
            </w:r>
            <w:r w:rsidRPr="00FB4EFA">
              <w:rPr>
                <w:rFonts w:cs="Times New Roman"/>
                <w:sz w:val="20"/>
                <w:szCs w:val="20"/>
                <w:lang w:val="fi-FI"/>
              </w:rPr>
              <w:t>, -kää</w:t>
            </w:r>
            <w:r w:rsidRPr="00FB4EFA">
              <w:rPr>
                <w:rFonts w:cs="Times New Roman"/>
                <w:sz w:val="20"/>
                <w:szCs w:val="20"/>
                <w:vertAlign w:val="superscript"/>
                <w:lang w:val="fi-FI"/>
              </w:rPr>
              <w:t>(</w:t>
            </w:r>
            <w:r w:rsidRPr="00FB4EFA">
              <w:rPr>
                <w:rFonts w:cs="Times New Roman"/>
                <w:sz w:val="20"/>
                <w:szCs w:val="20"/>
                <w:lang w:val="fi-FI"/>
              </w:rPr>
              <w:t>’</w:t>
            </w:r>
            <w:r w:rsidRPr="00FB4EFA">
              <w:rPr>
                <w:rFonts w:cs="Times New Roman"/>
                <w:sz w:val="20"/>
                <w:szCs w:val="20"/>
                <w:vertAlign w:val="superscript"/>
                <w:lang w:val="fi-FI"/>
              </w:rPr>
              <w:t>)</w:t>
            </w:r>
            <w:r w:rsidRPr="00FB4EFA">
              <w:rPr>
                <w:rFonts w:cs="Times New Roman"/>
                <w:sz w:val="20"/>
                <w:szCs w:val="20"/>
                <w:lang w:val="fi-FI"/>
              </w:rPr>
              <w:t xml:space="preserve">” merkitty ala kattaa paljon laajemman </w:t>
            </w:r>
            <w:r w:rsidRPr="00FB4EFA">
              <w:rPr>
                <w:rFonts w:cs="Times New Roman"/>
                <w:i/>
                <w:iCs/>
                <w:sz w:val="20"/>
                <w:szCs w:val="20"/>
                <w:lang w:val="fi-FI"/>
              </w:rPr>
              <w:t>kaa</w:t>
            </w:r>
            <w:r w:rsidRPr="00FB4EFA">
              <w:rPr>
                <w:rFonts w:cs="Times New Roman"/>
                <w:sz w:val="20"/>
                <w:szCs w:val="20"/>
                <w:lang w:val="fi-FI"/>
              </w:rPr>
              <w:t>-muotojen alueen kuin vokaalisointuun mukautuva kaakkoishämäläinen alue; myös ”</w:t>
            </w:r>
            <w:r w:rsidR="00FC7388" w:rsidRPr="00FB4EFA">
              <w:rPr>
                <w:rFonts w:cs="Times New Roman"/>
                <w:sz w:val="20"/>
                <w:szCs w:val="20"/>
                <w:lang w:val="fi-FI"/>
              </w:rPr>
              <w:noBreakHyphen/>
            </w:r>
            <w:r w:rsidRPr="00FB4EFA">
              <w:rPr>
                <w:rFonts w:cs="Times New Roman"/>
                <w:sz w:val="20"/>
                <w:szCs w:val="20"/>
                <w:lang w:val="fi-FI"/>
              </w:rPr>
              <w:t xml:space="preserve">ka, -kas, -kah” kattaa laajan alueen, mutta muodon suffiksistatusta Kettunen ei missään perustele </w:t>
            </w:r>
            <w:r w:rsidR="00FC7388" w:rsidRPr="00FB4EFA">
              <w:rPr>
                <w:rFonts w:cs="Times New Roman"/>
                <w:sz w:val="20"/>
                <w:szCs w:val="20"/>
                <w:lang w:val="fi-FI"/>
              </w:rPr>
              <w:br/>
            </w:r>
            <w:r w:rsidRPr="00FB4EFA">
              <w:rPr>
                <w:rFonts w:cs="Times New Roman"/>
                <w:sz w:val="20"/>
                <w:szCs w:val="20"/>
                <w:lang w:val="fi-FI"/>
              </w:rPr>
              <w:t>(Ylikoski</w:t>
            </w:r>
            <w:r w:rsidR="001C3977" w:rsidRPr="00FB4EFA">
              <w:rPr>
                <w:rFonts w:cs="Times New Roman"/>
                <w:sz w:val="20"/>
                <w:szCs w:val="20"/>
                <w:lang w:val="fi-FI"/>
              </w:rPr>
              <w:t xml:space="preserve"> 2022</w:t>
            </w:r>
            <w:r w:rsidRPr="00FB4EFA">
              <w:rPr>
                <w:rFonts w:cs="Times New Roman"/>
                <w:sz w:val="20"/>
                <w:szCs w:val="20"/>
                <w:lang w:val="fi-FI"/>
              </w:rPr>
              <w:t>).</w:t>
            </w:r>
          </w:p>
        </w:tc>
      </w:tr>
      <w:tr w:rsidR="00FB4EFA" w:rsidRPr="00FB4EFA" w14:paraId="21F00861" w14:textId="77777777" w:rsidTr="00816D34">
        <w:tc>
          <w:tcPr>
            <w:tcW w:w="1838" w:type="dxa"/>
          </w:tcPr>
          <w:p w14:paraId="78BAFEDB"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Ravila (1946)</w:t>
            </w:r>
          </w:p>
        </w:tc>
        <w:tc>
          <w:tcPr>
            <w:tcW w:w="5066" w:type="dxa"/>
          </w:tcPr>
          <w:p w14:paraId="38D01630"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toteaa suomea viroon verraten, että myös suomen murteiden muodoissa </w:t>
            </w:r>
            <w:r w:rsidRPr="00FB4EFA">
              <w:rPr>
                <w:rFonts w:cs="Times New Roman"/>
                <w:i/>
                <w:iCs/>
                <w:sz w:val="20"/>
                <w:szCs w:val="20"/>
                <w:lang w:val="fi-FI"/>
              </w:rPr>
              <w:t>pojankaa</w:t>
            </w:r>
            <w:r w:rsidRPr="00FB4EFA">
              <w:rPr>
                <w:rFonts w:cs="Times New Roman"/>
                <w:sz w:val="20"/>
                <w:szCs w:val="20"/>
                <w:lang w:val="fi-FI"/>
              </w:rPr>
              <w:t xml:space="preserve"> ja </w:t>
            </w:r>
            <w:r w:rsidRPr="00FB4EFA">
              <w:rPr>
                <w:rFonts w:cs="Times New Roman"/>
                <w:i/>
                <w:iCs/>
                <w:sz w:val="20"/>
                <w:szCs w:val="20"/>
                <w:lang w:val="fi-FI"/>
              </w:rPr>
              <w:t>isänkää</w:t>
            </w:r>
            <w:r w:rsidRPr="00FB4EFA">
              <w:rPr>
                <w:rFonts w:cs="Times New Roman"/>
                <w:sz w:val="20"/>
                <w:szCs w:val="20"/>
                <w:lang w:val="fi-FI"/>
              </w:rPr>
              <w:t xml:space="preserve"> nähdään postposition kehittyminen kaasuspäätteeksi.</w:t>
            </w:r>
            <w:r w:rsidRPr="00FB4EFA">
              <w:rPr>
                <w:rFonts w:cs="Times New Roman"/>
                <w:sz w:val="20"/>
                <w:szCs w:val="20"/>
                <w:vertAlign w:val="superscript"/>
                <w:lang w:val="fi-FI"/>
              </w:rPr>
              <w:footnoteReference w:id="156"/>
            </w:r>
          </w:p>
        </w:tc>
      </w:tr>
      <w:tr w:rsidR="00FB4EFA" w:rsidRPr="00FB4EFA" w14:paraId="590E1F8D" w14:textId="77777777" w:rsidTr="00816D34">
        <w:tc>
          <w:tcPr>
            <w:tcW w:w="1838" w:type="dxa"/>
          </w:tcPr>
          <w:p w14:paraId="107E3C05"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Oinas (1951; 1961)</w:t>
            </w:r>
          </w:p>
        </w:tc>
        <w:tc>
          <w:tcPr>
            <w:tcW w:w="5066" w:type="dxa"/>
          </w:tcPr>
          <w:p w14:paraId="55D149EE"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kuvaa Kettuseen tukeutuen suomen murteiden </w:t>
            </w:r>
            <w:r w:rsidRPr="00FB4EFA">
              <w:rPr>
                <w:rFonts w:cs="Times New Roman"/>
                <w:i/>
                <w:iCs/>
                <w:sz w:val="20"/>
                <w:szCs w:val="20"/>
                <w:lang w:val="fi-FI"/>
              </w:rPr>
              <w:t>kaa</w:t>
            </w:r>
            <w:r w:rsidRPr="00FB4EFA">
              <w:rPr>
                <w:rFonts w:cs="Times New Roman"/>
                <w:sz w:val="20"/>
                <w:szCs w:val="20"/>
                <w:lang w:val="fi-FI"/>
              </w:rPr>
              <w:t>-komitatiivin vokaalisoinnuttomatkin muodot sijana, mutta ei perustele tulkintaa käytännössä mitenkään.</w:t>
            </w:r>
            <w:r w:rsidRPr="00FB4EFA">
              <w:rPr>
                <w:rFonts w:cs="Times New Roman"/>
                <w:sz w:val="20"/>
                <w:szCs w:val="20"/>
                <w:vertAlign w:val="superscript"/>
                <w:lang w:val="fi-FI"/>
              </w:rPr>
              <w:footnoteReference w:id="157"/>
            </w:r>
          </w:p>
        </w:tc>
      </w:tr>
      <w:tr w:rsidR="00FB4EFA" w:rsidRPr="00FB4EFA" w14:paraId="24B79E54" w14:textId="77777777" w:rsidTr="00816D34">
        <w:tc>
          <w:tcPr>
            <w:tcW w:w="1838" w:type="dxa"/>
          </w:tcPr>
          <w:p w14:paraId="0DDD5A3D" w14:textId="77777777" w:rsidR="003E0C4B" w:rsidRPr="00FB4EFA" w:rsidRDefault="003E0C4B" w:rsidP="00816D34">
            <w:pPr>
              <w:keepNext/>
              <w:keepLines/>
              <w:spacing w:line="240" w:lineRule="auto"/>
              <w:jc w:val="left"/>
              <w:rPr>
                <w:sz w:val="20"/>
                <w:szCs w:val="20"/>
                <w:lang w:val="fi-FI"/>
              </w:rPr>
            </w:pPr>
            <w:r w:rsidRPr="00FB4EFA">
              <w:rPr>
                <w:rFonts w:cs="Times New Roman"/>
                <w:sz w:val="20"/>
                <w:szCs w:val="20"/>
                <w:lang w:val="fi-FI"/>
              </w:rPr>
              <w:lastRenderedPageBreak/>
              <w:t>Nevis (1986)</w:t>
            </w:r>
          </w:p>
        </w:tc>
        <w:tc>
          <w:tcPr>
            <w:tcW w:w="5066" w:type="dxa"/>
          </w:tcPr>
          <w:p w14:paraId="7FDB8CDB" w14:textId="77777777" w:rsidR="003E0C4B" w:rsidRPr="00FB4EFA" w:rsidRDefault="003E0C4B" w:rsidP="00816D34">
            <w:pPr>
              <w:keepNext/>
              <w:keepLines/>
              <w:spacing w:line="240" w:lineRule="auto"/>
              <w:rPr>
                <w:sz w:val="20"/>
                <w:szCs w:val="20"/>
                <w:lang w:val="fi-FI"/>
              </w:rPr>
            </w:pPr>
            <w:r w:rsidRPr="00FB4EFA">
              <w:rPr>
                <w:rFonts w:cs="Times New Roman"/>
                <w:sz w:val="20"/>
                <w:szCs w:val="20"/>
                <w:lang w:val="fi-FI"/>
              </w:rPr>
              <w:t>torjuu viron komitatiivin, essiivin, abessiivin ja terminatiivin sijastatuksen pitäen niitä kliitteinä, mutta ei saa kannatusta virolaisessa kielitieteessä.</w:t>
            </w:r>
          </w:p>
        </w:tc>
      </w:tr>
      <w:tr w:rsidR="00FB4EFA" w:rsidRPr="00FB4EFA" w14:paraId="301AD888" w14:textId="77777777" w:rsidTr="00816D34">
        <w:tc>
          <w:tcPr>
            <w:tcW w:w="1838" w:type="dxa"/>
          </w:tcPr>
          <w:p w14:paraId="3341BE3B"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Juvonen (1996)</w:t>
            </w:r>
          </w:p>
        </w:tc>
        <w:tc>
          <w:tcPr>
            <w:tcW w:w="5066" w:type="dxa"/>
          </w:tcPr>
          <w:p w14:paraId="7C2B9C5F"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kuvaa suomalaisen (lasten) puhekielen </w:t>
            </w:r>
            <w:r w:rsidRPr="00FB4EFA">
              <w:rPr>
                <w:rFonts w:cs="Times New Roman"/>
                <w:i/>
                <w:iCs/>
                <w:sz w:val="20"/>
                <w:szCs w:val="20"/>
                <w:lang w:val="fi-FI"/>
              </w:rPr>
              <w:t>kaa</w:t>
            </w:r>
            <w:r w:rsidRPr="00FB4EFA">
              <w:rPr>
                <w:rFonts w:cs="Times New Roman"/>
                <w:sz w:val="20"/>
                <w:szCs w:val="20"/>
                <w:lang w:val="fi-FI"/>
              </w:rPr>
              <w:t>-ainesta sijapäätteeksi, mutta ilman muita perusteluja kuin vertaamalla sitä viron ja vatjan komitatiivisijoihin.</w:t>
            </w:r>
          </w:p>
        </w:tc>
      </w:tr>
      <w:tr w:rsidR="00FB4EFA" w:rsidRPr="00FB4EFA" w14:paraId="553A7D44" w14:textId="77777777" w:rsidTr="00816D34">
        <w:trPr>
          <w:trHeight w:val="20"/>
        </w:trPr>
        <w:tc>
          <w:tcPr>
            <w:tcW w:w="1838" w:type="dxa"/>
          </w:tcPr>
          <w:p w14:paraId="10F1A22A"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Laitinen ja Lehtinen (1997)</w:t>
            </w:r>
          </w:p>
        </w:tc>
        <w:tc>
          <w:tcPr>
            <w:tcW w:w="5066" w:type="dxa"/>
          </w:tcPr>
          <w:p w14:paraId="20E6E70C" w14:textId="77777777" w:rsidR="003E0C4B" w:rsidRPr="00FB4EFA" w:rsidRDefault="003E0C4B" w:rsidP="00816D34">
            <w:pPr>
              <w:keepLines/>
              <w:spacing w:line="240" w:lineRule="auto"/>
              <w:rPr>
                <w:sz w:val="20"/>
                <w:szCs w:val="20"/>
                <w:lang w:val="fi-FI"/>
              </w:rPr>
            </w:pPr>
            <w:r w:rsidRPr="00FB4EFA">
              <w:rPr>
                <w:rFonts w:cs="Times New Roman"/>
                <w:sz w:val="20"/>
                <w:szCs w:val="20"/>
                <w:lang w:val="fi-FI"/>
              </w:rPr>
              <w:t xml:space="preserve">luonnehtivat eteläsuomalaisen puhekielen </w:t>
            </w:r>
            <w:r w:rsidRPr="00FB4EFA">
              <w:rPr>
                <w:rFonts w:cs="Times New Roman"/>
                <w:i/>
                <w:iCs/>
                <w:sz w:val="20"/>
                <w:szCs w:val="20"/>
                <w:lang w:val="fi-FI"/>
              </w:rPr>
              <w:t>kaa</w:t>
            </w:r>
            <w:r w:rsidRPr="00FB4EFA">
              <w:rPr>
                <w:rFonts w:cs="Times New Roman"/>
                <w:sz w:val="20"/>
                <w:szCs w:val="20"/>
                <w:lang w:val="fi-FI"/>
              </w:rPr>
              <w:t>-ainesta äänneasultaan kuluneeksi ainekseksi, joka ”</w:t>
            </w:r>
            <w:r w:rsidRPr="00FB4EFA">
              <w:rPr>
                <w:rFonts w:cs="Times New Roman"/>
                <w:bCs/>
                <w:sz w:val="20"/>
                <w:szCs w:val="20"/>
                <w:lang w:val="fi-FI"/>
              </w:rPr>
              <w:t>tuntuu jo</w:t>
            </w:r>
            <w:r w:rsidRPr="00FB4EFA">
              <w:rPr>
                <w:rFonts w:cs="Times New Roman"/>
                <w:sz w:val="20"/>
                <w:szCs w:val="20"/>
                <w:lang w:val="fi-FI"/>
              </w:rPr>
              <w:t xml:space="preserve"> liittyvän edeltävään substantiiviin affiksina”; ”kyseessä on siis itsenäisestä sanasta kehittynyt aines, joka ei ole saavuttanut tavanomaisten sijapäätteiden kaikkia ominaisuuksia”.</w:t>
            </w:r>
          </w:p>
        </w:tc>
      </w:tr>
      <w:tr w:rsidR="00FB4EFA" w:rsidRPr="00FB4EFA" w14:paraId="657F93A9" w14:textId="77777777" w:rsidTr="00816D34">
        <w:trPr>
          <w:trHeight w:val="20"/>
        </w:trPr>
        <w:tc>
          <w:tcPr>
            <w:tcW w:w="1838" w:type="dxa"/>
          </w:tcPr>
          <w:p w14:paraId="3FE4859A"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ISK (2004)</w:t>
            </w:r>
          </w:p>
        </w:tc>
        <w:tc>
          <w:tcPr>
            <w:tcW w:w="5066" w:type="dxa"/>
          </w:tcPr>
          <w:p w14:paraId="3CE62E00"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luonnehtii </w:t>
            </w:r>
            <w:r w:rsidRPr="00FB4EFA">
              <w:rPr>
                <w:rFonts w:cs="Times New Roman"/>
                <w:i/>
                <w:iCs/>
                <w:sz w:val="20"/>
                <w:szCs w:val="20"/>
                <w:lang w:val="fi-FI"/>
              </w:rPr>
              <w:t>kaa</w:t>
            </w:r>
            <w:r w:rsidRPr="00FB4EFA">
              <w:rPr>
                <w:rFonts w:cs="Times New Roman"/>
                <w:sz w:val="20"/>
                <w:szCs w:val="20"/>
                <w:lang w:val="fi-FI"/>
              </w:rPr>
              <w:t>-ainesta suomen kieliopin yleiskuvauksessa liitemäiseksi, sijapäätemäiseksi elementiksi.</w:t>
            </w:r>
          </w:p>
        </w:tc>
      </w:tr>
      <w:tr w:rsidR="00FB4EFA" w:rsidRPr="00FB4EFA" w14:paraId="4473FD24" w14:textId="77777777" w:rsidTr="00816D34">
        <w:trPr>
          <w:trHeight w:val="100"/>
        </w:trPr>
        <w:tc>
          <w:tcPr>
            <w:tcW w:w="1838" w:type="dxa"/>
          </w:tcPr>
          <w:p w14:paraId="6A50962E" w14:textId="77777777" w:rsidR="003E0C4B" w:rsidRPr="00FB4EFA" w:rsidRDefault="003E0C4B" w:rsidP="00863238">
            <w:pPr>
              <w:spacing w:line="240" w:lineRule="auto"/>
              <w:jc w:val="left"/>
              <w:rPr>
                <w:sz w:val="20"/>
                <w:szCs w:val="20"/>
                <w:lang w:val="fi-FI"/>
              </w:rPr>
            </w:pPr>
            <w:r w:rsidRPr="00FB4EFA">
              <w:rPr>
                <w:rFonts w:cs="Times New Roman"/>
                <w:sz w:val="20"/>
                <w:szCs w:val="20"/>
                <w:lang w:val="fi-FI"/>
              </w:rPr>
              <w:t>Sirola (2008)</w:t>
            </w:r>
          </w:p>
        </w:tc>
        <w:tc>
          <w:tcPr>
            <w:tcW w:w="5066" w:type="dxa"/>
          </w:tcPr>
          <w:p w14:paraId="309E501C" w14:textId="77777777" w:rsidR="003E0C4B" w:rsidRPr="00FB4EFA" w:rsidRDefault="003E0C4B" w:rsidP="00816D34">
            <w:pPr>
              <w:spacing w:line="240" w:lineRule="auto"/>
              <w:rPr>
                <w:sz w:val="20"/>
                <w:szCs w:val="20"/>
                <w:lang w:val="fi-FI"/>
              </w:rPr>
            </w:pPr>
            <w:r w:rsidRPr="00FB4EFA">
              <w:rPr>
                <w:rFonts w:cs="Times New Roman"/>
                <w:sz w:val="20"/>
                <w:szCs w:val="20"/>
                <w:lang w:val="fi-FI"/>
              </w:rPr>
              <w:t>huomauttaa, että ”</w:t>
            </w:r>
            <w:r w:rsidRPr="00FB4EFA">
              <w:rPr>
                <w:rFonts w:cs="Times New Roman"/>
                <w:i/>
                <w:iCs/>
                <w:sz w:val="20"/>
                <w:szCs w:val="20"/>
                <w:lang w:val="fi-FI"/>
              </w:rPr>
              <w:t>kaa</w:t>
            </w:r>
            <w:r w:rsidRPr="00FB4EFA">
              <w:rPr>
                <w:rFonts w:cs="Times New Roman"/>
                <w:sz w:val="20"/>
                <w:szCs w:val="20"/>
                <w:lang w:val="fi-FI"/>
              </w:rPr>
              <w:t xml:space="preserve">-komitatiivin sijapäätteeseen” kuuluvaksi voisi lukea myös sitä edeltävän genetiivin päätteestä periytyvän </w:t>
            </w:r>
            <w:r w:rsidRPr="00FB4EFA">
              <w:rPr>
                <w:rFonts w:cs="Charis SIL"/>
                <w:sz w:val="20"/>
                <w:szCs w:val="20"/>
                <w:lang w:val="fi-FI"/>
              </w:rPr>
              <w:t xml:space="preserve">elementin </w:t>
            </w:r>
            <w:r w:rsidRPr="00FB4EFA">
              <w:rPr>
                <w:rFonts w:cs="Charis SIL"/>
                <w:i/>
                <w:iCs/>
                <w:sz w:val="20"/>
                <w:szCs w:val="20"/>
                <w:lang w:val="fi-FI"/>
              </w:rPr>
              <w:t>ŋ</w:t>
            </w:r>
            <w:r w:rsidRPr="00FB4EFA">
              <w:rPr>
                <w:rFonts w:cs="Charis SIL"/>
                <w:sz w:val="20"/>
                <w:szCs w:val="20"/>
                <w:lang w:val="fi-FI"/>
              </w:rPr>
              <w:t>-äänteen, jolloin koko päätteen muodoksi katsottaisiin -</w:t>
            </w:r>
            <w:r w:rsidRPr="00FB4EFA">
              <w:rPr>
                <w:rFonts w:cs="Charis SIL"/>
                <w:i/>
                <w:iCs/>
                <w:sz w:val="20"/>
                <w:szCs w:val="20"/>
                <w:lang w:val="fi-FI"/>
              </w:rPr>
              <w:t>nkaa</w:t>
            </w:r>
            <w:r w:rsidRPr="00FB4EFA">
              <w:rPr>
                <w:rFonts w:cs="Charis SIL"/>
                <w:sz w:val="20"/>
                <w:szCs w:val="20"/>
                <w:lang w:val="fi-FI"/>
              </w:rPr>
              <w:t xml:space="preserve"> (-</w:t>
            </w:r>
            <w:r w:rsidRPr="00FB4EFA">
              <w:rPr>
                <w:rFonts w:cs="Charis SIL"/>
                <w:i/>
                <w:iCs/>
                <w:sz w:val="20"/>
                <w:szCs w:val="20"/>
                <w:lang w:val="fi-FI"/>
              </w:rPr>
              <w:t>ŋkaa</w:t>
            </w:r>
            <w:r w:rsidRPr="00FB4EFA">
              <w:rPr>
                <w:rFonts w:cs="Charis SIL"/>
                <w:sz w:val="20"/>
                <w:szCs w:val="20"/>
                <w:lang w:val="fi-FI"/>
              </w:rPr>
              <w:t>).</w:t>
            </w:r>
          </w:p>
        </w:tc>
      </w:tr>
      <w:tr w:rsidR="00FB4EFA" w:rsidRPr="00FB4EFA" w14:paraId="4DFC0C1E" w14:textId="77777777" w:rsidTr="00816D34">
        <w:trPr>
          <w:trHeight w:val="20"/>
        </w:trPr>
        <w:tc>
          <w:tcPr>
            <w:tcW w:w="1838" w:type="dxa"/>
          </w:tcPr>
          <w:p w14:paraId="30C3260C" w14:textId="1466BF99" w:rsidR="003E0C4B" w:rsidRPr="00FB4EFA" w:rsidRDefault="003E0C4B" w:rsidP="00863238">
            <w:pPr>
              <w:spacing w:line="240" w:lineRule="auto"/>
              <w:jc w:val="left"/>
              <w:rPr>
                <w:sz w:val="20"/>
                <w:szCs w:val="20"/>
                <w:lang w:val="fi-FI"/>
              </w:rPr>
            </w:pPr>
            <w:r w:rsidRPr="00FB4EFA">
              <w:rPr>
                <w:rFonts w:cs="Times New Roman"/>
                <w:sz w:val="20"/>
                <w:szCs w:val="20"/>
                <w:lang w:val="fi-FI"/>
              </w:rPr>
              <w:t>Vierula (2017)</w:t>
            </w:r>
          </w:p>
        </w:tc>
        <w:tc>
          <w:tcPr>
            <w:tcW w:w="5066" w:type="dxa"/>
          </w:tcPr>
          <w:p w14:paraId="49975747" w14:textId="77777777" w:rsidR="003E0C4B" w:rsidRPr="00FB4EFA" w:rsidRDefault="003E0C4B" w:rsidP="00816D34">
            <w:pPr>
              <w:spacing w:line="240" w:lineRule="auto"/>
              <w:rPr>
                <w:sz w:val="20"/>
                <w:szCs w:val="20"/>
                <w:lang w:val="fi-FI"/>
              </w:rPr>
            </w:pPr>
            <w:r w:rsidRPr="00FB4EFA">
              <w:rPr>
                <w:rFonts w:cs="Times New Roman"/>
                <w:sz w:val="20"/>
                <w:szCs w:val="20"/>
                <w:lang w:val="fi-FI"/>
              </w:rPr>
              <w:t xml:space="preserve">pitää </w:t>
            </w:r>
            <w:r w:rsidRPr="00FB4EFA">
              <w:rPr>
                <w:rFonts w:cs="Times New Roman"/>
                <w:i/>
                <w:iCs/>
                <w:sz w:val="20"/>
                <w:szCs w:val="20"/>
                <w:lang w:val="fi-FI"/>
              </w:rPr>
              <w:t>kaa</w:t>
            </w:r>
            <w:r w:rsidRPr="00FB4EFA">
              <w:rPr>
                <w:rFonts w:cs="Times New Roman"/>
                <w:sz w:val="20"/>
                <w:szCs w:val="20"/>
                <w:lang w:val="fi-FI"/>
              </w:rPr>
              <w:t xml:space="preserve">-ainesta substantiiviin kiinnittyvänä kliittinä, mutta toisaalta katsoo varovaisemmin, että sen painottomuus ”saattaa viitata siihen, että </w:t>
            </w:r>
            <w:r w:rsidRPr="00FB4EFA">
              <w:rPr>
                <w:rFonts w:cs="Times New Roman"/>
                <w:i/>
                <w:iCs/>
                <w:sz w:val="20"/>
                <w:szCs w:val="20"/>
                <w:lang w:val="fi-FI"/>
              </w:rPr>
              <w:t>kaa</w:t>
            </w:r>
            <w:r w:rsidRPr="00FB4EFA">
              <w:rPr>
                <w:rFonts w:cs="Times New Roman"/>
                <w:sz w:val="20"/>
                <w:szCs w:val="20"/>
                <w:lang w:val="fi-FI"/>
              </w:rPr>
              <w:t xml:space="preserve"> on alkanut kliittistyä” (s. 272); ajatuksen tukena ovat myös havainnot puhekielenomaisen kirjoitetun kielen yhteen kirjoitetuista ilmauksista (esim. ‹munkaa›).</w:t>
            </w:r>
          </w:p>
        </w:tc>
      </w:tr>
    </w:tbl>
    <w:p w14:paraId="5969C61F" w14:textId="6141848D" w:rsidR="003E0C4B" w:rsidRPr="00FB4EFA" w:rsidRDefault="003E0C4B" w:rsidP="00863238">
      <w:pPr>
        <w:spacing w:before="120" w:after="240"/>
        <w:jc w:val="center"/>
        <w:rPr>
          <w:sz w:val="20"/>
          <w:szCs w:val="20"/>
          <w:lang w:val="fi-FI"/>
        </w:rPr>
      </w:pPr>
      <w:r w:rsidRPr="00FB4EFA">
        <w:rPr>
          <w:rFonts w:cs="Times New Roman"/>
          <w:b/>
          <w:bCs/>
          <w:sz w:val="18"/>
          <w:szCs w:val="18"/>
          <w:lang w:val="fi-FI"/>
        </w:rPr>
        <w:t>Taulukko 1</w:t>
      </w:r>
      <w:r w:rsidRPr="00FB4EFA">
        <w:rPr>
          <w:rFonts w:cs="Times New Roman"/>
          <w:sz w:val="18"/>
          <w:szCs w:val="18"/>
          <w:lang w:val="fi-FI"/>
        </w:rPr>
        <w:t>. Suomen ja viron komitatiivien tutkimuksen merkkipaaluja.</w:t>
      </w:r>
    </w:p>
    <w:p w14:paraId="49E26A54" w14:textId="77777777" w:rsidR="003E0C4B" w:rsidRPr="00FB4EFA" w:rsidRDefault="003E0C4B" w:rsidP="00863238">
      <w:pPr>
        <w:rPr>
          <w:lang w:val="fi-FI"/>
        </w:rPr>
      </w:pPr>
      <w:r w:rsidRPr="00FB4EFA">
        <w:rPr>
          <w:lang w:val="fi-FI"/>
        </w:rPr>
        <w:t xml:space="preserve">Yllä mainittujen tutkimusten lisäksi viime vuosina on kartoitettu myös viron kirjakielen komitatiivin kehitystä (mm. Habicht 2000, Metslang ym. 2017), mutta tällä filologisella työllä ei ole välitöntä yhteyttä suomen ns. </w:t>
      </w:r>
      <w:r w:rsidRPr="00FB4EFA">
        <w:rPr>
          <w:i/>
          <w:iCs/>
          <w:lang w:val="fi-FI"/>
        </w:rPr>
        <w:t>kaa</w:t>
      </w:r>
      <w:r w:rsidRPr="00FB4EFA">
        <w:rPr>
          <w:lang w:val="fi-FI"/>
        </w:rPr>
        <w:t>-komitatiivin kuvauksiin. Erityisen huomattavaa on joka tapauksessa se, että molempien kielten kuvaajilta näyttää jääneen unohduksiin Palanderin (1819) pioneerityö, jonka argumentointi on ollut omana aikanaan suorastaan vallankumouksellisen edistyksellistä. Monet myöhempien aikojen tutkijat sen sijaan ovat nähtävästi tietämättään punniskelleet lähinnä Palanderin muinaisia pääargumentteja, olipa kyse viron komitatiivista tai sen suomalaisista vastineista.</w:t>
      </w:r>
    </w:p>
    <w:p w14:paraId="0E15F4E8" w14:textId="764815B1" w:rsidR="003E0C4B" w:rsidRPr="00FB4EFA" w:rsidRDefault="003E0C4B" w:rsidP="00863238">
      <w:pPr>
        <w:pStyle w:val="Heading2"/>
        <w:numPr>
          <w:ilvl w:val="0"/>
          <w:numId w:val="22"/>
        </w:numPr>
        <w:spacing w:line="259" w:lineRule="auto"/>
        <w:rPr>
          <w:color w:val="auto"/>
          <w:lang w:val="fi-FI"/>
        </w:rPr>
      </w:pPr>
      <w:r w:rsidRPr="00FB4EFA">
        <w:rPr>
          <w:i/>
          <w:iCs/>
          <w:color w:val="auto"/>
          <w:lang w:val="fi-FI"/>
        </w:rPr>
        <w:t>Kanssa</w:t>
      </w:r>
      <w:r w:rsidRPr="00FB4EFA">
        <w:rPr>
          <w:color w:val="auto"/>
          <w:lang w:val="fi-FI"/>
        </w:rPr>
        <w:t xml:space="preserve">, </w:t>
      </w:r>
      <w:r w:rsidRPr="00FB4EFA">
        <w:rPr>
          <w:i/>
          <w:iCs/>
          <w:color w:val="auto"/>
          <w:lang w:val="fi-FI"/>
        </w:rPr>
        <w:t>kans</w:t>
      </w:r>
      <w:r w:rsidRPr="00FB4EFA">
        <w:rPr>
          <w:color w:val="auto"/>
          <w:lang w:val="fi-FI"/>
        </w:rPr>
        <w:t xml:space="preserve">, </w:t>
      </w:r>
      <w:r w:rsidRPr="00FB4EFA">
        <w:rPr>
          <w:i/>
          <w:iCs/>
          <w:color w:val="auto"/>
          <w:lang w:val="fi-FI"/>
        </w:rPr>
        <w:t>kaa</w:t>
      </w:r>
      <w:r w:rsidRPr="00FB4EFA">
        <w:rPr>
          <w:color w:val="auto"/>
          <w:lang w:val="fi-FI"/>
        </w:rPr>
        <w:t>, -</w:t>
      </w:r>
      <w:r w:rsidRPr="00FB4EFA">
        <w:rPr>
          <w:i/>
          <w:iCs/>
          <w:color w:val="auto"/>
          <w:lang w:val="fi-FI"/>
        </w:rPr>
        <w:t>ga</w:t>
      </w:r>
      <w:r w:rsidRPr="00FB4EFA">
        <w:rPr>
          <w:color w:val="auto"/>
          <w:lang w:val="fi-FI"/>
        </w:rPr>
        <w:t xml:space="preserve"> ja -</w:t>
      </w:r>
      <w:r w:rsidRPr="00FB4EFA">
        <w:rPr>
          <w:i/>
          <w:iCs/>
          <w:color w:val="auto"/>
          <w:lang w:val="fi-FI"/>
        </w:rPr>
        <w:t>nkAA</w:t>
      </w:r>
      <w:r w:rsidRPr="00FB4EFA">
        <w:rPr>
          <w:color w:val="auto"/>
          <w:lang w:val="fi-FI"/>
        </w:rPr>
        <w:t xml:space="preserve"> – mistä on kysymys?</w:t>
      </w:r>
    </w:p>
    <w:p w14:paraId="7B611A54" w14:textId="4440B393" w:rsidR="003E0C4B" w:rsidRPr="00FB4EFA" w:rsidRDefault="003E0C4B" w:rsidP="00816D34">
      <w:pPr>
        <w:rPr>
          <w:lang w:val="fi-FI"/>
        </w:rPr>
      </w:pPr>
      <w:r w:rsidRPr="00FB4EFA">
        <w:rPr>
          <w:lang w:val="fi-FI"/>
        </w:rPr>
        <w:t xml:space="preserve">Pikainen katsaus suomen ja viron komitatiivien tutkimuksen historiaan osoittaa, että aihe on kiehtonut tutkijoita kauan. Lyhyessä artikkelissa ei </w:t>
      </w:r>
      <w:r w:rsidRPr="00FB4EFA">
        <w:rPr>
          <w:lang w:val="fi-FI"/>
        </w:rPr>
        <w:lastRenderedPageBreak/>
        <w:t xml:space="preserve">ole mahdollista ottaa kantaa kuin osaan ajan mittaan esitetyistä näkemyksistä, joten keskityn lähinnä niihin vaikutelmiin, joista otsikkonikin kertoo: siihen, kuinka suomalaiset tutkijat ovat peilanneet suomen </w:t>
      </w:r>
      <w:r w:rsidR="00816D34" w:rsidRPr="00FB4EFA">
        <w:rPr>
          <w:lang w:val="fi-FI"/>
        </w:rPr>
        <w:br/>
      </w:r>
      <w:r w:rsidRPr="00FB4EFA">
        <w:rPr>
          <w:i/>
          <w:iCs/>
          <w:lang w:val="fi-FI"/>
        </w:rPr>
        <w:t>kanssa</w:t>
      </w:r>
      <w:r w:rsidRPr="00FB4EFA">
        <w:rPr>
          <w:lang w:val="fi-FI"/>
        </w:rPr>
        <w:t>-postposition kehitystä viroon ja sen komitatiiviin.</w:t>
      </w:r>
    </w:p>
    <w:p w14:paraId="573C159B" w14:textId="213E0A80" w:rsidR="003E0C4B" w:rsidRPr="00FB4EFA" w:rsidRDefault="003E0C4B" w:rsidP="00863238">
      <w:pPr>
        <w:ind w:firstLine="709"/>
        <w:rPr>
          <w:lang w:val="fi-FI"/>
        </w:rPr>
      </w:pPr>
      <w:r w:rsidRPr="00FB4EFA">
        <w:rPr>
          <w:lang w:val="fi-FI"/>
        </w:rPr>
        <w:t>Fählmannin (1844) esitys viron sijataivutuksesta antoi myös komitatiiville ensi kerran oman aseman osana paradigmaa. Sen asema vakiintui vasta Hermannin (1884) kieliopin myötä sellaiseksi kuin sillä siitä lähtien virolaisessa kielioppiperinteessä on ollut. Tätä asemaa on pyrkinyt horjuttamaan lähinnä vain Nevis (1986), joka luonnehtii terminatiivia (-</w:t>
      </w:r>
      <w:r w:rsidRPr="00FB4EFA">
        <w:rPr>
          <w:i/>
          <w:iCs/>
          <w:lang w:val="fi-FI"/>
        </w:rPr>
        <w:t>ni</w:t>
      </w:r>
      <w:r w:rsidRPr="00FB4EFA">
        <w:rPr>
          <w:lang w:val="fi-FI"/>
        </w:rPr>
        <w:t>), essiiviä (-</w:t>
      </w:r>
      <w:r w:rsidRPr="00FB4EFA">
        <w:rPr>
          <w:i/>
          <w:iCs/>
          <w:lang w:val="fi-FI"/>
        </w:rPr>
        <w:t>na</w:t>
      </w:r>
      <w:r w:rsidRPr="00FB4EFA">
        <w:rPr>
          <w:lang w:val="fi-FI"/>
        </w:rPr>
        <w:t>), abessiivia (-</w:t>
      </w:r>
      <w:r w:rsidRPr="00FB4EFA">
        <w:rPr>
          <w:i/>
          <w:iCs/>
          <w:lang w:val="fi-FI"/>
        </w:rPr>
        <w:t>ta</w:t>
      </w:r>
      <w:r w:rsidRPr="00FB4EFA">
        <w:rPr>
          <w:lang w:val="fi-FI"/>
        </w:rPr>
        <w:t>) ja komitatiivia (-</w:t>
      </w:r>
      <w:r w:rsidRPr="00FB4EFA">
        <w:rPr>
          <w:i/>
          <w:iCs/>
          <w:lang w:val="fi-FI"/>
        </w:rPr>
        <w:t>ga</w:t>
      </w:r>
      <w:r w:rsidRPr="00FB4EFA">
        <w:rPr>
          <w:lang w:val="fi-FI"/>
        </w:rPr>
        <w:t xml:space="preserve">) kliiteiksi. Nevis ei sinänsä tarjoa uutta evidenssiä, vaan kyse on lähinnä makuasioista sijan kriteerejä määriteltäessä. Myöhemmätkin viron kieliopit kuvaavat silti nämä ns. neljä viimeistä sijaa eli leikillisellä yhteisnimityksellä </w:t>
      </w:r>
      <w:r w:rsidRPr="00FB4EFA">
        <w:rPr>
          <w:i/>
          <w:iCs/>
          <w:lang w:val="fi-FI"/>
        </w:rPr>
        <w:t>ninataga</w:t>
      </w:r>
      <w:r w:rsidRPr="00FB4EFA">
        <w:rPr>
          <w:lang w:val="fi-FI"/>
        </w:rPr>
        <w:t xml:space="preserve"> (</w:t>
      </w:r>
      <w:r w:rsidRPr="00FB4EFA">
        <w:rPr>
          <w:i/>
          <w:iCs/>
          <w:lang w:val="fi-FI"/>
        </w:rPr>
        <w:t>nina taga</w:t>
      </w:r>
      <w:r w:rsidRPr="00FB4EFA">
        <w:rPr>
          <w:lang w:val="fi-FI"/>
        </w:rPr>
        <w:t xml:space="preserve">) tunnetut muodot sijoina sijojen joukossa, vaikka niiden morfosyntaktiset ominaisuudet eroavatkin muista sijoista aivan kuten jo </w:t>
      </w:r>
      <w:r w:rsidR="00816D34" w:rsidRPr="00FB4EFA">
        <w:rPr>
          <w:lang w:val="fi-FI"/>
        </w:rPr>
        <w:br/>
      </w:r>
      <w:r w:rsidRPr="00FB4EFA">
        <w:rPr>
          <w:lang w:val="fi-FI"/>
        </w:rPr>
        <w:t>Palander komitatiivin osalta kuvasi (ks. tarkemmin esim. Nurkse 1937</w:t>
      </w:r>
      <w:r w:rsidR="0077094B" w:rsidRPr="00FB4EFA">
        <w:rPr>
          <w:lang w:val="fi-FI"/>
        </w:rPr>
        <w:t>; Kittilä ym. 2022</w:t>
      </w:r>
      <w:r w:rsidRPr="00FB4EFA">
        <w:rPr>
          <w:lang w:val="fi-FI"/>
        </w:rPr>
        <w:t>).</w:t>
      </w:r>
    </w:p>
    <w:p w14:paraId="3715B659" w14:textId="1D360401" w:rsidR="003E0C4B" w:rsidRPr="00FB4EFA" w:rsidRDefault="003E0C4B" w:rsidP="00816D34">
      <w:pPr>
        <w:ind w:firstLine="709"/>
        <w:rPr>
          <w:lang w:val="fi-FI"/>
        </w:rPr>
      </w:pPr>
      <w:r w:rsidRPr="00FB4EFA">
        <w:rPr>
          <w:lang w:val="fi-FI"/>
        </w:rPr>
        <w:t xml:space="preserve">Suomen ns. </w:t>
      </w:r>
      <w:r w:rsidRPr="00FB4EFA">
        <w:rPr>
          <w:i/>
          <w:iCs/>
          <w:lang w:val="fi-FI"/>
        </w:rPr>
        <w:t>kaa</w:t>
      </w:r>
      <w:r w:rsidRPr="00FB4EFA">
        <w:rPr>
          <w:lang w:val="fi-FI"/>
        </w:rPr>
        <w:t>-komitatiivin osalta tutkimuskenttä on kirjavampi. Pisimmälle menevä mutta tekijän itsensäkin myöhemmän arvion mukaan hieman harkitsematon näkemys on Juvosen (1996: 60–61) mielipide, että 1990-luvun puhekielessä, etenkin lapsilla, -</w:t>
      </w:r>
      <w:r w:rsidRPr="00FB4EFA">
        <w:rPr>
          <w:i/>
          <w:iCs/>
          <w:lang w:val="fi-FI"/>
        </w:rPr>
        <w:t>kaa</w:t>
      </w:r>
      <w:r w:rsidRPr="00FB4EFA">
        <w:rPr>
          <w:lang w:val="fi-FI"/>
        </w:rPr>
        <w:t xml:space="preserve"> toimi jo uutena komitatiivin sijapäätteenä (vrt. Juvonen 2013: 34). Yleisempi käsitys on kuitenkin se, että eteläsuomalaisen puhekielen </w:t>
      </w:r>
      <w:r w:rsidRPr="00FB4EFA">
        <w:rPr>
          <w:i/>
          <w:iCs/>
          <w:lang w:val="fi-FI"/>
        </w:rPr>
        <w:t>kaa</w:t>
      </w:r>
      <w:r w:rsidRPr="00FB4EFA">
        <w:rPr>
          <w:lang w:val="fi-FI"/>
        </w:rPr>
        <w:t xml:space="preserve"> on entinen postpositio, sittemmin ”puolittain affiksoitunut aines”, joka on ”huomattavan kulunut ja menettänyt siinä määrin painoaan, että se tuntuu jo liittyvän edeltävään substantiiviin affiksina” (Laitinen &amp; Lehtinen 1997: 7), tai ISK:n sanoin äänteellisesti kulunut, postpositiosyntyinen, liitemäinen tai sijapäätemäinen elementti. Viimeksi aihetta laajemmin käsitellyt Vierula (2017) pitää sitä kliittinä tai vähintään kliittistymään alkaneena elementtinä. Oppikirjoissa todetaan, että </w:t>
      </w:r>
      <w:r w:rsidRPr="00FB4EFA">
        <w:rPr>
          <w:i/>
          <w:iCs/>
          <w:lang w:val="fi-FI"/>
        </w:rPr>
        <w:t>kaa</w:t>
      </w:r>
      <w:r w:rsidRPr="00FB4EFA">
        <w:rPr>
          <w:lang w:val="fi-FI"/>
        </w:rPr>
        <w:t xml:space="preserve"> ”toisinaan saattaa jopa liittyä edeltävään sanaan kliitin tavoin” (Ojutkangas ym. 2009: 217) tai ”muistuttaa postposition asemesta sijamuotoa” (Saarikivi 2020: 711). Tämä vallitseva ja tavallaan suorastaan yksimielinen käsitys muotoillaan kuitenkin säännönmukaisesti sangen epämääräisesti: esimerkiksi fennistiikalle muuten suhteellisen vierasta kliitin käsitettä ei varsinaisesti määritellä ja </w:t>
      </w:r>
      <w:r w:rsidR="00816D34" w:rsidRPr="00FB4EFA">
        <w:rPr>
          <w:lang w:val="fi-FI"/>
        </w:rPr>
        <w:br/>
      </w:r>
      <w:r w:rsidRPr="00FB4EFA">
        <w:rPr>
          <w:lang w:val="fi-FI"/>
        </w:rPr>
        <w:lastRenderedPageBreak/>
        <w:t xml:space="preserve">esimerkit rajoittuvat usein yksinkertaisiin lausekkeisiin ja lauseisiin, kuten </w:t>
      </w:r>
      <w:r w:rsidRPr="00FB4EFA">
        <w:rPr>
          <w:i/>
          <w:iCs/>
          <w:lang w:val="fi-FI"/>
        </w:rPr>
        <w:t>isänkaa</w:t>
      </w:r>
      <w:r w:rsidRPr="00FB4EFA">
        <w:rPr>
          <w:lang w:val="fi-FI"/>
        </w:rPr>
        <w:t xml:space="preserve">, </w:t>
      </w:r>
      <w:r w:rsidRPr="00FB4EFA">
        <w:rPr>
          <w:i/>
          <w:iCs/>
          <w:lang w:val="fi-FI"/>
        </w:rPr>
        <w:t>koiran kaa</w:t>
      </w:r>
      <w:r w:rsidRPr="00FB4EFA">
        <w:rPr>
          <w:lang w:val="fi-FI"/>
        </w:rPr>
        <w:t xml:space="preserve"> ja </w:t>
      </w:r>
      <w:r w:rsidRPr="00FB4EFA">
        <w:rPr>
          <w:i/>
          <w:iCs/>
          <w:lang w:val="fi-FI"/>
        </w:rPr>
        <w:t>juon kahvia maidonkaa</w:t>
      </w:r>
      <w:r w:rsidRPr="00FB4EFA">
        <w:rPr>
          <w:lang w:val="fi-FI"/>
        </w:rPr>
        <w:t>.</w:t>
      </w:r>
    </w:p>
    <w:p w14:paraId="57014268" w14:textId="77777777" w:rsidR="003E0C4B" w:rsidRPr="00FB4EFA" w:rsidRDefault="003E0C4B" w:rsidP="00863238">
      <w:pPr>
        <w:ind w:firstLine="709"/>
        <w:rPr>
          <w:lang w:val="fi-FI"/>
        </w:rPr>
      </w:pPr>
      <w:r w:rsidRPr="00FB4EFA">
        <w:rPr>
          <w:lang w:val="fi-FI"/>
        </w:rPr>
        <w:t>Aiheen tutkimushistoriaa kokonaisuutena tarkasteltaessa on merkillepantavaa, että vaikka Kymenlaakson ja Suomenlahden saarten murteiden vokaalisoinnullinen -</w:t>
      </w:r>
      <w:r w:rsidRPr="00FB4EFA">
        <w:rPr>
          <w:i/>
          <w:iCs/>
          <w:lang w:val="fi-FI"/>
        </w:rPr>
        <w:t>nkAA</w:t>
      </w:r>
      <w:r w:rsidRPr="00FB4EFA">
        <w:rPr>
          <w:lang w:val="fi-FI"/>
        </w:rPr>
        <w:t xml:space="preserve"> – tämän morfofonologisen ominaisuutensa ansiosta kiistattomasti sidonnainen morfeemi, jossa entistä postpositiota edeltäneen entisen genetiivin -</w:t>
      </w:r>
      <w:r w:rsidRPr="00FB4EFA">
        <w:rPr>
          <w:i/>
          <w:iCs/>
          <w:lang w:val="fi-FI"/>
        </w:rPr>
        <w:t>n</w:t>
      </w:r>
      <w:r w:rsidRPr="00FB4EFA">
        <w:rPr>
          <w:lang w:val="fi-FI"/>
        </w:rPr>
        <w:t xml:space="preserve"> on syytä katsoa osaksi uutta suffiksia – on tunnettu hyvin jo 1900-luvun alusta alkaen, nykyoppikirjojen esimerkeissä tätä ei enää mainita ja varsinaisissa </w:t>
      </w:r>
      <w:r w:rsidRPr="00FB4EFA">
        <w:rPr>
          <w:i/>
          <w:iCs/>
          <w:lang w:val="fi-FI"/>
        </w:rPr>
        <w:t>kaa</w:t>
      </w:r>
      <w:r w:rsidRPr="00FB4EFA">
        <w:rPr>
          <w:lang w:val="fi-FI"/>
        </w:rPr>
        <w:t xml:space="preserve">-aineksen muuttumista käsittelevissä tutkimuksissakin se kuvataan korkeintaan marginaaliseksi (esim. Laitinen &amp; Lehtinen 1997; ISK; Vierula 2017). Ratkaisu on sinänsä ymmärrettävä, sillä ilmaisutyyppi </w:t>
      </w:r>
      <w:r w:rsidRPr="00FB4EFA">
        <w:rPr>
          <w:i/>
          <w:iCs/>
          <w:lang w:val="fi-FI"/>
        </w:rPr>
        <w:t>isänkää</w:t>
      </w:r>
      <w:r w:rsidRPr="00FB4EFA">
        <w:rPr>
          <w:lang w:val="fi-FI"/>
        </w:rPr>
        <w:t xml:space="preserve"> on vanhastaankin esiintynyt varsin suppealla alueella ja luultavasti monien muiden suppea-alaisten kansanmurteiden piirteiden tavoin sekin on ajan myötä pikemminkin väistymässä homogeenisemmän yleispuhekielen tieltä; selviä merkkejä muodon leviämisestä ei liene havaittu, jos kohta ei sen varsinaisesta väistymisestäkään.</w:t>
      </w:r>
    </w:p>
    <w:p w14:paraId="665D73F5" w14:textId="5C33F192" w:rsidR="003E0C4B" w:rsidRPr="00FB4EFA" w:rsidRDefault="003E0C4B" w:rsidP="00AF0CAD">
      <w:pPr>
        <w:ind w:firstLine="709"/>
        <w:rPr>
          <w:lang w:val="fi-FI"/>
        </w:rPr>
      </w:pPr>
      <w:r w:rsidRPr="00FB4EFA">
        <w:rPr>
          <w:lang w:val="fi-FI"/>
        </w:rPr>
        <w:t xml:space="preserve">Kuten toisaalla vokaalisoinnullista </w:t>
      </w:r>
      <w:r w:rsidRPr="00FB4EFA">
        <w:rPr>
          <w:i/>
          <w:iCs/>
          <w:lang w:val="fi-FI"/>
        </w:rPr>
        <w:t>nkAA</w:t>
      </w:r>
      <w:r w:rsidRPr="00FB4EFA">
        <w:rPr>
          <w:lang w:val="fi-FI"/>
        </w:rPr>
        <w:t>-komitatiivia tarkemmin kuvatessani esitän (</w:t>
      </w:r>
      <w:r w:rsidR="001C3977" w:rsidRPr="00FB4EFA">
        <w:rPr>
          <w:lang w:val="fi-FI"/>
        </w:rPr>
        <w:t>Ylikoski 2022</w:t>
      </w:r>
      <w:r w:rsidRPr="00FB4EFA">
        <w:rPr>
          <w:lang w:val="fi-FI"/>
        </w:rPr>
        <w:t xml:space="preserve">), uudemmassa yleispuhesuomessa lähinnä länsisuomalaiselta </w:t>
      </w:r>
      <w:r w:rsidRPr="00FB4EFA">
        <w:rPr>
          <w:i/>
          <w:iCs/>
          <w:lang w:val="fi-FI"/>
        </w:rPr>
        <w:t>kans</w:t>
      </w:r>
      <w:r w:rsidRPr="00FB4EFA">
        <w:rPr>
          <w:lang w:val="fi-FI"/>
        </w:rPr>
        <w:t xml:space="preserve">-postpositiolta alaa valtaava </w:t>
      </w:r>
      <w:r w:rsidRPr="00FB4EFA">
        <w:rPr>
          <w:i/>
          <w:iCs/>
          <w:lang w:val="fi-FI"/>
        </w:rPr>
        <w:t>kaa</w:t>
      </w:r>
      <w:r w:rsidRPr="00FB4EFA">
        <w:rPr>
          <w:lang w:val="fi-FI"/>
        </w:rPr>
        <w:t xml:space="preserve"> on kieltämättä yleistyvä variantti, mutta vaikka sitä enenevässä määrin luonnehditaan kliittistyneeksi tai sijapäätemäiseksi elementiksi, sen sidonnaisuutta ei nähdäkseni ole juuri mitenkään todistettu. Korjulasta (1900) lähtien sitä on kyllä luonnehdittu painottomaksi, mutta valitettavasti tiedossani ei ole mitään konkreettista evidenssiä siitä, miten ja missä määrin </w:t>
      </w:r>
      <w:r w:rsidRPr="00FB4EFA">
        <w:rPr>
          <w:i/>
          <w:iCs/>
          <w:lang w:val="fi-FI"/>
        </w:rPr>
        <w:t>kaa</w:t>
      </w:r>
      <w:r w:rsidRPr="00FB4EFA">
        <w:rPr>
          <w:lang w:val="fi-FI"/>
        </w:rPr>
        <w:t xml:space="preserve"> olisi painottomampi kuin esimerkiksi muut yksitavuiset postpositiot, kuten </w:t>
      </w:r>
      <w:r w:rsidRPr="00FB4EFA">
        <w:rPr>
          <w:i/>
          <w:iCs/>
          <w:lang w:val="fi-FI"/>
        </w:rPr>
        <w:t>luo</w:t>
      </w:r>
      <w:r w:rsidRPr="00FB4EFA">
        <w:rPr>
          <w:lang w:val="fi-FI"/>
        </w:rPr>
        <w:t xml:space="preserve">, </w:t>
      </w:r>
      <w:r w:rsidRPr="00FB4EFA">
        <w:rPr>
          <w:i/>
          <w:iCs/>
          <w:lang w:val="fi-FI"/>
        </w:rPr>
        <w:t>taa</w:t>
      </w:r>
      <w:r w:rsidRPr="00FB4EFA">
        <w:rPr>
          <w:lang w:val="fi-FI"/>
        </w:rPr>
        <w:t xml:space="preserve"> tai vaikkapa </w:t>
      </w:r>
      <w:r w:rsidRPr="00FB4EFA">
        <w:rPr>
          <w:i/>
          <w:iCs/>
          <w:lang w:val="fi-FI"/>
        </w:rPr>
        <w:t>kans</w:t>
      </w:r>
      <w:r w:rsidRPr="00FB4EFA">
        <w:rPr>
          <w:lang w:val="fi-FI"/>
        </w:rPr>
        <w:t xml:space="preserve">. On toki mahdollista, että lauseen </w:t>
      </w:r>
      <w:r w:rsidRPr="00FB4EFA">
        <w:rPr>
          <w:i/>
          <w:iCs/>
          <w:lang w:val="fi-FI"/>
        </w:rPr>
        <w:t>Tuut sä mun kaa?</w:t>
      </w:r>
      <w:r w:rsidRPr="00FB4EFA">
        <w:rPr>
          <w:lang w:val="fi-FI"/>
        </w:rPr>
        <w:t xml:space="preserve"> prosodia poikkeaa joissakin kielimuodoissa esimerkiksi lauseista </w:t>
      </w:r>
      <w:r w:rsidRPr="00FB4EFA">
        <w:rPr>
          <w:i/>
          <w:iCs/>
          <w:lang w:val="fi-FI"/>
        </w:rPr>
        <w:t>Tuut sä mun taa? Tuut sä mun luo? Tuut sä mun kans?</w:t>
      </w:r>
      <w:r w:rsidRPr="00FB4EFA">
        <w:rPr>
          <w:lang w:val="fi-FI"/>
        </w:rPr>
        <w:t xml:space="preserve"> mutta tätä foneettisin tutkimuksin sinänsä aivan helposti tarkasteltavaa kysymystä ei tietääkseni ole käsitelty. Toisin sanoen </w:t>
      </w:r>
      <w:r w:rsidRPr="00FB4EFA">
        <w:rPr>
          <w:i/>
          <w:iCs/>
          <w:lang w:val="fi-FI"/>
        </w:rPr>
        <w:t>kaa</w:t>
      </w:r>
      <w:r w:rsidRPr="00FB4EFA">
        <w:rPr>
          <w:lang w:val="fi-FI"/>
        </w:rPr>
        <w:t xml:space="preserve"> – Laitisen ja Lehtisen (1997: 7) sanoja käyttääkseni – kyllä ehkä ”tuntuu” liittyvän edeltävään nominiin suffiksina, mutta varsinaista näyttöä tästä ei ole, ellei sellaisena haluta pitää aivan toista modaliteettia edustavassa puhekielenomaisessa kirjoitetussa kielessä satunnaisesti tavattavaa yhteen kirjoittamista </w:t>
      </w:r>
      <w:r w:rsidR="007032B8" w:rsidRPr="00FB4EFA">
        <w:rPr>
          <w:lang w:val="fi-FI"/>
        </w:rPr>
        <w:br/>
      </w:r>
      <w:r w:rsidRPr="00FB4EFA">
        <w:rPr>
          <w:lang w:val="fi-FI"/>
        </w:rPr>
        <w:lastRenderedPageBreak/>
        <w:t xml:space="preserve">(Vierula 2017: 269; viron osalta ks. jo Palander 1819: 9–11), joka tosin sekin on yleistä myös </w:t>
      </w:r>
      <w:r w:rsidRPr="00FB4EFA">
        <w:rPr>
          <w:i/>
          <w:iCs/>
          <w:lang w:val="fi-FI"/>
        </w:rPr>
        <w:t>kans</w:t>
      </w:r>
      <w:r w:rsidRPr="00FB4EFA">
        <w:rPr>
          <w:lang w:val="fi-FI"/>
        </w:rPr>
        <w:t>-aineksen osalta.</w:t>
      </w:r>
    </w:p>
    <w:p w14:paraId="2A367897" w14:textId="4D539E03" w:rsidR="003E0C4B" w:rsidRPr="00FB4EFA" w:rsidRDefault="003E0C4B" w:rsidP="00AF0CAD">
      <w:pPr>
        <w:ind w:firstLine="709"/>
        <w:rPr>
          <w:lang w:val="fi-FI"/>
        </w:rPr>
      </w:pPr>
      <w:r w:rsidRPr="00FB4EFA">
        <w:rPr>
          <w:i/>
          <w:iCs/>
          <w:lang w:val="fi-FI"/>
        </w:rPr>
        <w:t>Kaa</w:t>
      </w:r>
      <w:r w:rsidRPr="00FB4EFA">
        <w:rPr>
          <w:lang w:val="fi-FI"/>
        </w:rPr>
        <w:t xml:space="preserve">-elementin painottomuutta koskevan subjektiivisen kielitunteen lisäksi sen uutta olemusta on jatkuvasti selitelty nykyfennistiikassa muuten harvinaisella näkökulmalla: viron kielellä. On tietysti oikein ja luonnollista, että Suomenlahden rantamilla vanhoissa kansanmurteissa tavattu vokaalisoinnullinen </w:t>
      </w:r>
      <w:r w:rsidRPr="00FB4EFA">
        <w:rPr>
          <w:i/>
          <w:iCs/>
          <w:lang w:val="fi-FI"/>
        </w:rPr>
        <w:t>nkAA</w:t>
      </w:r>
      <w:r w:rsidRPr="00FB4EFA">
        <w:rPr>
          <w:lang w:val="fi-FI"/>
        </w:rPr>
        <w:t xml:space="preserve">-suffiksi on jo Korjulasta (1900) ja </w:t>
      </w:r>
      <w:r w:rsidR="007032B8" w:rsidRPr="00FB4EFA">
        <w:rPr>
          <w:lang w:val="fi-FI"/>
        </w:rPr>
        <w:br/>
      </w:r>
      <w:r w:rsidRPr="00FB4EFA">
        <w:rPr>
          <w:lang w:val="fi-FI"/>
        </w:rPr>
        <w:t xml:space="preserve">Ojansuusta (1916) lähtien rinnastettu viron ja vatjankin komitatiiveihin, joihin sen synty alueen kielikontaktit huomioiden varmasti liittyykin. Sitä vastoin on erikoista, että viro komitatiiveineen mainitaan lähes aina myös silloin, kun puheena on vokaalisointuun mukautumaton ja syntaktisestikin tavallisen postposition tapaan käyttäytyvä </w:t>
      </w:r>
      <w:r w:rsidRPr="00FB4EFA">
        <w:rPr>
          <w:i/>
          <w:iCs/>
          <w:lang w:val="fi-FI"/>
        </w:rPr>
        <w:t>kaa</w:t>
      </w:r>
      <w:r w:rsidRPr="00FB4EFA">
        <w:rPr>
          <w:lang w:val="fi-FI"/>
        </w:rPr>
        <w:t xml:space="preserve"> sekä sen oletettu suffiksoituminen uudemmassa yleispuhesuomessa (esim. Juvonen 1996, Laitinen &amp; Lehtinen 1997, Sirola 2008, Ojutkangas ym. 2009, Vierula 2017, Saarikivi 2020</w:t>
      </w:r>
      <w:r w:rsidR="0077094B" w:rsidRPr="00FB4EFA">
        <w:rPr>
          <w:lang w:val="fi-FI"/>
        </w:rPr>
        <w:t>; viron murteiden vokaalisoinnullisesta komitatiivista ks. Prillop ym. 2020: 311</w:t>
      </w:r>
      <w:r w:rsidRPr="00FB4EFA">
        <w:rPr>
          <w:lang w:val="fi-FI"/>
        </w:rPr>
        <w:t>).</w:t>
      </w:r>
    </w:p>
    <w:p w14:paraId="06BCF2A1" w14:textId="77777777" w:rsidR="003E0C4B" w:rsidRPr="00FB4EFA" w:rsidRDefault="003E0C4B" w:rsidP="00863238">
      <w:pPr>
        <w:ind w:firstLine="709"/>
        <w:rPr>
          <w:lang w:val="fi-FI"/>
        </w:rPr>
      </w:pPr>
      <w:r w:rsidRPr="00FB4EFA">
        <w:rPr>
          <w:lang w:val="fi-FI"/>
        </w:rPr>
        <w:t xml:space="preserve">Suomen ja viron morfologian vertailemisessa ei tietenkään ole mitään moitittavaa – onhan virolainen kielenohjailu nimenomaisesti suomesta tukea ja mallia ottaen jopa juurruttanut yleiskieleen muun muassa essiivin ja superlatiivin – mutta huomiota herättävää tämä on nykyaikaisessa fennistiikassa, jossa suomea muuten perin harvoin verrataan eteläiseen sisareensa. Puhuttua nykysuomea voisi verrata viroon myös kuvattaessa esimerkiksi </w:t>
      </w:r>
      <w:r w:rsidRPr="00FB4EFA">
        <w:rPr>
          <w:i/>
          <w:iCs/>
          <w:lang w:val="fi-FI"/>
        </w:rPr>
        <w:t>t</w:t>
      </w:r>
      <w:r w:rsidRPr="00FB4EFA">
        <w:rPr>
          <w:lang w:val="fi-FI"/>
        </w:rPr>
        <w:t xml:space="preserve">:n heikkoasteisia vastineita tai </w:t>
      </w:r>
      <w:r w:rsidRPr="00FB4EFA">
        <w:rPr>
          <w:i/>
          <w:iCs/>
          <w:lang w:val="fi-FI"/>
        </w:rPr>
        <w:t>ts</w:t>
      </w:r>
      <w:r w:rsidRPr="00FB4EFA">
        <w:rPr>
          <w:lang w:val="fi-FI"/>
        </w:rPr>
        <w:t xml:space="preserve">-yhtymän edustumia, useita uusia analogiamuutoksia tai </w:t>
      </w:r>
      <w:r w:rsidRPr="00FB4EFA">
        <w:rPr>
          <w:i/>
          <w:iCs/>
          <w:lang w:val="fi-FI"/>
        </w:rPr>
        <w:t>se</w:t>
      </w:r>
      <w:r w:rsidRPr="00FB4EFA">
        <w:rPr>
          <w:lang w:val="fi-FI"/>
        </w:rPr>
        <w:t xml:space="preserve">- ja </w:t>
      </w:r>
      <w:r w:rsidRPr="00FB4EFA">
        <w:rPr>
          <w:i/>
          <w:iCs/>
          <w:lang w:val="fi-FI"/>
        </w:rPr>
        <w:t>yks</w:t>
      </w:r>
      <w:r w:rsidRPr="00FB4EFA">
        <w:rPr>
          <w:lang w:val="fi-FI"/>
        </w:rPr>
        <w:t xml:space="preserve">-sanojen artikkelinomaista käyttöä sekä omistusliitteiden käytön vähenemistä. Joskus näin tehdäänkin, mutta ei suinkaan yhtä säännönmukaisesti kuin </w:t>
      </w:r>
      <w:r w:rsidRPr="00FB4EFA">
        <w:rPr>
          <w:i/>
          <w:iCs/>
          <w:lang w:val="fi-FI"/>
        </w:rPr>
        <w:t>kaa</w:t>
      </w:r>
      <w:r w:rsidRPr="00FB4EFA">
        <w:rPr>
          <w:lang w:val="fi-FI"/>
        </w:rPr>
        <w:t xml:space="preserve">-elementtiä tarkastellessa, jolloin muutkin sanakäänteet henkivät usein eräänlaista predestinaatio-oppia, jonka valossa suomen </w:t>
      </w:r>
      <w:r w:rsidRPr="00FB4EFA">
        <w:rPr>
          <w:i/>
          <w:iCs/>
          <w:lang w:val="fi-FI"/>
        </w:rPr>
        <w:t>kaa</w:t>
      </w:r>
      <w:r w:rsidRPr="00FB4EFA">
        <w:rPr>
          <w:lang w:val="fi-FI"/>
        </w:rPr>
        <w:t xml:space="preserve"> ei ”vielä” ole kehittynyt samanlaiseksi sijapäätteeksi kuin sen virolainen vastine ”jo” on muuttunut. Tähän näyttää usein liittyvän myös ajatus, että </w:t>
      </w:r>
      <w:r w:rsidRPr="00FB4EFA">
        <w:rPr>
          <w:i/>
          <w:iCs/>
          <w:lang w:val="fi-FI"/>
        </w:rPr>
        <w:t>kaa</w:t>
      </w:r>
      <w:r w:rsidRPr="00FB4EFA">
        <w:rPr>
          <w:lang w:val="fi-FI"/>
        </w:rPr>
        <w:t xml:space="preserve">-komitatiivi olisi syrjäyttämässä toistaiseksi osin toisenlaisissa tehtävissä toimivan </w:t>
      </w:r>
      <w:r w:rsidRPr="00FB4EFA">
        <w:rPr>
          <w:i/>
          <w:iCs/>
          <w:lang w:val="fi-FI"/>
        </w:rPr>
        <w:t>ine</w:t>
      </w:r>
      <w:r w:rsidRPr="00FB4EFA">
        <w:rPr>
          <w:lang w:val="fi-FI"/>
        </w:rPr>
        <w:t>-komitatiivin; tämän luulon Sirola-Belliard (2011, 2016) on kuitenkin osoittanut aiheettomaksi.</w:t>
      </w:r>
      <w:r w:rsidRPr="00FB4EFA">
        <w:rPr>
          <w:rFonts w:cs="Times New Roman"/>
          <w:vertAlign w:val="superscript"/>
          <w:lang w:val="fi-FI"/>
        </w:rPr>
        <w:footnoteReference w:id="158"/>
      </w:r>
    </w:p>
    <w:p w14:paraId="19B4BFB1" w14:textId="74AD2066" w:rsidR="003E0C4B" w:rsidRPr="00FB4EFA" w:rsidRDefault="003E0C4B" w:rsidP="00863238">
      <w:pPr>
        <w:pStyle w:val="Heading2"/>
        <w:numPr>
          <w:ilvl w:val="0"/>
          <w:numId w:val="22"/>
        </w:numPr>
        <w:spacing w:line="259" w:lineRule="auto"/>
        <w:rPr>
          <w:color w:val="auto"/>
          <w:lang w:val="fi-FI"/>
        </w:rPr>
      </w:pPr>
      <w:r w:rsidRPr="00FB4EFA">
        <w:rPr>
          <w:color w:val="auto"/>
          <w:lang w:val="fi-FI"/>
        </w:rPr>
        <w:lastRenderedPageBreak/>
        <w:t>Aga ka -</w:t>
      </w:r>
      <w:r w:rsidRPr="00FB4EFA">
        <w:rPr>
          <w:i/>
          <w:iCs/>
          <w:color w:val="auto"/>
          <w:lang w:val="fi-FI"/>
        </w:rPr>
        <w:t>ga</w:t>
      </w:r>
      <w:r w:rsidRPr="00FB4EFA">
        <w:rPr>
          <w:color w:val="auto"/>
          <w:lang w:val="fi-FI"/>
        </w:rPr>
        <w:t xml:space="preserve">: </w:t>
      </w:r>
      <w:r w:rsidR="00FC7388" w:rsidRPr="00FB4EFA">
        <w:rPr>
          <w:color w:val="auto"/>
          <w:lang w:val="fi-FI"/>
        </w:rPr>
        <w:t>selvempi sija kuin tiedetäänkään</w:t>
      </w:r>
    </w:p>
    <w:p w14:paraId="462A9B6E" w14:textId="77777777" w:rsidR="003E0C4B" w:rsidRPr="00FB4EFA" w:rsidRDefault="003E0C4B" w:rsidP="00863238">
      <w:pPr>
        <w:rPr>
          <w:lang w:val="fi-FI"/>
        </w:rPr>
      </w:pPr>
      <w:r w:rsidRPr="00FB4EFA">
        <w:rPr>
          <w:lang w:val="fi-FI"/>
        </w:rPr>
        <w:t xml:space="preserve">Yllä on jo mainittu viron kielen kuvauksissa ja opetuksessa käytetty termi </w:t>
      </w:r>
      <w:r w:rsidRPr="00FB4EFA">
        <w:rPr>
          <w:i/>
          <w:iCs/>
          <w:lang w:val="fi-FI"/>
        </w:rPr>
        <w:t>ninataga</w:t>
      </w:r>
      <w:r w:rsidRPr="00FB4EFA">
        <w:rPr>
          <w:lang w:val="fi-FI"/>
        </w:rPr>
        <w:t xml:space="preserve"> tai </w:t>
      </w:r>
      <w:r w:rsidRPr="00FB4EFA">
        <w:rPr>
          <w:i/>
          <w:iCs/>
          <w:lang w:val="fi-FI"/>
        </w:rPr>
        <w:t>nina taga</w:t>
      </w:r>
      <w:r w:rsidRPr="00FB4EFA">
        <w:rPr>
          <w:lang w:val="fi-FI"/>
        </w:rPr>
        <w:t xml:space="preserve">, sillä </w:t>
      </w:r>
      <w:r w:rsidRPr="00FB4EFA">
        <w:rPr>
          <w:i/>
          <w:iCs/>
          <w:lang w:val="fi-FI"/>
        </w:rPr>
        <w:t>ni</w:t>
      </w:r>
      <w:r w:rsidRPr="00FB4EFA">
        <w:rPr>
          <w:lang w:val="fi-FI"/>
        </w:rPr>
        <w:t xml:space="preserve">-, </w:t>
      </w:r>
      <w:r w:rsidRPr="00FB4EFA">
        <w:rPr>
          <w:i/>
          <w:iCs/>
          <w:lang w:val="fi-FI"/>
        </w:rPr>
        <w:t>na</w:t>
      </w:r>
      <w:r w:rsidRPr="00FB4EFA">
        <w:rPr>
          <w:lang w:val="fi-FI"/>
        </w:rPr>
        <w:t xml:space="preserve">-, </w:t>
      </w:r>
      <w:r w:rsidRPr="00FB4EFA">
        <w:rPr>
          <w:i/>
          <w:iCs/>
          <w:lang w:val="fi-FI"/>
        </w:rPr>
        <w:t>ta</w:t>
      </w:r>
      <w:r w:rsidRPr="00FB4EFA">
        <w:rPr>
          <w:lang w:val="fi-FI"/>
        </w:rPr>
        <w:t xml:space="preserve">- ja </w:t>
      </w:r>
      <w:r w:rsidRPr="00FB4EFA">
        <w:rPr>
          <w:i/>
          <w:iCs/>
          <w:lang w:val="fi-FI"/>
        </w:rPr>
        <w:t>ga</w:t>
      </w:r>
      <w:r w:rsidRPr="00FB4EFA">
        <w:rPr>
          <w:lang w:val="fi-FI"/>
        </w:rPr>
        <w:t xml:space="preserve">-tunnuksisten sijojen morfosyntaksi poikkeaa muista sijoista tavalla, jonka komitatiivin osalta jo Palander (1819) on kuvannut (ks. jakso 2 yllä). Ns. </w:t>
      </w:r>
      <w:r w:rsidRPr="00FB4EFA">
        <w:rPr>
          <w:i/>
          <w:iCs/>
          <w:lang w:val="fi-FI"/>
        </w:rPr>
        <w:t>ninataga</w:t>
      </w:r>
      <w:r w:rsidRPr="00FB4EFA">
        <w:rPr>
          <w:lang w:val="fi-FI"/>
        </w:rPr>
        <w:t xml:space="preserve">-sääntöön muistavat usein epäsuorasti viitata myös ne suomalaiset, jotka vertaavat </w:t>
      </w:r>
      <w:r w:rsidRPr="00FB4EFA">
        <w:rPr>
          <w:i/>
          <w:iCs/>
          <w:lang w:val="fi-FI"/>
        </w:rPr>
        <w:t>kaa</w:t>
      </w:r>
      <w:r w:rsidRPr="00FB4EFA">
        <w:rPr>
          <w:lang w:val="fi-FI"/>
        </w:rPr>
        <w:t xml:space="preserve">-komitatiivia viroon ja toteavat, että ei vironkaan komitatiivi aivan tavallisesti käyttäytyvä sija ole: ”Kongruenssittomuus on ominaista myös viron </w:t>
      </w:r>
      <w:r w:rsidRPr="00FB4EFA">
        <w:rPr>
          <w:i/>
          <w:iCs/>
          <w:lang w:val="fi-FI"/>
        </w:rPr>
        <w:t>ga</w:t>
      </w:r>
      <w:r w:rsidRPr="00FB4EFA">
        <w:rPr>
          <w:lang w:val="fi-FI"/>
        </w:rPr>
        <w:t>-komitatiiville: ei *</w:t>
      </w:r>
      <w:r w:rsidRPr="00FB4EFA">
        <w:rPr>
          <w:i/>
          <w:iCs/>
          <w:lang w:val="fi-FI"/>
        </w:rPr>
        <w:t>vanaga isaga</w:t>
      </w:r>
      <w:r w:rsidRPr="00FB4EFA">
        <w:rPr>
          <w:lang w:val="fi-FI"/>
        </w:rPr>
        <w:t xml:space="preserve"> vaan </w:t>
      </w:r>
      <w:r w:rsidRPr="00FB4EFA">
        <w:rPr>
          <w:i/>
          <w:iCs/>
          <w:lang w:val="fi-FI"/>
        </w:rPr>
        <w:t>vana isaga</w:t>
      </w:r>
      <w:r w:rsidRPr="00FB4EFA">
        <w:rPr>
          <w:lang w:val="fi-FI"/>
        </w:rPr>
        <w:t>.” (</w:t>
      </w:r>
      <w:bookmarkStart w:id="117" w:name="_Hlk104307607"/>
      <w:r w:rsidRPr="00FB4EFA">
        <w:rPr>
          <w:lang w:val="fi-FI"/>
        </w:rPr>
        <w:t>Laitinen &amp; Lehtinen 1997</w:t>
      </w:r>
      <w:bookmarkEnd w:id="117"/>
      <w:r w:rsidRPr="00FB4EFA">
        <w:rPr>
          <w:lang w:val="fi-FI"/>
        </w:rPr>
        <w:t>: 8.)</w:t>
      </w:r>
    </w:p>
    <w:p w14:paraId="6B99924A" w14:textId="77777777" w:rsidR="003E0C4B" w:rsidRPr="00FB4EFA" w:rsidRDefault="003E0C4B" w:rsidP="00863238">
      <w:pPr>
        <w:spacing w:after="240"/>
        <w:ind w:firstLine="709"/>
        <w:rPr>
          <w:lang w:val="fi-FI"/>
        </w:rPr>
      </w:pPr>
      <w:r w:rsidRPr="00FB4EFA">
        <w:rPr>
          <w:lang w:val="fi-FI"/>
        </w:rPr>
        <w:t>Suomea ja viroa vertailtaessa on kuitenkin mahdollista kaivautua syvemmällekin eli kielen todelliseen käyttöön, joka usein poikkeaa toisiaan toistavien normatiivisten kielioppien välittämästä yleiskuvasta. Tässä yhteydessä ei ole mahdollista kaivautua niin syvälle kuin mitä aiheen kiinnostavuus ja tuntemattomuus oikeastaan vaatisi, mutta huomiota ansaitsee ainakin seuraava lingvistien lukiolaisille osoittama huomautus:</w:t>
      </w:r>
    </w:p>
    <w:p w14:paraId="50251FE9" w14:textId="77777777" w:rsidR="003E0C4B" w:rsidRPr="00FB4EFA" w:rsidRDefault="003E0C4B" w:rsidP="00863238">
      <w:pPr>
        <w:suppressAutoHyphens/>
        <w:spacing w:line="240" w:lineRule="auto"/>
        <w:ind w:left="709"/>
        <w:rPr>
          <w:sz w:val="20"/>
          <w:szCs w:val="20"/>
          <w:lang w:val="et-EE"/>
        </w:rPr>
      </w:pPr>
      <w:r w:rsidRPr="00FB4EFA">
        <w:rPr>
          <w:sz w:val="20"/>
          <w:szCs w:val="20"/>
          <w:lang w:val="et-EE"/>
        </w:rPr>
        <w:t>On reegel, mis ütleb, et teatud käänetes on omadussõnaline täiend ja tema põhisõna samas käändes (</w:t>
      </w:r>
      <w:r w:rsidRPr="00FB4EFA">
        <w:rPr>
          <w:i/>
          <w:iCs/>
          <w:sz w:val="20"/>
          <w:szCs w:val="20"/>
          <w:lang w:val="et-EE"/>
        </w:rPr>
        <w:t>kollases majas</w:t>
      </w:r>
      <w:r w:rsidRPr="00FB4EFA">
        <w:rPr>
          <w:sz w:val="20"/>
          <w:szCs w:val="20"/>
          <w:lang w:val="et-EE"/>
        </w:rPr>
        <w:t xml:space="preserve">), aga </w:t>
      </w:r>
      <w:r w:rsidRPr="00FB4EFA">
        <w:rPr>
          <w:i/>
          <w:iCs/>
          <w:sz w:val="20"/>
          <w:szCs w:val="20"/>
          <w:lang w:val="et-EE"/>
        </w:rPr>
        <w:t>ninataga</w:t>
      </w:r>
      <w:r w:rsidRPr="00FB4EFA">
        <w:rPr>
          <w:sz w:val="20"/>
          <w:szCs w:val="20"/>
          <w:lang w:val="et-EE"/>
        </w:rPr>
        <w:t>-käänetes jääb see omastavasse (</w:t>
      </w:r>
      <w:r w:rsidRPr="00FB4EFA">
        <w:rPr>
          <w:i/>
          <w:iCs/>
          <w:sz w:val="20"/>
          <w:szCs w:val="20"/>
          <w:lang w:val="et-EE"/>
        </w:rPr>
        <w:t>kollase majaga</w:t>
      </w:r>
      <w:r w:rsidRPr="00FB4EFA">
        <w:rPr>
          <w:sz w:val="20"/>
          <w:szCs w:val="20"/>
          <w:lang w:val="et-EE"/>
        </w:rPr>
        <w:t xml:space="preserve">). Murretes võib olla ka teistsuguseid kasutusi, nt </w:t>
      </w:r>
      <w:r w:rsidRPr="00FB4EFA">
        <w:rPr>
          <w:i/>
          <w:iCs/>
          <w:sz w:val="20"/>
          <w:szCs w:val="20"/>
          <w:lang w:val="et-EE"/>
        </w:rPr>
        <w:t>kollasega majaga</w:t>
      </w:r>
      <w:r w:rsidRPr="00FB4EFA">
        <w:rPr>
          <w:sz w:val="20"/>
          <w:szCs w:val="20"/>
          <w:lang w:val="et-EE"/>
        </w:rPr>
        <w:t>. (Hennoste &amp; Pajusalu 2013a: 16; ks. myös Hennoste &amp; Pajusalu 2013b: 21)</w:t>
      </w:r>
    </w:p>
    <w:p w14:paraId="0B4BD2AF" w14:textId="77777777" w:rsidR="003E0C4B" w:rsidRPr="00FB4EFA" w:rsidRDefault="003E0C4B" w:rsidP="00863238">
      <w:pPr>
        <w:spacing w:before="240" w:after="240"/>
        <w:rPr>
          <w:lang w:val="fi-FI"/>
        </w:rPr>
      </w:pPr>
      <w:r w:rsidRPr="00FB4EFA">
        <w:rPr>
          <w:lang w:val="fi-FI"/>
        </w:rPr>
        <w:t xml:space="preserve">Viron normitetun yleiskielen ulkopuolella tavataan siis myös juuri sellaisia komitatiivilausekkeita, joiden puuttumiseen viitaten suomen normitetun yleiskielen ulkopuolella tavattavaa </w:t>
      </w:r>
      <w:r w:rsidRPr="00FB4EFA">
        <w:rPr>
          <w:i/>
          <w:iCs/>
          <w:lang w:val="fi-FI"/>
        </w:rPr>
        <w:t>kaa</w:t>
      </w:r>
      <w:r w:rsidRPr="00FB4EFA">
        <w:rPr>
          <w:lang w:val="fi-FI"/>
        </w:rPr>
        <w:t>-komitatiivia on pidetty varsin samanlaisena kuin viron komitatiivi, vaikka ei ”vielä” varsinainen sija olisikaan. Seuraavat esimerkit ovat pieni ote erilaisia verkkotekstejä sisältävän etTenTen-korpuksen (270 miljoonaa sanetta) yli sadasta komitatiivista, joiden määritteet kongruoivat pääsanansa kanssa:</w:t>
      </w:r>
    </w:p>
    <w:p w14:paraId="472371B0" w14:textId="5794C465" w:rsidR="003E0C4B" w:rsidRPr="00FB4EFA" w:rsidRDefault="003E0C4B" w:rsidP="00AF0CAD">
      <w:pPr>
        <w:ind w:left="720" w:hanging="720"/>
        <w:rPr>
          <w:rFonts w:cs="Times New Roman"/>
          <w:lang w:val="fi-FI"/>
        </w:rPr>
      </w:pPr>
      <w:r w:rsidRPr="00FB4EFA">
        <w:rPr>
          <w:rFonts w:cs="Times New Roman"/>
          <w:lang w:val="fi-FI"/>
        </w:rPr>
        <w:lastRenderedPageBreak/>
        <w:t>(1)</w:t>
      </w:r>
      <w:r w:rsidRPr="00FB4EFA">
        <w:rPr>
          <w:rFonts w:cs="Times New Roman"/>
          <w:lang w:val="fi-FI"/>
        </w:rPr>
        <w:tab/>
        <w:t xml:space="preserve">Kui laps ööbib koos </w:t>
      </w:r>
      <w:r w:rsidRPr="00FB4EFA">
        <w:rPr>
          <w:rFonts w:cs="Times New Roman"/>
          <w:i/>
          <w:iCs/>
          <w:lang w:val="fi-FI"/>
        </w:rPr>
        <w:t>teistega lastega</w:t>
      </w:r>
      <w:r w:rsidRPr="00FB4EFA">
        <w:rPr>
          <w:rFonts w:cs="Times New Roman"/>
          <w:lang w:val="fi-FI"/>
        </w:rPr>
        <w:t>, kes pöialt ei ime, siis saab teie laps samuti aru, et see pole vajalik. (</w:t>
      </w:r>
      <w:hyperlink r:id="rId438" w:history="1">
        <w:r w:rsidR="006524EE" w:rsidRPr="00FB4EFA">
          <w:rPr>
            <w:rStyle w:val="Hyperlink"/>
            <w:rFonts w:cs="Times New Roman"/>
            <w:color w:val="auto"/>
            <w:lang w:val="fi-FI"/>
          </w:rPr>
          <w:t>www.hambaarst.ee</w:t>
        </w:r>
      </w:hyperlink>
      <w:r w:rsidRPr="00FB4EFA">
        <w:rPr>
          <w:rFonts w:cs="Times New Roman"/>
          <w:lang w:val="fi-FI"/>
        </w:rPr>
        <w:t>)</w:t>
      </w:r>
    </w:p>
    <w:p w14:paraId="35CD377E" w14:textId="7197332B" w:rsidR="003E0C4B" w:rsidRPr="00FB4EFA" w:rsidRDefault="003E0C4B" w:rsidP="00AF0CAD">
      <w:pPr>
        <w:rPr>
          <w:rFonts w:cs="Times New Roman"/>
          <w:lang w:val="fi-FI"/>
        </w:rPr>
      </w:pPr>
      <w:r w:rsidRPr="00FB4EFA">
        <w:rPr>
          <w:rFonts w:cs="Times New Roman"/>
          <w:lang w:val="fi-FI"/>
        </w:rPr>
        <w:t>(2)</w:t>
      </w:r>
      <w:r w:rsidRPr="00FB4EFA">
        <w:rPr>
          <w:rFonts w:cs="Times New Roman"/>
          <w:lang w:val="fi-FI"/>
        </w:rPr>
        <w:tab/>
        <w:t xml:space="preserve">elab ikka emme juures </w:t>
      </w:r>
      <w:r w:rsidRPr="00FB4EFA">
        <w:rPr>
          <w:rFonts w:cs="Times New Roman"/>
          <w:i/>
          <w:iCs/>
          <w:lang w:val="fi-FI"/>
        </w:rPr>
        <w:t>oma uuega naisega</w:t>
      </w:r>
      <w:r w:rsidRPr="00FB4EFA">
        <w:rPr>
          <w:rFonts w:cs="Times New Roman"/>
          <w:lang w:val="fi-FI"/>
        </w:rPr>
        <w:t>. (</w:t>
      </w:r>
      <w:hyperlink r:id="rId439" w:history="1">
        <w:r w:rsidR="006524EE" w:rsidRPr="00FB4EFA">
          <w:rPr>
            <w:rStyle w:val="Hyperlink"/>
            <w:rFonts w:cs="Times New Roman"/>
            <w:color w:val="auto"/>
            <w:lang w:val="fi-FI"/>
          </w:rPr>
          <w:t>juura.ee/</w:t>
        </w:r>
      </w:hyperlink>
      <w:r w:rsidRPr="00FB4EFA">
        <w:rPr>
          <w:rFonts w:cs="Times New Roman"/>
          <w:lang w:val="fi-FI"/>
        </w:rPr>
        <w:t>)</w:t>
      </w:r>
    </w:p>
    <w:p w14:paraId="1CD6AC5A" w14:textId="301602BD" w:rsidR="003E0C4B" w:rsidRPr="00FB4EFA" w:rsidRDefault="003E0C4B" w:rsidP="00AF0CAD">
      <w:pPr>
        <w:ind w:left="720" w:hanging="720"/>
        <w:rPr>
          <w:rFonts w:cs="Times New Roman"/>
          <w:lang w:val="fi-FI"/>
        </w:rPr>
      </w:pPr>
      <w:r w:rsidRPr="00FB4EFA">
        <w:rPr>
          <w:rFonts w:cs="Times New Roman"/>
          <w:lang w:val="fi-FI"/>
        </w:rPr>
        <w:t>(3)</w:t>
      </w:r>
      <w:r w:rsidRPr="00FB4EFA">
        <w:rPr>
          <w:rFonts w:cs="Times New Roman"/>
          <w:lang w:val="fi-FI"/>
        </w:rPr>
        <w:tab/>
        <w:t xml:space="preserve">USA tööstustoodangu maht oli septembris tänavu esmakordselt languses – vähenedes </w:t>
      </w:r>
      <w:r w:rsidRPr="00FB4EFA">
        <w:rPr>
          <w:rFonts w:cs="Times New Roman"/>
          <w:i/>
          <w:iCs/>
          <w:lang w:val="fi-FI"/>
        </w:rPr>
        <w:t>eelmisega kuuga</w:t>
      </w:r>
      <w:r w:rsidRPr="00FB4EFA">
        <w:rPr>
          <w:rFonts w:cs="Times New Roman"/>
          <w:lang w:val="fi-FI"/>
        </w:rPr>
        <w:t xml:space="preserve"> võrreldes 0,2 %. (</w:t>
      </w:r>
      <w:hyperlink r:id="rId440" w:history="1">
        <w:r w:rsidR="006524EE" w:rsidRPr="00FB4EFA">
          <w:rPr>
            <w:rStyle w:val="Hyperlink"/>
            <w:rFonts w:cs="Times New Roman"/>
            <w:color w:val="auto"/>
            <w:lang w:val="fi-FI"/>
          </w:rPr>
          <w:t>www.admiralmarkets.ee</w:t>
        </w:r>
      </w:hyperlink>
      <w:r w:rsidRPr="00FB4EFA">
        <w:rPr>
          <w:rFonts w:cs="Times New Roman"/>
          <w:lang w:val="fi-FI"/>
        </w:rPr>
        <w:t>)</w:t>
      </w:r>
    </w:p>
    <w:p w14:paraId="729EA86C" w14:textId="106D9B92" w:rsidR="003E0C4B" w:rsidRPr="00FB4EFA" w:rsidRDefault="003E0C4B" w:rsidP="00AF0CAD">
      <w:pPr>
        <w:ind w:left="720" w:hanging="720"/>
        <w:rPr>
          <w:rFonts w:cs="Times New Roman"/>
          <w:lang w:val="fi-FI"/>
        </w:rPr>
      </w:pPr>
      <w:r w:rsidRPr="00FB4EFA">
        <w:rPr>
          <w:rFonts w:cs="Times New Roman"/>
          <w:lang w:val="fi-FI"/>
        </w:rPr>
        <w:t>(4)</w:t>
      </w:r>
      <w:r w:rsidRPr="00FB4EFA">
        <w:rPr>
          <w:rFonts w:cs="Times New Roman"/>
          <w:lang w:val="fi-FI"/>
        </w:rPr>
        <w:tab/>
        <w:t xml:space="preserve">N[õ]us </w:t>
      </w:r>
      <w:r w:rsidRPr="00FB4EFA">
        <w:rPr>
          <w:rFonts w:cs="Times New Roman"/>
          <w:i/>
          <w:iCs/>
          <w:lang w:val="fi-FI"/>
        </w:rPr>
        <w:t>eelmisega kommenteerijaga</w:t>
      </w:r>
      <w:r w:rsidRPr="00FB4EFA">
        <w:rPr>
          <w:rFonts w:cs="Times New Roman"/>
          <w:lang w:val="fi-FI"/>
        </w:rPr>
        <w:t>, sest mulle ka helistati ja paljud nendest pangadest, kus minu andmed täpselt polnud minu andmed. (</w:t>
      </w:r>
      <w:hyperlink r:id="rId441" w:history="1">
        <w:r w:rsidR="006524EE" w:rsidRPr="00FB4EFA">
          <w:rPr>
            <w:rStyle w:val="Hyperlink"/>
            <w:rFonts w:cs="Times New Roman"/>
            <w:color w:val="auto"/>
            <w:lang w:val="fi-FI"/>
          </w:rPr>
          <w:t>www.ekspress.ee</w:t>
        </w:r>
      </w:hyperlink>
      <w:r w:rsidRPr="00FB4EFA">
        <w:rPr>
          <w:rFonts w:cs="Times New Roman"/>
          <w:lang w:val="fi-FI"/>
        </w:rPr>
        <w:t>)</w:t>
      </w:r>
    </w:p>
    <w:p w14:paraId="4BB02C1F" w14:textId="0D62C4EF" w:rsidR="003E0C4B" w:rsidRPr="00FB4EFA" w:rsidRDefault="003E0C4B" w:rsidP="00AF0CAD">
      <w:pPr>
        <w:ind w:left="720" w:hanging="720"/>
        <w:rPr>
          <w:rFonts w:cs="Times New Roman"/>
          <w:lang w:val="fi-FI"/>
        </w:rPr>
      </w:pPr>
      <w:r w:rsidRPr="00FB4EFA">
        <w:rPr>
          <w:rFonts w:cs="Times New Roman"/>
          <w:lang w:val="fi-FI"/>
        </w:rPr>
        <w:t>(5)</w:t>
      </w:r>
      <w:r w:rsidRPr="00FB4EFA">
        <w:rPr>
          <w:rFonts w:cs="Times New Roman"/>
          <w:lang w:val="fi-FI"/>
        </w:rPr>
        <w:tab/>
        <w:t xml:space="preserve">Sama on meil enamuse niiöelda </w:t>
      </w:r>
      <w:r w:rsidRPr="00FB4EFA">
        <w:rPr>
          <w:rFonts w:cs="Times New Roman"/>
          <w:i/>
          <w:iCs/>
          <w:lang w:val="fi-FI"/>
        </w:rPr>
        <w:t>hästi elavatega inimestega</w:t>
      </w:r>
      <w:r w:rsidRPr="00FB4EFA">
        <w:rPr>
          <w:rFonts w:cs="Times New Roman"/>
          <w:lang w:val="fi-FI"/>
        </w:rPr>
        <w:t>, teenivad korralikult aga kõik raha läheb krediitkaardi arvete järelmaksuks. (</w:t>
      </w:r>
      <w:hyperlink r:id="rId442" w:history="1">
        <w:r w:rsidR="006524EE" w:rsidRPr="00FB4EFA">
          <w:rPr>
            <w:rStyle w:val="Hyperlink"/>
            <w:rFonts w:cs="Times New Roman"/>
            <w:color w:val="auto"/>
            <w:lang w:val="fi-FI"/>
          </w:rPr>
          <w:t>www.ekspress.ee</w:t>
        </w:r>
      </w:hyperlink>
      <w:r w:rsidRPr="00FB4EFA">
        <w:rPr>
          <w:rFonts w:cs="Times New Roman"/>
          <w:lang w:val="fi-FI"/>
        </w:rPr>
        <w:t>)</w:t>
      </w:r>
    </w:p>
    <w:p w14:paraId="409988E3" w14:textId="57B89D58" w:rsidR="003E0C4B" w:rsidRPr="00FB4EFA" w:rsidRDefault="003E0C4B" w:rsidP="00AF0CAD">
      <w:pPr>
        <w:ind w:left="720" w:hanging="720"/>
        <w:rPr>
          <w:rFonts w:cs="Times New Roman"/>
          <w:lang w:val="fi-FI"/>
        </w:rPr>
      </w:pPr>
      <w:r w:rsidRPr="00FB4EFA">
        <w:rPr>
          <w:rFonts w:cs="Times New Roman"/>
          <w:lang w:val="fi-FI"/>
        </w:rPr>
        <w:t>(6)</w:t>
      </w:r>
      <w:r w:rsidRPr="00FB4EFA">
        <w:rPr>
          <w:rFonts w:cs="Times New Roman"/>
          <w:lang w:val="fi-FI"/>
        </w:rPr>
        <w:tab/>
        <w:t xml:space="preserve">Registreeri end foorumisse ära, ma ei taha </w:t>
      </w:r>
      <w:r w:rsidRPr="00FB4EFA">
        <w:rPr>
          <w:rFonts w:cs="Times New Roman"/>
          <w:i/>
          <w:iCs/>
          <w:lang w:val="fi-FI"/>
        </w:rPr>
        <w:t>mingite suvalistega külalistega</w:t>
      </w:r>
      <w:r w:rsidRPr="00FB4EFA">
        <w:rPr>
          <w:rFonts w:cs="Times New Roman"/>
          <w:lang w:val="fi-FI"/>
        </w:rPr>
        <w:t xml:space="preserve"> vaielda, kelle kohta ma ei tea, kas ma vaidlen ühe ja sama inimesega või mitte. (</w:t>
      </w:r>
      <w:hyperlink r:id="rId443" w:history="1">
        <w:r w:rsidR="006524EE" w:rsidRPr="00FB4EFA">
          <w:rPr>
            <w:rStyle w:val="Hyperlink"/>
            <w:rFonts w:cs="Times New Roman"/>
            <w:color w:val="auto"/>
            <w:lang w:val="fi-FI"/>
          </w:rPr>
          <w:t>www.lapsemure.ee</w:t>
        </w:r>
      </w:hyperlink>
      <w:r w:rsidRPr="00FB4EFA">
        <w:rPr>
          <w:rFonts w:cs="Times New Roman"/>
          <w:lang w:val="fi-FI"/>
        </w:rPr>
        <w:t>)</w:t>
      </w:r>
    </w:p>
    <w:p w14:paraId="5D254E52" w14:textId="20157DE6" w:rsidR="003E0C4B" w:rsidRPr="00FB4EFA" w:rsidRDefault="003E0C4B" w:rsidP="00AF0CAD">
      <w:pPr>
        <w:ind w:left="720" w:hanging="720"/>
        <w:rPr>
          <w:rFonts w:cs="Times New Roman"/>
          <w:lang w:val="fi-FI"/>
        </w:rPr>
      </w:pPr>
      <w:r w:rsidRPr="00FB4EFA">
        <w:rPr>
          <w:rFonts w:cs="Times New Roman"/>
          <w:lang w:val="fi-FI"/>
        </w:rPr>
        <w:t>(7)</w:t>
      </w:r>
      <w:r w:rsidRPr="00FB4EFA">
        <w:rPr>
          <w:rFonts w:cs="Times New Roman"/>
          <w:lang w:val="fi-FI"/>
        </w:rPr>
        <w:tab/>
        <w:t xml:space="preserve">Riigikohus on sellele tähelepanu juhtinud, et päris nii käituda ei tohiks </w:t>
      </w:r>
      <w:r w:rsidRPr="00FB4EFA">
        <w:rPr>
          <w:rFonts w:cs="Times New Roman"/>
          <w:i/>
          <w:iCs/>
          <w:lang w:val="fi-FI"/>
        </w:rPr>
        <w:t>kohalikega</w:t>
      </w:r>
      <w:r w:rsidRPr="00FB4EFA">
        <w:rPr>
          <w:rFonts w:cs="Times New Roman"/>
          <w:lang w:val="fi-FI"/>
        </w:rPr>
        <w:t xml:space="preserve"> </w:t>
      </w:r>
      <w:r w:rsidRPr="00FB4EFA">
        <w:rPr>
          <w:rFonts w:cs="Times New Roman"/>
          <w:i/>
          <w:iCs/>
          <w:lang w:val="fi-FI"/>
        </w:rPr>
        <w:t>omavalitsustega</w:t>
      </w:r>
      <w:r w:rsidRPr="00FB4EFA">
        <w:rPr>
          <w:rFonts w:cs="Times New Roman"/>
          <w:lang w:val="fi-FI"/>
        </w:rPr>
        <w:t>. (</w:t>
      </w:r>
      <w:hyperlink r:id="rId444" w:history="1">
        <w:r w:rsidR="006524EE" w:rsidRPr="00FB4EFA">
          <w:rPr>
            <w:rStyle w:val="Hyperlink"/>
            <w:rFonts w:cs="Times New Roman"/>
            <w:color w:val="auto"/>
            <w:lang w:val="fi-FI"/>
          </w:rPr>
          <w:t>www.riigikogu.ee</w:t>
        </w:r>
      </w:hyperlink>
      <w:r w:rsidRPr="00FB4EFA">
        <w:rPr>
          <w:rFonts w:cs="Times New Roman"/>
          <w:lang w:val="fi-FI"/>
        </w:rPr>
        <w:t>)</w:t>
      </w:r>
    </w:p>
    <w:p w14:paraId="0EA0986C" w14:textId="7B8982DB" w:rsidR="003E0C4B" w:rsidRPr="00FB4EFA" w:rsidRDefault="003E0C4B" w:rsidP="00816D34">
      <w:pPr>
        <w:spacing w:before="240"/>
        <w:rPr>
          <w:lang w:val="fi-FI"/>
        </w:rPr>
      </w:pPr>
      <w:r w:rsidRPr="00FB4EFA">
        <w:rPr>
          <w:lang w:val="fi-FI"/>
        </w:rPr>
        <w:t xml:space="preserve">Tällaisten komitatiivien käyttäjät vaihtelevat anonyymeistä verkkokirjoittelijoista kansanedustajiin ja toimittajiin. Toki osa lauseista voi olla suoranaisia editointivirheitä ja kaikki kirjoittajat eivät välttämättä ole äidinkielisiä, mutta joka tapauksessa tällaisia tapauksia on perinteisesti lähes kategorisesti kielletyiksi lauseiksi suhteellisen paljon. Lukemattomia lisäesimerkkejä löytää internetin hakukoneilla, jotka paljastavat myös lukuisten äidinkielisten ammattikirjoittajien käyttävän usein mm. lausekkeita </w:t>
      </w:r>
      <w:r w:rsidRPr="00FB4EFA">
        <w:rPr>
          <w:i/>
          <w:iCs/>
          <w:lang w:val="fi-FI"/>
        </w:rPr>
        <w:t>teistega lastega/naistega/meestega/inimestega</w:t>
      </w:r>
      <w:r w:rsidRPr="00FB4EFA">
        <w:rPr>
          <w:lang w:val="fi-FI"/>
        </w:rPr>
        <w:t xml:space="preserve"> (1) ja </w:t>
      </w:r>
      <w:r w:rsidR="00816D34" w:rsidRPr="00FB4EFA">
        <w:rPr>
          <w:lang w:val="fi-FI"/>
        </w:rPr>
        <w:br/>
      </w:r>
      <w:r w:rsidRPr="00FB4EFA">
        <w:rPr>
          <w:i/>
          <w:iCs/>
          <w:lang w:val="fi-FI"/>
        </w:rPr>
        <w:t>eelmisega kuuga/aastaga/talvega võrreldes</w:t>
      </w:r>
      <w:r w:rsidRPr="00FB4EFA">
        <w:rPr>
          <w:lang w:val="fi-FI"/>
        </w:rPr>
        <w:t xml:space="preserve"> (3). Sitä vastoin näyttää olevan mahdotonta löytää miljardienkaan saneiden suomenkielisistä aineistoista sellaisia lausekkeita kuin *</w:t>
      </w:r>
      <w:r w:rsidRPr="00FB4EFA">
        <w:rPr>
          <w:i/>
          <w:iCs/>
          <w:lang w:val="fi-FI"/>
        </w:rPr>
        <w:t>toisten kaa lasten kaa</w:t>
      </w:r>
      <w:r w:rsidRPr="00FB4EFA">
        <w:rPr>
          <w:lang w:val="fi-FI"/>
        </w:rPr>
        <w:t xml:space="preserve">, vaikka periaatteessa niiden ei pitäisi olla sen mahdottomampia kuin yllä nähdyt viron esimerkit, jos lähtökohtana on vallalla oleva käsitys, että viron komitatiivi toimii aina niin kuin sen yleensä kuvataan toimivan ja suomen </w:t>
      </w:r>
      <w:r w:rsidRPr="00FB4EFA">
        <w:rPr>
          <w:i/>
          <w:iCs/>
          <w:lang w:val="fi-FI"/>
        </w:rPr>
        <w:t>kaa</w:t>
      </w:r>
      <w:r w:rsidRPr="00FB4EFA">
        <w:rPr>
          <w:lang w:val="fi-FI"/>
        </w:rPr>
        <w:t xml:space="preserve"> voidaan katsoa samanlaiseksi, ainakin puolittain affiksoituneeksi sijapäätemäiseksi elementiksi. Viron tutkijoille viron ilmiöt eivät siis kuitenkaan ole tuiki tuntemattomia, mutta niiden murrepohjaa ei liene toistaiseksi tarkemmin tutkittu (Hennoste &amp; Pajusalu 2013a: 16).</w:t>
      </w:r>
    </w:p>
    <w:p w14:paraId="420410D2" w14:textId="6FC7000B" w:rsidR="003E0C4B" w:rsidRPr="00FB4EFA" w:rsidRDefault="003E0C4B" w:rsidP="00816D34">
      <w:pPr>
        <w:ind w:firstLine="709"/>
        <w:rPr>
          <w:lang w:val="fi-FI"/>
        </w:rPr>
      </w:pPr>
      <w:r w:rsidRPr="00FB4EFA">
        <w:rPr>
          <w:lang w:val="fi-FI"/>
        </w:rPr>
        <w:lastRenderedPageBreak/>
        <w:t xml:space="preserve">Tässä yhteydessä on pantava merkille, että sama ilmiö on tuttu mutta enimmäkseen tutkimaton myös muiden </w:t>
      </w:r>
      <w:r w:rsidRPr="00FB4EFA">
        <w:rPr>
          <w:i/>
          <w:iCs/>
          <w:lang w:val="fi-FI"/>
        </w:rPr>
        <w:t>ninataga</w:t>
      </w:r>
      <w:r w:rsidRPr="00FB4EFA">
        <w:rPr>
          <w:lang w:val="fi-FI"/>
        </w:rPr>
        <w:t xml:space="preserve">-sijojen osalta. Sellaisilla korpuksesta tavattavilla lausekkeilla kuin essiiveillä </w:t>
      </w:r>
      <w:r w:rsidRPr="00FB4EFA">
        <w:rPr>
          <w:i/>
          <w:iCs/>
          <w:lang w:val="fi-FI"/>
        </w:rPr>
        <w:t>suurena üllatusena</w:t>
      </w:r>
      <w:r w:rsidRPr="00FB4EFA">
        <w:rPr>
          <w:lang w:val="fi-FI"/>
        </w:rPr>
        <w:t xml:space="preserve">, </w:t>
      </w:r>
      <w:r w:rsidRPr="00FB4EFA">
        <w:rPr>
          <w:i/>
          <w:iCs/>
          <w:lang w:val="fi-FI"/>
        </w:rPr>
        <w:t>vanimana lapsena</w:t>
      </w:r>
      <w:r w:rsidRPr="00FB4EFA">
        <w:rPr>
          <w:lang w:val="fi-FI"/>
        </w:rPr>
        <w:t xml:space="preserve">, </w:t>
      </w:r>
      <w:r w:rsidRPr="00FB4EFA">
        <w:rPr>
          <w:i/>
          <w:iCs/>
          <w:lang w:val="fi-FI"/>
        </w:rPr>
        <w:t>viimasena lainena</w:t>
      </w:r>
      <w:r w:rsidRPr="00FB4EFA">
        <w:rPr>
          <w:lang w:val="fi-FI"/>
        </w:rPr>
        <w:t xml:space="preserve"> ja </w:t>
      </w:r>
      <w:r w:rsidRPr="00FB4EFA">
        <w:rPr>
          <w:i/>
          <w:iCs/>
          <w:lang w:val="fi-FI"/>
        </w:rPr>
        <w:t>vabadena iseseisvatena riikidena</w:t>
      </w:r>
      <w:r w:rsidRPr="00FB4EFA">
        <w:rPr>
          <w:lang w:val="fi-FI"/>
        </w:rPr>
        <w:t xml:space="preserve"> sekä terminatiiveilla </w:t>
      </w:r>
      <w:r w:rsidRPr="00FB4EFA">
        <w:rPr>
          <w:i/>
          <w:iCs/>
          <w:lang w:val="fi-FI"/>
        </w:rPr>
        <w:t>hiliseni ööni</w:t>
      </w:r>
      <w:r w:rsidRPr="00FB4EFA">
        <w:rPr>
          <w:lang w:val="fi-FI"/>
        </w:rPr>
        <w:t xml:space="preserve">, </w:t>
      </w:r>
      <w:r w:rsidRPr="00FB4EFA">
        <w:rPr>
          <w:i/>
          <w:iCs/>
          <w:lang w:val="fi-FI"/>
        </w:rPr>
        <w:t>järgmiseni suveni</w:t>
      </w:r>
      <w:r w:rsidRPr="00FB4EFA">
        <w:rPr>
          <w:lang w:val="fi-FI"/>
        </w:rPr>
        <w:t xml:space="preserve">, </w:t>
      </w:r>
      <w:r w:rsidRPr="00FB4EFA">
        <w:rPr>
          <w:i/>
          <w:iCs/>
          <w:lang w:val="fi-FI"/>
        </w:rPr>
        <w:t>viimaseni hingetõmbeni</w:t>
      </w:r>
      <w:r w:rsidRPr="00FB4EFA">
        <w:rPr>
          <w:lang w:val="fi-FI"/>
        </w:rPr>
        <w:t xml:space="preserve"> ja </w:t>
      </w:r>
      <w:r w:rsidRPr="00FB4EFA">
        <w:rPr>
          <w:i/>
          <w:iCs/>
          <w:lang w:val="fi-FI"/>
        </w:rPr>
        <w:t>kõige tagumisteni hammasteni</w:t>
      </w:r>
      <w:r w:rsidRPr="00FB4EFA">
        <w:rPr>
          <w:lang w:val="fi-FI"/>
        </w:rPr>
        <w:t xml:space="preserve"> on vankat murrepohjat: essiivi kongruoi erityisesti suomelle läheisissä koillisrannikon rantamurteissa, joista koko sija on yleiskieleen tietoisesti tuotu, kun taas terminatiivi kongruoi perinteisesti võrussa (Viikberg 2020: 139, 146). Abessiivin kongruenssista ei liene esitetty murretietoja ja se onkin kirjoitetussakin kielessä harvinaisempaa, mutta silti nykyteksteistä on suuremmitta etsinnöittä löydettävissä lukuisia esimerkkejä, kuten </w:t>
      </w:r>
      <w:r w:rsidRPr="00FB4EFA">
        <w:rPr>
          <w:i/>
          <w:iCs/>
          <w:lang w:val="fi-FI"/>
        </w:rPr>
        <w:t xml:space="preserve">ilma suuremata </w:t>
      </w:r>
      <w:r w:rsidR="00816D34" w:rsidRPr="00FB4EFA">
        <w:rPr>
          <w:i/>
          <w:iCs/>
          <w:lang w:val="fi-FI"/>
        </w:rPr>
        <w:br/>
      </w:r>
      <w:r w:rsidRPr="00FB4EFA">
        <w:rPr>
          <w:i/>
          <w:iCs/>
          <w:lang w:val="fi-FI"/>
        </w:rPr>
        <w:t>otsimiseta</w:t>
      </w:r>
      <w:r w:rsidRPr="00FB4EFA">
        <w:rPr>
          <w:lang w:val="fi-FI"/>
        </w:rPr>
        <w:t xml:space="preserve">, </w:t>
      </w:r>
      <w:r w:rsidRPr="00FB4EFA">
        <w:rPr>
          <w:i/>
          <w:iCs/>
          <w:lang w:val="fi-FI"/>
        </w:rPr>
        <w:t>suuremateta vahejuhtumiteta</w:t>
      </w:r>
      <w:r w:rsidRPr="00FB4EFA">
        <w:rPr>
          <w:lang w:val="fi-FI"/>
        </w:rPr>
        <w:t xml:space="preserve"> ja </w:t>
      </w:r>
      <w:r w:rsidRPr="00FB4EFA">
        <w:rPr>
          <w:i/>
          <w:iCs/>
          <w:lang w:val="fi-FI"/>
        </w:rPr>
        <w:t>ilma erilisteta supervõimeteta</w:t>
      </w:r>
      <w:r w:rsidRPr="00FB4EFA">
        <w:rPr>
          <w:lang w:val="fi-FI"/>
        </w:rPr>
        <w:t>. Tätä taustaa vasten ei ole siis lainkaan yllättävää, että joidenkin kielitajuun näyttää hiipineen mahdollisuus käyttää komitatiivia samoin kuin muitakin sijoja käytetään.</w:t>
      </w:r>
      <w:r w:rsidRPr="00FB4EFA">
        <w:rPr>
          <w:rFonts w:cs="Times New Roman"/>
          <w:vertAlign w:val="superscript"/>
          <w:lang w:val="fi-FI"/>
        </w:rPr>
        <w:footnoteReference w:id="159"/>
      </w:r>
    </w:p>
    <w:p w14:paraId="31061ADC" w14:textId="77777777" w:rsidR="003E0C4B" w:rsidRPr="00FB4EFA" w:rsidRDefault="003E0C4B" w:rsidP="00863238">
      <w:pPr>
        <w:ind w:firstLine="709"/>
        <w:rPr>
          <w:lang w:val="fi-FI"/>
        </w:rPr>
      </w:pPr>
      <w:r w:rsidRPr="00FB4EFA">
        <w:rPr>
          <w:lang w:val="fi-FI"/>
        </w:rPr>
        <w:t xml:space="preserve">On selvää, että kongruoivat </w:t>
      </w:r>
      <w:r w:rsidRPr="00FB4EFA">
        <w:rPr>
          <w:i/>
          <w:iCs/>
          <w:lang w:val="fi-FI"/>
        </w:rPr>
        <w:t>ninataga</w:t>
      </w:r>
      <w:r w:rsidRPr="00FB4EFA">
        <w:rPr>
          <w:lang w:val="fi-FI"/>
        </w:rPr>
        <w:t xml:space="preserve">-lausekkeet eivät kuulu standardoituun kirjaviroon, mutta suomen yleiskielen osalta samaa on sanottava myös murretaustaltaan lähinnä eteläsavolaisesta </w:t>
      </w:r>
      <w:r w:rsidRPr="00FB4EFA">
        <w:rPr>
          <w:i/>
          <w:iCs/>
          <w:lang w:val="fi-FI"/>
        </w:rPr>
        <w:t>kaa</w:t>
      </w:r>
      <w:r w:rsidRPr="00FB4EFA">
        <w:rPr>
          <w:lang w:val="fi-FI"/>
        </w:rPr>
        <w:t xml:space="preserve">-postpositiosta, johon viron komitatiivia suomalaisessa kielitieteessä eniten vertaillaan. Esimerkkien (1–7) komitatiivilausekkeet sekä korpuksista ja muualta internetistä löydettävät sadat tai jopa tuhannet vastaavat rakenteet kaipaavat ehdottomasti lisätutkimusta. Ottamatta kantaa esimerkkien yleiseen hyväksyttävyyteen totean, että ne joka tapauksessa osoittavat, että toisinaan </w:t>
      </w:r>
      <w:r w:rsidRPr="00FB4EFA">
        <w:rPr>
          <w:i/>
          <w:iCs/>
          <w:lang w:val="fi-FI"/>
        </w:rPr>
        <w:t>ga</w:t>
      </w:r>
      <w:r w:rsidRPr="00FB4EFA">
        <w:rPr>
          <w:lang w:val="fi-FI"/>
        </w:rPr>
        <w:t xml:space="preserve">-komitatiivi näyttää olevan syntaksiltaan paljon lähempänä vanhoja kantasuomalaisia sijoja kuin millaisena se suomen </w:t>
      </w:r>
      <w:r w:rsidRPr="00FB4EFA">
        <w:rPr>
          <w:i/>
          <w:iCs/>
          <w:lang w:val="fi-FI"/>
        </w:rPr>
        <w:t>kaa</w:t>
      </w:r>
      <w:r w:rsidRPr="00FB4EFA">
        <w:rPr>
          <w:lang w:val="fi-FI"/>
        </w:rPr>
        <w:t>-komitatiivia tarkasteltaessa yleensä kuvataan.</w:t>
      </w:r>
      <w:r w:rsidRPr="00FB4EFA">
        <w:rPr>
          <w:rFonts w:cs="Times New Roman"/>
          <w:vertAlign w:val="superscript"/>
          <w:lang w:val="fi-FI"/>
        </w:rPr>
        <w:footnoteReference w:id="160"/>
      </w:r>
    </w:p>
    <w:p w14:paraId="52414A34" w14:textId="2D631FE4" w:rsidR="003E0C4B" w:rsidRPr="00FB4EFA" w:rsidRDefault="003E0C4B" w:rsidP="00816D34">
      <w:pPr>
        <w:ind w:firstLine="709"/>
        <w:rPr>
          <w:lang w:val="fi-FI"/>
        </w:rPr>
      </w:pPr>
      <w:r w:rsidRPr="00FB4EFA">
        <w:rPr>
          <w:lang w:val="fi-FI"/>
        </w:rPr>
        <w:lastRenderedPageBreak/>
        <w:t xml:space="preserve">Lopuksi on vielä paikallaan kiinnittää huomiota viron ja suomen komitatiivisten ilmausten morfofonologiaan ja morfologiaan. Suomen morfologiaa hallitseva vokaalisointu ja sen puuttuminen virosta on ollut puheena jo edellä eikä siinä ole juuri muuta huomattavaa kuin se, että vokaalisoinnun puuttuminen suomen kielen taivutussuffiksiksi katsottavalta elementiltä olisi kerrassaan poikkeuksellista ja selvästi Occamin partaveitsen vastaista (ISK § 16). Suomen ja viron eroja on myös genetiivisen </w:t>
      </w:r>
      <w:r w:rsidRPr="00FB4EFA">
        <w:rPr>
          <w:i/>
          <w:iCs/>
          <w:lang w:val="fi-FI"/>
        </w:rPr>
        <w:t>n</w:t>
      </w:r>
      <w:r w:rsidRPr="00FB4EFA">
        <w:rPr>
          <w:lang w:val="fi-FI"/>
        </w:rPr>
        <w:t>-elementin säilyminen suomessa (</w:t>
      </w:r>
      <w:r w:rsidRPr="00FB4EFA">
        <w:rPr>
          <w:i/>
          <w:iCs/>
          <w:lang w:val="fi-FI"/>
        </w:rPr>
        <w:t>isän kaa</w:t>
      </w:r>
      <w:r w:rsidRPr="00FB4EFA">
        <w:rPr>
          <w:lang w:val="fi-FI"/>
        </w:rPr>
        <w:t xml:space="preserve"> ~ </w:t>
      </w:r>
      <w:r w:rsidRPr="00FB4EFA">
        <w:rPr>
          <w:i/>
          <w:iCs/>
          <w:lang w:val="fi-FI"/>
        </w:rPr>
        <w:t>isänkää</w:t>
      </w:r>
      <w:r w:rsidRPr="00FB4EFA">
        <w:rPr>
          <w:lang w:val="fi-FI"/>
        </w:rPr>
        <w:t xml:space="preserve">), kun taas viron </w:t>
      </w:r>
      <w:r w:rsidRPr="00FB4EFA">
        <w:rPr>
          <w:i/>
          <w:iCs/>
          <w:lang w:val="fi-FI"/>
        </w:rPr>
        <w:t>isaga</w:t>
      </w:r>
      <w:r w:rsidRPr="00FB4EFA">
        <w:rPr>
          <w:lang w:val="fi-FI"/>
        </w:rPr>
        <w:t xml:space="preserve"> osoittaa </w:t>
      </w:r>
      <w:r w:rsidRPr="00FB4EFA">
        <w:rPr>
          <w:i/>
          <w:iCs/>
          <w:lang w:val="fi-FI"/>
        </w:rPr>
        <w:t>ga</w:t>
      </w:r>
      <w:r w:rsidRPr="00FB4EFA">
        <w:rPr>
          <w:lang w:val="fi-FI"/>
        </w:rPr>
        <w:t xml:space="preserve">-elementin suffiksoituneen vasta sananloppuisen </w:t>
      </w:r>
      <w:r w:rsidRPr="00FB4EFA">
        <w:rPr>
          <w:i/>
          <w:iCs/>
          <w:lang w:val="fi-FI"/>
        </w:rPr>
        <w:t>n</w:t>
      </w:r>
      <w:r w:rsidRPr="00FB4EFA">
        <w:rPr>
          <w:lang w:val="fi-FI"/>
        </w:rPr>
        <w:t xml:space="preserve">:n kadottua. Viron nominitaivutus on kuitenkin kokenut suuria analogisia muutoksia, joista merkittävimpiä on </w:t>
      </w:r>
      <w:r w:rsidRPr="00FB4EFA">
        <w:rPr>
          <w:i/>
          <w:iCs/>
          <w:lang w:val="fi-FI"/>
        </w:rPr>
        <w:t>de</w:t>
      </w:r>
      <w:r w:rsidRPr="00FB4EFA">
        <w:rPr>
          <w:lang w:val="fi-FI"/>
        </w:rPr>
        <w:t xml:space="preserve">-monikon synty eli muinaisen monikon genetiivin kehittyminen kaikkien obliikvisijojen monikkovartaloksi (Laakso 2001: 188–189; Prillop ym. 2020: 51, 313–319). Tämän seurauksena myös </w:t>
      </w:r>
      <w:r w:rsidRPr="00FB4EFA">
        <w:rPr>
          <w:i/>
          <w:iCs/>
          <w:lang w:val="fi-FI"/>
        </w:rPr>
        <w:t>ga</w:t>
      </w:r>
      <w:r w:rsidRPr="00FB4EFA">
        <w:rPr>
          <w:lang w:val="fi-FI"/>
        </w:rPr>
        <w:t xml:space="preserve">-komitatiivin ja muiden </w:t>
      </w:r>
      <w:r w:rsidRPr="00FB4EFA">
        <w:rPr>
          <w:i/>
          <w:iCs/>
          <w:lang w:val="fi-FI"/>
        </w:rPr>
        <w:t>ninataga</w:t>
      </w:r>
      <w:r w:rsidRPr="00FB4EFA">
        <w:rPr>
          <w:lang w:val="fi-FI"/>
        </w:rPr>
        <w:t xml:space="preserve">-sijojen monikkomuodot muodostetaan useimmiten aivan samoin kuin useimpien muiden sijojen monikot. Näin siis esimerkiksi </w:t>
      </w:r>
      <w:r w:rsidRPr="00FB4EFA">
        <w:rPr>
          <w:i/>
          <w:iCs/>
          <w:lang w:val="fi-FI"/>
        </w:rPr>
        <w:t xml:space="preserve">teistega </w:t>
      </w:r>
      <w:r w:rsidRPr="00FB4EFA">
        <w:rPr>
          <w:lang w:val="fi-FI"/>
        </w:rPr>
        <w:t xml:space="preserve">ja </w:t>
      </w:r>
      <w:r w:rsidRPr="00FB4EFA">
        <w:rPr>
          <w:i/>
          <w:iCs/>
          <w:lang w:val="fi-FI"/>
        </w:rPr>
        <w:t>lastega</w:t>
      </w:r>
      <w:r w:rsidRPr="00FB4EFA">
        <w:rPr>
          <w:lang w:val="fi-FI"/>
        </w:rPr>
        <w:t xml:space="preserve"> aivan kuten </w:t>
      </w:r>
      <w:r w:rsidR="00816D34" w:rsidRPr="00FB4EFA">
        <w:rPr>
          <w:lang w:val="fi-FI"/>
        </w:rPr>
        <w:br/>
      </w:r>
      <w:r w:rsidRPr="00FB4EFA">
        <w:rPr>
          <w:i/>
          <w:iCs/>
          <w:lang w:val="fi-FI"/>
        </w:rPr>
        <w:t>teistel</w:t>
      </w:r>
      <w:r w:rsidRPr="00FB4EFA">
        <w:rPr>
          <w:lang w:val="fi-FI"/>
        </w:rPr>
        <w:t xml:space="preserve"> ja</w:t>
      </w:r>
      <w:r w:rsidRPr="00FB4EFA">
        <w:rPr>
          <w:i/>
          <w:iCs/>
          <w:lang w:val="fi-FI"/>
        </w:rPr>
        <w:t xml:space="preserve"> lastel</w:t>
      </w:r>
      <w:r w:rsidRPr="00FB4EFA">
        <w:rPr>
          <w:lang w:val="fi-FI"/>
        </w:rPr>
        <w:t xml:space="preserve">, </w:t>
      </w:r>
      <w:r w:rsidRPr="00FB4EFA">
        <w:rPr>
          <w:i/>
          <w:iCs/>
          <w:lang w:val="fi-FI"/>
        </w:rPr>
        <w:t>teistele</w:t>
      </w:r>
      <w:r w:rsidRPr="00FB4EFA">
        <w:rPr>
          <w:lang w:val="fi-FI"/>
        </w:rPr>
        <w:t xml:space="preserve"> ja</w:t>
      </w:r>
      <w:r w:rsidRPr="00FB4EFA">
        <w:rPr>
          <w:i/>
          <w:iCs/>
          <w:lang w:val="fi-FI"/>
        </w:rPr>
        <w:t xml:space="preserve"> lastele</w:t>
      </w:r>
      <w:r w:rsidRPr="00FB4EFA">
        <w:rPr>
          <w:lang w:val="fi-FI"/>
        </w:rPr>
        <w:t>.</w:t>
      </w:r>
    </w:p>
    <w:p w14:paraId="2DC89664" w14:textId="6A2A9C24" w:rsidR="003E0C4B" w:rsidRPr="00FB4EFA" w:rsidRDefault="003E0C4B" w:rsidP="00816D34">
      <w:pPr>
        <w:ind w:firstLine="709"/>
        <w:rPr>
          <w:lang w:val="fi-FI"/>
        </w:rPr>
      </w:pPr>
      <w:r w:rsidRPr="00FB4EFA">
        <w:rPr>
          <w:lang w:val="fi-FI"/>
        </w:rPr>
        <w:t xml:space="preserve">Viron komitatiivin suomalaisten vastineiden morfologia sitä vastoin eroaa nominien sijataivutuksesta radikaalisti. Olkoonkin, että yksikölliset </w:t>
      </w:r>
      <w:r w:rsidRPr="00FB4EFA">
        <w:rPr>
          <w:i/>
          <w:iCs/>
          <w:lang w:val="fi-FI"/>
        </w:rPr>
        <w:t>toisen kaa ~ toise-nkaa</w:t>
      </w:r>
      <w:r w:rsidRPr="00FB4EFA">
        <w:rPr>
          <w:lang w:val="fi-FI"/>
        </w:rPr>
        <w:t xml:space="preserve"> ja </w:t>
      </w:r>
      <w:r w:rsidRPr="00FB4EFA">
        <w:rPr>
          <w:i/>
          <w:iCs/>
          <w:lang w:val="fi-FI"/>
        </w:rPr>
        <w:t>lapsen kaa</w:t>
      </w:r>
      <w:r w:rsidRPr="00FB4EFA">
        <w:rPr>
          <w:lang w:val="fi-FI"/>
        </w:rPr>
        <w:t xml:space="preserve"> ~ </w:t>
      </w:r>
      <w:r w:rsidRPr="00FB4EFA">
        <w:rPr>
          <w:i/>
          <w:iCs/>
          <w:lang w:val="fi-FI"/>
        </w:rPr>
        <w:t>lapse-nkaa</w:t>
      </w:r>
      <w:r w:rsidRPr="00FB4EFA">
        <w:rPr>
          <w:lang w:val="fi-FI"/>
        </w:rPr>
        <w:t xml:space="preserve"> eivät ole kaukana taivutusmuodoista kuten </w:t>
      </w:r>
      <w:r w:rsidRPr="00FB4EFA">
        <w:rPr>
          <w:i/>
          <w:iCs/>
          <w:lang w:val="fi-FI"/>
        </w:rPr>
        <w:t>toise-lla</w:t>
      </w:r>
      <w:r w:rsidRPr="00FB4EFA">
        <w:rPr>
          <w:lang w:val="fi-FI"/>
        </w:rPr>
        <w:t xml:space="preserve">, </w:t>
      </w:r>
      <w:r w:rsidRPr="00FB4EFA">
        <w:rPr>
          <w:i/>
          <w:iCs/>
          <w:lang w:val="fi-FI"/>
        </w:rPr>
        <w:t>toise-lle</w:t>
      </w:r>
      <w:r w:rsidRPr="00FB4EFA">
        <w:rPr>
          <w:lang w:val="fi-FI"/>
        </w:rPr>
        <w:t xml:space="preserve">, </w:t>
      </w:r>
      <w:r w:rsidRPr="00FB4EFA">
        <w:rPr>
          <w:i/>
          <w:iCs/>
          <w:lang w:val="fi-FI"/>
        </w:rPr>
        <w:t>lapse-lla</w:t>
      </w:r>
      <w:r w:rsidRPr="00FB4EFA">
        <w:rPr>
          <w:lang w:val="fi-FI"/>
        </w:rPr>
        <w:t xml:space="preserve"> ja </w:t>
      </w:r>
      <w:r w:rsidRPr="00FB4EFA">
        <w:rPr>
          <w:i/>
          <w:iCs/>
          <w:lang w:val="fi-FI"/>
        </w:rPr>
        <w:t>lapse-lle</w:t>
      </w:r>
      <w:r w:rsidRPr="00FB4EFA">
        <w:rPr>
          <w:lang w:val="fi-FI"/>
        </w:rPr>
        <w:t>, monikolliset ilmaukset ovat nimenomaan kaukana kiistattomista sijamuodoista. Mikäli kyseessä olisi sijaparadigmaan viron komitatiivin tapaan integroitunut sija, odotuksenmukaisia olisivat monikkomuodot *</w:t>
      </w:r>
      <w:r w:rsidRPr="00FB4EFA">
        <w:rPr>
          <w:i/>
          <w:iCs/>
          <w:lang w:val="fi-FI"/>
        </w:rPr>
        <w:t>tois</w:t>
      </w:r>
      <w:r w:rsidR="00863238" w:rsidRPr="00FB4EFA">
        <w:rPr>
          <w:i/>
          <w:iCs/>
          <w:lang w:val="fi-FI"/>
        </w:rPr>
        <w:noBreakHyphen/>
      </w:r>
      <w:r w:rsidRPr="00FB4EFA">
        <w:rPr>
          <w:i/>
          <w:iCs/>
          <w:lang w:val="fi-FI"/>
        </w:rPr>
        <w:t>i</w:t>
      </w:r>
      <w:r w:rsidR="00863238" w:rsidRPr="00FB4EFA">
        <w:rPr>
          <w:i/>
          <w:iCs/>
          <w:lang w:val="fi-FI"/>
        </w:rPr>
        <w:noBreakHyphen/>
      </w:r>
      <w:r w:rsidRPr="00FB4EFA">
        <w:rPr>
          <w:i/>
          <w:iCs/>
          <w:lang w:val="fi-FI"/>
        </w:rPr>
        <w:t>nkaa</w:t>
      </w:r>
      <w:r w:rsidRPr="00FB4EFA">
        <w:rPr>
          <w:lang w:val="fi-FI"/>
        </w:rPr>
        <w:t xml:space="preserve"> ja *</w:t>
      </w:r>
      <w:r w:rsidRPr="00FB4EFA">
        <w:rPr>
          <w:i/>
          <w:iCs/>
          <w:lang w:val="fi-FI"/>
        </w:rPr>
        <w:t>laps-i-nkaa</w:t>
      </w:r>
      <w:r w:rsidRPr="00FB4EFA">
        <w:rPr>
          <w:lang w:val="fi-FI"/>
        </w:rPr>
        <w:t xml:space="preserve"> à la </w:t>
      </w:r>
      <w:r w:rsidRPr="00FB4EFA">
        <w:rPr>
          <w:i/>
          <w:iCs/>
          <w:lang w:val="fi-FI"/>
        </w:rPr>
        <w:t>tois-i-lla</w:t>
      </w:r>
      <w:r w:rsidRPr="00FB4EFA">
        <w:rPr>
          <w:lang w:val="fi-FI"/>
        </w:rPr>
        <w:t xml:space="preserve">, </w:t>
      </w:r>
      <w:r w:rsidRPr="00FB4EFA">
        <w:rPr>
          <w:i/>
          <w:iCs/>
          <w:lang w:val="fi-FI"/>
        </w:rPr>
        <w:t>tois-i-lle</w:t>
      </w:r>
      <w:r w:rsidRPr="00FB4EFA">
        <w:rPr>
          <w:lang w:val="fi-FI"/>
        </w:rPr>
        <w:t xml:space="preserve">, </w:t>
      </w:r>
      <w:r w:rsidRPr="00FB4EFA">
        <w:rPr>
          <w:i/>
          <w:iCs/>
          <w:lang w:val="fi-FI"/>
        </w:rPr>
        <w:t>laps</w:t>
      </w:r>
      <w:r w:rsidR="00C354BD" w:rsidRPr="00FB4EFA">
        <w:rPr>
          <w:i/>
          <w:iCs/>
          <w:lang w:val="fi-FI"/>
        </w:rPr>
        <w:noBreakHyphen/>
      </w:r>
      <w:r w:rsidRPr="00FB4EFA">
        <w:rPr>
          <w:i/>
          <w:iCs/>
          <w:lang w:val="fi-FI"/>
        </w:rPr>
        <w:t>i-lla</w:t>
      </w:r>
      <w:r w:rsidRPr="00FB4EFA">
        <w:rPr>
          <w:lang w:val="fi-FI"/>
        </w:rPr>
        <w:t xml:space="preserve">, </w:t>
      </w:r>
      <w:r w:rsidRPr="00FB4EFA">
        <w:rPr>
          <w:i/>
          <w:iCs/>
          <w:lang w:val="fi-FI"/>
        </w:rPr>
        <w:t>laps-i-lle</w:t>
      </w:r>
      <w:r w:rsidRPr="00FB4EFA">
        <w:rPr>
          <w:lang w:val="fi-FI"/>
        </w:rPr>
        <w:t xml:space="preserve"> ja niin edelleen. Tähän asti ei ole päästy edes niissä kaakkoisissa murteissa, joissa vokaalisoinnullista </w:t>
      </w:r>
      <w:r w:rsidRPr="00FB4EFA">
        <w:rPr>
          <w:i/>
          <w:iCs/>
          <w:lang w:val="fi-FI"/>
        </w:rPr>
        <w:t>nkAA</w:t>
      </w:r>
      <w:r w:rsidRPr="00FB4EFA">
        <w:rPr>
          <w:lang w:val="fi-FI"/>
        </w:rPr>
        <w:t xml:space="preserve">-ainesta todella voi pitää suffiksina, mutta toisaalta on merkillepantavaa, että tämä kiistatta sijamainen suffiksi on kehittynyt juuri murteisiin, joissa monien nominien monikkovartalo perustuu monikon genetiivimuotoihin: </w:t>
      </w:r>
      <w:r w:rsidRPr="00FB4EFA">
        <w:rPr>
          <w:i/>
          <w:iCs/>
          <w:lang w:val="fi-FI"/>
        </w:rPr>
        <w:t>lehmiin</w:t>
      </w:r>
      <w:r w:rsidRPr="00FB4EFA">
        <w:rPr>
          <w:lang w:val="fi-FI"/>
        </w:rPr>
        <w:t xml:space="preserve"> : </w:t>
      </w:r>
      <w:r w:rsidRPr="00FB4EFA">
        <w:rPr>
          <w:i/>
          <w:iCs/>
          <w:lang w:val="fi-FI"/>
        </w:rPr>
        <w:t>lehmiinkää</w:t>
      </w:r>
      <w:r w:rsidRPr="00FB4EFA">
        <w:rPr>
          <w:lang w:val="fi-FI"/>
        </w:rPr>
        <w:t xml:space="preserve"> : </w:t>
      </w:r>
      <w:r w:rsidRPr="00FB4EFA">
        <w:rPr>
          <w:i/>
          <w:iCs/>
          <w:lang w:val="fi-FI"/>
        </w:rPr>
        <w:t>lehmiil</w:t>
      </w:r>
      <w:r w:rsidRPr="00FB4EFA">
        <w:rPr>
          <w:lang w:val="fi-FI"/>
        </w:rPr>
        <w:t xml:space="preserve"> : </w:t>
      </w:r>
      <w:r w:rsidR="00816D34" w:rsidRPr="00FB4EFA">
        <w:rPr>
          <w:lang w:val="fi-FI"/>
        </w:rPr>
        <w:br/>
      </w:r>
      <w:r w:rsidRPr="00FB4EFA">
        <w:rPr>
          <w:i/>
          <w:iCs/>
          <w:lang w:val="fi-FI"/>
        </w:rPr>
        <w:t>lehmiille</w:t>
      </w:r>
      <w:r w:rsidRPr="00FB4EFA">
        <w:rPr>
          <w:lang w:val="fi-FI"/>
        </w:rPr>
        <w:t xml:space="preserve"> (</w:t>
      </w:r>
      <w:r w:rsidR="001C3977" w:rsidRPr="00FB4EFA">
        <w:rPr>
          <w:lang w:val="fi-FI"/>
        </w:rPr>
        <w:t>Ylikoski 2022</w:t>
      </w:r>
      <w:r w:rsidRPr="00FB4EFA">
        <w:rPr>
          <w:lang w:val="fi-FI"/>
        </w:rPr>
        <w:t>).</w:t>
      </w:r>
    </w:p>
    <w:p w14:paraId="033E4A95" w14:textId="77777777" w:rsidR="003E0C4B" w:rsidRPr="00FB4EFA" w:rsidRDefault="003E0C4B" w:rsidP="00863238">
      <w:pPr>
        <w:ind w:firstLine="709"/>
        <w:rPr>
          <w:lang w:val="fi-FI"/>
        </w:rPr>
      </w:pPr>
      <w:r w:rsidRPr="00FB4EFA">
        <w:rPr>
          <w:lang w:val="fi-FI"/>
        </w:rPr>
        <w:t xml:space="preserve">On syytä muistaa sekin, että virossa komitatiivien attribuuttien kongruoimattomuus on osa laajempaa </w:t>
      </w:r>
      <w:r w:rsidRPr="00FB4EFA">
        <w:rPr>
          <w:i/>
          <w:iCs/>
          <w:lang w:val="fi-FI"/>
        </w:rPr>
        <w:t>ninataga</w:t>
      </w:r>
      <w:r w:rsidRPr="00FB4EFA">
        <w:rPr>
          <w:lang w:val="fi-FI"/>
        </w:rPr>
        <w:t xml:space="preserve">-sijojen järjestelmää, kun taas suomessa vastaava sija olisi sijaparadigman yksinäinen kummajainen. Ja jos suomea verrataan esimerkiksi yllä nähtyihin lausekkeisiin </w:t>
      </w:r>
      <w:r w:rsidRPr="00FB4EFA">
        <w:rPr>
          <w:i/>
          <w:iCs/>
          <w:lang w:val="fi-FI"/>
        </w:rPr>
        <w:t xml:space="preserve">teistega lastega </w:t>
      </w:r>
      <w:r w:rsidRPr="00FB4EFA">
        <w:rPr>
          <w:lang w:val="fi-FI"/>
        </w:rPr>
        <w:t xml:space="preserve">(1) ja </w:t>
      </w:r>
      <w:r w:rsidRPr="00FB4EFA">
        <w:rPr>
          <w:i/>
          <w:iCs/>
          <w:lang w:val="fi-FI"/>
        </w:rPr>
        <w:t>hästi elavatega inimestega</w:t>
      </w:r>
      <w:r w:rsidRPr="00FB4EFA">
        <w:rPr>
          <w:lang w:val="fi-FI"/>
        </w:rPr>
        <w:t xml:space="preserve"> (5), suomen kielen sija</w:t>
      </w:r>
      <w:r w:rsidRPr="00FB4EFA">
        <w:rPr>
          <w:lang w:val="fi-FI"/>
        </w:rPr>
        <w:lastRenderedPageBreak/>
        <w:t>järjestelmän puitteissa odotuksenmukaisin komitatiivilauseketyyppi ei olisi edes *</w:t>
      </w:r>
      <w:r w:rsidRPr="00FB4EFA">
        <w:rPr>
          <w:i/>
          <w:iCs/>
          <w:lang w:val="fi-FI"/>
        </w:rPr>
        <w:t>toistenkaa lastenkaa</w:t>
      </w:r>
      <w:r w:rsidRPr="00FB4EFA">
        <w:rPr>
          <w:lang w:val="fi-FI"/>
        </w:rPr>
        <w:t xml:space="preserve"> ja *</w:t>
      </w:r>
      <w:r w:rsidRPr="00FB4EFA">
        <w:rPr>
          <w:i/>
          <w:iCs/>
          <w:lang w:val="fi-FI"/>
        </w:rPr>
        <w:t>hyvinvoivienkaa ihmistenkää</w:t>
      </w:r>
      <w:r w:rsidRPr="00FB4EFA">
        <w:rPr>
          <w:lang w:val="fi-FI"/>
        </w:rPr>
        <w:t>, vaan täydelleen integroitunut uusi sija tuottaisi sellaisia lausekkeita kuin *</w:t>
      </w:r>
      <w:r w:rsidRPr="00FB4EFA">
        <w:rPr>
          <w:i/>
          <w:iCs/>
          <w:lang w:val="fi-FI"/>
        </w:rPr>
        <w:t>toisinkaa lapsinkaa</w:t>
      </w:r>
      <w:r w:rsidRPr="00FB4EFA">
        <w:rPr>
          <w:lang w:val="fi-FI"/>
        </w:rPr>
        <w:t xml:space="preserve"> ja *</w:t>
      </w:r>
      <w:r w:rsidRPr="00FB4EFA">
        <w:rPr>
          <w:i/>
          <w:iCs/>
          <w:lang w:val="fi-FI"/>
        </w:rPr>
        <w:t>hyvinvoivinkaa ihmisinkää</w:t>
      </w:r>
      <w:r w:rsidRPr="00FB4EFA">
        <w:rPr>
          <w:lang w:val="fi-FI"/>
        </w:rPr>
        <w:t xml:space="preserve"> (vrt. </w:t>
      </w:r>
      <w:r w:rsidRPr="00FB4EFA">
        <w:rPr>
          <w:i/>
          <w:iCs/>
          <w:lang w:val="fi-FI"/>
        </w:rPr>
        <w:t>toisilla lapsilla</w:t>
      </w:r>
      <w:r w:rsidRPr="00FB4EFA">
        <w:rPr>
          <w:lang w:val="fi-FI"/>
        </w:rPr>
        <w:t xml:space="preserve"> ja </w:t>
      </w:r>
      <w:r w:rsidRPr="00FB4EFA">
        <w:rPr>
          <w:i/>
          <w:iCs/>
          <w:lang w:val="fi-FI"/>
        </w:rPr>
        <w:t>hyvinvoivilla ihmisillä</w:t>
      </w:r>
      <w:r w:rsidRPr="00FB4EFA">
        <w:rPr>
          <w:lang w:val="fi-FI"/>
        </w:rPr>
        <w:t xml:space="preserve">). Vaikka esimerkkien (1–7) virolaiset rakenteet ovat kovin marginaalisia ja kenties useimpien äidinkielisten mielestä epäkieliopillisia, niitä on kuitenkin löydettävissä satamäärin. Niiden hypoteettiset suomalaiset vastineet sen sijaan osoittavat, että mikäli eteläsuomalaisen yleispuhekielen </w:t>
      </w:r>
      <w:r w:rsidRPr="00FB4EFA">
        <w:rPr>
          <w:i/>
          <w:iCs/>
          <w:lang w:val="fi-FI"/>
        </w:rPr>
        <w:t>kaa</w:t>
      </w:r>
      <w:r w:rsidRPr="00FB4EFA">
        <w:rPr>
          <w:lang w:val="fi-FI"/>
        </w:rPr>
        <w:t xml:space="preserve"> alkaa jo tuntua hieman sijapäätteeltä, sille osoitettu kieliopillistumispolku on silti vielä sangen pitkä.</w:t>
      </w:r>
    </w:p>
    <w:p w14:paraId="07BFD7DA" w14:textId="7934C0E0" w:rsidR="003E0C4B" w:rsidRPr="00FB4EFA" w:rsidRDefault="003E0C4B" w:rsidP="00863238">
      <w:pPr>
        <w:pStyle w:val="Heading2"/>
        <w:numPr>
          <w:ilvl w:val="0"/>
          <w:numId w:val="22"/>
        </w:numPr>
        <w:spacing w:line="259" w:lineRule="auto"/>
        <w:rPr>
          <w:color w:val="auto"/>
          <w:lang w:val="fi-FI"/>
        </w:rPr>
      </w:pPr>
      <w:r w:rsidRPr="00FB4EFA">
        <w:rPr>
          <w:color w:val="auto"/>
          <w:lang w:val="fi-FI"/>
        </w:rPr>
        <w:t>Lopuksi</w:t>
      </w:r>
    </w:p>
    <w:p w14:paraId="65C86FA2" w14:textId="0B52432E" w:rsidR="003E0C4B" w:rsidRPr="00FB4EFA" w:rsidRDefault="003E0C4B" w:rsidP="00E90D4F">
      <w:pPr>
        <w:rPr>
          <w:lang w:val="fi-FI"/>
        </w:rPr>
      </w:pPr>
      <w:r w:rsidRPr="00FB4EFA">
        <w:rPr>
          <w:lang w:val="fi-FI"/>
        </w:rPr>
        <w:t xml:space="preserve">Yllä olen tarkastellut viron </w:t>
      </w:r>
      <w:r w:rsidRPr="00FB4EFA">
        <w:rPr>
          <w:i/>
          <w:iCs/>
          <w:lang w:val="fi-FI"/>
        </w:rPr>
        <w:t>ga</w:t>
      </w:r>
      <w:r w:rsidRPr="00FB4EFA">
        <w:rPr>
          <w:lang w:val="fi-FI"/>
        </w:rPr>
        <w:t xml:space="preserve">-komitatiivin ja sen suomalaisten etymologisten vastineiden tutkimushistoriaa yli kahden vuosisadan ajanjaksolla. Viron komitatiivin kyseenalaista sijastatusta punniskeli jo Palander (1819), ja 1900-luvun alussa nostettiin esille myös suomen virolle läheisten murteiden vokaalisoinnulliset </w:t>
      </w:r>
      <w:r w:rsidRPr="00FB4EFA">
        <w:rPr>
          <w:i/>
          <w:iCs/>
          <w:lang w:val="fi-FI"/>
        </w:rPr>
        <w:t>isänkää</w:t>
      </w:r>
      <w:r w:rsidRPr="00FB4EFA">
        <w:rPr>
          <w:lang w:val="fi-FI"/>
        </w:rPr>
        <w:t xml:space="preserve">-tyyppiset muodot (Äimä 1901, Ojansuu 1916), joita vuosisadan puoliväliin tultaessa luonnehdittiin jo hyväksi esimerkiksi postposition kieliopillistumisesta sijapäätteeksi </w:t>
      </w:r>
      <w:r w:rsidR="00E90D4F" w:rsidRPr="00FB4EFA">
        <w:rPr>
          <w:lang w:val="fi-FI"/>
        </w:rPr>
        <w:br/>
      </w:r>
      <w:r w:rsidRPr="00FB4EFA">
        <w:rPr>
          <w:lang w:val="fi-FI"/>
        </w:rPr>
        <w:t xml:space="preserve">(Ravila 1946; 1961). Vuosituhannen vaihteessa fennistien huomio kääntyi etenkin vokaalisoinnuttomaan </w:t>
      </w:r>
      <w:r w:rsidRPr="00FB4EFA">
        <w:rPr>
          <w:i/>
          <w:iCs/>
          <w:lang w:val="fi-FI"/>
        </w:rPr>
        <w:t>kaa</w:t>
      </w:r>
      <w:r w:rsidRPr="00FB4EFA">
        <w:rPr>
          <w:lang w:val="fi-FI"/>
        </w:rPr>
        <w:t>-ainekseen, jota viroon rinnastaen on haluttu pitää entisestä itsenäisestä sanasta kehittyneenä sijapäätemäisenä elementtinä.</w:t>
      </w:r>
    </w:p>
    <w:p w14:paraId="556F757A" w14:textId="77777777" w:rsidR="003E0C4B" w:rsidRPr="00FB4EFA" w:rsidRDefault="003E0C4B" w:rsidP="00E90D4F">
      <w:pPr>
        <w:ind w:firstLine="709"/>
        <w:rPr>
          <w:lang w:val="fi-FI"/>
        </w:rPr>
      </w:pPr>
      <w:r w:rsidRPr="00FB4EFA">
        <w:rPr>
          <w:lang w:val="fi-FI"/>
        </w:rPr>
        <w:t xml:space="preserve">Omana kriittisenä käsityksenäni esitän, että suomen </w:t>
      </w:r>
      <w:r w:rsidRPr="00FB4EFA">
        <w:rPr>
          <w:i/>
          <w:iCs/>
          <w:lang w:val="fi-FI"/>
        </w:rPr>
        <w:t>kaa</w:t>
      </w:r>
      <w:r w:rsidRPr="00FB4EFA">
        <w:rPr>
          <w:lang w:val="fi-FI"/>
        </w:rPr>
        <w:t xml:space="preserve"> ei ole lainkaan niin sijapäätemäinen elementti kuin mitä uudemmassa tutkimuksessa on esitetty: sellaisiin suomen sijajärjestelmään saumattomasti sopiviin lausekkeisiin kuin vaikkapa *</w:t>
      </w:r>
      <w:r w:rsidRPr="00FB4EFA">
        <w:rPr>
          <w:i/>
          <w:iCs/>
          <w:lang w:val="fi-FI"/>
        </w:rPr>
        <w:t>niinkää näteinkää tytöinkää</w:t>
      </w:r>
      <w:r w:rsidRPr="00FB4EFA">
        <w:rPr>
          <w:lang w:val="fi-FI"/>
        </w:rPr>
        <w:t xml:space="preserve"> on vielä mielikuvituksellisen pitkä matka. Koulukieliopin sääntöjä rikkovat vironkieliset tekstit sitä vastoin viittaavat konkreettisesti siihen, että kielen komitatiivi voi olla kehittymässä juuri tällaiseen suuntaan. Näyttää siis siltä, että suomen </w:t>
      </w:r>
      <w:r w:rsidRPr="00FB4EFA">
        <w:rPr>
          <w:i/>
          <w:iCs/>
          <w:lang w:val="fi-FI"/>
        </w:rPr>
        <w:t>kaa</w:t>
      </w:r>
      <w:r w:rsidRPr="00FB4EFA">
        <w:rPr>
          <w:lang w:val="fi-FI"/>
        </w:rPr>
        <w:t xml:space="preserve"> ei suinkaan ole saavuttamassa kieliopillistumispolulla kirmaavaa virolaista sisartaan, vaan perinteisten aluemurteiden erojen yleisen tasoittumisen valossa lienee odotuksenmukaisempaa, että tämä postpositio on ajan mittaan pikemminkin syrjäyttämässä suppealla murrealueella tunnetun vokaalisoinnullisen ja siksi kiistatta suffiksoitu</w:t>
      </w:r>
      <w:r w:rsidRPr="00FB4EFA">
        <w:rPr>
          <w:lang w:val="fi-FI"/>
        </w:rPr>
        <w:lastRenderedPageBreak/>
        <w:t xml:space="preserve">neen </w:t>
      </w:r>
      <w:r w:rsidRPr="00FB4EFA">
        <w:rPr>
          <w:i/>
          <w:iCs/>
          <w:lang w:val="fi-FI"/>
        </w:rPr>
        <w:t>nkAA</w:t>
      </w:r>
      <w:r w:rsidRPr="00FB4EFA">
        <w:rPr>
          <w:lang w:val="fi-FI"/>
        </w:rPr>
        <w:t xml:space="preserve">-komitatiivin. On jopa luultavaa, että </w:t>
      </w:r>
      <w:r w:rsidRPr="00FB4EFA">
        <w:rPr>
          <w:i/>
          <w:iCs/>
          <w:lang w:val="fi-FI"/>
        </w:rPr>
        <w:t>kanssa</w:t>
      </w:r>
      <w:r w:rsidRPr="00FB4EFA">
        <w:rPr>
          <w:lang w:val="fi-FI"/>
        </w:rPr>
        <w:t xml:space="preserve">-postposition lyhentyneeseen </w:t>
      </w:r>
      <w:r w:rsidRPr="00FB4EFA">
        <w:rPr>
          <w:i/>
          <w:iCs/>
          <w:lang w:val="fi-FI"/>
        </w:rPr>
        <w:t>kaa</w:t>
      </w:r>
      <w:r w:rsidRPr="00FB4EFA">
        <w:rPr>
          <w:lang w:val="fi-FI"/>
        </w:rPr>
        <w:t xml:space="preserve">-varianttiin ei suomalaisessa kielitieteessä olisi kiinnitetty paljonkaan huomiota, ellei tieto viron </w:t>
      </w:r>
      <w:r w:rsidRPr="00FB4EFA">
        <w:rPr>
          <w:i/>
          <w:iCs/>
          <w:lang w:val="fi-FI"/>
        </w:rPr>
        <w:t>ga</w:t>
      </w:r>
      <w:r w:rsidRPr="00FB4EFA">
        <w:rPr>
          <w:lang w:val="fi-FI"/>
        </w:rPr>
        <w:t>-komitatiivista olisi harvinaisen selvästi osoittanut, mitä tällaisesta postpositiosta voi ajan saatossa tulla – jos on tullakseen.</w:t>
      </w:r>
    </w:p>
    <w:p w14:paraId="2FFABFDC" w14:textId="77777777" w:rsidR="003E0C4B" w:rsidRPr="00FB4EFA" w:rsidRDefault="003E0C4B" w:rsidP="00863238">
      <w:pPr>
        <w:pStyle w:val="Heading2"/>
        <w:spacing w:line="259" w:lineRule="auto"/>
        <w:rPr>
          <w:color w:val="auto"/>
          <w:lang w:val="fi-FI"/>
        </w:rPr>
      </w:pPr>
      <w:r w:rsidRPr="00FB4EFA">
        <w:rPr>
          <w:color w:val="auto"/>
          <w:lang w:val="fi-FI"/>
        </w:rPr>
        <w:t>Lähteet</w:t>
      </w:r>
    </w:p>
    <w:p w14:paraId="419F1C09" w14:textId="4FB4864E"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etTenTen-korpus. </w:t>
      </w:r>
      <w:hyperlink r:id="rId445" w:history="1">
        <w:r w:rsidR="001975B9" w:rsidRPr="00FB4EFA">
          <w:rPr>
            <w:rFonts w:cs="Charis SIL"/>
            <w:u w:val="single"/>
            <w:lang w:val="fi-FI"/>
          </w:rPr>
          <w:t>www.keeleveeb.ee</w:t>
        </w:r>
      </w:hyperlink>
      <w:r w:rsidR="006A4D03" w:rsidRPr="00FB4EFA">
        <w:rPr>
          <w:rFonts w:cs="Charis SIL"/>
          <w:lang w:val="fi-FI"/>
        </w:rPr>
        <w:t>.</w:t>
      </w:r>
    </w:p>
    <w:p w14:paraId="10035931"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Fählmann, F. 1844. </w:t>
      </w:r>
      <w:r w:rsidRPr="00FB4EFA">
        <w:rPr>
          <w:rFonts w:cs="Charis SIL"/>
          <w:i/>
          <w:iCs/>
          <w:lang w:val="fi-FI"/>
        </w:rPr>
        <w:t>Ueber die Declination der estnischen Nomina</w:t>
      </w:r>
      <w:r w:rsidRPr="00FB4EFA">
        <w:rPr>
          <w:rFonts w:cs="Charis SIL"/>
          <w:lang w:val="fi-FI"/>
        </w:rPr>
        <w:t>. Besonderer Abdruck aus den Verhandlungen der gelehrten Estnischen Gesellschaft zu Dorpat, Heft 3. Dorpat: Heinrich Laakmann.</w:t>
      </w:r>
    </w:p>
    <w:p w14:paraId="6B81710F"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Habicht, Külli. 2000. Grammaticalization of adpositions in old literary Estonian. Teoksessa Mati Erelt (toim.), </w:t>
      </w:r>
      <w:r w:rsidRPr="00FB4EFA">
        <w:rPr>
          <w:rFonts w:cs="Charis SIL"/>
          <w:i/>
          <w:iCs/>
          <w:lang w:val="fi-FI"/>
        </w:rPr>
        <w:t>Estonian: Typological studies IV</w:t>
      </w:r>
      <w:r w:rsidRPr="00FB4EFA">
        <w:rPr>
          <w:rFonts w:cs="Charis SIL"/>
          <w:lang w:val="fi-FI"/>
        </w:rPr>
        <w:t>, 19–58. Tartu: University of Tartu.</w:t>
      </w:r>
    </w:p>
    <w:p w14:paraId="5FDB387F" w14:textId="7027455C"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Hennoste, Tiit &amp; Karl Pajusalu. 2013a. </w:t>
      </w:r>
      <w:r w:rsidRPr="00FB4EFA">
        <w:rPr>
          <w:rFonts w:cs="Charis SIL"/>
          <w:i/>
          <w:iCs/>
          <w:lang w:val="fi-FI"/>
        </w:rPr>
        <w:t>Eesti keele allkeeled. Lisaõpik gümnaasiumile.</w:t>
      </w:r>
      <w:r w:rsidRPr="00FB4EFA">
        <w:rPr>
          <w:rFonts w:cs="Charis SIL"/>
          <w:lang w:val="fi-FI"/>
        </w:rPr>
        <w:t xml:space="preserve"> Proovivariant. </w:t>
      </w:r>
      <w:hyperlink r:id="rId446" w:history="1">
        <w:r w:rsidR="00151C8A" w:rsidRPr="00FB4EFA">
          <w:rPr>
            <w:rStyle w:val="Hyperlink"/>
            <w:rFonts w:cs="Charis SIL"/>
            <w:color w:val="auto"/>
            <w:lang w:val="fi-FI"/>
          </w:rPr>
          <w:t>www.eeselts.edu.ee/www/v1/</w:t>
        </w:r>
        <w:r w:rsidR="00151C8A" w:rsidRPr="00FB4EFA">
          <w:rPr>
            <w:rStyle w:val="Hyperlink"/>
            <w:rFonts w:cs="Charis SIL"/>
            <w:color w:val="auto"/>
            <w:lang w:val="fi-FI"/>
          </w:rPr>
          <w:br/>
          <w:t>?download=allkeeled_35_koos_3.05 (1).pdf</w:t>
        </w:r>
      </w:hyperlink>
      <w:r w:rsidR="006A4D03" w:rsidRPr="00FB4EFA">
        <w:rPr>
          <w:rFonts w:cs="Charis SIL"/>
          <w:lang w:val="fi-FI"/>
        </w:rPr>
        <w:t>.</w:t>
      </w:r>
    </w:p>
    <w:p w14:paraId="78133746"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Hennoste, Tiit &amp; Karl Pajusalu. 2013b. </w:t>
      </w:r>
      <w:r w:rsidRPr="00FB4EFA">
        <w:rPr>
          <w:rFonts w:cs="Charis SIL"/>
          <w:i/>
          <w:iCs/>
          <w:lang w:val="fi-FI"/>
        </w:rPr>
        <w:t>Eesti keele allkeeled. Õpik gümnaasiumile</w:t>
      </w:r>
      <w:r w:rsidRPr="00FB4EFA">
        <w:rPr>
          <w:rFonts w:cs="Charis SIL"/>
          <w:lang w:val="fi-FI"/>
        </w:rPr>
        <w:t>. Tallinn: Eesti Keele Sihtasutus.</w:t>
      </w:r>
    </w:p>
    <w:p w14:paraId="143C8227"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Hermann, K. A. 1884. </w:t>
      </w:r>
      <w:r w:rsidRPr="00FB4EFA">
        <w:rPr>
          <w:rFonts w:cs="Charis SIL"/>
          <w:i/>
          <w:iCs/>
          <w:lang w:val="fi-FI"/>
        </w:rPr>
        <w:t>Eesti keele Grammatik</w:t>
      </w:r>
      <w:r w:rsidRPr="00FB4EFA">
        <w:rPr>
          <w:rFonts w:cs="Charis SIL"/>
          <w:lang w:val="fi-FI"/>
        </w:rPr>
        <w:t>. Tartu: Wilhelm Just.</w:t>
      </w:r>
    </w:p>
    <w:p w14:paraId="7059C03F" w14:textId="7052146D"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ISK = </w:t>
      </w:r>
      <w:r w:rsidR="0077318B" w:rsidRPr="00FB4EFA">
        <w:rPr>
          <w:rFonts w:cs="Charis SIL"/>
          <w:lang w:val="fi-FI"/>
        </w:rPr>
        <w:t xml:space="preserve">Auli </w:t>
      </w:r>
      <w:r w:rsidRPr="00FB4EFA">
        <w:rPr>
          <w:rFonts w:cs="Charis SIL"/>
          <w:lang w:val="fi-FI"/>
        </w:rPr>
        <w:t xml:space="preserve">Hakulinen, Maria Vilkuna, Riitta Korhonen, Vesa Koivisto, Tarja Riitta Heinonen &amp; Irja Alho. 2004. </w:t>
      </w:r>
      <w:r w:rsidRPr="00FB4EFA">
        <w:rPr>
          <w:rFonts w:cs="Charis SIL"/>
          <w:i/>
          <w:iCs/>
          <w:lang w:val="fi-FI"/>
        </w:rPr>
        <w:t>Iso suomen kielioppi</w:t>
      </w:r>
      <w:r w:rsidRPr="00FB4EFA">
        <w:rPr>
          <w:rFonts w:cs="Charis SIL"/>
          <w:lang w:val="fi-FI"/>
        </w:rPr>
        <w:t>. Helsinki: SKS.</w:t>
      </w:r>
    </w:p>
    <w:p w14:paraId="3E3125ED" w14:textId="77777777" w:rsidR="003E0C4B" w:rsidRPr="00FB4EFA" w:rsidRDefault="003E0C4B" w:rsidP="007032B8">
      <w:pPr>
        <w:keepLines/>
        <w:suppressAutoHyphens/>
        <w:spacing w:line="240" w:lineRule="auto"/>
        <w:ind w:left="425" w:hanging="425"/>
        <w:rPr>
          <w:rFonts w:cs="Charis SIL"/>
          <w:lang w:val="fi-FI"/>
        </w:rPr>
      </w:pPr>
      <w:r w:rsidRPr="00FB4EFA">
        <w:rPr>
          <w:rFonts w:cs="Charis SIL"/>
          <w:lang w:val="fi-FI"/>
        </w:rPr>
        <w:t xml:space="preserve">Juvonen, Päivi. 1996. Språkkontakt och språkförändring. Användningen av demonstrativa pronomen i en sverigefinsk kontaktsituation. Teoksessa Leena Huss (toim.), </w:t>
      </w:r>
      <w:r w:rsidRPr="00FB4EFA">
        <w:rPr>
          <w:rFonts w:cs="Charis SIL"/>
          <w:i/>
          <w:iCs/>
          <w:lang w:val="fi-FI"/>
        </w:rPr>
        <w:t>Många vägar till tvåspråkighet. Föredrag från ett forskarseminarium vid Göteborgs universitet den 21–22 oktober 1994</w:t>
      </w:r>
      <w:r w:rsidRPr="00FB4EFA">
        <w:rPr>
          <w:rFonts w:cs="Charis SIL"/>
          <w:lang w:val="fi-FI"/>
        </w:rPr>
        <w:t>, 57–88. Uppsala: Uppsala University.</w:t>
      </w:r>
    </w:p>
    <w:p w14:paraId="7E88C471"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Juvonen, Päivi. 2013. Så lika men ändå så olika. Om </w:t>
      </w:r>
      <w:r w:rsidRPr="00FB4EFA">
        <w:rPr>
          <w:rFonts w:cs="Charis SIL"/>
          <w:i/>
          <w:iCs/>
          <w:lang w:val="fi-FI"/>
        </w:rPr>
        <w:t>kanssa</w:t>
      </w:r>
      <w:r w:rsidRPr="00FB4EFA">
        <w:rPr>
          <w:rFonts w:cs="Charis SIL"/>
          <w:lang w:val="fi-FI"/>
        </w:rPr>
        <w:t xml:space="preserve">, </w:t>
      </w:r>
      <w:r w:rsidRPr="00FB4EFA">
        <w:rPr>
          <w:rFonts w:cs="Charis SIL"/>
          <w:i/>
          <w:iCs/>
          <w:lang w:val="fi-FI"/>
        </w:rPr>
        <w:t>kans</w:t>
      </w:r>
      <w:r w:rsidRPr="00FB4EFA">
        <w:rPr>
          <w:rFonts w:cs="Charis SIL"/>
          <w:lang w:val="fi-FI"/>
        </w:rPr>
        <w:t xml:space="preserve"> och </w:t>
      </w:r>
      <w:r w:rsidRPr="00FB4EFA">
        <w:rPr>
          <w:rFonts w:cs="Charis SIL"/>
          <w:i/>
          <w:iCs/>
          <w:lang w:val="fi-FI"/>
        </w:rPr>
        <w:t>kaa</w:t>
      </w:r>
      <w:r w:rsidRPr="00FB4EFA">
        <w:rPr>
          <w:rFonts w:cs="Charis SIL"/>
          <w:lang w:val="fi-FI"/>
        </w:rPr>
        <w:t xml:space="preserve"> i talad finska. Teoksessa Tiina Söderman (toim.), </w:t>
      </w:r>
      <w:r w:rsidRPr="00FB4EFA">
        <w:rPr>
          <w:rFonts w:cs="Charis SIL"/>
          <w:i/>
          <w:iCs/>
          <w:lang w:val="fi-FI"/>
        </w:rPr>
        <w:t>Keelemees Raag Raimo 60</w:t>
      </w:r>
      <w:r w:rsidRPr="00FB4EFA">
        <w:rPr>
          <w:rFonts w:cs="Charis SIL"/>
          <w:lang w:val="fi-FI"/>
        </w:rPr>
        <w:t>, 33–49. Tallinn: Eesti Keele Sihtasutus.</w:t>
      </w:r>
    </w:p>
    <w:p w14:paraId="5FE530F7"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Kettunen, Lauri. 1930. </w:t>
      </w:r>
      <w:r w:rsidRPr="00FB4EFA">
        <w:rPr>
          <w:rFonts w:cs="Charis SIL"/>
          <w:i/>
          <w:iCs/>
          <w:lang w:val="fi-FI"/>
        </w:rPr>
        <w:t>Suomen murteet. II. Murrealueet</w:t>
      </w:r>
      <w:r w:rsidRPr="00FB4EFA">
        <w:rPr>
          <w:rFonts w:cs="Charis SIL"/>
          <w:lang w:val="fi-FI"/>
        </w:rPr>
        <w:t>. Helsinki: SKS.</w:t>
      </w:r>
    </w:p>
    <w:p w14:paraId="76944EC4"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Kettunen, Lauri. 1937. Tutkielma eestin attribuutin kongruenssista. </w:t>
      </w:r>
      <w:r w:rsidRPr="00FB4EFA">
        <w:rPr>
          <w:rFonts w:cs="Charis SIL"/>
          <w:i/>
          <w:iCs/>
          <w:lang w:val="fi-FI"/>
        </w:rPr>
        <w:t>Virittäjä</w:t>
      </w:r>
      <w:r w:rsidRPr="00FB4EFA">
        <w:rPr>
          <w:rFonts w:cs="Charis SIL"/>
          <w:lang w:val="fi-FI"/>
        </w:rPr>
        <w:t xml:space="preserve"> 41. 353–355.</w:t>
      </w:r>
    </w:p>
    <w:p w14:paraId="329EA9A5"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Kettunen, Lauri. 1940. </w:t>
      </w:r>
      <w:r w:rsidRPr="00FB4EFA">
        <w:rPr>
          <w:rFonts w:cs="Charis SIL"/>
          <w:i/>
          <w:iCs/>
          <w:lang w:val="fi-FI"/>
        </w:rPr>
        <w:t>Suomen murteet. III. A. Murrekartasto</w:t>
      </w:r>
      <w:r w:rsidRPr="00FB4EFA">
        <w:rPr>
          <w:rFonts w:cs="Charis SIL"/>
          <w:lang w:val="fi-FI"/>
        </w:rPr>
        <w:t>. Helsinki: SKS.</w:t>
      </w:r>
    </w:p>
    <w:p w14:paraId="0BDEDCE9" w14:textId="52E8851D"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Korjula, J. V. 1900. </w:t>
      </w:r>
      <w:r w:rsidRPr="00FB4EFA">
        <w:rPr>
          <w:rFonts w:cs="Charis SIL"/>
          <w:i/>
          <w:iCs/>
          <w:lang w:val="fi-FI"/>
        </w:rPr>
        <w:t>Lyhyt äänneopillinen Tutkimus Vehkalahden murteesta</w:t>
      </w:r>
      <w:r w:rsidRPr="00FB4EFA">
        <w:rPr>
          <w:rFonts w:cs="Charis SIL"/>
          <w:lang w:val="fi-FI"/>
        </w:rPr>
        <w:t>. Helsinki: Helsingin Yliopisto.</w:t>
      </w:r>
    </w:p>
    <w:p w14:paraId="3D478E9D" w14:textId="2A0A2465" w:rsidR="0077094B" w:rsidRPr="00FB4EFA" w:rsidRDefault="0077094B" w:rsidP="007032B8">
      <w:pPr>
        <w:suppressAutoHyphens/>
        <w:spacing w:line="240" w:lineRule="auto"/>
        <w:ind w:left="425" w:hanging="425"/>
        <w:rPr>
          <w:rFonts w:cs="Charis SIL"/>
          <w:lang w:val="fi-FI"/>
        </w:rPr>
      </w:pPr>
      <w:r w:rsidRPr="00FB4EFA">
        <w:rPr>
          <w:rFonts w:cs="Charis SIL"/>
          <w:lang w:val="fi-FI"/>
        </w:rPr>
        <w:t xml:space="preserve">Kittilä, Seppo, Johanna Laakso &amp; Jussi Ylikoski. 2022. Case. Teoksessa Marianne Bakró-Nagy, Johanna Laakso &amp; Elena Skribnik (toim.), </w:t>
      </w:r>
      <w:r w:rsidRPr="00FB4EFA">
        <w:rPr>
          <w:rFonts w:cs="Charis SIL"/>
          <w:i/>
          <w:iCs/>
          <w:lang w:val="fi-FI"/>
        </w:rPr>
        <w:t xml:space="preserve">The </w:t>
      </w:r>
      <w:r w:rsidRPr="00FB4EFA">
        <w:rPr>
          <w:rFonts w:cs="Charis SIL"/>
          <w:i/>
          <w:iCs/>
          <w:lang w:val="fi-FI"/>
        </w:rPr>
        <w:lastRenderedPageBreak/>
        <w:t>Oxford Guide to the Uralic Languages</w:t>
      </w:r>
      <w:r w:rsidR="001C3977" w:rsidRPr="00FB4EFA">
        <w:rPr>
          <w:rFonts w:cs="Charis SIL"/>
          <w:lang w:val="fi-FI"/>
        </w:rPr>
        <w:t xml:space="preserve">, 879–893. </w:t>
      </w:r>
      <w:r w:rsidRPr="00FB4EFA">
        <w:rPr>
          <w:rFonts w:cs="Charis SIL"/>
          <w:lang w:val="fi-FI"/>
        </w:rPr>
        <w:t>Oxford: Oxford University Press.</w:t>
      </w:r>
    </w:p>
    <w:p w14:paraId="7FCD926F" w14:textId="77777777" w:rsidR="003E0C4B" w:rsidRPr="00FB4EFA" w:rsidRDefault="003E0C4B" w:rsidP="007032B8">
      <w:pPr>
        <w:suppressAutoHyphens/>
        <w:spacing w:line="240" w:lineRule="auto"/>
        <w:ind w:left="425" w:hanging="425"/>
        <w:rPr>
          <w:rFonts w:cs="Charis SIL"/>
          <w:lang w:val="fi-FI"/>
        </w:rPr>
      </w:pPr>
      <w:r w:rsidRPr="00FB4EFA">
        <w:rPr>
          <w:rFonts w:cs="Charis SIL"/>
          <w:lang w:val="fi-FI"/>
        </w:rPr>
        <w:t xml:space="preserve">Laakso, Johanna. 2001. The Finnic languages. Teoksessa Östen Dahl &amp; Maria Koptjevskaja-Tamm (toim.), </w:t>
      </w:r>
      <w:r w:rsidRPr="00FB4EFA">
        <w:rPr>
          <w:rFonts w:cs="Charis SIL"/>
          <w:i/>
          <w:iCs/>
          <w:lang w:val="fi-FI"/>
        </w:rPr>
        <w:t>Circum-Baltic languages. Typology and contact. Volume 1: past and present</w:t>
      </w:r>
      <w:r w:rsidRPr="00FB4EFA">
        <w:rPr>
          <w:rFonts w:cs="Charis SIL"/>
          <w:lang w:val="fi-FI"/>
        </w:rPr>
        <w:t>, 179–212. Amsterdam: Benjamins.</w:t>
      </w:r>
    </w:p>
    <w:p w14:paraId="0C77AA95"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Laitinen, Lea &amp; Tapani Lehtinen. 1997. Johdanto. Teoksessa Tapani Lehtinen &amp; Lea Laitinen (toim.), </w:t>
      </w:r>
      <w:r w:rsidRPr="00FB4EFA">
        <w:rPr>
          <w:rFonts w:cs="Charis SIL"/>
          <w:i/>
          <w:iCs/>
          <w:lang w:val="fi-FI"/>
        </w:rPr>
        <w:t>Kieliopillistuminen. Tapaustutkimuksia suomesta</w:t>
      </w:r>
      <w:r w:rsidRPr="00FB4EFA">
        <w:rPr>
          <w:rFonts w:cs="Charis SIL"/>
          <w:lang w:val="fi-FI"/>
        </w:rPr>
        <w:t>, 6–19. Helsinki: Helsingin yliopisto.</w:t>
      </w:r>
    </w:p>
    <w:p w14:paraId="65D7CC26" w14:textId="70E172E5"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Lönnrot, Elias. 1844. [Kirje Carl Henrik Ståhlbergille, Dorpat den 24 Augusti 1844.] </w:t>
      </w:r>
      <w:hyperlink r:id="rId447" w:history="1">
        <w:r w:rsidR="001975B9" w:rsidRPr="00FB4EFA">
          <w:rPr>
            <w:rFonts w:cs="Charis SIL"/>
            <w:u w:val="single"/>
            <w:lang w:val="fi-FI"/>
          </w:rPr>
          <w:t>lonnrot.finlit.fi/omeka/items/show/966</w:t>
        </w:r>
      </w:hyperlink>
      <w:r w:rsidRPr="00FB4EFA">
        <w:rPr>
          <w:rFonts w:cs="Charis SIL"/>
          <w:lang w:val="fi-FI"/>
        </w:rPr>
        <w:t>.</w:t>
      </w:r>
    </w:p>
    <w:p w14:paraId="22BFCC96" w14:textId="2858561F" w:rsidR="003E0C4B" w:rsidRPr="00FB4EFA" w:rsidRDefault="003E0C4B" w:rsidP="007032B8">
      <w:pPr>
        <w:keepLines/>
        <w:suppressAutoHyphens/>
        <w:spacing w:line="240" w:lineRule="auto"/>
        <w:ind w:left="425" w:hanging="425"/>
        <w:rPr>
          <w:rFonts w:cs="Charis SIL"/>
          <w:lang w:val="fi-FI"/>
        </w:rPr>
      </w:pPr>
      <w:r w:rsidRPr="00FB4EFA">
        <w:rPr>
          <w:rFonts w:cs="Charis SIL"/>
          <w:lang w:val="fi-FI"/>
        </w:rPr>
        <w:t xml:space="preserve">Metslang, Helle, Külli Habicht, Tiit Hennoste, Anni Jürine, Kirsi Laanesoo &amp; David Ogren. 2017. Komitatiivi funktsioonidest eri aegade ja registrite eesti kirjakeeles. </w:t>
      </w:r>
      <w:r w:rsidRPr="00FB4EFA">
        <w:rPr>
          <w:rFonts w:cs="Charis SIL"/>
          <w:i/>
          <w:iCs/>
          <w:lang w:val="fi-FI"/>
        </w:rPr>
        <w:t>Eesti ja soome-ugri keeleteaduse ajakiri</w:t>
      </w:r>
      <w:r w:rsidRPr="00FB4EFA">
        <w:rPr>
          <w:rFonts w:cs="Charis SIL"/>
          <w:lang w:val="fi-FI"/>
        </w:rPr>
        <w:t xml:space="preserve"> 8 (1). 149</w:t>
      </w:r>
      <w:r w:rsidR="00B738EB" w:rsidRPr="00FB4EFA">
        <w:rPr>
          <w:rFonts w:cs="Charis SIL"/>
          <w:lang w:val="fi-FI"/>
        </w:rPr>
        <w:t>–</w:t>
      </w:r>
      <w:r w:rsidRPr="00FB4EFA">
        <w:rPr>
          <w:rFonts w:cs="Charis SIL"/>
          <w:lang w:val="fi-FI"/>
        </w:rPr>
        <w:t>178.</w:t>
      </w:r>
    </w:p>
    <w:p w14:paraId="331856DB"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Nevis, Joel A. 1986. The comitative, terminative, abessive, and essive as clitics in Estonian. </w:t>
      </w:r>
      <w:r w:rsidRPr="00FB4EFA">
        <w:rPr>
          <w:rFonts w:cs="Charis SIL"/>
          <w:i/>
          <w:iCs/>
          <w:lang w:val="fi-FI"/>
        </w:rPr>
        <w:t>Ural-Altaische Jahrbücher</w:t>
      </w:r>
      <w:r w:rsidRPr="00FB4EFA">
        <w:rPr>
          <w:rFonts w:cs="Charis SIL"/>
          <w:lang w:val="fi-FI"/>
        </w:rPr>
        <w:t xml:space="preserve"> 7. 79–98.</w:t>
      </w:r>
    </w:p>
    <w:p w14:paraId="47C8EA85" w14:textId="44700B2A"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Nurm, E. 1940. Sõnavormide õiendamine 5. ja 6. õppeaastal. </w:t>
      </w:r>
      <w:r w:rsidRPr="00FB4EFA">
        <w:rPr>
          <w:rFonts w:cs="Charis SIL"/>
          <w:i/>
          <w:iCs/>
          <w:lang w:val="fi-FI"/>
        </w:rPr>
        <w:t>Kasvatus</w:t>
      </w:r>
      <w:r w:rsidRPr="00FB4EFA">
        <w:rPr>
          <w:rFonts w:cs="Charis SIL"/>
          <w:lang w:val="fi-FI"/>
        </w:rPr>
        <w:t xml:space="preserve"> 3. 121–131.</w:t>
      </w:r>
    </w:p>
    <w:p w14:paraId="01D9DDCA"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Oinas, Felix J. 1951. </w:t>
      </w:r>
      <w:r w:rsidRPr="00FB4EFA">
        <w:rPr>
          <w:rFonts w:cs="Charis SIL"/>
          <w:i/>
          <w:iCs/>
          <w:lang w:val="fi-FI"/>
        </w:rPr>
        <w:t>The development of the postpositional cases in Balto-Finnic languages</w:t>
      </w:r>
      <w:r w:rsidRPr="00FB4EFA">
        <w:rPr>
          <w:rFonts w:cs="Charis SIL"/>
          <w:lang w:val="fi-FI"/>
        </w:rPr>
        <w:t>. [Bloomington:] Indiana University PhD thesis.</w:t>
      </w:r>
    </w:p>
    <w:p w14:paraId="1E1E5052"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Oinas, Felix J. 1961. </w:t>
      </w:r>
      <w:r w:rsidRPr="00FB4EFA">
        <w:rPr>
          <w:rFonts w:cs="Charis SIL"/>
          <w:i/>
          <w:iCs/>
          <w:lang w:val="fi-FI"/>
        </w:rPr>
        <w:t>The development of some postpositional cases in Balto-Finnic languages</w:t>
      </w:r>
      <w:r w:rsidRPr="00FB4EFA">
        <w:rPr>
          <w:rFonts w:cs="Charis SIL"/>
          <w:lang w:val="fi-FI"/>
        </w:rPr>
        <w:t>. Helsinki: Suomalais-Ugrilainen Seura.</w:t>
      </w:r>
    </w:p>
    <w:p w14:paraId="0BFC2DA4"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Ojansuu, Heikki. 1909. Kanssa-sanasta. </w:t>
      </w:r>
      <w:r w:rsidRPr="00FB4EFA">
        <w:rPr>
          <w:rFonts w:cs="Charis SIL"/>
          <w:i/>
          <w:iCs/>
          <w:lang w:val="fi-FI"/>
        </w:rPr>
        <w:t>Virittäjä</w:t>
      </w:r>
      <w:r w:rsidRPr="00FB4EFA">
        <w:rPr>
          <w:rFonts w:cs="Charis SIL"/>
          <w:lang w:val="fi-FI"/>
        </w:rPr>
        <w:t xml:space="preserve"> 13. 187.</w:t>
      </w:r>
    </w:p>
    <w:p w14:paraId="646F9A82" w14:textId="77777777" w:rsidR="003E0C4B" w:rsidRPr="00FB4EFA" w:rsidRDefault="003E0C4B" w:rsidP="007032B8">
      <w:pPr>
        <w:keepLines/>
        <w:suppressAutoHyphens/>
        <w:spacing w:line="240" w:lineRule="auto"/>
        <w:ind w:left="425" w:hanging="425"/>
        <w:rPr>
          <w:rFonts w:cs="Charis SIL"/>
          <w:lang w:val="fi-FI"/>
        </w:rPr>
      </w:pPr>
      <w:r w:rsidRPr="00FB4EFA">
        <w:rPr>
          <w:rFonts w:cs="Charis SIL"/>
          <w:lang w:val="fi-FI"/>
        </w:rPr>
        <w:t xml:space="preserve">Ojansuu, Heikki. 1916. Suomalais-virolaiset kielelliset kosketukset. I. Viron kielen vaikutus suomeen. Teoksessa Heikki Ojansuu, </w:t>
      </w:r>
      <w:r w:rsidRPr="00FB4EFA">
        <w:rPr>
          <w:rFonts w:cs="Charis SIL"/>
          <w:i/>
          <w:iCs/>
          <w:lang w:val="fi-FI"/>
        </w:rPr>
        <w:t>Suomen kielen tutkimuksen työmaalta. Sarja esitelmiä I</w:t>
      </w:r>
      <w:r w:rsidRPr="00FB4EFA">
        <w:rPr>
          <w:rFonts w:cs="Charis SIL"/>
          <w:lang w:val="fi-FI"/>
        </w:rPr>
        <w:t>, 98–202. Jyväskylä: Gummerus.</w:t>
      </w:r>
    </w:p>
    <w:p w14:paraId="28875454"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Ojutkangas, Krista, Meri Larjavaara, Matti Miestamo &amp; Jussi Ylikoski. 2009. </w:t>
      </w:r>
      <w:r w:rsidRPr="00FB4EFA">
        <w:rPr>
          <w:rFonts w:cs="Charis SIL"/>
          <w:i/>
          <w:iCs/>
          <w:lang w:val="fi-FI"/>
        </w:rPr>
        <w:t>Johdatus kielitieteeseen</w:t>
      </w:r>
      <w:r w:rsidRPr="00FB4EFA">
        <w:rPr>
          <w:rFonts w:cs="Charis SIL"/>
          <w:lang w:val="fi-FI"/>
        </w:rPr>
        <w:t>. Helsinki: WSOY Oppimateriaalit.</w:t>
      </w:r>
    </w:p>
    <w:p w14:paraId="6ABAF1F4" w14:textId="1CF8777C"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Palander, Gabriel. 1819. </w:t>
      </w:r>
      <w:r w:rsidRPr="00FB4EFA">
        <w:rPr>
          <w:rFonts w:cs="Charis SIL"/>
          <w:i/>
          <w:iCs/>
          <w:lang w:val="fi-FI"/>
        </w:rPr>
        <w:t>Formarum etymologicarum in linguis Fennica et Estonica parallelismum illustratura. 2.</w:t>
      </w:r>
      <w:r w:rsidRPr="00FB4EFA">
        <w:rPr>
          <w:rFonts w:cs="Charis SIL"/>
          <w:lang w:val="fi-FI"/>
        </w:rPr>
        <w:t xml:space="preserve"> Aboa: Frenckell. </w:t>
      </w:r>
      <w:hyperlink r:id="rId448" w:history="1">
        <w:r w:rsidR="001975B9" w:rsidRPr="00FB4EFA">
          <w:rPr>
            <w:rFonts w:cs="Charis SIL"/>
            <w:u w:val="single"/>
            <w:lang w:val="fi-FI"/>
          </w:rPr>
          <w:t>urn.fi/URN:NBN:fi-fd2014-00003907</w:t>
        </w:r>
      </w:hyperlink>
      <w:r w:rsidRPr="00FB4EFA">
        <w:rPr>
          <w:rFonts w:cs="Charis SIL"/>
          <w:lang w:val="fi-FI"/>
        </w:rPr>
        <w:t>.</w:t>
      </w:r>
    </w:p>
    <w:p w14:paraId="20E11CDF"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Peegel, Juhan. 1971. Paar kiuslikku märkust. Teoksessa Helgi Vihma &amp; Karl Mihkla (toim.), </w:t>
      </w:r>
      <w:r w:rsidRPr="00FB4EFA">
        <w:rPr>
          <w:rFonts w:cs="Charis SIL"/>
          <w:i/>
          <w:iCs/>
          <w:lang w:val="fi-FI"/>
        </w:rPr>
        <w:t>Üheksa aastakümmet. Pühendusteos Johannes Aavikule</w:t>
      </w:r>
      <w:r w:rsidRPr="00FB4EFA">
        <w:rPr>
          <w:rFonts w:cs="Charis SIL"/>
          <w:lang w:val="fi-FI"/>
        </w:rPr>
        <w:t>, 71–73. Tallinn: Valgus.</w:t>
      </w:r>
    </w:p>
    <w:p w14:paraId="771D5AD2" w14:textId="1FA9A2A4"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Prillop, Külli, Karl Pajusalu, Eva Saar, Sven-Erik Soosaar &amp; Tiit-Rein Viitso. 2020. </w:t>
      </w:r>
      <w:r w:rsidRPr="00FB4EFA">
        <w:rPr>
          <w:rFonts w:cs="Charis SIL"/>
          <w:i/>
          <w:iCs/>
          <w:lang w:val="fi-FI"/>
        </w:rPr>
        <w:t>Eesti keele ajalugu</w:t>
      </w:r>
      <w:r w:rsidR="008F6FE7" w:rsidRPr="00FB4EFA">
        <w:rPr>
          <w:rFonts w:cs="Charis SIL"/>
          <w:lang w:val="fi-FI"/>
        </w:rPr>
        <w:t>.</w:t>
      </w:r>
      <w:r w:rsidRPr="00FB4EFA">
        <w:rPr>
          <w:rFonts w:cs="Charis SIL"/>
          <w:lang w:val="fi-FI"/>
        </w:rPr>
        <w:t xml:space="preserve"> Eesti keele varamu </w:t>
      </w:r>
      <w:r w:rsidR="008F6FE7" w:rsidRPr="00FB4EFA">
        <w:rPr>
          <w:rFonts w:cs="Charis SIL"/>
          <w:lang w:val="fi-FI"/>
        </w:rPr>
        <w:t>6</w:t>
      </w:r>
      <w:r w:rsidRPr="00FB4EFA">
        <w:rPr>
          <w:rFonts w:cs="Charis SIL"/>
          <w:lang w:val="fi-FI"/>
        </w:rPr>
        <w:t>. Tartu: Tartu Ülikooli Kirjastus.</w:t>
      </w:r>
    </w:p>
    <w:p w14:paraId="3C3212E4"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Ravila, Paavo. 1946. </w:t>
      </w:r>
      <w:r w:rsidRPr="00FB4EFA">
        <w:rPr>
          <w:rFonts w:cs="Charis SIL"/>
          <w:i/>
          <w:iCs/>
          <w:lang w:val="fi-FI"/>
        </w:rPr>
        <w:t>Johdatus kielihistoriaan</w:t>
      </w:r>
      <w:r w:rsidRPr="00FB4EFA">
        <w:rPr>
          <w:rFonts w:cs="Charis SIL"/>
          <w:lang w:val="fi-FI"/>
        </w:rPr>
        <w:t>. Helsinki: SKS.</w:t>
      </w:r>
    </w:p>
    <w:p w14:paraId="680B7E2E"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Ravila, Paavo. 1961. </w:t>
      </w:r>
      <w:r w:rsidRPr="00FB4EFA">
        <w:rPr>
          <w:rFonts w:cs="Charis SIL"/>
          <w:i/>
          <w:iCs/>
          <w:lang w:val="fi-FI"/>
        </w:rPr>
        <w:t>Johdatus kielihistoriaan</w:t>
      </w:r>
      <w:r w:rsidRPr="00FB4EFA">
        <w:rPr>
          <w:rFonts w:cs="Charis SIL"/>
          <w:lang w:val="fi-FI"/>
        </w:rPr>
        <w:t>. 2., uusittu painos. Helsinki: SKS.</w:t>
      </w:r>
    </w:p>
    <w:p w14:paraId="1BF4A43F"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lastRenderedPageBreak/>
        <w:t xml:space="preserve">Renvall, Gustavus. 1826. </w:t>
      </w:r>
      <w:r w:rsidRPr="00FB4EFA">
        <w:rPr>
          <w:rFonts w:cs="Charis SIL"/>
          <w:i/>
          <w:iCs/>
          <w:lang w:val="fi-FI"/>
        </w:rPr>
        <w:t>Suomalainen Sana-Kirja I. A–M</w:t>
      </w:r>
      <w:r w:rsidRPr="00FB4EFA">
        <w:rPr>
          <w:rFonts w:cs="Charis SIL"/>
          <w:lang w:val="fi-FI"/>
        </w:rPr>
        <w:t>. Aboa: Frenckell.</w:t>
      </w:r>
    </w:p>
    <w:p w14:paraId="134DD031"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Saarikivi, Janne. 2020. Historiallinen ja vertaileva kielentutkimus. Teoksessa Milla Luodonpää-Manni (ym., toim.), </w:t>
      </w:r>
      <w:r w:rsidRPr="00FB4EFA">
        <w:rPr>
          <w:rFonts w:cs="Charis SIL"/>
          <w:i/>
          <w:iCs/>
          <w:lang w:val="fi-FI"/>
        </w:rPr>
        <w:t>Kielentutkimuksen menetelmiä III</w:t>
      </w:r>
      <w:r w:rsidRPr="00FB4EFA">
        <w:rPr>
          <w:rFonts w:cs="Charis SIL"/>
          <w:lang w:val="fi-FI"/>
        </w:rPr>
        <w:t>, 679–720. Helsinki: SKS.</w:t>
      </w:r>
    </w:p>
    <w:p w14:paraId="2B38B055"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Setälä, E. N. 1890. </w:t>
      </w:r>
      <w:r w:rsidRPr="00FB4EFA">
        <w:rPr>
          <w:rFonts w:cs="Charis SIL"/>
          <w:i/>
          <w:iCs/>
          <w:lang w:val="fi-FI"/>
        </w:rPr>
        <w:t>Yhteissuomalaisten klusiilien historia. Luku yhteissuomalaisesta äännehistoriasta</w:t>
      </w:r>
      <w:r w:rsidRPr="00FB4EFA">
        <w:rPr>
          <w:rFonts w:cs="Charis SIL"/>
          <w:lang w:val="fi-FI"/>
        </w:rPr>
        <w:t>. Helsinki: SKS.</w:t>
      </w:r>
    </w:p>
    <w:p w14:paraId="38D18020"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Siro, Paavo. 1964. Sanasyntyiset sijat itämerensuomalaisissa kielissä. </w:t>
      </w:r>
      <w:r w:rsidRPr="00FB4EFA">
        <w:rPr>
          <w:rFonts w:cs="Charis SIL"/>
          <w:i/>
          <w:iCs/>
          <w:lang w:val="fi-FI"/>
        </w:rPr>
        <w:t>Virittäjä</w:t>
      </w:r>
      <w:r w:rsidRPr="00FB4EFA">
        <w:rPr>
          <w:rFonts w:cs="Charis SIL"/>
          <w:lang w:val="fi-FI"/>
        </w:rPr>
        <w:t xml:space="preserve"> 68. 219–220.</w:t>
      </w:r>
    </w:p>
    <w:p w14:paraId="582D1DE5" w14:textId="77777777" w:rsidR="003E0C4B" w:rsidRPr="00FB4EFA" w:rsidRDefault="003E0C4B" w:rsidP="007032B8">
      <w:pPr>
        <w:keepLines/>
        <w:suppressAutoHyphens/>
        <w:spacing w:line="240" w:lineRule="auto"/>
        <w:ind w:left="425" w:hanging="425"/>
        <w:rPr>
          <w:rFonts w:cs="Charis SIL"/>
          <w:lang w:val="fi-FI"/>
        </w:rPr>
      </w:pPr>
      <w:r w:rsidRPr="00FB4EFA">
        <w:rPr>
          <w:rFonts w:cs="Charis SIL"/>
          <w:lang w:val="fi-FI"/>
        </w:rPr>
        <w:t xml:space="preserve">Sirola, Maija. 2008. </w:t>
      </w:r>
      <w:r w:rsidRPr="00FB4EFA">
        <w:rPr>
          <w:rFonts w:cs="Charis SIL"/>
          <w:i/>
          <w:iCs/>
          <w:lang w:val="fi-FI"/>
        </w:rPr>
        <w:t>Komitatiivi nykysuomessa. Sijan typologista ja areaalista taustaa sekä sen ilmaisemat merkitykset Helsingin Sanomien korpuksessa</w:t>
      </w:r>
      <w:r w:rsidRPr="00FB4EFA">
        <w:rPr>
          <w:rFonts w:cs="Charis SIL"/>
          <w:lang w:val="fi-FI"/>
        </w:rPr>
        <w:t>. Suomen kielen pro gradu -tutkielma. Tampere: Tampereen yliopisto.</w:t>
      </w:r>
    </w:p>
    <w:p w14:paraId="55E0C4F7" w14:textId="0836CAC1" w:rsidR="003E0C4B" w:rsidRPr="00FB4EFA" w:rsidRDefault="003E0C4B" w:rsidP="007032B8">
      <w:pPr>
        <w:keepLines/>
        <w:suppressAutoHyphens/>
        <w:spacing w:line="240" w:lineRule="auto"/>
        <w:ind w:left="425" w:hanging="425"/>
        <w:rPr>
          <w:rFonts w:cs="Charis SIL"/>
          <w:lang w:val="fi-FI"/>
        </w:rPr>
      </w:pPr>
      <w:r w:rsidRPr="00FB4EFA">
        <w:rPr>
          <w:rFonts w:cs="Charis SIL"/>
          <w:lang w:val="fi-FI"/>
        </w:rPr>
        <w:t xml:space="preserve">Sirola-Belliard, Maija. 2011. Is there a future for the Finnish comitative? Arguments against the putative synonymy of the comitative case </w:t>
      </w:r>
      <w:r w:rsidR="0077094B" w:rsidRPr="00FB4EFA">
        <w:rPr>
          <w:rFonts w:cs="Charis SIL"/>
          <w:lang w:val="fi-FI"/>
        </w:rPr>
        <w:noBreakHyphen/>
      </w:r>
      <w:r w:rsidRPr="00FB4EFA">
        <w:rPr>
          <w:rFonts w:cs="Charis SIL"/>
          <w:i/>
          <w:iCs/>
          <w:lang w:val="fi-FI"/>
        </w:rPr>
        <w:t>ine</w:t>
      </w:r>
      <w:r w:rsidRPr="00FB4EFA">
        <w:rPr>
          <w:rFonts w:cs="Charis SIL"/>
          <w:lang w:val="fi-FI"/>
        </w:rPr>
        <w:t xml:space="preserve"> and the postposition </w:t>
      </w:r>
      <w:r w:rsidRPr="00FB4EFA">
        <w:rPr>
          <w:rFonts w:cs="Charis SIL"/>
          <w:i/>
          <w:iCs/>
          <w:lang w:val="fi-FI"/>
        </w:rPr>
        <w:t>kanssa</w:t>
      </w:r>
      <w:r w:rsidRPr="00FB4EFA">
        <w:rPr>
          <w:rFonts w:cs="Charis SIL"/>
          <w:lang w:val="fi-FI"/>
        </w:rPr>
        <w:t xml:space="preserve">. Teoksessa Seppo Kittilä, Katja Västi &amp; Jussi Ylikoski (toim.), </w:t>
      </w:r>
      <w:r w:rsidRPr="00FB4EFA">
        <w:rPr>
          <w:rFonts w:cs="Charis SIL"/>
          <w:i/>
          <w:iCs/>
          <w:lang w:val="fi-FI"/>
        </w:rPr>
        <w:t>Case, animacy and semantic roles</w:t>
      </w:r>
      <w:r w:rsidRPr="00FB4EFA">
        <w:rPr>
          <w:rFonts w:cs="Charis SIL"/>
          <w:lang w:val="fi-FI"/>
        </w:rPr>
        <w:t>, 135–153. Amsterdam: Benjamins.</w:t>
      </w:r>
    </w:p>
    <w:p w14:paraId="2AF10B5A"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Sirola-Belliard, Maija. 2016. Suomen komitatiivi. -</w:t>
      </w:r>
      <w:r w:rsidRPr="00FB4EFA">
        <w:rPr>
          <w:rFonts w:cs="Charis SIL"/>
          <w:i/>
          <w:iCs/>
          <w:lang w:val="fi-FI"/>
        </w:rPr>
        <w:t>ine</w:t>
      </w:r>
      <w:r w:rsidRPr="00FB4EFA">
        <w:rPr>
          <w:rFonts w:cs="Charis SIL"/>
          <w:lang w:val="fi-FI"/>
        </w:rPr>
        <w:t xml:space="preserve"> ja </w:t>
      </w:r>
      <w:r w:rsidRPr="00FB4EFA">
        <w:rPr>
          <w:rFonts w:cs="Charis SIL"/>
          <w:i/>
          <w:iCs/>
          <w:lang w:val="fi-FI"/>
        </w:rPr>
        <w:t>kanssa</w:t>
      </w:r>
      <w:r w:rsidRPr="00FB4EFA">
        <w:rPr>
          <w:rFonts w:cs="Charis SIL"/>
          <w:lang w:val="fi-FI"/>
        </w:rPr>
        <w:t>. Tampere: Tampere University Press.</w:t>
      </w:r>
    </w:p>
    <w:p w14:paraId="7C4D4A71"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Sirola-Belliard, Maija. 2017. Suomen komitatiivisija – kiteytynyt vai produktiivinen? </w:t>
      </w:r>
      <w:r w:rsidRPr="00FB4EFA">
        <w:rPr>
          <w:rFonts w:cs="Charis SIL"/>
          <w:i/>
          <w:iCs/>
          <w:lang w:val="fi-FI"/>
        </w:rPr>
        <w:t>Sananjalka</w:t>
      </w:r>
      <w:r w:rsidRPr="00FB4EFA">
        <w:rPr>
          <w:rFonts w:cs="Charis SIL"/>
          <w:lang w:val="fi-FI"/>
        </w:rPr>
        <w:t xml:space="preserve"> 59. 81–103.</w:t>
      </w:r>
    </w:p>
    <w:p w14:paraId="3C2DCD95" w14:textId="21251373"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SSA = </w:t>
      </w:r>
      <w:r w:rsidR="00054818" w:rsidRPr="00FB4EFA">
        <w:rPr>
          <w:rFonts w:cs="Times New Roman"/>
          <w:lang w:val="fi-FI"/>
        </w:rPr>
        <w:t>Erkki</w:t>
      </w:r>
      <w:r w:rsidR="00054818" w:rsidRPr="00FB4EFA">
        <w:rPr>
          <w:rFonts w:cs="Charis SIL"/>
          <w:lang w:val="fi-FI"/>
        </w:rPr>
        <w:t xml:space="preserve"> </w:t>
      </w:r>
      <w:r w:rsidRPr="00FB4EFA">
        <w:rPr>
          <w:rFonts w:cs="Charis SIL"/>
          <w:lang w:val="fi-FI"/>
        </w:rPr>
        <w:t xml:space="preserve">Itkonen &amp; Ulla-Maija Kulonen (toim.). 1992–2000. </w:t>
      </w:r>
      <w:r w:rsidRPr="00FB4EFA">
        <w:rPr>
          <w:rFonts w:cs="Charis SIL"/>
          <w:i/>
          <w:iCs/>
          <w:lang w:val="fi-FI"/>
        </w:rPr>
        <w:t>Suomen sanojen alkuperä. Etymologinen sanakirja I–III</w:t>
      </w:r>
      <w:r w:rsidRPr="00FB4EFA">
        <w:rPr>
          <w:rFonts w:cs="Charis SIL"/>
          <w:lang w:val="fi-FI"/>
        </w:rPr>
        <w:t>. Helsinki: SKS &amp; Kotimaisten kielten tutkimuskeskus.</w:t>
      </w:r>
    </w:p>
    <w:p w14:paraId="4434A2C6"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Wexionius, Michaël O. 1650. </w:t>
      </w:r>
      <w:r w:rsidRPr="00FB4EFA">
        <w:rPr>
          <w:rFonts w:cs="Charis SIL"/>
          <w:i/>
          <w:iCs/>
          <w:lang w:val="fi-FI"/>
        </w:rPr>
        <w:t>Epitome descriptionis Sueciæ, Gothiæ, Fenningiæ et subjectarum provinciarum</w:t>
      </w:r>
      <w:r w:rsidRPr="00FB4EFA">
        <w:rPr>
          <w:rFonts w:cs="Charis SIL"/>
          <w:lang w:val="fi-FI"/>
        </w:rPr>
        <w:t>. Aboa: Wald.</w:t>
      </w:r>
    </w:p>
    <w:p w14:paraId="32555102"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Wiedemann, F. J. 1864. </w:t>
      </w:r>
      <w:r w:rsidRPr="00FB4EFA">
        <w:rPr>
          <w:rFonts w:cs="Charis SIL"/>
          <w:i/>
          <w:iCs/>
          <w:lang w:val="fi-FI"/>
        </w:rPr>
        <w:t>Versuch ueber den Werroehstnischen Dialekt</w:t>
      </w:r>
      <w:r w:rsidRPr="00FB4EFA">
        <w:rPr>
          <w:rFonts w:cs="Charis SIL"/>
          <w:lang w:val="fi-FI"/>
        </w:rPr>
        <w:t>. St. Petersburg: Eggers et Comp.</w:t>
      </w:r>
    </w:p>
    <w:p w14:paraId="0E1193B8"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Wiedemann, F. J. 1875. </w:t>
      </w:r>
      <w:r w:rsidRPr="00FB4EFA">
        <w:rPr>
          <w:rFonts w:cs="Charis SIL"/>
          <w:i/>
          <w:iCs/>
          <w:lang w:val="fi-FI"/>
        </w:rPr>
        <w:t>Grammatik der ehstnischen Sprache, zunächst wie sie in Mittelehstland gesprochen wird, mit Berücksichtigung der anderen Dialekte</w:t>
      </w:r>
      <w:r w:rsidRPr="00FB4EFA">
        <w:rPr>
          <w:rFonts w:cs="Charis SIL"/>
          <w:lang w:val="fi-FI"/>
        </w:rPr>
        <w:t>. St.-Pétersbourg: Académie Impériale des sciences.</w:t>
      </w:r>
    </w:p>
    <w:p w14:paraId="535CB317" w14:textId="77777777"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Vierula, Suvi. 2017. </w:t>
      </w:r>
      <w:r w:rsidRPr="00FB4EFA">
        <w:rPr>
          <w:rFonts w:cs="Charis SIL"/>
          <w:i/>
          <w:iCs/>
          <w:lang w:val="fi-FI"/>
        </w:rPr>
        <w:t>Kanssa</w:t>
      </w:r>
      <w:r w:rsidRPr="00FB4EFA">
        <w:rPr>
          <w:rFonts w:cs="Charis SIL"/>
          <w:lang w:val="fi-FI"/>
        </w:rPr>
        <w:t xml:space="preserve">, </w:t>
      </w:r>
      <w:r w:rsidRPr="00FB4EFA">
        <w:rPr>
          <w:rFonts w:cs="Charis SIL"/>
          <w:i/>
          <w:iCs/>
          <w:lang w:val="fi-FI"/>
        </w:rPr>
        <w:t>kans</w:t>
      </w:r>
      <w:r w:rsidRPr="00FB4EFA">
        <w:rPr>
          <w:rFonts w:cs="Charis SIL"/>
          <w:lang w:val="fi-FI"/>
        </w:rPr>
        <w:t xml:space="preserve"> ja </w:t>
      </w:r>
      <w:r w:rsidRPr="00FB4EFA">
        <w:rPr>
          <w:rFonts w:cs="Charis SIL"/>
          <w:i/>
          <w:iCs/>
          <w:lang w:val="fi-FI"/>
        </w:rPr>
        <w:t>kaa</w:t>
      </w:r>
      <w:r w:rsidRPr="00FB4EFA">
        <w:rPr>
          <w:rFonts w:cs="Charis SIL"/>
          <w:lang w:val="fi-FI"/>
        </w:rPr>
        <w:t xml:space="preserve"> – postposition muutoksen tarkastelua. </w:t>
      </w:r>
      <w:r w:rsidRPr="00FB4EFA">
        <w:rPr>
          <w:rFonts w:cs="Charis SIL"/>
          <w:i/>
          <w:iCs/>
          <w:lang w:val="fi-FI"/>
        </w:rPr>
        <w:t>Virittäjä</w:t>
      </w:r>
      <w:r w:rsidRPr="00FB4EFA">
        <w:rPr>
          <w:rFonts w:cs="Charis SIL"/>
          <w:lang w:val="fi-FI"/>
        </w:rPr>
        <w:t xml:space="preserve"> 121. 265–275.</w:t>
      </w:r>
    </w:p>
    <w:p w14:paraId="264F4A81" w14:textId="5E844AE4" w:rsidR="003E0C4B" w:rsidRPr="00FB4EFA" w:rsidRDefault="003E0C4B" w:rsidP="007032B8">
      <w:pPr>
        <w:suppressAutoHyphens/>
        <w:spacing w:line="240" w:lineRule="auto"/>
        <w:ind w:left="426" w:hanging="426"/>
        <w:rPr>
          <w:rFonts w:cs="Charis SIL"/>
          <w:lang w:val="fi-FI"/>
        </w:rPr>
      </w:pPr>
      <w:r w:rsidRPr="00FB4EFA">
        <w:rPr>
          <w:rFonts w:cs="Charis SIL"/>
          <w:lang w:val="fi-FI"/>
        </w:rPr>
        <w:t xml:space="preserve">Viikberg, Jüri. 2020. </w:t>
      </w:r>
      <w:r w:rsidRPr="00FB4EFA">
        <w:rPr>
          <w:rFonts w:cs="Charis SIL"/>
          <w:i/>
          <w:iCs/>
          <w:lang w:val="fi-FI"/>
        </w:rPr>
        <w:t>Eesti murrete grammatika</w:t>
      </w:r>
      <w:r w:rsidR="008F6FE7" w:rsidRPr="00FB4EFA">
        <w:rPr>
          <w:rFonts w:cs="Charis SIL"/>
          <w:lang w:val="fi-FI"/>
        </w:rPr>
        <w:t>.</w:t>
      </w:r>
      <w:r w:rsidRPr="00FB4EFA">
        <w:rPr>
          <w:rFonts w:cs="Charis SIL"/>
          <w:lang w:val="fi-FI"/>
        </w:rPr>
        <w:t xml:space="preserve"> Eesti keele varamu </w:t>
      </w:r>
      <w:r w:rsidR="008F6FE7" w:rsidRPr="00FB4EFA">
        <w:rPr>
          <w:rFonts w:cs="Charis SIL"/>
          <w:lang w:val="fi-FI"/>
        </w:rPr>
        <w:t>8</w:t>
      </w:r>
      <w:r w:rsidRPr="00FB4EFA">
        <w:rPr>
          <w:rFonts w:cs="Charis SIL"/>
          <w:lang w:val="fi-FI"/>
        </w:rPr>
        <w:t>. Tartu: Tartu Ülikooli Kirjastus.</w:t>
      </w:r>
    </w:p>
    <w:p w14:paraId="32F859BB" w14:textId="665B8A6B" w:rsidR="001C3977" w:rsidRPr="00FB4EFA" w:rsidRDefault="001C3977" w:rsidP="007032B8">
      <w:pPr>
        <w:suppressAutoHyphens/>
        <w:spacing w:line="240" w:lineRule="auto"/>
        <w:ind w:left="426" w:hanging="426"/>
        <w:rPr>
          <w:rFonts w:cs="Charis SIL"/>
          <w:lang w:val="fi-FI"/>
        </w:rPr>
      </w:pPr>
      <w:r w:rsidRPr="00FB4EFA">
        <w:rPr>
          <w:rFonts w:cs="Charis SIL"/>
          <w:lang w:val="fi-FI"/>
        </w:rPr>
        <w:t xml:space="preserve">Ylikoski, Jussi. 2022. </w:t>
      </w:r>
      <w:r w:rsidRPr="00FB4EFA">
        <w:rPr>
          <w:rFonts w:cs="Charis SIL"/>
          <w:i/>
          <w:iCs/>
          <w:lang w:val="fi-FI"/>
        </w:rPr>
        <w:t>Pienempäntä isommaks kohotessais</w:t>
      </w:r>
      <w:r w:rsidRPr="00FB4EFA">
        <w:rPr>
          <w:rFonts w:cs="Charis SIL"/>
          <w:lang w:val="fi-FI"/>
        </w:rPr>
        <w:t xml:space="preserve">: </w:t>
      </w:r>
      <w:r w:rsidRPr="00FB4EFA">
        <w:rPr>
          <w:rFonts w:cs="Charis SIL"/>
          <w:i/>
          <w:iCs/>
          <w:lang w:val="fi-FI"/>
        </w:rPr>
        <w:t>nkAA</w:t>
      </w:r>
      <w:r w:rsidRPr="00FB4EFA">
        <w:rPr>
          <w:rFonts w:cs="Charis SIL"/>
          <w:lang w:val="fi-FI"/>
        </w:rPr>
        <w:t xml:space="preserve">-komitatiivista, </w:t>
      </w:r>
      <w:r w:rsidRPr="00FB4EFA">
        <w:rPr>
          <w:rFonts w:cs="Charis SIL"/>
          <w:i/>
          <w:iCs/>
          <w:lang w:val="fi-FI"/>
        </w:rPr>
        <w:t>ntA</w:t>
      </w:r>
      <w:r w:rsidRPr="00FB4EFA">
        <w:rPr>
          <w:rFonts w:cs="Charis SIL"/>
          <w:lang w:val="fi-FI"/>
        </w:rPr>
        <w:t xml:space="preserve">-eksessiivistä ja sijan kriteereistä. Teoksessa Kaisla Kaheinen, Larisa Leisiö, Riku Erkkilä &amp; Toivo E. H. Qiu (toim.), </w:t>
      </w:r>
      <w:r w:rsidRPr="00FB4EFA">
        <w:rPr>
          <w:rFonts w:cs="Charis SIL"/>
          <w:i/>
          <w:iCs/>
          <w:lang w:val="fi-FI"/>
        </w:rPr>
        <w:t>Hämeenmaalta Jamalille. Kirja Tapani Salmiselle 07.04.2022</w:t>
      </w:r>
      <w:r w:rsidRPr="00FB4EFA">
        <w:rPr>
          <w:rFonts w:cs="Charis SIL"/>
          <w:lang w:val="fi-FI"/>
        </w:rPr>
        <w:t>, 349–360. Helsinki: University of Helsinki.</w:t>
      </w:r>
    </w:p>
    <w:p w14:paraId="187CCA2E" w14:textId="3DD7239F" w:rsidR="00A96E85" w:rsidRPr="00FB4EFA" w:rsidRDefault="003E0C4B" w:rsidP="007032B8">
      <w:pPr>
        <w:suppressAutoHyphens/>
        <w:spacing w:line="240" w:lineRule="auto"/>
        <w:ind w:left="426" w:hanging="426"/>
        <w:rPr>
          <w:rFonts w:ascii="Gill Sans MT" w:eastAsia="Gill Sans MT" w:hAnsi="Gill Sans MT" w:cs="Gill Sans MT"/>
          <w:sz w:val="32"/>
          <w:lang w:val="fi-FI"/>
        </w:rPr>
      </w:pPr>
      <w:r w:rsidRPr="00FB4EFA">
        <w:rPr>
          <w:rFonts w:cs="Charis SIL"/>
          <w:lang w:val="fi-FI"/>
        </w:rPr>
        <w:t xml:space="preserve">Äimä, Frans. 1901. </w:t>
      </w:r>
      <w:r w:rsidRPr="00FB4EFA">
        <w:rPr>
          <w:rFonts w:cs="Charis SIL"/>
          <w:i/>
          <w:iCs/>
          <w:lang w:val="fi-FI"/>
        </w:rPr>
        <w:t>Äänneopillinen tutkimus Tytärsaaren murteesta</w:t>
      </w:r>
      <w:r w:rsidRPr="00FB4EFA">
        <w:rPr>
          <w:rFonts w:cs="Charis SIL"/>
          <w:lang w:val="fi-FI"/>
        </w:rPr>
        <w:t>. Helsinki: SKS.</w:t>
      </w:r>
    </w:p>
    <w:p w14:paraId="094A50E6" w14:textId="77777777" w:rsidR="00EA1695" w:rsidRDefault="00EA1695" w:rsidP="00863238">
      <w:pPr>
        <w:spacing w:after="160"/>
        <w:jc w:val="center"/>
        <w:rPr>
          <w:smallCaps/>
          <w:sz w:val="48"/>
          <w:szCs w:val="48"/>
          <w:lang w:val="fi-FI"/>
        </w:rPr>
        <w:sectPr w:rsidR="00EA1695">
          <w:headerReference w:type="even" r:id="rId449"/>
          <w:headerReference w:type="default" r:id="rId450"/>
          <w:headerReference w:type="first" r:id="rId451"/>
          <w:footnotePr>
            <w:numRestart w:val="eachSect"/>
          </w:footnotePr>
          <w:pgSz w:w="9180" w:h="13302"/>
          <w:pgMar w:top="779" w:right="1133" w:bottom="1132" w:left="1133" w:header="744" w:footer="720" w:gutter="0"/>
          <w:cols w:space="720"/>
          <w:titlePg/>
        </w:sectPr>
      </w:pPr>
    </w:p>
    <w:p w14:paraId="69D66101" w14:textId="77777777" w:rsidR="00A96E85" w:rsidRPr="00FB4EFA" w:rsidRDefault="00A96E85" w:rsidP="00994E2A">
      <w:pPr>
        <w:pStyle w:val="Heading1"/>
        <w:suppressAutoHyphens/>
        <w:spacing w:after="120" w:line="259" w:lineRule="auto"/>
        <w:jc w:val="center"/>
        <w:rPr>
          <w:rFonts w:ascii="Cambria" w:hAnsi="Cambria"/>
          <w:color w:val="auto"/>
          <w:sz w:val="48"/>
          <w:szCs w:val="48"/>
          <w:lang w:val="de-AT"/>
        </w:rPr>
      </w:pPr>
      <w:bookmarkStart w:id="118" w:name="_Toc87547018"/>
      <w:r w:rsidRPr="00FB4EFA">
        <w:rPr>
          <w:rFonts w:ascii="Cambria" w:hAnsi="Cambria"/>
          <w:color w:val="auto"/>
          <w:sz w:val="48"/>
          <w:szCs w:val="48"/>
          <w:lang w:val="de-AT"/>
        </w:rPr>
        <w:lastRenderedPageBreak/>
        <w:t>IV.</w:t>
      </w:r>
      <w:bookmarkEnd w:id="118"/>
    </w:p>
    <w:p w14:paraId="60545E9E" w14:textId="77777777" w:rsidR="00A96E85" w:rsidRPr="00FB4EFA" w:rsidRDefault="00A96E85" w:rsidP="00402EF4">
      <w:pPr>
        <w:spacing w:after="160"/>
        <w:jc w:val="center"/>
        <w:rPr>
          <w:smallCaps/>
          <w:sz w:val="48"/>
          <w:szCs w:val="48"/>
        </w:rPr>
      </w:pPr>
      <w:r w:rsidRPr="00FB4EFA">
        <w:rPr>
          <w:noProof/>
          <w:sz w:val="48"/>
          <w:szCs w:val="48"/>
        </w:rPr>
        <w:drawing>
          <wp:inline distT="0" distB="0" distL="0" distR="0" wp14:anchorId="1AD483A3" wp14:editId="65CABFDB">
            <wp:extent cx="4382135" cy="4692650"/>
            <wp:effectExtent l="0" t="0" r="0" b="0"/>
            <wp:docPr id="7" name="Picture 7" descr="A drawing of a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rawing of a car&#10;&#10;Description automatically generated with low confidence"/>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4382135" cy="4692650"/>
                    </a:xfrm>
                    <a:prstGeom prst="rect">
                      <a:avLst/>
                    </a:prstGeom>
                    <a:noFill/>
                    <a:ln>
                      <a:noFill/>
                    </a:ln>
                  </pic:spPr>
                </pic:pic>
              </a:graphicData>
            </a:graphic>
          </wp:inline>
        </w:drawing>
      </w:r>
    </w:p>
    <w:p w14:paraId="1FBECBE3" w14:textId="77777777" w:rsidR="00A96E85" w:rsidRPr="00FB4EFA" w:rsidRDefault="00A96E85" w:rsidP="00AF0CAD">
      <w:pPr>
        <w:pStyle w:val="Authors"/>
        <w:spacing w:line="259" w:lineRule="auto"/>
        <w:rPr>
          <w:color w:val="auto"/>
          <w:lang w:val="de-AT"/>
        </w:rPr>
      </w:pPr>
      <w:r w:rsidRPr="00FB4EFA">
        <w:rPr>
          <w:color w:val="auto"/>
          <w:lang w:val="de-AT"/>
        </w:rPr>
        <w:t>(Erika Erlinghagen)</w:t>
      </w:r>
    </w:p>
    <w:p w14:paraId="75A079EF" w14:textId="77777777" w:rsidR="00A96E85" w:rsidRPr="00FB4EFA" w:rsidRDefault="00A96E85" w:rsidP="00402EF4">
      <w:pPr>
        <w:spacing w:after="160"/>
        <w:jc w:val="center"/>
        <w:rPr>
          <w:smallCaps/>
          <w:sz w:val="48"/>
          <w:szCs w:val="48"/>
        </w:rPr>
        <w:sectPr w:rsidR="00A96E85" w:rsidRPr="00FB4EFA">
          <w:headerReference w:type="even" r:id="rId453"/>
          <w:headerReference w:type="default" r:id="rId454"/>
          <w:headerReference w:type="first" r:id="rId455"/>
          <w:footnotePr>
            <w:numRestart w:val="eachSect"/>
          </w:footnotePr>
          <w:pgSz w:w="9180" w:h="13302"/>
          <w:pgMar w:top="779" w:right="1133" w:bottom="1132" w:left="1133" w:header="744" w:footer="720" w:gutter="0"/>
          <w:cols w:space="720"/>
          <w:titlePg/>
        </w:sectPr>
      </w:pPr>
      <w:r w:rsidRPr="00FB4EFA">
        <w:rPr>
          <w:smallCaps/>
          <w:sz w:val="48"/>
          <w:szCs w:val="48"/>
        </w:rPr>
        <w:t>Literatur- und Kulturwissenschaft</w:t>
      </w:r>
    </w:p>
    <w:p w14:paraId="618DD8FC" w14:textId="06A8778F" w:rsidR="00A96E85" w:rsidRPr="00FB4EFA" w:rsidRDefault="00A96E85" w:rsidP="00AF0CAD">
      <w:pPr>
        <w:pStyle w:val="Authors"/>
        <w:spacing w:line="259" w:lineRule="auto"/>
        <w:rPr>
          <w:color w:val="auto"/>
          <w:lang w:val="de-AT"/>
        </w:rPr>
      </w:pPr>
      <w:r w:rsidRPr="00FB4EFA">
        <w:rPr>
          <w:color w:val="auto"/>
          <w:lang w:val="de-AT"/>
        </w:rPr>
        <w:lastRenderedPageBreak/>
        <w:t>Domokos</w:t>
      </w:r>
      <w:r w:rsidR="00A2715F" w:rsidRPr="00FB4EFA">
        <w:rPr>
          <w:color w:val="auto"/>
          <w:lang w:val="de-AT"/>
        </w:rPr>
        <w:t xml:space="preserve"> Johanna</w:t>
      </w:r>
    </w:p>
    <w:p w14:paraId="64E14F6E" w14:textId="77777777" w:rsidR="008F73FD" w:rsidRPr="00FB4EFA" w:rsidRDefault="008F73FD" w:rsidP="00402EF4">
      <w:pPr>
        <w:jc w:val="right"/>
        <w:rPr>
          <w:rFonts w:ascii="Gill Sans MT" w:eastAsia="Gill Sans MT" w:hAnsi="Gill Sans MT" w:cs="Gill Sans MT"/>
          <w:sz w:val="32"/>
        </w:rPr>
      </w:pPr>
    </w:p>
    <w:p w14:paraId="7CF0371A" w14:textId="3E064F54" w:rsidR="00A96E85" w:rsidRPr="00FB4EFA" w:rsidRDefault="00B3200B" w:rsidP="00863238">
      <w:pPr>
        <w:pStyle w:val="Heading1"/>
        <w:spacing w:line="259" w:lineRule="auto"/>
        <w:ind w:right="74"/>
        <w:rPr>
          <w:color w:val="auto"/>
          <w:lang w:val="de-AT"/>
        </w:rPr>
      </w:pPr>
      <w:bookmarkStart w:id="119" w:name="_Ref95161024"/>
      <w:r w:rsidRPr="00FB4EFA">
        <w:rPr>
          <w:color w:val="auto"/>
          <w:lang w:val="de-AT"/>
        </w:rPr>
        <w:t>P. A. Böckstiegel expresszionista festő eltűnt számi családi festményéről</w:t>
      </w:r>
      <w:bookmarkEnd w:id="119"/>
    </w:p>
    <w:p w14:paraId="477C3025" w14:textId="3884FADE" w:rsidR="00B3200B" w:rsidRPr="00FB4EFA" w:rsidRDefault="00B3200B" w:rsidP="00863238">
      <w:pPr>
        <w:rPr>
          <w:lang w:val="hu-HU"/>
        </w:rPr>
      </w:pPr>
      <w:r w:rsidRPr="00FB4EFA">
        <w:rPr>
          <w:lang w:val="hu-HU"/>
        </w:rPr>
        <w:t>A német-számi kulturális kapcsolatok sok esetben gyümölcsöz</w:t>
      </w:r>
      <w:r w:rsidRPr="00FB4EFA">
        <w:rPr>
          <w:rFonts w:cs="Cambria"/>
          <w:lang w:val="hu-HU"/>
        </w:rPr>
        <w:t>ő</w:t>
      </w:r>
      <w:r w:rsidRPr="00FB4EFA">
        <w:rPr>
          <w:lang w:val="hu-HU"/>
        </w:rPr>
        <w:t>ek voltak az elm</w:t>
      </w:r>
      <w:r w:rsidRPr="00FB4EFA">
        <w:rPr>
          <w:rFonts w:cs="Baskerville Old Face"/>
          <w:lang w:val="hu-HU"/>
        </w:rPr>
        <w:t>ú</w:t>
      </w:r>
      <w:r w:rsidRPr="00FB4EFA">
        <w:rPr>
          <w:lang w:val="hu-HU"/>
        </w:rPr>
        <w:t xml:space="preserve">lt </w:t>
      </w:r>
      <w:r w:rsidRPr="00FB4EFA">
        <w:rPr>
          <w:rFonts w:cs="Baskerville Old Face"/>
          <w:lang w:val="hu-HU"/>
        </w:rPr>
        <w:t>é</w:t>
      </w:r>
      <w:r w:rsidRPr="00FB4EFA">
        <w:rPr>
          <w:lang w:val="hu-HU"/>
        </w:rPr>
        <w:t>vsz</w:t>
      </w:r>
      <w:r w:rsidRPr="00FB4EFA">
        <w:rPr>
          <w:rFonts w:cs="Baskerville Old Face"/>
          <w:lang w:val="hu-HU"/>
        </w:rPr>
        <w:t>á</w:t>
      </w:r>
      <w:r w:rsidRPr="00FB4EFA">
        <w:rPr>
          <w:lang w:val="hu-HU"/>
        </w:rPr>
        <w:t>zadokban. Emelj</w:t>
      </w:r>
      <w:r w:rsidRPr="00FB4EFA">
        <w:rPr>
          <w:rFonts w:cs="Baskerville Old Face"/>
          <w:lang w:val="hu-HU"/>
        </w:rPr>
        <w:t>ü</w:t>
      </w:r>
      <w:r w:rsidRPr="00FB4EFA">
        <w:rPr>
          <w:lang w:val="hu-HU"/>
        </w:rPr>
        <w:t>k ki ezek k</w:t>
      </w:r>
      <w:r w:rsidRPr="00FB4EFA">
        <w:rPr>
          <w:rFonts w:cs="Baskerville Old Face"/>
          <w:lang w:val="hu-HU"/>
        </w:rPr>
        <w:t>ö</w:t>
      </w:r>
      <w:r w:rsidRPr="00FB4EFA">
        <w:rPr>
          <w:lang w:val="hu-HU"/>
        </w:rPr>
        <w:t>z</w:t>
      </w:r>
      <w:r w:rsidRPr="00FB4EFA">
        <w:rPr>
          <w:rFonts w:cs="Baskerville Old Face"/>
          <w:lang w:val="hu-HU"/>
        </w:rPr>
        <w:t>ü</w:t>
      </w:r>
      <w:r w:rsidRPr="00FB4EFA">
        <w:rPr>
          <w:lang w:val="hu-HU"/>
        </w:rPr>
        <w:t>l a strasbourgi születés</w:t>
      </w:r>
      <w:r w:rsidRPr="00FB4EFA">
        <w:rPr>
          <w:rFonts w:cs="Cambria"/>
          <w:lang w:val="hu-HU"/>
        </w:rPr>
        <w:t>ű</w:t>
      </w:r>
      <w:r w:rsidRPr="00FB4EFA">
        <w:rPr>
          <w:lang w:val="hu-HU"/>
        </w:rPr>
        <w:t xml:space="preserve"> retorikaprofesszor, Johannes Scheffer 1673-as, a sz</w:t>
      </w:r>
      <w:r w:rsidRPr="00FB4EFA">
        <w:rPr>
          <w:rFonts w:cs="Baskerville Old Face"/>
          <w:lang w:val="hu-HU"/>
        </w:rPr>
        <w:t>á</w:t>
      </w:r>
      <w:r w:rsidRPr="00FB4EFA">
        <w:rPr>
          <w:lang w:val="hu-HU"/>
        </w:rPr>
        <w:t>mik nemzetk</w:t>
      </w:r>
      <w:r w:rsidRPr="00FB4EFA">
        <w:rPr>
          <w:rFonts w:cs="Baskerville Old Face"/>
          <w:lang w:val="hu-HU"/>
        </w:rPr>
        <w:t>ö</w:t>
      </w:r>
      <w:r w:rsidRPr="00FB4EFA">
        <w:rPr>
          <w:lang w:val="hu-HU"/>
        </w:rPr>
        <w:t>zi viszonylatban is sz</w:t>
      </w:r>
      <w:r w:rsidRPr="00FB4EFA">
        <w:rPr>
          <w:rFonts w:cs="Baskerville Old Face"/>
          <w:lang w:val="hu-HU"/>
        </w:rPr>
        <w:t>é</w:t>
      </w:r>
      <w:r w:rsidRPr="00FB4EFA">
        <w:rPr>
          <w:lang w:val="hu-HU"/>
        </w:rPr>
        <w:t>les k</w:t>
      </w:r>
      <w:r w:rsidRPr="00FB4EFA">
        <w:rPr>
          <w:rFonts w:cs="Baskerville Old Face"/>
          <w:lang w:val="hu-HU"/>
        </w:rPr>
        <w:t>ö</w:t>
      </w:r>
      <w:r w:rsidRPr="00FB4EFA">
        <w:rPr>
          <w:lang w:val="hu-HU"/>
        </w:rPr>
        <w:t>r</w:t>
      </w:r>
      <w:r w:rsidRPr="00FB4EFA">
        <w:rPr>
          <w:rFonts w:cs="Cambria"/>
          <w:lang w:val="hu-HU"/>
        </w:rPr>
        <w:t>ű</w:t>
      </w:r>
      <w:r w:rsidRPr="00FB4EFA">
        <w:rPr>
          <w:lang w:val="hu-HU"/>
        </w:rPr>
        <w:t xml:space="preserve"> m</w:t>
      </w:r>
      <w:r w:rsidRPr="00FB4EFA">
        <w:rPr>
          <w:rFonts w:cs="Baskerville Old Face"/>
          <w:lang w:val="hu-HU"/>
        </w:rPr>
        <w:t>é</w:t>
      </w:r>
      <w:r w:rsidRPr="00FB4EFA">
        <w:rPr>
          <w:lang w:val="hu-HU"/>
        </w:rPr>
        <w:t>ltat</w:t>
      </w:r>
      <w:r w:rsidRPr="00FB4EFA">
        <w:rPr>
          <w:rFonts w:cs="Baskerville Old Face"/>
          <w:lang w:val="hu-HU"/>
        </w:rPr>
        <w:t>á</w:t>
      </w:r>
      <w:r w:rsidRPr="00FB4EFA">
        <w:rPr>
          <w:lang w:val="hu-HU"/>
        </w:rPr>
        <w:t>s</w:t>
      </w:r>
      <w:r w:rsidRPr="00FB4EFA">
        <w:rPr>
          <w:rFonts w:cs="Baskerville Old Face"/>
          <w:lang w:val="hu-HU"/>
        </w:rPr>
        <w:t>á</w:t>
      </w:r>
      <w:r w:rsidRPr="00FB4EFA">
        <w:rPr>
          <w:lang w:val="hu-HU"/>
        </w:rPr>
        <w:t>t ny</w:t>
      </w:r>
      <w:r w:rsidRPr="00FB4EFA">
        <w:rPr>
          <w:rFonts w:cs="Baskerville Old Face"/>
          <w:lang w:val="hu-HU"/>
        </w:rPr>
        <w:t>ú</w:t>
      </w:r>
      <w:r w:rsidRPr="00FB4EFA">
        <w:rPr>
          <w:lang w:val="hu-HU"/>
        </w:rPr>
        <w:t>jt</w:t>
      </w:r>
      <w:r w:rsidRPr="00FB4EFA">
        <w:rPr>
          <w:rFonts w:cs="Baskerville Old Face"/>
          <w:lang w:val="hu-HU"/>
        </w:rPr>
        <w:t>ó</w:t>
      </w:r>
      <w:r w:rsidRPr="00FB4EFA">
        <w:rPr>
          <w:lang w:val="hu-HU"/>
        </w:rPr>
        <w:t xml:space="preserve"> </w:t>
      </w:r>
      <w:r w:rsidRPr="00FB4EFA">
        <w:rPr>
          <w:i/>
          <w:iCs/>
          <w:lang w:val="hu-HU"/>
        </w:rPr>
        <w:t>Lapponia, id est, regionis Lapponum et gentis nova et verissima descriptio</w:t>
      </w:r>
      <w:r w:rsidRPr="00FB4EFA">
        <w:rPr>
          <w:lang w:val="hu-HU"/>
        </w:rPr>
        <w:t xml:space="preserve"> c. m</w:t>
      </w:r>
      <w:r w:rsidRPr="00FB4EFA">
        <w:rPr>
          <w:rFonts w:cs="Cambria"/>
          <w:lang w:val="hu-HU"/>
        </w:rPr>
        <w:t>ű</w:t>
      </w:r>
      <w:r w:rsidRPr="00FB4EFA">
        <w:rPr>
          <w:lang w:val="hu-HU"/>
        </w:rPr>
        <w:t>vét vagy ebb</w:t>
      </w:r>
      <w:r w:rsidRPr="00FB4EFA">
        <w:rPr>
          <w:rFonts w:cs="Cambria"/>
          <w:lang w:val="hu-HU"/>
        </w:rPr>
        <w:t>ő</w:t>
      </w:r>
      <w:r w:rsidRPr="00FB4EFA">
        <w:rPr>
          <w:lang w:val="hu-HU"/>
        </w:rPr>
        <w:t>l a m</w:t>
      </w:r>
      <w:r w:rsidRPr="00FB4EFA">
        <w:rPr>
          <w:rFonts w:cs="Cambria"/>
          <w:lang w:val="hu-HU"/>
        </w:rPr>
        <w:t>ű</w:t>
      </w:r>
      <w:r w:rsidRPr="00FB4EFA">
        <w:rPr>
          <w:lang w:val="hu-HU"/>
        </w:rPr>
        <w:t>b</w:t>
      </w:r>
      <w:r w:rsidRPr="00FB4EFA">
        <w:rPr>
          <w:rFonts w:cs="Cambria"/>
          <w:lang w:val="hu-HU"/>
        </w:rPr>
        <w:t>ő</w:t>
      </w:r>
      <w:r w:rsidRPr="00FB4EFA">
        <w:rPr>
          <w:lang w:val="hu-HU"/>
        </w:rPr>
        <w:t xml:space="preserve">l a Johann Gottfried Herder </w:t>
      </w:r>
      <w:r w:rsidRPr="00FB4EFA">
        <w:rPr>
          <w:rFonts w:cs="Baskerville Old Face"/>
          <w:lang w:val="hu-HU"/>
        </w:rPr>
        <w:t>á</w:t>
      </w:r>
      <w:r w:rsidRPr="00FB4EFA">
        <w:rPr>
          <w:lang w:val="hu-HU"/>
        </w:rPr>
        <w:t xml:space="preserve">ltal a nemzeti romantika alapkönyvének számító </w:t>
      </w:r>
      <w:r w:rsidRPr="00FB4EFA">
        <w:rPr>
          <w:i/>
          <w:iCs/>
          <w:lang w:val="hu-HU"/>
        </w:rPr>
        <w:t>Stimmen der Völker in Liedern</w:t>
      </w:r>
      <w:r w:rsidRPr="00FB4EFA">
        <w:rPr>
          <w:lang w:val="hu-HU"/>
        </w:rPr>
        <w:t xml:space="preserve"> (1807) című m</w:t>
      </w:r>
      <w:r w:rsidRPr="00FB4EFA">
        <w:rPr>
          <w:rFonts w:cs="Cambria"/>
          <w:lang w:val="hu-HU"/>
        </w:rPr>
        <w:t>ű</w:t>
      </w:r>
      <w:r w:rsidRPr="00FB4EFA">
        <w:rPr>
          <w:lang w:val="hu-HU"/>
        </w:rPr>
        <w:t>be beemelt jojkaverseket. Ezen szerelmes versek Goethe, Kleist és Schiller munkáiban is megörökítették lenyomatukat (l. Domokos P. 1975, 244). A 19–20. század fordulóján több német keresked</w:t>
      </w:r>
      <w:r w:rsidRPr="00FB4EFA">
        <w:rPr>
          <w:rFonts w:cs="Cambria"/>
          <w:lang w:val="hu-HU"/>
        </w:rPr>
        <w:t>ő</w:t>
      </w:r>
      <w:r w:rsidRPr="00FB4EFA">
        <w:rPr>
          <w:lang w:val="hu-HU"/>
        </w:rPr>
        <w:t xml:space="preserve"> is v</w:t>
      </w:r>
      <w:r w:rsidRPr="00FB4EFA">
        <w:rPr>
          <w:rFonts w:cs="Baskerville Old Face"/>
          <w:lang w:val="hu-HU"/>
        </w:rPr>
        <w:t>á</w:t>
      </w:r>
      <w:r w:rsidRPr="00FB4EFA">
        <w:rPr>
          <w:lang w:val="hu-HU"/>
        </w:rPr>
        <w:t>llalkozott arra, hogy sz</w:t>
      </w:r>
      <w:r w:rsidRPr="00FB4EFA">
        <w:rPr>
          <w:rFonts w:cs="Baskerville Old Face"/>
          <w:lang w:val="hu-HU"/>
        </w:rPr>
        <w:t>á</w:t>
      </w:r>
      <w:r w:rsidRPr="00FB4EFA">
        <w:rPr>
          <w:lang w:val="hu-HU"/>
        </w:rPr>
        <w:t>mi karav</w:t>
      </w:r>
      <w:r w:rsidRPr="00FB4EFA">
        <w:rPr>
          <w:rFonts w:cs="Baskerville Old Face"/>
          <w:lang w:val="hu-HU"/>
        </w:rPr>
        <w:t>á</w:t>
      </w:r>
      <w:r w:rsidRPr="00FB4EFA">
        <w:rPr>
          <w:lang w:val="hu-HU"/>
        </w:rPr>
        <w:t>nokat hozzon K</w:t>
      </w:r>
      <w:r w:rsidRPr="00FB4EFA">
        <w:rPr>
          <w:rFonts w:cs="Baskerville Old Face"/>
          <w:lang w:val="hu-HU"/>
        </w:rPr>
        <w:t>ö</w:t>
      </w:r>
      <w:r w:rsidRPr="00FB4EFA">
        <w:rPr>
          <w:lang w:val="hu-HU"/>
        </w:rPr>
        <w:t>z</w:t>
      </w:r>
      <w:r w:rsidRPr="00FB4EFA">
        <w:rPr>
          <w:rFonts w:cs="Baskerville Old Face"/>
          <w:lang w:val="hu-HU"/>
        </w:rPr>
        <w:t>é</w:t>
      </w:r>
      <w:r w:rsidRPr="00FB4EFA">
        <w:rPr>
          <w:lang w:val="hu-HU"/>
        </w:rPr>
        <w:t xml:space="preserve">p- </w:t>
      </w:r>
      <w:r w:rsidRPr="00FB4EFA">
        <w:rPr>
          <w:rFonts w:cs="Baskerville Old Face"/>
          <w:lang w:val="hu-HU"/>
        </w:rPr>
        <w:t>é</w:t>
      </w:r>
      <w:r w:rsidRPr="00FB4EFA">
        <w:rPr>
          <w:lang w:val="hu-HU"/>
        </w:rPr>
        <w:t>s Kelet-Eur</w:t>
      </w:r>
      <w:r w:rsidRPr="00FB4EFA">
        <w:rPr>
          <w:rFonts w:cs="Baskerville Old Face"/>
          <w:lang w:val="hu-HU"/>
        </w:rPr>
        <w:t>ó</w:t>
      </w:r>
      <w:r w:rsidRPr="00FB4EFA">
        <w:rPr>
          <w:lang w:val="hu-HU"/>
        </w:rPr>
        <w:t>p</w:t>
      </w:r>
      <w:r w:rsidRPr="00FB4EFA">
        <w:rPr>
          <w:rFonts w:cs="Baskerville Old Face"/>
          <w:lang w:val="hu-HU"/>
        </w:rPr>
        <w:t>á</w:t>
      </w:r>
      <w:r w:rsidRPr="00FB4EFA">
        <w:rPr>
          <w:lang w:val="hu-HU"/>
        </w:rPr>
        <w:t xml:space="preserve">ba, melyek </w:t>
      </w:r>
      <w:r w:rsidRPr="00FB4EFA">
        <w:rPr>
          <w:rFonts w:cs="Baskerville Old Face"/>
          <w:lang w:val="hu-HU"/>
        </w:rPr>
        <w:t>á</w:t>
      </w:r>
      <w:r w:rsidRPr="00FB4EFA">
        <w:rPr>
          <w:lang w:val="hu-HU"/>
        </w:rPr>
        <w:t>ltal az akkori medi</w:t>
      </w:r>
      <w:r w:rsidRPr="00FB4EFA">
        <w:rPr>
          <w:rFonts w:cs="Baskerville Old Face"/>
          <w:lang w:val="hu-HU"/>
        </w:rPr>
        <w:t>á</w:t>
      </w:r>
      <w:r w:rsidRPr="00FB4EFA">
        <w:rPr>
          <w:lang w:val="hu-HU"/>
        </w:rPr>
        <w:t>lis lehet</w:t>
      </w:r>
      <w:r w:rsidRPr="00FB4EFA">
        <w:rPr>
          <w:rFonts w:cs="Cambria"/>
          <w:lang w:val="hu-HU"/>
        </w:rPr>
        <w:t>ő</w:t>
      </w:r>
      <w:r w:rsidRPr="00FB4EFA">
        <w:rPr>
          <w:lang w:val="hu-HU"/>
        </w:rPr>
        <w:t>s</w:t>
      </w:r>
      <w:r w:rsidRPr="00FB4EFA">
        <w:rPr>
          <w:rFonts w:cs="Baskerville Old Face"/>
          <w:lang w:val="hu-HU"/>
        </w:rPr>
        <w:t>é</w:t>
      </w:r>
      <w:r w:rsidRPr="00FB4EFA">
        <w:rPr>
          <w:lang w:val="hu-HU"/>
        </w:rPr>
        <w:t>gek keret</w:t>
      </w:r>
      <w:r w:rsidRPr="00FB4EFA">
        <w:rPr>
          <w:rFonts w:cs="Baskerville Old Face"/>
          <w:lang w:val="hu-HU"/>
        </w:rPr>
        <w:t>é</w:t>
      </w:r>
      <w:r w:rsidRPr="00FB4EFA">
        <w:rPr>
          <w:lang w:val="hu-HU"/>
        </w:rPr>
        <w:t>ben sokan szerezhettek a sz</w:t>
      </w:r>
      <w:r w:rsidRPr="00FB4EFA">
        <w:rPr>
          <w:rFonts w:cs="Baskerville Old Face"/>
          <w:lang w:val="hu-HU"/>
        </w:rPr>
        <w:t>á</w:t>
      </w:r>
      <w:r w:rsidRPr="00FB4EFA">
        <w:rPr>
          <w:lang w:val="hu-HU"/>
        </w:rPr>
        <w:t>mik kult</w:t>
      </w:r>
      <w:r w:rsidRPr="00FB4EFA">
        <w:rPr>
          <w:rFonts w:cs="Baskerville Old Face"/>
          <w:lang w:val="hu-HU"/>
        </w:rPr>
        <w:t>ú</w:t>
      </w:r>
      <w:r w:rsidRPr="00FB4EFA">
        <w:rPr>
          <w:lang w:val="hu-HU"/>
        </w:rPr>
        <w:t>r</w:t>
      </w:r>
      <w:r w:rsidRPr="00FB4EFA">
        <w:rPr>
          <w:rFonts w:cs="Baskerville Old Face"/>
          <w:lang w:val="hu-HU"/>
        </w:rPr>
        <w:t>á</w:t>
      </w:r>
      <w:r w:rsidRPr="00FB4EFA">
        <w:rPr>
          <w:lang w:val="hu-HU"/>
        </w:rPr>
        <w:t>j</w:t>
      </w:r>
      <w:r w:rsidRPr="00FB4EFA">
        <w:rPr>
          <w:rFonts w:cs="Baskerville Old Face"/>
          <w:lang w:val="hu-HU"/>
        </w:rPr>
        <w:t>á</w:t>
      </w:r>
      <w:r w:rsidRPr="00FB4EFA">
        <w:rPr>
          <w:lang w:val="hu-HU"/>
        </w:rPr>
        <w:t>r</w:t>
      </w:r>
      <w:r w:rsidRPr="00FB4EFA">
        <w:rPr>
          <w:rFonts w:cs="Baskerville Old Face"/>
          <w:lang w:val="hu-HU"/>
        </w:rPr>
        <w:t>ó</w:t>
      </w:r>
      <w:r w:rsidRPr="00FB4EFA">
        <w:rPr>
          <w:lang w:val="hu-HU"/>
        </w:rPr>
        <w:t>l k</w:t>
      </w:r>
      <w:r w:rsidRPr="00FB4EFA">
        <w:rPr>
          <w:rFonts w:cs="Baskerville Old Face"/>
          <w:lang w:val="hu-HU"/>
        </w:rPr>
        <w:t>ö</w:t>
      </w:r>
      <w:r w:rsidRPr="00FB4EFA">
        <w:rPr>
          <w:lang w:val="hu-HU"/>
        </w:rPr>
        <w:t>zvetlen benyom</w:t>
      </w:r>
      <w:r w:rsidRPr="00FB4EFA">
        <w:rPr>
          <w:rFonts w:cs="Baskerville Old Face"/>
          <w:lang w:val="hu-HU"/>
        </w:rPr>
        <w:t>á</w:t>
      </w:r>
      <w:r w:rsidRPr="00FB4EFA">
        <w:rPr>
          <w:lang w:val="hu-HU"/>
        </w:rPr>
        <w:t>st (pl. Carl Hagenbeck és Ludwig Ruhe, majd fiaik szervezésében). A 20. század els</w:t>
      </w:r>
      <w:r w:rsidRPr="00FB4EFA">
        <w:rPr>
          <w:rFonts w:cs="Cambria"/>
          <w:lang w:val="hu-HU"/>
        </w:rPr>
        <w:t>ő</w:t>
      </w:r>
      <w:r w:rsidRPr="00FB4EFA">
        <w:rPr>
          <w:lang w:val="hu-HU"/>
        </w:rPr>
        <w:t xml:space="preserve"> fel</w:t>
      </w:r>
      <w:r w:rsidRPr="00FB4EFA">
        <w:rPr>
          <w:rFonts w:cs="Baskerville Old Face"/>
          <w:lang w:val="hu-HU"/>
        </w:rPr>
        <w:t>é</w:t>
      </w:r>
      <w:r w:rsidRPr="00FB4EFA">
        <w:rPr>
          <w:lang w:val="hu-HU"/>
        </w:rPr>
        <w:t>ben Erich Wustmann n</w:t>
      </w:r>
      <w:r w:rsidRPr="00FB4EFA">
        <w:rPr>
          <w:rFonts w:cs="Baskerville Old Face"/>
          <w:lang w:val="hu-HU"/>
        </w:rPr>
        <w:t>é</w:t>
      </w:r>
      <w:r w:rsidRPr="00FB4EFA">
        <w:rPr>
          <w:lang w:val="hu-HU"/>
        </w:rPr>
        <w:t>met n</w:t>
      </w:r>
      <w:r w:rsidRPr="00FB4EFA">
        <w:rPr>
          <w:rFonts w:cs="Baskerville Old Face"/>
          <w:lang w:val="hu-HU"/>
        </w:rPr>
        <w:t>é</w:t>
      </w:r>
      <w:r w:rsidRPr="00FB4EFA">
        <w:rPr>
          <w:lang w:val="hu-HU"/>
        </w:rPr>
        <w:t>prajzkutat</w:t>
      </w:r>
      <w:r w:rsidRPr="00FB4EFA">
        <w:rPr>
          <w:rFonts w:cs="Baskerville Old Face"/>
          <w:lang w:val="hu-HU"/>
        </w:rPr>
        <w:t>ó</w:t>
      </w:r>
      <w:r w:rsidRPr="00FB4EFA">
        <w:rPr>
          <w:lang w:val="hu-HU"/>
        </w:rPr>
        <w:t xml:space="preserve"> is sz</w:t>
      </w:r>
      <w:r w:rsidRPr="00FB4EFA">
        <w:rPr>
          <w:rFonts w:cs="Baskerville Old Face"/>
          <w:lang w:val="hu-HU"/>
        </w:rPr>
        <w:t>á</w:t>
      </w:r>
      <w:r w:rsidRPr="00FB4EFA">
        <w:rPr>
          <w:lang w:val="hu-HU"/>
        </w:rPr>
        <w:t>mtalanszor megfordult f</w:t>
      </w:r>
      <w:r w:rsidRPr="00FB4EFA">
        <w:rPr>
          <w:rFonts w:cs="Baskerville Old Face"/>
          <w:lang w:val="hu-HU"/>
        </w:rPr>
        <w:t>ö</w:t>
      </w:r>
      <w:r w:rsidRPr="00FB4EFA">
        <w:rPr>
          <w:lang w:val="hu-HU"/>
        </w:rPr>
        <w:t>ldj</w:t>
      </w:r>
      <w:r w:rsidRPr="00FB4EFA">
        <w:rPr>
          <w:rFonts w:cs="Baskerville Old Face"/>
          <w:lang w:val="hu-HU"/>
        </w:rPr>
        <w:t>ü</w:t>
      </w:r>
      <w:r w:rsidRPr="00FB4EFA">
        <w:rPr>
          <w:lang w:val="hu-HU"/>
        </w:rPr>
        <w:t>k</w:t>
      </w:r>
      <w:r w:rsidRPr="00FB4EFA">
        <w:rPr>
          <w:rFonts w:cs="Baskerville Old Face"/>
          <w:lang w:val="hu-HU"/>
        </w:rPr>
        <w:t>ö</w:t>
      </w:r>
      <w:r w:rsidRPr="00FB4EFA">
        <w:rPr>
          <w:lang w:val="hu-HU"/>
        </w:rPr>
        <w:t>n, melynek eredm</w:t>
      </w:r>
      <w:r w:rsidRPr="00FB4EFA">
        <w:rPr>
          <w:rFonts w:cs="Baskerville Old Face"/>
          <w:lang w:val="hu-HU"/>
        </w:rPr>
        <w:t>é</w:t>
      </w:r>
      <w:r w:rsidRPr="00FB4EFA">
        <w:rPr>
          <w:lang w:val="hu-HU"/>
        </w:rPr>
        <w:t xml:space="preserve">nye lett az </w:t>
      </w:r>
      <w:r w:rsidRPr="00FB4EFA">
        <w:rPr>
          <w:i/>
          <w:iCs/>
          <w:lang w:val="hu-HU"/>
        </w:rPr>
        <w:t xml:space="preserve">In Lappzelt und Rentierpulk </w:t>
      </w:r>
      <w:r w:rsidRPr="00FB4EFA">
        <w:rPr>
          <w:lang w:val="hu-HU"/>
        </w:rPr>
        <w:t>cím</w:t>
      </w:r>
      <w:r w:rsidRPr="00FB4EFA">
        <w:rPr>
          <w:rFonts w:cs="Cambria"/>
          <w:lang w:val="hu-HU"/>
        </w:rPr>
        <w:t>ű</w:t>
      </w:r>
      <w:r w:rsidRPr="00FB4EFA">
        <w:rPr>
          <w:lang w:val="hu-HU"/>
        </w:rPr>
        <w:t xml:space="preserve"> 1936-os m</w:t>
      </w:r>
      <w:r w:rsidRPr="00FB4EFA">
        <w:rPr>
          <w:rFonts w:cs="Cambria"/>
          <w:lang w:val="hu-HU"/>
        </w:rPr>
        <w:t>ű</w:t>
      </w:r>
      <w:r w:rsidRPr="00FB4EFA">
        <w:rPr>
          <w:lang w:val="hu-HU"/>
        </w:rPr>
        <w:t>ve. Akadtak olyanok is, akik a sz</w:t>
      </w:r>
      <w:r w:rsidRPr="00FB4EFA">
        <w:rPr>
          <w:rFonts w:cs="Baskerville Old Face"/>
          <w:lang w:val="hu-HU"/>
        </w:rPr>
        <w:t>á</w:t>
      </w:r>
      <w:r w:rsidRPr="00FB4EFA">
        <w:rPr>
          <w:lang w:val="hu-HU"/>
        </w:rPr>
        <w:t>mik kult</w:t>
      </w:r>
      <w:r w:rsidRPr="00FB4EFA">
        <w:rPr>
          <w:rFonts w:cs="Baskerville Old Face"/>
          <w:lang w:val="hu-HU"/>
        </w:rPr>
        <w:t>ú</w:t>
      </w:r>
      <w:r w:rsidRPr="00FB4EFA">
        <w:rPr>
          <w:lang w:val="hu-HU"/>
        </w:rPr>
        <w:t>r</w:t>
      </w:r>
      <w:r w:rsidRPr="00FB4EFA">
        <w:rPr>
          <w:rFonts w:cs="Baskerville Old Face"/>
          <w:lang w:val="hu-HU"/>
        </w:rPr>
        <w:t>á</w:t>
      </w:r>
      <w:r w:rsidRPr="00FB4EFA">
        <w:rPr>
          <w:lang w:val="hu-HU"/>
        </w:rPr>
        <w:t>j</w:t>
      </w:r>
      <w:r w:rsidRPr="00FB4EFA">
        <w:rPr>
          <w:rFonts w:cs="Baskerville Old Face"/>
          <w:lang w:val="hu-HU"/>
        </w:rPr>
        <w:t>á</w:t>
      </w:r>
      <w:r w:rsidRPr="00FB4EFA">
        <w:rPr>
          <w:lang w:val="hu-HU"/>
        </w:rPr>
        <w:t>nak nemzetközi k</w:t>
      </w:r>
      <w:r w:rsidRPr="00FB4EFA">
        <w:rPr>
          <w:rFonts w:cs="Baskerville Old Face"/>
          <w:lang w:val="hu-HU"/>
        </w:rPr>
        <w:t>ö</w:t>
      </w:r>
      <w:r w:rsidRPr="00FB4EFA">
        <w:rPr>
          <w:lang w:val="hu-HU"/>
        </w:rPr>
        <w:t>zvetítése mellett a számik művészeti inspirálására is vállalkoztak, mint pl. Gustav Hagemann. 1927-t</w:t>
      </w:r>
      <w:r w:rsidRPr="00FB4EFA">
        <w:rPr>
          <w:rFonts w:cs="Cambria"/>
          <w:lang w:val="hu-HU"/>
        </w:rPr>
        <w:t>ő</w:t>
      </w:r>
      <w:r w:rsidRPr="00FB4EFA">
        <w:rPr>
          <w:lang w:val="hu-HU"/>
        </w:rPr>
        <w:t>l kezd</w:t>
      </w:r>
      <w:r w:rsidRPr="00FB4EFA">
        <w:rPr>
          <w:rFonts w:cs="Cambria"/>
          <w:lang w:val="hu-HU"/>
        </w:rPr>
        <w:t>ő</w:t>
      </w:r>
      <w:r w:rsidRPr="00FB4EFA">
        <w:rPr>
          <w:lang w:val="hu-HU"/>
        </w:rPr>
        <w:t>d</w:t>
      </w:r>
      <w:r w:rsidRPr="00FB4EFA">
        <w:rPr>
          <w:rFonts w:cs="Cambria"/>
          <w:lang w:val="hu-HU"/>
        </w:rPr>
        <w:t>ő</w:t>
      </w:r>
      <w:r w:rsidRPr="00FB4EFA">
        <w:rPr>
          <w:lang w:val="hu-HU"/>
        </w:rPr>
        <w:t xml:space="preserve">en Hagemann minden </w:t>
      </w:r>
      <w:r w:rsidRPr="00FB4EFA">
        <w:rPr>
          <w:rFonts w:cs="Baskerville Old Face"/>
          <w:lang w:val="hu-HU"/>
        </w:rPr>
        <w:t>é</w:t>
      </w:r>
      <w:r w:rsidRPr="00FB4EFA">
        <w:rPr>
          <w:lang w:val="hu-HU"/>
        </w:rPr>
        <w:t>vben n</w:t>
      </w:r>
      <w:r w:rsidRPr="00FB4EFA">
        <w:rPr>
          <w:rFonts w:cs="Baskerville Old Face"/>
          <w:lang w:val="hu-HU"/>
        </w:rPr>
        <w:t>é</w:t>
      </w:r>
      <w:r w:rsidRPr="00FB4EFA">
        <w:rPr>
          <w:lang w:val="hu-HU"/>
        </w:rPr>
        <w:t>gy h</w:t>
      </w:r>
      <w:r w:rsidRPr="00FB4EFA">
        <w:rPr>
          <w:rFonts w:cs="Baskerville Old Face"/>
          <w:lang w:val="hu-HU"/>
        </w:rPr>
        <w:t>ó</w:t>
      </w:r>
      <w:r w:rsidRPr="00FB4EFA">
        <w:rPr>
          <w:lang w:val="hu-HU"/>
        </w:rPr>
        <w:t>napos tanulm</w:t>
      </w:r>
      <w:r w:rsidRPr="00FB4EFA">
        <w:rPr>
          <w:rFonts w:cs="Baskerville Old Face"/>
          <w:lang w:val="hu-HU"/>
        </w:rPr>
        <w:t>á</w:t>
      </w:r>
      <w:r w:rsidRPr="00FB4EFA">
        <w:rPr>
          <w:lang w:val="hu-HU"/>
        </w:rPr>
        <w:t>nyúton vett r</w:t>
      </w:r>
      <w:r w:rsidRPr="00FB4EFA">
        <w:rPr>
          <w:rFonts w:cs="Baskerville Old Face"/>
          <w:lang w:val="hu-HU"/>
        </w:rPr>
        <w:t>é</w:t>
      </w:r>
      <w:r w:rsidRPr="00FB4EFA">
        <w:rPr>
          <w:lang w:val="hu-HU"/>
        </w:rPr>
        <w:t xml:space="preserve">szt az </w:t>
      </w:r>
      <w:r w:rsidRPr="00FB4EFA">
        <w:rPr>
          <w:rFonts w:cs="Baskerville Old Face"/>
          <w:lang w:val="hu-HU"/>
        </w:rPr>
        <w:t>é</w:t>
      </w:r>
      <w:r w:rsidRPr="00FB4EFA">
        <w:rPr>
          <w:lang w:val="hu-HU"/>
        </w:rPr>
        <w:t>szaki orsz</w:t>
      </w:r>
      <w:r w:rsidRPr="00FB4EFA">
        <w:rPr>
          <w:rFonts w:cs="Baskerville Old Face"/>
          <w:lang w:val="hu-HU"/>
        </w:rPr>
        <w:t>á</w:t>
      </w:r>
      <w:r w:rsidRPr="00FB4EFA">
        <w:rPr>
          <w:lang w:val="hu-HU"/>
        </w:rPr>
        <w:t xml:space="preserve">gokban, </w:t>
      </w:r>
      <w:r w:rsidRPr="00FB4EFA">
        <w:rPr>
          <w:rFonts w:cs="Baskerville Old Face"/>
          <w:lang w:val="hu-HU"/>
        </w:rPr>
        <w:t>é</w:t>
      </w:r>
      <w:r w:rsidRPr="00FB4EFA">
        <w:rPr>
          <w:lang w:val="hu-HU"/>
        </w:rPr>
        <w:t>s arra buzd</w:t>
      </w:r>
      <w:r w:rsidRPr="00FB4EFA">
        <w:rPr>
          <w:rFonts w:cs="Baskerville Old Face"/>
          <w:lang w:val="hu-HU"/>
        </w:rPr>
        <w:t>í</w:t>
      </w:r>
      <w:r w:rsidRPr="00FB4EFA">
        <w:rPr>
          <w:lang w:val="hu-HU"/>
        </w:rPr>
        <w:t>totta a sz</w:t>
      </w:r>
      <w:r w:rsidRPr="00FB4EFA">
        <w:rPr>
          <w:rFonts w:cs="Baskerville Old Face"/>
          <w:lang w:val="hu-HU"/>
        </w:rPr>
        <w:t>á</w:t>
      </w:r>
      <w:r w:rsidRPr="00FB4EFA">
        <w:rPr>
          <w:lang w:val="hu-HU"/>
        </w:rPr>
        <w:t>mikat, hogy m</w:t>
      </w:r>
      <w:r w:rsidRPr="00FB4EFA">
        <w:rPr>
          <w:rFonts w:cs="Cambria"/>
          <w:lang w:val="hu-HU"/>
        </w:rPr>
        <w:t>ű</w:t>
      </w:r>
      <w:r w:rsidRPr="00FB4EFA">
        <w:rPr>
          <w:lang w:val="hu-HU"/>
        </w:rPr>
        <w:t>v</w:t>
      </w:r>
      <w:r w:rsidRPr="00FB4EFA">
        <w:rPr>
          <w:rFonts w:cs="Baskerville Old Face"/>
          <w:lang w:val="hu-HU"/>
        </w:rPr>
        <w:t>é</w:t>
      </w:r>
      <w:r w:rsidRPr="00FB4EFA">
        <w:rPr>
          <w:lang w:val="hu-HU"/>
        </w:rPr>
        <w:t>szi m</w:t>
      </w:r>
      <w:r w:rsidRPr="00FB4EFA">
        <w:rPr>
          <w:rFonts w:cs="Baskerville Old Face"/>
          <w:lang w:val="hu-HU"/>
        </w:rPr>
        <w:t>ó</w:t>
      </w:r>
      <w:r w:rsidRPr="00FB4EFA">
        <w:rPr>
          <w:lang w:val="hu-HU"/>
        </w:rPr>
        <w:t xml:space="preserve">don </w:t>
      </w:r>
      <w:r w:rsidRPr="00FB4EFA">
        <w:rPr>
          <w:rFonts w:cs="Baskerville Old Face"/>
          <w:lang w:val="hu-HU"/>
        </w:rPr>
        <w:t>á</w:t>
      </w:r>
      <w:r w:rsidRPr="00FB4EFA">
        <w:rPr>
          <w:lang w:val="hu-HU"/>
        </w:rPr>
        <w:t>br</w:t>
      </w:r>
      <w:r w:rsidRPr="00FB4EFA">
        <w:rPr>
          <w:rFonts w:cs="Baskerville Old Face"/>
          <w:lang w:val="hu-HU"/>
        </w:rPr>
        <w:t>á</w:t>
      </w:r>
      <w:r w:rsidRPr="00FB4EFA">
        <w:rPr>
          <w:lang w:val="hu-HU"/>
        </w:rPr>
        <w:t>zolj</w:t>
      </w:r>
      <w:r w:rsidRPr="00FB4EFA">
        <w:rPr>
          <w:rFonts w:cs="Baskerville Old Face"/>
          <w:lang w:val="hu-HU"/>
        </w:rPr>
        <w:t>á</w:t>
      </w:r>
      <w:r w:rsidRPr="00FB4EFA">
        <w:rPr>
          <w:lang w:val="hu-HU"/>
        </w:rPr>
        <w:t xml:space="preserve">k </w:t>
      </w:r>
      <w:r w:rsidRPr="00FB4EFA">
        <w:rPr>
          <w:rFonts w:cs="Baskerville Old Face"/>
          <w:lang w:val="hu-HU"/>
        </w:rPr>
        <w:t>é</w:t>
      </w:r>
      <w:r w:rsidRPr="00FB4EFA">
        <w:rPr>
          <w:lang w:val="hu-HU"/>
        </w:rPr>
        <w:t>let</w:t>
      </w:r>
      <w:r w:rsidRPr="00FB4EFA">
        <w:rPr>
          <w:rFonts w:cs="Baskerville Old Face"/>
          <w:lang w:val="hu-HU"/>
        </w:rPr>
        <w:t>ü</w:t>
      </w:r>
      <w:r w:rsidRPr="00FB4EFA">
        <w:rPr>
          <w:lang w:val="hu-HU"/>
        </w:rPr>
        <w:t xml:space="preserve">ket. Ezek a dokumentumok beépültek a </w:t>
      </w:r>
      <w:r w:rsidRPr="00FB4EFA">
        <w:rPr>
          <w:i/>
          <w:iCs/>
          <w:lang w:val="hu-HU"/>
        </w:rPr>
        <w:t>Das Leben der Lappen in ihren Ritzzeichnungen und anderen Selbstzeugnissen</w:t>
      </w:r>
      <w:r w:rsidRPr="00FB4EFA">
        <w:rPr>
          <w:lang w:val="hu-HU"/>
        </w:rPr>
        <w:t xml:space="preserve"> (1976) c. m</w:t>
      </w:r>
      <w:r w:rsidRPr="00FB4EFA">
        <w:rPr>
          <w:rFonts w:cs="Cambria"/>
          <w:lang w:val="hu-HU"/>
        </w:rPr>
        <w:t>ű</w:t>
      </w:r>
      <w:r w:rsidRPr="00FB4EFA">
        <w:rPr>
          <w:lang w:val="hu-HU"/>
        </w:rPr>
        <w:t xml:space="preserve">be, </w:t>
      </w:r>
      <w:r w:rsidRPr="00FB4EFA">
        <w:rPr>
          <w:rFonts w:cs="Baskerville Old Face"/>
          <w:lang w:val="hu-HU"/>
        </w:rPr>
        <w:t>é</w:t>
      </w:r>
      <w:r w:rsidRPr="00FB4EFA">
        <w:rPr>
          <w:lang w:val="hu-HU"/>
        </w:rPr>
        <w:t>s e sz</w:t>
      </w:r>
      <w:r w:rsidRPr="00FB4EFA">
        <w:rPr>
          <w:rFonts w:cs="Baskerville Old Face"/>
          <w:lang w:val="hu-HU"/>
        </w:rPr>
        <w:t>á</w:t>
      </w:r>
      <w:r w:rsidRPr="00FB4EFA">
        <w:rPr>
          <w:lang w:val="hu-HU"/>
        </w:rPr>
        <w:t>mi amat</w:t>
      </w:r>
      <w:r w:rsidRPr="00FB4EFA">
        <w:rPr>
          <w:rFonts w:cs="Baskerville Old Face"/>
          <w:lang w:val="hu-HU"/>
        </w:rPr>
        <w:t>ő</w:t>
      </w:r>
      <w:r w:rsidRPr="00FB4EFA">
        <w:rPr>
          <w:lang w:val="hu-HU"/>
        </w:rPr>
        <w:t>r munk</w:t>
      </w:r>
      <w:r w:rsidRPr="00FB4EFA">
        <w:rPr>
          <w:rFonts w:cs="Baskerville Old Face"/>
          <w:lang w:val="hu-HU"/>
        </w:rPr>
        <w:t>á</w:t>
      </w:r>
      <w:r w:rsidRPr="00FB4EFA">
        <w:rPr>
          <w:lang w:val="hu-HU"/>
        </w:rPr>
        <w:t>k sz</w:t>
      </w:r>
      <w:r w:rsidRPr="00FB4EFA">
        <w:rPr>
          <w:rFonts w:cs="Baskerville Old Face"/>
          <w:lang w:val="hu-HU"/>
        </w:rPr>
        <w:t>á</w:t>
      </w:r>
      <w:r w:rsidRPr="00FB4EFA">
        <w:rPr>
          <w:lang w:val="hu-HU"/>
        </w:rPr>
        <w:t>mos eur</w:t>
      </w:r>
      <w:r w:rsidRPr="00FB4EFA">
        <w:rPr>
          <w:rFonts w:cs="Baskerville Old Face"/>
          <w:lang w:val="hu-HU"/>
        </w:rPr>
        <w:t>ó</w:t>
      </w:r>
      <w:r w:rsidRPr="00FB4EFA">
        <w:rPr>
          <w:lang w:val="hu-HU"/>
        </w:rPr>
        <w:t>pai m</w:t>
      </w:r>
      <w:r w:rsidRPr="00FB4EFA">
        <w:rPr>
          <w:rFonts w:cs="Baskerville Old Face"/>
          <w:lang w:val="hu-HU"/>
        </w:rPr>
        <w:t>ú</w:t>
      </w:r>
      <w:r w:rsidRPr="00FB4EFA">
        <w:rPr>
          <w:lang w:val="hu-HU"/>
        </w:rPr>
        <w:t>zeumban ma is megtal</w:t>
      </w:r>
      <w:r w:rsidRPr="00FB4EFA">
        <w:rPr>
          <w:rFonts w:cs="Baskerville Old Face"/>
          <w:lang w:val="hu-HU"/>
        </w:rPr>
        <w:t>á</w:t>
      </w:r>
      <w:r w:rsidRPr="00FB4EFA">
        <w:rPr>
          <w:lang w:val="hu-HU"/>
        </w:rPr>
        <w:t>lhat</w:t>
      </w:r>
      <w:r w:rsidRPr="00FB4EFA">
        <w:rPr>
          <w:rFonts w:cs="Baskerville Old Face"/>
          <w:lang w:val="hu-HU"/>
        </w:rPr>
        <w:t>ó</w:t>
      </w:r>
      <w:r w:rsidRPr="00FB4EFA">
        <w:rPr>
          <w:lang w:val="hu-HU"/>
        </w:rPr>
        <w:t>ak. Gustav Hagemann mellett sz</w:t>
      </w:r>
      <w:r w:rsidRPr="00FB4EFA">
        <w:rPr>
          <w:rFonts w:cs="Baskerville Old Face"/>
          <w:lang w:val="hu-HU"/>
        </w:rPr>
        <w:t>á</w:t>
      </w:r>
      <w:r w:rsidRPr="00FB4EFA">
        <w:rPr>
          <w:lang w:val="hu-HU"/>
        </w:rPr>
        <w:t>mos fest</w:t>
      </w:r>
      <w:r w:rsidRPr="00FB4EFA">
        <w:rPr>
          <w:rFonts w:cs="Cambria"/>
          <w:lang w:val="hu-HU"/>
        </w:rPr>
        <w:t>ő</w:t>
      </w:r>
      <w:r w:rsidRPr="00FB4EFA">
        <w:rPr>
          <w:lang w:val="hu-HU"/>
        </w:rPr>
        <w:t>t ihlettek meg a lappf</w:t>
      </w:r>
      <w:r w:rsidRPr="00FB4EFA">
        <w:rPr>
          <w:rFonts w:cs="Baskerville Old Face"/>
          <w:lang w:val="hu-HU"/>
        </w:rPr>
        <w:t>ö</w:t>
      </w:r>
      <w:r w:rsidRPr="00FB4EFA">
        <w:rPr>
          <w:lang w:val="hu-HU"/>
        </w:rPr>
        <w:t>ldi t</w:t>
      </w:r>
      <w:r w:rsidRPr="00FB4EFA">
        <w:rPr>
          <w:rFonts w:cs="Baskerville Old Face"/>
          <w:lang w:val="hu-HU"/>
        </w:rPr>
        <w:t>á</w:t>
      </w:r>
      <w:r w:rsidRPr="00FB4EFA">
        <w:rPr>
          <w:lang w:val="hu-HU"/>
        </w:rPr>
        <w:t>jak, mint pl. Franz Dubbickot, aki az alábbiakban elemzend</w:t>
      </w:r>
      <w:r w:rsidRPr="00FB4EFA">
        <w:rPr>
          <w:rFonts w:cs="Cambria"/>
          <w:lang w:val="hu-HU"/>
        </w:rPr>
        <w:t>ő</w:t>
      </w:r>
      <w:r w:rsidRPr="00FB4EFA">
        <w:rPr>
          <w:lang w:val="hu-HU"/>
        </w:rPr>
        <w:t xml:space="preserve"> szem</w:t>
      </w:r>
      <w:r w:rsidRPr="00FB4EFA">
        <w:rPr>
          <w:rFonts w:cs="Baskerville Old Face"/>
          <w:lang w:val="hu-HU"/>
        </w:rPr>
        <w:t>é</w:t>
      </w:r>
      <w:r w:rsidRPr="00FB4EFA">
        <w:rPr>
          <w:lang w:val="hu-HU"/>
        </w:rPr>
        <w:t>ly</w:t>
      </w:r>
      <w:r w:rsidRPr="00FB4EFA">
        <w:rPr>
          <w:rFonts w:cs="Baskerville Old Face"/>
          <w:lang w:val="hu-HU"/>
        </w:rPr>
        <w:t>ü</w:t>
      </w:r>
      <w:r w:rsidRPr="00FB4EFA">
        <w:rPr>
          <w:lang w:val="hu-HU"/>
        </w:rPr>
        <w:t>nkkel is kapcsolatban volt.</w:t>
      </w:r>
    </w:p>
    <w:p w14:paraId="4D064DB2" w14:textId="4CAF07AF" w:rsidR="00B3200B" w:rsidRPr="00FB4EFA" w:rsidRDefault="00B3200B" w:rsidP="00857D2A">
      <w:pPr>
        <w:spacing w:after="240"/>
        <w:ind w:firstLine="709"/>
        <w:rPr>
          <w:szCs w:val="24"/>
          <w:lang w:val="hu-HU"/>
        </w:rPr>
      </w:pPr>
      <w:r w:rsidRPr="00FB4EFA">
        <w:rPr>
          <w:lang w:val="hu-HU"/>
        </w:rPr>
        <w:t>A 20. századi német-számi inspiráció érdekes példái Peter August Böckstiegel (1889–1951) vesztfáliai expresszionista fest</w:t>
      </w:r>
      <w:r w:rsidRPr="00FB4EFA">
        <w:rPr>
          <w:rFonts w:cs="Cambria"/>
          <w:lang w:val="hu-HU"/>
        </w:rPr>
        <w:t>ő</w:t>
      </w:r>
      <w:r w:rsidRPr="00FB4EFA">
        <w:rPr>
          <w:lang w:val="hu-HU"/>
        </w:rPr>
        <w:t xml:space="preserve"> sz</w:t>
      </w:r>
      <w:r w:rsidRPr="00FB4EFA">
        <w:rPr>
          <w:rFonts w:cs="Baskerville Old Face"/>
          <w:lang w:val="hu-HU"/>
        </w:rPr>
        <w:t>á</w:t>
      </w:r>
      <w:r w:rsidRPr="00FB4EFA">
        <w:rPr>
          <w:lang w:val="hu-HU"/>
        </w:rPr>
        <w:t>mikr</w:t>
      </w:r>
      <w:r w:rsidRPr="00FB4EFA">
        <w:rPr>
          <w:rFonts w:cs="Baskerville Old Face"/>
          <w:lang w:val="hu-HU"/>
        </w:rPr>
        <w:t>ó</w:t>
      </w:r>
      <w:r w:rsidRPr="00FB4EFA">
        <w:rPr>
          <w:lang w:val="hu-HU"/>
        </w:rPr>
        <w:t>l k</w:t>
      </w:r>
      <w:r w:rsidRPr="00FB4EFA">
        <w:rPr>
          <w:rFonts w:cs="Baskerville Old Face"/>
          <w:lang w:val="hu-HU"/>
        </w:rPr>
        <w:t>é</w:t>
      </w:r>
      <w:r w:rsidRPr="00FB4EFA">
        <w:rPr>
          <w:lang w:val="hu-HU"/>
        </w:rPr>
        <w:t>sz</w:t>
      </w:r>
      <w:r w:rsidRPr="00FB4EFA">
        <w:rPr>
          <w:rFonts w:cs="Baskerville Old Face"/>
          <w:lang w:val="hu-HU"/>
        </w:rPr>
        <w:t>í</w:t>
      </w:r>
      <w:r w:rsidRPr="00FB4EFA">
        <w:rPr>
          <w:lang w:val="hu-HU"/>
        </w:rPr>
        <w:t>tett portr</w:t>
      </w:r>
      <w:r w:rsidRPr="00FB4EFA">
        <w:rPr>
          <w:rFonts w:cs="Baskerville Old Face"/>
          <w:lang w:val="hu-HU"/>
        </w:rPr>
        <w:t>é</w:t>
      </w:r>
      <w:r w:rsidRPr="00FB4EFA">
        <w:rPr>
          <w:lang w:val="hu-HU"/>
        </w:rPr>
        <w:t>i. B</w:t>
      </w:r>
      <w:r w:rsidRPr="00FB4EFA">
        <w:rPr>
          <w:rFonts w:cs="Baskerville Old Face"/>
          <w:lang w:val="hu-HU"/>
        </w:rPr>
        <w:t>ö</w:t>
      </w:r>
      <w:r w:rsidRPr="00FB4EFA">
        <w:rPr>
          <w:lang w:val="hu-HU"/>
        </w:rPr>
        <w:t xml:space="preserve">ckstiegel, aki egész életén át vesztfáliai otthonának és </w:t>
      </w:r>
      <w:r w:rsidRPr="00FB4EFA">
        <w:rPr>
          <w:lang w:val="hu-HU"/>
        </w:rPr>
        <w:lastRenderedPageBreak/>
        <w:t>környékének parasztembereit és környezetét, valamint német (m</w:t>
      </w:r>
      <w:r w:rsidRPr="00FB4EFA">
        <w:rPr>
          <w:rFonts w:cs="Cambria"/>
          <w:lang w:val="hu-HU"/>
        </w:rPr>
        <w:t>ű</w:t>
      </w:r>
      <w:r w:rsidRPr="00FB4EFA">
        <w:rPr>
          <w:lang w:val="hu-HU"/>
        </w:rPr>
        <w:t>v</w:t>
      </w:r>
      <w:r w:rsidRPr="00FB4EFA">
        <w:rPr>
          <w:rFonts w:cs="Baskerville Old Face"/>
          <w:lang w:val="hu-HU"/>
        </w:rPr>
        <w:t>é</w:t>
      </w:r>
      <w:r w:rsidRPr="00FB4EFA">
        <w:rPr>
          <w:lang w:val="hu-HU"/>
        </w:rPr>
        <w:t>sz)bar</w:t>
      </w:r>
      <w:r w:rsidRPr="00FB4EFA">
        <w:rPr>
          <w:rFonts w:cs="Baskerville Old Face"/>
          <w:lang w:val="hu-HU"/>
        </w:rPr>
        <w:t>á</w:t>
      </w:r>
      <w:r w:rsidRPr="00FB4EFA">
        <w:rPr>
          <w:lang w:val="hu-HU"/>
        </w:rPr>
        <w:t>tainak csal</w:t>
      </w:r>
      <w:r w:rsidRPr="00FB4EFA">
        <w:rPr>
          <w:rFonts w:cs="Baskerville Old Face"/>
          <w:lang w:val="hu-HU"/>
        </w:rPr>
        <w:t>á</w:t>
      </w:r>
      <w:r w:rsidRPr="00FB4EFA">
        <w:rPr>
          <w:lang w:val="hu-HU"/>
        </w:rPr>
        <w:t xml:space="preserve">dtagjait </w:t>
      </w:r>
      <w:r w:rsidRPr="00FB4EFA">
        <w:rPr>
          <w:rFonts w:cs="Baskerville Old Face"/>
          <w:lang w:val="hu-HU"/>
        </w:rPr>
        <w:t>á</w:t>
      </w:r>
      <w:r w:rsidRPr="00FB4EFA">
        <w:rPr>
          <w:lang w:val="hu-HU"/>
        </w:rPr>
        <w:t>br</w:t>
      </w:r>
      <w:r w:rsidRPr="00FB4EFA">
        <w:rPr>
          <w:rFonts w:cs="Baskerville Old Face"/>
          <w:lang w:val="hu-HU"/>
        </w:rPr>
        <w:t>á</w:t>
      </w:r>
      <w:r w:rsidRPr="00FB4EFA">
        <w:rPr>
          <w:lang w:val="hu-HU"/>
        </w:rPr>
        <w:t>zolta, l</w:t>
      </w:r>
      <w:r w:rsidRPr="00FB4EFA">
        <w:rPr>
          <w:rFonts w:cs="Baskerville Old Face"/>
          <w:lang w:val="hu-HU"/>
        </w:rPr>
        <w:t>é</w:t>
      </w:r>
      <w:r w:rsidRPr="00FB4EFA">
        <w:rPr>
          <w:lang w:val="hu-HU"/>
        </w:rPr>
        <w:t>nyeg</w:t>
      </w:r>
      <w:r w:rsidRPr="00FB4EFA">
        <w:rPr>
          <w:rFonts w:cs="Baskerville Old Face"/>
          <w:lang w:val="hu-HU"/>
        </w:rPr>
        <w:t>é</w:t>
      </w:r>
      <w:r w:rsidRPr="00FB4EFA">
        <w:rPr>
          <w:lang w:val="hu-HU"/>
        </w:rPr>
        <w:t>ben csup</w:t>
      </w:r>
      <w:r w:rsidRPr="00FB4EFA">
        <w:rPr>
          <w:rFonts w:cs="Baskerville Old Face"/>
          <w:lang w:val="hu-HU"/>
        </w:rPr>
        <w:t>á</w:t>
      </w:r>
      <w:r w:rsidRPr="00FB4EFA">
        <w:rPr>
          <w:lang w:val="hu-HU"/>
        </w:rPr>
        <w:t>n k</w:t>
      </w:r>
      <w:r w:rsidRPr="00FB4EFA">
        <w:rPr>
          <w:rFonts w:cs="Baskerville Old Face"/>
          <w:lang w:val="hu-HU"/>
        </w:rPr>
        <w:t>é</w:t>
      </w:r>
      <w:r w:rsidRPr="00FB4EFA">
        <w:rPr>
          <w:lang w:val="hu-HU"/>
        </w:rPr>
        <w:t>tszer tett kiv</w:t>
      </w:r>
      <w:r w:rsidRPr="00FB4EFA">
        <w:rPr>
          <w:rFonts w:cs="Baskerville Old Face"/>
          <w:lang w:val="hu-HU"/>
        </w:rPr>
        <w:t>é</w:t>
      </w:r>
      <w:r w:rsidRPr="00FB4EFA">
        <w:rPr>
          <w:lang w:val="hu-HU"/>
        </w:rPr>
        <w:t>telt. Egyik a feles</w:t>
      </w:r>
      <w:r w:rsidRPr="00FB4EFA">
        <w:rPr>
          <w:rFonts w:cs="Baskerville Old Face"/>
          <w:lang w:val="hu-HU"/>
        </w:rPr>
        <w:t>é</w:t>
      </w:r>
      <w:r w:rsidRPr="00FB4EFA">
        <w:rPr>
          <w:lang w:val="hu-HU"/>
        </w:rPr>
        <w:t>g</w:t>
      </w:r>
      <w:r w:rsidRPr="00FB4EFA">
        <w:rPr>
          <w:rFonts w:cs="Baskerville Old Face"/>
          <w:lang w:val="hu-HU"/>
        </w:rPr>
        <w:t>é</w:t>
      </w:r>
      <w:r w:rsidRPr="00FB4EFA">
        <w:rPr>
          <w:lang w:val="hu-HU"/>
        </w:rPr>
        <w:t>vel tett 1939-es norv</w:t>
      </w:r>
      <w:r w:rsidRPr="00FB4EFA">
        <w:rPr>
          <w:rFonts w:cs="Baskerville Old Face"/>
          <w:lang w:val="hu-HU"/>
        </w:rPr>
        <w:t>é</w:t>
      </w:r>
      <w:r w:rsidRPr="00FB4EFA">
        <w:rPr>
          <w:lang w:val="hu-HU"/>
        </w:rPr>
        <w:t>giai utazása által ihletett tájfestmények, melyek színvilágukban is kiválnak egyéb remekei közül, a másik néhány számi portré. Az alábbi pasztellen látható, Munchra és egyéb norvég kortársra is emlékeztet</w:t>
      </w:r>
      <w:r w:rsidRPr="00FB4EFA">
        <w:rPr>
          <w:rFonts w:cs="Cambria"/>
          <w:lang w:val="hu-HU"/>
        </w:rPr>
        <w:t>ő</w:t>
      </w:r>
      <w:r w:rsidRPr="00FB4EFA">
        <w:rPr>
          <w:lang w:val="hu-HU"/>
        </w:rPr>
        <w:t xml:space="preserve"> m</w:t>
      </w:r>
      <w:r w:rsidRPr="00FB4EFA">
        <w:rPr>
          <w:rFonts w:cs="Baskerville Old Face"/>
          <w:lang w:val="hu-HU"/>
        </w:rPr>
        <w:t>é</w:t>
      </w:r>
      <w:r w:rsidRPr="00FB4EFA">
        <w:rPr>
          <w:lang w:val="hu-HU"/>
        </w:rPr>
        <w:t>lyk</w:t>
      </w:r>
      <w:r w:rsidRPr="00FB4EFA">
        <w:rPr>
          <w:rFonts w:cs="Baskerville Old Face"/>
          <w:lang w:val="hu-HU"/>
        </w:rPr>
        <w:t>é</w:t>
      </w:r>
      <w:r w:rsidRPr="00FB4EFA">
        <w:rPr>
          <w:lang w:val="hu-HU"/>
        </w:rPr>
        <w:t xml:space="preserve">k </w:t>
      </w:r>
      <w:r w:rsidRPr="00FB4EFA">
        <w:rPr>
          <w:rFonts w:cs="Baskerville Old Face"/>
          <w:lang w:val="hu-HU"/>
        </w:rPr>
        <w:t>á</w:t>
      </w:r>
      <w:r w:rsidRPr="00FB4EFA">
        <w:rPr>
          <w:lang w:val="hu-HU"/>
        </w:rPr>
        <w:t>rnyalatok nem domin</w:t>
      </w:r>
      <w:r w:rsidRPr="00FB4EFA">
        <w:rPr>
          <w:rFonts w:cs="Baskerville Old Face"/>
          <w:lang w:val="hu-HU"/>
        </w:rPr>
        <w:t>á</w:t>
      </w:r>
      <w:r w:rsidRPr="00FB4EFA">
        <w:rPr>
          <w:lang w:val="hu-HU"/>
        </w:rPr>
        <w:t>ltak sem el</w:t>
      </w:r>
      <w:r w:rsidRPr="00FB4EFA">
        <w:rPr>
          <w:rFonts w:cs="Cambria"/>
          <w:lang w:val="hu-HU"/>
        </w:rPr>
        <w:t>ő</w:t>
      </w:r>
      <w:r w:rsidRPr="00FB4EFA">
        <w:rPr>
          <w:lang w:val="hu-HU"/>
        </w:rPr>
        <w:t>tte, sem ut</w:t>
      </w:r>
      <w:r w:rsidRPr="00FB4EFA">
        <w:rPr>
          <w:rFonts w:cs="Baskerville Old Face"/>
          <w:lang w:val="hu-HU"/>
        </w:rPr>
        <w:t>á</w:t>
      </w:r>
      <w:r w:rsidRPr="00FB4EFA">
        <w:rPr>
          <w:lang w:val="hu-HU"/>
        </w:rPr>
        <w:t>na ennyire a t</w:t>
      </w:r>
      <w:r w:rsidRPr="00FB4EFA">
        <w:rPr>
          <w:rFonts w:cs="Baskerville Old Face"/>
          <w:lang w:val="hu-HU"/>
        </w:rPr>
        <w:t>á</w:t>
      </w:r>
      <w:r w:rsidRPr="00FB4EFA">
        <w:rPr>
          <w:lang w:val="hu-HU"/>
        </w:rPr>
        <w:t>jk</w:t>
      </w:r>
      <w:r w:rsidRPr="00FB4EFA">
        <w:rPr>
          <w:rFonts w:cs="Baskerville Old Face"/>
          <w:lang w:val="hu-HU"/>
        </w:rPr>
        <w:t>é</w:t>
      </w:r>
      <w:r w:rsidRPr="00FB4EFA">
        <w:rPr>
          <w:lang w:val="hu-HU"/>
        </w:rPr>
        <w:t>pein, mint az akkor festetteken. Ennek a fjordnak a hatalmas vízesésére az 1970-es évek elején ráépült egy v</w:t>
      </w:r>
      <w:r w:rsidRPr="00FB4EFA">
        <w:rPr>
          <w:rFonts w:cs="Baskerville Old Face"/>
          <w:lang w:val="hu-HU"/>
        </w:rPr>
        <w:t>í</w:t>
      </w:r>
      <w:r w:rsidRPr="00FB4EFA">
        <w:rPr>
          <w:lang w:val="hu-HU"/>
        </w:rPr>
        <w:t>zier</w:t>
      </w:r>
      <w:r w:rsidRPr="00FB4EFA">
        <w:rPr>
          <w:rFonts w:cs="Cambria"/>
          <w:lang w:val="hu-HU"/>
        </w:rPr>
        <w:t>ő</w:t>
      </w:r>
      <w:r w:rsidRPr="00FB4EFA">
        <w:rPr>
          <w:lang w:val="hu-HU"/>
        </w:rPr>
        <w:t>m</w:t>
      </w:r>
      <w:r w:rsidRPr="00FB4EFA">
        <w:rPr>
          <w:rFonts w:cs="Cambria"/>
          <w:lang w:val="hu-HU"/>
        </w:rPr>
        <w:t>ű</w:t>
      </w:r>
      <w:r w:rsidRPr="00FB4EFA">
        <w:rPr>
          <w:lang w:val="hu-HU"/>
        </w:rPr>
        <w:t>.</w:t>
      </w:r>
    </w:p>
    <w:p w14:paraId="05DF8F9E" w14:textId="77777777" w:rsidR="00B3200B" w:rsidRPr="00FB4EFA" w:rsidRDefault="00B3200B" w:rsidP="00863238">
      <w:pPr>
        <w:jc w:val="center"/>
      </w:pPr>
      <w:r w:rsidRPr="00FB4EFA">
        <w:rPr>
          <w:noProof/>
        </w:rPr>
        <w:drawing>
          <wp:inline distT="0" distB="0" distL="0" distR="0" wp14:anchorId="4E58FD6F" wp14:editId="3720646F">
            <wp:extent cx="4254867" cy="3099780"/>
            <wp:effectExtent l="0" t="0" r="0" b="0"/>
            <wp:docPr id="1" name="Picture 4" descr="A picture containing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rcRect/>
                    <a:stretch>
                      <a:fillRect/>
                    </a:stretch>
                  </pic:blipFill>
                  <pic:spPr>
                    <a:xfrm>
                      <a:off x="0" y="0"/>
                      <a:ext cx="4274631" cy="3114179"/>
                    </a:xfrm>
                    <a:prstGeom prst="rect">
                      <a:avLst/>
                    </a:prstGeom>
                    <a:noFill/>
                    <a:ln>
                      <a:noFill/>
                      <a:prstDash/>
                    </a:ln>
                  </pic:spPr>
                </pic:pic>
              </a:graphicData>
            </a:graphic>
          </wp:inline>
        </w:drawing>
      </w:r>
    </w:p>
    <w:p w14:paraId="6C9564BB" w14:textId="259ECF7F" w:rsidR="00B3200B" w:rsidRPr="00FB4EFA" w:rsidRDefault="00B3200B" w:rsidP="00863238">
      <w:pPr>
        <w:spacing w:before="120" w:after="240" w:line="240" w:lineRule="auto"/>
        <w:jc w:val="center"/>
        <w:rPr>
          <w:sz w:val="18"/>
          <w:szCs w:val="18"/>
        </w:rPr>
      </w:pPr>
      <w:r w:rsidRPr="00FB4EFA">
        <w:rPr>
          <w:b/>
          <w:bCs/>
          <w:sz w:val="18"/>
          <w:szCs w:val="18"/>
          <w:lang w:val="hu-HU"/>
        </w:rPr>
        <w:t>1. ábra</w:t>
      </w:r>
      <w:r w:rsidRPr="00FB4EFA">
        <w:rPr>
          <w:sz w:val="18"/>
          <w:szCs w:val="18"/>
          <w:lang w:val="hu-HU"/>
        </w:rPr>
        <w:t xml:space="preserve"> </w:t>
      </w:r>
      <w:r w:rsidRPr="00FB4EFA">
        <w:rPr>
          <w:i/>
          <w:iCs/>
          <w:sz w:val="18"/>
          <w:szCs w:val="18"/>
          <w:lang w:val="hu-HU"/>
        </w:rPr>
        <w:t>P. A. Böchstiegel: Wasserfall am Mauranger Fjord</w:t>
      </w:r>
      <w:r w:rsidR="00863238" w:rsidRPr="00FB4EFA">
        <w:rPr>
          <w:sz w:val="18"/>
          <w:szCs w:val="18"/>
          <w:lang w:val="hu-HU"/>
        </w:rPr>
        <w:br/>
      </w:r>
      <w:r w:rsidRPr="00FB4EFA">
        <w:rPr>
          <w:sz w:val="18"/>
          <w:szCs w:val="18"/>
          <w:lang w:val="hu-HU"/>
        </w:rPr>
        <w:t>(Vízesés a Maruanger-fjordnál, 1939)</w:t>
      </w:r>
    </w:p>
    <w:p w14:paraId="3A464CF3" w14:textId="77777777" w:rsidR="00B3200B" w:rsidRPr="00FB4EFA" w:rsidRDefault="00B3200B" w:rsidP="00863238">
      <w:pPr>
        <w:spacing w:after="240"/>
      </w:pPr>
      <w:r w:rsidRPr="00FB4EFA">
        <w:rPr>
          <w:szCs w:val="24"/>
          <w:lang w:val="hu-HU"/>
        </w:rPr>
        <w:t>Nem véleltenül írta a festő egyik műv</w:t>
      </w:r>
      <w:r w:rsidRPr="00FB4EFA">
        <w:rPr>
          <w:rFonts w:cs="Baskerville Old Face"/>
          <w:szCs w:val="24"/>
          <w:lang w:val="hu-HU"/>
        </w:rPr>
        <w:t>é</w:t>
      </w:r>
      <w:r w:rsidRPr="00FB4EFA">
        <w:rPr>
          <w:szCs w:val="24"/>
          <w:lang w:val="hu-HU"/>
        </w:rPr>
        <w:t>szkereskedő bar</w:t>
      </w:r>
      <w:r w:rsidRPr="00FB4EFA">
        <w:rPr>
          <w:rFonts w:cs="Baskerville Old Face"/>
          <w:szCs w:val="24"/>
          <w:lang w:val="hu-HU"/>
        </w:rPr>
        <w:t>á</w:t>
      </w:r>
      <w:r w:rsidRPr="00FB4EFA">
        <w:rPr>
          <w:szCs w:val="24"/>
          <w:lang w:val="hu-HU"/>
        </w:rPr>
        <w:t>tj</w:t>
      </w:r>
      <w:r w:rsidRPr="00FB4EFA">
        <w:rPr>
          <w:rFonts w:cs="Baskerville Old Face"/>
          <w:szCs w:val="24"/>
          <w:lang w:val="hu-HU"/>
        </w:rPr>
        <w:t>á</w:t>
      </w:r>
      <w:r w:rsidRPr="00FB4EFA">
        <w:rPr>
          <w:szCs w:val="24"/>
          <w:lang w:val="hu-HU"/>
        </w:rPr>
        <w:t>hoz c</w:t>
      </w:r>
      <w:r w:rsidRPr="00FB4EFA">
        <w:rPr>
          <w:rFonts w:cs="Baskerville Old Face"/>
          <w:szCs w:val="24"/>
          <w:lang w:val="hu-HU"/>
        </w:rPr>
        <w:t>í</w:t>
      </w:r>
      <w:r w:rsidRPr="00FB4EFA">
        <w:rPr>
          <w:szCs w:val="24"/>
          <w:lang w:val="hu-HU"/>
        </w:rPr>
        <w:t>mzett level</w:t>
      </w:r>
      <w:r w:rsidRPr="00FB4EFA">
        <w:rPr>
          <w:rFonts w:cs="Baskerville Old Face"/>
          <w:szCs w:val="24"/>
          <w:lang w:val="hu-HU"/>
        </w:rPr>
        <w:t>é</w:t>
      </w:r>
      <w:r w:rsidRPr="00FB4EFA">
        <w:rPr>
          <w:szCs w:val="24"/>
          <w:lang w:val="hu-HU"/>
        </w:rPr>
        <w:t>ben az alábbiakat:</w:t>
      </w:r>
    </w:p>
    <w:p w14:paraId="3602D939" w14:textId="77777777" w:rsidR="00B3200B" w:rsidRPr="00FB4EFA" w:rsidRDefault="00B3200B" w:rsidP="002115C8">
      <w:pPr>
        <w:suppressAutoHyphens/>
        <w:spacing w:after="240" w:line="240" w:lineRule="auto"/>
        <w:ind w:left="720"/>
        <w:rPr>
          <w:sz w:val="20"/>
          <w:szCs w:val="20"/>
        </w:rPr>
      </w:pPr>
      <w:r w:rsidRPr="00FB4EFA">
        <w:rPr>
          <w:sz w:val="20"/>
          <w:lang w:val="hu-HU"/>
        </w:rPr>
        <w:lastRenderedPageBreak/>
        <w:t>Natürlich, an den Eindrücken der Fjorde Norwegens (gemessen) will einem nichts mehr gefallen. Und doch muß ich die Deutsche Landschaft so stark und mächtig malen wie es mir nur möglich ist.</w:t>
      </w:r>
      <w:r w:rsidRPr="00FB4EFA">
        <w:rPr>
          <w:sz w:val="20"/>
          <w:vertAlign w:val="superscript"/>
          <w:lang w:val="hu-HU"/>
        </w:rPr>
        <w:footnoteReference w:id="161"/>
      </w:r>
    </w:p>
    <w:p w14:paraId="26543C78" w14:textId="77777777" w:rsidR="00B3200B" w:rsidRPr="00FB4EFA" w:rsidRDefault="00B3200B" w:rsidP="00863238">
      <w:pPr>
        <w:spacing w:after="240"/>
      </w:pPr>
      <w:r w:rsidRPr="00FB4EFA">
        <w:rPr>
          <w:lang w:val="hu-HU"/>
        </w:rPr>
        <w:t>Hasonlóképp erős lelki benyom</w:t>
      </w:r>
      <w:r w:rsidRPr="00FB4EFA">
        <w:rPr>
          <w:rFonts w:cs="Baskerville Old Face"/>
          <w:lang w:val="hu-HU"/>
        </w:rPr>
        <w:t>á</w:t>
      </w:r>
      <w:r w:rsidRPr="00FB4EFA">
        <w:rPr>
          <w:lang w:val="hu-HU"/>
        </w:rPr>
        <w:t>sair</w:t>
      </w:r>
      <w:r w:rsidRPr="00FB4EFA">
        <w:rPr>
          <w:rFonts w:cs="Baskerville Old Face"/>
          <w:lang w:val="hu-HU"/>
        </w:rPr>
        <w:t>ó</w:t>
      </w:r>
      <w:r w:rsidRPr="00FB4EFA">
        <w:rPr>
          <w:lang w:val="hu-HU"/>
        </w:rPr>
        <w:t>l Peter August B</w:t>
      </w:r>
      <w:r w:rsidRPr="00FB4EFA">
        <w:rPr>
          <w:rFonts w:cs="Baskerville Old Face"/>
          <w:lang w:val="hu-HU"/>
        </w:rPr>
        <w:t>ö</w:t>
      </w:r>
      <w:r w:rsidRPr="00FB4EFA">
        <w:rPr>
          <w:lang w:val="hu-HU"/>
        </w:rPr>
        <w:t>ckstiegel a sz</w:t>
      </w:r>
      <w:r w:rsidRPr="00FB4EFA">
        <w:rPr>
          <w:rFonts w:cs="Baskerville Old Face"/>
          <w:lang w:val="hu-HU"/>
        </w:rPr>
        <w:t>ülő</w:t>
      </w:r>
      <w:r w:rsidRPr="00FB4EFA">
        <w:rPr>
          <w:lang w:val="hu-HU"/>
        </w:rPr>
        <w:t>falujabeli wertheri bar</w:t>
      </w:r>
      <w:r w:rsidRPr="00FB4EFA">
        <w:rPr>
          <w:rFonts w:cs="Baskerville Old Face"/>
          <w:lang w:val="hu-HU"/>
        </w:rPr>
        <w:t>á</w:t>
      </w:r>
      <w:r w:rsidRPr="00FB4EFA">
        <w:rPr>
          <w:lang w:val="hu-HU"/>
        </w:rPr>
        <w:t>tj</w:t>
      </w:r>
      <w:r w:rsidRPr="00FB4EFA">
        <w:rPr>
          <w:rFonts w:cs="Baskerville Old Face"/>
          <w:lang w:val="hu-HU"/>
        </w:rPr>
        <w:t>á</w:t>
      </w:r>
      <w:r w:rsidRPr="00FB4EFA">
        <w:rPr>
          <w:lang w:val="hu-HU"/>
        </w:rPr>
        <w:t xml:space="preserve">nak, Max Tietznek </w:t>
      </w:r>
      <w:r w:rsidRPr="00FB4EFA">
        <w:rPr>
          <w:rFonts w:cs="Baskerville Old Face"/>
          <w:lang w:val="hu-HU"/>
        </w:rPr>
        <w:t>í</w:t>
      </w:r>
      <w:r w:rsidRPr="00FB4EFA">
        <w:rPr>
          <w:lang w:val="hu-HU"/>
        </w:rPr>
        <w:t>rta Drezd</w:t>
      </w:r>
      <w:r w:rsidRPr="00FB4EFA">
        <w:rPr>
          <w:rFonts w:cs="Baskerville Old Face"/>
          <w:lang w:val="hu-HU"/>
        </w:rPr>
        <w:t>á</w:t>
      </w:r>
      <w:r w:rsidRPr="00FB4EFA">
        <w:rPr>
          <w:lang w:val="hu-HU"/>
        </w:rPr>
        <w:t>b</w:t>
      </w:r>
      <w:r w:rsidRPr="00FB4EFA">
        <w:rPr>
          <w:rFonts w:cs="Baskerville Old Face"/>
          <w:lang w:val="hu-HU"/>
        </w:rPr>
        <w:t>ó</w:t>
      </w:r>
      <w:r w:rsidRPr="00FB4EFA">
        <w:rPr>
          <w:lang w:val="hu-HU"/>
        </w:rPr>
        <w:t>l, egy val</w:t>
      </w:r>
      <w:r w:rsidRPr="00FB4EFA">
        <w:rPr>
          <w:rFonts w:cs="Baskerville Old Face"/>
          <w:lang w:val="hu-HU"/>
        </w:rPr>
        <w:t>ó</w:t>
      </w:r>
      <w:r w:rsidRPr="00FB4EFA">
        <w:rPr>
          <w:lang w:val="hu-HU"/>
        </w:rPr>
        <w:t>sz</w:t>
      </w:r>
      <w:r w:rsidRPr="00FB4EFA">
        <w:rPr>
          <w:rFonts w:cs="Baskerville Old Face"/>
          <w:lang w:val="hu-HU"/>
        </w:rPr>
        <w:t>í</w:t>
      </w:r>
      <w:r w:rsidRPr="00FB4EFA">
        <w:rPr>
          <w:lang w:val="hu-HU"/>
        </w:rPr>
        <w:t>n</w:t>
      </w:r>
      <w:r w:rsidRPr="00FB4EFA">
        <w:rPr>
          <w:rFonts w:cs="Cambria"/>
          <w:lang w:val="hu-HU"/>
        </w:rPr>
        <w:t>ű</w:t>
      </w:r>
      <w:r w:rsidRPr="00FB4EFA">
        <w:rPr>
          <w:lang w:val="hu-HU"/>
        </w:rPr>
        <w:t>leg 1925. m</w:t>
      </w:r>
      <w:r w:rsidRPr="00FB4EFA">
        <w:rPr>
          <w:rFonts w:cs="Baskerville Old Face"/>
          <w:lang w:val="hu-HU"/>
        </w:rPr>
        <w:t>á</w:t>
      </w:r>
      <w:r w:rsidRPr="00FB4EFA">
        <w:rPr>
          <w:lang w:val="hu-HU"/>
        </w:rPr>
        <w:t>jus elej</w:t>
      </w:r>
      <w:r w:rsidRPr="00FB4EFA">
        <w:rPr>
          <w:rFonts w:cs="Baskerville Old Face"/>
          <w:lang w:val="hu-HU"/>
        </w:rPr>
        <w:t>é</w:t>
      </w:r>
      <w:r w:rsidRPr="00FB4EFA">
        <w:rPr>
          <w:lang w:val="hu-HU"/>
        </w:rPr>
        <w:t>re datálható levelében (a festő sajátos német helyesírását visszaadva):</w:t>
      </w:r>
    </w:p>
    <w:p w14:paraId="08A09C7E" w14:textId="4ABDB87D" w:rsidR="00B3200B" w:rsidRPr="00FB4EFA" w:rsidRDefault="00B3200B" w:rsidP="00863238">
      <w:pPr>
        <w:suppressAutoHyphens/>
        <w:spacing w:line="240" w:lineRule="auto"/>
        <w:ind w:left="567"/>
        <w:rPr>
          <w:sz w:val="20"/>
        </w:rPr>
      </w:pPr>
      <w:r w:rsidRPr="00FB4EFA">
        <w:rPr>
          <w:sz w:val="20"/>
        </w:rPr>
        <w:t>Vor 14 Tagen waren Nomaden Lappen im Zoo. Ich kam in lauter Aufregung nach Hause und habe Tage drauf ein Gemälde gestaltet, Aquarelliert, gezeichnet und Radiert. Es war mir, als ob ich in die Urwelt gesehen, so wunderbar sind diese Menschen, lauter Urnatur in jeder Handlung. Dazu die Wunderbare Renntiere, aber wie gehen die Wesen zu Grunde, im Frühjahr zu 1000 sterben durch eine Fliege Eierlegend in die Nase wird (werden Parasiten) ins Blut gegührt und kommen als Larve an die Innenpflächen der Haut fressen sich durch die Haut 10</w:t>
      </w:r>
      <w:r w:rsidR="00C65823" w:rsidRPr="00FB4EFA">
        <w:rPr>
          <w:sz w:val="20"/>
        </w:rPr>
        <w:t>0–2</w:t>
      </w:r>
      <w:r w:rsidRPr="00FB4EFA">
        <w:rPr>
          <w:sz w:val="20"/>
        </w:rPr>
        <w:t>00 Stück fingerdick Vogelei groß fallen zur Erde gehen zur Erde und in 14 Tagen kommen die neuen Fliegen. Es war schrecklich dieses Sterben zu sehen.</w:t>
      </w:r>
    </w:p>
    <w:p w14:paraId="14A03989" w14:textId="77777777" w:rsidR="00B3200B" w:rsidRPr="00FB4EFA" w:rsidRDefault="00B3200B" w:rsidP="00863238">
      <w:pPr>
        <w:suppressAutoHyphens/>
        <w:spacing w:before="120" w:after="240" w:line="240" w:lineRule="auto"/>
        <w:ind w:left="567"/>
        <w:rPr>
          <w:sz w:val="20"/>
          <w:szCs w:val="20"/>
        </w:rPr>
      </w:pPr>
      <w:r w:rsidRPr="00FB4EFA">
        <w:rPr>
          <w:sz w:val="20"/>
        </w:rPr>
        <w:t>Die Menschen leben in Zelten schlafen kochen lieben es ist so einfach im Gegensatz zu uns wo wir doch alle Neuigkeit brauchen. Aber wir können nicht mehr zurück, gehen der Straße des Verderbens mit Riesenschritten entgegen. Von diesen Menschen ist jeder sein Handwerker, alle Gebrauchsgegenstände wird selbst gemacht. Du hättest diese Menschen sehen müssen. Andere Dinge werde ich Dir noch aus dem Zoo sagen in Arrode.</w:t>
      </w:r>
      <w:r w:rsidRPr="00FB4EFA">
        <w:rPr>
          <w:rStyle w:val="Heading1Char"/>
          <w:rFonts w:ascii="Cambria" w:hAnsi="Cambria"/>
          <w:color w:val="auto"/>
          <w:sz w:val="20"/>
          <w:szCs w:val="20"/>
          <w:vertAlign w:val="superscript"/>
        </w:rPr>
        <w:footnoteReference w:id="162"/>
      </w:r>
    </w:p>
    <w:p w14:paraId="683F6D62" w14:textId="77777777" w:rsidR="00B3200B" w:rsidRPr="00FB4EFA" w:rsidRDefault="00B3200B" w:rsidP="00863238">
      <w:pPr>
        <w:rPr>
          <w:lang w:val="hu-HU"/>
        </w:rPr>
      </w:pPr>
      <w:r w:rsidRPr="00FB4EFA">
        <w:rPr>
          <w:lang w:val="hu-HU"/>
        </w:rPr>
        <w:lastRenderedPageBreak/>
        <w:t>A levélb</w:t>
      </w:r>
      <w:r w:rsidRPr="00FB4EFA">
        <w:rPr>
          <w:rFonts w:cs="Cambria"/>
          <w:lang w:val="hu-HU"/>
        </w:rPr>
        <w:t>ő</w:t>
      </w:r>
      <w:r w:rsidRPr="00FB4EFA">
        <w:rPr>
          <w:lang w:val="hu-HU"/>
        </w:rPr>
        <w:t>l kit</w:t>
      </w:r>
      <w:r w:rsidRPr="00FB4EFA">
        <w:rPr>
          <w:rFonts w:cs="Cambria"/>
          <w:lang w:val="hu-HU"/>
        </w:rPr>
        <w:t>ű</w:t>
      </w:r>
      <w:r w:rsidRPr="00FB4EFA">
        <w:rPr>
          <w:lang w:val="hu-HU"/>
        </w:rPr>
        <w:t>nik, hogy a fest</w:t>
      </w:r>
      <w:r w:rsidRPr="00FB4EFA">
        <w:rPr>
          <w:rFonts w:cs="Cambria"/>
          <w:lang w:val="hu-HU"/>
        </w:rPr>
        <w:t>ő</w:t>
      </w:r>
      <w:r w:rsidRPr="00FB4EFA">
        <w:rPr>
          <w:lang w:val="hu-HU"/>
        </w:rPr>
        <w:t>t megihlette a sz</w:t>
      </w:r>
      <w:r w:rsidRPr="00FB4EFA">
        <w:rPr>
          <w:rFonts w:cs="Baskerville Old Face"/>
          <w:lang w:val="hu-HU"/>
        </w:rPr>
        <w:t>á</w:t>
      </w:r>
      <w:r w:rsidRPr="00FB4EFA">
        <w:rPr>
          <w:lang w:val="hu-HU"/>
        </w:rPr>
        <w:t xml:space="preserve">mik </w:t>
      </w:r>
      <w:r w:rsidRPr="00FB4EFA">
        <w:rPr>
          <w:rFonts w:cs="Baskerville Old Face"/>
          <w:lang w:val="hu-HU"/>
        </w:rPr>
        <w:t>á</w:t>
      </w:r>
      <w:r w:rsidRPr="00FB4EFA">
        <w:rPr>
          <w:lang w:val="hu-HU"/>
        </w:rPr>
        <w:t xml:space="preserve">ltal bemutatott </w:t>
      </w:r>
      <w:r w:rsidRPr="00FB4EFA">
        <w:rPr>
          <w:rFonts w:cs="Baskerville Old Face"/>
          <w:lang w:val="hu-HU"/>
        </w:rPr>
        <w:t>é</w:t>
      </w:r>
      <w:r w:rsidRPr="00FB4EFA">
        <w:rPr>
          <w:lang w:val="hu-HU"/>
        </w:rPr>
        <w:t>letm</w:t>
      </w:r>
      <w:r w:rsidRPr="00FB4EFA">
        <w:rPr>
          <w:rFonts w:cs="Baskerville Old Face"/>
          <w:lang w:val="hu-HU"/>
        </w:rPr>
        <w:t>ó</w:t>
      </w:r>
      <w:r w:rsidRPr="00FB4EFA">
        <w:rPr>
          <w:lang w:val="hu-HU"/>
        </w:rPr>
        <w:t>d, valamint a vel</w:t>
      </w:r>
      <w:r w:rsidRPr="00FB4EFA">
        <w:rPr>
          <w:rFonts w:cs="Baskerville Old Face"/>
          <w:lang w:val="hu-HU"/>
        </w:rPr>
        <w:t>ü</w:t>
      </w:r>
      <w:r w:rsidRPr="00FB4EFA">
        <w:rPr>
          <w:lang w:val="hu-HU"/>
        </w:rPr>
        <w:t>k lev</w:t>
      </w:r>
      <w:r w:rsidRPr="00FB4EFA">
        <w:rPr>
          <w:rFonts w:cs="Cambria"/>
          <w:lang w:val="hu-HU"/>
        </w:rPr>
        <w:t>ő</w:t>
      </w:r>
      <w:r w:rsidRPr="00FB4EFA">
        <w:rPr>
          <w:lang w:val="hu-HU"/>
        </w:rPr>
        <w:t xml:space="preserve"> r</w:t>
      </w:r>
      <w:r w:rsidRPr="00FB4EFA">
        <w:rPr>
          <w:rFonts w:cs="Baskerville Old Face"/>
          <w:lang w:val="hu-HU"/>
        </w:rPr>
        <w:t>é</w:t>
      </w:r>
      <w:r w:rsidRPr="00FB4EFA">
        <w:rPr>
          <w:lang w:val="hu-HU"/>
        </w:rPr>
        <w:t xml:space="preserve">nszarvasok. Az </w:t>
      </w:r>
      <w:r w:rsidRPr="00FB4EFA">
        <w:rPr>
          <w:rFonts w:cs="Baskerville Old Face"/>
          <w:lang w:val="hu-HU"/>
        </w:rPr>
        <w:t>é</w:t>
      </w:r>
      <w:r w:rsidRPr="00FB4EFA">
        <w:rPr>
          <w:lang w:val="hu-HU"/>
        </w:rPr>
        <w:t>lm</w:t>
      </w:r>
      <w:r w:rsidRPr="00FB4EFA">
        <w:rPr>
          <w:rFonts w:cs="Baskerville Old Face"/>
          <w:lang w:val="hu-HU"/>
        </w:rPr>
        <w:t>é</w:t>
      </w:r>
      <w:r w:rsidRPr="00FB4EFA">
        <w:rPr>
          <w:lang w:val="hu-HU"/>
        </w:rPr>
        <w:t>nyt fest</w:t>
      </w:r>
      <w:r w:rsidRPr="00FB4EFA">
        <w:rPr>
          <w:rFonts w:cs="Cambria"/>
          <w:lang w:val="hu-HU"/>
        </w:rPr>
        <w:t>ő</w:t>
      </w:r>
      <w:r w:rsidRPr="00FB4EFA">
        <w:rPr>
          <w:lang w:val="hu-HU"/>
        </w:rPr>
        <w:t>k</w:t>
      </w:r>
      <w:r w:rsidRPr="00FB4EFA">
        <w:rPr>
          <w:rFonts w:cs="Baskerville Old Face"/>
          <w:lang w:val="hu-HU"/>
        </w:rPr>
        <w:t>é</w:t>
      </w:r>
      <w:r w:rsidRPr="00FB4EFA">
        <w:rPr>
          <w:lang w:val="hu-HU"/>
        </w:rPr>
        <w:t>nt meg</w:t>
      </w:r>
      <w:r w:rsidRPr="00FB4EFA">
        <w:rPr>
          <w:rFonts w:cs="Baskerville Old Face"/>
          <w:lang w:val="hu-HU"/>
        </w:rPr>
        <w:t>ö</w:t>
      </w:r>
      <w:r w:rsidRPr="00FB4EFA">
        <w:rPr>
          <w:lang w:val="hu-HU"/>
        </w:rPr>
        <w:t>rökítette. A levélben megemlített m</w:t>
      </w:r>
      <w:r w:rsidRPr="00FB4EFA">
        <w:rPr>
          <w:rFonts w:cs="Cambria"/>
          <w:lang w:val="hu-HU"/>
        </w:rPr>
        <w:t>ű</w:t>
      </w:r>
      <w:r w:rsidRPr="00FB4EFA">
        <w:rPr>
          <w:lang w:val="hu-HU"/>
        </w:rPr>
        <w:t>vek k</w:t>
      </w:r>
      <w:r w:rsidRPr="00FB4EFA">
        <w:rPr>
          <w:rFonts w:cs="Baskerville Old Face"/>
          <w:lang w:val="hu-HU"/>
        </w:rPr>
        <w:t>ö</w:t>
      </w:r>
      <w:r w:rsidRPr="00FB4EFA">
        <w:rPr>
          <w:lang w:val="hu-HU"/>
        </w:rPr>
        <w:t>z</w:t>
      </w:r>
      <w:r w:rsidRPr="00FB4EFA">
        <w:rPr>
          <w:rFonts w:cs="Baskerville Old Face"/>
          <w:lang w:val="hu-HU"/>
        </w:rPr>
        <w:t>ü</w:t>
      </w:r>
      <w:r w:rsidRPr="00FB4EFA">
        <w:rPr>
          <w:lang w:val="hu-HU"/>
        </w:rPr>
        <w:t>l n</w:t>
      </w:r>
      <w:r w:rsidRPr="00FB4EFA">
        <w:rPr>
          <w:rFonts w:cs="Baskerville Old Face"/>
          <w:lang w:val="hu-HU"/>
        </w:rPr>
        <w:t>é</w:t>
      </w:r>
      <w:r w:rsidRPr="00FB4EFA">
        <w:rPr>
          <w:lang w:val="hu-HU"/>
        </w:rPr>
        <w:t xml:space="preserve">gy akvarell- </w:t>
      </w:r>
      <w:r w:rsidRPr="00FB4EFA">
        <w:rPr>
          <w:rFonts w:cs="Baskerville Old Face"/>
          <w:lang w:val="hu-HU"/>
        </w:rPr>
        <w:t>é</w:t>
      </w:r>
      <w:r w:rsidRPr="00FB4EFA">
        <w:rPr>
          <w:lang w:val="hu-HU"/>
        </w:rPr>
        <w:t>s h</w:t>
      </w:r>
      <w:r w:rsidRPr="00FB4EFA">
        <w:rPr>
          <w:rFonts w:cs="Baskerville Old Face"/>
          <w:lang w:val="hu-HU"/>
        </w:rPr>
        <w:t>á</w:t>
      </w:r>
      <w:r w:rsidRPr="00FB4EFA">
        <w:rPr>
          <w:lang w:val="hu-HU"/>
        </w:rPr>
        <w:t>rom rézkarcportr</w:t>
      </w:r>
      <w:r w:rsidRPr="00FB4EFA">
        <w:rPr>
          <w:rFonts w:cs="Baskerville Old Face"/>
          <w:lang w:val="hu-HU"/>
        </w:rPr>
        <w:t>é</w:t>
      </w:r>
      <w:r w:rsidRPr="00FB4EFA">
        <w:rPr>
          <w:lang w:val="hu-HU"/>
        </w:rPr>
        <w:t xml:space="preserve"> maradt fenn, melyeket az 1920-as évek után el</w:t>
      </w:r>
      <w:r w:rsidRPr="00FB4EFA">
        <w:rPr>
          <w:rFonts w:cs="Cambria"/>
          <w:lang w:val="hu-HU"/>
        </w:rPr>
        <w:t>ő</w:t>
      </w:r>
      <w:r w:rsidRPr="00FB4EFA">
        <w:rPr>
          <w:lang w:val="hu-HU"/>
        </w:rPr>
        <w:t>sz</w:t>
      </w:r>
      <w:r w:rsidRPr="00FB4EFA">
        <w:rPr>
          <w:rFonts w:cs="Baskerville Old Face"/>
          <w:lang w:val="hu-HU"/>
        </w:rPr>
        <w:t>ö</w:t>
      </w:r>
      <w:r w:rsidRPr="00FB4EFA">
        <w:rPr>
          <w:lang w:val="hu-HU"/>
        </w:rPr>
        <w:t>r a vesztf</w:t>
      </w:r>
      <w:r w:rsidRPr="00FB4EFA">
        <w:rPr>
          <w:rFonts w:cs="Baskerville Old Face"/>
          <w:lang w:val="hu-HU"/>
        </w:rPr>
        <w:t>á</w:t>
      </w:r>
      <w:r w:rsidRPr="00FB4EFA">
        <w:rPr>
          <w:lang w:val="hu-HU"/>
        </w:rPr>
        <w:t>liai Wertherben nemrég megnyílt Peter August B</w:t>
      </w:r>
      <w:r w:rsidRPr="00FB4EFA">
        <w:rPr>
          <w:rFonts w:cs="Baskerville Old Face"/>
          <w:lang w:val="hu-HU"/>
        </w:rPr>
        <w:t>ö</w:t>
      </w:r>
      <w:r w:rsidRPr="00FB4EFA">
        <w:rPr>
          <w:lang w:val="hu-HU"/>
        </w:rPr>
        <w:t>ckstiegel M</w:t>
      </w:r>
      <w:r w:rsidRPr="00FB4EFA">
        <w:rPr>
          <w:rFonts w:cs="Baskerville Old Face"/>
          <w:lang w:val="hu-HU"/>
        </w:rPr>
        <w:t>ú</w:t>
      </w:r>
      <w:r w:rsidRPr="00FB4EFA">
        <w:rPr>
          <w:lang w:val="hu-HU"/>
        </w:rPr>
        <w:t>zeumban mutatt</w:t>
      </w:r>
      <w:r w:rsidRPr="00FB4EFA">
        <w:rPr>
          <w:rFonts w:cs="Baskerville Old Face"/>
          <w:lang w:val="hu-HU"/>
        </w:rPr>
        <w:t>a</w:t>
      </w:r>
      <w:r w:rsidRPr="00FB4EFA">
        <w:rPr>
          <w:lang w:val="hu-HU"/>
        </w:rPr>
        <w:t>k be a fest</w:t>
      </w:r>
      <w:r w:rsidRPr="00FB4EFA">
        <w:rPr>
          <w:rFonts w:cs="Cambria"/>
          <w:lang w:val="hu-HU"/>
        </w:rPr>
        <w:t>ő</w:t>
      </w:r>
      <w:r w:rsidRPr="00FB4EFA">
        <w:rPr>
          <w:lang w:val="hu-HU"/>
        </w:rPr>
        <w:t xml:space="preserve"> „Jugend und Alter </w:t>
      </w:r>
      <w:r w:rsidRPr="00FB4EFA">
        <w:rPr>
          <w:bCs/>
          <w:lang w:val="hu-HU"/>
        </w:rPr>
        <w:t>– Der Mensch im Werk von Peter August Böckstiegel</w:t>
      </w:r>
      <w:r w:rsidRPr="00FB4EFA">
        <w:rPr>
          <w:lang w:val="hu-HU"/>
        </w:rPr>
        <w:t xml:space="preserve">” (Fiatalság és életkor </w:t>
      </w:r>
      <w:r w:rsidRPr="00FB4EFA">
        <w:rPr>
          <w:bCs/>
          <w:lang w:val="hu-HU"/>
        </w:rPr>
        <w:t>– Az ember Peter August Böckstiegel műveiben</w:t>
      </w:r>
      <w:r w:rsidRPr="00FB4EFA">
        <w:rPr>
          <w:lang w:val="hu-HU"/>
        </w:rPr>
        <w:t>) című ki</w:t>
      </w:r>
      <w:r w:rsidRPr="00FB4EFA">
        <w:rPr>
          <w:rFonts w:cs="Baskerville Old Face"/>
          <w:lang w:val="hu-HU"/>
        </w:rPr>
        <w:t>á</w:t>
      </w:r>
      <w:r w:rsidRPr="00FB4EFA">
        <w:rPr>
          <w:lang w:val="hu-HU"/>
        </w:rPr>
        <w:t>ll</w:t>
      </w:r>
      <w:r w:rsidRPr="00FB4EFA">
        <w:rPr>
          <w:rFonts w:cs="Baskerville Old Face"/>
          <w:lang w:val="hu-HU"/>
        </w:rPr>
        <w:t>í</w:t>
      </w:r>
      <w:r w:rsidRPr="00FB4EFA">
        <w:rPr>
          <w:lang w:val="hu-HU"/>
        </w:rPr>
        <w:t>t</w:t>
      </w:r>
      <w:r w:rsidRPr="00FB4EFA">
        <w:rPr>
          <w:rFonts w:cs="Baskerville Old Face"/>
          <w:lang w:val="hu-HU"/>
        </w:rPr>
        <w:t>á</w:t>
      </w:r>
      <w:r w:rsidRPr="00FB4EFA">
        <w:rPr>
          <w:lang w:val="hu-HU"/>
        </w:rPr>
        <w:t>s</w:t>
      </w:r>
      <w:r w:rsidRPr="00FB4EFA">
        <w:rPr>
          <w:rFonts w:cs="Baskerville Old Face"/>
          <w:lang w:val="hu-HU"/>
        </w:rPr>
        <w:t>o</w:t>
      </w:r>
      <w:r w:rsidRPr="00FB4EFA">
        <w:rPr>
          <w:lang w:val="hu-HU"/>
        </w:rPr>
        <w:t xml:space="preserve">n 2019. május 5. </w:t>
      </w:r>
      <w:r w:rsidRPr="00FB4EFA">
        <w:rPr>
          <w:rFonts w:cs="Baskerville Old Face"/>
          <w:lang w:val="hu-HU"/>
        </w:rPr>
        <w:t>é</w:t>
      </w:r>
      <w:r w:rsidRPr="00FB4EFA">
        <w:rPr>
          <w:lang w:val="hu-HU"/>
        </w:rPr>
        <w:t>s szeptember 15. k</w:t>
      </w:r>
      <w:r w:rsidRPr="00FB4EFA">
        <w:rPr>
          <w:rFonts w:cs="Baskerville Old Face"/>
          <w:lang w:val="hu-HU"/>
        </w:rPr>
        <w:t>ö</w:t>
      </w:r>
      <w:r w:rsidRPr="00FB4EFA">
        <w:rPr>
          <w:lang w:val="hu-HU"/>
        </w:rPr>
        <w:t>z</w:t>
      </w:r>
      <w:r w:rsidRPr="00FB4EFA">
        <w:rPr>
          <w:rFonts w:cs="Baskerville Old Face"/>
          <w:lang w:val="hu-HU"/>
        </w:rPr>
        <w:t>ö</w:t>
      </w:r>
      <w:r w:rsidRPr="00FB4EFA">
        <w:rPr>
          <w:lang w:val="hu-HU"/>
        </w:rPr>
        <w:t>tt. Ehhez a ki</w:t>
      </w:r>
      <w:r w:rsidRPr="00FB4EFA">
        <w:rPr>
          <w:rFonts w:cs="Baskerville Old Face"/>
          <w:lang w:val="hu-HU"/>
        </w:rPr>
        <w:t>á</w:t>
      </w:r>
      <w:r w:rsidRPr="00FB4EFA">
        <w:rPr>
          <w:lang w:val="hu-HU"/>
        </w:rPr>
        <w:t>ll</w:t>
      </w:r>
      <w:r w:rsidRPr="00FB4EFA">
        <w:rPr>
          <w:rFonts w:cs="Baskerville Old Face"/>
          <w:lang w:val="hu-HU"/>
        </w:rPr>
        <w:t>í</w:t>
      </w:r>
      <w:r w:rsidRPr="00FB4EFA">
        <w:rPr>
          <w:lang w:val="hu-HU"/>
        </w:rPr>
        <w:t>t</w:t>
      </w:r>
      <w:r w:rsidRPr="00FB4EFA">
        <w:rPr>
          <w:rFonts w:cs="Baskerville Old Face"/>
          <w:lang w:val="hu-HU"/>
        </w:rPr>
        <w:t>á</w:t>
      </w:r>
      <w:r w:rsidRPr="00FB4EFA">
        <w:rPr>
          <w:lang w:val="hu-HU"/>
        </w:rPr>
        <w:t>shoz k</w:t>
      </w:r>
      <w:r w:rsidRPr="00FB4EFA">
        <w:rPr>
          <w:rFonts w:cs="Baskerville Old Face"/>
          <w:lang w:val="hu-HU"/>
        </w:rPr>
        <w:t>é</w:t>
      </w:r>
      <w:r w:rsidRPr="00FB4EFA">
        <w:rPr>
          <w:lang w:val="hu-HU"/>
        </w:rPr>
        <w:t>sz</w:t>
      </w:r>
      <w:r w:rsidRPr="00FB4EFA">
        <w:rPr>
          <w:rFonts w:cs="Baskerville Old Face"/>
          <w:lang w:val="hu-HU"/>
        </w:rPr>
        <w:t>ü</w:t>
      </w:r>
      <w:r w:rsidRPr="00FB4EFA">
        <w:rPr>
          <w:lang w:val="hu-HU"/>
        </w:rPr>
        <w:t>lt el az a kiállítás záróeseményén bemutatott tanulm</w:t>
      </w:r>
      <w:r w:rsidRPr="00FB4EFA">
        <w:rPr>
          <w:rFonts w:cs="Baskerville Old Face"/>
          <w:lang w:val="hu-HU"/>
        </w:rPr>
        <w:t>á</w:t>
      </w:r>
      <w:r w:rsidRPr="00FB4EFA">
        <w:rPr>
          <w:lang w:val="hu-HU"/>
        </w:rPr>
        <w:t>ny, mely sikeresen felder</w:t>
      </w:r>
      <w:r w:rsidRPr="00FB4EFA">
        <w:rPr>
          <w:rFonts w:cs="Baskerville Old Face"/>
          <w:lang w:val="hu-HU"/>
        </w:rPr>
        <w:t>í</w:t>
      </w:r>
      <w:r w:rsidRPr="00FB4EFA">
        <w:rPr>
          <w:lang w:val="hu-HU"/>
        </w:rPr>
        <w:t xml:space="preserve">ti, kiket is </w:t>
      </w:r>
      <w:r w:rsidRPr="00FB4EFA">
        <w:rPr>
          <w:rFonts w:cs="Baskerville Old Face"/>
          <w:lang w:val="hu-HU"/>
        </w:rPr>
        <w:t>á</w:t>
      </w:r>
      <w:r w:rsidRPr="00FB4EFA">
        <w:rPr>
          <w:lang w:val="hu-HU"/>
        </w:rPr>
        <w:t>br</w:t>
      </w:r>
      <w:r w:rsidRPr="00FB4EFA">
        <w:rPr>
          <w:rFonts w:cs="Baskerville Old Face"/>
          <w:lang w:val="hu-HU"/>
        </w:rPr>
        <w:t>á</w:t>
      </w:r>
      <w:r w:rsidRPr="00FB4EFA">
        <w:rPr>
          <w:lang w:val="hu-HU"/>
        </w:rPr>
        <w:t>zol fest</w:t>
      </w:r>
      <w:r w:rsidRPr="00FB4EFA">
        <w:rPr>
          <w:rFonts w:cs="Cambria"/>
          <w:lang w:val="hu-HU"/>
        </w:rPr>
        <w:t>ő</w:t>
      </w:r>
      <w:r w:rsidRPr="00FB4EFA">
        <w:rPr>
          <w:lang w:val="hu-HU"/>
        </w:rPr>
        <w:t xml:space="preserve"> (l. Domokos 2021). Egy számi családot ábrázoló olajkép, melyr</w:t>
      </w:r>
      <w:r w:rsidRPr="00FB4EFA">
        <w:rPr>
          <w:rFonts w:cs="Cambria"/>
          <w:lang w:val="hu-HU"/>
        </w:rPr>
        <w:t>ő</w:t>
      </w:r>
      <w:r w:rsidRPr="00FB4EFA">
        <w:rPr>
          <w:lang w:val="hu-HU"/>
        </w:rPr>
        <w:t>l még egy</w:t>
      </w:r>
      <w:r w:rsidRPr="00FB4EFA">
        <w:rPr>
          <w:rFonts w:cs="Baskerville Old Face"/>
          <w:lang w:val="hu-HU"/>
        </w:rPr>
        <w:t xml:space="preserve"> további</w:t>
      </w:r>
      <w:r w:rsidRPr="00FB4EFA">
        <w:rPr>
          <w:lang w:val="hu-HU"/>
        </w:rPr>
        <w:t xml:space="preserve"> írásos forr</w:t>
      </w:r>
      <w:r w:rsidRPr="00FB4EFA">
        <w:rPr>
          <w:rFonts w:cs="Baskerville Old Face"/>
          <w:lang w:val="hu-HU"/>
        </w:rPr>
        <w:t>á</w:t>
      </w:r>
      <w:r w:rsidRPr="00FB4EFA">
        <w:rPr>
          <w:lang w:val="hu-HU"/>
        </w:rPr>
        <w:t>sb</w:t>
      </w:r>
      <w:r w:rsidRPr="00FB4EFA">
        <w:rPr>
          <w:rFonts w:cs="Baskerville Old Face"/>
          <w:lang w:val="hu-HU"/>
        </w:rPr>
        <w:t>ó</w:t>
      </w:r>
      <w:r w:rsidRPr="00FB4EFA">
        <w:rPr>
          <w:lang w:val="hu-HU"/>
        </w:rPr>
        <w:t>l is tudomást szerzünk, azonban elveszett (l. 9. lábjegyzet). A továbbiakban részletesen kit</w:t>
      </w:r>
      <w:r w:rsidRPr="00FB4EFA">
        <w:rPr>
          <w:rFonts w:cs="Baskerville Old Face"/>
          <w:lang w:val="hu-HU"/>
        </w:rPr>
        <w:t>é</w:t>
      </w:r>
      <w:r w:rsidRPr="00FB4EFA">
        <w:rPr>
          <w:lang w:val="hu-HU"/>
        </w:rPr>
        <w:t>r</w:t>
      </w:r>
      <w:r w:rsidRPr="00FB4EFA">
        <w:rPr>
          <w:rFonts w:cs="Baskerville Old Face"/>
          <w:lang w:val="hu-HU"/>
        </w:rPr>
        <w:t>ü</w:t>
      </w:r>
      <w:r w:rsidRPr="00FB4EFA">
        <w:rPr>
          <w:lang w:val="hu-HU"/>
        </w:rPr>
        <w:t>nk arra, amit r</w:t>
      </w:r>
      <w:r w:rsidRPr="00FB4EFA">
        <w:rPr>
          <w:rFonts w:cs="Baskerville Old Face"/>
          <w:lang w:val="hu-HU"/>
        </w:rPr>
        <w:t>ó</w:t>
      </w:r>
      <w:r w:rsidRPr="00FB4EFA">
        <w:rPr>
          <w:lang w:val="hu-HU"/>
        </w:rPr>
        <w:t>la tudhatunk, azonban el</w:t>
      </w:r>
      <w:r w:rsidRPr="00FB4EFA">
        <w:rPr>
          <w:rFonts w:cs="Cambria"/>
          <w:lang w:val="hu-HU"/>
        </w:rPr>
        <w:t>ő</w:t>
      </w:r>
      <w:r w:rsidRPr="00FB4EFA">
        <w:rPr>
          <w:lang w:val="hu-HU"/>
        </w:rPr>
        <w:t>bb r</w:t>
      </w:r>
      <w:r w:rsidRPr="00FB4EFA">
        <w:rPr>
          <w:rFonts w:cs="Baskerville Old Face"/>
          <w:lang w:val="hu-HU"/>
        </w:rPr>
        <w:t>ö</w:t>
      </w:r>
      <w:r w:rsidRPr="00FB4EFA">
        <w:rPr>
          <w:lang w:val="hu-HU"/>
        </w:rPr>
        <w:t>viden ismertetjük, hogy kiket is örökített meg B</w:t>
      </w:r>
      <w:r w:rsidRPr="00FB4EFA">
        <w:rPr>
          <w:rFonts w:cs="Baskerville Old Face"/>
          <w:lang w:val="hu-HU"/>
        </w:rPr>
        <w:t>ö</w:t>
      </w:r>
      <w:r w:rsidRPr="00FB4EFA">
        <w:rPr>
          <w:lang w:val="hu-HU"/>
        </w:rPr>
        <w:t>ckstiegel a képein.</w:t>
      </w:r>
    </w:p>
    <w:p w14:paraId="64543CF7" w14:textId="04734CB2" w:rsidR="00B3200B" w:rsidRPr="00FB4EFA" w:rsidRDefault="00B3200B" w:rsidP="00AF0CAD">
      <w:pPr>
        <w:ind w:firstLine="709"/>
        <w:rPr>
          <w:lang w:val="hu-HU"/>
        </w:rPr>
      </w:pPr>
      <w:r w:rsidRPr="00FB4EFA">
        <w:rPr>
          <w:szCs w:val="24"/>
          <w:lang w:val="hu-HU"/>
        </w:rPr>
        <w:t>A Drezdai Állatkertben helyet kapó 1925-ös számi néprajzi kiállításon finnországi és finnmarki számik vettek részt, akikr</w:t>
      </w:r>
      <w:r w:rsidRPr="00FB4EFA">
        <w:rPr>
          <w:rFonts w:cs="Cambria"/>
          <w:szCs w:val="24"/>
          <w:lang w:val="hu-HU"/>
        </w:rPr>
        <w:t>ő</w:t>
      </w:r>
      <w:r w:rsidRPr="00FB4EFA">
        <w:rPr>
          <w:szCs w:val="24"/>
          <w:lang w:val="hu-HU"/>
        </w:rPr>
        <w:t>l az utóbbi évek kutat</w:t>
      </w:r>
      <w:r w:rsidRPr="00FB4EFA">
        <w:rPr>
          <w:rFonts w:cs="Baskerville Old Face"/>
          <w:szCs w:val="24"/>
          <w:lang w:val="hu-HU"/>
        </w:rPr>
        <w:t>á</w:t>
      </w:r>
      <w:r w:rsidRPr="00FB4EFA">
        <w:rPr>
          <w:szCs w:val="24"/>
          <w:lang w:val="hu-HU"/>
        </w:rPr>
        <w:t>sai sok mindent felfedtek (l. Baglo és Lehtola publikációi). A sz</w:t>
      </w:r>
      <w:r w:rsidRPr="00FB4EFA">
        <w:rPr>
          <w:rFonts w:cs="Baskerville Old Face"/>
          <w:szCs w:val="24"/>
          <w:lang w:val="hu-HU"/>
        </w:rPr>
        <w:t>á</w:t>
      </w:r>
      <w:r w:rsidRPr="00FB4EFA">
        <w:rPr>
          <w:szCs w:val="24"/>
          <w:lang w:val="hu-HU"/>
        </w:rPr>
        <w:t>mi karav</w:t>
      </w:r>
      <w:r w:rsidRPr="00FB4EFA">
        <w:rPr>
          <w:rFonts w:cs="Baskerville Old Face"/>
          <w:szCs w:val="24"/>
          <w:lang w:val="hu-HU"/>
        </w:rPr>
        <w:t>á</w:t>
      </w:r>
      <w:r w:rsidRPr="00FB4EFA">
        <w:rPr>
          <w:szCs w:val="24"/>
          <w:lang w:val="hu-HU"/>
        </w:rPr>
        <w:t>n eddigi kutat</w:t>
      </w:r>
      <w:r w:rsidRPr="00FB4EFA">
        <w:rPr>
          <w:rFonts w:cs="Baskerville Old Face"/>
          <w:szCs w:val="24"/>
          <w:lang w:val="hu-HU"/>
        </w:rPr>
        <w:t>á</w:t>
      </w:r>
      <w:r w:rsidRPr="00FB4EFA">
        <w:rPr>
          <w:szCs w:val="24"/>
          <w:lang w:val="hu-HU"/>
        </w:rPr>
        <w:t>sában fellelhet</w:t>
      </w:r>
      <w:r w:rsidRPr="00FB4EFA">
        <w:rPr>
          <w:rFonts w:cs="Cambria"/>
          <w:szCs w:val="24"/>
          <w:lang w:val="hu-HU"/>
        </w:rPr>
        <w:t>ő</w:t>
      </w:r>
      <w:r w:rsidRPr="00FB4EFA">
        <w:rPr>
          <w:szCs w:val="24"/>
          <w:lang w:val="hu-HU"/>
        </w:rPr>
        <w:t xml:space="preserve"> egy olyan tanulm</w:t>
      </w:r>
      <w:r w:rsidRPr="00FB4EFA">
        <w:rPr>
          <w:rFonts w:cs="Baskerville Old Face"/>
          <w:szCs w:val="24"/>
          <w:lang w:val="hu-HU"/>
        </w:rPr>
        <w:t>á</w:t>
      </w:r>
      <w:r w:rsidRPr="00FB4EFA">
        <w:rPr>
          <w:szCs w:val="24"/>
          <w:lang w:val="hu-HU"/>
        </w:rPr>
        <w:t>ny is, melyben Veli-Pekka Lehtola oului számi professzor pontosan beazonosítja az 1925-ös, több hetes számi kiállítás személyeit (2013)</w:t>
      </w:r>
      <w:r w:rsidRPr="00FB4EFA">
        <w:rPr>
          <w:szCs w:val="24"/>
          <w:vertAlign w:val="superscript"/>
          <w:lang w:val="hu-HU"/>
        </w:rPr>
        <w:footnoteReference w:id="163"/>
      </w:r>
      <w:r w:rsidRPr="00FB4EFA">
        <w:rPr>
          <w:szCs w:val="24"/>
          <w:lang w:val="hu-HU"/>
        </w:rPr>
        <w:t>. A csoport tagjai elsősorban k</w:t>
      </w:r>
      <w:r w:rsidRPr="00FB4EFA">
        <w:rPr>
          <w:rFonts w:cs="Baskerville Old Face"/>
          <w:szCs w:val="24"/>
          <w:lang w:val="hu-HU"/>
        </w:rPr>
        <w:t>é</w:t>
      </w:r>
      <w:r w:rsidRPr="00FB4EFA">
        <w:rPr>
          <w:szCs w:val="24"/>
          <w:lang w:val="hu-HU"/>
        </w:rPr>
        <w:t>t testv</w:t>
      </w:r>
      <w:r w:rsidRPr="00FB4EFA">
        <w:rPr>
          <w:rFonts w:cs="Baskerville Old Face"/>
          <w:szCs w:val="24"/>
          <w:lang w:val="hu-HU"/>
        </w:rPr>
        <w:t>é</w:t>
      </w:r>
      <w:r w:rsidRPr="00FB4EFA">
        <w:rPr>
          <w:szCs w:val="24"/>
          <w:lang w:val="hu-HU"/>
        </w:rPr>
        <w:t>r, Duomm</w:t>
      </w:r>
      <w:r w:rsidRPr="00FB4EFA">
        <w:rPr>
          <w:rFonts w:cs="Baskerville Old Face"/>
          <w:szCs w:val="24"/>
          <w:lang w:val="hu-HU"/>
        </w:rPr>
        <w:t>á</w:t>
      </w:r>
      <w:r w:rsidRPr="00FB4EFA">
        <w:rPr>
          <w:szCs w:val="24"/>
          <w:lang w:val="hu-HU"/>
        </w:rPr>
        <w:t>-Duomm</w:t>
      </w:r>
      <w:r w:rsidRPr="00FB4EFA">
        <w:rPr>
          <w:rFonts w:cs="Baskerville Old Face"/>
          <w:szCs w:val="24"/>
          <w:lang w:val="hu-HU"/>
        </w:rPr>
        <w:t>á</w:t>
      </w:r>
      <w:r w:rsidRPr="00FB4EFA">
        <w:rPr>
          <w:szCs w:val="24"/>
          <w:lang w:val="hu-HU"/>
        </w:rPr>
        <w:t xml:space="preserve"> (hivatalos neve Tuomas Magga volt) </w:t>
      </w:r>
      <w:r w:rsidRPr="00FB4EFA">
        <w:rPr>
          <w:rFonts w:cs="Baskerville Old Face"/>
          <w:szCs w:val="24"/>
          <w:lang w:val="hu-HU"/>
        </w:rPr>
        <w:t>é</w:t>
      </w:r>
      <w:r w:rsidRPr="00FB4EFA">
        <w:rPr>
          <w:szCs w:val="24"/>
          <w:lang w:val="hu-HU"/>
        </w:rPr>
        <w:t>s Duomm</w:t>
      </w:r>
      <w:r w:rsidRPr="00FB4EFA">
        <w:rPr>
          <w:rFonts w:cs="Baskerville Old Face"/>
          <w:szCs w:val="24"/>
          <w:lang w:val="hu-HU"/>
        </w:rPr>
        <w:t>á</w:t>
      </w:r>
      <w:r w:rsidRPr="00FB4EFA">
        <w:rPr>
          <w:szCs w:val="24"/>
          <w:lang w:val="hu-HU"/>
        </w:rPr>
        <w:t xml:space="preserve"> Heaikka (hivatalos finn nev</w:t>
      </w:r>
      <w:r w:rsidRPr="00FB4EFA">
        <w:rPr>
          <w:rFonts w:cs="Baskerville Old Face"/>
          <w:szCs w:val="24"/>
          <w:lang w:val="hu-HU"/>
        </w:rPr>
        <w:t>é</w:t>
      </w:r>
      <w:r w:rsidRPr="00FB4EFA">
        <w:rPr>
          <w:szCs w:val="24"/>
          <w:lang w:val="hu-HU"/>
        </w:rPr>
        <w:t>n Heikki Magga) csal</w:t>
      </w:r>
      <w:r w:rsidRPr="00FB4EFA">
        <w:rPr>
          <w:rFonts w:cs="Baskerville Old Face"/>
          <w:szCs w:val="24"/>
          <w:lang w:val="hu-HU"/>
        </w:rPr>
        <w:t>á</w:t>
      </w:r>
      <w:r w:rsidRPr="00FB4EFA">
        <w:rPr>
          <w:szCs w:val="24"/>
          <w:lang w:val="hu-HU"/>
        </w:rPr>
        <w:t>dj</w:t>
      </w:r>
      <w:r w:rsidRPr="00FB4EFA">
        <w:rPr>
          <w:rFonts w:cs="Baskerville Old Face"/>
          <w:szCs w:val="24"/>
          <w:lang w:val="hu-HU"/>
        </w:rPr>
        <w:t>á</w:t>
      </w:r>
      <w:r w:rsidRPr="00FB4EFA">
        <w:rPr>
          <w:szCs w:val="24"/>
          <w:lang w:val="hu-HU"/>
        </w:rPr>
        <w:t>hoz tartoztak. A csoportban a Kitti és Autto számi család tagjai is szerepeltek, valamint Nutti-Niku (finn nevén Niko Nutti). Egy finn személy is volt közöttük. A csoport hajlandósága, hogy részt vegyen ezen az eseményen</w:t>
      </w:r>
      <w:r w:rsidR="00232DF4" w:rsidRPr="00FB4EFA">
        <w:rPr>
          <w:szCs w:val="24"/>
          <w:lang w:val="hu-HU"/>
        </w:rPr>
        <w:t>,</w:t>
      </w:r>
      <w:r w:rsidRPr="00FB4EFA">
        <w:rPr>
          <w:szCs w:val="24"/>
          <w:lang w:val="hu-HU"/>
        </w:rPr>
        <w:t xml:space="preserve"> részben azzal magyarázható, hogy a résztvev</w:t>
      </w:r>
      <w:r w:rsidRPr="00FB4EFA">
        <w:rPr>
          <w:rFonts w:cs="Cambria"/>
          <w:szCs w:val="24"/>
          <w:lang w:val="hu-HU"/>
        </w:rPr>
        <w:t>ő</w:t>
      </w:r>
      <w:r w:rsidRPr="00FB4EFA">
        <w:rPr>
          <w:szCs w:val="24"/>
          <w:lang w:val="hu-HU"/>
        </w:rPr>
        <w:t>knek figyelemre m</w:t>
      </w:r>
      <w:r w:rsidRPr="00FB4EFA">
        <w:rPr>
          <w:rFonts w:cs="Baskerville Old Face"/>
          <w:szCs w:val="24"/>
          <w:lang w:val="hu-HU"/>
        </w:rPr>
        <w:t>é</w:t>
      </w:r>
      <w:r w:rsidRPr="00FB4EFA">
        <w:rPr>
          <w:szCs w:val="24"/>
          <w:lang w:val="hu-HU"/>
        </w:rPr>
        <w:t xml:space="preserve">ltó összeget ajánlottak fel. E fizetéseket a kiállítás után a finn Enontekiö </w:t>
      </w:r>
      <w:r w:rsidRPr="00FB4EFA">
        <w:rPr>
          <w:szCs w:val="24"/>
          <w:lang w:val="hu-HU"/>
        </w:rPr>
        <w:lastRenderedPageBreak/>
        <w:t>helység rend</w:t>
      </w:r>
      <w:r w:rsidRPr="00FB4EFA">
        <w:rPr>
          <w:rFonts w:cs="Cambria"/>
          <w:szCs w:val="24"/>
          <w:lang w:val="hu-HU"/>
        </w:rPr>
        <w:t>ő</w:t>
      </w:r>
      <w:r w:rsidRPr="00FB4EFA">
        <w:rPr>
          <w:szCs w:val="24"/>
          <w:lang w:val="hu-HU"/>
        </w:rPr>
        <w:t>rf</w:t>
      </w:r>
      <w:r w:rsidRPr="00FB4EFA">
        <w:rPr>
          <w:rFonts w:cs="Cambria"/>
          <w:szCs w:val="24"/>
          <w:lang w:val="hu-HU"/>
        </w:rPr>
        <w:t>ő</w:t>
      </w:r>
      <w:r w:rsidRPr="00FB4EFA">
        <w:rPr>
          <w:szCs w:val="24"/>
          <w:lang w:val="hu-HU"/>
        </w:rPr>
        <w:t>kapit</w:t>
      </w:r>
      <w:r w:rsidRPr="00FB4EFA">
        <w:rPr>
          <w:rFonts w:cs="Baskerville Old Face"/>
          <w:szCs w:val="24"/>
          <w:lang w:val="hu-HU"/>
        </w:rPr>
        <w:t>á</w:t>
      </w:r>
      <w:r w:rsidRPr="00FB4EFA">
        <w:rPr>
          <w:szCs w:val="24"/>
          <w:lang w:val="hu-HU"/>
        </w:rPr>
        <w:t>ny</w:t>
      </w:r>
      <w:r w:rsidRPr="00FB4EFA">
        <w:rPr>
          <w:rFonts w:cs="Baskerville Old Face"/>
          <w:szCs w:val="24"/>
          <w:lang w:val="hu-HU"/>
        </w:rPr>
        <w:t>á</w:t>
      </w:r>
      <w:r w:rsidRPr="00FB4EFA">
        <w:rPr>
          <w:szCs w:val="24"/>
          <w:lang w:val="hu-HU"/>
        </w:rPr>
        <w:t>t</w:t>
      </w:r>
      <w:r w:rsidRPr="00FB4EFA">
        <w:rPr>
          <w:rFonts w:cs="Baskerville Old Face"/>
          <w:szCs w:val="24"/>
          <w:lang w:val="hu-HU"/>
        </w:rPr>
        <w:t>ó</w:t>
      </w:r>
      <w:r w:rsidRPr="00FB4EFA">
        <w:rPr>
          <w:szCs w:val="24"/>
          <w:lang w:val="hu-HU"/>
        </w:rPr>
        <w:t>l kapt</w:t>
      </w:r>
      <w:r w:rsidRPr="00FB4EFA">
        <w:rPr>
          <w:rFonts w:cs="Baskerville Old Face"/>
          <w:szCs w:val="24"/>
          <w:lang w:val="hu-HU"/>
        </w:rPr>
        <w:t>á</w:t>
      </w:r>
      <w:r w:rsidRPr="00FB4EFA">
        <w:rPr>
          <w:szCs w:val="24"/>
          <w:lang w:val="hu-HU"/>
        </w:rPr>
        <w:t>k meg. 2021-ben publik</w:t>
      </w:r>
      <w:r w:rsidRPr="00FB4EFA">
        <w:rPr>
          <w:rFonts w:cs="Baskerville Old Face"/>
          <w:szCs w:val="24"/>
          <w:lang w:val="hu-HU"/>
        </w:rPr>
        <w:t>á</w:t>
      </w:r>
      <w:r w:rsidRPr="00FB4EFA">
        <w:rPr>
          <w:szCs w:val="24"/>
          <w:lang w:val="hu-HU"/>
        </w:rPr>
        <w:t>lt tanulm</w:t>
      </w:r>
      <w:r w:rsidRPr="00FB4EFA">
        <w:rPr>
          <w:rFonts w:cs="Baskerville Old Face"/>
          <w:szCs w:val="24"/>
          <w:lang w:val="hu-HU"/>
        </w:rPr>
        <w:t>á</w:t>
      </w:r>
      <w:r w:rsidRPr="00FB4EFA">
        <w:rPr>
          <w:szCs w:val="24"/>
          <w:lang w:val="hu-HU"/>
        </w:rPr>
        <w:t>nyomban r</w:t>
      </w:r>
      <w:r w:rsidRPr="00FB4EFA">
        <w:rPr>
          <w:rFonts w:cs="Baskerville Old Face"/>
          <w:szCs w:val="24"/>
          <w:lang w:val="hu-HU"/>
        </w:rPr>
        <w:t>é</w:t>
      </w:r>
      <w:r w:rsidRPr="00FB4EFA">
        <w:rPr>
          <w:szCs w:val="24"/>
          <w:lang w:val="hu-HU"/>
        </w:rPr>
        <w:t>szletesen kit</w:t>
      </w:r>
      <w:r w:rsidRPr="00FB4EFA">
        <w:rPr>
          <w:rFonts w:cs="Baskerville Old Face"/>
          <w:szCs w:val="24"/>
          <w:lang w:val="hu-HU"/>
        </w:rPr>
        <w:t>é</w:t>
      </w:r>
      <w:r w:rsidRPr="00FB4EFA">
        <w:rPr>
          <w:szCs w:val="24"/>
          <w:lang w:val="hu-HU"/>
        </w:rPr>
        <w:t>rek a korabeli f</w:t>
      </w:r>
      <w:r w:rsidRPr="00FB4EFA">
        <w:rPr>
          <w:rFonts w:cs="Baskerville Old Face"/>
          <w:szCs w:val="24"/>
          <w:lang w:val="hu-HU"/>
        </w:rPr>
        <w:t>é</w:t>
      </w:r>
      <w:r w:rsidRPr="00FB4EFA">
        <w:rPr>
          <w:szCs w:val="24"/>
          <w:lang w:val="hu-HU"/>
        </w:rPr>
        <w:t>nyk</w:t>
      </w:r>
      <w:r w:rsidRPr="00FB4EFA">
        <w:rPr>
          <w:rFonts w:cs="Baskerville Old Face"/>
          <w:szCs w:val="24"/>
          <w:lang w:val="hu-HU"/>
        </w:rPr>
        <w:t>é</w:t>
      </w:r>
      <w:r w:rsidRPr="00FB4EFA">
        <w:rPr>
          <w:szCs w:val="24"/>
          <w:lang w:val="hu-HU"/>
        </w:rPr>
        <w:t>pfelv</w:t>
      </w:r>
      <w:r w:rsidRPr="00FB4EFA">
        <w:rPr>
          <w:rFonts w:cs="Baskerville Old Face"/>
          <w:szCs w:val="24"/>
          <w:lang w:val="hu-HU"/>
        </w:rPr>
        <w:t>é</w:t>
      </w:r>
      <w:r w:rsidRPr="00FB4EFA">
        <w:rPr>
          <w:szCs w:val="24"/>
          <w:lang w:val="hu-HU"/>
        </w:rPr>
        <w:t xml:space="preserve">tel Veli-Pekka </w:t>
      </w:r>
      <w:r w:rsidR="002115C8" w:rsidRPr="00FB4EFA">
        <w:rPr>
          <w:szCs w:val="24"/>
          <w:lang w:val="hu-HU"/>
        </w:rPr>
        <w:br/>
      </w:r>
      <w:r w:rsidRPr="00FB4EFA">
        <w:rPr>
          <w:szCs w:val="24"/>
          <w:lang w:val="hu-HU"/>
        </w:rPr>
        <w:t xml:space="preserve">Lehtola </w:t>
      </w:r>
      <w:r w:rsidRPr="00FB4EFA">
        <w:rPr>
          <w:rFonts w:cs="Baskerville Old Face"/>
          <w:szCs w:val="24"/>
          <w:lang w:val="hu-HU"/>
        </w:rPr>
        <w:t>á</w:t>
      </w:r>
      <w:r w:rsidRPr="00FB4EFA">
        <w:rPr>
          <w:szCs w:val="24"/>
          <w:lang w:val="hu-HU"/>
        </w:rPr>
        <w:t>ltal megadott szem</w:t>
      </w:r>
      <w:r w:rsidRPr="00FB4EFA">
        <w:rPr>
          <w:rFonts w:cs="Baskerville Old Face"/>
          <w:szCs w:val="24"/>
          <w:lang w:val="hu-HU"/>
        </w:rPr>
        <w:t>é</w:t>
      </w:r>
      <w:r w:rsidRPr="00FB4EFA">
        <w:rPr>
          <w:szCs w:val="24"/>
          <w:lang w:val="hu-HU"/>
        </w:rPr>
        <w:t>lyeinek beazonosítására, valamint lekövettem azt is, hogy kiket ábrázol P. A. Böckstiegel a számi portréin.</w:t>
      </w:r>
    </w:p>
    <w:p w14:paraId="0EB3ACF2" w14:textId="36B4B61C" w:rsidR="00B3200B" w:rsidRPr="00FB4EFA" w:rsidRDefault="00B3200B" w:rsidP="00857D2A">
      <w:pPr>
        <w:spacing w:after="240"/>
        <w:ind w:firstLine="709"/>
        <w:rPr>
          <w:szCs w:val="24"/>
          <w:lang w:val="hu-HU"/>
        </w:rPr>
      </w:pPr>
      <w:r w:rsidRPr="00FB4EFA">
        <w:rPr>
          <w:szCs w:val="24"/>
          <w:lang w:val="hu-HU"/>
        </w:rPr>
        <w:t>P. A. Böckstiegel, aki a harmadik birodalomban nemkívánatos m</w:t>
      </w:r>
      <w:r w:rsidRPr="00FB4EFA">
        <w:rPr>
          <w:rFonts w:cs="Cambria"/>
          <w:szCs w:val="24"/>
          <w:lang w:val="hu-HU"/>
        </w:rPr>
        <w:t>ű</w:t>
      </w:r>
      <w:r w:rsidRPr="00FB4EFA">
        <w:rPr>
          <w:szCs w:val="24"/>
          <w:lang w:val="hu-HU"/>
        </w:rPr>
        <w:t>v</w:t>
      </w:r>
      <w:r w:rsidRPr="00FB4EFA">
        <w:rPr>
          <w:rFonts w:cs="Baskerville Old Face"/>
          <w:szCs w:val="24"/>
          <w:lang w:val="hu-HU"/>
        </w:rPr>
        <w:t>é</w:t>
      </w:r>
      <w:r w:rsidRPr="00FB4EFA">
        <w:rPr>
          <w:szCs w:val="24"/>
          <w:lang w:val="hu-HU"/>
        </w:rPr>
        <w:t xml:space="preserve">sz volt, </w:t>
      </w:r>
      <w:r w:rsidRPr="00FB4EFA">
        <w:rPr>
          <w:rFonts w:cs="Baskerville Old Face"/>
          <w:szCs w:val="24"/>
          <w:lang w:val="hu-HU"/>
        </w:rPr>
        <w:t>é</w:t>
      </w:r>
      <w:r w:rsidRPr="00FB4EFA">
        <w:rPr>
          <w:szCs w:val="24"/>
          <w:lang w:val="hu-HU"/>
        </w:rPr>
        <w:t>s sz</w:t>
      </w:r>
      <w:r w:rsidRPr="00FB4EFA">
        <w:rPr>
          <w:rFonts w:cs="Baskerville Old Face"/>
          <w:szCs w:val="24"/>
          <w:lang w:val="hu-HU"/>
        </w:rPr>
        <w:t>á</w:t>
      </w:r>
      <w:r w:rsidRPr="00FB4EFA">
        <w:rPr>
          <w:szCs w:val="24"/>
          <w:lang w:val="hu-HU"/>
        </w:rPr>
        <w:t>mos k</w:t>
      </w:r>
      <w:r w:rsidRPr="00FB4EFA">
        <w:rPr>
          <w:rFonts w:cs="Baskerville Old Face"/>
          <w:szCs w:val="24"/>
          <w:lang w:val="hu-HU"/>
        </w:rPr>
        <w:t>é</w:t>
      </w:r>
      <w:r w:rsidRPr="00FB4EFA">
        <w:rPr>
          <w:szCs w:val="24"/>
          <w:lang w:val="hu-HU"/>
        </w:rPr>
        <w:t>p</w:t>
      </w:r>
      <w:r w:rsidRPr="00FB4EFA">
        <w:rPr>
          <w:rFonts w:cs="Baskerville Old Face"/>
          <w:szCs w:val="24"/>
          <w:lang w:val="hu-HU"/>
        </w:rPr>
        <w:t>é</w:t>
      </w:r>
      <w:r w:rsidRPr="00FB4EFA">
        <w:rPr>
          <w:szCs w:val="24"/>
          <w:lang w:val="hu-HU"/>
        </w:rPr>
        <w:t>t kivont</w:t>
      </w:r>
      <w:r w:rsidRPr="00FB4EFA">
        <w:rPr>
          <w:rFonts w:cs="Baskerville Old Face"/>
          <w:szCs w:val="24"/>
          <w:lang w:val="hu-HU"/>
        </w:rPr>
        <w:t>á</w:t>
      </w:r>
      <w:r w:rsidRPr="00FB4EFA">
        <w:rPr>
          <w:szCs w:val="24"/>
          <w:lang w:val="hu-HU"/>
        </w:rPr>
        <w:t>k a m</w:t>
      </w:r>
      <w:r w:rsidRPr="00FB4EFA">
        <w:rPr>
          <w:rFonts w:cs="Baskerville Old Face"/>
          <w:szCs w:val="24"/>
          <w:lang w:val="hu-HU"/>
        </w:rPr>
        <w:t>ú</w:t>
      </w:r>
      <w:r w:rsidRPr="00FB4EFA">
        <w:rPr>
          <w:szCs w:val="24"/>
          <w:lang w:val="hu-HU"/>
        </w:rPr>
        <w:t>zeumokb</w:t>
      </w:r>
      <w:r w:rsidRPr="00FB4EFA">
        <w:rPr>
          <w:rFonts w:cs="Baskerville Old Face"/>
          <w:szCs w:val="24"/>
          <w:lang w:val="hu-HU"/>
        </w:rPr>
        <w:t>ó</w:t>
      </w:r>
      <w:r w:rsidRPr="00FB4EFA">
        <w:rPr>
          <w:szCs w:val="24"/>
          <w:lang w:val="hu-HU"/>
        </w:rPr>
        <w:t>l, valamint megsemmis</w:t>
      </w:r>
      <w:r w:rsidRPr="00FB4EFA">
        <w:rPr>
          <w:rFonts w:cs="Baskerville Old Face"/>
          <w:szCs w:val="24"/>
          <w:lang w:val="hu-HU"/>
        </w:rPr>
        <w:t>í</w:t>
      </w:r>
      <w:r w:rsidRPr="00FB4EFA">
        <w:rPr>
          <w:szCs w:val="24"/>
          <w:lang w:val="hu-HU"/>
        </w:rPr>
        <w:t>tett</w:t>
      </w:r>
      <w:r w:rsidRPr="00FB4EFA">
        <w:rPr>
          <w:rFonts w:cs="Baskerville Old Face"/>
          <w:szCs w:val="24"/>
          <w:lang w:val="hu-HU"/>
        </w:rPr>
        <w:t>é</w:t>
      </w:r>
      <w:r w:rsidRPr="00FB4EFA">
        <w:rPr>
          <w:szCs w:val="24"/>
          <w:lang w:val="hu-HU"/>
        </w:rPr>
        <w:t>k, ugyanazzal az er</w:t>
      </w:r>
      <w:r w:rsidRPr="00FB4EFA">
        <w:rPr>
          <w:rFonts w:cs="Cambria"/>
          <w:szCs w:val="24"/>
          <w:lang w:val="hu-HU"/>
        </w:rPr>
        <w:t>ő</w:t>
      </w:r>
      <w:r w:rsidRPr="00FB4EFA">
        <w:rPr>
          <w:szCs w:val="24"/>
          <w:lang w:val="hu-HU"/>
        </w:rPr>
        <w:t>s s</w:t>
      </w:r>
      <w:r w:rsidRPr="00FB4EFA">
        <w:rPr>
          <w:rFonts w:cs="Baskerville Old Face"/>
          <w:szCs w:val="24"/>
          <w:lang w:val="hu-HU"/>
        </w:rPr>
        <w:t>á</w:t>
      </w:r>
      <w:r w:rsidRPr="00FB4EFA">
        <w:rPr>
          <w:szCs w:val="24"/>
          <w:lang w:val="hu-HU"/>
        </w:rPr>
        <w:t>rg</w:t>
      </w:r>
      <w:r w:rsidRPr="00FB4EFA">
        <w:rPr>
          <w:rFonts w:cs="Baskerville Old Face"/>
          <w:szCs w:val="24"/>
          <w:lang w:val="hu-HU"/>
        </w:rPr>
        <w:t>á</w:t>
      </w:r>
      <w:r w:rsidRPr="00FB4EFA">
        <w:rPr>
          <w:szCs w:val="24"/>
          <w:lang w:val="hu-HU"/>
        </w:rPr>
        <w:t>val, k</w:t>
      </w:r>
      <w:r w:rsidRPr="00FB4EFA">
        <w:rPr>
          <w:rFonts w:cs="Baskerville Old Face"/>
          <w:szCs w:val="24"/>
          <w:lang w:val="hu-HU"/>
        </w:rPr>
        <w:t>é</w:t>
      </w:r>
      <w:r w:rsidRPr="00FB4EFA">
        <w:rPr>
          <w:szCs w:val="24"/>
          <w:lang w:val="hu-HU"/>
        </w:rPr>
        <w:t>kkel, pirossal festette sz</w:t>
      </w:r>
      <w:r w:rsidRPr="00FB4EFA">
        <w:rPr>
          <w:rFonts w:cs="Baskerville Old Face"/>
          <w:szCs w:val="24"/>
          <w:lang w:val="hu-HU"/>
        </w:rPr>
        <w:t>á</w:t>
      </w:r>
      <w:r w:rsidRPr="00FB4EFA">
        <w:rPr>
          <w:szCs w:val="24"/>
          <w:lang w:val="hu-HU"/>
        </w:rPr>
        <w:t>mi alanyait, mint egy</w:t>
      </w:r>
      <w:r w:rsidRPr="00FB4EFA">
        <w:rPr>
          <w:rFonts w:cs="Baskerville Old Face"/>
          <w:szCs w:val="24"/>
          <w:lang w:val="hu-HU"/>
        </w:rPr>
        <w:t>é</w:t>
      </w:r>
      <w:r w:rsidRPr="00FB4EFA">
        <w:rPr>
          <w:szCs w:val="24"/>
          <w:lang w:val="hu-HU"/>
        </w:rPr>
        <w:t>bk</w:t>
      </w:r>
      <w:r w:rsidRPr="00FB4EFA">
        <w:rPr>
          <w:rFonts w:cs="Baskerville Old Face"/>
          <w:szCs w:val="24"/>
          <w:lang w:val="hu-HU"/>
        </w:rPr>
        <w:t>é</w:t>
      </w:r>
      <w:r w:rsidRPr="00FB4EFA">
        <w:rPr>
          <w:szCs w:val="24"/>
          <w:lang w:val="hu-HU"/>
        </w:rPr>
        <w:t>nt a vesztf</w:t>
      </w:r>
      <w:r w:rsidRPr="00FB4EFA">
        <w:rPr>
          <w:rFonts w:cs="Baskerville Old Face"/>
          <w:szCs w:val="24"/>
          <w:lang w:val="hu-HU"/>
        </w:rPr>
        <w:t>á</w:t>
      </w:r>
      <w:r w:rsidRPr="00FB4EFA">
        <w:rPr>
          <w:szCs w:val="24"/>
          <w:lang w:val="hu-HU"/>
        </w:rPr>
        <w:t xml:space="preserve">liai modelljeit. </w:t>
      </w:r>
      <w:r w:rsidRPr="00FB4EFA">
        <w:rPr>
          <w:rFonts w:cs="Baskerville Old Face"/>
          <w:szCs w:val="24"/>
          <w:lang w:val="hu-HU"/>
        </w:rPr>
        <w:t>É</w:t>
      </w:r>
      <w:r w:rsidRPr="00FB4EFA">
        <w:rPr>
          <w:szCs w:val="24"/>
          <w:lang w:val="hu-HU"/>
        </w:rPr>
        <w:t>s ehhez nem is kellett a valóságtól eltérnie, mert a sz</w:t>
      </w:r>
      <w:r w:rsidRPr="00FB4EFA">
        <w:rPr>
          <w:rFonts w:cs="Baskerville Old Face"/>
          <w:szCs w:val="24"/>
          <w:lang w:val="hu-HU"/>
        </w:rPr>
        <w:t>á</w:t>
      </w:r>
      <w:r w:rsidRPr="00FB4EFA">
        <w:rPr>
          <w:szCs w:val="24"/>
          <w:lang w:val="hu-HU"/>
        </w:rPr>
        <w:t xml:space="preserve">mik </w:t>
      </w:r>
      <w:r w:rsidRPr="00FB4EFA">
        <w:rPr>
          <w:rFonts w:cs="Baskerville Old Face"/>
          <w:szCs w:val="24"/>
          <w:lang w:val="hu-HU"/>
        </w:rPr>
        <w:t>ö</w:t>
      </w:r>
      <w:r w:rsidRPr="00FB4EFA">
        <w:rPr>
          <w:szCs w:val="24"/>
          <w:lang w:val="hu-HU"/>
        </w:rPr>
        <w:t>lt</w:t>
      </w:r>
      <w:r w:rsidRPr="00FB4EFA">
        <w:rPr>
          <w:rFonts w:cs="Baskerville Old Face"/>
          <w:szCs w:val="24"/>
          <w:lang w:val="hu-HU"/>
        </w:rPr>
        <w:t>ö</w:t>
      </w:r>
      <w:r w:rsidRPr="00FB4EFA">
        <w:rPr>
          <w:szCs w:val="24"/>
          <w:lang w:val="hu-HU"/>
        </w:rPr>
        <w:t>z</w:t>
      </w:r>
      <w:r w:rsidRPr="00FB4EFA">
        <w:rPr>
          <w:rFonts w:cs="Baskerville Old Face"/>
          <w:szCs w:val="24"/>
          <w:lang w:val="hu-HU"/>
        </w:rPr>
        <w:t>é</w:t>
      </w:r>
      <w:r w:rsidRPr="00FB4EFA">
        <w:rPr>
          <w:szCs w:val="24"/>
          <w:lang w:val="hu-HU"/>
        </w:rPr>
        <w:t>k</w:t>
      </w:r>
      <w:r w:rsidRPr="00FB4EFA">
        <w:rPr>
          <w:rFonts w:cs="Baskerville Old Face"/>
          <w:szCs w:val="24"/>
          <w:lang w:val="hu-HU"/>
        </w:rPr>
        <w:t>é</w:t>
      </w:r>
      <w:r w:rsidRPr="00FB4EFA">
        <w:rPr>
          <w:szCs w:val="24"/>
          <w:lang w:val="hu-HU"/>
        </w:rPr>
        <w:t>nek sz</w:t>
      </w:r>
      <w:r w:rsidRPr="00FB4EFA">
        <w:rPr>
          <w:rFonts w:cs="Baskerville Old Face"/>
          <w:szCs w:val="24"/>
          <w:lang w:val="hu-HU"/>
        </w:rPr>
        <w:t>í</w:t>
      </w:r>
      <w:r w:rsidRPr="00FB4EFA">
        <w:rPr>
          <w:szCs w:val="24"/>
          <w:lang w:val="hu-HU"/>
        </w:rPr>
        <w:t>nei val</w:t>
      </w:r>
      <w:r w:rsidRPr="00FB4EFA">
        <w:rPr>
          <w:rFonts w:cs="Baskerville Old Face"/>
          <w:szCs w:val="24"/>
          <w:lang w:val="hu-HU"/>
        </w:rPr>
        <w:t>ó</w:t>
      </w:r>
      <w:r w:rsidRPr="00FB4EFA">
        <w:rPr>
          <w:szCs w:val="24"/>
          <w:lang w:val="hu-HU"/>
        </w:rPr>
        <w:t>ban megegyeztek a fest</w:t>
      </w:r>
      <w:r w:rsidRPr="00FB4EFA">
        <w:rPr>
          <w:rFonts w:cs="Cambria"/>
          <w:szCs w:val="24"/>
          <w:lang w:val="hu-HU"/>
        </w:rPr>
        <w:t>ő</w:t>
      </w:r>
      <w:r w:rsidRPr="00FB4EFA">
        <w:rPr>
          <w:szCs w:val="24"/>
          <w:lang w:val="hu-HU"/>
        </w:rPr>
        <w:t xml:space="preserve"> am</w:t>
      </w:r>
      <w:r w:rsidRPr="00FB4EFA">
        <w:rPr>
          <w:rFonts w:cs="Baskerville Old Face"/>
          <w:szCs w:val="24"/>
          <w:lang w:val="hu-HU"/>
        </w:rPr>
        <w:t>ú</w:t>
      </w:r>
      <w:r w:rsidRPr="00FB4EFA">
        <w:rPr>
          <w:szCs w:val="24"/>
          <w:lang w:val="hu-HU"/>
        </w:rPr>
        <w:t>gy is nagyon sz</w:t>
      </w:r>
      <w:r w:rsidRPr="00FB4EFA">
        <w:rPr>
          <w:rFonts w:cs="Baskerville Old Face"/>
          <w:szCs w:val="24"/>
          <w:lang w:val="hu-HU"/>
        </w:rPr>
        <w:t>í</w:t>
      </w:r>
      <w:r w:rsidRPr="00FB4EFA">
        <w:rPr>
          <w:szCs w:val="24"/>
          <w:lang w:val="hu-HU"/>
        </w:rPr>
        <w:t>vesen haszn</w:t>
      </w:r>
      <w:r w:rsidRPr="00FB4EFA">
        <w:rPr>
          <w:rFonts w:cs="Baskerville Old Face"/>
          <w:szCs w:val="24"/>
          <w:lang w:val="hu-HU"/>
        </w:rPr>
        <w:t>á</w:t>
      </w:r>
      <w:r w:rsidRPr="00FB4EFA">
        <w:rPr>
          <w:szCs w:val="24"/>
          <w:lang w:val="hu-HU"/>
        </w:rPr>
        <w:t>lt alapszíneivel. Példaként egy édesanyjáról (Hanna Böckstiegel) készült lenyomatát vessünk össze egy számi n</w:t>
      </w:r>
      <w:r w:rsidRPr="00FB4EFA">
        <w:rPr>
          <w:rFonts w:cs="Cambria"/>
          <w:szCs w:val="24"/>
          <w:lang w:val="hu-HU"/>
        </w:rPr>
        <w:t>ő</w:t>
      </w:r>
      <w:r w:rsidRPr="00FB4EFA">
        <w:rPr>
          <w:szCs w:val="24"/>
          <w:lang w:val="hu-HU"/>
        </w:rPr>
        <w:t xml:space="preserve"> (Tuomas Aini Magga) akvarellportr</w:t>
      </w:r>
      <w:r w:rsidRPr="00FB4EFA">
        <w:rPr>
          <w:rFonts w:cs="Baskerville Old Face"/>
          <w:szCs w:val="24"/>
          <w:lang w:val="hu-HU"/>
        </w:rPr>
        <w:t>é</w:t>
      </w:r>
      <w:r w:rsidRPr="00FB4EFA">
        <w:rPr>
          <w:szCs w:val="24"/>
          <w:lang w:val="hu-HU"/>
        </w:rPr>
        <w:t>j</w:t>
      </w:r>
      <w:r w:rsidRPr="00FB4EFA">
        <w:rPr>
          <w:rFonts w:cs="Baskerville Old Face"/>
          <w:szCs w:val="24"/>
          <w:lang w:val="hu-HU"/>
        </w:rPr>
        <w:t>á</w:t>
      </w:r>
      <w:r w:rsidRPr="00FB4EFA">
        <w:rPr>
          <w:szCs w:val="24"/>
          <w:lang w:val="hu-HU"/>
        </w:rPr>
        <w:t>val.</w:t>
      </w:r>
    </w:p>
    <w:tbl>
      <w:tblPr>
        <w:tblW w:w="6166" w:type="dxa"/>
        <w:jc w:val="center"/>
        <w:tblCellMar>
          <w:left w:w="10" w:type="dxa"/>
          <w:right w:w="10" w:type="dxa"/>
        </w:tblCellMar>
        <w:tblLook w:val="04A0" w:firstRow="1" w:lastRow="0" w:firstColumn="1" w:lastColumn="0" w:noHBand="0" w:noVBand="1"/>
      </w:tblPr>
      <w:tblGrid>
        <w:gridCol w:w="3439"/>
        <w:gridCol w:w="3225"/>
      </w:tblGrid>
      <w:tr w:rsidR="00FB4EFA" w:rsidRPr="00FB4EFA" w14:paraId="3FC15880" w14:textId="77777777" w:rsidTr="00E162E1">
        <w:trPr>
          <w:jc w:val="center"/>
        </w:trPr>
        <w:tc>
          <w:tcPr>
            <w:tcW w:w="3186" w:type="dxa"/>
            <w:shd w:val="clear" w:color="auto" w:fill="auto"/>
            <w:tcMar>
              <w:top w:w="0" w:type="dxa"/>
              <w:left w:w="108" w:type="dxa"/>
              <w:bottom w:w="0" w:type="dxa"/>
              <w:right w:w="108" w:type="dxa"/>
            </w:tcMar>
          </w:tcPr>
          <w:p w14:paraId="45641796" w14:textId="77777777" w:rsidR="00B3200B" w:rsidRPr="00FB4EFA" w:rsidRDefault="00B3200B" w:rsidP="00863238">
            <w:r w:rsidRPr="00FB4EFA">
              <w:rPr>
                <w:noProof/>
                <w:szCs w:val="24"/>
              </w:rPr>
              <w:drawing>
                <wp:inline distT="0" distB="0" distL="0" distR="0" wp14:anchorId="5214A8AF" wp14:editId="39F97933">
                  <wp:extent cx="2047202" cy="2340000"/>
                  <wp:effectExtent l="0" t="0" r="0" b="0"/>
                  <wp:docPr id="11" name="Picture 1"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rcRect/>
                          <a:stretch>
                            <a:fillRect/>
                          </a:stretch>
                        </pic:blipFill>
                        <pic:spPr>
                          <a:xfrm>
                            <a:off x="0" y="0"/>
                            <a:ext cx="2047202" cy="2340000"/>
                          </a:xfrm>
                          <a:prstGeom prst="rect">
                            <a:avLst/>
                          </a:prstGeom>
                          <a:noFill/>
                          <a:ln>
                            <a:noFill/>
                            <a:prstDash/>
                          </a:ln>
                        </pic:spPr>
                      </pic:pic>
                    </a:graphicData>
                  </a:graphic>
                </wp:inline>
              </w:drawing>
            </w:r>
          </w:p>
        </w:tc>
        <w:tc>
          <w:tcPr>
            <w:tcW w:w="2980" w:type="dxa"/>
            <w:shd w:val="clear" w:color="auto" w:fill="auto"/>
            <w:tcMar>
              <w:top w:w="0" w:type="dxa"/>
              <w:left w:w="108" w:type="dxa"/>
              <w:bottom w:w="0" w:type="dxa"/>
              <w:right w:w="108" w:type="dxa"/>
            </w:tcMar>
          </w:tcPr>
          <w:p w14:paraId="2BE9B494" w14:textId="77777777" w:rsidR="00B3200B" w:rsidRPr="00FB4EFA" w:rsidRDefault="00B3200B" w:rsidP="00863238">
            <w:r w:rsidRPr="00FB4EFA">
              <w:rPr>
                <w:noProof/>
                <w:szCs w:val="24"/>
                <w:lang w:eastAsia="de-DE"/>
              </w:rPr>
              <w:drawing>
                <wp:inline distT="0" distB="0" distL="0" distR="0" wp14:anchorId="4FAB3FD1" wp14:editId="6BFCEF03">
                  <wp:extent cx="1911315" cy="2340000"/>
                  <wp:effectExtent l="0" t="0" r="0" b="0"/>
                  <wp:docPr id="3" name="Bild1" descr="A picture containing text, graffiti,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1911315" cy="2340000"/>
                          </a:xfrm>
                          <a:prstGeom prst="rect">
                            <a:avLst/>
                          </a:prstGeom>
                          <a:noFill/>
                          <a:ln>
                            <a:noFill/>
                            <a:prstDash/>
                          </a:ln>
                        </pic:spPr>
                      </pic:pic>
                    </a:graphicData>
                  </a:graphic>
                </wp:inline>
              </w:drawing>
            </w:r>
          </w:p>
        </w:tc>
      </w:tr>
    </w:tbl>
    <w:p w14:paraId="776CEBF5" w14:textId="1F809CA1" w:rsidR="00B3200B" w:rsidRPr="00FB4EFA" w:rsidRDefault="00B3200B" w:rsidP="00863238">
      <w:pPr>
        <w:spacing w:before="120" w:after="240"/>
        <w:jc w:val="center"/>
        <w:rPr>
          <w:sz w:val="18"/>
          <w:szCs w:val="18"/>
        </w:rPr>
      </w:pPr>
      <w:r w:rsidRPr="00FB4EFA">
        <w:rPr>
          <w:b/>
          <w:bCs/>
          <w:sz w:val="18"/>
          <w:szCs w:val="18"/>
        </w:rPr>
        <w:t>2. ábra</w:t>
      </w:r>
      <w:r w:rsidRPr="00FB4EFA">
        <w:rPr>
          <w:sz w:val="18"/>
          <w:szCs w:val="18"/>
        </w:rPr>
        <w:t xml:space="preserve"> </w:t>
      </w:r>
      <w:r w:rsidRPr="00FB4EFA">
        <w:rPr>
          <w:i/>
          <w:iCs/>
          <w:sz w:val="18"/>
          <w:szCs w:val="18"/>
        </w:rPr>
        <w:t>P. A. Böckstiegel két n</w:t>
      </w:r>
      <w:r w:rsidRPr="00FB4EFA">
        <w:rPr>
          <w:rFonts w:cs="Cambria"/>
          <w:i/>
          <w:iCs/>
          <w:sz w:val="18"/>
          <w:szCs w:val="18"/>
        </w:rPr>
        <w:t>ő</w:t>
      </w:r>
      <w:r w:rsidRPr="00FB4EFA">
        <w:rPr>
          <w:i/>
          <w:iCs/>
          <w:sz w:val="18"/>
          <w:szCs w:val="18"/>
        </w:rPr>
        <w:t>i portr</w:t>
      </w:r>
      <w:r w:rsidRPr="00FB4EFA">
        <w:rPr>
          <w:rFonts w:cs="Baskerville Old Face"/>
          <w:i/>
          <w:iCs/>
          <w:sz w:val="18"/>
          <w:szCs w:val="18"/>
        </w:rPr>
        <w:t>é</w:t>
      </w:r>
      <w:r w:rsidRPr="00FB4EFA">
        <w:rPr>
          <w:i/>
          <w:iCs/>
          <w:sz w:val="18"/>
          <w:szCs w:val="18"/>
        </w:rPr>
        <w:t>ja</w:t>
      </w:r>
    </w:p>
    <w:p w14:paraId="28A4FE75" w14:textId="39662C98" w:rsidR="00B3200B" w:rsidRPr="00FB4EFA" w:rsidRDefault="00B3200B" w:rsidP="00863238">
      <w:pPr>
        <w:spacing w:after="240"/>
        <w:rPr>
          <w:szCs w:val="24"/>
          <w:lang w:val="hu-HU"/>
        </w:rPr>
      </w:pPr>
      <w:r w:rsidRPr="00FB4EFA">
        <w:rPr>
          <w:lang w:val="hu-HU"/>
        </w:rPr>
        <w:t>Tuomas Aini Magga egyike volt azon számiknak, akikr</w:t>
      </w:r>
      <w:r w:rsidRPr="00FB4EFA">
        <w:rPr>
          <w:rFonts w:cs="Cambria"/>
          <w:lang w:val="hu-HU"/>
        </w:rPr>
        <w:t>ő</w:t>
      </w:r>
      <w:r w:rsidRPr="00FB4EFA">
        <w:rPr>
          <w:lang w:val="hu-HU"/>
        </w:rPr>
        <w:t>l egy</w:t>
      </w:r>
      <w:r w:rsidRPr="00FB4EFA">
        <w:rPr>
          <w:rFonts w:cs="Baskerville Old Face"/>
          <w:lang w:val="hu-HU"/>
        </w:rPr>
        <w:t>é</w:t>
      </w:r>
      <w:r w:rsidRPr="00FB4EFA">
        <w:rPr>
          <w:lang w:val="hu-HU"/>
        </w:rPr>
        <w:t xml:space="preserve">ni </w:t>
      </w:r>
      <w:r w:rsidRPr="00FB4EFA">
        <w:rPr>
          <w:rFonts w:cs="Baskerville Old Face"/>
          <w:lang w:val="hu-HU"/>
        </w:rPr>
        <w:t>é</w:t>
      </w:r>
      <w:r w:rsidRPr="00FB4EFA">
        <w:rPr>
          <w:lang w:val="hu-HU"/>
        </w:rPr>
        <w:t>s csoportos (a sz</w:t>
      </w:r>
      <w:r w:rsidRPr="00FB4EFA">
        <w:rPr>
          <w:rFonts w:cs="Baskerville Old Face"/>
          <w:lang w:val="hu-HU"/>
        </w:rPr>
        <w:t>á</w:t>
      </w:r>
      <w:r w:rsidRPr="00FB4EFA">
        <w:rPr>
          <w:lang w:val="hu-HU"/>
        </w:rPr>
        <w:t>mi karav</w:t>
      </w:r>
      <w:r w:rsidRPr="00FB4EFA">
        <w:rPr>
          <w:rFonts w:cs="Baskerville Old Face"/>
          <w:lang w:val="hu-HU"/>
        </w:rPr>
        <w:t>á</w:t>
      </w:r>
      <w:r w:rsidRPr="00FB4EFA">
        <w:rPr>
          <w:lang w:val="hu-HU"/>
        </w:rPr>
        <w:t>n tov</w:t>
      </w:r>
      <w:r w:rsidRPr="00FB4EFA">
        <w:rPr>
          <w:rFonts w:cs="Baskerville Old Face"/>
          <w:lang w:val="hu-HU"/>
        </w:rPr>
        <w:t>á</w:t>
      </w:r>
      <w:r w:rsidRPr="00FB4EFA">
        <w:rPr>
          <w:lang w:val="hu-HU"/>
        </w:rPr>
        <w:t>bbi tizenh</w:t>
      </w:r>
      <w:r w:rsidRPr="00FB4EFA">
        <w:rPr>
          <w:rFonts w:cs="Baskerville Old Face"/>
          <w:lang w:val="hu-HU"/>
        </w:rPr>
        <w:t>á</w:t>
      </w:r>
      <w:r w:rsidRPr="00FB4EFA">
        <w:rPr>
          <w:lang w:val="hu-HU"/>
        </w:rPr>
        <w:t>rom tagjával egy</w:t>
      </w:r>
      <w:r w:rsidRPr="00FB4EFA">
        <w:rPr>
          <w:rFonts w:cs="Baskerville Old Face"/>
          <w:lang w:val="hu-HU"/>
        </w:rPr>
        <w:t>ü</w:t>
      </w:r>
      <w:r w:rsidRPr="00FB4EFA">
        <w:rPr>
          <w:lang w:val="hu-HU"/>
        </w:rPr>
        <w:t>tt) f</w:t>
      </w:r>
      <w:r w:rsidRPr="00FB4EFA">
        <w:rPr>
          <w:rFonts w:cs="Baskerville Old Face"/>
          <w:lang w:val="hu-HU"/>
        </w:rPr>
        <w:t>é</w:t>
      </w:r>
      <w:r w:rsidRPr="00FB4EFA">
        <w:rPr>
          <w:lang w:val="hu-HU"/>
        </w:rPr>
        <w:t>nyk</w:t>
      </w:r>
      <w:r w:rsidRPr="00FB4EFA">
        <w:rPr>
          <w:rFonts w:cs="Baskerville Old Face"/>
          <w:lang w:val="hu-HU"/>
        </w:rPr>
        <w:t>é</w:t>
      </w:r>
      <w:r w:rsidRPr="00FB4EFA">
        <w:rPr>
          <w:lang w:val="hu-HU"/>
        </w:rPr>
        <w:t>p is k</w:t>
      </w:r>
      <w:r w:rsidRPr="00FB4EFA">
        <w:rPr>
          <w:rFonts w:cs="Baskerville Old Face"/>
          <w:lang w:val="hu-HU"/>
        </w:rPr>
        <w:t>é</w:t>
      </w:r>
      <w:r w:rsidRPr="00FB4EFA">
        <w:rPr>
          <w:lang w:val="hu-HU"/>
        </w:rPr>
        <w:t>sz</w:t>
      </w:r>
      <w:r w:rsidRPr="00FB4EFA">
        <w:rPr>
          <w:rFonts w:cs="Baskerville Old Face"/>
          <w:lang w:val="hu-HU"/>
        </w:rPr>
        <w:t>ü</w:t>
      </w:r>
      <w:r w:rsidRPr="00FB4EFA">
        <w:rPr>
          <w:lang w:val="hu-HU"/>
        </w:rPr>
        <w:t xml:space="preserve">lt </w:t>
      </w:r>
      <w:r w:rsidRPr="00FB4EFA">
        <w:rPr>
          <w:rFonts w:cs="Baskerville Old Face"/>
          <w:lang w:val="hu-HU"/>
        </w:rPr>
        <w:t>é</w:t>
      </w:r>
      <w:r w:rsidRPr="00FB4EFA">
        <w:rPr>
          <w:lang w:val="hu-HU"/>
        </w:rPr>
        <w:t xml:space="preserve">s </w:t>
      </w:r>
      <w:r w:rsidR="00232DF4" w:rsidRPr="00FB4EFA">
        <w:rPr>
          <w:lang w:val="hu-HU"/>
        </w:rPr>
        <w:t xml:space="preserve">maradt </w:t>
      </w:r>
      <w:r w:rsidRPr="00FB4EFA">
        <w:rPr>
          <w:lang w:val="hu-HU"/>
        </w:rPr>
        <w:t>fenn</w:t>
      </w:r>
      <w:r w:rsidRPr="00FB4EFA">
        <w:rPr>
          <w:vertAlign w:val="superscript"/>
          <w:lang w:val="hu-HU"/>
        </w:rPr>
        <w:footnoteReference w:id="164"/>
      </w:r>
      <w:r w:rsidRPr="00FB4EFA">
        <w:rPr>
          <w:lang w:val="hu-HU"/>
        </w:rPr>
        <w:t>. Portréját Böckstiegel további négy akvarellen</w:t>
      </w:r>
      <w:r w:rsidR="00232DF4" w:rsidRPr="00FB4EFA">
        <w:rPr>
          <w:lang w:val="hu-HU"/>
        </w:rPr>
        <w:t xml:space="preserve"> es</w:t>
      </w:r>
      <w:r w:rsidRPr="00FB4EFA">
        <w:rPr>
          <w:lang w:val="hu-HU"/>
        </w:rPr>
        <w:t xml:space="preserve"> három rézkarcon </w:t>
      </w:r>
      <w:r w:rsidR="00232DF4" w:rsidRPr="00FB4EFA">
        <w:rPr>
          <w:lang w:val="hu-HU"/>
        </w:rPr>
        <w:t>örökítet meg számikat</w:t>
      </w:r>
      <w:r w:rsidRPr="00FB4EFA">
        <w:rPr>
          <w:lang w:val="hu-HU"/>
        </w:rPr>
        <w:t>. Ezeket a képeket 1928-ig néhányszor ki is állították, de utána egészen a 2019-es wertheri múzeumi kiállításig nem. Id</w:t>
      </w:r>
      <w:r w:rsidRPr="00FB4EFA">
        <w:rPr>
          <w:rFonts w:cs="Cambria"/>
          <w:lang w:val="hu-HU"/>
        </w:rPr>
        <w:t>ő</w:t>
      </w:r>
      <w:r w:rsidRPr="00FB4EFA">
        <w:rPr>
          <w:lang w:val="hu-HU"/>
        </w:rPr>
        <w:t>k</w:t>
      </w:r>
      <w:r w:rsidRPr="00FB4EFA">
        <w:rPr>
          <w:rFonts w:cs="Baskerville Old Face"/>
          <w:lang w:val="hu-HU"/>
        </w:rPr>
        <w:t>ö</w:t>
      </w:r>
      <w:r w:rsidRPr="00FB4EFA">
        <w:rPr>
          <w:lang w:val="hu-HU"/>
        </w:rPr>
        <w:t>zben a sz</w:t>
      </w:r>
      <w:r w:rsidRPr="00FB4EFA">
        <w:rPr>
          <w:rFonts w:cs="Baskerville Old Face"/>
          <w:lang w:val="hu-HU"/>
        </w:rPr>
        <w:t>á</w:t>
      </w:r>
      <w:r w:rsidRPr="00FB4EFA">
        <w:rPr>
          <w:lang w:val="hu-HU"/>
        </w:rPr>
        <w:t>muk viszont eggyel cs</w:t>
      </w:r>
      <w:r w:rsidRPr="00FB4EFA">
        <w:rPr>
          <w:rFonts w:cs="Baskerville Old Face"/>
          <w:lang w:val="hu-HU"/>
        </w:rPr>
        <w:t>ö</w:t>
      </w:r>
      <w:r w:rsidRPr="00FB4EFA">
        <w:rPr>
          <w:lang w:val="hu-HU"/>
        </w:rPr>
        <w:t>kkent. A port</w:t>
      </w:r>
      <w:r w:rsidRPr="00FB4EFA">
        <w:rPr>
          <w:rFonts w:cs="Baskerville Old Face"/>
          <w:lang w:val="hu-HU"/>
        </w:rPr>
        <w:t>é</w:t>
      </w:r>
      <w:r w:rsidRPr="00FB4EFA">
        <w:rPr>
          <w:lang w:val="hu-HU"/>
        </w:rPr>
        <w:t xml:space="preserve">k </w:t>
      </w:r>
      <w:r w:rsidRPr="00FB4EFA">
        <w:rPr>
          <w:lang w:val="hu-HU"/>
        </w:rPr>
        <w:lastRenderedPageBreak/>
        <w:t>mellett k</w:t>
      </w:r>
      <w:r w:rsidRPr="00FB4EFA">
        <w:rPr>
          <w:rFonts w:cs="Baskerville Old Face"/>
          <w:lang w:val="hu-HU"/>
        </w:rPr>
        <w:t>é</w:t>
      </w:r>
      <w:r w:rsidRPr="00FB4EFA">
        <w:rPr>
          <w:lang w:val="hu-HU"/>
        </w:rPr>
        <w:t>sz</w:t>
      </w:r>
      <w:r w:rsidRPr="00FB4EFA">
        <w:rPr>
          <w:rFonts w:cs="Baskerville Old Face"/>
          <w:lang w:val="hu-HU"/>
        </w:rPr>
        <w:t>ü</w:t>
      </w:r>
      <w:r w:rsidRPr="00FB4EFA">
        <w:rPr>
          <w:lang w:val="hu-HU"/>
        </w:rPr>
        <w:t>lt egy t</w:t>
      </w:r>
      <w:r w:rsidRPr="00FB4EFA">
        <w:rPr>
          <w:rFonts w:cs="Baskerville Old Face"/>
          <w:lang w:val="hu-HU"/>
        </w:rPr>
        <w:t>ö</w:t>
      </w:r>
      <w:r w:rsidRPr="00FB4EFA">
        <w:rPr>
          <w:lang w:val="hu-HU"/>
        </w:rPr>
        <w:t>bbtag</w:t>
      </w:r>
      <w:r w:rsidRPr="00FB4EFA">
        <w:rPr>
          <w:rFonts w:cs="Baskerville Old Face"/>
          <w:lang w:val="hu-HU"/>
        </w:rPr>
        <w:t>ú</w:t>
      </w:r>
      <w:r w:rsidRPr="00FB4EFA">
        <w:rPr>
          <w:lang w:val="hu-HU"/>
        </w:rPr>
        <w:t xml:space="preserve"> sz</w:t>
      </w:r>
      <w:r w:rsidRPr="00FB4EFA">
        <w:rPr>
          <w:rFonts w:cs="Baskerville Old Face"/>
          <w:lang w:val="hu-HU"/>
        </w:rPr>
        <w:t>á</w:t>
      </w:r>
      <w:r w:rsidRPr="00FB4EFA">
        <w:rPr>
          <w:lang w:val="hu-HU"/>
        </w:rPr>
        <w:t>mi csal</w:t>
      </w:r>
      <w:r w:rsidRPr="00FB4EFA">
        <w:rPr>
          <w:rFonts w:cs="Baskerville Old Face"/>
          <w:lang w:val="hu-HU"/>
        </w:rPr>
        <w:t>á</w:t>
      </w:r>
      <w:r w:rsidRPr="00FB4EFA">
        <w:rPr>
          <w:lang w:val="hu-HU"/>
        </w:rPr>
        <w:t>di k</w:t>
      </w:r>
      <w:r w:rsidRPr="00FB4EFA">
        <w:rPr>
          <w:rFonts w:cs="Baskerville Old Face"/>
          <w:lang w:val="hu-HU"/>
        </w:rPr>
        <w:t>é</w:t>
      </w:r>
      <w:r w:rsidRPr="00FB4EFA">
        <w:rPr>
          <w:lang w:val="hu-HU"/>
        </w:rPr>
        <w:t xml:space="preserve">p is, </w:t>
      </w:r>
      <w:r w:rsidRPr="00FB4EFA">
        <w:rPr>
          <w:rFonts w:cs="Baskerville Old Face"/>
          <w:lang w:val="hu-HU"/>
        </w:rPr>
        <w:t>é</w:t>
      </w:r>
      <w:r w:rsidRPr="00FB4EFA">
        <w:rPr>
          <w:lang w:val="hu-HU"/>
        </w:rPr>
        <w:t>s erre az olajfestm</w:t>
      </w:r>
      <w:r w:rsidRPr="00FB4EFA">
        <w:rPr>
          <w:rFonts w:cs="Baskerville Old Face"/>
          <w:lang w:val="hu-HU"/>
        </w:rPr>
        <w:t>é</w:t>
      </w:r>
      <w:r w:rsidRPr="00FB4EFA">
        <w:rPr>
          <w:lang w:val="hu-HU"/>
        </w:rPr>
        <w:t>nyére a fent eml</w:t>
      </w:r>
      <w:r w:rsidRPr="00FB4EFA">
        <w:rPr>
          <w:rFonts w:cs="Baskerville Old Face"/>
          <w:lang w:val="hu-HU"/>
        </w:rPr>
        <w:t>í</w:t>
      </w:r>
      <w:r w:rsidRPr="00FB4EFA">
        <w:rPr>
          <w:lang w:val="hu-HU"/>
        </w:rPr>
        <w:t>tett wertheri bar</w:t>
      </w:r>
      <w:r w:rsidRPr="00FB4EFA">
        <w:rPr>
          <w:rFonts w:cs="Baskerville Old Face"/>
          <w:lang w:val="hu-HU"/>
        </w:rPr>
        <w:t>á</w:t>
      </w:r>
      <w:r w:rsidRPr="00FB4EFA">
        <w:rPr>
          <w:lang w:val="hu-HU"/>
        </w:rPr>
        <w:t>tj</w:t>
      </w:r>
      <w:r w:rsidRPr="00FB4EFA">
        <w:rPr>
          <w:rFonts w:cs="Baskerville Old Face"/>
          <w:lang w:val="hu-HU"/>
        </w:rPr>
        <w:t>á</w:t>
      </w:r>
      <w:r w:rsidRPr="00FB4EFA">
        <w:rPr>
          <w:lang w:val="hu-HU"/>
        </w:rPr>
        <w:t xml:space="preserve">nak </w:t>
      </w:r>
      <w:r w:rsidRPr="00FB4EFA">
        <w:rPr>
          <w:rFonts w:cs="Baskerville Old Face"/>
          <w:lang w:val="hu-HU"/>
        </w:rPr>
        <w:t>í</w:t>
      </w:r>
      <w:r w:rsidRPr="00FB4EFA">
        <w:rPr>
          <w:lang w:val="hu-HU"/>
        </w:rPr>
        <w:t>rt szem</w:t>
      </w:r>
      <w:r w:rsidRPr="00FB4EFA">
        <w:rPr>
          <w:rFonts w:cs="Baskerville Old Face"/>
          <w:lang w:val="hu-HU"/>
        </w:rPr>
        <w:t>é</w:t>
      </w:r>
      <w:r w:rsidRPr="00FB4EFA">
        <w:rPr>
          <w:lang w:val="hu-HU"/>
        </w:rPr>
        <w:t>lyes level</w:t>
      </w:r>
      <w:r w:rsidRPr="00FB4EFA">
        <w:rPr>
          <w:rFonts w:cs="Baskerville Old Face"/>
          <w:lang w:val="hu-HU"/>
        </w:rPr>
        <w:t>é</w:t>
      </w:r>
      <w:r w:rsidRPr="00FB4EFA">
        <w:rPr>
          <w:lang w:val="hu-HU"/>
        </w:rPr>
        <w:t>ben a vesztf</w:t>
      </w:r>
      <w:r w:rsidRPr="00FB4EFA">
        <w:rPr>
          <w:rFonts w:cs="Baskerville Old Face"/>
          <w:lang w:val="hu-HU"/>
        </w:rPr>
        <w:t>á</w:t>
      </w:r>
      <w:r w:rsidRPr="00FB4EFA">
        <w:rPr>
          <w:lang w:val="hu-HU"/>
        </w:rPr>
        <w:t>liai expresszionista fest</w:t>
      </w:r>
      <w:r w:rsidRPr="00FB4EFA">
        <w:rPr>
          <w:rFonts w:cs="Cambria"/>
          <w:lang w:val="hu-HU"/>
        </w:rPr>
        <w:t>ő</w:t>
      </w:r>
      <w:r w:rsidRPr="00FB4EFA">
        <w:rPr>
          <w:lang w:val="hu-HU"/>
        </w:rPr>
        <w:t xml:space="preserve"> utal is. Err</w:t>
      </w:r>
      <w:r w:rsidRPr="00FB4EFA">
        <w:rPr>
          <w:rFonts w:cs="Cambria"/>
          <w:lang w:val="hu-HU"/>
        </w:rPr>
        <w:t>ő</w:t>
      </w:r>
      <w:r w:rsidRPr="00FB4EFA">
        <w:rPr>
          <w:lang w:val="hu-HU"/>
        </w:rPr>
        <w:t>l a festm</w:t>
      </w:r>
      <w:r w:rsidRPr="00FB4EFA">
        <w:rPr>
          <w:rFonts w:cs="Baskerville Old Face"/>
          <w:lang w:val="hu-HU"/>
        </w:rPr>
        <w:t>é</w:t>
      </w:r>
      <w:r w:rsidRPr="00FB4EFA">
        <w:rPr>
          <w:lang w:val="hu-HU"/>
        </w:rPr>
        <w:t>nyr</w:t>
      </w:r>
      <w:r w:rsidRPr="00FB4EFA">
        <w:rPr>
          <w:rFonts w:cs="Cambria"/>
          <w:lang w:val="hu-HU"/>
        </w:rPr>
        <w:t>ő</w:t>
      </w:r>
      <w:r w:rsidRPr="00FB4EFA">
        <w:rPr>
          <w:lang w:val="hu-HU"/>
        </w:rPr>
        <w:t>l David Riedel muzeol</w:t>
      </w:r>
      <w:r w:rsidRPr="00FB4EFA">
        <w:rPr>
          <w:rFonts w:cs="Baskerville Old Face"/>
          <w:lang w:val="hu-HU"/>
        </w:rPr>
        <w:t>ó</w:t>
      </w:r>
      <w:r w:rsidRPr="00FB4EFA">
        <w:rPr>
          <w:lang w:val="hu-HU"/>
        </w:rPr>
        <w:t>gus kutat</w:t>
      </w:r>
      <w:r w:rsidRPr="00FB4EFA">
        <w:rPr>
          <w:rFonts w:cs="Baskerville Old Face"/>
          <w:lang w:val="hu-HU"/>
        </w:rPr>
        <w:t>á</w:t>
      </w:r>
      <w:r w:rsidRPr="00FB4EFA">
        <w:rPr>
          <w:lang w:val="hu-HU"/>
        </w:rPr>
        <w:t>sainak k</w:t>
      </w:r>
      <w:r w:rsidRPr="00FB4EFA">
        <w:rPr>
          <w:rFonts w:cs="Baskerville Old Face"/>
          <w:lang w:val="hu-HU"/>
        </w:rPr>
        <w:t>ö</w:t>
      </w:r>
      <w:r w:rsidRPr="00FB4EFA">
        <w:rPr>
          <w:lang w:val="hu-HU"/>
        </w:rPr>
        <w:t>sz</w:t>
      </w:r>
      <w:r w:rsidRPr="00FB4EFA">
        <w:rPr>
          <w:rFonts w:cs="Baskerville Old Face"/>
          <w:lang w:val="hu-HU"/>
        </w:rPr>
        <w:t>ö</w:t>
      </w:r>
      <w:r w:rsidRPr="00FB4EFA">
        <w:rPr>
          <w:lang w:val="hu-HU"/>
        </w:rPr>
        <w:t>nhet</w:t>
      </w:r>
      <w:r w:rsidRPr="00FB4EFA">
        <w:rPr>
          <w:rFonts w:cs="Cambria"/>
          <w:lang w:val="hu-HU"/>
        </w:rPr>
        <w:t>ő</w:t>
      </w:r>
      <w:r w:rsidRPr="00FB4EFA">
        <w:rPr>
          <w:lang w:val="hu-HU"/>
        </w:rPr>
        <w:t>en azt is megtudhattuk, hogy 1925-t</w:t>
      </w:r>
      <w:r w:rsidRPr="00FB4EFA">
        <w:rPr>
          <w:rFonts w:cs="Cambria"/>
          <w:lang w:val="hu-HU"/>
        </w:rPr>
        <w:t>ő</w:t>
      </w:r>
      <w:r w:rsidRPr="00FB4EFA">
        <w:rPr>
          <w:lang w:val="hu-HU"/>
        </w:rPr>
        <w:t>l 1928-ig t</w:t>
      </w:r>
      <w:r w:rsidRPr="00FB4EFA">
        <w:rPr>
          <w:rFonts w:cs="Baskerville Old Face"/>
          <w:lang w:val="hu-HU"/>
        </w:rPr>
        <w:t>ö</w:t>
      </w:r>
      <w:r w:rsidRPr="00FB4EFA">
        <w:rPr>
          <w:lang w:val="hu-HU"/>
        </w:rPr>
        <w:t>bb helyen is ki</w:t>
      </w:r>
      <w:r w:rsidRPr="00FB4EFA">
        <w:rPr>
          <w:rFonts w:cs="Baskerville Old Face"/>
          <w:lang w:val="hu-HU"/>
        </w:rPr>
        <w:t>á</w:t>
      </w:r>
      <w:r w:rsidRPr="00FB4EFA">
        <w:rPr>
          <w:lang w:val="hu-HU"/>
        </w:rPr>
        <w:t>ll</w:t>
      </w:r>
      <w:r w:rsidRPr="00FB4EFA">
        <w:rPr>
          <w:rFonts w:cs="Baskerville Old Face"/>
          <w:lang w:val="hu-HU"/>
        </w:rPr>
        <w:t>í</w:t>
      </w:r>
      <w:r w:rsidRPr="00FB4EFA">
        <w:rPr>
          <w:lang w:val="hu-HU"/>
        </w:rPr>
        <w:t>t</w:t>
      </w:r>
      <w:r w:rsidRPr="00FB4EFA">
        <w:rPr>
          <w:rFonts w:cs="Baskerville Old Face"/>
          <w:lang w:val="hu-HU"/>
        </w:rPr>
        <w:t>á</w:t>
      </w:r>
      <w:r w:rsidRPr="00FB4EFA">
        <w:rPr>
          <w:lang w:val="hu-HU"/>
        </w:rPr>
        <w:t>sra ker</w:t>
      </w:r>
      <w:r w:rsidRPr="00FB4EFA">
        <w:rPr>
          <w:rFonts w:cs="Baskerville Old Face"/>
          <w:lang w:val="hu-HU"/>
        </w:rPr>
        <w:t>ü</w:t>
      </w:r>
      <w:r w:rsidRPr="00FB4EFA">
        <w:rPr>
          <w:lang w:val="hu-HU"/>
        </w:rPr>
        <w:t>lt, pl. Drezd</w:t>
      </w:r>
      <w:r w:rsidRPr="00FB4EFA">
        <w:rPr>
          <w:rFonts w:cs="Baskerville Old Face"/>
          <w:lang w:val="hu-HU"/>
        </w:rPr>
        <w:t>á</w:t>
      </w:r>
      <w:r w:rsidRPr="00FB4EFA">
        <w:rPr>
          <w:lang w:val="hu-HU"/>
        </w:rPr>
        <w:t xml:space="preserve">ban (1925), Berlinben, Dortmundban, Essenben, Bielefeldben </w:t>
      </w:r>
      <w:r w:rsidRPr="00FB4EFA">
        <w:rPr>
          <w:rFonts w:cs="Baskerville Old Face"/>
          <w:lang w:val="hu-HU"/>
        </w:rPr>
        <w:t>é</w:t>
      </w:r>
      <w:r w:rsidRPr="00FB4EFA">
        <w:rPr>
          <w:lang w:val="hu-HU"/>
        </w:rPr>
        <w:t>s Bochumban (1926), Hamburgban, Heilbronnban, Mannheimban (1927), valamint Rechlinghausenben, Aachenben, Hammban és Wormsban (1928). David Riedel feltételezései szerint az alábbi akvarell nagy valószín</w:t>
      </w:r>
      <w:r w:rsidRPr="00FB4EFA">
        <w:rPr>
          <w:rFonts w:cs="Cambria"/>
          <w:lang w:val="hu-HU"/>
        </w:rPr>
        <w:t>ű</w:t>
      </w:r>
      <w:r w:rsidRPr="00FB4EFA">
        <w:rPr>
          <w:lang w:val="hu-HU"/>
        </w:rPr>
        <w:t>s</w:t>
      </w:r>
      <w:r w:rsidRPr="00FB4EFA">
        <w:rPr>
          <w:rFonts w:cs="Baskerville Old Face"/>
          <w:lang w:val="hu-HU"/>
        </w:rPr>
        <w:t>é</w:t>
      </w:r>
      <w:r w:rsidRPr="00FB4EFA">
        <w:rPr>
          <w:lang w:val="hu-HU"/>
        </w:rPr>
        <w:t>ggel a csal</w:t>
      </w:r>
      <w:r w:rsidRPr="00FB4EFA">
        <w:rPr>
          <w:rFonts w:cs="Baskerville Old Face"/>
          <w:lang w:val="hu-HU"/>
        </w:rPr>
        <w:t>á</w:t>
      </w:r>
      <w:r w:rsidRPr="00FB4EFA">
        <w:rPr>
          <w:lang w:val="hu-HU"/>
        </w:rPr>
        <w:t>di k</w:t>
      </w:r>
      <w:r w:rsidRPr="00FB4EFA">
        <w:rPr>
          <w:rFonts w:cs="Baskerville Old Face"/>
          <w:lang w:val="hu-HU"/>
        </w:rPr>
        <w:t>é</w:t>
      </w:r>
      <w:r w:rsidRPr="00FB4EFA">
        <w:rPr>
          <w:lang w:val="hu-HU"/>
        </w:rPr>
        <w:t>p el</w:t>
      </w:r>
      <w:r w:rsidRPr="00FB4EFA">
        <w:rPr>
          <w:rFonts w:cs="Cambria"/>
          <w:lang w:val="hu-HU"/>
        </w:rPr>
        <w:t>ő</w:t>
      </w:r>
      <w:r w:rsidRPr="00FB4EFA">
        <w:rPr>
          <w:lang w:val="hu-HU"/>
        </w:rPr>
        <w:t>tanulm</w:t>
      </w:r>
      <w:r w:rsidRPr="00FB4EFA">
        <w:rPr>
          <w:rFonts w:cs="Baskerville Old Face"/>
          <w:lang w:val="hu-HU"/>
        </w:rPr>
        <w:t>á</w:t>
      </w:r>
      <w:r w:rsidRPr="00FB4EFA">
        <w:rPr>
          <w:lang w:val="hu-HU"/>
        </w:rPr>
        <w:t>nya volt (2014, 144). E k</w:t>
      </w:r>
      <w:r w:rsidRPr="00FB4EFA">
        <w:rPr>
          <w:rFonts w:cs="Baskerville Old Face"/>
          <w:lang w:val="hu-HU"/>
        </w:rPr>
        <w:t>é</w:t>
      </w:r>
      <w:r w:rsidRPr="00FB4EFA">
        <w:rPr>
          <w:lang w:val="hu-HU"/>
        </w:rPr>
        <w:t>pen nagy valószín</w:t>
      </w:r>
      <w:r w:rsidRPr="00FB4EFA">
        <w:rPr>
          <w:rFonts w:cs="Cambria"/>
          <w:lang w:val="hu-HU"/>
        </w:rPr>
        <w:t>ű</w:t>
      </w:r>
      <w:r w:rsidRPr="00FB4EFA">
        <w:rPr>
          <w:lang w:val="hu-HU"/>
        </w:rPr>
        <w:t>s</w:t>
      </w:r>
      <w:r w:rsidRPr="00FB4EFA">
        <w:rPr>
          <w:rFonts w:cs="Baskerville Old Face"/>
          <w:lang w:val="hu-HU"/>
        </w:rPr>
        <w:t>é</w:t>
      </w:r>
      <w:r w:rsidRPr="00FB4EFA">
        <w:rPr>
          <w:lang w:val="hu-HU"/>
        </w:rPr>
        <w:t>ggel Nikko Nuttit l</w:t>
      </w:r>
      <w:r w:rsidRPr="00FB4EFA">
        <w:rPr>
          <w:rFonts w:cs="Baskerville Old Face"/>
          <w:lang w:val="hu-HU"/>
        </w:rPr>
        <w:t>á</w:t>
      </w:r>
      <w:r w:rsidRPr="00FB4EFA">
        <w:rPr>
          <w:lang w:val="hu-HU"/>
        </w:rPr>
        <w:t>tjuk (akit k</w:t>
      </w:r>
      <w:r w:rsidRPr="00FB4EFA">
        <w:rPr>
          <w:rFonts w:cs="Baskerville Old Face"/>
          <w:lang w:val="hu-HU"/>
        </w:rPr>
        <w:t>é</w:t>
      </w:r>
      <w:r w:rsidRPr="00FB4EFA">
        <w:rPr>
          <w:lang w:val="hu-HU"/>
        </w:rPr>
        <w:t>s</w:t>
      </w:r>
      <w:r w:rsidRPr="00FB4EFA">
        <w:rPr>
          <w:rFonts w:cs="Cambria"/>
          <w:lang w:val="hu-HU"/>
        </w:rPr>
        <w:t>ő</w:t>
      </w:r>
      <w:r w:rsidRPr="00FB4EFA">
        <w:rPr>
          <w:lang w:val="hu-HU"/>
        </w:rPr>
        <w:t>bb k</w:t>
      </w:r>
      <w:r w:rsidRPr="00FB4EFA">
        <w:rPr>
          <w:rFonts w:cs="Baskerville Old Face"/>
          <w:lang w:val="hu-HU"/>
        </w:rPr>
        <w:t>é</w:t>
      </w:r>
      <w:r w:rsidRPr="00FB4EFA">
        <w:rPr>
          <w:lang w:val="hu-HU"/>
        </w:rPr>
        <w:t>tes viszonyok k</w:t>
      </w:r>
      <w:r w:rsidRPr="00FB4EFA">
        <w:rPr>
          <w:rFonts w:cs="Baskerville Old Face"/>
          <w:lang w:val="hu-HU"/>
        </w:rPr>
        <w:t>ö</w:t>
      </w:r>
      <w:r w:rsidRPr="00FB4EFA">
        <w:rPr>
          <w:lang w:val="hu-HU"/>
        </w:rPr>
        <w:t>z</w:t>
      </w:r>
      <w:r w:rsidRPr="00FB4EFA">
        <w:rPr>
          <w:rFonts w:cs="Baskerville Old Face"/>
          <w:lang w:val="hu-HU"/>
        </w:rPr>
        <w:t>ö</w:t>
      </w:r>
      <w:r w:rsidRPr="00FB4EFA">
        <w:rPr>
          <w:lang w:val="hu-HU"/>
        </w:rPr>
        <w:t>tt Sz</w:t>
      </w:r>
      <w:r w:rsidRPr="00FB4EFA">
        <w:rPr>
          <w:rFonts w:cs="Baskerville Old Face"/>
          <w:lang w:val="hu-HU"/>
        </w:rPr>
        <w:t>á</w:t>
      </w:r>
      <w:r w:rsidRPr="00FB4EFA">
        <w:rPr>
          <w:lang w:val="hu-HU"/>
        </w:rPr>
        <w:t>mif</w:t>
      </w:r>
      <w:r w:rsidRPr="00FB4EFA">
        <w:rPr>
          <w:rFonts w:cs="Baskerville Old Face"/>
          <w:lang w:val="hu-HU"/>
        </w:rPr>
        <w:t>ö</w:t>
      </w:r>
      <w:r w:rsidRPr="00FB4EFA">
        <w:rPr>
          <w:lang w:val="hu-HU"/>
        </w:rPr>
        <w:t>ld</w:t>
      </w:r>
      <w:r w:rsidRPr="00FB4EFA">
        <w:rPr>
          <w:rFonts w:cs="Baskerville Old Face"/>
          <w:lang w:val="hu-HU"/>
        </w:rPr>
        <w:t>ö</w:t>
      </w:r>
      <w:r w:rsidRPr="00FB4EFA">
        <w:rPr>
          <w:lang w:val="hu-HU"/>
        </w:rPr>
        <w:t>n meggyilkoltak) a fenti n</w:t>
      </w:r>
      <w:r w:rsidRPr="00FB4EFA">
        <w:rPr>
          <w:rFonts w:cs="Cambria"/>
          <w:lang w:val="hu-HU"/>
        </w:rPr>
        <w:t>ő</w:t>
      </w:r>
      <w:r w:rsidRPr="00FB4EFA">
        <w:rPr>
          <w:lang w:val="hu-HU"/>
        </w:rPr>
        <w:t>i sz</w:t>
      </w:r>
      <w:r w:rsidRPr="00FB4EFA">
        <w:rPr>
          <w:rFonts w:cs="Baskerville Old Face"/>
          <w:lang w:val="hu-HU"/>
        </w:rPr>
        <w:t>á</w:t>
      </w:r>
      <w:r w:rsidRPr="00FB4EFA">
        <w:rPr>
          <w:lang w:val="hu-HU"/>
        </w:rPr>
        <w:t>mi fot</w:t>
      </w:r>
      <w:r w:rsidRPr="00FB4EFA">
        <w:rPr>
          <w:rFonts w:cs="Baskerville Old Face"/>
          <w:lang w:val="hu-HU"/>
        </w:rPr>
        <w:t>ó</w:t>
      </w:r>
      <w:r w:rsidRPr="00FB4EFA">
        <w:rPr>
          <w:lang w:val="hu-HU"/>
        </w:rPr>
        <w:t xml:space="preserve">n </w:t>
      </w:r>
      <w:r w:rsidRPr="00FB4EFA">
        <w:rPr>
          <w:rFonts w:cs="Baskerville Old Face"/>
          <w:lang w:val="hu-HU"/>
        </w:rPr>
        <w:t>á</w:t>
      </w:r>
      <w:r w:rsidRPr="00FB4EFA">
        <w:rPr>
          <w:lang w:val="hu-HU"/>
        </w:rPr>
        <w:t>br</w:t>
      </w:r>
      <w:r w:rsidRPr="00FB4EFA">
        <w:rPr>
          <w:rFonts w:cs="Baskerville Old Face"/>
          <w:lang w:val="hu-HU"/>
        </w:rPr>
        <w:t>á</w:t>
      </w:r>
      <w:r w:rsidRPr="00FB4EFA">
        <w:rPr>
          <w:lang w:val="hu-HU"/>
        </w:rPr>
        <w:t>zolt l</w:t>
      </w:r>
      <w:r w:rsidRPr="00FB4EFA">
        <w:rPr>
          <w:rFonts w:cs="Baskerville Old Face"/>
          <w:lang w:val="hu-HU"/>
        </w:rPr>
        <w:t>á</w:t>
      </w:r>
      <w:r w:rsidRPr="00FB4EFA">
        <w:rPr>
          <w:lang w:val="hu-HU"/>
        </w:rPr>
        <w:t xml:space="preserve">ny </w:t>
      </w:r>
      <w:r w:rsidRPr="00FB4EFA">
        <w:rPr>
          <w:rFonts w:cs="Baskerville Old Face"/>
          <w:lang w:val="hu-HU"/>
        </w:rPr>
        <w:t>é</w:t>
      </w:r>
      <w:r w:rsidRPr="00FB4EFA">
        <w:rPr>
          <w:lang w:val="hu-HU"/>
        </w:rPr>
        <w:t>desanyj</w:t>
      </w:r>
      <w:r w:rsidRPr="00FB4EFA">
        <w:rPr>
          <w:rFonts w:cs="Baskerville Old Face"/>
          <w:lang w:val="hu-HU"/>
        </w:rPr>
        <w:t>á</w:t>
      </w:r>
      <w:r w:rsidRPr="00FB4EFA">
        <w:rPr>
          <w:lang w:val="hu-HU"/>
        </w:rPr>
        <w:t>nak (feltételezésem szerint Inger Anna Maggának) profilj</w:t>
      </w:r>
      <w:r w:rsidRPr="00FB4EFA">
        <w:rPr>
          <w:rFonts w:cs="Baskerville Old Face"/>
          <w:lang w:val="hu-HU"/>
        </w:rPr>
        <w:t>á</w:t>
      </w:r>
      <w:r w:rsidRPr="00FB4EFA">
        <w:rPr>
          <w:lang w:val="hu-HU"/>
        </w:rPr>
        <w:t>val egy</w:t>
      </w:r>
      <w:r w:rsidRPr="00FB4EFA">
        <w:rPr>
          <w:rFonts w:cs="Baskerville Old Face"/>
          <w:lang w:val="hu-HU"/>
        </w:rPr>
        <w:t>ü</w:t>
      </w:r>
      <w:r w:rsidRPr="00FB4EFA">
        <w:rPr>
          <w:lang w:val="hu-HU"/>
        </w:rPr>
        <w:t>tt (Domokos 2022).</w:t>
      </w:r>
    </w:p>
    <w:p w14:paraId="5CC28A12" w14:textId="77777777" w:rsidR="00B3200B" w:rsidRPr="00FB4EFA" w:rsidRDefault="00B3200B" w:rsidP="00863238">
      <w:pPr>
        <w:jc w:val="center"/>
      </w:pPr>
      <w:r w:rsidRPr="00FB4EFA">
        <w:rPr>
          <w:noProof/>
          <w:lang w:eastAsia="de-DE"/>
        </w:rPr>
        <w:drawing>
          <wp:inline distT="0" distB="0" distL="0" distR="0" wp14:anchorId="05AEB9F2" wp14:editId="242D9658">
            <wp:extent cx="2949337" cy="3891579"/>
            <wp:effectExtent l="0" t="0" r="0" b="0"/>
            <wp:docPr id="4" name="Bild2" descr="A picture containing text, graffiti, r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2969417" cy="3918074"/>
                    </a:xfrm>
                    <a:prstGeom prst="rect">
                      <a:avLst/>
                    </a:prstGeom>
                    <a:noFill/>
                    <a:ln>
                      <a:noFill/>
                      <a:prstDash/>
                    </a:ln>
                  </pic:spPr>
                </pic:pic>
              </a:graphicData>
            </a:graphic>
          </wp:inline>
        </w:drawing>
      </w:r>
    </w:p>
    <w:p w14:paraId="2E37BDE4" w14:textId="0E65E757" w:rsidR="00B3200B" w:rsidRPr="00FB4EFA" w:rsidRDefault="00B3200B" w:rsidP="00857D2A">
      <w:pPr>
        <w:suppressAutoHyphens/>
        <w:spacing w:before="120" w:after="240" w:line="240" w:lineRule="auto"/>
        <w:jc w:val="center"/>
        <w:rPr>
          <w:sz w:val="18"/>
          <w:szCs w:val="18"/>
        </w:rPr>
      </w:pPr>
      <w:r w:rsidRPr="00FB4EFA">
        <w:rPr>
          <w:b/>
          <w:bCs/>
          <w:sz w:val="18"/>
          <w:szCs w:val="18"/>
          <w:lang w:val="hu-HU"/>
        </w:rPr>
        <w:t>3. ábra</w:t>
      </w:r>
      <w:r w:rsidRPr="00FB4EFA">
        <w:rPr>
          <w:sz w:val="18"/>
          <w:szCs w:val="18"/>
          <w:lang w:val="hu-HU"/>
        </w:rPr>
        <w:t xml:space="preserve"> </w:t>
      </w:r>
      <w:r w:rsidRPr="00FB4EFA">
        <w:rPr>
          <w:i/>
          <w:iCs/>
          <w:sz w:val="18"/>
          <w:szCs w:val="18"/>
          <w:lang w:val="hu-HU"/>
        </w:rPr>
        <w:t>Böckstiegel olajfestményéhez el</w:t>
      </w:r>
      <w:r w:rsidRPr="00FB4EFA">
        <w:rPr>
          <w:rFonts w:cs="Cambria"/>
          <w:i/>
          <w:iCs/>
          <w:sz w:val="18"/>
          <w:szCs w:val="18"/>
          <w:lang w:val="hu-HU"/>
        </w:rPr>
        <w:t>ő</w:t>
      </w:r>
      <w:r w:rsidRPr="00FB4EFA">
        <w:rPr>
          <w:i/>
          <w:iCs/>
          <w:sz w:val="18"/>
          <w:szCs w:val="18"/>
          <w:lang w:val="hu-HU"/>
        </w:rPr>
        <w:t>tanulm</w:t>
      </w:r>
      <w:r w:rsidRPr="00FB4EFA">
        <w:rPr>
          <w:rFonts w:cs="Baskerville Old Face"/>
          <w:i/>
          <w:iCs/>
          <w:sz w:val="18"/>
          <w:szCs w:val="18"/>
          <w:lang w:val="hu-HU"/>
        </w:rPr>
        <w:t>á</w:t>
      </w:r>
      <w:r w:rsidRPr="00FB4EFA">
        <w:rPr>
          <w:i/>
          <w:iCs/>
          <w:sz w:val="18"/>
          <w:szCs w:val="18"/>
          <w:lang w:val="hu-HU"/>
        </w:rPr>
        <w:t>nynak felt</w:t>
      </w:r>
      <w:r w:rsidRPr="00FB4EFA">
        <w:rPr>
          <w:rFonts w:cs="Baskerville Old Face"/>
          <w:i/>
          <w:iCs/>
          <w:sz w:val="18"/>
          <w:szCs w:val="18"/>
          <w:lang w:val="hu-HU"/>
        </w:rPr>
        <w:t>é</w:t>
      </w:r>
      <w:r w:rsidRPr="00FB4EFA">
        <w:rPr>
          <w:i/>
          <w:iCs/>
          <w:sz w:val="18"/>
          <w:szCs w:val="18"/>
          <w:lang w:val="hu-HU"/>
        </w:rPr>
        <w:t>telezett (és fennmaradt) akvarellje</w:t>
      </w:r>
    </w:p>
    <w:p w14:paraId="2B7C9624" w14:textId="77777777" w:rsidR="00B3200B" w:rsidRPr="00FB4EFA" w:rsidRDefault="00B3200B" w:rsidP="00863238">
      <w:pPr>
        <w:spacing w:after="240"/>
        <w:rPr>
          <w:lang w:val="hu-HU"/>
        </w:rPr>
      </w:pPr>
      <w:r w:rsidRPr="00FB4EFA">
        <w:rPr>
          <w:szCs w:val="24"/>
          <w:lang w:val="hu-HU"/>
        </w:rPr>
        <w:lastRenderedPageBreak/>
        <w:t>A családi képnek 1928 után viszont nyoma veszett. Már az első ki</w:t>
      </w:r>
      <w:r w:rsidRPr="00FB4EFA">
        <w:rPr>
          <w:rFonts w:cs="Baskerville Old Face"/>
          <w:szCs w:val="24"/>
          <w:lang w:val="hu-HU"/>
        </w:rPr>
        <w:t>á</w:t>
      </w:r>
      <w:r w:rsidRPr="00FB4EFA">
        <w:rPr>
          <w:szCs w:val="24"/>
          <w:lang w:val="hu-HU"/>
        </w:rPr>
        <w:t>ll</w:t>
      </w:r>
      <w:r w:rsidRPr="00FB4EFA">
        <w:rPr>
          <w:rFonts w:cs="Baskerville Old Face"/>
          <w:szCs w:val="24"/>
          <w:lang w:val="hu-HU"/>
        </w:rPr>
        <w:t>í</w:t>
      </w:r>
      <w:r w:rsidRPr="00FB4EFA">
        <w:rPr>
          <w:szCs w:val="24"/>
          <w:lang w:val="hu-HU"/>
        </w:rPr>
        <w:t>t</w:t>
      </w:r>
      <w:r w:rsidRPr="00FB4EFA">
        <w:rPr>
          <w:rFonts w:cs="Baskerville Old Face"/>
          <w:szCs w:val="24"/>
          <w:lang w:val="hu-HU"/>
        </w:rPr>
        <w:t>á</w:t>
      </w:r>
      <w:r w:rsidRPr="00FB4EFA">
        <w:rPr>
          <w:szCs w:val="24"/>
          <w:lang w:val="hu-HU"/>
        </w:rPr>
        <w:t>son a Sz</w:t>
      </w:r>
      <w:r w:rsidRPr="00FB4EFA">
        <w:rPr>
          <w:rFonts w:cs="Baskerville Old Face"/>
          <w:szCs w:val="24"/>
          <w:lang w:val="hu-HU"/>
        </w:rPr>
        <w:t>á</w:t>
      </w:r>
      <w:r w:rsidRPr="00FB4EFA">
        <w:rPr>
          <w:szCs w:val="24"/>
          <w:lang w:val="hu-HU"/>
        </w:rPr>
        <w:t>szorsz</w:t>
      </w:r>
      <w:r w:rsidRPr="00FB4EFA">
        <w:rPr>
          <w:rFonts w:cs="Baskerville Old Face"/>
          <w:szCs w:val="24"/>
          <w:lang w:val="hu-HU"/>
        </w:rPr>
        <w:t>á</w:t>
      </w:r>
      <w:r w:rsidRPr="00FB4EFA">
        <w:rPr>
          <w:szCs w:val="24"/>
          <w:lang w:val="hu-HU"/>
        </w:rPr>
        <w:t>gi Sz</w:t>
      </w:r>
      <w:r w:rsidRPr="00FB4EFA">
        <w:rPr>
          <w:rFonts w:cs="Baskerville Old Face"/>
          <w:szCs w:val="24"/>
          <w:lang w:val="hu-HU"/>
        </w:rPr>
        <w:t>ö</w:t>
      </w:r>
      <w:r w:rsidRPr="00FB4EFA">
        <w:rPr>
          <w:szCs w:val="24"/>
          <w:lang w:val="hu-HU"/>
        </w:rPr>
        <w:t>vets</w:t>
      </w:r>
      <w:r w:rsidRPr="00FB4EFA">
        <w:rPr>
          <w:rFonts w:cs="Baskerville Old Face"/>
          <w:szCs w:val="24"/>
          <w:lang w:val="hu-HU"/>
        </w:rPr>
        <w:t>é</w:t>
      </w:r>
      <w:r w:rsidRPr="00FB4EFA">
        <w:rPr>
          <w:szCs w:val="24"/>
          <w:lang w:val="hu-HU"/>
        </w:rPr>
        <w:t xml:space="preserve">gi </w:t>
      </w:r>
      <w:r w:rsidRPr="00FB4EFA">
        <w:rPr>
          <w:rFonts w:cs="Baskerville Old Face"/>
          <w:szCs w:val="24"/>
          <w:lang w:val="hu-HU"/>
        </w:rPr>
        <w:t>Á</w:t>
      </w:r>
      <w:r w:rsidRPr="00FB4EFA">
        <w:rPr>
          <w:szCs w:val="24"/>
          <w:lang w:val="hu-HU"/>
        </w:rPr>
        <w:t>llam Bel</w:t>
      </w:r>
      <w:r w:rsidRPr="00FB4EFA">
        <w:rPr>
          <w:rFonts w:cs="Baskerville Old Face"/>
          <w:szCs w:val="24"/>
          <w:lang w:val="hu-HU"/>
        </w:rPr>
        <w:t>ü</w:t>
      </w:r>
      <w:r w:rsidRPr="00FB4EFA">
        <w:rPr>
          <w:szCs w:val="24"/>
          <w:lang w:val="hu-HU"/>
        </w:rPr>
        <w:t>gyminiszt</w:t>
      </w:r>
      <w:r w:rsidRPr="00FB4EFA">
        <w:rPr>
          <w:rFonts w:cs="Baskerville Old Face"/>
          <w:szCs w:val="24"/>
          <w:lang w:val="hu-HU"/>
        </w:rPr>
        <w:t>é</w:t>
      </w:r>
      <w:r w:rsidRPr="00FB4EFA">
        <w:rPr>
          <w:szCs w:val="24"/>
          <w:lang w:val="hu-HU"/>
        </w:rPr>
        <w:t>rium</w:t>
      </w:r>
      <w:r w:rsidRPr="00FB4EFA">
        <w:rPr>
          <w:rFonts w:cs="Baskerville Old Face"/>
          <w:szCs w:val="24"/>
          <w:lang w:val="hu-HU"/>
        </w:rPr>
        <w:t>á</w:t>
      </w:r>
      <w:r w:rsidRPr="00FB4EFA">
        <w:rPr>
          <w:szCs w:val="24"/>
          <w:lang w:val="hu-HU"/>
        </w:rPr>
        <w:t>nak professzori tan</w:t>
      </w:r>
      <w:r w:rsidRPr="00FB4EFA">
        <w:rPr>
          <w:rFonts w:cs="Baskerville Old Face"/>
          <w:szCs w:val="24"/>
          <w:lang w:val="hu-HU"/>
        </w:rPr>
        <w:t>á</w:t>
      </w:r>
      <w:r w:rsidRPr="00FB4EFA">
        <w:rPr>
          <w:szCs w:val="24"/>
          <w:lang w:val="hu-HU"/>
        </w:rPr>
        <w:t>csad</w:t>
      </w:r>
      <w:r w:rsidRPr="00FB4EFA">
        <w:rPr>
          <w:rFonts w:cs="Baskerville Old Face"/>
          <w:szCs w:val="24"/>
          <w:lang w:val="hu-HU"/>
        </w:rPr>
        <w:t>ó</w:t>
      </w:r>
      <w:r w:rsidRPr="00FB4EFA">
        <w:rPr>
          <w:szCs w:val="24"/>
          <w:lang w:val="hu-HU"/>
        </w:rPr>
        <w:t>i megv</w:t>
      </w:r>
      <w:r w:rsidRPr="00FB4EFA">
        <w:rPr>
          <w:rFonts w:cs="Baskerville Old Face"/>
          <w:szCs w:val="24"/>
          <w:lang w:val="hu-HU"/>
        </w:rPr>
        <w:t>á</w:t>
      </w:r>
      <w:r w:rsidRPr="00FB4EFA">
        <w:rPr>
          <w:szCs w:val="24"/>
          <w:lang w:val="hu-HU"/>
        </w:rPr>
        <w:t>s</w:t>
      </w:r>
      <w:r w:rsidRPr="00FB4EFA">
        <w:rPr>
          <w:rFonts w:cs="Baskerville Old Face"/>
          <w:szCs w:val="24"/>
          <w:lang w:val="hu-HU"/>
        </w:rPr>
        <w:t>á</w:t>
      </w:r>
      <w:r w:rsidRPr="00FB4EFA">
        <w:rPr>
          <w:szCs w:val="24"/>
          <w:lang w:val="hu-HU"/>
        </w:rPr>
        <w:t>rl</w:t>
      </w:r>
      <w:r w:rsidRPr="00FB4EFA">
        <w:rPr>
          <w:rFonts w:cs="Baskerville Old Face"/>
          <w:szCs w:val="24"/>
          <w:lang w:val="hu-HU"/>
        </w:rPr>
        <w:t>á</w:t>
      </w:r>
      <w:r w:rsidRPr="00FB4EFA">
        <w:rPr>
          <w:szCs w:val="24"/>
          <w:lang w:val="hu-HU"/>
        </w:rPr>
        <w:t>sra aj</w:t>
      </w:r>
      <w:r w:rsidRPr="00FB4EFA">
        <w:rPr>
          <w:rFonts w:cs="Baskerville Old Face"/>
          <w:szCs w:val="24"/>
          <w:lang w:val="hu-HU"/>
        </w:rPr>
        <w:t>á</w:t>
      </w:r>
      <w:r w:rsidRPr="00FB4EFA">
        <w:rPr>
          <w:szCs w:val="24"/>
          <w:lang w:val="hu-HU"/>
        </w:rPr>
        <w:t>nlj</w:t>
      </w:r>
      <w:r w:rsidRPr="00FB4EFA">
        <w:rPr>
          <w:rFonts w:cs="Baskerville Old Face"/>
          <w:szCs w:val="24"/>
          <w:lang w:val="hu-HU"/>
        </w:rPr>
        <w:t>á</w:t>
      </w:r>
      <w:r w:rsidRPr="00FB4EFA">
        <w:rPr>
          <w:szCs w:val="24"/>
          <w:lang w:val="hu-HU"/>
        </w:rPr>
        <w:t>k. Egy fennmaradt, 1925. 8. 15-re, Drezdában keltezett levél alapján kikövetkeztethetjük, hogy mi is történt, de a v</w:t>
      </w:r>
      <w:r w:rsidRPr="00FB4EFA">
        <w:rPr>
          <w:rFonts w:cs="Baskerville Old Face"/>
          <w:szCs w:val="24"/>
          <w:lang w:val="hu-HU"/>
        </w:rPr>
        <w:t>é</w:t>
      </w:r>
      <w:r w:rsidRPr="00FB4EFA">
        <w:rPr>
          <w:szCs w:val="24"/>
          <w:lang w:val="hu-HU"/>
        </w:rPr>
        <w:t>geredm</w:t>
      </w:r>
      <w:r w:rsidRPr="00FB4EFA">
        <w:rPr>
          <w:rFonts w:cs="Baskerville Old Face"/>
          <w:szCs w:val="24"/>
          <w:lang w:val="hu-HU"/>
        </w:rPr>
        <w:t>é</w:t>
      </w:r>
      <w:r w:rsidRPr="00FB4EFA">
        <w:rPr>
          <w:szCs w:val="24"/>
          <w:lang w:val="hu-HU"/>
        </w:rPr>
        <w:t>nyről nem tudunk semmi bizonyosat. Mag</w:t>
      </w:r>
      <w:r w:rsidRPr="00FB4EFA">
        <w:rPr>
          <w:rFonts w:cs="Baskerville Old Face"/>
          <w:szCs w:val="24"/>
          <w:lang w:val="hu-HU"/>
        </w:rPr>
        <w:t>á</w:t>
      </w:r>
      <w:r w:rsidRPr="00FB4EFA">
        <w:rPr>
          <w:szCs w:val="24"/>
          <w:lang w:val="hu-HU"/>
        </w:rPr>
        <w:t>nak a festőnek, B</w:t>
      </w:r>
      <w:r w:rsidRPr="00FB4EFA">
        <w:rPr>
          <w:rFonts w:cs="Baskerville Old Face"/>
          <w:szCs w:val="24"/>
          <w:lang w:val="hu-HU"/>
        </w:rPr>
        <w:t>ö</w:t>
      </w:r>
      <w:r w:rsidRPr="00FB4EFA">
        <w:rPr>
          <w:szCs w:val="24"/>
          <w:lang w:val="hu-HU"/>
        </w:rPr>
        <w:t>ckstiegelnek is tetszhetett a k</w:t>
      </w:r>
      <w:r w:rsidRPr="00FB4EFA">
        <w:rPr>
          <w:rFonts w:cs="Baskerville Old Face"/>
          <w:szCs w:val="24"/>
          <w:lang w:val="hu-HU"/>
        </w:rPr>
        <w:t>é</w:t>
      </w:r>
      <w:r w:rsidRPr="00FB4EFA">
        <w:rPr>
          <w:szCs w:val="24"/>
          <w:lang w:val="hu-HU"/>
        </w:rPr>
        <w:t xml:space="preserve">p, mert magas </w:t>
      </w:r>
      <w:r w:rsidRPr="00FB4EFA">
        <w:rPr>
          <w:rFonts w:cs="Baskerville Old Face"/>
          <w:szCs w:val="24"/>
          <w:lang w:val="hu-HU"/>
        </w:rPr>
        <w:t>ö</w:t>
      </w:r>
      <w:r w:rsidRPr="00FB4EFA">
        <w:rPr>
          <w:szCs w:val="24"/>
          <w:lang w:val="hu-HU"/>
        </w:rPr>
        <w:t>sszeget k</w:t>
      </w:r>
      <w:r w:rsidRPr="00FB4EFA">
        <w:rPr>
          <w:rFonts w:cs="Baskerville Old Face"/>
          <w:szCs w:val="24"/>
          <w:lang w:val="hu-HU"/>
        </w:rPr>
        <w:t>é</w:t>
      </w:r>
      <w:r w:rsidRPr="00FB4EFA">
        <w:rPr>
          <w:szCs w:val="24"/>
          <w:lang w:val="hu-HU"/>
        </w:rPr>
        <w:t xml:space="preserve">rt </w:t>
      </w:r>
      <w:r w:rsidRPr="00FB4EFA">
        <w:rPr>
          <w:rFonts w:cs="Baskerville Old Face"/>
          <w:szCs w:val="24"/>
          <w:lang w:val="hu-HU"/>
        </w:rPr>
        <w:t>é</w:t>
      </w:r>
      <w:r w:rsidRPr="00FB4EFA">
        <w:rPr>
          <w:szCs w:val="24"/>
          <w:lang w:val="hu-HU"/>
        </w:rPr>
        <w:t>rte. Az al</w:t>
      </w:r>
      <w:r w:rsidRPr="00FB4EFA">
        <w:rPr>
          <w:rFonts w:cs="Baskerville Old Face"/>
          <w:szCs w:val="24"/>
          <w:lang w:val="hu-HU"/>
        </w:rPr>
        <w:t>á</w:t>
      </w:r>
      <w:r w:rsidRPr="00FB4EFA">
        <w:rPr>
          <w:szCs w:val="24"/>
          <w:lang w:val="hu-HU"/>
        </w:rPr>
        <w:t>bbi lev</w:t>
      </w:r>
      <w:r w:rsidRPr="00FB4EFA">
        <w:rPr>
          <w:rFonts w:cs="Baskerville Old Face"/>
          <w:szCs w:val="24"/>
          <w:lang w:val="hu-HU"/>
        </w:rPr>
        <w:t>é</w:t>
      </w:r>
      <w:r w:rsidRPr="00FB4EFA">
        <w:rPr>
          <w:szCs w:val="24"/>
          <w:lang w:val="hu-HU"/>
        </w:rPr>
        <w:t>l arr</w:t>
      </w:r>
      <w:r w:rsidRPr="00FB4EFA">
        <w:rPr>
          <w:rFonts w:cs="Baskerville Old Face"/>
          <w:szCs w:val="24"/>
          <w:lang w:val="hu-HU"/>
        </w:rPr>
        <w:t>ó</w:t>
      </w:r>
      <w:r w:rsidRPr="00FB4EFA">
        <w:rPr>
          <w:szCs w:val="24"/>
          <w:lang w:val="hu-HU"/>
        </w:rPr>
        <w:t>l tud</w:t>
      </w:r>
      <w:r w:rsidRPr="00FB4EFA">
        <w:rPr>
          <w:rFonts w:cs="Baskerville Old Face"/>
          <w:szCs w:val="24"/>
          <w:lang w:val="hu-HU"/>
        </w:rPr>
        <w:t>ó</w:t>
      </w:r>
      <w:r w:rsidRPr="00FB4EFA">
        <w:rPr>
          <w:szCs w:val="24"/>
          <w:lang w:val="hu-HU"/>
        </w:rPr>
        <w:t>s</w:t>
      </w:r>
      <w:r w:rsidRPr="00FB4EFA">
        <w:rPr>
          <w:rFonts w:cs="Baskerville Old Face"/>
          <w:szCs w:val="24"/>
          <w:lang w:val="hu-HU"/>
        </w:rPr>
        <w:t>í</w:t>
      </w:r>
      <w:r w:rsidRPr="00FB4EFA">
        <w:rPr>
          <w:szCs w:val="24"/>
          <w:lang w:val="hu-HU"/>
        </w:rPr>
        <w:t>t, hogy a Szászországi Belügyminisztérum viszont árcsökkentést kér a festőtől (forr</w:t>
      </w:r>
      <w:r w:rsidRPr="00FB4EFA">
        <w:rPr>
          <w:rFonts w:cs="Baskerville Old Face"/>
          <w:szCs w:val="24"/>
          <w:lang w:val="hu-HU"/>
        </w:rPr>
        <w:t>á</w:t>
      </w:r>
      <w:r w:rsidRPr="00FB4EFA">
        <w:rPr>
          <w:szCs w:val="24"/>
          <w:lang w:val="hu-HU"/>
        </w:rPr>
        <w:t>s: Kreisarchiv G</w:t>
      </w:r>
      <w:r w:rsidRPr="00FB4EFA">
        <w:rPr>
          <w:rFonts w:cs="Baskerville Old Face"/>
          <w:szCs w:val="24"/>
          <w:lang w:val="hu-HU"/>
        </w:rPr>
        <w:t>ü</w:t>
      </w:r>
      <w:r w:rsidRPr="00FB4EFA">
        <w:rPr>
          <w:szCs w:val="24"/>
          <w:lang w:val="hu-HU"/>
        </w:rPr>
        <w:t>tersloh).</w:t>
      </w:r>
    </w:p>
    <w:p w14:paraId="6598B366" w14:textId="77777777" w:rsidR="00B3200B" w:rsidRPr="00FB4EFA" w:rsidRDefault="00B3200B" w:rsidP="00857D2A">
      <w:pPr>
        <w:suppressAutoHyphens/>
        <w:spacing w:line="240" w:lineRule="auto"/>
        <w:ind w:left="720"/>
        <w:rPr>
          <w:sz w:val="20"/>
        </w:rPr>
      </w:pPr>
      <w:r w:rsidRPr="00FB4EFA">
        <w:rPr>
          <w:sz w:val="20"/>
        </w:rPr>
        <w:t>Dokument 08</w:t>
      </w:r>
    </w:p>
    <w:p w14:paraId="2E274578" w14:textId="77777777" w:rsidR="00B3200B" w:rsidRPr="00FB4EFA" w:rsidRDefault="00B3200B" w:rsidP="00857D2A">
      <w:pPr>
        <w:suppressAutoHyphens/>
        <w:spacing w:after="120" w:line="240" w:lineRule="auto"/>
        <w:ind w:left="720"/>
        <w:rPr>
          <w:sz w:val="20"/>
        </w:rPr>
      </w:pPr>
      <w:r w:rsidRPr="00FB4EFA">
        <w:rPr>
          <w:sz w:val="20"/>
        </w:rPr>
        <w:t>Brief der Ministeriums des Inneren (Dresden) an Herrn P.A. Böckstiegel, Kunstmaler, Dresden</w:t>
      </w:r>
    </w:p>
    <w:p w14:paraId="33A0D846" w14:textId="77777777" w:rsidR="00B3200B" w:rsidRPr="00FB4EFA" w:rsidRDefault="00B3200B" w:rsidP="00857D2A">
      <w:pPr>
        <w:suppressAutoHyphens/>
        <w:spacing w:line="240" w:lineRule="auto"/>
        <w:ind w:left="720"/>
        <w:rPr>
          <w:sz w:val="20"/>
          <w:szCs w:val="20"/>
        </w:rPr>
      </w:pPr>
      <w:r w:rsidRPr="00FB4EFA">
        <w:rPr>
          <w:sz w:val="20"/>
        </w:rPr>
        <w:t>Die Professoren, die das Ministerium kürzlich beim Erwerbe von Kunstwerken beraten haben, haben zum Staatsankauf Ihr bei der Künstlervereinigung ausgestelltes Bild ’Lappen im Zoo’ vorgeschlagen. Das Ministerium würde nicht abgeneigt sein, diesem Vorschlag zu entsprechen, ist aber im Hinblick auf die ihm zur Verfügung stehenden und mit Rücksicht auf die anderen Künstlern zur Zeit gezahlten Preise gänzlich außerstande, auf der Grundlage Ihrer Preisforderung einem Ankauf näherzutreten. Sollten Sie geneigt sein, das Bild zu einem Preise abzugeben, der sich der allgemeinen Lage anpaßt, so steht der unterzeichnete Ministerialdirektor zu einer Besprechung zur Verfügung.</w:t>
      </w:r>
    </w:p>
    <w:p w14:paraId="3C95BA70" w14:textId="77777777" w:rsidR="00B3200B" w:rsidRPr="00FB4EFA" w:rsidRDefault="00B3200B" w:rsidP="00857D2A">
      <w:pPr>
        <w:suppressAutoHyphens/>
        <w:spacing w:after="120" w:line="240" w:lineRule="auto"/>
        <w:ind w:left="720"/>
        <w:rPr>
          <w:sz w:val="20"/>
        </w:rPr>
      </w:pPr>
      <w:r w:rsidRPr="00FB4EFA">
        <w:rPr>
          <w:sz w:val="20"/>
        </w:rPr>
        <w:t>Ministerium des Innern</w:t>
      </w:r>
    </w:p>
    <w:p w14:paraId="571E3FB1" w14:textId="77777777" w:rsidR="00B3200B" w:rsidRPr="00FB4EFA" w:rsidRDefault="00B3200B" w:rsidP="00857D2A">
      <w:pPr>
        <w:suppressAutoHyphens/>
        <w:spacing w:line="240" w:lineRule="auto"/>
        <w:ind w:left="720"/>
        <w:rPr>
          <w:sz w:val="20"/>
        </w:rPr>
      </w:pPr>
      <w:r w:rsidRPr="00FB4EFA">
        <w:rPr>
          <w:sz w:val="20"/>
        </w:rPr>
        <w:t>II. Abteilung</w:t>
      </w:r>
    </w:p>
    <w:p w14:paraId="3E7E3D72" w14:textId="77777777" w:rsidR="00B3200B" w:rsidRPr="00FB4EFA" w:rsidRDefault="00B3200B" w:rsidP="00857D2A">
      <w:pPr>
        <w:suppressAutoHyphens/>
        <w:spacing w:line="240" w:lineRule="auto"/>
        <w:ind w:left="720"/>
        <w:rPr>
          <w:sz w:val="20"/>
        </w:rPr>
      </w:pPr>
      <w:r w:rsidRPr="00FB4EFA">
        <w:rPr>
          <w:sz w:val="20"/>
        </w:rPr>
        <w:t>Gez. Dr. Schulze</w:t>
      </w:r>
    </w:p>
    <w:p w14:paraId="0C081795" w14:textId="77777777" w:rsidR="00B3200B" w:rsidRPr="00FB4EFA" w:rsidRDefault="00B3200B" w:rsidP="00857D2A">
      <w:pPr>
        <w:suppressAutoHyphens/>
        <w:spacing w:line="240" w:lineRule="auto"/>
        <w:ind w:left="720"/>
        <w:rPr>
          <w:sz w:val="20"/>
        </w:rPr>
      </w:pPr>
      <w:r w:rsidRPr="00FB4EFA">
        <w:rPr>
          <w:sz w:val="20"/>
        </w:rPr>
        <w:t>Briefentwurf, Original</w:t>
      </w:r>
      <w:r w:rsidRPr="00FB4EFA">
        <w:rPr>
          <w:sz w:val="20"/>
          <w:vertAlign w:val="superscript"/>
        </w:rPr>
        <w:footnoteReference w:id="165"/>
      </w:r>
    </w:p>
    <w:p w14:paraId="3F1CDBE5" w14:textId="77777777" w:rsidR="00B3200B" w:rsidRPr="00FB4EFA" w:rsidRDefault="00B3200B" w:rsidP="00863238">
      <w:pPr>
        <w:pStyle w:val="Heading2"/>
        <w:spacing w:line="259" w:lineRule="auto"/>
        <w:rPr>
          <w:color w:val="auto"/>
        </w:rPr>
      </w:pPr>
      <w:r w:rsidRPr="00FB4EFA">
        <w:rPr>
          <w:color w:val="auto"/>
        </w:rPr>
        <w:lastRenderedPageBreak/>
        <w:t>Összegzés</w:t>
      </w:r>
    </w:p>
    <w:p w14:paraId="6CF0B98F" w14:textId="3F2F4A38" w:rsidR="00857D2A" w:rsidRPr="00FB4EFA" w:rsidRDefault="00B3200B" w:rsidP="002115C8">
      <w:pPr>
        <w:rPr>
          <w:rFonts w:ascii="Gill Sans MT" w:eastAsia="Gill Sans MT" w:hAnsi="Gill Sans MT" w:cs="Gill Sans MT"/>
          <w:sz w:val="28"/>
          <w:lang w:val="en-GB" w:eastAsia="en-GB"/>
        </w:rPr>
      </w:pPr>
      <w:r w:rsidRPr="00FB4EFA">
        <w:rPr>
          <w:szCs w:val="24"/>
          <w:lang w:val="hu-HU"/>
        </w:rPr>
        <w:t>Peter August Böckstiegel német festőműv</w:t>
      </w:r>
      <w:r w:rsidRPr="00FB4EFA">
        <w:rPr>
          <w:rFonts w:cs="Baskerville Old Face"/>
          <w:szCs w:val="24"/>
          <w:lang w:val="hu-HU"/>
        </w:rPr>
        <w:t>é</w:t>
      </w:r>
      <w:r w:rsidRPr="00FB4EFA">
        <w:rPr>
          <w:szCs w:val="24"/>
          <w:lang w:val="hu-HU"/>
        </w:rPr>
        <w:t>sz a sz</w:t>
      </w:r>
      <w:r w:rsidRPr="00FB4EFA">
        <w:rPr>
          <w:rFonts w:cs="Baskerville Old Face"/>
          <w:szCs w:val="24"/>
          <w:lang w:val="hu-HU"/>
        </w:rPr>
        <w:t>á</w:t>
      </w:r>
      <w:r w:rsidRPr="00FB4EFA">
        <w:rPr>
          <w:szCs w:val="24"/>
          <w:lang w:val="hu-HU"/>
        </w:rPr>
        <w:t>mik embers</w:t>
      </w:r>
      <w:r w:rsidRPr="00FB4EFA">
        <w:rPr>
          <w:rFonts w:cs="Baskerville Old Face"/>
          <w:szCs w:val="24"/>
          <w:lang w:val="hu-HU"/>
        </w:rPr>
        <w:t>é</w:t>
      </w:r>
      <w:r w:rsidRPr="00FB4EFA">
        <w:rPr>
          <w:szCs w:val="24"/>
          <w:lang w:val="hu-HU"/>
        </w:rPr>
        <w:t>ges, k</w:t>
      </w:r>
      <w:r w:rsidRPr="00FB4EFA">
        <w:rPr>
          <w:rFonts w:cs="Baskerville Old Face"/>
          <w:szCs w:val="24"/>
          <w:lang w:val="hu-HU"/>
        </w:rPr>
        <w:t>ö</w:t>
      </w:r>
      <w:r w:rsidRPr="00FB4EFA">
        <w:rPr>
          <w:szCs w:val="24"/>
          <w:lang w:val="hu-HU"/>
        </w:rPr>
        <w:t>zvetlen vil</w:t>
      </w:r>
      <w:r w:rsidRPr="00FB4EFA">
        <w:rPr>
          <w:rFonts w:cs="Baskerville Old Face"/>
          <w:szCs w:val="24"/>
          <w:lang w:val="hu-HU"/>
        </w:rPr>
        <w:t>á</w:t>
      </w:r>
      <w:r w:rsidRPr="00FB4EFA">
        <w:rPr>
          <w:szCs w:val="24"/>
          <w:lang w:val="hu-HU"/>
        </w:rPr>
        <w:t>ga l</w:t>
      </w:r>
      <w:r w:rsidRPr="00FB4EFA">
        <w:rPr>
          <w:rFonts w:cs="Baskerville Old Face"/>
          <w:szCs w:val="24"/>
          <w:lang w:val="hu-HU"/>
        </w:rPr>
        <w:t>á</w:t>
      </w:r>
      <w:r w:rsidRPr="00FB4EFA">
        <w:rPr>
          <w:szCs w:val="24"/>
          <w:lang w:val="hu-HU"/>
        </w:rPr>
        <w:t>tt</w:t>
      </w:r>
      <w:r w:rsidRPr="00FB4EFA">
        <w:rPr>
          <w:rFonts w:cs="Baskerville Old Face"/>
          <w:szCs w:val="24"/>
          <w:lang w:val="hu-HU"/>
        </w:rPr>
        <w:t>á</w:t>
      </w:r>
      <w:r w:rsidRPr="00FB4EFA">
        <w:rPr>
          <w:szCs w:val="24"/>
          <w:lang w:val="hu-HU"/>
        </w:rPr>
        <w:t>n néhány szem</w:t>
      </w:r>
      <w:r w:rsidRPr="00FB4EFA">
        <w:rPr>
          <w:rFonts w:cs="Baskerville Old Face"/>
          <w:szCs w:val="24"/>
          <w:lang w:val="hu-HU"/>
        </w:rPr>
        <w:t>é</w:t>
      </w:r>
      <w:r w:rsidRPr="00FB4EFA">
        <w:rPr>
          <w:szCs w:val="24"/>
          <w:lang w:val="hu-HU"/>
        </w:rPr>
        <w:t xml:space="preserve">lyt képein meg is </w:t>
      </w:r>
      <w:r w:rsidRPr="00FB4EFA">
        <w:rPr>
          <w:rFonts w:cs="Baskerville Old Face"/>
          <w:szCs w:val="24"/>
          <w:lang w:val="hu-HU"/>
        </w:rPr>
        <w:t>ö</w:t>
      </w:r>
      <w:r w:rsidRPr="00FB4EFA">
        <w:rPr>
          <w:szCs w:val="24"/>
          <w:lang w:val="hu-HU"/>
        </w:rPr>
        <w:t>r</w:t>
      </w:r>
      <w:r w:rsidRPr="00FB4EFA">
        <w:rPr>
          <w:rFonts w:cs="Baskerville Old Face"/>
          <w:szCs w:val="24"/>
          <w:lang w:val="hu-HU"/>
        </w:rPr>
        <w:t>ö</w:t>
      </w:r>
      <w:r w:rsidRPr="00FB4EFA">
        <w:rPr>
          <w:szCs w:val="24"/>
          <w:lang w:val="hu-HU"/>
        </w:rPr>
        <w:t>k</w:t>
      </w:r>
      <w:r w:rsidRPr="00FB4EFA">
        <w:rPr>
          <w:rFonts w:cs="Baskerville Old Face"/>
          <w:szCs w:val="24"/>
          <w:lang w:val="hu-HU"/>
        </w:rPr>
        <w:t>í</w:t>
      </w:r>
      <w:r w:rsidRPr="00FB4EFA">
        <w:rPr>
          <w:szCs w:val="24"/>
          <w:lang w:val="hu-HU"/>
        </w:rPr>
        <w:t xml:space="preserve">tett. A Ludwig Ruhe cég </w:t>
      </w:r>
      <w:r w:rsidRPr="00FB4EFA">
        <w:rPr>
          <w:rFonts w:cs="Baskerville Old Face"/>
          <w:szCs w:val="24"/>
          <w:lang w:val="hu-HU"/>
        </w:rPr>
        <w:t>á</w:t>
      </w:r>
      <w:r w:rsidRPr="00FB4EFA">
        <w:rPr>
          <w:szCs w:val="24"/>
          <w:lang w:val="hu-HU"/>
        </w:rPr>
        <w:t>ltal szervezett számi etnológiai kiállításhoz egy tizennégy tagú csoport érkezett 1925-ben Számiföld enontekiöi környékéről. A portrék pontos megfigyelésről tanúskodnak, hisz a megfestettek viselete pontosan tükrözi a vidék korabeli viseletének szín- és formavilágát. Böckstiegel a számik színvilágában, a kiállításon megnyilatkozó mentalitásában t</w:t>
      </w:r>
      <w:r w:rsidRPr="00FB4EFA">
        <w:rPr>
          <w:rFonts w:cs="Baskerville Old Face"/>
          <w:szCs w:val="24"/>
          <w:lang w:val="hu-HU"/>
        </w:rPr>
        <w:t>ü</w:t>
      </w:r>
      <w:r w:rsidRPr="00FB4EFA">
        <w:rPr>
          <w:szCs w:val="24"/>
          <w:lang w:val="hu-HU"/>
        </w:rPr>
        <w:t>kr</w:t>
      </w:r>
      <w:r w:rsidRPr="00FB4EFA">
        <w:rPr>
          <w:rFonts w:cs="Baskerville Old Face"/>
          <w:szCs w:val="24"/>
          <w:lang w:val="hu-HU"/>
        </w:rPr>
        <w:t>öző</w:t>
      </w:r>
      <w:r w:rsidRPr="00FB4EFA">
        <w:rPr>
          <w:szCs w:val="24"/>
          <w:lang w:val="hu-HU"/>
        </w:rPr>
        <w:t>dni l</w:t>
      </w:r>
      <w:r w:rsidRPr="00FB4EFA">
        <w:rPr>
          <w:rFonts w:cs="Baskerville Old Face"/>
          <w:szCs w:val="24"/>
          <w:lang w:val="hu-HU"/>
        </w:rPr>
        <w:t>á</w:t>
      </w:r>
      <w:r w:rsidRPr="00FB4EFA">
        <w:rPr>
          <w:szCs w:val="24"/>
          <w:lang w:val="hu-HU"/>
        </w:rPr>
        <w:t>thatta saj</w:t>
      </w:r>
      <w:r w:rsidRPr="00FB4EFA">
        <w:rPr>
          <w:rFonts w:cs="Baskerville Old Face"/>
          <w:szCs w:val="24"/>
          <w:lang w:val="hu-HU"/>
        </w:rPr>
        <w:t>á</w:t>
      </w:r>
      <w:r w:rsidRPr="00FB4EFA">
        <w:rPr>
          <w:szCs w:val="24"/>
          <w:lang w:val="hu-HU"/>
        </w:rPr>
        <w:t>t otthon</w:t>
      </w:r>
      <w:r w:rsidR="00232DF4" w:rsidRPr="00FB4EFA">
        <w:rPr>
          <w:szCs w:val="24"/>
          <w:lang w:val="hu-HU"/>
        </w:rPr>
        <w:t>át</w:t>
      </w:r>
      <w:r w:rsidRPr="00FB4EFA">
        <w:rPr>
          <w:szCs w:val="24"/>
          <w:lang w:val="hu-HU"/>
        </w:rPr>
        <w:t>, az egyszerű vesztf</w:t>
      </w:r>
      <w:r w:rsidRPr="00FB4EFA">
        <w:rPr>
          <w:rFonts w:cs="Baskerville Old Face"/>
          <w:szCs w:val="24"/>
          <w:lang w:val="hu-HU"/>
        </w:rPr>
        <w:t>á</w:t>
      </w:r>
      <w:r w:rsidRPr="00FB4EFA">
        <w:rPr>
          <w:szCs w:val="24"/>
          <w:lang w:val="hu-HU"/>
        </w:rPr>
        <w:t>liai ember m</w:t>
      </w:r>
      <w:r w:rsidRPr="00FB4EFA">
        <w:rPr>
          <w:rFonts w:cs="Baskerville Old Face"/>
          <w:szCs w:val="24"/>
          <w:lang w:val="hu-HU"/>
        </w:rPr>
        <w:t>é</w:t>
      </w:r>
      <w:r w:rsidRPr="00FB4EFA">
        <w:rPr>
          <w:szCs w:val="24"/>
          <w:lang w:val="hu-HU"/>
        </w:rPr>
        <w:t>lt</w:t>
      </w:r>
      <w:r w:rsidRPr="00FB4EFA">
        <w:rPr>
          <w:rFonts w:cs="Baskerville Old Face"/>
          <w:szCs w:val="24"/>
          <w:lang w:val="hu-HU"/>
        </w:rPr>
        <w:t>ó</w:t>
      </w:r>
      <w:r w:rsidRPr="00FB4EFA">
        <w:rPr>
          <w:szCs w:val="24"/>
          <w:lang w:val="hu-HU"/>
        </w:rPr>
        <w:t>s</w:t>
      </w:r>
      <w:r w:rsidRPr="00FB4EFA">
        <w:rPr>
          <w:rFonts w:cs="Baskerville Old Face"/>
          <w:szCs w:val="24"/>
          <w:lang w:val="hu-HU"/>
        </w:rPr>
        <w:t>á</w:t>
      </w:r>
      <w:r w:rsidRPr="00FB4EFA">
        <w:rPr>
          <w:szCs w:val="24"/>
          <w:lang w:val="hu-HU"/>
        </w:rPr>
        <w:t>g</w:t>
      </w:r>
      <w:r w:rsidRPr="00FB4EFA">
        <w:rPr>
          <w:rFonts w:cs="Baskerville Old Face"/>
          <w:szCs w:val="24"/>
          <w:lang w:val="hu-HU"/>
        </w:rPr>
        <w:t>á</w:t>
      </w:r>
      <w:r w:rsidRPr="00FB4EFA">
        <w:rPr>
          <w:szCs w:val="24"/>
          <w:lang w:val="hu-HU"/>
        </w:rPr>
        <w:t xml:space="preserve">t, az állatokhoz való ragaszkodását, az élethez való közelségét. A festő </w:t>
      </w:r>
      <w:r w:rsidRPr="00FB4EFA">
        <w:rPr>
          <w:rFonts w:cs="Baskerville Old Face"/>
          <w:szCs w:val="24"/>
          <w:lang w:val="hu-HU"/>
        </w:rPr>
        <w:t>é</w:t>
      </w:r>
      <w:r w:rsidRPr="00FB4EFA">
        <w:rPr>
          <w:szCs w:val="24"/>
          <w:lang w:val="hu-HU"/>
        </w:rPr>
        <w:t>letműv</w:t>
      </w:r>
      <w:r w:rsidRPr="00FB4EFA">
        <w:rPr>
          <w:rFonts w:cs="Baskerville Old Face"/>
          <w:szCs w:val="24"/>
          <w:lang w:val="hu-HU"/>
        </w:rPr>
        <w:t>é</w:t>
      </w:r>
      <w:r w:rsidRPr="00FB4EFA">
        <w:rPr>
          <w:szCs w:val="24"/>
          <w:lang w:val="hu-HU"/>
        </w:rPr>
        <w:t>ben a 155-</w:t>
      </w:r>
      <w:r w:rsidRPr="00FB4EFA">
        <w:rPr>
          <w:rFonts w:cs="Baskerville Old Face"/>
          <w:szCs w:val="24"/>
          <w:lang w:val="hu-HU"/>
        </w:rPr>
        <w:t>ö</w:t>
      </w:r>
      <w:r w:rsidRPr="00FB4EFA">
        <w:rPr>
          <w:szCs w:val="24"/>
          <w:lang w:val="hu-HU"/>
        </w:rPr>
        <w:t>s sz</w:t>
      </w:r>
      <w:r w:rsidRPr="00FB4EFA">
        <w:rPr>
          <w:rFonts w:cs="Baskerville Old Face"/>
          <w:szCs w:val="24"/>
          <w:lang w:val="hu-HU"/>
        </w:rPr>
        <w:t>á</w:t>
      </w:r>
      <w:r w:rsidRPr="00FB4EFA">
        <w:rPr>
          <w:szCs w:val="24"/>
          <w:lang w:val="hu-HU"/>
        </w:rPr>
        <w:t>mmal ellátott sz</w:t>
      </w:r>
      <w:r w:rsidRPr="00FB4EFA">
        <w:rPr>
          <w:rFonts w:cs="Baskerville Old Face"/>
          <w:szCs w:val="24"/>
          <w:lang w:val="hu-HU"/>
        </w:rPr>
        <w:t>á</w:t>
      </w:r>
      <w:r w:rsidRPr="00FB4EFA">
        <w:rPr>
          <w:szCs w:val="24"/>
          <w:lang w:val="hu-HU"/>
        </w:rPr>
        <w:t>mi csal</w:t>
      </w:r>
      <w:r w:rsidRPr="00FB4EFA">
        <w:rPr>
          <w:rFonts w:cs="Baskerville Old Face"/>
          <w:szCs w:val="24"/>
          <w:lang w:val="hu-HU"/>
        </w:rPr>
        <w:t>á</w:t>
      </w:r>
      <w:r w:rsidRPr="00FB4EFA">
        <w:rPr>
          <w:szCs w:val="24"/>
          <w:lang w:val="hu-HU"/>
        </w:rPr>
        <w:t>di festm</w:t>
      </w:r>
      <w:r w:rsidRPr="00FB4EFA">
        <w:rPr>
          <w:rFonts w:cs="Baskerville Old Face"/>
          <w:szCs w:val="24"/>
          <w:lang w:val="hu-HU"/>
        </w:rPr>
        <w:t>é</w:t>
      </w:r>
      <w:r w:rsidRPr="00FB4EFA">
        <w:rPr>
          <w:szCs w:val="24"/>
          <w:lang w:val="hu-HU"/>
        </w:rPr>
        <w:t xml:space="preserve">ny </w:t>
      </w:r>
      <w:r w:rsidRPr="00FB4EFA">
        <w:rPr>
          <w:rFonts w:cs="Charis SIL"/>
          <w:szCs w:val="24"/>
          <w:lang w:val="hu-HU"/>
        </w:rPr>
        <w:t>–</w:t>
      </w:r>
      <w:r w:rsidRPr="00FB4EFA">
        <w:rPr>
          <w:szCs w:val="24"/>
          <w:lang w:val="hu-HU"/>
        </w:rPr>
        <w:t xml:space="preserve"> b</w:t>
      </w:r>
      <w:r w:rsidRPr="00FB4EFA">
        <w:rPr>
          <w:rFonts w:cs="Baskerville Old Face"/>
          <w:szCs w:val="24"/>
          <w:lang w:val="hu-HU"/>
        </w:rPr>
        <w:t>á</w:t>
      </w:r>
      <w:r w:rsidRPr="00FB4EFA">
        <w:rPr>
          <w:szCs w:val="24"/>
          <w:lang w:val="hu-HU"/>
        </w:rPr>
        <w:t xml:space="preserve">r maradtak fenn róla </w:t>
      </w:r>
      <w:r w:rsidRPr="00FB4EFA">
        <w:rPr>
          <w:rFonts w:cs="Baskerville Old Face"/>
          <w:szCs w:val="24"/>
          <w:lang w:val="hu-HU"/>
        </w:rPr>
        <w:t>í</w:t>
      </w:r>
      <w:r w:rsidRPr="00FB4EFA">
        <w:rPr>
          <w:szCs w:val="24"/>
          <w:lang w:val="hu-HU"/>
        </w:rPr>
        <w:t>r</w:t>
      </w:r>
      <w:r w:rsidRPr="00FB4EFA">
        <w:rPr>
          <w:rFonts w:cs="Baskerville Old Face"/>
          <w:szCs w:val="24"/>
          <w:lang w:val="hu-HU"/>
        </w:rPr>
        <w:t>á</w:t>
      </w:r>
      <w:r w:rsidRPr="00FB4EFA">
        <w:rPr>
          <w:szCs w:val="24"/>
          <w:lang w:val="hu-HU"/>
        </w:rPr>
        <w:t>sos eml</w:t>
      </w:r>
      <w:r w:rsidRPr="00FB4EFA">
        <w:rPr>
          <w:rFonts w:cs="Baskerville Old Face"/>
          <w:szCs w:val="24"/>
          <w:lang w:val="hu-HU"/>
        </w:rPr>
        <w:t>í</w:t>
      </w:r>
      <w:r w:rsidRPr="00FB4EFA">
        <w:rPr>
          <w:szCs w:val="24"/>
          <w:lang w:val="hu-HU"/>
        </w:rPr>
        <w:t>t</w:t>
      </w:r>
      <w:r w:rsidRPr="00FB4EFA">
        <w:rPr>
          <w:rFonts w:cs="Baskerville Old Face"/>
          <w:szCs w:val="24"/>
          <w:lang w:val="hu-HU"/>
        </w:rPr>
        <w:t>é</w:t>
      </w:r>
      <w:r w:rsidRPr="00FB4EFA">
        <w:rPr>
          <w:szCs w:val="24"/>
          <w:lang w:val="hu-HU"/>
        </w:rPr>
        <w:t xml:space="preserve">sek </w:t>
      </w:r>
      <w:r w:rsidRPr="00FB4EFA">
        <w:rPr>
          <w:rFonts w:cs="Charis SIL"/>
          <w:szCs w:val="24"/>
          <w:lang w:val="hu-HU"/>
        </w:rPr>
        <w:t>–</w:t>
      </w:r>
      <w:r w:rsidRPr="00FB4EFA">
        <w:rPr>
          <w:szCs w:val="24"/>
          <w:lang w:val="hu-HU"/>
        </w:rPr>
        <w:t xml:space="preserve"> elvesztőd</w:t>
      </w:r>
      <w:r w:rsidRPr="00FB4EFA">
        <w:rPr>
          <w:rFonts w:cs="Baskerville Old Face"/>
          <w:szCs w:val="24"/>
          <w:lang w:val="hu-HU"/>
        </w:rPr>
        <w:t>ö</w:t>
      </w:r>
      <w:r w:rsidRPr="00FB4EFA">
        <w:rPr>
          <w:szCs w:val="24"/>
          <w:lang w:val="hu-HU"/>
        </w:rPr>
        <w:t xml:space="preserve">tt, </w:t>
      </w:r>
      <w:r w:rsidRPr="00FB4EFA">
        <w:rPr>
          <w:rFonts w:cs="Baskerville Old Face"/>
          <w:szCs w:val="24"/>
          <w:lang w:val="hu-HU"/>
        </w:rPr>
        <w:t>é</w:t>
      </w:r>
      <w:r w:rsidRPr="00FB4EFA">
        <w:rPr>
          <w:szCs w:val="24"/>
          <w:lang w:val="hu-HU"/>
        </w:rPr>
        <w:t>s az ut</w:t>
      </w:r>
      <w:r w:rsidRPr="00FB4EFA">
        <w:rPr>
          <w:rFonts w:cs="Baskerville Old Face"/>
          <w:szCs w:val="24"/>
          <w:lang w:val="hu-HU"/>
        </w:rPr>
        <w:t>ó</w:t>
      </w:r>
      <w:r w:rsidRPr="00FB4EFA">
        <w:rPr>
          <w:szCs w:val="24"/>
          <w:lang w:val="hu-HU"/>
        </w:rPr>
        <w:t>kor sz</w:t>
      </w:r>
      <w:r w:rsidRPr="00FB4EFA">
        <w:rPr>
          <w:rFonts w:cs="Baskerville Old Face"/>
          <w:szCs w:val="24"/>
          <w:lang w:val="hu-HU"/>
        </w:rPr>
        <w:t>á</w:t>
      </w:r>
      <w:r w:rsidRPr="00FB4EFA">
        <w:rPr>
          <w:szCs w:val="24"/>
          <w:lang w:val="hu-HU"/>
        </w:rPr>
        <w:t>m</w:t>
      </w:r>
      <w:r w:rsidRPr="00FB4EFA">
        <w:rPr>
          <w:rFonts w:cs="Baskerville Old Face"/>
          <w:szCs w:val="24"/>
          <w:lang w:val="hu-HU"/>
        </w:rPr>
        <w:t>á</w:t>
      </w:r>
      <w:r w:rsidRPr="00FB4EFA">
        <w:rPr>
          <w:szCs w:val="24"/>
          <w:lang w:val="hu-HU"/>
        </w:rPr>
        <w:t>ra nem maradt fennt. Nagyon optimist</w:t>
      </w:r>
      <w:r w:rsidRPr="00FB4EFA">
        <w:rPr>
          <w:rFonts w:cs="Baskerville Old Face"/>
          <w:szCs w:val="24"/>
          <w:lang w:val="hu-HU"/>
        </w:rPr>
        <w:t>á</w:t>
      </w:r>
      <w:r w:rsidRPr="00FB4EFA">
        <w:rPr>
          <w:szCs w:val="24"/>
          <w:lang w:val="hu-HU"/>
        </w:rPr>
        <w:t>nak kellene lenn</w:t>
      </w:r>
      <w:r w:rsidRPr="00FB4EFA">
        <w:rPr>
          <w:rFonts w:cs="Baskerville Old Face"/>
          <w:szCs w:val="24"/>
          <w:lang w:val="hu-HU"/>
        </w:rPr>
        <w:t>ü</w:t>
      </w:r>
      <w:r w:rsidRPr="00FB4EFA">
        <w:rPr>
          <w:szCs w:val="24"/>
          <w:lang w:val="hu-HU"/>
        </w:rPr>
        <w:t>nk ahhoz, hogy azt felt</w:t>
      </w:r>
      <w:r w:rsidRPr="00FB4EFA">
        <w:rPr>
          <w:rFonts w:cs="Baskerville Old Face"/>
          <w:szCs w:val="24"/>
          <w:lang w:val="hu-HU"/>
        </w:rPr>
        <w:t>é</w:t>
      </w:r>
      <w:r w:rsidRPr="00FB4EFA">
        <w:rPr>
          <w:szCs w:val="24"/>
          <w:lang w:val="hu-HU"/>
        </w:rPr>
        <w:t xml:space="preserve">telezzük, hogy e kép valahol a világ valamely zugában megőrződött </w:t>
      </w:r>
      <w:r w:rsidRPr="00FB4EFA">
        <w:rPr>
          <w:rFonts w:cs="Baskerville Old Face"/>
          <w:szCs w:val="24"/>
          <w:lang w:val="hu-HU"/>
        </w:rPr>
        <w:t>é</w:t>
      </w:r>
      <w:r w:rsidRPr="00FB4EFA">
        <w:rPr>
          <w:szCs w:val="24"/>
          <w:lang w:val="hu-HU"/>
        </w:rPr>
        <w:t>s előker</w:t>
      </w:r>
      <w:r w:rsidRPr="00FB4EFA">
        <w:rPr>
          <w:rFonts w:cs="Baskerville Old Face"/>
          <w:szCs w:val="24"/>
          <w:lang w:val="hu-HU"/>
        </w:rPr>
        <w:t>ü</w:t>
      </w:r>
      <w:r w:rsidRPr="00FB4EFA">
        <w:rPr>
          <w:szCs w:val="24"/>
          <w:lang w:val="hu-HU"/>
        </w:rPr>
        <w:t>l (bár volt m</w:t>
      </w:r>
      <w:r w:rsidRPr="00FB4EFA">
        <w:rPr>
          <w:rFonts w:cs="Baskerville Old Face"/>
          <w:szCs w:val="24"/>
          <w:lang w:val="hu-HU"/>
        </w:rPr>
        <w:t>á</w:t>
      </w:r>
      <w:r w:rsidRPr="00FB4EFA">
        <w:rPr>
          <w:szCs w:val="24"/>
          <w:lang w:val="hu-HU"/>
        </w:rPr>
        <w:t>r ilyenre is p</w:t>
      </w:r>
      <w:r w:rsidRPr="00FB4EFA">
        <w:rPr>
          <w:rFonts w:cs="Baskerville Old Face"/>
          <w:szCs w:val="24"/>
          <w:lang w:val="hu-HU"/>
        </w:rPr>
        <w:t>é</w:t>
      </w:r>
      <w:r w:rsidRPr="00FB4EFA">
        <w:rPr>
          <w:szCs w:val="24"/>
          <w:lang w:val="hu-HU"/>
        </w:rPr>
        <w:t>lda). Sokkal val</w:t>
      </w:r>
      <w:r w:rsidRPr="00FB4EFA">
        <w:rPr>
          <w:rFonts w:cs="Baskerville Old Face"/>
          <w:szCs w:val="24"/>
          <w:lang w:val="hu-HU"/>
        </w:rPr>
        <w:t>ó</w:t>
      </w:r>
      <w:r w:rsidRPr="00FB4EFA">
        <w:rPr>
          <w:szCs w:val="24"/>
          <w:lang w:val="hu-HU"/>
        </w:rPr>
        <w:t>sz</w:t>
      </w:r>
      <w:r w:rsidRPr="00FB4EFA">
        <w:rPr>
          <w:rFonts w:cs="Baskerville Old Face"/>
          <w:szCs w:val="24"/>
          <w:lang w:val="hu-HU"/>
        </w:rPr>
        <w:t>ínű</w:t>
      </w:r>
      <w:r w:rsidRPr="00FB4EFA">
        <w:rPr>
          <w:szCs w:val="24"/>
          <w:lang w:val="hu-HU"/>
        </w:rPr>
        <w:t>bb azonban, hogy Drezda m</w:t>
      </w:r>
      <w:r w:rsidRPr="00FB4EFA">
        <w:rPr>
          <w:rFonts w:cs="Baskerville Old Face"/>
          <w:szCs w:val="24"/>
          <w:lang w:val="hu-HU"/>
        </w:rPr>
        <w:t>á</w:t>
      </w:r>
      <w:r w:rsidRPr="00FB4EFA">
        <w:rPr>
          <w:szCs w:val="24"/>
          <w:lang w:val="hu-HU"/>
        </w:rPr>
        <w:t>sodik vil</w:t>
      </w:r>
      <w:r w:rsidRPr="00FB4EFA">
        <w:rPr>
          <w:rFonts w:cs="Baskerville Old Face"/>
          <w:szCs w:val="24"/>
          <w:lang w:val="hu-HU"/>
        </w:rPr>
        <w:t>á</w:t>
      </w:r>
      <w:r w:rsidRPr="00FB4EFA">
        <w:rPr>
          <w:szCs w:val="24"/>
          <w:lang w:val="hu-HU"/>
        </w:rPr>
        <w:t>gh</w:t>
      </w:r>
      <w:r w:rsidRPr="00FB4EFA">
        <w:rPr>
          <w:rFonts w:cs="Baskerville Old Face"/>
          <w:szCs w:val="24"/>
          <w:lang w:val="hu-HU"/>
        </w:rPr>
        <w:t>á</w:t>
      </w:r>
      <w:r w:rsidRPr="00FB4EFA">
        <w:rPr>
          <w:szCs w:val="24"/>
          <w:lang w:val="hu-HU"/>
        </w:rPr>
        <w:t>bor</w:t>
      </w:r>
      <w:r w:rsidRPr="00FB4EFA">
        <w:rPr>
          <w:rFonts w:cs="Baskerville Old Face"/>
          <w:szCs w:val="24"/>
          <w:lang w:val="hu-HU"/>
        </w:rPr>
        <w:t>ú</w:t>
      </w:r>
      <w:r w:rsidRPr="00FB4EFA">
        <w:rPr>
          <w:szCs w:val="24"/>
          <w:lang w:val="hu-HU"/>
        </w:rPr>
        <w:t xml:space="preserve"> v</w:t>
      </w:r>
      <w:r w:rsidRPr="00FB4EFA">
        <w:rPr>
          <w:rFonts w:cs="Baskerville Old Face"/>
          <w:szCs w:val="24"/>
          <w:lang w:val="hu-HU"/>
        </w:rPr>
        <w:t>é</w:t>
      </w:r>
      <w:r w:rsidRPr="00FB4EFA">
        <w:rPr>
          <w:szCs w:val="24"/>
          <w:lang w:val="hu-HU"/>
        </w:rPr>
        <w:t>g</w:t>
      </w:r>
      <w:r w:rsidRPr="00FB4EFA">
        <w:rPr>
          <w:rFonts w:cs="Baskerville Old Face"/>
          <w:szCs w:val="24"/>
          <w:lang w:val="hu-HU"/>
        </w:rPr>
        <w:t>én történő</w:t>
      </w:r>
      <w:r w:rsidRPr="00FB4EFA">
        <w:rPr>
          <w:szCs w:val="24"/>
          <w:lang w:val="hu-HU"/>
        </w:rPr>
        <w:t xml:space="preserve"> bomb</w:t>
      </w:r>
      <w:r w:rsidRPr="00FB4EFA">
        <w:rPr>
          <w:rFonts w:cs="Baskerville Old Face"/>
          <w:szCs w:val="24"/>
          <w:lang w:val="hu-HU"/>
        </w:rPr>
        <w:t>á</w:t>
      </w:r>
      <w:r w:rsidRPr="00FB4EFA">
        <w:rPr>
          <w:szCs w:val="24"/>
          <w:lang w:val="hu-HU"/>
        </w:rPr>
        <w:t>z</w:t>
      </w:r>
      <w:r w:rsidRPr="00FB4EFA">
        <w:rPr>
          <w:rFonts w:cs="Baskerville Old Face"/>
          <w:szCs w:val="24"/>
          <w:lang w:val="hu-HU"/>
        </w:rPr>
        <w:t>á</w:t>
      </w:r>
      <w:r w:rsidRPr="00FB4EFA">
        <w:rPr>
          <w:szCs w:val="24"/>
          <w:lang w:val="hu-HU"/>
        </w:rPr>
        <w:t>sa következtében, amely Böckstiegel akkori munk</w:t>
      </w:r>
      <w:r w:rsidRPr="00FB4EFA">
        <w:rPr>
          <w:rFonts w:cs="Baskerville Old Face"/>
          <w:szCs w:val="24"/>
          <w:lang w:val="hu-HU"/>
        </w:rPr>
        <w:t>á</w:t>
      </w:r>
      <w:r w:rsidRPr="00FB4EFA">
        <w:rPr>
          <w:szCs w:val="24"/>
          <w:lang w:val="hu-HU"/>
        </w:rPr>
        <w:t>ss</w:t>
      </w:r>
      <w:r w:rsidRPr="00FB4EFA">
        <w:rPr>
          <w:rFonts w:cs="Baskerville Old Face"/>
          <w:szCs w:val="24"/>
          <w:lang w:val="hu-HU"/>
        </w:rPr>
        <w:t>á</w:t>
      </w:r>
      <w:r w:rsidRPr="00FB4EFA">
        <w:rPr>
          <w:szCs w:val="24"/>
          <w:lang w:val="hu-HU"/>
        </w:rPr>
        <w:t>g</w:t>
      </w:r>
      <w:r w:rsidRPr="00FB4EFA">
        <w:rPr>
          <w:rFonts w:cs="Baskerville Old Face"/>
          <w:szCs w:val="24"/>
          <w:lang w:val="hu-HU"/>
        </w:rPr>
        <w:t>á</w:t>
      </w:r>
      <w:r w:rsidRPr="00FB4EFA">
        <w:rPr>
          <w:szCs w:val="24"/>
          <w:lang w:val="hu-HU"/>
        </w:rPr>
        <w:t>t őrző műterm</w:t>
      </w:r>
      <w:r w:rsidRPr="00FB4EFA">
        <w:rPr>
          <w:rFonts w:cs="Baskerville Old Face"/>
          <w:szCs w:val="24"/>
          <w:lang w:val="hu-HU"/>
        </w:rPr>
        <w:t>ét is érintette,</w:t>
      </w:r>
      <w:r w:rsidRPr="00FB4EFA">
        <w:rPr>
          <w:szCs w:val="24"/>
          <w:lang w:val="hu-HU"/>
        </w:rPr>
        <w:t xml:space="preserve"> megsemmis</w:t>
      </w:r>
      <w:r w:rsidRPr="00FB4EFA">
        <w:rPr>
          <w:rFonts w:cs="Baskerville Old Face"/>
          <w:szCs w:val="24"/>
          <w:lang w:val="hu-HU"/>
        </w:rPr>
        <w:t>ü</w:t>
      </w:r>
      <w:r w:rsidRPr="00FB4EFA">
        <w:rPr>
          <w:szCs w:val="24"/>
          <w:lang w:val="hu-HU"/>
        </w:rPr>
        <w:t>lt.</w:t>
      </w:r>
    </w:p>
    <w:p w14:paraId="73593A76" w14:textId="77777777" w:rsidR="002115C8" w:rsidRPr="00FB4EFA" w:rsidRDefault="002115C8">
      <w:pPr>
        <w:spacing w:after="160" w:line="259" w:lineRule="auto"/>
        <w:jc w:val="left"/>
        <w:rPr>
          <w:rFonts w:ascii="Gill Sans MT" w:eastAsia="Gill Sans MT" w:hAnsi="Gill Sans MT" w:cs="Gill Sans MT"/>
          <w:sz w:val="28"/>
          <w:lang w:val="en-GB" w:eastAsia="en-GB"/>
        </w:rPr>
      </w:pPr>
      <w:r w:rsidRPr="00FB4EFA">
        <w:br w:type="page"/>
      </w:r>
    </w:p>
    <w:p w14:paraId="7E5C7533" w14:textId="0FEF88A1" w:rsidR="00B3200B" w:rsidRPr="00FB4EFA" w:rsidRDefault="00B3200B" w:rsidP="00863238">
      <w:pPr>
        <w:pStyle w:val="Heading2"/>
        <w:spacing w:line="259" w:lineRule="auto"/>
        <w:rPr>
          <w:color w:val="auto"/>
        </w:rPr>
      </w:pPr>
      <w:r w:rsidRPr="00FB4EFA">
        <w:rPr>
          <w:color w:val="auto"/>
        </w:rPr>
        <w:lastRenderedPageBreak/>
        <w:t>Bibliográfia</w:t>
      </w:r>
    </w:p>
    <w:p w14:paraId="45EDC933" w14:textId="13B98ADC" w:rsidR="00B3200B" w:rsidRPr="00FB4EFA" w:rsidRDefault="00B3200B" w:rsidP="002115C8">
      <w:pPr>
        <w:suppressAutoHyphens/>
        <w:spacing w:line="240" w:lineRule="auto"/>
        <w:ind w:left="426" w:hanging="426"/>
        <w:rPr>
          <w:rFonts w:cs="Charis SIL"/>
          <w:lang w:val="hu-HU"/>
        </w:rPr>
      </w:pPr>
      <w:r w:rsidRPr="00FB4EFA">
        <w:rPr>
          <w:rFonts w:cs="Charis SIL"/>
          <w:lang w:val="hu-HU"/>
        </w:rPr>
        <w:t>Autor, Anonym</w:t>
      </w:r>
      <w:r w:rsidR="00BE6AB4" w:rsidRPr="00FB4EFA">
        <w:rPr>
          <w:rFonts w:cs="Charis SIL"/>
          <w:lang w:val="hu-HU"/>
        </w:rPr>
        <w:t>.</w:t>
      </w:r>
      <w:r w:rsidRPr="00FB4EFA">
        <w:rPr>
          <w:rFonts w:cs="Charis SIL"/>
          <w:lang w:val="hu-HU"/>
        </w:rPr>
        <w:t xml:space="preserve"> 2019. Tiefe Eindrücke einer Norwegenreise. Künstlerische Eindrücke. </w:t>
      </w:r>
      <w:hyperlink r:id="rId460" w:history="1">
        <w:r w:rsidR="002115C8" w:rsidRPr="00FB4EFA">
          <w:rPr>
            <w:rStyle w:val="Hyperlink"/>
            <w:rFonts w:cs="Charis SIL"/>
            <w:color w:val="auto"/>
            <w:lang w:val="hu-HU"/>
          </w:rPr>
          <w:t>www.kreis-guetersloh.de/unser-kreis/</w:t>
        </w:r>
        <w:r w:rsidR="002115C8" w:rsidRPr="00FB4EFA">
          <w:rPr>
            <w:rStyle w:val="Hyperlink"/>
            <w:rFonts w:cs="Charis SIL"/>
            <w:color w:val="auto"/>
            <w:lang w:val="hu-HU"/>
          </w:rPr>
          <w:br/>
          <w:t>kreisarchiv/ausstellungen/vergangene-ausstellung-boeckstiegel-schreibt/</w:t>
        </w:r>
      </w:hyperlink>
      <w:r w:rsidRPr="00FB4EFA">
        <w:rPr>
          <w:rFonts w:cs="Charis SIL"/>
          <w:lang w:val="hu-HU"/>
        </w:rPr>
        <w:t>.</w:t>
      </w:r>
    </w:p>
    <w:p w14:paraId="4E4C7401" w14:textId="4A97EE82" w:rsidR="00B3200B" w:rsidRPr="00FB4EFA" w:rsidRDefault="00B3200B" w:rsidP="002115C8">
      <w:pPr>
        <w:suppressAutoHyphens/>
        <w:spacing w:line="240" w:lineRule="auto"/>
        <w:ind w:left="426" w:hanging="426"/>
        <w:rPr>
          <w:rFonts w:cs="Charis SIL"/>
          <w:lang w:val="en-US"/>
        </w:rPr>
      </w:pPr>
      <w:r w:rsidRPr="00FB4EFA">
        <w:rPr>
          <w:rFonts w:cs="Charis SIL"/>
          <w:lang w:val="en-US"/>
        </w:rPr>
        <w:t>Baglo, Catharine (</w:t>
      </w:r>
      <w:r w:rsidR="00BE6AB4" w:rsidRPr="00FB4EFA">
        <w:rPr>
          <w:rFonts w:cs="Charis SIL"/>
          <w:lang w:val="en-US"/>
        </w:rPr>
        <w:t>szerk</w:t>
      </w:r>
      <w:r w:rsidRPr="00FB4EFA">
        <w:rPr>
          <w:rFonts w:cs="Charis SIL"/>
          <w:lang w:val="en-US"/>
        </w:rPr>
        <w:t>.)</w:t>
      </w:r>
      <w:r w:rsidR="00BE6AB4" w:rsidRPr="00FB4EFA">
        <w:rPr>
          <w:rFonts w:cs="Charis SIL"/>
          <w:lang w:val="en-US"/>
        </w:rPr>
        <w:t>.</w:t>
      </w:r>
      <w:r w:rsidRPr="00FB4EFA">
        <w:rPr>
          <w:rFonts w:cs="Charis SIL"/>
          <w:lang w:val="en-US"/>
        </w:rPr>
        <w:t xml:space="preserve"> 2007. </w:t>
      </w:r>
      <w:r w:rsidRPr="00FB4EFA">
        <w:rPr>
          <w:rFonts w:cs="Charis SIL"/>
          <w:i/>
          <w:iCs/>
          <w:lang w:val="en-US"/>
        </w:rPr>
        <w:t>Samer på utstilling</w:t>
      </w:r>
      <w:r w:rsidR="00542360" w:rsidRPr="00FB4EFA">
        <w:rPr>
          <w:rFonts w:cs="Charis SIL"/>
          <w:lang w:val="en-US"/>
        </w:rPr>
        <w:t>.</w:t>
      </w:r>
      <w:r w:rsidRPr="00FB4EFA">
        <w:rPr>
          <w:rFonts w:cs="Charis SIL"/>
          <w:lang w:val="en-US"/>
        </w:rPr>
        <w:t xml:space="preserve"> Tromsø: </w:t>
      </w:r>
      <w:r w:rsidR="00542360" w:rsidRPr="00FB4EFA">
        <w:rPr>
          <w:rFonts w:cs="Charis SIL"/>
          <w:lang w:val="en-US"/>
        </w:rPr>
        <w:t xml:space="preserve">Tromsø Museum </w:t>
      </w:r>
      <w:r w:rsidR="000815D9" w:rsidRPr="00FB4EFA">
        <w:rPr>
          <w:rFonts w:cs="Charis SIL"/>
          <w:lang w:val="en-US"/>
        </w:rPr>
        <w:t>/</w:t>
      </w:r>
      <w:r w:rsidR="00542360" w:rsidRPr="00FB4EFA">
        <w:rPr>
          <w:rFonts w:cs="Charis SIL"/>
          <w:lang w:val="en-US"/>
        </w:rPr>
        <w:t xml:space="preserve"> Universitetsmuseet</w:t>
      </w:r>
      <w:r w:rsidR="00614E7B" w:rsidRPr="00FB4EFA">
        <w:rPr>
          <w:rFonts w:cs="Charis SIL"/>
          <w:lang w:val="hu-HU"/>
        </w:rPr>
        <w:t>.</w:t>
      </w:r>
    </w:p>
    <w:p w14:paraId="660B3955" w14:textId="7F858101" w:rsidR="00B3200B" w:rsidRPr="00FB4EFA" w:rsidRDefault="00B3200B" w:rsidP="002115C8">
      <w:pPr>
        <w:suppressAutoHyphens/>
        <w:spacing w:line="240" w:lineRule="auto"/>
        <w:ind w:left="426" w:hanging="426"/>
        <w:rPr>
          <w:rFonts w:cs="Charis SIL"/>
          <w:lang w:val="de-DE"/>
        </w:rPr>
      </w:pPr>
      <w:r w:rsidRPr="00FB4EFA">
        <w:rPr>
          <w:rFonts w:cs="Charis SIL"/>
          <w:lang w:val="en-US"/>
        </w:rPr>
        <w:t>Baglo, Catharine</w:t>
      </w:r>
      <w:r w:rsidR="00BE6AB4" w:rsidRPr="00FB4EFA">
        <w:rPr>
          <w:rFonts w:cs="Charis SIL"/>
          <w:lang w:val="en-US"/>
        </w:rPr>
        <w:t>.</w:t>
      </w:r>
      <w:r w:rsidRPr="00FB4EFA">
        <w:rPr>
          <w:rFonts w:cs="Charis SIL"/>
          <w:lang w:val="en-US"/>
        </w:rPr>
        <w:t xml:space="preserve"> 2011. </w:t>
      </w:r>
      <w:r w:rsidRPr="00FB4EFA">
        <w:rPr>
          <w:rFonts w:cs="Charis SIL"/>
          <w:i/>
          <w:iCs/>
          <w:lang w:val="en-US"/>
        </w:rPr>
        <w:t xml:space="preserve">På ville veger? </w:t>
      </w:r>
      <w:r w:rsidRPr="00FB4EFA">
        <w:rPr>
          <w:rFonts w:cs="Charis SIL"/>
          <w:i/>
          <w:iCs/>
          <w:lang w:val="de-DE"/>
        </w:rPr>
        <w:t>Levende utstillinger av samer i Europa og Amerika</w:t>
      </w:r>
      <w:r w:rsidRPr="00FB4EFA">
        <w:rPr>
          <w:rFonts w:cs="Charis SIL"/>
          <w:lang w:val="de-DE"/>
        </w:rPr>
        <w:t xml:space="preserve">. </w:t>
      </w:r>
      <w:r w:rsidR="00542360" w:rsidRPr="00FB4EFA">
        <w:rPr>
          <w:rFonts w:cs="Charis SIL"/>
          <w:lang w:val="de-DE"/>
        </w:rPr>
        <w:t>Tromsø</w:t>
      </w:r>
      <w:r w:rsidRPr="00FB4EFA">
        <w:rPr>
          <w:rFonts w:cs="Charis SIL"/>
          <w:lang w:val="de-DE"/>
        </w:rPr>
        <w:t>: Universitetet i Tromsø</w:t>
      </w:r>
      <w:r w:rsidR="00542360" w:rsidRPr="00FB4EFA">
        <w:rPr>
          <w:rFonts w:cs="Charis SIL"/>
          <w:lang w:val="de-DE"/>
        </w:rPr>
        <w:t>, Institutt for arkeologi og sosialantropologi</w:t>
      </w:r>
      <w:r w:rsidRPr="00FB4EFA">
        <w:rPr>
          <w:rFonts w:cs="Charis SIL"/>
          <w:lang w:val="de-DE"/>
        </w:rPr>
        <w:t>.</w:t>
      </w:r>
    </w:p>
    <w:p w14:paraId="57A34C17" w14:textId="620F2C1D" w:rsidR="00B3200B" w:rsidRPr="00FB4EFA" w:rsidRDefault="00B3200B" w:rsidP="002115C8">
      <w:pPr>
        <w:suppressAutoHyphens/>
        <w:spacing w:line="240" w:lineRule="auto"/>
        <w:ind w:left="426" w:hanging="426"/>
        <w:rPr>
          <w:rFonts w:cs="Charis SIL"/>
        </w:rPr>
      </w:pPr>
      <w:r w:rsidRPr="00FB4EFA">
        <w:rPr>
          <w:rFonts w:cs="Charis SIL"/>
          <w:lang w:val="hu-HU"/>
        </w:rPr>
        <w:t>Domokos, Johanna</w:t>
      </w:r>
      <w:r w:rsidR="00BE6AB4" w:rsidRPr="00FB4EFA">
        <w:rPr>
          <w:rFonts w:cs="Charis SIL"/>
          <w:lang w:val="en-US"/>
        </w:rPr>
        <w:t>.</w:t>
      </w:r>
      <w:r w:rsidRPr="00FB4EFA">
        <w:rPr>
          <w:rFonts w:cs="Charis SIL"/>
          <w:lang w:val="hu-HU"/>
        </w:rPr>
        <w:t xml:space="preserve"> 2022. Peter August Böckstiegel und die Sámi. </w:t>
      </w:r>
      <w:r w:rsidRPr="00FB4EFA">
        <w:rPr>
          <w:rFonts w:cs="Charis SIL"/>
          <w:i/>
          <w:iCs/>
          <w:lang w:val="hu-HU"/>
        </w:rPr>
        <w:t>Beiträge zur Skandinavistik</w:t>
      </w:r>
      <w:r w:rsidR="00542360" w:rsidRPr="00FB4EFA">
        <w:rPr>
          <w:rFonts w:cs="Charis SIL"/>
          <w:lang w:val="hu-HU"/>
        </w:rPr>
        <w:t xml:space="preserve"> </w:t>
      </w:r>
      <w:r w:rsidRPr="00FB4EFA">
        <w:rPr>
          <w:rFonts w:cs="Charis SIL"/>
          <w:lang w:val="hu-HU"/>
        </w:rPr>
        <w:t>33</w:t>
      </w:r>
      <w:r w:rsidR="00542360" w:rsidRPr="00FB4EFA">
        <w:rPr>
          <w:rFonts w:cs="Charis SIL"/>
          <w:lang w:val="hu-HU"/>
        </w:rPr>
        <w:t>.</w:t>
      </w:r>
      <w:r w:rsidRPr="00FB4EFA">
        <w:rPr>
          <w:rFonts w:cs="Charis SIL"/>
          <w:lang w:val="hu-HU"/>
        </w:rPr>
        <w:t xml:space="preserve"> 289</w:t>
      </w:r>
      <w:r w:rsidRPr="00FB4EFA">
        <w:rPr>
          <w:rFonts w:cs="Charis SIL"/>
        </w:rPr>
        <w:t>–</w:t>
      </w:r>
      <w:r w:rsidRPr="00FB4EFA">
        <w:rPr>
          <w:rFonts w:cs="Charis SIL"/>
          <w:lang w:val="hu-HU"/>
        </w:rPr>
        <w:t>308.</w:t>
      </w:r>
    </w:p>
    <w:p w14:paraId="2EAB02DF" w14:textId="29FD7C17" w:rsidR="00B3200B" w:rsidRPr="00FB4EFA" w:rsidRDefault="00B3200B" w:rsidP="002115C8">
      <w:pPr>
        <w:suppressAutoHyphens/>
        <w:spacing w:line="240" w:lineRule="auto"/>
        <w:ind w:left="426" w:hanging="426"/>
        <w:rPr>
          <w:rFonts w:cs="Charis SIL"/>
        </w:rPr>
      </w:pPr>
      <w:r w:rsidRPr="00FB4EFA">
        <w:rPr>
          <w:rFonts w:cs="Charis SIL"/>
        </w:rPr>
        <w:t>Domokos, Péter</w:t>
      </w:r>
      <w:r w:rsidR="00BE6AB4" w:rsidRPr="00FB4EFA">
        <w:rPr>
          <w:rFonts w:cs="Charis SIL"/>
          <w:lang w:val="en-US"/>
        </w:rPr>
        <w:t>.</w:t>
      </w:r>
      <w:r w:rsidRPr="00FB4EFA">
        <w:rPr>
          <w:rFonts w:cs="Charis SIL"/>
        </w:rPr>
        <w:t xml:space="preserve"> 1975. Lapp népköltészet és irodalom. </w:t>
      </w:r>
      <w:r w:rsidRPr="00FB4EFA">
        <w:rPr>
          <w:rFonts w:cs="Charis SIL"/>
          <w:lang w:val="en-US"/>
        </w:rPr>
        <w:t>In Domokos Péter (</w:t>
      </w:r>
      <w:r w:rsidR="00BE6AB4" w:rsidRPr="00FB4EFA">
        <w:rPr>
          <w:rFonts w:cs="Charis SIL"/>
          <w:lang w:val="en-US"/>
        </w:rPr>
        <w:t>szerk</w:t>
      </w:r>
      <w:r w:rsidRPr="00FB4EFA">
        <w:rPr>
          <w:rFonts w:cs="Charis SIL"/>
          <w:lang w:val="en-US"/>
        </w:rPr>
        <w:t xml:space="preserve">.), </w:t>
      </w:r>
      <w:r w:rsidRPr="00FB4EFA">
        <w:rPr>
          <w:rFonts w:cs="Charis SIL"/>
          <w:i/>
          <w:iCs/>
          <w:lang w:val="en-US"/>
        </w:rPr>
        <w:t>Medveének</w:t>
      </w:r>
      <w:r w:rsidR="00BE6AB4" w:rsidRPr="00FB4EFA">
        <w:rPr>
          <w:rFonts w:cs="Charis SIL"/>
          <w:lang w:val="en-US"/>
        </w:rPr>
        <w:t xml:space="preserve">, </w:t>
      </w:r>
      <w:r w:rsidR="00BE6AB4" w:rsidRPr="00FB4EFA">
        <w:rPr>
          <w:rFonts w:cs="Charis SIL"/>
        </w:rPr>
        <w:t>243–250</w:t>
      </w:r>
      <w:r w:rsidRPr="00FB4EFA">
        <w:rPr>
          <w:rFonts w:cs="Charis SIL"/>
          <w:lang w:val="en-US"/>
        </w:rPr>
        <w:t xml:space="preserve">. </w:t>
      </w:r>
      <w:r w:rsidRPr="00FB4EFA">
        <w:rPr>
          <w:rFonts w:cs="Charis SIL"/>
        </w:rPr>
        <w:t>Budapest: Európa Kiadó.</w:t>
      </w:r>
    </w:p>
    <w:p w14:paraId="7199E9CB" w14:textId="13C81E6C" w:rsidR="00B3200B" w:rsidRPr="00FB4EFA" w:rsidRDefault="00B3200B" w:rsidP="002115C8">
      <w:pPr>
        <w:suppressAutoHyphens/>
        <w:spacing w:line="240" w:lineRule="auto"/>
        <w:ind w:left="426" w:hanging="426"/>
        <w:rPr>
          <w:rFonts w:cs="Charis SIL"/>
        </w:rPr>
      </w:pPr>
      <w:r w:rsidRPr="00FB4EFA">
        <w:rPr>
          <w:rFonts w:cs="Charis SIL"/>
        </w:rPr>
        <w:t>Hagenbeck, Carl</w:t>
      </w:r>
      <w:r w:rsidR="00BE6AB4" w:rsidRPr="00FB4EFA">
        <w:rPr>
          <w:rFonts w:cs="Charis SIL"/>
        </w:rPr>
        <w:t>.</w:t>
      </w:r>
      <w:r w:rsidRPr="00FB4EFA">
        <w:rPr>
          <w:rFonts w:cs="Charis SIL"/>
        </w:rPr>
        <w:t xml:space="preserve"> 1967. </w:t>
      </w:r>
      <w:r w:rsidRPr="00FB4EFA">
        <w:rPr>
          <w:rFonts w:cs="Charis SIL"/>
          <w:i/>
          <w:iCs/>
        </w:rPr>
        <w:t>Von Tieren und Menschen</w:t>
      </w:r>
      <w:r w:rsidRPr="00FB4EFA">
        <w:rPr>
          <w:rFonts w:cs="Charis SIL"/>
        </w:rPr>
        <w:t>. Leipzig: Paul List.</w:t>
      </w:r>
    </w:p>
    <w:p w14:paraId="38AB0735" w14:textId="77F67CFC" w:rsidR="00B3200B" w:rsidRPr="00FB4EFA" w:rsidRDefault="00B3200B" w:rsidP="002115C8">
      <w:pPr>
        <w:suppressAutoHyphens/>
        <w:spacing w:line="240" w:lineRule="auto"/>
        <w:ind w:left="426" w:hanging="426"/>
        <w:rPr>
          <w:rFonts w:cs="Charis SIL"/>
        </w:rPr>
      </w:pPr>
      <w:r w:rsidRPr="00FB4EFA">
        <w:rPr>
          <w:rFonts w:cs="Charis SIL"/>
          <w:lang w:val="hu-HU"/>
        </w:rPr>
        <w:t>Hagemann, Gustav</w:t>
      </w:r>
      <w:r w:rsidR="00BE6AB4" w:rsidRPr="00FB4EFA">
        <w:rPr>
          <w:rFonts w:cs="Charis SIL"/>
        </w:rPr>
        <w:t>.</w:t>
      </w:r>
      <w:r w:rsidRPr="00FB4EFA">
        <w:rPr>
          <w:rFonts w:cs="Charis SIL"/>
          <w:lang w:val="hu-HU"/>
        </w:rPr>
        <w:t xml:space="preserve"> 1976. </w:t>
      </w:r>
      <w:r w:rsidRPr="00FB4EFA">
        <w:rPr>
          <w:rFonts w:cs="Charis SIL"/>
          <w:i/>
          <w:iCs/>
          <w:lang w:val="hu-HU"/>
        </w:rPr>
        <w:t>Das Leben der Lappen in ihren Ritzzeichnungen und anderen Selbstzeugnissen</w:t>
      </w:r>
      <w:r w:rsidRPr="00FB4EFA">
        <w:rPr>
          <w:rFonts w:cs="Charis SIL"/>
          <w:lang w:val="hu-HU"/>
        </w:rPr>
        <w:t>. Iserlohn: Sauerland Verlag.</w:t>
      </w:r>
    </w:p>
    <w:p w14:paraId="14405CD7" w14:textId="409CA8EB" w:rsidR="00B3200B" w:rsidRPr="00FB4EFA" w:rsidRDefault="00B3200B" w:rsidP="002115C8">
      <w:pPr>
        <w:keepLines/>
        <w:suppressAutoHyphens/>
        <w:spacing w:line="240" w:lineRule="auto"/>
        <w:ind w:left="425" w:hanging="425"/>
        <w:rPr>
          <w:rFonts w:cs="Charis SIL"/>
        </w:rPr>
      </w:pPr>
      <w:r w:rsidRPr="00FB4EFA">
        <w:rPr>
          <w:rFonts w:cs="Charis SIL"/>
          <w:lang w:val="en-US"/>
        </w:rPr>
        <w:t>Lehtola, Veli-Pekka</w:t>
      </w:r>
      <w:r w:rsidR="00BE6AB4" w:rsidRPr="00FB4EFA">
        <w:rPr>
          <w:rFonts w:cs="Charis SIL"/>
        </w:rPr>
        <w:t>.</w:t>
      </w:r>
      <w:r w:rsidRPr="00FB4EFA">
        <w:rPr>
          <w:rFonts w:cs="Charis SIL"/>
          <w:lang w:val="en-US"/>
        </w:rPr>
        <w:t xml:space="preserve"> 2013. Sami on the stages and in the zoos of Europe. </w:t>
      </w:r>
      <w:r w:rsidRPr="00FB4EFA">
        <w:rPr>
          <w:rFonts w:cs="Charis SIL"/>
          <w:lang w:val="fr-FR"/>
        </w:rPr>
        <w:t>In Kaisa Anderson (</w:t>
      </w:r>
      <w:r w:rsidR="00542360" w:rsidRPr="00FB4EFA">
        <w:rPr>
          <w:rFonts w:cs="Charis SIL"/>
          <w:lang w:val="fr-FR"/>
        </w:rPr>
        <w:t>szerk</w:t>
      </w:r>
      <w:r w:rsidRPr="00FB4EFA">
        <w:rPr>
          <w:rFonts w:cs="Charis SIL"/>
          <w:lang w:val="fr-FR"/>
        </w:rPr>
        <w:t>.),</w:t>
      </w:r>
      <w:r w:rsidRPr="00FB4EFA">
        <w:rPr>
          <w:rFonts w:cs="Charis SIL"/>
          <w:i/>
          <w:iCs/>
          <w:lang w:val="fr-FR"/>
        </w:rPr>
        <w:t xml:space="preserve"> L’Image du Sápmi II. Études compares</w:t>
      </w:r>
      <w:r w:rsidR="00542360" w:rsidRPr="00FB4EFA">
        <w:rPr>
          <w:rFonts w:cs="Charis SIL"/>
          <w:lang w:val="en-US"/>
        </w:rPr>
        <w:t xml:space="preserve">, </w:t>
      </w:r>
      <w:r w:rsidR="00542360" w:rsidRPr="00FB4EFA">
        <w:rPr>
          <w:rFonts w:cs="Charis SIL"/>
        </w:rPr>
        <w:t>324–352</w:t>
      </w:r>
      <w:r w:rsidRPr="00FB4EFA">
        <w:rPr>
          <w:rFonts w:cs="Charis SIL"/>
          <w:lang w:val="fr-FR"/>
        </w:rPr>
        <w:t xml:space="preserve"> </w:t>
      </w:r>
      <w:r w:rsidRPr="00FB4EFA">
        <w:rPr>
          <w:rFonts w:cs="Charis SIL"/>
          <w:lang w:val="en-US"/>
        </w:rPr>
        <w:t>Örebro: Humanistic Studies at Örebro University</w:t>
      </w:r>
      <w:r w:rsidRPr="00FB4EFA">
        <w:rPr>
          <w:rFonts w:cs="Charis SIL"/>
        </w:rPr>
        <w:t>.</w:t>
      </w:r>
    </w:p>
    <w:p w14:paraId="04365CC1" w14:textId="333F6138" w:rsidR="00B3200B" w:rsidRPr="00FB4EFA" w:rsidRDefault="00B3200B" w:rsidP="002115C8">
      <w:pPr>
        <w:suppressAutoHyphens/>
        <w:spacing w:line="240" w:lineRule="auto"/>
        <w:ind w:left="426" w:hanging="426"/>
        <w:rPr>
          <w:rFonts w:cs="Charis SIL"/>
        </w:rPr>
      </w:pPr>
      <w:r w:rsidRPr="00FB4EFA">
        <w:rPr>
          <w:rFonts w:cs="Charis SIL"/>
          <w:lang w:val="fr-FR"/>
        </w:rPr>
        <w:t xml:space="preserve">Radauer, Clemens. Collection Radauer. </w:t>
      </w:r>
      <w:hyperlink r:id="rId461" w:history="1">
        <w:r w:rsidR="006A4D03" w:rsidRPr="00FB4EFA">
          <w:rPr>
            <w:rStyle w:val="Hyperlink"/>
            <w:rFonts w:cs="Charis SIL"/>
            <w:color w:val="auto"/>
            <w:lang w:val="fr-FR"/>
          </w:rPr>
          <w:t>humanzoos.net/</w:t>
        </w:r>
      </w:hyperlink>
      <w:r w:rsidRPr="00FB4EFA">
        <w:rPr>
          <w:rFonts w:cs="Charis SIL"/>
          <w:lang w:val="fr-FR"/>
        </w:rPr>
        <w:t>.</w:t>
      </w:r>
    </w:p>
    <w:p w14:paraId="3D4DDC51" w14:textId="793F12CA" w:rsidR="00B3200B" w:rsidRPr="00FB4EFA" w:rsidRDefault="00B3200B" w:rsidP="002115C8">
      <w:pPr>
        <w:suppressAutoHyphens/>
        <w:spacing w:line="240" w:lineRule="auto"/>
        <w:ind w:left="426" w:hanging="426"/>
        <w:rPr>
          <w:rFonts w:cs="Charis SIL"/>
        </w:rPr>
      </w:pPr>
      <w:r w:rsidRPr="00FB4EFA">
        <w:rPr>
          <w:rFonts w:cs="Charis SIL"/>
        </w:rPr>
        <w:t>Riedel, David (</w:t>
      </w:r>
      <w:r w:rsidR="00542360" w:rsidRPr="00FB4EFA">
        <w:rPr>
          <w:rFonts w:cs="Charis SIL"/>
        </w:rPr>
        <w:t>szerk</w:t>
      </w:r>
      <w:r w:rsidRPr="00FB4EFA">
        <w:rPr>
          <w:rFonts w:cs="Charis SIL"/>
        </w:rPr>
        <w:t>.)</w:t>
      </w:r>
      <w:r w:rsidR="00BE6AB4" w:rsidRPr="00FB4EFA">
        <w:rPr>
          <w:rFonts w:cs="Charis SIL"/>
        </w:rPr>
        <w:t>.</w:t>
      </w:r>
      <w:r w:rsidRPr="00FB4EFA">
        <w:rPr>
          <w:rFonts w:cs="Charis SIL"/>
        </w:rPr>
        <w:t xml:space="preserve"> 2014. </w:t>
      </w:r>
      <w:r w:rsidRPr="00FB4EFA">
        <w:rPr>
          <w:rFonts w:cs="Charis SIL"/>
          <w:i/>
          <w:iCs/>
        </w:rPr>
        <w:t>Peter August Böckstiegel. Die Gemälde (1910–1951)</w:t>
      </w:r>
      <w:r w:rsidRPr="00FB4EFA">
        <w:rPr>
          <w:rFonts w:cs="Charis SIL"/>
        </w:rPr>
        <w:t>. München: Hirmer.</w:t>
      </w:r>
    </w:p>
    <w:p w14:paraId="7337C9D7" w14:textId="1ADFC6B6" w:rsidR="000815D9" w:rsidRPr="00FB4EFA" w:rsidRDefault="000815D9" w:rsidP="002115C8">
      <w:pPr>
        <w:suppressAutoHyphens/>
        <w:spacing w:line="240" w:lineRule="auto"/>
        <w:ind w:left="426" w:hanging="426"/>
        <w:rPr>
          <w:rFonts w:cs="Charis SIL"/>
        </w:rPr>
      </w:pPr>
      <w:r w:rsidRPr="00FB4EFA">
        <w:rPr>
          <w:rFonts w:cs="Charis SIL"/>
        </w:rPr>
        <w:t xml:space="preserve">Riedel, David. 2019a. </w:t>
      </w:r>
      <w:r w:rsidRPr="00FB4EFA">
        <w:rPr>
          <w:rFonts w:cs="Charis SIL"/>
          <w:i/>
          <w:iCs/>
        </w:rPr>
        <w:t>Peter August Böckstiegel</w:t>
      </w:r>
      <w:r w:rsidRPr="00FB4EFA">
        <w:rPr>
          <w:rFonts w:cs="Charis SIL"/>
        </w:rPr>
        <w:t>. München: Klinkhardt &amp; Biermann Verlag.</w:t>
      </w:r>
    </w:p>
    <w:p w14:paraId="6F09F780" w14:textId="52514752" w:rsidR="00B3200B" w:rsidRPr="00FB4EFA" w:rsidRDefault="00B3200B" w:rsidP="00AF0CAD">
      <w:pPr>
        <w:keepLines/>
        <w:spacing w:line="240" w:lineRule="auto"/>
        <w:ind w:left="425" w:hanging="425"/>
        <w:rPr>
          <w:rFonts w:cs="Charis SIL"/>
        </w:rPr>
      </w:pPr>
      <w:r w:rsidRPr="00FB4EFA">
        <w:rPr>
          <w:rFonts w:cs="Charis SIL"/>
        </w:rPr>
        <w:t>Riedel, David</w:t>
      </w:r>
      <w:r w:rsidR="00BE6AB4" w:rsidRPr="00FB4EFA">
        <w:rPr>
          <w:rFonts w:cs="Charis SIL"/>
        </w:rPr>
        <w:t>.</w:t>
      </w:r>
      <w:r w:rsidRPr="00FB4EFA">
        <w:rPr>
          <w:rFonts w:cs="Charis SIL"/>
        </w:rPr>
        <w:t xml:space="preserve"> 2019</w:t>
      </w:r>
      <w:r w:rsidR="000815D9" w:rsidRPr="00FB4EFA">
        <w:rPr>
          <w:rFonts w:cs="Charis SIL"/>
        </w:rPr>
        <w:t>b</w:t>
      </w:r>
      <w:r w:rsidRPr="00FB4EFA">
        <w:rPr>
          <w:rFonts w:cs="Charis SIL"/>
        </w:rPr>
        <w:t xml:space="preserve">. </w:t>
      </w:r>
      <w:r w:rsidRPr="00FB4EFA">
        <w:rPr>
          <w:rFonts w:cs="Charis SIL"/>
          <w:lang w:val="hu-HU"/>
        </w:rPr>
        <w:t>„</w:t>
      </w:r>
      <w:r w:rsidRPr="00FB4EFA">
        <w:rPr>
          <w:rFonts w:cs="Charis SIL"/>
          <w:i/>
          <w:iCs/>
        </w:rPr>
        <w:t>In der Völkerschau</w:t>
      </w:r>
      <w:r w:rsidRPr="00FB4EFA">
        <w:rPr>
          <w:rFonts w:cs="Charis SIL"/>
        </w:rPr>
        <w:t>“</w:t>
      </w:r>
      <w:r w:rsidRPr="00FB4EFA">
        <w:rPr>
          <w:rFonts w:cs="Charis SIL"/>
          <w:i/>
          <w:iCs/>
        </w:rPr>
        <w:t>.</w:t>
      </w:r>
      <w:r w:rsidRPr="00FB4EFA">
        <w:rPr>
          <w:rFonts w:cs="Charis SIL"/>
        </w:rPr>
        <w:t xml:space="preserve"> </w:t>
      </w:r>
      <w:r w:rsidR="00317565" w:rsidRPr="00FB4EFA">
        <w:rPr>
          <w:rFonts w:cs="Charis SIL"/>
        </w:rPr>
        <w:t>Felirat az „Ifjúság és öregkor – Az ember Peter August Böckstiegel alkotásaiban” című kiállításon, 2019. május 5.–2019. szeptember 15., Peter August Böckstiegel Múzeum.</w:t>
      </w:r>
    </w:p>
    <w:p w14:paraId="6C68CECD" w14:textId="05F6A0E4" w:rsidR="00B3200B" w:rsidRPr="00FB4EFA" w:rsidRDefault="00B3200B" w:rsidP="00AF0CAD">
      <w:pPr>
        <w:spacing w:line="240" w:lineRule="auto"/>
        <w:ind w:left="426" w:hanging="426"/>
        <w:rPr>
          <w:rFonts w:cs="Charis SIL"/>
        </w:rPr>
      </w:pPr>
      <w:r w:rsidRPr="00FB4EFA">
        <w:rPr>
          <w:rFonts w:cs="Charis SIL"/>
        </w:rPr>
        <w:t>Ruhe, Hermann</w:t>
      </w:r>
      <w:r w:rsidR="00BE6AB4" w:rsidRPr="00FB4EFA">
        <w:rPr>
          <w:rFonts w:cs="Charis SIL"/>
        </w:rPr>
        <w:t>.</w:t>
      </w:r>
      <w:r w:rsidRPr="00FB4EFA">
        <w:rPr>
          <w:rFonts w:cs="Charis SIL"/>
        </w:rPr>
        <w:t xml:space="preserve"> 1960. </w:t>
      </w:r>
      <w:r w:rsidRPr="00FB4EFA">
        <w:rPr>
          <w:rFonts w:cs="Charis SIL"/>
          <w:i/>
          <w:iCs/>
        </w:rPr>
        <w:t>Wilde Tiere frei Haus</w:t>
      </w:r>
      <w:r w:rsidRPr="00FB4EFA">
        <w:rPr>
          <w:rFonts w:cs="Charis SIL"/>
        </w:rPr>
        <w:t>. München: Copress-Verlag</w:t>
      </w:r>
      <w:bookmarkStart w:id="124" w:name="_Hlk61812298"/>
      <w:bookmarkEnd w:id="124"/>
      <w:r w:rsidRPr="00FB4EFA">
        <w:rPr>
          <w:rFonts w:cs="Charis SIL"/>
        </w:rPr>
        <w:t>.</w:t>
      </w:r>
    </w:p>
    <w:p w14:paraId="5A28D331" w14:textId="190A1B01" w:rsidR="00B3200B" w:rsidRPr="00FB4EFA" w:rsidRDefault="00B3200B" w:rsidP="00AF0CAD">
      <w:pPr>
        <w:spacing w:line="240" w:lineRule="auto"/>
        <w:ind w:left="426" w:hanging="426"/>
        <w:rPr>
          <w:rFonts w:cs="Charis SIL"/>
        </w:rPr>
      </w:pPr>
      <w:r w:rsidRPr="00FB4EFA">
        <w:rPr>
          <w:rFonts w:cs="Charis SIL"/>
          <w:lang w:val="de-DE"/>
        </w:rPr>
        <w:t>Wustmann, Erich</w:t>
      </w:r>
      <w:r w:rsidR="00BE6AB4" w:rsidRPr="00FB4EFA">
        <w:rPr>
          <w:rFonts w:cs="Charis SIL"/>
        </w:rPr>
        <w:t>.</w:t>
      </w:r>
      <w:r w:rsidRPr="00FB4EFA">
        <w:rPr>
          <w:rFonts w:cs="Charis SIL"/>
          <w:lang w:val="de-DE"/>
        </w:rPr>
        <w:t xml:space="preserve"> 1936.</w:t>
      </w:r>
      <w:r w:rsidRPr="00FB4EFA">
        <w:rPr>
          <w:rFonts w:cs="Charis SIL"/>
          <w:i/>
          <w:iCs/>
          <w:lang w:val="de-DE"/>
        </w:rPr>
        <w:t xml:space="preserve"> In Lappzelt und Rentierpulk.</w:t>
      </w:r>
      <w:r w:rsidRPr="00FB4EFA">
        <w:rPr>
          <w:rFonts w:cs="Charis SIL"/>
          <w:lang w:val="de-DE"/>
        </w:rPr>
        <w:t xml:space="preserve"> Stuttgart: Thienemann.</w:t>
      </w:r>
    </w:p>
    <w:p w14:paraId="4E9F34AE" w14:textId="77777777" w:rsidR="00D418BA" w:rsidRPr="00FB4EFA" w:rsidRDefault="00D418BA" w:rsidP="00863238">
      <w:pPr>
        <w:spacing w:after="160"/>
        <w:jc w:val="center"/>
        <w:rPr>
          <w:smallCaps/>
          <w:sz w:val="48"/>
          <w:szCs w:val="48"/>
        </w:rPr>
        <w:sectPr w:rsidR="00D418BA" w:rsidRPr="00FB4EFA">
          <w:headerReference w:type="even" r:id="rId462"/>
          <w:headerReference w:type="default" r:id="rId463"/>
          <w:headerReference w:type="first" r:id="rId464"/>
          <w:footnotePr>
            <w:numRestart w:val="eachSect"/>
          </w:footnotePr>
          <w:pgSz w:w="9180" w:h="13302"/>
          <w:pgMar w:top="779" w:right="1133" w:bottom="1132" w:left="1133" w:header="744" w:footer="720" w:gutter="0"/>
          <w:cols w:space="720"/>
          <w:titlePg/>
        </w:sectPr>
      </w:pPr>
    </w:p>
    <w:p w14:paraId="4CB4C848" w14:textId="77777777" w:rsidR="00D418BA" w:rsidRPr="00FB4EFA" w:rsidRDefault="00D418BA" w:rsidP="00863238">
      <w:pPr>
        <w:spacing w:after="160"/>
        <w:jc w:val="left"/>
        <w:rPr>
          <w:i/>
        </w:rPr>
      </w:pPr>
    </w:p>
    <w:p w14:paraId="5563D933" w14:textId="77777777" w:rsidR="00597915" w:rsidRPr="00FB4EFA" w:rsidRDefault="00597915" w:rsidP="00863238">
      <w:pPr>
        <w:pStyle w:val="Authors"/>
        <w:spacing w:line="259" w:lineRule="auto"/>
        <w:rPr>
          <w:color w:val="auto"/>
          <w:lang w:val="de-AT"/>
        </w:rPr>
      </w:pPr>
      <w:bookmarkStart w:id="125" w:name="_Hlk101900124"/>
      <w:r w:rsidRPr="00FB4EFA">
        <w:rPr>
          <w:color w:val="auto"/>
          <w:lang w:val="de-AT"/>
        </w:rPr>
        <w:t>Erika Erlinghagen</w:t>
      </w:r>
    </w:p>
    <w:bookmarkEnd w:id="125"/>
    <w:p w14:paraId="729069B1" w14:textId="77777777" w:rsidR="00597915" w:rsidRPr="00FB4EFA" w:rsidRDefault="00597915" w:rsidP="00863238"/>
    <w:p w14:paraId="2933A848" w14:textId="3F0D629F" w:rsidR="00597915" w:rsidRPr="00FB4EFA" w:rsidRDefault="00597915" w:rsidP="00857D2A">
      <w:pPr>
        <w:pStyle w:val="Heading1"/>
        <w:spacing w:line="259" w:lineRule="auto"/>
        <w:rPr>
          <w:color w:val="auto"/>
          <w:lang w:val="de-AT"/>
        </w:rPr>
      </w:pPr>
      <w:bookmarkStart w:id="126" w:name="_Toc87547019"/>
      <w:bookmarkStart w:id="127" w:name="_Ref90999692"/>
      <w:r w:rsidRPr="00FB4EFA">
        <w:rPr>
          <w:color w:val="auto"/>
          <w:lang w:val="de-AT"/>
        </w:rPr>
        <w:t>“…</w:t>
      </w:r>
      <w:r w:rsidR="002A76D8" w:rsidRPr="00FB4EFA">
        <w:rPr>
          <w:color w:val="auto"/>
          <w:lang w:val="de-AT"/>
        </w:rPr>
        <w:t xml:space="preserve"> </w:t>
      </w:r>
      <w:r w:rsidRPr="00FB4EFA">
        <w:rPr>
          <w:color w:val="auto"/>
          <w:lang w:val="de-AT"/>
        </w:rPr>
        <w:t>ein Unglück hatte zugeschlagen</w:t>
      </w:r>
      <w:r w:rsidR="002A76D8" w:rsidRPr="00FB4EFA">
        <w:rPr>
          <w:color w:val="auto"/>
          <w:lang w:val="de-AT"/>
        </w:rPr>
        <w:t xml:space="preserve"> </w:t>
      </w:r>
      <w:r w:rsidRPr="00FB4EFA">
        <w:rPr>
          <w:color w:val="auto"/>
          <w:lang w:val="de-AT"/>
        </w:rPr>
        <w:t xml:space="preserve">…”: </w:t>
      </w:r>
      <w:r w:rsidR="002A3BC9" w:rsidRPr="00FB4EFA">
        <w:rPr>
          <w:color w:val="auto"/>
          <w:lang w:val="de-AT"/>
        </w:rPr>
        <w:br/>
      </w:r>
      <w:r w:rsidRPr="00FB4EFA">
        <w:rPr>
          <w:color w:val="auto"/>
          <w:lang w:val="de-AT"/>
        </w:rPr>
        <w:t>Views on the past in Hungarian-German literature of the 20</w:t>
      </w:r>
      <w:r w:rsidRPr="00FB4EFA">
        <w:rPr>
          <w:color w:val="auto"/>
          <w:vertAlign w:val="superscript"/>
          <w:lang w:val="de-AT"/>
        </w:rPr>
        <w:t>th</w:t>
      </w:r>
      <w:r w:rsidR="002A3BC9" w:rsidRPr="00FB4EFA">
        <w:rPr>
          <w:color w:val="auto"/>
        </w:rPr>
        <w:t> </w:t>
      </w:r>
      <w:r w:rsidRPr="00FB4EFA">
        <w:rPr>
          <w:color w:val="auto"/>
          <w:lang w:val="de-AT"/>
        </w:rPr>
        <w:t>century</w:t>
      </w:r>
      <w:bookmarkEnd w:id="126"/>
      <w:bookmarkEnd w:id="127"/>
    </w:p>
    <w:p w14:paraId="4AD18C9E" w14:textId="48F18AFD" w:rsidR="00B14B64" w:rsidRPr="00FB4EFA" w:rsidRDefault="00B14B64" w:rsidP="00857D2A">
      <w:pPr>
        <w:rPr>
          <w:lang w:val="en-GB"/>
        </w:rPr>
      </w:pPr>
      <w:r w:rsidRPr="00FB4EFA">
        <w:rPr>
          <w:lang w:val="en-GB" w:eastAsia="zh-CN"/>
        </w:rPr>
        <w:t xml:space="preserve">The Hungarian-German minority is one of the oldest minorities in Hungary, but its social and political significance as well as its size </w:t>
      </w:r>
      <w:r w:rsidR="002A76D8" w:rsidRPr="00FB4EFA">
        <w:rPr>
          <w:lang w:val="en-GB" w:eastAsia="zh-CN"/>
        </w:rPr>
        <w:t xml:space="preserve">have </w:t>
      </w:r>
      <w:r w:rsidRPr="00FB4EFA">
        <w:rPr>
          <w:lang w:val="en-GB" w:eastAsia="zh-CN"/>
        </w:rPr>
        <w:t>under</w:t>
      </w:r>
      <w:r w:rsidR="002A76D8" w:rsidRPr="00FB4EFA">
        <w:rPr>
          <w:lang w:val="en-GB" w:eastAsia="zh-CN"/>
        </w:rPr>
        <w:t>gone</w:t>
      </w:r>
      <w:r w:rsidRPr="00FB4EFA">
        <w:rPr>
          <w:lang w:val="en-GB" w:eastAsia="zh-CN"/>
        </w:rPr>
        <w:t xml:space="preserve"> great fluctuations in the course of history. German culture was also very influential and played an important role in Hungarian culture</w:t>
      </w:r>
      <w:r w:rsidR="002A76D8" w:rsidRPr="00FB4EFA">
        <w:rPr>
          <w:lang w:val="en-GB" w:eastAsia="zh-CN"/>
        </w:rPr>
        <w:t>,</w:t>
      </w:r>
      <w:r w:rsidRPr="00FB4EFA">
        <w:rPr>
          <w:lang w:val="en-GB" w:eastAsia="zh-CN"/>
        </w:rPr>
        <w:t xml:space="preserve"> especially during the first half of the 19</w:t>
      </w:r>
      <w:r w:rsidRPr="00FB4EFA">
        <w:rPr>
          <w:vertAlign w:val="superscript"/>
          <w:lang w:val="en-GB" w:eastAsia="zh-CN"/>
        </w:rPr>
        <w:t>th</w:t>
      </w:r>
      <w:r w:rsidRPr="00FB4EFA">
        <w:rPr>
          <w:lang w:val="en-GB" w:eastAsia="zh-CN"/>
        </w:rPr>
        <w:t xml:space="preserve"> century. Additionally, a number of renowned writers originating from Hungary were of German descent and sometimes even published both in Hungarian and German, for example Nikolaus Lenau, Franz Molnár, or Sándor Márai. However, these are not the writers that come to mind when thinking of Hungarian-German literature, even though</w:t>
      </w:r>
      <w:r w:rsidRPr="00FB4EFA">
        <w:rPr>
          <w:lang w:val="en-GB"/>
        </w:rPr>
        <w:t xml:space="preserve"> </w:t>
      </w:r>
      <w:r w:rsidRPr="00FB4EFA">
        <w:rPr>
          <w:lang w:val="en-GB" w:eastAsia="zh-CN"/>
        </w:rPr>
        <w:t>the Hungarian-German cultural centre in Pécs was named after the Austro-Hungarian writer Nikolaus Lenau. It was only at the beginning of the 20</w:t>
      </w:r>
      <w:r w:rsidRPr="00FB4EFA">
        <w:rPr>
          <w:vertAlign w:val="superscript"/>
          <w:lang w:val="en-GB" w:eastAsia="zh-CN"/>
        </w:rPr>
        <w:t>th</w:t>
      </w:r>
      <w:r w:rsidRPr="00FB4EFA">
        <w:rPr>
          <w:lang w:val="en-GB" w:eastAsia="zh-CN"/>
        </w:rPr>
        <w:t xml:space="preserve"> century when this minority first developed </w:t>
      </w:r>
      <w:r w:rsidRPr="00FB4EFA">
        <w:rPr>
          <w:lang w:val="en-GB"/>
        </w:rPr>
        <w:t>something resembling</w:t>
      </w:r>
      <w:r w:rsidRPr="00FB4EFA">
        <w:rPr>
          <w:lang w:val="en-GB" w:eastAsia="zh-CN"/>
        </w:rPr>
        <w:t xml:space="preserve"> a sense of community. The first Hungarian-German writers started publishing their works during the Interwar Period. However, several strokes of fate awaited the Hungarian-German minority in the following decades, disrupting the Hungarian-German literary scene. It was not until 1973 that the Hungarian-German newspaper </w:t>
      </w:r>
      <w:r w:rsidRPr="00FB4EFA">
        <w:rPr>
          <w:i/>
          <w:lang w:val="en-GB" w:eastAsia="zh-CN"/>
        </w:rPr>
        <w:t>Neue Zeitung</w:t>
      </w:r>
      <w:r w:rsidRPr="00FB4EFA">
        <w:rPr>
          <w:lang w:val="en-GB" w:eastAsia="zh-CN"/>
        </w:rPr>
        <w:t xml:space="preserve"> promoted a literary competition entitled </w:t>
      </w:r>
      <w:r w:rsidRPr="00FB4EFA">
        <w:rPr>
          <w:i/>
          <w:iCs/>
          <w:lang w:val="en-GB" w:eastAsia="zh-CN"/>
        </w:rPr>
        <w:t>Greift zur Feder!</w:t>
      </w:r>
      <w:r w:rsidRPr="00FB4EFA">
        <w:rPr>
          <w:lang w:val="en-GB" w:eastAsia="zh-CN"/>
        </w:rPr>
        <w:t xml:space="preserve"> to revive Hungarian-German literature. Since then there has been a steady production of German-language Hungarian-German minority literature. These works have attracted only limited attention outside the minority context, but also within the Hungarian-German minority context itself – mostly because comparably few members of the Hungarian-German minority know German well enough to read let alone produce literature in German (Regner 2004, Erb 2010). This is problematic since the significance of minority literature exceeds the literary context by far, especially when it comes to questions of identity formation, collective memory, and </w:t>
      </w:r>
      <w:r w:rsidRPr="00FB4EFA">
        <w:rPr>
          <w:lang w:val="en-GB" w:eastAsia="zh-CN"/>
        </w:rPr>
        <w:lastRenderedPageBreak/>
        <w:t xml:space="preserve">coming to terms with the past. While all three aspects are worth an in-depth analysis, this paper focuses on the third aspect by taking a closer look at the ways in which the past is dealt with in selected texts by Hungarian-German authors of different generations. </w:t>
      </w:r>
      <w:r w:rsidRPr="00FB4EFA">
        <w:rPr>
          <w:lang w:val="en-GB"/>
        </w:rPr>
        <w:t>By doing this</w:t>
      </w:r>
      <w:r w:rsidRPr="00FB4EFA">
        <w:rPr>
          <w:lang w:val="en-GB" w:eastAsia="zh-CN"/>
        </w:rPr>
        <w:t>, I aim to show not only how different approaches to the Hungarian-German past are among the several generations but also what significance coming to terms with the past itself has among them.</w:t>
      </w:r>
    </w:p>
    <w:p w14:paraId="640C55F9" w14:textId="77777777" w:rsidR="00B14B64" w:rsidRPr="00FB4EFA" w:rsidRDefault="00B14B64" w:rsidP="002A3BC9">
      <w:pPr>
        <w:pStyle w:val="Heading2"/>
        <w:suppressAutoHyphens/>
        <w:spacing w:line="259" w:lineRule="auto"/>
        <w:rPr>
          <w:color w:val="auto"/>
        </w:rPr>
      </w:pPr>
      <w:r w:rsidRPr="00FB4EFA">
        <w:rPr>
          <w:color w:val="auto"/>
        </w:rPr>
        <w:t>The Development of Hungarian-German Identity in the Mirror of Historical Developments</w:t>
      </w:r>
    </w:p>
    <w:p w14:paraId="484B23B9" w14:textId="4D41D4A6" w:rsidR="00B14B64" w:rsidRPr="00FB4EFA" w:rsidRDefault="00B14B64" w:rsidP="00AF0CAD">
      <w:pPr>
        <w:rPr>
          <w:lang w:val="en-GB"/>
        </w:rPr>
      </w:pPr>
      <w:r w:rsidRPr="00FB4EFA">
        <w:rPr>
          <w:lang w:val="en-GB" w:eastAsia="zh-CN"/>
        </w:rPr>
        <w:t xml:space="preserve">When </w:t>
      </w:r>
      <w:r w:rsidRPr="00FB4EFA">
        <w:rPr>
          <w:rFonts w:eastAsia="Arial Unicode MS" w:cs="Arial Unicode MS"/>
          <w:kern w:val="2"/>
          <w:lang w:val="en-GB" w:eastAsia="zh-CN" w:bidi="hi-IN"/>
        </w:rPr>
        <w:t>discussing</w:t>
      </w:r>
      <w:r w:rsidRPr="00FB4EFA">
        <w:rPr>
          <w:lang w:val="en-GB" w:eastAsia="zh-CN"/>
        </w:rPr>
        <w:t xml:space="preserve"> the Hungarian-German past, it is crucial to familiarize oneself with the most important aspects of the minority’s history. It is also </w:t>
      </w:r>
      <w:r w:rsidR="00A011ED" w:rsidRPr="00FB4EFA">
        <w:rPr>
          <w:lang w:val="en-GB" w:eastAsia="zh-CN"/>
        </w:rPr>
        <w:t>essential</w:t>
      </w:r>
      <w:r w:rsidRPr="00FB4EFA">
        <w:rPr>
          <w:lang w:val="en-GB" w:eastAsia="zh-CN"/>
        </w:rPr>
        <w:t xml:space="preserve"> to note that Germans in Hungary </w:t>
      </w:r>
      <w:r w:rsidR="00A011ED" w:rsidRPr="00FB4EFA">
        <w:rPr>
          <w:lang w:val="en-GB" w:eastAsia="zh-CN"/>
        </w:rPr>
        <w:t xml:space="preserve">have </w:t>
      </w:r>
      <w:r w:rsidRPr="00FB4EFA">
        <w:rPr>
          <w:lang w:val="en-GB" w:eastAsia="zh-CN"/>
        </w:rPr>
        <w:t>never formed a homogeneous group with a distinct collective identity during their long history – not even today. Historically speaking, the settlement of the Germans was a multi-phase process: the first accounts of Germans in Hungary date to the late 10</w:t>
      </w:r>
      <w:r w:rsidRPr="00FB4EFA">
        <w:rPr>
          <w:vertAlign w:val="superscript"/>
          <w:lang w:val="en-GB" w:eastAsia="zh-CN"/>
        </w:rPr>
        <w:t>th</w:t>
      </w:r>
      <w:r w:rsidRPr="00FB4EFA">
        <w:rPr>
          <w:lang w:val="en-GB" w:eastAsia="zh-CN"/>
        </w:rPr>
        <w:t xml:space="preserve"> century. After the first German knights and clerics</w:t>
      </w:r>
      <w:r w:rsidR="00A011ED" w:rsidRPr="00FB4EFA">
        <w:rPr>
          <w:lang w:val="en-GB" w:eastAsia="zh-CN"/>
        </w:rPr>
        <w:t>,</w:t>
      </w:r>
      <w:r w:rsidRPr="00FB4EFA">
        <w:rPr>
          <w:lang w:val="en-GB" w:eastAsia="zh-CN"/>
        </w:rPr>
        <w:t xml:space="preserve"> as well as their peasant subjects</w:t>
      </w:r>
      <w:r w:rsidR="00A011ED" w:rsidRPr="00FB4EFA">
        <w:rPr>
          <w:lang w:val="en-GB" w:eastAsia="zh-CN"/>
        </w:rPr>
        <w:t>, had come</w:t>
      </w:r>
      <w:r w:rsidRPr="00FB4EFA">
        <w:rPr>
          <w:lang w:val="en-GB" w:eastAsia="zh-CN"/>
        </w:rPr>
        <w:t xml:space="preserve"> to Hungary, miners and craftsmen followed during the 13</w:t>
      </w:r>
      <w:r w:rsidRPr="00FB4EFA">
        <w:rPr>
          <w:vertAlign w:val="superscript"/>
          <w:lang w:val="en-GB" w:eastAsia="zh-CN"/>
        </w:rPr>
        <w:t>th</w:t>
      </w:r>
      <w:r w:rsidRPr="00FB4EFA">
        <w:rPr>
          <w:lang w:val="en-GB" w:eastAsia="zh-CN"/>
        </w:rPr>
        <w:t xml:space="preserve"> and 14</w:t>
      </w:r>
      <w:r w:rsidRPr="00FB4EFA">
        <w:rPr>
          <w:vertAlign w:val="superscript"/>
          <w:lang w:val="en-GB" w:eastAsia="zh-CN"/>
        </w:rPr>
        <w:t>th</w:t>
      </w:r>
      <w:r w:rsidRPr="00FB4EFA">
        <w:rPr>
          <w:lang w:val="en-GB" w:eastAsia="zh-CN"/>
        </w:rPr>
        <w:t xml:space="preserve"> centur</w:t>
      </w:r>
      <w:r w:rsidR="00A011ED" w:rsidRPr="00FB4EFA">
        <w:rPr>
          <w:lang w:val="en-GB" w:eastAsia="zh-CN"/>
        </w:rPr>
        <w:t>ies</w:t>
      </w:r>
      <w:r w:rsidRPr="00FB4EFA">
        <w:rPr>
          <w:lang w:val="en-GB" w:eastAsia="zh-CN"/>
        </w:rPr>
        <w:t xml:space="preserve">. </w:t>
      </w:r>
      <w:r w:rsidR="00A011ED" w:rsidRPr="00FB4EFA">
        <w:rPr>
          <w:lang w:val="en-GB" w:eastAsia="zh-CN"/>
        </w:rPr>
        <w:t>In the 17</w:t>
      </w:r>
      <w:r w:rsidR="00A011ED" w:rsidRPr="00FB4EFA">
        <w:rPr>
          <w:vertAlign w:val="superscript"/>
          <w:lang w:val="en-GB" w:eastAsia="zh-CN"/>
        </w:rPr>
        <w:t>th</w:t>
      </w:r>
      <w:r w:rsidR="00A011ED" w:rsidRPr="00FB4EFA">
        <w:rPr>
          <w:lang w:val="en-GB" w:eastAsia="zh-CN"/>
        </w:rPr>
        <w:t xml:space="preserve"> century, a</w:t>
      </w:r>
      <w:r w:rsidRPr="00FB4EFA">
        <w:rPr>
          <w:lang w:val="en-GB" w:eastAsia="zh-CN"/>
        </w:rPr>
        <w:t>fter the Ottoman rule</w:t>
      </w:r>
      <w:r w:rsidR="00A011ED" w:rsidRPr="00FB4EFA">
        <w:rPr>
          <w:lang w:val="en-GB" w:eastAsia="zh-CN"/>
        </w:rPr>
        <w:t>,</w:t>
      </w:r>
      <w:r w:rsidRPr="00FB4EFA">
        <w:rPr>
          <w:lang w:val="en-GB" w:eastAsia="zh-CN"/>
        </w:rPr>
        <w:t xml:space="preserve"> a great number of German peasants was brought to Hungary to help the revitali</w:t>
      </w:r>
      <w:r w:rsidR="001C0E73" w:rsidRPr="00FB4EFA">
        <w:rPr>
          <w:lang w:val="en-GB" w:eastAsia="zh-CN"/>
        </w:rPr>
        <w:t>z</w:t>
      </w:r>
      <w:r w:rsidRPr="00FB4EFA">
        <w:rPr>
          <w:lang w:val="en-GB" w:eastAsia="zh-CN"/>
        </w:rPr>
        <w:t xml:space="preserve">ation of agriculture. </w:t>
      </w:r>
      <w:r w:rsidRPr="00FB4EFA">
        <w:rPr>
          <w:rFonts w:eastAsia="Arial Unicode MS" w:cs="Arial Unicode MS"/>
          <w:kern w:val="2"/>
          <w:szCs w:val="24"/>
          <w:lang w:val="en-GB" w:eastAsia="zh-CN" w:bidi="hi-IN"/>
        </w:rPr>
        <w:t>T</w:t>
      </w:r>
      <w:r w:rsidRPr="00FB4EFA">
        <w:rPr>
          <w:lang w:val="en-GB" w:eastAsia="zh-CN"/>
        </w:rPr>
        <w:t>he German community was not only socially heterogeneous, but also in terms of origins: the settlers came from different regions like Bavaria, Alsatia, Hanover, Prussia, Saxony, Swabia, Switzerland, and the hereditary lands of the Habsburg empire – to name just a few. As a result of several waves of coloni</w:t>
      </w:r>
      <w:r w:rsidR="001C0E73" w:rsidRPr="00FB4EFA">
        <w:rPr>
          <w:lang w:val="en-GB" w:eastAsia="zh-CN"/>
        </w:rPr>
        <w:t>z</w:t>
      </w:r>
      <w:r w:rsidRPr="00FB4EFA">
        <w:rPr>
          <w:lang w:val="en-GB" w:eastAsia="zh-CN"/>
        </w:rPr>
        <w:t>ation originating from different regions</w:t>
      </w:r>
      <w:r w:rsidR="00A011ED" w:rsidRPr="00FB4EFA">
        <w:rPr>
          <w:lang w:val="en-GB" w:eastAsia="zh-CN"/>
        </w:rPr>
        <w:t>,</w:t>
      </w:r>
      <w:r w:rsidRPr="00FB4EFA">
        <w:rPr>
          <w:lang w:val="en-GB" w:eastAsia="zh-CN"/>
        </w:rPr>
        <w:t xml:space="preserve"> both dispersed and very compact German settlements </w:t>
      </w:r>
      <w:r w:rsidR="00A011ED" w:rsidRPr="00FB4EFA">
        <w:rPr>
          <w:lang w:val="en-GB" w:eastAsia="zh-CN"/>
        </w:rPr>
        <w:t xml:space="preserve">emerged </w:t>
      </w:r>
      <w:r w:rsidRPr="00FB4EFA">
        <w:rPr>
          <w:lang w:val="en-GB" w:eastAsia="zh-CN"/>
        </w:rPr>
        <w:t>in several regions of Hungary. However, these regions were quite far from each other and there was no urbani</w:t>
      </w:r>
      <w:r w:rsidR="008C4F74" w:rsidRPr="00FB4EFA">
        <w:rPr>
          <w:lang w:val="en-GB" w:eastAsia="zh-CN"/>
        </w:rPr>
        <w:t>z</w:t>
      </w:r>
      <w:r w:rsidRPr="00FB4EFA">
        <w:rPr>
          <w:lang w:val="en-GB" w:eastAsia="zh-CN"/>
        </w:rPr>
        <w:t>ed German centre (Pável 2006: 47). Consequently, a political sense of unity could not evolve among Germans living in Hungary. Until the 19</w:t>
      </w:r>
      <w:r w:rsidRPr="00FB4EFA">
        <w:rPr>
          <w:vertAlign w:val="superscript"/>
          <w:lang w:val="en-GB" w:eastAsia="zh-CN"/>
        </w:rPr>
        <w:t>th</w:t>
      </w:r>
      <w:r w:rsidRPr="00FB4EFA">
        <w:rPr>
          <w:lang w:val="en-GB" w:eastAsia="zh-CN"/>
        </w:rPr>
        <w:t xml:space="preserve"> century, the Hungarian-Germans’ sense of solidarity focussed on local and/or family communities. </w:t>
      </w:r>
      <w:r w:rsidR="00A011ED" w:rsidRPr="00FB4EFA">
        <w:rPr>
          <w:lang w:val="en-GB" w:eastAsia="zh-CN"/>
        </w:rPr>
        <w:t>N</w:t>
      </w:r>
      <w:r w:rsidRPr="00FB4EFA">
        <w:rPr>
          <w:lang w:val="en-GB" w:eastAsia="zh-CN"/>
        </w:rPr>
        <w:t>o efforts</w:t>
      </w:r>
      <w:r w:rsidR="00A011ED" w:rsidRPr="00FB4EFA">
        <w:rPr>
          <w:lang w:val="en-GB" w:eastAsia="zh-CN"/>
        </w:rPr>
        <w:t xml:space="preserve"> were made</w:t>
      </w:r>
      <w:r w:rsidRPr="00FB4EFA">
        <w:rPr>
          <w:lang w:val="en-GB" w:eastAsia="zh-CN"/>
        </w:rPr>
        <w:t xml:space="preserve"> to form a general German community</w:t>
      </w:r>
      <w:r w:rsidR="00A011ED" w:rsidRPr="00FB4EFA">
        <w:rPr>
          <w:lang w:val="en-GB" w:eastAsia="zh-CN"/>
        </w:rPr>
        <w:t>,</w:t>
      </w:r>
      <w:r w:rsidRPr="00FB4EFA">
        <w:rPr>
          <w:lang w:val="en-GB" w:eastAsia="zh-CN"/>
        </w:rPr>
        <w:t xml:space="preserve"> nor were there interactions between the scattered settlements or organi</w:t>
      </w:r>
      <w:r w:rsidR="001C0E73" w:rsidRPr="00FB4EFA">
        <w:rPr>
          <w:lang w:val="en-GB" w:eastAsia="zh-CN"/>
        </w:rPr>
        <w:t>z</w:t>
      </w:r>
      <w:r w:rsidRPr="00FB4EFA">
        <w:rPr>
          <w:lang w:val="en-GB" w:eastAsia="zh-CN"/>
        </w:rPr>
        <w:t>ations to unify the German groups (Fischer 2004: 12)</w:t>
      </w:r>
      <w:r w:rsidR="00A011ED" w:rsidRPr="00FB4EFA">
        <w:rPr>
          <w:lang w:val="en-GB" w:eastAsia="zh-CN"/>
        </w:rPr>
        <w:t>.</w:t>
      </w:r>
      <w:r w:rsidRPr="00FB4EFA">
        <w:rPr>
          <w:lang w:val="en-GB" w:eastAsia="zh-CN"/>
        </w:rPr>
        <w:t xml:space="preserve"> Eventually, </w:t>
      </w:r>
      <w:r w:rsidR="00A011ED" w:rsidRPr="00FB4EFA">
        <w:rPr>
          <w:lang w:val="en-GB" w:eastAsia="zh-CN"/>
        </w:rPr>
        <w:t xml:space="preserve">following </w:t>
      </w:r>
      <w:r w:rsidRPr="00FB4EFA">
        <w:rPr>
          <w:lang w:val="en-GB" w:eastAsia="zh-CN"/>
        </w:rPr>
        <w:t>industriali</w:t>
      </w:r>
      <w:r w:rsidR="00A011ED" w:rsidRPr="00FB4EFA">
        <w:rPr>
          <w:lang w:val="en-GB" w:eastAsia="zh-CN"/>
        </w:rPr>
        <w:t>z</w:t>
      </w:r>
      <w:r w:rsidRPr="00FB4EFA">
        <w:rPr>
          <w:lang w:val="en-GB" w:eastAsia="zh-CN"/>
        </w:rPr>
        <w:t>ation</w:t>
      </w:r>
      <w:r w:rsidR="00A011ED" w:rsidRPr="00FB4EFA">
        <w:rPr>
          <w:lang w:val="en-GB" w:eastAsia="zh-CN"/>
        </w:rPr>
        <w:t>,</w:t>
      </w:r>
      <w:r w:rsidRPr="00FB4EFA">
        <w:rPr>
          <w:lang w:val="en-GB" w:eastAsia="zh-CN"/>
        </w:rPr>
        <w:t xml:space="preserve"> urbani</w:t>
      </w:r>
      <w:r w:rsidR="001C0E73" w:rsidRPr="00FB4EFA">
        <w:rPr>
          <w:lang w:val="en-GB" w:eastAsia="zh-CN"/>
        </w:rPr>
        <w:t>z</w:t>
      </w:r>
      <w:r w:rsidRPr="00FB4EFA">
        <w:rPr>
          <w:lang w:val="en-GB" w:eastAsia="zh-CN"/>
        </w:rPr>
        <w:t>ation</w:t>
      </w:r>
      <w:r w:rsidR="00E67A68" w:rsidRPr="00FB4EFA">
        <w:rPr>
          <w:lang w:val="en-GB" w:eastAsia="zh-CN"/>
        </w:rPr>
        <w:t>,</w:t>
      </w:r>
      <w:r w:rsidRPr="00FB4EFA">
        <w:rPr>
          <w:lang w:val="en-GB" w:eastAsia="zh-CN"/>
        </w:rPr>
        <w:t xml:space="preserve"> and the subsequent </w:t>
      </w:r>
      <w:r w:rsidRPr="00FB4EFA">
        <w:rPr>
          <w:lang w:val="en-GB" w:eastAsia="zh-CN"/>
        </w:rPr>
        <w:lastRenderedPageBreak/>
        <w:t xml:space="preserve">development of a </w:t>
      </w:r>
      <w:r w:rsidR="00E67A68" w:rsidRPr="00FB4EFA">
        <w:rPr>
          <w:lang w:val="en-GB" w:eastAsia="zh-CN"/>
        </w:rPr>
        <w:t xml:space="preserve">German </w:t>
      </w:r>
      <w:r w:rsidRPr="00FB4EFA">
        <w:rPr>
          <w:lang w:val="en-GB" w:eastAsia="zh-CN"/>
        </w:rPr>
        <w:t>bourgeoisie</w:t>
      </w:r>
      <w:r w:rsidR="00976831" w:rsidRPr="00FB4EFA">
        <w:rPr>
          <w:lang w:val="en-GB" w:eastAsia="zh-CN"/>
        </w:rPr>
        <w:t xml:space="preserve">, the Hungarian-Germans </w:t>
      </w:r>
      <w:r w:rsidR="00976831" w:rsidRPr="00FB4EFA">
        <w:rPr>
          <w:rFonts w:eastAsia="Arial Unicode MS" w:cs="Arial Unicode MS"/>
          <w:kern w:val="2"/>
          <w:lang w:val="en-GB" w:eastAsia="zh-CN" w:bidi="hi-IN"/>
        </w:rPr>
        <w:t xml:space="preserve">showed very little resistance </w:t>
      </w:r>
      <w:r w:rsidRPr="00FB4EFA">
        <w:rPr>
          <w:lang w:val="en-GB" w:eastAsia="zh-CN"/>
        </w:rPr>
        <w:t>to a steadily increasing assimilation to Hungarian society. The change came at around 1900, when a turn to ethno-cultural and politico-national unity became more important. However, at first this turn was limited to the respective local communities</w:t>
      </w:r>
      <w:r w:rsidR="008056D3" w:rsidRPr="00FB4EFA">
        <w:rPr>
          <w:lang w:val="en-GB" w:eastAsia="zh-CN"/>
        </w:rPr>
        <w:t>,</w:t>
      </w:r>
      <w:r w:rsidRPr="00FB4EFA">
        <w:rPr>
          <w:lang w:val="en-GB" w:eastAsia="zh-CN"/>
        </w:rPr>
        <w:t xml:space="preserve"> as the German bourgeoisie of the bigger cities such as Budapest or Pécs could not form a community of interests with the German peasants. </w:t>
      </w:r>
      <w:r w:rsidR="00B450C4" w:rsidRPr="00FB4EFA">
        <w:rPr>
          <w:lang w:val="en-GB" w:eastAsia="zh-CN"/>
        </w:rPr>
        <w:t>A</w:t>
      </w:r>
      <w:r w:rsidRPr="00FB4EFA">
        <w:rPr>
          <w:lang w:val="en-GB" w:eastAsia="zh-CN"/>
        </w:rPr>
        <w:t xml:space="preserve">fter World War I, the political climate in Hungary became increasingly nationalistic due to the loss of two thirds of the former </w:t>
      </w:r>
      <w:r w:rsidR="00976831" w:rsidRPr="00FB4EFA">
        <w:rPr>
          <w:lang w:val="en-GB" w:eastAsia="zh-CN"/>
        </w:rPr>
        <w:t>Kingdom of Hungary</w:t>
      </w:r>
      <w:r w:rsidRPr="00FB4EFA">
        <w:rPr>
          <w:lang w:val="en-GB" w:eastAsia="zh-CN"/>
        </w:rPr>
        <w:t>’s territory. A great number of Hungarians found themselves living outside the borders of Hungary after the peace treaty of Trianon, but also important German centres like Burgenland, Spiš/Zips</w:t>
      </w:r>
      <w:r w:rsidR="00B450C4" w:rsidRPr="00FB4EFA">
        <w:rPr>
          <w:lang w:val="en-GB" w:eastAsia="zh-CN"/>
        </w:rPr>
        <w:t>,</w:t>
      </w:r>
      <w:r w:rsidRPr="00FB4EFA">
        <w:rPr>
          <w:lang w:val="en-GB" w:eastAsia="zh-CN"/>
        </w:rPr>
        <w:t xml:space="preserve"> and Transylvania/Siebenbürgen were now separated from Hungary. During the </w:t>
      </w:r>
      <w:r w:rsidR="00B450C4" w:rsidRPr="00FB4EFA">
        <w:rPr>
          <w:lang w:val="en-GB" w:eastAsia="zh-CN"/>
        </w:rPr>
        <w:t>i</w:t>
      </w:r>
      <w:r w:rsidRPr="00FB4EFA">
        <w:rPr>
          <w:lang w:val="en-GB" w:eastAsia="zh-CN"/>
        </w:rPr>
        <w:t xml:space="preserve">nterwar </w:t>
      </w:r>
      <w:r w:rsidR="00B450C4" w:rsidRPr="00FB4EFA">
        <w:rPr>
          <w:lang w:val="en-GB" w:eastAsia="zh-CN"/>
        </w:rPr>
        <w:t>p</w:t>
      </w:r>
      <w:r w:rsidRPr="00FB4EFA">
        <w:rPr>
          <w:lang w:val="en-GB" w:eastAsia="zh-CN"/>
        </w:rPr>
        <w:t xml:space="preserve">eriod, the influence of Germany and Austria rose due to German and Hungarian revisionist policies that ultimately led to Hungary’s alliance with Germany in </w:t>
      </w:r>
      <w:r w:rsidR="008056D3" w:rsidRPr="00FB4EFA">
        <w:rPr>
          <w:lang w:val="en-GB" w:eastAsia="zh-CN"/>
        </w:rPr>
        <w:t>World War II</w:t>
      </w:r>
      <w:r w:rsidRPr="00FB4EFA">
        <w:rPr>
          <w:lang w:val="en-GB" w:eastAsia="zh-CN"/>
        </w:rPr>
        <w:t xml:space="preserve">. At the same time, the first minority politicians rose to prominence and promoted the concept of ethnic identities within the minorities. </w:t>
      </w:r>
      <w:r w:rsidR="008056D3" w:rsidRPr="00FB4EFA">
        <w:rPr>
          <w:lang w:val="en-GB" w:eastAsia="zh-CN"/>
        </w:rPr>
        <w:t>In the early</w:t>
      </w:r>
      <w:r w:rsidRPr="00FB4EFA">
        <w:rPr>
          <w:lang w:val="en-GB" w:eastAsia="zh-CN"/>
        </w:rPr>
        <w:t xml:space="preserve"> 1930s, when the economic situation of the Hungarian-German peasants worsened, the Hungarian-Germans started to </w:t>
      </w:r>
      <w:r w:rsidR="008056D3" w:rsidRPr="00FB4EFA">
        <w:rPr>
          <w:lang w:val="en-GB" w:eastAsia="zh-CN"/>
        </w:rPr>
        <w:t>present themselves</w:t>
      </w:r>
      <w:r w:rsidRPr="00FB4EFA">
        <w:rPr>
          <w:lang w:val="en-GB" w:eastAsia="zh-CN"/>
        </w:rPr>
        <w:t xml:space="preserve"> and organi</w:t>
      </w:r>
      <w:r w:rsidR="001C0E73" w:rsidRPr="00FB4EFA">
        <w:rPr>
          <w:lang w:val="en-GB" w:eastAsia="zh-CN"/>
        </w:rPr>
        <w:t>z</w:t>
      </w:r>
      <w:r w:rsidRPr="00FB4EFA">
        <w:rPr>
          <w:lang w:val="en-GB" w:eastAsia="zh-CN"/>
        </w:rPr>
        <w:t xml:space="preserve">e themselves as an ethnic minority. They used the German word </w:t>
      </w:r>
      <w:r w:rsidRPr="00FB4EFA">
        <w:rPr>
          <w:i/>
          <w:iCs/>
          <w:lang w:val="en-GB" w:eastAsia="zh-CN"/>
        </w:rPr>
        <w:t>Volksgruppe</w:t>
      </w:r>
      <w:r w:rsidRPr="00FB4EFA">
        <w:rPr>
          <w:lang w:val="en-GB" w:eastAsia="zh-CN"/>
        </w:rPr>
        <w:t xml:space="preserve"> to identify themselves</w:t>
      </w:r>
      <w:r w:rsidR="00EC3E63" w:rsidRPr="00FB4EFA">
        <w:rPr>
          <w:lang w:val="en-GB" w:eastAsia="zh-CN"/>
        </w:rPr>
        <w:t xml:space="preserve">. There was </w:t>
      </w:r>
      <w:r w:rsidRPr="00FB4EFA">
        <w:rPr>
          <w:lang w:val="en-GB" w:eastAsia="zh-CN"/>
        </w:rPr>
        <w:t xml:space="preserve">also a so-called </w:t>
      </w:r>
      <w:r w:rsidRPr="00FB4EFA">
        <w:rPr>
          <w:i/>
          <w:iCs/>
          <w:lang w:val="en-GB" w:eastAsia="zh-CN"/>
        </w:rPr>
        <w:t>Völkischer Flügel</w:t>
      </w:r>
      <w:r w:rsidRPr="00FB4EFA">
        <w:rPr>
          <w:lang w:val="en-GB" w:eastAsia="zh-CN"/>
        </w:rPr>
        <w:t xml:space="preserve"> under the direction of Franz Basch named </w:t>
      </w:r>
      <w:r w:rsidR="002115C8" w:rsidRPr="00FB4EFA">
        <w:rPr>
          <w:lang w:val="en-GB" w:eastAsia="zh-CN"/>
        </w:rPr>
        <w:br/>
      </w:r>
      <w:r w:rsidRPr="00FB4EFA">
        <w:rPr>
          <w:i/>
          <w:iCs/>
          <w:lang w:val="en-GB" w:eastAsia="zh-CN"/>
        </w:rPr>
        <w:t>Volksbund</w:t>
      </w:r>
      <w:r w:rsidRPr="00FB4EFA">
        <w:rPr>
          <w:lang w:val="en-GB" w:eastAsia="zh-CN"/>
        </w:rPr>
        <w:t>,</w:t>
      </w:r>
      <w:r w:rsidR="00EC3E63" w:rsidRPr="00FB4EFA">
        <w:rPr>
          <w:lang w:val="en-GB" w:eastAsia="zh-CN"/>
        </w:rPr>
        <w:t xml:space="preserve"> which promised to</w:t>
      </w:r>
      <w:r w:rsidRPr="00FB4EFA">
        <w:rPr>
          <w:lang w:val="en-GB" w:eastAsia="zh-CN"/>
        </w:rPr>
        <w:t xml:space="preserve"> secure social and economic survival as a group in opposition to the dominating Hungarian majority society </w:t>
      </w:r>
      <w:r w:rsidR="002115C8" w:rsidRPr="00FB4EFA">
        <w:rPr>
          <w:lang w:val="en-GB" w:eastAsia="zh-CN"/>
        </w:rPr>
        <w:br/>
      </w:r>
      <w:r w:rsidRPr="00FB4EFA">
        <w:rPr>
          <w:lang w:val="en-GB" w:eastAsia="zh-CN"/>
        </w:rPr>
        <w:t xml:space="preserve">(Seewann 2004: 6). The political and national awakening of the Hungarian-German minority faced </w:t>
      </w:r>
      <w:r w:rsidR="00EC3E63" w:rsidRPr="00FB4EFA">
        <w:rPr>
          <w:lang w:val="en-GB" w:eastAsia="zh-CN"/>
        </w:rPr>
        <w:t>its</w:t>
      </w:r>
      <w:r w:rsidRPr="00FB4EFA">
        <w:rPr>
          <w:lang w:val="en-GB" w:eastAsia="zh-CN"/>
        </w:rPr>
        <w:t xml:space="preserve"> members with a choice: they could either assimilate and hold on to </w:t>
      </w:r>
      <w:r w:rsidR="007D187A" w:rsidRPr="00FB4EFA">
        <w:rPr>
          <w:lang w:val="en-GB" w:eastAsia="zh-CN"/>
        </w:rPr>
        <w:t>an individual</w:t>
      </w:r>
      <w:r w:rsidRPr="00FB4EFA">
        <w:rPr>
          <w:lang w:val="en-GB" w:eastAsia="zh-CN"/>
        </w:rPr>
        <w:t xml:space="preserve"> ethnic identity in private without group membership, or support the </w:t>
      </w:r>
      <w:r w:rsidR="007D187A" w:rsidRPr="00FB4EFA">
        <w:rPr>
          <w:lang w:val="en-GB" w:eastAsia="zh-CN"/>
        </w:rPr>
        <w:t>increasingly</w:t>
      </w:r>
      <w:r w:rsidRPr="00FB4EFA">
        <w:rPr>
          <w:lang w:val="en-GB" w:eastAsia="zh-CN"/>
        </w:rPr>
        <w:t xml:space="preserve"> nationalistic ideology of the </w:t>
      </w:r>
      <w:r w:rsidRPr="00FB4EFA">
        <w:rPr>
          <w:i/>
          <w:iCs/>
          <w:lang w:val="en-GB" w:eastAsia="zh-CN"/>
        </w:rPr>
        <w:t>Volksbund</w:t>
      </w:r>
      <w:r w:rsidRPr="00FB4EFA">
        <w:rPr>
          <w:lang w:val="en-GB" w:eastAsia="zh-CN"/>
        </w:rPr>
        <w:t xml:space="preserve"> </w:t>
      </w:r>
      <w:r w:rsidR="007D187A" w:rsidRPr="00FB4EFA">
        <w:rPr>
          <w:lang w:val="en-GB" w:eastAsia="zh-CN"/>
        </w:rPr>
        <w:t>as well as</w:t>
      </w:r>
      <w:r w:rsidRPr="00FB4EFA">
        <w:rPr>
          <w:lang w:val="en-GB" w:eastAsia="zh-CN"/>
        </w:rPr>
        <w:t xml:space="preserve"> efforts to evolve from an isolated minority to a German ethnic group striving for autonomy from the Hungarian state and bonding with the German “motherlands” (Gerner 2004: 56). Consequently, when Hungary joined World War II as an ally of Germany, there were Hungarian-Germans who voluntarily joined Hitler’s army. After World War II, this new collective identity of the Germans was systematically destroyed without consideration for those who had not been politically active in the </w:t>
      </w:r>
      <w:r w:rsidRPr="00FB4EFA">
        <w:rPr>
          <w:i/>
          <w:iCs/>
          <w:lang w:val="en-GB" w:eastAsia="zh-CN"/>
        </w:rPr>
        <w:t>Volksbund</w:t>
      </w:r>
      <w:r w:rsidRPr="00FB4EFA">
        <w:rPr>
          <w:lang w:val="en-GB" w:eastAsia="zh-CN"/>
        </w:rPr>
        <w:t xml:space="preserve">. The deprivation of rights, the expropriations and </w:t>
      </w:r>
      <w:r w:rsidRPr="00FB4EFA">
        <w:rPr>
          <w:lang w:val="en-GB" w:eastAsia="zh-CN"/>
        </w:rPr>
        <w:lastRenderedPageBreak/>
        <w:t xml:space="preserve">expulsions during the coalition years until 1949 and the first years of the Stalinist regime of Mátyás Rákosi </w:t>
      </w:r>
      <w:r w:rsidRPr="00FB4EFA">
        <w:rPr>
          <w:lang w:val="en-GB"/>
        </w:rPr>
        <w:t>returned</w:t>
      </w:r>
      <w:r w:rsidRPr="00FB4EFA">
        <w:rPr>
          <w:lang w:val="en-GB" w:eastAsia="zh-CN"/>
        </w:rPr>
        <w:t xml:space="preserve"> Hungarian-Germans to a situation comparable to the time of the first settlements: “Without possession, bereft of the solidarity of the ethnic group, which as such was outlawed, each family had to start all over again completely on its own” (Seewann 1992: 149)</w:t>
      </w:r>
      <w:r w:rsidRPr="00FB4EFA">
        <w:rPr>
          <w:rStyle w:val="FootnoteReference"/>
          <w:lang w:val="en-GB" w:eastAsia="zh-CN"/>
        </w:rPr>
        <w:footnoteReference w:id="166"/>
      </w:r>
      <w:r w:rsidRPr="00FB4EFA">
        <w:rPr>
          <w:lang w:val="en-GB" w:eastAsia="zh-CN"/>
        </w:rPr>
        <w:t>. These developments had devastating effects on German settlements, for example in Budapest: the counties of Pest and Nógrád were the most important settlement areas for the Hungarian-Germans at the beginning of the 20</w:t>
      </w:r>
      <w:r w:rsidRPr="00FB4EFA">
        <w:rPr>
          <w:vertAlign w:val="superscript"/>
          <w:lang w:val="en-GB" w:eastAsia="zh-CN"/>
        </w:rPr>
        <w:t>th</w:t>
      </w:r>
      <w:r w:rsidRPr="00FB4EFA">
        <w:rPr>
          <w:lang w:val="en-GB" w:eastAsia="zh-CN"/>
        </w:rPr>
        <w:t xml:space="preserve"> century up until 1945. </w:t>
      </w:r>
      <w:r w:rsidRPr="00FB4EFA">
        <w:rPr>
          <w:rFonts w:eastAsia="Arial Unicode MS" w:cs="Arial Unicode MS"/>
          <w:kern w:val="2"/>
          <w:lang w:val="en-GB" w:eastAsia="zh-CN" w:bidi="hi-IN"/>
        </w:rPr>
        <w:t>Approximately 140,000 Germans lived in this region.</w:t>
      </w:r>
      <w:r w:rsidRPr="00FB4EFA">
        <w:rPr>
          <w:lang w:val="en-GB" w:eastAsia="zh-CN"/>
        </w:rPr>
        <w:t xml:space="preserve"> After World War II, the situation changed drastically:</w:t>
      </w:r>
    </w:p>
    <w:p w14:paraId="05A64A20" w14:textId="77777777" w:rsidR="00B14B64" w:rsidRPr="00FB4EFA" w:rsidRDefault="00B14B64" w:rsidP="002A3BC9">
      <w:pPr>
        <w:suppressAutoHyphens/>
        <w:spacing w:before="240" w:after="240" w:line="240" w:lineRule="auto"/>
        <w:ind w:left="709"/>
        <w:rPr>
          <w:sz w:val="20"/>
          <w:szCs w:val="20"/>
          <w:lang w:val="en-GB"/>
        </w:rPr>
      </w:pPr>
      <w:r w:rsidRPr="00FB4EFA">
        <w:rPr>
          <w:sz w:val="20"/>
          <w:szCs w:val="20"/>
          <w:lang w:val="en-GB" w:eastAsia="zh-CN"/>
        </w:rPr>
        <w:t>Communism almost sounded the death knell for the Germans. The new political elite, especially the communist powers, wanted to gain ground primarily in Budapest and set up their own business in the houses and with the assets of the Germans. After World War II, the German cultural life in former “German” Budapest was almost severed. (Lauer 1999: 162)</w:t>
      </w:r>
    </w:p>
    <w:p w14:paraId="57765FE7" w14:textId="77777777" w:rsidR="00B14B64" w:rsidRPr="00FB4EFA" w:rsidRDefault="00B14B64" w:rsidP="00857D2A">
      <w:pPr>
        <w:rPr>
          <w:lang w:val="en-GB"/>
        </w:rPr>
      </w:pPr>
      <w:r w:rsidRPr="00FB4EFA">
        <w:rPr>
          <w:lang w:val="en-GB" w:eastAsia="zh-CN"/>
        </w:rPr>
        <w:t>According to the numbers of the 1941 and 1949 population censuses, the events during and after World War II caused a population decline of 99 % among the Hungarian-Germans on a national level: while in 1941 a total of 302,198 people identified as members of the German minority, the number fell to 2,617 people in 1949 (Bindorffer 2007: 10–11).</w:t>
      </w:r>
    </w:p>
    <w:p w14:paraId="7349F62F" w14:textId="4D27F206" w:rsidR="00B14B64" w:rsidRPr="00FB4EFA" w:rsidRDefault="00B14B64" w:rsidP="002A3BC9">
      <w:pPr>
        <w:suppressAutoHyphens/>
        <w:spacing w:before="240" w:after="240" w:line="240" w:lineRule="auto"/>
        <w:ind w:left="720"/>
        <w:rPr>
          <w:rFonts w:eastAsia="SimSun" w:cs="Arial"/>
          <w:sz w:val="20"/>
          <w:szCs w:val="20"/>
          <w:lang w:val="en-GB" w:eastAsia="de-AT"/>
        </w:rPr>
      </w:pPr>
      <w:r w:rsidRPr="00FB4EFA">
        <w:rPr>
          <w:rFonts w:eastAsia="SimSun" w:cs="Arial"/>
          <w:sz w:val="20"/>
          <w:lang w:val="en-GB" w:eastAsia="de-AT"/>
        </w:rPr>
        <w:t>From the Hungarian</w:t>
      </w:r>
      <w:r w:rsidR="007A5994" w:rsidRPr="00FB4EFA">
        <w:rPr>
          <w:rFonts w:eastAsia="SimSun" w:cs="Arial"/>
          <w:sz w:val="20"/>
          <w:lang w:val="en-GB" w:eastAsia="de-AT"/>
        </w:rPr>
        <w:t>-</w:t>
      </w:r>
      <w:r w:rsidRPr="00FB4EFA">
        <w:rPr>
          <w:rFonts w:eastAsia="SimSun" w:cs="Arial"/>
          <w:sz w:val="20"/>
          <w:lang w:val="en-GB" w:eastAsia="de-AT"/>
        </w:rPr>
        <w:t>German minority, which in 1941 comprised almost half a million, 50,000 were conscripted – mostly by force – to the SS, 60,000 were ‘evacuated’ to Germany or Austria by the end of the war, and 15,000 fled. Of these, approximately 50,000 came back, 11,000 died, and 64,000 remained abroad. Another 64,000 were deported by Soviet troops of which only 48,000 managed to return. Finally, around 170,000 ‘Swabians’ were expelled from Hungary in the framework of the ‘resettlement policy’ made possible by the Treaty of Potsdam. (Klimó</w:t>
      </w:r>
      <w:r w:rsidR="002A3BC9" w:rsidRPr="00FB4EFA">
        <w:rPr>
          <w:rFonts w:eastAsia="SimSun" w:cs="Arial"/>
          <w:sz w:val="20"/>
          <w:lang w:val="en-GB" w:eastAsia="de-AT"/>
        </w:rPr>
        <w:t> </w:t>
      </w:r>
      <w:r w:rsidRPr="00FB4EFA">
        <w:rPr>
          <w:rFonts w:eastAsia="SimSun" w:cs="Arial"/>
          <w:sz w:val="20"/>
          <w:lang w:val="en-GB" w:eastAsia="de-AT"/>
        </w:rPr>
        <w:t>2006: 172)</w:t>
      </w:r>
    </w:p>
    <w:p w14:paraId="77765E09" w14:textId="13938C42" w:rsidR="00B14B64" w:rsidRPr="00FB4EFA" w:rsidRDefault="00B14B64" w:rsidP="00857D2A">
      <w:pPr>
        <w:rPr>
          <w:lang w:val="en-GB" w:eastAsia="de-AT"/>
        </w:rPr>
      </w:pPr>
      <w:r w:rsidRPr="00FB4EFA">
        <w:rPr>
          <w:lang w:val="en-GB" w:eastAsia="de-AT"/>
        </w:rPr>
        <w:t xml:space="preserve">Those few who stayed in Hungary tried to </w:t>
      </w:r>
      <w:r w:rsidR="00EE3FA8" w:rsidRPr="00FB4EFA">
        <w:rPr>
          <w:lang w:val="en-GB" w:eastAsia="de-AT"/>
        </w:rPr>
        <w:t>blend in with</w:t>
      </w:r>
      <w:r w:rsidRPr="00FB4EFA">
        <w:rPr>
          <w:lang w:val="en-GB" w:eastAsia="de-AT"/>
        </w:rPr>
        <w:t xml:space="preserve"> the majority society. An obvious sign of this effort was the changing of family names right after World War II. Between 1945 and 1948</w:t>
      </w:r>
      <w:r w:rsidR="00EE3FA8" w:rsidRPr="00FB4EFA">
        <w:rPr>
          <w:lang w:val="en-GB" w:eastAsia="de-AT"/>
        </w:rPr>
        <w:t>,</w:t>
      </w:r>
      <w:r w:rsidRPr="00FB4EFA">
        <w:rPr>
          <w:lang w:val="en-GB" w:eastAsia="de-AT"/>
        </w:rPr>
        <w:t xml:space="preserve"> a total of 46,000 peo</w:t>
      </w:r>
      <w:r w:rsidRPr="00FB4EFA">
        <w:rPr>
          <w:lang w:val="en-GB" w:eastAsia="de-AT"/>
        </w:rPr>
        <w:lastRenderedPageBreak/>
        <w:t>ple, half of them belonging to the German minority, changed their family name</w:t>
      </w:r>
      <w:r w:rsidR="00EE3FA8" w:rsidRPr="00FB4EFA">
        <w:rPr>
          <w:lang w:val="en-GB" w:eastAsia="de-AT"/>
        </w:rPr>
        <w:t>s</w:t>
      </w:r>
      <w:r w:rsidRPr="00FB4EFA">
        <w:rPr>
          <w:lang w:val="en-GB" w:eastAsia="de-AT"/>
        </w:rPr>
        <w:t xml:space="preserve">. Most of the unwanted names were German or German-sounding and were replaced with Hungarian names (Klimó 2006: 171–172). Not only had German names disappeared from the public, but </w:t>
      </w:r>
      <w:r w:rsidR="00EE3FA8" w:rsidRPr="00FB4EFA">
        <w:rPr>
          <w:lang w:val="en-GB" w:eastAsia="de-AT"/>
        </w:rPr>
        <w:t xml:space="preserve">so had </w:t>
      </w:r>
      <w:r w:rsidRPr="00FB4EFA">
        <w:rPr>
          <w:lang w:val="en-GB" w:eastAsia="de-AT"/>
        </w:rPr>
        <w:t>the German language</w:t>
      </w:r>
      <w:r w:rsidR="00EE3FA8" w:rsidRPr="00FB4EFA">
        <w:rPr>
          <w:lang w:val="en-GB" w:eastAsia="de-AT"/>
        </w:rPr>
        <w:t>, which</w:t>
      </w:r>
      <w:r w:rsidRPr="00FB4EFA">
        <w:rPr>
          <w:lang w:val="en-GB" w:eastAsia="de-AT"/>
        </w:rPr>
        <w:t xml:space="preserve"> was </w:t>
      </w:r>
      <w:r w:rsidR="00EE3FA8" w:rsidRPr="00FB4EFA">
        <w:rPr>
          <w:lang w:val="en-GB" w:eastAsia="de-AT"/>
        </w:rPr>
        <w:t>now</w:t>
      </w:r>
      <w:r w:rsidRPr="00FB4EFA">
        <w:rPr>
          <w:lang w:val="en-GB" w:eastAsia="de-AT"/>
        </w:rPr>
        <w:t xml:space="preserve"> only – if at all – spoken at home. This retreat of the minority into the private sphere was fostered by the non-existing minority policy of socialist Hungary that followed the “concept of collective guilt” applied during the coalition years. After </w:t>
      </w:r>
      <w:r w:rsidR="00EE3FA8" w:rsidRPr="00FB4EFA">
        <w:rPr>
          <w:lang w:val="en-GB" w:eastAsia="de-AT"/>
        </w:rPr>
        <w:t xml:space="preserve">expulsions had led to </w:t>
      </w:r>
      <w:r w:rsidRPr="00FB4EFA">
        <w:rPr>
          <w:lang w:val="en-GB" w:eastAsia="de-AT"/>
        </w:rPr>
        <w:t>the diminution of the minority, the remaining German settlements became even more scattered due to socialist collective farming, forced industriali</w:t>
      </w:r>
      <w:r w:rsidR="001C0E73" w:rsidRPr="00FB4EFA">
        <w:rPr>
          <w:lang w:val="en-GB" w:eastAsia="zh-CN"/>
        </w:rPr>
        <w:t>z</w:t>
      </w:r>
      <w:r w:rsidRPr="00FB4EFA">
        <w:rPr>
          <w:lang w:val="en-GB" w:eastAsia="de-AT"/>
        </w:rPr>
        <w:t>ation</w:t>
      </w:r>
      <w:r w:rsidR="00EE3FA8" w:rsidRPr="00FB4EFA">
        <w:rPr>
          <w:lang w:val="en-GB" w:eastAsia="de-AT"/>
        </w:rPr>
        <w:t>,</w:t>
      </w:r>
      <w:r w:rsidRPr="00FB4EFA">
        <w:rPr>
          <w:lang w:val="en-GB" w:eastAsia="de-AT"/>
        </w:rPr>
        <w:t xml:space="preserve"> </w:t>
      </w:r>
      <w:r w:rsidR="00EE3FA8" w:rsidRPr="00FB4EFA">
        <w:rPr>
          <w:lang w:val="en-GB" w:eastAsia="de-AT"/>
        </w:rPr>
        <w:t>and</w:t>
      </w:r>
      <w:r w:rsidRPr="00FB4EFA">
        <w:rPr>
          <w:lang w:val="en-GB" w:eastAsia="de-AT"/>
        </w:rPr>
        <w:t xml:space="preserve"> – in some cases forced – internal migration. However, these were effects of general socialist politics, not specific measures </w:t>
      </w:r>
      <w:r w:rsidRPr="00FB4EFA">
        <w:rPr>
          <w:rFonts w:eastAsia="Arial Unicode MS" w:cs="Arial Unicode MS"/>
          <w:kern w:val="2"/>
          <w:lang w:val="en-GB" w:eastAsia="de-AT" w:bidi="hi-IN"/>
        </w:rPr>
        <w:t>aimed at</w:t>
      </w:r>
      <w:r w:rsidRPr="00FB4EFA">
        <w:rPr>
          <w:lang w:val="en-GB" w:eastAsia="de-AT"/>
        </w:rPr>
        <w:t xml:space="preserve"> the German minority – or any other minority living in Hungary. Until 1969, there was no explicit minority policy</w:t>
      </w:r>
      <w:r w:rsidR="008C4F74" w:rsidRPr="00FB4EFA">
        <w:rPr>
          <w:lang w:val="en-GB" w:eastAsia="de-AT"/>
        </w:rPr>
        <w:t xml:space="preserve">, as </w:t>
      </w:r>
      <w:r w:rsidRPr="00FB4EFA">
        <w:rPr>
          <w:lang w:val="en-GB" w:eastAsia="de-AT"/>
        </w:rPr>
        <w:t>the so-called “automatism thesis” claim</w:t>
      </w:r>
      <w:r w:rsidR="008C4F74" w:rsidRPr="00FB4EFA">
        <w:rPr>
          <w:lang w:val="en-GB" w:eastAsia="de-AT"/>
        </w:rPr>
        <w:t>ed</w:t>
      </w:r>
      <w:r w:rsidRPr="00FB4EFA">
        <w:rPr>
          <w:lang w:val="en-GB" w:eastAsia="de-AT"/>
        </w:rPr>
        <w:t xml:space="preserve"> that all inner contradictions, such as issues concerning the ethnic minorities, would resolve automatically within a socialist society (Gerner 2004: 56). This form of disregard for the minorities had a destructive effect on the identity formation of the Hungarian-Germans. The German minority witnessed a serious disruption of their identity after 1945 and the socialist period entailed an extensive loss of their identity (Seewann 2004: 7). After the revolution of 1956, the protection of minority rights became an issue in Hungary, although at first the focus was on Hungarian minorities outside of Hungary. During the term of János Kádár as General Secretary of the Hungarian Socialist Workers’ Party (MSZMP) from 1956 to 1988, the socialist minority policy was revised. As a result, the Germans – and other minorities within Hungary – were granted the status of a </w:t>
      </w:r>
      <w:r w:rsidR="008C4F74" w:rsidRPr="00FB4EFA">
        <w:rPr>
          <w:lang w:val="en-GB" w:eastAsia="de-AT"/>
        </w:rPr>
        <w:t xml:space="preserve">recognized </w:t>
      </w:r>
      <w:r w:rsidRPr="00FB4EFA">
        <w:rPr>
          <w:lang w:val="en-GB" w:eastAsia="de-AT"/>
        </w:rPr>
        <w:t>minority and supported by the socialist state in 1969 (Gerner 2004: 56). This status allowed the Hungarian-Germans to found ethnic organi</w:t>
      </w:r>
      <w:r w:rsidR="001C0E73" w:rsidRPr="00FB4EFA">
        <w:rPr>
          <w:lang w:val="en-GB" w:eastAsia="zh-CN"/>
        </w:rPr>
        <w:t>z</w:t>
      </w:r>
      <w:r w:rsidRPr="00FB4EFA">
        <w:rPr>
          <w:lang w:val="en-GB" w:eastAsia="de-AT"/>
        </w:rPr>
        <w:t>ations that could publish minority newspapers and minority literature, establish cultural institutions and clubs for the members of the minority, and launch several minority education programmes on different levels, from kindergarten to higher education. In the 1970s, the first ethnic commissions were established in selected Hungarian counties; in the 1980s</w:t>
      </w:r>
      <w:r w:rsidR="00C36DAA" w:rsidRPr="00FB4EFA">
        <w:rPr>
          <w:lang w:val="en-GB" w:eastAsia="de-AT"/>
        </w:rPr>
        <w:t>,</w:t>
      </w:r>
      <w:r w:rsidRPr="00FB4EFA">
        <w:rPr>
          <w:lang w:val="en-GB" w:eastAsia="de-AT"/>
        </w:rPr>
        <w:t xml:space="preserve"> a centre for minority research was </w:t>
      </w:r>
      <w:r w:rsidR="00C36DAA" w:rsidRPr="00FB4EFA">
        <w:rPr>
          <w:lang w:val="en-GB" w:eastAsia="de-AT"/>
        </w:rPr>
        <w:t>established</w:t>
      </w:r>
      <w:r w:rsidRPr="00FB4EFA">
        <w:rPr>
          <w:lang w:val="en-GB" w:eastAsia="de-AT"/>
        </w:rPr>
        <w:t xml:space="preserve"> in Pécs (Klimó 2006: 176–178).</w:t>
      </w:r>
    </w:p>
    <w:p w14:paraId="13026DF1" w14:textId="00C658FB" w:rsidR="00B14B64" w:rsidRPr="00FB4EFA" w:rsidRDefault="00B14B64" w:rsidP="00857D2A">
      <w:pPr>
        <w:ind w:firstLine="709"/>
        <w:rPr>
          <w:lang w:val="en-GB"/>
        </w:rPr>
      </w:pPr>
      <w:r w:rsidRPr="00FB4EFA">
        <w:rPr>
          <w:lang w:val="en-GB" w:eastAsia="de-AT"/>
        </w:rPr>
        <w:lastRenderedPageBreak/>
        <w:t>The period of stabili</w:t>
      </w:r>
      <w:r w:rsidR="001C0E73" w:rsidRPr="00FB4EFA">
        <w:rPr>
          <w:lang w:val="en-GB" w:eastAsia="zh-CN"/>
        </w:rPr>
        <w:t>z</w:t>
      </w:r>
      <w:r w:rsidRPr="00FB4EFA">
        <w:rPr>
          <w:lang w:val="en-GB" w:eastAsia="de-AT"/>
        </w:rPr>
        <w:t xml:space="preserve">ation of the Hungarian socialist regime that started in the 1970s had its positive effects on the Hungarian-German minority. The main goal of the minority policy was to integrate the minorities into the socialist society without them losing their language, culture, or ethnic identity. Consequently, the henceforth contented minorities </w:t>
      </w:r>
      <w:r w:rsidR="00C36DAA" w:rsidRPr="00FB4EFA">
        <w:rPr>
          <w:lang w:val="en-GB" w:eastAsia="de-AT"/>
        </w:rPr>
        <w:t>were supposed to</w:t>
      </w:r>
      <w:r w:rsidRPr="00FB4EFA">
        <w:rPr>
          <w:lang w:val="en-GB" w:eastAsia="de-AT"/>
        </w:rPr>
        <w:t xml:space="preserve"> function as bridge builders and </w:t>
      </w:r>
      <w:r w:rsidRPr="00FB4EFA">
        <w:rPr>
          <w:rFonts w:eastAsia="Arial Unicode MS" w:cs="Arial Unicode MS"/>
          <w:kern w:val="2"/>
          <w:lang w:val="en-GB" w:eastAsia="de-AT" w:bidi="hi-IN"/>
        </w:rPr>
        <w:t>contribute to</w:t>
      </w:r>
      <w:r w:rsidRPr="00FB4EFA">
        <w:rPr>
          <w:lang w:val="en-GB" w:eastAsia="de-AT"/>
        </w:rPr>
        <w:t xml:space="preserve"> the Hungarian state and its cross-national relations. Th</w:t>
      </w:r>
      <w:r w:rsidR="00C36DAA" w:rsidRPr="00FB4EFA">
        <w:rPr>
          <w:lang w:val="en-GB" w:eastAsia="de-AT"/>
        </w:rPr>
        <w:t>is</w:t>
      </w:r>
      <w:r w:rsidRPr="00FB4EFA">
        <w:rPr>
          <w:lang w:val="en-GB" w:eastAsia="de-AT"/>
        </w:rPr>
        <w:t xml:space="preserve"> progressive treatment of the minorities within Hungary was meant to serve as an example for the minority policy of the neighbouring socialist countries in order to improve the situation </w:t>
      </w:r>
      <w:r w:rsidR="00C36DAA" w:rsidRPr="00FB4EFA">
        <w:rPr>
          <w:lang w:val="en-GB" w:eastAsia="de-AT"/>
        </w:rPr>
        <w:t>of</w:t>
      </w:r>
      <w:r w:rsidRPr="00FB4EFA">
        <w:rPr>
          <w:lang w:val="en-GB" w:eastAsia="de-AT"/>
        </w:rPr>
        <w:t xml:space="preserve"> the Hungarian minorities in Czechoslovakia, Ukraine, Romania, and Yugoslavia (Pável 2006: 91). </w:t>
      </w:r>
      <w:r w:rsidRPr="00FB4EFA">
        <w:rPr>
          <w:lang w:val="en-GB"/>
        </w:rPr>
        <w:t>A</w:t>
      </w:r>
      <w:r w:rsidRPr="00FB4EFA">
        <w:rPr>
          <w:lang w:val="en-GB" w:eastAsia="de-AT"/>
        </w:rPr>
        <w:t>ll these developments did not change the fact that minority organi</w:t>
      </w:r>
      <w:r w:rsidR="001C0E73" w:rsidRPr="00FB4EFA">
        <w:rPr>
          <w:lang w:val="en-GB" w:eastAsia="zh-CN"/>
        </w:rPr>
        <w:t>z</w:t>
      </w:r>
      <w:r w:rsidRPr="00FB4EFA">
        <w:rPr>
          <w:lang w:val="en-GB" w:eastAsia="de-AT"/>
        </w:rPr>
        <w:t>ations</w:t>
      </w:r>
      <w:r w:rsidR="00C36DAA" w:rsidRPr="00FB4EFA">
        <w:rPr>
          <w:lang w:val="en-GB" w:eastAsia="de-AT"/>
        </w:rPr>
        <w:t xml:space="preserve"> and</w:t>
      </w:r>
      <w:r w:rsidRPr="00FB4EFA">
        <w:rPr>
          <w:lang w:val="en-GB" w:eastAsia="de-AT"/>
        </w:rPr>
        <w:t xml:space="preserve"> representatives were still subject to the party’s whims concerning individual concrete issues, but they did, however, lead to a significant growth of the minority. While in 1949 only 2,617 Hungarian-Germans were counted in Hungary, their number increased to 8,640 in 1960, to 11,310 in 1980, and finally to 30,824 in 1990. In the 2001 census, a total of 62,105 </w:t>
      </w:r>
      <w:r w:rsidR="002115C8" w:rsidRPr="00FB4EFA">
        <w:rPr>
          <w:lang w:val="en-GB" w:eastAsia="de-AT"/>
        </w:rPr>
        <w:br/>
      </w:r>
      <w:r w:rsidRPr="00FB4EFA">
        <w:rPr>
          <w:lang w:val="en-GB" w:eastAsia="de-AT"/>
        </w:rPr>
        <w:t xml:space="preserve">people identified as members of the Hungarian-German minority </w:t>
      </w:r>
      <w:r w:rsidR="002115C8" w:rsidRPr="00FB4EFA">
        <w:rPr>
          <w:lang w:val="en-GB" w:eastAsia="de-AT"/>
        </w:rPr>
        <w:br/>
      </w:r>
      <w:r w:rsidRPr="00FB4EFA">
        <w:rPr>
          <w:lang w:val="en-GB" w:eastAsia="zh-CN"/>
        </w:rPr>
        <w:t>(Bindorffer 2007: 10–11).</w:t>
      </w:r>
    </w:p>
    <w:p w14:paraId="5F4074F7" w14:textId="3A7C314D" w:rsidR="00B14B64" w:rsidRPr="00FB4EFA" w:rsidRDefault="00B14B64" w:rsidP="00857D2A">
      <w:pPr>
        <w:ind w:firstLine="709"/>
        <w:rPr>
          <w:lang w:val="en-GB" w:eastAsia="zh-CN"/>
        </w:rPr>
      </w:pPr>
      <w:r w:rsidRPr="00FB4EFA">
        <w:rPr>
          <w:lang w:val="en-GB" w:eastAsia="zh-CN"/>
        </w:rPr>
        <w:t>Today, Hungarian-Germans live in several settlement areas in Hungary, three of them being considered “German centres”: the western region of Hungary comprising the cities of Sopron (</w:t>
      </w:r>
      <w:r w:rsidRPr="00FB4EFA">
        <w:rPr>
          <w:iCs/>
          <w:lang w:val="en-GB" w:eastAsia="zh-CN"/>
        </w:rPr>
        <w:t>Ödenburg</w:t>
      </w:r>
      <w:r w:rsidRPr="00FB4EFA">
        <w:rPr>
          <w:lang w:val="en-GB" w:eastAsia="zh-CN"/>
        </w:rPr>
        <w:t>) and Szombathely (</w:t>
      </w:r>
      <w:r w:rsidRPr="00FB4EFA">
        <w:rPr>
          <w:iCs/>
          <w:lang w:val="en-GB" w:eastAsia="zh-CN"/>
        </w:rPr>
        <w:t>Steinamanger</w:t>
      </w:r>
      <w:r w:rsidRPr="00FB4EFA">
        <w:rPr>
          <w:lang w:val="en-GB" w:eastAsia="zh-CN"/>
        </w:rPr>
        <w:t>), the Hungarian low mountain range between Lake Balaton and the Danube bend containing the cities of Veszprém (</w:t>
      </w:r>
      <w:r w:rsidRPr="00FB4EFA">
        <w:rPr>
          <w:iCs/>
          <w:lang w:val="en-GB" w:eastAsia="zh-CN"/>
        </w:rPr>
        <w:t>Wesprim</w:t>
      </w:r>
      <w:r w:rsidRPr="00FB4EFA">
        <w:rPr>
          <w:lang w:val="en-GB" w:eastAsia="zh-CN"/>
        </w:rPr>
        <w:t>), Székesfehérvár (</w:t>
      </w:r>
      <w:r w:rsidRPr="00FB4EFA">
        <w:rPr>
          <w:iCs/>
          <w:lang w:val="en-GB" w:eastAsia="zh-CN"/>
        </w:rPr>
        <w:t>Stuhlweißenburg</w:t>
      </w:r>
      <w:r w:rsidRPr="00FB4EFA">
        <w:rPr>
          <w:lang w:val="en-GB" w:eastAsia="zh-CN"/>
        </w:rPr>
        <w:t xml:space="preserve">) and Budapest, a region in the south of Hungary, </w:t>
      </w:r>
      <w:r w:rsidRPr="00FB4EFA">
        <w:rPr>
          <w:rFonts w:eastAsia="Arial Unicode MS" w:cs="Arial Unicode MS"/>
          <w:kern w:val="2"/>
          <w:lang w:val="en-GB" w:eastAsia="zh-CN" w:bidi="hi-IN"/>
        </w:rPr>
        <w:t xml:space="preserve">also </w:t>
      </w:r>
      <w:r w:rsidR="008D2538" w:rsidRPr="00FB4EFA">
        <w:rPr>
          <w:rFonts w:eastAsia="Arial Unicode MS" w:cs="Arial Unicode MS"/>
          <w:kern w:val="2"/>
          <w:lang w:val="en-GB" w:eastAsia="zh-CN" w:bidi="hi-IN"/>
        </w:rPr>
        <w:t>referred to</w:t>
      </w:r>
      <w:r w:rsidRPr="00FB4EFA">
        <w:rPr>
          <w:rFonts w:eastAsia="Arial Unicode MS" w:cs="Arial Unicode MS"/>
          <w:kern w:val="2"/>
          <w:lang w:val="en-GB" w:eastAsia="zh-CN" w:bidi="hi-IN"/>
        </w:rPr>
        <w:t xml:space="preserve"> as</w:t>
      </w:r>
      <w:r w:rsidRPr="00FB4EFA">
        <w:rPr>
          <w:lang w:val="en-GB" w:eastAsia="zh-CN"/>
        </w:rPr>
        <w:t xml:space="preserve"> </w:t>
      </w:r>
      <w:r w:rsidRPr="00FB4EFA">
        <w:rPr>
          <w:i/>
          <w:iCs/>
          <w:lang w:val="en-GB" w:eastAsia="zh-CN"/>
        </w:rPr>
        <w:t>Schwäbische Türkei</w:t>
      </w:r>
      <w:r w:rsidRPr="00FB4EFA">
        <w:rPr>
          <w:lang w:val="en-GB" w:eastAsia="zh-CN"/>
        </w:rPr>
        <w:t xml:space="preserve"> (‘Swabian Turkey’) in German due to the settlement of German peasants after the Ottoman siege, comprising the counties of Somogy (</w:t>
      </w:r>
      <w:r w:rsidRPr="00FB4EFA">
        <w:rPr>
          <w:iCs/>
          <w:lang w:val="en-GB" w:eastAsia="zh-CN"/>
        </w:rPr>
        <w:t>Schomodei</w:t>
      </w:r>
      <w:r w:rsidRPr="00FB4EFA">
        <w:rPr>
          <w:lang w:val="en-GB" w:eastAsia="zh-CN"/>
        </w:rPr>
        <w:t>), Baranya (</w:t>
      </w:r>
      <w:r w:rsidRPr="00FB4EFA">
        <w:rPr>
          <w:iCs/>
          <w:lang w:val="en-GB" w:eastAsia="zh-CN"/>
        </w:rPr>
        <w:t>Branau</w:t>
      </w:r>
      <w:r w:rsidRPr="00FB4EFA">
        <w:rPr>
          <w:lang w:val="en-GB" w:eastAsia="zh-CN"/>
        </w:rPr>
        <w:t>) and Tolna (</w:t>
      </w:r>
      <w:r w:rsidRPr="00FB4EFA">
        <w:rPr>
          <w:iCs/>
          <w:lang w:val="en-GB" w:eastAsia="zh-CN"/>
        </w:rPr>
        <w:t>Tolnau</w:t>
      </w:r>
      <w:r w:rsidRPr="00FB4EFA">
        <w:rPr>
          <w:lang w:val="en-GB" w:eastAsia="zh-CN"/>
        </w:rPr>
        <w:t xml:space="preserve">), </w:t>
      </w:r>
      <w:r w:rsidR="008D2538" w:rsidRPr="00FB4EFA">
        <w:rPr>
          <w:lang w:val="en-GB" w:eastAsia="zh-CN"/>
        </w:rPr>
        <w:t>as well as</w:t>
      </w:r>
      <w:r w:rsidRPr="00FB4EFA">
        <w:rPr>
          <w:lang w:val="en-GB" w:eastAsia="zh-CN"/>
        </w:rPr>
        <w:t xml:space="preserve"> the city of Pécs</w:t>
      </w:r>
      <w:r w:rsidRPr="00FB4EFA">
        <w:rPr>
          <w:rFonts w:eastAsia="SimSun" w:cs="Arial"/>
          <w:lang w:val="en-GB" w:eastAsia="zh-CN"/>
        </w:rPr>
        <w:t xml:space="preserve"> </w:t>
      </w:r>
      <w:r w:rsidRPr="00FB4EFA">
        <w:rPr>
          <w:lang w:val="en-GB" w:eastAsia="zh-CN"/>
        </w:rPr>
        <w:t>(</w:t>
      </w:r>
      <w:r w:rsidRPr="00FB4EFA">
        <w:rPr>
          <w:iCs/>
          <w:lang w:val="en-GB" w:eastAsia="zh-CN"/>
        </w:rPr>
        <w:t>Fünfkirchen</w:t>
      </w:r>
      <w:r w:rsidRPr="00FB4EFA">
        <w:rPr>
          <w:lang w:val="en-GB" w:eastAsia="zh-CN"/>
        </w:rPr>
        <w:t>).</w:t>
      </w:r>
    </w:p>
    <w:p w14:paraId="46D40D55" w14:textId="1137517E" w:rsidR="00B14B64" w:rsidRPr="00FB4EFA" w:rsidRDefault="00B14B64" w:rsidP="00857D2A">
      <w:pPr>
        <w:ind w:firstLine="709"/>
        <w:rPr>
          <w:lang w:val="en-GB" w:eastAsia="zh-CN"/>
        </w:rPr>
      </w:pPr>
      <w:r w:rsidRPr="00FB4EFA">
        <w:rPr>
          <w:lang w:val="en-GB" w:eastAsia="zh-CN"/>
        </w:rPr>
        <w:t xml:space="preserve">According to research conducted since the change of the Hungarian minority law in 1993 (1993: LXXVII “A nemzeti és etnikai kisebbségek jogairól”), the Hungarian-Germans do not </w:t>
      </w:r>
      <w:r w:rsidRPr="00FB4EFA">
        <w:rPr>
          <w:lang w:val="en-GB"/>
        </w:rPr>
        <w:t>have</w:t>
      </w:r>
      <w:r w:rsidRPr="00FB4EFA">
        <w:rPr>
          <w:lang w:val="en-GB" w:eastAsia="zh-CN"/>
        </w:rPr>
        <w:t xml:space="preserve"> a distinct national identity or specific awareness </w:t>
      </w:r>
      <w:r w:rsidR="008D2538" w:rsidRPr="00FB4EFA">
        <w:rPr>
          <w:lang w:val="en-GB" w:eastAsia="zh-CN"/>
        </w:rPr>
        <w:t>of</w:t>
      </w:r>
      <w:r w:rsidRPr="00FB4EFA">
        <w:rPr>
          <w:lang w:val="en-GB" w:eastAsia="zh-CN"/>
        </w:rPr>
        <w:t xml:space="preserve"> their minority existence. Seewann (1992: 150) states that most Hungarian-Germans have no interest in </w:t>
      </w:r>
      <w:r w:rsidRPr="00FB4EFA">
        <w:rPr>
          <w:rFonts w:eastAsia="Arial Unicode MS" w:cs="Arial Unicode MS"/>
          <w:kern w:val="2"/>
          <w:lang w:val="en-GB" w:eastAsia="zh-CN" w:bidi="hi-IN"/>
        </w:rPr>
        <w:t>presenting</w:t>
      </w:r>
      <w:r w:rsidRPr="00FB4EFA">
        <w:rPr>
          <w:lang w:val="en-GB" w:eastAsia="zh-CN"/>
        </w:rPr>
        <w:t xml:space="preserve"> themselves as an ethnically defined social group and even less interest in </w:t>
      </w:r>
      <w:r w:rsidRPr="00FB4EFA">
        <w:rPr>
          <w:lang w:val="en-GB" w:eastAsia="zh-CN"/>
        </w:rPr>
        <w:lastRenderedPageBreak/>
        <w:t xml:space="preserve">getting involved politically to revive the minority’s group consciousness or national identity and culture. </w:t>
      </w:r>
      <w:r w:rsidR="008D2538" w:rsidRPr="00FB4EFA">
        <w:rPr>
          <w:lang w:val="en-GB" w:eastAsia="zh-CN"/>
        </w:rPr>
        <w:t>The consequent diffuse sense of Hungarian-German identity hinders the minority</w:t>
      </w:r>
      <w:r w:rsidR="00475A5B" w:rsidRPr="00FB4EFA">
        <w:rPr>
          <w:lang w:val="en-GB" w:eastAsia="zh-CN"/>
        </w:rPr>
        <w:t>’</w:t>
      </w:r>
      <w:r w:rsidR="008D2538" w:rsidRPr="00FB4EFA">
        <w:rPr>
          <w:lang w:val="en-GB" w:eastAsia="zh-CN"/>
        </w:rPr>
        <w:t>s politico-social creative power</w:t>
      </w:r>
      <w:r w:rsidRPr="00FB4EFA">
        <w:rPr>
          <w:lang w:val="en-GB" w:eastAsia="zh-CN"/>
        </w:rPr>
        <w:t xml:space="preserve"> (Seewann 1992: 152). Spannenberger (2004: 81) doubts that the Hungarian-German minority considers itself a community of interests and of common destiny. The elected representatives </w:t>
      </w:r>
      <w:r w:rsidR="008D2538" w:rsidRPr="00FB4EFA">
        <w:rPr>
          <w:lang w:val="en-GB" w:eastAsia="zh-CN"/>
        </w:rPr>
        <w:t>of</w:t>
      </w:r>
      <w:r w:rsidRPr="00FB4EFA">
        <w:rPr>
          <w:lang w:val="en-GB" w:eastAsia="zh-CN"/>
        </w:rPr>
        <w:t xml:space="preserve"> the regional minority</w:t>
      </w:r>
      <w:r w:rsidRPr="00FB4EFA">
        <w:rPr>
          <w:lang w:val="en-GB"/>
        </w:rPr>
        <w:t xml:space="preserve"> </w:t>
      </w:r>
      <w:r w:rsidRPr="00FB4EFA">
        <w:rPr>
          <w:lang w:val="en-GB" w:eastAsia="zh-CN"/>
        </w:rPr>
        <w:t>self-governments focus only on the cultural sphere by supporting local minority choirs or folk-dance groups. Bindorffer</w:t>
      </w:r>
      <w:r w:rsidR="008D2538" w:rsidRPr="00FB4EFA">
        <w:rPr>
          <w:lang w:val="en-GB" w:eastAsia="zh-CN"/>
        </w:rPr>
        <w:t xml:space="preserve"> (2007: 8)</w:t>
      </w:r>
      <w:r w:rsidRPr="00FB4EFA">
        <w:rPr>
          <w:lang w:val="en-GB" w:eastAsia="zh-CN"/>
        </w:rPr>
        <w:t xml:space="preserve"> also emphasizes that it is provenance or family history which forms the main basis of minority awareness among the Hungarian-Germans</w:t>
      </w:r>
      <w:r w:rsidR="008D2538" w:rsidRPr="00FB4EFA">
        <w:rPr>
          <w:lang w:val="en-GB" w:eastAsia="zh-CN"/>
        </w:rPr>
        <w:t xml:space="preserve">. </w:t>
      </w:r>
      <w:r w:rsidR="008D2538" w:rsidRPr="00FB4EFA">
        <w:rPr>
          <w:rFonts w:eastAsia="Arial Unicode MS" w:cs="Arial Unicode MS"/>
          <w:kern w:val="2"/>
          <w:lang w:val="en-GB" w:eastAsia="zh-CN" w:bidi="hi-IN"/>
        </w:rPr>
        <w:t>I</w:t>
      </w:r>
      <w:r w:rsidRPr="00FB4EFA">
        <w:rPr>
          <w:rFonts w:eastAsia="Arial Unicode MS" w:cs="Arial Unicode MS"/>
          <w:kern w:val="2"/>
          <w:lang w:val="en-GB" w:eastAsia="zh-CN" w:bidi="hi-IN"/>
        </w:rPr>
        <w:t>t</w:t>
      </w:r>
      <w:r w:rsidRPr="00FB4EFA">
        <w:rPr>
          <w:lang w:val="en-GB" w:eastAsia="zh-CN"/>
        </w:rPr>
        <w:t xml:space="preserve"> </w:t>
      </w:r>
      <w:r w:rsidR="008D2538" w:rsidRPr="00FB4EFA">
        <w:rPr>
          <w:lang w:val="en-GB" w:eastAsia="zh-CN"/>
        </w:rPr>
        <w:t xml:space="preserve">manifests </w:t>
      </w:r>
      <w:r w:rsidRPr="00FB4EFA">
        <w:rPr>
          <w:lang w:val="en-GB" w:eastAsia="zh-CN"/>
        </w:rPr>
        <w:t>only in the upholding of their specific culture through folk dance or traditional costumes</w:t>
      </w:r>
      <w:r w:rsidRPr="00FB4EFA">
        <w:rPr>
          <w:lang w:val="en-GB"/>
        </w:rPr>
        <w:t>. However, in Spannenberger’s eyes this cultural engagement is not enough to strengthen the ethnic and national identity of the Hungarian-Germans (2004: 82)</w:t>
      </w:r>
      <w:r w:rsidR="00171042" w:rsidRPr="00FB4EFA">
        <w:rPr>
          <w:lang w:val="en-GB"/>
        </w:rPr>
        <w:t>,</w:t>
      </w:r>
      <w:r w:rsidRPr="00FB4EFA">
        <w:rPr>
          <w:lang w:val="en-GB"/>
        </w:rPr>
        <w:t xml:space="preserve"> and Aschauer even doubts the existence of a socially or ethnically definable group of Hungarian-Germans </w:t>
      </w:r>
      <w:r w:rsidRPr="00FB4EFA">
        <w:rPr>
          <w:rFonts w:eastAsia="Arial Unicode MS" w:cs="Arial Unicode MS"/>
          <w:kern w:val="2"/>
          <w:lang w:val="en-GB" w:eastAsia="zh-CN" w:bidi="hi-IN"/>
        </w:rPr>
        <w:t>due to</w:t>
      </w:r>
      <w:r w:rsidRPr="00FB4EFA">
        <w:rPr>
          <w:lang w:val="en-GB"/>
        </w:rPr>
        <w:t xml:space="preserve"> the lack of a sense of community among them (</w:t>
      </w:r>
      <w:r w:rsidRPr="00FB4EFA">
        <w:rPr>
          <w:rFonts w:eastAsia="Times New Roman"/>
          <w:lang w:val="en-GB" w:eastAsia="de-AT"/>
        </w:rPr>
        <w:t xml:space="preserve">Aschauer 1992: 236–237). As Gerner (2004: 57) shows, </w:t>
      </w:r>
      <w:r w:rsidR="00171042" w:rsidRPr="00FB4EFA">
        <w:rPr>
          <w:rFonts w:eastAsia="Times New Roman"/>
          <w:lang w:val="en-GB" w:eastAsia="de-AT"/>
        </w:rPr>
        <w:t xml:space="preserve">although </w:t>
      </w:r>
      <w:r w:rsidRPr="00FB4EFA">
        <w:rPr>
          <w:rFonts w:eastAsia="Times New Roman"/>
          <w:lang w:val="en-GB" w:eastAsia="de-AT"/>
        </w:rPr>
        <w:t>the Hungarian-Germans are increasingly interested in organi</w:t>
      </w:r>
      <w:r w:rsidR="001C0E73" w:rsidRPr="00FB4EFA">
        <w:rPr>
          <w:rFonts w:eastAsia="Times New Roman"/>
          <w:lang w:val="en-GB" w:eastAsia="de-AT"/>
        </w:rPr>
        <w:t>z</w:t>
      </w:r>
      <w:r w:rsidRPr="00FB4EFA">
        <w:rPr>
          <w:rFonts w:eastAsia="Times New Roman"/>
          <w:lang w:val="en-GB" w:eastAsia="de-AT"/>
        </w:rPr>
        <w:t xml:space="preserve">ing themselves along ethnic categories in order to access economic resources afforded by German and Austrian international initiatives for German minorities abroad, this form of engagement is still mostly limited to the preservation of the folkloristic heritage and cannot be equated with a real sense of community within the minority. </w:t>
      </w:r>
      <w:r w:rsidRPr="00FB4EFA">
        <w:rPr>
          <w:lang w:val="en-GB"/>
        </w:rPr>
        <w:t>This is due to</w:t>
      </w:r>
      <w:r w:rsidRPr="00FB4EFA">
        <w:rPr>
          <w:rFonts w:eastAsia="Times New Roman"/>
          <w:lang w:val="en-GB" w:eastAsia="de-AT"/>
        </w:rPr>
        <w:t xml:space="preserve"> the high level of artificiality and the choreographing of these cultural manifestations, as the traditional elements of the minority culture are no longer a part of everyday life but survive only within a festive context – mostly on the stages of village festivals, regional </w:t>
      </w:r>
      <w:r w:rsidR="00A70E6A" w:rsidRPr="00FB4EFA">
        <w:rPr>
          <w:rFonts w:eastAsia="Times New Roman"/>
          <w:lang w:val="en-GB" w:eastAsia="de-AT"/>
        </w:rPr>
        <w:br/>
      </w:r>
      <w:r w:rsidRPr="00FB4EFA">
        <w:rPr>
          <w:rFonts w:eastAsia="Times New Roman"/>
          <w:lang w:val="en-GB" w:eastAsia="de-AT"/>
        </w:rPr>
        <w:t>minority meetings, and galas with folk dance programmes (</w:t>
      </w:r>
      <w:r w:rsidRPr="00FB4EFA">
        <w:rPr>
          <w:lang w:val="en-GB"/>
        </w:rPr>
        <w:t>Bindorffer 2007: 8–9). In this context, one must keep in mind that folk dances,</w:t>
      </w:r>
      <w:r w:rsidR="00171042" w:rsidRPr="00FB4EFA">
        <w:rPr>
          <w:lang w:val="en-GB"/>
        </w:rPr>
        <w:t xml:space="preserve"> folk songs, and </w:t>
      </w:r>
      <w:r w:rsidRPr="00FB4EFA">
        <w:rPr>
          <w:lang w:val="en-GB"/>
        </w:rPr>
        <w:t>traditional costumes are generally characteri</w:t>
      </w:r>
      <w:r w:rsidR="008C4F74" w:rsidRPr="00FB4EFA">
        <w:rPr>
          <w:lang w:val="en-GB"/>
        </w:rPr>
        <w:t>z</w:t>
      </w:r>
      <w:r w:rsidRPr="00FB4EFA">
        <w:rPr>
          <w:lang w:val="en-GB"/>
        </w:rPr>
        <w:t xml:space="preserve">ed by regionalism, so </w:t>
      </w:r>
      <w:r w:rsidR="00171042" w:rsidRPr="00FB4EFA">
        <w:rPr>
          <w:lang w:val="en-GB"/>
        </w:rPr>
        <w:t xml:space="preserve">that </w:t>
      </w:r>
      <w:r w:rsidRPr="00FB4EFA">
        <w:rPr>
          <w:lang w:val="en-GB"/>
        </w:rPr>
        <w:t xml:space="preserve">the cultivation of the respective traditions may even encourage a differentiation rather than a sense of community among the different Hungarian-German communities in Hungary. In his novel </w:t>
      </w:r>
      <w:r w:rsidRPr="00FB4EFA">
        <w:rPr>
          <w:i/>
          <w:iCs/>
          <w:lang w:val="en-GB"/>
        </w:rPr>
        <w:t>Téli bárány</w:t>
      </w:r>
      <w:r w:rsidRPr="00FB4EFA">
        <w:rPr>
          <w:lang w:val="en-GB"/>
        </w:rPr>
        <w:t>, Hungarian-German author Márton Kalász impressively describes how the inhabitants of two neighbouring Hungarian-German villages live in constant mutual hostility because of the differences between their traditional costumes and customs.</w:t>
      </w:r>
    </w:p>
    <w:p w14:paraId="50105B68" w14:textId="77777777" w:rsidR="00B14B64" w:rsidRPr="00FB4EFA" w:rsidRDefault="00B14B64" w:rsidP="00857D2A">
      <w:pPr>
        <w:ind w:firstLine="709"/>
        <w:rPr>
          <w:rFonts w:cs="Arial"/>
          <w:lang w:val="en-GB"/>
        </w:rPr>
      </w:pPr>
      <w:r w:rsidRPr="00FB4EFA">
        <w:rPr>
          <w:lang w:val="en-GB"/>
        </w:rPr>
        <w:lastRenderedPageBreak/>
        <w:t>The significance of literature for the Hungarian-German minority must be viewed through the lens of this situation. In fact, literature can play a crucial role within the process of identity formation and community building – even if the circumstances in which it is written are challenging, as is the case for contemporary Hungarian-German literature.</w:t>
      </w:r>
    </w:p>
    <w:p w14:paraId="1E8F8358" w14:textId="77777777" w:rsidR="00B14B64" w:rsidRPr="00FB4EFA" w:rsidRDefault="00B14B64" w:rsidP="00857D2A">
      <w:pPr>
        <w:pStyle w:val="Heading2"/>
        <w:spacing w:line="259" w:lineRule="auto"/>
        <w:rPr>
          <w:color w:val="auto"/>
        </w:rPr>
      </w:pPr>
      <w:r w:rsidRPr="00FB4EFA">
        <w:rPr>
          <w:color w:val="auto"/>
        </w:rPr>
        <w:t>Literature and Identity Formation</w:t>
      </w:r>
    </w:p>
    <w:p w14:paraId="02AE834A" w14:textId="74D872B1" w:rsidR="00B14B64" w:rsidRPr="00FB4EFA" w:rsidRDefault="00B14B64" w:rsidP="00857D2A">
      <w:pPr>
        <w:spacing w:after="240"/>
        <w:rPr>
          <w:lang w:val="en-GB"/>
        </w:rPr>
      </w:pPr>
      <w:r w:rsidRPr="00FB4EFA">
        <w:rPr>
          <w:lang w:val="en-GB"/>
        </w:rPr>
        <w:t xml:space="preserve">In connection with the concept of collective identity, Jan Assmann emphasizes the need for an explicit commitment of the individuals </w:t>
      </w:r>
      <w:r w:rsidR="00171042" w:rsidRPr="00FB4EFA">
        <w:rPr>
          <w:lang w:val="en-GB"/>
        </w:rPr>
        <w:t>to the group they belong to</w:t>
      </w:r>
      <w:r w:rsidRPr="00FB4EFA">
        <w:rPr>
          <w:lang w:val="en-GB"/>
        </w:rPr>
        <w:t xml:space="preserve">. He argues that collective identity or we-identity is essentially a picture that a group constructs of itself and with which the members of the group can identify. At its </w:t>
      </w:r>
      <w:r w:rsidRPr="00FB4EFA">
        <w:rPr>
          <w:rFonts w:eastAsia="Arial Unicode MS" w:cs="Arial Unicode MS"/>
          <w:kern w:val="2"/>
          <w:lang w:val="en-GB" w:eastAsia="zh-CN" w:bidi="hi-IN"/>
        </w:rPr>
        <w:t>core</w:t>
      </w:r>
      <w:r w:rsidRPr="00FB4EFA">
        <w:rPr>
          <w:lang w:val="en-GB"/>
        </w:rPr>
        <w:t xml:space="preserve">, collective identity </w:t>
      </w:r>
      <w:r w:rsidR="00171042" w:rsidRPr="00FB4EFA">
        <w:rPr>
          <w:lang w:val="en-GB"/>
        </w:rPr>
        <w:t>depends on</w:t>
      </w:r>
      <w:r w:rsidRPr="00FB4EFA">
        <w:rPr>
          <w:lang w:val="en-GB"/>
        </w:rPr>
        <w:t xml:space="preserve"> the extent to which the individuals are willing to be part of a group and identify with it. Consequently, collective identity can only be as strong or weak as it is alive within the minds of the group members and as much as it is able to motivate their thinking and actions in everyday life (Assmann 2002: 132). Bearing Assmann’s thoughts in mind, it </w:t>
      </w:r>
      <w:r w:rsidR="00A70E6A" w:rsidRPr="00FB4EFA">
        <w:rPr>
          <w:lang w:val="en-GB"/>
        </w:rPr>
        <w:br/>
      </w:r>
      <w:r w:rsidRPr="00FB4EFA">
        <w:rPr>
          <w:lang w:val="en-GB"/>
        </w:rPr>
        <w:t xml:space="preserve">becomes evident why literature plays such an important role in </w:t>
      </w:r>
      <w:r w:rsidR="00A70E6A" w:rsidRPr="00FB4EFA">
        <w:rPr>
          <w:lang w:val="en-GB"/>
        </w:rPr>
        <w:br/>
      </w:r>
      <w:r w:rsidRPr="00FB4EFA">
        <w:rPr>
          <w:lang w:val="en-GB"/>
        </w:rPr>
        <w:t>this context:</w:t>
      </w:r>
    </w:p>
    <w:p w14:paraId="2E334CD9" w14:textId="2ED9B225" w:rsidR="000121EA" w:rsidRPr="00FB4EFA" w:rsidRDefault="00B14B64" w:rsidP="002A3BC9">
      <w:pPr>
        <w:suppressAutoHyphens/>
        <w:spacing w:after="240" w:line="240" w:lineRule="auto"/>
        <w:ind w:left="709"/>
        <w:rPr>
          <w:sz w:val="20"/>
          <w:szCs w:val="20"/>
          <w:lang w:val="en-GB"/>
        </w:rPr>
      </w:pPr>
      <w:r w:rsidRPr="00FB4EFA">
        <w:rPr>
          <w:sz w:val="20"/>
          <w:szCs w:val="20"/>
          <w:lang w:val="en-GB"/>
        </w:rPr>
        <w:t xml:space="preserve">By talking about mutual memories, life stories and customs, groups envision those aspects of their past that characterize them as that specific group and therefore must not be forgotten. Through the active participation of individual protagonists in such a collective memory they are not only provided with group-specific memories, but also perceptions schemes that frame the individual’s self-understanding. The practice of shared interpretation of the past is also linked to the emergence of new collective horizons within meaning and identity construction. </w:t>
      </w:r>
      <w:r w:rsidRPr="00FB4EFA">
        <w:rPr>
          <w:iCs/>
          <w:sz w:val="20"/>
          <w:szCs w:val="20"/>
          <w:lang w:val="en-GB"/>
        </w:rPr>
        <w:t xml:space="preserve">The collective identity of a group is the result of the shared interpretation of the past. </w:t>
      </w:r>
      <w:r w:rsidRPr="00FB4EFA">
        <w:rPr>
          <w:sz w:val="20"/>
          <w:szCs w:val="20"/>
          <w:lang w:val="en-GB"/>
        </w:rPr>
        <w:t>(Neumann 2003: 5</w:t>
      </w:r>
      <w:r w:rsidR="00C65823" w:rsidRPr="00FB4EFA">
        <w:rPr>
          <w:sz w:val="20"/>
          <w:szCs w:val="20"/>
          <w:lang w:val="en-GB"/>
        </w:rPr>
        <w:t>2–5</w:t>
      </w:r>
      <w:r w:rsidRPr="00FB4EFA">
        <w:rPr>
          <w:sz w:val="20"/>
          <w:szCs w:val="20"/>
          <w:lang w:val="en-GB"/>
        </w:rPr>
        <w:t>3)</w:t>
      </w:r>
    </w:p>
    <w:p w14:paraId="2ABBA97C" w14:textId="2982111D" w:rsidR="00B14B64" w:rsidRPr="00FB4EFA" w:rsidRDefault="00B14B64" w:rsidP="00857D2A">
      <w:pPr>
        <w:rPr>
          <w:lang w:val="en-GB"/>
        </w:rPr>
      </w:pPr>
      <w:r w:rsidRPr="00FB4EFA">
        <w:rPr>
          <w:lang w:val="en-GB"/>
        </w:rPr>
        <w:t xml:space="preserve">Literary texts of all genres function as media for the collective memory (Erll 2011: 173). In fact, literary works cannot only be considered as </w:t>
      </w:r>
      <w:r w:rsidR="008C752B" w:rsidRPr="00FB4EFA">
        <w:rPr>
          <w:lang w:val="en-GB"/>
        </w:rPr>
        <w:t>a</w:t>
      </w:r>
      <w:r w:rsidRPr="00FB4EFA">
        <w:rPr>
          <w:lang w:val="en-GB"/>
        </w:rPr>
        <w:t xml:space="preserve"> form of communicating mutual memories and life stories, but there are also a number of intersections between literature and memory. In our memory, complex past events are represented in a condensed form by specific </w:t>
      </w:r>
      <w:r w:rsidRPr="00FB4EFA">
        <w:rPr>
          <w:iCs/>
          <w:lang w:val="en-GB"/>
        </w:rPr>
        <w:t>topoi</w:t>
      </w:r>
      <w:r w:rsidRPr="00FB4EFA">
        <w:rPr>
          <w:lang w:val="en-GB"/>
        </w:rPr>
        <w:t xml:space="preserve">. Pierre Nora (2005) described this phenomenon with his </w:t>
      </w:r>
      <w:r w:rsidRPr="00FB4EFA">
        <w:rPr>
          <w:lang w:val="en-GB"/>
        </w:rPr>
        <w:lastRenderedPageBreak/>
        <w:t xml:space="preserve">concept of the </w:t>
      </w:r>
      <w:r w:rsidRPr="00FB4EFA">
        <w:rPr>
          <w:i/>
          <w:iCs/>
          <w:lang w:val="en-GB"/>
        </w:rPr>
        <w:t>lieux de mémoire</w:t>
      </w:r>
      <w:r w:rsidR="008C752B" w:rsidRPr="00FB4EFA">
        <w:rPr>
          <w:lang w:val="en-GB"/>
        </w:rPr>
        <w:t>,</w:t>
      </w:r>
      <w:r w:rsidRPr="00FB4EFA">
        <w:rPr>
          <w:lang w:val="en-GB"/>
        </w:rPr>
        <w:t xml:space="preserve"> </w:t>
      </w:r>
      <w:r w:rsidRPr="00FB4EFA">
        <w:rPr>
          <w:rFonts w:eastAsia="Arial Unicode MS" w:cs="Arial Unicode MS"/>
          <w:kern w:val="2"/>
          <w:lang w:val="en-GB" w:eastAsia="zh-CN" w:bidi="hi-IN"/>
        </w:rPr>
        <w:t>which</w:t>
      </w:r>
      <w:r w:rsidRPr="00FB4EFA">
        <w:rPr>
          <w:lang w:val="en-GB"/>
        </w:rPr>
        <w:t xml:space="preserve"> explains how collective memories become manifest in certain things such as places, real or mythical personalities, customs, symbols, rituals, etc. Consequently, these things become conceptual topoi, but as such they are not necessarily shared or interpreted in the same way by all individuals of a group. Such </w:t>
      </w:r>
      <w:r w:rsidRPr="00FB4EFA">
        <w:rPr>
          <w:lang w:val="en-US"/>
        </w:rPr>
        <w:t>a</w:t>
      </w:r>
      <w:r w:rsidRPr="00FB4EFA">
        <w:rPr>
          <w:lang w:val="en-GB"/>
        </w:rPr>
        <w:t xml:space="preserve"> condensed view is also a typical attribute of literature, where the combination and overlapping of different semantic spheres in </w:t>
      </w:r>
      <w:r w:rsidR="008C752B" w:rsidRPr="00FB4EFA">
        <w:rPr>
          <w:lang w:val="en-GB"/>
        </w:rPr>
        <w:t xml:space="preserve">a </w:t>
      </w:r>
      <w:r w:rsidRPr="00FB4EFA">
        <w:rPr>
          <w:lang w:val="en-GB"/>
        </w:rPr>
        <w:t>small space becomes possible</w:t>
      </w:r>
      <w:r w:rsidR="008C752B" w:rsidRPr="00FB4EFA">
        <w:rPr>
          <w:lang w:val="en-GB"/>
        </w:rPr>
        <w:t>. H</w:t>
      </w:r>
      <w:r w:rsidRPr="00FB4EFA">
        <w:rPr>
          <w:lang w:val="en-GB"/>
        </w:rPr>
        <w:t>ow these verbal images are interpreted or decoded</w:t>
      </w:r>
      <w:r w:rsidR="008C752B" w:rsidRPr="00FB4EFA">
        <w:rPr>
          <w:lang w:val="en-GB"/>
        </w:rPr>
        <w:t xml:space="preserve"> is thus highly dependent on the individual reception process</w:t>
      </w:r>
      <w:r w:rsidRPr="00FB4EFA">
        <w:rPr>
          <w:lang w:val="en-GB"/>
        </w:rPr>
        <w:t>.</w:t>
      </w:r>
    </w:p>
    <w:p w14:paraId="7C61BEC1" w14:textId="1BA56A51" w:rsidR="00B14B64" w:rsidRPr="00FB4EFA" w:rsidRDefault="00B14B64" w:rsidP="00857D2A">
      <w:pPr>
        <w:ind w:firstLine="709"/>
        <w:rPr>
          <w:lang w:val="en-GB"/>
        </w:rPr>
      </w:pPr>
      <w:r w:rsidRPr="00FB4EFA">
        <w:rPr>
          <w:lang w:val="en-GB"/>
        </w:rPr>
        <w:t>Another important parallel between memory and literature is the act of narration. Behind the creation or even construction and formulation of every text</w:t>
      </w:r>
      <w:r w:rsidR="008C752B" w:rsidRPr="00FB4EFA">
        <w:rPr>
          <w:lang w:val="en-GB"/>
        </w:rPr>
        <w:t>,</w:t>
      </w:r>
      <w:r w:rsidRPr="00FB4EFA">
        <w:rPr>
          <w:lang w:val="en-GB"/>
        </w:rPr>
        <w:t xml:space="preserve"> as well as every memory</w:t>
      </w:r>
      <w:r w:rsidR="008C752B" w:rsidRPr="00FB4EFA">
        <w:rPr>
          <w:lang w:val="en-GB"/>
        </w:rPr>
        <w:t>,</w:t>
      </w:r>
      <w:r w:rsidRPr="00FB4EFA">
        <w:rPr>
          <w:lang w:val="en-GB"/>
        </w:rPr>
        <w:t xml:space="preserve"> lies narration – and narration means selection: during the process of constructing a coherent story, only certain elements worthy of being remembered or told are selected from a whole host of possible elements to be integrated into the story. Narrative strategies enable the coherent construction of history – from the ancient myth to contemporary history – and its interpretation, just like in literature (Erll 2011: 174).</w:t>
      </w:r>
    </w:p>
    <w:p w14:paraId="4CDFE19B" w14:textId="7497AE9B" w:rsidR="00B14B64" w:rsidRPr="00FB4EFA" w:rsidRDefault="00B14B64" w:rsidP="00857D2A">
      <w:pPr>
        <w:ind w:firstLine="709"/>
        <w:rPr>
          <w:lang w:val="en-GB"/>
        </w:rPr>
      </w:pPr>
      <w:r w:rsidRPr="00FB4EFA">
        <w:rPr>
          <w:rFonts w:eastAsia="Arial Unicode MS" w:cs="Arial Unicode MS"/>
          <w:kern w:val="2"/>
          <w:lang w:val="en-GB" w:eastAsia="zh-CN" w:bidi="hi-IN"/>
        </w:rPr>
        <w:t>Thus</w:t>
      </w:r>
      <w:r w:rsidRPr="00FB4EFA">
        <w:rPr>
          <w:lang w:val="en-GB"/>
        </w:rPr>
        <w:t>, literary works may give insights into past constructions of reality and collective memory and identity, but the potential of literature is not limited to the affirmation of existing self-perceptions and collective ideas and values, but also includes the direct opposite, namely their critical reflection or even the accentuation and dissemination of subversive counter-memories that enable the development of alternative models of identity (Neumann 2003: 57). Through literature, events</w:t>
      </w:r>
      <w:r w:rsidR="008C752B" w:rsidRPr="00FB4EFA">
        <w:rPr>
          <w:lang w:val="en-GB"/>
        </w:rPr>
        <w:t xml:space="preserve"> forgotten by society</w:t>
      </w:r>
      <w:r w:rsidRPr="00FB4EFA">
        <w:rPr>
          <w:lang w:val="en-GB"/>
        </w:rPr>
        <w:t xml:space="preserve"> can be brought back to mind, the </w:t>
      </w:r>
      <w:r w:rsidR="002C0F51" w:rsidRPr="00FB4EFA">
        <w:rPr>
          <w:lang w:val="en-GB"/>
        </w:rPr>
        <w:t xml:space="preserve">cosmos of fictional </w:t>
      </w:r>
      <w:r w:rsidRPr="00FB4EFA">
        <w:rPr>
          <w:lang w:val="en-GB"/>
        </w:rPr>
        <w:t>memor</w:t>
      </w:r>
      <w:r w:rsidR="002C0F51" w:rsidRPr="00FB4EFA">
        <w:rPr>
          <w:lang w:val="en-GB"/>
        </w:rPr>
        <w:t xml:space="preserve">ies </w:t>
      </w:r>
      <w:r w:rsidRPr="00FB4EFA">
        <w:rPr>
          <w:lang w:val="en-GB"/>
        </w:rPr>
        <w:t xml:space="preserve">can be fanned out to numerous different co-existing interpretations of the past. Texts narrated from or focussing on multiple perspectives show different perspectives of memory and reveal similarities or differences between the interpretations of the shared past. The level of divergence shows how homogeneous or heterogeneous a </w:t>
      </w:r>
      <w:r w:rsidRPr="00FB4EFA">
        <w:rPr>
          <w:rFonts w:eastAsia="Arial Unicode MS" w:cs="Arial Unicode MS"/>
          <w:kern w:val="2"/>
          <w:lang w:val="en-GB" w:eastAsia="zh-CN" w:bidi="hi-IN"/>
        </w:rPr>
        <w:t>given</w:t>
      </w:r>
      <w:r w:rsidRPr="00FB4EFA">
        <w:rPr>
          <w:lang w:val="en-GB"/>
        </w:rPr>
        <w:t xml:space="preserve"> community sharing a common past is (Neumann 2003: 70). Literature can, for example, be exploited for the constitution of one dominating perspective on the past and </w:t>
      </w:r>
      <w:r w:rsidRPr="00FB4EFA">
        <w:rPr>
          <w:rFonts w:eastAsia="Arial Unicode MS" w:cs="Arial Unicode MS"/>
          <w:kern w:val="2"/>
          <w:lang w:val="en-GB" w:eastAsia="zh-CN" w:bidi="hi-IN"/>
        </w:rPr>
        <w:t>thus</w:t>
      </w:r>
      <w:r w:rsidRPr="00FB4EFA">
        <w:rPr>
          <w:lang w:val="en-GB"/>
        </w:rPr>
        <w:t xml:space="preserve"> </w:t>
      </w:r>
      <w:r w:rsidR="002C0F51" w:rsidRPr="00FB4EFA">
        <w:rPr>
          <w:lang w:val="en-GB"/>
        </w:rPr>
        <w:t xml:space="preserve">for the </w:t>
      </w:r>
      <w:r w:rsidRPr="00FB4EFA">
        <w:rPr>
          <w:lang w:val="en-GB"/>
        </w:rPr>
        <w:t xml:space="preserve">support </w:t>
      </w:r>
      <w:r w:rsidR="002C0F51" w:rsidRPr="00FB4EFA">
        <w:rPr>
          <w:lang w:val="en-GB"/>
        </w:rPr>
        <w:t xml:space="preserve">of </w:t>
      </w:r>
      <w:r w:rsidRPr="00FB4EFA">
        <w:rPr>
          <w:lang w:val="en-GB"/>
        </w:rPr>
        <w:t>the self-understanding and social or political dominance of a group deriv</w:t>
      </w:r>
      <w:r w:rsidRPr="00FB4EFA">
        <w:rPr>
          <w:rFonts w:eastAsia="Arial Unicode MS" w:cs="Arial Unicode MS"/>
          <w:kern w:val="2"/>
          <w:lang w:val="en-GB" w:eastAsia="zh-CN" w:bidi="hi-IN"/>
        </w:rPr>
        <w:t>ed</w:t>
      </w:r>
      <w:r w:rsidRPr="00FB4EFA">
        <w:rPr>
          <w:lang w:val="en-GB"/>
        </w:rPr>
        <w:t xml:space="preserve"> from that particular perspective.</w:t>
      </w:r>
    </w:p>
    <w:p w14:paraId="43DEDBF0" w14:textId="0A1A19C0" w:rsidR="00B14B64" w:rsidRPr="00FB4EFA" w:rsidRDefault="00B14B64" w:rsidP="00857D2A">
      <w:pPr>
        <w:ind w:firstLine="709"/>
        <w:rPr>
          <w:lang w:val="en-GB"/>
        </w:rPr>
      </w:pPr>
      <w:r w:rsidRPr="00FB4EFA">
        <w:rPr>
          <w:lang w:val="en-GB"/>
        </w:rPr>
        <w:lastRenderedPageBreak/>
        <w:t>In this context, fictionality is a crucial asset of literature</w:t>
      </w:r>
      <w:r w:rsidR="002C0F51" w:rsidRPr="00FB4EFA">
        <w:rPr>
          <w:lang w:val="en-GB"/>
        </w:rPr>
        <w:t>, which</w:t>
      </w:r>
      <w:r w:rsidRPr="00FB4EFA">
        <w:rPr>
          <w:lang w:val="en-GB"/>
        </w:rPr>
        <w:t xml:space="preserve"> becomes an experimenting ground for cultural experiences</w:t>
      </w:r>
      <w:r w:rsidR="002C0F51" w:rsidRPr="00FB4EFA">
        <w:rPr>
          <w:lang w:val="en-GB"/>
        </w:rPr>
        <w:t>.</w:t>
      </w:r>
      <w:r w:rsidRPr="00FB4EFA">
        <w:rPr>
          <w:lang w:val="en-GB"/>
        </w:rPr>
        <w:t xml:space="preserve"> </w:t>
      </w:r>
      <w:r w:rsidR="002C0F51" w:rsidRPr="00FB4EFA">
        <w:rPr>
          <w:lang w:val="en-GB"/>
        </w:rPr>
        <w:t>E</w:t>
      </w:r>
      <w:r w:rsidRPr="00FB4EFA">
        <w:rPr>
          <w:lang w:val="en-GB"/>
        </w:rPr>
        <w:t xml:space="preserve">xisting versions of memory can be expanded by forgotten or fictional elements and thus produce new or alternative versions of memory, which then again restructure the experienced reality through imagination. Socially established elements of the collective memory and identity can be questioned and new perspectives on the collective past can be brought up, which can ultimately influence the extra-literary reality (Neumann 2003: 71). This specific potential of literature becomes even more important in the context of collective memory and identity formation. According to Gilles Deleuze and Félix Guattari, minority literature is by default created from a specific position or point of view resp. point of discourse (Kreuzmair 2010). Consequently the individual space becomes public within the tightness of the minority. This </w:t>
      </w:r>
      <w:r w:rsidR="002C0F51" w:rsidRPr="00FB4EFA">
        <w:rPr>
          <w:lang w:val="en-GB"/>
        </w:rPr>
        <w:t>entails</w:t>
      </w:r>
      <w:r w:rsidRPr="00FB4EFA">
        <w:rPr>
          <w:lang w:val="en-GB"/>
        </w:rPr>
        <w:t xml:space="preserve"> the tendency of all literary expression to bear collective meaning (Deleuze &amp; Guattari 1976), which leads to the strong political character of minority literature.</w:t>
      </w:r>
    </w:p>
    <w:p w14:paraId="57A85DDA" w14:textId="74EE410E" w:rsidR="00B14B64" w:rsidRPr="00FB4EFA" w:rsidRDefault="00B14B64" w:rsidP="00857D2A">
      <w:pPr>
        <w:ind w:firstLine="709"/>
        <w:rPr>
          <w:lang w:val="en-GB"/>
        </w:rPr>
      </w:pPr>
      <w:r w:rsidRPr="00FB4EFA">
        <w:rPr>
          <w:lang w:val="en-GB"/>
        </w:rPr>
        <w:t>Therefore, analysing the approach to the past in Hungarian-German literature shows how differently the writers of the minority deal with historic events that severely impacted their lives and the development of the minority itself, and provides an insightful perspective on identity construction within the minority today.</w:t>
      </w:r>
    </w:p>
    <w:p w14:paraId="712561F6" w14:textId="77777777" w:rsidR="00B14B64" w:rsidRPr="00FB4EFA" w:rsidRDefault="00B14B64" w:rsidP="00857D2A">
      <w:pPr>
        <w:pStyle w:val="Heading2"/>
        <w:spacing w:line="259" w:lineRule="auto"/>
        <w:rPr>
          <w:color w:val="auto"/>
        </w:rPr>
      </w:pPr>
      <w:r w:rsidRPr="00FB4EFA">
        <w:rPr>
          <w:color w:val="auto"/>
        </w:rPr>
        <w:t>Dealing with the past in the literary work of four generations</w:t>
      </w:r>
    </w:p>
    <w:p w14:paraId="422C1E8A" w14:textId="3DAC6D7A" w:rsidR="00B14B64" w:rsidRPr="00FB4EFA" w:rsidRDefault="00B14B64" w:rsidP="00857D2A">
      <w:pPr>
        <w:pStyle w:val="Heading3"/>
        <w:spacing w:line="259" w:lineRule="auto"/>
      </w:pPr>
      <w:r w:rsidRPr="00FB4EFA">
        <w:t xml:space="preserve">The first </w:t>
      </w:r>
      <w:r w:rsidR="002C0F51" w:rsidRPr="00FB4EFA">
        <w:t>g</w:t>
      </w:r>
      <w:r w:rsidRPr="00FB4EFA">
        <w:t>eneration</w:t>
      </w:r>
    </w:p>
    <w:p w14:paraId="319C7DDC" w14:textId="22A70CC1" w:rsidR="00B14B64" w:rsidRPr="00FB4EFA" w:rsidRDefault="00B14B64" w:rsidP="00857D2A">
      <w:pPr>
        <w:rPr>
          <w:lang w:val="en-GB"/>
        </w:rPr>
      </w:pPr>
      <w:r w:rsidRPr="00FB4EFA">
        <w:rPr>
          <w:lang w:val="en-GB"/>
        </w:rPr>
        <w:t xml:space="preserve">Traditionally, Hungarian-German writers are divided into three generations in scholarly literature, </w:t>
      </w:r>
      <w:r w:rsidR="002C0F51" w:rsidRPr="00FB4EFA">
        <w:rPr>
          <w:lang w:val="en-GB"/>
        </w:rPr>
        <w:t>al</w:t>
      </w:r>
      <w:r w:rsidRPr="00FB4EFA">
        <w:rPr>
          <w:lang w:val="en-GB"/>
        </w:rPr>
        <w:t xml:space="preserve">though the model has </w:t>
      </w:r>
      <w:r w:rsidR="002C0F51" w:rsidRPr="00FB4EFA">
        <w:rPr>
          <w:lang w:val="en-GB"/>
        </w:rPr>
        <w:t xml:space="preserve">today </w:t>
      </w:r>
      <w:r w:rsidRPr="00FB4EFA">
        <w:rPr>
          <w:lang w:val="en-GB"/>
        </w:rPr>
        <w:t>been extended to a fourth generation. The first</w:t>
      </w:r>
      <w:r w:rsidR="002C0F51" w:rsidRPr="00FB4EFA">
        <w:rPr>
          <w:lang w:val="en-GB"/>
        </w:rPr>
        <w:t xml:space="preserve"> </w:t>
      </w:r>
      <w:r w:rsidRPr="00FB4EFA">
        <w:rPr>
          <w:lang w:val="en-GB"/>
        </w:rPr>
        <w:t>generation compris</w:t>
      </w:r>
      <w:r w:rsidR="002C0F51" w:rsidRPr="00FB4EFA">
        <w:rPr>
          <w:lang w:val="en-GB"/>
        </w:rPr>
        <w:t>es</w:t>
      </w:r>
      <w:r w:rsidRPr="00FB4EFA">
        <w:rPr>
          <w:lang w:val="en-GB"/>
        </w:rPr>
        <w:t xml:space="preserve"> writers such as </w:t>
      </w:r>
      <w:r w:rsidRPr="00FB4EFA">
        <w:rPr>
          <w:rFonts w:eastAsia="Times New Roman"/>
          <w:lang w:val="en-GB" w:eastAsia="de-DE"/>
        </w:rPr>
        <w:t>Georg Fath (1910</w:t>
      </w:r>
      <w:r w:rsidR="00F8746B" w:rsidRPr="00FB4EFA">
        <w:rPr>
          <w:rFonts w:eastAsia="Times New Roman"/>
          <w:lang w:val="en-GB" w:eastAsia="de-DE"/>
        </w:rPr>
        <w:t>–1999</w:t>
      </w:r>
      <w:r w:rsidRPr="00FB4EFA">
        <w:rPr>
          <w:rFonts w:eastAsia="Times New Roman"/>
          <w:lang w:val="en-GB" w:eastAsia="de-DE"/>
        </w:rPr>
        <w:t>) or Franz Zeltner (1911</w:t>
      </w:r>
      <w:r w:rsidR="00F8746B" w:rsidRPr="00FB4EFA">
        <w:rPr>
          <w:rFonts w:eastAsia="Times New Roman"/>
          <w:lang w:val="en-GB" w:eastAsia="de-DE"/>
        </w:rPr>
        <w:t>–1992</w:t>
      </w:r>
      <w:r w:rsidRPr="00FB4EFA">
        <w:rPr>
          <w:rFonts w:eastAsia="Times New Roman"/>
          <w:lang w:val="en-GB" w:eastAsia="de-DE"/>
        </w:rPr>
        <w:t>),</w:t>
      </w:r>
      <w:r w:rsidRPr="00FB4EFA">
        <w:rPr>
          <w:lang w:val="en-GB"/>
        </w:rPr>
        <w:t xml:space="preserve"> the founding fathers of what is considered contemporary Hungarian-German literature.</w:t>
      </w:r>
      <w:r w:rsidRPr="00FB4EFA">
        <w:rPr>
          <w:rFonts w:eastAsia="Times New Roman"/>
          <w:lang w:val="en-GB" w:eastAsia="de-DE"/>
        </w:rPr>
        <w:t xml:space="preserve"> </w:t>
      </w:r>
      <w:r w:rsidRPr="00FB4EFA">
        <w:rPr>
          <w:lang w:val="en-GB"/>
        </w:rPr>
        <w:t>Typical works of their era were writings for peasants, appearing in the forms of vernacular poetry, calendar stories and/or short stories. The authors of this generation engaged in writing for their own pleasure</w:t>
      </w:r>
      <w:r w:rsidR="00F8746B" w:rsidRPr="00FB4EFA">
        <w:rPr>
          <w:lang w:val="en-GB"/>
        </w:rPr>
        <w:t>,</w:t>
      </w:r>
      <w:r w:rsidRPr="00FB4EFA">
        <w:rPr>
          <w:lang w:val="en-GB"/>
        </w:rPr>
        <w:t xml:space="preserve"> </w:t>
      </w:r>
      <w:r w:rsidR="00F8746B" w:rsidRPr="00FB4EFA">
        <w:rPr>
          <w:lang w:val="en-GB"/>
        </w:rPr>
        <w:t xml:space="preserve">but </w:t>
      </w:r>
      <w:r w:rsidRPr="00FB4EFA">
        <w:rPr>
          <w:lang w:val="en-GB"/>
        </w:rPr>
        <w:t xml:space="preserve">the main </w:t>
      </w:r>
      <w:r w:rsidR="00F8746B" w:rsidRPr="00FB4EFA">
        <w:rPr>
          <w:lang w:val="en-GB"/>
        </w:rPr>
        <w:t>motive</w:t>
      </w:r>
      <w:r w:rsidRPr="00FB4EFA">
        <w:rPr>
          <w:lang w:val="en-GB"/>
        </w:rPr>
        <w:t xml:space="preserve"> of their writing was </w:t>
      </w:r>
      <w:r w:rsidR="00F8746B" w:rsidRPr="00FB4EFA">
        <w:rPr>
          <w:lang w:val="en-GB"/>
        </w:rPr>
        <w:t xml:space="preserve">a cultural commitment </w:t>
      </w:r>
      <w:r w:rsidRPr="00FB4EFA">
        <w:rPr>
          <w:lang w:val="en-GB"/>
        </w:rPr>
        <w:t xml:space="preserve">to educate the community. They wanted to produce “practical literature” and keep </w:t>
      </w:r>
      <w:r w:rsidRPr="00FB4EFA">
        <w:rPr>
          <w:lang w:val="en-GB"/>
        </w:rPr>
        <w:lastRenderedPageBreak/>
        <w:t>the dialects of their respective home communit</w:t>
      </w:r>
      <w:r w:rsidR="00F8746B" w:rsidRPr="00FB4EFA">
        <w:rPr>
          <w:lang w:val="en-GB"/>
        </w:rPr>
        <w:t>ies</w:t>
      </w:r>
      <w:r w:rsidRPr="00FB4EFA">
        <w:rPr>
          <w:lang w:val="en-GB"/>
        </w:rPr>
        <w:t xml:space="preserve"> alive in order to serve the collective memory of the minority. Poetically, their works were modelled on the traditional forms of 19</w:t>
      </w:r>
      <w:r w:rsidRPr="00FB4EFA">
        <w:rPr>
          <w:vertAlign w:val="superscript"/>
          <w:lang w:val="en-GB"/>
        </w:rPr>
        <w:t>th</w:t>
      </w:r>
      <w:r w:rsidRPr="00FB4EFA">
        <w:rPr>
          <w:lang w:val="en-GB"/>
        </w:rPr>
        <w:t xml:space="preserve"> century emotional poetry, occasional verse, and folk songs. They had no intention of producing high-quality literature, partly because they considered themselves amateur writers who were only autodidacts in literature incapable of achieving literary virtuosity, and partly because they believed that their audience would not be able to understand them if they would try to meet higher standards in their writing (Propszt 1998). Their poems mostly evolve around the topics of home –</w:t>
      </w:r>
      <w:r w:rsidR="00F8746B" w:rsidRPr="00FB4EFA">
        <w:rPr>
          <w:lang w:val="en-GB"/>
        </w:rPr>
        <w:t xml:space="preserve"> </w:t>
      </w:r>
      <w:r w:rsidRPr="00FB4EFA">
        <w:rPr>
          <w:lang w:val="en-GB"/>
        </w:rPr>
        <w:t xml:space="preserve">either the land of the ancestors or their own Hungarian-German village milieu – and heritage as well as longing for the past using motives such as wild animals, nature, trees, branches and roots, etc., which became typical for Hungarian-German literature as will be shown </w:t>
      </w:r>
      <w:r w:rsidR="0028232C" w:rsidRPr="00FB4EFA">
        <w:rPr>
          <w:lang w:val="en-GB"/>
        </w:rPr>
        <w:t>below</w:t>
      </w:r>
      <w:r w:rsidRPr="00FB4EFA">
        <w:rPr>
          <w:lang w:val="en-GB"/>
        </w:rPr>
        <w:t xml:space="preserve">. The </w:t>
      </w:r>
      <w:r w:rsidR="0028232C" w:rsidRPr="00FB4EFA">
        <w:rPr>
          <w:lang w:val="en-GB"/>
        </w:rPr>
        <w:t>tone</w:t>
      </w:r>
      <w:r w:rsidRPr="00FB4EFA">
        <w:rPr>
          <w:lang w:val="en-GB"/>
        </w:rPr>
        <w:t xml:space="preserve"> of their writings about the past is rather melancholic when they reflect on the time before the war or the war itself. However, past traumas are often mentioned but instead of re-evaluating these issues</w:t>
      </w:r>
      <w:r w:rsidR="0028232C" w:rsidRPr="00FB4EFA">
        <w:rPr>
          <w:lang w:val="en-GB"/>
        </w:rPr>
        <w:t>,</w:t>
      </w:r>
      <w:r w:rsidRPr="00FB4EFA">
        <w:rPr>
          <w:lang w:val="en-GB"/>
        </w:rPr>
        <w:t xml:space="preserve"> the</w:t>
      </w:r>
      <w:r w:rsidR="0028232C" w:rsidRPr="00FB4EFA">
        <w:rPr>
          <w:lang w:val="en-GB"/>
        </w:rPr>
        <w:t xml:space="preserve"> authors</w:t>
      </w:r>
      <w:r w:rsidRPr="00FB4EFA">
        <w:rPr>
          <w:lang w:val="en-GB"/>
        </w:rPr>
        <w:t xml:space="preserve"> mostly just touch upon them. Some of their poems written in dialect present a humorous approach to the past by evoking enjoyable situations of everyday life, presenting literary snapshots of the amusements of small village communities. Franz Zeltner’s poem </w:t>
      </w:r>
      <w:r w:rsidR="0028232C" w:rsidRPr="00FB4EFA">
        <w:rPr>
          <w:lang w:val="en-GB"/>
        </w:rPr>
        <w:br/>
      </w:r>
      <w:r w:rsidRPr="00FB4EFA">
        <w:rPr>
          <w:i/>
          <w:iCs/>
          <w:lang w:val="en-GB"/>
        </w:rPr>
        <w:t>Brennberg</w:t>
      </w:r>
      <w:r w:rsidR="0028232C" w:rsidRPr="00FB4EFA">
        <w:rPr>
          <w:lang w:val="en-GB"/>
        </w:rPr>
        <w:t xml:space="preserve"> (written in 1952)</w:t>
      </w:r>
      <w:r w:rsidRPr="00FB4EFA">
        <w:rPr>
          <w:lang w:val="en-GB"/>
        </w:rPr>
        <w:t>, which deals with the closing of the mine in Brennberg in Western Hungary, shows a combination of both elements typical of this generation’s writings:</w:t>
      </w:r>
    </w:p>
    <w:p w14:paraId="5B951FB6" w14:textId="7058AB8A" w:rsidR="00B14B64" w:rsidRPr="00FB4EFA" w:rsidRDefault="00B14B64" w:rsidP="002A3BC9">
      <w:pPr>
        <w:keepLines/>
        <w:suppressAutoHyphens/>
        <w:spacing w:before="240" w:line="240" w:lineRule="auto"/>
        <w:ind w:left="426"/>
        <w:rPr>
          <w:sz w:val="20"/>
          <w:szCs w:val="20"/>
        </w:rPr>
      </w:pPr>
      <w:r w:rsidRPr="00FB4EFA">
        <w:rPr>
          <w:sz w:val="20"/>
          <w:szCs w:val="20"/>
        </w:rPr>
        <w:t xml:space="preserve">Was sich hier alles zugetragen, an Freude und an grossem Leid, / </w:t>
      </w:r>
      <w:r w:rsidR="002A3BC9" w:rsidRPr="00FB4EFA">
        <w:rPr>
          <w:sz w:val="20"/>
          <w:szCs w:val="20"/>
        </w:rPr>
        <w:br/>
      </w:r>
      <w:r w:rsidRPr="00FB4EFA">
        <w:rPr>
          <w:sz w:val="20"/>
          <w:szCs w:val="20"/>
        </w:rPr>
        <w:t xml:space="preserve">in guten und in schlechten Tagen, als Armut grösser war als heut. / </w:t>
      </w:r>
      <w:r w:rsidR="002A3BC9" w:rsidRPr="00FB4EFA">
        <w:rPr>
          <w:sz w:val="20"/>
          <w:szCs w:val="20"/>
        </w:rPr>
        <w:br/>
      </w:r>
      <w:r w:rsidRPr="00FB4EFA">
        <w:rPr>
          <w:sz w:val="20"/>
          <w:szCs w:val="20"/>
        </w:rPr>
        <w:t xml:space="preserve">Doch gab es auch recht schöne Feste, wo man den Kummer leicht vergaß, / </w:t>
      </w:r>
      <w:r w:rsidR="002A3BC9" w:rsidRPr="00FB4EFA">
        <w:rPr>
          <w:sz w:val="20"/>
          <w:szCs w:val="20"/>
        </w:rPr>
        <w:br/>
      </w:r>
      <w:r w:rsidRPr="00FB4EFA">
        <w:rPr>
          <w:sz w:val="20"/>
          <w:szCs w:val="20"/>
        </w:rPr>
        <w:t>zum Kirtag kamen viele Gäste, und alles froh beisammen saß.</w:t>
      </w:r>
    </w:p>
    <w:p w14:paraId="02EE6B34" w14:textId="75B77DAD" w:rsidR="00B14B64" w:rsidRPr="00FB4EFA" w:rsidRDefault="00B14B64" w:rsidP="002A3BC9">
      <w:pPr>
        <w:suppressAutoHyphens/>
        <w:spacing w:before="120" w:after="240" w:line="240" w:lineRule="auto"/>
        <w:ind w:left="426"/>
        <w:rPr>
          <w:sz w:val="20"/>
          <w:szCs w:val="20"/>
        </w:rPr>
      </w:pPr>
      <w:r w:rsidRPr="00FB4EFA">
        <w:rPr>
          <w:sz w:val="20"/>
          <w:szCs w:val="20"/>
        </w:rPr>
        <w:t xml:space="preserve">Da floßen Wein und Bier in Strömen, zu essen gab es auch recht viel, / </w:t>
      </w:r>
      <w:r w:rsidR="002A3BC9" w:rsidRPr="00FB4EFA">
        <w:rPr>
          <w:sz w:val="20"/>
          <w:szCs w:val="20"/>
        </w:rPr>
        <w:br/>
      </w:r>
      <w:r w:rsidRPr="00FB4EFA">
        <w:rPr>
          <w:sz w:val="20"/>
          <w:szCs w:val="20"/>
        </w:rPr>
        <w:t xml:space="preserve">di Musi jauchzt in kecken Tönen, für Kinder gabs das Ringelspiel. / </w:t>
      </w:r>
      <w:r w:rsidR="002A3BC9" w:rsidRPr="00FB4EFA">
        <w:rPr>
          <w:sz w:val="20"/>
          <w:szCs w:val="20"/>
        </w:rPr>
        <w:br/>
      </w:r>
      <w:r w:rsidRPr="00FB4EFA">
        <w:rPr>
          <w:sz w:val="20"/>
          <w:szCs w:val="20"/>
        </w:rPr>
        <w:t xml:space="preserve">Dann kamen Zeiten voller Klagen, mit Lachen wars vorbei und aus, / </w:t>
      </w:r>
      <w:r w:rsidR="002A3BC9" w:rsidRPr="00FB4EFA">
        <w:rPr>
          <w:sz w:val="20"/>
          <w:szCs w:val="20"/>
        </w:rPr>
        <w:br/>
      </w:r>
      <w:r w:rsidRPr="00FB4EFA">
        <w:rPr>
          <w:sz w:val="20"/>
          <w:szCs w:val="20"/>
        </w:rPr>
        <w:t>ein Unglück hatte zugeschlagen, und Trauer herrscht in jedem Haus.</w:t>
      </w:r>
    </w:p>
    <w:p w14:paraId="0F935474" w14:textId="5EDE41DA" w:rsidR="00B14B64" w:rsidRPr="00FB4EFA" w:rsidRDefault="00B14B64" w:rsidP="00857D2A">
      <w:pPr>
        <w:rPr>
          <w:lang w:val="en-GB"/>
        </w:rPr>
      </w:pPr>
      <w:r w:rsidRPr="00FB4EFA">
        <w:rPr>
          <w:lang w:val="en-GB"/>
        </w:rPr>
        <w:t xml:space="preserve">It is striking how Zeltner refers to several traumatic events in the past without naming them explicitly – the reader can only guess what he </w:t>
      </w:r>
      <w:r w:rsidR="0028232C" w:rsidRPr="00FB4EFA">
        <w:rPr>
          <w:lang w:val="en-GB"/>
        </w:rPr>
        <w:t>alludes to</w:t>
      </w:r>
      <w:r w:rsidRPr="00FB4EFA">
        <w:rPr>
          <w:lang w:val="en-GB"/>
        </w:rPr>
        <w:t xml:space="preserve"> when talking about great pain, disaster, or grievance. However, the primary intention of writers like Zeltner was to write for an audience </w:t>
      </w:r>
      <w:r w:rsidRPr="00FB4EFA">
        <w:rPr>
          <w:lang w:val="en-GB"/>
        </w:rPr>
        <w:lastRenderedPageBreak/>
        <w:t>he kn</w:t>
      </w:r>
      <w:r w:rsidR="0028232C" w:rsidRPr="00FB4EFA">
        <w:rPr>
          <w:lang w:val="en-GB"/>
        </w:rPr>
        <w:t>e</w:t>
      </w:r>
      <w:r w:rsidRPr="00FB4EFA">
        <w:rPr>
          <w:lang w:val="en-GB"/>
        </w:rPr>
        <w:t>w, an audience that probably live</w:t>
      </w:r>
      <w:r w:rsidR="0028232C" w:rsidRPr="00FB4EFA">
        <w:rPr>
          <w:lang w:val="en-GB"/>
        </w:rPr>
        <w:t>d</w:t>
      </w:r>
      <w:r w:rsidRPr="00FB4EFA">
        <w:rPr>
          <w:lang w:val="en-GB"/>
        </w:rPr>
        <w:t xml:space="preserve"> in the same region, sp</w:t>
      </w:r>
      <w:r w:rsidR="0028232C" w:rsidRPr="00FB4EFA">
        <w:rPr>
          <w:lang w:val="en-GB"/>
        </w:rPr>
        <w:t>o</w:t>
      </w:r>
      <w:r w:rsidRPr="00FB4EFA">
        <w:rPr>
          <w:lang w:val="en-GB"/>
        </w:rPr>
        <w:t>k</w:t>
      </w:r>
      <w:r w:rsidR="0028232C" w:rsidRPr="00FB4EFA">
        <w:rPr>
          <w:lang w:val="en-GB"/>
        </w:rPr>
        <w:t>e</w:t>
      </w:r>
      <w:r w:rsidRPr="00FB4EFA">
        <w:rPr>
          <w:lang w:val="en-GB"/>
        </w:rPr>
        <w:t xml:space="preserve"> the same dialect, and hence kn</w:t>
      </w:r>
      <w:r w:rsidR="0028232C" w:rsidRPr="00FB4EFA">
        <w:rPr>
          <w:lang w:val="en-GB"/>
        </w:rPr>
        <w:t>e</w:t>
      </w:r>
      <w:r w:rsidRPr="00FB4EFA">
        <w:rPr>
          <w:lang w:val="en-GB"/>
        </w:rPr>
        <w:t xml:space="preserve">w what past events he </w:t>
      </w:r>
      <w:r w:rsidR="0028232C" w:rsidRPr="00FB4EFA">
        <w:rPr>
          <w:lang w:val="en-GB"/>
        </w:rPr>
        <w:t>wa</w:t>
      </w:r>
      <w:r w:rsidRPr="00FB4EFA">
        <w:rPr>
          <w:lang w:val="en-GB"/>
        </w:rPr>
        <w:t>s referring to. Quite similarly, Georg Fath refers to the traumatic period after World War</w:t>
      </w:r>
      <w:r w:rsidR="008056D3" w:rsidRPr="00FB4EFA">
        <w:rPr>
          <w:lang w:val="en-GB"/>
        </w:rPr>
        <w:t xml:space="preserve"> II</w:t>
      </w:r>
      <w:r w:rsidRPr="00FB4EFA">
        <w:rPr>
          <w:lang w:val="en-GB"/>
        </w:rPr>
        <w:t xml:space="preserve"> in his poem </w:t>
      </w:r>
      <w:r w:rsidRPr="00FB4EFA">
        <w:rPr>
          <w:i/>
          <w:iCs/>
          <w:lang w:val="en-GB"/>
        </w:rPr>
        <w:t>Abschied</w:t>
      </w:r>
      <w:r w:rsidRPr="00FB4EFA">
        <w:rPr>
          <w:lang w:val="en-GB"/>
        </w:rPr>
        <w:t xml:space="preserve"> which was written in 1947 and </w:t>
      </w:r>
      <w:r w:rsidR="0028232C" w:rsidRPr="00FB4EFA">
        <w:rPr>
          <w:lang w:val="en-GB"/>
        </w:rPr>
        <w:t>had</w:t>
      </w:r>
      <w:r w:rsidRPr="00FB4EFA">
        <w:rPr>
          <w:lang w:val="en-GB"/>
        </w:rPr>
        <w:t xml:space="preserve"> “In der Fremde” </w:t>
      </w:r>
      <w:r w:rsidR="0028232C" w:rsidRPr="00FB4EFA">
        <w:rPr>
          <w:lang w:val="en-GB"/>
        </w:rPr>
        <w:t xml:space="preserve">marked </w:t>
      </w:r>
      <w:r w:rsidRPr="00FB4EFA">
        <w:rPr>
          <w:lang w:val="en-GB"/>
        </w:rPr>
        <w:t xml:space="preserve">as the place of writing. Without explicitly stating the reason for his departure, the lyrical self makes it clear that it is a painful and involuntary farewell, which can either be read as a swan song </w:t>
      </w:r>
      <w:r w:rsidR="0028232C" w:rsidRPr="00FB4EFA">
        <w:rPr>
          <w:lang w:val="en-GB"/>
        </w:rPr>
        <w:t xml:space="preserve">dedicated </w:t>
      </w:r>
      <w:r w:rsidRPr="00FB4EFA">
        <w:rPr>
          <w:lang w:val="en-GB"/>
        </w:rPr>
        <w:t>to the old traditional Hungarian-German village way of life in the light of industriali</w:t>
      </w:r>
      <w:r w:rsidR="001C0E73" w:rsidRPr="00FB4EFA">
        <w:rPr>
          <w:lang w:val="en-GB" w:eastAsia="zh-CN"/>
        </w:rPr>
        <w:t>z</w:t>
      </w:r>
      <w:r w:rsidRPr="00FB4EFA">
        <w:rPr>
          <w:lang w:val="en-GB"/>
        </w:rPr>
        <w:t>ation and urbani</w:t>
      </w:r>
      <w:r w:rsidR="001C0E73" w:rsidRPr="00FB4EFA">
        <w:rPr>
          <w:lang w:val="en-GB" w:eastAsia="zh-CN"/>
        </w:rPr>
        <w:t>z</w:t>
      </w:r>
      <w:r w:rsidRPr="00FB4EFA">
        <w:rPr>
          <w:lang w:val="en-GB"/>
        </w:rPr>
        <w:t>ation, or as an allusion to resettlements and expulsions of Hungarian</w:t>
      </w:r>
      <w:r w:rsidR="0028232C" w:rsidRPr="00FB4EFA">
        <w:rPr>
          <w:lang w:val="en-GB"/>
        </w:rPr>
        <w:t>-</w:t>
      </w:r>
      <w:r w:rsidRPr="00FB4EFA">
        <w:rPr>
          <w:lang w:val="en-GB"/>
        </w:rPr>
        <w:t>Germans that took place after 1945 while the rest of Hungary was relieved by the end of the war:</w:t>
      </w:r>
    </w:p>
    <w:p w14:paraId="221BA037" w14:textId="31B75EE3" w:rsidR="00B14B64" w:rsidRPr="00FB4EFA" w:rsidRDefault="00B14B64" w:rsidP="002A3BC9">
      <w:pPr>
        <w:spacing w:before="240" w:line="240" w:lineRule="auto"/>
        <w:ind w:left="426"/>
        <w:rPr>
          <w:sz w:val="20"/>
          <w:szCs w:val="20"/>
        </w:rPr>
      </w:pPr>
      <w:r w:rsidRPr="00FB4EFA">
        <w:rPr>
          <w:sz w:val="20"/>
          <w:szCs w:val="20"/>
        </w:rPr>
        <w:t xml:space="preserve">Die Welt so grün, der Himmel blau, / der Frühling war erwacht. / </w:t>
      </w:r>
      <w:r w:rsidR="002A3BC9" w:rsidRPr="00FB4EFA">
        <w:rPr>
          <w:sz w:val="20"/>
          <w:szCs w:val="20"/>
        </w:rPr>
        <w:br/>
      </w:r>
      <w:r w:rsidRPr="00FB4EFA">
        <w:rPr>
          <w:sz w:val="20"/>
          <w:szCs w:val="20"/>
        </w:rPr>
        <w:t>Die Wiese lag im Morgentau / noch von der letzten Nacht. […]</w:t>
      </w:r>
      <w:r w:rsidRPr="00FB4EFA">
        <w:rPr>
          <w:sz w:val="20"/>
          <w:szCs w:val="20"/>
        </w:rPr>
        <w:br/>
        <w:t xml:space="preserve">Ich nur fand alles öd und leer, / obgleich es duft‘ und blüht. / </w:t>
      </w:r>
      <w:r w:rsidR="002A3BC9" w:rsidRPr="00FB4EFA">
        <w:rPr>
          <w:sz w:val="20"/>
          <w:szCs w:val="20"/>
        </w:rPr>
        <w:br/>
      </w:r>
      <w:r w:rsidRPr="00FB4EFA">
        <w:rPr>
          <w:sz w:val="20"/>
          <w:szCs w:val="20"/>
        </w:rPr>
        <w:t>Der Frühling selbst erfreut nicht mehr / mein tief betrübt‘s Gemüt.</w:t>
      </w:r>
    </w:p>
    <w:p w14:paraId="18DE1FB2" w14:textId="77777777" w:rsidR="00B14B64" w:rsidRPr="00FB4EFA" w:rsidRDefault="00B14B64" w:rsidP="002A3BC9">
      <w:pPr>
        <w:spacing w:before="120" w:line="240" w:lineRule="auto"/>
        <w:ind w:left="426"/>
        <w:rPr>
          <w:sz w:val="20"/>
          <w:szCs w:val="20"/>
        </w:rPr>
      </w:pPr>
      <w:r w:rsidRPr="00FB4EFA">
        <w:rPr>
          <w:sz w:val="20"/>
          <w:szCs w:val="20"/>
        </w:rPr>
        <w:t>Vom Turm hör ich den Glockenschall / auch nur so dumpf und schwer. / Mir war‘s, als hört ich aus dem Tal / auch sie vielleicht nicht mehr.</w:t>
      </w:r>
    </w:p>
    <w:p w14:paraId="1C72AE9B" w14:textId="7C5FF2BF" w:rsidR="00B14B64" w:rsidRPr="00FB4EFA" w:rsidRDefault="00B14B64" w:rsidP="002A3BC9">
      <w:pPr>
        <w:spacing w:before="120" w:after="240" w:line="240" w:lineRule="auto"/>
        <w:ind w:left="426"/>
        <w:rPr>
          <w:sz w:val="20"/>
          <w:szCs w:val="20"/>
          <w:lang w:val="en-GB"/>
        </w:rPr>
      </w:pPr>
      <w:r w:rsidRPr="00FB4EFA">
        <w:rPr>
          <w:sz w:val="20"/>
          <w:szCs w:val="20"/>
        </w:rPr>
        <w:t xml:space="preserve">So ging ich aus mein‘ Dorfe fort, / mit tränenfeuchtem Blick. / </w:t>
      </w:r>
      <w:r w:rsidR="002A3BC9" w:rsidRPr="00FB4EFA">
        <w:rPr>
          <w:sz w:val="20"/>
          <w:szCs w:val="20"/>
        </w:rPr>
        <w:br/>
      </w:r>
      <w:r w:rsidRPr="00FB4EFA">
        <w:rPr>
          <w:sz w:val="20"/>
          <w:szCs w:val="20"/>
        </w:rPr>
        <w:t>Ich sucht, doch fand kein Abschiedswort, / blieb‘ nur so gern zurück</w:t>
      </w:r>
      <w:r w:rsidR="00950296" w:rsidRPr="00FB4EFA">
        <w:rPr>
          <w:sz w:val="20"/>
          <w:szCs w:val="20"/>
        </w:rPr>
        <w:t>…</w:t>
      </w:r>
      <w:r w:rsidRPr="00FB4EFA">
        <w:rPr>
          <w:sz w:val="20"/>
          <w:szCs w:val="20"/>
        </w:rPr>
        <w:t xml:space="preserve"> </w:t>
      </w:r>
      <w:r w:rsidR="002A3BC9" w:rsidRPr="00FB4EFA">
        <w:rPr>
          <w:sz w:val="20"/>
          <w:szCs w:val="20"/>
        </w:rPr>
        <w:br/>
      </w:r>
      <w:r w:rsidRPr="00FB4EFA">
        <w:rPr>
          <w:sz w:val="20"/>
          <w:szCs w:val="20"/>
          <w:lang w:val="en-GB"/>
        </w:rPr>
        <w:t>(Bechtel &amp; Szendi 2014)</w:t>
      </w:r>
    </w:p>
    <w:p w14:paraId="76A139F6" w14:textId="1F63EE86" w:rsidR="00B14B64" w:rsidRPr="00FB4EFA" w:rsidRDefault="00B14B64" w:rsidP="00857D2A">
      <w:pPr>
        <w:rPr>
          <w:lang w:val="en-GB"/>
        </w:rPr>
      </w:pPr>
      <w:r w:rsidRPr="00FB4EFA">
        <w:rPr>
          <w:lang w:val="en-GB"/>
        </w:rPr>
        <w:t xml:space="preserve">Years later, there is a turnaround: Fath’s – though not explicitly denouncing – farewell is followed by the request: </w:t>
      </w:r>
      <w:r w:rsidR="0028232C" w:rsidRPr="00FB4EFA">
        <w:rPr>
          <w:lang w:val="en-GB"/>
        </w:rPr>
        <w:t>“</w:t>
      </w:r>
      <w:r w:rsidRPr="00FB4EFA">
        <w:rPr>
          <w:lang w:val="en-GB"/>
        </w:rPr>
        <w:t>Forget!</w:t>
      </w:r>
      <w:r w:rsidR="0028232C" w:rsidRPr="00FB4EFA">
        <w:rPr>
          <w:lang w:val="en-GB"/>
        </w:rPr>
        <w:t>”</w:t>
      </w:r>
      <w:r w:rsidR="007A5994" w:rsidRPr="00FB4EFA">
        <w:rPr>
          <w:lang w:val="en-GB"/>
        </w:rPr>
        <w:t>.</w:t>
      </w:r>
      <w:r w:rsidRPr="00FB4EFA">
        <w:rPr>
          <w:lang w:val="en-GB"/>
        </w:rPr>
        <w:t xml:space="preserve"> Fath’s poem </w:t>
      </w:r>
      <w:r w:rsidRPr="00FB4EFA">
        <w:rPr>
          <w:i/>
          <w:iCs/>
          <w:lang w:val="en-GB"/>
        </w:rPr>
        <w:t>Vergiß‘</w:t>
      </w:r>
      <w:r w:rsidRPr="00FB4EFA">
        <w:rPr>
          <w:lang w:val="en-GB"/>
        </w:rPr>
        <w:t xml:space="preserve"> appeared in the anthology </w:t>
      </w:r>
      <w:r w:rsidRPr="00FB4EFA">
        <w:rPr>
          <w:i/>
          <w:iCs/>
          <w:lang w:val="en-GB"/>
        </w:rPr>
        <w:t>Jahresringe</w:t>
      </w:r>
      <w:r w:rsidRPr="00FB4EFA">
        <w:rPr>
          <w:lang w:val="en-GB"/>
        </w:rPr>
        <w:t xml:space="preserve"> (1</w:t>
      </w:r>
      <w:r w:rsidRPr="00FB4EFA">
        <w:rPr>
          <w:vertAlign w:val="superscript"/>
          <w:lang w:val="en-GB"/>
        </w:rPr>
        <w:t>st</w:t>
      </w:r>
      <w:r w:rsidRPr="00FB4EFA">
        <w:rPr>
          <w:lang w:val="en-GB"/>
        </w:rPr>
        <w:t xml:space="preserve"> ed. 1982, 2</w:t>
      </w:r>
      <w:r w:rsidRPr="00FB4EFA">
        <w:rPr>
          <w:vertAlign w:val="superscript"/>
          <w:lang w:val="en-GB"/>
        </w:rPr>
        <w:t>nd</w:t>
      </w:r>
      <w:r w:rsidRPr="00FB4EFA">
        <w:rPr>
          <w:lang w:val="en-GB"/>
        </w:rPr>
        <w:t xml:space="preserve"> ed. 1985).</w:t>
      </w:r>
    </w:p>
    <w:p w14:paraId="2239816A" w14:textId="77777777" w:rsidR="00B14B64" w:rsidRPr="00FB4EFA" w:rsidRDefault="00B14B64" w:rsidP="002A3BC9">
      <w:pPr>
        <w:spacing w:before="240" w:line="240" w:lineRule="auto"/>
        <w:ind w:left="426"/>
        <w:rPr>
          <w:sz w:val="20"/>
          <w:szCs w:val="20"/>
        </w:rPr>
      </w:pPr>
      <w:r w:rsidRPr="00FB4EFA">
        <w:rPr>
          <w:sz w:val="20"/>
          <w:szCs w:val="20"/>
        </w:rPr>
        <w:t>Wozu</w:t>
      </w:r>
      <w:r w:rsidRPr="00FB4EFA">
        <w:rPr>
          <w:sz w:val="16"/>
          <w:szCs w:val="16"/>
        </w:rPr>
        <w:t xml:space="preserve"> </w:t>
      </w:r>
      <w:r w:rsidRPr="00FB4EFA">
        <w:rPr>
          <w:sz w:val="20"/>
          <w:szCs w:val="20"/>
        </w:rPr>
        <w:t>mein</w:t>
      </w:r>
      <w:r w:rsidRPr="00FB4EFA">
        <w:rPr>
          <w:sz w:val="16"/>
          <w:szCs w:val="16"/>
        </w:rPr>
        <w:t xml:space="preserve"> </w:t>
      </w:r>
      <w:r w:rsidRPr="00FB4EFA">
        <w:rPr>
          <w:sz w:val="20"/>
          <w:szCs w:val="20"/>
        </w:rPr>
        <w:t>Herz</w:t>
      </w:r>
      <w:r w:rsidRPr="00FB4EFA">
        <w:rPr>
          <w:sz w:val="16"/>
          <w:szCs w:val="16"/>
        </w:rPr>
        <w:t xml:space="preserve"> </w:t>
      </w:r>
      <w:r w:rsidRPr="00FB4EFA">
        <w:rPr>
          <w:sz w:val="20"/>
          <w:szCs w:val="20"/>
        </w:rPr>
        <w:t>das</w:t>
      </w:r>
      <w:r w:rsidRPr="00FB4EFA">
        <w:rPr>
          <w:sz w:val="16"/>
          <w:szCs w:val="16"/>
        </w:rPr>
        <w:t xml:space="preserve"> </w:t>
      </w:r>
      <w:r w:rsidRPr="00FB4EFA">
        <w:rPr>
          <w:sz w:val="20"/>
          <w:szCs w:val="20"/>
        </w:rPr>
        <w:t>bange</w:t>
      </w:r>
      <w:r w:rsidRPr="00FB4EFA">
        <w:rPr>
          <w:sz w:val="16"/>
          <w:szCs w:val="16"/>
        </w:rPr>
        <w:t xml:space="preserve"> </w:t>
      </w:r>
      <w:r w:rsidRPr="00FB4EFA">
        <w:rPr>
          <w:sz w:val="20"/>
          <w:szCs w:val="20"/>
        </w:rPr>
        <w:t>Schlagen,</w:t>
      </w:r>
      <w:r w:rsidRPr="00FB4EFA">
        <w:rPr>
          <w:sz w:val="16"/>
          <w:szCs w:val="16"/>
        </w:rPr>
        <w:t xml:space="preserve"> </w:t>
      </w:r>
      <w:r w:rsidRPr="00FB4EFA">
        <w:rPr>
          <w:sz w:val="20"/>
          <w:szCs w:val="20"/>
        </w:rPr>
        <w:t>/</w:t>
      </w:r>
      <w:r w:rsidRPr="00FB4EFA">
        <w:rPr>
          <w:sz w:val="16"/>
          <w:szCs w:val="16"/>
        </w:rPr>
        <w:t xml:space="preserve"> </w:t>
      </w:r>
      <w:r w:rsidRPr="00FB4EFA">
        <w:rPr>
          <w:sz w:val="20"/>
          <w:szCs w:val="20"/>
        </w:rPr>
        <w:t>was</w:t>
      </w:r>
      <w:r w:rsidRPr="00FB4EFA">
        <w:rPr>
          <w:sz w:val="16"/>
          <w:szCs w:val="16"/>
        </w:rPr>
        <w:t xml:space="preserve"> </w:t>
      </w:r>
      <w:r w:rsidRPr="00FB4EFA">
        <w:rPr>
          <w:sz w:val="20"/>
          <w:szCs w:val="20"/>
        </w:rPr>
        <w:t>ist‘s,</w:t>
      </w:r>
      <w:r w:rsidRPr="00FB4EFA">
        <w:rPr>
          <w:sz w:val="16"/>
          <w:szCs w:val="16"/>
        </w:rPr>
        <w:t xml:space="preserve"> </w:t>
      </w:r>
      <w:r w:rsidRPr="00FB4EFA">
        <w:rPr>
          <w:sz w:val="20"/>
          <w:szCs w:val="20"/>
        </w:rPr>
        <w:t>was</w:t>
      </w:r>
      <w:r w:rsidRPr="00FB4EFA">
        <w:rPr>
          <w:sz w:val="16"/>
          <w:szCs w:val="16"/>
        </w:rPr>
        <w:t xml:space="preserve"> </w:t>
      </w:r>
      <w:r w:rsidRPr="00FB4EFA">
        <w:rPr>
          <w:sz w:val="20"/>
          <w:szCs w:val="20"/>
        </w:rPr>
        <w:t>du</w:t>
      </w:r>
      <w:r w:rsidRPr="00FB4EFA">
        <w:rPr>
          <w:sz w:val="16"/>
          <w:szCs w:val="16"/>
        </w:rPr>
        <w:t xml:space="preserve"> </w:t>
      </w:r>
      <w:r w:rsidRPr="00FB4EFA">
        <w:rPr>
          <w:sz w:val="20"/>
          <w:szCs w:val="20"/>
        </w:rPr>
        <w:t>so</w:t>
      </w:r>
      <w:r w:rsidRPr="00FB4EFA">
        <w:rPr>
          <w:sz w:val="16"/>
          <w:szCs w:val="16"/>
        </w:rPr>
        <w:t xml:space="preserve"> </w:t>
      </w:r>
      <w:r w:rsidRPr="00FB4EFA">
        <w:rPr>
          <w:sz w:val="20"/>
          <w:szCs w:val="20"/>
        </w:rPr>
        <w:t>schwer</w:t>
      </w:r>
      <w:r w:rsidRPr="00FB4EFA">
        <w:rPr>
          <w:sz w:val="16"/>
          <w:szCs w:val="16"/>
        </w:rPr>
        <w:t xml:space="preserve"> </w:t>
      </w:r>
      <w:r w:rsidRPr="00FB4EFA">
        <w:rPr>
          <w:sz w:val="20"/>
          <w:szCs w:val="20"/>
        </w:rPr>
        <w:t>vergißt,</w:t>
      </w:r>
      <w:r w:rsidRPr="00FB4EFA">
        <w:rPr>
          <w:sz w:val="16"/>
          <w:szCs w:val="16"/>
        </w:rPr>
        <w:t xml:space="preserve"> </w:t>
      </w:r>
      <w:r w:rsidRPr="00FB4EFA">
        <w:rPr>
          <w:sz w:val="20"/>
          <w:szCs w:val="20"/>
        </w:rPr>
        <w:t>/ du hast nicht nur allein zu tragen, / vergiß‘, was nicht zu ändern ist.</w:t>
      </w:r>
    </w:p>
    <w:p w14:paraId="13267A7B" w14:textId="77777777" w:rsidR="00B14B64" w:rsidRPr="00FB4EFA" w:rsidRDefault="00B14B64" w:rsidP="002A3BC9">
      <w:pPr>
        <w:spacing w:before="120" w:after="240" w:line="240" w:lineRule="auto"/>
        <w:ind w:left="426"/>
        <w:rPr>
          <w:sz w:val="20"/>
          <w:szCs w:val="20"/>
          <w:lang w:val="en-GB"/>
        </w:rPr>
      </w:pPr>
      <w:r w:rsidRPr="00FB4EFA">
        <w:rPr>
          <w:sz w:val="20"/>
          <w:szCs w:val="20"/>
        </w:rPr>
        <w:t xml:space="preserve">Noch muß einst alles anders werden, / im Lenz wird alles wieder grün, / wenn alles keimt und blüht auf Erden, / wird auch das Weh vorüberziehn. </w:t>
      </w:r>
      <w:r w:rsidRPr="00FB4EFA">
        <w:rPr>
          <w:sz w:val="20"/>
          <w:szCs w:val="20"/>
          <w:lang w:val="en-GB"/>
        </w:rPr>
        <w:t>(Bechtel &amp; Szendi 2014)</w:t>
      </w:r>
    </w:p>
    <w:p w14:paraId="46357249" w14:textId="5C3BEDF4" w:rsidR="00B14B64" w:rsidRPr="00FB4EFA" w:rsidRDefault="00B14B64" w:rsidP="00857D2A">
      <w:pPr>
        <w:rPr>
          <w:lang w:val="en-GB"/>
        </w:rPr>
      </w:pPr>
      <w:r w:rsidRPr="00FB4EFA">
        <w:rPr>
          <w:lang w:val="en-GB"/>
        </w:rPr>
        <w:t>As described above, the political situation in Hungary in the 1970s and 1980s was completely different for the Hungarian</w:t>
      </w:r>
      <w:r w:rsidR="007A5994" w:rsidRPr="00FB4EFA">
        <w:rPr>
          <w:lang w:val="en-GB"/>
        </w:rPr>
        <w:t>-</w:t>
      </w:r>
      <w:r w:rsidRPr="00FB4EFA">
        <w:rPr>
          <w:lang w:val="en-GB"/>
        </w:rPr>
        <w:t xml:space="preserve">Germans than that immediately after </w:t>
      </w:r>
      <w:r w:rsidR="008056D3" w:rsidRPr="00FB4EFA">
        <w:rPr>
          <w:lang w:val="en-GB"/>
        </w:rPr>
        <w:t>World War II</w:t>
      </w:r>
      <w:r w:rsidRPr="00FB4EFA">
        <w:rPr>
          <w:lang w:val="en-GB"/>
        </w:rPr>
        <w:t xml:space="preserve">. At a time when the Hungarian-German minority </w:t>
      </w:r>
      <w:r w:rsidR="007A5994" w:rsidRPr="00FB4EFA">
        <w:rPr>
          <w:lang w:val="en-GB"/>
        </w:rPr>
        <w:t>wa</w:t>
      </w:r>
      <w:r w:rsidRPr="00FB4EFA">
        <w:rPr>
          <w:lang w:val="en-GB"/>
        </w:rPr>
        <w:t xml:space="preserve">s slowly coming back to life and its value to the Hungarian majority society as a bridge builder </w:t>
      </w:r>
      <w:r w:rsidR="007A5994" w:rsidRPr="00FB4EFA">
        <w:rPr>
          <w:lang w:val="en-GB"/>
        </w:rPr>
        <w:t>was</w:t>
      </w:r>
      <w:r w:rsidRPr="00FB4EFA">
        <w:rPr>
          <w:lang w:val="en-GB"/>
        </w:rPr>
        <w:t xml:space="preserve"> being discovered, it seem</w:t>
      </w:r>
      <w:r w:rsidR="007A5994" w:rsidRPr="00FB4EFA">
        <w:rPr>
          <w:lang w:val="en-GB"/>
        </w:rPr>
        <w:t>ed</w:t>
      </w:r>
      <w:r w:rsidRPr="00FB4EFA">
        <w:rPr>
          <w:lang w:val="en-GB"/>
        </w:rPr>
        <w:t xml:space="preserve"> fitting that “old woes” should pass and be forgotten so as not to hinder the </w:t>
      </w:r>
      <w:r w:rsidRPr="00FB4EFA">
        <w:rPr>
          <w:lang w:val="en-GB"/>
        </w:rPr>
        <w:lastRenderedPageBreak/>
        <w:t>positive developments</w:t>
      </w:r>
      <w:r w:rsidR="007A5994" w:rsidRPr="00FB4EFA">
        <w:rPr>
          <w:lang w:val="en-GB"/>
        </w:rPr>
        <w:t>:</w:t>
      </w:r>
      <w:r w:rsidRPr="00FB4EFA">
        <w:rPr>
          <w:lang w:val="en-GB"/>
        </w:rPr>
        <w:t xml:space="preserve"> “everything becoming different” and the return of “spring”. Forgetting the past </w:t>
      </w:r>
      <w:r w:rsidR="00BC2572" w:rsidRPr="00FB4EFA">
        <w:rPr>
          <w:lang w:val="en-GB"/>
        </w:rPr>
        <w:t>was meant to serve</w:t>
      </w:r>
      <w:r w:rsidRPr="00FB4EFA">
        <w:rPr>
          <w:lang w:val="en-GB"/>
        </w:rPr>
        <w:t xml:space="preserve"> a new bonding a</w:t>
      </w:r>
      <w:r w:rsidR="00BC2572" w:rsidRPr="00FB4EFA">
        <w:rPr>
          <w:lang w:val="en-GB"/>
        </w:rPr>
        <w:t>nd</w:t>
      </w:r>
      <w:r w:rsidRPr="00FB4EFA">
        <w:rPr>
          <w:lang w:val="en-GB"/>
        </w:rPr>
        <w:t xml:space="preserve"> reconciliation with the homeland</w:t>
      </w:r>
      <w:r w:rsidR="00BC2572" w:rsidRPr="00FB4EFA">
        <w:rPr>
          <w:lang w:val="en-GB"/>
        </w:rPr>
        <w:t>,</w:t>
      </w:r>
      <w:r w:rsidRPr="00FB4EFA">
        <w:rPr>
          <w:lang w:val="en-GB"/>
        </w:rPr>
        <w:t xml:space="preserve"> which </w:t>
      </w:r>
      <w:r w:rsidR="00BC2572" w:rsidRPr="00FB4EFA">
        <w:rPr>
          <w:lang w:val="en-GB"/>
        </w:rPr>
        <w:t>wa</w:t>
      </w:r>
      <w:r w:rsidRPr="00FB4EFA">
        <w:rPr>
          <w:lang w:val="en-GB"/>
        </w:rPr>
        <w:t xml:space="preserve">s thus in line with the </w:t>
      </w:r>
      <w:r w:rsidR="00BC2572" w:rsidRPr="00FB4EFA">
        <w:rPr>
          <w:lang w:val="en-GB"/>
        </w:rPr>
        <w:t xml:space="preserve">first generation’s typical </w:t>
      </w:r>
      <w:r w:rsidRPr="00FB4EFA">
        <w:rPr>
          <w:lang w:val="en-GB"/>
        </w:rPr>
        <w:t>original writing intention</w:t>
      </w:r>
      <w:r w:rsidR="00BC2572" w:rsidRPr="00FB4EFA">
        <w:rPr>
          <w:lang w:val="en-GB"/>
        </w:rPr>
        <w:t xml:space="preserve">, </w:t>
      </w:r>
      <w:r w:rsidRPr="00FB4EFA">
        <w:rPr>
          <w:lang w:val="en-GB"/>
        </w:rPr>
        <w:t>originating from a commitment to the community.</w:t>
      </w:r>
    </w:p>
    <w:p w14:paraId="0B6E3DCE" w14:textId="12BBAA14" w:rsidR="00B14B64" w:rsidRPr="00FB4EFA" w:rsidRDefault="00B14B64" w:rsidP="00857D2A">
      <w:pPr>
        <w:pStyle w:val="Heading3"/>
        <w:spacing w:line="259" w:lineRule="auto"/>
      </w:pPr>
      <w:r w:rsidRPr="00FB4EFA">
        <w:t xml:space="preserve">The second </w:t>
      </w:r>
      <w:r w:rsidR="002C0F51" w:rsidRPr="00FB4EFA">
        <w:t>g</w:t>
      </w:r>
      <w:r w:rsidRPr="00FB4EFA">
        <w:t>eneration</w:t>
      </w:r>
    </w:p>
    <w:p w14:paraId="1F45AECD" w14:textId="4B378372" w:rsidR="00B14B64" w:rsidRPr="00FB4EFA" w:rsidRDefault="00B14B64" w:rsidP="00857D2A">
      <w:pPr>
        <w:rPr>
          <w:lang w:val="en-GB"/>
        </w:rPr>
      </w:pPr>
      <w:r w:rsidRPr="00FB4EFA">
        <w:rPr>
          <w:lang w:val="en-GB"/>
        </w:rPr>
        <w:t>The second generation of Hungarian-German authors comprises writers such as Erika Áts (1934</w:t>
      </w:r>
      <w:r w:rsidR="00BC2572" w:rsidRPr="00FB4EFA">
        <w:rPr>
          <w:lang w:val="en-GB"/>
        </w:rPr>
        <w:t>–2020</w:t>
      </w:r>
      <w:r w:rsidRPr="00FB4EFA">
        <w:rPr>
          <w:lang w:val="en-GB"/>
        </w:rPr>
        <w:t>), Ludwig Fischer (1929</w:t>
      </w:r>
      <w:r w:rsidR="00BC2572" w:rsidRPr="00FB4EFA">
        <w:rPr>
          <w:lang w:val="en-GB"/>
        </w:rPr>
        <w:t>–2012</w:t>
      </w:r>
      <w:r w:rsidRPr="00FB4EFA">
        <w:rPr>
          <w:lang w:val="en-GB"/>
        </w:rPr>
        <w:t>), Josef Mikonya (1928</w:t>
      </w:r>
      <w:r w:rsidR="00BC2572" w:rsidRPr="00FB4EFA">
        <w:rPr>
          <w:lang w:val="en-GB"/>
        </w:rPr>
        <w:t>–2006</w:t>
      </w:r>
      <w:r w:rsidRPr="00FB4EFA">
        <w:rPr>
          <w:lang w:val="en-GB"/>
        </w:rPr>
        <w:t>), Engelbert Rittinger (1929</w:t>
      </w:r>
      <w:r w:rsidR="00BC2572" w:rsidRPr="00FB4EFA">
        <w:rPr>
          <w:lang w:val="en-GB"/>
        </w:rPr>
        <w:t>–2000</w:t>
      </w:r>
      <w:r w:rsidRPr="00FB4EFA">
        <w:rPr>
          <w:lang w:val="en-GB"/>
        </w:rPr>
        <w:t>), Franz Sziebert (1929</w:t>
      </w:r>
      <w:r w:rsidR="00BC2572" w:rsidRPr="00FB4EFA">
        <w:rPr>
          <w:lang w:val="en-GB"/>
        </w:rPr>
        <w:t>–2012</w:t>
      </w:r>
      <w:r w:rsidRPr="00FB4EFA">
        <w:rPr>
          <w:lang w:val="en-GB"/>
        </w:rPr>
        <w:t>), and Georg Wittmann (1930</w:t>
      </w:r>
      <w:r w:rsidR="00BC2572" w:rsidRPr="00FB4EFA">
        <w:rPr>
          <w:lang w:val="en-GB"/>
        </w:rPr>
        <w:t>–1991</w:t>
      </w:r>
      <w:r w:rsidRPr="00FB4EFA">
        <w:rPr>
          <w:lang w:val="en-GB"/>
        </w:rPr>
        <w:t>). They all grew up in the countryside surrounded by their respective German dialects</w:t>
      </w:r>
      <w:r w:rsidR="00C9577F" w:rsidRPr="00FB4EFA">
        <w:rPr>
          <w:lang w:val="en-GB"/>
        </w:rPr>
        <w:t>. As children or young adults,</w:t>
      </w:r>
      <w:r w:rsidRPr="00FB4EFA">
        <w:rPr>
          <w:lang w:val="en-GB"/>
        </w:rPr>
        <w:t xml:space="preserve"> </w:t>
      </w:r>
      <w:r w:rsidR="00C9577F" w:rsidRPr="00FB4EFA">
        <w:rPr>
          <w:lang w:val="en-GB"/>
        </w:rPr>
        <w:t>they were traumatized by</w:t>
      </w:r>
      <w:r w:rsidRPr="00FB4EFA">
        <w:rPr>
          <w:lang w:val="en-GB"/>
        </w:rPr>
        <w:t xml:space="preserve"> World War II and the </w:t>
      </w:r>
      <w:r w:rsidR="00C9577F" w:rsidRPr="00FB4EFA">
        <w:rPr>
          <w:lang w:val="en-GB"/>
        </w:rPr>
        <w:t xml:space="preserve">ensuing </w:t>
      </w:r>
      <w:r w:rsidRPr="00FB4EFA">
        <w:rPr>
          <w:lang w:val="en-GB"/>
        </w:rPr>
        <w:t>discrimination and silencing of the German minority. When the political climate allowed for the revival of the Hungarian-German literary scene, these authors felt like they could finally verbali</w:t>
      </w:r>
      <w:r w:rsidR="001C0E73" w:rsidRPr="00FB4EFA">
        <w:rPr>
          <w:lang w:val="en-GB" w:eastAsia="zh-CN"/>
        </w:rPr>
        <w:t>z</w:t>
      </w:r>
      <w:r w:rsidRPr="00FB4EFA">
        <w:rPr>
          <w:lang w:val="en-GB"/>
        </w:rPr>
        <w:t>e all the pain and suffering they had gone through during the past decades. They also deal</w:t>
      </w:r>
      <w:r w:rsidR="006444D4" w:rsidRPr="00FB4EFA">
        <w:rPr>
          <w:lang w:val="en-GB"/>
        </w:rPr>
        <w:t>t</w:t>
      </w:r>
      <w:r w:rsidRPr="00FB4EFA">
        <w:rPr>
          <w:lang w:val="en-GB"/>
        </w:rPr>
        <w:t xml:space="preserve"> with the Hungarian-German past in their work</w:t>
      </w:r>
      <w:r w:rsidR="006444D4" w:rsidRPr="00FB4EFA">
        <w:rPr>
          <w:lang w:val="en-GB"/>
        </w:rPr>
        <w:t>s</w:t>
      </w:r>
      <w:r w:rsidRPr="00FB4EFA">
        <w:rPr>
          <w:lang w:val="en-GB"/>
        </w:rPr>
        <w:t xml:space="preserve"> but do so in more explicit ways than representatives of the first generation. The</w:t>
      </w:r>
      <w:r w:rsidR="006444D4" w:rsidRPr="00FB4EFA">
        <w:rPr>
          <w:lang w:val="en-GB"/>
        </w:rPr>
        <w:t>y</w:t>
      </w:r>
      <w:r w:rsidRPr="00FB4EFA">
        <w:rPr>
          <w:lang w:val="en-GB"/>
        </w:rPr>
        <w:t xml:space="preserve"> focus on other topics such as the conservation and transmission of the traditional, rural way of life and the different dialects (Pável 2006: 108). The first task for these Hungarian-German authors was to contribute to the preservation of the German language itself – both the standard language and the dialects – which was also meant to promote a sense of national identity. </w:t>
      </w:r>
      <w:r w:rsidR="006444D4" w:rsidRPr="00FB4EFA">
        <w:rPr>
          <w:lang w:val="en-GB"/>
        </w:rPr>
        <w:t>T</w:t>
      </w:r>
      <w:r w:rsidRPr="00FB4EFA">
        <w:rPr>
          <w:lang w:val="en-GB"/>
        </w:rPr>
        <w:t>he addressees of their literature can be divided into two groups</w:t>
      </w:r>
      <w:r w:rsidR="00605EBA" w:rsidRPr="00FB4EFA">
        <w:rPr>
          <w:lang w:val="en-GB"/>
        </w:rPr>
        <w:t>.</w:t>
      </w:r>
      <w:r w:rsidRPr="00FB4EFA">
        <w:rPr>
          <w:lang w:val="en-GB"/>
        </w:rPr>
        <w:t xml:space="preserve"> </w:t>
      </w:r>
      <w:r w:rsidR="00605EBA" w:rsidRPr="00FB4EFA">
        <w:rPr>
          <w:lang w:val="en-GB"/>
        </w:rPr>
        <w:t>F</w:t>
      </w:r>
      <w:r w:rsidRPr="00FB4EFA">
        <w:rPr>
          <w:lang w:val="en-GB"/>
        </w:rPr>
        <w:t>or the older readers, their literature was about self-expression</w:t>
      </w:r>
      <w:r w:rsidR="00605EBA" w:rsidRPr="00FB4EFA">
        <w:rPr>
          <w:lang w:val="en-GB"/>
        </w:rPr>
        <w:t>,</w:t>
      </w:r>
      <w:r w:rsidRPr="00FB4EFA">
        <w:rPr>
          <w:lang w:val="en-GB"/>
        </w:rPr>
        <w:t xml:space="preserve"> the representation of their </w:t>
      </w:r>
      <w:r w:rsidR="00605EBA" w:rsidRPr="00FB4EFA">
        <w:rPr>
          <w:lang w:val="en-GB"/>
        </w:rPr>
        <w:t xml:space="preserve">past </w:t>
      </w:r>
      <w:r w:rsidRPr="00FB4EFA">
        <w:rPr>
          <w:lang w:val="en-GB"/>
        </w:rPr>
        <w:t xml:space="preserve">traditional life and </w:t>
      </w:r>
      <w:r w:rsidR="00605EBA" w:rsidRPr="00FB4EFA">
        <w:rPr>
          <w:lang w:val="en-GB"/>
        </w:rPr>
        <w:t>its</w:t>
      </w:r>
      <w:r w:rsidRPr="00FB4EFA">
        <w:rPr>
          <w:lang w:val="en-GB"/>
        </w:rPr>
        <w:t xml:space="preserve"> preservation</w:t>
      </w:r>
      <w:r w:rsidR="00605EBA" w:rsidRPr="00FB4EFA">
        <w:rPr>
          <w:lang w:val="en-GB"/>
        </w:rPr>
        <w:t xml:space="preserve">, and </w:t>
      </w:r>
      <w:r w:rsidRPr="00FB4EFA">
        <w:rPr>
          <w:lang w:val="en-GB"/>
        </w:rPr>
        <w:t xml:space="preserve">simply </w:t>
      </w:r>
      <w:r w:rsidR="00605EBA" w:rsidRPr="00FB4EFA">
        <w:rPr>
          <w:lang w:val="en-GB"/>
        </w:rPr>
        <w:t xml:space="preserve">about </w:t>
      </w:r>
      <w:r w:rsidRPr="00FB4EFA">
        <w:rPr>
          <w:lang w:val="en-GB"/>
        </w:rPr>
        <w:t>recogni</w:t>
      </w:r>
      <w:r w:rsidR="001C0E73" w:rsidRPr="00FB4EFA">
        <w:rPr>
          <w:lang w:val="en-GB"/>
        </w:rPr>
        <w:t>z</w:t>
      </w:r>
      <w:r w:rsidRPr="00FB4EFA">
        <w:rPr>
          <w:lang w:val="en-GB"/>
        </w:rPr>
        <w:t>ing themselves</w:t>
      </w:r>
      <w:r w:rsidR="00605EBA" w:rsidRPr="00FB4EFA">
        <w:rPr>
          <w:lang w:val="en-GB"/>
        </w:rPr>
        <w:t>.</w:t>
      </w:r>
      <w:r w:rsidRPr="00FB4EFA">
        <w:rPr>
          <w:lang w:val="en-GB"/>
        </w:rPr>
        <w:t xml:space="preserve"> </w:t>
      </w:r>
      <w:r w:rsidR="00605EBA" w:rsidRPr="00FB4EFA">
        <w:rPr>
          <w:lang w:val="en-GB"/>
        </w:rPr>
        <w:t>F</w:t>
      </w:r>
      <w:r w:rsidRPr="00FB4EFA">
        <w:rPr>
          <w:lang w:val="en-GB"/>
        </w:rPr>
        <w:t xml:space="preserve">or the younger </w:t>
      </w:r>
      <w:r w:rsidR="00605EBA" w:rsidRPr="00FB4EFA">
        <w:rPr>
          <w:lang w:val="en-GB"/>
        </w:rPr>
        <w:t>readers,</w:t>
      </w:r>
      <w:r w:rsidRPr="00FB4EFA">
        <w:rPr>
          <w:lang w:val="en-GB"/>
        </w:rPr>
        <w:t xml:space="preserve"> the aspect of gaining </w:t>
      </w:r>
      <w:r w:rsidR="00605EBA" w:rsidRPr="00FB4EFA">
        <w:rPr>
          <w:lang w:val="en-GB"/>
        </w:rPr>
        <w:t xml:space="preserve">a sense of identity and </w:t>
      </w:r>
      <w:r w:rsidRPr="00FB4EFA">
        <w:rPr>
          <w:lang w:val="en-GB"/>
        </w:rPr>
        <w:t xml:space="preserve">knowledge </w:t>
      </w:r>
      <w:r w:rsidR="00605EBA" w:rsidRPr="00FB4EFA">
        <w:rPr>
          <w:lang w:val="en-GB"/>
        </w:rPr>
        <w:t>of their</w:t>
      </w:r>
      <w:r w:rsidRPr="00FB4EFA">
        <w:rPr>
          <w:lang w:val="en-GB"/>
        </w:rPr>
        <w:t xml:space="preserve"> roots, </w:t>
      </w:r>
      <w:r w:rsidR="00605EBA" w:rsidRPr="00FB4EFA">
        <w:rPr>
          <w:lang w:val="en-GB"/>
        </w:rPr>
        <w:t xml:space="preserve">i.e., </w:t>
      </w:r>
      <w:r w:rsidRPr="00FB4EFA">
        <w:rPr>
          <w:lang w:val="en-GB"/>
        </w:rPr>
        <w:t>finding or rediscovering a cultural tradition</w:t>
      </w:r>
      <w:r w:rsidR="00605EBA" w:rsidRPr="00FB4EFA">
        <w:rPr>
          <w:lang w:val="en-GB"/>
        </w:rPr>
        <w:t>,</w:t>
      </w:r>
      <w:r w:rsidRPr="00FB4EFA">
        <w:rPr>
          <w:lang w:val="en-GB"/>
        </w:rPr>
        <w:t xml:space="preserve"> played a dominant role (Seifert 1989: 126). As a consequence, the writings of this generation reflect on historical events the Hungarian-Germans </w:t>
      </w:r>
      <w:r w:rsidR="00605EBA" w:rsidRPr="00FB4EFA">
        <w:rPr>
          <w:lang w:val="en-GB"/>
        </w:rPr>
        <w:t>faced</w:t>
      </w:r>
      <w:r w:rsidRPr="00FB4EFA">
        <w:rPr>
          <w:lang w:val="en-GB"/>
        </w:rPr>
        <w:t>, but topics like the authors’ relationship</w:t>
      </w:r>
      <w:r w:rsidR="00605EBA" w:rsidRPr="00FB4EFA">
        <w:rPr>
          <w:lang w:val="en-GB"/>
        </w:rPr>
        <w:t>s</w:t>
      </w:r>
      <w:r w:rsidRPr="00FB4EFA">
        <w:rPr>
          <w:lang w:val="en-GB"/>
        </w:rPr>
        <w:t xml:space="preserve"> </w:t>
      </w:r>
      <w:r w:rsidR="00605EBA" w:rsidRPr="00FB4EFA">
        <w:rPr>
          <w:lang w:val="en-GB"/>
        </w:rPr>
        <w:t>with</w:t>
      </w:r>
      <w:r w:rsidRPr="00FB4EFA">
        <w:rPr>
          <w:lang w:val="en-GB"/>
        </w:rPr>
        <w:t xml:space="preserve"> nature and their immediate surroundings, the preservation of customs, traditions, and the</w:t>
      </w:r>
      <w:r w:rsidR="00605EBA" w:rsidRPr="00FB4EFA">
        <w:rPr>
          <w:lang w:val="en-GB"/>
        </w:rPr>
        <w:t>ir</w:t>
      </w:r>
      <w:r w:rsidRPr="00FB4EFA">
        <w:rPr>
          <w:lang w:val="en-GB"/>
        </w:rPr>
        <w:t xml:space="preserve"> mother tongue</w:t>
      </w:r>
      <w:r w:rsidR="00605EBA" w:rsidRPr="00FB4EFA">
        <w:rPr>
          <w:lang w:val="en-GB"/>
        </w:rPr>
        <w:t>,</w:t>
      </w:r>
      <w:r w:rsidRPr="00FB4EFA">
        <w:rPr>
          <w:lang w:val="en-GB"/>
        </w:rPr>
        <w:t xml:space="preserve"> as well as recalling the socially recogni</w:t>
      </w:r>
      <w:r w:rsidR="008C4F74" w:rsidRPr="00FB4EFA">
        <w:rPr>
          <w:lang w:val="en-GB"/>
        </w:rPr>
        <w:t>z</w:t>
      </w:r>
      <w:r w:rsidRPr="00FB4EFA">
        <w:rPr>
          <w:lang w:val="en-GB"/>
        </w:rPr>
        <w:t xml:space="preserve">ed qualities of Hungarian-Germans seem to predominate. </w:t>
      </w:r>
      <w:r w:rsidR="00605EBA" w:rsidRPr="00FB4EFA">
        <w:rPr>
          <w:lang w:val="en-GB"/>
        </w:rPr>
        <w:t>Additionally</w:t>
      </w:r>
      <w:r w:rsidRPr="00FB4EFA">
        <w:rPr>
          <w:lang w:val="en-GB"/>
        </w:rPr>
        <w:t>, this generation also addresse</w:t>
      </w:r>
      <w:r w:rsidR="00605EBA" w:rsidRPr="00FB4EFA">
        <w:rPr>
          <w:lang w:val="en-GB"/>
        </w:rPr>
        <w:t>d</w:t>
      </w:r>
      <w:r w:rsidRPr="00FB4EFA">
        <w:rPr>
          <w:lang w:val="en-GB"/>
        </w:rPr>
        <w:t xml:space="preserve"> </w:t>
      </w:r>
      <w:r w:rsidR="006444D4" w:rsidRPr="00FB4EFA">
        <w:rPr>
          <w:lang w:val="en-GB"/>
        </w:rPr>
        <w:t>contemporary</w:t>
      </w:r>
      <w:r w:rsidRPr="00FB4EFA">
        <w:rPr>
          <w:lang w:val="en-GB"/>
        </w:rPr>
        <w:t xml:space="preserve"> problems of the </w:t>
      </w:r>
      <w:r w:rsidRPr="00FB4EFA">
        <w:rPr>
          <w:lang w:val="en-GB"/>
        </w:rPr>
        <w:lastRenderedPageBreak/>
        <w:t>minority, like their relation</w:t>
      </w:r>
      <w:r w:rsidR="00194E63" w:rsidRPr="00FB4EFA">
        <w:rPr>
          <w:lang w:val="en-GB"/>
        </w:rPr>
        <w:t>s</w:t>
      </w:r>
      <w:r w:rsidRPr="00FB4EFA">
        <w:rPr>
          <w:lang w:val="en-GB"/>
        </w:rPr>
        <w:t xml:space="preserve"> to the Hungarian state and society as well as the changes taking place in it. However, issues of language and identity loss, which had their roots in the events of the first half of the 20</w:t>
      </w:r>
      <w:r w:rsidRPr="00FB4EFA">
        <w:rPr>
          <w:vertAlign w:val="superscript"/>
          <w:lang w:val="en-GB"/>
        </w:rPr>
        <w:t>th</w:t>
      </w:r>
      <w:r w:rsidRPr="00FB4EFA">
        <w:rPr>
          <w:lang w:val="en-GB"/>
        </w:rPr>
        <w:t xml:space="preserve"> century, t</w:t>
      </w:r>
      <w:r w:rsidR="00194E63" w:rsidRPr="00FB4EFA">
        <w:rPr>
          <w:lang w:val="en-GB"/>
        </w:rPr>
        <w:t>oo</w:t>
      </w:r>
      <w:r w:rsidRPr="00FB4EFA">
        <w:rPr>
          <w:lang w:val="en-GB"/>
        </w:rPr>
        <w:t xml:space="preserve">k centre stage. They had become a central subject for the intellectual elite of the minority. An outstanding example for this is the work of Erika Áts, who </w:t>
      </w:r>
      <w:r w:rsidR="00194E63" w:rsidRPr="00FB4EFA">
        <w:rPr>
          <w:lang w:val="en-GB"/>
        </w:rPr>
        <w:t>in her poetry</w:t>
      </w:r>
      <w:r w:rsidRPr="00FB4EFA">
        <w:rPr>
          <w:lang w:val="en-GB"/>
        </w:rPr>
        <w:t xml:space="preserve"> dealt with issues of her time and questions concerning world politics and thus managed to rise above the mere (sometimes uncritical) self-representation of the Hungarian-German minority both in terms of content and aesthetics (Pável 2006: 110).</w:t>
      </w:r>
    </w:p>
    <w:p w14:paraId="4F4FB355" w14:textId="7FF50DC7" w:rsidR="00B14B64" w:rsidRPr="00FB4EFA" w:rsidRDefault="00B14B64" w:rsidP="00857D2A">
      <w:pPr>
        <w:ind w:firstLine="709"/>
        <w:rPr>
          <w:lang w:val="en-GB"/>
        </w:rPr>
      </w:pPr>
      <w:r w:rsidRPr="00FB4EFA">
        <w:rPr>
          <w:lang w:val="en-GB"/>
        </w:rPr>
        <w:t>While a great number of works by the authors of this generation seem to rather focus on moving forward and, in accordance with the political expectations of the late socialist regime under János Kádár, on rediscovering the minority identity via exerci</w:t>
      </w:r>
      <w:r w:rsidR="001C0E73" w:rsidRPr="00FB4EFA">
        <w:rPr>
          <w:lang w:val="en-GB"/>
        </w:rPr>
        <w:t>z</w:t>
      </w:r>
      <w:r w:rsidRPr="00FB4EFA">
        <w:rPr>
          <w:lang w:val="en-GB"/>
        </w:rPr>
        <w:t>ing the language, customs, traditions</w:t>
      </w:r>
      <w:r w:rsidR="00194E63" w:rsidRPr="00FB4EFA">
        <w:rPr>
          <w:lang w:val="en-GB"/>
        </w:rPr>
        <w:t>,</w:t>
      </w:r>
      <w:r w:rsidRPr="00FB4EFA">
        <w:rPr>
          <w:lang w:val="en-GB"/>
        </w:rPr>
        <w:t xml:space="preserve"> and folklore, other writings deal quite explicitly with the past traumas.</w:t>
      </w:r>
    </w:p>
    <w:p w14:paraId="3F9F9AF2" w14:textId="69998954" w:rsidR="00B14B64" w:rsidRPr="00FB4EFA" w:rsidRDefault="00B14B64" w:rsidP="002A3BC9">
      <w:pPr>
        <w:spacing w:before="240" w:line="240" w:lineRule="auto"/>
        <w:ind w:left="426"/>
        <w:rPr>
          <w:sz w:val="20"/>
          <w:szCs w:val="20"/>
        </w:rPr>
      </w:pPr>
      <w:r w:rsidRPr="00FB4EFA">
        <w:rPr>
          <w:sz w:val="20"/>
          <w:szCs w:val="20"/>
        </w:rPr>
        <w:t xml:space="preserve">Ich nahm die Feder in die Hand / und wollte mal probieren / </w:t>
      </w:r>
      <w:r w:rsidR="002A3BC9" w:rsidRPr="00FB4EFA">
        <w:rPr>
          <w:sz w:val="20"/>
          <w:szCs w:val="20"/>
        </w:rPr>
        <w:br/>
      </w:r>
      <w:r w:rsidRPr="00FB4EFA">
        <w:rPr>
          <w:sz w:val="20"/>
          <w:szCs w:val="20"/>
        </w:rPr>
        <w:t>Ob noch geeignet der Verstand / zum schwäbischen Studieren.</w:t>
      </w:r>
    </w:p>
    <w:p w14:paraId="6908124C" w14:textId="62C41033" w:rsidR="00B14B64" w:rsidRPr="00FB4EFA" w:rsidRDefault="00B14B64" w:rsidP="002A3BC9">
      <w:pPr>
        <w:spacing w:before="120" w:line="240" w:lineRule="auto"/>
        <w:ind w:left="426"/>
        <w:rPr>
          <w:sz w:val="20"/>
          <w:szCs w:val="20"/>
        </w:rPr>
      </w:pPr>
      <w:r w:rsidRPr="00FB4EFA">
        <w:rPr>
          <w:sz w:val="20"/>
          <w:szCs w:val="20"/>
        </w:rPr>
        <w:t xml:space="preserve">Ach, mühsam bring‘ ich Worte her / sie wollen sich nicht fügen / </w:t>
      </w:r>
      <w:r w:rsidR="002A3BC9" w:rsidRPr="00FB4EFA">
        <w:rPr>
          <w:sz w:val="20"/>
          <w:szCs w:val="20"/>
        </w:rPr>
        <w:br/>
      </w:r>
      <w:r w:rsidRPr="00FB4EFA">
        <w:rPr>
          <w:sz w:val="20"/>
          <w:szCs w:val="20"/>
        </w:rPr>
        <w:t>Der Sack der Wörter ist fast leer / man müßte es bloß üben. […]</w:t>
      </w:r>
    </w:p>
    <w:p w14:paraId="75B2EC63" w14:textId="360FBAA4" w:rsidR="00B14B64" w:rsidRPr="00FB4EFA" w:rsidRDefault="00B14B64" w:rsidP="002A3BC9">
      <w:pPr>
        <w:spacing w:before="120" w:after="240" w:line="240" w:lineRule="auto"/>
        <w:ind w:left="426"/>
        <w:rPr>
          <w:sz w:val="20"/>
          <w:szCs w:val="20"/>
          <w:lang w:val="en-GB"/>
        </w:rPr>
      </w:pPr>
      <w:r w:rsidRPr="00FB4EFA">
        <w:rPr>
          <w:sz w:val="20"/>
          <w:szCs w:val="20"/>
        </w:rPr>
        <w:t xml:space="preserve">Reichen wir brüderlich die Hand / und singen uns‘re Lieder! / </w:t>
      </w:r>
      <w:r w:rsidR="002A3BC9" w:rsidRPr="00FB4EFA">
        <w:rPr>
          <w:sz w:val="20"/>
          <w:szCs w:val="20"/>
        </w:rPr>
        <w:br/>
      </w:r>
      <w:r w:rsidRPr="00FB4EFA">
        <w:rPr>
          <w:sz w:val="20"/>
          <w:szCs w:val="20"/>
        </w:rPr>
        <w:t xml:space="preserve">Zur Arbeit ruft das Vaterland / da sind wir alle Brüder. </w:t>
      </w:r>
      <w:r w:rsidRPr="00FB4EFA">
        <w:rPr>
          <w:sz w:val="20"/>
          <w:szCs w:val="20"/>
          <w:lang w:val="en-GB"/>
        </w:rPr>
        <w:t>(Markus 2009: 5)</w:t>
      </w:r>
    </w:p>
    <w:p w14:paraId="6C2378B0" w14:textId="1421B6C7" w:rsidR="00B14B64" w:rsidRPr="00FB4EFA" w:rsidRDefault="00B14B64" w:rsidP="00857D2A">
      <w:pPr>
        <w:rPr>
          <w:lang w:val="en-GB"/>
        </w:rPr>
      </w:pPr>
      <w:r w:rsidRPr="00FB4EFA">
        <w:rPr>
          <w:lang w:val="en-GB"/>
        </w:rPr>
        <w:t xml:space="preserve">The poem </w:t>
      </w:r>
      <w:r w:rsidRPr="00FB4EFA">
        <w:rPr>
          <w:i/>
          <w:iCs/>
          <w:lang w:val="en-GB"/>
        </w:rPr>
        <w:t>Ich nahm die Feder…</w:t>
      </w:r>
      <w:r w:rsidRPr="00FB4EFA">
        <w:rPr>
          <w:lang w:val="en-GB"/>
        </w:rPr>
        <w:t xml:space="preserve"> by Engelbert Rittinger written in 1973 is one of the most important poems of Hungarian-German literature, as it marks the starting point of the revival of the Hungarian-German literary scene. It is striking how Rittinger manages to write a poem about the issue of language loss without even touching upon its historical and political reasons. </w:t>
      </w:r>
      <w:r w:rsidR="00194E63" w:rsidRPr="00FB4EFA">
        <w:rPr>
          <w:lang w:val="en-GB"/>
        </w:rPr>
        <w:t>N</w:t>
      </w:r>
      <w:r w:rsidRPr="00FB4EFA">
        <w:rPr>
          <w:lang w:val="en-GB"/>
        </w:rPr>
        <w:t>ot only</w:t>
      </w:r>
      <w:r w:rsidR="00194E63" w:rsidRPr="00FB4EFA">
        <w:rPr>
          <w:lang w:val="en-GB"/>
        </w:rPr>
        <w:t xml:space="preserve"> does he</w:t>
      </w:r>
      <w:r w:rsidRPr="00FB4EFA">
        <w:rPr>
          <w:lang w:val="en-GB"/>
        </w:rPr>
        <w:t xml:space="preserve"> give the impression that the language loss was self-inflicted</w:t>
      </w:r>
      <w:r w:rsidR="00194E63" w:rsidRPr="00FB4EFA">
        <w:rPr>
          <w:lang w:val="en-GB"/>
        </w:rPr>
        <w:t>,</w:t>
      </w:r>
      <w:r w:rsidRPr="00FB4EFA">
        <w:rPr>
          <w:lang w:val="en-GB"/>
        </w:rPr>
        <w:t xml:space="preserve"> </w:t>
      </w:r>
      <w:r w:rsidR="00194E63" w:rsidRPr="00FB4EFA">
        <w:rPr>
          <w:lang w:val="en-GB"/>
        </w:rPr>
        <w:t>he</w:t>
      </w:r>
      <w:r w:rsidRPr="00FB4EFA">
        <w:rPr>
          <w:lang w:val="en-GB"/>
        </w:rPr>
        <w:t xml:space="preserve"> also </w:t>
      </w:r>
      <w:r w:rsidR="00194E63" w:rsidRPr="00FB4EFA">
        <w:rPr>
          <w:lang w:val="en-GB"/>
        </w:rPr>
        <w:t>ends</w:t>
      </w:r>
      <w:r w:rsidRPr="00FB4EFA">
        <w:rPr>
          <w:lang w:val="en-GB"/>
        </w:rPr>
        <w:t xml:space="preserve"> the poem with a schematic picture of socialist work ethic </w:t>
      </w:r>
      <w:r w:rsidRPr="00FB4EFA">
        <w:rPr>
          <w:i/>
          <w:lang w:val="en-GB"/>
        </w:rPr>
        <w:t>par excellence</w:t>
      </w:r>
      <w:r w:rsidR="00194E63" w:rsidRPr="00FB4EFA">
        <w:rPr>
          <w:iCs/>
          <w:lang w:val="en-GB"/>
        </w:rPr>
        <w:t>,</w:t>
      </w:r>
      <w:r w:rsidRPr="00FB4EFA">
        <w:rPr>
          <w:lang w:val="en-GB"/>
        </w:rPr>
        <w:t xml:space="preserve"> in which all people are united as brothers through working for the socialist fatherland, which undoubtedly </w:t>
      </w:r>
      <w:r w:rsidR="005C12DD" w:rsidRPr="00FB4EFA">
        <w:rPr>
          <w:lang w:val="en-GB"/>
        </w:rPr>
        <w:t xml:space="preserve">is </w:t>
      </w:r>
      <w:r w:rsidRPr="00FB4EFA">
        <w:rPr>
          <w:lang w:val="en-GB"/>
        </w:rPr>
        <w:t xml:space="preserve">Hungary. Quite similarly, in Nikolaus Márnai’s poem </w:t>
      </w:r>
      <w:r w:rsidRPr="00FB4EFA">
        <w:rPr>
          <w:i/>
          <w:iCs/>
          <w:lang w:val="en-GB"/>
        </w:rPr>
        <w:t>Wuhin kehscht tu?</w:t>
      </w:r>
      <w:r w:rsidRPr="00FB4EFA">
        <w:rPr>
          <w:lang w:val="en-GB"/>
        </w:rPr>
        <w:t xml:space="preserve"> (Where are you going?)</w:t>
      </w:r>
      <w:r w:rsidR="005C12DD" w:rsidRPr="00FB4EFA">
        <w:rPr>
          <w:lang w:val="en-GB"/>
        </w:rPr>
        <w:t>,</w:t>
      </w:r>
      <w:r w:rsidRPr="00FB4EFA">
        <w:rPr>
          <w:lang w:val="en-GB"/>
        </w:rPr>
        <w:t xml:space="preserve"> written in </w:t>
      </w:r>
      <w:r w:rsidR="005C12DD" w:rsidRPr="00FB4EFA">
        <w:rPr>
          <w:lang w:val="en-GB"/>
        </w:rPr>
        <w:t xml:space="preserve">dialectal </w:t>
      </w:r>
      <w:r w:rsidRPr="00FB4EFA">
        <w:rPr>
          <w:lang w:val="en-GB"/>
        </w:rPr>
        <w:t xml:space="preserve">German, the primary goal appears to be to help reform the Hungarian-German identity in accordance with the political expectations of the time, namely the integration of </w:t>
      </w:r>
      <w:r w:rsidRPr="00FB4EFA">
        <w:rPr>
          <w:lang w:val="en-GB"/>
        </w:rPr>
        <w:lastRenderedPageBreak/>
        <w:t>the minorities into the socialist majority society. In this way, the poem emphasizes the reconstruction of the socialist country in which everybody is involved. It suggests historical continuity, and therefore neglects the disruption of the minority’s history due to the wars and the repressions, deportations</w:t>
      </w:r>
      <w:r w:rsidR="005C12DD" w:rsidRPr="00FB4EFA">
        <w:rPr>
          <w:lang w:val="en-GB"/>
        </w:rPr>
        <w:t>,</w:t>
      </w:r>
      <w:r w:rsidRPr="00FB4EFA">
        <w:rPr>
          <w:lang w:val="en-GB"/>
        </w:rPr>
        <w:t xml:space="preserve"> and expulsions (Propszt 2005). The pain and injustice are mentioned but declared as already overcome within the same sentence. The Germans shall only look to the future so that the pain of the past can be forgotten, as Márnai puts it.</w:t>
      </w:r>
    </w:p>
    <w:p w14:paraId="27D9F957" w14:textId="087FD7DB" w:rsidR="00B14B64" w:rsidRPr="00FB4EFA" w:rsidRDefault="00B14B64" w:rsidP="002A3BC9">
      <w:pPr>
        <w:suppressAutoHyphens/>
        <w:spacing w:before="240" w:after="240" w:line="240" w:lineRule="auto"/>
        <w:ind w:left="425"/>
        <w:rPr>
          <w:sz w:val="20"/>
          <w:szCs w:val="20"/>
          <w:lang w:val="en-GB"/>
        </w:rPr>
      </w:pPr>
      <w:r w:rsidRPr="00FB4EFA">
        <w:rPr>
          <w:sz w:val="20"/>
          <w:szCs w:val="20"/>
        </w:rPr>
        <w:t>Es gab Leid, Freit un a Ungerechtigkeit / Awer heint hen mer iwerwunde ti Verkangenheit. // Nach farne muß a jeder Schwowe schaun / Nar so verschwindet s Schlechti in ti Verkessenheit.</w:t>
      </w:r>
      <w:r w:rsidR="0099469D" w:rsidRPr="00FB4EFA">
        <w:rPr>
          <w:sz w:val="20"/>
          <w:szCs w:val="20"/>
        </w:rPr>
        <w:t xml:space="preserve"> </w:t>
      </w:r>
      <w:r w:rsidRPr="00FB4EFA">
        <w:rPr>
          <w:sz w:val="20"/>
          <w:szCs w:val="20"/>
          <w:lang w:val="en-GB"/>
        </w:rPr>
        <w:t>(Szende</w:t>
      </w:r>
      <w:r w:rsidR="0099469D" w:rsidRPr="00FB4EFA">
        <w:rPr>
          <w:sz w:val="20"/>
          <w:szCs w:val="20"/>
        </w:rPr>
        <w:t> </w:t>
      </w:r>
      <w:r w:rsidRPr="00FB4EFA">
        <w:rPr>
          <w:sz w:val="20"/>
          <w:szCs w:val="20"/>
          <w:lang w:val="en-GB"/>
        </w:rPr>
        <w:t>1984: 51)</w:t>
      </w:r>
    </w:p>
    <w:p w14:paraId="703F4CC1" w14:textId="44009B6A" w:rsidR="00B14B64" w:rsidRPr="00FB4EFA" w:rsidRDefault="00B14B64" w:rsidP="00AF0CAD">
      <w:pPr>
        <w:rPr>
          <w:lang w:val="en-GB"/>
        </w:rPr>
      </w:pPr>
      <w:r w:rsidRPr="00FB4EFA">
        <w:rPr>
          <w:lang w:val="en-GB"/>
        </w:rPr>
        <w:t>A conscious confrontation with the traumatic past can be found in Josef Mikonya</w:t>
      </w:r>
      <w:r w:rsidR="005C12DD" w:rsidRPr="00FB4EFA">
        <w:rPr>
          <w:lang w:val="en-GB"/>
        </w:rPr>
        <w:t>’s work</w:t>
      </w:r>
      <w:r w:rsidRPr="00FB4EFA">
        <w:rPr>
          <w:lang w:val="en-GB"/>
        </w:rPr>
        <w:t xml:space="preserve">, for example in his volume of stories and poems, </w:t>
      </w:r>
      <w:r w:rsidRPr="00FB4EFA">
        <w:rPr>
          <w:i/>
          <w:iCs/>
          <w:lang w:val="en-GB"/>
        </w:rPr>
        <w:t>Krähen auf dem Essigbaum</w:t>
      </w:r>
      <w:r w:rsidRPr="00FB4EFA">
        <w:rPr>
          <w:lang w:val="en-GB"/>
        </w:rPr>
        <w:t xml:space="preserve"> (1994). Mikonya focuses on the </w:t>
      </w:r>
      <w:r w:rsidR="005C12DD" w:rsidRPr="00FB4EFA">
        <w:rPr>
          <w:lang w:val="en-GB"/>
        </w:rPr>
        <w:t xml:space="preserve">historical </w:t>
      </w:r>
      <w:r w:rsidRPr="00FB4EFA">
        <w:rPr>
          <w:lang w:val="en-GB"/>
        </w:rPr>
        <w:t>everyday life of Hungarian</w:t>
      </w:r>
      <w:r w:rsidR="007A5994" w:rsidRPr="00FB4EFA">
        <w:rPr>
          <w:lang w:val="en-GB"/>
        </w:rPr>
        <w:t>-</w:t>
      </w:r>
      <w:r w:rsidRPr="00FB4EFA">
        <w:rPr>
          <w:lang w:val="en-GB"/>
        </w:rPr>
        <w:t>Germans in the past. His point of reference is the village</w:t>
      </w:r>
      <w:r w:rsidR="005C12DD" w:rsidRPr="00FB4EFA">
        <w:rPr>
          <w:lang w:val="en-GB"/>
        </w:rPr>
        <w:t>;</w:t>
      </w:r>
      <w:r w:rsidRPr="00FB4EFA">
        <w:rPr>
          <w:lang w:val="en-GB"/>
        </w:rPr>
        <w:t xml:space="preserve"> the large-scale events of the “great, merciless history” are reflected in the individual fates of the war and post-war period that are in the foreground in his work. For example, in his story </w:t>
      </w:r>
      <w:r w:rsidRPr="00FB4EFA">
        <w:rPr>
          <w:i/>
          <w:iCs/>
          <w:lang w:val="en-GB"/>
        </w:rPr>
        <w:t>Fuhrmann der Armen</w:t>
      </w:r>
      <w:r w:rsidRPr="00FB4EFA">
        <w:rPr>
          <w:lang w:val="en-GB"/>
        </w:rPr>
        <w:t>, he addresses the pressure to assimilate during the interwar period, which was reflected in numerous name changes among the Hungarian</w:t>
      </w:r>
      <w:r w:rsidR="007A5994" w:rsidRPr="00FB4EFA">
        <w:rPr>
          <w:lang w:val="en-GB"/>
        </w:rPr>
        <w:t>-</w:t>
      </w:r>
      <w:r w:rsidRPr="00FB4EFA">
        <w:rPr>
          <w:lang w:val="en-GB"/>
        </w:rPr>
        <w:t xml:space="preserve">Germans, while his story </w:t>
      </w:r>
      <w:r w:rsidRPr="00FB4EFA">
        <w:rPr>
          <w:i/>
          <w:iCs/>
          <w:lang w:val="en-GB"/>
        </w:rPr>
        <w:t>Intermezzo anno 1944</w:t>
      </w:r>
      <w:r w:rsidRPr="00FB4EFA">
        <w:rPr>
          <w:lang w:val="en-GB"/>
        </w:rPr>
        <w:t xml:space="preserve"> deals with the partly forced recruitment of young Hungarian</w:t>
      </w:r>
      <w:r w:rsidR="007A5994" w:rsidRPr="00FB4EFA">
        <w:rPr>
          <w:lang w:val="en-GB"/>
        </w:rPr>
        <w:t>-</w:t>
      </w:r>
      <w:r w:rsidRPr="00FB4EFA">
        <w:rPr>
          <w:lang w:val="en-GB"/>
        </w:rPr>
        <w:t xml:space="preserve">Germans to the fascist SS. In </w:t>
      </w:r>
      <w:r w:rsidRPr="00FB4EFA">
        <w:rPr>
          <w:i/>
          <w:iCs/>
          <w:lang w:val="en-GB"/>
        </w:rPr>
        <w:t>Menschen in der Tiefe,</w:t>
      </w:r>
      <w:r w:rsidRPr="00FB4EFA">
        <w:rPr>
          <w:lang w:val="en-GB"/>
        </w:rPr>
        <w:t xml:space="preserve"> a young German miner boy informs his colleagues about the atrocities committed by the approaching Russian army, which was looting German settlements and killing innocent villagers, while in </w:t>
      </w:r>
      <w:r w:rsidRPr="00FB4EFA">
        <w:rPr>
          <w:i/>
          <w:iCs/>
          <w:lang w:val="en-GB"/>
        </w:rPr>
        <w:t>Die Komteß</w:t>
      </w:r>
      <w:r w:rsidR="005C12DD" w:rsidRPr="00FB4EFA">
        <w:rPr>
          <w:lang w:val="en-GB"/>
        </w:rPr>
        <w:t>,</w:t>
      </w:r>
      <w:r w:rsidRPr="00FB4EFA">
        <w:rPr>
          <w:lang w:val="en-GB"/>
        </w:rPr>
        <w:t xml:space="preserve"> Mikonya writes about the expulsion of the Germans that began in 1946.</w:t>
      </w:r>
    </w:p>
    <w:p w14:paraId="47707343" w14:textId="33D70235" w:rsidR="00B14B64" w:rsidRPr="00FB4EFA" w:rsidRDefault="00B14B64" w:rsidP="00857D2A">
      <w:pPr>
        <w:ind w:firstLine="709"/>
        <w:rPr>
          <w:lang w:val="en-GB"/>
        </w:rPr>
      </w:pPr>
      <w:r w:rsidRPr="00FB4EFA">
        <w:rPr>
          <w:lang w:val="en-GB"/>
        </w:rPr>
        <w:t>However, what is striking here as in the case of other Hungarian</w:t>
      </w:r>
      <w:r w:rsidR="007A5994" w:rsidRPr="00FB4EFA">
        <w:rPr>
          <w:lang w:val="en-GB"/>
        </w:rPr>
        <w:t>-</w:t>
      </w:r>
      <w:r w:rsidRPr="00FB4EFA">
        <w:rPr>
          <w:lang w:val="en-GB"/>
        </w:rPr>
        <w:t xml:space="preserve">German writers of this and later generations is </w:t>
      </w:r>
      <w:r w:rsidR="004F4478" w:rsidRPr="00FB4EFA">
        <w:rPr>
          <w:lang w:val="en-GB"/>
        </w:rPr>
        <w:t>the introduction of a so-called</w:t>
      </w:r>
      <w:r w:rsidRPr="00FB4EFA">
        <w:rPr>
          <w:lang w:val="en-GB"/>
        </w:rPr>
        <w:t xml:space="preserve"> “discourse of fate”</w:t>
      </w:r>
      <w:r w:rsidR="004F4478" w:rsidRPr="00FB4EFA">
        <w:rPr>
          <w:lang w:val="en-GB"/>
        </w:rPr>
        <w:t xml:space="preserve"> </w:t>
      </w:r>
      <w:r w:rsidRPr="00FB4EFA">
        <w:rPr>
          <w:lang w:val="en-GB"/>
        </w:rPr>
        <w:t xml:space="preserve">– or rather, the discursive position of the “fated”, in which the discourse of fate reconstructs the wartime and post-war history of Germans in Hungary. For the writers of the second generation in particular, this discourse serves as some kind of compromise between the discourse of loyalty, which legitimates writing, and the hitherto taboo but vitally important discourse of history. They try to reconcile both into </w:t>
      </w:r>
      <w:r w:rsidRPr="00FB4EFA">
        <w:rPr>
          <w:lang w:val="en-GB"/>
        </w:rPr>
        <w:lastRenderedPageBreak/>
        <w:t>a discourse of identity, which</w:t>
      </w:r>
      <w:r w:rsidR="00B05005" w:rsidRPr="00FB4EFA">
        <w:rPr>
          <w:lang w:val="en-GB"/>
        </w:rPr>
        <w:t>,</w:t>
      </w:r>
      <w:r w:rsidRPr="00FB4EFA">
        <w:rPr>
          <w:lang w:val="en-GB"/>
        </w:rPr>
        <w:t xml:space="preserve"> at that time</w:t>
      </w:r>
      <w:r w:rsidR="00B05005" w:rsidRPr="00FB4EFA">
        <w:rPr>
          <w:lang w:val="en-GB"/>
        </w:rPr>
        <w:t>,</w:t>
      </w:r>
      <w:r w:rsidRPr="00FB4EFA">
        <w:rPr>
          <w:lang w:val="en-GB"/>
        </w:rPr>
        <w:t xml:space="preserve"> was fundamentally determined and constrained by the compulsive emphasis on loyalty to the established social order. In this context, it was only permissible to present wartime and post-war experiences as strokes of fate. This discourse and the victim identity that it constructs as a pattern for processing traumatic events are highly problematic from a social psychological point of view since they absolve the reader of responsibility and do not serve to confront </w:t>
      </w:r>
      <w:r w:rsidRPr="00FB4EFA">
        <w:rPr>
          <w:rFonts w:eastAsia="Arial Unicode MS" w:cs="Arial Unicode MS"/>
          <w:kern w:val="2"/>
          <w:lang w:val="en-GB" w:eastAsia="zh-CN" w:bidi="hi-IN"/>
        </w:rPr>
        <w:t>the reader</w:t>
      </w:r>
      <w:r w:rsidR="00B05005" w:rsidRPr="00FB4EFA">
        <w:rPr>
          <w:rFonts w:eastAsia="Arial Unicode MS" w:cs="Arial Unicode MS"/>
          <w:kern w:val="2"/>
          <w:lang w:val="en-GB" w:eastAsia="zh-CN" w:bidi="hi-IN"/>
        </w:rPr>
        <w:t>s</w:t>
      </w:r>
      <w:r w:rsidRPr="00FB4EFA">
        <w:rPr>
          <w:lang w:val="en-GB"/>
        </w:rPr>
        <w:t xml:space="preserve"> with </w:t>
      </w:r>
      <w:r w:rsidRPr="00FB4EFA">
        <w:rPr>
          <w:rFonts w:eastAsia="Arial Unicode MS" w:cs="Arial Unicode MS"/>
          <w:kern w:val="2"/>
          <w:lang w:val="en-GB" w:eastAsia="zh-CN" w:bidi="hi-IN"/>
        </w:rPr>
        <w:t>them</w:t>
      </w:r>
      <w:r w:rsidRPr="00FB4EFA">
        <w:rPr>
          <w:lang w:val="en-GB"/>
        </w:rPr>
        <w:t>sel</w:t>
      </w:r>
      <w:r w:rsidR="00B05005" w:rsidRPr="00FB4EFA">
        <w:rPr>
          <w:lang w:val="en-GB"/>
        </w:rPr>
        <w:t>ves</w:t>
      </w:r>
      <w:r w:rsidRPr="00FB4EFA">
        <w:rPr>
          <w:lang w:val="en-GB"/>
        </w:rPr>
        <w:t xml:space="preserve"> (Propszt 2005: 379). The discourse of victimhood, in which the ‘fated’ constructs the identity of the Germans in Hungary, is still dominant even in the writings of the third or fourth generation and is hardly questioned by alternating discursive positions, as will be shown in the following.</w:t>
      </w:r>
    </w:p>
    <w:p w14:paraId="4002A197" w14:textId="7B3284FC" w:rsidR="00B14B64" w:rsidRPr="00FB4EFA" w:rsidRDefault="00B14B64" w:rsidP="00857D2A">
      <w:pPr>
        <w:pStyle w:val="Heading3"/>
        <w:spacing w:line="259" w:lineRule="auto"/>
      </w:pPr>
      <w:r w:rsidRPr="00FB4EFA">
        <w:t xml:space="preserve">The third </w:t>
      </w:r>
      <w:r w:rsidR="002C0F51" w:rsidRPr="00FB4EFA">
        <w:t>g</w:t>
      </w:r>
      <w:r w:rsidRPr="00FB4EFA">
        <w:t>eneration</w:t>
      </w:r>
    </w:p>
    <w:p w14:paraId="0E7A6FB4" w14:textId="3E444E64" w:rsidR="002C0F51" w:rsidRPr="00FB4EFA" w:rsidRDefault="00B14B64" w:rsidP="00857D2A">
      <w:pPr>
        <w:rPr>
          <w:lang w:val="en-GB"/>
        </w:rPr>
      </w:pPr>
      <w:r w:rsidRPr="00FB4EFA">
        <w:rPr>
          <w:lang w:val="en-GB"/>
        </w:rPr>
        <w:t>The third generation of Hungarian-German writers differs from the first two insofar as most of the writers belonging to that group – among them Valéria Koch (1949</w:t>
      </w:r>
      <w:r w:rsidR="00B05005" w:rsidRPr="00FB4EFA">
        <w:rPr>
          <w:lang w:val="en-GB"/>
        </w:rPr>
        <w:t>–1998</w:t>
      </w:r>
      <w:r w:rsidRPr="00FB4EFA">
        <w:rPr>
          <w:lang w:val="en-GB"/>
        </w:rPr>
        <w:t>), Robert Hecker (*1963), Claus Klotz (1947</w:t>
      </w:r>
      <w:r w:rsidR="00B05005" w:rsidRPr="00FB4EFA">
        <w:rPr>
          <w:lang w:val="en-GB"/>
        </w:rPr>
        <w:t>–1990</w:t>
      </w:r>
      <w:r w:rsidRPr="00FB4EFA">
        <w:rPr>
          <w:lang w:val="en-GB"/>
        </w:rPr>
        <w:t xml:space="preserve">), Béla Bayer (*1951), </w:t>
      </w:r>
      <w:r w:rsidR="00B05005" w:rsidRPr="00FB4EFA">
        <w:rPr>
          <w:lang w:val="en-GB"/>
        </w:rPr>
        <w:t xml:space="preserve">and </w:t>
      </w:r>
      <w:r w:rsidRPr="00FB4EFA">
        <w:rPr>
          <w:lang w:val="en-GB"/>
        </w:rPr>
        <w:t>Josef Michaelis (*1955)</w:t>
      </w:r>
      <w:r w:rsidR="00B05005" w:rsidRPr="00FB4EFA">
        <w:rPr>
          <w:lang w:val="en-GB"/>
        </w:rPr>
        <w:t xml:space="preserve"> </w:t>
      </w:r>
      <w:r w:rsidRPr="00FB4EFA">
        <w:rPr>
          <w:lang w:val="en-GB"/>
        </w:rPr>
        <w:t>–</w:t>
      </w:r>
      <w:r w:rsidR="00D2693E" w:rsidRPr="00FB4EFA">
        <w:rPr>
          <w:lang w:val="en-GB"/>
        </w:rPr>
        <w:t xml:space="preserve"> </w:t>
      </w:r>
      <w:r w:rsidRPr="00FB4EFA">
        <w:rPr>
          <w:lang w:val="en-GB"/>
        </w:rPr>
        <w:t xml:space="preserve">enjoyed higher education and mostly wrote and still write in </w:t>
      </w:r>
      <w:r w:rsidR="00D2693E" w:rsidRPr="00FB4EFA">
        <w:rPr>
          <w:lang w:val="en-GB"/>
        </w:rPr>
        <w:t>S</w:t>
      </w:r>
      <w:r w:rsidRPr="00FB4EFA">
        <w:rPr>
          <w:lang w:val="en-GB"/>
        </w:rPr>
        <w:t xml:space="preserve">tandard German, although they grew up with dialects. Another very important difference </w:t>
      </w:r>
      <w:r w:rsidRPr="00FB4EFA">
        <w:rPr>
          <w:lang w:val="en-US"/>
        </w:rPr>
        <w:t>from</w:t>
      </w:r>
      <w:r w:rsidRPr="00FB4EFA">
        <w:rPr>
          <w:lang w:val="en-GB"/>
        </w:rPr>
        <w:t xml:space="preserve"> the first two generations is that </w:t>
      </w:r>
      <w:r w:rsidR="00D2693E" w:rsidRPr="00FB4EFA">
        <w:rPr>
          <w:lang w:val="en-GB"/>
        </w:rPr>
        <w:t>these</w:t>
      </w:r>
      <w:r w:rsidRPr="00FB4EFA">
        <w:rPr>
          <w:lang w:val="en-GB"/>
        </w:rPr>
        <w:t xml:space="preserve"> writers deliberately chose to “be Hungarian-German” at a time when there was almost nothing left of a minority community which they could have naturally grown into. Hence, belonging to the minority is a deliberate intellectual decision for them that reflects upon their work (Propszt 1998).</w:t>
      </w:r>
    </w:p>
    <w:p w14:paraId="0A6AF7FD" w14:textId="3A05881A" w:rsidR="00B14B64" w:rsidRPr="00FB4EFA" w:rsidRDefault="00B14B64" w:rsidP="002C0F51">
      <w:pPr>
        <w:ind w:firstLine="709"/>
        <w:rPr>
          <w:lang w:val="en-GB"/>
        </w:rPr>
      </w:pPr>
      <w:r w:rsidRPr="00FB4EFA">
        <w:rPr>
          <w:lang w:val="en-GB"/>
        </w:rPr>
        <w:t xml:space="preserve">Like the preceding generation, they deal with issues of the past, but also with the issues of language and identity loss, which became even more prominent in their world. And just like the preceding generation, the processes of language and identity loss </w:t>
      </w:r>
      <w:r w:rsidR="00EE70B5" w:rsidRPr="00FB4EFA">
        <w:rPr>
          <w:lang w:val="en-GB"/>
        </w:rPr>
        <w:t>are</w:t>
      </w:r>
      <w:r w:rsidRPr="00FB4EFA">
        <w:rPr>
          <w:lang w:val="en-GB"/>
        </w:rPr>
        <w:t xml:space="preserve"> only linked to the period of the repressions and expulsions in the rarest of cases – partly also for political reasons, at least prior to the system change in 1989. The problem of language and identity loss is pressing for them, but its reasons and implications are not seen in a political or historical context, but rather in the social and even the personal one. The focus of these writers has mostly shifted away from the community and the collective to the individual and the personal life experience. The writers of this generation are still </w:t>
      </w:r>
      <w:r w:rsidRPr="00FB4EFA">
        <w:rPr>
          <w:lang w:val="en-GB"/>
        </w:rPr>
        <w:lastRenderedPageBreak/>
        <w:t>connected to the traditional Hungarian-German way of life – the traditions and the idyllic, ideali</w:t>
      </w:r>
      <w:r w:rsidR="008C4F74" w:rsidRPr="00FB4EFA">
        <w:rPr>
          <w:lang w:val="en-GB"/>
        </w:rPr>
        <w:t>z</w:t>
      </w:r>
      <w:r w:rsidRPr="00FB4EFA">
        <w:rPr>
          <w:lang w:val="en-GB"/>
        </w:rPr>
        <w:t>ed, shared rural past before the great traumas of the 20</w:t>
      </w:r>
      <w:r w:rsidRPr="00FB4EFA">
        <w:rPr>
          <w:vertAlign w:val="superscript"/>
          <w:lang w:val="en-GB"/>
        </w:rPr>
        <w:t>th</w:t>
      </w:r>
      <w:r w:rsidRPr="00FB4EFA">
        <w:rPr>
          <w:lang w:val="en-GB"/>
        </w:rPr>
        <w:t xml:space="preserve"> century are still an important point of reference. While their view is rather nostalgic the past</w:t>
      </w:r>
      <w:r w:rsidR="00EE70B5" w:rsidRPr="00FB4EFA">
        <w:rPr>
          <w:lang w:val="en-GB"/>
        </w:rPr>
        <w:t xml:space="preserve"> is concerned</w:t>
      </w:r>
      <w:r w:rsidRPr="00FB4EFA">
        <w:rPr>
          <w:lang w:val="en-GB"/>
        </w:rPr>
        <w:t>, it is critical and pessimistic when it comes to the present or the future. The historical and political dimension of the difficult situation of the minority is still mostly factored out or only hinted at in their works. Instead, the young generation is fighting proxy wars against urbani</w:t>
      </w:r>
      <w:r w:rsidR="001C0E73" w:rsidRPr="00FB4EFA">
        <w:rPr>
          <w:lang w:val="en-GB" w:eastAsia="zh-CN"/>
        </w:rPr>
        <w:t>z</w:t>
      </w:r>
      <w:r w:rsidRPr="00FB4EFA">
        <w:rPr>
          <w:lang w:val="en-GB"/>
        </w:rPr>
        <w:t>ation, industriali</w:t>
      </w:r>
      <w:r w:rsidR="001C0E73" w:rsidRPr="00FB4EFA">
        <w:rPr>
          <w:lang w:val="en-GB" w:eastAsia="zh-CN"/>
        </w:rPr>
        <w:t>z</w:t>
      </w:r>
      <w:r w:rsidRPr="00FB4EFA">
        <w:rPr>
          <w:lang w:val="en-GB"/>
        </w:rPr>
        <w:t>ation</w:t>
      </w:r>
      <w:r w:rsidR="001C0E73" w:rsidRPr="00FB4EFA">
        <w:rPr>
          <w:lang w:val="en-GB"/>
        </w:rPr>
        <w:t>,</w:t>
      </w:r>
      <w:r w:rsidRPr="00FB4EFA">
        <w:rPr>
          <w:lang w:val="en-GB"/>
        </w:rPr>
        <w:t xml:space="preserve"> and the early beginnings of the ethno-business. The reader is mostly confronted with a rather lost and melancholic lyrical self that desperately tries to find its way back home into the real, authentic</w:t>
      </w:r>
      <w:r w:rsidR="00EE70B5" w:rsidRPr="00FB4EFA">
        <w:rPr>
          <w:lang w:val="en-GB"/>
        </w:rPr>
        <w:t>,</w:t>
      </w:r>
      <w:r w:rsidRPr="00FB4EFA">
        <w:rPr>
          <w:lang w:val="en-GB"/>
        </w:rPr>
        <w:t xml:space="preserve"> traditional, long-gone Hungarian-German world of the ancestors </w:t>
      </w:r>
      <w:r w:rsidR="00EE70B5" w:rsidRPr="00FB4EFA">
        <w:rPr>
          <w:lang w:val="en-GB"/>
        </w:rPr>
        <w:t xml:space="preserve">in order </w:t>
      </w:r>
      <w:r w:rsidRPr="00FB4EFA">
        <w:rPr>
          <w:lang w:val="en-GB"/>
        </w:rPr>
        <w:t xml:space="preserve">to rebuild the Hungarian-German identity. It is a pessimistic self that believes to be the witness of the Hungarian-Germans’ extinction. A famous example is the poem </w:t>
      </w:r>
      <w:r w:rsidRPr="00FB4EFA">
        <w:rPr>
          <w:i/>
          <w:iCs/>
          <w:lang w:val="en-GB"/>
        </w:rPr>
        <w:t>Ungarndeutsch</w:t>
      </w:r>
      <w:r w:rsidRPr="00FB4EFA">
        <w:rPr>
          <w:lang w:val="en-GB"/>
        </w:rPr>
        <w:t xml:space="preserve"> by Valéria Koch, one of the best-known Hungarian-German writers who published a great number of literary works both in German and Hungarian: “</w:t>
      </w:r>
      <w:r w:rsidRPr="00FB4EFA">
        <w:rPr>
          <w:b/>
          <w:lang w:val="en-GB"/>
        </w:rPr>
        <w:t xml:space="preserve">Ungarndeutsch </w:t>
      </w:r>
      <w:r w:rsidRPr="00FB4EFA">
        <w:rPr>
          <w:bCs/>
          <w:lang w:val="en-GB"/>
        </w:rPr>
        <w:t>/ I</w:t>
      </w:r>
      <w:r w:rsidRPr="00FB4EFA">
        <w:rPr>
          <w:lang w:val="en-GB"/>
        </w:rPr>
        <w:t xml:space="preserve">st das Maß / des tüchtigen Aussterbens” (Bechtel &amp; Szendi 2014). The poem </w:t>
      </w:r>
      <w:r w:rsidRPr="00FB4EFA">
        <w:rPr>
          <w:i/>
          <w:iCs/>
          <w:lang w:val="en-GB"/>
        </w:rPr>
        <w:t xml:space="preserve">Ahnerls Lied </w:t>
      </w:r>
      <w:r w:rsidRPr="00FB4EFA">
        <w:rPr>
          <w:lang w:val="en-GB"/>
        </w:rPr>
        <w:t xml:space="preserve">by Claus Klotz, another well-known Hungarian-German poet, points in a similar direction, as can be seen in this verse: “Schlaf, Kindchen, schlaf / bleib fleißig und schön brav, // Zum Häusle bauen, Auto kaufen / wirst du meine Sprach nicht brauchen // Schlaf, Kindchen, schlaf” (Bechtel &amp; Szendi 2014). Klotz evokes the traditional notion of the diligent and well-behaved, plain Germans originating from the impression of the early German settlers and puts it into a contemporary context. Interestingly, the extinction of the German minority almost seems to be self-inflicted in his eyes, provoked by the Germans’ </w:t>
      </w:r>
      <w:r w:rsidRPr="00FB4EFA">
        <w:rPr>
          <w:rFonts w:eastAsia="Arial Unicode MS" w:cs="Arial Unicode MS"/>
          <w:kern w:val="2"/>
          <w:lang w:val="en-GB" w:eastAsia="zh-CN" w:bidi="hi-IN"/>
        </w:rPr>
        <w:t>tendency</w:t>
      </w:r>
      <w:r w:rsidRPr="00FB4EFA">
        <w:rPr>
          <w:lang w:val="en-GB"/>
        </w:rPr>
        <w:t xml:space="preserve"> to be too diligent, too well-behaved – too willing to assimilate. In Klotz’s eyes, the Hungarian-German traditions, which are so vigorously kept alive by his fellow writers, have become obsolete in the new socialist era</w:t>
      </w:r>
      <w:r w:rsidR="007F2197" w:rsidRPr="00FB4EFA">
        <w:rPr>
          <w:lang w:val="en-GB"/>
        </w:rPr>
        <w:t>,</w:t>
      </w:r>
      <w:r w:rsidRPr="00FB4EFA">
        <w:rPr>
          <w:lang w:val="en-GB"/>
        </w:rPr>
        <w:t xml:space="preserve"> and the German virtues are only exploited for the new regime (Brantsch 2000: 7).</w:t>
      </w:r>
    </w:p>
    <w:p w14:paraId="44B8698B" w14:textId="20CF6C4F" w:rsidR="00B14B64" w:rsidRPr="00FB4EFA" w:rsidRDefault="00B14B64" w:rsidP="00857D2A">
      <w:pPr>
        <w:ind w:firstLine="709"/>
        <w:rPr>
          <w:rFonts w:cs="Arial"/>
          <w:lang w:val="en-GB"/>
        </w:rPr>
      </w:pPr>
      <w:r w:rsidRPr="00FB4EFA">
        <w:rPr>
          <w:rFonts w:cs="Arial"/>
          <w:szCs w:val="24"/>
          <w:lang w:val="en-GB"/>
        </w:rPr>
        <w:t>While Klotz’s poetry is decidedly critical of the Hungarian</w:t>
      </w:r>
      <w:r w:rsidR="007A5994" w:rsidRPr="00FB4EFA">
        <w:rPr>
          <w:rFonts w:cs="Arial"/>
          <w:szCs w:val="24"/>
          <w:lang w:val="en-GB"/>
        </w:rPr>
        <w:t>-</w:t>
      </w:r>
      <w:r w:rsidRPr="00FB4EFA">
        <w:rPr>
          <w:rFonts w:cs="Arial"/>
          <w:szCs w:val="24"/>
          <w:lang w:val="en-GB"/>
        </w:rPr>
        <w:t>Germans’ present, the poetry of Josef Michaelis, who has celebrated great success as a writer of children’s books, is quite explicit and critical, even with regard to the recent past. Michaelis brings up the traumas of the 20</w:t>
      </w:r>
      <w:r w:rsidRPr="00FB4EFA">
        <w:rPr>
          <w:rFonts w:cs="Arial"/>
          <w:vertAlign w:val="superscript"/>
          <w:lang w:val="en-GB"/>
        </w:rPr>
        <w:t>th</w:t>
      </w:r>
      <w:r w:rsidRPr="00FB4EFA">
        <w:rPr>
          <w:rFonts w:cs="Arial"/>
          <w:szCs w:val="24"/>
          <w:lang w:val="en-GB"/>
        </w:rPr>
        <w:t xml:space="preserve"> </w:t>
      </w:r>
      <w:r w:rsidRPr="00FB4EFA">
        <w:rPr>
          <w:rFonts w:cs="Arial"/>
          <w:szCs w:val="24"/>
          <w:lang w:val="en-GB"/>
        </w:rPr>
        <w:lastRenderedPageBreak/>
        <w:t xml:space="preserve">century and connects them to the highly critical situation of the minority of his day, as can be seen in his poem </w:t>
      </w:r>
      <w:r w:rsidRPr="00FB4EFA">
        <w:rPr>
          <w:rFonts w:cs="Arial"/>
          <w:i/>
          <w:iCs/>
          <w:szCs w:val="24"/>
          <w:lang w:val="en-GB"/>
        </w:rPr>
        <w:t>Agonie</w:t>
      </w:r>
      <w:r w:rsidR="007F2197" w:rsidRPr="00FB4EFA">
        <w:rPr>
          <w:rFonts w:cs="Arial"/>
          <w:szCs w:val="24"/>
          <w:lang w:val="en-GB"/>
        </w:rPr>
        <w:t>,</w:t>
      </w:r>
      <w:r w:rsidRPr="00FB4EFA">
        <w:rPr>
          <w:rFonts w:cs="Arial"/>
          <w:szCs w:val="24"/>
          <w:lang w:val="en-GB"/>
        </w:rPr>
        <w:t xml:space="preserve"> written in 1993:</w:t>
      </w:r>
    </w:p>
    <w:p w14:paraId="71B5E205" w14:textId="77777777" w:rsidR="00B14B64" w:rsidRPr="00FB4EFA" w:rsidRDefault="00B14B64" w:rsidP="002A3BC9">
      <w:pPr>
        <w:spacing w:before="240" w:line="240" w:lineRule="auto"/>
        <w:ind w:left="426"/>
        <w:rPr>
          <w:sz w:val="20"/>
          <w:szCs w:val="20"/>
        </w:rPr>
      </w:pPr>
      <w:r w:rsidRPr="00FB4EFA">
        <w:rPr>
          <w:sz w:val="20"/>
          <w:szCs w:val="20"/>
        </w:rPr>
        <w:t>Nach dem Zweiten Weltkrieg</w:t>
      </w:r>
    </w:p>
    <w:p w14:paraId="69ACC290" w14:textId="77777777" w:rsidR="00B14B64" w:rsidRPr="00FB4EFA" w:rsidRDefault="00B14B64" w:rsidP="002A3BC9">
      <w:pPr>
        <w:spacing w:line="240" w:lineRule="auto"/>
        <w:ind w:left="426"/>
        <w:rPr>
          <w:sz w:val="20"/>
          <w:szCs w:val="20"/>
        </w:rPr>
      </w:pPr>
      <w:r w:rsidRPr="00FB4EFA">
        <w:rPr>
          <w:sz w:val="20"/>
          <w:szCs w:val="20"/>
        </w:rPr>
        <w:t>wurden wir als Faschisten verschrien</w:t>
      </w:r>
    </w:p>
    <w:p w14:paraId="23B10C1F" w14:textId="77777777" w:rsidR="00B14B64" w:rsidRPr="00FB4EFA" w:rsidRDefault="00B14B64" w:rsidP="002A3BC9">
      <w:pPr>
        <w:spacing w:line="240" w:lineRule="auto"/>
        <w:ind w:left="426"/>
        <w:rPr>
          <w:sz w:val="20"/>
          <w:szCs w:val="20"/>
        </w:rPr>
      </w:pPr>
      <w:r w:rsidRPr="00FB4EFA">
        <w:rPr>
          <w:sz w:val="20"/>
          <w:szCs w:val="20"/>
        </w:rPr>
        <w:t>dann in die weite Welt vertrieben…</w:t>
      </w:r>
    </w:p>
    <w:p w14:paraId="5A2AB3C3" w14:textId="77777777" w:rsidR="00B14B64" w:rsidRPr="00FB4EFA" w:rsidRDefault="00B14B64" w:rsidP="002A3BC9">
      <w:pPr>
        <w:spacing w:line="240" w:lineRule="auto"/>
        <w:ind w:left="426"/>
        <w:rPr>
          <w:sz w:val="20"/>
          <w:szCs w:val="20"/>
        </w:rPr>
      </w:pPr>
      <w:r w:rsidRPr="00FB4EFA">
        <w:rPr>
          <w:sz w:val="20"/>
          <w:szCs w:val="20"/>
        </w:rPr>
        <w:t>Bald wurden die Vereine</w:t>
      </w:r>
    </w:p>
    <w:p w14:paraId="333F2A04" w14:textId="77777777" w:rsidR="00B14B64" w:rsidRPr="00FB4EFA" w:rsidRDefault="00B14B64" w:rsidP="002A3BC9">
      <w:pPr>
        <w:spacing w:line="240" w:lineRule="auto"/>
        <w:ind w:left="426"/>
        <w:rPr>
          <w:sz w:val="20"/>
          <w:szCs w:val="20"/>
        </w:rPr>
      </w:pPr>
      <w:r w:rsidRPr="00FB4EFA">
        <w:rPr>
          <w:sz w:val="20"/>
          <w:szCs w:val="20"/>
        </w:rPr>
        <w:t>der Hierbleibenden aufgelöst</w:t>
      </w:r>
    </w:p>
    <w:p w14:paraId="193B9DB1" w14:textId="77777777" w:rsidR="00B14B64" w:rsidRPr="00FB4EFA" w:rsidRDefault="00B14B64" w:rsidP="002A3BC9">
      <w:pPr>
        <w:spacing w:line="240" w:lineRule="auto"/>
        <w:ind w:left="426"/>
        <w:rPr>
          <w:sz w:val="20"/>
          <w:szCs w:val="20"/>
        </w:rPr>
      </w:pPr>
      <w:r w:rsidRPr="00FB4EFA">
        <w:rPr>
          <w:sz w:val="20"/>
          <w:szCs w:val="20"/>
        </w:rPr>
        <w:t>dann unsere Namen geändert</w:t>
      </w:r>
    </w:p>
    <w:p w14:paraId="1F1D58A8" w14:textId="77777777" w:rsidR="00B14B64" w:rsidRPr="00FB4EFA" w:rsidRDefault="00B14B64" w:rsidP="002A3BC9">
      <w:pPr>
        <w:spacing w:line="240" w:lineRule="auto"/>
        <w:ind w:left="426"/>
        <w:rPr>
          <w:sz w:val="20"/>
          <w:szCs w:val="20"/>
        </w:rPr>
      </w:pPr>
      <w:r w:rsidRPr="00FB4EFA">
        <w:rPr>
          <w:sz w:val="20"/>
          <w:szCs w:val="20"/>
        </w:rPr>
        <w:t>dann unsere Häuser weggenommen</w:t>
      </w:r>
    </w:p>
    <w:p w14:paraId="43DEF834" w14:textId="77777777" w:rsidR="00B14B64" w:rsidRPr="00FB4EFA" w:rsidRDefault="00B14B64" w:rsidP="002A3BC9">
      <w:pPr>
        <w:spacing w:line="240" w:lineRule="auto"/>
        <w:ind w:left="426"/>
        <w:rPr>
          <w:sz w:val="20"/>
          <w:szCs w:val="20"/>
        </w:rPr>
      </w:pPr>
      <w:r w:rsidRPr="00FB4EFA">
        <w:rPr>
          <w:sz w:val="20"/>
          <w:szCs w:val="20"/>
        </w:rPr>
        <w:t>dann unsere Schulen gesperrt</w:t>
      </w:r>
    </w:p>
    <w:p w14:paraId="5BE4AE31" w14:textId="77777777" w:rsidR="00B14B64" w:rsidRPr="00FB4EFA" w:rsidRDefault="00B14B64" w:rsidP="002A3BC9">
      <w:pPr>
        <w:spacing w:line="240" w:lineRule="auto"/>
        <w:ind w:left="426"/>
        <w:rPr>
          <w:sz w:val="20"/>
          <w:szCs w:val="20"/>
        </w:rPr>
      </w:pPr>
      <w:r w:rsidRPr="00FB4EFA">
        <w:rPr>
          <w:sz w:val="20"/>
          <w:szCs w:val="20"/>
        </w:rPr>
        <w:t>dann unsere Priester zum Schweigen gebracht</w:t>
      </w:r>
    </w:p>
    <w:p w14:paraId="6EFB7CB1" w14:textId="77777777" w:rsidR="00B14B64" w:rsidRPr="00FB4EFA" w:rsidRDefault="00B14B64" w:rsidP="002A3BC9">
      <w:pPr>
        <w:spacing w:line="240" w:lineRule="auto"/>
        <w:ind w:left="426"/>
        <w:rPr>
          <w:sz w:val="20"/>
          <w:szCs w:val="20"/>
        </w:rPr>
      </w:pPr>
      <w:r w:rsidRPr="00FB4EFA">
        <w:rPr>
          <w:sz w:val="20"/>
          <w:szCs w:val="20"/>
        </w:rPr>
        <w:t>dann unsere Bräuche verboten</w:t>
      </w:r>
    </w:p>
    <w:p w14:paraId="40EB8BE9" w14:textId="77777777" w:rsidR="00B14B64" w:rsidRPr="00FB4EFA" w:rsidRDefault="00B14B64" w:rsidP="002A3BC9">
      <w:pPr>
        <w:spacing w:line="240" w:lineRule="auto"/>
        <w:ind w:left="426"/>
        <w:rPr>
          <w:sz w:val="20"/>
          <w:szCs w:val="20"/>
        </w:rPr>
      </w:pPr>
      <w:r w:rsidRPr="00FB4EFA">
        <w:rPr>
          <w:sz w:val="20"/>
          <w:szCs w:val="20"/>
        </w:rPr>
        <w:t>dann sangen unsere Mütter keine Wiegenlieder</w:t>
      </w:r>
    </w:p>
    <w:p w14:paraId="27633BFE" w14:textId="77777777" w:rsidR="00B14B64" w:rsidRPr="00FB4EFA" w:rsidRDefault="00B14B64" w:rsidP="002A3BC9">
      <w:pPr>
        <w:spacing w:line="240" w:lineRule="auto"/>
        <w:ind w:left="426"/>
        <w:rPr>
          <w:sz w:val="20"/>
          <w:szCs w:val="20"/>
        </w:rPr>
      </w:pPr>
      <w:r w:rsidRPr="00FB4EFA">
        <w:rPr>
          <w:sz w:val="20"/>
          <w:szCs w:val="20"/>
        </w:rPr>
        <w:t>dann sprachen wir untereinander nicht mehr Deutsch</w:t>
      </w:r>
    </w:p>
    <w:p w14:paraId="25014AA7" w14:textId="77777777" w:rsidR="00B14B64" w:rsidRPr="00FB4EFA" w:rsidRDefault="00B14B64" w:rsidP="002A3BC9">
      <w:pPr>
        <w:spacing w:line="240" w:lineRule="auto"/>
        <w:ind w:left="426"/>
        <w:rPr>
          <w:sz w:val="20"/>
          <w:szCs w:val="20"/>
        </w:rPr>
      </w:pPr>
      <w:r w:rsidRPr="00FB4EFA">
        <w:rPr>
          <w:sz w:val="20"/>
          <w:szCs w:val="20"/>
        </w:rPr>
        <w:t>dann radebrechten wir unsere Muttersprache</w:t>
      </w:r>
    </w:p>
    <w:p w14:paraId="3D99B82B" w14:textId="77777777" w:rsidR="00B14B64" w:rsidRPr="00FB4EFA" w:rsidRDefault="00B14B64" w:rsidP="002A3BC9">
      <w:pPr>
        <w:spacing w:line="240" w:lineRule="auto"/>
        <w:ind w:left="426"/>
        <w:rPr>
          <w:sz w:val="20"/>
          <w:szCs w:val="20"/>
        </w:rPr>
      </w:pPr>
      <w:r w:rsidRPr="00FB4EFA">
        <w:rPr>
          <w:sz w:val="20"/>
          <w:szCs w:val="20"/>
        </w:rPr>
        <w:t>dann ließen wir unsere Friedhöfe</w:t>
      </w:r>
    </w:p>
    <w:p w14:paraId="4D3B18BF" w14:textId="77777777" w:rsidR="00B14B64" w:rsidRPr="00FB4EFA" w:rsidRDefault="00B14B64" w:rsidP="002A3BC9">
      <w:pPr>
        <w:spacing w:line="240" w:lineRule="auto"/>
        <w:ind w:left="426"/>
        <w:rPr>
          <w:sz w:val="20"/>
          <w:szCs w:val="20"/>
        </w:rPr>
      </w:pPr>
      <w:r w:rsidRPr="00FB4EFA">
        <w:rPr>
          <w:sz w:val="20"/>
          <w:szCs w:val="20"/>
        </w:rPr>
        <w:t>verwildern</w:t>
      </w:r>
    </w:p>
    <w:p w14:paraId="6F312A08" w14:textId="77777777" w:rsidR="00B14B64" w:rsidRPr="00FB4EFA" w:rsidRDefault="00B14B64" w:rsidP="002A3BC9">
      <w:pPr>
        <w:spacing w:line="240" w:lineRule="auto"/>
        <w:ind w:left="426"/>
        <w:rPr>
          <w:sz w:val="20"/>
          <w:szCs w:val="20"/>
        </w:rPr>
      </w:pPr>
      <w:r w:rsidRPr="00FB4EFA">
        <w:rPr>
          <w:sz w:val="20"/>
          <w:szCs w:val="20"/>
        </w:rPr>
        <w:t>dann…</w:t>
      </w:r>
    </w:p>
    <w:p w14:paraId="4C265C28" w14:textId="77777777" w:rsidR="00B14B64" w:rsidRPr="00FB4EFA" w:rsidRDefault="00B14B64" w:rsidP="002A3BC9">
      <w:pPr>
        <w:spacing w:line="240" w:lineRule="auto"/>
        <w:ind w:left="426"/>
        <w:rPr>
          <w:sz w:val="20"/>
          <w:szCs w:val="20"/>
        </w:rPr>
      </w:pPr>
      <w:r w:rsidRPr="00FB4EFA">
        <w:rPr>
          <w:sz w:val="20"/>
          <w:szCs w:val="20"/>
        </w:rPr>
        <w:t>zuletzt gaben wir</w:t>
      </w:r>
    </w:p>
    <w:p w14:paraId="76AA500E" w14:textId="77777777" w:rsidR="00B14B64" w:rsidRPr="00FB4EFA" w:rsidRDefault="00B14B64" w:rsidP="002A3BC9">
      <w:pPr>
        <w:spacing w:line="240" w:lineRule="auto"/>
        <w:ind w:left="426"/>
        <w:rPr>
          <w:sz w:val="20"/>
          <w:szCs w:val="20"/>
        </w:rPr>
      </w:pPr>
      <w:r w:rsidRPr="00FB4EFA">
        <w:rPr>
          <w:sz w:val="20"/>
          <w:szCs w:val="20"/>
        </w:rPr>
        <w:t>unseren Glauben auf</w:t>
      </w:r>
    </w:p>
    <w:p w14:paraId="7ECE2E01" w14:textId="77777777" w:rsidR="00B14B64" w:rsidRPr="00FB4EFA" w:rsidRDefault="00B14B64" w:rsidP="002A3BC9">
      <w:pPr>
        <w:spacing w:line="240" w:lineRule="auto"/>
        <w:ind w:left="426"/>
        <w:rPr>
          <w:sz w:val="20"/>
          <w:szCs w:val="20"/>
        </w:rPr>
      </w:pPr>
      <w:r w:rsidRPr="00FB4EFA">
        <w:rPr>
          <w:sz w:val="20"/>
          <w:szCs w:val="20"/>
        </w:rPr>
        <w:t>HEUTE HABEN WIR SCHON</w:t>
      </w:r>
    </w:p>
    <w:p w14:paraId="46C7E58F" w14:textId="77777777" w:rsidR="00B14B64" w:rsidRPr="00FB4EFA" w:rsidRDefault="00B14B64" w:rsidP="002A3BC9">
      <w:pPr>
        <w:spacing w:line="240" w:lineRule="auto"/>
        <w:ind w:left="426"/>
        <w:rPr>
          <w:sz w:val="20"/>
          <w:szCs w:val="20"/>
        </w:rPr>
      </w:pPr>
      <w:r w:rsidRPr="00FB4EFA">
        <w:rPr>
          <w:sz w:val="20"/>
          <w:szCs w:val="20"/>
        </w:rPr>
        <w:t>EIN MINDERHEITENGESETZ</w:t>
      </w:r>
    </w:p>
    <w:p w14:paraId="7DBE68E6" w14:textId="77777777" w:rsidR="00B14B64" w:rsidRPr="00FB4EFA" w:rsidRDefault="00B14B64" w:rsidP="002A3BC9">
      <w:pPr>
        <w:spacing w:line="240" w:lineRule="auto"/>
        <w:ind w:left="426"/>
        <w:rPr>
          <w:sz w:val="20"/>
          <w:szCs w:val="20"/>
        </w:rPr>
      </w:pPr>
      <w:r w:rsidRPr="00FB4EFA">
        <w:rPr>
          <w:sz w:val="20"/>
          <w:szCs w:val="20"/>
        </w:rPr>
        <w:t>Jetzt bedeuten wir dem Westen nur billige Arbeitskraft</w:t>
      </w:r>
    </w:p>
    <w:p w14:paraId="0CCB4A7A" w14:textId="77777777" w:rsidR="00B14B64" w:rsidRPr="00FB4EFA" w:rsidRDefault="00B14B64" w:rsidP="002A3BC9">
      <w:pPr>
        <w:spacing w:line="240" w:lineRule="auto"/>
        <w:ind w:left="426"/>
        <w:rPr>
          <w:sz w:val="20"/>
          <w:szCs w:val="20"/>
        </w:rPr>
      </w:pPr>
      <w:r w:rsidRPr="00FB4EFA">
        <w:rPr>
          <w:sz w:val="20"/>
          <w:szCs w:val="20"/>
        </w:rPr>
        <w:t>jetzt werden wir als Touristenattraktion gezeigt</w:t>
      </w:r>
    </w:p>
    <w:p w14:paraId="6DF4D4CD" w14:textId="77777777" w:rsidR="00B14B64" w:rsidRPr="00FB4EFA" w:rsidRDefault="00B14B64" w:rsidP="002A3BC9">
      <w:pPr>
        <w:spacing w:line="240" w:lineRule="auto"/>
        <w:ind w:left="426"/>
        <w:rPr>
          <w:sz w:val="20"/>
          <w:szCs w:val="20"/>
        </w:rPr>
      </w:pPr>
      <w:r w:rsidRPr="00FB4EFA">
        <w:rPr>
          <w:sz w:val="20"/>
          <w:szCs w:val="20"/>
        </w:rPr>
        <w:t>jetzt werden sich die</w:t>
      </w:r>
    </w:p>
    <w:p w14:paraId="6494BC4C" w14:textId="77777777" w:rsidR="00B14B64" w:rsidRPr="00FB4EFA" w:rsidRDefault="00B14B64" w:rsidP="002A3BC9">
      <w:pPr>
        <w:spacing w:line="240" w:lineRule="auto"/>
        <w:ind w:left="426"/>
        <w:rPr>
          <w:sz w:val="20"/>
          <w:szCs w:val="20"/>
        </w:rPr>
      </w:pPr>
      <w:r w:rsidRPr="00FB4EFA">
        <w:rPr>
          <w:sz w:val="20"/>
          <w:szCs w:val="20"/>
        </w:rPr>
        <w:t>Gegensätze mit der Mehrheitsnation zuspitzen</w:t>
      </w:r>
    </w:p>
    <w:p w14:paraId="3908AB51" w14:textId="77777777" w:rsidR="00B14B64" w:rsidRPr="00FB4EFA" w:rsidRDefault="00B14B64" w:rsidP="002A3BC9">
      <w:pPr>
        <w:spacing w:line="240" w:lineRule="auto"/>
        <w:ind w:left="426"/>
        <w:rPr>
          <w:sz w:val="20"/>
          <w:szCs w:val="20"/>
        </w:rPr>
      </w:pPr>
      <w:r w:rsidRPr="00FB4EFA">
        <w:rPr>
          <w:sz w:val="20"/>
          <w:szCs w:val="20"/>
        </w:rPr>
        <w:t>jetzt säen wir wieder Uneinigkeit unter uns</w:t>
      </w:r>
    </w:p>
    <w:p w14:paraId="1CA117FF" w14:textId="77777777" w:rsidR="00B14B64" w:rsidRPr="00FB4EFA" w:rsidRDefault="00B14B64" w:rsidP="002A3BC9">
      <w:pPr>
        <w:spacing w:line="240" w:lineRule="auto"/>
        <w:ind w:left="426"/>
        <w:rPr>
          <w:sz w:val="20"/>
          <w:szCs w:val="20"/>
        </w:rPr>
      </w:pPr>
      <w:r w:rsidRPr="00FB4EFA">
        <w:rPr>
          <w:sz w:val="20"/>
          <w:szCs w:val="20"/>
        </w:rPr>
        <w:t>jetzt verscheiden unsere</w:t>
      </w:r>
    </w:p>
    <w:p w14:paraId="6B2255BF" w14:textId="77777777" w:rsidR="00B14B64" w:rsidRPr="00FB4EFA" w:rsidRDefault="00B14B64" w:rsidP="002A3BC9">
      <w:pPr>
        <w:spacing w:line="240" w:lineRule="auto"/>
        <w:ind w:left="426"/>
        <w:rPr>
          <w:sz w:val="20"/>
          <w:szCs w:val="20"/>
        </w:rPr>
      </w:pPr>
      <w:r w:rsidRPr="00FB4EFA">
        <w:rPr>
          <w:sz w:val="20"/>
          <w:szCs w:val="20"/>
        </w:rPr>
        <w:t>noch deutsch sprechende Großeltern</w:t>
      </w:r>
    </w:p>
    <w:p w14:paraId="1F405E80" w14:textId="77777777" w:rsidR="00B14B64" w:rsidRPr="00FB4EFA" w:rsidRDefault="00B14B64" w:rsidP="002A3BC9">
      <w:pPr>
        <w:spacing w:line="240" w:lineRule="auto"/>
        <w:ind w:left="426"/>
        <w:rPr>
          <w:sz w:val="20"/>
          <w:szCs w:val="20"/>
        </w:rPr>
      </w:pPr>
      <w:r w:rsidRPr="00FB4EFA">
        <w:rPr>
          <w:sz w:val="20"/>
          <w:szCs w:val="20"/>
        </w:rPr>
        <w:t>jetzt vermodern unsere Stammbäume</w:t>
      </w:r>
    </w:p>
    <w:p w14:paraId="03760D60" w14:textId="77777777" w:rsidR="00B14B64" w:rsidRPr="00FB4EFA" w:rsidRDefault="00B14B64" w:rsidP="002A3BC9">
      <w:pPr>
        <w:spacing w:line="240" w:lineRule="auto"/>
        <w:ind w:left="426"/>
        <w:rPr>
          <w:sz w:val="20"/>
          <w:szCs w:val="20"/>
        </w:rPr>
      </w:pPr>
      <w:r w:rsidRPr="00FB4EFA">
        <w:rPr>
          <w:sz w:val="20"/>
          <w:szCs w:val="20"/>
        </w:rPr>
        <w:t>jetzt wird die allerletzte Wurzel herausgerissen</w:t>
      </w:r>
    </w:p>
    <w:p w14:paraId="62EBCA2E" w14:textId="77777777" w:rsidR="00B14B64" w:rsidRPr="00FB4EFA" w:rsidRDefault="00B14B64" w:rsidP="002A3BC9">
      <w:pPr>
        <w:spacing w:line="240" w:lineRule="auto"/>
        <w:ind w:left="426"/>
        <w:rPr>
          <w:sz w:val="20"/>
          <w:szCs w:val="20"/>
        </w:rPr>
      </w:pPr>
      <w:r w:rsidRPr="00FB4EFA">
        <w:rPr>
          <w:sz w:val="20"/>
          <w:szCs w:val="20"/>
        </w:rPr>
        <w:t>von uns selbst</w:t>
      </w:r>
    </w:p>
    <w:p w14:paraId="0AB82A4B" w14:textId="77777777" w:rsidR="00B14B64" w:rsidRPr="00FB4EFA" w:rsidRDefault="00B14B64" w:rsidP="002A3BC9">
      <w:pPr>
        <w:spacing w:line="240" w:lineRule="auto"/>
        <w:ind w:left="426"/>
        <w:rPr>
          <w:sz w:val="20"/>
          <w:szCs w:val="20"/>
        </w:rPr>
      </w:pPr>
      <w:r w:rsidRPr="00FB4EFA">
        <w:rPr>
          <w:sz w:val="20"/>
          <w:szCs w:val="20"/>
        </w:rPr>
        <w:t>jetzt vergeuden wir</w:t>
      </w:r>
    </w:p>
    <w:p w14:paraId="563B4215" w14:textId="77777777" w:rsidR="00B14B64" w:rsidRPr="00FB4EFA" w:rsidRDefault="00B14B64" w:rsidP="002A3BC9">
      <w:pPr>
        <w:spacing w:line="240" w:lineRule="auto"/>
        <w:ind w:left="426"/>
        <w:rPr>
          <w:sz w:val="20"/>
          <w:szCs w:val="20"/>
        </w:rPr>
      </w:pPr>
      <w:r w:rsidRPr="00FB4EFA">
        <w:rPr>
          <w:sz w:val="20"/>
          <w:szCs w:val="20"/>
        </w:rPr>
        <w:t>die zurückgelegten Kreuzer unseres Erbes</w:t>
      </w:r>
    </w:p>
    <w:p w14:paraId="3A62FA5E" w14:textId="77777777" w:rsidR="00B14B64" w:rsidRPr="00FB4EFA" w:rsidRDefault="00B14B64" w:rsidP="002A3BC9">
      <w:pPr>
        <w:spacing w:line="240" w:lineRule="auto"/>
        <w:ind w:left="426"/>
        <w:rPr>
          <w:sz w:val="20"/>
          <w:szCs w:val="20"/>
        </w:rPr>
      </w:pPr>
      <w:r w:rsidRPr="00FB4EFA">
        <w:rPr>
          <w:sz w:val="20"/>
          <w:szCs w:val="20"/>
        </w:rPr>
        <w:t>jetzt verkaufen wir unsere</w:t>
      </w:r>
    </w:p>
    <w:p w14:paraId="022BC0B8" w14:textId="77777777" w:rsidR="00B14B64" w:rsidRPr="00FB4EFA" w:rsidRDefault="00B14B64" w:rsidP="002A3BC9">
      <w:pPr>
        <w:spacing w:line="240" w:lineRule="auto"/>
        <w:ind w:left="426"/>
        <w:rPr>
          <w:sz w:val="20"/>
          <w:szCs w:val="20"/>
        </w:rPr>
      </w:pPr>
      <w:r w:rsidRPr="00FB4EFA">
        <w:rPr>
          <w:sz w:val="20"/>
          <w:szCs w:val="20"/>
        </w:rPr>
        <w:t>noch auffindbaren Volkstrachten</w:t>
      </w:r>
    </w:p>
    <w:p w14:paraId="638CFAC7" w14:textId="77777777" w:rsidR="00B14B64" w:rsidRPr="00FB4EFA" w:rsidRDefault="00B14B64" w:rsidP="002A3BC9">
      <w:pPr>
        <w:spacing w:line="240" w:lineRule="auto"/>
        <w:ind w:left="426"/>
        <w:rPr>
          <w:sz w:val="20"/>
          <w:szCs w:val="20"/>
        </w:rPr>
      </w:pPr>
      <w:r w:rsidRPr="00FB4EFA">
        <w:rPr>
          <w:sz w:val="20"/>
          <w:szCs w:val="20"/>
        </w:rPr>
        <w:t>jetzt stehen wir splitternackt da</w:t>
      </w:r>
    </w:p>
    <w:p w14:paraId="327D9D61" w14:textId="77777777" w:rsidR="00B14B64" w:rsidRPr="00FB4EFA" w:rsidRDefault="00B14B64" w:rsidP="002A3BC9">
      <w:pPr>
        <w:spacing w:line="240" w:lineRule="auto"/>
        <w:ind w:left="426"/>
        <w:rPr>
          <w:sz w:val="20"/>
          <w:szCs w:val="20"/>
        </w:rPr>
      </w:pPr>
      <w:r w:rsidRPr="00FB4EFA">
        <w:rPr>
          <w:sz w:val="20"/>
          <w:szCs w:val="20"/>
        </w:rPr>
        <w:t>jetzt drehen sich unsere Ahnen im Grabe um</w:t>
      </w:r>
    </w:p>
    <w:p w14:paraId="180B711A" w14:textId="77777777" w:rsidR="00B14B64" w:rsidRPr="00FB4EFA" w:rsidRDefault="00B14B64" w:rsidP="002A3BC9">
      <w:pPr>
        <w:spacing w:line="240" w:lineRule="auto"/>
        <w:ind w:left="426"/>
        <w:rPr>
          <w:sz w:val="20"/>
          <w:szCs w:val="20"/>
        </w:rPr>
      </w:pPr>
      <w:r w:rsidRPr="00FB4EFA">
        <w:rPr>
          <w:sz w:val="20"/>
          <w:szCs w:val="20"/>
        </w:rPr>
        <w:t>jetzt schnitzen wir unsere eigenen Grabhölzer</w:t>
      </w:r>
    </w:p>
    <w:p w14:paraId="09FEA447" w14:textId="77777777" w:rsidR="00B14B64" w:rsidRPr="00FB4EFA" w:rsidRDefault="00B14B64" w:rsidP="002A3BC9">
      <w:pPr>
        <w:spacing w:line="240" w:lineRule="auto"/>
        <w:ind w:left="426"/>
        <w:rPr>
          <w:sz w:val="20"/>
          <w:szCs w:val="20"/>
        </w:rPr>
      </w:pPr>
      <w:r w:rsidRPr="00FB4EFA">
        <w:rPr>
          <w:sz w:val="20"/>
          <w:szCs w:val="20"/>
        </w:rPr>
        <w:t>jetzt bekommen wir die letzte Ölung</w:t>
      </w:r>
    </w:p>
    <w:p w14:paraId="08F0E341" w14:textId="77777777" w:rsidR="00B14B64" w:rsidRPr="00FB4EFA" w:rsidRDefault="00B14B64" w:rsidP="002A3BC9">
      <w:pPr>
        <w:spacing w:line="240" w:lineRule="auto"/>
        <w:ind w:left="426"/>
        <w:rPr>
          <w:sz w:val="20"/>
          <w:szCs w:val="20"/>
        </w:rPr>
      </w:pPr>
      <w:r w:rsidRPr="00FB4EFA">
        <w:rPr>
          <w:sz w:val="20"/>
          <w:szCs w:val="20"/>
        </w:rPr>
        <w:t>Jetzt…</w:t>
      </w:r>
    </w:p>
    <w:p w14:paraId="1C4AF594" w14:textId="77777777" w:rsidR="00B14B64" w:rsidRPr="00FB4EFA" w:rsidRDefault="00B14B64" w:rsidP="002A3BC9">
      <w:pPr>
        <w:spacing w:line="240" w:lineRule="auto"/>
        <w:ind w:left="426"/>
        <w:rPr>
          <w:sz w:val="20"/>
          <w:szCs w:val="20"/>
        </w:rPr>
      </w:pPr>
      <w:r w:rsidRPr="00FB4EFA">
        <w:rPr>
          <w:sz w:val="20"/>
          <w:szCs w:val="20"/>
        </w:rPr>
        <w:t>Jetzt atmen wir noch</w:t>
      </w:r>
    </w:p>
    <w:p w14:paraId="02BBF4C1" w14:textId="77777777" w:rsidR="00B14B64" w:rsidRPr="00FB4EFA" w:rsidRDefault="00B14B64" w:rsidP="002A3BC9">
      <w:pPr>
        <w:spacing w:line="240" w:lineRule="auto"/>
        <w:ind w:left="426"/>
        <w:rPr>
          <w:sz w:val="20"/>
          <w:szCs w:val="20"/>
        </w:rPr>
      </w:pPr>
      <w:r w:rsidRPr="00FB4EFA">
        <w:rPr>
          <w:sz w:val="20"/>
          <w:szCs w:val="20"/>
        </w:rPr>
        <w:t>Jetzt möchte ich doch hoffen…</w:t>
      </w:r>
    </w:p>
    <w:p w14:paraId="7FA93640" w14:textId="77777777" w:rsidR="00B14B64" w:rsidRPr="00FB4EFA" w:rsidRDefault="00B14B64" w:rsidP="002A3BC9">
      <w:pPr>
        <w:spacing w:line="240" w:lineRule="auto"/>
        <w:ind w:left="426"/>
        <w:rPr>
          <w:sz w:val="20"/>
          <w:szCs w:val="20"/>
        </w:rPr>
      </w:pPr>
      <w:r w:rsidRPr="00FB4EFA">
        <w:rPr>
          <w:sz w:val="20"/>
          <w:szCs w:val="20"/>
        </w:rPr>
        <w:t>HEUTE LERNEN UNSERE NACHKOMMEN</w:t>
      </w:r>
    </w:p>
    <w:p w14:paraId="1993208D" w14:textId="77777777" w:rsidR="00B14B64" w:rsidRPr="00FB4EFA" w:rsidRDefault="00B14B64" w:rsidP="002A3BC9">
      <w:pPr>
        <w:spacing w:line="240" w:lineRule="auto"/>
        <w:ind w:left="426"/>
        <w:rPr>
          <w:sz w:val="20"/>
          <w:szCs w:val="20"/>
        </w:rPr>
      </w:pPr>
      <w:r w:rsidRPr="00FB4EFA">
        <w:rPr>
          <w:sz w:val="20"/>
          <w:szCs w:val="20"/>
        </w:rPr>
        <w:lastRenderedPageBreak/>
        <w:t>IM KINDERGARTEN</w:t>
      </w:r>
    </w:p>
    <w:p w14:paraId="3C548FF9" w14:textId="77777777" w:rsidR="00B14B64" w:rsidRPr="00FB4EFA" w:rsidRDefault="00B14B64" w:rsidP="002A3BC9">
      <w:pPr>
        <w:spacing w:line="240" w:lineRule="auto"/>
        <w:ind w:left="426"/>
        <w:rPr>
          <w:sz w:val="20"/>
          <w:szCs w:val="20"/>
        </w:rPr>
      </w:pPr>
      <w:r w:rsidRPr="00FB4EFA">
        <w:rPr>
          <w:sz w:val="20"/>
          <w:szCs w:val="20"/>
        </w:rPr>
        <w:t>ALS MUTTERSPRACHE</w:t>
      </w:r>
    </w:p>
    <w:p w14:paraId="132419A1" w14:textId="77777777" w:rsidR="00B14B64" w:rsidRPr="00FB4EFA" w:rsidRDefault="00B14B64" w:rsidP="002A3BC9">
      <w:pPr>
        <w:spacing w:line="240" w:lineRule="auto"/>
        <w:ind w:left="426"/>
        <w:rPr>
          <w:sz w:val="20"/>
          <w:szCs w:val="20"/>
        </w:rPr>
      </w:pPr>
      <w:r w:rsidRPr="00FB4EFA">
        <w:rPr>
          <w:sz w:val="20"/>
          <w:szCs w:val="20"/>
        </w:rPr>
        <w:t>EINE FREMDSPRACHE</w:t>
      </w:r>
    </w:p>
    <w:p w14:paraId="6AF7E49E" w14:textId="77777777" w:rsidR="00B14B64" w:rsidRPr="00FB4EFA" w:rsidRDefault="00B14B64" w:rsidP="002A3BC9">
      <w:pPr>
        <w:spacing w:line="240" w:lineRule="auto"/>
        <w:ind w:left="426"/>
        <w:rPr>
          <w:sz w:val="20"/>
          <w:szCs w:val="20"/>
        </w:rPr>
      </w:pPr>
      <w:r w:rsidRPr="00FB4EFA">
        <w:rPr>
          <w:sz w:val="20"/>
          <w:szCs w:val="20"/>
        </w:rPr>
        <w:t>Most magyarul folytassam?</w:t>
      </w:r>
    </w:p>
    <w:p w14:paraId="430A64E7" w14:textId="77777777" w:rsidR="00B14B64" w:rsidRPr="00FB4EFA" w:rsidRDefault="00B14B64" w:rsidP="002A3BC9">
      <w:pPr>
        <w:spacing w:line="240" w:lineRule="auto"/>
        <w:ind w:left="426"/>
        <w:rPr>
          <w:sz w:val="20"/>
          <w:szCs w:val="20"/>
        </w:rPr>
      </w:pPr>
      <w:r w:rsidRPr="00FB4EFA">
        <w:rPr>
          <w:sz w:val="20"/>
          <w:szCs w:val="20"/>
        </w:rPr>
        <w:t>(Soll ich jetzt ungarisch fortsetzen?)</w:t>
      </w:r>
    </w:p>
    <w:p w14:paraId="00CDD427" w14:textId="77777777" w:rsidR="00B14B64" w:rsidRPr="00FB4EFA" w:rsidRDefault="00B14B64" w:rsidP="002A3BC9">
      <w:pPr>
        <w:spacing w:after="240" w:line="240" w:lineRule="auto"/>
        <w:ind w:left="426"/>
        <w:rPr>
          <w:sz w:val="20"/>
          <w:szCs w:val="20"/>
          <w:lang w:val="en-GB"/>
        </w:rPr>
      </w:pPr>
      <w:r w:rsidRPr="00FB4EFA">
        <w:rPr>
          <w:sz w:val="20"/>
          <w:szCs w:val="20"/>
          <w:lang w:val="en-GB"/>
        </w:rPr>
        <w:t>(Bechtel &amp; Szendi 2014)</w:t>
      </w:r>
    </w:p>
    <w:p w14:paraId="735094A9" w14:textId="06A16709" w:rsidR="00B14B64" w:rsidRPr="00FB4EFA" w:rsidRDefault="00B14B64" w:rsidP="00857D2A">
      <w:pPr>
        <w:rPr>
          <w:lang w:val="en-GB"/>
        </w:rPr>
      </w:pPr>
      <w:r w:rsidRPr="00FB4EFA">
        <w:rPr>
          <w:lang w:val="en-GB"/>
        </w:rPr>
        <w:t>Michaelis’ poem recounts the death struggle of the Hungarian-German minority beginning with the traumatic events after the Second World War up until the present in which effort</w:t>
      </w:r>
      <w:r w:rsidR="007F2197" w:rsidRPr="00FB4EFA">
        <w:rPr>
          <w:lang w:val="en-GB"/>
        </w:rPr>
        <w:t>s are made</w:t>
      </w:r>
      <w:r w:rsidRPr="00FB4EFA">
        <w:rPr>
          <w:lang w:val="en-GB"/>
        </w:rPr>
        <w:t xml:space="preserve"> to keep the minority alive by means of a minority law. But, in his framing, the minority has already lost its connection to itself, has lost its identity – by selling its national costumes, by acting as tourist attractions in order to capitali</w:t>
      </w:r>
      <w:r w:rsidR="001C0E73" w:rsidRPr="00FB4EFA">
        <w:rPr>
          <w:lang w:val="en-GB" w:eastAsia="zh-CN"/>
        </w:rPr>
        <w:t>z</w:t>
      </w:r>
      <w:r w:rsidRPr="00FB4EFA">
        <w:rPr>
          <w:lang w:val="en-GB"/>
        </w:rPr>
        <w:t xml:space="preserve">e on its status – and has lost its language. What stands out in this poem is that the members of the minority are held responsible for their own extinction: </w:t>
      </w:r>
      <w:r w:rsidRPr="00FB4EFA">
        <w:rPr>
          <w:i/>
          <w:iCs/>
          <w:lang w:val="en-GB"/>
        </w:rPr>
        <w:t>our mothers</w:t>
      </w:r>
      <w:r w:rsidRPr="00FB4EFA">
        <w:rPr>
          <w:lang w:val="en-GB"/>
        </w:rPr>
        <w:t xml:space="preserve"> stopped singing German lullabies, </w:t>
      </w:r>
      <w:r w:rsidRPr="00FB4EFA">
        <w:rPr>
          <w:i/>
          <w:iCs/>
          <w:lang w:val="en-GB"/>
        </w:rPr>
        <w:t>we</w:t>
      </w:r>
      <w:r w:rsidRPr="00FB4EFA">
        <w:rPr>
          <w:lang w:val="en-GB"/>
        </w:rPr>
        <w:t xml:space="preserve"> stopped talking German, </w:t>
      </w:r>
      <w:r w:rsidRPr="00FB4EFA">
        <w:rPr>
          <w:i/>
          <w:iCs/>
          <w:lang w:val="en-GB"/>
        </w:rPr>
        <w:t>we</w:t>
      </w:r>
      <w:r w:rsidRPr="00FB4EFA">
        <w:rPr>
          <w:lang w:val="en-GB"/>
        </w:rPr>
        <w:t xml:space="preserve"> left our graveyards to rot, </w:t>
      </w:r>
      <w:r w:rsidRPr="00FB4EFA">
        <w:rPr>
          <w:i/>
          <w:iCs/>
          <w:lang w:val="en-GB"/>
        </w:rPr>
        <w:t>we</w:t>
      </w:r>
      <w:r w:rsidRPr="00FB4EFA">
        <w:rPr>
          <w:lang w:val="en-GB"/>
        </w:rPr>
        <w:t xml:space="preserve"> are divisive, </w:t>
      </w:r>
      <w:r w:rsidRPr="00FB4EFA">
        <w:rPr>
          <w:i/>
          <w:iCs/>
          <w:lang w:val="en-GB"/>
        </w:rPr>
        <w:t>we</w:t>
      </w:r>
      <w:r w:rsidRPr="00FB4EFA">
        <w:rPr>
          <w:lang w:val="en-GB"/>
        </w:rPr>
        <w:t xml:space="preserve"> rip out our last roots and waste our inheritance. He does not elaborate on the actual cause of this development – the past events mentioned at the beginning of the poem – but rather leaves the reali</w:t>
      </w:r>
      <w:r w:rsidR="001C0E73" w:rsidRPr="00FB4EFA">
        <w:rPr>
          <w:lang w:val="en-GB" w:eastAsia="zh-CN"/>
        </w:rPr>
        <w:t>z</w:t>
      </w:r>
      <w:r w:rsidRPr="00FB4EFA">
        <w:rPr>
          <w:lang w:val="en-GB"/>
        </w:rPr>
        <w:t>ation to the reader. The poem reads like an accusation that the minority has given up, that it has not managed to hold on to its language and its identity despite the atrocities of the wartime and the early Stalinist years in Hungary. Still, the agony ends with a tone of hope, although it seems tainted: we are still breathing</w:t>
      </w:r>
      <w:r w:rsidR="00796AD3" w:rsidRPr="00FB4EFA">
        <w:rPr>
          <w:lang w:val="en-GB"/>
        </w:rPr>
        <w:t xml:space="preserve"> </w:t>
      </w:r>
      <w:r w:rsidRPr="00FB4EFA">
        <w:rPr>
          <w:lang w:val="en-GB"/>
        </w:rPr>
        <w:t xml:space="preserve">… but the language change has been completed: </w:t>
      </w:r>
      <w:r w:rsidRPr="00FB4EFA">
        <w:rPr>
          <w:i/>
          <w:iCs/>
          <w:lang w:val="en-GB"/>
        </w:rPr>
        <w:t>Do I have to continue in Hungarian?</w:t>
      </w:r>
      <w:r w:rsidRPr="00FB4EFA">
        <w:rPr>
          <w:lang w:val="en-GB"/>
        </w:rPr>
        <w:t xml:space="preserve"> – a question that has become crucial for the Hungarian-German minority and its literature today. Research shows that the functional first language of the Hungarian-Germans is indeed Hungarian which they not only know best but use the most in the public and private spheres alike (Erb 2010: 137).</w:t>
      </w:r>
    </w:p>
    <w:p w14:paraId="756415F2" w14:textId="71031DC8" w:rsidR="00B14B64" w:rsidRPr="00FB4EFA" w:rsidRDefault="00B14B64" w:rsidP="00857D2A">
      <w:pPr>
        <w:spacing w:after="240"/>
        <w:ind w:firstLine="709"/>
        <w:rPr>
          <w:lang w:val="en-GB"/>
        </w:rPr>
      </w:pPr>
      <w:r w:rsidRPr="00FB4EFA">
        <w:rPr>
          <w:lang w:val="en-GB"/>
        </w:rPr>
        <w:t>While Michaelis writes a series of texts and poems in which he openly and critically deals with the Hungarian-German past and relates it to the present, this third generation of writers is also dominated by the strategies of coming to terms with the past already known from previous generations: the effort to make peace, to look forward instead of backward, the invocation of community and the call for solidarity as a minority. Val</w:t>
      </w:r>
      <w:r w:rsidR="007F2197" w:rsidRPr="00FB4EFA">
        <w:rPr>
          <w:lang w:val="en-GB"/>
        </w:rPr>
        <w:t>é</w:t>
      </w:r>
      <w:r w:rsidRPr="00FB4EFA">
        <w:rPr>
          <w:lang w:val="en-GB"/>
        </w:rPr>
        <w:t xml:space="preserve">ria Koch’s poem </w:t>
      </w:r>
      <w:r w:rsidRPr="00FB4EFA">
        <w:rPr>
          <w:i/>
          <w:iCs/>
          <w:lang w:val="en-GB"/>
        </w:rPr>
        <w:t>Gedenkzeilen über die Vertreibung</w:t>
      </w:r>
      <w:r w:rsidRPr="00FB4EFA">
        <w:rPr>
          <w:lang w:val="en-GB"/>
        </w:rPr>
        <w:t xml:space="preserve"> written in </w:t>
      </w:r>
      <w:r w:rsidRPr="00FB4EFA">
        <w:rPr>
          <w:lang w:val="en-GB"/>
        </w:rPr>
        <w:lastRenderedPageBreak/>
        <w:t>1996 serves as an exemplary text for this – the last two verses are cited below:</w:t>
      </w:r>
    </w:p>
    <w:p w14:paraId="1BAAE8B7" w14:textId="77777777" w:rsidR="00B14B64" w:rsidRPr="00FB4EFA" w:rsidRDefault="00B14B64" w:rsidP="002A3BC9">
      <w:pPr>
        <w:suppressAutoHyphens/>
        <w:spacing w:after="240" w:line="240" w:lineRule="auto"/>
        <w:ind w:left="425"/>
        <w:rPr>
          <w:sz w:val="20"/>
          <w:szCs w:val="20"/>
          <w:lang w:val="en-GB"/>
        </w:rPr>
      </w:pPr>
      <w:r w:rsidRPr="00FB4EFA">
        <w:rPr>
          <w:sz w:val="20"/>
          <w:szCs w:val="20"/>
        </w:rPr>
        <w:t xml:space="preserve">Wir feiern mit leisen, versöhnenden Tönen, / gedenken des Schicksals von Vätern und Söhnen,/ von mißbrauchten Kindern, die wir damals waren, / wir wollen der Zukunft jeden Haß ersparen. // Nie wieder Verirren im Dschungel der Gewalt, / vergebet dem Nächsten, der Unheil gestiftet, / stoppt schon den kleinsten Haß und sagt rechtzeitig Halt, / lebt friedlich; bei Gott wird der Feind streng gerichtet. </w:t>
      </w:r>
      <w:r w:rsidRPr="00FB4EFA">
        <w:rPr>
          <w:sz w:val="20"/>
          <w:szCs w:val="20"/>
          <w:lang w:val="en-GB"/>
        </w:rPr>
        <w:t>(Bechtel &amp; Szendi 2014)</w:t>
      </w:r>
    </w:p>
    <w:p w14:paraId="06AE7B71" w14:textId="77777777" w:rsidR="00B14B64" w:rsidRPr="00FB4EFA" w:rsidRDefault="00B14B64" w:rsidP="00857D2A">
      <w:pPr>
        <w:pStyle w:val="Heading3"/>
        <w:spacing w:line="259" w:lineRule="auto"/>
      </w:pPr>
      <w:r w:rsidRPr="00FB4EFA">
        <w:t>The fourth generation</w:t>
      </w:r>
    </w:p>
    <w:p w14:paraId="6EC2520C" w14:textId="34407982" w:rsidR="00B14B64" w:rsidRPr="00FB4EFA" w:rsidRDefault="007F2197" w:rsidP="00857D2A">
      <w:pPr>
        <w:rPr>
          <w:lang w:val="en-GB"/>
        </w:rPr>
      </w:pPr>
      <w:r w:rsidRPr="00FB4EFA">
        <w:rPr>
          <w:rFonts w:eastAsia="Arial Unicode MS" w:cs="Arial Unicode MS"/>
          <w:kern w:val="2"/>
          <w:szCs w:val="24"/>
          <w:lang w:val="en-GB" w:eastAsia="zh-CN" w:bidi="hi-IN"/>
        </w:rPr>
        <w:t>Y</w:t>
      </w:r>
      <w:r w:rsidR="00B14B64" w:rsidRPr="00FB4EFA">
        <w:rPr>
          <w:lang w:val="en-GB"/>
        </w:rPr>
        <w:t>ounger writers such as Christina Arnold (*1977), Andrea Czövek (*1979), Laura Kolbach (*1974), Angela Korb (*1982), Mónika Szeifert (*1977)</w:t>
      </w:r>
      <w:r w:rsidRPr="00FB4EFA">
        <w:rPr>
          <w:lang w:val="en-GB"/>
        </w:rPr>
        <w:t>,</w:t>
      </w:r>
      <w:r w:rsidR="00B14B64" w:rsidRPr="00FB4EFA">
        <w:rPr>
          <w:lang w:val="en-GB"/>
        </w:rPr>
        <w:t xml:space="preserve"> or Koloman Brenner (*1968)</w:t>
      </w:r>
      <w:r w:rsidRPr="00FB4EFA">
        <w:rPr>
          <w:lang w:val="en-GB"/>
        </w:rPr>
        <w:t xml:space="preserve"> can</w:t>
      </w:r>
      <w:r w:rsidR="00B14B64" w:rsidRPr="00FB4EFA">
        <w:rPr>
          <w:lang w:val="en-GB"/>
        </w:rPr>
        <w:t xml:space="preserve"> be considered the fourth generation of Hungarian-German writers. Regarding their very high level of assimilation, taking up the role as Hungarian-German writers is even more of an intellectual decision than it was for the authors of the previous generation. These writers were mostly born into an urban environment, enjoyed higher education – some of them even studying </w:t>
      </w:r>
      <w:r w:rsidR="00B14B64" w:rsidRPr="00FB4EFA">
        <w:rPr>
          <w:i/>
          <w:iCs/>
          <w:lang w:val="en-GB"/>
        </w:rPr>
        <w:t>German as minority language and literature</w:t>
      </w:r>
      <w:r w:rsidR="00B14B64" w:rsidRPr="00FB4EFA">
        <w:rPr>
          <w:lang w:val="en-GB"/>
        </w:rPr>
        <w:t xml:space="preserve"> at the universities of Budapest or Pécs – but most of them also write regularly in Hungarian. For them, Hungarian-German traditions are mostly part of distant memories of their childhood (</w:t>
      </w:r>
      <w:r w:rsidR="00466236" w:rsidRPr="00FB4EFA">
        <w:rPr>
          <w:lang w:val="en-GB"/>
        </w:rPr>
        <w:t>e.g., </w:t>
      </w:r>
      <w:r w:rsidR="00B14B64" w:rsidRPr="00FB4EFA">
        <w:rPr>
          <w:lang w:val="en-GB"/>
        </w:rPr>
        <w:t>time spent with the</w:t>
      </w:r>
      <w:r w:rsidR="00993677" w:rsidRPr="00FB4EFA">
        <w:rPr>
          <w:lang w:val="en-GB"/>
        </w:rPr>
        <w:t>ir</w:t>
      </w:r>
      <w:r w:rsidR="00B14B64" w:rsidRPr="00FB4EFA">
        <w:rPr>
          <w:lang w:val="en-GB"/>
        </w:rPr>
        <w:t xml:space="preserve"> grandparents living in the countryside)</w:t>
      </w:r>
      <w:r w:rsidR="00993677" w:rsidRPr="00FB4EFA">
        <w:rPr>
          <w:lang w:val="en-GB"/>
        </w:rPr>
        <w:t xml:space="preserve"> and</w:t>
      </w:r>
      <w:r w:rsidR="00B14B64" w:rsidRPr="00FB4EFA">
        <w:rPr>
          <w:lang w:val="en-GB"/>
        </w:rPr>
        <w:t xml:space="preserve"> folkloristic reproductions (</w:t>
      </w:r>
      <w:r w:rsidR="00466236" w:rsidRPr="00FB4EFA">
        <w:rPr>
          <w:lang w:val="en-GB"/>
        </w:rPr>
        <w:t>e.g., </w:t>
      </w:r>
      <w:r w:rsidR="00B14B64" w:rsidRPr="00FB4EFA">
        <w:rPr>
          <w:lang w:val="en-GB"/>
        </w:rPr>
        <w:t xml:space="preserve">being a member of a choir or dance group) or </w:t>
      </w:r>
      <w:r w:rsidR="00B14B64" w:rsidRPr="00FB4EFA">
        <w:rPr>
          <w:rFonts w:eastAsia="Arial Unicode MS" w:cs="Arial Unicode MS"/>
          <w:kern w:val="2"/>
          <w:lang w:val="en-GB" w:eastAsia="zh-CN" w:bidi="hi-IN"/>
        </w:rPr>
        <w:t>serve as</w:t>
      </w:r>
      <w:r w:rsidR="00B14B64" w:rsidRPr="00FB4EFA">
        <w:rPr>
          <w:lang w:val="en-GB"/>
        </w:rPr>
        <w:t xml:space="preserve"> an intellectual framework or discursive reference point for their literary work. Their work is dominated by poetry based on personal experience, reflective poetry, and short prose narrations. The main topics are general life experiences like partings, separations</w:t>
      </w:r>
      <w:r w:rsidR="00993677" w:rsidRPr="00FB4EFA">
        <w:rPr>
          <w:lang w:val="en-GB"/>
        </w:rPr>
        <w:t>,</w:t>
      </w:r>
      <w:r w:rsidR="00B14B64" w:rsidRPr="00FB4EFA">
        <w:rPr>
          <w:lang w:val="en-GB"/>
        </w:rPr>
        <w:t xml:space="preserve"> or (un)happy romantic relationships</w:t>
      </w:r>
      <w:r w:rsidR="00993677" w:rsidRPr="00FB4EFA">
        <w:rPr>
          <w:lang w:val="en-GB"/>
        </w:rPr>
        <w:t xml:space="preserve"> on the one hand,</w:t>
      </w:r>
      <w:r w:rsidR="00B14B64" w:rsidRPr="00FB4EFA">
        <w:rPr>
          <w:lang w:val="en-GB"/>
        </w:rPr>
        <w:t xml:space="preserve"> and specific Hungarian-German topics such as language loss and identity loss – or rather, identity building</w:t>
      </w:r>
      <w:r w:rsidR="00993677" w:rsidRPr="00FB4EFA">
        <w:rPr>
          <w:lang w:val="en-GB"/>
        </w:rPr>
        <w:t xml:space="preserve"> – on the other</w:t>
      </w:r>
      <w:r w:rsidR="00B14B64" w:rsidRPr="00FB4EFA">
        <w:rPr>
          <w:lang w:val="en-GB"/>
        </w:rPr>
        <w:t xml:space="preserve">. This happens through dealing with the well-known topoi of Hungarian-German literature from previous generations, namely nature and village life, the “simple” and authentic life of the ancestors in the countryside, that are sometimes complemented by the grandparental experiences of war captivity and labour camps embedded within the context of their childhood memories or family histories. This narrative strategy yet again supports the above-mentioned discourse of </w:t>
      </w:r>
      <w:r w:rsidR="00B14B64" w:rsidRPr="00FB4EFA">
        <w:rPr>
          <w:lang w:val="en-GB"/>
        </w:rPr>
        <w:lastRenderedPageBreak/>
        <w:t xml:space="preserve">fate, which does not aim to deny or forget the traumas of the past but </w:t>
      </w:r>
      <w:r w:rsidR="00993677" w:rsidRPr="00FB4EFA">
        <w:rPr>
          <w:lang w:val="en-GB"/>
        </w:rPr>
        <w:t xml:space="preserve">neither </w:t>
      </w:r>
      <w:r w:rsidR="00B14B64" w:rsidRPr="00FB4EFA">
        <w:rPr>
          <w:lang w:val="en-GB"/>
        </w:rPr>
        <w:t xml:space="preserve">does </w:t>
      </w:r>
      <w:r w:rsidR="00993677" w:rsidRPr="00FB4EFA">
        <w:rPr>
          <w:lang w:val="en-GB"/>
        </w:rPr>
        <w:t>it</w:t>
      </w:r>
      <w:r w:rsidR="00B14B64" w:rsidRPr="00FB4EFA">
        <w:rPr>
          <w:lang w:val="en-GB"/>
        </w:rPr>
        <w:t xml:space="preserve"> initiate a more critical examination of what happened, a deeper coming to terms with the past and its significance for the present of the minority. On the one hand, it seems these younger writers try to </w:t>
      </w:r>
      <w:r w:rsidR="00B14B64" w:rsidRPr="00FB4EFA">
        <w:rPr>
          <w:rFonts w:cs="Arial"/>
          <w:lang w:val="en-GB"/>
        </w:rPr>
        <w:t>meet the challenge of embracing the implications of a modern</w:t>
      </w:r>
      <w:r w:rsidR="00B14B64" w:rsidRPr="00FB4EFA">
        <w:rPr>
          <w:lang w:val="en-GB"/>
        </w:rPr>
        <w:t xml:space="preserve"> </w:t>
      </w:r>
      <w:r w:rsidR="00B14B64" w:rsidRPr="00FB4EFA">
        <w:rPr>
          <w:rFonts w:cs="Arial"/>
          <w:lang w:val="en-GB"/>
        </w:rPr>
        <w:t>heterogeneous</w:t>
      </w:r>
      <w:r w:rsidR="00B14B64" w:rsidRPr="00FB4EFA">
        <w:rPr>
          <w:lang w:val="en-GB"/>
        </w:rPr>
        <w:t xml:space="preserve"> minority </w:t>
      </w:r>
      <w:r w:rsidR="00B14B64" w:rsidRPr="00FB4EFA">
        <w:rPr>
          <w:rFonts w:cs="Arial"/>
          <w:lang w:val="en-GB"/>
        </w:rPr>
        <w:t>society</w:t>
      </w:r>
      <w:r w:rsidR="00B14B64" w:rsidRPr="00FB4EFA">
        <w:rPr>
          <w:lang w:val="en-GB"/>
        </w:rPr>
        <w:t xml:space="preserve"> </w:t>
      </w:r>
      <w:r w:rsidR="00B14B64" w:rsidRPr="00FB4EFA">
        <w:rPr>
          <w:rFonts w:cs="Arial"/>
          <w:lang w:val="en-GB"/>
        </w:rPr>
        <w:t>of individuals</w:t>
      </w:r>
      <w:r w:rsidR="00B14B64" w:rsidRPr="00FB4EFA">
        <w:rPr>
          <w:lang w:val="en-GB"/>
        </w:rPr>
        <w:t xml:space="preserve"> </w:t>
      </w:r>
      <w:r w:rsidR="00B14B64" w:rsidRPr="00FB4EFA">
        <w:rPr>
          <w:rFonts w:cs="Arial"/>
          <w:lang w:val="en-GB"/>
        </w:rPr>
        <w:t>with multiple</w:t>
      </w:r>
      <w:r w:rsidR="00B14B64" w:rsidRPr="00FB4EFA">
        <w:rPr>
          <w:lang w:val="en-GB"/>
        </w:rPr>
        <w:t xml:space="preserve">, </w:t>
      </w:r>
      <w:r w:rsidR="00B14B64" w:rsidRPr="00FB4EFA">
        <w:rPr>
          <w:rFonts w:cs="Arial"/>
          <w:lang w:val="en-GB"/>
        </w:rPr>
        <w:t>split</w:t>
      </w:r>
      <w:r w:rsidR="00B14B64" w:rsidRPr="00FB4EFA">
        <w:rPr>
          <w:lang w:val="en-GB"/>
        </w:rPr>
        <w:t xml:space="preserve"> </w:t>
      </w:r>
      <w:r w:rsidR="00B14B64" w:rsidRPr="00FB4EFA">
        <w:rPr>
          <w:rFonts w:cs="Arial"/>
          <w:lang w:val="en-GB"/>
        </w:rPr>
        <w:t>and/or</w:t>
      </w:r>
      <w:r w:rsidR="00B14B64" w:rsidRPr="00FB4EFA">
        <w:rPr>
          <w:lang w:val="en-GB"/>
        </w:rPr>
        <w:t xml:space="preserve"> </w:t>
      </w:r>
      <w:r w:rsidR="00B14B64" w:rsidRPr="00FB4EFA">
        <w:rPr>
          <w:rFonts w:cs="Arial"/>
          <w:lang w:val="en-GB"/>
        </w:rPr>
        <w:t>fractured</w:t>
      </w:r>
      <w:r w:rsidR="00B14B64" w:rsidRPr="00FB4EFA">
        <w:rPr>
          <w:lang w:val="en-GB"/>
        </w:rPr>
        <w:t xml:space="preserve"> </w:t>
      </w:r>
      <w:r w:rsidR="00B14B64" w:rsidRPr="00FB4EFA">
        <w:rPr>
          <w:rFonts w:cs="Arial"/>
          <w:lang w:val="en-GB"/>
        </w:rPr>
        <w:t xml:space="preserve">identities and its impact on their own personality or standing in the world. On the other hand, they are desperately trying to keep </w:t>
      </w:r>
      <w:r w:rsidR="00506478" w:rsidRPr="00FB4EFA">
        <w:rPr>
          <w:rFonts w:cs="Arial"/>
          <w:lang w:val="en-GB"/>
        </w:rPr>
        <w:t xml:space="preserve">alive </w:t>
      </w:r>
      <w:r w:rsidR="00B14B64" w:rsidRPr="00FB4EFA">
        <w:rPr>
          <w:rFonts w:cs="Arial"/>
          <w:lang w:val="en-GB"/>
        </w:rPr>
        <w:t>a long-gone, ideali</w:t>
      </w:r>
      <w:r w:rsidR="008C4F74" w:rsidRPr="00FB4EFA">
        <w:rPr>
          <w:rFonts w:cs="Arial"/>
          <w:lang w:val="en-GB"/>
        </w:rPr>
        <w:t>z</w:t>
      </w:r>
      <w:r w:rsidR="00B14B64" w:rsidRPr="00FB4EFA">
        <w:rPr>
          <w:rFonts w:cs="Arial"/>
          <w:lang w:val="en-GB"/>
        </w:rPr>
        <w:t xml:space="preserve">ed version of the Hungarian-German past from which their identities are supposed to </w:t>
      </w:r>
      <w:r w:rsidR="00506478" w:rsidRPr="00FB4EFA">
        <w:rPr>
          <w:rFonts w:cs="Arial"/>
          <w:lang w:val="en-GB"/>
        </w:rPr>
        <w:t>derive</w:t>
      </w:r>
      <w:r w:rsidR="00B14B64" w:rsidRPr="00FB4EFA">
        <w:rPr>
          <w:rFonts w:cs="Arial"/>
          <w:lang w:val="en-GB"/>
        </w:rPr>
        <w:t xml:space="preserve"> – a version of the past and a lost place of longing we </w:t>
      </w:r>
      <w:r w:rsidR="00506478" w:rsidRPr="00FB4EFA">
        <w:rPr>
          <w:rFonts w:cs="Arial"/>
          <w:lang w:val="en-GB"/>
        </w:rPr>
        <w:t xml:space="preserve">also </w:t>
      </w:r>
      <w:r w:rsidR="00B14B64" w:rsidRPr="00FB4EFA">
        <w:rPr>
          <w:rFonts w:cs="Arial"/>
          <w:lang w:val="en-GB"/>
        </w:rPr>
        <w:t>find in all previous generations. The reason for the loss is sometimes more or less explicitly named, but when its naming is finally possible after the initial silence, in most cases it is a ‘blow of fate’ whose victims are the Hungarian</w:t>
      </w:r>
      <w:r w:rsidR="007A5994" w:rsidRPr="00FB4EFA">
        <w:rPr>
          <w:rFonts w:cs="Arial"/>
          <w:lang w:val="en-GB"/>
        </w:rPr>
        <w:t>-</w:t>
      </w:r>
      <w:r w:rsidR="00B14B64" w:rsidRPr="00FB4EFA">
        <w:rPr>
          <w:rFonts w:cs="Arial"/>
          <w:lang w:val="en-GB"/>
        </w:rPr>
        <w:t xml:space="preserve">Germans, while the offenders mostly remain veiled behind passive </w:t>
      </w:r>
      <w:r w:rsidR="005822BD" w:rsidRPr="00FB4EFA">
        <w:rPr>
          <w:rFonts w:cs="Arial"/>
          <w:lang w:val="en-GB"/>
        </w:rPr>
        <w:t xml:space="preserve">sentence </w:t>
      </w:r>
      <w:r w:rsidR="00B14B64" w:rsidRPr="00FB4EFA">
        <w:rPr>
          <w:rFonts w:cs="Arial"/>
          <w:lang w:val="en-GB"/>
        </w:rPr>
        <w:t xml:space="preserve">constructions. Therefore, the youngest Hungarian-German writers also seem to shy away from a more differentiated approach to the Hungarian-German past, although they would have the means that </w:t>
      </w:r>
      <w:r w:rsidR="005822BD" w:rsidRPr="00FB4EFA">
        <w:rPr>
          <w:rFonts w:cs="Arial"/>
          <w:lang w:val="en-GB"/>
        </w:rPr>
        <w:t>the</w:t>
      </w:r>
      <w:r w:rsidR="00B14B64" w:rsidRPr="00FB4EFA">
        <w:rPr>
          <w:rFonts w:cs="Arial"/>
          <w:lang w:val="en-GB"/>
        </w:rPr>
        <w:t xml:space="preserve"> generations before them lacked. They </w:t>
      </w:r>
      <w:r w:rsidR="00B14B64" w:rsidRPr="00FB4EFA">
        <w:rPr>
          <w:lang w:val="en-GB"/>
        </w:rPr>
        <w:t xml:space="preserve">could </w:t>
      </w:r>
      <w:r w:rsidR="00B14B64" w:rsidRPr="00FB4EFA">
        <w:rPr>
          <w:rFonts w:cs="Arial"/>
          <w:lang w:val="en-GB"/>
        </w:rPr>
        <w:t xml:space="preserve">not only </w:t>
      </w:r>
      <w:r w:rsidR="00B14B64" w:rsidRPr="00FB4EFA">
        <w:rPr>
          <w:lang w:val="en-GB"/>
        </w:rPr>
        <w:t>consider different perspectives on the past that became available for them after 1989</w:t>
      </w:r>
      <w:r w:rsidR="00C7324F" w:rsidRPr="00FB4EFA">
        <w:rPr>
          <w:lang w:val="en-GB"/>
        </w:rPr>
        <w:t>,</w:t>
      </w:r>
      <w:r w:rsidR="00B14B64" w:rsidRPr="00FB4EFA">
        <w:rPr>
          <w:lang w:val="en-GB"/>
        </w:rPr>
        <w:t xml:space="preserve"> but also profit from their higher education and exploit the manifold possibilities of literature in an experimental, even playful</w:t>
      </w:r>
      <w:r w:rsidR="00C7324F" w:rsidRPr="00FB4EFA">
        <w:rPr>
          <w:lang w:val="en-GB"/>
        </w:rPr>
        <w:t>,</w:t>
      </w:r>
      <w:r w:rsidR="00B14B64" w:rsidRPr="00FB4EFA">
        <w:rPr>
          <w:lang w:val="en-GB"/>
        </w:rPr>
        <w:t xml:space="preserve"> wa</w:t>
      </w:r>
      <w:r w:rsidR="00B14B64" w:rsidRPr="00FB4EFA">
        <w:rPr>
          <w:rFonts w:cs="Arial"/>
          <w:lang w:val="en-GB"/>
        </w:rPr>
        <w:t>y to reflect upon the past from a contemporary point of view. The opportunity to</w:t>
      </w:r>
      <w:r w:rsidR="00B14B64" w:rsidRPr="00FB4EFA">
        <w:rPr>
          <w:lang w:val="en-GB"/>
        </w:rPr>
        <w:t xml:space="preserve"> contribute to the formation of identity within the Hungarian-German minority by rewriting, reassessing, questioning</w:t>
      </w:r>
      <w:r w:rsidR="00C7324F" w:rsidRPr="00FB4EFA">
        <w:rPr>
          <w:lang w:val="en-GB"/>
        </w:rPr>
        <w:t>,</w:t>
      </w:r>
      <w:r w:rsidR="00B14B64" w:rsidRPr="00FB4EFA">
        <w:rPr>
          <w:lang w:val="en-GB"/>
        </w:rPr>
        <w:t xml:space="preserve"> or supplementing the shared narrative of the past remains largely unused. Instead, they seem to want to build on the familiar, hoping to strengthen a version of Hungarian-German identity that the generation before them has already considered lost. Consequently, when Bindorffer (2007) states that the primary basis for minority-awareness among the Hungarian-Germans today is their geographic origin – which is represented towards the outside world through the practice of folk dance and folkloristic dressing at most – a great part of contemporary Hungarian-German literature appears to be the literary equivalent to that. Even the writers of the fourth generation keep reaching back to the same motives, perspectives and melancholic or at least nostalgic and schematic tone of voice when dealing with the past</w:t>
      </w:r>
      <w:r w:rsidR="00C7324F" w:rsidRPr="00FB4EFA">
        <w:rPr>
          <w:lang w:val="en-GB"/>
        </w:rPr>
        <w:t>,</w:t>
      </w:r>
      <w:r w:rsidR="00B14B64" w:rsidRPr="00FB4EFA">
        <w:rPr>
          <w:lang w:val="en-GB"/>
        </w:rPr>
        <w:t xml:space="preserve"> as the first generations of Hungarian-German writers </w:t>
      </w:r>
      <w:r w:rsidR="00B14B64" w:rsidRPr="00FB4EFA">
        <w:rPr>
          <w:lang w:val="en-GB"/>
        </w:rPr>
        <w:lastRenderedPageBreak/>
        <w:t xml:space="preserve">did. (A notable exception here are the Hungarian-language works of Hungarian-German authors, who do not even belong to the youngest generation of authors – prominent examples would be the novels </w:t>
      </w:r>
      <w:r w:rsidR="00B14B64" w:rsidRPr="00FB4EFA">
        <w:rPr>
          <w:i/>
          <w:iCs/>
          <w:lang w:val="en-GB"/>
        </w:rPr>
        <w:t>Téli bárány</w:t>
      </w:r>
      <w:r w:rsidR="00B14B64" w:rsidRPr="00FB4EFA">
        <w:rPr>
          <w:lang w:val="en-GB"/>
        </w:rPr>
        <w:t xml:space="preserve"> by Márton Kalász </w:t>
      </w:r>
      <w:r w:rsidR="00C7324F" w:rsidRPr="00FB4EFA">
        <w:rPr>
          <w:lang w:val="en-GB"/>
        </w:rPr>
        <w:t>and</w:t>
      </w:r>
      <w:r w:rsidR="00B14B64" w:rsidRPr="00FB4EFA">
        <w:rPr>
          <w:lang w:val="en-GB"/>
        </w:rPr>
        <w:t xml:space="preserve"> </w:t>
      </w:r>
      <w:r w:rsidR="00B14B64" w:rsidRPr="00FB4EFA">
        <w:rPr>
          <w:i/>
          <w:iCs/>
          <w:lang w:val="en-GB"/>
        </w:rPr>
        <w:t>Sváb evangiliom</w:t>
      </w:r>
      <w:r w:rsidR="00B14B64" w:rsidRPr="00FB4EFA">
        <w:rPr>
          <w:lang w:val="en-GB"/>
        </w:rPr>
        <w:t xml:space="preserve"> by Robert Balogh.)</w:t>
      </w:r>
    </w:p>
    <w:p w14:paraId="2FD298D0" w14:textId="77720CD9" w:rsidR="00B14B64" w:rsidRPr="00FB4EFA" w:rsidRDefault="00B14B64" w:rsidP="00857D2A">
      <w:pPr>
        <w:ind w:firstLine="709"/>
        <w:rPr>
          <w:lang w:val="en-GB"/>
        </w:rPr>
      </w:pPr>
      <w:r w:rsidRPr="00FB4EFA">
        <w:rPr>
          <w:lang w:val="en-GB"/>
        </w:rPr>
        <w:t xml:space="preserve">The following example illustrates the above: in Christina Arnold’s short prose entitled </w:t>
      </w:r>
      <w:r w:rsidRPr="00FB4EFA">
        <w:rPr>
          <w:i/>
          <w:iCs/>
          <w:lang w:val="en-GB"/>
        </w:rPr>
        <w:t>Der Marillenbaum</w:t>
      </w:r>
      <w:r w:rsidRPr="00FB4EFA">
        <w:rPr>
          <w:lang w:val="en-GB"/>
        </w:rPr>
        <w:t xml:space="preserve">, the narrator tells the story of an apricot tree that stood in the garden of the parental home. The tree and its fruits </w:t>
      </w:r>
      <w:r w:rsidR="00C7324F" w:rsidRPr="00FB4EFA">
        <w:rPr>
          <w:lang w:val="en-GB"/>
        </w:rPr>
        <w:t>evoke</w:t>
      </w:r>
      <w:r w:rsidRPr="00FB4EFA">
        <w:rPr>
          <w:lang w:val="en-GB"/>
        </w:rPr>
        <w:t xml:space="preserve"> the narrator’s childhood memories and family history. The latter is linked to the tree through countless memories letting the tree itself become a symbol of the family and its traditions.</w:t>
      </w:r>
    </w:p>
    <w:p w14:paraId="3D3D202E" w14:textId="1C9B1C35" w:rsidR="00B14B64" w:rsidRPr="00FB4EFA" w:rsidRDefault="00B14B64" w:rsidP="002A3BC9">
      <w:pPr>
        <w:suppressAutoHyphens/>
        <w:spacing w:before="240" w:after="240" w:line="240" w:lineRule="auto"/>
        <w:ind w:left="425"/>
        <w:rPr>
          <w:sz w:val="20"/>
          <w:szCs w:val="20"/>
          <w:lang w:val="en-GB"/>
        </w:rPr>
      </w:pPr>
      <w:r w:rsidRPr="00FB4EFA">
        <w:rPr>
          <w:sz w:val="20"/>
          <w:szCs w:val="20"/>
        </w:rPr>
        <w:t xml:space="preserve">Die Marille in unserem Garten war ein ganz besonderer Baum, mein Großvater hat sie wohl mal gepflanzt. Solche Bäume werden immer von Großvätern gesetzt. Wenn man das so sieht, war dieser Baum wohl auch ein Sohn eines vorherigen Großvaterbaumes. […] Nun hing es vom Hausherren ab, ob er taugt zum nächsten Großvater, der den nächsten Marillenbaum setzt, ob er mit der Familie in der Zukunft darunter tanzen möchte. Unser Marillenbaum ist gestorben, ein neuer wurde noch nicht gepflanzt. </w:t>
      </w:r>
      <w:r w:rsidRPr="00FB4EFA">
        <w:rPr>
          <w:sz w:val="20"/>
          <w:szCs w:val="20"/>
          <w:lang w:val="en-GB"/>
        </w:rPr>
        <w:t>(Arnold</w:t>
      </w:r>
      <w:r w:rsidR="002A3BC9" w:rsidRPr="00FB4EFA">
        <w:rPr>
          <w:sz w:val="20"/>
          <w:szCs w:val="20"/>
          <w:lang w:val="en-GB"/>
        </w:rPr>
        <w:t> </w:t>
      </w:r>
      <w:r w:rsidRPr="00FB4EFA">
        <w:rPr>
          <w:sz w:val="20"/>
          <w:szCs w:val="20"/>
          <w:lang w:val="en-GB"/>
        </w:rPr>
        <w:t>2010: 3)</w:t>
      </w:r>
    </w:p>
    <w:p w14:paraId="6D085C86" w14:textId="7A052346" w:rsidR="00B14B64" w:rsidRPr="00FB4EFA" w:rsidRDefault="00B14B64" w:rsidP="00857D2A">
      <w:pPr>
        <w:rPr>
          <w:lang w:val="en-GB"/>
        </w:rPr>
      </w:pPr>
      <w:r w:rsidRPr="00FB4EFA">
        <w:rPr>
          <w:lang w:val="en-GB"/>
        </w:rPr>
        <w:t>The story becomes symbolically loaded when put into the context of the traditional motifs of Hungarian-German literature: especially the older generations of Hungarian-German writers made extensive use of motifs such as trees or roots to symboli</w:t>
      </w:r>
      <w:r w:rsidR="001C0E73" w:rsidRPr="00FB4EFA">
        <w:rPr>
          <w:lang w:val="en-GB" w:eastAsia="zh-CN"/>
        </w:rPr>
        <w:t>z</w:t>
      </w:r>
      <w:r w:rsidRPr="00FB4EFA">
        <w:rPr>
          <w:lang w:val="en-GB"/>
        </w:rPr>
        <w:t>e home and heritage (Balogh 2002: 246). Several Hungarian-German anthologies with typical titles such as “Deep roots”, “Annual Rings”, “The little branch” or “Confessions of a birch tree” refer to the usage of such typical motifs. In this context, Arnold is using the motif of the tree in a picture-book kind of way: the tree symboli</w:t>
      </w:r>
      <w:r w:rsidR="001C0E73" w:rsidRPr="00FB4EFA">
        <w:rPr>
          <w:lang w:val="en-GB"/>
        </w:rPr>
        <w:t>z</w:t>
      </w:r>
      <w:r w:rsidRPr="00FB4EFA">
        <w:rPr>
          <w:lang w:val="en-GB"/>
        </w:rPr>
        <w:t>es the commitment to the Hungarian-German minority</w:t>
      </w:r>
      <w:r w:rsidR="00D413AB" w:rsidRPr="00FB4EFA">
        <w:rPr>
          <w:lang w:val="en-GB"/>
        </w:rPr>
        <w:t xml:space="preserve"> which has weakened</w:t>
      </w:r>
      <w:r w:rsidR="000121EA" w:rsidRPr="00FB4EFA">
        <w:rPr>
          <w:lang w:val="en-GB"/>
        </w:rPr>
        <w:t xml:space="preserve"> </w:t>
      </w:r>
      <w:r w:rsidRPr="00FB4EFA">
        <w:rPr>
          <w:lang w:val="en-GB"/>
        </w:rPr>
        <w:t xml:space="preserve">over the generations </w:t>
      </w:r>
      <w:r w:rsidR="00D413AB" w:rsidRPr="00FB4EFA">
        <w:rPr>
          <w:lang w:val="en-GB"/>
        </w:rPr>
        <w:t>and which</w:t>
      </w:r>
      <w:r w:rsidRPr="00FB4EFA">
        <w:rPr>
          <w:lang w:val="en-GB"/>
        </w:rPr>
        <w:t xml:space="preserve"> needs to be kept alive by the decision of the patriarch. In this world view it is the father, who one day becomes a grandfather, who has to plant a new apricot tree after the </w:t>
      </w:r>
      <w:r w:rsidR="008826AE" w:rsidRPr="00FB4EFA">
        <w:rPr>
          <w:lang w:val="en-GB"/>
        </w:rPr>
        <w:t>old one</w:t>
      </w:r>
      <w:r w:rsidRPr="00FB4EFA">
        <w:rPr>
          <w:lang w:val="en-GB"/>
        </w:rPr>
        <w:t xml:space="preserve"> had died. Arnold is referring to the necessity of a new, deliberate decision to belong to</w:t>
      </w:r>
      <w:r w:rsidR="006739B4" w:rsidRPr="00FB4EFA">
        <w:rPr>
          <w:lang w:val="en-GB"/>
        </w:rPr>
        <w:t xml:space="preserve"> and identify with</w:t>
      </w:r>
      <w:r w:rsidRPr="00FB4EFA">
        <w:rPr>
          <w:lang w:val="en-GB"/>
        </w:rPr>
        <w:t xml:space="preserve"> the minority</w:t>
      </w:r>
      <w:r w:rsidR="006739B4" w:rsidRPr="00FB4EFA">
        <w:rPr>
          <w:lang w:val="en-GB"/>
        </w:rPr>
        <w:t>, to</w:t>
      </w:r>
      <w:r w:rsidRPr="00FB4EFA">
        <w:rPr>
          <w:lang w:val="en-GB"/>
        </w:rPr>
        <w:t xml:space="preserve"> contribut</w:t>
      </w:r>
      <w:r w:rsidR="006739B4" w:rsidRPr="00FB4EFA">
        <w:rPr>
          <w:lang w:val="en-GB"/>
        </w:rPr>
        <w:t>e</w:t>
      </w:r>
      <w:r w:rsidRPr="00FB4EFA">
        <w:rPr>
          <w:lang w:val="en-GB"/>
        </w:rPr>
        <w:t xml:space="preserve"> to keeping the minority alive. There is no explanation in the text why “the tree has died before”, just like in many other poems referring to the past via nature metaphors. Nature in particular can also be a fateful force in people’s lives and serves as a proxy for the familiar discourse of fate from </w:t>
      </w:r>
      <w:r w:rsidRPr="00FB4EFA">
        <w:rPr>
          <w:lang w:val="en-GB"/>
        </w:rPr>
        <w:lastRenderedPageBreak/>
        <w:t>previous generations. Hence, the past trauma is yet again hinted at in familiar ways but not articulated, questioned, or reappraised. However, the tone of the narration leaves doubts as to whether that deliberate decision to plant the next tree and to keep the Hungarian-German traditions alive will eventually be made. This makes for a critical, thought-provoking ending. It is, indeed, a valid question, considering that most members of the minority no longer grow up in the rural environment that is evoked in its literature.</w:t>
      </w:r>
    </w:p>
    <w:p w14:paraId="74D27C62" w14:textId="77777777" w:rsidR="00B14B64" w:rsidRPr="00FB4EFA" w:rsidRDefault="00B14B64" w:rsidP="00857D2A">
      <w:pPr>
        <w:pStyle w:val="Heading2"/>
        <w:spacing w:line="259" w:lineRule="auto"/>
        <w:rPr>
          <w:color w:val="auto"/>
        </w:rPr>
      </w:pPr>
      <w:r w:rsidRPr="00FB4EFA">
        <w:rPr>
          <w:color w:val="auto"/>
        </w:rPr>
        <w:t>Conclusion</w:t>
      </w:r>
    </w:p>
    <w:p w14:paraId="49FAB79C" w14:textId="36188095" w:rsidR="00B14B64" w:rsidRPr="00FB4EFA" w:rsidRDefault="00B14B64" w:rsidP="00857D2A">
      <w:pPr>
        <w:rPr>
          <w:lang w:val="en-GB"/>
        </w:rPr>
      </w:pPr>
      <w:r w:rsidRPr="00FB4EFA">
        <w:rPr>
          <w:lang w:val="en-GB"/>
        </w:rPr>
        <w:t>The Hungarian-German minority suffered a series of traumas over the course of the 20</w:t>
      </w:r>
      <w:r w:rsidRPr="00FB4EFA">
        <w:rPr>
          <w:vertAlign w:val="superscript"/>
          <w:lang w:val="en-GB"/>
        </w:rPr>
        <w:t>th</w:t>
      </w:r>
      <w:r w:rsidRPr="00FB4EFA">
        <w:rPr>
          <w:lang w:val="en-GB"/>
        </w:rPr>
        <w:t xml:space="preserve"> century, which had a significant impact on the development of the minority in terms of its continued existence, collective identity, and command of language. In German-language Hungarian-German minority literature, there are different ways of addressing the past, with two narrative strategies predominating. On the one hand, the focus is on the present or the future, whereby the past is </w:t>
      </w:r>
      <w:r w:rsidRPr="00FB4EFA">
        <w:rPr>
          <w:rFonts w:eastAsia="Arial Unicode MS" w:cs="Arial Unicode MS"/>
          <w:kern w:val="2"/>
          <w:lang w:val="en-GB" w:eastAsia="zh-CN" w:bidi="hi-IN"/>
        </w:rPr>
        <w:t>addres</w:t>
      </w:r>
      <w:r w:rsidRPr="00FB4EFA">
        <w:rPr>
          <w:lang w:val="en-GB"/>
        </w:rPr>
        <w:t xml:space="preserve">sed but not dealt with in depth, questioned or reflected upon. On the other hand, the traumatic events of the recent past are addressed explicitly, but predominantly presented as strokes of fate, whereby a so-called discourse of fate has established itself over generations. This stands in the way of a deeper reappraisal and more differentiated and also innovative, updated narrative of the shared past. It stands out that up until today these strategies are prevalent among representatives of both the earlier and the later generations of Hungarian-German writers, even though they worked under completely different creative conditions – on the one hand in terms of their possibilities </w:t>
      </w:r>
      <w:r w:rsidR="00E33DB0" w:rsidRPr="00FB4EFA">
        <w:rPr>
          <w:lang w:val="en-GB"/>
        </w:rPr>
        <w:t>of</w:t>
      </w:r>
      <w:r w:rsidRPr="00FB4EFA">
        <w:rPr>
          <w:lang w:val="en-GB"/>
        </w:rPr>
        <w:t xml:space="preserve"> expressing themselves </w:t>
      </w:r>
      <w:r w:rsidR="00E33DB0" w:rsidRPr="00FB4EFA">
        <w:rPr>
          <w:lang w:val="en-GB"/>
        </w:rPr>
        <w:t>regarding</w:t>
      </w:r>
      <w:r w:rsidRPr="00FB4EFA">
        <w:rPr>
          <w:lang w:val="en-GB"/>
        </w:rPr>
        <w:t xml:space="preserve"> content and style</w:t>
      </w:r>
      <w:r w:rsidR="00E33DB0" w:rsidRPr="00FB4EFA">
        <w:rPr>
          <w:lang w:val="en-GB"/>
        </w:rPr>
        <w:t>,</w:t>
      </w:r>
      <w:r w:rsidRPr="00FB4EFA">
        <w:rPr>
          <w:lang w:val="en-GB"/>
        </w:rPr>
        <w:t xml:space="preserve"> given the political circumstances, and on the other</w:t>
      </w:r>
      <w:r w:rsidR="00E33DB0" w:rsidRPr="00FB4EFA">
        <w:rPr>
          <w:lang w:val="en-GB"/>
        </w:rPr>
        <w:t xml:space="preserve"> hand</w:t>
      </w:r>
      <w:r w:rsidRPr="00FB4EFA">
        <w:rPr>
          <w:lang w:val="en-GB"/>
        </w:rPr>
        <w:t xml:space="preserve"> in terms of their personal level of education. </w:t>
      </w:r>
      <w:r w:rsidR="00E33DB0" w:rsidRPr="00FB4EFA">
        <w:rPr>
          <w:lang w:val="en-GB"/>
        </w:rPr>
        <w:t>Hungarian-Germans are a minority that has been struggling with the con-sequences of identity and language loss over the last decades while trying to survive in a modern society of individuals with multiple identities. By offering new and alternative perspectives on the Hungarian-German past and identity, literature could serve this minority as a platform to help identity building, attempting to remain relevant and connectable especially for the younger generations.</w:t>
      </w:r>
    </w:p>
    <w:p w14:paraId="3262A6D3" w14:textId="77777777" w:rsidR="00B14B64" w:rsidRPr="00FB4EFA" w:rsidRDefault="00B14B64" w:rsidP="00857D2A">
      <w:pPr>
        <w:pStyle w:val="Heading2"/>
        <w:spacing w:line="259" w:lineRule="auto"/>
        <w:rPr>
          <w:color w:val="auto"/>
        </w:rPr>
      </w:pPr>
      <w:r w:rsidRPr="00FB4EFA">
        <w:rPr>
          <w:color w:val="auto"/>
        </w:rPr>
        <w:lastRenderedPageBreak/>
        <w:t>Bibliography</w:t>
      </w:r>
    </w:p>
    <w:p w14:paraId="0DA6CD9D" w14:textId="77777777" w:rsidR="00B14B64" w:rsidRPr="00FB4EFA" w:rsidRDefault="00B14B64" w:rsidP="00A70E6A">
      <w:pPr>
        <w:suppressAutoHyphens/>
        <w:spacing w:line="240" w:lineRule="auto"/>
        <w:ind w:left="426" w:hanging="426"/>
        <w:rPr>
          <w:rFonts w:cs="Charis SIL"/>
        </w:rPr>
      </w:pPr>
      <w:r w:rsidRPr="00FB4EFA">
        <w:rPr>
          <w:rFonts w:cs="Charis SIL"/>
          <w:lang w:val="en-GB"/>
        </w:rPr>
        <w:t xml:space="preserve">Arnold, Christina. 2010. Der Marillenbaum. </w:t>
      </w:r>
      <w:r w:rsidRPr="00FB4EFA">
        <w:rPr>
          <w:rFonts w:cs="Charis SIL"/>
          <w:i/>
        </w:rPr>
        <w:t>Signale. Neue-Zeitung-Beilage für Literatur und Kunst</w:t>
      </w:r>
      <w:r w:rsidRPr="00FB4EFA">
        <w:rPr>
          <w:rFonts w:cs="Charis SIL"/>
        </w:rPr>
        <w:t xml:space="preserve"> 27/1. 3.</w:t>
      </w:r>
    </w:p>
    <w:p w14:paraId="532AB529" w14:textId="77777777"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Aschauer, Wolfgang. 1992. </w:t>
      </w:r>
      <w:r w:rsidRPr="00FB4EFA">
        <w:rPr>
          <w:rFonts w:eastAsia="Times New Roman" w:cs="Charis SIL"/>
          <w:i/>
          <w:lang w:eastAsia="de-AT"/>
        </w:rPr>
        <w:t>Zur Produktion und Reproduktion einer Nationalität. Die Ungarndeutschen.</w:t>
      </w:r>
      <w:r w:rsidRPr="00FB4EFA">
        <w:rPr>
          <w:rFonts w:eastAsia="Times New Roman" w:cs="Charis SIL"/>
          <w:lang w:eastAsia="de-AT"/>
        </w:rPr>
        <w:t xml:space="preserve"> Stuttgart: F. Steiner.</w:t>
      </w:r>
    </w:p>
    <w:p w14:paraId="2874B76B" w14:textId="77777777" w:rsidR="00B14B64" w:rsidRPr="00FB4EFA" w:rsidRDefault="00B14B64" w:rsidP="00A70E6A">
      <w:pPr>
        <w:suppressAutoHyphens/>
        <w:spacing w:line="240" w:lineRule="auto"/>
        <w:ind w:left="426" w:hanging="426"/>
        <w:rPr>
          <w:rFonts w:eastAsia="Times New Roman" w:cs="Charis SIL"/>
          <w:b/>
          <w:lang w:eastAsia="de-AT"/>
        </w:rPr>
      </w:pPr>
      <w:r w:rsidRPr="00FB4EFA">
        <w:rPr>
          <w:rFonts w:cs="Charis SIL"/>
        </w:rPr>
        <w:t xml:space="preserve">Balogh, András F. 2002. Die deutschsprachige Literatur in Ungarn. Ein historischer Rückblick. </w:t>
      </w:r>
      <w:r w:rsidRPr="00FB4EFA">
        <w:rPr>
          <w:rFonts w:cs="Charis SIL"/>
          <w:iCs/>
        </w:rPr>
        <w:t>In</w:t>
      </w:r>
      <w:r w:rsidRPr="00FB4EFA">
        <w:rPr>
          <w:rFonts w:cs="Charis SIL"/>
        </w:rPr>
        <w:t xml:space="preserve"> Johann Schuth (ed.), </w:t>
      </w:r>
      <w:r w:rsidRPr="00FB4EFA">
        <w:rPr>
          <w:rFonts w:cs="Charis SIL"/>
          <w:i/>
        </w:rPr>
        <w:t xml:space="preserve">Deutscher Kalender 2003. Jahrbuch der Ungarndeutschen, </w:t>
      </w:r>
      <w:r w:rsidRPr="00FB4EFA">
        <w:rPr>
          <w:rFonts w:cs="Charis SIL"/>
        </w:rPr>
        <w:t>244–252. Budapest: Landesselbstverwaltung der Ungarndeutschen.</w:t>
      </w:r>
    </w:p>
    <w:p w14:paraId="20AD4F53" w14:textId="7B2C7C1C"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Bechtel, Helmut Herman &amp; Zoltán Szendi. 2014. </w:t>
      </w:r>
      <w:r w:rsidRPr="00FB4EFA">
        <w:rPr>
          <w:rFonts w:eastAsia="Times New Roman" w:cs="Charis SIL"/>
          <w:i/>
          <w:iCs/>
          <w:lang w:eastAsia="de-AT"/>
        </w:rPr>
        <w:t>Tradition und Modernität in der ungarndeutschen Literatur</w:t>
      </w:r>
      <w:r w:rsidRPr="00FB4EFA">
        <w:rPr>
          <w:rFonts w:eastAsia="Times New Roman" w:cs="Charis SIL"/>
          <w:lang w:eastAsia="de-AT"/>
        </w:rPr>
        <w:t xml:space="preserve">. </w:t>
      </w:r>
      <w:hyperlink r:id="rId465" w:history="1">
        <w:r w:rsidRPr="00FB4EFA">
          <w:rPr>
            <w:rStyle w:val="Hyperlink"/>
            <w:rFonts w:eastAsia="Times New Roman" w:cs="Charis SIL"/>
            <w:color w:val="auto"/>
            <w:lang w:eastAsia="de-AT"/>
          </w:rPr>
          <w:t>lehrbuch.udpi.hu/</w:t>
        </w:r>
      </w:hyperlink>
      <w:r w:rsidR="006A4D03" w:rsidRPr="00FB4EFA">
        <w:rPr>
          <w:rFonts w:eastAsia="Times New Roman" w:cs="Charis SIL"/>
          <w:lang w:eastAsia="de-AT"/>
        </w:rPr>
        <w:t>.</w:t>
      </w:r>
    </w:p>
    <w:p w14:paraId="33C8F99F" w14:textId="77777777"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Bindorffer, Györgyi. 2007. </w:t>
      </w:r>
      <w:r w:rsidRPr="00FB4EFA">
        <w:rPr>
          <w:rFonts w:eastAsia="Times New Roman" w:cs="Charis SIL"/>
          <w:i/>
          <w:lang w:eastAsia="de-AT"/>
        </w:rPr>
        <w:t xml:space="preserve">Változatok a kettős identitásra. </w:t>
      </w:r>
      <w:r w:rsidRPr="00FB4EFA">
        <w:rPr>
          <w:rFonts w:eastAsia="Times New Roman" w:cs="Charis SIL"/>
          <w:lang w:eastAsia="de-AT"/>
        </w:rPr>
        <w:t>Budapest: Gondolat; MTA Etnikai-nemzeti Kisebbségkutató Intézet.</w:t>
      </w:r>
    </w:p>
    <w:p w14:paraId="401D13C4" w14:textId="77777777" w:rsidR="00B14B64" w:rsidRPr="00FB4EFA" w:rsidRDefault="00B14B64" w:rsidP="00A70E6A">
      <w:pPr>
        <w:suppressAutoHyphens/>
        <w:spacing w:line="240" w:lineRule="auto"/>
        <w:ind w:left="426" w:hanging="426"/>
        <w:rPr>
          <w:rFonts w:eastAsia="Times New Roman" w:cs="Charis SIL"/>
          <w:lang w:eastAsia="de-DE"/>
        </w:rPr>
      </w:pPr>
      <w:r w:rsidRPr="00FB4EFA">
        <w:rPr>
          <w:rFonts w:eastAsia="Times New Roman" w:cs="Charis SIL"/>
          <w:lang w:eastAsia="de-DE"/>
        </w:rPr>
        <w:t xml:space="preserve">Brantsch, Ingmar. 2000. Klotz, Claus. Ungarndeutscher Schriftsteller. </w:t>
      </w:r>
      <w:r w:rsidRPr="00FB4EFA">
        <w:rPr>
          <w:rFonts w:eastAsia="Times New Roman" w:cs="Charis SIL"/>
          <w:i/>
          <w:lang w:eastAsia="de-DE"/>
        </w:rPr>
        <w:t>Signale. Neue-Zeitung-Beilage für Literatur und Kunst</w:t>
      </w:r>
      <w:r w:rsidRPr="00FB4EFA">
        <w:rPr>
          <w:rFonts w:eastAsia="Times New Roman" w:cs="Charis SIL"/>
          <w:lang w:eastAsia="de-DE"/>
        </w:rPr>
        <w:t xml:space="preserve"> 17/1. 6–7.</w:t>
      </w:r>
    </w:p>
    <w:p w14:paraId="368C1939" w14:textId="77777777"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Deleuze Gilles &amp; Félix Guattari. 1976. </w:t>
      </w:r>
      <w:r w:rsidRPr="00FB4EFA">
        <w:rPr>
          <w:rFonts w:eastAsia="Times New Roman" w:cs="Charis SIL"/>
          <w:i/>
          <w:lang w:eastAsia="de-AT"/>
        </w:rPr>
        <w:t>Kafka. Für eine kleine Literatur.</w:t>
      </w:r>
      <w:r w:rsidRPr="00FB4EFA">
        <w:rPr>
          <w:rFonts w:eastAsia="Times New Roman" w:cs="Charis SIL"/>
          <w:lang w:eastAsia="de-AT"/>
        </w:rPr>
        <w:t xml:space="preserve"> Frankfurt am Main: Suhrkamp.</w:t>
      </w:r>
    </w:p>
    <w:p w14:paraId="37B08370" w14:textId="77777777" w:rsidR="00B14B64" w:rsidRPr="00FB4EFA" w:rsidRDefault="00B14B64" w:rsidP="00A70E6A">
      <w:pPr>
        <w:keepLines/>
        <w:suppressAutoHyphens/>
        <w:spacing w:line="240" w:lineRule="auto"/>
        <w:ind w:left="425" w:hanging="425"/>
        <w:rPr>
          <w:rFonts w:eastAsia="Times New Roman" w:cs="Charis SIL"/>
          <w:lang w:eastAsia="de-AT"/>
        </w:rPr>
      </w:pPr>
      <w:r w:rsidRPr="00FB4EFA">
        <w:rPr>
          <w:rFonts w:eastAsia="Times New Roman" w:cs="Charis SIL"/>
          <w:lang w:eastAsia="de-AT"/>
        </w:rPr>
        <w:t>Erb, Maria. 2010. Sprachgebrauch der Ungarndeutschen: Geschichte – Tendenzen – Perspektiven. In Frank Kostrzewa &amp; Roberta V. Rada (eds.), Deutsch als Fremd- und Minderheitensprache in Ungarn. Historische Entwicklung, aktuelle Tendenzen und Zukunftsperspektiven, 118–146. Baltmannsweiler: Schneider-Verl. Hohengehren.</w:t>
      </w:r>
    </w:p>
    <w:p w14:paraId="09AF3077" w14:textId="77777777"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Erll, Astrid. 2011. The »social life of texts« – Erinnerungsliteratur als Gegenstand der Sozialgeschichte. Ein Kommentar. </w:t>
      </w:r>
      <w:r w:rsidRPr="00FB4EFA">
        <w:rPr>
          <w:rFonts w:eastAsia="Times New Roman" w:cs="Charis SIL"/>
          <w:i/>
          <w:iCs/>
          <w:lang w:eastAsia="de-AT"/>
        </w:rPr>
        <w:t xml:space="preserve">Internationales Archiv für Sozialgeschichte der deutschen Literatur (IASL) </w:t>
      </w:r>
      <w:r w:rsidRPr="00FB4EFA">
        <w:rPr>
          <w:rFonts w:eastAsia="Times New Roman" w:cs="Charis SIL"/>
          <w:lang w:eastAsia="de-AT"/>
        </w:rPr>
        <w:t>36/1. 227–231.</w:t>
      </w:r>
    </w:p>
    <w:p w14:paraId="20E2F15E" w14:textId="77777777" w:rsidR="00B14B64" w:rsidRPr="00FB4EFA" w:rsidRDefault="00B14B64" w:rsidP="00A70E6A">
      <w:pPr>
        <w:suppressAutoHyphens/>
        <w:spacing w:line="240" w:lineRule="auto"/>
        <w:ind w:left="426" w:hanging="426"/>
        <w:rPr>
          <w:rFonts w:cs="Charis SIL"/>
        </w:rPr>
      </w:pPr>
      <w:r w:rsidRPr="00FB4EFA">
        <w:rPr>
          <w:rFonts w:cs="Charis SIL"/>
        </w:rPr>
        <w:t>Fischer, Holger. 2004. Zur Geschichte der Ungarndeutschen aus geographischer Sicht</w:t>
      </w:r>
      <w:r w:rsidRPr="00FB4EFA">
        <w:rPr>
          <w:rFonts w:cs="Charis SIL"/>
          <w:i/>
        </w:rPr>
        <w:t xml:space="preserve">. </w:t>
      </w:r>
      <w:r w:rsidRPr="00FB4EFA">
        <w:rPr>
          <w:rFonts w:cs="Charis SIL"/>
          <w:iCs/>
        </w:rPr>
        <w:t>In</w:t>
      </w:r>
      <w:r w:rsidRPr="00FB4EFA">
        <w:rPr>
          <w:rFonts w:cs="Charis SIL"/>
        </w:rPr>
        <w:t xml:space="preserve"> Frank Almai &amp; Ulrich Fröschle (eds.), </w:t>
      </w:r>
      <w:r w:rsidRPr="00FB4EFA">
        <w:rPr>
          <w:rFonts w:cs="Charis SIL"/>
          <w:i/>
        </w:rPr>
        <w:t xml:space="preserve">Deutsche in Ungarn, Ungarn und Deutsche. Interdisziplinäre Zugänge, </w:t>
      </w:r>
      <w:r w:rsidRPr="00FB4EFA">
        <w:rPr>
          <w:rFonts w:cs="Charis SIL"/>
        </w:rPr>
        <w:t>11–36. Dresden: Thelem.</w:t>
      </w:r>
    </w:p>
    <w:p w14:paraId="3D52561A" w14:textId="77777777" w:rsidR="00B14B64" w:rsidRPr="00FB4EFA" w:rsidRDefault="00B14B64" w:rsidP="00A70E6A">
      <w:pPr>
        <w:suppressAutoHyphens/>
        <w:spacing w:line="240" w:lineRule="auto"/>
        <w:ind w:left="426" w:hanging="426"/>
        <w:rPr>
          <w:rFonts w:cs="Charis SIL"/>
        </w:rPr>
      </w:pPr>
      <w:r w:rsidRPr="00FB4EFA">
        <w:rPr>
          <w:rFonts w:cs="Charis SIL"/>
        </w:rPr>
        <w:t xml:space="preserve">Gerner, Zsuzsanna. 2004. Zu Identitätskonzepten der Ungarndeutschen um die Jahrtausendwende: Abstammung – Sprache – Kultur. In Johann Schuth (ed.), </w:t>
      </w:r>
      <w:r w:rsidRPr="00FB4EFA">
        <w:rPr>
          <w:rFonts w:cs="Charis SIL"/>
          <w:i/>
        </w:rPr>
        <w:t>Literatur, Literaturvermittlung, Identität</w:t>
      </w:r>
      <w:r w:rsidRPr="00FB4EFA">
        <w:rPr>
          <w:rFonts w:cs="Charis SIL"/>
        </w:rPr>
        <w:t>, 52–65. Budapest: VUdAK.</w:t>
      </w:r>
    </w:p>
    <w:p w14:paraId="1ABDEAB4" w14:textId="10312FC3" w:rsidR="00B14B64" w:rsidRPr="00FB4EFA" w:rsidRDefault="00B14B64" w:rsidP="007F30A7">
      <w:pPr>
        <w:keepLines/>
        <w:suppressAutoHyphens/>
        <w:spacing w:line="240" w:lineRule="auto"/>
        <w:ind w:left="425" w:hanging="425"/>
        <w:jc w:val="left"/>
        <w:rPr>
          <w:rFonts w:cs="Charis SIL"/>
        </w:rPr>
      </w:pPr>
      <w:r w:rsidRPr="00FB4EFA">
        <w:rPr>
          <w:rFonts w:eastAsia="Times New Roman" w:cs="Charis SIL"/>
          <w:lang w:eastAsia="de-AT"/>
        </w:rPr>
        <w:t xml:space="preserve">Kreuzmair, Elias. 2010. Die Mehrheit will das nicht hören. Gilles Deleuze‘ Konzept der littérature mineure. </w:t>
      </w:r>
      <w:r w:rsidRPr="00FB4EFA">
        <w:rPr>
          <w:rFonts w:eastAsia="Times New Roman" w:cs="Charis SIL"/>
          <w:i/>
          <w:iCs/>
          <w:lang w:eastAsia="de-AT"/>
        </w:rPr>
        <w:t xml:space="preserve">Helikon. A Multidisciplinary Online Journal </w:t>
      </w:r>
      <w:r w:rsidRPr="00FB4EFA">
        <w:rPr>
          <w:rFonts w:eastAsia="Times New Roman" w:cs="Charis SIL"/>
          <w:lang w:eastAsia="de-AT"/>
        </w:rPr>
        <w:t xml:space="preserve">1. 36–47. </w:t>
      </w:r>
      <w:hyperlink r:id="rId466" w:history="1">
        <w:r w:rsidRPr="00FB4EFA">
          <w:rPr>
            <w:rStyle w:val="Hyperlink"/>
            <w:rFonts w:eastAsia="Times New Roman" w:cs="Charis SIL"/>
            <w:color w:val="auto"/>
            <w:lang w:eastAsia="de-AT"/>
          </w:rPr>
          <w:t>www.helikon-online.de/</w:t>
        </w:r>
        <w:r w:rsidRPr="00FB4EFA">
          <w:rPr>
            <w:rStyle w:val="Hyperlink"/>
            <w:rFonts w:eastAsia="Times New Roman" w:cs="Charis SIL"/>
            <w:color w:val="auto"/>
            <w:lang w:eastAsia="de-AT"/>
          </w:rPr>
          <w:br/>
          <w:t>2010/Kreuzmair_Deleuze.pdf</w:t>
        </w:r>
      </w:hyperlink>
      <w:r w:rsidR="006A4D03" w:rsidRPr="00FB4EFA">
        <w:rPr>
          <w:rFonts w:cs="Charis SIL"/>
        </w:rPr>
        <w:t>.</w:t>
      </w:r>
    </w:p>
    <w:p w14:paraId="02E1CB45" w14:textId="77777777" w:rsidR="00B14B64" w:rsidRPr="00FB4EFA" w:rsidRDefault="00B14B64" w:rsidP="00A70E6A">
      <w:pPr>
        <w:suppressAutoHyphens/>
        <w:spacing w:line="240" w:lineRule="auto"/>
        <w:ind w:left="426" w:hanging="426"/>
        <w:rPr>
          <w:rFonts w:eastAsia="Times New Roman" w:cs="Charis SIL"/>
          <w:lang w:eastAsia="de-AT"/>
        </w:rPr>
      </w:pPr>
      <w:r w:rsidRPr="00FB4EFA">
        <w:rPr>
          <w:rFonts w:cs="Charis SIL"/>
        </w:rPr>
        <w:lastRenderedPageBreak/>
        <w:t xml:space="preserve">Lauer, Georg. 1999. Das Deutschtum in Budapest in den 70er, 80er und 90er Jahren. In Wendel </w:t>
      </w:r>
      <w:r w:rsidRPr="00FB4EFA">
        <w:rPr>
          <w:rFonts w:eastAsia="Times New Roman" w:cs="Charis SIL"/>
          <w:lang w:eastAsia="de-AT"/>
        </w:rPr>
        <w:t xml:space="preserve">Hambuch (ed.), </w:t>
      </w:r>
      <w:r w:rsidRPr="00FB4EFA">
        <w:rPr>
          <w:rFonts w:eastAsia="Times New Roman" w:cs="Charis SIL"/>
          <w:i/>
          <w:lang w:eastAsia="de-AT"/>
        </w:rPr>
        <w:t>Deutsche in Budapest</w:t>
      </w:r>
      <w:r w:rsidRPr="00FB4EFA">
        <w:rPr>
          <w:rFonts w:eastAsia="Times New Roman" w:cs="Charis SIL"/>
          <w:lang w:eastAsia="de-AT"/>
        </w:rPr>
        <w:t>. 148–173. Budapest: Dt. Kulturverein.</w:t>
      </w:r>
    </w:p>
    <w:p w14:paraId="2B3FBB4F" w14:textId="77777777" w:rsidR="00B14B64" w:rsidRPr="00FB4EFA" w:rsidRDefault="00B14B64" w:rsidP="00A70E6A">
      <w:pPr>
        <w:keepLines/>
        <w:suppressAutoHyphens/>
        <w:spacing w:line="240" w:lineRule="auto"/>
        <w:ind w:left="425" w:hanging="425"/>
        <w:rPr>
          <w:rFonts w:cs="Charis SIL"/>
        </w:rPr>
      </w:pPr>
      <w:r w:rsidRPr="00FB4EFA">
        <w:rPr>
          <w:rFonts w:cs="Charis SIL"/>
        </w:rPr>
        <w:t xml:space="preserve">Márkus, Éva. 2009. </w:t>
      </w:r>
      <w:r w:rsidRPr="00FB4EFA">
        <w:rPr>
          <w:rFonts w:cs="Charis SIL"/>
          <w:i/>
          <w:iCs/>
        </w:rPr>
        <w:t>„Meine zwei Sprachen“ Ein Text- und Arbeitsbuch zur ungarndeutschen Literatur für die Studenten der Nationalitätengrundschullehrer- und kindergärtnerInnenbildung.</w:t>
      </w:r>
      <w:r w:rsidRPr="00FB4EFA">
        <w:rPr>
          <w:rFonts w:cs="Charis SIL"/>
        </w:rPr>
        <w:t xml:space="preserve"> Budapest: Trezór Kiadó.</w:t>
      </w:r>
    </w:p>
    <w:p w14:paraId="470183BE" w14:textId="383F2259" w:rsidR="00B14B64" w:rsidRPr="00FB4EFA" w:rsidRDefault="00B14B64" w:rsidP="00A70E6A">
      <w:pPr>
        <w:suppressAutoHyphens/>
        <w:spacing w:line="240" w:lineRule="auto"/>
        <w:ind w:left="426" w:hanging="426"/>
        <w:rPr>
          <w:rFonts w:cs="Charis SIL"/>
        </w:rPr>
      </w:pPr>
      <w:r w:rsidRPr="00FB4EFA">
        <w:rPr>
          <w:rFonts w:cs="Charis SIL"/>
        </w:rPr>
        <w:t xml:space="preserve">Mikonya, Josef. 1994. </w:t>
      </w:r>
      <w:r w:rsidRPr="00FB4EFA">
        <w:rPr>
          <w:rFonts w:cs="Charis SIL"/>
          <w:i/>
          <w:iCs/>
        </w:rPr>
        <w:t>Krähen auf dem Essigbaum</w:t>
      </w:r>
      <w:r w:rsidRPr="00FB4EFA">
        <w:rPr>
          <w:rFonts w:cs="Charis SIL"/>
        </w:rPr>
        <w:t>. Budapest: VUdAK</w:t>
      </w:r>
      <w:r w:rsidR="00614E7B" w:rsidRPr="00FB4EFA">
        <w:rPr>
          <w:rFonts w:cs="Charis SIL"/>
          <w:lang w:val="hu-HU"/>
        </w:rPr>
        <w:t>.</w:t>
      </w:r>
    </w:p>
    <w:p w14:paraId="2027E9CA" w14:textId="77777777" w:rsidR="00B14B64" w:rsidRPr="00FB4EFA" w:rsidRDefault="00B14B64" w:rsidP="00A70E6A">
      <w:pPr>
        <w:keepLines/>
        <w:suppressAutoHyphens/>
        <w:spacing w:line="240" w:lineRule="auto"/>
        <w:ind w:left="425" w:hanging="425"/>
        <w:rPr>
          <w:rFonts w:cs="Charis SIL"/>
        </w:rPr>
      </w:pPr>
      <w:r w:rsidRPr="00FB4EFA">
        <w:rPr>
          <w:rFonts w:cs="Charis SIL"/>
        </w:rPr>
        <w:t xml:space="preserve">Neumann, Brigitte. 2003. Literatur als Medium (der Inszenierung) kollektiver Erinnerungen und Identitäten. In Astrid Erll &amp; Marion Gymnich (eds.), </w:t>
      </w:r>
      <w:r w:rsidRPr="00FB4EFA">
        <w:rPr>
          <w:rFonts w:cs="Charis SIL"/>
          <w:i/>
        </w:rPr>
        <w:t>Literatur, Erinnerung, Identität. Theoriekonzeptionen und Fallstudien.</w:t>
      </w:r>
      <w:r w:rsidRPr="00FB4EFA">
        <w:rPr>
          <w:rFonts w:cs="Charis SIL"/>
        </w:rPr>
        <w:t xml:space="preserve"> 49–78. Trier: Wissenschaftlicher Verlag Trier.</w:t>
      </w:r>
    </w:p>
    <w:p w14:paraId="3640B516" w14:textId="7904B4FB"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Nora, Pierre. 2005. </w:t>
      </w:r>
      <w:r w:rsidRPr="00FB4EFA">
        <w:rPr>
          <w:rFonts w:eastAsia="Times New Roman" w:cs="Charis SIL"/>
          <w:i/>
          <w:lang w:eastAsia="de-AT"/>
        </w:rPr>
        <w:t>Erinnerungsorte Frankreichs</w:t>
      </w:r>
      <w:r w:rsidRPr="00FB4EFA">
        <w:rPr>
          <w:rFonts w:eastAsia="Times New Roman" w:cs="Charis SIL"/>
          <w:lang w:eastAsia="de-AT"/>
        </w:rPr>
        <w:t>. München: Beck</w:t>
      </w:r>
      <w:r w:rsidR="00614E7B" w:rsidRPr="00FB4EFA">
        <w:rPr>
          <w:rFonts w:cs="Charis SIL"/>
          <w:lang w:val="hu-HU"/>
        </w:rPr>
        <w:t>.</w:t>
      </w:r>
    </w:p>
    <w:p w14:paraId="6B6FEA80" w14:textId="4A870E45"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Pável, Rita. 2001. Die ungarndeutsche Literatur nach 1945. Ester Teil. </w:t>
      </w:r>
      <w:hyperlink r:id="rId467" w:anchor="page=5" w:history="1">
        <w:r w:rsidR="002544DA" w:rsidRPr="00FB4EFA">
          <w:rPr>
            <w:rStyle w:val="Hyperlink"/>
            <w:rFonts w:eastAsia="Times New Roman" w:cs="Charis SIL"/>
            <w:color w:val="auto"/>
            <w:lang w:eastAsia="de-AT"/>
          </w:rPr>
          <w:t>www.suevia-pannonica.de/archiv/archiv2001.pdf#page=5</w:t>
        </w:r>
      </w:hyperlink>
      <w:r w:rsidR="006E1EF5" w:rsidRPr="00FB4EFA">
        <w:rPr>
          <w:rFonts w:eastAsia="Times New Roman" w:cs="Charis SIL"/>
          <w:lang w:eastAsia="de-AT"/>
        </w:rPr>
        <w:t>.</w:t>
      </w:r>
    </w:p>
    <w:p w14:paraId="3F8424B7" w14:textId="0E194F99"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Pável Rita</w:t>
      </w:r>
      <w:r w:rsidR="00402EF4" w:rsidRPr="00FB4EFA">
        <w:rPr>
          <w:rFonts w:eastAsia="Times New Roman" w:cs="Charis SIL"/>
          <w:lang w:eastAsia="de-AT"/>
        </w:rPr>
        <w:t>.</w:t>
      </w:r>
      <w:r w:rsidRPr="00FB4EFA">
        <w:rPr>
          <w:rFonts w:eastAsia="Times New Roman" w:cs="Charis SIL"/>
          <w:lang w:eastAsia="de-AT"/>
        </w:rPr>
        <w:t xml:space="preserve"> 2002</w:t>
      </w:r>
      <w:r w:rsidR="00402EF4" w:rsidRPr="00FB4EFA">
        <w:rPr>
          <w:rFonts w:eastAsia="Times New Roman" w:cs="Charis SIL"/>
          <w:lang w:eastAsia="de-AT"/>
        </w:rPr>
        <w:t>.</w:t>
      </w:r>
      <w:r w:rsidRPr="00FB4EFA">
        <w:rPr>
          <w:rFonts w:eastAsia="Times New Roman" w:cs="Charis SIL"/>
          <w:lang w:eastAsia="de-AT"/>
        </w:rPr>
        <w:t xml:space="preserve"> Die ungarndeutsche Literatur nach 1945. Zweiter (letzter) Teil. </w:t>
      </w:r>
      <w:hyperlink r:id="rId468" w:anchor="page=5" w:history="1">
        <w:r w:rsidR="002544DA" w:rsidRPr="00FB4EFA">
          <w:rPr>
            <w:rStyle w:val="Hyperlink"/>
            <w:rFonts w:eastAsia="Times New Roman" w:cs="Charis SIL"/>
            <w:color w:val="auto"/>
            <w:lang w:eastAsia="de-AT"/>
          </w:rPr>
          <w:t>www.suevia-pannonica.de/archiv/archiv2002.pdf</w:t>
        </w:r>
        <w:r w:rsidR="002544DA" w:rsidRPr="00FB4EFA">
          <w:rPr>
            <w:rStyle w:val="Hyperlink"/>
            <w:rFonts w:eastAsia="Times New Roman" w:cs="Charis SIL"/>
            <w:color w:val="auto"/>
            <w:lang w:eastAsia="de-AT"/>
          </w:rPr>
          <w:br/>
          <w:t>#page=5</w:t>
        </w:r>
      </w:hyperlink>
      <w:r w:rsidR="006E1EF5" w:rsidRPr="00FB4EFA">
        <w:rPr>
          <w:rFonts w:eastAsia="Times New Roman" w:cs="Charis SIL"/>
          <w:lang w:eastAsia="de-AT"/>
        </w:rPr>
        <w:t>.</w:t>
      </w:r>
    </w:p>
    <w:p w14:paraId="4B814FD4" w14:textId="77777777"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Pável, Rita. 2006. </w:t>
      </w:r>
      <w:r w:rsidRPr="00FB4EFA">
        <w:rPr>
          <w:rFonts w:eastAsia="Times New Roman" w:cs="Charis SIL"/>
          <w:i/>
          <w:lang w:eastAsia="de-AT"/>
        </w:rPr>
        <w:t>Entwicklungsgeschichtliche Erwägungen zur ungarndeutschen Literatur mit besonderer Rücksicht auf die zweite Hälfte des 20. Jahrhunderts</w:t>
      </w:r>
      <w:r w:rsidRPr="00FB4EFA">
        <w:rPr>
          <w:rFonts w:eastAsia="Times New Roman" w:cs="Charis SIL"/>
          <w:lang w:eastAsia="de-AT"/>
        </w:rPr>
        <w:t>. Budapest: ELTE PhD thesis.</w:t>
      </w:r>
    </w:p>
    <w:p w14:paraId="3AE05F91" w14:textId="711EABE1" w:rsidR="00B14B64" w:rsidRPr="00FB4EFA" w:rsidRDefault="00B14B64" w:rsidP="00A70E6A">
      <w:pPr>
        <w:suppressAutoHyphens/>
        <w:spacing w:line="240" w:lineRule="auto"/>
        <w:ind w:left="426" w:hanging="426"/>
        <w:rPr>
          <w:rFonts w:cs="Charis SIL"/>
        </w:rPr>
      </w:pPr>
      <w:r w:rsidRPr="00FB4EFA">
        <w:rPr>
          <w:rFonts w:cs="Charis SIL"/>
        </w:rPr>
        <w:t xml:space="preserve">Propszt, Eszter. 1998. Die ungarndeutsche Gegenwartsliteratur unter literatursoziologischem Aspekt. </w:t>
      </w:r>
      <w:hyperlink r:id="rId469" w:history="1">
        <w:r w:rsidR="002A3BC9" w:rsidRPr="00FB4EFA">
          <w:rPr>
            <w:rStyle w:val="Hyperlink"/>
            <w:rFonts w:cs="Charis SIL"/>
            <w:color w:val="auto"/>
          </w:rPr>
          <w:t>www.inst.at/trans/3Nr/</w:t>
        </w:r>
        <w:r w:rsidR="002A3BC9" w:rsidRPr="00FB4EFA">
          <w:rPr>
            <w:rStyle w:val="Hyperlink"/>
            <w:rFonts w:cs="Charis SIL"/>
            <w:color w:val="auto"/>
          </w:rPr>
          <w:br/>
          <w:t>propszt.htm</w:t>
        </w:r>
      </w:hyperlink>
      <w:r w:rsidR="006E1EF5" w:rsidRPr="00FB4EFA">
        <w:rPr>
          <w:rFonts w:cs="Charis SIL"/>
        </w:rPr>
        <w:t>.</w:t>
      </w:r>
    </w:p>
    <w:p w14:paraId="4CBF1890" w14:textId="74113405" w:rsidR="00B14B64" w:rsidRPr="00FB4EFA" w:rsidRDefault="00B14B64" w:rsidP="00A70E6A">
      <w:pPr>
        <w:suppressAutoHyphens/>
        <w:spacing w:line="240" w:lineRule="auto"/>
        <w:ind w:left="426" w:hanging="426"/>
      </w:pPr>
      <w:r w:rsidRPr="00FB4EFA">
        <w:rPr>
          <w:rFonts w:cs="Charis SIL"/>
        </w:rPr>
        <w:t xml:space="preserve">Propszt, Eszter. 2005. Diszkurzív pozíciók a kortárs magyarországi német irodalomban. </w:t>
      </w:r>
      <w:hyperlink r:id="rId470" w:history="1">
        <w:r w:rsidR="002A3BC9" w:rsidRPr="00FB4EFA">
          <w:rPr>
            <w:rStyle w:val="Hyperlink"/>
            <w:rFonts w:cs="Charis SIL"/>
            <w:color w:val="auto"/>
          </w:rPr>
          <w:t>www.yumpu.com/hu/document/view/21923898/</w:t>
        </w:r>
      </w:hyperlink>
      <w:r w:rsidR="006E1EF5" w:rsidRPr="00FB4EFA">
        <w:rPr>
          <w:rFonts w:cs="Charis SIL"/>
        </w:rPr>
        <w:t>.</w:t>
      </w:r>
    </w:p>
    <w:p w14:paraId="5A1E32D0" w14:textId="18B9CF43" w:rsidR="00B14B64" w:rsidRPr="00FB4EFA" w:rsidRDefault="00B14B64" w:rsidP="00A70E6A">
      <w:pPr>
        <w:suppressAutoHyphens/>
        <w:spacing w:line="240" w:lineRule="auto"/>
        <w:ind w:left="426" w:hanging="426"/>
        <w:rPr>
          <w:rFonts w:cs="Charis SIL"/>
        </w:rPr>
      </w:pPr>
      <w:r w:rsidRPr="00FB4EFA">
        <w:rPr>
          <w:rFonts w:cs="Charis SIL"/>
        </w:rPr>
        <w:t xml:space="preserve">Regner, Erika. 2014. </w:t>
      </w:r>
      <w:r w:rsidRPr="00FB4EFA">
        <w:rPr>
          <w:rFonts w:cs="Charis SIL"/>
          <w:i/>
        </w:rPr>
        <w:t>Ungarndeutsche Literatur. Neue Perspektiven?</w:t>
      </w:r>
      <w:r w:rsidRPr="00FB4EFA">
        <w:rPr>
          <w:rFonts w:cs="Charis SIL"/>
        </w:rPr>
        <w:t xml:space="preserve"> </w:t>
      </w:r>
      <w:r w:rsidR="005B1648" w:rsidRPr="00FB4EFA">
        <w:rPr>
          <w:rFonts w:cs="Charis SIL"/>
        </w:rPr>
        <w:t>Frankfurt am Main</w:t>
      </w:r>
      <w:r w:rsidRPr="00FB4EFA">
        <w:rPr>
          <w:rFonts w:cs="Charis SIL"/>
        </w:rPr>
        <w:t>: Peter</w:t>
      </w:r>
      <w:r w:rsidR="005B1648" w:rsidRPr="00FB4EFA">
        <w:rPr>
          <w:rFonts w:cs="Charis SIL"/>
        </w:rPr>
        <w:t xml:space="preserve"> </w:t>
      </w:r>
      <w:r w:rsidRPr="00FB4EFA">
        <w:rPr>
          <w:rFonts w:cs="Charis SIL"/>
        </w:rPr>
        <w:t>Lang.</w:t>
      </w:r>
    </w:p>
    <w:p w14:paraId="539041FC" w14:textId="10D42599" w:rsidR="00B14B64" w:rsidRPr="00FB4EFA" w:rsidRDefault="00B14B64" w:rsidP="00A70E6A">
      <w:pPr>
        <w:suppressAutoHyphens/>
        <w:spacing w:line="240" w:lineRule="auto"/>
        <w:ind w:left="426" w:hanging="426"/>
        <w:rPr>
          <w:rFonts w:cs="Charis SIL"/>
        </w:rPr>
      </w:pPr>
      <w:r w:rsidRPr="00FB4EFA">
        <w:rPr>
          <w:rFonts w:cs="Charis SIL"/>
        </w:rPr>
        <w:t xml:space="preserve">Schuth, Johann (ed.). 2004. </w:t>
      </w:r>
      <w:r w:rsidRPr="00FB4EFA">
        <w:rPr>
          <w:rFonts w:cs="Charis SIL"/>
          <w:i/>
          <w:iCs/>
        </w:rPr>
        <w:t>Literatur, Literaturvermittlung, Identität</w:t>
      </w:r>
      <w:r w:rsidRPr="00FB4EFA">
        <w:rPr>
          <w:rFonts w:cs="Charis SIL"/>
        </w:rPr>
        <w:t>. Budapest: VUdAK</w:t>
      </w:r>
      <w:r w:rsidR="00614E7B" w:rsidRPr="00FB4EFA">
        <w:rPr>
          <w:rFonts w:cs="Charis SIL"/>
          <w:lang w:val="hu-HU"/>
        </w:rPr>
        <w:t>.</w:t>
      </w:r>
    </w:p>
    <w:p w14:paraId="60403404" w14:textId="77777777" w:rsidR="00B14B64" w:rsidRPr="00FB4EFA" w:rsidRDefault="00B14B64" w:rsidP="00A70E6A">
      <w:pPr>
        <w:suppressAutoHyphens/>
        <w:spacing w:line="240" w:lineRule="auto"/>
        <w:ind w:left="426" w:hanging="426"/>
        <w:rPr>
          <w:rFonts w:cs="Charis SIL"/>
        </w:rPr>
      </w:pPr>
      <w:r w:rsidRPr="00FB4EFA">
        <w:rPr>
          <w:rFonts w:cs="Charis SIL"/>
        </w:rPr>
        <w:t xml:space="preserve">Schuth, Johann. 2005. </w:t>
      </w:r>
      <w:r w:rsidRPr="00FB4EFA">
        <w:rPr>
          <w:rFonts w:cs="Charis SIL"/>
          <w:i/>
          <w:iCs/>
        </w:rPr>
        <w:t>Erkenntnisse 2000. Ungarndeutsche Anthologie</w:t>
      </w:r>
      <w:r w:rsidRPr="00FB4EFA">
        <w:rPr>
          <w:rFonts w:cs="Charis SIL"/>
        </w:rPr>
        <w:t>. Budapest: VudAK.</w:t>
      </w:r>
    </w:p>
    <w:p w14:paraId="1A1864A2" w14:textId="77777777" w:rsidR="00B14B64" w:rsidRPr="00FB4EFA" w:rsidRDefault="00B14B64" w:rsidP="00A70E6A">
      <w:pPr>
        <w:keepLines/>
        <w:suppressAutoHyphens/>
        <w:spacing w:line="240" w:lineRule="auto"/>
        <w:ind w:left="425" w:hanging="425"/>
        <w:rPr>
          <w:rFonts w:cs="Charis SIL"/>
        </w:rPr>
      </w:pPr>
      <w:r w:rsidRPr="00FB4EFA">
        <w:rPr>
          <w:rFonts w:cs="Charis SIL"/>
        </w:rPr>
        <w:t xml:space="preserve">Seewann, Gerhard (ed.). 1992. </w:t>
      </w:r>
      <w:r w:rsidRPr="00FB4EFA">
        <w:rPr>
          <w:rFonts w:cs="Charis SIL"/>
          <w:i/>
        </w:rPr>
        <w:t>Minderheitenfragen in Südosteuropa. Beiträge der Internationalen Konferenz “The Minority Question in Historical Perspective 1900–1990”, Inter University Center, Dubrovnik, 8. – 14. April 1991.</w:t>
      </w:r>
      <w:r w:rsidRPr="00FB4EFA">
        <w:rPr>
          <w:rFonts w:cs="Charis SIL"/>
        </w:rPr>
        <w:t xml:space="preserve"> München: R. Oldenbourg.</w:t>
      </w:r>
    </w:p>
    <w:p w14:paraId="34D952E6" w14:textId="77777777" w:rsidR="00B14B64" w:rsidRPr="00FB4EFA" w:rsidRDefault="00B14B64" w:rsidP="00A70E6A">
      <w:pPr>
        <w:suppressAutoHyphens/>
        <w:spacing w:line="240" w:lineRule="auto"/>
        <w:ind w:left="426" w:hanging="426"/>
        <w:rPr>
          <w:rFonts w:cs="Charis SIL"/>
        </w:rPr>
      </w:pPr>
      <w:r w:rsidRPr="00FB4EFA">
        <w:rPr>
          <w:rFonts w:cs="Charis SIL"/>
        </w:rPr>
        <w:t xml:space="preserve">Seewann, Gerhard. 2004. Zur Identität der Ungarndeutschen in Geschichte und Gegenwart. In Frank Almai &amp; Ulrich Fröschle (eds.), </w:t>
      </w:r>
      <w:r w:rsidRPr="00FB4EFA">
        <w:rPr>
          <w:rFonts w:cs="Charis SIL"/>
          <w:i/>
        </w:rPr>
        <w:t>Deutsche in Ungarn, Ungarn und Deutsche. Interdisziplinäre Zugänge</w:t>
      </w:r>
      <w:r w:rsidRPr="00FB4EFA">
        <w:rPr>
          <w:rFonts w:cs="Charis SIL"/>
        </w:rPr>
        <w:t>, 1–10. Dresden: Thelem.</w:t>
      </w:r>
    </w:p>
    <w:p w14:paraId="104E164D" w14:textId="77777777" w:rsidR="00B14B64" w:rsidRPr="00FB4EFA" w:rsidRDefault="00B14B64" w:rsidP="00A70E6A">
      <w:pPr>
        <w:suppressAutoHyphens/>
        <w:spacing w:line="240" w:lineRule="auto"/>
        <w:ind w:left="426" w:hanging="426"/>
        <w:rPr>
          <w:rFonts w:cs="Charis SIL"/>
        </w:rPr>
      </w:pPr>
      <w:r w:rsidRPr="00FB4EFA">
        <w:rPr>
          <w:rFonts w:cs="Charis SIL"/>
        </w:rPr>
        <w:lastRenderedPageBreak/>
        <w:t xml:space="preserve">Spannenberger, Norbert. 2004. Die Lage der deutschen Minderheit in Ungarn im Spiegel des Minderheitengesetzes. In Frank Almai &amp; Ulrich Fröschle (eds.), </w:t>
      </w:r>
      <w:r w:rsidRPr="00FB4EFA">
        <w:rPr>
          <w:rFonts w:cs="Charis SIL"/>
          <w:i/>
        </w:rPr>
        <w:t>Deutsche in Ungarn, Ungarn und Deutsche. Interdisziplinäre Zugänge</w:t>
      </w:r>
      <w:r w:rsidRPr="00FB4EFA">
        <w:rPr>
          <w:rFonts w:cs="Charis SIL"/>
        </w:rPr>
        <w:t>, 71–84. Dresden: Thelem.</w:t>
      </w:r>
    </w:p>
    <w:p w14:paraId="1EBA4C29" w14:textId="190AD5CE" w:rsidR="00B14B64" w:rsidRPr="00FB4EFA" w:rsidRDefault="00B14B64" w:rsidP="007F30A7">
      <w:pPr>
        <w:suppressAutoHyphens/>
        <w:spacing w:line="240" w:lineRule="auto"/>
        <w:ind w:left="426" w:hanging="426"/>
        <w:jc w:val="left"/>
        <w:rPr>
          <w:rFonts w:cs="Charis SIL"/>
        </w:rPr>
      </w:pPr>
      <w:r w:rsidRPr="00FB4EFA">
        <w:rPr>
          <w:rFonts w:cs="Charis SIL"/>
        </w:rPr>
        <w:t xml:space="preserve">Szabó, Dezső: Tendenzen der ungarndeutschen Literatur seit den 1970er Jahren. </w:t>
      </w:r>
      <w:hyperlink r:id="rId471" w:history="1">
        <w:r w:rsidR="002A3BC9" w:rsidRPr="00FB4EFA">
          <w:rPr>
            <w:rStyle w:val="Hyperlink"/>
            <w:rFonts w:cs="Charis SIL"/>
            <w:color w:val="auto"/>
          </w:rPr>
          <w:t>www.ungarndeutsche.de/de/cms/uploads/</w:t>
        </w:r>
        <w:r w:rsidR="002A3BC9" w:rsidRPr="00FB4EFA">
          <w:rPr>
            <w:rStyle w:val="Hyperlink"/>
            <w:rFonts w:cs="Charis SIL"/>
            <w:color w:val="auto"/>
          </w:rPr>
          <w:br/>
          <w:t>ungarndeutsche Literatur_D Szabo.pdf</w:t>
        </w:r>
      </w:hyperlink>
      <w:r w:rsidR="006E1EF5" w:rsidRPr="00FB4EFA">
        <w:rPr>
          <w:rFonts w:cs="Charis SIL"/>
        </w:rPr>
        <w:t>.</w:t>
      </w:r>
    </w:p>
    <w:p w14:paraId="6C087F9B" w14:textId="77777777" w:rsidR="00B14B64" w:rsidRPr="00FB4EFA" w:rsidRDefault="00B14B64" w:rsidP="00A70E6A">
      <w:pPr>
        <w:suppressAutoHyphens/>
        <w:spacing w:line="240" w:lineRule="auto"/>
        <w:ind w:left="426" w:hanging="426"/>
        <w:rPr>
          <w:rFonts w:cs="Charis SIL"/>
        </w:rPr>
      </w:pPr>
      <w:r w:rsidRPr="00FB4EFA">
        <w:rPr>
          <w:rFonts w:cs="Charis SIL"/>
        </w:rPr>
        <w:t xml:space="preserve">Szende, Béla (ed.). 1984. </w:t>
      </w:r>
      <w:r w:rsidRPr="00FB4EFA">
        <w:rPr>
          <w:rFonts w:cs="Charis SIL"/>
          <w:i/>
          <w:iCs/>
        </w:rPr>
        <w:t xml:space="preserve">Jahresringe. Ungarndeutsche Anthologie. </w:t>
      </w:r>
      <w:r w:rsidRPr="00FB4EFA">
        <w:rPr>
          <w:rFonts w:cs="Charis SIL"/>
        </w:rPr>
        <w:t>Budapest: TK.</w:t>
      </w:r>
    </w:p>
    <w:p w14:paraId="38C26706" w14:textId="77777777" w:rsidR="00B14B64" w:rsidRPr="00FB4EFA" w:rsidRDefault="00B14B64" w:rsidP="00A70E6A">
      <w:pPr>
        <w:suppressAutoHyphens/>
        <w:spacing w:line="240" w:lineRule="auto"/>
        <w:ind w:left="426" w:hanging="426"/>
        <w:rPr>
          <w:rFonts w:eastAsia="Times New Roman" w:cs="Charis SIL"/>
          <w:lang w:eastAsia="de-AT"/>
        </w:rPr>
      </w:pPr>
      <w:r w:rsidRPr="00FB4EFA">
        <w:rPr>
          <w:rFonts w:eastAsia="Times New Roman" w:cs="Charis SIL"/>
          <w:lang w:eastAsia="de-AT"/>
        </w:rPr>
        <w:t xml:space="preserve">Von Klimó, Árpád. 2006. </w:t>
      </w:r>
      <w:r w:rsidRPr="00FB4EFA">
        <w:rPr>
          <w:rFonts w:eastAsia="Times New Roman" w:cs="Charis SIL"/>
          <w:i/>
          <w:lang w:eastAsia="de-AT"/>
        </w:rPr>
        <w:t>Ungarn seit 1945</w:t>
      </w:r>
      <w:r w:rsidRPr="00FB4EFA">
        <w:rPr>
          <w:rFonts w:eastAsia="Times New Roman" w:cs="Charis SIL"/>
          <w:lang w:eastAsia="de-AT"/>
        </w:rPr>
        <w:t>. Göttingen: Vandenhoeck &amp; Ruprecht.</w:t>
      </w:r>
    </w:p>
    <w:p w14:paraId="384A8FD6" w14:textId="09D60223" w:rsidR="00597915" w:rsidRPr="00FB4EFA" w:rsidRDefault="00B14B64" w:rsidP="00A70E6A">
      <w:pPr>
        <w:suppressAutoHyphens/>
        <w:spacing w:line="240" w:lineRule="auto"/>
        <w:ind w:left="426" w:hanging="426"/>
        <w:rPr>
          <w:i/>
        </w:rPr>
      </w:pPr>
      <w:r w:rsidRPr="00FB4EFA">
        <w:rPr>
          <w:rFonts w:cs="Charis SIL"/>
        </w:rPr>
        <w:t>Zeltner, Franz. 1953.</w:t>
      </w:r>
      <w:r w:rsidRPr="00FB4EFA">
        <w:rPr>
          <w:rFonts w:cs="Charis SIL"/>
          <w:i/>
        </w:rPr>
        <w:t xml:space="preserve"> </w:t>
      </w:r>
      <w:r w:rsidRPr="00FB4EFA">
        <w:rPr>
          <w:rFonts w:cs="Charis SIL"/>
          <w:iCs/>
        </w:rPr>
        <w:t xml:space="preserve">Brennberg. </w:t>
      </w:r>
      <w:hyperlink r:id="rId472" w:history="1">
        <w:r w:rsidR="002A3BC9" w:rsidRPr="00FB4EFA">
          <w:rPr>
            <w:rStyle w:val="Hyperlink"/>
            <w:rFonts w:cs="Charis SIL"/>
            <w:color w:val="auto"/>
          </w:rPr>
          <w:t>www.oedenburgerland.de/index.php?</w:t>
        </w:r>
        <w:r w:rsidR="002A3BC9" w:rsidRPr="00FB4EFA">
          <w:rPr>
            <w:rStyle w:val="Hyperlink"/>
            <w:rFonts w:cs="Charis SIL"/>
            <w:color w:val="auto"/>
          </w:rPr>
          <w:br/>
          <w:t>option=com_content&amp;view=article&amp;id=741:brennberg-von-franz-zeltner&amp;catid=102&amp;Itemid=240</w:t>
        </w:r>
      </w:hyperlink>
      <w:r w:rsidR="006E1EF5" w:rsidRPr="00FB4EFA">
        <w:rPr>
          <w:rFonts w:cs="Charis SIL"/>
        </w:rPr>
        <w:t>.</w:t>
      </w:r>
    </w:p>
    <w:p w14:paraId="1F7CD238" w14:textId="77777777" w:rsidR="00597915" w:rsidRPr="00FB4EFA" w:rsidRDefault="00597915" w:rsidP="00857D2A">
      <w:pPr>
        <w:spacing w:after="160"/>
        <w:jc w:val="center"/>
        <w:rPr>
          <w:smallCaps/>
          <w:sz w:val="48"/>
          <w:szCs w:val="48"/>
        </w:rPr>
        <w:sectPr w:rsidR="00597915" w:rsidRPr="00FB4EFA">
          <w:headerReference w:type="even" r:id="rId473"/>
          <w:headerReference w:type="default" r:id="rId474"/>
          <w:headerReference w:type="first" r:id="rId475"/>
          <w:footnotePr>
            <w:numRestart w:val="eachSect"/>
          </w:footnotePr>
          <w:pgSz w:w="9180" w:h="13302"/>
          <w:pgMar w:top="779" w:right="1133" w:bottom="1132" w:left="1133" w:header="744" w:footer="720" w:gutter="0"/>
          <w:cols w:space="720"/>
          <w:titlePg/>
        </w:sectPr>
      </w:pPr>
    </w:p>
    <w:p w14:paraId="4E746086" w14:textId="4FEFB924" w:rsidR="00D418BA" w:rsidRPr="00FB4EFA" w:rsidRDefault="00D418BA" w:rsidP="00857D2A">
      <w:pPr>
        <w:pStyle w:val="Authors"/>
        <w:spacing w:line="259" w:lineRule="auto"/>
        <w:rPr>
          <w:color w:val="auto"/>
          <w:lang w:val="de-AT"/>
        </w:rPr>
      </w:pPr>
      <w:r w:rsidRPr="00FB4EFA">
        <w:rPr>
          <w:color w:val="auto"/>
          <w:lang w:val="de-AT"/>
        </w:rPr>
        <w:lastRenderedPageBreak/>
        <w:t>Endre Hárs</w:t>
      </w:r>
    </w:p>
    <w:p w14:paraId="61A7E3DF" w14:textId="77777777" w:rsidR="00D418BA" w:rsidRPr="00FB4EFA" w:rsidRDefault="00D418BA" w:rsidP="00857D2A"/>
    <w:p w14:paraId="7C59A667" w14:textId="489F22D1" w:rsidR="00195BB7" w:rsidRPr="00FB4EFA" w:rsidRDefault="00195BB7" w:rsidP="00994E2A">
      <w:pPr>
        <w:pStyle w:val="Heading1"/>
        <w:suppressAutoHyphens/>
        <w:spacing w:line="259" w:lineRule="auto"/>
        <w:rPr>
          <w:color w:val="auto"/>
        </w:rPr>
      </w:pPr>
      <w:bookmarkStart w:id="128" w:name="_Ref95160175"/>
      <w:r w:rsidRPr="00FB4EFA">
        <w:rPr>
          <w:color w:val="auto"/>
        </w:rPr>
        <w:t xml:space="preserve">Wie Gyula Hernádi dem Zeitreisenden begegnete. Eine Episode aus der Geschichte </w:t>
      </w:r>
      <w:r w:rsidR="004A53B7" w:rsidRPr="00FB4EFA">
        <w:rPr>
          <w:color w:val="auto"/>
        </w:rPr>
        <w:br/>
      </w:r>
      <w:r w:rsidRPr="00FB4EFA">
        <w:rPr>
          <w:color w:val="auto"/>
        </w:rPr>
        <w:t>der ungarischen Fantastik</w:t>
      </w:r>
      <w:bookmarkEnd w:id="128"/>
    </w:p>
    <w:p w14:paraId="6C354CE0" w14:textId="77777777" w:rsidR="0022731A" w:rsidRPr="00FB4EFA" w:rsidRDefault="0022731A" w:rsidP="002A3BC9">
      <w:pPr>
        <w:suppressAutoHyphens/>
        <w:spacing w:line="240" w:lineRule="auto"/>
        <w:ind w:left="709"/>
        <w:rPr>
          <w:sz w:val="20"/>
          <w:szCs w:val="20"/>
        </w:rPr>
      </w:pPr>
      <w:r w:rsidRPr="00FB4EFA">
        <w:rPr>
          <w:sz w:val="20"/>
          <w:szCs w:val="20"/>
        </w:rPr>
        <w:t>„Wir versuchen, uns der geschichtlichen Wahrheit auf reineren Pfaden zu nähern, die sicherer leiten: durch Innenschau, sympathetisches Erfühlen, Fernwitterung und geistige Schlüsse, aber nicht logische, sondern intuitive. So entrollt sich den Begnadeten unter uns nach vorne und rückwärts ein klares lückenloses Bild des Weltgeschehens in Gesichten.“ (Friedell 1974: 59)</w:t>
      </w:r>
    </w:p>
    <w:p w14:paraId="53D31FDD" w14:textId="18774A0B" w:rsidR="0022731A" w:rsidRPr="00FB4EFA" w:rsidRDefault="0022731A" w:rsidP="00E849AD">
      <w:pPr>
        <w:spacing w:before="240"/>
      </w:pPr>
      <w:r w:rsidRPr="00FB4EFA">
        <w:t xml:space="preserve">Beim raschen Wandel der Themen, mit denen man sich in den Literatur- und Kulturwissenschaften auseinanderzusetzen hat, geraten zahlreiche relevante und interessante Autor*innen und Konzepte in Vergessenheit, die eigentlich immer noch Aufmerksamkeit verdienen würden. Der vorliegende Beitrag führt in die 1970er Jahre, um in dieser Hochperiode der </w:t>
      </w:r>
      <w:r w:rsidR="006057AB" w:rsidRPr="00FB4EFA">
        <w:rPr>
          <w:lang w:val="en-GB"/>
        </w:rPr>
        <w:t>‘</w:t>
      </w:r>
      <w:r w:rsidRPr="00FB4EFA">
        <w:t>wissenschaftlich-fantastischen Literatur</w:t>
      </w:r>
      <w:r w:rsidR="0093480B" w:rsidRPr="00FB4EFA">
        <w:t>’</w:t>
      </w:r>
      <w:r w:rsidRPr="00FB4EFA">
        <w:t xml:space="preserve"> – wie Science-Fiction im Ostblock nach sowjetischem Muster genannt wurde – einen ungarischen Autor und dessen damals als </w:t>
      </w:r>
      <w:r w:rsidR="006057AB" w:rsidRPr="00FB4EFA">
        <w:rPr>
          <w:lang w:val="en-GB"/>
        </w:rPr>
        <w:t>‘</w:t>
      </w:r>
      <w:r w:rsidRPr="00FB4EFA">
        <w:t>Gedankenexperimente</w:t>
      </w:r>
      <w:r w:rsidR="0093480B" w:rsidRPr="00FB4EFA">
        <w:t>’</w:t>
      </w:r>
      <w:r w:rsidRPr="00FB4EFA">
        <w:t xml:space="preserve"> gewürdigten Novellen in Erinnerung zu rufen. In der Einleitung des Bandes </w:t>
      </w:r>
      <w:r w:rsidRPr="00FB4EFA">
        <w:rPr>
          <w:i/>
          <w:iCs/>
        </w:rPr>
        <w:t>Science &amp; Fiction. Über Gedankenexperimente in Wissenschaft, Philosophie und Literatur</w:t>
      </w:r>
      <w:r w:rsidRPr="00FB4EFA">
        <w:t xml:space="preserve"> (2004) charakterisieren Annette Wunschel und Thomas Macho das Gedankenexperiment, oder, wie sie es nennen, die „mentalen Versuchsanordnungen“, zum einen durch „punktuellen, strategischen Einsatz“ </w:t>
      </w:r>
      <w:r w:rsidR="00A70E6A" w:rsidRPr="00FB4EFA">
        <w:br/>
      </w:r>
      <w:r w:rsidRPr="00FB4EFA">
        <w:t>(Wunschel &amp; Macho 2004: 9), d.</w:t>
      </w:r>
      <w:r w:rsidR="00394635" w:rsidRPr="00FB4EFA">
        <w:t xml:space="preserve"> </w:t>
      </w:r>
      <w:r w:rsidRPr="00FB4EFA">
        <w:t xml:space="preserve">h. durch klare Ausrichtung und gute Nachvollziehbarkeit, zum anderen durch ein „notwendig literarisch[es]“ (ibid. 11) Profil: „Das Gedankenexperiment radikalisiert, was als Transgression zwischen </w:t>
      </w:r>
      <w:r w:rsidRPr="00FB4EFA">
        <w:rPr>
          <w:i/>
          <w:iCs/>
        </w:rPr>
        <w:t>facts</w:t>
      </w:r>
      <w:r w:rsidRPr="00FB4EFA">
        <w:t xml:space="preserve"> und </w:t>
      </w:r>
      <w:r w:rsidRPr="00FB4EFA">
        <w:rPr>
          <w:i/>
          <w:iCs/>
        </w:rPr>
        <w:t>fictions</w:t>
      </w:r>
      <w:r w:rsidRPr="00FB4EFA">
        <w:t xml:space="preserve">, zwischen Wissenschaft, Literatur, Kunst und Philosophie bereits häufig diskutiert wurde.“ (ibid. 12) Die Fragestellung lässt sich, wie die Titelgebung und die Aufsätze des genannten Bandes erweisen, nicht nur auf Literatur generell beziehen, sondern auch gattungsspezifisch ausdifferenzieren, so etwa auf jenes Genre übertragen, mit dem sich vorliegender Beitrag beschäftigt: auf die Science-Fiction. Über deren Experimentalcharakter sei – stellvertretend für </w:t>
      </w:r>
      <w:r w:rsidRPr="00FB4EFA">
        <w:lastRenderedPageBreak/>
        <w:t xml:space="preserve">die kaum einzugrenzende Forschung – Dietmar Dath zitiert, der in seiner Monografie </w:t>
      </w:r>
      <w:r w:rsidRPr="00FB4EFA">
        <w:rPr>
          <w:i/>
          <w:iCs/>
        </w:rPr>
        <w:t>Niegeschichte. Science Fiction als Kunst- und Denkmaschine</w:t>
      </w:r>
      <w:r w:rsidRPr="00FB4EFA">
        <w:t xml:space="preserve"> (2019) über die „spekulative Ästhetik der SF“ festhält, dass diese „ein Sonderfall der Deduktion“ sei:</w:t>
      </w:r>
    </w:p>
    <w:p w14:paraId="657A501A" w14:textId="77777777" w:rsidR="0022731A" w:rsidRPr="00FB4EFA" w:rsidRDefault="0022731A" w:rsidP="002A3BC9">
      <w:pPr>
        <w:suppressAutoHyphens/>
        <w:spacing w:before="240" w:after="240" w:line="240" w:lineRule="auto"/>
        <w:ind w:left="709"/>
        <w:rPr>
          <w:sz w:val="20"/>
          <w:szCs w:val="20"/>
        </w:rPr>
      </w:pPr>
      <w:r w:rsidRPr="00FB4EFA">
        <w:rPr>
          <w:sz w:val="20"/>
          <w:szCs w:val="20"/>
        </w:rPr>
        <w:t>Man leitet aus Gesetzen (die man nahezu beliebig wählen kann, dann aber befolgen muss) Ereignisketten ab, die sich erzählen lassen, also: Man arrangiert eine Verkettung von Schlüssen zum Zweck der Gewinnung von innerhalb des postulierten Gesetzesrahmens zulässigen Ursache-Wirkung-Narrativen. (Dath 2019: 79)</w:t>
      </w:r>
    </w:p>
    <w:p w14:paraId="205FE816" w14:textId="33264E83" w:rsidR="0022731A" w:rsidRPr="00FB4EFA" w:rsidRDefault="0022731A" w:rsidP="00402EF4">
      <w:r w:rsidRPr="00FB4EFA">
        <w:t xml:space="preserve">Die durch SF-Geschichten abgesteckten fiktionalen Rahmen zeichnen sich demzufolge dadurch aus, dass sie nach einer „Brücke der </w:t>
      </w:r>
      <w:r w:rsidRPr="00FB4EFA">
        <w:rPr>
          <w:rFonts w:cs="Charis SIL"/>
        </w:rPr>
        <w:t>suggerierten wissenschaftlichen Plausibilität“ (Innerhofer 2013a: 318)</w:t>
      </w:r>
      <w:r w:rsidRPr="00FB4EFA">
        <w:rPr>
          <w:rFonts w:cs="Charis SIL"/>
          <w:vertAlign w:val="superscript"/>
        </w:rPr>
        <w:footnoteReference w:id="167"/>
      </w:r>
      <w:r w:rsidRPr="00FB4EFA">
        <w:rPr>
          <w:rFonts w:cs="Charis SIL"/>
        </w:rPr>
        <w:t xml:space="preserve"> verlangen und mit der hiermit gewonnenen Konsequenz zu einer „Kunst“, einer </w:t>
      </w:r>
      <w:r w:rsidR="00E849AD" w:rsidRPr="00FB4EFA">
        <w:rPr>
          <w:rFonts w:cs="Charis SIL"/>
        </w:rPr>
        <w:br/>
      </w:r>
      <w:r w:rsidRPr="00FB4EFA">
        <w:rPr>
          <w:rFonts w:cs="Charis SIL"/>
        </w:rPr>
        <w:t>„Maschine zur Erschließung von sowohl Wissensweisen wie</w:t>
      </w:r>
      <w:r w:rsidRPr="00FB4EFA">
        <w:t xml:space="preserve"> Erkenntnisresultaten werden […], die anders als mit ihr und durch sie nicht zu denken wären“ (Dath 2019: 99).</w:t>
      </w:r>
    </w:p>
    <w:p w14:paraId="1A576A63" w14:textId="174C379E" w:rsidR="0022731A" w:rsidRPr="00FB4EFA" w:rsidRDefault="0022731A" w:rsidP="00E849AD">
      <w:pPr>
        <w:ind w:firstLine="709"/>
      </w:pPr>
      <w:r w:rsidRPr="00FB4EFA">
        <w:t xml:space="preserve">In unserem Zusammenhang wird die experimentelle Ordnung der Science-Fiction-Literatur nicht nur in einer historischen Konstellation, sondern auch in einer spezifischen thematischen Sparte, in der der Zeitreise aufgesucht. Im genannten Band von Wunschel und Macho werden auch die Zeitreisen als Gedankenexperimente behandelt und als „veränderter Bewusstseinsraum“ (Liessmann 2004: 209) den nur technischen Fantasien gegenübergestellt. Dies stimmt mit David Wittenbergs These überein, der zufolge die „time travel fiction“ als eine Art „narratological laboratory“ funktioniert, als „philosophical literature par excellence“ (Wittenberg 2013: 2). Wittenberg kommt zu diesem Schluss, indem er in seiner Monografie </w:t>
      </w:r>
      <w:r w:rsidRPr="00FB4EFA">
        <w:rPr>
          <w:i/>
          <w:iCs/>
        </w:rPr>
        <w:t>Time Travel. The Popular Philosophy of Narrative</w:t>
      </w:r>
      <w:r w:rsidRPr="00FB4EFA">
        <w:t xml:space="preserve"> (2013) drei historische Phasen der Zeitreiseliteratur unterscheidet: Nach einer utopisch-uchronischen ersten Phase hätte sich die Zeitreise in der zweiten Phase seit den 1920er Jahren zur </w:t>
      </w:r>
      <w:r w:rsidR="00D2687C" w:rsidRPr="00FB4EFA">
        <w:t>„</w:t>
      </w:r>
      <w:r w:rsidRPr="00FB4EFA">
        <w:t>paradox story</w:t>
      </w:r>
      <w:r w:rsidR="00D2687C" w:rsidRPr="00FB4EFA">
        <w:t>“</w:t>
      </w:r>
      <w:r w:rsidRPr="00FB4EFA">
        <w:t xml:space="preserve"> (ibid. 31) entwickelt und agiere in ihrer dritten Phase seit Mitte des 20. Jahrhunderts als radikales narratives Mittel der Selbsthinterfragung mit philosophisch-</w:t>
      </w:r>
      <w:r w:rsidRPr="00FB4EFA">
        <w:lastRenderedPageBreak/>
        <w:t xml:space="preserve">epistemologischen </w:t>
      </w:r>
      <w:r w:rsidRPr="00FB4EFA">
        <w:rPr>
          <w:rFonts w:cs="Charis SIL"/>
        </w:rPr>
        <w:t>Konsequenzen.</w:t>
      </w:r>
      <w:r w:rsidRPr="00FB4EFA">
        <w:rPr>
          <w:rFonts w:cs="Charis SIL"/>
          <w:vertAlign w:val="superscript"/>
        </w:rPr>
        <w:footnoteReference w:id="168"/>
      </w:r>
      <w:r w:rsidRPr="00FB4EFA">
        <w:rPr>
          <w:rFonts w:cs="Charis SIL"/>
        </w:rPr>
        <w:t xml:space="preserve"> Diese</w:t>
      </w:r>
      <w:r w:rsidRPr="00FB4EFA">
        <w:t xml:space="preserve"> Periodisierung und die Zuspitzung des Konzepts für die Gegenwart trifft auch auf das nun vorzuführende Fallbeispiel zu.</w:t>
      </w:r>
    </w:p>
    <w:p w14:paraId="26991C00" w14:textId="232B9BD6" w:rsidR="0022731A" w:rsidRPr="00FB4EFA" w:rsidRDefault="0022731A" w:rsidP="00E849AD">
      <w:pPr>
        <w:ind w:firstLine="709"/>
      </w:pPr>
      <w:r w:rsidRPr="00FB4EFA">
        <w:t>Die prinzipielle Spekulativität und Experimentalität von Science-Fiction einerseits</w:t>
      </w:r>
      <w:r w:rsidR="0021708D" w:rsidRPr="00FB4EFA">
        <w:t xml:space="preserve"> und die</w:t>
      </w:r>
      <w:r w:rsidRPr="00FB4EFA">
        <w:t xml:space="preserve"> Subversität von (freilich nicht </w:t>
      </w:r>
      <w:r w:rsidRPr="00FB4EFA">
        <w:rPr>
          <w:i/>
          <w:iCs/>
        </w:rPr>
        <w:t>nur</w:t>
      </w:r>
      <w:r w:rsidRPr="00FB4EFA">
        <w:t xml:space="preserve"> </w:t>
      </w:r>
      <w:r w:rsidRPr="00FB4EFA">
        <w:rPr>
          <w:rFonts w:cs="Charis SIL"/>
        </w:rPr>
        <w:t>fantastischen</w:t>
      </w:r>
      <w:r w:rsidRPr="00FB4EFA">
        <w:rPr>
          <w:rFonts w:cs="Charis SIL"/>
          <w:vertAlign w:val="superscript"/>
        </w:rPr>
        <w:footnoteReference w:id="169"/>
      </w:r>
      <w:r w:rsidRPr="00FB4EFA">
        <w:rPr>
          <w:rFonts w:cs="Charis SIL"/>
        </w:rPr>
        <w:t>) Zeitreisenarrativen andererseits hat der ungarische Autor Gyula Hernádi (1926–2005) auf eine Art und Weise zu demonstrieren gewusst, die – folgt man Wittenberg – auf dem Höhepunkt der Zeit lag, und vom Mainstream der wissenschaftlich-fantastischen Literatur (wenngleich nicht der westlichen SF) dennoch aufschlussreich</w:t>
      </w:r>
      <w:r w:rsidRPr="00FB4EFA">
        <w:t xml:space="preserve"> abgewichen ist. Hernádi ist als produktiver und erfolgreicher Drehbuchautor der Filme von Miklós Jancsó bekannt (Graham 2003). Als Autor von zahlreichen Novellen, Romanen und Dramen hat man an ihm eher den Sonderling wahrgenommen, der sich schwer literaturhistorisch einordnen lässt. Seine intellektuelle Prosa erwies sich als zu experimentell, parabolistisch (Pósa 1990: 23–31), auch viel zu unbeständig, um kanonisiert zu werden. Auch hat sich Hernádi in späteren Jahren nicht gescheut, sich mit populären Registern und trivialen Themenfeldern abzugeben. Am nachhaltigsten sind vielleicht – über sein unwidersprochenes Verdienst als Mitarbeiter Jancsós hinaus – seine Anverwandlungen des fantastischen Horrors in den Romanen </w:t>
      </w:r>
      <w:r w:rsidRPr="00FB4EFA">
        <w:rPr>
          <w:i/>
          <w:iCs/>
        </w:rPr>
        <w:t>Hasfelmetsző Jack</w:t>
      </w:r>
      <w:r w:rsidRPr="00FB4EFA">
        <w:t xml:space="preserve"> [Jack the Ripper] (1982), </w:t>
      </w:r>
      <w:r w:rsidRPr="00FB4EFA">
        <w:rPr>
          <w:i/>
          <w:iCs/>
        </w:rPr>
        <w:t>Drakula</w:t>
      </w:r>
      <w:r w:rsidRPr="00FB4EFA">
        <w:t xml:space="preserve"> (1983) und </w:t>
      </w:r>
      <w:r w:rsidRPr="00FB4EFA">
        <w:rPr>
          <w:i/>
          <w:iCs/>
        </w:rPr>
        <w:t>Frankenstein</w:t>
      </w:r>
      <w:r w:rsidRPr="00FB4EFA">
        <w:t xml:space="preserve"> (1984).</w:t>
      </w:r>
    </w:p>
    <w:p w14:paraId="5AD40324" w14:textId="0BA25834" w:rsidR="0022731A" w:rsidRPr="00FB4EFA" w:rsidRDefault="0022731A" w:rsidP="00E849AD">
      <w:pPr>
        <w:ind w:firstLine="709"/>
      </w:pPr>
      <w:r w:rsidRPr="00FB4EFA">
        <w:t>Hernádi hat sich Ende der 1960er, Anfang der 1970er Jahre Novellen und Novellenbänden gewidmet, in denen die eingangs hervorgehobene Experimentierlust vorherrscht und den genannten „punktuellen, strategischen Einsatz“ von außergewöhnlichen Situationen mit literarischen Lösungen verbindet, die von der zeitgenössischen Kritik registriert und erläutert wurden und seither als Bestandteil der Geschichte der ungarischen Science-Fiction betrachtet werden. Die genannten Texte ent</w:t>
      </w:r>
      <w:r w:rsidRPr="00FB4EFA">
        <w:lastRenderedPageBreak/>
        <w:t xml:space="preserve">standen in der Zeit, als die ungarische Science-Fiction institutionell und professionell endgültig Gestalt </w:t>
      </w:r>
      <w:r w:rsidR="0021708D" w:rsidRPr="00FB4EFA">
        <w:t>annahm</w:t>
      </w:r>
      <w:r w:rsidRPr="00FB4EFA">
        <w:t xml:space="preserve">. Péter Kuczka startete die Buchreihe </w:t>
      </w:r>
      <w:r w:rsidRPr="00FB4EFA">
        <w:rPr>
          <w:i/>
          <w:iCs/>
        </w:rPr>
        <w:t>Kozmosz Fantasztikus Könyvek</w:t>
      </w:r>
      <w:r w:rsidRPr="00FB4EFA">
        <w:t xml:space="preserve"> [Kosmos Fantastische Bücher] 1969</w:t>
      </w:r>
      <w:r w:rsidR="0021708D" w:rsidRPr="00FB4EFA">
        <w:t xml:space="preserve"> und</w:t>
      </w:r>
      <w:r w:rsidRPr="00FB4EFA">
        <w:t xml:space="preserve"> die Zeitschrift </w:t>
      </w:r>
      <w:r w:rsidRPr="00FB4EFA">
        <w:rPr>
          <w:i/>
          <w:iCs/>
        </w:rPr>
        <w:t>Galaktika</w:t>
      </w:r>
      <w:r w:rsidRPr="00FB4EFA">
        <w:t xml:space="preserve"> 1972, während auch eine neue Generation junger erklärter SF-Autor*innen, wie István Nemere und Péter Szentmihályi Szabó, um nur zwei bekanntere Namen hervorzuheben, auf die Bühne trat. (S. Sárdi 2009: 67)</w:t>
      </w:r>
    </w:p>
    <w:p w14:paraId="12895F70" w14:textId="3D530FFC" w:rsidR="0022731A" w:rsidRPr="00FB4EFA" w:rsidRDefault="0022731A" w:rsidP="00E849AD">
      <w:pPr>
        <w:ind w:firstLine="709"/>
      </w:pPr>
      <w:r w:rsidRPr="00FB4EFA">
        <w:t>Dies geschah wiederum in einem politisch-ideologischen Umfeld, in dem Differenzen zur westlichen Science-Fiction artikuliert werden mussten. Das „special interest“ (Fritzsche 2006: 14) der Science-Fiction-Literatur der DDR bzw. der Ostblock-Staaten bestand in der Findung positiver Botschaften</w:t>
      </w:r>
      <w:r w:rsidR="0021708D" w:rsidRPr="00FB4EFA">
        <w:t xml:space="preserve"> und</w:t>
      </w:r>
      <w:r w:rsidRPr="00FB4EFA">
        <w:t xml:space="preserve"> der Vermittlung von utopisch-technizistischen Zukunftsbildern, die im Einklang mit den Wunschbildern des „Wissenschaftlichen Sozialismus“ standen. Die institutionelle Artikulation dieses Bewusstseins überschneidet sich mit Hernádis hier behandelter Schaffenszeit: Die erste „Konferenz zur Zukunftsliteratur“ des Deutschen Schriftstellerverbandes fand 1962 statt (Fritzsche 2006: 105), und die erste Konferenz wissenschaftlich-fantastischer Autoren der sozialistischen Länder wurde 1971 in Budapest veranstaltet (Kuczka 1971: 20). Hernádi folgte der Forderung nach (politisch salonfähigen) </w:t>
      </w:r>
      <w:r w:rsidR="006057AB" w:rsidRPr="00FB4EFA">
        <w:t>‘</w:t>
      </w:r>
      <w:r w:rsidRPr="00FB4EFA">
        <w:t>großen Fragen</w:t>
      </w:r>
      <w:r w:rsidR="0093480B" w:rsidRPr="00FB4EFA">
        <w:t>’</w:t>
      </w:r>
      <w:r w:rsidRPr="00FB4EFA">
        <w:t xml:space="preserve">, zeichnete sich aber durch dezidiert philosophischen Touch und experimentelles Schreiben aus. So kann ihn John Fekete in seinem Überblick </w:t>
      </w:r>
      <w:r w:rsidR="00A67AF8" w:rsidRPr="00FB4EFA">
        <w:t>über die</w:t>
      </w:r>
      <w:r w:rsidRPr="00FB4EFA">
        <w:t xml:space="preserve"> ungarische Science-Fiction auf einer von Frigyes Karinthy (1887–1938) bis Dezső Tandori (1938–2019) führenden, „strong post-modernist“ (Fekete 1989: 195) genannten Entwicklungslinie der Fantastik verorten, die ihn zugleich in die beste Tradition der ungarischen Literatur stellt. </w:t>
      </w:r>
      <w:r w:rsidRPr="00FB4EFA">
        <w:rPr>
          <w:lang w:val="en-GB"/>
        </w:rPr>
        <w:t xml:space="preserve">„This tradition“, schreibt Fekete, „has remained basically </w:t>
      </w:r>
      <w:r w:rsidR="00A67AF8" w:rsidRPr="00FB4EFA">
        <w:rPr>
          <w:lang w:val="en-GB"/>
        </w:rPr>
        <w:br/>
      </w:r>
      <w:r w:rsidRPr="00FB4EFA">
        <w:rPr>
          <w:lang w:val="en-GB"/>
        </w:rPr>
        <w:t xml:space="preserve">unnoticed, unanalyzed, and unappreciated to this day, although it </w:t>
      </w:r>
      <w:r w:rsidR="00A67AF8" w:rsidRPr="00FB4EFA">
        <w:rPr>
          <w:lang w:val="en-GB"/>
        </w:rPr>
        <w:br/>
      </w:r>
      <w:r w:rsidRPr="00FB4EFA">
        <w:rPr>
          <w:lang w:val="en-GB"/>
        </w:rPr>
        <w:t xml:space="preserve">provides an important bridge between Hungarian SF and some of the best work in American SF and in international fiction generally.“ </w:t>
      </w:r>
      <w:r w:rsidRPr="00FB4EFA">
        <w:t>(ibid.)</w:t>
      </w:r>
    </w:p>
    <w:p w14:paraId="3B1EF99F" w14:textId="69A96E17" w:rsidR="0022731A" w:rsidRPr="00FB4EFA" w:rsidRDefault="0022731A" w:rsidP="005C6F73">
      <w:pPr>
        <w:ind w:firstLine="709"/>
      </w:pPr>
      <w:r w:rsidRPr="00FB4EFA">
        <w:t xml:space="preserve">Was Fekete im Längsschnitt der Geschichte zu Recht festhält, trifft allerdings nicht auf die unmittelbare Rezeption der Novellistik Hernádis zu. Die Kritik war aufgrund der genannten Differenz durchaus bereit, diese Schriften im Kontext der </w:t>
      </w:r>
      <w:r w:rsidR="006057AB" w:rsidRPr="00FB4EFA">
        <w:t>‘</w:t>
      </w:r>
      <w:r w:rsidRPr="00FB4EFA">
        <w:t>offiziellen</w:t>
      </w:r>
      <w:r w:rsidR="0093480B" w:rsidRPr="00FB4EFA">
        <w:t>’</w:t>
      </w:r>
      <w:r w:rsidRPr="00FB4EFA">
        <w:t xml:space="preserve"> Literatur wahrzunehmen, aber auch auf ihre wissenschaftlich-fantastische Tragfähigkeit hin zu prüfen. </w:t>
      </w:r>
      <w:r w:rsidRPr="00FB4EFA">
        <w:lastRenderedPageBreak/>
        <w:t xml:space="preserve">1974 erschien die Sammlung </w:t>
      </w:r>
      <w:r w:rsidRPr="00FB4EFA">
        <w:rPr>
          <w:i/>
          <w:iCs/>
        </w:rPr>
        <w:t>Logikai kapuk</w:t>
      </w:r>
      <w:r w:rsidRPr="00FB4EFA">
        <w:t xml:space="preserve"> [Logische Tore], 1977 </w:t>
      </w:r>
      <w:r w:rsidRPr="00FB4EFA">
        <w:rPr>
          <w:i/>
          <w:iCs/>
        </w:rPr>
        <w:t>Jézus Krisztus horoszkópja</w:t>
      </w:r>
      <w:r w:rsidRPr="00FB4EFA">
        <w:t xml:space="preserve"> [Das Horoskop Jesu Christi], beides mit Schwerpunkt auf der Fantastik. Die experimentelle Art dieser Novellen lässt sich verschiedentlich charakterisieren. In thematischer Hinsicht erweist sich der auffällig vielseitig orientierte Autor – erwähnt seien die Medizin, die Biologie, die Psychologie, die Astronautik, die Physik, die Bibelwissenschaft, die Futurologie und die Esoterik (Tarján 1975: 329) – als bewusst </w:t>
      </w:r>
      <w:r w:rsidR="006057AB" w:rsidRPr="00FB4EFA">
        <w:t>‘</w:t>
      </w:r>
      <w:r w:rsidRPr="00FB4EFA">
        <w:t>nicht wählerisch</w:t>
      </w:r>
      <w:r w:rsidR="0093480B" w:rsidRPr="00FB4EFA">
        <w:t>’</w:t>
      </w:r>
      <w:r w:rsidRPr="00FB4EFA">
        <w:t>: Er verwendet ungewöhnliche Sujets, die die damaligen (und eigentlich auch heutigen) literarischen Erwartungen unterbieten (oder eben übertreffen). Hernádis Dokumentarismus und Montagetechnik, in deren Rahmen Zitate aller Art und verschiedenen Umfangs in den Text integriert werden, riskieren Stilbrüche und gefährden das Konzept des geschlossenen Werkes. In literarischer Hinsicht kombiniert Hernádi Minimalismus bzw. Sachlichkeit mit deren Gegenteil, dem Surrealismus. Die extreme „Trockenheit“ des Stils kann, so die damalige Kritik Sándor Radnótis, ebenso unerwartet wie organisch in „Visionen“ (Radnóti 1974: 1080) umschlagen. Infolgedessen hielt man Hernádis Novellen Heterogenität und eine gewisse Konstruiertheit, „Gesuchtheit“ (Tarján 1974: 330) vor, sie wurden als gekünstelt empfunden, was man wiederum mit der Experimentierfreude des Autors verband. Denn Hernádis literarische Versuchsanordnungen waren und sind nach wie vor probleminteressiert und scheuen keine Überschreitung des Ästhetischen.</w:t>
      </w:r>
    </w:p>
    <w:p w14:paraId="2E5B0980" w14:textId="66238807" w:rsidR="0022731A" w:rsidRPr="00FB4EFA" w:rsidRDefault="0022731A" w:rsidP="00E849AD">
      <w:pPr>
        <w:ind w:firstLine="709"/>
      </w:pPr>
      <w:r w:rsidRPr="00FB4EFA">
        <w:t>Die hieraus resultierende „eigenartige Version von Science-Fiction</w:t>
      </w:r>
      <w:r w:rsidR="00D2687C" w:rsidRPr="00FB4EFA">
        <w:t>“</w:t>
      </w:r>
      <w:r w:rsidRPr="00FB4EFA">
        <w:t xml:space="preserve"> (Tarján 1975: 329) operiert gern mit Paradoxien und spielt – wie der Titel der ersten Novellensammlung andeutet – mit logischer Inklusion bzw. Exklusion. „Das Rationale bezieht sich nicht auf das Wahrhafte, es verweist auf die unter den gegebenen, konstruierten Bedingungen erfolgende Ableitung, jeweils auf ein logisches Tor, das nach innen von der Logik beherrscht wird, und nach außen eine gewisse (nicht irgendeine) Architektur erweist.“ (Radnóti 1974: 1077) Der in den Novellen artikulierte Wunsch, Probleme zu lösen, korrespondiert mit dem „invasive[n] und interventionalistische[n]“ Blick der Moderne, den Roland Innerhofer – im Kontext der hier aufzugreifenden Thematik der Zeitreise – als „Ungenügen an der Gegenwart“ beschreibt, als „Begehren […], der Zukunft vorzugreifen“ (Innerhofer 2013: 447). Auf ein solches „Kontrollbegehren“ (ibid. 451) lassen sich auch Hernádis selbstgeschaffene Rätsel zurückfüh</w:t>
      </w:r>
      <w:r w:rsidRPr="00FB4EFA">
        <w:lastRenderedPageBreak/>
        <w:t xml:space="preserve">ren. Die Novellen sind als Aufgaben zu verstehen, die „nach innen“ texthermeneutische Anforderungen stellen, „nach außen“ übergreifende Sinnfragen artikulieren – sei es in philosophischer Tradition oder im Zeichen der wissenschaftlichen Fantastik. Insofern sind sie eingestandenermaßen ideologisch. In ihrem „Kontrollbegehren“ bekennen sie sich zu den </w:t>
      </w:r>
      <w:r w:rsidR="000A297B" w:rsidRPr="00FB4EFA">
        <w:t>zeitgenössisch relevanten Themen</w:t>
      </w:r>
      <w:r w:rsidRPr="00FB4EFA">
        <w:t>, und distanzieren sich als „intellektualistische Prosa“ (Pósa 1990: 16) vom literarischen Ästhetizismus.</w:t>
      </w:r>
    </w:p>
    <w:p w14:paraId="75884AF0" w14:textId="6B2A86D7" w:rsidR="0022731A" w:rsidRPr="00FB4EFA" w:rsidRDefault="0022731A" w:rsidP="00E849AD">
      <w:pPr>
        <w:ind w:firstLine="709"/>
      </w:pPr>
      <w:r w:rsidRPr="00FB4EFA">
        <w:t xml:space="preserve">Von Hernádis wissenschaftlich-fantastischen Novellen haben einige auch in deutschsprachige Science-Fiction-Sammlungen Eingang </w:t>
      </w:r>
      <w:r w:rsidRPr="00FB4EFA">
        <w:rPr>
          <w:rFonts w:cs="Charis SIL"/>
        </w:rPr>
        <w:t>gefunden.</w:t>
      </w:r>
      <w:bookmarkStart w:id="129" w:name="_Hlk93673454"/>
      <w:r w:rsidRPr="00FB4EFA">
        <w:rPr>
          <w:rFonts w:cs="Charis SIL"/>
          <w:vertAlign w:val="superscript"/>
        </w:rPr>
        <w:footnoteReference w:id="170"/>
      </w:r>
      <w:bookmarkEnd w:id="129"/>
      <w:r w:rsidRPr="00FB4EFA">
        <w:rPr>
          <w:rFonts w:cs="Charis SIL"/>
        </w:rPr>
        <w:t xml:space="preserve"> Die hier hervorzuhebende Novelle mit dem Titel </w:t>
      </w:r>
      <w:r w:rsidRPr="00FB4EFA">
        <w:rPr>
          <w:rFonts w:cs="Charis SIL"/>
          <w:i/>
          <w:iCs/>
        </w:rPr>
        <w:t>Anti-Däniken</w:t>
      </w:r>
      <w:r w:rsidRPr="00FB4EFA">
        <w:rPr>
          <w:rFonts w:cs="Charis SIL"/>
        </w:rPr>
        <w:t xml:space="preserve"> (1974)</w:t>
      </w:r>
      <w:r w:rsidRPr="00FB4EFA">
        <w:rPr>
          <w:rFonts w:cs="Charis SIL"/>
          <w:vertAlign w:val="superscript"/>
        </w:rPr>
        <w:footnoteReference w:id="171"/>
      </w:r>
      <w:r w:rsidRPr="00FB4EFA">
        <w:rPr>
          <w:rFonts w:cs="Charis SIL"/>
        </w:rPr>
        <w:t xml:space="preserve"> aus dem Band </w:t>
      </w:r>
      <w:r w:rsidRPr="00FB4EFA">
        <w:rPr>
          <w:rFonts w:cs="Charis SIL"/>
          <w:i/>
          <w:iCs/>
        </w:rPr>
        <w:t>Logikai kapuk</w:t>
      </w:r>
      <w:r w:rsidRPr="00FB4EFA">
        <w:rPr>
          <w:rFonts w:cs="Charis SIL"/>
        </w:rPr>
        <w:t xml:space="preserve"> verdient schon deshalb die Aufmerksamkeit, weil sie bereits bei ihrer Erstveröffentlichung in der Zeitschrift </w:t>
      </w:r>
      <w:r w:rsidRPr="00FB4EFA">
        <w:rPr>
          <w:rFonts w:cs="Charis SIL"/>
          <w:i/>
          <w:iCs/>
        </w:rPr>
        <w:t>Jelenkor</w:t>
      </w:r>
      <w:r w:rsidRPr="00FB4EFA">
        <w:rPr>
          <w:rFonts w:cs="Charis SIL"/>
        </w:rPr>
        <w:t xml:space="preserve">, einem Organ der anerkannten Hoch- und Gegenwartsliteratur, als etwas Besonderes, Programmatisches wahrgenommen, literarisch bzw. nicht-literarisch </w:t>
      </w:r>
      <w:r w:rsidR="006057AB" w:rsidRPr="00FB4EFA">
        <w:rPr>
          <w:rFonts w:cs="Charis SIL"/>
        </w:rPr>
        <w:t>‘</w:t>
      </w:r>
      <w:r w:rsidRPr="00FB4EFA">
        <w:rPr>
          <w:rFonts w:cs="Charis SIL"/>
        </w:rPr>
        <w:t>genordet</w:t>
      </w:r>
      <w:r w:rsidR="0093480B" w:rsidRPr="00FB4EFA">
        <w:rPr>
          <w:rFonts w:cs="Charis SIL"/>
        </w:rPr>
        <w:t>’</w:t>
      </w:r>
      <w:r w:rsidRPr="00FB4EFA">
        <w:rPr>
          <w:rFonts w:cs="Charis SIL"/>
        </w:rPr>
        <w:t xml:space="preserve">, auf ihre Intentionen hin besprochen wurde. Péter Kuczka, einflussreicher Vertreter und Verbreiter der ungarischen Science-Fiction der Kádár-Ära, selbst nur </w:t>
      </w:r>
      <w:r w:rsidR="006057AB" w:rsidRPr="00FB4EFA">
        <w:rPr>
          <w:rFonts w:cs="Charis SIL"/>
        </w:rPr>
        <w:t>‘</w:t>
      </w:r>
      <w:r w:rsidRPr="00FB4EFA">
        <w:rPr>
          <w:rFonts w:cs="Charis SIL"/>
        </w:rPr>
        <w:t>Gast</w:t>
      </w:r>
      <w:r w:rsidR="0093480B" w:rsidRPr="00FB4EFA">
        <w:rPr>
          <w:rFonts w:cs="Charis SIL"/>
        </w:rPr>
        <w:t>’</w:t>
      </w:r>
      <w:r w:rsidRPr="00FB4EFA">
        <w:t xml:space="preserve"> in der </w:t>
      </w:r>
      <w:r w:rsidR="00E849AD" w:rsidRPr="00FB4EFA">
        <w:br/>
      </w:r>
      <w:r w:rsidRPr="00FB4EFA">
        <w:rPr>
          <w:i/>
          <w:iCs/>
        </w:rPr>
        <w:t>Jelenkor</w:t>
      </w:r>
      <w:r w:rsidRPr="00FB4EFA">
        <w:t>, beschrieb Hernádis Annäherung an die Fantastik als Effekt seines Rationalismus – praktisch als Durchbruch eines intellektuellen Bedürfnisses – und wiederum als Beweis für die Entwicklung und wachsende Evaluierbarkeit der wissenschaftlich-fantastischen Literatur (Kuczka 1974: 13). Der Literaturwissenschaftler Bodnár György würdigte Hernádis Surrealismus als ein Mittel, durch den die Science-Fiction</w:t>
      </w:r>
      <w:r w:rsidR="000A297B" w:rsidRPr="00FB4EFA">
        <w:t xml:space="preserve"> </w:t>
      </w:r>
      <w:r w:rsidRPr="00FB4EFA">
        <w:t>– angemessen für ihre Themen und Problemrahmen – bereichert wird (Bodnár 1974: 15). Darüber hinaus verwies er auf die ironische Handhabung des Themas. Ein Aspekt, den auch Tamás Tarján hervorhob, als er die Nähe dieser Art Novellistik zur Parodie und Selbstparodie beschrieb (Tarján 1974: 330).</w:t>
      </w:r>
    </w:p>
    <w:p w14:paraId="08AFD86B" w14:textId="067D585C" w:rsidR="0022731A" w:rsidRPr="00FB4EFA" w:rsidRDefault="0022731A" w:rsidP="00E266CD">
      <w:pPr>
        <w:ind w:firstLine="709"/>
      </w:pPr>
      <w:r w:rsidRPr="00FB4EFA">
        <w:t>Der Titel des Kommentars von Bodnár – „Integrierte Reiseberichte“ – wird dem Experiment Hernádis durchaus gerecht. Werden doch in der Novelle nicht nur Genres – historische Biografie, Science-Fiction und (pseudo-)wissenschaftliche Diskussion – miteinander verbunden, son</w:t>
      </w:r>
      <w:r w:rsidRPr="00FB4EFA">
        <w:lastRenderedPageBreak/>
        <w:t xml:space="preserve">dern auch verblüffende literarische Extreme – Motive und Sujets – kombiniert. Den Auftakt bildet ein Exzerpt aus Louis Pauwels‘ und Jacques Bergiers </w:t>
      </w:r>
      <w:r w:rsidRPr="00FB4EFA">
        <w:rPr>
          <w:i/>
          <w:iCs/>
        </w:rPr>
        <w:t xml:space="preserve">Aufbruch ins dritte Jahrtausend. Von der Zukunft der </w:t>
      </w:r>
      <w:r w:rsidR="00E849AD" w:rsidRPr="00FB4EFA">
        <w:rPr>
          <w:i/>
          <w:iCs/>
        </w:rPr>
        <w:br/>
      </w:r>
      <w:r w:rsidRPr="00FB4EFA">
        <w:rPr>
          <w:i/>
          <w:iCs/>
        </w:rPr>
        <w:t>phantastischen Vernunft</w:t>
      </w:r>
      <w:r w:rsidRPr="00FB4EFA">
        <w:t xml:space="preserve"> [Le Matin des Magiciens. Introduction au réalisme fantastique] (1960, dt. 1962) über Roger </w:t>
      </w:r>
      <w:r w:rsidRPr="00FB4EFA">
        <w:rPr>
          <w:rFonts w:cs="Charis SIL"/>
        </w:rPr>
        <w:t>Boscovich (Rudjer Josip Bošković, 1711–1787)</w:t>
      </w:r>
      <w:r w:rsidRPr="00FB4EFA">
        <w:rPr>
          <w:rFonts w:cs="Charis SIL"/>
          <w:vertAlign w:val="superscript"/>
        </w:rPr>
        <w:footnoteReference w:id="172"/>
      </w:r>
      <w:r w:rsidRPr="00FB4EFA">
        <w:rPr>
          <w:rFonts w:cs="Charis SIL"/>
        </w:rPr>
        <w:t>, gelehrten Jesuiten des 18. Jahrhunderts, dessen Entdeckungen und Intuitionen fortschrittlich und – nach Meinung der beiden französischen Vertreter des „fantastischen Realismus“ – seiner Zeit weit voraus waren, und</w:t>
      </w:r>
      <w:r w:rsidRPr="00FB4EFA">
        <w:t xml:space="preserve"> folglich als Rätsel und mittelbarer Beweis für Parapsychologismus betrachtet werden können (Pauwels &amp; Bergier: 477–480). Im Anschluss an diesen Auszug meldet sich ein Ich-Erzähler zu Wort und behauptet, 1973 in einer Auktion ein Manuskript, just </w:t>
      </w:r>
      <w:r w:rsidR="00E849AD" w:rsidRPr="00FB4EFA">
        <w:br/>
      </w:r>
      <w:r w:rsidRPr="00FB4EFA">
        <w:t>Boscovich</w:t>
      </w:r>
      <w:r w:rsidR="008C6F01" w:rsidRPr="00FB4EFA">
        <w:t>‘</w:t>
      </w:r>
      <w:r w:rsidRPr="00FB4EFA">
        <w:t xml:space="preserve"> verschollenes Tagebuch</w:t>
      </w:r>
      <w:r w:rsidR="00A67AF8" w:rsidRPr="00FB4EFA">
        <w:t>,</w:t>
      </w:r>
      <w:r w:rsidRPr="00FB4EFA">
        <w:t xml:space="preserve"> erworben zu haben. Der Erzähler deklariert seine Absicht, das Tagebuch in Hinblick auf die „wie eine Epidemie“ (Hernádi 1980a: 156) sich ausbreitenden Ideen von Erich von Däniken (geb. 1935) mitzuteilen, vor allem</w:t>
      </w:r>
      <w:r w:rsidR="00A67AF8" w:rsidRPr="00FB4EFA">
        <w:t>,</w:t>
      </w:r>
      <w:r w:rsidRPr="00FB4EFA">
        <w:t xml:space="preserve"> um dessen Theorie der exogenen – durch Außerirdische verursachten – Entstehung der Menschheit zu widerlegen. Denn „Boscovich</w:t>
      </w:r>
      <w:r w:rsidR="008C6F01" w:rsidRPr="00FB4EFA">
        <w:t>‘</w:t>
      </w:r>
      <w:r w:rsidRPr="00FB4EFA">
        <w:t xml:space="preserve"> Studien und Erfahrungen beweisen das Primat der endogenen Ursachen“ (ibid.). Hier geht die Novelle in das Tagebuch des Jesuitenpaters über</w:t>
      </w:r>
      <w:r w:rsidR="00A67AF8" w:rsidRPr="00FB4EFA">
        <w:t xml:space="preserve"> und</w:t>
      </w:r>
      <w:r w:rsidRPr="00FB4EFA">
        <w:t xml:space="preserve"> kehrt auch nicht wieder zum Ich des Erzählrahmens zurück, ohne dass dessen kritische Perspektive verloren ginge. Boskovich berichtet aus dem Jahre 1787 über sein Experiment, in dessen Rahmen er mit Hilfe einer „Apparatur zur Anzapfung der </w:t>
      </w:r>
      <w:r w:rsidR="00E849AD" w:rsidRPr="00FB4EFA">
        <w:br/>
      </w:r>
      <w:r w:rsidRPr="00FB4EFA">
        <w:t xml:space="preserve">Phantasie“ (Hernádi 1980a: 157) eine Zeitreise macht. Diese führt zuerst in das Jahr 2500, wo er sich „im Unterbewußtsein von H.H.H.“ (Hernádi 1980a: 162) niederlässt, und danach in die Vergangenheit, wo Boscovich bzw. H.H.H. – der eine im </w:t>
      </w:r>
      <w:r w:rsidR="006057AB" w:rsidRPr="00FB4EFA">
        <w:t>‘</w:t>
      </w:r>
      <w:r w:rsidRPr="00FB4EFA">
        <w:t>Unterbewusstsein</w:t>
      </w:r>
      <w:r w:rsidR="0093480B" w:rsidRPr="00FB4EFA">
        <w:t>’</w:t>
      </w:r>
      <w:r w:rsidRPr="00FB4EFA">
        <w:t xml:space="preserve"> bzw. in der Zeitmaschine des anderen – Moses antr</w:t>
      </w:r>
      <w:r w:rsidR="00A67AF8" w:rsidRPr="00FB4EFA">
        <w:t>i</w:t>
      </w:r>
      <w:r w:rsidRPr="00FB4EFA">
        <w:t>ff</w:t>
      </w:r>
      <w:r w:rsidR="00A67AF8" w:rsidRPr="00FB4EFA">
        <w:t>t</w:t>
      </w:r>
      <w:r w:rsidRPr="00FB4EFA">
        <w:t>, um ihm in die Zukunft weisende Botschaften zu vermitteln.</w:t>
      </w:r>
    </w:p>
    <w:p w14:paraId="5D0E44D4" w14:textId="05AD368D" w:rsidR="0022731A" w:rsidRPr="00FB4EFA" w:rsidRDefault="0022731A" w:rsidP="00402EF4">
      <w:pPr>
        <w:ind w:firstLine="709"/>
      </w:pPr>
      <w:r w:rsidRPr="00FB4EFA">
        <w:t>Zum programmatischen Titel der Novelle und zum dahinterstehenden (pseudo-)wissenschaftlichen Problem nimmt nicht nur der Rahmenerzähler, sondern auch der in der Novelle in der Zukunft agierende H.H.H. Stellung, indem er von Dänikens Thesen rekapituliert und als dessen Widerlegung Boscovich</w:t>
      </w:r>
      <w:r w:rsidR="008C6F01" w:rsidRPr="00FB4EFA">
        <w:t>‘</w:t>
      </w:r>
      <w:r w:rsidRPr="00FB4EFA">
        <w:t xml:space="preserve"> Thesen vorstellt – eine Theorie, die in der </w:t>
      </w:r>
      <w:r w:rsidRPr="00FB4EFA">
        <w:lastRenderedPageBreak/>
        <w:t>fiktiven Zukunft bereits vorliegt, jedoch erst auf der Handlungsebene des Jesuitenpaters im Verlauf der Novelle entwickelt wird. Der metafiktionale Brückenschlag ist also ein doppelter: Zum einen knüpft H.H.H. als Figur des Tagebuchs unmittelbar an die didaktische Absicht des Rahmenerzählers – zugleich an die paratextuelle Ebene der auktorialen Titelgebung – an und erläutert das vorher nur angedeutete Problem der exogenen vs. endogenen Abstammung. Zum anderen rekurriert er auf eine Erfahrung, über die in Boscovich</w:t>
      </w:r>
      <w:r w:rsidR="008C6F01" w:rsidRPr="00FB4EFA">
        <w:t>‘</w:t>
      </w:r>
      <w:r w:rsidRPr="00FB4EFA">
        <w:t xml:space="preserve"> Tagebuch berichtet wird – auf ein Wissen, das man im Lektürevorgang gerade erwirbt. H.H.H. weiß in dem Moment, in dem er vom Zeitreisenden aus dem 18. Jahrhundert </w:t>
      </w:r>
      <w:r w:rsidR="006057AB" w:rsidRPr="00FB4EFA">
        <w:t>‘</w:t>
      </w:r>
      <w:r w:rsidRPr="00FB4EFA">
        <w:t>besucht</w:t>
      </w:r>
      <w:r w:rsidR="0093480B" w:rsidRPr="00FB4EFA">
        <w:t>’</w:t>
      </w:r>
      <w:r w:rsidRPr="00FB4EFA">
        <w:t xml:space="preserve"> – beobachtet, bewusstseinsmäßig unterwandert – wird, bereits mehr als dieser </w:t>
      </w:r>
      <w:r w:rsidR="00A67AF8" w:rsidRPr="00FB4EFA">
        <w:t xml:space="preserve">– </w:t>
      </w:r>
      <w:r w:rsidRPr="00FB4EFA">
        <w:t xml:space="preserve">und wird im Prinzip auf einer weiteren, als solche nur angedeuteten spiegelhaften Erzählebene zum Beobachter des Beobachters: </w:t>
      </w:r>
      <w:r w:rsidR="00A67AF8" w:rsidRPr="00FB4EFA">
        <w:t>E</w:t>
      </w:r>
      <w:r w:rsidRPr="00FB4EFA">
        <w:t>r sieht auch sich selbst zu, wie ihm zugesehen wird. Boscovich</w:t>
      </w:r>
      <w:r w:rsidR="008C6F01" w:rsidRPr="00FB4EFA">
        <w:t>‘</w:t>
      </w:r>
      <w:r w:rsidRPr="00FB4EFA">
        <w:t xml:space="preserve"> Zeitreise führt zu H.H.H. und über ihn hinaus, wobei unentscheidbar – und eigentlich auch unwichtig – bleibt, um wessen Initiative es sich bei der mentalen bzw. fantastischen </w:t>
      </w:r>
      <w:r w:rsidR="006057AB" w:rsidRPr="00FB4EFA">
        <w:t>‘</w:t>
      </w:r>
      <w:r w:rsidRPr="00FB4EFA">
        <w:t>Begegnung</w:t>
      </w:r>
      <w:r w:rsidR="0093480B" w:rsidRPr="00FB4EFA">
        <w:t>’</w:t>
      </w:r>
      <w:r w:rsidRPr="00FB4EFA">
        <w:t xml:space="preserve"> der beiden Figuren handelt: um Boskovich‘ auf dem Umweg der Zukunft gemachte Reise in die Vergangenheit oder </w:t>
      </w:r>
      <w:r w:rsidR="00A67AF8" w:rsidRPr="00FB4EFA">
        <w:t xml:space="preserve">um </w:t>
      </w:r>
      <w:r w:rsidRPr="00FB4EFA">
        <w:t xml:space="preserve">H.H.H.s lebhafte Rekapitulation dessen, was dem Jesuitenpater widerfuhr. Boscovich‘ genannte Theorie, vor allem </w:t>
      </w:r>
      <w:r w:rsidR="00A67AF8" w:rsidRPr="00FB4EFA">
        <w:t>deren</w:t>
      </w:r>
      <w:r w:rsidRPr="00FB4EFA">
        <w:t xml:space="preserve"> unmittelbar auf von Däniken bezogener Teil</w:t>
      </w:r>
      <w:r w:rsidR="00A67AF8" w:rsidRPr="00FB4EFA">
        <w:t>,</w:t>
      </w:r>
      <w:r w:rsidRPr="00FB4EFA">
        <w:t xml:space="preserve"> erfüllt sich jedenfalls durch den wohl gewagtesten metafiktionalen Griff der Novelle, durch den </w:t>
      </w:r>
      <w:r w:rsidR="006057AB" w:rsidRPr="00FB4EFA">
        <w:t>‘</w:t>
      </w:r>
      <w:r w:rsidRPr="00FB4EFA">
        <w:t>gemeinsamen</w:t>
      </w:r>
      <w:r w:rsidR="0093480B" w:rsidRPr="00FB4EFA">
        <w:t>’</w:t>
      </w:r>
      <w:r w:rsidRPr="00FB4EFA">
        <w:t xml:space="preserve"> – im </w:t>
      </w:r>
      <w:r w:rsidR="006057AB" w:rsidRPr="00FB4EFA">
        <w:t>‘</w:t>
      </w:r>
      <w:r w:rsidRPr="00FB4EFA">
        <w:t>Unterbewusstsein</w:t>
      </w:r>
      <w:r w:rsidR="0093480B" w:rsidRPr="00FB4EFA">
        <w:t>’</w:t>
      </w:r>
      <w:r w:rsidRPr="00FB4EFA">
        <w:t xml:space="preserve"> bzw. in der Zeitmaschine H.H.H.s unternommenen – Besuch bei Moses. Dieser wird nämlich von Boscovich bzw. H.H.H. darüber belehrt, „wie der Mensch sein wird“ (Hernádi 1980a: 165), wodurch die Menschheit eine im wahrsten Sinne „endogene“ Erhebung, kulturelle </w:t>
      </w:r>
      <w:r w:rsidR="00A67AF8" w:rsidRPr="00FB4EFA">
        <w:br/>
      </w:r>
      <w:r w:rsidRPr="00FB4EFA">
        <w:t>Katalysation erfährt:</w:t>
      </w:r>
    </w:p>
    <w:p w14:paraId="07736F8E" w14:textId="468F1686" w:rsidR="0022731A" w:rsidRPr="00FB4EFA" w:rsidRDefault="0022731A" w:rsidP="002A3BC9">
      <w:pPr>
        <w:keepLines/>
        <w:suppressAutoHyphens/>
        <w:spacing w:before="240" w:after="240" w:line="240" w:lineRule="auto"/>
        <w:ind w:left="709"/>
        <w:rPr>
          <w:sz w:val="20"/>
          <w:szCs w:val="20"/>
        </w:rPr>
      </w:pPr>
      <w:r w:rsidRPr="00FB4EFA">
        <w:rPr>
          <w:sz w:val="20"/>
          <w:szCs w:val="20"/>
        </w:rPr>
        <w:t>Und was beweist die Reise Boscovich</w:t>
      </w:r>
      <w:r w:rsidR="008C6F01" w:rsidRPr="00FB4EFA">
        <w:rPr>
          <w:sz w:val="20"/>
          <w:szCs w:val="20"/>
        </w:rPr>
        <w:t>‘</w:t>
      </w:r>
      <w:r w:rsidRPr="00FB4EFA">
        <w:rPr>
          <w:sz w:val="20"/>
          <w:szCs w:val="20"/>
        </w:rPr>
        <w:t xml:space="preserve"> im 18. Jahrhundert? […] 4. Daß aus fremden Galaxien kommende </w:t>
      </w:r>
      <w:r w:rsidR="006057AB" w:rsidRPr="00FB4EFA">
        <w:rPr>
          <w:sz w:val="20"/>
          <w:szCs w:val="20"/>
        </w:rPr>
        <w:t>‘</w:t>
      </w:r>
      <w:r w:rsidRPr="00FB4EFA">
        <w:rPr>
          <w:sz w:val="20"/>
          <w:szCs w:val="20"/>
        </w:rPr>
        <w:t>Götter</w:t>
      </w:r>
      <w:r w:rsidR="0093480B" w:rsidRPr="00FB4EFA">
        <w:rPr>
          <w:sz w:val="20"/>
          <w:szCs w:val="20"/>
        </w:rPr>
        <w:t>’</w:t>
      </w:r>
      <w:r w:rsidRPr="00FB4EFA">
        <w:rPr>
          <w:sz w:val="20"/>
          <w:szCs w:val="20"/>
        </w:rPr>
        <w:t xml:space="preserve"> unnötig sind, wir selbst schwimmen vorwärts und rückwärts im zeitfarbenen Becken der Materie, wir sind gleichzeitig und zu einem einzigen Punkt geschrumpft unser Vorfahr und Nachfahr. (Hernádi 1980a: 163)</w:t>
      </w:r>
    </w:p>
    <w:p w14:paraId="728B5BB2" w14:textId="53021866" w:rsidR="0022731A" w:rsidRPr="00FB4EFA" w:rsidRDefault="0022731A" w:rsidP="00402EF4">
      <w:pPr>
        <w:rPr>
          <w:rFonts w:cs="Charis SIL"/>
        </w:rPr>
      </w:pPr>
      <w:r w:rsidRPr="00FB4EFA">
        <w:t xml:space="preserve">Die Belehrung von Moses hat allerdings den ironischen Effekt, dass dieser seine(n) Besucher für Gott hält, also gerade das Wichtigste nicht begreift, wodurch genau diejenigen Legenden in die Welt gesetzt werden, auf die – </w:t>
      </w:r>
      <w:r w:rsidRPr="00FB4EFA">
        <w:lastRenderedPageBreak/>
        <w:t>genauso im Irrtum wie Moses selbst – von Däniken zurückgreift. Mit allen diesen metafiktionalen Wendungen – barockisierenden „</w:t>
      </w:r>
      <w:r w:rsidRPr="00FB4EFA">
        <w:rPr>
          <w:rFonts w:cs="Charis SIL"/>
        </w:rPr>
        <w:t>Faltungen“</w:t>
      </w:r>
      <w:r w:rsidRPr="00FB4EFA">
        <w:rPr>
          <w:rFonts w:cs="Charis SIL"/>
          <w:vertAlign w:val="superscript"/>
        </w:rPr>
        <w:footnoteReference w:id="173"/>
      </w:r>
      <w:r w:rsidRPr="00FB4EFA">
        <w:rPr>
          <w:rFonts w:cs="Charis SIL"/>
        </w:rPr>
        <w:t xml:space="preserve"> – setzt Hernádis Zeitreisegeschichte das sogenannte „Malerparadoxon“ (Innerhofer 2013: 447) um: die zirkuläre Initiation einer Entwicklung, die innerhalb desselben Systems erfolgt und durch dieselbe Instanz begründet wird, auf die sie zuläuft. Die Menschheitsgeschichte wird durch mentale Selbsterkundung bzw. durch </w:t>
      </w:r>
      <w:r w:rsidR="006057AB" w:rsidRPr="00FB4EFA">
        <w:rPr>
          <w:rFonts w:cs="Charis SIL"/>
        </w:rPr>
        <w:t>‘</w:t>
      </w:r>
      <w:r w:rsidRPr="00FB4EFA">
        <w:rPr>
          <w:rFonts w:cs="Charis SIL"/>
        </w:rPr>
        <w:t>Zeitreise</w:t>
      </w:r>
      <w:r w:rsidR="0093480B" w:rsidRPr="00FB4EFA">
        <w:rPr>
          <w:rFonts w:cs="Charis SIL"/>
        </w:rPr>
        <w:t>’</w:t>
      </w:r>
      <w:r w:rsidRPr="00FB4EFA">
        <w:rPr>
          <w:rFonts w:cs="Charis SIL"/>
        </w:rPr>
        <w:t xml:space="preserve"> zu dem, was sie ist: zu einem geschlossenen, aus sich selbst erklärbaren historischen Prozess, der gleichwohl immer schon missverstanden wurde.</w:t>
      </w:r>
    </w:p>
    <w:p w14:paraId="6749B5F2" w14:textId="7EA9D01D" w:rsidR="0022731A" w:rsidRPr="00FB4EFA" w:rsidRDefault="0022731A" w:rsidP="00402EF4">
      <w:pPr>
        <w:ind w:firstLine="567"/>
        <w:rPr>
          <w:rFonts w:cs="Charis SIL"/>
        </w:rPr>
      </w:pPr>
      <w:r w:rsidRPr="00FB4EFA">
        <w:rPr>
          <w:rFonts w:cs="Charis SIL"/>
        </w:rPr>
        <w:t xml:space="preserve">Die Literatur der Zeitreisen beschreibt eine </w:t>
      </w:r>
      <w:r w:rsidR="006057AB" w:rsidRPr="00FB4EFA">
        <w:rPr>
          <w:rFonts w:cs="Charis SIL"/>
        </w:rPr>
        <w:t>‘</w:t>
      </w:r>
      <w:r w:rsidRPr="00FB4EFA">
        <w:rPr>
          <w:rFonts w:cs="Charis SIL"/>
        </w:rPr>
        <w:t>Weggabelung</w:t>
      </w:r>
      <w:r w:rsidR="0093480B" w:rsidRPr="00FB4EFA">
        <w:rPr>
          <w:rFonts w:cs="Charis SIL"/>
        </w:rPr>
        <w:t>’</w:t>
      </w:r>
      <w:r w:rsidRPr="00FB4EFA">
        <w:rPr>
          <w:rFonts w:cs="Charis SIL"/>
        </w:rPr>
        <w:t xml:space="preserve"> zwischen </w:t>
      </w:r>
      <w:r w:rsidR="006057AB" w:rsidRPr="00FB4EFA">
        <w:rPr>
          <w:rFonts w:cs="Charis SIL"/>
        </w:rPr>
        <w:t>‘</w:t>
      </w:r>
      <w:r w:rsidRPr="00FB4EFA">
        <w:rPr>
          <w:rFonts w:cs="Charis SIL"/>
        </w:rPr>
        <w:t>realen</w:t>
      </w:r>
      <w:r w:rsidR="0093480B" w:rsidRPr="00FB4EFA">
        <w:rPr>
          <w:rFonts w:cs="Charis SIL"/>
        </w:rPr>
        <w:t>’</w:t>
      </w:r>
      <w:r w:rsidRPr="00FB4EFA">
        <w:rPr>
          <w:rFonts w:cs="Charis SIL"/>
        </w:rPr>
        <w:t xml:space="preserve"> und </w:t>
      </w:r>
      <w:r w:rsidR="006057AB" w:rsidRPr="00FB4EFA">
        <w:rPr>
          <w:rFonts w:cs="Charis SIL"/>
        </w:rPr>
        <w:t>‘</w:t>
      </w:r>
      <w:r w:rsidRPr="00FB4EFA">
        <w:rPr>
          <w:rFonts w:cs="Charis SIL"/>
        </w:rPr>
        <w:t>spekulativen</w:t>
      </w:r>
      <w:r w:rsidR="0093480B" w:rsidRPr="00FB4EFA">
        <w:rPr>
          <w:rFonts w:cs="Charis SIL"/>
        </w:rPr>
        <w:t>’</w:t>
      </w:r>
      <w:r w:rsidRPr="00FB4EFA">
        <w:rPr>
          <w:rFonts w:cs="Charis SIL"/>
        </w:rPr>
        <w:t xml:space="preserve"> Zeitsprüngen: „Von Zeitreise ist […] nur dann sinnvoll zu sprechen“, schreibt Roland Innerhofer im bereits zitierten Beitrag, „wenn die Reise nicht in einer rein gedanklichen Vergegenwärtigung des Vergangenen oder im spekulativen Vorgriff auf die Zukunft besteht, sondern eine körperliche Bewegung in der Zeit impliziert.“ Freilich sei eine Zeitreise auch „ohne Zuhilfenahme von Maschinen“ möglich: „Vehikel solcher Zeitreisen sind zum einen Denk- oder Willenskraft, zum anderen Schlaf, Traum oder Drogen“ (Innerhofer 2013: 448). Boscovich bzw. H.H.H. setzen diese Alternativen in Hernádis Novelle auf spezielle Weise um. Auf der einen Seite wird die Konstruktion von Maschinen beschrieben und diese werden auch gebaut. Vor dem Beginn der Zeitreise des Paters werden technische Maßnahmen ausgeführt und die für den Sprung benötigte Substanz durch Nadeln in dessen Schädel bzw. Nerven geführt. Auf der anderen Seite erklärt Boscovich seine Erfindung auf eine Art, die nicht nur von technischem Denken geleitet ist, sondern auch von philosophischem:</w:t>
      </w:r>
    </w:p>
    <w:p w14:paraId="11D5EF8A" w14:textId="77777777" w:rsidR="0022731A" w:rsidRPr="00FB4EFA" w:rsidRDefault="0022731A" w:rsidP="002A3BC9">
      <w:pPr>
        <w:suppressAutoHyphens/>
        <w:spacing w:before="240" w:after="240" w:line="240" w:lineRule="auto"/>
        <w:ind w:left="709"/>
        <w:rPr>
          <w:rFonts w:cs="Charis SIL"/>
          <w:sz w:val="20"/>
          <w:szCs w:val="20"/>
        </w:rPr>
      </w:pPr>
      <w:r w:rsidRPr="00FB4EFA">
        <w:rPr>
          <w:rFonts w:cs="Charis SIL"/>
          <w:sz w:val="20"/>
          <w:szCs w:val="20"/>
        </w:rPr>
        <w:t>Das Wesentliche an meinen Überlegungen ist, daß es ein Mittel gibt, unendlich große Geschwindigkeiten zu erreichen. Dieses Mittel ist eine menschliche Eigenschaft: die Phantasie. Sie vermag alle Zeit- und Raumschranken zu überwinden, in ihr also sind die Teilchen und Treibstoffformen zu suchen, die, eingebaut in ein spezifisches Raketenmodell, geeignet sind, das Bewußtsein des Menschen in Zukunft und Vergangenheit zu befördern. (Hernádi 1980a: 156)</w:t>
      </w:r>
    </w:p>
    <w:p w14:paraId="575346D1" w14:textId="523C9A23" w:rsidR="0022731A" w:rsidRPr="00FB4EFA" w:rsidRDefault="0022731A" w:rsidP="00402EF4">
      <w:pPr>
        <w:rPr>
          <w:rFonts w:cs="Charis SIL"/>
        </w:rPr>
      </w:pPr>
      <w:r w:rsidRPr="00FB4EFA">
        <w:rPr>
          <w:rFonts w:cs="Charis SIL"/>
        </w:rPr>
        <w:lastRenderedPageBreak/>
        <w:t>In der Folge werden auf einem versteckten Landgut die Ideen einiger, für begabt erklärter</w:t>
      </w:r>
      <w:r w:rsidR="00A67AF8" w:rsidRPr="00FB4EFA">
        <w:rPr>
          <w:rFonts w:cs="Charis SIL"/>
        </w:rPr>
        <w:t>,</w:t>
      </w:r>
      <w:r w:rsidRPr="00FB4EFA">
        <w:rPr>
          <w:rFonts w:cs="Charis SIL"/>
        </w:rPr>
        <w:t xml:space="preserve"> Menschen gesammelt: Aus forciert ungewöhnlichen Metaphern und Assoziationen, also aus kognitiv-geistiger Produktion</w:t>
      </w:r>
      <w:r w:rsidR="00A67AF8" w:rsidRPr="00FB4EFA">
        <w:rPr>
          <w:rFonts w:cs="Charis SIL"/>
        </w:rPr>
        <w:t>,</w:t>
      </w:r>
      <w:r w:rsidRPr="00FB4EFA">
        <w:rPr>
          <w:rFonts w:cs="Charis SIL"/>
        </w:rPr>
        <w:t xml:space="preserve"> gewinnt man „Phantasionen“ (ibid. 158), die wiederum in den langweiligsten „Reden des Kanzlers Kaunitz“ (ibid.) als </w:t>
      </w:r>
      <w:r w:rsidR="006057AB" w:rsidRPr="00FB4EFA">
        <w:rPr>
          <w:rFonts w:cs="Charis SIL"/>
        </w:rPr>
        <w:t>‘</w:t>
      </w:r>
      <w:r w:rsidRPr="00FB4EFA">
        <w:rPr>
          <w:rFonts w:cs="Charis SIL"/>
        </w:rPr>
        <w:t>Isolationsbehälter</w:t>
      </w:r>
      <w:r w:rsidR="0093480B" w:rsidRPr="00FB4EFA">
        <w:rPr>
          <w:rFonts w:cs="Charis SIL"/>
        </w:rPr>
        <w:t>’</w:t>
      </w:r>
      <w:r w:rsidRPr="00FB4EFA">
        <w:rPr>
          <w:rFonts w:cs="Charis SIL"/>
        </w:rPr>
        <w:t xml:space="preserve"> gelagert und zum Experiment verwendet werden. Insofern bleibt Boscovich</w:t>
      </w:r>
      <w:r w:rsidR="008C6F01" w:rsidRPr="00FB4EFA">
        <w:t>‘</w:t>
      </w:r>
      <w:r w:rsidRPr="00FB4EFA">
        <w:rPr>
          <w:rFonts w:cs="Charis SIL"/>
        </w:rPr>
        <w:t xml:space="preserve"> Vorhaben doppeldeutig, konkret und abstrakt zugleich, und auch bezüglich der Zeitreise ist es unklar, ob tatsächlich eine körperliche Bewegung stattfindet, oder alles nur ein Kopftheater ist.</w:t>
      </w:r>
    </w:p>
    <w:p w14:paraId="30D096EB" w14:textId="16B5B9CA" w:rsidR="0022731A" w:rsidRPr="00FB4EFA" w:rsidRDefault="0022731A" w:rsidP="00402EF4">
      <w:pPr>
        <w:spacing w:after="240"/>
        <w:ind w:firstLine="567"/>
        <w:rPr>
          <w:rFonts w:cs="Charis SIL"/>
        </w:rPr>
      </w:pPr>
      <w:r w:rsidRPr="00FB4EFA">
        <w:rPr>
          <w:rFonts w:cs="Charis SIL"/>
        </w:rPr>
        <w:t xml:space="preserve">Das narrative Pendant zu diesem Dilemma bieten die Berichtsegmente, die Boscovich über seine Reise verfasst. Als innerer Monolog, als </w:t>
      </w:r>
      <w:r w:rsidR="006057AB" w:rsidRPr="00FB4EFA">
        <w:rPr>
          <w:rFonts w:cs="Charis SIL"/>
        </w:rPr>
        <w:t>‘</w:t>
      </w:r>
      <w:r w:rsidRPr="00FB4EFA">
        <w:rPr>
          <w:rFonts w:cs="Charis SIL"/>
        </w:rPr>
        <w:t>stream of consciousness</w:t>
      </w:r>
      <w:r w:rsidR="0093480B" w:rsidRPr="00FB4EFA">
        <w:rPr>
          <w:rFonts w:cs="Charis SIL"/>
        </w:rPr>
        <w:t>’</w:t>
      </w:r>
      <w:r w:rsidRPr="00FB4EFA">
        <w:rPr>
          <w:rFonts w:cs="Charis SIL"/>
        </w:rPr>
        <w:t xml:space="preserve"> geht der Text in surrealistische Visionen über. Die Vergangenheit und die Zukunft werden im Bewusstsein des Wissenschaftlers nur „wie durch Milchglas sichtbar“, sie wirken „verschwommen“ und „nebelhaft“ (ibid. 163). Dies wird auch narrativ vermittelt, sodass man das, was die Figur durchmacht, gleichsam selbst erlebt. Die konkreten, in sich allein banal anmutenden wissenschaftlich-fantastischen Momente der Novelle werden durch Fokalisierung auf die Figur einerseits umgesetzt, andererseits bewusstseinsbedingt relativiert:</w:t>
      </w:r>
    </w:p>
    <w:p w14:paraId="4D3A8ACA" w14:textId="77777777" w:rsidR="0022731A" w:rsidRPr="00FB4EFA" w:rsidRDefault="0022731A" w:rsidP="002A3BC9">
      <w:pPr>
        <w:suppressAutoHyphens/>
        <w:spacing w:after="240" w:line="240" w:lineRule="auto"/>
        <w:ind w:left="709"/>
        <w:rPr>
          <w:rFonts w:cs="Charis SIL"/>
          <w:sz w:val="20"/>
          <w:szCs w:val="20"/>
        </w:rPr>
      </w:pPr>
      <w:r w:rsidRPr="00FB4EFA">
        <w:rPr>
          <w:rFonts w:cs="Charis SIL"/>
          <w:sz w:val="20"/>
          <w:szCs w:val="20"/>
        </w:rPr>
        <w:t>Er [H.H.H.] hört auf. Ich [Boskovich, E.H.] lächle über ihn. Er weiß, daß ich lächle, daß das, was er sagt, zu einfach ist und daß sich hinter dem zu Einfachen die Schatten des Komplizierten auf alle viere stellen, beiseite treten, sich ducken, sich mit dem ungesättigten Verstand vermischen, jeden erreichen, jedem den Weg zu den universalsten Steinen anraten, zu dem gottlosen Nacheinander, zu den spitzen Mützen der Schlachten, zum Sturz unerwartet langer Träume. Zum Kindheitsbild Einsteins, auf dem zwischen den dünnen, unfolgsamen Fingern der breitrandige Knabenhut vergilbt, an die dereinst Götter Gelenke und Nägel schweißen werden und über denen weit oben das Haar wie trockene Zweige sein wird, die gekrümmten lichten Fäden wie die Gräser eines Kranzes, die auch selbst Sterne sind, und hinter dem Gras die zahnlose und doch vollkommenste Mundbewegung des Raumes darüber, das furchtsame Talent der Worte, die an die Wand gehängten Jagdwaffen der Unbarmherzigkeit, die Ausdehnung der Wiese, der vollgetriebene Geruch des Schnees, die von Wildgänsen gezogenen, mehrgeschossigen Raumschiffe. (ibid. 163)</w:t>
      </w:r>
    </w:p>
    <w:p w14:paraId="59EB43EB" w14:textId="0B798B5D" w:rsidR="0022731A" w:rsidRPr="00FB4EFA" w:rsidRDefault="0022731A" w:rsidP="00AF0CAD">
      <w:pPr>
        <w:rPr>
          <w:rFonts w:cs="Charis SIL"/>
        </w:rPr>
      </w:pPr>
      <w:r w:rsidRPr="00FB4EFA">
        <w:rPr>
          <w:rFonts w:cs="Charis SIL"/>
        </w:rPr>
        <w:t>An solchen Stellen kann man entweder der wissenschaftlichen Fantastik folgen und das Sujet der Zeitreise in den Vordergrund stellen, oder mo</w:t>
      </w:r>
      <w:r w:rsidRPr="00FB4EFA">
        <w:rPr>
          <w:rFonts w:cs="Charis SIL"/>
        </w:rPr>
        <w:lastRenderedPageBreak/>
        <w:t xml:space="preserve">dernen literarischen Erwartungen entsprechen und die metaphorischen Botschaften entziffern. Je nachdem findet hier eine Zeitreise statt </w:t>
      </w:r>
      <w:r w:rsidRPr="00FB4EFA">
        <w:rPr>
          <w:rFonts w:cs="Charis SIL"/>
          <w:i/>
          <w:iCs/>
        </w:rPr>
        <w:t>oder</w:t>
      </w:r>
      <w:r w:rsidRPr="00FB4EFA">
        <w:rPr>
          <w:rFonts w:cs="Charis SIL"/>
        </w:rPr>
        <w:t xml:space="preserve"> sie wird regelrecht widerlegt und in eine für Hernádi charakteristische Parabel, in ein Gleichnis intellektueller Leistungen verwandelt. H.H.H. fasst Boskovich</w:t>
      </w:r>
      <w:r w:rsidR="008C6F01" w:rsidRPr="00FB4EFA">
        <w:t>‘</w:t>
      </w:r>
      <w:r w:rsidRPr="00FB4EFA">
        <w:rPr>
          <w:rFonts w:cs="Charis SIL"/>
        </w:rPr>
        <w:t xml:space="preserve"> Ideen gerade im Zeichen dieser Gleichnishaftigkeit zusammen: „Deshalb ist den Schöpfern der Bibel die Figur des Raumfahrers eine ferne Metapher, und deshalb ist uns die Gestalt Jesu eine ferne Metapher.“ (ibid. 163) Man kann sich mit Glaubensangelegenheiten zufriedengeben – sei es religiöser oder wissenschaftlich-fantastischer Art –, oder darüber hinausgehen und umfassende Konzepte über das menschliche Dasein entwickeln. Mit der Entscheidung, die zu fällen ist, entspricht die Novelle jenem Anspruch, den 1970 – also zeitnah zu Hernádis fantastischen Novellen – Tzvetan Todorov an die fantastische Literatur gestellt hat. Dieser bestehe in eben der (Un</w:t>
      </w:r>
      <w:r w:rsidR="0071462F" w:rsidRPr="00FB4EFA">
        <w:rPr>
          <w:rFonts w:cs="Charis SIL"/>
        </w:rPr>
        <w:noBreakHyphen/>
      </w:r>
      <w:r w:rsidRPr="00FB4EFA">
        <w:rPr>
          <w:rFonts w:cs="Charis SIL"/>
        </w:rPr>
        <w:t>)Entscheidbarkeit,</w:t>
      </w:r>
      <w:r w:rsidRPr="00FB4EFA">
        <w:rPr>
          <w:rFonts w:cs="Charis SIL"/>
          <w:vertAlign w:val="superscript"/>
        </w:rPr>
        <w:footnoteReference w:id="174"/>
      </w:r>
      <w:r w:rsidRPr="00FB4EFA">
        <w:rPr>
          <w:rFonts w:cs="Charis SIL"/>
        </w:rPr>
        <w:t xml:space="preserve"> die Hernádis Novelle zwischen konkret und abstrakt generiert.</w:t>
      </w:r>
    </w:p>
    <w:p w14:paraId="319974B9" w14:textId="6FA77900" w:rsidR="0022731A" w:rsidRPr="00FB4EFA" w:rsidRDefault="0022731A" w:rsidP="00402EF4">
      <w:pPr>
        <w:ind w:firstLine="567"/>
        <w:rPr>
          <w:rFonts w:cs="Charis SIL"/>
        </w:rPr>
      </w:pPr>
      <w:r w:rsidRPr="00FB4EFA">
        <w:rPr>
          <w:rFonts w:cs="Charis SIL"/>
        </w:rPr>
        <w:t xml:space="preserve">Dennoch verbreitet der Schluss der Novelle eher Skepsis und setzt an die Stelle der in der Entscheidungsfreiheit liegenden Öffnung eine Schließung. Sie wird durch </w:t>
      </w:r>
      <w:r w:rsidR="00DE76EF" w:rsidRPr="00FB4EFA">
        <w:rPr>
          <w:rFonts w:cs="Charis SIL"/>
        </w:rPr>
        <w:t xml:space="preserve">die </w:t>
      </w:r>
      <w:r w:rsidRPr="00FB4EFA">
        <w:rPr>
          <w:rFonts w:cs="Charis SIL"/>
        </w:rPr>
        <w:t>bereits erwähnte Weigerung von Moses eingeleitet, im Zeitreisenden seinesgleichen und einen wissenden Menschen zu erkennen:</w:t>
      </w:r>
    </w:p>
    <w:p w14:paraId="671FBBB1" w14:textId="77777777" w:rsidR="0022731A" w:rsidRPr="00FB4EFA" w:rsidRDefault="0022731A" w:rsidP="00E266CD">
      <w:pPr>
        <w:suppressAutoHyphens/>
        <w:spacing w:before="240" w:line="240" w:lineRule="auto"/>
        <w:ind w:left="709"/>
        <w:rPr>
          <w:rFonts w:cs="Charis SIL"/>
          <w:sz w:val="20"/>
          <w:szCs w:val="20"/>
        </w:rPr>
      </w:pPr>
      <w:r w:rsidRPr="00FB4EFA">
        <w:rPr>
          <w:rFonts w:cs="Charis SIL"/>
          <w:sz w:val="20"/>
          <w:szCs w:val="20"/>
        </w:rPr>
        <w:t>Moses bleibt vor mir stehen auf dem Berg.</w:t>
      </w:r>
    </w:p>
    <w:p w14:paraId="47705103" w14:textId="77777777" w:rsidR="0022731A" w:rsidRPr="00FB4EFA" w:rsidRDefault="0022731A" w:rsidP="00E266CD">
      <w:pPr>
        <w:suppressAutoHyphens/>
        <w:spacing w:line="240" w:lineRule="auto"/>
        <w:ind w:left="709"/>
        <w:rPr>
          <w:rFonts w:cs="Charis SIL"/>
          <w:sz w:val="20"/>
          <w:szCs w:val="20"/>
        </w:rPr>
      </w:pPr>
      <w:r w:rsidRPr="00FB4EFA">
        <w:rPr>
          <w:rFonts w:cs="Charis SIL"/>
          <w:sz w:val="20"/>
          <w:szCs w:val="20"/>
        </w:rPr>
        <w:t>Ich entkleide mich, ich werfe meinen Raumanzug auf den Boden, ich behalte nur die Badehose an.</w:t>
      </w:r>
    </w:p>
    <w:p w14:paraId="3AE0C684" w14:textId="77777777" w:rsidR="0022731A" w:rsidRPr="00FB4EFA" w:rsidRDefault="0022731A" w:rsidP="00E266CD">
      <w:pPr>
        <w:suppressAutoHyphens/>
        <w:spacing w:line="240" w:lineRule="auto"/>
        <w:ind w:left="709"/>
        <w:rPr>
          <w:rFonts w:cs="Charis SIL"/>
          <w:sz w:val="20"/>
          <w:szCs w:val="20"/>
        </w:rPr>
      </w:pPr>
      <w:r w:rsidRPr="00FB4EFA">
        <w:rPr>
          <w:rFonts w:cs="Charis SIL"/>
          <w:sz w:val="20"/>
          <w:szCs w:val="20"/>
        </w:rPr>
        <w:t>Der langbärtige Mann verneigt sich.</w:t>
      </w:r>
    </w:p>
    <w:p w14:paraId="5C2C9B68" w14:textId="77777777" w:rsidR="0022731A" w:rsidRPr="00FB4EFA" w:rsidRDefault="0022731A" w:rsidP="00E266CD">
      <w:pPr>
        <w:suppressAutoHyphens/>
        <w:spacing w:line="240" w:lineRule="auto"/>
        <w:ind w:left="709"/>
        <w:rPr>
          <w:rFonts w:cs="Charis SIL"/>
          <w:sz w:val="20"/>
          <w:szCs w:val="20"/>
        </w:rPr>
      </w:pPr>
      <w:r w:rsidRPr="00FB4EFA">
        <w:rPr>
          <w:rFonts w:cs="Charis SIL"/>
          <w:sz w:val="20"/>
          <w:szCs w:val="20"/>
        </w:rPr>
        <w:t>„Du bist unser Gott.“</w:t>
      </w:r>
    </w:p>
    <w:p w14:paraId="3652BC60" w14:textId="77777777" w:rsidR="0022731A" w:rsidRPr="00FB4EFA" w:rsidRDefault="0022731A" w:rsidP="00E266CD">
      <w:pPr>
        <w:suppressAutoHyphens/>
        <w:spacing w:line="240" w:lineRule="auto"/>
        <w:ind w:left="709"/>
        <w:rPr>
          <w:rFonts w:cs="Charis SIL"/>
          <w:sz w:val="20"/>
          <w:szCs w:val="20"/>
        </w:rPr>
      </w:pPr>
      <w:r w:rsidRPr="00FB4EFA">
        <w:rPr>
          <w:rFonts w:cs="Charis SIL"/>
          <w:sz w:val="20"/>
          <w:szCs w:val="20"/>
        </w:rPr>
        <w:t>„Ich bin kein Gott.“</w:t>
      </w:r>
    </w:p>
    <w:p w14:paraId="1F116F51" w14:textId="77777777" w:rsidR="0022731A" w:rsidRPr="00FB4EFA" w:rsidRDefault="0022731A" w:rsidP="00E266CD">
      <w:pPr>
        <w:suppressAutoHyphens/>
        <w:spacing w:line="240" w:lineRule="auto"/>
        <w:ind w:left="709"/>
        <w:rPr>
          <w:rFonts w:cs="Charis SIL"/>
          <w:sz w:val="20"/>
          <w:szCs w:val="20"/>
        </w:rPr>
      </w:pPr>
      <w:r w:rsidRPr="00FB4EFA">
        <w:rPr>
          <w:rFonts w:cs="Charis SIL"/>
          <w:sz w:val="20"/>
          <w:szCs w:val="20"/>
        </w:rPr>
        <w:t>„Sag noch einmal, was wir tun müssen.“</w:t>
      </w:r>
    </w:p>
    <w:p w14:paraId="7AE831FE" w14:textId="77777777" w:rsidR="0022731A" w:rsidRPr="00FB4EFA" w:rsidRDefault="0022731A" w:rsidP="00E266CD">
      <w:pPr>
        <w:suppressAutoHyphens/>
        <w:spacing w:line="240" w:lineRule="auto"/>
        <w:ind w:left="709"/>
        <w:rPr>
          <w:rFonts w:cs="Charis SIL"/>
          <w:sz w:val="20"/>
          <w:szCs w:val="20"/>
        </w:rPr>
      </w:pPr>
      <w:r w:rsidRPr="00FB4EFA">
        <w:rPr>
          <w:rFonts w:cs="Charis SIL"/>
          <w:sz w:val="20"/>
          <w:szCs w:val="20"/>
        </w:rPr>
        <w:t>„Ich erkläre euch, wie der Mensch sein wird.“</w:t>
      </w:r>
    </w:p>
    <w:p w14:paraId="38D2C6A0" w14:textId="77777777" w:rsidR="0022731A" w:rsidRPr="00FB4EFA" w:rsidRDefault="0022731A" w:rsidP="00E266CD">
      <w:pPr>
        <w:suppressAutoHyphens/>
        <w:spacing w:after="240" w:line="240" w:lineRule="auto"/>
        <w:ind w:left="709"/>
        <w:rPr>
          <w:rFonts w:cs="Charis SIL"/>
          <w:sz w:val="20"/>
          <w:szCs w:val="20"/>
        </w:rPr>
      </w:pPr>
      <w:r w:rsidRPr="00FB4EFA">
        <w:rPr>
          <w:rFonts w:cs="Charis SIL"/>
          <w:sz w:val="20"/>
          <w:szCs w:val="20"/>
        </w:rPr>
        <w:t>„Wie sollen wir beten?“ (ibid. 165)</w:t>
      </w:r>
    </w:p>
    <w:p w14:paraId="091AAA97" w14:textId="77777777" w:rsidR="0022731A" w:rsidRPr="00FB4EFA" w:rsidRDefault="0022731A" w:rsidP="00E266CD">
      <w:pPr>
        <w:rPr>
          <w:rFonts w:cs="Charis SIL"/>
        </w:rPr>
      </w:pPr>
      <w:r w:rsidRPr="00FB4EFA">
        <w:rPr>
          <w:rFonts w:cs="Charis SIL"/>
        </w:rPr>
        <w:lastRenderedPageBreak/>
        <w:t>Der menschliche Intellekt trägt keineswegs den vollen Sieg davon. Die Protagonisten selbst sind es, die die Theorie von Dänikens über den exogenen Ursprung und nebenbei die Gründung des Monotheismus mitverschulden. Im Anschluss an die Begegnung kehrt Boskovich in das Jahr 1787 zurück und baut sein Experiment ab. Der Pater blickt durchs Fenster und die Novelle endet – in leichter Anspielung auf den legendären Anblick, der Nietzsches Nervenzusammenbruch verschuldete (Raulff 2015: 317) – mit Bildern des Animalischen: „Pferde werden zum Schlachthof geführt. Der eine Treiber sieht mich an und grüßt, dann wendet er sich weg und schlägt mit seinem Stock dem neben ihm dahinschleichenden Tier auf den Rücken. Ich schließe das Fenster.“ (ibid. 164) Die Geschichte der Menschheit geht weiter; trotz weitreichender Erkenntnisse bleibt alles beim Alten.</w:t>
      </w:r>
    </w:p>
    <w:p w14:paraId="5F0F1AC0" w14:textId="1FF1A494" w:rsidR="0022731A" w:rsidRPr="00FB4EFA" w:rsidRDefault="0022731A" w:rsidP="00402EF4">
      <w:pPr>
        <w:ind w:firstLine="709"/>
        <w:rPr>
          <w:rFonts w:cs="Charis SIL"/>
        </w:rPr>
      </w:pPr>
      <w:r w:rsidRPr="00FB4EFA">
        <w:rPr>
          <w:rFonts w:cs="Charis SIL"/>
        </w:rPr>
        <w:t>Hernádis Novelle bestätigt die These, der zufolge die anspruchsvolleren literarischen Texte dadurch „Parodieresistenz“ zu erreichen versuchen, dass sie „im Wechsel zwischen Ernst und Spiel die semantischen Widersprüche einer allzu geradlinigen Plausibilisierung suspendieren.“ (Innerhofer 2013: 451) Auch Hernádi gelingt es, sein Novellenkonzept durch Kombination und gegenseitige Aufhebung von Erzählebenen und Sujetelementen soweit zu entwickeln, dass die einzelnen Momente nicht ausschließlich zur Geltung kommen: In narrativer Hinsicht steht der Didaxe – der nicht-fiktionalen Diskussion mit von Däniken und seinem (pseudo</w:t>
      </w:r>
      <w:r w:rsidR="009D1992" w:rsidRPr="00FB4EFA">
        <w:rPr>
          <w:rFonts w:cs="Charis SIL"/>
        </w:rPr>
        <w:noBreakHyphen/>
      </w:r>
      <w:r w:rsidRPr="00FB4EFA">
        <w:rPr>
          <w:rFonts w:cs="Charis SIL"/>
        </w:rPr>
        <w:t xml:space="preserve">)wissenschaftlichen Ansatz – die literarische Verflüssigung des Thesenhaften gegenüber. Die Zeitreise wird zum Abenteuer in einer durch Figuren und Handlung gekennzeichneten Geschichte. In diegetischer Hinsicht wird der wissenschaftlich-fantastische Plot – die </w:t>
      </w:r>
      <w:r w:rsidR="006057AB" w:rsidRPr="00FB4EFA">
        <w:rPr>
          <w:rFonts w:cs="Charis SIL"/>
        </w:rPr>
        <w:t>‘</w:t>
      </w:r>
      <w:r w:rsidRPr="00FB4EFA">
        <w:rPr>
          <w:rFonts w:cs="Charis SIL"/>
        </w:rPr>
        <w:t>konkrete</w:t>
      </w:r>
      <w:r w:rsidR="0093480B" w:rsidRPr="00FB4EFA">
        <w:rPr>
          <w:rFonts w:cs="Charis SIL"/>
        </w:rPr>
        <w:t>’</w:t>
      </w:r>
      <w:r w:rsidRPr="00FB4EFA">
        <w:rPr>
          <w:rFonts w:cs="Charis SIL"/>
        </w:rPr>
        <w:t xml:space="preserve"> Zeitreise</w:t>
      </w:r>
      <w:r w:rsidR="0071462F" w:rsidRPr="00FB4EFA">
        <w:rPr>
          <w:rFonts w:cs="Charis SIL"/>
        </w:rPr>
        <w:t> </w:t>
      </w:r>
      <w:r w:rsidRPr="00FB4EFA">
        <w:rPr>
          <w:rFonts w:cs="Charis SIL"/>
        </w:rPr>
        <w:t xml:space="preserve">– zum einen </w:t>
      </w:r>
      <w:r w:rsidR="006057AB" w:rsidRPr="00FB4EFA">
        <w:rPr>
          <w:rFonts w:cs="Charis SIL"/>
        </w:rPr>
        <w:t>‘</w:t>
      </w:r>
      <w:r w:rsidRPr="00FB4EFA">
        <w:rPr>
          <w:rFonts w:cs="Charis SIL"/>
        </w:rPr>
        <w:t>metaphorisiert</w:t>
      </w:r>
      <w:r w:rsidR="0093480B" w:rsidRPr="00FB4EFA">
        <w:rPr>
          <w:rFonts w:cs="Charis SIL"/>
        </w:rPr>
        <w:t>’</w:t>
      </w:r>
      <w:r w:rsidRPr="00FB4EFA">
        <w:rPr>
          <w:rFonts w:cs="Charis SIL"/>
        </w:rPr>
        <w:t xml:space="preserve">, zum anderen durch Wechsel der Perspektiven vertieft. Im Endergebnis weiß man nicht mit Sicherheit, was Boskovich bzw. H.H.H. als Erzähler bzw. Figuren erleben. Umgekehrt kann man auch vom Rahmenerzähler, dem Inhaber des Manuskripts und Kompilators von Pauwels &amp; Bergier, nicht mit hundertprozentiger Sicherheit behaupten, dass er auf dem Boden der </w:t>
      </w:r>
      <w:r w:rsidR="006057AB" w:rsidRPr="00FB4EFA">
        <w:rPr>
          <w:rFonts w:cs="Charis SIL"/>
        </w:rPr>
        <w:t>‘</w:t>
      </w:r>
      <w:r w:rsidRPr="00FB4EFA">
        <w:rPr>
          <w:rFonts w:cs="Charis SIL"/>
        </w:rPr>
        <w:t>Realität</w:t>
      </w:r>
      <w:r w:rsidR="0093480B" w:rsidRPr="00FB4EFA">
        <w:rPr>
          <w:rFonts w:cs="Charis SIL"/>
        </w:rPr>
        <w:t>’</w:t>
      </w:r>
      <w:r w:rsidRPr="00FB4EFA">
        <w:rPr>
          <w:rFonts w:cs="Charis SIL"/>
        </w:rPr>
        <w:t xml:space="preserve"> steht. Die endogene Abstammungsgeschichte ist nicht weniger abenteuerlich als die exogene. Für die intellektualistisch-literarische Auflösung beider Optionen hat man sich viel zu ausführlich mit dem Thema beschäftigt. Belegt </w:t>
      </w:r>
      <w:r w:rsidRPr="00FB4EFA">
        <w:rPr>
          <w:rFonts w:cs="Charis SIL"/>
        </w:rPr>
        <w:lastRenderedPageBreak/>
        <w:t xml:space="preserve">ist auch, dass Hernádi Ende der 1980er, Anfang der 1990er Jahre sogar esoterische Bücher veröffentlicht hat. Das verbleibende Dilemma ist jedenfalls lehrreich und zeigt etwas, was – damals wie heute – als Merkmal des Erfolgs gedeutet werden kann: Man kommt mit der Novelle hinsichtlich der Intentionen des Rahmenerzählers bzw. des Verfassers nicht gänzlich ins Reine und fühlt sich veranlasst, mit der Lektüre, etwa mit der anderer Novellen Hernádis, fortzufahren. Was wiederum auf den Sinn und </w:t>
      </w:r>
      <w:r w:rsidR="00A67AF8" w:rsidRPr="00FB4EFA">
        <w:rPr>
          <w:rFonts w:cs="Charis SIL"/>
        </w:rPr>
        <w:t xml:space="preserve">die </w:t>
      </w:r>
      <w:r w:rsidRPr="00FB4EFA">
        <w:rPr>
          <w:rFonts w:cs="Charis SIL"/>
        </w:rPr>
        <w:t>(auch neueste) Bestimmung der Science-Fiction-Literatur vorausweist. Denn, um mit den Worten des eingangs bereits zitierten Dietmar Dath zu schließen,</w:t>
      </w:r>
    </w:p>
    <w:p w14:paraId="618224EB" w14:textId="77777777" w:rsidR="0022731A" w:rsidRPr="00FB4EFA" w:rsidRDefault="0022731A" w:rsidP="002A3BC9">
      <w:pPr>
        <w:suppressAutoHyphens/>
        <w:spacing w:before="240" w:after="240" w:line="240" w:lineRule="auto"/>
        <w:ind w:left="709"/>
        <w:rPr>
          <w:rFonts w:cs="Charis SIL"/>
          <w:sz w:val="20"/>
          <w:szCs w:val="20"/>
        </w:rPr>
      </w:pPr>
      <w:r w:rsidRPr="00FB4EFA">
        <w:rPr>
          <w:rFonts w:cs="Charis SIL"/>
          <w:sz w:val="20"/>
          <w:szCs w:val="20"/>
        </w:rPr>
        <w:t>SF ist eine Maschine, die Wissen vergessen hilft, um neues Wissen in Vorstellung und Darstellung zu ermöglichen. Dieses Versprechen selbst aber lässt sich nur formulieren, wenn man in seiner Form die Umrisse des Wissens andeutet, das es zu gewinnen gäbe, und das Wissen von diesen Umrissen ist eben doch, ist eben auch ein Wissen. Fantastik gehört denen, die dieses Bauprinzip verstehen, das uns hinterlassen wurde von Leuten, denen aufgefallen war, dass etwas mit einer Kultur nicht stimmte, die viel wusste, aber nicht wissen wollte, wie sie sich ändern muss, um dieses Wissen menschengerecht zu nutzen […]. Die Maschine, die sie schufen, gehört allen, die sie gebrauchen können, es gibt keine Instanz, die hier irgendeine Nutzungserlaubnis zu vergeben hätte, zum Glück. Gebrauchen können diese Maschine alle, die sie zum Zweck, Wissen, Vergessen und neu Lernen in ihren vielfältigen Verhältnissen zueinander prüfen wollen […]. (Dath 2019: 872–873)</w:t>
      </w:r>
    </w:p>
    <w:p w14:paraId="58CF3E29" w14:textId="77777777" w:rsidR="0022731A" w:rsidRPr="00FB4EFA" w:rsidRDefault="0022731A" w:rsidP="00402EF4">
      <w:r w:rsidRPr="00FB4EFA">
        <w:rPr>
          <w:rFonts w:cs="Charis SIL"/>
        </w:rPr>
        <w:t>Auch Hernádis wissenschaftlich-fantastische Novellen wollen keine „Instanz“ sein, sie warten nur mit der Form, in der nachgedacht werden kann, auf; und in dieser Form bieten sie zugleich auch ein Wissen dar, das es</w:t>
      </w:r>
      <w:r w:rsidRPr="00FB4EFA">
        <w:t xml:space="preserve"> nicht gibt, das aber, hat man etwa die fantastische Reise wie Boskovich über sich und die Zeiten hinweg angetreten, wie von selbst die Bedingungen seiner Möglichkeit erfüllt.</w:t>
      </w:r>
    </w:p>
    <w:p w14:paraId="21908F3A" w14:textId="77777777" w:rsidR="0022731A" w:rsidRPr="00FB4EFA" w:rsidRDefault="0022731A" w:rsidP="00545033">
      <w:pPr>
        <w:pStyle w:val="Heading2"/>
        <w:suppressAutoHyphens/>
        <w:spacing w:line="259" w:lineRule="auto"/>
        <w:rPr>
          <w:color w:val="auto"/>
          <w:lang w:val="de-AT"/>
        </w:rPr>
      </w:pPr>
      <w:r w:rsidRPr="00FB4EFA">
        <w:rPr>
          <w:color w:val="auto"/>
          <w:lang w:val="de-AT"/>
        </w:rPr>
        <w:t>Literaturverzeichnis</w:t>
      </w:r>
    </w:p>
    <w:p w14:paraId="41D35FDD" w14:textId="377F6756" w:rsidR="0022731A" w:rsidRPr="00FB4EFA" w:rsidRDefault="0022731A" w:rsidP="00A70E6A">
      <w:pPr>
        <w:keepLines/>
        <w:suppressAutoHyphens/>
        <w:spacing w:line="240" w:lineRule="auto"/>
        <w:ind w:left="425" w:hanging="425"/>
      </w:pPr>
      <w:r w:rsidRPr="00FB4EFA">
        <w:t xml:space="preserve">Bodnár, György. 1974. Integrált útirajzok. Kommentár Hernádi Gyula: Anti-Däniken című novellájához [Integrierte Reiseberichte. Kommentar zu Gyula Hernádis Novelle Anti-Däniken]. </w:t>
      </w:r>
      <w:r w:rsidRPr="00FB4EFA">
        <w:rPr>
          <w:i/>
          <w:iCs/>
        </w:rPr>
        <w:t>Jelenkor</w:t>
      </w:r>
      <w:r w:rsidRPr="00FB4EFA">
        <w:t xml:space="preserve"> 17. 14–16.</w:t>
      </w:r>
    </w:p>
    <w:p w14:paraId="6511792D" w14:textId="2630457E" w:rsidR="0022731A" w:rsidRPr="00FB4EFA" w:rsidRDefault="0022731A" w:rsidP="00A70E6A">
      <w:pPr>
        <w:suppressAutoHyphens/>
        <w:spacing w:line="240" w:lineRule="auto"/>
        <w:ind w:left="426" w:hanging="426"/>
      </w:pPr>
      <w:r w:rsidRPr="00FB4EFA">
        <w:rPr>
          <w:lang w:val="de-DE"/>
        </w:rPr>
        <w:t xml:space="preserve">Csicsery-Ronay, Istvan, Jr. 2008. </w:t>
      </w:r>
      <w:r w:rsidRPr="00FB4EFA">
        <w:rPr>
          <w:i/>
          <w:iCs/>
          <w:lang w:val="en-GB"/>
        </w:rPr>
        <w:t>The Seven Beauties of Science Fiction</w:t>
      </w:r>
      <w:r w:rsidRPr="00FB4EFA">
        <w:rPr>
          <w:lang w:val="en-GB"/>
        </w:rPr>
        <w:t xml:space="preserve">. </w:t>
      </w:r>
      <w:r w:rsidRPr="00FB4EFA">
        <w:t xml:space="preserve">Middletown, </w:t>
      </w:r>
      <w:r w:rsidR="00B52887" w:rsidRPr="00FB4EFA">
        <w:t>CT</w:t>
      </w:r>
      <w:r w:rsidRPr="00FB4EFA">
        <w:t>: Wesleyan University Press.</w:t>
      </w:r>
    </w:p>
    <w:p w14:paraId="6A628FA8" w14:textId="77777777" w:rsidR="0022731A" w:rsidRPr="00FB4EFA" w:rsidRDefault="0022731A" w:rsidP="00A70E6A">
      <w:pPr>
        <w:suppressAutoHyphens/>
        <w:spacing w:line="240" w:lineRule="auto"/>
        <w:ind w:left="426" w:hanging="426"/>
      </w:pPr>
      <w:r w:rsidRPr="00FB4EFA">
        <w:lastRenderedPageBreak/>
        <w:t xml:space="preserve">Dath, Dietmar. 2019. </w:t>
      </w:r>
      <w:r w:rsidRPr="00FB4EFA">
        <w:rPr>
          <w:i/>
          <w:iCs/>
        </w:rPr>
        <w:t>Niegeschichte. Science Fiction als Kunst- und Denkmaschine</w:t>
      </w:r>
      <w:r w:rsidRPr="00FB4EFA">
        <w:t>. Berlin: Matthes &amp; Seitz.</w:t>
      </w:r>
    </w:p>
    <w:p w14:paraId="622E17D7" w14:textId="77777777" w:rsidR="0022731A" w:rsidRPr="00FB4EFA" w:rsidRDefault="0022731A" w:rsidP="00A70E6A">
      <w:pPr>
        <w:suppressAutoHyphens/>
        <w:spacing w:line="240" w:lineRule="auto"/>
        <w:ind w:left="426" w:hanging="426"/>
        <w:rPr>
          <w:lang w:val="en-GB"/>
        </w:rPr>
      </w:pPr>
      <w:r w:rsidRPr="00FB4EFA">
        <w:t xml:space="preserve">Deleuze, Gilles. 2000. </w:t>
      </w:r>
      <w:r w:rsidRPr="00FB4EFA">
        <w:rPr>
          <w:i/>
          <w:iCs/>
        </w:rPr>
        <w:t>Die Falte. Leibniz und der Barock</w:t>
      </w:r>
      <w:r w:rsidRPr="00FB4EFA">
        <w:t xml:space="preserve">. Aus dem Französischen von Ulrich Johannes Schneider. </w:t>
      </w:r>
      <w:r w:rsidRPr="00FB4EFA">
        <w:rPr>
          <w:lang w:val="en-GB"/>
        </w:rPr>
        <w:t>Frankfurt am Main: Suhrkamp.</w:t>
      </w:r>
    </w:p>
    <w:p w14:paraId="1D557DF5" w14:textId="0B72D8B6" w:rsidR="0022731A" w:rsidRPr="00FB4EFA" w:rsidRDefault="0022731A" w:rsidP="00A70E6A">
      <w:pPr>
        <w:suppressAutoHyphens/>
        <w:spacing w:line="240" w:lineRule="auto"/>
        <w:ind w:left="426" w:hanging="426"/>
        <w:rPr>
          <w:lang w:val="en-GB"/>
        </w:rPr>
      </w:pPr>
      <w:r w:rsidRPr="00FB4EFA">
        <w:rPr>
          <w:lang w:val="en-GB"/>
        </w:rPr>
        <w:t xml:space="preserve">Fekete, John. 1989. Science Fiction in Hungary. </w:t>
      </w:r>
      <w:r w:rsidRPr="00FB4EFA">
        <w:rPr>
          <w:i/>
          <w:iCs/>
          <w:lang w:val="en-US"/>
        </w:rPr>
        <w:t>Science Fiction Studies</w:t>
      </w:r>
      <w:r w:rsidRPr="00FB4EFA">
        <w:rPr>
          <w:lang w:val="en-US"/>
        </w:rPr>
        <w:t xml:space="preserve"> 16. </w:t>
      </w:r>
      <w:r w:rsidRPr="00FB4EFA">
        <w:rPr>
          <w:lang w:val="en-GB"/>
        </w:rPr>
        <w:t>191–200.</w:t>
      </w:r>
    </w:p>
    <w:p w14:paraId="73CDD43A" w14:textId="77777777" w:rsidR="0022731A" w:rsidRPr="00FB4EFA" w:rsidRDefault="0022731A" w:rsidP="00A70E6A">
      <w:pPr>
        <w:suppressAutoHyphens/>
        <w:spacing w:line="240" w:lineRule="auto"/>
        <w:ind w:left="426" w:hanging="426"/>
        <w:rPr>
          <w:lang w:val="en-GB"/>
        </w:rPr>
      </w:pPr>
      <w:r w:rsidRPr="00FB4EFA">
        <w:rPr>
          <w:lang w:val="en-GB"/>
        </w:rPr>
        <w:t xml:space="preserve">Friedell, Egon. 1974. </w:t>
      </w:r>
      <w:r w:rsidRPr="00FB4EFA">
        <w:rPr>
          <w:i/>
          <w:iCs/>
        </w:rPr>
        <w:t>Die Rückkehr der Zeitmaschine. Phantastische Novelle</w:t>
      </w:r>
      <w:r w:rsidRPr="00FB4EFA">
        <w:t xml:space="preserve">. </w:t>
      </w:r>
      <w:r w:rsidRPr="00FB4EFA">
        <w:rPr>
          <w:lang w:val="en-GB"/>
        </w:rPr>
        <w:t>Zürich: Diogenes.</w:t>
      </w:r>
    </w:p>
    <w:p w14:paraId="3A53A610" w14:textId="181C2879" w:rsidR="0022731A" w:rsidRPr="00FB4EFA" w:rsidRDefault="0022731A" w:rsidP="00A70E6A">
      <w:pPr>
        <w:suppressAutoHyphens/>
        <w:spacing w:line="240" w:lineRule="auto"/>
        <w:ind w:left="426" w:hanging="426"/>
        <w:rPr>
          <w:lang w:val="en-GB"/>
        </w:rPr>
      </w:pPr>
      <w:r w:rsidRPr="00FB4EFA">
        <w:rPr>
          <w:lang w:val="en-GB"/>
        </w:rPr>
        <w:t xml:space="preserve">Fritzsche, Sonja. 2006. </w:t>
      </w:r>
      <w:r w:rsidRPr="00FB4EFA">
        <w:rPr>
          <w:i/>
          <w:iCs/>
          <w:lang w:val="en-GB"/>
        </w:rPr>
        <w:t>Science Fiction Literature in East Germany</w:t>
      </w:r>
      <w:r w:rsidRPr="00FB4EFA">
        <w:rPr>
          <w:lang w:val="en-GB"/>
        </w:rPr>
        <w:t xml:space="preserve">. </w:t>
      </w:r>
      <w:r w:rsidR="00BC5B64" w:rsidRPr="00FB4EFA">
        <w:rPr>
          <w:lang w:val="en-GB"/>
        </w:rPr>
        <w:t xml:space="preserve">Frankfurt am Main: </w:t>
      </w:r>
      <w:r w:rsidR="00B52887" w:rsidRPr="00FB4EFA">
        <w:rPr>
          <w:lang w:val="en-GB"/>
        </w:rPr>
        <w:t>Peter Lang.</w:t>
      </w:r>
    </w:p>
    <w:p w14:paraId="19C69708" w14:textId="51C17D11" w:rsidR="0022731A" w:rsidRPr="00FB4EFA" w:rsidRDefault="0022731A" w:rsidP="00A70E6A">
      <w:pPr>
        <w:suppressAutoHyphens/>
        <w:spacing w:line="240" w:lineRule="auto"/>
        <w:ind w:left="426" w:hanging="426"/>
        <w:rPr>
          <w:lang w:val="en-GB"/>
        </w:rPr>
      </w:pPr>
      <w:r w:rsidRPr="00FB4EFA">
        <w:rPr>
          <w:lang w:val="en-GB"/>
        </w:rPr>
        <w:t xml:space="preserve">Graham, Petri. 2003. Writing dialogues with the viewer. Gyula Hernádi interviewed. </w:t>
      </w:r>
      <w:r w:rsidRPr="00FB4EFA">
        <w:rPr>
          <w:i/>
          <w:iCs/>
          <w:lang w:val="en-GB"/>
        </w:rPr>
        <w:t>Kinoeye</w:t>
      </w:r>
      <w:r w:rsidRPr="00FB4EFA">
        <w:rPr>
          <w:lang w:val="en-GB"/>
        </w:rPr>
        <w:t xml:space="preserve"> 3</w:t>
      </w:r>
      <w:r w:rsidR="00B52887" w:rsidRPr="00FB4EFA">
        <w:rPr>
          <w:lang w:val="en-GB"/>
        </w:rPr>
        <w:t xml:space="preserve"> (</w:t>
      </w:r>
      <w:r w:rsidRPr="00FB4EFA">
        <w:rPr>
          <w:lang w:val="en-GB"/>
        </w:rPr>
        <w:t>4</w:t>
      </w:r>
      <w:r w:rsidR="00B52887" w:rsidRPr="00FB4EFA">
        <w:rPr>
          <w:lang w:val="en-GB"/>
        </w:rPr>
        <w:t>).</w:t>
      </w:r>
      <w:r w:rsidRPr="00FB4EFA">
        <w:rPr>
          <w:lang w:val="en-GB"/>
        </w:rPr>
        <w:t xml:space="preserve"> </w:t>
      </w:r>
      <w:hyperlink r:id="rId476" w:history="1">
        <w:r w:rsidR="00B52887" w:rsidRPr="00FB4EFA">
          <w:rPr>
            <w:rStyle w:val="Hyperlink"/>
            <w:color w:val="auto"/>
            <w:lang w:val="en-GB"/>
          </w:rPr>
          <w:t>www.kinoeye.org/03/04/</w:t>
        </w:r>
        <w:r w:rsidR="00B52887" w:rsidRPr="00FB4EFA">
          <w:rPr>
            <w:rStyle w:val="Hyperlink"/>
            <w:color w:val="auto"/>
            <w:lang w:val="en-GB"/>
          </w:rPr>
          <w:br/>
          <w:t>interview04_no2.php</w:t>
        </w:r>
      </w:hyperlink>
      <w:r w:rsidR="00B47773" w:rsidRPr="00FB4EFA">
        <w:rPr>
          <w:lang w:val="en-GB"/>
        </w:rPr>
        <w:t>.</w:t>
      </w:r>
    </w:p>
    <w:p w14:paraId="729CDCCE" w14:textId="005429D4" w:rsidR="0022731A" w:rsidRPr="00FB4EFA" w:rsidRDefault="0022731A" w:rsidP="00A70E6A">
      <w:pPr>
        <w:suppressAutoHyphens/>
        <w:spacing w:line="240" w:lineRule="auto"/>
        <w:ind w:left="426" w:hanging="426"/>
      </w:pPr>
      <w:r w:rsidRPr="00FB4EFA">
        <w:t xml:space="preserve">Hernádi, Gyula. 1974. Anti-Däniken. </w:t>
      </w:r>
      <w:r w:rsidRPr="00FB4EFA">
        <w:rPr>
          <w:i/>
          <w:iCs/>
        </w:rPr>
        <w:t>Jelenkor</w:t>
      </w:r>
      <w:r w:rsidRPr="00FB4EFA">
        <w:t xml:space="preserve"> 17. 3–11.</w:t>
      </w:r>
    </w:p>
    <w:p w14:paraId="06CFAEF2" w14:textId="6C306257" w:rsidR="0022731A" w:rsidRPr="00FB4EFA" w:rsidRDefault="0022731A" w:rsidP="00A70E6A">
      <w:pPr>
        <w:suppressAutoHyphens/>
        <w:spacing w:line="240" w:lineRule="auto"/>
        <w:ind w:left="426" w:hanging="426"/>
      </w:pPr>
      <w:r w:rsidRPr="00FB4EFA">
        <w:t xml:space="preserve">Hernádi, Gyula. 1978a. </w:t>
      </w:r>
      <w:bookmarkStart w:id="130" w:name="_Hlk93674577"/>
      <w:r w:rsidRPr="00FB4EFA">
        <w:t xml:space="preserve">Paradoxon. Aus dem Ungarischen von Hans Skirecki. In </w:t>
      </w:r>
      <w:r w:rsidR="00BC5B64" w:rsidRPr="00FB4EFA">
        <w:t xml:space="preserve">Barbara </w:t>
      </w:r>
      <w:r w:rsidRPr="00FB4EFA">
        <w:t>Antkowiak (</w:t>
      </w:r>
      <w:r w:rsidR="00B52887" w:rsidRPr="00FB4EFA">
        <w:t>Hrsg</w:t>
      </w:r>
      <w:r w:rsidRPr="00FB4EFA">
        <w:t xml:space="preserve">.), </w:t>
      </w:r>
      <w:r w:rsidRPr="00FB4EFA">
        <w:rPr>
          <w:i/>
          <w:iCs/>
        </w:rPr>
        <w:t>Der Fotograf des Unsichtbaren und andere phantastische Geschichten</w:t>
      </w:r>
      <w:r w:rsidR="00B52887" w:rsidRPr="00FB4EFA">
        <w:t>, 224–226</w:t>
      </w:r>
      <w:r w:rsidRPr="00FB4EFA">
        <w:t>. Berlin: Volk u. Welt</w:t>
      </w:r>
      <w:bookmarkEnd w:id="130"/>
      <w:r w:rsidRPr="00FB4EFA">
        <w:t>.</w:t>
      </w:r>
    </w:p>
    <w:p w14:paraId="687720CD" w14:textId="19713B05" w:rsidR="0022731A" w:rsidRPr="00FB4EFA" w:rsidRDefault="0022731A" w:rsidP="00A70E6A">
      <w:pPr>
        <w:suppressAutoHyphens/>
        <w:spacing w:line="240" w:lineRule="auto"/>
        <w:ind w:left="426" w:hanging="426"/>
      </w:pPr>
      <w:r w:rsidRPr="00FB4EFA">
        <w:t xml:space="preserve">Hernádi, Gyula. 1978b. Homo prothesiensis. Aus dem Ungarischen von Hans Skirecki. In </w:t>
      </w:r>
      <w:r w:rsidR="00BC5B64" w:rsidRPr="00FB4EFA">
        <w:t xml:space="preserve">Barbara Antkowiak </w:t>
      </w:r>
      <w:r w:rsidRPr="00FB4EFA">
        <w:t>(</w:t>
      </w:r>
      <w:r w:rsidR="00B52887" w:rsidRPr="00FB4EFA">
        <w:t>Hrsg</w:t>
      </w:r>
      <w:r w:rsidRPr="00FB4EFA">
        <w:t xml:space="preserve">.), </w:t>
      </w:r>
      <w:r w:rsidRPr="00FB4EFA">
        <w:rPr>
          <w:i/>
          <w:iCs/>
        </w:rPr>
        <w:t>Der Fotograf des Unsichtbaren und andere phantastische Geschichten</w:t>
      </w:r>
      <w:r w:rsidR="00B52887" w:rsidRPr="00FB4EFA">
        <w:t>, 226–228</w:t>
      </w:r>
      <w:r w:rsidRPr="00FB4EFA">
        <w:t>. Berlin: Volk u. Welt.</w:t>
      </w:r>
    </w:p>
    <w:p w14:paraId="3D323CBA" w14:textId="3364A3EC" w:rsidR="0022731A" w:rsidRPr="00FB4EFA" w:rsidRDefault="0022731A" w:rsidP="00A70E6A">
      <w:pPr>
        <w:suppressAutoHyphens/>
        <w:spacing w:line="240" w:lineRule="auto"/>
        <w:ind w:left="426" w:hanging="426"/>
      </w:pPr>
      <w:r w:rsidRPr="00FB4EFA">
        <w:t xml:space="preserve">Hernádi, Gyula. 1978c. RNS. Aus dem Ungarischen von Hans Skirecki. In </w:t>
      </w:r>
      <w:r w:rsidR="00BC5B64" w:rsidRPr="00FB4EFA">
        <w:t xml:space="preserve">Barbara Antkowiak </w:t>
      </w:r>
      <w:r w:rsidRPr="00FB4EFA">
        <w:t>(</w:t>
      </w:r>
      <w:r w:rsidR="00B52887" w:rsidRPr="00FB4EFA">
        <w:t>Hrsg</w:t>
      </w:r>
      <w:r w:rsidRPr="00FB4EFA">
        <w:t xml:space="preserve">.), </w:t>
      </w:r>
      <w:r w:rsidRPr="00FB4EFA">
        <w:rPr>
          <w:i/>
          <w:iCs/>
        </w:rPr>
        <w:t>Der Fotograf des Unsichtbaren und andere phantastische Geschichten</w:t>
      </w:r>
      <w:r w:rsidR="00B52887" w:rsidRPr="00FB4EFA">
        <w:t>, 219–223</w:t>
      </w:r>
      <w:r w:rsidRPr="00FB4EFA">
        <w:t>. Berlin: Volk u. Welt.</w:t>
      </w:r>
    </w:p>
    <w:p w14:paraId="4B5086C2" w14:textId="53CE1310" w:rsidR="0022731A" w:rsidRPr="00FB4EFA" w:rsidRDefault="0022731A" w:rsidP="00A70E6A">
      <w:pPr>
        <w:keepLines/>
        <w:suppressAutoHyphens/>
        <w:spacing w:line="240" w:lineRule="auto"/>
        <w:ind w:left="425" w:hanging="425"/>
      </w:pPr>
      <w:r w:rsidRPr="00FB4EFA">
        <w:t xml:space="preserve">Hernádi, Gyula. 1980a. Anti-Däniken. In </w:t>
      </w:r>
      <w:r w:rsidR="00A47F9A" w:rsidRPr="00FB4EFA">
        <w:t xml:space="preserve">Péter </w:t>
      </w:r>
      <w:r w:rsidRPr="00FB4EFA">
        <w:t>Kuczka (</w:t>
      </w:r>
      <w:r w:rsidR="00B52887" w:rsidRPr="00FB4EFA">
        <w:t>Hrsg</w:t>
      </w:r>
      <w:r w:rsidRPr="00FB4EFA">
        <w:t xml:space="preserve">.), </w:t>
      </w:r>
      <w:r w:rsidRPr="00FB4EFA">
        <w:rPr>
          <w:i/>
          <w:iCs/>
        </w:rPr>
        <w:t>Raketen, Sterne, Rezepte. Wissenschaftlich-phantastische Erzählungen aus Ungarn</w:t>
      </w:r>
      <w:r w:rsidR="00B52887" w:rsidRPr="00FB4EFA">
        <w:t>, 154–165</w:t>
      </w:r>
      <w:r w:rsidRPr="00FB4EFA">
        <w:t>. Ins Deutsche übertragen von Hans Skirecki. Berlin: Neues Leben.</w:t>
      </w:r>
    </w:p>
    <w:p w14:paraId="6B4E9C7C" w14:textId="45168CE9" w:rsidR="0022731A" w:rsidRPr="00FB4EFA" w:rsidRDefault="0022731A" w:rsidP="00A70E6A">
      <w:pPr>
        <w:suppressAutoHyphens/>
        <w:spacing w:line="240" w:lineRule="auto"/>
        <w:ind w:left="426" w:hanging="426"/>
      </w:pPr>
      <w:r w:rsidRPr="00FB4EFA">
        <w:t xml:space="preserve">Hernádi, Gyula. 1980b. Sodom und Gomorrha. Sechs Varianten. Aus dem Ungarischen von Hans Skirecki. In </w:t>
      </w:r>
      <w:r w:rsidRPr="00FB4EFA">
        <w:rPr>
          <w:i/>
          <w:iCs/>
        </w:rPr>
        <w:t>Lichtjahr 1. Ein Phantastik-Almanach</w:t>
      </w:r>
      <w:r w:rsidR="00B52887" w:rsidRPr="00FB4EFA">
        <w:t>, 153–169</w:t>
      </w:r>
      <w:r w:rsidRPr="00FB4EFA">
        <w:t>. Berlin: Das Neue Leben.</w:t>
      </w:r>
    </w:p>
    <w:p w14:paraId="41D64359" w14:textId="5884CF19" w:rsidR="0022731A" w:rsidRPr="00FB4EFA" w:rsidRDefault="0022731A" w:rsidP="00A70E6A">
      <w:pPr>
        <w:suppressAutoHyphens/>
        <w:spacing w:line="240" w:lineRule="auto"/>
        <w:ind w:left="426" w:hanging="426"/>
      </w:pPr>
      <w:r w:rsidRPr="00FB4EFA">
        <w:t xml:space="preserve">Hernádi, Gyula. 1981. Anti-Däniken. Aus dem Ungarischen von Hans Skirecki. In </w:t>
      </w:r>
      <w:r w:rsidR="00A47F9A" w:rsidRPr="00FB4EFA">
        <w:t xml:space="preserve">Herbert W. </w:t>
      </w:r>
      <w:r w:rsidRPr="00FB4EFA">
        <w:t>Franke (</w:t>
      </w:r>
      <w:r w:rsidR="00B52887" w:rsidRPr="00FB4EFA">
        <w:t>Hrsg</w:t>
      </w:r>
      <w:r w:rsidRPr="00FB4EFA">
        <w:t xml:space="preserve">.), </w:t>
      </w:r>
      <w:r w:rsidRPr="00FB4EFA">
        <w:rPr>
          <w:i/>
          <w:iCs/>
        </w:rPr>
        <w:t>SF international II</w:t>
      </w:r>
      <w:r w:rsidR="00B52887" w:rsidRPr="00FB4EFA">
        <w:t>, 170–184</w:t>
      </w:r>
      <w:r w:rsidRPr="00FB4EFA">
        <w:t>. München: Goldmann.</w:t>
      </w:r>
    </w:p>
    <w:p w14:paraId="53E28260" w14:textId="4FF0EFF4" w:rsidR="0022731A" w:rsidRPr="00FB4EFA" w:rsidRDefault="0022731A" w:rsidP="00A70E6A">
      <w:pPr>
        <w:suppressAutoHyphens/>
        <w:spacing w:line="240" w:lineRule="auto"/>
        <w:ind w:left="426" w:hanging="426"/>
      </w:pPr>
      <w:r w:rsidRPr="00FB4EFA">
        <w:t xml:space="preserve">Hernádi, Gyula. 1982. Gulliver der Zweite. Aus dem Englischen von Horst Heidtmann. In </w:t>
      </w:r>
      <w:r w:rsidR="00BC5B64" w:rsidRPr="00FB4EFA">
        <w:t xml:space="preserve">Horst </w:t>
      </w:r>
      <w:r w:rsidRPr="00FB4EFA">
        <w:t>Heidtmann (</w:t>
      </w:r>
      <w:r w:rsidR="00B52887" w:rsidRPr="00FB4EFA">
        <w:t>Hrsg</w:t>
      </w:r>
      <w:r w:rsidRPr="00FB4EFA">
        <w:t xml:space="preserve">.), </w:t>
      </w:r>
      <w:r w:rsidRPr="00FB4EFA">
        <w:rPr>
          <w:i/>
          <w:iCs/>
        </w:rPr>
        <w:t>Die gestohlenen Techmine. Science-fiction aus Osteuropa</w:t>
      </w:r>
      <w:r w:rsidR="00B52887" w:rsidRPr="00FB4EFA">
        <w:t>, 155–164</w:t>
      </w:r>
      <w:r w:rsidRPr="00FB4EFA">
        <w:t>. München: Deutscher Taschenbuch-Verlag.</w:t>
      </w:r>
    </w:p>
    <w:p w14:paraId="33B07CEF" w14:textId="7DD1159E" w:rsidR="0022731A" w:rsidRPr="00FB4EFA" w:rsidRDefault="0022731A" w:rsidP="00A70E6A">
      <w:pPr>
        <w:suppressAutoHyphens/>
        <w:spacing w:line="240" w:lineRule="auto"/>
        <w:ind w:left="426" w:hanging="426"/>
      </w:pPr>
      <w:r w:rsidRPr="00FB4EFA">
        <w:lastRenderedPageBreak/>
        <w:t xml:space="preserve">Innerhofer, Roland. 2013a. Science Fiction. In </w:t>
      </w:r>
      <w:r w:rsidR="00E11E59" w:rsidRPr="00FB4EFA">
        <w:t xml:space="preserve">Hans </w:t>
      </w:r>
      <w:r w:rsidRPr="00FB4EFA">
        <w:t xml:space="preserve">Brittnacher &amp; </w:t>
      </w:r>
      <w:r w:rsidR="00E11E59" w:rsidRPr="00FB4EFA">
        <w:t xml:space="preserve">Markus </w:t>
      </w:r>
      <w:r w:rsidRPr="00FB4EFA">
        <w:t>May (</w:t>
      </w:r>
      <w:r w:rsidR="00E11E59" w:rsidRPr="00FB4EFA">
        <w:t>Hrsg</w:t>
      </w:r>
      <w:r w:rsidRPr="00FB4EFA">
        <w:t>.)</w:t>
      </w:r>
      <w:r w:rsidR="00E11E59" w:rsidRPr="00FB4EFA">
        <w:t>,</w:t>
      </w:r>
      <w:r w:rsidRPr="00FB4EFA">
        <w:t xml:space="preserve"> </w:t>
      </w:r>
      <w:r w:rsidRPr="00FB4EFA">
        <w:rPr>
          <w:i/>
          <w:iCs/>
        </w:rPr>
        <w:t>Phantastik. Ein interdisziplinäres Handbuch</w:t>
      </w:r>
      <w:r w:rsidR="00E11E59" w:rsidRPr="00FB4EFA">
        <w:t>, 319–328</w:t>
      </w:r>
      <w:r w:rsidRPr="00FB4EFA">
        <w:t xml:space="preserve">. Stuttgart </w:t>
      </w:r>
      <w:r w:rsidR="00E11E59" w:rsidRPr="00FB4EFA">
        <w:t>/</w:t>
      </w:r>
      <w:r w:rsidRPr="00FB4EFA">
        <w:t xml:space="preserve"> Weimar: Metzler.</w:t>
      </w:r>
    </w:p>
    <w:p w14:paraId="14B5B16C" w14:textId="054E5ADD" w:rsidR="0022731A" w:rsidRPr="00FB4EFA" w:rsidRDefault="0022731A" w:rsidP="00A70E6A">
      <w:pPr>
        <w:suppressAutoHyphens/>
        <w:spacing w:line="240" w:lineRule="auto"/>
        <w:ind w:left="426" w:hanging="426"/>
      </w:pPr>
      <w:r w:rsidRPr="00FB4EFA">
        <w:t>Innerhofer, Roland. 2013b. Phantastische Reise/Zeitreise. In Brittnacher, Hans Richard &amp; May, Markus (</w:t>
      </w:r>
      <w:r w:rsidR="00E11E59" w:rsidRPr="00FB4EFA">
        <w:t>Hrsg</w:t>
      </w:r>
      <w:r w:rsidRPr="00FB4EFA">
        <w:t>.)</w:t>
      </w:r>
      <w:r w:rsidR="00E11E59" w:rsidRPr="00FB4EFA">
        <w:t>,</w:t>
      </w:r>
      <w:r w:rsidRPr="00FB4EFA">
        <w:t xml:space="preserve"> </w:t>
      </w:r>
      <w:r w:rsidRPr="00FB4EFA">
        <w:rPr>
          <w:i/>
          <w:iCs/>
        </w:rPr>
        <w:t>Phantastik. Ein interdisziplinäres Handbuch</w:t>
      </w:r>
      <w:r w:rsidR="00E11E59" w:rsidRPr="00FB4EFA">
        <w:t>, 447–457</w:t>
      </w:r>
      <w:r w:rsidRPr="00FB4EFA">
        <w:t xml:space="preserve">. Stuttgart </w:t>
      </w:r>
      <w:r w:rsidR="00E11E59" w:rsidRPr="00FB4EFA">
        <w:t>/</w:t>
      </w:r>
      <w:r w:rsidRPr="00FB4EFA">
        <w:t xml:space="preserve"> Weimar: Metzler.</w:t>
      </w:r>
    </w:p>
    <w:p w14:paraId="1964327C" w14:textId="2C3F9AFF" w:rsidR="0022731A" w:rsidRPr="00FB4EFA" w:rsidRDefault="0022731A" w:rsidP="00A70E6A">
      <w:pPr>
        <w:suppressAutoHyphens/>
        <w:spacing w:line="240" w:lineRule="auto"/>
        <w:ind w:left="426" w:hanging="426"/>
      </w:pPr>
      <w:r w:rsidRPr="00FB4EFA">
        <w:t xml:space="preserve">Kuczka, Péter. 1971. Emberek, robotok, marslakók [Menschen, Roboter, Marsianer]. </w:t>
      </w:r>
      <w:r w:rsidRPr="00FB4EFA">
        <w:rPr>
          <w:i/>
          <w:iCs/>
        </w:rPr>
        <w:t>Világ Ifjúsága</w:t>
      </w:r>
      <w:r w:rsidRPr="00FB4EFA">
        <w:t xml:space="preserve"> 25</w:t>
      </w:r>
      <w:r w:rsidR="00E11E59" w:rsidRPr="00FB4EFA">
        <w:t xml:space="preserve"> (</w:t>
      </w:r>
      <w:r w:rsidRPr="00FB4EFA">
        <w:t>12</w:t>
      </w:r>
      <w:r w:rsidR="00E11E59" w:rsidRPr="00FB4EFA">
        <w:t>).</w:t>
      </w:r>
      <w:r w:rsidRPr="00FB4EFA">
        <w:t xml:space="preserve"> 20.</w:t>
      </w:r>
    </w:p>
    <w:p w14:paraId="33F18601" w14:textId="4546DAA7" w:rsidR="0022731A" w:rsidRPr="00FB4EFA" w:rsidRDefault="0022731A" w:rsidP="00A70E6A">
      <w:pPr>
        <w:suppressAutoHyphens/>
        <w:spacing w:line="240" w:lineRule="auto"/>
        <w:ind w:left="426" w:hanging="426"/>
      </w:pPr>
      <w:r w:rsidRPr="00FB4EFA">
        <w:t xml:space="preserve">Kuczka, Péter. 1974. Hernádi és a fanti [Hernádi und die Fantastik]. </w:t>
      </w:r>
      <w:r w:rsidRPr="00FB4EFA">
        <w:rPr>
          <w:i/>
          <w:iCs/>
        </w:rPr>
        <w:t>Jelenkor</w:t>
      </w:r>
      <w:r w:rsidRPr="00FB4EFA">
        <w:t xml:space="preserve"> 17. 12–14.</w:t>
      </w:r>
    </w:p>
    <w:p w14:paraId="53AEAEBA" w14:textId="1B6FD426" w:rsidR="0022731A" w:rsidRPr="00FB4EFA" w:rsidRDefault="0022731A" w:rsidP="00A70E6A">
      <w:pPr>
        <w:suppressAutoHyphens/>
        <w:spacing w:line="240" w:lineRule="auto"/>
        <w:ind w:left="426" w:hanging="426"/>
      </w:pPr>
      <w:r w:rsidRPr="00FB4EFA">
        <w:t xml:space="preserve">Liessmann, Konrad Paul. 2004. „Zum Raum wird hier die Zeit“. Kleine Geschichte der Zeitreisen. In </w:t>
      </w:r>
      <w:r w:rsidR="00BC5B64" w:rsidRPr="00FB4EFA">
        <w:t xml:space="preserve">Annette </w:t>
      </w:r>
      <w:r w:rsidRPr="00FB4EFA">
        <w:t>Wunschel &amp; Macho, Thomas (</w:t>
      </w:r>
      <w:r w:rsidR="00B52887" w:rsidRPr="00FB4EFA">
        <w:t>Hrsg</w:t>
      </w:r>
      <w:r w:rsidRPr="00FB4EFA">
        <w:t xml:space="preserve">.), </w:t>
      </w:r>
      <w:r w:rsidRPr="00FB4EFA">
        <w:rPr>
          <w:i/>
          <w:iCs/>
        </w:rPr>
        <w:t>Science &amp; Fiction. Über Gedankenexperimente in Wissenschaft, Philosophie und Literatur</w:t>
      </w:r>
      <w:r w:rsidR="00B52887" w:rsidRPr="00FB4EFA">
        <w:t>, 209–229</w:t>
      </w:r>
      <w:r w:rsidRPr="00FB4EFA">
        <w:t xml:space="preserve">. </w:t>
      </w:r>
      <w:r w:rsidR="00BC5B64" w:rsidRPr="00FB4EFA">
        <w:t xml:space="preserve">Frankfurt am Main: </w:t>
      </w:r>
      <w:r w:rsidRPr="00FB4EFA">
        <w:t>Fischer.</w:t>
      </w:r>
    </w:p>
    <w:p w14:paraId="6F71F1A8" w14:textId="77777777" w:rsidR="0022731A" w:rsidRPr="00FB4EFA" w:rsidRDefault="0022731A" w:rsidP="00A70E6A">
      <w:pPr>
        <w:suppressAutoHyphens/>
        <w:spacing w:line="240" w:lineRule="auto"/>
        <w:ind w:left="426" w:hanging="426"/>
      </w:pPr>
      <w:r w:rsidRPr="00FB4EFA">
        <w:t xml:space="preserve">Müller, Andreas. 2016. </w:t>
      </w:r>
      <w:r w:rsidRPr="00FB4EFA">
        <w:rPr>
          <w:i/>
          <w:iCs/>
        </w:rPr>
        <w:t>Zeitreisen und Zeitmaschinen. Heute Morgen war ich noch gestern</w:t>
      </w:r>
      <w:r w:rsidRPr="00FB4EFA">
        <w:t>. Berlin: Springer Spektrum.</w:t>
      </w:r>
    </w:p>
    <w:p w14:paraId="01509CF1" w14:textId="77777777" w:rsidR="0022731A" w:rsidRPr="00FB4EFA" w:rsidRDefault="0022731A" w:rsidP="00A70E6A">
      <w:pPr>
        <w:keepLines/>
        <w:suppressAutoHyphens/>
        <w:spacing w:line="240" w:lineRule="auto"/>
        <w:ind w:left="425" w:hanging="425"/>
      </w:pPr>
      <w:r w:rsidRPr="00FB4EFA">
        <w:t xml:space="preserve">Pauwels, Louis &amp; Bergier, Jacques. 1962. </w:t>
      </w:r>
      <w:r w:rsidRPr="00FB4EFA">
        <w:rPr>
          <w:i/>
          <w:iCs/>
        </w:rPr>
        <w:t>Aufbruch ins dritte Jahrtausend. Von der Zukunft der phantastischen Vernunft</w:t>
      </w:r>
      <w:r w:rsidRPr="00FB4EFA">
        <w:t>. Aus dem Französischen von Gerda von Uslar. Bern &amp; Stuttgart: Alfred Scherz.</w:t>
      </w:r>
    </w:p>
    <w:p w14:paraId="0CA1740A" w14:textId="030FCAA6" w:rsidR="0022731A" w:rsidRPr="00FB4EFA" w:rsidRDefault="0022731A" w:rsidP="00A70E6A">
      <w:pPr>
        <w:suppressAutoHyphens/>
        <w:spacing w:line="240" w:lineRule="auto"/>
        <w:ind w:left="426" w:hanging="426"/>
      </w:pPr>
      <w:r w:rsidRPr="00FB4EFA">
        <w:t xml:space="preserve">Pósa, Zoltán. 1990. </w:t>
      </w:r>
      <w:r w:rsidRPr="00FB4EFA">
        <w:rPr>
          <w:i/>
          <w:iCs/>
        </w:rPr>
        <w:t>Hernádi Gyula</w:t>
      </w:r>
      <w:r w:rsidRPr="00FB4EFA">
        <w:t>. Budapest: Akadémai</w:t>
      </w:r>
      <w:r w:rsidR="00614E7B" w:rsidRPr="00FB4EFA">
        <w:rPr>
          <w:rFonts w:cs="Charis SIL"/>
          <w:lang w:val="hu-HU"/>
        </w:rPr>
        <w:t>.</w:t>
      </w:r>
    </w:p>
    <w:p w14:paraId="28ED56BD" w14:textId="77777777" w:rsidR="0022731A" w:rsidRPr="00FB4EFA" w:rsidRDefault="0022731A" w:rsidP="00A70E6A">
      <w:pPr>
        <w:suppressAutoHyphens/>
        <w:spacing w:line="240" w:lineRule="auto"/>
        <w:ind w:left="426" w:hanging="426"/>
      </w:pPr>
      <w:r w:rsidRPr="00FB4EFA">
        <w:t xml:space="preserve">Radnóti, Sándor. 1974. Fiktív lejátszás [Fiktives Abspielen]. Hernádi Gyula </w:t>
      </w:r>
      <w:r w:rsidRPr="00FB4EFA">
        <w:rPr>
          <w:i/>
          <w:iCs/>
        </w:rPr>
        <w:t>Logikai kapuk</w:t>
      </w:r>
      <w:r w:rsidRPr="00FB4EFA">
        <w:t xml:space="preserve"> című könyvéről. In </w:t>
      </w:r>
      <w:r w:rsidRPr="00FB4EFA">
        <w:rPr>
          <w:i/>
          <w:iCs/>
        </w:rPr>
        <w:t>Jelenkor</w:t>
      </w:r>
      <w:r w:rsidRPr="00FB4EFA">
        <w:t xml:space="preserve"> 17. 1076–1084.</w:t>
      </w:r>
    </w:p>
    <w:p w14:paraId="34254AFE" w14:textId="77777777" w:rsidR="0022731A" w:rsidRPr="00FB4EFA" w:rsidRDefault="0022731A" w:rsidP="00A70E6A">
      <w:pPr>
        <w:suppressAutoHyphens/>
        <w:spacing w:line="240" w:lineRule="auto"/>
        <w:ind w:left="426" w:hanging="426"/>
      </w:pPr>
      <w:r w:rsidRPr="00FB4EFA">
        <w:t xml:space="preserve">Raulff, Ulrich. 2015. </w:t>
      </w:r>
      <w:r w:rsidRPr="00FB4EFA">
        <w:rPr>
          <w:i/>
          <w:iCs/>
        </w:rPr>
        <w:t>Das letzte Jahrhundert der Pferde. Geschichte einer Trennung</w:t>
      </w:r>
      <w:r w:rsidRPr="00FB4EFA">
        <w:t>. München: C.H.Beck.</w:t>
      </w:r>
    </w:p>
    <w:p w14:paraId="15BAC88E" w14:textId="215872DD" w:rsidR="0022731A" w:rsidRPr="00FB4EFA" w:rsidRDefault="0022731A" w:rsidP="00A70E6A">
      <w:pPr>
        <w:suppressAutoHyphens/>
        <w:spacing w:line="240" w:lineRule="auto"/>
        <w:ind w:left="426" w:hanging="426"/>
      </w:pPr>
      <w:r w:rsidRPr="00FB4EFA">
        <w:t xml:space="preserve">S. Sárdi, Margit. 2009. A magyar tudományos-fantasztikus irodalomról [Von der ungarischen wissenschaftlich-fantastischen Literatur]. In </w:t>
      </w:r>
      <w:r w:rsidRPr="00FB4EFA">
        <w:rPr>
          <w:i/>
          <w:iCs/>
        </w:rPr>
        <w:t>Alföld</w:t>
      </w:r>
      <w:r w:rsidRPr="00FB4EFA">
        <w:t xml:space="preserve"> 60</w:t>
      </w:r>
      <w:r w:rsidR="00C3771F" w:rsidRPr="00FB4EFA">
        <w:t xml:space="preserve"> (</w:t>
      </w:r>
      <w:r w:rsidRPr="00FB4EFA">
        <w:t>5</w:t>
      </w:r>
      <w:r w:rsidR="00C3771F" w:rsidRPr="00FB4EFA">
        <w:t>).</w:t>
      </w:r>
      <w:r w:rsidRPr="00FB4EFA">
        <w:t xml:space="preserve"> 59–73.</w:t>
      </w:r>
    </w:p>
    <w:p w14:paraId="39ACBC5A" w14:textId="065182E1" w:rsidR="0022731A" w:rsidRPr="00FB4EFA" w:rsidRDefault="0022731A" w:rsidP="00A70E6A">
      <w:pPr>
        <w:suppressAutoHyphens/>
        <w:spacing w:line="240" w:lineRule="auto"/>
        <w:ind w:left="426" w:hanging="426"/>
      </w:pPr>
      <w:r w:rsidRPr="00FB4EFA">
        <w:t xml:space="preserve">Tarján, Tamás. 1975. Hernádi Gyula: Logikai kapuk. </w:t>
      </w:r>
      <w:r w:rsidRPr="00FB4EFA">
        <w:rPr>
          <w:i/>
          <w:iCs/>
        </w:rPr>
        <w:t>Kortárs</w:t>
      </w:r>
      <w:r w:rsidRPr="00FB4EFA">
        <w:t xml:space="preserve"> 19. 329–330.</w:t>
      </w:r>
    </w:p>
    <w:p w14:paraId="32C292D7" w14:textId="1360DAB3" w:rsidR="0022731A" w:rsidRPr="00FB4EFA" w:rsidRDefault="0022731A" w:rsidP="00A70E6A">
      <w:pPr>
        <w:suppressAutoHyphens/>
        <w:spacing w:line="240" w:lineRule="auto"/>
        <w:ind w:left="426" w:hanging="426"/>
        <w:rPr>
          <w:lang w:val="en-GB" w:eastAsia="en-GB"/>
        </w:rPr>
      </w:pPr>
      <w:r w:rsidRPr="00FB4EFA">
        <w:t xml:space="preserve">Todorov, Tzvetan. 1992. </w:t>
      </w:r>
      <w:r w:rsidRPr="00FB4EFA">
        <w:rPr>
          <w:i/>
          <w:iCs/>
        </w:rPr>
        <w:t>Einführung in die fantastische Literatur</w:t>
      </w:r>
      <w:r w:rsidRPr="00FB4EFA">
        <w:t xml:space="preserve">. Aus dem Französischen von Karin Kersten &amp; Senta Metz &amp; Caroline Neubaur. </w:t>
      </w:r>
      <w:r w:rsidR="00BC5B64" w:rsidRPr="00FB4EFA">
        <w:rPr>
          <w:lang w:val="en-GB"/>
        </w:rPr>
        <w:t xml:space="preserve">Frankfurt am Main: </w:t>
      </w:r>
      <w:r w:rsidRPr="00FB4EFA">
        <w:rPr>
          <w:lang w:val="en-GB"/>
        </w:rPr>
        <w:t>Fischer.</w:t>
      </w:r>
    </w:p>
    <w:p w14:paraId="2EC46624" w14:textId="77777777" w:rsidR="00466236" w:rsidRPr="00FB4EFA" w:rsidRDefault="0022731A" w:rsidP="00A70E6A">
      <w:pPr>
        <w:suppressAutoHyphens/>
        <w:spacing w:line="240" w:lineRule="auto"/>
        <w:ind w:left="426" w:hanging="426"/>
        <w:rPr>
          <w:lang w:val="de-DE"/>
        </w:rPr>
      </w:pPr>
      <w:r w:rsidRPr="00FB4EFA">
        <w:rPr>
          <w:lang w:val="en-GB"/>
        </w:rPr>
        <w:t xml:space="preserve">Wittenberg, David. 2013. </w:t>
      </w:r>
      <w:r w:rsidRPr="00FB4EFA">
        <w:rPr>
          <w:i/>
          <w:iCs/>
          <w:lang w:val="en-GB"/>
        </w:rPr>
        <w:t>Time Travel. The Popular Philosophy of Narrative</w:t>
      </w:r>
      <w:r w:rsidRPr="00FB4EFA">
        <w:rPr>
          <w:lang w:val="en-GB"/>
        </w:rPr>
        <w:t xml:space="preserve">. </w:t>
      </w:r>
      <w:r w:rsidRPr="00FB4EFA">
        <w:rPr>
          <w:lang w:val="de-DE"/>
        </w:rPr>
        <w:t>New York: Fordham University Press.</w:t>
      </w:r>
    </w:p>
    <w:p w14:paraId="1A4F1B71" w14:textId="282B6344" w:rsidR="00A96E85" w:rsidRPr="00FB4EFA" w:rsidRDefault="0022731A" w:rsidP="00A70E6A">
      <w:pPr>
        <w:suppressAutoHyphens/>
        <w:spacing w:line="240" w:lineRule="auto"/>
        <w:ind w:left="426" w:hanging="426"/>
        <w:rPr>
          <w:lang w:val="de-DE"/>
        </w:rPr>
      </w:pPr>
      <w:r w:rsidRPr="00FB4EFA">
        <w:t xml:space="preserve">Wunschel, Annette &amp; Macho, Thomas. 2004. Mentale Versuchsanordnungen. In </w:t>
      </w:r>
      <w:bookmarkStart w:id="131" w:name="_Hlk83713283"/>
      <w:r w:rsidR="00466236" w:rsidRPr="00FB4EFA">
        <w:t xml:space="preserve">Annette </w:t>
      </w:r>
      <w:r w:rsidRPr="00FB4EFA">
        <w:t>Wunschel &amp;</w:t>
      </w:r>
      <w:r w:rsidR="00466236" w:rsidRPr="00FB4EFA">
        <w:t xml:space="preserve"> Thomas</w:t>
      </w:r>
      <w:r w:rsidRPr="00FB4EFA">
        <w:t xml:space="preserve"> Macho</w:t>
      </w:r>
      <w:r w:rsidR="00466236" w:rsidRPr="00FB4EFA">
        <w:t xml:space="preserve"> </w:t>
      </w:r>
      <w:r w:rsidRPr="00FB4EFA">
        <w:t>(</w:t>
      </w:r>
      <w:r w:rsidR="001E6714" w:rsidRPr="00FB4EFA">
        <w:rPr>
          <w:rFonts w:cs="Charis SIL"/>
        </w:rPr>
        <w:t>Hrsg</w:t>
      </w:r>
      <w:r w:rsidRPr="00FB4EFA">
        <w:t xml:space="preserve">.), </w:t>
      </w:r>
      <w:r w:rsidRPr="00FB4EFA">
        <w:rPr>
          <w:i/>
          <w:iCs/>
        </w:rPr>
        <w:t>Science &amp; Fiction. Über Gedankenexperimente in Wissenschaft, Philosophie und Literatur</w:t>
      </w:r>
      <w:r w:rsidR="00466236" w:rsidRPr="00FB4EFA">
        <w:t>, 9–14.</w:t>
      </w:r>
      <w:r w:rsidRPr="00FB4EFA">
        <w:t xml:space="preserve"> </w:t>
      </w:r>
      <w:r w:rsidR="00BC5B64" w:rsidRPr="00FB4EFA">
        <w:t xml:space="preserve">Frankfurt am Main: </w:t>
      </w:r>
      <w:r w:rsidRPr="00FB4EFA">
        <w:t>Fischer</w:t>
      </w:r>
      <w:bookmarkEnd w:id="131"/>
      <w:r w:rsidRPr="00FB4EFA">
        <w:t>.</w:t>
      </w:r>
    </w:p>
    <w:p w14:paraId="128C5D09" w14:textId="461B245F" w:rsidR="00466236" w:rsidRPr="00FB4EFA" w:rsidRDefault="00466236" w:rsidP="00466236">
      <w:pPr>
        <w:spacing w:after="160"/>
        <w:jc w:val="left"/>
        <w:rPr>
          <w:smallCaps/>
          <w:sz w:val="48"/>
          <w:szCs w:val="48"/>
        </w:rPr>
        <w:sectPr w:rsidR="00466236" w:rsidRPr="00FB4EFA">
          <w:headerReference w:type="even" r:id="rId477"/>
          <w:headerReference w:type="default" r:id="rId478"/>
          <w:headerReference w:type="first" r:id="rId479"/>
          <w:footnotePr>
            <w:numRestart w:val="eachSect"/>
          </w:footnotePr>
          <w:pgSz w:w="9180" w:h="13302"/>
          <w:pgMar w:top="779" w:right="1133" w:bottom="1132" w:left="1133" w:header="744" w:footer="720" w:gutter="0"/>
          <w:cols w:space="720"/>
          <w:titlePg/>
        </w:sectPr>
      </w:pPr>
    </w:p>
    <w:p w14:paraId="1754844C" w14:textId="77777777" w:rsidR="00A96E85" w:rsidRPr="00FB4EFA" w:rsidRDefault="00A96E85" w:rsidP="00AF0CAD">
      <w:pPr>
        <w:pStyle w:val="Authors"/>
        <w:spacing w:line="259" w:lineRule="auto"/>
        <w:rPr>
          <w:color w:val="auto"/>
          <w:lang w:val="de-AT"/>
        </w:rPr>
      </w:pPr>
      <w:r w:rsidRPr="00FB4EFA">
        <w:rPr>
          <w:color w:val="auto"/>
          <w:lang w:val="de-AT"/>
        </w:rPr>
        <w:lastRenderedPageBreak/>
        <w:t>Károly Kókai</w:t>
      </w:r>
    </w:p>
    <w:p w14:paraId="20641042" w14:textId="77777777" w:rsidR="00A96E85" w:rsidRPr="00FB4EFA" w:rsidRDefault="00A96E85" w:rsidP="00402EF4"/>
    <w:p w14:paraId="39D073BE" w14:textId="77777777" w:rsidR="00A96E85" w:rsidRPr="00FB4EFA" w:rsidRDefault="00A96E85" w:rsidP="00994E2A">
      <w:pPr>
        <w:pStyle w:val="Heading1"/>
        <w:suppressAutoHyphens/>
        <w:spacing w:line="259" w:lineRule="auto"/>
        <w:ind w:right="74"/>
        <w:rPr>
          <w:color w:val="auto"/>
          <w:lang w:val="de-AT"/>
        </w:rPr>
      </w:pPr>
      <w:bookmarkStart w:id="132" w:name="_Toc87547021"/>
      <w:bookmarkStart w:id="133" w:name="_Ref90999705"/>
      <w:r w:rsidRPr="00FB4EFA">
        <w:rPr>
          <w:color w:val="auto"/>
          <w:lang w:val="de-AT"/>
        </w:rPr>
        <w:t>Die falschen Schlüsse: Zwei kulturwissenschaftliche Fallbeispiele</w:t>
      </w:r>
      <w:bookmarkEnd w:id="132"/>
      <w:bookmarkEnd w:id="133"/>
    </w:p>
    <w:p w14:paraId="518BF5E9" w14:textId="501C5F84" w:rsidR="00067874" w:rsidRPr="00FB4EFA" w:rsidRDefault="00067874" w:rsidP="00402EF4">
      <w:pPr>
        <w:rPr>
          <w:lang w:val="de-DE"/>
        </w:rPr>
      </w:pPr>
      <w:r w:rsidRPr="00FB4EFA">
        <w:rPr>
          <w:lang w:val="de-DE"/>
        </w:rPr>
        <w:t xml:space="preserve">Das Thema Minderheit, ob Minderheitenliteratur oder Minderheitensprache, steht im Fokus zahlreicher wissenschaftlicher Projekte. So auch an der Abteilung </w:t>
      </w:r>
      <w:r w:rsidR="00E135BE" w:rsidRPr="00FB4EFA">
        <w:rPr>
          <w:lang w:val="de-DE"/>
        </w:rPr>
        <w:t xml:space="preserve">für </w:t>
      </w:r>
      <w:r w:rsidRPr="00FB4EFA">
        <w:rPr>
          <w:lang w:val="de-DE"/>
        </w:rPr>
        <w:t>Finno-Ugristik der Universität Wien in Lehrveranstaltungen, Abschlussarbeiten und Publikationen der Mitarbeiter.</w:t>
      </w:r>
      <w:r w:rsidRPr="00FB4EFA">
        <w:rPr>
          <w:vertAlign w:val="superscript"/>
          <w:lang w:val="de-DE"/>
        </w:rPr>
        <w:footnoteReference w:id="175"/>
      </w:r>
      <w:r w:rsidRPr="00FB4EFA">
        <w:rPr>
          <w:lang w:val="de-DE"/>
        </w:rPr>
        <w:t xml:space="preserve"> Dieses Interesse ist mehrfach begründet: Die Abteilung beschäftigt sich mit Sprachen und Kulturen, die ganz oder teilweise einen Minderheitenstatus haben, so beispielsweise mit der ungarischen Sprache und Kultur in Österreich oder mit den finnisch-ugrischen Sprachen und Kulturen in Russland; die Arbeit ist dadurch bedingt, dass die Abteilung sich nicht in einem mehrheitlich eine finno-ugrische Sprache sprechenden Land befindet; und nicht zuletzt dadurch, dass sich in der wissenschaftlichen Forschung – durch Erfahrungen der letzten Jahrzehnte mit cultural studies und postcolonial theories – die Überzeugung verfestigte, dass die bedeutendsten Impulse von den Rändern, aus Untersuchung von marginalisierten Erscheinungen und so auch aus den Gegenstandsbereichen der sogenannten kleinen Fächer kommen.</w:t>
      </w:r>
    </w:p>
    <w:p w14:paraId="0165D107" w14:textId="750AE071" w:rsidR="00067874" w:rsidRPr="00FB4EFA" w:rsidRDefault="00067874" w:rsidP="00402EF4">
      <w:pPr>
        <w:ind w:firstLine="709"/>
        <w:rPr>
          <w:lang w:val="de-DE"/>
        </w:rPr>
      </w:pPr>
      <w:r w:rsidRPr="00FB4EFA">
        <w:rPr>
          <w:lang w:val="de-DE"/>
        </w:rPr>
        <w:t xml:space="preserve">Klar ist dabei, dass sowohl literaturwissenschaftliche als auch sprachwissenschaftliche Forschung das Thema Minderheit erst dann adäquat angehen kann, wenn sie kulturwissenschaftlich orientiert ist. Dazu zwei Fallbeispiele bezogen auf den kulturellen Raum, in dem in </w:t>
      </w:r>
      <w:r w:rsidR="005C6F73" w:rsidRPr="00FB4EFA">
        <w:rPr>
          <w:lang w:val="de-DE"/>
        </w:rPr>
        <w:br/>
      </w:r>
      <w:r w:rsidRPr="00FB4EFA">
        <w:rPr>
          <w:lang w:val="de-DE"/>
        </w:rPr>
        <w:t>Österreich eine sogenannte autochthone ungarische Minderheit lebt, auf das Burgenland.</w:t>
      </w:r>
    </w:p>
    <w:p w14:paraId="3A10A3CE" w14:textId="77777777" w:rsidR="00067874" w:rsidRPr="00FB4EFA" w:rsidRDefault="00067874" w:rsidP="00545033">
      <w:pPr>
        <w:pStyle w:val="Heading2"/>
        <w:suppressAutoHyphens/>
        <w:spacing w:line="259" w:lineRule="auto"/>
        <w:rPr>
          <w:color w:val="auto"/>
          <w:lang w:val="de-DE"/>
        </w:rPr>
      </w:pPr>
      <w:r w:rsidRPr="00FB4EFA">
        <w:rPr>
          <w:color w:val="auto"/>
          <w:lang w:val="de-DE"/>
        </w:rPr>
        <w:lastRenderedPageBreak/>
        <w:t>Minderheit</w:t>
      </w:r>
    </w:p>
    <w:p w14:paraId="2B68DA66" w14:textId="40FACBF3" w:rsidR="00067874" w:rsidRPr="00FB4EFA" w:rsidRDefault="00067874" w:rsidP="00402EF4">
      <w:pPr>
        <w:rPr>
          <w:lang w:val="de-DE"/>
        </w:rPr>
      </w:pPr>
      <w:r w:rsidRPr="00FB4EFA">
        <w:rPr>
          <w:lang w:val="de-DE"/>
        </w:rPr>
        <w:t>Das Thema „Minderheit im Burgenland</w:t>
      </w:r>
      <w:r w:rsidR="00D7279E" w:rsidRPr="00FB4EFA">
        <w:rPr>
          <w:lang w:val="de-DE"/>
        </w:rPr>
        <w:t>“</w:t>
      </w:r>
      <w:r w:rsidRPr="00FB4EFA">
        <w:rPr>
          <w:lang w:val="de-DE"/>
        </w:rPr>
        <w:t xml:space="preserve"> bringt wissenschaftliche Probleme mit sich, die die Fragestellung als beinahe unmöglich erscheinen lassen. Bereits die Frage, was eine Minderheit sei, ist kaum zu beantworten, und auch die Frage, was das Burgenland sei, entzieht sich einer befriedigenden Bestimmbarkeit.</w:t>
      </w:r>
    </w:p>
    <w:p w14:paraId="708F41B6" w14:textId="56567CCC" w:rsidR="00067874" w:rsidRPr="00FB4EFA" w:rsidRDefault="00067874" w:rsidP="00402EF4">
      <w:pPr>
        <w:ind w:firstLine="709"/>
        <w:rPr>
          <w:lang w:val="de-DE"/>
        </w:rPr>
      </w:pPr>
      <w:r w:rsidRPr="00FB4EFA">
        <w:rPr>
          <w:lang w:val="de-DE"/>
        </w:rPr>
        <w:t>Das betreffend, was wir gegenwärtig unter Minderheiten thematisieren, also sowohl ethnische als auch nationale, sowohl religiöse als auch konfessionelle, weiters sprachliche, gesellschaftliche etc. Minderheiten, gibt es zahlreiche und zeitlich weit zurückliegende Gesetze, Verordnungen und Verträge. So stammt beispielsweise im ehemaligen Westungarn, im heutigen Burgenland, die erste, auf die kroatischen Migranten bezogene urkundliche Erwähnung, ein Eintrag in ein Urbarium, aus dem Jahr 1515. Es wurde im 19. Jahrhundert in der österreichischen Gesetzgebung über Volksstämme gesprochen, die auch im Sinne der heutigen nationalen Minderheiten verstanden werden können.</w:t>
      </w:r>
      <w:r w:rsidRPr="00FB4EFA">
        <w:rPr>
          <w:rFonts w:cstheme="minorHAnsi"/>
          <w:vertAlign w:val="superscript"/>
          <w:lang w:val="de-DE"/>
        </w:rPr>
        <w:footnoteReference w:id="176"/>
      </w:r>
      <w:r w:rsidRPr="00FB4EFA">
        <w:rPr>
          <w:lang w:val="de-DE"/>
        </w:rPr>
        <w:t xml:space="preserve"> Die ersten Gesetze, die das heutige Minderheitenkonzept verwenden, sind die Friedensverträge nach dem Ersten Weltkrieg, so die für den Raum Burgenland relevanten Verträge von Saint Germain und Trianon, gültig seit 1920 und 1921. Bedeutsam ist diese begriffsgeschichtliche Differenzierung aus folgendem Grund: Es ist ein wissenschaftlich relevanter Unterschied, ob über das Thema einer zeitgenössischen Problemlage ober über das Problem selbst gesprochen wird. Wird diese Unterscheidung übersehen, werden gegenwärtige Begriffe in eine Zeit zurückprojiziert, in der es diese Begriffe und somit auch die mit den Begriffen erfassten Konzepte nicht gab. Es war selbstverständlich immer von einer bestimmten Bedeutung, welcher Nation eine Person angehörte. Entscheidend waren aber andere Kategorien, so ob man adelig ist oder nicht, ob man dem Klerus angehört oder nicht</w:t>
      </w:r>
      <w:r w:rsidR="00A67AF8" w:rsidRPr="00FB4EFA">
        <w:rPr>
          <w:lang w:val="de-DE"/>
        </w:rPr>
        <w:t>,</w:t>
      </w:r>
      <w:r w:rsidRPr="00FB4EFA">
        <w:rPr>
          <w:lang w:val="de-DE"/>
        </w:rPr>
        <w:t xml:space="preserve"> und es gab auch die Sonderposition des Herrschers – alles Kategorien, die </w:t>
      </w:r>
      <w:r w:rsidRPr="00FB4EFA">
        <w:rPr>
          <w:lang w:val="de-DE"/>
        </w:rPr>
        <w:lastRenderedPageBreak/>
        <w:t>mit dem als Burgenland thematisierten kulturellen Raum mit Ende des Ersten Weltkrieges, also just in dem Moment, als dieses entstand, obsolet geworden sind. Wir können gegenwärtig genauso wenig über die Sonderstellung des Adels sprechen – obwohl diese etwa in Hinblick auf den Grundbesitz im Burgenland bis heute gegeben ist – als vor 1918 über Minderheiten.</w:t>
      </w:r>
    </w:p>
    <w:p w14:paraId="42D8C7F9" w14:textId="128F03C0" w:rsidR="00067874" w:rsidRPr="00FB4EFA" w:rsidRDefault="00067874" w:rsidP="002A3BC9">
      <w:pPr>
        <w:ind w:firstLine="709"/>
        <w:rPr>
          <w:lang w:val="de-DE"/>
        </w:rPr>
      </w:pPr>
      <w:r w:rsidRPr="00FB4EFA">
        <w:rPr>
          <w:lang w:val="de-DE"/>
        </w:rPr>
        <w:t xml:space="preserve">Minderheit bezieht sich nicht allein auf die Nationalität. Selbstverständlich gibt es auch religiöse, sprachliche, sexuelle etc. Minderheiten. Dabei erweist sich der Begriff Minderheit im Gegensatz zur ursprünglichen Wortbedeutung als qualitativ und nicht quantitativ bestimmt. So gibt es mehr Frauen als Männer, Frauen bilden also zahlenmäßig eine Mehrheit, werden aber trotzdem </w:t>
      </w:r>
      <w:r w:rsidR="00A67AF8" w:rsidRPr="00FB4EFA">
        <w:rPr>
          <w:lang w:val="de-DE"/>
        </w:rPr>
        <w:t>zu den</w:t>
      </w:r>
      <w:r w:rsidRPr="00FB4EFA">
        <w:rPr>
          <w:lang w:val="de-DE"/>
        </w:rPr>
        <w:t xml:space="preserve"> Minderheiten gezählt, weil sie in einer männlich dominierten Gesellschaft diskriminiert werden.</w:t>
      </w:r>
      <w:r w:rsidRPr="00FB4EFA">
        <w:rPr>
          <w:vertAlign w:val="superscript"/>
          <w:lang w:val="de-DE"/>
        </w:rPr>
        <w:footnoteReference w:id="177"/>
      </w:r>
      <w:r w:rsidRPr="00FB4EFA">
        <w:rPr>
          <w:lang w:val="de-DE"/>
        </w:rPr>
        <w:t xml:space="preserve"> Unser gegenwärtiges Konzept von Minderheit zielt also auf die Kategorisierung der Gesellschaft, um Gruppen zu isolieren, die vom Rest der Gesellschaft in ihren Rechten – und zwar insbesondere den Bereich betreffend, aufgrund dessen sie zu einer oder einer anderen Minderheit gehören – diskriminiert werden. Der Minderheitenschutz wurde also erst mit dem am Ende des Ersten Weltkrieges sich vollziehenden Bedeutungswechsel des Konzepts von Minderheit zu einer zentralen Bedeutungskomponente. So scheint die Verknüpfung von Minderheit und Burgenland zwar eine wissenschaftliche Herausforderung, aber inhaltlich begründet zu sein.</w:t>
      </w:r>
    </w:p>
    <w:p w14:paraId="117C61D1" w14:textId="55CA1986" w:rsidR="00067874" w:rsidRPr="00FB4EFA" w:rsidRDefault="00067874" w:rsidP="00402EF4">
      <w:pPr>
        <w:ind w:firstLine="709"/>
        <w:rPr>
          <w:lang w:val="de-DE"/>
        </w:rPr>
      </w:pPr>
      <w:r w:rsidRPr="00FB4EFA">
        <w:rPr>
          <w:lang w:val="de-DE"/>
        </w:rPr>
        <w:t xml:space="preserve">Gradmesser der Sensibilität für die Minderheitenthematik scheint zu sein, wie weit in den wissenschaftlichen, politischen, medialen und gesellschaftlichen Diskussionen </w:t>
      </w:r>
      <w:r w:rsidRPr="00FB4EFA">
        <w:t>auf Minderheiten bezogen differenziert wird</w:t>
      </w:r>
      <w:r w:rsidRPr="00FB4EFA">
        <w:rPr>
          <w:lang w:val="de-DE"/>
        </w:rPr>
        <w:t>. Die ungarische Diskussion fokussiert auf die ungarischen Minderheiten im benachbarten Ausland, also</w:t>
      </w:r>
      <w:r w:rsidR="00A67AF8" w:rsidRPr="00FB4EFA">
        <w:rPr>
          <w:lang w:val="de-DE"/>
        </w:rPr>
        <w:t xml:space="preserve"> die</w:t>
      </w:r>
      <w:r w:rsidRPr="00FB4EFA">
        <w:rPr>
          <w:lang w:val="de-DE"/>
        </w:rPr>
        <w:t xml:space="preserve"> in den nach dem Ersten Weltkrieg abgetrennten, 193</w:t>
      </w:r>
      <w:r w:rsidR="00C65823" w:rsidRPr="00FB4EFA">
        <w:rPr>
          <w:lang w:val="de-DE"/>
        </w:rPr>
        <w:t>8–1</w:t>
      </w:r>
      <w:r w:rsidRPr="00FB4EFA">
        <w:rPr>
          <w:lang w:val="de-DE"/>
        </w:rPr>
        <w:t xml:space="preserve">941 teilweise wieder an Ungarn angeschlossenen und nach dem Zweiten Weltkrieg wieder abgetrennten Gebieten leben. Alle anderen Minderheiten werden in den öffentlichen </w:t>
      </w:r>
      <w:r w:rsidR="001E18A8" w:rsidRPr="00FB4EFA">
        <w:rPr>
          <w:lang w:val="de-DE"/>
        </w:rPr>
        <w:br/>
      </w:r>
      <w:r w:rsidRPr="00FB4EFA">
        <w:rPr>
          <w:lang w:val="de-DE"/>
        </w:rPr>
        <w:t>Diskussionen so weit ausgeblendet, dass sie nicht einmal als Gruppe, sondern ihre Mitglieder lediglich als teilweise illegalisierte Einzelne wahrgenommen werden.</w:t>
      </w:r>
    </w:p>
    <w:p w14:paraId="6BC157E7" w14:textId="77777777" w:rsidR="00067874" w:rsidRPr="00FB4EFA" w:rsidRDefault="00067874" w:rsidP="00402EF4">
      <w:pPr>
        <w:ind w:firstLine="709"/>
        <w:rPr>
          <w:lang w:val="de-DE"/>
        </w:rPr>
      </w:pPr>
      <w:r w:rsidRPr="00FB4EFA">
        <w:rPr>
          <w:lang w:val="de-DE"/>
        </w:rPr>
        <w:lastRenderedPageBreak/>
        <w:t>Im deutschen Sprachraum herrscht eine größere Sensibilität. Die Themen von migrantischen und nationalen Minderheiten sind aber beispielsweise in Österreich traditionell so stark polarisierte Diskussionsbereiche, dass in der öffentlichen Diskussion wissenschaftlich adäquat zu bezeichnende Kategorien und Argumente kaum durchkommen.</w:t>
      </w:r>
    </w:p>
    <w:p w14:paraId="735635F8" w14:textId="2A1F5207" w:rsidR="00067874" w:rsidRPr="00FB4EFA" w:rsidRDefault="00067874" w:rsidP="00402EF4">
      <w:pPr>
        <w:ind w:firstLine="709"/>
        <w:rPr>
          <w:lang w:val="de-DE"/>
        </w:rPr>
      </w:pPr>
      <w:r w:rsidRPr="00FB4EFA">
        <w:rPr>
          <w:lang w:val="de-DE"/>
        </w:rPr>
        <w:t xml:space="preserve">Im englischen Sprachraum findet sich im Vergleich dazu ein deutlich größerer Differenzierungsgrad. So wird hier etwa zwischen freiwilligen und unfreiwilligen Minderheiten (voluntary und involuntary </w:t>
      </w:r>
      <w:r w:rsidR="001E18A8" w:rsidRPr="00FB4EFA">
        <w:rPr>
          <w:lang w:val="de-DE"/>
        </w:rPr>
        <w:br/>
      </w:r>
      <w:r w:rsidRPr="00FB4EFA">
        <w:rPr>
          <w:lang w:val="de-DE"/>
        </w:rPr>
        <w:t>minorities) unterschieden. Zu ersteren wären die sogenannten Wirtschaftsmigranten zu zählen, die deshalb einwandern oder – da eine Minderheit auch ohne Migration entstehen kann – für eine Verschiebung von Staatsgrenzen eintreten, weil sie sich Vorteile in den Bereichen Wirtschaft, Bildung, politische Rechte erwarten. Zu den unfreiwilligen Minderheiten zählen jene, die sich – wie etwa im Falle des nach dem Ersten Weltkrieg entstandenen Burgenlandes – durch eine neue Grenzziehung jedoch gegen ihren Willen unter neuen Mehrheitsverhältnissen befindet, oder die Gruppe jener, die – wie im Falle der Migration – von Flüchtlingen gebildet wird, die ihre Heimat unfreiwillig verlassen, weil sie dort entweder verfolgt oder von dort ausgestoßen werden.</w:t>
      </w:r>
    </w:p>
    <w:p w14:paraId="4D617171" w14:textId="77777777" w:rsidR="00067874" w:rsidRPr="00FB4EFA" w:rsidRDefault="00067874" w:rsidP="00402EF4">
      <w:pPr>
        <w:ind w:firstLine="709"/>
        <w:rPr>
          <w:lang w:val="de-DE"/>
        </w:rPr>
      </w:pPr>
      <w:r w:rsidRPr="00FB4EFA">
        <w:rPr>
          <w:lang w:val="de-DE"/>
        </w:rPr>
        <w:t xml:space="preserve">Was die zeitgenössische Definition von Minderheit betrifft, ist nicht allein </w:t>
      </w:r>
      <w:r w:rsidRPr="00FB4EFA">
        <w:t xml:space="preserve">diese </w:t>
      </w:r>
      <w:r w:rsidRPr="00FB4EFA">
        <w:rPr>
          <w:lang w:val="de-DE"/>
        </w:rPr>
        <w:t>Differenzierung auschlaggebend, sondern auch die Frage, ob eine Minderheit – oft zusammen mit sich mit ihr Solidarisierenden – für ihre Minderheitenrechte, also gegen Diskriminierung, für Anerkennung und aktive politische, finanzielle, gesundheitliche, bildungspolitische Unterstützung, öffentlich eintritt. Ob also Mitglieder einer Minderheit sich in Vereinen organisieren, ob sie aus der Minderheit selbst kommende Interessenvertretungen hervorbringen, ob sie die Chancen ergreifen, sich medial positiv darzustellen, aber auch ob sie durch eigene Medien, durch politische Demonstrationen, durch politische Repräsentanten am Gesellschaftsleben teilnehmen.</w:t>
      </w:r>
    </w:p>
    <w:p w14:paraId="2E49C9C1" w14:textId="77777777" w:rsidR="00067874" w:rsidRPr="00FB4EFA" w:rsidRDefault="00067874" w:rsidP="00402EF4">
      <w:pPr>
        <w:ind w:firstLine="709"/>
        <w:rPr>
          <w:lang w:val="de-DE"/>
        </w:rPr>
      </w:pPr>
      <w:r w:rsidRPr="00FB4EFA">
        <w:rPr>
          <w:lang w:val="de-DE"/>
        </w:rPr>
        <w:t>Bezogen auf den Begriff Minderheit ist außerdem folgende Erkenntnis von Relevanz: Betrachtet man die Gesellschaft etwas genauer, wird klar, dass sie aus einer Vielzahl von Minderheiten besteht. Selbst die in Österreich als Mehrheit wahrgenommene Gruppe (bestehend aus männlichen Personen mit deutscher Umgangssprache, die ethnisch österreichisch, heterosexuell, katholisch, im erwerbsfähigen Alter, weder geis</w:t>
      </w:r>
      <w:r w:rsidRPr="00FB4EFA">
        <w:rPr>
          <w:lang w:val="de-DE"/>
        </w:rPr>
        <w:lastRenderedPageBreak/>
        <w:t>tig noch körperlich oder sozial benachteiligt etc. sind) bildet nur eine Minderheit</w:t>
      </w:r>
      <w:r w:rsidRPr="00FB4EFA">
        <w:t xml:space="preserve"> von vielen.</w:t>
      </w:r>
    </w:p>
    <w:p w14:paraId="5FCDB273" w14:textId="77777777" w:rsidR="00067874" w:rsidRPr="00FB4EFA" w:rsidRDefault="00067874" w:rsidP="00545033">
      <w:pPr>
        <w:pStyle w:val="Heading2"/>
        <w:suppressAutoHyphens/>
        <w:spacing w:line="259" w:lineRule="auto"/>
        <w:rPr>
          <w:color w:val="auto"/>
          <w:lang w:val="de-AT"/>
        </w:rPr>
      </w:pPr>
      <w:r w:rsidRPr="00FB4EFA">
        <w:rPr>
          <w:color w:val="auto"/>
          <w:lang w:val="de-AT"/>
        </w:rPr>
        <w:t>Burgenland</w:t>
      </w:r>
    </w:p>
    <w:p w14:paraId="7143CE99" w14:textId="04E48802" w:rsidR="00067874" w:rsidRPr="00FB4EFA" w:rsidRDefault="00067874" w:rsidP="00402EF4">
      <w:pPr>
        <w:rPr>
          <w:lang w:val="de-DE"/>
        </w:rPr>
      </w:pPr>
      <w:r w:rsidRPr="00FB4EFA">
        <w:rPr>
          <w:lang w:val="de-DE"/>
        </w:rPr>
        <w:t>Das Burgenland ist bekanntlich seit 1921 ein österreichisches Bundesland. Dieses Gebiet kann allerdings in seiner Struktur, seinen Grenzen, seinem Werden erst dann erfasst werden, wenn es als Teil einer größeren historischen Region, nämlich von Westungarn angesehen wird, zu dem die Region bis 1921 auch politisch gehörte. Die Unmöglichkeit, den Kulturraum „Burgenland</w:t>
      </w:r>
      <w:r w:rsidR="00D7279E" w:rsidRPr="00FB4EFA">
        <w:rPr>
          <w:lang w:val="de-DE"/>
        </w:rPr>
        <w:t>“</w:t>
      </w:r>
      <w:r w:rsidRPr="00FB4EFA">
        <w:rPr>
          <w:lang w:val="de-DE"/>
        </w:rPr>
        <w:t xml:space="preserve"> zu bestimmen – und somit die relevanten wirkenden Faktoren zu benennen, in Betracht zu ziehen, zu analysieren – gründet sich darin, dass es in der Diskussion um das Burgenland mehrere einander ausschließende Perspektiven gibt. Einerseits lässt sich das Burgenland als ein seit 1921 existierendes österreichisches Bundesland betrachten. Was vor 1921 war, wird dabei auf die Aspekte reduziert, die für die österreichische Geschichte und Kultur seit 1921 relevant erachtet werden. Andererseits ist der Anschluss von Teilen von drei westungarischen Komitaten an Österreich 1921 ein Bruch in einer jahrhundertelangen Geschichte, die das Werden dieses Raumes bis 1921 – und punktuell auch später – erklärt.</w:t>
      </w:r>
    </w:p>
    <w:p w14:paraId="5159C834" w14:textId="2BBD94AF" w:rsidR="00067874" w:rsidRPr="00FB4EFA" w:rsidRDefault="00067874" w:rsidP="00402EF4">
      <w:pPr>
        <w:ind w:firstLine="709"/>
        <w:rPr>
          <w:lang w:val="de-DE"/>
        </w:rPr>
      </w:pPr>
      <w:r w:rsidRPr="00FB4EFA">
        <w:rPr>
          <w:lang w:val="de-DE"/>
        </w:rPr>
        <w:t>Was die nationalen Minderheiten betrifft, kann man in diesem Raum über</w:t>
      </w:r>
      <w:r w:rsidR="00F33168" w:rsidRPr="00FB4EFA">
        <w:rPr>
          <w:lang w:val="de-DE"/>
        </w:rPr>
        <w:t xml:space="preserve"> die Minderheiten der</w:t>
      </w:r>
      <w:r w:rsidRPr="00FB4EFA">
        <w:rPr>
          <w:lang w:val="de-DE"/>
        </w:rPr>
        <w:t xml:space="preserve"> </w:t>
      </w:r>
      <w:r w:rsidR="00F33168" w:rsidRPr="00FB4EFA">
        <w:rPr>
          <w:lang w:val="de-DE"/>
        </w:rPr>
        <w:t>R</w:t>
      </w:r>
      <w:r w:rsidRPr="00FB4EFA">
        <w:rPr>
          <w:lang w:val="de-DE"/>
        </w:rPr>
        <w:t>oma</w:t>
      </w:r>
      <w:r w:rsidR="007B58E7" w:rsidRPr="00FB4EFA">
        <w:rPr>
          <w:lang w:val="de-DE"/>
        </w:rPr>
        <w:t xml:space="preserve">, der Juden, der Ungarn, der Kroaten, der Slowaken und der Deutschen </w:t>
      </w:r>
      <w:r w:rsidRPr="00FB4EFA">
        <w:rPr>
          <w:lang w:val="de-DE"/>
        </w:rPr>
        <w:t>sprechen.</w:t>
      </w:r>
      <w:r w:rsidRPr="00FB4EFA">
        <w:rPr>
          <w:vertAlign w:val="superscript"/>
          <w:lang w:val="de-DE"/>
        </w:rPr>
        <w:footnoteReference w:id="178"/>
      </w:r>
      <w:r w:rsidRPr="00FB4EFA">
        <w:rPr>
          <w:lang w:val="de-DE"/>
        </w:rPr>
        <w:t xml:space="preserve"> Dass diese Kategorien relativ sind, zeigt dieser geografische Bereich deutlich: </w:t>
      </w:r>
      <w:r w:rsidR="00A67AF8" w:rsidRPr="00FB4EFA">
        <w:rPr>
          <w:lang w:val="de-DE"/>
        </w:rPr>
        <w:t>D</w:t>
      </w:r>
      <w:r w:rsidRPr="00FB4EFA">
        <w:rPr>
          <w:lang w:val="de-DE"/>
        </w:rPr>
        <w:t xml:space="preserve">ie Ungarn sind in Österreich eine Minderheit, in Ungarn die Mehrheit, genauso wie die Deutschen in Ungarn eine Minderheit sind, aber die Deutschen in Österreich eine Mehrheit. </w:t>
      </w:r>
      <w:r w:rsidR="00F33168" w:rsidRPr="00FB4EFA">
        <w:rPr>
          <w:lang w:val="de-DE"/>
        </w:rPr>
        <w:t>Wichtig hierbei ist</w:t>
      </w:r>
      <w:r w:rsidRPr="00FB4EFA">
        <w:rPr>
          <w:lang w:val="de-DE"/>
        </w:rPr>
        <w:t xml:space="preserve">, dass die Roma nicht nur sowohl in Ungarn als auch in Österreich eine Minderheit, sondern in keinem einzigen Land der Welt eine Mehrheit sind, was auch für ihren jeweiligen Minderheitenstatus bestimmend ist. Es ist ebenfalls wichtig zu bemerken, </w:t>
      </w:r>
      <w:r w:rsidRPr="00FB4EFA">
        <w:rPr>
          <w:lang w:val="de-DE"/>
        </w:rPr>
        <w:lastRenderedPageBreak/>
        <w:t>dass der Ausdruck „</w:t>
      </w:r>
      <w:r w:rsidR="00A67AF8" w:rsidRPr="00FB4EFA">
        <w:rPr>
          <w:lang w:val="de-DE"/>
        </w:rPr>
        <w:t>d</w:t>
      </w:r>
      <w:r w:rsidRPr="00FB4EFA">
        <w:rPr>
          <w:lang w:val="de-DE"/>
        </w:rPr>
        <w:t xml:space="preserve">eutsch“ hier mehrdeutig ist. Was die deutsche Minderheit und Mehrheit betrifft, ist es daher wesentlich, dass hier zwischen Deutschen und Österreichern unterschieden werden muss, wobei die Trennung zwischen nationaler </w:t>
      </w:r>
      <w:r w:rsidRPr="00FB4EFA">
        <w:t>Minderheit und Mehrheit</w:t>
      </w:r>
      <w:r w:rsidRPr="00FB4EFA">
        <w:rPr>
          <w:lang w:val="de-DE"/>
        </w:rPr>
        <w:t xml:space="preserve"> und sprachlicher</w:t>
      </w:r>
      <w:r w:rsidRPr="00FB4EFA">
        <w:t xml:space="preserve"> Minderheit und Mehrheit</w:t>
      </w:r>
      <w:r w:rsidRPr="00FB4EFA">
        <w:rPr>
          <w:lang w:val="de-DE"/>
        </w:rPr>
        <w:t xml:space="preserve"> eine wissenschaftliche Herausforderung ist.</w:t>
      </w:r>
    </w:p>
    <w:p w14:paraId="7C626035" w14:textId="4FF13185" w:rsidR="00067874" w:rsidRPr="00FB4EFA" w:rsidRDefault="00067874" w:rsidP="00AF0CAD">
      <w:pPr>
        <w:ind w:firstLine="709"/>
        <w:rPr>
          <w:lang w:val="de-DE"/>
        </w:rPr>
      </w:pPr>
      <w:r w:rsidRPr="00FB4EFA">
        <w:rPr>
          <w:lang w:val="de-DE"/>
        </w:rPr>
        <w:t>In Ungarn gibt es seit der Entstehung des Landes Ende des 9. Jahrhunderts eine deutsche Minderheit. Bezogen auf den Raum Westungarn ist eine wesentliche Änderung mit der Entstehung des Burgenlandes nach dem Ersten Weltkrieg eingetreten. Der Großteil der deutschen Minderheit dort wurde nun Teil der österreichischen Mehrheit. Die Beschaffenheit dieser dabei entstandenen, nun burgenländischen</w:t>
      </w:r>
      <w:r w:rsidR="00A67AF8" w:rsidRPr="00FB4EFA">
        <w:rPr>
          <w:lang w:val="de-DE"/>
        </w:rPr>
        <w:t>,</w:t>
      </w:r>
      <w:r w:rsidRPr="00FB4EFA">
        <w:rPr>
          <w:lang w:val="de-DE"/>
        </w:rPr>
        <w:t xml:space="preserve"> Mehrheit war allerdings durch die Entwicklungen der vorigen Jahrhunderte bestimmt, und sie war daher heterogen. Es waren aus den österreichischen Erbländern hergezogene Personen genauso dabei wie deutschsprachige </w:t>
      </w:r>
      <w:r w:rsidR="001E18A8" w:rsidRPr="00FB4EFA">
        <w:rPr>
          <w:lang w:val="de-DE"/>
        </w:rPr>
        <w:br/>
      </w:r>
      <w:r w:rsidRPr="00FB4EFA">
        <w:rPr>
          <w:lang w:val="de-DE"/>
        </w:rPr>
        <w:t xml:space="preserve">Kroaten, Ungarn oder Juden, es waren Nachkommen von national gemischten Familien – in denen eine eindeutige ethnische Zuordnung nicht möglich ist – und es waren sogenannte Schwaben und sogenannte Sachsen, die also deutschsprachig, aber nicht österreichisch im Sinne von aus den österreichischen Erbländern stammende Deutschsprachige waren. Diese nationale Uneindeutigkeit blieb im weiteren Verlauf des 20. Jahrhunderts relevant, so etwa, als nach dem Zweiten Weltkrieg Teile der deutschen Minderheit aus Ungarn vertrieben wurden. Nur wenige dieser Vertriebenen ließen sich im Burgenland nieder. Vom Burgenland aus wurde die Angelegenheit aber für die eigenen Zwecke instrumentalisiert. </w:t>
      </w:r>
      <w:r w:rsidRPr="00FB4EFA">
        <w:rPr>
          <w:rFonts w:cs="Calibri (Textkörper)"/>
          <w:lang w:val="de-DE"/>
        </w:rPr>
        <w:t>So</w:t>
      </w:r>
      <w:r w:rsidRPr="00FB4EFA">
        <w:rPr>
          <w:lang w:val="de-DE"/>
        </w:rPr>
        <w:t xml:space="preserve"> wurde die Zeitschrift </w:t>
      </w:r>
      <w:r w:rsidRPr="00FB4EFA">
        <w:rPr>
          <w:i/>
          <w:lang w:val="de-DE"/>
        </w:rPr>
        <w:t>Burgenländisches Leben</w:t>
      </w:r>
      <w:r w:rsidRPr="00FB4EFA">
        <w:rPr>
          <w:lang w:val="de-DE"/>
        </w:rPr>
        <w:t xml:space="preserve"> ab 1950 durch den </w:t>
      </w:r>
      <w:r w:rsidR="001E18A8" w:rsidRPr="00FB4EFA">
        <w:rPr>
          <w:lang w:val="de-DE"/>
        </w:rPr>
        <w:br/>
      </w:r>
      <w:r w:rsidRPr="00FB4EFA">
        <w:rPr>
          <w:lang w:val="de-DE"/>
        </w:rPr>
        <w:t xml:space="preserve">Österreichischen Burgenlandbund herausgegeben, der entstanden </w:t>
      </w:r>
      <w:r w:rsidR="00A67AF8" w:rsidRPr="00FB4EFA">
        <w:rPr>
          <w:lang w:val="de-DE"/>
        </w:rPr>
        <w:t>war</w:t>
      </w:r>
      <w:r w:rsidRPr="00FB4EFA">
        <w:rPr>
          <w:lang w:val="de-DE"/>
        </w:rPr>
        <w:t xml:space="preserve">, um die 1946 von Ungarn ausgesiedelten Deutschen zu unterstützen. </w:t>
      </w:r>
      <w:r w:rsidRPr="00FB4EFA">
        <w:rPr>
          <w:rFonts w:cs="Calibri (Textkörper)"/>
          <w:lang w:val="de-DE"/>
        </w:rPr>
        <w:t>D</w:t>
      </w:r>
      <w:r w:rsidRPr="00FB4EFA">
        <w:rPr>
          <w:lang w:val="de-DE"/>
        </w:rPr>
        <w:t xml:space="preserve">as Heimholen der sogenannten Ostburgenländer wurde für den ersten </w:t>
      </w:r>
      <w:r w:rsidR="001E18A8" w:rsidRPr="00FB4EFA">
        <w:rPr>
          <w:lang w:val="de-DE"/>
        </w:rPr>
        <w:br/>
      </w:r>
      <w:r w:rsidRPr="00FB4EFA">
        <w:rPr>
          <w:lang w:val="de-DE"/>
        </w:rPr>
        <w:t xml:space="preserve">Landeshauptmann nach dem Zweiten Weltkrieg, Ludwig Leser, zum </w:t>
      </w:r>
      <w:r w:rsidR="001E18A8" w:rsidRPr="00FB4EFA">
        <w:rPr>
          <w:lang w:val="de-DE"/>
        </w:rPr>
        <w:br/>
      </w:r>
      <w:r w:rsidRPr="00FB4EFA">
        <w:rPr>
          <w:lang w:val="de-DE"/>
        </w:rPr>
        <w:t>politischen Programm.</w:t>
      </w:r>
    </w:p>
    <w:p w14:paraId="6511D1FB" w14:textId="77777777" w:rsidR="00067874" w:rsidRPr="00FB4EFA" w:rsidRDefault="00067874" w:rsidP="00545033">
      <w:pPr>
        <w:pStyle w:val="Heading2"/>
        <w:suppressAutoHyphens/>
        <w:spacing w:line="259" w:lineRule="auto"/>
        <w:rPr>
          <w:color w:val="auto"/>
          <w:lang w:val="de-AT"/>
        </w:rPr>
      </w:pPr>
      <w:r w:rsidRPr="00FB4EFA">
        <w:rPr>
          <w:color w:val="auto"/>
          <w:lang w:val="de-AT"/>
        </w:rPr>
        <w:t>Mora</w:t>
      </w:r>
    </w:p>
    <w:p w14:paraId="77B1666B" w14:textId="77777777" w:rsidR="00067874" w:rsidRPr="00FB4EFA" w:rsidRDefault="00067874" w:rsidP="00402EF4">
      <w:pPr>
        <w:rPr>
          <w:lang w:val="de-DE"/>
        </w:rPr>
      </w:pPr>
      <w:r w:rsidRPr="00FB4EFA">
        <w:rPr>
          <w:lang w:val="de-DE"/>
        </w:rPr>
        <w:t xml:space="preserve">Wissenschaftliche Objekte sind immer konstruiert. Auch Personen, die wissenschaftlich erfasst werden, werden bei diesem „Fassbar-Machen“ </w:t>
      </w:r>
      <w:r w:rsidRPr="00FB4EFA">
        <w:rPr>
          <w:lang w:val="de-DE"/>
        </w:rPr>
        <w:lastRenderedPageBreak/>
        <w:t xml:space="preserve">auf forschungsrelevante Aspekte reduziert. An diesem Konstruktionsprozess sind sowohl </w:t>
      </w:r>
      <w:r w:rsidRPr="00FB4EFA">
        <w:rPr>
          <w:rFonts w:cs="Calibri (Textkörper)"/>
          <w:lang w:val="de-DE"/>
        </w:rPr>
        <w:t>der Wissenschaftler</w:t>
      </w:r>
      <w:r w:rsidRPr="00FB4EFA">
        <w:rPr>
          <w:lang w:val="de-DE"/>
        </w:rPr>
        <w:t xml:space="preserve"> als auch die Person, die Gegenstand einer wissenschaftlichen Untersuchung wird, beteiligt. Ob Auskunftspersonen einer sprachwissenschaftlichen Erhebung oder </w:t>
      </w:r>
      <w:r w:rsidRPr="00FB4EFA">
        <w:rPr>
          <w:rFonts w:cs="Calibri (Textkörper)"/>
          <w:lang w:val="de-DE"/>
        </w:rPr>
        <w:t>Autoren</w:t>
      </w:r>
      <w:r w:rsidRPr="00FB4EFA">
        <w:rPr>
          <w:lang w:val="de-DE"/>
        </w:rPr>
        <w:t xml:space="preserve"> von literarischen Texten, wesentlicher Teil der wissenschaftlichen Arbeit ist, mit der Untersuchungssetzung ins Klare zu kommen, und zwar sowohl bei der Konzipierung des Untersuchungsvorganges als auch bei der Auswahl der Auskunftspersonen oder bei der Analyse des so gewonnenen empirischen Datenmaterials. Autoren von literarischen Texten sind auf eine noch komplexere Art konstruiert. Der reale Autor – wobei es auch um eine Autorengruppe oder um eine Gruppe bestehend aus </w:t>
      </w:r>
      <w:r w:rsidRPr="00FB4EFA">
        <w:rPr>
          <w:rFonts w:cs="Calibri (Textkörper)"/>
          <w:lang w:val="de-DE"/>
        </w:rPr>
        <w:t>Schriftstellern und Lektoren</w:t>
      </w:r>
      <w:r w:rsidRPr="00FB4EFA">
        <w:rPr>
          <w:lang w:val="de-DE"/>
        </w:rPr>
        <w:t xml:space="preserve"> gehen kann – entwirft mit seinem literarischen Text auch einen fiktiven Autor mit. Falls der literarische Text autobiographische Bezüge enthält, ist es eine literaturwissenschaftlich relevante Aufgabe, das Verhältnis zwischen „Autor“ und autobiographischer Figur zu berücksichtigen. Falls ein Autor zu seinen Texten auch „außerliterarisch“ – in Form von Interviews, Kommentaren, sog. poetologischen Texten oder anderen Arten von Sachtexten – Stellung bezieht, wird auch so eine Figur konstruiert, die das bisherige ergänzt. Verlage sind bemüht, ihren Autoren eine möglichst markttaugliche Identität zu geben. Kritik, Publikum und Literaturwissenschaft fühlen sich berufen, weitere Quellen über einen Autor zu eröffnen, auch indem der reale Autor kontaktiert wird und die Erfahrungen aus der Kontaktaufnahme in die Literaturkritik oder wissenschaftliche Abhandlung Eingang finden. Dabei finden unvermeidlich Verkürzungen, Hervorhebungen, Akzentuierungen, Interpretationen, Übersetzungen in andere Codes – von privaten in öffentliche, von vorwissenschaftlichen in wissenschaftliche – statt. Erweckt ein Autor langfristig Interesse, können sich diese Annäherungsweisen zyklisch wiederholen.</w:t>
      </w:r>
    </w:p>
    <w:p w14:paraId="6BB307B6" w14:textId="77777777" w:rsidR="00067874" w:rsidRPr="00FB4EFA" w:rsidRDefault="00067874" w:rsidP="00402EF4">
      <w:pPr>
        <w:ind w:firstLine="709"/>
        <w:rPr>
          <w:lang w:val="de-DE"/>
        </w:rPr>
      </w:pPr>
      <w:r w:rsidRPr="00FB4EFA">
        <w:rPr>
          <w:lang w:val="de-DE"/>
        </w:rPr>
        <w:t>Ein Beispiel für die Konstruktion von literarischen Figuren ist „Terézia Mora“. Die Autorin wird sichtbar sowohl in Erzählungen, in denen zahlreiche Figuren autobiographisch motiviert sind, als auch aufgrund von autobiographischen Texten in Poetikvorlesungen und Interviews. Hier geht es also um die Figur Terézia Mora, wie sie in Texten – verschriftlichten Interviews etc. – erscheint.</w:t>
      </w:r>
    </w:p>
    <w:p w14:paraId="4E3BC03C" w14:textId="77777777" w:rsidR="00067874" w:rsidRPr="00FB4EFA" w:rsidRDefault="00067874" w:rsidP="00AF0CAD">
      <w:pPr>
        <w:ind w:firstLine="709"/>
        <w:rPr>
          <w:lang w:val="de-DE"/>
        </w:rPr>
      </w:pPr>
      <w:r w:rsidRPr="00FB4EFA">
        <w:rPr>
          <w:lang w:val="de-DE"/>
        </w:rPr>
        <w:t xml:space="preserve">Mora entwarf sich Ende der 1990er Jahre als junge Autorin, die sich in Berlin etabliert, eine exotische Vergangenheit hat, Terézia Mora </w:t>
      </w:r>
      <w:r w:rsidRPr="00FB4EFA">
        <w:rPr>
          <w:lang w:val="de-DE"/>
        </w:rPr>
        <w:lastRenderedPageBreak/>
        <w:t xml:space="preserve">heißt, der Dystopie des Ostblocks entkommen ist und sich ihrer Vergangenheit stellt: mit geheimem Text, Kindheitsperspektive, Studium der Hungarologie und Erfahrungen im Drehbuchschreiben. Ihre ersten Texte </w:t>
      </w:r>
      <w:r w:rsidRPr="00FB4EFA">
        <w:rPr>
          <w:i/>
          <w:lang w:val="de-DE"/>
        </w:rPr>
        <w:t>Durst</w:t>
      </w:r>
      <w:r w:rsidRPr="00FB4EFA">
        <w:rPr>
          <w:lang w:val="de-DE"/>
        </w:rPr>
        <w:t xml:space="preserve"> und </w:t>
      </w:r>
      <w:r w:rsidRPr="00FB4EFA">
        <w:rPr>
          <w:i/>
          <w:lang w:val="de-DE"/>
        </w:rPr>
        <w:t>Der Fall</w:t>
      </w:r>
      <w:r w:rsidRPr="00FB4EFA">
        <w:rPr>
          <w:lang w:val="de-DE"/>
        </w:rPr>
        <w:t xml:space="preserve"> </w:t>
      </w:r>
      <w:r w:rsidRPr="00FB4EFA">
        <w:rPr>
          <w:i/>
          <w:lang w:val="de-DE"/>
        </w:rPr>
        <w:t>Ophelia</w:t>
      </w:r>
      <w:r w:rsidRPr="00FB4EFA">
        <w:rPr>
          <w:lang w:val="de-DE"/>
        </w:rPr>
        <w:t xml:space="preserve"> haben ihr diesen Ruf eingebracht. Parallel dazu baute sie eine Karriere als Übersetzerin auf.</w:t>
      </w:r>
    </w:p>
    <w:p w14:paraId="654AA605" w14:textId="34B3DA7E" w:rsidR="00067874" w:rsidRPr="00FB4EFA" w:rsidRDefault="00067874" w:rsidP="00AF0CAD">
      <w:pPr>
        <w:spacing w:after="240"/>
        <w:ind w:firstLine="709"/>
        <w:rPr>
          <w:lang w:val="de-DE"/>
        </w:rPr>
      </w:pPr>
      <w:r w:rsidRPr="00FB4EFA">
        <w:rPr>
          <w:lang w:val="de-DE"/>
        </w:rPr>
        <w:t xml:space="preserve">Die </w:t>
      </w:r>
      <w:r w:rsidRPr="00FB4EFA">
        <w:rPr>
          <w:rFonts w:cs="Calibri (Textkörper)"/>
          <w:lang w:val="de-DE"/>
        </w:rPr>
        <w:t>erfolgstechnisch</w:t>
      </w:r>
      <w:r w:rsidRPr="00FB4EFA">
        <w:rPr>
          <w:lang w:val="de-DE"/>
        </w:rPr>
        <w:t xml:space="preserve"> entscheidenden Jahre für Mora waren 1997 und 1999. 1997 nahm sie kurzentschlossen mit ihrem ersten Prosatext </w:t>
      </w:r>
      <w:r w:rsidRPr="00FB4EFA">
        <w:rPr>
          <w:i/>
          <w:lang w:val="de-DE"/>
        </w:rPr>
        <w:t>Durst</w:t>
      </w:r>
      <w:r w:rsidRPr="00FB4EFA">
        <w:rPr>
          <w:lang w:val="de-DE"/>
        </w:rPr>
        <w:t xml:space="preserve"> an einem literarischen Wettbewerb teil, den sie gewann, und bei dem sie vor allem einen Lektor des Rowohlt</w:t>
      </w:r>
      <w:r w:rsidR="00364177" w:rsidRPr="00FB4EFA">
        <w:rPr>
          <w:lang w:val="de-DE"/>
        </w:rPr>
        <w:t>-</w:t>
      </w:r>
      <w:r w:rsidRPr="00FB4EFA">
        <w:rPr>
          <w:lang w:val="de-DE"/>
        </w:rPr>
        <w:t xml:space="preserve">Verlags kennenlernte. Sie wurde für zehn ähnliche Texte unter Vertrag genommen. So entstanden die Erzählungen der 1999 publizierten Sammlung </w:t>
      </w:r>
      <w:r w:rsidRPr="00FB4EFA">
        <w:rPr>
          <w:i/>
          <w:lang w:val="de-DE"/>
        </w:rPr>
        <w:t>Seltsame Materie</w:t>
      </w:r>
      <w:r w:rsidRPr="00FB4EFA">
        <w:rPr>
          <w:lang w:val="de-DE"/>
        </w:rPr>
        <w:t>:</w:t>
      </w:r>
    </w:p>
    <w:p w14:paraId="7BD0010E" w14:textId="3AA82E22" w:rsidR="00067874" w:rsidRPr="00FB4EFA" w:rsidRDefault="00067874" w:rsidP="002A3BC9">
      <w:pPr>
        <w:suppressAutoHyphens/>
        <w:spacing w:line="240" w:lineRule="auto"/>
        <w:ind w:left="720" w:right="748"/>
        <w:rPr>
          <w:rFonts w:cstheme="minorHAnsi"/>
          <w:sz w:val="20"/>
          <w:szCs w:val="20"/>
        </w:rPr>
      </w:pPr>
      <w:r w:rsidRPr="00FB4EFA">
        <w:rPr>
          <w:rFonts w:cstheme="minorHAnsi"/>
          <w:sz w:val="20"/>
          <w:szCs w:val="20"/>
        </w:rPr>
        <w:t>[…] damals, 1997. Im Herbst […] als Terézia Mora zum ersten Mal öffentlich las. Sie hieß damals noch Terézia Kriedemann […]. Lektoren und Agenten drängten sich nach ihrer Lesung ins Gespräch mit ihr, aber ein Lektor des Rowohlt-Verlags wich wie ein Eiskunstlauftrainer nach der Kür nicht von ihrer Seite und flüsterte, als sie schließlich den Preis gewann: „Hab</w:t>
      </w:r>
      <w:r w:rsidR="007C5960" w:rsidRPr="00FB4EFA">
        <w:rPr>
          <w:rFonts w:cstheme="minorHAnsi"/>
          <w:sz w:val="20"/>
          <w:szCs w:val="20"/>
        </w:rPr>
        <w:t>‘</w:t>
      </w:r>
      <w:r w:rsidRPr="00FB4EFA">
        <w:rPr>
          <w:rFonts w:cstheme="minorHAnsi"/>
          <w:sz w:val="20"/>
          <w:szCs w:val="20"/>
        </w:rPr>
        <w:t xml:space="preserve"> ich</w:t>
      </w:r>
      <w:r w:rsidR="007C5960" w:rsidRPr="00FB4EFA">
        <w:rPr>
          <w:rFonts w:cstheme="minorHAnsi"/>
          <w:sz w:val="20"/>
          <w:szCs w:val="20"/>
        </w:rPr>
        <w:t>‘</w:t>
      </w:r>
      <w:r w:rsidRPr="00FB4EFA">
        <w:rPr>
          <w:rFonts w:cstheme="minorHAnsi"/>
          <w:sz w:val="20"/>
          <w:szCs w:val="20"/>
        </w:rPr>
        <w:t>s dir nicht gesagt“, und gab ihr, obwohl es damals nur diese eine Erzählung gab, einen Vertrag.</w:t>
      </w:r>
      <w:r w:rsidRPr="00FB4EFA">
        <w:rPr>
          <w:rFonts w:cstheme="minorHAnsi"/>
          <w:sz w:val="20"/>
          <w:szCs w:val="20"/>
          <w:vertAlign w:val="superscript"/>
        </w:rPr>
        <w:footnoteReference w:id="179"/>
      </w:r>
    </w:p>
    <w:p w14:paraId="75C55DDC" w14:textId="77777777" w:rsidR="00067874" w:rsidRPr="00FB4EFA" w:rsidRDefault="00067874" w:rsidP="00AF0CAD">
      <w:pPr>
        <w:spacing w:before="240" w:after="240"/>
        <w:rPr>
          <w:lang w:val="de-DE"/>
        </w:rPr>
      </w:pPr>
      <w:r w:rsidRPr="00FB4EFA">
        <w:rPr>
          <w:lang w:val="de-DE"/>
        </w:rPr>
        <w:t xml:space="preserve">Das Buch erschien im Oktober, als gerade die Frankfurter Buchmesse stattfand, und zwar mit Ungarn als Schwerpunktland. Bei jeder Besprechung des Bandes wurde erwähnt, dass eine weitere Erzählung daraus, </w:t>
      </w:r>
      <w:r w:rsidRPr="00FB4EFA">
        <w:rPr>
          <w:i/>
          <w:lang w:val="de-DE"/>
        </w:rPr>
        <w:t>Der Fall Ophelia</w:t>
      </w:r>
      <w:r w:rsidRPr="00FB4EFA">
        <w:rPr>
          <w:lang w:val="de-DE"/>
        </w:rPr>
        <w:t>, im Juni des Jahres den Klagenfurter Ingeborg-Bachmann-Preis gewonnen hatte. Entscheidend dabei war, dass Mora deutsch schrieb, also einen direkten Zugang zum Gastland eröffnete, für den die Übersetzung aus einer exotischen Sprache nicht notwendig war, und damit eine authentische Binnensicht der dortigen deutschsprachigen Minderheit vermittelte. Was das bedeutet wurde an ihrem Beispiel mehrfach formuliert.</w:t>
      </w:r>
    </w:p>
    <w:p w14:paraId="2FAEB0CB" w14:textId="77777777" w:rsidR="00067874" w:rsidRPr="00FB4EFA" w:rsidRDefault="00067874" w:rsidP="001E18A8">
      <w:pPr>
        <w:keepLines/>
        <w:suppressAutoHyphens/>
        <w:spacing w:line="240" w:lineRule="auto"/>
        <w:ind w:left="720" w:right="476"/>
        <w:rPr>
          <w:rFonts w:cstheme="minorHAnsi"/>
          <w:sz w:val="20"/>
          <w:szCs w:val="20"/>
          <w:lang w:val="de-DE"/>
        </w:rPr>
      </w:pPr>
      <w:r w:rsidRPr="00FB4EFA">
        <w:rPr>
          <w:rFonts w:cstheme="minorHAnsi"/>
          <w:sz w:val="20"/>
          <w:szCs w:val="20"/>
          <w:lang w:val="de-DE"/>
        </w:rPr>
        <w:lastRenderedPageBreak/>
        <w:t>Wie aber kommt eine Ungarin dazu, auf Deutsch zu schreiben? Als sie begann, Prosa zu verfassen, habe sie der ganze Zitatenmüll ihrer ungarischen Schulzeit daran gehindert, eine eigene Sprache zu finden, erklärt Mora. Diese habe sie sich erst im Deutschen, ihrer zweiten Muttersprache, erarbeiten können. Ein „exterritorialer Zustand“ sei das. Der aber erlaube es ihr, das zu machen, was sie wolle.</w:t>
      </w:r>
      <w:r w:rsidRPr="00FB4EFA">
        <w:rPr>
          <w:rFonts w:cstheme="minorHAnsi"/>
          <w:sz w:val="20"/>
          <w:szCs w:val="20"/>
          <w:vertAlign w:val="superscript"/>
          <w:lang w:val="de-DE"/>
        </w:rPr>
        <w:footnoteReference w:id="180"/>
      </w:r>
    </w:p>
    <w:p w14:paraId="5BC11690" w14:textId="77777777" w:rsidR="00067874" w:rsidRPr="00FB4EFA" w:rsidRDefault="00067874" w:rsidP="00AF0CAD">
      <w:pPr>
        <w:spacing w:before="240" w:after="240"/>
        <w:rPr>
          <w:lang w:val="de-DE"/>
        </w:rPr>
      </w:pPr>
      <w:r w:rsidRPr="00FB4EFA">
        <w:rPr>
          <w:lang w:val="de-DE"/>
        </w:rPr>
        <w:t xml:space="preserve">Eine andere Formulierung findet sich in einer zwei Jahre später erschienenen Besprechung von </w:t>
      </w:r>
      <w:r w:rsidRPr="00FB4EFA">
        <w:rPr>
          <w:i/>
          <w:lang w:val="de-DE"/>
        </w:rPr>
        <w:t>Seltsame Materie</w:t>
      </w:r>
      <w:r w:rsidRPr="00FB4EFA">
        <w:rPr>
          <w:iCs/>
          <w:lang w:val="de-DE"/>
        </w:rPr>
        <w:t>. Hier geht es nicht mehr um Zitatenmüll, sondern um einen Zitatenschatz</w:t>
      </w:r>
      <w:r w:rsidRPr="00FB4EFA">
        <w:rPr>
          <w:lang w:val="de-DE"/>
        </w:rPr>
        <w:t>:</w:t>
      </w:r>
    </w:p>
    <w:p w14:paraId="198B82B5" w14:textId="07ACFB47" w:rsidR="00067874" w:rsidRPr="00FB4EFA" w:rsidRDefault="00067874" w:rsidP="002A3BC9">
      <w:pPr>
        <w:suppressAutoHyphens/>
        <w:spacing w:line="240" w:lineRule="auto"/>
        <w:ind w:left="720" w:right="567"/>
        <w:rPr>
          <w:rFonts w:eastAsia="Times New Roman" w:cstheme="minorHAnsi"/>
          <w:sz w:val="20"/>
          <w:szCs w:val="20"/>
        </w:rPr>
      </w:pPr>
      <w:r w:rsidRPr="00FB4EFA">
        <w:rPr>
          <w:rFonts w:cstheme="minorHAnsi"/>
          <w:sz w:val="20"/>
          <w:szCs w:val="20"/>
          <w:lang w:val="de-DE"/>
        </w:rPr>
        <w:t xml:space="preserve">[…] </w:t>
      </w:r>
      <w:r w:rsidRPr="00FB4EFA">
        <w:rPr>
          <w:rFonts w:eastAsia="Times New Roman" w:cstheme="minorHAnsi"/>
          <w:sz w:val="20"/>
          <w:szCs w:val="20"/>
        </w:rPr>
        <w:t>soweit ich mich erinnern kann, war mein Leben von Zitaten überhäuft, und als ich auf ungarisch irgendwelche nie fertiggeschriebenen Texte aufschrieb, da habe ich all diese Zitate darin gespürt, und das hat mich gestört und ich mußte dann Deutsch tatsächlich als literarisch brauchbare Sprache entdecken und dann innerhalb dieser Sprache [</w:t>
      </w:r>
      <w:r w:rsidR="00950296" w:rsidRPr="00FB4EFA">
        <w:rPr>
          <w:rFonts w:eastAsia="Times New Roman" w:cstheme="minorHAnsi"/>
          <w:sz w:val="20"/>
          <w:szCs w:val="20"/>
        </w:rPr>
        <w:t>…</w:t>
      </w:r>
      <w:r w:rsidRPr="00FB4EFA">
        <w:rPr>
          <w:rFonts w:eastAsia="Times New Roman" w:cstheme="minorHAnsi"/>
          <w:sz w:val="20"/>
          <w:szCs w:val="20"/>
        </w:rPr>
        <w:t>] meine eigene; das schien mir im Deutschen leichter zu sein. Es war für mich zwar schwerer zu wissen, wo man das Komma hinsetzt, aber andererseits waren die Wörter für mich unverbrauchter. Ich fühlte mich als Ungarin, die in Deutsch schreibt, ein bißchen exterritorial und das habe ich eben jetzt als Chance begriffen. Ich sagte mir: So, jetzt bist Du offensichtlich weder ein Teil der ungarischen noch der deutschen Literatur, denn du bist eigentlich keine Deutsche, und das ist wundervoll, denn du kannst machen, was du willst.</w:t>
      </w:r>
      <w:r w:rsidRPr="00FB4EFA">
        <w:rPr>
          <w:rFonts w:eastAsia="Times New Roman" w:cstheme="minorHAnsi"/>
          <w:sz w:val="20"/>
          <w:szCs w:val="20"/>
          <w:vertAlign w:val="superscript"/>
        </w:rPr>
        <w:footnoteReference w:id="181"/>
      </w:r>
    </w:p>
    <w:p w14:paraId="18221EEA" w14:textId="77777777" w:rsidR="00067874" w:rsidRPr="00FB4EFA" w:rsidRDefault="00067874" w:rsidP="00AF0CAD">
      <w:pPr>
        <w:spacing w:before="240"/>
        <w:rPr>
          <w:lang w:val="de-DE"/>
        </w:rPr>
      </w:pPr>
      <w:r w:rsidRPr="00FB4EFA">
        <w:rPr>
          <w:lang w:val="de-DE"/>
        </w:rPr>
        <w:t xml:space="preserve">In ihrer Salzburger Poetikvorlesung </w:t>
      </w:r>
      <w:r w:rsidRPr="00FB4EFA">
        <w:rPr>
          <w:i/>
          <w:lang w:val="de-DE"/>
        </w:rPr>
        <w:t>Geheimer Text</w:t>
      </w:r>
      <w:r w:rsidRPr="00FB4EFA">
        <w:rPr>
          <w:lang w:val="de-DE"/>
        </w:rPr>
        <w:t xml:space="preserve"> schließlich geht es 2016 um Zitate, also um die Stellen aus der ungarischen Literatur, die für fast alle Leser undechiffrierbar, eben als geheimer Text, Eingang in ihre Literatur fand.</w:t>
      </w:r>
    </w:p>
    <w:p w14:paraId="7008C395" w14:textId="56938816" w:rsidR="00067874" w:rsidRPr="00FB4EFA" w:rsidRDefault="00067874" w:rsidP="00AF0CAD">
      <w:pPr>
        <w:spacing w:after="240"/>
        <w:ind w:firstLine="709"/>
        <w:rPr>
          <w:lang w:val="de-DE"/>
        </w:rPr>
      </w:pPr>
      <w:r w:rsidRPr="00FB4EFA">
        <w:rPr>
          <w:lang w:val="de-DE"/>
        </w:rPr>
        <w:t xml:space="preserve">In </w:t>
      </w:r>
      <w:r w:rsidRPr="00FB4EFA">
        <w:rPr>
          <w:i/>
          <w:lang w:val="de-DE"/>
        </w:rPr>
        <w:t>Geheimer Text</w:t>
      </w:r>
      <w:r w:rsidRPr="00FB4EFA">
        <w:rPr>
          <w:lang w:val="de-DE"/>
        </w:rPr>
        <w:t xml:space="preserve"> verrät Mora auch einiges davon, wie sie ihr </w:t>
      </w:r>
      <w:r w:rsidR="001E18A8" w:rsidRPr="00FB4EFA">
        <w:rPr>
          <w:lang w:val="de-DE"/>
        </w:rPr>
        <w:br/>
      </w:r>
      <w:r w:rsidRPr="00FB4EFA">
        <w:rPr>
          <w:lang w:val="de-DE"/>
        </w:rPr>
        <w:t>Minderheitendasein sieht:</w:t>
      </w:r>
    </w:p>
    <w:p w14:paraId="1B441D66" w14:textId="77777777" w:rsidR="00067874" w:rsidRPr="00FB4EFA" w:rsidRDefault="00067874" w:rsidP="002A3BC9">
      <w:pPr>
        <w:suppressAutoHyphens/>
        <w:spacing w:line="240" w:lineRule="auto"/>
        <w:ind w:left="720" w:right="567"/>
        <w:rPr>
          <w:rFonts w:cstheme="minorHAnsi"/>
          <w:sz w:val="20"/>
          <w:szCs w:val="20"/>
          <w:lang w:val="de-DE"/>
        </w:rPr>
      </w:pPr>
      <w:r w:rsidRPr="00FB4EFA">
        <w:rPr>
          <w:rFonts w:cstheme="minorHAnsi"/>
          <w:sz w:val="20"/>
          <w:szCs w:val="20"/>
          <w:lang w:val="de-DE"/>
        </w:rPr>
        <w:t xml:space="preserve">Was nun meine Familie anbelangt, waren wir mit Sicherheit die letzten 400 Jahre dabei. Mein Urgroßvater hieß mit Nachnamen Sumalowitsch, seine Vorfahren werden also, wie die Mehrheit der Burgenlandkroaten, während der Türkenkriege aus Dalmatien eingewandert sein. Da der Ort, in dem sie sich niederließen, zwar seit mindestens dem 12. Jahrhundert zur ungarischen Krone </w:t>
      </w:r>
      <w:r w:rsidRPr="00FB4EFA">
        <w:rPr>
          <w:rFonts w:cstheme="minorHAnsi"/>
          <w:sz w:val="20"/>
          <w:szCs w:val="20"/>
          <w:lang w:val="de-DE"/>
        </w:rPr>
        <w:lastRenderedPageBreak/>
        <w:t>gehörte, aber zu 90 % von Deutschsprachigen bewohnt war, assimilierten sie sich innerhalb von zwei Generationen und wurden ebenfalls deutschsprachig. Selbst als 1921 das Dorf endgültig zu Ungarn kam, blieb es deutschsprachig und hatte nur eine deutschsprachige Schule. Erst der Zweite Weltkrieg, die Vertreibung der deutschsprachigen Bevölkerung und die Errichtung des Eisernen Vorhangs haben dazu geführt, dass Mitte der 1950er Jahre meine Mutter als erste in der Familie ungarisch schon im Kindergartenalter erlernte. Die erste in der Familie, die es fehlerlos kann. Ich bin die zweite und eventuell letzte.</w:t>
      </w:r>
      <w:r w:rsidRPr="00FB4EFA">
        <w:rPr>
          <w:rFonts w:cstheme="minorHAnsi"/>
          <w:sz w:val="20"/>
          <w:szCs w:val="20"/>
          <w:vertAlign w:val="superscript"/>
          <w:lang w:val="de-DE"/>
        </w:rPr>
        <w:footnoteReference w:id="182"/>
      </w:r>
    </w:p>
    <w:p w14:paraId="1F2885AF" w14:textId="18E9454C" w:rsidR="00067874" w:rsidRPr="00FB4EFA" w:rsidRDefault="00067874" w:rsidP="00402EF4">
      <w:pPr>
        <w:spacing w:before="240"/>
        <w:rPr>
          <w:lang w:val="de-DE"/>
        </w:rPr>
      </w:pPr>
      <w:r w:rsidRPr="00FB4EFA">
        <w:rPr>
          <w:lang w:val="de-DE"/>
        </w:rPr>
        <w:t xml:space="preserve">Diese autobiographische Anmerkung enthält eine Reihe von diskussionswürdigen Behauptungen: </w:t>
      </w:r>
      <w:r w:rsidR="00220601" w:rsidRPr="00FB4EFA">
        <w:rPr>
          <w:lang w:val="de-DE"/>
        </w:rPr>
        <w:t>D</w:t>
      </w:r>
      <w:r w:rsidRPr="00FB4EFA">
        <w:rPr>
          <w:lang w:val="de-DE"/>
        </w:rPr>
        <w:t>er Ort, in dem die Familie Sumalowitsch sich niederließ, ist Fert</w:t>
      </w:r>
      <w:r w:rsidRPr="00FB4EFA">
        <w:rPr>
          <w:rFonts w:cs="Cambria"/>
          <w:lang w:val="de-DE"/>
        </w:rPr>
        <w:t>ő</w:t>
      </w:r>
      <w:r w:rsidRPr="00FB4EFA">
        <w:rPr>
          <w:lang w:val="de-DE"/>
        </w:rPr>
        <w:t xml:space="preserve">rákos, am Westufer des Neusiedlersees. Damals, als sie sich „vor 400 Jahren“, also 1616 dort niederließen, gehörte die Gegend zum Komitat Sopron und war somit in Ungarn. Da der mittlere Teil von Ungarn damals bereits seit beinahe einhundert Jahren osmanisch besetzt war, galt das Land als „dreigeteilt“. Die Mitte war Teil des Osmanischen Reiches, der westliche Streifen hieß Königreich Ungarn, hier herrschte König Mátyás II. von Habsburg, der zugleich auch jenseits der Grenze, im Heiligen Römischen Reich deutscher Nation, als Erzherzog, Kaiser etc. einiges an Macht besaß. In beiden Ländern fanden Binnenmigrationen statt. So migrierten zahlreiche Serben innerhalb des </w:t>
      </w:r>
      <w:r w:rsidR="001E18A8" w:rsidRPr="00FB4EFA">
        <w:rPr>
          <w:lang w:val="de-DE"/>
        </w:rPr>
        <w:br/>
      </w:r>
      <w:r w:rsidRPr="00FB4EFA">
        <w:rPr>
          <w:lang w:val="de-DE"/>
        </w:rPr>
        <w:t>Osmanischen Reichs von den Gebieten des vormaligen Königreichs Serbien in das Gebiet des vormaligen Königreichs Ungarn. Der Ort, in welchem Mora aufwuchs, war übrigens Pet</w:t>
      </w:r>
      <w:r w:rsidRPr="00FB4EFA">
        <w:rPr>
          <w:rFonts w:cs="Cambria"/>
          <w:lang w:val="de-DE"/>
        </w:rPr>
        <w:t>ő</w:t>
      </w:r>
      <w:r w:rsidRPr="00FB4EFA">
        <w:rPr>
          <w:lang w:val="de-DE"/>
        </w:rPr>
        <w:t>háza, ca. 30 km südostwärts, und nicht Fert</w:t>
      </w:r>
      <w:r w:rsidRPr="00FB4EFA">
        <w:rPr>
          <w:rFonts w:cs="Cambria"/>
          <w:lang w:val="de-DE"/>
        </w:rPr>
        <w:t>ő</w:t>
      </w:r>
      <w:r w:rsidRPr="00FB4EFA">
        <w:rPr>
          <w:lang w:val="de-DE"/>
        </w:rPr>
        <w:t>rákos. Pet</w:t>
      </w:r>
      <w:r w:rsidRPr="00FB4EFA">
        <w:rPr>
          <w:rFonts w:cs="Cambria"/>
          <w:lang w:val="de-DE"/>
        </w:rPr>
        <w:t>ő</w:t>
      </w:r>
      <w:r w:rsidRPr="00FB4EFA">
        <w:rPr>
          <w:lang w:val="de-DE"/>
        </w:rPr>
        <w:t>h</w:t>
      </w:r>
      <w:r w:rsidRPr="00FB4EFA">
        <w:rPr>
          <w:rFonts w:cs="Baskerville Old Face"/>
          <w:lang w:val="de-DE"/>
        </w:rPr>
        <w:t>á</w:t>
      </w:r>
      <w:r w:rsidRPr="00FB4EFA">
        <w:rPr>
          <w:lang w:val="de-DE"/>
        </w:rPr>
        <w:t>za war ab dem 16. Jahrhundert mehrheitlich kroatisch bewohnt, gilt heute aber nach Assimilation und demographischen Änderungen als ungarisch. Es war im Gegensatz zu Fert</w:t>
      </w:r>
      <w:r w:rsidRPr="00FB4EFA">
        <w:rPr>
          <w:rFonts w:cs="Cambria"/>
          <w:lang w:val="de-DE"/>
        </w:rPr>
        <w:t>ő</w:t>
      </w:r>
      <w:r w:rsidRPr="00FB4EFA">
        <w:rPr>
          <w:lang w:val="de-DE"/>
        </w:rPr>
        <w:t>r</w:t>
      </w:r>
      <w:r w:rsidRPr="00FB4EFA">
        <w:rPr>
          <w:rFonts w:cs="Baskerville Old Face"/>
          <w:lang w:val="de-DE"/>
        </w:rPr>
        <w:t>á</w:t>
      </w:r>
      <w:r w:rsidRPr="00FB4EFA">
        <w:rPr>
          <w:lang w:val="de-DE"/>
        </w:rPr>
        <w:t>kos nicht deutschsprachig</w:t>
      </w:r>
      <w:r w:rsidR="00220601" w:rsidRPr="00FB4EFA">
        <w:rPr>
          <w:lang w:val="de-DE"/>
        </w:rPr>
        <w:t>,</w:t>
      </w:r>
      <w:r w:rsidRPr="00FB4EFA">
        <w:rPr>
          <w:lang w:val="de-DE"/>
        </w:rPr>
        <w:t xml:space="preserve"> und es fand 1921 hier auch keine Volksabstimmung über die Zugehörigkeit zum gerade entstehenden Burgenland statt.</w:t>
      </w:r>
    </w:p>
    <w:p w14:paraId="709D43D1" w14:textId="636E9F83" w:rsidR="00067874" w:rsidRPr="00FB4EFA" w:rsidRDefault="00067874" w:rsidP="00402EF4">
      <w:pPr>
        <w:spacing w:after="240"/>
        <w:ind w:firstLine="709"/>
        <w:rPr>
          <w:lang w:val="de-DE"/>
        </w:rPr>
      </w:pPr>
      <w:r w:rsidRPr="00FB4EFA">
        <w:rPr>
          <w:lang w:val="de-DE"/>
        </w:rPr>
        <w:t xml:space="preserve">Da Kroatien von 1300 bis Ende des Ersten Weltkrieges zur Ungarischen Krone gehörte, war die Wanderung von Kroaten in der osmanischen Zeit keine Einwanderung, sondern Binnenwanderung. Diese Binnenmigration Richtung Nordwesten fing bereits vor 1527 – als die Ungarn den Osmanen in einer Schlacht militärisch unterlagen – an und zwar deshalb, weil der kroatische Teil von Ungarn bereits vorher durch die von </w:t>
      </w:r>
      <w:r w:rsidRPr="00FB4EFA">
        <w:rPr>
          <w:lang w:val="de-DE"/>
        </w:rPr>
        <w:lastRenderedPageBreak/>
        <w:t>Südosten anrückenden Osmanen bedroht war. Diese Binnenmigration setzte sich in mehreren Wellen weit ins 17. Jahrhundert hinein fort. Es ist freilich auch möglich, dass die Familie Sumalowitsch erst später in einen mehrheitlich deutschsprechenden Ort kam. Die Anmerkung von Mora:</w:t>
      </w:r>
    </w:p>
    <w:p w14:paraId="5C3FA06F" w14:textId="77777777" w:rsidR="00067874" w:rsidRPr="00FB4EFA" w:rsidRDefault="00067874" w:rsidP="002A3BC9">
      <w:pPr>
        <w:keepLines/>
        <w:suppressAutoHyphens/>
        <w:spacing w:line="240" w:lineRule="auto"/>
        <w:ind w:left="720" w:right="567"/>
        <w:rPr>
          <w:rFonts w:cstheme="minorHAnsi"/>
          <w:sz w:val="20"/>
          <w:szCs w:val="20"/>
          <w:lang w:val="de-DE"/>
        </w:rPr>
      </w:pPr>
      <w:r w:rsidRPr="00FB4EFA">
        <w:rPr>
          <w:rFonts w:cstheme="minorHAnsi"/>
          <w:sz w:val="20"/>
          <w:szCs w:val="20"/>
          <w:lang w:val="de-DE"/>
        </w:rPr>
        <w:t>In ungarischer Schreibweise Szumálovits, wobei beide Schreibweisen, sowohl die deutsche als auch die ungarische, vermutlich Ergebnis falscher Buchstabierung sind. Im Kroatischen gibt es den Namen in dieser Form nicht. Möglicherweise hieß es einst Somanovic?</w:t>
      </w:r>
      <w:r w:rsidRPr="00FB4EFA">
        <w:rPr>
          <w:rFonts w:cstheme="minorHAnsi"/>
          <w:sz w:val="20"/>
          <w:szCs w:val="20"/>
          <w:vertAlign w:val="superscript"/>
          <w:lang w:val="de-DE"/>
        </w:rPr>
        <w:footnoteReference w:id="183"/>
      </w:r>
    </w:p>
    <w:p w14:paraId="0FFAB7BD" w14:textId="77777777" w:rsidR="00067874" w:rsidRPr="00FB4EFA" w:rsidRDefault="00067874" w:rsidP="00402EF4">
      <w:pPr>
        <w:spacing w:before="240" w:after="240"/>
        <w:rPr>
          <w:lang w:val="de-DE"/>
        </w:rPr>
      </w:pPr>
      <w:r w:rsidRPr="00FB4EFA">
        <w:rPr>
          <w:lang w:val="de-DE"/>
        </w:rPr>
        <w:t>lässt darauf schließen, dass sie keine Dokumente aus der Zeit von 1616 besitzt, sondern hier eine vermeintliche Geschichte rekonstruiert. Das scheint auch folgende Bemerkung Moras aus einem Kochbuch zu bestätigen:</w:t>
      </w:r>
    </w:p>
    <w:p w14:paraId="20679957" w14:textId="400A7C35" w:rsidR="00067874" w:rsidRPr="00FB4EFA" w:rsidRDefault="00067874" w:rsidP="002A3BC9">
      <w:pPr>
        <w:suppressAutoHyphens/>
        <w:spacing w:line="240" w:lineRule="auto"/>
        <w:ind w:left="720" w:right="567"/>
        <w:rPr>
          <w:rFonts w:cstheme="minorHAnsi"/>
          <w:sz w:val="20"/>
          <w:szCs w:val="20"/>
          <w:lang w:val="de-DE"/>
        </w:rPr>
      </w:pPr>
      <w:r w:rsidRPr="00FB4EFA">
        <w:rPr>
          <w:rFonts w:cstheme="minorHAnsi"/>
          <w:sz w:val="20"/>
          <w:szCs w:val="20"/>
          <w:lang w:val="de-DE"/>
        </w:rPr>
        <w:t>Die Erfahrung zeigt, daß keine Erinnerungen in einer Familie überleben, die länger zurückreichten als bis zu den Urgroßeltern. Also stammt dieses Rezept von meiner Urgroßmutter. Sie war, wie mutmaßlich alle anderen in der Familie vor ihr und keiner mehr nach ihr: Kleinbäuerin. Ihr Name war Barbara Strassner. Das zu erwähnen ist absolut nicht notwendig, aber ich tue es, weil ich es kann, und die einzige andere Verewigung ihres Namens in Textform bislang die Aufschrift auf ihrem Grabstein war. Sie und ihr Mann (Franz Sumalowitsch oder Ferenc Szumálovits; in deutscher bzw. ungarischer Rechtschreibung) hatten einige Felder und einmal im Jahr 1 Schwein, das sie vor Wei</w:t>
      </w:r>
      <w:r w:rsidR="002523CC" w:rsidRPr="00FB4EFA">
        <w:rPr>
          <w:rFonts w:cstheme="minorHAnsi"/>
          <w:sz w:val="20"/>
          <w:szCs w:val="20"/>
          <w:lang w:val="de-DE"/>
        </w:rPr>
        <w:t>h</w:t>
      </w:r>
      <w:r w:rsidRPr="00FB4EFA">
        <w:rPr>
          <w:rFonts w:cstheme="minorHAnsi"/>
          <w:sz w:val="20"/>
          <w:szCs w:val="20"/>
          <w:lang w:val="de-DE"/>
        </w:rPr>
        <w:t>nachten schlachteten.</w:t>
      </w:r>
      <w:r w:rsidRPr="00FB4EFA">
        <w:rPr>
          <w:rFonts w:cstheme="minorHAnsi"/>
          <w:sz w:val="20"/>
          <w:szCs w:val="20"/>
          <w:vertAlign w:val="superscript"/>
          <w:lang w:val="de-DE"/>
        </w:rPr>
        <w:footnoteReference w:id="184"/>
      </w:r>
    </w:p>
    <w:p w14:paraId="4172639D" w14:textId="7DECB97A" w:rsidR="00067874" w:rsidRPr="00FB4EFA" w:rsidRDefault="00067874" w:rsidP="00AF0CAD">
      <w:pPr>
        <w:spacing w:before="240" w:after="240"/>
        <w:rPr>
          <w:iCs/>
          <w:lang w:val="de-DE"/>
        </w:rPr>
      </w:pPr>
      <w:r w:rsidRPr="00FB4EFA">
        <w:rPr>
          <w:lang w:val="de-DE"/>
        </w:rPr>
        <w:t xml:space="preserve">Genauso diskussionswürdig ist die Behauptung „aus Dalmatien eingewandert“: Dalmatien stand seit der ersten Hälfte des 15. Jahrhunderts unter der Herrschaft Venedigs und war im Gegensatz zu Kroatien und Slawonien nicht mehr wie in den drei Jahrhunderten bis dahin Teil von Ungarn. Dalmatien war zwar von den osmanischen Kriegen betroffen, eine zahlenmäßig bedeutende Migration in das Gebiet des Königreichs Ungarn fand aber nicht statt. Daher ist es also möglich, dass die </w:t>
      </w:r>
      <w:r w:rsidR="001E18A8" w:rsidRPr="00FB4EFA">
        <w:rPr>
          <w:lang w:val="de-DE"/>
        </w:rPr>
        <w:br/>
      </w:r>
      <w:r w:rsidRPr="00FB4EFA">
        <w:rPr>
          <w:lang w:val="de-DE"/>
        </w:rPr>
        <w:t xml:space="preserve">Sumalowitschs aus Dalmatien einwanderten. Sie waren aber damit im Vergleich zu der Mehrheit der Kroaten Westungarns die Ausnahme. </w:t>
      </w:r>
      <w:r w:rsidRPr="00FB4EFA">
        <w:t>Dies</w:t>
      </w:r>
      <w:r w:rsidRPr="00FB4EFA">
        <w:lastRenderedPageBreak/>
        <w:t xml:space="preserve">bezüglich scheint es unter den Burgenlandkroaten auch eine Fehlannahme zu geben. Der heute in Eisenstadt lebende Sprachwissenschaftler </w:t>
      </w:r>
      <w:r w:rsidR="001E18A8" w:rsidRPr="00FB4EFA">
        <w:br/>
      </w:r>
      <w:r w:rsidRPr="00FB4EFA">
        <w:t>Nikolaus Bencsics erklärte dazu in einem Gespräch:</w:t>
      </w:r>
    </w:p>
    <w:p w14:paraId="5C646309" w14:textId="77777777" w:rsidR="00067874" w:rsidRPr="00FB4EFA" w:rsidRDefault="00067874" w:rsidP="002A3BC9">
      <w:pPr>
        <w:suppressAutoHyphens/>
        <w:spacing w:line="240" w:lineRule="auto"/>
        <w:ind w:left="567" w:right="510"/>
        <w:rPr>
          <w:sz w:val="20"/>
          <w:szCs w:val="20"/>
        </w:rPr>
      </w:pPr>
      <w:r w:rsidRPr="00FB4EFA">
        <w:rPr>
          <w:rFonts w:cstheme="minorHAnsi"/>
          <w:iCs/>
          <w:sz w:val="20"/>
          <w:szCs w:val="20"/>
        </w:rPr>
        <w:t xml:space="preserve">Die westungarischen Kroaten kamen während der osmanischen Zeit nicht aus Dalmatien. Es ist ein alter Irrtum, dass wir von der Küste kommen. Der </w:t>
      </w:r>
      <w:r w:rsidRPr="00FB4EFA">
        <w:rPr>
          <w:rFonts w:cs="Cambria"/>
          <w:iCs/>
          <w:sz w:val="20"/>
          <w:szCs w:val="20"/>
        </w:rPr>
        <w:t>č</w:t>
      </w:r>
      <w:r w:rsidRPr="00FB4EFA">
        <w:rPr>
          <w:rFonts w:cstheme="minorHAnsi"/>
          <w:iCs/>
          <w:sz w:val="20"/>
          <w:szCs w:val="20"/>
        </w:rPr>
        <w:t xml:space="preserve">akavische Dialekt war im 16. Jahrhundert in Slawonien und Kroatien verbreitet. Die bis Anfang des 20. Jahrhunderts verwendete Bezeichnung Wasserkroaten geht vermutlich auf eine mundartliche Verwechslung zwischen </w:t>
      </w:r>
      <w:r w:rsidRPr="00FB4EFA">
        <w:rPr>
          <w:sz w:val="20"/>
          <w:szCs w:val="20"/>
        </w:rPr>
        <w:t xml:space="preserve">Bosner und Wasser </w:t>
      </w:r>
      <w:r w:rsidRPr="00FB4EFA">
        <w:rPr>
          <w:rFonts w:cstheme="minorHAnsi"/>
          <w:iCs/>
          <w:sz w:val="20"/>
          <w:szCs w:val="20"/>
        </w:rPr>
        <w:t xml:space="preserve">zurück, </w:t>
      </w:r>
      <w:r w:rsidRPr="00FB4EFA">
        <w:rPr>
          <w:sz w:val="20"/>
          <w:szCs w:val="20"/>
        </w:rPr>
        <w:t xml:space="preserve">wo Bosner als Woasner ausgesprochen wurde, woraus in der Normsprache Bosner wurde. Dies weist darauf hin, </w:t>
      </w:r>
      <w:r w:rsidRPr="00FB4EFA">
        <w:rPr>
          <w:rFonts w:cstheme="minorHAnsi"/>
          <w:iCs/>
          <w:sz w:val="20"/>
          <w:szCs w:val="20"/>
        </w:rPr>
        <w:t>dass die Kroaten des heutigen Burgenlandes auch aus Bosnien kommen.</w:t>
      </w:r>
      <w:r w:rsidRPr="00FB4EFA">
        <w:rPr>
          <w:sz w:val="20"/>
          <w:szCs w:val="20"/>
          <w:vertAlign w:val="superscript"/>
        </w:rPr>
        <w:footnoteReference w:id="185"/>
      </w:r>
    </w:p>
    <w:p w14:paraId="12384AC8" w14:textId="45DF0E57" w:rsidR="00067874" w:rsidRPr="00FB4EFA" w:rsidRDefault="00067874" w:rsidP="00402EF4">
      <w:pPr>
        <w:spacing w:before="240"/>
        <w:rPr>
          <w:lang w:val="de-DE"/>
        </w:rPr>
      </w:pPr>
      <w:r w:rsidRPr="00FB4EFA">
        <w:rPr>
          <w:lang w:val="de-DE"/>
        </w:rPr>
        <w:t>Wie lässt sich die Bemerkung</w:t>
      </w:r>
      <w:r w:rsidR="00AE52A2" w:rsidRPr="00FB4EFA">
        <w:rPr>
          <w:lang w:val="de-DE"/>
        </w:rPr>
        <w:t xml:space="preserve"> in </w:t>
      </w:r>
      <w:r w:rsidR="00AE52A2" w:rsidRPr="00FB4EFA">
        <w:rPr>
          <w:i/>
          <w:lang w:val="de-DE"/>
        </w:rPr>
        <w:t>Geheimer Text</w:t>
      </w:r>
      <w:r w:rsidR="00AE52A2" w:rsidRPr="00FB4EFA">
        <w:rPr>
          <w:lang w:val="de-DE"/>
        </w:rPr>
        <w:t xml:space="preserve">, dass </w:t>
      </w:r>
      <w:r w:rsidRPr="00FB4EFA">
        <w:rPr>
          <w:lang w:val="de-DE"/>
        </w:rPr>
        <w:t xml:space="preserve">der Ort </w:t>
      </w:r>
      <w:r w:rsidR="00AE52A2" w:rsidRPr="00FB4EFA">
        <w:rPr>
          <w:lang w:val="de-DE"/>
        </w:rPr>
        <w:t>„</w:t>
      </w:r>
      <w:r w:rsidRPr="00FB4EFA">
        <w:rPr>
          <w:lang w:val="de-DE"/>
        </w:rPr>
        <w:t>seit mindestens dem 12. Jahrhundert zur ungarischen Krone</w:t>
      </w:r>
      <w:r w:rsidR="00AE52A2" w:rsidRPr="00FB4EFA">
        <w:rPr>
          <w:lang w:val="de-DE"/>
        </w:rPr>
        <w:t xml:space="preserve"> gehörte</w:t>
      </w:r>
      <w:r w:rsidRPr="00FB4EFA">
        <w:rPr>
          <w:lang w:val="de-DE"/>
        </w:rPr>
        <w:t>“</w:t>
      </w:r>
      <w:r w:rsidR="00AE52A2" w:rsidRPr="00FB4EFA">
        <w:rPr>
          <w:lang w:val="de-DE"/>
        </w:rPr>
        <w:t>,</w:t>
      </w:r>
      <w:r w:rsidRPr="00FB4EFA">
        <w:rPr>
          <w:lang w:val="de-DE"/>
        </w:rPr>
        <w:t xml:space="preserve"> verstehen? Die erste Erwähnung von Fert</w:t>
      </w:r>
      <w:r w:rsidRPr="00FB4EFA">
        <w:rPr>
          <w:rFonts w:cs="Cambria"/>
          <w:lang w:val="de-DE"/>
        </w:rPr>
        <w:t>ő</w:t>
      </w:r>
      <w:r w:rsidRPr="00FB4EFA">
        <w:rPr>
          <w:lang w:val="de-DE"/>
        </w:rPr>
        <w:t>r</w:t>
      </w:r>
      <w:r w:rsidRPr="00FB4EFA">
        <w:rPr>
          <w:rFonts w:cs="Baskerville Old Face"/>
          <w:lang w:val="de-DE"/>
        </w:rPr>
        <w:t>á</w:t>
      </w:r>
      <w:r w:rsidRPr="00FB4EFA">
        <w:rPr>
          <w:lang w:val="de-DE"/>
        </w:rPr>
        <w:t xml:space="preserve">kos stammt aus dem Jahr </w:t>
      </w:r>
      <w:r w:rsidRPr="00FB4EFA">
        <w:rPr>
          <w:rFonts w:eastAsia="Times New Roman"/>
          <w:bCs/>
        </w:rPr>
        <w:t xml:space="preserve">1199. In </w:t>
      </w:r>
      <w:r w:rsidRPr="00FB4EFA">
        <w:rPr>
          <w:rFonts w:eastAsia="Times New Roman"/>
          <w:bCs/>
          <w:lang w:val="de-DE"/>
        </w:rPr>
        <w:t xml:space="preserve">einer Schenkungsurkunde wird er Racus genannt, den Namen trug der Ort bis 1906, als er von Rákos zu </w:t>
      </w:r>
      <w:r w:rsidRPr="00FB4EFA">
        <w:rPr>
          <w:lang w:val="de-DE"/>
        </w:rPr>
        <w:t>Fert</w:t>
      </w:r>
      <w:r w:rsidRPr="00FB4EFA">
        <w:rPr>
          <w:rFonts w:cs="Cambria"/>
          <w:lang w:val="de-DE"/>
        </w:rPr>
        <w:t>ő</w:t>
      </w:r>
      <w:r w:rsidRPr="00FB4EFA">
        <w:rPr>
          <w:lang w:val="de-DE"/>
        </w:rPr>
        <w:t>r</w:t>
      </w:r>
      <w:r w:rsidRPr="00FB4EFA">
        <w:rPr>
          <w:rFonts w:cs="Baskerville Old Face"/>
          <w:lang w:val="de-DE"/>
        </w:rPr>
        <w:t>á</w:t>
      </w:r>
      <w:r w:rsidRPr="00FB4EFA">
        <w:rPr>
          <w:lang w:val="de-DE"/>
        </w:rPr>
        <w:t>kos umbenannt wurde. Wann R</w:t>
      </w:r>
      <w:r w:rsidRPr="00FB4EFA">
        <w:rPr>
          <w:rFonts w:cs="Baskerville Old Face"/>
          <w:lang w:val="de-DE"/>
        </w:rPr>
        <w:t>á</w:t>
      </w:r>
      <w:r w:rsidRPr="00FB4EFA">
        <w:rPr>
          <w:lang w:val="de-DE"/>
        </w:rPr>
        <w:t>kos gegr</w:t>
      </w:r>
      <w:r w:rsidRPr="00FB4EFA">
        <w:rPr>
          <w:rFonts w:cs="Baskerville Old Face"/>
          <w:lang w:val="de-DE"/>
        </w:rPr>
        <w:t>ü</w:t>
      </w:r>
      <w:r w:rsidRPr="00FB4EFA">
        <w:rPr>
          <w:lang w:val="de-DE"/>
        </w:rPr>
        <w:t>ndet wurde, geht aus der Erwähnung von 1199 nicht hervor. Dass das Gebiet aber seit Ende des 9. Jahrhunderts zum gerade entstehenden Ungarn gehörte, ist nicht zu bezweifeln. Die Grenze zum Ostfränkischen Reich war in den ersten Jahrzehnten der Fluss Enns. In den darauffolgenden Jahrzehnten, bis ca. zur Jahrtausendwende, wanderte sie zu den Flüssen March-Leitha-Lafnitz, was dann mehr als eintausend Jahre lang bis 1921 galt.</w:t>
      </w:r>
    </w:p>
    <w:p w14:paraId="14998D76" w14:textId="77777777" w:rsidR="00067874" w:rsidRPr="00FB4EFA" w:rsidRDefault="00067874" w:rsidP="00402EF4">
      <w:pPr>
        <w:ind w:firstLine="709"/>
        <w:rPr>
          <w:lang w:val="de-DE"/>
        </w:rPr>
      </w:pPr>
      <w:r w:rsidRPr="00FB4EFA">
        <w:rPr>
          <w:lang w:val="de-DE"/>
        </w:rPr>
        <w:t>Genauso die Fortsetzung: „aber zu 90 % von Deutschsprachigen bewohnt war“ – seit wann Fert</w:t>
      </w:r>
      <w:r w:rsidRPr="00FB4EFA">
        <w:rPr>
          <w:rFonts w:cs="Cambria"/>
          <w:lang w:val="de-DE"/>
        </w:rPr>
        <w:t>ő</w:t>
      </w:r>
      <w:r w:rsidRPr="00FB4EFA">
        <w:rPr>
          <w:lang w:val="de-DE"/>
        </w:rPr>
        <w:t>r</w:t>
      </w:r>
      <w:r w:rsidRPr="00FB4EFA">
        <w:rPr>
          <w:rFonts w:cs="Baskerville Old Face"/>
          <w:lang w:val="de-DE"/>
        </w:rPr>
        <w:t>á</w:t>
      </w:r>
      <w:r w:rsidRPr="00FB4EFA">
        <w:rPr>
          <w:lang w:val="de-DE"/>
        </w:rPr>
        <w:t>kos zu 90 % deutschsprachig war, ist mangels entsprechender Dokumente nicht zu sagen. Ob es im 12. Jahrhundert der Fall war, wie Mora hier suggeriert, ist genauso unbekannt. Die Angaben aus den neuzeitlichen Volkszählungen, in denen auch die Sprachzugehörigkeit erhoben wurde, erlauben keine begründeten Rückschlüsse auf Zustände früherer Jahrhunderte.</w:t>
      </w:r>
    </w:p>
    <w:p w14:paraId="61D4A130" w14:textId="14815417" w:rsidR="00067874" w:rsidRPr="00FB4EFA" w:rsidRDefault="00067874" w:rsidP="00AF0CAD">
      <w:pPr>
        <w:ind w:firstLine="709"/>
        <w:rPr>
          <w:lang w:val="de-DE"/>
        </w:rPr>
      </w:pPr>
      <w:r w:rsidRPr="00FB4EFA">
        <w:rPr>
          <w:lang w:val="de-DE"/>
        </w:rPr>
        <w:t xml:space="preserve">Die Angabe aus </w:t>
      </w:r>
      <w:r w:rsidRPr="00FB4EFA">
        <w:rPr>
          <w:i/>
          <w:lang w:val="de-DE"/>
        </w:rPr>
        <w:t>Geheimer Text</w:t>
      </w:r>
      <w:r w:rsidRPr="00FB4EFA">
        <w:rPr>
          <w:lang w:val="de-DE"/>
        </w:rPr>
        <w:t xml:space="preserve"> sind also zu hinterfragen. So auch folgende: „assimilierten sie sich innerhalb von zwei Generationen“</w:t>
      </w:r>
      <w:r w:rsidR="00220601" w:rsidRPr="00FB4EFA">
        <w:rPr>
          <w:lang w:val="de-DE"/>
        </w:rPr>
        <w:t>.</w:t>
      </w:r>
      <w:r w:rsidRPr="00FB4EFA">
        <w:rPr>
          <w:lang w:val="de-DE"/>
        </w:rPr>
        <w:t xml:space="preserve"> Die </w:t>
      </w:r>
      <w:r w:rsidRPr="00FB4EFA">
        <w:rPr>
          <w:lang w:val="de-DE"/>
        </w:rPr>
        <w:lastRenderedPageBreak/>
        <w:t>Angaben „vor 400 Jahren eingewandert</w:t>
      </w:r>
      <w:r w:rsidR="00D7279E" w:rsidRPr="00FB4EFA">
        <w:rPr>
          <w:lang w:val="de-DE"/>
        </w:rPr>
        <w:t>“</w:t>
      </w:r>
      <w:r w:rsidRPr="00FB4EFA">
        <w:rPr>
          <w:lang w:val="de-DE"/>
        </w:rPr>
        <w:t>, seit „340 Jahren deutschsprachig</w:t>
      </w:r>
      <w:r w:rsidR="00D7279E" w:rsidRPr="00FB4EFA">
        <w:rPr>
          <w:lang w:val="de-DE"/>
        </w:rPr>
        <w:t>“</w:t>
      </w:r>
      <w:r w:rsidRPr="00FB4EFA">
        <w:rPr>
          <w:lang w:val="de-DE"/>
        </w:rPr>
        <w:t xml:space="preserve"> sollen den Anschein von gesichertem Wissen erwecken.</w:t>
      </w:r>
    </w:p>
    <w:p w14:paraId="3538868E" w14:textId="0AE87BE7" w:rsidR="00067874" w:rsidRPr="00FB4EFA" w:rsidRDefault="00067874" w:rsidP="00402EF4">
      <w:pPr>
        <w:ind w:firstLine="709"/>
        <w:rPr>
          <w:lang w:val="de-DE"/>
        </w:rPr>
      </w:pPr>
      <w:r w:rsidRPr="00FB4EFA">
        <w:rPr>
          <w:lang w:val="de-DE"/>
        </w:rPr>
        <w:t>Genauso die nächste Stelle: „als 1921 das Dorf endgültig zu Ungarn kam“ – Fert</w:t>
      </w:r>
      <w:r w:rsidRPr="00FB4EFA">
        <w:rPr>
          <w:rFonts w:cs="Cambria"/>
          <w:lang w:val="de-DE"/>
        </w:rPr>
        <w:t>ő</w:t>
      </w:r>
      <w:r w:rsidRPr="00FB4EFA">
        <w:rPr>
          <w:lang w:val="de-DE"/>
        </w:rPr>
        <w:t>r</w:t>
      </w:r>
      <w:r w:rsidRPr="00FB4EFA">
        <w:rPr>
          <w:rFonts w:cs="Baskerville Old Face"/>
          <w:lang w:val="de-DE"/>
        </w:rPr>
        <w:t>á</w:t>
      </w:r>
      <w:r w:rsidRPr="00FB4EFA">
        <w:rPr>
          <w:lang w:val="de-DE"/>
        </w:rPr>
        <w:t xml:space="preserve">kos war vor 1921 </w:t>
      </w:r>
      <w:r w:rsidR="00220601" w:rsidRPr="00FB4EFA">
        <w:rPr>
          <w:lang w:val="de-DE"/>
        </w:rPr>
        <w:t>bei</w:t>
      </w:r>
      <w:r w:rsidRPr="00FB4EFA">
        <w:rPr>
          <w:lang w:val="de-DE"/>
        </w:rPr>
        <w:t xml:space="preserve"> Ungarn und nach 1921 auch. Im Dezember 1921 gab es eine Volksabstimmung, die im Ort für Österreich ausging, aber in Sopron und den umliegenden Dörfern für Ungarn. So blieb Fert</w:t>
      </w:r>
      <w:r w:rsidRPr="00FB4EFA">
        <w:rPr>
          <w:rFonts w:cs="Cambria"/>
          <w:lang w:val="de-DE"/>
        </w:rPr>
        <w:t>ő</w:t>
      </w:r>
      <w:r w:rsidRPr="00FB4EFA">
        <w:rPr>
          <w:lang w:val="de-DE"/>
        </w:rPr>
        <w:t xml:space="preserve">rákos weiterhin </w:t>
      </w:r>
      <w:r w:rsidR="00220601" w:rsidRPr="00FB4EFA">
        <w:rPr>
          <w:lang w:val="de-DE"/>
        </w:rPr>
        <w:t>bei</w:t>
      </w:r>
      <w:r w:rsidRPr="00FB4EFA">
        <w:rPr>
          <w:lang w:val="de-DE"/>
        </w:rPr>
        <w:t xml:space="preserve"> Ungarn.</w:t>
      </w:r>
    </w:p>
    <w:p w14:paraId="548EC070" w14:textId="7D663C5A" w:rsidR="00067874" w:rsidRPr="00FB4EFA" w:rsidRDefault="00067874" w:rsidP="00AF0CAD">
      <w:pPr>
        <w:ind w:firstLine="709"/>
        <w:rPr>
          <w:lang w:val="de-DE"/>
        </w:rPr>
      </w:pPr>
      <w:r w:rsidRPr="00FB4EFA">
        <w:rPr>
          <w:lang w:val="de-DE"/>
        </w:rPr>
        <w:t xml:space="preserve">„Erst der Zweite Weltkrieg, die Vertreibung der deutschsprachigen Bevölkerung und die Errichtung des Eisernen Vorhangs haben dazu geführt, dass Mitte der 1950er Jahre meine Mutter als erste in der Familie ungarisch schon im Kindergartenalter erlernte“ – dabei ist wohl die Vertreibung der deutschsprachigen Bevölkerung relevant, wobei nicht die Deutschsprachigen, sondern die sich zum Deutschtum Bekennenden (also </w:t>
      </w:r>
      <w:r w:rsidR="0030017E" w:rsidRPr="00FB4EFA">
        <w:rPr>
          <w:lang w:val="de-DE"/>
        </w:rPr>
        <w:t>z. B.</w:t>
      </w:r>
      <w:r w:rsidRPr="00FB4EFA">
        <w:rPr>
          <w:lang w:val="de-DE"/>
        </w:rPr>
        <w:t xml:space="preserve"> nicht die deutschsprachigen Kroaten) entsprechend den durch die Alliierten beschlossenen Artikel XIII der </w:t>
      </w:r>
      <w:r w:rsidRPr="00FB4EFA">
        <w:rPr>
          <w:i/>
          <w:lang w:val="de-DE"/>
        </w:rPr>
        <w:t>Mitteilung über die Dreimächtekonferenz von Berlin</w:t>
      </w:r>
      <w:r w:rsidRPr="00FB4EFA">
        <w:rPr>
          <w:lang w:val="de-DE"/>
        </w:rPr>
        <w:t xml:space="preserve"> (Potsdamer Abkommen) vom 2. August 1945, wie es im Gesetzestext wörtlich heißt, „überführt</w:t>
      </w:r>
      <w:r w:rsidR="00D2687C" w:rsidRPr="00FB4EFA">
        <w:rPr>
          <w:lang w:val="de-DE"/>
        </w:rPr>
        <w:t>“</w:t>
      </w:r>
      <w:r w:rsidRPr="00FB4EFA">
        <w:rPr>
          <w:lang w:val="de-DE"/>
        </w:rPr>
        <w:t xml:space="preserve"> wurden</w:t>
      </w:r>
      <w:r w:rsidR="00220601" w:rsidRPr="00FB4EFA">
        <w:rPr>
          <w:lang w:val="de-DE"/>
        </w:rPr>
        <w:t xml:space="preserve"> –</w:t>
      </w:r>
      <w:r w:rsidRPr="00FB4EFA">
        <w:rPr>
          <w:lang w:val="de-DE"/>
        </w:rPr>
        <w:t xml:space="preserve"> was nicht bedeutet, dass diese „Überführung</w:t>
      </w:r>
      <w:r w:rsidR="00D2687C" w:rsidRPr="00FB4EFA">
        <w:rPr>
          <w:lang w:val="de-DE"/>
        </w:rPr>
        <w:t>“</w:t>
      </w:r>
      <w:r w:rsidRPr="00FB4EFA">
        <w:rPr>
          <w:lang w:val="de-DE"/>
        </w:rPr>
        <w:t xml:space="preserve"> zu verharmlosen wäre. Natürlich wurden dabei ungarische Bürger aus ihrer Heimat ausgesiedelt. Bekannter- und dokume</w:t>
      </w:r>
      <w:r w:rsidR="00220601" w:rsidRPr="00FB4EFA">
        <w:rPr>
          <w:lang w:val="de-DE"/>
        </w:rPr>
        <w:t>n</w:t>
      </w:r>
      <w:r w:rsidRPr="00FB4EFA">
        <w:rPr>
          <w:lang w:val="de-DE"/>
        </w:rPr>
        <w:t>tierterweise missbrauchten die ungarischen Behörden dabei ihre Macht vielfach. So wurde der Beschluss nicht so umgesetzt, wie die Alliierten das vorgesehen hatten. Es sind also nicht allein die Sumalowitschs in Ungarn geblieben, sondern von den ca. 380.000 „Deutschen</w:t>
      </w:r>
      <w:r w:rsidR="00D7279E" w:rsidRPr="00FB4EFA">
        <w:rPr>
          <w:lang w:val="de-DE"/>
        </w:rPr>
        <w:t>“</w:t>
      </w:r>
      <w:r w:rsidRPr="00FB4EFA">
        <w:rPr>
          <w:lang w:val="de-DE"/>
        </w:rPr>
        <w:t xml:space="preserve"> ca. 185.000.</w:t>
      </w:r>
    </w:p>
    <w:p w14:paraId="03797424" w14:textId="068A38B6" w:rsidR="00067874" w:rsidRPr="00FB4EFA" w:rsidRDefault="00067874" w:rsidP="00402EF4">
      <w:pPr>
        <w:ind w:firstLine="709"/>
        <w:rPr>
          <w:lang w:val="de-DE"/>
        </w:rPr>
      </w:pPr>
      <w:r w:rsidRPr="00FB4EFA">
        <w:rPr>
          <w:lang w:val="de-DE"/>
        </w:rPr>
        <w:t>Und schließlich: „Die erste in der Familie, die es fehlerlos kann</w:t>
      </w:r>
      <w:r w:rsidR="00D7279E" w:rsidRPr="00FB4EFA">
        <w:rPr>
          <w:lang w:val="de-DE"/>
        </w:rPr>
        <w:t>“</w:t>
      </w:r>
      <w:r w:rsidRPr="00FB4EFA">
        <w:rPr>
          <w:lang w:val="de-DE"/>
        </w:rPr>
        <w:t xml:space="preserve"> – väterlicherseits heißt die Familie Bögi und ist ungarisch, also gilt </w:t>
      </w:r>
      <w:r w:rsidR="00220601" w:rsidRPr="00FB4EFA">
        <w:rPr>
          <w:lang w:val="de-DE"/>
        </w:rPr>
        <w:t>O</w:t>
      </w:r>
      <w:r w:rsidRPr="00FB4EFA">
        <w:rPr>
          <w:lang w:val="de-DE"/>
        </w:rPr>
        <w:t>biges für die Familie der Mutter, die mit ihrem Geburtsnamen bereits Németh hieß, und nicht für „die Familie</w:t>
      </w:r>
      <w:r w:rsidR="00D2687C" w:rsidRPr="00FB4EFA">
        <w:rPr>
          <w:lang w:val="de-DE"/>
        </w:rPr>
        <w:t>“</w:t>
      </w:r>
      <w:r w:rsidRPr="00FB4EFA">
        <w:rPr>
          <w:lang w:val="de-DE"/>
        </w:rPr>
        <w:t>.</w:t>
      </w:r>
    </w:p>
    <w:p w14:paraId="65692852" w14:textId="38ECC015" w:rsidR="00067874" w:rsidRPr="00FB4EFA" w:rsidRDefault="00067874" w:rsidP="00402EF4">
      <w:pPr>
        <w:ind w:firstLine="709"/>
        <w:rPr>
          <w:lang w:val="de-DE"/>
        </w:rPr>
      </w:pPr>
      <w:r w:rsidRPr="00FB4EFA">
        <w:rPr>
          <w:lang w:val="de-DE"/>
        </w:rPr>
        <w:t xml:space="preserve">Aus Minderheitenperspektive ist es auch merkwürdig, dass in Moras Identitätsbildung bis zum Urgroßvater die Männer bestimmend sind (Sumalowitsch), ab dann mit Barbara Strassner, verheiratete Sumalowitsch, Terézia Sumalowitsch, verheiratete Németh, Terézia Németh, verheiratete Bögi und Terézia Bögi, verheiratete Kriedemann die </w:t>
      </w:r>
      <w:r w:rsidRPr="00FB4EFA">
        <w:rPr>
          <w:lang w:val="de-DE"/>
        </w:rPr>
        <w:lastRenderedPageBreak/>
        <w:t>Frauen und ihre Frankfurter Poetikvorlesung mit einer Geschichte über ihre Tochter anfängt.</w:t>
      </w:r>
      <w:r w:rsidRPr="00FB4EFA">
        <w:rPr>
          <w:vertAlign w:val="superscript"/>
          <w:lang w:val="de-DE"/>
        </w:rPr>
        <w:footnoteReference w:id="186"/>
      </w:r>
    </w:p>
    <w:p w14:paraId="0E3CC82E" w14:textId="77777777" w:rsidR="00067874" w:rsidRPr="00FB4EFA" w:rsidRDefault="00067874" w:rsidP="00402EF4">
      <w:pPr>
        <w:spacing w:after="240"/>
        <w:ind w:firstLine="709"/>
        <w:rPr>
          <w:lang w:val="de-DE"/>
        </w:rPr>
      </w:pPr>
      <w:r w:rsidRPr="00FB4EFA">
        <w:rPr>
          <w:lang w:val="de-DE"/>
        </w:rPr>
        <w:t>Namen spielen also offenbar eine Rolle im Entwurf der eigenen auch schriftstellerischen Identität von Mora. So in einem Text über die Zwangsarbeiter in Fert</w:t>
      </w:r>
      <w:r w:rsidRPr="00FB4EFA">
        <w:rPr>
          <w:rFonts w:cs="Cambria"/>
          <w:lang w:val="de-DE"/>
        </w:rPr>
        <w:t>ő</w:t>
      </w:r>
      <w:r w:rsidRPr="00FB4EFA">
        <w:rPr>
          <w:lang w:val="de-DE"/>
        </w:rPr>
        <w:t>r</w:t>
      </w:r>
      <w:r w:rsidRPr="00FB4EFA">
        <w:rPr>
          <w:rFonts w:cs="Baskerville Old Face"/>
          <w:lang w:val="de-DE"/>
        </w:rPr>
        <w:t>á</w:t>
      </w:r>
      <w:r w:rsidRPr="00FB4EFA">
        <w:rPr>
          <w:lang w:val="de-DE"/>
        </w:rPr>
        <w:t>kos am Ende des Zweiten Weltkrieges:</w:t>
      </w:r>
    </w:p>
    <w:p w14:paraId="4CD83FE3" w14:textId="77777777" w:rsidR="00067874" w:rsidRPr="00FB4EFA" w:rsidRDefault="00067874" w:rsidP="002A3BC9">
      <w:pPr>
        <w:suppressAutoHyphens/>
        <w:spacing w:line="240" w:lineRule="auto"/>
        <w:ind w:left="720" w:right="567"/>
        <w:rPr>
          <w:rFonts w:cstheme="minorHAnsi"/>
          <w:sz w:val="20"/>
          <w:szCs w:val="20"/>
          <w:lang w:val="de-DE"/>
        </w:rPr>
      </w:pPr>
      <w:r w:rsidRPr="00FB4EFA">
        <w:rPr>
          <w:rFonts w:cstheme="minorHAnsi"/>
          <w:sz w:val="20"/>
          <w:szCs w:val="20"/>
          <w:lang w:val="de-DE"/>
        </w:rPr>
        <w:t>Der Gemüsegarten meiner Urgroßmutter befand sich hinter der Richtung Neusiedlersee fallenden Seite der Hauptstraße. Der Garten jenes Hauses, in dem sie vor den Einsiedlungen</w:t>
      </w:r>
      <w:r w:rsidRPr="00FB4EFA">
        <w:rPr>
          <w:rFonts w:cstheme="minorHAnsi"/>
          <w:sz w:val="20"/>
          <w:szCs w:val="20"/>
          <w:vertAlign w:val="superscript"/>
          <w:lang w:val="de-DE"/>
        </w:rPr>
        <w:footnoteReference w:id="187"/>
      </w:r>
      <w:r w:rsidRPr="00FB4EFA">
        <w:rPr>
          <w:rFonts w:cstheme="minorHAnsi"/>
          <w:sz w:val="20"/>
          <w:szCs w:val="20"/>
          <w:lang w:val="de-DE"/>
        </w:rPr>
        <w:t xml:space="preserve"> wohnten, endete hingegen unmittelbar dort, wo die Zwangsarbeiter die Schanze</w:t>
      </w:r>
      <w:r w:rsidRPr="00FB4EFA">
        <w:rPr>
          <w:rFonts w:cstheme="minorHAnsi"/>
          <w:sz w:val="20"/>
          <w:szCs w:val="20"/>
          <w:vertAlign w:val="superscript"/>
          <w:lang w:val="de-DE"/>
        </w:rPr>
        <w:footnoteReference w:id="188"/>
      </w:r>
      <w:r w:rsidRPr="00FB4EFA">
        <w:rPr>
          <w:rFonts w:cstheme="minorHAnsi"/>
          <w:sz w:val="20"/>
          <w:szCs w:val="20"/>
          <w:lang w:val="de-DE"/>
        </w:rPr>
        <w:t xml:space="preserve"> gruben. „Am Anfang“ erzählte meine Urgroßmutter meiner Großmutter „trugen sie noch schöne Kleider, Juden aus Pest, sie hatten noch viel Kraft, sie sind gut vorangekommen“. Wie oft meine Urgroßmutter während des harten Winters von 1944/45 denselben Weg zu ihrem Gemüsegarten ging wie die Gefangenen, weiß ich nicht. Es gibt auf jeden Fall eine Familienlegende darüber, dass ein SS-Offizier meiner Urgroßmutter sagt, sie solle es nicht wagen, mit den Gefangenen zu sprechen oder Brot oder Wasser denen zu geben, ansonsten endet sie auch unter ihnen. (Anm: nach der mündlichen Mitteilung meiner Großmutter, Terézia Sumalowitsch, verheiratete Németh </w:t>
      </w:r>
      <w:r w:rsidRPr="00FB4EFA">
        <w:rPr>
          <w:rFonts w:cstheme="minorHAnsi"/>
          <w:sz w:val="20"/>
          <w:szCs w:val="20"/>
        </w:rPr>
        <w:t>geb. 1932</w:t>
      </w:r>
      <w:r w:rsidRPr="00FB4EFA">
        <w:rPr>
          <w:rFonts w:cstheme="minorHAnsi"/>
          <w:sz w:val="20"/>
          <w:szCs w:val="20"/>
          <w:lang w:val="de-DE"/>
        </w:rPr>
        <w:t xml:space="preserve"> […] Die Zentrale der SS war im Bischofspalais, vom Haus meiner Urgroßmutter in die andere Richtung einhundert Schritte entfernt.) Meine Urgroßmutter ist 1969 gestorben, mein Urgroßvater 1978. Die letzten Zeitzeugen, die ich innerhalb der Familie noch erreichen könnte, sind meine Großeltern. In jenem Winter waren sie 10 bzw. 12 Jahre alt. Meine Großmutter hat über diese Zeit in ihrem Leben drei Sätze gesagt, und die auch erst nach großen Anstrengungen.</w:t>
      </w:r>
      <w:r w:rsidRPr="00FB4EFA">
        <w:rPr>
          <w:rFonts w:cstheme="minorHAnsi"/>
          <w:sz w:val="20"/>
          <w:szCs w:val="20"/>
          <w:vertAlign w:val="superscript"/>
          <w:lang w:val="de-DE"/>
        </w:rPr>
        <w:footnoteReference w:id="189"/>
      </w:r>
    </w:p>
    <w:p w14:paraId="1F17C3A1" w14:textId="1A345289" w:rsidR="00067874" w:rsidRPr="00FB4EFA" w:rsidRDefault="00067874" w:rsidP="00402EF4">
      <w:pPr>
        <w:spacing w:before="240" w:after="240"/>
        <w:rPr>
          <w:lang w:val="de-DE"/>
        </w:rPr>
      </w:pPr>
      <w:r w:rsidRPr="00FB4EFA">
        <w:rPr>
          <w:lang w:val="de-DE"/>
        </w:rPr>
        <w:t>Mit ihrer eigenen Namensbildung lässt sich der Prozess der Identitätsbildung von Mora ebenfalls verdeutlichen. Ihr Geburtsname war Terézia Bögi. 2013 kommentierten ungarische Zeitungen ihren Erfolg so: „</w:t>
      </w:r>
      <w:r w:rsidRPr="00FB4EFA">
        <w:rPr>
          <w:rFonts w:eastAsia="Times New Roman"/>
          <w:bCs/>
          <w:lang w:val="de-DE"/>
        </w:rPr>
        <w:t xml:space="preserve">Terézia </w:t>
      </w:r>
      <w:r w:rsidRPr="00FB4EFA">
        <w:rPr>
          <w:rFonts w:eastAsia="Times New Roman"/>
          <w:bCs/>
          <w:lang w:val="de-DE"/>
        </w:rPr>
        <w:lastRenderedPageBreak/>
        <w:t>Mora (ursprünglich: Terézia Bögi) gewann bei ihrem zweiten Versuch den Deutschen Buchpreis.</w:t>
      </w:r>
      <w:r w:rsidR="00D7279E" w:rsidRPr="00FB4EFA">
        <w:rPr>
          <w:rFonts w:eastAsia="Times New Roman"/>
          <w:bCs/>
          <w:lang w:val="de-DE"/>
        </w:rPr>
        <w:t>“</w:t>
      </w:r>
      <w:r w:rsidRPr="00FB4EFA">
        <w:rPr>
          <w:rFonts w:eastAsia="Times New Roman"/>
          <w:bCs/>
          <w:vertAlign w:val="superscript"/>
          <w:lang w:val="de-DE"/>
        </w:rPr>
        <w:footnoteReference w:id="190"/>
      </w:r>
      <w:r w:rsidRPr="00FB4EFA">
        <w:rPr>
          <w:rFonts w:eastAsia="Times New Roman"/>
          <w:bCs/>
          <w:lang w:val="de-DE"/>
        </w:rPr>
        <w:t xml:space="preserve"> Eine Namensänderung fand allerdings bereits vorher statt. 1997 trug sie noch einen deutschen Namen.</w:t>
      </w:r>
    </w:p>
    <w:p w14:paraId="6DB8BAFF" w14:textId="77777777" w:rsidR="00067874" w:rsidRPr="00FB4EFA" w:rsidRDefault="00067874" w:rsidP="002A3BC9">
      <w:pPr>
        <w:suppressAutoHyphens/>
        <w:spacing w:line="240" w:lineRule="auto"/>
        <w:ind w:left="720" w:right="567"/>
        <w:rPr>
          <w:rFonts w:eastAsia="Times New Roman" w:cstheme="minorHAnsi"/>
          <w:bCs/>
          <w:sz w:val="20"/>
          <w:szCs w:val="20"/>
          <w:lang w:val="de-DE"/>
        </w:rPr>
      </w:pPr>
      <w:r w:rsidRPr="00FB4EFA">
        <w:rPr>
          <w:rFonts w:eastAsia="Times New Roman" w:cstheme="minorHAnsi"/>
          <w:sz w:val="20"/>
          <w:szCs w:val="20"/>
          <w:lang w:val="de-DE"/>
        </w:rPr>
        <w:t>Ich kam unter meinem Ehe-Namen, einem kerndeutschen Namen, zum Verlag, aber ich wollte nicht unter dem Namen meiner Schwiegermutter veröffentlichen. Dann hat der Verlag herausgefunden: Oh Gott, Sie sind ja Ungarin! Mora ist übrigens auch nicht mein richtiger Name. Ich wollte einen Namen wählen, dem man nicht sofort anhört, wo er herkommt. Ich wollte mich maskieren.</w:t>
      </w:r>
      <w:r w:rsidRPr="00FB4EFA">
        <w:rPr>
          <w:rFonts w:eastAsia="Times New Roman" w:cstheme="minorHAnsi"/>
          <w:sz w:val="20"/>
          <w:szCs w:val="20"/>
          <w:vertAlign w:val="superscript"/>
          <w:lang w:val="de-DE"/>
        </w:rPr>
        <w:footnoteReference w:id="191"/>
      </w:r>
    </w:p>
    <w:p w14:paraId="62EABBBA" w14:textId="77777777" w:rsidR="00067874" w:rsidRPr="00FB4EFA" w:rsidRDefault="00067874" w:rsidP="00402EF4">
      <w:pPr>
        <w:spacing w:before="240" w:after="240"/>
        <w:rPr>
          <w:lang w:val="de-DE"/>
        </w:rPr>
      </w:pPr>
      <w:r w:rsidRPr="00FB4EFA">
        <w:rPr>
          <w:lang w:val="de-DE"/>
        </w:rPr>
        <w:t>Anlässlich einer Lesung in Bratislava 2015 fand folgendes Gespräch statt:</w:t>
      </w:r>
    </w:p>
    <w:p w14:paraId="6230A868" w14:textId="77777777" w:rsidR="00067874" w:rsidRPr="00FB4EFA" w:rsidRDefault="00067874" w:rsidP="002A3BC9">
      <w:pPr>
        <w:keepLines/>
        <w:suppressAutoHyphens/>
        <w:spacing w:line="240" w:lineRule="auto"/>
        <w:ind w:left="720" w:right="567"/>
        <w:rPr>
          <w:rFonts w:eastAsia="Times New Roman" w:cstheme="minorHAnsi"/>
          <w:bCs/>
          <w:sz w:val="20"/>
          <w:szCs w:val="20"/>
          <w:lang w:val="de-DE"/>
        </w:rPr>
      </w:pPr>
      <w:r w:rsidRPr="00FB4EFA">
        <w:rPr>
          <w:rFonts w:eastAsia="Times New Roman" w:cstheme="minorHAnsi"/>
          <w:bCs/>
          <w:sz w:val="20"/>
          <w:szCs w:val="20"/>
          <w:lang w:val="de-DE"/>
        </w:rPr>
        <w:t>Lívia Paszmár: Wie und warum wurde aus Terézia Bögi Terézia Mora? Haben Sie es auch mit anderen Schriftstellernamen versucht?</w:t>
      </w:r>
    </w:p>
    <w:p w14:paraId="7FB995D0" w14:textId="77777777" w:rsidR="00067874" w:rsidRPr="00FB4EFA" w:rsidRDefault="00067874" w:rsidP="002A3BC9">
      <w:pPr>
        <w:keepLines/>
        <w:suppressAutoHyphens/>
        <w:spacing w:before="120" w:line="240" w:lineRule="auto"/>
        <w:ind w:left="720" w:right="567"/>
        <w:rPr>
          <w:rFonts w:eastAsia="Times New Roman" w:cstheme="minorHAnsi"/>
          <w:bCs/>
          <w:sz w:val="20"/>
          <w:szCs w:val="20"/>
        </w:rPr>
      </w:pPr>
      <w:r w:rsidRPr="00FB4EFA">
        <w:rPr>
          <w:rFonts w:eastAsia="Times New Roman" w:cstheme="minorHAnsi"/>
          <w:bCs/>
          <w:sz w:val="20"/>
          <w:szCs w:val="20"/>
          <w:lang w:val="de-DE"/>
        </w:rPr>
        <w:t>Terézia Mora: Als ersten schriftstellerischen Akt habe ich mich umbenannt, da ich weder unter dem Namen meines Vaters noch meiner Schwiegermutter schreiben wollte, sondern unter meinem eigenen. Mora wurde zufällig gewählt, was zu weit führen würde, hier zu erzählen. Ich habe nicht daran gedacht, dass er Ferenc Móra zu ähnlich ist, und jetzt ist es zu spät.</w:t>
      </w:r>
      <w:r w:rsidRPr="00FB4EFA">
        <w:rPr>
          <w:rFonts w:eastAsia="Times New Roman" w:cstheme="minorHAnsi"/>
          <w:bCs/>
          <w:sz w:val="20"/>
          <w:szCs w:val="20"/>
          <w:vertAlign w:val="superscript"/>
        </w:rPr>
        <w:footnoteReference w:id="192"/>
      </w:r>
    </w:p>
    <w:p w14:paraId="0DB54C52" w14:textId="05E78B60" w:rsidR="00067874" w:rsidRPr="00FB4EFA" w:rsidRDefault="00067874" w:rsidP="00AF0CAD">
      <w:pPr>
        <w:spacing w:before="240"/>
        <w:rPr>
          <w:rFonts w:eastAsia="Times New Roman"/>
        </w:rPr>
      </w:pPr>
      <w:r w:rsidRPr="00FB4EFA">
        <w:rPr>
          <w:lang w:val="de-DE"/>
        </w:rPr>
        <w:t>Der ungarische Schriftsteller Ferenc Móra lebte zwar 190</w:t>
      </w:r>
      <w:r w:rsidR="00C65823" w:rsidRPr="00FB4EFA">
        <w:rPr>
          <w:lang w:val="de-DE"/>
        </w:rPr>
        <w:t>1–1</w:t>
      </w:r>
      <w:r w:rsidRPr="00FB4EFA">
        <w:rPr>
          <w:lang w:val="de-DE"/>
        </w:rPr>
        <w:t xml:space="preserve">902 im später zum Burgenland gehörenden </w:t>
      </w:r>
      <w:r w:rsidRPr="00FB4EFA">
        <w:rPr>
          <w:rFonts w:eastAsia="Times New Roman"/>
        </w:rPr>
        <w:t>Fels</w:t>
      </w:r>
      <w:r w:rsidRPr="00FB4EFA">
        <w:rPr>
          <w:rFonts w:eastAsia="Times New Roman" w:cs="Cambria"/>
        </w:rPr>
        <w:t>ő</w:t>
      </w:r>
      <w:r w:rsidRPr="00FB4EFA">
        <w:rPr>
          <w:rFonts w:eastAsia="Times New Roman"/>
        </w:rPr>
        <w:t>l</w:t>
      </w:r>
      <w:r w:rsidRPr="00FB4EFA">
        <w:rPr>
          <w:rFonts w:eastAsia="Times New Roman" w:cs="Baskerville Old Face"/>
        </w:rPr>
        <w:t>ö</w:t>
      </w:r>
      <w:r w:rsidRPr="00FB4EFA">
        <w:rPr>
          <w:rFonts w:eastAsia="Times New Roman"/>
        </w:rPr>
        <w:t>v</w:t>
      </w:r>
      <w:r w:rsidRPr="00FB4EFA">
        <w:rPr>
          <w:rFonts w:eastAsia="Times New Roman" w:cs="Cambria"/>
        </w:rPr>
        <w:t>ő</w:t>
      </w:r>
      <w:r w:rsidRPr="00FB4EFA">
        <w:rPr>
          <w:lang w:val="de-DE"/>
        </w:rPr>
        <w:t xml:space="preserve">. So wäre es nicht unmöglich, dass Terézia Bögi resp. Kriedemann, mit ihrer stark durch die „Grenze“ geprägten Identität, in Anknüpfung an einen bekannten ungarischen Schriftsteller einen ähnlich klingenden Namen wählt. Was Mora heißt, wird aber von der Schriftstellerin absichtlich im Unklaren gelassen. Deutungsvermutungen sind dadurch freilich nur nahegelegt. So ist es, wenn nicht nach Ferenc Móra, vielleicht kroatisch zu lesen. Ihr überdeutlicher Versuch in </w:t>
      </w:r>
      <w:r w:rsidRPr="00FB4EFA">
        <w:rPr>
          <w:i/>
          <w:lang w:val="de-DE"/>
        </w:rPr>
        <w:t>Geheimer Text</w:t>
      </w:r>
      <w:r w:rsidRPr="00FB4EFA">
        <w:rPr>
          <w:lang w:val="de-DE"/>
        </w:rPr>
        <w:t>, sich als Mitglied der kroatischen Minderheit zu positionieren</w:t>
      </w:r>
      <w:r w:rsidR="00220601" w:rsidRPr="00FB4EFA">
        <w:rPr>
          <w:lang w:val="de-DE"/>
        </w:rPr>
        <w:t>,</w:t>
      </w:r>
      <w:r w:rsidRPr="00FB4EFA">
        <w:rPr>
          <w:lang w:val="de-DE"/>
        </w:rPr>
        <w:t xml:space="preserve"> deutet zumindest in diese Richtung. In diesem Fall würde es ins Deutsche übersetzt Alp und Alptraum heißen, oder da Mora der Genitiv von More, also Meer ist, wären folgende Namen möglich: Terézia Alptraum oder Terézia des Meeres.</w:t>
      </w:r>
    </w:p>
    <w:p w14:paraId="7F3D8DB9" w14:textId="191580D0" w:rsidR="00067874" w:rsidRPr="00FB4EFA" w:rsidRDefault="00067874" w:rsidP="00AF0CAD">
      <w:pPr>
        <w:ind w:firstLine="709"/>
        <w:rPr>
          <w:lang w:val="de-DE"/>
        </w:rPr>
      </w:pPr>
      <w:r w:rsidRPr="00FB4EFA">
        <w:rPr>
          <w:lang w:val="de-DE"/>
        </w:rPr>
        <w:lastRenderedPageBreak/>
        <w:t>Die Texte von Mora sind stark autobiographisch. Ihre ersten Erzählungen spielen in im Text selbst nicht explizit benannten, aber durch die Beschreibungen leicht identifizierbaren Orten und Zeiten. Was die Schriftstellerin selbst auch immer wieder bestätigt. So sagt sie 36</w:t>
      </w:r>
      <w:r w:rsidR="00220601" w:rsidRPr="00FB4EFA">
        <w:rPr>
          <w:lang w:val="de-DE"/>
        </w:rPr>
        <w:t>-</w:t>
      </w:r>
      <w:r w:rsidRPr="00FB4EFA">
        <w:rPr>
          <w:lang w:val="de-DE"/>
        </w:rPr>
        <w:t>jährig: „</w:t>
      </w:r>
      <w:r w:rsidRPr="00FB4EFA">
        <w:rPr>
          <w:i/>
          <w:lang w:val="de-DE"/>
        </w:rPr>
        <w:t>Seltsame Materie</w:t>
      </w:r>
      <w:r w:rsidRPr="00FB4EFA">
        <w:rPr>
          <w:lang w:val="de-DE"/>
        </w:rPr>
        <w:t xml:space="preserve"> ist […] eine Zusammenfassung dessen, was ich in der (heute, ca.) ersten Hälfte meines Lebens […], bis zu meinem Fortgang aus Ungarn, gelernt habe.</w:t>
      </w:r>
      <w:r w:rsidR="00D7279E" w:rsidRPr="00FB4EFA">
        <w:rPr>
          <w:lang w:val="de-DE"/>
        </w:rPr>
        <w:t>“</w:t>
      </w:r>
      <w:r w:rsidRPr="00FB4EFA">
        <w:rPr>
          <w:vertAlign w:val="superscript"/>
          <w:lang w:val="de-DE"/>
        </w:rPr>
        <w:footnoteReference w:id="193"/>
      </w:r>
      <w:r w:rsidRPr="00FB4EFA">
        <w:rPr>
          <w:lang w:val="de-DE"/>
        </w:rPr>
        <w:t xml:space="preserve"> Die Puzzleteile ihrer Texte fallen an ihren Platz, sobald man – aus der Literaturkritik – weiß: sie ist in Pet</w:t>
      </w:r>
      <w:r w:rsidRPr="00FB4EFA">
        <w:rPr>
          <w:rFonts w:cs="Cambria"/>
          <w:lang w:val="de-DE"/>
        </w:rPr>
        <w:t>ő</w:t>
      </w:r>
      <w:r w:rsidRPr="00FB4EFA">
        <w:rPr>
          <w:lang w:val="de-DE"/>
        </w:rPr>
        <w:t>h</w:t>
      </w:r>
      <w:r w:rsidRPr="00FB4EFA">
        <w:rPr>
          <w:rFonts w:cs="Baskerville Old Face"/>
          <w:lang w:val="de-DE"/>
        </w:rPr>
        <w:t>á</w:t>
      </w:r>
      <w:r w:rsidRPr="00FB4EFA">
        <w:rPr>
          <w:lang w:val="de-DE"/>
        </w:rPr>
        <w:t xml:space="preserve">za aufgewachsen. </w:t>
      </w:r>
      <w:r w:rsidRPr="00FB4EFA">
        <w:rPr>
          <w:i/>
          <w:lang w:val="de-DE"/>
        </w:rPr>
        <w:t>Der Fall Ophelia</w:t>
      </w:r>
      <w:r w:rsidRPr="00FB4EFA">
        <w:rPr>
          <w:lang w:val="de-DE"/>
        </w:rPr>
        <w:t xml:space="preserve"> spielt dort. Dass die Erzählungen </w:t>
      </w:r>
      <w:r w:rsidRPr="00FB4EFA">
        <w:rPr>
          <w:i/>
          <w:lang w:val="de-DE"/>
        </w:rPr>
        <w:t>Der See</w:t>
      </w:r>
      <w:r w:rsidRPr="00FB4EFA">
        <w:rPr>
          <w:lang w:val="de-DE"/>
        </w:rPr>
        <w:t xml:space="preserve"> in Fert</w:t>
      </w:r>
      <w:r w:rsidRPr="00FB4EFA">
        <w:rPr>
          <w:rFonts w:cs="Cambria"/>
          <w:lang w:val="de-DE"/>
        </w:rPr>
        <w:t>ő</w:t>
      </w:r>
      <w:r w:rsidRPr="00FB4EFA">
        <w:rPr>
          <w:lang w:val="de-DE"/>
        </w:rPr>
        <w:t>r</w:t>
      </w:r>
      <w:r w:rsidRPr="00FB4EFA">
        <w:rPr>
          <w:rFonts w:cs="Baskerville Old Face"/>
          <w:lang w:val="de-DE"/>
        </w:rPr>
        <w:t>á</w:t>
      </w:r>
      <w:r w:rsidRPr="00FB4EFA">
        <w:rPr>
          <w:lang w:val="de-DE"/>
        </w:rPr>
        <w:t xml:space="preserve">kos und </w:t>
      </w:r>
      <w:r w:rsidRPr="00FB4EFA">
        <w:rPr>
          <w:i/>
          <w:lang w:val="de-DE"/>
        </w:rPr>
        <w:t>Ein Schloß</w:t>
      </w:r>
      <w:r w:rsidRPr="00FB4EFA">
        <w:rPr>
          <w:lang w:val="de-DE"/>
        </w:rPr>
        <w:t xml:space="preserve"> in Fert</w:t>
      </w:r>
      <w:r w:rsidRPr="00FB4EFA">
        <w:rPr>
          <w:rFonts w:cs="Cambria"/>
          <w:lang w:val="de-DE"/>
        </w:rPr>
        <w:t>ő</w:t>
      </w:r>
      <w:r w:rsidRPr="00FB4EFA">
        <w:rPr>
          <w:lang w:val="de-DE"/>
        </w:rPr>
        <w:t>d spielen, erschließt sich auch unschwer, wenn man auf die Details der Texte achtet. Der Leser hat ständig das Gefühl: es geht hier zumindest im selben Ausmaß um Demaskierung wie um Maskierung.</w:t>
      </w:r>
    </w:p>
    <w:p w14:paraId="7772EB4A" w14:textId="4A8DFC08" w:rsidR="00067874" w:rsidRPr="00FB4EFA" w:rsidRDefault="00067874" w:rsidP="00AF0CAD">
      <w:pPr>
        <w:ind w:firstLine="709"/>
        <w:rPr>
          <w:lang w:val="de-DE"/>
        </w:rPr>
      </w:pPr>
      <w:r w:rsidRPr="00FB4EFA">
        <w:rPr>
          <w:lang w:val="de-DE"/>
        </w:rPr>
        <w:t>Die Informationen, aufgrund deren man sich ein relativ genaues Bild über den Konstruktionsprozess von Terézia Mora machen kann, stammen oft aus weniger offensichtlichen Quellen, wie ein</w:t>
      </w:r>
      <w:r w:rsidR="00220601" w:rsidRPr="00FB4EFA">
        <w:rPr>
          <w:lang w:val="de-DE"/>
        </w:rPr>
        <w:t>em</w:t>
      </w:r>
      <w:r w:rsidRPr="00FB4EFA">
        <w:rPr>
          <w:lang w:val="de-DE"/>
        </w:rPr>
        <w:t xml:space="preserve"> Modejournal, ein</w:t>
      </w:r>
      <w:r w:rsidR="00220601" w:rsidRPr="00FB4EFA">
        <w:rPr>
          <w:lang w:val="de-DE"/>
        </w:rPr>
        <w:t>em</w:t>
      </w:r>
      <w:r w:rsidRPr="00FB4EFA">
        <w:rPr>
          <w:lang w:val="de-DE"/>
        </w:rPr>
        <w:t xml:space="preserve"> Kochbuch oder ein</w:t>
      </w:r>
      <w:r w:rsidR="00220601" w:rsidRPr="00FB4EFA">
        <w:rPr>
          <w:lang w:val="de-DE"/>
        </w:rPr>
        <w:t>em</w:t>
      </w:r>
      <w:r w:rsidRPr="00FB4EFA">
        <w:rPr>
          <w:lang w:val="de-DE"/>
        </w:rPr>
        <w:t xml:space="preserve"> zeithistorische</w:t>
      </w:r>
      <w:r w:rsidR="00220601" w:rsidRPr="00FB4EFA">
        <w:rPr>
          <w:lang w:val="de-DE"/>
        </w:rPr>
        <w:t>n</w:t>
      </w:r>
      <w:r w:rsidRPr="00FB4EFA">
        <w:rPr>
          <w:lang w:val="de-DE"/>
        </w:rPr>
        <w:t xml:space="preserve"> Essay. Stellen aus </w:t>
      </w:r>
      <w:r w:rsidRPr="00FB4EFA">
        <w:rPr>
          <w:i/>
          <w:lang w:val="de-DE"/>
        </w:rPr>
        <w:t>Stern</w:t>
      </w:r>
      <w:r w:rsidRPr="00FB4EFA">
        <w:rPr>
          <w:lang w:val="de-DE"/>
        </w:rPr>
        <w:t xml:space="preserve"> und </w:t>
      </w:r>
      <w:r w:rsidRPr="00FB4EFA">
        <w:rPr>
          <w:i/>
          <w:lang w:val="de-DE"/>
        </w:rPr>
        <w:t>Vogue</w:t>
      </w:r>
      <w:r w:rsidRPr="00FB4EFA">
        <w:rPr>
          <w:lang w:val="de-DE"/>
        </w:rPr>
        <w:t xml:space="preserve"> enthalten also wesentliche Informationen zu dem, was das Autorinnenimage von Terézia Mora formte. Das so entwickelte Image tr</w:t>
      </w:r>
      <w:r w:rsidR="00003FEC" w:rsidRPr="00FB4EFA">
        <w:rPr>
          <w:lang w:val="de-DE"/>
        </w:rPr>
        <w:t>u</w:t>
      </w:r>
      <w:r w:rsidRPr="00FB4EFA">
        <w:rPr>
          <w:lang w:val="de-DE"/>
        </w:rPr>
        <w:t>g natürlich auch zum literarisch begründeten finanziellen Erfolg bei.</w:t>
      </w:r>
    </w:p>
    <w:p w14:paraId="0EB9641B" w14:textId="77777777" w:rsidR="00067874" w:rsidRPr="00FB4EFA" w:rsidRDefault="00067874" w:rsidP="00545033">
      <w:pPr>
        <w:pStyle w:val="Heading2"/>
        <w:suppressAutoHyphens/>
        <w:spacing w:line="259" w:lineRule="auto"/>
        <w:rPr>
          <w:color w:val="auto"/>
          <w:lang w:val="de-AT"/>
        </w:rPr>
      </w:pPr>
      <w:r w:rsidRPr="00FB4EFA">
        <w:rPr>
          <w:color w:val="auto"/>
          <w:lang w:val="de-AT"/>
        </w:rPr>
        <w:t>Vasvörösvár</w:t>
      </w:r>
    </w:p>
    <w:p w14:paraId="79421AC6" w14:textId="77777777" w:rsidR="00067874" w:rsidRPr="00FB4EFA" w:rsidRDefault="00067874" w:rsidP="00402EF4">
      <w:pPr>
        <w:rPr>
          <w:lang w:val="de-DE"/>
        </w:rPr>
      </w:pPr>
      <w:r w:rsidRPr="00FB4EFA">
        <w:rPr>
          <w:lang w:val="de-DE"/>
        </w:rPr>
        <w:t>Sprachwissenschaftliche Erhebungen sollten natürlich wie alle wissenschaftlichen Tätigkeiten gelernt werden. Die dabei gesammelten Erfahrungen fließen allerdings erst fragmentarisch in die fertige wissenschaftliche Arbeit. Vieles, was zwar forschungsrelevant, aber nicht direkt für das angesetzte Forschungsziel auswertbar ist, geht verloren. So insbesondere das nichtwissenschaftliche Beiwerk, das aber durch subjektive Rückerinnerungen auf Forschungsszenarien oft die auschlaggebenden Details verrät.</w:t>
      </w:r>
    </w:p>
    <w:p w14:paraId="780A1C41" w14:textId="708A76FA" w:rsidR="00067874" w:rsidRPr="00FB4EFA" w:rsidRDefault="00067874" w:rsidP="00402EF4">
      <w:pPr>
        <w:spacing w:after="240"/>
        <w:ind w:firstLine="709"/>
        <w:rPr>
          <w:lang w:val="de-DE"/>
        </w:rPr>
      </w:pPr>
      <w:r w:rsidRPr="00FB4EFA">
        <w:rPr>
          <w:lang w:val="de-DE"/>
        </w:rPr>
        <w:t xml:space="preserve">Ein langjähriger Mitarbeiter der Abteilung </w:t>
      </w:r>
      <w:r w:rsidR="00E135BE" w:rsidRPr="00FB4EFA">
        <w:rPr>
          <w:lang w:val="de-DE"/>
        </w:rPr>
        <w:t xml:space="preserve">für </w:t>
      </w:r>
      <w:r w:rsidRPr="00FB4EFA">
        <w:rPr>
          <w:lang w:val="de-DE"/>
        </w:rPr>
        <w:t>Finno-Ugristik der Universität Wien erinnert sich 2021 an einen Studienbesuch im burgenländischen Rotenturm, bis 1921 Vasvörösvár:</w:t>
      </w:r>
    </w:p>
    <w:p w14:paraId="36EAF368" w14:textId="6C71D029" w:rsidR="00067874" w:rsidRPr="00FB4EFA" w:rsidRDefault="00067874" w:rsidP="002A3BC9">
      <w:pPr>
        <w:suppressAutoHyphens/>
        <w:spacing w:line="240" w:lineRule="auto"/>
        <w:ind w:left="720" w:right="567"/>
        <w:rPr>
          <w:rFonts w:cstheme="minorHAnsi"/>
          <w:sz w:val="20"/>
          <w:szCs w:val="20"/>
          <w:lang w:val="de-DE"/>
        </w:rPr>
      </w:pPr>
      <w:r w:rsidRPr="00FB4EFA">
        <w:rPr>
          <w:rFonts w:cstheme="minorHAnsi"/>
          <w:sz w:val="20"/>
          <w:szCs w:val="20"/>
          <w:lang w:val="de-DE"/>
        </w:rPr>
        <w:lastRenderedPageBreak/>
        <w:t xml:space="preserve">Károly Rédei organisierte eine sprachwissenschaftliche Erhebung, wir waren auf der Suche nach lokalen Sprachvarianten, so </w:t>
      </w:r>
      <w:r w:rsidR="0030017E" w:rsidRPr="00FB4EFA">
        <w:rPr>
          <w:rFonts w:cstheme="minorHAnsi"/>
          <w:sz w:val="20"/>
          <w:szCs w:val="20"/>
          <w:lang w:val="de-DE"/>
        </w:rPr>
        <w:t>z. B.</w:t>
      </w:r>
      <w:r w:rsidRPr="00FB4EFA">
        <w:rPr>
          <w:rFonts w:cstheme="minorHAnsi"/>
          <w:sz w:val="20"/>
          <w:szCs w:val="20"/>
          <w:lang w:val="de-DE"/>
        </w:rPr>
        <w:t xml:space="preserve"> nach lokalen Namen von Pilzen. </w:t>
      </w:r>
      <w:r w:rsidRPr="00FB4EFA">
        <w:rPr>
          <w:sz w:val="20"/>
          <w:szCs w:val="20"/>
        </w:rPr>
        <w:t>Er wollte uns in die Methoden der sprachwissenschaftlichen Feldarbeit einführen, als Finno-Ugrist hatte er nicht vor, zur ungarischen Dialektologie zu arbeiten (obwohl er gelegentlich eine gleichnamige Vorlesung hielt)</w:t>
      </w:r>
      <w:r w:rsidRPr="00FB4EFA">
        <w:rPr>
          <w:rFonts w:cstheme="minorHAnsi"/>
          <w:sz w:val="20"/>
          <w:szCs w:val="20"/>
          <w:lang w:val="de-DE"/>
        </w:rPr>
        <w:t xml:space="preserve">. Rédei wollte uns die Technik der sprachwissenschaftlichen Feldarbeit zeigen. Er hat in der Sowjetunion bei </w:t>
      </w:r>
      <w:r w:rsidRPr="00FB4EFA">
        <w:rPr>
          <w:sz w:val="20"/>
          <w:szCs w:val="20"/>
        </w:rPr>
        <w:t xml:space="preserve">den Komi (früher auch Syrjänen genannt) </w:t>
      </w:r>
      <w:r w:rsidRPr="00FB4EFA">
        <w:rPr>
          <w:rFonts w:cstheme="minorHAnsi"/>
          <w:sz w:val="20"/>
          <w:szCs w:val="20"/>
          <w:lang w:val="de-DE"/>
        </w:rPr>
        <w:t>so gearbeitet. Wir waren daher nicht wirklich vorbereitet, wir hatten keine geeignete technische Ausrüstung, wir haben nichts notiert und das mit einem Magnetofon aufgenommene Material nicht ausgewertet. Die Aufnahme ist in den Jahren genauso verloren gegangen wie das Magnetofon. Aber es waren sowieso nur die aufgezählten Pilznamen darauf. Es war also im Wesentlichen ein spontaner Ausflug, und deshalb nach Rotenturm, weil die Mutter und Großmutter eines unserer Kommilitonen, Attila Dobó, dort wohnten, in unmittelbarer Nachbarschaft der damaligen Ruinen des Erd</w:t>
      </w:r>
      <w:r w:rsidRPr="00FB4EFA">
        <w:rPr>
          <w:rFonts w:cs="Cambria"/>
          <w:sz w:val="20"/>
          <w:szCs w:val="20"/>
          <w:lang w:val="de-DE"/>
        </w:rPr>
        <w:t>ő</w:t>
      </w:r>
      <w:r w:rsidRPr="00FB4EFA">
        <w:rPr>
          <w:rFonts w:cstheme="minorHAnsi"/>
          <w:sz w:val="20"/>
          <w:szCs w:val="20"/>
          <w:lang w:val="de-DE"/>
        </w:rPr>
        <w:t>di</w:t>
      </w:r>
      <w:r w:rsidR="00220601" w:rsidRPr="00FB4EFA">
        <w:rPr>
          <w:rFonts w:cstheme="minorHAnsi"/>
          <w:sz w:val="20"/>
          <w:szCs w:val="20"/>
          <w:lang w:val="de-DE"/>
        </w:rPr>
        <w:t>-</w:t>
      </w:r>
      <w:r w:rsidRPr="00FB4EFA">
        <w:rPr>
          <w:rFonts w:cstheme="minorHAnsi"/>
          <w:sz w:val="20"/>
          <w:szCs w:val="20"/>
          <w:lang w:val="de-DE"/>
        </w:rPr>
        <w:t>Schlosses, in einem Bauernhaus. Von diesen drei lebt inzwischen keiner mehr.</w:t>
      </w:r>
    </w:p>
    <w:p w14:paraId="6E88B81E" w14:textId="1DF34C07" w:rsidR="00067874" w:rsidRPr="00FB4EFA" w:rsidRDefault="00067874" w:rsidP="002A3BC9">
      <w:pPr>
        <w:suppressAutoHyphens/>
        <w:spacing w:line="240" w:lineRule="auto"/>
        <w:ind w:left="720" w:right="567" w:firstLine="698"/>
        <w:rPr>
          <w:rFonts w:cstheme="minorHAnsi"/>
          <w:sz w:val="20"/>
          <w:szCs w:val="20"/>
          <w:lang w:val="de-DE"/>
        </w:rPr>
      </w:pPr>
      <w:r w:rsidRPr="00FB4EFA">
        <w:rPr>
          <w:rFonts w:cstheme="minorHAnsi"/>
          <w:sz w:val="20"/>
          <w:szCs w:val="20"/>
          <w:lang w:val="de-DE"/>
        </w:rPr>
        <w:t xml:space="preserve">Der Ausflug war irgendwann 1981, weil damals, im Mai 1981 fand eine Volkszählung statt. Wir sind auch etwa zu der Zeit dort gewesen, es war schon ziemlich warm, daran kann ich mich gut erinnern. Ob wir vor oder nach der Volkszählung dort waren, weiß ich nicht mehr. Drei Dinge sind in meiner Erinnerung geblieben. Das eine ist, wie wunderbar schön die Großmama gesprochen hat, und wie natürlich, ohne etwas vorzuspielen. Wir haben sie dummerweise nur bewundert </w:t>
      </w:r>
      <w:r w:rsidRPr="00FB4EFA">
        <w:rPr>
          <w:sz w:val="20"/>
          <w:szCs w:val="20"/>
        </w:rPr>
        <w:t>aber keine Tonaufnahme ihres langsamen Redeflusses gemacht</w:t>
      </w:r>
      <w:r w:rsidRPr="00FB4EFA">
        <w:rPr>
          <w:rFonts w:cstheme="minorHAnsi"/>
          <w:sz w:val="20"/>
          <w:szCs w:val="20"/>
          <w:lang w:val="de-DE"/>
        </w:rPr>
        <w:t>, obwohl sie sicher zugestimmt hätte. Das zweite bezieht sich ebenfalls auf die Sprache, und auf ein Ereignis in einem Gasthaus. Wir haben uns auf ein Bier hineingesetzt, und als wir tranken, sagt uns Rédei, dass wir die Interviewkandidaten auch selbst suchen können, wir brauchen nicht darauf zu warten, dass der lokale Priester oder Notar die Leute in die Schule oder in die Pfarre bestellt, so wie in Unterwart und Oberwart. Er ist gleich zu den biertrinkenden Männern am Nachbartisch getreten und sprach den einen an: »</w:t>
      </w:r>
      <w:r w:rsidR="00220601" w:rsidRPr="00FB4EFA">
        <w:rPr>
          <w:rFonts w:cstheme="minorHAnsi"/>
          <w:sz w:val="20"/>
          <w:szCs w:val="20"/>
          <w:lang w:val="de-DE"/>
        </w:rPr>
        <w:t>I</w:t>
      </w:r>
      <w:r w:rsidRPr="00FB4EFA">
        <w:rPr>
          <w:rFonts w:cstheme="minorHAnsi"/>
          <w:sz w:val="20"/>
          <w:szCs w:val="20"/>
          <w:lang w:val="de-DE"/>
        </w:rPr>
        <w:t>ch bin Károly Rédei, Sprachwissenschaftler. Wir sammeln hier. Wie heißen Sie denn?« Worauf er: »Ihász János«. Darauf Rédei: »Sie haben aber einen schönen Namen! Obwohl Ihász-Juhász</w:t>
      </w:r>
      <w:r w:rsidRPr="00FB4EFA">
        <w:rPr>
          <w:rFonts w:cstheme="minorHAnsi"/>
          <w:sz w:val="20"/>
          <w:szCs w:val="20"/>
          <w:vertAlign w:val="superscript"/>
          <w:lang w:val="de-DE"/>
        </w:rPr>
        <w:footnoteReference w:id="194"/>
      </w:r>
      <w:r w:rsidRPr="00FB4EFA">
        <w:rPr>
          <w:rFonts w:cstheme="minorHAnsi"/>
          <w:sz w:val="20"/>
          <w:szCs w:val="20"/>
          <w:lang w:val="de-DE"/>
        </w:rPr>
        <w:t xml:space="preserve"> eher in der Tiefebene üblich ist, sind Sie etwa von dort?« Der Biertrinker hörte ihn an und antwortete in lokalem Dialekt: »I haaß János.« Wir sind alle über den Erfolg des großen Sammlers in Lachen ausgebrochen.</w:t>
      </w:r>
    </w:p>
    <w:p w14:paraId="0E0C40DA" w14:textId="51395266" w:rsidR="00067874" w:rsidRPr="00FB4EFA" w:rsidRDefault="00067874" w:rsidP="002A3BC9">
      <w:pPr>
        <w:suppressAutoHyphens/>
        <w:spacing w:line="240" w:lineRule="auto"/>
        <w:ind w:left="720" w:right="567" w:firstLine="698"/>
        <w:rPr>
          <w:rFonts w:cstheme="minorHAnsi"/>
          <w:sz w:val="20"/>
          <w:szCs w:val="20"/>
          <w:lang w:val="de-DE"/>
        </w:rPr>
      </w:pPr>
      <w:r w:rsidRPr="00FB4EFA">
        <w:rPr>
          <w:rFonts w:cstheme="minorHAnsi"/>
          <w:sz w:val="20"/>
          <w:szCs w:val="20"/>
          <w:lang w:val="de-DE"/>
        </w:rPr>
        <w:lastRenderedPageBreak/>
        <w:t xml:space="preserve">Aber er gab nicht auf. </w:t>
      </w:r>
      <w:r w:rsidRPr="00FB4EFA">
        <w:rPr>
          <w:sz w:val="20"/>
          <w:szCs w:val="20"/>
        </w:rPr>
        <w:t>Die zwei Geistlichen – der katholische Pfarrer Ferenc Galambos und der reformierte Pfarrer Imre Gyenge – baten einige ältere Frauen, uns für kurze Zeit als Auskunftspersonen zu Verfügung zu stehen</w:t>
      </w:r>
      <w:r w:rsidRPr="00FB4EFA">
        <w:rPr>
          <w:rFonts w:cstheme="minorHAnsi"/>
          <w:sz w:val="20"/>
          <w:szCs w:val="20"/>
          <w:lang w:val="de-DE"/>
        </w:rPr>
        <w:t>. Diese wurden aber in den letzten Jahren von so vielen Sprachwissenschaftlern befragt, dass sie schon professionelle Interviewkandidatinnen waren und wussten schon vor den Fragen, was und wie sie antworten müssen. So hat Rédei wieder die Initiative ergriffen, dass wir hinausgehen und spontane Interviewkandidaten suchen sollen. Das war das dritte, was mir in der Erinnerung blieb. Wir sprachen eine alte Frau beim Gemüsebeet an, die uns nach ein paar Pilznamen fragte, »was wir eigentlich wollen, was treibt uns, sollen wir ehrlich sagen.« »Wir sind zu sammeln da.« »Aber für welchen Zweck? Wem geben wir das weiter?« »Niemandem, an der Universität hören das die Studierenden an, wie hier gesprochen wird etc.« Die Frau hat Mut gefasst und erzählte, sie »frage das deshalb, weil unlängst irgendwelche Herren hier im Dorf waren, und die Ungarischsprechenden bedrohten, dass sie entweder ihre Pension verlieren oder im schlimmsten Fall nach Ungarn abgeschoben werden, falls sie bei der Volkszählung angeben, sie wären Ungarn. Die korrekte Antwort, die sie angeben müssen lautet Österreicher ungarischer Muttersprache« – damals gab es noch keine Unterscheidung zwischen Österreicherin und Österreicher. Das war so absurd, nicht nur gesetzwidrig, sondern wahnsinnig, Pension verlieren, Abschieben, dass ich nachfragte: »Haben sie das gesagt? Und Sie haben das geglaubt?« Darauf sie: »Die Alten, die es erlebten, was hier nach der ungarischen Zeit war, sie haben das geglaubt.« Sie wird damals etwa 60 Jahre alt gewesen, also um 1920 geboren sein, unter Alten hat sie die Älteren als sie gemeint, die beim Imperiumswechsel, um 1920 vielleicht</w:t>
      </w:r>
      <w:r w:rsidR="00220601" w:rsidRPr="00FB4EFA">
        <w:rPr>
          <w:rFonts w:cstheme="minorHAnsi"/>
          <w:sz w:val="20"/>
          <w:szCs w:val="20"/>
          <w:lang w:val="de-DE"/>
        </w:rPr>
        <w:t>,</w:t>
      </w:r>
      <w:r w:rsidRPr="00FB4EFA">
        <w:rPr>
          <w:rFonts w:cstheme="minorHAnsi"/>
          <w:sz w:val="20"/>
          <w:szCs w:val="20"/>
          <w:lang w:val="de-DE"/>
        </w:rPr>
        <w:t xml:space="preserve"> ältere Kinder waren. Ich habe natürlich gefragt: »Wie war es damals, würden Sie erzählen?« Da kam aber ihr Sohn dazwischen und führte sie ins Haus – vielleicht hatte er auch Angst, dass seine Mutter sich verplappert.</w:t>
      </w:r>
    </w:p>
    <w:p w14:paraId="072098AE" w14:textId="437C425B" w:rsidR="00067874" w:rsidRPr="00FB4EFA" w:rsidRDefault="00067874" w:rsidP="002A3BC9">
      <w:pPr>
        <w:suppressAutoHyphens/>
        <w:spacing w:line="240" w:lineRule="auto"/>
        <w:ind w:left="720" w:right="567" w:firstLine="698"/>
        <w:rPr>
          <w:rFonts w:cstheme="minorHAnsi"/>
          <w:sz w:val="20"/>
          <w:szCs w:val="20"/>
          <w:lang w:val="de-DE"/>
        </w:rPr>
      </w:pPr>
      <w:r w:rsidRPr="00FB4EFA">
        <w:rPr>
          <w:sz w:val="20"/>
          <w:szCs w:val="20"/>
        </w:rPr>
        <w:t>Ich habe später erfahren, dass es damals Atrozitäten gab. Die schon damals ganz überwiegend deutsch- bzw. kroatischsprachige Bevölkerung hatte den Machthabern der „ungarischen Reichshälfte“ nicht nur die ungarischsprachige Grundschule verübelt, d.</w:t>
      </w:r>
      <w:r w:rsidR="00394635" w:rsidRPr="00FB4EFA">
        <w:rPr>
          <w:sz w:val="20"/>
          <w:szCs w:val="20"/>
        </w:rPr>
        <w:t xml:space="preserve"> </w:t>
      </w:r>
      <w:r w:rsidRPr="00FB4EFA">
        <w:rPr>
          <w:sz w:val="20"/>
          <w:szCs w:val="20"/>
        </w:rPr>
        <w:t>h. dass wohl oder übel ausnahmslos alle Ungarisch lernen mussten, sondern sie haben auch das Randalieren der ungarischen Freischärlerbanden unter Pál Prónay und Iván Héjjas, die das Leithabanat (ung. Lajtabánság) ausgerufen hatten, nach der Konsolidierung an jenen Burgenland-Ungarn gerächt, die mit diesen fraternisierten. Die Bieresch-</w:t>
      </w:r>
      <w:r w:rsidRPr="00FB4EFA">
        <w:rPr>
          <w:sz w:val="20"/>
          <w:szCs w:val="20"/>
        </w:rPr>
        <w:lastRenderedPageBreak/>
        <w:t>Gesellschaft</w:t>
      </w:r>
      <w:r w:rsidRPr="00FB4EFA">
        <w:rPr>
          <w:sz w:val="20"/>
          <w:szCs w:val="20"/>
          <w:vertAlign w:val="superscript"/>
        </w:rPr>
        <w:footnoteReference w:id="195"/>
      </w:r>
      <w:r w:rsidRPr="00FB4EFA">
        <w:rPr>
          <w:sz w:val="20"/>
          <w:szCs w:val="20"/>
        </w:rPr>
        <w:t xml:space="preserve"> war nach 192</w:t>
      </w:r>
      <w:r w:rsidR="00C65823" w:rsidRPr="00FB4EFA">
        <w:rPr>
          <w:sz w:val="20"/>
          <w:szCs w:val="20"/>
        </w:rPr>
        <w:t>0–1</w:t>
      </w:r>
      <w:r w:rsidRPr="00FB4EFA">
        <w:rPr>
          <w:sz w:val="20"/>
          <w:szCs w:val="20"/>
        </w:rPr>
        <w:t>921 schwer traumatisiert, da nach dem endgültigen Schiedsspruch der Entente alle ungarischen Amtsträger das neue Burgenland Richtung Ungarn verlassen hatten. Es waren nur die Grundherren geblieben, die Esterházys, Batthyánys, Erd</w:t>
      </w:r>
      <w:r w:rsidRPr="00FB4EFA">
        <w:rPr>
          <w:rFonts w:cs="Cambria"/>
          <w:sz w:val="20"/>
          <w:szCs w:val="20"/>
        </w:rPr>
        <w:t>ő</w:t>
      </w:r>
      <w:r w:rsidRPr="00FB4EFA">
        <w:rPr>
          <w:sz w:val="20"/>
          <w:szCs w:val="20"/>
        </w:rPr>
        <w:t>dys und andere, bzw. ihre Gutsverwalter. So haben viele „Bieresch</w:t>
      </w:r>
      <w:r w:rsidR="00D7279E" w:rsidRPr="00FB4EFA">
        <w:rPr>
          <w:sz w:val="20"/>
          <w:szCs w:val="20"/>
        </w:rPr>
        <w:t>“</w:t>
      </w:r>
      <w:r w:rsidRPr="00FB4EFA">
        <w:rPr>
          <w:sz w:val="20"/>
          <w:szCs w:val="20"/>
        </w:rPr>
        <w:t xml:space="preserve"> ihr Ungarntum einfach verleugnet. Aber wenn man überlegt</w:t>
      </w:r>
      <w:r w:rsidRPr="00FB4EFA">
        <w:rPr>
          <w:rFonts w:cstheme="minorHAnsi"/>
          <w:sz w:val="20"/>
          <w:szCs w:val="20"/>
          <w:lang w:val="de-DE"/>
        </w:rPr>
        <w:t xml:space="preserve">: was für ein Ungarntum? Zu was hätten sie sich bekennen sollen? Was hatten sie mit der Nation zu tun gehabt? </w:t>
      </w:r>
      <w:r w:rsidRPr="00FB4EFA">
        <w:rPr>
          <w:sz w:val="20"/>
          <w:szCs w:val="20"/>
        </w:rPr>
        <w:t xml:space="preserve">Zu Hause hatten sie den lokalen ungarischen Dialekt gesprochen, aber den Kindern deutsche Vornamen gegeben: Irene, Ulrike, Inge, Gerlinde – wobei sie ihre ungarischen Familiennamen beizubehalten pflegten. </w:t>
      </w:r>
      <w:r w:rsidRPr="00FB4EFA">
        <w:rPr>
          <w:rFonts w:cstheme="minorHAnsi"/>
          <w:sz w:val="20"/>
          <w:szCs w:val="20"/>
          <w:lang w:val="de-DE"/>
        </w:rPr>
        <w:t>Erst mit dem Tauwetter zwischen Ost und West schwand auch bei ihnen die Unsicherheit. Als für die Bewohner der grenznahen Ortschaften der Grenzverkehr erleichtert wurde, als die Österreicher kein Visum nach Ungarn brauchten, als sie regelmäßig hinüberreisen konnten, und die Burgenländer anfingen</w:t>
      </w:r>
      <w:r w:rsidR="00220601" w:rsidRPr="00FB4EFA">
        <w:rPr>
          <w:rFonts w:cstheme="minorHAnsi"/>
          <w:sz w:val="20"/>
          <w:szCs w:val="20"/>
          <w:lang w:val="de-DE"/>
        </w:rPr>
        <w:t>,</w:t>
      </w:r>
      <w:r w:rsidRPr="00FB4EFA">
        <w:rPr>
          <w:rFonts w:cstheme="minorHAnsi"/>
          <w:sz w:val="20"/>
          <w:szCs w:val="20"/>
          <w:lang w:val="de-DE"/>
        </w:rPr>
        <w:t xml:space="preserve"> in Ungarn Lebensmittel einzukaufen, Friseure, Kosmetiker, Bäder zu besuchen, waren sie glücklich, da haben sie aufgehört sich dafür zu schämen, dass sie „Ungarn“ sind. Aber so eine trotzige ungarische Identität, wie die der Székler in Rumänien findet man weder in Österreich noch in der Slowakei, glücklicherweise.</w:t>
      </w:r>
      <w:r w:rsidRPr="00FB4EFA">
        <w:rPr>
          <w:rFonts w:cstheme="minorHAnsi"/>
          <w:sz w:val="20"/>
          <w:szCs w:val="20"/>
          <w:vertAlign w:val="superscript"/>
          <w:lang w:val="de-DE"/>
        </w:rPr>
        <w:footnoteReference w:id="196"/>
      </w:r>
    </w:p>
    <w:p w14:paraId="088E0882" w14:textId="77777777" w:rsidR="00067874" w:rsidRPr="00FB4EFA" w:rsidRDefault="00067874" w:rsidP="00402EF4">
      <w:pPr>
        <w:spacing w:before="240"/>
        <w:rPr>
          <w:lang w:val="de-DE"/>
        </w:rPr>
      </w:pPr>
      <w:r w:rsidRPr="00FB4EFA">
        <w:rPr>
          <w:lang w:val="de-DE"/>
        </w:rPr>
        <w:t>Jedes einzelne Detail dieses längeren Berichtes verdient bezogen auf Minderheiten, auf die Konstruktion von wissenschaftlichen Objekten und auf falsche Schlüsse unsere Aufmerksamkeit.</w:t>
      </w:r>
    </w:p>
    <w:p w14:paraId="4BE906AB" w14:textId="77777777" w:rsidR="00067874" w:rsidRPr="00FB4EFA" w:rsidRDefault="00067874" w:rsidP="00402EF4">
      <w:pPr>
        <w:ind w:firstLine="709"/>
        <w:rPr>
          <w:lang w:val="de-DE"/>
        </w:rPr>
      </w:pPr>
      <w:r w:rsidRPr="00FB4EFA">
        <w:rPr>
          <w:lang w:val="de-DE"/>
        </w:rPr>
        <w:t xml:space="preserve">Wie die Auskunftspersonen einer sprachwissenschaftlichen Erhebung gefunden werden, ist forschungsrelevant. Welche Rolle dabei die persönlichen Interessen, die Informationskanäle eines Wissenschaftlers spielen, ist ergebnisentscheidend. Die Vorerwartungen der Auskunftspersonen können weit variieren. Einige kennen den Vorgang der Erhebung besser als diejenigen, die die Erhebung durchführen. Andere wiederum gehen mit einem prinzipiellen Verdacht auf die Interviewsituation ein, und warten auf das verräterische Detail, das anzeigt, was die Interviewer wirklich wollen. Nicht zu sprechen von der Gasthausrunde, die </w:t>
      </w:r>
      <w:r w:rsidRPr="00FB4EFA">
        <w:rPr>
          <w:lang w:val="de-DE"/>
        </w:rPr>
        <w:lastRenderedPageBreak/>
        <w:t>vielleicht wissenschaftlich und politisch vorurteilslos, aber keinesfalls ohne Vorerwartungen den Ortsfremden gegenüber auf ein Gespräch einsteigt. Über eine „natürliche“ Gesprächssituation kann in keinem dieser Fälle gesprochen werden.</w:t>
      </w:r>
    </w:p>
    <w:p w14:paraId="45B1A4BD" w14:textId="75BFEC37" w:rsidR="00067874" w:rsidRPr="00FB4EFA" w:rsidRDefault="00067874" w:rsidP="00402EF4">
      <w:pPr>
        <w:ind w:firstLine="709"/>
        <w:rPr>
          <w:lang w:val="de-DE"/>
        </w:rPr>
      </w:pPr>
      <w:r w:rsidRPr="00FB4EFA">
        <w:rPr>
          <w:lang w:val="de-DE"/>
        </w:rPr>
        <w:t>Im 2021 entstandenen Bericht wird über 1981 geredet, über eine Zeit, in der die radikalen ethnischen Säuberungen der Zwischenkriegszeit</w:t>
      </w:r>
      <w:r w:rsidR="00003FEC" w:rsidRPr="00FB4EFA">
        <w:rPr>
          <w:lang w:val="de-DE"/>
        </w:rPr>
        <w:t> </w:t>
      </w:r>
      <w:r w:rsidRPr="00FB4EFA">
        <w:rPr>
          <w:lang w:val="de-DE"/>
        </w:rPr>
        <w:t xml:space="preserve">– deren Ergebnis die Vertreibung und Tötung der </w:t>
      </w:r>
      <w:r w:rsidR="007B58E7" w:rsidRPr="00FB4EFA">
        <w:rPr>
          <w:lang w:val="de-DE"/>
        </w:rPr>
        <w:t>Ju</w:t>
      </w:r>
      <w:r w:rsidRPr="00FB4EFA">
        <w:rPr>
          <w:lang w:val="de-DE"/>
        </w:rPr>
        <w:t>den sowie die Inhaftierung und Tötung der Roma-Bevölkerung Burgenlands war – lange Jahrzehnte zurücklagen, und auch nach den wirtschaftlich erfolgreichen 1960er Jahren, auf die die kulturell erfolgreichen 1970er folgten. 1981 erschien es also immer noch notwendig, die Bevölkerung des Burgenlandes auf Linie bringen zu müssen. 1921 erscheint dabei als der immer noch bestimmende Wendepunkt, und zwar nicht in dem Sinn, dass damals ein neues Bundesland entstand, sondern in dem, dass mit ihm die sechs Jahrzehnte später immer noch lebendigen Aggressionen verknüpft werden.</w:t>
      </w:r>
    </w:p>
    <w:p w14:paraId="4B09BF9A" w14:textId="28B74733" w:rsidR="00067874" w:rsidRPr="00FB4EFA" w:rsidRDefault="00067874" w:rsidP="00402EF4">
      <w:pPr>
        <w:ind w:firstLine="709"/>
        <w:rPr>
          <w:lang w:val="de-DE"/>
        </w:rPr>
      </w:pPr>
      <w:r w:rsidRPr="00FB4EFA">
        <w:rPr>
          <w:lang w:val="de-DE"/>
        </w:rPr>
        <w:t xml:space="preserve">Dass die Mitarbeiter des 1974 entstandenen Instituts für Finno-Ugristik der Universität Wien alles das vor Ort mitbekommen haben, aber nicht recht verstanden – „dass ich nachfragte“, „ich habe später </w:t>
      </w:r>
      <w:r w:rsidR="00003FEC" w:rsidRPr="00FB4EFA">
        <w:rPr>
          <w:lang w:val="de-DE"/>
        </w:rPr>
        <w:br/>
      </w:r>
      <w:r w:rsidRPr="00FB4EFA">
        <w:rPr>
          <w:lang w:val="de-DE"/>
        </w:rPr>
        <w:t>erfahren“</w:t>
      </w:r>
      <w:r w:rsidR="00003FEC" w:rsidRPr="00FB4EFA">
        <w:rPr>
          <w:lang w:val="de-DE"/>
        </w:rPr>
        <w:t> </w:t>
      </w:r>
      <w:r w:rsidRPr="00FB4EFA">
        <w:rPr>
          <w:lang w:val="de-DE"/>
        </w:rPr>
        <w:t>–, zeigt, wie weit Wissenschaft und Realität voneinander entfernt sein können.</w:t>
      </w:r>
    </w:p>
    <w:p w14:paraId="500841B9" w14:textId="0E51F30B" w:rsidR="00067874" w:rsidRPr="00FB4EFA" w:rsidRDefault="00067874" w:rsidP="00402EF4">
      <w:pPr>
        <w:ind w:firstLine="709"/>
        <w:rPr>
          <w:lang w:val="de-DE"/>
        </w:rPr>
      </w:pPr>
      <w:r w:rsidRPr="00FB4EFA">
        <w:rPr>
          <w:lang w:val="de-DE"/>
        </w:rPr>
        <w:t>Es ging dabei um eine Volkszählung, also gar nicht um politische Wahlen oder gar eine Volksabstimmung über die staatliche Zugehörigkeit, bei denen man als Außenstehender noch verstehen würde, dass eine ähnliche Beeinflussung stattfindet – geht es bei den Letzteren doch um reale Machtverteilung, Interessen, um Eigentum, Einfluss und um die Frage</w:t>
      </w:r>
      <w:r w:rsidR="00804A4D" w:rsidRPr="00FB4EFA">
        <w:rPr>
          <w:lang w:val="de-DE"/>
        </w:rPr>
        <w:t>,</w:t>
      </w:r>
      <w:r w:rsidRPr="00FB4EFA">
        <w:rPr>
          <w:lang w:val="de-DE"/>
        </w:rPr>
        <w:t xml:space="preserve"> wer zur Elite gehört und wer nicht. Bei der Volkszählung hingegen geht es um Identität und Repräsentation, also um symbolische Werte. Und wie wir sehen, auch um den Schein der Homogenität.</w:t>
      </w:r>
    </w:p>
    <w:p w14:paraId="67CE3AAF" w14:textId="77777777" w:rsidR="00067874" w:rsidRPr="00FB4EFA" w:rsidRDefault="00067874" w:rsidP="00402EF4">
      <w:pPr>
        <w:ind w:firstLine="709"/>
        <w:rPr>
          <w:lang w:val="de-DE"/>
        </w:rPr>
      </w:pPr>
      <w:r w:rsidRPr="00FB4EFA">
        <w:rPr>
          <w:lang w:val="de-DE"/>
        </w:rPr>
        <w:t>Die in diesem abgebrochenen Gespräch sich offenbarende Problematik stellt die Wissenschaftler vor eine Entscheidung. Die Frage ist, wie weit außerwissenschaftliche, so etwa politische Faktoren in einer wissenschaftlichen Erhebung berücksichtigt werden sollen. Das Ausblenden von politisch brisanten Faktoren ist eine gängige Praxis. Das hat Professor Rédei wohl bei den Komi, wo er 1964 Feldforschung betrieb, ge</w:t>
      </w:r>
      <w:r w:rsidRPr="00FB4EFA">
        <w:rPr>
          <w:lang w:val="de-DE"/>
        </w:rPr>
        <w:lastRenderedPageBreak/>
        <w:t>lernt, war doch die wissenschaftliche Erforschung der sowjetischen Minderheiten damals auch alles andere als reine Wissenschaft.</w:t>
      </w:r>
    </w:p>
    <w:p w14:paraId="6DAE3BAA" w14:textId="244F5914" w:rsidR="00067874" w:rsidRPr="00FB4EFA" w:rsidRDefault="00067874" w:rsidP="00402EF4">
      <w:pPr>
        <w:ind w:firstLine="709"/>
        <w:rPr>
          <w:lang w:val="de-DE"/>
        </w:rPr>
      </w:pPr>
      <w:r w:rsidRPr="00FB4EFA">
        <w:rPr>
          <w:lang w:val="de-DE"/>
        </w:rPr>
        <w:t>Am Bericht lässt sich eindrücklich zeigen, wie relevant die Generationsunterschiede sind. Relevant ist das für das Studenten-Professor-Verhältnis, für Attila Dobó und Mutter resp. noch mehr Großmutter mit der „wunderbar schönen“ Sprache. Noch relevanter ist das für die um 1920 geborene Auskunftsperson einerseits und für „die Alten, die es erlebten, was hier nach der ungarischen Zeit war</w:t>
      </w:r>
      <w:r w:rsidR="00D7279E" w:rsidRPr="00FB4EFA">
        <w:rPr>
          <w:lang w:val="de-DE"/>
        </w:rPr>
        <w:t>“</w:t>
      </w:r>
      <w:r w:rsidRPr="00FB4EFA">
        <w:rPr>
          <w:lang w:val="de-DE"/>
        </w:rPr>
        <w:t xml:space="preserve"> andererseits. Erschütternd ist aber, dass der Sohn der Auskunftsperson die Brisanz der Problematik ganz genau sieht, und weiß, da sind wieder „irgendwelche Herren</w:t>
      </w:r>
      <w:r w:rsidR="00D7279E" w:rsidRPr="00FB4EFA">
        <w:rPr>
          <w:lang w:val="de-DE"/>
        </w:rPr>
        <w:t>“</w:t>
      </w:r>
      <w:r w:rsidRPr="00FB4EFA">
        <w:rPr>
          <w:lang w:val="de-DE"/>
        </w:rPr>
        <w:t xml:space="preserve"> aus der Hauptstadt, mit denen man nicht spricht – entweder weil sie einem die Pension wegnehmen oder gar einen abschieben, oder weil man so mitten in einen nach wie vor bestehenden Konflikt gerät, in dem man nur den Kürzeren ziehen kann. Die Überlebensstrategie im Dorf hat 1981 für alle erwachsenen Generationen dasselbe bedeutet: das Schweigen.</w:t>
      </w:r>
    </w:p>
    <w:p w14:paraId="5033DEC5" w14:textId="77777777" w:rsidR="00067874" w:rsidRPr="00FB4EFA" w:rsidRDefault="00067874" w:rsidP="00402EF4">
      <w:pPr>
        <w:ind w:firstLine="709"/>
        <w:rPr>
          <w:lang w:val="de-DE"/>
        </w:rPr>
      </w:pPr>
      <w:r w:rsidRPr="00FB4EFA">
        <w:rPr>
          <w:lang w:val="de-DE"/>
        </w:rPr>
        <w:t>Wie die Mehrheit einer durch Mehrheit bestimmten politischen Kultur mit ihren Minderheiten umgeht, macht deutlich, wie sie beschaffen ist. Wie ein Autor seine Identität konstruiert, welche Elemente dieser Identität er verstärkt, in der Schwebe lässt und unterdrückt – also verschweigt oder verändert – charakterisiert nicht allein den Autor, sondern auch das Werk, das diese Identität trägt.</w:t>
      </w:r>
    </w:p>
    <w:p w14:paraId="70F608B3" w14:textId="7F6454BB" w:rsidR="00067874" w:rsidRPr="00FB4EFA" w:rsidRDefault="00067874" w:rsidP="00402EF4">
      <w:pPr>
        <w:ind w:firstLine="709"/>
        <w:rPr>
          <w:lang w:val="de-DE"/>
        </w:rPr>
      </w:pPr>
      <w:r w:rsidRPr="00FB4EFA">
        <w:rPr>
          <w:lang w:val="de-DE"/>
        </w:rPr>
        <w:t>Beide Fallbeispiele, die Minderheitenidentität einer Schriftstellerin und die gesellschaftliche Kontrolle bei der sprachwissenschaftlichen Feldforschung diesseits und jenseits der Grenze zwischen Burgenland und Westungarn, machen dasselbe deutlich: dass falsche Schlüsse integrer Teil der kulturellen Produktion sind. Wissenschaft unterscheidet sich darin von Pseudowissenschaft, dass sie ihre systemimmanenten Probleme nicht ignoriert oder gar verschleiert, sondern reflektiert</w:t>
      </w:r>
      <w:r w:rsidR="00804A4D" w:rsidRPr="00FB4EFA">
        <w:rPr>
          <w:lang w:val="de-DE"/>
        </w:rPr>
        <w:t>,</w:t>
      </w:r>
      <w:r w:rsidRPr="00FB4EFA">
        <w:rPr>
          <w:lang w:val="de-DE"/>
        </w:rPr>
        <w:t xml:space="preserve"> und zwar über die enge Grenze der spezialisierten Einzelbereiche Sprachwissenschaft und Literaturwissenschaft hinaus, indem die Methoden und Erfahrungen der Kulturwissenschaften herangezogen werden.</w:t>
      </w:r>
    </w:p>
    <w:p w14:paraId="73C4668F" w14:textId="77777777" w:rsidR="001E18A8" w:rsidRPr="00FB4EFA" w:rsidRDefault="001E18A8">
      <w:pPr>
        <w:spacing w:after="160" w:line="259" w:lineRule="auto"/>
        <w:jc w:val="left"/>
        <w:rPr>
          <w:rFonts w:ascii="Gill Sans MT" w:eastAsia="Gill Sans MT" w:hAnsi="Gill Sans MT" w:cs="Gill Sans MT"/>
          <w:sz w:val="28"/>
          <w:lang w:eastAsia="en-GB"/>
        </w:rPr>
      </w:pPr>
      <w:r w:rsidRPr="00FB4EFA">
        <w:br w:type="page"/>
      </w:r>
    </w:p>
    <w:p w14:paraId="29B8B2C4" w14:textId="6AFC7FEC" w:rsidR="00067874" w:rsidRPr="00FB4EFA" w:rsidRDefault="00067874" w:rsidP="00545033">
      <w:pPr>
        <w:pStyle w:val="Heading2"/>
        <w:suppressAutoHyphens/>
        <w:spacing w:line="259" w:lineRule="auto"/>
        <w:rPr>
          <w:color w:val="auto"/>
          <w:lang w:val="de-AT"/>
        </w:rPr>
      </w:pPr>
      <w:r w:rsidRPr="00FB4EFA">
        <w:rPr>
          <w:color w:val="auto"/>
          <w:lang w:val="de-AT"/>
        </w:rPr>
        <w:lastRenderedPageBreak/>
        <w:t>Bibliografie</w:t>
      </w:r>
    </w:p>
    <w:p w14:paraId="2DAEC6DF" w14:textId="77777777" w:rsidR="00067874" w:rsidRPr="00FB4EFA" w:rsidRDefault="00067874" w:rsidP="001E18A8">
      <w:pPr>
        <w:suppressAutoHyphens/>
        <w:spacing w:line="240" w:lineRule="auto"/>
        <w:ind w:left="425" w:hanging="425"/>
      </w:pPr>
      <w:r w:rsidRPr="00FB4EFA">
        <w:t xml:space="preserve">Claussen, Christine. 1999. Schluss mit dem Unglück. Mit ihrem ersten Buch schrieb Terézia Mora sich die Kindheit vom Leib. Der Stern traf die Bachmann-Preisträgerin in ihrer ungarischen Heimat. </w:t>
      </w:r>
      <w:r w:rsidRPr="00FB4EFA">
        <w:rPr>
          <w:i/>
          <w:iCs/>
        </w:rPr>
        <w:t>Stern</w:t>
      </w:r>
      <w:r w:rsidRPr="00FB4EFA">
        <w:t xml:space="preserve"> 40. 1999. 292f.</w:t>
      </w:r>
    </w:p>
    <w:p w14:paraId="25101F4C" w14:textId="77777777" w:rsidR="00067874" w:rsidRPr="00FB4EFA" w:rsidRDefault="00067874" w:rsidP="001E18A8">
      <w:pPr>
        <w:suppressAutoHyphens/>
        <w:spacing w:line="240" w:lineRule="auto"/>
        <w:ind w:left="425" w:hanging="425"/>
      </w:pPr>
      <w:r w:rsidRPr="00FB4EFA">
        <w:t xml:space="preserve">Hoffer, Klaus. 1991. </w:t>
      </w:r>
      <w:r w:rsidRPr="00FB4EFA">
        <w:rPr>
          <w:i/>
          <w:iCs/>
        </w:rPr>
        <w:t>Pusztavolk</w:t>
      </w:r>
      <w:r w:rsidRPr="00FB4EFA">
        <w:t>. Graz: Droschl.</w:t>
      </w:r>
    </w:p>
    <w:p w14:paraId="768D689E" w14:textId="77777777" w:rsidR="00067874" w:rsidRPr="00FB4EFA" w:rsidRDefault="00067874" w:rsidP="001E18A8">
      <w:pPr>
        <w:suppressAutoHyphens/>
        <w:spacing w:line="240" w:lineRule="auto"/>
        <w:ind w:left="425" w:hanging="425"/>
        <w:rPr>
          <w:rFonts w:eastAsia="Times New Roman" w:cstheme="minorHAnsi"/>
          <w:bCs/>
        </w:rPr>
      </w:pPr>
      <w:r w:rsidRPr="00FB4EFA">
        <w:rPr>
          <w:rFonts w:eastAsia="Times New Roman" w:cstheme="minorHAnsi"/>
          <w:bCs/>
        </w:rPr>
        <w:t xml:space="preserve">Kramatscheck, Claudia. 2001. </w:t>
      </w:r>
      <w:r w:rsidRPr="00FB4EFA">
        <w:rPr>
          <w:rFonts w:eastAsia="Times New Roman" w:cstheme="minorHAnsi"/>
          <w:bCs/>
          <w:iCs/>
        </w:rPr>
        <w:t>Seltsame Materie.</w:t>
      </w:r>
      <w:r w:rsidRPr="00FB4EFA">
        <w:rPr>
          <w:rFonts w:eastAsia="Times New Roman" w:cstheme="minorHAnsi"/>
          <w:bCs/>
        </w:rPr>
        <w:t xml:space="preserve"> </w:t>
      </w:r>
      <w:r w:rsidRPr="00FB4EFA">
        <w:rPr>
          <w:rFonts w:eastAsia="Times New Roman" w:cstheme="minorHAnsi"/>
          <w:bCs/>
          <w:i/>
          <w:iCs/>
        </w:rPr>
        <w:t>Deutschlandfunk</w:t>
      </w:r>
      <w:r w:rsidRPr="00FB4EFA">
        <w:rPr>
          <w:rFonts w:eastAsia="Times New Roman" w:cstheme="minorHAnsi"/>
          <w:bCs/>
        </w:rPr>
        <w:t>.</w:t>
      </w:r>
    </w:p>
    <w:p w14:paraId="29F37694" w14:textId="77777777" w:rsidR="00067874" w:rsidRPr="00FB4EFA" w:rsidRDefault="00067874" w:rsidP="001E18A8">
      <w:pPr>
        <w:suppressAutoHyphens/>
        <w:spacing w:line="240" w:lineRule="auto"/>
        <w:ind w:left="425" w:hanging="425"/>
        <w:rPr>
          <w:rFonts w:cstheme="minorHAnsi"/>
          <w:lang w:val="en-US"/>
        </w:rPr>
      </w:pPr>
      <w:r w:rsidRPr="00FB4EFA">
        <w:rPr>
          <w:rFonts w:cstheme="minorHAnsi"/>
          <w:lang w:val="de-DE"/>
        </w:rPr>
        <w:t xml:space="preserve">Kramatschek, Claudia. 1999. </w:t>
      </w:r>
      <w:r w:rsidRPr="00FB4EFA">
        <w:rPr>
          <w:rFonts w:cstheme="minorHAnsi"/>
          <w:iCs/>
          <w:lang w:val="de-DE"/>
        </w:rPr>
        <w:t>Wütende Idylle. Eine junge ungarische Autorin schreibt auf deutsch – und erinnert sich an Schrecken der Kindheit</w:t>
      </w:r>
      <w:r w:rsidRPr="00FB4EFA">
        <w:rPr>
          <w:rFonts w:cstheme="minorHAnsi"/>
          <w:lang w:val="de-DE"/>
        </w:rPr>
        <w:t xml:space="preserve">. </w:t>
      </w:r>
      <w:r w:rsidRPr="00FB4EFA">
        <w:rPr>
          <w:rFonts w:cstheme="minorHAnsi"/>
          <w:i/>
          <w:lang w:val="en-US"/>
        </w:rPr>
        <w:t>Vogue</w:t>
      </w:r>
      <w:r w:rsidRPr="00FB4EFA">
        <w:rPr>
          <w:rFonts w:cstheme="minorHAnsi"/>
          <w:lang w:val="en-US"/>
        </w:rPr>
        <w:t xml:space="preserve"> 10. 179.</w:t>
      </w:r>
    </w:p>
    <w:p w14:paraId="7C18C4EF" w14:textId="6714513C" w:rsidR="00067874" w:rsidRPr="00FB4EFA" w:rsidRDefault="00067874" w:rsidP="001E18A8">
      <w:pPr>
        <w:suppressAutoHyphens/>
        <w:spacing w:line="240" w:lineRule="auto"/>
        <w:ind w:left="425" w:hanging="425"/>
        <w:rPr>
          <w:rFonts w:cstheme="minorHAnsi"/>
          <w:iCs/>
          <w:lang w:val="en-US"/>
        </w:rPr>
      </w:pPr>
      <w:r w:rsidRPr="00FB4EFA">
        <w:rPr>
          <w:rFonts w:cstheme="minorHAnsi"/>
          <w:iCs/>
          <w:lang w:val="en-US"/>
        </w:rPr>
        <w:t xml:space="preserve">Mayer Hacker, Helen. 1951. Women as a Minority Group. In </w:t>
      </w:r>
      <w:r w:rsidRPr="00FB4EFA">
        <w:rPr>
          <w:rFonts w:cstheme="minorHAnsi"/>
          <w:i/>
          <w:lang w:val="en-US"/>
        </w:rPr>
        <w:t>Social Forces</w:t>
      </w:r>
      <w:r w:rsidRPr="00FB4EFA">
        <w:rPr>
          <w:rFonts w:cstheme="minorHAnsi"/>
          <w:iCs/>
          <w:lang w:val="en-US"/>
        </w:rPr>
        <w:t xml:space="preserve"> 30 </w:t>
      </w:r>
      <w:r w:rsidR="00C3771F" w:rsidRPr="00FB4EFA">
        <w:rPr>
          <w:rFonts w:cstheme="minorHAnsi"/>
          <w:iCs/>
          <w:lang w:val="en-US"/>
        </w:rPr>
        <w:t>(</w:t>
      </w:r>
      <w:r w:rsidRPr="00FB4EFA">
        <w:rPr>
          <w:rFonts w:cstheme="minorHAnsi"/>
          <w:iCs/>
          <w:lang w:val="en-US"/>
        </w:rPr>
        <w:t>1</w:t>
      </w:r>
      <w:r w:rsidR="00C3771F" w:rsidRPr="00FB4EFA">
        <w:rPr>
          <w:rFonts w:cstheme="minorHAnsi"/>
          <w:iCs/>
          <w:lang w:val="en-US"/>
        </w:rPr>
        <w:t>).</w:t>
      </w:r>
      <w:r w:rsidRPr="00FB4EFA">
        <w:rPr>
          <w:rFonts w:cstheme="minorHAnsi"/>
          <w:iCs/>
          <w:lang w:val="en-US"/>
        </w:rPr>
        <w:t xml:space="preserve"> 60–69.</w:t>
      </w:r>
    </w:p>
    <w:p w14:paraId="5D47F55D" w14:textId="06091D9D" w:rsidR="00067874" w:rsidRPr="00FB4EFA" w:rsidRDefault="00067874" w:rsidP="001E18A8">
      <w:pPr>
        <w:suppressAutoHyphens/>
        <w:spacing w:line="240" w:lineRule="auto"/>
        <w:ind w:left="425" w:hanging="425"/>
        <w:rPr>
          <w:rFonts w:cstheme="minorHAnsi"/>
          <w:lang w:val="de-DE"/>
        </w:rPr>
      </w:pPr>
      <w:r w:rsidRPr="00FB4EFA">
        <w:rPr>
          <w:rFonts w:cstheme="minorHAnsi"/>
        </w:rPr>
        <w:t xml:space="preserve">Mora, Terézia. 2007. </w:t>
      </w:r>
      <w:r w:rsidRPr="00FB4EFA">
        <w:rPr>
          <w:rFonts w:cstheme="minorHAnsi"/>
          <w:i/>
          <w:lang w:val="de-DE"/>
        </w:rPr>
        <w:t>D</w:t>
      </w:r>
      <w:r w:rsidR="001306CD" w:rsidRPr="00FB4EFA">
        <w:rPr>
          <w:rFonts w:cstheme="minorHAnsi"/>
          <w:i/>
          <w:lang w:val="de-DE"/>
        </w:rPr>
        <w:t>as</w:t>
      </w:r>
      <w:r w:rsidRPr="00FB4EFA">
        <w:rPr>
          <w:rFonts w:cstheme="minorHAnsi"/>
          <w:i/>
          <w:lang w:val="de-DE"/>
        </w:rPr>
        <w:t xml:space="preserve"> Kreter</w:t>
      </w:r>
      <w:r w:rsidR="001306CD" w:rsidRPr="00FB4EFA">
        <w:rPr>
          <w:rFonts w:cstheme="minorHAnsi"/>
          <w:i/>
          <w:lang w:val="de-DE"/>
        </w:rPr>
        <w:t>-</w:t>
      </w:r>
      <w:r w:rsidRPr="00FB4EFA">
        <w:rPr>
          <w:rFonts w:cstheme="minorHAnsi"/>
          <w:i/>
          <w:lang w:val="de-DE"/>
        </w:rPr>
        <w:t>Spiel</w:t>
      </w:r>
      <w:r w:rsidRPr="00FB4EFA">
        <w:rPr>
          <w:rFonts w:cstheme="minorHAnsi"/>
          <w:lang w:val="de-DE"/>
        </w:rPr>
        <w:t xml:space="preserve">. </w:t>
      </w:r>
      <w:hyperlink r:id="rId480" w:history="1">
        <w:r w:rsidR="00354CC6" w:rsidRPr="00FB4EFA">
          <w:rPr>
            <w:rStyle w:val="Hyperlink"/>
            <w:rFonts w:cstheme="minorHAnsi"/>
            <w:color w:val="auto"/>
            <w:lang w:val="de-DE"/>
          </w:rPr>
          <w:t>www.tereziamora.de/</w:t>
        </w:r>
        <w:r w:rsidR="00354CC6" w:rsidRPr="00FB4EFA">
          <w:rPr>
            <w:rStyle w:val="Hyperlink"/>
            <w:rFonts w:cstheme="minorHAnsi"/>
            <w:color w:val="auto"/>
            <w:lang w:val="de-DE"/>
          </w:rPr>
          <w:br/>
          <w:t>downloads/Kreter-Spiel.pdf</w:t>
        </w:r>
      </w:hyperlink>
      <w:r w:rsidR="00614E7B" w:rsidRPr="00FB4EFA">
        <w:rPr>
          <w:rFonts w:cs="Charis SIL"/>
          <w:lang w:val="hu-HU"/>
        </w:rPr>
        <w:t>.</w:t>
      </w:r>
    </w:p>
    <w:p w14:paraId="2C9CEA65" w14:textId="1EDCC825" w:rsidR="00067874" w:rsidRPr="00FB4EFA" w:rsidRDefault="00067874" w:rsidP="001E18A8">
      <w:pPr>
        <w:suppressAutoHyphens/>
        <w:spacing w:line="240" w:lineRule="auto"/>
        <w:ind w:left="425" w:hanging="425"/>
        <w:rPr>
          <w:rFonts w:cstheme="minorHAnsi"/>
          <w:lang w:val="de-DE"/>
        </w:rPr>
      </w:pPr>
      <w:r w:rsidRPr="00FB4EFA">
        <w:rPr>
          <w:rFonts w:cstheme="minorHAnsi"/>
        </w:rPr>
        <w:t xml:space="preserve">Mora, Terézia. </w:t>
      </w:r>
      <w:r w:rsidRPr="00FB4EFA">
        <w:rPr>
          <w:rFonts w:cstheme="minorHAnsi"/>
          <w:lang w:val="de-DE"/>
        </w:rPr>
        <w:t xml:space="preserve">2012. </w:t>
      </w:r>
      <w:r w:rsidRPr="00FB4EFA">
        <w:rPr>
          <w:rFonts w:cstheme="minorHAnsi"/>
          <w:iCs/>
          <w:lang w:val="de-DE"/>
        </w:rPr>
        <w:t>Hirn-mit-Nier</w:t>
      </w:r>
      <w:r w:rsidR="007C5960" w:rsidRPr="00FB4EFA">
        <w:rPr>
          <w:rFonts w:cstheme="minorHAnsi"/>
        </w:rPr>
        <w:t>‘</w:t>
      </w:r>
      <w:r w:rsidRPr="00FB4EFA">
        <w:rPr>
          <w:rFonts w:cstheme="minorHAnsi"/>
          <w:iCs/>
          <w:lang w:val="de-DE"/>
        </w:rPr>
        <w:t>n-Suppe.</w:t>
      </w:r>
      <w:r w:rsidRPr="00FB4EFA">
        <w:rPr>
          <w:rFonts w:cstheme="minorHAnsi"/>
          <w:lang w:val="de-DE"/>
        </w:rPr>
        <w:t xml:space="preserve"> </w:t>
      </w:r>
      <w:r w:rsidRPr="00FB4EFA">
        <w:rPr>
          <w:rFonts w:cstheme="minorHAnsi"/>
          <w:lang w:val="nl-NL"/>
        </w:rPr>
        <w:t xml:space="preserve">In Angelika Overath et al. </w:t>
      </w:r>
      <w:r w:rsidRPr="00FB4EFA">
        <w:rPr>
          <w:rFonts w:cstheme="minorHAnsi"/>
          <w:lang w:val="de-DE"/>
        </w:rPr>
        <w:t xml:space="preserve">Hrsg. </w:t>
      </w:r>
      <w:r w:rsidRPr="00FB4EFA">
        <w:rPr>
          <w:rFonts w:cstheme="minorHAnsi"/>
          <w:i/>
          <w:lang w:val="de-DE"/>
        </w:rPr>
        <w:t xml:space="preserve">Tafelrunde. Schriftsteller kochen für ihre Freunde. Rezepte und Geschichten. </w:t>
      </w:r>
      <w:r w:rsidRPr="00FB4EFA">
        <w:rPr>
          <w:rFonts w:cstheme="minorHAnsi"/>
        </w:rPr>
        <w:t>München:</w:t>
      </w:r>
      <w:r w:rsidRPr="00FB4EFA">
        <w:rPr>
          <w:rFonts w:cstheme="minorHAnsi"/>
          <w:i/>
          <w:lang w:val="de-DE"/>
        </w:rPr>
        <w:t xml:space="preserve"> </w:t>
      </w:r>
      <w:r w:rsidRPr="00FB4EFA">
        <w:rPr>
          <w:rStyle w:val="CommentReference"/>
          <w:rFonts w:cstheme="minorHAnsi"/>
          <w:sz w:val="22"/>
          <w:szCs w:val="22"/>
        </w:rPr>
        <w:t>Luchterhand</w:t>
      </w:r>
      <w:r w:rsidRPr="00FB4EFA">
        <w:rPr>
          <w:rFonts w:cstheme="minorHAnsi"/>
          <w:i/>
          <w:iCs/>
        </w:rPr>
        <w:t>.</w:t>
      </w:r>
    </w:p>
    <w:p w14:paraId="1AD8F6F7" w14:textId="514CC072" w:rsidR="00067874" w:rsidRPr="00FB4EFA" w:rsidRDefault="00067874" w:rsidP="001E18A8">
      <w:pPr>
        <w:suppressAutoHyphens/>
        <w:spacing w:line="240" w:lineRule="auto"/>
        <w:ind w:left="425" w:hanging="425"/>
        <w:rPr>
          <w:rFonts w:cstheme="minorHAnsi"/>
        </w:rPr>
      </w:pPr>
      <w:r w:rsidRPr="00FB4EFA">
        <w:rPr>
          <w:rFonts w:cstheme="minorHAnsi"/>
        </w:rPr>
        <w:t>Mora, Terézia</w:t>
      </w:r>
      <w:r w:rsidR="00E162E1" w:rsidRPr="00FB4EFA">
        <w:rPr>
          <w:rFonts w:cstheme="minorHAnsi"/>
        </w:rPr>
        <w:t>.</w:t>
      </w:r>
      <w:r w:rsidRPr="00FB4EFA">
        <w:rPr>
          <w:rFonts w:cstheme="minorHAnsi"/>
          <w:i/>
        </w:rPr>
        <w:t xml:space="preserve"> </w:t>
      </w:r>
      <w:r w:rsidRPr="00FB4EFA">
        <w:rPr>
          <w:rFonts w:cstheme="minorHAnsi"/>
        </w:rPr>
        <w:t xml:space="preserve">2014. </w:t>
      </w:r>
      <w:r w:rsidRPr="00FB4EFA">
        <w:rPr>
          <w:rFonts w:cstheme="minorHAnsi"/>
          <w:i/>
        </w:rPr>
        <w:t xml:space="preserve">Nicht sterben. </w:t>
      </w:r>
      <w:r w:rsidRPr="00FB4EFA">
        <w:rPr>
          <w:rFonts w:cstheme="minorHAnsi"/>
        </w:rPr>
        <w:t>München:</w:t>
      </w:r>
      <w:r w:rsidRPr="00FB4EFA">
        <w:rPr>
          <w:rFonts w:cstheme="minorHAnsi"/>
          <w:i/>
          <w:lang w:val="de-DE"/>
        </w:rPr>
        <w:t xml:space="preserve"> </w:t>
      </w:r>
      <w:r w:rsidRPr="00FB4EFA">
        <w:rPr>
          <w:rStyle w:val="CommentReference"/>
          <w:rFonts w:cstheme="minorHAnsi"/>
          <w:sz w:val="22"/>
          <w:szCs w:val="22"/>
        </w:rPr>
        <w:t>Luchterhand</w:t>
      </w:r>
      <w:r w:rsidRPr="00FB4EFA">
        <w:rPr>
          <w:rFonts w:cstheme="minorHAnsi"/>
          <w:i/>
          <w:iCs/>
        </w:rPr>
        <w:t>.</w:t>
      </w:r>
    </w:p>
    <w:p w14:paraId="10872625" w14:textId="77777777" w:rsidR="00067874" w:rsidRPr="00FB4EFA" w:rsidRDefault="00067874" w:rsidP="001E18A8">
      <w:pPr>
        <w:suppressAutoHyphens/>
        <w:spacing w:line="240" w:lineRule="auto"/>
        <w:ind w:left="425" w:hanging="425"/>
        <w:rPr>
          <w:rFonts w:cstheme="minorHAnsi"/>
        </w:rPr>
      </w:pPr>
      <w:r w:rsidRPr="00FB4EFA">
        <w:rPr>
          <w:rFonts w:cstheme="minorHAnsi"/>
          <w:lang w:val="de-DE"/>
        </w:rPr>
        <w:t xml:space="preserve">Mora, Terézia. 2016. </w:t>
      </w:r>
      <w:r w:rsidRPr="00FB4EFA">
        <w:rPr>
          <w:rFonts w:cstheme="minorHAnsi"/>
          <w:i/>
          <w:lang w:val="de-DE"/>
        </w:rPr>
        <w:t>Der geheime Text</w:t>
      </w:r>
      <w:r w:rsidRPr="00FB4EFA">
        <w:rPr>
          <w:rFonts w:cstheme="minorHAnsi"/>
          <w:iCs/>
          <w:lang w:val="de-DE"/>
        </w:rPr>
        <w:t>.</w:t>
      </w:r>
      <w:r w:rsidRPr="00FB4EFA">
        <w:rPr>
          <w:rFonts w:cstheme="minorHAnsi"/>
          <w:lang w:val="de-DE"/>
        </w:rPr>
        <w:t xml:space="preserve"> </w:t>
      </w:r>
      <w:r w:rsidRPr="00FB4EFA">
        <w:rPr>
          <w:rFonts w:cstheme="minorHAnsi"/>
        </w:rPr>
        <w:t>Wien: Sonderzahl.</w:t>
      </w:r>
    </w:p>
    <w:p w14:paraId="2BCF06B3" w14:textId="22F5A059" w:rsidR="00067874" w:rsidRPr="00FB4EFA" w:rsidRDefault="00067874" w:rsidP="001E18A8">
      <w:pPr>
        <w:suppressAutoHyphens/>
        <w:spacing w:line="240" w:lineRule="auto"/>
        <w:ind w:left="425" w:hanging="425"/>
        <w:rPr>
          <w:rFonts w:cstheme="minorHAnsi"/>
          <w:lang w:val="it-IT"/>
        </w:rPr>
      </w:pPr>
      <w:r w:rsidRPr="00FB4EFA">
        <w:rPr>
          <w:rFonts w:cstheme="minorHAnsi"/>
          <w:lang w:val="de-DE"/>
        </w:rPr>
        <w:t xml:space="preserve">Mora, Terézia und Fiziker, Róbert. </w:t>
      </w:r>
      <w:r w:rsidRPr="00FB4EFA">
        <w:rPr>
          <w:rFonts w:cstheme="minorHAnsi"/>
          <w:lang w:val="it-IT"/>
        </w:rPr>
        <w:t xml:space="preserve">2016. </w:t>
      </w:r>
      <w:r w:rsidRPr="00FB4EFA">
        <w:rPr>
          <w:rFonts w:cstheme="minorHAnsi"/>
          <w:iCs/>
          <w:lang w:val="it-IT"/>
        </w:rPr>
        <w:t>Fert</w:t>
      </w:r>
      <w:r w:rsidRPr="00FB4EFA">
        <w:rPr>
          <w:rFonts w:cs="Cambria"/>
          <w:iCs/>
          <w:lang w:val="it-IT"/>
        </w:rPr>
        <w:t>ő</w:t>
      </w:r>
      <w:r w:rsidRPr="00FB4EFA">
        <w:rPr>
          <w:rFonts w:cstheme="minorHAnsi"/>
          <w:iCs/>
          <w:lang w:val="it-IT"/>
        </w:rPr>
        <w:t>r</w:t>
      </w:r>
      <w:r w:rsidRPr="00FB4EFA">
        <w:rPr>
          <w:rFonts w:cs="Baskerville Old Face"/>
          <w:iCs/>
          <w:lang w:val="it-IT"/>
        </w:rPr>
        <w:t>á</w:t>
      </w:r>
      <w:r w:rsidRPr="00FB4EFA">
        <w:rPr>
          <w:rFonts w:cstheme="minorHAnsi"/>
          <w:iCs/>
          <w:lang w:val="it-IT"/>
        </w:rPr>
        <w:t>kos 274 hsz. Sopron vm</w:t>
      </w:r>
      <w:r w:rsidRPr="00FB4EFA">
        <w:rPr>
          <w:rFonts w:cstheme="minorHAnsi"/>
          <w:i/>
          <w:lang w:val="it-IT"/>
        </w:rPr>
        <w:t>. Soproni Szemle</w:t>
      </w:r>
      <w:r w:rsidRPr="00FB4EFA">
        <w:rPr>
          <w:rFonts w:cstheme="minorHAnsi"/>
          <w:lang w:val="it-IT"/>
        </w:rPr>
        <w:t xml:space="preserve"> 4.</w:t>
      </w:r>
    </w:p>
    <w:p w14:paraId="4040CFC7" w14:textId="45F831F6" w:rsidR="00067874" w:rsidRPr="00FB4EFA" w:rsidRDefault="00067874" w:rsidP="001E18A8">
      <w:pPr>
        <w:suppressAutoHyphens/>
        <w:spacing w:line="240" w:lineRule="auto"/>
        <w:ind w:left="425" w:hanging="425"/>
        <w:rPr>
          <w:rFonts w:eastAsia="Times New Roman" w:cstheme="minorHAnsi"/>
          <w:lang w:val="de-DE"/>
        </w:rPr>
      </w:pPr>
      <w:r w:rsidRPr="00FB4EFA">
        <w:rPr>
          <w:rFonts w:eastAsia="Times New Roman" w:cstheme="minorHAnsi"/>
          <w:iCs/>
          <w:lang w:val="de-DE"/>
        </w:rPr>
        <w:t xml:space="preserve">N.N. </w:t>
      </w:r>
      <w:r w:rsidRPr="00FB4EFA">
        <w:rPr>
          <w:rFonts w:eastAsia="Times New Roman" w:cstheme="minorHAnsi"/>
          <w:lang w:val="de-DE"/>
        </w:rPr>
        <w:t xml:space="preserve">2005. </w:t>
      </w:r>
      <w:r w:rsidRPr="00FB4EFA">
        <w:rPr>
          <w:rFonts w:eastAsia="Times New Roman" w:cstheme="minorHAnsi"/>
          <w:iCs/>
          <w:lang w:val="de-DE"/>
        </w:rPr>
        <w:t>Ich bin ein Teil der deutschen Literatur, so deutsch wie Kafka. Interview mit Terézia Mora, Imran Ayata, Wladimir Kaminer und Navid Kermani</w:t>
      </w:r>
      <w:r w:rsidRPr="00FB4EFA">
        <w:rPr>
          <w:rFonts w:eastAsia="Times New Roman" w:cstheme="minorHAnsi"/>
          <w:lang w:val="de-DE"/>
        </w:rPr>
        <w:t xml:space="preserve">. </w:t>
      </w:r>
      <w:r w:rsidRPr="00FB4EFA">
        <w:rPr>
          <w:rFonts w:eastAsia="Times New Roman" w:cstheme="minorHAnsi"/>
          <w:i/>
          <w:iCs/>
          <w:lang w:val="de-DE"/>
        </w:rPr>
        <w:t>Literaturen</w:t>
      </w:r>
      <w:r w:rsidRPr="00FB4EFA">
        <w:rPr>
          <w:rFonts w:eastAsia="Times New Roman" w:cstheme="minorHAnsi"/>
          <w:lang w:val="de-DE"/>
        </w:rPr>
        <w:t xml:space="preserve">. April 2005. </w:t>
      </w:r>
      <w:r w:rsidRPr="00FB4EFA">
        <w:rPr>
          <w:rFonts w:eastAsia="Times New Roman"/>
          <w:bCs/>
        </w:rPr>
        <w:t>26–31.</w:t>
      </w:r>
    </w:p>
    <w:p w14:paraId="116FDB77" w14:textId="77777777" w:rsidR="00067874" w:rsidRPr="00FB4EFA" w:rsidRDefault="00067874" w:rsidP="001E18A8">
      <w:pPr>
        <w:suppressAutoHyphens/>
        <w:spacing w:line="240" w:lineRule="auto"/>
        <w:ind w:left="425" w:hanging="425"/>
        <w:rPr>
          <w:kern w:val="36"/>
          <w:lang w:val="nl-NL" w:eastAsia="de-AT"/>
        </w:rPr>
      </w:pPr>
      <w:r w:rsidRPr="00FB4EFA">
        <w:rPr>
          <w:iCs/>
          <w:lang w:val="de-DE"/>
        </w:rPr>
        <w:t xml:space="preserve">N.N. </w:t>
      </w:r>
      <w:r w:rsidRPr="00FB4EFA">
        <w:rPr>
          <w:lang w:val="de-DE"/>
        </w:rPr>
        <w:t xml:space="preserve">2013. </w:t>
      </w:r>
      <w:r w:rsidRPr="00FB4EFA">
        <w:rPr>
          <w:kern w:val="36"/>
          <w:lang w:val="de-DE" w:eastAsia="de-AT"/>
        </w:rPr>
        <w:t xml:space="preserve">Esterházy fordítója kapta a Német Könyvdíjat. </w:t>
      </w:r>
      <w:r w:rsidRPr="00FB4EFA">
        <w:rPr>
          <w:i/>
          <w:iCs/>
          <w:kern w:val="36"/>
          <w:lang w:val="nl-NL" w:eastAsia="de-AT"/>
        </w:rPr>
        <w:t>Magyar Nemzet</w:t>
      </w:r>
      <w:r w:rsidRPr="00FB4EFA">
        <w:rPr>
          <w:kern w:val="36"/>
          <w:lang w:val="nl-NL" w:eastAsia="de-AT"/>
        </w:rPr>
        <w:t xml:space="preserve">. </w:t>
      </w:r>
      <w:r w:rsidRPr="00FB4EFA">
        <w:rPr>
          <w:lang w:val="nl-NL"/>
        </w:rPr>
        <w:t>7. Oktober 2013.</w:t>
      </w:r>
    </w:p>
    <w:p w14:paraId="0B43135D" w14:textId="6FECA77D" w:rsidR="00067874" w:rsidRPr="00FB4EFA" w:rsidRDefault="00067874" w:rsidP="001E18A8">
      <w:pPr>
        <w:suppressAutoHyphens/>
        <w:spacing w:line="240" w:lineRule="auto"/>
        <w:ind w:left="425" w:hanging="425"/>
        <w:rPr>
          <w:lang w:val="nl-NL"/>
        </w:rPr>
      </w:pPr>
      <w:r w:rsidRPr="00FB4EFA">
        <w:rPr>
          <w:rFonts w:eastAsia="Times New Roman" w:cstheme="minorHAnsi"/>
          <w:iCs/>
          <w:lang w:val="nl-NL"/>
        </w:rPr>
        <w:t xml:space="preserve">N.N. </w:t>
      </w:r>
      <w:r w:rsidRPr="00FB4EFA">
        <w:rPr>
          <w:rFonts w:eastAsia="Times New Roman" w:cstheme="minorHAnsi"/>
          <w:lang w:val="nl-NL"/>
        </w:rPr>
        <w:t xml:space="preserve">2015. </w:t>
      </w:r>
      <w:r w:rsidRPr="00FB4EFA">
        <w:rPr>
          <w:rFonts w:cstheme="minorHAnsi"/>
          <w:iCs/>
          <w:lang w:val="nl-NL"/>
        </w:rPr>
        <w:t>Néha azt kell használni, amit nagyon jól tud az ember, néha azt, amit nem annyira.</w:t>
      </w:r>
      <w:r w:rsidRPr="00FB4EFA">
        <w:rPr>
          <w:rFonts w:cstheme="minorHAnsi"/>
          <w:lang w:val="nl-NL"/>
        </w:rPr>
        <w:t xml:space="preserve"> </w:t>
      </w:r>
      <w:r w:rsidRPr="00FB4EFA">
        <w:rPr>
          <w:rFonts w:cstheme="minorHAnsi"/>
          <w:i/>
          <w:iCs/>
          <w:lang w:val="nl-NL"/>
        </w:rPr>
        <w:t>Irodalmi Szemle</w:t>
      </w:r>
      <w:r w:rsidRPr="00FB4EFA">
        <w:rPr>
          <w:rFonts w:cstheme="minorHAnsi"/>
          <w:lang w:val="nl-NL"/>
        </w:rPr>
        <w:t xml:space="preserve">. Bratislava. Siehe </w:t>
      </w:r>
      <w:hyperlink r:id="rId481" w:history="1">
        <w:r w:rsidRPr="00FB4EFA">
          <w:rPr>
            <w:rStyle w:val="Hyperlink"/>
            <w:rFonts w:cstheme="minorHAnsi"/>
            <w:color w:val="auto"/>
            <w:lang w:val="nl-NL"/>
          </w:rPr>
          <w:t>irodalmiszemle</w:t>
        </w:r>
        <w:r w:rsidRPr="00FB4EFA">
          <w:rPr>
            <w:rStyle w:val="Hyperlink"/>
            <w:rFonts w:cstheme="minorHAnsi"/>
            <w:bCs/>
            <w:color w:val="auto"/>
            <w:lang w:val="nl-NL"/>
          </w:rPr>
          <w:t>.sk/2015/10/neha-azt-kell-hasznalni-amit-nagyon-jol-tud-az-ember-neha-azt-amit-nem-annyira/</w:t>
        </w:r>
      </w:hyperlink>
    </w:p>
    <w:p w14:paraId="274A93EE" w14:textId="77777777" w:rsidR="00067874" w:rsidRPr="00FB4EFA" w:rsidRDefault="00067874" w:rsidP="001E18A8">
      <w:pPr>
        <w:suppressAutoHyphens/>
        <w:spacing w:line="240" w:lineRule="auto"/>
        <w:ind w:left="425" w:hanging="425"/>
        <w:rPr>
          <w:rFonts w:cstheme="minorHAnsi"/>
          <w:lang w:val="de-DE"/>
        </w:rPr>
      </w:pPr>
      <w:r w:rsidRPr="00FB4EFA">
        <w:rPr>
          <w:rFonts w:cstheme="minorHAnsi"/>
          <w:lang w:val="de-DE"/>
        </w:rPr>
        <w:t xml:space="preserve">Weidermann, Volker. 2004. </w:t>
      </w:r>
      <w:r w:rsidRPr="00FB4EFA">
        <w:rPr>
          <w:rFonts w:cstheme="minorHAnsi"/>
          <w:iCs/>
          <w:lang w:val="de-DE"/>
        </w:rPr>
        <w:t>Aus einer anderen Welt. Im Vergleich zu ihr sind alle anderen gleich: Die ungarisch-deutsche Schriftstellerin Terézia Mora hat ihren ersten Roman geschrieben</w:t>
      </w:r>
      <w:r w:rsidRPr="00FB4EFA">
        <w:rPr>
          <w:rFonts w:cstheme="minorHAnsi"/>
          <w:lang w:val="de-DE"/>
        </w:rPr>
        <w:t xml:space="preserve">. </w:t>
      </w:r>
      <w:r w:rsidRPr="00FB4EFA">
        <w:rPr>
          <w:rFonts w:cstheme="minorHAnsi"/>
          <w:i/>
          <w:lang w:val="de-DE"/>
        </w:rPr>
        <w:t>Frankfurter Allgemeine Sonntagszeitung</w:t>
      </w:r>
      <w:r w:rsidRPr="00FB4EFA">
        <w:rPr>
          <w:rFonts w:cstheme="minorHAnsi"/>
          <w:lang w:val="de-DE"/>
        </w:rPr>
        <w:t xml:space="preserve"> 8. August 2004. 27.</w:t>
      </w:r>
    </w:p>
    <w:p w14:paraId="5DBE7BDA" w14:textId="77777777" w:rsidR="00A96E85" w:rsidRPr="00FB4EFA" w:rsidRDefault="00A96E85" w:rsidP="00402EF4">
      <w:pPr>
        <w:spacing w:after="160"/>
        <w:jc w:val="center"/>
        <w:rPr>
          <w:smallCaps/>
          <w:sz w:val="48"/>
          <w:szCs w:val="48"/>
        </w:rPr>
        <w:sectPr w:rsidR="00A96E85" w:rsidRPr="00FB4EFA">
          <w:headerReference w:type="even" r:id="rId482"/>
          <w:headerReference w:type="default" r:id="rId483"/>
          <w:headerReference w:type="first" r:id="rId484"/>
          <w:footnotePr>
            <w:numRestart w:val="eachSect"/>
          </w:footnotePr>
          <w:pgSz w:w="9180" w:h="13302"/>
          <w:pgMar w:top="779" w:right="1133" w:bottom="1132" w:left="1133" w:header="744" w:footer="720" w:gutter="0"/>
          <w:cols w:space="720"/>
          <w:titlePg/>
        </w:sectPr>
      </w:pPr>
    </w:p>
    <w:p w14:paraId="6FA242DE" w14:textId="77777777" w:rsidR="00A96E85" w:rsidRPr="00FB4EFA" w:rsidRDefault="00A96E85" w:rsidP="00AF0CAD">
      <w:pPr>
        <w:pStyle w:val="Authors"/>
        <w:spacing w:line="259" w:lineRule="auto"/>
        <w:rPr>
          <w:color w:val="auto"/>
          <w:lang w:val="de-AT"/>
        </w:rPr>
      </w:pPr>
      <w:r w:rsidRPr="00FB4EFA">
        <w:rPr>
          <w:color w:val="auto"/>
          <w:lang w:val="de-AT"/>
        </w:rPr>
        <w:lastRenderedPageBreak/>
        <w:t>Kristina Malmio</w:t>
      </w:r>
    </w:p>
    <w:p w14:paraId="3EEC3556" w14:textId="77777777" w:rsidR="00A96E85" w:rsidRPr="00FB4EFA" w:rsidRDefault="00A96E85" w:rsidP="00402EF4"/>
    <w:p w14:paraId="06C6F34C" w14:textId="2AAC1657" w:rsidR="00A96E85" w:rsidRPr="00FB4EFA" w:rsidRDefault="00A96E85" w:rsidP="00994E2A">
      <w:pPr>
        <w:pStyle w:val="Heading1"/>
        <w:suppressAutoHyphens/>
        <w:spacing w:line="259" w:lineRule="auto"/>
        <w:ind w:right="74"/>
        <w:rPr>
          <w:color w:val="auto"/>
          <w:lang w:val="de-AT"/>
        </w:rPr>
      </w:pPr>
      <w:bookmarkStart w:id="134" w:name="_Toc87547022"/>
      <w:bookmarkStart w:id="135" w:name="_Ref90999712"/>
      <w:r w:rsidRPr="00FB4EFA">
        <w:rPr>
          <w:color w:val="auto"/>
          <w:lang w:val="de-AT"/>
        </w:rPr>
        <w:t>99</w:t>
      </w:r>
      <w:r w:rsidR="00007DF7" w:rsidRPr="00FB4EFA">
        <w:rPr>
          <w:color w:val="auto"/>
          <w:lang w:val="de-AT"/>
        </w:rPr>
        <w:t xml:space="preserve"> </w:t>
      </w:r>
      <w:r w:rsidRPr="00FB4EFA">
        <w:rPr>
          <w:color w:val="auto"/>
          <w:lang w:val="de-AT"/>
        </w:rPr>
        <w:t>%? En kvantitativ studie av litteratur publicerad på svenska i Finland året 1916</w:t>
      </w:r>
      <w:bookmarkEnd w:id="134"/>
      <w:bookmarkEnd w:id="135"/>
    </w:p>
    <w:p w14:paraId="198C11E9" w14:textId="60C83CE6" w:rsidR="008F73FD" w:rsidRPr="00FB4EFA" w:rsidRDefault="00DD5337" w:rsidP="00AF0CAD">
      <w:pPr>
        <w:rPr>
          <w:lang w:val="sv-SE"/>
        </w:rPr>
      </w:pPr>
      <w:r w:rsidRPr="00FB4EFA">
        <w:rPr>
          <w:lang w:val="sv-SE"/>
        </w:rPr>
        <w:t xml:space="preserve">Minoriteter tenderar ofta att uppfatta sig själva och sin situation som unika och ignorera det de har gemensamt med andra minoriteter, skriver Johanna Laakso i </w:t>
      </w:r>
      <w:r w:rsidRPr="00FB4EFA">
        <w:rPr>
          <w:i/>
          <w:iCs/>
          <w:lang w:val="sv-SE"/>
        </w:rPr>
        <w:t xml:space="preserve">Ways of being in the world: Studies on minority </w:t>
      </w:r>
      <w:r w:rsidR="001E18A8" w:rsidRPr="00FB4EFA">
        <w:rPr>
          <w:i/>
          <w:iCs/>
          <w:lang w:val="sv-SE"/>
        </w:rPr>
        <w:br/>
      </w:r>
      <w:r w:rsidRPr="00FB4EFA">
        <w:rPr>
          <w:i/>
          <w:iCs/>
          <w:lang w:val="sv-SE"/>
        </w:rPr>
        <w:t xml:space="preserve">literatures </w:t>
      </w:r>
      <w:r w:rsidRPr="00FB4EFA">
        <w:rPr>
          <w:lang w:val="sv-SE"/>
        </w:rPr>
        <w:t>(Laakso 2020: 24). Detta är en träffande insikt som dock inte utesluter förekomsten av allehanda specialfall och undantag. En minoritet som den finlandssvenska kan i jämförelse med andra minoriteter och minoritetslitteraturer uppvisa särskilda drag. Det kan dessutom vara just de unika dragen som gör en specifik minoritetslitteratur intressant att undersöka. En minoritetslitteraturs litenhet och dess speciella dynamik kan till exempel göra den lämplig för test av litteraturhistoriska påståenden eller litteratursociologiska teorier.</w:t>
      </w:r>
    </w:p>
    <w:p w14:paraId="43293FEA" w14:textId="77777777" w:rsidR="008F73FD" w:rsidRPr="00FB4EFA" w:rsidRDefault="00DD5337" w:rsidP="002A3BC9">
      <w:pPr>
        <w:ind w:firstLine="720"/>
        <w:rPr>
          <w:lang w:val="sv-SE"/>
        </w:rPr>
      </w:pPr>
      <w:r w:rsidRPr="00FB4EFA">
        <w:rPr>
          <w:lang w:val="sv-SE"/>
        </w:rPr>
        <w:t>Det finns omständigheter som gör den finlandssvenska minoritetslitteraturen speciell inom kategorin minoritetslitteraturer. En av dessa är den finlandssvenska litteraturens paradoxala position. Den är uttrycksmedlet för en språklig minoritet samtidigt som den är skriven på Finlands andra nationalspråk och har kontribuerat till en nationell litteraturkanon. På den punkten avviker den tydligt från litteratur skriven till exempel av romer, tatarer eller judar i Finland. (Löytty 2015: 71)</w:t>
      </w:r>
    </w:p>
    <w:p w14:paraId="76EF2556" w14:textId="77777777" w:rsidR="008F73FD" w:rsidRPr="00FB4EFA" w:rsidRDefault="00DD5337" w:rsidP="002A3BC9">
      <w:pPr>
        <w:ind w:firstLine="720"/>
        <w:rPr>
          <w:lang w:val="sv-SE"/>
        </w:rPr>
      </w:pPr>
      <w:r w:rsidRPr="00FB4EFA">
        <w:rPr>
          <w:lang w:val="sv-SE"/>
        </w:rPr>
        <w:t>Begreppet ”minoritetslitteratur” innehåller indirekt också en tanke om en marginaliserad position och förtryck i form av mindre ekonomiska, sociala eller kulturella resurser. Inte heller detta stämmer helt på den svenska litteraturen i Finland. Av historiska orsaker är dess omständigheter goda: den har en lång litterär tradition, bra ekonomiska resurser och egna litterära institutioner. (Malmio 2013: 192‒193; Malmio 2020) Under några perioder har den finlandssvenska litteraturen till och med har blivit en del av världslitteraturen, en litteratur som sprider sig långt utanför nationella gränser. Då har den nått en publik långt större än dess position som minoritetslitteratur skulle ge anledning till.</w:t>
      </w:r>
    </w:p>
    <w:p w14:paraId="048359A2" w14:textId="4541588E" w:rsidR="00DD5337" w:rsidRPr="00FB4EFA" w:rsidRDefault="00DD5337" w:rsidP="002A3BC9">
      <w:pPr>
        <w:ind w:firstLine="720"/>
        <w:rPr>
          <w:lang w:val="sv-SE"/>
        </w:rPr>
      </w:pPr>
      <w:r w:rsidRPr="00FB4EFA">
        <w:rPr>
          <w:lang w:val="sv-SE"/>
        </w:rPr>
        <w:t xml:space="preserve">Detta gäller framför allt den finlandssvenska modernismen. Den är den finlandssvenska minoritetens överlägset mest kända och flitigast </w:t>
      </w:r>
      <w:r w:rsidRPr="00FB4EFA">
        <w:rPr>
          <w:lang w:val="sv-SE"/>
        </w:rPr>
        <w:lastRenderedPageBreak/>
        <w:t>undersökta litterära bidrag. Modernisterna, en grupp svenskspråkiga författare i Finland, efterlyste en förnyelse av konsten och litteraturen med utgångspunkt i revolutionära tankar och estetiska grepp hämtade från Europa. De anslöt sig till samtida europeiska avantgarde-rörelser och förnyade den svenskspråkiga poesin in i grunden, såväl dess form som dess innehåll, vokabulär och bildspråk. Intresset för modernisternas kärngrupp – Edith Södergran, Elmer Diktonius, Henry Parland, Rabbe Enckell, Hagar Olsson och Gunnar Björling – har ända från början varit stort. Det har fortsatt oavbrutet under hela 1900-talet och 2000-talet såväl i Finland och Norden som i resten av västervärlden. Bara under 2010-talet har det skrivits flera doktorsavhandlingar och andra studier som befattat sig med modernistförfattarna och deras produktion.</w:t>
      </w:r>
      <w:r w:rsidRPr="00FB4EFA">
        <w:rPr>
          <w:vertAlign w:val="superscript"/>
          <w:lang w:val="sv-SE"/>
        </w:rPr>
        <w:footnoteReference w:id="197"/>
      </w:r>
    </w:p>
    <w:p w14:paraId="3E02888D" w14:textId="77777777" w:rsidR="008F73FD" w:rsidRPr="00FB4EFA" w:rsidRDefault="00DD5337" w:rsidP="002A3BC9">
      <w:pPr>
        <w:ind w:firstLine="720"/>
        <w:rPr>
          <w:lang w:val="sv-SE"/>
        </w:rPr>
      </w:pPr>
      <w:r w:rsidRPr="00FB4EFA">
        <w:rPr>
          <w:lang w:val="sv-SE"/>
        </w:rPr>
        <w:t>Historiskt sett var 1916 i Finland och i Europa en politiskt och socialt turbulent tid. Bara för att nämna några av de för tidpunkten avgörande händelseförloppen och processerna som pågick samtidigt: moderniseringen av samhället, första världskriget, ett växande kaos i Ryssland, en ökande polarisering mellan höger- och vänsterinriktade politiker med därtill hörande hatretorik i Finland. (Meinander 2012.)</w:t>
      </w:r>
    </w:p>
    <w:p w14:paraId="46EDF646" w14:textId="77777777" w:rsidR="008F73FD" w:rsidRPr="00FB4EFA" w:rsidRDefault="00DD5337" w:rsidP="002A3BC9">
      <w:pPr>
        <w:ind w:firstLine="720"/>
        <w:rPr>
          <w:lang w:val="sv-SE"/>
        </w:rPr>
      </w:pPr>
      <w:r w:rsidRPr="00FB4EFA">
        <w:rPr>
          <w:lang w:val="sv-SE"/>
        </w:rPr>
        <w:t xml:space="preserve">Startskottet för den finlandssvenska modernismen har fastslagits till år 1916. Då debuterade Edith Södergran med </w:t>
      </w:r>
      <w:r w:rsidRPr="00FB4EFA">
        <w:rPr>
          <w:i/>
          <w:lang w:val="sv-SE"/>
        </w:rPr>
        <w:t>Dikter</w:t>
      </w:r>
      <w:r w:rsidRPr="00FB4EFA">
        <w:rPr>
          <w:lang w:val="sv-SE"/>
        </w:rPr>
        <w:t xml:space="preserve"> och Hagar Olsson med romanen </w:t>
      </w:r>
      <w:r w:rsidRPr="00FB4EFA">
        <w:rPr>
          <w:i/>
          <w:lang w:val="sv-SE"/>
        </w:rPr>
        <w:t>Lars Thorman och döden</w:t>
      </w:r>
      <w:r w:rsidRPr="00FB4EFA">
        <w:rPr>
          <w:iCs/>
          <w:lang w:val="sv-SE"/>
        </w:rPr>
        <w:t>, och de fick</w:t>
      </w:r>
      <w:r w:rsidRPr="00FB4EFA">
        <w:rPr>
          <w:lang w:val="sv-SE"/>
        </w:rPr>
        <w:t xml:space="preserve"> så småningom sällskap av Elmer Diktonius. Vid denna tid var den traditionella diktningen stark, och det finlandssvenska litterära fältet dominerades av många aktuella och betydelsefulla författare såsom till exempel Bertel Gripenberg, Jarl Hemmer och Runar Schildt. Inspirerade av kontinentala strömningar såsom symbolismen och expressionismen utmanade Södergran, Olsson och Diktonius den etablerade litteraturen. Det man numera kommer ihåg av litteraturen året 1916 är just en Södergran, en Olsson och början på ett nytt litterärt tidevarv.</w:t>
      </w:r>
    </w:p>
    <w:p w14:paraId="6E0167BD" w14:textId="073FA734" w:rsidR="00DD5337" w:rsidRPr="00FB4EFA" w:rsidRDefault="00DD5337" w:rsidP="00AF0CAD">
      <w:pPr>
        <w:ind w:firstLine="720"/>
        <w:rPr>
          <w:lang w:val="sv-SE"/>
        </w:rPr>
      </w:pPr>
      <w:r w:rsidRPr="00FB4EFA">
        <w:rPr>
          <w:lang w:val="sv-SE"/>
        </w:rPr>
        <w:lastRenderedPageBreak/>
        <w:t xml:space="preserve">I denna artikel är min mening emellertid att belysa den bortglömda, udda och förbisedda litteraturen från år 1916. Det kommer jag att göra genom att kartlägga den skönlitterära utgivningen år 1916 på svenska i Finland i sin helhet med utgångspunkt i den av Dolly Ölander sammanställda </w:t>
      </w:r>
      <w:r w:rsidRPr="00FB4EFA">
        <w:rPr>
          <w:i/>
          <w:lang w:val="sv-SE"/>
        </w:rPr>
        <w:t>Katalog över den svenska litteraturen samt arbeten utgivna på främmande språk i Finland ävensom av finländska författare på svenska och främmande språk i utlandet 1916–1925</w:t>
      </w:r>
      <w:r w:rsidRPr="00FB4EFA">
        <w:rPr>
          <w:lang w:val="sv-SE"/>
        </w:rPr>
        <w:t xml:space="preserve"> (del I 1953, del II 1958). Kvalitativa tolkningar av enskilda verk har länge varit den dominerande metoden inom forskningen om den svenska litteraturen i Finland. Här kommer jag istället att använda mig av ett kvantitativt tillvägagångssätt.</w:t>
      </w:r>
      <w:r w:rsidRPr="00FB4EFA">
        <w:rPr>
          <w:vertAlign w:val="superscript"/>
          <w:lang w:val="sv-SE"/>
        </w:rPr>
        <w:footnoteReference w:id="198"/>
      </w:r>
    </w:p>
    <w:p w14:paraId="4C10A953" w14:textId="77777777" w:rsidR="008F73FD" w:rsidRPr="00FB4EFA" w:rsidRDefault="00DD5337" w:rsidP="002A3BC9">
      <w:pPr>
        <w:ind w:firstLine="720"/>
        <w:rPr>
          <w:lang w:val="sv-SE"/>
        </w:rPr>
      </w:pPr>
      <w:r w:rsidRPr="00FB4EFA">
        <w:rPr>
          <w:lang w:val="sv-SE"/>
        </w:rPr>
        <w:t>Ölanders sammanställning är en bibliografi, en uppräkning av verk med alla dess eventuella felaktigheter, verk som saknas eller dubbleringar.</w:t>
      </w:r>
      <w:r w:rsidRPr="00FB4EFA">
        <w:rPr>
          <w:vertAlign w:val="superscript"/>
          <w:lang w:val="sv-SE"/>
        </w:rPr>
        <w:footnoteReference w:id="199"/>
      </w:r>
      <w:r w:rsidRPr="00FB4EFA">
        <w:rPr>
          <w:lang w:val="sv-SE"/>
        </w:rPr>
        <w:t xml:space="preserve"> Bibliografier är definitivt tråkig läsning. Likväl erbjuder de forskaren ett material som samtidigt är både grovmaskigt och detaljerat. Ölanders bibliografi ger detaljerade uppgifter om mycket sådant som majoriteten av forskarna inom finlandssvensk litteratur inte varit speciellt intresserade av. Här ingår till exempel upplysningar om pris, sidantal, antalet upplagor, förlag som fallit i glömska, uppräkningar av översättningar, med mera. Men framför allt erbjuder bibliografier tillgång till kvantiteter.</w:t>
      </w:r>
    </w:p>
    <w:p w14:paraId="2D85E89E" w14:textId="77777777" w:rsidR="008F73FD" w:rsidRPr="00FB4EFA" w:rsidRDefault="00DD5337" w:rsidP="002A3BC9">
      <w:pPr>
        <w:pStyle w:val="Heading2"/>
        <w:spacing w:line="259" w:lineRule="auto"/>
        <w:rPr>
          <w:color w:val="auto"/>
          <w:lang w:val="sv-SE"/>
        </w:rPr>
      </w:pPr>
      <w:r w:rsidRPr="00FB4EFA">
        <w:rPr>
          <w:color w:val="auto"/>
          <w:lang w:val="sv-SE"/>
        </w:rPr>
        <w:t>Kritiken av litteraturhistorieskrivning</w:t>
      </w:r>
    </w:p>
    <w:p w14:paraId="265FA09D" w14:textId="2246F3E8" w:rsidR="00DD5337" w:rsidRPr="00FB4EFA" w:rsidRDefault="00DD5337" w:rsidP="00AF0CAD">
      <w:pPr>
        <w:rPr>
          <w:lang w:val="sv-SE"/>
        </w:rPr>
      </w:pPr>
      <w:r w:rsidRPr="00FB4EFA">
        <w:rPr>
          <w:lang w:val="sv-SE"/>
        </w:rPr>
        <w:t xml:space="preserve">Inspirationen till denna kartläggning ligger i den kritik litteraturforskaren Franco Moretti riktat mot den traditionella litteraturhistorieskrivningen i flera av sina verk, bland annat i </w:t>
      </w:r>
      <w:r w:rsidRPr="00FB4EFA">
        <w:rPr>
          <w:i/>
          <w:lang w:val="sv-SE"/>
        </w:rPr>
        <w:t>Graphs, Maps, Trees</w:t>
      </w:r>
      <w:r w:rsidRPr="00FB4EFA">
        <w:rPr>
          <w:lang w:val="sv-SE"/>
        </w:rPr>
        <w:t xml:space="preserve"> (2005). </w:t>
      </w:r>
      <w:r w:rsidRPr="00FB4EFA">
        <w:rPr>
          <w:lang w:val="en-US"/>
        </w:rPr>
        <w:t xml:space="preserve">Moretti menar att ”[…] literary history fails to do its job when it fails to grasp fully its entire field of study” (Tally 2013: 100–106, 105). </w:t>
      </w:r>
      <w:r w:rsidRPr="00FB4EFA">
        <w:rPr>
          <w:lang w:val="sv-SE"/>
        </w:rPr>
        <w:t xml:space="preserve">Målet är </w:t>
      </w:r>
      <w:r w:rsidRPr="00FB4EFA">
        <w:rPr>
          <w:lang w:val="sv-SE"/>
        </w:rPr>
        <w:lastRenderedPageBreak/>
        <w:t xml:space="preserve">en litteraturhistoria som bättre motsvarar verkligheten (Moretti 2005: 4). För att uppnå detta mål tyr Moretti sig till abstrakta modeller hämtade från domäner såsom kvantitativ historia, geografi och evolutionsteori (Moretti 2005: inledning utan sidnummer). Litteraturhistorien har traditionellt fokuserat på originella, unika och nydanande verk, författare och strömningar. Den har aldrig upphört att vara en ”histoire </w:t>
      </w:r>
      <w:r w:rsidR="00804A4D" w:rsidRPr="00FB4EFA">
        <w:rPr>
          <w:lang w:val="sv-SE"/>
        </w:rPr>
        <w:br/>
      </w:r>
      <w:r w:rsidRPr="00FB4EFA">
        <w:rPr>
          <w:lang w:val="sv-SE"/>
        </w:rPr>
        <w:t xml:space="preserve">évenementielle”, där ”händelserna” utgörs av stora verk eller stora individer (Moretti 2005: 13). Som följd av detta har den blundat för tusentals existerande verk, för 99 % av allt det som utkommit. De facto bygger den på ”the great unread”, ett begrepp Moretti lånar från bokhistorikern </w:t>
      </w:r>
      <w:r w:rsidR="00804A4D" w:rsidRPr="00FB4EFA">
        <w:rPr>
          <w:lang w:val="sv-SE"/>
        </w:rPr>
        <w:br/>
      </w:r>
      <w:r w:rsidRPr="00FB4EFA">
        <w:rPr>
          <w:lang w:val="sv-SE"/>
        </w:rPr>
        <w:t>Margaret Cohen (se t.ex. Moretti 2013: 87–89). Litteraturhistorieskrivningen är enligt Moretti metodologiskt sett djupt ovetenskaplig. Den misslyckas i studiet av det litterära fältet och förvränger sitt objekt då den endast studerar enstaka, unika fall – inte litteraturen på en mera allmän nivå. (Se även Bode 2012: 8–13).</w:t>
      </w:r>
    </w:p>
    <w:p w14:paraId="07EF073B" w14:textId="77777777" w:rsidR="008F73FD" w:rsidRPr="00FB4EFA" w:rsidRDefault="00DD5337" w:rsidP="002A3BC9">
      <w:pPr>
        <w:ind w:firstLine="720"/>
        <w:rPr>
          <w:lang w:val="sv-SE"/>
        </w:rPr>
      </w:pPr>
      <w:r w:rsidRPr="00FB4EFA">
        <w:rPr>
          <w:lang w:val="sv-SE"/>
        </w:rPr>
        <w:t>Här kan man dra en parallell till Pierre Bourdieu som beskriver det litterära fältet som ett socialt rum. En litteraturhistorieskrivning som enbart bygger på kanoniserade författare och verk kan liknas vid ett släktträd som alltid utgår från den enda sysslingen i släkten som gift sig adligt men aldrig tar upp kusinerna från landet.</w:t>
      </w:r>
    </w:p>
    <w:p w14:paraId="1DE0F017" w14:textId="77777777" w:rsidR="008F73FD" w:rsidRPr="00FB4EFA" w:rsidRDefault="00DD5337" w:rsidP="002A3BC9">
      <w:pPr>
        <w:ind w:firstLine="720"/>
        <w:rPr>
          <w:lang w:val="sv-SE"/>
        </w:rPr>
      </w:pPr>
      <w:r w:rsidRPr="00FB4EFA">
        <w:rPr>
          <w:lang w:val="sv-SE"/>
        </w:rPr>
        <w:t>För att uppnå en mera realistisk bild av litteraturen borde litteraturforskare idka kartläggning, hävdar Moretti. Han har pläderat för den kvantitativa metoden som ett mera sanningsenligt sätt att greppa det litterära fältet och menar att den i idealfall förser forskaren med data som är fritt från tolkning (tex Moretti 2005: 9). Den förmår beskriva fältet på ett sätt som bättre motsvarar de verkliga förhållandena kring utgivning av litteratur.</w:t>
      </w:r>
    </w:p>
    <w:p w14:paraId="71408A26" w14:textId="1B3A689F" w:rsidR="00DD5337" w:rsidRPr="00FB4EFA" w:rsidRDefault="00DD5337" w:rsidP="00AF0CAD">
      <w:pPr>
        <w:ind w:firstLine="720"/>
        <w:rPr>
          <w:lang w:val="sv-SE"/>
        </w:rPr>
      </w:pPr>
      <w:r w:rsidRPr="00FB4EFA">
        <w:rPr>
          <w:lang w:val="sv-SE"/>
        </w:rPr>
        <w:t xml:space="preserve">Morettis tämligen kategoriska avfärdande av den tidigare litteraturhistorieskrivningen har väckt livlig debatt inom litteraturforskningen och lett till mycken ny forskning, bland annat sådan som tar sig an omfattande digitala databaser. Den har även gett upphov till ett smärre paradigmskifte inom litteraturforskningen som länge dominerats av en kvalitativ metod, närläsningen. Den kvantitativa forskningen och särskilt </w:t>
      </w:r>
      <w:r w:rsidR="00804A4D" w:rsidRPr="00FB4EFA">
        <w:rPr>
          <w:lang w:val="sv-SE"/>
        </w:rPr>
        <w:br/>
      </w:r>
      <w:r w:rsidRPr="00FB4EFA">
        <w:rPr>
          <w:lang w:val="sv-SE"/>
        </w:rPr>
        <w:t xml:space="preserve">Morettis syn på den har emellertid också bemött en hel del kritik. Man har till exempel påpekat att uppfattningarna om den kvantitativa forskningen som en speciellt objektiv och sann form av kunskap är felaktiga. </w:t>
      </w:r>
      <w:r w:rsidRPr="00FB4EFA">
        <w:rPr>
          <w:lang w:val="sv-SE"/>
        </w:rPr>
        <w:lastRenderedPageBreak/>
        <w:t>(Bode 2012: 4, 7–8, 11) Likaså har forskare framhållit att motsättningen mellan kvantitativ och kvalitativ forskning är ofruktbar och falsk.</w:t>
      </w:r>
      <w:r w:rsidRPr="00FB4EFA">
        <w:rPr>
          <w:vertAlign w:val="superscript"/>
          <w:lang w:val="sv-SE"/>
        </w:rPr>
        <w:footnoteReference w:id="200"/>
      </w:r>
      <w:r w:rsidRPr="00FB4EFA">
        <w:rPr>
          <w:lang w:val="sv-SE"/>
        </w:rPr>
        <w:t xml:space="preserve"> Numera anser många att det kvantitativa tillvägagångssättet behöver kombineras med kvalitativa metoder. Empiriska data måste integreras med den slags analytiska, kritiska och spekulativa forskning som det humanistiska tillvägagångssättet står för, betonar bland annat Katherine Bode (Bode 2012: 8; se även Biström 2021).</w:t>
      </w:r>
    </w:p>
    <w:p w14:paraId="3EE6FE2B" w14:textId="1506B623" w:rsidR="008F73FD" w:rsidRPr="00FB4EFA" w:rsidRDefault="00DD5337" w:rsidP="00AF0CAD">
      <w:pPr>
        <w:ind w:firstLine="720"/>
        <w:rPr>
          <w:lang w:val="sv-SE"/>
        </w:rPr>
      </w:pPr>
      <w:r w:rsidRPr="00FB4EFA">
        <w:rPr>
          <w:lang w:val="sv-SE"/>
        </w:rPr>
        <w:t xml:space="preserve">Påståendet att litteraturhistorieskrivningen förbiser det mesta av den utgivna litteraturen är starkt och väcker en lust att säga emot. Samtidigt innehåller det ett frö av sanning, och är värt att diskuteras även i ett finlandssvenskt sammanhang. Jag tar Morettis litteraturhistoriska utmaning på allvar och kommer att testa påståendet att 99 % glöms bort på den svenskspråkiga utgivningen i Finland år 1916 med utgångspunkt i Ölanders bibliografi. Därefter jämför jag mina resultat med hur perioden kring 1916 har beskrivits i Thomas Warburtons </w:t>
      </w:r>
      <w:r w:rsidRPr="00FB4EFA">
        <w:rPr>
          <w:i/>
          <w:lang w:val="sv-SE"/>
        </w:rPr>
        <w:t xml:space="preserve">80 år finlandssvensk </w:t>
      </w:r>
      <w:r w:rsidR="00804A4D" w:rsidRPr="00FB4EFA">
        <w:rPr>
          <w:i/>
          <w:lang w:val="sv-SE"/>
        </w:rPr>
        <w:br/>
      </w:r>
      <w:r w:rsidRPr="00FB4EFA">
        <w:rPr>
          <w:i/>
          <w:lang w:val="sv-SE"/>
        </w:rPr>
        <w:t>litteratur</w:t>
      </w:r>
      <w:r w:rsidRPr="00FB4EFA">
        <w:rPr>
          <w:lang w:val="sv-SE"/>
        </w:rPr>
        <w:t xml:space="preserve"> (1984), ett verk som under en längre tid utgjorde standardverket inom finlandssvensk litteraturhistoria. I slutet återgår jag kort till hur Morettis litteraturhistoriska tes ter sig när den tillämpas i ett minoritetslitteratursammanhang och vad mitt experiment ger för ny kunskap om finlandssvensk litterär utgivning 1916, året modernismen enligt litteraturhistorieskrivningen inleddes.</w:t>
      </w:r>
    </w:p>
    <w:p w14:paraId="3E032BC9" w14:textId="17D53A40" w:rsidR="00DD5337" w:rsidRPr="00FB4EFA" w:rsidRDefault="00DD5337" w:rsidP="00AF0CAD">
      <w:pPr>
        <w:ind w:firstLine="720"/>
        <w:rPr>
          <w:lang w:val="sv-SE"/>
        </w:rPr>
      </w:pPr>
      <w:r w:rsidRPr="00FB4EFA">
        <w:rPr>
          <w:lang w:val="sv-SE"/>
        </w:rPr>
        <w:t xml:space="preserve">De frågor jag ställer är följande: Hur såg utgivningen av den svenska litteraturen i Finland ut under ett endaste år, 1916? Vilka genrer, författare och verk bestod utgivningen av? Vad vet vi från förut om den litteratur som utgavs 1916? Vad har den tidigare litteraturhistorieskrivningen, i detta fall Warburton, tagit fasta på? Hur ter sig Södergrans </w:t>
      </w:r>
      <w:r w:rsidR="00804A4D" w:rsidRPr="00FB4EFA">
        <w:rPr>
          <w:lang w:val="sv-SE"/>
        </w:rPr>
        <w:br/>
      </w:r>
      <w:r w:rsidRPr="00FB4EFA">
        <w:rPr>
          <w:i/>
          <w:lang w:val="sv-SE"/>
        </w:rPr>
        <w:t>Dikter</w:t>
      </w:r>
      <w:r w:rsidRPr="00FB4EFA">
        <w:rPr>
          <w:lang w:val="sv-SE"/>
        </w:rPr>
        <w:t xml:space="preserve"> när den relateras till hela den skönlitterära utgivningen på svenska i Finland under samma år? Ändras vår bild av den finlandssvenska litteraturen om vi beaktar allt som gavs ut? Kan man i enlighet med Moretti säga att litteraturhistorieskrivningen inom finlandssvensk minoritetslitteratur förbisett det mesta? (Svaret på den sista frågan är både nej och ja. Jag återkommer till detta i slutet.)</w:t>
      </w:r>
    </w:p>
    <w:p w14:paraId="20FE4A41" w14:textId="56606980" w:rsidR="008F73FD" w:rsidRPr="00FB4EFA" w:rsidRDefault="00DD5337" w:rsidP="002A3BC9">
      <w:pPr>
        <w:ind w:firstLine="720"/>
        <w:rPr>
          <w:lang w:val="sv-SE"/>
        </w:rPr>
      </w:pPr>
      <w:r w:rsidRPr="00FB4EFA">
        <w:rPr>
          <w:lang w:val="sv-SE"/>
        </w:rPr>
        <w:lastRenderedPageBreak/>
        <w:t xml:space="preserve">Innan jag tar itu med Ölanders bibliografi ska jag dock säga </w:t>
      </w:r>
      <w:r w:rsidR="00804A4D" w:rsidRPr="00FB4EFA">
        <w:rPr>
          <w:lang w:val="sv-SE"/>
        </w:rPr>
        <w:br/>
      </w:r>
      <w:r w:rsidRPr="00FB4EFA">
        <w:rPr>
          <w:lang w:val="sv-SE"/>
        </w:rPr>
        <w:t xml:space="preserve">något om förekomsten av kvantitativ forskning inom forskningen av </w:t>
      </w:r>
      <w:r w:rsidR="00804A4D" w:rsidRPr="00FB4EFA">
        <w:rPr>
          <w:lang w:val="sv-SE"/>
        </w:rPr>
        <w:br/>
      </w:r>
      <w:r w:rsidRPr="00FB4EFA">
        <w:rPr>
          <w:lang w:val="sv-SE"/>
        </w:rPr>
        <w:t>finlandssvensk litteratur.</w:t>
      </w:r>
    </w:p>
    <w:p w14:paraId="70B41BF2" w14:textId="77777777" w:rsidR="008F73FD" w:rsidRPr="00FB4EFA" w:rsidRDefault="00DD5337" w:rsidP="002A3BC9">
      <w:pPr>
        <w:pStyle w:val="Heading2"/>
        <w:spacing w:line="259" w:lineRule="auto"/>
        <w:rPr>
          <w:color w:val="auto"/>
          <w:lang w:val="sv-SE"/>
        </w:rPr>
      </w:pPr>
      <w:r w:rsidRPr="00FB4EFA">
        <w:rPr>
          <w:color w:val="auto"/>
          <w:lang w:val="sv-SE"/>
        </w:rPr>
        <w:t>Kvantitativ litteraturforskning och finlandssvensk litteratur</w:t>
      </w:r>
    </w:p>
    <w:p w14:paraId="619DEFF7" w14:textId="4DBD42AF" w:rsidR="00DD5337" w:rsidRPr="00FB4EFA" w:rsidRDefault="00DD5337" w:rsidP="002A3BC9">
      <w:pPr>
        <w:rPr>
          <w:lang w:val="sv-SE"/>
        </w:rPr>
      </w:pPr>
      <w:r w:rsidRPr="00FB4EFA">
        <w:rPr>
          <w:lang w:val="sv-SE"/>
        </w:rPr>
        <w:t>Generellt sett är litteratursociologiska studier av finlandssvensk litteratur få, och de undersökningar som använder sig av kvantitativa metoder ännu färre. Man kan gott säga att 99 % av forskningen av finlandssvensk litteratur har varit kvalitativ.</w:t>
      </w:r>
    </w:p>
    <w:p w14:paraId="030BB8F7" w14:textId="5D8D4DFE" w:rsidR="00DD5337" w:rsidRPr="00FB4EFA" w:rsidRDefault="00DD5337" w:rsidP="00AF0CAD">
      <w:pPr>
        <w:ind w:firstLine="720"/>
        <w:rPr>
          <w:lang w:val="sv-SE"/>
        </w:rPr>
      </w:pPr>
      <w:r w:rsidRPr="00FB4EFA">
        <w:rPr>
          <w:lang w:val="sv-SE"/>
        </w:rPr>
        <w:t>Det finns dock några undantag. Erkki Sevänens</w:t>
      </w:r>
      <w:r w:rsidRPr="00FB4EFA">
        <w:rPr>
          <w:i/>
          <w:lang w:val="sv-SE"/>
        </w:rPr>
        <w:t xml:space="preserve">Vapauden rajat. Kirjallisuuden tuotannon ja välityksen yhteiskunnallinen sääntely </w:t>
      </w:r>
      <w:r w:rsidR="00804A4D" w:rsidRPr="00FB4EFA">
        <w:rPr>
          <w:i/>
          <w:lang w:val="sv-SE"/>
        </w:rPr>
        <w:br/>
      </w:r>
      <w:r w:rsidRPr="00FB4EFA">
        <w:rPr>
          <w:i/>
          <w:lang w:val="sv-SE"/>
        </w:rPr>
        <w:t xml:space="preserve">Suomessa vuosina 1918–39 </w:t>
      </w:r>
      <w:r w:rsidRPr="00FB4EFA">
        <w:rPr>
          <w:lang w:val="sv-SE"/>
        </w:rPr>
        <w:t xml:space="preserve">(1994) är en omfattande och grundläggande kvantitativ studie av den finländska litterära institutionen mellan åren 1918 och 1939. I den sammanställs uppgifter från olika arkivkällor och områden med relevans för litteraturen såsom medier, skolväsende och bibliotek. Den finlandssvenska litteraturen ingår i undersökningen </w:t>
      </w:r>
      <w:r w:rsidR="00804A4D" w:rsidRPr="00FB4EFA">
        <w:rPr>
          <w:lang w:val="sv-SE"/>
        </w:rPr>
        <w:br/>
      </w:r>
      <w:r w:rsidRPr="00FB4EFA">
        <w:rPr>
          <w:lang w:val="sv-SE"/>
        </w:rPr>
        <w:t>som ett delfält.</w:t>
      </w:r>
    </w:p>
    <w:p w14:paraId="73C39439" w14:textId="77777777" w:rsidR="00DD5337" w:rsidRPr="00FB4EFA" w:rsidRDefault="00DD5337" w:rsidP="002A3BC9">
      <w:pPr>
        <w:ind w:firstLine="720"/>
        <w:rPr>
          <w:lang w:val="sv-SE"/>
        </w:rPr>
      </w:pPr>
      <w:r w:rsidRPr="00FB4EFA">
        <w:rPr>
          <w:lang w:val="sv-SE"/>
        </w:rPr>
        <w:t>Förutom Sevänens verk finns enstaka andra litteratursociologiska undersökningar av finlandssvensk litteratur med fokus på författarnas ekonomiska villkor, bokmarknad och förlag. (Zweygbergk 1958; Mustelin 1983; Stjernsschantz 1991; Nygård och Tandefelt 2019) I ”Författarna och den sociala bakgrunden” undersöker Sven Willner den finlandssvenska författarkårens sociala sammansättning med kvantitativa verktyg åren 1925, 1951 och 1978 (Willner 1979). De finlandssvenska författarna ingår också i Elina Jokinens delvis kvantitativa, delvis kvalitativa undersökning där hon granskar betydelsen av stipendiefinansiering för samtidslitteraturen i Finland (Jokinen 2010). Dessa undersökningar förser läsaren i varierande grad med siffror och kvantiteter.</w:t>
      </w:r>
    </w:p>
    <w:p w14:paraId="311A4D44" w14:textId="416F2640" w:rsidR="00DD5337" w:rsidRPr="00FB4EFA" w:rsidRDefault="00DD5337" w:rsidP="002A3BC9">
      <w:pPr>
        <w:ind w:firstLine="720"/>
        <w:rPr>
          <w:lang w:val="sv-SE"/>
        </w:rPr>
      </w:pPr>
      <w:r w:rsidRPr="00FB4EFA">
        <w:rPr>
          <w:lang w:val="sv-SE"/>
        </w:rPr>
        <w:t>Under de senaste åren har det kvantitativa greppet använts av några yngre forskare. Anna Biström är i gång med en undersökning där hon utgår från metadata och bibliografiska uppgifter. Genom att utnyttja information i databaser men också tryckta bibliografier strävar hon efter att göra en översiktlig kartläggning av finländska skönlitterära författare som skriver på svenska under hundraårsperioden 1830</w:t>
      </w:r>
      <w:r w:rsidRPr="00FB4EFA">
        <w:rPr>
          <w:sz w:val="29"/>
          <w:szCs w:val="29"/>
          <w:lang w:val="sv-SE"/>
        </w:rPr>
        <w:t>–</w:t>
      </w:r>
      <w:r w:rsidRPr="00FB4EFA">
        <w:rPr>
          <w:lang w:val="sv-SE"/>
        </w:rPr>
        <w:t>1930, samt dis</w:t>
      </w:r>
      <w:r w:rsidRPr="00FB4EFA">
        <w:rPr>
          <w:lang w:val="sv-SE"/>
        </w:rPr>
        <w:lastRenderedPageBreak/>
        <w:t>kutera mängden forsknings- och annan sekundärlitteratur kring författarna. (Biström 2021)</w:t>
      </w:r>
    </w:p>
    <w:p w14:paraId="5912EC2A" w14:textId="77777777" w:rsidR="00DD5337" w:rsidRPr="00FB4EFA" w:rsidRDefault="00DD5337" w:rsidP="002A3BC9">
      <w:pPr>
        <w:ind w:firstLine="720"/>
        <w:rPr>
          <w:lang w:val="sv-SE"/>
        </w:rPr>
      </w:pPr>
      <w:r w:rsidRPr="00FB4EFA">
        <w:rPr>
          <w:lang w:val="sv-SE"/>
        </w:rPr>
        <w:t>Tomi Riitamaa har i sin tur ifrågasatt några av de antaganden som det finlandssvenska litterära fältet har burit på i årtionden. Ett av dessa är hypotesen om den finlandssvenska litteraturens ständigt minskande utgivning och synlighet i Sverige, som Riitamaa punkterar med hjälp av statistik. (Riitamaa 2018). Medan Biströms studie kommer att förse forskare med viktig baskunskap om den svenska litteraturen i Finland under en lång period, visar Riitamaas studie hur fruktbart ett kvantitativt grepp kan vara när den används för att utmana och korrigera seglivade, felaktiga uppfattningar.</w:t>
      </w:r>
    </w:p>
    <w:p w14:paraId="104C493F" w14:textId="77777777" w:rsidR="008F73FD" w:rsidRPr="00FB4EFA" w:rsidRDefault="00DD5337" w:rsidP="00AF0CAD">
      <w:pPr>
        <w:ind w:firstLine="720"/>
        <w:rPr>
          <w:lang w:val="sv-SE"/>
        </w:rPr>
      </w:pPr>
      <w:r w:rsidRPr="00FB4EFA">
        <w:rPr>
          <w:lang w:val="sv-SE"/>
        </w:rPr>
        <w:t>Min undersökning är anspråkslös och begränsad i jämförelse med Sevänens, Biströms och Riitamaas studier som befattat sig med större material och längre tidsperioder. Jag undersöker endast ett år, och mitt tillvägagångssätt är inte speciellt sofistikerat: jag räknar titlarna i Ölanders bibliografi manuellt och kollar vilka verk som utkom just 1916. På basis av uppgifterna sammanställer jag statistik över den utgivna litteraturen enligt vissa kategorier. Trots att Ölanders bibliografi också räknar upp verk av finska författare översatta till svenska och verk skrivna av svenska författare, fokuserar jag här endast på de inhemska, finlandssvenska författarna inom klassen ”Skönlitteratur”. Jag kommer också att förbise de transnationella möjligheter som bibliografin erbjuder i form av uppgifter om översättningar. De får vänta till en annan gång.</w:t>
      </w:r>
    </w:p>
    <w:p w14:paraId="052FC62A" w14:textId="77777777" w:rsidR="008F73FD" w:rsidRPr="00FB4EFA" w:rsidRDefault="00DD5337" w:rsidP="002A3BC9">
      <w:pPr>
        <w:ind w:firstLine="720"/>
        <w:rPr>
          <w:lang w:val="sv-SE"/>
        </w:rPr>
      </w:pPr>
      <w:r w:rsidRPr="00FB4EFA">
        <w:rPr>
          <w:lang w:val="sv-SE"/>
        </w:rPr>
        <w:t>Så vitt jag vet finns det inte någon övergripande kvantitativ analys av den litterära utgivningen år 1916. Ingen har tidigare studerat antalet verk inalles, kartlagt genrerna, sett på proportionerna mellan romaner och noveller eller mellan manliga och kvinnliga författare. Sevänens systematiska genomgång av den finländska litterära institutionen börjar från år 1918.</w:t>
      </w:r>
    </w:p>
    <w:p w14:paraId="5AE4CBF8" w14:textId="77777777" w:rsidR="008F73FD" w:rsidRPr="00FB4EFA" w:rsidRDefault="00DD5337" w:rsidP="002A3BC9">
      <w:pPr>
        <w:ind w:firstLine="720"/>
        <w:rPr>
          <w:lang w:val="sv-SE"/>
        </w:rPr>
      </w:pPr>
      <w:r w:rsidRPr="00FB4EFA">
        <w:rPr>
          <w:lang w:val="sv-SE"/>
        </w:rPr>
        <w:t>Den finlandssvenska litteraturhistorieskrivningen har säkerligen inte missat något enskilt mästerverk när den inte har intresserat sig för alla de utgivna verken. Däremot saknar vi litteratursociologiska grunduppgifter om året 1916, en helhetsbild av den finlandssvenska modernismens mest omedelbara litterära kontext. Det jag har att erbjuda är småskalig litteratursociologi i väntan på en ”fjärrläsning” av den finlands</w:t>
      </w:r>
      <w:r w:rsidRPr="00FB4EFA">
        <w:rPr>
          <w:lang w:val="sv-SE"/>
        </w:rPr>
        <w:lastRenderedPageBreak/>
        <w:t>svenska litteraturen under en längre tid med hjälp av stora mängder data. Jag anser ändå att en fallstudie som granskar den skönlitterära utgivningen från år 1916 i sin helhet ger oss ny kunskap om svensk litteratur i Finland. Kanske förmår den även kasta nytt ljus på den finlandssvenska modernismen.</w:t>
      </w:r>
    </w:p>
    <w:p w14:paraId="2A20A50E" w14:textId="1B38536A" w:rsidR="00DD5337" w:rsidRPr="00FB4EFA" w:rsidRDefault="00DD5337" w:rsidP="002A3BC9">
      <w:pPr>
        <w:ind w:firstLine="720"/>
        <w:rPr>
          <w:lang w:val="sv-SE"/>
        </w:rPr>
      </w:pPr>
      <w:r w:rsidRPr="00FB4EFA">
        <w:rPr>
          <w:lang w:val="sv-SE"/>
        </w:rPr>
        <w:t>Med tanke på mängden uppgifter bibliografin erbjuder är det en smula häpnadsväckande att den inte har utnyttjats i högre grad i den omfattande kvalitativa forskningen om modernisterna. För såsom Bode, Biström och många andra påpekar, är en kombination av kvantitativ och kvalitativ forskning egentligen att föredra.</w:t>
      </w:r>
    </w:p>
    <w:p w14:paraId="7299B0F2" w14:textId="77777777" w:rsidR="008F73FD" w:rsidRPr="00FB4EFA" w:rsidRDefault="00DD5337" w:rsidP="002A3BC9">
      <w:pPr>
        <w:pStyle w:val="Heading2"/>
        <w:spacing w:line="259" w:lineRule="auto"/>
        <w:rPr>
          <w:color w:val="auto"/>
        </w:rPr>
      </w:pPr>
      <w:r w:rsidRPr="00FB4EFA">
        <w:rPr>
          <w:color w:val="auto"/>
        </w:rPr>
        <w:t>Tidigare uppfattningar om 1910-talet</w:t>
      </w:r>
    </w:p>
    <w:p w14:paraId="5325D411" w14:textId="77777777" w:rsidR="008F73FD" w:rsidRPr="00FB4EFA" w:rsidRDefault="00DD5337" w:rsidP="002A3BC9">
      <w:pPr>
        <w:rPr>
          <w:lang w:val="sv-SE"/>
        </w:rPr>
      </w:pPr>
      <w:r w:rsidRPr="00FB4EFA">
        <w:rPr>
          <w:lang w:val="sv-SE"/>
        </w:rPr>
        <w:t>Innan jag tar itu med kvantiteterna år 1916 ska jag kort beskriva hur tiden tidigare har framställts. Vad vet vi om det finlandssvenska litterära fältet? Som jag redan påpekade saknas det en mera övergripande studie av 1916. Däremot finns det undersökningar som beskriver det litterära fältet i början av 1900-talet i allmänna drag. Jag kommer inte att gå igenom alla de litteraturhistoriska översiktsverk där perioden beskrivits, utan tar fasta på några undersökningar som utgår från ett litteratursociologiskt alternativt kulturmaterialistiskt perspektiv.</w:t>
      </w:r>
    </w:p>
    <w:p w14:paraId="3765BA27" w14:textId="77777777" w:rsidR="008F73FD" w:rsidRPr="00FB4EFA" w:rsidRDefault="00DD5337" w:rsidP="002A3BC9">
      <w:pPr>
        <w:ind w:firstLine="720"/>
        <w:rPr>
          <w:lang w:val="sv-SE"/>
        </w:rPr>
      </w:pPr>
      <w:r w:rsidRPr="00FB4EFA">
        <w:rPr>
          <w:lang w:val="sv-SE"/>
        </w:rPr>
        <w:t>Här finns det åter skäl att återvända till</w:t>
      </w:r>
      <w:r w:rsidRPr="00FB4EFA">
        <w:rPr>
          <w:i/>
          <w:lang w:val="sv-SE"/>
        </w:rPr>
        <w:t>Vapauden rajat</w:t>
      </w:r>
      <w:r w:rsidRPr="00FB4EFA">
        <w:rPr>
          <w:lang w:val="sv-SE"/>
        </w:rPr>
        <w:t xml:space="preserve"> av Sevänen. Enligt honom hade det litterära livet vid sekelskiftet 1900 uppdelats i tre delkulturer: den borgerliga finskspråkiga litteraturen, den borgerliga svenskspråkiga litteraturen och arbetarlitteraturen. De två första delkulturerna upprätthöll landets främsta litterära institutioner och utgjorde dess kulturelit. Trots att den finskspråkiga litteraturen dominerade kan den svenskspråkiga litteraturen inte beskrivas som en subkultur, påpekar Sevänen. Det fanns förlag, fonder och tidskrifter för finlandssvensk litteratur, och den svenskspråkiga elitens viktiga insats inom litteraturforskningen och statens konstinstitutioner gjorde den svenskspråkiga delkulturen stark. Arbetarlitteraturen utgjorde däremot en subkultur som varken åtnjöt starka resurser eller statligt stöd. (Sevänen 1994: 16–17)</w:t>
      </w:r>
    </w:p>
    <w:p w14:paraId="22C035EF" w14:textId="7A5D5258" w:rsidR="00DD5337" w:rsidRPr="00FB4EFA" w:rsidRDefault="00DD5337" w:rsidP="002A3BC9">
      <w:pPr>
        <w:spacing w:after="200"/>
        <w:ind w:firstLine="720"/>
        <w:rPr>
          <w:lang w:val="sv-SE"/>
        </w:rPr>
      </w:pPr>
      <w:r w:rsidRPr="00FB4EFA">
        <w:rPr>
          <w:lang w:val="sv-SE"/>
        </w:rPr>
        <w:t xml:space="preserve">I </w:t>
      </w:r>
      <w:r w:rsidRPr="00FB4EFA">
        <w:rPr>
          <w:i/>
          <w:lang w:val="sv-SE"/>
        </w:rPr>
        <w:t>Om bokförlag och bokförläggare i Finland</w:t>
      </w:r>
      <w:r w:rsidRPr="00FB4EFA">
        <w:rPr>
          <w:lang w:val="sv-SE"/>
        </w:rPr>
        <w:t xml:space="preserve"> (1958) talar Ola Zweygbergk om perioden som ”nittonhundratalets uppsving”. </w:t>
      </w:r>
      <w:r w:rsidR="00804A4D" w:rsidRPr="00FB4EFA">
        <w:rPr>
          <w:lang w:val="sv-SE"/>
        </w:rPr>
        <w:br/>
      </w:r>
      <w:r w:rsidRPr="00FB4EFA">
        <w:rPr>
          <w:lang w:val="sv-SE"/>
        </w:rPr>
        <w:lastRenderedPageBreak/>
        <w:t>Sekelskiftet präglades av stora förändringar inom bokutgivningen. De svenska bokförläggarnas dominans upphörde, den finska och den svenska bokutgivningen i Finland separerades och de nya finska förlagens expansion blev tydlig. ”De finska förlagens brant stigande produktionskurva och stabiliseringen av den svenska bokutgivningen i en statistiskt onormal proportion till den finska ger förlagsverksamheten på 1900-talet dess särprägel”, menar han (Zweygbergk 1958: 103–104). Medan de svenska förlagens utgivning svarade på ett konstant behov, hade de finska förlagen ett vakuum att fylla. Dock var de svenska förlagens utgivning påfallande rik och ”mer mångsidig än de upplagor skulle förutsätta som kan finna avsättning inom den finlandssvenska befolkningen”, påpekar han (Zweygbergk 1958: 103–104). Denna mångsidighet baserade sig på de finlandssvenska bokförlagens samarbete med de sverigesvenska (Zweygbergk 1958: 105). Zweygbergk konstaterar också att första världskriget inverkade på bokutgivningen. Åren 1914–1915 sjönk produktionen av böcker, efter det kom ett uppsving som i viss mån kan sättas i samband med den minskade bokimporten (Zweygbergk 1958: 105).</w:t>
      </w:r>
    </w:p>
    <w:p w14:paraId="42E1DC74" w14:textId="77777777" w:rsidR="00DD5337" w:rsidRPr="00FB4EFA" w:rsidRDefault="00DD5337" w:rsidP="002A3BC9">
      <w:pPr>
        <w:pStyle w:val="Heading2"/>
        <w:spacing w:line="259" w:lineRule="auto"/>
        <w:rPr>
          <w:color w:val="auto"/>
        </w:rPr>
      </w:pPr>
      <w:r w:rsidRPr="00FB4EFA">
        <w:rPr>
          <w:color w:val="auto"/>
        </w:rPr>
        <w:t>Plock och fynd – en genomgång av bibliografin</w:t>
      </w:r>
    </w:p>
    <w:p w14:paraId="6DD324AE" w14:textId="1F6D526A" w:rsidR="00DD5337" w:rsidRPr="00FB4EFA" w:rsidRDefault="00DD5337" w:rsidP="002A3BC9">
      <w:pPr>
        <w:spacing w:after="200"/>
        <w:contextualSpacing/>
        <w:rPr>
          <w:lang w:val="sv-SE"/>
        </w:rPr>
      </w:pPr>
      <w:r w:rsidRPr="00FB4EFA">
        <w:rPr>
          <w:lang w:val="sv-SE"/>
        </w:rPr>
        <w:t>De ovan nämnda två undersökningarna beskriver utgivningen i början av 1900-talet i allmänna drag. Hur ser då 1910-talet ut när man närmar sig det med utgångspunkt i en bibliografi och i kvantiteter? Hurdan var utgivningen av olika genrer när kvantiteterna relateras till varandra? Hurdana var proportionerna mellan utgivningen av skönlitteratur och annan utgivning? Hur såg spridningen av författare ut när man ser på kön?</w:t>
      </w:r>
    </w:p>
    <w:p w14:paraId="58331F8B" w14:textId="2570C976" w:rsidR="00DD5337" w:rsidRPr="00FB4EFA" w:rsidRDefault="00DD5337" w:rsidP="00AF0CAD">
      <w:pPr>
        <w:spacing w:after="200"/>
        <w:ind w:firstLine="720"/>
        <w:contextualSpacing/>
        <w:rPr>
          <w:lang w:val="sv-SE"/>
        </w:rPr>
      </w:pPr>
      <w:r w:rsidRPr="00FB4EFA">
        <w:rPr>
          <w:lang w:val="sv-SE"/>
        </w:rPr>
        <w:t xml:space="preserve">Den av Dolly Ölander utarbetade </w:t>
      </w:r>
      <w:r w:rsidRPr="00FB4EFA">
        <w:rPr>
          <w:i/>
          <w:iCs/>
          <w:lang w:val="sv-SE"/>
        </w:rPr>
        <w:t xml:space="preserve">Katalog över den svenska </w:t>
      </w:r>
      <w:r w:rsidR="00804A4D" w:rsidRPr="00FB4EFA">
        <w:rPr>
          <w:i/>
          <w:iCs/>
          <w:lang w:val="sv-SE"/>
        </w:rPr>
        <w:br/>
      </w:r>
      <w:r w:rsidRPr="00FB4EFA">
        <w:rPr>
          <w:i/>
          <w:iCs/>
          <w:lang w:val="sv-SE"/>
        </w:rPr>
        <w:t>litteraturen i Finland 1916–1925</w:t>
      </w:r>
      <w:r w:rsidRPr="00FB4EFA">
        <w:rPr>
          <w:lang w:val="sv-SE"/>
        </w:rPr>
        <w:t xml:space="preserve"> består av två delar: I Del I ingår ”Allmän alfabetisk avdelning – Tidskrifter – Tidningar”, del II utgörs av ”Systematisk del” (SLS 1953 och 1958). Det är framför allt ”Del II Systematisk del” jag synar. Den är sammanlagt 212 sidor samt en fyra sidor lång innehållsförteckning. Avdelningen ”XIV. Skönlitteratur” utgör 22 sidor, eller ca 10 %. (Ölander 1958: 71–93). Avdelningen är omfattande om den jämförs med till exempel ”Uppbyggelselitteratur” (omkring fyra sidor), som ingår i klassen ”Religion”, eller med klassen ”Filosofi. Psykologi. Etik. Sociologi. Teosofi” (två sidor). Omfattningen på ”Skönlitteratur” överskrider också </w:t>
      </w:r>
      <w:r w:rsidRPr="00FB4EFA">
        <w:rPr>
          <w:lang w:val="sv-SE"/>
        </w:rPr>
        <w:lastRenderedPageBreak/>
        <w:t xml:space="preserve">klassen ”Historia” med samtliga underavdelningar (ca 11 sidor), </w:t>
      </w:r>
      <w:r w:rsidR="00804A4D" w:rsidRPr="00FB4EFA">
        <w:rPr>
          <w:lang w:val="sv-SE"/>
        </w:rPr>
        <w:br/>
      </w:r>
      <w:r w:rsidRPr="00FB4EFA">
        <w:rPr>
          <w:lang w:val="sv-SE"/>
        </w:rPr>
        <w:t xml:space="preserve">”Biografi. Genealogi” (9 sidor) samt ”Litteraturhistoria. Folkdiktsforskning. Tidningshistoria” som upptar 4,5 sidor. Men jämförelsepunkter kan också sökas på andra områden än de humanistiska; avdelning XXI. </w:t>
      </w:r>
      <w:r w:rsidR="00804A4D" w:rsidRPr="00FB4EFA">
        <w:rPr>
          <w:lang w:val="sv-SE"/>
        </w:rPr>
        <w:br/>
      </w:r>
      <w:r w:rsidRPr="00FB4EFA">
        <w:rPr>
          <w:lang w:val="sv-SE"/>
        </w:rPr>
        <w:t>”Samhälls- och rättsvetenskap. Nationalekonomi. Statistik.” upptar inalles cirka 26 sidor (ca 12 %).</w:t>
      </w:r>
    </w:p>
    <w:p w14:paraId="2F9099ED" w14:textId="77777777" w:rsidR="008F73FD" w:rsidRPr="00FB4EFA" w:rsidRDefault="00DD5337" w:rsidP="002A3BC9">
      <w:pPr>
        <w:ind w:firstLine="720"/>
        <w:contextualSpacing/>
        <w:rPr>
          <w:lang w:val="sv-SE"/>
        </w:rPr>
      </w:pPr>
      <w:r w:rsidRPr="00FB4EFA">
        <w:rPr>
          <w:lang w:val="sv-SE"/>
        </w:rPr>
        <w:t>Antalet sidor per avdelning är förstås ett mycket inexakt sätt att mäta. Samtidigt berättar det ändå något om proportionerna hos och tyngdpunkterna inom utgivningen, hur stora de olika kategorierna är i relation till varandra under den tio år långa perioden bibliografin täcker. Skönlitteraturen är en inte obetydlig del av utgivningen.</w:t>
      </w:r>
    </w:p>
    <w:p w14:paraId="6033B731" w14:textId="0FA45D01" w:rsidR="00DD5337" w:rsidRPr="00FB4EFA" w:rsidRDefault="00DD5337" w:rsidP="005B35DE">
      <w:pPr>
        <w:contextualSpacing/>
        <w:jc w:val="center"/>
        <w:rPr>
          <w:lang w:val="sv-SE"/>
        </w:rPr>
      </w:pPr>
      <w:r w:rsidRPr="00FB4EFA">
        <w:rPr>
          <w:noProof/>
          <w:lang w:val="sv-SE" w:eastAsia="sv-SE"/>
        </w:rPr>
        <w:drawing>
          <wp:inline distT="0" distB="0" distL="0" distR="0" wp14:anchorId="1090E47C" wp14:editId="0835A652">
            <wp:extent cx="4065905" cy="2724150"/>
            <wp:effectExtent l="0" t="0" r="0" b="0"/>
            <wp:docPr id="28" name="Kaavi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5"/>
              </a:graphicData>
            </a:graphic>
          </wp:inline>
        </w:drawing>
      </w:r>
    </w:p>
    <w:p w14:paraId="3B07B27C" w14:textId="4532ED8B" w:rsidR="00DD5337" w:rsidRPr="00FB4EFA" w:rsidRDefault="00E737D5" w:rsidP="002A3BC9">
      <w:pPr>
        <w:spacing w:before="120" w:after="240" w:line="240" w:lineRule="auto"/>
        <w:jc w:val="center"/>
        <w:rPr>
          <w:sz w:val="18"/>
          <w:szCs w:val="18"/>
          <w:lang w:val="sv-SE"/>
        </w:rPr>
      </w:pPr>
      <w:r w:rsidRPr="00FB4EFA">
        <w:rPr>
          <w:b/>
          <w:bCs/>
          <w:sz w:val="18"/>
          <w:szCs w:val="18"/>
          <w:lang w:val="sv-SE"/>
        </w:rPr>
        <w:t>Tabell 1</w:t>
      </w:r>
      <w:r w:rsidRPr="00FB4EFA">
        <w:rPr>
          <w:sz w:val="18"/>
          <w:szCs w:val="18"/>
          <w:lang w:val="sv-SE"/>
        </w:rPr>
        <w:t>: Proportionerna mellan ett antal olika avdelningar av utgivning (Ölander 1958)</w:t>
      </w:r>
    </w:p>
    <w:p w14:paraId="3157172A" w14:textId="40C4364E" w:rsidR="00DD5337" w:rsidRPr="00FB4EFA" w:rsidRDefault="00DD5337" w:rsidP="00AF0CAD">
      <w:pPr>
        <w:rPr>
          <w:lang w:val="sv-SE"/>
        </w:rPr>
      </w:pPr>
      <w:r w:rsidRPr="00FB4EFA">
        <w:rPr>
          <w:lang w:val="sv-SE"/>
        </w:rPr>
        <w:t>Klassen ”Skönlitteratur” är uppdelad i sex underavdelningar som mera i detalj listar utgivningen. En del av underavdelningarna har ytterligare underavdelningar. I klassen ”Serier och album” ingår sammanlagt 25 nummer.</w:t>
      </w:r>
      <w:r w:rsidRPr="00FB4EFA">
        <w:rPr>
          <w:vertAlign w:val="superscript"/>
          <w:lang w:val="sv-SE"/>
        </w:rPr>
        <w:footnoteReference w:id="201"/>
      </w:r>
      <w:r w:rsidRPr="00FB4EFA">
        <w:rPr>
          <w:lang w:val="sv-SE"/>
        </w:rPr>
        <w:t xml:space="preserve"> Här inlemmas kanoniserade författares samlade verk (till exempel Zachris Topelius’ </w:t>
      </w:r>
      <w:r w:rsidRPr="00FB4EFA">
        <w:rPr>
          <w:i/>
          <w:lang w:val="sv-SE"/>
        </w:rPr>
        <w:t>Samlade verk</w:t>
      </w:r>
      <w:r w:rsidRPr="00FB4EFA">
        <w:rPr>
          <w:lang w:val="sv-SE"/>
        </w:rPr>
        <w:t>) samt serier såsom Schildts klassikerbibliotek, Söderströms 9 marks böcker, med flera. Här ingår även se</w:t>
      </w:r>
      <w:r w:rsidRPr="00FB4EFA">
        <w:rPr>
          <w:lang w:val="sv-SE"/>
        </w:rPr>
        <w:lastRenderedPageBreak/>
        <w:t xml:space="preserve">rier med namn som </w:t>
      </w:r>
      <w:r w:rsidRPr="00FB4EFA">
        <w:rPr>
          <w:i/>
          <w:lang w:val="sv-SE"/>
        </w:rPr>
        <w:t>Ute och hemma. Romanbilaga.</w:t>
      </w:r>
      <w:r w:rsidRPr="00FB4EFA">
        <w:rPr>
          <w:lang w:val="sv-SE"/>
        </w:rPr>
        <w:t xml:space="preserve"> I </w:t>
      </w:r>
      <w:r w:rsidRPr="00FB4EFA">
        <w:rPr>
          <w:i/>
          <w:lang w:val="sv-SE"/>
        </w:rPr>
        <w:t>Tidskriften Ute och hemma</w:t>
      </w:r>
      <w:r w:rsidRPr="00FB4EFA">
        <w:rPr>
          <w:lang w:val="sv-SE"/>
        </w:rPr>
        <w:t xml:space="preserve"> ingick år 1916 bland annat </w:t>
      </w:r>
      <w:r w:rsidRPr="00FB4EFA">
        <w:rPr>
          <w:i/>
          <w:lang w:val="sv-SE"/>
        </w:rPr>
        <w:t>Memoarer af en arabisk prinsessa</w:t>
      </w:r>
      <w:r w:rsidRPr="00FB4EFA">
        <w:rPr>
          <w:lang w:val="sv-SE"/>
        </w:rPr>
        <w:t xml:space="preserve">, en titel (13 sidor) som blivit översatt från franskan av A.J. I samma serie utkom även tre andra texter under 1916. Underavdelningen är mångsidig och spretig och visar redan i sig på vidden av skönlitterär utgivning: skönlitteratur publiceras inte endast i form av individuella verk av enskilda författare, utan också i andra format. I klassen ”Serier och album” finns också sådana nummer som Barnbiblioteket Eos, </w:t>
      </w:r>
      <w:r w:rsidRPr="00FB4EFA">
        <w:rPr>
          <w:i/>
          <w:lang w:val="sv-SE"/>
        </w:rPr>
        <w:t>Minnen från hav och hamn. Upptecknade av våra sjöfarande</w:t>
      </w:r>
      <w:r w:rsidRPr="00FB4EFA">
        <w:rPr>
          <w:lang w:val="sv-SE"/>
        </w:rPr>
        <w:t xml:space="preserve"> (1918) samt Svenska </w:t>
      </w:r>
      <w:r w:rsidR="00804A4D" w:rsidRPr="00FB4EFA">
        <w:rPr>
          <w:lang w:val="sv-SE"/>
        </w:rPr>
        <w:br/>
      </w:r>
      <w:r w:rsidRPr="00FB4EFA">
        <w:rPr>
          <w:lang w:val="sv-SE"/>
        </w:rPr>
        <w:t>Österbottens ungdomsförenings teaterbibliotek. Även en serie på ryska, ”Sbornik finljandskoj” finns med i uppteckningen av serier och album.</w:t>
      </w:r>
    </w:p>
    <w:p w14:paraId="4EF207E3" w14:textId="5BD7107E" w:rsidR="00211A78" w:rsidRPr="00FB4EFA" w:rsidRDefault="00DD5337" w:rsidP="002A3BC9">
      <w:pPr>
        <w:ind w:firstLine="720"/>
        <w:rPr>
          <w:lang w:val="sv-SE"/>
        </w:rPr>
      </w:pPr>
      <w:r w:rsidRPr="00FB4EFA">
        <w:rPr>
          <w:lang w:val="sv-SE"/>
        </w:rPr>
        <w:t>Tabell 2 visar underavdelningarna i den skönlitterära utgivningen, antalet utgivna verk under hela perioden bibliografin omfattar samt utgivningen specifikt år 1916. För att komma underfund med vilka serier och album som räknas upp i Del II som utkom under 1916 anlitar jag Del I Alfabetisk del, där det finns mera specifika uppgifter om varje enskild titel. De siffror jag presenterar innehåller flera osäkerhetsmoment; det är möjligt att jag har räknat fel, tagit med verk flera gånger eller missat titlar i någon kategori. Siffrorna måste därför tas som riktgivande.</w:t>
      </w:r>
    </w:p>
    <w:p w14:paraId="30E55B5A" w14:textId="3C96E84E" w:rsidR="00DD5337" w:rsidRPr="00FB4EFA" w:rsidRDefault="00D4298A" w:rsidP="005B35DE">
      <w:pPr>
        <w:jc w:val="center"/>
        <w:rPr>
          <w:lang w:val="sv-SE"/>
        </w:rPr>
      </w:pPr>
      <w:r w:rsidRPr="00FB4EFA">
        <w:rPr>
          <w:noProof/>
          <w:lang w:val="sv-SE"/>
        </w:rPr>
        <w:lastRenderedPageBreak/>
        <w:drawing>
          <wp:inline distT="0" distB="0" distL="0" distR="0" wp14:anchorId="045AC092" wp14:editId="5A635AFC">
            <wp:extent cx="4390390" cy="5233959"/>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6"/>
              </a:graphicData>
            </a:graphic>
          </wp:inline>
        </w:drawing>
      </w:r>
    </w:p>
    <w:p w14:paraId="272DCC4A" w14:textId="77777777" w:rsidR="00E737D5" w:rsidRPr="00FB4EFA" w:rsidRDefault="00E737D5" w:rsidP="002A3BC9">
      <w:pPr>
        <w:spacing w:after="240" w:line="240" w:lineRule="auto"/>
        <w:jc w:val="center"/>
        <w:rPr>
          <w:sz w:val="18"/>
          <w:szCs w:val="18"/>
          <w:lang w:val="sv-SE"/>
        </w:rPr>
      </w:pPr>
      <w:r w:rsidRPr="00FB4EFA">
        <w:rPr>
          <w:b/>
          <w:bCs/>
          <w:sz w:val="18"/>
          <w:szCs w:val="18"/>
          <w:lang w:val="sv-SE"/>
        </w:rPr>
        <w:t>Tabell 2</w:t>
      </w:r>
      <w:r w:rsidRPr="00FB4EFA">
        <w:rPr>
          <w:sz w:val="18"/>
          <w:szCs w:val="18"/>
          <w:lang w:val="sv-SE"/>
        </w:rPr>
        <w:t>: Utgivning av skönlitteratur på svenska i Finland enligt klasser i Ölander 1958. (Se även bilaga i slutet av artikeln.)</w:t>
      </w:r>
    </w:p>
    <w:p w14:paraId="797DAD27" w14:textId="77777777" w:rsidR="00DD5337" w:rsidRPr="00FB4EFA" w:rsidRDefault="00DD5337" w:rsidP="002A3BC9">
      <w:pPr>
        <w:rPr>
          <w:lang w:val="sv-SE"/>
        </w:rPr>
      </w:pPr>
      <w:r w:rsidRPr="00FB4EFA">
        <w:rPr>
          <w:lang w:val="sv-SE"/>
        </w:rPr>
        <w:t>”Skönlitteratur på främmande språk i översättning till svenska” (4.B) är den största klassen sett till antalet titlar, därefter kommer ”Prosa i original och översättning/Finland” (2.Ca), ”Poesi i original och översättning” (2.A, med stor utgivning ifall man också räknar med tillfällighetsdikterna som finns med som ett separat bihang) samt ”Böcker för barn och ungdom i original och översättning” (2.D).</w:t>
      </w:r>
    </w:p>
    <w:p w14:paraId="5ACF584F" w14:textId="1DC88003" w:rsidR="008F73FD" w:rsidRPr="00FB4EFA" w:rsidRDefault="00DD5337" w:rsidP="00AF0CAD">
      <w:pPr>
        <w:ind w:firstLine="720"/>
        <w:rPr>
          <w:lang w:val="sv-SE"/>
        </w:rPr>
      </w:pPr>
      <w:r w:rsidRPr="00FB4EFA">
        <w:rPr>
          <w:lang w:val="sv-SE"/>
        </w:rPr>
        <w:lastRenderedPageBreak/>
        <w:t xml:space="preserve">Grupperingen i bibliografin baserar på universitetsbibliotekets Fennica-samling (Förord av Dolly Ölander, 1958). Den kan jämföras med uppdelningen inom klassen ”Skönlitteratur” i motsvarande finska publikation, den av Simo Pakarinen sammanställda </w:t>
      </w:r>
      <w:r w:rsidRPr="00FB4EFA">
        <w:rPr>
          <w:i/>
          <w:lang w:val="sv-SE"/>
        </w:rPr>
        <w:t>Suomalainen kirjallisuus 1916–1920. Aakkosellinen ja aineenmukainen luettelo</w:t>
      </w:r>
      <w:r w:rsidRPr="00FB4EFA">
        <w:rPr>
          <w:lang w:val="sv-SE"/>
        </w:rPr>
        <w:t xml:space="preserve"> (Pakarinen 1924). I den utgörs klasserna av ”A. Kokoelmia ja sarjoja” (”samlingar och serier”, i vilken även ingår serier som innehåller dramatik, 62 stycken), </w:t>
      </w:r>
      <w:r w:rsidR="00545A5C" w:rsidRPr="00FB4EFA">
        <w:rPr>
          <w:lang w:val="sv-SE"/>
        </w:rPr>
        <w:br/>
      </w:r>
      <w:r w:rsidRPr="00FB4EFA">
        <w:rPr>
          <w:lang w:val="sv-SE"/>
        </w:rPr>
        <w:t xml:space="preserve">”B. Suomalaista kansanrunoutta” (”finsk folkdiktning”, 15 stycken), </w:t>
      </w:r>
      <w:r w:rsidR="00545A5C" w:rsidRPr="00FB4EFA">
        <w:rPr>
          <w:lang w:val="sv-SE"/>
        </w:rPr>
        <w:br/>
      </w:r>
      <w:r w:rsidRPr="00FB4EFA">
        <w:rPr>
          <w:lang w:val="sv-SE"/>
        </w:rPr>
        <w:t>”C. Uudenaikuista runoutta” (”samtids</w:t>
      </w:r>
      <w:r w:rsidR="000F7B08" w:rsidRPr="00FB4EFA">
        <w:rPr>
          <w:lang w:val="sv-SE"/>
        </w:rPr>
        <w:softHyphen/>
      </w:r>
      <w:r w:rsidRPr="00FB4EFA">
        <w:rPr>
          <w:lang w:val="sv-SE"/>
        </w:rPr>
        <w:t>diktning”, både översättningar och inhemska, 216 stycken), ”D. Näytelmiä” (”Pjäser”, 1. ”Original”, 115 stycken, 2. ”Översättningar”, 63 stycken), ”E. Romaaneja ja kertomuksia” (”Romaner och berättelser”, 1. ”Original”, 369 stycken, 2. ”Översättningar”, ca 600 stycken). Pakarinens kategorier skiljer sig delvis från Ölander och ordningen på klasserna varierar när de jämförs med Ölander.</w:t>
      </w:r>
    </w:p>
    <w:p w14:paraId="7DD0AB04" w14:textId="04A55615" w:rsidR="00DD5337" w:rsidRPr="00FB4EFA" w:rsidRDefault="00DD5337" w:rsidP="002A3BC9">
      <w:pPr>
        <w:ind w:firstLine="720"/>
        <w:rPr>
          <w:lang w:val="sv-SE"/>
        </w:rPr>
      </w:pPr>
      <w:r w:rsidRPr="00FB4EFA">
        <w:rPr>
          <w:lang w:val="sv-SE"/>
        </w:rPr>
        <w:t xml:space="preserve">Uppdelningen i de olika underavdelningarna inom klassen </w:t>
      </w:r>
      <w:r w:rsidR="00545A5C" w:rsidRPr="00FB4EFA">
        <w:rPr>
          <w:lang w:val="sv-SE"/>
        </w:rPr>
        <w:br/>
      </w:r>
      <w:r w:rsidRPr="00FB4EFA">
        <w:rPr>
          <w:lang w:val="sv-SE"/>
        </w:rPr>
        <w:t xml:space="preserve">”Skönlitteratur” varierar något även periodvis. Detta blir synligt om man jämför uppdelningen under 1916–1925 med uppdelningen under följande period, 1926–1932 i den av Dolly Ölander sammanställda </w:t>
      </w:r>
      <w:r w:rsidRPr="00FB4EFA">
        <w:rPr>
          <w:i/>
          <w:lang w:val="sv-SE"/>
        </w:rPr>
        <w:t>Katalog över den svenska litteraturen i Finland samt arbeten utgivna på främmande språk i Finland och av finländska författare på svenska och främmande språk i utlandet 1926–1932</w:t>
      </w:r>
      <w:r w:rsidRPr="00FB4EFA">
        <w:rPr>
          <w:lang w:val="sv-SE"/>
        </w:rPr>
        <w:t xml:space="preserve"> (1974).</w:t>
      </w:r>
    </w:p>
    <w:p w14:paraId="0A193F20" w14:textId="003BAF58" w:rsidR="00DD5337" w:rsidRPr="00FB4EFA" w:rsidRDefault="00DD5337" w:rsidP="002A3BC9">
      <w:pPr>
        <w:ind w:firstLine="720"/>
        <w:rPr>
          <w:lang w:val="sv-SE"/>
        </w:rPr>
      </w:pPr>
      <w:r w:rsidRPr="00FB4EFA">
        <w:rPr>
          <w:lang w:val="sv-SE"/>
        </w:rPr>
        <w:t>Efter att ha sållat fram de titlar som getts ut året 1916 inom klassen 1. ”Svensk skönlitteratur, poesi i original och översättning” får jag fram följande lista:</w:t>
      </w:r>
    </w:p>
    <w:tbl>
      <w:tblPr>
        <w:tblW w:w="0" w:type="auto"/>
        <w:tblBorders>
          <w:insideH w:val="single" w:sz="4" w:space="0" w:color="auto"/>
          <w:insideV w:val="single" w:sz="4" w:space="0" w:color="auto"/>
        </w:tblBorders>
        <w:tblLook w:val="04A0" w:firstRow="1" w:lastRow="0" w:firstColumn="1" w:lastColumn="0" w:noHBand="0" w:noVBand="1"/>
      </w:tblPr>
      <w:tblGrid>
        <w:gridCol w:w="1303"/>
        <w:gridCol w:w="1951"/>
        <w:gridCol w:w="1974"/>
        <w:gridCol w:w="921"/>
        <w:gridCol w:w="981"/>
      </w:tblGrid>
      <w:tr w:rsidR="00FB4EFA" w:rsidRPr="00FB4EFA" w14:paraId="488B076A" w14:textId="77777777" w:rsidTr="00780988">
        <w:tc>
          <w:tcPr>
            <w:tcW w:w="0" w:type="auto"/>
            <w:tcBorders>
              <w:top w:val="nil"/>
              <w:bottom w:val="single" w:sz="12" w:space="0" w:color="auto"/>
            </w:tcBorders>
            <w:vAlign w:val="center"/>
          </w:tcPr>
          <w:p w14:paraId="05976D0B" w14:textId="77777777" w:rsidR="00DD5337" w:rsidRPr="00FB4EFA" w:rsidRDefault="00DD5337" w:rsidP="002A3BC9">
            <w:pPr>
              <w:keepNext/>
              <w:suppressAutoHyphens/>
              <w:spacing w:line="240" w:lineRule="auto"/>
              <w:jc w:val="center"/>
              <w:rPr>
                <w:rFonts w:cs="Charis SIL"/>
                <w:b/>
                <w:bCs/>
                <w:sz w:val="18"/>
                <w:szCs w:val="18"/>
                <w:lang w:val="sv-SE"/>
              </w:rPr>
            </w:pPr>
            <w:r w:rsidRPr="00FB4EFA">
              <w:rPr>
                <w:rFonts w:cs="Charis SIL"/>
                <w:b/>
                <w:bCs/>
                <w:sz w:val="18"/>
                <w:szCs w:val="18"/>
                <w:lang w:val="sv-SE"/>
              </w:rPr>
              <w:lastRenderedPageBreak/>
              <w:t>Författare</w:t>
            </w:r>
          </w:p>
        </w:tc>
        <w:tc>
          <w:tcPr>
            <w:tcW w:w="0" w:type="auto"/>
            <w:tcBorders>
              <w:top w:val="nil"/>
              <w:bottom w:val="single" w:sz="12" w:space="0" w:color="auto"/>
            </w:tcBorders>
            <w:vAlign w:val="center"/>
          </w:tcPr>
          <w:p w14:paraId="1D3EFE3D" w14:textId="77777777" w:rsidR="00DD5337" w:rsidRPr="00FB4EFA" w:rsidRDefault="00DD5337" w:rsidP="002A3BC9">
            <w:pPr>
              <w:keepNext/>
              <w:suppressAutoHyphens/>
              <w:spacing w:line="240" w:lineRule="auto"/>
              <w:jc w:val="center"/>
              <w:rPr>
                <w:rFonts w:cs="Charis SIL"/>
                <w:b/>
                <w:bCs/>
                <w:sz w:val="18"/>
                <w:szCs w:val="18"/>
                <w:lang w:val="sv-SE"/>
              </w:rPr>
            </w:pPr>
            <w:r w:rsidRPr="00FB4EFA">
              <w:rPr>
                <w:rFonts w:cs="Charis SIL"/>
                <w:b/>
                <w:bCs/>
                <w:sz w:val="18"/>
                <w:szCs w:val="18"/>
                <w:lang w:val="sv-SE"/>
              </w:rPr>
              <w:t>Titel</w:t>
            </w:r>
          </w:p>
        </w:tc>
        <w:tc>
          <w:tcPr>
            <w:tcW w:w="0" w:type="auto"/>
            <w:tcBorders>
              <w:top w:val="nil"/>
              <w:bottom w:val="single" w:sz="12" w:space="0" w:color="auto"/>
            </w:tcBorders>
            <w:vAlign w:val="center"/>
          </w:tcPr>
          <w:p w14:paraId="14AC2954" w14:textId="0B79948D" w:rsidR="00DD5337" w:rsidRPr="00FB4EFA" w:rsidRDefault="00DD5337" w:rsidP="002A3BC9">
            <w:pPr>
              <w:keepNext/>
              <w:suppressAutoHyphens/>
              <w:spacing w:line="240" w:lineRule="auto"/>
              <w:jc w:val="center"/>
              <w:rPr>
                <w:rFonts w:cs="Charis SIL"/>
                <w:b/>
                <w:bCs/>
                <w:sz w:val="18"/>
                <w:szCs w:val="18"/>
                <w:lang w:val="sv-SE"/>
              </w:rPr>
            </w:pPr>
            <w:r w:rsidRPr="00FB4EFA">
              <w:rPr>
                <w:rFonts w:cs="Charis SIL"/>
                <w:b/>
                <w:bCs/>
                <w:sz w:val="18"/>
                <w:szCs w:val="18"/>
                <w:lang w:val="sv-SE"/>
              </w:rPr>
              <w:t>Ort och utgivare</w:t>
            </w:r>
            <w:r w:rsidRPr="00FB4EFA">
              <w:rPr>
                <w:rFonts w:cs="Charis SIL"/>
                <w:b/>
                <w:bCs/>
                <w:sz w:val="18"/>
                <w:szCs w:val="18"/>
                <w:vertAlign w:val="superscript"/>
                <w:lang w:val="sv-SE"/>
              </w:rPr>
              <w:footnoteReference w:id="202"/>
            </w:r>
          </w:p>
        </w:tc>
        <w:tc>
          <w:tcPr>
            <w:tcW w:w="0" w:type="auto"/>
            <w:tcBorders>
              <w:top w:val="nil"/>
              <w:bottom w:val="single" w:sz="12" w:space="0" w:color="auto"/>
            </w:tcBorders>
            <w:vAlign w:val="center"/>
          </w:tcPr>
          <w:p w14:paraId="2BBA33B7" w14:textId="77777777" w:rsidR="00DD5337" w:rsidRPr="00FB4EFA" w:rsidRDefault="00DD5337" w:rsidP="002A3BC9">
            <w:pPr>
              <w:keepNext/>
              <w:suppressAutoHyphens/>
              <w:spacing w:line="240" w:lineRule="auto"/>
              <w:jc w:val="center"/>
              <w:rPr>
                <w:rFonts w:cs="Charis SIL"/>
                <w:b/>
                <w:bCs/>
                <w:sz w:val="18"/>
                <w:szCs w:val="18"/>
                <w:lang w:val="sv-SE"/>
              </w:rPr>
            </w:pPr>
            <w:r w:rsidRPr="00FB4EFA">
              <w:rPr>
                <w:rFonts w:cs="Charis SIL"/>
                <w:b/>
                <w:bCs/>
                <w:sz w:val="18"/>
                <w:szCs w:val="18"/>
                <w:lang w:val="sv-SE"/>
              </w:rPr>
              <w:t>Sidantal</w:t>
            </w:r>
          </w:p>
        </w:tc>
        <w:tc>
          <w:tcPr>
            <w:tcW w:w="0" w:type="auto"/>
            <w:tcBorders>
              <w:top w:val="nil"/>
              <w:bottom w:val="single" w:sz="12" w:space="0" w:color="auto"/>
            </w:tcBorders>
            <w:vAlign w:val="center"/>
          </w:tcPr>
          <w:p w14:paraId="215EAFCD" w14:textId="77777777" w:rsidR="00DD5337" w:rsidRPr="00FB4EFA" w:rsidRDefault="00DD5337" w:rsidP="002A3BC9">
            <w:pPr>
              <w:keepNext/>
              <w:suppressAutoHyphens/>
              <w:spacing w:line="240" w:lineRule="auto"/>
              <w:jc w:val="center"/>
              <w:rPr>
                <w:rFonts w:cs="Charis SIL"/>
                <w:b/>
                <w:bCs/>
                <w:sz w:val="18"/>
                <w:szCs w:val="18"/>
                <w:lang w:val="sv-SE"/>
              </w:rPr>
            </w:pPr>
            <w:r w:rsidRPr="00FB4EFA">
              <w:rPr>
                <w:rFonts w:cs="Charis SIL"/>
                <w:b/>
                <w:bCs/>
                <w:sz w:val="18"/>
                <w:szCs w:val="18"/>
                <w:lang w:val="sv-SE"/>
              </w:rPr>
              <w:t>Pris, mk</w:t>
            </w:r>
          </w:p>
        </w:tc>
      </w:tr>
      <w:tr w:rsidR="00FB4EFA" w:rsidRPr="00FB4EFA" w14:paraId="386F68A7" w14:textId="77777777" w:rsidTr="00E737D5">
        <w:tc>
          <w:tcPr>
            <w:tcW w:w="0" w:type="auto"/>
            <w:tcBorders>
              <w:top w:val="single" w:sz="12" w:space="0" w:color="auto"/>
            </w:tcBorders>
          </w:tcPr>
          <w:p w14:paraId="18A8535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Cavonius, Igor</w:t>
            </w:r>
          </w:p>
        </w:tc>
        <w:tc>
          <w:tcPr>
            <w:tcW w:w="0" w:type="auto"/>
            <w:tcBorders>
              <w:top w:val="single" w:sz="12" w:space="0" w:color="auto"/>
            </w:tcBorders>
          </w:tcPr>
          <w:p w14:paraId="0C91DE51"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Stoft. Dikter</w:t>
            </w:r>
          </w:p>
        </w:tc>
        <w:tc>
          <w:tcPr>
            <w:tcW w:w="0" w:type="auto"/>
            <w:tcBorders>
              <w:top w:val="single" w:sz="12" w:space="0" w:color="auto"/>
            </w:tcBorders>
          </w:tcPr>
          <w:p w14:paraId="530A7542"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 Borgå, Schildt.</w:t>
            </w:r>
          </w:p>
        </w:tc>
        <w:tc>
          <w:tcPr>
            <w:tcW w:w="0" w:type="auto"/>
            <w:tcBorders>
              <w:top w:val="single" w:sz="12" w:space="0" w:color="auto"/>
            </w:tcBorders>
          </w:tcPr>
          <w:p w14:paraId="534148C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70</w:t>
            </w:r>
          </w:p>
        </w:tc>
        <w:tc>
          <w:tcPr>
            <w:tcW w:w="0" w:type="auto"/>
            <w:tcBorders>
              <w:top w:val="single" w:sz="12" w:space="0" w:color="auto"/>
            </w:tcBorders>
          </w:tcPr>
          <w:p w14:paraId="0A91F86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3:00</w:t>
            </w:r>
          </w:p>
          <w:p w14:paraId="1CF32F6F" w14:textId="77777777" w:rsidR="00DD5337" w:rsidRPr="00FB4EFA" w:rsidRDefault="00DD5337" w:rsidP="002A3BC9">
            <w:pPr>
              <w:keepNext/>
              <w:spacing w:line="240" w:lineRule="auto"/>
              <w:rPr>
                <w:rFonts w:cs="Charis SIL"/>
                <w:sz w:val="16"/>
                <w:szCs w:val="16"/>
                <w:lang w:val="sv-SE"/>
              </w:rPr>
            </w:pPr>
          </w:p>
        </w:tc>
      </w:tr>
      <w:tr w:rsidR="00FB4EFA" w:rsidRPr="00FB4EFA" w14:paraId="70121944" w14:textId="77777777" w:rsidTr="00E737D5">
        <w:tc>
          <w:tcPr>
            <w:tcW w:w="0" w:type="auto"/>
          </w:tcPr>
          <w:p w14:paraId="250E926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Ekelund, Ragnar </w:t>
            </w:r>
          </w:p>
        </w:tc>
        <w:tc>
          <w:tcPr>
            <w:tcW w:w="0" w:type="auto"/>
          </w:tcPr>
          <w:p w14:paraId="3B135B0D"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Intermezzo</w:t>
            </w:r>
          </w:p>
        </w:tc>
        <w:tc>
          <w:tcPr>
            <w:tcW w:w="0" w:type="auto"/>
          </w:tcPr>
          <w:p w14:paraId="7098CF32"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 Söderström &amp; C:o.</w:t>
            </w:r>
          </w:p>
        </w:tc>
        <w:tc>
          <w:tcPr>
            <w:tcW w:w="0" w:type="auto"/>
          </w:tcPr>
          <w:p w14:paraId="3151AA53"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99</w:t>
            </w:r>
          </w:p>
        </w:tc>
        <w:tc>
          <w:tcPr>
            <w:tcW w:w="0" w:type="auto"/>
          </w:tcPr>
          <w:p w14:paraId="2500010E"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4:00</w:t>
            </w:r>
          </w:p>
          <w:p w14:paraId="0C3533D5" w14:textId="77777777" w:rsidR="00DD5337" w:rsidRPr="00FB4EFA" w:rsidRDefault="00DD5337" w:rsidP="002A3BC9">
            <w:pPr>
              <w:keepNext/>
              <w:spacing w:line="240" w:lineRule="auto"/>
              <w:rPr>
                <w:rFonts w:cs="Charis SIL"/>
                <w:sz w:val="16"/>
                <w:szCs w:val="16"/>
                <w:lang w:val="sv-SE"/>
              </w:rPr>
            </w:pPr>
          </w:p>
        </w:tc>
      </w:tr>
      <w:tr w:rsidR="00FB4EFA" w:rsidRPr="00FB4EFA" w14:paraId="3ADA9432" w14:textId="77777777" w:rsidTr="00E737D5">
        <w:tc>
          <w:tcPr>
            <w:tcW w:w="0" w:type="auto"/>
          </w:tcPr>
          <w:p w14:paraId="016029F6"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Engelqvist, Oskar </w:t>
            </w:r>
          </w:p>
        </w:tc>
        <w:tc>
          <w:tcPr>
            <w:tcW w:w="0" w:type="auto"/>
          </w:tcPr>
          <w:p w14:paraId="61367757"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Sånger från bygden</w:t>
            </w:r>
          </w:p>
        </w:tc>
        <w:tc>
          <w:tcPr>
            <w:tcW w:w="0" w:type="auto"/>
          </w:tcPr>
          <w:p w14:paraId="018D2E8F"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Kristinestad 1916</w:t>
            </w:r>
          </w:p>
        </w:tc>
        <w:tc>
          <w:tcPr>
            <w:tcW w:w="0" w:type="auto"/>
          </w:tcPr>
          <w:p w14:paraId="203FDCBF"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16</w:t>
            </w:r>
          </w:p>
        </w:tc>
        <w:tc>
          <w:tcPr>
            <w:tcW w:w="0" w:type="auto"/>
          </w:tcPr>
          <w:p w14:paraId="4D04591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6DE0E9D7" w14:textId="77777777" w:rsidTr="00E737D5">
        <w:tc>
          <w:tcPr>
            <w:tcW w:w="0" w:type="auto"/>
          </w:tcPr>
          <w:p w14:paraId="7B82B29E" w14:textId="77777777" w:rsidR="008F73FD" w:rsidRPr="00FB4EFA" w:rsidRDefault="00DD5337" w:rsidP="002A3BC9">
            <w:pPr>
              <w:keepNext/>
              <w:spacing w:line="240" w:lineRule="auto"/>
              <w:rPr>
                <w:rFonts w:cs="Charis SIL"/>
                <w:sz w:val="16"/>
                <w:szCs w:val="16"/>
                <w:lang w:val="sv-SE"/>
              </w:rPr>
            </w:pPr>
            <w:r w:rsidRPr="00FB4EFA">
              <w:rPr>
                <w:rFonts w:cs="Charis SIL"/>
                <w:sz w:val="16"/>
                <w:szCs w:val="16"/>
                <w:lang w:val="sv-SE"/>
              </w:rPr>
              <w:t>Hemmer, Jarl</w:t>
            </w:r>
          </w:p>
          <w:p w14:paraId="7612D32A" w14:textId="61971161" w:rsidR="00DD5337" w:rsidRPr="00FB4EFA" w:rsidRDefault="00DD5337" w:rsidP="002A3BC9">
            <w:pPr>
              <w:keepNext/>
              <w:spacing w:line="240" w:lineRule="auto"/>
              <w:rPr>
                <w:rFonts w:cs="Charis SIL"/>
                <w:sz w:val="16"/>
                <w:szCs w:val="16"/>
                <w:lang w:val="sv-SE"/>
              </w:rPr>
            </w:pPr>
          </w:p>
        </w:tc>
        <w:tc>
          <w:tcPr>
            <w:tcW w:w="0" w:type="auto"/>
          </w:tcPr>
          <w:p w14:paraId="4B3BE187"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Pelaren och andra dikter</w:t>
            </w:r>
          </w:p>
        </w:tc>
        <w:tc>
          <w:tcPr>
            <w:tcW w:w="0" w:type="auto"/>
          </w:tcPr>
          <w:p w14:paraId="5347C7D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Bonniers &amp; Schildt 1916</w:t>
            </w:r>
          </w:p>
        </w:tc>
        <w:tc>
          <w:tcPr>
            <w:tcW w:w="0" w:type="auto"/>
          </w:tcPr>
          <w:p w14:paraId="03CA6E1B"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82 </w:t>
            </w:r>
          </w:p>
        </w:tc>
        <w:tc>
          <w:tcPr>
            <w:tcW w:w="0" w:type="auto"/>
          </w:tcPr>
          <w:p w14:paraId="07EEC3F9"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4:00</w:t>
            </w:r>
          </w:p>
        </w:tc>
      </w:tr>
      <w:tr w:rsidR="00FB4EFA" w:rsidRPr="00FB4EFA" w14:paraId="210792B1" w14:textId="77777777" w:rsidTr="00E737D5">
        <w:tc>
          <w:tcPr>
            <w:tcW w:w="0" w:type="auto"/>
          </w:tcPr>
          <w:p w14:paraId="6877DAC2"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Lindman, Volmar</w:t>
            </w:r>
          </w:p>
        </w:tc>
        <w:tc>
          <w:tcPr>
            <w:tcW w:w="0" w:type="auto"/>
          </w:tcPr>
          <w:p w14:paraId="591035D8"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I sol och töcken. Dikter. 9. Samlingen</w:t>
            </w:r>
          </w:p>
        </w:tc>
        <w:tc>
          <w:tcPr>
            <w:tcW w:w="0" w:type="auto"/>
          </w:tcPr>
          <w:p w14:paraId="43E8E54E" w14:textId="77777777" w:rsidR="008F73FD"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w:t>
            </w:r>
          </w:p>
          <w:p w14:paraId="1FAB0924" w14:textId="007C8437" w:rsidR="00DD5337" w:rsidRPr="00FB4EFA" w:rsidRDefault="00DD5337" w:rsidP="002A3BC9">
            <w:pPr>
              <w:keepNext/>
              <w:spacing w:line="240" w:lineRule="auto"/>
              <w:rPr>
                <w:rFonts w:cs="Charis SIL"/>
                <w:sz w:val="16"/>
                <w:szCs w:val="16"/>
                <w:lang w:val="sv-SE"/>
              </w:rPr>
            </w:pPr>
          </w:p>
        </w:tc>
        <w:tc>
          <w:tcPr>
            <w:tcW w:w="0" w:type="auto"/>
          </w:tcPr>
          <w:p w14:paraId="7F8A7AD9"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47 (+1) </w:t>
            </w:r>
          </w:p>
        </w:tc>
        <w:tc>
          <w:tcPr>
            <w:tcW w:w="0" w:type="auto"/>
          </w:tcPr>
          <w:p w14:paraId="7E97CFB0"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1:00</w:t>
            </w:r>
          </w:p>
        </w:tc>
      </w:tr>
      <w:tr w:rsidR="00FB4EFA" w:rsidRPr="00FB4EFA" w14:paraId="14BB68BE" w14:textId="77777777" w:rsidTr="00E737D5">
        <w:tc>
          <w:tcPr>
            <w:tcW w:w="0" w:type="auto"/>
          </w:tcPr>
          <w:p w14:paraId="3A935E9A"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Mörne, Arvid</w:t>
            </w:r>
          </w:p>
        </w:tc>
        <w:tc>
          <w:tcPr>
            <w:tcW w:w="0" w:type="auto"/>
          </w:tcPr>
          <w:p w14:paraId="42A10CAB"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Sommarnatten. Dikter (Samlade dikter)</w:t>
            </w:r>
          </w:p>
        </w:tc>
        <w:tc>
          <w:tcPr>
            <w:tcW w:w="0" w:type="auto"/>
          </w:tcPr>
          <w:p w14:paraId="376FC3FA"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Borgå, Schildt 1916.</w:t>
            </w:r>
          </w:p>
        </w:tc>
        <w:tc>
          <w:tcPr>
            <w:tcW w:w="0" w:type="auto"/>
          </w:tcPr>
          <w:p w14:paraId="55BE2F14"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119 (+4)</w:t>
            </w:r>
          </w:p>
        </w:tc>
        <w:tc>
          <w:tcPr>
            <w:tcW w:w="0" w:type="auto"/>
          </w:tcPr>
          <w:p w14:paraId="7C20E342"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5:00</w:t>
            </w:r>
          </w:p>
        </w:tc>
      </w:tr>
      <w:tr w:rsidR="00FB4EFA" w:rsidRPr="00FB4EFA" w14:paraId="7F5ECC2C" w14:textId="77777777" w:rsidTr="00E737D5">
        <w:tc>
          <w:tcPr>
            <w:tcW w:w="0" w:type="auto"/>
          </w:tcPr>
          <w:p w14:paraId="74AE0DF9"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Runeberg, Johan Ludvig</w:t>
            </w:r>
          </w:p>
        </w:tc>
        <w:tc>
          <w:tcPr>
            <w:tcW w:w="0" w:type="auto"/>
          </w:tcPr>
          <w:p w14:paraId="545AF833"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Samlade skrifter i fyra band</w:t>
            </w:r>
          </w:p>
        </w:tc>
        <w:tc>
          <w:tcPr>
            <w:tcW w:w="0" w:type="auto"/>
          </w:tcPr>
          <w:p w14:paraId="40F0A859"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Stholm, Beijers bokförlags ab. 1: 1908, 2: 1909, 3: 1909, 4: 1916.</w:t>
            </w:r>
          </w:p>
        </w:tc>
        <w:tc>
          <w:tcPr>
            <w:tcW w:w="0" w:type="auto"/>
          </w:tcPr>
          <w:p w14:paraId="6B7746C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252–523</w:t>
            </w:r>
          </w:p>
        </w:tc>
        <w:tc>
          <w:tcPr>
            <w:tcW w:w="0" w:type="auto"/>
          </w:tcPr>
          <w:p w14:paraId="59E34870"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Kr. 1:25</w:t>
            </w:r>
          </w:p>
        </w:tc>
      </w:tr>
      <w:tr w:rsidR="00FB4EFA" w:rsidRPr="00FB4EFA" w14:paraId="03E012C6" w14:textId="77777777" w:rsidTr="00E737D5">
        <w:tc>
          <w:tcPr>
            <w:tcW w:w="0" w:type="auto"/>
          </w:tcPr>
          <w:p w14:paraId="72CBABDE"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Slotte, Alex.</w:t>
            </w:r>
          </w:p>
        </w:tc>
        <w:tc>
          <w:tcPr>
            <w:tcW w:w="0" w:type="auto"/>
          </w:tcPr>
          <w:p w14:paraId="0A8D5578"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Bröllopssvit. 10 dikter till folkmelodier tillegnade Brage.</w:t>
            </w:r>
          </w:p>
        </w:tc>
        <w:tc>
          <w:tcPr>
            <w:tcW w:w="0" w:type="auto"/>
          </w:tcPr>
          <w:p w14:paraId="6B148CC5"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Dito 2. uppl. 1916 </w:t>
            </w:r>
          </w:p>
        </w:tc>
        <w:tc>
          <w:tcPr>
            <w:tcW w:w="0" w:type="auto"/>
          </w:tcPr>
          <w:p w14:paraId="0E6959E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23 (+1)</w:t>
            </w:r>
          </w:p>
        </w:tc>
        <w:tc>
          <w:tcPr>
            <w:tcW w:w="0" w:type="auto"/>
          </w:tcPr>
          <w:p w14:paraId="7AAAC1F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1F9377DB" w14:textId="77777777" w:rsidTr="00E737D5">
        <w:tc>
          <w:tcPr>
            <w:tcW w:w="0" w:type="auto"/>
          </w:tcPr>
          <w:p w14:paraId="463CFB1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Stenbäck-Lönnberg, Signe </w:t>
            </w:r>
          </w:p>
        </w:tc>
        <w:tc>
          <w:tcPr>
            <w:tcW w:w="0" w:type="auto"/>
          </w:tcPr>
          <w:p w14:paraId="2C796DEF"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Vildvin. Dikter</w:t>
            </w:r>
          </w:p>
        </w:tc>
        <w:tc>
          <w:tcPr>
            <w:tcW w:w="0" w:type="auto"/>
          </w:tcPr>
          <w:p w14:paraId="497B35BA"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 Borgå, Schildt.</w:t>
            </w:r>
          </w:p>
          <w:p w14:paraId="16C8FA7D" w14:textId="77777777" w:rsidR="00DD5337" w:rsidRPr="00FB4EFA" w:rsidRDefault="00DD5337" w:rsidP="002A3BC9">
            <w:pPr>
              <w:keepNext/>
              <w:spacing w:line="240" w:lineRule="auto"/>
              <w:rPr>
                <w:rFonts w:cs="Charis SIL"/>
                <w:sz w:val="16"/>
                <w:szCs w:val="16"/>
                <w:lang w:val="sv-SE"/>
              </w:rPr>
            </w:pPr>
          </w:p>
        </w:tc>
        <w:tc>
          <w:tcPr>
            <w:tcW w:w="0" w:type="auto"/>
          </w:tcPr>
          <w:p w14:paraId="373E3FB0"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66 (+2)</w:t>
            </w:r>
          </w:p>
        </w:tc>
        <w:tc>
          <w:tcPr>
            <w:tcW w:w="0" w:type="auto"/>
          </w:tcPr>
          <w:p w14:paraId="6A1E1834"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2:75</w:t>
            </w:r>
          </w:p>
        </w:tc>
      </w:tr>
      <w:tr w:rsidR="00FB4EFA" w:rsidRPr="00FB4EFA" w14:paraId="3C5FCE5E" w14:textId="77777777" w:rsidTr="00E737D5">
        <w:tc>
          <w:tcPr>
            <w:tcW w:w="0" w:type="auto"/>
          </w:tcPr>
          <w:p w14:paraId="7769D4C9"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Södergran, Edith </w:t>
            </w:r>
          </w:p>
        </w:tc>
        <w:tc>
          <w:tcPr>
            <w:tcW w:w="0" w:type="auto"/>
          </w:tcPr>
          <w:p w14:paraId="3215271F"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Dikter</w:t>
            </w:r>
          </w:p>
        </w:tc>
        <w:tc>
          <w:tcPr>
            <w:tcW w:w="0" w:type="auto"/>
          </w:tcPr>
          <w:p w14:paraId="708A8CBA"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 Borgå, Schildt.</w:t>
            </w:r>
          </w:p>
        </w:tc>
        <w:tc>
          <w:tcPr>
            <w:tcW w:w="0" w:type="auto"/>
          </w:tcPr>
          <w:p w14:paraId="0E45ABD1"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101 </w:t>
            </w:r>
          </w:p>
        </w:tc>
        <w:tc>
          <w:tcPr>
            <w:tcW w:w="0" w:type="auto"/>
          </w:tcPr>
          <w:p w14:paraId="21DD284D"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Kart. 3:25</w:t>
            </w:r>
          </w:p>
        </w:tc>
      </w:tr>
      <w:tr w:rsidR="00FB4EFA" w:rsidRPr="00FB4EFA" w14:paraId="50FF1E52" w14:textId="77777777" w:rsidTr="00E737D5">
        <w:tc>
          <w:tcPr>
            <w:tcW w:w="0" w:type="auto"/>
          </w:tcPr>
          <w:p w14:paraId="427CAF0F"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Tegengren, Jacob</w:t>
            </w:r>
          </w:p>
        </w:tc>
        <w:tc>
          <w:tcPr>
            <w:tcW w:w="0" w:type="auto"/>
          </w:tcPr>
          <w:p w14:paraId="4454B428"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Dikter. Saml. 7.</w:t>
            </w:r>
          </w:p>
        </w:tc>
        <w:tc>
          <w:tcPr>
            <w:tcW w:w="0" w:type="auto"/>
          </w:tcPr>
          <w:p w14:paraId="009036FB"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Söderström &amp; C:o. Sthlm, Bonnier 1916.</w:t>
            </w:r>
          </w:p>
        </w:tc>
        <w:tc>
          <w:tcPr>
            <w:tcW w:w="0" w:type="auto"/>
          </w:tcPr>
          <w:p w14:paraId="3799E37F"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(10+1) 117 </w:t>
            </w:r>
          </w:p>
        </w:tc>
        <w:tc>
          <w:tcPr>
            <w:tcW w:w="0" w:type="auto"/>
          </w:tcPr>
          <w:p w14:paraId="25B94E5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4:75: inb. 7:50, kr.3:25</w:t>
            </w:r>
          </w:p>
        </w:tc>
      </w:tr>
      <w:tr w:rsidR="00FB4EFA" w:rsidRPr="00FB4EFA" w14:paraId="1BC104C4" w14:textId="77777777" w:rsidTr="00E737D5">
        <w:tc>
          <w:tcPr>
            <w:tcW w:w="0" w:type="auto"/>
          </w:tcPr>
          <w:p w14:paraId="663B0AE6"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Wrede, Sigrid</w:t>
            </w:r>
          </w:p>
        </w:tc>
        <w:tc>
          <w:tcPr>
            <w:tcW w:w="0" w:type="auto"/>
          </w:tcPr>
          <w:p w14:paraId="021E14F7"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i/>
                <w:sz w:val="16"/>
                <w:szCs w:val="16"/>
                <w:lang w:val="sv-SE"/>
              </w:rPr>
              <w:t>Reflexer. Dikter</w:t>
            </w:r>
          </w:p>
        </w:tc>
        <w:tc>
          <w:tcPr>
            <w:tcW w:w="0" w:type="auto"/>
          </w:tcPr>
          <w:p w14:paraId="5717016D"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 Borgå, Schildt.</w:t>
            </w:r>
          </w:p>
        </w:tc>
        <w:tc>
          <w:tcPr>
            <w:tcW w:w="0" w:type="auto"/>
          </w:tcPr>
          <w:p w14:paraId="289E8732"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84</w:t>
            </w:r>
          </w:p>
        </w:tc>
        <w:tc>
          <w:tcPr>
            <w:tcW w:w="0" w:type="auto"/>
          </w:tcPr>
          <w:p w14:paraId="64B5566A"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3:25</w:t>
            </w:r>
          </w:p>
        </w:tc>
      </w:tr>
    </w:tbl>
    <w:p w14:paraId="00EEB0CE" w14:textId="77777777" w:rsidR="00E737D5" w:rsidRPr="00FB4EFA" w:rsidRDefault="00E737D5" w:rsidP="00AC1192">
      <w:pPr>
        <w:suppressAutoHyphens/>
        <w:spacing w:before="120" w:after="240"/>
        <w:jc w:val="center"/>
        <w:rPr>
          <w:sz w:val="18"/>
          <w:szCs w:val="18"/>
          <w:lang w:val="hu-HU"/>
        </w:rPr>
      </w:pPr>
      <w:r w:rsidRPr="00FB4EFA">
        <w:rPr>
          <w:b/>
          <w:bCs/>
          <w:sz w:val="18"/>
          <w:szCs w:val="18"/>
          <w:lang w:val="hu-HU"/>
        </w:rPr>
        <w:t>Tabell 3</w:t>
      </w:r>
      <w:r w:rsidRPr="00FB4EFA">
        <w:rPr>
          <w:sz w:val="18"/>
          <w:szCs w:val="18"/>
          <w:lang w:val="hu-HU"/>
        </w:rPr>
        <w:t>: Poesiutgivning 1916</w:t>
      </w:r>
    </w:p>
    <w:p w14:paraId="0D85119C" w14:textId="67B52538" w:rsidR="008F73FD" w:rsidRPr="00FB4EFA" w:rsidRDefault="00DD5337" w:rsidP="002A3BC9">
      <w:pPr>
        <w:rPr>
          <w:lang w:val="sv-SE"/>
        </w:rPr>
      </w:pPr>
      <w:r w:rsidRPr="00FB4EFA">
        <w:rPr>
          <w:lang w:val="sv-SE"/>
        </w:rPr>
        <w:t>I listan finns såväl bekanta som obekanta namn, men av 12 är 6 bekanta från litteraturhistoria: Hemmer, Mörne, Runeberg, Södergran, Tegengren, Ekelund. J.L. Runeberg är en stor- och långsäljare med flera upplagor under en längre tid samt med översättning till tyska (se även Biström 2021).</w:t>
      </w:r>
    </w:p>
    <w:p w14:paraId="72523385" w14:textId="577062A4" w:rsidR="00DD5337" w:rsidRPr="00FB4EFA" w:rsidRDefault="00DD5337" w:rsidP="002A3BC9">
      <w:pPr>
        <w:ind w:firstLine="720"/>
        <w:rPr>
          <w:szCs w:val="24"/>
          <w:lang w:val="sv-SE"/>
        </w:rPr>
      </w:pPr>
      <w:r w:rsidRPr="00FB4EFA">
        <w:rPr>
          <w:lang w:val="sv-SE"/>
        </w:rPr>
        <w:t xml:space="preserve">En genomgång av verken visar att de två mest betydelsefulla finlandssvenska förlagen, Schildts och Söderströms förlag idkar samarbete med svenska förlag, såsom Zweygbergk (1958) noterar. Likaså ser man att Schildts förlag dominerar inom utgivningen av lyrik, sex verk har utgetts av Schildts, två av Söderströms. Förklaringen till detta står att finna i förlagshistoria. (Mustelin 1983; se även Stjernschantz 1991: 73–76). Holger Schildt behövde författare till sitt nygrundade förlag och lockade aktivt författare från Söderströms. Rivaliteten mellan Söderströms och Schildts stimulerade den finlandssvenska utgivningen ansenligt. Det har </w:t>
      </w:r>
      <w:r w:rsidRPr="00FB4EFA">
        <w:rPr>
          <w:lang w:val="sv-SE"/>
        </w:rPr>
        <w:lastRenderedPageBreak/>
        <w:t xml:space="preserve">också setts som en möjlig anledning till att modernisterna fick sina verk utgivna trots att de kullkastade de litterära konventionerna. (Stjernschantz 1991: 80) Av sammanlagt tolv diktsamlingar utgivna år 1916 är tre skrivna av kvinnliga författare (25 %), </w:t>
      </w:r>
      <w:r w:rsidRPr="00FB4EFA">
        <w:rPr>
          <w:szCs w:val="24"/>
          <w:lang w:val="sv-SE"/>
        </w:rPr>
        <w:t>samtliga utgivna av Schildts förlag.</w:t>
      </w:r>
    </w:p>
    <w:p w14:paraId="568F70B9" w14:textId="4A537932" w:rsidR="00DD5337" w:rsidRPr="00FB4EFA" w:rsidRDefault="00DD5337" w:rsidP="00AF0CAD">
      <w:pPr>
        <w:ind w:firstLine="720"/>
        <w:rPr>
          <w:szCs w:val="24"/>
          <w:lang w:val="sv-SE"/>
        </w:rPr>
      </w:pPr>
      <w:r w:rsidRPr="00FB4EFA">
        <w:rPr>
          <w:szCs w:val="24"/>
          <w:lang w:val="sv-SE"/>
        </w:rPr>
        <w:t xml:space="preserve">På basis av tidigare kännedom om perioden är det möjligt att upptäcka frånvaro: ingen poesi av Bertel Gripenberg utkom under 1916. Listan väcker även frågor: Varför kommer Alexander Slottes </w:t>
      </w:r>
      <w:r w:rsidRPr="00FB4EFA">
        <w:rPr>
          <w:i/>
          <w:szCs w:val="24"/>
          <w:lang w:val="sv-SE"/>
        </w:rPr>
        <w:t>Bröllopssvit</w:t>
      </w:r>
      <w:r w:rsidRPr="00FB4EFA">
        <w:rPr>
          <w:szCs w:val="24"/>
          <w:lang w:val="sv-SE"/>
        </w:rPr>
        <w:t xml:space="preserve"> upp i denna kategori och inte i bilagan som innehåller tillfällighetsdikter? </w:t>
      </w:r>
      <w:r w:rsidR="00C04B47" w:rsidRPr="00FB4EFA">
        <w:rPr>
          <w:szCs w:val="24"/>
          <w:lang w:val="sv-SE"/>
        </w:rPr>
        <w:t xml:space="preserve">För att komma underfund med författare som är obekanta från litteraturhistoriska sammanhang kan man leta vidare i bibliografin </w:t>
      </w:r>
      <w:r w:rsidRPr="00FB4EFA">
        <w:rPr>
          <w:i/>
          <w:szCs w:val="24"/>
          <w:lang w:val="sv-SE"/>
        </w:rPr>
        <w:t>Suomen Kirjailijat</w:t>
      </w:r>
      <w:r w:rsidRPr="00FB4EFA">
        <w:rPr>
          <w:szCs w:val="24"/>
          <w:lang w:val="sv-SE"/>
        </w:rPr>
        <w:t xml:space="preserve"> </w:t>
      </w:r>
      <w:r w:rsidRPr="00FB4EFA">
        <w:rPr>
          <w:i/>
          <w:szCs w:val="24"/>
          <w:lang w:val="sv-SE"/>
        </w:rPr>
        <w:t>1809</w:t>
      </w:r>
      <w:r w:rsidRPr="00FB4EFA">
        <w:rPr>
          <w:szCs w:val="24"/>
          <w:lang w:val="sv-SE"/>
        </w:rPr>
        <w:t>–</w:t>
      </w:r>
      <w:r w:rsidRPr="00FB4EFA">
        <w:rPr>
          <w:i/>
          <w:szCs w:val="24"/>
          <w:lang w:val="sv-SE"/>
        </w:rPr>
        <w:t>1916</w:t>
      </w:r>
      <w:r w:rsidRPr="00FB4EFA">
        <w:rPr>
          <w:szCs w:val="24"/>
          <w:lang w:val="sv-SE"/>
        </w:rPr>
        <w:t xml:space="preserve"> (Hirvonen 1993). Det framkommer att både Cavonius och Engelqvist utgav bara två verk under sin författarbana, Volmar Lindman hade däremot en längre karriär bakom sig. Han hade debuterat redan 1881 med </w:t>
      </w:r>
      <w:r w:rsidRPr="00FB4EFA">
        <w:rPr>
          <w:i/>
          <w:szCs w:val="24"/>
          <w:lang w:val="sv-SE"/>
        </w:rPr>
        <w:t>Skuggor och dagrar.</w:t>
      </w:r>
      <w:r w:rsidRPr="00FB4EFA">
        <w:rPr>
          <w:szCs w:val="24"/>
          <w:lang w:val="sv-SE"/>
        </w:rPr>
        <w:t xml:space="preserve"> </w:t>
      </w:r>
      <w:r w:rsidRPr="00FB4EFA">
        <w:rPr>
          <w:i/>
          <w:szCs w:val="24"/>
          <w:lang w:val="sv-SE"/>
        </w:rPr>
        <w:t>Diktförsök af V.K.</w:t>
      </w:r>
      <w:r w:rsidRPr="00FB4EFA">
        <w:rPr>
          <w:szCs w:val="24"/>
          <w:lang w:val="sv-SE"/>
        </w:rPr>
        <w:t xml:space="preserve"> och var aktiv ända fram till 1937. Lindman (1861–1939) skrev lyrik, berättelser, noveller, historiska skildringar med mera. Stenbäck-Lönnberg publicerade sammanlagt sju verk, men endast två på svenska. Värt att notera är att bara de svenskspråkiga verken av Stenbäck-Lönnberg recenserades. (Hirvonen 1993: 724). Samma år som Wrede publicerade sin andra diktsamling </w:t>
      </w:r>
      <w:r w:rsidRPr="00FB4EFA">
        <w:rPr>
          <w:i/>
          <w:szCs w:val="24"/>
          <w:lang w:val="sv-SE"/>
        </w:rPr>
        <w:t>Reflexer</w:t>
      </w:r>
      <w:r w:rsidRPr="00FB4EFA">
        <w:rPr>
          <w:szCs w:val="24"/>
          <w:lang w:val="sv-SE"/>
        </w:rPr>
        <w:t xml:space="preserve">, utkom också hennes sagospel </w:t>
      </w:r>
      <w:r w:rsidRPr="00FB4EFA">
        <w:rPr>
          <w:i/>
          <w:szCs w:val="24"/>
          <w:lang w:val="sv-SE"/>
        </w:rPr>
        <w:t>Lilla Pers julafton</w:t>
      </w:r>
      <w:r w:rsidRPr="00FB4EFA">
        <w:rPr>
          <w:szCs w:val="24"/>
          <w:lang w:val="sv-SE"/>
        </w:rPr>
        <w:t xml:space="preserve"> (16 s.)</w:t>
      </w:r>
    </w:p>
    <w:p w14:paraId="57E44957" w14:textId="77777777" w:rsidR="00DD5337" w:rsidRPr="00FB4EFA" w:rsidRDefault="00DD5337" w:rsidP="002A3BC9">
      <w:pPr>
        <w:ind w:firstLine="720"/>
        <w:rPr>
          <w:lang w:val="sv-SE"/>
        </w:rPr>
      </w:pPr>
      <w:r w:rsidRPr="00FB4EFA">
        <w:rPr>
          <w:lang w:val="sv-SE"/>
        </w:rPr>
        <w:t>Det som bibliografin gör mig uppmärksam på, förutom mängden skönlitterär utgivning i kalendrar och tidskrifter, är den kvantitativt sett tämligen rikliga utgivningen i kategorin med rubriken ”Bihang: Tillfällighetsdikter”. Den ingår som en särskild kategori inom klassen Poesi. Bibliografin räknar upp 73 verk under hela perioden, av vilka tio (13,7 %) kommer ut under 1916. Den här sidan av 1916 är definitivt okänd.</w:t>
      </w:r>
    </w:p>
    <w:tbl>
      <w:tblPr>
        <w:tblW w:w="0" w:type="auto"/>
        <w:tblBorders>
          <w:insideH w:val="single" w:sz="4" w:space="0" w:color="auto"/>
          <w:insideV w:val="single" w:sz="4" w:space="0" w:color="auto"/>
        </w:tblBorders>
        <w:tblLook w:val="04A0" w:firstRow="1" w:lastRow="0" w:firstColumn="1" w:lastColumn="0" w:noHBand="0" w:noVBand="1"/>
      </w:tblPr>
      <w:tblGrid>
        <w:gridCol w:w="1160"/>
        <w:gridCol w:w="3259"/>
        <w:gridCol w:w="1306"/>
        <w:gridCol w:w="820"/>
        <w:gridCol w:w="585"/>
      </w:tblGrid>
      <w:tr w:rsidR="00FB4EFA" w:rsidRPr="00FB4EFA" w14:paraId="457F22CA" w14:textId="77777777" w:rsidTr="007A1027">
        <w:tc>
          <w:tcPr>
            <w:tcW w:w="0" w:type="auto"/>
            <w:tcBorders>
              <w:top w:val="nil"/>
              <w:bottom w:val="single" w:sz="12" w:space="0" w:color="auto"/>
            </w:tcBorders>
            <w:vAlign w:val="center"/>
          </w:tcPr>
          <w:p w14:paraId="49F23BF1" w14:textId="14AE5912"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lastRenderedPageBreak/>
              <w:t>Författare</w:t>
            </w:r>
          </w:p>
        </w:tc>
        <w:tc>
          <w:tcPr>
            <w:tcW w:w="0" w:type="auto"/>
            <w:tcBorders>
              <w:top w:val="nil"/>
              <w:bottom w:val="single" w:sz="12" w:space="0" w:color="auto"/>
            </w:tcBorders>
            <w:vAlign w:val="center"/>
          </w:tcPr>
          <w:p w14:paraId="6CF26A5C" w14:textId="7F9BCC18"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Titel</w:t>
            </w:r>
          </w:p>
        </w:tc>
        <w:tc>
          <w:tcPr>
            <w:tcW w:w="0" w:type="auto"/>
            <w:tcBorders>
              <w:top w:val="nil"/>
              <w:bottom w:val="single" w:sz="12" w:space="0" w:color="auto"/>
            </w:tcBorders>
            <w:vAlign w:val="center"/>
          </w:tcPr>
          <w:p w14:paraId="2AE73526" w14:textId="77777777"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Ort och utgivare</w:t>
            </w:r>
          </w:p>
        </w:tc>
        <w:tc>
          <w:tcPr>
            <w:tcW w:w="0" w:type="auto"/>
            <w:tcBorders>
              <w:top w:val="nil"/>
              <w:bottom w:val="single" w:sz="12" w:space="0" w:color="auto"/>
            </w:tcBorders>
            <w:vAlign w:val="center"/>
          </w:tcPr>
          <w:p w14:paraId="02EEB1AC" w14:textId="77777777"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Sidantal</w:t>
            </w:r>
          </w:p>
        </w:tc>
        <w:tc>
          <w:tcPr>
            <w:tcW w:w="0" w:type="auto"/>
            <w:tcBorders>
              <w:top w:val="nil"/>
              <w:bottom w:val="single" w:sz="12" w:space="0" w:color="auto"/>
            </w:tcBorders>
            <w:vAlign w:val="center"/>
          </w:tcPr>
          <w:p w14:paraId="1A22D62C" w14:textId="77777777"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Pris, mk</w:t>
            </w:r>
          </w:p>
        </w:tc>
      </w:tr>
      <w:tr w:rsidR="00FB4EFA" w:rsidRPr="00FB4EFA" w14:paraId="7340C540" w14:textId="77777777" w:rsidTr="007A1027">
        <w:tc>
          <w:tcPr>
            <w:tcW w:w="0" w:type="auto"/>
            <w:tcBorders>
              <w:top w:val="single" w:sz="12" w:space="0" w:color="auto"/>
            </w:tcBorders>
          </w:tcPr>
          <w:p w14:paraId="396670D5" w14:textId="77777777" w:rsidR="00DD5337" w:rsidRPr="00FB4EFA" w:rsidRDefault="00DD5337" w:rsidP="002A3BC9">
            <w:pPr>
              <w:keepNext/>
              <w:spacing w:line="240" w:lineRule="auto"/>
              <w:rPr>
                <w:rFonts w:cs="Charis SIL"/>
                <w:sz w:val="16"/>
                <w:szCs w:val="16"/>
                <w:lang w:val="sv-SE"/>
              </w:rPr>
            </w:pPr>
          </w:p>
        </w:tc>
        <w:tc>
          <w:tcPr>
            <w:tcW w:w="0" w:type="auto"/>
            <w:tcBorders>
              <w:top w:val="single" w:sz="12" w:space="0" w:color="auto"/>
            </w:tcBorders>
          </w:tcPr>
          <w:p w14:paraId="2A035FDD"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En underbart skön och rolig visa i fyra avdelningar om Hjalmar Ekholm, skildrande hans barndom, ungdom, mannaålder och storhet, jämte temperamentsblad. </w:t>
            </w:r>
          </w:p>
        </w:tc>
        <w:tc>
          <w:tcPr>
            <w:tcW w:w="0" w:type="auto"/>
            <w:tcBorders>
              <w:top w:val="single" w:sz="12" w:space="0" w:color="auto"/>
            </w:tcBorders>
          </w:tcPr>
          <w:p w14:paraId="5E817BDF"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 Tryckt i Strix &amp; C:os förlag.</w:t>
            </w:r>
          </w:p>
        </w:tc>
        <w:tc>
          <w:tcPr>
            <w:tcW w:w="0" w:type="auto"/>
            <w:tcBorders>
              <w:top w:val="single" w:sz="12" w:space="0" w:color="auto"/>
            </w:tcBorders>
          </w:tcPr>
          <w:p w14:paraId="287A0B01"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7</w:t>
            </w:r>
          </w:p>
        </w:tc>
        <w:tc>
          <w:tcPr>
            <w:tcW w:w="0" w:type="auto"/>
            <w:tcBorders>
              <w:top w:val="single" w:sz="12" w:space="0" w:color="auto"/>
            </w:tcBorders>
          </w:tcPr>
          <w:p w14:paraId="6D04FBE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74D5CD3C" w14:textId="77777777" w:rsidTr="007A1027">
        <w:tc>
          <w:tcPr>
            <w:tcW w:w="0" w:type="auto"/>
          </w:tcPr>
          <w:p w14:paraId="16DC1DAA" w14:textId="77777777" w:rsidR="00DD5337" w:rsidRPr="00FB4EFA" w:rsidRDefault="00DD5337" w:rsidP="002A3BC9">
            <w:pPr>
              <w:keepNext/>
              <w:spacing w:line="240" w:lineRule="auto"/>
              <w:rPr>
                <w:rFonts w:cs="Charis SIL"/>
                <w:sz w:val="16"/>
                <w:szCs w:val="16"/>
                <w:lang w:val="sv-SE"/>
              </w:rPr>
            </w:pPr>
          </w:p>
        </w:tc>
        <w:tc>
          <w:tcPr>
            <w:tcW w:w="0" w:type="auto"/>
          </w:tcPr>
          <w:p w14:paraId="156ACE83"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Fansång. Resan till Helsingfors 1916.</w:t>
            </w:r>
          </w:p>
        </w:tc>
        <w:tc>
          <w:tcPr>
            <w:tcW w:w="0" w:type="auto"/>
          </w:tcPr>
          <w:p w14:paraId="3D814391"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w:t>
            </w:r>
          </w:p>
        </w:tc>
        <w:tc>
          <w:tcPr>
            <w:tcW w:w="0" w:type="auto"/>
          </w:tcPr>
          <w:p w14:paraId="2309F28F"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2 </w:t>
            </w:r>
          </w:p>
        </w:tc>
        <w:tc>
          <w:tcPr>
            <w:tcW w:w="0" w:type="auto"/>
          </w:tcPr>
          <w:p w14:paraId="4FAB2C7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3241522D" w14:textId="77777777" w:rsidTr="007A1027">
        <w:tc>
          <w:tcPr>
            <w:tcW w:w="0" w:type="auto"/>
          </w:tcPr>
          <w:p w14:paraId="492F683D" w14:textId="77777777" w:rsidR="00DD5337" w:rsidRPr="00FB4EFA" w:rsidRDefault="00DD5337" w:rsidP="002A3BC9">
            <w:pPr>
              <w:keepNext/>
              <w:spacing w:line="240" w:lineRule="auto"/>
              <w:rPr>
                <w:rFonts w:cs="Charis SIL"/>
                <w:sz w:val="16"/>
                <w:szCs w:val="16"/>
                <w:lang w:val="sv-SE"/>
              </w:rPr>
            </w:pPr>
          </w:p>
        </w:tc>
        <w:tc>
          <w:tcPr>
            <w:tcW w:w="0" w:type="auto"/>
          </w:tcPr>
          <w:p w14:paraId="3ABEC64D"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Goodtemplarmarsch.</w:t>
            </w:r>
          </w:p>
        </w:tc>
        <w:tc>
          <w:tcPr>
            <w:tcW w:w="0" w:type="auto"/>
          </w:tcPr>
          <w:p w14:paraId="43CA3F2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w:t>
            </w:r>
          </w:p>
        </w:tc>
        <w:tc>
          <w:tcPr>
            <w:tcW w:w="0" w:type="auto"/>
          </w:tcPr>
          <w:p w14:paraId="40E5AA70"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1</w:t>
            </w:r>
          </w:p>
        </w:tc>
        <w:tc>
          <w:tcPr>
            <w:tcW w:w="0" w:type="auto"/>
          </w:tcPr>
          <w:p w14:paraId="45C85A69"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37A1E4DD" w14:textId="77777777" w:rsidTr="007A1027">
        <w:tc>
          <w:tcPr>
            <w:tcW w:w="0" w:type="auto"/>
          </w:tcPr>
          <w:p w14:paraId="0EFA4EA2" w14:textId="77777777" w:rsidR="00DD5337" w:rsidRPr="00FB4EFA" w:rsidRDefault="00DD5337" w:rsidP="002A3BC9">
            <w:pPr>
              <w:keepNext/>
              <w:spacing w:line="240" w:lineRule="auto"/>
              <w:rPr>
                <w:rFonts w:cs="Charis SIL"/>
                <w:sz w:val="16"/>
                <w:szCs w:val="16"/>
                <w:lang w:val="sv-SE"/>
              </w:rPr>
            </w:pPr>
          </w:p>
        </w:tc>
        <w:tc>
          <w:tcPr>
            <w:tcW w:w="0" w:type="auto"/>
          </w:tcPr>
          <w:p w14:paraId="33A75EDD"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Kupletter föredragna vid Femmans samkväm. [Av] Poëta laureatus. Nu första gången upptecknade och tillegnade gillesbrodern Ossian [Häggman] vid fyllda 50 år den 25 juli 1916.</w:t>
            </w:r>
          </w:p>
        </w:tc>
        <w:tc>
          <w:tcPr>
            <w:tcW w:w="0" w:type="auto"/>
          </w:tcPr>
          <w:p w14:paraId="36EF1F19"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w:t>
            </w:r>
          </w:p>
        </w:tc>
        <w:tc>
          <w:tcPr>
            <w:tcW w:w="0" w:type="auto"/>
          </w:tcPr>
          <w:p w14:paraId="0E88E19E"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17</w:t>
            </w:r>
          </w:p>
        </w:tc>
        <w:tc>
          <w:tcPr>
            <w:tcW w:w="0" w:type="auto"/>
          </w:tcPr>
          <w:p w14:paraId="34443494"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504C6C7B" w14:textId="77777777" w:rsidTr="007A1027">
        <w:tc>
          <w:tcPr>
            <w:tcW w:w="0" w:type="auto"/>
          </w:tcPr>
          <w:p w14:paraId="58D5B69E" w14:textId="77777777" w:rsidR="00DD5337" w:rsidRPr="00FB4EFA" w:rsidRDefault="00DD5337" w:rsidP="002A3BC9">
            <w:pPr>
              <w:keepNext/>
              <w:spacing w:line="240" w:lineRule="auto"/>
              <w:rPr>
                <w:rFonts w:cs="Charis SIL"/>
                <w:sz w:val="16"/>
                <w:szCs w:val="16"/>
                <w:lang w:val="sv-SE"/>
              </w:rPr>
            </w:pPr>
          </w:p>
        </w:tc>
        <w:tc>
          <w:tcPr>
            <w:tcW w:w="0" w:type="auto"/>
          </w:tcPr>
          <w:p w14:paraId="19CBBE6B"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Nya visor om den stora brännvinsbristen. </w:t>
            </w:r>
          </w:p>
        </w:tc>
        <w:tc>
          <w:tcPr>
            <w:tcW w:w="0" w:type="auto"/>
          </w:tcPr>
          <w:p w14:paraId="3854BB61"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w:t>
            </w:r>
          </w:p>
        </w:tc>
        <w:tc>
          <w:tcPr>
            <w:tcW w:w="0" w:type="auto"/>
          </w:tcPr>
          <w:p w14:paraId="25A54E0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7</w:t>
            </w:r>
          </w:p>
        </w:tc>
        <w:tc>
          <w:tcPr>
            <w:tcW w:w="0" w:type="auto"/>
          </w:tcPr>
          <w:p w14:paraId="51AF61EC"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699FC9EB" w14:textId="77777777" w:rsidTr="007A1027">
        <w:tc>
          <w:tcPr>
            <w:tcW w:w="0" w:type="auto"/>
          </w:tcPr>
          <w:p w14:paraId="1EEA8B0B"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[Pettersson, Victor]</w:t>
            </w:r>
          </w:p>
        </w:tc>
        <w:tc>
          <w:tcPr>
            <w:tcW w:w="0" w:type="auto"/>
          </w:tcPr>
          <w:p w14:paraId="26E4EF1A"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En visa för dagen handlande om värkställande Societets-direktören Wassi Noschi’s öden och äfventyr. Af Lördags-Pelle. Utgifven i ny och tillökad upplaga på hans 50:de födelsedag den 27 januari 1916.</w:t>
            </w:r>
          </w:p>
        </w:tc>
        <w:tc>
          <w:tcPr>
            <w:tcW w:w="0" w:type="auto"/>
          </w:tcPr>
          <w:p w14:paraId="37B58493"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w:t>
            </w:r>
          </w:p>
        </w:tc>
        <w:tc>
          <w:tcPr>
            <w:tcW w:w="0" w:type="auto"/>
          </w:tcPr>
          <w:p w14:paraId="49ABC3DC"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c>
          <w:tcPr>
            <w:tcW w:w="0" w:type="auto"/>
          </w:tcPr>
          <w:p w14:paraId="5D859B33"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2BF2C31A" w14:textId="77777777" w:rsidTr="007A1027">
        <w:tc>
          <w:tcPr>
            <w:tcW w:w="0" w:type="auto"/>
          </w:tcPr>
          <w:p w14:paraId="321226C5"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[Takolander, Alfons]</w:t>
            </w:r>
          </w:p>
        </w:tc>
        <w:tc>
          <w:tcPr>
            <w:tcW w:w="0" w:type="auto"/>
          </w:tcPr>
          <w:p w14:paraId="7D662AB4"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Prolog på folkskolföreningens 50-årsfest i Ekenäs den 11 maj 1916.</w:t>
            </w:r>
          </w:p>
        </w:tc>
        <w:tc>
          <w:tcPr>
            <w:tcW w:w="0" w:type="auto"/>
          </w:tcPr>
          <w:p w14:paraId="5381451C"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Ekenäs 1916.</w:t>
            </w:r>
          </w:p>
        </w:tc>
        <w:tc>
          <w:tcPr>
            <w:tcW w:w="0" w:type="auto"/>
          </w:tcPr>
          <w:p w14:paraId="2145179E"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3 </w:t>
            </w:r>
          </w:p>
        </w:tc>
        <w:tc>
          <w:tcPr>
            <w:tcW w:w="0" w:type="auto"/>
          </w:tcPr>
          <w:p w14:paraId="72A7D712"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0C52EC98" w14:textId="77777777" w:rsidTr="007A1027">
        <w:tc>
          <w:tcPr>
            <w:tcW w:w="0" w:type="auto"/>
          </w:tcPr>
          <w:p w14:paraId="1B339623" w14:textId="77777777" w:rsidR="00DD5337" w:rsidRPr="00FB4EFA" w:rsidRDefault="00DD5337" w:rsidP="002A3BC9">
            <w:pPr>
              <w:keepNext/>
              <w:spacing w:line="240" w:lineRule="auto"/>
              <w:rPr>
                <w:rFonts w:cs="Charis SIL"/>
                <w:sz w:val="16"/>
                <w:szCs w:val="16"/>
                <w:lang w:val="sv-SE"/>
              </w:rPr>
            </w:pPr>
          </w:p>
        </w:tc>
        <w:tc>
          <w:tcPr>
            <w:tcW w:w="0" w:type="auto"/>
          </w:tcPr>
          <w:p w14:paraId="25138074"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Till Olle Pesonius den 20 juni 1916.</w:t>
            </w:r>
          </w:p>
        </w:tc>
        <w:tc>
          <w:tcPr>
            <w:tcW w:w="0" w:type="auto"/>
          </w:tcPr>
          <w:p w14:paraId="78339D6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Tammerfors 1916</w:t>
            </w:r>
          </w:p>
        </w:tc>
        <w:tc>
          <w:tcPr>
            <w:tcW w:w="0" w:type="auto"/>
          </w:tcPr>
          <w:p w14:paraId="6F2A929E"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3 </w:t>
            </w:r>
          </w:p>
        </w:tc>
        <w:tc>
          <w:tcPr>
            <w:tcW w:w="0" w:type="auto"/>
          </w:tcPr>
          <w:p w14:paraId="4F47B0B5"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74ED5E44" w14:textId="77777777" w:rsidTr="007A1027">
        <w:tc>
          <w:tcPr>
            <w:tcW w:w="0" w:type="auto"/>
          </w:tcPr>
          <w:p w14:paraId="644B38B7"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[Weman, Adèle]</w:t>
            </w:r>
          </w:p>
        </w:tc>
        <w:tc>
          <w:tcPr>
            <w:tcW w:w="0" w:type="auto"/>
          </w:tcPr>
          <w:p w14:paraId="34CBB8D8"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Marknadsvisa. (Av Parus Ater.) (Marthas påskmarknad den 14 april 1916.</w:t>
            </w:r>
          </w:p>
        </w:tc>
        <w:tc>
          <w:tcPr>
            <w:tcW w:w="0" w:type="auto"/>
          </w:tcPr>
          <w:p w14:paraId="067F13AF"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w:t>
            </w:r>
          </w:p>
        </w:tc>
        <w:tc>
          <w:tcPr>
            <w:tcW w:w="0" w:type="auto"/>
          </w:tcPr>
          <w:p w14:paraId="5422D28D"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4 </w:t>
            </w:r>
          </w:p>
        </w:tc>
        <w:tc>
          <w:tcPr>
            <w:tcW w:w="0" w:type="auto"/>
          </w:tcPr>
          <w:p w14:paraId="56F44AFB"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r w:rsidR="00FB4EFA" w:rsidRPr="00FB4EFA" w14:paraId="1F2024A5" w14:textId="77777777" w:rsidTr="007A1027">
        <w:tc>
          <w:tcPr>
            <w:tcW w:w="0" w:type="auto"/>
          </w:tcPr>
          <w:p w14:paraId="514643CC" w14:textId="77777777" w:rsidR="00DD5337" w:rsidRPr="00FB4EFA" w:rsidRDefault="00DD5337" w:rsidP="002A3BC9">
            <w:pPr>
              <w:keepNext/>
              <w:spacing w:line="240" w:lineRule="auto"/>
              <w:rPr>
                <w:rFonts w:cs="Charis SIL"/>
                <w:sz w:val="16"/>
                <w:szCs w:val="16"/>
                <w:lang w:val="sv-SE"/>
              </w:rPr>
            </w:pPr>
          </w:p>
        </w:tc>
        <w:tc>
          <w:tcPr>
            <w:tcW w:w="0" w:type="auto"/>
          </w:tcPr>
          <w:p w14:paraId="0FA3D4EF"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Årsrevisorernas afslutningsfest maj 1916.</w:t>
            </w:r>
          </w:p>
        </w:tc>
        <w:tc>
          <w:tcPr>
            <w:tcW w:w="0" w:type="auto"/>
          </w:tcPr>
          <w:p w14:paraId="1B2C96EA"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Helsinki 1916</w:t>
            </w:r>
          </w:p>
        </w:tc>
        <w:tc>
          <w:tcPr>
            <w:tcW w:w="0" w:type="auto"/>
          </w:tcPr>
          <w:p w14:paraId="18A64A6E"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4 </w:t>
            </w:r>
          </w:p>
        </w:tc>
        <w:tc>
          <w:tcPr>
            <w:tcW w:w="0" w:type="auto"/>
          </w:tcPr>
          <w:p w14:paraId="3E821303"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w:t>
            </w:r>
          </w:p>
        </w:tc>
      </w:tr>
    </w:tbl>
    <w:p w14:paraId="2F2A9D84" w14:textId="27ECECD5" w:rsidR="00DD5337" w:rsidRPr="00FB4EFA" w:rsidRDefault="00780988" w:rsidP="00AC1192">
      <w:pPr>
        <w:suppressAutoHyphens/>
        <w:spacing w:before="120" w:after="240"/>
        <w:jc w:val="center"/>
        <w:rPr>
          <w:sz w:val="18"/>
          <w:szCs w:val="18"/>
          <w:lang w:val="sv-SE"/>
        </w:rPr>
      </w:pPr>
      <w:r w:rsidRPr="00FB4EFA">
        <w:rPr>
          <w:b/>
          <w:bCs/>
          <w:sz w:val="18"/>
          <w:szCs w:val="18"/>
          <w:lang w:val="hu-HU"/>
        </w:rPr>
        <w:t>Tabell 4</w:t>
      </w:r>
      <w:r w:rsidRPr="00FB4EFA">
        <w:rPr>
          <w:sz w:val="18"/>
          <w:szCs w:val="18"/>
          <w:lang w:val="hu-HU"/>
        </w:rPr>
        <w:t xml:space="preserve">: </w:t>
      </w:r>
      <w:r w:rsidRPr="00FB4EFA">
        <w:rPr>
          <w:sz w:val="18"/>
          <w:szCs w:val="18"/>
          <w:lang w:val="sv-SE"/>
        </w:rPr>
        <w:t>Tillfällighetsdikter</w:t>
      </w:r>
      <w:r w:rsidRPr="00FB4EFA">
        <w:rPr>
          <w:sz w:val="18"/>
          <w:szCs w:val="18"/>
          <w:vertAlign w:val="superscript"/>
          <w:lang w:val="sv-SE"/>
        </w:rPr>
        <w:footnoteReference w:id="203"/>
      </w:r>
    </w:p>
    <w:p w14:paraId="20F1CD0F" w14:textId="77777777" w:rsidR="008F73FD" w:rsidRPr="00FB4EFA" w:rsidRDefault="00DD5337" w:rsidP="002A3BC9">
      <w:pPr>
        <w:rPr>
          <w:lang w:val="sv-SE"/>
        </w:rPr>
      </w:pPr>
      <w:r w:rsidRPr="00FB4EFA">
        <w:rPr>
          <w:lang w:val="sv-SE"/>
        </w:rPr>
        <w:t>Klassen inrymmer den inhemskt producerade brukslitteraturen för fester och sammankomster och är liksom ”Album och serier” spretig. Den berättar om de många sammanhangen inom vilka lyrik användes. I klassen ingår såväl muntra tillfällighetsdikter som högtidliga, patriotiska hyllningar, beställningsarbeten och brukspoesi av diverse slag för varierande tillställningar och beställare.</w:t>
      </w:r>
      <w:r w:rsidRPr="00FB4EFA">
        <w:rPr>
          <w:vertAlign w:val="superscript"/>
          <w:lang w:val="sv-SE"/>
        </w:rPr>
        <w:footnoteReference w:id="204"/>
      </w:r>
      <w:r w:rsidRPr="00FB4EFA">
        <w:rPr>
          <w:lang w:val="sv-SE"/>
        </w:rPr>
        <w:t xml:space="preserve"> Författarna är både namngivna och anonyma, kända och (mest) okända. Då en del av dem har utgivits anonymt går det inte att räkna ut om de är skrivna av män eller kvinnor. Med tanke på att dessa texter är korta (ringa omfattning i sidor) är det intressant att de räknas upp på samma sätt som större verk.</w:t>
      </w:r>
    </w:p>
    <w:p w14:paraId="6EBA45E2" w14:textId="40553C29" w:rsidR="00DD5337" w:rsidRPr="00FB4EFA" w:rsidRDefault="00DD5337" w:rsidP="002A3BC9">
      <w:pPr>
        <w:spacing w:after="240"/>
        <w:ind w:firstLine="720"/>
        <w:rPr>
          <w:lang w:val="sv-SE"/>
        </w:rPr>
      </w:pPr>
      <w:r w:rsidRPr="00FB4EFA">
        <w:rPr>
          <w:lang w:val="sv-SE"/>
        </w:rPr>
        <w:t>Underavdelningen ”Dramatik i original och översättning” innehåller sammanlagt 81 verk under denna period. Den finlandssvenska utgiv</w:t>
      </w:r>
      <w:r w:rsidRPr="00FB4EFA">
        <w:rPr>
          <w:lang w:val="sv-SE"/>
        </w:rPr>
        <w:lastRenderedPageBreak/>
        <w:t>ningen är brokig även inom denna kategori, och liksom klassen ”Tillfällighetsdikter” inkluderar den mycket som kan beskrivas som underhållning (lustspel, skämt). Det folkliga inslaget är tydligt. I tabell 5 finns de inhemska verk som utgetts under året 1916 (11 stycken, 13,6 %).</w:t>
      </w:r>
    </w:p>
    <w:tbl>
      <w:tblPr>
        <w:tblW w:w="0" w:type="auto"/>
        <w:tblBorders>
          <w:insideH w:val="single" w:sz="4" w:space="0" w:color="auto"/>
          <w:insideV w:val="single" w:sz="4" w:space="0" w:color="auto"/>
        </w:tblBorders>
        <w:tblLook w:val="04A0" w:firstRow="1" w:lastRow="0" w:firstColumn="1" w:lastColumn="0" w:noHBand="0" w:noVBand="1"/>
      </w:tblPr>
      <w:tblGrid>
        <w:gridCol w:w="1179"/>
        <w:gridCol w:w="3088"/>
        <w:gridCol w:w="1456"/>
        <w:gridCol w:w="820"/>
        <w:gridCol w:w="587"/>
      </w:tblGrid>
      <w:tr w:rsidR="00FB4EFA" w:rsidRPr="00FB4EFA" w14:paraId="18BDF57F" w14:textId="77777777" w:rsidTr="00593B8F">
        <w:trPr>
          <w:trHeight w:val="57"/>
        </w:trPr>
        <w:tc>
          <w:tcPr>
            <w:tcW w:w="0" w:type="auto"/>
            <w:tcBorders>
              <w:top w:val="nil"/>
              <w:bottom w:val="single" w:sz="12" w:space="0" w:color="auto"/>
            </w:tcBorders>
            <w:vAlign w:val="center"/>
          </w:tcPr>
          <w:p w14:paraId="6E493AEC" w14:textId="77777777"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Författare</w:t>
            </w:r>
          </w:p>
        </w:tc>
        <w:tc>
          <w:tcPr>
            <w:tcW w:w="0" w:type="auto"/>
            <w:tcBorders>
              <w:top w:val="nil"/>
              <w:bottom w:val="single" w:sz="12" w:space="0" w:color="auto"/>
            </w:tcBorders>
            <w:vAlign w:val="center"/>
          </w:tcPr>
          <w:p w14:paraId="0A665F62" w14:textId="77777777"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Titel</w:t>
            </w:r>
          </w:p>
        </w:tc>
        <w:tc>
          <w:tcPr>
            <w:tcW w:w="0" w:type="auto"/>
            <w:tcBorders>
              <w:top w:val="nil"/>
              <w:bottom w:val="single" w:sz="12" w:space="0" w:color="auto"/>
            </w:tcBorders>
            <w:vAlign w:val="center"/>
          </w:tcPr>
          <w:p w14:paraId="1465D898" w14:textId="77777777"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Ort och utgivare</w:t>
            </w:r>
          </w:p>
        </w:tc>
        <w:tc>
          <w:tcPr>
            <w:tcW w:w="0" w:type="auto"/>
            <w:tcBorders>
              <w:top w:val="nil"/>
              <w:bottom w:val="single" w:sz="12" w:space="0" w:color="auto"/>
            </w:tcBorders>
            <w:vAlign w:val="center"/>
          </w:tcPr>
          <w:p w14:paraId="2232F638" w14:textId="77777777"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Sidantal</w:t>
            </w:r>
          </w:p>
        </w:tc>
        <w:tc>
          <w:tcPr>
            <w:tcW w:w="0" w:type="auto"/>
            <w:tcBorders>
              <w:top w:val="nil"/>
              <w:bottom w:val="single" w:sz="12" w:space="0" w:color="auto"/>
            </w:tcBorders>
            <w:vAlign w:val="center"/>
          </w:tcPr>
          <w:p w14:paraId="181C8243" w14:textId="77777777" w:rsidR="00DD5337" w:rsidRPr="00FB4EFA" w:rsidRDefault="00DD5337" w:rsidP="002A3BC9">
            <w:pPr>
              <w:keepNext/>
              <w:suppressAutoHyphens/>
              <w:spacing w:line="240" w:lineRule="auto"/>
              <w:jc w:val="center"/>
              <w:rPr>
                <w:rFonts w:cs="Charis SIL"/>
                <w:b/>
                <w:bCs/>
                <w:sz w:val="16"/>
                <w:szCs w:val="16"/>
                <w:lang w:val="sv-SE"/>
              </w:rPr>
            </w:pPr>
            <w:r w:rsidRPr="00FB4EFA">
              <w:rPr>
                <w:rFonts w:cs="Charis SIL"/>
                <w:b/>
                <w:bCs/>
                <w:sz w:val="16"/>
                <w:szCs w:val="16"/>
                <w:lang w:val="sv-SE"/>
              </w:rPr>
              <w:t>Pris, mk</w:t>
            </w:r>
          </w:p>
        </w:tc>
      </w:tr>
      <w:tr w:rsidR="00FB4EFA" w:rsidRPr="00FB4EFA" w14:paraId="4B9BEFCE" w14:textId="77777777" w:rsidTr="007A1027">
        <w:tc>
          <w:tcPr>
            <w:tcW w:w="0" w:type="auto"/>
            <w:tcBorders>
              <w:top w:val="single" w:sz="12" w:space="0" w:color="auto"/>
            </w:tcBorders>
          </w:tcPr>
          <w:p w14:paraId="22599A5D" w14:textId="4A24DE6F" w:rsidR="00DD5337" w:rsidRPr="00FB4EFA" w:rsidRDefault="00DD5337" w:rsidP="002A3BC9">
            <w:pPr>
              <w:spacing w:line="240" w:lineRule="auto"/>
              <w:rPr>
                <w:rFonts w:cs="Charis SIL"/>
                <w:sz w:val="16"/>
                <w:szCs w:val="16"/>
                <w:lang w:val="sv-SE"/>
              </w:rPr>
            </w:pPr>
            <w:r w:rsidRPr="00FB4EFA">
              <w:rPr>
                <w:rFonts w:cs="Charis SIL"/>
                <w:sz w:val="16"/>
                <w:szCs w:val="16"/>
                <w:lang w:val="sv-SE"/>
              </w:rPr>
              <w:t>[Hedberg, A.R.]</w:t>
            </w:r>
          </w:p>
        </w:tc>
        <w:tc>
          <w:tcPr>
            <w:tcW w:w="0" w:type="auto"/>
            <w:tcBorders>
              <w:top w:val="single" w:sz="12" w:space="0" w:color="auto"/>
            </w:tcBorders>
          </w:tcPr>
          <w:p w14:paraId="6283A465" w14:textId="77777777" w:rsidR="00DD5337" w:rsidRPr="00FB4EFA" w:rsidRDefault="00DD5337" w:rsidP="002A3BC9">
            <w:pPr>
              <w:keepNext/>
              <w:spacing w:line="240" w:lineRule="auto"/>
              <w:rPr>
                <w:rFonts w:cs="Charis SIL"/>
                <w:sz w:val="16"/>
                <w:szCs w:val="16"/>
                <w:lang w:val="sv-SE"/>
              </w:rPr>
            </w:pPr>
            <w:r w:rsidRPr="00FB4EFA">
              <w:rPr>
                <w:rFonts w:cs="Charis SIL"/>
                <w:i/>
                <w:sz w:val="16"/>
                <w:szCs w:val="16"/>
                <w:lang w:val="sv-SE"/>
              </w:rPr>
              <w:t>Österbottniskt bondbröllop i 7 tablåer enligt traditioner och originala sång- och meloditeckningar av Otto Andersson. Dialoger och monologer på Petalaxdialekt af ”En gammal landskapsmålare”.</w:t>
            </w:r>
          </w:p>
        </w:tc>
        <w:tc>
          <w:tcPr>
            <w:tcW w:w="0" w:type="auto"/>
            <w:tcBorders>
              <w:top w:val="single" w:sz="12" w:space="0" w:color="auto"/>
            </w:tcBorders>
          </w:tcPr>
          <w:p w14:paraId="6F46A2E3"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1907, andra uppl. 1916</w:t>
            </w:r>
          </w:p>
        </w:tc>
        <w:tc>
          <w:tcPr>
            <w:tcW w:w="0" w:type="auto"/>
            <w:tcBorders>
              <w:top w:val="single" w:sz="12" w:space="0" w:color="auto"/>
            </w:tcBorders>
          </w:tcPr>
          <w:p w14:paraId="03E3C366"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24</w:t>
            </w:r>
          </w:p>
        </w:tc>
        <w:tc>
          <w:tcPr>
            <w:tcW w:w="0" w:type="auto"/>
            <w:tcBorders>
              <w:top w:val="single" w:sz="12" w:space="0" w:color="auto"/>
            </w:tcBorders>
          </w:tcPr>
          <w:p w14:paraId="53CBC6F1"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1:00</w:t>
            </w:r>
          </w:p>
        </w:tc>
      </w:tr>
      <w:tr w:rsidR="00FB4EFA" w:rsidRPr="00FB4EFA" w14:paraId="21099EDE" w14:textId="77777777" w:rsidTr="007A1027">
        <w:tc>
          <w:tcPr>
            <w:tcW w:w="0" w:type="auto"/>
          </w:tcPr>
          <w:p w14:paraId="2A72362C" w14:textId="0DCE2D1B" w:rsidR="008F73FD" w:rsidRPr="00FB4EFA" w:rsidRDefault="00DD5337" w:rsidP="002A3BC9">
            <w:pPr>
              <w:spacing w:line="240" w:lineRule="auto"/>
              <w:rPr>
                <w:rFonts w:cs="Charis SIL"/>
                <w:sz w:val="16"/>
                <w:szCs w:val="16"/>
                <w:lang w:val="sv-SE"/>
              </w:rPr>
            </w:pPr>
            <w:bookmarkStart w:id="136" w:name="_Hlk104306408"/>
            <w:r w:rsidRPr="00FB4EFA">
              <w:rPr>
                <w:rFonts w:cs="Charis SIL"/>
                <w:sz w:val="16"/>
                <w:szCs w:val="16"/>
                <w:lang w:val="sv-SE"/>
              </w:rPr>
              <w:t>Boldt, Alexander</w:t>
            </w:r>
            <w:bookmarkEnd w:id="136"/>
            <w:r w:rsidR="00593B8F" w:rsidRPr="00FB4EFA">
              <w:rPr>
                <w:rFonts w:cs="Charis SIL"/>
                <w:sz w:val="16"/>
                <w:szCs w:val="16"/>
                <w:vertAlign w:val="superscript"/>
                <w:lang w:val="sv-SE"/>
              </w:rPr>
              <w:footnoteReference w:id="205"/>
            </w:r>
          </w:p>
          <w:p w14:paraId="456DFB31" w14:textId="3BBBB096" w:rsidR="00DD5337" w:rsidRPr="00FB4EFA" w:rsidRDefault="00DD5337" w:rsidP="002A3BC9">
            <w:pPr>
              <w:keepNext/>
              <w:spacing w:line="240" w:lineRule="auto"/>
              <w:rPr>
                <w:rFonts w:cs="Charis SIL"/>
                <w:sz w:val="16"/>
                <w:szCs w:val="16"/>
                <w:lang w:val="sv-SE"/>
              </w:rPr>
            </w:pPr>
          </w:p>
        </w:tc>
        <w:tc>
          <w:tcPr>
            <w:tcW w:w="0" w:type="auto"/>
          </w:tcPr>
          <w:p w14:paraId="274A62BD" w14:textId="77777777" w:rsidR="00DD5337" w:rsidRPr="00FB4EFA" w:rsidRDefault="00DD5337" w:rsidP="002A3BC9">
            <w:pPr>
              <w:keepNext/>
              <w:spacing w:line="240" w:lineRule="auto"/>
              <w:rPr>
                <w:rFonts w:cs="Charis SIL"/>
                <w:sz w:val="16"/>
                <w:szCs w:val="16"/>
                <w:lang w:val="sv-SE"/>
              </w:rPr>
            </w:pPr>
            <w:r w:rsidRPr="00FB4EFA">
              <w:rPr>
                <w:rFonts w:cs="Charis SIL"/>
                <w:i/>
                <w:sz w:val="16"/>
                <w:szCs w:val="16"/>
                <w:lang w:val="sv-SE"/>
              </w:rPr>
              <w:t>Mot Bergskoga eller Kamrater. Skådespel i tre avdelningar</w:t>
            </w:r>
            <w:r w:rsidRPr="00FB4EFA">
              <w:rPr>
                <w:rFonts w:cs="Charis SIL"/>
                <w:sz w:val="16"/>
                <w:szCs w:val="16"/>
                <w:lang w:val="sv-SE"/>
              </w:rPr>
              <w:t>.</w:t>
            </w:r>
          </w:p>
        </w:tc>
        <w:tc>
          <w:tcPr>
            <w:tcW w:w="0" w:type="auto"/>
          </w:tcPr>
          <w:p w14:paraId="6BBAC1A0"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Hfors 1916. Vapaa ajatus förlag.</w:t>
            </w:r>
          </w:p>
        </w:tc>
        <w:tc>
          <w:tcPr>
            <w:tcW w:w="0" w:type="auto"/>
          </w:tcPr>
          <w:p w14:paraId="76A31693"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52 </w:t>
            </w:r>
          </w:p>
        </w:tc>
        <w:tc>
          <w:tcPr>
            <w:tcW w:w="0" w:type="auto"/>
          </w:tcPr>
          <w:p w14:paraId="69A6048E"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1:00</w:t>
            </w:r>
          </w:p>
        </w:tc>
      </w:tr>
      <w:tr w:rsidR="00FB4EFA" w:rsidRPr="00FB4EFA" w14:paraId="4102C35A" w14:textId="77777777" w:rsidTr="007A1027">
        <w:tc>
          <w:tcPr>
            <w:tcW w:w="0" w:type="auto"/>
          </w:tcPr>
          <w:p w14:paraId="092077FA" w14:textId="77777777" w:rsidR="00DD5337" w:rsidRPr="00FB4EFA" w:rsidRDefault="00DD5337" w:rsidP="002A3BC9">
            <w:pPr>
              <w:spacing w:line="240" w:lineRule="auto"/>
              <w:rPr>
                <w:rFonts w:cs="Charis SIL"/>
                <w:sz w:val="16"/>
                <w:szCs w:val="16"/>
                <w:lang w:val="sv-SE"/>
              </w:rPr>
            </w:pPr>
          </w:p>
        </w:tc>
        <w:tc>
          <w:tcPr>
            <w:tcW w:w="0" w:type="auto"/>
          </w:tcPr>
          <w:p w14:paraId="3DA776AE" w14:textId="77777777" w:rsidR="00DD5337" w:rsidRPr="00FB4EFA" w:rsidRDefault="00DD5337" w:rsidP="002A3BC9">
            <w:pPr>
              <w:keepNext/>
              <w:spacing w:line="240" w:lineRule="auto"/>
              <w:rPr>
                <w:rFonts w:cs="Charis SIL"/>
                <w:i/>
                <w:sz w:val="16"/>
                <w:szCs w:val="16"/>
                <w:lang w:val="sv-SE"/>
              </w:rPr>
            </w:pPr>
            <w:r w:rsidRPr="00FB4EFA">
              <w:rPr>
                <w:rFonts w:cs="Charis SIL"/>
                <w:i/>
                <w:sz w:val="16"/>
                <w:szCs w:val="16"/>
                <w:lang w:val="sv-SE"/>
              </w:rPr>
              <w:t xml:space="preserve">Brahmas öga. Musikaliskt sagospel i prolog och två akter. I toner af G. Lagercrantz. I ord av Be[rtha] Witting. Tillegnat Svenska lyceets i Viborg elevorkester och kör april 1916. </w:t>
            </w:r>
          </w:p>
        </w:tc>
        <w:tc>
          <w:tcPr>
            <w:tcW w:w="0" w:type="auto"/>
          </w:tcPr>
          <w:p w14:paraId="5C80C847" w14:textId="77777777" w:rsidR="00DD5337" w:rsidRPr="00FB4EFA" w:rsidRDefault="00DD5337" w:rsidP="002A3BC9">
            <w:pPr>
              <w:keepNext/>
              <w:spacing w:line="240" w:lineRule="auto"/>
              <w:rPr>
                <w:rFonts w:cs="Charis SIL"/>
                <w:sz w:val="16"/>
                <w:szCs w:val="16"/>
                <w:lang w:val="sv-SE"/>
              </w:rPr>
            </w:pPr>
          </w:p>
        </w:tc>
        <w:tc>
          <w:tcPr>
            <w:tcW w:w="0" w:type="auto"/>
          </w:tcPr>
          <w:p w14:paraId="5390282E" w14:textId="77777777" w:rsidR="00DD5337" w:rsidRPr="00FB4EFA" w:rsidRDefault="00DD5337" w:rsidP="002A3BC9">
            <w:pPr>
              <w:keepNext/>
              <w:spacing w:line="240" w:lineRule="auto"/>
              <w:rPr>
                <w:rFonts w:cs="Charis SIL"/>
                <w:sz w:val="16"/>
                <w:szCs w:val="16"/>
                <w:lang w:val="sv-SE"/>
              </w:rPr>
            </w:pPr>
            <w:r w:rsidRPr="00FB4EFA">
              <w:rPr>
                <w:rFonts w:cs="Charis SIL"/>
                <w:sz w:val="16"/>
                <w:szCs w:val="16"/>
                <w:lang w:val="sv-SE"/>
              </w:rPr>
              <w:t xml:space="preserve">28 </w:t>
            </w:r>
          </w:p>
        </w:tc>
        <w:tc>
          <w:tcPr>
            <w:tcW w:w="0" w:type="auto"/>
          </w:tcPr>
          <w:p w14:paraId="5C624520" w14:textId="77777777" w:rsidR="00DD5337" w:rsidRPr="00FB4EFA" w:rsidRDefault="00DD5337" w:rsidP="002A3BC9">
            <w:pPr>
              <w:keepNext/>
              <w:spacing w:line="240" w:lineRule="auto"/>
              <w:rPr>
                <w:rFonts w:cs="Charis SIL"/>
                <w:sz w:val="16"/>
                <w:szCs w:val="16"/>
                <w:lang w:val="sv-SE"/>
              </w:rPr>
            </w:pPr>
          </w:p>
        </w:tc>
      </w:tr>
      <w:tr w:rsidR="00FB4EFA" w:rsidRPr="00FB4EFA" w14:paraId="0B1BA496" w14:textId="77777777" w:rsidTr="007A1027">
        <w:tc>
          <w:tcPr>
            <w:tcW w:w="0" w:type="auto"/>
          </w:tcPr>
          <w:p w14:paraId="220D2EA9"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[Nyström, Maria]</w:t>
            </w:r>
          </w:p>
        </w:tc>
        <w:tc>
          <w:tcPr>
            <w:tcW w:w="0" w:type="auto"/>
          </w:tcPr>
          <w:p w14:paraId="6EC3D080" w14:textId="77777777" w:rsidR="00DD5337" w:rsidRPr="00FB4EFA" w:rsidRDefault="00DD5337" w:rsidP="002A3BC9">
            <w:pPr>
              <w:spacing w:line="240" w:lineRule="auto"/>
              <w:rPr>
                <w:rFonts w:cs="Charis SIL"/>
                <w:i/>
                <w:sz w:val="16"/>
                <w:szCs w:val="16"/>
                <w:lang w:val="sv-SE"/>
              </w:rPr>
            </w:pPr>
            <w:r w:rsidRPr="00FB4EFA">
              <w:rPr>
                <w:rFonts w:cs="Charis SIL"/>
                <w:i/>
                <w:sz w:val="16"/>
                <w:szCs w:val="16"/>
                <w:lang w:val="sv-SE"/>
              </w:rPr>
              <w:t>Dramatiska stycken. Av M.N. 2. Sonhustrun (i en akt). Brudarnas offer (två tablåer).</w:t>
            </w:r>
          </w:p>
        </w:tc>
        <w:tc>
          <w:tcPr>
            <w:tcW w:w="0" w:type="auto"/>
          </w:tcPr>
          <w:p w14:paraId="6922A6CC"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Vasa. Frams byrå. Nyupplaga 1916.</w:t>
            </w:r>
          </w:p>
        </w:tc>
        <w:tc>
          <w:tcPr>
            <w:tcW w:w="0" w:type="auto"/>
          </w:tcPr>
          <w:p w14:paraId="7165DA51"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 xml:space="preserve">16 </w:t>
            </w:r>
          </w:p>
        </w:tc>
        <w:tc>
          <w:tcPr>
            <w:tcW w:w="0" w:type="auto"/>
          </w:tcPr>
          <w:p w14:paraId="6B753914"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0:35</w:t>
            </w:r>
          </w:p>
        </w:tc>
      </w:tr>
      <w:tr w:rsidR="00FB4EFA" w:rsidRPr="00FB4EFA" w14:paraId="01B84A21" w14:textId="77777777" w:rsidTr="007A1027">
        <w:tc>
          <w:tcPr>
            <w:tcW w:w="0" w:type="auto"/>
          </w:tcPr>
          <w:p w14:paraId="3E85CCC2"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[Nyström, Maria]</w:t>
            </w:r>
          </w:p>
        </w:tc>
        <w:tc>
          <w:tcPr>
            <w:tcW w:w="0" w:type="auto"/>
          </w:tcPr>
          <w:p w14:paraId="2E0D0625" w14:textId="77777777" w:rsidR="00DD5337" w:rsidRPr="00FB4EFA" w:rsidRDefault="00DD5337" w:rsidP="002A3BC9">
            <w:pPr>
              <w:spacing w:line="240" w:lineRule="auto"/>
              <w:rPr>
                <w:rFonts w:cs="Charis SIL"/>
                <w:i/>
                <w:sz w:val="16"/>
                <w:szCs w:val="16"/>
                <w:lang w:val="sv-SE"/>
              </w:rPr>
            </w:pPr>
            <w:r w:rsidRPr="00FB4EFA">
              <w:rPr>
                <w:rFonts w:cs="Charis SIL"/>
                <w:sz w:val="16"/>
                <w:szCs w:val="16"/>
                <w:lang w:val="sv-SE"/>
              </w:rPr>
              <w:t xml:space="preserve">4. </w:t>
            </w:r>
            <w:r w:rsidRPr="00FB4EFA">
              <w:rPr>
                <w:rFonts w:cs="Charis SIL"/>
                <w:i/>
                <w:sz w:val="16"/>
                <w:szCs w:val="16"/>
                <w:lang w:val="sv-SE"/>
              </w:rPr>
              <w:t>På talko (i en akt).</w:t>
            </w:r>
          </w:p>
        </w:tc>
        <w:tc>
          <w:tcPr>
            <w:tcW w:w="0" w:type="auto"/>
          </w:tcPr>
          <w:p w14:paraId="44B180D9"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 xml:space="preserve">Nyupplaga 1916. </w:t>
            </w:r>
          </w:p>
        </w:tc>
        <w:tc>
          <w:tcPr>
            <w:tcW w:w="0" w:type="auto"/>
          </w:tcPr>
          <w:p w14:paraId="68A8E2A4"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24</w:t>
            </w:r>
          </w:p>
        </w:tc>
        <w:tc>
          <w:tcPr>
            <w:tcW w:w="0" w:type="auto"/>
          </w:tcPr>
          <w:p w14:paraId="320B974E"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0:50</w:t>
            </w:r>
          </w:p>
        </w:tc>
      </w:tr>
      <w:tr w:rsidR="00FB4EFA" w:rsidRPr="00FB4EFA" w14:paraId="79ABB021" w14:textId="77777777" w:rsidTr="007A1027">
        <w:tc>
          <w:tcPr>
            <w:tcW w:w="0" w:type="auto"/>
          </w:tcPr>
          <w:p w14:paraId="16008FB6"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[Nyström, Maria]</w:t>
            </w:r>
          </w:p>
        </w:tc>
        <w:tc>
          <w:tcPr>
            <w:tcW w:w="0" w:type="auto"/>
          </w:tcPr>
          <w:p w14:paraId="2E95E3AE"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 xml:space="preserve">6. </w:t>
            </w:r>
            <w:r w:rsidRPr="00FB4EFA">
              <w:rPr>
                <w:rFonts w:cs="Charis SIL"/>
                <w:i/>
                <w:sz w:val="16"/>
                <w:szCs w:val="16"/>
                <w:lang w:val="sv-SE"/>
              </w:rPr>
              <w:t>I sommartid. Dramatisk framställning (i en akt). – Levande charader</w:t>
            </w:r>
            <w:r w:rsidRPr="00FB4EFA">
              <w:rPr>
                <w:rFonts w:cs="Charis SIL"/>
                <w:sz w:val="16"/>
                <w:szCs w:val="16"/>
                <w:lang w:val="sv-SE"/>
              </w:rPr>
              <w:t xml:space="preserve"> </w:t>
            </w:r>
          </w:p>
        </w:tc>
        <w:tc>
          <w:tcPr>
            <w:tcW w:w="0" w:type="auto"/>
          </w:tcPr>
          <w:p w14:paraId="474C5B49"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Ny upplaga 1916.</w:t>
            </w:r>
          </w:p>
        </w:tc>
        <w:tc>
          <w:tcPr>
            <w:tcW w:w="0" w:type="auto"/>
          </w:tcPr>
          <w:p w14:paraId="5756C786"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 xml:space="preserve">24 </w:t>
            </w:r>
          </w:p>
        </w:tc>
        <w:tc>
          <w:tcPr>
            <w:tcW w:w="0" w:type="auto"/>
          </w:tcPr>
          <w:p w14:paraId="37314EE0"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0:50</w:t>
            </w:r>
          </w:p>
        </w:tc>
      </w:tr>
      <w:tr w:rsidR="00FB4EFA" w:rsidRPr="00FB4EFA" w14:paraId="3EEF2224" w14:textId="77777777" w:rsidTr="007A1027">
        <w:tc>
          <w:tcPr>
            <w:tcW w:w="0" w:type="auto"/>
          </w:tcPr>
          <w:p w14:paraId="4A90CA23"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[Nyström, Maria]</w:t>
            </w:r>
          </w:p>
        </w:tc>
        <w:tc>
          <w:tcPr>
            <w:tcW w:w="0" w:type="auto"/>
          </w:tcPr>
          <w:p w14:paraId="2FA78D23" w14:textId="77777777" w:rsidR="00DD5337" w:rsidRPr="00FB4EFA" w:rsidRDefault="00DD5337" w:rsidP="002A3BC9">
            <w:pPr>
              <w:spacing w:line="240" w:lineRule="auto"/>
              <w:rPr>
                <w:rFonts w:cs="Charis SIL"/>
                <w:i/>
                <w:sz w:val="16"/>
                <w:szCs w:val="16"/>
                <w:lang w:val="sv-SE"/>
              </w:rPr>
            </w:pPr>
            <w:r w:rsidRPr="00FB4EFA">
              <w:rPr>
                <w:rFonts w:cs="Charis SIL"/>
                <w:i/>
                <w:sz w:val="16"/>
                <w:szCs w:val="16"/>
                <w:lang w:val="sv-SE"/>
              </w:rPr>
              <w:t>Fästmöprovet. Folklivsbild i två akter.</w:t>
            </w:r>
          </w:p>
        </w:tc>
        <w:tc>
          <w:tcPr>
            <w:tcW w:w="0" w:type="auto"/>
          </w:tcPr>
          <w:p w14:paraId="49DE4B2F"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Gamlakarleby. Vasa, Frams byrå.</w:t>
            </w:r>
          </w:p>
        </w:tc>
        <w:tc>
          <w:tcPr>
            <w:tcW w:w="0" w:type="auto"/>
          </w:tcPr>
          <w:p w14:paraId="6FF7313F"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 xml:space="preserve">24 </w:t>
            </w:r>
          </w:p>
        </w:tc>
        <w:tc>
          <w:tcPr>
            <w:tcW w:w="0" w:type="auto"/>
          </w:tcPr>
          <w:p w14:paraId="792942A8"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0:60</w:t>
            </w:r>
          </w:p>
        </w:tc>
      </w:tr>
      <w:tr w:rsidR="00FB4EFA" w:rsidRPr="00FB4EFA" w14:paraId="2622B9A7" w14:textId="77777777" w:rsidTr="007A1027">
        <w:tc>
          <w:tcPr>
            <w:tcW w:w="0" w:type="auto"/>
          </w:tcPr>
          <w:p w14:paraId="1372D698" w14:textId="77777777" w:rsidR="008F73FD" w:rsidRPr="00FB4EFA" w:rsidRDefault="00DD5337" w:rsidP="002A3BC9">
            <w:pPr>
              <w:spacing w:line="240" w:lineRule="auto"/>
              <w:rPr>
                <w:rFonts w:cs="Charis SIL"/>
                <w:sz w:val="16"/>
                <w:szCs w:val="16"/>
                <w:lang w:val="sv-SE"/>
              </w:rPr>
            </w:pPr>
            <w:r w:rsidRPr="00FB4EFA">
              <w:rPr>
                <w:rFonts w:cs="Charis SIL"/>
                <w:sz w:val="16"/>
                <w:szCs w:val="16"/>
                <w:lang w:val="sv-SE"/>
              </w:rPr>
              <w:t>Nyström, Maria</w:t>
            </w:r>
          </w:p>
          <w:p w14:paraId="76A46649" w14:textId="427EBF04" w:rsidR="00DD5337" w:rsidRPr="00FB4EFA" w:rsidRDefault="00DD5337" w:rsidP="002A3BC9">
            <w:pPr>
              <w:spacing w:line="240" w:lineRule="auto"/>
              <w:rPr>
                <w:rFonts w:cs="Charis SIL"/>
                <w:sz w:val="16"/>
                <w:szCs w:val="16"/>
                <w:lang w:val="sv-SE"/>
              </w:rPr>
            </w:pPr>
          </w:p>
        </w:tc>
        <w:tc>
          <w:tcPr>
            <w:tcW w:w="0" w:type="auto"/>
          </w:tcPr>
          <w:p w14:paraId="1BF4FC07" w14:textId="77777777" w:rsidR="00DD5337" w:rsidRPr="00FB4EFA" w:rsidRDefault="00DD5337" w:rsidP="002A3BC9">
            <w:pPr>
              <w:spacing w:line="240" w:lineRule="auto"/>
              <w:rPr>
                <w:rFonts w:cs="Charis SIL"/>
                <w:i/>
                <w:sz w:val="16"/>
                <w:szCs w:val="16"/>
                <w:lang w:val="sv-SE"/>
              </w:rPr>
            </w:pPr>
            <w:r w:rsidRPr="00FB4EFA">
              <w:rPr>
                <w:rFonts w:cs="Charis SIL"/>
                <w:i/>
                <w:sz w:val="16"/>
                <w:szCs w:val="16"/>
                <w:lang w:val="sv-SE"/>
              </w:rPr>
              <w:t>Lika barn leka bäst. Lustspel i 2 akter.</w:t>
            </w:r>
          </w:p>
        </w:tc>
        <w:tc>
          <w:tcPr>
            <w:tcW w:w="0" w:type="auto"/>
          </w:tcPr>
          <w:p w14:paraId="2075559D"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Borgå 1916.</w:t>
            </w:r>
          </w:p>
        </w:tc>
        <w:tc>
          <w:tcPr>
            <w:tcW w:w="0" w:type="auto"/>
          </w:tcPr>
          <w:p w14:paraId="50621CEF"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 xml:space="preserve">61 </w:t>
            </w:r>
          </w:p>
        </w:tc>
        <w:tc>
          <w:tcPr>
            <w:tcW w:w="0" w:type="auto"/>
          </w:tcPr>
          <w:p w14:paraId="5EFCDFCE"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1:00</w:t>
            </w:r>
          </w:p>
        </w:tc>
      </w:tr>
      <w:tr w:rsidR="00FB4EFA" w:rsidRPr="00FB4EFA" w14:paraId="7F64A7F7" w14:textId="77777777" w:rsidTr="007A1027">
        <w:tc>
          <w:tcPr>
            <w:tcW w:w="0" w:type="auto"/>
          </w:tcPr>
          <w:p w14:paraId="1D391104"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 xml:space="preserve">Procopé, Hjalmar </w:t>
            </w:r>
          </w:p>
        </w:tc>
        <w:tc>
          <w:tcPr>
            <w:tcW w:w="0" w:type="auto"/>
          </w:tcPr>
          <w:p w14:paraId="314E75A9" w14:textId="77777777" w:rsidR="00DD5337" w:rsidRPr="00FB4EFA" w:rsidRDefault="00DD5337" w:rsidP="002A3BC9">
            <w:pPr>
              <w:spacing w:line="240" w:lineRule="auto"/>
              <w:rPr>
                <w:rFonts w:cs="Charis SIL"/>
                <w:i/>
                <w:sz w:val="16"/>
                <w:szCs w:val="16"/>
                <w:lang w:val="sv-SE"/>
              </w:rPr>
            </w:pPr>
            <w:r w:rsidRPr="00FB4EFA">
              <w:rPr>
                <w:rFonts w:cs="Charis SIL"/>
                <w:i/>
                <w:sz w:val="16"/>
                <w:szCs w:val="16"/>
                <w:lang w:val="sv-SE"/>
              </w:rPr>
              <w:t>Tvillingarna från Borgå. Lustspel. Uppf. 1916.</w:t>
            </w:r>
          </w:p>
        </w:tc>
        <w:tc>
          <w:tcPr>
            <w:tcW w:w="0" w:type="auto"/>
          </w:tcPr>
          <w:p w14:paraId="2A049882"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1916</w:t>
            </w:r>
          </w:p>
        </w:tc>
        <w:tc>
          <w:tcPr>
            <w:tcW w:w="0" w:type="auto"/>
          </w:tcPr>
          <w:p w14:paraId="0D5B6AFA" w14:textId="77777777" w:rsidR="00DD5337" w:rsidRPr="00FB4EFA" w:rsidRDefault="00DD5337" w:rsidP="002A3BC9">
            <w:pPr>
              <w:spacing w:line="240" w:lineRule="auto"/>
              <w:rPr>
                <w:rFonts w:cs="Charis SIL"/>
                <w:sz w:val="16"/>
                <w:szCs w:val="16"/>
                <w:lang w:val="sv-SE"/>
              </w:rPr>
            </w:pPr>
          </w:p>
        </w:tc>
        <w:tc>
          <w:tcPr>
            <w:tcW w:w="0" w:type="auto"/>
          </w:tcPr>
          <w:p w14:paraId="0723B1B2" w14:textId="77777777" w:rsidR="00DD5337" w:rsidRPr="00FB4EFA" w:rsidRDefault="00DD5337" w:rsidP="002A3BC9">
            <w:pPr>
              <w:spacing w:line="240" w:lineRule="auto"/>
              <w:rPr>
                <w:rFonts w:cs="Charis SIL"/>
                <w:sz w:val="16"/>
                <w:szCs w:val="16"/>
                <w:lang w:val="sv-SE"/>
              </w:rPr>
            </w:pPr>
          </w:p>
        </w:tc>
      </w:tr>
      <w:tr w:rsidR="00FB4EFA" w:rsidRPr="00FB4EFA" w14:paraId="67151D57" w14:textId="77777777" w:rsidTr="007A1027">
        <w:tc>
          <w:tcPr>
            <w:tcW w:w="0" w:type="auto"/>
          </w:tcPr>
          <w:p w14:paraId="538CB8AC"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Wasastjerna, Torsten</w:t>
            </w:r>
          </w:p>
        </w:tc>
        <w:tc>
          <w:tcPr>
            <w:tcW w:w="0" w:type="auto"/>
          </w:tcPr>
          <w:p w14:paraId="589587C2" w14:textId="77777777" w:rsidR="00DD5337" w:rsidRPr="00FB4EFA" w:rsidRDefault="00DD5337" w:rsidP="002A3BC9">
            <w:pPr>
              <w:spacing w:line="240" w:lineRule="auto"/>
              <w:rPr>
                <w:rFonts w:cs="Charis SIL"/>
                <w:i/>
                <w:sz w:val="16"/>
                <w:szCs w:val="16"/>
                <w:lang w:val="sv-SE"/>
              </w:rPr>
            </w:pPr>
            <w:r w:rsidRPr="00FB4EFA">
              <w:rPr>
                <w:rFonts w:cs="Charis SIL"/>
                <w:i/>
                <w:sz w:val="16"/>
                <w:szCs w:val="16"/>
                <w:lang w:val="sv-SE"/>
              </w:rPr>
              <w:t>Fågel Fenix. Skådespel i tre akter i bunden och obunden form, med musik</w:t>
            </w:r>
          </w:p>
        </w:tc>
        <w:tc>
          <w:tcPr>
            <w:tcW w:w="0" w:type="auto"/>
          </w:tcPr>
          <w:p w14:paraId="7B85FF2E"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Helsingfors 1916. Söderströms &amp; C:o.</w:t>
            </w:r>
          </w:p>
        </w:tc>
        <w:tc>
          <w:tcPr>
            <w:tcW w:w="0" w:type="auto"/>
          </w:tcPr>
          <w:p w14:paraId="5E9B8284"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 xml:space="preserve">64 </w:t>
            </w:r>
          </w:p>
        </w:tc>
        <w:tc>
          <w:tcPr>
            <w:tcW w:w="0" w:type="auto"/>
          </w:tcPr>
          <w:p w14:paraId="0EEAF712"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3:00</w:t>
            </w:r>
          </w:p>
        </w:tc>
      </w:tr>
      <w:tr w:rsidR="00FB4EFA" w:rsidRPr="00FB4EFA" w14:paraId="1E1823F6" w14:textId="77777777" w:rsidTr="007A1027">
        <w:tc>
          <w:tcPr>
            <w:tcW w:w="0" w:type="auto"/>
          </w:tcPr>
          <w:p w14:paraId="30138E77"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[Weman, Adéle]</w:t>
            </w:r>
          </w:p>
        </w:tc>
        <w:tc>
          <w:tcPr>
            <w:tcW w:w="0" w:type="auto"/>
          </w:tcPr>
          <w:p w14:paraId="794D285E" w14:textId="77777777" w:rsidR="00DD5337" w:rsidRPr="00FB4EFA" w:rsidRDefault="00DD5337" w:rsidP="002A3BC9">
            <w:pPr>
              <w:spacing w:line="240" w:lineRule="auto"/>
              <w:rPr>
                <w:rFonts w:cs="Charis SIL"/>
                <w:i/>
                <w:sz w:val="16"/>
                <w:szCs w:val="16"/>
                <w:lang w:val="sv-SE"/>
              </w:rPr>
            </w:pPr>
            <w:r w:rsidRPr="00FB4EFA">
              <w:rPr>
                <w:rFonts w:cs="Charis SIL"/>
                <w:i/>
                <w:sz w:val="16"/>
                <w:szCs w:val="16"/>
                <w:lang w:val="sv-SE"/>
              </w:rPr>
              <w:t>Hos spågumman. Skämt i tre tablåer. Av Parus Ater. – Kvinnofrågan. (Ett växelprogram.)</w:t>
            </w:r>
          </w:p>
        </w:tc>
        <w:tc>
          <w:tcPr>
            <w:tcW w:w="0" w:type="auto"/>
          </w:tcPr>
          <w:p w14:paraId="2012A6BF"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Ny uppl. Gamlakarleby 1916. Frams byrå.</w:t>
            </w:r>
          </w:p>
        </w:tc>
        <w:tc>
          <w:tcPr>
            <w:tcW w:w="0" w:type="auto"/>
          </w:tcPr>
          <w:p w14:paraId="0693A5F6"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16</w:t>
            </w:r>
          </w:p>
        </w:tc>
        <w:tc>
          <w:tcPr>
            <w:tcW w:w="0" w:type="auto"/>
          </w:tcPr>
          <w:p w14:paraId="69528729" w14:textId="77777777" w:rsidR="00DD5337" w:rsidRPr="00FB4EFA" w:rsidRDefault="00DD5337" w:rsidP="002A3BC9">
            <w:pPr>
              <w:spacing w:line="240" w:lineRule="auto"/>
              <w:rPr>
                <w:rFonts w:cs="Charis SIL"/>
                <w:sz w:val="16"/>
                <w:szCs w:val="16"/>
                <w:lang w:val="sv-SE"/>
              </w:rPr>
            </w:pPr>
            <w:r w:rsidRPr="00FB4EFA">
              <w:rPr>
                <w:rFonts w:cs="Charis SIL"/>
                <w:sz w:val="16"/>
                <w:szCs w:val="16"/>
                <w:lang w:val="sv-SE"/>
              </w:rPr>
              <w:t>0:35</w:t>
            </w:r>
          </w:p>
        </w:tc>
      </w:tr>
    </w:tbl>
    <w:p w14:paraId="1F2855B5" w14:textId="61F48D81" w:rsidR="00DD5337" w:rsidRPr="00FB4EFA" w:rsidRDefault="007A1027" w:rsidP="00AF0CAD">
      <w:pPr>
        <w:spacing w:before="120" w:after="240"/>
        <w:jc w:val="center"/>
        <w:rPr>
          <w:lang w:val="sv-SE"/>
        </w:rPr>
      </w:pPr>
      <w:r w:rsidRPr="00FB4EFA">
        <w:rPr>
          <w:b/>
          <w:bCs/>
          <w:sz w:val="18"/>
          <w:szCs w:val="18"/>
          <w:lang w:val="hu-HU"/>
        </w:rPr>
        <w:t>Tabell 5</w:t>
      </w:r>
      <w:r w:rsidRPr="00FB4EFA">
        <w:rPr>
          <w:sz w:val="18"/>
          <w:szCs w:val="18"/>
          <w:lang w:val="hu-HU"/>
        </w:rPr>
        <w:t>: Utgivning av inhemsk dramatik 1916</w:t>
      </w:r>
    </w:p>
    <w:p w14:paraId="64A609BC" w14:textId="4CBCEDBC" w:rsidR="008F73FD" w:rsidRPr="00FB4EFA" w:rsidRDefault="00DD5337" w:rsidP="002A3BC9">
      <w:pPr>
        <w:rPr>
          <w:lang w:val="sv-SE"/>
        </w:rPr>
      </w:pPr>
      <w:r w:rsidRPr="00FB4EFA">
        <w:rPr>
          <w:lang w:val="sv-SE"/>
        </w:rPr>
        <w:t>Klassen ”Prosa i original och översättning. A. Finland” innehåller sammanlagt 281 titlar under perioden 1916–1925 och av dessa har 40 styck</w:t>
      </w:r>
      <w:r w:rsidRPr="00FB4EFA">
        <w:rPr>
          <w:lang w:val="sv-SE"/>
        </w:rPr>
        <w:lastRenderedPageBreak/>
        <w:t>en kommit ut under år 1916 (14,2 %).</w:t>
      </w:r>
      <w:r w:rsidRPr="00FB4EFA">
        <w:rPr>
          <w:vertAlign w:val="superscript"/>
          <w:lang w:val="sv-SE"/>
        </w:rPr>
        <w:footnoteReference w:id="206"/>
      </w:r>
      <w:r w:rsidRPr="00FB4EFA">
        <w:rPr>
          <w:lang w:val="sv-SE"/>
        </w:rPr>
        <w:t xml:space="preserve"> Liksom klassen ”Poesi i original och översättning” innehåller även denna underavdelning författare och verk bekanta från litteraturhistoriska översiktsverk. Här hittar vi till exempel Sigrid Backman, Kersti Bergroth, Erik Grotenfelt, Ture Janson, Mikael Lybeck och Runar Schildt, men även författare som noterats sällan eller aldrig samt anonyma författare. Under år 1916 utkom också Gabriel Sand</w:t>
      </w:r>
      <w:r w:rsidR="00C04B47" w:rsidRPr="00FB4EFA">
        <w:rPr>
          <w:lang w:val="sv-SE"/>
        </w:rPr>
        <w:t>e</w:t>
      </w:r>
      <w:r w:rsidRPr="00FB4EFA">
        <w:rPr>
          <w:lang w:val="sv-SE"/>
        </w:rPr>
        <w:t xml:space="preserve">ns </w:t>
      </w:r>
      <w:r w:rsidRPr="00FB4EFA">
        <w:rPr>
          <w:i/>
          <w:lang w:val="sv-SE"/>
        </w:rPr>
        <w:t>Money. En amerikansk roman</w:t>
      </w:r>
      <w:r w:rsidRPr="00FB4EFA">
        <w:rPr>
          <w:lang w:val="sv-SE"/>
        </w:rPr>
        <w:t xml:space="preserve"> samt Lennart Wikströms [Henning Söderhjelm] detektivroman </w:t>
      </w:r>
      <w:r w:rsidRPr="00FB4EFA">
        <w:rPr>
          <w:i/>
          <w:lang w:val="sv-SE"/>
        </w:rPr>
        <w:t>Guldgruvan</w:t>
      </w:r>
      <w:r w:rsidRPr="00FB4EFA">
        <w:rPr>
          <w:lang w:val="sv-SE"/>
        </w:rPr>
        <w:t xml:space="preserve"> som kan räknas till populärlitteraturen, en litteraturgren som växte snabbt i början av 1900-talet. Verk av detta slag tenderar ofta att falla utanför litteraturhistorieskrivningen, dock inte alltid. (Se Malmio 2005; Malmio 2000a; Malmio 2000b.) Sandens omfattande roman (hela 394 sidor) </w:t>
      </w:r>
      <w:r w:rsidRPr="00FB4EFA">
        <w:rPr>
          <w:i/>
          <w:lang w:val="sv-SE"/>
        </w:rPr>
        <w:t xml:space="preserve">Money </w:t>
      </w:r>
      <w:r w:rsidRPr="00FB4EFA">
        <w:rPr>
          <w:lang w:val="sv-SE"/>
        </w:rPr>
        <w:t xml:space="preserve">sålde tydligen väl: enligt bibliografin utkom det två stora upplagor (”fjärde tusendet”) av boken år 1916 och 1917 togs en tredje upplaga i samarbete med Bonniers. Under 1916 utkommer även verk såsom Selma Granbergs roman </w:t>
      </w:r>
      <w:r w:rsidRPr="00FB4EFA">
        <w:rPr>
          <w:i/>
          <w:lang w:val="sv-SE"/>
        </w:rPr>
        <w:t xml:space="preserve">Besegrad, </w:t>
      </w:r>
      <w:r w:rsidR="00545A5C" w:rsidRPr="00FB4EFA">
        <w:rPr>
          <w:i/>
          <w:lang w:val="sv-SE"/>
        </w:rPr>
        <w:br/>
      </w:r>
      <w:r w:rsidRPr="00FB4EFA">
        <w:rPr>
          <w:lang w:val="sv-SE"/>
        </w:rPr>
        <w:t xml:space="preserve">Sigurd Wegelius </w:t>
      </w:r>
      <w:r w:rsidRPr="00FB4EFA">
        <w:rPr>
          <w:i/>
          <w:lang w:val="sv-SE"/>
        </w:rPr>
        <w:t>Dårar. Novell i dialog</w:t>
      </w:r>
      <w:r w:rsidRPr="00FB4EFA">
        <w:rPr>
          <w:lang w:val="sv-SE"/>
        </w:rPr>
        <w:t xml:space="preserve"> samt Josef Wolontis </w:t>
      </w:r>
      <w:r w:rsidRPr="00FB4EFA">
        <w:rPr>
          <w:i/>
          <w:lang w:val="sv-SE"/>
        </w:rPr>
        <w:t>Livsmakter</w:t>
      </w:r>
      <w:r w:rsidRPr="00FB4EFA">
        <w:rPr>
          <w:lang w:val="sv-SE"/>
        </w:rPr>
        <w:t xml:space="preserve">. Den sista kommer inte upp i </w:t>
      </w:r>
      <w:r w:rsidRPr="00FB4EFA">
        <w:rPr>
          <w:i/>
          <w:lang w:val="sv-SE"/>
        </w:rPr>
        <w:t>Suomen kirjailijat</w:t>
      </w:r>
      <w:r w:rsidRPr="00FB4EFA">
        <w:rPr>
          <w:lang w:val="sv-SE"/>
        </w:rPr>
        <w:t>. Ändå utgavs verket 1916 av Schildts förlag och inga uppgifter om översättning står att finna.</w:t>
      </w:r>
    </w:p>
    <w:p w14:paraId="62E94D04" w14:textId="654745BC" w:rsidR="008F73FD" w:rsidRPr="00FB4EFA" w:rsidRDefault="00DD5337" w:rsidP="002A3BC9">
      <w:pPr>
        <w:ind w:firstLine="720"/>
        <w:rPr>
          <w:lang w:val="sv-SE"/>
        </w:rPr>
      </w:pPr>
      <w:r w:rsidRPr="00FB4EFA">
        <w:rPr>
          <w:lang w:val="sv-SE"/>
        </w:rPr>
        <w:t>Av dessa 40 verk är 14 skrivna av kvinnliga författare (35 %, här inkluderas förstås endast de fall där vi har kunskap om författaren.) Utgivningen domineras av två förlag, Schildts och Söderströms. Spridningen är följande: 16 titlar utgivna av Schildts (40</w:t>
      </w:r>
      <w:r w:rsidR="00645380" w:rsidRPr="00FB4EFA">
        <w:rPr>
          <w:lang w:val="sv-SE"/>
        </w:rPr>
        <w:t> </w:t>
      </w:r>
      <w:r w:rsidRPr="00FB4EFA">
        <w:rPr>
          <w:lang w:val="sv-SE"/>
        </w:rPr>
        <w:t>%), 9 av Söderströms (22,5 %). Men bibliografin ger även uppgifter om många andra förlag, och deras andel av utgivningen är ca 37,5 %.</w:t>
      </w:r>
    </w:p>
    <w:p w14:paraId="64D84C54" w14:textId="243159C6" w:rsidR="008F73FD" w:rsidRPr="00FB4EFA" w:rsidRDefault="00DD5337" w:rsidP="002A3BC9">
      <w:pPr>
        <w:ind w:firstLine="709"/>
        <w:rPr>
          <w:lang w:val="sv-SE"/>
        </w:rPr>
      </w:pPr>
      <w:r w:rsidRPr="00FB4EFA">
        <w:rPr>
          <w:lang w:val="sv-SE"/>
        </w:rPr>
        <w:t>Efter prosa och lyrik kommer barn- och ungdomslitteraturen på en stark tredje plats vad beträffar kvantiteten i utgivningen. Förutom enskilda verk av kända och mindre kända författare innehåller denna kategori också serier såsom Barnavännen och Kring krubban. Såsom översättningarna får även denna kategori vänta på en mera grundlig granskning på grund av utrymmesskäl. Här blir jag tvungen att begränsa mig till de genrer – lyrik och prosa – som även den traditionella litteraturhistorieskrivningen under 1900-talet föredragit.</w:t>
      </w:r>
    </w:p>
    <w:p w14:paraId="281395A6" w14:textId="7A990BEC" w:rsidR="008F73FD" w:rsidRPr="00FB4EFA" w:rsidRDefault="00DD5337" w:rsidP="00AF0CAD">
      <w:pPr>
        <w:ind w:firstLine="720"/>
        <w:rPr>
          <w:lang w:val="sv-SE"/>
        </w:rPr>
      </w:pPr>
      <w:r w:rsidRPr="00FB4EFA">
        <w:rPr>
          <w:lang w:val="sv-SE"/>
        </w:rPr>
        <w:t xml:space="preserve">Redan en överblick av alla de olika underavdelningar av litteratur som getts ut 1916 ger ny kunskap om den svenska litteraturen i Finland, </w:t>
      </w:r>
      <w:r w:rsidRPr="00FB4EFA">
        <w:rPr>
          <w:lang w:val="sv-SE"/>
        </w:rPr>
        <w:lastRenderedPageBreak/>
        <w:t xml:space="preserve">speciellt om proportionerna mellan olika kategorier. Även om jag endast koncentrerat mig på inhemsk lyrik och prosa för vuxna har bibliografin lyft fram en okänd sida av utgivningen i form av kategorin </w:t>
      </w:r>
      <w:r w:rsidR="00545A5C" w:rsidRPr="00FB4EFA">
        <w:rPr>
          <w:lang w:val="sv-SE"/>
        </w:rPr>
        <w:br/>
      </w:r>
      <w:r w:rsidRPr="00FB4EFA">
        <w:rPr>
          <w:lang w:val="sv-SE"/>
        </w:rPr>
        <w:t>”Tillfällighetsdikter”.</w:t>
      </w:r>
    </w:p>
    <w:p w14:paraId="565868EA" w14:textId="1BBFCC76" w:rsidR="00DD5337" w:rsidRPr="00FB4EFA" w:rsidRDefault="00DD5337" w:rsidP="00545033">
      <w:pPr>
        <w:pStyle w:val="Heading2"/>
        <w:suppressAutoHyphens/>
        <w:spacing w:line="259" w:lineRule="auto"/>
        <w:rPr>
          <w:color w:val="auto"/>
        </w:rPr>
      </w:pPr>
      <w:r w:rsidRPr="00FB4EFA">
        <w:rPr>
          <w:color w:val="auto"/>
        </w:rPr>
        <w:t>Men Warburton då?</w:t>
      </w:r>
    </w:p>
    <w:p w14:paraId="7520EF6D" w14:textId="699E4F39" w:rsidR="008F73FD" w:rsidRPr="00FB4EFA" w:rsidRDefault="00DD5337" w:rsidP="002A3BC9">
      <w:pPr>
        <w:rPr>
          <w:lang w:val="sv-SE"/>
        </w:rPr>
      </w:pPr>
      <w:r w:rsidRPr="00FB4EFA">
        <w:rPr>
          <w:lang w:val="sv-SE"/>
        </w:rPr>
        <w:t xml:space="preserve">Thomas Warburtons handbok </w:t>
      </w:r>
      <w:r w:rsidRPr="00FB4EFA">
        <w:rPr>
          <w:i/>
          <w:lang w:val="sv-SE"/>
        </w:rPr>
        <w:t>80 år finlandssvensk litteratur</w:t>
      </w:r>
      <w:r w:rsidRPr="00FB4EFA">
        <w:rPr>
          <w:lang w:val="sv-SE"/>
        </w:rPr>
        <w:t xml:space="preserve"> utkom ursprungligen första gången på 1950-talet (</w:t>
      </w:r>
      <w:r w:rsidRPr="00FB4EFA">
        <w:rPr>
          <w:i/>
          <w:lang w:val="sv-SE"/>
        </w:rPr>
        <w:t xml:space="preserve">Femtio år finlandssvensk </w:t>
      </w:r>
      <w:r w:rsidR="00545A5C" w:rsidRPr="00FB4EFA">
        <w:rPr>
          <w:i/>
          <w:lang w:val="sv-SE"/>
        </w:rPr>
        <w:br/>
      </w:r>
      <w:r w:rsidRPr="00FB4EFA">
        <w:rPr>
          <w:i/>
          <w:lang w:val="sv-SE"/>
        </w:rPr>
        <w:t>litteratur</w:t>
      </w:r>
      <w:r w:rsidRPr="00FB4EFA">
        <w:rPr>
          <w:lang w:val="sv-SE"/>
        </w:rPr>
        <w:t xml:space="preserve">, 1951). Detta enmansverk fick först år 2000 en konkurrent i </w:t>
      </w:r>
      <w:r w:rsidRPr="00FB4EFA">
        <w:rPr>
          <w:i/>
          <w:lang w:val="sv-SE"/>
        </w:rPr>
        <w:t>Finlands svenska litteratur 2: Nittonhundratalet</w:t>
      </w:r>
      <w:r w:rsidRPr="00FB4EFA">
        <w:rPr>
          <w:lang w:val="sv-SE"/>
        </w:rPr>
        <w:t xml:space="preserve"> (Zilliacus 2000) som bygger på ett annorlunda litteraturhistoriskt koncept. Medan </w:t>
      </w:r>
      <w:r w:rsidRPr="00FB4EFA">
        <w:rPr>
          <w:i/>
          <w:lang w:val="sv-SE"/>
        </w:rPr>
        <w:t>Finlands svenska litteratur 1–2</w:t>
      </w:r>
      <w:r w:rsidRPr="00FB4EFA">
        <w:rPr>
          <w:lang w:val="sv-SE"/>
        </w:rPr>
        <w:t xml:space="preserve"> fokuserar genrer, utvecklingslinjer och litterära strömningar, utgår Warburton från författare och verk, liv och dikt. Handboken lämpar sig därför bra för att jämföras med Ölanders bibliografi. En jämförelse mellan Ölanders bibliografi och </w:t>
      </w:r>
      <w:r w:rsidRPr="00FB4EFA">
        <w:rPr>
          <w:i/>
          <w:lang w:val="sv-SE"/>
        </w:rPr>
        <w:t xml:space="preserve">Finlands svenska </w:t>
      </w:r>
      <w:r w:rsidR="00545A5C" w:rsidRPr="00FB4EFA">
        <w:rPr>
          <w:i/>
          <w:lang w:val="sv-SE"/>
        </w:rPr>
        <w:br/>
      </w:r>
      <w:r w:rsidRPr="00FB4EFA">
        <w:rPr>
          <w:i/>
          <w:lang w:val="sv-SE"/>
        </w:rPr>
        <w:t>litteratur 2</w:t>
      </w:r>
      <w:r w:rsidRPr="00FB4EFA">
        <w:rPr>
          <w:lang w:val="sv-SE"/>
        </w:rPr>
        <w:t xml:space="preserve"> skulle antagligen ge ett annorlunda resultat, men detta måste emellertid vänta till en annan gång.</w:t>
      </w:r>
    </w:p>
    <w:p w14:paraId="49906D18" w14:textId="1DEBAB8D" w:rsidR="00DD5337" w:rsidRPr="00FB4EFA" w:rsidRDefault="00DD5337" w:rsidP="002A3BC9">
      <w:pPr>
        <w:ind w:firstLine="720"/>
        <w:rPr>
          <w:lang w:val="sv-SE"/>
        </w:rPr>
      </w:pPr>
      <w:r w:rsidRPr="00FB4EFA">
        <w:rPr>
          <w:lang w:val="sv-SE"/>
        </w:rPr>
        <w:t>Det finlandssvenska litterära fältet har en egen, speciell symbolisk ekonomi som har med dess status som välbärgad minoritetslitteratur att göra. Varje akt av skrivande och läsande blir laddade med alldeles specifika betydelser och värderingar (Sundholm 2000: 175). De uppfattas som en kontribution till upprätthållandet av minoritetens språk och identitet. Minoritetspositionen framkallar en inställning som kan beskrivas som ”alla (författare och verk) ska vara med”.</w:t>
      </w:r>
    </w:p>
    <w:p w14:paraId="44B61C91" w14:textId="01FD1794" w:rsidR="00DD5337" w:rsidRPr="00FB4EFA" w:rsidRDefault="00DD5337" w:rsidP="00AF0CAD">
      <w:pPr>
        <w:ind w:firstLine="720"/>
        <w:rPr>
          <w:lang w:val="sv-SE"/>
        </w:rPr>
      </w:pPr>
      <w:r w:rsidRPr="00FB4EFA">
        <w:rPr>
          <w:lang w:val="sv-SE"/>
        </w:rPr>
        <w:t xml:space="preserve">Denna hållning kan anknytas till Gilles Deleuzes och Félix </w:t>
      </w:r>
      <w:r w:rsidR="00545A5C" w:rsidRPr="00FB4EFA">
        <w:rPr>
          <w:lang w:val="sv-SE"/>
        </w:rPr>
        <w:br/>
      </w:r>
      <w:r w:rsidRPr="00FB4EFA">
        <w:rPr>
          <w:lang w:val="sv-SE"/>
        </w:rPr>
        <w:t xml:space="preserve">Guattaris syn på en mindre litteratur. Den karakteriseras av följande tre drag: varje yttrande är deterritorialiserat, politiskt och kollektivt. </w:t>
      </w:r>
      <w:r w:rsidR="00545A5C" w:rsidRPr="00FB4EFA">
        <w:rPr>
          <w:lang w:val="sv-SE"/>
        </w:rPr>
        <w:br/>
      </w:r>
      <w:r w:rsidRPr="00FB4EFA">
        <w:rPr>
          <w:lang w:val="sv-SE"/>
        </w:rPr>
        <w:t xml:space="preserve">(Deleuze &amp; Guattari 1986: 16; Kauranen, Huss, Grönstrand 2020: 5) Språket i en mindre litteratur är deterritorialiserat från det område inom vilket språket dominerar, i den finlandssvenska litteraturens fall från den svenska som talas i Sverige. </w:t>
      </w:r>
      <w:r w:rsidR="00156E29" w:rsidRPr="00FB4EFA">
        <w:rPr>
          <w:lang w:val="sv-SE"/>
        </w:rPr>
        <w:t xml:space="preserve">Det är också deterritorialiserat genom det säregna, ”mindre” sättet att använda språket. I den mindre litteraturen är den politiska och kollektiva dimensionen ständigt närvarande. </w:t>
      </w:r>
      <w:r w:rsidRPr="00FB4EFA">
        <w:rPr>
          <w:lang w:val="sv-SE"/>
        </w:rPr>
        <w:t xml:space="preserve">Varje yttrande ekar av de större politiska och sociala omständigheter/ämnen som anknyter till språket. Clas Zilliacus (2000) och Julia Tidigs (2014) har </w:t>
      </w:r>
      <w:r w:rsidRPr="00FB4EFA">
        <w:rPr>
          <w:lang w:val="sv-SE"/>
        </w:rPr>
        <w:lastRenderedPageBreak/>
        <w:t>använt sig av Deleuzes och Guattaris synsätt för att förklara den finlandssvenska litteraturens språkliga strategier på 1900-talet. Att en politiskt-kollektiv ”alla ska vara med”-inställning fortfarande är livskraftig kommer tydligt fram i Elina Jokinens undersökning. På basis av intervjuer med finländska författare konstaterar hon att de finlandssvenska författarnas författaridentitet och uppfattning om betydelsen av de egna verken är märkbart mera positiv än de finska författarnas (Jokinen 2010: 239–249).</w:t>
      </w:r>
    </w:p>
    <w:p w14:paraId="1972C144" w14:textId="7AB65498" w:rsidR="00DD5337" w:rsidRPr="00FB4EFA" w:rsidRDefault="00DD5337" w:rsidP="002A3BC9">
      <w:pPr>
        <w:spacing w:after="240"/>
        <w:ind w:firstLine="720"/>
        <w:rPr>
          <w:lang w:val="sv-SE"/>
        </w:rPr>
      </w:pPr>
      <w:r w:rsidRPr="00FB4EFA">
        <w:rPr>
          <w:lang w:val="sv-SE"/>
        </w:rPr>
        <w:t xml:space="preserve">Men den mindre litteraturens politiskt-kollektiva dimension går igen också i den finlandssvenska litteraturhistorieskrivningen. Det syns i hur litteraturhistoria skrivs, vad den tar fasta på samt vilka författare och verk som räknas upp i den. Den inkluderande attityden är tydlig i </w:t>
      </w:r>
      <w:r w:rsidR="00545A5C" w:rsidRPr="00FB4EFA">
        <w:rPr>
          <w:lang w:val="sv-SE"/>
        </w:rPr>
        <w:br/>
      </w:r>
      <w:r w:rsidRPr="00FB4EFA">
        <w:rPr>
          <w:lang w:val="sv-SE"/>
        </w:rPr>
        <w:t xml:space="preserve">Warburtons handbok. Författare och författarskap från perioden 1916–1925 presenteras fylligt och i flera kapitel. Många av de författarskap som fick sin början på 1800-talet eller kring sekelskiftet 1900 är fortfarande verksamma kring 1916. I tabell 7 sammanfattar jag de författare </w:t>
      </w:r>
      <w:r w:rsidR="00545A5C" w:rsidRPr="00FB4EFA">
        <w:rPr>
          <w:lang w:val="sv-SE"/>
        </w:rPr>
        <w:br/>
      </w:r>
      <w:r w:rsidRPr="00FB4EFA">
        <w:rPr>
          <w:lang w:val="sv-SE"/>
        </w:rPr>
        <w:t>Warburton inkluderar i sitt verk.</w:t>
      </w:r>
    </w:p>
    <w:tbl>
      <w:tblPr>
        <w:tblW w:w="0" w:type="auto"/>
        <w:tblBorders>
          <w:insideH w:val="single" w:sz="4" w:space="0" w:color="auto"/>
          <w:insideV w:val="single" w:sz="4" w:space="0" w:color="auto"/>
        </w:tblBorders>
        <w:tblLook w:val="04A0" w:firstRow="1" w:lastRow="0" w:firstColumn="1" w:lastColumn="0" w:noHBand="0" w:noVBand="1"/>
      </w:tblPr>
      <w:tblGrid>
        <w:gridCol w:w="1441"/>
        <w:gridCol w:w="4334"/>
        <w:gridCol w:w="1355"/>
      </w:tblGrid>
      <w:tr w:rsidR="00FB4EFA" w:rsidRPr="00FB4EFA" w14:paraId="1CA5DF5C" w14:textId="77777777" w:rsidTr="00645380">
        <w:tc>
          <w:tcPr>
            <w:tcW w:w="1441" w:type="dxa"/>
            <w:tcBorders>
              <w:top w:val="nil"/>
              <w:bottom w:val="single" w:sz="12" w:space="0" w:color="auto"/>
            </w:tcBorders>
            <w:vAlign w:val="center"/>
          </w:tcPr>
          <w:p w14:paraId="07410028" w14:textId="02488668" w:rsidR="00DD5337" w:rsidRPr="00FB4EFA" w:rsidRDefault="00DD5337" w:rsidP="002A3BC9">
            <w:pPr>
              <w:keepNext/>
              <w:keepLines/>
              <w:spacing w:line="240" w:lineRule="auto"/>
              <w:jc w:val="center"/>
              <w:rPr>
                <w:b/>
                <w:bCs/>
                <w:sz w:val="16"/>
                <w:szCs w:val="16"/>
                <w:lang w:val="sv-SE"/>
              </w:rPr>
            </w:pPr>
            <w:r w:rsidRPr="00FB4EFA">
              <w:rPr>
                <w:b/>
                <w:bCs/>
                <w:sz w:val="16"/>
                <w:szCs w:val="16"/>
                <w:lang w:val="sv-SE"/>
              </w:rPr>
              <w:lastRenderedPageBreak/>
              <w:t>Rubrik / kapitel</w:t>
            </w:r>
          </w:p>
        </w:tc>
        <w:tc>
          <w:tcPr>
            <w:tcW w:w="4334" w:type="dxa"/>
            <w:tcBorders>
              <w:top w:val="nil"/>
              <w:bottom w:val="single" w:sz="12" w:space="0" w:color="auto"/>
            </w:tcBorders>
            <w:vAlign w:val="center"/>
          </w:tcPr>
          <w:p w14:paraId="63AFBC58" w14:textId="77777777" w:rsidR="00DD5337" w:rsidRPr="00FB4EFA" w:rsidRDefault="00DD5337" w:rsidP="002A3BC9">
            <w:pPr>
              <w:keepNext/>
              <w:keepLines/>
              <w:spacing w:line="240" w:lineRule="auto"/>
              <w:jc w:val="center"/>
              <w:rPr>
                <w:b/>
                <w:bCs/>
                <w:sz w:val="16"/>
                <w:szCs w:val="16"/>
                <w:lang w:val="sv-SE"/>
              </w:rPr>
            </w:pPr>
            <w:r w:rsidRPr="00FB4EFA">
              <w:rPr>
                <w:b/>
                <w:bCs/>
                <w:sz w:val="16"/>
                <w:szCs w:val="16"/>
                <w:lang w:val="sv-SE"/>
              </w:rPr>
              <w:t xml:space="preserve">Författare som nämns i </w:t>
            </w:r>
            <w:r w:rsidRPr="00FB4EFA">
              <w:rPr>
                <w:b/>
                <w:bCs/>
                <w:i/>
                <w:sz w:val="16"/>
                <w:szCs w:val="16"/>
                <w:lang w:val="sv-SE"/>
              </w:rPr>
              <w:t>Åttio år finlandssvensk litteratur</w:t>
            </w:r>
            <w:r w:rsidRPr="00FB4EFA">
              <w:rPr>
                <w:b/>
                <w:bCs/>
                <w:sz w:val="16"/>
                <w:szCs w:val="16"/>
                <w:lang w:val="sv-SE"/>
              </w:rPr>
              <w:t xml:space="preserve"> (1984)</w:t>
            </w:r>
          </w:p>
        </w:tc>
        <w:tc>
          <w:tcPr>
            <w:tcW w:w="0" w:type="auto"/>
            <w:tcBorders>
              <w:top w:val="nil"/>
              <w:bottom w:val="single" w:sz="12" w:space="0" w:color="auto"/>
            </w:tcBorders>
            <w:vAlign w:val="center"/>
          </w:tcPr>
          <w:p w14:paraId="67D9768D" w14:textId="77777777" w:rsidR="00DD5337" w:rsidRPr="00FB4EFA" w:rsidRDefault="00DD5337" w:rsidP="002A3BC9">
            <w:pPr>
              <w:keepNext/>
              <w:keepLines/>
              <w:spacing w:line="240" w:lineRule="auto"/>
              <w:jc w:val="center"/>
              <w:rPr>
                <w:b/>
                <w:bCs/>
                <w:sz w:val="16"/>
                <w:szCs w:val="16"/>
                <w:lang w:val="sv-SE"/>
              </w:rPr>
            </w:pPr>
            <w:r w:rsidRPr="00FB4EFA">
              <w:rPr>
                <w:b/>
                <w:bCs/>
                <w:sz w:val="16"/>
                <w:szCs w:val="16"/>
                <w:lang w:val="sv-SE"/>
              </w:rPr>
              <w:t>Sammanlagt / kvinnliga författare</w:t>
            </w:r>
          </w:p>
        </w:tc>
      </w:tr>
      <w:tr w:rsidR="00FB4EFA" w:rsidRPr="00FB4EFA" w14:paraId="14D69FC2" w14:textId="77777777" w:rsidTr="00645380">
        <w:tc>
          <w:tcPr>
            <w:tcW w:w="1441" w:type="dxa"/>
            <w:tcBorders>
              <w:top w:val="single" w:sz="12" w:space="0" w:color="auto"/>
            </w:tcBorders>
          </w:tcPr>
          <w:p w14:paraId="227681A0" w14:textId="77777777" w:rsidR="00DD5337" w:rsidRPr="00FB4EFA" w:rsidRDefault="00DD5337" w:rsidP="002A3BC9">
            <w:pPr>
              <w:keepNext/>
              <w:keepLines/>
              <w:spacing w:line="240" w:lineRule="auto"/>
              <w:rPr>
                <w:sz w:val="16"/>
                <w:szCs w:val="16"/>
                <w:lang w:val="sv-SE"/>
              </w:rPr>
            </w:pPr>
            <w:r w:rsidRPr="00FB4EFA">
              <w:rPr>
                <w:sz w:val="16"/>
                <w:szCs w:val="16"/>
                <w:lang w:val="sv-SE"/>
              </w:rPr>
              <w:t>Sekelskifte</w:t>
            </w:r>
          </w:p>
        </w:tc>
        <w:tc>
          <w:tcPr>
            <w:tcW w:w="4334" w:type="dxa"/>
            <w:tcBorders>
              <w:top w:val="single" w:sz="12" w:space="0" w:color="auto"/>
            </w:tcBorders>
          </w:tcPr>
          <w:p w14:paraId="37578941" w14:textId="77777777" w:rsidR="00DD5337" w:rsidRPr="00FB4EFA" w:rsidRDefault="00DD5337" w:rsidP="002A3BC9">
            <w:pPr>
              <w:keepNext/>
              <w:keepLines/>
              <w:spacing w:line="240" w:lineRule="auto"/>
              <w:jc w:val="left"/>
              <w:rPr>
                <w:sz w:val="16"/>
                <w:szCs w:val="16"/>
                <w:lang w:val="sv-SE"/>
              </w:rPr>
            </w:pPr>
            <w:r w:rsidRPr="00FB4EFA">
              <w:rPr>
                <w:sz w:val="16"/>
                <w:szCs w:val="16"/>
                <w:lang w:val="en-US"/>
              </w:rPr>
              <w:t xml:space="preserve">Mikael Lybeck. Helena Westermarck, John William Nylander. </w:t>
            </w:r>
            <w:r w:rsidRPr="00FB4EFA">
              <w:rPr>
                <w:sz w:val="16"/>
                <w:szCs w:val="16"/>
                <w:lang w:val="sv-SE"/>
              </w:rPr>
              <w:t>Arvid Mörne. Jacob Tegengren, Nino Runeberg. Hjalmar Procopé, Bertel Gripenberg</w:t>
            </w:r>
          </w:p>
        </w:tc>
        <w:tc>
          <w:tcPr>
            <w:tcW w:w="0" w:type="auto"/>
            <w:tcBorders>
              <w:top w:val="single" w:sz="12" w:space="0" w:color="auto"/>
            </w:tcBorders>
          </w:tcPr>
          <w:p w14:paraId="343949F2" w14:textId="77777777" w:rsidR="00DD5337" w:rsidRPr="00FB4EFA" w:rsidRDefault="00DD5337" w:rsidP="002A3BC9">
            <w:pPr>
              <w:keepNext/>
              <w:keepLines/>
              <w:spacing w:line="240" w:lineRule="auto"/>
              <w:rPr>
                <w:sz w:val="16"/>
                <w:szCs w:val="16"/>
                <w:lang w:val="sv-SE"/>
              </w:rPr>
            </w:pPr>
            <w:r w:rsidRPr="00FB4EFA">
              <w:rPr>
                <w:sz w:val="16"/>
                <w:szCs w:val="16"/>
                <w:lang w:val="sv-SE"/>
              </w:rPr>
              <w:t>8 / 1</w:t>
            </w:r>
          </w:p>
        </w:tc>
      </w:tr>
      <w:tr w:rsidR="00FB4EFA" w:rsidRPr="00FB4EFA" w14:paraId="17C9E96D" w14:textId="77777777" w:rsidTr="00645380">
        <w:tc>
          <w:tcPr>
            <w:tcW w:w="1441" w:type="dxa"/>
          </w:tcPr>
          <w:p w14:paraId="08BB9CF6"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Kritik och litterär tidsanda</w:t>
            </w:r>
          </w:p>
        </w:tc>
        <w:tc>
          <w:tcPr>
            <w:tcW w:w="4334" w:type="dxa"/>
          </w:tcPr>
          <w:p w14:paraId="208147C9"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(R.F. von Willebrand, Werner Söderhjelm), Wentzel Hagelstam, (Gunnar Castrén), Rolf Lagerborg, Olaf Homén, (Sigurd Frosterus), Emil Hasselblatt</w:t>
            </w:r>
            <w:r w:rsidRPr="00FB4EFA">
              <w:rPr>
                <w:sz w:val="16"/>
                <w:szCs w:val="16"/>
                <w:vertAlign w:val="superscript"/>
                <w:lang w:val="sv-SE"/>
              </w:rPr>
              <w:footnoteReference w:id="207"/>
            </w:r>
          </w:p>
        </w:tc>
        <w:tc>
          <w:tcPr>
            <w:tcW w:w="0" w:type="auto"/>
          </w:tcPr>
          <w:p w14:paraId="1AABA943" w14:textId="77777777" w:rsidR="00DD5337" w:rsidRPr="00FB4EFA" w:rsidRDefault="00DD5337" w:rsidP="002A3BC9">
            <w:pPr>
              <w:keepNext/>
              <w:keepLines/>
              <w:spacing w:line="240" w:lineRule="auto"/>
              <w:rPr>
                <w:sz w:val="16"/>
                <w:szCs w:val="16"/>
                <w:lang w:val="sv-SE"/>
              </w:rPr>
            </w:pPr>
            <w:r w:rsidRPr="00FB4EFA">
              <w:rPr>
                <w:sz w:val="16"/>
                <w:szCs w:val="16"/>
                <w:lang w:val="sv-SE"/>
              </w:rPr>
              <w:t>4 / 0</w:t>
            </w:r>
          </w:p>
          <w:p w14:paraId="46892E81" w14:textId="77777777" w:rsidR="00DD5337" w:rsidRPr="00FB4EFA" w:rsidRDefault="00DD5337" w:rsidP="002A3BC9">
            <w:pPr>
              <w:keepNext/>
              <w:keepLines/>
              <w:spacing w:line="240" w:lineRule="auto"/>
              <w:rPr>
                <w:sz w:val="16"/>
                <w:szCs w:val="16"/>
                <w:lang w:val="sv-SE"/>
              </w:rPr>
            </w:pPr>
          </w:p>
        </w:tc>
      </w:tr>
      <w:tr w:rsidR="00FB4EFA" w:rsidRPr="00FB4EFA" w14:paraId="1EBB56C1" w14:textId="77777777" w:rsidTr="00645380">
        <w:tc>
          <w:tcPr>
            <w:tcW w:w="1441" w:type="dxa"/>
          </w:tcPr>
          <w:p w14:paraId="380CB6EA"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Regionalister kring kusten</w:t>
            </w:r>
          </w:p>
        </w:tc>
        <w:tc>
          <w:tcPr>
            <w:tcW w:w="4334" w:type="dxa"/>
          </w:tcPr>
          <w:p w14:paraId="5AD21150"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Anders Allardt, Oscar Behm, Josefina Bengts, Jonatan Reuter, Adéle Weman, Hanna Rönnberg, Petrus Nordman, Frans Österblom, Erik Karlsson-Ramsdahl, Aina</w:t>
            </w:r>
          </w:p>
        </w:tc>
        <w:tc>
          <w:tcPr>
            <w:tcW w:w="0" w:type="auto"/>
          </w:tcPr>
          <w:p w14:paraId="47EF0FE4" w14:textId="77777777" w:rsidR="00DD5337" w:rsidRPr="00FB4EFA" w:rsidRDefault="00DD5337" w:rsidP="002A3BC9">
            <w:pPr>
              <w:keepNext/>
              <w:keepLines/>
              <w:spacing w:line="240" w:lineRule="auto"/>
              <w:rPr>
                <w:sz w:val="16"/>
                <w:szCs w:val="16"/>
                <w:lang w:val="sv-SE"/>
              </w:rPr>
            </w:pPr>
            <w:r w:rsidRPr="00FB4EFA">
              <w:rPr>
                <w:sz w:val="16"/>
                <w:szCs w:val="16"/>
                <w:lang w:val="sv-SE"/>
              </w:rPr>
              <w:t>10 / 4</w:t>
            </w:r>
            <w:r w:rsidRPr="00FB4EFA">
              <w:rPr>
                <w:sz w:val="16"/>
                <w:szCs w:val="16"/>
                <w:vertAlign w:val="superscript"/>
                <w:lang w:val="sv-SE"/>
              </w:rPr>
              <w:footnoteReference w:id="208"/>
            </w:r>
          </w:p>
          <w:p w14:paraId="394171E6" w14:textId="77777777" w:rsidR="00DD5337" w:rsidRPr="00FB4EFA" w:rsidRDefault="00DD5337" w:rsidP="002A3BC9">
            <w:pPr>
              <w:keepNext/>
              <w:keepLines/>
              <w:spacing w:line="240" w:lineRule="auto"/>
              <w:rPr>
                <w:sz w:val="16"/>
                <w:szCs w:val="16"/>
                <w:lang w:val="sv-SE"/>
              </w:rPr>
            </w:pPr>
          </w:p>
        </w:tc>
      </w:tr>
      <w:tr w:rsidR="00FB4EFA" w:rsidRPr="00FB4EFA" w14:paraId="5F0BDC0D" w14:textId="77777777" w:rsidTr="00645380">
        <w:tc>
          <w:tcPr>
            <w:tcW w:w="1441" w:type="dxa"/>
          </w:tcPr>
          <w:p w14:paraId="13FBE78F" w14:textId="47E95D3F" w:rsidR="00DD5337" w:rsidRPr="00FB4EFA" w:rsidRDefault="00DD5337" w:rsidP="002A3BC9">
            <w:pPr>
              <w:keepNext/>
              <w:keepLines/>
              <w:spacing w:line="240" w:lineRule="auto"/>
              <w:rPr>
                <w:sz w:val="16"/>
                <w:szCs w:val="16"/>
                <w:lang w:val="sv-SE"/>
              </w:rPr>
            </w:pPr>
            <w:r w:rsidRPr="00FB4EFA">
              <w:rPr>
                <w:sz w:val="16"/>
                <w:szCs w:val="16"/>
                <w:lang w:val="sv-SE"/>
              </w:rPr>
              <w:t>Österbottniska författare</w:t>
            </w:r>
          </w:p>
        </w:tc>
        <w:tc>
          <w:tcPr>
            <w:tcW w:w="4334" w:type="dxa"/>
          </w:tcPr>
          <w:p w14:paraId="41EF0A54"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Gånge Rolf, Paul Werner Lybeck, Alexander Slotte, Ernst Viktor Knape, Hugo Ekhammar, (Viktor Sund)</w:t>
            </w:r>
          </w:p>
        </w:tc>
        <w:tc>
          <w:tcPr>
            <w:tcW w:w="0" w:type="auto"/>
          </w:tcPr>
          <w:p w14:paraId="0A6C06E5" w14:textId="77777777" w:rsidR="00DD5337" w:rsidRPr="00FB4EFA" w:rsidRDefault="00DD5337" w:rsidP="002A3BC9">
            <w:pPr>
              <w:keepNext/>
              <w:keepLines/>
              <w:spacing w:line="240" w:lineRule="auto"/>
              <w:rPr>
                <w:sz w:val="16"/>
                <w:szCs w:val="16"/>
                <w:lang w:val="sv-SE"/>
              </w:rPr>
            </w:pPr>
            <w:r w:rsidRPr="00FB4EFA">
              <w:rPr>
                <w:sz w:val="16"/>
                <w:szCs w:val="16"/>
                <w:lang w:val="sv-SE"/>
              </w:rPr>
              <w:t>6</w:t>
            </w:r>
            <w:r w:rsidRPr="00FB4EFA">
              <w:rPr>
                <w:b/>
                <w:sz w:val="16"/>
                <w:szCs w:val="16"/>
                <w:lang w:val="sv-SE"/>
              </w:rPr>
              <w:t xml:space="preserve"> / </w:t>
            </w:r>
            <w:r w:rsidRPr="00FB4EFA">
              <w:rPr>
                <w:sz w:val="16"/>
                <w:szCs w:val="16"/>
                <w:lang w:val="sv-SE"/>
              </w:rPr>
              <w:t>0</w:t>
            </w:r>
          </w:p>
          <w:p w14:paraId="6D513284" w14:textId="77777777" w:rsidR="00DD5337" w:rsidRPr="00FB4EFA" w:rsidRDefault="00DD5337" w:rsidP="002A3BC9">
            <w:pPr>
              <w:keepNext/>
              <w:keepLines/>
              <w:spacing w:line="240" w:lineRule="auto"/>
              <w:rPr>
                <w:sz w:val="16"/>
                <w:szCs w:val="16"/>
                <w:lang w:val="sv-SE"/>
              </w:rPr>
            </w:pPr>
            <w:r w:rsidRPr="00FB4EFA">
              <w:rPr>
                <w:sz w:val="16"/>
                <w:szCs w:val="16"/>
                <w:lang w:val="sv-SE"/>
              </w:rPr>
              <w:t>(i fotnot)</w:t>
            </w:r>
          </w:p>
        </w:tc>
      </w:tr>
      <w:tr w:rsidR="00FB4EFA" w:rsidRPr="00FB4EFA" w14:paraId="72996AA2" w14:textId="77777777" w:rsidTr="00645380">
        <w:tc>
          <w:tcPr>
            <w:tcW w:w="1441" w:type="dxa"/>
          </w:tcPr>
          <w:p w14:paraId="6505C05A"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Skeptiker och besvikna</w:t>
            </w:r>
          </w:p>
        </w:tc>
        <w:tc>
          <w:tcPr>
            <w:tcW w:w="4334" w:type="dxa"/>
          </w:tcPr>
          <w:p w14:paraId="28B13089"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Gustav Alm, Ture Janson. Henning Söderhjelm, Henrik Hildén, Torsten Helsingius, Gunnar Alléen, Gabriel Sanden, Kersti Bergroth. Runar Schildt. Torsten Hornborg, Erik Heinrichs, Guido Simberg, Hjalmar Dahl, Harald Hornborg, Bertel Kihlman. Ragnar Ekelund. (John Bergh, Axel von Haartman, Svante Dahlström, Alexis af Enehjelm)</w:t>
            </w:r>
          </w:p>
        </w:tc>
        <w:tc>
          <w:tcPr>
            <w:tcW w:w="0" w:type="auto"/>
          </w:tcPr>
          <w:p w14:paraId="309FCA91" w14:textId="77777777" w:rsidR="00DD5337" w:rsidRPr="00FB4EFA" w:rsidRDefault="00DD5337" w:rsidP="002A3BC9">
            <w:pPr>
              <w:keepNext/>
              <w:keepLines/>
              <w:spacing w:line="240" w:lineRule="auto"/>
              <w:rPr>
                <w:sz w:val="16"/>
                <w:szCs w:val="16"/>
                <w:lang w:val="sv-SE"/>
              </w:rPr>
            </w:pPr>
            <w:r w:rsidRPr="00FB4EFA">
              <w:rPr>
                <w:sz w:val="16"/>
                <w:szCs w:val="16"/>
                <w:lang w:val="sv-SE"/>
              </w:rPr>
              <w:t>20 / 1</w:t>
            </w:r>
          </w:p>
          <w:p w14:paraId="7D2AEB7F" w14:textId="77777777" w:rsidR="00DD5337" w:rsidRPr="00FB4EFA" w:rsidRDefault="00DD5337" w:rsidP="002A3BC9">
            <w:pPr>
              <w:keepNext/>
              <w:keepLines/>
              <w:spacing w:line="240" w:lineRule="auto"/>
              <w:rPr>
                <w:sz w:val="16"/>
                <w:szCs w:val="16"/>
                <w:lang w:val="sv-SE"/>
              </w:rPr>
            </w:pPr>
            <w:r w:rsidRPr="00FB4EFA">
              <w:rPr>
                <w:sz w:val="16"/>
                <w:szCs w:val="16"/>
                <w:lang w:val="sv-SE"/>
              </w:rPr>
              <w:t>(i fotnot)</w:t>
            </w:r>
          </w:p>
        </w:tc>
      </w:tr>
      <w:tr w:rsidR="00FB4EFA" w:rsidRPr="00FB4EFA" w14:paraId="7059A44C" w14:textId="77777777" w:rsidTr="00645380">
        <w:tc>
          <w:tcPr>
            <w:tcW w:w="1441" w:type="dxa"/>
          </w:tcPr>
          <w:p w14:paraId="029CC0AA" w14:textId="77777777" w:rsidR="00DD5337" w:rsidRPr="00FB4EFA" w:rsidRDefault="00DD5337" w:rsidP="002A3BC9">
            <w:pPr>
              <w:keepNext/>
              <w:keepLines/>
              <w:spacing w:line="240" w:lineRule="auto"/>
              <w:rPr>
                <w:sz w:val="16"/>
                <w:szCs w:val="16"/>
                <w:lang w:val="sv-SE"/>
              </w:rPr>
            </w:pPr>
            <w:r w:rsidRPr="00FB4EFA">
              <w:rPr>
                <w:sz w:val="16"/>
                <w:szCs w:val="16"/>
                <w:lang w:val="sv-SE"/>
              </w:rPr>
              <w:t>Etiker och engagerade</w:t>
            </w:r>
          </w:p>
        </w:tc>
        <w:tc>
          <w:tcPr>
            <w:tcW w:w="4334" w:type="dxa"/>
          </w:tcPr>
          <w:p w14:paraId="5297FE51"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Helene Reuter, Anna Åkesson, Karin Smirnoff, Alice Granfelt, Lullu Woldstedt-Buch, (Olly Donner), Naima Jakobson, Greta Langenskjöld, Sigrid Backman. Joel Rundt. Jarl Hemmer, Alfred Fahler, Kurt Ekman, Allan Wallenius. Erik Grotenfelt. Emil Zilliacus, Yrjö Hirn, Gustaf Mattsson, Rafael Lindqvist</w:t>
            </w:r>
          </w:p>
        </w:tc>
        <w:tc>
          <w:tcPr>
            <w:tcW w:w="0" w:type="auto"/>
          </w:tcPr>
          <w:p w14:paraId="2C044AFC" w14:textId="77777777" w:rsidR="00DD5337" w:rsidRPr="00FB4EFA" w:rsidRDefault="00DD5337" w:rsidP="002A3BC9">
            <w:pPr>
              <w:keepNext/>
              <w:keepLines/>
              <w:spacing w:line="240" w:lineRule="auto"/>
              <w:rPr>
                <w:sz w:val="16"/>
                <w:szCs w:val="16"/>
                <w:lang w:val="sv-SE"/>
              </w:rPr>
            </w:pPr>
            <w:r w:rsidRPr="00FB4EFA">
              <w:rPr>
                <w:sz w:val="16"/>
                <w:szCs w:val="16"/>
                <w:lang w:val="sv-SE"/>
              </w:rPr>
              <w:t>19 / 9</w:t>
            </w:r>
          </w:p>
          <w:p w14:paraId="3BBD830F" w14:textId="77777777" w:rsidR="00DD5337" w:rsidRPr="00FB4EFA" w:rsidRDefault="00DD5337" w:rsidP="002A3BC9">
            <w:pPr>
              <w:keepNext/>
              <w:keepLines/>
              <w:spacing w:line="240" w:lineRule="auto"/>
              <w:rPr>
                <w:sz w:val="16"/>
                <w:szCs w:val="16"/>
                <w:lang w:val="sv-SE"/>
              </w:rPr>
            </w:pPr>
            <w:r w:rsidRPr="00FB4EFA">
              <w:rPr>
                <w:sz w:val="16"/>
                <w:szCs w:val="16"/>
                <w:lang w:val="sv-SE"/>
              </w:rPr>
              <w:t>(i fotnot)</w:t>
            </w:r>
          </w:p>
        </w:tc>
      </w:tr>
      <w:tr w:rsidR="00FB4EFA" w:rsidRPr="00FB4EFA" w14:paraId="45C139DB" w14:textId="77777777" w:rsidTr="00645380">
        <w:tc>
          <w:tcPr>
            <w:tcW w:w="1441" w:type="dxa"/>
          </w:tcPr>
          <w:p w14:paraId="3A00ED3F" w14:textId="77777777" w:rsidR="00DD5337" w:rsidRPr="00FB4EFA" w:rsidRDefault="00DD5337" w:rsidP="002A3BC9">
            <w:pPr>
              <w:keepNext/>
              <w:keepLines/>
              <w:spacing w:line="240" w:lineRule="auto"/>
              <w:rPr>
                <w:sz w:val="16"/>
                <w:szCs w:val="16"/>
                <w:lang w:val="sv-SE"/>
              </w:rPr>
            </w:pPr>
            <w:r w:rsidRPr="00FB4EFA">
              <w:rPr>
                <w:sz w:val="16"/>
                <w:szCs w:val="16"/>
                <w:lang w:val="sv-SE"/>
              </w:rPr>
              <w:t>Modernismens genombrott</w:t>
            </w:r>
          </w:p>
        </w:tc>
        <w:tc>
          <w:tcPr>
            <w:tcW w:w="4334" w:type="dxa"/>
          </w:tcPr>
          <w:p w14:paraId="509A6A9E" w14:textId="77777777" w:rsidR="00DD5337" w:rsidRPr="00FB4EFA" w:rsidRDefault="00DD5337" w:rsidP="002A3BC9">
            <w:pPr>
              <w:keepNext/>
              <w:keepLines/>
              <w:spacing w:line="240" w:lineRule="auto"/>
              <w:rPr>
                <w:sz w:val="16"/>
                <w:szCs w:val="16"/>
                <w:lang w:val="sv-SE"/>
              </w:rPr>
            </w:pPr>
            <w:r w:rsidRPr="00FB4EFA">
              <w:rPr>
                <w:sz w:val="16"/>
                <w:szCs w:val="16"/>
                <w:lang w:val="sv-SE"/>
              </w:rPr>
              <w:t>Edith Södergran. Hagar Olsson. Elmer Diktonius. Gunnar Björling. Rabbe Enckell. Henry Parland, Kerstin Söderholm, Barbro Mörne, Erik Therman, Nicken Malmström, L.A. Salava. R.R. Eklund.</w:t>
            </w:r>
          </w:p>
        </w:tc>
        <w:tc>
          <w:tcPr>
            <w:tcW w:w="0" w:type="auto"/>
          </w:tcPr>
          <w:p w14:paraId="4EF91C58" w14:textId="77777777" w:rsidR="00DD5337" w:rsidRPr="00FB4EFA" w:rsidRDefault="00DD5337" w:rsidP="002A3BC9">
            <w:pPr>
              <w:keepNext/>
              <w:keepLines/>
              <w:spacing w:line="240" w:lineRule="auto"/>
              <w:rPr>
                <w:sz w:val="16"/>
                <w:szCs w:val="16"/>
                <w:lang w:val="sv-SE"/>
              </w:rPr>
            </w:pPr>
            <w:r w:rsidRPr="00FB4EFA">
              <w:rPr>
                <w:sz w:val="16"/>
                <w:szCs w:val="16"/>
                <w:lang w:val="sv-SE"/>
              </w:rPr>
              <w:t>12 / 4</w:t>
            </w:r>
          </w:p>
        </w:tc>
      </w:tr>
      <w:tr w:rsidR="00FB4EFA" w:rsidRPr="00FB4EFA" w14:paraId="3F04F39F" w14:textId="77777777" w:rsidTr="00645380">
        <w:tc>
          <w:tcPr>
            <w:tcW w:w="1441" w:type="dxa"/>
          </w:tcPr>
          <w:p w14:paraId="20D550E4" w14:textId="15F56793" w:rsidR="00DD5337" w:rsidRPr="00FB4EFA" w:rsidRDefault="00645380" w:rsidP="002A3BC9">
            <w:pPr>
              <w:keepNext/>
              <w:keepLines/>
              <w:spacing w:line="240" w:lineRule="auto"/>
              <w:rPr>
                <w:sz w:val="16"/>
                <w:szCs w:val="16"/>
                <w:lang w:val="sv-SE"/>
              </w:rPr>
            </w:pPr>
            <w:r w:rsidRPr="00FB4EFA">
              <w:br w:type="page"/>
            </w:r>
            <w:r w:rsidR="00DD5337" w:rsidRPr="00FB4EFA">
              <w:rPr>
                <w:sz w:val="16"/>
                <w:szCs w:val="16"/>
                <w:lang w:val="sv-SE"/>
              </w:rPr>
              <w:t>Bygdeskildringen breddas</w:t>
            </w:r>
            <w:r w:rsidR="00DD5337" w:rsidRPr="00FB4EFA">
              <w:rPr>
                <w:sz w:val="16"/>
                <w:szCs w:val="16"/>
                <w:vertAlign w:val="superscript"/>
                <w:lang w:val="sv-SE"/>
              </w:rPr>
              <w:footnoteReference w:id="209"/>
            </w:r>
          </w:p>
        </w:tc>
        <w:tc>
          <w:tcPr>
            <w:tcW w:w="4334" w:type="dxa"/>
          </w:tcPr>
          <w:p w14:paraId="328CF580" w14:textId="77777777" w:rsidR="00DD5337" w:rsidRPr="00FB4EFA" w:rsidRDefault="00DD5337" w:rsidP="002A3BC9">
            <w:pPr>
              <w:keepNext/>
              <w:keepLines/>
              <w:spacing w:line="240" w:lineRule="auto"/>
              <w:rPr>
                <w:sz w:val="16"/>
                <w:szCs w:val="16"/>
                <w:lang w:val="sv-SE"/>
              </w:rPr>
            </w:pPr>
            <w:r w:rsidRPr="00FB4EFA">
              <w:rPr>
                <w:sz w:val="16"/>
                <w:szCs w:val="16"/>
                <w:lang w:val="sv-SE"/>
              </w:rPr>
              <w:t>Helle Hellberg</w:t>
            </w:r>
          </w:p>
        </w:tc>
        <w:tc>
          <w:tcPr>
            <w:tcW w:w="0" w:type="auto"/>
          </w:tcPr>
          <w:p w14:paraId="64B2EB97" w14:textId="77777777" w:rsidR="00DD5337" w:rsidRPr="00FB4EFA" w:rsidRDefault="00DD5337" w:rsidP="002A3BC9">
            <w:pPr>
              <w:keepNext/>
              <w:keepLines/>
              <w:spacing w:line="240" w:lineRule="auto"/>
              <w:rPr>
                <w:sz w:val="16"/>
                <w:szCs w:val="16"/>
                <w:lang w:val="sv-SE"/>
              </w:rPr>
            </w:pPr>
            <w:r w:rsidRPr="00FB4EFA">
              <w:rPr>
                <w:sz w:val="16"/>
                <w:szCs w:val="16"/>
                <w:lang w:val="sv-SE"/>
              </w:rPr>
              <w:t>1 / 1</w:t>
            </w:r>
          </w:p>
        </w:tc>
      </w:tr>
      <w:tr w:rsidR="00FB4EFA" w:rsidRPr="00FB4EFA" w14:paraId="3B83BCB1" w14:textId="77777777" w:rsidTr="00645380">
        <w:trPr>
          <w:trHeight w:val="351"/>
        </w:trPr>
        <w:tc>
          <w:tcPr>
            <w:tcW w:w="1441" w:type="dxa"/>
          </w:tcPr>
          <w:p w14:paraId="3C02E697" w14:textId="77777777" w:rsidR="00DD5337" w:rsidRPr="00FB4EFA" w:rsidRDefault="00DD5337" w:rsidP="002A3BC9">
            <w:pPr>
              <w:keepNext/>
              <w:keepLines/>
              <w:spacing w:line="240" w:lineRule="auto"/>
              <w:rPr>
                <w:sz w:val="16"/>
                <w:szCs w:val="16"/>
                <w:lang w:val="sv-SE"/>
              </w:rPr>
            </w:pPr>
            <w:r w:rsidRPr="00FB4EFA">
              <w:rPr>
                <w:sz w:val="16"/>
                <w:szCs w:val="16"/>
                <w:lang w:val="sv-SE"/>
              </w:rPr>
              <w:t>Essäister, litteratörer, kritiker</w:t>
            </w:r>
          </w:p>
        </w:tc>
        <w:tc>
          <w:tcPr>
            <w:tcW w:w="4334" w:type="dxa"/>
          </w:tcPr>
          <w:p w14:paraId="565501CD" w14:textId="77777777" w:rsidR="00DD5337" w:rsidRPr="00FB4EFA" w:rsidRDefault="00DD5337" w:rsidP="002A3BC9">
            <w:pPr>
              <w:keepNext/>
              <w:keepLines/>
              <w:spacing w:line="240" w:lineRule="auto"/>
              <w:rPr>
                <w:sz w:val="16"/>
                <w:szCs w:val="16"/>
                <w:lang w:val="sv-SE"/>
              </w:rPr>
            </w:pPr>
            <w:r w:rsidRPr="00FB4EFA">
              <w:rPr>
                <w:sz w:val="16"/>
                <w:szCs w:val="16"/>
                <w:lang w:val="sv-SE"/>
              </w:rPr>
              <w:t>Erik Ekelund, Örnulf Tigerstedt</w:t>
            </w:r>
          </w:p>
        </w:tc>
        <w:tc>
          <w:tcPr>
            <w:tcW w:w="0" w:type="auto"/>
          </w:tcPr>
          <w:p w14:paraId="1632F23D" w14:textId="77777777" w:rsidR="00DD5337" w:rsidRPr="00FB4EFA" w:rsidRDefault="00DD5337" w:rsidP="002A3BC9">
            <w:pPr>
              <w:keepNext/>
              <w:keepLines/>
              <w:spacing w:line="240" w:lineRule="auto"/>
              <w:rPr>
                <w:sz w:val="16"/>
                <w:szCs w:val="16"/>
                <w:lang w:val="sv-SE"/>
              </w:rPr>
            </w:pPr>
            <w:r w:rsidRPr="00FB4EFA">
              <w:rPr>
                <w:sz w:val="16"/>
                <w:szCs w:val="16"/>
                <w:lang w:val="sv-SE"/>
              </w:rPr>
              <w:t>2 / 0</w:t>
            </w:r>
          </w:p>
        </w:tc>
      </w:tr>
      <w:tr w:rsidR="00FB4EFA" w:rsidRPr="00FB4EFA" w14:paraId="5236736B" w14:textId="77777777" w:rsidTr="00645380">
        <w:tc>
          <w:tcPr>
            <w:tcW w:w="1441" w:type="dxa"/>
          </w:tcPr>
          <w:p w14:paraId="47EAA46C" w14:textId="77777777" w:rsidR="00DD5337" w:rsidRPr="00FB4EFA" w:rsidRDefault="00DD5337" w:rsidP="002A3BC9">
            <w:pPr>
              <w:keepNext/>
              <w:keepLines/>
              <w:spacing w:line="240" w:lineRule="auto"/>
              <w:jc w:val="left"/>
              <w:rPr>
                <w:sz w:val="16"/>
                <w:szCs w:val="16"/>
                <w:lang w:val="sv-SE"/>
              </w:rPr>
            </w:pPr>
            <w:r w:rsidRPr="00FB4EFA">
              <w:rPr>
                <w:sz w:val="16"/>
                <w:szCs w:val="16"/>
                <w:lang w:val="sv-SE"/>
              </w:rPr>
              <w:t>Historien som förklädnad, romanen som underhållning</w:t>
            </w:r>
          </w:p>
        </w:tc>
        <w:tc>
          <w:tcPr>
            <w:tcW w:w="4334" w:type="dxa"/>
          </w:tcPr>
          <w:p w14:paraId="0FB2A013" w14:textId="77777777" w:rsidR="00DD5337" w:rsidRPr="00FB4EFA" w:rsidRDefault="00DD5337" w:rsidP="002A3BC9">
            <w:pPr>
              <w:keepNext/>
              <w:keepLines/>
              <w:spacing w:line="240" w:lineRule="auto"/>
              <w:rPr>
                <w:sz w:val="16"/>
                <w:szCs w:val="16"/>
                <w:lang w:val="en-US"/>
              </w:rPr>
            </w:pPr>
            <w:r w:rsidRPr="00FB4EFA">
              <w:rPr>
                <w:sz w:val="16"/>
                <w:szCs w:val="16"/>
                <w:lang w:val="en-US"/>
              </w:rPr>
              <w:t>Eirik Hornborg, Margit von Willebrand-Hollmerus</w:t>
            </w:r>
          </w:p>
        </w:tc>
        <w:tc>
          <w:tcPr>
            <w:tcW w:w="0" w:type="auto"/>
          </w:tcPr>
          <w:p w14:paraId="52B3AE66" w14:textId="77777777" w:rsidR="00DD5337" w:rsidRPr="00FB4EFA" w:rsidRDefault="00DD5337" w:rsidP="002A3BC9">
            <w:pPr>
              <w:keepNext/>
              <w:keepLines/>
              <w:spacing w:line="240" w:lineRule="auto"/>
              <w:rPr>
                <w:sz w:val="16"/>
                <w:szCs w:val="16"/>
                <w:lang w:val="sv-SE"/>
              </w:rPr>
            </w:pPr>
            <w:r w:rsidRPr="00FB4EFA">
              <w:rPr>
                <w:sz w:val="16"/>
                <w:szCs w:val="16"/>
                <w:lang w:val="sv-SE"/>
              </w:rPr>
              <w:t>2 / 1</w:t>
            </w:r>
          </w:p>
        </w:tc>
      </w:tr>
      <w:tr w:rsidR="00FB4EFA" w:rsidRPr="00FB4EFA" w14:paraId="1102F1F7" w14:textId="77777777" w:rsidTr="00645380">
        <w:tc>
          <w:tcPr>
            <w:tcW w:w="1441" w:type="dxa"/>
          </w:tcPr>
          <w:p w14:paraId="0DF6AD16" w14:textId="77777777" w:rsidR="00DD5337" w:rsidRPr="00FB4EFA" w:rsidRDefault="00DD5337" w:rsidP="002A3BC9">
            <w:pPr>
              <w:spacing w:line="240" w:lineRule="auto"/>
              <w:rPr>
                <w:sz w:val="16"/>
                <w:szCs w:val="16"/>
                <w:lang w:val="sv-SE"/>
              </w:rPr>
            </w:pPr>
            <w:r w:rsidRPr="00FB4EFA">
              <w:rPr>
                <w:sz w:val="16"/>
                <w:szCs w:val="16"/>
                <w:lang w:val="sv-SE"/>
              </w:rPr>
              <w:t>Totalt</w:t>
            </w:r>
          </w:p>
        </w:tc>
        <w:tc>
          <w:tcPr>
            <w:tcW w:w="4334" w:type="dxa"/>
          </w:tcPr>
          <w:p w14:paraId="4B5AD6F8" w14:textId="77777777" w:rsidR="00DD5337" w:rsidRPr="00FB4EFA" w:rsidRDefault="00DD5337" w:rsidP="002A3BC9">
            <w:pPr>
              <w:spacing w:line="240" w:lineRule="auto"/>
              <w:rPr>
                <w:sz w:val="16"/>
                <w:szCs w:val="16"/>
                <w:lang w:val="sv-SE"/>
              </w:rPr>
            </w:pPr>
          </w:p>
        </w:tc>
        <w:tc>
          <w:tcPr>
            <w:tcW w:w="0" w:type="auto"/>
          </w:tcPr>
          <w:p w14:paraId="7CBE0B65" w14:textId="77777777" w:rsidR="008F73FD" w:rsidRPr="00FB4EFA" w:rsidRDefault="00DD5337" w:rsidP="002A3BC9">
            <w:pPr>
              <w:spacing w:line="240" w:lineRule="auto"/>
              <w:rPr>
                <w:b/>
                <w:sz w:val="16"/>
                <w:szCs w:val="16"/>
                <w:lang w:val="sv-SE"/>
              </w:rPr>
            </w:pPr>
            <w:r w:rsidRPr="00FB4EFA">
              <w:rPr>
                <w:b/>
                <w:sz w:val="16"/>
                <w:szCs w:val="16"/>
                <w:lang w:val="sv-SE"/>
              </w:rPr>
              <w:t>84 / 21</w:t>
            </w:r>
          </w:p>
          <w:p w14:paraId="4E00D547" w14:textId="213B587A" w:rsidR="00DD5337" w:rsidRPr="00FB4EFA" w:rsidRDefault="00DD5337" w:rsidP="002A3BC9">
            <w:pPr>
              <w:spacing w:line="240" w:lineRule="auto"/>
              <w:rPr>
                <w:sz w:val="16"/>
                <w:szCs w:val="16"/>
                <w:lang w:val="sv-SE"/>
              </w:rPr>
            </w:pPr>
            <w:r w:rsidRPr="00FB4EFA">
              <w:rPr>
                <w:b/>
                <w:sz w:val="16"/>
                <w:szCs w:val="16"/>
                <w:lang w:val="sv-SE"/>
              </w:rPr>
              <w:t>(25 %)</w:t>
            </w:r>
          </w:p>
        </w:tc>
      </w:tr>
    </w:tbl>
    <w:p w14:paraId="2CDB5C93" w14:textId="6A2A9B8C" w:rsidR="00935E94" w:rsidRPr="00FB4EFA" w:rsidRDefault="00935E94" w:rsidP="00AF0CAD">
      <w:pPr>
        <w:spacing w:before="120" w:after="240" w:line="240" w:lineRule="auto"/>
        <w:jc w:val="center"/>
        <w:rPr>
          <w:lang w:val="sv-SE"/>
        </w:rPr>
      </w:pPr>
      <w:r w:rsidRPr="00FB4EFA">
        <w:rPr>
          <w:b/>
          <w:bCs/>
          <w:sz w:val="18"/>
          <w:szCs w:val="18"/>
          <w:lang w:val="hu-HU"/>
        </w:rPr>
        <w:t>Tabell 7</w:t>
      </w:r>
      <w:r w:rsidRPr="00FB4EFA">
        <w:rPr>
          <w:sz w:val="18"/>
          <w:szCs w:val="18"/>
          <w:lang w:val="hu-HU"/>
        </w:rPr>
        <w:t xml:space="preserve">: </w:t>
      </w:r>
      <w:r w:rsidRPr="00FB4EFA">
        <w:rPr>
          <w:sz w:val="18"/>
          <w:szCs w:val="18"/>
          <w:lang w:val="sv-SE"/>
        </w:rPr>
        <w:t xml:space="preserve">Författare som förekommer i </w:t>
      </w:r>
      <w:r w:rsidRPr="00FB4EFA">
        <w:rPr>
          <w:i/>
          <w:sz w:val="18"/>
          <w:szCs w:val="18"/>
          <w:lang w:val="sv-SE"/>
        </w:rPr>
        <w:t>Åttio år finlandssvensk litteratur</w:t>
      </w:r>
      <w:r w:rsidRPr="00FB4EFA">
        <w:rPr>
          <w:sz w:val="18"/>
          <w:szCs w:val="18"/>
          <w:lang w:val="sv-SE"/>
        </w:rPr>
        <w:t xml:space="preserve"> under perioden 1900–1930</w:t>
      </w:r>
    </w:p>
    <w:p w14:paraId="478095E1" w14:textId="77777777" w:rsidR="008F73FD" w:rsidRPr="00FB4EFA" w:rsidRDefault="00DD5337" w:rsidP="002A3BC9">
      <w:pPr>
        <w:rPr>
          <w:lang w:val="sv-SE"/>
        </w:rPr>
      </w:pPr>
      <w:r w:rsidRPr="00FB4EFA">
        <w:rPr>
          <w:lang w:val="sv-SE"/>
        </w:rPr>
        <w:t xml:space="preserve">Det kan konstateras att Warburton faktiskt är mycket inkluderande. De kanoniserade författarskapen får mest utrymme, men han tar även upp en hel del sådant som en litteraturhistoria som befattar sig med en större </w:t>
      </w:r>
      <w:r w:rsidRPr="00FB4EFA">
        <w:rPr>
          <w:lang w:val="sv-SE"/>
        </w:rPr>
        <w:lastRenderedPageBreak/>
        <w:t>litteratur ofta förbiser, till exempel mindre uppmärksammade verk, ”små” författarskap, kvinnliga författare och folklig litteratur samt verk som räknats som populärlitteratur.</w:t>
      </w:r>
    </w:p>
    <w:p w14:paraId="5398F914" w14:textId="23FD4D06" w:rsidR="00DD5337" w:rsidRPr="00FB4EFA" w:rsidRDefault="00DD5337" w:rsidP="002A3BC9">
      <w:pPr>
        <w:ind w:firstLine="720"/>
        <w:rPr>
          <w:lang w:val="sv-SE"/>
        </w:rPr>
      </w:pPr>
      <w:r w:rsidRPr="00FB4EFA">
        <w:rPr>
          <w:lang w:val="sv-SE"/>
        </w:rPr>
        <w:t xml:space="preserve">Trots den inkluderande inställningen har Warburton sina (halv)blinda punkter som framträder genom de kvalitativa omdömen han kommer med. Det är framför allt två författare han tycker speciellt illa om, den rikssvenska Runa, pseudonym för Elisabeth Beskow samt Aina, det vill säga Edith Forsman från Kimito. Speciellt skadlig är Runa ”som under sin livstid hann med ett fyrtiotal kristligt moraliserande, ibland förljugna romaner utan ansatser eller hänsyn till konstnärliga krav” (Warburton 1984: 93). Enligt Warburton hade verken ett farligt inflytande på andra författare. Den åländska författaren Erik Karlsson-Ramsdahl beskrivs av Warburton som ”det första offret i våra bygder, men ingalunda det sista” för intryck från Runa och Aina. (Warburton 1984: 93) En invändning mot en kvantitativ metod är således att ett omnämnande av ett författarskap inte behöver betyda så mycket. Medan Aina beskrivs på 7 rader, får Arvid Mörne 13,5 sidor och Edith Södergran cirka 10 sidor. Likaså viktigt är </w:t>
      </w:r>
      <w:r w:rsidRPr="00FB4EFA">
        <w:rPr>
          <w:i/>
          <w:lang w:val="sv-SE"/>
        </w:rPr>
        <w:t>hur</w:t>
      </w:r>
      <w:r w:rsidRPr="00FB4EFA">
        <w:rPr>
          <w:lang w:val="sv-SE"/>
        </w:rPr>
        <w:t xml:space="preserve"> en författare beskrivs.</w:t>
      </w:r>
    </w:p>
    <w:p w14:paraId="7C04F0FF" w14:textId="525F9784" w:rsidR="008F73FD" w:rsidRPr="00FB4EFA" w:rsidRDefault="00DD5337" w:rsidP="00AF0CAD">
      <w:pPr>
        <w:ind w:firstLine="720"/>
        <w:rPr>
          <w:lang w:val="sv-SE"/>
        </w:rPr>
      </w:pPr>
      <w:r w:rsidRPr="00FB4EFA">
        <w:rPr>
          <w:lang w:val="sv-SE"/>
        </w:rPr>
        <w:t xml:space="preserve">Warburton räknar upp sammanlagt 84 namn i de kapitel som beskriver perioden från början av 1900-talet fram till ca 1930. Andelen kvinnliga författare är 25 %. Genrefördelningen är svårare att uppskatta, eftersom en del lyriker också publicerade prosa och vice versa. </w:t>
      </w:r>
      <w:r w:rsidR="00545A5C" w:rsidRPr="00FB4EFA">
        <w:rPr>
          <w:lang w:val="sv-SE"/>
        </w:rPr>
        <w:br/>
      </w:r>
      <w:r w:rsidRPr="00FB4EFA">
        <w:rPr>
          <w:lang w:val="sv-SE"/>
        </w:rPr>
        <w:t xml:space="preserve">Warburton arbetar dock med en tämligen mångsidig genrerepertoar. Han tar inte endast upp prosa, lyrik och dramatik utan också essäer, litteraturkritik och litteraturhistoria samt kåserier. Barn- och ungdomslitteraturen kommer han däremot endast indirekt in på; han nämner i förbifarten till exempel att Eirik Hornborg också skrev några ungdomsromaner (Warburton 1984: 295–296). Bland de författare som enligt Ölander publicerat en hel del men som ändå inte förekommer i </w:t>
      </w:r>
      <w:r w:rsidRPr="00FB4EFA">
        <w:rPr>
          <w:i/>
          <w:lang w:val="sv-SE"/>
        </w:rPr>
        <w:t>Åttio år finlandssvensk litteratur</w:t>
      </w:r>
      <w:r w:rsidRPr="00FB4EFA">
        <w:rPr>
          <w:lang w:val="sv-SE"/>
        </w:rPr>
        <w:t xml:space="preserve"> finns den redan nämnda Volmar Lindman och Maria Nyström.</w:t>
      </w:r>
      <w:r w:rsidRPr="00FB4EFA">
        <w:rPr>
          <w:vertAlign w:val="superscript"/>
          <w:lang w:val="sv-SE"/>
        </w:rPr>
        <w:footnoteReference w:id="210"/>
      </w:r>
      <w:r w:rsidRPr="00FB4EFA">
        <w:rPr>
          <w:lang w:val="sv-SE"/>
        </w:rPr>
        <w:t xml:space="preserve"> Det som genremässigt faller utanför Warburtons radar i jämförelse med Ölanders bibliografi är inhemsk dramatik, tillfällighetsdikterna samt </w:t>
      </w:r>
      <w:r w:rsidR="00545A5C" w:rsidRPr="00FB4EFA">
        <w:rPr>
          <w:lang w:val="sv-SE"/>
        </w:rPr>
        <w:br/>
      </w:r>
      <w:r w:rsidRPr="00FB4EFA">
        <w:rPr>
          <w:lang w:val="sv-SE"/>
        </w:rPr>
        <w:t>serier och album.</w:t>
      </w:r>
    </w:p>
    <w:p w14:paraId="23AE76D8" w14:textId="5D60D425" w:rsidR="00DD5337" w:rsidRPr="00FB4EFA" w:rsidRDefault="00DD5337" w:rsidP="00AF0CAD">
      <w:pPr>
        <w:ind w:firstLine="720"/>
        <w:rPr>
          <w:lang w:val="sv-SE"/>
        </w:rPr>
      </w:pPr>
      <w:r w:rsidRPr="00FB4EFA">
        <w:rPr>
          <w:lang w:val="sv-SE"/>
        </w:rPr>
        <w:lastRenderedPageBreak/>
        <w:t xml:space="preserve">Litteraturhistoria som genre kännetecknas av att kanoniska författarskap jämförs med andra kanoniska författare. De läses sällan i relation till tidigare eller samtida verk och författare som litteraturhistorieskrivningen negligerar, föraktar eller förbiser. Det betyder att det saknas en bild av hur de kanoniserade författarskapen förhåller sig till den icke-kanoniserade utgivningen. Man kan till exempel fråga hur Edith </w:t>
      </w:r>
      <w:r w:rsidR="00545A5C" w:rsidRPr="00FB4EFA">
        <w:rPr>
          <w:lang w:val="sv-SE"/>
        </w:rPr>
        <w:br/>
      </w:r>
      <w:r w:rsidRPr="00FB4EFA">
        <w:rPr>
          <w:lang w:val="sv-SE"/>
        </w:rPr>
        <w:t>Södergrans verk ter sig i relation till det tämligen stora antalet tillfällighetsdikter som publicerades på 1910- och 20-talen. Att relatera en Elmer Diktonius till den samtida väl representerade folkliga litteraturen eller de många lustspelen kunde kanske också vara intressant. Dessa undersökningar kräver emellertid en mer kvalitativ insats.</w:t>
      </w:r>
      <w:r w:rsidRPr="00FB4EFA">
        <w:rPr>
          <w:vertAlign w:val="superscript"/>
          <w:lang w:val="sv-SE"/>
        </w:rPr>
        <w:footnoteReference w:id="211"/>
      </w:r>
    </w:p>
    <w:p w14:paraId="0AACB4DC" w14:textId="77777777" w:rsidR="00DD5337" w:rsidRPr="00FB4EFA" w:rsidRDefault="00DD5337" w:rsidP="002A3BC9">
      <w:pPr>
        <w:pStyle w:val="Heading2"/>
        <w:spacing w:line="259" w:lineRule="auto"/>
        <w:rPr>
          <w:color w:val="auto"/>
        </w:rPr>
      </w:pPr>
      <w:r w:rsidRPr="00FB4EFA">
        <w:rPr>
          <w:color w:val="auto"/>
        </w:rPr>
        <w:t>Sammanfattning och en blick på Moretti</w:t>
      </w:r>
    </w:p>
    <w:p w14:paraId="227E9CB6" w14:textId="77777777" w:rsidR="008F73FD" w:rsidRPr="00FB4EFA" w:rsidRDefault="00DD5337" w:rsidP="002A3BC9">
      <w:pPr>
        <w:rPr>
          <w:lang w:val="sv-SE"/>
        </w:rPr>
      </w:pPr>
      <w:r w:rsidRPr="00FB4EFA">
        <w:rPr>
          <w:lang w:val="sv-SE"/>
        </w:rPr>
        <w:t>En genomgång av Ölanders bibliografi av utgiven litteratur på svenska i Finland ger vid handen att 1910-talets finlandssvenska litteratur var mycket mera än Södergran och Olsson, Hemmer, Gripenberg och Schildt. Skönlitteratur utkom inte bara i enskilda verk, utan också i album, serier och tidskrifter. Det publicerades rikligt med tillfällighetsdikter, och barn- och ungdomslitteraturen var omfattande redan i början av 1900-talet. Redan själva kategorierna som bibliografin bygger på är intressanta, likaså proportionerna mellan dem. Bibliografin och kvantiteterna ger ett underlag som kan användas inte bara till att öka kunskapen om den svenska litteraturen i Finland, utan också till att reflektera över litteraturhistorieskrivning.</w:t>
      </w:r>
    </w:p>
    <w:p w14:paraId="765D056F" w14:textId="77777777" w:rsidR="008F73FD" w:rsidRPr="00FB4EFA" w:rsidRDefault="00DD5337" w:rsidP="002A3BC9">
      <w:pPr>
        <w:ind w:firstLine="720"/>
        <w:rPr>
          <w:lang w:val="sv-SE"/>
        </w:rPr>
      </w:pPr>
      <w:r w:rsidRPr="00FB4EFA">
        <w:rPr>
          <w:lang w:val="sv-SE"/>
        </w:rPr>
        <w:t xml:space="preserve">I sin kritik av litteraturhistorieskrivningen tar Moretti upp dess besatthet med samtidens smak och de enstaka elitverken. Trots att man kan hävda att ”[…] the average production of a given genre is unreadable and boring now” (Moretti 1983: 14), frågar han om inte historiker ändå </w:t>
      </w:r>
      <w:r w:rsidRPr="00FB4EFA">
        <w:rPr>
          <w:lang w:val="sv-SE"/>
        </w:rPr>
        <w:lastRenderedPageBreak/>
        <w:t>borde befatta sig med de vid en tid rådande masskonventionerna och omfattande ideologiska överenskommelserna som skiljer en era från en annan. Det är nämligen just det outhärdligt förlegade, det som nutida smakdomare har ratat som historiker borde studera, menar han (Moretti 1983: 14).</w:t>
      </w:r>
    </w:p>
    <w:p w14:paraId="7409FB19" w14:textId="54A91A26" w:rsidR="00DD5337" w:rsidRPr="00FB4EFA" w:rsidRDefault="00DD5337" w:rsidP="002A3BC9">
      <w:pPr>
        <w:ind w:firstLine="720"/>
        <w:rPr>
          <w:lang w:val="sv-SE"/>
        </w:rPr>
      </w:pPr>
      <w:r w:rsidRPr="00FB4EFA">
        <w:rPr>
          <w:lang w:val="sv-SE"/>
        </w:rPr>
        <w:t>Vad man än anser om Morettis kritik av litteraturhistorieskrivningen kan man konstatera att beskrivningen av den litteraturhistoriska forskningens selektivitet är träffande även när man fokuserar blicken på forskningen om den finlandssvenska litteraturen. Exemplet Warburton visar emellertid att en sådan liten och inkluderande minoritetslitteratur som den finlandssvenska inte utesluter 99 %. Den vilar inte på ”the great unread” (ifall forskaren håller sig inom de nationella gränserna och de inhemska författarskapen). I Warburtons fall är det kanske mera korrekt att tala om olästa 20 eller 30 %. Om vi däremot vill bilda oss en mer övergripande bild av hur litteraturutgivningen fungerade som ett fält eller en marknad, behöver vi kvantiteter och statistik.</w:t>
      </w:r>
    </w:p>
    <w:p w14:paraId="3DF2E358" w14:textId="77777777" w:rsidR="00DD5337" w:rsidRPr="00FB4EFA" w:rsidRDefault="00DD5337" w:rsidP="002A3BC9">
      <w:pPr>
        <w:ind w:firstLine="720"/>
        <w:rPr>
          <w:lang w:val="sv-SE"/>
        </w:rPr>
      </w:pPr>
      <w:r w:rsidRPr="00FB4EFA">
        <w:rPr>
          <w:lang w:val="sv-SE"/>
        </w:rPr>
        <w:t>Det som dock står klart är att en granskning av 99 % kan innehålla överraskningar och i någon mån förnya bilden av litteraturen under en viss period. Likaså kan uppgifter om all utgivning belysa verk som anses betydelsefulla på ett nytt sätt – det avvikande i dem framträder i ett nytt ljus, vilket också belyser principerna för litteraturhistorieskrivning. Helheten berättar mera om villkoren på det litterära fältet än om man skulle bilda sig en uppfattning om tiden genom att endast se på till exempel mottagandet av ett fåtal kanoniserade författarskapen. De bortglömda 99 % utgör den samtida fond mot vilken verk av till exempel diktarna Jarl Hemmer och Edith Södergran publicerades och recenserades – de kanske påverkades inte bara av svenska och europeiska mästerverk, utan också av samtida tillfällighetsdikter.</w:t>
      </w:r>
    </w:p>
    <w:p w14:paraId="35009750" w14:textId="190CEB5A" w:rsidR="00DD5337" w:rsidRPr="00FB4EFA" w:rsidRDefault="00DD5337" w:rsidP="002A3BC9">
      <w:pPr>
        <w:ind w:firstLine="720"/>
        <w:rPr>
          <w:lang w:val="fi-FI"/>
        </w:rPr>
      </w:pPr>
      <w:r w:rsidRPr="00FB4EFA">
        <w:rPr>
          <w:lang w:val="sv-SE"/>
        </w:rPr>
        <w:t xml:space="preserve">En granskning av all utgivning under 1916 visar att verk av författare som räknats till den banbrytande finlandssvenska modernismen utgjorde 0,1 % procent av allt det som utkom i litteraturväg under perioden 1916–1925. Forskningen har i hög grad betonat hur marginaliserade modernisterna var under sin samtid, men ser man på en Edith Södergran i relation till all den samtidiga utgivningen ställs frågan om marginalisering på sitt huvud. Daan Vandenhaute (2004: 12) påpekar att granskning av fält inte endast är en deskriptiv skildring av fältet </w:t>
      </w:r>
      <w:r w:rsidR="00545A5C" w:rsidRPr="00FB4EFA">
        <w:rPr>
          <w:lang w:val="sv-SE"/>
        </w:rPr>
        <w:br/>
      </w:r>
      <w:r w:rsidRPr="00FB4EFA">
        <w:rPr>
          <w:lang w:val="sv-SE"/>
        </w:rPr>
        <w:lastRenderedPageBreak/>
        <w:t xml:space="preserve">utan en granskning av den ojämlika fördelningen av makt. Ser vi på </w:t>
      </w:r>
      <w:r w:rsidR="00545A5C" w:rsidRPr="00FB4EFA">
        <w:rPr>
          <w:lang w:val="sv-SE"/>
        </w:rPr>
        <w:br/>
      </w:r>
      <w:r w:rsidRPr="00FB4EFA">
        <w:rPr>
          <w:lang w:val="sv-SE"/>
        </w:rPr>
        <w:t xml:space="preserve">utgivningen av poesi på svenska i Finland 1916 i ett litteraturhistoriskt perspektiv är det inte modernistisk diktning som blev marginaliserad. </w:t>
      </w:r>
      <w:r w:rsidRPr="00FB4EFA">
        <w:rPr>
          <w:lang w:val="fi-FI"/>
        </w:rPr>
        <w:t>Det är tillfällighetsdikterna.</w:t>
      </w:r>
    </w:p>
    <w:p w14:paraId="343BE8AB" w14:textId="77777777" w:rsidR="008F73FD" w:rsidRPr="00FB4EFA" w:rsidRDefault="00DD5337" w:rsidP="00545033">
      <w:pPr>
        <w:pStyle w:val="Heading2"/>
        <w:suppressAutoHyphens/>
        <w:spacing w:line="259" w:lineRule="auto"/>
        <w:rPr>
          <w:color w:val="auto"/>
        </w:rPr>
      </w:pPr>
      <w:r w:rsidRPr="00FB4EFA">
        <w:rPr>
          <w:color w:val="auto"/>
        </w:rPr>
        <w:t>Litteratur/källor</w:t>
      </w:r>
    </w:p>
    <w:p w14:paraId="680D41A5" w14:textId="5C867CC5" w:rsidR="00DD5337" w:rsidRPr="00FB4EFA" w:rsidRDefault="00DD5337" w:rsidP="00545A5C">
      <w:pPr>
        <w:keepNext/>
        <w:suppressAutoHyphens/>
        <w:spacing w:line="240" w:lineRule="auto"/>
        <w:ind w:left="426" w:hanging="426"/>
        <w:rPr>
          <w:rFonts w:cs="Charis SIL"/>
          <w:lang w:val="sv-SE"/>
        </w:rPr>
      </w:pPr>
      <w:r w:rsidRPr="00FB4EFA">
        <w:rPr>
          <w:rFonts w:cs="Charis SIL"/>
          <w:lang w:val="fi-FI"/>
        </w:rPr>
        <w:t xml:space="preserve">Bastman, Eeva-Liisa. 2021. Runo vallan, viestinnän ja sosiaalisen vuorovaikutuksen välineenä varhaisella uudella ajalla. </w:t>
      </w:r>
      <w:r w:rsidRPr="00FB4EFA">
        <w:rPr>
          <w:rFonts w:cs="Charis SIL"/>
          <w:i/>
          <w:lang w:val="sv-SE"/>
        </w:rPr>
        <w:t>Kirjallisuudentutkimuksen aikakausilehti Avain</w:t>
      </w:r>
      <w:r w:rsidR="007C120E" w:rsidRPr="00FB4EFA">
        <w:rPr>
          <w:rFonts w:cs="Charis SIL"/>
          <w:i/>
          <w:lang w:val="sv-SE"/>
        </w:rPr>
        <w:t xml:space="preserve"> </w:t>
      </w:r>
      <w:r w:rsidRPr="00FB4EFA">
        <w:rPr>
          <w:rFonts w:cs="Charis SIL"/>
          <w:lang w:val="sv-SE"/>
        </w:rPr>
        <w:t>18</w:t>
      </w:r>
      <w:r w:rsidR="007C120E" w:rsidRPr="00FB4EFA">
        <w:rPr>
          <w:rFonts w:cs="Charis SIL"/>
          <w:lang w:val="sv-SE"/>
        </w:rPr>
        <w:t xml:space="preserve"> (</w:t>
      </w:r>
      <w:r w:rsidRPr="00FB4EFA">
        <w:rPr>
          <w:rFonts w:cs="Charis SIL"/>
          <w:lang w:val="sv-SE"/>
        </w:rPr>
        <w:t>3</w:t>
      </w:r>
      <w:r w:rsidR="007C120E" w:rsidRPr="00FB4EFA">
        <w:rPr>
          <w:rFonts w:cs="Charis SIL"/>
          <w:lang w:val="sv-SE"/>
        </w:rPr>
        <w:t>).</w:t>
      </w:r>
      <w:r w:rsidRPr="00FB4EFA">
        <w:rPr>
          <w:rFonts w:cs="Charis SIL"/>
          <w:lang w:val="sv-SE"/>
        </w:rPr>
        <w:t xml:space="preserve"> 84‒86.</w:t>
      </w:r>
    </w:p>
    <w:p w14:paraId="166208DD" w14:textId="784F05A3" w:rsidR="00B62851" w:rsidRPr="00FB4EFA" w:rsidRDefault="00B62851" w:rsidP="00545A5C">
      <w:pPr>
        <w:suppressAutoHyphens/>
        <w:spacing w:line="240" w:lineRule="auto"/>
        <w:ind w:left="426" w:hanging="426"/>
        <w:rPr>
          <w:rFonts w:cs="Charis SIL"/>
          <w:lang w:val="en-US"/>
        </w:rPr>
      </w:pPr>
      <w:r w:rsidRPr="00FB4EFA">
        <w:rPr>
          <w:rFonts w:cs="Charis SIL"/>
          <w:lang w:val="en-US"/>
        </w:rPr>
        <w:t xml:space="preserve">Biström, Anna. 2021. Forskarnas favoriter och det stora outforskade. En grovgenomgång av finländska skönlitterära författare på svenska 1830–1930 och deras synlighet i databasreferenser och sekundärlitteratur. </w:t>
      </w:r>
      <w:r w:rsidRPr="00FB4EFA">
        <w:rPr>
          <w:rFonts w:cs="Charis SIL"/>
          <w:i/>
          <w:iCs/>
          <w:lang w:val="en-US"/>
        </w:rPr>
        <w:t>Samlaren. Tidskrift för forskning om svensk och annan nordisk litteratur</w:t>
      </w:r>
      <w:r w:rsidRPr="00FB4EFA">
        <w:rPr>
          <w:rFonts w:cs="Charis SIL"/>
          <w:lang w:val="en-US"/>
        </w:rPr>
        <w:t xml:space="preserve"> 142, 188–239.</w:t>
      </w:r>
    </w:p>
    <w:p w14:paraId="2FBAA630" w14:textId="356DEFA8" w:rsidR="008F73FD" w:rsidRPr="00FB4EFA" w:rsidRDefault="00DD5337" w:rsidP="00545A5C">
      <w:pPr>
        <w:suppressAutoHyphens/>
        <w:spacing w:line="240" w:lineRule="auto"/>
        <w:ind w:left="426" w:hanging="426"/>
        <w:rPr>
          <w:rFonts w:cs="Charis SIL"/>
          <w:lang w:val="en-US"/>
        </w:rPr>
      </w:pPr>
      <w:r w:rsidRPr="00FB4EFA">
        <w:rPr>
          <w:rFonts w:cs="Charis SIL"/>
          <w:lang w:val="en-US"/>
        </w:rPr>
        <w:t xml:space="preserve">Bode, Katherine. 2012. </w:t>
      </w:r>
      <w:r w:rsidRPr="00FB4EFA">
        <w:rPr>
          <w:rFonts w:cs="Charis SIL"/>
          <w:i/>
          <w:lang w:val="en-US"/>
        </w:rPr>
        <w:t>Reading by numbers. Recalibrating the literary field</w:t>
      </w:r>
      <w:r w:rsidRPr="00FB4EFA">
        <w:rPr>
          <w:rFonts w:cs="Charis SIL"/>
          <w:lang w:val="en-US"/>
        </w:rPr>
        <w:t>. London</w:t>
      </w:r>
      <w:r w:rsidR="00A82FE2" w:rsidRPr="00FB4EFA">
        <w:rPr>
          <w:rFonts w:cs="Charis SIL"/>
          <w:lang w:val="en-US"/>
        </w:rPr>
        <w:t xml:space="preserve"> /</w:t>
      </w:r>
      <w:r w:rsidRPr="00FB4EFA">
        <w:rPr>
          <w:rFonts w:cs="Charis SIL"/>
          <w:lang w:val="en-US"/>
        </w:rPr>
        <w:t xml:space="preserve"> New York</w:t>
      </w:r>
      <w:r w:rsidR="00A82FE2" w:rsidRPr="00FB4EFA">
        <w:rPr>
          <w:rFonts w:cs="Charis SIL"/>
          <w:lang w:val="en-US"/>
        </w:rPr>
        <w:t xml:space="preserve"> /</w:t>
      </w:r>
      <w:r w:rsidRPr="00FB4EFA">
        <w:rPr>
          <w:rFonts w:cs="Charis SIL"/>
          <w:lang w:val="en-US"/>
        </w:rPr>
        <w:t xml:space="preserve"> Delhi: Anthem </w:t>
      </w:r>
      <w:r w:rsidR="00A82FE2" w:rsidRPr="00FB4EFA">
        <w:rPr>
          <w:rFonts w:cs="Charis SIL"/>
          <w:lang w:val="en-US"/>
        </w:rPr>
        <w:t>P</w:t>
      </w:r>
      <w:r w:rsidRPr="00FB4EFA">
        <w:rPr>
          <w:rFonts w:cs="Charis SIL"/>
          <w:lang w:val="en-US"/>
        </w:rPr>
        <w:t>ress.</w:t>
      </w:r>
    </w:p>
    <w:p w14:paraId="570232B9" w14:textId="71E9C1BF" w:rsidR="00DD5337" w:rsidRPr="00FB4EFA" w:rsidRDefault="00DD5337" w:rsidP="00545A5C">
      <w:pPr>
        <w:widowControl w:val="0"/>
        <w:suppressAutoHyphens/>
        <w:spacing w:line="240" w:lineRule="auto"/>
        <w:ind w:left="426" w:hanging="426"/>
        <w:rPr>
          <w:rFonts w:cs="Charis SIL"/>
          <w:lang w:val="sv-SE"/>
        </w:rPr>
      </w:pPr>
      <w:r w:rsidRPr="00FB4EFA">
        <w:rPr>
          <w:rFonts w:cs="Charis SIL"/>
          <w:lang w:val="en-US"/>
        </w:rPr>
        <w:t xml:space="preserve">Deleuze, Gilles &amp; Félix Guattari. [1975] 1986. </w:t>
      </w:r>
      <w:r w:rsidRPr="00FB4EFA">
        <w:rPr>
          <w:rFonts w:cs="Charis SIL"/>
          <w:i/>
          <w:lang w:val="en-US"/>
        </w:rPr>
        <w:t>Kafka: Toward a minor literature</w:t>
      </w:r>
      <w:r w:rsidRPr="00FB4EFA">
        <w:rPr>
          <w:rFonts w:cs="Charis SIL"/>
          <w:lang w:val="en-US"/>
        </w:rPr>
        <w:t xml:space="preserve">. </w:t>
      </w:r>
      <w:r w:rsidRPr="00FB4EFA">
        <w:rPr>
          <w:rFonts w:cs="Charis SIL"/>
          <w:lang w:val="sv-SE"/>
        </w:rPr>
        <w:t>Trans. Dana Polan. Minneapolis: University of Minnesota Press.</w:t>
      </w:r>
    </w:p>
    <w:p w14:paraId="70888FF6" w14:textId="77777777" w:rsidR="008F73FD" w:rsidRPr="00FB4EFA" w:rsidRDefault="00DD5337" w:rsidP="00545A5C">
      <w:pPr>
        <w:suppressAutoHyphens/>
        <w:spacing w:line="240" w:lineRule="auto"/>
        <w:ind w:left="426" w:hanging="426"/>
        <w:rPr>
          <w:rFonts w:cs="Charis SIL"/>
          <w:lang w:val="sv-SE"/>
        </w:rPr>
      </w:pPr>
      <w:r w:rsidRPr="00FB4EFA">
        <w:rPr>
          <w:rFonts w:cs="Charis SIL"/>
          <w:lang w:val="sv-SE"/>
        </w:rPr>
        <w:t xml:space="preserve">Ekman, Michel. 2011. </w:t>
      </w:r>
      <w:r w:rsidRPr="00FB4EFA">
        <w:rPr>
          <w:rFonts w:cs="Charis SIL"/>
          <w:i/>
          <w:lang w:val="sv-SE"/>
        </w:rPr>
        <w:t>Må vi blicka tillbaka mot det förflutna. Svenskt och finskt hos åtta finlandssvenska författare 1899‒1944</w:t>
      </w:r>
      <w:r w:rsidRPr="00FB4EFA">
        <w:rPr>
          <w:rFonts w:cs="Charis SIL"/>
          <w:lang w:val="sv-SE"/>
        </w:rPr>
        <w:t>. Helsingfors: Svenska litteratursällskapet i Finland.</w:t>
      </w:r>
    </w:p>
    <w:p w14:paraId="40AAF435" w14:textId="06B7DACA"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Haapala, Vesa, Herzberg, Fredrik &amp; Kantola, Janna. </w:t>
      </w:r>
      <w:r w:rsidRPr="00FB4EFA">
        <w:rPr>
          <w:rFonts w:cs="Charis SIL"/>
          <w:lang w:val="en-US"/>
        </w:rPr>
        <w:t>2012. The Finland-Swedish avant-garde moments. I Hubert van den Berg &amp; al (</w:t>
      </w:r>
      <w:r w:rsidR="001E6714" w:rsidRPr="00FB4EFA">
        <w:rPr>
          <w:rFonts w:cs="Charis SIL"/>
          <w:lang w:val="en-US"/>
        </w:rPr>
        <w:t>red</w:t>
      </w:r>
      <w:r w:rsidRPr="00FB4EFA">
        <w:rPr>
          <w:rFonts w:cs="Charis SIL"/>
          <w:lang w:val="en-US"/>
        </w:rPr>
        <w:t xml:space="preserve">.), </w:t>
      </w:r>
      <w:r w:rsidRPr="00FB4EFA">
        <w:rPr>
          <w:rFonts w:cs="Charis SIL"/>
          <w:i/>
          <w:lang w:val="en-US"/>
        </w:rPr>
        <w:t>A cultural history of the avant-garde in the Nordic countries 1900‒1925</w:t>
      </w:r>
      <w:r w:rsidRPr="00FB4EFA">
        <w:rPr>
          <w:rFonts w:cs="Charis SIL"/>
          <w:lang w:val="en-US"/>
        </w:rPr>
        <w:t>, 445‒462</w:t>
      </w:r>
      <w:r w:rsidR="006B0534" w:rsidRPr="00FB4EFA">
        <w:rPr>
          <w:rFonts w:cs="Charis SIL"/>
          <w:lang w:val="en-US"/>
        </w:rPr>
        <w:t xml:space="preserve">. </w:t>
      </w:r>
      <w:r w:rsidRPr="00FB4EFA">
        <w:rPr>
          <w:rFonts w:cs="Charis SIL"/>
          <w:lang w:val="sv-SE"/>
        </w:rPr>
        <w:t>Amsterdam</w:t>
      </w:r>
      <w:r w:rsidR="006B0534" w:rsidRPr="00FB4EFA">
        <w:rPr>
          <w:rFonts w:cs="Charis SIL"/>
          <w:lang w:val="sv-SE"/>
        </w:rPr>
        <w:t xml:space="preserve"> /</w:t>
      </w:r>
      <w:r w:rsidRPr="00FB4EFA">
        <w:rPr>
          <w:rFonts w:cs="Charis SIL"/>
          <w:lang w:val="sv-SE"/>
        </w:rPr>
        <w:t xml:space="preserve"> New York: Rodopi.</w:t>
      </w:r>
    </w:p>
    <w:p w14:paraId="79676653"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Haux, Caroline. 2013. </w:t>
      </w:r>
      <w:r w:rsidRPr="00FB4EFA">
        <w:rPr>
          <w:rFonts w:cs="Charis SIL"/>
          <w:i/>
          <w:lang w:val="sv-SE"/>
        </w:rPr>
        <w:t>Framkallning. Skrift, konsumtion och sexualitet i Karin Boyes Astarte och Henry Parlands Sönder</w:t>
      </w:r>
      <w:r w:rsidRPr="00FB4EFA">
        <w:rPr>
          <w:rFonts w:cs="Charis SIL"/>
          <w:lang w:val="sv-SE"/>
        </w:rPr>
        <w:t>. Göteborg, Stockholm: Makadam.</w:t>
      </w:r>
    </w:p>
    <w:p w14:paraId="0ECD6C86"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Hermansson, Gunilla. 2015. </w:t>
      </w:r>
      <w:r w:rsidRPr="00FB4EFA">
        <w:rPr>
          <w:rFonts w:cs="Charis SIL"/>
          <w:i/>
          <w:lang w:val="sv-SE"/>
        </w:rPr>
        <w:t>Modernisternas prosa och expressionismen. Studier i nordisk modernism 1910‒1930</w:t>
      </w:r>
      <w:r w:rsidRPr="00FB4EFA">
        <w:rPr>
          <w:rFonts w:cs="Charis SIL"/>
          <w:lang w:val="sv-SE"/>
        </w:rPr>
        <w:t>. Göteborg: Makadam.</w:t>
      </w:r>
    </w:p>
    <w:p w14:paraId="79C91995" w14:textId="125AF05A" w:rsidR="00DD5337" w:rsidRPr="00FB4EFA" w:rsidRDefault="00DD5337" w:rsidP="00545A5C">
      <w:pPr>
        <w:suppressAutoHyphens/>
        <w:spacing w:line="240" w:lineRule="auto"/>
        <w:ind w:left="426" w:hanging="426"/>
        <w:rPr>
          <w:rFonts w:cs="Charis SIL"/>
          <w:lang w:val="sv-SE"/>
        </w:rPr>
      </w:pPr>
      <w:r w:rsidRPr="00FB4EFA">
        <w:rPr>
          <w:rFonts w:cs="Charis SIL"/>
          <w:lang w:val="sv-SE"/>
        </w:rPr>
        <w:t>Hertzberg, Fredrik. 2018. ”</w:t>
      </w:r>
      <w:r w:rsidRPr="00FB4EFA">
        <w:rPr>
          <w:rFonts w:cs="Charis SIL"/>
          <w:i/>
          <w:lang w:val="sv-SE"/>
        </w:rPr>
        <w:t>Mitt språk är ej i orden”. Gunnar Björlings liv och verk</w:t>
      </w:r>
      <w:r w:rsidRPr="00FB4EFA">
        <w:rPr>
          <w:rFonts w:cs="Charis SIL"/>
          <w:lang w:val="sv-SE"/>
        </w:rPr>
        <w:t>. Helsingfors: Svenska litteratursällskapet i Finland.</w:t>
      </w:r>
    </w:p>
    <w:p w14:paraId="32E75F38" w14:textId="3E2608E1" w:rsidR="00DD5337" w:rsidRPr="00FB4EFA" w:rsidRDefault="00DD5337" w:rsidP="00545A5C">
      <w:pPr>
        <w:suppressAutoHyphens/>
        <w:spacing w:line="240" w:lineRule="auto"/>
        <w:ind w:left="426" w:hanging="426"/>
        <w:rPr>
          <w:rFonts w:cs="Charis SIL"/>
          <w:lang w:val="fi-FI"/>
        </w:rPr>
      </w:pPr>
      <w:r w:rsidRPr="00FB4EFA">
        <w:rPr>
          <w:rFonts w:cs="Charis SIL"/>
          <w:lang w:val="sv-SE"/>
        </w:rPr>
        <w:t xml:space="preserve">Hirvonen, Maija (red.). 1993. </w:t>
      </w:r>
      <w:r w:rsidRPr="00FB4EFA">
        <w:rPr>
          <w:rFonts w:cs="Charis SIL"/>
          <w:i/>
          <w:lang w:val="sv-SE"/>
        </w:rPr>
        <w:t>Suomen kirjailijat. Finlands författare. Writers in Finland</w:t>
      </w:r>
      <w:r w:rsidRPr="00FB4EFA">
        <w:rPr>
          <w:rFonts w:cs="Charis SIL"/>
          <w:lang w:val="sv-SE"/>
        </w:rPr>
        <w:t xml:space="preserve">. </w:t>
      </w:r>
      <w:r w:rsidRPr="00FB4EFA">
        <w:rPr>
          <w:rFonts w:cs="Charis SIL"/>
          <w:lang w:val="fi-FI"/>
        </w:rPr>
        <w:t>1809</w:t>
      </w:r>
      <w:r w:rsidRPr="00FB4EFA">
        <w:rPr>
          <w:rFonts w:cs="Charis SIL"/>
          <w:i/>
          <w:lang w:val="fi-FI"/>
        </w:rPr>
        <w:t>‒</w:t>
      </w:r>
      <w:r w:rsidRPr="00FB4EFA">
        <w:rPr>
          <w:rFonts w:cs="Charis SIL"/>
          <w:lang w:val="fi-FI"/>
        </w:rPr>
        <w:t xml:space="preserve">1916. Helsinki: </w:t>
      </w:r>
      <w:r w:rsidR="00F9255F" w:rsidRPr="00FB4EFA">
        <w:rPr>
          <w:rFonts w:cs="Charis SIL"/>
          <w:lang w:val="fi-FI"/>
        </w:rPr>
        <w:t>SKS</w:t>
      </w:r>
      <w:r w:rsidRPr="00FB4EFA">
        <w:rPr>
          <w:rFonts w:cs="Charis SIL"/>
          <w:lang w:val="fi-FI"/>
        </w:rPr>
        <w:t>.</w:t>
      </w:r>
    </w:p>
    <w:p w14:paraId="713CA502" w14:textId="45C3765A" w:rsidR="00DD5337" w:rsidRPr="00FB4EFA" w:rsidRDefault="00DD5337" w:rsidP="00545A5C">
      <w:pPr>
        <w:suppressAutoHyphens/>
        <w:spacing w:line="240" w:lineRule="auto"/>
        <w:ind w:left="426" w:hanging="426"/>
        <w:rPr>
          <w:rFonts w:cs="Charis SIL"/>
          <w:lang w:val="en-US"/>
        </w:rPr>
      </w:pPr>
      <w:r w:rsidRPr="00FB4EFA">
        <w:rPr>
          <w:rFonts w:cs="Charis SIL"/>
          <w:lang w:val="fi-FI"/>
        </w:rPr>
        <w:t xml:space="preserve">Jokinen, Elina. 2010. </w:t>
      </w:r>
      <w:r w:rsidRPr="00FB4EFA">
        <w:rPr>
          <w:rFonts w:cs="Charis SIL"/>
          <w:i/>
          <w:lang w:val="fi-FI"/>
        </w:rPr>
        <w:t>Vallan kirjailijat. Valtion apurahoituksen merkitys kirjailijoille vuosituhannen vaihteen Suomessa</w:t>
      </w:r>
      <w:r w:rsidRPr="00FB4EFA">
        <w:rPr>
          <w:rFonts w:cs="Charis SIL"/>
          <w:lang w:val="fi-FI"/>
        </w:rPr>
        <w:t xml:space="preserve">. </w:t>
      </w:r>
      <w:r w:rsidRPr="00FB4EFA">
        <w:rPr>
          <w:rFonts w:cs="Charis SIL"/>
          <w:lang w:val="en-US"/>
        </w:rPr>
        <w:t>Helsinki: Avain.</w:t>
      </w:r>
    </w:p>
    <w:p w14:paraId="3E932A5F" w14:textId="34870B0C" w:rsidR="00DD5337" w:rsidRPr="00FB4EFA" w:rsidRDefault="00DD5337" w:rsidP="00545A5C">
      <w:pPr>
        <w:keepLines/>
        <w:suppressAutoHyphens/>
        <w:spacing w:line="240" w:lineRule="auto"/>
        <w:ind w:left="425" w:hanging="425"/>
        <w:rPr>
          <w:rFonts w:cs="Charis SIL"/>
          <w:lang w:val="sv-SE"/>
        </w:rPr>
      </w:pPr>
      <w:r w:rsidRPr="00FB4EFA">
        <w:rPr>
          <w:rFonts w:cs="Charis SIL"/>
          <w:lang w:val="en-US"/>
        </w:rPr>
        <w:lastRenderedPageBreak/>
        <w:t>Kauranen, Ralf, Huss, Markus &amp; Grönstrand, Heidi. 2020. Introduction. The processes and practices of multilingualism in literature. In Heidi Grönstrand, Markus Huss &amp; Ralf Kauranen (</w:t>
      </w:r>
      <w:r w:rsidR="001E6714" w:rsidRPr="00FB4EFA">
        <w:rPr>
          <w:rFonts w:cs="Charis SIL"/>
          <w:lang w:val="en-US"/>
        </w:rPr>
        <w:t>red</w:t>
      </w:r>
      <w:r w:rsidRPr="00FB4EFA">
        <w:rPr>
          <w:rFonts w:cs="Charis SIL"/>
          <w:lang w:val="en-US"/>
        </w:rPr>
        <w:t xml:space="preserve">.), </w:t>
      </w:r>
      <w:r w:rsidRPr="00FB4EFA">
        <w:rPr>
          <w:rFonts w:cs="Charis SIL"/>
          <w:i/>
          <w:lang w:val="en-US"/>
        </w:rPr>
        <w:t>The aesthetic and politics of linguistic borders: Multilingualism in Northern European literature</w:t>
      </w:r>
      <w:r w:rsidRPr="00FB4EFA">
        <w:rPr>
          <w:rFonts w:cs="Charis SIL"/>
          <w:lang w:val="en-US"/>
        </w:rPr>
        <w:t>, 3</w:t>
      </w:r>
      <w:r w:rsidRPr="00FB4EFA">
        <w:rPr>
          <w:rFonts w:cs="Charis SIL"/>
          <w:iCs/>
          <w:lang w:val="en-US"/>
        </w:rPr>
        <w:t>‒</w:t>
      </w:r>
      <w:r w:rsidRPr="00FB4EFA">
        <w:rPr>
          <w:rFonts w:cs="Charis SIL"/>
          <w:lang w:val="en-US"/>
        </w:rPr>
        <w:t xml:space="preserve">23. </w:t>
      </w:r>
      <w:r w:rsidR="00A82FE2" w:rsidRPr="00FB4EFA">
        <w:rPr>
          <w:rFonts w:cs="Charis SIL"/>
          <w:lang w:val="en-US"/>
        </w:rPr>
        <w:t>London</w:t>
      </w:r>
      <w:r w:rsidRPr="00FB4EFA">
        <w:rPr>
          <w:rFonts w:cs="Charis SIL"/>
          <w:lang w:val="sv-SE"/>
        </w:rPr>
        <w:t>: Routledge.</w:t>
      </w:r>
    </w:p>
    <w:p w14:paraId="2ECD670A"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Kuhlefelt, Eva. 2018. </w:t>
      </w:r>
      <w:r w:rsidRPr="00FB4EFA">
        <w:rPr>
          <w:rFonts w:cs="Charis SIL"/>
          <w:i/>
          <w:lang w:val="sv-SE"/>
        </w:rPr>
        <w:t>Dekadens och queer i Hagar Olssons tidiga prosa</w:t>
      </w:r>
      <w:r w:rsidRPr="00FB4EFA">
        <w:rPr>
          <w:rFonts w:cs="Charis SIL"/>
          <w:lang w:val="sv-SE"/>
        </w:rPr>
        <w:t>. Helsingfors: Helsingfors universitet.</w:t>
      </w:r>
    </w:p>
    <w:p w14:paraId="18F6AD06" w14:textId="67403DEF" w:rsidR="00DD5337" w:rsidRPr="00FB4EFA" w:rsidRDefault="00DD5337" w:rsidP="00545A5C">
      <w:pPr>
        <w:suppressAutoHyphens/>
        <w:spacing w:line="240" w:lineRule="auto"/>
        <w:ind w:left="426" w:hanging="426"/>
        <w:rPr>
          <w:rFonts w:cs="Charis SIL"/>
          <w:lang w:val="sv-SE"/>
        </w:rPr>
      </w:pPr>
      <w:r w:rsidRPr="00FB4EFA">
        <w:rPr>
          <w:rFonts w:cs="Charis SIL"/>
          <w:lang w:val="en-US"/>
        </w:rPr>
        <w:t>Laakso, Johanna. 2020. In place of an introduction: a linguist’s reflections on the concept of “minority literature”. I</w:t>
      </w:r>
      <w:r w:rsidRPr="00FB4EFA">
        <w:rPr>
          <w:rFonts w:cs="Charis SIL"/>
          <w:i/>
          <w:iCs/>
          <w:lang w:val="en-US"/>
        </w:rPr>
        <w:t xml:space="preserve"> </w:t>
      </w:r>
      <w:r w:rsidRPr="00FB4EFA">
        <w:rPr>
          <w:rFonts w:cs="Charis SIL"/>
          <w:iCs/>
          <w:lang w:val="en-US"/>
        </w:rPr>
        <w:t>Johanna Laakso (</w:t>
      </w:r>
      <w:r w:rsidR="001E6714" w:rsidRPr="00FB4EFA">
        <w:rPr>
          <w:rFonts w:cs="Charis SIL"/>
          <w:iCs/>
          <w:lang w:val="en-US"/>
        </w:rPr>
        <w:t>red</w:t>
      </w:r>
      <w:r w:rsidRPr="00FB4EFA">
        <w:rPr>
          <w:rFonts w:cs="Charis SIL"/>
          <w:iCs/>
          <w:lang w:val="en-US"/>
        </w:rPr>
        <w:t>.),</w:t>
      </w:r>
      <w:r w:rsidRPr="00FB4EFA">
        <w:rPr>
          <w:rFonts w:cs="Charis SIL"/>
          <w:i/>
          <w:iCs/>
          <w:lang w:val="en-US"/>
        </w:rPr>
        <w:t xml:space="preserve"> Ways of being in the world: Studies on minority literatures</w:t>
      </w:r>
      <w:r w:rsidRPr="00FB4EFA">
        <w:rPr>
          <w:rFonts w:cs="Charis SIL"/>
          <w:iCs/>
          <w:lang w:val="en-US"/>
        </w:rPr>
        <w:t>, 6‒28</w:t>
      </w:r>
      <w:r w:rsidRPr="00FB4EFA">
        <w:rPr>
          <w:rFonts w:cs="Charis SIL"/>
          <w:i/>
          <w:iCs/>
          <w:lang w:val="en-US"/>
        </w:rPr>
        <w:t>.</w:t>
      </w:r>
      <w:r w:rsidRPr="00FB4EFA">
        <w:rPr>
          <w:rFonts w:cs="Charis SIL"/>
          <w:lang w:val="en-US"/>
        </w:rPr>
        <w:t xml:space="preserve"> </w:t>
      </w:r>
      <w:r w:rsidRPr="00FB4EFA">
        <w:rPr>
          <w:rFonts w:cs="Charis SIL"/>
          <w:lang w:val="sv-SE"/>
        </w:rPr>
        <w:t>Central-European Uralic Studies 1. Wien: Praesens Verlag.</w:t>
      </w:r>
    </w:p>
    <w:p w14:paraId="4A58701C"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Liedtke, Klaus-Jürgen &amp; Olsson, Anders. 2014.</w:t>
      </w:r>
      <w:r w:rsidRPr="00FB4EFA">
        <w:rPr>
          <w:rFonts w:cs="Charis SIL"/>
          <w:i/>
          <w:lang w:val="sv-SE"/>
        </w:rPr>
        <w:t xml:space="preserve"> Finnlandschwedische Literatur der Avantgarde in 5 Bänden</w:t>
      </w:r>
      <w:r w:rsidRPr="00FB4EFA">
        <w:rPr>
          <w:rFonts w:cs="Charis SIL"/>
          <w:lang w:val="sv-SE"/>
        </w:rPr>
        <w:t>. Översättningar Klaus-Jürgen Liedtke, efterord Anders Olsson. Münster: Kleinheinrich.</w:t>
      </w:r>
    </w:p>
    <w:p w14:paraId="3DD1AD1A" w14:textId="0089CA85" w:rsidR="00DD5337" w:rsidRPr="00FB4EFA" w:rsidRDefault="00DD5337" w:rsidP="00545A5C">
      <w:pPr>
        <w:suppressAutoHyphens/>
        <w:spacing w:line="240" w:lineRule="auto"/>
        <w:ind w:left="426" w:hanging="426"/>
        <w:rPr>
          <w:rFonts w:cs="Charis SIL"/>
          <w:lang w:val="sv-SE"/>
        </w:rPr>
      </w:pPr>
      <w:r w:rsidRPr="00FB4EFA">
        <w:rPr>
          <w:rFonts w:cs="Charis SIL"/>
          <w:lang w:val="en-US"/>
        </w:rPr>
        <w:t xml:space="preserve">Löytty, Olli. 2015. </w:t>
      </w:r>
      <w:r w:rsidRPr="00FB4EFA">
        <w:rPr>
          <w:rFonts w:cs="Charis SIL"/>
          <w:iCs/>
          <w:lang w:val="en-US"/>
        </w:rPr>
        <w:t>Immigrant literature in Finland: The uses of a literary category. In</w:t>
      </w:r>
      <w:r w:rsidRPr="00FB4EFA">
        <w:rPr>
          <w:rFonts w:cs="Charis SIL"/>
          <w:i/>
          <w:iCs/>
          <w:lang w:val="en-US"/>
        </w:rPr>
        <w:t xml:space="preserve"> </w:t>
      </w:r>
      <w:r w:rsidRPr="00FB4EFA">
        <w:rPr>
          <w:rFonts w:cs="Charis SIL"/>
          <w:lang w:val="en-US"/>
        </w:rPr>
        <w:t>Ann-Sofie Lönngren, Heidi Grönstrand, Dag Heede &amp; Anne Heith (</w:t>
      </w:r>
      <w:r w:rsidR="001E6714" w:rsidRPr="00FB4EFA">
        <w:rPr>
          <w:rFonts w:cs="Charis SIL"/>
          <w:lang w:val="en-US"/>
        </w:rPr>
        <w:t>red</w:t>
      </w:r>
      <w:r w:rsidRPr="00FB4EFA">
        <w:rPr>
          <w:rFonts w:cs="Charis SIL"/>
          <w:lang w:val="en-US"/>
        </w:rPr>
        <w:t>.),</w:t>
      </w:r>
      <w:r w:rsidRPr="00FB4EFA">
        <w:rPr>
          <w:rFonts w:cs="Charis SIL"/>
          <w:i/>
          <w:iCs/>
          <w:lang w:val="en-US"/>
        </w:rPr>
        <w:t xml:space="preserve"> Rethinking national literatures and the literary canon in Scandinavia</w:t>
      </w:r>
      <w:r w:rsidRPr="00FB4EFA">
        <w:rPr>
          <w:rFonts w:cs="Charis SIL"/>
          <w:iCs/>
          <w:lang w:val="en-US"/>
        </w:rPr>
        <w:t>, 52‒75</w:t>
      </w:r>
      <w:r w:rsidRPr="00FB4EFA">
        <w:rPr>
          <w:rFonts w:cs="Charis SIL"/>
          <w:i/>
          <w:iCs/>
          <w:lang w:val="en-US"/>
        </w:rPr>
        <w:t>.</w:t>
      </w:r>
      <w:r w:rsidRPr="00FB4EFA">
        <w:rPr>
          <w:rFonts w:cs="Charis SIL"/>
          <w:iCs/>
          <w:lang w:val="en-US"/>
        </w:rPr>
        <w:t xml:space="preserve"> </w:t>
      </w:r>
      <w:r w:rsidRPr="00FB4EFA">
        <w:rPr>
          <w:rFonts w:cs="Charis SIL"/>
          <w:iCs/>
          <w:lang w:val="sv-SE"/>
        </w:rPr>
        <w:t>Newcastle upon Tyne: Cambridge Scholars Publishing.</w:t>
      </w:r>
    </w:p>
    <w:p w14:paraId="2FEA8A80" w14:textId="77777777" w:rsidR="00DD5337" w:rsidRPr="00FB4EFA" w:rsidRDefault="00DD5337" w:rsidP="00545A5C">
      <w:pPr>
        <w:keepLines/>
        <w:suppressAutoHyphens/>
        <w:spacing w:line="240" w:lineRule="auto"/>
        <w:ind w:left="425" w:hanging="425"/>
        <w:rPr>
          <w:rFonts w:cs="Charis SIL"/>
          <w:lang w:val="sv-SE"/>
        </w:rPr>
      </w:pPr>
      <w:r w:rsidRPr="00FB4EFA">
        <w:rPr>
          <w:rFonts w:cs="Charis SIL"/>
          <w:lang w:val="sv-SE"/>
        </w:rPr>
        <w:t xml:space="preserve">Malmio, Kristina. 2000a. Aina – Rekommenderas för folket! Moral, estetik och litteratur för den stora den stora allmänheten. I Derek Fewster (red.), </w:t>
      </w:r>
      <w:r w:rsidRPr="00FB4EFA">
        <w:rPr>
          <w:rFonts w:cs="Charis SIL"/>
          <w:i/>
          <w:iCs/>
          <w:lang w:val="sv-SE"/>
        </w:rPr>
        <w:t xml:space="preserve">Folket. Studier i olika vetenskapers syn på begreppet </w:t>
      </w:r>
      <w:r w:rsidRPr="00FB4EFA">
        <w:rPr>
          <w:rFonts w:cs="Charis SIL"/>
          <w:iCs/>
          <w:lang w:val="sv-SE"/>
        </w:rPr>
        <w:t>folk</w:t>
      </w:r>
      <w:r w:rsidRPr="00FB4EFA">
        <w:rPr>
          <w:rFonts w:cs="Charis SIL"/>
          <w:i/>
          <w:iCs/>
          <w:lang w:val="sv-SE"/>
        </w:rPr>
        <w:t xml:space="preserve">, </w:t>
      </w:r>
      <w:r w:rsidRPr="00FB4EFA">
        <w:rPr>
          <w:rFonts w:cs="Charis SIL"/>
          <w:lang w:val="sv-SE"/>
        </w:rPr>
        <w:t>67</w:t>
      </w:r>
      <w:r w:rsidRPr="00FB4EFA">
        <w:rPr>
          <w:rFonts w:cs="Charis SIL"/>
          <w:iCs/>
          <w:lang w:val="sv-SE"/>
        </w:rPr>
        <w:t>‒80</w:t>
      </w:r>
      <w:r w:rsidRPr="00FB4EFA">
        <w:rPr>
          <w:rFonts w:cs="Charis SIL"/>
          <w:lang w:val="sv-SE"/>
        </w:rPr>
        <w:t>. Helsingfors: Skrifter utgivna av Svenska litteratursällskapet i Finland nr 626, Svenska litteratursällskapet i Finland.</w:t>
      </w:r>
    </w:p>
    <w:p w14:paraId="53D011FD" w14:textId="77777777" w:rsidR="00DD5337" w:rsidRPr="00FB4EFA" w:rsidRDefault="00DD5337" w:rsidP="00545A5C">
      <w:pPr>
        <w:suppressAutoHyphens/>
        <w:spacing w:line="240" w:lineRule="auto"/>
        <w:ind w:left="426" w:hanging="426"/>
        <w:rPr>
          <w:rFonts w:cs="Charis SIL"/>
          <w:iCs/>
          <w:lang w:val="sv-SE"/>
        </w:rPr>
      </w:pPr>
      <w:r w:rsidRPr="00FB4EFA">
        <w:rPr>
          <w:rFonts w:cs="Charis SIL"/>
          <w:lang w:val="sv-SE"/>
        </w:rPr>
        <w:t xml:space="preserve">Malmio, Kristina. 2000b. Populärlitteraturen. I Clas Zilliacus (huvudred.), </w:t>
      </w:r>
      <w:r w:rsidRPr="00FB4EFA">
        <w:rPr>
          <w:rFonts w:cs="Charis SIL"/>
          <w:i/>
          <w:iCs/>
          <w:lang w:val="sv-SE"/>
        </w:rPr>
        <w:t>Finlands svenska litteraturhistoria. Andra delen: 1900-talet</w:t>
      </w:r>
      <w:r w:rsidRPr="00FB4EFA">
        <w:rPr>
          <w:rFonts w:cs="Charis SIL"/>
          <w:iCs/>
          <w:lang w:val="sv-SE"/>
        </w:rPr>
        <w:t>, 161‒174. Helsingfors: Svenska litteratursällskapet i Finland.</w:t>
      </w:r>
    </w:p>
    <w:p w14:paraId="704EE74E"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Malmio, Kristina. 2005. </w:t>
      </w:r>
      <w:r w:rsidRPr="00FB4EFA">
        <w:rPr>
          <w:rFonts w:cs="Charis SIL"/>
          <w:i/>
          <w:lang w:val="sv-SE"/>
        </w:rPr>
        <w:t>Ett skrattretande (för)fall. Teatraliskt metaspråk, förströelselitteratur och den bildade klassen i Finland på 1910- och 1920-talen</w:t>
      </w:r>
      <w:r w:rsidRPr="00FB4EFA">
        <w:rPr>
          <w:rFonts w:cs="Charis SIL"/>
          <w:lang w:val="sv-SE"/>
        </w:rPr>
        <w:t>. Helsingfors: Helsingfors universitet.</w:t>
      </w:r>
    </w:p>
    <w:p w14:paraId="1E0C97B8" w14:textId="39A18592" w:rsidR="00DD5337" w:rsidRPr="00FB4EFA" w:rsidRDefault="00DD5337" w:rsidP="00545A5C">
      <w:pPr>
        <w:suppressAutoHyphens/>
        <w:spacing w:line="240" w:lineRule="auto"/>
        <w:ind w:left="426" w:hanging="426"/>
        <w:rPr>
          <w:rFonts w:cs="Charis SIL"/>
          <w:lang w:val="fi-FI"/>
        </w:rPr>
      </w:pPr>
      <w:r w:rsidRPr="00FB4EFA">
        <w:rPr>
          <w:rFonts w:cs="Charis SIL"/>
          <w:lang w:val="sv-SE"/>
        </w:rPr>
        <w:t xml:space="preserve">Malmio, Kristina. </w:t>
      </w:r>
      <w:r w:rsidRPr="00FB4EFA">
        <w:rPr>
          <w:rFonts w:cs="Charis SIL"/>
          <w:lang w:val="fi-FI"/>
        </w:rPr>
        <w:t xml:space="preserve">2013. </w:t>
      </w:r>
      <w:r w:rsidRPr="00FB4EFA">
        <w:rPr>
          <w:rFonts w:eastAsiaTheme="minorEastAsia" w:cs="Charis SIL"/>
          <w:szCs w:val="24"/>
          <w:lang w:val="fi-FI"/>
        </w:rPr>
        <w:t>Suomenruotsalaisen kirjallisuusinstituution erityispiirteitä. I Mika Hallila et al. (red.),</w:t>
      </w:r>
      <w:r w:rsidRPr="00FB4EFA">
        <w:rPr>
          <w:rFonts w:eastAsiaTheme="minorEastAsia" w:cs="Charis SIL"/>
          <w:i/>
          <w:iCs/>
          <w:szCs w:val="24"/>
          <w:lang w:val="fi-FI"/>
        </w:rPr>
        <w:t xml:space="preserve"> Suomen nykykirjallisuus 2. Kirjallinen elämä ja yhteiskunta</w:t>
      </w:r>
      <w:r w:rsidRPr="00FB4EFA">
        <w:rPr>
          <w:rFonts w:eastAsiaTheme="minorEastAsia" w:cs="Charis SIL"/>
          <w:iCs/>
          <w:szCs w:val="24"/>
          <w:lang w:val="fi-FI"/>
        </w:rPr>
        <w:t>, 192</w:t>
      </w:r>
      <w:r w:rsidRPr="00FB4EFA">
        <w:rPr>
          <w:rFonts w:cs="Charis SIL"/>
          <w:iCs/>
          <w:lang w:val="fi-FI"/>
        </w:rPr>
        <w:t>‒193</w:t>
      </w:r>
      <w:r w:rsidRPr="00FB4EFA">
        <w:rPr>
          <w:rFonts w:eastAsiaTheme="minorEastAsia" w:cs="Charis SIL"/>
          <w:iCs/>
          <w:szCs w:val="24"/>
          <w:lang w:val="fi-FI"/>
        </w:rPr>
        <w:t xml:space="preserve">. Helsinki: </w:t>
      </w:r>
      <w:r w:rsidR="00F9255F" w:rsidRPr="00FB4EFA">
        <w:rPr>
          <w:rFonts w:eastAsiaTheme="minorEastAsia" w:cs="Charis SIL"/>
          <w:szCs w:val="24"/>
          <w:lang w:val="fi-FI"/>
        </w:rPr>
        <w:t>SKS</w:t>
      </w:r>
      <w:r w:rsidRPr="00FB4EFA">
        <w:rPr>
          <w:rFonts w:eastAsiaTheme="minorEastAsia" w:cs="Charis SIL"/>
          <w:szCs w:val="24"/>
          <w:lang w:val="fi-FI"/>
        </w:rPr>
        <w:t>.</w:t>
      </w:r>
    </w:p>
    <w:p w14:paraId="64253566" w14:textId="4EFF6DF8" w:rsidR="00DD5337" w:rsidRPr="00FB4EFA" w:rsidRDefault="00DD5337" w:rsidP="00545A5C">
      <w:pPr>
        <w:suppressAutoHyphens/>
        <w:spacing w:line="240" w:lineRule="auto"/>
        <w:ind w:left="426" w:hanging="426"/>
        <w:rPr>
          <w:rFonts w:cs="Charis SIL"/>
          <w:lang w:val="fi-FI"/>
        </w:rPr>
      </w:pPr>
      <w:r w:rsidRPr="00FB4EFA">
        <w:rPr>
          <w:rFonts w:cs="Charis SIL"/>
          <w:lang w:val="en-US"/>
        </w:rPr>
        <w:t>Malmio, Kristina. 2020. Finland-Swedish minority literature: social, economic, cultural and literary aspects. I Johanna Laakso (</w:t>
      </w:r>
      <w:r w:rsidR="001E6714" w:rsidRPr="00FB4EFA">
        <w:rPr>
          <w:rFonts w:cs="Charis SIL"/>
          <w:lang w:val="en-US"/>
        </w:rPr>
        <w:t>red</w:t>
      </w:r>
      <w:r w:rsidRPr="00FB4EFA">
        <w:rPr>
          <w:rFonts w:cs="Charis SIL"/>
          <w:lang w:val="en-US"/>
        </w:rPr>
        <w:t xml:space="preserve">.), </w:t>
      </w:r>
      <w:r w:rsidRPr="00FB4EFA">
        <w:rPr>
          <w:rFonts w:cs="Charis SIL"/>
          <w:i/>
          <w:iCs/>
          <w:lang w:val="en-US"/>
        </w:rPr>
        <w:t>Ways of being in the world: Studies on minority literatures</w:t>
      </w:r>
      <w:r w:rsidRPr="00FB4EFA">
        <w:rPr>
          <w:rFonts w:cs="Charis SIL"/>
          <w:lang w:val="en-US"/>
        </w:rPr>
        <w:t xml:space="preserve">, 29‒47. </w:t>
      </w:r>
      <w:r w:rsidRPr="00FB4EFA">
        <w:rPr>
          <w:rFonts w:cs="Charis SIL"/>
          <w:lang w:val="fi-FI"/>
        </w:rPr>
        <w:t>Central-European Uralic Studies 1. Wien: Praesens Verlag.</w:t>
      </w:r>
    </w:p>
    <w:p w14:paraId="027E75CE" w14:textId="3340C217" w:rsidR="00DD5337" w:rsidRPr="00FB4EFA" w:rsidRDefault="00DD5337" w:rsidP="00545A5C">
      <w:pPr>
        <w:suppressAutoHyphens/>
        <w:spacing w:line="240" w:lineRule="auto"/>
        <w:ind w:left="426" w:hanging="426"/>
        <w:rPr>
          <w:rFonts w:cs="Charis SIL"/>
          <w:lang w:val="sv-SE"/>
        </w:rPr>
      </w:pPr>
      <w:r w:rsidRPr="00FB4EFA">
        <w:rPr>
          <w:rFonts w:cs="Charis SIL"/>
          <w:lang w:val="fi-FI"/>
        </w:rPr>
        <w:t xml:space="preserve">Malmio, Kristina. 2021. Elmer Diktonius, mediat, materiaalisuus ja suomenruotsalaisen modernismin pitkä, kuolemanjälkeinen elämä. I Irmeli Hautamäki, Laura Piippo ja Helena Sederberg (toim.), </w:t>
      </w:r>
      <w:r w:rsidRPr="00FB4EFA">
        <w:rPr>
          <w:rFonts w:cs="Charis SIL"/>
          <w:i/>
          <w:iCs/>
          <w:lang w:val="fi-FI"/>
        </w:rPr>
        <w:t>Avantgarde Suomessa</w:t>
      </w:r>
      <w:r w:rsidRPr="00FB4EFA">
        <w:rPr>
          <w:rFonts w:cs="Charis SIL"/>
          <w:lang w:val="fi-FI"/>
        </w:rPr>
        <w:t>, 61</w:t>
      </w:r>
      <w:r w:rsidRPr="00FB4EFA">
        <w:rPr>
          <w:rFonts w:cs="Charis SIL"/>
          <w:iCs/>
          <w:lang w:val="fi-FI"/>
        </w:rPr>
        <w:t>‒</w:t>
      </w:r>
      <w:r w:rsidRPr="00FB4EFA">
        <w:rPr>
          <w:rFonts w:cs="Charis SIL"/>
          <w:lang w:val="fi-FI"/>
        </w:rPr>
        <w:t xml:space="preserve">87. </w:t>
      </w:r>
      <w:r w:rsidRPr="00FB4EFA">
        <w:rPr>
          <w:rFonts w:cs="Charis SIL"/>
          <w:lang w:val="sv-SE"/>
        </w:rPr>
        <w:t xml:space="preserve">Helsinki: </w:t>
      </w:r>
      <w:r w:rsidR="00F9255F" w:rsidRPr="00FB4EFA">
        <w:rPr>
          <w:rFonts w:cs="Charis SIL"/>
          <w:lang w:val="sv-SE"/>
        </w:rPr>
        <w:t>SKS</w:t>
      </w:r>
      <w:r w:rsidRPr="00FB4EFA">
        <w:rPr>
          <w:rFonts w:cs="Charis SIL"/>
          <w:lang w:val="sv-SE"/>
        </w:rPr>
        <w:t>.</w:t>
      </w:r>
    </w:p>
    <w:p w14:paraId="487A1AF4" w14:textId="14295919" w:rsidR="00DD5337" w:rsidRPr="00FB4EFA" w:rsidRDefault="00DD5337" w:rsidP="00545A5C">
      <w:pPr>
        <w:suppressAutoHyphens/>
        <w:spacing w:line="240" w:lineRule="auto"/>
        <w:ind w:left="426" w:hanging="426"/>
        <w:rPr>
          <w:rFonts w:cs="Charis SIL"/>
          <w:lang w:val="sv-SE"/>
        </w:rPr>
      </w:pPr>
      <w:r w:rsidRPr="00FB4EFA">
        <w:rPr>
          <w:rFonts w:cs="Charis SIL"/>
          <w:lang w:val="sv-SE"/>
        </w:rPr>
        <w:lastRenderedPageBreak/>
        <w:t xml:space="preserve">Meinander, Henrik. 2012. </w:t>
      </w:r>
      <w:r w:rsidRPr="00FB4EFA">
        <w:rPr>
          <w:rFonts w:cs="Charis SIL"/>
          <w:i/>
          <w:lang w:val="sv-SE"/>
        </w:rPr>
        <w:t>Republiken Finland igår och idag. Finlands historia från inbördeskriget till 2012</w:t>
      </w:r>
      <w:r w:rsidRPr="00FB4EFA">
        <w:rPr>
          <w:rFonts w:cs="Charis SIL"/>
          <w:lang w:val="sv-SE"/>
        </w:rPr>
        <w:t>. Helsingfors: Schildts &amp; Söderströms.</w:t>
      </w:r>
    </w:p>
    <w:p w14:paraId="0F68E88C" w14:textId="77777777" w:rsidR="00DD5337" w:rsidRPr="00FB4EFA" w:rsidRDefault="00DD5337" w:rsidP="00545A5C">
      <w:pPr>
        <w:suppressAutoHyphens/>
        <w:spacing w:line="240" w:lineRule="auto"/>
        <w:ind w:left="426" w:hanging="426"/>
        <w:rPr>
          <w:rFonts w:cs="Charis SIL"/>
          <w:lang w:val="en-US"/>
        </w:rPr>
      </w:pPr>
      <w:r w:rsidRPr="00FB4EFA">
        <w:rPr>
          <w:rFonts w:cs="Charis SIL"/>
          <w:lang w:val="sv-SE"/>
        </w:rPr>
        <w:t xml:space="preserve">Meurer-Bongardt, Judith. 2011. </w:t>
      </w:r>
      <w:r w:rsidRPr="00FB4EFA">
        <w:rPr>
          <w:rFonts w:cs="Charis SIL"/>
          <w:i/>
          <w:lang w:val="sv-SE"/>
        </w:rPr>
        <w:t>Wo Atlantis am Horizont leuchtet oder eine Reise zum Mittelpunkt des Menschen. Utopisches Denken in den Schriften Hagar Olssons</w:t>
      </w:r>
      <w:r w:rsidRPr="00FB4EFA">
        <w:rPr>
          <w:rFonts w:cs="Charis SIL"/>
          <w:lang w:val="sv-SE"/>
        </w:rPr>
        <w:t xml:space="preserve">. </w:t>
      </w:r>
      <w:r w:rsidRPr="00FB4EFA">
        <w:rPr>
          <w:rFonts w:cs="Charis SIL"/>
          <w:lang w:val="en-US"/>
        </w:rPr>
        <w:t>Åbo: Åbo Akademis förlag.</w:t>
      </w:r>
    </w:p>
    <w:p w14:paraId="46AE0E89" w14:textId="12680D86" w:rsidR="00DD5337" w:rsidRPr="00FB4EFA" w:rsidRDefault="00DD5337" w:rsidP="00545A5C">
      <w:pPr>
        <w:suppressAutoHyphens/>
        <w:spacing w:line="240" w:lineRule="auto"/>
        <w:ind w:left="426" w:hanging="426"/>
        <w:rPr>
          <w:rFonts w:cs="Charis SIL"/>
          <w:lang w:val="en-US"/>
        </w:rPr>
      </w:pPr>
      <w:r w:rsidRPr="00FB4EFA">
        <w:rPr>
          <w:rFonts w:cs="Charis SIL"/>
          <w:lang w:val="en-US"/>
        </w:rPr>
        <w:t xml:space="preserve">Moretti, Franco. 1983. </w:t>
      </w:r>
      <w:r w:rsidRPr="00FB4EFA">
        <w:rPr>
          <w:rFonts w:cs="Charis SIL"/>
          <w:i/>
          <w:lang w:val="en-US"/>
        </w:rPr>
        <w:t>Signs taken for wonders</w:t>
      </w:r>
      <w:r w:rsidRPr="00FB4EFA">
        <w:rPr>
          <w:rFonts w:cs="Charis SIL"/>
          <w:lang w:val="en-US"/>
        </w:rPr>
        <w:t xml:space="preserve">. </w:t>
      </w:r>
      <w:r w:rsidRPr="00FB4EFA">
        <w:rPr>
          <w:rFonts w:cs="Charis SIL"/>
          <w:i/>
          <w:lang w:val="en-US"/>
        </w:rPr>
        <w:t>Essays in the sociology of literary forms</w:t>
      </w:r>
      <w:r w:rsidRPr="00FB4EFA">
        <w:rPr>
          <w:rFonts w:cs="Charis SIL"/>
          <w:lang w:val="en-US"/>
        </w:rPr>
        <w:t>. London: Verso.</w:t>
      </w:r>
    </w:p>
    <w:p w14:paraId="1E708925" w14:textId="02DCEBC8" w:rsidR="00DD5337" w:rsidRPr="00FB4EFA" w:rsidRDefault="00DD5337" w:rsidP="00545A5C">
      <w:pPr>
        <w:suppressAutoHyphens/>
        <w:spacing w:line="240" w:lineRule="auto"/>
        <w:ind w:left="426" w:hanging="426"/>
        <w:rPr>
          <w:rFonts w:cs="Charis SIL"/>
          <w:lang w:val="en-US"/>
        </w:rPr>
      </w:pPr>
      <w:r w:rsidRPr="00FB4EFA">
        <w:rPr>
          <w:rFonts w:cs="Charis SIL"/>
          <w:lang w:val="en-US"/>
        </w:rPr>
        <w:t xml:space="preserve">Moretti, Franco. 2005. </w:t>
      </w:r>
      <w:r w:rsidRPr="00FB4EFA">
        <w:rPr>
          <w:rFonts w:cs="Charis SIL"/>
          <w:i/>
          <w:lang w:val="en-US"/>
        </w:rPr>
        <w:t>Graphs, maps, trees. Abstract models for literary history</w:t>
      </w:r>
      <w:r w:rsidRPr="00FB4EFA">
        <w:rPr>
          <w:rFonts w:cs="Charis SIL"/>
          <w:lang w:val="en-US"/>
        </w:rPr>
        <w:t>.</w:t>
      </w:r>
      <w:r w:rsidR="00A82FE2" w:rsidRPr="00FB4EFA">
        <w:rPr>
          <w:rFonts w:cs="Charis SIL"/>
          <w:lang w:val="en-US"/>
        </w:rPr>
        <w:t xml:space="preserve"> London: Verso</w:t>
      </w:r>
      <w:r w:rsidRPr="00FB4EFA">
        <w:rPr>
          <w:rFonts w:cs="Charis SIL"/>
          <w:lang w:val="en-US"/>
        </w:rPr>
        <w:t>.</w:t>
      </w:r>
    </w:p>
    <w:p w14:paraId="5E4A0F14" w14:textId="07E7E5A9" w:rsidR="00DD5337" w:rsidRPr="00FB4EFA" w:rsidRDefault="00DD5337" w:rsidP="00545A5C">
      <w:pPr>
        <w:suppressAutoHyphens/>
        <w:spacing w:line="240" w:lineRule="auto"/>
        <w:ind w:left="426" w:hanging="426"/>
        <w:rPr>
          <w:rFonts w:cs="Charis SIL"/>
          <w:lang w:val="en-US"/>
        </w:rPr>
      </w:pPr>
      <w:r w:rsidRPr="00FB4EFA">
        <w:rPr>
          <w:rFonts w:cs="Charis SIL"/>
          <w:lang w:val="en-US"/>
        </w:rPr>
        <w:t xml:space="preserve">Moretti, Franco. 2013. </w:t>
      </w:r>
      <w:r w:rsidRPr="00FB4EFA">
        <w:rPr>
          <w:rFonts w:cs="Charis SIL"/>
          <w:i/>
          <w:lang w:val="en-US"/>
        </w:rPr>
        <w:t>Distant reading</w:t>
      </w:r>
      <w:r w:rsidRPr="00FB4EFA">
        <w:rPr>
          <w:rFonts w:cs="Charis SIL"/>
          <w:lang w:val="en-US"/>
        </w:rPr>
        <w:t xml:space="preserve">. </w:t>
      </w:r>
      <w:r w:rsidR="00A82FE2" w:rsidRPr="00FB4EFA">
        <w:rPr>
          <w:rFonts w:cs="Charis SIL"/>
          <w:lang w:val="en-US"/>
        </w:rPr>
        <w:t>London: Verso</w:t>
      </w:r>
      <w:r w:rsidRPr="00FB4EFA">
        <w:rPr>
          <w:rFonts w:cs="Charis SIL"/>
          <w:lang w:val="en-US"/>
        </w:rPr>
        <w:t>.</w:t>
      </w:r>
    </w:p>
    <w:p w14:paraId="5A316CC6" w14:textId="54BEB6A9"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Mustelin, Olof. 1983. </w:t>
      </w:r>
      <w:r w:rsidRPr="00FB4EFA">
        <w:rPr>
          <w:rFonts w:cs="Charis SIL"/>
          <w:i/>
          <w:lang w:val="sv-SE"/>
        </w:rPr>
        <w:t>En förläggare och några av hans författare</w:t>
      </w:r>
      <w:r w:rsidRPr="00FB4EFA">
        <w:rPr>
          <w:rFonts w:cs="Charis SIL"/>
          <w:lang w:val="sv-SE"/>
        </w:rPr>
        <w:t xml:space="preserve">. </w:t>
      </w:r>
      <w:r w:rsidRPr="00FB4EFA">
        <w:rPr>
          <w:rFonts w:cs="Charis SIL"/>
          <w:i/>
          <w:iCs/>
          <w:lang w:val="sv-SE"/>
        </w:rPr>
        <w:t>Kring Holger Schildts förläggaredebut 1913–1917</w:t>
      </w:r>
      <w:r w:rsidRPr="00FB4EFA">
        <w:rPr>
          <w:rFonts w:cs="Charis SIL"/>
          <w:lang w:val="sv-SE"/>
        </w:rPr>
        <w:t>. Helsingfors: Svenska folkskolans vänner.</w:t>
      </w:r>
    </w:p>
    <w:p w14:paraId="3526C118" w14:textId="6036F0AE"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Nygård, Stefan. </w:t>
      </w:r>
      <w:r w:rsidRPr="00FB4EFA">
        <w:rPr>
          <w:rFonts w:cs="Charis SIL"/>
          <w:lang w:val="en-US"/>
        </w:rPr>
        <w:t>2012. The national and the international in Ultra (1922) and Quosego (1928). I Hubert van den Berg &amp; al (</w:t>
      </w:r>
      <w:r w:rsidR="001E6714" w:rsidRPr="00FB4EFA">
        <w:rPr>
          <w:rFonts w:cs="Charis SIL"/>
          <w:lang w:val="en-US"/>
        </w:rPr>
        <w:t>red</w:t>
      </w:r>
      <w:r w:rsidRPr="00FB4EFA">
        <w:rPr>
          <w:rFonts w:cs="Charis SIL"/>
          <w:lang w:val="en-US"/>
        </w:rPr>
        <w:t xml:space="preserve">.), </w:t>
      </w:r>
      <w:r w:rsidRPr="00FB4EFA">
        <w:rPr>
          <w:rFonts w:cs="Charis SIL"/>
          <w:i/>
          <w:lang w:val="en-US"/>
        </w:rPr>
        <w:t>A cultural history of the avant-garde in the Nordic countries 1900‒1925</w:t>
      </w:r>
      <w:r w:rsidR="006B0534" w:rsidRPr="00FB4EFA">
        <w:rPr>
          <w:rFonts w:cs="Charis SIL"/>
          <w:iCs/>
          <w:lang w:val="en-US"/>
        </w:rPr>
        <w:t xml:space="preserve">, </w:t>
      </w:r>
      <w:r w:rsidRPr="00FB4EFA">
        <w:rPr>
          <w:rFonts w:cs="Charis SIL"/>
          <w:lang w:val="en-US"/>
        </w:rPr>
        <w:t>337‒350</w:t>
      </w:r>
      <w:r w:rsidR="006B0534" w:rsidRPr="00FB4EFA">
        <w:rPr>
          <w:rFonts w:cs="Charis SIL"/>
          <w:lang w:val="en-US"/>
        </w:rPr>
        <w:t xml:space="preserve">. </w:t>
      </w:r>
      <w:r w:rsidRPr="00FB4EFA">
        <w:rPr>
          <w:rFonts w:cs="Charis SIL"/>
          <w:lang w:val="sv-SE"/>
        </w:rPr>
        <w:t>Amsterdam</w:t>
      </w:r>
      <w:r w:rsidR="006B0534" w:rsidRPr="00FB4EFA">
        <w:rPr>
          <w:rFonts w:cs="Charis SIL"/>
          <w:lang w:val="sv-SE"/>
        </w:rPr>
        <w:t xml:space="preserve"> /</w:t>
      </w:r>
      <w:r w:rsidRPr="00FB4EFA">
        <w:rPr>
          <w:rFonts w:cs="Charis SIL"/>
          <w:lang w:val="sv-SE"/>
        </w:rPr>
        <w:t xml:space="preserve"> New York: Rodopi.</w:t>
      </w:r>
    </w:p>
    <w:p w14:paraId="2ACA9567" w14:textId="51EFFB8F"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Nygård, Stefan &amp; Tandefelt, Henrika. 2019. </w:t>
      </w:r>
      <w:r w:rsidRPr="00FB4EFA">
        <w:rPr>
          <w:rFonts w:cs="Charis SIL"/>
          <w:i/>
          <w:lang w:val="sv-SE"/>
        </w:rPr>
        <w:t>Skrivandets villkor och gemenskap. Finlands svenska författareförening 1919</w:t>
      </w:r>
      <w:r w:rsidRPr="00FB4EFA">
        <w:rPr>
          <w:rFonts w:cs="Charis SIL"/>
          <w:lang w:val="sv-SE"/>
        </w:rPr>
        <w:t>–</w:t>
      </w:r>
      <w:r w:rsidRPr="00FB4EFA">
        <w:rPr>
          <w:rFonts w:cs="Charis SIL"/>
          <w:i/>
          <w:lang w:val="sv-SE"/>
        </w:rPr>
        <w:t>2019</w:t>
      </w:r>
      <w:r w:rsidRPr="00FB4EFA">
        <w:rPr>
          <w:rFonts w:cs="Charis SIL"/>
          <w:lang w:val="sv-SE"/>
        </w:rPr>
        <w:t>. Helsingfors: Skrifter utgivna av Svenska litteratursällskapet i Finland.</w:t>
      </w:r>
    </w:p>
    <w:p w14:paraId="38D26889" w14:textId="3946DBC5" w:rsidR="00DD5337" w:rsidRPr="00FB4EFA" w:rsidRDefault="00DD5337" w:rsidP="00545A5C">
      <w:pPr>
        <w:suppressAutoHyphens/>
        <w:spacing w:line="240" w:lineRule="auto"/>
        <w:ind w:left="426" w:hanging="426"/>
        <w:rPr>
          <w:rFonts w:cs="Charis SIL"/>
          <w:lang w:val="fi-FI"/>
        </w:rPr>
      </w:pPr>
      <w:r w:rsidRPr="00FB4EFA">
        <w:rPr>
          <w:rFonts w:cs="Charis SIL"/>
          <w:lang w:val="fi-FI"/>
        </w:rPr>
        <w:t xml:space="preserve">Pakarinen, Simo. 1924. </w:t>
      </w:r>
      <w:r w:rsidRPr="00FB4EFA">
        <w:rPr>
          <w:rFonts w:cs="Charis SIL"/>
          <w:i/>
          <w:lang w:val="fi-FI"/>
        </w:rPr>
        <w:t>Suomalainen kirjallisuus 1916–1920 Aakkosellinen ja aineenmukainen luettelo</w:t>
      </w:r>
      <w:r w:rsidRPr="00FB4EFA">
        <w:rPr>
          <w:rFonts w:cs="Charis SIL"/>
          <w:lang w:val="fi-FI"/>
        </w:rPr>
        <w:t xml:space="preserve">. Helsinki: </w:t>
      </w:r>
      <w:r w:rsidR="00F9255F" w:rsidRPr="00FB4EFA">
        <w:rPr>
          <w:rFonts w:cs="Charis SIL"/>
          <w:lang w:val="fi-FI"/>
        </w:rPr>
        <w:t>SKS</w:t>
      </w:r>
      <w:r w:rsidRPr="00FB4EFA">
        <w:rPr>
          <w:rFonts w:cs="Charis SIL"/>
          <w:lang w:val="fi-FI"/>
        </w:rPr>
        <w:t>.</w:t>
      </w:r>
    </w:p>
    <w:p w14:paraId="7B011A9F"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fi-FI"/>
        </w:rPr>
        <w:t xml:space="preserve">Rahikainen, Agneta. </w:t>
      </w:r>
      <w:r w:rsidRPr="00FB4EFA">
        <w:rPr>
          <w:rFonts w:cs="Charis SIL"/>
          <w:lang w:val="sv-SE"/>
        </w:rPr>
        <w:t>2014a</w:t>
      </w:r>
      <w:r w:rsidRPr="00FB4EFA">
        <w:rPr>
          <w:rFonts w:cs="Charis SIL"/>
          <w:lang w:val="fi-FI"/>
        </w:rPr>
        <w:t xml:space="preserve">. Poeten och hennes apostlar. </w:t>
      </w:r>
      <w:r w:rsidRPr="00FB4EFA">
        <w:rPr>
          <w:rFonts w:cs="Charis SIL"/>
          <w:lang w:val="sv-SE"/>
        </w:rPr>
        <w:t>En biomytografisk analys av Edith Södergranbilden. Helsingfors: Helsingfors universitet.</w:t>
      </w:r>
    </w:p>
    <w:p w14:paraId="74673135" w14:textId="0CC57389"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Rahikainen, Agneta. 2014b. </w:t>
      </w:r>
      <w:r w:rsidRPr="00FB4EFA">
        <w:rPr>
          <w:rFonts w:cs="Charis SIL"/>
          <w:i/>
          <w:lang w:val="sv-SE"/>
        </w:rPr>
        <w:t>Kampen om Edith</w:t>
      </w:r>
      <w:r w:rsidRPr="00FB4EFA">
        <w:rPr>
          <w:rFonts w:cs="Charis SIL"/>
          <w:lang w:val="sv-SE"/>
        </w:rPr>
        <w:t xml:space="preserve">. </w:t>
      </w:r>
      <w:r w:rsidRPr="00FB4EFA">
        <w:rPr>
          <w:rFonts w:cs="Charis SIL"/>
          <w:i/>
          <w:lang w:val="sv-SE"/>
        </w:rPr>
        <w:t>Biografi och myt om Edith Södergran</w:t>
      </w:r>
      <w:r w:rsidRPr="00FB4EFA">
        <w:rPr>
          <w:rFonts w:cs="Charis SIL"/>
          <w:lang w:val="sv-SE"/>
        </w:rPr>
        <w:t>. Helsingfors: Schildts &amp; Söderströms.</w:t>
      </w:r>
    </w:p>
    <w:p w14:paraId="35D7AA60" w14:textId="74CE247F" w:rsidR="00DD5337" w:rsidRPr="00FB4EFA" w:rsidRDefault="00DD5337" w:rsidP="00545A5C">
      <w:pPr>
        <w:suppressAutoHyphens/>
        <w:spacing w:line="240" w:lineRule="auto"/>
        <w:ind w:left="426" w:hanging="426"/>
        <w:rPr>
          <w:rFonts w:cs="Charis SIL"/>
          <w:lang w:val="fi-FI"/>
        </w:rPr>
      </w:pPr>
      <w:r w:rsidRPr="00FB4EFA">
        <w:rPr>
          <w:rFonts w:cs="Charis SIL"/>
          <w:lang w:val="sv-SE"/>
        </w:rPr>
        <w:t xml:space="preserve">Riitamaa, Tomi. 2018. Det eviga problemet Sverige. Om utgivningen av ny finlandssvensk litteratur i sverigesvenska delupplagor åren 2000–2016. </w:t>
      </w:r>
      <w:r w:rsidRPr="00FB4EFA">
        <w:rPr>
          <w:rFonts w:cs="Charis SIL"/>
          <w:i/>
          <w:lang w:val="fi-FI"/>
        </w:rPr>
        <w:t>Historiska och litteraturhistoriska studier</w:t>
      </w:r>
      <w:r w:rsidRPr="00FB4EFA">
        <w:rPr>
          <w:rFonts w:cs="Charis SIL"/>
          <w:lang w:val="fi-FI"/>
        </w:rPr>
        <w:t xml:space="preserve"> 93</w:t>
      </w:r>
      <w:r w:rsidR="007C120E" w:rsidRPr="00FB4EFA">
        <w:rPr>
          <w:rFonts w:cs="Charis SIL"/>
          <w:lang w:val="fi-FI"/>
        </w:rPr>
        <w:t>.</w:t>
      </w:r>
      <w:r w:rsidRPr="00FB4EFA">
        <w:rPr>
          <w:rFonts w:cs="Charis SIL"/>
          <w:lang w:val="fi-FI"/>
        </w:rPr>
        <w:t xml:space="preserve"> 17</w:t>
      </w:r>
      <w:r w:rsidRPr="00FB4EFA">
        <w:rPr>
          <w:rFonts w:cs="Charis SIL"/>
          <w:iCs/>
          <w:lang w:val="fi-FI"/>
        </w:rPr>
        <w:t>‒</w:t>
      </w:r>
      <w:r w:rsidRPr="00FB4EFA">
        <w:rPr>
          <w:rFonts w:cs="Charis SIL"/>
          <w:lang w:val="fi-FI"/>
        </w:rPr>
        <w:t>46.</w:t>
      </w:r>
    </w:p>
    <w:p w14:paraId="2DB002E9" w14:textId="48690081" w:rsidR="00DD5337" w:rsidRPr="00FB4EFA" w:rsidRDefault="00DD5337" w:rsidP="00545A5C">
      <w:pPr>
        <w:suppressAutoHyphens/>
        <w:spacing w:line="240" w:lineRule="auto"/>
        <w:ind w:left="426" w:hanging="426"/>
        <w:rPr>
          <w:rFonts w:cs="Charis SIL"/>
          <w:lang w:val="sv-SE"/>
        </w:rPr>
      </w:pPr>
      <w:r w:rsidRPr="00FB4EFA">
        <w:rPr>
          <w:rFonts w:cs="Charis SIL"/>
          <w:lang w:val="fi-FI"/>
        </w:rPr>
        <w:t xml:space="preserve">Sevänen, Erkki. 1994. </w:t>
      </w:r>
      <w:r w:rsidRPr="00FB4EFA">
        <w:rPr>
          <w:rFonts w:cs="Charis SIL"/>
          <w:i/>
          <w:lang w:val="fi-FI"/>
        </w:rPr>
        <w:t xml:space="preserve">Vapauden rajat. Kirjallisuuden tuotannon ja välityksen yhteiskunnallinen sääntely Suomessa vuosina 1918–39. </w:t>
      </w:r>
      <w:r w:rsidRPr="00FB4EFA">
        <w:rPr>
          <w:rFonts w:cs="Charis SIL"/>
          <w:lang w:val="sv-SE"/>
        </w:rPr>
        <w:t xml:space="preserve">Helsinki: </w:t>
      </w:r>
      <w:r w:rsidR="001C2D40" w:rsidRPr="00FB4EFA">
        <w:rPr>
          <w:rFonts w:cs="Charis SIL"/>
          <w:lang w:val="sv-SE"/>
        </w:rPr>
        <w:t>SKS</w:t>
      </w:r>
      <w:r w:rsidRPr="00FB4EFA">
        <w:rPr>
          <w:rFonts w:cs="Charis SIL"/>
          <w:lang w:val="sv-SE"/>
        </w:rPr>
        <w:t>.</w:t>
      </w:r>
    </w:p>
    <w:p w14:paraId="546C7CE9"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Stjernschantz Göran. 1991. </w:t>
      </w:r>
      <w:r w:rsidRPr="00FB4EFA">
        <w:rPr>
          <w:rFonts w:cs="Charis SIL"/>
          <w:i/>
          <w:lang w:val="sv-SE"/>
        </w:rPr>
        <w:t>Ett förlag och dess författare. Söderström &amp; C:o förlags Ab 1891–1991</w:t>
      </w:r>
      <w:r w:rsidRPr="00FB4EFA">
        <w:rPr>
          <w:rFonts w:cs="Charis SIL"/>
          <w:lang w:val="sv-SE"/>
        </w:rPr>
        <w:t>. Helsingfors: Söderströms.</w:t>
      </w:r>
    </w:p>
    <w:p w14:paraId="6100CF6F"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Sundholm, John. 2000. Den klassiska detektivromanen. I Clas Zilliacus (huvudred.), </w:t>
      </w:r>
      <w:r w:rsidRPr="00FB4EFA">
        <w:rPr>
          <w:rFonts w:cs="Charis SIL"/>
          <w:i/>
          <w:iCs/>
          <w:lang w:val="sv-SE"/>
        </w:rPr>
        <w:t>Finlands svenska litteraturhistoria. Andra delen: 1900-talet</w:t>
      </w:r>
      <w:r w:rsidRPr="00FB4EFA">
        <w:rPr>
          <w:rFonts w:cs="Charis SIL"/>
          <w:iCs/>
          <w:lang w:val="sv-SE"/>
        </w:rPr>
        <w:t>. Helsingfors: Svenska litteratursällskapet i Finland.</w:t>
      </w:r>
    </w:p>
    <w:p w14:paraId="7722B887" w14:textId="5B56C41D" w:rsidR="00DD5337" w:rsidRPr="00FB4EFA" w:rsidRDefault="00DD5337" w:rsidP="00545A5C">
      <w:pPr>
        <w:suppressAutoHyphens/>
        <w:spacing w:line="240" w:lineRule="auto"/>
        <w:ind w:left="426" w:hanging="426"/>
        <w:rPr>
          <w:rFonts w:cs="Charis SIL"/>
          <w:lang w:val="en-US"/>
        </w:rPr>
      </w:pPr>
      <w:r w:rsidRPr="00FB4EFA">
        <w:rPr>
          <w:rFonts w:cs="Charis SIL"/>
          <w:lang w:val="sv-SE"/>
        </w:rPr>
        <w:lastRenderedPageBreak/>
        <w:t xml:space="preserve">Tally, Robert T Jr. 2013. </w:t>
      </w:r>
      <w:r w:rsidRPr="00FB4EFA">
        <w:rPr>
          <w:rFonts w:cs="Charis SIL"/>
          <w:i/>
          <w:lang w:val="en-US"/>
        </w:rPr>
        <w:t>Spatiality.</w:t>
      </w:r>
      <w:r w:rsidRPr="00FB4EFA">
        <w:rPr>
          <w:rFonts w:cs="Charis SIL"/>
          <w:lang w:val="en-US"/>
        </w:rPr>
        <w:t xml:space="preserve"> The new critical idiom. London: Routledge.</w:t>
      </w:r>
    </w:p>
    <w:p w14:paraId="1F6A8E81" w14:textId="77777777" w:rsidR="008F73FD" w:rsidRPr="00FB4EFA" w:rsidRDefault="00DD5337" w:rsidP="00545A5C">
      <w:pPr>
        <w:suppressAutoHyphens/>
        <w:spacing w:line="240" w:lineRule="auto"/>
        <w:ind w:left="426" w:hanging="426"/>
        <w:rPr>
          <w:rFonts w:cs="Charis SIL"/>
          <w:lang w:val="sv-SE"/>
        </w:rPr>
      </w:pPr>
      <w:r w:rsidRPr="00FB4EFA">
        <w:rPr>
          <w:rFonts w:cs="Charis SIL"/>
          <w:lang w:val="en-US"/>
        </w:rPr>
        <w:t xml:space="preserve">Tidigs, Julia. </w:t>
      </w:r>
      <w:r w:rsidRPr="00FB4EFA">
        <w:rPr>
          <w:rFonts w:cs="Charis SIL"/>
          <w:lang w:val="sv-SE"/>
        </w:rPr>
        <w:t xml:space="preserve">2014. </w:t>
      </w:r>
      <w:r w:rsidRPr="00FB4EFA">
        <w:rPr>
          <w:rFonts w:cs="Charis SIL"/>
          <w:i/>
          <w:lang w:val="sv-SE"/>
        </w:rPr>
        <w:t>Att skriva sig över språkgränserna. Flerspråkighet i Jac. Ahrenbergs och Elmer Diktonius prosa</w:t>
      </w:r>
      <w:r w:rsidRPr="00FB4EFA">
        <w:rPr>
          <w:rFonts w:cs="Charis SIL"/>
          <w:lang w:val="sv-SE"/>
        </w:rPr>
        <w:t>. Åbo: Åbo Akademis förlag.</w:t>
      </w:r>
    </w:p>
    <w:p w14:paraId="5619CB42" w14:textId="5E4F3329"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Toftegaard Pedersen, Arne (red.). 2011. </w:t>
      </w:r>
      <w:r w:rsidRPr="00FB4EFA">
        <w:rPr>
          <w:rFonts w:cs="Charis SIL"/>
          <w:i/>
          <w:lang w:val="sv-SE"/>
        </w:rPr>
        <w:t>På fria villkor. Edith Södergran-studier</w:t>
      </w:r>
      <w:r w:rsidRPr="00FB4EFA">
        <w:rPr>
          <w:rFonts w:cs="Charis SIL"/>
          <w:lang w:val="sv-SE"/>
        </w:rPr>
        <w:t>. Helsingfors, Stockholm: Svenska litteratursällskapet i Finland, Bokförlaget Atlantis.</w:t>
      </w:r>
    </w:p>
    <w:p w14:paraId="369780A3" w14:textId="2EBB5EB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Vandenhaute, Daan. 2004. </w:t>
      </w:r>
      <w:r w:rsidRPr="00FB4EFA">
        <w:rPr>
          <w:rFonts w:cs="Charis SIL"/>
          <w:i/>
          <w:lang w:val="sv-SE"/>
        </w:rPr>
        <w:t>Om inträdet i världen. Lyrikdebutanterna i 1970-talets litterära fält</w:t>
      </w:r>
      <w:r w:rsidRPr="00FB4EFA">
        <w:rPr>
          <w:rFonts w:cs="Charis SIL"/>
          <w:lang w:val="sv-SE"/>
        </w:rPr>
        <w:t>. Hedemora: Gidlund.</w:t>
      </w:r>
    </w:p>
    <w:p w14:paraId="6D2EC900" w14:textId="44A75874" w:rsidR="00DD5337" w:rsidRPr="00FB4EFA" w:rsidRDefault="00DD5337" w:rsidP="00545A5C">
      <w:pPr>
        <w:suppressAutoHyphens/>
        <w:spacing w:line="240" w:lineRule="auto"/>
        <w:ind w:left="426" w:hanging="426"/>
        <w:rPr>
          <w:rFonts w:cs="Charis SIL"/>
          <w:lang w:val="sv-SE"/>
        </w:rPr>
      </w:pPr>
      <w:r w:rsidRPr="00FB4EFA">
        <w:rPr>
          <w:rFonts w:cs="Charis SIL"/>
          <w:lang w:val="sv-SE"/>
        </w:rPr>
        <w:t>Warburton, Thomas. 1984.</w:t>
      </w:r>
      <w:r w:rsidRPr="00FB4EFA">
        <w:rPr>
          <w:rFonts w:cs="Charis SIL"/>
          <w:i/>
          <w:lang w:val="sv-SE"/>
        </w:rPr>
        <w:t xml:space="preserve"> 80 år finlandssvensk litteratur. </w:t>
      </w:r>
      <w:r w:rsidRPr="00FB4EFA">
        <w:rPr>
          <w:rFonts w:cs="Charis SIL"/>
          <w:lang w:val="sv-SE"/>
        </w:rPr>
        <w:t>Helsingfors: Schildt.</w:t>
      </w:r>
    </w:p>
    <w:p w14:paraId="36E1F265"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Welander, Martin. 2013. Grå verklighet, gyllne fantasi – Skapandets problematik i R.R. Eklunds aforistiska författarskap. Helsingfors: Helsingfors universitet.</w:t>
      </w:r>
    </w:p>
    <w:p w14:paraId="151CEE07" w14:textId="1D225950"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Willner, Sven. 1979. </w:t>
      </w:r>
      <w:r w:rsidRPr="00FB4EFA">
        <w:rPr>
          <w:rFonts w:cs="Charis SIL"/>
          <w:i/>
          <w:lang w:val="sv-SE"/>
        </w:rPr>
        <w:t>Söner av nederlaget och andra essäer.</w:t>
      </w:r>
      <w:r w:rsidRPr="00FB4EFA">
        <w:rPr>
          <w:rFonts w:cs="Charis SIL"/>
          <w:lang w:val="sv-SE"/>
        </w:rPr>
        <w:t xml:space="preserve"> Ekenäs: Ekenäs tryckeri.</w:t>
      </w:r>
    </w:p>
    <w:p w14:paraId="11E43426"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Zilliacus, Clas. 2000. Finlandssvensk litteratur. I Clas Zilliacus (huvudred.), </w:t>
      </w:r>
      <w:r w:rsidRPr="00FB4EFA">
        <w:rPr>
          <w:rFonts w:cs="Charis SIL"/>
          <w:i/>
          <w:iCs/>
          <w:lang w:val="sv-SE"/>
        </w:rPr>
        <w:t>Finlands svenska litteraturhistoria. Andra delen: 1900-talet</w:t>
      </w:r>
      <w:r w:rsidRPr="00FB4EFA">
        <w:rPr>
          <w:rFonts w:cs="Charis SIL"/>
          <w:iCs/>
          <w:lang w:val="sv-SE"/>
        </w:rPr>
        <w:t>. Helsingfors: Svenska litteratursällskapet i Finland.</w:t>
      </w:r>
    </w:p>
    <w:p w14:paraId="7AB152B8" w14:textId="77777777"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Zilliacus, Clas (red.). 2011. </w:t>
      </w:r>
      <w:r w:rsidRPr="00FB4EFA">
        <w:rPr>
          <w:rFonts w:cs="Charis SIL"/>
          <w:i/>
          <w:lang w:val="sv-SE"/>
        </w:rPr>
        <w:t>Erhållit Europa vilket härmed erkännes. Henry Parland-studier</w:t>
      </w:r>
      <w:r w:rsidRPr="00FB4EFA">
        <w:rPr>
          <w:rFonts w:cs="Charis SIL"/>
          <w:lang w:val="sv-SE"/>
        </w:rPr>
        <w:t>. Skrifter utgivna av Svenska litteratursällskapet i Finland nr 750. Helsingfors: Svenska litteratursällskapet i Finland.</w:t>
      </w:r>
    </w:p>
    <w:p w14:paraId="7FBF5088" w14:textId="6F799376"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Zweygbergk, Ola. 1958. </w:t>
      </w:r>
      <w:r w:rsidRPr="00FB4EFA">
        <w:rPr>
          <w:rFonts w:cs="Charis SIL"/>
          <w:i/>
          <w:lang w:val="sv-SE"/>
        </w:rPr>
        <w:t>Om bokförlag och bokförläggare i Finland</w:t>
      </w:r>
      <w:r w:rsidRPr="00FB4EFA">
        <w:rPr>
          <w:rFonts w:cs="Charis SIL"/>
          <w:lang w:val="sv-SE"/>
        </w:rPr>
        <w:t xml:space="preserve">. </w:t>
      </w:r>
      <w:r w:rsidRPr="00FB4EFA">
        <w:rPr>
          <w:rFonts w:cs="Charis SIL"/>
          <w:i/>
          <w:lang w:val="sv-SE"/>
        </w:rPr>
        <w:t>En översikt</w:t>
      </w:r>
      <w:r w:rsidRPr="00FB4EFA">
        <w:rPr>
          <w:rFonts w:cs="Charis SIL"/>
          <w:lang w:val="sv-SE"/>
        </w:rPr>
        <w:t>. Helsingfors.</w:t>
      </w:r>
    </w:p>
    <w:p w14:paraId="69815CA0" w14:textId="68473DA8" w:rsidR="00DD5337" w:rsidRPr="00FB4EFA" w:rsidRDefault="00DD5337" w:rsidP="00545A5C">
      <w:pPr>
        <w:suppressAutoHyphens/>
        <w:spacing w:line="240" w:lineRule="auto"/>
        <w:ind w:left="426" w:hanging="426"/>
        <w:rPr>
          <w:rFonts w:cs="Charis SIL"/>
          <w:lang w:val="sv-SE"/>
        </w:rPr>
      </w:pPr>
      <w:r w:rsidRPr="00FB4EFA">
        <w:rPr>
          <w:rFonts w:cs="Charis SIL"/>
          <w:lang w:val="sv-SE"/>
        </w:rPr>
        <w:t xml:space="preserve">Ölander, Dolly. 1953. </w:t>
      </w:r>
      <w:r w:rsidRPr="00FB4EFA">
        <w:rPr>
          <w:rFonts w:cs="Charis SIL"/>
          <w:i/>
          <w:lang w:val="sv-SE"/>
        </w:rPr>
        <w:t xml:space="preserve">Katalog över den svenska litteraturen i Finland samt arbeten utgivna på främmande språk i Finland ävensom av finländska författare på svenska och främmande språk i utlandet. 1916–1925, 1: Allmän alfabetisk avdelning, tidskrifter, tidningar. </w:t>
      </w:r>
      <w:r w:rsidRPr="00FB4EFA">
        <w:rPr>
          <w:rFonts w:cs="Charis SIL"/>
          <w:lang w:val="sv-SE"/>
        </w:rPr>
        <w:t>Helsingfors: Skrifter utgivna av Svenska litteratursällskapet i Finland.</w:t>
      </w:r>
    </w:p>
    <w:p w14:paraId="3182BE70" w14:textId="77777777" w:rsidR="008F73FD" w:rsidRPr="00FB4EFA" w:rsidRDefault="00DD5337" w:rsidP="00545A5C">
      <w:pPr>
        <w:keepLines/>
        <w:suppressAutoHyphens/>
        <w:spacing w:line="240" w:lineRule="auto"/>
        <w:ind w:left="425" w:hanging="425"/>
        <w:rPr>
          <w:rFonts w:cs="Charis SIL"/>
          <w:lang w:val="sv-SE"/>
        </w:rPr>
      </w:pPr>
      <w:r w:rsidRPr="00FB4EFA">
        <w:rPr>
          <w:rFonts w:cs="Charis SIL"/>
          <w:lang w:val="sv-SE"/>
        </w:rPr>
        <w:t xml:space="preserve">Ölander, Dolly. 1958. </w:t>
      </w:r>
      <w:r w:rsidRPr="00FB4EFA">
        <w:rPr>
          <w:rFonts w:cs="Charis SIL"/>
          <w:i/>
          <w:lang w:val="sv-SE"/>
        </w:rPr>
        <w:t>Katalog över den svenska litteraturen i Finland samt arbeten utgivna på främmande språk i Finland ävensom av finländska författare på svenska och främmande språk i utlandet. 1916–1925, 2: Systematisk avdelning</w:t>
      </w:r>
      <w:r w:rsidRPr="00FB4EFA">
        <w:rPr>
          <w:rFonts w:cs="Charis SIL"/>
          <w:lang w:val="sv-SE"/>
        </w:rPr>
        <w:t>. Helsingfors: Skrifter utgivna av Svenska litteratursällskapet i Finland.</w:t>
      </w:r>
    </w:p>
    <w:p w14:paraId="563C4691" w14:textId="77777777" w:rsidR="008F73FD" w:rsidRPr="00FB4EFA" w:rsidRDefault="00DD5337" w:rsidP="00545A5C">
      <w:pPr>
        <w:suppressAutoHyphens/>
        <w:spacing w:line="240" w:lineRule="auto"/>
        <w:ind w:left="426" w:hanging="426"/>
        <w:rPr>
          <w:rFonts w:cs="Charis SIL"/>
          <w:lang w:val="sv-SE"/>
        </w:rPr>
      </w:pPr>
      <w:r w:rsidRPr="00FB4EFA">
        <w:rPr>
          <w:rFonts w:cs="Charis SIL"/>
          <w:lang w:val="sv-SE"/>
        </w:rPr>
        <w:t xml:space="preserve">Ölander, Dolly. 1974. </w:t>
      </w:r>
      <w:r w:rsidRPr="00FB4EFA">
        <w:rPr>
          <w:rFonts w:cs="Charis SIL"/>
          <w:i/>
          <w:lang w:val="sv-SE"/>
        </w:rPr>
        <w:t>Katalog över den svenska litteraturen i Finland samt arbeten utgivna på främmande språk i Finland och av finländska författare på svenska och främmande språk i utlandet 1926–1932</w:t>
      </w:r>
      <w:r w:rsidRPr="00FB4EFA">
        <w:rPr>
          <w:rFonts w:cs="Charis SIL"/>
          <w:lang w:val="sv-SE"/>
        </w:rPr>
        <w:t>, 2: Systematisk avdelning. Helsingfors: Skrifter utgivna av Svenska litteratursällskapet i Finland.</w:t>
      </w:r>
    </w:p>
    <w:p w14:paraId="477148BD" w14:textId="77777777" w:rsidR="00B62851" w:rsidRPr="00FB4EFA" w:rsidRDefault="00B62851">
      <w:pPr>
        <w:spacing w:after="160"/>
        <w:jc w:val="left"/>
        <w:rPr>
          <w:rFonts w:ascii="Gill Sans MT" w:eastAsia="Gill Sans MT" w:hAnsi="Gill Sans MT" w:cs="Gill Sans MT"/>
          <w:sz w:val="28"/>
          <w:lang w:val="en-GB" w:eastAsia="en-GB"/>
        </w:rPr>
      </w:pPr>
      <w:r w:rsidRPr="00FB4EFA">
        <w:br w:type="page"/>
      </w:r>
    </w:p>
    <w:p w14:paraId="3C989404" w14:textId="6FB32A79" w:rsidR="00DD5337" w:rsidRPr="00FB4EFA" w:rsidRDefault="00DD5337" w:rsidP="00545033">
      <w:pPr>
        <w:pStyle w:val="Heading2"/>
        <w:suppressAutoHyphens/>
        <w:spacing w:line="259" w:lineRule="auto"/>
        <w:rPr>
          <w:color w:val="auto"/>
        </w:rPr>
      </w:pPr>
      <w:r w:rsidRPr="00FB4EFA">
        <w:rPr>
          <w:color w:val="auto"/>
        </w:rPr>
        <w:lastRenderedPageBreak/>
        <w:t>Bilaga</w:t>
      </w:r>
    </w:p>
    <w:tbl>
      <w:tblPr>
        <w:tblW w:w="0" w:type="auto"/>
        <w:tblInd w:w="-5" w:type="dxa"/>
        <w:tblLook w:val="00A0" w:firstRow="1" w:lastRow="0" w:firstColumn="1" w:lastColumn="0" w:noHBand="0" w:noVBand="0"/>
      </w:tblPr>
      <w:tblGrid>
        <w:gridCol w:w="3356"/>
        <w:gridCol w:w="1762"/>
        <w:gridCol w:w="761"/>
        <w:gridCol w:w="1256"/>
      </w:tblGrid>
      <w:tr w:rsidR="00FB4EFA" w:rsidRPr="00FB4EFA" w14:paraId="16255EFA" w14:textId="77777777" w:rsidTr="002B022E">
        <w:trPr>
          <w:trHeight w:val="746"/>
        </w:trPr>
        <w:tc>
          <w:tcPr>
            <w:tcW w:w="0" w:type="auto"/>
            <w:tcBorders>
              <w:top w:val="nil"/>
              <w:left w:val="nil"/>
              <w:bottom w:val="single" w:sz="12" w:space="0" w:color="auto"/>
            </w:tcBorders>
            <w:vAlign w:val="center"/>
          </w:tcPr>
          <w:p w14:paraId="38F92ABB" w14:textId="48F20544" w:rsidR="00DD5337" w:rsidRPr="00FB4EFA" w:rsidRDefault="00DD5337" w:rsidP="002A3BC9">
            <w:pPr>
              <w:keepNext/>
              <w:widowControl w:val="0"/>
              <w:suppressAutoHyphens/>
              <w:spacing w:line="240" w:lineRule="auto"/>
              <w:jc w:val="center"/>
              <w:rPr>
                <w:rFonts w:cs="Charis SIL"/>
                <w:b/>
                <w:bCs/>
                <w:sz w:val="16"/>
                <w:szCs w:val="16"/>
                <w:lang w:val="sv-SE"/>
              </w:rPr>
            </w:pPr>
            <w:r w:rsidRPr="00FB4EFA">
              <w:rPr>
                <w:rFonts w:cs="Charis SIL"/>
                <w:b/>
                <w:bCs/>
                <w:sz w:val="16"/>
                <w:szCs w:val="16"/>
                <w:lang w:val="sv-SE"/>
              </w:rPr>
              <w:t>Skönlitteratur</w:t>
            </w:r>
          </w:p>
        </w:tc>
        <w:tc>
          <w:tcPr>
            <w:tcW w:w="0" w:type="auto"/>
            <w:tcBorders>
              <w:top w:val="nil"/>
              <w:bottom w:val="single" w:sz="12" w:space="0" w:color="auto"/>
            </w:tcBorders>
            <w:vAlign w:val="center"/>
          </w:tcPr>
          <w:p w14:paraId="49E927FE" w14:textId="77777777" w:rsidR="00DD5337" w:rsidRPr="00FB4EFA" w:rsidRDefault="00DD5337" w:rsidP="002A3BC9">
            <w:pPr>
              <w:keepNext/>
              <w:widowControl w:val="0"/>
              <w:suppressAutoHyphens/>
              <w:spacing w:line="240" w:lineRule="auto"/>
              <w:jc w:val="center"/>
              <w:rPr>
                <w:rFonts w:cs="Charis SIL"/>
                <w:b/>
                <w:bCs/>
                <w:sz w:val="16"/>
                <w:szCs w:val="16"/>
                <w:lang w:val="sv-SE"/>
              </w:rPr>
            </w:pPr>
            <w:r w:rsidRPr="00FB4EFA">
              <w:rPr>
                <w:rFonts w:cs="Charis SIL"/>
                <w:b/>
                <w:bCs/>
                <w:sz w:val="16"/>
                <w:szCs w:val="16"/>
                <w:lang w:val="sv-SE"/>
              </w:rPr>
              <w:t>1916–1925</w:t>
            </w:r>
          </w:p>
          <w:p w14:paraId="10B00FDF" w14:textId="77777777" w:rsidR="00DD5337" w:rsidRPr="00FB4EFA" w:rsidRDefault="00DD5337" w:rsidP="002A3BC9">
            <w:pPr>
              <w:keepNext/>
              <w:widowControl w:val="0"/>
              <w:suppressAutoHyphens/>
              <w:spacing w:line="240" w:lineRule="auto"/>
              <w:jc w:val="center"/>
              <w:rPr>
                <w:rFonts w:cs="Charis SIL"/>
                <w:b/>
                <w:bCs/>
                <w:sz w:val="16"/>
                <w:szCs w:val="16"/>
                <w:lang w:val="sv-SE"/>
              </w:rPr>
            </w:pPr>
            <w:r w:rsidRPr="00FB4EFA">
              <w:rPr>
                <w:rFonts w:cs="Charis SIL"/>
                <w:b/>
                <w:bCs/>
                <w:sz w:val="16"/>
                <w:szCs w:val="16"/>
                <w:lang w:val="sv-SE"/>
              </w:rPr>
              <w:t>Sammanlagt / procentuell andel</w:t>
            </w:r>
          </w:p>
        </w:tc>
        <w:tc>
          <w:tcPr>
            <w:tcW w:w="0" w:type="auto"/>
            <w:tcBorders>
              <w:top w:val="nil"/>
              <w:bottom w:val="single" w:sz="12" w:space="0" w:color="auto"/>
            </w:tcBorders>
            <w:vAlign w:val="center"/>
          </w:tcPr>
          <w:p w14:paraId="4D5D9442" w14:textId="77777777" w:rsidR="00DD5337" w:rsidRPr="00FB4EFA" w:rsidRDefault="00DD5337" w:rsidP="002A3BC9">
            <w:pPr>
              <w:keepNext/>
              <w:widowControl w:val="0"/>
              <w:suppressAutoHyphens/>
              <w:spacing w:line="240" w:lineRule="auto"/>
              <w:jc w:val="center"/>
              <w:rPr>
                <w:rFonts w:cs="Charis SIL"/>
                <w:b/>
                <w:bCs/>
                <w:sz w:val="16"/>
                <w:szCs w:val="16"/>
                <w:lang w:val="sv-SE"/>
              </w:rPr>
            </w:pPr>
            <w:r w:rsidRPr="00FB4EFA">
              <w:rPr>
                <w:rFonts w:cs="Charis SIL"/>
                <w:b/>
                <w:bCs/>
                <w:sz w:val="16"/>
                <w:szCs w:val="16"/>
                <w:lang w:val="sv-SE"/>
              </w:rPr>
              <w:t>1916</w:t>
            </w:r>
          </w:p>
        </w:tc>
        <w:tc>
          <w:tcPr>
            <w:tcW w:w="0" w:type="auto"/>
            <w:tcBorders>
              <w:top w:val="nil"/>
              <w:bottom w:val="single" w:sz="12" w:space="0" w:color="auto"/>
              <w:right w:val="nil"/>
            </w:tcBorders>
            <w:vAlign w:val="center"/>
          </w:tcPr>
          <w:p w14:paraId="1A0D954D" w14:textId="77777777" w:rsidR="00DD5337" w:rsidRPr="00FB4EFA" w:rsidRDefault="00DD5337" w:rsidP="002A3BC9">
            <w:pPr>
              <w:keepNext/>
              <w:widowControl w:val="0"/>
              <w:suppressAutoHyphens/>
              <w:spacing w:line="240" w:lineRule="auto"/>
              <w:jc w:val="center"/>
              <w:rPr>
                <w:rFonts w:cs="Charis SIL"/>
                <w:b/>
                <w:bCs/>
                <w:sz w:val="16"/>
                <w:szCs w:val="16"/>
                <w:lang w:val="sv-SE"/>
              </w:rPr>
            </w:pPr>
            <w:r w:rsidRPr="00FB4EFA">
              <w:rPr>
                <w:rFonts w:cs="Charis SIL"/>
                <w:b/>
                <w:bCs/>
                <w:sz w:val="16"/>
                <w:szCs w:val="16"/>
                <w:lang w:val="sv-SE"/>
              </w:rPr>
              <w:t>Kvinnliga författare</w:t>
            </w:r>
          </w:p>
        </w:tc>
      </w:tr>
      <w:tr w:rsidR="00FB4EFA" w:rsidRPr="00FB4EFA" w14:paraId="2F46ADD1" w14:textId="77777777" w:rsidTr="002B022E">
        <w:trPr>
          <w:trHeight w:val="33"/>
        </w:trPr>
        <w:tc>
          <w:tcPr>
            <w:tcW w:w="0" w:type="auto"/>
            <w:tcBorders>
              <w:top w:val="single" w:sz="12" w:space="0" w:color="auto"/>
              <w:left w:val="nil"/>
              <w:bottom w:val="single" w:sz="12" w:space="0" w:color="auto"/>
            </w:tcBorders>
          </w:tcPr>
          <w:p w14:paraId="32B9528C" w14:textId="77777777" w:rsidR="00DD5337" w:rsidRPr="00FB4EFA" w:rsidRDefault="00DD5337" w:rsidP="002A3BC9">
            <w:pPr>
              <w:keepNext/>
              <w:widowControl w:val="0"/>
              <w:suppressAutoHyphens/>
              <w:spacing w:line="240" w:lineRule="auto"/>
              <w:rPr>
                <w:rFonts w:cs="Charis SIL"/>
                <w:sz w:val="16"/>
                <w:szCs w:val="16"/>
                <w:lang w:val="sv-SE"/>
              </w:rPr>
            </w:pPr>
            <w:r w:rsidRPr="00FB4EFA">
              <w:rPr>
                <w:rFonts w:cs="Charis SIL"/>
                <w:b/>
                <w:sz w:val="16"/>
                <w:szCs w:val="16"/>
                <w:lang w:val="sv-SE"/>
              </w:rPr>
              <w:t>1. Serier. Album</w:t>
            </w:r>
          </w:p>
        </w:tc>
        <w:tc>
          <w:tcPr>
            <w:tcW w:w="0" w:type="auto"/>
            <w:tcBorders>
              <w:top w:val="single" w:sz="12" w:space="0" w:color="auto"/>
              <w:bottom w:val="single" w:sz="12" w:space="0" w:color="auto"/>
            </w:tcBorders>
          </w:tcPr>
          <w:p w14:paraId="0AA08168" w14:textId="77777777" w:rsidR="00DD5337" w:rsidRPr="00FB4EFA" w:rsidRDefault="00DD5337" w:rsidP="002A3BC9">
            <w:pPr>
              <w:keepNext/>
              <w:widowControl w:val="0"/>
              <w:suppressAutoHyphens/>
              <w:spacing w:line="240" w:lineRule="auto"/>
              <w:rPr>
                <w:rFonts w:cs="Charis SIL"/>
                <w:sz w:val="16"/>
                <w:szCs w:val="16"/>
                <w:lang w:val="sv-SE"/>
              </w:rPr>
            </w:pPr>
            <w:r w:rsidRPr="00FB4EFA">
              <w:rPr>
                <w:rFonts w:cs="Charis SIL"/>
                <w:sz w:val="16"/>
                <w:szCs w:val="16"/>
                <w:lang w:val="sv-SE"/>
              </w:rPr>
              <w:t>25 / 1,6 %</w:t>
            </w:r>
          </w:p>
        </w:tc>
        <w:tc>
          <w:tcPr>
            <w:tcW w:w="0" w:type="auto"/>
            <w:tcBorders>
              <w:top w:val="single" w:sz="12" w:space="0" w:color="auto"/>
              <w:bottom w:val="single" w:sz="12" w:space="0" w:color="auto"/>
            </w:tcBorders>
          </w:tcPr>
          <w:p w14:paraId="4A911D44" w14:textId="032C5C06" w:rsidR="00DD5337" w:rsidRPr="00FB4EFA" w:rsidRDefault="00DD5337" w:rsidP="002A3BC9">
            <w:pPr>
              <w:keepNext/>
              <w:widowControl w:val="0"/>
              <w:suppressAutoHyphens/>
              <w:spacing w:line="240" w:lineRule="auto"/>
              <w:rPr>
                <w:rFonts w:cs="Charis SIL"/>
                <w:sz w:val="16"/>
                <w:szCs w:val="16"/>
                <w:lang w:val="sv-SE"/>
              </w:rPr>
            </w:pPr>
            <w:r w:rsidRPr="00FB4EFA">
              <w:rPr>
                <w:rFonts w:cs="Charis SIL"/>
                <w:sz w:val="16"/>
                <w:szCs w:val="16"/>
                <w:lang w:val="sv-SE"/>
              </w:rPr>
              <w:t>16 titlar</w:t>
            </w:r>
            <w:r w:rsidRPr="00FB4EFA">
              <w:rPr>
                <w:rFonts w:cs="Charis SIL"/>
                <w:sz w:val="16"/>
                <w:szCs w:val="16"/>
                <w:vertAlign w:val="superscript"/>
                <w:lang w:val="sv-SE"/>
              </w:rPr>
              <w:footnoteReference w:id="212"/>
            </w:r>
          </w:p>
        </w:tc>
        <w:tc>
          <w:tcPr>
            <w:tcW w:w="0" w:type="auto"/>
            <w:tcBorders>
              <w:top w:val="single" w:sz="12" w:space="0" w:color="auto"/>
              <w:bottom w:val="single" w:sz="12" w:space="0" w:color="auto"/>
              <w:right w:val="nil"/>
            </w:tcBorders>
          </w:tcPr>
          <w:p w14:paraId="3C1C932B" w14:textId="77777777" w:rsidR="00DD5337" w:rsidRPr="00FB4EFA" w:rsidRDefault="00DD5337" w:rsidP="002A3BC9">
            <w:pPr>
              <w:keepNext/>
              <w:widowControl w:val="0"/>
              <w:suppressAutoHyphens/>
              <w:spacing w:line="240" w:lineRule="auto"/>
              <w:rPr>
                <w:rFonts w:cs="Charis SIL"/>
                <w:sz w:val="16"/>
                <w:szCs w:val="16"/>
                <w:lang w:val="sv-SE"/>
              </w:rPr>
            </w:pPr>
          </w:p>
        </w:tc>
      </w:tr>
      <w:tr w:rsidR="00FB4EFA" w:rsidRPr="00FB4EFA" w14:paraId="2DABD0BA" w14:textId="77777777" w:rsidTr="002B022E">
        <w:trPr>
          <w:trHeight w:val="53"/>
        </w:trPr>
        <w:tc>
          <w:tcPr>
            <w:tcW w:w="0" w:type="auto"/>
            <w:tcBorders>
              <w:top w:val="single" w:sz="12" w:space="0" w:color="auto"/>
              <w:left w:val="nil"/>
            </w:tcBorders>
          </w:tcPr>
          <w:p w14:paraId="2B01CC32" w14:textId="77777777" w:rsidR="00DD5337" w:rsidRPr="00FB4EFA" w:rsidRDefault="00DD5337" w:rsidP="002A3BC9">
            <w:pPr>
              <w:keepNext/>
              <w:suppressAutoHyphens/>
              <w:spacing w:line="240" w:lineRule="auto"/>
              <w:rPr>
                <w:rFonts w:cs="Charis SIL"/>
                <w:b/>
                <w:sz w:val="16"/>
                <w:szCs w:val="16"/>
                <w:lang w:val="sv-SE"/>
              </w:rPr>
            </w:pPr>
            <w:r w:rsidRPr="00FB4EFA">
              <w:rPr>
                <w:rFonts w:cs="Charis SIL"/>
                <w:b/>
                <w:sz w:val="16"/>
                <w:szCs w:val="16"/>
                <w:lang w:val="sv-SE"/>
              </w:rPr>
              <w:t>2. Svensk skönlitteratur</w:t>
            </w:r>
          </w:p>
        </w:tc>
        <w:tc>
          <w:tcPr>
            <w:tcW w:w="0" w:type="auto"/>
            <w:tcBorders>
              <w:top w:val="single" w:sz="12" w:space="0" w:color="auto"/>
            </w:tcBorders>
          </w:tcPr>
          <w:p w14:paraId="7F0359D9" w14:textId="77777777" w:rsidR="00DD5337" w:rsidRPr="00FB4EFA" w:rsidRDefault="00DD5337" w:rsidP="002A3BC9">
            <w:pPr>
              <w:keepNext/>
              <w:suppressAutoHyphens/>
              <w:spacing w:line="240" w:lineRule="auto"/>
              <w:rPr>
                <w:rFonts w:cs="Charis SIL"/>
                <w:sz w:val="16"/>
                <w:szCs w:val="16"/>
                <w:lang w:val="sv-SE"/>
              </w:rPr>
            </w:pPr>
          </w:p>
        </w:tc>
        <w:tc>
          <w:tcPr>
            <w:tcW w:w="0" w:type="auto"/>
            <w:tcBorders>
              <w:top w:val="single" w:sz="12" w:space="0" w:color="auto"/>
            </w:tcBorders>
          </w:tcPr>
          <w:p w14:paraId="3E9AE92C" w14:textId="77777777" w:rsidR="00DD5337" w:rsidRPr="00FB4EFA" w:rsidRDefault="00DD5337" w:rsidP="002A3BC9">
            <w:pPr>
              <w:keepNext/>
              <w:suppressAutoHyphens/>
              <w:spacing w:line="240" w:lineRule="auto"/>
              <w:rPr>
                <w:rFonts w:cs="Charis SIL"/>
                <w:sz w:val="16"/>
                <w:szCs w:val="16"/>
                <w:lang w:val="sv-SE"/>
              </w:rPr>
            </w:pPr>
          </w:p>
        </w:tc>
        <w:tc>
          <w:tcPr>
            <w:tcW w:w="0" w:type="auto"/>
            <w:tcBorders>
              <w:top w:val="single" w:sz="12" w:space="0" w:color="auto"/>
              <w:right w:val="nil"/>
            </w:tcBorders>
          </w:tcPr>
          <w:p w14:paraId="57F002E4" w14:textId="77777777" w:rsidR="00DD5337" w:rsidRPr="00FB4EFA" w:rsidRDefault="00DD5337" w:rsidP="002A3BC9">
            <w:pPr>
              <w:keepNext/>
              <w:suppressAutoHyphens/>
              <w:spacing w:line="240" w:lineRule="auto"/>
              <w:rPr>
                <w:rFonts w:cs="Charis SIL"/>
                <w:sz w:val="16"/>
                <w:szCs w:val="16"/>
                <w:lang w:val="sv-SE"/>
              </w:rPr>
            </w:pPr>
          </w:p>
        </w:tc>
      </w:tr>
      <w:tr w:rsidR="00FB4EFA" w:rsidRPr="00FB4EFA" w14:paraId="70E009C3" w14:textId="77777777" w:rsidTr="002B022E">
        <w:trPr>
          <w:trHeight w:val="53"/>
        </w:trPr>
        <w:tc>
          <w:tcPr>
            <w:tcW w:w="0" w:type="auto"/>
            <w:tcBorders>
              <w:left w:val="nil"/>
            </w:tcBorders>
          </w:tcPr>
          <w:p w14:paraId="337338A0"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sz w:val="16"/>
                <w:szCs w:val="16"/>
                <w:lang w:val="sv-SE"/>
              </w:rPr>
              <w:t>A. Poesi i original och översättning</w:t>
            </w:r>
          </w:p>
        </w:tc>
        <w:tc>
          <w:tcPr>
            <w:tcW w:w="0" w:type="auto"/>
          </w:tcPr>
          <w:p w14:paraId="66502FC9"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sz w:val="16"/>
                <w:szCs w:val="16"/>
                <w:lang w:val="sv-SE"/>
              </w:rPr>
              <w:t>179 / 11,2 %</w:t>
            </w:r>
          </w:p>
        </w:tc>
        <w:tc>
          <w:tcPr>
            <w:tcW w:w="0" w:type="auto"/>
          </w:tcPr>
          <w:p w14:paraId="2D460DCF"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sz w:val="16"/>
                <w:szCs w:val="16"/>
                <w:lang w:val="sv-SE"/>
              </w:rPr>
              <w:t>13</w:t>
            </w:r>
          </w:p>
        </w:tc>
        <w:tc>
          <w:tcPr>
            <w:tcW w:w="0" w:type="auto"/>
            <w:tcBorders>
              <w:right w:val="nil"/>
            </w:tcBorders>
          </w:tcPr>
          <w:p w14:paraId="738C853A" w14:textId="77777777" w:rsidR="00DD5337" w:rsidRPr="00FB4EFA" w:rsidRDefault="00DD5337" w:rsidP="002A3BC9">
            <w:pPr>
              <w:keepNext/>
              <w:suppressAutoHyphens/>
              <w:spacing w:line="240" w:lineRule="auto"/>
              <w:rPr>
                <w:rFonts w:cs="Charis SIL"/>
                <w:sz w:val="16"/>
                <w:szCs w:val="16"/>
                <w:lang w:val="sv-SE"/>
              </w:rPr>
            </w:pPr>
            <w:r w:rsidRPr="00FB4EFA">
              <w:rPr>
                <w:rFonts w:cs="Charis SIL"/>
                <w:sz w:val="16"/>
                <w:szCs w:val="16"/>
                <w:lang w:val="sv-SE"/>
              </w:rPr>
              <w:t>3</w:t>
            </w:r>
          </w:p>
        </w:tc>
      </w:tr>
      <w:tr w:rsidR="00FB4EFA" w:rsidRPr="00FB4EFA" w14:paraId="01E281D8" w14:textId="77777777" w:rsidTr="002B022E">
        <w:trPr>
          <w:trHeight w:val="53"/>
        </w:trPr>
        <w:tc>
          <w:tcPr>
            <w:tcW w:w="0" w:type="auto"/>
            <w:tcBorders>
              <w:left w:val="nil"/>
            </w:tcBorders>
          </w:tcPr>
          <w:p w14:paraId="5DE37C3E"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Bihang: Tillfällighetsdikter</w:t>
            </w:r>
          </w:p>
        </w:tc>
        <w:tc>
          <w:tcPr>
            <w:tcW w:w="0" w:type="auto"/>
          </w:tcPr>
          <w:p w14:paraId="7B2240D8"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73 / 4,7 %</w:t>
            </w:r>
          </w:p>
        </w:tc>
        <w:tc>
          <w:tcPr>
            <w:tcW w:w="0" w:type="auto"/>
          </w:tcPr>
          <w:p w14:paraId="6C1E9501"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10</w:t>
            </w:r>
          </w:p>
        </w:tc>
        <w:tc>
          <w:tcPr>
            <w:tcW w:w="0" w:type="auto"/>
            <w:tcBorders>
              <w:right w:val="nil"/>
            </w:tcBorders>
          </w:tcPr>
          <w:p w14:paraId="6C472EFD" w14:textId="77777777" w:rsidR="00DD5337" w:rsidRPr="00FB4EFA" w:rsidRDefault="00DD5337" w:rsidP="002A3BC9">
            <w:pPr>
              <w:suppressAutoHyphens/>
              <w:spacing w:line="240" w:lineRule="auto"/>
              <w:rPr>
                <w:rFonts w:cs="Charis SIL"/>
                <w:sz w:val="16"/>
                <w:szCs w:val="16"/>
                <w:lang w:val="sv-SE"/>
              </w:rPr>
            </w:pPr>
          </w:p>
        </w:tc>
      </w:tr>
      <w:tr w:rsidR="00FB4EFA" w:rsidRPr="00FB4EFA" w14:paraId="3E25B987" w14:textId="77777777" w:rsidTr="002B022E">
        <w:trPr>
          <w:trHeight w:val="53"/>
        </w:trPr>
        <w:tc>
          <w:tcPr>
            <w:tcW w:w="0" w:type="auto"/>
            <w:tcBorders>
              <w:left w:val="nil"/>
            </w:tcBorders>
          </w:tcPr>
          <w:p w14:paraId="699BFE87"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B. Dramatik i original och översättning</w:t>
            </w:r>
          </w:p>
        </w:tc>
        <w:tc>
          <w:tcPr>
            <w:tcW w:w="0" w:type="auto"/>
          </w:tcPr>
          <w:p w14:paraId="208070B1" w14:textId="352E2819"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81</w:t>
            </w:r>
            <w:r w:rsidR="00915490" w:rsidRPr="00FB4EFA">
              <w:rPr>
                <w:rFonts w:cs="Charis SIL"/>
                <w:sz w:val="16"/>
                <w:szCs w:val="16"/>
                <w:lang w:val="sv-SE"/>
              </w:rPr>
              <w:t xml:space="preserve"> </w:t>
            </w:r>
            <w:r w:rsidRPr="00FB4EFA">
              <w:rPr>
                <w:rFonts w:cs="Charis SIL"/>
                <w:sz w:val="16"/>
                <w:szCs w:val="16"/>
                <w:lang w:val="sv-SE"/>
              </w:rPr>
              <w:t>/ 5,2 %</w:t>
            </w:r>
          </w:p>
        </w:tc>
        <w:tc>
          <w:tcPr>
            <w:tcW w:w="0" w:type="auto"/>
          </w:tcPr>
          <w:p w14:paraId="7A6FF324"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11</w:t>
            </w:r>
          </w:p>
        </w:tc>
        <w:tc>
          <w:tcPr>
            <w:tcW w:w="0" w:type="auto"/>
            <w:tcBorders>
              <w:right w:val="nil"/>
            </w:tcBorders>
          </w:tcPr>
          <w:p w14:paraId="33CF98CD"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 xml:space="preserve">6 </w:t>
            </w:r>
          </w:p>
        </w:tc>
      </w:tr>
      <w:tr w:rsidR="00FB4EFA" w:rsidRPr="00FB4EFA" w14:paraId="1FD07607" w14:textId="77777777" w:rsidTr="002B022E">
        <w:trPr>
          <w:trHeight w:val="53"/>
        </w:trPr>
        <w:tc>
          <w:tcPr>
            <w:tcW w:w="0" w:type="auto"/>
            <w:tcBorders>
              <w:left w:val="nil"/>
            </w:tcBorders>
          </w:tcPr>
          <w:p w14:paraId="484B4DB4"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C. Prosa i original och översättning</w:t>
            </w:r>
          </w:p>
        </w:tc>
        <w:tc>
          <w:tcPr>
            <w:tcW w:w="0" w:type="auto"/>
          </w:tcPr>
          <w:p w14:paraId="0BF0CE2E" w14:textId="77777777" w:rsidR="00DD5337" w:rsidRPr="00FB4EFA" w:rsidRDefault="00DD5337" w:rsidP="002A3BC9">
            <w:pPr>
              <w:suppressAutoHyphens/>
              <w:spacing w:line="240" w:lineRule="auto"/>
              <w:rPr>
                <w:rFonts w:cs="Charis SIL"/>
                <w:sz w:val="16"/>
                <w:szCs w:val="16"/>
                <w:lang w:val="sv-SE"/>
              </w:rPr>
            </w:pPr>
          </w:p>
        </w:tc>
        <w:tc>
          <w:tcPr>
            <w:tcW w:w="0" w:type="auto"/>
          </w:tcPr>
          <w:p w14:paraId="302281BF" w14:textId="77777777" w:rsidR="00DD5337" w:rsidRPr="00FB4EFA" w:rsidRDefault="00DD5337" w:rsidP="002A3BC9">
            <w:pPr>
              <w:suppressAutoHyphens/>
              <w:spacing w:line="240" w:lineRule="auto"/>
              <w:rPr>
                <w:rFonts w:cs="Charis SIL"/>
                <w:sz w:val="16"/>
                <w:szCs w:val="16"/>
                <w:lang w:val="sv-SE"/>
              </w:rPr>
            </w:pPr>
          </w:p>
        </w:tc>
        <w:tc>
          <w:tcPr>
            <w:tcW w:w="0" w:type="auto"/>
            <w:tcBorders>
              <w:right w:val="nil"/>
            </w:tcBorders>
          </w:tcPr>
          <w:p w14:paraId="36D8375B" w14:textId="77777777" w:rsidR="00DD5337" w:rsidRPr="00FB4EFA" w:rsidRDefault="00DD5337" w:rsidP="002A3BC9">
            <w:pPr>
              <w:suppressAutoHyphens/>
              <w:spacing w:line="240" w:lineRule="auto"/>
              <w:rPr>
                <w:rFonts w:cs="Charis SIL"/>
                <w:sz w:val="16"/>
                <w:szCs w:val="16"/>
                <w:lang w:val="sv-SE"/>
              </w:rPr>
            </w:pPr>
          </w:p>
        </w:tc>
      </w:tr>
      <w:tr w:rsidR="00FB4EFA" w:rsidRPr="00FB4EFA" w14:paraId="3BBF5446" w14:textId="77777777" w:rsidTr="002B022E">
        <w:trPr>
          <w:trHeight w:val="53"/>
        </w:trPr>
        <w:tc>
          <w:tcPr>
            <w:tcW w:w="0" w:type="auto"/>
            <w:tcBorders>
              <w:left w:val="nil"/>
            </w:tcBorders>
          </w:tcPr>
          <w:p w14:paraId="1B4CA776"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a. Finland</w:t>
            </w:r>
          </w:p>
        </w:tc>
        <w:tc>
          <w:tcPr>
            <w:tcW w:w="0" w:type="auto"/>
          </w:tcPr>
          <w:p w14:paraId="66C12731"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281 / 16,3 %</w:t>
            </w:r>
          </w:p>
        </w:tc>
        <w:tc>
          <w:tcPr>
            <w:tcW w:w="0" w:type="auto"/>
          </w:tcPr>
          <w:p w14:paraId="1B096E07"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40</w:t>
            </w:r>
          </w:p>
        </w:tc>
        <w:tc>
          <w:tcPr>
            <w:tcW w:w="0" w:type="auto"/>
            <w:tcBorders>
              <w:right w:val="nil"/>
            </w:tcBorders>
          </w:tcPr>
          <w:p w14:paraId="53CEB33F"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15</w:t>
            </w:r>
          </w:p>
        </w:tc>
      </w:tr>
      <w:tr w:rsidR="00FB4EFA" w:rsidRPr="00FB4EFA" w14:paraId="11801919" w14:textId="77777777" w:rsidTr="002B022E">
        <w:trPr>
          <w:trHeight w:val="53"/>
        </w:trPr>
        <w:tc>
          <w:tcPr>
            <w:tcW w:w="0" w:type="auto"/>
            <w:tcBorders>
              <w:left w:val="nil"/>
              <w:bottom w:val="single" w:sz="4" w:space="0" w:color="auto"/>
            </w:tcBorders>
          </w:tcPr>
          <w:p w14:paraId="3610D9D9"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b. Sverige</w:t>
            </w:r>
          </w:p>
        </w:tc>
        <w:tc>
          <w:tcPr>
            <w:tcW w:w="0" w:type="auto"/>
            <w:tcBorders>
              <w:bottom w:val="single" w:sz="4" w:space="0" w:color="auto"/>
            </w:tcBorders>
          </w:tcPr>
          <w:p w14:paraId="3F821A32"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48 / 3,1 %</w:t>
            </w:r>
          </w:p>
        </w:tc>
        <w:tc>
          <w:tcPr>
            <w:tcW w:w="0" w:type="auto"/>
            <w:tcBorders>
              <w:bottom w:val="single" w:sz="4" w:space="0" w:color="auto"/>
            </w:tcBorders>
          </w:tcPr>
          <w:p w14:paraId="7D33CB20" w14:textId="77777777" w:rsidR="00DD5337" w:rsidRPr="00FB4EFA" w:rsidRDefault="00DD5337" w:rsidP="002A3BC9">
            <w:pPr>
              <w:suppressAutoHyphens/>
              <w:spacing w:line="240" w:lineRule="auto"/>
              <w:rPr>
                <w:rFonts w:cs="Charis SIL"/>
                <w:sz w:val="16"/>
                <w:szCs w:val="16"/>
                <w:lang w:val="sv-SE"/>
              </w:rPr>
            </w:pPr>
          </w:p>
        </w:tc>
        <w:tc>
          <w:tcPr>
            <w:tcW w:w="0" w:type="auto"/>
            <w:tcBorders>
              <w:bottom w:val="single" w:sz="4" w:space="0" w:color="auto"/>
              <w:right w:val="nil"/>
            </w:tcBorders>
          </w:tcPr>
          <w:p w14:paraId="47047818" w14:textId="77777777" w:rsidR="00DD5337" w:rsidRPr="00FB4EFA" w:rsidRDefault="00DD5337" w:rsidP="002A3BC9">
            <w:pPr>
              <w:suppressAutoHyphens/>
              <w:spacing w:line="240" w:lineRule="auto"/>
              <w:rPr>
                <w:rFonts w:cs="Charis SIL"/>
                <w:sz w:val="16"/>
                <w:szCs w:val="16"/>
                <w:lang w:val="sv-SE"/>
              </w:rPr>
            </w:pPr>
          </w:p>
        </w:tc>
      </w:tr>
      <w:tr w:rsidR="00FB4EFA" w:rsidRPr="00FB4EFA" w14:paraId="609DDD21" w14:textId="77777777" w:rsidTr="002B022E">
        <w:trPr>
          <w:trHeight w:val="53"/>
        </w:trPr>
        <w:tc>
          <w:tcPr>
            <w:tcW w:w="0" w:type="auto"/>
            <w:tcBorders>
              <w:left w:val="nil"/>
              <w:bottom w:val="single" w:sz="12" w:space="0" w:color="auto"/>
            </w:tcBorders>
          </w:tcPr>
          <w:p w14:paraId="7A4F8887"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D. Böcker för barn och ungdom i original och översättning</w:t>
            </w:r>
          </w:p>
        </w:tc>
        <w:tc>
          <w:tcPr>
            <w:tcW w:w="0" w:type="auto"/>
            <w:tcBorders>
              <w:bottom w:val="single" w:sz="12" w:space="0" w:color="auto"/>
            </w:tcBorders>
          </w:tcPr>
          <w:p w14:paraId="5835A8F0"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166 / 10,8 %</w:t>
            </w:r>
          </w:p>
        </w:tc>
        <w:tc>
          <w:tcPr>
            <w:tcW w:w="0" w:type="auto"/>
            <w:tcBorders>
              <w:bottom w:val="single" w:sz="12" w:space="0" w:color="auto"/>
            </w:tcBorders>
          </w:tcPr>
          <w:p w14:paraId="1D9EEFCF" w14:textId="77777777" w:rsidR="00DD5337" w:rsidRPr="00FB4EFA" w:rsidRDefault="00DD5337" w:rsidP="002A3BC9">
            <w:pPr>
              <w:suppressAutoHyphens/>
              <w:spacing w:line="240" w:lineRule="auto"/>
              <w:rPr>
                <w:rFonts w:cs="Charis SIL"/>
                <w:sz w:val="16"/>
                <w:szCs w:val="16"/>
                <w:lang w:val="sv-SE"/>
              </w:rPr>
            </w:pPr>
          </w:p>
        </w:tc>
        <w:tc>
          <w:tcPr>
            <w:tcW w:w="0" w:type="auto"/>
            <w:tcBorders>
              <w:bottom w:val="single" w:sz="12" w:space="0" w:color="auto"/>
              <w:right w:val="nil"/>
            </w:tcBorders>
          </w:tcPr>
          <w:p w14:paraId="75628BE6" w14:textId="77777777" w:rsidR="00DD5337" w:rsidRPr="00FB4EFA" w:rsidRDefault="00DD5337" w:rsidP="002A3BC9">
            <w:pPr>
              <w:suppressAutoHyphens/>
              <w:spacing w:line="240" w:lineRule="auto"/>
              <w:rPr>
                <w:rFonts w:cs="Charis SIL"/>
                <w:sz w:val="16"/>
                <w:szCs w:val="16"/>
                <w:lang w:val="sv-SE"/>
              </w:rPr>
            </w:pPr>
          </w:p>
        </w:tc>
      </w:tr>
      <w:tr w:rsidR="00FB4EFA" w:rsidRPr="00FB4EFA" w14:paraId="18AF53FA" w14:textId="77777777" w:rsidTr="002B022E">
        <w:trPr>
          <w:trHeight w:val="20"/>
        </w:trPr>
        <w:tc>
          <w:tcPr>
            <w:tcW w:w="0" w:type="auto"/>
            <w:tcBorders>
              <w:top w:val="single" w:sz="12" w:space="0" w:color="auto"/>
              <w:left w:val="nil"/>
            </w:tcBorders>
          </w:tcPr>
          <w:p w14:paraId="23392E74" w14:textId="77777777" w:rsidR="00DD5337" w:rsidRPr="00FB4EFA" w:rsidRDefault="00DD5337" w:rsidP="002A3BC9">
            <w:pPr>
              <w:suppressAutoHyphens/>
              <w:spacing w:line="240" w:lineRule="auto"/>
              <w:rPr>
                <w:rFonts w:cs="Charis SIL"/>
                <w:b/>
                <w:sz w:val="16"/>
                <w:szCs w:val="16"/>
                <w:lang w:val="sv-SE"/>
              </w:rPr>
            </w:pPr>
            <w:r w:rsidRPr="00FB4EFA">
              <w:rPr>
                <w:rFonts w:cs="Charis SIL"/>
                <w:b/>
                <w:sz w:val="16"/>
                <w:szCs w:val="16"/>
                <w:lang w:val="sv-SE"/>
              </w:rPr>
              <w:t>3. Finsk skönlitteratur</w:t>
            </w:r>
          </w:p>
        </w:tc>
        <w:tc>
          <w:tcPr>
            <w:tcW w:w="0" w:type="auto"/>
            <w:tcBorders>
              <w:top w:val="single" w:sz="12" w:space="0" w:color="auto"/>
            </w:tcBorders>
          </w:tcPr>
          <w:p w14:paraId="63B7EE75" w14:textId="77777777" w:rsidR="00DD5337" w:rsidRPr="00FB4EFA" w:rsidRDefault="00DD5337" w:rsidP="002A3BC9">
            <w:pPr>
              <w:suppressAutoHyphens/>
              <w:spacing w:line="240" w:lineRule="auto"/>
              <w:rPr>
                <w:rFonts w:cs="Charis SIL"/>
                <w:sz w:val="16"/>
                <w:szCs w:val="16"/>
                <w:lang w:val="sv-SE"/>
              </w:rPr>
            </w:pPr>
          </w:p>
        </w:tc>
        <w:tc>
          <w:tcPr>
            <w:tcW w:w="0" w:type="auto"/>
            <w:tcBorders>
              <w:top w:val="single" w:sz="12" w:space="0" w:color="auto"/>
            </w:tcBorders>
          </w:tcPr>
          <w:p w14:paraId="2243E1F0" w14:textId="77777777" w:rsidR="00DD5337" w:rsidRPr="00FB4EFA" w:rsidRDefault="00DD5337" w:rsidP="002A3BC9">
            <w:pPr>
              <w:suppressAutoHyphens/>
              <w:spacing w:line="240" w:lineRule="auto"/>
              <w:rPr>
                <w:rFonts w:cs="Charis SIL"/>
                <w:sz w:val="16"/>
                <w:szCs w:val="16"/>
                <w:lang w:val="sv-SE"/>
              </w:rPr>
            </w:pPr>
          </w:p>
        </w:tc>
        <w:tc>
          <w:tcPr>
            <w:tcW w:w="0" w:type="auto"/>
            <w:tcBorders>
              <w:top w:val="single" w:sz="12" w:space="0" w:color="auto"/>
              <w:right w:val="nil"/>
            </w:tcBorders>
          </w:tcPr>
          <w:p w14:paraId="213F6917" w14:textId="77777777" w:rsidR="00DD5337" w:rsidRPr="00FB4EFA" w:rsidRDefault="00DD5337" w:rsidP="002A3BC9">
            <w:pPr>
              <w:suppressAutoHyphens/>
              <w:spacing w:line="240" w:lineRule="auto"/>
              <w:rPr>
                <w:rFonts w:cs="Charis SIL"/>
                <w:sz w:val="16"/>
                <w:szCs w:val="16"/>
                <w:lang w:val="sv-SE"/>
              </w:rPr>
            </w:pPr>
          </w:p>
        </w:tc>
      </w:tr>
      <w:tr w:rsidR="00FB4EFA" w:rsidRPr="00FB4EFA" w14:paraId="651A8ADB" w14:textId="77777777" w:rsidTr="002B022E">
        <w:trPr>
          <w:trHeight w:val="20"/>
        </w:trPr>
        <w:tc>
          <w:tcPr>
            <w:tcW w:w="0" w:type="auto"/>
            <w:tcBorders>
              <w:left w:val="nil"/>
            </w:tcBorders>
          </w:tcPr>
          <w:p w14:paraId="19354F47"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A. I översättning till svenska</w:t>
            </w:r>
          </w:p>
        </w:tc>
        <w:tc>
          <w:tcPr>
            <w:tcW w:w="0" w:type="auto"/>
          </w:tcPr>
          <w:p w14:paraId="2D2F05C6"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49 / 3,2 %</w:t>
            </w:r>
          </w:p>
        </w:tc>
        <w:tc>
          <w:tcPr>
            <w:tcW w:w="0" w:type="auto"/>
          </w:tcPr>
          <w:p w14:paraId="7FFD527F" w14:textId="77777777" w:rsidR="00DD5337" w:rsidRPr="00FB4EFA" w:rsidRDefault="00DD5337" w:rsidP="002A3BC9">
            <w:pPr>
              <w:suppressAutoHyphens/>
              <w:spacing w:line="240" w:lineRule="auto"/>
              <w:rPr>
                <w:rFonts w:cs="Charis SIL"/>
                <w:sz w:val="16"/>
                <w:szCs w:val="16"/>
                <w:lang w:val="sv-SE"/>
              </w:rPr>
            </w:pPr>
          </w:p>
        </w:tc>
        <w:tc>
          <w:tcPr>
            <w:tcW w:w="0" w:type="auto"/>
            <w:tcBorders>
              <w:right w:val="nil"/>
            </w:tcBorders>
          </w:tcPr>
          <w:p w14:paraId="3452BC9C" w14:textId="77777777" w:rsidR="00DD5337" w:rsidRPr="00FB4EFA" w:rsidRDefault="00DD5337" w:rsidP="002A3BC9">
            <w:pPr>
              <w:suppressAutoHyphens/>
              <w:spacing w:line="240" w:lineRule="auto"/>
              <w:rPr>
                <w:rFonts w:cs="Charis SIL"/>
                <w:sz w:val="16"/>
                <w:szCs w:val="16"/>
                <w:lang w:val="sv-SE"/>
              </w:rPr>
            </w:pPr>
          </w:p>
        </w:tc>
      </w:tr>
      <w:tr w:rsidR="00FB4EFA" w:rsidRPr="00FB4EFA" w14:paraId="08E7D8DC" w14:textId="77777777" w:rsidTr="002B022E">
        <w:trPr>
          <w:trHeight w:val="20"/>
        </w:trPr>
        <w:tc>
          <w:tcPr>
            <w:tcW w:w="0" w:type="auto"/>
            <w:tcBorders>
              <w:left w:val="nil"/>
              <w:bottom w:val="single" w:sz="4" w:space="0" w:color="auto"/>
            </w:tcBorders>
          </w:tcPr>
          <w:p w14:paraId="464DD9C3"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B. I översättning till främmande språk</w:t>
            </w:r>
          </w:p>
        </w:tc>
        <w:tc>
          <w:tcPr>
            <w:tcW w:w="0" w:type="auto"/>
            <w:tcBorders>
              <w:bottom w:val="single" w:sz="4" w:space="0" w:color="auto"/>
            </w:tcBorders>
          </w:tcPr>
          <w:p w14:paraId="33A7DE64"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67 / 4,4 %</w:t>
            </w:r>
          </w:p>
        </w:tc>
        <w:tc>
          <w:tcPr>
            <w:tcW w:w="0" w:type="auto"/>
            <w:tcBorders>
              <w:bottom w:val="single" w:sz="4" w:space="0" w:color="auto"/>
            </w:tcBorders>
          </w:tcPr>
          <w:p w14:paraId="4A0B5FEB" w14:textId="77777777" w:rsidR="00DD5337" w:rsidRPr="00FB4EFA" w:rsidRDefault="00DD5337" w:rsidP="002A3BC9">
            <w:pPr>
              <w:suppressAutoHyphens/>
              <w:spacing w:line="240" w:lineRule="auto"/>
              <w:rPr>
                <w:rFonts w:cs="Charis SIL"/>
                <w:sz w:val="16"/>
                <w:szCs w:val="16"/>
                <w:lang w:val="sv-SE"/>
              </w:rPr>
            </w:pPr>
          </w:p>
        </w:tc>
        <w:tc>
          <w:tcPr>
            <w:tcW w:w="0" w:type="auto"/>
            <w:tcBorders>
              <w:bottom w:val="single" w:sz="4" w:space="0" w:color="auto"/>
              <w:right w:val="nil"/>
            </w:tcBorders>
          </w:tcPr>
          <w:p w14:paraId="316BA00D" w14:textId="77777777" w:rsidR="00DD5337" w:rsidRPr="00FB4EFA" w:rsidRDefault="00DD5337" w:rsidP="002A3BC9">
            <w:pPr>
              <w:suppressAutoHyphens/>
              <w:spacing w:line="240" w:lineRule="auto"/>
              <w:rPr>
                <w:rFonts w:cs="Charis SIL"/>
                <w:sz w:val="16"/>
                <w:szCs w:val="16"/>
                <w:lang w:val="sv-SE"/>
              </w:rPr>
            </w:pPr>
          </w:p>
        </w:tc>
      </w:tr>
      <w:tr w:rsidR="00FB4EFA" w:rsidRPr="00FB4EFA" w14:paraId="2F2CB9B0" w14:textId="77777777" w:rsidTr="002B022E">
        <w:trPr>
          <w:trHeight w:val="20"/>
        </w:trPr>
        <w:tc>
          <w:tcPr>
            <w:tcW w:w="0" w:type="auto"/>
            <w:tcBorders>
              <w:left w:val="nil"/>
              <w:bottom w:val="single" w:sz="12" w:space="0" w:color="auto"/>
            </w:tcBorders>
          </w:tcPr>
          <w:p w14:paraId="12ACD0B2" w14:textId="35F7A346"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C. böcker för barn och ungdomar i översättning till svenska och främmande språk</w:t>
            </w:r>
          </w:p>
        </w:tc>
        <w:tc>
          <w:tcPr>
            <w:tcW w:w="0" w:type="auto"/>
            <w:tcBorders>
              <w:bottom w:val="single" w:sz="12" w:space="0" w:color="auto"/>
            </w:tcBorders>
          </w:tcPr>
          <w:p w14:paraId="0ACEF517"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29 / 1,9 %</w:t>
            </w:r>
          </w:p>
        </w:tc>
        <w:tc>
          <w:tcPr>
            <w:tcW w:w="0" w:type="auto"/>
            <w:tcBorders>
              <w:bottom w:val="single" w:sz="12" w:space="0" w:color="auto"/>
            </w:tcBorders>
          </w:tcPr>
          <w:p w14:paraId="409D1E37" w14:textId="77777777" w:rsidR="00DD5337" w:rsidRPr="00FB4EFA" w:rsidRDefault="00DD5337" w:rsidP="002A3BC9">
            <w:pPr>
              <w:suppressAutoHyphens/>
              <w:spacing w:line="240" w:lineRule="auto"/>
              <w:rPr>
                <w:rFonts w:cs="Charis SIL"/>
                <w:sz w:val="16"/>
                <w:szCs w:val="16"/>
                <w:lang w:val="sv-SE"/>
              </w:rPr>
            </w:pPr>
          </w:p>
        </w:tc>
        <w:tc>
          <w:tcPr>
            <w:tcW w:w="0" w:type="auto"/>
            <w:tcBorders>
              <w:bottom w:val="single" w:sz="12" w:space="0" w:color="auto"/>
              <w:right w:val="nil"/>
            </w:tcBorders>
          </w:tcPr>
          <w:p w14:paraId="669CF9EC" w14:textId="77777777" w:rsidR="00DD5337" w:rsidRPr="00FB4EFA" w:rsidRDefault="00DD5337" w:rsidP="002A3BC9">
            <w:pPr>
              <w:suppressAutoHyphens/>
              <w:spacing w:line="240" w:lineRule="auto"/>
              <w:rPr>
                <w:rFonts w:cs="Charis SIL"/>
                <w:sz w:val="16"/>
                <w:szCs w:val="16"/>
                <w:lang w:val="sv-SE"/>
              </w:rPr>
            </w:pPr>
          </w:p>
        </w:tc>
      </w:tr>
      <w:tr w:rsidR="00FB4EFA" w:rsidRPr="00FB4EFA" w14:paraId="754569B8" w14:textId="77777777" w:rsidTr="002B022E">
        <w:trPr>
          <w:trHeight w:val="20"/>
        </w:trPr>
        <w:tc>
          <w:tcPr>
            <w:tcW w:w="0" w:type="auto"/>
            <w:tcBorders>
              <w:top w:val="single" w:sz="12" w:space="0" w:color="auto"/>
              <w:left w:val="nil"/>
            </w:tcBorders>
          </w:tcPr>
          <w:p w14:paraId="61DC5E71" w14:textId="77777777" w:rsidR="00DD5337" w:rsidRPr="00FB4EFA" w:rsidRDefault="00DD5337" w:rsidP="002A3BC9">
            <w:pPr>
              <w:suppressAutoHyphens/>
              <w:spacing w:line="240" w:lineRule="auto"/>
              <w:rPr>
                <w:rFonts w:cs="Charis SIL"/>
                <w:b/>
                <w:sz w:val="16"/>
                <w:szCs w:val="16"/>
                <w:lang w:val="sv-SE"/>
              </w:rPr>
            </w:pPr>
            <w:r w:rsidRPr="00FB4EFA">
              <w:rPr>
                <w:rFonts w:cs="Charis SIL"/>
                <w:b/>
                <w:sz w:val="16"/>
                <w:szCs w:val="16"/>
                <w:lang w:val="sv-SE"/>
              </w:rPr>
              <w:t>4. Skönlitteratur på främmande språk</w:t>
            </w:r>
          </w:p>
        </w:tc>
        <w:tc>
          <w:tcPr>
            <w:tcW w:w="0" w:type="auto"/>
            <w:tcBorders>
              <w:top w:val="single" w:sz="12" w:space="0" w:color="auto"/>
            </w:tcBorders>
          </w:tcPr>
          <w:p w14:paraId="5E1FF628" w14:textId="77777777" w:rsidR="00DD5337" w:rsidRPr="00FB4EFA" w:rsidRDefault="00DD5337" w:rsidP="002A3BC9">
            <w:pPr>
              <w:suppressAutoHyphens/>
              <w:spacing w:line="240" w:lineRule="auto"/>
              <w:rPr>
                <w:rFonts w:cs="Charis SIL"/>
                <w:sz w:val="16"/>
                <w:szCs w:val="16"/>
                <w:lang w:val="sv-SE"/>
              </w:rPr>
            </w:pPr>
          </w:p>
        </w:tc>
        <w:tc>
          <w:tcPr>
            <w:tcW w:w="0" w:type="auto"/>
            <w:tcBorders>
              <w:top w:val="single" w:sz="12" w:space="0" w:color="auto"/>
            </w:tcBorders>
          </w:tcPr>
          <w:p w14:paraId="0B3345F5" w14:textId="77777777" w:rsidR="00DD5337" w:rsidRPr="00FB4EFA" w:rsidRDefault="00DD5337" w:rsidP="002A3BC9">
            <w:pPr>
              <w:suppressAutoHyphens/>
              <w:spacing w:line="240" w:lineRule="auto"/>
              <w:rPr>
                <w:rFonts w:cs="Charis SIL"/>
                <w:sz w:val="16"/>
                <w:szCs w:val="16"/>
                <w:lang w:val="sv-SE"/>
              </w:rPr>
            </w:pPr>
          </w:p>
        </w:tc>
        <w:tc>
          <w:tcPr>
            <w:tcW w:w="0" w:type="auto"/>
            <w:tcBorders>
              <w:top w:val="single" w:sz="12" w:space="0" w:color="auto"/>
              <w:right w:val="nil"/>
            </w:tcBorders>
          </w:tcPr>
          <w:p w14:paraId="490F9149" w14:textId="77777777" w:rsidR="00DD5337" w:rsidRPr="00FB4EFA" w:rsidRDefault="00DD5337" w:rsidP="002A3BC9">
            <w:pPr>
              <w:suppressAutoHyphens/>
              <w:spacing w:line="240" w:lineRule="auto"/>
              <w:rPr>
                <w:rFonts w:cs="Charis SIL"/>
                <w:sz w:val="16"/>
                <w:szCs w:val="16"/>
                <w:lang w:val="sv-SE"/>
              </w:rPr>
            </w:pPr>
          </w:p>
        </w:tc>
      </w:tr>
      <w:tr w:rsidR="00FB4EFA" w:rsidRPr="00FB4EFA" w14:paraId="7999EC80" w14:textId="77777777" w:rsidTr="002B022E">
        <w:trPr>
          <w:trHeight w:val="20"/>
        </w:trPr>
        <w:tc>
          <w:tcPr>
            <w:tcW w:w="0" w:type="auto"/>
            <w:tcBorders>
              <w:left w:val="nil"/>
            </w:tcBorders>
          </w:tcPr>
          <w:p w14:paraId="02F5ADA3"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A. I original</w:t>
            </w:r>
          </w:p>
        </w:tc>
        <w:tc>
          <w:tcPr>
            <w:tcW w:w="0" w:type="auto"/>
          </w:tcPr>
          <w:p w14:paraId="2612E802"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63 / 4,1 %</w:t>
            </w:r>
          </w:p>
        </w:tc>
        <w:tc>
          <w:tcPr>
            <w:tcW w:w="0" w:type="auto"/>
          </w:tcPr>
          <w:p w14:paraId="3E5B6B7F" w14:textId="77777777" w:rsidR="00DD5337" w:rsidRPr="00FB4EFA" w:rsidRDefault="00DD5337" w:rsidP="002A3BC9">
            <w:pPr>
              <w:suppressAutoHyphens/>
              <w:spacing w:line="240" w:lineRule="auto"/>
              <w:rPr>
                <w:rFonts w:cs="Charis SIL"/>
                <w:sz w:val="16"/>
                <w:szCs w:val="16"/>
                <w:lang w:val="sv-SE"/>
              </w:rPr>
            </w:pPr>
          </w:p>
        </w:tc>
        <w:tc>
          <w:tcPr>
            <w:tcW w:w="0" w:type="auto"/>
            <w:tcBorders>
              <w:right w:val="nil"/>
            </w:tcBorders>
          </w:tcPr>
          <w:p w14:paraId="5437BEA7" w14:textId="77777777" w:rsidR="00DD5337" w:rsidRPr="00FB4EFA" w:rsidRDefault="00DD5337" w:rsidP="002A3BC9">
            <w:pPr>
              <w:suppressAutoHyphens/>
              <w:spacing w:line="240" w:lineRule="auto"/>
              <w:rPr>
                <w:rFonts w:cs="Charis SIL"/>
                <w:sz w:val="16"/>
                <w:szCs w:val="16"/>
                <w:lang w:val="sv-SE"/>
              </w:rPr>
            </w:pPr>
          </w:p>
        </w:tc>
      </w:tr>
      <w:tr w:rsidR="00FB4EFA" w:rsidRPr="00FB4EFA" w14:paraId="4B075C47" w14:textId="77777777" w:rsidTr="002B022E">
        <w:trPr>
          <w:trHeight w:val="20"/>
        </w:trPr>
        <w:tc>
          <w:tcPr>
            <w:tcW w:w="0" w:type="auto"/>
            <w:tcBorders>
              <w:left w:val="nil"/>
              <w:bottom w:val="single" w:sz="4" w:space="0" w:color="auto"/>
            </w:tcBorders>
          </w:tcPr>
          <w:p w14:paraId="2112D08E"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B. I översättning till svenska</w:t>
            </w:r>
          </w:p>
        </w:tc>
        <w:tc>
          <w:tcPr>
            <w:tcW w:w="0" w:type="auto"/>
            <w:tcBorders>
              <w:bottom w:val="single" w:sz="4" w:space="0" w:color="auto"/>
            </w:tcBorders>
          </w:tcPr>
          <w:p w14:paraId="69D79A58"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347 / 22,6 %</w:t>
            </w:r>
          </w:p>
        </w:tc>
        <w:tc>
          <w:tcPr>
            <w:tcW w:w="0" w:type="auto"/>
            <w:tcBorders>
              <w:bottom w:val="single" w:sz="4" w:space="0" w:color="auto"/>
            </w:tcBorders>
          </w:tcPr>
          <w:p w14:paraId="0F491C1B" w14:textId="77777777" w:rsidR="00DD5337" w:rsidRPr="00FB4EFA" w:rsidRDefault="00DD5337" w:rsidP="002A3BC9">
            <w:pPr>
              <w:suppressAutoHyphens/>
              <w:spacing w:line="240" w:lineRule="auto"/>
              <w:rPr>
                <w:rFonts w:cs="Charis SIL"/>
                <w:sz w:val="16"/>
                <w:szCs w:val="16"/>
                <w:lang w:val="sv-SE"/>
              </w:rPr>
            </w:pPr>
          </w:p>
        </w:tc>
        <w:tc>
          <w:tcPr>
            <w:tcW w:w="0" w:type="auto"/>
            <w:tcBorders>
              <w:bottom w:val="single" w:sz="4" w:space="0" w:color="auto"/>
              <w:right w:val="nil"/>
            </w:tcBorders>
          </w:tcPr>
          <w:p w14:paraId="02C7EE23" w14:textId="77777777" w:rsidR="00DD5337" w:rsidRPr="00FB4EFA" w:rsidRDefault="00DD5337" w:rsidP="002A3BC9">
            <w:pPr>
              <w:suppressAutoHyphens/>
              <w:spacing w:line="240" w:lineRule="auto"/>
              <w:rPr>
                <w:rFonts w:cs="Charis SIL"/>
                <w:sz w:val="16"/>
                <w:szCs w:val="16"/>
                <w:lang w:val="sv-SE"/>
              </w:rPr>
            </w:pPr>
          </w:p>
        </w:tc>
      </w:tr>
      <w:tr w:rsidR="00FB4EFA" w:rsidRPr="00FB4EFA" w14:paraId="71507062" w14:textId="77777777" w:rsidTr="002B022E">
        <w:trPr>
          <w:trHeight w:val="20"/>
        </w:trPr>
        <w:tc>
          <w:tcPr>
            <w:tcW w:w="0" w:type="auto"/>
            <w:tcBorders>
              <w:left w:val="nil"/>
              <w:bottom w:val="single" w:sz="12" w:space="0" w:color="auto"/>
            </w:tcBorders>
          </w:tcPr>
          <w:p w14:paraId="746BE609"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C. Böcker för barn och ungdomar i översättning till svenska</w:t>
            </w:r>
          </w:p>
        </w:tc>
        <w:tc>
          <w:tcPr>
            <w:tcW w:w="0" w:type="auto"/>
            <w:tcBorders>
              <w:bottom w:val="single" w:sz="12" w:space="0" w:color="auto"/>
            </w:tcBorders>
          </w:tcPr>
          <w:p w14:paraId="6A64DABB"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70 / 4,6 %</w:t>
            </w:r>
          </w:p>
        </w:tc>
        <w:tc>
          <w:tcPr>
            <w:tcW w:w="0" w:type="auto"/>
            <w:tcBorders>
              <w:bottom w:val="single" w:sz="12" w:space="0" w:color="auto"/>
            </w:tcBorders>
          </w:tcPr>
          <w:p w14:paraId="3A2834B1" w14:textId="77777777" w:rsidR="00DD5337" w:rsidRPr="00FB4EFA" w:rsidRDefault="00DD5337" w:rsidP="002A3BC9">
            <w:pPr>
              <w:suppressAutoHyphens/>
              <w:spacing w:line="240" w:lineRule="auto"/>
              <w:rPr>
                <w:rFonts w:cs="Charis SIL"/>
                <w:sz w:val="16"/>
                <w:szCs w:val="16"/>
                <w:lang w:val="sv-SE"/>
              </w:rPr>
            </w:pPr>
          </w:p>
        </w:tc>
        <w:tc>
          <w:tcPr>
            <w:tcW w:w="0" w:type="auto"/>
            <w:tcBorders>
              <w:bottom w:val="single" w:sz="12" w:space="0" w:color="auto"/>
              <w:right w:val="nil"/>
            </w:tcBorders>
          </w:tcPr>
          <w:p w14:paraId="337A2E56" w14:textId="77777777" w:rsidR="00DD5337" w:rsidRPr="00FB4EFA" w:rsidRDefault="00DD5337" w:rsidP="002A3BC9">
            <w:pPr>
              <w:suppressAutoHyphens/>
              <w:spacing w:line="240" w:lineRule="auto"/>
              <w:rPr>
                <w:rFonts w:cs="Charis SIL"/>
                <w:sz w:val="16"/>
                <w:szCs w:val="16"/>
                <w:lang w:val="sv-SE"/>
              </w:rPr>
            </w:pPr>
          </w:p>
        </w:tc>
      </w:tr>
      <w:tr w:rsidR="00FB4EFA" w:rsidRPr="00FB4EFA" w14:paraId="3EDCE2F6" w14:textId="77777777" w:rsidTr="002B022E">
        <w:trPr>
          <w:trHeight w:val="20"/>
        </w:trPr>
        <w:tc>
          <w:tcPr>
            <w:tcW w:w="0" w:type="auto"/>
            <w:tcBorders>
              <w:top w:val="single" w:sz="12" w:space="0" w:color="auto"/>
              <w:left w:val="nil"/>
              <w:bottom w:val="single" w:sz="12" w:space="0" w:color="auto"/>
            </w:tcBorders>
          </w:tcPr>
          <w:p w14:paraId="35F442F5" w14:textId="77777777" w:rsidR="00DD5337" w:rsidRPr="00FB4EFA" w:rsidRDefault="00DD5337" w:rsidP="002A3BC9">
            <w:pPr>
              <w:suppressAutoHyphens/>
              <w:spacing w:line="240" w:lineRule="auto"/>
              <w:rPr>
                <w:rFonts w:cs="Charis SIL"/>
                <w:b/>
                <w:sz w:val="16"/>
                <w:szCs w:val="16"/>
                <w:lang w:val="sv-SE"/>
              </w:rPr>
            </w:pPr>
            <w:r w:rsidRPr="00FB4EFA">
              <w:rPr>
                <w:rFonts w:cs="Charis SIL"/>
                <w:b/>
                <w:sz w:val="16"/>
                <w:szCs w:val="16"/>
                <w:lang w:val="sv-SE"/>
              </w:rPr>
              <w:t>5. Antologier och sångböcker i original och översättning</w:t>
            </w:r>
          </w:p>
        </w:tc>
        <w:tc>
          <w:tcPr>
            <w:tcW w:w="0" w:type="auto"/>
            <w:tcBorders>
              <w:top w:val="single" w:sz="12" w:space="0" w:color="auto"/>
              <w:bottom w:val="single" w:sz="12" w:space="0" w:color="auto"/>
            </w:tcBorders>
          </w:tcPr>
          <w:p w14:paraId="76B98572"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41 / 2,7 %</w:t>
            </w:r>
          </w:p>
        </w:tc>
        <w:tc>
          <w:tcPr>
            <w:tcW w:w="0" w:type="auto"/>
            <w:tcBorders>
              <w:top w:val="single" w:sz="12" w:space="0" w:color="auto"/>
              <w:bottom w:val="single" w:sz="12" w:space="0" w:color="auto"/>
            </w:tcBorders>
          </w:tcPr>
          <w:p w14:paraId="46415B74" w14:textId="77777777" w:rsidR="00DD5337" w:rsidRPr="00FB4EFA" w:rsidRDefault="00DD5337" w:rsidP="002A3BC9">
            <w:pPr>
              <w:suppressAutoHyphens/>
              <w:spacing w:line="240" w:lineRule="auto"/>
              <w:rPr>
                <w:rFonts w:cs="Charis SIL"/>
                <w:sz w:val="16"/>
                <w:szCs w:val="16"/>
                <w:lang w:val="sv-SE"/>
              </w:rPr>
            </w:pPr>
          </w:p>
        </w:tc>
        <w:tc>
          <w:tcPr>
            <w:tcW w:w="0" w:type="auto"/>
            <w:tcBorders>
              <w:top w:val="single" w:sz="12" w:space="0" w:color="auto"/>
              <w:bottom w:val="single" w:sz="12" w:space="0" w:color="auto"/>
              <w:right w:val="nil"/>
            </w:tcBorders>
          </w:tcPr>
          <w:p w14:paraId="545E407D" w14:textId="77777777" w:rsidR="00DD5337" w:rsidRPr="00FB4EFA" w:rsidRDefault="00DD5337" w:rsidP="002A3BC9">
            <w:pPr>
              <w:suppressAutoHyphens/>
              <w:spacing w:line="240" w:lineRule="auto"/>
              <w:rPr>
                <w:rFonts w:cs="Charis SIL"/>
                <w:sz w:val="16"/>
                <w:szCs w:val="16"/>
                <w:lang w:val="sv-SE"/>
              </w:rPr>
            </w:pPr>
          </w:p>
        </w:tc>
      </w:tr>
      <w:tr w:rsidR="00FB4EFA" w:rsidRPr="00FB4EFA" w14:paraId="2F023522" w14:textId="77777777" w:rsidTr="002B022E">
        <w:trPr>
          <w:trHeight w:val="20"/>
        </w:trPr>
        <w:tc>
          <w:tcPr>
            <w:tcW w:w="0" w:type="auto"/>
            <w:tcBorders>
              <w:top w:val="single" w:sz="12" w:space="0" w:color="auto"/>
              <w:left w:val="nil"/>
              <w:bottom w:val="single" w:sz="12" w:space="0" w:color="auto"/>
            </w:tcBorders>
          </w:tcPr>
          <w:p w14:paraId="3AFBD241" w14:textId="77777777" w:rsidR="00DD5337" w:rsidRPr="00FB4EFA" w:rsidRDefault="00DD5337" w:rsidP="002A3BC9">
            <w:pPr>
              <w:suppressAutoHyphens/>
              <w:spacing w:line="240" w:lineRule="auto"/>
              <w:rPr>
                <w:rFonts w:cs="Charis SIL"/>
                <w:b/>
                <w:sz w:val="16"/>
                <w:szCs w:val="16"/>
                <w:lang w:val="sv-SE"/>
              </w:rPr>
            </w:pPr>
            <w:r w:rsidRPr="00FB4EFA">
              <w:rPr>
                <w:rFonts w:cs="Charis SIL"/>
                <w:b/>
                <w:sz w:val="16"/>
                <w:szCs w:val="16"/>
                <w:lang w:val="sv-SE"/>
              </w:rPr>
              <w:t>6. Folkdiktning</w:t>
            </w:r>
          </w:p>
        </w:tc>
        <w:tc>
          <w:tcPr>
            <w:tcW w:w="0" w:type="auto"/>
            <w:tcBorders>
              <w:top w:val="single" w:sz="12" w:space="0" w:color="auto"/>
              <w:bottom w:val="single" w:sz="12" w:space="0" w:color="auto"/>
            </w:tcBorders>
          </w:tcPr>
          <w:p w14:paraId="69BDEE1D"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16 / 1 %</w:t>
            </w:r>
          </w:p>
        </w:tc>
        <w:tc>
          <w:tcPr>
            <w:tcW w:w="0" w:type="auto"/>
            <w:tcBorders>
              <w:top w:val="single" w:sz="12" w:space="0" w:color="auto"/>
              <w:bottom w:val="single" w:sz="12" w:space="0" w:color="auto"/>
            </w:tcBorders>
          </w:tcPr>
          <w:p w14:paraId="3664BAF5" w14:textId="77777777" w:rsidR="00DD5337" w:rsidRPr="00FB4EFA" w:rsidRDefault="00DD5337" w:rsidP="002A3BC9">
            <w:pPr>
              <w:suppressAutoHyphens/>
              <w:spacing w:line="240" w:lineRule="auto"/>
              <w:rPr>
                <w:rFonts w:cs="Charis SIL"/>
                <w:sz w:val="16"/>
                <w:szCs w:val="16"/>
                <w:lang w:val="sv-SE"/>
              </w:rPr>
            </w:pPr>
          </w:p>
        </w:tc>
        <w:tc>
          <w:tcPr>
            <w:tcW w:w="0" w:type="auto"/>
            <w:tcBorders>
              <w:top w:val="single" w:sz="12" w:space="0" w:color="auto"/>
              <w:bottom w:val="single" w:sz="12" w:space="0" w:color="auto"/>
              <w:right w:val="nil"/>
            </w:tcBorders>
          </w:tcPr>
          <w:p w14:paraId="51651C79" w14:textId="77777777" w:rsidR="00DD5337" w:rsidRPr="00FB4EFA" w:rsidRDefault="00DD5337" w:rsidP="002A3BC9">
            <w:pPr>
              <w:suppressAutoHyphens/>
              <w:spacing w:line="240" w:lineRule="auto"/>
              <w:rPr>
                <w:rFonts w:cs="Charis SIL"/>
                <w:sz w:val="16"/>
                <w:szCs w:val="16"/>
                <w:lang w:val="sv-SE"/>
              </w:rPr>
            </w:pPr>
          </w:p>
        </w:tc>
      </w:tr>
      <w:tr w:rsidR="00FB4EFA" w:rsidRPr="00FB4EFA" w14:paraId="2AC99A82" w14:textId="77777777" w:rsidTr="002B022E">
        <w:trPr>
          <w:trHeight w:val="20"/>
        </w:trPr>
        <w:tc>
          <w:tcPr>
            <w:tcW w:w="0" w:type="auto"/>
            <w:tcBorders>
              <w:top w:val="single" w:sz="12" w:space="0" w:color="auto"/>
              <w:left w:val="nil"/>
              <w:bottom w:val="nil"/>
            </w:tcBorders>
          </w:tcPr>
          <w:p w14:paraId="02BD37C4"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Sammanlagt</w:t>
            </w:r>
          </w:p>
        </w:tc>
        <w:tc>
          <w:tcPr>
            <w:tcW w:w="0" w:type="auto"/>
            <w:tcBorders>
              <w:top w:val="single" w:sz="12" w:space="0" w:color="auto"/>
              <w:bottom w:val="nil"/>
            </w:tcBorders>
          </w:tcPr>
          <w:p w14:paraId="30110896" w14:textId="77777777" w:rsidR="00DD5337" w:rsidRPr="00FB4EFA" w:rsidRDefault="00DD5337" w:rsidP="002A3BC9">
            <w:pPr>
              <w:suppressAutoHyphens/>
              <w:spacing w:line="240" w:lineRule="auto"/>
              <w:rPr>
                <w:rFonts w:cs="Charis SIL"/>
                <w:sz w:val="16"/>
                <w:szCs w:val="16"/>
                <w:lang w:val="sv-SE"/>
              </w:rPr>
            </w:pPr>
            <w:r w:rsidRPr="00FB4EFA">
              <w:rPr>
                <w:rFonts w:cs="Charis SIL"/>
                <w:sz w:val="16"/>
                <w:szCs w:val="16"/>
                <w:lang w:val="sv-SE"/>
              </w:rPr>
              <w:t>1535</w:t>
            </w:r>
          </w:p>
        </w:tc>
        <w:tc>
          <w:tcPr>
            <w:tcW w:w="0" w:type="auto"/>
            <w:tcBorders>
              <w:top w:val="single" w:sz="12" w:space="0" w:color="auto"/>
              <w:bottom w:val="nil"/>
            </w:tcBorders>
          </w:tcPr>
          <w:p w14:paraId="188326AF" w14:textId="77777777" w:rsidR="00DD5337" w:rsidRPr="00FB4EFA" w:rsidRDefault="00DD5337" w:rsidP="002A3BC9">
            <w:pPr>
              <w:suppressAutoHyphens/>
              <w:spacing w:line="240" w:lineRule="auto"/>
              <w:rPr>
                <w:rFonts w:cs="Charis SIL"/>
                <w:sz w:val="16"/>
                <w:szCs w:val="16"/>
                <w:lang w:val="sv-SE"/>
              </w:rPr>
            </w:pPr>
          </w:p>
        </w:tc>
        <w:tc>
          <w:tcPr>
            <w:tcW w:w="0" w:type="auto"/>
            <w:tcBorders>
              <w:top w:val="single" w:sz="12" w:space="0" w:color="auto"/>
              <w:bottom w:val="nil"/>
              <w:right w:val="nil"/>
            </w:tcBorders>
          </w:tcPr>
          <w:p w14:paraId="7A6FB6ED" w14:textId="77777777" w:rsidR="00DD5337" w:rsidRPr="00FB4EFA" w:rsidRDefault="00DD5337" w:rsidP="002A3BC9">
            <w:pPr>
              <w:suppressAutoHyphens/>
              <w:spacing w:line="240" w:lineRule="auto"/>
              <w:rPr>
                <w:rFonts w:cs="Charis SIL"/>
                <w:sz w:val="16"/>
                <w:szCs w:val="16"/>
                <w:lang w:val="sv-SE"/>
              </w:rPr>
            </w:pPr>
          </w:p>
        </w:tc>
      </w:tr>
    </w:tbl>
    <w:p w14:paraId="0AD23039" w14:textId="4E154A0B" w:rsidR="0093103F" w:rsidRPr="00FB4EFA" w:rsidRDefault="0093103F" w:rsidP="00AC1192">
      <w:pPr>
        <w:suppressAutoHyphens/>
        <w:spacing w:before="120" w:after="240" w:line="240" w:lineRule="auto"/>
        <w:jc w:val="center"/>
        <w:rPr>
          <w:sz w:val="18"/>
          <w:szCs w:val="18"/>
          <w:lang w:val="hu-HU"/>
        </w:rPr>
      </w:pPr>
      <w:r w:rsidRPr="00FB4EFA">
        <w:rPr>
          <w:b/>
          <w:bCs/>
          <w:sz w:val="18"/>
          <w:szCs w:val="18"/>
          <w:lang w:val="hu-HU"/>
        </w:rPr>
        <w:t>Tabell 1</w:t>
      </w:r>
      <w:r w:rsidRPr="00FB4EFA">
        <w:rPr>
          <w:sz w:val="18"/>
          <w:szCs w:val="18"/>
          <w:lang w:val="hu-HU"/>
        </w:rPr>
        <w:t>: Utgivning av skönlitteratur på svenska i Finland enligt klasser i Ölander 1958.</w:t>
      </w:r>
    </w:p>
    <w:p w14:paraId="19B58472" w14:textId="77777777" w:rsidR="002A3BC9" w:rsidRPr="00FB4EFA" w:rsidRDefault="002A3BC9">
      <w:r w:rsidRPr="00FB4EFA">
        <w:br w:type="page"/>
      </w:r>
    </w:p>
    <w:tbl>
      <w:tblPr>
        <w:tblW w:w="7132" w:type="dxa"/>
        <w:tblBorders>
          <w:insideH w:val="single" w:sz="4" w:space="0" w:color="auto"/>
          <w:insideV w:val="single" w:sz="4" w:space="0" w:color="auto"/>
        </w:tblBorders>
        <w:tblLook w:val="04A0" w:firstRow="1" w:lastRow="0" w:firstColumn="1" w:lastColumn="0" w:noHBand="0" w:noVBand="1"/>
      </w:tblPr>
      <w:tblGrid>
        <w:gridCol w:w="1137"/>
        <w:gridCol w:w="1950"/>
        <w:gridCol w:w="2577"/>
        <w:gridCol w:w="820"/>
        <w:gridCol w:w="648"/>
      </w:tblGrid>
      <w:tr w:rsidR="00FB4EFA" w:rsidRPr="00FB4EFA" w14:paraId="2A1120A1" w14:textId="77777777" w:rsidTr="002A3BC9">
        <w:tc>
          <w:tcPr>
            <w:tcW w:w="0" w:type="auto"/>
            <w:tcBorders>
              <w:top w:val="nil"/>
              <w:bottom w:val="single" w:sz="12" w:space="0" w:color="auto"/>
            </w:tcBorders>
            <w:vAlign w:val="center"/>
          </w:tcPr>
          <w:p w14:paraId="29539C64" w14:textId="31F4DC55" w:rsidR="00DD5337" w:rsidRPr="00FB4EFA" w:rsidRDefault="00DD5337" w:rsidP="002A3BC9">
            <w:pPr>
              <w:suppressAutoHyphens/>
              <w:spacing w:line="240" w:lineRule="auto"/>
              <w:jc w:val="center"/>
              <w:rPr>
                <w:rFonts w:cs="Charis SIL"/>
                <w:b/>
                <w:bCs/>
                <w:sz w:val="16"/>
                <w:szCs w:val="16"/>
                <w:lang w:val="sv-SE"/>
              </w:rPr>
            </w:pPr>
            <w:r w:rsidRPr="00FB4EFA">
              <w:rPr>
                <w:rFonts w:cs="Charis SIL"/>
                <w:b/>
                <w:bCs/>
                <w:sz w:val="16"/>
                <w:szCs w:val="16"/>
                <w:lang w:val="sv-SE"/>
              </w:rPr>
              <w:lastRenderedPageBreak/>
              <w:t>Författare</w:t>
            </w:r>
          </w:p>
        </w:tc>
        <w:tc>
          <w:tcPr>
            <w:tcW w:w="0" w:type="auto"/>
            <w:tcBorders>
              <w:top w:val="nil"/>
              <w:bottom w:val="single" w:sz="12" w:space="0" w:color="auto"/>
            </w:tcBorders>
            <w:vAlign w:val="center"/>
          </w:tcPr>
          <w:p w14:paraId="07A36B65" w14:textId="137CB84A" w:rsidR="00DD5337" w:rsidRPr="00FB4EFA" w:rsidRDefault="00DD5337" w:rsidP="002A3BC9">
            <w:pPr>
              <w:suppressAutoHyphens/>
              <w:spacing w:line="240" w:lineRule="auto"/>
              <w:jc w:val="center"/>
              <w:rPr>
                <w:rFonts w:cs="Charis SIL"/>
                <w:b/>
                <w:bCs/>
                <w:sz w:val="16"/>
                <w:szCs w:val="16"/>
                <w:lang w:val="sv-SE"/>
              </w:rPr>
            </w:pPr>
            <w:r w:rsidRPr="00FB4EFA">
              <w:rPr>
                <w:rFonts w:cs="Charis SIL"/>
                <w:b/>
                <w:bCs/>
                <w:sz w:val="16"/>
                <w:szCs w:val="16"/>
                <w:lang w:val="sv-SE"/>
              </w:rPr>
              <w:t>Titel</w:t>
            </w:r>
          </w:p>
        </w:tc>
        <w:tc>
          <w:tcPr>
            <w:tcW w:w="0" w:type="auto"/>
            <w:tcBorders>
              <w:top w:val="nil"/>
              <w:bottom w:val="single" w:sz="12" w:space="0" w:color="auto"/>
            </w:tcBorders>
            <w:vAlign w:val="center"/>
          </w:tcPr>
          <w:p w14:paraId="235BA49C" w14:textId="77777777" w:rsidR="00DD5337" w:rsidRPr="00FB4EFA" w:rsidRDefault="00DD5337" w:rsidP="002A3BC9">
            <w:pPr>
              <w:suppressAutoHyphens/>
              <w:spacing w:line="240" w:lineRule="auto"/>
              <w:jc w:val="center"/>
              <w:rPr>
                <w:rFonts w:cs="Charis SIL"/>
                <w:b/>
                <w:bCs/>
                <w:sz w:val="16"/>
                <w:szCs w:val="16"/>
                <w:lang w:val="sv-SE"/>
              </w:rPr>
            </w:pPr>
            <w:r w:rsidRPr="00FB4EFA">
              <w:rPr>
                <w:rFonts w:cs="Charis SIL"/>
                <w:b/>
                <w:bCs/>
                <w:sz w:val="16"/>
                <w:szCs w:val="16"/>
                <w:lang w:val="sv-SE"/>
              </w:rPr>
              <w:t>Förlag</w:t>
            </w:r>
          </w:p>
        </w:tc>
        <w:tc>
          <w:tcPr>
            <w:tcW w:w="0" w:type="auto"/>
            <w:tcBorders>
              <w:top w:val="nil"/>
              <w:bottom w:val="single" w:sz="12" w:space="0" w:color="auto"/>
            </w:tcBorders>
            <w:vAlign w:val="center"/>
          </w:tcPr>
          <w:p w14:paraId="0DC6C0E1" w14:textId="77777777" w:rsidR="00DD5337" w:rsidRPr="00FB4EFA" w:rsidRDefault="00DD5337" w:rsidP="002A3BC9">
            <w:pPr>
              <w:suppressAutoHyphens/>
              <w:spacing w:line="240" w:lineRule="auto"/>
              <w:jc w:val="center"/>
              <w:rPr>
                <w:rFonts w:cs="Charis SIL"/>
                <w:b/>
                <w:bCs/>
                <w:sz w:val="16"/>
                <w:szCs w:val="16"/>
                <w:lang w:val="sv-SE"/>
              </w:rPr>
            </w:pPr>
            <w:r w:rsidRPr="00FB4EFA">
              <w:rPr>
                <w:rFonts w:cs="Charis SIL"/>
                <w:b/>
                <w:bCs/>
                <w:sz w:val="16"/>
                <w:szCs w:val="16"/>
                <w:lang w:val="sv-SE"/>
              </w:rPr>
              <w:t>Sidantal</w:t>
            </w:r>
          </w:p>
        </w:tc>
        <w:tc>
          <w:tcPr>
            <w:tcW w:w="0" w:type="auto"/>
            <w:tcBorders>
              <w:top w:val="nil"/>
              <w:bottom w:val="single" w:sz="12" w:space="0" w:color="auto"/>
            </w:tcBorders>
            <w:vAlign w:val="center"/>
          </w:tcPr>
          <w:p w14:paraId="1CE220CD" w14:textId="77777777" w:rsidR="00DD5337" w:rsidRPr="00FB4EFA" w:rsidRDefault="00DD5337" w:rsidP="002A3BC9">
            <w:pPr>
              <w:suppressAutoHyphens/>
              <w:spacing w:line="240" w:lineRule="auto"/>
              <w:jc w:val="center"/>
              <w:rPr>
                <w:rFonts w:cs="Charis SIL"/>
                <w:b/>
                <w:bCs/>
                <w:sz w:val="16"/>
                <w:szCs w:val="16"/>
                <w:lang w:val="sv-SE"/>
              </w:rPr>
            </w:pPr>
            <w:r w:rsidRPr="00FB4EFA">
              <w:rPr>
                <w:rFonts w:cs="Charis SIL"/>
                <w:b/>
                <w:bCs/>
                <w:sz w:val="16"/>
                <w:szCs w:val="16"/>
                <w:lang w:val="sv-SE"/>
              </w:rPr>
              <w:t>Pris, mk</w:t>
            </w:r>
          </w:p>
        </w:tc>
      </w:tr>
      <w:tr w:rsidR="00FB4EFA" w:rsidRPr="00FB4EFA" w14:paraId="1CDCD67F" w14:textId="77777777" w:rsidTr="002A3BC9">
        <w:tc>
          <w:tcPr>
            <w:tcW w:w="0" w:type="auto"/>
            <w:tcBorders>
              <w:top w:val="single" w:sz="12" w:space="0" w:color="auto"/>
            </w:tcBorders>
          </w:tcPr>
          <w:p w14:paraId="4F444DD2" w14:textId="77777777" w:rsidR="008F73FD" w:rsidRPr="00FB4EFA" w:rsidRDefault="00DD5337" w:rsidP="002A3BC9">
            <w:pPr>
              <w:spacing w:line="240" w:lineRule="auto"/>
              <w:jc w:val="left"/>
              <w:rPr>
                <w:rFonts w:cs="Charis SIL"/>
                <w:sz w:val="16"/>
                <w:szCs w:val="16"/>
                <w:lang w:val="sv-SE"/>
              </w:rPr>
            </w:pPr>
            <w:r w:rsidRPr="00FB4EFA">
              <w:rPr>
                <w:rFonts w:cs="Charis SIL"/>
                <w:sz w:val="16"/>
                <w:szCs w:val="16"/>
                <w:lang w:val="sv-SE"/>
              </w:rPr>
              <w:t>Backman, Sigrid</w:t>
            </w:r>
          </w:p>
          <w:p w14:paraId="00407F7E" w14:textId="204D445C" w:rsidR="00DD5337" w:rsidRPr="00FB4EFA" w:rsidRDefault="00DD5337" w:rsidP="002A3BC9">
            <w:pPr>
              <w:spacing w:line="240" w:lineRule="auto"/>
              <w:jc w:val="left"/>
              <w:rPr>
                <w:rFonts w:cs="Charis SIL"/>
                <w:sz w:val="16"/>
                <w:szCs w:val="16"/>
                <w:lang w:val="sv-SE"/>
              </w:rPr>
            </w:pPr>
          </w:p>
        </w:tc>
        <w:tc>
          <w:tcPr>
            <w:tcW w:w="0" w:type="auto"/>
            <w:tcBorders>
              <w:top w:val="single" w:sz="12" w:space="0" w:color="auto"/>
            </w:tcBorders>
          </w:tcPr>
          <w:p w14:paraId="4567C762"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Guds barn. En liten berättelse om styrman Broström och fröken Ejder</w:t>
            </w:r>
          </w:p>
        </w:tc>
        <w:tc>
          <w:tcPr>
            <w:tcW w:w="0" w:type="auto"/>
            <w:tcBorders>
              <w:top w:val="single" w:sz="12" w:space="0" w:color="auto"/>
            </w:tcBorders>
          </w:tcPr>
          <w:p w14:paraId="3958E6C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tc>
        <w:tc>
          <w:tcPr>
            <w:tcW w:w="0" w:type="auto"/>
            <w:tcBorders>
              <w:top w:val="single" w:sz="12" w:space="0" w:color="auto"/>
            </w:tcBorders>
          </w:tcPr>
          <w:p w14:paraId="229B136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166</w:t>
            </w:r>
          </w:p>
        </w:tc>
        <w:tc>
          <w:tcPr>
            <w:tcW w:w="0" w:type="auto"/>
            <w:tcBorders>
              <w:top w:val="single" w:sz="12" w:space="0" w:color="auto"/>
            </w:tcBorders>
          </w:tcPr>
          <w:p w14:paraId="324504F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3:25</w:t>
            </w:r>
          </w:p>
        </w:tc>
      </w:tr>
      <w:tr w:rsidR="00FB4EFA" w:rsidRPr="00FB4EFA" w14:paraId="22461175" w14:textId="77777777" w:rsidTr="002A3BC9">
        <w:tc>
          <w:tcPr>
            <w:tcW w:w="0" w:type="auto"/>
          </w:tcPr>
          <w:p w14:paraId="5F1D7A49"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Bergh, John </w:t>
            </w:r>
          </w:p>
        </w:tc>
        <w:tc>
          <w:tcPr>
            <w:tcW w:w="0" w:type="auto"/>
          </w:tcPr>
          <w:p w14:paraId="08E92C8C"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 xml:space="preserve">Vid Pans altare. </w:t>
            </w:r>
            <w:r w:rsidRPr="00FB4EFA">
              <w:rPr>
                <w:rFonts w:cs="Charis SIL"/>
                <w:sz w:val="16"/>
                <w:szCs w:val="16"/>
                <w:lang w:val="sv-SE"/>
              </w:rPr>
              <w:t>Veckans Krönikas följetong 1916–1917</w:t>
            </w:r>
          </w:p>
        </w:tc>
        <w:tc>
          <w:tcPr>
            <w:tcW w:w="0" w:type="auto"/>
          </w:tcPr>
          <w:p w14:paraId="745EAB28" w14:textId="77777777" w:rsidR="00DD5337" w:rsidRPr="00FB4EFA" w:rsidRDefault="00DD5337" w:rsidP="002A3BC9">
            <w:pPr>
              <w:spacing w:line="240" w:lineRule="auto"/>
              <w:jc w:val="left"/>
              <w:rPr>
                <w:rFonts w:cs="Charis SIL"/>
                <w:sz w:val="16"/>
                <w:szCs w:val="16"/>
                <w:lang w:val="sv-SE"/>
              </w:rPr>
            </w:pPr>
          </w:p>
        </w:tc>
        <w:tc>
          <w:tcPr>
            <w:tcW w:w="0" w:type="auto"/>
          </w:tcPr>
          <w:p w14:paraId="6ED9157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150</w:t>
            </w:r>
          </w:p>
        </w:tc>
        <w:tc>
          <w:tcPr>
            <w:tcW w:w="0" w:type="auto"/>
          </w:tcPr>
          <w:p w14:paraId="191A5546" w14:textId="77777777" w:rsidR="00DD5337" w:rsidRPr="00FB4EFA" w:rsidRDefault="00DD5337" w:rsidP="002A3BC9">
            <w:pPr>
              <w:spacing w:line="240" w:lineRule="auto"/>
              <w:jc w:val="left"/>
              <w:rPr>
                <w:rFonts w:cs="Charis SIL"/>
                <w:sz w:val="16"/>
                <w:szCs w:val="16"/>
                <w:lang w:val="sv-SE"/>
              </w:rPr>
            </w:pPr>
          </w:p>
        </w:tc>
      </w:tr>
      <w:tr w:rsidR="00FB4EFA" w:rsidRPr="00FB4EFA" w14:paraId="29790745" w14:textId="77777777" w:rsidTr="002A3BC9">
        <w:trPr>
          <w:trHeight w:val="573"/>
        </w:trPr>
        <w:tc>
          <w:tcPr>
            <w:tcW w:w="0" w:type="auto"/>
          </w:tcPr>
          <w:p w14:paraId="751883BA"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Bergroth, Kersti </w:t>
            </w:r>
          </w:p>
        </w:tc>
        <w:tc>
          <w:tcPr>
            <w:tcW w:w="0" w:type="auto"/>
          </w:tcPr>
          <w:p w14:paraId="488268B0"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Sixtus</w:t>
            </w:r>
            <w:r w:rsidRPr="00FB4EFA">
              <w:rPr>
                <w:rFonts w:cs="Charis SIL"/>
                <w:sz w:val="16"/>
                <w:szCs w:val="16"/>
                <w:lang w:val="sv-SE"/>
              </w:rPr>
              <w:t>.</w:t>
            </w:r>
          </w:p>
        </w:tc>
        <w:tc>
          <w:tcPr>
            <w:tcW w:w="0" w:type="auto"/>
          </w:tcPr>
          <w:p w14:paraId="4DF6F3F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p w14:paraId="15FB18C3" w14:textId="77777777" w:rsidR="00DD5337" w:rsidRPr="00FB4EFA" w:rsidRDefault="00DD5337" w:rsidP="002A3BC9">
            <w:pPr>
              <w:spacing w:line="240" w:lineRule="auto"/>
              <w:jc w:val="left"/>
              <w:rPr>
                <w:rFonts w:cs="Charis SIL"/>
                <w:sz w:val="16"/>
                <w:szCs w:val="16"/>
                <w:lang w:val="sv-SE"/>
              </w:rPr>
            </w:pPr>
          </w:p>
        </w:tc>
        <w:tc>
          <w:tcPr>
            <w:tcW w:w="0" w:type="auto"/>
          </w:tcPr>
          <w:p w14:paraId="5CF1C13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265 </w:t>
            </w:r>
          </w:p>
        </w:tc>
        <w:tc>
          <w:tcPr>
            <w:tcW w:w="0" w:type="auto"/>
          </w:tcPr>
          <w:p w14:paraId="418F172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5:50</w:t>
            </w:r>
          </w:p>
        </w:tc>
      </w:tr>
      <w:tr w:rsidR="00FB4EFA" w:rsidRPr="00FB4EFA" w14:paraId="6FE2F153" w14:textId="77777777" w:rsidTr="002A3BC9">
        <w:tc>
          <w:tcPr>
            <w:tcW w:w="0" w:type="auto"/>
          </w:tcPr>
          <w:p w14:paraId="2318A77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Cederholm, Hanna </w:t>
            </w:r>
          </w:p>
        </w:tc>
        <w:tc>
          <w:tcPr>
            <w:tcW w:w="0" w:type="auto"/>
          </w:tcPr>
          <w:p w14:paraId="03DCC843"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Ilse Benzig</w:t>
            </w:r>
            <w:r w:rsidRPr="00FB4EFA">
              <w:rPr>
                <w:rFonts w:cs="Charis SIL"/>
                <w:sz w:val="16"/>
                <w:szCs w:val="16"/>
                <w:lang w:val="sv-SE"/>
              </w:rPr>
              <w:t>.</w:t>
            </w:r>
          </w:p>
        </w:tc>
        <w:tc>
          <w:tcPr>
            <w:tcW w:w="0" w:type="auto"/>
          </w:tcPr>
          <w:p w14:paraId="47FB71E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tc>
        <w:tc>
          <w:tcPr>
            <w:tcW w:w="0" w:type="auto"/>
          </w:tcPr>
          <w:p w14:paraId="144C9FC7"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232</w:t>
            </w:r>
          </w:p>
        </w:tc>
        <w:tc>
          <w:tcPr>
            <w:tcW w:w="0" w:type="auto"/>
          </w:tcPr>
          <w:p w14:paraId="5A9A635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5:50</w:t>
            </w:r>
          </w:p>
        </w:tc>
      </w:tr>
      <w:tr w:rsidR="00FB4EFA" w:rsidRPr="00FB4EFA" w14:paraId="5CDC7682" w14:textId="77777777" w:rsidTr="002A3BC9">
        <w:tc>
          <w:tcPr>
            <w:tcW w:w="0" w:type="auto"/>
          </w:tcPr>
          <w:p w14:paraId="7050F7B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Ekman, Kurt </w:t>
            </w:r>
          </w:p>
        </w:tc>
        <w:tc>
          <w:tcPr>
            <w:tcW w:w="0" w:type="auto"/>
          </w:tcPr>
          <w:p w14:paraId="6D3CC76D"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Havet</w:t>
            </w:r>
            <w:r w:rsidRPr="00FB4EFA">
              <w:rPr>
                <w:rFonts w:cs="Charis SIL"/>
                <w:sz w:val="16"/>
                <w:szCs w:val="16"/>
                <w:lang w:val="sv-SE"/>
              </w:rPr>
              <w:t>.</w:t>
            </w:r>
          </w:p>
        </w:tc>
        <w:tc>
          <w:tcPr>
            <w:tcW w:w="0" w:type="auto"/>
          </w:tcPr>
          <w:p w14:paraId="4FBBA299"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tc>
        <w:tc>
          <w:tcPr>
            <w:tcW w:w="0" w:type="auto"/>
          </w:tcPr>
          <w:p w14:paraId="6C59A71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179</w:t>
            </w:r>
          </w:p>
        </w:tc>
        <w:tc>
          <w:tcPr>
            <w:tcW w:w="0" w:type="auto"/>
          </w:tcPr>
          <w:p w14:paraId="466CF41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3:75</w:t>
            </w:r>
          </w:p>
        </w:tc>
      </w:tr>
      <w:tr w:rsidR="00FB4EFA" w:rsidRPr="00FB4EFA" w14:paraId="16E6224B" w14:textId="77777777" w:rsidTr="002A3BC9">
        <w:tc>
          <w:tcPr>
            <w:tcW w:w="0" w:type="auto"/>
          </w:tcPr>
          <w:p w14:paraId="10BB51DD" w14:textId="77777777" w:rsidR="00DD5337" w:rsidRPr="00FB4EFA" w:rsidRDefault="00DD5337" w:rsidP="002A3BC9">
            <w:pPr>
              <w:keepNext/>
              <w:keepLines/>
              <w:spacing w:line="240" w:lineRule="auto"/>
              <w:jc w:val="left"/>
              <w:rPr>
                <w:rFonts w:cs="Charis SIL"/>
                <w:sz w:val="16"/>
                <w:szCs w:val="16"/>
                <w:lang w:val="sv-SE"/>
              </w:rPr>
            </w:pPr>
            <w:r w:rsidRPr="00FB4EFA">
              <w:rPr>
                <w:rFonts w:cs="Charis SIL"/>
                <w:sz w:val="16"/>
                <w:szCs w:val="16"/>
                <w:lang w:val="sv-SE"/>
              </w:rPr>
              <w:t xml:space="preserve">Hellberg, Helle </w:t>
            </w:r>
          </w:p>
        </w:tc>
        <w:tc>
          <w:tcPr>
            <w:tcW w:w="0" w:type="auto"/>
          </w:tcPr>
          <w:p w14:paraId="7D404FB1" w14:textId="77777777" w:rsidR="00DD5337" w:rsidRPr="00FB4EFA" w:rsidRDefault="00DD5337" w:rsidP="002A3BC9">
            <w:pPr>
              <w:keepNext/>
              <w:keepLines/>
              <w:suppressAutoHyphens/>
              <w:spacing w:line="240" w:lineRule="auto"/>
              <w:jc w:val="left"/>
              <w:rPr>
                <w:rFonts w:cs="Charis SIL"/>
                <w:sz w:val="16"/>
                <w:szCs w:val="16"/>
                <w:lang w:val="sv-SE"/>
              </w:rPr>
            </w:pPr>
            <w:r w:rsidRPr="00FB4EFA">
              <w:rPr>
                <w:rFonts w:cs="Charis SIL"/>
                <w:i/>
                <w:sz w:val="16"/>
                <w:szCs w:val="16"/>
                <w:lang w:val="sv-SE"/>
              </w:rPr>
              <w:t>En flickhistoria</w:t>
            </w:r>
            <w:r w:rsidRPr="00FB4EFA">
              <w:rPr>
                <w:rFonts w:cs="Charis SIL"/>
                <w:sz w:val="16"/>
                <w:szCs w:val="16"/>
                <w:lang w:val="sv-SE"/>
              </w:rPr>
              <w:t>. Original för ”Hemma och ute”.</w:t>
            </w:r>
          </w:p>
        </w:tc>
        <w:tc>
          <w:tcPr>
            <w:tcW w:w="0" w:type="auto"/>
          </w:tcPr>
          <w:p w14:paraId="273E3349" w14:textId="77777777" w:rsidR="00DD5337" w:rsidRPr="00FB4EFA" w:rsidRDefault="00DD5337" w:rsidP="002A3BC9">
            <w:pPr>
              <w:keepNext/>
              <w:keepLines/>
              <w:spacing w:line="240" w:lineRule="auto"/>
              <w:jc w:val="left"/>
              <w:rPr>
                <w:rFonts w:cs="Charis SIL"/>
                <w:sz w:val="16"/>
                <w:szCs w:val="16"/>
                <w:lang w:val="sv-SE"/>
              </w:rPr>
            </w:pPr>
          </w:p>
        </w:tc>
        <w:tc>
          <w:tcPr>
            <w:tcW w:w="0" w:type="auto"/>
          </w:tcPr>
          <w:p w14:paraId="18424646" w14:textId="77777777" w:rsidR="00DD5337" w:rsidRPr="00FB4EFA" w:rsidRDefault="00DD5337" w:rsidP="002A3BC9">
            <w:pPr>
              <w:keepNext/>
              <w:keepLines/>
              <w:spacing w:line="240" w:lineRule="auto"/>
              <w:jc w:val="left"/>
              <w:rPr>
                <w:rFonts w:cs="Charis SIL"/>
                <w:sz w:val="16"/>
                <w:szCs w:val="16"/>
                <w:lang w:val="sv-SE"/>
              </w:rPr>
            </w:pPr>
            <w:r w:rsidRPr="00FB4EFA">
              <w:rPr>
                <w:rFonts w:cs="Charis SIL"/>
                <w:sz w:val="16"/>
                <w:szCs w:val="16"/>
                <w:lang w:val="sv-SE"/>
              </w:rPr>
              <w:t>60</w:t>
            </w:r>
          </w:p>
        </w:tc>
        <w:tc>
          <w:tcPr>
            <w:tcW w:w="0" w:type="auto"/>
          </w:tcPr>
          <w:p w14:paraId="418E9B3C" w14:textId="77777777" w:rsidR="00DD5337" w:rsidRPr="00FB4EFA" w:rsidRDefault="00DD5337" w:rsidP="002A3BC9">
            <w:pPr>
              <w:keepNext/>
              <w:keepLines/>
              <w:spacing w:line="240" w:lineRule="auto"/>
              <w:jc w:val="left"/>
              <w:rPr>
                <w:rFonts w:cs="Charis SIL"/>
                <w:sz w:val="16"/>
                <w:szCs w:val="16"/>
                <w:lang w:val="sv-SE"/>
              </w:rPr>
            </w:pPr>
          </w:p>
        </w:tc>
      </w:tr>
      <w:tr w:rsidR="00FB4EFA" w:rsidRPr="00FB4EFA" w14:paraId="2BB0783D" w14:textId="77777777" w:rsidTr="002A3BC9">
        <w:trPr>
          <w:trHeight w:val="788"/>
        </w:trPr>
        <w:tc>
          <w:tcPr>
            <w:tcW w:w="0" w:type="auto"/>
          </w:tcPr>
          <w:p w14:paraId="15BE546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Hildén, A.[lma ]</w:t>
            </w:r>
          </w:p>
        </w:tc>
        <w:tc>
          <w:tcPr>
            <w:tcW w:w="0" w:type="auto"/>
          </w:tcPr>
          <w:p w14:paraId="41B83C32"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Elli. En ung flickas dagboksanteckningar</w:t>
            </w:r>
            <w:r w:rsidRPr="00FB4EFA">
              <w:rPr>
                <w:rFonts w:cs="Charis SIL"/>
                <w:sz w:val="16"/>
                <w:szCs w:val="16"/>
                <w:lang w:val="sv-SE"/>
              </w:rPr>
              <w:t xml:space="preserve">. </w:t>
            </w:r>
          </w:p>
        </w:tc>
        <w:tc>
          <w:tcPr>
            <w:tcW w:w="0" w:type="auto"/>
          </w:tcPr>
          <w:p w14:paraId="53EA2906"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Söderström &amp; C:o i distr.</w:t>
            </w:r>
          </w:p>
        </w:tc>
        <w:tc>
          <w:tcPr>
            <w:tcW w:w="0" w:type="auto"/>
          </w:tcPr>
          <w:p w14:paraId="5934A35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1.(6+) 141 2.(6+) 176</w:t>
            </w:r>
          </w:p>
        </w:tc>
        <w:tc>
          <w:tcPr>
            <w:tcW w:w="0" w:type="auto"/>
          </w:tcPr>
          <w:p w14:paraId="536C4555"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3:00</w:t>
            </w:r>
          </w:p>
          <w:p w14:paraId="7BACB53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3:50</w:t>
            </w:r>
          </w:p>
        </w:tc>
      </w:tr>
      <w:tr w:rsidR="00FB4EFA" w:rsidRPr="00FB4EFA" w14:paraId="72ADD378" w14:textId="77777777" w:rsidTr="002A3BC9">
        <w:tc>
          <w:tcPr>
            <w:tcW w:w="0" w:type="auto"/>
          </w:tcPr>
          <w:p w14:paraId="2C0188D0"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[Eler, Edith]</w:t>
            </w:r>
          </w:p>
        </w:tc>
        <w:tc>
          <w:tcPr>
            <w:tcW w:w="0" w:type="auto"/>
          </w:tcPr>
          <w:p w14:paraId="51EA666F"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En hvardagshistoria.</w:t>
            </w:r>
            <w:r w:rsidRPr="00FB4EFA">
              <w:rPr>
                <w:rFonts w:cs="Charis SIL"/>
                <w:sz w:val="16"/>
                <w:szCs w:val="16"/>
                <w:lang w:val="sv-SE"/>
              </w:rPr>
              <w:t xml:space="preserve"> Original av A. B. Original för ”Hemma och ute” </w:t>
            </w:r>
          </w:p>
        </w:tc>
        <w:tc>
          <w:tcPr>
            <w:tcW w:w="0" w:type="auto"/>
          </w:tcPr>
          <w:p w14:paraId="2868861E" w14:textId="77777777" w:rsidR="00DD5337" w:rsidRPr="00FB4EFA" w:rsidRDefault="00DD5337" w:rsidP="002A3BC9">
            <w:pPr>
              <w:spacing w:line="240" w:lineRule="auto"/>
              <w:jc w:val="left"/>
              <w:rPr>
                <w:rFonts w:cs="Charis SIL"/>
                <w:sz w:val="16"/>
                <w:szCs w:val="16"/>
                <w:lang w:val="sv-SE"/>
              </w:rPr>
            </w:pPr>
          </w:p>
        </w:tc>
        <w:tc>
          <w:tcPr>
            <w:tcW w:w="0" w:type="auto"/>
          </w:tcPr>
          <w:p w14:paraId="4CEE05EA"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15 </w:t>
            </w:r>
          </w:p>
        </w:tc>
        <w:tc>
          <w:tcPr>
            <w:tcW w:w="0" w:type="auto"/>
          </w:tcPr>
          <w:p w14:paraId="6265B3C1" w14:textId="77777777" w:rsidR="00DD5337" w:rsidRPr="00FB4EFA" w:rsidRDefault="00DD5337" w:rsidP="002A3BC9">
            <w:pPr>
              <w:spacing w:line="240" w:lineRule="auto"/>
              <w:jc w:val="left"/>
              <w:rPr>
                <w:rFonts w:cs="Charis SIL"/>
                <w:sz w:val="16"/>
                <w:szCs w:val="16"/>
                <w:lang w:val="sv-SE"/>
              </w:rPr>
            </w:pPr>
          </w:p>
        </w:tc>
      </w:tr>
      <w:tr w:rsidR="00FB4EFA" w:rsidRPr="00FB4EFA" w14:paraId="5AC470E1" w14:textId="77777777" w:rsidTr="002A3BC9">
        <w:tc>
          <w:tcPr>
            <w:tcW w:w="0" w:type="auto"/>
          </w:tcPr>
          <w:p w14:paraId="11969310" w14:textId="77777777" w:rsidR="00DD5337" w:rsidRPr="00FB4EFA" w:rsidRDefault="00DD5337" w:rsidP="002A3BC9">
            <w:pPr>
              <w:spacing w:line="240" w:lineRule="auto"/>
              <w:jc w:val="left"/>
              <w:rPr>
                <w:rFonts w:cs="Charis SIL"/>
                <w:sz w:val="16"/>
                <w:szCs w:val="16"/>
                <w:lang w:val="sv-SE"/>
              </w:rPr>
            </w:pPr>
          </w:p>
        </w:tc>
        <w:tc>
          <w:tcPr>
            <w:tcW w:w="0" w:type="auto"/>
          </w:tcPr>
          <w:p w14:paraId="58949903"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Fenella eller Osynliga fjättrar</w:t>
            </w:r>
          </w:p>
        </w:tc>
        <w:tc>
          <w:tcPr>
            <w:tcW w:w="0" w:type="auto"/>
          </w:tcPr>
          <w:p w14:paraId="57BEFDE0"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Tavastehus 1916. Hfors, Frälsningsarméns högkvarter</w:t>
            </w:r>
          </w:p>
        </w:tc>
        <w:tc>
          <w:tcPr>
            <w:tcW w:w="0" w:type="auto"/>
          </w:tcPr>
          <w:p w14:paraId="551E68E5"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117</w:t>
            </w:r>
          </w:p>
        </w:tc>
        <w:tc>
          <w:tcPr>
            <w:tcW w:w="0" w:type="auto"/>
          </w:tcPr>
          <w:p w14:paraId="0AAAEFF6" w14:textId="77777777" w:rsidR="00DD5337" w:rsidRPr="00FB4EFA" w:rsidRDefault="00DD5337" w:rsidP="002A3BC9">
            <w:pPr>
              <w:spacing w:line="240" w:lineRule="auto"/>
              <w:jc w:val="left"/>
              <w:rPr>
                <w:rFonts w:cs="Charis SIL"/>
                <w:sz w:val="16"/>
                <w:szCs w:val="16"/>
                <w:lang w:val="sv-SE"/>
              </w:rPr>
            </w:pPr>
          </w:p>
        </w:tc>
      </w:tr>
      <w:tr w:rsidR="00FB4EFA" w:rsidRPr="00FB4EFA" w14:paraId="4172E337" w14:textId="77777777" w:rsidTr="002A3BC9">
        <w:tc>
          <w:tcPr>
            <w:tcW w:w="0" w:type="auto"/>
          </w:tcPr>
          <w:p w14:paraId="3D2B50A3"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[Finne, E.G.]</w:t>
            </w:r>
          </w:p>
        </w:tc>
        <w:tc>
          <w:tcPr>
            <w:tcW w:w="0" w:type="auto"/>
          </w:tcPr>
          <w:p w14:paraId="41C16271"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Till de unga av E.G.F.</w:t>
            </w:r>
          </w:p>
        </w:tc>
        <w:tc>
          <w:tcPr>
            <w:tcW w:w="0" w:type="auto"/>
          </w:tcPr>
          <w:p w14:paraId="32EA721A"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Gamlakarleby 1916.</w:t>
            </w:r>
          </w:p>
        </w:tc>
        <w:tc>
          <w:tcPr>
            <w:tcW w:w="0" w:type="auto"/>
          </w:tcPr>
          <w:p w14:paraId="67281C3F"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15</w:t>
            </w:r>
          </w:p>
        </w:tc>
        <w:tc>
          <w:tcPr>
            <w:tcW w:w="0" w:type="auto"/>
          </w:tcPr>
          <w:p w14:paraId="08D07DB3"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0:35</w:t>
            </w:r>
          </w:p>
        </w:tc>
      </w:tr>
      <w:tr w:rsidR="00FB4EFA" w:rsidRPr="00FB4EFA" w14:paraId="56AB72B7" w14:textId="77777777" w:rsidTr="002A3BC9">
        <w:tc>
          <w:tcPr>
            <w:tcW w:w="0" w:type="auto"/>
          </w:tcPr>
          <w:p w14:paraId="6F838EB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[Forssmann, Edith] </w:t>
            </w:r>
          </w:p>
        </w:tc>
        <w:tc>
          <w:tcPr>
            <w:tcW w:w="0" w:type="auto"/>
          </w:tcPr>
          <w:p w14:paraId="25080018"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 xml:space="preserve">Vid aftonlampan. </w:t>
            </w:r>
            <w:r w:rsidRPr="00FB4EFA">
              <w:rPr>
                <w:rFonts w:cs="Charis SIL"/>
                <w:sz w:val="16"/>
                <w:szCs w:val="16"/>
                <w:lang w:val="sv-SE"/>
              </w:rPr>
              <w:t>Skisser och noveller af Aina. 24.</w:t>
            </w:r>
          </w:p>
        </w:tc>
        <w:tc>
          <w:tcPr>
            <w:tcW w:w="0" w:type="auto"/>
          </w:tcPr>
          <w:p w14:paraId="3EF84FF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w:t>
            </w:r>
          </w:p>
        </w:tc>
        <w:tc>
          <w:tcPr>
            <w:tcW w:w="0" w:type="auto"/>
          </w:tcPr>
          <w:p w14:paraId="571FA55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228 (+1)</w:t>
            </w:r>
          </w:p>
        </w:tc>
        <w:tc>
          <w:tcPr>
            <w:tcW w:w="0" w:type="auto"/>
          </w:tcPr>
          <w:p w14:paraId="7417F8A9"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4:50</w:t>
            </w:r>
          </w:p>
        </w:tc>
      </w:tr>
      <w:tr w:rsidR="00FB4EFA" w:rsidRPr="00FB4EFA" w14:paraId="79F9AEBF" w14:textId="77777777" w:rsidTr="002A3BC9">
        <w:tc>
          <w:tcPr>
            <w:tcW w:w="0" w:type="auto"/>
          </w:tcPr>
          <w:p w14:paraId="0A5CB21F"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Granberg, Selma </w:t>
            </w:r>
          </w:p>
        </w:tc>
        <w:tc>
          <w:tcPr>
            <w:tcW w:w="0" w:type="auto"/>
          </w:tcPr>
          <w:p w14:paraId="212A085C"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Besegrad. Roman</w:t>
            </w:r>
          </w:p>
        </w:tc>
        <w:tc>
          <w:tcPr>
            <w:tcW w:w="0" w:type="auto"/>
          </w:tcPr>
          <w:p w14:paraId="648F74A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Borgå 1916. Schildt</w:t>
            </w:r>
          </w:p>
        </w:tc>
        <w:tc>
          <w:tcPr>
            <w:tcW w:w="0" w:type="auto"/>
          </w:tcPr>
          <w:p w14:paraId="6E7A421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200 </w:t>
            </w:r>
          </w:p>
        </w:tc>
        <w:tc>
          <w:tcPr>
            <w:tcW w:w="0" w:type="auto"/>
          </w:tcPr>
          <w:p w14:paraId="6345707F"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3:75</w:t>
            </w:r>
          </w:p>
        </w:tc>
      </w:tr>
      <w:tr w:rsidR="00FB4EFA" w:rsidRPr="00FB4EFA" w14:paraId="15660C92" w14:textId="77777777" w:rsidTr="002A3BC9">
        <w:tc>
          <w:tcPr>
            <w:tcW w:w="0" w:type="auto"/>
          </w:tcPr>
          <w:p w14:paraId="7AB1C3D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Granfelt, Alice</w:t>
            </w:r>
          </w:p>
          <w:p w14:paraId="10B29255" w14:textId="77777777" w:rsidR="00DD5337" w:rsidRPr="00FB4EFA" w:rsidRDefault="00DD5337" w:rsidP="002A3BC9">
            <w:pPr>
              <w:spacing w:line="240" w:lineRule="auto"/>
              <w:jc w:val="left"/>
              <w:rPr>
                <w:rFonts w:cs="Charis SIL"/>
                <w:sz w:val="16"/>
                <w:szCs w:val="16"/>
                <w:lang w:val="sv-SE"/>
              </w:rPr>
            </w:pPr>
          </w:p>
        </w:tc>
        <w:tc>
          <w:tcPr>
            <w:tcW w:w="0" w:type="auto"/>
          </w:tcPr>
          <w:p w14:paraId="2DA4732A"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Sju bagateller</w:t>
            </w:r>
            <w:r w:rsidRPr="00FB4EFA">
              <w:rPr>
                <w:rFonts w:cs="Charis SIL"/>
                <w:sz w:val="16"/>
                <w:szCs w:val="16"/>
                <w:lang w:val="sv-SE"/>
              </w:rPr>
              <w:t>.</w:t>
            </w:r>
          </w:p>
        </w:tc>
        <w:tc>
          <w:tcPr>
            <w:tcW w:w="0" w:type="auto"/>
          </w:tcPr>
          <w:p w14:paraId="18E2D326"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w:t>
            </w:r>
          </w:p>
        </w:tc>
        <w:tc>
          <w:tcPr>
            <w:tcW w:w="0" w:type="auto"/>
          </w:tcPr>
          <w:p w14:paraId="50CB17D2"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(6+)149</w:t>
            </w:r>
          </w:p>
        </w:tc>
        <w:tc>
          <w:tcPr>
            <w:tcW w:w="0" w:type="auto"/>
          </w:tcPr>
          <w:p w14:paraId="1A5DA3EA"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4:25</w:t>
            </w:r>
          </w:p>
        </w:tc>
      </w:tr>
      <w:tr w:rsidR="00FB4EFA" w:rsidRPr="00FB4EFA" w14:paraId="35075A71" w14:textId="77777777" w:rsidTr="002A3BC9">
        <w:tc>
          <w:tcPr>
            <w:tcW w:w="0" w:type="auto"/>
          </w:tcPr>
          <w:p w14:paraId="06FCF83C"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Gripenberg, Catri </w:t>
            </w:r>
          </w:p>
        </w:tc>
        <w:tc>
          <w:tcPr>
            <w:tcW w:w="0" w:type="auto"/>
          </w:tcPr>
          <w:p w14:paraId="31CBDC4E"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Den röda tråden</w:t>
            </w:r>
            <w:r w:rsidRPr="00FB4EFA">
              <w:rPr>
                <w:rFonts w:cs="Charis SIL"/>
                <w:sz w:val="16"/>
                <w:szCs w:val="16"/>
                <w:lang w:val="sv-SE"/>
              </w:rPr>
              <w:t>.</w:t>
            </w:r>
          </w:p>
        </w:tc>
        <w:tc>
          <w:tcPr>
            <w:tcW w:w="0" w:type="auto"/>
          </w:tcPr>
          <w:p w14:paraId="74CF7340"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tc>
        <w:tc>
          <w:tcPr>
            <w:tcW w:w="0" w:type="auto"/>
          </w:tcPr>
          <w:p w14:paraId="55855310"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159 </w:t>
            </w:r>
          </w:p>
        </w:tc>
        <w:tc>
          <w:tcPr>
            <w:tcW w:w="0" w:type="auto"/>
          </w:tcPr>
          <w:p w14:paraId="76D06D8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3:75</w:t>
            </w:r>
          </w:p>
        </w:tc>
      </w:tr>
      <w:tr w:rsidR="00FB4EFA" w:rsidRPr="00FB4EFA" w14:paraId="0C3D6D41" w14:textId="77777777" w:rsidTr="002A3BC9">
        <w:tc>
          <w:tcPr>
            <w:tcW w:w="0" w:type="auto"/>
          </w:tcPr>
          <w:p w14:paraId="76257F15"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Grotenfelt, Erik </w:t>
            </w:r>
          </w:p>
        </w:tc>
        <w:tc>
          <w:tcPr>
            <w:tcW w:w="0" w:type="auto"/>
          </w:tcPr>
          <w:p w14:paraId="17894743"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Bengt Walters lycka</w:t>
            </w:r>
          </w:p>
        </w:tc>
        <w:tc>
          <w:tcPr>
            <w:tcW w:w="0" w:type="auto"/>
          </w:tcPr>
          <w:p w14:paraId="087F87EC"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Hfors 1916. Borgå, Schildt &amp; Sthlm, Bonnier </w:t>
            </w:r>
          </w:p>
        </w:tc>
        <w:tc>
          <w:tcPr>
            <w:tcW w:w="0" w:type="auto"/>
          </w:tcPr>
          <w:p w14:paraId="1F8E0D27"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229</w:t>
            </w:r>
          </w:p>
        </w:tc>
        <w:tc>
          <w:tcPr>
            <w:tcW w:w="0" w:type="auto"/>
          </w:tcPr>
          <w:p w14:paraId="279B4F49"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4:75, kr 3:25</w:t>
            </w:r>
          </w:p>
        </w:tc>
      </w:tr>
      <w:tr w:rsidR="00FB4EFA" w:rsidRPr="00FB4EFA" w14:paraId="660DA505" w14:textId="77777777" w:rsidTr="002A3BC9">
        <w:tc>
          <w:tcPr>
            <w:tcW w:w="0" w:type="auto"/>
          </w:tcPr>
          <w:p w14:paraId="2B94FFE6"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Hildén, Henrik </w:t>
            </w:r>
          </w:p>
        </w:tc>
        <w:tc>
          <w:tcPr>
            <w:tcW w:w="0" w:type="auto"/>
          </w:tcPr>
          <w:p w14:paraId="0E29F79E"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Christoffer eller Lyckans underbara pärlor.</w:t>
            </w:r>
          </w:p>
        </w:tc>
        <w:tc>
          <w:tcPr>
            <w:tcW w:w="0" w:type="auto"/>
          </w:tcPr>
          <w:p w14:paraId="7B0D32C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w:t>
            </w:r>
          </w:p>
        </w:tc>
        <w:tc>
          <w:tcPr>
            <w:tcW w:w="0" w:type="auto"/>
          </w:tcPr>
          <w:p w14:paraId="4462CA79"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 193</w:t>
            </w:r>
          </w:p>
        </w:tc>
        <w:tc>
          <w:tcPr>
            <w:tcW w:w="0" w:type="auto"/>
          </w:tcPr>
          <w:p w14:paraId="1CFE624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4:75, inb. 7:50</w:t>
            </w:r>
          </w:p>
        </w:tc>
      </w:tr>
      <w:tr w:rsidR="00FB4EFA" w:rsidRPr="00FB4EFA" w14:paraId="63721A44" w14:textId="77777777" w:rsidTr="002A3BC9">
        <w:tc>
          <w:tcPr>
            <w:tcW w:w="0" w:type="auto"/>
          </w:tcPr>
          <w:p w14:paraId="34809F7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Hildén, Henrik </w:t>
            </w:r>
          </w:p>
        </w:tc>
        <w:tc>
          <w:tcPr>
            <w:tcW w:w="0" w:type="auto"/>
          </w:tcPr>
          <w:p w14:paraId="45733CC0"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Den röda frun.</w:t>
            </w:r>
          </w:p>
        </w:tc>
        <w:tc>
          <w:tcPr>
            <w:tcW w:w="0" w:type="auto"/>
          </w:tcPr>
          <w:p w14:paraId="70EE7062"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tc>
        <w:tc>
          <w:tcPr>
            <w:tcW w:w="0" w:type="auto"/>
          </w:tcPr>
          <w:p w14:paraId="065A494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247</w:t>
            </w:r>
          </w:p>
        </w:tc>
        <w:tc>
          <w:tcPr>
            <w:tcW w:w="0" w:type="auto"/>
          </w:tcPr>
          <w:p w14:paraId="50B8FA96"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4:50</w:t>
            </w:r>
          </w:p>
        </w:tc>
      </w:tr>
      <w:tr w:rsidR="00FB4EFA" w:rsidRPr="00FB4EFA" w14:paraId="5F3FBD7E" w14:textId="77777777" w:rsidTr="002A3BC9">
        <w:tc>
          <w:tcPr>
            <w:tcW w:w="0" w:type="auto"/>
          </w:tcPr>
          <w:p w14:paraId="2B669160"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Hornborg, Eirik</w:t>
            </w:r>
          </w:p>
        </w:tc>
        <w:tc>
          <w:tcPr>
            <w:tcW w:w="0" w:type="auto"/>
          </w:tcPr>
          <w:p w14:paraId="18E3CE38"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Tristan da Cunha. En krönika om sex sommarnätter.</w:t>
            </w:r>
          </w:p>
        </w:tc>
        <w:tc>
          <w:tcPr>
            <w:tcW w:w="0" w:type="auto"/>
          </w:tcPr>
          <w:p w14:paraId="766AF29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Hfors 1916. Borgå, Schildt </w:t>
            </w:r>
          </w:p>
        </w:tc>
        <w:tc>
          <w:tcPr>
            <w:tcW w:w="0" w:type="auto"/>
          </w:tcPr>
          <w:p w14:paraId="7FEA5AA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201 </w:t>
            </w:r>
          </w:p>
        </w:tc>
        <w:tc>
          <w:tcPr>
            <w:tcW w:w="0" w:type="auto"/>
          </w:tcPr>
          <w:p w14:paraId="5CA5C9E8"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4:25</w:t>
            </w:r>
          </w:p>
        </w:tc>
      </w:tr>
      <w:tr w:rsidR="00FB4EFA" w:rsidRPr="00FB4EFA" w14:paraId="5D365CCA" w14:textId="77777777" w:rsidTr="002A3BC9">
        <w:tc>
          <w:tcPr>
            <w:tcW w:w="0" w:type="auto"/>
          </w:tcPr>
          <w:p w14:paraId="2B55806A"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Janson, Ture </w:t>
            </w:r>
          </w:p>
        </w:tc>
        <w:tc>
          <w:tcPr>
            <w:tcW w:w="0" w:type="auto"/>
          </w:tcPr>
          <w:p w14:paraId="0A2C1CBB"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De ensamma svenskarna.</w:t>
            </w:r>
          </w:p>
        </w:tc>
        <w:tc>
          <w:tcPr>
            <w:tcW w:w="0" w:type="auto"/>
          </w:tcPr>
          <w:p w14:paraId="5956EA9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 &amp; Sthlm, Bonnier 1916</w:t>
            </w:r>
          </w:p>
        </w:tc>
        <w:tc>
          <w:tcPr>
            <w:tcW w:w="0" w:type="auto"/>
          </w:tcPr>
          <w:p w14:paraId="767215E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210</w:t>
            </w:r>
          </w:p>
        </w:tc>
        <w:tc>
          <w:tcPr>
            <w:tcW w:w="0" w:type="auto"/>
          </w:tcPr>
          <w:p w14:paraId="11BEBBC6"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5:25, kr. 3:50</w:t>
            </w:r>
          </w:p>
        </w:tc>
      </w:tr>
      <w:tr w:rsidR="00FB4EFA" w:rsidRPr="00FB4EFA" w14:paraId="516D4E0F" w14:textId="77777777" w:rsidTr="002A3BC9">
        <w:tc>
          <w:tcPr>
            <w:tcW w:w="0" w:type="auto"/>
          </w:tcPr>
          <w:p w14:paraId="0992A4A0"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Janson, Ture</w:t>
            </w:r>
          </w:p>
        </w:tc>
        <w:tc>
          <w:tcPr>
            <w:tcW w:w="0" w:type="auto"/>
          </w:tcPr>
          <w:p w14:paraId="59C24F89"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Journalisten Bergman. Berättelser.</w:t>
            </w:r>
          </w:p>
        </w:tc>
        <w:tc>
          <w:tcPr>
            <w:tcW w:w="0" w:type="auto"/>
          </w:tcPr>
          <w:p w14:paraId="0E722A9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Sthlm, 1916. Bonnier</w:t>
            </w:r>
          </w:p>
        </w:tc>
        <w:tc>
          <w:tcPr>
            <w:tcW w:w="0" w:type="auto"/>
          </w:tcPr>
          <w:p w14:paraId="4CD7B073"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216</w:t>
            </w:r>
          </w:p>
        </w:tc>
        <w:tc>
          <w:tcPr>
            <w:tcW w:w="0" w:type="auto"/>
          </w:tcPr>
          <w:p w14:paraId="09991953"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Kr 2:75</w:t>
            </w:r>
          </w:p>
        </w:tc>
      </w:tr>
      <w:tr w:rsidR="00FB4EFA" w:rsidRPr="00FB4EFA" w14:paraId="72E0E012" w14:textId="77777777" w:rsidTr="002A3BC9">
        <w:tc>
          <w:tcPr>
            <w:tcW w:w="0" w:type="auto"/>
          </w:tcPr>
          <w:p w14:paraId="6958652C" w14:textId="60ED34A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Knape, Ernst</w:t>
            </w:r>
          </w:p>
        </w:tc>
        <w:tc>
          <w:tcPr>
            <w:tcW w:w="0" w:type="auto"/>
          </w:tcPr>
          <w:p w14:paraId="7F2E2D03"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Österbottningar. Bondehistorier</w:t>
            </w:r>
            <w:r w:rsidRPr="00FB4EFA">
              <w:rPr>
                <w:rFonts w:cs="Charis SIL"/>
                <w:sz w:val="16"/>
                <w:szCs w:val="16"/>
                <w:lang w:val="sv-SE"/>
              </w:rPr>
              <w:t>.</w:t>
            </w:r>
          </w:p>
        </w:tc>
        <w:tc>
          <w:tcPr>
            <w:tcW w:w="0" w:type="auto"/>
          </w:tcPr>
          <w:p w14:paraId="2981B8B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w:t>
            </w:r>
          </w:p>
        </w:tc>
        <w:tc>
          <w:tcPr>
            <w:tcW w:w="0" w:type="auto"/>
          </w:tcPr>
          <w:p w14:paraId="7098ECD2"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177</w:t>
            </w:r>
          </w:p>
        </w:tc>
        <w:tc>
          <w:tcPr>
            <w:tcW w:w="0" w:type="auto"/>
          </w:tcPr>
          <w:p w14:paraId="35C21D0A"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4:50</w:t>
            </w:r>
          </w:p>
        </w:tc>
      </w:tr>
      <w:tr w:rsidR="00FB4EFA" w:rsidRPr="00FB4EFA" w14:paraId="5B521FDB" w14:textId="77777777" w:rsidTr="002A3BC9">
        <w:tc>
          <w:tcPr>
            <w:tcW w:w="0" w:type="auto"/>
          </w:tcPr>
          <w:p w14:paraId="380111C5"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Lagus, Hugo </w:t>
            </w:r>
          </w:p>
        </w:tc>
        <w:tc>
          <w:tcPr>
            <w:tcW w:w="0" w:type="auto"/>
          </w:tcPr>
          <w:p w14:paraId="1C137687"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Henrik Fabian Valentin</w:t>
            </w:r>
            <w:r w:rsidRPr="00FB4EFA">
              <w:rPr>
                <w:rFonts w:cs="Charis SIL"/>
                <w:sz w:val="16"/>
                <w:szCs w:val="16"/>
                <w:lang w:val="sv-SE"/>
              </w:rPr>
              <w:t>. 1. I skolan.</w:t>
            </w:r>
          </w:p>
        </w:tc>
        <w:tc>
          <w:tcPr>
            <w:tcW w:w="0" w:type="auto"/>
          </w:tcPr>
          <w:p w14:paraId="31B6E938"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w:t>
            </w:r>
          </w:p>
        </w:tc>
        <w:tc>
          <w:tcPr>
            <w:tcW w:w="0" w:type="auto"/>
          </w:tcPr>
          <w:p w14:paraId="511DCA75"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(4+)234</w:t>
            </w:r>
          </w:p>
        </w:tc>
        <w:tc>
          <w:tcPr>
            <w:tcW w:w="0" w:type="auto"/>
          </w:tcPr>
          <w:p w14:paraId="7EECBE6C"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5:50</w:t>
            </w:r>
          </w:p>
        </w:tc>
      </w:tr>
      <w:tr w:rsidR="00FB4EFA" w:rsidRPr="00FB4EFA" w14:paraId="3D1BF703" w14:textId="77777777" w:rsidTr="002A3BC9">
        <w:tc>
          <w:tcPr>
            <w:tcW w:w="0" w:type="auto"/>
          </w:tcPr>
          <w:p w14:paraId="789D00A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lastRenderedPageBreak/>
              <w:t>Landell, Erik</w:t>
            </w:r>
          </w:p>
        </w:tc>
        <w:tc>
          <w:tcPr>
            <w:tcW w:w="0" w:type="auto"/>
          </w:tcPr>
          <w:p w14:paraId="3A2FF12C"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Makt som segrar. Skildring ur verkligheten.</w:t>
            </w:r>
          </w:p>
        </w:tc>
        <w:tc>
          <w:tcPr>
            <w:tcW w:w="0" w:type="auto"/>
          </w:tcPr>
          <w:p w14:paraId="5C43F66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w:t>
            </w:r>
          </w:p>
        </w:tc>
        <w:tc>
          <w:tcPr>
            <w:tcW w:w="0" w:type="auto"/>
          </w:tcPr>
          <w:p w14:paraId="3651C4CF"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98</w:t>
            </w:r>
          </w:p>
        </w:tc>
        <w:tc>
          <w:tcPr>
            <w:tcW w:w="0" w:type="auto"/>
          </w:tcPr>
          <w:p w14:paraId="79F813C9"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2:00</w:t>
            </w:r>
          </w:p>
        </w:tc>
      </w:tr>
      <w:tr w:rsidR="00FB4EFA" w:rsidRPr="00FB4EFA" w14:paraId="7D5F34DC" w14:textId="77777777" w:rsidTr="002A3BC9">
        <w:tc>
          <w:tcPr>
            <w:tcW w:w="0" w:type="auto"/>
          </w:tcPr>
          <w:p w14:paraId="74E004A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Lybeck, Mikael </w:t>
            </w:r>
          </w:p>
        </w:tc>
        <w:tc>
          <w:tcPr>
            <w:tcW w:w="0" w:type="auto"/>
          </w:tcPr>
          <w:p w14:paraId="511E8CD3"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Hennerson. Historien om en gårdskarl</w:t>
            </w:r>
            <w:r w:rsidRPr="00FB4EFA">
              <w:rPr>
                <w:rFonts w:cs="Charis SIL"/>
                <w:sz w:val="16"/>
                <w:szCs w:val="16"/>
                <w:lang w:val="sv-SE"/>
              </w:rPr>
              <w:t>.</w:t>
            </w:r>
          </w:p>
        </w:tc>
        <w:tc>
          <w:tcPr>
            <w:tcW w:w="0" w:type="auto"/>
          </w:tcPr>
          <w:p w14:paraId="1C0D49B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 &amp; Sthlm, Bonnier</w:t>
            </w:r>
          </w:p>
        </w:tc>
        <w:tc>
          <w:tcPr>
            <w:tcW w:w="0" w:type="auto"/>
          </w:tcPr>
          <w:p w14:paraId="44D14A1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154</w:t>
            </w:r>
          </w:p>
        </w:tc>
        <w:tc>
          <w:tcPr>
            <w:tcW w:w="0" w:type="auto"/>
          </w:tcPr>
          <w:p w14:paraId="2C13598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6:50, kr 3:00</w:t>
            </w:r>
          </w:p>
        </w:tc>
      </w:tr>
      <w:tr w:rsidR="00FB4EFA" w:rsidRPr="00FB4EFA" w14:paraId="7DA2BE89" w14:textId="77777777" w:rsidTr="002A3BC9">
        <w:tc>
          <w:tcPr>
            <w:tcW w:w="0" w:type="auto"/>
          </w:tcPr>
          <w:p w14:paraId="51DE1333" w14:textId="4F5F708D"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Mattsson, Gustaf</w:t>
            </w:r>
          </w:p>
        </w:tc>
        <w:tc>
          <w:tcPr>
            <w:tcW w:w="0" w:type="auto"/>
          </w:tcPr>
          <w:p w14:paraId="4F93722E"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sz w:val="16"/>
                <w:szCs w:val="16"/>
                <w:lang w:val="sv-SE"/>
              </w:rPr>
              <w:t xml:space="preserve">Bd 4. </w:t>
            </w:r>
            <w:r w:rsidRPr="00FB4EFA">
              <w:rPr>
                <w:rFonts w:cs="Charis SIL"/>
                <w:i/>
                <w:sz w:val="16"/>
                <w:szCs w:val="16"/>
                <w:lang w:val="sv-SE"/>
              </w:rPr>
              <w:t>Idag. Kåserier.</w:t>
            </w:r>
            <w:r w:rsidRPr="00FB4EFA">
              <w:rPr>
                <w:rFonts w:cs="Charis SIL"/>
                <w:sz w:val="16"/>
                <w:szCs w:val="16"/>
                <w:lang w:val="sv-SE"/>
              </w:rPr>
              <w:t xml:space="preserve"> Saml. 3./Valda skrifter</w:t>
            </w:r>
          </w:p>
        </w:tc>
        <w:tc>
          <w:tcPr>
            <w:tcW w:w="0" w:type="auto"/>
          </w:tcPr>
          <w:p w14:paraId="669022B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 &amp; Sthlm, Bonnier</w:t>
            </w:r>
          </w:p>
        </w:tc>
        <w:tc>
          <w:tcPr>
            <w:tcW w:w="0" w:type="auto"/>
          </w:tcPr>
          <w:p w14:paraId="429044F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320</w:t>
            </w:r>
          </w:p>
        </w:tc>
        <w:tc>
          <w:tcPr>
            <w:tcW w:w="0" w:type="auto"/>
          </w:tcPr>
          <w:p w14:paraId="33B3391C"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7:25; 6:25, kr 5:00</w:t>
            </w:r>
          </w:p>
        </w:tc>
      </w:tr>
      <w:tr w:rsidR="00FB4EFA" w:rsidRPr="00FB4EFA" w14:paraId="010D63D1" w14:textId="77777777" w:rsidTr="002A3BC9">
        <w:tc>
          <w:tcPr>
            <w:tcW w:w="0" w:type="auto"/>
          </w:tcPr>
          <w:p w14:paraId="67748607"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[Nohrström, Holger] </w:t>
            </w:r>
          </w:p>
        </w:tc>
        <w:tc>
          <w:tcPr>
            <w:tcW w:w="0" w:type="auto"/>
          </w:tcPr>
          <w:p w14:paraId="7C46A8E9"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Den gåtfulle dubbelgångaren.</w:t>
            </w:r>
            <w:r w:rsidRPr="00FB4EFA">
              <w:rPr>
                <w:rFonts w:cs="Charis SIL"/>
                <w:sz w:val="16"/>
                <w:szCs w:val="16"/>
                <w:lang w:val="sv-SE"/>
              </w:rPr>
              <w:t xml:space="preserve"> Af Mr. C. Subskr. Uppl., tryckt i 25 ex.</w:t>
            </w:r>
          </w:p>
        </w:tc>
        <w:tc>
          <w:tcPr>
            <w:tcW w:w="0" w:type="auto"/>
          </w:tcPr>
          <w:p w14:paraId="3DCAE1D7"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Hfors 1916. Borgå, Schildt </w:t>
            </w:r>
          </w:p>
        </w:tc>
        <w:tc>
          <w:tcPr>
            <w:tcW w:w="0" w:type="auto"/>
          </w:tcPr>
          <w:p w14:paraId="2B46BDD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44</w:t>
            </w:r>
          </w:p>
        </w:tc>
        <w:tc>
          <w:tcPr>
            <w:tcW w:w="0" w:type="auto"/>
          </w:tcPr>
          <w:p w14:paraId="53EE8912" w14:textId="77777777" w:rsidR="00DD5337" w:rsidRPr="00FB4EFA" w:rsidRDefault="00DD5337" w:rsidP="002A3BC9">
            <w:pPr>
              <w:spacing w:line="240" w:lineRule="auto"/>
              <w:jc w:val="left"/>
              <w:rPr>
                <w:rFonts w:cs="Charis SIL"/>
                <w:sz w:val="16"/>
                <w:szCs w:val="16"/>
                <w:lang w:val="sv-SE"/>
              </w:rPr>
            </w:pPr>
          </w:p>
        </w:tc>
      </w:tr>
      <w:tr w:rsidR="00FB4EFA" w:rsidRPr="00FB4EFA" w14:paraId="70C90024" w14:textId="77777777" w:rsidTr="002A3BC9">
        <w:tc>
          <w:tcPr>
            <w:tcW w:w="0" w:type="auto"/>
          </w:tcPr>
          <w:p w14:paraId="79BAE818"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Nordman, Petrus</w:t>
            </w:r>
          </w:p>
        </w:tc>
        <w:tc>
          <w:tcPr>
            <w:tcW w:w="0" w:type="auto"/>
          </w:tcPr>
          <w:p w14:paraId="1266D024"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Gården med de fyra grindarna</w:t>
            </w:r>
            <w:r w:rsidRPr="00FB4EFA">
              <w:rPr>
                <w:rFonts w:cs="Charis SIL"/>
                <w:sz w:val="16"/>
                <w:szCs w:val="16"/>
                <w:lang w:val="sv-SE"/>
              </w:rPr>
              <w:t>.</w:t>
            </w:r>
          </w:p>
        </w:tc>
        <w:tc>
          <w:tcPr>
            <w:tcW w:w="0" w:type="auto"/>
          </w:tcPr>
          <w:p w14:paraId="0D4BB7F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tc>
        <w:tc>
          <w:tcPr>
            <w:tcW w:w="0" w:type="auto"/>
          </w:tcPr>
          <w:p w14:paraId="2CDE469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251</w:t>
            </w:r>
          </w:p>
        </w:tc>
        <w:tc>
          <w:tcPr>
            <w:tcW w:w="0" w:type="auto"/>
          </w:tcPr>
          <w:p w14:paraId="6647EFD7"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5:75, inb. 7:75</w:t>
            </w:r>
          </w:p>
        </w:tc>
      </w:tr>
      <w:tr w:rsidR="00FB4EFA" w:rsidRPr="00FB4EFA" w14:paraId="403D5351" w14:textId="77777777" w:rsidTr="002A3BC9">
        <w:tc>
          <w:tcPr>
            <w:tcW w:w="0" w:type="auto"/>
          </w:tcPr>
          <w:p w14:paraId="6A175AA3"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Olsson, Hagar</w:t>
            </w:r>
          </w:p>
        </w:tc>
        <w:tc>
          <w:tcPr>
            <w:tcW w:w="0" w:type="auto"/>
          </w:tcPr>
          <w:p w14:paraId="1CFD1F45"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Lars Thorman och döden.</w:t>
            </w:r>
          </w:p>
        </w:tc>
        <w:tc>
          <w:tcPr>
            <w:tcW w:w="0" w:type="auto"/>
          </w:tcPr>
          <w:p w14:paraId="35A55DC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tc>
        <w:tc>
          <w:tcPr>
            <w:tcW w:w="0" w:type="auto"/>
          </w:tcPr>
          <w:p w14:paraId="240C631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176</w:t>
            </w:r>
          </w:p>
        </w:tc>
        <w:tc>
          <w:tcPr>
            <w:tcW w:w="0" w:type="auto"/>
          </w:tcPr>
          <w:p w14:paraId="0A42D04A"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3:75</w:t>
            </w:r>
          </w:p>
        </w:tc>
      </w:tr>
      <w:tr w:rsidR="00FB4EFA" w:rsidRPr="00FB4EFA" w14:paraId="5B690CB6" w14:textId="77777777" w:rsidTr="002A3BC9">
        <w:tc>
          <w:tcPr>
            <w:tcW w:w="1137" w:type="dxa"/>
          </w:tcPr>
          <w:p w14:paraId="0BB21941" w14:textId="4BE3B49B"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Primus Nyman, K.E.</w:t>
            </w:r>
          </w:p>
        </w:tc>
        <w:tc>
          <w:tcPr>
            <w:tcW w:w="1950" w:type="dxa"/>
          </w:tcPr>
          <w:p w14:paraId="4A7F8963"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Syndabarn. Skisser och berättelser</w:t>
            </w:r>
          </w:p>
        </w:tc>
        <w:tc>
          <w:tcPr>
            <w:tcW w:w="2577" w:type="dxa"/>
          </w:tcPr>
          <w:p w14:paraId="19C66C57"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Viborg 1916. Petrograd, Robert Edgrens förlag </w:t>
            </w:r>
          </w:p>
        </w:tc>
        <w:tc>
          <w:tcPr>
            <w:tcW w:w="820" w:type="dxa"/>
          </w:tcPr>
          <w:p w14:paraId="6C37031F"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187</w:t>
            </w:r>
          </w:p>
        </w:tc>
        <w:tc>
          <w:tcPr>
            <w:tcW w:w="648" w:type="dxa"/>
          </w:tcPr>
          <w:p w14:paraId="157F9AF9"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3:50</w:t>
            </w:r>
          </w:p>
        </w:tc>
      </w:tr>
      <w:tr w:rsidR="00FB4EFA" w:rsidRPr="00FB4EFA" w14:paraId="42B74B7C" w14:textId="77777777" w:rsidTr="002A3BC9">
        <w:tc>
          <w:tcPr>
            <w:tcW w:w="1137" w:type="dxa"/>
          </w:tcPr>
          <w:p w14:paraId="68197C2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[Ruin, Dagmar] </w:t>
            </w:r>
          </w:p>
        </w:tc>
        <w:tc>
          <w:tcPr>
            <w:tcW w:w="1950" w:type="dxa"/>
          </w:tcPr>
          <w:p w14:paraId="34BDD74A"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Där kriget går fram.</w:t>
            </w:r>
            <w:r w:rsidRPr="00FB4EFA">
              <w:rPr>
                <w:rFonts w:cs="Charis SIL"/>
                <w:sz w:val="16"/>
                <w:szCs w:val="16"/>
                <w:lang w:val="sv-SE"/>
              </w:rPr>
              <w:t xml:space="preserve"> Af Syster.</w:t>
            </w:r>
          </w:p>
        </w:tc>
        <w:tc>
          <w:tcPr>
            <w:tcW w:w="2577" w:type="dxa"/>
          </w:tcPr>
          <w:p w14:paraId="71F8FEE8"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w:t>
            </w:r>
          </w:p>
        </w:tc>
        <w:tc>
          <w:tcPr>
            <w:tcW w:w="820" w:type="dxa"/>
          </w:tcPr>
          <w:p w14:paraId="7857FFF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116</w:t>
            </w:r>
          </w:p>
        </w:tc>
        <w:tc>
          <w:tcPr>
            <w:tcW w:w="648" w:type="dxa"/>
          </w:tcPr>
          <w:p w14:paraId="63049AE6"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3:75</w:t>
            </w:r>
          </w:p>
        </w:tc>
      </w:tr>
      <w:tr w:rsidR="00FB4EFA" w:rsidRPr="00FB4EFA" w14:paraId="59283D47" w14:textId="77777777" w:rsidTr="002A3BC9">
        <w:tc>
          <w:tcPr>
            <w:tcW w:w="1137" w:type="dxa"/>
          </w:tcPr>
          <w:p w14:paraId="4B89B45E" w14:textId="4273232A"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Sanden, Gabriel</w:t>
            </w:r>
          </w:p>
        </w:tc>
        <w:tc>
          <w:tcPr>
            <w:tcW w:w="1950" w:type="dxa"/>
          </w:tcPr>
          <w:p w14:paraId="7CD94A78" w14:textId="1EE20FCD"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Money. En amerikansk roman</w:t>
            </w:r>
            <w:r w:rsidRPr="00FB4EFA">
              <w:rPr>
                <w:rFonts w:cs="Charis SIL"/>
                <w:sz w:val="16"/>
                <w:szCs w:val="16"/>
                <w:lang w:val="sv-SE"/>
              </w:rPr>
              <w:t>. 1</w:t>
            </w:r>
            <w:r w:rsidR="005101CF" w:rsidRPr="00FB4EFA">
              <w:rPr>
                <w:rFonts w:cs="Charis SIL"/>
                <w:sz w:val="16"/>
                <w:szCs w:val="16"/>
                <w:lang w:val="sv-SE"/>
              </w:rPr>
              <w:t>–</w:t>
            </w:r>
            <w:r w:rsidRPr="00FB4EFA">
              <w:rPr>
                <w:rFonts w:cs="Charis SIL"/>
                <w:sz w:val="16"/>
                <w:szCs w:val="16"/>
                <w:lang w:val="sv-SE"/>
              </w:rPr>
              <w:t>2</w:t>
            </w:r>
          </w:p>
        </w:tc>
        <w:tc>
          <w:tcPr>
            <w:tcW w:w="2577" w:type="dxa"/>
          </w:tcPr>
          <w:p w14:paraId="370AD302"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w:t>
            </w:r>
          </w:p>
        </w:tc>
        <w:tc>
          <w:tcPr>
            <w:tcW w:w="820" w:type="dxa"/>
          </w:tcPr>
          <w:p w14:paraId="354DBF7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328</w:t>
            </w:r>
          </w:p>
        </w:tc>
        <w:tc>
          <w:tcPr>
            <w:tcW w:w="648" w:type="dxa"/>
          </w:tcPr>
          <w:p w14:paraId="02B79DAA"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5:75</w:t>
            </w:r>
          </w:p>
        </w:tc>
      </w:tr>
      <w:tr w:rsidR="00FB4EFA" w:rsidRPr="00FB4EFA" w14:paraId="35168950" w14:textId="77777777" w:rsidTr="002A3BC9">
        <w:tc>
          <w:tcPr>
            <w:tcW w:w="1137" w:type="dxa"/>
          </w:tcPr>
          <w:p w14:paraId="77C3A150"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Schildt, Runar </w:t>
            </w:r>
          </w:p>
        </w:tc>
        <w:tc>
          <w:tcPr>
            <w:tcW w:w="1950" w:type="dxa"/>
          </w:tcPr>
          <w:p w14:paraId="271066B6"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Regnbågen.</w:t>
            </w:r>
          </w:p>
        </w:tc>
        <w:tc>
          <w:tcPr>
            <w:tcW w:w="2577" w:type="dxa"/>
          </w:tcPr>
          <w:p w14:paraId="3B411648"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 &amp; Sthlm, Bonnier</w:t>
            </w:r>
          </w:p>
        </w:tc>
        <w:tc>
          <w:tcPr>
            <w:tcW w:w="820" w:type="dxa"/>
          </w:tcPr>
          <w:p w14:paraId="4B008A8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185</w:t>
            </w:r>
          </w:p>
        </w:tc>
        <w:tc>
          <w:tcPr>
            <w:tcW w:w="648" w:type="dxa"/>
          </w:tcPr>
          <w:p w14:paraId="6ECFCDC9"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4:50, inb. 6:25, kr. 3:25</w:t>
            </w:r>
          </w:p>
        </w:tc>
      </w:tr>
      <w:tr w:rsidR="00FB4EFA" w:rsidRPr="00FB4EFA" w14:paraId="0B31D714" w14:textId="77777777" w:rsidTr="002A3BC9">
        <w:tc>
          <w:tcPr>
            <w:tcW w:w="1137" w:type="dxa"/>
          </w:tcPr>
          <w:p w14:paraId="3C9E8E1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Smirnoff, Karin</w:t>
            </w:r>
          </w:p>
        </w:tc>
        <w:tc>
          <w:tcPr>
            <w:tcW w:w="1950" w:type="dxa"/>
          </w:tcPr>
          <w:p w14:paraId="29BED663"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 xml:space="preserve">Under ansvar. </w:t>
            </w:r>
            <w:r w:rsidRPr="00FB4EFA">
              <w:rPr>
                <w:rFonts w:cs="Charis SIL"/>
                <w:iCs/>
                <w:sz w:val="16"/>
                <w:szCs w:val="16"/>
                <w:lang w:val="sv-SE"/>
              </w:rPr>
              <w:t>2 uppl.</w:t>
            </w:r>
          </w:p>
        </w:tc>
        <w:tc>
          <w:tcPr>
            <w:tcW w:w="2577" w:type="dxa"/>
          </w:tcPr>
          <w:p w14:paraId="1933645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Hfors 1916. Borgå, Schildt &amp; Sthlm, Bonnier </w:t>
            </w:r>
          </w:p>
        </w:tc>
        <w:tc>
          <w:tcPr>
            <w:tcW w:w="820" w:type="dxa"/>
          </w:tcPr>
          <w:p w14:paraId="639E19CD"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195</w:t>
            </w:r>
          </w:p>
        </w:tc>
        <w:tc>
          <w:tcPr>
            <w:tcW w:w="648" w:type="dxa"/>
          </w:tcPr>
          <w:p w14:paraId="4350BB65"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4:00, kr. 3:00</w:t>
            </w:r>
          </w:p>
        </w:tc>
      </w:tr>
      <w:tr w:rsidR="00FB4EFA" w:rsidRPr="00FB4EFA" w14:paraId="4F989E5C" w14:textId="77777777" w:rsidTr="002A3BC9">
        <w:tc>
          <w:tcPr>
            <w:tcW w:w="1137" w:type="dxa"/>
          </w:tcPr>
          <w:p w14:paraId="1214D563"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[Söderhjelm, Henning] </w:t>
            </w:r>
          </w:p>
        </w:tc>
        <w:tc>
          <w:tcPr>
            <w:tcW w:w="1950" w:type="dxa"/>
          </w:tcPr>
          <w:p w14:paraId="444AF681"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 xml:space="preserve">Guldgruvan. Detektiv- och äventyrsroman. </w:t>
            </w:r>
            <w:r w:rsidRPr="00FB4EFA">
              <w:rPr>
                <w:rFonts w:cs="Charis SIL"/>
                <w:sz w:val="16"/>
                <w:szCs w:val="16"/>
                <w:lang w:val="sv-SE"/>
              </w:rPr>
              <w:t>Av Lennart Wikström.</w:t>
            </w:r>
          </w:p>
        </w:tc>
        <w:tc>
          <w:tcPr>
            <w:tcW w:w="2577" w:type="dxa"/>
          </w:tcPr>
          <w:p w14:paraId="0ADF8DE8"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Borgå, Schildt &amp; Sthlm, Bonnier.</w:t>
            </w:r>
          </w:p>
        </w:tc>
        <w:tc>
          <w:tcPr>
            <w:tcW w:w="820" w:type="dxa"/>
          </w:tcPr>
          <w:p w14:paraId="3D53A4FE"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256</w:t>
            </w:r>
          </w:p>
        </w:tc>
        <w:tc>
          <w:tcPr>
            <w:tcW w:w="648" w:type="dxa"/>
          </w:tcPr>
          <w:p w14:paraId="4CED887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4:50, kr 3:75</w:t>
            </w:r>
          </w:p>
        </w:tc>
      </w:tr>
      <w:tr w:rsidR="00FB4EFA" w:rsidRPr="00FB4EFA" w14:paraId="3244BCF8" w14:textId="77777777" w:rsidTr="002A3BC9">
        <w:tc>
          <w:tcPr>
            <w:tcW w:w="1137" w:type="dxa"/>
          </w:tcPr>
          <w:p w14:paraId="4607BE46" w14:textId="77777777" w:rsidR="008F73FD" w:rsidRPr="00FB4EFA" w:rsidRDefault="00DD5337" w:rsidP="002A3BC9">
            <w:pPr>
              <w:spacing w:line="240" w:lineRule="auto"/>
              <w:jc w:val="left"/>
              <w:rPr>
                <w:rFonts w:cs="Charis SIL"/>
                <w:sz w:val="16"/>
                <w:szCs w:val="16"/>
                <w:lang w:val="sv-SE"/>
              </w:rPr>
            </w:pPr>
            <w:r w:rsidRPr="00FB4EFA">
              <w:rPr>
                <w:rFonts w:cs="Charis SIL"/>
                <w:sz w:val="16"/>
                <w:szCs w:val="16"/>
                <w:lang w:val="sv-SE"/>
              </w:rPr>
              <w:t>Wasström, Eric</w:t>
            </w:r>
          </w:p>
          <w:p w14:paraId="76619625" w14:textId="70C16334" w:rsidR="00DD5337" w:rsidRPr="00FB4EFA" w:rsidRDefault="00DD5337" w:rsidP="002A3BC9">
            <w:pPr>
              <w:spacing w:line="240" w:lineRule="auto"/>
              <w:jc w:val="left"/>
              <w:rPr>
                <w:rFonts w:cs="Charis SIL"/>
                <w:sz w:val="16"/>
                <w:szCs w:val="16"/>
                <w:lang w:val="sv-SE"/>
              </w:rPr>
            </w:pPr>
          </w:p>
        </w:tc>
        <w:tc>
          <w:tcPr>
            <w:tcW w:w="1950" w:type="dxa"/>
          </w:tcPr>
          <w:p w14:paraId="18CA084C"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Tuschgubbar och bläckhistorier.</w:t>
            </w:r>
          </w:p>
        </w:tc>
        <w:tc>
          <w:tcPr>
            <w:tcW w:w="2577" w:type="dxa"/>
          </w:tcPr>
          <w:p w14:paraId="19AD1305"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w:t>
            </w:r>
          </w:p>
        </w:tc>
        <w:tc>
          <w:tcPr>
            <w:tcW w:w="820" w:type="dxa"/>
          </w:tcPr>
          <w:p w14:paraId="1FBF5E44"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96</w:t>
            </w:r>
          </w:p>
        </w:tc>
        <w:tc>
          <w:tcPr>
            <w:tcW w:w="648" w:type="dxa"/>
          </w:tcPr>
          <w:p w14:paraId="0B901A1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Kart. 3:00</w:t>
            </w:r>
          </w:p>
        </w:tc>
      </w:tr>
      <w:tr w:rsidR="00FB4EFA" w:rsidRPr="00FB4EFA" w14:paraId="5DE068E0" w14:textId="77777777" w:rsidTr="002A3BC9">
        <w:tc>
          <w:tcPr>
            <w:tcW w:w="1137" w:type="dxa"/>
          </w:tcPr>
          <w:p w14:paraId="121231D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Wegelius, Sigurd</w:t>
            </w:r>
          </w:p>
        </w:tc>
        <w:tc>
          <w:tcPr>
            <w:tcW w:w="1950" w:type="dxa"/>
          </w:tcPr>
          <w:p w14:paraId="5F0DC97C"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Dårar. Novell i dialog</w:t>
            </w:r>
            <w:r w:rsidRPr="00FB4EFA">
              <w:rPr>
                <w:rFonts w:cs="Charis SIL"/>
                <w:sz w:val="16"/>
                <w:szCs w:val="16"/>
                <w:lang w:val="sv-SE"/>
              </w:rPr>
              <w:t>.</w:t>
            </w:r>
          </w:p>
        </w:tc>
        <w:tc>
          <w:tcPr>
            <w:tcW w:w="2577" w:type="dxa"/>
          </w:tcPr>
          <w:p w14:paraId="2EF77A7B"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Hfors 1916, Söderström &amp; C:o</w:t>
            </w:r>
          </w:p>
        </w:tc>
        <w:tc>
          <w:tcPr>
            <w:tcW w:w="820" w:type="dxa"/>
          </w:tcPr>
          <w:p w14:paraId="672291C1"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201 </w:t>
            </w:r>
          </w:p>
        </w:tc>
        <w:tc>
          <w:tcPr>
            <w:tcW w:w="648" w:type="dxa"/>
          </w:tcPr>
          <w:p w14:paraId="343E877C"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4:75</w:t>
            </w:r>
          </w:p>
        </w:tc>
      </w:tr>
      <w:tr w:rsidR="00FB4EFA" w:rsidRPr="00FB4EFA" w14:paraId="4D4FFC5A" w14:textId="77777777" w:rsidTr="002A3BC9">
        <w:tc>
          <w:tcPr>
            <w:tcW w:w="1137" w:type="dxa"/>
          </w:tcPr>
          <w:p w14:paraId="0524487F"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Wolontis, Josef</w:t>
            </w:r>
          </w:p>
        </w:tc>
        <w:tc>
          <w:tcPr>
            <w:tcW w:w="1950" w:type="dxa"/>
          </w:tcPr>
          <w:p w14:paraId="5BFDF1EC" w14:textId="77777777" w:rsidR="00DD5337" w:rsidRPr="00FB4EFA" w:rsidRDefault="00DD5337" w:rsidP="002A3BC9">
            <w:pPr>
              <w:suppressAutoHyphens/>
              <w:spacing w:line="240" w:lineRule="auto"/>
              <w:jc w:val="left"/>
              <w:rPr>
                <w:rFonts w:cs="Charis SIL"/>
                <w:sz w:val="16"/>
                <w:szCs w:val="16"/>
                <w:lang w:val="sv-SE"/>
              </w:rPr>
            </w:pPr>
            <w:r w:rsidRPr="00FB4EFA">
              <w:rPr>
                <w:rFonts w:cs="Charis SIL"/>
                <w:i/>
                <w:sz w:val="16"/>
                <w:szCs w:val="16"/>
                <w:lang w:val="sv-SE"/>
              </w:rPr>
              <w:t>Livsmakter.</w:t>
            </w:r>
          </w:p>
        </w:tc>
        <w:tc>
          <w:tcPr>
            <w:tcW w:w="2577" w:type="dxa"/>
          </w:tcPr>
          <w:p w14:paraId="3836D702"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 xml:space="preserve">Hfors 1916. Borgå, Schildt </w:t>
            </w:r>
          </w:p>
        </w:tc>
        <w:tc>
          <w:tcPr>
            <w:tcW w:w="820" w:type="dxa"/>
          </w:tcPr>
          <w:p w14:paraId="2AE32D43"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75</w:t>
            </w:r>
          </w:p>
        </w:tc>
        <w:tc>
          <w:tcPr>
            <w:tcW w:w="648" w:type="dxa"/>
          </w:tcPr>
          <w:p w14:paraId="684C2C65" w14:textId="77777777" w:rsidR="00DD5337" w:rsidRPr="00FB4EFA" w:rsidRDefault="00DD5337" w:rsidP="002A3BC9">
            <w:pPr>
              <w:spacing w:line="240" w:lineRule="auto"/>
              <w:jc w:val="left"/>
              <w:rPr>
                <w:rFonts w:cs="Charis SIL"/>
                <w:sz w:val="16"/>
                <w:szCs w:val="16"/>
                <w:lang w:val="sv-SE"/>
              </w:rPr>
            </w:pPr>
            <w:r w:rsidRPr="00FB4EFA">
              <w:rPr>
                <w:rFonts w:cs="Charis SIL"/>
                <w:sz w:val="16"/>
                <w:szCs w:val="16"/>
                <w:lang w:val="sv-SE"/>
              </w:rPr>
              <w:t>2:75</w:t>
            </w:r>
          </w:p>
        </w:tc>
      </w:tr>
    </w:tbl>
    <w:p w14:paraId="04B6FC1C" w14:textId="70BABC73" w:rsidR="00A96E85" w:rsidRPr="00FB4EFA" w:rsidRDefault="0093103F" w:rsidP="00AC1192">
      <w:pPr>
        <w:suppressAutoHyphens/>
        <w:spacing w:before="120" w:after="240"/>
        <w:jc w:val="center"/>
        <w:rPr>
          <w:i/>
          <w:sz w:val="18"/>
          <w:szCs w:val="18"/>
        </w:rPr>
      </w:pPr>
      <w:r w:rsidRPr="00FB4EFA">
        <w:rPr>
          <w:b/>
          <w:bCs/>
          <w:sz w:val="18"/>
          <w:szCs w:val="18"/>
          <w:lang w:val="hu-HU"/>
        </w:rPr>
        <w:t>Tabell 6</w:t>
      </w:r>
      <w:r w:rsidRPr="00FB4EFA">
        <w:rPr>
          <w:sz w:val="18"/>
          <w:szCs w:val="18"/>
          <w:lang w:val="hu-HU"/>
        </w:rPr>
        <w:t xml:space="preserve">: </w:t>
      </w:r>
      <w:r w:rsidRPr="00FB4EFA">
        <w:rPr>
          <w:sz w:val="18"/>
          <w:szCs w:val="18"/>
          <w:lang w:val="sv-SE"/>
        </w:rPr>
        <w:t>Utgivningen av prosa 1916 (Ölander 1958)</w:t>
      </w:r>
    </w:p>
    <w:p w14:paraId="28783049" w14:textId="77777777" w:rsidR="0093103F" w:rsidRPr="00FB4EFA" w:rsidRDefault="0093103F" w:rsidP="00AF0CAD">
      <w:pPr>
        <w:spacing w:after="160"/>
        <w:jc w:val="left"/>
        <w:rPr>
          <w:i/>
        </w:rPr>
      </w:pPr>
    </w:p>
    <w:p w14:paraId="7AF27CCF" w14:textId="77777777" w:rsidR="00A96E85" w:rsidRPr="00FB4EFA" w:rsidRDefault="00A96E85" w:rsidP="00402EF4">
      <w:pPr>
        <w:spacing w:after="160"/>
        <w:jc w:val="center"/>
        <w:rPr>
          <w:smallCaps/>
          <w:sz w:val="48"/>
          <w:szCs w:val="48"/>
        </w:rPr>
        <w:sectPr w:rsidR="00A96E85" w:rsidRPr="00FB4EFA">
          <w:headerReference w:type="even" r:id="rId487"/>
          <w:headerReference w:type="default" r:id="rId488"/>
          <w:headerReference w:type="first" r:id="rId489"/>
          <w:footnotePr>
            <w:numRestart w:val="eachSect"/>
          </w:footnotePr>
          <w:pgSz w:w="9180" w:h="13302"/>
          <w:pgMar w:top="779" w:right="1133" w:bottom="1132" w:left="1133" w:header="744" w:footer="720" w:gutter="0"/>
          <w:cols w:space="720"/>
          <w:titlePg/>
        </w:sectPr>
      </w:pPr>
    </w:p>
    <w:p w14:paraId="43AB0BB5" w14:textId="77777777" w:rsidR="00A96E85" w:rsidRPr="00FB4EFA" w:rsidRDefault="00A96E85" w:rsidP="00AF0CAD">
      <w:pPr>
        <w:pStyle w:val="Authors"/>
        <w:spacing w:line="259" w:lineRule="auto"/>
        <w:rPr>
          <w:color w:val="auto"/>
          <w:lang w:val="de-AT"/>
        </w:rPr>
      </w:pPr>
      <w:r w:rsidRPr="00FB4EFA">
        <w:rPr>
          <w:color w:val="auto"/>
          <w:lang w:val="de-AT"/>
        </w:rPr>
        <w:lastRenderedPageBreak/>
        <w:t>Wolfgang Müller-Funk</w:t>
      </w:r>
    </w:p>
    <w:p w14:paraId="13ECF7FF" w14:textId="77777777" w:rsidR="00A96E85" w:rsidRPr="00FB4EFA" w:rsidRDefault="00A96E85" w:rsidP="00402EF4"/>
    <w:p w14:paraId="04F2B1EE" w14:textId="538A8A19" w:rsidR="00A96E85" w:rsidRPr="00FB4EFA" w:rsidRDefault="00A96E85" w:rsidP="00994E2A">
      <w:pPr>
        <w:pStyle w:val="Heading1"/>
        <w:suppressAutoHyphens/>
        <w:spacing w:line="259" w:lineRule="auto"/>
        <w:ind w:right="74"/>
        <w:rPr>
          <w:color w:val="auto"/>
          <w:lang w:val="de-AT"/>
        </w:rPr>
      </w:pPr>
      <w:bookmarkStart w:id="137" w:name="_Toc87547023"/>
      <w:bookmarkStart w:id="138" w:name="_Ref90999718"/>
      <w:r w:rsidRPr="00FB4EFA">
        <w:rPr>
          <w:color w:val="auto"/>
          <w:lang w:val="de-AT"/>
        </w:rPr>
        <w:t xml:space="preserve">Kakanien revisited und die russische Revolution: Joseph Roth, </w:t>
      </w:r>
      <w:r w:rsidR="000A472A" w:rsidRPr="00FB4EFA">
        <w:rPr>
          <w:i/>
          <w:iCs/>
          <w:color w:val="auto"/>
          <w:lang w:val="de-AT"/>
        </w:rPr>
        <w:t>D</w:t>
      </w:r>
      <w:r w:rsidRPr="00FB4EFA">
        <w:rPr>
          <w:i/>
          <w:iCs/>
          <w:color w:val="auto"/>
          <w:lang w:val="de-AT"/>
        </w:rPr>
        <w:t>er stumme Prophet</w:t>
      </w:r>
      <w:r w:rsidRPr="00FB4EFA">
        <w:rPr>
          <w:color w:val="auto"/>
          <w:lang w:val="de-AT"/>
        </w:rPr>
        <w:t>. Visitenkarte eines Forschungsprojekts</w:t>
      </w:r>
      <w:bookmarkEnd w:id="137"/>
      <w:bookmarkEnd w:id="138"/>
      <w:r w:rsidR="000A472A" w:rsidRPr="00FB4EFA">
        <w:rPr>
          <w:color w:val="auto"/>
          <w:lang w:val="de-AT"/>
        </w:rPr>
        <w:t xml:space="preserve"> und -netzwerks</w:t>
      </w:r>
    </w:p>
    <w:p w14:paraId="63A88632" w14:textId="75F1FF7E" w:rsidR="0026127D" w:rsidRPr="00FB4EFA" w:rsidRDefault="0026127D" w:rsidP="002A3BC9">
      <w:pPr>
        <w:rPr>
          <w:rFonts w:cs="Charis SIL"/>
          <w:lang w:val="de-DE"/>
        </w:rPr>
      </w:pPr>
      <w:r w:rsidRPr="00FB4EFA">
        <w:rPr>
          <w:rFonts w:cs="Charis SIL"/>
          <w:lang w:val="de-DE"/>
        </w:rPr>
        <w:t xml:space="preserve">Dreh- und Angelpunkt des Forschungsprojektes und Netzwerks </w:t>
      </w:r>
      <w:r w:rsidRPr="00FB4EFA">
        <w:rPr>
          <w:rFonts w:cs="Charis SIL"/>
          <w:i/>
          <w:lang w:val="de-DE"/>
        </w:rPr>
        <w:t>Kakanien revisited</w:t>
      </w:r>
      <w:r w:rsidRPr="00FB4EFA">
        <w:rPr>
          <w:rFonts w:cs="Charis SIL"/>
          <w:lang w:val="de-DE"/>
        </w:rPr>
        <w:t xml:space="preserve"> ist und war ein neuer Blick auf die </w:t>
      </w:r>
      <w:r w:rsidR="006057AB" w:rsidRPr="00FB4EFA">
        <w:rPr>
          <w:rFonts w:cs="Charis SIL"/>
          <w:lang w:val="de-DE"/>
        </w:rPr>
        <w:t>‘</w:t>
      </w:r>
      <w:r w:rsidRPr="00FB4EFA">
        <w:rPr>
          <w:rFonts w:cs="Charis SIL"/>
          <w:lang w:val="de-DE"/>
        </w:rPr>
        <w:t>kleinen</w:t>
      </w:r>
      <w:r w:rsidR="0093480B" w:rsidRPr="00FB4EFA">
        <w:rPr>
          <w:rFonts w:cs="Charis SIL"/>
          <w:lang w:val="de-DE"/>
        </w:rPr>
        <w:t>’</w:t>
      </w:r>
      <w:r w:rsidRPr="00FB4EFA">
        <w:rPr>
          <w:rFonts w:cs="Charis SIL"/>
          <w:lang w:val="de-DE"/>
        </w:rPr>
        <w:t xml:space="preserve"> Literaturen</w:t>
      </w:r>
      <w:r w:rsidRPr="00FB4EFA">
        <w:rPr>
          <w:rFonts w:cs="Charis SIL"/>
          <w:vertAlign w:val="superscript"/>
          <w:lang w:val="de-DE"/>
        </w:rPr>
        <w:footnoteReference w:id="213"/>
      </w:r>
      <w:r w:rsidRPr="00FB4EFA">
        <w:rPr>
          <w:rFonts w:cs="Charis SIL"/>
          <w:lang w:val="de-DE"/>
        </w:rPr>
        <w:t xml:space="preserve"> des zentraleuropäischen Raumes, der </w:t>
      </w:r>
      <w:r w:rsidR="0071462F" w:rsidRPr="00FB4EFA">
        <w:rPr>
          <w:rFonts w:cs="Charis SIL"/>
          <w:lang w:val="de-DE"/>
        </w:rPr>
        <w:t>j</w:t>
      </w:r>
      <w:r w:rsidRPr="00FB4EFA">
        <w:rPr>
          <w:rFonts w:cs="Charis SIL"/>
          <w:lang w:val="de-DE"/>
        </w:rPr>
        <w:t xml:space="preserve">ahrhundertelang durch das polykulturelle und multilinguale habsburgische Imperium geprägt wurde. Seit dem Doktoratskolleg </w:t>
      </w:r>
      <w:r w:rsidRPr="00FB4EFA">
        <w:rPr>
          <w:rFonts w:cs="Charis SIL"/>
          <w:i/>
          <w:lang w:val="de-DE"/>
        </w:rPr>
        <w:t>Kulturen der Differenz</w:t>
      </w:r>
      <w:r w:rsidRPr="00FB4EFA">
        <w:rPr>
          <w:rFonts w:cs="Charis SIL"/>
          <w:lang w:val="de-DE"/>
        </w:rPr>
        <w:t xml:space="preserve"> (2006–2010), zu dem auch Pál Dereky gehörte, wurde diese Forschungsinitiative integraler Bestandteil der Abteilung </w:t>
      </w:r>
      <w:r w:rsidR="00E135BE" w:rsidRPr="00FB4EFA">
        <w:rPr>
          <w:rFonts w:cs="Charis SIL"/>
          <w:lang w:val="de-DE"/>
        </w:rPr>
        <w:t xml:space="preserve">für </w:t>
      </w:r>
      <w:r w:rsidRPr="00FB4EFA">
        <w:rPr>
          <w:rFonts w:cs="Charis SIL"/>
          <w:lang w:val="de-DE"/>
        </w:rPr>
        <w:t xml:space="preserve">Finno-Ugristik der Universität Wien, an der unter anderem Andrea Seidler, Endre Hárs, Gabor Schein und Karoly Kókai teilgenommen haben. Exemplarisch an diesem Projekt waren und sind die transnationale Perspektive, das Phänomen kultureller und lingualer Diversität sowie ein neuer, kulturtheoretischer Blick, der belletristische Texte als </w:t>
      </w:r>
      <w:r w:rsidR="006057AB" w:rsidRPr="00FB4EFA">
        <w:rPr>
          <w:rFonts w:cs="Charis SIL"/>
          <w:lang w:val="de-DE"/>
        </w:rPr>
        <w:t>‘</w:t>
      </w:r>
      <w:r w:rsidRPr="00FB4EFA">
        <w:rPr>
          <w:rFonts w:cs="Charis SIL"/>
          <w:lang w:val="de-DE"/>
        </w:rPr>
        <w:t>Medium</w:t>
      </w:r>
      <w:r w:rsidR="0093480B" w:rsidRPr="00FB4EFA">
        <w:rPr>
          <w:rFonts w:cs="Charis SIL"/>
          <w:lang w:val="de-DE"/>
        </w:rPr>
        <w:t>’</w:t>
      </w:r>
      <w:r w:rsidRPr="00FB4EFA">
        <w:rPr>
          <w:rFonts w:cs="Charis SIL"/>
          <w:lang w:val="de-DE"/>
        </w:rPr>
        <w:t xml:space="preserve"> kultureller Befindlichkeit und Machtkonstellationen und als eine Form des Denkens, eben als „literarisches Denken“ (Tzvetan </w:t>
      </w:r>
      <w:r w:rsidR="00545A5C" w:rsidRPr="00FB4EFA">
        <w:rPr>
          <w:rFonts w:cs="Charis SIL"/>
          <w:lang w:val="de-DE"/>
        </w:rPr>
        <w:br/>
      </w:r>
      <w:r w:rsidRPr="00FB4EFA">
        <w:rPr>
          <w:rFonts w:cs="Charis SIL"/>
          <w:lang w:val="de-DE"/>
        </w:rPr>
        <w:t>Todorov)</w:t>
      </w:r>
      <w:r w:rsidR="00E3210D" w:rsidRPr="00FB4EFA">
        <w:rPr>
          <w:rFonts w:cs="Charis SIL"/>
          <w:lang w:val="de-DE"/>
        </w:rPr>
        <w:t>,</w:t>
      </w:r>
      <w:r w:rsidRPr="00FB4EFA">
        <w:rPr>
          <w:rFonts w:cs="Charis SIL"/>
          <w:lang w:val="de-DE"/>
        </w:rPr>
        <w:t xml:space="preserve"> bestimmt. In diesem Sinne lassen sich Texte von Péter Nádas</w:t>
      </w:r>
      <w:r w:rsidRPr="00FB4EFA">
        <w:rPr>
          <w:rFonts w:cs="Charis SIL"/>
          <w:vertAlign w:val="superscript"/>
          <w:lang w:val="de-DE"/>
        </w:rPr>
        <w:footnoteReference w:id="214"/>
      </w:r>
      <w:r w:rsidRPr="00FB4EFA">
        <w:rPr>
          <w:rFonts w:cs="Charis SIL"/>
          <w:lang w:val="de-DE"/>
        </w:rPr>
        <w:t xml:space="preserve">, Peter Esterházy, aber auch von Joseph Roth, Robert Musil, Franz Kafka und Thomas Bernhard lesen. Dieser andere Blick auf die kleinen Literaturen, der auch im skandinavischen Kontext zum Tragen kommt (ich denke hier an Johan Schimanskis Projekt </w:t>
      </w:r>
      <w:r w:rsidRPr="00FB4EFA">
        <w:rPr>
          <w:rFonts w:cs="Charis SIL"/>
          <w:i/>
          <w:lang w:val="de-DE"/>
        </w:rPr>
        <w:t>Border Poetics</w:t>
      </w:r>
      <w:r w:rsidRPr="00FB4EFA">
        <w:rPr>
          <w:rFonts w:cs="Charis SIL"/>
          <w:lang w:val="de-DE"/>
        </w:rPr>
        <w:t>,</w:t>
      </w:r>
      <w:r w:rsidRPr="00FB4EFA">
        <w:rPr>
          <w:rFonts w:cs="Charis SIL"/>
          <w:vertAlign w:val="superscript"/>
          <w:lang w:val="de-DE"/>
        </w:rPr>
        <w:footnoteReference w:id="215"/>
      </w:r>
      <w:r w:rsidRPr="00FB4EFA">
        <w:rPr>
          <w:rFonts w:cs="Charis SIL"/>
          <w:lang w:val="de-DE"/>
        </w:rPr>
        <w:t xml:space="preserve"> soll hier am Beispiel des altösterreichischen Autors vorgestellt werden, der mit seinem bekanntesten Roman</w:t>
      </w:r>
      <w:r w:rsidRPr="00FB4EFA">
        <w:rPr>
          <w:rFonts w:cs="Charis SIL"/>
          <w:i/>
          <w:lang w:val="de-DE"/>
        </w:rPr>
        <w:t xml:space="preserve"> Radetzkymarsch</w:t>
      </w:r>
      <w:r w:rsidRPr="00FB4EFA">
        <w:rPr>
          <w:rFonts w:cs="Charis SIL"/>
          <w:lang w:val="de-DE"/>
        </w:rPr>
        <w:t xml:space="preserve"> als einer der Gründerväter eines ironisch gebrochenen Habsburgischen Mythos gilt.</w:t>
      </w:r>
    </w:p>
    <w:p w14:paraId="53310973" w14:textId="77777777" w:rsidR="0026127D" w:rsidRPr="00FB4EFA" w:rsidRDefault="0026127D" w:rsidP="002A3BC9">
      <w:pPr>
        <w:ind w:firstLine="709"/>
        <w:rPr>
          <w:rFonts w:cs="Charis SIL"/>
          <w:lang w:val="de-DE"/>
        </w:rPr>
      </w:pPr>
      <w:r w:rsidRPr="00FB4EFA">
        <w:rPr>
          <w:rFonts w:cs="Charis SIL"/>
          <w:lang w:val="de-DE"/>
        </w:rPr>
        <w:lastRenderedPageBreak/>
        <w:t xml:space="preserve">Der erst posthum aus verschiedenen Fassungen zusammengestellte und publizierte Roman </w:t>
      </w:r>
      <w:r w:rsidRPr="00FB4EFA">
        <w:rPr>
          <w:rFonts w:cs="Charis SIL"/>
          <w:i/>
          <w:lang w:val="de-DE"/>
        </w:rPr>
        <w:t>Der stumme Prophet</w:t>
      </w:r>
      <w:r w:rsidRPr="00FB4EFA">
        <w:rPr>
          <w:rFonts w:cs="Charis SIL"/>
          <w:lang w:val="de-DE"/>
        </w:rPr>
        <w:t xml:space="preserve"> wurde 1928/29 geschrieben, am Wendepunkt einer historischen Entwicklung, der zugleich als eine literarische Kehre im literarischen Œuvres Roths verstanden werden kann.</w:t>
      </w:r>
      <w:r w:rsidRPr="00FB4EFA">
        <w:rPr>
          <w:rFonts w:cs="Charis SIL"/>
          <w:vertAlign w:val="superscript"/>
          <w:lang w:val="de-DE"/>
        </w:rPr>
        <w:footnoteReference w:id="216"/>
      </w:r>
      <w:r w:rsidRPr="00FB4EFA">
        <w:rPr>
          <w:rFonts w:cs="Charis SIL"/>
          <w:lang w:val="de-DE"/>
        </w:rPr>
        <w:t xml:space="preserve"> Denn der Abschied vom Sozialismus, für den für viele Intellektuelle trotz allem der junge Sowjetstaat stand, bildet eine maßgebliche Voraussetzung für die retrospektive und zugleich utopische Wiederentdeckung des österreichisch-ungarischen Vielvölkerstaates in nachfolgenden Werken.</w:t>
      </w:r>
    </w:p>
    <w:p w14:paraId="1B446017" w14:textId="6E67C333" w:rsidR="0026127D" w:rsidRPr="00FB4EFA" w:rsidRDefault="0026127D" w:rsidP="002A3BC9">
      <w:pPr>
        <w:ind w:firstLine="709"/>
        <w:rPr>
          <w:rFonts w:cs="Charis SIL"/>
          <w:lang w:val="de-DE"/>
        </w:rPr>
      </w:pPr>
      <w:r w:rsidRPr="00FB4EFA">
        <w:rPr>
          <w:rFonts w:cs="Charis SIL"/>
          <w:lang w:val="de-DE"/>
        </w:rPr>
        <w:t xml:space="preserve">Zeitgeschichtlicher Dreh- und Angelpunkt in diesem Werk Roths ist die russische Revolution, deren gesellschaftliche Folgen Roth schon zuvor dem Lesepublikum der Frankfurter Zeitung in einer Serie von Reisefeuilletons vor Augen führt. Wie sein Held Franz Tunda in </w:t>
      </w:r>
      <w:r w:rsidRPr="00FB4EFA">
        <w:rPr>
          <w:rFonts w:cs="Charis SIL"/>
          <w:i/>
          <w:lang w:val="de-DE"/>
        </w:rPr>
        <w:t xml:space="preserve">Die Flucht ohne Ende </w:t>
      </w:r>
      <w:r w:rsidRPr="00FB4EFA">
        <w:rPr>
          <w:rFonts w:cs="Charis SIL"/>
          <w:lang w:val="de-DE"/>
        </w:rPr>
        <w:t>(der am Ende des Romans Erwähnung findet</w:t>
      </w:r>
      <w:r w:rsidRPr="00FB4EFA">
        <w:rPr>
          <w:rFonts w:cs="Charis SIL"/>
          <w:vertAlign w:val="superscript"/>
          <w:lang w:val="de-DE"/>
        </w:rPr>
        <w:footnoteReference w:id="217"/>
      </w:r>
      <w:r w:rsidRPr="00FB4EFA">
        <w:rPr>
          <w:rFonts w:cs="Charis SIL"/>
          <w:lang w:val="de-DE"/>
        </w:rPr>
        <w:t>), Nikolai Brandeis (</w:t>
      </w:r>
      <w:r w:rsidRPr="00FB4EFA">
        <w:rPr>
          <w:rFonts w:cs="Charis SIL"/>
          <w:i/>
          <w:lang w:val="de-DE"/>
        </w:rPr>
        <w:t>Rechts und Links</w:t>
      </w:r>
      <w:r w:rsidRPr="00FB4EFA">
        <w:rPr>
          <w:rFonts w:cs="Charis SIL"/>
          <w:lang w:val="de-DE"/>
        </w:rPr>
        <w:t xml:space="preserve">) und der Titelheld von </w:t>
      </w:r>
      <w:r w:rsidRPr="00FB4EFA">
        <w:rPr>
          <w:rFonts w:cs="Charis SIL"/>
          <w:i/>
          <w:lang w:val="de-DE"/>
        </w:rPr>
        <w:t xml:space="preserve">Tarabas </w:t>
      </w:r>
      <w:r w:rsidRPr="00FB4EFA">
        <w:rPr>
          <w:rFonts w:cs="Charis SIL"/>
          <w:lang w:val="de-DE"/>
        </w:rPr>
        <w:t>gerät auch Roths Protagonist Friedrich Kargan aus dem zu Lebzeiten nicht vollständig veröffentlichten</w:t>
      </w:r>
      <w:r w:rsidRPr="00FB4EFA">
        <w:rPr>
          <w:rFonts w:cs="Charis SIL"/>
          <w:vertAlign w:val="superscript"/>
          <w:lang w:val="de-DE"/>
        </w:rPr>
        <w:footnoteReference w:id="218"/>
      </w:r>
      <w:r w:rsidRPr="00FB4EFA">
        <w:rPr>
          <w:rFonts w:cs="Charis SIL"/>
          <w:lang w:val="de-DE"/>
        </w:rPr>
        <w:t xml:space="preserve"> Roman </w:t>
      </w:r>
      <w:r w:rsidRPr="00FB4EFA">
        <w:rPr>
          <w:rFonts w:cs="Charis SIL"/>
          <w:i/>
          <w:lang w:val="de-DE"/>
        </w:rPr>
        <w:t>Der stumme Prophet</w:t>
      </w:r>
      <w:r w:rsidRPr="00FB4EFA">
        <w:rPr>
          <w:rFonts w:cs="Charis SIL"/>
          <w:lang w:val="de-DE"/>
        </w:rPr>
        <w:t xml:space="preserve"> ( 1929) in die Wirren von Krieg und Russischer Revolution. Aber während Tunda aus Liebe zu einer Frau Bolschewik wird und Tarabas jugendliches Ungestüm ihn zum Mittäter eines Attentats gegen einen zaristischen Gouverneur macht, agiert Kargan, wie Tunda ein </w:t>
      </w:r>
      <w:r w:rsidR="006057AB" w:rsidRPr="00FB4EFA">
        <w:rPr>
          <w:rFonts w:cs="Charis SIL"/>
          <w:lang w:val="de-DE"/>
        </w:rPr>
        <w:t>‘</w:t>
      </w:r>
      <w:r w:rsidRPr="00FB4EFA">
        <w:rPr>
          <w:rFonts w:cs="Charis SIL"/>
          <w:lang w:val="de-DE"/>
        </w:rPr>
        <w:t>multipler</w:t>
      </w:r>
      <w:r w:rsidR="0093480B" w:rsidRPr="00FB4EFA">
        <w:rPr>
          <w:rFonts w:cs="Charis SIL"/>
          <w:lang w:val="de-DE"/>
        </w:rPr>
        <w:t>’</w:t>
      </w:r>
      <w:r w:rsidRPr="00FB4EFA">
        <w:rPr>
          <w:rFonts w:cs="Charis SIL"/>
          <w:lang w:val="de-DE"/>
        </w:rPr>
        <w:t xml:space="preserve"> Altösterreicher, zunächst als revolutionärer Überzeugungstäter.</w:t>
      </w:r>
    </w:p>
    <w:p w14:paraId="292707A2" w14:textId="4239BCF6" w:rsidR="0026127D" w:rsidRPr="00FB4EFA" w:rsidRDefault="0026127D" w:rsidP="00AF0CAD">
      <w:pPr>
        <w:ind w:firstLine="709"/>
        <w:rPr>
          <w:rFonts w:cs="Charis SIL"/>
          <w:lang w:val="de-DE"/>
        </w:rPr>
      </w:pPr>
      <w:r w:rsidRPr="00FB4EFA">
        <w:rPr>
          <w:rFonts w:cs="Charis SIL"/>
          <w:lang w:val="de-DE"/>
        </w:rPr>
        <w:t xml:space="preserve">Roth verbindet den von ihm in vielen Romanen gewählten </w:t>
      </w:r>
      <w:r w:rsidR="006057AB" w:rsidRPr="00FB4EFA">
        <w:rPr>
          <w:rFonts w:cs="Charis SIL"/>
          <w:lang w:val="de-DE"/>
        </w:rPr>
        <w:t>‘</w:t>
      </w:r>
      <w:r w:rsidRPr="00FB4EFA">
        <w:rPr>
          <w:rFonts w:cs="Charis SIL"/>
          <w:lang w:val="de-DE"/>
        </w:rPr>
        <w:t>dritten Raum</w:t>
      </w:r>
      <w:r w:rsidR="0093480B" w:rsidRPr="00FB4EFA">
        <w:rPr>
          <w:lang w:val="fi-FI"/>
        </w:rPr>
        <w:t>’</w:t>
      </w:r>
      <w:r w:rsidRPr="00FB4EFA">
        <w:rPr>
          <w:rFonts w:cs="Charis SIL"/>
          <w:vertAlign w:val="superscript"/>
          <w:lang w:val="de-DE"/>
        </w:rPr>
        <w:footnoteReference w:id="219"/>
      </w:r>
      <w:r w:rsidRPr="00FB4EFA">
        <w:rPr>
          <w:rFonts w:cs="Charis SIL"/>
          <w:lang w:val="de-DE"/>
        </w:rPr>
        <w:t xml:space="preserve"> zwischen dem Zarenreich und der Habsburger Monarchie, indem er einen Bogen zwischen Odessa und Triest, einem Hafen des russischen und einem des österreichisch-ungarischen Imperiums, spannt. Zur Welt gekommen ist dieser unehelich geborene junge Mann nämlich in Odessa, </w:t>
      </w:r>
      <w:r w:rsidRPr="00FB4EFA">
        <w:rPr>
          <w:rFonts w:cs="Charis SIL"/>
          <w:lang w:val="de-DE"/>
        </w:rPr>
        <w:lastRenderedPageBreak/>
        <w:t>er wächst jedoch in Triest auf, wie der namenlose Rahmenerzähler, sein „Freund“, zu berichten weiß, der sich in der Silvesternacht 1926/27 im Hotel Bolschaja Moskowskaja in Moskau aufhält – das ist der Erzählrahmen. Schon gleich zu Anfang berichtet der Erzähler über seinen Freund, dass er dem „zivilisierten Teil der Welt“ den Rücken gekehrt hat und nicht mehr in ihn zurückkehren wird.</w:t>
      </w:r>
      <w:r w:rsidRPr="00FB4EFA">
        <w:rPr>
          <w:rFonts w:cs="Charis SIL"/>
          <w:vertAlign w:val="superscript"/>
          <w:lang w:val="de-DE"/>
        </w:rPr>
        <w:footnoteReference w:id="220"/>
      </w:r>
    </w:p>
    <w:p w14:paraId="595C8AF2" w14:textId="49AD3521" w:rsidR="0026127D" w:rsidRPr="00FB4EFA" w:rsidRDefault="0026127D" w:rsidP="00AF0CAD">
      <w:pPr>
        <w:ind w:firstLine="709"/>
        <w:rPr>
          <w:rFonts w:cs="Charis SIL"/>
          <w:lang w:val="de-DE"/>
        </w:rPr>
      </w:pPr>
      <w:r w:rsidRPr="00FB4EFA">
        <w:rPr>
          <w:rFonts w:cs="Charis SIL"/>
          <w:lang w:val="de-DE"/>
        </w:rPr>
        <w:t xml:space="preserve">Der vielleicht politischste Roman Roths umfasst die Zeit von ca. 1908 bis 1926/27, dem Zeitpunkt der Rahmenerzählung, in der sich verschiedene Genossen über den plötzlich verschwundenen Friedrich Kargan unterhalten. Die Binnenerzählung, die (von Tagebüchern und Briefen des Protagonisten unterbrochene) Niederschrift des nächtlichen Berichts des namenlosen Erzählers der Silvesternacht, umfasst eine Lebensskizze des abwesenden Protagonisten, das Exil der russischen Revolutionäre in Zürich und in Wien vor 1914, die Verbannung des Helden und einiger seiner Gesinnungsgenossen nach Sibirien, den Ersten Weltkrieg sowie den Ausbruch der Revolution in Russland und die post-revolutionäre Periode, in der sich der Sieg des Stalinismus – im Roman in Gestalt des Triumphs Savellis – zu Ende der Handlung bereits sichtbar abzeichnet. Es ist, um aus der Welt des Romans zu springen, die Zeit, in der Joseph Roth wie schon erwähnt in der linksliberalen </w:t>
      </w:r>
      <w:r w:rsidRPr="00FB4EFA">
        <w:rPr>
          <w:rFonts w:cs="Charis SIL"/>
          <w:i/>
          <w:lang w:val="de-DE"/>
        </w:rPr>
        <w:t xml:space="preserve">Frankfurter </w:t>
      </w:r>
      <w:r w:rsidR="00125980" w:rsidRPr="00FB4EFA">
        <w:rPr>
          <w:rFonts w:cs="Charis SIL"/>
          <w:i/>
          <w:lang w:val="de-DE"/>
        </w:rPr>
        <w:br/>
      </w:r>
      <w:r w:rsidRPr="00FB4EFA">
        <w:rPr>
          <w:rFonts w:cs="Charis SIL"/>
          <w:i/>
          <w:lang w:val="de-DE"/>
        </w:rPr>
        <w:t>Zeitung</w:t>
      </w:r>
      <w:r w:rsidRPr="00FB4EFA">
        <w:rPr>
          <w:rFonts w:cs="Charis SIL"/>
          <w:lang w:val="de-DE"/>
        </w:rPr>
        <w:t xml:space="preserve"> seine kritischen Reiseberichte über den noch jungen Sowjetstaat verfasst.</w:t>
      </w:r>
      <w:r w:rsidRPr="00FB4EFA">
        <w:rPr>
          <w:rFonts w:cs="Charis SIL"/>
          <w:vertAlign w:val="superscript"/>
          <w:lang w:val="de-DE"/>
        </w:rPr>
        <w:footnoteReference w:id="221"/>
      </w:r>
      <w:r w:rsidRPr="00FB4EFA">
        <w:rPr>
          <w:rFonts w:cs="Charis SIL"/>
          <w:lang w:val="de-DE"/>
        </w:rPr>
        <w:t xml:space="preserve"> Man kann also den seinerzeit nur in Ausschnitten veröffentlichten Roman</w:t>
      </w:r>
      <w:r w:rsidRPr="00FB4EFA">
        <w:rPr>
          <w:rFonts w:cs="Charis SIL"/>
          <w:vertAlign w:val="superscript"/>
          <w:lang w:val="de-DE"/>
        </w:rPr>
        <w:footnoteReference w:id="222"/>
      </w:r>
      <w:r w:rsidRPr="00FB4EFA">
        <w:rPr>
          <w:rFonts w:cs="Charis SIL"/>
          <w:lang w:val="de-DE"/>
        </w:rPr>
        <w:t xml:space="preserve"> und die Reiseberichte mitsamt den unveröffentlichten Randnotizen durchaus als Komplemente ein und desselben </w:t>
      </w:r>
      <w:r w:rsidR="00125980" w:rsidRPr="00FB4EFA">
        <w:rPr>
          <w:rFonts w:cs="Charis SIL"/>
          <w:lang w:val="de-DE"/>
        </w:rPr>
        <w:br/>
      </w:r>
      <w:r w:rsidRPr="00FB4EFA">
        <w:rPr>
          <w:rFonts w:cs="Charis SIL"/>
          <w:lang w:val="de-DE"/>
        </w:rPr>
        <w:t xml:space="preserve">Themenkomplexes begreifen. Sie ergänzen und erklären einander: Der Autor nimmt sukzessive Abschied von dem Experiment des </w:t>
      </w:r>
      <w:r w:rsidR="00125980" w:rsidRPr="00FB4EFA">
        <w:rPr>
          <w:rFonts w:cs="Charis SIL"/>
          <w:lang w:val="de-DE"/>
        </w:rPr>
        <w:br/>
      </w:r>
      <w:r w:rsidRPr="00FB4EFA">
        <w:rPr>
          <w:rFonts w:cs="Charis SIL"/>
          <w:lang w:val="de-DE"/>
        </w:rPr>
        <w:t>sozialistischen Sowjetstaats.</w:t>
      </w:r>
    </w:p>
    <w:p w14:paraId="4E4B4F7D" w14:textId="77777777" w:rsidR="0026127D" w:rsidRPr="00FB4EFA" w:rsidRDefault="0026127D" w:rsidP="00AF0CAD">
      <w:pPr>
        <w:ind w:firstLine="709"/>
        <w:rPr>
          <w:rFonts w:cs="Charis SIL"/>
          <w:lang w:val="de-DE"/>
        </w:rPr>
      </w:pPr>
      <w:r w:rsidRPr="00FB4EFA">
        <w:rPr>
          <w:rFonts w:cs="Charis SIL"/>
          <w:lang w:val="de-DE"/>
        </w:rPr>
        <w:t>Roths Held ist ein Wanderer durch viele Welten, ein von der Geschichte getriebener, so freiwilliger wie unfreiwilliger Abenteurer. Er verdingt sich an eine Schiffsgesellschaft, die vor allem Menschen, „Deserteure, Emigranten und Pogromflüchtlinge“ aus Russland „über die öster</w:t>
      </w:r>
      <w:r w:rsidRPr="00FB4EFA">
        <w:rPr>
          <w:rFonts w:cs="Charis SIL"/>
          <w:lang w:val="de-DE"/>
        </w:rPr>
        <w:lastRenderedPageBreak/>
        <w:t>reichische Grenze“ „nach Brasilien, Kanada und den Vereinigten Staaten“ bringt.</w:t>
      </w:r>
      <w:r w:rsidRPr="00FB4EFA">
        <w:rPr>
          <w:rFonts w:cs="Charis SIL"/>
          <w:vertAlign w:val="superscript"/>
          <w:lang w:val="de-DE"/>
        </w:rPr>
        <w:footnoteReference w:id="223"/>
      </w:r>
      <w:r w:rsidRPr="00FB4EFA">
        <w:rPr>
          <w:rFonts w:cs="Charis SIL"/>
          <w:lang w:val="de-DE"/>
        </w:rPr>
        <w:t xml:space="preserve"> Kargan wird Angestellter einer Filiale einer solchen Gesellschaft in einer kleinen russischen Grenzstadt. Derartige düstere Räume kommen auch in anderen Romanen des Autors vor, sie bilden einen integralen Bestandteil der dystopischen Welt des Autors. Das gilt auch für eine Figur wie den Schmugglers Kapturak, der auch in </w:t>
      </w:r>
      <w:r w:rsidRPr="00FB4EFA">
        <w:rPr>
          <w:rFonts w:cs="Charis SIL"/>
          <w:i/>
          <w:iCs/>
          <w:lang w:val="de-DE"/>
        </w:rPr>
        <w:t>Hiob</w:t>
      </w:r>
      <w:r w:rsidRPr="00FB4EFA">
        <w:rPr>
          <w:rFonts w:cs="Charis SIL"/>
          <w:lang w:val="de-DE"/>
        </w:rPr>
        <w:t xml:space="preserve"> und </w:t>
      </w:r>
      <w:r w:rsidRPr="00FB4EFA">
        <w:rPr>
          <w:rFonts w:cs="Charis SIL"/>
          <w:i/>
          <w:lang w:val="de-DE"/>
        </w:rPr>
        <w:t>Das falsche Gewicht</w:t>
      </w:r>
      <w:r w:rsidRPr="00FB4EFA">
        <w:rPr>
          <w:rFonts w:cs="Charis SIL"/>
          <w:lang w:val="de-DE"/>
        </w:rPr>
        <w:t xml:space="preserve"> seine zwielichtigen Geschäfte betreibt. Auch die Grenzschenke, in der Kargan sich mit den Agenten illegaler Geschäfte und Migration trifft, hat Ähnlichkeiten mit jener in </w:t>
      </w:r>
      <w:r w:rsidRPr="00FB4EFA">
        <w:rPr>
          <w:rFonts w:cs="Charis SIL"/>
          <w:i/>
          <w:lang w:val="de-DE"/>
        </w:rPr>
        <w:t>Das falsche Gewicht</w:t>
      </w:r>
      <w:r w:rsidRPr="00FB4EFA">
        <w:rPr>
          <w:rFonts w:cs="Charis SIL"/>
          <w:lang w:val="de-DE"/>
        </w:rPr>
        <w:t>. „Friedrich lernte, wie man log, Papiere fälschte, die Ohnmacht, die Dummheit und selbst noch die Brutalität der Beamten benützte.“</w:t>
      </w:r>
      <w:r w:rsidRPr="00FB4EFA">
        <w:rPr>
          <w:rFonts w:cs="Charis SIL"/>
          <w:vertAlign w:val="superscript"/>
          <w:lang w:val="de-DE"/>
        </w:rPr>
        <w:footnoteReference w:id="224"/>
      </w:r>
      <w:r w:rsidRPr="00FB4EFA">
        <w:rPr>
          <w:rFonts w:cs="Charis SIL"/>
          <w:lang w:val="de-DE"/>
        </w:rPr>
        <w:t xml:space="preserve"> Roth ist ein Spezialist des Peripheren, weil er weiß, dass dort die Symptome der Krise am deutlichsten zu sehen sind.</w:t>
      </w:r>
    </w:p>
    <w:p w14:paraId="3A3545A1" w14:textId="6B3C0258" w:rsidR="0026127D" w:rsidRPr="00FB4EFA" w:rsidRDefault="0026127D" w:rsidP="00AF0CAD">
      <w:pPr>
        <w:ind w:firstLine="709"/>
        <w:rPr>
          <w:rFonts w:cs="Charis SIL"/>
          <w:lang w:val="de-DE"/>
        </w:rPr>
      </w:pPr>
      <w:r w:rsidRPr="00FB4EFA">
        <w:rPr>
          <w:rFonts w:cs="Charis SIL"/>
          <w:lang w:val="de-DE"/>
        </w:rPr>
        <w:t xml:space="preserve">Schon in der namenlosen österreichischen Grenzstadt gerät er in eine revolutionäre Ideenwelt, insbesondere als er den berüchtigten und als grausam bekannten kaukasischen Revolutionär Savelli kennenlernt. Als er in Wien sein Studium beginnt, gerät er vollends in den Bannkreis der revolutionären russischen Diaspora. Er gibt sein Studium und seine ganz junge Beziehung zu der attraktiven Bürgertochter Hilde von </w:t>
      </w:r>
      <w:r w:rsidR="00125980" w:rsidRPr="00FB4EFA">
        <w:rPr>
          <w:rFonts w:cs="Charis SIL"/>
          <w:lang w:val="de-DE"/>
        </w:rPr>
        <w:br/>
      </w:r>
      <w:r w:rsidRPr="00FB4EFA">
        <w:rPr>
          <w:rFonts w:cs="Charis SIL"/>
          <w:lang w:val="de-DE"/>
        </w:rPr>
        <w:t>Maerker auf und schließt sich dem illegalen revolutionären Netzwerk an, das ihn in geheimer Mission nach Russland schickt, wo er verhaftet und in ein sibirisches Gefangenenlager verbannt wird. Kurz vor Kriegsbeginn gelingt ihm sowie seinem Freund und Gesinnungsgenossen Berzejew die Flucht aus dem Lager und lebt im Gefolge dieser Ereignisse in Wien und Zürich im Exil.</w:t>
      </w:r>
    </w:p>
    <w:p w14:paraId="28BCF573" w14:textId="6075DF68" w:rsidR="0026127D" w:rsidRPr="00FB4EFA" w:rsidRDefault="0026127D" w:rsidP="00AF0CAD">
      <w:pPr>
        <w:ind w:firstLine="709"/>
        <w:rPr>
          <w:rFonts w:cs="Charis SIL"/>
          <w:lang w:val="de-DE"/>
        </w:rPr>
      </w:pPr>
      <w:r w:rsidRPr="00FB4EFA">
        <w:rPr>
          <w:rFonts w:cs="Charis SIL"/>
          <w:lang w:val="de-DE"/>
        </w:rPr>
        <w:t>Parallelhandlung zum politischen Geschehen ist die Geschichte des Liebespaares Hilde und Friedrich, die nicht zueinander kommen und zugleich nicht voneinander lassen können, die zuweilen amüsant-komische Geschichte vom Revolutionär und der widerspenstigen Bürge</w:t>
      </w:r>
      <w:r w:rsidRPr="00FB4EFA">
        <w:rPr>
          <w:rFonts w:cs="Charis SIL"/>
          <w:lang w:val="de-DE"/>
        </w:rPr>
        <w:lastRenderedPageBreak/>
        <w:t>rin, die sich jeweils nach dem Anderen Ihrer selbst sehnen. Obschon von der Revolution vollkommen desillusioniert, kehrt Friedrich abermals nach Russland und damit – ein Akt zwischen Freiwilligkeit und Unfreiwilligkeit</w:t>
      </w:r>
      <w:r w:rsidR="0071462F" w:rsidRPr="00FB4EFA">
        <w:rPr>
          <w:rFonts w:cs="Charis SIL"/>
          <w:lang w:val="de-DE"/>
        </w:rPr>
        <w:t xml:space="preserve"> –</w:t>
      </w:r>
      <w:r w:rsidRPr="00FB4EFA">
        <w:rPr>
          <w:rFonts w:cs="Charis SIL"/>
          <w:lang w:val="de-DE"/>
        </w:rPr>
        <w:t xml:space="preserve"> in die Verbannung, dieses Mal in ein sowjetische</w:t>
      </w:r>
      <w:r w:rsidR="00701AD0" w:rsidRPr="00FB4EFA">
        <w:rPr>
          <w:rFonts w:cs="Charis SIL"/>
          <w:lang w:val="de-DE"/>
        </w:rPr>
        <w:t>s</w:t>
      </w:r>
      <w:r w:rsidRPr="00FB4EFA">
        <w:rPr>
          <w:rFonts w:cs="Charis SIL"/>
          <w:lang w:val="de-DE"/>
        </w:rPr>
        <w:t xml:space="preserve"> Lager zurück, dorthin, wo die Helden aus Roths früherem Roman </w:t>
      </w:r>
      <w:r w:rsidRPr="00FB4EFA">
        <w:rPr>
          <w:rFonts w:cs="Charis SIL"/>
          <w:i/>
          <w:lang w:val="de-DE"/>
        </w:rPr>
        <w:t>Die Flucht ohne Ende</w:t>
      </w:r>
      <w:r w:rsidRPr="00FB4EFA">
        <w:rPr>
          <w:rFonts w:cs="Charis SIL"/>
          <w:lang w:val="de-DE"/>
        </w:rPr>
        <w:t xml:space="preserve"> leben: „Baranowicz, ein Pole, der seit seiner Jugend in Sibirien freiwillig geblieben ist“ und „die schöne, stille Alja, die Frau meines Freundes Franz Tunda […].</w:t>
      </w:r>
      <w:r w:rsidRPr="00FB4EFA">
        <w:rPr>
          <w:rFonts w:cs="Charis SIL"/>
          <w:vertAlign w:val="superscript"/>
          <w:lang w:val="de-DE"/>
        </w:rPr>
        <w:footnoteReference w:id="225"/>
      </w:r>
      <w:r w:rsidRPr="00FB4EFA">
        <w:rPr>
          <w:rFonts w:cs="Charis SIL"/>
          <w:lang w:val="de-DE"/>
        </w:rPr>
        <w:t xml:space="preserve"> Dieser Ort ist auf paradoxe Art und Weise die wahre Heimat für Roths heimatlosen Helden. Hier findet er Raum für „die harte und stolze Wehmut eines Einsamen, der am Rande der Freuden, der Torheiten und der Schmerzen wandelt […].“</w:t>
      </w:r>
      <w:r w:rsidRPr="00FB4EFA">
        <w:rPr>
          <w:rFonts w:cs="Charis SIL"/>
          <w:vertAlign w:val="superscript"/>
          <w:lang w:val="de-DE"/>
        </w:rPr>
        <w:footnoteReference w:id="226"/>
      </w:r>
      <w:r w:rsidRPr="00FB4EFA">
        <w:rPr>
          <w:rFonts w:cs="Charis SIL"/>
          <w:lang w:val="de-DE"/>
        </w:rPr>
        <w:t xml:space="preserve"> Mit diesen Worten endet ein Roman, der sich Erzähltechniken bedient, die insofern als proto-postmodern bezeichnet werden können, weil in dem Spiel mit dem Autor und seinen Figuren eine Illusionsbrechung inszeniert wird, die die geschlossene Decke realistischen Erzählens listig zugunsten eines modellhaften Spiels mit dem Leser durchbricht.</w:t>
      </w:r>
    </w:p>
    <w:p w14:paraId="74210CF3" w14:textId="77777777" w:rsidR="0026127D" w:rsidRPr="00FB4EFA" w:rsidRDefault="0026127D" w:rsidP="002A3BC9">
      <w:pPr>
        <w:ind w:firstLine="709"/>
        <w:rPr>
          <w:rFonts w:cs="Charis SIL"/>
          <w:lang w:val="de-DE"/>
        </w:rPr>
      </w:pPr>
      <w:r w:rsidRPr="00FB4EFA">
        <w:rPr>
          <w:rFonts w:cs="Charis SIL"/>
          <w:lang w:val="de-DE"/>
        </w:rPr>
        <w:t>Das Politische an diesem Roman wird nicht allein durch verschiedene Dialoge und Porträts der verschiedenen Berufsrevolutionäre, sondern auch durch die erkennbare Tendenz manifest, die Motive und Antriebe einer revolutionären politischen Existenz von innen her psychologisch kritisch auszuleuchten und zu hinterfragen.</w:t>
      </w:r>
      <w:r w:rsidRPr="00FB4EFA">
        <w:rPr>
          <w:rFonts w:cs="Charis SIL"/>
          <w:vertAlign w:val="superscript"/>
          <w:lang w:val="de-DE"/>
        </w:rPr>
        <w:footnoteReference w:id="227"/>
      </w:r>
      <w:r w:rsidRPr="00FB4EFA">
        <w:rPr>
          <w:rFonts w:cs="Charis SIL"/>
          <w:lang w:val="de-DE"/>
        </w:rPr>
        <w:t xml:space="preserve"> Damit sind allenfalls Manès Sperbers frühes Prosawerk </w:t>
      </w:r>
      <w:r w:rsidRPr="00FB4EFA">
        <w:rPr>
          <w:rFonts w:cs="Charis SIL"/>
          <w:i/>
          <w:lang w:val="de-DE"/>
        </w:rPr>
        <w:t>Charlatan und seine Zeit</w:t>
      </w:r>
      <w:r w:rsidRPr="00FB4EFA">
        <w:rPr>
          <w:rFonts w:cs="Charis SIL"/>
          <w:lang w:val="de-DE"/>
        </w:rPr>
        <w:t xml:space="preserve"> (1924), in der der Protagonist sich selbst als ein „Spieler der Wahrheit“ attribuiert</w:t>
      </w:r>
      <w:r w:rsidRPr="00FB4EFA">
        <w:rPr>
          <w:rFonts w:cs="Charis SIL"/>
          <w:vertAlign w:val="superscript"/>
          <w:lang w:val="de-DE"/>
        </w:rPr>
        <w:footnoteReference w:id="228"/>
      </w:r>
      <w:r w:rsidRPr="00FB4EFA">
        <w:rPr>
          <w:rFonts w:cs="Charis SIL"/>
          <w:lang w:val="de-DE"/>
        </w:rPr>
        <w:t xml:space="preserve">, und natürlich Arthur Köstlers berühmter Roman </w:t>
      </w:r>
      <w:r w:rsidRPr="00FB4EFA">
        <w:rPr>
          <w:rFonts w:cs="Charis SIL"/>
          <w:i/>
          <w:lang w:val="de-DE"/>
        </w:rPr>
        <w:t>Sonnenfinsternis</w:t>
      </w:r>
      <w:r w:rsidRPr="00FB4EFA">
        <w:rPr>
          <w:rFonts w:cs="Charis SIL"/>
          <w:lang w:val="de-DE"/>
        </w:rPr>
        <w:t xml:space="preserve"> (1940) literarisch vergleichbar.</w:t>
      </w:r>
      <w:r w:rsidRPr="00FB4EFA">
        <w:rPr>
          <w:rFonts w:cs="Charis SIL"/>
          <w:vertAlign w:val="superscript"/>
          <w:lang w:val="de-DE"/>
        </w:rPr>
        <w:footnoteReference w:id="229"/>
      </w:r>
      <w:r w:rsidRPr="00FB4EFA">
        <w:rPr>
          <w:rFonts w:cs="Charis SIL"/>
          <w:lang w:val="de-DE"/>
        </w:rPr>
        <w:t xml:space="preserve"> Erstaunlich ist, wie Roth in dem Roman, der wohl schon vor 1929 begonnen wurde, die innere Verfassung dieser grausamen Revolutionäre beleuchtet, die dann in den Schauprozessen ihren schaurigen Höhepunkt erreichen werden.</w:t>
      </w:r>
      <w:r w:rsidRPr="00FB4EFA">
        <w:rPr>
          <w:rFonts w:cs="Charis SIL"/>
          <w:vertAlign w:val="superscript"/>
          <w:lang w:val="de-DE"/>
        </w:rPr>
        <w:footnoteReference w:id="230"/>
      </w:r>
    </w:p>
    <w:p w14:paraId="108B0390" w14:textId="69721C0B" w:rsidR="000121EA" w:rsidRPr="00FB4EFA" w:rsidRDefault="0026127D" w:rsidP="00402EF4">
      <w:pPr>
        <w:ind w:firstLine="709"/>
        <w:rPr>
          <w:rFonts w:cs="Charis SIL"/>
          <w:lang w:val="de-DE"/>
        </w:rPr>
      </w:pPr>
      <w:r w:rsidRPr="00FB4EFA">
        <w:rPr>
          <w:rFonts w:cs="Charis SIL"/>
          <w:lang w:val="de-DE"/>
        </w:rPr>
        <w:lastRenderedPageBreak/>
        <w:t>In der Sekundärliteratur ist, einer Aussage Roths folgend, der Roman immer wieder als Trotzki-Roman bezeichnet worden.</w:t>
      </w:r>
      <w:r w:rsidRPr="00FB4EFA">
        <w:rPr>
          <w:rFonts w:cs="Charis SIL"/>
          <w:vertAlign w:val="superscript"/>
          <w:lang w:val="de-DE"/>
        </w:rPr>
        <w:footnoteReference w:id="231"/>
      </w:r>
      <w:r w:rsidRPr="00FB4EFA">
        <w:rPr>
          <w:rFonts w:cs="Charis SIL"/>
          <w:lang w:val="de-DE"/>
        </w:rPr>
        <w:t xml:space="preserve"> Das ist höchst irreführend, mag seinen Grund indes schlicht darin haben, dass Trotzki der wohl prominenteste vertriebene Revolutionär nicht nur der Russischen Revolution ist. Biographisch betrachtet hat Roths einsamer Held mit dem Naturell des bis an sein Lebensende kämpferischen Organisators der Roten Armee wenig zu tun, während umgekehrt die dämonisch-unheimliche Figur Savellis, der Überfälle auf die Banken und Geldtransporte im Kaukasus organisiert hat, erstaunliche Ähnlichkeit mit dem jungen Stalin besitzt. Schon in der ersten politischen Diskussion im Roman bezeichnet sich Savellis als ein Werkzeug der Revolution, das nicht hassen und nicht lieben kann und Abweichler ohne Hassgefühl beseitigt.</w:t>
      </w:r>
      <w:r w:rsidRPr="00FB4EFA">
        <w:rPr>
          <w:rFonts w:cs="Charis SIL"/>
          <w:vertAlign w:val="superscript"/>
          <w:lang w:val="de-DE"/>
        </w:rPr>
        <w:footnoteReference w:id="232"/>
      </w:r>
      <w:r w:rsidRPr="00FB4EFA">
        <w:rPr>
          <w:rFonts w:cs="Charis SIL"/>
          <w:lang w:val="de-DE"/>
        </w:rPr>
        <w:t xml:space="preserve"> Der Machtlose im Wiener Exil, der Kargan als Berufsrevolutionär anheuert, wird am Ende derjenige sein, der über Leben und Tod, über Macht und Ohnmacht entscheidet und den (einstigen und nun resignierten) Revolutionär wie schon der Zar ins Lager, </w:t>
      </w:r>
      <w:r w:rsidR="00C455F6" w:rsidRPr="00FB4EFA">
        <w:rPr>
          <w:rFonts w:cs="Charis SIL"/>
          <w:lang w:val="de-DE"/>
        </w:rPr>
        <w:t>das</w:t>
      </w:r>
      <w:r w:rsidRPr="00FB4EFA">
        <w:rPr>
          <w:rFonts w:cs="Charis SIL"/>
          <w:lang w:val="de-DE"/>
        </w:rPr>
        <w:t xml:space="preserve"> später Gulag heißen wird, schickt.</w:t>
      </w:r>
      <w:r w:rsidRPr="00FB4EFA">
        <w:rPr>
          <w:rFonts w:cs="Charis SIL"/>
          <w:vertAlign w:val="superscript"/>
          <w:lang w:val="de-DE"/>
        </w:rPr>
        <w:footnoteReference w:id="233"/>
      </w:r>
      <w:r w:rsidRPr="00FB4EFA">
        <w:rPr>
          <w:rFonts w:cs="Charis SIL"/>
          <w:lang w:val="de-DE"/>
        </w:rPr>
        <w:t xml:space="preserve"> Kargans früherer Freund R., der beim ersten konspirativen Treffen der Gruppe, an dem Kargan teilnimmt, Savelli als „unmenschlich“ bezeichnet und ihm das „Temperament eines Krokodils im Trockenen, die Phantasie eines Pferdeknechts, den Idealismus eines </w:t>
      </w:r>
      <w:r w:rsidR="00125980" w:rsidRPr="00FB4EFA">
        <w:rPr>
          <w:rFonts w:cs="Charis SIL"/>
          <w:lang w:val="de-DE"/>
        </w:rPr>
        <w:br/>
      </w:r>
      <w:r w:rsidRPr="00FB4EFA">
        <w:rPr>
          <w:rFonts w:cs="Charis SIL"/>
          <w:lang w:val="de-DE"/>
        </w:rPr>
        <w:t>Iswoschtschiks (Droschkenkutschers, A. d. V.)“ zuschreibt.“</w:t>
      </w:r>
      <w:r w:rsidRPr="00FB4EFA">
        <w:rPr>
          <w:rFonts w:cs="Charis SIL"/>
          <w:vertAlign w:val="superscript"/>
          <w:lang w:val="de-DE"/>
        </w:rPr>
        <w:footnoteReference w:id="234"/>
      </w:r>
      <w:r w:rsidRPr="00FB4EFA">
        <w:rPr>
          <w:rFonts w:cs="Charis SIL"/>
          <w:lang w:val="de-DE"/>
        </w:rPr>
        <w:t xml:space="preserve"> Und: </w:t>
      </w:r>
      <w:r w:rsidR="00125980" w:rsidRPr="00FB4EFA">
        <w:rPr>
          <w:rFonts w:cs="Charis SIL"/>
          <w:lang w:val="de-DE"/>
        </w:rPr>
        <w:br/>
      </w:r>
      <w:r w:rsidRPr="00FB4EFA">
        <w:rPr>
          <w:rFonts w:cs="Charis SIL"/>
          <w:lang w:val="de-DE"/>
        </w:rPr>
        <w:t>„Savelli hasst die Intellektuellen und die Stadt so wie es ihm gleichgültig ist, ob er ein Pogrom veranstaltet oder eine Bank ausraubt.“</w:t>
      </w:r>
    </w:p>
    <w:p w14:paraId="55E8991B" w14:textId="0D937067" w:rsidR="0026127D" w:rsidRPr="00FB4EFA" w:rsidRDefault="0026127D" w:rsidP="00AF0CAD">
      <w:pPr>
        <w:ind w:firstLine="709"/>
        <w:rPr>
          <w:rFonts w:cs="Charis SIL"/>
          <w:lang w:val="de-DE"/>
        </w:rPr>
      </w:pPr>
      <w:r w:rsidRPr="00FB4EFA">
        <w:rPr>
          <w:rFonts w:cs="Charis SIL"/>
          <w:lang w:val="de-DE"/>
        </w:rPr>
        <w:t>Savelli und die anderen Revolutionäre im Roman sind nicht besonders konkret und individuell ausgestaltet, sie sind durchaus im Stil der Zeit hingeworfene Stereotypen, Karikaturen, Prototypen. In gewisser Weise sind sie allesamt und auf verschiedene Weise „stumme Propheten“. Das gilt auch für all die anderen, nicht nur für den sentimentalen einsamen Anarchisten Kargan, sondern für R. selbst</w:t>
      </w:r>
      <w:r w:rsidR="00C455F6" w:rsidRPr="00FB4EFA">
        <w:rPr>
          <w:rFonts w:cs="Charis SIL"/>
          <w:lang w:val="de-DE"/>
        </w:rPr>
        <w:t>,</w:t>
      </w:r>
      <w:r w:rsidRPr="00FB4EFA">
        <w:rPr>
          <w:rFonts w:cs="Charis SIL"/>
          <w:lang w:val="de-DE"/>
        </w:rPr>
        <w:t xml:space="preserve"> den zynischen Opportu</w:t>
      </w:r>
      <w:r w:rsidRPr="00FB4EFA">
        <w:rPr>
          <w:rFonts w:cs="Charis SIL"/>
          <w:lang w:val="de-DE"/>
        </w:rPr>
        <w:lastRenderedPageBreak/>
        <w:t>nisten</w:t>
      </w:r>
      <w:r w:rsidR="004313B0" w:rsidRPr="00FB4EFA">
        <w:rPr>
          <w:rFonts w:cs="Charis SIL"/>
          <w:lang w:val="de-DE"/>
        </w:rPr>
        <w:t>,</w:t>
      </w:r>
      <w:r w:rsidRPr="00FB4EFA">
        <w:rPr>
          <w:rFonts w:cs="Charis SIL"/>
          <w:lang w:val="de-DE"/>
        </w:rPr>
        <w:t xml:space="preserve"> sowie für den uneigennützigen naiven Berzejew, der mit Friedrich durch dick und dünn gehen wird. Ihnen gemeinsam ist eine bestimmte Konstruktion des Männlichen – im Gegensatz zu </w:t>
      </w:r>
      <w:r w:rsidRPr="00FB4EFA">
        <w:rPr>
          <w:rFonts w:cs="Charis SIL"/>
          <w:i/>
          <w:lang w:val="de-DE"/>
        </w:rPr>
        <w:t>Die Flucht ohne Ende</w:t>
      </w:r>
      <w:r w:rsidRPr="00FB4EFA">
        <w:rPr>
          <w:rFonts w:cs="Charis SIL"/>
          <w:lang w:val="de-DE"/>
        </w:rPr>
        <w:t xml:space="preserve"> gibt es keine hartgesottene </w:t>
      </w:r>
      <w:r w:rsidRPr="00FB4EFA">
        <w:rPr>
          <w:rFonts w:cs="Charis SIL"/>
          <w:i/>
          <w:lang w:val="de-DE"/>
        </w:rPr>
        <w:t>Revolutionärin</w:t>
      </w:r>
      <w:r w:rsidRPr="00FB4EFA">
        <w:rPr>
          <w:rFonts w:cs="Charis SIL"/>
          <w:lang w:val="de-DE"/>
        </w:rPr>
        <w:t xml:space="preserve"> wie Natascha – eine bestimmte männliche Atmosphäre. Dabei spielen antibürgerlicher Hass und Selbsthass, ein affektiver Gerechtigkeitssinn, aber auch ein Hauch von Nihilismus, die Revolution als männliches Abenteuer, eine überhöhte Einsamkeit, die zugleich Abstand von allem Weiblichen erzeugt, und ein rhetorisch und ideologisch überwölbter Machtrausch eine maßgebliche Rolle. R., der intelligenteste in der Riege von Ruths Figurentypologie, bringt es auf den Punkt: „Es ist nicht zu leugnen […], daß man leichter für die Massen sterben kann als mit ihnen zu leben.“</w:t>
      </w:r>
      <w:r w:rsidRPr="00FB4EFA">
        <w:rPr>
          <w:rFonts w:cs="Charis SIL"/>
          <w:vertAlign w:val="superscript"/>
          <w:lang w:val="de-DE"/>
        </w:rPr>
        <w:footnoteReference w:id="235"/>
      </w:r>
      <w:r w:rsidRPr="00FB4EFA">
        <w:rPr>
          <w:rFonts w:cs="Charis SIL"/>
          <w:lang w:val="de-DE"/>
        </w:rPr>
        <w:t xml:space="preserve"> So ist interessanterweise, wie bei Koestler und Sperber, der Umschlagpunkt in Roths verdichtetem Revolutionsroman schon in diesem Typus des Revolutionärs selbst angelegt. Zu Ende heißt es prägnant: „Sie traten wie Eroberer das Erbe einer neuen Welt an und sie hatten nichts erobert.“</w:t>
      </w:r>
      <w:r w:rsidRPr="00FB4EFA">
        <w:rPr>
          <w:rFonts w:cs="Charis SIL"/>
          <w:vertAlign w:val="superscript"/>
          <w:lang w:val="de-DE"/>
        </w:rPr>
        <w:footnoteReference w:id="236"/>
      </w:r>
      <w:r w:rsidRPr="00FB4EFA">
        <w:rPr>
          <w:rFonts w:cs="Charis SIL"/>
          <w:lang w:val="de-DE"/>
        </w:rPr>
        <w:t xml:space="preserve"> Das scheinbar Erreichte neutralisiert den Elan und den revolutionären Hass: „Ich verachte die Menschen, mit denen ich zu tun habe, ich glaube nicht an den Erfolg dieser Revolution.“ Und der Erzähler fügt hinzu: „Er stand da wie ein Kapitän, dem ein Schiff untergegangen ist und der gegen seine Pflicht und gegen seinen Willen dank einem gehässigen Schicksal am Leben blieb, dem Leben auf der Erde erhalten, die ein fremdes Element war.“</w:t>
      </w:r>
      <w:r w:rsidRPr="00FB4EFA">
        <w:rPr>
          <w:rFonts w:cs="Charis SIL"/>
          <w:vertAlign w:val="superscript"/>
          <w:lang w:val="de-DE"/>
        </w:rPr>
        <w:footnoteReference w:id="237"/>
      </w:r>
      <w:r w:rsidRPr="00FB4EFA">
        <w:rPr>
          <w:rFonts w:cs="Charis SIL"/>
          <w:lang w:val="de-DE"/>
        </w:rPr>
        <w:t xml:space="preserve"> Aber in dieser proto-existenzialistischen Geste bleibt nur mehr ein solitärer Ort, der nirgendwo ist, jenseits von Geschichte und gelebtem Leben. Denn das mögliche glückliche, wenn auch verspätete Leben mit Hilde gliche für Kargan einem Verrat: “Die Seligkeit, einmal für eine große Idee und für die Menschheit durchs Feuer gegangen zu sein, bestimmt unsere Entschlüsse auch lange </w:t>
      </w:r>
      <w:r w:rsidR="004313B0" w:rsidRPr="00FB4EFA">
        <w:rPr>
          <w:rFonts w:cs="Charis SIL"/>
          <w:lang w:val="de-DE"/>
        </w:rPr>
        <w:t>n</w:t>
      </w:r>
      <w:r w:rsidRPr="00FB4EFA">
        <w:rPr>
          <w:rFonts w:cs="Charis SIL"/>
          <w:lang w:val="de-DE"/>
        </w:rPr>
        <w:t>och, nachdem der Zweifel uns hellsichtig gemacht hat, wissend und hoffnungslos. Man ist durch ein Feuer gegangen und bleibt gezeichnet für den Rest seines Lebens.“</w:t>
      </w:r>
      <w:r w:rsidRPr="00FB4EFA">
        <w:rPr>
          <w:rFonts w:cs="Charis SIL"/>
          <w:vertAlign w:val="superscript"/>
          <w:lang w:val="de-DE"/>
        </w:rPr>
        <w:footnoteReference w:id="238"/>
      </w:r>
    </w:p>
    <w:p w14:paraId="57469266" w14:textId="27390672" w:rsidR="0026127D" w:rsidRPr="00FB4EFA" w:rsidRDefault="0026127D" w:rsidP="00AF0CAD">
      <w:pPr>
        <w:ind w:firstLine="709"/>
        <w:rPr>
          <w:rFonts w:cs="Charis SIL"/>
          <w:lang w:val="de-DE"/>
        </w:rPr>
      </w:pPr>
      <w:r w:rsidRPr="00FB4EFA">
        <w:rPr>
          <w:rFonts w:cs="Charis SIL"/>
          <w:lang w:val="de-DE"/>
        </w:rPr>
        <w:t>Roths Roman umfasst</w:t>
      </w:r>
      <w:r w:rsidR="00C455F6" w:rsidRPr="00FB4EFA">
        <w:rPr>
          <w:rFonts w:cs="Charis SIL"/>
          <w:lang w:val="de-DE"/>
        </w:rPr>
        <w:t>,</w:t>
      </w:r>
      <w:r w:rsidRPr="00FB4EFA">
        <w:rPr>
          <w:rFonts w:cs="Charis SIL"/>
          <w:lang w:val="de-DE"/>
        </w:rPr>
        <w:t xml:space="preserve"> wie auch </w:t>
      </w:r>
      <w:r w:rsidRPr="00FB4EFA">
        <w:rPr>
          <w:rFonts w:cs="Charis SIL"/>
          <w:i/>
          <w:lang w:val="de-DE"/>
        </w:rPr>
        <w:t>Die Flucht ohne Ende</w:t>
      </w:r>
      <w:r w:rsidRPr="00FB4EFA">
        <w:rPr>
          <w:rFonts w:cs="Charis SIL"/>
          <w:lang w:val="de-DE"/>
        </w:rPr>
        <w:t xml:space="preserve">, satirische Kapitel über das alte und neue Bürgertum in Deutschland, aber auch </w:t>
      </w:r>
      <w:r w:rsidRPr="00FB4EFA">
        <w:rPr>
          <w:rFonts w:cs="Charis SIL"/>
          <w:lang w:val="de-DE"/>
        </w:rPr>
        <w:lastRenderedPageBreak/>
        <w:t xml:space="preserve">schon einen Abgesang auf die Monarchie. Hildes Vater Ludwig von </w:t>
      </w:r>
      <w:r w:rsidR="00125980" w:rsidRPr="00FB4EFA">
        <w:rPr>
          <w:rFonts w:cs="Charis SIL"/>
          <w:lang w:val="de-DE"/>
        </w:rPr>
        <w:br/>
      </w:r>
      <w:r w:rsidRPr="00FB4EFA">
        <w:rPr>
          <w:rFonts w:cs="Charis SIL"/>
          <w:lang w:val="de-DE"/>
        </w:rPr>
        <w:t xml:space="preserve">Maerker gehört wie auch ihr windiger Ehemann zu den Verlierern der Ereignisse von 1918. Am Anfang eher als eine komische Figur gezeichnet, avanciert er zu Ende zu einer Fokalisator-Figur, die Sätze ausspricht, die auch in </w:t>
      </w:r>
      <w:r w:rsidRPr="00FB4EFA">
        <w:rPr>
          <w:rFonts w:cs="Charis SIL"/>
          <w:i/>
          <w:lang w:val="de-DE"/>
        </w:rPr>
        <w:t xml:space="preserve">Radetzkymarsch </w:t>
      </w:r>
      <w:r w:rsidRPr="00FB4EFA">
        <w:rPr>
          <w:rFonts w:cs="Charis SIL"/>
          <w:lang w:val="de-DE"/>
        </w:rPr>
        <w:t>stehen könnten: „Glauben Sie mir, daß Witze allein genügen, einen alten Staat zugrunde zu richten. Alle Völker haben gespottet. Und doch war zu meinen Zeiten, als noch der Mensch wichtiger war als seine Nationalität die Möglichkeit vorhanden, aus der Monarchie eine Heimat aller zu machen.“</w:t>
      </w:r>
      <w:r w:rsidRPr="00FB4EFA">
        <w:rPr>
          <w:rFonts w:cs="Charis SIL"/>
          <w:vertAlign w:val="superscript"/>
          <w:lang w:val="de-DE"/>
        </w:rPr>
        <w:footnoteReference w:id="239"/>
      </w:r>
    </w:p>
    <w:p w14:paraId="496B3AFB" w14:textId="77777777" w:rsidR="0026127D" w:rsidRPr="00FB4EFA" w:rsidRDefault="0026127D" w:rsidP="00402EF4">
      <w:pPr>
        <w:ind w:firstLine="709"/>
        <w:rPr>
          <w:rFonts w:cs="Charis SIL"/>
        </w:rPr>
      </w:pPr>
      <w:r w:rsidRPr="00FB4EFA">
        <w:rPr>
          <w:rFonts w:cs="Charis SIL"/>
          <w:lang w:val="de-DE"/>
        </w:rPr>
        <w:t>Insofern ist dieser auch literarisch unterschätzte Roman ein Dokument eines gewissen Einschnitts im Werk von Joseph Roth, besteht doch ein inniger Zusammenhang zwischen revolutionärer Desillusion und ironischer Nostalgie. Die Russische Revolution und die Habsburger Monarchie kommen dabei in einen höchst überraschenden Zusammenhang. Und auf gewisse Weise lässt sich sagen, dass die Ansichten in Roths Werk sowohl imperial wie antiimperial sind. Die Habsburger Monarchie verkörpert einen utopischen Nicht-Ort eines nicht-imperialen Imperiums für alle. Demgegenüber nimmt sich das sozialistische Imperium, in dem sich der Machthaber bereits ankündigt, der in puncto Grausamkeit alle österreichischen und selbst russischen Regentinnen und Regenten weit in den Schatten stellen wird. Insofern ist Roths Roman höchst hellsichtig im Hinblick auf die Katastrophen des 20. Jahrhunderts, die sich im imperialen Vakuum der einstigen Monarchie abgespielt haben.</w:t>
      </w:r>
    </w:p>
    <w:p w14:paraId="26C9AFD7" w14:textId="05E3A99F" w:rsidR="00A96E85" w:rsidRPr="00FB4EFA" w:rsidRDefault="00A96E85" w:rsidP="00402EF4">
      <w:pPr>
        <w:spacing w:after="160"/>
        <w:jc w:val="left"/>
      </w:pPr>
    </w:p>
    <w:p w14:paraId="226BA279" w14:textId="77777777" w:rsidR="00A96E85" w:rsidRPr="00FB4EFA" w:rsidRDefault="00A96E85" w:rsidP="00402EF4">
      <w:pPr>
        <w:spacing w:after="160"/>
        <w:jc w:val="center"/>
        <w:rPr>
          <w:smallCaps/>
          <w:sz w:val="48"/>
          <w:szCs w:val="48"/>
        </w:rPr>
        <w:sectPr w:rsidR="00A96E85" w:rsidRPr="00FB4EFA">
          <w:headerReference w:type="even" r:id="rId490"/>
          <w:headerReference w:type="default" r:id="rId491"/>
          <w:headerReference w:type="first" r:id="rId492"/>
          <w:footnotePr>
            <w:numRestart w:val="eachSect"/>
          </w:footnotePr>
          <w:pgSz w:w="9180" w:h="13302"/>
          <w:pgMar w:top="779" w:right="1133" w:bottom="1132" w:left="1133" w:header="744" w:footer="720" w:gutter="0"/>
          <w:cols w:space="720"/>
          <w:titlePg/>
        </w:sectPr>
      </w:pPr>
    </w:p>
    <w:p w14:paraId="1644CDDB" w14:textId="1F4EDEBF" w:rsidR="00A96E85" w:rsidRPr="00FB4EFA" w:rsidRDefault="00A96E85" w:rsidP="00AF0CAD">
      <w:pPr>
        <w:pStyle w:val="Authors"/>
        <w:spacing w:line="259" w:lineRule="auto"/>
        <w:rPr>
          <w:color w:val="auto"/>
          <w:lang w:val="de-AT"/>
        </w:rPr>
      </w:pPr>
      <w:r w:rsidRPr="00FB4EFA">
        <w:rPr>
          <w:color w:val="auto"/>
          <w:lang w:val="de-AT"/>
        </w:rPr>
        <w:lastRenderedPageBreak/>
        <w:t>Ötvös</w:t>
      </w:r>
      <w:r w:rsidR="00A2715F" w:rsidRPr="00FB4EFA">
        <w:rPr>
          <w:color w:val="auto"/>
          <w:lang w:val="de-AT"/>
        </w:rPr>
        <w:t xml:space="preserve"> Péter</w:t>
      </w:r>
    </w:p>
    <w:p w14:paraId="689A127D" w14:textId="7CC879D0" w:rsidR="00A96E85" w:rsidRPr="00FB4EFA" w:rsidRDefault="00A96E85" w:rsidP="00402EF4">
      <w:pPr>
        <w:jc w:val="right"/>
      </w:pPr>
    </w:p>
    <w:p w14:paraId="79C42DA2" w14:textId="26D2F241" w:rsidR="00A96E85" w:rsidRPr="00FB4EFA" w:rsidRDefault="00A96E85" w:rsidP="00994E2A">
      <w:pPr>
        <w:pStyle w:val="Heading1"/>
        <w:suppressAutoHyphens/>
        <w:spacing w:line="259" w:lineRule="auto"/>
        <w:ind w:right="74"/>
        <w:rPr>
          <w:color w:val="auto"/>
          <w:lang w:val="hu-HU"/>
        </w:rPr>
      </w:pPr>
      <w:bookmarkStart w:id="139" w:name="_Toc87547024"/>
      <w:bookmarkStart w:id="140" w:name="_Ref90999723"/>
      <w:r w:rsidRPr="00FB4EFA">
        <w:rPr>
          <w:color w:val="auto"/>
          <w:lang w:val="hu-HU"/>
        </w:rPr>
        <w:t>Vízszellem vagy szivacs?</w:t>
      </w:r>
      <w:bookmarkEnd w:id="139"/>
      <w:bookmarkEnd w:id="140"/>
    </w:p>
    <w:p w14:paraId="638DFFC7" w14:textId="77777777" w:rsidR="0007134A" w:rsidRPr="00FB4EFA" w:rsidRDefault="0007134A" w:rsidP="00402EF4">
      <w:pPr>
        <w:rPr>
          <w:lang w:val="hu-HU" w:eastAsia="hu-HU"/>
        </w:rPr>
      </w:pPr>
      <w:r w:rsidRPr="00FB4EFA">
        <w:rPr>
          <w:lang w:val="hu-HU" w:eastAsia="hu-HU"/>
        </w:rPr>
        <w:t>Rimay János (1570 körül – 1631. december 10.) a magyar késő reneszánsz legjelentősebb íróegyénisége. Munkássága, intenzív és gyakran rejtélyes kapcsolatrendszere olyannyira jelentősnek és érdekesnek bizonyult, hogy az elmúlt fél évszázadban a Rimay-bibliográfia növekedett a legdinamikusabban.</w:t>
      </w:r>
    </w:p>
    <w:p w14:paraId="599A5DD1" w14:textId="77777777" w:rsidR="0007134A" w:rsidRPr="00FB4EFA" w:rsidRDefault="0007134A" w:rsidP="00AF0CAD">
      <w:pPr>
        <w:ind w:firstLine="709"/>
        <w:rPr>
          <w:lang w:val="hu-HU" w:eastAsia="hu-HU"/>
        </w:rPr>
      </w:pPr>
      <w:r w:rsidRPr="00FB4EFA">
        <w:rPr>
          <w:lang w:val="hu-HU" w:eastAsia="hu-HU"/>
        </w:rPr>
        <w:t xml:space="preserve">Gyermek- és ifjúkoráról van kevés ismeretünk, iskoláiról, tanulmányairól viszont semmi adatunk nincs. Nagy figyelemmel számított azonban az utókor </w:t>
      </w:r>
      <w:r w:rsidRPr="00FB4EFA">
        <w:rPr>
          <w:i/>
          <w:lang w:val="hu-HU" w:eastAsia="hu-HU"/>
        </w:rPr>
        <w:t>(posteritas)</w:t>
      </w:r>
      <w:r w:rsidRPr="00FB4EFA">
        <w:rPr>
          <w:lang w:val="hu-HU" w:eastAsia="hu-HU"/>
        </w:rPr>
        <w:t xml:space="preserve"> emlékezetére: meg akarta formálni és ezáltal megteremteni saját tudós, irodalomértő szerepét. Úgy állította be Balassi Bálinthoz fűződő kapcsolatát, hogy ő maradt immár Balassi hagyatékának egyedüli gondozója, verseinek szakértője.</w:t>
      </w:r>
    </w:p>
    <w:p w14:paraId="6B7386CD" w14:textId="1063E1AC" w:rsidR="000121EA" w:rsidRPr="00FB4EFA" w:rsidRDefault="0007134A" w:rsidP="00AF0CAD">
      <w:pPr>
        <w:spacing w:after="240"/>
        <w:ind w:firstLine="709"/>
        <w:rPr>
          <w:rFonts w:cs="Charis SIL"/>
          <w:lang w:val="hu-HU" w:eastAsia="hu-HU"/>
        </w:rPr>
      </w:pPr>
      <w:r w:rsidRPr="00FB4EFA">
        <w:rPr>
          <w:lang w:val="hu-HU" w:eastAsia="hu-HU"/>
        </w:rPr>
        <w:t xml:space="preserve">Rimay János bölcselkedett, vagy ahogyan ő írta, </w:t>
      </w:r>
      <w:r w:rsidRPr="00FB4EFA">
        <w:rPr>
          <w:i/>
          <w:lang w:val="hu-HU" w:eastAsia="hu-HU"/>
        </w:rPr>
        <w:t xml:space="preserve">a philosophiának usussához, és nem az felőle való csacsogáshoz </w:t>
      </w:r>
      <w:r w:rsidRPr="00FB4EFA">
        <w:rPr>
          <w:lang w:val="hu-HU" w:eastAsia="hu-HU"/>
        </w:rPr>
        <w:t>vonzódott</w:t>
      </w:r>
      <w:r w:rsidRPr="00FB4EFA">
        <w:rPr>
          <w:i/>
          <w:lang w:val="hu-HU" w:eastAsia="hu-HU"/>
        </w:rPr>
        <w:t xml:space="preserve">. </w:t>
      </w:r>
      <w:r w:rsidRPr="00FB4EFA">
        <w:rPr>
          <w:lang w:val="hu-HU" w:eastAsia="hu-HU"/>
        </w:rPr>
        <w:t xml:space="preserve">Senecával, Petrarcával, Ciceróval és Epiktétosszal beszélget többet, </w:t>
      </w:r>
      <w:r w:rsidRPr="00FB4EFA">
        <w:rPr>
          <w:i/>
          <w:lang w:val="hu-HU" w:eastAsia="hu-HU"/>
        </w:rPr>
        <w:t>hogy nem egyéb emberekkel</w:t>
      </w:r>
      <w:r w:rsidRPr="00FB4EFA">
        <w:rPr>
          <w:lang w:val="hu-HU" w:eastAsia="hu-HU"/>
        </w:rPr>
        <w:t xml:space="preserve">. </w:t>
      </w:r>
      <w:r w:rsidRPr="00FB4EFA">
        <w:rPr>
          <w:i/>
          <w:iCs/>
          <w:lang w:val="hu-HU" w:eastAsia="hu-HU"/>
        </w:rPr>
        <w:t>Kerkdéd ez világ, gömbölyű mint lapta</w:t>
      </w:r>
      <w:r w:rsidRPr="00FB4EFA">
        <w:rPr>
          <w:lang w:val="hu-HU" w:eastAsia="hu-HU"/>
        </w:rPr>
        <w:t xml:space="preserve"> kezdetű 12 strófás bölcselkedő </w:t>
      </w:r>
      <w:r w:rsidRPr="00FB4EFA">
        <w:rPr>
          <w:rFonts w:cs="Charis SIL"/>
          <w:lang w:val="hu-HU" w:eastAsia="hu-HU"/>
        </w:rPr>
        <w:t>versét</w:t>
      </w:r>
      <w:r w:rsidRPr="00FB4EFA">
        <w:rPr>
          <w:rFonts w:eastAsia="Times New Roman" w:cs="Charis SIL"/>
          <w:vertAlign w:val="superscript"/>
          <w:lang w:val="hu-HU" w:eastAsia="hu-HU"/>
        </w:rPr>
        <w:footnoteReference w:id="240"/>
      </w:r>
      <w:r w:rsidRPr="00FB4EFA">
        <w:rPr>
          <w:rFonts w:cs="Charis SIL"/>
          <w:lang w:val="hu-HU" w:eastAsia="hu-HU"/>
        </w:rPr>
        <w:t xml:space="preserve"> viszonylag hosszú erkölcsmagyarázó prózai argumentum vezeti be </w:t>
      </w:r>
      <w:r w:rsidRPr="00FB4EFA">
        <w:rPr>
          <w:rFonts w:cs="Charis SIL"/>
          <w:i/>
          <w:iCs/>
          <w:lang w:val="hu-HU" w:eastAsia="hu-HU"/>
        </w:rPr>
        <w:t xml:space="preserve">(csak arra viselnek gondot, hogy pénzek lehessen, </w:t>
      </w:r>
      <w:r w:rsidR="00125980" w:rsidRPr="00FB4EFA">
        <w:rPr>
          <w:rFonts w:cs="Charis SIL"/>
          <w:i/>
          <w:iCs/>
          <w:lang w:val="hu-HU" w:eastAsia="hu-HU"/>
        </w:rPr>
        <w:br/>
      </w:r>
      <w:r w:rsidRPr="00FB4EFA">
        <w:rPr>
          <w:rFonts w:cs="Charis SIL"/>
          <w:i/>
          <w:iCs/>
          <w:lang w:val="hu-HU" w:eastAsia="hu-HU"/>
        </w:rPr>
        <w:t>minden jóknak az keresetiben megrestülnek, és inkább igyekeznek gazdag gonoszok, hogy nem mint jámbor szegények lenni),</w:t>
      </w:r>
      <w:r w:rsidRPr="00FB4EFA">
        <w:rPr>
          <w:rFonts w:cs="Charis SIL"/>
          <w:lang w:val="hu-HU" w:eastAsia="hu-HU"/>
        </w:rPr>
        <w:t xml:space="preserve"> a vers ennek a bölcseleti tételnek a kifejtése. A versszöveg a pénz hamis hatalmáról szól, még halvány irónia is olvasható itt </w:t>
      </w:r>
      <w:r w:rsidRPr="00FB4EFA">
        <w:rPr>
          <w:rFonts w:cs="Charis SIL"/>
          <w:i/>
          <w:iCs/>
          <w:lang w:val="hu-HU" w:eastAsia="hu-HU"/>
        </w:rPr>
        <w:t>(Pénzen jár ez</w:t>
      </w:r>
      <w:r w:rsidRPr="00FB4EFA">
        <w:rPr>
          <w:rFonts w:cs="Charis SIL"/>
          <w:lang w:val="hu-HU" w:eastAsia="hu-HU"/>
        </w:rPr>
        <w:t xml:space="preserve"> </w:t>
      </w:r>
      <w:r w:rsidRPr="00FB4EFA">
        <w:rPr>
          <w:rFonts w:cs="Charis SIL"/>
          <w:i/>
          <w:iCs/>
          <w:lang w:val="hu-HU" w:eastAsia="hu-HU"/>
        </w:rPr>
        <w:t>világ, pénz ő talyigája)</w:t>
      </w:r>
      <w:r w:rsidRPr="00FB4EFA">
        <w:rPr>
          <w:rFonts w:cs="Charis SIL"/>
          <w:lang w:val="hu-HU" w:eastAsia="hu-HU"/>
        </w:rPr>
        <w:t xml:space="preserve">, de mivel a sztoikus bölcs csak negativitásában tudta magát meghatározni, végül itt is a negativitás ábrázolása a legerőteljesebb. </w:t>
      </w:r>
      <w:r w:rsidRPr="00FB4EFA">
        <w:rPr>
          <w:rFonts w:cs="Charis SIL"/>
          <w:i/>
          <w:iCs/>
          <w:lang w:val="hu-HU" w:eastAsia="hu-HU"/>
        </w:rPr>
        <w:t>Ez világ bémerült az pénzszeretetben</w:t>
      </w:r>
      <w:r w:rsidRPr="00FB4EFA">
        <w:rPr>
          <w:rFonts w:cs="Charis SIL"/>
          <w:lang w:val="hu-HU" w:eastAsia="hu-HU"/>
        </w:rPr>
        <w:t xml:space="preserve"> (9. strófa), ám az </w:t>
      </w:r>
      <w:r w:rsidRPr="00FB4EFA">
        <w:rPr>
          <w:rFonts w:cs="Charis SIL"/>
          <w:i/>
          <w:iCs/>
          <w:lang w:val="hu-HU" w:eastAsia="hu-HU"/>
        </w:rPr>
        <w:t>igaz élet</w:t>
      </w:r>
      <w:r w:rsidRPr="00FB4EFA">
        <w:rPr>
          <w:rFonts w:cs="Charis SIL"/>
          <w:lang w:val="hu-HU" w:eastAsia="hu-HU"/>
        </w:rPr>
        <w:t xml:space="preserve"> erkölcsi értékei továbbra sincsenek tematikusan kifejtve. Az utolsó (12. strófa) tesz erre végül nyelvileg értelmezhetetlen kísérletet:</w:t>
      </w:r>
    </w:p>
    <w:p w14:paraId="3EAFDB24" w14:textId="40147259" w:rsidR="0007134A" w:rsidRPr="00FB4EFA" w:rsidRDefault="0007134A" w:rsidP="002A3BC9">
      <w:pPr>
        <w:keepNext/>
        <w:spacing w:line="240" w:lineRule="auto"/>
        <w:rPr>
          <w:rFonts w:cs="Charis SIL"/>
          <w:lang w:val="hu-HU" w:eastAsia="hu-HU"/>
        </w:rPr>
      </w:pPr>
      <w:r w:rsidRPr="00FB4EFA">
        <w:rPr>
          <w:rFonts w:cs="Charis SIL"/>
          <w:lang w:val="hu-HU" w:eastAsia="hu-HU"/>
        </w:rPr>
        <w:lastRenderedPageBreak/>
        <w:tab/>
        <w:t>Elmarad ez világ s mind pénzi gyűjtemény</w:t>
      </w:r>
    </w:p>
    <w:p w14:paraId="7B76BF01" w14:textId="6C558BEC" w:rsidR="0007134A" w:rsidRPr="00FB4EFA" w:rsidRDefault="0007134A" w:rsidP="002A3BC9">
      <w:pPr>
        <w:keepNext/>
        <w:spacing w:line="240" w:lineRule="auto"/>
        <w:rPr>
          <w:rFonts w:cs="Charis SIL"/>
          <w:lang w:val="hu-HU" w:eastAsia="hu-HU"/>
        </w:rPr>
      </w:pPr>
      <w:r w:rsidRPr="00FB4EFA">
        <w:rPr>
          <w:rFonts w:cs="Charis SIL"/>
          <w:lang w:val="hu-HU" w:eastAsia="hu-HU"/>
        </w:rPr>
        <w:tab/>
        <w:t>Hát ne torkoskodjunk, mint vizi hüvelmény,</w:t>
      </w:r>
    </w:p>
    <w:p w14:paraId="158A7BC8" w14:textId="41E71FB5" w:rsidR="0007134A" w:rsidRPr="00FB4EFA" w:rsidRDefault="0007134A" w:rsidP="002A3BC9">
      <w:pPr>
        <w:keepNext/>
        <w:spacing w:line="240" w:lineRule="auto"/>
        <w:rPr>
          <w:rFonts w:cs="Charis SIL"/>
          <w:lang w:val="hu-HU" w:eastAsia="hu-HU"/>
        </w:rPr>
      </w:pPr>
      <w:r w:rsidRPr="00FB4EFA">
        <w:rPr>
          <w:rFonts w:cs="Charis SIL"/>
          <w:lang w:val="hu-HU" w:eastAsia="hu-HU"/>
        </w:rPr>
        <w:tab/>
        <w:t>Lelkem ne légy kemény,</w:t>
      </w:r>
    </w:p>
    <w:p w14:paraId="152698C6" w14:textId="77777777" w:rsidR="000121EA" w:rsidRPr="00FB4EFA" w:rsidRDefault="0007134A" w:rsidP="0099469D">
      <w:pPr>
        <w:spacing w:line="240" w:lineRule="auto"/>
        <w:rPr>
          <w:rFonts w:cs="Charis SIL"/>
          <w:lang w:val="hu-HU" w:eastAsia="hu-HU"/>
        </w:rPr>
      </w:pPr>
      <w:r w:rsidRPr="00FB4EFA">
        <w:rPr>
          <w:rFonts w:cs="Charis SIL"/>
          <w:lang w:val="hu-HU" w:eastAsia="hu-HU"/>
        </w:rPr>
        <w:tab/>
        <w:t>Szolgáld Istenedet s nem nyél el mély örvény.</w:t>
      </w:r>
    </w:p>
    <w:p w14:paraId="3CC060B6" w14:textId="68821BE6" w:rsidR="0007134A" w:rsidRPr="00FB4EFA" w:rsidRDefault="0007134A" w:rsidP="00AF0CAD">
      <w:pPr>
        <w:spacing w:before="240"/>
        <w:rPr>
          <w:lang w:val="hu-HU" w:eastAsia="hu-HU"/>
        </w:rPr>
      </w:pPr>
      <w:r w:rsidRPr="00FB4EFA">
        <w:rPr>
          <w:rFonts w:cs="Charis SIL"/>
          <w:i/>
          <w:iCs/>
          <w:lang w:val="hu-HU" w:eastAsia="hu-HU"/>
        </w:rPr>
        <w:t>Hát ne torkoskodjunk, mint vízi hüvelvény.</w:t>
      </w:r>
      <w:r w:rsidRPr="00FB4EFA">
        <w:rPr>
          <w:rFonts w:cs="Charis SIL"/>
          <w:iCs/>
          <w:lang w:val="hu-HU" w:eastAsia="hu-HU"/>
        </w:rPr>
        <w:t xml:space="preserve"> E</w:t>
      </w:r>
      <w:r w:rsidRPr="00FB4EFA">
        <w:rPr>
          <w:rFonts w:cs="Charis SIL"/>
          <w:lang w:val="hu-HU" w:eastAsia="hu-HU"/>
        </w:rPr>
        <w:t xml:space="preserve">gy későbbi, több versből kontaminált másolatban (Debreceni Városi Levéltár, ma A Magyar Nemzeti Levéltár Hajdú-Bihar Megyei Levéltára) az idézett strófában így szerepel: </w:t>
      </w:r>
      <w:r w:rsidRPr="00FB4EFA">
        <w:rPr>
          <w:rFonts w:cs="Charis SIL"/>
          <w:i/>
          <w:lang w:val="hu-HU" w:eastAsia="hu-HU"/>
        </w:rPr>
        <w:t>Hát mit vakoskodunk, mint vizi hüvelmény</w:t>
      </w:r>
      <w:r w:rsidRPr="00FB4EFA">
        <w:rPr>
          <w:rFonts w:cs="Charis SIL"/>
          <w:lang w:val="hu-HU" w:eastAsia="hu-HU"/>
        </w:rPr>
        <w:t>.</w:t>
      </w:r>
      <w:r w:rsidRPr="00FB4EFA">
        <w:rPr>
          <w:rFonts w:eastAsia="Times New Roman" w:cs="Charis SIL"/>
          <w:vertAlign w:val="superscript"/>
          <w:lang w:val="hu-HU" w:eastAsia="hu-HU"/>
        </w:rPr>
        <w:footnoteReference w:id="241"/>
      </w:r>
      <w:r w:rsidRPr="00FB4EFA">
        <w:rPr>
          <w:rFonts w:cs="Charis SIL"/>
          <w:lang w:val="hu-HU" w:eastAsia="hu-HU"/>
        </w:rPr>
        <w:t xml:space="preserve"> A szövegkritika szerint </w:t>
      </w:r>
      <w:r w:rsidRPr="00FB4EFA">
        <w:rPr>
          <w:rFonts w:cs="Charis SIL"/>
          <w:i/>
          <w:iCs/>
          <w:lang w:val="hu-HU" w:eastAsia="hu-HU"/>
        </w:rPr>
        <w:t>hapax legomenon</w:t>
      </w:r>
      <w:r w:rsidRPr="00FB4EFA">
        <w:rPr>
          <w:rFonts w:cs="Charis SIL"/>
          <w:lang w:val="hu-HU" w:eastAsia="hu-HU"/>
        </w:rPr>
        <w:t>, azaz korábban nem ismert és az adott szerző munkáiban is csak egyszer előforduló kifejezés. Mindenesetre bizonytalanok vagyunk az értelmezést tekintve, jelentését csak találgatjuk. A Rimay verseit korszerű és körültekintő kiadásban sajtó alá rendező Ács Pál szintén keresi a szókapcsolat jelentését, és szellemes megoldást ajánl.</w:t>
      </w:r>
      <w:r w:rsidRPr="00FB4EFA">
        <w:rPr>
          <w:rFonts w:eastAsia="Times New Roman" w:cs="Charis SIL"/>
          <w:vertAlign w:val="superscript"/>
          <w:lang w:val="hu-HU" w:eastAsia="hu-HU"/>
        </w:rPr>
        <w:footnoteReference w:id="242"/>
      </w:r>
      <w:r w:rsidRPr="00FB4EFA">
        <w:rPr>
          <w:rFonts w:cs="Charis SIL"/>
          <w:lang w:val="hu-HU" w:eastAsia="hu-HU"/>
        </w:rPr>
        <w:t xml:space="preserve"> Szerinte a legvalószínűbb értelmezés: </w:t>
      </w:r>
      <w:r w:rsidRPr="00FB4EFA">
        <w:rPr>
          <w:rFonts w:cs="Charis SIL"/>
          <w:i/>
          <w:lang w:val="hu-HU" w:eastAsia="hu-HU"/>
        </w:rPr>
        <w:t>szivacs</w:t>
      </w:r>
      <w:r w:rsidRPr="00FB4EFA">
        <w:rPr>
          <w:rFonts w:cs="Charis SIL"/>
          <w:lang w:val="hu-HU" w:eastAsia="hu-HU"/>
        </w:rPr>
        <w:t>.</w:t>
      </w:r>
      <w:r w:rsidRPr="00FB4EFA">
        <w:rPr>
          <w:rFonts w:eastAsia="Times New Roman" w:cs="Charis SIL"/>
          <w:vertAlign w:val="superscript"/>
          <w:lang w:val="hu-HU" w:eastAsia="hu-HU"/>
        </w:rPr>
        <w:footnoteReference w:id="243"/>
      </w:r>
      <w:r w:rsidRPr="00FB4EFA">
        <w:rPr>
          <w:rFonts w:cs="Charis SIL"/>
          <w:lang w:val="hu-HU" w:eastAsia="hu-HU"/>
        </w:rPr>
        <w:t xml:space="preserve"> Ipolyi Arnold </w:t>
      </w:r>
      <w:r w:rsidRPr="00FB4EFA">
        <w:rPr>
          <w:rFonts w:cs="Charis SIL"/>
          <w:i/>
          <w:iCs/>
          <w:lang w:val="hu-HU" w:eastAsia="hu-HU"/>
        </w:rPr>
        <w:t>vízszellemnek</w:t>
      </w:r>
      <w:r w:rsidRPr="00FB4EFA">
        <w:rPr>
          <w:rFonts w:cs="Charis SIL"/>
          <w:lang w:val="hu-HU" w:eastAsia="hu-HU"/>
        </w:rPr>
        <w:t xml:space="preserve"> érti, Eckhardt szerint inkább egy </w:t>
      </w:r>
      <w:r w:rsidRPr="00FB4EFA">
        <w:rPr>
          <w:rFonts w:cs="Charis SIL"/>
          <w:i/>
          <w:iCs/>
          <w:lang w:val="hu-HU" w:eastAsia="hu-HU"/>
        </w:rPr>
        <w:t xml:space="preserve">ostoba víziállat, </w:t>
      </w:r>
      <w:r w:rsidRPr="00FB4EFA">
        <w:rPr>
          <w:rFonts w:cs="Charis SIL"/>
          <w:iCs/>
          <w:lang w:val="hu-HU" w:eastAsia="hu-HU"/>
        </w:rPr>
        <w:t>Ács Pál viszont</w:t>
      </w:r>
      <w:r w:rsidRPr="00FB4EFA">
        <w:rPr>
          <w:rFonts w:cs="Charis SIL"/>
          <w:i/>
          <w:iCs/>
          <w:lang w:val="hu-HU" w:eastAsia="hu-HU"/>
        </w:rPr>
        <w:t xml:space="preserve"> szivacsnak </w:t>
      </w:r>
      <w:r w:rsidRPr="00FB4EFA">
        <w:rPr>
          <w:rFonts w:cs="Charis SIL"/>
          <w:iCs/>
          <w:lang w:val="hu-HU" w:eastAsia="hu-HU"/>
        </w:rPr>
        <w:t>gondolja</w:t>
      </w:r>
      <w:r w:rsidRPr="00FB4EFA">
        <w:rPr>
          <w:rFonts w:cs="Charis SIL"/>
          <w:lang w:val="hu-HU" w:eastAsia="hu-HU"/>
        </w:rPr>
        <w:t xml:space="preserve">. Az Ipolyi-féle Magyar Mythológiát jól ismerő Jókai Mór többször is szerepelteti regényeiben </w:t>
      </w:r>
      <w:r w:rsidRPr="00FB4EFA">
        <w:rPr>
          <w:rFonts w:cs="Charis SIL"/>
          <w:i/>
          <w:iCs/>
          <w:lang w:val="hu-HU" w:eastAsia="hu-HU"/>
        </w:rPr>
        <w:t>vízi tündér</w:t>
      </w:r>
      <w:r w:rsidRPr="00FB4EFA">
        <w:rPr>
          <w:rFonts w:cs="Charis SIL"/>
          <w:lang w:val="hu-HU" w:eastAsia="hu-HU"/>
        </w:rPr>
        <w:t xml:space="preserve">, esetleg </w:t>
      </w:r>
      <w:r w:rsidRPr="00FB4EFA">
        <w:rPr>
          <w:rFonts w:cs="Charis SIL"/>
          <w:i/>
          <w:iCs/>
          <w:lang w:val="hu-HU" w:eastAsia="hu-HU"/>
        </w:rPr>
        <w:t>rémalak</w:t>
      </w:r>
      <w:r w:rsidRPr="00FB4EFA">
        <w:rPr>
          <w:rFonts w:cs="Charis SIL"/>
          <w:lang w:val="hu-HU" w:eastAsia="hu-HU"/>
        </w:rPr>
        <w:t xml:space="preserve"> jelentésben. Most csak egyetlen példát említenék a bonyolult, igen terjengős regényszövevényből, </w:t>
      </w:r>
      <w:r w:rsidRPr="00FB4EFA">
        <w:rPr>
          <w:rFonts w:cs="Charis SIL"/>
          <w:i/>
          <w:lang w:val="hu-HU" w:eastAsia="hu-HU"/>
        </w:rPr>
        <w:t>A jövő század regényé</w:t>
      </w:r>
      <w:r w:rsidRPr="00FB4EFA">
        <w:rPr>
          <w:rFonts w:cs="Charis SIL"/>
          <w:lang w:val="hu-HU" w:eastAsia="hu-HU"/>
        </w:rPr>
        <w:t xml:space="preserve">ből. Jókai itt azt írja, regényhőse, Dávid egyik kalandjának kapcsán: „A magyar ősnép napimádó, elemeket tisztelő volt. </w:t>
      </w:r>
      <w:r w:rsidRPr="00FB4EFA">
        <w:rPr>
          <w:rFonts w:cs="Charis SIL"/>
          <w:lang w:val="hu-HU" w:eastAsia="hu-HU"/>
        </w:rPr>
        <w:lastRenderedPageBreak/>
        <w:t>Bálványai nem voltak (</w:t>
      </w:r>
      <w:r w:rsidR="00950296" w:rsidRPr="00FB4EFA">
        <w:rPr>
          <w:rFonts w:cs="Charis SIL"/>
          <w:lang w:val="hu-HU" w:eastAsia="hu-HU"/>
        </w:rPr>
        <w:t>…</w:t>
      </w:r>
      <w:r w:rsidRPr="00FB4EFA">
        <w:rPr>
          <w:rFonts w:cs="Charis SIL"/>
          <w:lang w:val="hu-HU" w:eastAsia="hu-HU"/>
        </w:rPr>
        <w:t>) Rossz szellemeiket nevezték ’Ármánynak, Manónak, Mirigynek, Nemerének’, de nem féltek tőlük (…) Voltak hagyományaik a ’vizi hüvelmény’-ről, a fanyűvő vasgyúró óriásokról, hüvelknyi Pilinkóról; de azok nem emelkedtek a népmesék körén túl a mítosz magaslatáig.”</w:t>
      </w:r>
      <w:r w:rsidRPr="00FB4EFA">
        <w:rPr>
          <w:rFonts w:eastAsia="Times New Roman" w:cs="Charis SIL"/>
          <w:vertAlign w:val="superscript"/>
          <w:lang w:val="hu-HU" w:eastAsia="hu-HU"/>
        </w:rPr>
        <w:footnoteReference w:id="244"/>
      </w:r>
      <w:r w:rsidRPr="00FB4EFA">
        <w:rPr>
          <w:rFonts w:cs="Charis SIL"/>
          <w:lang w:val="hu-HU" w:eastAsia="hu-HU"/>
        </w:rPr>
        <w:t xml:space="preserve"> A regényt igazán korán, 1879-ben lefordították németre. Kíváncsivá tett, hogyan fordították akkor ezt az értelmezhetetlen szóösszetételt: „Es gab wohl Traditionen vom ’Wasserkobold’, von Riesen, die durch Abschälen der Rinde die Bäume verderben und mit der Kraft ihrer Hände Eisen zu kneten vermögen und von baumenlangen Pilinko; doch diese erhoben sich aus dem Märchenkreise der Volkssage zu den Höhen der Mythe.”</w:t>
      </w:r>
      <w:r w:rsidRPr="00FB4EFA">
        <w:rPr>
          <w:rFonts w:eastAsia="Times New Roman" w:cs="Charis SIL"/>
          <w:vertAlign w:val="superscript"/>
          <w:lang w:val="hu-HU" w:eastAsia="hu-HU"/>
        </w:rPr>
        <w:footnoteReference w:id="245"/>
      </w:r>
      <w:r w:rsidR="000121EA" w:rsidRPr="00FB4EFA">
        <w:rPr>
          <w:rFonts w:cs="Charis SIL"/>
          <w:lang w:val="hu-HU" w:eastAsia="hu-HU"/>
        </w:rPr>
        <w:t xml:space="preserve"> </w:t>
      </w:r>
      <w:r w:rsidRPr="00FB4EFA">
        <w:rPr>
          <w:rFonts w:cs="Charis SIL"/>
          <w:i/>
          <w:lang w:val="hu-HU" w:eastAsia="hu-HU"/>
        </w:rPr>
        <w:t>Wasserkobold</w:t>
      </w:r>
      <w:r w:rsidRPr="00FB4EFA">
        <w:rPr>
          <w:rFonts w:cs="Charis SIL"/>
          <w:lang w:val="hu-HU" w:eastAsia="hu-HU"/>
        </w:rPr>
        <w:t xml:space="preserve">, ilyen szó talán nincs is a németben, ugyanazt akarja jelenteni, mint a </w:t>
      </w:r>
      <w:r w:rsidRPr="00FB4EFA">
        <w:rPr>
          <w:rFonts w:cs="Charis SIL"/>
          <w:i/>
          <w:lang w:val="hu-HU" w:eastAsia="hu-HU"/>
        </w:rPr>
        <w:t>vízi hüvelvény/hüvelmény.</w:t>
      </w:r>
      <w:r w:rsidRPr="00FB4EFA">
        <w:rPr>
          <w:rFonts w:eastAsia="Times New Roman" w:cs="Charis SIL"/>
          <w:vertAlign w:val="superscript"/>
          <w:lang w:val="hu-HU" w:eastAsia="hu-HU"/>
        </w:rPr>
        <w:footnoteReference w:id="246"/>
      </w:r>
      <w:r w:rsidRPr="00FB4EFA">
        <w:rPr>
          <w:rFonts w:cs="Charis SIL"/>
          <w:lang w:val="hu-HU" w:eastAsia="hu-HU"/>
        </w:rPr>
        <w:t xml:space="preserve"> De nem sok sikerrel. Jókedvében még Babits Mihály is használta, szintén </w:t>
      </w:r>
      <w:r w:rsidRPr="00FB4EFA">
        <w:rPr>
          <w:rFonts w:cs="Charis SIL"/>
          <w:i/>
          <w:iCs/>
          <w:lang w:val="hu-HU" w:eastAsia="hu-HU"/>
        </w:rPr>
        <w:t>tündelevény</w:t>
      </w:r>
      <w:r w:rsidRPr="00FB4EFA">
        <w:rPr>
          <w:rFonts w:cs="Charis SIL"/>
          <w:lang w:val="hu-HU" w:eastAsia="hu-HU"/>
        </w:rPr>
        <w:t xml:space="preserve"> értelemben.</w:t>
      </w:r>
      <w:r w:rsidRPr="00FB4EFA">
        <w:rPr>
          <w:rFonts w:eastAsia="Times New Roman" w:cs="Charis SIL"/>
          <w:vertAlign w:val="superscript"/>
          <w:lang w:val="hu-HU" w:eastAsia="hu-HU"/>
        </w:rPr>
        <w:footnoteReference w:id="247"/>
      </w:r>
      <w:r w:rsidRPr="00FB4EFA">
        <w:rPr>
          <w:rFonts w:cs="Charis SIL"/>
          <w:lang w:val="hu-HU" w:eastAsia="hu-HU"/>
        </w:rPr>
        <w:t xml:space="preserve"> Jankovits Lászlónak, az antik irodalom kiváló tudósának nagyon megfontolandó szófejtése az, hogy a vízi </w:t>
      </w:r>
      <w:r w:rsidRPr="00FB4EFA">
        <w:rPr>
          <w:rFonts w:cs="Charis SIL"/>
          <w:i/>
          <w:lang w:val="hu-HU" w:eastAsia="hu-HU"/>
        </w:rPr>
        <w:t>hüvelvény/hüvelmény</w:t>
      </w:r>
      <w:r w:rsidRPr="00FB4EFA">
        <w:rPr>
          <w:rFonts w:cs="Charis SIL"/>
          <w:lang w:val="hu-HU" w:eastAsia="hu-HU"/>
        </w:rPr>
        <w:t xml:space="preserve"> jelentése ’vízkór’ vagy ’vízkóros ember. Fontos példákkal támasztja alá véleményét, nagyon tetszik az érvelése.</w:t>
      </w:r>
      <w:r w:rsidRPr="00FB4EFA">
        <w:rPr>
          <w:rFonts w:eastAsia="Times New Roman" w:cs="Charis SIL"/>
          <w:vertAlign w:val="superscript"/>
          <w:lang w:val="hu-HU" w:eastAsia="hu-HU"/>
        </w:rPr>
        <w:footnoteReference w:id="248"/>
      </w:r>
      <w:r w:rsidRPr="00FB4EFA">
        <w:rPr>
          <w:rFonts w:cs="Charis SIL"/>
          <w:lang w:val="hu-HU" w:eastAsia="hu-HU"/>
        </w:rPr>
        <w:t xml:space="preserve"> De továbbra is bizonytalan vagyok, és ugyanígy tetszene a szavak útvesztőjébe hátráló Rimay denotátum nélküli szóalkotása is. Nincs jelentése! És ez nagyon jelentős lépés lehetne a modern költészet absztrakt-fikciós területére.</w:t>
      </w:r>
      <w:r w:rsidRPr="00FB4EFA">
        <w:rPr>
          <w:rFonts w:eastAsia="Times New Roman" w:cs="Charis SIL"/>
          <w:vertAlign w:val="superscript"/>
          <w:lang w:val="hu-HU" w:eastAsia="hu-HU"/>
        </w:rPr>
        <w:footnoteReference w:id="249"/>
      </w:r>
    </w:p>
    <w:p w14:paraId="4F35CC73" w14:textId="77777777" w:rsidR="00A96E85" w:rsidRPr="00FB4EFA" w:rsidRDefault="00A96E85" w:rsidP="00402EF4">
      <w:pPr>
        <w:spacing w:after="160"/>
        <w:jc w:val="center"/>
        <w:rPr>
          <w:smallCaps/>
          <w:sz w:val="48"/>
          <w:szCs w:val="48"/>
          <w:lang w:val="hu-HU"/>
        </w:rPr>
        <w:sectPr w:rsidR="00A96E85" w:rsidRPr="00FB4EFA">
          <w:headerReference w:type="even" r:id="rId493"/>
          <w:headerReference w:type="default" r:id="rId494"/>
          <w:headerReference w:type="first" r:id="rId495"/>
          <w:footnotePr>
            <w:numRestart w:val="eachSect"/>
          </w:footnotePr>
          <w:pgSz w:w="9180" w:h="13302"/>
          <w:pgMar w:top="779" w:right="1133" w:bottom="1132" w:left="1133" w:header="744" w:footer="720" w:gutter="0"/>
          <w:cols w:space="720"/>
          <w:titlePg/>
        </w:sectPr>
      </w:pPr>
    </w:p>
    <w:p w14:paraId="2127268E" w14:textId="14A2ED4C" w:rsidR="0051657A" w:rsidRPr="00FB4EFA" w:rsidRDefault="0051657A" w:rsidP="00AF0CAD">
      <w:pPr>
        <w:pStyle w:val="Authors"/>
        <w:spacing w:line="259" w:lineRule="auto"/>
        <w:rPr>
          <w:color w:val="auto"/>
          <w:lang w:val="hu-HU"/>
        </w:rPr>
      </w:pPr>
      <w:r w:rsidRPr="00FB4EFA">
        <w:rPr>
          <w:color w:val="auto"/>
          <w:lang w:val="hu-HU"/>
        </w:rPr>
        <w:lastRenderedPageBreak/>
        <w:t>Brigitta Pesti</w:t>
      </w:r>
    </w:p>
    <w:p w14:paraId="75FEEC80" w14:textId="77777777" w:rsidR="0051657A" w:rsidRPr="00FB4EFA" w:rsidRDefault="0051657A" w:rsidP="00402EF4">
      <w:pPr>
        <w:rPr>
          <w:lang w:val="hu-HU"/>
        </w:rPr>
      </w:pPr>
    </w:p>
    <w:p w14:paraId="4FC3DF50" w14:textId="10AA6063" w:rsidR="0051657A" w:rsidRPr="00FB4EFA" w:rsidRDefault="0051657A" w:rsidP="00994E2A">
      <w:pPr>
        <w:pStyle w:val="Heading1"/>
        <w:suppressAutoHyphens/>
        <w:spacing w:line="259" w:lineRule="auto"/>
        <w:rPr>
          <w:color w:val="auto"/>
          <w:lang w:val="de-AT"/>
        </w:rPr>
      </w:pPr>
      <w:bookmarkStart w:id="141" w:name="_Ref90999727"/>
      <w:r w:rsidRPr="00FB4EFA">
        <w:rPr>
          <w:color w:val="auto"/>
          <w:lang w:val="de-AT"/>
        </w:rPr>
        <w:t>Konfessionsübergreifende Gönnerschaften von Frauen in Ungarn in der frühen Neuzeit</w:t>
      </w:r>
      <w:bookmarkEnd w:id="141"/>
    </w:p>
    <w:p w14:paraId="02AA9DBF" w14:textId="77777777" w:rsidR="002E0CC6" w:rsidRPr="00FB4EFA" w:rsidRDefault="002E0CC6" w:rsidP="00545033">
      <w:pPr>
        <w:pStyle w:val="Heading2"/>
        <w:suppressAutoHyphens/>
        <w:spacing w:line="259" w:lineRule="auto"/>
        <w:rPr>
          <w:color w:val="auto"/>
          <w:lang w:val="de-AT"/>
        </w:rPr>
      </w:pPr>
      <w:r w:rsidRPr="00FB4EFA">
        <w:rPr>
          <w:color w:val="auto"/>
          <w:lang w:val="de-AT"/>
        </w:rPr>
        <w:t>Einführung</w:t>
      </w:r>
    </w:p>
    <w:p w14:paraId="70946B74" w14:textId="77777777" w:rsidR="00327DF7" w:rsidRPr="00FB4EFA" w:rsidRDefault="00327DF7" w:rsidP="00327DF7">
      <w:r w:rsidRPr="00FB4EFA">
        <w:t>Das 17. Jahrhundert brachte eine grundlegende Veränderung in der ungarischen Kulturgeschichte mit sich: Frauen bekamen eine immer größere Rolle in der öffentlichen Repräsentation, im (lokalen) Kultur- und Religionsleben oder in der Politik. Die wichtigsten Figuren des weiblichen Kulturlebens – wie Zsuzsanna Lor</w:t>
      </w:r>
      <w:r w:rsidRPr="00FB4EFA">
        <w:rPr>
          <w:rFonts w:cs="Baskerville Old Face"/>
        </w:rPr>
        <w:t>á</w:t>
      </w:r>
      <w:r w:rsidRPr="00FB4EFA">
        <w:t>ntffy, Ilona Zr</w:t>
      </w:r>
      <w:r w:rsidRPr="00FB4EFA">
        <w:rPr>
          <w:rFonts w:cs="Baskerville Old Face"/>
        </w:rPr>
        <w:t>í</w:t>
      </w:r>
      <w:r w:rsidRPr="00FB4EFA">
        <w:t>nyi, Anna Bornemisza, Anna L</w:t>
      </w:r>
      <w:r w:rsidRPr="00FB4EFA">
        <w:rPr>
          <w:rFonts w:cs="Baskerville Old Face"/>
        </w:rPr>
        <w:t>ó</w:t>
      </w:r>
      <w:r w:rsidRPr="00FB4EFA">
        <w:t>nyay oder Mária Sz</w:t>
      </w:r>
      <w:r w:rsidRPr="00FB4EFA">
        <w:rPr>
          <w:rFonts w:cs="Baskerville Old Face"/>
        </w:rPr>
        <w:t>é</w:t>
      </w:r>
      <w:r w:rsidRPr="00FB4EFA">
        <w:t>chy, um nur die bekanntesten zu erwähnen – waren zum Teil gut gebildete adelige Frauen aus Siebenbürgen und dem Königreich, die geübte Briefschreiberinnen waren, als großzügige kulturelle und religiöse Patroninnen auftraten, eine breite Sammlungstätigkeit ausübten und die wichtigsten internationalen kulturellen Trends kannten und verfolgten.</w:t>
      </w:r>
    </w:p>
    <w:p w14:paraId="08EB2D57" w14:textId="77777777" w:rsidR="00327DF7" w:rsidRPr="00FB4EFA" w:rsidRDefault="00327DF7" w:rsidP="00327DF7">
      <w:pPr>
        <w:ind w:firstLine="709"/>
      </w:pPr>
      <w:r w:rsidRPr="00FB4EFA">
        <w:t>Ihr Auftritt kann als eine frühe emanzipatorische Welle interpretiert werden und hatte mehrere Gründe, wobei der Reformation dabei besonders große Bedeutung zukam, zumal die weiblichen Rollen sich durch die direkten und indirekten Auswirkungen der religiösen Strömung veränderten. Einerseits brachte die Reformation die Selbstverständlichkeit der weiblichen Bildung mit sich: Die lesende und lernende Frau, die sich mit der Bibel und den Grundfragen der Religion auskannte, wurde nicht nur zur Erwartung, sondern immer mehr zu einer Evidenz. Andererseits bekamen die protestantischen Frauen mit der Reformation erstmals die Möglichkeit, sich scheiden zu lassen, was auch zu einer wachsenden Selbstständigkeit führte. Die historischen Umstände trugen zu dieser Entwicklung ebenso bei: In der Zeit der langanhaltenden Kriege und Feldzüge mussten die adeligen Frauen die Leitung der Hofhaltung übernehmen und waren somit oft in kulturelle, bildungstechnische, religiöse, wirtschaftliche oder politische Fragen involviert.</w:t>
      </w:r>
      <w:r w:rsidRPr="00FB4EFA">
        <w:rPr>
          <w:szCs w:val="24"/>
          <w:vertAlign w:val="superscript"/>
        </w:rPr>
        <w:footnoteReference w:id="250"/>
      </w:r>
    </w:p>
    <w:p w14:paraId="4137212C" w14:textId="77777777" w:rsidR="00327DF7" w:rsidRPr="00FB4EFA" w:rsidRDefault="00327DF7" w:rsidP="00327DF7">
      <w:pPr>
        <w:pStyle w:val="Heading2"/>
        <w:suppressAutoHyphens/>
        <w:spacing w:line="259" w:lineRule="auto"/>
        <w:rPr>
          <w:color w:val="auto"/>
          <w:lang w:val="de-AT"/>
        </w:rPr>
      </w:pPr>
      <w:r w:rsidRPr="00FB4EFA">
        <w:rPr>
          <w:color w:val="auto"/>
          <w:lang w:val="de-AT"/>
        </w:rPr>
        <w:lastRenderedPageBreak/>
        <w:t>Frauen als Gönnerinnen der Kultur</w:t>
      </w:r>
    </w:p>
    <w:p w14:paraId="7B006228" w14:textId="77777777" w:rsidR="00327DF7" w:rsidRPr="00FB4EFA" w:rsidRDefault="00327DF7" w:rsidP="00327DF7">
      <w:r w:rsidRPr="00FB4EFA">
        <w:t>Die Untersuchung der ersten 70 Jahre der ungarischen Druckgeschichte</w:t>
      </w:r>
      <w:r w:rsidRPr="00FB4EFA">
        <w:rPr>
          <w:szCs w:val="24"/>
          <w:vertAlign w:val="superscript"/>
        </w:rPr>
        <w:footnoteReference w:id="251"/>
      </w:r>
      <w:r w:rsidRPr="00FB4EFA">
        <w:t xml:space="preserve"> zeigt deutlich, dass Frauen auch auf dem Buchmarkt, vor allem bei der Herausgabe der landessprachigen erbaulichen Literatur, im 17. Jahrhundert eine außerordentlich große Rolle spielten. Die hohe Anzahl der weiblichen Adressatinnen, die in den Vorwörtern und Dedikationen angesprochen wurden, die verwendeten Lob-Topoi und die benannten Gründe der Buchwidmungen zeugen einerseits von der deutlichen Präsenz einer weiblichen Leserschicht in Ungarn, andererseits auch von einer relativ breiten Schicht der Frauen, die dazu motiviert werden konnte oder sogar selbst davon überzeugt war, außer der Kirche auch Kunst, Kultur und Literatur zu unterstützen.</w:t>
      </w:r>
    </w:p>
    <w:p w14:paraId="58C29C2E" w14:textId="77777777" w:rsidR="00327DF7" w:rsidRPr="00FB4EFA" w:rsidRDefault="00327DF7" w:rsidP="00327DF7">
      <w:pPr>
        <w:ind w:firstLine="709"/>
      </w:pPr>
      <w:r w:rsidRPr="00FB4EFA">
        <w:t>Dieses Phänomen ist vor allem auf dem Gebiet der ungarischsprachigen erbaulichen Literatur bezeichnend: In der Zeit zwischen 1600 und 1655 waren fast 90 Prozent der aus Dedikationen bekannten weiblichen Gönnerschaften aus diesem Bereich – insgesamt 61 Patroninnen und 41 patronierte erbauliche Werke</w:t>
      </w:r>
      <w:r w:rsidRPr="00FB4EFA">
        <w:rPr>
          <w:szCs w:val="24"/>
          <w:vertAlign w:val="superscript"/>
        </w:rPr>
        <w:footnoteReference w:id="252"/>
      </w:r>
      <w:r w:rsidRPr="00FB4EFA">
        <w:t xml:space="preserve">. Die hauptsächlich volkssprachige Gattungsgruppe der Gebets-, Gesang- und Andachtsbücher, Postillen und Prädikationen stellte die Anrede der einzelnen Gläubigen – sowohl der Frauen als auch der Männer – in den Mittelpunkt. Die Erbauungsliteratur war somit die erste und in Ungarn für lange Zeit einzige Literatur, die bewusst auch Frauen und Mädchen als Lesepublikum ansprechen wollte. </w:t>
      </w:r>
      <w:r w:rsidRPr="00FB4EFA">
        <w:lastRenderedPageBreak/>
        <w:t>Die intensive und regelmäßige Lektüre religiöser Texte gehörte nunmehr zur täglichen religiösen Praxis der Frauen, was im 17. Jahrhundert in Ungarn durch die Unterstützung der Fertigstellung und Herausgabe von explizit ungarischsprachigen Werken ergänzt wurde.</w:t>
      </w:r>
    </w:p>
    <w:p w14:paraId="3CEE7018" w14:textId="77777777" w:rsidR="00327DF7" w:rsidRPr="00FB4EFA" w:rsidRDefault="00327DF7" w:rsidP="00327DF7">
      <w:pPr>
        <w:ind w:firstLine="709"/>
      </w:pPr>
      <w:r w:rsidRPr="00FB4EFA">
        <w:t>Von dieser Erkenntnis ausgehend beschäftigt sich mein Beitrag mit den konfessionellen Aspekten der weiblichen Gönnerschaft in Ungarn und stellt sich die Frage: Welche Rolle spielte die Religion bei der Entstehung der weiblichen Fördertraditionen in der ungarischen Literaturgeschichte?</w:t>
      </w:r>
    </w:p>
    <w:p w14:paraId="224F2B54" w14:textId="77777777" w:rsidR="00327DF7" w:rsidRPr="00FB4EFA" w:rsidRDefault="00327DF7" w:rsidP="00327DF7">
      <w:pPr>
        <w:pStyle w:val="Heading2"/>
        <w:suppressAutoHyphens/>
        <w:spacing w:line="259" w:lineRule="auto"/>
        <w:rPr>
          <w:color w:val="auto"/>
          <w:lang w:val="de-AT"/>
        </w:rPr>
      </w:pPr>
      <w:r w:rsidRPr="00FB4EFA">
        <w:rPr>
          <w:color w:val="auto"/>
          <w:lang w:val="de-AT"/>
        </w:rPr>
        <w:t>Konfessionelle Besonderheiten in der Patronage</w:t>
      </w:r>
    </w:p>
    <w:p w14:paraId="523DEA7D" w14:textId="77777777" w:rsidR="00327DF7" w:rsidRPr="00FB4EFA" w:rsidRDefault="00327DF7" w:rsidP="00327DF7">
      <w:pPr>
        <w:suppressAutoHyphens/>
        <w:rPr>
          <w:szCs w:val="24"/>
        </w:rPr>
      </w:pPr>
      <w:r w:rsidRPr="00FB4EFA">
        <w:t>Im 17. Jahrhundert schien sich in Ungarn die frühere säkulare Tendenz der Buchausgabe zu verändern: Die religiöse Literatur bekam auf dem Buchmarkt eine fast ausschließliche Dominanz. Während in manchen Bereichen, wie der Belletristik oder den Wissenschaften, die Zahl der Veröffentlichungen bis Mitte des Jahrhunderts stark zurückgingen, flossen anderswo neue geistliche und kulturelle Bestrebungen, politische und philosophische Ideen sowie religiöse Strömungen ein – ein intellektueller Aufschwung kann in allen Konfessionen beobachtet werden.</w:t>
      </w:r>
      <w:r w:rsidRPr="00FB4EFA">
        <w:rPr>
          <w:szCs w:val="24"/>
          <w:vertAlign w:val="superscript"/>
        </w:rPr>
        <w:footnoteReference w:id="253"/>
      </w:r>
      <w:r w:rsidRPr="00FB4EFA">
        <w:t xml:space="preserve"> Diese „Blütezeit“ der kirchlichen, insbesondere der Frömmigkeitsliteratur ging allerdings nicht mit einer Stärkung der individuellen oder institutionellen </w:t>
      </w:r>
      <w:r w:rsidRPr="00FB4EFA">
        <w:rPr>
          <w:i/>
        </w:rPr>
        <w:t>kirchlichen</w:t>
      </w:r>
      <w:r w:rsidRPr="00FB4EFA">
        <w:t xml:space="preserve"> Förderung der Druckproduktion einher. Im ungarischen Mäzenatentum des 17. Jahrhunderts fehlten die verschiedenen kirchlichen Schulen, Städte oder Gemeinden, die in der westeuropäischen Praxis den sich um sie herum organisierenden, lokal vernetzten Schriftstellern eine Existenzgrundlage boten und die Herausgabe ihrer Publikationen unterstützten, fast vollständig. In Ungarn war in allen Konfessionen die private, individuelle Schirmherrschaft bezeichnend.</w:t>
      </w:r>
    </w:p>
    <w:p w14:paraId="2C59A75C" w14:textId="3A136837" w:rsidR="00327DF7" w:rsidRPr="00FB4EFA" w:rsidRDefault="00327DF7" w:rsidP="00327DF7">
      <w:pPr>
        <w:ind w:firstLine="709"/>
      </w:pPr>
      <w:r w:rsidRPr="00FB4EFA">
        <w:t>Beachten wir nun die konfessionellen Merkmale der ungarischen Druckproduktion und deren Förderschaft im 17. Jahrhundert, finden wir interessante Phänomene. Obwohl die Anzahl der ungarisc</w:t>
      </w:r>
      <w:bookmarkStart w:id="142" w:name="_Hlk104306203"/>
      <w:r w:rsidRPr="00FB4EFA">
        <w:t>hs</w:t>
      </w:r>
      <w:bookmarkEnd w:id="142"/>
      <w:r w:rsidRPr="00FB4EFA">
        <w:t xml:space="preserve">prachigen katholischen und reformierten erbaulichen Bücher ebenso bei etwa </w:t>
      </w:r>
      <w:r w:rsidRPr="00FB4EFA">
        <w:lastRenderedPageBreak/>
        <w:t>40</w:t>
      </w:r>
      <w:r w:rsidR="00861E22">
        <w:t> </w:t>
      </w:r>
      <w:r w:rsidRPr="00FB4EFA">
        <w:t>%</w:t>
      </w:r>
      <w:r w:rsidR="00861E22">
        <w:t> </w:t>
      </w:r>
      <w:r w:rsidRPr="00FB4EFA">
        <w:t>–</w:t>
      </w:r>
      <w:r w:rsidR="00861E22">
        <w:t> </w:t>
      </w:r>
      <w:r w:rsidRPr="00FB4EFA">
        <w:t>40 % liegt</w:t>
      </w:r>
      <w:r w:rsidRPr="00FB4EFA">
        <w:rPr>
          <w:rFonts w:cs="Charis SIL"/>
          <w:vertAlign w:val="superscript"/>
        </w:rPr>
        <w:footnoteReference w:id="254"/>
      </w:r>
      <w:r w:rsidRPr="00FB4EFA">
        <w:t>, zeigt die Förderwilligkeit in den verschiedenen Gesellschaftsgruppen der unterschiedlichen Konfessionen sehr große Diskrepanzen.</w:t>
      </w:r>
    </w:p>
    <w:p w14:paraId="0676481F" w14:textId="77777777" w:rsidR="00327DF7" w:rsidRPr="00FB4EFA" w:rsidRDefault="00327DF7" w:rsidP="00327DF7">
      <w:pPr>
        <w:ind w:firstLine="709"/>
      </w:pPr>
      <w:r w:rsidRPr="00FB4EFA">
        <w:t>Die Praxis der Patronage war bei den Reformierten in allen gesellschaftlichen Schichten bezeichnend. Die siebenbürgischen Fürsten, die traditionell dem reformierten Glauben angehörten, übten zumeist eine rege Patronage in allen Bereichen des kulturellen und religiösen Lebens aus, sie unterstützen die reformierte Kirche, die lokalen Schulen, die religiöse und weltliche Druckproduktion sowie die Autoren sowohl in individueller als auch in regelmäßiger, sogenannter häuslicher Form der Patronage.</w:t>
      </w:r>
      <w:r w:rsidRPr="00FB4EFA">
        <w:rPr>
          <w:szCs w:val="24"/>
          <w:vertAlign w:val="superscript"/>
        </w:rPr>
        <w:footnoteReference w:id="255"/>
      </w:r>
      <w:r w:rsidRPr="00FB4EFA">
        <w:t xml:space="preserve"> Die breite Patronage der Herrscherfamilien wie der Familie Bethlen</w:t>
      </w:r>
      <w:r w:rsidRPr="00FB4EFA">
        <w:rPr>
          <w:szCs w:val="24"/>
          <w:vertAlign w:val="superscript"/>
        </w:rPr>
        <w:footnoteReference w:id="256"/>
      </w:r>
      <w:r w:rsidRPr="00FB4EFA">
        <w:t xml:space="preserve"> sowie der Familie Rákóczi</w:t>
      </w:r>
      <w:r w:rsidRPr="00FB4EFA">
        <w:rPr>
          <w:szCs w:val="24"/>
          <w:vertAlign w:val="superscript"/>
        </w:rPr>
        <w:footnoteReference w:id="257"/>
      </w:r>
      <w:r w:rsidRPr="00FB4EFA">
        <w:t xml:space="preserve"> – um nur die wichtigsten Beispiele zu nennen – ist in der ungarischen Fachliteratur schon länger bekannt.</w:t>
      </w:r>
      <w:r w:rsidRPr="00FB4EFA">
        <w:rPr>
          <w:szCs w:val="24"/>
          <w:vertAlign w:val="superscript"/>
        </w:rPr>
        <w:footnoteReference w:id="258"/>
      </w:r>
    </w:p>
    <w:p w14:paraId="02B97C9F" w14:textId="77777777" w:rsidR="00327DF7" w:rsidRPr="00FB4EFA" w:rsidRDefault="00327DF7" w:rsidP="00327DF7">
      <w:pPr>
        <w:ind w:firstLine="709"/>
      </w:pPr>
      <w:r w:rsidRPr="00FB4EFA">
        <w:t>Im Bereich des Hochadels waren alle Konfessionen vertreten, ihm gehörte die bedeutendste Gruppe der Patrone an, deren Unterstützung von insgesamt 94 ungarischsprachigen Veröffentlichungen etwa die Hälfte des gesamten Mäzenatennetzwerks ausmachte. In dieser Gruppe waren schon die wichtigsten Unterschiede in der Fördertätigkeit der reformierten und katholischen Patrone bemerkbar. Bei den reformierten Drucken finden wir viele einzelne Förderschaften, die Unterstützung beschränkte sich meistens auf ein bis gelegentlich zwei Werke. Im Falle der katholischen ebenso wie der evangelischen Veröffentlichungen vereinte sich hingegen die gesamte Druckproduktion in der Gruppe einiger her</w:t>
      </w:r>
      <w:r w:rsidRPr="00FB4EFA">
        <w:lastRenderedPageBreak/>
        <w:t>ausragender Persönlichkeiten. Miklós Esterházy, Ádám Batthyány, György Drugeth Homonnai sowie Zsigmond Forgách führten mit je 4 bis 8 finanzierten Werken eine breite Patronagetätigkeit aus und deckten somit die gesamte adelige katholische Patronage in Ungarn ab,</w:t>
      </w:r>
      <w:r w:rsidRPr="00FB4EFA">
        <w:rPr>
          <w:szCs w:val="24"/>
        </w:rPr>
        <w:t xml:space="preserve"> </w:t>
      </w:r>
      <w:r w:rsidRPr="00FB4EFA">
        <w:t>ebenso wie im Falle der Lutheraner die Familie Nádasdy (Pál, Tamás und Ferenc Nádasdy II).</w:t>
      </w:r>
      <w:r w:rsidRPr="00FB4EFA">
        <w:rPr>
          <w:szCs w:val="24"/>
          <w:vertAlign w:val="superscript"/>
        </w:rPr>
        <w:footnoteReference w:id="259"/>
      </w:r>
    </w:p>
    <w:p w14:paraId="20EE8B72" w14:textId="77777777" w:rsidR="00327DF7" w:rsidRPr="00FB4EFA" w:rsidRDefault="00327DF7" w:rsidP="00327DF7">
      <w:pPr>
        <w:ind w:firstLine="709"/>
        <w:rPr>
          <w:rFonts w:cs="Times New Roman"/>
          <w:szCs w:val="24"/>
        </w:rPr>
      </w:pPr>
      <w:r w:rsidRPr="00FB4EFA">
        <w:rPr>
          <w:szCs w:val="24"/>
        </w:rPr>
        <w:t xml:space="preserve">Im Gegensatz zum konfessionell überwiegend ausgewogenen aristokratischen Mäzenatentum trat in der Kategorie des mittleren und kleinen Adels und des Bürgertums bereits eine starke Akzentverschiebung auf: 70 % der gesamten mittel- und kleinadeligen bzw. bürgerlichen Literaturförderung wurde für die Herausgabe reformierter Drucke aufgewendet, weitere 20 % für die evangelischen und nur ca. 10 % für die katholischen. Besonders auffallend ist der Unterschied im Fall der männlichen Patrone, zumal wir neben 48 reformierten nur 8 evangelische und lediglich 3 katholische Patrone finden. Während sich </w:t>
      </w:r>
      <w:r w:rsidRPr="00FB4EFA">
        <w:rPr>
          <w:rFonts w:cs="Times New Roman"/>
          <w:szCs w:val="24"/>
        </w:rPr>
        <w:t xml:space="preserve">in der höheren Mittelschicht also alle Konfessionen wiederfanden, konnten aus den </w:t>
      </w:r>
      <w:r w:rsidRPr="00FB4EFA">
        <w:rPr>
          <w:szCs w:val="24"/>
        </w:rPr>
        <w:t>höchsten</w:t>
      </w:r>
      <w:r w:rsidRPr="00FB4EFA">
        <w:rPr>
          <w:rFonts w:cs="Times New Roman"/>
          <w:szCs w:val="24"/>
        </w:rPr>
        <w:t xml:space="preserve"> und besonders den niedrigsten gesellschaftlichen Schichten fast ausschließlich nur die Reformierten zur literarischen Patronage bewegt werden.</w:t>
      </w:r>
    </w:p>
    <w:p w14:paraId="7A686A48" w14:textId="77777777" w:rsidR="00327DF7" w:rsidRPr="00FB4EFA" w:rsidRDefault="00327DF7" w:rsidP="00327DF7">
      <w:pPr>
        <w:pStyle w:val="Heading2"/>
        <w:suppressAutoHyphens/>
        <w:spacing w:line="259" w:lineRule="auto"/>
        <w:rPr>
          <w:color w:val="auto"/>
          <w:lang w:val="de-AT"/>
        </w:rPr>
      </w:pPr>
      <w:r w:rsidRPr="00FB4EFA">
        <w:rPr>
          <w:color w:val="auto"/>
          <w:lang w:val="de-AT"/>
        </w:rPr>
        <w:t>Die Praxis der Patronage bei den Frauen</w:t>
      </w:r>
    </w:p>
    <w:p w14:paraId="12C24325" w14:textId="77777777" w:rsidR="00327DF7" w:rsidRPr="00FB4EFA" w:rsidRDefault="00327DF7" w:rsidP="00327DF7">
      <w:pPr>
        <w:suppressAutoHyphens/>
      </w:pPr>
      <w:r w:rsidRPr="00FB4EFA">
        <w:t xml:space="preserve">Basierend auf dem Essay von Alice Rossi über historische Fragen der sozialen Gleichheit fasst Natalie Zemon Davis in ihrer Studie </w:t>
      </w:r>
      <w:r w:rsidRPr="00FB4EFA">
        <w:rPr>
          <w:i/>
        </w:rPr>
        <w:t>City Women and Religious Change</w:t>
      </w:r>
      <w:r w:rsidRPr="00FB4EFA">
        <w:t xml:space="preserve"> über die weiblichen Rollen in Gesellschaft und Kultur des frühneuzeitlichen Frankreichs die Frage nach der konfessionellen Praxis bei der Entstehung der gesellschaftlichen Gleichheit folgendermaßen zusammen:</w:t>
      </w:r>
    </w:p>
    <w:p w14:paraId="4196A700" w14:textId="77777777" w:rsidR="00327DF7" w:rsidRPr="00FB4EFA" w:rsidRDefault="00327DF7" w:rsidP="00327DF7">
      <w:pPr>
        <w:suppressAutoHyphens/>
        <w:spacing w:before="240" w:after="240" w:line="240" w:lineRule="auto"/>
        <w:ind w:left="709"/>
        <w:rPr>
          <w:sz w:val="20"/>
        </w:rPr>
      </w:pPr>
      <w:r w:rsidRPr="00FB4EFA">
        <w:rPr>
          <w:sz w:val="20"/>
          <w:lang w:val="en-AU"/>
        </w:rPr>
        <w:t xml:space="preserve">„In an interesting essay, Alice Rossi suggests three models for talking about equality. One is assimilationist: the subordinate group is somewhat raised by making it like the superior group. A second is a pluralistic: each group is allowed to keep its distinctive characteristics but within a context of society at large that is still hierarchical. The third is hybrid (or, better, transformational), involving changes within and </w:t>
      </w:r>
      <w:r w:rsidRPr="00FB4EFA">
        <w:rPr>
          <w:sz w:val="20"/>
          <w:lang w:val="en-AU"/>
        </w:rPr>
        <w:lastRenderedPageBreak/>
        <w:t>among all groups involved.</w:t>
      </w:r>
      <w:r w:rsidRPr="00FB4EFA">
        <w:rPr>
          <w:sz w:val="20"/>
          <w:vertAlign w:val="superscript"/>
        </w:rPr>
        <w:footnoteReference w:id="260"/>
      </w:r>
      <w:r w:rsidRPr="00FB4EFA">
        <w:rPr>
          <w:sz w:val="20"/>
          <w:lang w:val="en-AU"/>
        </w:rPr>
        <w:t xml:space="preserve"> Whatever transformations in social relations were accomplished by either the Reformation or the Counter-Reformation, it seems that as far as relations between the sexes go the Reformed solution was assimilationist; the Catholic solution, with its female saints and convents, was pluralistic. </w:t>
      </w:r>
      <w:r w:rsidRPr="00FB4EFA">
        <w:rPr>
          <w:sz w:val="20"/>
        </w:rPr>
        <w:t>Neither, of course, eliminated the subject status of women.“</w:t>
      </w:r>
      <w:r w:rsidRPr="00FB4EFA">
        <w:rPr>
          <w:sz w:val="20"/>
          <w:vertAlign w:val="superscript"/>
        </w:rPr>
        <w:footnoteReference w:id="261"/>
      </w:r>
    </w:p>
    <w:p w14:paraId="4B918C8E" w14:textId="77777777" w:rsidR="00327DF7" w:rsidRPr="00FB4EFA" w:rsidRDefault="00327DF7" w:rsidP="00327DF7">
      <w:pPr>
        <w:suppressAutoHyphens/>
      </w:pPr>
      <w:r w:rsidRPr="00FB4EFA">
        <w:t xml:space="preserve">Davis betont, und damit stimmt sie mit den Feststellungen der literaturhistorischen Forschung überein, dass der Protestantismus für die Frauen neue Möglichkeiten und eine erweiterte Selbstständigkeit mit sich brachte. Die weibliche Leserschaft wurde nämlich zuerst von den Reformatoren wahrgenommen. Die Lesefähigkeit der Frau hat dadurch eine besondere Bedeutung bekommen, dass sie </w:t>
      </w:r>
      <w:r w:rsidRPr="00FB4EFA">
        <w:rPr>
          <w:i/>
          <w:iCs/>
        </w:rPr>
        <w:t>allen</w:t>
      </w:r>
      <w:r w:rsidRPr="00FB4EFA">
        <w:t xml:space="preserve"> erlaubte, die Bibel und weitere erbauliche Texte selbst zu konsumieren. Das Ideal der gelehrten, lesenden Frau, das auch von Luther hervorgehoben wurde, verbreitete sich dadurch bereits im 16. Jahrhundert.</w:t>
      </w:r>
    </w:p>
    <w:p w14:paraId="29CA1075" w14:textId="77777777" w:rsidR="00327DF7" w:rsidRPr="00FB4EFA" w:rsidRDefault="00327DF7" w:rsidP="00327DF7">
      <w:pPr>
        <w:ind w:firstLine="709"/>
      </w:pPr>
      <w:r w:rsidRPr="00FB4EFA">
        <w:t>In dieser Zeit, also gleich am Beginn der Buchproduktion, traten bereits die ersten weiblichen Förderinnen in Ungarn auf, wobei ihre Anzahl sich mit der Verbreitung der ungarischsprachigen erbaulichen Lektüre stark erhöhte. Die Teilnahme der Frauen an der hochadeligen Patronagetätigkeit lag bei etwa 40–50 %. Dieser Anteil wurde zwar bei den niedrigeren gesellschaftlichen Gruppen immer kleiner, es fanden sich allerdings auch unter den bürgerlichen Frauen einige Patroninnen.</w:t>
      </w:r>
    </w:p>
    <w:p w14:paraId="47E62F6C" w14:textId="77777777" w:rsidR="00327DF7" w:rsidRPr="00FB4EFA" w:rsidRDefault="00327DF7" w:rsidP="00327DF7">
      <w:pPr>
        <w:rPr>
          <w:szCs w:val="24"/>
        </w:rPr>
      </w:pPr>
      <w:r w:rsidRPr="00FB4EFA">
        <w:rPr>
          <w:szCs w:val="24"/>
        </w:rPr>
        <w:t>Die oben beschriebenen konfessionellen Fördermerkmale lassen sich interessanterweise in der Gruppe der Frauen nicht feststellen: Es bestand keine dominante Mehrzahl der geförderten reformierten Drucke, wie es bei den männlichen Patronen der Fall war. In allen gesellschaftlichen und religiösen Gruppen der Patroninnen finden wir 7–8 Frauen mit durchschnittlich 1–2 geförderten Drucken. Die bisherigen Untersuchungen deuten also darauf hin, dass der Wille zur Förderung der ungarisc</w:t>
      </w:r>
      <w:r w:rsidRPr="00FB4EFA">
        <w:t>hs</w:t>
      </w:r>
      <w:r w:rsidRPr="00FB4EFA">
        <w:rPr>
          <w:szCs w:val="24"/>
        </w:rPr>
        <w:t xml:space="preserve">prachigen Literatur bei den Frauen keine Besonderheit einer spezifischen Konfession war – weder bei den Adeligen noch im Bürgertum. Die Praxis der weiblichen Patronage war auf dem Gebiet der erbaulichen Literatur </w:t>
      </w:r>
      <w:r w:rsidRPr="00FB4EFA">
        <w:rPr>
          <w:szCs w:val="24"/>
        </w:rPr>
        <w:lastRenderedPageBreak/>
        <w:t>in allen gesellschaftlichen Schichten und in allen Konfessionen in etwa gleich verbreitet.</w:t>
      </w:r>
    </w:p>
    <w:p w14:paraId="64B610AF" w14:textId="77777777" w:rsidR="00327DF7" w:rsidRPr="00FB4EFA" w:rsidRDefault="00327DF7" w:rsidP="00327DF7">
      <w:pPr>
        <w:ind w:firstLine="709"/>
      </w:pPr>
      <w:r w:rsidRPr="00FB4EFA">
        <w:t>Gleichzeitig verstärkte sich in allen Konfessionen das Phänomen, dass Mäzeninnen nur eine oder höchstens zwei Publikationen unterstützten. Es gab immer weniger Patroninnen mit einem breiten und festen Kreis von Protegés. Insbesondere bei kleinadeligen und bürgerlichen Frauen kam es mit der Zeit häufiger vor, dass sie für die Förderung eines einzelnen Werkes in kleineren Gruppen (von 2 bis 4 Frauen) zusammenarbeiteten. Solche Patroninnenkreise, über die wir bisher leider kaum etwas wissen, konnten wahrscheinlich die Rolle des in Ungarn zu jener Zeit kaum existierenden lokalen städtischen Mäzenatentums übernehmen.</w:t>
      </w:r>
    </w:p>
    <w:p w14:paraId="37AAEA3C" w14:textId="77777777" w:rsidR="00327DF7" w:rsidRPr="00FB4EFA" w:rsidRDefault="00327DF7" w:rsidP="00327DF7">
      <w:pPr>
        <w:ind w:firstLine="709"/>
      </w:pPr>
      <w:r w:rsidRPr="00FB4EFA">
        <w:t>Neben diesen kleineren, oft nur gelegentlichen Patronagen traten aber einige Mäzeninnen auf, die eine vielseitige und großzügige Patronagetätigkeit ausübten.</w:t>
      </w:r>
    </w:p>
    <w:p w14:paraId="32E8BF6A" w14:textId="77777777" w:rsidR="00327DF7" w:rsidRPr="00FB4EFA" w:rsidRDefault="00327DF7" w:rsidP="00327DF7">
      <w:pPr>
        <w:spacing w:after="240"/>
        <w:rPr>
          <w:szCs w:val="24"/>
        </w:rPr>
      </w:pPr>
      <w:r w:rsidRPr="00FB4EFA">
        <w:rPr>
          <w:szCs w:val="24"/>
        </w:rPr>
        <w:t>Die wichtigsten Patroninnen mit einem festen Förderkreis waren die Frauen oder Witwen der jeweiligen Siebenbürgischen Fürsten oder hochadelige Damen: Zsuzsanna Károlyi, die erste Frau von Gábor Bethlen (Fürst von Siebenbürgen, 1613–1629), Zsuzsanna Lorántffy, die Frau von György Rákóczi I. (Fürst von Siebenbürgen, 1630–1648)</w:t>
      </w:r>
      <w:r w:rsidRPr="00FB4EFA">
        <w:rPr>
          <w:szCs w:val="24"/>
          <w:vertAlign w:val="superscript"/>
        </w:rPr>
        <w:footnoteReference w:id="262"/>
      </w:r>
      <w:r w:rsidRPr="00FB4EFA">
        <w:rPr>
          <w:szCs w:val="24"/>
        </w:rPr>
        <w:t>, Zsófia Báthory, die Frau von György Rákóczi II. (Fürst von Siebenbürgen, 1648–1660) sowie Krisztina Nyáry, die Frau des einflussreichen Imre Thurzó. Sie waren durch ihre großzügige Patronage im Bereich der Kirche, Kultur oder Bildung weitgehend bekannt. Medgyesi lobte seine ständige Patronin, Zsuzsanna Lorántffy, dementsprechend wie folgt:</w:t>
      </w:r>
    </w:p>
    <w:p w14:paraId="26040127" w14:textId="77777777" w:rsidR="00327DF7" w:rsidRPr="00FB4EFA" w:rsidRDefault="00327DF7" w:rsidP="00327DF7">
      <w:pPr>
        <w:suppressAutoHyphens/>
        <w:spacing w:line="240" w:lineRule="auto"/>
        <w:ind w:left="720"/>
        <w:rPr>
          <w:sz w:val="20"/>
        </w:rPr>
      </w:pPr>
      <w:r w:rsidRPr="00FB4EFA">
        <w:rPr>
          <w:sz w:val="20"/>
        </w:rPr>
        <w:t xml:space="preserve">„Tudjuk mindnyájan […] Nagyságtoknak az egyházi szolgálatnak fennállására való szorgalmatos fáradhatatlan </w:t>
      </w:r>
      <w:r w:rsidRPr="00FB4EFA">
        <w:rPr>
          <w:rFonts w:cs="Charis SIL"/>
          <w:sz w:val="20"/>
        </w:rPr>
        <w:t>vigyázásit és bő költségit. Elannyira, hogy mind Magyarországban sok helyeken s mind kiváltképpen itt Erdélyben szegény hazánk Nagyságtoknak köszönhet s köszön is sok templumokat, azokhoz való áros készségekkel együtt, prédikátor tartásokat, scholákat, még</w:t>
      </w:r>
      <w:r w:rsidRPr="00FB4EFA">
        <w:rPr>
          <w:sz w:val="20"/>
        </w:rPr>
        <w:t xml:space="preserve"> penig a kiváltképpen valókat, hospitálokat s több ilyen Isten tisztességére való dolgokat.“</w:t>
      </w:r>
      <w:r w:rsidRPr="00FB4EFA">
        <w:rPr>
          <w:sz w:val="20"/>
          <w:vertAlign w:val="superscript"/>
        </w:rPr>
        <w:footnoteReference w:id="263"/>
      </w:r>
    </w:p>
    <w:p w14:paraId="02ACFF20" w14:textId="77777777" w:rsidR="00327DF7" w:rsidRPr="00FB4EFA" w:rsidRDefault="00327DF7" w:rsidP="00327DF7">
      <w:pPr>
        <w:pStyle w:val="Heading2"/>
        <w:suppressAutoHyphens/>
        <w:spacing w:line="259" w:lineRule="auto"/>
        <w:rPr>
          <w:color w:val="auto"/>
          <w:lang w:val="de-AT"/>
        </w:rPr>
      </w:pPr>
      <w:r w:rsidRPr="00FB4EFA">
        <w:rPr>
          <w:color w:val="auto"/>
          <w:lang w:val="de-AT"/>
        </w:rPr>
        <w:lastRenderedPageBreak/>
        <w:t>Konfessionsübergreifende Gönnerschaften</w:t>
      </w:r>
    </w:p>
    <w:p w14:paraId="41C42CD1" w14:textId="77777777" w:rsidR="00327DF7" w:rsidRPr="00FB4EFA" w:rsidRDefault="00327DF7" w:rsidP="00327DF7">
      <w:r w:rsidRPr="00FB4EFA">
        <w:t>Selten kam es vor, dass ein Mäzen von Autoren unterschiedlicher Konfessionen erfolgreich angesprochen werden konnte: Konfessionsübergreifende Gönnerschaften sind sowohl in der ungarischen als auch in der europäischen Literaturgeschichte eine Kuriosität. Die beiden ungarischen Beispiele sind Frauen, die aus unterschiedlichen Gründen ihre Religion änderten, aber ihre rege Patronagetätigkeit in der neuen Konfession weiterführten: Zsófia Báthory und Krisztina Nyáry waren als Patroninnen sowohl unter den reformierten als auch unter den katholischen</w:t>
      </w:r>
      <w:r w:rsidRPr="00FB4EFA">
        <w:rPr>
          <w:rFonts w:cs="Gentium Book Basic"/>
        </w:rPr>
        <w:t xml:space="preserve"> Autoren bekannt. Bei den männlichen Patronen kennt man keine </w:t>
      </w:r>
      <w:r w:rsidRPr="00FB4EFA">
        <w:t>vergleichbaren Fälle.</w:t>
      </w:r>
    </w:p>
    <w:p w14:paraId="1DF81EA1" w14:textId="77777777" w:rsidR="00327DF7" w:rsidRPr="00FB4EFA" w:rsidRDefault="00327DF7" w:rsidP="00327DF7">
      <w:pPr>
        <w:pStyle w:val="Heading3"/>
        <w:suppressAutoHyphens/>
        <w:spacing w:line="259" w:lineRule="auto"/>
        <w:rPr>
          <w:lang w:val="de-AT"/>
        </w:rPr>
      </w:pPr>
      <w:r w:rsidRPr="00FB4EFA">
        <w:rPr>
          <w:lang w:val="de-AT"/>
        </w:rPr>
        <w:t>Zsófia Báthory</w:t>
      </w:r>
    </w:p>
    <w:p w14:paraId="52BBC2A8" w14:textId="77777777" w:rsidR="00327DF7" w:rsidRPr="00FB4EFA" w:rsidRDefault="00327DF7" w:rsidP="00327DF7">
      <w:r w:rsidRPr="00FB4EFA">
        <w:t>Die aktive literarische Patronagetätigkeit der Adelsfamilie Rákóczi wurde bereits erwähnt. György Rákóczi I. und seine Ehefrau Zsuzsanna Lorántffy, sowie die Söhne des Ehepaares, Zsigmond (1622–1652) und György Rákóczi II. (1621–1660, 1648–1660 Fürst von Siebenbürgen), waren wichtige Patrone der ungarischen Literatur und Kultur. Die Frau des älteren Bruders, Zsófia Báthory, schloss sich dieser Tradition ebenfalls an.</w:t>
      </w:r>
    </w:p>
    <w:p w14:paraId="08277B67" w14:textId="77777777" w:rsidR="00327DF7" w:rsidRPr="00FB4EFA" w:rsidRDefault="00327DF7" w:rsidP="00327DF7">
      <w:pPr>
        <w:suppressAutoHyphens/>
        <w:ind w:firstLine="709"/>
        <w:rPr>
          <w:rFonts w:cs="Times New Roman"/>
          <w:szCs w:val="24"/>
        </w:rPr>
      </w:pPr>
      <w:r w:rsidRPr="00FB4EFA">
        <w:rPr>
          <w:rFonts w:cs="Times New Roman"/>
          <w:szCs w:val="24"/>
        </w:rPr>
        <w:t xml:space="preserve">Die ursprünglich katholische Fürstin nahm ihrem Mann zuliebe und vor allem auf Wunsch ihres Schwiegervaters nach der Eheschließung den reformierten Glauben an. Direkt nach ihrer Hochzeit (1643) wandte sich Miklós Szalárdi, Báthorys Schreiber, mit der Widmung des Traktats </w:t>
      </w:r>
      <w:r w:rsidRPr="00FB4EFA">
        <w:rPr>
          <w:rFonts w:cs="Times New Roman"/>
          <w:i/>
          <w:szCs w:val="24"/>
        </w:rPr>
        <w:t>Lelki harc</w:t>
      </w:r>
      <w:r w:rsidRPr="00FB4EFA">
        <w:rPr>
          <w:rFonts w:cs="Times New Roman"/>
          <w:szCs w:val="24"/>
          <w:vertAlign w:val="superscript"/>
        </w:rPr>
        <w:footnoteReference w:id="264"/>
      </w:r>
      <w:r w:rsidRPr="00FB4EFA">
        <w:rPr>
          <w:rFonts w:cs="Times New Roman"/>
          <w:szCs w:val="24"/>
        </w:rPr>
        <w:t xml:space="preserve"> von Demeter Sibolti an die Fürstin. Das Werk des evangelischen Bischofs wurde von Miklós Szalárdi 1632 und 1643 in der reformierten Druckerei von Gyulafehérvár (Karlsburg) veröffentlicht. Beide Ausgaben sprachen hochadelige Damen an, die eine – sonst recht seltene – gemischtkonfessionelle Ehe führten.</w:t>
      </w:r>
    </w:p>
    <w:p w14:paraId="6DB5E61F" w14:textId="77777777" w:rsidR="00327DF7" w:rsidRPr="00FB4EFA" w:rsidRDefault="00327DF7" w:rsidP="00327DF7">
      <w:pPr>
        <w:suppressAutoHyphens/>
        <w:ind w:firstLine="709"/>
        <w:rPr>
          <w:rFonts w:cs="Times New Roman"/>
          <w:szCs w:val="24"/>
        </w:rPr>
      </w:pPr>
      <w:r w:rsidRPr="00FB4EFA">
        <w:rPr>
          <w:rFonts w:cs="Times New Roman"/>
          <w:szCs w:val="24"/>
        </w:rPr>
        <w:t xml:space="preserve">Die erste Ausgabe widmete István Bethlen (Fürst von Siebenbürgen [1630] aus der traditionell reformierten Familie) Kata </w:t>
      </w:r>
      <w:r w:rsidRPr="00FB4EFA">
        <w:rPr>
          <w:rFonts w:cs="Times New Roman"/>
          <w:szCs w:val="24"/>
        </w:rPr>
        <w:lastRenderedPageBreak/>
        <w:t xml:space="preserve">Illyésházi, der evangelischen Frau seines jüngeren Sohnes Péter. Die zweite Ausgabe wurde im Jahr 1643 von Miklós Szalárdi Zsófia Báthory anlässlich ihrer Hochzeit mit György Rákóczi II. dediziert. Beide Ausgaben wurden mit dem ars moriendi von Michael Bock, </w:t>
      </w:r>
      <w:r w:rsidRPr="00FB4EFA">
        <w:rPr>
          <w:i/>
          <w:szCs w:val="24"/>
        </w:rPr>
        <w:t>Würzgärtlein für die kranken Seelen</w:t>
      </w:r>
      <w:r w:rsidRPr="00FB4EFA">
        <w:rPr>
          <w:rFonts w:cs="Times New Roman"/>
          <w:szCs w:val="24"/>
        </w:rPr>
        <w:t xml:space="preserve"> – übersetzt von Bálint Balassi – gedruckt. Die Werke von Szalárdi und Bock/Balassi hatten beide eine doppelte Funktion: Einerseits überbrückten sie die konfessionellen Unterschiede, andererseits verstärkten sie die Bindung zu der neuen Religion. Sie versuchten, die Gewissensfragen bezüglich der Konvertierung zu beantworten und boten Trost im Falle von konfessionellem Zweifel. Dadurch kaschierten sie einerseits die Unterschiede zwischen den verschiedenen Religionen, andererseits verstärkten sie die Bindung zu der neuen Konfession.</w:t>
      </w:r>
      <w:r w:rsidRPr="00FB4EFA">
        <w:rPr>
          <w:rFonts w:cs="Times New Roman"/>
          <w:szCs w:val="24"/>
          <w:vertAlign w:val="superscript"/>
        </w:rPr>
        <w:footnoteReference w:id="265"/>
      </w:r>
    </w:p>
    <w:p w14:paraId="764A2CF1" w14:textId="77777777" w:rsidR="00327DF7" w:rsidRPr="00FB4EFA" w:rsidRDefault="00327DF7" w:rsidP="00327DF7">
      <w:pPr>
        <w:ind w:firstLine="709"/>
        <w:rPr>
          <w:rFonts w:cs="Times New Roman"/>
          <w:szCs w:val="24"/>
        </w:rPr>
      </w:pPr>
      <w:r w:rsidRPr="00FB4EFA">
        <w:rPr>
          <w:rFonts w:cs="Times New Roman"/>
          <w:szCs w:val="24"/>
        </w:rPr>
        <w:t>Wie von János Heltai auch betont wird, deuten solche Bücher darauf hin, dass sich zu jener Zeit im Kreis der hochadeligen Frauen eine Lesekultur herausbildete, die mit literarischen und rhetorisch stark komponierten Texten dazu beitrug, seelische Bedürfnisse zu befriedigen oder Traumata aufzulösen.</w:t>
      </w:r>
      <w:r w:rsidRPr="00FB4EFA">
        <w:rPr>
          <w:rFonts w:cs="Times New Roman"/>
          <w:szCs w:val="24"/>
          <w:vertAlign w:val="superscript"/>
        </w:rPr>
        <w:footnoteReference w:id="266"/>
      </w:r>
    </w:p>
    <w:p w14:paraId="16AB1928" w14:textId="77777777" w:rsidR="00327DF7" w:rsidRPr="00FB4EFA" w:rsidRDefault="00327DF7" w:rsidP="00327DF7">
      <w:pPr>
        <w:suppressAutoHyphens/>
        <w:ind w:firstLine="709"/>
        <w:rPr>
          <w:rFonts w:cs="Times New Roman"/>
          <w:szCs w:val="24"/>
        </w:rPr>
      </w:pPr>
      <w:r w:rsidRPr="00FB4EFA">
        <w:rPr>
          <w:rFonts w:cs="Times New Roman"/>
          <w:szCs w:val="24"/>
        </w:rPr>
        <w:t xml:space="preserve">Noch zu Lebzeiten des Fürsten widmete Pál Medgyesi, der damals wichtigste Autor der reformierten Kirche, seine Predigtensammlung </w:t>
      </w:r>
      <w:r w:rsidRPr="00FB4EFA">
        <w:rPr>
          <w:rFonts w:cs="Times New Roman"/>
          <w:i/>
          <w:szCs w:val="24"/>
        </w:rPr>
        <w:t>Ezechias király hiti</w:t>
      </w:r>
      <w:r w:rsidRPr="00FB4EFA">
        <w:rPr>
          <w:rFonts w:cs="Times New Roman"/>
          <w:szCs w:val="24"/>
        </w:rPr>
        <w:t xml:space="preserve"> (Der Glauben des König Ezechias, 1659) auch der Fürstin, die er seine Patronin nannte. Báthorys Ehemann, György Rákóczi II., starb nach 17 Jahren Ehe im Jahr 1660, worauf sie den Kalvinismus wieder ablegte und knapp ein Jahr nach dem Tod ihres Ehemannes gemeinsam mit ihrem Sohn Ferenc Rákóczi I. zur katholischen Religion zurückkehrte.</w:t>
      </w:r>
    </w:p>
    <w:p w14:paraId="3CF0D3E5" w14:textId="77777777" w:rsidR="00327DF7" w:rsidRPr="00FB4EFA" w:rsidRDefault="00327DF7" w:rsidP="00327DF7">
      <w:pPr>
        <w:spacing w:after="240"/>
        <w:rPr>
          <w:rFonts w:cs="Times New Roman"/>
          <w:szCs w:val="24"/>
        </w:rPr>
      </w:pPr>
      <w:r w:rsidRPr="00FB4EFA">
        <w:rPr>
          <w:rFonts w:cs="Times New Roman"/>
          <w:szCs w:val="24"/>
        </w:rPr>
        <w:t>Über ihren Religionswechsel schrieb János Szalárdi in seiner Chronik wie folgt:</w:t>
      </w:r>
    </w:p>
    <w:p w14:paraId="7DFDD327" w14:textId="77777777" w:rsidR="00327DF7" w:rsidRPr="00FB4EFA" w:rsidRDefault="00327DF7" w:rsidP="00327DF7">
      <w:pPr>
        <w:suppressAutoHyphens/>
        <w:spacing w:line="240" w:lineRule="auto"/>
        <w:ind w:left="720"/>
        <w:rPr>
          <w:rFonts w:cs="Charis SIL"/>
          <w:sz w:val="20"/>
        </w:rPr>
      </w:pPr>
      <w:r w:rsidRPr="00FB4EFA">
        <w:rPr>
          <w:rFonts w:cs="Times New Roman"/>
          <w:sz w:val="20"/>
        </w:rPr>
        <w:t xml:space="preserve">„noha […] Báthori Zsófia […] az ifjabb Rákóczi György fejedelemmel való egybekelésék után az evangeliumi, igaz </w:t>
      </w:r>
      <w:r w:rsidRPr="00FB4EFA">
        <w:rPr>
          <w:rFonts w:cs="Charis SIL"/>
          <w:sz w:val="20"/>
        </w:rPr>
        <w:t xml:space="preserve">értelmű keresztyéni vallásra térni, abban élni, mindenkori alkalmatosságokkal mind az úrvacsorájával való élésével, mind egyéb azon vallásbeli rítusok, rendtartások követésivel gyakorlani láttatott; de hogy mellölök azelőtti gyámolok elszedegettetének és a késérteteknek szelei rájok érkeznének, </w:t>
      </w:r>
      <w:r w:rsidRPr="00FB4EFA">
        <w:rPr>
          <w:rFonts w:cs="Charis SIL"/>
          <w:sz w:val="20"/>
        </w:rPr>
        <w:lastRenderedPageBreak/>
        <w:t>azonnal, o nagy isten! a szegény hazának, Erdélynek nagy reméntelenségével nutálni, tántorogni, hajladozni kezdének. Kiket keresztyéni istenes praedicatori az evangeliumi igazságban erősíteni és megmarasztani noha eléggé igyekeznének, de […] az catholicus méltóságbeli igyekezeteknek nagyobb foganatja lett vala, mint idealább megjelentetik.“</w:t>
      </w:r>
      <w:r w:rsidRPr="00FB4EFA">
        <w:rPr>
          <w:rFonts w:cs="Charis SIL"/>
          <w:sz w:val="20"/>
          <w:vertAlign w:val="superscript"/>
        </w:rPr>
        <w:footnoteReference w:id="267"/>
      </w:r>
    </w:p>
    <w:p w14:paraId="0D9A6CA4" w14:textId="77777777" w:rsidR="00327DF7" w:rsidRPr="00FB4EFA" w:rsidRDefault="00327DF7" w:rsidP="00327DF7">
      <w:pPr>
        <w:spacing w:before="240"/>
        <w:rPr>
          <w:rFonts w:cs="Times New Roman"/>
          <w:szCs w:val="24"/>
        </w:rPr>
      </w:pPr>
      <w:r w:rsidRPr="00FB4EFA">
        <w:rPr>
          <w:szCs w:val="24"/>
        </w:rPr>
        <w:t>Nach dem Religionswechsel sah Báthory die Unterstützung ihrer (neu)gewählten Konfession als ihre wichtigste Aufgabe. In erster Linie tauschte sie ihren engeren Kreis aus: Anstatt der Calvinisten stellte sie Jesuiten an – wie Pater István Millci, Imre Kiss oder Mátyás Sámbár – die später ihre wichtigsten Vertrauten wurden.</w:t>
      </w:r>
      <w:r w:rsidRPr="00FB4EFA">
        <w:rPr>
          <w:szCs w:val="24"/>
          <w:vertAlign w:val="superscript"/>
        </w:rPr>
        <w:footnoteReference w:id="268"/>
      </w:r>
    </w:p>
    <w:p w14:paraId="78469196" w14:textId="77777777" w:rsidR="00327DF7" w:rsidRPr="00FB4EFA" w:rsidRDefault="00327DF7" w:rsidP="00327DF7">
      <w:pPr>
        <w:rPr>
          <w:rFonts w:cs="Times New Roman"/>
          <w:szCs w:val="24"/>
        </w:rPr>
      </w:pPr>
      <w:r w:rsidRPr="00FB4EFA">
        <w:rPr>
          <w:rFonts w:cs="Times New Roman"/>
          <w:szCs w:val="24"/>
        </w:rPr>
        <w:t>Zwei Jahre nach dem Tod ihres Mannes, kurz nach ihrer Rekatholisierung im Jahr 1662, trat Zsófia Báthory bereits als katholische Patronin auf:</w:t>
      </w:r>
    </w:p>
    <w:p w14:paraId="464C28AB" w14:textId="77777777" w:rsidR="00327DF7" w:rsidRPr="00FB4EFA" w:rsidRDefault="00327DF7" w:rsidP="00327DF7">
      <w:pPr>
        <w:keepLines/>
        <w:suppressAutoHyphens/>
        <w:spacing w:before="240" w:after="240" w:line="240" w:lineRule="auto"/>
        <w:ind w:left="720"/>
        <w:rPr>
          <w:rFonts w:cs="Times New Roman"/>
          <w:sz w:val="20"/>
        </w:rPr>
      </w:pPr>
      <w:r w:rsidRPr="00FB4EFA">
        <w:rPr>
          <w:rFonts w:cs="Times New Roman"/>
          <w:sz w:val="20"/>
        </w:rPr>
        <w:t>„Nagyságod sem akarván abban hátramaradni, amiben […] M</w:t>
      </w:r>
      <w:r w:rsidRPr="00FB4EFA">
        <w:rPr>
          <w:rFonts w:cs="Baskerville Old Face"/>
          <w:sz w:val="20"/>
        </w:rPr>
        <w:t>é</w:t>
      </w:r>
      <w:r w:rsidRPr="00FB4EFA">
        <w:rPr>
          <w:rFonts w:cs="Times New Roman"/>
          <w:sz w:val="20"/>
        </w:rPr>
        <w:t>lt</w:t>
      </w:r>
      <w:r w:rsidRPr="00FB4EFA">
        <w:rPr>
          <w:rFonts w:cs="Baskerville Old Face"/>
          <w:sz w:val="20"/>
        </w:rPr>
        <w:t>ó</w:t>
      </w:r>
      <w:r w:rsidRPr="00FB4EFA">
        <w:rPr>
          <w:rFonts w:cs="Times New Roman"/>
          <w:sz w:val="20"/>
        </w:rPr>
        <w:t>s</w:t>
      </w:r>
      <w:r w:rsidRPr="00FB4EFA">
        <w:rPr>
          <w:rFonts w:cs="Baskerville Old Face"/>
          <w:sz w:val="20"/>
        </w:rPr>
        <w:t>á</w:t>
      </w:r>
      <w:r w:rsidRPr="00FB4EFA">
        <w:rPr>
          <w:rFonts w:cs="Times New Roman"/>
          <w:sz w:val="20"/>
        </w:rPr>
        <w:t>gos B</w:t>
      </w:r>
      <w:r w:rsidRPr="00FB4EFA">
        <w:rPr>
          <w:rFonts w:cs="Baskerville Old Face"/>
          <w:sz w:val="20"/>
        </w:rPr>
        <w:t>á</w:t>
      </w:r>
      <w:r w:rsidRPr="00FB4EFA">
        <w:rPr>
          <w:rFonts w:cs="Times New Roman"/>
          <w:sz w:val="20"/>
        </w:rPr>
        <w:t xml:space="preserve">thori elejek Tekintetes Fejedelmi </w:t>
      </w:r>
      <w:r w:rsidRPr="00FB4EFA">
        <w:rPr>
          <w:rFonts w:cs="Baskerville Old Face"/>
          <w:sz w:val="20"/>
        </w:rPr>
        <w:t>é</w:t>
      </w:r>
      <w:r w:rsidRPr="00FB4EFA">
        <w:rPr>
          <w:rFonts w:cs="Times New Roman"/>
          <w:sz w:val="20"/>
        </w:rPr>
        <w:t>s Kir</w:t>
      </w:r>
      <w:r w:rsidRPr="00FB4EFA">
        <w:rPr>
          <w:rFonts w:cs="Baskerville Old Face"/>
          <w:sz w:val="20"/>
        </w:rPr>
        <w:t>á</w:t>
      </w:r>
      <w:r w:rsidRPr="00FB4EFA">
        <w:rPr>
          <w:rFonts w:cs="Times New Roman"/>
          <w:sz w:val="20"/>
        </w:rPr>
        <w:t>lyi p</w:t>
      </w:r>
      <w:r w:rsidRPr="00FB4EFA">
        <w:rPr>
          <w:rFonts w:cs="Baskerville Old Face"/>
          <w:sz w:val="20"/>
        </w:rPr>
        <w:t>é</w:t>
      </w:r>
      <w:r w:rsidRPr="00FB4EFA">
        <w:rPr>
          <w:rFonts w:cs="Times New Roman"/>
          <w:sz w:val="20"/>
        </w:rPr>
        <w:t>ld</w:t>
      </w:r>
      <w:r w:rsidRPr="00FB4EFA">
        <w:rPr>
          <w:rFonts w:cs="Baskerville Old Face"/>
          <w:sz w:val="20"/>
        </w:rPr>
        <w:t>á</w:t>
      </w:r>
      <w:r w:rsidRPr="00FB4EFA">
        <w:rPr>
          <w:rFonts w:cs="Times New Roman"/>
          <w:sz w:val="20"/>
        </w:rPr>
        <w:t>j</w:t>
      </w:r>
      <w:r w:rsidRPr="00FB4EFA">
        <w:rPr>
          <w:rFonts w:cs="Baskerville Old Face"/>
          <w:sz w:val="20"/>
        </w:rPr>
        <w:t>á</w:t>
      </w:r>
      <w:r w:rsidRPr="00FB4EFA">
        <w:rPr>
          <w:rFonts w:cs="Times New Roman"/>
          <w:sz w:val="20"/>
        </w:rPr>
        <w:t>t l</w:t>
      </w:r>
      <w:r w:rsidRPr="00FB4EFA">
        <w:rPr>
          <w:rFonts w:cs="Baskerville Old Face"/>
          <w:sz w:val="20"/>
        </w:rPr>
        <w:t>á</w:t>
      </w:r>
      <w:r w:rsidRPr="00FB4EFA">
        <w:rPr>
          <w:rFonts w:cs="Times New Roman"/>
          <w:sz w:val="20"/>
        </w:rPr>
        <w:t>tja. [</w:t>
      </w:r>
      <w:r w:rsidRPr="00FB4EFA">
        <w:rPr>
          <w:rFonts w:cs="Baskerville Old Face"/>
          <w:sz w:val="20"/>
        </w:rPr>
        <w:t>…</w:t>
      </w:r>
      <w:r w:rsidRPr="00FB4EFA">
        <w:rPr>
          <w:rFonts w:cs="Times New Roman"/>
          <w:sz w:val="20"/>
        </w:rPr>
        <w:t xml:space="preserve">] </w:t>
      </w:r>
      <w:r w:rsidRPr="00FB4EFA">
        <w:rPr>
          <w:rFonts w:cs="Baskerville Old Face"/>
          <w:sz w:val="20"/>
        </w:rPr>
        <w:t>É</w:t>
      </w:r>
      <w:r w:rsidRPr="00FB4EFA">
        <w:rPr>
          <w:rFonts w:cs="Times New Roman"/>
          <w:sz w:val="20"/>
        </w:rPr>
        <w:t>s hogy a Magyar nemzetben ink</w:t>
      </w:r>
      <w:r w:rsidRPr="00FB4EFA">
        <w:rPr>
          <w:rFonts w:cs="Baskerville Old Face"/>
          <w:sz w:val="20"/>
        </w:rPr>
        <w:t>á</w:t>
      </w:r>
      <w:r w:rsidRPr="00FB4EFA">
        <w:rPr>
          <w:rFonts w:cs="Times New Roman"/>
          <w:sz w:val="20"/>
        </w:rPr>
        <w:t>bb felgerjessze az Boldogs</w:t>
      </w:r>
      <w:r w:rsidRPr="00FB4EFA">
        <w:rPr>
          <w:rFonts w:cs="Baskerville Old Face"/>
          <w:sz w:val="20"/>
        </w:rPr>
        <w:t>á</w:t>
      </w:r>
      <w:r w:rsidRPr="00FB4EFA">
        <w:rPr>
          <w:rFonts w:cs="Times New Roman"/>
          <w:sz w:val="20"/>
        </w:rPr>
        <w:t>gos Sz</w:t>
      </w:r>
      <w:r w:rsidRPr="00FB4EFA">
        <w:rPr>
          <w:rFonts w:cs="Baskerville Old Face"/>
          <w:sz w:val="20"/>
        </w:rPr>
        <w:t>ü</w:t>
      </w:r>
      <w:r w:rsidRPr="00FB4EFA">
        <w:rPr>
          <w:rFonts w:cs="Times New Roman"/>
          <w:sz w:val="20"/>
        </w:rPr>
        <w:t>zh</w:t>
      </w:r>
      <w:r w:rsidRPr="00FB4EFA">
        <w:rPr>
          <w:rFonts w:cs="Baskerville Old Face"/>
          <w:sz w:val="20"/>
        </w:rPr>
        <w:t>ö</w:t>
      </w:r>
      <w:r w:rsidRPr="00FB4EFA">
        <w:rPr>
          <w:rFonts w:cs="Times New Roman"/>
          <w:sz w:val="20"/>
        </w:rPr>
        <w:t xml:space="preserve">z elalut </w:t>
      </w:r>
      <w:r w:rsidRPr="00FB4EFA">
        <w:rPr>
          <w:rFonts w:cs="Baskerville Old Face"/>
          <w:sz w:val="20"/>
        </w:rPr>
        <w:t>á</w:t>
      </w:r>
      <w:r w:rsidRPr="00FB4EFA">
        <w:rPr>
          <w:rFonts w:cs="Times New Roman"/>
          <w:sz w:val="20"/>
        </w:rPr>
        <w:t>jtatoss</w:t>
      </w:r>
      <w:r w:rsidRPr="00FB4EFA">
        <w:rPr>
          <w:rFonts w:cs="Baskerville Old Face"/>
          <w:sz w:val="20"/>
        </w:rPr>
        <w:t>á</w:t>
      </w:r>
      <w:r w:rsidRPr="00FB4EFA">
        <w:rPr>
          <w:rFonts w:cs="Times New Roman"/>
          <w:sz w:val="20"/>
        </w:rPr>
        <w:t>got [</w:t>
      </w:r>
      <w:r w:rsidRPr="00FB4EFA">
        <w:rPr>
          <w:rFonts w:cs="Baskerville Old Face"/>
          <w:sz w:val="20"/>
        </w:rPr>
        <w:t>…</w:t>
      </w:r>
      <w:r w:rsidRPr="00FB4EFA">
        <w:rPr>
          <w:rFonts w:cs="Times New Roman"/>
          <w:sz w:val="20"/>
        </w:rPr>
        <w:t>] tehets</w:t>
      </w:r>
      <w:r w:rsidRPr="00FB4EFA">
        <w:rPr>
          <w:rFonts w:cs="Baskerville Old Face"/>
          <w:sz w:val="20"/>
        </w:rPr>
        <w:t>é</w:t>
      </w:r>
      <w:r w:rsidRPr="00FB4EFA">
        <w:rPr>
          <w:rFonts w:cs="Times New Roman"/>
          <w:sz w:val="20"/>
        </w:rPr>
        <w:t xml:space="preserve">ge </w:t>
      </w:r>
      <w:r w:rsidRPr="00FB4EFA">
        <w:rPr>
          <w:rFonts w:cs="Charis SIL"/>
          <w:sz w:val="20"/>
        </w:rPr>
        <w:t>szerént azon vagyon, hogy szűvel lélekkel indítsa Asszanyának böcsülését. Mert nem szánván Fejedelmi Adakozáshoz illendő bőv költségét, a Boldog Asszony Szolosmáját […] én általam nyomtattatni kegyelmesen méltóztatott.“</w:t>
      </w:r>
      <w:r w:rsidRPr="00FB4EFA">
        <w:rPr>
          <w:rFonts w:cs="Charis SIL"/>
          <w:sz w:val="20"/>
          <w:vertAlign w:val="superscript"/>
        </w:rPr>
        <w:footnoteReference w:id="269"/>
      </w:r>
    </w:p>
    <w:p w14:paraId="72C107A7" w14:textId="77777777" w:rsidR="00327DF7" w:rsidRPr="00FB4EFA" w:rsidRDefault="00327DF7" w:rsidP="00327DF7">
      <w:pPr>
        <w:suppressAutoHyphens/>
        <w:rPr>
          <w:rFonts w:cs="Times New Roman"/>
          <w:szCs w:val="24"/>
        </w:rPr>
      </w:pPr>
      <w:r w:rsidRPr="00FB4EFA">
        <w:rPr>
          <w:rFonts w:cs="Times New Roman"/>
          <w:szCs w:val="24"/>
        </w:rPr>
        <w:lastRenderedPageBreak/>
        <w:t xml:space="preserve">Mit diesen Worten sprach der Tyrnauer Drucker Venceslaus Melchior Schneckenhaus in der neuesten Ausgabe von János Draskovich’ Gebetbuch </w:t>
      </w:r>
      <w:r w:rsidRPr="00FB4EFA">
        <w:rPr>
          <w:rFonts w:cs="Times New Roman"/>
          <w:i/>
          <w:szCs w:val="24"/>
        </w:rPr>
        <w:t>Officium</w:t>
      </w:r>
      <w:r w:rsidRPr="00FB4EFA">
        <w:rPr>
          <w:rFonts w:cs="Times New Roman"/>
          <w:szCs w:val="24"/>
        </w:rPr>
        <w:t xml:space="preserve"> (1662) Báthory als seine Mäzenin an und schrieb über ihre großzügige Patronage.</w:t>
      </w:r>
    </w:p>
    <w:p w14:paraId="724F8235" w14:textId="77777777" w:rsidR="00327DF7" w:rsidRPr="00FB4EFA" w:rsidRDefault="00327DF7" w:rsidP="00327DF7">
      <w:pPr>
        <w:pStyle w:val="Heading3"/>
        <w:suppressAutoHyphens/>
        <w:spacing w:line="259" w:lineRule="auto"/>
        <w:rPr>
          <w:lang w:val="de-AT"/>
        </w:rPr>
      </w:pPr>
      <w:r w:rsidRPr="00FB4EFA">
        <w:rPr>
          <w:lang w:val="de-AT"/>
        </w:rPr>
        <w:t>Krisztina Nyáry</w:t>
      </w:r>
    </w:p>
    <w:p w14:paraId="6F4324DC" w14:textId="77777777" w:rsidR="00327DF7" w:rsidRPr="00FB4EFA" w:rsidRDefault="00327DF7" w:rsidP="00327DF7">
      <w:pPr>
        <w:rPr>
          <w:szCs w:val="24"/>
        </w:rPr>
      </w:pPr>
      <w:r w:rsidRPr="00FB4EFA">
        <w:rPr>
          <w:szCs w:val="24"/>
        </w:rPr>
        <w:t>Eine weitere herausragende Persönlichkeit des weiblichen Mäzenatentums, Krisztina Nyáry, gehörte auch zu den wichtigsten Patroninnen zweier Religionen. Sie kam als erstes Kind der einflussreichen reformierten Adelsfamilie von Pál Nyáry und Kata Várdai im Jahr 1604 in Kisvárda (Kleinwardein) zur Welt. Schon mit 14 Jahren hatte sie Imre Thurzó, den jungen Hoffnungsträger aus der wohlhabenden evangelischen Thurzó-Familie, geheiratet. Sie bekamen zwei Töchter, aber drei Jahre später, im Jahr 1621, war Nyáry bereits verwitwet. 1624 heiratete sie erneut, ihr zweite Ehemann war der katholische Miklós Esterházy, mit dem sie neun weitere Kinder bekam. Im Jahr der Ehe war sie bereits zur katholischen Religion konvertiert und führte danach ein tiefreligiöses, frommes Leben. Sie starb sehr jung, bereits mit 37 Jahren, an Wochenbettfieber.</w:t>
      </w:r>
    </w:p>
    <w:p w14:paraId="7DEA04A1" w14:textId="77777777" w:rsidR="00327DF7" w:rsidRPr="00FB4EFA" w:rsidRDefault="00327DF7" w:rsidP="00327DF7">
      <w:pPr>
        <w:ind w:firstLine="709"/>
        <w:rPr>
          <w:rFonts w:cs="Charis SIL"/>
          <w:szCs w:val="24"/>
        </w:rPr>
      </w:pPr>
      <w:r w:rsidRPr="00FB4EFA">
        <w:t xml:space="preserve">Krisztina Nyáry stammte – ähnlich wie Zsófia Báthory – aus einer traditionsreichen Patronenfamilie: Ihre Mutter, Kata Várdai, war die ständige Mäzenin der einflussreichen reformierten Pfarrer János </w:t>
      </w:r>
      <w:r w:rsidRPr="00FB4EFA">
        <w:rPr>
          <w:rFonts w:cs="Charis SIL"/>
        </w:rPr>
        <w:t>Keserűi Dajka, János Kecskeméti C. und Péter Margitai. Ihre ersten Schwiegereltern, Erzsébet Czobor und György Thurzó sowie die gesamte Thurzó-Familie unterstützten breite Kreise von Literaten.</w:t>
      </w:r>
      <w:r w:rsidRPr="00FB4EFA">
        <w:rPr>
          <w:rFonts w:cs="Charis SIL"/>
          <w:szCs w:val="24"/>
          <w:vertAlign w:val="superscript"/>
        </w:rPr>
        <w:footnoteReference w:id="270"/>
      </w:r>
      <w:r w:rsidRPr="00FB4EFA">
        <w:rPr>
          <w:rFonts w:cs="Charis SIL"/>
          <w:szCs w:val="24"/>
        </w:rPr>
        <w:t xml:space="preserve"> Die Thurzó-Frauen, die erwähnte Erzsébet Thurzó sowie Anna Rosina Listius (die Frau vom Palatin Szaniszló Thurzó) und Zsuzsa Thurzó (die Schwester von Szaniszló Thurzó, die zweite Frau von Zsigmond Forgách), waren alle weit bekannte Patroninnen der evangelischen Kirche und Literatur.</w:t>
      </w:r>
      <w:r w:rsidRPr="00FB4EFA">
        <w:rPr>
          <w:rFonts w:cs="Charis SIL"/>
          <w:szCs w:val="24"/>
          <w:vertAlign w:val="superscript"/>
        </w:rPr>
        <w:footnoteReference w:id="271"/>
      </w:r>
    </w:p>
    <w:p w14:paraId="15C0864F" w14:textId="77777777" w:rsidR="00327DF7" w:rsidRPr="00FB4EFA" w:rsidRDefault="00327DF7" w:rsidP="00327DF7">
      <w:pPr>
        <w:suppressAutoHyphens/>
        <w:ind w:firstLine="709"/>
        <w:rPr>
          <w:rFonts w:cs="Charis SIL"/>
          <w:szCs w:val="24"/>
        </w:rPr>
      </w:pPr>
      <w:r w:rsidRPr="00FB4EFA">
        <w:rPr>
          <w:rFonts w:cs="Charis SIL"/>
          <w:szCs w:val="24"/>
        </w:rPr>
        <w:t>Krisztina Nyáry wurde schnell auch eine wichtige Mäzenin. Bereits im Jahr 1620 bekam sie eine Dedikation von János Mihálykó. Der evangelische Priester von Eperjes (</w:t>
      </w:r>
      <w:r w:rsidRPr="00FB4EFA">
        <w:rPr>
          <w:rFonts w:cs="Charis SIL"/>
          <w:iCs/>
          <w:szCs w:val="24"/>
          <w:shd w:val="clear" w:color="auto" w:fill="FFFFFF"/>
        </w:rPr>
        <w:t>Prešov, Slowakei.)</w:t>
      </w:r>
      <w:r w:rsidRPr="00FB4EFA">
        <w:rPr>
          <w:rFonts w:cs="Charis SIL"/>
          <w:szCs w:val="24"/>
        </w:rPr>
        <w:t xml:space="preserve"> widmete der Fürstin sein beliebtes Gebetsbuch </w:t>
      </w:r>
      <w:r w:rsidRPr="00FB4EFA">
        <w:rPr>
          <w:rFonts w:cs="Charis SIL"/>
          <w:i/>
          <w:szCs w:val="24"/>
        </w:rPr>
        <w:t xml:space="preserve">Keresztyéni istenes és ájtatos </w:t>
      </w:r>
      <w:r w:rsidRPr="00FB4EFA">
        <w:rPr>
          <w:rFonts w:cs="Charis SIL"/>
          <w:i/>
          <w:szCs w:val="24"/>
        </w:rPr>
        <w:lastRenderedPageBreak/>
        <w:t>imádságok</w:t>
      </w:r>
      <w:r w:rsidRPr="00FB4EFA">
        <w:rPr>
          <w:rFonts w:cs="Charis SIL"/>
          <w:szCs w:val="24"/>
        </w:rPr>
        <w:t xml:space="preserve"> (Göttliche und andachtsvolle Gebete der christlichen Religion, 1620).</w:t>
      </w:r>
    </w:p>
    <w:p w14:paraId="15ED34E2" w14:textId="77777777" w:rsidR="00327DF7" w:rsidRPr="00FB4EFA" w:rsidRDefault="00327DF7" w:rsidP="00327DF7">
      <w:pPr>
        <w:suppressAutoHyphens/>
        <w:ind w:firstLine="709"/>
        <w:rPr>
          <w:rFonts w:cs="Charis SIL"/>
          <w:szCs w:val="24"/>
        </w:rPr>
      </w:pPr>
      <w:r w:rsidRPr="00FB4EFA">
        <w:rPr>
          <w:rFonts w:cs="Charis SIL"/>
          <w:szCs w:val="24"/>
        </w:rPr>
        <w:t xml:space="preserve">Das evangelische Gebetsbuch ist ein schönes Beispiel für die konfessionsübergreifende Erbauungsliteratur. Mihálykó überarbeitete hier nämlich das katholische Gebetsbuch von Péter Pázmány: Seine wichtigste Quelle war das </w:t>
      </w:r>
      <w:r w:rsidRPr="00FB4EFA">
        <w:rPr>
          <w:rFonts w:cs="Charis SIL"/>
          <w:i/>
          <w:szCs w:val="24"/>
        </w:rPr>
        <w:t xml:space="preserve">Imádságoskönyv </w:t>
      </w:r>
      <w:r w:rsidRPr="00FB4EFA">
        <w:rPr>
          <w:rFonts w:cs="Charis SIL"/>
          <w:szCs w:val="24"/>
        </w:rPr>
        <w:t>(Gebetsbuch, Graz 1606) des katholischen Kardinals. In der Ausgabe von 1640 wurden sogar die Psalmparaphrasen von Mátyás Nyéki Vörös, dem Jesuiten-Stiftsherrn, eingearbeitet. Das Werk wurde sehr populär: Es erlebte zwischen 1609 und 1642 insgesamt sechs Ausgaben und konnte wahrscheinlich ein sehr breites Lesepublikum begeistern sowie anscheinend auch einen vielseitigen Kreis von – ausschließlich weiblichen – Patroninnen erfolgreich ansprechen.</w:t>
      </w:r>
    </w:p>
    <w:p w14:paraId="48126DB6" w14:textId="77777777" w:rsidR="00327DF7" w:rsidRPr="00FB4EFA" w:rsidRDefault="00327DF7" w:rsidP="00327DF7">
      <w:pPr>
        <w:ind w:firstLine="680"/>
        <w:rPr>
          <w:rFonts w:cs="Charis SIL"/>
          <w:szCs w:val="24"/>
        </w:rPr>
      </w:pPr>
      <w:r w:rsidRPr="00FB4EFA">
        <w:rPr>
          <w:rFonts w:cs="Charis SIL"/>
          <w:szCs w:val="24"/>
        </w:rPr>
        <w:t>Die erste Ausgabe (Bártfa, 1609) von Mihálykós Buch wurde von Erzsébet Czobor, der Frau des Palatins György Thurzó, patroniert, dementsprechend wurde sie in der ersten Widmung angesprochen. Die zweite Ausgabe (Lőcse, 1620) wurde vom Drucker Lőrinc Brewer bereits der neuen Schwiegertochter, Krisztina Nyáry, dediziert. Brewer lobt Nyáry für ihre Unterstützung wie folgt:</w:t>
      </w:r>
    </w:p>
    <w:p w14:paraId="0607AE05" w14:textId="77777777" w:rsidR="00327DF7" w:rsidRPr="00FB4EFA" w:rsidRDefault="00327DF7" w:rsidP="00327DF7">
      <w:pPr>
        <w:keepLines/>
        <w:spacing w:before="240" w:after="240" w:line="240" w:lineRule="auto"/>
        <w:ind w:left="709"/>
        <w:rPr>
          <w:rFonts w:cs="Charis SIL"/>
          <w:sz w:val="20"/>
          <w:szCs w:val="20"/>
        </w:rPr>
      </w:pPr>
      <w:r w:rsidRPr="00FB4EFA">
        <w:rPr>
          <w:rFonts w:cs="Charis SIL"/>
          <w:sz w:val="20"/>
          <w:szCs w:val="20"/>
        </w:rPr>
        <w:t>„Nagyságod pedig azon nevezetes familiában és nemzetben az Istennek kegyes és bölcs gondviseléséből által vitettetvén, az én munkámnak is patrociniumját és oltalmát Nagyságod láttatott méltán magának tulajdonítani.“</w:t>
      </w:r>
      <w:r w:rsidRPr="00FB4EFA">
        <w:rPr>
          <w:rFonts w:cs="Charis SIL"/>
          <w:sz w:val="20"/>
          <w:szCs w:val="20"/>
          <w:vertAlign w:val="superscript"/>
        </w:rPr>
        <w:footnoteReference w:id="272"/>
      </w:r>
    </w:p>
    <w:p w14:paraId="6FABB38E" w14:textId="77777777" w:rsidR="00327DF7" w:rsidRPr="00FB4EFA" w:rsidRDefault="00327DF7" w:rsidP="00327DF7">
      <w:pPr>
        <w:rPr>
          <w:rFonts w:cs="Charis SIL"/>
          <w:szCs w:val="24"/>
        </w:rPr>
      </w:pPr>
      <w:r w:rsidRPr="00FB4EFA">
        <w:rPr>
          <w:rFonts w:cs="Charis SIL"/>
          <w:szCs w:val="24"/>
        </w:rPr>
        <w:t>Mihálykós Widmung findet man in zwei weiteren Ausgaben des evangelischen Erbauungsbuches wieder (Lőcse/Leutschau, 1629 und 1642), obwohl um jene Zeit Krisztina Nyáry längst schon katholisiert und mit Miklós Eszterházy neu verheiratet war. Der Inhalt des Buches war für sie vermutlich auch nach ihrer Katholisierung akzeptabel, weshalb sie die beiden Neudrucke bewilligte.</w:t>
      </w:r>
      <w:r w:rsidRPr="00FB4EFA">
        <w:rPr>
          <w:rFonts w:cs="Charis SIL"/>
          <w:szCs w:val="24"/>
          <w:vertAlign w:val="superscript"/>
        </w:rPr>
        <w:footnoteReference w:id="273"/>
      </w:r>
    </w:p>
    <w:p w14:paraId="29144234" w14:textId="77777777" w:rsidR="00327DF7" w:rsidRPr="00FB4EFA" w:rsidRDefault="00327DF7" w:rsidP="00327DF7">
      <w:pPr>
        <w:suppressAutoHyphens/>
        <w:ind w:firstLine="709"/>
        <w:rPr>
          <w:rFonts w:cs="Charis SIL"/>
          <w:szCs w:val="24"/>
        </w:rPr>
      </w:pPr>
      <w:r w:rsidRPr="00FB4EFA">
        <w:rPr>
          <w:rFonts w:cs="Charis SIL"/>
          <w:szCs w:val="24"/>
        </w:rPr>
        <w:lastRenderedPageBreak/>
        <w:t xml:space="preserve">Nach ihrem Religionswechsel wurde Nyáry nun zu einer bedeutenden Patronin der katholischen Religion. Mátyás Hajnal wandte sich an mit der ersten Ausgabe seines Werkes </w:t>
      </w:r>
      <w:r w:rsidRPr="00FB4EFA">
        <w:rPr>
          <w:rFonts w:cs="Charis SIL"/>
          <w:i/>
          <w:szCs w:val="24"/>
        </w:rPr>
        <w:t>Szíves könyvecske</w:t>
      </w:r>
      <w:r w:rsidRPr="00FB4EFA">
        <w:rPr>
          <w:rFonts w:cs="Charis SIL"/>
          <w:szCs w:val="24"/>
        </w:rPr>
        <w:t xml:space="preserve"> (Herzensbüchlein, Wien 1629), das der Autor für den persönlichen Gebrauch seiner Patronin verfasste, an Krisztina Nyáry. Wahrscheinlich von Nyáry ermutigt dedizierte der Jesuit Mátyás Hajnal die zweite Ausgabe seines Meditationsbüchleins (Pressburg, 1642) an Nyárys Schwägerin, Klára Kapi, der Frau von István Nyáry.</w:t>
      </w:r>
    </w:p>
    <w:p w14:paraId="093C82DC" w14:textId="77777777" w:rsidR="00327DF7" w:rsidRPr="00FB4EFA" w:rsidRDefault="00327DF7" w:rsidP="00327DF7">
      <w:pPr>
        <w:suppressAutoHyphens/>
        <w:ind w:firstLine="709"/>
        <w:rPr>
          <w:rFonts w:cs="Charis SIL"/>
          <w:szCs w:val="24"/>
        </w:rPr>
      </w:pPr>
      <w:r w:rsidRPr="00FB4EFA">
        <w:rPr>
          <w:rFonts w:cs="Charis SIL"/>
          <w:szCs w:val="24"/>
        </w:rPr>
        <w:t xml:space="preserve">Zum weiteren wurde Krisztina Nyáry von Gáspár Tasi im </w:t>
      </w:r>
      <w:r w:rsidRPr="00FB4EFA">
        <w:rPr>
          <w:rFonts w:cs="Charis SIL"/>
          <w:i/>
          <w:szCs w:val="24"/>
        </w:rPr>
        <w:t>Lelki kalendárium</w:t>
      </w:r>
      <w:r w:rsidRPr="00FB4EFA">
        <w:rPr>
          <w:rFonts w:cs="Charis SIL"/>
          <w:szCs w:val="24"/>
        </w:rPr>
        <w:t xml:space="preserve"> (Kalender der Seele, 1627) sowie von Márton Kopcsányi in seinen beiden Werken </w:t>
      </w:r>
      <w:r w:rsidRPr="00FB4EFA">
        <w:rPr>
          <w:rFonts w:cs="Charis SIL"/>
          <w:i/>
          <w:szCs w:val="24"/>
        </w:rPr>
        <w:t>A boldog Szűz Mária élete</w:t>
      </w:r>
      <w:r w:rsidRPr="00FB4EFA">
        <w:rPr>
          <w:rFonts w:cs="Charis SIL"/>
          <w:szCs w:val="24"/>
        </w:rPr>
        <w:t xml:space="preserve"> (Das Leben der frommen Jungfrau Maria, Wien 1631) und </w:t>
      </w:r>
      <w:r w:rsidRPr="00FB4EFA">
        <w:rPr>
          <w:rFonts w:cs="Charis SIL"/>
          <w:i/>
          <w:szCs w:val="24"/>
        </w:rPr>
        <w:t>A keresztyéni tökéletes életre intő elmélkedések</w:t>
      </w:r>
      <w:r w:rsidRPr="00FB4EFA">
        <w:rPr>
          <w:rFonts w:cs="Charis SIL"/>
          <w:szCs w:val="24"/>
        </w:rPr>
        <w:t xml:space="preserve"> (Meditationen über das beispielhafte katholische Leben, Wien 1634) als großzügige Patronin der katholische Religion angesprochen. Nyáry unterstützte noch zwei weitere katholische Drucke, die allerdings ihren Töchtern Julianna Eszterházy</w:t>
      </w:r>
      <w:r w:rsidRPr="00FB4EFA">
        <w:rPr>
          <w:rFonts w:cs="Charis SIL"/>
          <w:szCs w:val="24"/>
          <w:vertAlign w:val="superscript"/>
        </w:rPr>
        <w:footnoteReference w:id="274"/>
      </w:r>
      <w:r w:rsidRPr="00FB4EFA">
        <w:rPr>
          <w:rFonts w:cs="Charis SIL"/>
          <w:szCs w:val="24"/>
        </w:rPr>
        <w:t xml:space="preserve"> und Erzsébet Thurzó</w:t>
      </w:r>
      <w:r w:rsidRPr="00FB4EFA">
        <w:rPr>
          <w:rFonts w:cs="Charis SIL"/>
          <w:szCs w:val="24"/>
          <w:vertAlign w:val="superscript"/>
        </w:rPr>
        <w:footnoteReference w:id="275"/>
      </w:r>
      <w:r w:rsidRPr="00FB4EFA">
        <w:rPr>
          <w:rFonts w:cs="Charis SIL"/>
          <w:szCs w:val="24"/>
        </w:rPr>
        <w:t xml:space="preserve"> gewidmet sind, wobei die Widmungsbriefe auf eine gemeinsame Unterstützung hindeuten.</w:t>
      </w:r>
    </w:p>
    <w:p w14:paraId="7174EDB6" w14:textId="77777777" w:rsidR="00327DF7" w:rsidRPr="00FB4EFA" w:rsidRDefault="00327DF7" w:rsidP="00327DF7">
      <w:pPr>
        <w:ind w:firstLine="709"/>
        <w:rPr>
          <w:rFonts w:cs="Charis SIL"/>
          <w:szCs w:val="24"/>
        </w:rPr>
      </w:pPr>
      <w:r w:rsidRPr="00FB4EFA">
        <w:rPr>
          <w:rFonts w:cs="Charis SIL"/>
          <w:szCs w:val="24"/>
        </w:rPr>
        <w:t>Das Beispiel von Krisztina Nyáry zeigt uns deutlich, dass im 17. Jahrhundert die Patronage der ungarischen Autoren und Werke auch Frauen ein Bedürfnis war, das innerhalb der engeren familiären Kreise weitergegeben bzw. symbolisch vererbt wurde. So übernahm Krisztina Nyáry von ihrer Schwiegermutter die Gönnerschaft von János Mihálykó und seinem Gebetsbuch, und genauso gab sie diese Tradition an ihre Schwägerin bzw. ihre Töchter weiter.</w:t>
      </w:r>
    </w:p>
    <w:p w14:paraId="2DD05D5F" w14:textId="77777777" w:rsidR="00327DF7" w:rsidRPr="00FB4EFA" w:rsidRDefault="00327DF7" w:rsidP="00327DF7">
      <w:pPr>
        <w:pStyle w:val="Heading2"/>
        <w:suppressAutoHyphens/>
        <w:spacing w:line="259" w:lineRule="auto"/>
        <w:rPr>
          <w:color w:val="auto"/>
          <w:lang w:val="de-AT"/>
        </w:rPr>
      </w:pPr>
      <w:r w:rsidRPr="00FB4EFA">
        <w:rPr>
          <w:color w:val="auto"/>
          <w:lang w:val="de-AT"/>
        </w:rPr>
        <w:t>Schlussbemerkungen</w:t>
      </w:r>
    </w:p>
    <w:p w14:paraId="2D9AE1E6" w14:textId="77777777" w:rsidR="00327DF7" w:rsidRPr="00FB4EFA" w:rsidRDefault="00327DF7" w:rsidP="00327DF7">
      <w:r w:rsidRPr="00FB4EFA">
        <w:t xml:space="preserve">Literatur- und kulturhistorische Forschungen haben die Teilnahme einzelner weiblicher Akteurinnen in der Literatur-, Kunst- oder Kirchenförderung längst bestätigt, das Gesamtbild der Mäzenin in der frühen Neuzeit bleibt allerdings noch bruchstückhaft: Das Ausmaß, die Bedeutung, </w:t>
      </w:r>
      <w:r w:rsidRPr="00FB4EFA">
        <w:lastRenderedPageBreak/>
        <w:t>die Geschichte, die gesellschaftlichen und konfessionellen Fragen der weiblichen Patronage sind weiterhin unklar.</w:t>
      </w:r>
    </w:p>
    <w:p w14:paraId="29D90CF9" w14:textId="77777777" w:rsidR="00327DF7" w:rsidRPr="00FB4EFA" w:rsidRDefault="00327DF7" w:rsidP="00327DF7">
      <w:pPr>
        <w:spacing w:after="160"/>
        <w:ind w:firstLine="709"/>
      </w:pPr>
      <w:r w:rsidRPr="00FB4EFA">
        <w:t xml:space="preserve">Die bisherigen Untersuchungen der ungarischsprachigen Literatur der ersten Hälfte des 17. Jahrhunderts zeigen allerdings eine viel markantere weibliche Mitwirkung auf diesem Gebiet der gesellschaftlichen Repräsentation, als bisher von der (vor allem ungarischsprachigen) Literaturwissenschaft vermutet wurde. Die Patronage der explizit ungarischsprachigen kirchlichen Literatur gehörte, wie die neuesten Forschungen bezüglich des weiblichen Kunstmäzenatentums zeigen, in Ungarn in der frühen Neuzeit nunmehr zu den wichtigen repräsentativen Tätigkeiten und bekam </w:t>
      </w:r>
      <w:r w:rsidRPr="00FB4EFA">
        <w:rPr>
          <w:rFonts w:cs="Gentium Book Basic"/>
        </w:rPr>
        <w:t>eine zunehmende Bedeutung</w:t>
      </w:r>
      <w:r w:rsidRPr="00FB4EFA">
        <w:t xml:space="preserve"> in der religiösen Praxis der Frauen. Die Teilnahme der Frauen an der Unterstützung der landessprachlichen kirchlichen Literatur – an deren </w:t>
      </w:r>
      <w:r w:rsidRPr="00FB4EFA">
        <w:rPr>
          <w:rFonts w:cs="Gentium Book Basic"/>
        </w:rPr>
        <w:t xml:space="preserve">Fertigstellung und Herausgabe – </w:t>
      </w:r>
      <w:r w:rsidRPr="00FB4EFA">
        <w:t>blieb in dieser Zeit in allen räumlichen, sozialen und vor allem konfessionellen Gruppen durchgehend stabil und ausgewogen. Die Reformation brachte zwar einen Durchbruch auf dem Gebiet der weiblichen Bildung sowie der persönlichen und kulturellen Unabhängigkeit mit sich, aber die Förderwilligkeit unter den Frauen – im Gegensatz zu der Gruppe der männlichen Förderer – schien in der Zeit keine konfessionelle Besonderheit (mehr) zu sein. Katholische und evangelische Frauen waren dabei ebenso aktiv wie die reformierten. Wie das Beispiel von Zsófia Báthory oder Krisztina Nyáry über eine konfessionsübergreifende Fördertätigkeit zeigt, war die Patronage der Kirche und der kirchlichen Literatur eine mit der Zeit wachsende gesellschaftliche und kulturelle Anforderung, die innerhalb der Familie von Mutter zu Tochter sowie von Schwiegermutter zu Schwiegertochter weitergegeben und unabhängig von der konfessionellen Zugehörigkeit fortgeführt wurde.</w:t>
      </w:r>
    </w:p>
    <w:p w14:paraId="4FB03C2F" w14:textId="078442F5" w:rsidR="00A853A7" w:rsidRPr="00FB4EFA" w:rsidRDefault="00A853A7" w:rsidP="00402EF4">
      <w:pPr>
        <w:spacing w:after="160"/>
        <w:ind w:firstLine="709"/>
        <w:rPr>
          <w:smallCaps/>
          <w:sz w:val="48"/>
          <w:szCs w:val="48"/>
        </w:rPr>
        <w:sectPr w:rsidR="00A853A7" w:rsidRPr="00FB4EFA">
          <w:headerReference w:type="even" r:id="rId496"/>
          <w:headerReference w:type="default" r:id="rId497"/>
          <w:headerReference w:type="first" r:id="rId498"/>
          <w:footnotePr>
            <w:numRestart w:val="eachSect"/>
          </w:footnotePr>
          <w:pgSz w:w="9180" w:h="13302"/>
          <w:pgMar w:top="779" w:right="1133" w:bottom="1132" w:left="1133" w:header="744" w:footer="720" w:gutter="0"/>
          <w:cols w:space="720"/>
          <w:titlePg/>
        </w:sectPr>
      </w:pPr>
    </w:p>
    <w:p w14:paraId="5DF12716" w14:textId="77777777" w:rsidR="00A96E85" w:rsidRPr="00FB4EFA" w:rsidRDefault="00A96E85" w:rsidP="00AF0CAD">
      <w:pPr>
        <w:pStyle w:val="Authors"/>
        <w:spacing w:line="259" w:lineRule="auto"/>
        <w:rPr>
          <w:color w:val="auto"/>
          <w:lang w:val="de-AT"/>
        </w:rPr>
      </w:pPr>
      <w:r w:rsidRPr="00FB4EFA">
        <w:rPr>
          <w:color w:val="auto"/>
          <w:lang w:val="de-AT"/>
        </w:rPr>
        <w:lastRenderedPageBreak/>
        <w:t>Andrea Seidler</w:t>
      </w:r>
    </w:p>
    <w:p w14:paraId="07756E48" w14:textId="77777777" w:rsidR="00A96E85" w:rsidRPr="00FB4EFA" w:rsidRDefault="00A96E85" w:rsidP="00402EF4"/>
    <w:p w14:paraId="3F147A3A" w14:textId="63F03FC8" w:rsidR="00A96E85" w:rsidRPr="00FB4EFA" w:rsidRDefault="00A96E85" w:rsidP="00994E2A">
      <w:pPr>
        <w:pStyle w:val="Heading1"/>
        <w:suppressAutoHyphens/>
        <w:spacing w:line="259" w:lineRule="auto"/>
        <w:ind w:right="74"/>
        <w:rPr>
          <w:color w:val="auto"/>
          <w:lang w:val="de-AT"/>
        </w:rPr>
      </w:pPr>
      <w:bookmarkStart w:id="143" w:name="_Toc87547025"/>
      <w:bookmarkStart w:id="144" w:name="_Ref90999731"/>
      <w:r w:rsidRPr="00FB4EFA">
        <w:rPr>
          <w:color w:val="auto"/>
          <w:lang w:val="de-AT"/>
        </w:rPr>
        <w:t>Die Pracht der Majestät, das sanfte Lächeln der Natur: Schloss Esterháza im Fokus von Beschreibungen des späten 18. Jahrhunderts</w:t>
      </w:r>
      <w:bookmarkEnd w:id="143"/>
      <w:bookmarkEnd w:id="144"/>
    </w:p>
    <w:p w14:paraId="06E084C6" w14:textId="77777777" w:rsidR="000121EA" w:rsidRPr="00FB4EFA" w:rsidRDefault="0015664D" w:rsidP="00AC1192">
      <w:pPr>
        <w:suppressAutoHyphens/>
        <w:spacing w:line="240" w:lineRule="auto"/>
        <w:jc w:val="right"/>
        <w:rPr>
          <w:i/>
          <w:iCs/>
          <w:sz w:val="20"/>
          <w:szCs w:val="20"/>
        </w:rPr>
      </w:pPr>
      <w:r w:rsidRPr="00FB4EFA">
        <w:rPr>
          <w:i/>
          <w:iCs/>
          <w:sz w:val="20"/>
          <w:szCs w:val="20"/>
        </w:rPr>
        <w:t>An allen Enden, der Gänge, und Aleen, findet das Aug anziehende</w:t>
      </w:r>
    </w:p>
    <w:p w14:paraId="6528E78A" w14:textId="7AB766BD" w:rsidR="000121EA" w:rsidRPr="00FB4EFA" w:rsidRDefault="0015664D" w:rsidP="00AC1192">
      <w:pPr>
        <w:suppressAutoHyphens/>
        <w:spacing w:line="240" w:lineRule="auto"/>
        <w:jc w:val="right"/>
        <w:rPr>
          <w:i/>
          <w:iCs/>
          <w:sz w:val="20"/>
          <w:szCs w:val="20"/>
        </w:rPr>
      </w:pPr>
      <w:r w:rsidRPr="00FB4EFA">
        <w:rPr>
          <w:i/>
          <w:iCs/>
          <w:sz w:val="20"/>
          <w:szCs w:val="20"/>
        </w:rPr>
        <w:t xml:space="preserve">Gegenstände, Statuen, Tempel, Grotten, Wasserwerke, </w:t>
      </w:r>
      <w:r w:rsidR="003711F3" w:rsidRPr="00FB4EFA">
        <w:rPr>
          <w:i/>
          <w:iCs/>
          <w:sz w:val="20"/>
          <w:szCs w:val="20"/>
        </w:rPr>
        <w:t>–</w:t>
      </w:r>
      <w:r w:rsidRPr="00FB4EFA">
        <w:rPr>
          <w:i/>
          <w:iCs/>
          <w:sz w:val="20"/>
          <w:szCs w:val="20"/>
        </w:rPr>
        <w:t xml:space="preserve"> überall</w:t>
      </w:r>
    </w:p>
    <w:p w14:paraId="6DD5554B" w14:textId="77777777" w:rsidR="000121EA" w:rsidRPr="00FB4EFA" w:rsidRDefault="0015664D" w:rsidP="00AC1192">
      <w:pPr>
        <w:suppressAutoHyphens/>
        <w:spacing w:line="240" w:lineRule="auto"/>
        <w:jc w:val="right"/>
        <w:rPr>
          <w:i/>
          <w:iCs/>
          <w:sz w:val="20"/>
          <w:szCs w:val="20"/>
        </w:rPr>
      </w:pPr>
      <w:r w:rsidRPr="00FB4EFA">
        <w:rPr>
          <w:i/>
          <w:iCs/>
          <w:sz w:val="20"/>
          <w:szCs w:val="20"/>
        </w:rPr>
        <w:t>Pracht der Majestät, sanftes Lächeln der Natur,</w:t>
      </w:r>
    </w:p>
    <w:p w14:paraId="300A9841" w14:textId="77777777" w:rsidR="000121EA" w:rsidRPr="00FB4EFA" w:rsidRDefault="0015664D" w:rsidP="00AC1192">
      <w:pPr>
        <w:suppressAutoHyphens/>
        <w:spacing w:line="240" w:lineRule="auto"/>
        <w:jc w:val="right"/>
        <w:rPr>
          <w:sz w:val="20"/>
          <w:szCs w:val="20"/>
        </w:rPr>
      </w:pPr>
      <w:r w:rsidRPr="00FB4EFA">
        <w:rPr>
          <w:i/>
          <w:iCs/>
          <w:sz w:val="20"/>
          <w:szCs w:val="20"/>
        </w:rPr>
        <w:t>Freude und Entzücken!</w:t>
      </w:r>
      <w:r w:rsidRPr="00FB4EFA">
        <w:rPr>
          <w:rFonts w:eastAsia="Arial" w:cs="Arial"/>
          <w:sz w:val="20"/>
          <w:szCs w:val="20"/>
          <w:vertAlign w:val="superscript"/>
        </w:rPr>
        <w:footnoteReference w:id="276"/>
      </w:r>
    </w:p>
    <w:p w14:paraId="26948A31" w14:textId="79867889" w:rsidR="0015664D" w:rsidRPr="00FB4EFA" w:rsidRDefault="0015664D" w:rsidP="00402EF4">
      <w:pPr>
        <w:spacing w:before="240"/>
      </w:pPr>
      <w:r w:rsidRPr="00FB4EFA">
        <w:t>In meinem Beitrag geht es um drei unterschiedliche Beschreibungen des Schlosses Esterháza in Fertőd</w:t>
      </w:r>
      <w:r w:rsidRPr="00FB4EFA">
        <w:rPr>
          <w:rFonts w:cs="Charis SIL"/>
          <w:vertAlign w:val="superscript"/>
        </w:rPr>
        <w:footnoteReference w:id="277"/>
      </w:r>
      <w:r w:rsidRPr="00FB4EFA">
        <w:t xml:space="preserve"> im Königreich Ungarn: </w:t>
      </w:r>
      <w:r w:rsidR="00C455F6" w:rsidRPr="00FB4EFA">
        <w:t>S</w:t>
      </w:r>
      <w:r w:rsidRPr="00FB4EFA">
        <w:t>ie wurden von gebürtigen Ungarn bzw. Hungari verfasst, allerdings mit unterschiedlicher Intention, und an verschiedenen Druckorten publiziert.</w:t>
      </w:r>
    </w:p>
    <w:p w14:paraId="2B864B19" w14:textId="5EBC7F6B" w:rsidR="0015664D" w:rsidRPr="00FB4EFA" w:rsidRDefault="0015664D" w:rsidP="00AF0CAD">
      <w:pPr>
        <w:ind w:firstLine="709"/>
        <w:rPr>
          <w:rFonts w:cs="Charis SIL"/>
        </w:rPr>
      </w:pPr>
      <w:r w:rsidRPr="00FB4EFA">
        <w:t>Gemeinsam ist ihnen allen die Bewunderung für die Hofhaltung des Fürsten Nikolaus I. Joseph Esterházy de Galantha, für den Prunk und Reichtum, der sich an der Architektur und dem Interieur des Schlosses manifestiert, für den bauliche und landschaftsgestalterische Innovationen nicht scheuenden Bauherrn, aber auch</w:t>
      </w:r>
      <w:r w:rsidR="000121EA" w:rsidRPr="00FB4EFA">
        <w:t xml:space="preserve"> </w:t>
      </w:r>
      <w:r w:rsidRPr="00FB4EFA">
        <w:t xml:space="preserve">für den Fürsten als Kunstmäzen </w:t>
      </w:r>
      <w:r w:rsidRPr="00FB4EFA">
        <w:rPr>
          <w:kern w:val="2"/>
        </w:rPr>
        <w:t>–</w:t>
      </w:r>
      <w:r w:rsidRPr="00FB4EFA">
        <w:t xml:space="preserve"> denken wir beispielsweise an das berühmte Schlosstheater oder an </w:t>
      </w:r>
      <w:r w:rsidR="00125980" w:rsidRPr="00FB4EFA">
        <w:br/>
      </w:r>
      <w:r w:rsidRPr="00FB4EFA">
        <w:t xml:space="preserve">Joseph Haydn als Haus- und Hofmusiker </w:t>
      </w:r>
      <w:r w:rsidRPr="00FB4EFA">
        <w:rPr>
          <w:rFonts w:cs="Charis SIL"/>
        </w:rPr>
        <w:t xml:space="preserve">des Fürsten </w:t>
      </w:r>
      <w:r w:rsidRPr="00FB4EFA">
        <w:rPr>
          <w:rFonts w:cs="Charis SIL"/>
          <w:kern w:val="2"/>
        </w:rPr>
        <w:t xml:space="preserve">– </w:t>
      </w:r>
      <w:r w:rsidRPr="00FB4EFA">
        <w:rPr>
          <w:rFonts w:cs="Charis SIL"/>
        </w:rPr>
        <w:t>sowie den Fürsten als Buchsammler.</w:t>
      </w:r>
      <w:r w:rsidRPr="00FB4EFA">
        <w:rPr>
          <w:rFonts w:cs="Charis SIL"/>
          <w:szCs w:val="24"/>
          <w:vertAlign w:val="superscript"/>
        </w:rPr>
        <w:footnoteReference w:id="278"/>
      </w:r>
    </w:p>
    <w:p w14:paraId="59FBDAFE" w14:textId="77777777" w:rsidR="0015664D" w:rsidRPr="00FB4EFA" w:rsidRDefault="0015664D" w:rsidP="00402EF4">
      <w:pPr>
        <w:spacing w:before="240" w:after="240"/>
        <w:rPr>
          <w:rFonts w:cs="Charis SIL"/>
        </w:rPr>
      </w:pPr>
      <w:r w:rsidRPr="00FB4EFA">
        <w:rPr>
          <w:rFonts w:cs="Charis SIL"/>
        </w:rPr>
        <w:t>Die drei Quellen sind die folgenden:</w:t>
      </w:r>
      <w:r w:rsidRPr="00FB4EFA">
        <w:rPr>
          <w:rFonts w:eastAsia="Arial" w:cs="Charis SIL"/>
          <w:vertAlign w:val="superscript"/>
        </w:rPr>
        <w:footnoteReference w:id="279"/>
      </w:r>
    </w:p>
    <w:p w14:paraId="2E0D251B" w14:textId="77777777" w:rsidR="0015664D" w:rsidRPr="00FB4EFA" w:rsidRDefault="0015664D" w:rsidP="0031102D">
      <w:pPr>
        <w:numPr>
          <w:ilvl w:val="0"/>
          <w:numId w:val="15"/>
        </w:numPr>
        <w:ind w:left="425" w:hanging="425"/>
        <w:rPr>
          <w:rFonts w:cs="Charis SIL"/>
        </w:rPr>
      </w:pPr>
      <w:r w:rsidRPr="00FB4EFA">
        <w:rPr>
          <w:rFonts w:cs="Charis SIL"/>
          <w:szCs w:val="24"/>
        </w:rPr>
        <w:lastRenderedPageBreak/>
        <w:t>Gottfried von Rot(t)enstein: Reise durch einen Theil von Königreich Ungarn seit dem Jahre 1763, erschienen in Berlin</w:t>
      </w:r>
    </w:p>
    <w:p w14:paraId="495546B0" w14:textId="77777777" w:rsidR="0015664D" w:rsidRPr="00FB4EFA" w:rsidRDefault="0015664D" w:rsidP="0031102D">
      <w:pPr>
        <w:numPr>
          <w:ilvl w:val="0"/>
          <w:numId w:val="15"/>
        </w:numPr>
        <w:ind w:left="425" w:hanging="425"/>
      </w:pPr>
      <w:r w:rsidRPr="00FB4EFA">
        <w:rPr>
          <w:rFonts w:cs="Charis SIL"/>
          <w:szCs w:val="24"/>
        </w:rPr>
        <w:t>[Karl Gottlieb</w:t>
      </w:r>
      <w:r w:rsidRPr="00FB4EFA">
        <w:rPr>
          <w:szCs w:val="24"/>
        </w:rPr>
        <w:t xml:space="preserve"> Windisch]: Beschreibung des Hochfürstlichen Schlosses Esterhaz im Königreich Ungarn, 1784 erschienen in Pressburg</w:t>
      </w:r>
    </w:p>
    <w:p w14:paraId="6785AB85" w14:textId="5A5895D6" w:rsidR="0015664D" w:rsidRPr="00FB4EFA" w:rsidRDefault="0015664D" w:rsidP="0031102D">
      <w:pPr>
        <w:numPr>
          <w:ilvl w:val="0"/>
          <w:numId w:val="15"/>
        </w:numPr>
        <w:ind w:left="425" w:hanging="425"/>
      </w:pPr>
      <w:r w:rsidRPr="00FB4EFA">
        <w:rPr>
          <w:szCs w:val="24"/>
        </w:rPr>
        <w:t>[Johann Matthias Korabinsky]: Geographisch-historisches und Producten Lexikon, 1786 ebenfalls in Pre</w:t>
      </w:r>
      <w:r w:rsidR="0074283E" w:rsidRPr="00FB4EFA">
        <w:rPr>
          <w:szCs w:val="24"/>
        </w:rPr>
        <w:t>ss</w:t>
      </w:r>
      <w:r w:rsidRPr="00FB4EFA">
        <w:rPr>
          <w:szCs w:val="24"/>
        </w:rPr>
        <w:t>burg erschienen</w:t>
      </w:r>
    </w:p>
    <w:p w14:paraId="0E120880" w14:textId="77777777" w:rsidR="0015664D" w:rsidRPr="00FB4EFA" w:rsidRDefault="0015664D" w:rsidP="00545033">
      <w:pPr>
        <w:pStyle w:val="Heading2"/>
        <w:suppressAutoHyphens/>
        <w:spacing w:line="259" w:lineRule="auto"/>
        <w:rPr>
          <w:rFonts w:eastAsia="Arial" w:cs="Arial"/>
          <w:color w:val="auto"/>
          <w:lang w:val="de-AT"/>
        </w:rPr>
      </w:pPr>
      <w:r w:rsidRPr="00FB4EFA">
        <w:rPr>
          <w:color w:val="auto"/>
          <w:lang w:val="de-AT"/>
        </w:rPr>
        <w:t>Der Schlossherr, Fürst Nikolaus I. Eszterházy</w:t>
      </w:r>
    </w:p>
    <w:p w14:paraId="64DCE1A7" w14:textId="77777777" w:rsidR="0015664D" w:rsidRPr="00FB4EFA" w:rsidRDefault="0015664D" w:rsidP="00AF0CAD">
      <w:r w:rsidRPr="00FB4EFA">
        <w:t xml:space="preserve">Bereits Johann Wolfgang von Goethe hatte Nikolaus I., den Prachtliebenden, wie er genannt wurde, in seiner Lebensbeschreibung </w:t>
      </w:r>
      <w:r w:rsidRPr="00FB4EFA">
        <w:rPr>
          <w:i/>
          <w:iCs/>
        </w:rPr>
        <w:t>Dichtung und Wahrheit</w:t>
      </w:r>
      <w:r w:rsidRPr="00FB4EFA">
        <w:rPr>
          <w:rFonts w:eastAsia="Arial" w:cs="Arial"/>
          <w:vertAlign w:val="superscript"/>
        </w:rPr>
        <w:footnoteReference w:id="280"/>
      </w:r>
      <w:r w:rsidRPr="00FB4EFA">
        <w:t xml:space="preserve"> ein Denkmal gesetzt und ihn folgendermaßen beschrieben: </w:t>
      </w:r>
      <w:r w:rsidRPr="00FB4EFA">
        <w:rPr>
          <w:i/>
          <w:iCs/>
        </w:rPr>
        <w:t>Esterhazy, der böhmische Gesandte, war nicht groß aber wohlgebaut, lebhaft und zugleich vornehm anständig, ohne Stolz und Kälte. Ich hatte eine besondere Neigung zu ihm</w:t>
      </w:r>
      <w:r w:rsidRPr="00FB4EFA">
        <w:t>.</w:t>
      </w:r>
      <w:r w:rsidRPr="00FB4EFA">
        <w:rPr>
          <w:rFonts w:eastAsia="Arial" w:cs="Arial"/>
          <w:vertAlign w:val="superscript"/>
        </w:rPr>
        <w:footnoteReference w:id="281"/>
      </w:r>
      <w:r w:rsidRPr="00FB4EFA">
        <w:t xml:space="preserve"> Nikolaus I. war der fünfte Fürst aus dem Haus Esterházy de Galantha. Er trug diesen Titel nach dem Tod seines Bruders Paul II. ab dem Jahr 1762. Der Fürst hatte eine militärische Laufbahn eingeschlagen, führte das Andrássy-Infanterieregiment an und hatte den Rang eines Feldmarschalls inne. 1764 wurde er Hauptmann der von Kaiserin/Königin Maria Theresia gegründeten ungarischen Leibgarde und nahm im selben Jahr als solcher an den Krönungsfeierlichkeiten Josephs II. in Frankfurt teil. Und auch in Frankfurt wusste der Fürst durch seine aufwendige Hofhaltung zu beeindrucken. So schrieb Johann Wolfgang Goethe verzückt über das Fest des Krönungsbotschafters:</w:t>
      </w:r>
    </w:p>
    <w:p w14:paraId="3D6C1C27" w14:textId="77777777" w:rsidR="000121EA" w:rsidRPr="00FB4EFA" w:rsidRDefault="0015664D" w:rsidP="00AC1192">
      <w:pPr>
        <w:suppressAutoHyphens/>
        <w:spacing w:before="240" w:after="240" w:line="240" w:lineRule="auto"/>
        <w:ind w:left="709"/>
        <w:rPr>
          <w:sz w:val="20"/>
          <w:szCs w:val="20"/>
        </w:rPr>
      </w:pPr>
      <w:r w:rsidRPr="00FB4EFA">
        <w:rPr>
          <w:sz w:val="20"/>
          <w:szCs w:val="20"/>
        </w:rPr>
        <w:lastRenderedPageBreak/>
        <w:t>Vor den Häusern einiger Gesandten, wo man prächtige Illuminationen angebracht hatte […] war es so hell wie es am Tage nur sein kann. […] Wir bewunderten die verschiedenen glänzenden Darstellungen und die feenmäßigen Flammengebäude, womit immer ein Gesandter den andern zu überbieten gedacht hatte. Die Anstalt des Fürsten Esterhazy jedoch übertraf alle die übrigen. Unsere kleine Gesellschaft war von der Erfindung und Ausführung entzückt, und wir wollten eben das Einzelne recht genießen, als uns die Vettern wieder begegneten und von der herrlichen Erleuchtung sprachen, womit der brandenburgische Gesandte sein Quartier ausgeschmückt habe. Wir ließen uns nicht verdrießen, den weiten Weg von dem Roßmarkte bis zum Saalhof zu machen, fanden aber, daß man uns auf eine frevle Weise zum Besten gehabt hatte. […] so ging man doch lieber in das Esterhazysche Feenreich wieder zurück.</w:t>
      </w:r>
      <w:r w:rsidRPr="00FB4EFA">
        <w:rPr>
          <w:rFonts w:cs="Arial"/>
          <w:sz w:val="20"/>
          <w:szCs w:val="20"/>
        </w:rPr>
        <w:t xml:space="preserve"> Dieser hohe Botschafter hatte, diesen Tag zu ehren, sein ungünstig gelegenes Quartier ganz übergangen und dafür die große Linden-Esplanade am Roßmarkt vorn mit einem farbig erleuchteten Portal, im Hintergrund aber mit einem wohl noch prächtigem Prospekte verzieren lassen. Die ganze Einfassung bezeichneten Lampen. Zwischen den Bäumen standen Licht-Pyramiden und Kugeln auf durchscheinenden Piedestalen; von einem Baum zum andern zogen sich leuchtende Girlanden, an welchen Hängeleuchter schwebten. An mehreren Orten verteilte man Brot und Würste unter das Volk und ließ es an Wein nicht fehlen.</w:t>
      </w:r>
      <w:r w:rsidRPr="00FB4EFA">
        <w:rPr>
          <w:rFonts w:eastAsia="Arial" w:cs="Arial"/>
          <w:sz w:val="20"/>
          <w:szCs w:val="20"/>
          <w:vertAlign w:val="superscript"/>
        </w:rPr>
        <w:footnoteReference w:id="282"/>
      </w:r>
    </w:p>
    <w:p w14:paraId="3ABD699D" w14:textId="5AD27612" w:rsidR="0015664D" w:rsidRPr="00FB4EFA" w:rsidRDefault="0015664D" w:rsidP="00AF0CAD">
      <w:r w:rsidRPr="00FB4EFA">
        <w:t xml:space="preserve">Das berühmte </w:t>
      </w:r>
      <w:r w:rsidRPr="00FB4EFA">
        <w:rPr>
          <w:i/>
          <w:iCs/>
        </w:rPr>
        <w:t>Esterhazy</w:t>
      </w:r>
      <w:r w:rsidR="00475A5B" w:rsidRPr="00FB4EFA">
        <w:rPr>
          <w:i/>
          <w:iCs/>
        </w:rPr>
        <w:t>‘</w:t>
      </w:r>
      <w:r w:rsidRPr="00FB4EFA">
        <w:rPr>
          <w:i/>
          <w:iCs/>
        </w:rPr>
        <w:t>sche Feenreich</w:t>
      </w:r>
      <w:r w:rsidRPr="00FB4EFA">
        <w:t xml:space="preserve"> bezeichnete nicht das Quartier, das der Fürst in Frankfurt bezogen hatte, sondern die Lindenesplanade, auf der aus Anlass der Krönung Josephs II. ausgelassen und unter Einbindung der Zuschauerschaft auf Einladung des Fürsten gefeiert wurde. Der Name wurde allerdings später gern auch auf das Schloss in Fertőd angewandt.</w:t>
      </w:r>
    </w:p>
    <w:p w14:paraId="0F897D8F" w14:textId="77777777" w:rsidR="0015664D" w:rsidRPr="00FB4EFA" w:rsidRDefault="0015664D" w:rsidP="00402EF4">
      <w:pPr>
        <w:ind w:firstLine="709"/>
        <w:rPr>
          <w:rFonts w:eastAsia="Arial" w:cs="Arial"/>
        </w:rPr>
      </w:pPr>
      <w:r w:rsidRPr="00FB4EFA">
        <w:t>Der Reiseschriftsteller Gottfried von Rottenstein, von dessen Werk weiter unten die Rede sein wird, schloss sich in seiner Beschreibung von Esterháza Goethes Urteil über den feinsinnigen Fürsten an:</w:t>
      </w:r>
    </w:p>
    <w:p w14:paraId="28A2A267" w14:textId="77777777" w:rsidR="0015664D" w:rsidRPr="00FB4EFA" w:rsidRDefault="0015664D" w:rsidP="002A3BC9">
      <w:pPr>
        <w:suppressAutoHyphens/>
        <w:spacing w:before="240" w:after="240" w:line="240" w:lineRule="auto"/>
        <w:ind w:left="709"/>
        <w:rPr>
          <w:sz w:val="20"/>
          <w:szCs w:val="20"/>
        </w:rPr>
      </w:pPr>
      <w:r w:rsidRPr="00FB4EFA">
        <w:rPr>
          <w:sz w:val="20"/>
          <w:szCs w:val="20"/>
        </w:rPr>
        <w:t xml:space="preserve">Der Fürst, schreibt er über Nikolaus I., […] ist ein Herr von mittelmäßiger Statur, hat ein schönes, männliches Gesicht und besitzt ein gutes Herz; er ist ein Kenner der Wissenschaften, und liebt die Künste und Musik; seine Lieblingsunterhaltungen sind die Musik und Opern […] Das Bauen, die Lektür, sind auch Sachen, die dieser Herr liebt; überhaupt hat er einen herrlichen Geschmack. […] Sonst gehet dieser Herr ganz simpel, deutsch aber gustos gekleidet, ist freundlich zu </w:t>
      </w:r>
      <w:r w:rsidRPr="00FB4EFA">
        <w:rPr>
          <w:sz w:val="20"/>
          <w:szCs w:val="20"/>
        </w:rPr>
        <w:lastRenderedPageBreak/>
        <w:t>jedermann, lässt auch einen jeden honnet-homme (welches auch mir einige Male widerfahren) mit seinem Wagen in Esterhaz herumführen, und alle Merkwürdigkeiten zeigen. Die Opern und Comödien sind frey, so oft fremde kommen, und niemand gehet von Esterhaz weg, der nicht von der Freundlichkeit des Fürsten bezaubert ist.</w:t>
      </w:r>
      <w:r w:rsidRPr="00FB4EFA">
        <w:rPr>
          <w:rFonts w:eastAsia="Arial" w:cs="Arial"/>
          <w:sz w:val="20"/>
          <w:szCs w:val="20"/>
          <w:vertAlign w:val="superscript"/>
        </w:rPr>
        <w:footnoteReference w:id="283"/>
      </w:r>
    </w:p>
    <w:p w14:paraId="023D1FE4" w14:textId="0CF201F7" w:rsidR="0015664D" w:rsidRPr="00FB4EFA" w:rsidRDefault="0015664D" w:rsidP="00402EF4">
      <w:pPr>
        <w:spacing w:after="240"/>
      </w:pPr>
      <w:r w:rsidRPr="00FB4EFA">
        <w:t>Nikolaus I. liebte nicht nur die Künste, er wusste sich auch durch seine Umgebung zu inszenieren und legte große</w:t>
      </w:r>
      <w:r w:rsidR="00C455F6" w:rsidRPr="00FB4EFA">
        <w:t>n</w:t>
      </w:r>
      <w:r w:rsidRPr="00FB4EFA">
        <w:t xml:space="preserve"> Wert auf die Pracht seiner Schlösser. Von besonderer Bedeutung war für ihn das von seinem Vater gebaute Jagdschloss in Schüttern (ung. Süttör, heute Westungarn und Teil der Gemeinde Fertőrákos), das er zu einer prachtvollen Sommerresidenz umbauen ließ.</w:t>
      </w:r>
    </w:p>
    <w:p w14:paraId="7DFD1277" w14:textId="77777777" w:rsidR="0015664D" w:rsidRPr="00FB4EFA" w:rsidRDefault="0015664D" w:rsidP="00402EF4">
      <w:pPr>
        <w:jc w:val="center"/>
      </w:pPr>
      <w:r w:rsidRPr="00FB4EFA">
        <w:rPr>
          <w:noProof/>
        </w:rPr>
        <w:drawing>
          <wp:inline distT="0" distB="0" distL="0" distR="0" wp14:anchorId="1F08BFAF" wp14:editId="6707744C">
            <wp:extent cx="3601085" cy="2453640"/>
            <wp:effectExtent l="0" t="0" r="0" b="0"/>
            <wp:docPr id="21" name="Grafik 5" descr="A black and white photo of a city with a river running through i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1" name="Grafik 5" descr="A black and white photo of a city with a river running through it&#10;&#10;Description automatically generated with low confidence"/>
                    <pic:cNvPicPr/>
                  </pic:nvPicPr>
                  <pic:blipFill>
                    <a:blip r:embed="rId499">
                      <a:extLst>
                        <a:ext uri="{BEBA8EAE-BF5A-486C-A8C5-ECC9F3942E4B}">
                          <a14:imgProps xmlns:a14="http://schemas.microsoft.com/office/drawing/2010/main">
                            <a14:imgLayer r:embed="rId500">
                              <a14:imgEffect>
                                <a14:saturation sat="0"/>
                              </a14:imgEffect>
                            </a14:imgLayer>
                          </a14:imgProps>
                        </a:ext>
                      </a:extLst>
                    </a:blip>
                    <a:stretch/>
                  </pic:blipFill>
                  <pic:spPr>
                    <a:xfrm>
                      <a:off x="0" y="0"/>
                      <a:ext cx="3601085" cy="2453640"/>
                    </a:xfrm>
                    <a:prstGeom prst="rect">
                      <a:avLst/>
                    </a:prstGeom>
                    <a:ln>
                      <a:noFill/>
                    </a:ln>
                  </pic:spPr>
                </pic:pic>
              </a:graphicData>
            </a:graphic>
          </wp:inline>
        </w:drawing>
      </w:r>
    </w:p>
    <w:p w14:paraId="70BA589D" w14:textId="77777777" w:rsidR="0015664D" w:rsidRPr="00FB4EFA" w:rsidRDefault="0015664D" w:rsidP="00AF0CAD">
      <w:pPr>
        <w:spacing w:before="120" w:after="240" w:line="240" w:lineRule="auto"/>
        <w:jc w:val="center"/>
      </w:pPr>
      <w:r w:rsidRPr="00FB4EFA">
        <w:rPr>
          <w:b/>
          <w:bCs/>
          <w:sz w:val="18"/>
          <w:szCs w:val="18"/>
        </w:rPr>
        <w:t>Illustration 1</w:t>
      </w:r>
      <w:r w:rsidRPr="00FB4EFA">
        <w:rPr>
          <w:sz w:val="18"/>
          <w:szCs w:val="18"/>
        </w:rPr>
        <w:t>. Schloss Esterháza, Gemälde, zeitgenössische Darstellung, unbekannter Maler</w:t>
      </w:r>
      <w:r w:rsidRPr="00FB4EFA">
        <w:rPr>
          <w:sz w:val="18"/>
          <w:szCs w:val="18"/>
          <w:vertAlign w:val="superscript"/>
        </w:rPr>
        <w:footnoteReference w:id="284"/>
      </w:r>
    </w:p>
    <w:p w14:paraId="37E679D8" w14:textId="77777777" w:rsidR="0015664D" w:rsidRPr="00FB4EFA" w:rsidRDefault="0015664D" w:rsidP="00545033">
      <w:pPr>
        <w:pStyle w:val="Heading2"/>
        <w:suppressAutoHyphens/>
        <w:spacing w:line="259" w:lineRule="auto"/>
        <w:rPr>
          <w:rFonts w:eastAsia="Arial" w:cs="Arial"/>
          <w:color w:val="auto"/>
          <w:lang w:val="de-AT"/>
        </w:rPr>
      </w:pPr>
      <w:r w:rsidRPr="00FB4EFA">
        <w:rPr>
          <w:color w:val="auto"/>
          <w:lang w:val="de-AT"/>
        </w:rPr>
        <w:t>Windisch, Rottensteiner, Korabinszky</w:t>
      </w:r>
    </w:p>
    <w:p w14:paraId="1FDD2238" w14:textId="063EC363" w:rsidR="0015664D" w:rsidRPr="00FB4EFA" w:rsidRDefault="0015664D" w:rsidP="00402EF4">
      <w:pPr>
        <w:rPr>
          <w:rFonts w:eastAsia="Arial" w:cs="Arial"/>
        </w:rPr>
      </w:pPr>
      <w:r w:rsidRPr="00FB4EFA">
        <w:t xml:space="preserve">Karl Gottlieb Windisch, Gottfried von Rottenstein (auch Rotstein, </w:t>
      </w:r>
      <w:r w:rsidR="00125980" w:rsidRPr="00FB4EFA">
        <w:br/>
      </w:r>
      <w:r w:rsidRPr="00FB4EFA">
        <w:t xml:space="preserve">Rotenstein) und Johann Matthias Korabinszky beschrieben das </w:t>
      </w:r>
      <w:r w:rsidR="00125980" w:rsidRPr="00FB4EFA">
        <w:br/>
      </w:r>
      <w:r w:rsidRPr="00FB4EFA">
        <w:t>Esterházy</w:t>
      </w:r>
      <w:r w:rsidR="00475A5B" w:rsidRPr="00FB4EFA">
        <w:t>‘</w:t>
      </w:r>
      <w:r w:rsidRPr="00FB4EFA">
        <w:t xml:space="preserve">sche Schloss Ende des 18. Jahrhunderts in unterschiedlichen </w:t>
      </w:r>
      <w:r w:rsidRPr="00FB4EFA">
        <w:lastRenderedPageBreak/>
        <w:t xml:space="preserve">Formaten. Windisch ist der Forschung als autodidaktisch geschulter Historiker, Geograph, Dichter, Übersetzer und Herausgeber einer Reihe von Zeitschriften in Pressburg zwischen 1764 und 1793 weitgehend bekannt. Die meisten seiner Arbeiten sind signiert, entweder mit vollem Namen oder zumindest durch die Abkürzung W </w:t>
      </w:r>
      <w:r w:rsidRPr="00FB4EFA">
        <w:rPr>
          <w:kern w:val="2"/>
        </w:rPr>
        <w:t xml:space="preserve">– </w:t>
      </w:r>
      <w:r w:rsidRPr="00FB4EFA">
        <w:t>letzteres hauptsächlich bei Beiträgen zu seinen eigenen oder außerhalb Pre</w:t>
      </w:r>
      <w:r w:rsidR="0074283E" w:rsidRPr="00FB4EFA">
        <w:t>ss</w:t>
      </w:r>
      <w:r w:rsidRPr="00FB4EFA">
        <w:t>burgs edierten Zeitschriften. Windisch hielt nichts von der im Zeitalter der Aufklärung noch verbreiteten Anonymität des Verfassers, er stand vielmehr äußerst selbstbewusst, ja stolz hinter seinen Publikationen.</w:t>
      </w:r>
    </w:p>
    <w:p w14:paraId="01769484" w14:textId="77777777" w:rsidR="0015664D" w:rsidRPr="00FB4EFA" w:rsidRDefault="0015664D" w:rsidP="00402EF4">
      <w:pPr>
        <w:ind w:firstLine="709"/>
      </w:pPr>
      <w:r w:rsidRPr="00FB4EFA">
        <w:t>Seine Tätigkeit auf wissenschaftlichem Gebiet wurde von der Forschung nicht recht gewürdigt, ihm Laizismus und übertriebene Habsburger-Treue vorgeworfen, sein traditionelles Geschichtsbild kritisiert</w:t>
      </w:r>
      <w:r w:rsidRPr="00FB4EFA">
        <w:rPr>
          <w:szCs w:val="24"/>
          <w:vertAlign w:val="superscript"/>
        </w:rPr>
        <w:footnoteReference w:id="285"/>
      </w:r>
      <w:r w:rsidRPr="00FB4EFA">
        <w:t xml:space="preserve"> Windisch war sich seiner oftmals mangelhaften Kenntnisse auf wissenschaftlichem Gebiet bewusst. In seinem Briefwechsel mit dem Historiker, Heraldiker und Privatsekretär des Grafen Josef Teleki, Daniel Cornides, schreibt er diesem im Laufe der Jahre zu seinem intimsten Briefpartner gewordenen Spiritus Rector häufig darüber, dass seine Fähigkeiten als Geograph und Historiker weit unter seinen eigenen Erwartungen blieben. Man könnte diese affektierte Bescheidenheit auch als rhetorisches Mittel interpretieren – es kann aber auch sein, dass Windisch seine Unsicherheit tatsächlich erkannte. So wandte er sich neben wissenschaftlichen Publikationen auch gerne populäreren Textsorten zu, wie Moralischen Wochenschriften, Liederbüchern und Reisebeschreibungen.</w:t>
      </w:r>
    </w:p>
    <w:p w14:paraId="3D2C3B15" w14:textId="439A9A5B" w:rsidR="0015664D" w:rsidRPr="00FB4EFA" w:rsidRDefault="0015664D" w:rsidP="00AF0CAD">
      <w:pPr>
        <w:ind w:firstLine="709"/>
      </w:pPr>
      <w:r w:rsidRPr="00FB4EFA">
        <w:t>1784 erschien in Pre</w:t>
      </w:r>
      <w:r w:rsidR="007A490E" w:rsidRPr="00FB4EFA">
        <w:t>ss</w:t>
      </w:r>
      <w:r w:rsidRPr="00FB4EFA">
        <w:t xml:space="preserve">burg im Verlagshaus Löwe eine nicht signierte Publikation, die meiner Forschung nach ebenfalls auf Windisch zurückgeht. Es handelt sich um den Band </w:t>
      </w:r>
      <w:r w:rsidRPr="00FB4EFA">
        <w:rPr>
          <w:i/>
          <w:iCs/>
        </w:rPr>
        <w:t xml:space="preserve">Beschreibung des </w:t>
      </w:r>
      <w:r w:rsidR="00125980" w:rsidRPr="00FB4EFA">
        <w:rPr>
          <w:i/>
          <w:iCs/>
        </w:rPr>
        <w:br/>
      </w:r>
      <w:r w:rsidRPr="00FB4EFA">
        <w:rPr>
          <w:i/>
          <w:iCs/>
        </w:rPr>
        <w:t>Hochfürstlichen Schlosses Esterhaz im Königreich Ungarn.</w:t>
      </w:r>
      <w:r w:rsidRPr="00FB4EFA">
        <w:t xml:space="preserve"> Aus Windischs Briefen sowohl an Daniel Cornides als auch an den Jesuiten und Historiker Georg Pray kann man wohl darauf schließen, dass Windisch der Verfasser dieses Werkes über das Schloss gewesen ist.</w:t>
      </w:r>
      <w:r w:rsidRPr="00FB4EFA">
        <w:rPr>
          <w:szCs w:val="24"/>
          <w:vertAlign w:val="superscript"/>
        </w:rPr>
        <w:footnoteReference w:id="286"/>
      </w:r>
    </w:p>
    <w:p w14:paraId="242B3769" w14:textId="10664FB8" w:rsidR="000121EA" w:rsidRPr="00FB4EFA" w:rsidRDefault="0015664D" w:rsidP="00402EF4">
      <w:pPr>
        <w:ind w:firstLine="709"/>
      </w:pPr>
      <w:r w:rsidRPr="00FB4EFA">
        <w:t xml:space="preserve">Das Schloss Esterháza war zu Beginn des 18. Jahrhunderts von Fürst Michael Esterházy errichtet worden. Es diente der Familie damals lediglich als Jagdschloss. Erst 1764 ließ es sein Nachfahre Fürst Nikolaus </w:t>
      </w:r>
      <w:r w:rsidRPr="00FB4EFA">
        <w:lastRenderedPageBreak/>
        <w:t xml:space="preserve">I. Esterházy angeblich nach einem Besuch in Versailles (1764) und inspiriert durch die dortige Pracht zu einer Sommerresidenz umbauen. </w:t>
      </w:r>
      <w:r w:rsidR="00125980" w:rsidRPr="00FB4EFA">
        <w:br/>
      </w:r>
      <w:r w:rsidRPr="00FB4EFA">
        <w:t>Nikolaus I. war bekannt für seinen aufwendigen Lebensstil, der sich auch in der Hofhaltung in Fertőd widerspiegelte. Theater, Opern, Jagden, Feierlichkeiten, prominente Gäste gehörten zum Alltag im Schloss. Hier wurde Haydns Abschiedssymphonie 1772 uraufgeführt, Maria Theresia als Gast willkommen geheißen, eine Leibgarde von 150 Mann unterhalten und vieles mehr.</w:t>
      </w:r>
    </w:p>
    <w:p w14:paraId="05849E0D" w14:textId="737F176D" w:rsidR="0015664D" w:rsidRPr="00FB4EFA" w:rsidRDefault="0015664D" w:rsidP="00AF0CAD">
      <w:pPr>
        <w:ind w:firstLine="709"/>
        <w:rPr>
          <w:rFonts w:eastAsia="Arial" w:cs="Arial"/>
        </w:rPr>
      </w:pPr>
      <w:r w:rsidRPr="00FB4EFA">
        <w:t xml:space="preserve">Die Bauarbeiten an dem Schloss Esterháza dürften bereits 1762 im Gange gewesen sein. Die beiden Wiener Hofbaumeister Ferdinand Mödlhammer und Melchior Hefele (in manchen Quellen auch Heefele) wurden dafür verpflichtet. 1765 gab der Fürst dem Anwesen den Namen Esterház und datierte ab 1766 seine Briefe aus diesem Schloss. Bereits 1768 wurde das dazugehörige Opernhaus mit dem Haydn-Stück </w:t>
      </w:r>
      <w:r w:rsidRPr="00FB4EFA">
        <w:rPr>
          <w:i/>
          <w:iCs/>
        </w:rPr>
        <w:t xml:space="preserve">Lo </w:t>
      </w:r>
      <w:r w:rsidR="00125980" w:rsidRPr="00FB4EFA">
        <w:rPr>
          <w:i/>
          <w:iCs/>
        </w:rPr>
        <w:br/>
      </w:r>
      <w:r w:rsidRPr="00FB4EFA">
        <w:rPr>
          <w:i/>
          <w:iCs/>
        </w:rPr>
        <w:t>Speziale</w:t>
      </w:r>
      <w:r w:rsidRPr="00FB4EFA">
        <w:t xml:space="preserve"> eröffnet, 1769 erfolgte die endgültige Übersiedlung der Sänger und Musikanten nach Esterháza, also auch Joseph Haydns.</w:t>
      </w:r>
      <w:r w:rsidRPr="00FB4EFA">
        <w:rPr>
          <w:rFonts w:eastAsia="Arial" w:cs="Arial"/>
          <w:vertAlign w:val="superscript"/>
        </w:rPr>
        <w:footnoteReference w:id="287"/>
      </w:r>
    </w:p>
    <w:p w14:paraId="4BB00933" w14:textId="77777777" w:rsidR="0015664D" w:rsidRPr="00FB4EFA" w:rsidRDefault="0015664D" w:rsidP="00402EF4">
      <w:pPr>
        <w:rPr>
          <w:rFonts w:eastAsia="Arial" w:cs="Arial"/>
        </w:rPr>
      </w:pPr>
      <w:r w:rsidRPr="00FB4EFA">
        <w:t>Der gesamte Bau und Umbau der Anlage dauerten nahezu ein halbes Jahrhundert. Das Gebäude selbst erinnert nicht nur an das Schloss Versailles, sondern durch die dominante Mittelstiege, die zum Haupttrakt hinauf führte, letzten Endes auch an das Schloss Schönbrunn in Wien. Gottfried von Rottenstein bezeichnete es als das schönste im Königreich.</w:t>
      </w:r>
      <w:r w:rsidRPr="00FB4EFA">
        <w:rPr>
          <w:rFonts w:eastAsia="Arial" w:cs="Arial"/>
          <w:vertAlign w:val="superscript"/>
        </w:rPr>
        <w:footnoteReference w:id="288"/>
      </w:r>
    </w:p>
    <w:p w14:paraId="3B5DD75F" w14:textId="7870BD75" w:rsidR="0015664D" w:rsidRPr="00FB4EFA" w:rsidRDefault="0015664D" w:rsidP="00402EF4">
      <w:pPr>
        <w:ind w:firstLine="708"/>
      </w:pPr>
      <w:r w:rsidRPr="00FB4EFA">
        <w:t>Das Schloss selbst sowie der aufwendige Lebensstil des Fürsten Esterházy erregte von Baubeginn an Aufsehen und machte die Ungarn nicht zuletzt auch stolz auf den Reichtum, den der ungarische Adel dem Ausland – auch dem Wiener Hof</w:t>
      </w:r>
      <w:r w:rsidR="003711F3" w:rsidRPr="00FB4EFA">
        <w:t xml:space="preserve"> – </w:t>
      </w:r>
      <w:r w:rsidRPr="00FB4EFA">
        <w:t xml:space="preserve">vorzuführen in der Lage war. Esterháza wurde beobachtet: von der Kaiserin und dem gesamten Hof, dem ausländischen und inländischen Adel, der Presse und der literarischen Welt. Der extrovertierte Fürst wusste sein Schloss gerne im Mittelpunkt des Aufsehens, öffnete es einem neugierigen Publikum. So verwundert es nicht, </w:t>
      </w:r>
      <w:r w:rsidRPr="00FB4EFA">
        <w:lastRenderedPageBreak/>
        <w:t xml:space="preserve">dass Windisch an Georg Pray, zu jener Zeit schon Kustos der </w:t>
      </w:r>
      <w:r w:rsidR="00125980" w:rsidRPr="00FB4EFA">
        <w:br/>
      </w:r>
      <w:r w:rsidRPr="00FB4EFA">
        <w:t>Universitätsbibliothek Pest, folgendes schrieb:</w:t>
      </w:r>
    </w:p>
    <w:p w14:paraId="1A1C3C4B" w14:textId="77777777" w:rsidR="0015664D" w:rsidRPr="00FB4EFA" w:rsidRDefault="0015664D" w:rsidP="00AC1192">
      <w:pPr>
        <w:suppressAutoHyphens/>
        <w:spacing w:before="240" w:after="240" w:line="240" w:lineRule="auto"/>
        <w:ind w:left="709"/>
        <w:rPr>
          <w:sz w:val="20"/>
          <w:szCs w:val="20"/>
        </w:rPr>
      </w:pPr>
      <w:r w:rsidRPr="00FB4EFA">
        <w:rPr>
          <w:sz w:val="20"/>
          <w:szCs w:val="20"/>
        </w:rPr>
        <w:t>Und nun denken Sie, der Fürst Eszterházy will durch mich sein Lustschloß beschrieben haben. Schon arbeiten seine Ingenieure an den Planen und Zeichnungen. Löwe will das Werk in seiner Druckerey sehr prächtig auflegen!</w:t>
      </w:r>
      <w:r w:rsidRPr="00FB4EFA">
        <w:rPr>
          <w:rFonts w:eastAsia="Arial" w:cs="Arial"/>
          <w:sz w:val="20"/>
          <w:szCs w:val="20"/>
          <w:vertAlign w:val="superscript"/>
        </w:rPr>
        <w:footnoteReference w:id="289"/>
      </w:r>
    </w:p>
    <w:p w14:paraId="07F9F3B5" w14:textId="77777777" w:rsidR="000121EA" w:rsidRPr="00FB4EFA" w:rsidRDefault="0015664D" w:rsidP="00402EF4">
      <w:pPr>
        <w:spacing w:before="240" w:after="240"/>
      </w:pPr>
      <w:r w:rsidRPr="00FB4EFA">
        <w:t>Und am 29. Juli desselben Jahres an Daniel Cornides:</w:t>
      </w:r>
    </w:p>
    <w:p w14:paraId="7AA2D9CF" w14:textId="77777777" w:rsidR="000121EA" w:rsidRPr="00FB4EFA" w:rsidRDefault="0015664D" w:rsidP="00AC1192">
      <w:pPr>
        <w:suppressAutoHyphens/>
        <w:spacing w:before="240" w:after="240" w:line="240" w:lineRule="auto"/>
        <w:ind w:left="708"/>
        <w:rPr>
          <w:rFonts w:eastAsia="Arial" w:cs="Arial"/>
          <w:sz w:val="20"/>
          <w:vertAlign w:val="superscript"/>
        </w:rPr>
      </w:pPr>
      <w:r w:rsidRPr="00FB4EFA">
        <w:rPr>
          <w:sz w:val="20"/>
        </w:rPr>
        <w:t>Meine Briefe über den Schachspieler der Herrn v. Kempelen, der sich itzt in Paris befindet /versteht sich mit seiner Maschine/ werden bey Löwe gedruckt. Auch eine Beschreibung von Eszterháza, die auch ich machen soll.</w:t>
      </w:r>
      <w:r w:rsidRPr="00FB4EFA">
        <w:rPr>
          <w:rFonts w:eastAsia="Arial" w:cs="Arial"/>
          <w:sz w:val="20"/>
          <w:vertAlign w:val="superscript"/>
        </w:rPr>
        <w:footnoteReference w:id="290"/>
      </w:r>
    </w:p>
    <w:p w14:paraId="6D6AF8DA" w14:textId="77777777" w:rsidR="000121EA" w:rsidRPr="00FB4EFA" w:rsidRDefault="0015664D" w:rsidP="00402EF4">
      <w:r w:rsidRPr="00FB4EFA">
        <w:t>Kurze Zeit später beschwerte sich Windisch allerdings bei Cornides über den langsamen Verlauf der graphischen Arbeiten, die dem Band beigefügt werden sollten:</w:t>
      </w:r>
    </w:p>
    <w:p w14:paraId="592EA30C" w14:textId="548AD71B" w:rsidR="0015664D" w:rsidRPr="00FB4EFA" w:rsidRDefault="0015664D" w:rsidP="00AC1192">
      <w:pPr>
        <w:suppressAutoHyphens/>
        <w:spacing w:before="240" w:after="240" w:line="240" w:lineRule="auto"/>
        <w:ind w:left="708"/>
        <w:rPr>
          <w:rFonts w:eastAsia="Arial" w:cs="Arial"/>
          <w:sz w:val="20"/>
          <w:szCs w:val="20"/>
        </w:rPr>
      </w:pPr>
      <w:r w:rsidRPr="00FB4EFA">
        <w:rPr>
          <w:sz w:val="20"/>
        </w:rPr>
        <w:t>Mit den Zeichnungen von Eszterháza geht es langsam her. Sie sind aber von der Meisterhand des Landeres.</w:t>
      </w:r>
      <w:r w:rsidRPr="00FB4EFA">
        <w:rPr>
          <w:rFonts w:eastAsia="Arial" w:cs="Arial"/>
          <w:sz w:val="20"/>
          <w:vertAlign w:val="superscript"/>
        </w:rPr>
        <w:footnoteReference w:id="291"/>
      </w:r>
    </w:p>
    <w:p w14:paraId="2B9198BB" w14:textId="77777777" w:rsidR="000121EA" w:rsidRPr="00FB4EFA" w:rsidRDefault="0015664D" w:rsidP="00402EF4">
      <w:r w:rsidRPr="00FB4EFA">
        <w:t>Am 15. Oktober 1783 macht er Pray gegenüber in diesem Zusammenhang noch eine weitere wichtige Bemerkung:</w:t>
      </w:r>
    </w:p>
    <w:p w14:paraId="24E7F5A1" w14:textId="77777777" w:rsidR="000121EA" w:rsidRPr="00FB4EFA" w:rsidRDefault="0015664D" w:rsidP="00AC1192">
      <w:pPr>
        <w:suppressAutoHyphens/>
        <w:spacing w:before="240" w:after="240" w:line="240" w:lineRule="auto"/>
        <w:ind w:left="708"/>
        <w:rPr>
          <w:sz w:val="20"/>
        </w:rPr>
      </w:pPr>
      <w:r w:rsidRPr="00FB4EFA">
        <w:rPr>
          <w:sz w:val="20"/>
        </w:rPr>
        <w:t>Eszterház soll ich nun beschreiben. Einige Prospekte sind auch schon fertig, und durch den Verleger Landerer in Wien sehr schön gestochen worden. Ich war die vorige ganze Woche an diesem Orte [Schloß Eszterháza; Anm. d. Verf.] Der itzige Bibliothekar ist ein barmherziger Bruder (Ord. St. Johann de Deo) und hat 7480 Bände unter seinem Kommando. Ich fand nicht viel Erbauliches, und der Bibliothekar wusste mir auch nichts zu zeigen. Das Theater und die Kapelle (Musik) ist besser bestellt. Die wälschen Opristen sind vortrefflich, und Heydn, o che nome! Ist Kapellmeister, e questo basta! Und hätte er nichts anderes als das Stabat Mater gemacht, so wäre er schon wehrt verewigt zu werden. Wer kann sich dabey der Thränen enthalten!</w:t>
      </w:r>
      <w:r w:rsidRPr="00FB4EFA">
        <w:rPr>
          <w:rFonts w:eastAsia="Arial" w:cs="Arial"/>
          <w:sz w:val="20"/>
          <w:vertAlign w:val="superscript"/>
        </w:rPr>
        <w:footnoteReference w:id="292"/>
      </w:r>
    </w:p>
    <w:p w14:paraId="176B9EA4" w14:textId="3257C2C0" w:rsidR="0015664D" w:rsidRPr="00FB4EFA" w:rsidRDefault="0015664D" w:rsidP="00AF0CAD">
      <w:pPr>
        <w:spacing w:after="240"/>
      </w:pPr>
      <w:r w:rsidRPr="00FB4EFA">
        <w:lastRenderedPageBreak/>
        <w:t xml:space="preserve">Windisch hatte sich demnach zum Zweck der Beschreibung der Gebäude, des Parks und der näheren Umgebung an dem Ort aufgehalten. Auch die Ausübung einer Amtstätigkeit (Windisch war Bürgermeister bzw. </w:t>
      </w:r>
      <w:r w:rsidR="007A490E" w:rsidRPr="00FB4EFA">
        <w:br/>
      </w:r>
      <w:r w:rsidRPr="00FB4EFA">
        <w:t>Senator von Pre</w:t>
      </w:r>
      <w:r w:rsidR="007A490E" w:rsidRPr="00FB4EFA">
        <w:t>ss</w:t>
      </w:r>
      <w:r w:rsidRPr="00FB4EFA">
        <w:t xml:space="preserve">burg) in der Gegend ist nicht ausgeschlossen. Esterháza konnte von Pressburg aus leicht in einer Stunde Fahrtzeit erreicht </w:t>
      </w:r>
      <w:r w:rsidR="007A490E" w:rsidRPr="00FB4EFA">
        <w:br/>
      </w:r>
      <w:r w:rsidRPr="00FB4EFA">
        <w:t>werden.</w:t>
      </w:r>
    </w:p>
    <w:p w14:paraId="16B1AC62" w14:textId="77777777" w:rsidR="0015664D" w:rsidRPr="00FB4EFA" w:rsidRDefault="0015664D" w:rsidP="00402EF4">
      <w:pPr>
        <w:jc w:val="center"/>
      </w:pPr>
      <w:r w:rsidRPr="00FB4EFA">
        <w:rPr>
          <w:noProof/>
        </w:rPr>
        <w:drawing>
          <wp:inline distT="0" distB="0" distL="0" distR="0" wp14:anchorId="15BD17D1" wp14:editId="230B0853">
            <wp:extent cx="2435962" cy="2830982"/>
            <wp:effectExtent l="0" t="0" r="0" b="0"/>
            <wp:docPr id="30" name="Grafik 1" descr="Diagram, text&#10;&#10;Description automatically generated"/>
            <wp:cNvGraphicFramePr/>
            <a:graphic xmlns:a="http://schemas.openxmlformats.org/drawingml/2006/main">
              <a:graphicData uri="http://schemas.openxmlformats.org/drawingml/2006/picture">
                <pic:pic xmlns:pic="http://schemas.openxmlformats.org/drawingml/2006/picture">
                  <pic:nvPicPr>
                    <pic:cNvPr id="30" name="Grafik 1" descr="Diagram, text&#10;&#10;Description automatically generated"/>
                    <pic:cNvPicPr/>
                  </pic:nvPicPr>
                  <pic:blipFill>
                    <a:blip r:embed="rId501">
                      <a:extLst>
                        <a:ext uri="{BEBA8EAE-BF5A-486C-A8C5-ECC9F3942E4B}">
                          <a14:imgProps xmlns:a14="http://schemas.microsoft.com/office/drawing/2010/main">
                            <a14:imgLayer r:embed="rId502">
                              <a14:imgEffect>
                                <a14:saturation sat="0"/>
                              </a14:imgEffect>
                            </a14:imgLayer>
                          </a14:imgProps>
                        </a:ext>
                      </a:extLst>
                    </a:blip>
                    <a:stretch/>
                  </pic:blipFill>
                  <pic:spPr>
                    <a:xfrm>
                      <a:off x="0" y="0"/>
                      <a:ext cx="2436881" cy="2832050"/>
                    </a:xfrm>
                    <a:prstGeom prst="rect">
                      <a:avLst/>
                    </a:prstGeom>
                    <a:ln>
                      <a:noFill/>
                    </a:ln>
                  </pic:spPr>
                </pic:pic>
              </a:graphicData>
            </a:graphic>
          </wp:inline>
        </w:drawing>
      </w:r>
    </w:p>
    <w:p w14:paraId="392EE4EC" w14:textId="77777777" w:rsidR="0015664D" w:rsidRPr="00FB4EFA" w:rsidRDefault="0015664D" w:rsidP="00AC1192">
      <w:pPr>
        <w:suppressAutoHyphens/>
        <w:spacing w:before="120" w:after="240"/>
        <w:jc w:val="center"/>
        <w:rPr>
          <w:rFonts w:eastAsia="Georgia" w:cs="Charis SIL"/>
          <w:sz w:val="20"/>
          <w:szCs w:val="20"/>
          <w:u w:color="000000"/>
          <w:lang w:eastAsia="de-DE"/>
        </w:rPr>
      </w:pPr>
      <w:r w:rsidRPr="00FB4EFA">
        <w:rPr>
          <w:b/>
          <w:bCs/>
          <w:sz w:val="18"/>
          <w:szCs w:val="18"/>
        </w:rPr>
        <w:t>Illustration 2</w:t>
      </w:r>
      <w:r w:rsidRPr="00FB4EFA">
        <w:rPr>
          <w:sz w:val="18"/>
          <w:szCs w:val="18"/>
        </w:rPr>
        <w:t>. Titelblatt der Beschreibung, 1784</w:t>
      </w:r>
      <w:r w:rsidRPr="00FB4EFA">
        <w:rPr>
          <w:sz w:val="18"/>
          <w:szCs w:val="18"/>
          <w:vertAlign w:val="superscript"/>
        </w:rPr>
        <w:footnoteReference w:id="293"/>
      </w:r>
    </w:p>
    <w:p w14:paraId="571109D9" w14:textId="77777777" w:rsidR="0015664D" w:rsidRPr="00FB4EFA" w:rsidRDefault="0015664D" w:rsidP="00402EF4">
      <w:r w:rsidRPr="00FB4EFA">
        <w:t>Im darauffolgenden Jahr – 1784 – erschien beim Verleger Löwe in Pressburg tatsächlich oben erwähnter, repräsentativer Band über Esterháza, der zudem die von Windisch in seinen Briefen erwähnten Kupferstiche Ferdinand Landerers enthielt. Das Buch trägt allerdings entgegen der Praxis Windischs keinen Verfassernamen. Der Briefwechsel scheint mir allerdings Beweis genug dafür zu sein, dass er es verfasst hatte.</w:t>
      </w:r>
    </w:p>
    <w:p w14:paraId="43B3BB0C" w14:textId="13A9F641" w:rsidR="0015664D" w:rsidRPr="00FB4EFA" w:rsidRDefault="0015664D" w:rsidP="00402EF4">
      <w:pPr>
        <w:ind w:firstLine="709"/>
      </w:pPr>
      <w:r w:rsidRPr="00FB4EFA">
        <w:t>Es handelt sich dabei offenbar um ein Auftragswerk des Schlossherrn, und fest steht auch, dass es dem Text grundsätzlich an der persön</w:t>
      </w:r>
      <w:r w:rsidRPr="00FB4EFA">
        <w:lastRenderedPageBreak/>
        <w:t>lichen Perspektive des Autors – sieht man von bewundernden Bemerkungen über den Reichtum, die Arbeit Haydns und die Bibliothek ab – fehlt. Das Publikum wird durch diesen Band nicht über ein mögliches Reiseziel informiert, sondern erhält die Schilderung einer Prunkanlage, aus der es weitgehend ausgeschlossen bleibt. Der Verfasser des Bandes legt eine sachliche Beschreibung der örtlichen Begebenheiten vor. Er schildert die geographische Lage und die Geschichte des Schlosses, das Kanalsystem, das vom Schloss zum Neusiedler See führt, die notwendige und aufwendige Trockenlegung der Sümpfe, den Naturreichtum – Fische und Vögel –, die bauliche Beschaffenheit des Komplexes, die einzelnen Räume – öffentliche wie private –, die Theater, den Tiergarten, Schlosspark, Gesindehäuser u.</w:t>
      </w:r>
      <w:r w:rsidR="00AF3488" w:rsidRPr="00FB4EFA">
        <w:t xml:space="preserve"> </w:t>
      </w:r>
      <w:r w:rsidRPr="00FB4EFA">
        <w:t>a. und ist von der Schönheit der Anlage beeindruckt, wenngleich die Schilderungen nüchtern bleiben. Die Bewunderung gilt in diesem Werk allerdings nicht der fürstlichen Pracht, der Repräsentation von Macht, sondern vielmehr den Errungenschaften der Zeit: die Bezwingung der Natur durch die Begehbar- und Nutzbarmachung des umliegenden Sumpflandes, die Wahrnehmung der Fauna und Flora, die kulturellen Einrichtungen wie die beiden Bibliotheken, die Oper und des Theaters samt dazugehöriger Infrastruktur. Einige Zitate aus der Beschreibung, die die Bibliothek und die Oper beschreiben, sollten gerade im Zusammenhang mit dem oben erwähnten Brief an Georg Pray und dem Versuch der Identifizierung des Verfassers vorgestellt werden.</w:t>
      </w:r>
    </w:p>
    <w:p w14:paraId="611BA6CE" w14:textId="77777777" w:rsidR="0015664D" w:rsidRPr="00FB4EFA" w:rsidRDefault="0015664D" w:rsidP="002A3BC9">
      <w:pPr>
        <w:ind w:firstLine="708"/>
        <w:rPr>
          <w:rFonts w:eastAsia="Arial" w:cs="Arial"/>
        </w:rPr>
      </w:pPr>
      <w:r w:rsidRPr="00FB4EFA">
        <w:rPr>
          <w:szCs w:val="24"/>
        </w:rPr>
        <w:t>Zu den beiden Bibliotheken, die der Verfasser besonders hervorhob, schrieb er:</w:t>
      </w:r>
    </w:p>
    <w:p w14:paraId="7CDB18CE" w14:textId="77777777" w:rsidR="0015664D" w:rsidRPr="00FB4EFA" w:rsidRDefault="0015664D" w:rsidP="002A3BC9">
      <w:pPr>
        <w:suppressAutoHyphens/>
        <w:spacing w:before="240" w:after="120" w:line="240" w:lineRule="auto"/>
        <w:ind w:left="708"/>
        <w:rPr>
          <w:rFonts w:eastAsia="Arial" w:cs="Arial"/>
          <w:sz w:val="20"/>
        </w:rPr>
      </w:pPr>
      <w:r w:rsidRPr="00FB4EFA">
        <w:rPr>
          <w:sz w:val="20"/>
        </w:rPr>
        <w:t>Die Anzahl der Bücher steigt nicht über 7500 Stück, sie sind aber auserlesen, und werden täglich vermehrt. Es befinden sich in derselben auch verschiedene Handschriften, besonders die zur Ungrischen Geschichte dienen, eine Menge vortrefflicher alter und neuer Kupferstiche von den beßten Meistern, eine grosse Anzahl Landkarten, auch allerhand Zeichnungen; eine künstliche Uhr, und sehr schöne Globen.</w:t>
      </w:r>
      <w:r w:rsidRPr="00FB4EFA">
        <w:rPr>
          <w:rFonts w:eastAsia="Arial" w:cs="Arial"/>
          <w:sz w:val="20"/>
          <w:vertAlign w:val="superscript"/>
        </w:rPr>
        <w:footnoteReference w:id="294"/>
      </w:r>
    </w:p>
    <w:p w14:paraId="7C538D38" w14:textId="77777777" w:rsidR="0015664D" w:rsidRPr="00FB4EFA" w:rsidRDefault="0015664D" w:rsidP="002A3BC9">
      <w:pPr>
        <w:keepLines/>
        <w:suppressAutoHyphens/>
        <w:spacing w:before="120" w:after="240" w:line="240" w:lineRule="auto"/>
        <w:ind w:left="709"/>
        <w:rPr>
          <w:rFonts w:eastAsia="Arial" w:cs="Arial"/>
          <w:sz w:val="20"/>
          <w:szCs w:val="20"/>
          <w:vertAlign w:val="superscript"/>
        </w:rPr>
      </w:pPr>
      <w:r w:rsidRPr="00FB4EFA">
        <w:rPr>
          <w:sz w:val="20"/>
        </w:rPr>
        <w:lastRenderedPageBreak/>
        <w:t>Die Fürstliche Handbibliothek, in neun von Nußbaumholze sehr sauber gearbeiteten Kästen mit vergoldeten Zierrathen, in derselben befinden sich meist Werke der vorzüglichsten deutschen, engländischen, und französischen Schriftsteller, zur angenehmen und nützlichen Lektüre.</w:t>
      </w:r>
      <w:r w:rsidRPr="00FB4EFA">
        <w:rPr>
          <w:rFonts w:eastAsia="Arial" w:cs="Arial"/>
          <w:sz w:val="20"/>
          <w:vertAlign w:val="superscript"/>
        </w:rPr>
        <w:footnoteReference w:id="295"/>
      </w:r>
    </w:p>
    <w:p w14:paraId="2C5D9D3F" w14:textId="77777777" w:rsidR="0015664D" w:rsidRPr="00FB4EFA" w:rsidRDefault="0015664D" w:rsidP="00402EF4">
      <w:pPr>
        <w:spacing w:before="240" w:after="240"/>
        <w:rPr>
          <w:rFonts w:eastAsia="Arial" w:cs="Arial"/>
          <w:szCs w:val="24"/>
        </w:rPr>
      </w:pPr>
      <w:r w:rsidRPr="00FB4EFA">
        <w:rPr>
          <w:szCs w:val="24"/>
        </w:rPr>
        <w:t>Zur Oper und deren Programm, das von Joseph Haydn gestaltet wurde:</w:t>
      </w:r>
    </w:p>
    <w:p w14:paraId="1E665620" w14:textId="1CCE8C7E" w:rsidR="0015664D" w:rsidRPr="00FB4EFA" w:rsidRDefault="0015664D" w:rsidP="00AC1192">
      <w:pPr>
        <w:suppressAutoHyphens/>
        <w:spacing w:before="240" w:after="240" w:line="240" w:lineRule="auto"/>
        <w:ind w:left="708"/>
        <w:rPr>
          <w:sz w:val="20"/>
        </w:rPr>
      </w:pPr>
      <w:r w:rsidRPr="00FB4EFA">
        <w:rPr>
          <w:sz w:val="20"/>
        </w:rPr>
        <w:t xml:space="preserve">Es wird täglich wechselweise sowohl italiänische Opera Seria, als Buffa, und deutsche Komödien gespielt, denen der Fürst immer beiwohnt, und meist die Stunde um sechs Uhr Abends richtig hält. Es ist unbeschreiblich, wie sehr hier Augen und Ohren ergötzet werden. Durch die Musik, da das ganze Orchester auf einmal ertönt, und bald die rührendste Delikatesse, bald die heftigste Gewalt an Instrumente, die Seele durchdringt, </w:t>
      </w:r>
      <w:r w:rsidR="003711F3" w:rsidRPr="00FB4EFA">
        <w:rPr>
          <w:sz w:val="20"/>
          <w:szCs w:val="20"/>
        </w:rPr>
        <w:t>–</w:t>
      </w:r>
      <w:r w:rsidRPr="00FB4EFA">
        <w:rPr>
          <w:sz w:val="20"/>
        </w:rPr>
        <w:t xml:space="preserve"> dass der grosse Tönkünstler, Herr Haiden, der als Kapellmeister in Fürstlichen Diensten steht, dirigiret dieselbe: aber auch durch die vortreffliche Beleuchtung, durch die täuschendsten Dekorationen, da bald Wolken mit Göttern von oben langsam herabsinken; bald letztere von unten heraufsteigen, und in einem Augenblicke verschwinden; bald alles in den anmuthigen Garten, in einen bezauberten Wald, in einen herrlichen Saal verzaubert wird.</w:t>
      </w:r>
      <w:r w:rsidRPr="00FB4EFA">
        <w:rPr>
          <w:rFonts w:eastAsia="Arial" w:cs="Arial"/>
          <w:sz w:val="20"/>
          <w:vertAlign w:val="superscript"/>
        </w:rPr>
        <w:footnoteReference w:id="296"/>
      </w:r>
    </w:p>
    <w:p w14:paraId="5702D41A" w14:textId="77777777" w:rsidR="0015664D" w:rsidRPr="00FB4EFA" w:rsidRDefault="0015664D" w:rsidP="00402EF4">
      <w:pPr>
        <w:rPr>
          <w:rFonts w:eastAsia="Arial" w:cs="Arial"/>
          <w:szCs w:val="24"/>
        </w:rPr>
      </w:pPr>
      <w:r w:rsidRPr="00FB4EFA">
        <w:rPr>
          <w:szCs w:val="24"/>
        </w:rPr>
        <w:t>Die Parallelen zwischen den zitierten Privatbriefen Windischs und der Beschreibung sind leicht erkennbar.</w:t>
      </w:r>
      <w:r w:rsidRPr="00FB4EFA">
        <w:rPr>
          <w:rFonts w:eastAsia="Arial" w:cs="Arial"/>
          <w:szCs w:val="24"/>
          <w:vertAlign w:val="superscript"/>
        </w:rPr>
        <w:footnoteReference w:id="297"/>
      </w:r>
    </w:p>
    <w:p w14:paraId="228FD86B" w14:textId="0094C394" w:rsidR="0015664D" w:rsidRPr="00FB4EFA" w:rsidRDefault="0015664D" w:rsidP="00402EF4">
      <w:pPr>
        <w:ind w:firstLine="708"/>
        <w:rPr>
          <w:szCs w:val="24"/>
        </w:rPr>
      </w:pPr>
      <w:r w:rsidRPr="00FB4EFA">
        <w:rPr>
          <w:szCs w:val="24"/>
        </w:rPr>
        <w:t>Die Schrift erwähnt an zwei Stellen den legendären Besuch Maria Theresias im Schloss Esterháza (1.</w:t>
      </w:r>
      <w:r w:rsidRPr="00FB4EFA">
        <w:rPr>
          <w:kern w:val="2"/>
        </w:rPr>
        <w:t xml:space="preserve">– </w:t>
      </w:r>
      <w:r w:rsidRPr="00FB4EFA">
        <w:rPr>
          <w:szCs w:val="24"/>
        </w:rPr>
        <w:t xml:space="preserve">3. September 1773), das erlesene silber-goldene Service und Nachtzeug, das der für seine </w:t>
      </w:r>
      <w:r w:rsidR="00125980" w:rsidRPr="00FB4EFA">
        <w:rPr>
          <w:szCs w:val="24"/>
        </w:rPr>
        <w:br/>
      </w:r>
      <w:r w:rsidRPr="00FB4EFA">
        <w:rPr>
          <w:szCs w:val="24"/>
        </w:rPr>
        <w:t xml:space="preserve">Großzügigkeit bekannte Fürst Nikolaus I. eigens aus diesem Anlass </w:t>
      </w:r>
      <w:r w:rsidR="00125980" w:rsidRPr="00FB4EFA">
        <w:rPr>
          <w:szCs w:val="24"/>
        </w:rPr>
        <w:br/>
      </w:r>
      <w:r w:rsidRPr="00FB4EFA">
        <w:rPr>
          <w:szCs w:val="24"/>
        </w:rPr>
        <w:t>hatte anfertigen lassen.</w:t>
      </w:r>
    </w:p>
    <w:p w14:paraId="036E34BA" w14:textId="77777777" w:rsidR="0015664D" w:rsidRPr="00FB4EFA" w:rsidRDefault="0015664D" w:rsidP="00AC1192">
      <w:pPr>
        <w:suppressAutoHyphens/>
        <w:spacing w:before="240" w:after="240" w:line="240" w:lineRule="auto"/>
        <w:ind w:left="708"/>
        <w:rPr>
          <w:sz w:val="20"/>
        </w:rPr>
      </w:pPr>
      <w:r w:rsidRPr="00FB4EFA">
        <w:rPr>
          <w:sz w:val="20"/>
        </w:rPr>
        <w:lastRenderedPageBreak/>
        <w:t>Die Festins, welche der Fürst hier fast alle Jahre veranstaltet, sind immer mit der größten Pracht, und dem ausgesuchtesten Geschmack verbunden. Einige der merkwürdigsten derselben, waren diejenigen, als im Jahre 1773. die verewigte Kaiserinnköniginn […]. Esterháß mit ihrer hohen Gegenwart beehrte. Bälle, Koncerte, Opern, Kunstfeuer, Illuminationen, ländliche Spiele, und tausend andere Lustbarkeiten alle mit dem Gepräge der Pracht und Herrlichkeit bezeichnet, belohnten den Aufenthalt dieser hohen Gäste, mit dem reinsten Vergnügen und Wohlgefallen.</w:t>
      </w:r>
      <w:r w:rsidRPr="00FB4EFA">
        <w:rPr>
          <w:rFonts w:eastAsia="Arial" w:cs="Arial"/>
          <w:sz w:val="20"/>
          <w:vertAlign w:val="superscript"/>
        </w:rPr>
        <w:footnoteReference w:id="298"/>
      </w:r>
    </w:p>
    <w:p w14:paraId="35E96B5C" w14:textId="6D743D42" w:rsidR="0015664D" w:rsidRPr="00FB4EFA" w:rsidRDefault="0015664D" w:rsidP="002A3BC9">
      <w:r w:rsidRPr="00FB4EFA">
        <w:t xml:space="preserve">Die </w:t>
      </w:r>
      <w:r w:rsidRPr="00FB4EFA">
        <w:rPr>
          <w:i/>
          <w:iCs/>
        </w:rPr>
        <w:t>Preßburger Zeitung</w:t>
      </w:r>
      <w:r w:rsidRPr="00FB4EFA">
        <w:t xml:space="preserve"> hatte den Besuch der Kaiserin/Königin, von dem in manchen Quellen berichtet wird, der Fürst habe auf den Wegen seines Gutes Salz streuen lassen, um darauf im Sommer eine Schlittenfahrt simulieren zu können, in mehreren Berichten kommentiert. Anlässlich des hohen Besuches wurde im Marionettentheater Haydns das eigens dafür komponierte Singspiel </w:t>
      </w:r>
      <w:r w:rsidRPr="00FB4EFA">
        <w:rPr>
          <w:i/>
          <w:iCs/>
        </w:rPr>
        <w:t>Philemon und Baucis</w:t>
      </w:r>
      <w:r w:rsidRPr="00FB4EFA">
        <w:t xml:space="preserve"> uraufgeführt.</w:t>
      </w:r>
      <w:r w:rsidRPr="00FB4EFA">
        <w:rPr>
          <w:rFonts w:eastAsia="Arial" w:cs="Arial"/>
          <w:szCs w:val="24"/>
          <w:vertAlign w:val="superscript"/>
        </w:rPr>
        <w:footnoteReference w:id="299"/>
      </w:r>
      <w:r w:rsidRPr="00FB4EFA">
        <w:t xml:space="preserve"> Der Korrespondent der </w:t>
      </w:r>
      <w:r w:rsidRPr="00FB4EFA">
        <w:rPr>
          <w:i/>
          <w:iCs/>
        </w:rPr>
        <w:t>Pre</w:t>
      </w:r>
      <w:r w:rsidR="001E4E99" w:rsidRPr="00FB4EFA">
        <w:rPr>
          <w:i/>
          <w:iCs/>
        </w:rPr>
        <w:t>ß</w:t>
      </w:r>
      <w:r w:rsidRPr="00FB4EFA">
        <w:rPr>
          <w:i/>
          <w:iCs/>
        </w:rPr>
        <w:t>burger Zeitung</w:t>
      </w:r>
      <w:r w:rsidRPr="00FB4EFA">
        <w:t xml:space="preserve"> schrieb darüber folgendes:</w:t>
      </w:r>
    </w:p>
    <w:p w14:paraId="56C86D34" w14:textId="5AD640E6" w:rsidR="0015664D" w:rsidRPr="00FB4EFA" w:rsidRDefault="0015664D" w:rsidP="00AC1192">
      <w:pPr>
        <w:suppressAutoHyphens/>
        <w:spacing w:before="240" w:after="240" w:line="240" w:lineRule="auto"/>
        <w:ind w:left="708"/>
        <w:rPr>
          <w:rFonts w:eastAsia="Arial" w:cs="Arial"/>
          <w:sz w:val="20"/>
        </w:rPr>
      </w:pPr>
      <w:r w:rsidRPr="00FB4EFA">
        <w:rPr>
          <w:sz w:val="20"/>
        </w:rPr>
        <w:t xml:space="preserve">Die Bühne stellte Philemons Hütte mit 2 Aschenkrügen vor, die sich auf Jupiters Wort in Rosenlauben verwandelten, in welchen Aret und Narcissa sassen – Unter vorhergegangenem Donner erschienen Jupiter und Merkur auf einer glänzenden Wolke, – Philemons Hütte verwandelte sich in einen prächtigen Tempel.- Jupiters Bildsäule strahlte in der Mitte. – […] Hiernächst drängte sich ein Chor Nachbari und Nachbarinnen auf die Bühne, bebten aber aus Furcht vor dem Donner zurück.- Jupiters Bildsäule verschwand und an dessen Stelle erschien überaus prächtig das Wappen des Durchl. Erzhauses. – Der Ruhm, die Milde, die Gerechtigkeit und Tapferkeit umgaben dasselbe. – Die Fama kam blasend geflogen, und krönte das Wappen mit einem Kranz. Die göttliche Vorsicht beschützte dasselbe mit ihrem Schilde, und die Zeit umfasste es.- Jupiters Priesterschaft verschwand. Die ungrische Nation nahet sich in ihrem Festkleide, von der Liebe zum Vaterlande, von dem Gehorsam, Eifer und Treue begleitet, und fiel mit Verehrung vor dem Kaiserl. Wappen auf die Knie. </w:t>
      </w:r>
      <w:r w:rsidR="003711F3" w:rsidRPr="00FB4EFA">
        <w:rPr>
          <w:sz w:val="20"/>
          <w:szCs w:val="20"/>
        </w:rPr>
        <w:t>–</w:t>
      </w:r>
      <w:r w:rsidRPr="00FB4EFA">
        <w:rPr>
          <w:sz w:val="20"/>
        </w:rPr>
        <w:t xml:space="preserve"> […] Hier verwandeln sich auch die Nachbarn in Ungarn, und ließen sich zum Beschluß singend hören – Unter währendem Gesang faßte die Glückseligkeit mit einer Hand das </w:t>
      </w:r>
      <w:r w:rsidRPr="00FB4EFA">
        <w:rPr>
          <w:sz w:val="20"/>
        </w:rPr>
        <w:lastRenderedPageBreak/>
        <w:t>Kaiserliche Wappen, mit der anderen überschüttete sie aus ihrem Füllhorn die Nation selbst. […]</w:t>
      </w:r>
      <w:r w:rsidRPr="00FB4EFA">
        <w:rPr>
          <w:rFonts w:eastAsia="Arial" w:cs="Arial"/>
          <w:sz w:val="20"/>
          <w:vertAlign w:val="superscript"/>
        </w:rPr>
        <w:footnoteReference w:id="300"/>
      </w:r>
    </w:p>
    <w:p w14:paraId="62125A5A" w14:textId="77777777" w:rsidR="0015664D" w:rsidRPr="00FB4EFA" w:rsidRDefault="0015664D" w:rsidP="00AF0CAD">
      <w:r w:rsidRPr="00FB4EFA">
        <w:t xml:space="preserve">Maria Theresia wird im Zusammenhang mit diesem Opernerlebnis auf Schloss Esterháza gerne der nicht belegte Satz </w:t>
      </w:r>
      <w:r w:rsidRPr="00FB4EFA">
        <w:rPr>
          <w:i/>
          <w:iCs/>
        </w:rPr>
        <w:t xml:space="preserve">Wenn ich gute Opern hören will, gehe ich nach Esterháza </w:t>
      </w:r>
      <w:r w:rsidRPr="00FB4EFA">
        <w:t>zugeschrieben</w:t>
      </w:r>
      <w:r w:rsidRPr="00FB4EFA">
        <w:rPr>
          <w:i/>
          <w:iCs/>
        </w:rPr>
        <w:t>.</w:t>
      </w:r>
      <w:r w:rsidRPr="00FB4EFA">
        <w:t xml:space="preserve"> Diese Erkenntnis blieb allerdings ohne Konsequenzen, denn die Kaiserin/Königin besuchte Esterháza kein zweites Mal.</w:t>
      </w:r>
      <w:r w:rsidRPr="00FB4EFA">
        <w:rPr>
          <w:rFonts w:eastAsia="Arial" w:cs="Arial"/>
          <w:szCs w:val="24"/>
          <w:vertAlign w:val="superscript"/>
        </w:rPr>
        <w:footnoteReference w:id="301"/>
      </w:r>
    </w:p>
    <w:p w14:paraId="75210F33" w14:textId="0F539617" w:rsidR="0015664D" w:rsidRPr="00FB4EFA" w:rsidRDefault="0015664D" w:rsidP="00AF0CAD">
      <w:pPr>
        <w:ind w:firstLine="708"/>
      </w:pPr>
      <w:r w:rsidRPr="00FB4EFA">
        <w:t xml:space="preserve">Neben der Oper und dem Theater war Esterháza für seine Gartengestaltung berühmt. Nikolaus I. hatte keine Kosten gescheut sich mit der Prachtanlage ein Denkmal zu setzen. Die Parkanlage erstreckte sich auf ca. 200 Hektar, ein angrenzender Wald, </w:t>
      </w:r>
      <w:r w:rsidRPr="00FB4EFA">
        <w:rPr>
          <w:i/>
          <w:iCs/>
        </w:rPr>
        <w:t>Lés Wald</w:t>
      </w:r>
      <w:r w:rsidRPr="00FB4EFA">
        <w:t xml:space="preserve"> genannt, mit barocken Achsen, wurde in die Anlage integriert. Der fürstliche </w:t>
      </w:r>
      <w:r w:rsidR="00125980" w:rsidRPr="00FB4EFA">
        <w:br/>
      </w:r>
      <w:r w:rsidRPr="00FB4EFA">
        <w:t xml:space="preserve">Kammergarten, das Parterre, ein Rosengarten, ein englischer Garten, Unmengen an Dekorelementen, Statuen, Wasserspielen sorgten für große Bewunderung unter den Besuchern. Windisch gerät darüber in </w:t>
      </w:r>
      <w:r w:rsidR="00125980" w:rsidRPr="00FB4EFA">
        <w:br/>
      </w:r>
      <w:r w:rsidRPr="00FB4EFA">
        <w:t>poetisches Schwelgen:</w:t>
      </w:r>
    </w:p>
    <w:p w14:paraId="76DE9721" w14:textId="77777777" w:rsidR="000121EA" w:rsidRPr="00FB4EFA" w:rsidRDefault="0015664D" w:rsidP="00AC1192">
      <w:pPr>
        <w:suppressAutoHyphens/>
        <w:spacing w:before="240" w:after="240" w:line="240" w:lineRule="auto"/>
        <w:ind w:left="708"/>
        <w:rPr>
          <w:sz w:val="20"/>
        </w:rPr>
      </w:pPr>
      <w:r w:rsidRPr="00FB4EFA">
        <w:rPr>
          <w:sz w:val="20"/>
        </w:rPr>
        <w:t>Die Austheilung des Gartens, ist nach einer von dem Fürsten selbst entworfenen Idee angelegt, streitet mit den schönsten in Deutschland um den Vorzug, und ist unstreitig der prächtigste im ganzen Königreiche. […] An allen Enden, der Gänge, und Aleen, findet das Aug anziehende Gegenstände, Statuen, Tempel, Grotten, Wasserwerke, – überall Pracht der Majestät, sanftes Lächeln der Natur, Freude und Entzücken!</w:t>
      </w:r>
      <w:r w:rsidRPr="00FB4EFA">
        <w:rPr>
          <w:rFonts w:eastAsia="Arial" w:cs="Arial"/>
          <w:sz w:val="20"/>
          <w:vertAlign w:val="superscript"/>
        </w:rPr>
        <w:footnoteReference w:id="302"/>
      </w:r>
    </w:p>
    <w:p w14:paraId="6B07421A" w14:textId="689E5AFE" w:rsidR="000121EA" w:rsidRPr="00FB4EFA" w:rsidRDefault="0015664D" w:rsidP="00AF0CAD">
      <w:r w:rsidRPr="00FB4EFA">
        <w:t xml:space="preserve">Vor allem der Wasserfall, der erst im Jahre 1784 fertig gestellt wurde, dürfte zu jener Zeit die reinste Sensation gewesen sein. Die </w:t>
      </w:r>
      <w:r w:rsidRPr="00FB4EFA">
        <w:rPr>
          <w:i/>
          <w:iCs/>
        </w:rPr>
        <w:t>Pre</w:t>
      </w:r>
      <w:r w:rsidR="001E4E99" w:rsidRPr="00FB4EFA">
        <w:rPr>
          <w:i/>
          <w:iCs/>
        </w:rPr>
        <w:t>ß</w:t>
      </w:r>
      <w:r w:rsidRPr="00FB4EFA">
        <w:rPr>
          <w:i/>
          <w:iCs/>
        </w:rPr>
        <w:t>burger Zeitung</w:t>
      </w:r>
      <w:r w:rsidRPr="00FB4EFA">
        <w:t xml:space="preserve"> verfolgte den Bau und berichtete darüber prominent als erste Nachricht des Tages am 1. Oktober 1783:</w:t>
      </w:r>
    </w:p>
    <w:p w14:paraId="08F33032" w14:textId="5458BAE8" w:rsidR="0015664D" w:rsidRPr="00FB4EFA" w:rsidRDefault="0015664D" w:rsidP="00AC1192">
      <w:pPr>
        <w:suppressAutoHyphens/>
        <w:spacing w:before="240" w:after="240" w:line="240" w:lineRule="auto"/>
        <w:ind w:left="708"/>
        <w:rPr>
          <w:rFonts w:eastAsia="Arial" w:cs="Arial"/>
          <w:sz w:val="20"/>
        </w:rPr>
      </w:pPr>
      <w:r w:rsidRPr="00FB4EFA">
        <w:rPr>
          <w:sz w:val="20"/>
        </w:rPr>
        <w:t xml:space="preserve">Eszterház. Hier wird im Vordertheile des Gartens gegenwärtig an einer Kaskade gearbeitet, deren Maschine von einigen Pferden getrieben </w:t>
      </w:r>
      <w:r w:rsidRPr="00FB4EFA">
        <w:rPr>
          <w:sz w:val="20"/>
        </w:rPr>
        <w:lastRenderedPageBreak/>
        <w:t>werden soll. Dem jetzigen</w:t>
      </w:r>
      <w:r w:rsidRPr="00FB4EFA">
        <w:rPr>
          <w:rFonts w:eastAsia="Arial" w:cs="Arial"/>
          <w:sz w:val="20"/>
        </w:rPr>
        <w:t xml:space="preserve"> </w:t>
      </w:r>
      <w:r w:rsidRPr="00FB4EFA">
        <w:rPr>
          <w:sz w:val="20"/>
        </w:rPr>
        <w:t>Ansehen nach wird sie eine der künstlichsten und grössten.</w:t>
      </w:r>
      <w:r w:rsidRPr="00FB4EFA">
        <w:rPr>
          <w:rFonts w:eastAsia="Arial" w:cs="Arial"/>
          <w:sz w:val="20"/>
          <w:vertAlign w:val="superscript"/>
        </w:rPr>
        <w:footnoteReference w:id="303"/>
      </w:r>
    </w:p>
    <w:p w14:paraId="748CAF46" w14:textId="08C5DADD" w:rsidR="0015664D" w:rsidRPr="00FB4EFA" w:rsidRDefault="0015664D" w:rsidP="00AF0CAD">
      <w:pPr>
        <w:rPr>
          <w:rFonts w:eastAsia="Arial" w:cs="Arial"/>
        </w:rPr>
      </w:pPr>
      <w:r w:rsidRPr="00FB4EFA">
        <w:rPr>
          <w:szCs w:val="24"/>
        </w:rPr>
        <w:t xml:space="preserve">Die </w:t>
      </w:r>
      <w:r w:rsidRPr="00FB4EFA">
        <w:rPr>
          <w:i/>
          <w:iCs/>
          <w:szCs w:val="24"/>
        </w:rPr>
        <w:t>Beschreibung</w:t>
      </w:r>
      <w:r w:rsidRPr="00FB4EFA">
        <w:rPr>
          <w:szCs w:val="24"/>
        </w:rPr>
        <w:t xml:space="preserve"> berichtet über die bereits fertig gestellten </w:t>
      </w:r>
      <w:r w:rsidR="00125980" w:rsidRPr="00FB4EFA">
        <w:rPr>
          <w:szCs w:val="24"/>
        </w:rPr>
        <w:br/>
      </w:r>
      <w:r w:rsidRPr="00FB4EFA">
        <w:rPr>
          <w:szCs w:val="24"/>
        </w:rPr>
        <w:t>Wasserspiele:</w:t>
      </w:r>
    </w:p>
    <w:p w14:paraId="11247E20" w14:textId="77777777" w:rsidR="000121EA" w:rsidRPr="00FB4EFA" w:rsidRDefault="0015664D" w:rsidP="00AC1192">
      <w:pPr>
        <w:suppressAutoHyphens/>
        <w:spacing w:before="240" w:after="240" w:line="240" w:lineRule="auto"/>
        <w:ind w:left="708"/>
        <w:rPr>
          <w:sz w:val="20"/>
        </w:rPr>
      </w:pPr>
      <w:r w:rsidRPr="00FB4EFA">
        <w:rPr>
          <w:sz w:val="20"/>
        </w:rPr>
        <w:t>Zu Ende des Ziergartens an der Hauptalee, stehen zwo kolossalische Kaskaden, welche einen halben Zirkel machen, und größtentheils von Steinmetzarbeit sind. Die Architektur derselben ist in modernem Geschmacke, und überaus prächtig. Am Fusse derselben ruhet ein grosses Wasserbehältnis, in welchem sich die Wasserströme herabstürzen. An die Oberfläche derselben, führen kommode Treppen, die mit Ballustraden versehen sind. Die Mittel- und andern Theile prangen mit allerhand Statuen und Wasserspeyenden Figuren; zur ebenen Erde aber, sind einige Gemächer auf Grottenart, zum Baden eingerichtet. Nicht weit von diesem Wasserfalle stehet ein Thurm, welcher mittelst einer Kunstmühle, das Wasser dahin treibt.</w:t>
      </w:r>
      <w:r w:rsidRPr="00FB4EFA">
        <w:rPr>
          <w:rFonts w:eastAsia="Arial" w:cs="Arial"/>
          <w:sz w:val="20"/>
          <w:vertAlign w:val="superscript"/>
        </w:rPr>
        <w:footnoteReference w:id="304"/>
      </w:r>
    </w:p>
    <w:p w14:paraId="5F00D2BD" w14:textId="25467BCD" w:rsidR="0015664D" w:rsidRPr="00FB4EFA" w:rsidRDefault="0015664D" w:rsidP="00AF0CAD">
      <w:r w:rsidRPr="00FB4EFA">
        <w:t xml:space="preserve">Zeitgleich mit der </w:t>
      </w:r>
      <w:r w:rsidRPr="00FB4EFA">
        <w:rPr>
          <w:i/>
          <w:iCs/>
        </w:rPr>
        <w:t>Beschreibung</w:t>
      </w:r>
      <w:r w:rsidRPr="00FB4EFA">
        <w:t xml:space="preserve"> erschien auch in der </w:t>
      </w:r>
      <w:r w:rsidRPr="00FB4EFA">
        <w:rPr>
          <w:i/>
          <w:iCs/>
        </w:rPr>
        <w:t>Pre</w:t>
      </w:r>
      <w:r w:rsidR="001E4E99" w:rsidRPr="00FB4EFA">
        <w:rPr>
          <w:i/>
          <w:iCs/>
        </w:rPr>
        <w:t>ß</w:t>
      </w:r>
      <w:r w:rsidRPr="00FB4EFA">
        <w:rPr>
          <w:i/>
          <w:iCs/>
        </w:rPr>
        <w:t>burger Zeitung</w:t>
      </w:r>
      <w:r w:rsidRPr="00FB4EFA">
        <w:t xml:space="preserve"> eine Fortsetzungsserie über das Schloss Esterháza. Ich halte es nicht für ausgeschlossen, dass Windisch auch diese Berichte verfasst hatte. Dies wäre zudem ein Beweis, dass seine Zusammenarbeit mit dem Herausgeber der Zeitung, Landerer, nicht wie bisher angenommen bereits in den frühen 70er Jahren endete. Der Verfasser könnte aber auch Mathias </w:t>
      </w:r>
      <w:r w:rsidR="005912DF" w:rsidRPr="00FB4EFA">
        <w:br/>
      </w:r>
      <w:r w:rsidRPr="00FB4EFA">
        <w:t>Korabinszky, der damalige Redakteur der Zeitung gewesen sein.</w:t>
      </w:r>
    </w:p>
    <w:p w14:paraId="3DA188B5" w14:textId="77777777" w:rsidR="0015664D" w:rsidRPr="00FB4EFA" w:rsidRDefault="0015664D" w:rsidP="00545033">
      <w:pPr>
        <w:pStyle w:val="Heading2"/>
        <w:suppressAutoHyphens/>
        <w:spacing w:line="259" w:lineRule="auto"/>
        <w:rPr>
          <w:color w:val="auto"/>
          <w:lang w:val="de-AT"/>
        </w:rPr>
      </w:pPr>
      <w:r w:rsidRPr="00FB4EFA">
        <w:rPr>
          <w:color w:val="auto"/>
          <w:lang w:val="de-AT"/>
        </w:rPr>
        <w:t>Gottfried von Rottenstein</w:t>
      </w:r>
    </w:p>
    <w:p w14:paraId="7445CD58" w14:textId="77777777" w:rsidR="000121EA" w:rsidRPr="00FB4EFA" w:rsidRDefault="0015664D" w:rsidP="00402EF4">
      <w:r w:rsidRPr="00FB4EFA">
        <w:t>Der zweite Akteur hat indirekt auch mit Windisch zu tun. Die Identität Gottfried von Rottensteins, der in den achtziger Jahren eine Reihe von Reisen durch deutsche Provinzen sowie durch Österreich und das Königreich Ungarn unternahm, beschäftigte nicht nur seine Zeitgenossen, sondern auch Historiker.</w:t>
      </w:r>
      <w:r w:rsidRPr="00FB4EFA">
        <w:rPr>
          <w:rFonts w:eastAsia="Arial" w:cs="Arial"/>
          <w:szCs w:val="24"/>
          <w:vertAlign w:val="superscript"/>
        </w:rPr>
        <w:footnoteReference w:id="305"/>
      </w:r>
      <w:r w:rsidRPr="00FB4EFA">
        <w:t xml:space="preserve"> Eine Zusammenfassung seiner Eindrücke er</w:t>
      </w:r>
      <w:r w:rsidRPr="00FB4EFA">
        <w:lastRenderedPageBreak/>
        <w:t>schien 1792 in Leipzig in vier Teilen.</w:t>
      </w:r>
      <w:r w:rsidRPr="00FB4EFA">
        <w:rPr>
          <w:rFonts w:eastAsia="Arial" w:cs="Arial"/>
          <w:szCs w:val="24"/>
          <w:vertAlign w:val="superscript"/>
        </w:rPr>
        <w:footnoteReference w:id="306"/>
      </w:r>
      <w:r w:rsidRPr="00FB4EFA">
        <w:t xml:space="preserve"> Rottenstein beschrieb sämtliche bereiste Orte mit äußerster Präzision. Und er hatte Insider-Wissen. Er wusste über die Finanzierung des Hauses der Verlegerfamilie Trattner ebenso Bescheid,</w:t>
      </w:r>
      <w:r w:rsidRPr="00FB4EFA">
        <w:rPr>
          <w:rFonts w:eastAsia="Arial" w:cs="Arial"/>
          <w:szCs w:val="24"/>
          <w:vertAlign w:val="superscript"/>
        </w:rPr>
        <w:footnoteReference w:id="307"/>
      </w:r>
      <w:r w:rsidRPr="00FB4EFA">
        <w:t xml:space="preserve"> wie über die Geschenke, die der marokkanische Gesandte Said Muhammad Ben Abdulmelek Pascha, anlässlich seines Aufenthaltes vom Kaiser Josef II. erhielt.</w:t>
      </w:r>
      <w:r w:rsidRPr="00FB4EFA">
        <w:rPr>
          <w:rFonts w:eastAsia="Arial" w:cs="Arial"/>
          <w:szCs w:val="24"/>
          <w:vertAlign w:val="superscript"/>
        </w:rPr>
        <w:footnoteReference w:id="308"/>
      </w:r>
      <w:r w:rsidRPr="00FB4EFA">
        <w:t xml:space="preserve"> Auffallend ist seine genaue Kenntnis der Wiener Burg, die er bis in die Einrichtung der Schlafzimmer des Kaiserpaares beschrieb:</w:t>
      </w:r>
    </w:p>
    <w:p w14:paraId="046D9ACF" w14:textId="4007549C" w:rsidR="0015664D" w:rsidRPr="00FB4EFA" w:rsidRDefault="0015664D" w:rsidP="002A3BC9">
      <w:pPr>
        <w:keepLines/>
        <w:suppressAutoHyphens/>
        <w:spacing w:before="240" w:after="240" w:line="240" w:lineRule="auto"/>
        <w:ind w:left="709"/>
        <w:rPr>
          <w:rFonts w:eastAsia="Arial" w:cs="Arial"/>
          <w:sz w:val="20"/>
          <w:szCs w:val="20"/>
        </w:rPr>
      </w:pPr>
      <w:r w:rsidRPr="00FB4EFA">
        <w:rPr>
          <w:sz w:val="20"/>
        </w:rPr>
        <w:lastRenderedPageBreak/>
        <w:t>Das Schlafzimmer, wo beyde Hoheiten schliefen, hat Tapeten von rothem Sammt einer Hand breit mit Gold gestickt. Das große Baldachinbett auf 2 Personen ist auch von rothem Sammte, aber 4 Hände breit mit Gold gestickt. Der innwendige Theil der Gardinen ist mit purem Goldstoff gefüttert. Das Bett soll 80000 Gulden gekostet haben.</w:t>
      </w:r>
      <w:r w:rsidRPr="00FB4EFA">
        <w:rPr>
          <w:rFonts w:eastAsia="Arial" w:cs="Arial"/>
          <w:sz w:val="20"/>
          <w:vertAlign w:val="superscript"/>
        </w:rPr>
        <w:footnoteReference w:id="309"/>
      </w:r>
    </w:p>
    <w:p w14:paraId="1B70BF15" w14:textId="2924B70B" w:rsidR="000121EA" w:rsidRPr="00FB4EFA" w:rsidRDefault="0015664D" w:rsidP="00402EF4">
      <w:pPr>
        <w:rPr>
          <w:szCs w:val="24"/>
        </w:rPr>
      </w:pPr>
      <w:r w:rsidRPr="00FB4EFA">
        <w:rPr>
          <w:szCs w:val="24"/>
        </w:rPr>
        <w:t>Rottensteins Reise führte nach Pre</w:t>
      </w:r>
      <w:r w:rsidR="007A490E" w:rsidRPr="00FB4EFA">
        <w:rPr>
          <w:szCs w:val="24"/>
        </w:rPr>
        <w:t>ss</w:t>
      </w:r>
      <w:r w:rsidRPr="00FB4EFA">
        <w:rPr>
          <w:szCs w:val="24"/>
        </w:rPr>
        <w:t>burg, Pest und auch nach Esterháza, zum Schloss der fürstlichen Familie. Auch hier fällt – wie schon zuvor – seine intime Ortskenntnis vor allem in Bezug auf die Einrichtungen der Schlösser und Paläste sowie der in ihnen stattfindenden Festivitäten auf. Dieses genaue Wissen führte nicht nur zu seinen Lebzeiten zu Spekulationen hinsichtlich seiner wahren Identität. Selbst Bernoull</w:t>
      </w:r>
      <w:r w:rsidR="0021708D" w:rsidRPr="00FB4EFA">
        <w:rPr>
          <w:szCs w:val="24"/>
        </w:rPr>
        <w:t>i</w:t>
      </w:r>
      <w:r w:rsidRPr="00FB4EFA">
        <w:rPr>
          <w:szCs w:val="24"/>
        </w:rPr>
        <w:t xml:space="preserve">, der </w:t>
      </w:r>
      <w:r w:rsidR="005912DF" w:rsidRPr="00FB4EFA">
        <w:rPr>
          <w:szCs w:val="24"/>
        </w:rPr>
        <w:br/>
      </w:r>
      <w:r w:rsidRPr="00FB4EFA">
        <w:rPr>
          <w:szCs w:val="24"/>
        </w:rPr>
        <w:t>Rottensteiners Texte in die Sammlung von Reisebeschreibungen aufnahm, fühlte sich von diesen ausschließlich die Schilderung von Pomp und Reichtum aufzeichnenden Beschreibungen etwas irritiert und versuchte dem vermeintlich aufgeklärten, adelskritischen Leser die Arbeit dennoch schmackhaft zu machen: Wer kann</w:t>
      </w:r>
      <w:r w:rsidR="00475A5B" w:rsidRPr="00FB4EFA">
        <w:rPr>
          <w:szCs w:val="24"/>
        </w:rPr>
        <w:t>‘</w:t>
      </w:r>
      <w:r w:rsidRPr="00FB4EFA">
        <w:rPr>
          <w:szCs w:val="24"/>
        </w:rPr>
        <w:t>s in einer Sammlung allen Recht machen? Außerdem ist Ungarn in Ansehung der Reichthümer und des Geschmacks seines Adels noch wenig bekannt […]“</w:t>
      </w:r>
      <w:r w:rsidRPr="00FB4EFA">
        <w:rPr>
          <w:rFonts w:eastAsia="Arial" w:cs="Arial"/>
          <w:szCs w:val="24"/>
          <w:vertAlign w:val="superscript"/>
        </w:rPr>
        <w:footnoteReference w:id="310"/>
      </w:r>
      <w:r w:rsidRPr="00FB4EFA">
        <w:rPr>
          <w:szCs w:val="24"/>
        </w:rPr>
        <w:t xml:space="preserve"> schrieb er in einer Vorrede zu Rottensteins Publikation. Éva H. Balázs hielt ihn aufgrund ihrer Analyse der Beschreibungen des Pálffy</w:t>
      </w:r>
      <w:r w:rsidR="00475A5B" w:rsidRPr="00FB4EFA">
        <w:rPr>
          <w:szCs w:val="24"/>
        </w:rPr>
        <w:t>‘</w:t>
      </w:r>
      <w:r w:rsidRPr="00FB4EFA">
        <w:rPr>
          <w:szCs w:val="24"/>
        </w:rPr>
        <w:t>schen Schlosses in Königsaden (ung. Királyfa, heute Slowakei) und der Güter der Familie sowie der Ausführlichkeit in der Betrachtung der Feste auf dem Schloss Esterházy in Esterháza für ein Mitglied der Familie Pálffy, genau gesagt für den Gardekapitän Johann Pálffy, 1744</w:t>
      </w:r>
      <w:r w:rsidRPr="00FB4EFA">
        <w:rPr>
          <w:kern w:val="2"/>
        </w:rPr>
        <w:t>–</w:t>
      </w:r>
      <w:r w:rsidRPr="00FB4EFA">
        <w:rPr>
          <w:szCs w:val="24"/>
        </w:rPr>
        <w:t>1794:</w:t>
      </w:r>
    </w:p>
    <w:p w14:paraId="17321FB6" w14:textId="77777777" w:rsidR="000121EA" w:rsidRPr="00FB4EFA" w:rsidRDefault="0015664D" w:rsidP="00AC1192">
      <w:pPr>
        <w:suppressAutoHyphens/>
        <w:spacing w:before="240" w:after="240" w:line="240" w:lineRule="auto"/>
        <w:ind w:left="708"/>
        <w:rPr>
          <w:sz w:val="20"/>
        </w:rPr>
      </w:pPr>
      <w:r w:rsidRPr="00FB4EFA">
        <w:rPr>
          <w:sz w:val="20"/>
        </w:rPr>
        <w:t>Somit haben wir in „Rotenstein“ einen Abkommen des „Vize-Königs“, dem Neffen des Kanzlers, dem Schwager des János Fekete, Haupt der ungarischen Opposition, dem Herrn von Biedersburg, der selbst Mitglied der Opposition war, eine für diese Epoche charakteristische widerspruchsvolle Persönlichkeit kennengelernt.“</w:t>
      </w:r>
      <w:r w:rsidRPr="00FB4EFA">
        <w:rPr>
          <w:rFonts w:eastAsia="Arial" w:cs="Arial"/>
          <w:sz w:val="20"/>
          <w:vertAlign w:val="superscript"/>
        </w:rPr>
        <w:footnoteReference w:id="311"/>
      </w:r>
    </w:p>
    <w:p w14:paraId="4188B19F" w14:textId="4B0DBE50" w:rsidR="000121EA" w:rsidRPr="00FB4EFA" w:rsidRDefault="0015664D" w:rsidP="00402EF4">
      <w:pPr>
        <w:rPr>
          <w:szCs w:val="24"/>
        </w:rPr>
      </w:pPr>
      <w:r w:rsidRPr="00FB4EFA">
        <w:rPr>
          <w:szCs w:val="24"/>
        </w:rPr>
        <w:t xml:space="preserve">Zunächst muss man der Kette von Argumenten beipflichten: die allzu genaue Kenntnis der Schlösser und Paläste, und die Hinweise auf Aufenthalte des Reiseschriftstellers auf den beschriebenen Gütern um </w:t>
      </w:r>
      <w:r w:rsidR="005912DF" w:rsidRPr="00FB4EFA">
        <w:rPr>
          <w:szCs w:val="24"/>
        </w:rPr>
        <w:br/>
      </w:r>
      <w:r w:rsidRPr="00FB4EFA">
        <w:rPr>
          <w:szCs w:val="24"/>
        </w:rPr>
        <w:t xml:space="preserve">Pressburg machen den Leser stutzig und man denkt sofort daran, dass </w:t>
      </w:r>
      <w:r w:rsidRPr="00FB4EFA">
        <w:rPr>
          <w:szCs w:val="24"/>
        </w:rPr>
        <w:lastRenderedPageBreak/>
        <w:t>sich hinter dem Namen ein ortskundiger Adeliger verbergen muss. Dem war nicht so. Windisch, der Rottenstein persönlich kannte, lüftete in einem Brief an Daniel Cornides das Geheimnis:</w:t>
      </w:r>
    </w:p>
    <w:p w14:paraId="182E5E01" w14:textId="134E9296" w:rsidR="0015664D" w:rsidRPr="00FB4EFA" w:rsidRDefault="0015664D" w:rsidP="00AC1192">
      <w:pPr>
        <w:suppressAutoHyphens/>
        <w:spacing w:before="240" w:after="240" w:line="240" w:lineRule="auto"/>
        <w:ind w:left="708"/>
        <w:rPr>
          <w:rFonts w:eastAsia="Arial" w:cs="Arial"/>
          <w:sz w:val="20"/>
          <w:szCs w:val="20"/>
        </w:rPr>
      </w:pPr>
      <w:r w:rsidRPr="00FB4EFA">
        <w:rPr>
          <w:sz w:val="20"/>
          <w:u w:val="single"/>
        </w:rPr>
        <w:t>Rottenstein</w:t>
      </w:r>
      <w:r w:rsidRPr="00FB4EFA">
        <w:rPr>
          <w:sz w:val="20"/>
        </w:rPr>
        <w:t xml:space="preserve"> ist ein bürgerl[icher] Apotheker, hat seinen Schild zum rohten Krebs, und seine Offizin auf dem Krautmarkte. Ein Erznarr, der unter allen Neunundreizigern in allen Kaiserlichen Erbländern, gewiß nicht seines Gleichen hat.– Vor ein par Jahren kaufte er sich den Oesterreichischen Adel, und heißt sonst Gottfried Stegmüller. Sein Vater war ein Bestandmüller in Pösching; und starb in der größten Dürftigkeit. Sein Sohn, unser geadelte Apotheker lernte sein Metier hier in Preßburg, dann als Geselle in Oedenburg, und Kaschau, heiratete die Tochter des Oedenburger Pfar[errs] Eitelhuber und kaufte mit seines Weibes, eines dummen Thiers, Golde, die Apotheke seines Lehrherren.– Da er als Gesell nicht reisen konnte, so that er es als Meister, und gab seine Reisen in Leipzig heraus, die in der Allgem[einen] Litt[eratur] Zeitung verdient gestrigelt wurden und deren auch die Ofner Blätter erwähnten. – Er ist das Gelächter der ganzen Stadt, träumt nur von Reisen, und seinem Adel, und ist zu dumm es zu merken, daß ihn jedermann zum Beßten hat. – Ohe jam satis. –</w:t>
      </w:r>
      <w:r w:rsidR="001667C6" w:rsidRPr="00FB4EFA">
        <w:rPr>
          <w:sz w:val="20"/>
        </w:rPr>
        <w:t xml:space="preserve"> </w:t>
      </w:r>
      <w:r w:rsidRPr="00FB4EFA">
        <w:rPr>
          <w:sz w:val="20"/>
        </w:rPr>
        <w:t>Genug davon!</w:t>
      </w:r>
      <w:r w:rsidRPr="00FB4EFA">
        <w:rPr>
          <w:rFonts w:eastAsia="Arial" w:cs="Arial"/>
          <w:sz w:val="20"/>
          <w:vertAlign w:val="superscript"/>
        </w:rPr>
        <w:footnoteReference w:id="312"/>
      </w:r>
    </w:p>
    <w:p w14:paraId="45D90C34" w14:textId="77777777" w:rsidR="0015664D" w:rsidRPr="00FB4EFA" w:rsidRDefault="0015664D" w:rsidP="00402EF4">
      <w:pPr>
        <w:spacing w:before="240" w:after="240"/>
        <w:rPr>
          <w:rFonts w:eastAsia="Arial" w:cs="Arial"/>
        </w:rPr>
      </w:pPr>
      <w:r w:rsidRPr="00FB4EFA">
        <w:rPr>
          <w:szCs w:val="24"/>
        </w:rPr>
        <w:t>Ob Graf oder Bürgerlicher, immerhin verdankt ihm die Nachwelt eine Reihe von Reisebeschreibungen, die ihn nicht nur in das Königreich Ungarn, sondern auch in andere Landesteile der Monarchie führten und die heute als wertvolle Quellen für die kulturwissenschaftliche Forschung der Zeit und des Raumes herangezogen werden können.</w:t>
      </w:r>
    </w:p>
    <w:p w14:paraId="58DFEEFC" w14:textId="77777777" w:rsidR="000121EA" w:rsidRPr="00FB4EFA" w:rsidRDefault="0015664D" w:rsidP="00545033">
      <w:pPr>
        <w:pStyle w:val="Heading2"/>
        <w:suppressAutoHyphens/>
        <w:spacing w:line="259" w:lineRule="auto"/>
        <w:rPr>
          <w:color w:val="auto"/>
          <w:lang w:val="de-AT"/>
        </w:rPr>
      </w:pPr>
      <w:r w:rsidRPr="00FB4EFA">
        <w:rPr>
          <w:color w:val="auto"/>
          <w:lang w:val="de-AT"/>
        </w:rPr>
        <w:t>Johann Matthias Korabinsky</w:t>
      </w:r>
    </w:p>
    <w:p w14:paraId="2E70F653" w14:textId="50E5D80A" w:rsidR="000121EA" w:rsidRPr="00FB4EFA" w:rsidRDefault="0015664D" w:rsidP="00AF0CAD">
      <w:pPr>
        <w:spacing w:after="240"/>
        <w:rPr>
          <w:szCs w:val="24"/>
        </w:rPr>
      </w:pPr>
      <w:r w:rsidRPr="00FB4EFA">
        <w:rPr>
          <w:szCs w:val="24"/>
        </w:rPr>
        <w:t>Matthias Korabinsky</w:t>
      </w:r>
      <w:r w:rsidRPr="00FB4EFA">
        <w:rPr>
          <w:szCs w:val="24"/>
          <w:vertAlign w:val="superscript"/>
        </w:rPr>
        <w:footnoteReference w:id="313"/>
      </w:r>
      <w:r w:rsidRPr="00FB4EFA">
        <w:rPr>
          <w:szCs w:val="24"/>
        </w:rPr>
        <w:t xml:space="preserve"> ist der Forschung als Nachfolger Karl Gottlieb Windischs in der Herausgabe der </w:t>
      </w:r>
      <w:r w:rsidRPr="00FB4EFA">
        <w:rPr>
          <w:i/>
          <w:iCs/>
          <w:szCs w:val="24"/>
        </w:rPr>
        <w:t>Pre</w:t>
      </w:r>
      <w:r w:rsidR="001E4E99" w:rsidRPr="00FB4EFA">
        <w:rPr>
          <w:i/>
          <w:iCs/>
        </w:rPr>
        <w:t>ß</w:t>
      </w:r>
      <w:r w:rsidRPr="00FB4EFA">
        <w:rPr>
          <w:i/>
          <w:iCs/>
          <w:szCs w:val="24"/>
        </w:rPr>
        <w:t>burger Zeitung</w:t>
      </w:r>
      <w:r w:rsidRPr="00FB4EFA">
        <w:rPr>
          <w:szCs w:val="24"/>
        </w:rPr>
        <w:t xml:space="preserve"> (sie bestand von 1764 bis 1929) sowie als Statistiker und Verfasser eines der ersten Lexika über das Königreich Ungarn bekannt, das </w:t>
      </w:r>
      <w:r w:rsidRPr="00FB4EFA">
        <w:rPr>
          <w:i/>
          <w:iCs/>
          <w:szCs w:val="24"/>
        </w:rPr>
        <w:t>Geographisch-historische und Produkten Lexikon von Ungarn</w:t>
      </w:r>
      <w:r w:rsidRPr="00FB4EFA">
        <w:rPr>
          <w:szCs w:val="24"/>
        </w:rPr>
        <w:t xml:space="preserve">, 1786 erschienen in Pressburg, eine bedeutende und leider viel zu wenig beachtete Quelle des 18. Jahrhunderts. </w:t>
      </w:r>
      <w:r w:rsidRPr="00FB4EFA">
        <w:rPr>
          <w:szCs w:val="24"/>
        </w:rPr>
        <w:lastRenderedPageBreak/>
        <w:t xml:space="preserve">In alphabetischer Reihenfolge beschrieb er darin die wichtigsten Ortschaften und Städte, Sehenswürdigkeiten und die </w:t>
      </w:r>
      <w:r w:rsidRPr="00FB4EFA">
        <w:rPr>
          <w:i/>
          <w:iCs/>
          <w:szCs w:val="24"/>
        </w:rPr>
        <w:t>Produkte</w:t>
      </w:r>
      <w:r w:rsidRPr="00FB4EFA">
        <w:rPr>
          <w:szCs w:val="24"/>
        </w:rPr>
        <w:t xml:space="preserve"> des Landes.</w:t>
      </w:r>
    </w:p>
    <w:p w14:paraId="4DAEE441" w14:textId="21E02179" w:rsidR="0015664D" w:rsidRPr="00FB4EFA" w:rsidRDefault="0015664D" w:rsidP="00402EF4">
      <w:pPr>
        <w:jc w:val="center"/>
      </w:pPr>
      <w:r w:rsidRPr="00FB4EFA">
        <w:rPr>
          <w:noProof/>
        </w:rPr>
        <w:drawing>
          <wp:inline distT="0" distB="0" distL="0" distR="0" wp14:anchorId="58B730AA" wp14:editId="06D2D0DD">
            <wp:extent cx="2623820" cy="4242435"/>
            <wp:effectExtent l="0" t="0" r="0" b="0"/>
            <wp:docPr id="34" name="Grafik 6"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34" name="Grafik 6" descr="Text&#10;&#10;Description automatically generated"/>
                    <pic:cNvPicPr/>
                  </pic:nvPicPr>
                  <pic:blipFill>
                    <a:blip r:embed="rId503">
                      <a:extLst>
                        <a:ext uri="{BEBA8EAE-BF5A-486C-A8C5-ECC9F3942E4B}">
                          <a14:imgProps xmlns:a14="http://schemas.microsoft.com/office/drawing/2010/main">
                            <a14:imgLayer r:embed="rId504">
                              <a14:imgEffect>
                                <a14:saturation sat="0"/>
                              </a14:imgEffect>
                            </a14:imgLayer>
                          </a14:imgProps>
                        </a:ext>
                      </a:extLst>
                    </a:blip>
                    <a:stretch/>
                  </pic:blipFill>
                  <pic:spPr>
                    <a:xfrm>
                      <a:off x="0" y="0"/>
                      <a:ext cx="2623320" cy="4241880"/>
                    </a:xfrm>
                    <a:prstGeom prst="rect">
                      <a:avLst/>
                    </a:prstGeom>
                    <a:ln>
                      <a:noFill/>
                    </a:ln>
                  </pic:spPr>
                </pic:pic>
              </a:graphicData>
            </a:graphic>
          </wp:inline>
        </w:drawing>
      </w:r>
    </w:p>
    <w:p w14:paraId="49777E1C" w14:textId="77777777" w:rsidR="0015664D" w:rsidRPr="00FB4EFA" w:rsidRDefault="0015664D" w:rsidP="00AC1192">
      <w:pPr>
        <w:suppressAutoHyphens/>
        <w:spacing w:before="120" w:after="240"/>
        <w:jc w:val="center"/>
        <w:rPr>
          <w:sz w:val="18"/>
          <w:szCs w:val="18"/>
        </w:rPr>
      </w:pPr>
      <w:r w:rsidRPr="00FB4EFA">
        <w:rPr>
          <w:b/>
          <w:bCs/>
          <w:sz w:val="18"/>
          <w:szCs w:val="18"/>
        </w:rPr>
        <w:t>Illustration 3</w:t>
      </w:r>
      <w:r w:rsidRPr="00FB4EFA">
        <w:rPr>
          <w:sz w:val="18"/>
          <w:szCs w:val="18"/>
        </w:rPr>
        <w:t>. Lexikon, 1786</w:t>
      </w:r>
      <w:r w:rsidRPr="00FB4EFA">
        <w:rPr>
          <w:sz w:val="18"/>
          <w:szCs w:val="18"/>
          <w:vertAlign w:val="superscript"/>
        </w:rPr>
        <w:footnoteReference w:id="314"/>
      </w:r>
    </w:p>
    <w:p w14:paraId="082DD29D" w14:textId="77777777" w:rsidR="0015664D" w:rsidRPr="00FB4EFA" w:rsidRDefault="0015664D" w:rsidP="00AF0CAD">
      <w:r w:rsidRPr="00FB4EFA">
        <w:t xml:space="preserve">Unter den Sehenswürdigkeiten konnte </w:t>
      </w:r>
      <w:r w:rsidRPr="00FB4EFA">
        <w:rPr>
          <w:i/>
          <w:iCs/>
        </w:rPr>
        <w:t>Eßterhás</w:t>
      </w:r>
      <w:r w:rsidRPr="00FB4EFA">
        <w:t>, wie er den Namen schrieb, nicht ausgelassen werden. Seine Beschreibung ist eine der ausführlichsten seiner Zeit, denn er geht nicht nur auf das Schloss und seine außergewöhnliche Lage, sondern auch auf das Umland und die das Anwesen umgebenden Dörfer ein. Er schrieb:</w:t>
      </w:r>
    </w:p>
    <w:p w14:paraId="60F58DBA" w14:textId="77777777" w:rsidR="0015664D" w:rsidRPr="00FB4EFA" w:rsidRDefault="0015664D" w:rsidP="00AC1192">
      <w:pPr>
        <w:suppressAutoHyphens/>
        <w:spacing w:before="240" w:line="240" w:lineRule="auto"/>
        <w:ind w:left="708"/>
        <w:rPr>
          <w:sz w:val="20"/>
          <w:szCs w:val="20"/>
        </w:rPr>
      </w:pPr>
      <w:r w:rsidRPr="00FB4EFA">
        <w:rPr>
          <w:sz w:val="20"/>
        </w:rPr>
        <w:t xml:space="preserve">Eßterhás, ein neues, prächtiges Residenzschloß des Reichsfürsten Nik. Eßterhásy. […] ließ dieses an die Stelle zu Schrollen, wo ehedem ein </w:t>
      </w:r>
      <w:r w:rsidRPr="00FB4EFA">
        <w:rPr>
          <w:sz w:val="20"/>
        </w:rPr>
        <w:lastRenderedPageBreak/>
        <w:t>herrschaftliches Jagdschlössel mit Stallungen gestanden, anbauen. […] Diejenigen, so diesen neuen Anbau, und den weitläufigen Garten, in welchem unzählige Veränderungen vorkommen, gesehen und bewundert haben, können das Angenehme und Herrliche desselben nicht genug anrühmen. Daher es denn von vielen Deliciae Hungarorum, oder das ungrische Paradies genennet wird.</w:t>
      </w:r>
      <w:r w:rsidRPr="00FB4EFA">
        <w:rPr>
          <w:sz w:val="20"/>
          <w:vertAlign w:val="superscript"/>
        </w:rPr>
        <w:footnoteReference w:id="315"/>
      </w:r>
    </w:p>
    <w:p w14:paraId="474AF75B" w14:textId="4189A8CA" w:rsidR="0015664D" w:rsidRPr="00FB4EFA" w:rsidRDefault="0015664D" w:rsidP="00AF0CAD">
      <w:pPr>
        <w:spacing w:before="240"/>
      </w:pPr>
      <w:r w:rsidRPr="00FB4EFA">
        <w:rPr>
          <w:szCs w:val="24"/>
        </w:rPr>
        <w:t xml:space="preserve">Korabinsky geht in seinem Lexikonseintrag ins Detail: er beschreibt die möglichen Anfahrtswege, das Wirtshaus, das sich auf dem Gelände befand und über 20 Zimmer und Stallungen für Fremde verfügte, das Personalgebäude, vorgesehen zur Beherbergung des Leibarztes, der Musiker und „Opristen“, der Schauspieler und die inkludierte Apotheke. Die Stallungen boten Platz für die 100 Pferde des Fürsten. Das Schloss selbst, so Korabinszky, sei im </w:t>
      </w:r>
      <w:r w:rsidRPr="00FB4EFA">
        <w:rPr>
          <w:i/>
          <w:iCs/>
          <w:szCs w:val="24"/>
        </w:rPr>
        <w:t>italienischen Stil</w:t>
      </w:r>
      <w:r w:rsidRPr="00FB4EFA">
        <w:rPr>
          <w:szCs w:val="24"/>
        </w:rPr>
        <w:t xml:space="preserve"> erbaut, das Dach sei nicht zu sehen und das Gebäude verfüge über 126 Zimmer, verteilt auf drei Stockwerke. Auch er bewundert die Bibliothek, von der er berichtet, sie sei auf drei Zimmer aufgeteilt und beinhalte 22.000 Bücher </w:t>
      </w:r>
      <w:r w:rsidRPr="00FB4EFA">
        <w:rPr>
          <w:i/>
          <w:iCs/>
          <w:szCs w:val="24"/>
        </w:rPr>
        <w:t>und von diesen solche, so zur ungrischen Geschichte gehören</w:t>
      </w:r>
      <w:r w:rsidRPr="00FB4EFA">
        <w:rPr>
          <w:szCs w:val="24"/>
        </w:rPr>
        <w:t xml:space="preserve">. Die Handbibliothek des Fürsten allerdings befand sich in einem anderen Teil des Schlosses und enthielt vor allem deutsche, englische und französische Schriftsteller, die der </w:t>
      </w:r>
      <w:r w:rsidR="005912DF" w:rsidRPr="00FB4EFA">
        <w:rPr>
          <w:szCs w:val="24"/>
        </w:rPr>
        <w:br/>
      </w:r>
      <w:r w:rsidRPr="00FB4EFA">
        <w:rPr>
          <w:i/>
          <w:iCs/>
          <w:szCs w:val="24"/>
        </w:rPr>
        <w:t>angenehmen und nützlichen Lektüre</w:t>
      </w:r>
      <w:r w:rsidRPr="00FB4EFA">
        <w:rPr>
          <w:szCs w:val="24"/>
        </w:rPr>
        <w:t xml:space="preserve"> dienten.</w:t>
      </w:r>
    </w:p>
    <w:p w14:paraId="22002F48" w14:textId="43A5FE4A" w:rsidR="0015664D" w:rsidRPr="00FB4EFA" w:rsidRDefault="0015664D" w:rsidP="00E71FCF">
      <w:pPr>
        <w:spacing w:after="240"/>
        <w:ind w:firstLine="708"/>
        <w:rPr>
          <w:szCs w:val="24"/>
        </w:rPr>
      </w:pPr>
      <w:r w:rsidRPr="00FB4EFA">
        <w:rPr>
          <w:szCs w:val="24"/>
        </w:rPr>
        <w:t xml:space="preserve">Der Garten und die Wasserfälle fanden auch Korabinskys </w:t>
      </w:r>
      <w:r w:rsidR="005912DF" w:rsidRPr="00FB4EFA">
        <w:rPr>
          <w:szCs w:val="24"/>
        </w:rPr>
        <w:br/>
      </w:r>
      <w:r w:rsidRPr="00FB4EFA">
        <w:rPr>
          <w:szCs w:val="24"/>
        </w:rPr>
        <w:t>Bewunderung:</w:t>
      </w:r>
    </w:p>
    <w:p w14:paraId="7C22B318" w14:textId="77777777" w:rsidR="0015664D" w:rsidRPr="00FB4EFA" w:rsidRDefault="0015664D" w:rsidP="00AC1192">
      <w:pPr>
        <w:suppressAutoHyphens/>
        <w:spacing w:before="240" w:after="240" w:line="240" w:lineRule="auto"/>
        <w:ind w:left="708"/>
        <w:rPr>
          <w:sz w:val="20"/>
        </w:rPr>
      </w:pPr>
      <w:r w:rsidRPr="00FB4EFA">
        <w:rPr>
          <w:sz w:val="20"/>
        </w:rPr>
        <w:t>Am Anfang des Gartens werden dermahlen Wasserfälle angelegt, wo das Wasser 35 Klafter hoch durch Kunst hinauf gezogen wird, alsdann über 10 hohe Stuffen in ein Bassin mit großem Getöse herab stürzt und dem Auge einen so angenehm als seltenen Anblick gewährt. Jeder dieser Wasserfälle wird auf 60000 fl geschätzt.</w:t>
      </w:r>
      <w:r w:rsidRPr="00FB4EFA">
        <w:rPr>
          <w:sz w:val="20"/>
          <w:vertAlign w:val="superscript"/>
        </w:rPr>
        <w:footnoteReference w:id="316"/>
      </w:r>
    </w:p>
    <w:p w14:paraId="5A3DAD08" w14:textId="77777777" w:rsidR="0015664D" w:rsidRPr="00FB4EFA" w:rsidRDefault="0015664D" w:rsidP="00402EF4">
      <w:pPr>
        <w:rPr>
          <w:szCs w:val="24"/>
        </w:rPr>
      </w:pPr>
      <w:r w:rsidRPr="00FB4EFA">
        <w:rPr>
          <w:szCs w:val="24"/>
        </w:rPr>
        <w:t>Und auch Korabinsky bewundert die Lustbarkeiten, für die Nikolaus I. keine Kosten und Mühen scheute:</w:t>
      </w:r>
    </w:p>
    <w:p w14:paraId="0B23FBED" w14:textId="77777777" w:rsidR="0015664D" w:rsidRPr="00FB4EFA" w:rsidRDefault="0015664D" w:rsidP="00AC1192">
      <w:pPr>
        <w:suppressAutoHyphens/>
        <w:spacing w:before="240" w:after="240" w:line="240" w:lineRule="auto"/>
        <w:ind w:left="708"/>
        <w:rPr>
          <w:sz w:val="20"/>
        </w:rPr>
      </w:pPr>
      <w:r w:rsidRPr="00FB4EFA">
        <w:rPr>
          <w:sz w:val="20"/>
        </w:rPr>
        <w:t xml:space="preserve">Die merkwürdigsten Festins sind 1773 in Gegenwart des französischen Bottschafters des Prinzen von Rohan; 1775 aber in Gegenwart der hochseeligen Kaiserinn Königinn wegen der durchlauchtigsten Herrschaften dem Erzherzoge Ferdinand und dessen Gemahlin Beatrix von Esthen gegeben worden. […] In dem letzteren sind den hohen </w:t>
      </w:r>
      <w:r w:rsidRPr="00FB4EFA">
        <w:rPr>
          <w:sz w:val="20"/>
        </w:rPr>
        <w:lastRenderedPageBreak/>
        <w:t>Herrschaften Fächer ausgetheilt worden, auf welchen der Grundriß von allen Garten-Alleen befindlich war. […] Es wechselten hier Bälle, Concerte, Opern, Kunstfeuer, Illuminationen, ländliche Spiele und tausend andere Lustbarkeiten ab, welche alle mit dem Gepräge der Pracht und Herrlichkeit bezeichnet waren […].</w:t>
      </w:r>
      <w:r w:rsidRPr="00FB4EFA">
        <w:rPr>
          <w:sz w:val="20"/>
          <w:vertAlign w:val="superscript"/>
        </w:rPr>
        <w:footnoteReference w:id="317"/>
      </w:r>
    </w:p>
    <w:p w14:paraId="7E847BC6" w14:textId="77777777" w:rsidR="0015664D" w:rsidRPr="00FB4EFA" w:rsidRDefault="0015664D" w:rsidP="00402EF4">
      <w:pPr>
        <w:rPr>
          <w:rFonts w:eastAsia="Arial" w:cs="Arial"/>
          <w:szCs w:val="24"/>
        </w:rPr>
      </w:pPr>
      <w:r w:rsidRPr="00FB4EFA">
        <w:rPr>
          <w:rFonts w:eastAsia="Arial" w:cs="Arial"/>
          <w:szCs w:val="24"/>
        </w:rPr>
        <w:t>Nahezu alle Reisebeschreiber des 18. Jahrhunderts, die das Königreich Ungarn bereisten, hatten das Schloss des Fürsten in Esterháza besucht und es als das ungarische Versailles glorifiziert. Manche verstanden allerdings nicht, warum der Prunkbau gerade am Südufer des Neusiedlersees errichtet wurde, auf einem sumpfigen, der Gesundheit nicht gerade zuträglichem Landstrich. So wurde auch kolportiert, dass der Fürst selbst seine Residenz in Eisenstadt dieser vorzog und vor allem zu den vielbesungenen Festivitäten nach Esterháza käme.</w:t>
      </w:r>
    </w:p>
    <w:p w14:paraId="3B8D627A" w14:textId="0FD68F4E" w:rsidR="0015664D" w:rsidRPr="00FB4EFA" w:rsidRDefault="0015664D" w:rsidP="00402EF4">
      <w:pPr>
        <w:rPr>
          <w:rFonts w:eastAsia="Arial" w:cs="Arial"/>
        </w:rPr>
      </w:pPr>
      <w:r w:rsidRPr="00FB4EFA">
        <w:rPr>
          <w:szCs w:val="24"/>
        </w:rPr>
        <w:t>Die prunkvolle Ära im Versaille-ähnlichem Anwesen ging auch bald zu Ende: Fürst Nikolaus</w:t>
      </w:r>
      <w:r w:rsidR="00C455F6" w:rsidRPr="00FB4EFA">
        <w:rPr>
          <w:szCs w:val="24"/>
        </w:rPr>
        <w:t xml:space="preserve"> </w:t>
      </w:r>
      <w:r w:rsidRPr="00FB4EFA">
        <w:rPr>
          <w:szCs w:val="24"/>
        </w:rPr>
        <w:t xml:space="preserve">I. Esterházy verstarb im September 1790. Der Tod des Fürsten, des Prachtliebenden, ist in der </w:t>
      </w:r>
      <w:r w:rsidRPr="00FB4EFA">
        <w:rPr>
          <w:i/>
          <w:iCs/>
          <w:szCs w:val="24"/>
        </w:rPr>
        <w:t>Pre</w:t>
      </w:r>
      <w:r w:rsidR="001E4E99" w:rsidRPr="00FB4EFA">
        <w:rPr>
          <w:i/>
          <w:iCs/>
        </w:rPr>
        <w:t>ß</w:t>
      </w:r>
      <w:r w:rsidRPr="00FB4EFA">
        <w:rPr>
          <w:i/>
          <w:iCs/>
          <w:szCs w:val="24"/>
        </w:rPr>
        <w:t>burger Zeitung</w:t>
      </w:r>
      <w:r w:rsidRPr="00FB4EFA">
        <w:rPr>
          <w:szCs w:val="24"/>
        </w:rPr>
        <w:t xml:space="preserve"> nur kurz erwähnt worden:</w:t>
      </w:r>
    </w:p>
    <w:p w14:paraId="3A07AC6D" w14:textId="77777777" w:rsidR="0015664D" w:rsidRPr="00FB4EFA" w:rsidRDefault="0015664D" w:rsidP="00AC1192">
      <w:pPr>
        <w:suppressAutoHyphens/>
        <w:spacing w:before="240" w:after="240" w:line="240" w:lineRule="auto"/>
        <w:ind w:left="708"/>
        <w:rPr>
          <w:rFonts w:eastAsia="Arial" w:cs="Arial"/>
          <w:sz w:val="20"/>
        </w:rPr>
      </w:pPr>
      <w:r w:rsidRPr="00FB4EFA">
        <w:rPr>
          <w:sz w:val="20"/>
        </w:rPr>
        <w:t>Gestern den 29 d.;. verstarb allhier [d.i. Wien, Anm.d.Verf.] nach einer kurzen Krankheit, des H.R. Reichs Fürst Nikolaus Esterhazy de Galantha […] im 76. Jahre seines Alters. Der Leichnam wird nach Eisenstadt geführt, und in die dasige fürstl. Esterhazysche Familiengruft beigesetzt.</w:t>
      </w:r>
      <w:r w:rsidRPr="00FB4EFA">
        <w:rPr>
          <w:rFonts w:eastAsia="Arial" w:cs="Arial"/>
          <w:sz w:val="20"/>
          <w:vertAlign w:val="superscript"/>
        </w:rPr>
        <w:footnoteReference w:id="318"/>
      </w:r>
    </w:p>
    <w:p w14:paraId="536E9DB9" w14:textId="77777777" w:rsidR="0015664D" w:rsidRPr="00FB4EFA" w:rsidRDefault="0015664D" w:rsidP="00AF0CAD">
      <w:pPr>
        <w:spacing w:after="240"/>
        <w:rPr>
          <w:rFonts w:eastAsia="Arial" w:cs="Arial"/>
          <w:szCs w:val="24"/>
        </w:rPr>
      </w:pPr>
      <w:r w:rsidRPr="00FB4EFA">
        <w:rPr>
          <w:szCs w:val="24"/>
        </w:rPr>
        <w:t>Mit dem Tod des Fürsten erlosch auch das aufwendige höfische Leben in Esterháza. Sein Nachfolger, Fürst Anton, Majoratsherr, führte einen wesentlich bescheideneren Lebensstil – vielleicht aus Geldmangel, wie manche Quellen behaupten, vielleicht aber auch, weil die glanzvolle Hofhaltung der Esterházys zu Ende des 18. Jahrhunderts selbst unter den Adeligen bereits als überholt galt. In Esterháza wurde anlässlich der Inaugura</w:t>
      </w:r>
      <w:r w:rsidRPr="00FB4EFA">
        <w:rPr>
          <w:szCs w:val="24"/>
        </w:rPr>
        <w:lastRenderedPageBreak/>
        <w:t xml:space="preserve">tionsfeier des Fürsten Anton das letzte Mal Theater gespielt: das Singspiel </w:t>
      </w:r>
      <w:r w:rsidRPr="00FB4EFA">
        <w:rPr>
          <w:i/>
          <w:iCs/>
          <w:szCs w:val="24"/>
        </w:rPr>
        <w:t>Venere e Adonis.</w:t>
      </w:r>
      <w:r w:rsidRPr="00FB4EFA">
        <w:rPr>
          <w:rFonts w:eastAsia="Arial" w:cs="Arial"/>
          <w:szCs w:val="24"/>
          <w:vertAlign w:val="superscript"/>
        </w:rPr>
        <w:footnoteReference w:id="319"/>
      </w:r>
    </w:p>
    <w:p w14:paraId="55A5B106" w14:textId="77777777" w:rsidR="0015664D" w:rsidRPr="00FB4EFA" w:rsidRDefault="0015664D" w:rsidP="00402EF4">
      <w:pPr>
        <w:jc w:val="center"/>
        <w:rPr>
          <w:rFonts w:eastAsia="Arial" w:cs="Arial"/>
          <w:szCs w:val="24"/>
        </w:rPr>
      </w:pPr>
      <w:r w:rsidRPr="00FB4EFA">
        <w:rPr>
          <w:noProof/>
        </w:rPr>
        <w:drawing>
          <wp:inline distT="0" distB="0" distL="0" distR="0" wp14:anchorId="60A35F5D" wp14:editId="768E4BA6">
            <wp:extent cx="3976370" cy="2901315"/>
            <wp:effectExtent l="0" t="0" r="0" b="0"/>
            <wp:docPr id="40" name="Grafik 3" descr="A picture containing text, old, black, white&#10;&#10;Description automatically generated"/>
            <wp:cNvGraphicFramePr/>
            <a:graphic xmlns:a="http://schemas.openxmlformats.org/drawingml/2006/main">
              <a:graphicData uri="http://schemas.openxmlformats.org/drawingml/2006/picture">
                <pic:pic xmlns:pic="http://schemas.openxmlformats.org/drawingml/2006/picture">
                  <pic:nvPicPr>
                    <pic:cNvPr id="40" name="Grafik 3" descr="A picture containing text, old, black, white&#10;&#10;Description automatically generated"/>
                    <pic:cNvPicPr/>
                  </pic:nvPicPr>
                  <pic:blipFill>
                    <a:blip r:embed="rId505">
                      <a:extLst>
                        <a:ext uri="{BEBA8EAE-BF5A-486C-A8C5-ECC9F3942E4B}">
                          <a14:imgProps xmlns:a14="http://schemas.microsoft.com/office/drawing/2010/main">
                            <a14:imgLayer r:embed="rId506">
                              <a14:imgEffect>
                                <a14:saturation sat="0"/>
                              </a14:imgEffect>
                            </a14:imgLayer>
                          </a14:imgProps>
                        </a:ext>
                      </a:extLst>
                    </a:blip>
                    <a:stretch/>
                  </pic:blipFill>
                  <pic:spPr>
                    <a:xfrm>
                      <a:off x="0" y="0"/>
                      <a:ext cx="3975840" cy="2900520"/>
                    </a:xfrm>
                    <a:prstGeom prst="rect">
                      <a:avLst/>
                    </a:prstGeom>
                    <a:ln>
                      <a:noFill/>
                    </a:ln>
                  </pic:spPr>
                </pic:pic>
              </a:graphicData>
            </a:graphic>
          </wp:inline>
        </w:drawing>
      </w:r>
    </w:p>
    <w:p w14:paraId="508525D2" w14:textId="77777777" w:rsidR="0015664D" w:rsidRPr="00FB4EFA" w:rsidRDefault="0015664D" w:rsidP="00AC1192">
      <w:pPr>
        <w:suppressAutoHyphens/>
        <w:spacing w:before="120" w:after="240"/>
        <w:jc w:val="center"/>
        <w:rPr>
          <w:sz w:val="18"/>
          <w:szCs w:val="18"/>
        </w:rPr>
      </w:pPr>
      <w:r w:rsidRPr="00FB4EFA">
        <w:rPr>
          <w:b/>
          <w:bCs/>
          <w:sz w:val="18"/>
          <w:szCs w:val="18"/>
        </w:rPr>
        <w:t>Illustration 4</w:t>
      </w:r>
      <w:r w:rsidRPr="00FB4EFA">
        <w:rPr>
          <w:sz w:val="18"/>
          <w:szCs w:val="18"/>
        </w:rPr>
        <w:t>. Esterháza im Jahre 1791, unbekannter Künstler</w:t>
      </w:r>
      <w:r w:rsidRPr="00FB4EFA">
        <w:rPr>
          <w:sz w:val="18"/>
          <w:szCs w:val="18"/>
          <w:vertAlign w:val="superscript"/>
        </w:rPr>
        <w:footnoteReference w:id="320"/>
      </w:r>
    </w:p>
    <w:p w14:paraId="4E545772" w14:textId="7BC0FB78" w:rsidR="00A96E85" w:rsidRPr="00FB4EFA" w:rsidRDefault="00A96E85" w:rsidP="00402EF4"/>
    <w:p w14:paraId="14AB9F9C" w14:textId="77777777" w:rsidR="00A96E85" w:rsidRPr="00FB4EFA" w:rsidRDefault="00A96E85" w:rsidP="00402EF4">
      <w:pPr>
        <w:spacing w:after="160"/>
        <w:jc w:val="center"/>
        <w:rPr>
          <w:smallCaps/>
          <w:sz w:val="48"/>
          <w:szCs w:val="48"/>
        </w:rPr>
        <w:sectPr w:rsidR="00A96E85" w:rsidRPr="00FB4EFA">
          <w:headerReference w:type="even" r:id="rId507"/>
          <w:headerReference w:type="default" r:id="rId508"/>
          <w:headerReference w:type="first" r:id="rId509"/>
          <w:footnotePr>
            <w:numRestart w:val="eachSect"/>
          </w:footnotePr>
          <w:pgSz w:w="9180" w:h="13302"/>
          <w:pgMar w:top="779" w:right="1133" w:bottom="1132" w:left="1133" w:header="744" w:footer="720" w:gutter="0"/>
          <w:cols w:space="720"/>
          <w:titlePg/>
        </w:sectPr>
      </w:pPr>
    </w:p>
    <w:p w14:paraId="1716EC6E" w14:textId="77777777" w:rsidR="00A96E85" w:rsidRPr="00FB4EFA" w:rsidRDefault="00A96E85" w:rsidP="00AF0CAD">
      <w:pPr>
        <w:pStyle w:val="Authors"/>
        <w:spacing w:line="259" w:lineRule="auto"/>
        <w:rPr>
          <w:color w:val="auto"/>
        </w:rPr>
      </w:pPr>
      <w:r w:rsidRPr="00FB4EFA">
        <w:rPr>
          <w:color w:val="auto"/>
        </w:rPr>
        <w:lastRenderedPageBreak/>
        <w:t>Antje Wischmann</w:t>
      </w:r>
    </w:p>
    <w:p w14:paraId="6578F9BF" w14:textId="77777777" w:rsidR="00A96E85" w:rsidRPr="00FB4EFA" w:rsidRDefault="00A96E85" w:rsidP="00402EF4">
      <w:pPr>
        <w:rPr>
          <w:rFonts w:ascii="Gill Sans MT" w:hAnsi="Gill Sans MT" w:cstheme="minorHAnsi"/>
          <w:iCs/>
          <w:sz w:val="28"/>
          <w:szCs w:val="28"/>
        </w:rPr>
      </w:pPr>
    </w:p>
    <w:p w14:paraId="6D1200A8" w14:textId="4CA71D9C" w:rsidR="00A96E85" w:rsidRPr="00FB4EFA" w:rsidRDefault="00A96E85" w:rsidP="00AC1192">
      <w:pPr>
        <w:pStyle w:val="Heading1"/>
        <w:suppressAutoHyphens/>
        <w:spacing w:line="259" w:lineRule="auto"/>
        <w:rPr>
          <w:color w:val="auto"/>
        </w:rPr>
      </w:pPr>
      <w:bookmarkStart w:id="145" w:name="_Toc87547026"/>
      <w:bookmarkStart w:id="146" w:name="_Ref90999736"/>
      <w:r w:rsidRPr="00FB4EFA">
        <w:rPr>
          <w:iCs/>
          <w:color w:val="auto"/>
        </w:rPr>
        <w:t xml:space="preserve">Die </w:t>
      </w:r>
      <w:r w:rsidR="006057AB" w:rsidRPr="00FB4EFA">
        <w:rPr>
          <w:iCs/>
          <w:color w:val="auto"/>
        </w:rPr>
        <w:t>‘</w:t>
      </w:r>
      <w:r w:rsidRPr="00FB4EFA">
        <w:rPr>
          <w:iCs/>
          <w:color w:val="auto"/>
        </w:rPr>
        <w:t>neue Frau</w:t>
      </w:r>
      <w:r w:rsidR="0093480B" w:rsidRPr="00FB4EFA">
        <w:rPr>
          <w:iCs/>
          <w:color w:val="auto"/>
        </w:rPr>
        <w:t>’</w:t>
      </w:r>
      <w:r w:rsidRPr="00FB4EFA">
        <w:rPr>
          <w:iCs/>
          <w:color w:val="auto"/>
        </w:rPr>
        <w:t xml:space="preserve"> im Wandel der Kanonisierung. Elin Wägners Feuilletonroman</w:t>
      </w:r>
      <w:r w:rsidRPr="00FB4EFA">
        <w:rPr>
          <w:i/>
          <w:color w:val="auto"/>
        </w:rPr>
        <w:t xml:space="preserve"> Norrtullsligan </w:t>
      </w:r>
      <w:r w:rsidRPr="00FB4EFA">
        <w:rPr>
          <w:color w:val="auto"/>
        </w:rPr>
        <w:t>(Die Clique aus Norrtullsgatan) 1908 und die Folgen der Verfilmung 1923</w:t>
      </w:r>
      <w:bookmarkEnd w:id="145"/>
      <w:bookmarkEnd w:id="146"/>
    </w:p>
    <w:p w14:paraId="3653C613" w14:textId="77777777" w:rsidR="00207E56" w:rsidRPr="00FB4EFA" w:rsidRDefault="00207E56" w:rsidP="00545033">
      <w:pPr>
        <w:pStyle w:val="Heading2"/>
        <w:suppressAutoHyphens/>
        <w:spacing w:line="259" w:lineRule="auto"/>
        <w:rPr>
          <w:color w:val="auto"/>
        </w:rPr>
      </w:pPr>
      <w:r w:rsidRPr="00FB4EFA">
        <w:rPr>
          <w:color w:val="auto"/>
        </w:rPr>
        <w:t>Im Spannungsfeld der Modernisierungskritik</w:t>
      </w:r>
    </w:p>
    <w:p w14:paraId="46E29EF1" w14:textId="0ACA54E0" w:rsidR="00207E56" w:rsidRPr="00FB4EFA" w:rsidRDefault="00207E56" w:rsidP="002A3BC9">
      <w:r w:rsidRPr="00FB4EFA">
        <w:t>Elin Wägner (1882</w:t>
      </w:r>
      <w:r w:rsidR="00C65823" w:rsidRPr="00FB4EFA">
        <w:t>–</w:t>
      </w:r>
      <w:r w:rsidRPr="00FB4EFA">
        <w:t xml:space="preserve">1949) debütierte 1908 mit dem Feuilletonroman </w:t>
      </w:r>
      <w:r w:rsidRPr="00FB4EFA">
        <w:rPr>
          <w:i/>
          <w:iCs/>
        </w:rPr>
        <w:t>Norrtullsligan</w:t>
      </w:r>
      <w:r w:rsidRPr="00FB4EFA">
        <w:t>, dieses kurzgefasste Werk hat ein langes Jahrhundert erstaunlich gut überstanden. Der Titel bezieht sich auf das Stockholmer Viertel Vasastan, wo in der Norrtullsgatan eine Wohngemeinschaft aus vier weiblichen Angestellten kostengünstig untergebracht ist. Die Gruppe bezeichnet sich mit einem verschwörerischen Augenzwinkern als Bande (</w:t>
      </w:r>
      <w:r w:rsidRPr="00FB4EFA">
        <w:rPr>
          <w:i/>
          <w:iCs/>
        </w:rPr>
        <w:t>liga</w:t>
      </w:r>
      <w:r w:rsidRPr="00FB4EFA">
        <w:t>) oder Clique.</w:t>
      </w:r>
    </w:p>
    <w:p w14:paraId="7EF86DCC" w14:textId="77777777" w:rsidR="00207E56" w:rsidRPr="00FB4EFA" w:rsidRDefault="00207E56" w:rsidP="002A3BC9">
      <w:pPr>
        <w:ind w:firstLine="709"/>
      </w:pPr>
      <w:r w:rsidRPr="00FB4EFA">
        <w:t xml:space="preserve">Für die Feuilleton-Lesenden der landesweit erscheinenden Tageszeitung </w:t>
      </w:r>
      <w:r w:rsidRPr="00FB4EFA">
        <w:rPr>
          <w:i/>
          <w:iCs/>
        </w:rPr>
        <w:t xml:space="preserve">Dagens Nyheter </w:t>
      </w:r>
      <w:r w:rsidRPr="00FB4EFA">
        <w:t xml:space="preserve">entstand bei der Lektüre der mit Tagesdaten versehenen Episoden, im Zeitraum September 1907 bis März 1908, der Eindruck, synchron eine teilnehmende Beobachtung mitzuerleben, denn in 18 kurzen Abschnitten wurden die Aufzeichnungen der Büroangestellten Elisabeth, genannt Pegg, aus der Ich-Perspektive präsentiert: </w:t>
      </w:r>
      <w:r w:rsidRPr="00FB4EFA">
        <w:rPr>
          <w:i/>
        </w:rPr>
        <w:t xml:space="preserve">Norrtullsligan. </w:t>
      </w:r>
      <w:r w:rsidRPr="00FB4EFA">
        <w:rPr>
          <w:i/>
          <w:lang w:val="sv-SE"/>
        </w:rPr>
        <w:t>Lösryckta blad ur en dagbok. Af Elisabeth</w:t>
      </w:r>
      <w:r w:rsidRPr="00FB4EFA">
        <w:rPr>
          <w:lang w:val="sv-SE"/>
        </w:rPr>
        <w:t xml:space="preserve"> (Die Clique aus Norrtullsgatan. </w:t>
      </w:r>
      <w:r w:rsidRPr="00FB4EFA">
        <w:t>Ausgewählte Tagebuchseiten. Von Elisabeth). Peggs Bericht weist Merkmale einer Sozialreportage aus dem Angestelltenmilieu auf, wobei durch ihren ehemals gutbürgerlichen Hintergrund eine gewisse Distanz im Blick auf ihre kleinbürgerlich sozialisierten Mitbewohnerinnen entsteht. Während die Protagonistin als Sekretärin für den Leiter eines Bezirksamts tätig ist,</w:t>
      </w:r>
      <w:r w:rsidRPr="00FB4EFA">
        <w:rPr>
          <w:rFonts w:cstheme="minorHAnsi"/>
          <w:vertAlign w:val="superscript"/>
        </w:rPr>
        <w:footnoteReference w:id="321"/>
      </w:r>
      <w:r w:rsidRPr="00FB4EFA">
        <w:t xml:space="preserve"> arbeiten ihre Kolleginnen bei einer großen Versicherungsgesellschaft (</w:t>
      </w:r>
      <w:r w:rsidRPr="00FB4EFA">
        <w:rPr>
          <w:i/>
          <w:iCs/>
        </w:rPr>
        <w:t>Förenade Bolagen</w:t>
      </w:r>
      <w:r w:rsidRPr="00FB4EFA">
        <w:t>) und in einem Bestattungs</w:t>
      </w:r>
      <w:r w:rsidRPr="00FB4EFA">
        <w:lastRenderedPageBreak/>
        <w:t>institut, wobei letztgenannter Arbeitsplatz sinnfällig auf die fortschreitende Desillusionierung der weiblichen Angestellten anspielt.</w:t>
      </w:r>
    </w:p>
    <w:p w14:paraId="1B991AAE" w14:textId="1715D6CA" w:rsidR="00207E56" w:rsidRPr="00FB4EFA" w:rsidRDefault="00207E56" w:rsidP="002A3BC9">
      <w:pPr>
        <w:ind w:firstLine="709"/>
      </w:pPr>
      <w:r w:rsidRPr="00FB4EFA">
        <w:t xml:space="preserve">Im ersten Teil dieses Beitrags werde ich die Modernisierungskritik des Romans erläutern, die sich im Widerspruch zum prominentesten Rezeptionsmuster von Wägners frühen Texten befindet. </w:t>
      </w:r>
      <w:r w:rsidRPr="00FB4EFA">
        <w:rPr>
          <w:i/>
          <w:iCs/>
        </w:rPr>
        <w:t>Norrtullsligan</w:t>
      </w:r>
      <w:r w:rsidRPr="00FB4EFA">
        <w:t xml:space="preserve"> wurde nämlich als ein Bekenntnis zur neuen Frau in der Großstadt – im schwedischen Kontext zur SBK („självförsörjande bildad kvinna“, d.</w:t>
      </w:r>
      <w:r w:rsidR="00394635" w:rsidRPr="00FB4EFA">
        <w:t xml:space="preserve"> </w:t>
      </w:r>
      <w:r w:rsidRPr="00FB4EFA">
        <w:t xml:space="preserve">h. der als vorbildlich geltenden berufstätigen, gut ausgebildeten, selbstbestimmt lebenden jungen Frau) – gedeutet. Der abwechslungsreiche Text, mit den Schilderungen des Zusammenhalts der WG-Bewohnerinnen und deren Sorgen im mühsamen Arbeitsalltag als Geringverdienerinnen zeichnet sich durch Tempo, schlagfertige Dialoge und Stockholmer Jargon aus. Meist wird davon ausgegangen, dass </w:t>
      </w:r>
      <w:r w:rsidRPr="00FB4EFA">
        <w:rPr>
          <w:i/>
          <w:iCs/>
        </w:rPr>
        <w:t>Norrtullsligan</w:t>
      </w:r>
      <w:r w:rsidRPr="00FB4EFA">
        <w:t xml:space="preserve"> schon auf die </w:t>
      </w:r>
      <w:r w:rsidR="006057AB" w:rsidRPr="00FB4EFA">
        <w:t>‘</w:t>
      </w:r>
      <w:r w:rsidRPr="00FB4EFA">
        <w:t>neue Frau</w:t>
      </w:r>
      <w:r w:rsidR="0093480B" w:rsidRPr="00FB4EFA">
        <w:t>’</w:t>
      </w:r>
      <w:r w:rsidRPr="00FB4EFA">
        <w:t xml:space="preserve"> in der europäischen Literatur der 1920er und 1930er Jahre vorausweise, der Bezug auf die Lebensreformbewegung in Schweden um 1900, wie etwa Ellen Keys (184</w:t>
      </w:r>
      <w:r w:rsidR="00C65823" w:rsidRPr="00FB4EFA">
        <w:t>9–1</w:t>
      </w:r>
      <w:r w:rsidRPr="00FB4EFA">
        <w:t xml:space="preserve">926) provokative </w:t>
      </w:r>
      <w:r w:rsidR="006057AB" w:rsidRPr="00FB4EFA">
        <w:t>‘</w:t>
      </w:r>
      <w:r w:rsidRPr="00FB4EFA">
        <w:t>Liebeslehre</w:t>
      </w:r>
      <w:r w:rsidR="0093480B" w:rsidRPr="00FB4EFA">
        <w:t>’</w:t>
      </w:r>
      <w:r w:rsidRPr="00FB4EFA">
        <w:t xml:space="preserve"> (im Sinne einer sog. freien Liebe, die eine Selbstbestimmung der Liebenden voraussetzt; Lindén 2002), Keys Kritik an der institutionalisierten Doppelmoral in der patriarchalischen Ehe oder ihrer Utopie einer </w:t>
      </w:r>
      <w:r w:rsidR="006057AB" w:rsidRPr="00FB4EFA">
        <w:t>‘</w:t>
      </w:r>
      <w:r w:rsidRPr="00FB4EFA">
        <w:t>Schönheit für alle</w:t>
      </w:r>
      <w:r w:rsidR="0093480B" w:rsidRPr="00FB4EFA">
        <w:t>’</w:t>
      </w:r>
      <w:r w:rsidRPr="00FB4EFA">
        <w:t>, die u.</w:t>
      </w:r>
      <w:r w:rsidR="00AF3488" w:rsidRPr="00FB4EFA">
        <w:t xml:space="preserve"> </w:t>
      </w:r>
      <w:r w:rsidRPr="00FB4EFA">
        <w:t>a. vom Künstlerpaar Karin und Carl Larsson geteilt wurde, sind als prägende Einflüsse auf Wägner meist unterschätzt worden, wie Ulrika Knutson jüngst kritisiert hat (2020). Zugleich weist Knutson auch auf die kritischen Revisionen Wägners in der Auseinandersetzung mit Key hin.</w:t>
      </w:r>
      <w:r w:rsidRPr="00FB4EFA">
        <w:rPr>
          <w:rFonts w:cstheme="minorHAnsi"/>
          <w:vertAlign w:val="superscript"/>
        </w:rPr>
        <w:footnoteReference w:id="322"/>
      </w:r>
      <w:r w:rsidRPr="00FB4EFA">
        <w:t xml:space="preserve"> Mein Beitrag wird diese Argumentationslinie weiterführen und hervorheben, dass bei Wägner nicht dem neu entstandenen emanzipatorischen Möglichkeitsraum Stockholm, sondern dem neuen Leben auf dem Lande – als Modernisierungskorrektiv – der Vorzug gegeben wird.</w:t>
      </w:r>
    </w:p>
    <w:p w14:paraId="5BA14A85" w14:textId="3C9A723D" w:rsidR="00207E56" w:rsidRPr="00FB4EFA" w:rsidRDefault="00207E56" w:rsidP="002A3BC9">
      <w:pPr>
        <w:ind w:firstLine="709"/>
      </w:pPr>
      <w:r w:rsidRPr="00FB4EFA">
        <w:t xml:space="preserve">Es ist auffällig, dass die stabile Positionierung Wägners in der Frauenliteraturgeschichte insbesondere von drei Faktoren bestimmt ist: dem Kampf der Autorin für das Frauenwahlrecht (das in Schweden erst 1921 eingeführt wurde), dem Erfolg des zweiten Romans Wägners </w:t>
      </w:r>
      <w:r w:rsidRPr="00FB4EFA">
        <w:rPr>
          <w:i/>
          <w:iCs/>
        </w:rPr>
        <w:t>Pennskaftet</w:t>
      </w:r>
      <w:r w:rsidRPr="00FB4EFA">
        <w:t xml:space="preserve"> (Die Schreibfeder, 1910) über eine erfolgreiche Journalistin und Wahlrechtsaktivistin und schließlich der Verfilmung von </w:t>
      </w:r>
      <w:r w:rsidR="005912DF" w:rsidRPr="00FB4EFA">
        <w:br/>
      </w:r>
      <w:r w:rsidRPr="00FB4EFA">
        <w:rPr>
          <w:i/>
          <w:iCs/>
        </w:rPr>
        <w:lastRenderedPageBreak/>
        <w:t>Norrtullsligan</w:t>
      </w:r>
      <w:r w:rsidRPr="00FB4EFA">
        <w:t xml:space="preserve"> 1923, die einen besonders wichtigsten Beitrag zur Kanonpflege und zur transnationalen Verbreitung geleistet hat. Dabei ist jedoch zu beachten, dass das Drehbuch Hjalmar Bergmans (188</w:t>
      </w:r>
      <w:r w:rsidR="00C65823" w:rsidRPr="00FB4EFA">
        <w:t>3–1</w:t>
      </w:r>
      <w:r w:rsidRPr="00FB4EFA">
        <w:t xml:space="preserve">931) von Wägners Roman abweicht und die vorgebliche urbane Selbstverwirklichung junger Frauen ironisch kommentiert; vor diesem Hintergrund wird der 2016 restaurierten Fassung des Stummfilms </w:t>
      </w:r>
      <w:r w:rsidR="00AF3488" w:rsidRPr="00FB4EFA">
        <w:t>in zweiten Teil</w:t>
      </w:r>
      <w:r w:rsidRPr="00FB4EFA">
        <w:t xml:space="preserve"> ein </w:t>
      </w:r>
      <w:r w:rsidR="00AF3488" w:rsidRPr="00FB4EFA">
        <w:br/>
      </w:r>
      <w:r w:rsidRPr="00FB4EFA">
        <w:t>eigener Abschnitt gewidmet.</w:t>
      </w:r>
    </w:p>
    <w:p w14:paraId="55B4AAD4" w14:textId="11D40424" w:rsidR="00207E56" w:rsidRPr="00FB4EFA" w:rsidRDefault="00207E56" w:rsidP="00AF0CAD">
      <w:pPr>
        <w:ind w:firstLine="708"/>
      </w:pPr>
      <w:r w:rsidRPr="00FB4EFA">
        <w:t xml:space="preserve">Knutsons aktuelle Monographie </w:t>
      </w:r>
      <w:r w:rsidRPr="00FB4EFA">
        <w:rPr>
          <w:i/>
          <w:iCs/>
        </w:rPr>
        <w:t>Den besvärliga Elin Wägner</w:t>
      </w:r>
      <w:r w:rsidRPr="00FB4EFA">
        <w:t xml:space="preserve"> (Die kontroverse Elin Wägner, 2020) regt dazu an, die Spannungen zwischen der kapitalistischen Klassengesellschaft und den Weiblichkeitskonzepten mit einer größeren kritischen Schärfe auszuloten: Warum überwiegt bei einer aktuellen Re-Lektüre von Wägners Werken ein anstrengender, widerständiger Eindruck? Wie lange kann das symbolische Kapital, das Wägner als einer der bekanntesten schwedischen Suffragetten zusteht, ihr einen Platz als literarische Autorin im feministischen Literaturkanon sichern? Wie konnte sich Wägners Konzept einer weiblichen Erziehung zur Mündigkeit (und im Spätwerk zusätzlich spirituellen Erneuerung) jenseits des sozialdemokratischen </w:t>
      </w:r>
      <w:r w:rsidRPr="00FB4EFA">
        <w:rPr>
          <w:i/>
          <w:iCs/>
        </w:rPr>
        <w:t>folkhem</w:t>
      </w:r>
      <w:r w:rsidRPr="00FB4EFA">
        <w:t xml:space="preserve"> (</w:t>
      </w:r>
      <w:r w:rsidR="006057AB" w:rsidRPr="00FB4EFA">
        <w:t>‘</w:t>
      </w:r>
      <w:r w:rsidRPr="00FB4EFA">
        <w:t>Volksheim</w:t>
      </w:r>
      <w:r w:rsidR="0093480B" w:rsidRPr="00FB4EFA">
        <w:t>’</w:t>
      </w:r>
      <w:r w:rsidRPr="00FB4EFA">
        <w:t xml:space="preserve">)-Feminismus à la Alva Myrdal behaupten? Durch Wägners Betonung der weiblichen Gemeinschaft und deren Verpflichtung zur Solidarität erscheint die mitunter heldinnenhaft inszenierte Autonomie der neuen Single-Frau relativiert. Hieran lässt sich ablesen, in welch hohem Maße sich die historische Semantik der neuen Frau in den ersten Jahrzehnten des 20. Jahrhunderts diskursspezifisch und medienabhängig wandelt. Vor diesem Hintergrund wird in meinem Beitrag abschließend die These geprüft, ob nicht die festgestellte Aktualität von Wägners Erstlingswerken durch die Suche nach pionierhaften Vorbildern und zeitlosen Identifikationsfiguren mitverursacht ist. Unschwer lässt sich erkennen, dass die Erwartungen des Kinopublikums ab 1923 die Lektüre des Romans rückwirkend prägten. Indem der Debuttext </w:t>
      </w:r>
      <w:r w:rsidRPr="00FB4EFA">
        <w:rPr>
          <w:i/>
          <w:iCs/>
        </w:rPr>
        <w:t xml:space="preserve">Norrtullsligan </w:t>
      </w:r>
      <w:r w:rsidRPr="00FB4EFA">
        <w:t xml:space="preserve">oft weitgehend losgelöst von Wägners Landromanen und den pazifistischen bzw. ökofeministisch anmutenden Texten der mittleren und der späten Phase, mit Werken wie </w:t>
      </w:r>
      <w:r w:rsidRPr="00FB4EFA">
        <w:rPr>
          <w:i/>
          <w:iCs/>
        </w:rPr>
        <w:t xml:space="preserve">Dialogen </w:t>
      </w:r>
      <w:r w:rsidR="005912DF" w:rsidRPr="00FB4EFA">
        <w:rPr>
          <w:i/>
          <w:iCs/>
        </w:rPr>
        <w:br/>
      </w:r>
      <w:r w:rsidRPr="00FB4EFA">
        <w:rPr>
          <w:i/>
          <w:iCs/>
        </w:rPr>
        <w:t>fortsätter</w:t>
      </w:r>
      <w:r w:rsidRPr="00FB4EFA">
        <w:t xml:space="preserve"> 1932, </w:t>
      </w:r>
      <w:r w:rsidRPr="00FB4EFA">
        <w:rPr>
          <w:i/>
          <w:iCs/>
        </w:rPr>
        <w:t>Väckarklocka</w:t>
      </w:r>
      <w:r w:rsidRPr="00FB4EFA">
        <w:t xml:space="preserve"> 1941, betrachtet worden ist, erfolgten divergierende Kanonzuordnungen. Eine solche Verankerung in mehreren Kanones konnte zwar insgesamt die Tradierung des Debutwerks absi</w:t>
      </w:r>
      <w:r w:rsidRPr="00FB4EFA">
        <w:lastRenderedPageBreak/>
        <w:t>chern, hatte jedoch gerade in der älteren Geschichtsschreibung der sog. Frauenliteratur eine Vernachlässigung der textlichen Befunde zur Folge.</w:t>
      </w:r>
    </w:p>
    <w:p w14:paraId="0F0A710B" w14:textId="27EDBFCA" w:rsidR="00207E56" w:rsidRPr="00FB4EFA" w:rsidRDefault="00207E56" w:rsidP="00545033">
      <w:pPr>
        <w:pStyle w:val="Heading2"/>
        <w:suppressAutoHyphens/>
        <w:spacing w:line="259" w:lineRule="auto"/>
        <w:rPr>
          <w:color w:val="auto"/>
        </w:rPr>
      </w:pPr>
      <w:r w:rsidRPr="00FB4EFA">
        <w:rPr>
          <w:color w:val="auto"/>
        </w:rPr>
        <w:t xml:space="preserve">Die </w:t>
      </w:r>
      <w:r w:rsidR="006057AB" w:rsidRPr="00FB4EFA">
        <w:rPr>
          <w:color w:val="auto"/>
        </w:rPr>
        <w:t>‘</w:t>
      </w:r>
      <w:r w:rsidRPr="00FB4EFA">
        <w:rPr>
          <w:color w:val="auto"/>
        </w:rPr>
        <w:t>neue Frau</w:t>
      </w:r>
      <w:r w:rsidR="0093480B" w:rsidRPr="00FB4EFA">
        <w:rPr>
          <w:color w:val="auto"/>
        </w:rPr>
        <w:t>’</w:t>
      </w:r>
      <w:r w:rsidRPr="00FB4EFA">
        <w:rPr>
          <w:color w:val="auto"/>
        </w:rPr>
        <w:t xml:space="preserve"> als kulturgeschichtlich multifunktionelle Figur</w:t>
      </w:r>
    </w:p>
    <w:p w14:paraId="1E9F674C" w14:textId="05CD6F2E" w:rsidR="00207E56" w:rsidRPr="00FB4EFA" w:rsidRDefault="00207E56" w:rsidP="00AF0CAD">
      <w:r w:rsidRPr="00FB4EFA">
        <w:t xml:space="preserve">Das Interesse an der </w:t>
      </w:r>
      <w:r w:rsidR="006057AB" w:rsidRPr="00FB4EFA">
        <w:t>‘</w:t>
      </w:r>
      <w:r w:rsidRPr="00FB4EFA">
        <w:t>neuen Frau</w:t>
      </w:r>
      <w:r w:rsidR="0093480B" w:rsidRPr="00FB4EFA">
        <w:t>’</w:t>
      </w:r>
      <w:r w:rsidRPr="00FB4EFA">
        <w:t xml:space="preserve"> wird zu unterschiedlichen Zeitpunkten und in verschiedenen Forschungskontexten immer wieder geweckt. Dies erklärt sich beispielsweise durch neue Funde literarischer bzw. künstlerischer Arbeiten und Materialien (</w:t>
      </w:r>
      <w:r w:rsidR="0030017E" w:rsidRPr="00FB4EFA">
        <w:t>z. B.</w:t>
      </w:r>
      <w:r w:rsidRPr="00FB4EFA">
        <w:t xml:space="preserve"> die Gemälde von Hilma af Klint, 186</w:t>
      </w:r>
      <w:r w:rsidR="00C65823" w:rsidRPr="00FB4EFA">
        <w:t>2–1</w:t>
      </w:r>
      <w:r w:rsidRPr="00FB4EFA">
        <w:t xml:space="preserve">944), durch neuartige Auffächerungen eines spezifischen soziokulturellen oder institutionellen Zusammenhangs wie in Ulrika Knutsons Darstellung der Aktivität der </w:t>
      </w:r>
      <w:r w:rsidRPr="00FB4EFA">
        <w:rPr>
          <w:i/>
          <w:iCs/>
        </w:rPr>
        <w:t>Fogelstad</w:t>
      </w:r>
      <w:r w:rsidRPr="00FB4EFA">
        <w:t>-Gruppe (ca. 192</w:t>
      </w:r>
      <w:r w:rsidR="00C65823" w:rsidRPr="00FB4EFA">
        <w:t>1–1</w:t>
      </w:r>
      <w:r w:rsidRPr="00FB4EFA">
        <w:t xml:space="preserve">935; um </w:t>
      </w:r>
      <w:r w:rsidR="005912DF" w:rsidRPr="00FB4EFA">
        <w:br/>
      </w:r>
      <w:r w:rsidRPr="00FB4EFA">
        <w:t>Elisabeth Tamm, Ada Nilsson, Honorine Hermelin, Elin Wägner, Klara Johansson, Emilia Fogelklou, Hagar Olsson) (Knutson 2004), der sog. weiblichen Netzwerke im literarischen Transfer (</w:t>
      </w:r>
      <w:r w:rsidR="0030017E" w:rsidRPr="00FB4EFA">
        <w:t>z. B.</w:t>
      </w:r>
      <w:r w:rsidRPr="00FB4EFA">
        <w:t xml:space="preserve"> Broomans &amp; Ronne 2010) oder der Interaktion schreibender Paare (</w:t>
      </w:r>
      <w:r w:rsidR="0030017E" w:rsidRPr="00FB4EFA">
        <w:t>z. B.</w:t>
      </w:r>
      <w:r w:rsidRPr="00FB4EFA">
        <w:t xml:space="preserve"> Ebba Witt-Brattströms derzeit entstehende doppelte Werkbiographie zu Moa und Harry Martinson). In einem allgemeineren, übergeordneten Sinne reflektiert sich der Topos der </w:t>
      </w:r>
      <w:r w:rsidR="006057AB" w:rsidRPr="00FB4EFA">
        <w:t>‘</w:t>
      </w:r>
      <w:r w:rsidRPr="00FB4EFA">
        <w:t>neuen Frau</w:t>
      </w:r>
      <w:r w:rsidR="0093480B" w:rsidRPr="00FB4EFA">
        <w:t>’</w:t>
      </w:r>
      <w:r w:rsidRPr="00FB4EFA">
        <w:t xml:space="preserve"> sukzessive selbst auch durch Digitalisierungsprojekte, wie etwa </w:t>
      </w:r>
      <w:r w:rsidRPr="00FB4EFA">
        <w:rPr>
          <w:i/>
          <w:iCs/>
        </w:rPr>
        <w:t>Litteraturbanken</w:t>
      </w:r>
      <w:r w:rsidRPr="00FB4EFA">
        <w:t xml:space="preserve"> oder </w:t>
      </w:r>
      <w:r w:rsidRPr="00FB4EFA">
        <w:rPr>
          <w:i/>
          <w:iCs/>
        </w:rPr>
        <w:t xml:space="preserve">Nordisk </w:t>
      </w:r>
      <w:r w:rsidR="005912DF" w:rsidRPr="00FB4EFA">
        <w:rPr>
          <w:i/>
          <w:iCs/>
        </w:rPr>
        <w:br/>
      </w:r>
      <w:r w:rsidRPr="00FB4EFA">
        <w:rPr>
          <w:i/>
          <w:iCs/>
        </w:rPr>
        <w:t>Kvinnolitteraturhistoria</w:t>
      </w:r>
      <w:r w:rsidRPr="00FB4EFA">
        <w:t>, weil diese jeweils literaturhistorische Auswahlprozesse oder Adaptionen erfordern. Solche, hier stellvertretend genannten</w:t>
      </w:r>
      <w:r w:rsidR="00AF3488" w:rsidRPr="00FB4EFA">
        <w:t>,</w:t>
      </w:r>
      <w:r w:rsidRPr="00FB4EFA">
        <w:t xml:space="preserve"> Ordnungsaktivitäten tragen maßgeblich zu einer kontinuierlichen Verhandlung des Kanons bei.</w:t>
      </w:r>
    </w:p>
    <w:p w14:paraId="644AA034" w14:textId="0D02632C" w:rsidR="00207E56" w:rsidRPr="00FB4EFA" w:rsidRDefault="00207E56" w:rsidP="00AF0CAD">
      <w:pPr>
        <w:ind w:firstLine="709"/>
      </w:pPr>
      <w:r w:rsidRPr="00FB4EFA">
        <w:t xml:space="preserve">Um das Jahr 2000 ließ sich ein jubiläumsbedingtes Interesse an der </w:t>
      </w:r>
      <w:r w:rsidR="006057AB" w:rsidRPr="00FB4EFA">
        <w:t>‘</w:t>
      </w:r>
      <w:r w:rsidRPr="00FB4EFA">
        <w:t>neuen Frau</w:t>
      </w:r>
      <w:r w:rsidR="0093480B" w:rsidRPr="00FB4EFA">
        <w:t>’</w:t>
      </w:r>
      <w:r w:rsidRPr="00FB4EFA">
        <w:t xml:space="preserve"> um 1900 und der Ausentwicklung der Facetten dieser Figur in Literatur, Kunst und Film bis in die 1940er Jahre beobachten, von Figurentypen, wie Garçonne, Flapper, Dandy, über detailliert ausgestaltete und psychologisierte Charaktere bis hin zum Thema entgrenzter Genderkonzepte. Die historische urbane Sozialgalerie – und damit Zeitgeist, Reklame, Mode, Unterhaltungsindustrie und Medienlandschaft – verlangten dabei Beachtung und ließen globale Beziehungen in der Populärkultur hervortreten (Weinbaum et al 2008). Diese kultur- und sozialgeschichtlich verankerten Studien zur </w:t>
      </w:r>
      <w:r w:rsidR="006057AB" w:rsidRPr="00FB4EFA">
        <w:t>‘</w:t>
      </w:r>
      <w:r w:rsidRPr="00FB4EFA">
        <w:t>neuen Frau</w:t>
      </w:r>
      <w:r w:rsidR="0093480B" w:rsidRPr="00FB4EFA">
        <w:t>’</w:t>
      </w:r>
      <w:r w:rsidRPr="00FB4EFA">
        <w:t xml:space="preserve"> in unterschiedlichsten Diskursen ermöglichten Neukontextualisierungen bestimmter Literatur</w:t>
      </w:r>
      <w:r w:rsidRPr="00FB4EFA">
        <w:lastRenderedPageBreak/>
        <w:t>schaffender oder neue Profilierungen derer Werke (</w:t>
      </w:r>
      <w:r w:rsidR="0030017E" w:rsidRPr="00FB4EFA">
        <w:t>z. B.</w:t>
      </w:r>
      <w:r w:rsidRPr="00FB4EFA">
        <w:t xml:space="preserve"> Williams zu </w:t>
      </w:r>
      <w:r w:rsidR="005912DF" w:rsidRPr="00FB4EFA">
        <w:br/>
      </w:r>
      <w:r w:rsidRPr="00FB4EFA">
        <w:t>Agnes von Krusenstjerna, 2013; Svedjedal zu Karin Boye, 2017).</w:t>
      </w:r>
    </w:p>
    <w:p w14:paraId="1DF0E3AD" w14:textId="60AD100A" w:rsidR="00207E56" w:rsidRPr="00FB4EFA" w:rsidRDefault="00207E56" w:rsidP="00AF0CAD">
      <w:pPr>
        <w:ind w:firstLine="709"/>
      </w:pPr>
      <w:r w:rsidRPr="00FB4EFA">
        <w:t>Helena Forsås-Scott (194</w:t>
      </w:r>
      <w:r w:rsidR="00C65823" w:rsidRPr="00FB4EFA">
        <w:t>5–2</w:t>
      </w:r>
      <w:r w:rsidRPr="00FB4EFA">
        <w:t>015) ist neben Ulrika Knutson (geb. 1957) eine derjenigen Forscherinnen, die sich am gründlichsten mit Wägners Werk auseinandergesetzt haben. Forsås-Scott richtet ihre Aufmerksamkeit vor allem auf die Ermächtigung zum Schreiben, d.</w:t>
      </w:r>
      <w:r w:rsidR="00394635" w:rsidRPr="00FB4EFA">
        <w:t xml:space="preserve"> </w:t>
      </w:r>
      <w:r w:rsidRPr="00FB4EFA">
        <w:t xml:space="preserve">h. die </w:t>
      </w:r>
      <w:r w:rsidR="006057AB" w:rsidRPr="00FB4EFA">
        <w:t>‘</w:t>
      </w:r>
      <w:r w:rsidRPr="00FB4EFA">
        <w:t>neue Frau</w:t>
      </w:r>
      <w:r w:rsidR="0093480B" w:rsidRPr="00FB4EFA">
        <w:t>’</w:t>
      </w:r>
      <w:r w:rsidRPr="00FB4EFA">
        <w:t xml:space="preserve"> charakterisiert aus ihrer Perspektive den Beginn weiblicher Autorschaft(en) zu Beginn des 20. Jahrhunderts, wobei die </w:t>
      </w:r>
      <w:r w:rsidR="006057AB" w:rsidRPr="00FB4EFA">
        <w:t>‘</w:t>
      </w:r>
      <w:r w:rsidRPr="00FB4EFA">
        <w:t>neue Frau</w:t>
      </w:r>
      <w:r w:rsidR="0093480B" w:rsidRPr="00FB4EFA">
        <w:t>’</w:t>
      </w:r>
      <w:r w:rsidRPr="00FB4EFA">
        <w:t xml:space="preserve"> als eine Vorbotin des weiblichen Modernismus aufgefasst wird: Dieser Programmatik entsprechend hebt Forsås-Scott zu </w:t>
      </w:r>
      <w:r w:rsidRPr="00FB4EFA">
        <w:rPr>
          <w:i/>
          <w:iCs/>
        </w:rPr>
        <w:t>Norrtullsligan</w:t>
      </w:r>
      <w:r w:rsidRPr="00FB4EFA">
        <w:t xml:space="preserve"> hervor: „Elisabeth is not simply a New Woman. She is a New Woman writing herself, an example of feminine subjectivity in the process of construction</w:t>
      </w:r>
      <w:r w:rsidR="00D2687C" w:rsidRPr="00FB4EFA">
        <w:rPr>
          <w:lang w:val="de-DE"/>
        </w:rPr>
        <w:t>“</w:t>
      </w:r>
      <w:r w:rsidRPr="00FB4EFA">
        <w:t xml:space="preserve"> </w:t>
      </w:r>
      <w:r w:rsidR="005912DF" w:rsidRPr="00FB4EFA">
        <w:br/>
      </w:r>
      <w:r w:rsidRPr="00FB4EFA">
        <w:rPr>
          <w:lang w:val="en-US"/>
        </w:rPr>
        <w:t xml:space="preserve">(Forsås-Scott 2004: 87). </w:t>
      </w:r>
      <w:r w:rsidRPr="00FB4EFA">
        <w:t xml:space="preserve">Damit begreift diese Forscherin die Ich-Erzählerin als Repräsentantin Wägners, die sich seit 1903 als Journalistin für die Tätigkeit als literarische Autorin schult: von der </w:t>
      </w:r>
      <w:r w:rsidRPr="00FB4EFA">
        <w:rPr>
          <w:i/>
          <w:iCs/>
        </w:rPr>
        <w:t>scribbling woman</w:t>
      </w:r>
      <w:r w:rsidRPr="00FB4EFA">
        <w:t xml:space="preserve"> zur vollgültigen Verfasserin. Doch lässt sich einwenden, dass die Aufzeichnungen der Figur Pegg an deren Stockholmer Aufenthalt gebunden sind. Sie kündigt ihren Arbeitsplatz, als sie feststellen muss, dass sie bereit wäre, sich von ihrem berüchtigten Chef verführen zu lassen, obgleich keinerlei Aussichten auf eine Ehe bestünden (vgl. Knutson 2020: 56 zur Me</w:t>
      </w:r>
      <w:r w:rsidR="00AF3488" w:rsidRPr="00FB4EFA">
        <w:t>-</w:t>
      </w:r>
      <w:r w:rsidRPr="00FB4EFA">
        <w:t>too-Thematik). Nach ihrem fluchtartigen Umzug in die ländliche Überschaubarkeit ist Pegg auf einem Hof als Haushälterin und Erzieherin tätig; ihre letzte Aufzeichnung ist ein Brief, den sie an das jüngste Mitglied der Wohngemeinschaft, die 18-jährige Baby schickt, um sie vor ihrem ehemaligen Chef zu warnen, da Baby nämlich Peggs frühere Stelle übernehmen soll. Pegg tritt als beinahe antiurban anmutende Figur auf, die sich ihrer moralischen Verantwortung bewusst geworden ist und nun konsequent handeln will.</w:t>
      </w:r>
    </w:p>
    <w:p w14:paraId="3D5B3632" w14:textId="236F94D6" w:rsidR="00207E56" w:rsidRPr="00FB4EFA" w:rsidRDefault="00207E56" w:rsidP="00402EF4">
      <w:pPr>
        <w:ind w:firstLine="709"/>
      </w:pPr>
      <w:r w:rsidRPr="00FB4EFA">
        <w:t xml:space="preserve">Forsås-Scotts Nachweis einer heldinnenhaften </w:t>
      </w:r>
      <w:r w:rsidR="006057AB" w:rsidRPr="00FB4EFA">
        <w:t>‘</w:t>
      </w:r>
      <w:r w:rsidRPr="00FB4EFA">
        <w:t xml:space="preserve">neuen, schreibenden Frau’ halte ich nicht für plausibel, wie meine Darstellung der Modernisierungskritik und der Stadtskepsis im Folgenden belegen wird. Möglicherweise zeichnet sich die Forschung zur </w:t>
      </w:r>
      <w:r w:rsidR="006057AB" w:rsidRPr="00FB4EFA">
        <w:t>‘</w:t>
      </w:r>
      <w:r w:rsidRPr="00FB4EFA">
        <w:t>neuen Frau</w:t>
      </w:r>
      <w:r w:rsidR="0093480B" w:rsidRPr="00FB4EFA">
        <w:t>’</w:t>
      </w:r>
      <w:r w:rsidRPr="00FB4EFA">
        <w:t xml:space="preserve"> durch eine Vermischung von Interessen aus: Zum einen kommen die literarisch dargestellten Pionierinnen einem Identifikationsbedarf auf Seiten der Forschenden entgegen, der laut Moi, Felski und Anderson (2019) in der Geschichte der Literaturwissenschaft ernster zu nehmen ist als bisher. Zum </w:t>
      </w:r>
      <w:r w:rsidRPr="00FB4EFA">
        <w:lastRenderedPageBreak/>
        <w:t xml:space="preserve">anderen übernimmt das Innovationsversprechen eine wichtige rhetorische Funktion bei der Profilierung literaturhistorischer Epochen. Mitunter bilden diese beiden programmatischen Anliegen sogar eine Einheit: Die </w:t>
      </w:r>
      <w:r w:rsidR="006057AB" w:rsidRPr="00FB4EFA">
        <w:t>‘</w:t>
      </w:r>
      <w:r w:rsidRPr="00FB4EFA">
        <w:t>neue Frau</w:t>
      </w:r>
      <w:r w:rsidR="0093480B" w:rsidRPr="00FB4EFA">
        <w:t>’</w:t>
      </w:r>
      <w:r w:rsidRPr="00FB4EFA">
        <w:t xml:space="preserve"> dient dazu, Bewertungskriterien für sozialhistorisch prägnante und gesellschaftlich relevante Texte zur Diskussion zu stellen (vgl. Rippl &amp; Winko 2013), indem Re-Lektüren und Neuverhandlungen meist gleich mehrerer Kanones angeregt werden. Zum paradigmatischen Forschungsgegenstand der Modernisierungsdebatte wird die </w:t>
      </w:r>
      <w:r w:rsidR="006057AB" w:rsidRPr="00FB4EFA">
        <w:t>‘</w:t>
      </w:r>
      <w:r w:rsidRPr="00FB4EFA">
        <w:t>neue Frau</w:t>
      </w:r>
      <w:r w:rsidR="0093480B" w:rsidRPr="00FB4EFA">
        <w:t>’</w:t>
      </w:r>
      <w:r w:rsidRPr="00FB4EFA">
        <w:t xml:space="preserve"> damit in zweifacher Hinsicht – zum ersten bezogen auf den </w:t>
      </w:r>
      <w:r w:rsidR="00775F3A" w:rsidRPr="00FB4EFA">
        <w:br/>
      </w:r>
      <w:r w:rsidRPr="00FB4EFA">
        <w:t xml:space="preserve">Erscheinungszeitpunkt der Texte oder Medienerzeugnisse und zum zweiten bezogen auf das jeweilige Fachverständnis etwa einer feministischen Literaturwissenschaft bzw. der Gender oder Queer Studies seitens </w:t>
      </w:r>
      <w:r w:rsidR="00775F3A" w:rsidRPr="00FB4EFA">
        <w:br/>
      </w:r>
      <w:r w:rsidRPr="00FB4EFA">
        <w:t>der Forschenden.</w:t>
      </w:r>
    </w:p>
    <w:p w14:paraId="6F3AE78A" w14:textId="77777777" w:rsidR="00207E56" w:rsidRPr="00FB4EFA" w:rsidRDefault="00207E56" w:rsidP="00545033">
      <w:pPr>
        <w:pStyle w:val="Heading2"/>
        <w:suppressAutoHyphens/>
        <w:spacing w:line="259" w:lineRule="auto"/>
        <w:rPr>
          <w:color w:val="auto"/>
        </w:rPr>
      </w:pPr>
      <w:r w:rsidRPr="00FB4EFA">
        <w:rPr>
          <w:color w:val="auto"/>
        </w:rPr>
        <w:t>Glamouröse City Girls – oder ein weibliches Prekariat in gelegentlicher Feierlaune?</w:t>
      </w:r>
    </w:p>
    <w:p w14:paraId="41D18EFF" w14:textId="7D0E6A7B" w:rsidR="00207E56" w:rsidRPr="00FB4EFA" w:rsidRDefault="00207E56" w:rsidP="00402EF4">
      <w:r w:rsidRPr="00FB4EFA">
        <w:t>Die Vorgeschichte der Protagonistin Pegg wird nur angedeutet: Durch den Tod der Eltern ist die 25-Jährige aus dem Großbürgertum herabgesunken und darauf angewiesen, sich und ihren jüngeren Bruder Putte, der bei Pflegeeltern untergebracht ist, finanziell zu versorgen. Das Zusammenleben in der Wohngemeinschaft, die Arbeitsplatzschilderungen der Mitbewohnerinnen, einschließlich ihrer Verwicklungen in einen Streik bei der Versicherungsgesellschaft</w:t>
      </w:r>
      <w:r w:rsidR="00AF3488" w:rsidRPr="00FB4EFA">
        <w:t>,</w:t>
      </w:r>
      <w:r w:rsidRPr="00FB4EFA">
        <w:t xml:space="preserve"> und Peggs abrupte Übersiedlung auf das Land geben die Schauplätze vor. Das Leben in der solidarischen Notgemeinschaft der weiblichen Angestellten bleibt für Pegg ein kurzes, mitunter abenteuerliches Intermezzo, das den bürgerlichen </w:t>
      </w:r>
      <w:r w:rsidR="00AF3488" w:rsidRPr="00FB4EFA">
        <w:br/>
      </w:r>
      <w:r w:rsidRPr="00FB4EFA">
        <w:t>Horizont überschreitet.</w:t>
      </w:r>
    </w:p>
    <w:p w14:paraId="1F679BD7" w14:textId="06D37F00" w:rsidR="00207E56" w:rsidRPr="00FB4EFA" w:rsidRDefault="00207E56" w:rsidP="00AF0CAD">
      <w:pPr>
        <w:ind w:firstLine="709"/>
      </w:pPr>
      <w:r w:rsidRPr="00FB4EFA">
        <w:t xml:space="preserve">Pegg hat eine Trennung hinter sich und wirkt lebenserfahrener als ihre Kolleginnen, denen es ständig an Geld, Nahrung und Schlaf fehlt. Gemeinsam hilft sich die Gruppe über den anstrengenden Alltag hinweg und verbringt die knapp bemessene Freizeit billig, aber unterhaltsam, etwa bei Gedichtrezitationen, in mal aufgebrachten, mal resignierten Diskussionen über Frauenrechte und Weiblichkeitsnormen, mit Scherzen über wenig ernstzunehmende männliche Bekanntschaften oder bei einem improvisierten Tanz. Pegg spricht gar von einer kommunistischen </w:t>
      </w:r>
      <w:r w:rsidRPr="00FB4EFA">
        <w:lastRenderedPageBreak/>
        <w:t xml:space="preserve">Lebensweise, da die Gemeinschaft Besitz und Geld teilt. Angesichts des ihr nunmehr geschmacklos erscheinenden Reichtums der Tante vom Strandvägen resümiert sie: „jag socialistnade till“ (ich nahm eine sozialistische Haltung an) (Wägner 2012: 63). Dies ist eine Mischung aus Koketterie und der Huldigung einer Freizone jenes weiblichen Prekariats, das gleichsam in einem </w:t>
      </w:r>
      <w:r w:rsidRPr="00FB4EFA">
        <w:rPr>
          <w:i/>
          <w:iCs/>
        </w:rPr>
        <w:t>terrain vague</w:t>
      </w:r>
      <w:r w:rsidRPr="00FB4EFA">
        <w:t>, nämlich in privaten Räumen jenseits der sozialen Kontrolle</w:t>
      </w:r>
      <w:r w:rsidR="00AF3488" w:rsidRPr="00FB4EFA">
        <w:t>,</w:t>
      </w:r>
      <w:r w:rsidRPr="00FB4EFA">
        <w:t xml:space="preserve"> Lebensformen erprobt. Eines der beiden Zimmer dient befreundeten unverheirateten Paaren sogar als Liebesversteck. Das tabuisierte Thema des unehelichen Kindes wird im Roman vorsichtig umschrieben: Der Chef hält Peggs Bruder für einen unehelichen Sohn und schätzt sie daher als eine interessante Frau mit Vergangenheit ein.</w:t>
      </w:r>
    </w:p>
    <w:p w14:paraId="64D23A5B" w14:textId="48911540" w:rsidR="00207E56" w:rsidRPr="00FB4EFA" w:rsidRDefault="00207E56" w:rsidP="00AF0CAD">
      <w:pPr>
        <w:ind w:firstLine="708"/>
      </w:pPr>
      <w:r w:rsidRPr="00FB4EFA">
        <w:t>Nicht nur durch ihre Östermalmer Verwandtschaft, sondern auch durch ihre gehobene Sekretärinnentätigkeit, mit den Aufgabenbereichen Korrespondenz und Budget, ist Pegg durch Überlegenheit gegenüber ihren kleinbürgerlich sozialisierten Mitbewohnerinnen charakterisiert. Unterschiede in Habitus und Geschmack werden zusätzlich über die kulturellen Interessen der Figuren ausgedrückt: Während ihre Mitbewohnerinnen Gedichte von Oscar Levertin, Gustaf Fröding o.</w:t>
      </w:r>
      <w:r w:rsidR="00AF3488" w:rsidRPr="00FB4EFA">
        <w:t xml:space="preserve"> </w:t>
      </w:r>
      <w:r w:rsidRPr="00FB4EFA">
        <w:t xml:space="preserve">a. bevorzugen, die sich ihnen zufolge für das melodramatische Deklamieren eignen, bestätigt Pegg, die zusätzlich Hjalmar Söderbergs Werke zitiert, mit dem Besuch der Wagner-Oper </w:t>
      </w:r>
      <w:r w:rsidRPr="00FB4EFA">
        <w:rPr>
          <w:i/>
          <w:iCs/>
        </w:rPr>
        <w:t xml:space="preserve">Lohengrin </w:t>
      </w:r>
      <w:r w:rsidRPr="00FB4EFA">
        <w:t>ihre kulturelle Zugehörigkeit zur Stockholmer Oberschicht.</w:t>
      </w:r>
    </w:p>
    <w:p w14:paraId="70159830" w14:textId="0EC63380" w:rsidR="00207E56" w:rsidRPr="00FB4EFA" w:rsidRDefault="00207E56" w:rsidP="00402EF4">
      <w:pPr>
        <w:ind w:firstLine="708"/>
      </w:pPr>
      <w:r w:rsidRPr="00FB4EFA">
        <w:t>Die Sozialgalerie umfasst vier Lebensmodelle: Die schlagfertige Eva entscheidet sich unerwartet für eine Vernunftehe, nachdem ihr der Beruf zur demütigenden Qual geworden ist</w:t>
      </w:r>
      <w:r w:rsidR="008916B6" w:rsidRPr="00FB4EFA">
        <w:t>.</w:t>
      </w:r>
      <w:r w:rsidRPr="00FB4EFA">
        <w:t xml:space="preserve"> Selbst ihre bewusst gewählte Stelle in einem Bestattungsbüro verschont sie nicht vor hartnäckigen Annäherungsversuchen des Vorgesetzten. Baby aus dem südschwedischen Halmstad steht für die charmante Provinzlerin, die in Stockholm überfordert und stets von Verarmung und dem sittlichen Verfall, d.</w:t>
      </w:r>
      <w:r w:rsidR="00394635" w:rsidRPr="00FB4EFA">
        <w:t xml:space="preserve"> </w:t>
      </w:r>
      <w:r w:rsidRPr="00FB4EFA">
        <w:t>h. dem Weg in die Prostitution bedroht ist. Nach ihrer solidarischen Beteiligung am Streik kündigt sie ihre Stelle, obgleich ihr Vorgesetzter sie wegen ihres niedlichen Aussehens als Einzige gerne behalten hätte. Als Baby sich in den Sohn der Vermieterin verliebt, wird sie durch dessen Untreue enttäuscht.</w:t>
      </w:r>
    </w:p>
    <w:p w14:paraId="077C4F32" w14:textId="6CBD3BF8" w:rsidR="00207E56" w:rsidRPr="00FB4EFA" w:rsidRDefault="00207E56" w:rsidP="00402EF4">
      <w:pPr>
        <w:ind w:firstLine="708"/>
      </w:pPr>
      <w:r w:rsidRPr="00FB4EFA">
        <w:t xml:space="preserve">Die still vor sich hin leidende Emmy wiederum führt das abschreckende Beispiel einer Büro-Neurasthenie vor. Ihre Droge ist ein Pulver </w:t>
      </w:r>
      <w:r w:rsidRPr="00FB4EFA">
        <w:lastRenderedPageBreak/>
        <w:t xml:space="preserve">gegen Kopfschmerzen, das zu einer Langzeitschädigung führt. Emmys Begeisterung für Putte, dem sie ihre Ersparnisse vererben will, unterstreicht die tragische Komponente eines Verzichts der berufstätigen Frauen auf Mutterschaft. Die Clique löst sich auf, nachdem Eva sich </w:t>
      </w:r>
      <w:r w:rsidR="00775F3A" w:rsidRPr="00FB4EFA">
        <w:br/>
      </w:r>
      <w:r w:rsidRPr="00FB4EFA">
        <w:t xml:space="preserve">verlobt hat, Emmy krank wird sowie Baby und Pegg stellungslos sind. Peggs Schützlinge Baby und Putte fallen eigentlich einer Disziplinierung des heterosexuellen Begehrens zum Opfer, denn sie werden in der </w:t>
      </w:r>
      <w:r w:rsidR="00775F3A" w:rsidRPr="00FB4EFA">
        <w:br/>
      </w:r>
      <w:r w:rsidRPr="00FB4EFA">
        <w:t>Stadt zurückgelassen.</w:t>
      </w:r>
    </w:p>
    <w:p w14:paraId="46F6D80D" w14:textId="2FD1992C" w:rsidR="00207E56" w:rsidRPr="00FB4EFA" w:rsidRDefault="00207E56" w:rsidP="00AF0CAD">
      <w:pPr>
        <w:ind w:firstLine="709"/>
      </w:pPr>
      <w:r w:rsidRPr="00FB4EFA">
        <w:t xml:space="preserve">Peggs moralische Bedenken angesichts der Stockholmer Lebensweise nehmen schrittweise zu. Bei ihrer Beschreibung des gefährlichen Pflasters wird der wörtlich und metaphorisch gefasste Dreck der Großstadt mit jungfräulicher Reinheit kontrastiert, wobei der weiblich konnotierte Straßenschmutz Verlogenheit und Sündhaftigkeit repräsentiert: „Den obeskrivliga ältan på gatorna smyger sig kvinnligt mjukt och </w:t>
      </w:r>
      <w:r w:rsidR="00A108ED" w:rsidRPr="00FB4EFA">
        <w:br/>
      </w:r>
      <w:r w:rsidRPr="00FB4EFA">
        <w:t xml:space="preserve">smeksamt uppåt kängskaften och klättrar lekfullt i små stänk uppåt </w:t>
      </w:r>
      <w:r w:rsidR="00A108ED" w:rsidRPr="00FB4EFA">
        <w:br/>
      </w:r>
      <w:r w:rsidRPr="00FB4EFA">
        <w:t xml:space="preserve">kjolkanterna och vad därutöver är, och man blir trött och tung – när man inte är kär, som Baby förstås.“ (Der unbeschreibliche Matsch auf den Straßen schmiegt sich auf weiblich sanfte und zärtliche Weise den Stiefelschaft hoch und klettert dann verspielt in kleinen Spritzern die Rocksäume oder noch höher hinauf, und man wird müde und schwer – wenn man nicht gerade verliebt ist wie Baby) (Wägner 2012: S. 47). Der als sittlich gefährdend dargebotene Novembermatsch kann Baby noch nichts anhaben, aber Pegg ist besorgt, dass sie von ihrem zweifelhaften Kavalier </w:t>
      </w:r>
      <w:r w:rsidR="00A108ED" w:rsidRPr="00FB4EFA">
        <w:br/>
      </w:r>
      <w:r w:rsidRPr="00FB4EFA">
        <w:t>verführt wird.</w:t>
      </w:r>
    </w:p>
    <w:p w14:paraId="06CB4EFB" w14:textId="77777777" w:rsidR="00207E56" w:rsidRPr="00FB4EFA" w:rsidRDefault="00207E56" w:rsidP="00402EF4">
      <w:pPr>
        <w:ind w:firstLine="708"/>
      </w:pPr>
      <w:r w:rsidRPr="00FB4EFA">
        <w:t xml:space="preserve">Wie diese antiurbane Passage hebt auch der Schluss des Romans das moralische Dilemma der altruistischen Pegg hervor. Es ist die dezidiert weibliche Verantwortung, den kombinierten Haushalt des ökonomischen und erotischen Begehrens zu regulieren. Nach dem nonchalanten, kaum glaubwürdigen Heiratsantrag des Chefs und dem anschließenden Entscheidungskampf gelangt Pegg zu der Auffassung, dass ein Liebesverhältnis bei ökonomischer Abhängigkeit, das aus einem Verhältnis der Unterordnung erwachsen ist, unmoralisch sei (ganz im Sinne der Liebeslehre Ellen Keys). An die Stelle der Lohnarbeit und der Tagebuch-Aufzeichnungen tritt schließlich die konkrete körperliche Arbeit in gesunder Landluft: „Min rätta plats är icke vid skrivpulpeten, och pennan är icke mitt vapen“ (Mein rechter Platz ist nicht das Schreibpult, und der </w:t>
      </w:r>
      <w:r w:rsidRPr="00FB4EFA">
        <w:lastRenderedPageBreak/>
        <w:t>Stift ist nicht meine Waffe) (Wägner 2012: 128). Ihre berufliche Neuorientierung drückt Risikobereitschaft aus, denn Pegg befindet sich nun in einer ausgesetzteren Position als ihre heiratsbereiten Kolleginnen.</w:t>
      </w:r>
    </w:p>
    <w:p w14:paraId="40A1A802" w14:textId="77777777" w:rsidR="00207E56" w:rsidRPr="00FB4EFA" w:rsidRDefault="00207E56" w:rsidP="00402EF4">
      <w:pPr>
        <w:ind w:firstLine="708"/>
      </w:pPr>
      <w:r w:rsidRPr="00FB4EFA">
        <w:t>Die Berufstätigkeit von Frauen wurde als vorübergehende Phase vor der Eheschließung betrachtet. Beruf und Familie galten als unvereinbare Lebensprojekte. Ohne Kenntnis dieses Phasenmodells ließe sich kaum nachvollziehen, warum die Büroangestellten einerseits über ihr geringes Einkommen, den monotonen Alltag und die enervierenden männlichen Vorgesetzten klagen, andererseits aber mit ihrer vorübergehenden bohemischen Freiheit und Unabhängigkeit als Junggesellinnen prahlen.</w:t>
      </w:r>
    </w:p>
    <w:p w14:paraId="14B730BE" w14:textId="1CBCB30D" w:rsidR="00207E56" w:rsidRPr="00FB4EFA" w:rsidRDefault="00207E56" w:rsidP="00AF0CAD">
      <w:pPr>
        <w:ind w:firstLine="708"/>
      </w:pPr>
      <w:r w:rsidRPr="00FB4EFA">
        <w:t>Keys Forderung, dass eine ehrliche, echte Liebesbeziehung auf Freiwilligkeit und unvoreingenommenen Gefühlen basiere, geht bekanntlich auf den romantischen Liebescode zurück. Eine aufrechte freie Liebesbeziehung sei laut Key einer unsittlichen Ehe mit patriarchalischer Wertorientierung moralisch überlegen. Im Gegenzug ähnle eine Vernunft- und Versorgungsehe einem Prostitutions-ähnlichen Verhältnis. Mit dem Anspruch der „samhällsmoderlighet“ (Fürsorglichkeit) übernehmen Frauen Key zufolge gesamtgesellschaftliche Verantwortung.</w:t>
      </w:r>
      <w:r w:rsidRPr="00FB4EFA">
        <w:rPr>
          <w:rFonts w:cstheme="minorHAnsi"/>
          <w:vertAlign w:val="superscript"/>
        </w:rPr>
        <w:footnoteReference w:id="323"/>
      </w:r>
      <w:r w:rsidRPr="00FB4EFA">
        <w:t xml:space="preserve"> Über diese auferlegte Mitverantwortung empört sich Pegg: Einer jungen Frau mit erotischen Sehnsüchten würde abverlangt, nicht nur sich selbst, sondern auch das Begehren, das sich auf sie richtet, zu disziplinieren: „En flicka, jag vet det, skall vara som en säkerhetständsticka</w:t>
      </w:r>
      <w:r w:rsidR="00DB3388" w:rsidRPr="00FB4EFA">
        <w:t xml:space="preserve"> [</w:t>
      </w:r>
      <w:r w:rsidRPr="00FB4EFA">
        <w:t>…</w:t>
      </w:r>
      <w:r w:rsidR="00DB3388" w:rsidRPr="00FB4EFA">
        <w:t>]</w:t>
      </w:r>
      <w:r w:rsidRPr="00FB4EFA">
        <w:t xml:space="preserve"> </w:t>
      </w:r>
      <w:r w:rsidRPr="00FB4EFA">
        <w:rPr>
          <w:lang w:val="sv-SE"/>
        </w:rPr>
        <w:t xml:space="preserve">Hur många gånger man än doppas i svavel och förs rätt genom elden – tända får man inte – inte förrän mot lådans plån.“ </w:t>
      </w:r>
      <w:r w:rsidRPr="00FB4EFA">
        <w:t>(Ein Mädchen soll, wie ich selbst erfahren habe, wie ein Sicherheitsstreichholz sein</w:t>
      </w:r>
      <w:r w:rsidR="00DB3388" w:rsidRPr="00FB4EFA">
        <w:t xml:space="preserve"> [</w:t>
      </w:r>
      <w:r w:rsidRPr="00FB4EFA">
        <w:t>…</w:t>
      </w:r>
      <w:r w:rsidR="00DB3388" w:rsidRPr="00FB4EFA">
        <w:t>]</w:t>
      </w:r>
      <w:r w:rsidRPr="00FB4EFA">
        <w:t xml:space="preserve"> Wie oft es auch in Schwefel getaucht oder durchs Feuer geführt worden ist, zünden darf es nicht – nicht bevor es die Zündfläche der Schachtel berührt hat) (Wägner 2012: 47). Erst nach der Eheschließung darf das Feuer der Gefühle auflodern. Diesen provokativen Gedankengang führt Wägner in dem erstaunlich gewagten Artikel „Gammal och ny moral“ (Alte und neue Moral) (Wägner 1909) weiter aus und verteidigt dort ausdrücklich nicht nur die erotische </w:t>
      </w:r>
      <w:r w:rsidRPr="00FB4EFA">
        <w:lastRenderedPageBreak/>
        <w:t xml:space="preserve">Entfaltung junger Frauen vor der Ehe, sondern auch die vom Bann der Zensur betroffenen erotischen Gedichte Frödings sowie August Strindbergs Skandalbuch </w:t>
      </w:r>
      <w:r w:rsidRPr="00FB4EFA">
        <w:rPr>
          <w:i/>
          <w:iCs/>
        </w:rPr>
        <w:t>Giftas</w:t>
      </w:r>
      <w:r w:rsidRPr="00FB4EFA">
        <w:t xml:space="preserve"> (1884). </w:t>
      </w:r>
      <w:r w:rsidRPr="00FB4EFA">
        <w:rPr>
          <w:i/>
          <w:iCs/>
          <w:lang w:val="sv-SE"/>
        </w:rPr>
        <w:t>Norrtullsligan</w:t>
      </w:r>
      <w:r w:rsidRPr="00FB4EFA">
        <w:rPr>
          <w:lang w:val="sv-SE"/>
        </w:rPr>
        <w:t xml:space="preserve"> selbst galt laut Daniel Hjorth beinahe als anstößiges Werk (vgl. Hjorth 1969: 6). Die extrovertierte Figur Eva nimmt kein Blatt vor den Mund und singt: </w:t>
      </w:r>
      <w:r w:rsidR="00D2687C" w:rsidRPr="00FB4EFA">
        <w:rPr>
          <w:lang w:val="de-DE"/>
        </w:rPr>
        <w:t>„</w:t>
      </w:r>
      <w:r w:rsidRPr="00FB4EFA">
        <w:rPr>
          <w:lang w:val="sv-SE"/>
        </w:rPr>
        <w:t>Alla har vi skulder, alla har vi skulder,/ ingen har sin oskuld kvar.</w:t>
      </w:r>
      <w:r w:rsidR="00D2687C" w:rsidRPr="00FB4EFA">
        <w:rPr>
          <w:lang w:val="de-DE"/>
        </w:rPr>
        <w:t xml:space="preserve">“ </w:t>
      </w:r>
      <w:r w:rsidRPr="00FB4EFA">
        <w:t xml:space="preserve">(Alle haben wir Schulden, alle haben wir Schulden,/ keine hat noch ihre Unschuld.) (Wägner 2012: 41), an dieser Stelle zucken die dargestellten jungen Frauen dann doch zusammen. Und über die desparate Erotisierung Peggs durch ihren skrupellosen Chef wird verlautbart: „Darrande som en </w:t>
      </w:r>
      <w:r w:rsidR="007E5EA3" w:rsidRPr="00FB4EFA">
        <w:br/>
      </w:r>
      <w:r w:rsidRPr="00FB4EFA">
        <w:t>galvanisk groda gick jag hemåt och tänkte: – Vart skall det ta vägen?</w:t>
      </w:r>
      <w:r w:rsidR="00D2687C" w:rsidRPr="00FB4EFA">
        <w:rPr>
          <w:lang w:val="de-DE"/>
        </w:rPr>
        <w:t>“</w:t>
      </w:r>
      <w:r w:rsidRPr="00FB4EFA">
        <w:t xml:space="preserve"> </w:t>
      </w:r>
      <w:r w:rsidR="007E5EA3" w:rsidRPr="00FB4EFA">
        <w:br/>
      </w:r>
      <w:r w:rsidRPr="00FB4EFA">
        <w:t>(Zitternd wie ein galvanisierter Frosch machte ich mich auf den Heimweg und dachte: – Wie soll das bloß enden?) (Wägner 2012: 113).</w:t>
      </w:r>
    </w:p>
    <w:p w14:paraId="52D59E99" w14:textId="1820B1F7" w:rsidR="00207E56" w:rsidRPr="00FB4EFA" w:rsidRDefault="00207E56" w:rsidP="00402EF4">
      <w:pPr>
        <w:ind w:firstLine="708"/>
      </w:pPr>
      <w:r w:rsidRPr="00FB4EFA">
        <w:t xml:space="preserve">Die urbane schreibbegabte Pegg und die vom Landleben und dem pädagogischen Eros erfüllte Elisabeth treten am Ende des Romans auseinander. Es ist gerade der Wunsch zur Unabhängigkeit einer jungen Frau, den die Protagonistin nachdrücklich in Frage stellt: </w:t>
      </w:r>
      <w:r w:rsidR="00D2687C" w:rsidRPr="00FB4EFA">
        <w:rPr>
          <w:lang w:val="de-DE"/>
        </w:rPr>
        <w:t>„</w:t>
      </w:r>
      <w:r w:rsidRPr="00FB4EFA">
        <w:t xml:space="preserve">[…] jag har ju </w:t>
      </w:r>
      <w:r w:rsidR="007E5EA3" w:rsidRPr="00FB4EFA">
        <w:br/>
      </w:r>
      <w:r w:rsidRPr="00FB4EFA">
        <w:t xml:space="preserve">Friheten. </w:t>
      </w:r>
      <w:r w:rsidRPr="00FB4EFA">
        <w:rPr>
          <w:lang w:val="sv-SE"/>
        </w:rPr>
        <w:t>Och i mitt hjärtas innersta hjärta avskydde jag den, som kvinnliga kvinnor gör, då de har den.</w:t>
      </w:r>
      <w:r w:rsidR="00D2687C" w:rsidRPr="00FB4EFA">
        <w:rPr>
          <w:lang w:val="de-DE"/>
        </w:rPr>
        <w:t xml:space="preserve">“ </w:t>
      </w:r>
      <w:r w:rsidRPr="00FB4EFA">
        <w:t xml:space="preserve">([…] habe ich doch meine Freiheit. Und die verabscheute ich aus tiefstem Herzen, wie es weibliche Frauen tun, wenn sie die Freiheit haben.) (Wägner 2012: 33). Obwohl Pegg nicht als Sprachrohrfigur Wägners gesehen werden sollte, tritt an dieser Stelle eine der retrotopischen Tendenzen hervor: Es scheint nämlich so, als ob die Modernisierungsverliererinnen in der ländlichen Gemeinschaft, im Unterschied zur anonymen und verdinglichten städtischen Gesellschaft, ihre zivilisatorischen Schädigungen kompensieren können, die ihnen in Stockholm zugefügt worden sind. Es offenbart sich eine tiefgehende Skepsis gegenüber dem urbanen Angestelltendasein, dessen Bedingungen ein sozial und ethisch erfülltes Leben entweder erschweren oder gar nicht erst zulassen. Zugespitzt formuliert: Das emanzipatorische Autonomie-Versprechen schien aus Wägners (und Keys) Sicht angesichts der dargestellten fürsorglichen Begabung der jungen Frauen weniger verheißungsvoll, als es die Frauenliteraturgeschichtsschreibung seit den 1970er Jahren wahrhaben wollte. Wie Knutson (2020) andeutet, wären es eventuell eher die Kritik an der gesellschaftlichen Entsolidarisierung </w:t>
      </w:r>
      <w:r w:rsidRPr="00FB4EFA">
        <w:lastRenderedPageBreak/>
        <w:t>sowie an der wachsenden sozialen Kluft zwischen Land und Stadt, die für heutige Re-Lektüren anregend sein könnte.</w:t>
      </w:r>
    </w:p>
    <w:p w14:paraId="6832288C" w14:textId="77777777" w:rsidR="00207E56" w:rsidRPr="00FB4EFA" w:rsidRDefault="00207E56" w:rsidP="00545033">
      <w:pPr>
        <w:pStyle w:val="Heading2"/>
        <w:suppressAutoHyphens/>
        <w:spacing w:line="259" w:lineRule="auto"/>
        <w:rPr>
          <w:color w:val="auto"/>
        </w:rPr>
      </w:pPr>
      <w:r w:rsidRPr="00FB4EFA">
        <w:rPr>
          <w:color w:val="auto"/>
        </w:rPr>
        <w:t>Hämische Kritik an der Heiratskonvention in der Romanverfilmung von 1923</w:t>
      </w:r>
    </w:p>
    <w:p w14:paraId="674A824F" w14:textId="49C753E5" w:rsidR="00207E56" w:rsidRPr="00FB4EFA" w:rsidRDefault="00207E56" w:rsidP="00402EF4">
      <w:pPr>
        <w:rPr>
          <w:rFonts w:cstheme="minorHAnsi"/>
        </w:rPr>
      </w:pPr>
      <w:r w:rsidRPr="00FB4EFA">
        <w:t>Wägners Debutwerk war 1908 im Verlag Ljus erschienen, ab 1912 schrieb die Autorin für den Bonnier Verlag, der ab 1919 auch eine Filmgesellschaft etablierte. Bonnier Film hatte bezeichnenderweise dem Drehbuchautor Hjalmar Bergman (188</w:t>
      </w:r>
      <w:r w:rsidR="00C65823" w:rsidRPr="00FB4EFA">
        <w:t>3–1</w:t>
      </w:r>
      <w:r w:rsidRPr="00FB4EFA">
        <w:t xml:space="preserve">931) und Wägner gemeinsam Mittel für die Romanverfilmung zur Verfügung gestellt (Linder: 1983: 366). </w:t>
      </w:r>
      <w:r w:rsidRPr="00FB4EFA">
        <w:rPr>
          <w:rFonts w:cstheme="minorHAnsi"/>
        </w:rPr>
        <w:t xml:space="preserve">Bergman, der seinen Schwager </w:t>
      </w:r>
      <w:r w:rsidRPr="00FB4EFA">
        <w:t>Per Lindberg (189</w:t>
      </w:r>
      <w:r w:rsidR="00C65823" w:rsidRPr="00FB4EFA">
        <w:t>0–1</w:t>
      </w:r>
      <w:r w:rsidRPr="00FB4EFA">
        <w:t xml:space="preserve">944) als Regisseur betraute, strebte einen Unterhaltungsfilm an, der ihn einer Hollywood-Karriere näherbringen sollte. Die Zusammenarbeit von Bergman und Wägner beschränkte sich jedoch auf ausführliche Gespräche im Sommerurlaub (am 8./9. Juli und am 31. August 1923), wobei der erste Austausch laut Bergman umfangreiche Überarbeitungen der ersten Drehbuchfassung nach sich zog. Bereits im Dezember 1922 hatte Bergman in einem Brief an den Chef Tor Bonnier angekündigt, dass er vom Text ausgehend Änderungen vornehmen wolle, mit denen die Autorin eventuell nicht einverstanden wäre (Werner: 1987: 105). </w:t>
      </w:r>
      <w:r w:rsidRPr="00FB4EFA">
        <w:rPr>
          <w:rFonts w:cstheme="minorHAnsi"/>
        </w:rPr>
        <w:t xml:space="preserve">Bergmans und Lindbergs Filmkomödie wartet der Konvention entsprechend mit einem aufgesetzten Happy </w:t>
      </w:r>
      <w:r w:rsidR="00DB3388" w:rsidRPr="00FB4EFA">
        <w:rPr>
          <w:rFonts w:cstheme="minorHAnsi"/>
        </w:rPr>
        <w:t>E</w:t>
      </w:r>
      <w:r w:rsidRPr="00FB4EFA">
        <w:rPr>
          <w:rFonts w:cstheme="minorHAnsi"/>
        </w:rPr>
        <w:t>nd auf, das mit einer sowohl versöhnlichen als auch zynischen Pointe versehen ist: Frauen heiraten ja doch – die Eheschließung bleibt für die dargestellten jungen Frauen der einfachste Weg, um an sozialer Mobilität teilzuhaben oder sich überhaupt Anerkennung im gesellschaftlichen Leben zu verschaffen. Darüber hinaus bringt Bergman seine eigene werktypische und biographisch bedingte Hinterfragung von Genderkonzepten ins Spiel, so dass die Heteronormativität, die Wägners Roman trotz der innigen Gesten unter den Frauenfiguren weitgehend unhinterfragt lässt, ins Wanken gerät.</w:t>
      </w:r>
    </w:p>
    <w:p w14:paraId="30760FC7" w14:textId="77777777" w:rsidR="00207E56" w:rsidRPr="00FB4EFA" w:rsidRDefault="00207E56" w:rsidP="00AF0CAD">
      <w:pPr>
        <w:ind w:firstLine="708"/>
        <w:rPr>
          <w:rFonts w:cstheme="minorHAnsi"/>
        </w:rPr>
      </w:pPr>
      <w:r w:rsidRPr="00FB4EFA">
        <w:t xml:space="preserve">Der Film wurde 1923 an Originalschauplätzen und im Studio von Bonnier Film gedreht, die Uraufführung fand am 19. Dezember 1923 im Stockholmer Kino Röda Kvarn statt. Die Produktion galt als Erfolg, weil die Kosten wieder eingespielt werden konnten, was nicht selbstverständlich war (Forsman &amp; Sundstedt 2021, 109). Wägner soll entsetzt gewesen </w:t>
      </w:r>
      <w:r w:rsidRPr="00FB4EFA">
        <w:lastRenderedPageBreak/>
        <w:t xml:space="preserve">sein, dass der Film wegen der vielen Nachthemdszenen und den ausgelassenen bohemischen Feiern nicht jugendfrei war. </w:t>
      </w:r>
      <w:r w:rsidRPr="00FB4EFA">
        <w:rPr>
          <w:rFonts w:cstheme="minorHAnsi"/>
        </w:rPr>
        <w:t xml:space="preserve">Von der Stadtskepsis und der nachhaltigen Key-Rezeption ist im Film nichts mehr übriggeblieben, und die Räume der Wohngemeinschaft werden als eine schillernde Kombination aus Arkadien, Mädchenpensionat, Laienbühne, Kneipe, Club und Harem dargeboten. In den entsprechenden Studioaufnahmen scheinen sich die Proportionen der Zimmer zu verändern, je nachdem ob ein Gespräch zu zweit bzw. in der Gruppe, die große Streikversammlung oder die krönende Weihnachtsfeier stattfinden. Die Handlung wird fast um die Hälfte der Episoden reduziert und zu fünf Akten verdichtet. Während zu Beginn durch Inserts mit Romanzitaten („Ingenting blir som man har tänkt sig det!“ (Nichts wird so, wie man es sich vorgestellt hatte!) Wägner 2012: 19) eine Nähe von Roman und Drehbuch suggeriert wird, findet durch die Inszenierung Peggs als Garçonne eine entscheidende thematische Verlagerung statt. Die Besetzung dieser Rolle mit der als mondän geltenden Filmschauspielerin Tora Teje (Hedvall 1919, Wengström 2010, Kindblom 2021), die sich nicht länger am theatralen und überdeutlichen Stummfilmstil orientiert, sondern mit ihrem blasiert-rätselhaften oder melancholischen Gesichtsausdruck alle Aufmerksamkeit auf sich zog, verschaffte dem Film einen Reklameeffekt, zumal Teje in dem pikanten Großstadtfilm </w:t>
      </w:r>
      <w:r w:rsidRPr="00FB4EFA">
        <w:rPr>
          <w:rFonts w:cstheme="minorHAnsi"/>
          <w:i/>
          <w:iCs/>
        </w:rPr>
        <w:t>Erotikon</w:t>
      </w:r>
      <w:r w:rsidRPr="00FB4EFA">
        <w:rPr>
          <w:rFonts w:cstheme="minorHAnsi"/>
        </w:rPr>
        <w:t xml:space="preserve"> (1920, Regie Mauritz Stiller) bereits einige Jahre zuvor für Furore gesorgt hatte. Nie zeigt sich ihr Gesicht im Film </w:t>
      </w:r>
      <w:r w:rsidRPr="00FB4EFA">
        <w:rPr>
          <w:rFonts w:cstheme="minorHAnsi"/>
          <w:i/>
          <w:iCs/>
        </w:rPr>
        <w:t>Norrtullsligan</w:t>
      </w:r>
      <w:r w:rsidRPr="00FB4EFA">
        <w:rPr>
          <w:rFonts w:cstheme="minorHAnsi"/>
        </w:rPr>
        <w:t xml:space="preserve"> offen, nie bricht ein befreites Lächeln hervor. So hebt das Casting die desillusionierte Haltung der Ich-Erzählerin Pegg hervor, Teje verleiht der Hauptfigur – gerade im Umgang mit dem Chef – jedoch auch eine gewisse Note der Durchtriebenheit und Berechnung. Allein in den Szenen mit Putte und Baby erscheint Tejes Mimik weniger sachlich. Der Stockholmer Star Teje trägt mit zum Eindruck bei, dass allein die städtische Lebenswelt maßgeblich geworden ist. Tora Teje trägt in einigen Einstellungen die Krawatte der Garçonne sowie eine dunkle Wollmütze, die wie eine stramme Kurzhaarfrisur sitzt, ihr androgynes Profil wird mittels sog. Rembrandt-Beleuchtung sorgfältig herausgearbeitet.</w:t>
      </w:r>
    </w:p>
    <w:p w14:paraId="3C482188" w14:textId="26E89AB1" w:rsidR="00207E56" w:rsidRPr="00FB4EFA" w:rsidRDefault="00207E56" w:rsidP="00402EF4">
      <w:pPr>
        <w:ind w:firstLine="708"/>
      </w:pPr>
      <w:r w:rsidRPr="00FB4EFA">
        <w:t xml:space="preserve">Die Zirkulation der städtischen Arbeitnehmenden wird in den dem Drehbuch hinzugefügten Straßen-, Büro- und Postamt-Szenen im schicksalshaften Großstadttakt dargeboten. Die weiblichen Büroangestellten erscheinen kommodifiziert, sie sind mobilisiert und angetreten </w:t>
      </w:r>
      <w:r w:rsidRPr="00FB4EFA">
        <w:lastRenderedPageBreak/>
        <w:t>für den kapitalistischen Krieg, als „en stor armé av viellabluser och mig själv som den sistkomna tvångsrekryten“ (eine große Armee aus Viellablusen mit mir selbst als frisch eingetroffener Zwangsrekrutierten) (Wägner 2012: 1</w:t>
      </w:r>
      <w:r w:rsidR="00C65823" w:rsidRPr="00FB4EFA">
        <w:t>9–2</w:t>
      </w:r>
      <w:r w:rsidRPr="00FB4EFA">
        <w:t xml:space="preserve">0), so wird eine Formulierung in einem Filminsert zitiert. Bergmans satirische Komödie, die als Überraschung zur Weihnachtsbescherung eine Massenverlobung präsentiert, widmet sich den sozialen, gender- und klassenspezifischen Distinktionen in der Figurengalerie mit genüsslicher Häme, wobei die männlichen Figuren, bis auf den </w:t>
      </w:r>
      <w:r w:rsidR="006057AB" w:rsidRPr="00FB4EFA">
        <w:t>‘</w:t>
      </w:r>
      <w:r w:rsidRPr="00FB4EFA">
        <w:t>Lausbuben</w:t>
      </w:r>
      <w:r w:rsidR="0093480B" w:rsidRPr="00FB4EFA">
        <w:t>’</w:t>
      </w:r>
      <w:r w:rsidRPr="00FB4EFA">
        <w:t xml:space="preserve"> Putte, fragwürdige Gestalten bleiben. Wägner hatte an der Entpolitisierung des Films Anstoß genommen, dennoch war ihr an der Reklame für ihr Debutwerk gelegen, wie ihre späteren eigenen Bemühungen um Verfilmungen ihrer Arbeiten und ihr Interesse am Verfassen von Drehbüchern (Forsman &amp; Sundstedt 2021: 5</w:t>
      </w:r>
      <w:r w:rsidR="00C65823" w:rsidRPr="00FB4EFA">
        <w:t>6–5</w:t>
      </w:r>
      <w:r w:rsidRPr="00FB4EFA">
        <w:t>7, Wägner 1911) belegen.</w:t>
      </w:r>
    </w:p>
    <w:p w14:paraId="363B28E3" w14:textId="14F2B755" w:rsidR="00207E56" w:rsidRPr="00FB4EFA" w:rsidRDefault="00207E56" w:rsidP="00AF0CAD">
      <w:pPr>
        <w:ind w:firstLine="709"/>
      </w:pPr>
      <w:r w:rsidRPr="00FB4EFA">
        <w:t xml:space="preserve">Der Film kulminiert in einer klassenübergreifend arrangierten Weihnachtsfeier, die nur das Drehbuch enthält: In Ermangelung an Sitzmöbeln versammeln sich die Besucher auf dem Boden, Schwaden von Zigarettenrauch steigen auf. Der Chef und die reiche Tante vom </w:t>
      </w:r>
      <w:r w:rsidR="007E5EA3" w:rsidRPr="00FB4EFA">
        <w:br/>
      </w:r>
      <w:r w:rsidRPr="00FB4EFA">
        <w:t xml:space="preserve">Strandvägen kommen hinzu. Baby hat sich mit dem untreuen Juristen wieder versöhnt, Eva ihre Jugendliebe abgestaubt, Pegg wird von ihrer Tante eine Stellung als Gesellschaftsdame für eine Reise an die Riviera geschenkt. Doch zuvor hat sie sich in einer quälend langen, freudlosen Szene mit dem Chef verlobt, wobei der Ring in die blubbernde Weihnachtsgrütze gefallen war. Pegg ergänzt im Inserttext, dass es sich </w:t>
      </w:r>
      <w:r w:rsidR="007E5EA3" w:rsidRPr="00FB4EFA">
        <w:br/>
      </w:r>
      <w:r w:rsidRPr="00FB4EFA">
        <w:t xml:space="preserve">bloß um einen „vardagsring“ (alltäglichen Ring), nicht um ein </w:t>
      </w:r>
      <w:r w:rsidR="007E5EA3" w:rsidRPr="00FB4EFA">
        <w:br/>
      </w:r>
      <w:r w:rsidRPr="00FB4EFA">
        <w:t>Prunkstück handle. Damit wird markiert, dass sie strategisch eine Zweckgemeinschaft eingeht.</w:t>
      </w:r>
    </w:p>
    <w:p w14:paraId="169C5513" w14:textId="3AE1D19B" w:rsidR="00207E56" w:rsidRPr="00FB4EFA" w:rsidRDefault="00207E56" w:rsidP="00402EF4">
      <w:pPr>
        <w:ind w:firstLine="708"/>
      </w:pPr>
      <w:r w:rsidRPr="00FB4EFA">
        <w:t>Peggs Klassenaufstieg wäre durch ihre Berufstätigkeit nicht zu erreichen gewesen. Die Schlusseinstellung des Films spitzt die Kritik an der Elite, einmal mehr im Sinne des Salonkommunismus, schwungvoll zu. Als sich die Tante und der Chef, die als einzige auf Stühlen sitzen, umarmen, wird die auf dem Boden hockende Baby zwischen diesen beiden massigen Gestalten eingeklemmt: Die Allianz der Reichen, der Beamten und Akademiker geht auf Kosten der Schwächsten.</w:t>
      </w:r>
      <w:r w:rsidRPr="00FB4EFA">
        <w:rPr>
          <w:rFonts w:cstheme="minorHAnsi"/>
          <w:vertAlign w:val="superscript"/>
        </w:rPr>
        <w:footnoteReference w:id="324"/>
      </w:r>
      <w:r w:rsidRPr="00FB4EFA">
        <w:t xml:space="preserve"> Da der Chef kurz zuvor </w:t>
      </w:r>
      <w:r w:rsidRPr="00FB4EFA">
        <w:lastRenderedPageBreak/>
        <w:t xml:space="preserve">gedankenverloren wiederholt Babys Kopf von oben herab getätschelt hat, wird angezeigt, dass Baby als Peggs Nachfolgerin im Bezirksamt schon bald Übergriffen ausgeliefert sein wird. Das letzte Insert besteht aus </w:t>
      </w:r>
      <w:r w:rsidR="007E5EA3" w:rsidRPr="00FB4EFA">
        <w:br/>
      </w:r>
      <w:r w:rsidRPr="00FB4EFA">
        <w:t>Babys Ruf „Hjälp!“. Pegg selbst wird dagegen, nachdem sie der Tante ihren Verlobungsring gezeigt und damit ihre demütigende ökonomische Abhängigkeit von der Familie aufgekündigt hat, in den letzten Filmminuten gar nicht mehr fokussiert.</w:t>
      </w:r>
    </w:p>
    <w:p w14:paraId="06786DC2" w14:textId="6C44F92C" w:rsidR="00207E56" w:rsidRPr="00FB4EFA" w:rsidRDefault="00207E56" w:rsidP="00AF0CAD">
      <w:pPr>
        <w:ind w:firstLine="708"/>
      </w:pPr>
      <w:r w:rsidRPr="00FB4EFA">
        <w:t xml:space="preserve">Nicht nur Pegg tritt im Film als Garçonne auf, es gibt eine weitere Paraderolle, die es auf die Filmplakate geschafft hat und versiert an eine europaweit verbreitete skandalöse Figurengalerie anknüpft, die mit </w:t>
      </w:r>
      <w:r w:rsidR="007E5EA3" w:rsidRPr="00FB4EFA">
        <w:br/>
      </w:r>
      <w:r w:rsidRPr="00FB4EFA">
        <w:t xml:space="preserve">Victor Marguerittes Roman </w:t>
      </w:r>
      <w:r w:rsidRPr="00FB4EFA">
        <w:rPr>
          <w:i/>
          <w:iCs/>
        </w:rPr>
        <w:t>Die Aussteigerin</w:t>
      </w:r>
      <w:r w:rsidRPr="00FB4EFA">
        <w:t xml:space="preserve"> (1922) über lesbische oder bisexuelle Beziehungen und freizügigen Drogenkonsum populär geworden war: Lili Ziedner, mit dessen Besetzung Wägner übrigens nicht einverstanden war, spielt die Streikführerin, der die im Protest entflammte Baby in schwärmerischer Anbetungshaltung gegenübertritt. Ziedner war ein bekannter Revuestar und bot durch clowneske Züge die Garçonne bereits parodistisch dar. Die Figur heißt im Ausgangstext schlicht „den humoristiska“ (Wägner 2012: 45), sie flieht während der Versammlung vor den lärmend schnatternden Frauen in die Küche, um sich dort ungestört mit Pegg unterhalten zu können. Das Drehbuch nutzt dies als </w:t>
      </w:r>
      <w:r w:rsidR="007E5EA3" w:rsidRPr="00FB4EFA">
        <w:br/>
      </w:r>
      <w:r w:rsidRPr="00FB4EFA">
        <w:t xml:space="preserve">Gelegenheit, um nicht nur eine Allianz dieser beiden intellektuell </w:t>
      </w:r>
      <w:r w:rsidR="007E5EA3" w:rsidRPr="00FB4EFA">
        <w:br/>
      </w:r>
      <w:r w:rsidRPr="00FB4EFA">
        <w:t xml:space="preserve">überlegenen Gestalten, sondern auch eine Verwandtschaft ihrer </w:t>
      </w:r>
      <w:r w:rsidR="007E5EA3" w:rsidRPr="00FB4EFA">
        <w:br/>
      </w:r>
      <w:r w:rsidRPr="00FB4EFA">
        <w:t>Neigungen anzudeuten.</w:t>
      </w:r>
    </w:p>
    <w:p w14:paraId="55175343" w14:textId="0E69229B" w:rsidR="00207E56" w:rsidRPr="00FB4EFA" w:rsidRDefault="00207E56" w:rsidP="00402EF4">
      <w:pPr>
        <w:ind w:firstLine="708"/>
      </w:pPr>
      <w:r w:rsidRPr="00FB4EFA">
        <w:t>Wägner war an einer politischeren und texttreueren Verfilmung gelegen (vgl. Knutson 2020: 85), wie jüngste Funde des Briefwechsels mit dem Filmproduzenten John Lindlöf in den 1940ern bestätigen (Brunow 2020). Diesmal visierte Wägner als Drehbuchautorin interessanterweise die prominente Journalistin Barbro Alving (190</w:t>
      </w:r>
      <w:r w:rsidR="00C65823" w:rsidRPr="00FB4EFA">
        <w:t>9–1</w:t>
      </w:r>
      <w:r w:rsidRPr="00FB4EFA">
        <w:t xml:space="preserve">987) an, die dem Publikum als äußerst seriöse Berichterstatterin, nicht zuletzt als Kriegsreporterin bekannt war. Doch Lindlöfs Synopsis von 1945 enttäuschte Wägner, und noch im April 1947 bemängelte sie die unglaubwürdige Stilmischung und historische Fehler, so dass dieses Projekt nicht weiterverfolgt wurde. Mit wachsendem zeitlichem Abstand schien die Ausgestaltung der emanzipatorischen Figur der </w:t>
      </w:r>
      <w:r w:rsidR="006057AB" w:rsidRPr="00FB4EFA">
        <w:t>‘</w:t>
      </w:r>
      <w:r w:rsidRPr="00FB4EFA">
        <w:t>neuen Frau</w:t>
      </w:r>
      <w:r w:rsidR="0093480B" w:rsidRPr="00FB4EFA">
        <w:t>’</w:t>
      </w:r>
      <w:r w:rsidRPr="00FB4EFA">
        <w:t xml:space="preserve"> nur noch schwieriger zu werden.</w:t>
      </w:r>
    </w:p>
    <w:p w14:paraId="7AE21C7C" w14:textId="6A724CEB" w:rsidR="00207E56" w:rsidRPr="00FB4EFA" w:rsidRDefault="00207E56" w:rsidP="00AF0CAD">
      <w:pPr>
        <w:ind w:firstLine="708"/>
      </w:pPr>
      <w:r w:rsidRPr="00FB4EFA">
        <w:lastRenderedPageBreak/>
        <w:t xml:space="preserve">Nach der ersten Restauration des Films von 2006 wurde </w:t>
      </w:r>
      <w:r w:rsidR="007E5EA3" w:rsidRPr="00FB4EFA">
        <w:br/>
      </w:r>
      <w:r w:rsidRPr="00FB4EFA">
        <w:rPr>
          <w:i/>
          <w:iCs/>
        </w:rPr>
        <w:t>Weibliche Junggesellen</w:t>
      </w:r>
      <w:r w:rsidRPr="00FB4EFA">
        <w:t xml:space="preserve"> auf dem „Identities.Queerfilmfestival“ 2007 in Wien und in der Reihe „Retrospektive“ während der Berlinale gezeigt. Die Rezeption der </w:t>
      </w:r>
      <w:r w:rsidR="006057AB" w:rsidRPr="00FB4EFA">
        <w:t>‘</w:t>
      </w:r>
      <w:r w:rsidRPr="00FB4EFA">
        <w:t>neuen Frau</w:t>
      </w:r>
      <w:r w:rsidR="0093480B" w:rsidRPr="00FB4EFA">
        <w:t>’</w:t>
      </w:r>
      <w:r w:rsidRPr="00FB4EFA">
        <w:t xml:space="preserve"> in </w:t>
      </w:r>
      <w:r w:rsidRPr="00FB4EFA">
        <w:rPr>
          <w:i/>
          <w:iCs/>
        </w:rPr>
        <w:t>Norrtullsligan</w:t>
      </w:r>
      <w:r w:rsidRPr="00FB4EFA">
        <w:t xml:space="preserve"> basiert inzwischen fast ausschließlich auf Bergmans Drehbuch und Lindbergs Regiearbeit, wie es die Archivseite der Berlinale bestätigt: „Bubikopf, offensiver Blick, selbstbewusstes Auftreten und Berufstätigkeit prägen Image und Stereotyp jener Frauen, deren Mythos sich im Begriff der </w:t>
      </w:r>
      <w:r w:rsidR="006057AB" w:rsidRPr="00FB4EFA">
        <w:t>‘</w:t>
      </w:r>
      <w:r w:rsidRPr="00FB4EFA">
        <w:t>Neuen Frau</w:t>
      </w:r>
      <w:r w:rsidR="0093480B" w:rsidRPr="00FB4EFA">
        <w:t>’</w:t>
      </w:r>
      <w:r w:rsidRPr="00FB4EFA">
        <w:t xml:space="preserve"> verdichtet hat. Das veränderte Rollenverständnis der Frau ist auch Ausdruck politischer Umwälzungen und gesellschaftlicher Veränderungen zu Beginn des 20. Jahrhunderts.“</w:t>
      </w:r>
      <w:r w:rsidRPr="00FB4EFA">
        <w:rPr>
          <w:vertAlign w:val="superscript"/>
        </w:rPr>
        <w:footnoteReference w:id="325"/>
      </w:r>
      <w:r w:rsidRPr="00FB4EFA">
        <w:t xml:space="preserve"> Die SBK diffundiert durch Entertainment, ihr skandalöses Profil ist einträglicher als ihr erbauliches, und der innovative Aufbruch scheint verlockender als die enttäuschte Zwischenbilanz oder die </w:t>
      </w:r>
      <w:r w:rsidR="007E5EA3" w:rsidRPr="00FB4EFA">
        <w:br/>
      </w:r>
      <w:r w:rsidRPr="00FB4EFA">
        <w:t>zerknirschte Rückbesinnung.</w:t>
      </w:r>
    </w:p>
    <w:p w14:paraId="4F6BB782" w14:textId="198ACD14" w:rsidR="00207E56" w:rsidRPr="00FB4EFA" w:rsidRDefault="00207E56" w:rsidP="00AF0CAD">
      <w:pPr>
        <w:ind w:firstLine="709"/>
      </w:pPr>
      <w:r w:rsidRPr="00FB4EFA">
        <w:t xml:space="preserve">Das schwedische Filminstitut führte 2016 eine weitere Restaurierung durch, bei der nicht nur die Inserts aufgefrischt, sondern bestimmte Passagen eingefärbt wurden: beispielsweise sind die Nachthemdszenen mit Baby und Pegg in Blau getaucht, und die berühmte Auftaktszene mit dem Panorama über Vasastan </w:t>
      </w:r>
      <w:r w:rsidR="00DB3388" w:rsidRPr="00FB4EFA">
        <w:t xml:space="preserve">ist </w:t>
      </w:r>
      <w:r w:rsidRPr="00FB4EFA">
        <w:t xml:space="preserve">in einem Sepiaton gehalten. Fraglos hat das Interesse am Film den Roman im Gedächtnis verankert, dennoch bleiben die eigendynamische Interpretation und ihr Einfluss auf die Kanonisierung des Ausgangstextes, aufgrund der einseitigen Beschäftigung mit dem Film, bis heute Irritationsmomente. Die Filmwissenschaftlerin Annette Brauerhoch, seinerzeit am Berlinale-Team beteiligt, stellt für die filmische Darstellung der </w:t>
      </w:r>
      <w:r w:rsidR="006057AB" w:rsidRPr="00FB4EFA">
        <w:t>‘</w:t>
      </w:r>
      <w:r w:rsidRPr="00FB4EFA">
        <w:t>neuen Frau</w:t>
      </w:r>
      <w:r w:rsidR="0093480B" w:rsidRPr="00FB4EFA">
        <w:t>’</w:t>
      </w:r>
      <w:r w:rsidRPr="00FB4EFA">
        <w:t xml:space="preserve"> fest: „These women were true </w:t>
      </w:r>
      <w:r w:rsidR="006057AB" w:rsidRPr="00FB4EFA">
        <w:t>‘</w:t>
      </w:r>
      <w:r w:rsidRPr="00FB4EFA">
        <w:t>city girls</w:t>
      </w:r>
      <w:r w:rsidR="0093480B" w:rsidRPr="00FB4EFA">
        <w:t>’</w:t>
      </w:r>
      <w:r w:rsidRPr="00FB4EFA">
        <w:t xml:space="preserve"> who moved quickly in a newly found bodily expression of mobilty and flexibility. </w:t>
      </w:r>
      <w:r w:rsidRPr="00FB4EFA">
        <w:rPr>
          <w:lang w:val="en-US"/>
        </w:rPr>
        <w:t>Employment and fun went hand in hand. Hollywood capitalized on the concept of the ‘New Woman’, in roles that developed and enjoyed the newly acquired freedoms as sexual spectacles.</w:t>
      </w:r>
      <w:r w:rsidR="00C73044" w:rsidRPr="00FB4EFA">
        <w:rPr>
          <w:lang w:val="de-DE"/>
        </w:rPr>
        <w:t>“</w:t>
      </w:r>
      <w:r w:rsidRPr="00FB4EFA">
        <w:rPr>
          <w:lang w:val="en-US"/>
        </w:rPr>
        <w:t xml:space="preserve"> </w:t>
      </w:r>
      <w:r w:rsidRPr="00FB4EFA">
        <w:t>(Brauerhoch 2015: 85). Von einer Bekanntschaft mit dem Roman oder der Autorin Wägner ist in diesem Fall kaum auszugehen.</w:t>
      </w:r>
    </w:p>
    <w:p w14:paraId="726BD6CE" w14:textId="77777777" w:rsidR="00207E56" w:rsidRPr="00FB4EFA" w:rsidRDefault="00207E56" w:rsidP="00545033">
      <w:pPr>
        <w:pStyle w:val="Heading2"/>
        <w:suppressAutoHyphens/>
        <w:spacing w:line="259" w:lineRule="auto"/>
        <w:rPr>
          <w:color w:val="auto"/>
        </w:rPr>
      </w:pPr>
      <w:r w:rsidRPr="00FB4EFA">
        <w:rPr>
          <w:color w:val="auto"/>
        </w:rPr>
        <w:lastRenderedPageBreak/>
        <w:t>Die Effekte unterschiedlicher Kanonisierungen</w:t>
      </w:r>
    </w:p>
    <w:p w14:paraId="2E1CA236" w14:textId="5D95B69D" w:rsidR="00207E56" w:rsidRPr="00FB4EFA" w:rsidRDefault="00207E56" w:rsidP="00AF0CAD">
      <w:r w:rsidRPr="00FB4EFA">
        <w:t xml:space="preserve">Seit den 1970er Jahren haben sich Wägners beide frühe Werke </w:t>
      </w:r>
      <w:r w:rsidRPr="00FB4EFA">
        <w:rPr>
          <w:i/>
          <w:iCs/>
        </w:rPr>
        <w:t>Norrtullsligan</w:t>
      </w:r>
      <w:r w:rsidRPr="00FB4EFA">
        <w:t xml:space="preserve"> und </w:t>
      </w:r>
      <w:r w:rsidRPr="00FB4EFA">
        <w:rPr>
          <w:i/>
          <w:iCs/>
        </w:rPr>
        <w:t xml:space="preserve">Pennskaftet </w:t>
      </w:r>
      <w:r w:rsidRPr="00FB4EFA">
        <w:t>im feministisch konnotierten Literatur-Kanon bewähren können, wozu sicherlich beigetragen hat, dass sich beide Texte zeitweise auch anderen Kanones zuordnen ließen bzw. dort zwischenlagern konnten. So wie die beiden flotten Romane für eine lebendige Feminismusgeschichte einstehen, haben sie zugleich im Kanon der Stockholmliteratur ebenfalls ihren Platz. Dies erklärt sich durch die Thematisierung des Stadtteils Vasastan, der auch in einigen Romanen Astrid Lindgrens zum eindrücklichen Schauplatz wird. Das urbane Thema verknüpft Wägners Erstlinge mit anderen Stockholmromanen, so dass qua Intertextualität ein musealer Effekt entsteht. Dies veranschaulichte nicht zuletzt die Initiative „Stockholm läser“ (Stockholm liest) der Stadtbibliothek 201</w:t>
      </w:r>
      <w:r w:rsidR="00927BFB" w:rsidRPr="00FB4EFA">
        <w:t>1</w:t>
      </w:r>
      <w:r w:rsidRPr="00FB4EFA">
        <w:t xml:space="preserve">, bei der in Kooperation mit der Schwedischen Akademie, der Stadt Stockholm und der größten AutorInnen-Vereinigung Lesezirkel, Stadtrundgänge, Filmvorführungen und AutorInnengespräche veranstaltet wurden: </w:t>
      </w:r>
      <w:r w:rsidRPr="00FB4EFA">
        <w:rPr>
          <w:i/>
          <w:iCs/>
        </w:rPr>
        <w:t>Norrtullsligan</w:t>
      </w:r>
      <w:r w:rsidRPr="00FB4EFA">
        <w:t xml:space="preserve"> reiht sich ein in einen Reigen von Hjalmar Söderberg über Inger Edelfelt und Jonas Hassen Khemiri bis zu Gunn-Britt Sundström.</w:t>
      </w:r>
      <w:r w:rsidRPr="00FB4EFA">
        <w:rPr>
          <w:vertAlign w:val="superscript"/>
        </w:rPr>
        <w:footnoteReference w:id="326"/>
      </w:r>
    </w:p>
    <w:p w14:paraId="1B87B162" w14:textId="1F9705DB" w:rsidR="00207E56" w:rsidRPr="00FB4EFA" w:rsidRDefault="00207E56" w:rsidP="00AF0CAD">
      <w:pPr>
        <w:spacing w:after="240"/>
        <w:ind w:firstLine="708"/>
      </w:pPr>
      <w:r w:rsidRPr="00FB4EFA">
        <w:t>Die im Jahr zuvor publizierte Taschenbuchausgabe setzt in der Titelblattgestaltung jedoch nicht dezidiert auf die urbane Szenographie, sondern auf das Angestelltenthema, denn die Graphik auf dem Einband zeigt eine groteske Schreibmaschine mit Frauenbeinen in langen schwarzen Stiefeln (Wägner 2011). Das Schreibmaschinenmodell und der graphische Stil einer historischen surrealistischen Collage beschwör</w:t>
      </w:r>
      <w:r w:rsidR="00DB3388" w:rsidRPr="00FB4EFA">
        <w:t>en</w:t>
      </w:r>
      <w:r w:rsidRPr="00FB4EFA">
        <w:t xml:space="preserve"> zugleich die wichtigste Rezeptionsphase Wägners herauf, nämlich die 1970er Jahre. Die Positionierung der Schreibmaschine als Surrogat für den Unterkörper stellt eine suggestive Verbindung zu Valie Exports Performance </w:t>
      </w:r>
      <w:r w:rsidRPr="00FB4EFA">
        <w:rPr>
          <w:i/>
          <w:iCs/>
        </w:rPr>
        <w:t>Tapp und Tastkino</w:t>
      </w:r>
      <w:r w:rsidRPr="00FB4EFA">
        <w:t xml:space="preserve"> 1968/69 her, das provokativ auf die angenommene Verfügbarkeit des weiblichen Körpers hinweist.</w:t>
      </w:r>
    </w:p>
    <w:p w14:paraId="3FACC62E" w14:textId="77777777" w:rsidR="00207E56" w:rsidRPr="00FB4EFA" w:rsidRDefault="00207E56" w:rsidP="00402EF4">
      <w:pPr>
        <w:jc w:val="center"/>
        <w:rPr>
          <w:rFonts w:cstheme="minorHAnsi"/>
          <w:sz w:val="28"/>
          <w:szCs w:val="28"/>
        </w:rPr>
      </w:pPr>
      <w:r w:rsidRPr="00FB4EFA">
        <w:rPr>
          <w:rFonts w:cstheme="minorHAnsi"/>
          <w:noProof/>
          <w:sz w:val="28"/>
          <w:szCs w:val="28"/>
        </w:rPr>
        <w:lastRenderedPageBreak/>
        <w:drawing>
          <wp:inline distT="0" distB="0" distL="0" distR="0" wp14:anchorId="2DF0DAFB" wp14:editId="5F62AFBF">
            <wp:extent cx="1270531" cy="2079625"/>
            <wp:effectExtent l="0" t="0" r="0" b="0"/>
            <wp:docPr id="15" name="Bildobjekt 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objekt 1" descr="Text, whiteboard&#10;&#10;Description automatically generated"/>
                    <pic:cNvPicPr/>
                  </pic:nvPicPr>
                  <pic:blipFill>
                    <a:blip r:embed="rId510">
                      <a:extLst>
                        <a:ext uri="{BEBA8EAE-BF5A-486C-A8C5-ECC9F3942E4B}">
                          <a14:imgProps xmlns:a14="http://schemas.microsoft.com/office/drawing/2010/main">
                            <a14:imgLayer r:embed="rId5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280537" cy="2096003"/>
                    </a:xfrm>
                    <a:prstGeom prst="rect">
                      <a:avLst/>
                    </a:prstGeom>
                  </pic:spPr>
                </pic:pic>
              </a:graphicData>
            </a:graphic>
          </wp:inline>
        </w:drawing>
      </w:r>
    </w:p>
    <w:p w14:paraId="623BBAC9" w14:textId="77777777" w:rsidR="00207E56" w:rsidRPr="00FB4EFA" w:rsidRDefault="00207E56" w:rsidP="00AC1192">
      <w:pPr>
        <w:suppressAutoHyphens/>
        <w:spacing w:before="120" w:after="240"/>
        <w:jc w:val="center"/>
        <w:rPr>
          <w:rFonts w:cstheme="minorHAnsi"/>
          <w:sz w:val="18"/>
          <w:szCs w:val="18"/>
        </w:rPr>
      </w:pPr>
      <w:r w:rsidRPr="00FB4EFA">
        <w:rPr>
          <w:rFonts w:cstheme="minorHAnsi"/>
          <w:b/>
          <w:bCs/>
          <w:sz w:val="18"/>
          <w:szCs w:val="18"/>
        </w:rPr>
        <w:t>Abb. 1</w:t>
      </w:r>
      <w:r w:rsidRPr="00FB4EFA">
        <w:rPr>
          <w:rFonts w:cstheme="minorHAnsi"/>
          <w:sz w:val="18"/>
          <w:szCs w:val="18"/>
        </w:rPr>
        <w:t>. Titelblatt der Ausgabe von 2011</w:t>
      </w:r>
    </w:p>
    <w:p w14:paraId="28799653" w14:textId="77777777" w:rsidR="00207E56" w:rsidRPr="00FB4EFA" w:rsidRDefault="00207E56" w:rsidP="002A3BC9">
      <w:r w:rsidRPr="00FB4EFA">
        <w:t xml:space="preserve">Obwohl die urbane Profession der Bürokräfte in der deutschsprachigen Literaturgeschichte oft genannt wird, meist mit dem Hinweis auf Siegfried Kracauers soziologische Studie </w:t>
      </w:r>
      <w:r w:rsidRPr="00FB4EFA">
        <w:rPr>
          <w:i/>
          <w:iCs/>
        </w:rPr>
        <w:t>Die Angestellten</w:t>
      </w:r>
      <w:r w:rsidRPr="00FB4EFA">
        <w:t xml:space="preserve"> (1930) versehen, ist dieser Aspekt in der schwedischen Kanongeschichte nicht besonders markant; in der literaturgeschichtlichen Forschung zur Darstellung der sich auffächernden städtischen Klassengesellschaft zieht die Arbeiterschaft meistens mehr Aufmerksamkeit auf sich.</w:t>
      </w:r>
    </w:p>
    <w:p w14:paraId="5B88B7CE" w14:textId="77777777" w:rsidR="00207E56" w:rsidRPr="00FB4EFA" w:rsidRDefault="00207E56" w:rsidP="002A3BC9">
      <w:pPr>
        <w:ind w:firstLine="709"/>
      </w:pPr>
      <w:r w:rsidRPr="00FB4EFA">
        <w:t xml:space="preserve">In der Neuausgabe von </w:t>
      </w:r>
      <w:r w:rsidRPr="00FB4EFA">
        <w:rPr>
          <w:i/>
          <w:iCs/>
        </w:rPr>
        <w:t xml:space="preserve">Norrtullsligan </w:t>
      </w:r>
      <w:r w:rsidRPr="00FB4EFA">
        <w:t xml:space="preserve">des Klassikerverlages Bakhåll aus dem Jahr 2020 wird der stadtmuseale, dokumentarische Aspekt mit der journalistischen Würdigung verknüpft, wobei auf die historische Aufnahme der Mietskasernen ein Porträtfoto Wägners (aufgenommen um 1910) appliziert ist, das auch das Titelbild von Knutsons Band </w:t>
      </w:r>
      <w:r w:rsidRPr="00FB4EFA">
        <w:rPr>
          <w:i/>
          <w:iCs/>
        </w:rPr>
        <w:t xml:space="preserve">Den besvärliga Elin Wägner </w:t>
      </w:r>
      <w:r w:rsidRPr="00FB4EFA">
        <w:t xml:space="preserve">2020 schmückt. Ähnlich wie Forsås-Scott arbeitet Knutson das kultur- und sozialgeschichtliche Profil von Wägners Werkbiographie heraus, sie legt verstärkt Wert auf die humanitären Einsätze, wie die Arbeit für </w:t>
      </w:r>
      <w:r w:rsidRPr="00FB4EFA">
        <w:rPr>
          <w:i/>
          <w:iCs/>
        </w:rPr>
        <w:t>Rädda barnen</w:t>
      </w:r>
      <w:r w:rsidRPr="00FB4EFA">
        <w:t xml:space="preserve"> (Kindernothilfe), das pazifistische Engagement oder auch die Zugehörigkeit Wägners zur Glaubensgemeinschaft der Quäker. Dass Forsås-Scott und Knutson von Haus aus Literaturwissenschaftlerinnen sind, spielt kaum mehr eine Rolle für ihre kulturgeschichtlich ausgerichteten Darstellungen.</w:t>
      </w:r>
    </w:p>
    <w:p w14:paraId="270048E2" w14:textId="04D9361E" w:rsidR="00207E56" w:rsidRPr="00FB4EFA" w:rsidRDefault="00207E56" w:rsidP="002A3BC9">
      <w:pPr>
        <w:ind w:firstLine="709"/>
      </w:pPr>
      <w:r w:rsidRPr="00FB4EFA">
        <w:t>Kanonisierungsprozesse sind stets von Kategorisierungen und wertenden Äußerungen oder Handlungen begleitet. Dabei lässt sich mit der Wiederentdeckung einer journalistischen weiblichen Tradition u.</w:t>
      </w:r>
      <w:r w:rsidR="00AF3488" w:rsidRPr="00FB4EFA">
        <w:t> </w:t>
      </w:r>
      <w:r w:rsidRPr="00FB4EFA">
        <w:t xml:space="preserve">a. </w:t>
      </w:r>
      <w:r w:rsidRPr="00FB4EFA">
        <w:lastRenderedPageBreak/>
        <w:t xml:space="preserve">durch Birgitta Ney ein weiterer Aufwertungsversuch von Wägners Texten ausmachen, der Barbro Alving und Ester Blenda Nordström ebenfalls betrifft (siehe Lundgren/Ney: </w:t>
      </w:r>
      <w:r w:rsidRPr="00FB4EFA">
        <w:rPr>
          <w:i/>
          <w:iCs/>
        </w:rPr>
        <w:t>Pennskaft, Reportrar, Tidningskvinnor</w:t>
      </w:r>
      <w:r w:rsidRPr="00FB4EFA">
        <w:t xml:space="preserve"> (Schreibfeder, Reporterinnen, Pressefrauen) 2011). Hier gilt Wägner als Pionierin der Pressegeschichte, wie schon das Aufgreifen des Romantitels </w:t>
      </w:r>
      <w:r w:rsidRPr="00FB4EFA">
        <w:rPr>
          <w:i/>
          <w:iCs/>
        </w:rPr>
        <w:t>Pennskaftet</w:t>
      </w:r>
      <w:r w:rsidRPr="00FB4EFA">
        <w:t xml:space="preserve"> im Publikationstitel deutlich zum Ausdruck bringt; die Arbeit von Journalistinnen wird bezeichnenderweise aber nur bis in die 1960er Jahre aufgearbeitet, d.</w:t>
      </w:r>
      <w:r w:rsidR="00394635" w:rsidRPr="00FB4EFA">
        <w:t xml:space="preserve"> </w:t>
      </w:r>
      <w:r w:rsidRPr="00FB4EFA">
        <w:t>h. bis an die Frauenliteraturgeschichte der 1970er herangeführt. Bereits der Kritiker Hjorth hatte Wägner als „den första moderna kvinnan i pressen“ (die erste moderne/neue Frau der Presse“, Hjorth 1969: 5) gewürdigt.</w:t>
      </w:r>
    </w:p>
    <w:p w14:paraId="50F8C0EB" w14:textId="7515B7C5" w:rsidR="00207E56" w:rsidRPr="00FB4EFA" w:rsidRDefault="00207E56" w:rsidP="002A3BC9">
      <w:pPr>
        <w:ind w:firstLine="709"/>
      </w:pPr>
      <w:r w:rsidRPr="00FB4EFA">
        <w:t>Wägners Reportagen zu sog. weiblichen Berufen wie Lehrerin, Krankenschwester, Tanzpädagogin, Sekretärin oder auch Journalistin sind gleichzeitig stets als Dokumente der Frauenbewegung rubriziert, daher ist die Tradierung in der feministischen Literaturgeschichte in gewisser Weise ein Selbstgänger. Bereits Birgitta Holm führt Wägner als Reporterin ein (Holm 2012: o.S.), und auch Göteborgs Universitätsbibliothek nennt Wägners journalistische Profession 2017 an erster Stelle, was eine allmähliche Übertragung vom literarischen in den journalistisch-kulturgeschichtlichen Kanon anzeigt.</w:t>
      </w:r>
      <w:r w:rsidRPr="00FB4EFA">
        <w:rPr>
          <w:vertAlign w:val="superscript"/>
        </w:rPr>
        <w:footnoteReference w:id="327"/>
      </w:r>
      <w:r w:rsidRPr="00FB4EFA">
        <w:t xml:space="preserve"> Vor diesem Hintergrund wären dann allerdings – diskurs- und genreübergreifend – sämtliche Produktionen Wägners, wie ihre Stellungnahmen, Rezensionen, Reden, Briefe in den Blick zu nehmen (ebenso ihre Artikel in den Zeitschriften </w:t>
      </w:r>
      <w:r w:rsidRPr="00FB4EFA">
        <w:rPr>
          <w:i/>
          <w:iCs/>
        </w:rPr>
        <w:t xml:space="preserve">Idun, </w:t>
      </w:r>
      <w:r w:rsidRPr="00FB4EFA">
        <w:t xml:space="preserve">mit ihrer dortigen Anstellung seit 1907 sowie </w:t>
      </w:r>
      <w:r w:rsidRPr="00FB4EFA">
        <w:rPr>
          <w:i/>
          <w:iCs/>
        </w:rPr>
        <w:t>Tidevarvet</w:t>
      </w:r>
      <w:r w:rsidRPr="00FB4EFA">
        <w:t>, deren Redakteurin Wägner 192</w:t>
      </w:r>
      <w:r w:rsidR="00C65823" w:rsidRPr="00FB4EFA">
        <w:t>4–2</w:t>
      </w:r>
      <w:r w:rsidRPr="00FB4EFA">
        <w:t xml:space="preserve">7 war und an der sie bis 1936 mitarbeitete). Auch in der jüngeren deutschsprachigen Forschung zum Feuilleton erhalten die </w:t>
      </w:r>
      <w:r w:rsidR="00557BCA" w:rsidRPr="00FB4EFA">
        <w:br/>
      </w:r>
      <w:r w:rsidRPr="00FB4EFA">
        <w:t>„zeitungsgeschichtliche Einordnung“ und die „gattungspoetologische[…] Erschließung“ einen hohen Stellenwert (Kernmayer &amp; Jung 2017: 21), wobei stets für eine umfassende mediengeschichtliche Kontextualisierung plädiert wird. Dies ist bisher eher mit einem ideengeschichtlichen Interesse verfolgt worden; doch wie die Diskussion der Romanverfilmung erahnen lässt, könnte ein stärkerer mediengeschichtlicher Fokus eine Bündelung vieler disparater Fundstücke ermöglichen.</w:t>
      </w:r>
    </w:p>
    <w:p w14:paraId="720DE7C3" w14:textId="715E5DC2" w:rsidR="00207E56" w:rsidRPr="00FB4EFA" w:rsidRDefault="00207E56" w:rsidP="00AF0CAD">
      <w:pPr>
        <w:ind w:firstLine="708"/>
      </w:pPr>
      <w:r w:rsidRPr="00FB4EFA">
        <w:lastRenderedPageBreak/>
        <w:t xml:space="preserve">Doch lässt sich die Kombination aus journalistischem und literarischem Schreiben auch anders beleuchten, nämlich als eine Überbrückung von </w:t>
      </w:r>
      <w:r w:rsidRPr="00FB4EFA">
        <w:rPr>
          <w:i/>
          <w:iCs/>
        </w:rPr>
        <w:t>high and low</w:t>
      </w:r>
      <w:r w:rsidRPr="00FB4EFA">
        <w:t xml:space="preserve"> oder als Aneignung einer neuartigen </w:t>
      </w:r>
      <w:r w:rsidR="0093480B" w:rsidRPr="00FB4EFA">
        <w:t>‘</w:t>
      </w:r>
      <w:r w:rsidRPr="00FB4EFA">
        <w:t>urbanen Schreibweise</w:t>
      </w:r>
      <w:r w:rsidR="0093480B" w:rsidRPr="00FB4EFA">
        <w:t>’</w:t>
      </w:r>
      <w:r w:rsidRPr="00FB4EFA">
        <w:t xml:space="preserve">, die sich von älteren Literatur-Vertreterinnen – wie Victoria </w:t>
      </w:r>
      <w:r w:rsidR="00557BCA" w:rsidRPr="00FB4EFA">
        <w:br/>
      </w:r>
      <w:r w:rsidRPr="00FB4EFA">
        <w:t xml:space="preserve">Benedictsson als Vertreterin des Modernen Durchbruchs oder Selma </w:t>
      </w:r>
      <w:r w:rsidR="00557BCA" w:rsidRPr="00FB4EFA">
        <w:br/>
      </w:r>
      <w:r w:rsidRPr="00FB4EFA">
        <w:t>Lagerlöf als Vertreterin u.</w:t>
      </w:r>
      <w:r w:rsidR="00AF3488" w:rsidRPr="00FB4EFA">
        <w:t xml:space="preserve"> </w:t>
      </w:r>
      <w:r w:rsidRPr="00FB4EFA">
        <w:t xml:space="preserve">a. der Nationalromantik (vgl. Knutson 2020: 52) – absetzt. </w:t>
      </w:r>
      <w:r w:rsidRPr="00FB4EFA">
        <w:rPr>
          <w:lang w:val="sv-SE"/>
        </w:rPr>
        <w:t xml:space="preserve">In einem Literaturlexikon aus den 1960er Jahren werden die journalistischen Merkmale gerade als Indizien für Frische betrachtet: </w:t>
      </w:r>
      <w:r w:rsidR="00C73044" w:rsidRPr="00FB4EFA">
        <w:rPr>
          <w:lang w:val="de-DE"/>
        </w:rPr>
        <w:t>„</w:t>
      </w:r>
      <w:r w:rsidRPr="00FB4EFA">
        <w:rPr>
          <w:lang w:val="sv-SE"/>
        </w:rPr>
        <w:t>I rapp kåsörstil med inslag av dagens jargong berättar hon här om några kvinnliga kontorister, deras knappa existens, tappra munterhet, deras bekymmer och deras sammanhållning.</w:t>
      </w:r>
      <w:r w:rsidR="00C73044" w:rsidRPr="00FB4EFA">
        <w:rPr>
          <w:lang w:val="de-DE"/>
        </w:rPr>
        <w:t xml:space="preserve">“ </w:t>
      </w:r>
      <w:r w:rsidRPr="00FB4EFA">
        <w:t xml:space="preserve">(Im knappen, essayistischen Stil, im Rückgriff auf einen alltäglichen Jargon erzählt sie von einigen weiblichen Büroangestellten, deren ärmlicher Stellung, ihrer tapferen </w:t>
      </w:r>
      <w:r w:rsidR="00557BCA" w:rsidRPr="00FB4EFA">
        <w:br/>
      </w:r>
      <w:r w:rsidRPr="00FB4EFA">
        <w:t xml:space="preserve">Heiterkeit, ihren Sorgen und ihrem Zusammenhalt.) (anonym, </w:t>
      </w:r>
      <w:r w:rsidRPr="00FB4EFA">
        <w:rPr>
          <w:i/>
          <w:iCs/>
        </w:rPr>
        <w:t>Svenskt Litteraturlexikon</w:t>
      </w:r>
      <w:r w:rsidRPr="00FB4EFA">
        <w:t xml:space="preserve"> 1964: 572; siehe eine entsprechende Attestierung von Tempo und Frische bei Svedjedal 2003 für </w:t>
      </w:r>
      <w:r w:rsidRPr="00FB4EFA">
        <w:rPr>
          <w:i/>
          <w:iCs/>
        </w:rPr>
        <w:t>Pennskaftet</w:t>
      </w:r>
      <w:r w:rsidRPr="00FB4EFA">
        <w:t xml:space="preserve">). Göran Hägg </w:t>
      </w:r>
      <w:r w:rsidR="00557BCA" w:rsidRPr="00FB4EFA">
        <w:br/>
      </w:r>
      <w:r w:rsidRPr="00FB4EFA">
        <w:t xml:space="preserve">befürchtet eher flüchtige Akkordarbeit, versäumt jedoch nicht, die </w:t>
      </w:r>
      <w:r w:rsidR="00557BCA" w:rsidRPr="00FB4EFA">
        <w:br/>
      </w:r>
      <w:r w:rsidRPr="00FB4EFA">
        <w:t>Atmosphäre der Szenographie zu würdigen:</w:t>
      </w:r>
    </w:p>
    <w:p w14:paraId="343202A2" w14:textId="7378C79A" w:rsidR="00BB37BC" w:rsidRPr="00FB4EFA" w:rsidRDefault="00C73044" w:rsidP="00AC1192">
      <w:pPr>
        <w:suppressAutoHyphens/>
        <w:spacing w:before="240" w:after="240" w:line="240" w:lineRule="auto"/>
        <w:ind w:left="709"/>
        <w:rPr>
          <w:sz w:val="20"/>
          <w:szCs w:val="20"/>
        </w:rPr>
      </w:pPr>
      <w:r w:rsidRPr="00FB4EFA">
        <w:rPr>
          <w:sz w:val="20"/>
          <w:szCs w:val="20"/>
          <w:lang w:val="de-DE"/>
        </w:rPr>
        <w:t>„</w:t>
      </w:r>
      <w:r w:rsidR="00207E56" w:rsidRPr="00FB4EFA">
        <w:rPr>
          <w:sz w:val="20"/>
          <w:szCs w:val="20"/>
          <w:lang w:val="sv-SE"/>
        </w:rPr>
        <w:t xml:space="preserve">[…] </w:t>
      </w:r>
      <w:r w:rsidR="00207E56" w:rsidRPr="00FB4EFA">
        <w:rPr>
          <w:i/>
          <w:iCs/>
          <w:sz w:val="20"/>
          <w:szCs w:val="20"/>
          <w:lang w:val="sv-SE"/>
        </w:rPr>
        <w:t>Norrtullsligan</w:t>
      </w:r>
      <w:r w:rsidR="00207E56" w:rsidRPr="00FB4EFA">
        <w:rPr>
          <w:sz w:val="20"/>
          <w:szCs w:val="20"/>
          <w:lang w:val="sv-SE"/>
        </w:rPr>
        <w:t xml:space="preserve"> 1908 var en litterärt svag historia – märkt av sin tillkomst som kåseriserie i </w:t>
      </w:r>
      <w:r w:rsidR="00207E56" w:rsidRPr="00FB4EFA">
        <w:rPr>
          <w:i/>
          <w:iCs/>
          <w:sz w:val="20"/>
          <w:szCs w:val="20"/>
          <w:lang w:val="sv-SE"/>
        </w:rPr>
        <w:t>Dagens Nyheter</w:t>
      </w:r>
      <w:r w:rsidR="00207E56" w:rsidRPr="00FB4EFA">
        <w:rPr>
          <w:sz w:val="20"/>
          <w:szCs w:val="20"/>
          <w:lang w:val="sv-SE"/>
        </w:rPr>
        <w:t>. De fyra kontorsflickorna som delar våning är klichéartade pappfigurer, dialoger onaturlig och handlingen, där den finns, oavsiktligt förbryllande. Men bokens miljöskildring är lysande och gäller en värld som därefter nästan blev osynlig i svensk litteratur.</w:t>
      </w:r>
      <w:r w:rsidRPr="00FB4EFA">
        <w:rPr>
          <w:sz w:val="20"/>
          <w:szCs w:val="20"/>
          <w:lang w:val="de-DE"/>
        </w:rPr>
        <w:t>“</w:t>
      </w:r>
      <w:r w:rsidR="00207E56" w:rsidRPr="00FB4EFA">
        <w:rPr>
          <w:sz w:val="20"/>
          <w:szCs w:val="20"/>
          <w:lang w:val="sv-SE"/>
        </w:rPr>
        <w:t xml:space="preserve"> </w:t>
      </w:r>
      <w:r w:rsidR="00207E56" w:rsidRPr="00FB4EFA">
        <w:rPr>
          <w:sz w:val="20"/>
          <w:szCs w:val="20"/>
        </w:rPr>
        <w:t>(Hägg 1996: 430) (</w:t>
      </w:r>
      <w:r w:rsidRPr="00FB4EFA">
        <w:rPr>
          <w:sz w:val="20"/>
          <w:szCs w:val="20"/>
          <w:lang w:val="de-DE"/>
        </w:rPr>
        <w:t>„</w:t>
      </w:r>
      <w:r w:rsidR="00207E56" w:rsidRPr="00FB4EFA">
        <w:rPr>
          <w:sz w:val="20"/>
          <w:szCs w:val="20"/>
        </w:rPr>
        <w:t xml:space="preserve">[Das Werk] </w:t>
      </w:r>
      <w:r w:rsidR="00207E56" w:rsidRPr="00FB4EFA">
        <w:rPr>
          <w:i/>
          <w:iCs/>
          <w:sz w:val="20"/>
          <w:szCs w:val="20"/>
        </w:rPr>
        <w:t>Norrtullsligan</w:t>
      </w:r>
      <w:r w:rsidR="00207E56" w:rsidRPr="00FB4EFA">
        <w:rPr>
          <w:sz w:val="20"/>
          <w:szCs w:val="20"/>
        </w:rPr>
        <w:t xml:space="preserve"> 1908 war eher eine literarisch schwache Angelegenheit – allzu sehr von seiner Entstehung als Feuilletonserie in </w:t>
      </w:r>
      <w:r w:rsidR="00207E56" w:rsidRPr="00FB4EFA">
        <w:rPr>
          <w:i/>
          <w:iCs/>
          <w:sz w:val="20"/>
          <w:szCs w:val="20"/>
        </w:rPr>
        <w:t>Dagens Nyheter</w:t>
      </w:r>
      <w:r w:rsidR="00207E56" w:rsidRPr="00FB4EFA">
        <w:rPr>
          <w:sz w:val="20"/>
          <w:szCs w:val="20"/>
        </w:rPr>
        <w:t xml:space="preserve"> geprägt. Die vier Büroangestellten, die sich eine Wohnung teilen, sind klischeehafte papierene Figuren, die Dialoge gestelzt und die Handlung, falls es eine gibt, widersinnig und unmotiviert. Aber die Beschreibung der Schauplätze ist hervorragend und veranschaulicht eine Welt, die später in der schwedischen Literatur kaum mehr beschrieben worden</w:t>
      </w:r>
      <w:r w:rsidR="002A3BC9" w:rsidRPr="00FB4EFA">
        <w:rPr>
          <w:sz w:val="20"/>
          <w:szCs w:val="20"/>
        </w:rPr>
        <w:t> </w:t>
      </w:r>
      <w:r w:rsidR="00207E56" w:rsidRPr="00FB4EFA">
        <w:rPr>
          <w:sz w:val="20"/>
          <w:szCs w:val="20"/>
        </w:rPr>
        <w:t>ist.“)</w:t>
      </w:r>
      <w:bookmarkStart w:id="148" w:name="_Hlk104306772"/>
    </w:p>
    <w:p w14:paraId="64372F6F" w14:textId="4FAB8C24" w:rsidR="00207E56" w:rsidRPr="00FB4EFA" w:rsidRDefault="00207E56" w:rsidP="00AF0CAD">
      <w:pPr>
        <w:spacing w:before="240"/>
      </w:pPr>
      <w:r w:rsidRPr="00FB4EFA">
        <w:t>Mit einem pressehistorischen Fokus böten die die feuilletonistischen Merkmale, wie erwähnt, indes gerade fruchtbare Ansatzpunkte</w:t>
      </w:r>
      <w:bookmarkEnd w:id="148"/>
      <w:r w:rsidRPr="00FB4EFA">
        <w:t>.</w:t>
      </w:r>
      <w:r w:rsidR="00BB37BC" w:rsidRPr="00FB4EFA">
        <w:t xml:space="preserve"> </w:t>
      </w:r>
      <w:r w:rsidRPr="00FB4EFA">
        <w:t>Konstituierendes Merkmal der einschlägigen Forschung bleibt, dass sich vor allem Forscher</w:t>
      </w:r>
      <w:r w:rsidRPr="00FB4EFA">
        <w:rPr>
          <w:i/>
          <w:iCs/>
        </w:rPr>
        <w:t>innen</w:t>
      </w:r>
      <w:r w:rsidRPr="00FB4EFA">
        <w:t xml:space="preserve"> mit Wägners Werk befasst haben. Momentan findet ein Generationswechsel statt, es ist wahrscheinlich, dass jüngere Forschende </w:t>
      </w:r>
      <w:r w:rsidRPr="00FB4EFA">
        <w:lastRenderedPageBreak/>
        <w:t xml:space="preserve">neue Kanonzuordnungen diskutieren werden. Knutson unterbreitet selbst einen Vorschlag, der sich an jüngere Lesende wendet: Sie bemüht sich um eine Re-Lektüre von </w:t>
      </w:r>
      <w:r w:rsidRPr="00FB4EFA">
        <w:rPr>
          <w:i/>
          <w:iCs/>
        </w:rPr>
        <w:t>Norrtullsligan</w:t>
      </w:r>
      <w:r w:rsidRPr="00FB4EFA">
        <w:t xml:space="preserve"> unter den Vorzeichen der Me</w:t>
      </w:r>
      <w:r w:rsidR="00AF3488" w:rsidRPr="00FB4EFA">
        <w:noBreakHyphen/>
      </w:r>
      <w:r w:rsidRPr="00FB4EFA">
        <w:t>too-Debatte und resümiert im Hinblick auf Pegg und den Chef: „Att avvisa förnedrande uppvaktning från den man älskar är inte lätt.“ (Respektlose Annäherungsversuche abzuwehren, wenn man sich selbst in den Interessenten verliebt hat, ist nicht einfach.) (Knutson 2020: 56).</w:t>
      </w:r>
    </w:p>
    <w:p w14:paraId="3423AE8F" w14:textId="764810AF" w:rsidR="00207E56" w:rsidRPr="00FB4EFA" w:rsidRDefault="00207E56" w:rsidP="00AF0CAD">
      <w:pPr>
        <w:ind w:firstLine="709"/>
        <w:rPr>
          <w:rFonts w:cstheme="minorHAnsi"/>
          <w:sz w:val="28"/>
          <w:szCs w:val="28"/>
        </w:rPr>
      </w:pPr>
      <w:r w:rsidRPr="00FB4EFA">
        <w:t xml:space="preserve">Die Rubrik der </w:t>
      </w:r>
      <w:r w:rsidR="006057AB" w:rsidRPr="00FB4EFA">
        <w:t>‘</w:t>
      </w:r>
      <w:r w:rsidRPr="00FB4EFA">
        <w:t>neuen Frau</w:t>
      </w:r>
      <w:r w:rsidR="0093480B" w:rsidRPr="00FB4EFA">
        <w:t>’</w:t>
      </w:r>
      <w:r w:rsidRPr="00FB4EFA">
        <w:t xml:space="preserve"> allerdings bleibt von der Dynamik der historischen und der gegenwärtigen Semantik geprägt. Die Wertschätzung der Modernität („fullt modern“, ebd.) wandert nämlich auf der vorgestellten Zeitskala der Forschenden immer mit – von der Jahrhundertwende 1900 über die bekanntesten Vertreterinnen der modernistischen Frauenliteratur und die postmodernistischen Problematisierungen, hin zur postfeministischen Ära und zu L</w:t>
      </w:r>
      <w:r w:rsidR="00BB37BC" w:rsidRPr="00FB4EFA">
        <w:t>G</w:t>
      </w:r>
      <w:r w:rsidRPr="00FB4EFA">
        <w:t xml:space="preserve">BTQ-Fragen, um plakativ einige Stationen zu nennen. Knutson regt an, den Roman mit </w:t>
      </w:r>
      <w:r w:rsidRPr="00FB4EFA">
        <w:rPr>
          <w:i/>
          <w:iCs/>
        </w:rPr>
        <w:t>Sex and the city</w:t>
      </w:r>
      <w:r w:rsidRPr="00FB4EFA">
        <w:t xml:space="preserve"> (199</w:t>
      </w:r>
      <w:r w:rsidR="00C65823" w:rsidRPr="00FB4EFA">
        <w:t>8–2</w:t>
      </w:r>
      <w:r w:rsidRPr="00FB4EFA">
        <w:t xml:space="preserve">004) oder der </w:t>
      </w:r>
      <w:r w:rsidRPr="00FB4EFA">
        <w:rPr>
          <w:lang w:val="en-GB"/>
        </w:rPr>
        <w:t xml:space="preserve">Filmkomödie </w:t>
      </w:r>
      <w:r w:rsidRPr="00FB4EFA">
        <w:rPr>
          <w:i/>
          <w:iCs/>
          <w:lang w:val="en-GB"/>
        </w:rPr>
        <w:t>Bridget Jones’s Diary</w:t>
      </w:r>
      <w:r w:rsidRPr="00FB4EFA">
        <w:t xml:space="preserve"> (Sharon Maguire, 2001) zu vergleichen (Knutson 2020: 56, siehe auch Kindbloms aktualisierender Vergleich des Films 2021). Doch jede wohlmeinende Aktualisierung dürfte sich, spätestens mit dem Wissen um die Genese der </w:t>
      </w:r>
      <w:r w:rsidR="006057AB" w:rsidRPr="00FB4EFA">
        <w:t>‘</w:t>
      </w:r>
      <w:r w:rsidRPr="00FB4EFA">
        <w:t>neuen Frau</w:t>
      </w:r>
      <w:r w:rsidR="0093480B" w:rsidRPr="00FB4EFA">
        <w:t>’</w:t>
      </w:r>
      <w:r w:rsidRPr="00FB4EFA">
        <w:t xml:space="preserve"> im Nachhinein, als Resultat der Anwendung eines latent ahistorischen und vor allem generationsspezifischen Blicks erweisen.</w:t>
      </w:r>
    </w:p>
    <w:p w14:paraId="07AAD839" w14:textId="77777777" w:rsidR="002A3BC9" w:rsidRPr="00FB4EFA" w:rsidRDefault="002A3BC9">
      <w:pPr>
        <w:spacing w:after="160" w:line="259" w:lineRule="auto"/>
        <w:jc w:val="left"/>
        <w:rPr>
          <w:rFonts w:ascii="Gill Sans MT" w:eastAsia="Gill Sans MT" w:hAnsi="Gill Sans MT" w:cs="Gill Sans MT"/>
          <w:sz w:val="28"/>
          <w:lang w:val="en-GB" w:eastAsia="en-GB"/>
        </w:rPr>
      </w:pPr>
      <w:r w:rsidRPr="00FB4EFA">
        <w:br w:type="page"/>
      </w:r>
    </w:p>
    <w:p w14:paraId="57EC79BE" w14:textId="2B877BF3" w:rsidR="00207E56" w:rsidRPr="00FB4EFA" w:rsidRDefault="00207E56" w:rsidP="00545033">
      <w:pPr>
        <w:pStyle w:val="Heading2"/>
        <w:suppressAutoHyphens/>
        <w:spacing w:line="259" w:lineRule="auto"/>
        <w:rPr>
          <w:color w:val="auto"/>
        </w:rPr>
      </w:pPr>
      <w:r w:rsidRPr="00FB4EFA">
        <w:rPr>
          <w:color w:val="auto"/>
        </w:rPr>
        <w:lastRenderedPageBreak/>
        <w:t>Literaturverzeichnis</w:t>
      </w:r>
    </w:p>
    <w:p w14:paraId="2607470A"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Ambjörnsson, Ronny. 2012. </w:t>
      </w:r>
      <w:r w:rsidRPr="00FB4EFA">
        <w:rPr>
          <w:rFonts w:cs="Charis SIL"/>
          <w:i/>
          <w:iCs/>
          <w:lang w:val="sv-SE"/>
        </w:rPr>
        <w:t>Ellen Key. En europeisk intellektuell</w:t>
      </w:r>
      <w:r w:rsidRPr="00FB4EFA">
        <w:rPr>
          <w:rFonts w:cs="Charis SIL"/>
          <w:lang w:val="sv-SE"/>
        </w:rPr>
        <w:t>. Stockholm: Bonniers.</w:t>
      </w:r>
    </w:p>
    <w:p w14:paraId="003D1C62" w14:textId="20946AFE" w:rsidR="00207E56" w:rsidRPr="00FB4EFA" w:rsidRDefault="00207E56" w:rsidP="005912DF">
      <w:pPr>
        <w:suppressAutoHyphens/>
        <w:spacing w:line="240" w:lineRule="auto"/>
        <w:ind w:left="426" w:hanging="426"/>
        <w:rPr>
          <w:rFonts w:cs="Charis SIL"/>
          <w:lang w:val="en-US"/>
        </w:rPr>
      </w:pPr>
      <w:r w:rsidRPr="00FB4EFA">
        <w:rPr>
          <w:rFonts w:cs="Charis SIL"/>
          <w:lang w:val="sv-SE"/>
        </w:rPr>
        <w:t>Bonnier, Tor (</w:t>
      </w:r>
      <w:r w:rsidR="001E6714" w:rsidRPr="00FB4EFA">
        <w:rPr>
          <w:rFonts w:cs="Charis SIL"/>
          <w:lang w:val="sv-SE"/>
        </w:rPr>
        <w:t>Hrsg</w:t>
      </w:r>
      <w:r w:rsidRPr="00FB4EFA">
        <w:rPr>
          <w:rFonts w:cs="Charis SIL"/>
          <w:lang w:val="sv-SE"/>
        </w:rPr>
        <w:t xml:space="preserve">.). 1962. </w:t>
      </w:r>
      <w:r w:rsidRPr="00FB4EFA">
        <w:rPr>
          <w:rFonts w:cs="Charis SIL"/>
          <w:i/>
          <w:lang w:val="sv-SE"/>
        </w:rPr>
        <w:t>Hjalmar Bergmans brevväxling med Albert Bonniers Förlag</w:t>
      </w:r>
      <w:r w:rsidRPr="00FB4EFA">
        <w:rPr>
          <w:rFonts w:cs="Charis SIL"/>
          <w:lang w:val="sv-SE"/>
        </w:rPr>
        <w:t xml:space="preserve">. </w:t>
      </w:r>
      <w:r w:rsidRPr="00FB4EFA">
        <w:rPr>
          <w:rFonts w:cs="Charis SIL"/>
          <w:lang w:val="en-US"/>
        </w:rPr>
        <w:t>Stockholm: Bonniers.</w:t>
      </w:r>
    </w:p>
    <w:p w14:paraId="43769599" w14:textId="0FD2EFC7" w:rsidR="00207E56" w:rsidRPr="00FB4EFA" w:rsidRDefault="00207E56" w:rsidP="005912DF">
      <w:pPr>
        <w:suppressAutoHyphens/>
        <w:spacing w:line="240" w:lineRule="auto"/>
        <w:ind w:left="426" w:hanging="426"/>
        <w:rPr>
          <w:rFonts w:cs="Charis SIL"/>
          <w:lang w:val="en-US"/>
        </w:rPr>
      </w:pPr>
      <w:r w:rsidRPr="00FB4EFA">
        <w:rPr>
          <w:rFonts w:cs="Charis SIL"/>
          <w:lang w:val="en-US"/>
        </w:rPr>
        <w:t xml:space="preserve">Brauerhoch, Annette. </w:t>
      </w:r>
      <w:r w:rsidR="006E06D0" w:rsidRPr="00FB4EFA">
        <w:rPr>
          <w:rFonts w:cs="Charis SIL"/>
          <w:lang w:val="en-US"/>
        </w:rPr>
        <w:t xml:space="preserve">2015. </w:t>
      </w:r>
      <w:r w:rsidRPr="00FB4EFA">
        <w:rPr>
          <w:rFonts w:cs="Charis SIL"/>
          <w:lang w:val="en-US"/>
        </w:rPr>
        <w:t xml:space="preserve">Intimacies: Spaces of work, life and sexuality in The Norrtull Gang. In </w:t>
      </w:r>
      <w:r w:rsidRPr="00FB4EFA">
        <w:rPr>
          <w:rFonts w:cs="Charis SIL"/>
          <w:i/>
          <w:iCs/>
          <w:lang w:val="en-US"/>
        </w:rPr>
        <w:t>Journal of Scandinavian Cinema</w:t>
      </w:r>
      <w:r w:rsidR="006E06D0" w:rsidRPr="00FB4EFA">
        <w:rPr>
          <w:rFonts w:cs="Charis SIL"/>
          <w:lang w:val="en-US"/>
        </w:rPr>
        <w:t xml:space="preserve"> </w:t>
      </w:r>
      <w:r w:rsidRPr="00FB4EFA">
        <w:rPr>
          <w:rFonts w:cs="Charis SIL"/>
          <w:lang w:val="en-US"/>
        </w:rPr>
        <w:t>5</w:t>
      </w:r>
      <w:r w:rsidR="006E06D0" w:rsidRPr="00FB4EFA">
        <w:rPr>
          <w:rFonts w:cs="Charis SIL"/>
          <w:lang w:val="en-US"/>
        </w:rPr>
        <w:t xml:space="preserve"> (</w:t>
      </w:r>
      <w:r w:rsidRPr="00FB4EFA">
        <w:rPr>
          <w:rFonts w:cs="Charis SIL"/>
          <w:lang w:val="en-US"/>
        </w:rPr>
        <w:t>2</w:t>
      </w:r>
      <w:r w:rsidR="006E06D0" w:rsidRPr="00FB4EFA">
        <w:rPr>
          <w:rFonts w:cs="Charis SIL"/>
          <w:lang w:val="en-US"/>
        </w:rPr>
        <w:t>).</w:t>
      </w:r>
      <w:r w:rsidRPr="00FB4EFA">
        <w:rPr>
          <w:rFonts w:cs="Charis SIL"/>
          <w:lang w:val="en-US"/>
        </w:rPr>
        <w:t xml:space="preserve"> 8</w:t>
      </w:r>
      <w:r w:rsidR="00C65823" w:rsidRPr="00FB4EFA">
        <w:rPr>
          <w:rFonts w:cs="Charis SIL"/>
          <w:lang w:val="en-US"/>
        </w:rPr>
        <w:t>1–8</w:t>
      </w:r>
      <w:r w:rsidRPr="00FB4EFA">
        <w:rPr>
          <w:rFonts w:cs="Charis SIL"/>
          <w:lang w:val="en-US"/>
        </w:rPr>
        <w:t>6.</w:t>
      </w:r>
    </w:p>
    <w:p w14:paraId="3755D8B0" w14:textId="77777777" w:rsidR="00207E56" w:rsidRPr="00FB4EFA" w:rsidRDefault="00207E56" w:rsidP="005912DF">
      <w:pPr>
        <w:suppressAutoHyphens/>
        <w:spacing w:line="240" w:lineRule="auto"/>
        <w:ind w:left="426" w:hanging="426"/>
        <w:rPr>
          <w:rFonts w:cs="Charis SIL"/>
          <w:lang w:val="en-US"/>
        </w:rPr>
      </w:pPr>
      <w:r w:rsidRPr="00FB4EFA">
        <w:rPr>
          <w:rFonts w:cs="Charis SIL"/>
          <w:lang w:val="en-US"/>
        </w:rPr>
        <w:t xml:space="preserve">Broomans, Petra &amp; Marta Ronne. 2010. </w:t>
      </w:r>
      <w:r w:rsidRPr="00FB4EFA">
        <w:rPr>
          <w:rFonts w:cs="Charis SIL"/>
          <w:i/>
          <w:iCs/>
          <w:lang w:val="en-US"/>
        </w:rPr>
        <w:t>In the vanguard of cultural transfer. Cultural transmitters and authors in peripheral literary fields</w:t>
      </w:r>
      <w:r w:rsidRPr="00FB4EFA">
        <w:rPr>
          <w:rFonts w:cs="Charis SIL"/>
          <w:lang w:val="en-US"/>
        </w:rPr>
        <w:t>. Groning: Barkhuis.</w:t>
      </w:r>
    </w:p>
    <w:p w14:paraId="7366B273" w14:textId="584E9768" w:rsidR="00207E56" w:rsidRPr="00FB4EFA" w:rsidRDefault="00207E56" w:rsidP="005912DF">
      <w:pPr>
        <w:suppressAutoHyphens/>
        <w:spacing w:line="240" w:lineRule="auto"/>
        <w:ind w:left="426" w:hanging="426"/>
        <w:rPr>
          <w:rFonts w:cs="Charis SIL"/>
          <w:lang w:val="en-US"/>
        </w:rPr>
      </w:pPr>
      <w:r w:rsidRPr="00FB4EFA">
        <w:rPr>
          <w:rFonts w:cs="Charis SIL"/>
          <w:lang w:val="en-US"/>
        </w:rPr>
        <w:t xml:space="preserve">Brunow, Dagmar. 2018. Elin Wägner och filmen (Serie </w:t>
      </w:r>
      <w:r w:rsidRPr="00FB4EFA">
        <w:rPr>
          <w:rFonts w:cs="Charis SIL"/>
          <w:i/>
          <w:iCs/>
          <w:lang w:val="en-US"/>
        </w:rPr>
        <w:t>Nordic Women in Film</w:t>
      </w:r>
      <w:r w:rsidRPr="00FB4EFA">
        <w:rPr>
          <w:rFonts w:cs="Charis SIL"/>
          <w:lang w:val="en-US"/>
        </w:rPr>
        <w:t>).</w:t>
      </w:r>
      <w:hyperlink r:id="rId512" w:history="1">
        <w:r w:rsidRPr="00FB4EFA">
          <w:rPr>
            <w:rFonts w:cs="Charis SIL"/>
            <w:u w:val="single"/>
            <w:lang w:val="en-US"/>
          </w:rPr>
          <w:t>www.nordicwomeninfilm.com/elin-wagner-och-filmen/</w:t>
        </w:r>
      </w:hyperlink>
      <w:r w:rsidR="00354CC6" w:rsidRPr="00FB4EFA">
        <w:rPr>
          <w:rFonts w:cs="Charis SIL"/>
          <w:lang w:val="en-US"/>
        </w:rPr>
        <w:t>.</w:t>
      </w:r>
    </w:p>
    <w:p w14:paraId="45D8CFCD" w14:textId="10E9FBEA"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Brunow, Dagmar. 2020. Filmen som inte blev av. In </w:t>
      </w:r>
      <w:r w:rsidRPr="00FB4EFA">
        <w:rPr>
          <w:rFonts w:cs="Charis SIL"/>
          <w:i/>
          <w:iCs/>
          <w:lang w:val="sv-SE"/>
        </w:rPr>
        <w:t>Bergsluft</w:t>
      </w:r>
      <w:r w:rsidRPr="00FB4EFA">
        <w:rPr>
          <w:rFonts w:cs="Charis SIL"/>
          <w:lang w:val="sv-SE"/>
        </w:rPr>
        <w:t>, Medlemsblad för Elin Wägner-Sällskapet, 92</w:t>
      </w:r>
      <w:r w:rsidR="00BC5B64" w:rsidRPr="00FB4EFA">
        <w:rPr>
          <w:rFonts w:cs="Charis SIL"/>
          <w:lang w:val="sv-SE"/>
        </w:rPr>
        <w:t>.</w:t>
      </w:r>
      <w:r w:rsidRPr="00FB4EFA">
        <w:rPr>
          <w:rFonts w:cs="Charis SIL"/>
          <w:lang w:val="sv-SE"/>
        </w:rPr>
        <w:t xml:space="preserve"> </w:t>
      </w:r>
      <w:r w:rsidR="00C65823" w:rsidRPr="00FB4EFA">
        <w:rPr>
          <w:rFonts w:cs="Charis SIL"/>
          <w:lang w:val="sv-SE"/>
        </w:rPr>
        <w:t>1–2</w:t>
      </w:r>
      <w:r w:rsidRPr="00FB4EFA">
        <w:rPr>
          <w:rFonts w:cs="Charis SIL"/>
          <w:lang w:val="sv-SE"/>
        </w:rPr>
        <w:t>.</w:t>
      </w:r>
    </w:p>
    <w:p w14:paraId="29A8C636"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Forsman, Johanna &amp; Kjell Sundstedt. 2021. </w:t>
      </w:r>
      <w:r w:rsidRPr="00FB4EFA">
        <w:rPr>
          <w:rFonts w:cs="Charis SIL"/>
          <w:i/>
          <w:iCs/>
          <w:lang w:val="sv-SE"/>
        </w:rPr>
        <w:t>Det svenska filmmanusets historia</w:t>
      </w:r>
      <w:r w:rsidRPr="00FB4EFA">
        <w:rPr>
          <w:rFonts w:cs="Charis SIL"/>
          <w:lang w:val="sv-SE"/>
        </w:rPr>
        <w:t>. Stockholm: Bonniers.</w:t>
      </w:r>
    </w:p>
    <w:p w14:paraId="4AC8DE2F" w14:textId="345B8251" w:rsidR="00207E56" w:rsidRPr="00FB4EFA" w:rsidRDefault="00207E56" w:rsidP="005912DF">
      <w:pPr>
        <w:keepLines/>
        <w:suppressAutoHyphens/>
        <w:spacing w:line="240" w:lineRule="auto"/>
        <w:ind w:left="425" w:hanging="425"/>
        <w:rPr>
          <w:rFonts w:cs="Charis SIL"/>
        </w:rPr>
      </w:pPr>
      <w:r w:rsidRPr="00FB4EFA">
        <w:rPr>
          <w:rFonts w:cs="Charis SIL"/>
          <w:lang w:val="sv-SE" w:eastAsia="de-DE"/>
        </w:rPr>
        <w:t xml:space="preserve">Forsås-Scott, Helena. 1996. Gasmaskmadonnan. Om Elin Wägner. In </w:t>
      </w:r>
      <w:r w:rsidRPr="00FB4EFA">
        <w:rPr>
          <w:rFonts w:cs="Charis SIL"/>
          <w:i/>
          <w:iCs/>
          <w:lang w:val="sv-SE" w:eastAsia="de-DE"/>
        </w:rPr>
        <w:t>Nordisk Kvinnolitteraturhistoria,</w:t>
      </w:r>
      <w:r w:rsidRPr="00FB4EFA">
        <w:rPr>
          <w:rFonts w:cs="Charis SIL"/>
          <w:lang w:val="sv-SE" w:eastAsia="de-DE"/>
        </w:rPr>
        <w:t xml:space="preserve"> Bd. 3 (190</w:t>
      </w:r>
      <w:r w:rsidR="00C65823" w:rsidRPr="00FB4EFA">
        <w:rPr>
          <w:rFonts w:cs="Charis SIL"/>
          <w:lang w:val="sv-SE" w:eastAsia="de-DE"/>
        </w:rPr>
        <w:t>0–1</w:t>
      </w:r>
      <w:r w:rsidRPr="00FB4EFA">
        <w:rPr>
          <w:rFonts w:cs="Charis SIL"/>
          <w:lang w:val="sv-SE" w:eastAsia="de-DE"/>
        </w:rPr>
        <w:t>960). ed. by Elisabeth Møller Jensen et al. Stockholm: Bra Böcker. 17</w:t>
      </w:r>
      <w:r w:rsidR="00C65823" w:rsidRPr="00FB4EFA">
        <w:rPr>
          <w:rFonts w:cs="Charis SIL"/>
          <w:lang w:val="sv-SE" w:eastAsia="de-DE"/>
        </w:rPr>
        <w:t>4–1</w:t>
      </w:r>
      <w:r w:rsidRPr="00FB4EFA">
        <w:rPr>
          <w:rFonts w:cs="Charis SIL"/>
          <w:lang w:val="sv-SE" w:eastAsia="de-DE"/>
        </w:rPr>
        <w:t xml:space="preserve">78. </w:t>
      </w:r>
      <w:hyperlink r:id="rId513" w:history="1">
        <w:r w:rsidRPr="00FB4EFA">
          <w:rPr>
            <w:rFonts w:cs="Charis SIL"/>
            <w:u w:val="single"/>
          </w:rPr>
          <w:t>litteraturbanken.se/f</w:t>
        </w:r>
        <w:r w:rsidR="00061255" w:rsidRPr="00FB4EFA">
          <w:rPr>
            <w:rFonts w:cs="Charis SIL"/>
            <w:u w:val="single"/>
          </w:rPr>
          <w:t>ö</w:t>
        </w:r>
        <w:r w:rsidRPr="00FB4EFA">
          <w:rPr>
            <w:rFonts w:cs="Charis SIL"/>
            <w:u w:val="single"/>
          </w:rPr>
          <w:t>rfattare/M</w:t>
        </w:r>
        <w:r w:rsidR="00061255" w:rsidRPr="00FB4EFA">
          <w:rPr>
            <w:rFonts w:cs="Charis SIL"/>
            <w:u w:val="single"/>
          </w:rPr>
          <w:t>ø</w:t>
        </w:r>
        <w:r w:rsidRPr="00FB4EFA">
          <w:rPr>
            <w:rFonts w:cs="Charis SIL"/>
            <w:u w:val="single"/>
          </w:rPr>
          <w:t>llerJensenE/titlar/</w:t>
        </w:r>
        <w:r w:rsidR="00061255" w:rsidRPr="00FB4EFA">
          <w:rPr>
            <w:rFonts w:cs="Charis SIL"/>
            <w:u w:val="single"/>
          </w:rPr>
          <w:br/>
        </w:r>
        <w:r w:rsidRPr="00FB4EFA">
          <w:rPr>
            <w:rFonts w:cs="Charis SIL"/>
            <w:u w:val="single"/>
          </w:rPr>
          <w:t>NordiskKvinnolitteraturhistoria3/sida/174/etext</w:t>
        </w:r>
      </w:hyperlink>
      <w:r w:rsidR="00614E7B" w:rsidRPr="00FB4EFA">
        <w:rPr>
          <w:rFonts w:cs="Charis SIL"/>
          <w:lang w:val="hu-HU"/>
        </w:rPr>
        <w:t>.</w:t>
      </w:r>
    </w:p>
    <w:p w14:paraId="17007F61" w14:textId="1244097B" w:rsidR="00207E56" w:rsidRPr="00FB4EFA" w:rsidRDefault="00207E56" w:rsidP="005912DF">
      <w:pPr>
        <w:suppressAutoHyphens/>
        <w:spacing w:line="240" w:lineRule="auto"/>
        <w:ind w:left="426" w:hanging="426"/>
        <w:rPr>
          <w:rFonts w:cs="Charis SIL"/>
          <w:lang w:val="en-US"/>
        </w:rPr>
      </w:pPr>
      <w:r w:rsidRPr="00FB4EFA">
        <w:rPr>
          <w:rFonts w:cs="Charis SIL"/>
        </w:rPr>
        <w:t>Forsås-Scott, Helena. 2004. Verbal Power, Visual Power, and the Construction of Feminine Subjectivity: Elin Wägner’s Norrtullsligan as Prose Fiction and Film. In Witt-Brattström, Ebba (</w:t>
      </w:r>
      <w:r w:rsidR="001E6714" w:rsidRPr="00FB4EFA">
        <w:rPr>
          <w:rFonts w:cs="Charis SIL"/>
          <w:lang w:val="sv-SE"/>
        </w:rPr>
        <w:t>Hrsg</w:t>
      </w:r>
      <w:r w:rsidRPr="00FB4EFA">
        <w:rPr>
          <w:rFonts w:cs="Charis SIL"/>
        </w:rPr>
        <w:t>.)</w:t>
      </w:r>
      <w:r w:rsidR="001306CD" w:rsidRPr="00FB4EFA">
        <w:rPr>
          <w:rFonts w:cs="Charis SIL"/>
        </w:rPr>
        <w:t>,</w:t>
      </w:r>
      <w:r w:rsidRPr="00FB4EFA">
        <w:rPr>
          <w:rFonts w:cs="Charis SIL"/>
        </w:rPr>
        <w:t xml:space="preserve"> </w:t>
      </w:r>
      <w:r w:rsidRPr="00FB4EFA">
        <w:rPr>
          <w:rFonts w:cs="Charis SIL"/>
          <w:i/>
        </w:rPr>
        <w:t>The New Woman and the Aesthetic Opening</w:t>
      </w:r>
      <w:r w:rsidR="001306CD" w:rsidRPr="00FB4EFA">
        <w:rPr>
          <w:rFonts w:cs="Charis SIL"/>
        </w:rPr>
        <w:t xml:space="preserve">, </w:t>
      </w:r>
      <w:r w:rsidR="001306CD" w:rsidRPr="00FB4EFA">
        <w:rPr>
          <w:rFonts w:cs="Charis SIL"/>
          <w:lang w:val="en-US"/>
        </w:rPr>
        <w:t>83–100.</w:t>
      </w:r>
      <w:r w:rsidRPr="00FB4EFA">
        <w:rPr>
          <w:rFonts w:cs="Charis SIL"/>
        </w:rPr>
        <w:t xml:space="preserve"> </w:t>
      </w:r>
      <w:r w:rsidRPr="00FB4EFA">
        <w:rPr>
          <w:rFonts w:cs="Charis SIL"/>
          <w:lang w:val="en-US"/>
        </w:rPr>
        <w:t>Stockholm: Södertörns högskola.</w:t>
      </w:r>
    </w:p>
    <w:p w14:paraId="09235899" w14:textId="34B3735D" w:rsidR="00207E56" w:rsidRPr="00FB4EFA" w:rsidRDefault="00207E56" w:rsidP="005912DF">
      <w:pPr>
        <w:suppressAutoHyphens/>
        <w:spacing w:line="240" w:lineRule="auto"/>
        <w:ind w:left="426" w:hanging="426"/>
        <w:rPr>
          <w:rFonts w:cs="Charis SIL"/>
          <w:lang w:val="en-US"/>
        </w:rPr>
      </w:pPr>
      <w:r w:rsidRPr="00FB4EFA">
        <w:rPr>
          <w:rFonts w:cs="Charis SIL"/>
          <w:lang w:val="en-US"/>
        </w:rPr>
        <w:t xml:space="preserve">Forsås-Scott, Helena. 2009. </w:t>
      </w:r>
      <w:r w:rsidRPr="00FB4EFA">
        <w:rPr>
          <w:rFonts w:cs="Charis SIL"/>
          <w:i/>
          <w:iCs/>
          <w:lang w:val="en-US"/>
        </w:rPr>
        <w:t>Re-Writing the Script: Gender and Community in Elin Wägner</w:t>
      </w:r>
      <w:r w:rsidR="00354CC6" w:rsidRPr="00FB4EFA">
        <w:rPr>
          <w:rFonts w:cs="Charis SIL"/>
          <w:lang w:val="en-US"/>
        </w:rPr>
        <w:t>.</w:t>
      </w:r>
      <w:r w:rsidRPr="00FB4EFA">
        <w:rPr>
          <w:rFonts w:cs="Charis SIL"/>
          <w:lang w:val="en-US"/>
        </w:rPr>
        <w:t xml:space="preserve"> London: Norvik Press.</w:t>
      </w:r>
    </w:p>
    <w:p w14:paraId="2C0AAD71" w14:textId="73F9BA0F"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Hedvall, Yngve. 1919. </w:t>
      </w:r>
      <w:r w:rsidRPr="00FB4EFA">
        <w:rPr>
          <w:rFonts w:cs="Charis SIL"/>
          <w:i/>
          <w:lang w:val="sv-SE"/>
        </w:rPr>
        <w:t>Tora Teje – en studie</w:t>
      </w:r>
      <w:r w:rsidR="00A75644" w:rsidRPr="00FB4EFA">
        <w:rPr>
          <w:rFonts w:cs="Charis SIL"/>
          <w:iCs/>
          <w:lang w:val="sv-SE"/>
        </w:rPr>
        <w:t>.</w:t>
      </w:r>
      <w:r w:rsidRPr="00FB4EFA">
        <w:rPr>
          <w:rFonts w:cs="Charis SIL"/>
          <w:lang w:val="sv-SE"/>
        </w:rPr>
        <w:t xml:space="preserve"> Serie Publikens gunstlinger 7. Stockholm. [ohne Verlagsangabe]</w:t>
      </w:r>
    </w:p>
    <w:p w14:paraId="30AC82F2" w14:textId="709A525D" w:rsidR="00207E56" w:rsidRPr="00FB4EFA" w:rsidRDefault="00207E56" w:rsidP="005912DF">
      <w:pPr>
        <w:suppressAutoHyphens/>
        <w:spacing w:line="240" w:lineRule="auto"/>
        <w:ind w:left="426" w:hanging="426"/>
        <w:rPr>
          <w:rFonts w:cs="Charis SIL"/>
          <w:lang w:val="sv-SE"/>
        </w:rPr>
      </w:pPr>
      <w:r w:rsidRPr="00FB4EFA">
        <w:rPr>
          <w:rFonts w:cs="Charis SIL"/>
        </w:rPr>
        <w:t xml:space="preserve">Hjorth, Daniel. 1969. Förord. </w:t>
      </w:r>
      <w:r w:rsidRPr="00FB4EFA">
        <w:rPr>
          <w:rFonts w:cs="Charis SIL"/>
          <w:lang w:val="sv-SE"/>
        </w:rPr>
        <w:t>In Elin Wägner</w:t>
      </w:r>
      <w:r w:rsidR="001306CD" w:rsidRPr="00FB4EFA">
        <w:rPr>
          <w:rFonts w:cs="Charis SIL"/>
          <w:lang w:val="sv-SE"/>
        </w:rPr>
        <w:t>,</w:t>
      </w:r>
      <w:r w:rsidRPr="00FB4EFA">
        <w:rPr>
          <w:rFonts w:cs="Charis SIL"/>
          <w:lang w:val="sv-SE"/>
        </w:rPr>
        <w:t xml:space="preserve"> </w:t>
      </w:r>
      <w:r w:rsidRPr="00FB4EFA">
        <w:rPr>
          <w:rFonts w:cs="Charis SIL"/>
          <w:i/>
          <w:iCs/>
          <w:lang w:val="sv-SE"/>
        </w:rPr>
        <w:t>Norrtullsligan</w:t>
      </w:r>
      <w:r w:rsidR="00BB37BC" w:rsidRPr="00FB4EFA">
        <w:rPr>
          <w:rFonts w:cs="Charis SIL"/>
          <w:i/>
          <w:iCs/>
          <w:lang w:val="sv-SE"/>
        </w:rPr>
        <w:t xml:space="preserve"> –</w:t>
      </w:r>
      <w:r w:rsidRPr="00FB4EFA">
        <w:rPr>
          <w:rFonts w:cs="Charis SIL"/>
          <w:i/>
          <w:iCs/>
          <w:lang w:val="sv-SE"/>
        </w:rPr>
        <w:t xml:space="preserve"> Svalorna flyga högt</w:t>
      </w:r>
      <w:r w:rsidR="00BB37BC" w:rsidRPr="00FB4EFA">
        <w:rPr>
          <w:rFonts w:cs="Charis SIL"/>
          <w:lang w:val="sv-SE"/>
        </w:rPr>
        <w:t xml:space="preserve"> –</w:t>
      </w:r>
      <w:r w:rsidRPr="00FB4EFA">
        <w:rPr>
          <w:rFonts w:cs="Charis SIL"/>
          <w:i/>
          <w:iCs/>
          <w:lang w:val="sv-SE"/>
        </w:rPr>
        <w:t xml:space="preserve"> </w:t>
      </w:r>
      <w:r w:rsidR="00D97EB3" w:rsidRPr="00FB4EFA">
        <w:rPr>
          <w:rFonts w:cs="Charis SIL"/>
          <w:i/>
          <w:iCs/>
          <w:lang w:val="sv-SE"/>
        </w:rPr>
        <w:t xml:space="preserve">Ur </w:t>
      </w:r>
      <w:r w:rsidRPr="00FB4EFA">
        <w:rPr>
          <w:rFonts w:cs="Charis SIL"/>
          <w:i/>
          <w:iCs/>
          <w:lang w:val="sv-SE"/>
        </w:rPr>
        <w:t>Väck</w:t>
      </w:r>
      <w:r w:rsidR="00BB37BC" w:rsidRPr="00FB4EFA">
        <w:rPr>
          <w:rFonts w:cs="Charis SIL"/>
          <w:i/>
          <w:iCs/>
          <w:lang w:val="sv-SE"/>
        </w:rPr>
        <w:t>a</w:t>
      </w:r>
      <w:r w:rsidRPr="00FB4EFA">
        <w:rPr>
          <w:rFonts w:cs="Charis SIL"/>
          <w:i/>
          <w:iCs/>
          <w:lang w:val="sv-SE"/>
        </w:rPr>
        <w:t>rklockan</w:t>
      </w:r>
      <w:r w:rsidR="001306CD" w:rsidRPr="00FB4EFA">
        <w:rPr>
          <w:rFonts w:cs="Charis SIL"/>
          <w:lang w:val="sv-SE"/>
        </w:rPr>
        <w:t>, 5–8</w:t>
      </w:r>
      <w:r w:rsidRPr="00FB4EFA">
        <w:rPr>
          <w:rFonts w:cs="Charis SIL"/>
          <w:lang w:val="sv-SE"/>
        </w:rPr>
        <w:t>. Stockholm: Bonniers.</w:t>
      </w:r>
    </w:p>
    <w:p w14:paraId="65284EE9"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Holm, Birgitta. 2012. Den största rörelse världen har sett. In </w:t>
      </w:r>
      <w:r w:rsidRPr="00FB4EFA">
        <w:rPr>
          <w:rFonts w:cs="Charis SIL"/>
          <w:i/>
          <w:iCs/>
          <w:lang w:val="sv-SE"/>
        </w:rPr>
        <w:t>History of Nordic Women’s Literature</w:t>
      </w:r>
      <w:r w:rsidRPr="00FB4EFA">
        <w:rPr>
          <w:rFonts w:cs="Charis SIL"/>
          <w:lang w:val="sv-SE"/>
        </w:rPr>
        <w:t>/ Kvindelitteraturhistorien på nettet. ed. by Kvinfo – København &amp; Kvinnsam – Göteborg.</w:t>
      </w:r>
    </w:p>
    <w:p w14:paraId="5668280B"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Hägg, Göran. 1996. </w:t>
      </w:r>
      <w:r w:rsidRPr="00FB4EFA">
        <w:rPr>
          <w:rFonts w:cs="Charis SIL"/>
          <w:i/>
          <w:iCs/>
          <w:lang w:val="sv-SE"/>
        </w:rPr>
        <w:t>Den svenska litteraturhistorien</w:t>
      </w:r>
      <w:r w:rsidRPr="00FB4EFA">
        <w:rPr>
          <w:rFonts w:cs="Charis SIL"/>
          <w:lang w:val="sv-SE"/>
        </w:rPr>
        <w:t>. Stockholm: Wahlström och Widstrand.</w:t>
      </w:r>
    </w:p>
    <w:p w14:paraId="74D5214F"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Isaksson, Ulla u. Erik Hjalmar Linder. 2003 [1977/1980]. </w:t>
      </w:r>
      <w:r w:rsidRPr="00FB4EFA">
        <w:rPr>
          <w:rFonts w:cs="Charis SIL"/>
          <w:i/>
          <w:lang w:val="sv-SE"/>
        </w:rPr>
        <w:t>Elin Wägner – en biografi</w:t>
      </w:r>
      <w:r w:rsidRPr="00FB4EFA">
        <w:rPr>
          <w:rFonts w:cs="Charis SIL"/>
          <w:lang w:val="sv-SE"/>
        </w:rPr>
        <w:t>. Stockholm: Bonniers.</w:t>
      </w:r>
    </w:p>
    <w:p w14:paraId="2F6BC272" w14:textId="5274D2E6" w:rsidR="00207E56" w:rsidRPr="00FB4EFA" w:rsidRDefault="00207E56" w:rsidP="005912DF">
      <w:pPr>
        <w:suppressAutoHyphens/>
        <w:spacing w:line="240" w:lineRule="auto"/>
        <w:ind w:left="426" w:hanging="426"/>
        <w:rPr>
          <w:rFonts w:cs="Charis SIL"/>
          <w:lang w:val="en-US"/>
        </w:rPr>
      </w:pPr>
      <w:r w:rsidRPr="00FB4EFA">
        <w:rPr>
          <w:rFonts w:cs="Charis SIL"/>
          <w:lang w:val="sv-SE"/>
        </w:rPr>
        <w:t xml:space="preserve">Jonsson, Bibi. 2018. Elin Mathilda Elisabeth Wägner. In </w:t>
      </w:r>
      <w:r w:rsidRPr="00FB4EFA">
        <w:rPr>
          <w:rFonts w:cs="Charis SIL"/>
          <w:i/>
          <w:iCs/>
          <w:lang w:val="sv-SE"/>
        </w:rPr>
        <w:t>Svensk kvinnobiografisk lexikon</w:t>
      </w:r>
      <w:r w:rsidRPr="00FB4EFA">
        <w:rPr>
          <w:rFonts w:cs="Charis SIL"/>
          <w:lang w:val="sv-SE"/>
        </w:rPr>
        <w:t xml:space="preserve">. </w:t>
      </w:r>
      <w:hyperlink r:id="rId514" w:history="1">
        <w:r w:rsidR="00354CC6" w:rsidRPr="00FB4EFA">
          <w:rPr>
            <w:rFonts w:cs="Charis SIL"/>
            <w:u w:val="single"/>
            <w:lang w:val="en-US"/>
          </w:rPr>
          <w:t>skbl.se/en/article/ElinWagner</w:t>
        </w:r>
      </w:hyperlink>
      <w:r w:rsidR="00354CC6" w:rsidRPr="00FB4EFA">
        <w:rPr>
          <w:rFonts w:cs="Charis SIL"/>
          <w:lang w:val="en-US"/>
        </w:rPr>
        <w:t>.</w:t>
      </w:r>
    </w:p>
    <w:p w14:paraId="540F54DF" w14:textId="0348E98D" w:rsidR="00207E56" w:rsidRPr="00FB4EFA" w:rsidRDefault="00207E56" w:rsidP="005912DF">
      <w:pPr>
        <w:keepLines/>
        <w:suppressAutoHyphens/>
        <w:spacing w:line="240" w:lineRule="auto"/>
        <w:ind w:left="425" w:hanging="425"/>
        <w:rPr>
          <w:rFonts w:cs="Charis SIL"/>
          <w:lang w:val="sv-SE"/>
        </w:rPr>
      </w:pPr>
      <w:r w:rsidRPr="00FB4EFA">
        <w:rPr>
          <w:rFonts w:cs="Charis SIL"/>
          <w:lang w:val="en-US"/>
        </w:rPr>
        <w:lastRenderedPageBreak/>
        <w:t xml:space="preserve">Kernmayer, Hildegard &amp; Simone Jung. 2017. Feuilleton. </w:t>
      </w:r>
      <w:r w:rsidRPr="00FB4EFA">
        <w:rPr>
          <w:rFonts w:cs="Charis SIL"/>
        </w:rPr>
        <w:t xml:space="preserve">Interdisziplinäre Annäherungen an ein journalistisch-literarisches Phänomen. In </w:t>
      </w:r>
      <w:r w:rsidR="00BC5B64" w:rsidRPr="00FB4EFA">
        <w:rPr>
          <w:rFonts w:cs="Charis SIL"/>
        </w:rPr>
        <w:t xml:space="preserve">Hildegard </w:t>
      </w:r>
      <w:r w:rsidRPr="00FB4EFA">
        <w:rPr>
          <w:rFonts w:cs="Charis SIL"/>
        </w:rPr>
        <w:t>Kernmayer &amp; Simone Jung (</w:t>
      </w:r>
      <w:r w:rsidR="001E6714" w:rsidRPr="00FB4EFA">
        <w:rPr>
          <w:rFonts w:cs="Charis SIL"/>
          <w:lang w:val="sv-SE"/>
        </w:rPr>
        <w:t>Hrsg</w:t>
      </w:r>
      <w:r w:rsidRPr="00FB4EFA">
        <w:rPr>
          <w:rFonts w:cs="Charis SIL"/>
        </w:rPr>
        <w:t>.)</w:t>
      </w:r>
      <w:r w:rsidR="001306CD" w:rsidRPr="00FB4EFA">
        <w:rPr>
          <w:rFonts w:cs="Charis SIL"/>
        </w:rPr>
        <w:t>,</w:t>
      </w:r>
      <w:r w:rsidRPr="00FB4EFA">
        <w:rPr>
          <w:rFonts w:cs="Charis SIL"/>
        </w:rPr>
        <w:t xml:space="preserve"> </w:t>
      </w:r>
      <w:r w:rsidRPr="00FB4EFA">
        <w:rPr>
          <w:rFonts w:cs="Charis SIL"/>
          <w:i/>
          <w:iCs/>
        </w:rPr>
        <w:t>Feuilleton. Schreiben an der Schnittstelle zwischen Journalismus und Literatur</w:t>
      </w:r>
      <w:r w:rsidR="001306CD" w:rsidRPr="00FB4EFA">
        <w:rPr>
          <w:rFonts w:cs="Charis SIL"/>
          <w:lang w:val="sv-SE"/>
        </w:rPr>
        <w:t>, 9–30</w:t>
      </w:r>
      <w:r w:rsidRPr="00FB4EFA">
        <w:rPr>
          <w:rFonts w:cs="Charis SIL"/>
        </w:rPr>
        <w:t xml:space="preserve">. </w:t>
      </w:r>
      <w:r w:rsidRPr="00FB4EFA">
        <w:rPr>
          <w:rFonts w:cs="Charis SIL"/>
          <w:lang w:val="sv-SE"/>
        </w:rPr>
        <w:t>Bielefeld: transcript</w:t>
      </w:r>
      <w:r w:rsidR="001306CD" w:rsidRPr="00FB4EFA">
        <w:rPr>
          <w:rFonts w:cs="Charis SIL"/>
          <w:lang w:val="sv-SE"/>
        </w:rPr>
        <w:t>.</w:t>
      </w:r>
    </w:p>
    <w:p w14:paraId="6B37D776" w14:textId="2DBBD05B" w:rsidR="00207E56" w:rsidRPr="00FB4EFA" w:rsidRDefault="00207E56" w:rsidP="005912DF">
      <w:pPr>
        <w:suppressAutoHyphens/>
        <w:spacing w:line="240" w:lineRule="auto"/>
        <w:ind w:left="426" w:hanging="426"/>
        <w:rPr>
          <w:rFonts w:cs="Charis SIL"/>
          <w:lang w:val="en-US"/>
        </w:rPr>
      </w:pPr>
      <w:r w:rsidRPr="00FB4EFA">
        <w:rPr>
          <w:rFonts w:cs="Charis SIL"/>
          <w:lang w:val="sv-SE"/>
        </w:rPr>
        <w:t xml:space="preserve">Kindblom, Mikaela. 2021. Om en roman och en film och tiden som går. </w:t>
      </w:r>
      <w:hyperlink r:id="rId515" w:history="1">
        <w:r w:rsidRPr="00FB4EFA">
          <w:rPr>
            <w:rFonts w:cs="Charis SIL"/>
            <w:u w:val="single"/>
            <w:lang w:val="en-US"/>
          </w:rPr>
          <w:t>www.nordicwomeninfilm.com/norrtullsligan-om-en-roman-och-en-film-och-tiden-som-gar/</w:t>
        </w:r>
      </w:hyperlink>
      <w:r w:rsidR="00354CC6" w:rsidRPr="00FB4EFA">
        <w:rPr>
          <w:rFonts w:cs="Charis SIL"/>
          <w:lang w:val="en-US"/>
        </w:rPr>
        <w:t>.</w:t>
      </w:r>
    </w:p>
    <w:p w14:paraId="5851ABA6" w14:textId="1E1D41BE"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Knutson, Ulrika. 2004. </w:t>
      </w:r>
      <w:r w:rsidRPr="00FB4EFA">
        <w:rPr>
          <w:rFonts w:cs="Charis SIL"/>
          <w:i/>
          <w:iCs/>
          <w:lang w:val="sv-SE"/>
        </w:rPr>
        <w:t>Kvinnor på gränsen till genombrott. Grupporträtt av Tidevarvets kvinnor</w:t>
      </w:r>
      <w:r w:rsidRPr="00FB4EFA">
        <w:rPr>
          <w:rFonts w:cs="Charis SIL"/>
          <w:lang w:val="sv-SE"/>
        </w:rPr>
        <w:t>, Stockholm: Bonniers</w:t>
      </w:r>
      <w:r w:rsidR="006E06D0" w:rsidRPr="00FB4EFA">
        <w:rPr>
          <w:rFonts w:cs="Charis SIL"/>
          <w:lang w:val="sv-SE"/>
        </w:rPr>
        <w:t>.</w:t>
      </w:r>
    </w:p>
    <w:p w14:paraId="5032DACB"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Knutson, Ulrika. 2020. </w:t>
      </w:r>
      <w:r w:rsidRPr="00FB4EFA">
        <w:rPr>
          <w:rFonts w:cs="Charis SIL"/>
          <w:i/>
          <w:iCs/>
          <w:lang w:val="sv-SE"/>
        </w:rPr>
        <w:t>Den besvärliga Elin Wägner</w:t>
      </w:r>
      <w:r w:rsidRPr="00FB4EFA">
        <w:rPr>
          <w:rFonts w:cs="Charis SIL"/>
          <w:lang w:val="sv-SE"/>
        </w:rPr>
        <w:t>. Lund: Historiska Media.</w:t>
      </w:r>
    </w:p>
    <w:p w14:paraId="4A006F45"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Lindén, Claudia. 2002. </w:t>
      </w:r>
      <w:r w:rsidRPr="00FB4EFA">
        <w:rPr>
          <w:rFonts w:cs="Charis SIL"/>
          <w:i/>
          <w:iCs/>
          <w:lang w:val="sv-SE"/>
        </w:rPr>
        <w:t>Om kärlek: litteratur, sexualitet och politik hos Ellen Key</w:t>
      </w:r>
      <w:r w:rsidRPr="00FB4EFA">
        <w:rPr>
          <w:rFonts w:cs="Charis SIL"/>
          <w:lang w:val="sv-SE"/>
        </w:rPr>
        <w:t>, Stockholm: Symposion.</w:t>
      </w:r>
    </w:p>
    <w:p w14:paraId="0DB97586" w14:textId="2348C00B"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Lindén, Claudia. 2012. Ellen Key är både ökänd och okänd [Rezension zu R. Ambjörnssons Key-Monographie]. </w:t>
      </w:r>
      <w:r w:rsidRPr="00FB4EFA">
        <w:rPr>
          <w:rFonts w:cs="Charis SIL"/>
          <w:i/>
          <w:iCs/>
          <w:lang w:val="sv-SE"/>
        </w:rPr>
        <w:t>Response</w:t>
      </w:r>
      <w:r w:rsidRPr="00FB4EFA">
        <w:rPr>
          <w:rFonts w:cs="Charis SIL"/>
          <w:lang w:val="sv-SE"/>
        </w:rPr>
        <w:t xml:space="preserve"> 4</w:t>
      </w:r>
      <w:r w:rsidR="001E6714" w:rsidRPr="00FB4EFA">
        <w:rPr>
          <w:rFonts w:cs="Charis SIL"/>
          <w:lang w:val="sv-SE"/>
        </w:rPr>
        <w:t>.</w:t>
      </w:r>
      <w:r w:rsidRPr="00FB4EFA">
        <w:rPr>
          <w:rFonts w:cs="Charis SIL"/>
          <w:lang w:val="sv-SE"/>
        </w:rPr>
        <w:t xml:space="preserve"> 6</w:t>
      </w:r>
      <w:r w:rsidR="00C65823" w:rsidRPr="00FB4EFA">
        <w:rPr>
          <w:rFonts w:cs="Charis SIL"/>
          <w:lang w:val="sv-SE"/>
        </w:rPr>
        <w:t>6–6</w:t>
      </w:r>
      <w:r w:rsidRPr="00FB4EFA">
        <w:rPr>
          <w:rFonts w:cs="Charis SIL"/>
          <w:lang w:val="sv-SE"/>
        </w:rPr>
        <w:t>8.</w:t>
      </w:r>
    </w:p>
    <w:p w14:paraId="1EDE45C9"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Linder, Erik Hjalmar. 1983. </w:t>
      </w:r>
      <w:r w:rsidRPr="00FB4EFA">
        <w:rPr>
          <w:rFonts w:cs="Charis SIL"/>
          <w:i/>
          <w:lang w:val="sv-SE"/>
        </w:rPr>
        <w:t>Se fantasten. Hjalmar Bergmans liv och diktning från Eros’ begravning till Clownen Jac</w:t>
      </w:r>
      <w:r w:rsidRPr="00FB4EFA">
        <w:rPr>
          <w:rFonts w:cs="Charis SIL"/>
          <w:lang w:val="sv-SE"/>
        </w:rPr>
        <w:t>, Stockholm: Bonniers.</w:t>
      </w:r>
    </w:p>
    <w:p w14:paraId="5027FB06" w14:textId="1E9F3A62" w:rsidR="00207E56" w:rsidRPr="00FB4EFA" w:rsidRDefault="00207E56" w:rsidP="005912DF">
      <w:pPr>
        <w:suppressAutoHyphens/>
        <w:spacing w:line="240" w:lineRule="auto"/>
        <w:ind w:left="426" w:hanging="426"/>
        <w:rPr>
          <w:rFonts w:cs="Charis SIL"/>
          <w:lang w:val="en-US"/>
        </w:rPr>
      </w:pPr>
      <w:r w:rsidRPr="00FB4EFA">
        <w:rPr>
          <w:rFonts w:cs="Charis SIL"/>
          <w:lang w:val="sv-SE"/>
        </w:rPr>
        <w:t>Lundgren, Kristina &amp; Birgitta Ney (</w:t>
      </w:r>
      <w:r w:rsidR="001E6714" w:rsidRPr="00FB4EFA">
        <w:rPr>
          <w:rFonts w:cs="Charis SIL"/>
          <w:lang w:val="sv-SE"/>
        </w:rPr>
        <w:t>Hrsg</w:t>
      </w:r>
      <w:r w:rsidRPr="00FB4EFA">
        <w:rPr>
          <w:rFonts w:cs="Charis SIL"/>
          <w:lang w:val="sv-SE"/>
        </w:rPr>
        <w:t xml:space="preserve">.). 2011. </w:t>
      </w:r>
      <w:r w:rsidRPr="00FB4EFA">
        <w:rPr>
          <w:rFonts w:cs="Charis SIL"/>
          <w:i/>
          <w:iCs/>
          <w:lang w:val="sv-SE"/>
        </w:rPr>
        <w:t>Pennskaft, reportrar, tidningskvinnor</w:t>
      </w:r>
      <w:r w:rsidRPr="00FB4EFA">
        <w:rPr>
          <w:rFonts w:cs="Charis SIL"/>
          <w:lang w:val="sv-SE"/>
        </w:rPr>
        <w:t xml:space="preserve">. Huddinge/Stockholm: Journalistik, institutionen för kommunikation, medier och IT. </w:t>
      </w:r>
      <w:hyperlink r:id="rId516" w:history="1">
        <w:r w:rsidRPr="00FB4EFA">
          <w:rPr>
            <w:rFonts w:cs="Charis SIL"/>
            <w:u w:val="single"/>
            <w:lang w:val="en-US"/>
          </w:rPr>
          <w:t>sh.diva-portal.org/</w:t>
        </w:r>
        <w:r w:rsidR="00354CC6" w:rsidRPr="00FB4EFA">
          <w:rPr>
            <w:rFonts w:cs="Charis SIL"/>
            <w:u w:val="single"/>
            <w:lang w:val="en-US"/>
          </w:rPr>
          <w:br/>
        </w:r>
        <w:r w:rsidRPr="00FB4EFA">
          <w:rPr>
            <w:rFonts w:cs="Charis SIL"/>
            <w:u w:val="single"/>
            <w:lang w:val="en-US"/>
          </w:rPr>
          <w:t>smash/get/diva2:462435/FULLTEXT01.pdf</w:t>
        </w:r>
      </w:hyperlink>
      <w:r w:rsidR="00354CC6" w:rsidRPr="00FB4EFA">
        <w:rPr>
          <w:rFonts w:cs="Charis SIL"/>
          <w:lang w:val="en-US"/>
        </w:rPr>
        <w:t>.</w:t>
      </w:r>
    </w:p>
    <w:p w14:paraId="28D5E834" w14:textId="4A94238E" w:rsidR="00207E56" w:rsidRPr="00FB4EFA" w:rsidRDefault="00207E56" w:rsidP="005912DF">
      <w:pPr>
        <w:suppressAutoHyphens/>
        <w:spacing w:line="240" w:lineRule="auto"/>
        <w:ind w:left="426" w:hanging="426"/>
        <w:rPr>
          <w:rFonts w:cs="Charis SIL"/>
        </w:rPr>
      </w:pPr>
      <w:r w:rsidRPr="00FB4EFA">
        <w:rPr>
          <w:rFonts w:cs="Charis SIL"/>
        </w:rPr>
        <w:t xml:space="preserve">Margueritte, Victor. 1993 [1922]. </w:t>
      </w:r>
      <w:r w:rsidRPr="00FB4EFA">
        <w:rPr>
          <w:rFonts w:cs="Charis SIL"/>
          <w:i/>
        </w:rPr>
        <w:t>Die Aussteigerin</w:t>
      </w:r>
      <w:r w:rsidRPr="00FB4EFA">
        <w:rPr>
          <w:rFonts w:cs="Charis SIL"/>
        </w:rPr>
        <w:t>. Übs. v. Joseph Chapiro. Frankfurt a</w:t>
      </w:r>
      <w:r w:rsidR="001E6714" w:rsidRPr="00FB4EFA">
        <w:rPr>
          <w:rFonts w:cs="Charis SIL"/>
        </w:rPr>
        <w:t xml:space="preserve">m </w:t>
      </w:r>
      <w:r w:rsidRPr="00FB4EFA">
        <w:rPr>
          <w:rFonts w:cs="Charis SIL"/>
        </w:rPr>
        <w:t>M</w:t>
      </w:r>
      <w:r w:rsidR="001E6714" w:rsidRPr="00FB4EFA">
        <w:rPr>
          <w:rFonts w:cs="Charis SIL"/>
        </w:rPr>
        <w:t>ain</w:t>
      </w:r>
      <w:r w:rsidRPr="00FB4EFA">
        <w:rPr>
          <w:rFonts w:cs="Charis SIL"/>
        </w:rPr>
        <w:t>: Suhrkamp.</w:t>
      </w:r>
    </w:p>
    <w:p w14:paraId="3139D042" w14:textId="6150B372" w:rsidR="00207E56" w:rsidRPr="00FB4EFA" w:rsidRDefault="00207E56" w:rsidP="005912DF">
      <w:pPr>
        <w:suppressAutoHyphens/>
        <w:spacing w:line="240" w:lineRule="auto"/>
        <w:ind w:left="426" w:hanging="426"/>
        <w:rPr>
          <w:rFonts w:cs="Charis SIL"/>
        </w:rPr>
      </w:pPr>
      <w:r w:rsidRPr="00FB4EFA">
        <w:rPr>
          <w:rFonts w:cs="Charis SIL"/>
        </w:rPr>
        <w:t>Rippl, Gabriele &amp; Simone Winko (</w:t>
      </w:r>
      <w:r w:rsidR="001E6714" w:rsidRPr="00FB4EFA">
        <w:rPr>
          <w:rFonts w:cs="Charis SIL"/>
          <w:lang w:val="sv-SE"/>
        </w:rPr>
        <w:t>Hrsg</w:t>
      </w:r>
      <w:r w:rsidRPr="00FB4EFA">
        <w:rPr>
          <w:rFonts w:cs="Charis SIL"/>
        </w:rPr>
        <w:t xml:space="preserve">.). 2013. </w:t>
      </w:r>
      <w:r w:rsidRPr="00FB4EFA">
        <w:rPr>
          <w:rFonts w:cs="Charis SIL"/>
          <w:i/>
          <w:iCs/>
        </w:rPr>
        <w:t>Handbuch Kanon und Wertung. Theorien, Instanzen, Geschichten</w:t>
      </w:r>
      <w:r w:rsidRPr="00FB4EFA">
        <w:rPr>
          <w:rFonts w:cs="Charis SIL"/>
        </w:rPr>
        <w:t>, Stuttgart: Metzler.</w:t>
      </w:r>
    </w:p>
    <w:p w14:paraId="11F744C1" w14:textId="77777777" w:rsidR="00207E56" w:rsidRPr="00FB4EFA" w:rsidRDefault="00207E56" w:rsidP="005912DF">
      <w:pPr>
        <w:suppressAutoHyphens/>
        <w:spacing w:line="240" w:lineRule="auto"/>
        <w:ind w:left="426" w:hanging="426"/>
        <w:rPr>
          <w:rFonts w:cs="Charis SIL"/>
          <w:lang w:val="sv-SE"/>
        </w:rPr>
      </w:pPr>
      <w:r w:rsidRPr="00FB4EFA">
        <w:rPr>
          <w:rFonts w:cs="Charis SIL"/>
        </w:rPr>
        <w:t xml:space="preserve">Svedjedal, Johan. 2003. Pennskaftet håller stilen. </w:t>
      </w:r>
      <w:r w:rsidRPr="00FB4EFA">
        <w:rPr>
          <w:rFonts w:cs="Charis SIL"/>
          <w:lang w:val="sv-SE"/>
        </w:rPr>
        <w:t xml:space="preserve">In </w:t>
      </w:r>
      <w:r w:rsidRPr="00FB4EFA">
        <w:rPr>
          <w:rFonts w:cs="Charis SIL"/>
          <w:i/>
          <w:lang w:val="sv-SE"/>
        </w:rPr>
        <w:t>Dagens Nyheter,</w:t>
      </w:r>
      <w:r w:rsidRPr="00FB4EFA">
        <w:rPr>
          <w:rFonts w:cs="Charis SIL"/>
          <w:lang w:val="sv-SE"/>
        </w:rPr>
        <w:t xml:space="preserve"> 23.10.2003.</w:t>
      </w:r>
    </w:p>
    <w:p w14:paraId="56154C3F"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Svedjedal, Johan. 2016. </w:t>
      </w:r>
      <w:r w:rsidRPr="00FB4EFA">
        <w:rPr>
          <w:rFonts w:cs="Charis SIL"/>
          <w:i/>
          <w:iCs/>
          <w:lang w:val="sv-SE"/>
        </w:rPr>
        <w:t>Den nya dagen gryr. Karin Boyes författarliv</w:t>
      </w:r>
      <w:r w:rsidRPr="00FB4EFA">
        <w:rPr>
          <w:rFonts w:cs="Charis SIL"/>
          <w:lang w:val="sv-SE"/>
        </w:rPr>
        <w:t>. Stockholm: Wahlström &amp; Widstrand.</w:t>
      </w:r>
    </w:p>
    <w:p w14:paraId="0A1AE634" w14:textId="645768C1"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Vikström, Emma. 2021. </w:t>
      </w:r>
      <w:r w:rsidRPr="00FB4EFA">
        <w:rPr>
          <w:rFonts w:cs="Charis SIL"/>
          <w:i/>
          <w:iCs/>
          <w:lang w:val="sv-SE"/>
        </w:rPr>
        <w:t>Skapandet av den nya människan. Eugenik och pedagogik i Ellen Keys författarskap</w:t>
      </w:r>
      <w:r w:rsidRPr="00FB4EFA">
        <w:rPr>
          <w:rFonts w:cs="Charis SIL"/>
          <w:lang w:val="sv-SE"/>
        </w:rPr>
        <w:t xml:space="preserve">. Örebro: Institutionen för humaniora, utbildnings- och samhällsvetenskap. </w:t>
      </w:r>
      <w:r w:rsidR="00061255" w:rsidRPr="00FB4EFA">
        <w:rPr>
          <w:rFonts w:cs="Charis SIL"/>
          <w:lang w:val="sv-SE"/>
        </w:rPr>
        <w:br/>
      </w:r>
      <w:hyperlink r:id="rId517" w:history="1">
        <w:r w:rsidRPr="00FB4EFA">
          <w:rPr>
            <w:rFonts w:cs="Charis SIL"/>
            <w:u w:val="single"/>
            <w:lang w:val="sv-SE"/>
          </w:rPr>
          <w:t>oru.diva-portal.org/smash/get/diva2:1546478/FULLTEXT01.pdf</w:t>
        </w:r>
      </w:hyperlink>
      <w:r w:rsidR="00061255" w:rsidRPr="00FB4EFA">
        <w:rPr>
          <w:rFonts w:cs="Charis SIL"/>
          <w:lang w:val="sv-SE"/>
        </w:rPr>
        <w:t>.</w:t>
      </w:r>
    </w:p>
    <w:p w14:paraId="44FE2026"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Werner, Gösta. 1987. </w:t>
      </w:r>
      <w:r w:rsidRPr="00FB4EFA">
        <w:rPr>
          <w:rFonts w:cs="Charis SIL"/>
          <w:i/>
          <w:iCs/>
          <w:lang w:val="sv-SE"/>
        </w:rPr>
        <w:t>Hjalmar Bergman som filmförfattare</w:t>
      </w:r>
      <w:r w:rsidRPr="00FB4EFA">
        <w:rPr>
          <w:rFonts w:cs="Charis SIL"/>
          <w:lang w:val="sv-SE"/>
        </w:rPr>
        <w:t>. Stockholm: Bonniers &amp; Hjalmar Bergmans Samfundet.</w:t>
      </w:r>
    </w:p>
    <w:p w14:paraId="642421AD"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Wägner, Elin. 1923. Norrtullsligan’s filmpremiär i går. Bokens författarinna – Elin Wägner – om verkets filmupplaga. In </w:t>
      </w:r>
      <w:r w:rsidRPr="00FB4EFA">
        <w:rPr>
          <w:rFonts w:cs="Charis SIL"/>
          <w:i/>
          <w:lang w:val="sv-SE"/>
        </w:rPr>
        <w:t>Sydsvenska Dagbladet, Snällposten</w:t>
      </w:r>
      <w:r w:rsidRPr="00FB4EFA">
        <w:rPr>
          <w:rFonts w:cs="Charis SIL"/>
          <w:lang w:val="sv-SE"/>
        </w:rPr>
        <w:t>, 27.12.1923.</w:t>
      </w:r>
    </w:p>
    <w:p w14:paraId="592CDBD0"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Wägner, Elin. 1919 [1908]: </w:t>
      </w:r>
      <w:r w:rsidRPr="00FB4EFA">
        <w:rPr>
          <w:rFonts w:cs="Charis SIL"/>
          <w:i/>
          <w:lang w:val="sv-SE"/>
        </w:rPr>
        <w:t>Norrtullsligan. Elisabeths Krönika</w:t>
      </w:r>
      <w:r w:rsidRPr="00FB4EFA">
        <w:rPr>
          <w:rFonts w:cs="Charis SIL"/>
          <w:lang w:val="sv-SE"/>
        </w:rPr>
        <w:t>, Stockholm: Bonniers.</w:t>
      </w:r>
    </w:p>
    <w:p w14:paraId="28F99EF8" w14:textId="17186364" w:rsidR="00207E56" w:rsidRPr="00FB4EFA" w:rsidRDefault="00207E56" w:rsidP="005912DF">
      <w:pPr>
        <w:suppressAutoHyphens/>
        <w:spacing w:line="240" w:lineRule="auto"/>
        <w:ind w:left="426" w:hanging="426"/>
        <w:rPr>
          <w:rFonts w:cs="Charis SIL"/>
          <w:lang w:val="en-US"/>
        </w:rPr>
      </w:pPr>
      <w:r w:rsidRPr="00FB4EFA">
        <w:rPr>
          <w:rFonts w:cs="Charis SIL"/>
          <w:lang w:val="sv-SE"/>
        </w:rPr>
        <w:lastRenderedPageBreak/>
        <w:t xml:space="preserve">Wägner, Elin. 1908. </w:t>
      </w:r>
      <w:r w:rsidRPr="00FB4EFA">
        <w:rPr>
          <w:rFonts w:cs="Charis SIL"/>
          <w:i/>
          <w:lang w:val="sv-SE"/>
        </w:rPr>
        <w:t>Norrtullsligan. Elisabeths Krönika</w:t>
      </w:r>
      <w:r w:rsidRPr="00FB4EFA">
        <w:rPr>
          <w:rFonts w:cs="Charis SIL"/>
          <w:lang w:val="sv-SE"/>
        </w:rPr>
        <w:t xml:space="preserve">, Stockholm: Aktiebolaget Ljus. </w:t>
      </w:r>
      <w:hyperlink r:id="rId518" w:history="1">
        <w:r w:rsidRPr="00FB4EFA">
          <w:rPr>
            <w:rFonts w:cs="Charis SIL"/>
            <w:u w:val="single"/>
            <w:lang w:val="en-US"/>
          </w:rPr>
          <w:t>litteraturbanken.se/f</w:t>
        </w:r>
        <w:r w:rsidR="00061255" w:rsidRPr="00FB4EFA">
          <w:rPr>
            <w:rFonts w:cs="Charis SIL"/>
            <w:u w:val="single"/>
            <w:lang w:val="en-US"/>
          </w:rPr>
          <w:t>ö</w:t>
        </w:r>
        <w:r w:rsidRPr="00FB4EFA">
          <w:rPr>
            <w:rFonts w:cs="Charis SIL"/>
            <w:u w:val="single"/>
            <w:lang w:val="en-US"/>
          </w:rPr>
          <w:t>rfattare/W</w:t>
        </w:r>
        <w:r w:rsidR="00061255" w:rsidRPr="00FB4EFA">
          <w:rPr>
            <w:rFonts w:cs="Charis SIL"/>
            <w:u w:val="single"/>
            <w:lang w:val="en-US"/>
          </w:rPr>
          <w:t>ä</w:t>
        </w:r>
        <w:r w:rsidRPr="00FB4EFA">
          <w:rPr>
            <w:rFonts w:cs="Charis SIL"/>
            <w:u w:val="single"/>
            <w:lang w:val="en-US"/>
          </w:rPr>
          <w:t>gnerE/</w:t>
        </w:r>
        <w:r w:rsidR="00061255" w:rsidRPr="00FB4EFA">
          <w:rPr>
            <w:rFonts w:cs="Charis SIL"/>
            <w:u w:val="single"/>
            <w:lang w:val="en-US"/>
          </w:rPr>
          <w:br/>
        </w:r>
        <w:r w:rsidRPr="00FB4EFA">
          <w:rPr>
            <w:rFonts w:cs="Charis SIL"/>
            <w:u w:val="single"/>
            <w:lang w:val="en-US"/>
          </w:rPr>
          <w:t>titlar/Norrtullsligan/sida/III/etext</w:t>
        </w:r>
      </w:hyperlink>
      <w:r w:rsidR="00061255" w:rsidRPr="00FB4EFA">
        <w:rPr>
          <w:rFonts w:cs="Charis SIL"/>
          <w:lang w:val="en-US"/>
        </w:rPr>
        <w:t>.</w:t>
      </w:r>
    </w:p>
    <w:p w14:paraId="0B5452DC" w14:textId="3871840E" w:rsidR="00207E56" w:rsidRPr="00FB4EFA" w:rsidRDefault="00207E56" w:rsidP="005912DF">
      <w:pPr>
        <w:suppressAutoHyphens/>
        <w:spacing w:line="240" w:lineRule="auto"/>
        <w:ind w:left="426" w:hanging="426"/>
        <w:rPr>
          <w:rFonts w:cs="Charis SIL"/>
          <w:lang w:val="sv-SE"/>
        </w:rPr>
      </w:pPr>
      <w:r w:rsidRPr="00FB4EFA">
        <w:rPr>
          <w:rFonts w:cs="Charis SIL"/>
        </w:rPr>
        <w:t xml:space="preserve">Wägner, Elin. 2011/2012. </w:t>
      </w:r>
      <w:r w:rsidRPr="00FB4EFA">
        <w:rPr>
          <w:rFonts w:cs="Charis SIL"/>
          <w:i/>
          <w:iCs/>
        </w:rPr>
        <w:t>Norrtullsligan</w:t>
      </w:r>
      <w:r w:rsidRPr="00FB4EFA">
        <w:rPr>
          <w:rFonts w:cs="Charis SIL"/>
        </w:rPr>
        <w:t xml:space="preserve"> [nach Bonniers’ Ausgabe von 1969; mit einem Vorwort von Annika Lantz, 1</w:t>
      </w:r>
      <w:r w:rsidR="00C65823" w:rsidRPr="00FB4EFA">
        <w:rPr>
          <w:rFonts w:cs="Charis SIL"/>
        </w:rPr>
        <w:t>1–1</w:t>
      </w:r>
      <w:r w:rsidRPr="00FB4EFA">
        <w:rPr>
          <w:rFonts w:cs="Charis SIL"/>
        </w:rPr>
        <w:t>6 u. einem Nachwort von Boel Hackman, 13</w:t>
      </w:r>
      <w:r w:rsidR="00C65823" w:rsidRPr="00FB4EFA">
        <w:rPr>
          <w:rFonts w:cs="Charis SIL"/>
        </w:rPr>
        <w:t>3–1</w:t>
      </w:r>
      <w:r w:rsidRPr="00FB4EFA">
        <w:rPr>
          <w:rFonts w:cs="Charis SIL"/>
        </w:rPr>
        <w:t xml:space="preserve">34]. </w:t>
      </w:r>
      <w:r w:rsidRPr="00FB4EFA">
        <w:rPr>
          <w:rFonts w:cs="Charis SIL"/>
          <w:lang w:val="sv-SE"/>
        </w:rPr>
        <w:t>Stockholm: Podium.</w:t>
      </w:r>
    </w:p>
    <w:p w14:paraId="3CFB6F54"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Wägner, Elin. 2020 [1908]. </w:t>
      </w:r>
      <w:r w:rsidRPr="00FB4EFA">
        <w:rPr>
          <w:rFonts w:cs="Charis SIL"/>
          <w:i/>
          <w:iCs/>
          <w:lang w:val="sv-SE"/>
        </w:rPr>
        <w:t>Norrtullsligan</w:t>
      </w:r>
      <w:r w:rsidRPr="00FB4EFA">
        <w:rPr>
          <w:rFonts w:cs="Charis SIL"/>
          <w:lang w:val="sv-SE"/>
        </w:rPr>
        <w:t>. Stockholm: The Sublunar Society.</w:t>
      </w:r>
    </w:p>
    <w:p w14:paraId="14EAC634" w14:textId="445555CD" w:rsidR="00207E56" w:rsidRPr="00FB4EFA" w:rsidRDefault="00207E56" w:rsidP="005912DF">
      <w:pPr>
        <w:suppressAutoHyphens/>
        <w:spacing w:line="240" w:lineRule="auto"/>
        <w:ind w:left="426" w:hanging="426"/>
        <w:rPr>
          <w:rFonts w:cs="Charis SIL"/>
        </w:rPr>
      </w:pPr>
      <w:r w:rsidRPr="00FB4EFA">
        <w:rPr>
          <w:rFonts w:cs="Charis SIL"/>
          <w:lang w:val="sv-SE"/>
        </w:rPr>
        <w:t xml:space="preserve">Wägner, Elin. 2020. </w:t>
      </w:r>
      <w:r w:rsidRPr="00FB4EFA">
        <w:rPr>
          <w:rFonts w:cs="Charis SIL"/>
          <w:i/>
          <w:iCs/>
          <w:lang w:val="sv-SE"/>
        </w:rPr>
        <w:t>Norrtullsligan</w:t>
      </w:r>
      <w:r w:rsidRPr="00FB4EFA">
        <w:rPr>
          <w:rFonts w:cs="Charis SIL"/>
          <w:lang w:val="sv-SE"/>
        </w:rPr>
        <w:t xml:space="preserve">. </w:t>
      </w:r>
      <w:r w:rsidRPr="00FB4EFA">
        <w:rPr>
          <w:rFonts w:cs="Charis SIL"/>
        </w:rPr>
        <w:t>[mit einem Nachwort von Boel Hackman, 12</w:t>
      </w:r>
      <w:r w:rsidR="00C65823" w:rsidRPr="00FB4EFA">
        <w:rPr>
          <w:rFonts w:cs="Charis SIL"/>
        </w:rPr>
        <w:t>3–1</w:t>
      </w:r>
      <w:r w:rsidRPr="00FB4EFA">
        <w:rPr>
          <w:rFonts w:cs="Charis SIL"/>
        </w:rPr>
        <w:t>33] Lund: Bakhåll.</w:t>
      </w:r>
    </w:p>
    <w:p w14:paraId="0DC286D2" w14:textId="607D7B8B"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Wägner, Elin. 1909. Gammal och ny moral. In </w:t>
      </w:r>
      <w:r w:rsidRPr="00FB4EFA">
        <w:rPr>
          <w:rFonts w:cs="Charis SIL"/>
          <w:i/>
          <w:iCs/>
          <w:lang w:val="sv-SE"/>
        </w:rPr>
        <w:t>Idun</w:t>
      </w:r>
      <w:r w:rsidRPr="00FB4EFA">
        <w:rPr>
          <w:rFonts w:cs="Charis SIL"/>
          <w:lang w:val="sv-SE"/>
        </w:rPr>
        <w:t xml:space="preserve"> 22/6. 72.</w:t>
      </w:r>
    </w:p>
    <w:p w14:paraId="7ABAD62A" w14:textId="111A96E1" w:rsidR="00207E56" w:rsidRPr="00FB4EFA" w:rsidRDefault="00207E56" w:rsidP="005912DF">
      <w:pPr>
        <w:suppressAutoHyphens/>
        <w:spacing w:line="240" w:lineRule="auto"/>
        <w:ind w:left="426" w:hanging="426"/>
        <w:rPr>
          <w:rFonts w:cs="Charis SIL"/>
          <w:lang w:val="en-US"/>
        </w:rPr>
      </w:pPr>
      <w:r w:rsidRPr="00FB4EFA">
        <w:rPr>
          <w:rFonts w:cs="Charis SIL"/>
          <w:lang w:val="sv-SE"/>
        </w:rPr>
        <w:t xml:space="preserve">Wänger, Elin. 1910. </w:t>
      </w:r>
      <w:r w:rsidRPr="00FB4EFA">
        <w:rPr>
          <w:rFonts w:cs="Charis SIL"/>
          <w:i/>
          <w:iCs/>
          <w:lang w:val="sv-SE"/>
        </w:rPr>
        <w:t>Pennskaftet</w:t>
      </w:r>
      <w:r w:rsidRPr="00FB4EFA">
        <w:rPr>
          <w:rFonts w:cs="Charis SIL"/>
          <w:lang w:val="sv-SE"/>
        </w:rPr>
        <w:t xml:space="preserve">, Stockholm: Aktiebolaget Ljus. </w:t>
      </w:r>
      <w:hyperlink r:id="rId519" w:history="1">
        <w:r w:rsidRPr="00FB4EFA">
          <w:rPr>
            <w:rFonts w:cs="Charis SIL"/>
            <w:u w:val="single"/>
            <w:lang w:val="en-US"/>
          </w:rPr>
          <w:t>litteraturbanken.se/f</w:t>
        </w:r>
        <w:r w:rsidR="00061255" w:rsidRPr="00FB4EFA">
          <w:rPr>
            <w:rFonts w:cs="Charis SIL"/>
            <w:u w:val="single"/>
            <w:lang w:val="en-US"/>
          </w:rPr>
          <w:t>ö</w:t>
        </w:r>
        <w:r w:rsidRPr="00FB4EFA">
          <w:rPr>
            <w:rFonts w:cs="Charis SIL"/>
            <w:u w:val="single"/>
            <w:lang w:val="en-US"/>
          </w:rPr>
          <w:t>rfattare/W</w:t>
        </w:r>
        <w:r w:rsidR="00061255" w:rsidRPr="00FB4EFA">
          <w:rPr>
            <w:rFonts w:cs="Charis SIL"/>
            <w:u w:val="single"/>
            <w:lang w:val="en-US"/>
          </w:rPr>
          <w:t>ä</w:t>
        </w:r>
        <w:r w:rsidRPr="00FB4EFA">
          <w:rPr>
            <w:rFonts w:cs="Charis SIL"/>
            <w:u w:val="single"/>
            <w:lang w:val="en-US"/>
          </w:rPr>
          <w:t>gnerE/titlar/Pennskaftet1910/</w:t>
        </w:r>
        <w:r w:rsidR="00061255" w:rsidRPr="00FB4EFA">
          <w:rPr>
            <w:rFonts w:cs="Charis SIL"/>
            <w:u w:val="single"/>
            <w:lang w:val="en-US"/>
          </w:rPr>
          <w:br/>
        </w:r>
        <w:r w:rsidRPr="00FB4EFA">
          <w:rPr>
            <w:rFonts w:cs="Charis SIL"/>
            <w:u w:val="single"/>
            <w:lang w:val="en-US"/>
          </w:rPr>
          <w:t>sida/3/etext</w:t>
        </w:r>
      </w:hyperlink>
      <w:r w:rsidR="00061255" w:rsidRPr="00FB4EFA">
        <w:rPr>
          <w:rFonts w:cs="Charis SIL"/>
          <w:lang w:val="en-US"/>
        </w:rPr>
        <w:t>.</w:t>
      </w:r>
    </w:p>
    <w:p w14:paraId="6CB70C15" w14:textId="5B2EE996"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Wägner, Elin. 1911. Hon fick platsen eller Exkonung Manuel i Stockholm [Drehbuch 1911] </w:t>
      </w:r>
      <w:hyperlink r:id="rId520" w:history="1">
        <w:r w:rsidR="002A3BC9" w:rsidRPr="00FB4EFA">
          <w:rPr>
            <w:rStyle w:val="Hyperlink"/>
            <w:rFonts w:cs="Charis SIL"/>
            <w:color w:val="auto"/>
            <w:lang w:val="sv-SE"/>
          </w:rPr>
          <w:t>www.svenskfilmdatabas.se/sv/Item/</w:t>
        </w:r>
        <w:r w:rsidR="002A3BC9" w:rsidRPr="00FB4EFA">
          <w:rPr>
            <w:rStyle w:val="Hyperlink"/>
            <w:rFonts w:cs="Charis SIL"/>
            <w:color w:val="auto"/>
            <w:lang w:val="sv-SE"/>
          </w:rPr>
          <w:br/>
          <w:t>?type=film&amp;itemid=3239</w:t>
        </w:r>
      </w:hyperlink>
      <w:r w:rsidR="00061255" w:rsidRPr="00FB4EFA">
        <w:rPr>
          <w:rFonts w:cs="Charis SIL"/>
          <w:lang w:val="sv-SE"/>
        </w:rPr>
        <w:t>.</w:t>
      </w:r>
    </w:p>
    <w:p w14:paraId="4557612A" w14:textId="77777777" w:rsidR="00207E56" w:rsidRPr="00FB4EFA" w:rsidRDefault="00207E56" w:rsidP="005912DF">
      <w:pPr>
        <w:suppressAutoHyphens/>
        <w:spacing w:line="240" w:lineRule="auto"/>
        <w:ind w:left="426" w:hanging="426"/>
        <w:rPr>
          <w:rFonts w:cs="Charis SIL"/>
          <w:lang w:val="en-US"/>
        </w:rPr>
      </w:pPr>
      <w:r w:rsidRPr="00FB4EFA">
        <w:rPr>
          <w:rFonts w:cs="Charis SIL"/>
          <w:lang w:val="da-DK"/>
        </w:rPr>
        <w:t>Weinbaum, Alys Eve et al. 2008</w:t>
      </w:r>
      <w:r w:rsidRPr="00FB4EFA">
        <w:rPr>
          <w:rFonts w:cs="Charis SIL"/>
          <w:i/>
          <w:lang w:val="da-DK"/>
        </w:rPr>
        <w:t xml:space="preserve">. </w:t>
      </w:r>
      <w:r w:rsidRPr="00FB4EFA">
        <w:rPr>
          <w:rFonts w:cs="Charis SIL"/>
          <w:i/>
          <w:lang w:val="en-US"/>
        </w:rPr>
        <w:t>The Modern Girl around the World, Consumption, Modernity and Globalization</w:t>
      </w:r>
      <w:r w:rsidRPr="00FB4EFA">
        <w:rPr>
          <w:rFonts w:cs="Charis SIL"/>
          <w:lang w:val="en-US"/>
        </w:rPr>
        <w:t>, Durham: Duke University Press.</w:t>
      </w:r>
    </w:p>
    <w:p w14:paraId="44375283" w14:textId="77777777" w:rsidR="00207E56" w:rsidRPr="00FB4EFA" w:rsidRDefault="00207E56" w:rsidP="005912DF">
      <w:pPr>
        <w:suppressAutoHyphens/>
        <w:spacing w:line="240" w:lineRule="auto"/>
        <w:ind w:left="426" w:hanging="426"/>
        <w:rPr>
          <w:rFonts w:cs="Charis SIL"/>
          <w:lang w:val="sv-SE"/>
        </w:rPr>
      </w:pPr>
      <w:r w:rsidRPr="00FB4EFA">
        <w:rPr>
          <w:rFonts w:cs="Charis SIL"/>
          <w:lang w:val="sv-SE"/>
        </w:rPr>
        <w:t xml:space="preserve">Williams, Anna. 2013. </w:t>
      </w:r>
      <w:r w:rsidRPr="00FB4EFA">
        <w:rPr>
          <w:rFonts w:cs="Charis SIL"/>
          <w:i/>
          <w:lang w:val="sv-SE"/>
        </w:rPr>
        <w:t>Agnes von Krusenstjernas liv och diktning</w:t>
      </w:r>
      <w:r w:rsidRPr="00FB4EFA">
        <w:rPr>
          <w:rFonts w:cs="Charis SIL"/>
          <w:lang w:val="sv-SE"/>
        </w:rPr>
        <w:t>. Stockholm: Bonniers.</w:t>
      </w:r>
    </w:p>
    <w:p w14:paraId="196545A8" w14:textId="77777777" w:rsidR="00207E56" w:rsidRPr="00FB4EFA" w:rsidRDefault="00207E56" w:rsidP="005912DF">
      <w:pPr>
        <w:pStyle w:val="Heading3"/>
        <w:suppressAutoHyphens/>
        <w:spacing w:line="259" w:lineRule="auto"/>
      </w:pPr>
      <w:r w:rsidRPr="00FB4EFA">
        <w:t>Filmographie</w:t>
      </w:r>
    </w:p>
    <w:p w14:paraId="5D2DFE3E" w14:textId="54F148C4" w:rsidR="00207E56" w:rsidRPr="00FB4EFA" w:rsidRDefault="00207E56" w:rsidP="005912DF">
      <w:pPr>
        <w:suppressAutoHyphens/>
        <w:spacing w:line="240" w:lineRule="auto"/>
        <w:ind w:left="426" w:hanging="426"/>
        <w:jc w:val="left"/>
        <w:rPr>
          <w:rFonts w:cs="Charis SIL"/>
          <w:lang w:val="sv-SE"/>
        </w:rPr>
      </w:pPr>
      <w:r w:rsidRPr="00FB4EFA">
        <w:rPr>
          <w:rFonts w:cs="Charis SIL"/>
          <w:i/>
          <w:lang w:val="sv-SE"/>
        </w:rPr>
        <w:t>Norrtullsligan</w:t>
      </w:r>
      <w:r w:rsidRPr="00FB4EFA">
        <w:rPr>
          <w:rFonts w:cs="Charis SIL"/>
          <w:lang w:val="sv-SE"/>
        </w:rPr>
        <w:t xml:space="preserve"> </w:t>
      </w:r>
      <w:r w:rsidRPr="00FB4EFA">
        <w:rPr>
          <w:rFonts w:cs="Charis SIL"/>
          <w:i/>
          <w:iCs/>
          <w:lang w:val="sv-SE"/>
        </w:rPr>
        <w:t>av Elin Wägner. Scenario av Hjalmar Bergman</w:t>
      </w:r>
      <w:r w:rsidRPr="00FB4EFA">
        <w:rPr>
          <w:rFonts w:cs="Charis SIL"/>
          <w:lang w:val="sv-SE"/>
        </w:rPr>
        <w:t xml:space="preserve"> 2006 [1923] (Drehbuch: Hjalmar Bergman, Regie: Per Lindberg), Stummfilm schwarz/weiß, 1923, digitale Restaurierung durch Svenska Filminstitutet 2006, mit erneuerten Inserts; Filmdatenblatt der Berlinale 2007: </w:t>
      </w:r>
      <w:hyperlink r:id="rId521" w:history="1">
        <w:r w:rsidR="00061255" w:rsidRPr="00FB4EFA">
          <w:rPr>
            <w:rStyle w:val="Hyperlink"/>
            <w:rFonts w:cs="Charis SIL"/>
            <w:color w:val="auto"/>
            <w:lang w:val="sv-SE"/>
          </w:rPr>
          <w:t>www.berlinale.de/de/archiv/jahresarchive/2007/02_programm_2007/02_filmdatenblatt_2007_20074483.html</w:t>
        </w:r>
      </w:hyperlink>
      <w:r w:rsidRPr="00FB4EFA">
        <w:rPr>
          <w:rFonts w:cs="Charis SIL"/>
          <w:lang w:val="sv-SE"/>
        </w:rPr>
        <w:t xml:space="preserve">; Film-Ankündigung: </w:t>
      </w:r>
      <w:hyperlink r:id="rId522" w:history="1">
        <w:r w:rsidR="00061255" w:rsidRPr="00FB4EFA">
          <w:rPr>
            <w:rStyle w:val="Hyperlink"/>
            <w:color w:val="auto"/>
          </w:rPr>
          <w:t>www.berlinale.de/de/archiv/jahresarchive/2007/08_pressemitteilungen_2007/08_pressemitteilungen_2007-detail_3116.html</w:t>
        </w:r>
      </w:hyperlink>
    </w:p>
    <w:p w14:paraId="487F83EA" w14:textId="77777777" w:rsidR="00207E56" w:rsidRPr="00FB4EFA" w:rsidRDefault="00207E56" w:rsidP="005912DF">
      <w:pPr>
        <w:suppressAutoHyphens/>
        <w:spacing w:line="240" w:lineRule="auto"/>
        <w:ind w:left="426" w:hanging="426"/>
        <w:jc w:val="left"/>
        <w:rPr>
          <w:rFonts w:cs="Charis SIL"/>
          <w:lang w:val="sv-SE"/>
        </w:rPr>
      </w:pPr>
      <w:r w:rsidRPr="00FB4EFA">
        <w:rPr>
          <w:rFonts w:cs="Charis SIL"/>
          <w:i/>
          <w:lang w:val="sv-SE"/>
        </w:rPr>
        <w:t>Norrtullsligan</w:t>
      </w:r>
      <w:r w:rsidRPr="00FB4EFA">
        <w:rPr>
          <w:rFonts w:cs="Charis SIL"/>
          <w:lang w:val="sv-SE"/>
        </w:rPr>
        <w:t xml:space="preserve"> </w:t>
      </w:r>
      <w:r w:rsidRPr="00FB4EFA">
        <w:rPr>
          <w:rFonts w:cs="Charis SIL"/>
          <w:i/>
          <w:iCs/>
          <w:lang w:val="sv-SE"/>
        </w:rPr>
        <w:t>av Elin Wägner. Scenario av Hjalmar Bergman</w:t>
      </w:r>
      <w:r w:rsidRPr="00FB4EFA">
        <w:rPr>
          <w:rFonts w:cs="Charis SIL"/>
          <w:lang w:val="sv-SE"/>
        </w:rPr>
        <w:t xml:space="preserve"> 2016 [1923] (Drehbuch: Hjalmar Bergman, Regie: Per Lindberg), Stummfilm schwarz/weiß mit kolorierten Passagen, digitale Restaurierung durch Svenska Filminstitutet 2016.</w:t>
      </w:r>
    </w:p>
    <w:p w14:paraId="5EF4775B" w14:textId="77777777" w:rsidR="00207E56" w:rsidRPr="00FB4EFA" w:rsidRDefault="00207E56" w:rsidP="005912DF">
      <w:pPr>
        <w:pStyle w:val="Heading3"/>
        <w:suppressAutoHyphens/>
        <w:spacing w:line="259" w:lineRule="auto"/>
      </w:pPr>
      <w:r w:rsidRPr="00FB4EFA">
        <w:lastRenderedPageBreak/>
        <w:t>Sonstiges / Weitere Internetquellen:</w:t>
      </w:r>
    </w:p>
    <w:p w14:paraId="6393C59C" w14:textId="4C013750" w:rsidR="00207E56" w:rsidRPr="00FB4EFA" w:rsidRDefault="00207E56" w:rsidP="005912DF">
      <w:pPr>
        <w:keepNext/>
        <w:suppressAutoHyphens/>
        <w:spacing w:line="240" w:lineRule="auto"/>
        <w:ind w:left="426" w:hanging="426"/>
        <w:jc w:val="left"/>
        <w:rPr>
          <w:rFonts w:cs="Charis SIL"/>
          <w:lang w:val="sv-SE"/>
        </w:rPr>
      </w:pPr>
      <w:r w:rsidRPr="00FB4EFA">
        <w:rPr>
          <w:rFonts w:cs="Charis SIL"/>
        </w:rPr>
        <w:t xml:space="preserve">Adlibris-Verlag. </w:t>
      </w:r>
      <w:r w:rsidRPr="00FB4EFA">
        <w:rPr>
          <w:rFonts w:cs="Charis SIL"/>
          <w:lang w:val="sv-SE"/>
        </w:rPr>
        <w:t xml:space="preserve">2011. </w:t>
      </w:r>
      <w:bookmarkStart w:id="149" w:name="_Hlk104306994"/>
      <w:r w:rsidRPr="00FB4EFA">
        <w:rPr>
          <w:rFonts w:cs="Charis SIL"/>
          <w:lang w:val="sv-SE"/>
        </w:rPr>
        <w:t xml:space="preserve">Titelblatt von </w:t>
      </w:r>
      <w:r w:rsidRPr="00FB4EFA">
        <w:rPr>
          <w:rFonts w:cs="Charis SIL"/>
          <w:i/>
          <w:iCs/>
          <w:lang w:val="sv-SE"/>
        </w:rPr>
        <w:t>Norrtullsligan</w:t>
      </w:r>
      <w:bookmarkEnd w:id="149"/>
      <w:r w:rsidRPr="00FB4EFA">
        <w:rPr>
          <w:rFonts w:cs="Charis SIL"/>
          <w:lang w:val="sv-SE"/>
        </w:rPr>
        <w:t xml:space="preserve">. </w:t>
      </w:r>
      <w:hyperlink r:id="rId523" w:history="1">
        <w:r w:rsidR="00D97EB3" w:rsidRPr="00FB4EFA">
          <w:rPr>
            <w:rStyle w:val="Hyperlink"/>
            <w:rFonts w:cs="Charis SIL"/>
            <w:color w:val="auto"/>
            <w:lang w:val="sv-SE"/>
          </w:rPr>
          <w:t>www.bokus.com/bok/9789189196506/norrtullsligan/</w:t>
        </w:r>
      </w:hyperlink>
      <w:r w:rsidR="00D97EB3" w:rsidRPr="00FB4EFA">
        <w:rPr>
          <w:rFonts w:cs="Charis SIL"/>
          <w:lang w:val="sv-SE"/>
        </w:rPr>
        <w:t>.</w:t>
      </w:r>
    </w:p>
    <w:p w14:paraId="3710CC90" w14:textId="67D20C4F" w:rsidR="00207E56" w:rsidRPr="00FB4EFA" w:rsidRDefault="00207E56" w:rsidP="005912DF">
      <w:pPr>
        <w:keepNext/>
        <w:suppressAutoHyphens/>
        <w:spacing w:line="240" w:lineRule="auto"/>
        <w:ind w:left="426" w:hanging="426"/>
        <w:jc w:val="left"/>
        <w:rPr>
          <w:rFonts w:cs="Charis SIL"/>
          <w:lang w:val="sv-SE"/>
        </w:rPr>
      </w:pPr>
      <w:r w:rsidRPr="00FB4EFA">
        <w:rPr>
          <w:rFonts w:cs="Charis SIL"/>
        </w:rPr>
        <w:t xml:space="preserve">Anonym. 1964. Elin Wägner [Eintrag ohne Verfasserangabe]. </w:t>
      </w:r>
      <w:r w:rsidRPr="00FB4EFA">
        <w:rPr>
          <w:rFonts w:cs="Charis SIL"/>
          <w:lang w:val="sv-SE"/>
        </w:rPr>
        <w:t xml:space="preserve">In </w:t>
      </w:r>
      <w:r w:rsidRPr="00FB4EFA">
        <w:rPr>
          <w:rFonts w:cs="Charis SIL"/>
          <w:i/>
          <w:iCs/>
          <w:lang w:val="sv-SE"/>
        </w:rPr>
        <w:t>Svenskt Litteraturlexikon</w:t>
      </w:r>
      <w:r w:rsidRPr="00FB4EFA">
        <w:rPr>
          <w:rFonts w:cs="Charis SIL"/>
          <w:lang w:val="sv-SE"/>
        </w:rPr>
        <w:t xml:space="preserve">, </w:t>
      </w:r>
      <w:r w:rsidR="007C120E" w:rsidRPr="00FB4EFA">
        <w:rPr>
          <w:rFonts w:cs="Charis SIL"/>
          <w:lang w:val="sv-SE"/>
        </w:rPr>
        <w:t xml:space="preserve">571–573. </w:t>
      </w:r>
      <w:r w:rsidRPr="00FB4EFA">
        <w:rPr>
          <w:rFonts w:cs="Charis SIL"/>
          <w:lang w:val="sv-SE"/>
        </w:rPr>
        <w:t>Lund: Gleerup</w:t>
      </w:r>
      <w:r w:rsidR="007C120E" w:rsidRPr="00FB4EFA">
        <w:rPr>
          <w:rFonts w:cs="Charis SIL"/>
          <w:lang w:val="sv-SE"/>
        </w:rPr>
        <w:t>.</w:t>
      </w:r>
    </w:p>
    <w:p w14:paraId="1A847074" w14:textId="3C40D6D8" w:rsidR="00207E56" w:rsidRPr="00FB4EFA" w:rsidRDefault="00207E56" w:rsidP="005912DF">
      <w:pPr>
        <w:keepNext/>
        <w:suppressAutoHyphens/>
        <w:spacing w:line="240" w:lineRule="auto"/>
        <w:ind w:left="426" w:hanging="426"/>
        <w:jc w:val="left"/>
        <w:rPr>
          <w:rFonts w:cs="Charis SIL"/>
          <w:lang w:val="sv-SE"/>
        </w:rPr>
      </w:pPr>
      <w:r w:rsidRPr="00FB4EFA">
        <w:rPr>
          <w:rFonts w:cs="Charis SIL"/>
          <w:lang w:val="sv-SE"/>
        </w:rPr>
        <w:t xml:space="preserve">Elin Wägner minnesskyltar [Erinnerungstafel in Vasastan]. </w:t>
      </w:r>
      <w:hyperlink r:id="rId524" w:history="1">
        <w:r w:rsidRPr="00FB4EFA">
          <w:rPr>
            <w:rFonts w:cs="Charis SIL"/>
            <w:u w:val="single"/>
            <w:lang w:val="sv-SE"/>
          </w:rPr>
          <w:t>www.elinwagner.se/elin-wagner-minnesskyltar/</w:t>
        </w:r>
      </w:hyperlink>
      <w:r w:rsidR="004E1AA3" w:rsidRPr="00FB4EFA">
        <w:rPr>
          <w:rFonts w:cs="Charis SIL"/>
          <w:lang w:val="sv-SE"/>
        </w:rPr>
        <w:t>.</w:t>
      </w:r>
    </w:p>
    <w:p w14:paraId="65DAD832" w14:textId="068E33F4" w:rsidR="00207E56" w:rsidRPr="00FB4EFA" w:rsidRDefault="00207E56" w:rsidP="005912DF">
      <w:pPr>
        <w:keepNext/>
        <w:suppressAutoHyphens/>
        <w:spacing w:line="240" w:lineRule="auto"/>
        <w:ind w:left="426" w:hanging="426"/>
        <w:jc w:val="left"/>
        <w:rPr>
          <w:rFonts w:cs="Charis SIL"/>
          <w:lang w:val="en-US"/>
        </w:rPr>
      </w:pPr>
      <w:r w:rsidRPr="00FB4EFA">
        <w:rPr>
          <w:rFonts w:cs="Charis SIL"/>
          <w:lang w:val="sv-SE"/>
        </w:rPr>
        <w:t xml:space="preserve">Norrtullsligan – kvinnliga rebeller i Vasastan. </w:t>
      </w:r>
      <w:r w:rsidRPr="00FB4EFA">
        <w:rPr>
          <w:rFonts w:cs="Charis SIL"/>
          <w:lang w:val="en-US"/>
        </w:rPr>
        <w:t xml:space="preserve">2014. </w:t>
      </w:r>
      <w:hyperlink r:id="rId525" w:history="1">
        <w:r w:rsidR="004E1AA3" w:rsidRPr="00FB4EFA">
          <w:rPr>
            <w:rStyle w:val="Hyperlink"/>
            <w:rFonts w:cs="Charis SIL"/>
            <w:color w:val="auto"/>
            <w:lang w:val="en-US"/>
          </w:rPr>
          <w:t>www.stockholmstories.se/2014/05/01/</w:t>
        </w:r>
        <w:r w:rsidR="004E1AA3" w:rsidRPr="00FB4EFA">
          <w:rPr>
            <w:rStyle w:val="Hyperlink"/>
            <w:rFonts w:cs="Charis SIL"/>
            <w:color w:val="auto"/>
            <w:lang w:val="en-US"/>
          </w:rPr>
          <w:br/>
          <w:t>norrtullsligan-kvinnliga-rebeller-i-vasastan/</w:t>
        </w:r>
      </w:hyperlink>
      <w:r w:rsidR="004E1AA3" w:rsidRPr="00FB4EFA">
        <w:rPr>
          <w:rFonts w:cs="Charis SIL"/>
          <w:lang w:val="en-US"/>
        </w:rPr>
        <w:t>.</w:t>
      </w:r>
    </w:p>
    <w:p w14:paraId="17A4F000" w14:textId="7BE5DDD9" w:rsidR="00207E56" w:rsidRPr="00FB4EFA" w:rsidRDefault="00207E56" w:rsidP="005912DF">
      <w:pPr>
        <w:suppressAutoHyphens/>
        <w:spacing w:line="240" w:lineRule="auto"/>
        <w:ind w:left="426" w:hanging="426"/>
        <w:jc w:val="left"/>
        <w:rPr>
          <w:rFonts w:cs="Charis SIL"/>
          <w:lang w:val="sv-SE"/>
        </w:rPr>
      </w:pPr>
      <w:r w:rsidRPr="00FB4EFA">
        <w:rPr>
          <w:rFonts w:cs="Charis SIL"/>
          <w:lang w:val="sv-SE"/>
        </w:rPr>
        <w:t>Norrtullsligan – en Stockholmsskildring</w:t>
      </w:r>
      <w:r w:rsidR="00D97EB3" w:rsidRPr="00FB4EFA">
        <w:rPr>
          <w:rFonts w:cs="Charis SIL"/>
          <w:lang w:val="sv-SE"/>
        </w:rPr>
        <w:t>.</w:t>
      </w:r>
      <w:r w:rsidRPr="00FB4EFA">
        <w:rPr>
          <w:rFonts w:cs="Charis SIL"/>
          <w:lang w:val="sv-SE"/>
        </w:rPr>
        <w:t xml:space="preserve"> </w:t>
      </w:r>
      <w:hyperlink r:id="rId526" w:history="1">
        <w:r w:rsidRPr="00FB4EFA">
          <w:rPr>
            <w:rFonts w:cs="Charis SIL"/>
            <w:u w:val="single"/>
            <w:lang w:val="sv-SE"/>
          </w:rPr>
          <w:t>stockholmskallan.stockholm.se/teman/</w:t>
        </w:r>
        <w:r w:rsidR="004E1AA3" w:rsidRPr="00FB4EFA">
          <w:rPr>
            <w:rFonts w:cs="Charis SIL"/>
            <w:u w:val="single"/>
            <w:lang w:val="sv-SE"/>
          </w:rPr>
          <w:br/>
        </w:r>
        <w:r w:rsidRPr="00FB4EFA">
          <w:rPr>
            <w:rFonts w:cs="Charis SIL"/>
            <w:u w:val="single"/>
            <w:lang w:val="sv-SE"/>
          </w:rPr>
          <w:t>de-skriver-om-stockholm/elin-wagner/norrtullsligan/</w:t>
        </w:r>
      </w:hyperlink>
      <w:r w:rsidR="004E1AA3" w:rsidRPr="00FB4EFA">
        <w:rPr>
          <w:rFonts w:cs="Charis SIL"/>
          <w:lang w:val="sv-SE"/>
        </w:rPr>
        <w:t>.</w:t>
      </w:r>
    </w:p>
    <w:p w14:paraId="2D97F0D0" w14:textId="1C888F1E" w:rsidR="00207E56" w:rsidRPr="00FB4EFA" w:rsidRDefault="00207E56" w:rsidP="005912DF">
      <w:pPr>
        <w:suppressAutoHyphens/>
        <w:spacing w:line="240" w:lineRule="auto"/>
        <w:ind w:left="426" w:hanging="426"/>
        <w:jc w:val="left"/>
        <w:rPr>
          <w:rFonts w:cs="Charis SIL"/>
          <w:lang w:val="sv-SE"/>
        </w:rPr>
      </w:pPr>
      <w:r w:rsidRPr="00FB4EFA">
        <w:rPr>
          <w:rFonts w:cs="Charis SIL"/>
          <w:lang w:val="sv-SE"/>
        </w:rPr>
        <w:t>Norrtullsligan (1923)</w:t>
      </w:r>
      <w:r w:rsidR="00D97EB3" w:rsidRPr="00FB4EFA">
        <w:rPr>
          <w:rFonts w:cs="Charis SIL"/>
          <w:lang w:val="sv-SE"/>
        </w:rPr>
        <w:t>.</w:t>
      </w:r>
      <w:r w:rsidRPr="00FB4EFA">
        <w:rPr>
          <w:rFonts w:cs="Charis SIL"/>
          <w:lang w:val="sv-SE"/>
        </w:rPr>
        <w:t xml:space="preserve"> </w:t>
      </w:r>
      <w:hyperlink r:id="rId527" w:history="1">
        <w:r w:rsidR="004E1AA3" w:rsidRPr="00FB4EFA">
          <w:rPr>
            <w:rStyle w:val="Hyperlink"/>
            <w:rFonts w:cs="Charis SIL"/>
            <w:color w:val="auto"/>
            <w:lang w:val="sv-SE"/>
          </w:rPr>
          <w:t>www.svenskfilmdatabas.se/sv/item/</w:t>
        </w:r>
        <w:r w:rsidR="004E1AA3" w:rsidRPr="00FB4EFA">
          <w:rPr>
            <w:rStyle w:val="Hyperlink"/>
            <w:rFonts w:cs="Charis SIL"/>
            <w:color w:val="auto"/>
            <w:lang w:val="sv-SE"/>
          </w:rPr>
          <w:br/>
          <w:t>?type=film&amp;itemid=3561</w:t>
        </w:r>
      </w:hyperlink>
      <w:r w:rsidR="004E1AA3" w:rsidRPr="00FB4EFA">
        <w:rPr>
          <w:rFonts w:cs="Charis SIL"/>
          <w:lang w:val="sv-SE"/>
        </w:rPr>
        <w:t>.</w:t>
      </w:r>
    </w:p>
    <w:p w14:paraId="38FE39F9" w14:textId="69FBA9BD" w:rsidR="00207E56" w:rsidRPr="00FB4EFA" w:rsidRDefault="00207E56" w:rsidP="005912DF">
      <w:pPr>
        <w:suppressAutoHyphens/>
        <w:spacing w:line="240" w:lineRule="auto"/>
        <w:ind w:left="426" w:hanging="426"/>
        <w:jc w:val="left"/>
        <w:rPr>
          <w:rFonts w:cs="Charis SIL"/>
          <w:lang w:val="en-US"/>
        </w:rPr>
      </w:pPr>
      <w:r w:rsidRPr="00FB4EFA">
        <w:rPr>
          <w:rFonts w:cs="Charis SIL"/>
          <w:lang w:val="sv-SE"/>
        </w:rPr>
        <w:t xml:space="preserve">Wengström, Jon. 2010. Biographie Tora Teje. </w:t>
      </w:r>
      <w:hyperlink r:id="rId528" w:anchor="biography" w:history="1">
        <w:r w:rsidR="004E1AA3" w:rsidRPr="00FB4EFA">
          <w:rPr>
            <w:rStyle w:val="Hyperlink"/>
            <w:rFonts w:cs="Charis SIL"/>
            <w:color w:val="auto"/>
            <w:lang w:val="en-US"/>
          </w:rPr>
          <w:t>www.svenskfilmdatabas.se/en/Item/?type=person</w:t>
        </w:r>
        <w:r w:rsidR="004E1AA3" w:rsidRPr="00FB4EFA">
          <w:rPr>
            <w:rStyle w:val="Hyperlink"/>
            <w:rFonts w:cs="Charis SIL"/>
            <w:color w:val="auto"/>
            <w:lang w:val="en-US"/>
          </w:rPr>
          <w:br/>
          <w:t>&amp;itemid=58075#biography</w:t>
        </w:r>
      </w:hyperlink>
      <w:r w:rsidR="004E1AA3" w:rsidRPr="00FB4EFA">
        <w:rPr>
          <w:rFonts w:cs="Charis SIL"/>
          <w:lang w:val="en-US"/>
        </w:rPr>
        <w:t>.</w:t>
      </w:r>
    </w:p>
    <w:p w14:paraId="6479C113" w14:textId="341B5212" w:rsidR="00207E56" w:rsidRPr="00FB4EFA" w:rsidRDefault="00207E56" w:rsidP="005912DF">
      <w:pPr>
        <w:suppressAutoHyphens/>
        <w:spacing w:line="240" w:lineRule="auto"/>
        <w:ind w:left="426" w:hanging="426"/>
        <w:jc w:val="left"/>
      </w:pPr>
      <w:r w:rsidRPr="00FB4EFA">
        <w:rPr>
          <w:rFonts w:cs="Charis SIL"/>
          <w:lang w:val="sv-SE"/>
        </w:rPr>
        <w:t>Stadsbiblioteket Stockholm, Stockholm läser 2011[Initiatorin Helena Sigander]</w:t>
      </w:r>
      <w:r w:rsidR="00D97EB3" w:rsidRPr="00FB4EFA">
        <w:rPr>
          <w:rFonts w:cs="Charis SIL"/>
          <w:lang w:val="sv-SE"/>
        </w:rPr>
        <w:t xml:space="preserve">. </w:t>
      </w:r>
      <w:hyperlink r:id="rId529" w:history="1">
        <w:r w:rsidR="00D97EB3" w:rsidRPr="00FB4EFA">
          <w:rPr>
            <w:rStyle w:val="Hyperlink"/>
            <w:rFonts w:cs="Charis SIL"/>
            <w:color w:val="auto"/>
            <w:lang w:val="sv-SE"/>
          </w:rPr>
          <w:t>biblioteket.stockholm.se/artikel/stockholm-läser</w:t>
        </w:r>
      </w:hyperlink>
      <w:bookmarkStart w:id="150" w:name="_Hlk104307050"/>
      <w:r w:rsidRPr="00FB4EFA">
        <w:rPr>
          <w:rFonts w:cs="Charis SIL"/>
          <w:lang w:val="en-US"/>
        </w:rPr>
        <w:t>.</w:t>
      </w:r>
    </w:p>
    <w:bookmarkEnd w:id="150"/>
    <w:p w14:paraId="4984F2F5" w14:textId="77777777" w:rsidR="00A96E85" w:rsidRPr="00FB4EFA" w:rsidRDefault="00A96E85" w:rsidP="00402EF4">
      <w:pPr>
        <w:spacing w:after="160"/>
        <w:jc w:val="center"/>
        <w:rPr>
          <w:smallCaps/>
          <w:sz w:val="48"/>
          <w:szCs w:val="48"/>
        </w:rPr>
        <w:sectPr w:rsidR="00A96E85" w:rsidRPr="00FB4EFA">
          <w:headerReference w:type="even" r:id="rId530"/>
          <w:headerReference w:type="default" r:id="rId531"/>
          <w:headerReference w:type="first" r:id="rId532"/>
          <w:footnotePr>
            <w:numRestart w:val="eachSect"/>
          </w:footnotePr>
          <w:pgSz w:w="9180" w:h="13302"/>
          <w:pgMar w:top="779" w:right="1133" w:bottom="1132" w:left="1133" w:header="744" w:footer="720" w:gutter="0"/>
          <w:cols w:space="720"/>
          <w:titlePg/>
        </w:sectPr>
      </w:pPr>
    </w:p>
    <w:p w14:paraId="62EAF25F" w14:textId="77777777" w:rsidR="00EA1695" w:rsidRDefault="00EA1695" w:rsidP="00994E2A">
      <w:pPr>
        <w:pStyle w:val="Heading1"/>
        <w:suppressAutoHyphens/>
        <w:spacing w:after="1320" w:line="259" w:lineRule="auto"/>
        <w:jc w:val="center"/>
        <w:rPr>
          <w:rFonts w:ascii="Cambria" w:hAnsi="Cambria"/>
          <w:color w:val="auto"/>
          <w:sz w:val="48"/>
          <w:szCs w:val="48"/>
          <w:lang w:val="de-AT"/>
        </w:rPr>
        <w:sectPr w:rsidR="00EA1695">
          <w:headerReference w:type="even" r:id="rId533"/>
          <w:headerReference w:type="default" r:id="rId534"/>
          <w:headerReference w:type="first" r:id="rId535"/>
          <w:footnotePr>
            <w:numRestart w:val="eachSect"/>
          </w:footnotePr>
          <w:pgSz w:w="9180" w:h="13302"/>
          <w:pgMar w:top="779" w:right="1133" w:bottom="1132" w:left="1133" w:header="744" w:footer="720" w:gutter="0"/>
          <w:cols w:space="720"/>
          <w:titlePg/>
        </w:sectPr>
      </w:pPr>
      <w:bookmarkStart w:id="151" w:name="_Toc87547027"/>
      <w:bookmarkStart w:id="152" w:name="_Ref90999741"/>
      <w:bookmarkStart w:id="153" w:name="_Hlk104286760"/>
    </w:p>
    <w:p w14:paraId="0C697334" w14:textId="77777777" w:rsidR="00A96E85" w:rsidRPr="00FB4EFA" w:rsidRDefault="00A96E85" w:rsidP="00994E2A">
      <w:pPr>
        <w:pStyle w:val="Heading1"/>
        <w:suppressAutoHyphens/>
        <w:spacing w:after="1320" w:line="259" w:lineRule="auto"/>
        <w:jc w:val="center"/>
        <w:rPr>
          <w:rFonts w:ascii="Cambria" w:hAnsi="Cambria"/>
          <w:color w:val="auto"/>
          <w:sz w:val="48"/>
          <w:szCs w:val="48"/>
          <w:lang w:val="de-AT"/>
        </w:rPr>
      </w:pPr>
      <w:r w:rsidRPr="00FB4EFA">
        <w:rPr>
          <w:rFonts w:ascii="Cambria" w:hAnsi="Cambria"/>
          <w:color w:val="auto"/>
          <w:sz w:val="48"/>
          <w:szCs w:val="48"/>
          <w:lang w:val="de-AT"/>
        </w:rPr>
        <w:lastRenderedPageBreak/>
        <w:t>V.</w:t>
      </w:r>
      <w:bookmarkEnd w:id="151"/>
      <w:bookmarkEnd w:id="152"/>
    </w:p>
    <w:p w14:paraId="44754F55" w14:textId="6CBC2ED7" w:rsidR="00A96E85" w:rsidRPr="00FB4EFA" w:rsidRDefault="002D1FA6" w:rsidP="00402EF4">
      <w:pPr>
        <w:spacing w:after="160"/>
        <w:jc w:val="center"/>
        <w:rPr>
          <w:smallCaps/>
          <w:sz w:val="48"/>
          <w:szCs w:val="48"/>
        </w:rPr>
      </w:pPr>
      <w:r w:rsidRPr="00FB4EFA">
        <w:rPr>
          <w:noProof/>
        </w:rPr>
        <w:drawing>
          <wp:inline distT="0" distB="0" distL="0" distR="0" wp14:anchorId="050617E8" wp14:editId="217165EE">
            <wp:extent cx="4390390" cy="3103880"/>
            <wp:effectExtent l="0" t="0" r="0" b="127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390390" cy="3103880"/>
                    </a:xfrm>
                    <a:prstGeom prst="rect">
                      <a:avLst/>
                    </a:prstGeom>
                    <a:noFill/>
                    <a:ln>
                      <a:noFill/>
                    </a:ln>
                  </pic:spPr>
                </pic:pic>
              </a:graphicData>
            </a:graphic>
          </wp:inline>
        </w:drawing>
      </w:r>
    </w:p>
    <w:p w14:paraId="6371479E" w14:textId="77777777" w:rsidR="00A96E85" w:rsidRPr="00FB4EFA" w:rsidRDefault="00A96E85" w:rsidP="00AF0CAD">
      <w:pPr>
        <w:pStyle w:val="Authors"/>
        <w:spacing w:line="259" w:lineRule="auto"/>
        <w:rPr>
          <w:color w:val="auto"/>
          <w:lang w:val="de-AT"/>
        </w:rPr>
      </w:pPr>
      <w:r w:rsidRPr="00FB4EFA">
        <w:rPr>
          <w:color w:val="auto"/>
          <w:lang w:val="de-AT"/>
        </w:rPr>
        <w:t>(Maria Köstlbauer)</w:t>
      </w:r>
    </w:p>
    <w:p w14:paraId="0BD56D24" w14:textId="77777777" w:rsidR="00A96E85" w:rsidRPr="00FB4EFA" w:rsidRDefault="00A96E85" w:rsidP="00402EF4">
      <w:pPr>
        <w:spacing w:after="160"/>
        <w:jc w:val="center"/>
        <w:rPr>
          <w:smallCaps/>
          <w:sz w:val="48"/>
          <w:szCs w:val="48"/>
        </w:rPr>
        <w:sectPr w:rsidR="00A96E85" w:rsidRPr="00FB4EFA" w:rsidSect="00EA1695">
          <w:footnotePr>
            <w:numRestart w:val="eachSect"/>
          </w:footnotePr>
          <w:type w:val="oddPage"/>
          <w:pgSz w:w="9180" w:h="13302"/>
          <w:pgMar w:top="779" w:right="1133" w:bottom="1132" w:left="1133" w:header="744" w:footer="720" w:gutter="0"/>
          <w:cols w:space="720"/>
          <w:titlePg/>
        </w:sectPr>
      </w:pPr>
      <w:r w:rsidRPr="00FB4EFA">
        <w:rPr>
          <w:smallCaps/>
          <w:sz w:val="48"/>
          <w:szCs w:val="48"/>
        </w:rPr>
        <w:t>Beteiligte</w:t>
      </w:r>
    </w:p>
    <w:p w14:paraId="15C8B168" w14:textId="33ECC8C9" w:rsidR="00A96E85" w:rsidRPr="00FB4EFA" w:rsidRDefault="00A96E85" w:rsidP="00AF0CAD">
      <w:pPr>
        <w:spacing w:after="240"/>
        <w:rPr>
          <w:rFonts w:eastAsia="Times New Roman" w:cs="Times New Roman"/>
          <w:szCs w:val="24"/>
          <w:lang w:val="fi-FI"/>
        </w:rPr>
      </w:pPr>
      <w:r w:rsidRPr="00FB4EFA">
        <w:rPr>
          <w:rFonts w:eastAsia="Times New Roman" w:cs="Times New Roman"/>
          <w:b/>
          <w:bCs/>
          <w:szCs w:val="24"/>
          <w:lang w:val="fi-FI"/>
        </w:rPr>
        <w:lastRenderedPageBreak/>
        <w:t>Rigina Ajanki</w:t>
      </w:r>
      <w:r w:rsidRPr="00FB4EFA">
        <w:rPr>
          <w:rFonts w:eastAsia="Times New Roman" w:cs="Times New Roman"/>
          <w:szCs w:val="24"/>
          <w:lang w:val="fi-FI"/>
        </w:rPr>
        <w:t xml:space="preserve"> (</w:t>
      </w:r>
      <w:hyperlink r:id="rId537" w:history="1">
        <w:r w:rsidRPr="00FB4EFA">
          <w:rPr>
            <w:rStyle w:val="AuthorsChar"/>
            <w:rFonts w:ascii="Cambria" w:eastAsia="Times New Roman" w:hAnsi="Cambria" w:cs="Times New Roman"/>
            <w:color w:val="auto"/>
            <w:szCs w:val="24"/>
            <w:lang w:val="fi-FI"/>
          </w:rPr>
          <w:t>rigina.ajanki@helsinki.fi</w:t>
        </w:r>
      </w:hyperlink>
      <w:r w:rsidRPr="00FB4EFA">
        <w:rPr>
          <w:rFonts w:eastAsia="Times New Roman" w:cs="Times New Roman"/>
          <w:szCs w:val="24"/>
          <w:lang w:val="fi-FI"/>
        </w:rPr>
        <w:t>) on suomalais-ugrilaisen kielentutkimuksen yliopistonlehtori Helsingin yliopistossa. Hän on erikoistunut mordvalaiskieliin ja uralilaisten kielten morfosyntaksiin.</w:t>
      </w:r>
    </w:p>
    <w:p w14:paraId="074102F9" w14:textId="2533E03A" w:rsidR="00A96E85" w:rsidRPr="00FB4EFA" w:rsidRDefault="00166098" w:rsidP="00AF0CAD">
      <w:pPr>
        <w:spacing w:after="240"/>
        <w:rPr>
          <w:szCs w:val="24"/>
          <w:lang w:val="de-DE"/>
        </w:rPr>
      </w:pPr>
      <w:r w:rsidRPr="00FB4EFA">
        <w:rPr>
          <w:b/>
          <w:bCs/>
          <w:szCs w:val="24"/>
          <w:lang w:val="de-DE"/>
        </w:rPr>
        <w:t>Marianne Bakró-Nagy</w:t>
      </w:r>
      <w:r w:rsidRPr="00FB4EFA">
        <w:rPr>
          <w:szCs w:val="24"/>
          <w:lang w:val="de-DE"/>
        </w:rPr>
        <w:t xml:space="preserve"> (</w:t>
      </w:r>
      <w:hyperlink r:id="rId538" w:history="1">
        <w:r w:rsidR="001E7140" w:rsidRPr="00FB4EFA">
          <w:rPr>
            <w:rStyle w:val="Hyperlink"/>
            <w:i/>
            <w:iCs/>
            <w:color w:val="auto"/>
            <w:szCs w:val="24"/>
            <w:u w:val="none"/>
            <w:lang w:val="de-DE"/>
          </w:rPr>
          <w:t>bakro@nytud.hu</w:t>
        </w:r>
      </w:hyperlink>
      <w:r w:rsidRPr="00FB4EFA">
        <w:rPr>
          <w:szCs w:val="24"/>
          <w:lang w:val="de-DE"/>
        </w:rPr>
        <w:t>) is professor emerita at the Research Centre for Linguistics, Budapest and the University of Szeged. Her field of research cent</w:t>
      </w:r>
      <w:r w:rsidR="001E7140" w:rsidRPr="00FB4EFA">
        <w:rPr>
          <w:szCs w:val="24"/>
          <w:lang w:val="de-DE"/>
        </w:rPr>
        <w:t>r</w:t>
      </w:r>
      <w:r w:rsidR="007F30A7" w:rsidRPr="00FB4EFA">
        <w:rPr>
          <w:szCs w:val="24"/>
          <w:lang w:val="de-DE"/>
        </w:rPr>
        <w:t>e</w:t>
      </w:r>
      <w:r w:rsidRPr="00FB4EFA">
        <w:rPr>
          <w:szCs w:val="24"/>
          <w:lang w:val="de-DE"/>
        </w:rPr>
        <w:t>s mainly around the Ob-Ugric languages, especially their phonological characteristics and the oral heroic epics of these people</w:t>
      </w:r>
      <w:r w:rsidR="00647C84" w:rsidRPr="00FB4EFA">
        <w:rPr>
          <w:szCs w:val="24"/>
          <w:lang w:val="de-DE"/>
        </w:rPr>
        <w:t>s</w:t>
      </w:r>
      <w:r w:rsidRPr="00FB4EFA">
        <w:rPr>
          <w:szCs w:val="24"/>
          <w:lang w:val="de-DE"/>
        </w:rPr>
        <w:t>.</w:t>
      </w:r>
    </w:p>
    <w:p w14:paraId="2BB0E48B" w14:textId="7325B40C" w:rsidR="00DE76EF" w:rsidRPr="00FB4EFA" w:rsidRDefault="00DE76EF" w:rsidP="00AF0CAD">
      <w:pPr>
        <w:spacing w:after="240"/>
      </w:pPr>
      <w:r w:rsidRPr="00FB4EFA">
        <w:rPr>
          <w:b/>
          <w:bCs/>
        </w:rPr>
        <w:t>Erzsébet Barát</w:t>
      </w:r>
      <w:r w:rsidRPr="00FB4EFA">
        <w:t xml:space="preserve"> (</w:t>
      </w:r>
      <w:hyperlink r:id="rId539" w:history="1">
        <w:r w:rsidRPr="00FB4EFA">
          <w:rPr>
            <w:rStyle w:val="Hyperlink"/>
            <w:i/>
            <w:iCs/>
            <w:color w:val="auto"/>
            <w:u w:val="none"/>
          </w:rPr>
          <w:t>zsazsa@lit.u-szeged.hu</w:t>
        </w:r>
      </w:hyperlink>
      <w:r w:rsidRPr="00FB4EFA">
        <w:t xml:space="preserve">) is associate professor of linguistics and gender studies at the Institute of English and American Studies of the University of Szeged and at the Gender Studies Department of Central European University in Vienna. She is </w:t>
      </w:r>
      <w:r w:rsidR="00067053" w:rsidRPr="00FB4EFA">
        <w:t xml:space="preserve">the </w:t>
      </w:r>
      <w:r w:rsidRPr="00FB4EFA">
        <w:t xml:space="preserve">founding </w:t>
      </w:r>
      <w:r w:rsidR="00067053" w:rsidRPr="00FB4EFA">
        <w:t>e</w:t>
      </w:r>
      <w:r w:rsidRPr="00FB4EFA">
        <w:t>ditor-in-</w:t>
      </w:r>
      <w:r w:rsidR="00067053" w:rsidRPr="00FB4EFA">
        <w:t>c</w:t>
      </w:r>
      <w:r w:rsidRPr="00FB4EFA">
        <w:t xml:space="preserve">hief of </w:t>
      </w:r>
      <w:r w:rsidRPr="00FB4EFA">
        <w:rPr>
          <w:i/>
          <w:iCs/>
        </w:rPr>
        <w:t>TNTeF: Interdisciplinary Gender Studies</w:t>
      </w:r>
      <w:r w:rsidRPr="00FB4EFA">
        <w:t xml:space="preserve"> (</w:t>
      </w:r>
      <w:hyperlink r:id="rId540" w:history="1">
        <w:r w:rsidR="00067053" w:rsidRPr="00FB4EFA">
          <w:rPr>
            <w:rStyle w:val="Hyperlink"/>
            <w:color w:val="auto"/>
          </w:rPr>
          <w:t>ojs.bibl.u-szeged.hu/</w:t>
        </w:r>
        <w:r w:rsidR="00A35C28" w:rsidRPr="00FB4EFA">
          <w:rPr>
            <w:rStyle w:val="Hyperlink"/>
            <w:color w:val="auto"/>
          </w:rPr>
          <w:br/>
        </w:r>
        <w:r w:rsidR="00067053" w:rsidRPr="00FB4EFA">
          <w:rPr>
            <w:rStyle w:val="Hyperlink"/>
            <w:color w:val="auto"/>
          </w:rPr>
          <w:t>index.php/tntef/index</w:t>
        </w:r>
      </w:hyperlink>
      <w:r w:rsidRPr="00FB4EFA">
        <w:t xml:space="preserve">). Her major fields of research and teaching </w:t>
      </w:r>
      <w:r w:rsidR="00067053" w:rsidRPr="00FB4EFA">
        <w:t>include</w:t>
      </w:r>
      <w:r w:rsidRPr="00FB4EFA">
        <w:t xml:space="preserve"> critical studies of discourse with a focus on hate speech, language ideologies, and a social theory of meaning</w:t>
      </w:r>
      <w:r w:rsidR="00067053" w:rsidRPr="00FB4EFA">
        <w:t xml:space="preserve"> as well as</w:t>
      </w:r>
      <w:r w:rsidRPr="00FB4EFA">
        <w:t xml:space="preserve"> the intersection of feminist and queer theory, with a particular interest in non-exclusionary relational models of identity, sexual citizenship, and the stigmatization of “gender” as ideology.</w:t>
      </w:r>
    </w:p>
    <w:p w14:paraId="641BB70A" w14:textId="2A350E10" w:rsidR="00A96E85" w:rsidRPr="00FB4EFA" w:rsidRDefault="00A96E85" w:rsidP="00AF0CAD">
      <w:pPr>
        <w:spacing w:after="240"/>
      </w:pPr>
      <w:r w:rsidRPr="00FB4EFA">
        <w:rPr>
          <w:b/>
          <w:bCs/>
        </w:rPr>
        <w:t>Mátyás Béres</w:t>
      </w:r>
      <w:r w:rsidRPr="00FB4EFA">
        <w:t xml:space="preserve"> (</w:t>
      </w:r>
      <w:hyperlink r:id="rId541" w:history="1">
        <w:r w:rsidR="001E7140" w:rsidRPr="00FB4EFA">
          <w:rPr>
            <w:rStyle w:val="Hyperlink"/>
            <w:i/>
            <w:iCs/>
            <w:color w:val="auto"/>
            <w:u w:val="none"/>
          </w:rPr>
          <w:t>matyasberes0@gmail.com</w:t>
        </w:r>
      </w:hyperlink>
      <w:r w:rsidRPr="00FB4EFA">
        <w:t>) is a bachelor’s student of Hungarian and Finno-Ugric studies at the University of Szeged. His linguistic interests are mainly the history of Ugric languages, especially from an etymological and a phonological point of view</w:t>
      </w:r>
      <w:r w:rsidR="00647C84" w:rsidRPr="00FB4EFA">
        <w:t>,</w:t>
      </w:r>
      <w:r w:rsidRPr="00FB4EFA">
        <w:t xml:space="preserve"> as well as language revitalization.</w:t>
      </w:r>
    </w:p>
    <w:p w14:paraId="07AAD69E" w14:textId="6F928CAE" w:rsidR="00A96E85" w:rsidRPr="00FB4EFA" w:rsidRDefault="00304F12" w:rsidP="00AF0CAD">
      <w:pPr>
        <w:spacing w:after="240"/>
      </w:pPr>
      <w:r w:rsidRPr="00FB4EFA">
        <w:rPr>
          <w:b/>
          <w:bCs/>
        </w:rPr>
        <w:t>Bernadett Bíró</w:t>
      </w:r>
      <w:r w:rsidRPr="00FB4EFA">
        <w:t xml:space="preserve"> (</w:t>
      </w:r>
      <w:hyperlink r:id="rId542" w:history="1">
        <w:r w:rsidRPr="00FB4EFA">
          <w:rPr>
            <w:i/>
            <w:iCs/>
          </w:rPr>
          <w:t>birobernadett9@gmail.com</w:t>
        </w:r>
      </w:hyperlink>
      <w:r w:rsidRPr="00FB4EFA">
        <w:t xml:space="preserve">) </w:t>
      </w:r>
      <w:r w:rsidR="00AD18A4" w:rsidRPr="00FB4EFA">
        <w:t>is a senior lecturer at the Department of Finno-Ugric Linguistics at the University of Szeged. Her research focuses on Mansi; her research interests include nominalization, non-finite forms, grammaticalization, and cultural linguistics.</w:t>
      </w:r>
    </w:p>
    <w:p w14:paraId="2D3843E0" w14:textId="0272FF5E" w:rsidR="00A96E85" w:rsidRPr="00FB4EFA" w:rsidRDefault="00A15082" w:rsidP="00AF0CAD">
      <w:pPr>
        <w:keepLines/>
        <w:spacing w:after="240"/>
        <w:rPr>
          <w:lang w:val="en-IE"/>
        </w:rPr>
      </w:pPr>
      <w:r w:rsidRPr="00FB4EFA">
        <w:rPr>
          <w:b/>
          <w:bCs/>
          <w:lang w:val="en-IE"/>
        </w:rPr>
        <w:lastRenderedPageBreak/>
        <w:t xml:space="preserve">Rogier Blokland </w:t>
      </w:r>
      <w:r w:rsidRPr="00FB4EFA">
        <w:rPr>
          <w:lang w:val="en-IE"/>
        </w:rPr>
        <w:t>(</w:t>
      </w:r>
      <w:hyperlink r:id="rId543" w:history="1">
        <w:r w:rsidRPr="00FB4EFA">
          <w:rPr>
            <w:i/>
            <w:iCs/>
            <w:lang w:val="en-IE"/>
          </w:rPr>
          <w:t>rogier.blokland@moderna.uu.se</w:t>
        </w:r>
      </w:hyperlink>
      <w:r w:rsidRPr="00FB4EFA">
        <w:rPr>
          <w:lang w:val="en-IE"/>
        </w:rPr>
        <w:t>) is professor of Finno-Ugric languages at Uppsala University</w:t>
      </w:r>
      <w:r w:rsidR="00E77EA1" w:rsidRPr="00FB4EFA">
        <w:rPr>
          <w:lang w:val="en-IE"/>
        </w:rPr>
        <w:t>’</w:t>
      </w:r>
      <w:r w:rsidRPr="00FB4EFA">
        <w:rPr>
          <w:lang w:val="en-IE"/>
        </w:rPr>
        <w:t>s Department of Modern Languages. His research interests include the documentation and description of minor Uralic languages, especially of minor Finnic languages, Saamic languages and Komi.</w:t>
      </w:r>
    </w:p>
    <w:p w14:paraId="6290B660" w14:textId="22A60AEF" w:rsidR="00A96E85" w:rsidRPr="00FB4EFA" w:rsidRDefault="00A96E85" w:rsidP="00AF0CAD">
      <w:pPr>
        <w:keepLines/>
        <w:spacing w:after="240"/>
        <w:rPr>
          <w:szCs w:val="24"/>
          <w:lang w:val="en-GB"/>
        </w:rPr>
      </w:pPr>
      <w:r w:rsidRPr="00FB4EFA">
        <w:rPr>
          <w:b/>
          <w:bCs/>
          <w:szCs w:val="24"/>
          <w:lang w:val="en-GB"/>
        </w:rPr>
        <w:t>Jeremy Bradley</w:t>
      </w:r>
      <w:r w:rsidR="002501C1" w:rsidRPr="00FB4EFA">
        <w:rPr>
          <w:b/>
          <w:bCs/>
          <w:szCs w:val="24"/>
          <w:lang w:val="en-GB"/>
        </w:rPr>
        <w:t xml:space="preserve"> </w:t>
      </w:r>
      <w:r w:rsidR="002501C1" w:rsidRPr="00FB4EFA">
        <w:rPr>
          <w:szCs w:val="24"/>
          <w:lang w:val="en-GB"/>
        </w:rPr>
        <w:t>(</w:t>
      </w:r>
      <w:hyperlink r:id="rId544" w:history="1">
        <w:r w:rsidR="002501C1" w:rsidRPr="00FB4EFA">
          <w:rPr>
            <w:i/>
            <w:iCs/>
            <w:szCs w:val="24"/>
            <w:lang w:val="en-GB"/>
          </w:rPr>
          <w:t>jeremy.moss.bradley@univie.ac.at</w:t>
        </w:r>
      </w:hyperlink>
      <w:r w:rsidR="002501C1" w:rsidRPr="00FB4EFA">
        <w:rPr>
          <w:szCs w:val="24"/>
          <w:lang w:val="en-GB"/>
        </w:rPr>
        <w:t xml:space="preserve">) is a </w:t>
      </w:r>
      <w:r w:rsidR="00E718A6" w:rsidRPr="00FB4EFA">
        <w:rPr>
          <w:szCs w:val="24"/>
          <w:lang w:val="en-GB"/>
        </w:rPr>
        <w:t>post-doc researcher at the University of Vienna’s Department of Finno-Ugrian studies. His research interests include linguistic convergence in the Volga-Kama Region, corpus building, and the creation of didactic and reference materials for low-resource languages.</w:t>
      </w:r>
      <w:r w:rsidR="00E46BC8" w:rsidRPr="00FB4EFA">
        <w:rPr>
          <w:szCs w:val="24"/>
          <w:lang w:val="en-GB"/>
        </w:rPr>
        <w:t xml:space="preserve"> (</w:t>
      </w:r>
      <w:hyperlink r:id="rId545" w:history="1">
        <w:r w:rsidR="00E46BC8" w:rsidRPr="00FB4EFA">
          <w:rPr>
            <w:rStyle w:val="Hyperlink"/>
            <w:color w:val="auto"/>
            <w:szCs w:val="24"/>
            <w:lang w:val="en-GB"/>
          </w:rPr>
          <w:t>www.mari-language.com</w:t>
        </w:r>
      </w:hyperlink>
      <w:r w:rsidR="00E46BC8" w:rsidRPr="00FB4EFA">
        <w:rPr>
          <w:szCs w:val="24"/>
          <w:lang w:val="en-GB"/>
        </w:rPr>
        <w:t>)</w:t>
      </w:r>
    </w:p>
    <w:p w14:paraId="7117B76D" w14:textId="72EFDD06" w:rsidR="00E86FED" w:rsidRPr="00FB4EFA" w:rsidRDefault="00E86FED" w:rsidP="00AF0CAD">
      <w:pPr>
        <w:spacing w:after="240"/>
      </w:pPr>
      <w:r w:rsidRPr="00FB4EFA">
        <w:rPr>
          <w:b/>
          <w:bCs/>
        </w:rPr>
        <w:t>Márta Csire</w:t>
      </w:r>
      <w:r w:rsidRPr="00FB4EFA">
        <w:t xml:space="preserve"> (</w:t>
      </w:r>
      <w:hyperlink r:id="rId546" w:history="1">
        <w:r w:rsidRPr="00FB4EFA">
          <w:rPr>
            <w:i/>
            <w:iCs/>
          </w:rPr>
          <w:t>marta.csire@univie.ac.at</w:t>
        </w:r>
      </w:hyperlink>
      <w:r w:rsidRPr="00FB4EFA">
        <w:t xml:space="preserve">) ist Senior Lecturer für Ungarisch an der Abteilung für Finno-Ugristik der Universität Wien. Ihre </w:t>
      </w:r>
      <w:r w:rsidRPr="00FB4EFA">
        <w:rPr>
          <w:lang w:eastAsia="de-DE"/>
        </w:rPr>
        <w:t>Forschungsinteressen liegen auf den folgenden Gebieten: Ungarisch als Fremd- und Zweitsprache, Mehrsprachigkeit</w:t>
      </w:r>
      <w:r w:rsidR="00647C84" w:rsidRPr="00FB4EFA">
        <w:rPr>
          <w:lang w:eastAsia="de-DE"/>
        </w:rPr>
        <w:t xml:space="preserve"> und</w:t>
      </w:r>
      <w:r w:rsidRPr="00FB4EFA">
        <w:rPr>
          <w:lang w:eastAsia="de-DE"/>
        </w:rPr>
        <w:t xml:space="preserve"> Sprachentwicklung mehrsprachiger Kinder.</w:t>
      </w:r>
    </w:p>
    <w:p w14:paraId="05BF0FDF" w14:textId="1ECEDDE1" w:rsidR="00532903" w:rsidRPr="00FB4EFA" w:rsidRDefault="00A96E85" w:rsidP="00AF0CAD">
      <w:pPr>
        <w:keepLines/>
        <w:spacing w:after="240"/>
      </w:pPr>
      <w:r w:rsidRPr="00FB4EFA">
        <w:rPr>
          <w:b/>
          <w:bCs/>
          <w:szCs w:val="24"/>
          <w:lang w:val="de-DE"/>
        </w:rPr>
        <w:t xml:space="preserve">Domokos Johanna </w:t>
      </w:r>
      <w:r w:rsidRPr="00FB4EFA">
        <w:rPr>
          <w:szCs w:val="24"/>
          <w:lang w:val="de-DE"/>
        </w:rPr>
        <w:t>(</w:t>
      </w:r>
      <w:hyperlink r:id="rId547" w:history="1">
        <w:r w:rsidRPr="00FB4EFA">
          <w:rPr>
            <w:rStyle w:val="AuthorsChar"/>
            <w:rFonts w:ascii="Cambria" w:hAnsi="Cambria"/>
            <w:color w:val="auto"/>
            <w:szCs w:val="24"/>
            <w:lang w:val="de-DE"/>
          </w:rPr>
          <w:t>domokos.johanna@kre.hu</w:t>
        </w:r>
      </w:hyperlink>
      <w:r w:rsidRPr="00FB4EFA">
        <w:rPr>
          <w:i/>
          <w:iCs/>
          <w:szCs w:val="24"/>
          <w:lang w:val="de-DE"/>
        </w:rPr>
        <w:t>)</w:t>
      </w:r>
      <w:r w:rsidRPr="00FB4EFA">
        <w:rPr>
          <w:szCs w:val="24"/>
          <w:lang w:val="de-DE"/>
        </w:rPr>
        <w:t xml:space="preserve"> </w:t>
      </w:r>
      <w:r w:rsidR="00532903" w:rsidRPr="00FB4EFA">
        <w:rPr>
          <w:szCs w:val="24"/>
          <w:lang w:val="de-DE"/>
        </w:rPr>
        <w:t>irodalomkutató, fordító, költő. Jelenleg a Károli Gáspár Református Egyetem Művészettudományi és Szabadbölcsészeti Intézetének docense, valamint a Fordítói és Kiadói Laboratórium vezetője a Bielefeldi Egyetem Nyelvi Tanszékén</w:t>
      </w:r>
      <w:r w:rsidR="00532903" w:rsidRPr="00FB4EFA">
        <w:rPr>
          <w:i/>
          <w:iCs/>
          <w:szCs w:val="24"/>
          <w:lang w:val="de-DE"/>
        </w:rPr>
        <w:t xml:space="preserve">. </w:t>
      </w:r>
      <w:r w:rsidR="00532903" w:rsidRPr="00FB4EFA">
        <w:rPr>
          <w:szCs w:val="24"/>
        </w:rPr>
        <w:t xml:space="preserve">Kutatási területe a </w:t>
      </w:r>
      <w:r w:rsidR="00532903" w:rsidRPr="00FB4EFA">
        <w:t>többnyelv</w:t>
      </w:r>
      <w:r w:rsidR="00532903" w:rsidRPr="00FB4EFA">
        <w:rPr>
          <w:rFonts w:cs="Cambria"/>
        </w:rPr>
        <w:t>ű</w:t>
      </w:r>
      <w:r w:rsidR="00532903" w:rsidRPr="00FB4EFA">
        <w:t>s</w:t>
      </w:r>
      <w:r w:rsidR="00532903" w:rsidRPr="00FB4EFA">
        <w:rPr>
          <w:rFonts w:cs="Baskerville Old Face"/>
        </w:rPr>
        <w:t>é</w:t>
      </w:r>
      <w:r w:rsidR="00532903" w:rsidRPr="00FB4EFA">
        <w:t xml:space="preserve">g </w:t>
      </w:r>
      <w:r w:rsidR="00532903" w:rsidRPr="00FB4EFA">
        <w:rPr>
          <w:rFonts w:cs="Baskerville Old Face"/>
        </w:rPr>
        <w:t>é</w:t>
      </w:r>
      <w:r w:rsidR="00532903" w:rsidRPr="00FB4EFA">
        <w:t>s a vesz</w:t>
      </w:r>
      <w:r w:rsidR="00532903" w:rsidRPr="00FB4EFA">
        <w:rPr>
          <w:rFonts w:cs="Baskerville Old Face"/>
        </w:rPr>
        <w:t>é</w:t>
      </w:r>
      <w:r w:rsidR="00532903" w:rsidRPr="00FB4EFA">
        <w:t>lyeztetett irodalmak</w:t>
      </w:r>
      <w:r w:rsidR="005E3226" w:rsidRPr="00FB4EFA">
        <w:t>.</w:t>
      </w:r>
      <w:r w:rsidR="00532903" w:rsidRPr="00FB4EFA">
        <w:rPr>
          <w:b/>
          <w:bCs/>
          <w:lang w:val="de-DE"/>
        </w:rPr>
        <w:t xml:space="preserve"> (</w:t>
      </w:r>
      <w:hyperlink r:id="rId548" w:history="1">
        <w:r w:rsidR="002A3BC9" w:rsidRPr="00FB4EFA">
          <w:rPr>
            <w:rStyle w:val="Hyperlink"/>
            <w:rFonts w:eastAsia="Calibri" w:cs="Calibri"/>
            <w:iCs/>
            <w:color w:val="auto"/>
            <w:lang w:eastAsia="en-GB"/>
          </w:rPr>
          <w:t>www.uni-bielefeld.de/einrichtungen/fsz/projects/gruppe-bie/</w:t>
        </w:r>
      </w:hyperlink>
      <w:r w:rsidR="00532903" w:rsidRPr="00FB4EFA">
        <w:t xml:space="preserve">, </w:t>
      </w:r>
      <w:hyperlink r:id="rId549" w:history="1">
        <w:r w:rsidR="00532903" w:rsidRPr="00FB4EFA">
          <w:rPr>
            <w:u w:val="single"/>
          </w:rPr>
          <w:t>btk.kre.hu/</w:t>
        </w:r>
        <w:r w:rsidR="002A3BC9" w:rsidRPr="00FB4EFA">
          <w:rPr>
            <w:u w:val="single"/>
          </w:rPr>
          <w:br/>
        </w:r>
        <w:r w:rsidR="00532903" w:rsidRPr="00FB4EFA">
          <w:rPr>
            <w:u w:val="single"/>
          </w:rPr>
          <w:t>index.php/domokos-johanna</w:t>
        </w:r>
      </w:hyperlink>
      <w:r w:rsidR="00532903" w:rsidRPr="00FB4EFA">
        <w:t>)</w:t>
      </w:r>
    </w:p>
    <w:p w14:paraId="2D89F716" w14:textId="2B62B3EA" w:rsidR="00A96E85" w:rsidRPr="00FB4EFA" w:rsidRDefault="00A96E85" w:rsidP="00AF0CAD">
      <w:pPr>
        <w:keepLines/>
        <w:spacing w:after="240"/>
        <w:rPr>
          <w:b/>
          <w:bCs/>
          <w:szCs w:val="24"/>
          <w:lang w:val="de-DE"/>
        </w:rPr>
      </w:pPr>
      <w:r w:rsidRPr="00FB4EFA">
        <w:rPr>
          <w:b/>
          <w:bCs/>
          <w:lang w:val="de-DE"/>
        </w:rPr>
        <w:t>Erika Erlinghagen</w:t>
      </w:r>
      <w:r w:rsidR="00D909CA" w:rsidRPr="00FB4EFA">
        <w:rPr>
          <w:b/>
          <w:bCs/>
          <w:lang w:val="de-DE"/>
        </w:rPr>
        <w:t xml:space="preserve"> </w:t>
      </w:r>
      <w:r w:rsidR="00D909CA" w:rsidRPr="00FB4EFA">
        <w:rPr>
          <w:rFonts w:cs="Arial"/>
          <w:lang w:val="en-GB"/>
        </w:rPr>
        <w:t>(</w:t>
      </w:r>
      <w:hyperlink r:id="rId550" w:history="1">
        <w:r w:rsidR="00D909CA" w:rsidRPr="00FB4EFA">
          <w:rPr>
            <w:rFonts w:cs="Arial"/>
            <w:i/>
            <w:iCs/>
            <w:lang w:val="en-GB"/>
          </w:rPr>
          <w:t>erika.erlinghagen@univie.ac.at</w:t>
        </w:r>
      </w:hyperlink>
      <w:r w:rsidR="00D909CA" w:rsidRPr="00FB4EFA">
        <w:rPr>
          <w:rFonts w:cs="Arial"/>
          <w:lang w:val="en-GB"/>
        </w:rPr>
        <w:t>)</w:t>
      </w:r>
      <w:r w:rsidR="00D909CA" w:rsidRPr="00FB4EFA">
        <w:t xml:space="preserve"> </w:t>
      </w:r>
      <w:r w:rsidR="001E7140" w:rsidRPr="00FB4EFA">
        <w:t>ist Universitäts</w:t>
      </w:r>
      <w:r w:rsidR="001E7140" w:rsidRPr="00FB4EFA">
        <w:softHyphen/>
        <w:t>assistentin (Post-Doc) für Hungarologie an der Abteilung</w:t>
      </w:r>
      <w:r w:rsidR="00E135BE" w:rsidRPr="00FB4EFA">
        <w:t xml:space="preserve"> für</w:t>
      </w:r>
      <w:r w:rsidR="001E7140" w:rsidRPr="00FB4EFA">
        <w:t xml:space="preserve"> Finno-Ugristik der Universität Wien. Ihre Forschungsarbeiten sind den </w:t>
      </w:r>
      <w:r w:rsidR="00E135BE" w:rsidRPr="00FB4EFA">
        <w:br/>
      </w:r>
      <w:r w:rsidR="001E7140" w:rsidRPr="00FB4EFA">
        <w:t xml:space="preserve">Bereichen der Literatursoziologie, </w:t>
      </w:r>
      <w:r w:rsidR="00647C84" w:rsidRPr="00FB4EFA">
        <w:t xml:space="preserve">der </w:t>
      </w:r>
      <w:r w:rsidR="001E7140" w:rsidRPr="00FB4EFA">
        <w:t>Kulturpolitikfo</w:t>
      </w:r>
      <w:r w:rsidR="00647C84" w:rsidRPr="00FB4EFA">
        <w:t>r</w:t>
      </w:r>
      <w:r w:rsidR="001E7140" w:rsidRPr="00FB4EFA">
        <w:t>schung sowie der Minderheitenliteraturen und deren Vermittlung zuzuordnen.</w:t>
      </w:r>
    </w:p>
    <w:p w14:paraId="226333FA" w14:textId="69A32853" w:rsidR="002501C1" w:rsidRPr="00FB4EFA" w:rsidRDefault="002501C1" w:rsidP="00AF0CAD">
      <w:pPr>
        <w:keepLines/>
        <w:spacing w:after="240"/>
        <w:rPr>
          <w:b/>
          <w:bCs/>
          <w:szCs w:val="24"/>
          <w:lang w:val="de-DE"/>
        </w:rPr>
      </w:pPr>
      <w:r w:rsidRPr="00FB4EFA">
        <w:rPr>
          <w:b/>
          <w:bCs/>
          <w:lang w:val="de-DE"/>
        </w:rPr>
        <w:lastRenderedPageBreak/>
        <w:t xml:space="preserve">Tamás </w:t>
      </w:r>
      <w:bookmarkStart w:id="154" w:name="_Hlk104307096"/>
      <w:r w:rsidRPr="00FB4EFA">
        <w:rPr>
          <w:b/>
          <w:bCs/>
          <w:lang w:val="de-DE"/>
        </w:rPr>
        <w:t>Forgács</w:t>
      </w:r>
      <w:r w:rsidRPr="00FB4EFA">
        <w:rPr>
          <w:lang w:val="de-DE"/>
        </w:rPr>
        <w:t xml:space="preserve"> </w:t>
      </w:r>
      <w:bookmarkEnd w:id="154"/>
      <w:r w:rsidRPr="00FB4EFA">
        <w:rPr>
          <w:lang w:val="de-DE"/>
        </w:rPr>
        <w:t>(</w:t>
      </w:r>
      <w:hyperlink r:id="rId551" w:history="1">
        <w:r w:rsidR="001E7140" w:rsidRPr="00FB4EFA">
          <w:rPr>
            <w:rStyle w:val="Hyperlink"/>
            <w:i/>
            <w:iCs/>
            <w:color w:val="auto"/>
            <w:u w:val="none"/>
            <w:lang w:val="de-DE"/>
          </w:rPr>
          <w:t>forgacs@hung.u-szeged.hu</w:t>
        </w:r>
      </w:hyperlink>
      <w:r w:rsidRPr="00FB4EFA">
        <w:rPr>
          <w:lang w:val="hu-HU"/>
        </w:rPr>
        <w:t>)</w:t>
      </w:r>
      <w:r w:rsidRPr="00FB4EFA">
        <w:t xml:space="preserve"> </w:t>
      </w:r>
      <w:r w:rsidRPr="00FB4EFA">
        <w:rPr>
          <w:lang w:val="de-DE"/>
        </w:rPr>
        <w:t>ist Professor und Lehrstuhl</w:t>
      </w:r>
      <w:r w:rsidR="00FD360E" w:rsidRPr="00FB4EFA">
        <w:rPr>
          <w:lang w:val="de-DE"/>
        </w:rPr>
        <w:t xml:space="preserve">inhaber </w:t>
      </w:r>
      <w:r w:rsidRPr="00FB4EFA">
        <w:rPr>
          <w:lang w:val="de-DE"/>
        </w:rPr>
        <w:t xml:space="preserve">für Ungarische Sprachwissenschaft der Universität Szeged. Seine Forschungsschwerpunkte sind diachrone Sprachwissenschaft und </w:t>
      </w:r>
      <w:r w:rsidR="00FD360E" w:rsidRPr="00FB4EFA">
        <w:rPr>
          <w:lang w:val="de-DE"/>
        </w:rPr>
        <w:br/>
      </w:r>
      <w:r w:rsidRPr="00FB4EFA">
        <w:rPr>
          <w:lang w:val="de-DE"/>
        </w:rPr>
        <w:t xml:space="preserve">Phraseologie. Er war zwischen 1988 und 1993 als Lektor für Ungarisch an der Georg-August-Universität in Göttingen und 2012/2013 und 2014/2015 als Gastprofessor </w:t>
      </w:r>
      <w:r w:rsidR="001E7140" w:rsidRPr="00FB4EFA">
        <w:rPr>
          <w:lang w:val="de-DE"/>
        </w:rPr>
        <w:t>a</w:t>
      </w:r>
      <w:r w:rsidRPr="00FB4EFA">
        <w:rPr>
          <w:lang w:val="de-DE"/>
        </w:rPr>
        <w:t>n der Abteilung für Finno</w:t>
      </w:r>
      <w:r w:rsidR="005F2FC4" w:rsidRPr="00FB4EFA">
        <w:rPr>
          <w:lang w:val="de-DE"/>
        </w:rPr>
        <w:t>-U</w:t>
      </w:r>
      <w:r w:rsidRPr="00FB4EFA">
        <w:rPr>
          <w:lang w:val="de-DE"/>
        </w:rPr>
        <w:t>gristik der Universität Wien tätig. (</w:t>
      </w:r>
      <w:bookmarkStart w:id="155" w:name="_Hlk104307118"/>
      <w:r w:rsidR="001303E2" w:rsidRPr="00FB4EFA">
        <w:rPr>
          <w:u w:val="single"/>
        </w:rPr>
        <w:fldChar w:fldCharType="begin"/>
      </w:r>
      <w:r w:rsidR="00E34602" w:rsidRPr="00FB4EFA">
        <w:rPr>
          <w:u w:val="single"/>
        </w:rPr>
        <w:instrText>HYPERLINK "http://mnyelv.szte.hu/Forgacs.html"</w:instrText>
      </w:r>
      <w:r w:rsidR="005B6880" w:rsidRPr="00FB4EFA">
        <w:rPr>
          <w:u w:val="single"/>
        </w:rPr>
      </w:r>
      <w:r w:rsidR="001303E2" w:rsidRPr="00FB4EFA">
        <w:rPr>
          <w:u w:val="single"/>
        </w:rPr>
        <w:fldChar w:fldCharType="separate"/>
      </w:r>
      <w:r w:rsidRPr="00FB4EFA">
        <w:rPr>
          <w:u w:val="single"/>
          <w:lang w:val="hu-HU"/>
        </w:rPr>
        <w:t>mnyelv.szte.hu/Forgacs.htm</w:t>
      </w:r>
      <w:r w:rsidR="001303E2" w:rsidRPr="00FB4EFA">
        <w:rPr>
          <w:u w:val="single"/>
          <w:lang w:val="hu-HU"/>
        </w:rPr>
        <w:fldChar w:fldCharType="end"/>
      </w:r>
      <w:bookmarkEnd w:id="155"/>
      <w:r w:rsidR="00E34602" w:rsidRPr="00FB4EFA">
        <w:rPr>
          <w:u w:val="single"/>
          <w:lang w:val="hu-HU"/>
        </w:rPr>
        <w:t>l</w:t>
      </w:r>
      <w:r w:rsidRPr="00FB4EFA">
        <w:rPr>
          <w:lang w:val="hu-HU"/>
        </w:rPr>
        <w:t>)</w:t>
      </w:r>
    </w:p>
    <w:p w14:paraId="0E4812CC" w14:textId="75364846" w:rsidR="002501C1" w:rsidRPr="00FB4EFA" w:rsidRDefault="002501C1" w:rsidP="00AF0CAD">
      <w:pPr>
        <w:keepLines/>
        <w:spacing w:after="240"/>
        <w:rPr>
          <w:szCs w:val="24"/>
          <w:lang w:val="de-DE"/>
        </w:rPr>
      </w:pPr>
      <w:r w:rsidRPr="00FB4EFA">
        <w:rPr>
          <w:b/>
          <w:bCs/>
          <w:szCs w:val="24"/>
          <w:lang w:val="de-DE"/>
        </w:rPr>
        <w:t>Riho Grünthal</w:t>
      </w:r>
      <w:r w:rsidR="00901A38" w:rsidRPr="00FB4EFA">
        <w:rPr>
          <w:b/>
          <w:bCs/>
          <w:szCs w:val="24"/>
          <w:lang w:val="de-DE"/>
        </w:rPr>
        <w:t xml:space="preserve"> </w:t>
      </w:r>
      <w:r w:rsidR="00901A38" w:rsidRPr="00FB4EFA">
        <w:rPr>
          <w:lang w:val="fi-FI"/>
        </w:rPr>
        <w:t>(</w:t>
      </w:r>
      <w:hyperlink r:id="rId552" w:history="1">
        <w:r w:rsidR="001E7140" w:rsidRPr="00FB4EFA">
          <w:rPr>
            <w:rStyle w:val="Hyperlink"/>
            <w:i/>
            <w:iCs/>
            <w:color w:val="auto"/>
            <w:u w:val="none"/>
            <w:lang w:val="fi-FI"/>
          </w:rPr>
          <w:t>riho.grunthal@helsinki.fi</w:t>
        </w:r>
      </w:hyperlink>
      <w:r w:rsidR="00901A38" w:rsidRPr="00FB4EFA">
        <w:rPr>
          <w:lang w:val="fi-FI"/>
        </w:rPr>
        <w:t>) on itämerensuomalaisten kielten professori Helsingin yliopistossa ja Suomalais-Ugrilaisen Seuran esimies. Hän on tutkinut erityisesti läntisiä suomalais-ugrilaisia kieliä, kielen ja kieliyhteisön muutosta sekä kielikontakteja.</w:t>
      </w:r>
    </w:p>
    <w:p w14:paraId="6ABA7C54" w14:textId="41417230" w:rsidR="00A96E85" w:rsidRPr="00FB4EFA" w:rsidRDefault="00A96E85" w:rsidP="00AF0CAD">
      <w:pPr>
        <w:spacing w:after="240"/>
      </w:pPr>
      <w:r w:rsidRPr="00FB4EFA">
        <w:rPr>
          <w:b/>
          <w:bCs/>
        </w:rPr>
        <w:t>Luan Hammer</w:t>
      </w:r>
      <w:r w:rsidRPr="00FB4EFA">
        <w:t xml:space="preserve"> (</w:t>
      </w:r>
      <w:hyperlink r:id="rId553" w:history="1">
        <w:r w:rsidR="00166902" w:rsidRPr="00FB4EFA">
          <w:rPr>
            <w:rStyle w:val="Hyperlink"/>
            <w:i/>
            <w:iCs/>
            <w:color w:val="auto"/>
            <w:u w:val="none"/>
          </w:rPr>
          <w:t>luan.merlin.hammer@univie.ac.at</w:t>
        </w:r>
      </w:hyperlink>
      <w:r w:rsidRPr="00FB4EFA">
        <w:t xml:space="preserve">) </w:t>
      </w:r>
      <w:r w:rsidR="00166902" w:rsidRPr="00FB4EFA">
        <w:t>is a master</w:t>
      </w:r>
      <w:r w:rsidR="00E135BE" w:rsidRPr="00FB4EFA">
        <w:rPr>
          <w:lang w:val="en-IE"/>
        </w:rPr>
        <w:t>’</w:t>
      </w:r>
      <w:r w:rsidR="00166902" w:rsidRPr="00FB4EFA">
        <w:t>s student of Finno-Ugrian studies and a bachelor</w:t>
      </w:r>
      <w:r w:rsidR="00E135BE" w:rsidRPr="00FB4EFA">
        <w:rPr>
          <w:lang w:val="en-IE"/>
        </w:rPr>
        <w:t>’</w:t>
      </w:r>
      <w:r w:rsidR="00166902" w:rsidRPr="00FB4EFA">
        <w:t>s student of computer science at the University of Vienna</w:t>
      </w:r>
      <w:r w:rsidRPr="00FB4EFA">
        <w:t>. Their main interest are the languages of the Volga-Kama area, especially Mari.</w:t>
      </w:r>
    </w:p>
    <w:p w14:paraId="66FC3F7D" w14:textId="079F0A2F" w:rsidR="008E0BE4" w:rsidRPr="00FB4EFA" w:rsidRDefault="008E0BE4" w:rsidP="00AF0CAD">
      <w:pPr>
        <w:spacing w:after="240"/>
      </w:pPr>
      <w:r w:rsidRPr="00FB4EFA">
        <w:rPr>
          <w:b/>
          <w:bCs/>
        </w:rPr>
        <w:t>Endre Hárs</w:t>
      </w:r>
      <w:r w:rsidRPr="00FB4EFA">
        <w:t xml:space="preserve"> (</w:t>
      </w:r>
      <w:hyperlink r:id="rId554" w:history="1">
        <w:r w:rsidRPr="00FB4EFA">
          <w:rPr>
            <w:rStyle w:val="Hyperlink"/>
            <w:i/>
            <w:iCs/>
            <w:color w:val="auto"/>
            <w:u w:val="none"/>
          </w:rPr>
          <w:t>hars@lit.u-szeged.hu</w:t>
        </w:r>
      </w:hyperlink>
      <w:r w:rsidRPr="00FB4EFA">
        <w:t xml:space="preserve">) ist Professor am Institut für Germanistik der Universität Szeged. Er war 2020–2021 Gastprofessor für Hungarologie an der Universität Wien. Seine aktuellen Forschungsschwerpunkte sind die Literatur-, Kultur- und Mediengeschichte Österreich-Ungarns (1867–1918) und die fantastische Literatur (deutsch &amp; ungarisch). Seine Monografie </w:t>
      </w:r>
      <w:r w:rsidRPr="00FB4EFA">
        <w:rPr>
          <w:i/>
          <w:iCs/>
        </w:rPr>
        <w:t>Der mediale Fußabdruck. Zum Werk des Wiener Feuilletonisten Ludwig Hevesi (1843–1910)</w:t>
      </w:r>
      <w:r w:rsidRPr="00FB4EFA">
        <w:t xml:space="preserve"> (2020) berührt beide Forschungsgebiete.</w:t>
      </w:r>
    </w:p>
    <w:p w14:paraId="3C6D4D00" w14:textId="3A83C140" w:rsidR="00A96E85" w:rsidRPr="00FB4EFA" w:rsidRDefault="00A96E85" w:rsidP="00AF0CAD">
      <w:pPr>
        <w:keepLines/>
        <w:spacing w:after="240"/>
        <w:rPr>
          <w:rFonts w:eastAsia="Times New Roman" w:cs="Times New Roman"/>
        </w:rPr>
      </w:pPr>
      <w:r w:rsidRPr="00FB4EFA">
        <w:rPr>
          <w:rFonts w:eastAsia="Times New Roman" w:cs="Times New Roman"/>
          <w:b/>
          <w:bCs/>
          <w:lang w:val="en-US"/>
        </w:rPr>
        <w:t>Cornelius Hasselblatt</w:t>
      </w:r>
      <w:r w:rsidRPr="00FB4EFA">
        <w:rPr>
          <w:rFonts w:eastAsia="Times New Roman" w:cs="Times New Roman"/>
          <w:lang w:val="en-US"/>
        </w:rPr>
        <w:t xml:space="preserve"> (</w:t>
      </w:r>
      <w:hyperlink r:id="rId555" w:history="1">
        <w:r w:rsidR="001E7140" w:rsidRPr="00FB4EFA">
          <w:rPr>
            <w:rStyle w:val="Hyperlink"/>
            <w:rFonts w:eastAsia="Times New Roman" w:cs="Times New Roman"/>
            <w:i/>
            <w:iCs/>
            <w:color w:val="auto"/>
            <w:u w:val="none"/>
            <w:lang w:val="en-US"/>
          </w:rPr>
          <w:t>cornelius@hasselblatt.com</w:t>
        </w:r>
      </w:hyperlink>
      <w:r w:rsidRPr="00FB4EFA">
        <w:rPr>
          <w:rFonts w:eastAsia="Times New Roman" w:cs="Times New Roman"/>
          <w:lang w:val="en-US"/>
        </w:rPr>
        <w:t>) war von 1998 bis 2014 Ordinarius für Finnougrische Sprachen und Literaturen an der Universität Groningen. Hauptforschungsgebiete sind Sprachkontakt, Ostseefennistik</w:t>
      </w:r>
      <w:r w:rsidR="00647C84" w:rsidRPr="00FB4EFA">
        <w:rPr>
          <w:rFonts w:eastAsia="Times New Roman" w:cs="Times New Roman"/>
          <w:lang w:val="en-US"/>
        </w:rPr>
        <w:t xml:space="preserve"> und</w:t>
      </w:r>
      <w:r w:rsidRPr="00FB4EFA">
        <w:rPr>
          <w:rFonts w:eastAsia="Times New Roman" w:cs="Times New Roman"/>
          <w:lang w:val="en-US"/>
        </w:rPr>
        <w:t xml:space="preserve"> </w:t>
      </w:r>
      <w:r w:rsidR="006219BF" w:rsidRPr="00FB4EFA">
        <w:rPr>
          <w:rFonts w:eastAsia="Times New Roman" w:cs="Times New Roman"/>
          <w:lang w:val="en-US"/>
        </w:rPr>
        <w:t>e</w:t>
      </w:r>
      <w:r w:rsidRPr="00FB4EFA">
        <w:rPr>
          <w:rFonts w:eastAsia="Times New Roman" w:cs="Times New Roman"/>
          <w:lang w:val="en-US"/>
        </w:rPr>
        <w:t>stnische Sprache, Kultur, Literatur und Geschichte.</w:t>
      </w:r>
    </w:p>
    <w:p w14:paraId="6DD5127B" w14:textId="070BF0F3" w:rsidR="00A96E85" w:rsidRPr="00FB4EFA" w:rsidRDefault="00A96E85" w:rsidP="00AF0CAD">
      <w:pPr>
        <w:keepLines/>
        <w:spacing w:after="240"/>
        <w:rPr>
          <w:b/>
          <w:bCs/>
        </w:rPr>
      </w:pPr>
      <w:r w:rsidRPr="00FB4EFA">
        <w:rPr>
          <w:b/>
          <w:bCs/>
        </w:rPr>
        <w:t>Johannes Hirvonen</w:t>
      </w:r>
      <w:r w:rsidR="00EF32EA" w:rsidRPr="00FB4EFA">
        <w:rPr>
          <w:b/>
          <w:bCs/>
        </w:rPr>
        <w:t xml:space="preserve"> </w:t>
      </w:r>
      <w:r w:rsidR="00EF32EA" w:rsidRPr="00FB4EFA">
        <w:t>(</w:t>
      </w:r>
      <w:hyperlink r:id="rId556" w:history="1">
        <w:r w:rsidR="001E7140" w:rsidRPr="00FB4EFA">
          <w:rPr>
            <w:rStyle w:val="Hyperlink"/>
            <w:i/>
            <w:iCs/>
            <w:color w:val="auto"/>
            <w:u w:val="none"/>
          </w:rPr>
          <w:t>johannes.hirvonen@univie.ac.at</w:t>
        </w:r>
      </w:hyperlink>
      <w:r w:rsidR="00EF32EA" w:rsidRPr="00FB4EFA">
        <w:t>) ist Doktorand an der Abteilung</w:t>
      </w:r>
      <w:r w:rsidR="00E135BE" w:rsidRPr="00FB4EFA">
        <w:t xml:space="preserve"> für</w:t>
      </w:r>
      <w:r w:rsidR="00EF32EA" w:rsidRPr="00FB4EFA">
        <w:t xml:space="preserve"> Finno-Ugristik der Universität Wien. Er erforscht und beschreibt im Rahmen des Projekts „LIDIVOKA: Linguistic Diversity in the Volga-Kama Region“ die Sprachenvielfalt des Wolga-Kama Gebiets. (</w:t>
      </w:r>
      <w:hyperlink r:id="rId557" w:history="1">
        <w:r w:rsidR="00EF32EA" w:rsidRPr="00FB4EFA">
          <w:rPr>
            <w:u w:val="single"/>
          </w:rPr>
          <w:t>lidivoka.univie.ac.at</w:t>
        </w:r>
      </w:hyperlink>
      <w:r w:rsidR="00EF32EA" w:rsidRPr="00FB4EFA">
        <w:t>)</w:t>
      </w:r>
    </w:p>
    <w:p w14:paraId="180473E8" w14:textId="7BA072BA" w:rsidR="00A96E85" w:rsidRPr="00FB4EFA" w:rsidRDefault="00A96E85" w:rsidP="00AF0CAD">
      <w:pPr>
        <w:keepLines/>
        <w:spacing w:after="240"/>
      </w:pPr>
      <w:r w:rsidRPr="00FB4EFA">
        <w:rPr>
          <w:b/>
          <w:bCs/>
        </w:rPr>
        <w:lastRenderedPageBreak/>
        <w:t>Sampsa Holopainen</w:t>
      </w:r>
      <w:r w:rsidR="00EF32EA" w:rsidRPr="00FB4EFA">
        <w:t xml:space="preserve"> </w:t>
      </w:r>
      <w:r w:rsidR="00EF32EA" w:rsidRPr="00FB4EFA">
        <w:rPr>
          <w:rFonts w:eastAsia="Times New Roman" w:cs="Times New Roman"/>
          <w:lang w:val="en-US" w:eastAsia="en-GB"/>
        </w:rPr>
        <w:t>(</w:t>
      </w:r>
      <w:hyperlink r:id="rId558" w:history="1">
        <w:r w:rsidR="001E7140" w:rsidRPr="00FB4EFA">
          <w:rPr>
            <w:rStyle w:val="Hyperlink"/>
            <w:rFonts w:eastAsia="Times New Roman" w:cs="Times New Roman"/>
            <w:i/>
            <w:iCs/>
            <w:color w:val="auto"/>
            <w:u w:val="none"/>
            <w:lang w:val="en-US" w:eastAsia="en-GB"/>
          </w:rPr>
          <w:t>sampsa.petteri.holopainen@univie.ac.at</w:t>
        </w:r>
      </w:hyperlink>
      <w:r w:rsidR="00EF32EA" w:rsidRPr="00FB4EFA">
        <w:rPr>
          <w:rFonts w:eastAsia="Times New Roman" w:cs="Times New Roman"/>
          <w:lang w:val="en-US" w:eastAsia="en-GB"/>
        </w:rPr>
        <w:t xml:space="preserve">) is recipient </w:t>
      </w:r>
      <w:r w:rsidR="005E3226" w:rsidRPr="00FB4EFA">
        <w:rPr>
          <w:rStyle w:val="tojvnm2t"/>
        </w:rPr>
        <w:t>of an APART-GSK Fellowship of the Austrian Academy of Sciences at the Department of Finno-Ugrian studies of the University of Vienna</w:t>
      </w:r>
      <w:r w:rsidR="00EF32EA" w:rsidRPr="00FB4EFA">
        <w:rPr>
          <w:rFonts w:eastAsia="Times New Roman" w:cs="Times New Roman"/>
          <w:lang w:val="en-US" w:eastAsia="en-GB"/>
        </w:rPr>
        <w:t>. His main research interests include etymology and historical phonology of Uralic languages and contacts between the Uralic and Indo-European language families. Currently he is working on a project on Hungarian historical phonology and etymology. (</w:t>
      </w:r>
      <w:hyperlink r:id="rId559" w:history="1">
        <w:r w:rsidR="00EF32EA" w:rsidRPr="00FB4EFA">
          <w:rPr>
            <w:rFonts w:eastAsia="Times New Roman" w:cs="Times New Roman"/>
            <w:u w:val="single"/>
            <w:lang w:val="en-US" w:eastAsia="en-GB"/>
          </w:rPr>
          <w:t>ugric.univie.ac.at</w:t>
        </w:r>
      </w:hyperlink>
      <w:r w:rsidR="00EF32EA" w:rsidRPr="00FB4EFA">
        <w:rPr>
          <w:rFonts w:eastAsia="Times New Roman" w:cs="Times New Roman"/>
          <w:lang w:val="en-US" w:eastAsia="en-GB"/>
        </w:rPr>
        <w:t>)</w:t>
      </w:r>
    </w:p>
    <w:p w14:paraId="57AD4A96" w14:textId="24D03E45" w:rsidR="00A96E85" w:rsidRPr="00FB4EFA" w:rsidRDefault="00147C1B" w:rsidP="00AF0CAD">
      <w:pPr>
        <w:keepLines/>
        <w:spacing w:after="240"/>
        <w:rPr>
          <w:lang w:val="fi-FI"/>
        </w:rPr>
      </w:pPr>
      <w:r w:rsidRPr="00FB4EFA">
        <w:rPr>
          <w:b/>
          <w:bCs/>
          <w:lang w:val="fi-FI"/>
        </w:rPr>
        <w:t>Santeri Junttila</w:t>
      </w:r>
      <w:r w:rsidRPr="00FB4EFA">
        <w:rPr>
          <w:lang w:val="fi-FI"/>
        </w:rPr>
        <w:t xml:space="preserve"> (</w:t>
      </w:r>
      <w:hyperlink r:id="rId560" w:history="1">
        <w:r w:rsidRPr="00FB4EFA">
          <w:rPr>
            <w:i/>
            <w:iCs/>
            <w:lang w:val="fi-FI"/>
          </w:rPr>
          <w:t>santeri.junttila@iki.fi</w:t>
        </w:r>
      </w:hyperlink>
      <w:r w:rsidRPr="00FB4EFA">
        <w:rPr>
          <w:lang w:val="fi-FI"/>
        </w:rPr>
        <w:t>) tutkii etymologiaa ja äännehistoriaa. Tällä hetkellä hän valmistelee kantasuomen balttilaisten lainojen sanakirjaa Gripswooldin yliopiston tutkijana Etu-Pommerissa sekä päätoimittaa suomen vanhimman sanaston etymologista verkkosanakirjaa Helsingin yliopiston vierailevana tutkijana. (</w:t>
      </w:r>
      <w:hyperlink r:id="rId561" w:history="1">
        <w:r w:rsidRPr="00FB4EFA">
          <w:rPr>
            <w:u w:val="single"/>
            <w:lang w:val="fi-FI"/>
          </w:rPr>
          <w:t>blogs.helsinki.fi/santerijunttila</w:t>
        </w:r>
      </w:hyperlink>
      <w:r w:rsidR="008D5612" w:rsidRPr="00FB4EFA">
        <w:rPr>
          <w:u w:val="single"/>
          <w:lang w:val="fi-FI"/>
        </w:rPr>
        <w:t>/</w:t>
      </w:r>
      <w:r w:rsidRPr="00FB4EFA">
        <w:rPr>
          <w:lang w:val="fi-FI"/>
        </w:rPr>
        <w:t>)</w:t>
      </w:r>
    </w:p>
    <w:p w14:paraId="5D8B4A8E" w14:textId="49002B1A" w:rsidR="00232DF4" w:rsidRPr="00FB4EFA" w:rsidRDefault="00232DF4" w:rsidP="00AF0CAD">
      <w:pPr>
        <w:keepLines/>
        <w:spacing w:after="240"/>
        <w:rPr>
          <w:lang w:val="fi-FI"/>
        </w:rPr>
      </w:pPr>
      <w:r w:rsidRPr="00FB4EFA">
        <w:rPr>
          <w:b/>
          <w:bCs/>
          <w:lang w:val="fi-FI"/>
        </w:rPr>
        <w:t>Markus Juutinen</w:t>
      </w:r>
      <w:r w:rsidRPr="00FB4EFA">
        <w:rPr>
          <w:lang w:val="fi-FI"/>
        </w:rPr>
        <w:t xml:space="preserve"> (</w:t>
      </w:r>
      <w:hyperlink r:id="rId562" w:history="1">
        <w:r w:rsidRPr="00FB4EFA">
          <w:rPr>
            <w:rStyle w:val="Hyperlink"/>
            <w:i/>
            <w:iCs/>
            <w:color w:val="auto"/>
            <w:u w:val="none"/>
            <w:lang w:val="fi-FI"/>
          </w:rPr>
          <w:t>markus.juutinen@oulu.fi</w:t>
        </w:r>
      </w:hyperlink>
      <w:r w:rsidRPr="00FB4EFA">
        <w:rPr>
          <w:lang w:val="fi-FI"/>
        </w:rPr>
        <w:t>) on väitöskirjatutkija Oulun yliopiston Giellagas-instituutissa. Juutisen päätutkimusaiheita ovat koltansaamen kielikontaktit, joiden lisäksi hän tutkii myös muita uralilaisia kieliä, erityisesti saamelaiskieliä, sekä kolttasaamelaisten historiaa.</w:t>
      </w:r>
    </w:p>
    <w:p w14:paraId="603C7571" w14:textId="73A6F9D5" w:rsidR="0005630A" w:rsidRPr="00FB4EFA" w:rsidRDefault="00A96E85" w:rsidP="00AF0CAD">
      <w:pPr>
        <w:keepLines/>
        <w:spacing w:after="240"/>
        <w:rPr>
          <w:lang w:val="en-US"/>
        </w:rPr>
      </w:pPr>
      <w:r w:rsidRPr="00FB4EFA">
        <w:rPr>
          <w:b/>
          <w:bCs/>
        </w:rPr>
        <w:t>Annekatrin Kaivapalu</w:t>
      </w:r>
      <w:r w:rsidR="00EF32EA" w:rsidRPr="00FB4EFA">
        <w:rPr>
          <w:lang w:val="fi-FI"/>
        </w:rPr>
        <w:t xml:space="preserve"> (</w:t>
      </w:r>
      <w:hyperlink r:id="rId563" w:history="1">
        <w:r w:rsidR="001E7140" w:rsidRPr="00FB4EFA">
          <w:rPr>
            <w:rStyle w:val="Hyperlink"/>
            <w:i/>
            <w:iCs/>
            <w:color w:val="auto"/>
            <w:u w:val="none"/>
            <w:lang w:val="fi-FI"/>
          </w:rPr>
          <w:t>annekatrin.kaivapalu@uef.fi</w:t>
        </w:r>
      </w:hyperlink>
      <w:r w:rsidR="00EF32EA" w:rsidRPr="00FB4EFA">
        <w:rPr>
          <w:lang w:val="fi-FI"/>
        </w:rPr>
        <w:t xml:space="preserve">) on soome keele professor Ida-Soome ülikoolis. Tema peamised uurimisalad on teise keele omandamine, keeltevaheline mõju ja keeltevahelise sarnasuse tunnetamine, retseptiivne mitmekeelsus, keeleteadlikkus, eesti ja soome </w:t>
      </w:r>
      <w:r w:rsidR="00B85C8D" w:rsidRPr="00FB4EFA">
        <w:rPr>
          <w:lang w:val="fi-FI"/>
        </w:rPr>
        <w:br/>
      </w:r>
      <w:r w:rsidR="00EF32EA" w:rsidRPr="00FB4EFA">
        <w:rPr>
          <w:lang w:val="fi-FI"/>
        </w:rPr>
        <w:t xml:space="preserve">keele võrdlev uurimine. </w:t>
      </w:r>
      <w:r w:rsidR="00EF32EA" w:rsidRPr="00FB4EFA">
        <w:rPr>
          <w:lang w:val="en-US"/>
        </w:rPr>
        <w:t xml:space="preserve">Ta on ajakirja </w:t>
      </w:r>
      <w:r w:rsidR="00EF32EA" w:rsidRPr="00FB4EFA">
        <w:rPr>
          <w:i/>
          <w:iCs/>
          <w:lang w:val="en-US"/>
        </w:rPr>
        <w:t xml:space="preserve">Lähivõrdlusi. Lähivertailuja </w:t>
      </w:r>
      <w:r w:rsidR="00EF32EA" w:rsidRPr="00FB4EFA">
        <w:rPr>
          <w:lang w:val="en-US"/>
        </w:rPr>
        <w:t>peatoimetaja.</w:t>
      </w:r>
    </w:p>
    <w:p w14:paraId="54D0730D" w14:textId="00A3E18A" w:rsidR="0005630A" w:rsidRPr="00FB4EFA" w:rsidRDefault="0005630A" w:rsidP="00AF0CAD">
      <w:pPr>
        <w:keepLines/>
        <w:spacing w:after="240"/>
        <w:rPr>
          <w:rFonts w:eastAsia="Times New Roman" w:cs="Times New Roman"/>
          <w:lang w:val="fi-FI"/>
        </w:rPr>
      </w:pPr>
      <w:r w:rsidRPr="00FB4EFA">
        <w:rPr>
          <w:rFonts w:eastAsia="Times New Roman" w:cs="Times New Roman"/>
          <w:b/>
          <w:bCs/>
          <w:lang w:val="fi-FI"/>
        </w:rPr>
        <w:t>Mikko Kajander</w:t>
      </w:r>
      <w:r w:rsidRPr="00FB4EFA">
        <w:rPr>
          <w:rFonts w:eastAsia="Times New Roman" w:cs="Times New Roman"/>
          <w:lang w:val="fi-FI"/>
        </w:rPr>
        <w:t xml:space="preserve"> (</w:t>
      </w:r>
      <w:hyperlink r:id="rId564" w:history="1">
        <w:r w:rsidRPr="00FB4EFA">
          <w:rPr>
            <w:rFonts w:eastAsia="Times New Roman" w:cs="Times New Roman"/>
            <w:i/>
            <w:iCs/>
            <w:lang w:val="fi-FI"/>
          </w:rPr>
          <w:t>mikko.kajander@univie.ac.at</w:t>
        </w:r>
      </w:hyperlink>
      <w:r w:rsidRPr="00FB4EFA">
        <w:rPr>
          <w:rFonts w:eastAsia="Times New Roman" w:cs="Times New Roman"/>
          <w:lang w:val="fi-FI"/>
        </w:rPr>
        <w:t>) on työskennellyt suomen kielen lehtorina mm. Helsingin saksalaisessa koulussa (2002–2004), Kölnin yliopistossa (2004–2006) sekä Wienin yliopistossa vuodesta 2007 lähtien ja tutkii mielellään sitä, mitä opettaa. Hänen väitöskirjansa (2013) käsittelee S2-oppijoiden eksistentiaalilauseita.</w:t>
      </w:r>
    </w:p>
    <w:p w14:paraId="00DC414A" w14:textId="20BFA6F9" w:rsidR="00A96E85" w:rsidRPr="00FB4EFA" w:rsidRDefault="00A96E85" w:rsidP="00AF0CAD">
      <w:pPr>
        <w:spacing w:after="240"/>
      </w:pPr>
      <w:r w:rsidRPr="00FB4EFA">
        <w:rPr>
          <w:b/>
          <w:bCs/>
        </w:rPr>
        <w:t>Petri Kallio</w:t>
      </w:r>
      <w:r w:rsidRPr="00FB4EFA">
        <w:t xml:space="preserve"> (</w:t>
      </w:r>
      <w:hyperlink r:id="rId565" w:history="1">
        <w:r w:rsidRPr="00FB4EFA">
          <w:rPr>
            <w:rStyle w:val="AuthorsChar"/>
            <w:rFonts w:ascii="Cambria" w:hAnsi="Cambria"/>
            <w:color w:val="auto"/>
          </w:rPr>
          <w:t>petri.kallio@helsinki.fi</w:t>
        </w:r>
      </w:hyperlink>
      <w:r w:rsidRPr="00FB4EFA">
        <w:t xml:space="preserve">) is </w:t>
      </w:r>
      <w:r w:rsidR="000F32FA" w:rsidRPr="00FB4EFA">
        <w:t>associate</w:t>
      </w:r>
      <w:r w:rsidR="006576AF" w:rsidRPr="00FB4EFA">
        <w:t xml:space="preserve"> professor</w:t>
      </w:r>
      <w:r w:rsidRPr="00FB4EFA">
        <w:t xml:space="preserve"> of Indo-European and Finno-Ugrian linguistics at the University of Helsinki. (</w:t>
      </w:r>
      <w:hyperlink r:id="rId566" w:history="1">
        <w:r w:rsidRPr="00FB4EFA">
          <w:rPr>
            <w:rStyle w:val="AuthorsChar"/>
            <w:rFonts w:ascii="Cambria" w:hAnsi="Cambria"/>
            <w:i w:val="0"/>
            <w:iCs/>
            <w:color w:val="auto"/>
            <w:u w:val="single"/>
          </w:rPr>
          <w:t>www.mv.helsinki.fi/home/petkalli/</w:t>
        </w:r>
      </w:hyperlink>
      <w:r w:rsidRPr="00FB4EFA">
        <w:t>).</w:t>
      </w:r>
    </w:p>
    <w:p w14:paraId="27BFE7DE" w14:textId="78114144" w:rsidR="00A96E85" w:rsidRPr="00FB4EFA" w:rsidRDefault="007C0A3B" w:rsidP="00AF0CAD">
      <w:pPr>
        <w:keepLines/>
        <w:spacing w:after="240"/>
      </w:pPr>
      <w:r w:rsidRPr="00FB4EFA">
        <w:rPr>
          <w:b/>
          <w:bCs/>
        </w:rPr>
        <w:lastRenderedPageBreak/>
        <w:t>Ilona Kivinen</w:t>
      </w:r>
      <w:r w:rsidRPr="00FB4EFA">
        <w:t xml:space="preserve"> (</w:t>
      </w:r>
      <w:hyperlink r:id="rId567" w:history="1">
        <w:r w:rsidRPr="00FB4EFA">
          <w:rPr>
            <w:i/>
            <w:iCs/>
          </w:rPr>
          <w:t>ilona.kivinen@helsinki.fi</w:t>
        </w:r>
      </w:hyperlink>
      <w:r w:rsidRPr="00FB4EFA">
        <w:t xml:space="preserve">) on saamen yliopisto-opettajana Helsingin yliopiston suomalais-ugrilaisessa ja pohjoismaisessa osastossa. Hänen tutkimuskohteitaan ovat uralistiikka, historiallinen kielitiede, kielen muutos ja variaatio sekä sanastontutkimus. </w:t>
      </w:r>
      <w:r w:rsidR="005F2FC4" w:rsidRPr="00FB4EFA">
        <w:t>Hänen t</w:t>
      </w:r>
      <w:r w:rsidRPr="00FB4EFA">
        <w:t xml:space="preserve">ämänhetkinen tutkimuksensa </w:t>
      </w:r>
      <w:r w:rsidR="005F2FC4" w:rsidRPr="00FB4EFA">
        <w:rPr>
          <w:lang w:val="fi-FI"/>
        </w:rPr>
        <w:t xml:space="preserve">käsittelee </w:t>
      </w:r>
      <w:r w:rsidRPr="00FB4EFA">
        <w:t>pohjoissaamen adjektiivikategoriaa.</w:t>
      </w:r>
    </w:p>
    <w:p w14:paraId="7613C627" w14:textId="664203A5" w:rsidR="006576AF" w:rsidRPr="00FB4EFA" w:rsidRDefault="006576AF" w:rsidP="006576AF">
      <w:pPr>
        <w:keepLines/>
        <w:spacing w:after="240"/>
        <w:rPr>
          <w:lang w:val="en-US"/>
        </w:rPr>
      </w:pPr>
      <w:r w:rsidRPr="00FB4EFA">
        <w:rPr>
          <w:b/>
          <w:bCs/>
          <w:lang w:val="en-US"/>
        </w:rPr>
        <w:t>Birute Klaas-Lang</w:t>
      </w:r>
      <w:r w:rsidRPr="00FB4EFA">
        <w:rPr>
          <w:lang w:val="en-US"/>
        </w:rPr>
        <w:t xml:space="preserve"> (</w:t>
      </w:r>
      <w:hyperlink r:id="rId568" w:history="1">
        <w:r w:rsidRPr="00FB4EFA">
          <w:rPr>
            <w:i/>
            <w:iCs/>
            <w:lang w:val="en-US"/>
          </w:rPr>
          <w:t>birute.klaas-lang@ut.ee</w:t>
        </w:r>
      </w:hyperlink>
      <w:r w:rsidRPr="00FB4EFA">
        <w:rPr>
          <w:lang w:val="en-US"/>
        </w:rPr>
        <w:t xml:space="preserve">) is professor of Estonian as a foreign language at the University of Tartu and the head of the Department </w:t>
      </w:r>
      <w:r w:rsidR="005879DC" w:rsidRPr="00FB4EFA">
        <w:rPr>
          <w:lang w:val="en-US"/>
        </w:rPr>
        <w:t>of</w:t>
      </w:r>
      <w:r w:rsidRPr="00FB4EFA">
        <w:rPr>
          <w:lang w:val="en-US"/>
        </w:rPr>
        <w:t xml:space="preserve"> Applied Linguistics. Her research centr</w:t>
      </w:r>
      <w:r w:rsidR="007F30A7" w:rsidRPr="00FB4EFA">
        <w:rPr>
          <w:lang w:val="en-US"/>
        </w:rPr>
        <w:t>e</w:t>
      </w:r>
      <w:r w:rsidRPr="00FB4EFA">
        <w:rPr>
          <w:lang w:val="en-US"/>
        </w:rPr>
        <w:t>s on language contacts, areal linguistics, typology, and language policy and planning.</w:t>
      </w:r>
    </w:p>
    <w:p w14:paraId="10CB1E5A" w14:textId="52CD7CDD" w:rsidR="00A96E85" w:rsidRPr="00FB4EFA" w:rsidRDefault="00CF221C" w:rsidP="00AF0CAD">
      <w:pPr>
        <w:spacing w:after="240"/>
        <w:rPr>
          <w:b/>
          <w:bCs/>
        </w:rPr>
      </w:pPr>
      <w:r w:rsidRPr="00FB4EFA">
        <w:rPr>
          <w:b/>
          <w:bCs/>
        </w:rPr>
        <w:t>Károly Kókai</w:t>
      </w:r>
      <w:r w:rsidRPr="00FB4EFA">
        <w:t xml:space="preserve"> (</w:t>
      </w:r>
      <w:hyperlink r:id="rId569" w:history="1">
        <w:r w:rsidRPr="00FB4EFA">
          <w:rPr>
            <w:i/>
            <w:iCs/>
          </w:rPr>
          <w:t>karoly.kokai@univie.ac.at</w:t>
        </w:r>
      </w:hyperlink>
      <w:r w:rsidRPr="00FB4EFA">
        <w:t xml:space="preserve">) ist Mitarbeiter des Instituts für </w:t>
      </w:r>
      <w:r w:rsidR="005E3226" w:rsidRPr="00FB4EFA">
        <w:t>E</w:t>
      </w:r>
      <w:r w:rsidRPr="00FB4EFA">
        <w:t xml:space="preserve">uropäische und </w:t>
      </w:r>
      <w:r w:rsidR="005E3226" w:rsidRPr="00FB4EFA">
        <w:t>V</w:t>
      </w:r>
      <w:r w:rsidRPr="00FB4EFA">
        <w:t>ergleichende Sprach- und Literaturwissenschaft der Universität Wien. Seine Forschungsgebiete sind Kulturgeschichte der Migration, Kulturgeschichte der Avantgarden und vergleichende Kulturwissenschaft.</w:t>
      </w:r>
    </w:p>
    <w:p w14:paraId="5DBC0321" w14:textId="0CB5CBED" w:rsidR="00A96E85" w:rsidRPr="00FB4EFA" w:rsidRDefault="00A15082" w:rsidP="00AF0CAD">
      <w:pPr>
        <w:spacing w:after="240"/>
      </w:pPr>
      <w:r w:rsidRPr="00FB4EFA">
        <w:rPr>
          <w:b/>
          <w:bCs/>
          <w:lang w:val="sl-SI"/>
        </w:rPr>
        <w:t>Koll</w:t>
      </w:r>
      <w:r w:rsidRPr="00FB4EFA">
        <w:rPr>
          <w:b/>
          <w:bCs/>
        </w:rPr>
        <w:t>áth Anna</w:t>
      </w:r>
      <w:r w:rsidRPr="00FB4EFA">
        <w:t xml:space="preserve"> (</w:t>
      </w:r>
      <w:hyperlink r:id="rId570" w:history="1">
        <w:r w:rsidRPr="00FB4EFA">
          <w:rPr>
            <w:i/>
            <w:iCs/>
          </w:rPr>
          <w:t>anna.kollath@um.si</w:t>
        </w:r>
      </w:hyperlink>
      <w:r w:rsidRPr="00FB4EFA">
        <w:t>) a Maribori Egyetem Bölcsészettudományi Kara Magyar Nyelv és Irodalom Tanszékének nyelvészoktatója (redna profesorica). Fő kutatási területe a magyar–szlovén kétnyelvűség, a kétnyelvűség és a többnyelvűség összefüggései. Publikációi érintik a nyelvi tervezés, a nyelvművelés és a kétnyelvű oktatás kérdésköreit is.</w:t>
      </w:r>
    </w:p>
    <w:p w14:paraId="10D0EB99" w14:textId="4A18DAD3" w:rsidR="00A96E85" w:rsidRPr="00FB4EFA" w:rsidRDefault="00A96E85" w:rsidP="00AF0CAD">
      <w:pPr>
        <w:spacing w:after="240"/>
        <w:rPr>
          <w:rFonts w:cs="Charis SIL"/>
          <w:lang w:val="en-US"/>
        </w:rPr>
      </w:pPr>
      <w:r w:rsidRPr="00FB4EFA">
        <w:rPr>
          <w:rFonts w:cs="Charis SIL"/>
          <w:b/>
          <w:bCs/>
        </w:rPr>
        <w:t>Kadri Koreinik</w:t>
      </w:r>
      <w:r w:rsidR="003C3BD8" w:rsidRPr="00FB4EFA">
        <w:rPr>
          <w:rFonts w:cs="Charis SIL"/>
          <w:b/>
          <w:bCs/>
        </w:rPr>
        <w:t xml:space="preserve"> </w:t>
      </w:r>
      <w:r w:rsidR="003C3BD8" w:rsidRPr="00FB4EFA">
        <w:rPr>
          <w:rFonts w:cs="Charis SIL"/>
          <w:lang w:val="en-US"/>
        </w:rPr>
        <w:t>(</w:t>
      </w:r>
      <w:hyperlink r:id="rId571" w:history="1">
        <w:r w:rsidR="003C3BD8" w:rsidRPr="00FB4EFA">
          <w:rPr>
            <w:rFonts w:cs="Charis SIL"/>
            <w:i/>
            <w:iCs/>
            <w:lang w:val="en-US"/>
          </w:rPr>
          <w:t>kadri.koreinik@ut.ee</w:t>
        </w:r>
      </w:hyperlink>
      <w:r w:rsidR="003C3BD8" w:rsidRPr="00FB4EFA">
        <w:rPr>
          <w:rFonts w:cs="Charis SIL"/>
          <w:lang w:val="en-US"/>
        </w:rPr>
        <w:t xml:space="preserve">) is </w:t>
      </w:r>
      <w:r w:rsidR="005879DC" w:rsidRPr="00FB4EFA">
        <w:rPr>
          <w:rFonts w:cs="Charis SIL"/>
          <w:lang w:val="en-US"/>
        </w:rPr>
        <w:t>a</w:t>
      </w:r>
      <w:r w:rsidR="003C3BD8" w:rsidRPr="00FB4EFA">
        <w:rPr>
          <w:rFonts w:cs="Charis SIL"/>
          <w:lang w:val="en-US"/>
        </w:rPr>
        <w:t xml:space="preserve">ssociate </w:t>
      </w:r>
      <w:r w:rsidR="005879DC" w:rsidRPr="00FB4EFA">
        <w:rPr>
          <w:rFonts w:cs="Charis SIL"/>
          <w:lang w:val="en-US"/>
        </w:rPr>
        <w:t>p</w:t>
      </w:r>
      <w:r w:rsidR="003C3BD8" w:rsidRPr="00FB4EFA">
        <w:rPr>
          <w:rFonts w:cs="Charis SIL"/>
          <w:lang w:val="en-US"/>
        </w:rPr>
        <w:t xml:space="preserve">rofessor at the University of Tartu. Her research interests include language policy and sociolinguistics. She is the co-editor of the </w:t>
      </w:r>
      <w:r w:rsidR="006576AF" w:rsidRPr="00FB4EFA">
        <w:rPr>
          <w:rFonts w:cs="Charis SIL"/>
          <w:lang w:val="en-US"/>
        </w:rPr>
        <w:t>book</w:t>
      </w:r>
      <w:r w:rsidR="003C3BD8" w:rsidRPr="00FB4EFA">
        <w:rPr>
          <w:rFonts w:cs="Charis SIL"/>
          <w:lang w:val="en-US"/>
        </w:rPr>
        <w:t xml:space="preserve"> </w:t>
      </w:r>
      <w:r w:rsidR="003C3BD8" w:rsidRPr="00FB4EFA">
        <w:rPr>
          <w:rFonts w:cs="Charis SIL"/>
          <w:i/>
          <w:iCs/>
          <w:lang w:val="en-US"/>
        </w:rPr>
        <w:t xml:space="preserve">Language Policy beyond the State </w:t>
      </w:r>
      <w:r w:rsidR="003C3BD8" w:rsidRPr="00FB4EFA">
        <w:rPr>
          <w:rFonts w:cs="Charis SIL"/>
          <w:lang w:val="en-US"/>
        </w:rPr>
        <w:t>(2017, Springer).</w:t>
      </w:r>
    </w:p>
    <w:p w14:paraId="7A831453" w14:textId="4124CE97" w:rsidR="006576AF" w:rsidRPr="00FB4EFA" w:rsidRDefault="006576AF" w:rsidP="006576AF">
      <w:pPr>
        <w:spacing w:after="240"/>
      </w:pPr>
      <w:r w:rsidRPr="00FB4EFA">
        <w:rPr>
          <w:b/>
          <w:bCs/>
        </w:rPr>
        <w:t xml:space="preserve">Maria Köstlbauer </w:t>
      </w:r>
      <w:r w:rsidRPr="00FB4EFA">
        <w:t>(</w:t>
      </w:r>
      <w:hyperlink r:id="rId572" w:history="1">
        <w:r w:rsidRPr="00FB4EFA">
          <w:rPr>
            <w:i/>
            <w:iCs/>
          </w:rPr>
          <w:t>maria.anna.koestlbauer@univie.ac.at</w:t>
        </w:r>
      </w:hyperlink>
      <w:r w:rsidRPr="00FB4EFA">
        <w:t>) lehrt nebenberuflich an der Abteilung für Finno-Ugristik der Universität Wien mit Schwerpunkt finnische Sprachwissenschaft.</w:t>
      </w:r>
    </w:p>
    <w:p w14:paraId="11AFB029" w14:textId="40D49ACF" w:rsidR="006576AF" w:rsidRPr="00FB4EFA" w:rsidRDefault="006576AF" w:rsidP="006576AF">
      <w:pPr>
        <w:spacing w:after="240"/>
      </w:pPr>
      <w:r w:rsidRPr="00FB4EFA">
        <w:rPr>
          <w:b/>
          <w:bCs/>
        </w:rPr>
        <w:t>Imar Koutchoukali</w:t>
      </w:r>
      <w:r w:rsidRPr="00FB4EFA">
        <w:t xml:space="preserve"> (</w:t>
      </w:r>
      <w:hyperlink r:id="rId573" w:history="1">
        <w:r w:rsidRPr="00FB4EFA">
          <w:rPr>
            <w:rStyle w:val="Hyperlink"/>
            <w:i/>
            <w:iCs/>
            <w:color w:val="auto"/>
            <w:u w:val="none"/>
          </w:rPr>
          <w:t>imar.koutchoukali@ut.ee</w:t>
        </w:r>
      </w:hyperlink>
      <w:r w:rsidRPr="00FB4EFA">
        <w:t xml:space="preserve">) is a junior research fellow at the Faculty of Theology and Religious Studies at the University of </w:t>
      </w:r>
      <w:r w:rsidRPr="00FB4EFA">
        <w:br/>
        <w:t>Tartu. His research focuses on South Arabia in Late Antiquity and Early Islam, particularly on linguistic change. He has previously studied at Leiden University and Tallinn University.</w:t>
      </w:r>
    </w:p>
    <w:p w14:paraId="4213F177" w14:textId="3E612DB2" w:rsidR="00A96E85" w:rsidRPr="00FB4EFA" w:rsidRDefault="0052632F" w:rsidP="00AF0CAD">
      <w:pPr>
        <w:keepLines/>
        <w:spacing w:after="240"/>
        <w:rPr>
          <w:rFonts w:cs="Charis SIL"/>
        </w:rPr>
      </w:pPr>
      <w:r w:rsidRPr="00FB4EFA">
        <w:rPr>
          <w:rFonts w:cs="Charis SIL"/>
          <w:b/>
          <w:bCs/>
        </w:rPr>
        <w:lastRenderedPageBreak/>
        <w:t>Heini Lehtonen</w:t>
      </w:r>
      <w:r w:rsidRPr="00FB4EFA">
        <w:rPr>
          <w:rFonts w:cs="Charis SIL"/>
        </w:rPr>
        <w:t xml:space="preserve"> (</w:t>
      </w:r>
      <w:hyperlink r:id="rId574" w:history="1">
        <w:r w:rsidRPr="00FB4EFA">
          <w:rPr>
            <w:rStyle w:val="Hyperlink"/>
            <w:rFonts w:cs="Charis SIL"/>
            <w:i/>
            <w:iCs/>
            <w:color w:val="auto"/>
            <w:u w:val="none"/>
          </w:rPr>
          <w:t>heini.lehtonen@helsinki.fi</w:t>
        </w:r>
      </w:hyperlink>
      <w:r w:rsidRPr="00FB4EFA">
        <w:rPr>
          <w:rFonts w:cs="Charis SIL"/>
        </w:rPr>
        <w:t xml:space="preserve">) on sosiolingvisti ja kielipedagogi. Hän on toiminut </w:t>
      </w:r>
      <w:r w:rsidR="005F2FC4" w:rsidRPr="00FB4EFA">
        <w:rPr>
          <w:rFonts w:cs="Charis SIL"/>
        </w:rPr>
        <w:t>s</w:t>
      </w:r>
      <w:r w:rsidRPr="00FB4EFA">
        <w:rPr>
          <w:rFonts w:cs="Charis SIL"/>
        </w:rPr>
        <w:t>uomen kielen ja kulttuurin lehtorina Wienin yliopistossa sekä Budapestin ELTE-yliopistossa ja työskentelee tällä hetkellä pedagogisena yliopistonlehtorina Helsingin yliopistossa. Hänen tutkimuskohteitaan ovat Itä-Helsingin monikielisyys, kielen sosiaalinen indeksisyys, monikielisyys ja kielitietoisuus koulussa ja koulutuksessa, monikielinen vuorovaikutus ja kielellisesti epäsymmetristen ryhmien opettaminen.</w:t>
      </w:r>
    </w:p>
    <w:p w14:paraId="3D70D94C" w14:textId="4BEAB965" w:rsidR="00557AD8" w:rsidRPr="00FB4EFA" w:rsidRDefault="00557AD8" w:rsidP="00557AD8">
      <w:pPr>
        <w:keepLines/>
        <w:suppressAutoHyphens/>
        <w:spacing w:after="240"/>
        <w:rPr>
          <w:rFonts w:cs="Charis SIL"/>
        </w:rPr>
      </w:pPr>
      <w:r w:rsidRPr="00FB4EFA">
        <w:rPr>
          <w:rFonts w:cs="Charis SIL"/>
          <w:b/>
          <w:bCs/>
        </w:rPr>
        <w:t>Heidelinde Lindorfer</w:t>
      </w:r>
      <w:r w:rsidRPr="00FB4EFA">
        <w:rPr>
          <w:rFonts w:cs="Charis SIL"/>
        </w:rPr>
        <w:t xml:space="preserve"> (</w:t>
      </w:r>
      <w:hyperlink r:id="rId575" w:history="1">
        <w:r w:rsidRPr="00FB4EFA">
          <w:rPr>
            <w:rStyle w:val="Hyperlink"/>
            <w:rFonts w:cs="Charis SIL"/>
            <w:i/>
            <w:iCs/>
            <w:color w:val="auto"/>
            <w:u w:val="none"/>
          </w:rPr>
          <w:t>heidelinde.lindorfer@textperfekt.at</w:t>
        </w:r>
      </w:hyperlink>
      <w:r w:rsidRPr="00FB4EFA">
        <w:rPr>
          <w:rFonts w:cs="Charis SIL"/>
        </w:rPr>
        <w:t>) ist promovierte Medizinerin und studiert nach abgeschlossenem BA-Studium der Hungarologie derzeit Fennistik (BA) sowie Hungarologie und Finno-Ugristik (MA) an der Abteilung für Finno-Ugristik der Universität Wien. Nebenbei arbeitet sie als Lektorin und Texterin. (</w:t>
      </w:r>
      <w:hyperlink r:id="rId576" w:history="1">
        <w:r w:rsidRPr="00FB4EFA">
          <w:rPr>
            <w:rStyle w:val="Hyperlink"/>
            <w:rFonts w:cs="Charis SIL"/>
            <w:color w:val="auto"/>
          </w:rPr>
          <w:t>www.textperfekt.at</w:t>
        </w:r>
      </w:hyperlink>
      <w:r w:rsidRPr="00FB4EFA">
        <w:rPr>
          <w:rFonts w:cs="Charis SIL"/>
        </w:rPr>
        <w:t>)</w:t>
      </w:r>
    </w:p>
    <w:p w14:paraId="11254106" w14:textId="0AB90761" w:rsidR="00A96E85" w:rsidRPr="00FB4EFA" w:rsidRDefault="00A96E85" w:rsidP="00AF0CAD">
      <w:pPr>
        <w:keepLines/>
        <w:spacing w:after="240"/>
        <w:rPr>
          <w:rFonts w:cs="Charis SIL"/>
        </w:rPr>
      </w:pPr>
      <w:r w:rsidRPr="00FB4EFA">
        <w:rPr>
          <w:rFonts w:cs="Charis SIL"/>
          <w:b/>
          <w:bCs/>
        </w:rPr>
        <w:t>Kristina Malmio</w:t>
      </w:r>
      <w:r w:rsidR="00DD5337" w:rsidRPr="00FB4EFA">
        <w:rPr>
          <w:rFonts w:cs="Charis SIL"/>
        </w:rPr>
        <w:t xml:space="preserve"> </w:t>
      </w:r>
      <w:r w:rsidR="000E791C" w:rsidRPr="00FB4EFA">
        <w:rPr>
          <w:rFonts w:cs="Charis SIL"/>
        </w:rPr>
        <w:t>(</w:t>
      </w:r>
      <w:hyperlink r:id="rId577" w:history="1">
        <w:r w:rsidR="000E791C" w:rsidRPr="00FB4EFA">
          <w:rPr>
            <w:rStyle w:val="Hyperlink"/>
            <w:rFonts w:cs="Charis SIL"/>
            <w:i/>
            <w:iCs/>
            <w:color w:val="auto"/>
            <w:u w:val="none"/>
          </w:rPr>
          <w:t>kristina.malmio@helsinki.fi</w:t>
        </w:r>
      </w:hyperlink>
      <w:r w:rsidR="000E791C" w:rsidRPr="00FB4EFA">
        <w:rPr>
          <w:rFonts w:cs="Charis SIL"/>
        </w:rPr>
        <w:t xml:space="preserve">) </w:t>
      </w:r>
      <w:r w:rsidR="00D4298A" w:rsidRPr="00FB4EFA">
        <w:rPr>
          <w:lang w:val="sv-SE"/>
        </w:rPr>
        <w:t>är docent och professor i nordisk litteratur vid Helsingfors universitet, Finland. Hon har arbetat som gästprofessor vid Universität Wien (2014) och som gästforskare vid Humboldt-Universität zu Berlin (2017). Hennes främsta forskningsintressen är finlandssvensk litteratur, rumslighet, senmodernitet, flerspråkighet och litteraturens sociologiska dimensioner. En av Malmios senaste publikationer är den tillsammans med Kaisa Kurikka redigerade antologin Contemporary Nordic Literature and Spatiality (2020).</w:t>
      </w:r>
    </w:p>
    <w:p w14:paraId="5A4777AC" w14:textId="71B37AE9" w:rsidR="0052632F" w:rsidRPr="00FB4EFA" w:rsidRDefault="0052632F" w:rsidP="00AF0CAD">
      <w:pPr>
        <w:keepLines/>
        <w:spacing w:after="240"/>
        <w:rPr>
          <w:rFonts w:cs="Charis SIL"/>
        </w:rPr>
      </w:pPr>
      <w:r w:rsidRPr="00FB4EFA">
        <w:rPr>
          <w:rFonts w:cs="Charis SIL"/>
          <w:b/>
          <w:bCs/>
        </w:rPr>
        <w:t>Wolfgang Müller-Funk</w:t>
      </w:r>
      <w:r w:rsidRPr="00FB4EFA">
        <w:rPr>
          <w:rFonts w:cs="Charis SIL"/>
        </w:rPr>
        <w:t xml:space="preserve"> (</w:t>
      </w:r>
      <w:hyperlink r:id="rId578" w:history="1">
        <w:r w:rsidRPr="00FB4EFA">
          <w:rPr>
            <w:rStyle w:val="Hyperlink"/>
            <w:rFonts w:cs="Charis SIL"/>
            <w:i/>
            <w:iCs/>
            <w:color w:val="auto"/>
            <w:u w:val="none"/>
          </w:rPr>
          <w:t>wolfgang.mueller-funk@univie.ac.at</w:t>
        </w:r>
      </w:hyperlink>
      <w:r w:rsidRPr="00FB4EFA">
        <w:rPr>
          <w:rFonts w:cs="Charis SIL"/>
        </w:rPr>
        <w:t xml:space="preserve">) </w:t>
      </w:r>
      <w:r w:rsidR="008332DA" w:rsidRPr="00FB4EFA">
        <w:rPr>
          <w:rFonts w:cs="Charis SIL"/>
        </w:rPr>
        <w:t>s</w:t>
      </w:r>
      <w:r w:rsidRPr="00FB4EFA">
        <w:rPr>
          <w:rFonts w:cs="Charis SIL"/>
        </w:rPr>
        <w:t>tudi</w:t>
      </w:r>
      <w:r w:rsidR="008332DA" w:rsidRPr="00FB4EFA">
        <w:rPr>
          <w:rFonts w:cs="Charis SIL"/>
        </w:rPr>
        <w:t>erte</w:t>
      </w:r>
      <w:r w:rsidRPr="00FB4EFA">
        <w:rPr>
          <w:rFonts w:cs="Charis SIL"/>
        </w:rPr>
        <w:t xml:space="preserve"> Germanistik, Philosophie, Geschichte und Spanisch in München. </w:t>
      </w:r>
      <w:r w:rsidR="006619C9" w:rsidRPr="00FB4EFA">
        <w:rPr>
          <w:rFonts w:cs="Charis SIL"/>
        </w:rPr>
        <w:t xml:space="preserve">Nach seiner Promotion </w:t>
      </w:r>
      <w:r w:rsidRPr="00FB4EFA">
        <w:rPr>
          <w:rFonts w:cs="Charis SIL"/>
        </w:rPr>
        <w:t>1980/81</w:t>
      </w:r>
      <w:r w:rsidR="006619C9" w:rsidRPr="00FB4EFA">
        <w:rPr>
          <w:rFonts w:cs="Charis SIL"/>
        </w:rPr>
        <w:t xml:space="preserve"> habilitierte er </w:t>
      </w:r>
      <w:r w:rsidRPr="00FB4EFA">
        <w:rPr>
          <w:rFonts w:cs="Charis SIL"/>
        </w:rPr>
        <w:t>1993 an der Univ</w:t>
      </w:r>
      <w:r w:rsidR="00882F03" w:rsidRPr="00FB4EFA">
        <w:rPr>
          <w:rFonts w:cs="Charis SIL"/>
        </w:rPr>
        <w:t>ersität</w:t>
      </w:r>
      <w:r w:rsidRPr="00FB4EFA">
        <w:rPr>
          <w:rFonts w:cs="Charis SIL"/>
        </w:rPr>
        <w:t xml:space="preserve"> Klagenfurt. </w:t>
      </w:r>
      <w:r w:rsidR="006619C9" w:rsidRPr="00FB4EFA">
        <w:rPr>
          <w:rFonts w:cs="Charis SIL"/>
        </w:rPr>
        <w:t>Darauf folgten i</w:t>
      </w:r>
      <w:r w:rsidRPr="00FB4EFA">
        <w:rPr>
          <w:rFonts w:cs="Charis SIL"/>
        </w:rPr>
        <w:t>nternationale Lehr- und Forschungstätigkeit</w:t>
      </w:r>
      <w:r w:rsidR="001E7140" w:rsidRPr="00FB4EFA">
        <w:rPr>
          <w:rFonts w:cs="Charis SIL"/>
        </w:rPr>
        <w:t>en</w:t>
      </w:r>
      <w:r w:rsidRPr="00FB4EFA">
        <w:rPr>
          <w:rFonts w:cs="Charis SIL"/>
        </w:rPr>
        <w:t xml:space="preserve">, </w:t>
      </w:r>
      <w:r w:rsidR="006619C9" w:rsidRPr="00FB4EFA">
        <w:rPr>
          <w:rFonts w:cs="Charis SIL"/>
        </w:rPr>
        <w:t>er war</w:t>
      </w:r>
      <w:r w:rsidR="00882F03" w:rsidRPr="00FB4EFA">
        <w:rPr>
          <w:rFonts w:cs="Charis SIL"/>
        </w:rPr>
        <w:t xml:space="preserve"> bis 2018</w:t>
      </w:r>
      <w:r w:rsidR="006619C9" w:rsidRPr="00FB4EFA">
        <w:rPr>
          <w:rFonts w:cs="Charis SIL"/>
        </w:rPr>
        <w:t xml:space="preserve"> </w:t>
      </w:r>
      <w:r w:rsidRPr="00FB4EFA">
        <w:rPr>
          <w:rFonts w:cs="Charis SIL"/>
        </w:rPr>
        <w:t xml:space="preserve">Univ. Prof. für Kulturwissenschaften an den Universitäten Birmingham und Wien. Zahlreiche internationale Gastprofessuren und Fellowships. 2013 Ehrenkreuz der Republik Österreich für Wissenschaft und Kunst. </w:t>
      </w:r>
      <w:r w:rsidR="00097855" w:rsidRPr="00FB4EFA">
        <w:rPr>
          <w:rFonts w:cs="Charis SIL"/>
        </w:rPr>
        <w:t>(</w:t>
      </w:r>
      <w:hyperlink r:id="rId579" w:history="1">
        <w:r w:rsidRPr="00FB4EFA">
          <w:rPr>
            <w:rStyle w:val="Hyperlink"/>
            <w:rFonts w:cs="Charis SIL"/>
            <w:color w:val="auto"/>
          </w:rPr>
          <w:t>wolfgangmuellerfunk.wordpress.com</w:t>
        </w:r>
      </w:hyperlink>
      <w:r w:rsidR="00097855" w:rsidRPr="00FB4EFA">
        <w:rPr>
          <w:rFonts w:cs="Charis SIL"/>
        </w:rPr>
        <w:t>)</w:t>
      </w:r>
    </w:p>
    <w:p w14:paraId="348FDDFD" w14:textId="57B52016" w:rsidR="00A96E85" w:rsidRPr="00FB4EFA" w:rsidRDefault="00A96E85" w:rsidP="00AF0CAD">
      <w:pPr>
        <w:keepLines/>
        <w:spacing w:after="240"/>
        <w:rPr>
          <w:rFonts w:cs="Charis SIL"/>
        </w:rPr>
      </w:pPr>
      <w:r w:rsidRPr="00FB4EFA">
        <w:rPr>
          <w:rFonts w:cs="Charis SIL"/>
          <w:b/>
          <w:bCs/>
        </w:rPr>
        <w:lastRenderedPageBreak/>
        <w:t>Merit Niinemägi</w:t>
      </w:r>
      <w:r w:rsidRPr="00FB4EFA">
        <w:rPr>
          <w:rFonts w:cs="Charis SIL"/>
        </w:rPr>
        <w:t xml:space="preserve"> (</w:t>
      </w:r>
      <w:hyperlink r:id="rId580" w:history="1">
        <w:r w:rsidR="001E7140" w:rsidRPr="00FB4EFA">
          <w:rPr>
            <w:rStyle w:val="Hyperlink"/>
            <w:rFonts w:cs="Charis SIL"/>
            <w:i/>
            <w:iCs/>
            <w:color w:val="auto"/>
            <w:u w:val="none"/>
          </w:rPr>
          <w:t>merit.niinemagi@ut.ee</w:t>
        </w:r>
      </w:hyperlink>
      <w:r w:rsidRPr="00FB4EFA">
        <w:rPr>
          <w:rFonts w:cs="Charis SIL"/>
        </w:rPr>
        <w:t>) is a doctoral student at the University of Tartu. Her main research interests revolve around the morphosyntax of Uralic languages, particularly Saami languages. (</w:t>
      </w:r>
      <w:hyperlink r:id="rId581" w:history="1">
        <w:r w:rsidR="00E46BC8" w:rsidRPr="00FB4EFA">
          <w:rPr>
            <w:rStyle w:val="Hyperlink"/>
            <w:rFonts w:cs="Charis SIL"/>
            <w:color w:val="auto"/>
          </w:rPr>
          <w:t>www.etis.ee/CV/Merit_Niinemägi</w:t>
        </w:r>
      </w:hyperlink>
      <w:r w:rsidRPr="00FB4EFA">
        <w:rPr>
          <w:rFonts w:cs="Charis SIL"/>
        </w:rPr>
        <w:t>)</w:t>
      </w:r>
    </w:p>
    <w:p w14:paraId="65F31C38" w14:textId="4E8609B6" w:rsidR="0052632F" w:rsidRPr="00FB4EFA" w:rsidRDefault="0052632F" w:rsidP="00AF0CAD">
      <w:pPr>
        <w:keepLines/>
        <w:spacing w:after="240"/>
        <w:rPr>
          <w:rFonts w:cs="Charis SIL"/>
        </w:rPr>
      </w:pPr>
      <w:r w:rsidRPr="00FB4EFA">
        <w:rPr>
          <w:rFonts w:cs="Charis SIL"/>
          <w:b/>
          <w:bCs/>
        </w:rPr>
        <w:t>Ötvös</w:t>
      </w:r>
      <w:r w:rsidRPr="00FB4EFA">
        <w:rPr>
          <w:rFonts w:cs="Charis SIL"/>
        </w:rPr>
        <w:t xml:space="preserve"> </w:t>
      </w:r>
      <w:r w:rsidR="00D65A8D" w:rsidRPr="00FB4EFA">
        <w:rPr>
          <w:rFonts w:cs="Charis SIL"/>
          <w:b/>
          <w:bCs/>
        </w:rPr>
        <w:t xml:space="preserve">Péter </w:t>
      </w:r>
      <w:r w:rsidRPr="00FB4EFA">
        <w:rPr>
          <w:rFonts w:cs="Charis SIL"/>
        </w:rPr>
        <w:t>(</w:t>
      </w:r>
      <w:hyperlink r:id="rId582" w:history="1">
        <w:r w:rsidRPr="00FB4EFA">
          <w:rPr>
            <w:rStyle w:val="Hyperlink"/>
            <w:rFonts w:cs="Charis SIL"/>
            <w:i/>
            <w:iCs/>
            <w:color w:val="auto"/>
            <w:u w:val="none"/>
          </w:rPr>
          <w:t>otvos.peter@gmail.com</w:t>
        </w:r>
      </w:hyperlink>
      <w:r w:rsidRPr="00FB4EFA">
        <w:rPr>
          <w:rFonts w:cs="Charis SIL"/>
        </w:rPr>
        <w:t xml:space="preserve">) </w:t>
      </w:r>
      <w:r w:rsidR="00D65A8D" w:rsidRPr="00FB4EFA">
        <w:rPr>
          <w:rFonts w:cs="Charis SIL"/>
        </w:rPr>
        <w:t>a Szegedi Tudományegyetem Magyar Irodalomtörténeti Intézetének egyetemi magántanára. Tanulmányait Szegeden és Budapesten végezte. Kutatási területei: régi magyar irodalom, 17. századi magyar nyelvű költészet és a német költői hagyomány hatása a régi magyar irodalom gyakorlatára és poétikájára. 1992 és 1995, ill. 1997 és 1999 között a Bécsi Egyetem Finnugor Intézetének vendégprofesszora (hungarológia).</w:t>
      </w:r>
    </w:p>
    <w:p w14:paraId="46865ACE" w14:textId="3F1E89BD" w:rsidR="00C43146" w:rsidRPr="00FB4EFA" w:rsidRDefault="00C43146" w:rsidP="00AF0CAD">
      <w:pPr>
        <w:spacing w:after="240"/>
        <w:rPr>
          <w:rFonts w:cs="Charis SIL"/>
        </w:rPr>
      </w:pPr>
      <w:r w:rsidRPr="00FB4EFA">
        <w:rPr>
          <w:rFonts w:cs="Charis SIL"/>
          <w:b/>
          <w:bCs/>
        </w:rPr>
        <w:t>Karl Pajusalu</w:t>
      </w:r>
      <w:r w:rsidRPr="00FB4EFA">
        <w:rPr>
          <w:rFonts w:cs="Charis SIL"/>
        </w:rPr>
        <w:t xml:space="preserve"> (</w:t>
      </w:r>
      <w:hyperlink r:id="rId583" w:history="1">
        <w:r w:rsidRPr="00FB4EFA">
          <w:rPr>
            <w:rFonts w:cs="Charis SIL"/>
            <w:i/>
            <w:iCs/>
          </w:rPr>
          <w:t>karl.pajusalu@ut.ee</w:t>
        </w:r>
      </w:hyperlink>
      <w:r w:rsidRPr="00FB4EFA">
        <w:rPr>
          <w:rFonts w:cs="Charis SIL"/>
        </w:rPr>
        <w:t>) on Tartu ülikooli eesti keele ajaloo ja murrete professor ja Helsingi ülikooli läänemeresoome keelte dotsent. Tema peamisteks uurimisaladeks on eesti, lõunaeesti ja liivi keele ajalooline fonoloogia ja morfoloogia ning lõuna-läänemeresoome keeleala kujunemine.</w:t>
      </w:r>
    </w:p>
    <w:p w14:paraId="2D474085" w14:textId="65CCF7E7" w:rsidR="00C43146" w:rsidRPr="00FB4EFA" w:rsidRDefault="00C43146" w:rsidP="00AF0CAD">
      <w:pPr>
        <w:keepLines/>
        <w:spacing w:after="240"/>
        <w:rPr>
          <w:rFonts w:cs="Charis SIL"/>
        </w:rPr>
      </w:pPr>
      <w:r w:rsidRPr="00FB4EFA">
        <w:rPr>
          <w:rFonts w:cs="Charis SIL"/>
          <w:b/>
          <w:bCs/>
        </w:rPr>
        <w:t>Renate Pajusalu</w:t>
      </w:r>
      <w:r w:rsidRPr="00FB4EFA">
        <w:rPr>
          <w:rFonts w:cs="Charis SIL"/>
        </w:rPr>
        <w:t xml:space="preserve"> (</w:t>
      </w:r>
      <w:hyperlink r:id="rId584" w:history="1">
        <w:r w:rsidRPr="00FB4EFA">
          <w:rPr>
            <w:rFonts w:cs="Charis SIL"/>
            <w:i/>
            <w:iCs/>
          </w:rPr>
          <w:t>renate.pajusalu@ut.ee</w:t>
        </w:r>
      </w:hyperlink>
      <w:r w:rsidRPr="00FB4EFA">
        <w:rPr>
          <w:rFonts w:cs="Charis SIL"/>
        </w:rPr>
        <w:t>) on Tartu ülikooli üldkeeleteaduse professor ja Helsingi ülikooli eesti keele dotsent. Tema peamisteks uurimisaladeks on semantika ja pragmaatika, eelkõige referentsiaalsed praktikad ja suhtluskäitumine eesti keeles ja selle naaberkeeltes.</w:t>
      </w:r>
    </w:p>
    <w:p w14:paraId="79DDA64B" w14:textId="158DF246" w:rsidR="00A96E85" w:rsidRPr="00FB4EFA" w:rsidRDefault="002E0CC6" w:rsidP="00AF0CAD">
      <w:pPr>
        <w:keepLines/>
        <w:spacing w:after="240"/>
      </w:pPr>
      <w:r w:rsidRPr="00FB4EFA">
        <w:rPr>
          <w:rFonts w:cs="Charis SIL"/>
          <w:b/>
          <w:bCs/>
        </w:rPr>
        <w:t>Brigitta Pesti</w:t>
      </w:r>
      <w:r w:rsidRPr="00FB4EFA">
        <w:t xml:space="preserve"> (</w:t>
      </w:r>
      <w:hyperlink r:id="rId585" w:history="1">
        <w:r w:rsidRPr="00FB4EFA">
          <w:rPr>
            <w:i/>
            <w:iCs/>
          </w:rPr>
          <w:t>brigitta.pesti@univie.ac.at</w:t>
        </w:r>
      </w:hyperlink>
      <w:r w:rsidRPr="00FB4EFA">
        <w:t xml:space="preserve">) </w:t>
      </w:r>
      <w:r w:rsidR="001E6190" w:rsidRPr="00FB4EFA">
        <w:t xml:space="preserve">ist Senior Lecturer an der </w:t>
      </w:r>
      <w:r w:rsidR="00E135BE" w:rsidRPr="00FB4EFA">
        <w:br/>
      </w:r>
      <w:r w:rsidR="001E6190" w:rsidRPr="00FB4EFA">
        <w:t>Abteilung</w:t>
      </w:r>
      <w:r w:rsidR="00E135BE" w:rsidRPr="00FB4EFA">
        <w:t xml:space="preserve"> für</w:t>
      </w:r>
      <w:r w:rsidR="001E6190" w:rsidRPr="00FB4EFA">
        <w:t xml:space="preserve"> Finno-Ugristik der Universität Wien. Ihre Forschungsinteressen umfassen die ungarische und mitteleuropäische Literatur in der frühen Neuzeit, die Anfänge des literarischen Mäzenatentums sowie die Fragen der Imagologie in der ungarischen Literatur und Kultur.</w:t>
      </w:r>
    </w:p>
    <w:p w14:paraId="3C8D13AE" w14:textId="0834743A" w:rsidR="004F681C" w:rsidRPr="00FB4EFA" w:rsidRDefault="004F681C" w:rsidP="00AF0CAD">
      <w:pPr>
        <w:keepLines/>
        <w:spacing w:after="240"/>
        <w:rPr>
          <w:rFonts w:cs="Charis SIL"/>
          <w:b/>
          <w:bCs/>
        </w:rPr>
      </w:pPr>
      <w:r w:rsidRPr="00FB4EFA">
        <w:rPr>
          <w:b/>
          <w:bCs/>
        </w:rPr>
        <w:t>Christian Pischlöger</w:t>
      </w:r>
      <w:r w:rsidRPr="00FB4EFA">
        <w:t xml:space="preserve"> (</w:t>
      </w:r>
      <w:hyperlink r:id="rId586" w:history="1">
        <w:r w:rsidRPr="00FB4EFA">
          <w:rPr>
            <w:i/>
            <w:iCs/>
          </w:rPr>
          <w:t>christian.pischloeger@univie.ac.at</w:t>
        </w:r>
      </w:hyperlink>
      <w:r w:rsidRPr="00FB4EFA">
        <w:t>) ist wissenschaftlicher Mitarbeiter im FWF-Projekt „LIDIVOKA: Linguistic Diversity in the Volga-Kama Region“</w:t>
      </w:r>
      <w:r w:rsidR="00E135BE" w:rsidRPr="00FB4EFA">
        <w:t xml:space="preserve"> an der Abteilung für Finno-Ugristik der </w:t>
      </w:r>
      <w:r w:rsidR="00E135BE" w:rsidRPr="00FB4EFA">
        <w:br/>
        <w:t>Universität Wien</w:t>
      </w:r>
      <w:r w:rsidRPr="00FB4EFA">
        <w:t xml:space="preserve">. Sein Forschungsinteresse umfasst Spracherhalt und Sprachrevitalisierung, Sprachpolitik und Sprachideologien sowie </w:t>
      </w:r>
      <w:r w:rsidR="00E135BE" w:rsidRPr="00FB4EFA">
        <w:br/>
      </w:r>
      <w:r w:rsidRPr="00FB4EFA">
        <w:t xml:space="preserve">Kontaklinguistik im </w:t>
      </w:r>
      <w:r w:rsidR="005E3226" w:rsidRPr="00FB4EFA">
        <w:t>W</w:t>
      </w:r>
      <w:r w:rsidRPr="00FB4EFA">
        <w:t>olga-Kama</w:t>
      </w:r>
      <w:r w:rsidR="00E135BE" w:rsidRPr="00FB4EFA">
        <w:t>-</w:t>
      </w:r>
      <w:r w:rsidRPr="00FB4EFA">
        <w:t>Gebiet.</w:t>
      </w:r>
      <w:r w:rsidR="005E3226" w:rsidRPr="00FB4EFA">
        <w:t xml:space="preserve"> (</w:t>
      </w:r>
      <w:hyperlink r:id="rId587" w:history="1">
        <w:r w:rsidR="005E3226" w:rsidRPr="00FB4EFA">
          <w:rPr>
            <w:u w:val="single"/>
          </w:rPr>
          <w:t>lidivoka.univie.ac.at</w:t>
        </w:r>
      </w:hyperlink>
      <w:r w:rsidR="005E3226" w:rsidRPr="00FB4EFA">
        <w:t>)</w:t>
      </w:r>
    </w:p>
    <w:p w14:paraId="452F2B23" w14:textId="568DB937" w:rsidR="00A96E85" w:rsidRPr="00FB4EFA" w:rsidRDefault="00A96E85" w:rsidP="00AF0CAD">
      <w:pPr>
        <w:keepLines/>
        <w:spacing w:after="240"/>
        <w:rPr>
          <w:rFonts w:cs="Charis SIL"/>
          <w:b/>
          <w:bCs/>
        </w:rPr>
      </w:pPr>
      <w:r w:rsidRPr="00FB4EFA">
        <w:rPr>
          <w:rFonts w:cs="Charis SIL"/>
          <w:b/>
          <w:bCs/>
        </w:rPr>
        <w:lastRenderedPageBreak/>
        <w:t>Helen Plado</w:t>
      </w:r>
      <w:r w:rsidR="003C3BD8" w:rsidRPr="00FB4EFA">
        <w:rPr>
          <w:rFonts w:cs="Charis SIL"/>
          <w:b/>
          <w:bCs/>
        </w:rPr>
        <w:t xml:space="preserve"> </w:t>
      </w:r>
      <w:r w:rsidR="003C3BD8" w:rsidRPr="00FB4EFA">
        <w:rPr>
          <w:rFonts w:cs="Charis SIL"/>
          <w:lang w:val="en-US"/>
        </w:rPr>
        <w:t>(</w:t>
      </w:r>
      <w:hyperlink r:id="rId588" w:history="1">
        <w:r w:rsidR="003C3BD8" w:rsidRPr="00FB4EFA">
          <w:rPr>
            <w:rFonts w:cs="Charis SIL"/>
            <w:i/>
            <w:iCs/>
            <w:lang w:val="en-US"/>
          </w:rPr>
          <w:t>helen.plado@ut.ee</w:t>
        </w:r>
      </w:hyperlink>
      <w:r w:rsidR="003C3BD8" w:rsidRPr="00FB4EFA">
        <w:rPr>
          <w:rFonts w:cs="Charis SIL"/>
          <w:lang w:val="en-US"/>
        </w:rPr>
        <w:t>) is a researcher and lecturer at the University of Tartu and</w:t>
      </w:r>
      <w:r w:rsidR="00E135BE" w:rsidRPr="00FB4EFA">
        <w:rPr>
          <w:rFonts w:cs="Charis SIL"/>
          <w:lang w:val="en-US"/>
        </w:rPr>
        <w:t xml:space="preserve"> the</w:t>
      </w:r>
      <w:r w:rsidR="003C3BD8" w:rsidRPr="00FB4EFA">
        <w:rPr>
          <w:rFonts w:cs="Charis SIL"/>
          <w:lang w:val="en-US"/>
        </w:rPr>
        <w:t xml:space="preserve"> Võro Institute. Her research focuses on language variation, especially in the area of morphosyntax. She is the editor-in-chief of</w:t>
      </w:r>
      <w:r w:rsidR="00E135BE" w:rsidRPr="00FB4EFA">
        <w:rPr>
          <w:rFonts w:cs="Charis SIL"/>
          <w:lang w:val="en-US"/>
        </w:rPr>
        <w:t xml:space="preserve"> the</w:t>
      </w:r>
      <w:r w:rsidR="003C3BD8" w:rsidRPr="00FB4EFA">
        <w:rPr>
          <w:rFonts w:cs="Charis SIL"/>
          <w:lang w:val="en-US"/>
        </w:rPr>
        <w:t xml:space="preserve"> </w:t>
      </w:r>
      <w:r w:rsidR="003C3BD8" w:rsidRPr="00FB4EFA">
        <w:rPr>
          <w:rFonts w:cs="Charis SIL"/>
          <w:i/>
          <w:iCs/>
          <w:lang w:val="en-US"/>
        </w:rPr>
        <w:t>J</w:t>
      </w:r>
      <w:r w:rsidR="003C3BD8" w:rsidRPr="00FB4EFA">
        <w:rPr>
          <w:rFonts w:cs="Charis SIL"/>
          <w:i/>
          <w:iCs/>
        </w:rPr>
        <w:t>ournal of Estonian and Finno-Ugric Linguistics</w:t>
      </w:r>
      <w:r w:rsidR="003C3BD8" w:rsidRPr="00FB4EFA">
        <w:rPr>
          <w:rFonts w:cs="Charis SIL"/>
          <w:i/>
          <w:iCs/>
          <w:lang w:val="et-EE"/>
        </w:rPr>
        <w:t>.</w:t>
      </w:r>
    </w:p>
    <w:p w14:paraId="4406BC5B" w14:textId="319C4024" w:rsidR="00ED78CC" w:rsidRPr="00FB4EFA" w:rsidRDefault="00ED78CC" w:rsidP="00AF0CAD">
      <w:pPr>
        <w:keepLines/>
        <w:spacing w:after="240"/>
        <w:rPr>
          <w:rStyle w:val="tojvnm2t"/>
        </w:rPr>
      </w:pPr>
      <w:r w:rsidRPr="00FB4EFA">
        <w:rPr>
          <w:rStyle w:val="tojvnm2t"/>
          <w:b/>
          <w:bCs/>
        </w:rPr>
        <w:t>Janne Saarikivi</w:t>
      </w:r>
      <w:r w:rsidRPr="00FB4EFA">
        <w:rPr>
          <w:rStyle w:val="tojvnm2t"/>
        </w:rPr>
        <w:t xml:space="preserve"> (</w:t>
      </w:r>
      <w:hyperlink r:id="rId589" w:history="1">
        <w:r w:rsidRPr="00FB4EFA">
          <w:rPr>
            <w:rStyle w:val="Hyperlink"/>
            <w:i/>
            <w:iCs/>
            <w:color w:val="auto"/>
            <w:u w:val="none"/>
          </w:rPr>
          <w:t>janne.saarikivi@helsinki.fi</w:t>
        </w:r>
      </w:hyperlink>
      <w:r w:rsidRPr="00FB4EFA">
        <w:rPr>
          <w:rStyle w:val="tojvnm2t"/>
        </w:rPr>
        <w:t>) on Helsingin ja Turun yliopistojen dosentti. Hän on väitellyt Helsingin yliopistosta vuonna 2006. Saarikivi on tutkinut mm. Venäjän suomalais-ugrilaisista kielistä peräisin olevia paikannimiä ja murresanoja, suomen sanaston alkuperää, uralilaista etymologiaa ja vähemmistökielten asemaa nyky-Venäjällä sekä julkaissut myös oppimateriaaleja, populaariteoksia ja kolumneja. Hän on toiminut mm. Helsingin yliopiston suomalais-ugrilaisen kielentutkimuksen professorina (2009–2014 ja 2017–2021) ja yliopistonlehtorina (2003) sekä Helsingin yliopiston tutkijakollegiumin (2014–2017) ja Norske Videnskapsakademin Senter for grunnforskningin tutkijana (2008). Tällä hetkellä Saarikivi toimii osa-aikaisena saamelaiskielten professorina Tromssan yliopistossa (2019–).</w:t>
      </w:r>
    </w:p>
    <w:p w14:paraId="353DDB26" w14:textId="35D5E4D4" w:rsidR="00557AD8" w:rsidRPr="00FB4EFA" w:rsidRDefault="00557AD8" w:rsidP="00557AD8">
      <w:pPr>
        <w:spacing w:after="240"/>
        <w:rPr>
          <w:rFonts w:cs="Charis SIL"/>
        </w:rPr>
      </w:pPr>
      <w:r w:rsidRPr="00FB4EFA">
        <w:rPr>
          <w:rFonts w:cs="Charis SIL"/>
          <w:b/>
          <w:bCs/>
        </w:rPr>
        <w:t xml:space="preserve">Anneli Sarhimaa </w:t>
      </w:r>
      <w:r w:rsidRPr="00FB4EFA">
        <w:rPr>
          <w:rFonts w:cs="Charis SIL"/>
        </w:rPr>
        <w:t>(</w:t>
      </w:r>
      <w:hyperlink r:id="rId590" w:history="1">
        <w:r w:rsidRPr="00FB4EFA">
          <w:rPr>
            <w:rStyle w:val="Hyperlink"/>
            <w:rFonts w:cs="Charis SIL"/>
            <w:i/>
            <w:iCs/>
            <w:color w:val="auto"/>
            <w:u w:val="none"/>
          </w:rPr>
          <w:t>sarhimaa@uni-mainz.de</w:t>
        </w:r>
      </w:hyperlink>
      <w:r w:rsidRPr="00FB4EFA">
        <w:rPr>
          <w:rFonts w:cs="Charis SIL"/>
        </w:rPr>
        <w:t>) on Pohjoismaiden ja Baltian kielten professori Mainzin yliopistossa. Hän on tutkinut itäisiä itämerensuomalaisia kieliä, erityisesti karjalan kielen syntaksia ja asemaa ja tilannetta Venäjällä ja Suomessa, kielikontakteja ja kielipolitiikkaa.</w:t>
      </w:r>
    </w:p>
    <w:p w14:paraId="59FFBB79" w14:textId="25FFAE2D" w:rsidR="00A96E85" w:rsidRPr="00FB4EFA" w:rsidRDefault="0052632F" w:rsidP="00AF0CAD">
      <w:pPr>
        <w:keepLines/>
        <w:spacing w:after="240"/>
      </w:pPr>
      <w:r w:rsidRPr="00FB4EFA">
        <w:rPr>
          <w:b/>
          <w:bCs/>
        </w:rPr>
        <w:t>Andrea Seidler</w:t>
      </w:r>
      <w:r w:rsidRPr="00FB4EFA">
        <w:t xml:space="preserve"> (</w:t>
      </w:r>
      <w:hyperlink r:id="rId591" w:history="1">
        <w:r w:rsidRPr="00FB4EFA">
          <w:rPr>
            <w:rStyle w:val="Hyperlink"/>
            <w:i/>
            <w:iCs/>
            <w:color w:val="auto"/>
            <w:u w:val="none"/>
          </w:rPr>
          <w:t>andrea.seidler@univie.ac.at</w:t>
        </w:r>
      </w:hyperlink>
      <w:r w:rsidRPr="00FB4EFA">
        <w:t>) ist Professorin i.R. für ungarische Literaturwissenschaft an der Abteilung für Finno-Ugristik der Universität Wien. Ihre Forschungsschwerpunkte sind die zentraleuropäische Literatur des 18. Jahrhunderts, literarische Mehrsprachigkeit und historische Medienwissenschaften. Sie ist Präsidentin der International Association for Hungarian Studies (</w:t>
      </w:r>
      <w:hyperlink r:id="rId592" w:history="1">
        <w:r w:rsidRPr="00FB4EFA">
          <w:rPr>
            <w:rStyle w:val="Hyperlink"/>
            <w:color w:val="auto"/>
          </w:rPr>
          <w:t>hungarologia.net</w:t>
        </w:r>
      </w:hyperlink>
      <w:r w:rsidRPr="00FB4EFA">
        <w:t>).</w:t>
      </w:r>
    </w:p>
    <w:p w14:paraId="50AD4353" w14:textId="2D65EEFB" w:rsidR="002F223F" w:rsidRPr="00FB4EFA" w:rsidRDefault="002F223F" w:rsidP="00AF0CAD">
      <w:pPr>
        <w:spacing w:after="240"/>
      </w:pPr>
      <w:r w:rsidRPr="00FB4EFA">
        <w:rPr>
          <w:b/>
          <w:bCs/>
        </w:rPr>
        <w:t>Ksenia Shagal</w:t>
      </w:r>
      <w:r w:rsidRPr="00FB4EFA">
        <w:t xml:space="preserve"> (</w:t>
      </w:r>
      <w:hyperlink r:id="rId593" w:history="1">
        <w:r w:rsidRPr="00FB4EFA">
          <w:rPr>
            <w:i/>
            <w:iCs/>
          </w:rPr>
          <w:t>ksenia.shagal@lmu.de</w:t>
        </w:r>
      </w:hyperlink>
      <w:r w:rsidRPr="00FB4EFA">
        <w:t xml:space="preserve">) is </w:t>
      </w:r>
      <w:r w:rsidR="005879DC" w:rsidRPr="00FB4EFA">
        <w:t>p</w:t>
      </w:r>
      <w:r w:rsidRPr="00FB4EFA">
        <w:t>rofessor of Uralic Studies at the Ludwig Maximilian University of Munich and a visiting researcher at the University of Helsinki. She works on Uralic languages and other languages of Northern Eurasia from a typological, areal, and contact perspective. (</w:t>
      </w:r>
      <w:hyperlink r:id="rId594" w:history="1">
        <w:r w:rsidRPr="00FB4EFA">
          <w:rPr>
            <w:u w:val="single"/>
          </w:rPr>
          <w:t>researchportal.helsinki.fi/en/persons/ksenia-shagal</w:t>
        </w:r>
      </w:hyperlink>
      <w:r w:rsidRPr="00FB4EFA">
        <w:t>)</w:t>
      </w:r>
    </w:p>
    <w:p w14:paraId="0CC34B3C" w14:textId="701BA43F" w:rsidR="00B22316" w:rsidRPr="00FB4EFA" w:rsidRDefault="00B22316" w:rsidP="00AF0CAD">
      <w:pPr>
        <w:spacing w:after="240"/>
      </w:pPr>
      <w:r w:rsidRPr="00FB4EFA">
        <w:rPr>
          <w:b/>
          <w:bCs/>
        </w:rPr>
        <w:lastRenderedPageBreak/>
        <w:t>Katalin Sipőcz</w:t>
      </w:r>
      <w:r w:rsidRPr="00FB4EFA">
        <w:t xml:space="preserve"> (</w:t>
      </w:r>
      <w:hyperlink r:id="rId595" w:history="1">
        <w:r w:rsidRPr="00FB4EFA">
          <w:rPr>
            <w:i/>
            <w:iCs/>
          </w:rPr>
          <w:t>sipocz@hung.u-szeged.hu</w:t>
        </w:r>
      </w:hyperlink>
      <w:r w:rsidRPr="00FB4EFA">
        <w:t xml:space="preserve">) is the head of the Finno-Ugric Department at the University of Szeged where she teaches Finno-Ugric </w:t>
      </w:r>
      <w:r w:rsidR="005E3226" w:rsidRPr="00FB4EFA">
        <w:t>l</w:t>
      </w:r>
      <w:r w:rsidRPr="00FB4EFA">
        <w:t>inguistics. Her research mainly focuses on Ob-Ugric languages, in particular Mansi. She has published a monograph about Mansi color terms</w:t>
      </w:r>
      <w:r w:rsidR="00E135BE" w:rsidRPr="00FB4EFA">
        <w:t>;</w:t>
      </w:r>
      <w:r w:rsidRPr="00FB4EFA">
        <w:t xml:space="preserve"> her Ph.D. dissertation dealt with body part terms in Uralic languages</w:t>
      </w:r>
      <w:r w:rsidR="00425C66" w:rsidRPr="00FB4EFA">
        <w:t>. R</w:t>
      </w:r>
      <w:r w:rsidRPr="00FB4EFA">
        <w:t xml:space="preserve">ecently she has </w:t>
      </w:r>
      <w:r w:rsidR="006576AF" w:rsidRPr="00FB4EFA">
        <w:t xml:space="preserve">been </w:t>
      </w:r>
      <w:r w:rsidRPr="00FB4EFA">
        <w:t>investigat</w:t>
      </w:r>
      <w:r w:rsidR="006576AF" w:rsidRPr="00FB4EFA">
        <w:t>ing</w:t>
      </w:r>
      <w:r w:rsidRPr="00FB4EFA">
        <w:t xml:space="preserve"> several aspects of </w:t>
      </w:r>
      <w:r w:rsidR="00425C66" w:rsidRPr="00FB4EFA">
        <w:t xml:space="preserve">Mansi </w:t>
      </w:r>
      <w:r w:rsidRPr="00FB4EFA">
        <w:t>syntax (negation, transitivity, ditransitivity).</w:t>
      </w:r>
    </w:p>
    <w:p w14:paraId="4EB5753E" w14:textId="115A8E61" w:rsidR="00A96E85" w:rsidRPr="00FB4EFA" w:rsidRDefault="00166098" w:rsidP="00AF0CAD">
      <w:pPr>
        <w:keepLines/>
        <w:spacing w:after="240"/>
      </w:pPr>
      <w:r w:rsidRPr="00FB4EFA">
        <w:rPr>
          <w:b/>
          <w:bCs/>
        </w:rPr>
        <w:t>Elena Skribnik</w:t>
      </w:r>
      <w:r w:rsidRPr="00FB4EFA">
        <w:t xml:space="preserve"> (</w:t>
      </w:r>
      <w:hyperlink r:id="rId596" w:history="1">
        <w:r w:rsidR="001E7140" w:rsidRPr="00FB4EFA">
          <w:rPr>
            <w:rStyle w:val="Hyperlink"/>
            <w:i/>
            <w:iCs/>
            <w:color w:val="auto"/>
            <w:u w:val="none"/>
          </w:rPr>
          <w:t>skribnik@lmu.de</w:t>
        </w:r>
      </w:hyperlink>
      <w:r w:rsidRPr="00FB4EFA">
        <w:t>) is professor emerita and former chair of Finno-Ugric and Uralic Studies at Ludwig Maximilian University of Munich. Her research interests include morphosyntax of Uralic, Turkic and Mongolic languages as well as language contacts in West Siberia.</w:t>
      </w:r>
    </w:p>
    <w:p w14:paraId="53E503FC" w14:textId="6F42E15A" w:rsidR="006576AF" w:rsidRPr="00FB4EFA" w:rsidRDefault="006576AF" w:rsidP="006576AF">
      <w:pPr>
        <w:spacing w:after="240"/>
        <w:rPr>
          <w:lang w:val="en-IE"/>
        </w:rPr>
      </w:pPr>
      <w:r w:rsidRPr="00FB4EFA">
        <w:rPr>
          <w:b/>
          <w:bCs/>
          <w:lang w:val="en-IE"/>
        </w:rPr>
        <w:t xml:space="preserve">Sándor Szeverényi </w:t>
      </w:r>
      <w:r w:rsidRPr="00FB4EFA">
        <w:rPr>
          <w:lang w:val="en-IE"/>
        </w:rPr>
        <w:t>(</w:t>
      </w:r>
      <w:hyperlink r:id="rId597" w:tgtFrame="_blank" w:history="1">
        <w:r w:rsidRPr="00FB4EFA">
          <w:rPr>
            <w:i/>
            <w:iCs/>
            <w:lang w:val="en-IE"/>
          </w:rPr>
          <w:t>szevers@hung.u-szeged.hu</w:t>
        </w:r>
      </w:hyperlink>
      <w:r w:rsidRPr="00FB4EFA">
        <w:rPr>
          <w:lang w:val="en-IE"/>
        </w:rPr>
        <w:t>) is associate professor at the University of Szeged’s Department of Finno-Ugrian studies. The Nganasan language, language typology, and especially typology and history of the Siberian languages are in the focus of his research, among others.</w:t>
      </w:r>
    </w:p>
    <w:p w14:paraId="04F3779A" w14:textId="7B774E13" w:rsidR="00A96E85" w:rsidRPr="00FB4EFA" w:rsidRDefault="00B44CFD" w:rsidP="00AF0CAD">
      <w:pPr>
        <w:keepLines/>
        <w:spacing w:after="240"/>
        <w:rPr>
          <w:lang w:val="et-EE"/>
        </w:rPr>
      </w:pPr>
      <w:r w:rsidRPr="00FB4EFA">
        <w:rPr>
          <w:b/>
          <w:bCs/>
          <w:lang w:val="et-EE"/>
        </w:rPr>
        <w:t>Triinu Viilukas</w:t>
      </w:r>
      <w:r w:rsidRPr="00FB4EFA">
        <w:rPr>
          <w:lang w:val="et-EE"/>
        </w:rPr>
        <w:t xml:space="preserve"> (</w:t>
      </w:r>
      <w:hyperlink r:id="rId598" w:history="1">
        <w:r w:rsidRPr="00FB4EFA">
          <w:rPr>
            <w:rStyle w:val="Hyperlink"/>
            <w:i/>
            <w:iCs/>
            <w:color w:val="auto"/>
            <w:u w:val="none"/>
            <w:lang w:val="et-EE"/>
          </w:rPr>
          <w:t>triinu.viilukas@univie.ac.at</w:t>
        </w:r>
      </w:hyperlink>
      <w:r w:rsidRPr="00FB4EFA">
        <w:rPr>
          <w:lang w:val="et-EE"/>
        </w:rPr>
        <w:t xml:space="preserve">) </w:t>
      </w:r>
      <w:r w:rsidR="008332DA" w:rsidRPr="00FB4EFA">
        <w:rPr>
          <w:lang w:val="et-EE"/>
        </w:rPr>
        <w:t>on Viini ülikooli eesti keele lektor. Õpetab Eesti juurtega lapsi Viini Eesti Koolis. Tegutseb ka tõlkija ja keeletoimetajana ning tegeleb muusikaga. Pannud oma kogemused ja mõtted elust Austria pealinnas kirja raamatus „Minu Viin“ (2018). Unistab doktorikraadist, aga ühtlasi on selgunud paratamatu tõde, et ilma algust tegemata ei ole võimalik ka lõpetada. Tegeleb innukalt sellega, et jõuda alustamiseni. Armastab kasse.</w:t>
      </w:r>
    </w:p>
    <w:p w14:paraId="30340BB8" w14:textId="02E31E32" w:rsidR="00A96E85" w:rsidRPr="00FB4EFA" w:rsidRDefault="004C2DE0" w:rsidP="00AF0CAD">
      <w:pPr>
        <w:spacing w:after="240"/>
      </w:pPr>
      <w:r w:rsidRPr="00FB4EFA">
        <w:rPr>
          <w:b/>
          <w:bCs/>
        </w:rPr>
        <w:t>Ferenc Vincze</w:t>
      </w:r>
      <w:r w:rsidRPr="00FB4EFA">
        <w:t xml:space="preserve"> (</w:t>
      </w:r>
      <w:hyperlink r:id="rId599" w:history="1">
        <w:r w:rsidRPr="00FB4EFA">
          <w:rPr>
            <w:i/>
            <w:iCs/>
          </w:rPr>
          <w:t>ferenc.vincze@univie.ac.at</w:t>
        </w:r>
      </w:hyperlink>
      <w:r w:rsidRPr="00FB4EFA">
        <w:t xml:space="preserve">) </w:t>
      </w:r>
      <w:r w:rsidR="001E7140" w:rsidRPr="00FB4EFA">
        <w:t xml:space="preserve">ist Assistenzprofessor an der Abteilung </w:t>
      </w:r>
      <w:r w:rsidR="00E135BE" w:rsidRPr="00FB4EFA">
        <w:t xml:space="preserve">für </w:t>
      </w:r>
      <w:r w:rsidR="001E7140" w:rsidRPr="00FB4EFA">
        <w:t>Finno-Ugristik der Universität Wien. Seine primärenForschungsinteressen umfassen die Untersuchung der ungarischen Literatur aus transnationaler Perspektive sowie die Erforschung der Entwicklung und Tendenzen des ungarischen Comics.</w:t>
      </w:r>
    </w:p>
    <w:p w14:paraId="372F5565" w14:textId="43BE25D0" w:rsidR="008F73FD" w:rsidRPr="00FB4EFA" w:rsidRDefault="00A96E85" w:rsidP="006576AF">
      <w:pPr>
        <w:keepLines/>
        <w:spacing w:after="240"/>
      </w:pPr>
      <w:r w:rsidRPr="00FB4EFA">
        <w:rPr>
          <w:b/>
          <w:bCs/>
        </w:rPr>
        <w:t>Kitti Vojter</w:t>
      </w:r>
      <w:r w:rsidRPr="00FB4EFA">
        <w:t xml:space="preserve"> (</w:t>
      </w:r>
      <w:hyperlink r:id="rId600" w:history="1">
        <w:r w:rsidR="001E7140" w:rsidRPr="00FB4EFA">
          <w:rPr>
            <w:rStyle w:val="Hyperlink"/>
            <w:i/>
            <w:iCs/>
            <w:color w:val="auto"/>
            <w:u w:val="none"/>
          </w:rPr>
          <w:t>vojter.kitti@gmail.com</w:t>
        </w:r>
      </w:hyperlink>
      <w:r w:rsidRPr="00FB4EFA">
        <w:t xml:space="preserve">) is a bachelor’s student of Hungarian and Finno-Ugric studies at the University of Szeged. </w:t>
      </w:r>
      <w:r w:rsidR="001F5B57" w:rsidRPr="00FB4EFA">
        <w:t xml:space="preserve">Her main interests are phonology and morphology. Her thesis pertains to evidential systems in Samoyedic Languages and includes a case study of the Nganasan </w:t>
      </w:r>
      <w:r w:rsidR="003F4300">
        <w:br/>
      </w:r>
      <w:r w:rsidR="001F5B57" w:rsidRPr="00FB4EFA">
        <w:t>inferential.</w:t>
      </w:r>
    </w:p>
    <w:p w14:paraId="56625EE6" w14:textId="56DF391B" w:rsidR="00A96E85" w:rsidRPr="00FB4EFA" w:rsidRDefault="00A96E85" w:rsidP="00AF0CAD">
      <w:pPr>
        <w:keepLines/>
        <w:spacing w:after="240"/>
        <w:rPr>
          <w:rFonts w:eastAsia="Times New Roman" w:cs="Times New Roman"/>
          <w:lang w:val="en-US"/>
        </w:rPr>
      </w:pPr>
      <w:r w:rsidRPr="00FB4EFA">
        <w:rPr>
          <w:rFonts w:eastAsia="Times New Roman" w:cs="Times New Roman"/>
          <w:b/>
          <w:bCs/>
          <w:lang w:val="en-US"/>
        </w:rPr>
        <w:lastRenderedPageBreak/>
        <w:t>Beáta Wagner-Nagy</w:t>
      </w:r>
      <w:r w:rsidRPr="00FB4EFA">
        <w:rPr>
          <w:rFonts w:eastAsia="Times New Roman" w:cs="Times New Roman"/>
          <w:lang w:val="en-US"/>
        </w:rPr>
        <w:t xml:space="preserve"> (</w:t>
      </w:r>
      <w:hyperlink r:id="rId601" w:history="1">
        <w:r w:rsidRPr="00FB4EFA">
          <w:rPr>
            <w:rFonts w:eastAsia="Times New Roman" w:cs="Times New Roman"/>
            <w:i/>
            <w:iCs/>
            <w:lang w:val="en-US"/>
          </w:rPr>
          <w:t>beata.wagner-nagy@uni-hamburg.de</w:t>
        </w:r>
      </w:hyperlink>
      <w:r w:rsidRPr="00FB4EFA">
        <w:rPr>
          <w:rFonts w:eastAsia="Times New Roman" w:cs="Times New Roman"/>
          <w:lang w:val="en-US"/>
        </w:rPr>
        <w:t xml:space="preserve">) is </w:t>
      </w:r>
      <w:r w:rsidR="005879DC" w:rsidRPr="00FB4EFA">
        <w:rPr>
          <w:rFonts w:eastAsia="Times New Roman" w:cs="Times New Roman"/>
          <w:lang w:val="en-US"/>
        </w:rPr>
        <w:t>p</w:t>
      </w:r>
      <w:r w:rsidRPr="00FB4EFA">
        <w:rPr>
          <w:rFonts w:eastAsia="Times New Roman" w:cs="Times New Roman"/>
          <w:lang w:val="en-US"/>
        </w:rPr>
        <w:t xml:space="preserve">rofessor </w:t>
      </w:r>
      <w:r w:rsidR="005879DC" w:rsidRPr="00FB4EFA">
        <w:rPr>
          <w:rFonts w:eastAsia="Times New Roman" w:cs="Times New Roman"/>
          <w:lang w:val="en-US"/>
        </w:rPr>
        <w:t>of</w:t>
      </w:r>
      <w:r w:rsidRPr="00FB4EFA">
        <w:rPr>
          <w:rFonts w:eastAsia="Times New Roman" w:cs="Times New Roman"/>
          <w:lang w:val="en-US"/>
        </w:rPr>
        <w:t xml:space="preserve"> Finno-Ugric/Uralic studies at the University </w:t>
      </w:r>
      <w:r w:rsidR="00E135BE" w:rsidRPr="00FB4EFA">
        <w:rPr>
          <w:rFonts w:eastAsia="Times New Roman" w:cs="Times New Roman"/>
          <w:lang w:val="en-US"/>
        </w:rPr>
        <w:t xml:space="preserve">of </w:t>
      </w:r>
      <w:r w:rsidRPr="00FB4EFA">
        <w:rPr>
          <w:rFonts w:eastAsia="Times New Roman" w:cs="Times New Roman"/>
          <w:lang w:val="en-US"/>
        </w:rPr>
        <w:t>Hamburg. Her main research interests include Samoyedic languages, language typology, and documentation linguistics. (</w:t>
      </w:r>
      <w:hyperlink r:id="rId602" w:history="1">
        <w:r w:rsidR="00A35C28" w:rsidRPr="00FB4EFA">
          <w:rPr>
            <w:rStyle w:val="Hyperlink"/>
            <w:rFonts w:eastAsia="Times New Roman" w:cs="Times New Roman"/>
            <w:color w:val="auto"/>
            <w:lang w:val="en-US"/>
          </w:rPr>
          <w:t>www.slm.uni-hamburg.de/ifuu/</w:t>
        </w:r>
        <w:r w:rsidR="00A35C28" w:rsidRPr="00FB4EFA">
          <w:rPr>
            <w:rStyle w:val="Hyperlink"/>
            <w:rFonts w:eastAsia="Times New Roman" w:cs="Times New Roman"/>
            <w:color w:val="auto"/>
            <w:lang w:val="en-US"/>
          </w:rPr>
          <w:br/>
          <w:t>personen/beata-wagner-nagy.html</w:t>
        </w:r>
      </w:hyperlink>
      <w:r w:rsidRPr="00FB4EFA">
        <w:rPr>
          <w:rFonts w:eastAsia="Times New Roman" w:cs="Times New Roman"/>
          <w:lang w:val="en-US"/>
        </w:rPr>
        <w:t>)</w:t>
      </w:r>
    </w:p>
    <w:p w14:paraId="7DF0C602" w14:textId="7B0FEA71" w:rsidR="00E86FED" w:rsidRPr="00FB4EFA" w:rsidRDefault="00E86FED" w:rsidP="00557AD8">
      <w:pPr>
        <w:keepLines/>
        <w:suppressAutoHyphens/>
        <w:spacing w:after="240"/>
      </w:pPr>
      <w:r w:rsidRPr="00FB4EFA">
        <w:rPr>
          <w:b/>
          <w:bCs/>
        </w:rPr>
        <w:t>Katalin Wirker-Dobány</w:t>
      </w:r>
      <w:r w:rsidRPr="00FB4EFA">
        <w:t xml:space="preserve"> (</w:t>
      </w:r>
      <w:hyperlink r:id="rId603" w:history="1">
        <w:r w:rsidRPr="00FB4EFA">
          <w:rPr>
            <w:i/>
            <w:iCs/>
          </w:rPr>
          <w:t>katalin.wirker-dobany@univie.ac.at</w:t>
        </w:r>
      </w:hyperlink>
      <w:r w:rsidRPr="00FB4EFA">
        <w:t xml:space="preserve">) ist Lehrende für Ungarisch und Deutsch am Sprachenzentrum der Universität Wien und Projektmitarbeiterin </w:t>
      </w:r>
      <w:r w:rsidR="00557AD8" w:rsidRPr="00FB4EFA">
        <w:t xml:space="preserve">an </w:t>
      </w:r>
      <w:r w:rsidRPr="00FB4EFA">
        <w:t xml:space="preserve">der Abteilung für Finno-Ugristik der Universität Wien. Ihre </w:t>
      </w:r>
      <w:r w:rsidRPr="00FB4EFA">
        <w:rPr>
          <w:lang w:eastAsia="de-DE"/>
        </w:rPr>
        <w:t>Forschungsinteressen liegen auf den folgenden Gebieten: Ungarisch als Fremd- und Zweitsprache, Deutsch als Fremd- und Zweitsprache, Mehrsprachigkeit</w:t>
      </w:r>
      <w:r w:rsidR="00557AD8" w:rsidRPr="00FB4EFA">
        <w:rPr>
          <w:lang w:eastAsia="de-DE"/>
        </w:rPr>
        <w:t xml:space="preserve"> und</w:t>
      </w:r>
      <w:r w:rsidRPr="00FB4EFA">
        <w:rPr>
          <w:lang w:eastAsia="de-DE"/>
        </w:rPr>
        <w:t xml:space="preserve"> Sprachentwicklung mehrsprachiger Kinder.</w:t>
      </w:r>
    </w:p>
    <w:p w14:paraId="59404E27" w14:textId="580246C7" w:rsidR="00A96E85" w:rsidRPr="00FB4EFA" w:rsidRDefault="00DA1FB6" w:rsidP="00557AD8">
      <w:pPr>
        <w:keepLines/>
        <w:suppressAutoHyphens/>
        <w:spacing w:after="240"/>
      </w:pPr>
      <w:r w:rsidRPr="00FB4EFA">
        <w:rPr>
          <w:b/>
          <w:bCs/>
        </w:rPr>
        <w:t xml:space="preserve">Antje Wischmann </w:t>
      </w:r>
      <w:r w:rsidRPr="00FB4EFA">
        <w:t>(</w:t>
      </w:r>
      <w:hyperlink r:id="rId604" w:history="1">
        <w:r w:rsidR="001E7140" w:rsidRPr="00FB4EFA">
          <w:rPr>
            <w:rStyle w:val="Hyperlink"/>
            <w:i/>
            <w:iCs/>
            <w:color w:val="auto"/>
            <w:u w:val="none"/>
          </w:rPr>
          <w:t>antje.wischmann@univie.ac.at</w:t>
        </w:r>
      </w:hyperlink>
      <w:r w:rsidRPr="00FB4EFA">
        <w:t>) ist Professorin für Literatur- und Kulturwissenschaft an der Abteilung für Skandinavistik des Instituts für Europäische und Vergleichende Sprach- und Literaturwissenschaft der Universität Wien. Zu ihren Forschungsschwerpunkten gehören die skandinavische Literatur vom 19. bis zum 21. Jahrhundert, kulturwissenschaftlich und linguistisch erweiterte Zugänge in der Literaturwissenschaft, Räumlichkeit von Literatur, Mobilität, Utopien und Dystopien.</w:t>
      </w:r>
    </w:p>
    <w:bookmarkEnd w:id="0"/>
    <w:bookmarkEnd w:id="153"/>
    <w:p w14:paraId="0AC9257F" w14:textId="0EEBD421" w:rsidR="006576AF" w:rsidRPr="00FB4EFA" w:rsidRDefault="006576AF" w:rsidP="00AF0CAD">
      <w:pPr>
        <w:keepLines/>
        <w:spacing w:after="240"/>
        <w:rPr>
          <w:lang w:val="en-US"/>
        </w:rPr>
      </w:pPr>
      <w:r w:rsidRPr="00FB4EFA">
        <w:rPr>
          <w:b/>
          <w:bCs/>
          <w:lang w:val="en-US"/>
        </w:rPr>
        <w:t>Jussi Ylikoski</w:t>
      </w:r>
      <w:r w:rsidRPr="00FB4EFA">
        <w:rPr>
          <w:lang w:val="en-US"/>
        </w:rPr>
        <w:t xml:space="preserve"> (</w:t>
      </w:r>
      <w:hyperlink r:id="rId605" w:history="1">
        <w:r w:rsidRPr="00FB4EFA">
          <w:rPr>
            <w:rStyle w:val="Hyperlink"/>
            <w:i/>
            <w:iCs/>
            <w:color w:val="auto"/>
            <w:u w:val="none"/>
            <w:lang w:val="en-US"/>
          </w:rPr>
          <w:t>jussi.ylikoski@utu.fi</w:t>
        </w:r>
      </w:hyperlink>
      <w:r w:rsidRPr="00FB4EFA">
        <w:rPr>
          <w:lang w:val="en-US"/>
        </w:rPr>
        <w:t>) työskentelee suomalais-ugrilaisen kielentutkimuksen professorina Turun yliopistossa ja vierailevana määräaikaisena professorina Saamelaisessa korkeakoulussa Koutokeinossa. Hänen kiinnostuksensa kohteita ovat muun muassa sijat ja niitä muistuttavat ilmiöt uralilaisissa kielissä. (</w:t>
      </w:r>
      <w:hyperlink r:id="rId606" w:history="1">
        <w:r w:rsidRPr="00FB4EFA">
          <w:rPr>
            <w:u w:val="single"/>
            <w:lang w:val="en-US"/>
          </w:rPr>
          <w:t>users.utu.fi/jumyli/</w:t>
        </w:r>
      </w:hyperlink>
      <w:r w:rsidRPr="00FB4EFA">
        <w:rPr>
          <w:lang w:val="en-US"/>
        </w:rPr>
        <w:t>)</w:t>
      </w:r>
    </w:p>
    <w:sectPr w:rsidR="006576AF" w:rsidRPr="00FB4EFA" w:rsidSect="00466236">
      <w:headerReference w:type="even" r:id="rId607"/>
      <w:headerReference w:type="default" r:id="rId608"/>
      <w:footnotePr>
        <w:numRestart w:val="eachSect"/>
      </w:footnotePr>
      <w:pgSz w:w="9180" w:h="13302"/>
      <w:pgMar w:top="779" w:right="1133" w:bottom="1132" w:left="1133" w:header="744"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074EF" w14:textId="77777777" w:rsidR="00795960" w:rsidRDefault="00795960" w:rsidP="00A96E85">
      <w:pPr>
        <w:spacing w:line="240" w:lineRule="auto"/>
      </w:pPr>
      <w:r>
        <w:separator/>
      </w:r>
    </w:p>
  </w:endnote>
  <w:endnote w:type="continuationSeparator" w:id="0">
    <w:p w14:paraId="4A4D6193" w14:textId="77777777" w:rsidR="00795960" w:rsidRDefault="00795960" w:rsidP="00A96E8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Charis SIL">
    <w:panose1 w:val="02000500060000020004"/>
    <w:charset w:val="00"/>
    <w:family w:val="auto"/>
    <w:pitch w:val="variable"/>
    <w:sig w:usb0="A00002FF" w:usb1="5200E1FF" w:usb2="02000029" w:usb3="00000000" w:csb0="00000197" w:csb1="00000000"/>
  </w:font>
  <w:font w:name="Baskerville Old Face">
    <w:panose1 w:val="02020602080505020303"/>
    <w:charset w:val="00"/>
    <w:family w:val="roman"/>
    <w:pitch w:val="variable"/>
    <w:sig w:usb0="00000003" w:usb1="00000000" w:usb2="00000000" w:usb3="00000000" w:csb0="00000001" w:csb1="00000000"/>
  </w:font>
  <w:font w:name="Liberation Serif">
    <w:panose1 w:val="02020603050405020304"/>
    <w:charset w:val="00"/>
    <w:family w:val="roman"/>
    <w:pitch w:val="variable"/>
    <w:sig w:usb0="E0000AFF" w:usb1="500078FF" w:usb2="00000021" w:usb3="00000000" w:csb0="000001BF" w:csb1="00000000"/>
  </w:font>
  <w:font w:name="AR PL SungtiL GB">
    <w:altName w:val="Cambria"/>
    <w:charset w:val="00"/>
    <w:family w:val="auto"/>
    <w:pitch w:val="default"/>
  </w:font>
  <w:font w:name="Lohit Devanagari">
    <w:altName w:val="Calibri"/>
    <w:charset w:val="00"/>
    <w:family w:val="auto"/>
    <w:pitch w:val="default"/>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DejaVu Serif">
    <w:altName w:val="Sylfaen"/>
    <w:charset w:val="EE"/>
    <w:family w:val="roman"/>
    <w:pitch w:val="variable"/>
  </w:font>
  <w:font w:name="Book Antiqua">
    <w:panose1 w:val="02040602050305030304"/>
    <w:charset w:val="00"/>
    <w:family w:val="roman"/>
    <w:pitch w:val="variable"/>
    <w:sig w:usb0="00000287" w:usb1="00000000" w:usb2="00000000" w:usb3="00000000" w:csb0="0000009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NSimSun">
    <w:panose1 w:val="02010609030101010101"/>
    <w:charset w:val="86"/>
    <w:family w:val="modern"/>
    <w:pitch w:val="fixed"/>
    <w:sig w:usb0="0000028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Helvetica Neue">
    <w:altName w:val="Arial"/>
    <w:charset w:val="EE"/>
    <w:family w:val="roman"/>
    <w:pitch w:val="variable"/>
  </w:font>
  <w:font w:name="Times">
    <w:panose1 w:val="02020603050405020304"/>
    <w:charset w:val="00"/>
    <w:family w:val="roman"/>
    <w:pitch w:val="variable"/>
    <w:sig w:usb0="E0002EFF" w:usb1="C000785B" w:usb2="00000009" w:usb3="00000000" w:csb0="000001FF" w:csb1="00000000"/>
  </w:font>
  <w:font w:name="Alegreya-Italic">
    <w:altName w:val="Yu Gothic"/>
    <w:panose1 w:val="00000000000000000000"/>
    <w:charset w:val="80"/>
    <w:family w:val="auto"/>
    <w:notTrueType/>
    <w:pitch w:val="default"/>
    <w:sig w:usb0="00000001" w:usb1="08070000" w:usb2="00000010" w:usb3="00000000" w:csb0="00020000" w:csb1="00000000"/>
  </w:font>
  <w:font w:name="Alegreya-Regular">
    <w:altName w:val="Yu Gothic"/>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00"/>
    <w:family w:val="roman"/>
    <w:notTrueType/>
    <w:pitch w:val="default"/>
    <w:sig w:usb0="00000003" w:usb1="00000000" w:usb2="00000000" w:usb3="00000000" w:csb0="00000001" w:csb1="00000000"/>
  </w:font>
  <w:font w:name="Times New Roman (Textkörper CS)">
    <w:panose1 w:val="00000000000000000000"/>
    <w:charset w:val="00"/>
    <w:family w:val="roman"/>
    <w:notTrueType/>
    <w:pitch w:val="default"/>
  </w:font>
  <w:font w:name="Calibri (Textkörper)">
    <w:panose1 w:val="00000000000000000000"/>
    <w:charset w:val="00"/>
    <w:family w:val="roman"/>
    <w:notTrueType/>
    <w:pitch w:val="default"/>
  </w:font>
  <w:font w:name="OS Jeremy">
    <w:panose1 w:val="00000500000000000000"/>
    <w:charset w:val="00"/>
    <w:family w:val="auto"/>
    <w:pitch w:val="variable"/>
    <w:sig w:usb0="A000024F" w:usb1="00000011" w:usb2="00000000" w:usb3="00000000" w:csb0="00000197" w:csb1="00000000"/>
  </w:font>
  <w:font w:name="Old Standard TT">
    <w:panose1 w:val="02040503050505020303"/>
    <w:charset w:val="00"/>
    <w:family w:val="roman"/>
    <w:pitch w:val="variable"/>
    <w:sig w:usb0="E0000AFF" w:usb1="520120FF" w:usb2="02000000" w:usb3="00000000" w:csb0="0000009F" w:csb1="00000000"/>
  </w:font>
  <w:font w:name="Cambria Math">
    <w:panose1 w:val="02040503050406030204"/>
    <w:charset w:val="00"/>
    <w:family w:val="roman"/>
    <w:pitch w:val="variable"/>
    <w:sig w:usb0="E00006FF" w:usb1="420024FF" w:usb2="02000000" w:usb3="00000000" w:csb0="0000019F" w:csb1="00000000"/>
  </w:font>
  <w:font w:name="Cardo">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TimesNewRomanPS-ItalicMT">
    <w:altName w:val="Times New Roman"/>
    <w:panose1 w:val="00000000000000000000"/>
    <w:charset w:val="00"/>
    <w:family w:val="roman"/>
    <w:notTrueType/>
    <w:pitch w:val="default"/>
    <w:sig w:usb0="00000003" w:usb1="00000000" w:usb2="00000000" w:usb3="00000000" w:csb0="00000001" w:csb1="00000000"/>
  </w:font>
  <w:font w:name="OldStandard-Regular">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Body CS)">
    <w:panose1 w:val="00000000000000000000"/>
    <w:charset w:val="00"/>
    <w:family w:val="roman"/>
    <w:notTrueType/>
    <w:pitch w:val="default"/>
  </w:font>
  <w:font w:name="-webkit-standard">
    <w:altName w:val="Times New Roman"/>
    <w:panose1 w:val="00000000000000000000"/>
    <w:charset w:val="00"/>
    <w:family w:val="roman"/>
    <w:notTrueType/>
    <w:pitch w:val="default"/>
  </w:font>
  <w:font w:name="Noto Sans CJK SC">
    <w:panose1 w:val="00000000000000000000"/>
    <w:charset w:val="00"/>
    <w:family w:val="roman"/>
    <w:notTrueType/>
    <w:pitch w:val="default"/>
  </w:font>
  <w:font w:name="Helvetica Neue;Helvetica;Arial;">
    <w:altName w:val="Arial"/>
    <w:panose1 w:val="00000000000000000000"/>
    <w:charset w:val="00"/>
    <w:family w:val="roman"/>
    <w:notTrueType/>
    <w:pitch w:val="default"/>
  </w:font>
  <w:font w:name="Ebrima">
    <w:panose1 w:val="02000000000000000000"/>
    <w:charset w:val="00"/>
    <w:family w:val="auto"/>
    <w:pitch w:val="variable"/>
    <w:sig w:usb0="A000005F" w:usb1="02000041" w:usb2="00000800" w:usb3="00000000" w:csb0="00000093" w:csb1="00000000"/>
  </w:font>
  <w:font w:name="SimSun">
    <w:altName w:val="宋体"/>
    <w:panose1 w:val="02010600030101010101"/>
    <w:charset w:val="86"/>
    <w:family w:val="auto"/>
    <w:pitch w:val="variable"/>
    <w:sig w:usb0="00000003" w:usb1="288F0000" w:usb2="00000016" w:usb3="00000000" w:csb0="00040001" w:csb1="00000000"/>
  </w:font>
  <w:font w:name="Gentium Book Bas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1B6C4" w14:textId="758037DE" w:rsidR="000C3FA9" w:rsidRPr="00CC7060" w:rsidRDefault="000C3FA9" w:rsidP="000C3FA9">
    <w:pPr>
      <w:pStyle w:val="Footer"/>
      <w:jc w:val="center"/>
      <w:rPr>
        <w:lang w:val="en-G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3BB1F" w14:textId="1FBF264D" w:rsidR="000C3FA9" w:rsidRPr="00CC7060" w:rsidRDefault="000C3FA9" w:rsidP="000C3FA9">
    <w:pPr>
      <w:pStyle w:val="Footer"/>
      <w:jc w:val="center"/>
      <w:rPr>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485712" w14:textId="77777777" w:rsidR="00795960" w:rsidRDefault="00795960" w:rsidP="00A96E85">
      <w:pPr>
        <w:spacing w:line="240" w:lineRule="auto"/>
      </w:pPr>
      <w:r>
        <w:separator/>
      </w:r>
    </w:p>
  </w:footnote>
  <w:footnote w:type="continuationSeparator" w:id="0">
    <w:p w14:paraId="3E058722" w14:textId="77777777" w:rsidR="00795960" w:rsidRDefault="00795960" w:rsidP="00A96E85">
      <w:pPr>
        <w:spacing w:line="240" w:lineRule="auto"/>
      </w:pPr>
      <w:r>
        <w:continuationSeparator/>
      </w:r>
    </w:p>
  </w:footnote>
  <w:footnote w:id="1">
    <w:p w14:paraId="5C17D56E" w14:textId="24A0AABD" w:rsidR="00133E51" w:rsidRPr="00556D76" w:rsidRDefault="00133E51"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Created using </w:t>
      </w:r>
      <w:hyperlink r:id="rId1" w:history="1">
        <w:r w:rsidRPr="00556D76">
          <w:rPr>
            <w:rFonts w:cs="Charis SIL"/>
            <w:sz w:val="20"/>
            <w:szCs w:val="20"/>
            <w:u w:val="single"/>
            <w:lang w:val="en-IE"/>
          </w:rPr>
          <w:t>www.wordclouds.com</w:t>
        </w:r>
      </w:hyperlink>
    </w:p>
  </w:footnote>
  <w:footnote w:id="2">
    <w:p w14:paraId="1CB52D81" w14:textId="77777777" w:rsidR="001B3BDD" w:rsidRPr="00556D76" w:rsidRDefault="001B3BD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Should anyone have doubts about the relevance of reflecting on Lessing’s stance on cats, I could only refer the sceptical reader to Johanna’s own brilliant blog </w:t>
      </w:r>
      <w:r w:rsidRPr="00556D76">
        <w:rPr>
          <w:rFonts w:cs="Charis SIL"/>
          <w:i/>
          <w:iCs/>
          <w:sz w:val="20"/>
          <w:szCs w:val="20"/>
          <w:lang w:val="en-IE"/>
        </w:rPr>
        <w:t>Sentrooppa-Santra</w:t>
      </w:r>
      <w:r w:rsidRPr="00556D76">
        <w:rPr>
          <w:rFonts w:cs="Charis SIL"/>
          <w:sz w:val="20"/>
          <w:szCs w:val="20"/>
          <w:lang w:val="en-IE"/>
        </w:rPr>
        <w:t xml:space="preserve"> and her contributions published by </w:t>
      </w:r>
      <w:r w:rsidRPr="00556D76">
        <w:rPr>
          <w:rFonts w:cs="Charis SIL"/>
          <w:i/>
          <w:iCs/>
          <w:sz w:val="20"/>
          <w:szCs w:val="20"/>
          <w:lang w:val="en-IE"/>
        </w:rPr>
        <w:t>Hungarian Spectrum</w:t>
      </w:r>
      <w:r w:rsidRPr="00556D76">
        <w:rPr>
          <w:rFonts w:cs="Charis SIL"/>
          <w:sz w:val="20"/>
          <w:szCs w:val="20"/>
          <w:lang w:val="en-IE"/>
        </w:rPr>
        <w:t>, the most reliable English-language news site featuring daily analyses of news from Hungary. Johanna’s critique of the expressions of the radical right wing populist discourse whenever various key political figures should blissfully give voice to their ignorance of matters of language in the past twelve years have become an integral part of her research in Hungarian Studies (see, for instance, Laakso 2018), functioning as a testimony to the importance of acting as a public intellectual for her, embracing the politics of solidarity.</w:t>
      </w:r>
    </w:p>
  </w:footnote>
  <w:footnote w:id="3">
    <w:p w14:paraId="3847C223" w14:textId="77777777" w:rsidR="004949B6" w:rsidRPr="00556D76" w:rsidRDefault="004949B6"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Created using </w:t>
      </w:r>
      <w:hyperlink r:id="rId2" w:history="1">
        <w:r w:rsidRPr="00556D76">
          <w:rPr>
            <w:rFonts w:cs="Charis SIL"/>
            <w:sz w:val="20"/>
            <w:szCs w:val="20"/>
            <w:u w:val="single"/>
            <w:lang w:val="en-IE"/>
          </w:rPr>
          <w:t>www.wordclouds.com</w:t>
        </w:r>
      </w:hyperlink>
    </w:p>
  </w:footnote>
  <w:footnote w:id="4">
    <w:p w14:paraId="3AE0A3C6" w14:textId="6F5EC099" w:rsidR="003B5D32" w:rsidRPr="00556D76" w:rsidRDefault="003B5D32" w:rsidP="0099245C">
      <w:pPr>
        <w:pStyle w:val="FootnoteText"/>
        <w:rPr>
          <w:rFonts w:ascii="Cambria" w:hAnsi="Cambria"/>
          <w:lang w:val="en-IE"/>
        </w:rPr>
      </w:pPr>
      <w:r w:rsidRPr="00556D76">
        <w:rPr>
          <w:rStyle w:val="FootnoteReference"/>
          <w:rFonts w:ascii="Cambria" w:hAnsi="Cambria"/>
          <w:lang w:val="en-IE"/>
        </w:rPr>
        <w:footnoteRef/>
      </w:r>
      <w:r w:rsidRPr="00556D76">
        <w:rPr>
          <w:rFonts w:ascii="Cambria" w:hAnsi="Cambria"/>
          <w:lang w:val="en-IE"/>
        </w:rPr>
        <w:t xml:space="preserve"> All 1PL references in this section refer to this trio.</w:t>
      </w:r>
    </w:p>
  </w:footnote>
  <w:footnote w:id="5">
    <w:p w14:paraId="55B909FB" w14:textId="60A71205" w:rsidR="00593AEE" w:rsidRPr="00556D76" w:rsidRDefault="00593AE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 w:history="1">
        <w:r w:rsidRPr="00556D76">
          <w:rPr>
            <w:rFonts w:cs="Charis SIL"/>
            <w:sz w:val="20"/>
            <w:szCs w:val="20"/>
            <w:u w:val="single"/>
            <w:lang w:val="en-IE"/>
          </w:rPr>
          <w:t>www.babel.gwi.uni-muenchen.de</w:t>
        </w:r>
      </w:hyperlink>
    </w:p>
  </w:footnote>
  <w:footnote w:id="6">
    <w:p w14:paraId="2CF26188" w14:textId="061F8F77" w:rsidR="000A6BFA" w:rsidRPr="00556D76" w:rsidRDefault="000A6BFA"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4" w:history="1">
        <w:r w:rsidRPr="00556D76">
          <w:rPr>
            <w:rFonts w:cs="Charis SIL"/>
            <w:sz w:val="20"/>
            <w:szCs w:val="20"/>
            <w:u w:val="single"/>
            <w:lang w:val="en-IE"/>
          </w:rPr>
          <w:t>remodus.univie.ac.at</w:t>
        </w:r>
      </w:hyperlink>
    </w:p>
  </w:footnote>
  <w:footnote w:id="7">
    <w:p w14:paraId="107A0A1B" w14:textId="6816275B" w:rsidR="004949B6" w:rsidRPr="00556D76" w:rsidRDefault="004949B6"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According to our records this abbreviation only entered usage in correspondences pertaining to the compendium in 2021, showing that it is never too late to make communication more efficient.</w:t>
      </w:r>
    </w:p>
  </w:footnote>
  <w:footnote w:id="8">
    <w:p w14:paraId="72FB42AE" w14:textId="69A30EB8" w:rsidR="001E6C77" w:rsidRPr="00556D76" w:rsidRDefault="001E6C77"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It is also why Jeremy, who is standing in for Johanna </w:t>
      </w:r>
      <w:r w:rsidR="008C187B" w:rsidRPr="00556D76">
        <w:rPr>
          <w:rFonts w:cs="Charis SIL"/>
          <w:sz w:val="20"/>
          <w:szCs w:val="20"/>
          <w:lang w:val="en-IE"/>
        </w:rPr>
        <w:t xml:space="preserve">when compiling this chapter, is looking at the upcoming presentation of this </w:t>
      </w:r>
      <w:r w:rsidR="008C187B" w:rsidRPr="00556D76">
        <w:rPr>
          <w:rFonts w:cs="Charis SIL"/>
          <w:i/>
          <w:iCs/>
          <w:sz w:val="20"/>
          <w:szCs w:val="20"/>
          <w:lang w:val="en-IE"/>
        </w:rPr>
        <w:t>Festschrift</w:t>
      </w:r>
      <w:r w:rsidR="008C187B" w:rsidRPr="00556D76">
        <w:rPr>
          <w:rFonts w:cs="Charis SIL"/>
          <w:sz w:val="20"/>
          <w:szCs w:val="20"/>
          <w:lang w:val="en-IE"/>
        </w:rPr>
        <w:t xml:space="preserve"> with trepidation: the moment we have presented the book, a countdown will start until she finds the first typo that we as an editorial team missed</w:t>
      </w:r>
      <w:r w:rsidR="00380B85" w:rsidRPr="00556D76">
        <w:rPr>
          <w:rFonts w:cs="Charis SIL"/>
          <w:sz w:val="20"/>
          <w:szCs w:val="20"/>
          <w:lang w:val="en-IE"/>
        </w:rPr>
        <w:t>. This is why his shame at not getting the Festschrift printed for the Big Day is mixed with a sense of relief: at least this</w:t>
      </w:r>
      <w:r w:rsidR="000121EA" w:rsidRPr="00556D76">
        <w:rPr>
          <w:rFonts w:cs="Charis SIL"/>
          <w:sz w:val="20"/>
          <w:szCs w:val="20"/>
          <w:lang w:val="en-IE"/>
        </w:rPr>
        <w:t xml:space="preserve"> way</w:t>
      </w:r>
      <w:r w:rsidR="00380B85" w:rsidRPr="00556D76">
        <w:rPr>
          <w:rFonts w:cs="Charis SIL"/>
          <w:sz w:val="20"/>
          <w:szCs w:val="20"/>
          <w:lang w:val="en-IE"/>
        </w:rPr>
        <w:t>, the first few typos she finds will still be fixed before the book goes into print!</w:t>
      </w:r>
    </w:p>
  </w:footnote>
  <w:footnote w:id="9">
    <w:p w14:paraId="3E229337" w14:textId="4610C590" w:rsidR="00E75592" w:rsidRPr="00556D76" w:rsidRDefault="00E75592"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r w:rsidRPr="00556D76">
        <w:rPr>
          <w:rFonts w:cs="Charis SIL"/>
          <w:sz w:val="20"/>
          <w:szCs w:val="20"/>
          <w:lang w:val="en-IE" w:eastAsia="en-GB"/>
        </w:rPr>
        <w:t>Bakró-Nagy, Marianne, Johanna Laakso &amp; Elena Skribnik. 2020. “As we say it in Finno-Ugric”. Some thoughts on making Uralic language studies more accessible to outsiders. In Janne Saarikivi, Susanna Virtanen, Sampsa Holopainen (eds.)</w:t>
      </w:r>
      <w:r w:rsidR="00EF08F6" w:rsidRPr="00556D76">
        <w:rPr>
          <w:rFonts w:cs="Charis SIL"/>
          <w:sz w:val="20"/>
          <w:szCs w:val="20"/>
          <w:lang w:val="en-IE" w:eastAsia="en-GB"/>
        </w:rPr>
        <w:t>,</w:t>
      </w:r>
      <w:r w:rsidRPr="00556D76">
        <w:rPr>
          <w:rFonts w:cs="Charis SIL"/>
          <w:sz w:val="20"/>
          <w:szCs w:val="20"/>
          <w:lang w:val="en-IE" w:eastAsia="en-GB"/>
        </w:rPr>
        <w:t xml:space="preserve"> </w:t>
      </w:r>
      <w:r w:rsidRPr="00556D76">
        <w:rPr>
          <w:rFonts w:cs="Charis SIL"/>
          <w:i/>
          <w:iCs/>
          <w:sz w:val="20"/>
          <w:szCs w:val="20"/>
          <w:lang w:val="en-IE" w:eastAsia="en-GB"/>
        </w:rPr>
        <w:t>Ёмас сымыӈ нэ̄кве во̄ртур э̄тпост самын патум. Scripta miscellanea in honorem Ulla-Maija Forsberg</w:t>
      </w:r>
      <w:r w:rsidR="00EF08F6" w:rsidRPr="00556D76">
        <w:rPr>
          <w:rFonts w:cs="Charis SIL"/>
          <w:sz w:val="20"/>
          <w:szCs w:val="20"/>
          <w:lang w:val="en-IE" w:eastAsia="en-GB"/>
        </w:rPr>
        <w:t>, 27–41</w:t>
      </w:r>
      <w:r w:rsidRPr="00556D76">
        <w:rPr>
          <w:rFonts w:cs="Charis SIL"/>
          <w:sz w:val="20"/>
          <w:szCs w:val="20"/>
          <w:lang w:val="en-IE" w:eastAsia="en-GB"/>
        </w:rPr>
        <w:t xml:space="preserve"> Suomalais-Ugrilaisen Seuran Toimituksia 275. Helsinki: Suomalais-Ugrilainen Seura</w:t>
      </w:r>
      <w:r w:rsidR="00D70EC1" w:rsidRPr="00556D76">
        <w:rPr>
          <w:rFonts w:cs="Charis SIL"/>
          <w:sz w:val="20"/>
          <w:szCs w:val="20"/>
          <w:lang w:val="en-IE" w:eastAsia="en-GB"/>
        </w:rPr>
        <w:t>.</w:t>
      </w:r>
    </w:p>
  </w:footnote>
  <w:footnote w:id="10">
    <w:p w14:paraId="1FCFF3B0" w14:textId="40FE3DAE" w:rsidR="003A54AE" w:rsidRPr="00556D76" w:rsidRDefault="003A54A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“What shall I call you?” (“Minek nevezzelek?”) is the title of one of the most well-known poems by the famous 19</w:t>
      </w:r>
      <w:r w:rsidRPr="00556D76">
        <w:rPr>
          <w:rFonts w:cs="Charis SIL"/>
          <w:sz w:val="20"/>
          <w:szCs w:val="20"/>
          <w:vertAlign w:val="superscript"/>
          <w:lang w:val="en-IE"/>
        </w:rPr>
        <w:t>th</w:t>
      </w:r>
      <w:r w:rsidRPr="00556D76">
        <w:rPr>
          <w:rFonts w:cs="Charis SIL"/>
          <w:sz w:val="20"/>
          <w:szCs w:val="20"/>
          <w:lang w:val="en-IE"/>
        </w:rPr>
        <w:t>-century Hungarian poet Sándor Petőfi.</w:t>
      </w:r>
    </w:p>
  </w:footnote>
  <w:footnote w:id="11">
    <w:p w14:paraId="4E0B07AB" w14:textId="77777777" w:rsidR="00A96E85" w:rsidRPr="00556D76" w:rsidRDefault="00A96E85"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This paper is a slightly extended version of three footnote rows in an earlier article of mine (Kallio 2015: 88).</w:t>
      </w:r>
    </w:p>
  </w:footnote>
  <w:footnote w:id="12">
    <w:p w14:paraId="183211C7" w14:textId="77777777" w:rsidR="00A96E85" w:rsidRPr="00556D76" w:rsidRDefault="00A96E85"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Estonian </w:t>
      </w:r>
      <w:r w:rsidRPr="00556D76">
        <w:rPr>
          <w:rFonts w:cs="Charis SIL"/>
          <w:i/>
          <w:sz w:val="20"/>
          <w:szCs w:val="20"/>
          <w:lang w:val="en-IE"/>
        </w:rPr>
        <w:t>laks</w:t>
      </w:r>
      <w:r w:rsidRPr="00556D76">
        <w:rPr>
          <w:rFonts w:cs="Charis SIL"/>
          <w:sz w:val="20"/>
          <w:szCs w:val="20"/>
          <w:lang w:val="en-IE"/>
        </w:rPr>
        <w:t xml:space="preserve"> earlier used to be translated as ‘großer breiter Pla</w:t>
      </w:r>
      <w:r w:rsidRPr="00556D76">
        <w:rPr>
          <w:rFonts w:ascii="Times New Roman" w:hAnsi="Times New Roman" w:cs="Times New Roman"/>
          <w:sz w:val="20"/>
          <w:szCs w:val="20"/>
          <w:lang w:val="en-IE"/>
        </w:rPr>
        <w:t>ꜩ</w:t>
      </w:r>
      <w:r w:rsidRPr="00556D76">
        <w:rPr>
          <w:rFonts w:cs="Cambria"/>
          <w:sz w:val="20"/>
          <w:szCs w:val="20"/>
          <w:lang w:val="en-IE"/>
        </w:rPr>
        <w:t>’</w:t>
      </w:r>
      <w:r w:rsidRPr="00556D76">
        <w:rPr>
          <w:rFonts w:cs="Charis SIL"/>
          <w:sz w:val="20"/>
          <w:szCs w:val="20"/>
          <w:lang w:val="en-IE"/>
        </w:rPr>
        <w:t xml:space="preserve"> (Hupel 1780: 200) and </w:t>
      </w:r>
      <w:r w:rsidRPr="00556D76">
        <w:rPr>
          <w:rFonts w:cs="Cambria"/>
          <w:sz w:val="20"/>
          <w:szCs w:val="20"/>
          <w:lang w:val="en-IE"/>
        </w:rPr>
        <w:t>‘</w:t>
      </w:r>
      <w:r w:rsidRPr="00556D76">
        <w:rPr>
          <w:rFonts w:cs="Charis SIL"/>
          <w:sz w:val="20"/>
          <w:szCs w:val="20"/>
          <w:lang w:val="en-IE"/>
        </w:rPr>
        <w:t>grosser Platz, Fl</w:t>
      </w:r>
      <w:r w:rsidRPr="00556D76">
        <w:rPr>
          <w:rFonts w:cs="Cambria"/>
          <w:sz w:val="20"/>
          <w:szCs w:val="20"/>
          <w:lang w:val="en-IE"/>
        </w:rPr>
        <w:t>ä</w:t>
      </w:r>
      <w:r w:rsidRPr="00556D76">
        <w:rPr>
          <w:rFonts w:cs="Charis SIL"/>
          <w:sz w:val="20"/>
          <w:szCs w:val="20"/>
          <w:lang w:val="en-IE"/>
        </w:rPr>
        <w:t>che</w:t>
      </w:r>
      <w:r w:rsidRPr="00556D76">
        <w:rPr>
          <w:rFonts w:cs="Cambria"/>
          <w:sz w:val="20"/>
          <w:szCs w:val="20"/>
          <w:lang w:val="en-IE"/>
        </w:rPr>
        <w:t>’</w:t>
      </w:r>
      <w:r w:rsidRPr="00556D76">
        <w:rPr>
          <w:rFonts w:cs="Charis SIL"/>
          <w:sz w:val="20"/>
          <w:szCs w:val="20"/>
          <w:lang w:val="en-IE"/>
        </w:rPr>
        <w:t xml:space="preserve"> (Wiedemann 1869: 499), but no such meanings can be found in EMS.</w:t>
      </w:r>
    </w:p>
  </w:footnote>
  <w:footnote w:id="13">
    <w:p w14:paraId="53E0ACEC" w14:textId="568DF2C4" w:rsidR="00A96E85" w:rsidRPr="00556D76" w:rsidRDefault="00A96E85"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Just to set the record straight</w:t>
      </w:r>
      <w:r w:rsidR="00C23406" w:rsidRPr="00556D76">
        <w:rPr>
          <w:rFonts w:cs="Charis SIL"/>
          <w:sz w:val="20"/>
          <w:szCs w:val="20"/>
          <w:lang w:val="en-IE"/>
        </w:rPr>
        <w:t>,</w:t>
      </w:r>
      <w:r w:rsidRPr="00556D76">
        <w:rPr>
          <w:rFonts w:cs="Charis SIL"/>
          <w:sz w:val="20"/>
          <w:szCs w:val="20"/>
          <w:lang w:val="en-IE"/>
        </w:rPr>
        <w:t xml:space="preserve"> I personally have nothing against “native” etymologies, I have suggested them before (e.g. Kallio 2015: 89), and I would like to suggest one more: as is well-known, Finnish </w:t>
      </w:r>
      <w:r w:rsidRPr="00556D76">
        <w:rPr>
          <w:rFonts w:cs="Charis SIL"/>
          <w:i/>
          <w:sz w:val="20"/>
          <w:szCs w:val="20"/>
          <w:lang w:val="en-IE"/>
        </w:rPr>
        <w:t>salama</w:t>
      </w:r>
      <w:r w:rsidRPr="00556D76">
        <w:rPr>
          <w:rFonts w:cs="Charis SIL"/>
          <w:sz w:val="20"/>
          <w:szCs w:val="20"/>
          <w:lang w:val="en-IE"/>
        </w:rPr>
        <w:t xml:space="preserve"> ‘lightning’ is a derivative of Uralic </w:t>
      </w:r>
      <w:r w:rsidRPr="00556D76">
        <w:rPr>
          <w:rFonts w:cs="Charis SIL"/>
          <w:i/>
          <w:sz w:val="20"/>
          <w:szCs w:val="20"/>
          <w:lang w:val="en-IE"/>
        </w:rPr>
        <w:t>*śala-</w:t>
      </w:r>
      <w:r w:rsidRPr="00556D76">
        <w:rPr>
          <w:rFonts w:cs="Charis SIL"/>
          <w:sz w:val="20"/>
          <w:szCs w:val="20"/>
          <w:lang w:val="en-IE"/>
        </w:rPr>
        <w:t xml:space="preserve"> ‘to flash, to lighten’, but Finnish </w:t>
      </w:r>
      <w:r w:rsidRPr="00556D76">
        <w:rPr>
          <w:rFonts w:cs="Charis SIL"/>
          <w:i/>
          <w:sz w:val="20"/>
          <w:szCs w:val="20"/>
          <w:lang w:val="en-IE"/>
        </w:rPr>
        <w:t>salakka</w:t>
      </w:r>
      <w:r w:rsidRPr="00556D76">
        <w:rPr>
          <w:rFonts w:cs="Charis SIL"/>
          <w:sz w:val="20"/>
          <w:szCs w:val="20"/>
          <w:lang w:val="en-IE"/>
        </w:rPr>
        <w:t xml:space="preserve"> ‘bleak’ </w:t>
      </w:r>
      <w:r w:rsidR="007B04F2" w:rsidRPr="00556D76">
        <w:rPr>
          <w:rFonts w:cs="Charis SIL"/>
          <w:sz w:val="20"/>
          <w:szCs w:val="20"/>
          <w:lang w:val="en-IE"/>
        </w:rPr>
        <w:t xml:space="preserve">also </w:t>
      </w:r>
      <w:r w:rsidRPr="00556D76">
        <w:rPr>
          <w:rFonts w:cs="Charis SIL"/>
          <w:sz w:val="20"/>
          <w:szCs w:val="20"/>
          <w:lang w:val="en-IE"/>
        </w:rPr>
        <w:t>seems to be, because the bleak (</w:t>
      </w:r>
      <w:r w:rsidRPr="00556D76">
        <w:rPr>
          <w:rFonts w:cs="Charis SIL"/>
          <w:i/>
          <w:sz w:val="20"/>
          <w:szCs w:val="20"/>
          <w:lang w:val="en-IE"/>
        </w:rPr>
        <w:t>Alburnus alburnus</w:t>
      </w:r>
      <w:r w:rsidRPr="00556D76">
        <w:rPr>
          <w:rFonts w:cs="Charis SIL"/>
          <w:sz w:val="20"/>
          <w:szCs w:val="20"/>
          <w:lang w:val="en-IE"/>
        </w:rPr>
        <w:t xml:space="preserve">) is named after its shiny silvery colour in many other languages as well. However, this and my other “native” etymologies are in agreement with the standard word-formation rules </w:t>
      </w:r>
      <w:r w:rsidR="005101CF" w:rsidRPr="00556D76">
        <w:rPr>
          <w:rFonts w:cs="Charis SIL"/>
          <w:sz w:val="20"/>
          <w:szCs w:val="20"/>
          <w:lang w:val="en-IE"/>
        </w:rPr>
        <w:t>–</w:t>
      </w:r>
      <w:r w:rsidRPr="00556D76">
        <w:rPr>
          <w:rFonts w:cs="Charis SIL"/>
          <w:sz w:val="20"/>
          <w:szCs w:val="20"/>
          <w:lang w:val="en-IE"/>
        </w:rPr>
        <w:t xml:space="preserve"> just as they are in agreement with the established sound laws. Needless to say, one can freely loosen up the criteria, but in that case one should also acknowledge being less critical.</w:t>
      </w:r>
    </w:p>
  </w:footnote>
  <w:footnote w:id="14">
    <w:p w14:paraId="6D56CB53" w14:textId="383A086F" w:rsidR="00A96E85" w:rsidRPr="00556D76" w:rsidRDefault="00A96E85"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Technically, there is also a third alternative: </w:t>
      </w:r>
      <w:r w:rsidRPr="00556D76">
        <w:rPr>
          <w:rFonts w:cs="Charis SIL"/>
          <w:i/>
          <w:sz w:val="20"/>
          <w:szCs w:val="20"/>
          <w:lang w:val="en-IE"/>
        </w:rPr>
        <w:t>*lakso</w:t>
      </w:r>
      <w:r w:rsidRPr="00556D76">
        <w:rPr>
          <w:rFonts w:cs="Charis SIL"/>
          <w:sz w:val="20"/>
          <w:szCs w:val="20"/>
          <w:lang w:val="en-IE"/>
        </w:rPr>
        <w:t xml:space="preserve"> </w:t>
      </w:r>
      <w:r w:rsidR="007B04F2" w:rsidRPr="00556D76">
        <w:rPr>
          <w:rFonts w:cs="Charis SIL"/>
          <w:sz w:val="20"/>
          <w:szCs w:val="20"/>
          <w:lang w:val="en-IE"/>
        </w:rPr>
        <w:t>is a case of</w:t>
      </w:r>
      <w:r w:rsidRPr="00556D76">
        <w:rPr>
          <w:rFonts w:cs="Charis SIL"/>
          <w:sz w:val="20"/>
          <w:szCs w:val="20"/>
          <w:lang w:val="en-IE"/>
        </w:rPr>
        <w:t xml:space="preserve"> onomatopoeia, sound symbolism, </w:t>
      </w:r>
      <w:r w:rsidRPr="00556D76">
        <w:rPr>
          <w:rFonts w:cs="Charis SIL"/>
          <w:i/>
          <w:sz w:val="20"/>
          <w:szCs w:val="20"/>
          <w:lang w:val="en-IE"/>
        </w:rPr>
        <w:t>Urschöpfung</w:t>
      </w:r>
      <w:r w:rsidRPr="00556D76">
        <w:rPr>
          <w:rFonts w:cs="Charis SIL"/>
          <w:sz w:val="20"/>
          <w:szCs w:val="20"/>
          <w:lang w:val="en-IE"/>
        </w:rPr>
        <w:t xml:space="preserve"> or the like. However, no one has ever even raised such a possibility, thus making it futile to discuss it.</w:t>
      </w:r>
    </w:p>
  </w:footnote>
  <w:footnote w:id="15">
    <w:p w14:paraId="35C31714" w14:textId="12C3DB01" w:rsidR="00A96E85" w:rsidRPr="00556D76" w:rsidRDefault="00A96E85"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As an anonymous referee kindly reminded me, dialectal Lithuanian </w:t>
      </w:r>
      <w:r w:rsidRPr="00556D76">
        <w:rPr>
          <w:rFonts w:cs="Charis SIL"/>
          <w:i/>
          <w:sz w:val="20"/>
          <w:szCs w:val="20"/>
          <w:lang w:val="en-IE"/>
        </w:rPr>
        <w:t>lañktis</w:t>
      </w:r>
      <w:r w:rsidRPr="00556D76">
        <w:rPr>
          <w:rFonts w:cs="Charis SIL"/>
          <w:sz w:val="20"/>
          <w:szCs w:val="20"/>
          <w:lang w:val="en-IE"/>
        </w:rPr>
        <w:t xml:space="preserve"> (gen. </w:t>
      </w:r>
      <w:r w:rsidRPr="00556D76">
        <w:rPr>
          <w:rFonts w:cs="Charis SIL"/>
          <w:i/>
          <w:sz w:val="20"/>
          <w:szCs w:val="20"/>
          <w:lang w:val="en-IE"/>
        </w:rPr>
        <w:t>lañkties</w:t>
      </w:r>
      <w:r w:rsidRPr="00556D76">
        <w:rPr>
          <w:rFonts w:cs="Charis SIL"/>
          <w:sz w:val="20"/>
          <w:szCs w:val="20"/>
          <w:lang w:val="en-IE"/>
        </w:rPr>
        <w:t xml:space="preserve">) after all points to an original </w:t>
      </w:r>
      <w:r w:rsidRPr="00556D76">
        <w:rPr>
          <w:rFonts w:cs="Charis SIL"/>
          <w:i/>
          <w:sz w:val="20"/>
          <w:szCs w:val="20"/>
          <w:lang w:val="en-IE"/>
        </w:rPr>
        <w:t>i</w:t>
      </w:r>
      <w:r w:rsidRPr="00556D76">
        <w:rPr>
          <w:rFonts w:cs="Charis SIL"/>
          <w:sz w:val="20"/>
          <w:szCs w:val="20"/>
          <w:lang w:val="en-IE"/>
        </w:rPr>
        <w:t xml:space="preserve">-stem. Thus, Finno-Saamic </w:t>
      </w:r>
      <w:r w:rsidRPr="00556D76">
        <w:rPr>
          <w:rFonts w:cs="Charis SIL"/>
          <w:i/>
          <w:sz w:val="20"/>
          <w:szCs w:val="20"/>
          <w:lang w:val="en-IE"/>
        </w:rPr>
        <w:t>*laktə̑</w:t>
      </w:r>
      <w:r w:rsidRPr="00556D76">
        <w:rPr>
          <w:rFonts w:cs="Charis SIL"/>
          <w:sz w:val="20"/>
          <w:szCs w:val="20"/>
          <w:lang w:val="en-IE"/>
        </w:rPr>
        <w:t xml:space="preserve"> was apparently borrowed from earlier Baltic </w:t>
      </w:r>
      <w:r w:rsidRPr="00556D76">
        <w:rPr>
          <w:rFonts w:cs="Charis SIL"/>
          <w:i/>
          <w:sz w:val="20"/>
          <w:szCs w:val="20"/>
          <w:lang w:val="en-IE"/>
        </w:rPr>
        <w:t>*lankti-</w:t>
      </w:r>
      <w:r w:rsidRPr="00556D76">
        <w:rPr>
          <w:rFonts w:cs="Charis SIL"/>
          <w:sz w:val="20"/>
          <w:szCs w:val="20"/>
          <w:lang w:val="en-IE"/>
        </w:rPr>
        <w:t xml:space="preserve">, whereas Finnic </w:t>
      </w:r>
      <w:r w:rsidRPr="00556D76">
        <w:rPr>
          <w:rFonts w:cs="Charis SIL"/>
          <w:i/>
          <w:sz w:val="20"/>
          <w:szCs w:val="20"/>
          <w:lang w:val="en-IE"/>
        </w:rPr>
        <w:t>*lakco</w:t>
      </w:r>
      <w:r w:rsidRPr="00556D76">
        <w:rPr>
          <w:rFonts w:cs="Charis SIL"/>
          <w:sz w:val="20"/>
          <w:szCs w:val="20"/>
          <w:lang w:val="en-IE"/>
        </w:rPr>
        <w:t xml:space="preserve"> </w:t>
      </w:r>
      <w:r w:rsidR="008159A9" w:rsidRPr="00556D76">
        <w:rPr>
          <w:rFonts w:cs="Charis SIL"/>
          <w:sz w:val="20"/>
          <w:szCs w:val="20"/>
          <w:lang w:val="en-IE"/>
        </w:rPr>
        <w:t xml:space="preserve">stems </w:t>
      </w:r>
      <w:r w:rsidRPr="00556D76">
        <w:rPr>
          <w:rFonts w:cs="Charis SIL"/>
          <w:sz w:val="20"/>
          <w:szCs w:val="20"/>
          <w:lang w:val="en-IE"/>
        </w:rPr>
        <w:t xml:space="preserve">from later Baltic </w:t>
      </w:r>
      <w:r w:rsidRPr="00556D76">
        <w:rPr>
          <w:rFonts w:cs="Charis SIL"/>
          <w:i/>
          <w:sz w:val="20"/>
          <w:szCs w:val="20"/>
          <w:lang w:val="en-IE"/>
        </w:rPr>
        <w:t>*lanktja-</w:t>
      </w:r>
      <w:r w:rsidRPr="00556D76">
        <w:rPr>
          <w:rFonts w:cs="Charis SIL"/>
          <w:sz w:val="20"/>
          <w:szCs w:val="20"/>
          <w:lang w:val="en-IE"/>
        </w:rPr>
        <w:t>.</w:t>
      </w:r>
    </w:p>
  </w:footnote>
  <w:footnote w:id="16">
    <w:p w14:paraId="24886133" w14:textId="61670708" w:rsidR="0098366C" w:rsidRPr="00556D76" w:rsidRDefault="0098366C" w:rsidP="0099245C">
      <w:pPr>
        <w:pStyle w:val="FootnoteText"/>
        <w:suppressAutoHyphens/>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This is also how we know that </w:t>
      </w:r>
      <w:r w:rsidRPr="00556D76">
        <w:rPr>
          <w:rFonts w:ascii="Cambria" w:hAnsi="Cambria" w:cs="Charis SIL"/>
          <w:i/>
          <w:iCs/>
          <w:lang w:val="en-IE"/>
        </w:rPr>
        <w:t>Yūnus</w:t>
      </w:r>
      <w:r w:rsidRPr="00556D76">
        <w:rPr>
          <w:rFonts w:ascii="Cambria" w:hAnsi="Cambria" w:cs="Charis SIL"/>
          <w:lang w:val="en-IE"/>
        </w:rPr>
        <w:t xml:space="preserve">, the Arabic form of the name </w:t>
      </w:r>
      <w:r w:rsidRPr="00556D76">
        <w:rPr>
          <w:rFonts w:ascii="Cambria" w:hAnsi="Cambria" w:cs="Charis SIL"/>
          <w:i/>
          <w:iCs/>
          <w:lang w:val="en-IE"/>
        </w:rPr>
        <w:t>Jonah</w:t>
      </w:r>
      <w:r w:rsidRPr="00556D76">
        <w:rPr>
          <w:rFonts w:ascii="Cambria" w:hAnsi="Cambria" w:cs="Charis SIL"/>
          <w:lang w:val="en-IE"/>
        </w:rPr>
        <w:t xml:space="preserve"> (He. </w:t>
      </w:r>
      <w:r w:rsidRPr="00556D76">
        <w:rPr>
          <w:rFonts w:ascii="Cambria" w:hAnsi="Cambria" w:cs="Charis SIL"/>
          <w:i/>
          <w:iCs/>
          <w:lang w:val="en-IE"/>
        </w:rPr>
        <w:t>Yonā</w:t>
      </w:r>
      <w:r w:rsidRPr="00556D76">
        <w:rPr>
          <w:rFonts w:ascii="Cambria" w:hAnsi="Cambria" w:cs="Charis SIL"/>
          <w:lang w:val="en-IE"/>
        </w:rPr>
        <w:t>)</w:t>
      </w:r>
      <w:r w:rsidR="001C59C1" w:rsidRPr="00556D76">
        <w:rPr>
          <w:rFonts w:ascii="Cambria" w:hAnsi="Cambria" w:cs="Charis SIL"/>
          <w:lang w:val="en-IE"/>
        </w:rPr>
        <w:t>,</w:t>
      </w:r>
      <w:r w:rsidRPr="00556D76">
        <w:rPr>
          <w:rFonts w:ascii="Cambria" w:hAnsi="Cambria" w:cs="Charis SIL"/>
          <w:lang w:val="en-IE"/>
        </w:rPr>
        <w:t xml:space="preserve"> was derived from the Greek </w:t>
      </w:r>
      <w:r w:rsidRPr="00556D76">
        <w:rPr>
          <w:rFonts w:ascii="Cambria" w:hAnsi="Cambria" w:cs="Charis SIL"/>
          <w:i/>
          <w:iCs/>
          <w:lang w:val="en-IE"/>
        </w:rPr>
        <w:t>Jonas</w:t>
      </w:r>
      <w:r w:rsidRPr="00556D76">
        <w:rPr>
          <w:rFonts w:ascii="Cambria" w:hAnsi="Cambria" w:cs="Charis SIL"/>
          <w:lang w:val="en-IE"/>
        </w:rPr>
        <w:t xml:space="preserve"> rather than directly from Hebrew.</w:t>
      </w:r>
    </w:p>
  </w:footnote>
  <w:footnote w:id="17">
    <w:p w14:paraId="1F05A26B" w14:textId="77777777" w:rsidR="0098366C" w:rsidRPr="00556D76" w:rsidRDefault="0098366C" w:rsidP="0099245C">
      <w:pPr>
        <w:pStyle w:val="FootnoteText"/>
        <w:suppressAutoHyphens/>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w:t>
      </w:r>
      <w:r w:rsidRPr="00556D76">
        <w:rPr>
          <w:rFonts w:ascii="Cambria" w:hAnsi="Cambria" w:cs="Charis SIL"/>
          <w:i/>
          <w:iCs/>
          <w:lang w:val="en-IE"/>
        </w:rPr>
        <w:t>Iōanna gynē ʾĒrōdou epitropou Xouza</w:t>
      </w:r>
      <w:r w:rsidRPr="00556D76">
        <w:rPr>
          <w:rFonts w:ascii="Cambria" w:hAnsi="Cambria" w:cs="Charis SIL"/>
          <w:lang w:val="en-IE"/>
        </w:rPr>
        <w:t>.</w:t>
      </w:r>
    </w:p>
  </w:footnote>
  <w:footnote w:id="18">
    <w:p w14:paraId="3634A1E3" w14:textId="77777777" w:rsidR="0098366C" w:rsidRPr="00556D76" w:rsidRDefault="0098366C" w:rsidP="0099245C">
      <w:pPr>
        <w:pStyle w:val="FootnoteText"/>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It is from the same root that we get the names Hanna and Anna.</w:t>
      </w:r>
    </w:p>
  </w:footnote>
  <w:footnote w:id="19">
    <w:p w14:paraId="422ECB1A" w14:textId="1FC09F09" w:rsidR="000D0357" w:rsidRPr="00556D76" w:rsidRDefault="000D0357"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The authors of this chapter hope it was not presumptuous of them to assume h-word privileges.</w:t>
      </w:r>
    </w:p>
  </w:footnote>
  <w:footnote w:id="20">
    <w:p w14:paraId="2DEE732D" w14:textId="32F4B8C4" w:rsidR="001F5A1F" w:rsidRPr="00556D76" w:rsidRDefault="001F5A1F"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5" w:history="1">
        <w:r w:rsidRPr="00556D76">
          <w:rPr>
            <w:rFonts w:cs="Charis SIL"/>
            <w:sz w:val="20"/>
            <w:szCs w:val="20"/>
            <w:lang w:val="en-IE"/>
          </w:rPr>
          <w:t>i</w:t>
        </w:r>
        <w:r w:rsidRPr="00556D76">
          <w:rPr>
            <w:rFonts w:cs="Charis SIL"/>
            <w:sz w:val="20"/>
            <w:szCs w:val="20"/>
            <w:u w:val="single"/>
            <w:lang w:val="en-IE"/>
          </w:rPr>
          <w:t>nter-finno-ugric.univie.ac.at/home/winter-school-2013-vienna/</w:t>
        </w:r>
      </w:hyperlink>
    </w:p>
  </w:footnote>
  <w:footnote w:id="21">
    <w:p w14:paraId="0F9CB662" w14:textId="3A59DCB6" w:rsidR="00C443E4" w:rsidRPr="00556D76" w:rsidRDefault="00C443E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6" w:history="1">
        <w:r w:rsidRPr="00556D76">
          <w:rPr>
            <w:rFonts w:cs="Charis SIL"/>
            <w:sz w:val="20"/>
            <w:szCs w:val="20"/>
            <w:u w:val="single"/>
            <w:lang w:val="en-IE"/>
          </w:rPr>
          <w:t>inter-finno-ugric.univie.ac.at/home/winter-school-2014-szeged/</w:t>
        </w:r>
      </w:hyperlink>
    </w:p>
  </w:footnote>
  <w:footnote w:id="22">
    <w:p w14:paraId="75E80378" w14:textId="2AAC0053" w:rsidR="00C443E4" w:rsidRPr="00556D76" w:rsidRDefault="00C443E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7" w:history="1">
        <w:r w:rsidRPr="00556D76">
          <w:rPr>
            <w:rFonts w:cs="Charis SIL"/>
            <w:sz w:val="20"/>
            <w:szCs w:val="20"/>
            <w:u w:val="single"/>
            <w:lang w:val="en-IE"/>
          </w:rPr>
          <w:t>www.infuse.finnougristik.uni-muenchen.de/</w:t>
        </w:r>
      </w:hyperlink>
    </w:p>
  </w:footnote>
  <w:footnote w:id="23">
    <w:p w14:paraId="7D1B2351" w14:textId="1D871E34" w:rsidR="006211CE" w:rsidRPr="00556D76" w:rsidRDefault="006211C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8" w:history="1">
        <w:r w:rsidRPr="00556D76">
          <w:rPr>
            <w:rFonts w:cs="Charis SIL"/>
            <w:sz w:val="20"/>
            <w:szCs w:val="20"/>
            <w:u w:val="single"/>
            <w:lang w:val="en-IE"/>
          </w:rPr>
          <w:t>www.copius.eu</w:t>
        </w:r>
      </w:hyperlink>
    </w:p>
  </w:footnote>
  <w:footnote w:id="24">
    <w:p w14:paraId="06FC7B9F" w14:textId="0EBF8DB0" w:rsidR="003A283C" w:rsidRPr="00556D76" w:rsidRDefault="003A283C"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Rogier Blokland notes that we are aware of the fact that doing something like this might actually occur only to Jeremy</w:t>
      </w:r>
      <w:r w:rsidR="00506109">
        <w:rPr>
          <w:rFonts w:cs="Charis SIL"/>
          <w:sz w:val="20"/>
          <w:szCs w:val="20"/>
          <w:lang w:val="en-IE"/>
        </w:rPr>
        <w:t>.</w:t>
      </w:r>
    </w:p>
  </w:footnote>
  <w:footnote w:id="25">
    <w:p w14:paraId="2D0CFF4B" w14:textId="10019F9A" w:rsidR="00855724" w:rsidRPr="00556D76" w:rsidRDefault="0085572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9" w:history="1">
        <w:r w:rsidRPr="00556D76">
          <w:rPr>
            <w:rFonts w:cs="Charis SIL"/>
            <w:sz w:val="20"/>
            <w:szCs w:val="20"/>
            <w:u w:val="single"/>
            <w:lang w:val="en-IE"/>
          </w:rPr>
          <w:t>remodus.univie.ac.at/</w:t>
        </w:r>
      </w:hyperlink>
    </w:p>
  </w:footnote>
  <w:footnote w:id="26">
    <w:p w14:paraId="57D6C4EB" w14:textId="2AA35DD9" w:rsidR="003551C8" w:rsidRPr="00556D76" w:rsidRDefault="003551C8"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On one </w:t>
      </w:r>
      <w:r w:rsidR="007913D8" w:rsidRPr="00556D76">
        <w:rPr>
          <w:rFonts w:cs="Charis SIL"/>
          <w:sz w:val="20"/>
          <w:szCs w:val="20"/>
          <w:lang w:val="en-IE"/>
        </w:rPr>
        <w:t>occasion</w:t>
      </w:r>
      <w:r w:rsidRPr="00556D76">
        <w:rPr>
          <w:rFonts w:cs="Charis SIL"/>
          <w:sz w:val="20"/>
          <w:szCs w:val="20"/>
          <w:lang w:val="en-IE"/>
        </w:rPr>
        <w:t xml:space="preserve"> the authors of this contribution realized they had been discussing the still-secret </w:t>
      </w:r>
      <w:r w:rsidRPr="00556D76">
        <w:rPr>
          <w:rFonts w:cs="Charis SIL"/>
          <w:i/>
          <w:iCs/>
          <w:sz w:val="20"/>
          <w:szCs w:val="20"/>
          <w:lang w:val="en-IE"/>
        </w:rPr>
        <w:t>Festschrift</w:t>
      </w:r>
      <w:r w:rsidRPr="00556D76">
        <w:rPr>
          <w:rFonts w:cs="Charis SIL"/>
          <w:sz w:val="20"/>
          <w:szCs w:val="20"/>
          <w:lang w:val="en-IE"/>
        </w:rPr>
        <w:t xml:space="preserve"> in front of a hot mic in a coffee break</w:t>
      </w:r>
      <w:r w:rsidR="00C63CFB" w:rsidRPr="00556D76">
        <w:rPr>
          <w:rFonts w:cs="Charis SIL"/>
          <w:sz w:val="20"/>
          <w:szCs w:val="20"/>
          <w:lang w:val="en-IE"/>
        </w:rPr>
        <w:t xml:space="preserve">: their ostensibly private discussion turned out to have been broadcast over Zoom. In a reaffirmation </w:t>
      </w:r>
      <w:r w:rsidR="00032DC9" w:rsidRPr="00556D76">
        <w:rPr>
          <w:rFonts w:cs="Charis SIL"/>
          <w:sz w:val="20"/>
          <w:szCs w:val="20"/>
          <w:lang w:val="en-IE"/>
        </w:rPr>
        <w:t>of</w:t>
      </w:r>
      <w:r w:rsidR="00C63CFB" w:rsidRPr="00556D76">
        <w:rPr>
          <w:rFonts w:cs="Charis SIL"/>
          <w:sz w:val="20"/>
          <w:szCs w:val="20"/>
          <w:lang w:val="en-IE"/>
        </w:rPr>
        <w:t xml:space="preserve"> our fa</w:t>
      </w:r>
      <w:r w:rsidR="00986D35" w:rsidRPr="00556D76">
        <w:rPr>
          <w:rFonts w:cs="Charis SIL"/>
          <w:sz w:val="20"/>
          <w:szCs w:val="20"/>
          <w:lang w:val="en-IE"/>
        </w:rPr>
        <w:t>ith</w:t>
      </w:r>
      <w:r w:rsidR="00C63CFB" w:rsidRPr="00556D76">
        <w:rPr>
          <w:rFonts w:cs="Charis SIL"/>
          <w:sz w:val="20"/>
          <w:szCs w:val="20"/>
          <w:lang w:val="en-IE"/>
        </w:rPr>
        <w:t xml:space="preserve"> in humanity, no students </w:t>
      </w:r>
      <w:r w:rsidR="00032DC9" w:rsidRPr="00556D76">
        <w:rPr>
          <w:rFonts w:cs="Charis SIL"/>
          <w:sz w:val="20"/>
          <w:szCs w:val="20"/>
          <w:lang w:val="en-IE"/>
        </w:rPr>
        <w:t>have come forward with blackmail proposals</w:t>
      </w:r>
      <w:r w:rsidR="00C63CFB" w:rsidRPr="00556D76">
        <w:rPr>
          <w:rFonts w:cs="Charis SIL"/>
          <w:sz w:val="20"/>
          <w:szCs w:val="20"/>
          <w:lang w:val="en-IE"/>
        </w:rPr>
        <w:t>.</w:t>
      </w:r>
    </w:p>
  </w:footnote>
  <w:footnote w:id="27">
    <w:p w14:paraId="2FCD5299" w14:textId="77777777" w:rsidR="00376306" w:rsidRPr="00556D76" w:rsidRDefault="00376306" w:rsidP="006B2EA3">
      <w:pPr>
        <w:spacing w:line="240" w:lineRule="auto"/>
        <w:jc w:val="left"/>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Siehe </w:t>
      </w:r>
      <w:hyperlink r:id="rId10">
        <w:r w:rsidRPr="00556D76">
          <w:rPr>
            <w:rFonts w:cs="Charis SIL"/>
            <w:sz w:val="20"/>
            <w:szCs w:val="20"/>
            <w:u w:val="single"/>
            <w:lang w:val="en-IE"/>
          </w:rPr>
          <w:t>www.integrationsfonds.at/fileadmin/content/AT/monitor/</w:t>
        </w:r>
        <w:r w:rsidRPr="00556D76">
          <w:rPr>
            <w:rFonts w:cs="Charis SIL"/>
            <w:sz w:val="20"/>
            <w:szCs w:val="20"/>
            <w:u w:val="single"/>
            <w:lang w:val="en-IE"/>
          </w:rPr>
          <w:br/>
          <w:t>Wien_2018_Bezirke.pdf</w:t>
        </w:r>
      </w:hyperlink>
      <w:r w:rsidRPr="00556D76">
        <w:rPr>
          <w:rFonts w:cs="Charis SIL"/>
          <w:sz w:val="20"/>
          <w:szCs w:val="20"/>
          <w:u w:val="single"/>
          <w:lang w:val="en-IE"/>
        </w:rPr>
        <w:t xml:space="preserve"> (1.3.2022)</w:t>
      </w:r>
    </w:p>
  </w:footnote>
  <w:footnote w:id="28">
    <w:p w14:paraId="72E6734C" w14:textId="28B8F6E7" w:rsidR="00376306" w:rsidRPr="00556D76" w:rsidRDefault="00376306" w:rsidP="006B2EA3">
      <w:pPr>
        <w:spacing w:line="240" w:lineRule="auto"/>
        <w:jc w:val="left"/>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Siehe </w:t>
      </w:r>
      <w:hyperlink r:id="rId11" w:history="1">
        <w:r w:rsidR="0035655E" w:rsidRPr="00556D76">
          <w:rPr>
            <w:rStyle w:val="Hyperlink"/>
            <w:rFonts w:cs="Charis SIL"/>
            <w:color w:val="auto"/>
            <w:sz w:val="20"/>
            <w:szCs w:val="20"/>
            <w:lang w:val="en-IE"/>
          </w:rPr>
          <w:t>www.statistik.at/web_de/statistiken/menschen_und_gesellschaft/</w:t>
        </w:r>
        <w:r w:rsidR="0035655E" w:rsidRPr="00556D76">
          <w:rPr>
            <w:rStyle w:val="Hyperlink"/>
            <w:rFonts w:cs="Charis SIL"/>
            <w:color w:val="auto"/>
            <w:sz w:val="20"/>
            <w:szCs w:val="20"/>
            <w:lang w:val="en-IE"/>
          </w:rPr>
          <w:br/>
          <w:t>bevoelkerung/bevoelkerungsstruktur/</w:t>
        </w:r>
        <w:r w:rsidR="0035655E" w:rsidRPr="00556D76">
          <w:rPr>
            <w:rStyle w:val="Hyperlink"/>
            <w:rFonts w:cs="Charis SIL"/>
            <w:color w:val="auto"/>
            <w:sz w:val="20"/>
            <w:szCs w:val="20"/>
            <w:lang w:val="en-IE"/>
          </w:rPr>
          <w:br/>
          <w:t>bevoelkerung_nach_staatsangehoerigkeit_geburtsland/index.html</w:t>
        </w:r>
      </w:hyperlink>
    </w:p>
  </w:footnote>
  <w:footnote w:id="29">
    <w:p w14:paraId="0DE221E6" w14:textId="65F7D186" w:rsidR="00376306" w:rsidRPr="00556D76" w:rsidRDefault="00376306" w:rsidP="006B2EA3">
      <w:pPr>
        <w:spacing w:line="240" w:lineRule="auto"/>
        <w:jc w:val="left"/>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Siehe </w:t>
      </w:r>
      <w:hyperlink r:id="rId12" w:anchor="professional" w:history="1">
        <w:r w:rsidRPr="00556D76">
          <w:rPr>
            <w:rFonts w:cs="Charis SIL"/>
            <w:sz w:val="20"/>
            <w:szCs w:val="20"/>
            <w:u w:val="single"/>
            <w:lang w:val="en-IE"/>
          </w:rPr>
          <w:t>de.statista.com/statistik/daten/studie/886994/umfrage/</w:t>
        </w:r>
        <w:r w:rsidRPr="00556D76">
          <w:rPr>
            <w:rFonts w:cs="Charis SIL"/>
            <w:sz w:val="20"/>
            <w:szCs w:val="20"/>
            <w:u w:val="single"/>
            <w:lang w:val="en-IE"/>
          </w:rPr>
          <w:br/>
          <w:t>auslaender-in-wien-nach-staatsangehoerigkeit/#professional</w:t>
        </w:r>
      </w:hyperlink>
    </w:p>
  </w:footnote>
  <w:footnote w:id="30">
    <w:p w14:paraId="373B2EA0" w14:textId="77777777" w:rsidR="00376306" w:rsidRPr="00556D76" w:rsidRDefault="00376306" w:rsidP="006B2EA3">
      <w:pPr>
        <w:suppressAutoHyphens/>
        <w:spacing w:line="240" w:lineRule="auto"/>
        <w:jc w:val="left"/>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Gogolin, Ingrid: </w:t>
      </w:r>
      <w:r w:rsidRPr="00556D76">
        <w:rPr>
          <w:rFonts w:cs="Charis SIL"/>
          <w:i/>
          <w:iCs/>
          <w:sz w:val="20"/>
          <w:szCs w:val="20"/>
          <w:lang w:val="en-IE"/>
        </w:rPr>
        <w:t>Der monolinguale Habitus der multilingualen Schule</w:t>
      </w:r>
      <w:r w:rsidRPr="00556D76">
        <w:rPr>
          <w:rFonts w:cs="Charis SIL"/>
          <w:sz w:val="20"/>
          <w:szCs w:val="20"/>
          <w:lang w:val="en-IE"/>
        </w:rPr>
        <w:t>. Internationale Hochschulschriften, Bd. 101. Münster / New York / München / Berlin: Waxmann, 2008.</w:t>
      </w:r>
    </w:p>
  </w:footnote>
  <w:footnote w:id="31">
    <w:p w14:paraId="74788132" w14:textId="1E679B54" w:rsidR="00376306" w:rsidRPr="00556D76" w:rsidRDefault="00376306"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Siehe </w:t>
      </w:r>
      <w:hyperlink r:id="rId13">
        <w:r w:rsidRPr="00556D76">
          <w:rPr>
            <w:rFonts w:cs="Charis SIL"/>
            <w:sz w:val="20"/>
            <w:szCs w:val="20"/>
            <w:u w:val="single"/>
            <w:lang w:val="en-IE"/>
          </w:rPr>
          <w:t>www.bmbwf.gv.at/Themen/schule/schulpraxis/ba/sprabi/mika_d.html</w:t>
        </w:r>
      </w:hyperlink>
    </w:p>
  </w:footnote>
  <w:footnote w:id="32">
    <w:p w14:paraId="4E014988" w14:textId="69D638C7" w:rsidR="00376306" w:rsidRPr="00556D76" w:rsidRDefault="00376306"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Siehe </w:t>
      </w:r>
      <w:hyperlink r:id="rId14">
        <w:r w:rsidRPr="00556D76">
          <w:rPr>
            <w:rFonts w:cs="Charis SIL"/>
            <w:sz w:val="20"/>
            <w:szCs w:val="20"/>
            <w:u w:val="single"/>
            <w:lang w:val="en-IE"/>
          </w:rPr>
          <w:t>www.sprachenrechte.at/forderungen</w:t>
        </w:r>
      </w:hyperlink>
    </w:p>
  </w:footnote>
  <w:footnote w:id="33">
    <w:p w14:paraId="226ED5AD" w14:textId="786E2117" w:rsidR="00376306" w:rsidRPr="00556D76" w:rsidRDefault="00376306"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Siehe </w:t>
      </w:r>
      <w:hyperlink r:id="rId15">
        <w:r w:rsidRPr="00556D76">
          <w:rPr>
            <w:rFonts w:cs="Charis SIL"/>
            <w:sz w:val="20"/>
            <w:szCs w:val="20"/>
            <w:u w:val="single"/>
            <w:lang w:val="en-IE"/>
          </w:rPr>
          <w:t>www.bildung-wien.gv.at/unterricht/Sprachf-rderzentrum.html</w:t>
        </w:r>
      </w:hyperlink>
    </w:p>
  </w:footnote>
  <w:footnote w:id="34">
    <w:p w14:paraId="11081D93" w14:textId="77777777" w:rsidR="00376306" w:rsidRPr="00556D76" w:rsidRDefault="00376306"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In Wien übernehmen diese Aufgabe hauptsächlich folgende Vereine: Wiener Ungarische Schule, AMAPED und Ungarischer Schulverein.</w:t>
      </w:r>
    </w:p>
  </w:footnote>
  <w:footnote w:id="35">
    <w:p w14:paraId="7F634E11" w14:textId="4C64B96B" w:rsidR="00376306" w:rsidRPr="00556D76" w:rsidRDefault="00376306" w:rsidP="00775F3A">
      <w:pPr>
        <w:spacing w:line="240" w:lineRule="auto"/>
        <w:jc w:val="left"/>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Siehe: </w:t>
      </w:r>
      <w:hyperlink r:id="rId16">
        <w:r w:rsidRPr="00556D76">
          <w:rPr>
            <w:rFonts w:cs="Charis SIL"/>
            <w:sz w:val="20"/>
            <w:szCs w:val="20"/>
            <w:u w:val="single"/>
            <w:lang w:val="en-IE"/>
          </w:rPr>
          <w:t>www.ecml.at/ECML-Programme/Programme2008-2011/</w:t>
        </w:r>
        <w:r w:rsidRPr="00556D76">
          <w:rPr>
            <w:rFonts w:cs="Charis SIL"/>
            <w:sz w:val="20"/>
            <w:szCs w:val="20"/>
            <w:u w:val="single"/>
            <w:lang w:val="en-IE"/>
          </w:rPr>
          <w:br/>
          <w:t>EuropeanFrameworkforCLILTeacherEducation/tabid/4444/Default.aspx</w:t>
        </w:r>
      </w:hyperlink>
    </w:p>
  </w:footnote>
  <w:footnote w:id="36">
    <w:p w14:paraId="1FB6CED3" w14:textId="0707990E" w:rsidR="00376306" w:rsidRPr="00556D76" w:rsidRDefault="00376306"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Rothweiler, M. &amp; Ruberg, T.: </w:t>
      </w:r>
      <w:r w:rsidRPr="00556D76">
        <w:rPr>
          <w:rFonts w:cs="Charis SIL"/>
          <w:i/>
          <w:iCs/>
          <w:sz w:val="20"/>
          <w:szCs w:val="20"/>
          <w:lang w:val="en-IE"/>
        </w:rPr>
        <w:t xml:space="preserve">Der Erwerb des Deutschen bei Kindern mit nichtdeutscher Erstsprache. </w:t>
      </w:r>
      <w:r w:rsidRPr="00556D76">
        <w:rPr>
          <w:rFonts w:cs="Charis SIL"/>
          <w:sz w:val="20"/>
          <w:szCs w:val="20"/>
          <w:lang w:val="en-IE"/>
        </w:rPr>
        <w:t xml:space="preserve">München: DJI Deutsches Jugendinstitut e.V., 2011, 10. (Auch online: </w:t>
      </w:r>
      <w:hyperlink r:id="rId17" w:history="1">
        <w:r w:rsidR="00675642" w:rsidRPr="00556D76">
          <w:rPr>
            <w:rStyle w:val="Hyperlink"/>
            <w:rFonts w:cs="Charis SIL"/>
            <w:color w:val="auto"/>
            <w:sz w:val="20"/>
            <w:szCs w:val="20"/>
            <w:lang w:val="en-IE"/>
          </w:rPr>
          <w:t>www.weiterbildungsinitiative.de/publikationen/detail/der-erwerb-des-deutschen-bei-kindern-mit-nichtdeutscher-erstsprache</w:t>
        </w:r>
      </w:hyperlink>
      <w:r w:rsidRPr="00556D76">
        <w:rPr>
          <w:rFonts w:cs="Charis SIL"/>
          <w:sz w:val="20"/>
          <w:szCs w:val="20"/>
          <w:lang w:val="en-IE"/>
        </w:rPr>
        <w:t>)</w:t>
      </w:r>
    </w:p>
  </w:footnote>
  <w:footnote w:id="37">
    <w:p w14:paraId="432936D0" w14:textId="2A7868EF" w:rsidR="00376306" w:rsidRPr="00556D76" w:rsidRDefault="00376306"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Büchner, I. &amp; Hein, J. &amp; May, P.: </w:t>
      </w:r>
      <w:r w:rsidRPr="00556D76">
        <w:rPr>
          <w:rFonts w:cs="Charis SIL"/>
          <w:i/>
          <w:iCs/>
          <w:sz w:val="20"/>
          <w:szCs w:val="20"/>
        </w:rPr>
        <w:t>VASE 4 bis 8. Verfahren zur Analyse der Sprachentwicklung mit Bildimpulsen. Handbuch</w:t>
      </w:r>
      <w:r w:rsidRPr="00556D76">
        <w:rPr>
          <w:rFonts w:cs="Charis SIL"/>
          <w:sz w:val="20"/>
          <w:szCs w:val="20"/>
        </w:rPr>
        <w:t xml:space="preserve">. Hamburg: Institut für Bildungsmonitoring und Qualitätsentwicklung, 2017. (Auch online: </w:t>
      </w:r>
      <w:r w:rsidRPr="00556D76">
        <w:rPr>
          <w:rFonts w:cs="Charis SIL"/>
          <w:sz w:val="20"/>
          <w:szCs w:val="20"/>
        </w:rPr>
        <w:br/>
      </w:r>
      <w:hyperlink r:id="rId18" w:history="1">
        <w:r w:rsidR="00151C8A" w:rsidRPr="00556D76">
          <w:rPr>
            <w:rStyle w:val="Hyperlink"/>
            <w:rFonts w:cs="Charis SIL"/>
            <w:color w:val="auto"/>
            <w:sz w:val="20"/>
            <w:szCs w:val="20"/>
          </w:rPr>
          <w:t>www.peter-may.de/Dokumente/May_doc/VASE 4-8 Handbuch.pdf</w:t>
        </w:r>
      </w:hyperlink>
      <w:r w:rsidRPr="00556D76">
        <w:rPr>
          <w:rFonts w:cs="Charis SIL"/>
          <w:sz w:val="20"/>
          <w:szCs w:val="20"/>
        </w:rPr>
        <w:t>)</w:t>
      </w:r>
    </w:p>
  </w:footnote>
  <w:footnote w:id="38">
    <w:p w14:paraId="1F28B251" w14:textId="618B52F2" w:rsidR="00376306" w:rsidRPr="00556D76" w:rsidRDefault="00376306" w:rsidP="00775F3A">
      <w:pPr>
        <w:pStyle w:val="Heading1"/>
        <w:suppressAutoHyphens/>
        <w:spacing w:after="0" w:line="240" w:lineRule="auto"/>
        <w:ind w:left="0" w:firstLine="0"/>
        <w:jc w:val="left"/>
        <w:rPr>
          <w:rFonts w:ascii="Cambria" w:hAnsi="Cambria" w:cs="Charis SIL"/>
          <w:b/>
          <w:bCs/>
          <w:color w:val="auto"/>
          <w:sz w:val="20"/>
          <w:szCs w:val="20"/>
          <w:lang w:val="en-IE"/>
        </w:rPr>
      </w:pPr>
      <w:r w:rsidRPr="00556D76">
        <w:rPr>
          <w:rFonts w:ascii="Cambria" w:hAnsi="Cambria" w:cs="Charis SIL"/>
          <w:color w:val="auto"/>
          <w:sz w:val="20"/>
          <w:szCs w:val="20"/>
          <w:vertAlign w:val="superscript"/>
          <w:lang w:val="de-AT"/>
        </w:rPr>
        <w:footnoteRef/>
      </w:r>
      <w:r w:rsidRPr="00556D76">
        <w:rPr>
          <w:rFonts w:ascii="Cambria" w:hAnsi="Cambria" w:cs="Charis SIL"/>
          <w:color w:val="auto"/>
          <w:sz w:val="20"/>
          <w:szCs w:val="20"/>
          <w:lang w:val="de-AT"/>
        </w:rPr>
        <w:t xml:space="preserve"> Siehe</w:t>
      </w:r>
      <w:r w:rsidRPr="00556D76">
        <w:rPr>
          <w:rFonts w:ascii="Cambria" w:hAnsi="Cambria" w:cs="Charis SIL"/>
          <w:i/>
          <w:iCs/>
          <w:color w:val="auto"/>
          <w:sz w:val="20"/>
          <w:szCs w:val="20"/>
          <w:lang w:val="de-AT"/>
        </w:rPr>
        <w:t xml:space="preserve"> Hamburger Verfahren zur Analyse des Sprachstands Fünfjähriger (HAVAS 5)</w:t>
      </w:r>
      <w:r w:rsidRPr="00556D76">
        <w:rPr>
          <w:rFonts w:ascii="Cambria" w:hAnsi="Cambria" w:cs="Charis SIL"/>
          <w:color w:val="auto"/>
          <w:sz w:val="20"/>
          <w:szCs w:val="20"/>
          <w:lang w:val="de-AT"/>
        </w:rPr>
        <w:t xml:space="preserve">: </w:t>
      </w:r>
      <w:hyperlink r:id="rId19" w:history="1">
        <w:r w:rsidR="00775F3A" w:rsidRPr="00556D76">
          <w:rPr>
            <w:rStyle w:val="Hyperlink"/>
            <w:rFonts w:ascii="Cambria" w:hAnsi="Cambria" w:cs="Charis SIL"/>
            <w:color w:val="auto"/>
            <w:sz w:val="20"/>
            <w:szCs w:val="20"/>
            <w:lang w:val="de-AT"/>
          </w:rPr>
          <w:t>www.foermig.uni-hamburg.de/publikationen/</w:t>
        </w:r>
        <w:r w:rsidR="00775F3A" w:rsidRPr="00556D76">
          <w:rPr>
            <w:rStyle w:val="Hyperlink"/>
            <w:rFonts w:ascii="Cambria" w:hAnsi="Cambria" w:cs="Charis SIL"/>
            <w:color w:val="auto"/>
            <w:sz w:val="20"/>
            <w:szCs w:val="20"/>
            <w:lang w:val="de-AT"/>
          </w:rPr>
          <w:br/>
          <w:t>diagnoseinstrumente/havas-5.html</w:t>
        </w:r>
      </w:hyperlink>
    </w:p>
  </w:footnote>
  <w:footnote w:id="39">
    <w:p w14:paraId="774D7E5A" w14:textId="205ECCCD" w:rsidR="00376306" w:rsidRPr="00556D76" w:rsidRDefault="00376306"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Ehlich K. &amp; Bredel U. &amp; Reich H.: Referenzrahmen zur altersspezifischen Sprachaneignung. Bonn-Berlin: BMBF Referat Bildungsforschung, 2008:</w:t>
      </w:r>
      <w:r w:rsidR="00675642" w:rsidRPr="00556D76">
        <w:rPr>
          <w:rFonts w:cs="Charis SIL"/>
          <w:sz w:val="20"/>
          <w:szCs w:val="20"/>
          <w:lang w:val="en-IE"/>
        </w:rPr>
        <w:t xml:space="preserve"> </w:t>
      </w:r>
      <w:hyperlink r:id="rId20" w:history="1">
        <w:r w:rsidR="00EF1775" w:rsidRPr="00556D76">
          <w:rPr>
            <w:rStyle w:val="Hyperlink"/>
            <w:rFonts w:cs="Charis SIL"/>
            <w:color w:val="auto"/>
            <w:sz w:val="20"/>
            <w:szCs w:val="20"/>
            <w:lang w:val="en-IE"/>
          </w:rPr>
          <w:t>home.edo.tu-dortmund.de/~hoffmann/PDF/</w:t>
        </w:r>
        <w:r w:rsidR="00EF1775" w:rsidRPr="00556D76">
          <w:rPr>
            <w:rStyle w:val="Hyperlink"/>
            <w:rFonts w:cs="Charis SIL"/>
            <w:color w:val="auto"/>
            <w:sz w:val="20"/>
            <w:szCs w:val="20"/>
            <w:lang w:val="en-IE"/>
          </w:rPr>
          <w:br/>
          <w:t>bildungsforschung_band_neunundzwanzig.pdf</w:t>
        </w:r>
      </w:hyperlink>
    </w:p>
  </w:footnote>
  <w:footnote w:id="40">
    <w:p w14:paraId="72F533FC" w14:textId="650D043B" w:rsidR="00376306" w:rsidRPr="00556D76" w:rsidRDefault="00376306"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Vgl. Büchner, I. &amp; Hein, J. &amp; May, P.: VASE 4 bis 8. Hamburg: Institut f</w:t>
      </w:r>
      <w:r w:rsidR="00C04B47" w:rsidRPr="00556D76">
        <w:rPr>
          <w:rFonts w:cs="Charis SIL"/>
          <w:sz w:val="20"/>
          <w:szCs w:val="20"/>
          <w:lang w:val="en-IE"/>
        </w:rPr>
        <w:t>ü</w:t>
      </w:r>
      <w:r w:rsidRPr="00556D76">
        <w:rPr>
          <w:rFonts w:cs="Charis SIL"/>
          <w:sz w:val="20"/>
          <w:szCs w:val="20"/>
          <w:lang w:val="en-IE"/>
        </w:rPr>
        <w:t>r Bildungsmonitoring und Qualit</w:t>
      </w:r>
      <w:r w:rsidR="00C04B47" w:rsidRPr="00556D76">
        <w:rPr>
          <w:rFonts w:cs="Charis SIL"/>
          <w:sz w:val="20"/>
          <w:szCs w:val="20"/>
          <w:lang w:val="en-IE"/>
        </w:rPr>
        <w:t>ä</w:t>
      </w:r>
      <w:r w:rsidRPr="00556D76">
        <w:rPr>
          <w:rFonts w:cs="Charis SIL"/>
          <w:sz w:val="20"/>
          <w:szCs w:val="20"/>
          <w:lang w:val="en-IE"/>
        </w:rPr>
        <w:t>tsentwicklung, 2017, 19.</w:t>
      </w:r>
    </w:p>
  </w:footnote>
  <w:footnote w:id="41">
    <w:p w14:paraId="13C35EA2" w14:textId="77777777" w:rsidR="00EF1775" w:rsidRPr="00556D76" w:rsidRDefault="00EF1775" w:rsidP="00A219CF">
      <w:pPr>
        <w:pStyle w:val="FootnoteText1"/>
        <w:suppressAutoHyphens w:val="0"/>
        <w:jc w:val="both"/>
        <w:rPr>
          <w:rFonts w:ascii="Cambria" w:hAnsi="Cambria" w:cs="Charis SIL"/>
          <w:color w:val="auto"/>
          <w:sz w:val="20"/>
          <w:szCs w:val="20"/>
          <w:lang w:val="fi-FI"/>
        </w:rPr>
      </w:pPr>
      <w:r w:rsidRPr="00556D76">
        <w:rPr>
          <w:rStyle w:val="Alaviitemerkit"/>
          <w:rFonts w:ascii="Cambria" w:hAnsi="Cambria"/>
          <w:color w:val="auto"/>
          <w:sz w:val="20"/>
          <w:szCs w:val="20"/>
          <w:vertAlign w:val="superscript"/>
          <w:lang w:val="fi-FI"/>
        </w:rPr>
        <w:footnoteRef/>
      </w:r>
      <w:r w:rsidRPr="00556D76">
        <w:rPr>
          <w:rFonts w:ascii="Cambria" w:hAnsi="Cambria" w:cs="Charis SIL"/>
          <w:color w:val="auto"/>
          <w:sz w:val="20"/>
          <w:szCs w:val="20"/>
          <w:lang w:val="fi-FI"/>
        </w:rPr>
        <w:t xml:space="preserve"> Koko satu käännöksineen uralilaisille kielille on ensinnä julkaistu ОФУЯ:ssa s. 439–481.</w:t>
      </w:r>
    </w:p>
  </w:footnote>
  <w:footnote w:id="42">
    <w:p w14:paraId="49122160" w14:textId="77777777" w:rsidR="00EF1775" w:rsidRPr="00556D76" w:rsidRDefault="00EF1775" w:rsidP="00A219CF">
      <w:pPr>
        <w:pStyle w:val="FootnoteText1"/>
        <w:suppressAutoHyphens w:val="0"/>
        <w:jc w:val="both"/>
        <w:rPr>
          <w:rFonts w:ascii="Cambria" w:hAnsi="Cambria" w:cs="Charis SIL"/>
          <w:color w:val="auto"/>
          <w:sz w:val="20"/>
          <w:szCs w:val="20"/>
          <w:lang w:val="fi-FI"/>
        </w:rPr>
      </w:pPr>
      <w:r w:rsidRPr="00556D76">
        <w:rPr>
          <w:rStyle w:val="Alaviitemerkit"/>
          <w:rFonts w:ascii="Cambria" w:hAnsi="Cambria"/>
          <w:color w:val="auto"/>
          <w:sz w:val="20"/>
          <w:szCs w:val="20"/>
          <w:vertAlign w:val="superscript"/>
          <w:lang w:val="fi-FI"/>
        </w:rPr>
        <w:footnoteRef/>
      </w:r>
      <w:r w:rsidRPr="00556D76">
        <w:rPr>
          <w:rFonts w:ascii="Cambria" w:hAnsi="Cambria" w:cs="Charis SIL"/>
          <w:color w:val="auto"/>
          <w:sz w:val="20"/>
          <w:szCs w:val="20"/>
          <w:lang w:val="fi-FI"/>
        </w:rPr>
        <w:t xml:space="preserve"> Käsitys sydämestä tunteitten tyyssijana on taatusti kantasuomea nuorempaa perua, mutta alkutekstin mukana se on nyt nieltävä. En tässä lähde ruotimaan kettusadun kielen muita heikkouksia, koska ei vertailevalla uralistiikalla ole oikein parempaakaan useaan kieleen käännettyä perustekstiä, joka ei tekisi loikkaa itäisen Välimeren kielten ja kulttuurien kautta.</w:t>
      </w:r>
    </w:p>
  </w:footnote>
  <w:footnote w:id="43">
    <w:p w14:paraId="57974660" w14:textId="77777777" w:rsidR="00EF1775" w:rsidRPr="00556D76" w:rsidRDefault="00EF1775" w:rsidP="00A219CF">
      <w:pPr>
        <w:pStyle w:val="FootnoteText1"/>
        <w:suppressAutoHyphens w:val="0"/>
        <w:jc w:val="both"/>
        <w:rPr>
          <w:rFonts w:ascii="Cambria" w:hAnsi="Cambria" w:cs="Charis SIL"/>
          <w:color w:val="auto"/>
          <w:sz w:val="20"/>
          <w:szCs w:val="20"/>
          <w:lang w:val="fi-FI"/>
        </w:rPr>
      </w:pPr>
      <w:r w:rsidRPr="00556D76">
        <w:rPr>
          <w:rStyle w:val="Alaviitemerkit"/>
          <w:rFonts w:ascii="Cambria" w:hAnsi="Cambria"/>
          <w:color w:val="auto"/>
          <w:sz w:val="20"/>
          <w:szCs w:val="20"/>
          <w:vertAlign w:val="superscript"/>
          <w:lang w:val="fi-FI"/>
        </w:rPr>
        <w:footnoteRef/>
      </w:r>
      <w:r w:rsidRPr="00556D76">
        <w:rPr>
          <w:rFonts w:ascii="Cambria" w:hAnsi="Cambria" w:cs="Charis SIL"/>
          <w:color w:val="auto"/>
          <w:sz w:val="20"/>
          <w:szCs w:val="20"/>
          <w:lang w:val="fi-FI"/>
        </w:rPr>
        <w:t xml:space="preserve"> Vihjeenä jatkokehittelijöille: en ole tähän ratkaisuuni täysin tyytyväinen, koska tuloksena on vain pitkiä vokaaleita soinnitonten klusiilien edellä. Pitenemistä olen kuitenkin tarvinnut säilyttääkseni eron useimpien nominien yksikön ja monikon nominatiivin välillä.</w:t>
      </w:r>
    </w:p>
  </w:footnote>
  <w:footnote w:id="44">
    <w:p w14:paraId="6173BD4B" w14:textId="77777777" w:rsidR="00EF1775" w:rsidRPr="00556D76" w:rsidRDefault="00EF1775" w:rsidP="00A219CF">
      <w:pPr>
        <w:pStyle w:val="FootnoteText1"/>
        <w:suppressAutoHyphens w:val="0"/>
        <w:jc w:val="both"/>
        <w:rPr>
          <w:rFonts w:ascii="Cambria" w:hAnsi="Cambria" w:cs="Charis SIL"/>
          <w:color w:val="auto"/>
          <w:sz w:val="20"/>
          <w:szCs w:val="20"/>
          <w:lang w:val="fi-FI"/>
        </w:rPr>
      </w:pPr>
      <w:r w:rsidRPr="00556D76">
        <w:rPr>
          <w:rStyle w:val="Alaviitemerkit"/>
          <w:rFonts w:ascii="Cambria" w:hAnsi="Cambria"/>
          <w:color w:val="auto"/>
          <w:sz w:val="20"/>
          <w:szCs w:val="20"/>
          <w:vertAlign w:val="superscript"/>
          <w:lang w:val="fi-FI"/>
        </w:rPr>
        <w:footnoteRef/>
      </w:r>
      <w:r w:rsidRPr="00556D76">
        <w:rPr>
          <w:rFonts w:ascii="Cambria" w:hAnsi="Cambria" w:cs="Charis SIL"/>
          <w:color w:val="auto"/>
          <w:sz w:val="20"/>
          <w:szCs w:val="20"/>
          <w:lang w:val="fi-FI"/>
        </w:rPr>
        <w:t xml:space="preserve"> Tällaisissa kahden akuutin tavun sisältävissä muodoissa olen lukenut pääpainon niistä ensimmäiselle.</w:t>
      </w:r>
    </w:p>
  </w:footnote>
  <w:footnote w:id="45">
    <w:p w14:paraId="3031E015" w14:textId="77777777" w:rsidR="00EF1775" w:rsidRPr="00556D76" w:rsidRDefault="00EF1775" w:rsidP="00A219CF">
      <w:pPr>
        <w:pStyle w:val="FootnoteText1"/>
        <w:suppressAutoHyphens w:val="0"/>
        <w:jc w:val="both"/>
        <w:rPr>
          <w:rFonts w:ascii="Cambria" w:hAnsi="Cambria" w:cs="Charis SIL"/>
          <w:color w:val="auto"/>
          <w:sz w:val="20"/>
          <w:szCs w:val="20"/>
          <w:lang w:val="en-IE"/>
        </w:rPr>
      </w:pPr>
      <w:r w:rsidRPr="00556D76">
        <w:rPr>
          <w:rStyle w:val="Alaviitemerkit"/>
          <w:rFonts w:ascii="Cambria" w:hAnsi="Cambria"/>
          <w:color w:val="auto"/>
          <w:sz w:val="20"/>
          <w:szCs w:val="20"/>
          <w:vertAlign w:val="superscript"/>
          <w:lang w:val="fi-FI"/>
        </w:rPr>
        <w:footnoteRef/>
      </w:r>
      <w:r w:rsidRPr="00556D76">
        <w:rPr>
          <w:rFonts w:ascii="Cambria" w:hAnsi="Cambria" w:cs="Charis SIL"/>
          <w:color w:val="auto"/>
          <w:sz w:val="20"/>
          <w:szCs w:val="20"/>
          <w:lang w:val="fi-FI"/>
        </w:rPr>
        <w:t xml:space="preserve"> Tästä balttilaisesta lainaverbistäkin olisin tänne voinut artikkelin kirjoittaa, mutta se julkaistaneen pian minun ja Sampsa Holopaisen yhteismonografiassa, joten Johanna sai hauskemman artikkelin.</w:t>
      </w:r>
    </w:p>
  </w:footnote>
  <w:footnote w:id="46">
    <w:p w14:paraId="762FC558" w14:textId="1869A163" w:rsidR="00B44A46" w:rsidRPr="00556D76" w:rsidRDefault="00B44A46" w:rsidP="0099245C">
      <w:pPr>
        <w:pBdr>
          <w:top w:val="nil"/>
          <w:left w:val="nil"/>
          <w:bottom w:val="nil"/>
          <w:right w:val="nil"/>
          <w:between w:val="nil"/>
        </w:pBd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r w:rsidRPr="00556D76">
        <w:rPr>
          <w:rFonts w:eastAsia="Times New Roman" w:cs="Charis SIL"/>
          <w:sz w:val="20"/>
          <w:szCs w:val="20"/>
          <w:lang w:val="en-IE"/>
        </w:rPr>
        <w:t xml:space="preserve">This research was funded by the National Research, Development and </w:t>
      </w:r>
      <w:r w:rsidR="00D6535A" w:rsidRPr="00556D76">
        <w:rPr>
          <w:rFonts w:eastAsia="Times New Roman" w:cs="Charis SIL"/>
          <w:sz w:val="20"/>
          <w:szCs w:val="20"/>
          <w:lang w:val="en-IE"/>
        </w:rPr>
        <w:br/>
      </w:r>
      <w:r w:rsidRPr="00556D76">
        <w:rPr>
          <w:rFonts w:eastAsia="Times New Roman" w:cs="Charis SIL"/>
          <w:sz w:val="20"/>
          <w:szCs w:val="20"/>
          <w:lang w:val="en-IE"/>
        </w:rPr>
        <w:t>Innovation Office, Hungary – NKFIH under the grant “Ethnosyntactic Analysis of Siberian Uralic Languages” (K129186, 2018</w:t>
      </w:r>
      <w:r w:rsidR="00156E29" w:rsidRPr="00556D76">
        <w:rPr>
          <w:rFonts w:eastAsia="Times New Roman" w:cs="Charis SIL"/>
          <w:sz w:val="20"/>
          <w:szCs w:val="20"/>
          <w:lang w:val="en-IE"/>
        </w:rPr>
        <w:t>–</w:t>
      </w:r>
      <w:r w:rsidRPr="00556D76">
        <w:rPr>
          <w:rFonts w:eastAsia="Times New Roman" w:cs="Charis SIL"/>
          <w:sz w:val="20"/>
          <w:szCs w:val="20"/>
          <w:lang w:val="en-IE"/>
        </w:rPr>
        <w:t>2021).</w:t>
      </w:r>
    </w:p>
  </w:footnote>
  <w:footnote w:id="47">
    <w:p w14:paraId="112E44B0" w14:textId="77777777" w:rsidR="005B26AB" w:rsidRPr="00556D76" w:rsidRDefault="005B26AB" w:rsidP="00D6535A">
      <w:pPr>
        <w:spacing w:line="240" w:lineRule="auto"/>
        <w:jc w:val="left"/>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Based on </w:t>
      </w:r>
      <w:hyperlink r:id="rId21" w:anchor="/media/File:Uralic_languages_(_ALL_LANGUAGES_).png" w:history="1">
        <w:r w:rsidRPr="00556D76">
          <w:rPr>
            <w:rFonts w:cs="Charis SIL"/>
            <w:sz w:val="20"/>
            <w:szCs w:val="20"/>
            <w:u w:val="single"/>
            <w:lang w:val="en-IE"/>
          </w:rPr>
          <w:t>en.wikipedia.org/wiki/Uralic_languages#/media/</w:t>
        </w:r>
        <w:r w:rsidRPr="00556D76">
          <w:rPr>
            <w:rFonts w:cs="Charis SIL"/>
            <w:sz w:val="20"/>
            <w:szCs w:val="20"/>
            <w:u w:val="single"/>
            <w:lang w:val="en-IE"/>
          </w:rPr>
          <w:br/>
          <w:t>File:Uralic_languages_(_ALL_LANGUAGES_).png</w:t>
        </w:r>
      </w:hyperlink>
    </w:p>
  </w:footnote>
  <w:footnote w:id="48">
    <w:p w14:paraId="370DBCA0" w14:textId="77777777" w:rsidR="005B26AB" w:rsidRPr="00556D76" w:rsidRDefault="005B26AB" w:rsidP="0099245C">
      <w:pPr>
        <w:spacing w:line="240" w:lineRule="auto"/>
        <w:rPr>
          <w:rFonts w:eastAsia="Times New Roman" w:cs="Charis SIL"/>
          <w:sz w:val="20"/>
          <w:szCs w:val="20"/>
          <w:lang w:val="en-IE"/>
        </w:rPr>
      </w:pPr>
      <w:r w:rsidRPr="00556D76">
        <w:rPr>
          <w:rFonts w:cs="Charis SIL"/>
          <w:sz w:val="20"/>
          <w:szCs w:val="20"/>
          <w:vertAlign w:val="superscript"/>
          <w:lang w:val="en-IE"/>
        </w:rPr>
        <w:footnoteRef/>
      </w:r>
      <w:r w:rsidRPr="00556D76">
        <w:rPr>
          <w:rFonts w:eastAsia="Times New Roman" w:cs="Charis SIL"/>
          <w:sz w:val="20"/>
          <w:szCs w:val="20"/>
          <w:lang w:val="en-IE"/>
        </w:rPr>
        <w:t xml:space="preserve"> The name Ket is used for both a dialect of Selkup and for a Yeniseian language.</w:t>
      </w:r>
    </w:p>
  </w:footnote>
  <w:footnote w:id="49">
    <w:p w14:paraId="250A11CE" w14:textId="2DC78FBF" w:rsidR="005B26AB" w:rsidRPr="00556D76" w:rsidRDefault="005B26AB"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eastAsia="Times New Roman" w:cs="Charis SIL"/>
          <w:sz w:val="20"/>
          <w:szCs w:val="20"/>
          <w:lang w:val="en-IE"/>
        </w:rPr>
        <w:t xml:space="preserve"> In addition to local affixes and postpositions</w:t>
      </w:r>
      <w:r w:rsidR="00D6535A" w:rsidRPr="00556D76">
        <w:rPr>
          <w:rFonts w:eastAsia="Times New Roman" w:cs="Charis SIL"/>
          <w:sz w:val="20"/>
          <w:szCs w:val="20"/>
          <w:lang w:val="en-IE"/>
        </w:rPr>
        <w:t>,</w:t>
      </w:r>
      <w:r w:rsidRPr="00556D76">
        <w:rPr>
          <w:rFonts w:eastAsia="Times New Roman" w:cs="Charis SIL"/>
          <w:sz w:val="20"/>
          <w:szCs w:val="20"/>
          <w:lang w:val="en-IE"/>
        </w:rPr>
        <w:t xml:space="preserve"> local adverbs and preverbs have spatial function in the investigated languages. Some adverbs and preverbs coincide, since many adverbs are grammaticalized as preverbs, </w:t>
      </w:r>
      <w:r w:rsidR="00466236" w:rsidRPr="00556D76">
        <w:rPr>
          <w:rFonts w:eastAsia="Times New Roman" w:cs="Charis SIL"/>
          <w:sz w:val="20"/>
          <w:szCs w:val="20"/>
          <w:lang w:val="en-IE"/>
        </w:rPr>
        <w:t>e.g., </w:t>
      </w:r>
      <w:r w:rsidRPr="00556D76">
        <w:rPr>
          <w:rFonts w:eastAsia="Times New Roman" w:cs="Charis SIL"/>
          <w:sz w:val="20"/>
          <w:szCs w:val="20"/>
          <w:lang w:val="en-IE"/>
        </w:rPr>
        <w:t xml:space="preserve">Mansi </w:t>
      </w:r>
      <w:r w:rsidRPr="00556D76">
        <w:rPr>
          <w:rFonts w:eastAsia="Times New Roman" w:cs="Charis SIL"/>
          <w:i/>
          <w:sz w:val="20"/>
          <w:szCs w:val="20"/>
          <w:lang w:val="en-IE"/>
        </w:rPr>
        <w:t>kon</w:t>
      </w:r>
      <w:r w:rsidRPr="00556D76">
        <w:rPr>
          <w:rFonts w:eastAsia="Times New Roman" w:cs="Charis SIL"/>
          <w:sz w:val="20"/>
          <w:szCs w:val="20"/>
          <w:lang w:val="en-IE"/>
        </w:rPr>
        <w:t xml:space="preserve"> ‘out of the house’ – </w:t>
      </w:r>
      <w:r w:rsidRPr="00556D76">
        <w:rPr>
          <w:rFonts w:eastAsia="Times New Roman" w:cs="Charis SIL"/>
          <w:i/>
          <w:sz w:val="20"/>
          <w:szCs w:val="20"/>
          <w:lang w:val="en-IE"/>
        </w:rPr>
        <w:t>kon kwāl-</w:t>
      </w:r>
      <w:r w:rsidRPr="00556D76">
        <w:rPr>
          <w:rFonts w:eastAsia="Times New Roman" w:cs="Charis SIL"/>
          <w:sz w:val="20"/>
          <w:szCs w:val="20"/>
          <w:lang w:val="en-IE"/>
        </w:rPr>
        <w:t> ‘go out’. In our paper we do not analy</w:t>
      </w:r>
      <w:r w:rsidR="00D6535A" w:rsidRPr="00556D76">
        <w:rPr>
          <w:rFonts w:eastAsia="Times New Roman" w:cs="Charis SIL"/>
          <w:sz w:val="20"/>
          <w:szCs w:val="20"/>
          <w:lang w:val="en-IE"/>
        </w:rPr>
        <w:t>s</w:t>
      </w:r>
      <w:r w:rsidRPr="00556D76">
        <w:rPr>
          <w:rFonts w:eastAsia="Times New Roman" w:cs="Charis SIL"/>
          <w:sz w:val="20"/>
          <w:szCs w:val="20"/>
          <w:lang w:val="en-IE"/>
        </w:rPr>
        <w:t>e the adverbial or preverb status of the morpheme, since it is not relevant regarding the topic of this study.</w:t>
      </w:r>
    </w:p>
  </w:footnote>
  <w:footnote w:id="50">
    <w:p w14:paraId="0E59D0D9" w14:textId="75FDFB69" w:rsidR="005B26AB" w:rsidRPr="00556D76" w:rsidRDefault="005B26AB"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eastAsia="Times New Roman" w:cs="Charis SIL"/>
          <w:sz w:val="20"/>
          <w:szCs w:val="20"/>
          <w:lang w:val="en-IE"/>
        </w:rPr>
        <w:t xml:space="preserve"> All adverbs/preverbs have different dialectal and other kinds of variants: Khanty </w:t>
      </w:r>
      <w:r w:rsidRPr="00556D76">
        <w:rPr>
          <w:rFonts w:eastAsia="Times New Roman" w:cs="Charis SIL"/>
          <w:i/>
          <w:sz w:val="20"/>
          <w:szCs w:val="20"/>
          <w:lang w:val="en-IE"/>
        </w:rPr>
        <w:t>nik, ni</w:t>
      </w:r>
      <w:r w:rsidR="003C3714" w:rsidRPr="00556D76">
        <w:rPr>
          <w:rFonts w:eastAsia="Times New Roman" w:cs="Charis SIL"/>
          <w:i/>
          <w:sz w:val="20"/>
          <w:szCs w:val="20"/>
          <w:lang w:val="en-IE"/>
        </w:rPr>
        <w:t>γ</w:t>
      </w:r>
      <w:r w:rsidRPr="00556D76">
        <w:rPr>
          <w:rFonts w:eastAsia="Times New Roman" w:cs="Charis SIL"/>
          <w:i/>
          <w:sz w:val="20"/>
          <w:szCs w:val="20"/>
          <w:lang w:val="en-IE"/>
        </w:rPr>
        <w:t>, nǐk,</w:t>
      </w:r>
      <w:r w:rsidRPr="00556D76">
        <w:rPr>
          <w:rFonts w:eastAsia="Times New Roman" w:cs="Charis SIL"/>
          <w:sz w:val="20"/>
          <w:szCs w:val="20"/>
          <w:lang w:val="en-IE"/>
        </w:rPr>
        <w:t xml:space="preserve"> Mansi </w:t>
      </w:r>
      <w:r w:rsidRPr="00556D76">
        <w:rPr>
          <w:rFonts w:eastAsia="Times New Roman" w:cs="Charis SIL"/>
          <w:i/>
          <w:sz w:val="20"/>
          <w:szCs w:val="20"/>
          <w:lang w:val="en-IE"/>
        </w:rPr>
        <w:t>nal, nāl, nalu, naluw, nāluw, nālma, nālwaľ, nälwäľ,</w:t>
      </w:r>
      <w:r w:rsidRPr="00556D76">
        <w:rPr>
          <w:rFonts w:eastAsia="Times New Roman" w:cs="Charis SIL"/>
          <w:sz w:val="20"/>
          <w:szCs w:val="20"/>
          <w:lang w:val="en-IE"/>
        </w:rPr>
        <w:t xml:space="preserve"> Selkup </w:t>
      </w:r>
      <w:r w:rsidRPr="00556D76">
        <w:rPr>
          <w:rFonts w:eastAsia="Times New Roman" w:cs="Charis SIL"/>
          <w:i/>
          <w:sz w:val="20"/>
          <w:szCs w:val="20"/>
          <w:lang w:val="en-IE"/>
        </w:rPr>
        <w:t>kare, qare, karrä</w:t>
      </w:r>
      <w:r w:rsidRPr="00556D76">
        <w:rPr>
          <w:rFonts w:eastAsia="Times New Roman" w:cs="Charis SIL"/>
          <w:sz w:val="20"/>
          <w:szCs w:val="20"/>
          <w:lang w:val="en-IE"/>
        </w:rPr>
        <w:t xml:space="preserve"> etc.</w:t>
      </w:r>
      <w:r w:rsidR="00D6535A" w:rsidRPr="00556D76">
        <w:rPr>
          <w:rFonts w:eastAsia="Times New Roman" w:cs="Charis SIL"/>
          <w:sz w:val="20"/>
          <w:szCs w:val="20"/>
          <w:lang w:val="en-IE"/>
        </w:rPr>
        <w:t>,</w:t>
      </w:r>
      <w:r w:rsidRPr="00556D76">
        <w:rPr>
          <w:rFonts w:eastAsia="Times New Roman" w:cs="Charis SIL"/>
          <w:sz w:val="20"/>
          <w:szCs w:val="20"/>
          <w:lang w:val="en-IE"/>
        </w:rPr>
        <w:t xml:space="preserve"> as well as Khanty </w:t>
      </w:r>
      <w:r w:rsidRPr="00556D76">
        <w:rPr>
          <w:rFonts w:eastAsia="Times New Roman" w:cs="Charis SIL"/>
          <w:i/>
          <w:sz w:val="20"/>
          <w:szCs w:val="20"/>
          <w:lang w:val="en-IE"/>
        </w:rPr>
        <w:t>utɜ, utə, uta, ütä, wut-, wit, wŭt, wŭti, wuti, vit,</w:t>
      </w:r>
      <w:r w:rsidRPr="00556D76">
        <w:rPr>
          <w:rFonts w:eastAsia="Times New Roman" w:cs="Charis SIL"/>
          <w:sz w:val="20"/>
          <w:szCs w:val="20"/>
          <w:lang w:val="en-IE"/>
        </w:rPr>
        <w:t xml:space="preserve"> Mansi </w:t>
      </w:r>
      <w:r w:rsidRPr="00556D76">
        <w:rPr>
          <w:rFonts w:eastAsia="Times New Roman" w:cs="Charis SIL"/>
          <w:i/>
          <w:sz w:val="20"/>
          <w:szCs w:val="20"/>
          <w:lang w:val="en-IE"/>
        </w:rPr>
        <w:t>pā, pā</w:t>
      </w:r>
      <w:r w:rsidR="003C3714" w:rsidRPr="00556D76">
        <w:rPr>
          <w:rFonts w:eastAsia="Times New Roman" w:cs="Charis SIL"/>
          <w:i/>
          <w:sz w:val="20"/>
          <w:szCs w:val="20"/>
          <w:lang w:val="en-IE"/>
        </w:rPr>
        <w:t>γ</w:t>
      </w:r>
      <w:r w:rsidRPr="00556D76">
        <w:rPr>
          <w:rFonts w:eastAsia="Times New Roman" w:cs="Charis SIL"/>
          <w:i/>
          <w:sz w:val="20"/>
          <w:szCs w:val="20"/>
          <w:lang w:val="en-IE"/>
        </w:rPr>
        <w:t>, pā</w:t>
      </w:r>
      <w:r w:rsidR="003C3714" w:rsidRPr="00556D76">
        <w:rPr>
          <w:rFonts w:eastAsia="Times New Roman" w:cs="Charis SIL"/>
          <w:i/>
          <w:sz w:val="20"/>
          <w:szCs w:val="20"/>
          <w:lang w:val="en-IE"/>
        </w:rPr>
        <w:t>γ</w:t>
      </w:r>
      <w:r w:rsidRPr="00556D76">
        <w:rPr>
          <w:rFonts w:eastAsia="Times New Roman" w:cs="Charis SIL"/>
          <w:i/>
          <w:sz w:val="20"/>
          <w:szCs w:val="20"/>
          <w:lang w:val="en-IE"/>
        </w:rPr>
        <w:t>ľe</w:t>
      </w:r>
      <w:r w:rsidR="00D6535A" w:rsidRPr="00556D76">
        <w:rPr>
          <w:rFonts w:eastAsia="Times New Roman" w:cs="Charis SIL"/>
          <w:iCs/>
          <w:sz w:val="20"/>
          <w:szCs w:val="20"/>
          <w:lang w:val="en-IE"/>
        </w:rPr>
        <w:t>,</w:t>
      </w:r>
      <w:r w:rsidRPr="00556D76">
        <w:rPr>
          <w:rFonts w:eastAsia="Times New Roman" w:cs="Charis SIL"/>
          <w:sz w:val="20"/>
          <w:szCs w:val="20"/>
          <w:lang w:val="en-IE"/>
        </w:rPr>
        <w:t xml:space="preserve"> and Selkup</w:t>
      </w:r>
      <w:r w:rsidRPr="00556D76">
        <w:rPr>
          <w:rFonts w:eastAsia="Times New Roman" w:cs="Charis SIL"/>
          <w:i/>
          <w:sz w:val="20"/>
          <w:szCs w:val="20"/>
          <w:lang w:val="en-IE"/>
        </w:rPr>
        <w:t xml:space="preserve"> konnɛː, kǝnna, konnä, qonne, qonnä</w:t>
      </w:r>
      <w:r w:rsidRPr="00556D76">
        <w:rPr>
          <w:rFonts w:eastAsia="Times New Roman" w:cs="Charis SIL"/>
          <w:sz w:val="20"/>
          <w:szCs w:val="20"/>
          <w:lang w:val="en-IE"/>
        </w:rPr>
        <w:t xml:space="preserve"> etc. For the sake of simplicity and transparency, in this paper we mark these variants with the single words </w:t>
      </w:r>
      <w:r w:rsidRPr="00556D76">
        <w:rPr>
          <w:rFonts w:eastAsia="Times New Roman" w:cs="Charis SIL"/>
          <w:smallCaps/>
          <w:sz w:val="20"/>
          <w:szCs w:val="20"/>
          <w:lang w:val="en-IE"/>
        </w:rPr>
        <w:t>nik</w:t>
      </w:r>
      <w:r w:rsidRPr="00556D76">
        <w:rPr>
          <w:rFonts w:eastAsia="Times New Roman" w:cs="Charis SIL"/>
          <w:sz w:val="20"/>
          <w:szCs w:val="20"/>
          <w:lang w:val="en-IE"/>
        </w:rPr>
        <w:t xml:space="preserve">, </w:t>
      </w:r>
      <w:r w:rsidRPr="00556D76">
        <w:rPr>
          <w:rFonts w:eastAsia="Times New Roman" w:cs="Charis SIL"/>
          <w:smallCaps/>
          <w:sz w:val="20"/>
          <w:szCs w:val="20"/>
          <w:lang w:val="en-IE"/>
        </w:rPr>
        <w:t>nāluw</w:t>
      </w:r>
      <w:r w:rsidRPr="00556D76">
        <w:rPr>
          <w:rFonts w:eastAsia="Times New Roman" w:cs="Charis SIL"/>
          <w:sz w:val="20"/>
          <w:szCs w:val="20"/>
          <w:lang w:val="en-IE"/>
        </w:rPr>
        <w:t xml:space="preserve">, </w:t>
      </w:r>
      <w:r w:rsidRPr="00556D76">
        <w:rPr>
          <w:rFonts w:eastAsia="Times New Roman" w:cs="Charis SIL"/>
          <w:smallCaps/>
          <w:sz w:val="20"/>
          <w:szCs w:val="20"/>
          <w:lang w:val="en-IE"/>
        </w:rPr>
        <w:t>karrä</w:t>
      </w:r>
      <w:r w:rsidRPr="00556D76">
        <w:rPr>
          <w:rFonts w:eastAsia="Times New Roman" w:cs="Charis SIL"/>
          <w:sz w:val="20"/>
          <w:szCs w:val="20"/>
          <w:lang w:val="en-IE"/>
        </w:rPr>
        <w:t xml:space="preserve"> as well as </w:t>
      </w:r>
      <w:r w:rsidRPr="00556D76">
        <w:rPr>
          <w:rFonts w:eastAsia="Times New Roman" w:cs="Charis SIL"/>
          <w:smallCaps/>
          <w:sz w:val="20"/>
          <w:szCs w:val="20"/>
          <w:lang w:val="en-IE"/>
        </w:rPr>
        <w:t>ute</w:t>
      </w:r>
      <w:r w:rsidRPr="00556D76">
        <w:rPr>
          <w:rFonts w:eastAsia="Times New Roman" w:cs="Charis SIL"/>
          <w:sz w:val="20"/>
          <w:szCs w:val="20"/>
          <w:lang w:val="en-IE"/>
        </w:rPr>
        <w:t xml:space="preserve">, </w:t>
      </w:r>
      <w:r w:rsidRPr="00556D76">
        <w:rPr>
          <w:rFonts w:eastAsia="Times New Roman" w:cs="Charis SIL"/>
          <w:smallCaps/>
          <w:sz w:val="20"/>
          <w:szCs w:val="20"/>
          <w:lang w:val="en-IE"/>
        </w:rPr>
        <w:t>pāgh</w:t>
      </w:r>
      <w:r w:rsidRPr="00556D76">
        <w:rPr>
          <w:rFonts w:eastAsia="Times New Roman" w:cs="Charis SIL"/>
          <w:sz w:val="20"/>
          <w:szCs w:val="20"/>
          <w:lang w:val="en-IE"/>
        </w:rPr>
        <w:t xml:space="preserve">, </w:t>
      </w:r>
      <w:r w:rsidRPr="00556D76">
        <w:rPr>
          <w:rFonts w:eastAsia="Times New Roman" w:cs="Charis SIL"/>
          <w:smallCaps/>
          <w:sz w:val="20"/>
          <w:szCs w:val="20"/>
          <w:lang w:val="en-IE"/>
        </w:rPr>
        <w:t>konnä</w:t>
      </w:r>
      <w:r w:rsidRPr="00556D76">
        <w:rPr>
          <w:rFonts w:eastAsia="Times New Roman" w:cs="Charis SIL"/>
          <w:sz w:val="20"/>
          <w:szCs w:val="20"/>
          <w:lang w:val="en-IE"/>
        </w:rPr>
        <w:t>.</w:t>
      </w:r>
    </w:p>
  </w:footnote>
  <w:footnote w:id="51">
    <w:p w14:paraId="26ADD379" w14:textId="77777777" w:rsidR="005B26AB" w:rsidRPr="00556D76" w:rsidRDefault="005B26AB" w:rsidP="0099245C">
      <w:pPr>
        <w:spacing w:line="240" w:lineRule="auto"/>
        <w:rPr>
          <w:rFonts w:eastAsia="Times New Roman" w:cs="Charis SIL"/>
          <w:sz w:val="20"/>
          <w:szCs w:val="20"/>
          <w:lang w:val="en-IE"/>
        </w:rPr>
      </w:pPr>
      <w:r w:rsidRPr="00556D76">
        <w:rPr>
          <w:rFonts w:cs="Charis SIL"/>
          <w:sz w:val="20"/>
          <w:szCs w:val="20"/>
          <w:vertAlign w:val="superscript"/>
          <w:lang w:val="en-IE"/>
        </w:rPr>
        <w:footnoteRef/>
      </w:r>
      <w:r w:rsidRPr="00556D76">
        <w:rPr>
          <w:rFonts w:eastAsia="Times New Roman" w:cs="Charis SIL"/>
          <w:sz w:val="20"/>
          <w:szCs w:val="20"/>
          <w:lang w:val="en-IE"/>
        </w:rPr>
        <w:t xml:space="preserve"> The place for guests is situated at the back part of the house.</w:t>
      </w:r>
    </w:p>
  </w:footnote>
  <w:footnote w:id="52">
    <w:p w14:paraId="75969D19" w14:textId="77777777" w:rsidR="005B26AB" w:rsidRPr="00556D76" w:rsidRDefault="005B26AB"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The sentence is from Brykina et al. 2020.</w:t>
      </w:r>
    </w:p>
  </w:footnote>
  <w:footnote w:id="53">
    <w:p w14:paraId="2E15C79D" w14:textId="25E67FAD" w:rsidR="005B26AB" w:rsidRPr="00556D76" w:rsidRDefault="005B26AB"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eastAsia="Times New Roman" w:cs="Charis SIL"/>
          <w:sz w:val="20"/>
          <w:szCs w:val="20"/>
          <w:lang w:val="en-IE"/>
        </w:rPr>
        <w:t xml:space="preserve"> </w:t>
      </w:r>
      <w:r w:rsidRPr="00556D76">
        <w:rPr>
          <w:rFonts w:eastAsia="Times New Roman" w:cs="Charis SIL"/>
          <w:i/>
          <w:sz w:val="20"/>
          <w:szCs w:val="20"/>
          <w:lang w:val="en-IE"/>
        </w:rPr>
        <w:t>Lūimā Sēripos</w:t>
      </w:r>
      <w:r w:rsidRPr="00556D76">
        <w:rPr>
          <w:rFonts w:eastAsia="Times New Roman" w:cs="Charis SIL"/>
          <w:sz w:val="20"/>
          <w:szCs w:val="20"/>
          <w:lang w:val="en-IE"/>
        </w:rPr>
        <w:t xml:space="preserve"> is a regular Mansi publication which comes out every two weeks. It is the only active Mansi publication channel. Writers of </w:t>
      </w:r>
      <w:r w:rsidRPr="00556D76">
        <w:rPr>
          <w:rFonts w:eastAsia="Times New Roman" w:cs="Charis SIL"/>
          <w:i/>
          <w:sz w:val="20"/>
          <w:szCs w:val="20"/>
          <w:lang w:val="en-IE"/>
        </w:rPr>
        <w:t>Lūimā Sēripos</w:t>
      </w:r>
      <w:r w:rsidRPr="00556D76">
        <w:rPr>
          <w:rFonts w:eastAsia="Times New Roman" w:cs="Charis SIL"/>
          <w:sz w:val="20"/>
          <w:szCs w:val="20"/>
          <w:lang w:val="en-IE"/>
        </w:rPr>
        <w:t xml:space="preserve"> belong to the urban Mansi intelligentsia. It has existed since 1989, at first each issue spanned 2 pages, later 4 pages, and nowadays 16 pages. Today the paper is also published online. A typical </w:t>
      </w:r>
      <w:r w:rsidRPr="00556D76">
        <w:rPr>
          <w:rFonts w:eastAsia="Times New Roman" w:cs="Charis SIL"/>
          <w:i/>
          <w:sz w:val="20"/>
          <w:szCs w:val="20"/>
          <w:lang w:val="en-IE"/>
        </w:rPr>
        <w:t>Lūimā Sēripos</w:t>
      </w:r>
      <w:r w:rsidRPr="00556D76">
        <w:rPr>
          <w:rFonts w:eastAsia="Times New Roman" w:cs="Charis SIL"/>
          <w:sz w:val="20"/>
          <w:szCs w:val="20"/>
          <w:lang w:val="en-IE"/>
        </w:rPr>
        <w:t xml:space="preserve"> issue contains articles of local interest on political or public life on the front pages; the rest of the paper contains articles on local holidays and events as well as interviews, mostly with “respectable” Ob-Ugric people. In the past the paper regularly published stories, riddles, accounts of hunting adventures and, rarely, stories of mythological characters which were not written by journalists but were instead recorded discourses from “everyday” Mansi people. Often readers submitted such texts themselves. Nowadays, there are more current news articles and reports pertaining to the everyday lives of the residents of the region. The issues used for the database are: 2014/6, 16; 2015/3, 9, 14, 24; 2016/13; 2017/8, 20; 2018/1, 12; 2020/1, 2, 3, 4; 2021/1,</w:t>
      </w:r>
      <w:r w:rsidR="00203D9A" w:rsidRPr="00556D76">
        <w:rPr>
          <w:rFonts w:eastAsia="Times New Roman" w:cs="Charis SIL"/>
          <w:sz w:val="20"/>
          <w:szCs w:val="20"/>
          <w:lang w:val="en-IE"/>
        </w:rPr>
        <w:t xml:space="preserve"> </w:t>
      </w:r>
      <w:r w:rsidRPr="00556D76">
        <w:rPr>
          <w:rFonts w:eastAsia="Times New Roman" w:cs="Charis SIL"/>
          <w:sz w:val="20"/>
          <w:szCs w:val="20"/>
          <w:lang w:val="en-IE"/>
        </w:rPr>
        <w:t>2,</w:t>
      </w:r>
      <w:r w:rsidR="00203D9A" w:rsidRPr="00556D76">
        <w:rPr>
          <w:rFonts w:eastAsia="Times New Roman" w:cs="Charis SIL"/>
          <w:sz w:val="20"/>
          <w:szCs w:val="20"/>
          <w:lang w:val="en-IE"/>
        </w:rPr>
        <w:t xml:space="preserve"> </w:t>
      </w:r>
      <w:r w:rsidRPr="00556D76">
        <w:rPr>
          <w:rFonts w:eastAsia="Times New Roman" w:cs="Charis SIL"/>
          <w:sz w:val="20"/>
          <w:szCs w:val="20"/>
          <w:lang w:val="en-IE"/>
        </w:rPr>
        <w:t>3,</w:t>
      </w:r>
      <w:r w:rsidR="00203D9A" w:rsidRPr="00556D76">
        <w:rPr>
          <w:rFonts w:eastAsia="Times New Roman" w:cs="Charis SIL"/>
          <w:sz w:val="20"/>
          <w:szCs w:val="20"/>
          <w:lang w:val="en-IE"/>
        </w:rPr>
        <w:t xml:space="preserve"> </w:t>
      </w:r>
      <w:r w:rsidRPr="00556D76">
        <w:rPr>
          <w:rFonts w:eastAsia="Times New Roman" w:cs="Charis SIL"/>
          <w:sz w:val="20"/>
          <w:szCs w:val="20"/>
          <w:lang w:val="en-IE"/>
        </w:rPr>
        <w:t>4,</w:t>
      </w:r>
      <w:r w:rsidR="00203D9A" w:rsidRPr="00556D76">
        <w:rPr>
          <w:rFonts w:eastAsia="Times New Roman" w:cs="Charis SIL"/>
          <w:sz w:val="20"/>
          <w:szCs w:val="20"/>
          <w:lang w:val="en-IE"/>
        </w:rPr>
        <w:t xml:space="preserve"> </w:t>
      </w:r>
      <w:r w:rsidRPr="00556D76">
        <w:rPr>
          <w:rFonts w:eastAsia="Times New Roman" w:cs="Charis SIL"/>
          <w:sz w:val="20"/>
          <w:szCs w:val="20"/>
          <w:lang w:val="en-IE"/>
        </w:rPr>
        <w:t>5.</w:t>
      </w:r>
    </w:p>
  </w:footnote>
  <w:footnote w:id="54">
    <w:p w14:paraId="14978B82" w14:textId="6634AEE8" w:rsidR="005B26AB" w:rsidRPr="00556D76" w:rsidRDefault="005B26AB"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eastAsia="Times New Roman" w:cs="Charis SIL"/>
          <w:sz w:val="20"/>
          <w:szCs w:val="20"/>
          <w:lang w:val="en-IE"/>
        </w:rPr>
        <w:t xml:space="preserve"> Isopolysemy is untrivial lexical polysemy recurring in several languages, thus it is an isomorphism of semantic structures (Pevnov &amp; Urmanchieva, 2011, p. 519).</w:t>
      </w:r>
    </w:p>
  </w:footnote>
  <w:footnote w:id="55">
    <w:p w14:paraId="14CFB9EB" w14:textId="32508B8A" w:rsidR="005B26AB" w:rsidRPr="00556D76" w:rsidRDefault="005B26AB" w:rsidP="0099245C">
      <w:pPr>
        <w:suppressAutoHyphens/>
        <w:spacing w:line="240" w:lineRule="auto"/>
        <w:rPr>
          <w:rFonts w:eastAsia="Times New Roman"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r w:rsidRPr="00556D76">
        <w:rPr>
          <w:rFonts w:eastAsia="Times New Roman" w:cs="Charis SIL"/>
          <w:sz w:val="20"/>
          <w:szCs w:val="20"/>
          <w:lang w:val="en-IE"/>
        </w:rPr>
        <w:t xml:space="preserve">Regarding </w:t>
      </w:r>
      <w:r w:rsidRPr="00556D76">
        <w:rPr>
          <w:rFonts w:eastAsia="Times New Roman" w:cs="Charis SIL"/>
          <w:smallCaps/>
          <w:sz w:val="20"/>
          <w:szCs w:val="20"/>
          <w:lang w:val="en-IE"/>
        </w:rPr>
        <w:t>puji</w:t>
      </w:r>
      <w:r w:rsidRPr="00556D76">
        <w:rPr>
          <w:rFonts w:eastAsia="Times New Roman" w:cs="Charis SIL"/>
          <w:sz w:val="20"/>
          <w:szCs w:val="20"/>
          <w:lang w:val="en-IE"/>
        </w:rPr>
        <w:t xml:space="preserve"> and </w:t>
      </w:r>
      <w:r w:rsidRPr="00556D76">
        <w:rPr>
          <w:rFonts w:cs="Charis SIL"/>
          <w:smallCaps/>
          <w:sz w:val="20"/>
          <w:szCs w:val="20"/>
          <w:lang w:val="en-IE"/>
        </w:rPr>
        <w:t>pāgh</w:t>
      </w:r>
      <w:r w:rsidRPr="00556D76">
        <w:rPr>
          <w:rFonts w:cs="Charis SIL"/>
          <w:sz w:val="20"/>
          <w:szCs w:val="20"/>
          <w:lang w:val="en-IE"/>
        </w:rPr>
        <w:t xml:space="preserve">, </w:t>
      </w:r>
      <w:r w:rsidRPr="00556D76">
        <w:rPr>
          <w:rFonts w:eastAsia="Times New Roman" w:cs="Charis SIL"/>
          <w:sz w:val="20"/>
          <w:szCs w:val="20"/>
          <w:lang w:val="en-IE"/>
        </w:rPr>
        <w:t xml:space="preserve">Munkácsi and Kálmán’s dictionary (1986) also refers to the etymological connection between the two lexemes. The meanings of </w:t>
      </w:r>
      <w:r w:rsidRPr="00556D76">
        <w:rPr>
          <w:rFonts w:eastAsia="Times New Roman" w:cs="Charis SIL"/>
          <w:smallCaps/>
          <w:sz w:val="20"/>
          <w:szCs w:val="20"/>
          <w:lang w:val="en-IE"/>
        </w:rPr>
        <w:t>puji</w:t>
      </w:r>
      <w:r w:rsidRPr="00556D76">
        <w:rPr>
          <w:rFonts w:eastAsia="Times New Roman" w:cs="Charis SIL"/>
          <w:sz w:val="20"/>
          <w:szCs w:val="20"/>
          <w:lang w:val="en-IE"/>
        </w:rPr>
        <w:t xml:space="preserve"> show definite parallelism with the meanings of </w:t>
      </w:r>
      <w:r w:rsidRPr="00556D76">
        <w:rPr>
          <w:rFonts w:cs="Charis SIL"/>
          <w:smallCaps/>
          <w:sz w:val="20"/>
          <w:szCs w:val="20"/>
          <w:lang w:val="en-IE"/>
        </w:rPr>
        <w:t>pāgh</w:t>
      </w:r>
      <w:r w:rsidRPr="00556D76">
        <w:rPr>
          <w:rFonts w:eastAsia="Times New Roman" w:cs="Charis SIL"/>
          <w:sz w:val="20"/>
          <w:szCs w:val="20"/>
          <w:lang w:val="en-IE"/>
        </w:rPr>
        <w:t xml:space="preserve">, and according to Ivanova’s paper (2013) Mansi speakers also see a connection between these words, </w:t>
      </w:r>
      <w:r w:rsidR="00466236" w:rsidRPr="00556D76">
        <w:rPr>
          <w:rFonts w:eastAsia="Times New Roman" w:cs="Charis SIL"/>
          <w:sz w:val="20"/>
          <w:szCs w:val="20"/>
          <w:lang w:val="en-IE"/>
        </w:rPr>
        <w:t>cf. </w:t>
      </w:r>
      <w:r w:rsidRPr="00556D76">
        <w:rPr>
          <w:rFonts w:eastAsia="Times New Roman" w:cs="Charis SIL"/>
          <w:i/>
          <w:sz w:val="20"/>
          <w:szCs w:val="20"/>
          <w:lang w:val="en-IE"/>
        </w:rPr>
        <w:t>puji-pal</w:t>
      </w:r>
      <w:r w:rsidRPr="00556D76">
        <w:rPr>
          <w:rFonts w:eastAsia="Times New Roman" w:cs="Charis SIL"/>
          <w:sz w:val="20"/>
          <w:szCs w:val="20"/>
          <w:lang w:val="en-IE"/>
        </w:rPr>
        <w:t xml:space="preserve"> ‘the offshore side, the side farther from the fire’, </w:t>
      </w:r>
      <w:r w:rsidRPr="00556D76">
        <w:rPr>
          <w:rFonts w:eastAsia="Times New Roman" w:cs="Charis SIL"/>
          <w:i/>
          <w:sz w:val="20"/>
          <w:szCs w:val="20"/>
          <w:lang w:val="en-IE"/>
        </w:rPr>
        <w:t xml:space="preserve">pujin </w:t>
      </w:r>
      <w:r w:rsidRPr="00556D76">
        <w:rPr>
          <w:rFonts w:eastAsia="Times New Roman" w:cs="Charis SIL"/>
          <w:sz w:val="20"/>
          <w:szCs w:val="20"/>
          <w:lang w:val="en-IE"/>
        </w:rPr>
        <w:t xml:space="preserve">‘far from the river, up’ (Munkácsi &amp; Kálmán 1986: 472). The following example demonstrates the synonymous use of </w:t>
      </w:r>
      <w:r w:rsidRPr="00556D76">
        <w:rPr>
          <w:rFonts w:cs="Charis SIL"/>
          <w:smallCaps/>
          <w:sz w:val="20"/>
          <w:szCs w:val="20"/>
          <w:lang w:val="en-IE"/>
        </w:rPr>
        <w:t>pāgh</w:t>
      </w:r>
      <w:r w:rsidRPr="00556D76">
        <w:rPr>
          <w:rFonts w:eastAsia="Times New Roman" w:cs="Charis SIL"/>
          <w:sz w:val="20"/>
          <w:szCs w:val="20"/>
          <w:lang w:val="en-IE"/>
        </w:rPr>
        <w:t xml:space="preserve"> and </w:t>
      </w:r>
      <w:r w:rsidRPr="00556D76">
        <w:rPr>
          <w:rFonts w:eastAsia="Times New Roman" w:cs="Charis SIL"/>
          <w:smallCaps/>
          <w:sz w:val="20"/>
          <w:szCs w:val="20"/>
          <w:lang w:val="en-IE"/>
        </w:rPr>
        <w:t>puji</w:t>
      </w:r>
      <w:r w:rsidRPr="00556D76">
        <w:rPr>
          <w:rFonts w:eastAsia="Times New Roman" w:cs="Charis SIL"/>
          <w:sz w:val="20"/>
          <w:szCs w:val="20"/>
          <w:lang w:val="en-IE"/>
        </w:rPr>
        <w:t xml:space="preserve"> nicely:</w:t>
      </w:r>
    </w:p>
    <w:p w14:paraId="001C2EFD" w14:textId="1C8ACC80" w:rsidR="005B26AB" w:rsidRPr="00556D76" w:rsidRDefault="005B26AB" w:rsidP="0099245C">
      <w:pPr>
        <w:tabs>
          <w:tab w:val="left" w:pos="426"/>
          <w:tab w:val="left" w:pos="993"/>
          <w:tab w:val="left" w:pos="2977"/>
          <w:tab w:val="left" w:pos="4111"/>
          <w:tab w:val="left" w:pos="5670"/>
        </w:tabs>
        <w:suppressAutoHyphens/>
        <w:spacing w:line="240" w:lineRule="auto"/>
        <w:rPr>
          <w:rFonts w:eastAsia="Times New Roman" w:cs="Charis SIL"/>
          <w:sz w:val="20"/>
          <w:szCs w:val="20"/>
          <w:lang w:val="en-IE"/>
        </w:rPr>
      </w:pPr>
      <w:r w:rsidRPr="00556D76">
        <w:rPr>
          <w:rFonts w:eastAsia="Times New Roman" w:cs="Charis SIL"/>
          <w:i/>
          <w:sz w:val="20"/>
          <w:szCs w:val="20"/>
          <w:lang w:val="en-IE"/>
        </w:rPr>
        <w:t>ań</w:t>
      </w:r>
      <w:r w:rsidRPr="00556D76">
        <w:rPr>
          <w:rFonts w:eastAsia="Times New Roman" w:cs="Charis SIL"/>
          <w:i/>
          <w:sz w:val="20"/>
          <w:szCs w:val="20"/>
          <w:lang w:val="en-IE"/>
        </w:rPr>
        <w:tab/>
        <w:t>kaťer</w:t>
      </w:r>
      <w:r w:rsidRPr="00556D76">
        <w:rPr>
          <w:rFonts w:eastAsia="Times New Roman" w:cs="Charis SIL"/>
          <w:i/>
          <w:sz w:val="20"/>
          <w:szCs w:val="20"/>
          <w:lang w:val="en-IE"/>
        </w:rPr>
        <w:tab/>
      </w:r>
      <w:r w:rsidRPr="00556D76">
        <w:rPr>
          <w:rFonts w:eastAsia="Times New Roman" w:cs="Charis SIL"/>
          <w:b/>
          <w:i/>
          <w:sz w:val="20"/>
          <w:szCs w:val="20"/>
          <w:lang w:val="en-IE"/>
        </w:rPr>
        <w:t>pā</w:t>
      </w:r>
      <w:r w:rsidR="003C3714" w:rsidRPr="00556D76">
        <w:rPr>
          <w:rFonts w:eastAsia="Times New Roman" w:cs="Charis SIL"/>
          <w:b/>
          <w:i/>
          <w:sz w:val="20"/>
          <w:szCs w:val="20"/>
          <w:lang w:val="en-IE"/>
        </w:rPr>
        <w:t>γ</w:t>
      </w:r>
      <w:r w:rsidRPr="00556D76">
        <w:rPr>
          <w:rFonts w:eastAsia="Times New Roman" w:cs="Charis SIL"/>
          <w:i/>
          <w:sz w:val="20"/>
          <w:szCs w:val="20"/>
          <w:lang w:val="en-IE"/>
        </w:rPr>
        <w:t>-pūxti,</w:t>
      </w:r>
      <w:r w:rsidRPr="00556D76">
        <w:rPr>
          <w:rFonts w:eastAsia="Times New Roman" w:cs="Charis SIL"/>
          <w:i/>
          <w:sz w:val="20"/>
          <w:szCs w:val="20"/>
          <w:lang w:val="en-IE"/>
        </w:rPr>
        <w:tab/>
        <w:t>pussǝn</w:t>
      </w:r>
      <w:r w:rsidRPr="00556D76">
        <w:rPr>
          <w:rFonts w:eastAsia="Times New Roman" w:cs="Charis SIL"/>
          <w:i/>
          <w:sz w:val="20"/>
          <w:szCs w:val="20"/>
          <w:lang w:val="en-IE"/>
        </w:rPr>
        <w:tab/>
      </w:r>
      <w:r w:rsidRPr="00556D76">
        <w:rPr>
          <w:rFonts w:eastAsia="Times New Roman" w:cs="Charis SIL"/>
          <w:b/>
          <w:i/>
          <w:sz w:val="20"/>
          <w:szCs w:val="20"/>
          <w:lang w:val="en-IE"/>
        </w:rPr>
        <w:t>pūjin-t</w:t>
      </w:r>
      <w:r w:rsidRPr="00556D76">
        <w:rPr>
          <w:rFonts w:eastAsia="Times New Roman" w:cs="Charis SIL"/>
          <w:i/>
          <w:sz w:val="20"/>
          <w:szCs w:val="20"/>
          <w:lang w:val="en-IE"/>
        </w:rPr>
        <w:tab/>
        <w:t>xūľ-aw-et…</w:t>
      </w:r>
      <w:r w:rsidRPr="00556D76">
        <w:rPr>
          <w:rFonts w:eastAsia="Times New Roman" w:cs="Charis SIL"/>
          <w:i/>
          <w:sz w:val="20"/>
          <w:szCs w:val="20"/>
          <w:lang w:val="en-IE"/>
        </w:rPr>
        <w:br/>
      </w:r>
      <w:r w:rsidRPr="00556D76">
        <w:rPr>
          <w:rFonts w:eastAsia="Times New Roman" w:cs="Charis SIL"/>
          <w:smallCaps/>
          <w:sz w:val="20"/>
          <w:szCs w:val="20"/>
          <w:lang w:val="en-IE"/>
        </w:rPr>
        <w:t>ptcl</w:t>
      </w:r>
      <w:r w:rsidRPr="00556D76">
        <w:rPr>
          <w:rFonts w:eastAsia="Times New Roman" w:cs="Charis SIL"/>
          <w:sz w:val="20"/>
          <w:szCs w:val="20"/>
          <w:lang w:val="en-IE"/>
        </w:rPr>
        <w:tab/>
        <w:t>ship</w:t>
      </w:r>
      <w:r w:rsidRPr="00556D76">
        <w:rPr>
          <w:rFonts w:eastAsia="Times New Roman" w:cs="Charis SIL"/>
          <w:sz w:val="20"/>
          <w:szCs w:val="20"/>
          <w:lang w:val="en-IE"/>
        </w:rPr>
        <w:tab/>
        <w:t>to.the shore-moor-</w:t>
      </w:r>
      <w:r w:rsidRPr="00556D76">
        <w:rPr>
          <w:rFonts w:eastAsia="Times New Roman" w:cs="Charis SIL"/>
          <w:smallCaps/>
          <w:sz w:val="20"/>
          <w:szCs w:val="20"/>
          <w:lang w:val="en-IE"/>
        </w:rPr>
        <w:t>3sg</w:t>
      </w:r>
      <w:r w:rsidRPr="00556D76">
        <w:rPr>
          <w:rFonts w:eastAsia="Times New Roman" w:cs="Charis SIL"/>
          <w:sz w:val="20"/>
          <w:szCs w:val="20"/>
          <w:lang w:val="en-IE"/>
        </w:rPr>
        <w:t>,</w:t>
      </w:r>
      <w:r w:rsidRPr="00556D76">
        <w:rPr>
          <w:rFonts w:eastAsia="Times New Roman" w:cs="Charis SIL"/>
          <w:sz w:val="20"/>
          <w:szCs w:val="20"/>
          <w:lang w:val="en-IE"/>
        </w:rPr>
        <w:tab/>
        <w:t>everybody</w:t>
      </w:r>
      <w:r w:rsidRPr="00556D76">
        <w:rPr>
          <w:rFonts w:eastAsia="Times New Roman" w:cs="Charis SIL"/>
          <w:sz w:val="20"/>
          <w:szCs w:val="20"/>
          <w:lang w:val="en-IE"/>
        </w:rPr>
        <w:tab/>
        <w:t>on.the.shore-</w:t>
      </w:r>
      <w:r w:rsidRPr="00556D76">
        <w:rPr>
          <w:rFonts w:eastAsia="Times New Roman" w:cs="Charis SIL"/>
          <w:smallCaps/>
          <w:sz w:val="20"/>
          <w:szCs w:val="20"/>
          <w:lang w:val="en-IE"/>
        </w:rPr>
        <w:t>loc</w:t>
      </w:r>
      <w:r w:rsidRPr="00556D76">
        <w:rPr>
          <w:rFonts w:eastAsia="Times New Roman" w:cs="Charis SIL"/>
          <w:sz w:val="20"/>
          <w:szCs w:val="20"/>
          <w:lang w:val="en-IE"/>
        </w:rPr>
        <w:tab/>
        <w:t>leave-</w:t>
      </w:r>
      <w:r w:rsidRPr="00556D76">
        <w:rPr>
          <w:rFonts w:eastAsia="Times New Roman" w:cs="Charis SIL"/>
          <w:smallCaps/>
          <w:sz w:val="20"/>
          <w:szCs w:val="20"/>
          <w:lang w:val="en-IE"/>
        </w:rPr>
        <w:t>pass</w:t>
      </w:r>
      <w:r w:rsidRPr="00556D76">
        <w:rPr>
          <w:rFonts w:eastAsia="Times New Roman" w:cs="Charis SIL"/>
          <w:sz w:val="20"/>
          <w:szCs w:val="20"/>
          <w:lang w:val="en-IE"/>
        </w:rPr>
        <w:t>-</w:t>
      </w:r>
      <w:r w:rsidRPr="00556D76">
        <w:rPr>
          <w:rFonts w:eastAsia="Times New Roman" w:cs="Charis SIL"/>
          <w:smallCaps/>
          <w:sz w:val="20"/>
          <w:szCs w:val="20"/>
          <w:lang w:val="en-IE"/>
        </w:rPr>
        <w:t>3pl</w:t>
      </w:r>
    </w:p>
    <w:p w14:paraId="54433F61" w14:textId="3B8C94A2" w:rsidR="005B26AB" w:rsidRPr="00556D76" w:rsidRDefault="005B26AB" w:rsidP="0099245C">
      <w:pPr>
        <w:widowControl w:val="0"/>
        <w:spacing w:line="240" w:lineRule="auto"/>
        <w:rPr>
          <w:rFonts w:cs="Charis SIL"/>
          <w:sz w:val="20"/>
          <w:szCs w:val="20"/>
          <w:lang w:val="en-IE"/>
        </w:rPr>
      </w:pPr>
      <w:r w:rsidRPr="00556D76">
        <w:rPr>
          <w:rFonts w:eastAsia="Times New Roman" w:cs="Charis SIL"/>
          <w:sz w:val="20"/>
          <w:szCs w:val="20"/>
          <w:lang w:val="en-IE"/>
        </w:rPr>
        <w:t>‘</w:t>
      </w:r>
      <w:r w:rsidR="008F6FE7" w:rsidRPr="00556D76">
        <w:rPr>
          <w:rFonts w:eastAsia="Times New Roman" w:cs="Charis SIL"/>
          <w:sz w:val="20"/>
          <w:szCs w:val="20"/>
          <w:lang w:val="en-IE"/>
        </w:rPr>
        <w:t>…</w:t>
      </w:r>
      <w:r w:rsidRPr="00556D76">
        <w:rPr>
          <w:rFonts w:eastAsia="Times New Roman" w:cs="Charis SIL"/>
          <w:sz w:val="20"/>
          <w:szCs w:val="20"/>
          <w:lang w:val="en-IE"/>
        </w:rPr>
        <w:t>the ship moors on the shore, everybody stays on the shore</w:t>
      </w:r>
      <w:r w:rsidR="00796AD3" w:rsidRPr="00556D76">
        <w:rPr>
          <w:rFonts w:eastAsia="Times New Roman" w:cs="Charis SIL"/>
          <w:sz w:val="20"/>
          <w:szCs w:val="20"/>
          <w:lang w:val="en-IE"/>
        </w:rPr>
        <w:t xml:space="preserve"> </w:t>
      </w:r>
      <w:r w:rsidR="008F6FE7" w:rsidRPr="00556D76">
        <w:rPr>
          <w:rFonts w:eastAsia="Times New Roman" w:cs="Charis SIL"/>
          <w:sz w:val="20"/>
          <w:szCs w:val="20"/>
          <w:lang w:val="en-IE"/>
        </w:rPr>
        <w:t>…</w:t>
      </w:r>
      <w:r w:rsidRPr="00556D76">
        <w:rPr>
          <w:rFonts w:eastAsia="Times New Roman" w:cs="Charis SIL"/>
          <w:sz w:val="20"/>
          <w:szCs w:val="20"/>
          <w:lang w:val="en-IE"/>
        </w:rPr>
        <w:t>’ (LS 2015/13:</w:t>
      </w:r>
      <w:r w:rsidR="008F6FE7" w:rsidRPr="00556D76">
        <w:rPr>
          <w:rFonts w:eastAsia="Times New Roman" w:cs="Charis SIL"/>
          <w:sz w:val="20"/>
          <w:szCs w:val="20"/>
          <w:lang w:val="en-IE"/>
        </w:rPr>
        <w:t xml:space="preserve"> </w:t>
      </w:r>
      <w:r w:rsidRPr="00556D76">
        <w:rPr>
          <w:rFonts w:eastAsia="Times New Roman" w:cs="Charis SIL"/>
          <w:sz w:val="20"/>
          <w:szCs w:val="20"/>
          <w:lang w:val="en-IE"/>
        </w:rPr>
        <w:t>6)</w:t>
      </w:r>
    </w:p>
  </w:footnote>
  <w:footnote w:id="56">
    <w:p w14:paraId="32E3512B" w14:textId="77777777" w:rsidR="005B26AB" w:rsidRPr="00556D76" w:rsidRDefault="005B26AB" w:rsidP="0099245C">
      <w:pPr>
        <w:spacing w:line="240" w:lineRule="auto"/>
        <w:rPr>
          <w:rFonts w:eastAsia="Times New Roman" w:cs="Charis SIL"/>
          <w:sz w:val="20"/>
          <w:szCs w:val="20"/>
          <w:lang w:val="en-IE"/>
        </w:rPr>
      </w:pPr>
      <w:r w:rsidRPr="00556D76">
        <w:rPr>
          <w:rFonts w:cs="Charis SIL"/>
          <w:sz w:val="20"/>
          <w:szCs w:val="20"/>
          <w:vertAlign w:val="superscript"/>
          <w:lang w:val="en-IE"/>
        </w:rPr>
        <w:footnoteRef/>
      </w:r>
      <w:r w:rsidRPr="00556D76">
        <w:rPr>
          <w:rFonts w:eastAsia="Times New Roman" w:cs="Charis SIL"/>
          <w:sz w:val="20"/>
          <w:szCs w:val="20"/>
          <w:lang w:val="en-IE"/>
        </w:rPr>
        <w:t xml:space="preserve"> It is no coincidence that the speakers of three languages – Khanty, Ket, Selkup – were called Ostyaks for a long time by the Russian colonizers coming from the west. The reason for this is the similar lifestyle of these peoples as well as their similar anthropological and ethnological characteristics.</w:t>
      </w:r>
    </w:p>
  </w:footnote>
  <w:footnote w:id="57">
    <w:p w14:paraId="55ADBA2F" w14:textId="791690B0" w:rsidR="005B26AB" w:rsidRPr="00556D76" w:rsidRDefault="005B26AB"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Based on </w:t>
      </w:r>
      <w:hyperlink r:id="rId22" w:history="1">
        <w:r w:rsidRPr="00556D76">
          <w:rPr>
            <w:rFonts w:cs="Charis SIL"/>
            <w:sz w:val="20"/>
            <w:szCs w:val="20"/>
            <w:u w:val="single"/>
            <w:lang w:val="en-IE"/>
          </w:rPr>
          <w:t>commons.wikimedia.org/w/index.php?curid=18179627</w:t>
        </w:r>
      </w:hyperlink>
    </w:p>
  </w:footnote>
  <w:footnote w:id="58">
    <w:p w14:paraId="43FDF500" w14:textId="52B60FEA" w:rsidR="00CB6469" w:rsidRPr="00556D76" w:rsidRDefault="00CB6469" w:rsidP="0099245C">
      <w:pPr>
        <w:spacing w:line="240" w:lineRule="auto"/>
        <w:rPr>
          <w:rFonts w:cs="Charis SIL"/>
          <w:sz w:val="20"/>
          <w:szCs w:val="20"/>
        </w:rPr>
      </w:pPr>
      <w:r w:rsidRPr="00556D76">
        <w:rPr>
          <w:rFonts w:cs="Charis SIL"/>
          <w:sz w:val="20"/>
          <w:szCs w:val="20"/>
          <w:vertAlign w:val="superscript"/>
        </w:rPr>
        <w:footnoteRef/>
      </w:r>
      <w:r w:rsidR="001624D1" w:rsidRPr="00556D76">
        <w:rPr>
          <w:rFonts w:cs="Charis SIL"/>
          <w:sz w:val="20"/>
          <w:szCs w:val="20"/>
        </w:rPr>
        <w:t xml:space="preserve"> </w:t>
      </w:r>
      <w:r w:rsidRPr="00556D76">
        <w:rPr>
          <w:rFonts w:cs="Charis SIL"/>
          <w:sz w:val="20"/>
          <w:szCs w:val="20"/>
        </w:rPr>
        <w:t xml:space="preserve">Ursprünglich: </w:t>
      </w:r>
      <w:r w:rsidR="006057AB" w:rsidRPr="00556D76">
        <w:rPr>
          <w:rFonts w:cs="Charis SIL"/>
          <w:iCs/>
          <w:sz w:val="20"/>
          <w:szCs w:val="20"/>
        </w:rPr>
        <w:t>‘</w:t>
      </w:r>
      <w:r w:rsidRPr="00556D76">
        <w:rPr>
          <w:rFonts w:cs="Charis SIL"/>
          <w:sz w:val="20"/>
          <w:szCs w:val="20"/>
        </w:rPr>
        <w:t xml:space="preserve">in Hitze und im Schnee, d. h. im Sommer und im Winter, </w:t>
      </w:r>
      <w:r w:rsidR="00F34426" w:rsidRPr="00556D76">
        <w:rPr>
          <w:rFonts w:cs="Charis SIL"/>
          <w:sz w:val="20"/>
          <w:szCs w:val="20"/>
        </w:rPr>
        <w:br/>
      </w:r>
      <w:r w:rsidRPr="00556D76">
        <w:rPr>
          <w:rFonts w:cs="Charis SIL"/>
          <w:sz w:val="20"/>
          <w:szCs w:val="20"/>
        </w:rPr>
        <w:t>sehr selten</w:t>
      </w:r>
      <w:r w:rsidR="008C6F01" w:rsidRPr="00556D76">
        <w:rPr>
          <w:rFonts w:cs="Charis SIL"/>
          <w:sz w:val="20"/>
          <w:szCs w:val="20"/>
        </w:rPr>
        <w:t>‘</w:t>
      </w:r>
      <w:r w:rsidRPr="00556D76">
        <w:rPr>
          <w:rFonts w:cs="Charis SIL"/>
          <w:sz w:val="20"/>
          <w:szCs w:val="20"/>
        </w:rPr>
        <w:t>.</w:t>
      </w:r>
    </w:p>
  </w:footnote>
  <w:footnote w:id="59">
    <w:p w14:paraId="029938AD" w14:textId="394E6029" w:rsidR="00CB6469" w:rsidRPr="00556D76" w:rsidRDefault="00CB6469"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Die Schriftweise lässt auch eine depalatalisierte Lesart </w:t>
      </w:r>
      <w:r w:rsidRPr="00556D76">
        <w:rPr>
          <w:rFonts w:cs="Charis SIL"/>
          <w:i/>
          <w:sz w:val="20"/>
          <w:szCs w:val="20"/>
        </w:rPr>
        <w:t>aránz</w:t>
      </w:r>
      <w:r w:rsidRPr="00556D76">
        <w:rPr>
          <w:rFonts w:cs="Charis SIL"/>
          <w:sz w:val="20"/>
          <w:szCs w:val="20"/>
        </w:rPr>
        <w:t xml:space="preserve"> zu, im Sprachhistorischen Wörterbuch (NySz.) sind mehrere solcher Beispiele zu finden (I: 114), aber die palatalisierte Form </w:t>
      </w:r>
      <w:r w:rsidRPr="00556D76">
        <w:rPr>
          <w:rFonts w:cs="Charis SIL"/>
          <w:i/>
          <w:sz w:val="20"/>
          <w:szCs w:val="20"/>
        </w:rPr>
        <w:t>arányz</w:t>
      </w:r>
      <w:r w:rsidRPr="00556D76">
        <w:rPr>
          <w:rFonts w:cs="Charis SIL"/>
          <w:sz w:val="20"/>
          <w:szCs w:val="20"/>
        </w:rPr>
        <w:t xml:space="preserve"> ist häufiger.</w:t>
      </w:r>
    </w:p>
  </w:footnote>
  <w:footnote w:id="60">
    <w:p w14:paraId="26E20A2B" w14:textId="08B7CF94" w:rsidR="00CB6469" w:rsidRPr="00556D76" w:rsidRDefault="00CB6469"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r w:rsidRPr="00556D76">
        <w:rPr>
          <w:rFonts w:eastAsia="Times New Roman" w:cs="Charis SIL"/>
          <w:sz w:val="20"/>
          <w:szCs w:val="20"/>
          <w:lang w:eastAsia="hu-HU"/>
        </w:rPr>
        <w:t xml:space="preserve">Lediglich in der Sammlung von Margalits finden wir eine Wendung mit dem Verb </w:t>
      </w:r>
      <w:r w:rsidRPr="00556D76">
        <w:rPr>
          <w:rFonts w:eastAsia="Times New Roman" w:cs="Charis SIL"/>
          <w:i/>
          <w:sz w:val="20"/>
          <w:szCs w:val="20"/>
          <w:lang w:eastAsia="hu-HU"/>
        </w:rPr>
        <w:t>arányz</w:t>
      </w:r>
      <w:r w:rsidRPr="00556D76">
        <w:rPr>
          <w:rFonts w:eastAsia="Times New Roman" w:cs="Charis SIL"/>
          <w:sz w:val="20"/>
          <w:szCs w:val="20"/>
          <w:lang w:eastAsia="hu-HU"/>
        </w:rPr>
        <w:t xml:space="preserve">: </w:t>
      </w:r>
      <w:r w:rsidRPr="00556D76">
        <w:rPr>
          <w:rFonts w:eastAsia="Times New Roman" w:cs="Charis SIL"/>
          <w:i/>
          <w:sz w:val="20"/>
          <w:szCs w:val="20"/>
          <w:lang w:eastAsia="hu-HU"/>
        </w:rPr>
        <w:t>Nem árt feljebb arányzani a lövésben</w:t>
      </w:r>
      <w:r w:rsidRPr="00556D76">
        <w:rPr>
          <w:rFonts w:eastAsia="Times New Roman" w:cs="Charis SIL"/>
          <w:sz w:val="20"/>
          <w:szCs w:val="20"/>
          <w:lang w:eastAsia="hu-HU"/>
        </w:rPr>
        <w:t xml:space="preserve"> </w:t>
      </w:r>
      <w:r w:rsidR="006057AB" w:rsidRPr="00556D76">
        <w:rPr>
          <w:rFonts w:cs="Charis SIL"/>
          <w:sz w:val="20"/>
          <w:szCs w:val="20"/>
        </w:rPr>
        <w:t>‘</w:t>
      </w:r>
      <w:r w:rsidRPr="00556D76">
        <w:rPr>
          <w:rFonts w:eastAsia="Times New Roman" w:cs="Charis SIL"/>
          <w:sz w:val="20"/>
          <w:szCs w:val="20"/>
          <w:lang w:eastAsia="hu-HU"/>
        </w:rPr>
        <w:t>Beim Schießen ist es besser etwas nach oben zu zielen</w:t>
      </w:r>
      <w:r w:rsidR="00DE1EDE" w:rsidRPr="00DE1EDE">
        <w:rPr>
          <w:rFonts w:eastAsia="Times New Roman" w:cs="Charis SIL"/>
          <w:sz w:val="20"/>
          <w:szCs w:val="20"/>
          <w:lang w:eastAsia="hu-HU"/>
        </w:rPr>
        <w:t>’</w:t>
      </w:r>
      <w:r w:rsidRPr="00556D76">
        <w:rPr>
          <w:rFonts w:eastAsia="Times New Roman" w:cs="Charis SIL"/>
          <w:sz w:val="20"/>
          <w:szCs w:val="20"/>
          <w:lang w:eastAsia="hu-HU"/>
        </w:rPr>
        <w:t xml:space="preserve"> (1896: 22).</w:t>
      </w:r>
    </w:p>
  </w:footnote>
  <w:footnote w:id="61">
    <w:p w14:paraId="6607289B" w14:textId="19F56146" w:rsidR="00B03FEA" w:rsidRPr="00556D76" w:rsidRDefault="00B03FEA"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vgl. </w:t>
      </w:r>
      <w:hyperlink r:id="rId23" w:history="1">
        <w:r w:rsidR="001624D1" w:rsidRPr="00556D76">
          <w:rPr>
            <w:rFonts w:cs="Charis SIL"/>
            <w:sz w:val="20"/>
            <w:szCs w:val="20"/>
            <w:u w:val="single"/>
          </w:rPr>
          <w:t>www.heraldik-wiki.de/wiki/Wolfsangel_(Heraldik)</w:t>
        </w:r>
      </w:hyperlink>
      <w:r w:rsidRPr="00556D76">
        <w:rPr>
          <w:rFonts w:cs="Charis SIL"/>
          <w:sz w:val="20"/>
          <w:szCs w:val="20"/>
        </w:rPr>
        <w:t>.</w:t>
      </w:r>
    </w:p>
  </w:footnote>
  <w:footnote w:id="62">
    <w:p w14:paraId="28982DA9" w14:textId="2B33410C" w:rsidR="00CB6469" w:rsidRPr="00556D76" w:rsidRDefault="00CB6469" w:rsidP="0099245C">
      <w:pPr>
        <w:suppressAutoHyphens/>
        <w:spacing w:line="240" w:lineRule="auto"/>
        <w:rPr>
          <w:rFonts w:cs="Charis SIL"/>
          <w:sz w:val="20"/>
          <w:szCs w:val="20"/>
        </w:rPr>
      </w:pPr>
      <w:r w:rsidRPr="00556D76">
        <w:rPr>
          <w:rFonts w:cs="Charis SIL"/>
          <w:sz w:val="20"/>
          <w:szCs w:val="20"/>
          <w:vertAlign w:val="superscript"/>
        </w:rPr>
        <w:footnoteRef/>
      </w:r>
      <w:r w:rsidR="001624D1" w:rsidRPr="00556D76">
        <w:rPr>
          <w:rFonts w:cs="Charis SIL"/>
          <w:sz w:val="20"/>
          <w:szCs w:val="20"/>
        </w:rPr>
        <w:t xml:space="preserve"> </w:t>
      </w:r>
      <w:r w:rsidRPr="00556D76">
        <w:rPr>
          <w:rFonts w:cs="Charis SIL"/>
          <w:sz w:val="20"/>
          <w:szCs w:val="20"/>
        </w:rPr>
        <w:t xml:space="preserve">Man kann dabei aber auch die Erklärung von Zoltán Kallós auf Grund des Deutschen nicht ausschließen, da als Pendant für die Redensart </w:t>
      </w:r>
      <w:r w:rsidRPr="00556D76">
        <w:rPr>
          <w:rFonts w:cs="Charis SIL"/>
          <w:i/>
          <w:sz w:val="20"/>
          <w:szCs w:val="20"/>
        </w:rPr>
        <w:t>összehúzza a nadrágszíjat</w:t>
      </w:r>
      <w:r w:rsidRPr="00556D76">
        <w:rPr>
          <w:rFonts w:cs="Charis SIL"/>
          <w:sz w:val="20"/>
          <w:szCs w:val="20"/>
        </w:rPr>
        <w:t xml:space="preserve"> im Deutschen die Ausdrücke </w:t>
      </w:r>
      <w:r w:rsidRPr="00556D76">
        <w:rPr>
          <w:rFonts w:cs="Charis SIL"/>
          <w:i/>
          <w:sz w:val="20"/>
          <w:szCs w:val="20"/>
        </w:rPr>
        <w:t>den</w:t>
      </w:r>
      <w:r w:rsidRPr="00556D76">
        <w:rPr>
          <w:rFonts w:cs="Charis SIL"/>
          <w:sz w:val="20"/>
          <w:szCs w:val="20"/>
        </w:rPr>
        <w:t xml:space="preserve"> </w:t>
      </w:r>
      <w:r w:rsidRPr="00556D76">
        <w:rPr>
          <w:rFonts w:cs="Charis SIL"/>
          <w:i/>
          <w:sz w:val="20"/>
          <w:szCs w:val="20"/>
        </w:rPr>
        <w:t>Riemen/Gürtel enger schnallen</w:t>
      </w:r>
      <w:r w:rsidRPr="00556D76">
        <w:rPr>
          <w:rFonts w:cs="Charis SIL"/>
          <w:sz w:val="20"/>
          <w:szCs w:val="20"/>
        </w:rPr>
        <w:t xml:space="preserve"> gebraucht werden. Unsere obigen Belege zeigen jedoch, dass </w:t>
      </w:r>
      <w:r w:rsidRPr="00556D76">
        <w:rPr>
          <w:rFonts w:cs="Charis SIL"/>
          <w:i/>
          <w:sz w:val="20"/>
          <w:szCs w:val="20"/>
        </w:rPr>
        <w:t>Riemen</w:t>
      </w:r>
      <w:r w:rsidRPr="00556D76">
        <w:rPr>
          <w:rFonts w:cs="Charis SIL"/>
          <w:sz w:val="20"/>
          <w:szCs w:val="20"/>
        </w:rPr>
        <w:t xml:space="preserve"> eindeutig auch die Bedeutung von </w:t>
      </w:r>
      <w:r w:rsidR="006057AB" w:rsidRPr="00556D76">
        <w:rPr>
          <w:rFonts w:cs="Charis SIL"/>
          <w:sz w:val="20"/>
          <w:szCs w:val="20"/>
        </w:rPr>
        <w:t>‘</w:t>
      </w:r>
      <w:r w:rsidRPr="00556D76">
        <w:rPr>
          <w:rFonts w:cs="Charis SIL"/>
          <w:sz w:val="20"/>
          <w:szCs w:val="20"/>
        </w:rPr>
        <w:t>Beutelriemen</w:t>
      </w:r>
      <w:r w:rsidR="00DE1EDE" w:rsidRPr="00DE1EDE">
        <w:rPr>
          <w:rFonts w:cs="Charis SIL"/>
          <w:sz w:val="20"/>
          <w:szCs w:val="20"/>
        </w:rPr>
        <w:t>’</w:t>
      </w:r>
      <w:r w:rsidRPr="00556D76">
        <w:rPr>
          <w:rFonts w:cs="Charis SIL"/>
          <w:sz w:val="20"/>
          <w:szCs w:val="20"/>
        </w:rPr>
        <w:t xml:space="preserve"> </w:t>
      </w:r>
      <w:r w:rsidR="00E10B77" w:rsidRPr="00556D76">
        <w:rPr>
          <w:rFonts w:cs="Charis SIL"/>
          <w:sz w:val="20"/>
          <w:szCs w:val="20"/>
        </w:rPr>
        <w:t>hatte</w:t>
      </w:r>
      <w:r w:rsidRPr="00556D76">
        <w:rPr>
          <w:rFonts w:cs="Charis SIL"/>
          <w:sz w:val="20"/>
          <w:szCs w:val="20"/>
        </w:rPr>
        <w:t>.</w:t>
      </w:r>
    </w:p>
  </w:footnote>
  <w:footnote w:id="63">
    <w:p w14:paraId="772D9787" w14:textId="60EEA9CF" w:rsidR="00230AD0" w:rsidRPr="00556D76" w:rsidRDefault="00230AD0"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Es sei hier jedoch angemerkt, dass </w:t>
      </w:r>
      <w:r w:rsidRPr="00556D76">
        <w:rPr>
          <w:rFonts w:cs="Charis SIL"/>
          <w:i/>
          <w:iCs/>
          <w:sz w:val="20"/>
          <w:szCs w:val="20"/>
        </w:rPr>
        <w:t>sõber</w:t>
      </w:r>
      <w:r w:rsidRPr="00556D76">
        <w:rPr>
          <w:rFonts w:cs="Charis SIL"/>
          <w:sz w:val="20"/>
          <w:szCs w:val="20"/>
        </w:rPr>
        <w:t xml:space="preserve"> </w:t>
      </w:r>
      <w:r w:rsidR="006057AB" w:rsidRPr="00556D76">
        <w:rPr>
          <w:rFonts w:cs="Charis SIL"/>
          <w:sz w:val="20"/>
          <w:szCs w:val="20"/>
        </w:rPr>
        <w:t>‘</w:t>
      </w:r>
      <w:r w:rsidRPr="00556D76">
        <w:rPr>
          <w:rFonts w:cs="Charis SIL"/>
          <w:sz w:val="20"/>
          <w:szCs w:val="20"/>
        </w:rPr>
        <w:t>Freund‘</w:t>
      </w:r>
      <w:r w:rsidR="00ED6869" w:rsidRPr="00556D76">
        <w:rPr>
          <w:rFonts w:cs="Charis SIL"/>
          <w:sz w:val="20"/>
          <w:szCs w:val="20"/>
        </w:rPr>
        <w:t>,</w:t>
      </w:r>
      <w:r w:rsidRPr="00556D76">
        <w:rPr>
          <w:rFonts w:cs="Charis SIL"/>
          <w:sz w:val="20"/>
          <w:szCs w:val="20"/>
        </w:rPr>
        <w:t xml:space="preserve"> anders als andere hier gelistete Lexeme</w:t>
      </w:r>
      <w:r w:rsidR="00ED6869" w:rsidRPr="00556D76">
        <w:rPr>
          <w:rFonts w:cs="Charis SIL"/>
          <w:sz w:val="20"/>
          <w:szCs w:val="20"/>
        </w:rPr>
        <w:t>,</w:t>
      </w:r>
      <w:r w:rsidRPr="00556D76">
        <w:rPr>
          <w:rFonts w:cs="Charis SIL"/>
          <w:sz w:val="20"/>
          <w:szCs w:val="20"/>
        </w:rPr>
        <w:t xml:space="preserve"> auch i</w:t>
      </w:r>
      <w:r w:rsidR="00ED6869" w:rsidRPr="00556D76">
        <w:rPr>
          <w:rFonts w:cs="Charis SIL"/>
          <w:sz w:val="20"/>
          <w:szCs w:val="20"/>
        </w:rPr>
        <w:t>n</w:t>
      </w:r>
      <w:r w:rsidRPr="00556D76">
        <w:rPr>
          <w:rFonts w:cs="Charis SIL"/>
          <w:sz w:val="20"/>
          <w:szCs w:val="20"/>
        </w:rPr>
        <w:t xml:space="preserve"> Bezug auf Frauen verwendet werden kann und verwendet wird.</w:t>
      </w:r>
    </w:p>
  </w:footnote>
  <w:footnote w:id="64">
    <w:p w14:paraId="08460AEA" w14:textId="4827A242" w:rsidR="00A2715F" w:rsidRPr="00556D76" w:rsidRDefault="00A2715F"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Ich möchte zwei anonymen Gutachtenden und besonders Marili Tomingas für ihre hilfreichen Kommentare zu früheren Versionen dieses Beitrags danken.</w:t>
      </w:r>
    </w:p>
  </w:footnote>
  <w:footnote w:id="65">
    <w:p w14:paraId="021D72DA" w14:textId="77777777" w:rsidR="00A2715F" w:rsidRPr="00556D76" w:rsidRDefault="00A2715F"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Da in diesem Beispiel das Nullargument nicht mit dem Verb kongruiert, kann die Person aus dem Beispiel allein nicht erschlossen werden. Die Übersetzung mit der 1. Person Singular erschien im Kontext der Aussage am plausibelsten.</w:t>
      </w:r>
    </w:p>
  </w:footnote>
  <w:footnote w:id="66">
    <w:p w14:paraId="61D84BAA" w14:textId="77777777" w:rsidR="00AB124E" w:rsidRPr="00556D76" w:rsidRDefault="00AB124E" w:rsidP="00AB124E">
      <w:pPr>
        <w:pStyle w:val="FootnoteText"/>
        <w:rPr>
          <w:rFonts w:ascii="Cambria" w:hAnsi="Cambria"/>
          <w:lang w:val="en-GB"/>
        </w:rPr>
      </w:pPr>
      <w:r w:rsidRPr="00556D76">
        <w:rPr>
          <w:rStyle w:val="FootnoteReference"/>
          <w:rFonts w:ascii="Cambria" w:hAnsi="Cambria"/>
        </w:rPr>
        <w:footnoteRef/>
      </w:r>
      <w:r w:rsidRPr="00556D76">
        <w:rPr>
          <w:rFonts w:ascii="Cambria" w:hAnsi="Cambria"/>
        </w:rPr>
        <w:t xml:space="preserve"> </w:t>
      </w:r>
      <w:r w:rsidRPr="00556D76">
        <w:rPr>
          <w:rFonts w:ascii="Cambria" w:hAnsi="Cambria"/>
          <w:lang w:val="en-GB"/>
        </w:rPr>
        <w:t>A glossary of abbreviations can be found in the source (UEW: XLIII–XLVIII).</w:t>
      </w:r>
    </w:p>
  </w:footnote>
  <w:footnote w:id="67">
    <w:p w14:paraId="6541F119" w14:textId="21D4EBBB" w:rsidR="00B72515" w:rsidRPr="00556D76" w:rsidRDefault="00B72515"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The idea that there are Uralic loans in Ossetic has a long history</w:t>
      </w:r>
      <w:r w:rsidR="008E3FE3" w:rsidRPr="00556D76">
        <w:rPr>
          <w:rFonts w:cs="Charis SIL"/>
          <w:sz w:val="20"/>
          <w:szCs w:val="20"/>
          <w:lang w:val="en-IE"/>
        </w:rPr>
        <w:t>,</w:t>
      </w:r>
      <w:r w:rsidRPr="00556D76">
        <w:rPr>
          <w:rFonts w:cs="Charis SIL"/>
          <w:sz w:val="20"/>
          <w:szCs w:val="20"/>
          <w:lang w:val="en-IE"/>
        </w:rPr>
        <w:t xml:space="preserve"> but many of the examples are problematic and debated. This matter cannot be discussed here in detail, but an illustrative example that includes similar problems as the etymology of </w:t>
      </w:r>
      <w:r w:rsidRPr="00556D76">
        <w:rPr>
          <w:rFonts w:cs="Charis SIL"/>
          <w:i/>
          <w:sz w:val="20"/>
          <w:szCs w:val="20"/>
          <w:lang w:val="en-IE"/>
        </w:rPr>
        <w:t>agyar</w:t>
      </w:r>
      <w:r w:rsidR="008E3FE3" w:rsidRPr="00556D76">
        <w:rPr>
          <w:rFonts w:cs="Charis SIL"/>
          <w:i/>
          <w:sz w:val="20"/>
          <w:szCs w:val="20"/>
          <w:lang w:val="en-IE"/>
        </w:rPr>
        <w:t xml:space="preserve"> </w:t>
      </w:r>
      <w:r w:rsidR="008E3FE3" w:rsidRPr="00556D76">
        <w:rPr>
          <w:rFonts w:cs="Charis SIL"/>
          <w:sz w:val="20"/>
          <w:szCs w:val="20"/>
          <w:lang w:val="en-IE"/>
        </w:rPr>
        <w:t>can be mentioned</w:t>
      </w:r>
      <w:r w:rsidRPr="00556D76">
        <w:rPr>
          <w:rFonts w:cs="Charis SIL"/>
          <w:sz w:val="20"/>
          <w:szCs w:val="20"/>
          <w:lang w:val="en-IE"/>
        </w:rPr>
        <w:t xml:space="preserve">: Korenchy (1972) notes that Hungarian </w:t>
      </w:r>
      <w:r w:rsidRPr="00556D76">
        <w:rPr>
          <w:rFonts w:cs="Charis SIL"/>
          <w:i/>
          <w:iCs/>
          <w:sz w:val="20"/>
          <w:szCs w:val="20"/>
          <w:lang w:val="en-IE"/>
        </w:rPr>
        <w:t>mély</w:t>
      </w:r>
      <w:r w:rsidRPr="00556D76">
        <w:rPr>
          <w:rFonts w:cs="Charis SIL"/>
          <w:sz w:val="20"/>
          <w:szCs w:val="20"/>
          <w:lang w:val="en-IE"/>
        </w:rPr>
        <w:t xml:space="preserve"> ‘deep’ is not a loan from Ossetic </w:t>
      </w:r>
      <w:r w:rsidRPr="00556D76">
        <w:rPr>
          <w:rFonts w:cs="Charis SIL"/>
          <w:i/>
          <w:iCs/>
          <w:sz w:val="20"/>
          <w:szCs w:val="20"/>
          <w:lang w:val="en-IE"/>
        </w:rPr>
        <w:t>mal</w:t>
      </w:r>
      <w:r w:rsidRPr="00556D76">
        <w:rPr>
          <w:rFonts w:cs="Charis SIL"/>
          <w:sz w:val="20"/>
          <w:szCs w:val="20"/>
          <w:lang w:val="en-IE"/>
        </w:rPr>
        <w:t xml:space="preserve"> ‘deep water’, but here the direction of borrowing is vice versa. The idea that Hungarian</w:t>
      </w:r>
      <w:r w:rsidRPr="00556D76">
        <w:rPr>
          <w:rFonts w:cs="Charis SIL"/>
          <w:i/>
          <w:iCs/>
          <w:sz w:val="20"/>
          <w:szCs w:val="20"/>
          <w:lang w:val="en-IE"/>
        </w:rPr>
        <w:t xml:space="preserve"> mély</w:t>
      </w:r>
      <w:r w:rsidRPr="00556D76">
        <w:rPr>
          <w:rFonts w:cs="Charis SIL"/>
          <w:sz w:val="20"/>
          <w:szCs w:val="20"/>
          <w:lang w:val="en-IE"/>
        </w:rPr>
        <w:t xml:space="preserve"> is of Iranian origin has not received much support in later research. This is a different case from </w:t>
      </w:r>
      <w:r w:rsidRPr="00556D76">
        <w:rPr>
          <w:rFonts w:cs="Charis SIL"/>
          <w:i/>
          <w:iCs/>
          <w:sz w:val="20"/>
          <w:szCs w:val="20"/>
          <w:lang w:val="en-IE"/>
        </w:rPr>
        <w:t>agyar</w:t>
      </w:r>
      <w:r w:rsidRPr="00556D76">
        <w:rPr>
          <w:rFonts w:cs="Charis SIL"/>
          <w:sz w:val="20"/>
          <w:szCs w:val="20"/>
          <w:lang w:val="en-IE"/>
        </w:rPr>
        <w:t xml:space="preserve"> in that the donor form would have to be a late Ossetic-like word, but the Hungarian word has regular cognates in the Ob-Ugric languages: Khanty V </w:t>
      </w:r>
      <w:r w:rsidRPr="00556D76">
        <w:rPr>
          <w:rFonts w:cs="Charis SIL"/>
          <w:i/>
          <w:iCs/>
          <w:sz w:val="20"/>
          <w:szCs w:val="20"/>
          <w:lang w:val="en-IE"/>
        </w:rPr>
        <w:t>mĕl</w:t>
      </w:r>
      <w:r w:rsidRPr="00556D76">
        <w:rPr>
          <w:rFonts w:cs="Charis SIL"/>
          <w:sz w:val="20"/>
          <w:szCs w:val="20"/>
          <w:lang w:val="en-IE"/>
        </w:rPr>
        <w:t xml:space="preserve">, DN </w:t>
      </w:r>
      <w:r w:rsidRPr="00556D76">
        <w:rPr>
          <w:rFonts w:cs="Charis SIL"/>
          <w:i/>
          <w:iCs/>
          <w:sz w:val="20"/>
          <w:szCs w:val="20"/>
          <w:lang w:val="en-IE"/>
        </w:rPr>
        <w:t>mĕt</w:t>
      </w:r>
      <w:r w:rsidRPr="00556D76">
        <w:rPr>
          <w:rFonts w:cs="Charis SIL"/>
          <w:sz w:val="20"/>
          <w:szCs w:val="20"/>
          <w:lang w:val="en-IE"/>
        </w:rPr>
        <w:t xml:space="preserve">, O </w:t>
      </w:r>
      <w:r w:rsidRPr="00556D76">
        <w:rPr>
          <w:rFonts w:cs="Charis SIL"/>
          <w:i/>
          <w:iCs/>
          <w:sz w:val="20"/>
          <w:szCs w:val="20"/>
          <w:lang w:val="en-IE"/>
        </w:rPr>
        <w:t>mȧ̆l</w:t>
      </w:r>
      <w:r w:rsidRPr="00556D76">
        <w:rPr>
          <w:rFonts w:cs="Charis SIL"/>
          <w:sz w:val="20"/>
          <w:szCs w:val="20"/>
          <w:lang w:val="en-IE"/>
        </w:rPr>
        <w:t xml:space="preserve"> ‘deep’; Mansi TJ </w:t>
      </w:r>
      <w:r w:rsidRPr="00556D76">
        <w:rPr>
          <w:rFonts w:cs="Charis SIL"/>
          <w:i/>
          <w:iCs/>
          <w:sz w:val="20"/>
          <w:szCs w:val="20"/>
          <w:lang w:val="en-IE"/>
        </w:rPr>
        <w:t>mäl</w:t>
      </w:r>
      <w:r w:rsidRPr="00556D76">
        <w:rPr>
          <w:rFonts w:cs="Charis SIL"/>
          <w:sz w:val="20"/>
          <w:szCs w:val="20"/>
          <w:lang w:val="en-IE"/>
        </w:rPr>
        <w:t xml:space="preserve">, KU </w:t>
      </w:r>
      <w:r w:rsidRPr="00556D76">
        <w:rPr>
          <w:rFonts w:cs="Charis SIL"/>
          <w:i/>
          <w:iCs/>
          <w:sz w:val="20"/>
          <w:szCs w:val="20"/>
          <w:lang w:val="en-IE"/>
        </w:rPr>
        <w:t>mil</w:t>
      </w:r>
      <w:r w:rsidRPr="00556D76">
        <w:rPr>
          <w:rFonts w:cs="Charis SIL"/>
          <w:sz w:val="20"/>
          <w:szCs w:val="20"/>
          <w:lang w:val="en-IE"/>
        </w:rPr>
        <w:t xml:space="preserve">, P (irregular) </w:t>
      </w:r>
      <w:r w:rsidRPr="00556D76">
        <w:rPr>
          <w:rFonts w:cs="Charis SIL"/>
          <w:i/>
          <w:iCs/>
          <w:sz w:val="20"/>
          <w:szCs w:val="20"/>
          <w:lang w:val="en-IE"/>
        </w:rPr>
        <w:t>ńil</w:t>
      </w:r>
      <w:r w:rsidRPr="00556D76">
        <w:rPr>
          <w:rFonts w:cs="Charis SIL"/>
          <w:sz w:val="20"/>
          <w:szCs w:val="20"/>
          <w:lang w:val="en-IE"/>
        </w:rPr>
        <w:t xml:space="preserve">, So </w:t>
      </w:r>
      <w:r w:rsidRPr="00556D76">
        <w:rPr>
          <w:rFonts w:cs="Charis SIL"/>
          <w:i/>
          <w:iCs/>
          <w:sz w:val="20"/>
          <w:szCs w:val="20"/>
          <w:lang w:val="en-IE"/>
        </w:rPr>
        <w:t>mil</w:t>
      </w:r>
      <w:r w:rsidRPr="00556D76">
        <w:rPr>
          <w:rFonts w:cs="Charis SIL"/>
          <w:sz w:val="20"/>
          <w:szCs w:val="20"/>
          <w:lang w:val="en-IE"/>
        </w:rPr>
        <w:t xml:space="preserve"> ‘deep’ (UEW: 870). The idea of an Iranian loan etymology in Ugric has been supported by Rasmussen (1989: 234–239) in his discussion of the Indo-European word *</w:t>
      </w:r>
      <w:r w:rsidRPr="00556D76">
        <w:rPr>
          <w:rFonts w:cs="Charis SIL"/>
          <w:i/>
          <w:iCs/>
          <w:sz w:val="20"/>
          <w:szCs w:val="20"/>
          <w:lang w:val="en-IE"/>
        </w:rPr>
        <w:t>móri-</w:t>
      </w:r>
      <w:r w:rsidRPr="00556D76">
        <w:rPr>
          <w:rFonts w:cs="Charis SIL"/>
          <w:sz w:val="20"/>
          <w:szCs w:val="20"/>
          <w:lang w:val="en-IE"/>
        </w:rPr>
        <w:t xml:space="preserve"> ‘sea’. If Rasmussen is right and Ossetic </w:t>
      </w:r>
      <w:r w:rsidRPr="00556D76">
        <w:rPr>
          <w:rFonts w:cs="Charis SIL"/>
          <w:i/>
          <w:iCs/>
          <w:sz w:val="20"/>
          <w:szCs w:val="20"/>
          <w:lang w:val="en-IE"/>
        </w:rPr>
        <w:t>mal</w:t>
      </w:r>
      <w:r w:rsidRPr="00556D76">
        <w:rPr>
          <w:rFonts w:cs="Charis SIL"/>
          <w:sz w:val="20"/>
          <w:szCs w:val="20"/>
          <w:lang w:val="en-IE"/>
        </w:rPr>
        <w:t xml:space="preserve"> reflects Iranian *</w:t>
      </w:r>
      <w:r w:rsidRPr="00556D76">
        <w:rPr>
          <w:rFonts w:cs="Charis SIL"/>
          <w:i/>
          <w:iCs/>
          <w:sz w:val="20"/>
          <w:szCs w:val="20"/>
          <w:lang w:val="en-IE"/>
        </w:rPr>
        <w:t>mārya-</w:t>
      </w:r>
      <w:r w:rsidRPr="00556D76">
        <w:rPr>
          <w:rFonts w:cs="Charis SIL"/>
          <w:sz w:val="20"/>
          <w:szCs w:val="20"/>
          <w:lang w:val="en-IE"/>
        </w:rPr>
        <w:t>, a derivative of Indo-European *</w:t>
      </w:r>
      <w:r w:rsidRPr="00556D76">
        <w:rPr>
          <w:rFonts w:cs="Charis SIL"/>
          <w:i/>
          <w:iCs/>
          <w:sz w:val="20"/>
          <w:szCs w:val="20"/>
          <w:lang w:val="en-IE"/>
        </w:rPr>
        <w:t>móri-</w:t>
      </w:r>
      <w:r w:rsidRPr="00556D76">
        <w:rPr>
          <w:rFonts w:cs="Charis SIL"/>
          <w:sz w:val="20"/>
          <w:szCs w:val="20"/>
          <w:lang w:val="en-IE"/>
        </w:rPr>
        <w:t xml:space="preserve"> ‘sea’ (see Abaev II: 68–69 s.v.</w:t>
      </w:r>
      <w:r w:rsidRPr="00556D76">
        <w:rPr>
          <w:rFonts w:cs="Charis SIL"/>
          <w:i/>
          <w:iCs/>
          <w:sz w:val="20"/>
          <w:szCs w:val="20"/>
          <w:lang w:val="en-IE"/>
        </w:rPr>
        <w:t xml:space="preserve"> mal</w:t>
      </w:r>
      <w:r w:rsidRPr="00556D76">
        <w:rPr>
          <w:rFonts w:cs="Charis SIL"/>
          <w:sz w:val="20"/>
          <w:szCs w:val="20"/>
          <w:lang w:val="en-IE"/>
        </w:rPr>
        <w:t xml:space="preserve">), the </w:t>
      </w:r>
      <w:r w:rsidR="00D444BC" w:rsidRPr="00556D76">
        <w:rPr>
          <w:rFonts w:cs="Charis SIL"/>
          <w:sz w:val="20"/>
          <w:szCs w:val="20"/>
          <w:lang w:val="en-IE"/>
        </w:rPr>
        <w:t>assumed borrowing</w:t>
      </w:r>
      <w:r w:rsidRPr="00556D76">
        <w:rPr>
          <w:rFonts w:cs="Charis SIL"/>
          <w:sz w:val="20"/>
          <w:szCs w:val="20"/>
          <w:lang w:val="en-IE"/>
        </w:rPr>
        <w:t xml:space="preserve"> from (Finno-)Ugric to Ossetic cannot be correct. However, this explanation is far from certain, as there are no reflexes of this PIE stem in any other Iranian language, and all the certain cognates of the word for ‘sea’ are found in the so-called Northwest Indo-European languages (Italo-Celtic, Germanic, and Balto-Slavic). </w:t>
      </w:r>
      <w:r w:rsidR="00D444BC" w:rsidRPr="00556D76">
        <w:rPr>
          <w:rFonts w:cs="Charis SIL"/>
          <w:sz w:val="20"/>
          <w:szCs w:val="20"/>
          <w:lang w:val="en-IE"/>
        </w:rPr>
        <w:t>Presuming</w:t>
      </w:r>
      <w:r w:rsidRPr="00556D76">
        <w:rPr>
          <w:rFonts w:cs="Charis SIL"/>
          <w:sz w:val="20"/>
          <w:szCs w:val="20"/>
          <w:lang w:val="en-IE"/>
        </w:rPr>
        <w:t xml:space="preserve"> borrowing in the other direction comes with problems of its own: the idea that the word is a loanword from a late Alanic form with *</w:t>
      </w:r>
      <w:r w:rsidRPr="00556D76">
        <w:rPr>
          <w:rFonts w:cs="Charis SIL"/>
          <w:i/>
          <w:iCs/>
          <w:sz w:val="20"/>
          <w:szCs w:val="20"/>
          <w:lang w:val="en-IE"/>
        </w:rPr>
        <w:t xml:space="preserve">l </w:t>
      </w:r>
      <w:r w:rsidRPr="00556D76">
        <w:rPr>
          <w:rFonts w:cs="Charis SIL"/>
          <w:sz w:val="20"/>
          <w:szCs w:val="20"/>
          <w:lang w:val="en-IE"/>
        </w:rPr>
        <w:t>from Proto-Iranian *</w:t>
      </w:r>
      <w:r w:rsidRPr="00556D76">
        <w:rPr>
          <w:rFonts w:cs="Charis SIL"/>
          <w:i/>
          <w:iCs/>
          <w:sz w:val="20"/>
          <w:szCs w:val="20"/>
          <w:lang w:val="en-IE"/>
        </w:rPr>
        <w:t>ry-</w:t>
      </w:r>
      <w:r w:rsidRPr="00556D76">
        <w:rPr>
          <w:rFonts w:cs="Charis SIL"/>
          <w:sz w:val="20"/>
          <w:szCs w:val="20"/>
          <w:lang w:val="en-IE"/>
        </w:rPr>
        <w:t xml:space="preserve"> to Proto-Ugric looks chronologically suspicious; forms with *</w:t>
      </w:r>
      <w:r w:rsidRPr="00556D76">
        <w:rPr>
          <w:rFonts w:cs="Charis SIL"/>
          <w:i/>
          <w:iCs/>
          <w:sz w:val="20"/>
          <w:szCs w:val="20"/>
          <w:lang w:val="en-IE"/>
        </w:rPr>
        <w:t>l</w:t>
      </w:r>
      <w:r w:rsidRPr="00556D76">
        <w:rPr>
          <w:rFonts w:cs="Charis SIL"/>
          <w:sz w:val="20"/>
          <w:szCs w:val="20"/>
          <w:lang w:val="en-IE"/>
        </w:rPr>
        <w:t xml:space="preserve">, such as the ethnonym </w:t>
      </w:r>
      <w:r w:rsidRPr="00556D76">
        <w:rPr>
          <w:rFonts w:cs="Times New Roman"/>
          <w:sz w:val="20"/>
          <w:szCs w:val="20"/>
          <w:lang w:val="en-IE"/>
        </w:rPr>
        <w:t>Ἀ</w:t>
      </w:r>
      <w:r w:rsidRPr="00556D76">
        <w:rPr>
          <w:rFonts w:cs="Charis SIL"/>
          <w:sz w:val="20"/>
          <w:szCs w:val="20"/>
          <w:lang w:val="en-IE"/>
        </w:rPr>
        <w:t>λα</w:t>
      </w:r>
      <w:r w:rsidRPr="00556D76">
        <w:rPr>
          <w:rFonts w:cs="Cambria"/>
          <w:sz w:val="20"/>
          <w:szCs w:val="20"/>
          <w:lang w:val="en-IE"/>
        </w:rPr>
        <w:t>νοι</w:t>
      </w:r>
      <w:r w:rsidRPr="00556D76">
        <w:rPr>
          <w:rFonts w:cs="Charis SIL"/>
          <w:sz w:val="20"/>
          <w:szCs w:val="20"/>
          <w:lang w:val="en-IE"/>
        </w:rPr>
        <w:t>, do appear rather early in Greek and Latin sources, in the 1</w:t>
      </w:r>
      <w:r w:rsidRPr="00556D76">
        <w:rPr>
          <w:rFonts w:cs="Charis SIL"/>
          <w:sz w:val="20"/>
          <w:szCs w:val="20"/>
          <w:vertAlign w:val="superscript"/>
          <w:lang w:val="en-IE"/>
        </w:rPr>
        <w:t>st</w:t>
      </w:r>
      <w:r w:rsidRPr="00556D76">
        <w:rPr>
          <w:rFonts w:cs="Charis SIL"/>
          <w:sz w:val="20"/>
          <w:szCs w:val="20"/>
          <w:lang w:val="en-IE"/>
        </w:rPr>
        <w:t xml:space="preserve"> century CE (Alemany 2000: 1; Bielmeier 1989: 24), but the established loanwords shared by the Ugric languages reflect the Proto-Iranian or “Old Iranian” stage</w:t>
      </w:r>
      <w:r w:rsidR="00D444BC" w:rsidRPr="00556D76">
        <w:rPr>
          <w:rFonts w:cs="Charis SIL"/>
          <w:sz w:val="20"/>
          <w:szCs w:val="20"/>
          <w:lang w:val="en-IE"/>
        </w:rPr>
        <w:t>,</w:t>
      </w:r>
      <w:r w:rsidRPr="00556D76">
        <w:rPr>
          <w:rFonts w:cs="Charis SIL"/>
          <w:sz w:val="20"/>
          <w:szCs w:val="20"/>
          <w:lang w:val="en-IE"/>
        </w:rPr>
        <w:t xml:space="preserve"> which has to be significantly earlier. It is possible that the word is a separate loan from Alanic into the predecessors of Khanty, Mansi and Hungarian, but the Ugric cognates are regular, and it would be possible to reconstruct a Ugric/Uralic proto-form for these words. This etymology requires further research.</w:t>
      </w:r>
    </w:p>
  </w:footnote>
  <w:footnote w:id="68">
    <w:p w14:paraId="2DCB38A8" w14:textId="666A8356" w:rsidR="00B72515" w:rsidRPr="00556D76" w:rsidRDefault="00B72515"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The other alleged Permic cognate included in UEW, Komi </w:t>
      </w:r>
      <w:r w:rsidRPr="00556D76">
        <w:rPr>
          <w:rFonts w:cs="Charis SIL"/>
          <w:i/>
          <w:iCs/>
          <w:sz w:val="20"/>
          <w:szCs w:val="20"/>
          <w:lang w:val="en-IE"/>
        </w:rPr>
        <w:t>ver</w:t>
      </w:r>
      <w:r w:rsidRPr="00556D76">
        <w:rPr>
          <w:rFonts w:cs="Charis SIL"/>
          <w:sz w:val="20"/>
          <w:szCs w:val="20"/>
          <w:lang w:val="en-IE"/>
        </w:rPr>
        <w:t xml:space="preserve"> ‘husband’, does not reflect PU *</w:t>
      </w:r>
      <w:r w:rsidRPr="00556D76">
        <w:rPr>
          <w:rFonts w:cs="Charis SIL"/>
          <w:i/>
          <w:iCs/>
          <w:sz w:val="20"/>
          <w:szCs w:val="20"/>
          <w:lang w:val="en-IE"/>
        </w:rPr>
        <w:t>orja</w:t>
      </w:r>
      <w:r w:rsidRPr="00556D76">
        <w:rPr>
          <w:rFonts w:cs="Charis SIL"/>
          <w:sz w:val="20"/>
          <w:szCs w:val="20"/>
          <w:lang w:val="en-IE"/>
        </w:rPr>
        <w:t xml:space="preserve"> but</w:t>
      </w:r>
      <w:r w:rsidR="00D444BC" w:rsidRPr="00556D76">
        <w:rPr>
          <w:rFonts w:cs="Charis SIL"/>
          <w:sz w:val="20"/>
          <w:szCs w:val="20"/>
          <w:lang w:val="en-IE"/>
        </w:rPr>
        <w:t>,</w:t>
      </w:r>
      <w:r w:rsidRPr="00556D76">
        <w:rPr>
          <w:rFonts w:cs="Charis SIL"/>
          <w:sz w:val="20"/>
          <w:szCs w:val="20"/>
          <w:lang w:val="en-IE"/>
        </w:rPr>
        <w:t xml:space="preserve"> contrary to the claim of UEW, is a loan from Iranian *</w:t>
      </w:r>
      <w:r w:rsidRPr="00556D76">
        <w:rPr>
          <w:rFonts w:cs="Charis SIL"/>
          <w:i/>
          <w:iCs/>
          <w:sz w:val="20"/>
          <w:szCs w:val="20"/>
          <w:lang w:val="en-IE"/>
        </w:rPr>
        <w:t>wiHra-</w:t>
      </w:r>
      <w:r w:rsidRPr="00556D76">
        <w:rPr>
          <w:rFonts w:cs="Charis SIL"/>
          <w:iCs/>
          <w:sz w:val="20"/>
          <w:szCs w:val="20"/>
          <w:lang w:val="en-IE"/>
        </w:rPr>
        <w:t xml:space="preserve"> ‘man’</w:t>
      </w:r>
      <w:r w:rsidRPr="00556D76">
        <w:rPr>
          <w:rFonts w:cs="Charis SIL"/>
          <w:sz w:val="20"/>
          <w:szCs w:val="20"/>
          <w:lang w:val="en-IE"/>
        </w:rPr>
        <w:t xml:space="preserve"> (see Holopainen 2019: 164–165).</w:t>
      </w:r>
    </w:p>
  </w:footnote>
  <w:footnote w:id="69">
    <w:p w14:paraId="68494B89" w14:textId="77777777" w:rsidR="00B72515" w:rsidRPr="00556D76" w:rsidRDefault="00B72515"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It has been argued that a reflex of the Uralic *-</w:t>
      </w:r>
      <w:r w:rsidRPr="00556D76">
        <w:rPr>
          <w:rFonts w:cs="Charis SIL"/>
          <w:i/>
          <w:sz w:val="20"/>
          <w:szCs w:val="20"/>
          <w:lang w:val="en-IE"/>
        </w:rPr>
        <w:t>rV-</w:t>
      </w:r>
      <w:r w:rsidRPr="00556D76">
        <w:rPr>
          <w:rFonts w:cs="Charis SIL"/>
          <w:sz w:val="20"/>
          <w:szCs w:val="20"/>
          <w:lang w:val="en-IE"/>
        </w:rPr>
        <w:t xml:space="preserve"> suffix appears in a number of Proto-Ob-Ugric etymologies (Riese 2001: 52), many of which are reflected in both Khanty and Mansi. It is interesting to note that this Ob-Ugric *-</w:t>
      </w:r>
      <w:r w:rsidRPr="00556D76">
        <w:rPr>
          <w:rFonts w:cs="Charis SIL"/>
          <w:i/>
          <w:sz w:val="20"/>
          <w:szCs w:val="20"/>
          <w:lang w:val="en-IE"/>
        </w:rPr>
        <w:t>r</w:t>
      </w:r>
      <w:r w:rsidRPr="00556D76">
        <w:rPr>
          <w:rFonts w:cs="Charis SIL"/>
          <w:sz w:val="20"/>
          <w:szCs w:val="20"/>
          <w:lang w:val="en-IE"/>
        </w:rPr>
        <w:t xml:space="preserve"> is not a productive suffix in Mansi anymore (Riese 2001: 107), but according to Sauer (1967: 159–160) it is productive and common in Khanty.</w:t>
      </w:r>
    </w:p>
  </w:footnote>
  <w:footnote w:id="70">
    <w:p w14:paraId="5EE3C40C" w14:textId="77777777" w:rsidR="00B72515" w:rsidRPr="00556D76" w:rsidRDefault="00B72515"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I am grateful to an anonymous referee for pointing this out to me.</w:t>
      </w:r>
    </w:p>
  </w:footnote>
  <w:footnote w:id="71">
    <w:p w14:paraId="157EB43C" w14:textId="77777777" w:rsidR="006B5BDA" w:rsidRPr="00556D76" w:rsidRDefault="006B5BDA" w:rsidP="0099245C">
      <w:pPr>
        <w:suppressAutoHyphens/>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On kuitenkin mainittava, että ruijansaamen itämurteiden alueella Nuorgamin länsipuolella Tenojoen pohjoispuolella sijaitsee </w:t>
      </w:r>
      <w:r w:rsidRPr="00556D76">
        <w:rPr>
          <w:rFonts w:cs="Charis SIL"/>
          <w:i/>
          <w:sz w:val="20"/>
          <w:szCs w:val="20"/>
          <w:lang w:val="fi-FI"/>
        </w:rPr>
        <w:t>Simssatája</w:t>
      </w:r>
      <w:r w:rsidRPr="00556D76">
        <w:rPr>
          <w:rFonts w:cs="Charis SIL"/>
          <w:sz w:val="20"/>
          <w:szCs w:val="20"/>
          <w:lang w:val="fi-FI"/>
        </w:rPr>
        <w:t>-niminen puro, jonka nimi viittaa luultavasti siihen, että purosta on pyydetty helmiä.</w:t>
      </w:r>
    </w:p>
  </w:footnote>
  <w:footnote w:id="72">
    <w:p w14:paraId="38D50F81" w14:textId="77777777" w:rsidR="006B5BDA" w:rsidRPr="00556D76" w:rsidRDefault="006B5BDA" w:rsidP="0099245C">
      <w:pPr>
        <w:suppressAutoHyphens/>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Huom. Toisin kuin muut lähteet, Kalima merkitsee painon toiselle tavulle myös yleisvenäjän muotoon </w:t>
      </w:r>
      <w:r w:rsidRPr="00556D76">
        <w:rPr>
          <w:rFonts w:cs="Charis SIL"/>
          <w:i/>
          <w:iCs/>
          <w:sz w:val="20"/>
          <w:szCs w:val="20"/>
          <w:lang w:val="fi-FI"/>
        </w:rPr>
        <w:t>жемчу́г</w:t>
      </w:r>
      <w:r w:rsidRPr="00556D76">
        <w:rPr>
          <w:rFonts w:cs="Charis SIL"/>
          <w:sz w:val="20"/>
          <w:szCs w:val="20"/>
          <w:lang w:val="fi-FI"/>
        </w:rPr>
        <w:t>.</w:t>
      </w:r>
    </w:p>
  </w:footnote>
  <w:footnote w:id="73">
    <w:p w14:paraId="60C09A0F" w14:textId="77777777" w:rsidR="006B5BDA" w:rsidRPr="00556D76" w:rsidRDefault="006B5BDA" w:rsidP="0099245C">
      <w:pPr>
        <w:suppressAutoHyphens/>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Pohjoissaamessa sananloppuisesta klusiilista </w:t>
      </w:r>
      <w:r w:rsidRPr="00556D76">
        <w:rPr>
          <w:rFonts w:cs="Charis SIL"/>
          <w:i/>
          <w:iCs/>
          <w:sz w:val="20"/>
          <w:szCs w:val="20"/>
          <w:lang w:val="fi-FI"/>
        </w:rPr>
        <w:t>k</w:t>
      </w:r>
      <w:r w:rsidRPr="00556D76">
        <w:rPr>
          <w:rFonts w:cs="Charis SIL"/>
          <w:sz w:val="20"/>
          <w:szCs w:val="20"/>
          <w:lang w:val="fi-FI"/>
        </w:rPr>
        <w:t xml:space="preserve"> kehittyi klusiili </w:t>
      </w:r>
      <w:r w:rsidRPr="00556D76">
        <w:rPr>
          <w:rFonts w:cs="Charis SIL"/>
          <w:i/>
          <w:iCs/>
          <w:sz w:val="20"/>
          <w:szCs w:val="20"/>
          <w:lang w:val="fi-FI"/>
        </w:rPr>
        <w:t xml:space="preserve">t </w:t>
      </w:r>
      <w:r w:rsidRPr="00556D76">
        <w:rPr>
          <w:rFonts w:cs="Charis SIL"/>
          <w:sz w:val="20"/>
          <w:szCs w:val="20"/>
          <w:lang w:val="fi-FI"/>
        </w:rPr>
        <w:t>verrattain hiljattain (Korhonen 1981: 198).</w:t>
      </w:r>
    </w:p>
  </w:footnote>
  <w:footnote w:id="74">
    <w:p w14:paraId="57E31541" w14:textId="2375EDD1" w:rsidR="006B5BDA" w:rsidRPr="00556D76" w:rsidRDefault="006B5BDA" w:rsidP="0099245C">
      <w:pPr>
        <w:suppressAutoHyphens/>
        <w:spacing w:line="240" w:lineRule="auto"/>
        <w:rPr>
          <w:rFonts w:eastAsia="Times New Roman"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Itäisistä saamelaiskielistä voidaan esittää myös muita sanoja, joissa on käytetty morfologista substituutiota. Paatsjoen murteessa esiintyy sana </w:t>
      </w:r>
      <w:r w:rsidRPr="00556D76">
        <w:rPr>
          <w:rFonts w:cs="Charis SIL"/>
          <w:i/>
          <w:sz w:val="20"/>
          <w:szCs w:val="20"/>
          <w:lang w:val="fi-FI"/>
        </w:rPr>
        <w:t>šǡmšȧ̬r</w:t>
      </w:r>
      <w:r w:rsidRPr="00556D76">
        <w:rPr>
          <w:rFonts w:cs="Charis SIL"/>
          <w:sz w:val="20"/>
          <w:szCs w:val="20"/>
          <w:lang w:val="fi-FI"/>
        </w:rPr>
        <w:t xml:space="preserve"> ’vaimonlakki’, joka on lainattu venäjän samanmerkityksisestä sanasta </w:t>
      </w:r>
      <w:r w:rsidRPr="00556D76">
        <w:rPr>
          <w:rFonts w:cs="Charis SIL"/>
          <w:i/>
          <w:sz w:val="20"/>
          <w:szCs w:val="20"/>
          <w:lang w:val="fi-FI"/>
        </w:rPr>
        <w:t xml:space="preserve">шамшу́ра </w:t>
      </w:r>
      <w:r w:rsidRPr="00556D76">
        <w:rPr>
          <w:rFonts w:cs="Charis SIL"/>
          <w:sz w:val="20"/>
          <w:szCs w:val="20"/>
          <w:lang w:val="fi-FI"/>
        </w:rPr>
        <w:t>(KKLS: 544)</w:t>
      </w:r>
      <w:r w:rsidRPr="00556D76">
        <w:rPr>
          <w:rFonts w:cs="Charis SIL"/>
          <w:iCs/>
          <w:sz w:val="20"/>
          <w:szCs w:val="20"/>
          <w:lang w:val="fi-FI"/>
        </w:rPr>
        <w:t xml:space="preserve">. </w:t>
      </w:r>
      <w:r w:rsidRPr="00556D76">
        <w:rPr>
          <w:rFonts w:cs="Charis SIL"/>
          <w:sz w:val="20"/>
          <w:szCs w:val="20"/>
          <w:lang w:val="fi-FI"/>
        </w:rPr>
        <w:t xml:space="preserve">Sana on kehittynyt äänteellisesti oletuksenmukaisesti toisin kuin kirjakielessä sekä Suonikylän murteessa esiintyvä sana </w:t>
      </w:r>
      <w:r w:rsidRPr="00556D76">
        <w:rPr>
          <w:rFonts w:cs="Charis SIL"/>
          <w:i/>
          <w:sz w:val="20"/>
          <w:szCs w:val="20"/>
          <w:lang w:val="fi-FI"/>
        </w:rPr>
        <w:t>šaamšiǩ</w:t>
      </w:r>
      <w:r w:rsidRPr="00556D76">
        <w:rPr>
          <w:rFonts w:cs="Charis SIL"/>
          <w:sz w:val="20"/>
          <w:szCs w:val="20"/>
          <w:lang w:val="fi-FI"/>
        </w:rPr>
        <w:t xml:space="preserve"> </w:t>
      </w:r>
      <w:r w:rsidR="00D17301">
        <w:rPr>
          <w:rFonts w:cs="Charis SIL"/>
          <w:sz w:val="20"/>
          <w:szCs w:val="20"/>
          <w:lang w:val="fi-FI"/>
        </w:rPr>
        <w:t>id.</w:t>
      </w:r>
      <w:r w:rsidRPr="00556D76">
        <w:rPr>
          <w:rFonts w:cs="Charis SIL"/>
          <w:sz w:val="20"/>
          <w:szCs w:val="20"/>
          <w:lang w:val="fi-FI"/>
        </w:rPr>
        <w:t xml:space="preserve"> sekä kiltinänsaamen </w:t>
      </w:r>
      <w:r w:rsidRPr="00556D76">
        <w:rPr>
          <w:rFonts w:cs="Charis SIL"/>
          <w:i/>
          <w:iCs/>
          <w:sz w:val="20"/>
          <w:szCs w:val="20"/>
          <w:lang w:val="fi-FI"/>
        </w:rPr>
        <w:t>šàmš̄ɐ(ᵞ)</w:t>
      </w:r>
      <w:r w:rsidRPr="00556D76">
        <w:rPr>
          <w:rFonts w:cs="Charis SIL"/>
          <w:sz w:val="20"/>
          <w:szCs w:val="20"/>
          <w:lang w:val="fi-FI"/>
        </w:rPr>
        <w:t xml:space="preserve"> </w:t>
      </w:r>
      <w:r w:rsidR="00D17301">
        <w:rPr>
          <w:rFonts w:cs="Charis SIL"/>
          <w:sz w:val="20"/>
          <w:szCs w:val="20"/>
          <w:lang w:val="fi-FI"/>
        </w:rPr>
        <w:t>id.</w:t>
      </w:r>
      <w:r w:rsidRPr="00556D76">
        <w:rPr>
          <w:rFonts w:cs="Charis SIL"/>
          <w:sz w:val="20"/>
          <w:szCs w:val="20"/>
          <w:lang w:val="fi-FI"/>
        </w:rPr>
        <w:t xml:space="preserve"> (KKLS: 544), joiden toinen tavu viittaa morfologiseen substituutioon. Koltansaamessa esiintyy historiallinen johdin -</w:t>
      </w:r>
      <w:r w:rsidRPr="00556D76">
        <w:rPr>
          <w:rFonts w:cs="Charis SIL"/>
          <w:i/>
          <w:sz w:val="20"/>
          <w:szCs w:val="20"/>
          <w:lang w:val="fi-FI"/>
        </w:rPr>
        <w:t>iǩ</w:t>
      </w:r>
      <w:r w:rsidRPr="00556D76">
        <w:rPr>
          <w:rFonts w:cs="Charis SIL"/>
          <w:sz w:val="20"/>
          <w:szCs w:val="20"/>
          <w:lang w:val="fi-FI"/>
        </w:rPr>
        <w:t xml:space="preserve">, joka on tavallinen omaperäisen vaatesanaston, esim. </w:t>
      </w:r>
      <w:r w:rsidRPr="00556D76">
        <w:rPr>
          <w:rFonts w:cs="Charis SIL"/>
          <w:i/>
          <w:sz w:val="20"/>
          <w:szCs w:val="20"/>
          <w:lang w:val="fi-FI"/>
        </w:rPr>
        <w:t>nueʹrjiǩ</w:t>
      </w:r>
      <w:r w:rsidRPr="00556D76">
        <w:rPr>
          <w:rFonts w:cs="Charis SIL"/>
          <w:sz w:val="20"/>
          <w:szCs w:val="20"/>
          <w:lang w:val="fi-FI"/>
        </w:rPr>
        <w:t xml:space="preserve"> ’hylkeennahkakenkä’ ← </w:t>
      </w:r>
      <w:r w:rsidRPr="00556D76">
        <w:rPr>
          <w:rFonts w:cs="Charis SIL"/>
          <w:i/>
          <w:sz w:val="20"/>
          <w:szCs w:val="20"/>
          <w:lang w:val="fi-FI"/>
        </w:rPr>
        <w:t xml:space="preserve">nueʹrjj </w:t>
      </w:r>
      <w:r w:rsidRPr="00556D76">
        <w:rPr>
          <w:rFonts w:cs="Charis SIL"/>
          <w:sz w:val="20"/>
          <w:szCs w:val="20"/>
          <w:lang w:val="fi-FI"/>
        </w:rPr>
        <w:t xml:space="preserve">’hylje’, lisäksi myös lainasanoissa, esim. </w:t>
      </w:r>
      <w:r w:rsidRPr="00556D76">
        <w:rPr>
          <w:rFonts w:cs="Charis SIL"/>
          <w:i/>
          <w:iCs/>
          <w:sz w:val="20"/>
          <w:szCs w:val="20"/>
          <w:lang w:val="fi-FI"/>
        </w:rPr>
        <w:t>faardiǩ</w:t>
      </w:r>
      <w:r w:rsidRPr="00556D76">
        <w:rPr>
          <w:rFonts w:cs="Charis SIL"/>
          <w:sz w:val="20"/>
          <w:szCs w:val="20"/>
          <w:lang w:val="fi-FI"/>
        </w:rPr>
        <w:t xml:space="preserve"> ’esiliina’ (KKLS: 32) &lt; ven. </w:t>
      </w:r>
      <w:r w:rsidRPr="00556D76">
        <w:rPr>
          <w:rFonts w:cs="Charis SIL"/>
          <w:i/>
          <w:iCs/>
          <w:sz w:val="20"/>
          <w:szCs w:val="20"/>
          <w:lang w:val="fi-FI"/>
        </w:rPr>
        <w:t>фа́ртук</w:t>
      </w:r>
      <w:r w:rsidRPr="00556D76">
        <w:rPr>
          <w:rFonts w:cs="Charis SIL"/>
          <w:sz w:val="20"/>
          <w:szCs w:val="20"/>
          <w:lang w:val="fi-FI"/>
        </w:rPr>
        <w:t xml:space="preserve"> id. Kiltinänsaamen sana </w:t>
      </w:r>
      <w:r w:rsidRPr="00556D76">
        <w:rPr>
          <w:rFonts w:cs="Charis SIL"/>
          <w:i/>
          <w:iCs/>
          <w:sz w:val="20"/>
          <w:szCs w:val="20"/>
          <w:lang w:val="fi-FI"/>
        </w:rPr>
        <w:t xml:space="preserve">šàmš̄ɐ(ᵞ) </w:t>
      </w:r>
      <w:r w:rsidRPr="00556D76">
        <w:rPr>
          <w:rFonts w:cs="Charis SIL"/>
          <w:sz w:val="20"/>
          <w:szCs w:val="20"/>
          <w:lang w:val="fi-FI"/>
        </w:rPr>
        <w:t>on mukautettu historialliseen yksinäis-k:lliseen johdostyyppiin, jonka soinnillinen spirantti katosi säännönmukaisesti (ks. yllä) (vrt. *</w:t>
      </w:r>
      <w:r w:rsidRPr="00556D76">
        <w:rPr>
          <w:rFonts w:cs="Charis SIL"/>
          <w:i/>
          <w:iCs/>
          <w:sz w:val="20"/>
          <w:szCs w:val="20"/>
          <w:lang w:val="fi-FI"/>
        </w:rPr>
        <w:t xml:space="preserve">pɛ̄ne̮k </w:t>
      </w:r>
      <w:r w:rsidRPr="00556D76">
        <w:rPr>
          <w:rFonts w:cs="Charis SIL"/>
          <w:sz w:val="20"/>
          <w:szCs w:val="20"/>
          <w:lang w:val="fi-FI"/>
        </w:rPr>
        <w:t xml:space="preserve">&gt; </w:t>
      </w:r>
      <w:r w:rsidRPr="00556D76">
        <w:rPr>
          <w:rFonts w:cs="Charis SIL"/>
          <w:i/>
          <w:iCs/>
          <w:sz w:val="20"/>
          <w:szCs w:val="20"/>
          <w:lang w:val="fi-FI"/>
        </w:rPr>
        <w:t>pienneγ</w:t>
      </w:r>
      <w:r w:rsidRPr="00556D76">
        <w:rPr>
          <w:rFonts w:cs="Charis SIL"/>
          <w:sz w:val="20"/>
          <w:szCs w:val="20"/>
          <w:lang w:val="fi-FI"/>
        </w:rPr>
        <w:t xml:space="preserve"> (Genetz 1891: 1573) &gt; </w:t>
      </w:r>
      <w:r w:rsidRPr="00556D76">
        <w:rPr>
          <w:rFonts w:cs="Charis SIL"/>
          <w:i/>
          <w:iCs/>
          <w:sz w:val="20"/>
          <w:szCs w:val="20"/>
          <w:lang w:val="fi-FI"/>
        </w:rPr>
        <w:t xml:space="preserve">piennɐᵞ </w:t>
      </w:r>
      <w:r w:rsidRPr="00556D76">
        <w:rPr>
          <w:rFonts w:cs="Charis SIL"/>
          <w:sz w:val="20"/>
          <w:szCs w:val="20"/>
          <w:lang w:val="fi-FI"/>
        </w:rPr>
        <w:t xml:space="preserve">’koira’). Geminaatta-k:hon palautuva johdin puoletaan </w:t>
      </w:r>
      <w:r w:rsidR="00E33999" w:rsidRPr="00556D76">
        <w:rPr>
          <w:rFonts w:cs="Charis SIL"/>
          <w:sz w:val="20"/>
          <w:szCs w:val="20"/>
          <w:lang w:val="fi-FI"/>
        </w:rPr>
        <w:br/>
      </w:r>
      <w:r w:rsidRPr="00556D76">
        <w:rPr>
          <w:rFonts w:cs="Charis SIL"/>
          <w:sz w:val="20"/>
          <w:szCs w:val="20"/>
          <w:lang w:val="fi-FI"/>
        </w:rPr>
        <w:t>kehittyi vahvaksi soinnittomaksi velaarispirantiksi, esim. *</w:t>
      </w:r>
      <w:r w:rsidRPr="00556D76">
        <w:rPr>
          <w:rFonts w:cs="Charis SIL"/>
          <w:i/>
          <w:iCs/>
          <w:sz w:val="20"/>
          <w:szCs w:val="20"/>
          <w:lang w:val="fi-FI"/>
        </w:rPr>
        <w:t>se̮pēkkē</w:t>
      </w:r>
      <w:r w:rsidRPr="00556D76">
        <w:rPr>
          <w:rFonts w:cs="Charis SIL"/>
          <w:sz w:val="20"/>
          <w:szCs w:val="20"/>
          <w:lang w:val="fi-FI"/>
        </w:rPr>
        <w:t xml:space="preserve"> &gt; </w:t>
      </w:r>
      <w:r w:rsidRPr="00556D76">
        <w:rPr>
          <w:rFonts w:cs="Charis SIL"/>
          <w:i/>
          <w:iCs/>
          <w:sz w:val="20"/>
          <w:szCs w:val="20"/>
          <w:lang w:val="fi-FI"/>
        </w:rPr>
        <w:t>sȧ̮veχ͕</w:t>
      </w:r>
      <w:r w:rsidRPr="00556D76">
        <w:rPr>
          <w:rFonts w:cs="Charis SIL"/>
          <w:sz w:val="20"/>
          <w:szCs w:val="20"/>
          <w:lang w:val="fi-FI"/>
        </w:rPr>
        <w:t xml:space="preserve"> ’suksi’ (KKLS: 479).</w:t>
      </w:r>
    </w:p>
  </w:footnote>
  <w:footnote w:id="75">
    <w:p w14:paraId="4E19411E" w14:textId="77777777" w:rsidR="004C7142" w:rsidRPr="00556D76" w:rsidRDefault="004C7142" w:rsidP="0099245C">
      <w:pPr>
        <w:suppressAutoHyphens/>
        <w:spacing w:line="240" w:lineRule="auto"/>
        <w:rPr>
          <w:rFonts w:cs="Charis SIL"/>
          <w:sz w:val="20"/>
          <w:szCs w:val="20"/>
          <w:lang w:val="fi-FI"/>
        </w:rPr>
      </w:pPr>
      <w:r w:rsidRPr="00556D76">
        <w:rPr>
          <w:rFonts w:cs="Charis SIL"/>
          <w:sz w:val="20"/>
          <w:szCs w:val="20"/>
          <w:vertAlign w:val="superscript"/>
          <w:lang w:val="fi-FI"/>
        </w:rPr>
        <w:footnoteRef/>
      </w:r>
      <w:r w:rsidRPr="00556D76">
        <w:rPr>
          <w:rFonts w:eastAsia="Arial Unicode MS" w:cs="Charis SIL"/>
          <w:sz w:val="20"/>
          <w:szCs w:val="20"/>
          <w:lang w:val="fi-FI"/>
        </w:rPr>
        <w:t xml:space="preserve"> Artikkeli pohjautuu Kautokeinossa Saamen opettamisen konferenssissa (Sámi oahpahuskonferánsa) 2017 pitämääni esitelmään </w:t>
      </w:r>
      <w:r w:rsidRPr="00556D76">
        <w:rPr>
          <w:rFonts w:eastAsia="Arial Unicode MS" w:cs="Charis SIL"/>
          <w:i/>
          <w:iCs/>
          <w:sz w:val="20"/>
          <w:szCs w:val="20"/>
          <w:lang w:val="fi-FI"/>
        </w:rPr>
        <w:t>Giellahistorjá veahkkin giellaoahpahussii</w:t>
      </w:r>
      <w:r w:rsidRPr="00556D76">
        <w:rPr>
          <w:rFonts w:eastAsia="Arial Unicode MS" w:cs="Charis SIL"/>
          <w:sz w:val="20"/>
          <w:szCs w:val="20"/>
          <w:lang w:val="fi-FI"/>
        </w:rPr>
        <w:t xml:space="preserve"> ’Kielihistoria avuksi kielenopetukseen’.</w:t>
      </w:r>
    </w:p>
  </w:footnote>
  <w:footnote w:id="76">
    <w:p w14:paraId="71777795" w14:textId="67727DBB" w:rsidR="00C60F2E" w:rsidRPr="00556D76" w:rsidRDefault="00C60F2E" w:rsidP="0099245C">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eastAsia="Charis SIL" w:cs="Charis SIL"/>
          <w:sz w:val="20"/>
          <w:szCs w:val="20"/>
          <w:u w:color="000000"/>
          <w:lang w:val="fi-FI"/>
        </w:rPr>
        <w:t xml:space="preserve"> Saamen ja itämerensuomen sukulaisuussuhteen luonteesta on keskusteltu 2010-luvulla ja yhtenäisen suomalais-saamelaisen kantakielen olemassaoloa on kritisoitu. Sen sijaan saame ja itämerensuomi niputetaan yhteen mordvalaiskielten kanssa länsiuralilaiseksi kantakieleksi. Kuitenkin itämerensuomalais-saamelainen kielialue tiiviine kontakteineen puoltaa edelleen paikkaansa (Aikio 2012: 67–70)</w:t>
      </w:r>
      <w:r w:rsidR="00A75644" w:rsidRPr="00556D76">
        <w:rPr>
          <w:rFonts w:eastAsia="Charis SIL" w:cs="Charis SIL"/>
          <w:sz w:val="20"/>
          <w:szCs w:val="20"/>
          <w:u w:color="000000"/>
          <w:lang w:val="fi-FI"/>
        </w:rPr>
        <w:t>.</w:t>
      </w:r>
    </w:p>
  </w:footnote>
  <w:footnote w:id="77">
    <w:p w14:paraId="0F3386A5" w14:textId="77777777" w:rsidR="00C60F2E" w:rsidRPr="00556D76" w:rsidRDefault="00C60F2E" w:rsidP="0099245C">
      <w:pPr>
        <w:suppressAutoHyphens/>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Aikio (2007) kutsuu ilmiötä </w:t>
      </w:r>
      <w:r w:rsidRPr="00556D76">
        <w:rPr>
          <w:rFonts w:eastAsia="Charis SIL" w:cs="Charis SIL"/>
          <w:i/>
          <w:iCs/>
          <w:sz w:val="20"/>
          <w:szCs w:val="20"/>
          <w:lang w:val="fi-FI"/>
        </w:rPr>
        <w:t>etymologiseksi nativisaatioksi</w:t>
      </w:r>
    </w:p>
  </w:footnote>
  <w:footnote w:id="78">
    <w:p w14:paraId="46C110A1" w14:textId="77777777" w:rsidR="00C60F2E" w:rsidRPr="00556D76" w:rsidRDefault="00C60F2E" w:rsidP="0099245C">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eastAsia="Charis SIL" w:cs="Charis SIL"/>
          <w:sz w:val="20"/>
          <w:szCs w:val="20"/>
          <w:u w:color="000000"/>
          <w:lang w:val="fi-FI"/>
        </w:rPr>
        <w:t xml:space="preserve"> Myös muiden suomensukuisten kielten oppijoilla, kuten vironopiskelijoilla, voi olla samoja taipumuksia soveltaa germaanisia kieliä (refereen esittämä huomio), mutta niitä koskevista tutkimuksista ei minulla ole tarkempaa tietoa.</w:t>
      </w:r>
    </w:p>
  </w:footnote>
  <w:footnote w:id="79">
    <w:p w14:paraId="77A7BC2A" w14:textId="67FFFAFE" w:rsidR="00C60F2E" w:rsidRPr="00556D76" w:rsidRDefault="00C60F2E" w:rsidP="0099245C">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eastAsia="Charis SIL" w:cs="Charis SIL"/>
          <w:sz w:val="20"/>
          <w:szCs w:val="20"/>
          <w:u w:color="000000"/>
          <w:lang w:val="fi-FI"/>
        </w:rPr>
        <w:t xml:space="preserve"> Olthuis ym. kutsuvat äidinkielisiä L1- ja ei-äidinkielisiä L2-puhujiksi, mutta koska määrittelen tässä L2:n eri tavalla kuin Olthuis ym., käytän nimityksiä </w:t>
      </w:r>
      <w:r w:rsidR="00E33999" w:rsidRPr="00556D76">
        <w:rPr>
          <w:rFonts w:eastAsia="Charis SIL" w:cs="Charis SIL"/>
          <w:sz w:val="20"/>
          <w:szCs w:val="20"/>
          <w:u w:color="000000"/>
          <w:lang w:val="fi-FI"/>
        </w:rPr>
        <w:br/>
      </w:r>
      <w:r w:rsidRPr="00556D76">
        <w:rPr>
          <w:rFonts w:eastAsia="Charis SIL" w:cs="Charis SIL"/>
          <w:sz w:val="20"/>
          <w:szCs w:val="20"/>
          <w:u w:color="000000"/>
          <w:lang w:val="fi-FI"/>
        </w:rPr>
        <w:t>äidinkielinen ja ei-äidinkielinen.</w:t>
      </w:r>
    </w:p>
  </w:footnote>
  <w:footnote w:id="80">
    <w:p w14:paraId="78EA82A0" w14:textId="77777777" w:rsidR="00C60F2E" w:rsidRPr="00556D76" w:rsidRDefault="00C60F2E" w:rsidP="00E33999">
      <w:pPr>
        <w:spacing w:line="240" w:lineRule="auto"/>
        <w:rPr>
          <w:rFonts w:cs="Charis SIL"/>
          <w:sz w:val="20"/>
          <w:szCs w:val="20"/>
          <w:lang w:val="fi-FI"/>
        </w:rPr>
      </w:pPr>
      <w:r w:rsidRPr="00556D76">
        <w:rPr>
          <w:rFonts w:eastAsia="Charis SIL" w:cs="Charis SIL"/>
          <w:iCs/>
          <w:sz w:val="20"/>
          <w:szCs w:val="20"/>
          <w:vertAlign w:val="superscript"/>
          <w:lang w:val="fi-FI"/>
        </w:rPr>
        <w:footnoteRef/>
      </w:r>
      <w:r w:rsidRPr="00556D76">
        <w:rPr>
          <w:rFonts w:eastAsia="Charis SIL" w:cs="Charis SIL"/>
          <w:sz w:val="20"/>
          <w:szCs w:val="20"/>
          <w:u w:color="000000"/>
          <w:lang w:val="fi-FI"/>
        </w:rPr>
        <w:t xml:space="preserve"> Todennäköisesti verbi </w:t>
      </w:r>
      <w:r w:rsidRPr="00556D76">
        <w:rPr>
          <w:rFonts w:eastAsia="Charis SIL" w:cs="Charis SIL"/>
          <w:i/>
          <w:iCs/>
          <w:sz w:val="20"/>
          <w:szCs w:val="20"/>
          <w:u w:color="000000"/>
          <w:lang w:val="fi-FI"/>
        </w:rPr>
        <w:t>oamastit</w:t>
      </w:r>
      <w:r w:rsidRPr="00556D76">
        <w:rPr>
          <w:rFonts w:eastAsia="Charis SIL" w:cs="Charis SIL"/>
          <w:sz w:val="20"/>
          <w:szCs w:val="20"/>
          <w:u w:color="000000"/>
          <w:lang w:val="fi-FI"/>
        </w:rPr>
        <w:t xml:space="preserve"> haetaan sanakirjasta kohdasta ’omistaa’.</w:t>
      </w:r>
    </w:p>
  </w:footnote>
  <w:footnote w:id="81">
    <w:p w14:paraId="59649CCC" w14:textId="77777777" w:rsidR="005913BE" w:rsidRPr="00556D76" w:rsidRDefault="005913BE" w:rsidP="0099245C">
      <w:pPr>
        <w:suppressAutoHyphens/>
        <w:spacing w:line="240" w:lineRule="auto"/>
        <w:rPr>
          <w:rFonts w:cs="Charis SIL"/>
          <w:i/>
          <w:iCs/>
          <w:sz w:val="20"/>
          <w:szCs w:val="20"/>
          <w:lang w:val="en-IE"/>
        </w:rPr>
      </w:pPr>
      <w:r w:rsidRPr="00556D76">
        <w:rPr>
          <w:rFonts w:cs="Charis SIL"/>
          <w:iCs/>
          <w:sz w:val="20"/>
          <w:szCs w:val="20"/>
          <w:vertAlign w:val="superscript"/>
          <w:lang w:val="en-IE"/>
        </w:rPr>
        <w:footnoteRef/>
      </w:r>
      <w:r w:rsidRPr="00556D76">
        <w:rPr>
          <w:rFonts w:cs="Charis SIL"/>
          <w:i/>
          <w:iCs/>
          <w:sz w:val="20"/>
          <w:szCs w:val="20"/>
          <w:lang w:val="en-IE"/>
        </w:rPr>
        <w:t xml:space="preserve"> </w:t>
      </w:r>
      <w:hyperlink r:id="rId24" w:history="1">
        <w:r w:rsidRPr="00556D76">
          <w:rPr>
            <w:rStyle w:val="AuthorsChar"/>
            <w:rFonts w:ascii="Cambria" w:hAnsi="Cambria" w:cs="Charis SIL"/>
            <w:i w:val="0"/>
            <w:iCs/>
            <w:color w:val="auto"/>
            <w:sz w:val="20"/>
            <w:szCs w:val="20"/>
            <w:u w:val="single"/>
            <w:lang w:val="en-IE"/>
          </w:rPr>
          <w:t>www.ethnologue.com/guides/how-many-languages</w:t>
        </w:r>
      </w:hyperlink>
    </w:p>
  </w:footnote>
  <w:footnote w:id="82">
    <w:p w14:paraId="03E02823" w14:textId="77777777" w:rsidR="005913BE" w:rsidRPr="00556D76" w:rsidRDefault="005913BE" w:rsidP="0099245C">
      <w:pPr>
        <w:suppressAutoHyphens/>
        <w:spacing w:line="240" w:lineRule="auto"/>
        <w:rPr>
          <w:rFonts w:cs="Charis SIL"/>
          <w:i/>
          <w:iCs/>
          <w:sz w:val="20"/>
          <w:szCs w:val="20"/>
          <w:lang w:val="en-IE"/>
        </w:rPr>
      </w:pPr>
      <w:r w:rsidRPr="00556D76">
        <w:rPr>
          <w:rFonts w:cs="Charis SIL"/>
          <w:iCs/>
          <w:sz w:val="20"/>
          <w:szCs w:val="20"/>
          <w:vertAlign w:val="superscript"/>
          <w:lang w:val="en-IE"/>
        </w:rPr>
        <w:footnoteRef/>
      </w:r>
      <w:r w:rsidRPr="00556D76">
        <w:rPr>
          <w:rFonts w:cs="Charis SIL"/>
          <w:i/>
          <w:iCs/>
          <w:sz w:val="20"/>
          <w:szCs w:val="20"/>
          <w:lang w:val="en-IE"/>
        </w:rPr>
        <w:t xml:space="preserve"> </w:t>
      </w:r>
      <w:hyperlink r:id="rId25" w:history="1">
        <w:r w:rsidRPr="00556D76">
          <w:rPr>
            <w:rStyle w:val="AuthorsChar"/>
            <w:rFonts w:ascii="Cambria" w:hAnsi="Cambria" w:cs="Charis SIL"/>
            <w:i w:val="0"/>
            <w:iCs/>
            <w:color w:val="auto"/>
            <w:sz w:val="20"/>
            <w:szCs w:val="20"/>
            <w:u w:val="single"/>
            <w:lang w:val="en-IE"/>
          </w:rPr>
          <w:t>rosettaproject.org/projects/300-languages/languages</w:t>
        </w:r>
      </w:hyperlink>
    </w:p>
  </w:footnote>
  <w:footnote w:id="83">
    <w:p w14:paraId="49707B04" w14:textId="77777777"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26" w:history="1">
        <w:r w:rsidRPr="00556D76">
          <w:rPr>
            <w:rStyle w:val="Hyperlink"/>
            <w:rFonts w:eastAsia="Calibri" w:cs="Charis SIL"/>
            <w:color w:val="auto"/>
            <w:sz w:val="20"/>
            <w:szCs w:val="20"/>
            <w:lang w:val="en-IE" w:eastAsia="en-GB"/>
          </w:rPr>
          <w:t>w3techs.com/technologies/history_overview/content_language/ms/y</w:t>
        </w:r>
      </w:hyperlink>
    </w:p>
  </w:footnote>
  <w:footnote w:id="84">
    <w:p w14:paraId="7B2C1A0C" w14:textId="2054AFF2" w:rsidR="005913BE" w:rsidRPr="00556D76" w:rsidRDefault="005913BE" w:rsidP="00C41E30">
      <w:pPr>
        <w:suppressAutoHyphens/>
        <w:spacing w:line="240" w:lineRule="auto"/>
        <w:jc w:val="left"/>
        <w:rPr>
          <w:rFonts w:cs="Charis SIL"/>
          <w:i/>
          <w:iCs/>
          <w:sz w:val="20"/>
          <w:szCs w:val="20"/>
          <w:lang w:val="en-IE"/>
        </w:rPr>
      </w:pPr>
      <w:r w:rsidRPr="00556D76">
        <w:rPr>
          <w:rFonts w:cs="Charis SIL"/>
          <w:iCs/>
          <w:sz w:val="20"/>
          <w:szCs w:val="20"/>
          <w:vertAlign w:val="superscript"/>
          <w:lang w:val="en-IE"/>
        </w:rPr>
        <w:footnoteRef/>
      </w:r>
      <w:r w:rsidRPr="00556D76">
        <w:rPr>
          <w:rFonts w:cs="Charis SIL"/>
          <w:i/>
          <w:iCs/>
          <w:sz w:val="20"/>
          <w:szCs w:val="20"/>
          <w:lang w:val="en-IE"/>
        </w:rPr>
        <w:t xml:space="preserve"> </w:t>
      </w:r>
      <w:hyperlink r:id="rId27" w:history="1">
        <w:r w:rsidRPr="00556D76">
          <w:rPr>
            <w:rStyle w:val="AuthorsChar"/>
            <w:rFonts w:ascii="Cambria" w:hAnsi="Cambria" w:cs="Charis SIL"/>
            <w:i w:val="0"/>
            <w:iCs/>
            <w:color w:val="auto"/>
            <w:sz w:val="20"/>
            <w:szCs w:val="20"/>
            <w:u w:val="single"/>
            <w:lang w:val="en-IE"/>
          </w:rPr>
          <w:t>haridus.archimedes.ee/sites/default/files/Dokumendid/</w:t>
        </w:r>
        <w:r w:rsidR="00312ECF" w:rsidRPr="00556D76">
          <w:rPr>
            <w:rStyle w:val="AuthorsChar"/>
            <w:rFonts w:ascii="Cambria" w:hAnsi="Cambria" w:cs="Charis SIL"/>
            <w:i w:val="0"/>
            <w:iCs/>
            <w:color w:val="auto"/>
            <w:sz w:val="20"/>
            <w:szCs w:val="20"/>
            <w:u w:val="single"/>
            <w:lang w:val="en-IE"/>
          </w:rPr>
          <w:br/>
        </w:r>
        <w:r w:rsidRPr="00556D76">
          <w:rPr>
            <w:rStyle w:val="AuthorsChar"/>
            <w:rFonts w:ascii="Cambria" w:hAnsi="Cambria" w:cs="Charis SIL"/>
            <w:i w:val="0"/>
            <w:iCs/>
            <w:color w:val="auto"/>
            <w:sz w:val="20"/>
            <w:szCs w:val="20"/>
            <w:u w:val="single"/>
            <w:lang w:val="en-IE"/>
          </w:rPr>
          <w:t>EKKAV</w:t>
        </w:r>
        <w:r w:rsidR="00151C8A" w:rsidRPr="00556D76">
          <w:rPr>
            <w:rStyle w:val="AuthorsChar"/>
            <w:rFonts w:ascii="Cambria" w:hAnsi="Cambria" w:cs="Charis SIL"/>
            <w:i w:val="0"/>
            <w:iCs/>
            <w:color w:val="auto"/>
            <w:sz w:val="20"/>
            <w:szCs w:val="20"/>
            <w:u w:val="single"/>
            <w:lang w:val="en-IE"/>
          </w:rPr>
          <w:t xml:space="preserve"> </w:t>
        </w:r>
        <w:r w:rsidRPr="00556D76">
          <w:rPr>
            <w:rStyle w:val="AuthorsChar"/>
            <w:rFonts w:ascii="Cambria" w:hAnsi="Cambria" w:cs="Charis SIL"/>
            <w:i w:val="0"/>
            <w:iCs/>
            <w:color w:val="auto"/>
            <w:sz w:val="20"/>
            <w:szCs w:val="20"/>
            <w:u w:val="single"/>
            <w:lang w:val="en-IE"/>
          </w:rPr>
          <w:t>2018-2027.pdf</w:t>
        </w:r>
      </w:hyperlink>
    </w:p>
  </w:footnote>
  <w:footnote w:id="85">
    <w:p w14:paraId="65F03724" w14:textId="77777777" w:rsidR="005913BE" w:rsidRPr="00556D76" w:rsidRDefault="005913BE" w:rsidP="0099245C">
      <w:pPr>
        <w:suppressAutoHyphens/>
        <w:spacing w:line="240" w:lineRule="auto"/>
        <w:rPr>
          <w:rFonts w:cs="Charis SIL"/>
          <w:i/>
          <w:iCs/>
          <w:sz w:val="20"/>
          <w:szCs w:val="20"/>
          <w:lang w:val="en-IE"/>
        </w:rPr>
      </w:pPr>
      <w:r w:rsidRPr="00556D76">
        <w:rPr>
          <w:rFonts w:cs="Charis SIL"/>
          <w:iCs/>
          <w:sz w:val="20"/>
          <w:szCs w:val="20"/>
          <w:vertAlign w:val="superscript"/>
          <w:lang w:val="en-IE"/>
        </w:rPr>
        <w:footnoteRef/>
      </w:r>
      <w:r w:rsidRPr="00556D76">
        <w:rPr>
          <w:rFonts w:cs="Charis SIL"/>
          <w:i/>
          <w:iCs/>
          <w:sz w:val="20"/>
          <w:szCs w:val="20"/>
          <w:lang w:val="en-IE"/>
        </w:rPr>
        <w:t xml:space="preserve"> </w:t>
      </w:r>
      <w:hyperlink r:id="rId28" w:history="1">
        <w:r w:rsidRPr="00556D76">
          <w:rPr>
            <w:rStyle w:val="AuthorsChar"/>
            <w:rFonts w:ascii="Cambria" w:hAnsi="Cambria" w:cs="Charis SIL"/>
            <w:i w:val="0"/>
            <w:iCs/>
            <w:color w:val="auto"/>
            <w:sz w:val="20"/>
            <w:szCs w:val="20"/>
            <w:u w:val="single"/>
            <w:lang w:val="en-IE"/>
          </w:rPr>
          <w:t>www.stat.ee/et/uudised/eesti-elanikud-raagivad-231-eri-emakeelt</w:t>
        </w:r>
      </w:hyperlink>
    </w:p>
  </w:footnote>
  <w:footnote w:id="86">
    <w:p w14:paraId="4B8058CA" w14:textId="77777777"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29" w:history="1">
        <w:r w:rsidRPr="00556D76">
          <w:rPr>
            <w:rStyle w:val="AuthorsChar"/>
            <w:rFonts w:ascii="Cambria" w:hAnsi="Cambria" w:cs="Charis SIL"/>
            <w:i w:val="0"/>
            <w:iCs/>
            <w:color w:val="auto"/>
            <w:sz w:val="20"/>
            <w:szCs w:val="20"/>
            <w:u w:val="single"/>
            <w:lang w:val="en-IE"/>
          </w:rPr>
          <w:t>news.err.ee/1608183802/</w:t>
        </w:r>
      </w:hyperlink>
    </w:p>
  </w:footnote>
  <w:footnote w:id="87">
    <w:p w14:paraId="15DB08C3" w14:textId="77777777"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0" w:history="1">
        <w:r w:rsidRPr="00556D76">
          <w:rPr>
            <w:rStyle w:val="AuthorsChar"/>
            <w:rFonts w:ascii="Cambria" w:hAnsi="Cambria" w:cs="Charis SIL"/>
            <w:i w:val="0"/>
            <w:iCs/>
            <w:color w:val="auto"/>
            <w:sz w:val="20"/>
            <w:szCs w:val="20"/>
            <w:u w:val="single"/>
            <w:lang w:val="en-IE"/>
          </w:rPr>
          <w:t>www.stat.ee/et/uudised/eesti-elanikud-raagivad-231-eri-emakeelt</w:t>
        </w:r>
      </w:hyperlink>
    </w:p>
  </w:footnote>
  <w:footnote w:id="88">
    <w:p w14:paraId="0EEBF058" w14:textId="79293DEC" w:rsidR="005913BE" w:rsidRPr="00556D76" w:rsidRDefault="005913BE" w:rsidP="001F384E">
      <w:pPr>
        <w:spacing w:line="240" w:lineRule="auto"/>
        <w:jc w:val="left"/>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1" w:history="1">
        <w:r w:rsidR="00675642" w:rsidRPr="00556D76">
          <w:rPr>
            <w:rStyle w:val="Hyperlink"/>
            <w:rFonts w:eastAsia="Calibri" w:cs="Charis SIL"/>
            <w:color w:val="auto"/>
            <w:sz w:val="20"/>
            <w:szCs w:val="20"/>
            <w:lang w:val="en-IE" w:eastAsia="en-GB"/>
          </w:rPr>
          <w:t>www.hm.ee/sites/default/files/</w:t>
        </w:r>
        <w:r w:rsidR="00675642" w:rsidRPr="00556D76">
          <w:rPr>
            <w:rStyle w:val="Hyperlink"/>
            <w:rFonts w:eastAsia="Calibri" w:cs="Charis SIL"/>
            <w:color w:val="auto"/>
            <w:sz w:val="20"/>
            <w:szCs w:val="20"/>
            <w:lang w:val="en-IE" w:eastAsia="en-GB"/>
          </w:rPr>
          <w:br/>
          <w:t>eesti_keele_arengukava_2021-2035_29.10.2020_riigikogusse.pdf</w:t>
        </w:r>
      </w:hyperlink>
    </w:p>
  </w:footnote>
  <w:footnote w:id="89">
    <w:p w14:paraId="0C7008BC" w14:textId="6564ABCD"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2" w:history="1">
        <w:r w:rsidRPr="00556D76">
          <w:rPr>
            <w:rStyle w:val="Hyperlink"/>
            <w:rFonts w:eastAsia="Calibri" w:cs="Charis SIL"/>
            <w:color w:val="auto"/>
            <w:sz w:val="20"/>
            <w:szCs w:val="20"/>
            <w:lang w:val="en-IE" w:eastAsia="en-GB"/>
          </w:rPr>
          <w:t>www.ut.ee/en/university/general/history</w:t>
        </w:r>
      </w:hyperlink>
    </w:p>
  </w:footnote>
  <w:footnote w:id="90">
    <w:p w14:paraId="410BC094" w14:textId="089A8A5C"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3" w:history="1">
        <w:r w:rsidRPr="00556D76">
          <w:rPr>
            <w:rStyle w:val="Hyperlink"/>
            <w:rFonts w:eastAsia="Calibri" w:cs="Charis SIL"/>
            <w:color w:val="auto"/>
            <w:sz w:val="20"/>
            <w:szCs w:val="20"/>
            <w:lang w:val="en-IE" w:eastAsia="en-GB"/>
          </w:rPr>
          <w:t>www.haridussilm.ee/ee/tasemeharidus/haridusliigid/korgharidus/uliopilased</w:t>
        </w:r>
      </w:hyperlink>
    </w:p>
  </w:footnote>
  <w:footnote w:id="91">
    <w:p w14:paraId="7AE7D503" w14:textId="183D8B37"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4" w:history="1">
        <w:r w:rsidR="00151C8A" w:rsidRPr="00556D76">
          <w:rPr>
            <w:rStyle w:val="Hyperlink"/>
            <w:rFonts w:cs="Charis SIL"/>
            <w:color w:val="auto"/>
            <w:sz w:val="20"/>
            <w:szCs w:val="20"/>
            <w:lang w:val="en-IE"/>
          </w:rPr>
          <w:t>www.arene.fi/wp-content/uploads/Raportit/2020/Ulkomaalaiset opiskelijat Suomen korkeakouluissa raportti.pdf</w:t>
        </w:r>
      </w:hyperlink>
    </w:p>
  </w:footnote>
  <w:footnote w:id="92">
    <w:p w14:paraId="2AE3DFD5" w14:textId="77777777" w:rsidR="005913BE" w:rsidRPr="00556D76" w:rsidRDefault="005913BE"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i/>
          <w:iCs/>
          <w:sz w:val="20"/>
          <w:szCs w:val="20"/>
          <w:lang w:val="en-IE"/>
        </w:rPr>
        <w:t xml:space="preserve"> </w:t>
      </w:r>
      <w:hyperlink r:id="rId35" w:history="1">
        <w:r w:rsidRPr="00556D76">
          <w:rPr>
            <w:rStyle w:val="AuthorsChar"/>
            <w:rFonts w:ascii="Cambria" w:hAnsi="Cambria" w:cs="Charis SIL"/>
            <w:i w:val="0"/>
            <w:iCs/>
            <w:color w:val="auto"/>
            <w:sz w:val="20"/>
            <w:szCs w:val="20"/>
            <w:u w:val="single"/>
            <w:lang w:val="en-IE"/>
          </w:rPr>
          <w:t>tartu.postimees.ee/7072457/</w:t>
        </w:r>
      </w:hyperlink>
    </w:p>
  </w:footnote>
  <w:footnote w:id="93">
    <w:p w14:paraId="030EBF15" w14:textId="51FD857C" w:rsidR="005913BE" w:rsidRPr="00556D76" w:rsidRDefault="005913BE" w:rsidP="00C41E30">
      <w:pPr>
        <w:spacing w:line="240" w:lineRule="auto"/>
        <w:jc w:val="left"/>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6" w:history="1">
        <w:r w:rsidR="00312ECF" w:rsidRPr="00556D76">
          <w:rPr>
            <w:rStyle w:val="Hyperlink"/>
            <w:rFonts w:eastAsia="Calibri" w:cs="Charis SIL"/>
            <w:color w:val="auto"/>
            <w:sz w:val="20"/>
            <w:szCs w:val="20"/>
            <w:lang w:val="en-IE" w:eastAsia="en-GB"/>
          </w:rPr>
          <w:t>www.hm.ee/sites/default/files/</w:t>
        </w:r>
        <w:r w:rsidR="00312ECF" w:rsidRPr="00556D76">
          <w:rPr>
            <w:rStyle w:val="Hyperlink"/>
            <w:rFonts w:eastAsia="Calibri" w:cs="Charis SIL"/>
            <w:color w:val="auto"/>
            <w:sz w:val="20"/>
            <w:szCs w:val="20"/>
            <w:lang w:val="en-IE" w:eastAsia="en-GB"/>
          </w:rPr>
          <w:br/>
          <w:t>6_korghar_progr_2020-23_seletuskiri_dets19.docx.pdf</w:t>
        </w:r>
      </w:hyperlink>
    </w:p>
  </w:footnote>
  <w:footnote w:id="94">
    <w:p w14:paraId="67C52DCB" w14:textId="22037E67"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7" w:history="1">
        <w:r w:rsidRPr="00556D76">
          <w:rPr>
            <w:rStyle w:val="Hyperlink"/>
            <w:rFonts w:eastAsia="Calibri" w:cs="Charis SIL"/>
            <w:color w:val="auto"/>
            <w:sz w:val="20"/>
            <w:szCs w:val="20"/>
            <w:lang w:val="en-IE" w:eastAsia="en-GB"/>
          </w:rPr>
          <w:t>www.euas.eu</w:t>
        </w:r>
      </w:hyperlink>
    </w:p>
  </w:footnote>
  <w:footnote w:id="95">
    <w:p w14:paraId="127AA230" w14:textId="77777777" w:rsidR="005913BE" w:rsidRPr="00556D76" w:rsidRDefault="005913BE" w:rsidP="0099245C">
      <w:pPr>
        <w:suppressAutoHyphens/>
        <w:spacing w:line="240" w:lineRule="auto"/>
        <w:rPr>
          <w:rFonts w:cs="Charis SIL"/>
          <w:i/>
          <w:iCs/>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38" w:history="1">
        <w:r w:rsidRPr="00556D76">
          <w:rPr>
            <w:rStyle w:val="AuthorsChar"/>
            <w:rFonts w:ascii="Cambria" w:hAnsi="Cambria" w:cs="Charis SIL"/>
            <w:i w:val="0"/>
            <w:iCs/>
            <w:color w:val="auto"/>
            <w:sz w:val="20"/>
            <w:szCs w:val="20"/>
            <w:u w:val="single"/>
            <w:lang w:val="en-IE"/>
          </w:rPr>
          <w:t>news.err.ee/994875/</w:t>
        </w:r>
      </w:hyperlink>
    </w:p>
  </w:footnote>
  <w:footnote w:id="96">
    <w:p w14:paraId="05ACC2F7" w14:textId="6C8DBF2E"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Tuition fees for foreign-language master’s programmes in humanities: </w:t>
      </w:r>
      <w:hyperlink r:id="rId39" w:history="1">
        <w:r w:rsidR="008D0352" w:rsidRPr="00556D76">
          <w:rPr>
            <w:rStyle w:val="Hyperlink"/>
            <w:rFonts w:cs="Charis SIL"/>
            <w:color w:val="auto"/>
            <w:sz w:val="20"/>
            <w:szCs w:val="20"/>
            <w:lang w:val="en-IE"/>
          </w:rPr>
          <w:t>sotsiaalteadused.ut.ee/et/sisu/voorkeelsed-oppekavad</w:t>
        </w:r>
      </w:hyperlink>
    </w:p>
  </w:footnote>
  <w:footnote w:id="97">
    <w:p w14:paraId="4FC021B2" w14:textId="35AA8200"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40" w:history="1">
        <w:r w:rsidRPr="00556D76">
          <w:rPr>
            <w:rStyle w:val="Hyperlink"/>
            <w:rFonts w:eastAsia="Calibri" w:cs="Charis SIL"/>
            <w:color w:val="auto"/>
            <w:sz w:val="20"/>
            <w:szCs w:val="20"/>
            <w:lang w:val="en-IE" w:eastAsia="en-GB"/>
          </w:rPr>
          <w:t>www.hm.ee/et/tegevused/eesti-keel-ja-voorkeeled/programmid</w:t>
        </w:r>
      </w:hyperlink>
    </w:p>
  </w:footnote>
  <w:footnote w:id="98">
    <w:p w14:paraId="18D98AB3" w14:textId="77777777"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For more information see </w:t>
      </w:r>
      <w:hyperlink r:id="rId41" w:history="1">
        <w:r w:rsidRPr="00556D76">
          <w:rPr>
            <w:rStyle w:val="AuthorsChar"/>
            <w:rFonts w:ascii="Cambria" w:hAnsi="Cambria" w:cs="Charis SIL"/>
            <w:i w:val="0"/>
            <w:iCs/>
            <w:color w:val="auto"/>
            <w:sz w:val="20"/>
            <w:szCs w:val="20"/>
            <w:u w:val="single"/>
            <w:lang w:val="en-IE"/>
          </w:rPr>
          <w:t>arvamus.postimees.ee/6520040</w:t>
        </w:r>
      </w:hyperlink>
    </w:p>
  </w:footnote>
  <w:footnote w:id="99">
    <w:p w14:paraId="6CAAB11E" w14:textId="77777777" w:rsidR="005913BE" w:rsidRPr="00556D76" w:rsidRDefault="005913BE"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42" w:history="1">
        <w:r w:rsidRPr="00556D76">
          <w:rPr>
            <w:rStyle w:val="AuthorsChar"/>
            <w:rFonts w:ascii="Cambria" w:hAnsi="Cambria" w:cs="Charis SIL"/>
            <w:i w:val="0"/>
            <w:iCs/>
            <w:color w:val="auto"/>
            <w:sz w:val="20"/>
            <w:szCs w:val="20"/>
            <w:u w:val="single"/>
            <w:lang w:val="en-IE"/>
          </w:rPr>
          <w:t>www.sirp.ee/s1-artiklid/c21-teadus/eestikeelse-akadeemilise-tooturu-kriis/</w:t>
        </w:r>
      </w:hyperlink>
    </w:p>
  </w:footnote>
  <w:footnote w:id="100">
    <w:p w14:paraId="55B82C52"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A ht (határon túli) nyelvváltozatok sajátos szókincsrétegébe a magyarországi magyar szókincstől a kontaktushatás következtében létrejött különbözőségek, másságok, a Trianon utáni nyelvi szétfejlődést reprezentáló szókészleti elemek és más eltérések, pl. a régi (táj)szavak tartoznak bele (Lanstyák 2006, Kolláth 2005, 2007, Benő – Péntek 2011, Pintér 2017 in passim).</w:t>
      </w:r>
    </w:p>
  </w:footnote>
  <w:footnote w:id="101">
    <w:p w14:paraId="1589362F" w14:textId="73293C80"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Ez még a külső régiós egyetemi tanszékek és kutatóhelyek hálózattá alakulása előtt történt, 2003-ban jelent meg az ÉKsz.</w:t>
      </w:r>
    </w:p>
  </w:footnote>
  <w:footnote w:id="102">
    <w:p w14:paraId="4BF06E3C"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A rövidítések az egyes régiók felségjelei a szótárban.</w:t>
      </w:r>
    </w:p>
  </w:footnote>
  <w:footnote w:id="103">
    <w:p w14:paraId="61C1C05F"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Az is-ek arra utalnak, hogy a kölcsönszók egy része természetesen több fogalomkörbe is besorolható, ezt az adott szócikk mindig jelöli is.</w:t>
      </w:r>
    </w:p>
  </w:footnote>
  <w:footnote w:id="104">
    <w:p w14:paraId="60FDEEC7"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Erről részletesebben pl. Kolláth 2016, Veszelszki 2013.</w:t>
      </w:r>
    </w:p>
  </w:footnote>
  <w:footnote w:id="105">
    <w:p w14:paraId="08BE2236"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A kölcsönszó utáni zárójelben a szótárban szereplő példamondat van megadva. A példamondatok típusát is jelöli a szótár. Terjedelmi korlátok a szótár online jellegéből következően nincsenek, akár szövegdarabok is bekerülhetnek a szócikkbe, ha információs értékük elég intenzív. A „legértékesebbek” a hiteles beszélt vagy írott formák, ezek teszik ugyanis igazán alkalmassá a szótárt interdiszciplináris megközelítésekre is.</w:t>
      </w:r>
    </w:p>
  </w:footnote>
  <w:footnote w:id="106">
    <w:p w14:paraId="013323E6"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A szlovénba is más nyelvből bekerült idegen szó etimonú kölcsönszók a továbbiakban akár külön csoportot is képezhetnek a rendszerben.</w:t>
      </w:r>
    </w:p>
  </w:footnote>
  <w:footnote w:id="107">
    <w:p w14:paraId="21F4DD76"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Az élő írásváltozato(ka)t a szótár rögzíti.</w:t>
      </w:r>
    </w:p>
  </w:footnote>
  <w:footnote w:id="108">
    <w:p w14:paraId="49E0C678"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A felségjelek feloldása e tanulmány 2. pontjában olvasható.</w:t>
      </w:r>
    </w:p>
  </w:footnote>
  <w:footnote w:id="109">
    <w:p w14:paraId="4F2ABD53" w14:textId="77777777" w:rsidR="005E68D9" w:rsidRPr="00556D76" w:rsidRDefault="005E68D9" w:rsidP="0099245C">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Hozzá kell tenni feltétlenül, hogy a szócikkeket ma már képekkel, fotókkal illusztráljuk, sőt hamarosan hangfelvételek is állnak majd a szótár használóinak rendelkezésére – még szemléletesebbé, jobban hasznosíthatóvá téve ezzel mindazt a gazdag információrendszert, amit a szótár tartalmaz.</w:t>
      </w:r>
    </w:p>
  </w:footnote>
  <w:footnote w:id="110">
    <w:p w14:paraId="35AE0580" w14:textId="77777777" w:rsidR="005E68D9" w:rsidRPr="00556D76" w:rsidRDefault="005E68D9" w:rsidP="0099245C">
      <w:pPr>
        <w:spacing w:line="240" w:lineRule="auto"/>
        <w:rPr>
          <w:rFonts w:cs="Charis SIL"/>
          <w:sz w:val="20"/>
          <w:szCs w:val="20"/>
          <w:lang w:val="en-IE"/>
        </w:rPr>
      </w:pPr>
      <w:r w:rsidRPr="00556D76">
        <w:rPr>
          <w:rFonts w:cs="Charis SIL"/>
          <w:sz w:val="20"/>
          <w:szCs w:val="20"/>
          <w:vertAlign w:val="superscript"/>
          <w:lang w:val="hu-HU"/>
        </w:rPr>
        <w:footnoteRef/>
      </w:r>
      <w:r w:rsidRPr="00556D76">
        <w:rPr>
          <w:rFonts w:cs="Charis SIL"/>
          <w:sz w:val="20"/>
          <w:szCs w:val="20"/>
          <w:lang w:val="hu-HU"/>
        </w:rPr>
        <w:t xml:space="preserve"> Ht szavakon a határon túli magyar nyelvváltozatok államnyelvi eredetű lexikai egységeit, tehát a kölcsönelemeket (szavakat, szószerkezeteket) értjük.</w:t>
      </w:r>
    </w:p>
  </w:footnote>
  <w:footnote w:id="111">
    <w:p w14:paraId="60E26B1B" w14:textId="77777777" w:rsidR="000B62E0" w:rsidRPr="00556D76" w:rsidRDefault="000B62E0" w:rsidP="0099245C">
      <w:pPr>
        <w:pStyle w:val="FootnoteText"/>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Italics in original.</w:t>
      </w:r>
    </w:p>
  </w:footnote>
  <w:footnote w:id="112">
    <w:p w14:paraId="6933D1FC" w14:textId="77777777" w:rsidR="000B62E0" w:rsidRPr="00556D76" w:rsidRDefault="000B62E0" w:rsidP="0099245C">
      <w:pPr>
        <w:pStyle w:val="FootnoteText"/>
        <w:contextualSpacing/>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Italics are ours.</w:t>
      </w:r>
    </w:p>
  </w:footnote>
  <w:footnote w:id="113">
    <w:p w14:paraId="040B8EF6" w14:textId="77777777" w:rsidR="000B62E0" w:rsidRPr="00556D76" w:rsidRDefault="000B62E0" w:rsidP="0099245C">
      <w:pPr>
        <w:pStyle w:val="FootnoteText"/>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Since the Northern (Livonian) crusades in the 13</w:t>
      </w:r>
      <w:r w:rsidRPr="00556D76">
        <w:rPr>
          <w:rFonts w:ascii="Cambria" w:hAnsi="Cambria" w:cs="Charis SIL"/>
          <w:vertAlign w:val="superscript"/>
          <w:lang w:val="en-IE"/>
        </w:rPr>
        <w:t>th</w:t>
      </w:r>
      <w:r w:rsidRPr="00556D76">
        <w:rPr>
          <w:rFonts w:ascii="Cambria" w:hAnsi="Cambria" w:cs="Charis SIL"/>
          <w:lang w:val="en-IE"/>
        </w:rPr>
        <w:t xml:space="preserve"> century, the contact of (both North and South) Estonian with (first Low, then High) German has been strong until the mid-1880s. While there were also other, more temporary, administrative languages over the centuries, such as Latin, Swedish, Polish, and Russian, German functioned as the official language in Russia’s Baltic provinces (for details see Kamusella 2009).</w:t>
      </w:r>
    </w:p>
  </w:footnote>
  <w:footnote w:id="114">
    <w:p w14:paraId="4A7821BF" w14:textId="7042AAAF" w:rsidR="000B62E0" w:rsidRPr="00556D76" w:rsidRDefault="000B62E0" w:rsidP="0099245C">
      <w:pPr>
        <w:pStyle w:val="FootnoteText"/>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w:t>
      </w:r>
      <w:r w:rsidR="00E62396" w:rsidRPr="00556D76">
        <w:rPr>
          <w:rFonts w:ascii="Cambria" w:hAnsi="Cambria" w:cs="Charis SIL"/>
          <w:lang w:val="en-IE"/>
        </w:rPr>
        <w:t>Though</w:t>
      </w:r>
      <w:r w:rsidRPr="00556D76">
        <w:rPr>
          <w:rFonts w:ascii="Cambria" w:hAnsi="Cambria" w:cs="Charis SIL"/>
          <w:lang w:val="en-IE"/>
        </w:rPr>
        <w:t xml:space="preserve"> Estonian as the medium of instruction was established already by the decree of Provisional Government in 1918</w:t>
      </w:r>
      <w:r w:rsidR="00E62396" w:rsidRPr="00556D76">
        <w:rPr>
          <w:rFonts w:ascii="Cambria" w:hAnsi="Cambria" w:cs="Charis SIL"/>
          <w:lang w:val="en-IE"/>
        </w:rPr>
        <w:t>,</w:t>
      </w:r>
      <w:r w:rsidRPr="00556D76">
        <w:rPr>
          <w:rFonts w:ascii="Cambria" w:hAnsi="Cambria" w:cs="Charis SIL"/>
          <w:lang w:val="en-IE"/>
        </w:rPr>
        <w:t xml:space="preserve"> </w:t>
      </w:r>
      <w:r w:rsidR="00E62396" w:rsidRPr="00556D76">
        <w:rPr>
          <w:rFonts w:ascii="Cambria" w:hAnsi="Cambria" w:cs="Charis SIL"/>
          <w:lang w:val="en-IE"/>
        </w:rPr>
        <w:t>i</w:t>
      </w:r>
      <w:r w:rsidRPr="00556D76">
        <w:rPr>
          <w:rFonts w:ascii="Cambria" w:hAnsi="Cambria" w:cs="Charis SIL"/>
          <w:lang w:val="en-IE"/>
        </w:rPr>
        <w:t xml:space="preserve">t did not rule out of the use of vernaculars at school. </w:t>
      </w:r>
      <w:r w:rsidR="00E62396" w:rsidRPr="00556D76">
        <w:rPr>
          <w:rFonts w:ascii="Cambria" w:hAnsi="Cambria" w:cs="Charis SIL"/>
          <w:lang w:val="en-IE"/>
        </w:rPr>
        <w:t>However</w:t>
      </w:r>
      <w:r w:rsidRPr="00556D76">
        <w:rPr>
          <w:rFonts w:ascii="Cambria" w:hAnsi="Cambria" w:cs="Charis SIL"/>
          <w:lang w:val="en-IE"/>
        </w:rPr>
        <w:t>, there were a number of LPP actors, such as school inspectors, counsellors and teachers who had their role in the homogenization of Estonian (see also Lõbu 2005).</w:t>
      </w:r>
    </w:p>
  </w:footnote>
  <w:footnote w:id="115">
    <w:p w14:paraId="7DB386EE" w14:textId="77777777" w:rsidR="000B62E0" w:rsidRPr="00556D76" w:rsidRDefault="000B62E0" w:rsidP="0099245C">
      <w:pPr>
        <w:pStyle w:val="FootnoteText"/>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Another tool for assessing language vitality, EuLaViBar, places Võro between “ongoing language shift” and “severely endangered” (Koreinik et al. 2013a).</w:t>
      </w:r>
    </w:p>
  </w:footnote>
  <w:footnote w:id="116">
    <w:p w14:paraId="6B4C63E6" w14:textId="77777777" w:rsidR="000B62E0" w:rsidRPr="00556D76" w:rsidRDefault="000B62E0" w:rsidP="0099245C">
      <w:pPr>
        <w:pStyle w:val="FootnoteText"/>
        <w:suppressAutoHyphens/>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Similarly to Estonian, palatalization is contrastive in Võro, for example differentiating </w:t>
      </w:r>
      <w:r w:rsidRPr="00556D76">
        <w:rPr>
          <w:rFonts w:ascii="Cambria" w:hAnsi="Cambria" w:cs="Charis SIL"/>
          <w:i/>
          <w:iCs/>
          <w:lang w:val="en-IE"/>
        </w:rPr>
        <w:t xml:space="preserve">vaśk </w:t>
      </w:r>
      <w:r w:rsidRPr="00556D76">
        <w:rPr>
          <w:rFonts w:ascii="Cambria" w:hAnsi="Cambria" w:cs="Charis SIL"/>
          <w:lang w:val="en-IE"/>
        </w:rPr>
        <w:t xml:space="preserve">‘calf’ and </w:t>
      </w:r>
      <w:r w:rsidRPr="00556D76">
        <w:rPr>
          <w:rFonts w:ascii="Cambria" w:hAnsi="Cambria" w:cs="Charis SIL"/>
          <w:i/>
          <w:iCs/>
          <w:lang w:val="en-IE"/>
        </w:rPr>
        <w:t xml:space="preserve">vask´ </w:t>
      </w:r>
      <w:r w:rsidRPr="00556D76">
        <w:rPr>
          <w:rFonts w:ascii="Cambria" w:hAnsi="Cambria" w:cs="Charis SIL"/>
          <w:lang w:val="en-IE"/>
        </w:rPr>
        <w:t>‘copper’.</w:t>
      </w:r>
    </w:p>
  </w:footnote>
  <w:footnote w:id="117">
    <w:p w14:paraId="6CA1701A" w14:textId="77777777" w:rsidR="000B62E0" w:rsidRPr="00556D76" w:rsidRDefault="000B62E0" w:rsidP="0099245C">
      <w:pPr>
        <w:pStyle w:val="FootnoteText"/>
        <w:suppressAutoHyphens/>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Earlier, the affricate was marked for example with </w:t>
      </w:r>
      <w:r w:rsidRPr="00556D76">
        <w:rPr>
          <w:rFonts w:ascii="Cambria" w:hAnsi="Cambria" w:cs="Charis SIL"/>
          <w:i/>
          <w:iCs/>
          <w:lang w:val="en-IE"/>
        </w:rPr>
        <w:t>c</w:t>
      </w:r>
      <w:r w:rsidRPr="00556D76">
        <w:rPr>
          <w:rFonts w:ascii="Cambria" w:hAnsi="Cambria" w:cs="Charis SIL"/>
          <w:lang w:val="en-IE"/>
        </w:rPr>
        <w:t xml:space="preserve">, e.g., </w:t>
      </w:r>
      <w:r w:rsidRPr="00556D76">
        <w:rPr>
          <w:rFonts w:ascii="Cambria" w:hAnsi="Cambria" w:cs="Charis SIL"/>
          <w:i/>
          <w:iCs/>
          <w:lang w:val="en-IE"/>
        </w:rPr>
        <w:t>cirk</w:t>
      </w:r>
      <w:r w:rsidRPr="00556D76">
        <w:rPr>
          <w:rFonts w:ascii="Cambria" w:hAnsi="Cambria" w:cs="Charis SIL"/>
          <w:lang w:val="en-IE"/>
        </w:rPr>
        <w:t xml:space="preserve"> ‘bird’ (or, following the German tradition, by </w:t>
      </w:r>
      <w:r w:rsidRPr="00556D76">
        <w:rPr>
          <w:rFonts w:ascii="Cambria" w:hAnsi="Cambria" w:cs="Charis SIL"/>
          <w:i/>
          <w:iCs/>
          <w:lang w:val="en-IE"/>
        </w:rPr>
        <w:t>z</w:t>
      </w:r>
      <w:r w:rsidRPr="00556D76">
        <w:rPr>
          <w:rFonts w:ascii="Cambria" w:hAnsi="Cambria" w:cs="Charis SIL"/>
          <w:lang w:val="en-IE"/>
        </w:rPr>
        <w:t xml:space="preserve"> (</w:t>
      </w:r>
      <w:r w:rsidRPr="00556D76">
        <w:rPr>
          <w:rFonts w:ascii="Cambria" w:hAnsi="Cambria" w:cs="Charis SIL"/>
          <w:i/>
          <w:lang w:val="en-IE"/>
        </w:rPr>
        <w:t>z</w:t>
      </w:r>
      <w:r w:rsidRPr="00556D76">
        <w:rPr>
          <w:rFonts w:ascii="Cambria" w:hAnsi="Cambria" w:cs="Charis SIL"/>
          <w:i/>
          <w:iCs/>
          <w:lang w:val="en-IE"/>
        </w:rPr>
        <w:t>irk</w:t>
      </w:r>
      <w:r w:rsidRPr="00556D76">
        <w:rPr>
          <w:rFonts w:ascii="Cambria" w:hAnsi="Cambria" w:cs="Charis SIL"/>
          <w:lang w:val="en-IE"/>
        </w:rPr>
        <w:t xml:space="preserve"> ‘bird’).</w:t>
      </w:r>
    </w:p>
  </w:footnote>
  <w:footnote w:id="118">
    <w:p w14:paraId="085697E6" w14:textId="77777777" w:rsidR="000B62E0" w:rsidRPr="00556D76" w:rsidRDefault="000B62E0" w:rsidP="0099245C">
      <w:pPr>
        <w:pStyle w:val="FootnoteText"/>
        <w:suppressAutoHyphens/>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&lt;</w:t>
      </w:r>
      <w:r w:rsidRPr="00556D76">
        <w:rPr>
          <w:rFonts w:ascii="Cambria" w:hAnsi="Cambria" w:cs="Charis SIL"/>
          <w:iCs/>
          <w:lang w:val="en-IE"/>
        </w:rPr>
        <w:t>j&gt;</w:t>
      </w:r>
      <w:r w:rsidRPr="00556D76">
        <w:rPr>
          <w:rFonts w:ascii="Cambria" w:hAnsi="Cambria" w:cs="Charis SIL"/>
          <w:i/>
          <w:iCs/>
          <w:lang w:val="en-IE"/>
        </w:rPr>
        <w:t xml:space="preserve"> </w:t>
      </w:r>
      <w:r w:rsidRPr="00556D76">
        <w:rPr>
          <w:rFonts w:ascii="Cambria" w:hAnsi="Cambria" w:cs="Charis SIL"/>
          <w:lang w:val="en-IE"/>
        </w:rPr>
        <w:t>was first used to mark palatalization in Estonian by Johann Gutslaff in his “Observationes Grammaticae circa linguam Esthonicam“ (1648).</w:t>
      </w:r>
    </w:p>
  </w:footnote>
  <w:footnote w:id="119">
    <w:p w14:paraId="7D0E0F2B" w14:textId="77777777" w:rsidR="000B62E0" w:rsidRPr="00556D76" w:rsidRDefault="000B62E0" w:rsidP="0099245C">
      <w:pPr>
        <w:pStyle w:val="FootnoteText"/>
        <w:suppressAutoHyphens/>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In Standard Estonian, </w:t>
      </w:r>
      <w:r w:rsidRPr="00556D76">
        <w:rPr>
          <w:rFonts w:ascii="Cambria" w:hAnsi="Cambria" w:cs="Charis SIL"/>
          <w:i/>
          <w:iCs/>
          <w:lang w:val="en-IE"/>
        </w:rPr>
        <w:t>q</w:t>
      </w:r>
      <w:r w:rsidRPr="00556D76">
        <w:rPr>
          <w:rFonts w:ascii="Cambria" w:hAnsi="Cambria" w:cs="Charis SIL"/>
          <w:lang w:val="en-IE"/>
        </w:rPr>
        <w:t xml:space="preserve"> and </w:t>
      </w:r>
      <w:r w:rsidRPr="00556D76">
        <w:rPr>
          <w:rFonts w:ascii="Cambria" w:hAnsi="Cambria" w:cs="Charis SIL"/>
          <w:i/>
          <w:iCs/>
          <w:lang w:val="en-IE"/>
        </w:rPr>
        <w:t>y</w:t>
      </w:r>
      <w:r w:rsidRPr="00556D76">
        <w:rPr>
          <w:rFonts w:ascii="Cambria" w:hAnsi="Cambria" w:cs="Charis SIL"/>
          <w:lang w:val="en-IE"/>
        </w:rPr>
        <w:t xml:space="preserve"> are used in unadjusted loanwords only and palatalization is not marked.</w:t>
      </w:r>
    </w:p>
  </w:footnote>
  <w:footnote w:id="120">
    <w:p w14:paraId="1F68E2CD" w14:textId="77777777" w:rsidR="000B62E0" w:rsidRPr="00556D76" w:rsidRDefault="000B62E0" w:rsidP="0099245C">
      <w:pPr>
        <w:pStyle w:val="FootnoteText"/>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In citations the English translation are ours.</w:t>
      </w:r>
    </w:p>
  </w:footnote>
  <w:footnote w:id="121">
    <w:p w14:paraId="6665FEFB" w14:textId="77777777" w:rsidR="00E015F4" w:rsidRPr="00556D76" w:rsidRDefault="00E015F4" w:rsidP="0099245C">
      <w:pPr>
        <w:spacing w:line="240" w:lineRule="auto"/>
        <w:rPr>
          <w:rFonts w:cs="Charis SIL"/>
          <w:sz w:val="20"/>
          <w:szCs w:val="20"/>
          <w:lang w:val="et-EE"/>
        </w:rPr>
      </w:pPr>
      <w:r w:rsidRPr="00556D76">
        <w:rPr>
          <w:rFonts w:cs="Charis SIL"/>
          <w:sz w:val="20"/>
          <w:szCs w:val="20"/>
          <w:vertAlign w:val="superscript"/>
          <w:lang w:val="et-EE"/>
        </w:rPr>
        <w:footnoteRef/>
      </w:r>
      <w:r w:rsidRPr="00556D76">
        <w:rPr>
          <w:rFonts w:cs="Charis SIL"/>
          <w:sz w:val="20"/>
          <w:szCs w:val="20"/>
          <w:lang w:val="et-EE"/>
        </w:rPr>
        <w:t xml:space="preserve"> Vt Sketch Engine’i kasutamisest eesti leksikograafias nt Kallas jt 2015.</w:t>
      </w:r>
    </w:p>
  </w:footnote>
  <w:footnote w:id="122">
    <w:p w14:paraId="71F3BF31" w14:textId="77777777" w:rsidR="00E015F4" w:rsidRPr="00556D76" w:rsidRDefault="00E015F4" w:rsidP="0099245C">
      <w:pPr>
        <w:suppressAutoHyphens/>
        <w:spacing w:line="240" w:lineRule="auto"/>
        <w:rPr>
          <w:rFonts w:cs="Charis SIL"/>
          <w:sz w:val="20"/>
          <w:szCs w:val="20"/>
          <w:lang w:val="et-EE"/>
        </w:rPr>
      </w:pPr>
      <w:r w:rsidRPr="00556D76">
        <w:rPr>
          <w:rFonts w:cs="Charis SIL"/>
          <w:sz w:val="20"/>
          <w:szCs w:val="20"/>
          <w:vertAlign w:val="superscript"/>
          <w:lang w:val="et-EE"/>
        </w:rPr>
        <w:footnoteRef/>
      </w:r>
      <w:r w:rsidRPr="00556D76">
        <w:rPr>
          <w:rFonts w:cs="Charis SIL"/>
          <w:sz w:val="20"/>
          <w:szCs w:val="20"/>
          <w:lang w:val="et-EE"/>
        </w:rPr>
        <w:t xml:space="preserve"> Esitame siin naabersõnadena ainult vahetult sõna </w:t>
      </w:r>
      <w:r w:rsidRPr="00556D76">
        <w:rPr>
          <w:rFonts w:cs="Charis SIL"/>
          <w:i/>
          <w:sz w:val="20"/>
          <w:szCs w:val="20"/>
          <w:lang w:val="et-EE"/>
        </w:rPr>
        <w:t xml:space="preserve">vagu </w:t>
      </w:r>
      <w:r w:rsidRPr="00556D76">
        <w:rPr>
          <w:rFonts w:cs="Charis SIL"/>
          <w:sz w:val="20"/>
          <w:szCs w:val="20"/>
          <w:lang w:val="et-EE"/>
        </w:rPr>
        <w:t>vormide ees või järel esinevaid leksikaalse tähendusega sõnavorme, nn vasak- ja paremkollokaate. Välja jäävad määratlejad (</w:t>
      </w:r>
      <w:r w:rsidRPr="00556D76">
        <w:rPr>
          <w:rFonts w:cs="Charis SIL"/>
          <w:i/>
          <w:sz w:val="20"/>
          <w:szCs w:val="20"/>
          <w:lang w:val="et-EE"/>
        </w:rPr>
        <w:t xml:space="preserve">see, oma </w:t>
      </w:r>
      <w:r w:rsidRPr="00556D76">
        <w:rPr>
          <w:rFonts w:cs="Charis SIL"/>
          <w:sz w:val="20"/>
          <w:szCs w:val="20"/>
          <w:lang w:val="et-EE"/>
        </w:rPr>
        <w:t>jms) ja sidesõnad (</w:t>
      </w:r>
      <w:r w:rsidRPr="00556D76">
        <w:rPr>
          <w:rFonts w:cs="Charis SIL"/>
          <w:i/>
          <w:sz w:val="20"/>
          <w:szCs w:val="20"/>
          <w:lang w:val="et-EE"/>
        </w:rPr>
        <w:t xml:space="preserve">ja, ning </w:t>
      </w:r>
      <w:r w:rsidRPr="00556D76">
        <w:rPr>
          <w:rFonts w:cs="Charis SIL"/>
          <w:sz w:val="20"/>
          <w:szCs w:val="20"/>
          <w:lang w:val="et-EE"/>
        </w:rPr>
        <w:t>jms).</w:t>
      </w:r>
    </w:p>
  </w:footnote>
  <w:footnote w:id="123">
    <w:p w14:paraId="2EFABD1A" w14:textId="77777777" w:rsidR="00E015F4" w:rsidRPr="00556D76" w:rsidRDefault="00E015F4" w:rsidP="0099245C">
      <w:pPr>
        <w:suppressAutoHyphens/>
        <w:spacing w:line="240" w:lineRule="auto"/>
        <w:rPr>
          <w:rFonts w:cs="Charis SIL"/>
          <w:sz w:val="20"/>
          <w:szCs w:val="20"/>
          <w:lang w:val="et-EE"/>
        </w:rPr>
      </w:pPr>
      <w:r w:rsidRPr="00556D76">
        <w:rPr>
          <w:rFonts w:cs="Charis SIL"/>
          <w:sz w:val="20"/>
          <w:szCs w:val="20"/>
          <w:vertAlign w:val="superscript"/>
          <w:lang w:val="et-EE"/>
        </w:rPr>
        <w:footnoteRef/>
      </w:r>
      <w:r w:rsidRPr="00556D76">
        <w:rPr>
          <w:rFonts w:cs="Charis SIL"/>
          <w:sz w:val="20"/>
          <w:szCs w:val="20"/>
          <w:lang w:val="et-EE"/>
        </w:rPr>
        <w:t xml:space="preserve"> Vähesel määral esineb korpuses genitiivivormide hulgas ka kohanime </w:t>
      </w:r>
      <w:r w:rsidRPr="00556D76">
        <w:rPr>
          <w:rFonts w:cs="Charis SIL"/>
          <w:i/>
          <w:sz w:val="20"/>
          <w:szCs w:val="20"/>
          <w:lang w:val="et-EE"/>
        </w:rPr>
        <w:t xml:space="preserve">Vao, </w:t>
      </w:r>
      <w:r w:rsidRPr="00556D76">
        <w:rPr>
          <w:rFonts w:cs="Charis SIL"/>
          <w:sz w:val="20"/>
          <w:szCs w:val="20"/>
          <w:lang w:val="et-EE"/>
        </w:rPr>
        <w:t>kuid see ei muuda üldtendentse.</w:t>
      </w:r>
    </w:p>
  </w:footnote>
  <w:footnote w:id="124">
    <w:p w14:paraId="584F5F17" w14:textId="69384D84" w:rsidR="00315E3D" w:rsidRPr="00556D76" w:rsidRDefault="00315E3D" w:rsidP="0099245C">
      <w:pPr>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„Что сближает Вас с людьми Вашей национальности?“</w:t>
      </w:r>
    </w:p>
  </w:footnote>
  <w:footnote w:id="125">
    <w:p w14:paraId="77FFE2E6" w14:textId="224473F9" w:rsidR="00315E3D" w:rsidRPr="00556D76" w:rsidRDefault="00315E3D" w:rsidP="0099245C">
      <w:pPr>
        <w:spacing w:line="240" w:lineRule="auto"/>
        <w:rPr>
          <w:rFonts w:cs="Charis SIL"/>
          <w:sz w:val="20"/>
          <w:szCs w:val="20"/>
        </w:rPr>
      </w:pPr>
      <w:r w:rsidRPr="00556D76">
        <w:rPr>
          <w:rFonts w:cs="Charis SIL"/>
          <w:sz w:val="20"/>
          <w:szCs w:val="20"/>
          <w:vertAlign w:val="superscript"/>
          <w:lang w:val="ru-RU"/>
        </w:rPr>
        <w:footnoteRef/>
      </w:r>
      <w:r w:rsidRPr="00556D76">
        <w:rPr>
          <w:rFonts w:cs="Charis SIL"/>
          <w:sz w:val="20"/>
          <w:szCs w:val="20"/>
          <w:lang w:val="ru-RU"/>
        </w:rPr>
        <w:t xml:space="preserve"> „В чем, на Ваш взгляд, основное различие между удмуртами и бесермянами (возможны несколько ответов)?“</w:t>
      </w:r>
    </w:p>
  </w:footnote>
  <w:footnote w:id="126">
    <w:p w14:paraId="2EB080D3" w14:textId="2C295F9A" w:rsidR="00315E3D" w:rsidRPr="00556D76" w:rsidRDefault="00315E3D" w:rsidP="0099245C">
      <w:pPr>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„Как Вы считаете: существует ли бесермянский язык?“</w:t>
      </w:r>
    </w:p>
  </w:footnote>
  <w:footnote w:id="127">
    <w:p w14:paraId="444AEE73" w14:textId="32059E17" w:rsidR="00315E3D" w:rsidRPr="00556D76" w:rsidRDefault="00315E3D" w:rsidP="0099245C">
      <w:pPr>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„Да, существует“</w:t>
      </w:r>
    </w:p>
  </w:footnote>
  <w:footnote w:id="128">
    <w:p w14:paraId="09AA9CC7" w14:textId="2A619A99" w:rsidR="00315E3D" w:rsidRPr="00556D76" w:rsidRDefault="00315E3D" w:rsidP="0099245C">
      <w:pPr>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„Бесермяне говорят на одном из диалектов удмуртского языка“</w:t>
      </w:r>
    </w:p>
  </w:footnote>
  <w:footnote w:id="129">
    <w:p w14:paraId="714D4074" w14:textId="4869E51E" w:rsidR="00315E3D" w:rsidRPr="00556D76" w:rsidRDefault="00315E3D" w:rsidP="0099245C">
      <w:pPr>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„Другое мнение“</w:t>
      </w:r>
    </w:p>
  </w:footnote>
  <w:footnote w:id="130">
    <w:p w14:paraId="3BAE8AE4" w14:textId="51BF5ED8" w:rsidR="00315E3D" w:rsidRPr="00556D76" w:rsidRDefault="00315E3D" w:rsidP="0099245C">
      <w:pPr>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„Затрудняюсь ответить“</w:t>
      </w:r>
    </w:p>
  </w:footnote>
  <w:footnote w:id="131">
    <w:p w14:paraId="32132445" w14:textId="36485CCA" w:rsidR="00315E3D" w:rsidRPr="00556D76" w:rsidRDefault="00315E3D" w:rsidP="0099245C">
      <w:pPr>
        <w:suppressAutoHyphens/>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w:t>
      </w:r>
      <w:r w:rsidRPr="00556D76">
        <w:rPr>
          <w:rFonts w:eastAsia="Noto Sans CJK SC" w:cs="Charis SIL"/>
          <w:i/>
          <w:iCs/>
          <w:sz w:val="20"/>
          <w:szCs w:val="20"/>
          <w:lang w:val="ru-RU"/>
        </w:rPr>
        <w:t>МИ БЕСЕРМАНЪЁС</w:t>
      </w:r>
      <w:r w:rsidRPr="00556D76">
        <w:rPr>
          <w:rFonts w:eastAsia="Noto Sans CJK SC" w:cs="Charis SIL"/>
          <w:sz w:val="20"/>
          <w:szCs w:val="20"/>
          <w:lang w:val="ru-RU"/>
        </w:rPr>
        <w:t>:</w:t>
      </w:r>
      <w:r w:rsidRPr="00556D76">
        <w:rPr>
          <w:rFonts w:eastAsia="Noto Sans CJK SC" w:cs="Charis SIL"/>
          <w:i/>
          <w:iCs/>
          <w:sz w:val="20"/>
          <w:szCs w:val="20"/>
          <w:lang w:val="ru-RU"/>
        </w:rPr>
        <w:t xml:space="preserve"> </w:t>
      </w:r>
      <w:hyperlink r:id="rId43" w:history="1">
        <w:r w:rsidRPr="00556D76">
          <w:rPr>
            <w:rFonts w:eastAsia="Noto Sans CJK SC" w:cs="Charis SIL"/>
            <w:sz w:val="20"/>
            <w:szCs w:val="20"/>
            <w:u w:val="single"/>
            <w:lang w:val="ru-RU"/>
          </w:rPr>
          <w:t>vk.com/besermanjos</w:t>
        </w:r>
      </w:hyperlink>
    </w:p>
  </w:footnote>
  <w:footnote w:id="132">
    <w:p w14:paraId="236343EF" w14:textId="1B6635F4" w:rsidR="00315E3D" w:rsidRPr="00556D76" w:rsidRDefault="00315E3D" w:rsidP="0099245C">
      <w:pPr>
        <w:suppressAutoHyphens/>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w:t>
      </w:r>
      <w:r w:rsidRPr="00556D76">
        <w:rPr>
          <w:rFonts w:cs="Charis SIL"/>
          <w:i/>
          <w:iCs/>
          <w:sz w:val="20"/>
          <w:szCs w:val="20"/>
          <w:lang w:val="ru-RU"/>
        </w:rPr>
        <w:t>Центр возрождения бесермянской культуры</w:t>
      </w:r>
      <w:r w:rsidRPr="00556D76">
        <w:rPr>
          <w:rFonts w:cs="Charis SIL"/>
          <w:sz w:val="20"/>
          <w:szCs w:val="20"/>
          <w:lang w:val="ru-RU"/>
        </w:rPr>
        <w:t xml:space="preserve">: </w:t>
      </w:r>
      <w:hyperlink r:id="rId44" w:history="1">
        <w:r w:rsidRPr="00556D76">
          <w:rPr>
            <w:rFonts w:cs="Charis SIL"/>
            <w:sz w:val="20"/>
            <w:szCs w:val="20"/>
            <w:u w:val="single"/>
            <w:lang w:val="ru-RU"/>
          </w:rPr>
          <w:t>vk.com/club164387545</w:t>
        </w:r>
      </w:hyperlink>
    </w:p>
  </w:footnote>
  <w:footnote w:id="133">
    <w:p w14:paraId="3231EBA3" w14:textId="11253C4A" w:rsidR="00315E3D" w:rsidRPr="00556D76" w:rsidRDefault="00315E3D" w:rsidP="0099245C">
      <w:pPr>
        <w:suppressAutoHyphens/>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w:t>
      </w:r>
      <w:r w:rsidRPr="00556D76">
        <w:rPr>
          <w:rFonts w:cs="Charis SIL"/>
          <w:i/>
          <w:iCs/>
          <w:sz w:val="20"/>
          <w:szCs w:val="20"/>
          <w:lang w:val="ru-RU"/>
        </w:rPr>
        <w:t>Юндинский СДК, Центр бесермянской культуры</w:t>
      </w:r>
      <w:r w:rsidRPr="00556D76">
        <w:rPr>
          <w:rFonts w:cs="Charis SIL"/>
          <w:sz w:val="20"/>
          <w:szCs w:val="20"/>
          <w:lang w:val="ru-RU"/>
        </w:rPr>
        <w:t xml:space="preserve"> </w:t>
      </w:r>
      <w:hyperlink r:id="rId45" w:history="1">
        <w:r w:rsidRPr="00556D76">
          <w:rPr>
            <w:rFonts w:cs="Charis SIL"/>
            <w:sz w:val="20"/>
            <w:szCs w:val="20"/>
            <w:u w:val="single"/>
            <w:lang w:val="ru-RU"/>
          </w:rPr>
          <w:t>vk.com/undasdk</w:t>
        </w:r>
      </w:hyperlink>
    </w:p>
  </w:footnote>
  <w:footnote w:id="134">
    <w:p w14:paraId="154AC180" w14:textId="68B78BBE" w:rsidR="00315E3D" w:rsidRPr="00556D76" w:rsidRDefault="00315E3D" w:rsidP="0099245C">
      <w:pPr>
        <w:suppressAutoHyphens/>
        <w:spacing w:line="240" w:lineRule="auto"/>
        <w:rPr>
          <w:rFonts w:cs="Charis SIL"/>
          <w:sz w:val="20"/>
          <w:szCs w:val="20"/>
          <w:lang w:val="ru-RU"/>
        </w:rPr>
      </w:pPr>
      <w:r w:rsidRPr="00556D76">
        <w:rPr>
          <w:rFonts w:cs="Charis SIL"/>
          <w:sz w:val="20"/>
          <w:szCs w:val="20"/>
          <w:vertAlign w:val="superscript"/>
          <w:lang w:val="ru-RU"/>
        </w:rPr>
        <w:footnoteRef/>
      </w:r>
      <w:r w:rsidRPr="00556D76">
        <w:rPr>
          <w:rFonts w:cs="Charis SIL"/>
          <w:sz w:val="20"/>
          <w:szCs w:val="20"/>
          <w:lang w:val="ru-RU"/>
        </w:rPr>
        <w:t xml:space="preserve"> </w:t>
      </w:r>
      <w:r w:rsidRPr="00556D76">
        <w:rPr>
          <w:rFonts w:cs="Charis SIL"/>
          <w:i/>
          <w:iCs/>
          <w:sz w:val="20"/>
          <w:szCs w:val="20"/>
          <w:lang w:val="ru-RU"/>
        </w:rPr>
        <w:t xml:space="preserve">Жувам гуртэ </w:t>
      </w:r>
      <w:r w:rsidR="00F92DFA" w:rsidRPr="00556D76">
        <w:rPr>
          <w:rFonts w:ascii="Segoe UI Symbol" w:hAnsi="Segoe UI Symbol" w:cs="Segoe UI Symbol"/>
          <w:i/>
          <w:iCs/>
          <w:sz w:val="20"/>
          <w:szCs w:val="20"/>
          <w:lang w:val="ru-RU"/>
        </w:rPr>
        <w:t>♡</w:t>
      </w:r>
      <w:r w:rsidRPr="00556D76">
        <w:rPr>
          <w:rFonts w:cs="Charis SIL"/>
          <w:i/>
          <w:iCs/>
          <w:sz w:val="20"/>
          <w:szCs w:val="20"/>
          <w:lang w:val="ru-RU"/>
        </w:rPr>
        <w:t xml:space="preserve"> Яратэ вордӥськем интыдэс </w:t>
      </w:r>
      <w:r w:rsidR="00F92DFA" w:rsidRPr="00556D76">
        <w:rPr>
          <w:rFonts w:ascii="Segoe UI Symbol" w:hAnsi="Segoe UI Symbol" w:cs="Segoe UI Symbol"/>
          <w:i/>
          <w:iCs/>
          <w:sz w:val="20"/>
          <w:szCs w:val="20"/>
          <w:lang w:val="ru-RU"/>
        </w:rPr>
        <w:t>♡</w:t>
      </w:r>
      <w:r w:rsidRPr="00556D76">
        <w:rPr>
          <w:rFonts w:cs="Charis SIL"/>
          <w:sz w:val="20"/>
          <w:szCs w:val="20"/>
          <w:lang w:val="ru-RU"/>
        </w:rPr>
        <w:t xml:space="preserve">: </w:t>
      </w:r>
      <w:hyperlink r:id="rId46" w:history="1">
        <w:r w:rsidRPr="00556D76">
          <w:rPr>
            <w:rFonts w:cs="Charis SIL"/>
            <w:sz w:val="20"/>
            <w:szCs w:val="20"/>
            <w:u w:val="single"/>
            <w:lang w:val="ru-RU"/>
          </w:rPr>
          <w:t>vk.com/zhuvamgurt</w:t>
        </w:r>
      </w:hyperlink>
    </w:p>
  </w:footnote>
  <w:footnote w:id="135">
    <w:p w14:paraId="6FEDF84E" w14:textId="00473D52" w:rsidR="00315E3D" w:rsidRPr="00556D76" w:rsidRDefault="00315E3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Das Erscheinen des ersten Buches in besermanischer Sprache (Ar-Sergi &amp; Djukin 2021) hat zu einer deutlichen Zunahme der metalinguistischen Diskurse geführt, darauf konnte im vorliegende</w:t>
      </w:r>
      <w:r w:rsidR="00976F3E" w:rsidRPr="00556D76">
        <w:rPr>
          <w:rFonts w:cs="Charis SIL"/>
          <w:sz w:val="20"/>
          <w:szCs w:val="20"/>
        </w:rPr>
        <w:t>n</w:t>
      </w:r>
      <w:r w:rsidRPr="00556D76">
        <w:rPr>
          <w:rFonts w:cs="Charis SIL"/>
          <w:sz w:val="20"/>
          <w:szCs w:val="20"/>
        </w:rPr>
        <w:t xml:space="preserve"> Artikel nicht mehr eingegangen werden.</w:t>
      </w:r>
    </w:p>
  </w:footnote>
  <w:footnote w:id="136">
    <w:p w14:paraId="175BBA01" w14:textId="48945462" w:rsidR="00315E3D" w:rsidRPr="00556D76" w:rsidRDefault="00315E3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Das erste Buch in besermanischer Sprache wurde am 1.9.2021 veröffentlicht, der auch 2021 erschienene erste besermanische Kalender verzeichnet dieses Datum als „Tag der besermanischen Literatur (wörtlich Schriftlichkeit)” („День бесермянской письменности”). Obwohl die Herausgabe des Buches in vielerlei Hinsicht interessante Diskussionen hervorgerufen hat, kann an dieser Stelle nicht in entsprechender Länge darauf eingegangen werden, da der Artikel vor diesem Datum verfasst wurde.</w:t>
      </w:r>
    </w:p>
  </w:footnote>
  <w:footnote w:id="137">
    <w:p w14:paraId="34FB80F8" w14:textId="030BD97D" w:rsidR="00315E3D" w:rsidRPr="00556D76" w:rsidRDefault="00315E3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hyperlink r:id="rId47" w:history="1">
        <w:r w:rsidRPr="00556D76">
          <w:rPr>
            <w:rFonts w:eastAsia="Noto Sans CJK SC" w:cs="Charis SIL"/>
            <w:sz w:val="20"/>
            <w:szCs w:val="20"/>
            <w:u w:val="single"/>
          </w:rPr>
          <w:t>beserman.ru/corpus/search/?interface_language=ru</w:t>
        </w:r>
      </w:hyperlink>
    </w:p>
  </w:footnote>
  <w:footnote w:id="138">
    <w:p w14:paraId="2F8F844F" w14:textId="109F1909" w:rsidR="00315E3D" w:rsidRPr="00556D76" w:rsidRDefault="00315E3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hyperlink r:id="rId48">
        <w:r w:rsidRPr="00556D76">
          <w:rPr>
            <w:rFonts w:eastAsia="Noto Sans CJK SC" w:cs="Charis SIL"/>
            <w:sz w:val="20"/>
            <w:szCs w:val="20"/>
            <w:u w:val="single"/>
          </w:rPr>
          <w:t>lidivoka.univie.ac.at/</w:t>
        </w:r>
      </w:hyperlink>
    </w:p>
  </w:footnote>
  <w:footnote w:id="139">
    <w:p w14:paraId="206AF840" w14:textId="2C349CF4" w:rsidR="002037B6" w:rsidRPr="00556D76" w:rsidRDefault="002037B6" w:rsidP="0099245C">
      <w:pPr>
        <w:pStyle w:val="FootnoteText"/>
        <w:rPr>
          <w:rFonts w:ascii="Cambria" w:hAnsi="Cambria"/>
          <w:lang w:val="ru-RU"/>
        </w:rPr>
      </w:pPr>
      <w:r w:rsidRPr="00556D76">
        <w:rPr>
          <w:rStyle w:val="FootnoteReference"/>
          <w:rFonts w:ascii="Cambria" w:hAnsi="Cambria"/>
          <w:lang w:val="ru-RU"/>
        </w:rPr>
        <w:footnoteRef/>
      </w:r>
      <w:r w:rsidRPr="00556D76">
        <w:rPr>
          <w:rFonts w:ascii="Cambria" w:hAnsi="Cambria"/>
          <w:lang w:val="ru-RU"/>
        </w:rPr>
        <w:t xml:space="preserve"> „измерение взаимопонятности“</w:t>
      </w:r>
    </w:p>
  </w:footnote>
  <w:footnote w:id="140">
    <w:p w14:paraId="29D2A867" w14:textId="13D206D0" w:rsidR="002037B6" w:rsidRPr="00556D76" w:rsidRDefault="002037B6" w:rsidP="0099245C">
      <w:pPr>
        <w:pStyle w:val="FootnoteText"/>
        <w:rPr>
          <w:rFonts w:ascii="Cambria" w:hAnsi="Cambria"/>
          <w:lang w:val="ru-RU"/>
        </w:rPr>
      </w:pPr>
      <w:r w:rsidRPr="00556D76">
        <w:rPr>
          <w:rStyle w:val="FootnoteReference"/>
          <w:rFonts w:ascii="Cambria" w:hAnsi="Cambria"/>
          <w:lang w:val="ru-RU"/>
        </w:rPr>
        <w:footnoteRef/>
      </w:r>
      <w:r w:rsidRPr="00556D76">
        <w:rPr>
          <w:rFonts w:ascii="Cambria" w:hAnsi="Cambria"/>
          <w:lang w:val="ru-RU"/>
        </w:rPr>
        <w:t xml:space="preserve"> „измерение структурных различий“</w:t>
      </w:r>
    </w:p>
  </w:footnote>
  <w:footnote w:id="141">
    <w:p w14:paraId="19ADB238" w14:textId="03190B1E" w:rsidR="002037B6" w:rsidRPr="00556D76" w:rsidRDefault="002037B6" w:rsidP="0099245C">
      <w:pPr>
        <w:pStyle w:val="FootnoteText"/>
        <w:rPr>
          <w:rFonts w:ascii="Cambria" w:hAnsi="Cambria"/>
          <w:lang w:val="en-IE"/>
        </w:rPr>
      </w:pPr>
      <w:r w:rsidRPr="00556D76">
        <w:rPr>
          <w:rStyle w:val="FootnoteReference"/>
          <w:rFonts w:ascii="Cambria" w:hAnsi="Cambria"/>
          <w:lang w:val="ru-RU"/>
        </w:rPr>
        <w:footnoteRef/>
      </w:r>
      <w:r w:rsidRPr="00556D76">
        <w:rPr>
          <w:rFonts w:ascii="Cambria" w:hAnsi="Cambria"/>
          <w:lang w:val="ru-RU"/>
        </w:rPr>
        <w:t xml:space="preserve"> „лексикостатистические подсчёты“</w:t>
      </w:r>
    </w:p>
  </w:footnote>
  <w:footnote w:id="142">
    <w:p w14:paraId="24E24731" w14:textId="3ECF58C2" w:rsidR="0000782F" w:rsidRPr="00556D76" w:rsidRDefault="0000782F" w:rsidP="0099245C">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Aikio (200</w:t>
      </w:r>
      <w:r w:rsidR="003F3B91" w:rsidRPr="00556D76">
        <w:rPr>
          <w:rFonts w:cs="Charis SIL"/>
          <w:sz w:val="20"/>
          <w:szCs w:val="20"/>
          <w:lang w:val="fi-FI"/>
        </w:rPr>
        <w:t>6</w:t>
      </w:r>
      <w:r w:rsidRPr="00556D76">
        <w:rPr>
          <w:rFonts w:cs="Charis SIL"/>
          <w:sz w:val="20"/>
          <w:szCs w:val="20"/>
          <w:lang w:val="fi-FI"/>
        </w:rPr>
        <w:t xml:space="preserve">: 34) on esittänyt </w:t>
      </w:r>
      <w:r w:rsidRPr="00556D76">
        <w:rPr>
          <w:rFonts w:cs="Charis SIL"/>
          <w:i/>
          <w:sz w:val="20"/>
          <w:szCs w:val="20"/>
          <w:lang w:val="fi-FI"/>
        </w:rPr>
        <w:t>riehua-</w:t>
      </w:r>
      <w:r w:rsidRPr="00556D76">
        <w:rPr>
          <w:rFonts w:cs="Charis SIL"/>
          <w:sz w:val="20"/>
          <w:szCs w:val="20"/>
          <w:lang w:val="fi-FI"/>
        </w:rPr>
        <w:t xml:space="preserve">sanalle germaanisen lainaetymologian </w:t>
      </w:r>
      <w:r w:rsidR="00C41E30" w:rsidRPr="00556D76">
        <w:rPr>
          <w:rFonts w:cs="Charis SIL"/>
          <w:sz w:val="20"/>
          <w:szCs w:val="20"/>
          <w:lang w:val="fi-FI"/>
        </w:rPr>
        <w:br/>
      </w:r>
      <w:r w:rsidRPr="00556D76">
        <w:rPr>
          <w:rFonts w:cs="Charis SIL"/>
          <w:sz w:val="20"/>
          <w:szCs w:val="20"/>
          <w:lang w:val="fi-FI"/>
        </w:rPr>
        <w:t>(&lt; kge</w:t>
      </w:r>
      <w:r w:rsidRPr="00556D76">
        <w:rPr>
          <w:rFonts w:cs="Charis SIL"/>
          <w:i/>
          <w:sz w:val="20"/>
          <w:szCs w:val="20"/>
          <w:lang w:val="fi-FI"/>
        </w:rPr>
        <w:t xml:space="preserve"> *rēsō- </w:t>
      </w:r>
      <w:r w:rsidRPr="00556D76">
        <w:rPr>
          <w:rFonts w:cs="Charis SIL"/>
          <w:sz w:val="20"/>
          <w:szCs w:val="20"/>
          <w:lang w:val="fi-FI"/>
        </w:rPr>
        <w:t xml:space="preserve">&gt; sa </w:t>
      </w:r>
      <w:r w:rsidRPr="00556D76">
        <w:rPr>
          <w:rFonts w:cs="Charis SIL"/>
          <w:i/>
          <w:sz w:val="20"/>
          <w:szCs w:val="20"/>
          <w:lang w:val="fi-FI"/>
        </w:rPr>
        <w:t xml:space="preserve">rasen </w:t>
      </w:r>
      <w:r w:rsidR="00985F45" w:rsidRPr="00556D76">
        <w:rPr>
          <w:rFonts w:cs="Charis SIL"/>
          <w:sz w:val="20"/>
          <w:szCs w:val="20"/>
          <w:lang w:val="fi-FI"/>
        </w:rPr>
        <w:t>’</w:t>
      </w:r>
      <w:r w:rsidRPr="00556D76">
        <w:rPr>
          <w:rFonts w:cs="Charis SIL"/>
          <w:sz w:val="20"/>
          <w:szCs w:val="20"/>
          <w:lang w:val="fi-FI"/>
        </w:rPr>
        <w:t xml:space="preserve">ajaa, syöksyä, sännätä’; sanalle voi kuitenkin esittää myös kilpailevan venäläisen etymologian: </w:t>
      </w:r>
      <w:r w:rsidRPr="00556D76">
        <w:rPr>
          <w:rFonts w:cs="Charis SIL"/>
          <w:i/>
          <w:sz w:val="20"/>
          <w:szCs w:val="20"/>
          <w:lang w:val="fi-FI"/>
        </w:rPr>
        <w:t xml:space="preserve">riehua </w:t>
      </w:r>
      <w:r w:rsidRPr="00556D76">
        <w:rPr>
          <w:rFonts w:cs="Charis SIL"/>
          <w:sz w:val="20"/>
          <w:szCs w:val="20"/>
          <w:lang w:val="fi-FI"/>
        </w:rPr>
        <w:t xml:space="preserve">&lt; </w:t>
      </w:r>
      <w:r w:rsidRPr="00556D76">
        <w:rPr>
          <w:rFonts w:cs="Charis SIL"/>
          <w:i/>
          <w:sz w:val="20"/>
          <w:szCs w:val="20"/>
          <w:lang w:val="fi-FI"/>
        </w:rPr>
        <w:t xml:space="preserve">rieha </w:t>
      </w:r>
      <w:r w:rsidRPr="00556D76">
        <w:rPr>
          <w:rFonts w:cs="Charis SIL"/>
          <w:sz w:val="20"/>
          <w:szCs w:val="20"/>
          <w:lang w:val="fi-FI"/>
        </w:rPr>
        <w:t xml:space="preserve">&lt; </w:t>
      </w:r>
      <w:r w:rsidRPr="00556D76">
        <w:rPr>
          <w:rFonts w:cs="Charis SIL"/>
          <w:i/>
          <w:sz w:val="20"/>
          <w:szCs w:val="20"/>
          <w:lang w:val="fi-FI"/>
        </w:rPr>
        <w:t>*</w:t>
      </w:r>
      <w:bookmarkStart w:id="108" w:name="_Hlk104306213"/>
      <w:r w:rsidRPr="00556D76">
        <w:rPr>
          <w:rFonts w:cs="Charis SIL"/>
          <w:i/>
          <w:sz w:val="20"/>
          <w:szCs w:val="20"/>
          <w:lang w:val="fi-FI"/>
        </w:rPr>
        <w:t xml:space="preserve">grěxъ </w:t>
      </w:r>
      <w:bookmarkEnd w:id="108"/>
      <w:r w:rsidR="00985F45" w:rsidRPr="00556D76">
        <w:rPr>
          <w:rFonts w:cs="Charis SIL"/>
          <w:sz w:val="20"/>
          <w:szCs w:val="20"/>
          <w:lang w:val="fi-FI"/>
        </w:rPr>
        <w:t>’</w:t>
      </w:r>
      <w:r w:rsidRPr="00556D76">
        <w:rPr>
          <w:rFonts w:cs="Charis SIL"/>
          <w:sz w:val="20"/>
          <w:szCs w:val="20"/>
          <w:lang w:val="fi-FI"/>
        </w:rPr>
        <w:t xml:space="preserve">synti, syntinen meno, riehuminen’; vanhempi laina samasta sl. sanasta on </w:t>
      </w:r>
      <w:r w:rsidRPr="00556D76">
        <w:rPr>
          <w:rFonts w:cs="Charis SIL"/>
          <w:i/>
          <w:sz w:val="20"/>
          <w:szCs w:val="20"/>
          <w:lang w:val="fi-FI"/>
        </w:rPr>
        <w:t xml:space="preserve">räähkä </w:t>
      </w:r>
      <w:r w:rsidR="00C41E30" w:rsidRPr="00556D76">
        <w:rPr>
          <w:rFonts w:cs="Charis SIL"/>
          <w:i/>
          <w:sz w:val="20"/>
          <w:szCs w:val="20"/>
          <w:lang w:val="fi-FI"/>
        </w:rPr>
        <w:br/>
      </w:r>
      <w:r w:rsidRPr="00556D76">
        <w:rPr>
          <w:rFonts w:cs="Charis SIL"/>
          <w:sz w:val="20"/>
          <w:szCs w:val="20"/>
          <w:lang w:val="fi-FI"/>
        </w:rPr>
        <w:t>(SSA III: 103</w:t>
      </w:r>
      <w:r w:rsidR="00156E29" w:rsidRPr="00556D76">
        <w:rPr>
          <w:rFonts w:cs="Charis SIL"/>
          <w:sz w:val="20"/>
          <w:szCs w:val="20"/>
          <w:lang w:val="fi-FI"/>
        </w:rPr>
        <w:t>–</w:t>
      </w:r>
      <w:r w:rsidRPr="00556D76">
        <w:rPr>
          <w:rFonts w:cs="Charis SIL"/>
          <w:sz w:val="20"/>
          <w:szCs w:val="20"/>
          <w:lang w:val="fi-FI"/>
        </w:rPr>
        <w:t>104).</w:t>
      </w:r>
    </w:p>
  </w:footnote>
  <w:footnote w:id="143">
    <w:p w14:paraId="17D1F4DA" w14:textId="3F23F41F" w:rsidR="0000782F" w:rsidRPr="00556D76" w:rsidRDefault="0000782F" w:rsidP="0099245C">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w:t>
      </w:r>
      <w:r w:rsidRPr="00556D76">
        <w:rPr>
          <w:rFonts w:cs="Charis SIL"/>
          <w:i/>
          <w:sz w:val="20"/>
          <w:szCs w:val="20"/>
          <w:lang w:val="fi-FI"/>
        </w:rPr>
        <w:t xml:space="preserve">Kolkata </w:t>
      </w:r>
      <w:r w:rsidRPr="00556D76">
        <w:rPr>
          <w:rFonts w:cs="Charis SIL"/>
          <w:sz w:val="20"/>
          <w:szCs w:val="20"/>
          <w:lang w:val="fi-FI"/>
        </w:rPr>
        <w:t xml:space="preserve">vaikuttaa alunperin johdokselta sanasta </w:t>
      </w:r>
      <w:r w:rsidRPr="00556D76">
        <w:rPr>
          <w:rFonts w:cs="Charis SIL"/>
          <w:i/>
          <w:sz w:val="20"/>
          <w:szCs w:val="20"/>
          <w:lang w:val="fi-FI"/>
        </w:rPr>
        <w:t>kolkka</w:t>
      </w:r>
      <w:r w:rsidR="00985F45" w:rsidRPr="00556D76">
        <w:rPr>
          <w:rFonts w:cs="Charis SIL"/>
          <w:iCs/>
          <w:sz w:val="20"/>
          <w:szCs w:val="20"/>
          <w:lang w:val="fi-FI"/>
        </w:rPr>
        <w:t xml:space="preserve"> </w:t>
      </w:r>
      <w:r w:rsidR="00985F45" w:rsidRPr="00556D76">
        <w:rPr>
          <w:rFonts w:cs="Charis SIL"/>
          <w:sz w:val="20"/>
          <w:szCs w:val="20"/>
          <w:lang w:val="fi-FI"/>
        </w:rPr>
        <w:t>’</w:t>
      </w:r>
      <w:r w:rsidRPr="00556D76">
        <w:rPr>
          <w:rFonts w:cs="Charis SIL"/>
          <w:sz w:val="20"/>
          <w:szCs w:val="20"/>
          <w:lang w:val="fi-FI"/>
        </w:rPr>
        <w:t xml:space="preserve">lyömiseen tarkoitettu puukapula; kirnun mäntä (EPohjanm); varsta, puiminen (lounmurt. hämmurt.); myllyn karistin (Satak Häme)’. Sanaa voisi pitää venäläisenä lainana &lt; vrt. </w:t>
      </w:r>
      <w:r w:rsidRPr="00556D76">
        <w:rPr>
          <w:rFonts w:cs="Charis SIL"/>
          <w:i/>
          <w:sz w:val="20"/>
          <w:szCs w:val="20"/>
          <w:lang w:val="fi-FI"/>
        </w:rPr>
        <w:t xml:space="preserve">kol </w:t>
      </w:r>
      <w:r w:rsidR="00985F45" w:rsidRPr="00556D76">
        <w:rPr>
          <w:rFonts w:cs="Charis SIL"/>
          <w:sz w:val="20"/>
          <w:szCs w:val="20"/>
          <w:lang w:val="fi-FI"/>
        </w:rPr>
        <w:t>’</w:t>
      </w:r>
      <w:r w:rsidRPr="00556D76">
        <w:rPr>
          <w:rFonts w:cs="Charis SIL"/>
          <w:sz w:val="20"/>
          <w:szCs w:val="20"/>
          <w:lang w:val="fi-FI"/>
        </w:rPr>
        <w:t xml:space="preserve">keppi’ &lt; mven. </w:t>
      </w:r>
      <w:r w:rsidRPr="00556D76">
        <w:rPr>
          <w:rFonts w:cs="Charis SIL"/>
          <w:i/>
          <w:sz w:val="20"/>
          <w:szCs w:val="20"/>
          <w:lang w:val="fi-FI"/>
        </w:rPr>
        <w:t>kǎlъ</w:t>
      </w:r>
      <w:r w:rsidRPr="00556D76">
        <w:rPr>
          <w:rFonts w:cs="Charis SIL"/>
          <w:sz w:val="20"/>
          <w:szCs w:val="20"/>
          <w:lang w:val="fi-FI"/>
        </w:rPr>
        <w:t xml:space="preserve">. Olen aiemmin esittänyt, että sana </w:t>
      </w:r>
      <w:r w:rsidRPr="00556D76">
        <w:rPr>
          <w:rFonts w:cs="Charis SIL"/>
          <w:i/>
          <w:sz w:val="20"/>
          <w:szCs w:val="20"/>
          <w:lang w:val="fi-FI"/>
        </w:rPr>
        <w:t xml:space="preserve">kalu </w:t>
      </w:r>
      <w:r w:rsidRPr="00556D76">
        <w:rPr>
          <w:rFonts w:cs="Charis SIL"/>
          <w:sz w:val="20"/>
          <w:szCs w:val="20"/>
          <w:lang w:val="fi-FI"/>
        </w:rPr>
        <w:t>voisi olla vanhempi laina samasta sanasta (Saarikivi 2009: 137</w:t>
      </w:r>
      <w:r w:rsidR="00156E29" w:rsidRPr="00556D76">
        <w:rPr>
          <w:rFonts w:cs="Charis SIL"/>
          <w:sz w:val="20"/>
          <w:szCs w:val="20"/>
          <w:lang w:val="fi-FI"/>
        </w:rPr>
        <w:t>–</w:t>
      </w:r>
      <w:r w:rsidRPr="00556D76">
        <w:rPr>
          <w:rFonts w:cs="Charis SIL"/>
          <w:sz w:val="20"/>
          <w:szCs w:val="20"/>
          <w:lang w:val="fi-FI"/>
        </w:rPr>
        <w:t>139).</w:t>
      </w:r>
    </w:p>
  </w:footnote>
  <w:footnote w:id="144">
    <w:p w14:paraId="6CAAFEB3" w14:textId="6EEACEB3" w:rsidR="0000782F" w:rsidRPr="00556D76" w:rsidRDefault="0000782F" w:rsidP="0099245C">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Ganander mainitsee myös uskomusolennet </w:t>
      </w:r>
      <w:r w:rsidRPr="00556D76">
        <w:rPr>
          <w:rFonts w:cs="Charis SIL"/>
          <w:i/>
          <w:sz w:val="20"/>
          <w:szCs w:val="20"/>
          <w:lang w:val="fi-FI"/>
        </w:rPr>
        <w:t xml:space="preserve">lemmes </w:t>
      </w:r>
      <w:r w:rsidR="00985F45" w:rsidRPr="00556D76">
        <w:rPr>
          <w:rFonts w:cs="Charis SIL"/>
          <w:sz w:val="20"/>
          <w:szCs w:val="20"/>
          <w:lang w:val="fi-FI"/>
        </w:rPr>
        <w:t>’</w:t>
      </w:r>
      <w:r w:rsidRPr="00556D76">
        <w:rPr>
          <w:rFonts w:cs="Charis SIL"/>
          <w:sz w:val="20"/>
          <w:szCs w:val="20"/>
          <w:lang w:val="fi-FI"/>
        </w:rPr>
        <w:t xml:space="preserve">en Skogs-Gud, eller </w:t>
      </w:r>
      <w:r w:rsidRPr="00556D76">
        <w:rPr>
          <w:rFonts w:cs="Charis SIL"/>
          <w:i/>
          <w:sz w:val="20"/>
          <w:szCs w:val="20"/>
          <w:lang w:val="fi-FI"/>
        </w:rPr>
        <w:t>Faun</w:t>
      </w:r>
      <w:r w:rsidRPr="00556D76">
        <w:rPr>
          <w:rFonts w:cs="Charis SIL"/>
          <w:sz w:val="20"/>
          <w:szCs w:val="20"/>
          <w:lang w:val="fi-FI"/>
        </w:rPr>
        <w:t xml:space="preserve">, som satte al och var dess Skyds patron’, </w:t>
      </w:r>
      <w:r w:rsidRPr="00556D76">
        <w:rPr>
          <w:rFonts w:cs="Charis SIL"/>
          <w:i/>
          <w:sz w:val="20"/>
          <w:szCs w:val="20"/>
          <w:lang w:val="fi-FI"/>
        </w:rPr>
        <w:t xml:space="preserve">lemmetär </w:t>
      </w:r>
      <w:r w:rsidR="00985F45" w:rsidRPr="00556D76">
        <w:rPr>
          <w:rFonts w:cs="Charis SIL"/>
          <w:sz w:val="20"/>
          <w:szCs w:val="20"/>
          <w:lang w:val="fi-FI"/>
        </w:rPr>
        <w:t>’</w:t>
      </w:r>
      <w:r w:rsidRPr="00556D76">
        <w:rPr>
          <w:rFonts w:cs="Charis SIL"/>
          <w:sz w:val="20"/>
          <w:szCs w:val="20"/>
          <w:lang w:val="fi-FI"/>
        </w:rPr>
        <w:t xml:space="preserve">en smidje-mö, som dragit på bälgen, då järnet danades’, </w:t>
      </w:r>
      <w:r w:rsidRPr="00556D76">
        <w:rPr>
          <w:rFonts w:cs="Charis SIL"/>
          <w:i/>
          <w:sz w:val="20"/>
          <w:szCs w:val="20"/>
          <w:lang w:val="fi-FI"/>
        </w:rPr>
        <w:t xml:space="preserve">lempo </w:t>
      </w:r>
      <w:r w:rsidR="00985F45" w:rsidRPr="00556D76">
        <w:rPr>
          <w:rFonts w:cs="Charis SIL"/>
          <w:sz w:val="20"/>
          <w:szCs w:val="20"/>
          <w:lang w:val="fi-FI"/>
        </w:rPr>
        <w:t>’</w:t>
      </w:r>
      <w:r w:rsidRPr="00556D76">
        <w:rPr>
          <w:rFonts w:cs="Charis SIL"/>
          <w:sz w:val="20"/>
          <w:szCs w:val="20"/>
          <w:lang w:val="fi-FI"/>
        </w:rPr>
        <w:t xml:space="preserve">en flygande ond ande; trollskott och sjelfver Hin Onde’ (Ganander 1789 s.v. </w:t>
      </w:r>
      <w:r w:rsidRPr="00556D76">
        <w:rPr>
          <w:rFonts w:cs="Charis SIL"/>
          <w:i/>
          <w:sz w:val="20"/>
          <w:szCs w:val="20"/>
          <w:lang w:val="fi-FI"/>
        </w:rPr>
        <w:t>lemmes, lemmetär, lempo</w:t>
      </w:r>
      <w:r w:rsidRPr="00556D76">
        <w:rPr>
          <w:rFonts w:cs="Charis SIL"/>
          <w:sz w:val="20"/>
          <w:szCs w:val="20"/>
          <w:lang w:val="fi-FI"/>
        </w:rPr>
        <w:t>), jotka vaikuttavat olevan yhteydessä yhtäältä tuleen (</w:t>
      </w:r>
      <w:r w:rsidRPr="00556D76">
        <w:rPr>
          <w:rFonts w:cs="Charis SIL"/>
          <w:i/>
          <w:sz w:val="20"/>
          <w:szCs w:val="20"/>
          <w:lang w:val="fi-FI"/>
        </w:rPr>
        <w:t>lemmetär</w:t>
      </w:r>
      <w:r w:rsidRPr="00556D76">
        <w:rPr>
          <w:rFonts w:cs="Charis SIL"/>
          <w:sz w:val="20"/>
          <w:szCs w:val="20"/>
          <w:lang w:val="fi-FI"/>
        </w:rPr>
        <w:t xml:space="preserve">) ja toisaalta </w:t>
      </w:r>
      <w:r w:rsidRPr="00556D76">
        <w:rPr>
          <w:rFonts w:cs="Charis SIL"/>
          <w:i/>
          <w:sz w:val="20"/>
          <w:szCs w:val="20"/>
          <w:lang w:val="fi-FI"/>
        </w:rPr>
        <w:t>lempi-</w:t>
      </w:r>
      <w:r w:rsidRPr="00556D76">
        <w:rPr>
          <w:rFonts w:cs="Charis SIL"/>
          <w:sz w:val="20"/>
          <w:szCs w:val="20"/>
          <w:lang w:val="fi-FI"/>
        </w:rPr>
        <w:t xml:space="preserve">sanueeseen </w:t>
      </w:r>
      <w:r w:rsidR="00C41E30" w:rsidRPr="00556D76">
        <w:rPr>
          <w:rFonts w:cs="Charis SIL"/>
          <w:sz w:val="20"/>
          <w:szCs w:val="20"/>
          <w:lang w:val="fi-FI"/>
        </w:rPr>
        <w:br/>
      </w:r>
      <w:r w:rsidRPr="00556D76">
        <w:rPr>
          <w:rFonts w:cs="Charis SIL"/>
          <w:sz w:val="20"/>
          <w:szCs w:val="20"/>
          <w:lang w:val="fi-FI"/>
        </w:rPr>
        <w:t xml:space="preserve">(vrt. myös esim. </w:t>
      </w:r>
      <w:r w:rsidRPr="00556D76">
        <w:rPr>
          <w:rFonts w:cs="Charis SIL"/>
          <w:i/>
          <w:sz w:val="20"/>
          <w:szCs w:val="20"/>
          <w:lang w:val="fi-FI"/>
        </w:rPr>
        <w:t xml:space="preserve">leimahtaa, lemmahtaa </w:t>
      </w:r>
      <w:r w:rsidR="00985F45" w:rsidRPr="00556D76">
        <w:rPr>
          <w:rFonts w:cs="Charis SIL"/>
          <w:sz w:val="20"/>
          <w:szCs w:val="20"/>
          <w:lang w:val="fi-FI"/>
        </w:rPr>
        <w:t>’</w:t>
      </w:r>
      <w:r w:rsidRPr="00556D76">
        <w:rPr>
          <w:rFonts w:cs="Charis SIL"/>
          <w:sz w:val="20"/>
          <w:szCs w:val="20"/>
          <w:lang w:val="fi-FI"/>
        </w:rPr>
        <w:t xml:space="preserve">syttyä’, jotka näyttäisivät viittavan </w:t>
      </w:r>
      <w:r w:rsidR="00C41E30" w:rsidRPr="00556D76">
        <w:rPr>
          <w:rFonts w:cs="Charis SIL"/>
          <w:sz w:val="20"/>
          <w:szCs w:val="20"/>
          <w:lang w:val="fi-FI"/>
        </w:rPr>
        <w:br/>
      </w:r>
      <w:r w:rsidR="00985F45" w:rsidRPr="00556D76">
        <w:rPr>
          <w:rFonts w:cs="Charis SIL"/>
          <w:sz w:val="20"/>
          <w:szCs w:val="20"/>
          <w:lang w:val="fi-FI"/>
        </w:rPr>
        <w:t>’</w:t>
      </w:r>
      <w:r w:rsidRPr="00556D76">
        <w:rPr>
          <w:rFonts w:cs="Charis SIL"/>
          <w:sz w:val="20"/>
          <w:szCs w:val="20"/>
          <w:lang w:val="fi-FI"/>
        </w:rPr>
        <w:t xml:space="preserve">lemmen’ ja </w:t>
      </w:r>
      <w:r w:rsidR="00985F45" w:rsidRPr="00556D76">
        <w:rPr>
          <w:rFonts w:cs="Charis SIL"/>
          <w:sz w:val="20"/>
          <w:szCs w:val="20"/>
          <w:lang w:val="fi-FI"/>
        </w:rPr>
        <w:t>’</w:t>
      </w:r>
      <w:r w:rsidRPr="00556D76">
        <w:rPr>
          <w:rFonts w:cs="Charis SIL"/>
          <w:sz w:val="20"/>
          <w:szCs w:val="20"/>
          <w:lang w:val="fi-FI"/>
        </w:rPr>
        <w:t>tulen’ käsitteiden mahdolliseen yhteyteen)</w:t>
      </w:r>
      <w:r w:rsidRPr="00556D76">
        <w:rPr>
          <w:rFonts w:cs="Charis SIL"/>
          <w:i/>
          <w:sz w:val="20"/>
          <w:szCs w:val="20"/>
          <w:lang w:val="fi-FI"/>
        </w:rPr>
        <w:t xml:space="preserve">. </w:t>
      </w:r>
      <w:r w:rsidRPr="00556D76">
        <w:rPr>
          <w:rFonts w:cs="Charis SIL"/>
          <w:sz w:val="20"/>
          <w:szCs w:val="20"/>
          <w:lang w:val="fi-FI"/>
        </w:rPr>
        <w:t xml:space="preserve">Koko sanue on kuitenkin erittäin laaja ja monimutkainen, eikä sen käsittely kuulu tähän yhteyteen. Ottaen huomioon nykyiset äännehistorialliset käsitykset, joiden mukaan uralilainen 1. tavun </w:t>
      </w:r>
      <w:r w:rsidRPr="00556D76">
        <w:rPr>
          <w:rFonts w:cs="Charis SIL"/>
          <w:i/>
          <w:sz w:val="20"/>
          <w:szCs w:val="20"/>
          <w:lang w:val="fi-FI"/>
        </w:rPr>
        <w:t xml:space="preserve">*ä </w:t>
      </w:r>
      <w:r w:rsidRPr="00556D76">
        <w:rPr>
          <w:rFonts w:cs="Charis SIL"/>
          <w:sz w:val="20"/>
          <w:szCs w:val="20"/>
          <w:lang w:val="fi-FI"/>
        </w:rPr>
        <w:t>esiintyy diftongina 2. tavun suppean vokaalin edellä (*</w:t>
      </w:r>
      <w:r w:rsidRPr="00556D76">
        <w:rPr>
          <w:rFonts w:cs="Charis SIL"/>
          <w:i/>
          <w:sz w:val="20"/>
          <w:szCs w:val="20"/>
          <w:lang w:val="fi-FI"/>
        </w:rPr>
        <w:t xml:space="preserve">käle </w:t>
      </w:r>
      <w:r w:rsidRPr="00556D76">
        <w:rPr>
          <w:rFonts w:cs="Charis SIL"/>
          <w:sz w:val="20"/>
          <w:szCs w:val="20"/>
          <w:lang w:val="fi-FI"/>
        </w:rPr>
        <w:t xml:space="preserve">→ </w:t>
      </w:r>
      <w:r w:rsidRPr="00556D76">
        <w:rPr>
          <w:rFonts w:cs="Charis SIL"/>
          <w:i/>
          <w:sz w:val="20"/>
          <w:szCs w:val="20"/>
          <w:lang w:val="fi-FI"/>
        </w:rPr>
        <w:t xml:space="preserve">kieli, *ńäle </w:t>
      </w:r>
      <w:r w:rsidRPr="00556D76">
        <w:rPr>
          <w:rFonts w:cs="Charis SIL"/>
          <w:sz w:val="20"/>
          <w:szCs w:val="20"/>
          <w:lang w:val="fi-FI"/>
        </w:rPr>
        <w:t xml:space="preserve">→ </w:t>
      </w:r>
      <w:r w:rsidRPr="00556D76">
        <w:rPr>
          <w:rFonts w:cs="Charis SIL"/>
          <w:i/>
          <w:sz w:val="20"/>
          <w:szCs w:val="20"/>
          <w:lang w:val="fi-FI"/>
        </w:rPr>
        <w:t xml:space="preserve">niele-, *mäle </w:t>
      </w:r>
      <w:r w:rsidRPr="00556D76">
        <w:rPr>
          <w:rFonts w:cs="Charis SIL"/>
          <w:sz w:val="20"/>
          <w:szCs w:val="20"/>
          <w:lang w:val="fi-FI"/>
        </w:rPr>
        <w:t xml:space="preserve">→ </w:t>
      </w:r>
      <w:r w:rsidRPr="00556D76">
        <w:rPr>
          <w:rFonts w:cs="Charis SIL"/>
          <w:i/>
          <w:sz w:val="20"/>
          <w:szCs w:val="20"/>
          <w:lang w:val="fi-FI"/>
        </w:rPr>
        <w:t>mieli</w:t>
      </w:r>
      <w:r w:rsidRPr="00556D76">
        <w:rPr>
          <w:rFonts w:cs="Charis SIL"/>
          <w:sz w:val="20"/>
          <w:szCs w:val="20"/>
          <w:lang w:val="fi-FI"/>
        </w:rPr>
        <w:t xml:space="preserve">, vrt. Aikio 2012), voi kysyä eikö koko sanaryhmä alkuaan ole sama kuin </w:t>
      </w:r>
      <w:r w:rsidRPr="00556D76">
        <w:rPr>
          <w:rFonts w:cs="Charis SIL"/>
          <w:i/>
          <w:sz w:val="20"/>
          <w:szCs w:val="20"/>
          <w:lang w:val="fi-FI"/>
        </w:rPr>
        <w:t>*lämpe</w:t>
      </w:r>
      <w:r w:rsidRPr="00556D76">
        <w:rPr>
          <w:rFonts w:cs="Charis SIL"/>
          <w:sz w:val="20"/>
          <w:szCs w:val="20"/>
          <w:lang w:val="fi-FI"/>
        </w:rPr>
        <w:t xml:space="preserve">-sanue (&gt; su </w:t>
      </w:r>
      <w:r w:rsidRPr="00556D76">
        <w:rPr>
          <w:rFonts w:cs="Charis SIL"/>
          <w:i/>
          <w:sz w:val="20"/>
          <w:szCs w:val="20"/>
          <w:lang w:val="fi-FI"/>
        </w:rPr>
        <w:t>lämmin, lämpö</w:t>
      </w:r>
      <w:r w:rsidRPr="00556D76">
        <w:rPr>
          <w:rFonts w:cs="Charis SIL"/>
          <w:sz w:val="20"/>
          <w:szCs w:val="20"/>
          <w:lang w:val="fi-FI"/>
        </w:rPr>
        <w:t xml:space="preserve">), mutta kysymys ei kuulu </w:t>
      </w:r>
      <w:r w:rsidR="00C41E30" w:rsidRPr="00556D76">
        <w:rPr>
          <w:rFonts w:cs="Charis SIL"/>
          <w:sz w:val="20"/>
          <w:szCs w:val="20"/>
          <w:lang w:val="fi-FI"/>
        </w:rPr>
        <w:br/>
      </w:r>
      <w:r w:rsidRPr="00556D76">
        <w:rPr>
          <w:rFonts w:cs="Charis SIL"/>
          <w:sz w:val="20"/>
          <w:szCs w:val="20"/>
          <w:lang w:val="fi-FI"/>
        </w:rPr>
        <w:t>tämän tutkimuksen piiriin.</w:t>
      </w:r>
    </w:p>
  </w:footnote>
  <w:footnote w:id="145">
    <w:p w14:paraId="76F9F902" w14:textId="2FE50BF8" w:rsidR="0000782F" w:rsidRPr="00556D76" w:rsidRDefault="0000782F" w:rsidP="0099245C">
      <w:pPr>
        <w:spacing w:line="240" w:lineRule="auto"/>
        <w:rPr>
          <w:rFonts w:cs="Charis SIL"/>
          <w:i/>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Sanaa </w:t>
      </w:r>
      <w:r w:rsidRPr="00556D76">
        <w:rPr>
          <w:rFonts w:cs="Charis SIL"/>
          <w:i/>
          <w:sz w:val="20"/>
          <w:szCs w:val="20"/>
          <w:lang w:val="fi-FI"/>
        </w:rPr>
        <w:t xml:space="preserve">kirkko </w:t>
      </w:r>
      <w:r w:rsidRPr="00556D76">
        <w:rPr>
          <w:rFonts w:cs="Charis SIL"/>
          <w:sz w:val="20"/>
          <w:szCs w:val="20"/>
          <w:lang w:val="fi-FI"/>
        </w:rPr>
        <w:t xml:space="preserve">on pidetty mm. muinaisruotsalaisena (SSA s.v. </w:t>
      </w:r>
      <w:r w:rsidRPr="00556D76">
        <w:rPr>
          <w:rFonts w:cs="Charis SIL"/>
          <w:i/>
          <w:sz w:val="20"/>
          <w:szCs w:val="20"/>
          <w:lang w:val="fi-FI"/>
        </w:rPr>
        <w:t>kirkko</w:t>
      </w:r>
      <w:r w:rsidRPr="00556D76">
        <w:rPr>
          <w:rFonts w:cs="Charis SIL"/>
          <w:sz w:val="20"/>
          <w:szCs w:val="20"/>
          <w:lang w:val="fi-FI"/>
        </w:rPr>
        <w:t xml:space="preserve">) ja alasaksalaisena (Bentlin 2008) lainana. Sana vaikuttaisi kuitenkin olevan suomeen lainattu itämerensuomeen vähintään kahdesti, 2- ja 3-tavuisena versiona (su </w:t>
      </w:r>
      <w:r w:rsidRPr="00556D76">
        <w:rPr>
          <w:rFonts w:cs="Charis SIL"/>
          <w:i/>
          <w:sz w:val="20"/>
          <w:szCs w:val="20"/>
          <w:lang w:val="fi-FI"/>
        </w:rPr>
        <w:t xml:space="preserve">kirkko </w:t>
      </w:r>
      <w:r w:rsidRPr="00556D76">
        <w:rPr>
          <w:rFonts w:cs="Charis SIL"/>
          <w:sz w:val="20"/>
          <w:szCs w:val="20"/>
          <w:lang w:val="fi-FI"/>
        </w:rPr>
        <w:t xml:space="preserve">ja ka </w:t>
      </w:r>
      <w:r w:rsidRPr="00556D76">
        <w:rPr>
          <w:rFonts w:cs="Charis SIL"/>
          <w:i/>
          <w:sz w:val="20"/>
          <w:szCs w:val="20"/>
          <w:lang w:val="fi-FI"/>
        </w:rPr>
        <w:t xml:space="preserve">kirikkö, </w:t>
      </w:r>
      <w:r w:rsidRPr="00556D76">
        <w:rPr>
          <w:rFonts w:cs="Charis SIL"/>
          <w:sz w:val="20"/>
          <w:szCs w:val="20"/>
          <w:lang w:val="fi-FI"/>
        </w:rPr>
        <w:t xml:space="preserve">vi </w:t>
      </w:r>
      <w:r w:rsidRPr="00556D76">
        <w:rPr>
          <w:rFonts w:cs="Charis SIL"/>
          <w:i/>
          <w:sz w:val="20"/>
          <w:szCs w:val="20"/>
          <w:lang w:val="fi-FI"/>
        </w:rPr>
        <w:t>kirik</w:t>
      </w:r>
      <w:r w:rsidRPr="00556D76">
        <w:rPr>
          <w:rFonts w:cs="Charis SIL"/>
          <w:sz w:val="20"/>
          <w:szCs w:val="20"/>
          <w:lang w:val="fi-FI"/>
        </w:rPr>
        <w:t xml:space="preserve">), mahdollisesti jopa kolmasti (vi murt </w:t>
      </w:r>
      <w:r w:rsidRPr="00556D76">
        <w:rPr>
          <w:rFonts w:cs="Charis SIL"/>
          <w:i/>
          <w:sz w:val="20"/>
          <w:szCs w:val="20"/>
          <w:lang w:val="fi-FI"/>
        </w:rPr>
        <w:t xml:space="preserve">kerik, </w:t>
      </w:r>
      <w:r w:rsidRPr="00556D76">
        <w:rPr>
          <w:rFonts w:cs="Charis SIL"/>
          <w:sz w:val="20"/>
          <w:szCs w:val="20"/>
          <w:lang w:val="fi-FI"/>
        </w:rPr>
        <w:t xml:space="preserve">va </w:t>
      </w:r>
      <w:r w:rsidRPr="00556D76">
        <w:rPr>
          <w:rFonts w:cs="Charis SIL"/>
          <w:i/>
          <w:sz w:val="20"/>
          <w:szCs w:val="20"/>
          <w:lang w:val="fi-FI"/>
        </w:rPr>
        <w:t>čerikko</w:t>
      </w:r>
      <w:r w:rsidRPr="00556D76">
        <w:rPr>
          <w:rFonts w:cs="Charis SIL"/>
          <w:sz w:val="20"/>
          <w:szCs w:val="20"/>
          <w:lang w:val="fi-FI"/>
        </w:rPr>
        <w:t>). Olen esittänyt, että kyseessä voisi vähintään yhtä hyvin olla myös slaavilainen laina – erityisesti kolmitavuinen variantti viittaa slaavilaiseen alkuperään (&lt;</w:t>
      </w:r>
      <w:r w:rsidRPr="00556D76">
        <w:rPr>
          <w:rFonts w:cs="Charis SIL"/>
          <w:i/>
          <w:sz w:val="20"/>
          <w:szCs w:val="20"/>
          <w:lang w:val="fi-FI"/>
        </w:rPr>
        <w:t xml:space="preserve">*kĭrĭku, </w:t>
      </w:r>
      <w:r w:rsidRPr="00556D76">
        <w:rPr>
          <w:rFonts w:cs="Charis SIL"/>
          <w:sz w:val="20"/>
          <w:szCs w:val="20"/>
          <w:lang w:val="fi-FI"/>
        </w:rPr>
        <w:t xml:space="preserve">josta muinaiskirkkoslaavin </w:t>
      </w:r>
      <w:r w:rsidRPr="00556D76">
        <w:rPr>
          <w:rFonts w:cs="Charis SIL"/>
          <w:i/>
          <w:sz w:val="20"/>
          <w:szCs w:val="20"/>
          <w:lang w:val="fi-FI"/>
        </w:rPr>
        <w:t xml:space="preserve">црькы, </w:t>
      </w:r>
      <w:r w:rsidRPr="00556D76">
        <w:rPr>
          <w:rFonts w:cs="Charis SIL"/>
          <w:sz w:val="20"/>
          <w:szCs w:val="20"/>
          <w:lang w:val="fi-FI"/>
        </w:rPr>
        <w:t xml:space="preserve">ja muinaisvenäjän </w:t>
      </w:r>
      <w:r w:rsidRPr="00556D76">
        <w:rPr>
          <w:rFonts w:eastAsia="Times New Roman" w:cs="Charis SIL"/>
          <w:i/>
          <w:sz w:val="20"/>
          <w:szCs w:val="20"/>
          <w:lang w:val="fi-FI"/>
        </w:rPr>
        <w:t>цьркы</w:t>
      </w:r>
      <w:r w:rsidRPr="00556D76">
        <w:rPr>
          <w:rFonts w:cs="Charis SIL"/>
          <w:i/>
          <w:sz w:val="20"/>
          <w:szCs w:val="20"/>
          <w:lang w:val="fi-FI"/>
        </w:rPr>
        <w:t>,</w:t>
      </w:r>
      <w:r w:rsidR="000121EA" w:rsidRPr="00556D76">
        <w:rPr>
          <w:rFonts w:cs="Charis SIL"/>
          <w:i/>
          <w:sz w:val="20"/>
          <w:szCs w:val="20"/>
          <w:lang w:val="fi-FI"/>
        </w:rPr>
        <w:t xml:space="preserve"> </w:t>
      </w:r>
      <w:r w:rsidRPr="00556D76">
        <w:rPr>
          <w:rFonts w:cs="Charis SIL"/>
          <w:sz w:val="20"/>
          <w:szCs w:val="20"/>
          <w:lang w:val="fi-FI"/>
        </w:rPr>
        <w:t xml:space="preserve">vrt. Saarikivi 2014). Alkuaan sana on kreikasta (&lt; </w:t>
      </w:r>
      <w:r w:rsidRPr="00556D76">
        <w:rPr>
          <w:rFonts w:eastAsia="Times New Roman" w:cs="Cambria"/>
          <w:i/>
          <w:iCs/>
          <w:sz w:val="20"/>
          <w:szCs w:val="20"/>
          <w:lang w:val="fi-FI"/>
        </w:rPr>
        <w:t>κυ</w:t>
      </w:r>
      <w:r w:rsidRPr="00556D76">
        <w:rPr>
          <w:rFonts w:eastAsia="Times New Roman" w:cs="Charis SIL"/>
          <w:i/>
          <w:iCs/>
          <w:sz w:val="20"/>
          <w:szCs w:val="20"/>
          <w:lang w:val="fi-FI"/>
        </w:rPr>
        <w:t>ρ</w:t>
      </w:r>
      <w:r w:rsidRPr="00556D76">
        <w:rPr>
          <w:rFonts w:eastAsia="Times New Roman" w:cs="Cambria"/>
          <w:i/>
          <w:iCs/>
          <w:sz w:val="20"/>
          <w:szCs w:val="20"/>
          <w:lang w:val="fi-FI"/>
        </w:rPr>
        <w:t>ι</w:t>
      </w:r>
      <w:r w:rsidRPr="00556D76">
        <w:rPr>
          <w:rFonts w:eastAsia="Times New Roman" w:cs="Charis SIL"/>
          <w:i/>
          <w:iCs/>
          <w:sz w:val="20"/>
          <w:szCs w:val="20"/>
          <w:lang w:val="fi-FI"/>
        </w:rPr>
        <w:t>α</w:t>
      </w:r>
      <w:r w:rsidRPr="00556D76">
        <w:rPr>
          <w:rFonts w:eastAsia="Times New Roman" w:cs="Cambria"/>
          <w:i/>
          <w:iCs/>
          <w:sz w:val="20"/>
          <w:szCs w:val="20"/>
          <w:lang w:val="fi-FI"/>
        </w:rPr>
        <w:t>κόν</w:t>
      </w:r>
      <w:r w:rsidRPr="00556D76">
        <w:rPr>
          <w:rFonts w:eastAsia="Times New Roman" w:cs="Charis SIL"/>
          <w:sz w:val="20"/>
          <w:szCs w:val="20"/>
          <w:lang w:val="fi-FI"/>
        </w:rPr>
        <w:t xml:space="preserve"> </w:t>
      </w:r>
      <w:r w:rsidR="00985F45" w:rsidRPr="00556D76">
        <w:rPr>
          <w:rFonts w:cs="Charis SIL"/>
          <w:sz w:val="20"/>
          <w:szCs w:val="20"/>
          <w:lang w:val="fi-FI"/>
        </w:rPr>
        <w:t>’</w:t>
      </w:r>
      <w:r w:rsidRPr="00556D76">
        <w:rPr>
          <w:rFonts w:cs="Charis SIL"/>
          <w:sz w:val="20"/>
          <w:szCs w:val="20"/>
          <w:lang w:val="fi-FI"/>
        </w:rPr>
        <w:t>herran talo’</w:t>
      </w:r>
      <w:r w:rsidRPr="00556D76">
        <w:rPr>
          <w:rFonts w:eastAsia="Times New Roman" w:cs="Charis SIL"/>
          <w:sz w:val="20"/>
          <w:szCs w:val="20"/>
          <w:lang w:val="fi-FI"/>
        </w:rPr>
        <w:t>).</w:t>
      </w:r>
    </w:p>
  </w:footnote>
  <w:footnote w:id="146">
    <w:p w14:paraId="0542E10B" w14:textId="77777777" w:rsidR="00EC74AD" w:rsidRPr="00556D76" w:rsidRDefault="00EC74AD"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The choice of photos that we could use for the questionnaire was limited to those under a Creative Commons license or those that we could legally obtain from the copyright owners. Due to this, not all of the pictures completely matched the description above, and some of them belonged to a cultural context that was different from what the speakers of the target languages might be used to. Nevertheless, judging by the responses we received, the jobs were still recognizable to most speakers.</w:t>
      </w:r>
    </w:p>
  </w:footnote>
  <w:footnote w:id="147">
    <w:p w14:paraId="71C006BC" w14:textId="77777777" w:rsidR="00EC74AD" w:rsidRPr="00556D76" w:rsidRDefault="00EC74A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This relatively small share can perhaps be explained by the fact that the word </w:t>
      </w:r>
      <w:r w:rsidRPr="00556D76">
        <w:rPr>
          <w:rFonts w:cs="Charis SIL"/>
          <w:i/>
          <w:iCs/>
          <w:sz w:val="20"/>
          <w:szCs w:val="20"/>
          <w:lang w:val="en-IE"/>
        </w:rPr>
        <w:t>myyjä</w:t>
      </w:r>
      <w:r w:rsidRPr="00556D76">
        <w:rPr>
          <w:rFonts w:cs="Charis SIL"/>
          <w:sz w:val="20"/>
          <w:szCs w:val="20"/>
          <w:lang w:val="en-IE"/>
        </w:rPr>
        <w:t xml:space="preserve"> is also widely used to refer to non-human sellers, such as companies.</w:t>
      </w:r>
    </w:p>
  </w:footnote>
  <w:footnote w:id="148">
    <w:p w14:paraId="6ECF4CC9" w14:textId="77777777" w:rsidR="00EC74AD" w:rsidRPr="00556D76" w:rsidRDefault="00EC74A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We removed the word pair </w:t>
      </w:r>
      <w:r w:rsidRPr="00556D76">
        <w:rPr>
          <w:rFonts w:cs="Charis SIL"/>
          <w:i/>
          <w:iCs/>
          <w:sz w:val="20"/>
          <w:szCs w:val="20"/>
          <w:lang w:val="en-IE"/>
        </w:rPr>
        <w:t>kalamies</w:t>
      </w:r>
      <w:r w:rsidRPr="00556D76">
        <w:rPr>
          <w:rFonts w:cs="Charis SIL"/>
          <w:sz w:val="20"/>
          <w:szCs w:val="20"/>
          <w:lang w:val="en-IE"/>
        </w:rPr>
        <w:t xml:space="preserve"> → </w:t>
      </w:r>
      <w:r w:rsidRPr="00556D76">
        <w:rPr>
          <w:rFonts w:cs="Charis SIL"/>
          <w:i/>
          <w:iCs/>
          <w:sz w:val="20"/>
          <w:szCs w:val="20"/>
          <w:lang w:val="en-IE"/>
        </w:rPr>
        <w:t>kalanainen</w:t>
      </w:r>
      <w:r w:rsidRPr="00556D76">
        <w:rPr>
          <w:rFonts w:cs="Charis SIL"/>
          <w:sz w:val="20"/>
          <w:szCs w:val="20"/>
          <w:lang w:val="en-IE"/>
        </w:rPr>
        <w:t xml:space="preserve"> ‘fisherman’ from the analysis, because in many cases these words were used to refer to a person whose astrological sign is Pisces. This is particularly typical of the word </w:t>
      </w:r>
      <w:r w:rsidRPr="00556D76">
        <w:rPr>
          <w:rFonts w:cs="Charis SIL"/>
          <w:i/>
          <w:sz w:val="20"/>
          <w:szCs w:val="20"/>
          <w:lang w:val="en-IE"/>
        </w:rPr>
        <w:t>kalanainen</w:t>
      </w:r>
      <w:r w:rsidRPr="00556D76">
        <w:rPr>
          <w:rFonts w:cs="Charis SIL"/>
          <w:sz w:val="20"/>
          <w:szCs w:val="20"/>
          <w:lang w:val="en-IE"/>
        </w:rPr>
        <w:t>, which explains why it is relatively frequent if compared to the masculine counterpart (</w:t>
      </w:r>
      <w:r w:rsidRPr="00556D76">
        <w:rPr>
          <w:rFonts w:cs="Charis SIL"/>
          <w:i/>
          <w:sz w:val="20"/>
          <w:szCs w:val="20"/>
          <w:lang w:val="en-IE"/>
        </w:rPr>
        <w:t>kalamies</w:t>
      </w:r>
      <w:r w:rsidRPr="00556D76">
        <w:rPr>
          <w:rFonts w:cs="Charis SIL"/>
          <w:sz w:val="20"/>
          <w:szCs w:val="20"/>
          <w:lang w:val="en-IE"/>
        </w:rPr>
        <w:t xml:space="preserve"> 6 962, </w:t>
      </w:r>
      <w:r w:rsidRPr="00556D76">
        <w:rPr>
          <w:rFonts w:cs="Charis SIL"/>
          <w:i/>
          <w:sz w:val="20"/>
          <w:szCs w:val="20"/>
          <w:lang w:val="en-IE"/>
        </w:rPr>
        <w:t>kalanainen</w:t>
      </w:r>
      <w:r w:rsidRPr="00556D76">
        <w:rPr>
          <w:rFonts w:cs="Charis SIL"/>
          <w:sz w:val="20"/>
          <w:szCs w:val="20"/>
          <w:lang w:val="en-IE"/>
        </w:rPr>
        <w:t xml:space="preserve"> 1 411; ratio 0.20). We did not encounter the same problem with the Estonian data, so the respective words in Estonian are analysed normally.</w:t>
      </w:r>
    </w:p>
  </w:footnote>
  <w:footnote w:id="149">
    <w:p w14:paraId="21C1A9D7" w14:textId="33998DD3" w:rsidR="00EC74AD" w:rsidRPr="00556D76" w:rsidRDefault="00EC74AD"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Ametniku soovitussõnastik (</w:t>
      </w:r>
      <w:hyperlink r:id="rId49" w:history="1">
        <w:r w:rsidRPr="00556D76">
          <w:rPr>
            <w:rFonts w:cs="Charis SIL"/>
            <w:sz w:val="20"/>
            <w:szCs w:val="20"/>
            <w:u w:val="single"/>
            <w:lang w:val="en-IE"/>
          </w:rPr>
          <w:t>www.eki.ee/dict/ametnik/</w:t>
        </w:r>
      </w:hyperlink>
      <w:r w:rsidRPr="00556D76">
        <w:rPr>
          <w:rFonts w:cs="Charis SIL"/>
          <w:sz w:val="20"/>
          <w:szCs w:val="20"/>
          <w:lang w:val="en-IE"/>
        </w:rPr>
        <w:t>).</w:t>
      </w:r>
    </w:p>
  </w:footnote>
  <w:footnote w:id="150">
    <w:p w14:paraId="1D9D6976" w14:textId="77777777" w:rsidR="00EC74AD" w:rsidRPr="00556D76" w:rsidRDefault="00EC74A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While </w:t>
      </w:r>
      <w:r w:rsidRPr="00556D76">
        <w:rPr>
          <w:rFonts w:cs="Charis SIL"/>
          <w:i/>
          <w:iCs/>
          <w:sz w:val="20"/>
          <w:szCs w:val="20"/>
          <w:lang w:val="en-IE"/>
        </w:rPr>
        <w:t>õde</w:t>
      </w:r>
      <w:r w:rsidRPr="00556D76">
        <w:rPr>
          <w:rFonts w:cs="Charis SIL"/>
          <w:sz w:val="20"/>
          <w:szCs w:val="20"/>
          <w:lang w:val="en-IE"/>
        </w:rPr>
        <w:t xml:space="preserve"> is the most common word for ‘nurse’, it can also refer to the homonymous kinship term ‘sister’. For that reason, the corpus search focused on the unambiguous term </w:t>
      </w:r>
      <w:r w:rsidRPr="00556D76">
        <w:rPr>
          <w:rFonts w:cs="Charis SIL"/>
          <w:i/>
          <w:iCs/>
          <w:sz w:val="20"/>
          <w:szCs w:val="20"/>
          <w:lang w:val="en-IE"/>
        </w:rPr>
        <w:t>medõde</w:t>
      </w:r>
      <w:r w:rsidRPr="00556D76">
        <w:rPr>
          <w:rFonts w:cs="Charis SIL"/>
          <w:sz w:val="20"/>
          <w:szCs w:val="20"/>
          <w:lang w:val="en-IE"/>
        </w:rPr>
        <w:t xml:space="preserve"> instead.</w:t>
      </w:r>
    </w:p>
  </w:footnote>
  <w:footnote w:id="151">
    <w:p w14:paraId="3AE38ADD" w14:textId="77777777" w:rsidR="00EC74AD" w:rsidRPr="00556D76" w:rsidRDefault="00EC74A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One of our respondents used these terms to refer to a nun and a monk, although originally the word </w:t>
      </w:r>
      <w:r w:rsidRPr="00556D76">
        <w:rPr>
          <w:rFonts w:cs="Charis SIL"/>
          <w:i/>
          <w:iCs/>
          <w:sz w:val="20"/>
          <w:szCs w:val="20"/>
          <w:lang w:val="en-IE"/>
        </w:rPr>
        <w:t xml:space="preserve">pūp </w:t>
      </w:r>
      <w:r w:rsidRPr="00556D76">
        <w:rPr>
          <w:rFonts w:cs="Charis SIL"/>
          <w:sz w:val="20"/>
          <w:szCs w:val="20"/>
          <w:lang w:val="en-IE"/>
        </w:rPr>
        <w:t>means ‘priest’.</w:t>
      </w:r>
    </w:p>
  </w:footnote>
  <w:footnote w:id="152">
    <w:p w14:paraId="51DAC30A" w14:textId="1CE4C44A" w:rsidR="00092304" w:rsidRPr="00556D76" w:rsidRDefault="0009230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50" w:history="1">
        <w:r w:rsidR="001F54A8" w:rsidRPr="00556D76">
          <w:rPr>
            <w:rStyle w:val="Hyperlink"/>
            <w:rFonts w:cs="Charis SIL"/>
            <w:color w:val="auto"/>
            <w:sz w:val="20"/>
            <w:szCs w:val="20"/>
            <w:lang w:val="en-IE"/>
          </w:rPr>
          <w:t>commons.wikimedia.org/wiki/File:BodyPlanes.jpg</w:t>
        </w:r>
      </w:hyperlink>
    </w:p>
  </w:footnote>
  <w:footnote w:id="153">
    <w:p w14:paraId="50792E00" w14:textId="77777777" w:rsidR="00092304" w:rsidRPr="00556D76" w:rsidRDefault="0009230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Hajdú (1951: 175) etymologically derives the word from the word ‘straight’. Without analyzing his etymology in more detail, it has to be noted here that this must be considered rather problematic.</w:t>
      </w:r>
    </w:p>
  </w:footnote>
  <w:footnote w:id="154">
    <w:p w14:paraId="53E687E5" w14:textId="4240167C" w:rsidR="00092304" w:rsidRPr="00556D76" w:rsidRDefault="00092304"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based on Popov 1948: 87, modified by Laetitia Lilla Wagner</w:t>
      </w:r>
      <w:r w:rsidR="00E1311F" w:rsidRPr="00556D76">
        <w:rPr>
          <w:rFonts w:cs="Charis SIL"/>
          <w:sz w:val="20"/>
          <w:szCs w:val="20"/>
          <w:lang w:val="en-IE"/>
        </w:rPr>
        <w:t xml:space="preserve"> and Jeremy Bradley</w:t>
      </w:r>
      <w:r w:rsidRPr="00556D76">
        <w:rPr>
          <w:rFonts w:cs="Charis SIL"/>
          <w:sz w:val="20"/>
          <w:szCs w:val="20"/>
          <w:lang w:val="en-IE"/>
        </w:rPr>
        <w:t>; map data from OpenStreetMap</w:t>
      </w:r>
    </w:p>
  </w:footnote>
  <w:footnote w:id="155">
    <w:p w14:paraId="7FEEC1B6" w14:textId="77777777" w:rsidR="003E0C4B" w:rsidRPr="00556D76" w:rsidRDefault="003E0C4B" w:rsidP="007032B8">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Virolaisten tutkijoiden keskuudessa kannatusta ovat saaneet myös ajatukset tämän sana- ja suffiksiryhmän illatiivisesta ja latiivisesta alkuperästä (ks. esim. Oinas 1951: 44–48, 64–67, 74–76; Habicht 2000: 43–44; Metslang ym. 2017: 150; Prillop ym. 2020: 310).</w:t>
      </w:r>
    </w:p>
  </w:footnote>
  <w:footnote w:id="156">
    <w:p w14:paraId="058A613A" w14:textId="77777777" w:rsidR="003E0C4B" w:rsidRPr="00556D76" w:rsidRDefault="003E0C4B" w:rsidP="007032B8">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Tarkalleen ottaen Ravilan (1946: 47–48) ensimmäinen laitos sisältää ilmeisen ladontavirheen vuoksi muodon </w:t>
      </w:r>
      <w:r w:rsidRPr="00556D76">
        <w:rPr>
          <w:rFonts w:cs="Charis SIL"/>
          <w:i/>
          <w:iCs/>
          <w:sz w:val="20"/>
          <w:szCs w:val="20"/>
          <w:lang w:val="fi-FI"/>
        </w:rPr>
        <w:t>isä</w:t>
      </w:r>
      <w:r w:rsidRPr="00556D76">
        <w:rPr>
          <w:rFonts w:cs="Cambria"/>
          <w:i/>
          <w:iCs/>
          <w:sz w:val="20"/>
          <w:szCs w:val="20"/>
          <w:lang w:val="fi-FI"/>
        </w:rPr>
        <w:t>η</w:t>
      </w:r>
      <w:r w:rsidRPr="00556D76">
        <w:rPr>
          <w:rFonts w:cs="Charis SIL"/>
          <w:i/>
          <w:iCs/>
          <w:sz w:val="20"/>
          <w:szCs w:val="20"/>
          <w:lang w:val="fi-FI"/>
        </w:rPr>
        <w:t xml:space="preserve">kā </w:t>
      </w:r>
      <w:r w:rsidRPr="00556D76">
        <w:rPr>
          <w:rFonts w:cs="Charis SIL"/>
          <w:sz w:val="20"/>
          <w:szCs w:val="20"/>
          <w:lang w:val="fi-FI"/>
        </w:rPr>
        <w:t xml:space="preserve">pro </w:t>
      </w:r>
      <w:r w:rsidRPr="00556D76">
        <w:rPr>
          <w:rFonts w:cs="Charis SIL"/>
          <w:i/>
          <w:iCs/>
          <w:sz w:val="20"/>
          <w:szCs w:val="20"/>
          <w:lang w:val="fi-FI"/>
        </w:rPr>
        <w:t>isä</w:t>
      </w:r>
      <w:r w:rsidRPr="00556D76">
        <w:rPr>
          <w:rFonts w:cs="Cambria"/>
          <w:i/>
          <w:iCs/>
          <w:sz w:val="20"/>
          <w:szCs w:val="20"/>
          <w:lang w:val="fi-FI"/>
        </w:rPr>
        <w:t>η</w:t>
      </w:r>
      <w:r w:rsidRPr="00556D76">
        <w:rPr>
          <w:rFonts w:cs="Charis SIL"/>
          <w:i/>
          <w:iCs/>
          <w:sz w:val="20"/>
          <w:szCs w:val="20"/>
          <w:lang w:val="fi-FI"/>
        </w:rPr>
        <w:t>kǟ</w:t>
      </w:r>
      <w:r w:rsidRPr="00556D76">
        <w:rPr>
          <w:rFonts w:cs="Charis SIL"/>
          <w:sz w:val="20"/>
          <w:szCs w:val="20"/>
          <w:lang w:val="fi-FI"/>
        </w:rPr>
        <w:t>, jollaiseksi esimerkki on korjattu kirjan toisesta laitoksesta alkaen (Ravila 1961: 84).</w:t>
      </w:r>
    </w:p>
  </w:footnote>
  <w:footnote w:id="157">
    <w:p w14:paraId="28C09629" w14:textId="77777777" w:rsidR="003E0C4B" w:rsidRPr="00556D76" w:rsidRDefault="003E0C4B" w:rsidP="007032B8">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Oinaan (1961) tutkimusta arvioidessaan Siro (1964: 219) on Ravilan linjoilla todetessaan, että suomessa tällaiset eivät ole sijoja, ”ellei oteta lukuun eräiden murteiden sellaisia muotoja kuin esim. Pyht </w:t>
      </w:r>
      <w:r w:rsidRPr="00556D76">
        <w:rPr>
          <w:rFonts w:cs="Charis SIL"/>
          <w:i/>
          <w:iCs/>
          <w:sz w:val="20"/>
          <w:szCs w:val="20"/>
          <w:lang w:val="fi-FI"/>
        </w:rPr>
        <w:t>isä</w:t>
      </w:r>
      <w:r w:rsidRPr="00556D76">
        <w:rPr>
          <w:rFonts w:cs="Cambria"/>
          <w:i/>
          <w:iCs/>
          <w:sz w:val="20"/>
          <w:szCs w:val="20"/>
          <w:lang w:val="fi-FI"/>
        </w:rPr>
        <w:t>η</w:t>
      </w:r>
      <w:r w:rsidRPr="00556D76">
        <w:rPr>
          <w:rFonts w:cs="Charis SIL"/>
          <w:i/>
          <w:iCs/>
          <w:sz w:val="20"/>
          <w:szCs w:val="20"/>
          <w:lang w:val="fi-FI"/>
        </w:rPr>
        <w:t>kǟ</w:t>
      </w:r>
      <w:r w:rsidRPr="00556D76">
        <w:rPr>
          <w:rFonts w:cs="Charis SIL"/>
          <w:sz w:val="20"/>
          <w:szCs w:val="20"/>
          <w:lang w:val="fi-FI"/>
        </w:rPr>
        <w:t>”.</w:t>
      </w:r>
    </w:p>
  </w:footnote>
  <w:footnote w:id="158">
    <w:p w14:paraId="7F4D5D2F" w14:textId="2F987770" w:rsidR="003E0C4B" w:rsidRPr="00556D76" w:rsidRDefault="003E0C4B" w:rsidP="007032B8">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Yllä ja toisaalla (Ylikoski</w:t>
      </w:r>
      <w:r w:rsidR="001C3977" w:rsidRPr="00556D76">
        <w:rPr>
          <w:rFonts w:cs="Charis SIL"/>
          <w:sz w:val="20"/>
          <w:szCs w:val="20"/>
          <w:lang w:val="fi-FI"/>
        </w:rPr>
        <w:t xml:space="preserve"> 2022</w:t>
      </w:r>
      <w:r w:rsidRPr="00556D76">
        <w:rPr>
          <w:rFonts w:cs="Charis SIL"/>
          <w:sz w:val="20"/>
          <w:szCs w:val="20"/>
          <w:lang w:val="fi-FI"/>
        </w:rPr>
        <w:t xml:space="preserve">) esitän, että vaikka nykypuhekielen </w:t>
      </w:r>
      <w:r w:rsidRPr="00556D76">
        <w:rPr>
          <w:rFonts w:cs="Charis SIL"/>
          <w:i/>
          <w:iCs/>
          <w:sz w:val="20"/>
          <w:szCs w:val="20"/>
          <w:lang w:val="fi-FI"/>
        </w:rPr>
        <w:t>kaa</w:t>
      </w:r>
      <w:r w:rsidRPr="00556D76">
        <w:rPr>
          <w:rFonts w:cs="Charis SIL"/>
          <w:sz w:val="20"/>
          <w:szCs w:val="20"/>
          <w:lang w:val="fi-FI"/>
        </w:rPr>
        <w:t xml:space="preserve"> olisikin ”jo” suffiksoitunut, tätä ei ole toistaiseksi osoitettu. Kritiikin voi suunnata jo itämerensuomen ylivertaiseen asiantuntijaan Lauri Kettuseen (1930, 1940), joka eestiin jatkuvasti viittaillen merkitsi myös </w:t>
      </w:r>
      <w:r w:rsidRPr="00556D76">
        <w:rPr>
          <w:rFonts w:cs="Charis SIL"/>
          <w:i/>
          <w:iCs/>
          <w:sz w:val="20"/>
          <w:szCs w:val="20"/>
          <w:lang w:val="fi-FI"/>
        </w:rPr>
        <w:t>kanssa</w:t>
      </w:r>
      <w:r w:rsidRPr="00556D76">
        <w:rPr>
          <w:rFonts w:cs="Charis SIL"/>
          <w:sz w:val="20"/>
          <w:szCs w:val="20"/>
          <w:lang w:val="fi-FI"/>
        </w:rPr>
        <w:t xml:space="preserve">-postposition eteläsavolaisen variantin </w:t>
      </w:r>
      <w:r w:rsidRPr="00556D76">
        <w:rPr>
          <w:rFonts w:cs="Charis SIL"/>
          <w:i/>
          <w:iCs/>
          <w:sz w:val="20"/>
          <w:szCs w:val="20"/>
          <w:lang w:val="fi-FI"/>
        </w:rPr>
        <w:t>kaa</w:t>
      </w:r>
      <w:r w:rsidRPr="00556D76">
        <w:rPr>
          <w:rFonts w:cs="Charis SIL"/>
          <w:sz w:val="20"/>
          <w:szCs w:val="20"/>
          <w:lang w:val="fi-FI"/>
        </w:rPr>
        <w:t xml:space="preserve"> sekä Satakunnan hämäläismurteiden elementit </w:t>
      </w:r>
      <w:r w:rsidRPr="00556D76">
        <w:rPr>
          <w:rFonts w:cs="Charis SIL"/>
          <w:i/>
          <w:iCs/>
          <w:sz w:val="20"/>
          <w:szCs w:val="20"/>
          <w:lang w:val="fi-FI"/>
        </w:rPr>
        <w:t>ka</w:t>
      </w:r>
      <w:r w:rsidRPr="00556D76">
        <w:rPr>
          <w:rFonts w:cs="Charis SIL"/>
          <w:sz w:val="20"/>
          <w:szCs w:val="20"/>
          <w:lang w:val="fi-FI"/>
        </w:rPr>
        <w:t xml:space="preserve">, </w:t>
      </w:r>
      <w:r w:rsidRPr="00556D76">
        <w:rPr>
          <w:rFonts w:cs="Charis SIL"/>
          <w:i/>
          <w:iCs/>
          <w:sz w:val="20"/>
          <w:szCs w:val="20"/>
          <w:lang w:val="fi-FI"/>
        </w:rPr>
        <w:t>kas</w:t>
      </w:r>
      <w:r w:rsidRPr="00556D76">
        <w:rPr>
          <w:rFonts w:cs="Charis SIL"/>
          <w:sz w:val="20"/>
          <w:szCs w:val="20"/>
          <w:lang w:val="fi-FI"/>
        </w:rPr>
        <w:t xml:space="preserve"> ja </w:t>
      </w:r>
      <w:r w:rsidRPr="00556D76">
        <w:rPr>
          <w:rFonts w:cs="Charis SIL"/>
          <w:i/>
          <w:iCs/>
          <w:sz w:val="20"/>
          <w:szCs w:val="20"/>
          <w:lang w:val="fi-FI"/>
        </w:rPr>
        <w:t>kah</w:t>
      </w:r>
      <w:r w:rsidRPr="00556D76">
        <w:rPr>
          <w:rFonts w:cs="Charis SIL"/>
          <w:sz w:val="20"/>
          <w:szCs w:val="20"/>
          <w:lang w:val="fi-FI"/>
        </w:rPr>
        <w:t xml:space="preserve"> suffiksaalisuuteen viittaavalla yhdysmerkillä, vaikka näiden seutujen muodot eivät vokaaliharmoniaa näytä koskaan noudattavan eikä Kettunen muutakaan evidenssiä mielipiteensä tueksi esitä.</w:t>
      </w:r>
    </w:p>
  </w:footnote>
  <w:footnote w:id="159">
    <w:p w14:paraId="55FCE06A" w14:textId="77777777" w:rsidR="003E0C4B" w:rsidRPr="00556D76" w:rsidRDefault="003E0C4B" w:rsidP="007032B8">
      <w:pPr>
        <w:spacing w:line="240" w:lineRule="auto"/>
        <w:rPr>
          <w:rFonts w:cs="Charis SIL"/>
          <w:sz w:val="20"/>
          <w:szCs w:val="20"/>
          <w:lang w:val="fi-FI"/>
        </w:rPr>
      </w:pPr>
      <w:r w:rsidRPr="00556D76">
        <w:rPr>
          <w:rFonts w:cs="Charis SIL"/>
          <w:sz w:val="20"/>
          <w:szCs w:val="20"/>
          <w:vertAlign w:val="superscript"/>
          <w:lang w:val="fi-FI"/>
        </w:rPr>
        <w:footnoteRef/>
      </w:r>
      <w:r w:rsidRPr="00556D76">
        <w:rPr>
          <w:rFonts w:cs="Charis SIL"/>
          <w:sz w:val="20"/>
          <w:szCs w:val="20"/>
          <w:lang w:val="fi-FI"/>
        </w:rPr>
        <w:t xml:space="preserve"> Tarkalleen ottaen eräänlaiseksi kongruenssiksi tai vähintään puolikongruenssiksi olisi luettava myös se, että tällaisten sijojen ”inkongruentit” adjektiiviattribuutit ovat nimenomaan luvussa kongruoivia genetiivimuotoja, eivät esimerkiksi nominien perusmuodoiksi katsottavia yksikön nominatiiveja.</w:t>
      </w:r>
    </w:p>
  </w:footnote>
  <w:footnote w:id="160">
    <w:p w14:paraId="613A2496" w14:textId="1204C040" w:rsidR="003E0C4B" w:rsidRPr="00556D76" w:rsidRDefault="003E0C4B" w:rsidP="007032B8">
      <w:pPr>
        <w:spacing w:line="240" w:lineRule="auto"/>
        <w:rPr>
          <w:rFonts w:cs="Charis SIL"/>
          <w:sz w:val="20"/>
          <w:szCs w:val="20"/>
          <w:lang w:val="en-IE"/>
        </w:rPr>
      </w:pPr>
      <w:r w:rsidRPr="00556D76">
        <w:rPr>
          <w:rFonts w:cs="Charis SIL"/>
          <w:sz w:val="20"/>
          <w:szCs w:val="20"/>
          <w:vertAlign w:val="superscript"/>
          <w:lang w:val="fi-FI"/>
        </w:rPr>
        <w:footnoteRef/>
      </w:r>
      <w:r w:rsidRPr="00556D76">
        <w:rPr>
          <w:rFonts w:cs="Charis SIL"/>
          <w:sz w:val="20"/>
          <w:szCs w:val="20"/>
          <w:lang w:val="fi-FI"/>
        </w:rPr>
        <w:t xml:space="preserve"> Historiallisesti viron murteet ja kirjakieli ovat tunteneet myös muita </w:t>
      </w:r>
      <w:r w:rsidRPr="00556D76">
        <w:rPr>
          <w:rFonts w:cs="Charis SIL"/>
          <w:i/>
          <w:iCs/>
          <w:sz w:val="20"/>
          <w:szCs w:val="20"/>
          <w:lang w:val="fi-FI"/>
        </w:rPr>
        <w:t>ninataga</w:t>
      </w:r>
      <w:r w:rsidRPr="00556D76">
        <w:rPr>
          <w:rFonts w:cs="Charis SIL"/>
          <w:sz w:val="20"/>
          <w:szCs w:val="20"/>
          <w:lang w:val="fi-FI"/>
        </w:rPr>
        <w:t>-sääntöä osin noudattavia sijoja, kuten esimerkiksi allatiivin (</w:t>
      </w:r>
      <w:r w:rsidRPr="00556D76">
        <w:rPr>
          <w:rFonts w:cs="Charis SIL"/>
          <w:i/>
          <w:iCs/>
          <w:sz w:val="20"/>
          <w:szCs w:val="20"/>
          <w:lang w:val="fi-FI"/>
        </w:rPr>
        <w:t>väikese lapsele</w:t>
      </w:r>
      <w:r w:rsidRPr="00556D76">
        <w:rPr>
          <w:rFonts w:cs="Charis SIL"/>
          <w:sz w:val="20"/>
          <w:szCs w:val="20"/>
          <w:lang w:val="fi-FI"/>
        </w:rPr>
        <w:t xml:space="preserve">, </w:t>
      </w:r>
      <w:r w:rsidRPr="00556D76">
        <w:rPr>
          <w:rFonts w:cs="Charis SIL"/>
          <w:i/>
          <w:iCs/>
          <w:sz w:val="20"/>
          <w:szCs w:val="20"/>
          <w:lang w:val="fi-FI"/>
        </w:rPr>
        <w:t>võõraste inimestele</w:t>
      </w:r>
      <w:r w:rsidRPr="00556D76">
        <w:rPr>
          <w:rFonts w:cs="Charis SIL"/>
          <w:sz w:val="20"/>
          <w:szCs w:val="20"/>
          <w:lang w:val="fi-FI"/>
        </w:rPr>
        <w:t xml:space="preserve">), ja kirjakielen nykyjärjestelmän vakiinnutti vasta lähinnä Johannes Aavik 1900-luvun alkupuolella (ks. Nurkse 1937, Peegel 1971). </w:t>
      </w:r>
      <w:r w:rsidR="002115C8" w:rsidRPr="00556D76">
        <w:rPr>
          <w:rFonts w:cs="Charis SIL"/>
          <w:sz w:val="20"/>
          <w:szCs w:val="20"/>
          <w:lang w:val="fi-FI"/>
        </w:rPr>
        <w:br/>
      </w:r>
      <w:r w:rsidRPr="00556D76">
        <w:rPr>
          <w:rFonts w:cs="Charis SIL"/>
          <w:sz w:val="20"/>
          <w:szCs w:val="20"/>
          <w:lang w:val="fi-FI"/>
        </w:rPr>
        <w:t xml:space="preserve">Kuvaavaa onkin, että koulukieliopin sääntöjä opeteltaessa on ollut käyttöä varta vasten keksitylle </w:t>
      </w:r>
      <w:r w:rsidRPr="00556D76">
        <w:rPr>
          <w:rFonts w:cs="Charis SIL"/>
          <w:i/>
          <w:iCs/>
          <w:sz w:val="20"/>
          <w:szCs w:val="20"/>
          <w:lang w:val="fi-FI"/>
        </w:rPr>
        <w:t>ninataga</w:t>
      </w:r>
      <w:r w:rsidRPr="00556D76">
        <w:rPr>
          <w:rFonts w:cs="Charis SIL"/>
          <w:sz w:val="20"/>
          <w:szCs w:val="20"/>
          <w:lang w:val="fi-FI"/>
        </w:rPr>
        <w:t>-muistisäännölle, jonka lienee keksinyt Ernst Nurm (1940: 127–128).</w:t>
      </w:r>
    </w:p>
  </w:footnote>
  <w:footnote w:id="161">
    <w:p w14:paraId="18AE2D66" w14:textId="210FDA42" w:rsidR="00B3200B" w:rsidRPr="00556D76" w:rsidRDefault="00B3200B" w:rsidP="002348B4">
      <w:pPr>
        <w:spacing w:line="240" w:lineRule="auto"/>
        <w:jc w:val="left"/>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El kell ismernem, hogy a norvégiai fjordok után nehéz újból elragadtatódni. Mégis az a dolgom, hogy a német tájat oly erőteljesen jelenítsem meg, amennyire csak lehetséges. </w:t>
      </w:r>
      <w:bookmarkStart w:id="120" w:name="_Hlt77166528"/>
      <w:bookmarkStart w:id="121" w:name="_Hlt77166529"/>
      <w:r w:rsidR="002348B4" w:rsidRPr="00556D76">
        <w:rPr>
          <w:rStyle w:val="AuthorsChar"/>
          <w:rFonts w:ascii="Cambria" w:hAnsi="Cambria" w:cs="Charis SIL"/>
          <w:i w:val="0"/>
          <w:iCs/>
          <w:color w:val="auto"/>
          <w:sz w:val="20"/>
          <w:szCs w:val="20"/>
          <w:u w:val="single"/>
          <w:lang w:val="hu-HU"/>
        </w:rPr>
        <w:fldChar w:fldCharType="begin"/>
      </w:r>
      <w:r w:rsidR="002348B4" w:rsidRPr="00556D76">
        <w:rPr>
          <w:rStyle w:val="AuthorsChar"/>
          <w:rFonts w:ascii="Cambria" w:hAnsi="Cambria" w:cs="Charis SIL"/>
          <w:i w:val="0"/>
          <w:iCs/>
          <w:color w:val="auto"/>
          <w:sz w:val="20"/>
          <w:szCs w:val="20"/>
          <w:u w:val="single"/>
          <w:lang w:val="hu-HU"/>
        </w:rPr>
        <w:instrText xml:space="preserve"> HYPERLINK "http://www.kreis-guetersloh.de/unser-kreis/kreisarchiv/</w:instrText>
      </w:r>
      <w:r w:rsidR="002348B4" w:rsidRPr="00556D76">
        <w:rPr>
          <w:rStyle w:val="AuthorsChar"/>
          <w:rFonts w:ascii="Cambria" w:hAnsi="Cambria" w:cs="Charis SIL"/>
          <w:i w:val="0"/>
          <w:iCs/>
          <w:color w:val="auto"/>
          <w:sz w:val="20"/>
          <w:szCs w:val="20"/>
          <w:u w:val="single"/>
          <w:lang w:val="hu-HU"/>
        </w:rPr>
        <w:br/>
        <w:instrText>ausstellungen/vergangene-ausstellung-boeckstiegel-schreibt/</w:instrText>
      </w:r>
      <w:r w:rsidR="002348B4" w:rsidRPr="00556D76">
        <w:rPr>
          <w:rStyle w:val="AuthorsChar"/>
          <w:rFonts w:ascii="Cambria" w:hAnsi="Cambria" w:cs="Charis SIL"/>
          <w:i w:val="0"/>
          <w:iCs/>
          <w:color w:val="auto"/>
          <w:sz w:val="20"/>
          <w:szCs w:val="20"/>
          <w:u w:val="single"/>
          <w:lang w:val="hu-HU"/>
        </w:rPr>
        <w:br/>
        <w:instrText xml:space="preserve">ausstellung-boeckstiegel-tafel05.pdf" </w:instrText>
      </w:r>
      <w:r w:rsidR="002348B4" w:rsidRPr="00556D76">
        <w:rPr>
          <w:rStyle w:val="AuthorsChar"/>
          <w:rFonts w:ascii="Cambria" w:hAnsi="Cambria" w:cs="Charis SIL"/>
          <w:i w:val="0"/>
          <w:iCs/>
          <w:color w:val="auto"/>
          <w:sz w:val="20"/>
          <w:szCs w:val="20"/>
          <w:u w:val="single"/>
          <w:lang w:val="hu-HU"/>
        </w:rPr>
      </w:r>
      <w:r w:rsidR="002348B4" w:rsidRPr="00556D76">
        <w:rPr>
          <w:rStyle w:val="AuthorsChar"/>
          <w:rFonts w:ascii="Cambria" w:hAnsi="Cambria" w:cs="Charis SIL"/>
          <w:i w:val="0"/>
          <w:iCs/>
          <w:color w:val="auto"/>
          <w:sz w:val="20"/>
          <w:szCs w:val="20"/>
          <w:u w:val="single"/>
          <w:lang w:val="hu-HU"/>
        </w:rPr>
        <w:fldChar w:fldCharType="separate"/>
      </w:r>
      <w:r w:rsidR="002348B4" w:rsidRPr="00556D76">
        <w:rPr>
          <w:rStyle w:val="Hyperlink"/>
          <w:rFonts w:eastAsia="Calibri" w:cs="Charis SIL"/>
          <w:iCs/>
          <w:color w:val="auto"/>
          <w:sz w:val="20"/>
          <w:szCs w:val="20"/>
          <w:lang w:val="hu-HU" w:eastAsia="en-GB"/>
        </w:rPr>
        <w:t>www.kreis-guetersloh.de/unser-kreis/kreisarchiv/</w:t>
      </w:r>
      <w:r w:rsidR="002348B4" w:rsidRPr="00556D76">
        <w:rPr>
          <w:rStyle w:val="Hyperlink"/>
          <w:rFonts w:eastAsia="Calibri" w:cs="Charis SIL"/>
          <w:iCs/>
          <w:color w:val="auto"/>
          <w:sz w:val="20"/>
          <w:szCs w:val="20"/>
          <w:lang w:val="hu-HU" w:eastAsia="en-GB"/>
        </w:rPr>
        <w:br/>
        <w:t>ausstellungen/vergangene-ausstellung-boecks</w:t>
      </w:r>
      <w:bookmarkStart w:id="122" w:name="_Hlt77187882"/>
      <w:bookmarkStart w:id="123" w:name="_Hlt77187883"/>
      <w:r w:rsidR="002348B4" w:rsidRPr="00556D76">
        <w:rPr>
          <w:rStyle w:val="Hyperlink"/>
          <w:rFonts w:eastAsia="Calibri" w:cs="Charis SIL"/>
          <w:iCs/>
          <w:color w:val="auto"/>
          <w:sz w:val="20"/>
          <w:szCs w:val="20"/>
          <w:lang w:val="hu-HU" w:eastAsia="en-GB"/>
        </w:rPr>
        <w:t>t</w:t>
      </w:r>
      <w:bookmarkEnd w:id="122"/>
      <w:bookmarkEnd w:id="123"/>
      <w:r w:rsidR="002348B4" w:rsidRPr="00556D76">
        <w:rPr>
          <w:rStyle w:val="Hyperlink"/>
          <w:rFonts w:eastAsia="Calibri" w:cs="Charis SIL"/>
          <w:iCs/>
          <w:color w:val="auto"/>
          <w:sz w:val="20"/>
          <w:szCs w:val="20"/>
          <w:lang w:val="hu-HU" w:eastAsia="en-GB"/>
        </w:rPr>
        <w:t>iegel-schreibt/</w:t>
      </w:r>
      <w:r w:rsidR="002348B4" w:rsidRPr="00556D76">
        <w:rPr>
          <w:rStyle w:val="Hyperlink"/>
          <w:rFonts w:eastAsia="Calibri" w:cs="Charis SIL"/>
          <w:iCs/>
          <w:color w:val="auto"/>
          <w:sz w:val="20"/>
          <w:szCs w:val="20"/>
          <w:lang w:val="hu-HU" w:eastAsia="en-GB"/>
        </w:rPr>
        <w:br/>
        <w:t>ausstellung-boeckstiegel-tafel05.pdf</w:t>
      </w:r>
      <w:bookmarkEnd w:id="120"/>
      <w:bookmarkEnd w:id="121"/>
      <w:r w:rsidR="002348B4" w:rsidRPr="00556D76">
        <w:rPr>
          <w:rStyle w:val="AuthorsChar"/>
          <w:rFonts w:ascii="Cambria" w:hAnsi="Cambria" w:cs="Charis SIL"/>
          <w:i w:val="0"/>
          <w:iCs/>
          <w:color w:val="auto"/>
          <w:sz w:val="20"/>
          <w:szCs w:val="20"/>
          <w:u w:val="single"/>
          <w:lang w:val="hu-HU"/>
        </w:rPr>
        <w:fldChar w:fldCharType="end"/>
      </w:r>
    </w:p>
  </w:footnote>
  <w:footnote w:id="162">
    <w:p w14:paraId="5CABC37C" w14:textId="19E3EDF4" w:rsidR="000121EA" w:rsidRPr="00556D76" w:rsidRDefault="00B3200B" w:rsidP="002115C8">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„Két hete nomád számik voltak az állatkertben. Izgatottan tértem haza, és a rákövetkező napokban készítettem egy festményt, akvarelleztem, rajzoltam és rézkarcot is csináltam. Mintha az ősi világba láthattam volna bele, ezek az emberek olyan csodálatos, tiszta ősi természetűek voltak minden cselekedetükben. Aztán ott vannak azok a csodálatos rénszarvasok, de hogyan pusztulnak el ezek a lények, tavasszal 1000-en is meghalnak az orrukba petéiket letevő legyek (paraziták) által, amelyek a vérbe kerülnek, majd a bőr belső felszínén lévő lárvák átrágják magukat a bőrön, majd 100</w:t>
      </w:r>
      <w:r w:rsidR="00156E29" w:rsidRPr="00556D76">
        <w:rPr>
          <w:rFonts w:cs="Charis SIL"/>
          <w:sz w:val="20"/>
          <w:szCs w:val="20"/>
          <w:lang w:val="hu-HU"/>
        </w:rPr>
        <w:t>–</w:t>
      </w:r>
      <w:r w:rsidRPr="00556D76">
        <w:rPr>
          <w:rFonts w:cs="Charis SIL"/>
          <w:sz w:val="20"/>
          <w:szCs w:val="20"/>
          <w:lang w:val="hu-HU"/>
        </w:rPr>
        <w:t>200 darab ujjnyi nagyságú madártojás hull a földre, és 14 nap múlva ebből meg kikelnek az új legyek. Szörnyű volt látni ezt a haldoklást.</w:t>
      </w:r>
    </w:p>
    <w:p w14:paraId="26607792" w14:textId="325E09D3" w:rsidR="00B3200B" w:rsidRPr="00556D76" w:rsidRDefault="00B3200B" w:rsidP="002115C8">
      <w:pPr>
        <w:spacing w:before="120" w:line="240" w:lineRule="auto"/>
        <w:rPr>
          <w:rFonts w:cs="Charis SIL"/>
          <w:sz w:val="20"/>
          <w:szCs w:val="20"/>
          <w:lang w:val="hu-HU"/>
        </w:rPr>
      </w:pPr>
      <w:r w:rsidRPr="00556D76">
        <w:rPr>
          <w:rFonts w:cs="Charis SIL"/>
          <w:sz w:val="20"/>
          <w:szCs w:val="20"/>
          <w:lang w:val="hu-HU"/>
        </w:rPr>
        <w:t>Az emberek sátrakban élnek, szeretnek aludni, főzni, ez olyan egyszerű velünk ellentétben, ahol minden újdonságra szükségünk van. De már nem mehetünk vissza, óriási léptekkel haladunk a rombolás útján. Ezen emberek mindegyike a maga iparművésze, minden edényt ők készítenek. Látnod kellett volna ezeket az embereket. Mesélek majd más dolgokról is az állatkertből Arrodéban.” Forrás: Kreisarchiv Gütersloh</w:t>
      </w:r>
      <w:r w:rsidRPr="00556D76">
        <w:rPr>
          <w:rFonts w:eastAsia="Times New Roman" w:cs="Charis SIL"/>
          <w:sz w:val="20"/>
          <w:szCs w:val="20"/>
          <w:lang w:val="hu-HU"/>
        </w:rPr>
        <w:t>. Az idézetben Böckstiegel sajátos német helyesírását megőriztük.</w:t>
      </w:r>
    </w:p>
  </w:footnote>
  <w:footnote w:id="163">
    <w:p w14:paraId="5DD7F1AE" w14:textId="77777777" w:rsidR="00B3200B" w:rsidRPr="00556D76" w:rsidRDefault="00B3200B" w:rsidP="002115C8">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Veli-Pekka Lehtola tanulmányai mellett jelentősek Catharine Baglo idevonatkozó tanulmányai (l. bibliográfia).</w:t>
      </w:r>
    </w:p>
  </w:footnote>
  <w:footnote w:id="164">
    <w:p w14:paraId="5F3E45A3" w14:textId="079C19E1" w:rsidR="00B3200B" w:rsidRPr="00556D76" w:rsidRDefault="00B3200B" w:rsidP="002115C8">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Ezek az 1925-ben készült fotók megtalálhatók Clemens Radauer weboldalán: </w:t>
      </w:r>
      <w:hyperlink r:id="rId51" w:history="1">
        <w:r w:rsidRPr="00556D76">
          <w:rPr>
            <w:rFonts w:cs="Charis SIL"/>
            <w:sz w:val="20"/>
            <w:szCs w:val="20"/>
            <w:u w:val="single"/>
            <w:lang w:val="hu-HU"/>
          </w:rPr>
          <w:t>humanzoos.net/?page_id=497</w:t>
        </w:r>
      </w:hyperlink>
    </w:p>
  </w:footnote>
  <w:footnote w:id="165">
    <w:p w14:paraId="406B2F8C" w14:textId="77777777" w:rsidR="00B3200B" w:rsidRPr="00556D76" w:rsidRDefault="00B3200B" w:rsidP="002115C8">
      <w:pPr>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08. dokumentum</w:t>
      </w:r>
    </w:p>
    <w:p w14:paraId="6B0BD2B7" w14:textId="77777777" w:rsidR="00B3200B" w:rsidRPr="00556D76" w:rsidRDefault="00B3200B" w:rsidP="002115C8">
      <w:pPr>
        <w:spacing w:after="120" w:line="240" w:lineRule="auto"/>
        <w:rPr>
          <w:rFonts w:cs="Charis SIL"/>
          <w:sz w:val="20"/>
          <w:szCs w:val="20"/>
          <w:lang w:val="hu-HU"/>
        </w:rPr>
      </w:pPr>
      <w:r w:rsidRPr="00556D76">
        <w:rPr>
          <w:rFonts w:cs="Charis SIL"/>
          <w:sz w:val="20"/>
          <w:szCs w:val="20"/>
          <w:lang w:val="hu-HU"/>
        </w:rPr>
        <w:t>A Belügyminisztérium (Drezda) levele P. A. Böckstiegel festőhöz, Drezda</w:t>
      </w:r>
    </w:p>
    <w:p w14:paraId="3F9FB3E9" w14:textId="77777777" w:rsidR="00B3200B" w:rsidRPr="00556D76" w:rsidRDefault="00B3200B" w:rsidP="002115C8">
      <w:pPr>
        <w:spacing w:line="240" w:lineRule="auto"/>
        <w:rPr>
          <w:rFonts w:cs="Charis SIL"/>
          <w:sz w:val="20"/>
          <w:szCs w:val="20"/>
          <w:lang w:val="hu-HU"/>
        </w:rPr>
      </w:pPr>
      <w:r w:rsidRPr="00556D76">
        <w:rPr>
          <w:rFonts w:cs="Charis SIL"/>
          <w:sz w:val="20"/>
          <w:szCs w:val="20"/>
          <w:lang w:val="hu-HU"/>
        </w:rPr>
        <w:t>A professzorok, akik nemrég tanácsot adtak a minisztériumnak a műalkotások beszerzésében, állami vásárlásra javasolták az Ön, a művészegyesületben kiállított ’Lappen im Zoo’ (Lappok az állatkertben) című képét. A Minisztérium hajlandó lenne eleget tenni ennek a javaslatnak, de tekintettel a jelenlegi árakra, amelyeket a többi művész műveiért fizetnek, nem áll módjában az Ön feltételei mellett megejteni a vásárlást. Ha hajlandó eladni festményét az általános helyzethez igazodó áron, az alulírott miniszteri igazgató megbeszélésre készen áll.</w:t>
      </w:r>
    </w:p>
    <w:p w14:paraId="6CC5CE2E" w14:textId="77777777" w:rsidR="00B3200B" w:rsidRPr="00556D76" w:rsidRDefault="00B3200B" w:rsidP="002115C8">
      <w:pPr>
        <w:spacing w:after="120" w:line="240" w:lineRule="auto"/>
        <w:rPr>
          <w:rFonts w:cs="Charis SIL"/>
          <w:sz w:val="20"/>
          <w:szCs w:val="20"/>
          <w:lang w:val="hu-HU"/>
        </w:rPr>
      </w:pPr>
      <w:r w:rsidRPr="00556D76">
        <w:rPr>
          <w:rFonts w:cs="Charis SIL"/>
          <w:sz w:val="20"/>
          <w:szCs w:val="20"/>
          <w:lang w:val="hu-HU"/>
        </w:rPr>
        <w:t>Belügyminisztérium</w:t>
      </w:r>
    </w:p>
    <w:p w14:paraId="7B83A10F" w14:textId="77777777" w:rsidR="00B3200B" w:rsidRPr="00556D76" w:rsidRDefault="00B3200B" w:rsidP="002115C8">
      <w:pPr>
        <w:spacing w:line="240" w:lineRule="auto"/>
        <w:rPr>
          <w:rFonts w:cs="Charis SIL"/>
          <w:sz w:val="20"/>
          <w:szCs w:val="20"/>
          <w:lang w:val="hu-HU"/>
        </w:rPr>
      </w:pPr>
      <w:r w:rsidRPr="00556D76">
        <w:rPr>
          <w:rFonts w:cs="Charis SIL"/>
          <w:sz w:val="20"/>
          <w:szCs w:val="20"/>
          <w:lang w:val="hu-HU"/>
        </w:rPr>
        <w:t>II. Osztály</w:t>
      </w:r>
    </w:p>
    <w:p w14:paraId="03C6C173" w14:textId="77777777" w:rsidR="00B3200B" w:rsidRPr="00556D76" w:rsidRDefault="00B3200B" w:rsidP="002115C8">
      <w:pPr>
        <w:spacing w:line="240" w:lineRule="auto"/>
        <w:rPr>
          <w:rFonts w:cs="Charis SIL"/>
          <w:sz w:val="20"/>
          <w:szCs w:val="20"/>
          <w:lang w:val="hu-HU"/>
        </w:rPr>
      </w:pPr>
      <w:r w:rsidRPr="00556D76">
        <w:rPr>
          <w:rFonts w:cs="Charis SIL"/>
          <w:sz w:val="20"/>
          <w:szCs w:val="20"/>
          <w:lang w:val="hu-HU"/>
        </w:rPr>
        <w:t>Aláírva Dr. Schulze</w:t>
      </w:r>
    </w:p>
    <w:p w14:paraId="7AF81C22" w14:textId="77777777" w:rsidR="00B3200B" w:rsidRPr="00556D76" w:rsidRDefault="00B3200B" w:rsidP="002115C8">
      <w:pPr>
        <w:spacing w:line="240" w:lineRule="auto"/>
        <w:rPr>
          <w:rFonts w:cs="Charis SIL"/>
          <w:sz w:val="20"/>
          <w:szCs w:val="20"/>
          <w:lang w:val="hu-HU"/>
        </w:rPr>
      </w:pPr>
      <w:r w:rsidRPr="00556D76">
        <w:rPr>
          <w:rFonts w:cs="Charis SIL"/>
          <w:sz w:val="20"/>
          <w:szCs w:val="20"/>
          <w:lang w:val="hu-HU"/>
        </w:rPr>
        <w:t>Levél tervezete, eredeti</w:t>
      </w:r>
    </w:p>
  </w:footnote>
  <w:footnote w:id="166">
    <w:p w14:paraId="5A45B7DF" w14:textId="77777777" w:rsidR="00B14B64" w:rsidRPr="00556D76" w:rsidRDefault="00B14B64" w:rsidP="0099245C">
      <w:pPr>
        <w:pStyle w:val="FootnoteText"/>
        <w:rPr>
          <w:rFonts w:ascii="Cambria" w:hAnsi="Cambria" w:cs="Charis SIL"/>
          <w:lang w:val="en-IE"/>
        </w:rPr>
      </w:pPr>
      <w:r w:rsidRPr="00556D76">
        <w:rPr>
          <w:rStyle w:val="FootnoteReference"/>
          <w:rFonts w:ascii="Cambria" w:hAnsi="Cambria" w:cs="Charis SIL"/>
          <w:lang w:val="en-IE"/>
        </w:rPr>
        <w:footnoteRef/>
      </w:r>
      <w:r w:rsidRPr="00556D76">
        <w:rPr>
          <w:rFonts w:ascii="Cambria" w:hAnsi="Cambria" w:cs="Charis SIL"/>
          <w:lang w:val="en-IE"/>
        </w:rPr>
        <w:t xml:space="preserve"> Translations from German- and Hungarian-language sources are my own.</w:t>
      </w:r>
    </w:p>
  </w:footnote>
  <w:footnote w:id="167">
    <w:p w14:paraId="1BC998EE" w14:textId="47FA5A15" w:rsidR="0022731A" w:rsidRPr="00556D76" w:rsidRDefault="0022731A"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„While maintaining the appearance of plausibility and realistic representation to hype its credibility, sf delights in the game of connecting and rationalizing arbitrary things“ </w:t>
      </w:r>
      <w:r w:rsidR="00C41E30" w:rsidRPr="00556D76">
        <w:rPr>
          <w:rFonts w:cs="Charis SIL"/>
          <w:sz w:val="20"/>
          <w:szCs w:val="20"/>
          <w:lang w:val="en-IE"/>
        </w:rPr>
        <w:t>(</w:t>
      </w:r>
      <w:r w:rsidRPr="00556D76">
        <w:rPr>
          <w:rFonts w:cs="Charis SIL"/>
          <w:sz w:val="20"/>
          <w:szCs w:val="20"/>
          <w:lang w:val="en-IE"/>
        </w:rPr>
        <w:t>Csicsery-Ronay 2008: 139</w:t>
      </w:r>
      <w:r w:rsidR="00C41E30" w:rsidRPr="00556D76">
        <w:rPr>
          <w:rFonts w:cs="Charis SIL"/>
          <w:sz w:val="20"/>
          <w:szCs w:val="20"/>
          <w:lang w:val="en-IE"/>
        </w:rPr>
        <w:t>)</w:t>
      </w:r>
      <w:r w:rsidRPr="00556D76">
        <w:rPr>
          <w:rFonts w:cs="Charis SIL"/>
          <w:sz w:val="20"/>
          <w:szCs w:val="20"/>
          <w:lang w:val="en-IE"/>
        </w:rPr>
        <w:t>.</w:t>
      </w:r>
    </w:p>
  </w:footnote>
  <w:footnote w:id="168">
    <w:p w14:paraId="1FFC9783" w14:textId="77777777" w:rsidR="0022731A" w:rsidRPr="00556D76" w:rsidRDefault="0022731A"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Die paradoxe Zeitreisegeschichte entlarvt „the postulate of fabular apriority […] not merely as a fiction of its own, but more crucially as a dissimulation of the real, physical means of prioritizing fabula, the paratext“. Sie hebt nicht nur den „metaphysical bias of narrative reading generally, the latter’s preference for postulated story events over physical media“ auf, sondern auch „the dialectical revisions of metanarration“. Wittenberg 2013: 145.</w:t>
      </w:r>
    </w:p>
  </w:footnote>
  <w:footnote w:id="169">
    <w:p w14:paraId="384D4725" w14:textId="07E8E21B" w:rsidR="0022731A" w:rsidRPr="00556D76" w:rsidRDefault="0022731A" w:rsidP="0099245C">
      <w:pPr>
        <w:spacing w:line="240" w:lineRule="auto"/>
        <w:rPr>
          <w:rFonts w:cs="Charis SIL"/>
          <w:sz w:val="20"/>
          <w:szCs w:val="20"/>
          <w:lang w:val="en-IE"/>
        </w:rPr>
      </w:pPr>
      <w:r w:rsidRPr="00556D76">
        <w:rPr>
          <w:rFonts w:cs="Charis SIL"/>
          <w:sz w:val="20"/>
          <w:szCs w:val="20"/>
          <w:vertAlign w:val="superscript"/>
        </w:rPr>
        <w:footnoteRef/>
      </w:r>
      <w:r w:rsidRPr="00556D76">
        <w:rPr>
          <w:rFonts w:cs="Charis SIL"/>
          <w:sz w:val="20"/>
          <w:szCs w:val="20"/>
        </w:rPr>
        <w:t xml:space="preserve"> Vgl. die durch die Relativitätstheorie Einsteins </w:t>
      </w:r>
      <w:r w:rsidR="006057AB" w:rsidRPr="00556D76">
        <w:rPr>
          <w:rFonts w:cs="Charis SIL"/>
          <w:sz w:val="20"/>
          <w:szCs w:val="20"/>
        </w:rPr>
        <w:t>‘</w:t>
      </w:r>
      <w:r w:rsidRPr="00556D76">
        <w:rPr>
          <w:rFonts w:cs="Charis SIL"/>
          <w:sz w:val="20"/>
          <w:szCs w:val="20"/>
        </w:rPr>
        <w:t>ermöglichte</w:t>
      </w:r>
      <w:r w:rsidR="00C41E30" w:rsidRPr="00556D76">
        <w:rPr>
          <w:rFonts w:cs="Charis SIL"/>
          <w:sz w:val="20"/>
          <w:szCs w:val="20"/>
          <w:lang w:val="en-IE"/>
        </w:rPr>
        <w:t>’</w:t>
      </w:r>
      <w:r w:rsidRPr="00556D76">
        <w:rPr>
          <w:rFonts w:cs="Charis SIL"/>
          <w:sz w:val="20"/>
          <w:szCs w:val="20"/>
        </w:rPr>
        <w:t xml:space="preserve"> Zeitreise. Müller 2016: 26–43.</w:t>
      </w:r>
    </w:p>
  </w:footnote>
  <w:footnote w:id="170">
    <w:p w14:paraId="07AF2605" w14:textId="77777777" w:rsidR="0022731A" w:rsidRPr="00556D76" w:rsidRDefault="0022731A"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Vgl. Hernádi 1978a; 1978b; 1978c; 1980b; 1982.</w:t>
      </w:r>
    </w:p>
  </w:footnote>
  <w:footnote w:id="171">
    <w:p w14:paraId="65523D8B" w14:textId="77777777" w:rsidR="0022731A" w:rsidRPr="00556D76" w:rsidRDefault="0022731A"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Hernádi 1974; dt. Hernádi 1980a. Ein Jahr nach der ostdeutschen Veröffentlichung hat den Text auch Herbert W. Franke in eine westdeutsche Science-Fiction-Sammlung aufgenommen. Vgl. Hernádi 1981.</w:t>
      </w:r>
    </w:p>
  </w:footnote>
  <w:footnote w:id="172">
    <w:p w14:paraId="1F0FF263" w14:textId="5E3B7461" w:rsidR="0022731A" w:rsidRPr="00556D76" w:rsidRDefault="0022731A"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hyperlink r:id="rId52" w:history="1">
        <w:r w:rsidRPr="00556D76">
          <w:rPr>
            <w:rFonts w:cs="Charis SIL"/>
            <w:sz w:val="20"/>
            <w:szCs w:val="20"/>
            <w:u w:val="single"/>
            <w:lang w:val="en-IE"/>
          </w:rPr>
          <w:t>www.britannica.com/biography/Ruggero-Giuseppe-Boscovich</w:t>
        </w:r>
      </w:hyperlink>
    </w:p>
  </w:footnote>
  <w:footnote w:id="173">
    <w:p w14:paraId="41D2813A" w14:textId="096BE63A" w:rsidR="0022731A" w:rsidRPr="00556D76" w:rsidRDefault="0022731A"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Vgl. Deleuze 2000: 11. Seit Hernádis Novellensammlung </w:t>
      </w:r>
      <w:r w:rsidRPr="00556D76">
        <w:rPr>
          <w:rFonts w:cs="Charis SIL"/>
          <w:i/>
          <w:iCs/>
          <w:sz w:val="20"/>
          <w:szCs w:val="20"/>
        </w:rPr>
        <w:t>Száraz barokk</w:t>
      </w:r>
      <w:r w:rsidRPr="00556D76">
        <w:rPr>
          <w:rFonts w:cs="Charis SIL"/>
          <w:sz w:val="20"/>
          <w:szCs w:val="20"/>
        </w:rPr>
        <w:t xml:space="preserve"> [Trockener Barock] (1967) kommt man immer wieder auf seine </w:t>
      </w:r>
      <w:r w:rsidR="006057AB" w:rsidRPr="00556D76">
        <w:rPr>
          <w:rFonts w:cs="Charis SIL"/>
          <w:sz w:val="20"/>
          <w:szCs w:val="20"/>
        </w:rPr>
        <w:t>‘</w:t>
      </w:r>
      <w:r w:rsidRPr="00556D76">
        <w:rPr>
          <w:rFonts w:cs="Charis SIL"/>
          <w:sz w:val="20"/>
          <w:szCs w:val="20"/>
        </w:rPr>
        <w:t>barocken Züge</w:t>
      </w:r>
      <w:r w:rsidR="00C41E30" w:rsidRPr="00556D76">
        <w:rPr>
          <w:rFonts w:cs="Charis SIL"/>
          <w:sz w:val="20"/>
          <w:szCs w:val="20"/>
          <w:lang w:val="en-IE"/>
        </w:rPr>
        <w:t>’</w:t>
      </w:r>
      <w:r w:rsidRPr="00556D76">
        <w:rPr>
          <w:rFonts w:cs="Charis SIL"/>
          <w:sz w:val="20"/>
          <w:szCs w:val="20"/>
        </w:rPr>
        <w:t xml:space="preserve"> zurück.</w:t>
      </w:r>
    </w:p>
  </w:footnote>
  <w:footnote w:id="174">
    <w:p w14:paraId="43B46FED" w14:textId="77777777" w:rsidR="0022731A" w:rsidRPr="00556D76" w:rsidRDefault="0022731A"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Im „Zentrum des Fantastischen“, so Todorov, muss sich „[d]er, der das [fantastische] Ereignis wahrnimmt, […] für eine der zwei möglichen Lösungen entscheiden: entweder handelt es sich um eine Sinnestäuschung, ein Produkt der Einbildungskraft, und die Gesetze der Welt bleiben, was sie sind, oder das Ereignis hat wirklich stattgefunden, ist integrierender Bestandteil der Realität.“ Von Fantastik kann man nur reden, wenn der Text die genannte „Unschlüssigkeit“ aufrechterhält. Todorov 1992: 25–26.</w:t>
      </w:r>
    </w:p>
  </w:footnote>
  <w:footnote w:id="175">
    <w:p w14:paraId="7319CD53" w14:textId="58AD74BA" w:rsidR="00067874" w:rsidRPr="00556D76" w:rsidRDefault="00067874"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Der Ausdruck bezieht sich auf Mitarbeiter und Mitarbeiterinnen, genauso wie im Weiteren sowohl </w:t>
      </w:r>
      <w:r w:rsidR="00B72309" w:rsidRPr="00556D76">
        <w:rPr>
          <w:rFonts w:cs="Charis SIL"/>
          <w:sz w:val="20"/>
          <w:szCs w:val="20"/>
        </w:rPr>
        <w:t>von</w:t>
      </w:r>
      <w:r w:rsidRPr="00556D76">
        <w:rPr>
          <w:rFonts w:cs="Charis SIL"/>
          <w:sz w:val="20"/>
          <w:szCs w:val="20"/>
        </w:rPr>
        <w:t xml:space="preserve"> Wirtschaftsmigranten als auch Wirtschaftsmigrantinnen, Wissenschaftler und Wissenschaftlerinnen, Autoren und Autorinnen, Schriftstellern und Schriftstellerinnen sowie Lektoren und Lektorinnen die Rede ist.</w:t>
      </w:r>
    </w:p>
  </w:footnote>
  <w:footnote w:id="176">
    <w:p w14:paraId="3FE6EE60" w14:textId="6F689094" w:rsidR="00067874" w:rsidRPr="00556D76" w:rsidRDefault="00067874" w:rsidP="00A70E6A">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Diese Gesetze waren allerdings für den österreichischen Teil des Habsburgerreichs der gleichzeitig entstandenen Österreichisch-Ungarischen Monarchie gültig, und nicht für den ungarischen, zu dem damals das Gebiet des späteren Burgenlandes gehörte, hatten daher dort keine rechtliche Wirksamkeit. </w:t>
      </w:r>
      <w:r w:rsidRPr="00556D76">
        <w:rPr>
          <w:rFonts w:cs="Charis SIL"/>
          <w:iCs/>
          <w:sz w:val="20"/>
          <w:szCs w:val="20"/>
        </w:rPr>
        <w:t xml:space="preserve">Siehe </w:t>
      </w:r>
      <w:r w:rsidRPr="00556D76">
        <w:rPr>
          <w:rFonts w:cs="Charis SIL"/>
          <w:sz w:val="20"/>
          <w:szCs w:val="20"/>
        </w:rPr>
        <w:t xml:space="preserve">Artikel 19 des </w:t>
      </w:r>
      <w:r w:rsidRPr="00556D76">
        <w:rPr>
          <w:rFonts w:cs="Charis SIL"/>
          <w:i/>
          <w:sz w:val="20"/>
          <w:szCs w:val="20"/>
        </w:rPr>
        <w:t>Staatsgrundgesetzes vom 21. Dezember 1867, über die allgemeinen Rechte der Staatsbürger für die im Reichsrat vertretenen Königreiche und Länder</w:t>
      </w:r>
      <w:r w:rsidRPr="00556D76">
        <w:rPr>
          <w:rFonts w:cs="Charis SIL"/>
          <w:sz w:val="20"/>
          <w:szCs w:val="20"/>
        </w:rPr>
        <w:t xml:space="preserve">, veröffentlicht im </w:t>
      </w:r>
      <w:r w:rsidRPr="00556D76">
        <w:rPr>
          <w:rFonts w:cs="Charis SIL"/>
          <w:i/>
          <w:iCs/>
          <w:sz w:val="20"/>
          <w:szCs w:val="20"/>
        </w:rPr>
        <w:t xml:space="preserve">Reichs-Gesetz-Blatt für das Kaiserthum Österreich </w:t>
      </w:r>
      <w:r w:rsidRPr="00556D76">
        <w:rPr>
          <w:rFonts w:cs="Charis SIL"/>
          <w:sz w:val="20"/>
          <w:szCs w:val="20"/>
        </w:rPr>
        <w:t>1867 Nr. 142.</w:t>
      </w:r>
    </w:p>
  </w:footnote>
  <w:footnote w:id="177">
    <w:p w14:paraId="1953B138"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Vgl. Mayer Hacker 1951.</w:t>
      </w:r>
    </w:p>
  </w:footnote>
  <w:footnote w:id="178">
    <w:p w14:paraId="3AC26ABD" w14:textId="21B38C8B" w:rsidR="00067874" w:rsidRPr="00556D76" w:rsidRDefault="00067874"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Die Unterscheidung zwischen Deutschen und Deutschsprachigen in diesem Absatz ist bezogen auf das Burgenland historisch relevant, hieß doch um das Entstehen des Burgenlandes, um 1921</w:t>
      </w:r>
      <w:r w:rsidR="00A67AF8" w:rsidRPr="00556D76">
        <w:rPr>
          <w:rFonts w:cs="Charis SIL"/>
          <w:sz w:val="20"/>
          <w:szCs w:val="20"/>
        </w:rPr>
        <w:t>,</w:t>
      </w:r>
      <w:r w:rsidRPr="00556D76">
        <w:rPr>
          <w:rFonts w:cs="Charis SIL"/>
          <w:sz w:val="20"/>
          <w:szCs w:val="20"/>
        </w:rPr>
        <w:t xml:space="preserve"> das Land, an das die Region </w:t>
      </w:r>
      <w:r w:rsidR="001E18A8" w:rsidRPr="00556D76">
        <w:rPr>
          <w:rFonts w:cs="Charis SIL"/>
          <w:sz w:val="20"/>
          <w:szCs w:val="20"/>
        </w:rPr>
        <w:br/>
      </w:r>
      <w:r w:rsidRPr="00556D76">
        <w:rPr>
          <w:rFonts w:cs="Charis SIL"/>
          <w:sz w:val="20"/>
          <w:szCs w:val="20"/>
        </w:rPr>
        <w:t>angeschlossen wurde, der Eigeninterpretation nach nicht Österreich, sondern Deutschösterreich.</w:t>
      </w:r>
    </w:p>
  </w:footnote>
  <w:footnote w:id="179">
    <w:p w14:paraId="4F85B3BE"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Weidermann 2004: 27.</w:t>
      </w:r>
    </w:p>
  </w:footnote>
  <w:footnote w:id="180">
    <w:p w14:paraId="574D6D1E"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Kramatschek 1999: 179.</w:t>
      </w:r>
    </w:p>
  </w:footnote>
  <w:footnote w:id="181">
    <w:p w14:paraId="506003B8" w14:textId="77777777" w:rsidR="00067874" w:rsidRPr="00556D76" w:rsidRDefault="00067874" w:rsidP="0099245C">
      <w:pPr>
        <w:spacing w:line="240" w:lineRule="auto"/>
        <w:rPr>
          <w:rFonts w:eastAsia="Times New Roman" w:cs="Charis SIL"/>
          <w:bCs/>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r w:rsidRPr="00556D76">
        <w:rPr>
          <w:rFonts w:eastAsia="Times New Roman" w:cs="Charis SIL"/>
          <w:bCs/>
          <w:sz w:val="20"/>
          <w:szCs w:val="20"/>
          <w:lang w:val="en-IE"/>
        </w:rPr>
        <w:t>Kramatscheck 2001.</w:t>
      </w:r>
    </w:p>
  </w:footnote>
  <w:footnote w:id="182">
    <w:p w14:paraId="0E7B924C"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Mora 2016: 10f.</w:t>
      </w:r>
    </w:p>
  </w:footnote>
  <w:footnote w:id="183">
    <w:p w14:paraId="35A82907"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Mora 2016: 10.</w:t>
      </w:r>
    </w:p>
  </w:footnote>
  <w:footnote w:id="184">
    <w:p w14:paraId="0F3ACCF5"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Mora 2012: 43f.</w:t>
      </w:r>
    </w:p>
  </w:footnote>
  <w:footnote w:id="185">
    <w:p w14:paraId="5DD59D8E"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Telefongespräch am 20. 7. 2021.</w:t>
      </w:r>
    </w:p>
  </w:footnote>
  <w:footnote w:id="186">
    <w:p w14:paraId="670A4685" w14:textId="77777777" w:rsidR="00067874" w:rsidRPr="00556D76" w:rsidRDefault="00067874"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Mora</w:t>
      </w:r>
      <w:r w:rsidRPr="00556D76">
        <w:rPr>
          <w:rFonts w:cs="Charis SIL"/>
          <w:i/>
          <w:sz w:val="20"/>
          <w:szCs w:val="20"/>
          <w:lang w:val="en-IE"/>
        </w:rPr>
        <w:t xml:space="preserve"> </w:t>
      </w:r>
      <w:r w:rsidRPr="00556D76">
        <w:rPr>
          <w:rFonts w:cs="Charis SIL"/>
          <w:sz w:val="20"/>
          <w:szCs w:val="20"/>
          <w:lang w:val="en-IE"/>
        </w:rPr>
        <w:t>2014: 5ff.</w:t>
      </w:r>
    </w:p>
  </w:footnote>
  <w:footnote w:id="187">
    <w:p w14:paraId="104058C7" w14:textId="77777777" w:rsidR="00067874" w:rsidRPr="00556D76" w:rsidRDefault="00067874"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Das Wort </w:t>
      </w:r>
      <w:r w:rsidRPr="00556D76">
        <w:rPr>
          <w:rFonts w:cs="Charis SIL"/>
          <w:i/>
          <w:iCs/>
          <w:sz w:val="20"/>
          <w:szCs w:val="20"/>
        </w:rPr>
        <w:t>betelepítés</w:t>
      </w:r>
      <w:r w:rsidRPr="00556D76">
        <w:rPr>
          <w:rFonts w:cs="Charis SIL"/>
          <w:sz w:val="20"/>
          <w:szCs w:val="20"/>
        </w:rPr>
        <w:t xml:space="preserve"> im ungarischen Original bezieht sich auf die Ansiedlung der durch den sogenannten Tschechoslowakischen Bevölkerungsaustausch nach Ungarn übersiedelten Bevölkerung, die in Fertőrákos in die leer gewordenen Häuser der aus Ungarn ausgesiedelten Deutschen einzogen.</w:t>
      </w:r>
    </w:p>
  </w:footnote>
  <w:footnote w:id="188">
    <w:p w14:paraId="0F9A7275" w14:textId="77777777" w:rsidR="00067874" w:rsidRPr="00556D76" w:rsidRDefault="00067874"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Die Zwangsarbeiter arbeiteten an dem sogenannten Reichsschutzwall, eine Verteidigungslinie des Deutschen Reiches gegen die anrückende sowjetische Rote Armee.</w:t>
      </w:r>
    </w:p>
  </w:footnote>
  <w:footnote w:id="189">
    <w:p w14:paraId="3325B3C4" w14:textId="77777777" w:rsidR="00067874" w:rsidRPr="00556D76" w:rsidRDefault="00067874"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Mora und Fiziker 2016: 370f. Übersetzung K. K.</w:t>
      </w:r>
    </w:p>
  </w:footnote>
  <w:footnote w:id="190">
    <w:p w14:paraId="486E480F" w14:textId="77777777" w:rsidR="00067874" w:rsidRPr="00556D76" w:rsidRDefault="00067874" w:rsidP="0099245C">
      <w:pPr>
        <w:spacing w:line="240" w:lineRule="auto"/>
        <w:rPr>
          <w:rFonts w:eastAsia="Times New Roman" w:cs="Charis SIL"/>
          <w:bCs/>
          <w:sz w:val="20"/>
          <w:szCs w:val="20"/>
          <w:lang w:val="en-IE"/>
        </w:rPr>
      </w:pPr>
      <w:r w:rsidRPr="00556D76">
        <w:rPr>
          <w:rFonts w:cs="Charis SIL"/>
          <w:sz w:val="20"/>
          <w:szCs w:val="20"/>
          <w:vertAlign w:val="superscript"/>
        </w:rPr>
        <w:footnoteRef/>
      </w:r>
      <w:r w:rsidRPr="00556D76">
        <w:rPr>
          <w:rFonts w:cs="Charis SIL"/>
          <w:sz w:val="20"/>
          <w:szCs w:val="20"/>
        </w:rPr>
        <w:t xml:space="preserve"> N. N.</w:t>
      </w:r>
      <w:r w:rsidRPr="00556D76">
        <w:rPr>
          <w:rFonts w:eastAsia="Times New Roman" w:cs="Charis SIL"/>
          <w:bCs/>
          <w:sz w:val="20"/>
          <w:szCs w:val="20"/>
        </w:rPr>
        <w:t xml:space="preserve"> 2013.</w:t>
      </w:r>
      <w:r w:rsidRPr="00556D76">
        <w:rPr>
          <w:rFonts w:cs="Charis SIL"/>
          <w:sz w:val="20"/>
          <w:szCs w:val="20"/>
        </w:rPr>
        <w:t xml:space="preserve"> Übersetzung K. K.</w:t>
      </w:r>
    </w:p>
  </w:footnote>
  <w:footnote w:id="191">
    <w:p w14:paraId="49CF49D4" w14:textId="77777777" w:rsidR="00067874" w:rsidRPr="00556D76" w:rsidRDefault="00067874"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eastAsia="Times New Roman" w:cs="Charis SIL"/>
          <w:bCs/>
          <w:i/>
          <w:sz w:val="20"/>
          <w:szCs w:val="20"/>
          <w:lang w:val="en-IE"/>
        </w:rPr>
        <w:t xml:space="preserve"> </w:t>
      </w:r>
      <w:r w:rsidRPr="00556D76">
        <w:rPr>
          <w:rFonts w:eastAsia="Times New Roman" w:cs="Charis SIL"/>
          <w:bCs/>
          <w:iCs/>
          <w:sz w:val="20"/>
          <w:szCs w:val="20"/>
          <w:lang w:val="en-IE"/>
        </w:rPr>
        <w:t>N. N.</w:t>
      </w:r>
      <w:r w:rsidRPr="00556D76">
        <w:rPr>
          <w:rFonts w:eastAsia="Times New Roman" w:cs="Charis SIL"/>
          <w:bCs/>
          <w:sz w:val="20"/>
          <w:szCs w:val="20"/>
          <w:lang w:val="en-IE"/>
        </w:rPr>
        <w:t xml:space="preserve"> 2005.</w:t>
      </w:r>
    </w:p>
  </w:footnote>
  <w:footnote w:id="192">
    <w:p w14:paraId="305036D0"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N. N. 2015. Übersetzung K. K.</w:t>
      </w:r>
    </w:p>
  </w:footnote>
  <w:footnote w:id="193">
    <w:p w14:paraId="10539984"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Mora 2007: 2.</w:t>
      </w:r>
    </w:p>
  </w:footnote>
  <w:footnote w:id="194">
    <w:p w14:paraId="72350928"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Im Ungarischen bedeuten beide Schäfer.</w:t>
      </w:r>
    </w:p>
  </w:footnote>
  <w:footnote w:id="195">
    <w:p w14:paraId="77AD4A2D" w14:textId="77777777" w:rsidR="00067874" w:rsidRPr="00556D76" w:rsidRDefault="00067874" w:rsidP="001E18A8">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Klaus Hoffer wurde im Grunde durch die Tatsache, dass das Fußvolk, die Landbevölkerung von einem Tag auf den anderen gänzlich auf sich allein gestellt wurde, zu seinem Roman </w:t>
      </w:r>
      <w:r w:rsidRPr="00556D76">
        <w:rPr>
          <w:rFonts w:cs="Charis SIL"/>
          <w:i/>
          <w:iCs/>
          <w:sz w:val="20"/>
          <w:szCs w:val="20"/>
        </w:rPr>
        <w:t>Bei den Bieresch</w:t>
      </w:r>
      <w:r w:rsidRPr="00556D76">
        <w:rPr>
          <w:rFonts w:cs="Charis SIL"/>
          <w:sz w:val="20"/>
          <w:szCs w:val="20"/>
        </w:rPr>
        <w:t xml:space="preserve"> inspiriert. Er fiktionalisiert indes eher das Surreale der Lage, nicht so sehr die politischen und historischen Implikationen. Siehe dazu auch sein Essay </w:t>
      </w:r>
      <w:r w:rsidRPr="00556D76">
        <w:rPr>
          <w:rFonts w:cs="Charis SIL"/>
          <w:i/>
          <w:iCs/>
          <w:sz w:val="20"/>
          <w:szCs w:val="20"/>
        </w:rPr>
        <w:t>Pusztavolk</w:t>
      </w:r>
      <w:r w:rsidRPr="00556D76">
        <w:rPr>
          <w:rFonts w:cs="Charis SIL"/>
          <w:sz w:val="20"/>
          <w:szCs w:val="20"/>
        </w:rPr>
        <w:t>.</w:t>
      </w:r>
    </w:p>
  </w:footnote>
  <w:footnote w:id="196">
    <w:p w14:paraId="4E0389EC" w14:textId="77777777" w:rsidR="00067874" w:rsidRPr="00556D76" w:rsidRDefault="00067874"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Private E-Mail vom 4. März 2021. Übersetzung K. K.</w:t>
      </w:r>
    </w:p>
  </w:footnote>
  <w:footnote w:id="197">
    <w:p w14:paraId="0BB83F25" w14:textId="77777777" w:rsidR="00DD5337" w:rsidRPr="00556D76" w:rsidRDefault="00DD5337" w:rsidP="0099245C">
      <w:pPr>
        <w:suppressAutoHyphens/>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Till exempel Rahikainen 2014a, 2014b; Tidigs 2014; Zilliacus 2011; Meurer-Bongardt 2011; Toftegaard Pedersen 2011; Haux 2013; Nygård 2012; Haapala, Hertzberg, Kantola 2012; Welander 2013; Ekman 2011; Kuhlefelt 2018; Hermansson 2015; Hertzberg 2018; Malmio 2021. År 2014 utkom ett fembandsverk på tyska, </w:t>
      </w:r>
      <w:r w:rsidRPr="00556D76">
        <w:rPr>
          <w:rFonts w:cs="Charis SIL"/>
          <w:i/>
          <w:sz w:val="20"/>
          <w:szCs w:val="20"/>
          <w:lang w:val="sv-SE"/>
        </w:rPr>
        <w:t>Finnlandschwedische Literatur der Avantgarde in 5 Bänden</w:t>
      </w:r>
      <w:r w:rsidRPr="00556D76">
        <w:rPr>
          <w:rFonts w:cs="Charis SIL"/>
          <w:sz w:val="20"/>
          <w:szCs w:val="20"/>
          <w:lang w:val="sv-SE"/>
        </w:rPr>
        <w:t>, med översättningar av Klaus-Jürgen Liedtke och Anders Olssons korta presentationer av Edith Södergran, Elmer Diktonius, Rabbe Enckell, Gunnar Björling och Henry Parland.</w:t>
      </w:r>
    </w:p>
  </w:footnote>
  <w:footnote w:id="198">
    <w:p w14:paraId="365B1568" w14:textId="77777777"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Denna text är en utvidgad och omskriven version av ett föredrag som jag höll vid seminariet ”Det okända 1916. Seminarium om den finlandssvenska modernismens första 100 år” vid Svenska litteratursällskapet i Finland rf., Helsingfors, 2.12.2016. Stort tack till FD Anna Biström för givande kommentarer och handledning i kvantitativ forskning.</w:t>
      </w:r>
    </w:p>
  </w:footnote>
  <w:footnote w:id="199">
    <w:p w14:paraId="5F50FBA4" w14:textId="3B0E7466" w:rsidR="00DD5337" w:rsidRPr="00556D76" w:rsidRDefault="00DD5337" w:rsidP="0099245C">
      <w:pPr>
        <w:spacing w:line="240" w:lineRule="auto"/>
        <w:rPr>
          <w:rFonts w:cs="Charis SIL"/>
          <w:sz w:val="20"/>
          <w:szCs w:val="20"/>
          <w:lang w:val="en-IE"/>
        </w:rPr>
      </w:pPr>
      <w:r w:rsidRPr="00556D76">
        <w:rPr>
          <w:rFonts w:cs="Charis SIL"/>
          <w:sz w:val="20"/>
          <w:szCs w:val="20"/>
          <w:vertAlign w:val="superscript"/>
          <w:lang w:val="sv-SE"/>
        </w:rPr>
        <w:footnoteRef/>
      </w:r>
      <w:r w:rsidRPr="00556D76">
        <w:rPr>
          <w:rFonts w:cs="Charis SIL"/>
          <w:sz w:val="20"/>
          <w:szCs w:val="20"/>
          <w:lang w:val="sv-SE"/>
        </w:rPr>
        <w:t xml:space="preserve"> Man måste också räkna med alla eventuella misstag jag gjort i samband med </w:t>
      </w:r>
      <w:r w:rsidR="00804A4D" w:rsidRPr="00556D76">
        <w:rPr>
          <w:rFonts w:cs="Charis SIL"/>
          <w:sz w:val="20"/>
          <w:szCs w:val="20"/>
          <w:lang w:val="sv-SE"/>
        </w:rPr>
        <w:br/>
      </w:r>
      <w:r w:rsidRPr="00556D76">
        <w:rPr>
          <w:rFonts w:cs="Charis SIL"/>
          <w:sz w:val="20"/>
          <w:szCs w:val="20"/>
          <w:lang w:val="sv-SE"/>
        </w:rPr>
        <w:t xml:space="preserve">att jag räknat antal verk i olika kategorier. Mina resultat är med andra </w:t>
      </w:r>
      <w:r w:rsidR="00804A4D" w:rsidRPr="00556D76">
        <w:rPr>
          <w:rFonts w:cs="Charis SIL"/>
          <w:sz w:val="20"/>
          <w:szCs w:val="20"/>
          <w:lang w:val="sv-SE"/>
        </w:rPr>
        <w:br/>
      </w:r>
      <w:r w:rsidRPr="00556D76">
        <w:rPr>
          <w:rFonts w:cs="Charis SIL"/>
          <w:sz w:val="20"/>
          <w:szCs w:val="20"/>
          <w:lang w:val="sv-SE"/>
        </w:rPr>
        <w:t>ord riktgivande.</w:t>
      </w:r>
    </w:p>
  </w:footnote>
  <w:footnote w:id="200">
    <w:p w14:paraId="40D299A5" w14:textId="77777777"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Kritiken har i någon mån förbisett det uttalat spekulativa och självreflexiva i Morettis forskning. (Se tex Moretti 2005: 30; Moretti 2013: 88.)</w:t>
      </w:r>
    </w:p>
  </w:footnote>
  <w:footnote w:id="201">
    <w:p w14:paraId="6A5D2B53" w14:textId="77777777"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Jag har räknat samlade verk som ett nummer istället för att räkna de i serien utgivna verken var för sig.</w:t>
      </w:r>
    </w:p>
  </w:footnote>
  <w:footnote w:id="202">
    <w:p w14:paraId="13540DEF" w14:textId="77777777"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Här anges uppgifterna såsom de framkommer i bibliografin. Vid vissa fall saknas tex förlagsort eller namnet på förläggaren.</w:t>
      </w:r>
    </w:p>
  </w:footnote>
  <w:footnote w:id="203">
    <w:p w14:paraId="3848B1DC" w14:textId="77777777" w:rsidR="00780988" w:rsidRPr="00556D76" w:rsidRDefault="00780988"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Uppgifterna anges enligt bibliografin. Speciellt i denna kategori finns mycket som publicerats anonymt.</w:t>
      </w:r>
    </w:p>
  </w:footnote>
  <w:footnote w:id="204">
    <w:p w14:paraId="1ED5EE67" w14:textId="77777777" w:rsidR="00DD5337" w:rsidRPr="00556D76" w:rsidRDefault="00DD5337" w:rsidP="0099245C">
      <w:pPr>
        <w:spacing w:line="240" w:lineRule="auto"/>
        <w:rPr>
          <w:rFonts w:cs="Charis SIL"/>
          <w:sz w:val="20"/>
          <w:szCs w:val="20"/>
          <w:lang w:val="en-IE"/>
        </w:rPr>
      </w:pPr>
      <w:r w:rsidRPr="00556D76">
        <w:rPr>
          <w:rFonts w:cs="Charis SIL"/>
          <w:sz w:val="20"/>
          <w:szCs w:val="20"/>
          <w:vertAlign w:val="superscript"/>
          <w:lang w:val="sv-SE"/>
        </w:rPr>
        <w:footnoteRef/>
      </w:r>
      <w:r w:rsidRPr="00556D76">
        <w:rPr>
          <w:rFonts w:cs="Charis SIL"/>
          <w:sz w:val="20"/>
          <w:szCs w:val="20"/>
          <w:lang w:val="sv-SE"/>
        </w:rPr>
        <w:t xml:space="preserve"> Med tillfällighetsdiktning har traditionellt menats diktning som har skrivits för en speciell tillställning eller händelse och som ofta tillägnades en person. Eeva-Liisa Bastman påpekar att man egentligen borde tala om situationspoesi, tillfällesdiktning eller fest- och persondiktning. (Bastman 2021: 84.)</w:t>
      </w:r>
    </w:p>
  </w:footnote>
  <w:footnote w:id="205">
    <w:p w14:paraId="39A510B8" w14:textId="77777777" w:rsidR="00593B8F" w:rsidRPr="00556D76" w:rsidRDefault="00593B8F"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Separeringen av den finska och svenska utgivningen, som Sevänen och Zweygbergk påvisar, är tydligen inte helt fullständig 1916, eftersom listan förutom Boldts pjäs innehåller även flera andra verk skrivna på svenska som getts ut av förlag med helfinska namn.</w:t>
      </w:r>
    </w:p>
  </w:footnote>
  <w:footnote w:id="206">
    <w:p w14:paraId="5D1278FA" w14:textId="10C16298"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Dessa verk finns av utrymmesskäl uppräknade i en separat bilaga, Tabell 6 i slutet av artikeln.</w:t>
      </w:r>
    </w:p>
  </w:footnote>
  <w:footnote w:id="207">
    <w:p w14:paraId="28B80908" w14:textId="77777777"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De vars namn är inom parentes har ingen skönlitterär utgivning och räknas därför inte med.</w:t>
      </w:r>
    </w:p>
  </w:footnote>
  <w:footnote w:id="208">
    <w:p w14:paraId="373F3533" w14:textId="77777777"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Runa och Sigge Stark har inte räknats med trots att de nämns då jag endast fokuserar den inhemska litterära produktionen.</w:t>
      </w:r>
    </w:p>
  </w:footnote>
  <w:footnote w:id="209">
    <w:p w14:paraId="0EE8AF56" w14:textId="77777777" w:rsidR="00DD5337" w:rsidRPr="00556D76" w:rsidRDefault="00DD5337" w:rsidP="0099245C">
      <w:pPr>
        <w:spacing w:line="240" w:lineRule="auto"/>
        <w:rPr>
          <w:rFonts w:cs="Charis SIL"/>
          <w:sz w:val="20"/>
          <w:szCs w:val="20"/>
          <w:lang w:val="en-IE"/>
        </w:rPr>
      </w:pPr>
      <w:r w:rsidRPr="00556D76">
        <w:rPr>
          <w:rFonts w:cs="Charis SIL"/>
          <w:sz w:val="20"/>
          <w:szCs w:val="20"/>
          <w:vertAlign w:val="superscript"/>
          <w:lang w:val="sv-SE"/>
        </w:rPr>
        <w:footnoteRef/>
      </w:r>
      <w:r w:rsidRPr="00556D76">
        <w:rPr>
          <w:rFonts w:cs="Charis SIL"/>
          <w:sz w:val="20"/>
          <w:szCs w:val="20"/>
          <w:lang w:val="sv-SE"/>
        </w:rPr>
        <w:t xml:space="preserve"> Jag räknar upp endast de författare vars produktion från 1920-talet nämns.</w:t>
      </w:r>
    </w:p>
  </w:footnote>
  <w:footnote w:id="210">
    <w:p w14:paraId="0F9B2680" w14:textId="0C751914"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Maria Nyström (1854</w:t>
      </w:r>
      <w:r w:rsidR="00156E29" w:rsidRPr="00556D76">
        <w:rPr>
          <w:rFonts w:cs="Charis SIL"/>
          <w:sz w:val="20"/>
          <w:szCs w:val="20"/>
          <w:lang w:val="sv-SE"/>
        </w:rPr>
        <w:t>‒</w:t>
      </w:r>
      <w:r w:rsidRPr="00556D76">
        <w:rPr>
          <w:rFonts w:cs="Charis SIL"/>
          <w:sz w:val="20"/>
          <w:szCs w:val="20"/>
          <w:lang w:val="sv-SE"/>
        </w:rPr>
        <w:t xml:space="preserve">1937) var bosatt i Lovisa och gav ut en lång rad berättelser, pjäser och sagor i olika serier. Hon var också medarbetare i </w:t>
      </w:r>
      <w:r w:rsidRPr="00556D76">
        <w:rPr>
          <w:rFonts w:cs="Charis SIL"/>
          <w:i/>
          <w:sz w:val="20"/>
          <w:szCs w:val="20"/>
          <w:lang w:val="sv-SE"/>
        </w:rPr>
        <w:t>Husmodern</w:t>
      </w:r>
      <w:r w:rsidRPr="00556D76">
        <w:rPr>
          <w:rFonts w:cs="Charis SIL"/>
          <w:sz w:val="20"/>
          <w:szCs w:val="20"/>
          <w:lang w:val="sv-SE"/>
        </w:rPr>
        <w:t>.</w:t>
      </w:r>
    </w:p>
  </w:footnote>
  <w:footnote w:id="211">
    <w:p w14:paraId="56E95D0B" w14:textId="3982DA57"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Ett problem för all litteraturhistorieskrivning är att författare ju inte bara läser och förhåller sig till verk på sitt eget/sina egna språk, utan också läser översättningar och utländska verk på originalspråk. Då uppstår också frågan var gränserna för de texter som ska beaktas som konstituerande för en litteratur eller ett litteraturhistoriskt fält ska dras. Dessutom skapas skönlitteraturen inte endast i relation till annan skönlitteratur, utan att också tidskrifter och tidningar samt andra genrer kan tänkas vara relevanta för det litterära fältet.</w:t>
      </w:r>
    </w:p>
  </w:footnote>
  <w:footnote w:id="212">
    <w:p w14:paraId="51A35379" w14:textId="71C0165B" w:rsidR="00DD5337" w:rsidRPr="00556D76" w:rsidRDefault="00DD5337" w:rsidP="0099245C">
      <w:pPr>
        <w:spacing w:line="240" w:lineRule="auto"/>
        <w:rPr>
          <w:rFonts w:cs="Charis SIL"/>
          <w:sz w:val="20"/>
          <w:szCs w:val="20"/>
          <w:lang w:val="sv-SE"/>
        </w:rPr>
      </w:pPr>
      <w:r w:rsidRPr="00556D76">
        <w:rPr>
          <w:rFonts w:cs="Charis SIL"/>
          <w:sz w:val="20"/>
          <w:szCs w:val="20"/>
          <w:vertAlign w:val="superscript"/>
          <w:lang w:val="sv-SE"/>
        </w:rPr>
        <w:footnoteRef/>
      </w:r>
      <w:r w:rsidRPr="00556D76">
        <w:rPr>
          <w:rFonts w:cs="Charis SIL"/>
          <w:sz w:val="20"/>
          <w:szCs w:val="20"/>
          <w:lang w:val="sv-SE"/>
        </w:rPr>
        <w:t xml:space="preserve"> I dessa siffror ingår titlar som även dyker upp på andra håll i bibliografin, under de enskilda författarnas namn.</w:t>
      </w:r>
    </w:p>
  </w:footnote>
  <w:footnote w:id="213">
    <w:p w14:paraId="31C2868D"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Gilles Deleuze/Félix Guattari, </w:t>
      </w:r>
      <w:r w:rsidRPr="00556D76">
        <w:rPr>
          <w:rFonts w:cs="Charis SIL"/>
          <w:i/>
          <w:sz w:val="20"/>
          <w:szCs w:val="20"/>
          <w:lang w:val="en-IE"/>
        </w:rPr>
        <w:t>Für eine kleine Literatur,</w:t>
      </w:r>
      <w:r w:rsidRPr="00556D76">
        <w:rPr>
          <w:rFonts w:cs="Charis SIL"/>
          <w:sz w:val="20"/>
          <w:szCs w:val="20"/>
          <w:lang w:val="en-IE"/>
        </w:rPr>
        <w:t xml:space="preserve"> Frankfurt am Main: Suhrkamp 1976.</w:t>
      </w:r>
    </w:p>
  </w:footnote>
  <w:footnote w:id="214">
    <w:p w14:paraId="0EB0A11F" w14:textId="56FD1771"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Wolfgang Müller-Funk/Gabor Schein (H</w:t>
      </w:r>
      <w:r w:rsidR="00E77EA1" w:rsidRPr="00556D76">
        <w:rPr>
          <w:rFonts w:cs="Charis SIL"/>
          <w:sz w:val="20"/>
          <w:szCs w:val="20"/>
          <w:lang w:val="en-IE"/>
        </w:rPr>
        <w:t>rs</w:t>
      </w:r>
      <w:r w:rsidRPr="00556D76">
        <w:rPr>
          <w:rFonts w:cs="Charis SIL"/>
          <w:sz w:val="20"/>
          <w:szCs w:val="20"/>
          <w:lang w:val="en-IE"/>
        </w:rPr>
        <w:t xml:space="preserve">g.), </w:t>
      </w:r>
      <w:r w:rsidRPr="00556D76">
        <w:rPr>
          <w:rFonts w:cs="Charis SIL"/>
          <w:i/>
          <w:sz w:val="20"/>
          <w:szCs w:val="20"/>
          <w:lang w:val="en-IE"/>
        </w:rPr>
        <w:t>Péter Nádas‘ Parallelgeschichten. Lektüren, Essays und ein Gespräch</w:t>
      </w:r>
      <w:r w:rsidRPr="00556D76">
        <w:rPr>
          <w:rFonts w:cs="Charis SIL"/>
          <w:sz w:val="20"/>
          <w:szCs w:val="20"/>
          <w:lang w:val="en-IE"/>
        </w:rPr>
        <w:t>, Kultur – Herrschaft – Differenz, Bd. 26, Tübingen. Francke 2020.</w:t>
      </w:r>
    </w:p>
  </w:footnote>
  <w:footnote w:id="215">
    <w:p w14:paraId="2921EA32" w14:textId="1A3EFF39"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r w:rsidRPr="00556D76">
        <w:rPr>
          <w:rFonts w:eastAsia="Calibri" w:cs="Charis SIL"/>
          <w:snapToGrid w:val="0"/>
          <w:sz w:val="20"/>
          <w:szCs w:val="20"/>
          <w:lang w:val="en-IE" w:eastAsia="de-DE"/>
        </w:rPr>
        <w:t>Johan Schimanski/Stephen Wolfe (H</w:t>
      </w:r>
      <w:r w:rsidR="00E77EA1" w:rsidRPr="00556D76">
        <w:rPr>
          <w:rFonts w:eastAsia="Calibri" w:cs="Charis SIL"/>
          <w:snapToGrid w:val="0"/>
          <w:sz w:val="20"/>
          <w:szCs w:val="20"/>
          <w:lang w:val="en-IE" w:eastAsia="de-DE"/>
        </w:rPr>
        <w:t>rs</w:t>
      </w:r>
      <w:r w:rsidRPr="00556D76">
        <w:rPr>
          <w:rFonts w:eastAsia="Calibri" w:cs="Charis SIL"/>
          <w:snapToGrid w:val="0"/>
          <w:sz w:val="20"/>
          <w:szCs w:val="20"/>
          <w:lang w:val="en-IE" w:eastAsia="de-DE"/>
        </w:rPr>
        <w:t xml:space="preserve">g.), </w:t>
      </w:r>
      <w:r w:rsidRPr="00556D76">
        <w:rPr>
          <w:rFonts w:eastAsia="Calibri" w:cs="Charis SIL"/>
          <w:i/>
          <w:snapToGrid w:val="0"/>
          <w:sz w:val="20"/>
          <w:szCs w:val="20"/>
          <w:lang w:val="en-IE" w:eastAsia="de-DE"/>
        </w:rPr>
        <w:t>Border poetics de-limited</w:t>
      </w:r>
      <w:r w:rsidRPr="00556D76">
        <w:rPr>
          <w:rFonts w:eastAsia="Calibri" w:cs="Charis SIL"/>
          <w:snapToGrid w:val="0"/>
          <w:sz w:val="20"/>
          <w:szCs w:val="20"/>
          <w:lang w:val="en-IE" w:eastAsia="de-DE"/>
        </w:rPr>
        <w:t>, Hannover: Werhahn 2007</w:t>
      </w:r>
      <w:r w:rsidRPr="00556D76">
        <w:rPr>
          <w:rFonts w:cs="Charis SIL"/>
          <w:snapToGrid w:val="0"/>
          <w:sz w:val="20"/>
          <w:szCs w:val="20"/>
          <w:lang w:val="en-IE" w:eastAsia="de-DE"/>
        </w:rPr>
        <w:t>.</w:t>
      </w:r>
    </w:p>
  </w:footnote>
  <w:footnote w:id="216">
    <w:p w14:paraId="15224207" w14:textId="7A09C342"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t>
      </w:r>
      <w:r w:rsidRPr="00556D76">
        <w:rPr>
          <w:rFonts w:cs="Charis SIL"/>
          <w:i/>
          <w:sz w:val="20"/>
          <w:szCs w:val="20"/>
          <w:lang w:val="en-IE"/>
        </w:rPr>
        <w:t>In progressu</w:t>
      </w:r>
      <w:r w:rsidRPr="00556D76">
        <w:rPr>
          <w:rFonts w:cs="Charis SIL"/>
          <w:sz w:val="20"/>
          <w:szCs w:val="20"/>
          <w:lang w:val="en-IE"/>
        </w:rPr>
        <w:t xml:space="preserve">: Wolfgang Müller-Funk, </w:t>
      </w:r>
      <w:r w:rsidRPr="00556D76">
        <w:rPr>
          <w:rFonts w:cs="Charis SIL"/>
          <w:i/>
          <w:sz w:val="20"/>
          <w:szCs w:val="20"/>
          <w:lang w:val="en-IE"/>
        </w:rPr>
        <w:t>Der stumme Prophet</w:t>
      </w:r>
      <w:r w:rsidRPr="00556D76">
        <w:rPr>
          <w:rFonts w:cs="Charis SIL"/>
          <w:sz w:val="20"/>
          <w:szCs w:val="20"/>
          <w:lang w:val="en-IE"/>
        </w:rPr>
        <w:t>, in: Hans Richard Brittnacher/Markus May (H</w:t>
      </w:r>
      <w:r w:rsidR="00E77EA1" w:rsidRPr="00556D76">
        <w:rPr>
          <w:rFonts w:cs="Charis SIL"/>
          <w:sz w:val="20"/>
          <w:szCs w:val="20"/>
          <w:lang w:val="en-IE"/>
        </w:rPr>
        <w:t>rs</w:t>
      </w:r>
      <w:r w:rsidRPr="00556D76">
        <w:rPr>
          <w:rFonts w:cs="Charis SIL"/>
          <w:sz w:val="20"/>
          <w:szCs w:val="20"/>
          <w:lang w:val="en-IE"/>
        </w:rPr>
        <w:t>g.), Joseph Roth-Handbuch, Stuttgart: Metzler 2022.</w:t>
      </w:r>
    </w:p>
  </w:footnote>
  <w:footnote w:id="217">
    <w:p w14:paraId="5E4BD36B"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Joseph Roth, </w:t>
      </w:r>
      <w:r w:rsidRPr="00556D76">
        <w:rPr>
          <w:rFonts w:cs="Charis SIL"/>
          <w:i/>
          <w:sz w:val="20"/>
          <w:szCs w:val="20"/>
          <w:lang w:val="en-IE"/>
        </w:rPr>
        <w:t>Der stumme Prophet</w:t>
      </w:r>
      <w:r w:rsidRPr="00556D76">
        <w:rPr>
          <w:rFonts w:cs="Charis SIL"/>
          <w:sz w:val="20"/>
          <w:szCs w:val="20"/>
          <w:lang w:val="en-IE"/>
        </w:rPr>
        <w:t>, Werke Bd. 4: Romane und Erzählungen, herausgegeben und mit einem Nachwort von Fritz Hackert, Köln: Kiepenheuer &amp; Witsch 1989, S. 928.</w:t>
      </w:r>
    </w:p>
  </w:footnote>
  <w:footnote w:id="218">
    <w:p w14:paraId="1DFA97A6"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Vgl. Fritz Hackert, </w:t>
      </w:r>
      <w:r w:rsidRPr="00556D76">
        <w:rPr>
          <w:rFonts w:cs="Charis SIL"/>
          <w:i/>
          <w:sz w:val="20"/>
          <w:szCs w:val="20"/>
          <w:lang w:val="en-IE"/>
        </w:rPr>
        <w:t>Anhang</w:t>
      </w:r>
      <w:r w:rsidRPr="00556D76">
        <w:rPr>
          <w:rFonts w:cs="Charis SIL"/>
          <w:sz w:val="20"/>
          <w:szCs w:val="20"/>
          <w:lang w:val="en-IE"/>
        </w:rPr>
        <w:t xml:space="preserve">, in: Joseph Roth, </w:t>
      </w:r>
      <w:r w:rsidRPr="00556D76">
        <w:rPr>
          <w:rFonts w:cs="Charis SIL"/>
          <w:i/>
          <w:sz w:val="20"/>
          <w:szCs w:val="20"/>
          <w:lang w:val="en-IE"/>
        </w:rPr>
        <w:t>Der stumme Prophet</w:t>
      </w:r>
      <w:r w:rsidRPr="00556D76">
        <w:rPr>
          <w:rFonts w:cs="Charis SIL"/>
          <w:sz w:val="20"/>
          <w:szCs w:val="20"/>
          <w:lang w:val="en-IE"/>
        </w:rPr>
        <w:t>, Werke Bd. 4: Romane und Erzählungen, herausgegeben und mit einem Nachwort von Fritz Hackert, Köln: Kiepenheuer &amp; Witsch 1989, S. 1070.</w:t>
      </w:r>
    </w:p>
  </w:footnote>
  <w:footnote w:id="219">
    <w:p w14:paraId="319884BC"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Homi K. Bhabha, </w:t>
      </w:r>
      <w:r w:rsidRPr="00556D76">
        <w:rPr>
          <w:rFonts w:cs="Charis SIL"/>
          <w:i/>
          <w:sz w:val="20"/>
          <w:szCs w:val="20"/>
          <w:lang w:val="en-IE"/>
        </w:rPr>
        <w:t>The Location of Culture</w:t>
      </w:r>
      <w:r w:rsidRPr="00556D76">
        <w:rPr>
          <w:rFonts w:cs="Charis SIL"/>
          <w:sz w:val="20"/>
          <w:szCs w:val="20"/>
          <w:lang w:val="en-IE"/>
        </w:rPr>
        <w:t>, London. Routledge, 1994.</w:t>
      </w:r>
    </w:p>
  </w:footnote>
  <w:footnote w:id="220">
    <w:p w14:paraId="4328FA70"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776.</w:t>
      </w:r>
    </w:p>
  </w:footnote>
  <w:footnote w:id="221">
    <w:p w14:paraId="161C61DF" w14:textId="2974A964"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Wolfgang Müller-Funk, </w:t>
      </w:r>
      <w:r w:rsidRPr="00556D76">
        <w:rPr>
          <w:rFonts w:cs="Charis SIL"/>
          <w:i/>
          <w:sz w:val="20"/>
          <w:szCs w:val="20"/>
          <w:lang w:val="en-IE"/>
        </w:rPr>
        <w:t>Joseph Roth. Besichtigungen eines Werks</w:t>
      </w:r>
      <w:r w:rsidRPr="00556D76">
        <w:rPr>
          <w:rFonts w:cs="Charis SIL"/>
          <w:sz w:val="20"/>
          <w:szCs w:val="20"/>
          <w:lang w:val="en-IE"/>
        </w:rPr>
        <w:t>, Wien: Sonderzahl 2012, S. 155</w:t>
      </w:r>
      <w:r w:rsidR="00156E29" w:rsidRPr="00556D76">
        <w:rPr>
          <w:rFonts w:cs="Charis SIL"/>
          <w:sz w:val="20"/>
          <w:szCs w:val="20"/>
          <w:lang w:val="en-IE"/>
        </w:rPr>
        <w:t>–</w:t>
      </w:r>
      <w:r w:rsidRPr="00556D76">
        <w:rPr>
          <w:rFonts w:cs="Charis SIL"/>
          <w:sz w:val="20"/>
          <w:szCs w:val="20"/>
          <w:lang w:val="en-IE"/>
        </w:rPr>
        <w:t>177.</w:t>
      </w:r>
    </w:p>
  </w:footnote>
  <w:footnote w:id="222">
    <w:p w14:paraId="59E370EA" w14:textId="46E9CF6A"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Werner Lengning, </w:t>
      </w:r>
      <w:r w:rsidRPr="00556D76">
        <w:rPr>
          <w:rFonts w:cs="Charis SIL"/>
          <w:i/>
          <w:sz w:val="20"/>
          <w:szCs w:val="20"/>
          <w:lang w:val="en-IE"/>
        </w:rPr>
        <w:t>Nachwort</w:t>
      </w:r>
      <w:r w:rsidRPr="00556D76">
        <w:rPr>
          <w:rFonts w:cs="Charis SIL"/>
          <w:sz w:val="20"/>
          <w:szCs w:val="20"/>
          <w:lang w:val="en-IE"/>
        </w:rPr>
        <w:t xml:space="preserve">, in: Joseph Roth, </w:t>
      </w:r>
      <w:r w:rsidRPr="00556D76">
        <w:rPr>
          <w:rFonts w:cs="Charis SIL"/>
          <w:i/>
          <w:sz w:val="20"/>
          <w:szCs w:val="20"/>
          <w:lang w:val="en-IE"/>
        </w:rPr>
        <w:t>Der stumme Prophet</w:t>
      </w:r>
      <w:r w:rsidRPr="00556D76">
        <w:rPr>
          <w:rFonts w:cs="Charis SIL"/>
          <w:sz w:val="20"/>
          <w:szCs w:val="20"/>
          <w:lang w:val="en-IE"/>
        </w:rPr>
        <w:t>, Reinbek: Rowohlt 1968, S. 136</w:t>
      </w:r>
      <w:r w:rsidR="00156E29" w:rsidRPr="00556D76">
        <w:rPr>
          <w:rFonts w:cs="Charis SIL"/>
          <w:sz w:val="20"/>
          <w:szCs w:val="20"/>
          <w:lang w:val="en-IE"/>
        </w:rPr>
        <w:t>–</w:t>
      </w:r>
      <w:r w:rsidRPr="00556D76">
        <w:rPr>
          <w:rFonts w:cs="Charis SIL"/>
          <w:sz w:val="20"/>
          <w:szCs w:val="20"/>
          <w:lang w:val="en-IE"/>
        </w:rPr>
        <w:t>138.</w:t>
      </w:r>
    </w:p>
  </w:footnote>
  <w:footnote w:id="223">
    <w:p w14:paraId="056FB719"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xml:space="preserve"> S. 779. Aus dem Nachwort geht hervor, dass die publizierte Version des Romans aus einem Typoskript C besteht, das bis zum siebten Kapitel des zweiten Teils reicht, während die darauffolgenden Kapitel aus einer handschriftlichen Fassung B stammt, die niemals überarbeitet und womöglich modifiziert wurde. Alle Fassungen befinden sich im Leo Baeck-Institut in New York.</w:t>
      </w:r>
    </w:p>
  </w:footnote>
  <w:footnote w:id="224">
    <w:p w14:paraId="29CFF7C0"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786.</w:t>
      </w:r>
    </w:p>
  </w:footnote>
  <w:footnote w:id="225">
    <w:p w14:paraId="2A604709"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Joseph Roth, </w:t>
      </w:r>
      <w:r w:rsidRPr="00556D76">
        <w:rPr>
          <w:rFonts w:cs="Charis SIL"/>
          <w:i/>
          <w:sz w:val="20"/>
          <w:szCs w:val="20"/>
          <w:lang w:val="en-IE"/>
        </w:rPr>
        <w:t>Der stumme Prophet</w:t>
      </w:r>
      <w:r w:rsidRPr="00556D76">
        <w:rPr>
          <w:rFonts w:cs="Charis SIL"/>
          <w:sz w:val="20"/>
          <w:szCs w:val="20"/>
          <w:lang w:val="en-IE"/>
        </w:rPr>
        <w:t>, S. 928.</w:t>
      </w:r>
    </w:p>
  </w:footnote>
  <w:footnote w:id="226">
    <w:p w14:paraId="4A91E648"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929.</w:t>
      </w:r>
    </w:p>
  </w:footnote>
  <w:footnote w:id="227">
    <w:p w14:paraId="5A3C32F8" w14:textId="04C824DD"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Müller-Funk, </w:t>
      </w:r>
      <w:r w:rsidRPr="00556D76">
        <w:rPr>
          <w:rFonts w:cs="Charis SIL"/>
          <w:i/>
          <w:sz w:val="20"/>
          <w:szCs w:val="20"/>
          <w:lang w:val="en-IE"/>
        </w:rPr>
        <w:t>Joseph Roth,</w:t>
      </w:r>
      <w:r w:rsidRPr="00556D76">
        <w:rPr>
          <w:rFonts w:cs="Charis SIL"/>
          <w:sz w:val="20"/>
          <w:szCs w:val="20"/>
          <w:lang w:val="en-IE"/>
        </w:rPr>
        <w:t xml:space="preserve"> S. 76</w:t>
      </w:r>
      <w:r w:rsidR="00156E29" w:rsidRPr="00556D76">
        <w:rPr>
          <w:rFonts w:cs="Charis SIL"/>
          <w:sz w:val="20"/>
          <w:szCs w:val="20"/>
          <w:lang w:val="en-IE"/>
        </w:rPr>
        <w:t>–</w:t>
      </w:r>
      <w:r w:rsidRPr="00556D76">
        <w:rPr>
          <w:rFonts w:cs="Charis SIL"/>
          <w:sz w:val="20"/>
          <w:szCs w:val="20"/>
          <w:lang w:val="en-IE"/>
        </w:rPr>
        <w:t>89.</w:t>
      </w:r>
    </w:p>
  </w:footnote>
  <w:footnote w:id="228">
    <w:p w14:paraId="527C33A0" w14:textId="07A594E8"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Manès Sperber, </w:t>
      </w:r>
      <w:r w:rsidRPr="00556D76">
        <w:rPr>
          <w:rFonts w:cs="Charis SIL"/>
          <w:i/>
          <w:sz w:val="20"/>
          <w:szCs w:val="20"/>
          <w:lang w:val="en-IE"/>
        </w:rPr>
        <w:t>Charlatan und seine Zeit</w:t>
      </w:r>
      <w:r w:rsidRPr="00556D76">
        <w:rPr>
          <w:rFonts w:cs="Charis SIL"/>
          <w:sz w:val="20"/>
          <w:szCs w:val="20"/>
          <w:lang w:val="en-IE"/>
        </w:rPr>
        <w:t xml:space="preserve"> (1924), Graz und Wien: Bibliothek Gutenberg 2004, S. 116.</w:t>
      </w:r>
    </w:p>
  </w:footnote>
  <w:footnote w:id="229">
    <w:p w14:paraId="01D571AC" w14:textId="77777777" w:rsidR="0026127D" w:rsidRPr="00556D76" w:rsidRDefault="0026127D" w:rsidP="0099245C">
      <w:pPr>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Arthur Koestler, Sonnenfinsternis. Nach dem deutschen Originalmanuskript (1940), Coesfeld: Elsinor Verlag 2018.</w:t>
      </w:r>
    </w:p>
  </w:footnote>
  <w:footnote w:id="230">
    <w:p w14:paraId="74768037" w14:textId="4ED18F31"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Vgl. Wolfgang Müller-Funk, </w:t>
      </w:r>
      <w:r w:rsidRPr="00556D76">
        <w:rPr>
          <w:rFonts w:cs="Charis SIL"/>
          <w:i/>
          <w:iCs/>
          <w:sz w:val="20"/>
          <w:szCs w:val="20"/>
          <w:lang w:val="en-IE"/>
        </w:rPr>
        <w:t>Crudelitas</w:t>
      </w:r>
      <w:r w:rsidRPr="00556D76">
        <w:rPr>
          <w:rFonts w:cs="Charis SIL"/>
          <w:sz w:val="20"/>
          <w:szCs w:val="20"/>
          <w:lang w:val="en-IE"/>
        </w:rPr>
        <w:t xml:space="preserve">. </w:t>
      </w:r>
      <w:r w:rsidRPr="00556D76">
        <w:rPr>
          <w:rFonts w:cs="Charis SIL"/>
          <w:i/>
          <w:sz w:val="20"/>
          <w:szCs w:val="20"/>
          <w:lang w:val="en-IE"/>
        </w:rPr>
        <w:t>Zwölf Kapitel einer Diskursgeschichte der Grausamkeit</w:t>
      </w:r>
      <w:r w:rsidRPr="00556D76">
        <w:rPr>
          <w:rFonts w:cs="Charis SIL"/>
          <w:sz w:val="20"/>
          <w:szCs w:val="20"/>
          <w:lang w:val="en-IE"/>
        </w:rPr>
        <w:t>, Berlin: Matthes &amp; Seitz 2021, S. 241</w:t>
      </w:r>
      <w:r w:rsidR="00156E29" w:rsidRPr="00556D76">
        <w:rPr>
          <w:rFonts w:cs="Charis SIL"/>
          <w:sz w:val="20"/>
          <w:szCs w:val="20"/>
          <w:lang w:val="en-IE"/>
        </w:rPr>
        <w:t>–</w:t>
      </w:r>
      <w:r w:rsidRPr="00556D76">
        <w:rPr>
          <w:rFonts w:cs="Charis SIL"/>
          <w:sz w:val="20"/>
          <w:szCs w:val="20"/>
          <w:lang w:val="en-IE"/>
        </w:rPr>
        <w:t xml:space="preserve">272; Vgl. auch Manès Sperber, </w:t>
      </w:r>
      <w:r w:rsidRPr="00556D76">
        <w:rPr>
          <w:rFonts w:cs="Charis SIL"/>
          <w:i/>
          <w:sz w:val="20"/>
          <w:szCs w:val="20"/>
          <w:lang w:val="en-IE"/>
        </w:rPr>
        <w:t>Zu den nachgelassenen Romanen von Joseph Roth [Der stumme Prophet</w:t>
      </w:r>
      <w:r w:rsidRPr="00556D76">
        <w:rPr>
          <w:rFonts w:cs="Charis SIL"/>
          <w:sz w:val="20"/>
          <w:szCs w:val="20"/>
          <w:lang w:val="en-IE"/>
        </w:rPr>
        <w:t>], in: Neues Forum, 13. Jahrgang (1966), Heft 154, S. 625</w:t>
      </w:r>
      <w:r w:rsidR="00156E29" w:rsidRPr="00556D76">
        <w:rPr>
          <w:rFonts w:cs="Charis SIL"/>
          <w:sz w:val="20"/>
          <w:szCs w:val="20"/>
          <w:lang w:val="en-IE"/>
        </w:rPr>
        <w:t>–</w:t>
      </w:r>
      <w:r w:rsidRPr="00556D76">
        <w:rPr>
          <w:rFonts w:cs="Charis SIL"/>
          <w:sz w:val="20"/>
          <w:szCs w:val="20"/>
          <w:lang w:val="en-IE"/>
        </w:rPr>
        <w:t>628.</w:t>
      </w:r>
    </w:p>
  </w:footnote>
  <w:footnote w:id="231">
    <w:p w14:paraId="0121A8AF" w14:textId="50E651B4"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Leon Yudkin, </w:t>
      </w:r>
      <w:r w:rsidRPr="00556D76">
        <w:rPr>
          <w:rFonts w:cs="Charis SIL"/>
          <w:i/>
          <w:sz w:val="20"/>
          <w:szCs w:val="20"/>
          <w:lang w:val="en-IE"/>
        </w:rPr>
        <w:t>Between Reportage and Fiction</w:t>
      </w:r>
      <w:r w:rsidRPr="00556D76">
        <w:rPr>
          <w:rFonts w:cs="Charis SIL"/>
          <w:sz w:val="20"/>
          <w:szCs w:val="20"/>
          <w:lang w:val="en-IE"/>
        </w:rPr>
        <w:t>, Journal of Comparative Literature, Jahrgang XXIII, Heft 1</w:t>
      </w:r>
      <w:r w:rsidR="00156E29" w:rsidRPr="00556D76">
        <w:rPr>
          <w:rFonts w:cs="Charis SIL"/>
          <w:sz w:val="20"/>
          <w:szCs w:val="20"/>
          <w:lang w:val="en-IE"/>
        </w:rPr>
        <w:t>–</w:t>
      </w:r>
      <w:r w:rsidRPr="00556D76">
        <w:rPr>
          <w:rFonts w:cs="Charis SIL"/>
          <w:sz w:val="20"/>
          <w:szCs w:val="20"/>
          <w:lang w:val="en-IE"/>
        </w:rPr>
        <w:t>2, S. 71</w:t>
      </w:r>
      <w:r w:rsidR="00156E29" w:rsidRPr="00556D76">
        <w:rPr>
          <w:rFonts w:cs="Charis SIL"/>
          <w:sz w:val="20"/>
          <w:szCs w:val="20"/>
          <w:lang w:val="en-IE"/>
        </w:rPr>
        <w:t>–</w:t>
      </w:r>
      <w:r w:rsidRPr="00556D76">
        <w:rPr>
          <w:rFonts w:cs="Charis SIL"/>
          <w:sz w:val="20"/>
          <w:szCs w:val="20"/>
          <w:lang w:val="en-IE"/>
        </w:rPr>
        <w:t>83, hier S, 76.</w:t>
      </w:r>
    </w:p>
  </w:footnote>
  <w:footnote w:id="232">
    <w:p w14:paraId="0350FEF2"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Joseph Roth, </w:t>
      </w:r>
      <w:r w:rsidRPr="00556D76">
        <w:rPr>
          <w:rFonts w:cs="Charis SIL"/>
          <w:i/>
          <w:sz w:val="20"/>
          <w:szCs w:val="20"/>
          <w:lang w:val="en-IE"/>
        </w:rPr>
        <w:t>Der stumme Prophet</w:t>
      </w:r>
      <w:r w:rsidRPr="00556D76">
        <w:rPr>
          <w:rFonts w:cs="Charis SIL"/>
          <w:sz w:val="20"/>
          <w:szCs w:val="20"/>
          <w:lang w:val="en-IE"/>
        </w:rPr>
        <w:t>, S. 785.</w:t>
      </w:r>
    </w:p>
  </w:footnote>
  <w:footnote w:id="233">
    <w:p w14:paraId="55513453"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925.</w:t>
      </w:r>
    </w:p>
  </w:footnote>
  <w:footnote w:id="234">
    <w:p w14:paraId="27513226"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800f.</w:t>
      </w:r>
    </w:p>
  </w:footnote>
  <w:footnote w:id="235">
    <w:p w14:paraId="70FDACCD"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801.</w:t>
      </w:r>
    </w:p>
  </w:footnote>
  <w:footnote w:id="236">
    <w:p w14:paraId="4EDB1BE0"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896.</w:t>
      </w:r>
    </w:p>
  </w:footnote>
  <w:footnote w:id="237">
    <w:p w14:paraId="46C92D54"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914.</w:t>
      </w:r>
    </w:p>
  </w:footnote>
  <w:footnote w:id="238">
    <w:p w14:paraId="2EDCB7E6"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xml:space="preserve"> S. 926.</w:t>
      </w:r>
    </w:p>
  </w:footnote>
  <w:footnote w:id="239">
    <w:p w14:paraId="6487B7DD" w14:textId="77777777" w:rsidR="0026127D" w:rsidRPr="00556D76" w:rsidRDefault="0026127D"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Roth, </w:t>
      </w:r>
      <w:r w:rsidRPr="00556D76">
        <w:rPr>
          <w:rFonts w:cs="Charis SIL"/>
          <w:i/>
          <w:sz w:val="20"/>
          <w:szCs w:val="20"/>
          <w:lang w:val="en-IE"/>
        </w:rPr>
        <w:t>Der stumme Prophet</w:t>
      </w:r>
      <w:r w:rsidRPr="00556D76">
        <w:rPr>
          <w:rFonts w:cs="Charis SIL"/>
          <w:sz w:val="20"/>
          <w:szCs w:val="20"/>
          <w:lang w:val="en-IE"/>
        </w:rPr>
        <w:t>, S. 923.</w:t>
      </w:r>
    </w:p>
  </w:footnote>
  <w:footnote w:id="240">
    <w:p w14:paraId="3B4AF82A" w14:textId="77777777" w:rsidR="0007134A" w:rsidRPr="00556D76" w:rsidRDefault="0007134A" w:rsidP="0099245C">
      <w:pPr>
        <w:suppressAutoHyphens/>
        <w:spacing w:line="240" w:lineRule="auto"/>
        <w:rPr>
          <w:rFonts w:cs="Charis SIL"/>
          <w:sz w:val="20"/>
          <w:szCs w:val="20"/>
          <w:lang w:val="en-IE"/>
        </w:rPr>
      </w:pPr>
      <w:r w:rsidRPr="00556D76">
        <w:rPr>
          <w:rFonts w:cs="Charis SIL"/>
          <w:sz w:val="20"/>
          <w:szCs w:val="20"/>
          <w:vertAlign w:val="superscript"/>
          <w:lang w:val="en-IE"/>
        </w:rPr>
        <w:footnoteRef/>
      </w:r>
      <w:r w:rsidRPr="00556D76">
        <w:rPr>
          <w:rFonts w:cs="Charis SIL"/>
          <w:sz w:val="20"/>
          <w:szCs w:val="20"/>
          <w:lang w:val="en-IE"/>
        </w:rPr>
        <w:t xml:space="preserve"> Rimay János, Összes művei, kiad., jegyzetek ECKHARDT Sándor, Budapest: Akadémiai Könyvkiadó, 1955. 60. sz.</w:t>
      </w:r>
    </w:p>
  </w:footnote>
  <w:footnote w:id="241">
    <w:p w14:paraId="461F3920" w14:textId="127736AC" w:rsidR="0007134A" w:rsidRPr="00556D76" w:rsidRDefault="0007134A" w:rsidP="0099245C">
      <w:pPr>
        <w:suppressAutoHyphens/>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ECKHARDT Sándor </w:t>
      </w:r>
      <w:r w:rsidRPr="00556D76">
        <w:rPr>
          <w:rFonts w:cs="Charis SIL"/>
          <w:i/>
          <w:sz w:val="20"/>
          <w:szCs w:val="20"/>
          <w:lang w:val="hu-HU"/>
        </w:rPr>
        <w:t>i.m.,</w:t>
      </w:r>
      <w:r w:rsidRPr="00556D76">
        <w:rPr>
          <w:rFonts w:cs="Charis SIL"/>
          <w:sz w:val="20"/>
          <w:szCs w:val="20"/>
          <w:lang w:val="hu-HU"/>
        </w:rPr>
        <w:t xml:space="preserve"> 211, így érvel a két variáns összehasonlításakor: „rejtélyes szó, melyet Ipolyi Arnold Magyar Mythologiájában (IPOLYI Arnold, </w:t>
      </w:r>
      <w:r w:rsidRPr="00556D76">
        <w:rPr>
          <w:rFonts w:cs="Charis SIL"/>
          <w:i/>
          <w:sz w:val="20"/>
          <w:szCs w:val="20"/>
          <w:lang w:val="hu-HU"/>
        </w:rPr>
        <w:t>Magyar mythologia</w:t>
      </w:r>
      <w:r w:rsidRPr="00556D76">
        <w:rPr>
          <w:rFonts w:cs="Charis SIL"/>
          <w:sz w:val="20"/>
          <w:szCs w:val="20"/>
          <w:lang w:val="hu-HU"/>
        </w:rPr>
        <w:t>, Pest, Heckenast, 1854, hasonmás kiad., Budapest, 1984, 102.) „vízszellemnek” magyaráz és különféle egyéb vízi szellemekkel rokonít. Inkább valami állatra gondolhatunk, melynek a neve talán a kiadók átírásában eltorzult. A debreceni változat ezt írja: „Hát mit vakoskodunk, mint vizi hüvelmény”, ami talán a jobbik változat, mert akkor nem kell valami falánk krokodilusra, hanem csak egyszerűen egy ostoba víziállatra gondolnunk.</w:t>
      </w:r>
    </w:p>
  </w:footnote>
  <w:footnote w:id="242">
    <w:p w14:paraId="36DF609C" w14:textId="5EFD6DDD" w:rsidR="0007134A" w:rsidRPr="00556D76" w:rsidRDefault="0007134A" w:rsidP="0099245C">
      <w:pPr>
        <w:suppressAutoHyphens/>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RIMAY János írásai (Régi Magyar Könyvtár, Források I., szerk. Kőszeghy Péter), a kötet összeállította, a szövegeket gondozta, az utószót és a jegyzetek írta ÁCS Pál, Budapest, Balassi, 1992, XIV. Más, 109. Itt a két ismert versszakot ily módon javítja és kontaminálja: </w:t>
      </w:r>
      <w:r w:rsidRPr="00556D76">
        <w:rPr>
          <w:rFonts w:cs="Charis SIL"/>
          <w:i/>
          <w:sz w:val="20"/>
          <w:szCs w:val="20"/>
          <w:lang w:val="hu-HU"/>
        </w:rPr>
        <w:t>Elmarad a világ s minden pénzgyűjtemény, Hát ne torkoskodjunk, mint vízi hüvelvény, / Lelkem ne légy kemény / Szolgáld Istenedet, s nem nyél el mély örvény.</w:t>
      </w:r>
    </w:p>
  </w:footnote>
  <w:footnote w:id="243">
    <w:p w14:paraId="328A0E4C" w14:textId="4A683B56" w:rsidR="0007134A" w:rsidRPr="00556D76" w:rsidRDefault="0007134A" w:rsidP="0099245C">
      <w:pPr>
        <w:suppressAutoHyphens/>
        <w:spacing w:line="240" w:lineRule="auto"/>
        <w:rPr>
          <w:rFonts w:cs="Charis SIL"/>
          <w:sz w:val="20"/>
          <w:szCs w:val="20"/>
          <w:lang w:val="en-IE"/>
        </w:rPr>
      </w:pPr>
      <w:r w:rsidRPr="00556D76">
        <w:rPr>
          <w:rFonts w:cs="Charis SIL"/>
          <w:sz w:val="20"/>
          <w:szCs w:val="20"/>
          <w:vertAlign w:val="superscript"/>
          <w:lang w:val="hu-HU"/>
        </w:rPr>
        <w:footnoteRef/>
      </w:r>
      <w:r w:rsidRPr="00556D76">
        <w:rPr>
          <w:rFonts w:cs="Charis SIL"/>
          <w:sz w:val="20"/>
          <w:szCs w:val="20"/>
          <w:lang w:val="hu-HU"/>
        </w:rPr>
        <w:t xml:space="preserve"> ÁCS Pál </w:t>
      </w:r>
      <w:r w:rsidRPr="00556D76">
        <w:rPr>
          <w:rFonts w:cs="Charis SIL"/>
          <w:i/>
          <w:sz w:val="20"/>
          <w:szCs w:val="20"/>
          <w:lang w:val="hu-HU"/>
        </w:rPr>
        <w:t>i.m.,</w:t>
      </w:r>
      <w:r w:rsidRPr="00556D76">
        <w:rPr>
          <w:rFonts w:cs="Charis SIL"/>
          <w:sz w:val="20"/>
          <w:szCs w:val="20"/>
          <w:lang w:val="hu-HU"/>
        </w:rPr>
        <w:t xml:space="preserve"> 299. Miskolczi Gáspár </w:t>
      </w:r>
      <w:r w:rsidRPr="00556D76">
        <w:rPr>
          <w:rFonts w:cs="Charis SIL"/>
          <w:i/>
          <w:sz w:val="20"/>
          <w:szCs w:val="20"/>
          <w:lang w:val="hu-HU"/>
        </w:rPr>
        <w:t>Egy jeles vad kert</w:t>
      </w:r>
      <w:r w:rsidRPr="00556D76">
        <w:rPr>
          <w:rFonts w:cs="Charis SIL"/>
          <w:sz w:val="20"/>
          <w:szCs w:val="20"/>
          <w:lang w:val="hu-HU"/>
        </w:rPr>
        <w:t xml:space="preserve">jében olvashatunk a </w:t>
      </w:r>
      <w:r w:rsidRPr="00556D76">
        <w:rPr>
          <w:rFonts w:cs="Charis SIL"/>
          <w:i/>
          <w:sz w:val="20"/>
          <w:szCs w:val="20"/>
          <w:lang w:val="hu-HU"/>
        </w:rPr>
        <w:t>zóonfont</w:t>
      </w:r>
      <w:r w:rsidRPr="00556D76">
        <w:rPr>
          <w:rFonts w:cs="Charis SIL"/>
          <w:sz w:val="20"/>
          <w:szCs w:val="20"/>
          <w:lang w:val="hu-HU"/>
        </w:rPr>
        <w:t xml:space="preserve">ról, melyet tengeri tekervénynek, tengeri tüdőnek neveznek: „A régiek a Tengeri csalánhoz és a Spongiához szokták volt hasonlítani a csalárd, uzsorás embert.” MISKOLCZI Gáspár, </w:t>
      </w:r>
      <w:r w:rsidRPr="00556D76">
        <w:rPr>
          <w:rFonts w:cs="Charis SIL"/>
          <w:i/>
          <w:sz w:val="20"/>
          <w:szCs w:val="20"/>
          <w:lang w:val="hu-HU"/>
        </w:rPr>
        <w:t>i.m.</w:t>
      </w:r>
      <w:r w:rsidRPr="00556D76">
        <w:rPr>
          <w:rFonts w:cs="Charis SIL"/>
          <w:sz w:val="20"/>
          <w:szCs w:val="20"/>
          <w:lang w:val="hu-HU"/>
        </w:rPr>
        <w:t>, Budapest, 1983, 368.</w:t>
      </w:r>
    </w:p>
  </w:footnote>
  <w:footnote w:id="244">
    <w:p w14:paraId="75535A57" w14:textId="77777777" w:rsidR="0007134A" w:rsidRPr="00556D76" w:rsidRDefault="0007134A" w:rsidP="0099245C">
      <w:pPr>
        <w:suppressAutoHyphens/>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JÓKAI Mór, Összes Művei, Regények, 19, </w:t>
      </w:r>
      <w:r w:rsidRPr="00556D76">
        <w:rPr>
          <w:rFonts w:cs="Charis SIL"/>
          <w:i/>
          <w:sz w:val="20"/>
          <w:szCs w:val="20"/>
          <w:lang w:val="hu-HU"/>
        </w:rPr>
        <w:t>A jövő század regénye</w:t>
      </w:r>
      <w:r w:rsidRPr="00556D76">
        <w:rPr>
          <w:rFonts w:cs="Charis SIL"/>
          <w:sz w:val="20"/>
          <w:szCs w:val="20"/>
          <w:lang w:val="hu-HU"/>
        </w:rPr>
        <w:t>, II. Budapest, 1981, 159.</w:t>
      </w:r>
    </w:p>
  </w:footnote>
  <w:footnote w:id="245">
    <w:p w14:paraId="19BDA88E" w14:textId="070D69FC" w:rsidR="0007134A" w:rsidRPr="00556D76" w:rsidRDefault="0007134A" w:rsidP="0099245C">
      <w:pPr>
        <w:suppressAutoHyphens/>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w:t>
      </w:r>
      <w:r w:rsidRPr="00556D76">
        <w:rPr>
          <w:rFonts w:cs="Charis SIL"/>
          <w:i/>
          <w:sz w:val="20"/>
          <w:szCs w:val="20"/>
          <w:lang w:val="hu-HU"/>
        </w:rPr>
        <w:t>Der Roman des künftigen Jahrhunderts</w:t>
      </w:r>
      <w:r w:rsidRPr="00556D76">
        <w:rPr>
          <w:rFonts w:cs="Charis SIL"/>
          <w:sz w:val="20"/>
          <w:szCs w:val="20"/>
          <w:lang w:val="hu-HU"/>
        </w:rPr>
        <w:t>. In acht Büchern, von Maurus Jókai. Vierter Band, Pre</w:t>
      </w:r>
      <w:r w:rsidR="007A490E" w:rsidRPr="00556D76">
        <w:rPr>
          <w:rFonts w:cs="Charis SIL"/>
          <w:sz w:val="20"/>
          <w:szCs w:val="20"/>
          <w:lang w:val="hu-HU"/>
        </w:rPr>
        <w:t>ss</w:t>
      </w:r>
      <w:r w:rsidRPr="00556D76">
        <w:rPr>
          <w:rFonts w:cs="Charis SIL"/>
          <w:sz w:val="20"/>
          <w:szCs w:val="20"/>
          <w:lang w:val="hu-HU"/>
        </w:rPr>
        <w:t>burg &amp; Leipzig, Verlag von Carl Stampfel, 1879, S. 66.</w:t>
      </w:r>
    </w:p>
  </w:footnote>
  <w:footnote w:id="246">
    <w:p w14:paraId="1BF80743" w14:textId="77777777" w:rsidR="0007134A" w:rsidRPr="00556D76" w:rsidRDefault="0007134A" w:rsidP="0099245C">
      <w:pPr>
        <w:suppressAutoHyphens/>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w:t>
      </w:r>
      <w:r w:rsidRPr="00556D76">
        <w:rPr>
          <w:rFonts w:cs="Charis SIL"/>
          <w:b/>
          <w:sz w:val="20"/>
          <w:szCs w:val="20"/>
          <w:lang w:val="hu-HU"/>
        </w:rPr>
        <w:t>Kobold</w:t>
      </w:r>
      <w:r w:rsidRPr="00556D76">
        <w:rPr>
          <w:rFonts w:cs="Charis SIL"/>
          <w:sz w:val="20"/>
          <w:szCs w:val="20"/>
          <w:lang w:val="hu-HU"/>
        </w:rPr>
        <w:t xml:space="preserve"> ~ </w:t>
      </w:r>
      <w:r w:rsidRPr="00556D76">
        <w:rPr>
          <w:rFonts w:cs="Charis SIL"/>
          <w:i/>
          <w:sz w:val="20"/>
          <w:szCs w:val="20"/>
          <w:lang w:val="hu-HU"/>
        </w:rPr>
        <w:t>Erdgeist, zwergenhafter (guter) Hausgeist</w:t>
      </w:r>
      <w:r w:rsidRPr="00556D76">
        <w:rPr>
          <w:rFonts w:cs="Charis SIL"/>
          <w:sz w:val="20"/>
          <w:szCs w:val="20"/>
          <w:lang w:val="hu-HU"/>
        </w:rPr>
        <w:t xml:space="preserve"> [˂mhd. </w:t>
      </w:r>
      <w:r w:rsidRPr="00556D76">
        <w:rPr>
          <w:rFonts w:cs="Charis SIL"/>
          <w:i/>
          <w:sz w:val="20"/>
          <w:szCs w:val="20"/>
          <w:lang w:val="hu-HU"/>
        </w:rPr>
        <w:t>kobolt;</w:t>
      </w:r>
      <w:r w:rsidRPr="00556D76">
        <w:rPr>
          <w:rFonts w:cs="Charis SIL"/>
          <w:sz w:val="20"/>
          <w:szCs w:val="20"/>
          <w:lang w:val="hu-HU"/>
        </w:rPr>
        <w:t xml:space="preserve"> erster Teil zu </w:t>
      </w:r>
      <w:r w:rsidRPr="00556D76">
        <w:rPr>
          <w:rFonts w:cs="Charis SIL"/>
          <w:i/>
          <w:sz w:val="20"/>
          <w:szCs w:val="20"/>
          <w:lang w:val="hu-HU"/>
        </w:rPr>
        <w:t>Koben</w:t>
      </w:r>
      <w:r w:rsidRPr="00556D76">
        <w:rPr>
          <w:rFonts w:cs="Charis SIL"/>
          <w:sz w:val="20"/>
          <w:szCs w:val="20"/>
          <w:lang w:val="hu-HU"/>
        </w:rPr>
        <w:t xml:space="preserve">, zweiter zu </w:t>
      </w:r>
      <w:r w:rsidRPr="00556D76">
        <w:rPr>
          <w:rFonts w:cs="Charis SIL"/>
          <w:i/>
          <w:sz w:val="20"/>
          <w:szCs w:val="20"/>
          <w:lang w:val="hu-HU"/>
        </w:rPr>
        <w:t>hold</w:t>
      </w:r>
      <w:r w:rsidRPr="00556D76">
        <w:rPr>
          <w:rFonts w:cs="Charis SIL"/>
          <w:sz w:val="20"/>
          <w:szCs w:val="20"/>
          <w:lang w:val="hu-HU"/>
        </w:rPr>
        <w:t xml:space="preserve"> od. </w:t>
      </w:r>
      <w:r w:rsidRPr="00556D76">
        <w:rPr>
          <w:rFonts w:cs="Charis SIL"/>
          <w:i/>
          <w:sz w:val="20"/>
          <w:szCs w:val="20"/>
          <w:lang w:val="hu-HU"/>
        </w:rPr>
        <w:t>walten</w:t>
      </w:r>
      <w:r w:rsidRPr="00556D76">
        <w:rPr>
          <w:rFonts w:cs="Charis SIL"/>
          <w:sz w:val="20"/>
          <w:szCs w:val="20"/>
          <w:lang w:val="hu-HU"/>
        </w:rPr>
        <w:t xml:space="preserve">, eigtl. „Stall-, Hausgeist” od. „Stall-, Hauswalter”. In </w:t>
      </w:r>
      <w:r w:rsidRPr="00556D76">
        <w:rPr>
          <w:rFonts w:eastAsia="Times New Roman" w:cs="Charis SIL"/>
          <w:sz w:val="20"/>
          <w:szCs w:val="20"/>
          <w:lang w:val="hu-HU" w:eastAsia="hu-HU"/>
        </w:rPr>
        <w:t xml:space="preserve">Gerhard Wahrig &amp; Renate Wahrig-Burfeind: </w:t>
      </w:r>
      <w:r w:rsidRPr="00556D76">
        <w:rPr>
          <w:rFonts w:cs="Charis SIL"/>
          <w:sz w:val="20"/>
          <w:szCs w:val="20"/>
          <w:lang w:val="hu-HU"/>
        </w:rPr>
        <w:t>Brockhaus Wahrig Deutsches Wörterbuch. Mit einem Lexikon der Sprachlehre, 9., vollständige neu bearbeitete und aktualisierte Ausgabe, Gütersloh/München, 2011, 853.</w:t>
      </w:r>
    </w:p>
  </w:footnote>
  <w:footnote w:id="247">
    <w:p w14:paraId="153B473F" w14:textId="4A24497F" w:rsidR="0007134A" w:rsidRPr="00556D76" w:rsidRDefault="0007134A" w:rsidP="0099245C">
      <w:pPr>
        <w:suppressAutoHyphens/>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BABITS Mihály, </w:t>
      </w:r>
      <w:r w:rsidRPr="00556D76">
        <w:rPr>
          <w:rFonts w:cs="Charis SIL"/>
          <w:i/>
          <w:sz w:val="20"/>
          <w:szCs w:val="20"/>
          <w:lang w:val="hu-HU"/>
        </w:rPr>
        <w:t>A második ének</w:t>
      </w:r>
      <w:r w:rsidRPr="00556D76">
        <w:rPr>
          <w:rFonts w:cs="Charis SIL"/>
          <w:sz w:val="20"/>
          <w:szCs w:val="20"/>
          <w:lang w:val="hu-HU"/>
        </w:rPr>
        <w:t xml:space="preserve">, Budapest, Nyugat, 1942, 96, ill. Uő. </w:t>
      </w:r>
      <w:r w:rsidRPr="00556D76">
        <w:rPr>
          <w:rFonts w:cs="Charis SIL"/>
          <w:i/>
          <w:sz w:val="20"/>
          <w:szCs w:val="20"/>
          <w:lang w:val="hu-HU"/>
        </w:rPr>
        <w:t>Novellái és színjátékai</w:t>
      </w:r>
      <w:r w:rsidRPr="00556D76">
        <w:rPr>
          <w:rFonts w:cs="Charis SIL"/>
          <w:sz w:val="20"/>
          <w:szCs w:val="20"/>
          <w:lang w:val="hu-HU"/>
        </w:rPr>
        <w:t>, Budapest, 1987, 596.</w:t>
      </w:r>
    </w:p>
  </w:footnote>
  <w:footnote w:id="248">
    <w:p w14:paraId="1E28EE51" w14:textId="77777777" w:rsidR="0007134A" w:rsidRPr="00556D76" w:rsidRDefault="0007134A" w:rsidP="0099245C">
      <w:pPr>
        <w:suppressAutoHyphens/>
        <w:spacing w:line="240" w:lineRule="auto"/>
        <w:rPr>
          <w:rFonts w:cs="Charis SIL"/>
          <w:sz w:val="20"/>
          <w:szCs w:val="20"/>
          <w:lang w:val="hu-HU"/>
        </w:rPr>
      </w:pPr>
      <w:r w:rsidRPr="00556D76">
        <w:rPr>
          <w:rFonts w:cs="Charis SIL"/>
          <w:sz w:val="20"/>
          <w:szCs w:val="20"/>
          <w:vertAlign w:val="superscript"/>
          <w:lang w:val="hu-HU"/>
        </w:rPr>
        <w:footnoteRef/>
      </w:r>
      <w:r w:rsidRPr="00556D76">
        <w:rPr>
          <w:rFonts w:cs="Charis SIL"/>
          <w:sz w:val="20"/>
          <w:szCs w:val="20"/>
          <w:lang w:val="hu-HU"/>
        </w:rPr>
        <w:t xml:space="preserve"> JANKOVITS László, </w:t>
      </w:r>
      <w:r w:rsidRPr="00556D76">
        <w:rPr>
          <w:rFonts w:cs="Charis SIL"/>
          <w:i/>
          <w:sz w:val="20"/>
          <w:szCs w:val="20"/>
          <w:lang w:val="hu-HU"/>
        </w:rPr>
        <w:t>Hüvelmény,</w:t>
      </w:r>
      <w:r w:rsidRPr="00556D76">
        <w:rPr>
          <w:rFonts w:cs="Charis SIL"/>
          <w:sz w:val="20"/>
          <w:szCs w:val="20"/>
          <w:lang w:val="hu-HU"/>
        </w:rPr>
        <w:t xml:space="preserve"> Acta Historiae Litterarum Hungaricarum, Tomus XXIX, Szeged, 2006, 107–113.</w:t>
      </w:r>
    </w:p>
  </w:footnote>
  <w:footnote w:id="249">
    <w:p w14:paraId="234B5645" w14:textId="188E1B4E" w:rsidR="0007134A" w:rsidRPr="00556D76" w:rsidRDefault="0007134A" w:rsidP="0099245C">
      <w:pPr>
        <w:spacing w:line="240" w:lineRule="auto"/>
        <w:rPr>
          <w:rFonts w:cs="Charis SIL"/>
          <w:sz w:val="20"/>
          <w:szCs w:val="20"/>
          <w:lang w:val="en-IE"/>
        </w:rPr>
      </w:pPr>
      <w:r w:rsidRPr="00556D76">
        <w:rPr>
          <w:rFonts w:cs="Charis SIL"/>
          <w:sz w:val="20"/>
          <w:szCs w:val="20"/>
          <w:vertAlign w:val="superscript"/>
          <w:lang w:val="hu-HU"/>
        </w:rPr>
        <w:footnoteRef/>
      </w:r>
      <w:r w:rsidRPr="00556D76">
        <w:rPr>
          <w:rFonts w:cs="Charis SIL"/>
          <w:sz w:val="20"/>
          <w:szCs w:val="20"/>
          <w:lang w:val="hu-HU"/>
        </w:rPr>
        <w:t xml:space="preserve"> Ezzel a rejtélyes, de izgalmas feladvánnyal köszöntöm szeretettel Johannát, aki kitüntetett figyelmével és barátságával, kiváltképpen a születésnapomon. Most is köszönöm.</w:t>
      </w:r>
    </w:p>
  </w:footnote>
  <w:footnote w:id="250">
    <w:p w14:paraId="06D36CD3"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lang w:val="en-AU"/>
        </w:rPr>
        <w:t xml:space="preserve"> Fairchilds, Cissi C. 2007. </w:t>
      </w:r>
      <w:r w:rsidRPr="00556D76">
        <w:rPr>
          <w:rFonts w:cs="Charis SIL"/>
          <w:i/>
          <w:sz w:val="20"/>
          <w:szCs w:val="20"/>
          <w:lang w:val="en-AU"/>
        </w:rPr>
        <w:t>Women in Early Modern Europe, 1500–1700</w:t>
      </w:r>
      <w:r w:rsidRPr="00556D76">
        <w:rPr>
          <w:rFonts w:cs="Charis SIL"/>
          <w:sz w:val="20"/>
          <w:szCs w:val="20"/>
          <w:lang w:val="en-AU"/>
        </w:rPr>
        <w:t xml:space="preserve">. </w:t>
      </w:r>
      <w:r w:rsidRPr="00556D76">
        <w:rPr>
          <w:rFonts w:cs="Charis SIL"/>
          <w:sz w:val="20"/>
          <w:szCs w:val="20"/>
        </w:rPr>
        <w:t>Pearson Education, New Jersey.</w:t>
      </w:r>
    </w:p>
  </w:footnote>
  <w:footnote w:id="251">
    <w:p w14:paraId="78028F40"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Meine Feststellungen und Beobachtungen gehen auf einer Quellenforschung zurück, bei der ich die Dedikationen und Vorreden von sämtlichen ungarischen gedruckten Büchern zwischen 1600 und 1655 untersuchte. Vgl.: Pesti, Brigitta. 2013. </w:t>
      </w:r>
      <w:r w:rsidRPr="00556D76">
        <w:rPr>
          <w:rFonts w:cs="Charis SIL"/>
          <w:i/>
          <w:sz w:val="20"/>
          <w:szCs w:val="20"/>
        </w:rPr>
        <w:t xml:space="preserve">Dedikáció és mecenatúra Magyarországon a 17. század első felében </w:t>
      </w:r>
      <w:r w:rsidRPr="00556D76">
        <w:rPr>
          <w:rFonts w:cs="Charis SIL"/>
          <w:sz w:val="20"/>
          <w:szCs w:val="20"/>
        </w:rPr>
        <w:t>[</w:t>
      </w:r>
      <w:r w:rsidRPr="00556D76">
        <w:rPr>
          <w:rFonts w:cs="Charis SIL"/>
          <w:iCs/>
          <w:sz w:val="20"/>
          <w:szCs w:val="20"/>
        </w:rPr>
        <w:t>Dedikation und Mäzenatentum in Ungarn in der ersten Hälfte des 17. Jahrhunderts</w:t>
      </w:r>
      <w:r w:rsidRPr="00556D76">
        <w:rPr>
          <w:rFonts w:cs="Charis SIL"/>
          <w:sz w:val="20"/>
          <w:szCs w:val="20"/>
        </w:rPr>
        <w:t>]. Budapest, Kossuth; Pesti, Brigitta. 2019. A nők szerepe és jelentősége a 17. századi könyvkiadás mecenatúrájában. In: Sípos Gábor, Krász Lilla (</w:t>
      </w:r>
      <w:r w:rsidRPr="00556D76">
        <w:rPr>
          <w:rFonts w:cs="Charis SIL"/>
          <w:iCs/>
          <w:sz w:val="20"/>
          <w:szCs w:val="20"/>
        </w:rPr>
        <w:t>Hrsg</w:t>
      </w:r>
      <w:r w:rsidRPr="00556D76">
        <w:rPr>
          <w:rFonts w:cs="Charis SIL"/>
          <w:sz w:val="20"/>
          <w:szCs w:val="20"/>
        </w:rPr>
        <w:t xml:space="preserve">.), </w:t>
      </w:r>
      <w:r w:rsidRPr="00556D76">
        <w:rPr>
          <w:rFonts w:cs="Charis SIL"/>
          <w:i/>
          <w:sz w:val="20"/>
          <w:szCs w:val="20"/>
        </w:rPr>
        <w:t xml:space="preserve">A női kommunikáció kultúrtörténete, </w:t>
      </w:r>
      <w:r w:rsidRPr="00556D76">
        <w:rPr>
          <w:rFonts w:cs="Charis SIL"/>
          <w:sz w:val="20"/>
          <w:szCs w:val="20"/>
        </w:rPr>
        <w:t>138–156</w:t>
      </w:r>
      <w:r w:rsidRPr="00556D76">
        <w:rPr>
          <w:rFonts w:cs="Charis SIL"/>
          <w:i/>
          <w:sz w:val="20"/>
          <w:szCs w:val="20"/>
        </w:rPr>
        <w:t xml:space="preserve">. </w:t>
      </w:r>
      <w:r w:rsidRPr="00556D76">
        <w:rPr>
          <w:rFonts w:cs="Charis SIL"/>
          <w:sz w:val="20"/>
          <w:szCs w:val="20"/>
        </w:rPr>
        <w:t xml:space="preserve">Budapest, Napvilág; Pesti, Brigitta. 2020. </w:t>
      </w:r>
      <w:r w:rsidRPr="00556D76">
        <w:rPr>
          <w:rFonts w:cs="Charis SIL"/>
          <w:iCs/>
          <w:sz w:val="20"/>
          <w:szCs w:val="20"/>
        </w:rPr>
        <w:t xml:space="preserve">Die Rolle der Frau in der Literaturförderung der frühen Neuzeit. In: Andrea Seidler, BP, Lilla Krász (Hrsg.), </w:t>
      </w:r>
      <w:r w:rsidRPr="00556D76">
        <w:rPr>
          <w:rFonts w:cs="Charis SIL"/>
          <w:i/>
          <w:iCs/>
          <w:sz w:val="20"/>
          <w:szCs w:val="20"/>
        </w:rPr>
        <w:t xml:space="preserve">Medien, Orte und Ritualen von und unter Frauen. Zur Kulturgeschichte weiblicher Kommunikation in der Habsburger Monarchie, </w:t>
      </w:r>
      <w:r w:rsidRPr="00556D76">
        <w:rPr>
          <w:rFonts w:cs="Charis SIL"/>
          <w:iCs/>
          <w:sz w:val="20"/>
          <w:szCs w:val="20"/>
        </w:rPr>
        <w:t>65–82. Wien, Praesens.</w:t>
      </w:r>
    </w:p>
  </w:footnote>
  <w:footnote w:id="252">
    <w:p w14:paraId="153E77B9"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Bei kleinadeligen oder bürgerlichen Patroninnen kommt es öfter vor, dass ein Druck von mehreren Gönnerinnen unterstützt wird, deshalb ist die Anzahl der Patroninnen höher als die der unterstützen Werke.</w:t>
      </w:r>
    </w:p>
  </w:footnote>
  <w:footnote w:id="253">
    <w:p w14:paraId="1883B639" w14:textId="77777777" w:rsidR="00327DF7" w:rsidRPr="00556D76" w:rsidRDefault="00327DF7" w:rsidP="00327DF7">
      <w:pPr>
        <w:tabs>
          <w:tab w:val="left" w:pos="0"/>
          <w:tab w:val="left" w:pos="284"/>
        </w:tabs>
        <w:suppressAutoHyphen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Heltai, János. 2008. </w:t>
      </w:r>
      <w:r w:rsidRPr="00556D76">
        <w:rPr>
          <w:rFonts w:cs="Charis SIL"/>
          <w:i/>
          <w:sz w:val="20"/>
          <w:szCs w:val="20"/>
        </w:rPr>
        <w:t>Műfajok és művek a XVII. századi magyarországi könyvkiadásban, 1601–1655</w:t>
      </w:r>
      <w:r w:rsidRPr="00556D76">
        <w:rPr>
          <w:rFonts w:cs="Charis SIL"/>
          <w:sz w:val="20"/>
          <w:szCs w:val="20"/>
        </w:rPr>
        <w:t>. Budapest, Universitas. Hier: 79–82 und 104–109.</w:t>
      </w:r>
    </w:p>
  </w:footnote>
  <w:footnote w:id="254">
    <w:p w14:paraId="0FF25D29" w14:textId="77777777" w:rsidR="00327DF7" w:rsidRPr="00556D76" w:rsidRDefault="00327DF7" w:rsidP="00327DF7">
      <w:pPr>
        <w:tabs>
          <w:tab w:val="left" w:pos="0"/>
          <w:tab w:val="left" w:pos="284"/>
        </w:tab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Laut der Untersuchungen von János Heltai wurden zwischen 1600 und 1655 insgesamt 163 Gebetsbücher herausgegeben, davon 40 reformierte, 55 evangelische (davon 28 ungarische) und 68 katholische (davon 52 ungarische). Darüber hinaus erschienen 99 religiöse Streitbücher, davon 37 reformierte (31 ungarische, 6 lateinische), 36 katholische (29 ungarische, 6 lateinische, 1 deutsches), 25 evangelische (10 ungarische, 14 lateinische, 1 tschechisches) und eines der Unitarier. (Vgl. Heltai, 2008, 79–82 und 104–109.)</w:t>
      </w:r>
    </w:p>
  </w:footnote>
  <w:footnote w:id="255">
    <w:p w14:paraId="5FECA710"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Wegen der traditionellen reformierten Glaubenszugehörigkeit des siebenbürgischen Fürstentums ist in dieser Gruppe keine einzige katholische oder evangelische Unterstützung bekannt.</w:t>
      </w:r>
    </w:p>
  </w:footnote>
  <w:footnote w:id="256">
    <w:p w14:paraId="14D2015C"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Gábor Bethlen (Fürst von Siebenbürgen: 1613–1629), István Bethlen (1630).</w:t>
      </w:r>
    </w:p>
  </w:footnote>
  <w:footnote w:id="257">
    <w:p w14:paraId="578AD327"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Ferenc Rákóczi, György Rákóczi I. (1630–1648), György Rákóczi II. (1648–1657 und 1658–1659), Zsigmond Rákóczi (1607–1608).</w:t>
      </w:r>
    </w:p>
  </w:footnote>
  <w:footnote w:id="258">
    <w:p w14:paraId="03D369DF"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Bzgl. der Patronage der Familien Bethlen und Rákóczi siehe: Pesti, 2013, 151–237, bes. 191–195.</w:t>
      </w:r>
    </w:p>
  </w:footnote>
  <w:footnote w:id="259">
    <w:p w14:paraId="6091364C" w14:textId="77777777" w:rsidR="00327DF7" w:rsidRPr="00556D76" w:rsidRDefault="00327DF7" w:rsidP="00327DF7">
      <w:pPr>
        <w:spacing w:line="240" w:lineRule="auto"/>
        <w:rPr>
          <w:rFonts w:cs="Charis SIL"/>
          <w:sz w:val="20"/>
          <w:szCs w:val="20"/>
          <w:lang w:val="it-IT"/>
        </w:rPr>
      </w:pPr>
      <w:r w:rsidRPr="00556D76">
        <w:rPr>
          <w:rFonts w:cs="Charis SIL"/>
          <w:sz w:val="20"/>
          <w:szCs w:val="20"/>
          <w:vertAlign w:val="superscript"/>
          <w:lang w:val="en-GB"/>
        </w:rPr>
        <w:footnoteRef/>
      </w:r>
      <w:r w:rsidRPr="00556D76">
        <w:rPr>
          <w:rFonts w:cs="Charis SIL"/>
          <w:sz w:val="20"/>
          <w:szCs w:val="20"/>
          <w:lang w:val="it-IT"/>
        </w:rPr>
        <w:t xml:space="preserve"> Vgl. Pesti, 2013, 151–237.</w:t>
      </w:r>
    </w:p>
  </w:footnote>
  <w:footnote w:id="260">
    <w:p w14:paraId="3DDCFAD8" w14:textId="77777777" w:rsidR="00327DF7" w:rsidRPr="00556D76" w:rsidRDefault="00327DF7" w:rsidP="00327DF7">
      <w:pPr>
        <w:suppressAutoHyphens/>
        <w:spacing w:line="240" w:lineRule="auto"/>
        <w:rPr>
          <w:rFonts w:cs="Charis SIL"/>
          <w:sz w:val="20"/>
          <w:szCs w:val="20"/>
          <w:lang w:val="de-DE"/>
        </w:rPr>
      </w:pPr>
      <w:r w:rsidRPr="00556D76">
        <w:rPr>
          <w:rFonts w:cs="Charis SIL"/>
          <w:sz w:val="20"/>
          <w:szCs w:val="20"/>
          <w:vertAlign w:val="superscript"/>
          <w:lang w:val="en-GB"/>
        </w:rPr>
        <w:footnoteRef/>
      </w:r>
      <w:r w:rsidRPr="00556D76">
        <w:rPr>
          <w:rFonts w:cs="Charis SIL"/>
          <w:sz w:val="20"/>
          <w:szCs w:val="20"/>
          <w:lang w:val="it-IT"/>
        </w:rPr>
        <w:t xml:space="preserve"> Alice S. Rossi. </w:t>
      </w:r>
      <w:r w:rsidRPr="00556D76">
        <w:rPr>
          <w:rFonts w:cs="Charis SIL"/>
          <w:i/>
          <w:sz w:val="20"/>
          <w:szCs w:val="20"/>
          <w:lang w:val="en-GB"/>
        </w:rPr>
        <w:t xml:space="preserve">Sex Equality: The Beginnings of Ideology. </w:t>
      </w:r>
      <w:r w:rsidRPr="00556D76">
        <w:rPr>
          <w:rFonts w:cs="Charis SIL"/>
          <w:sz w:val="20"/>
          <w:szCs w:val="20"/>
        </w:rPr>
        <w:t xml:space="preserve">Zitiert nach Davis, Natalie Zemon. </w:t>
      </w:r>
      <w:r w:rsidRPr="00556D76">
        <w:rPr>
          <w:rFonts w:cs="Charis SIL"/>
          <w:sz w:val="20"/>
          <w:szCs w:val="20"/>
          <w:lang w:val="en-GB"/>
        </w:rPr>
        <w:t xml:space="preserve">1975. </w:t>
      </w:r>
      <w:r w:rsidRPr="00556D76">
        <w:rPr>
          <w:rFonts w:cs="Charis SIL"/>
          <w:i/>
          <w:sz w:val="20"/>
          <w:szCs w:val="20"/>
          <w:lang w:val="en-GB"/>
        </w:rPr>
        <w:t xml:space="preserve">Society and culture in early modern France: eight essays. </w:t>
      </w:r>
      <w:r w:rsidRPr="00556D76">
        <w:rPr>
          <w:rFonts w:cs="Charis SIL"/>
          <w:sz w:val="20"/>
          <w:szCs w:val="20"/>
          <w:lang w:val="en-GB"/>
        </w:rPr>
        <w:t xml:space="preserve">Stanford, California: Stanford University Press. </w:t>
      </w:r>
      <w:r w:rsidRPr="00556D76">
        <w:rPr>
          <w:rFonts w:cs="Charis SIL"/>
          <w:sz w:val="20"/>
          <w:szCs w:val="20"/>
          <w:lang w:val="de-DE"/>
        </w:rPr>
        <w:t>Hier: 93.</w:t>
      </w:r>
    </w:p>
  </w:footnote>
  <w:footnote w:id="261">
    <w:p w14:paraId="61900643" w14:textId="77777777" w:rsidR="00327DF7" w:rsidRPr="00556D76" w:rsidRDefault="00327DF7" w:rsidP="00327DF7">
      <w:pPr>
        <w:spacing w:line="240" w:lineRule="auto"/>
        <w:rPr>
          <w:rFonts w:cs="Charis SIL"/>
          <w:sz w:val="20"/>
          <w:szCs w:val="20"/>
          <w:lang w:val="de-DE"/>
        </w:rPr>
      </w:pPr>
      <w:r w:rsidRPr="00556D76">
        <w:rPr>
          <w:rFonts w:cs="Charis SIL"/>
          <w:sz w:val="20"/>
          <w:szCs w:val="20"/>
          <w:vertAlign w:val="superscript"/>
          <w:lang w:val="en-GB"/>
        </w:rPr>
        <w:footnoteRef/>
      </w:r>
      <w:r w:rsidRPr="00556D76">
        <w:rPr>
          <w:rFonts w:cs="Charis SIL"/>
          <w:sz w:val="20"/>
          <w:szCs w:val="20"/>
          <w:lang w:val="de-DE"/>
        </w:rPr>
        <w:t xml:space="preserve"> Davis, 1975, 93.</w:t>
      </w:r>
    </w:p>
  </w:footnote>
  <w:footnote w:id="262">
    <w:p w14:paraId="6D4D115A"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lang w:val="de-DE"/>
        </w:rPr>
        <w:t xml:space="preserve"> Feste Patronin der Autoren Pál Medgyesi, István Geleji Katona, Pál Keresztúri oder István Czeglédi. </w:t>
      </w:r>
      <w:r w:rsidRPr="00556D76">
        <w:rPr>
          <w:rFonts w:cs="Charis SIL"/>
          <w:sz w:val="20"/>
          <w:szCs w:val="20"/>
        </w:rPr>
        <w:t>Vgl. Pesti, 2013, 151–237, bes. 192 – 195.</w:t>
      </w:r>
    </w:p>
  </w:footnote>
  <w:footnote w:id="263">
    <w:p w14:paraId="409FA1CE"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„Wir kennen alle den unermüdlichen und fleißigen Eifer und großen Aufwand Ihrer Hoheit für die Erhaltung des kirchlichen Dienstes. Unsere Heimat, ganz Ungarn und vor allem Siebenbürgen können sich bei Ihrer Hoheit für die vielen Kirchen, für die Versorgung der Prediger, für die ansehnlichen Schulen und Krankenhäuser und für weitere Dinge zur Ehre Gottes bedanken.“ (Eigene Übersersetzung) In: Medgyesi, Pál. 1640. </w:t>
      </w:r>
      <w:r w:rsidRPr="00556D76">
        <w:rPr>
          <w:rFonts w:cs="Charis SIL"/>
          <w:i/>
          <w:sz w:val="20"/>
          <w:szCs w:val="20"/>
        </w:rPr>
        <w:t>Szent Atyák öröme</w:t>
      </w:r>
      <w:r w:rsidRPr="00556D76">
        <w:rPr>
          <w:rFonts w:cs="Charis SIL"/>
          <w:sz w:val="20"/>
          <w:szCs w:val="20"/>
        </w:rPr>
        <w:t>. Gyulafehérvár. Hier: c</w:t>
      </w:r>
      <w:r w:rsidRPr="00556D76">
        <w:rPr>
          <w:rFonts w:cs="Charis SIL"/>
          <w:sz w:val="20"/>
          <w:szCs w:val="20"/>
          <w:vertAlign w:val="superscript"/>
        </w:rPr>
        <w:t>r–v</w:t>
      </w:r>
      <w:r w:rsidRPr="00556D76">
        <w:rPr>
          <w:rFonts w:cs="Charis SIL"/>
          <w:sz w:val="20"/>
          <w:szCs w:val="20"/>
        </w:rPr>
        <w:t>. (RMNy III. 1826.)</w:t>
      </w:r>
    </w:p>
  </w:footnote>
  <w:footnote w:id="264">
    <w:p w14:paraId="470F3C45"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Erste Ausgabe: [Detrekő], 1584.</w:t>
      </w:r>
    </w:p>
  </w:footnote>
  <w:footnote w:id="265">
    <w:p w14:paraId="2E87F424"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Heltai, 2008, 85.</w:t>
      </w:r>
    </w:p>
  </w:footnote>
  <w:footnote w:id="266">
    <w:p w14:paraId="30ADD116"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Ebd.</w:t>
      </w:r>
    </w:p>
  </w:footnote>
  <w:footnote w:id="267">
    <w:p w14:paraId="173B01D3"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„Zsófia Báthory bemühte sich nach ihrer Hochzeit mit György Rákóczi dem Jüngeren stets, sich zur evangelischen, der einzig wahren christlichen Religion, zu bekehren, und schien die Praxis des Abendmals sowie andere religiöse Vorschriften und Rituale zu befolgen. Aber als ihr ehemaliger Vormund von ihr genommen und sie verleitet wurde, sofort, oh großer Gott, sofort fing sie an [in ihrem Glauben] zu wanken. Ihre christlichen Prediger versuchten sie in der evangelischen Wahrheit zu stärken, aber die katholischen Bemühungen hatten viel größere Auswirkung als es gut gewesen wäre.“ (Freie Übersetzung der Autorin) Szalárdi, János. 1853. </w:t>
      </w:r>
      <w:r w:rsidRPr="00556D76">
        <w:rPr>
          <w:rFonts w:cs="Charis SIL"/>
          <w:i/>
          <w:sz w:val="20"/>
          <w:szCs w:val="20"/>
        </w:rPr>
        <w:t>Siralmas magyar krónikája kilencz könyvei</w:t>
      </w:r>
      <w:r w:rsidRPr="00556D76">
        <w:rPr>
          <w:rFonts w:cs="Charis SIL"/>
          <w:sz w:val="20"/>
          <w:szCs w:val="20"/>
        </w:rPr>
        <w:t>. Kéziratok után szerkeszté: B. Kemény Zsigmond. Pest, 1853. Hier: 593.</w:t>
      </w:r>
    </w:p>
  </w:footnote>
  <w:footnote w:id="268">
    <w:p w14:paraId="4DC1C468"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Bartha, Krisztina. 2000. Az utolsó Báthory. 2. rész. A katolikus özvegy. In: </w:t>
      </w:r>
      <w:r w:rsidRPr="00556D76">
        <w:rPr>
          <w:rFonts w:cs="Charis SIL"/>
          <w:i/>
          <w:sz w:val="20"/>
          <w:szCs w:val="20"/>
        </w:rPr>
        <w:t>Belvedere</w:t>
      </w:r>
      <w:r w:rsidRPr="00556D76">
        <w:rPr>
          <w:rFonts w:cs="Charis SIL"/>
          <w:sz w:val="20"/>
          <w:szCs w:val="20"/>
        </w:rPr>
        <w:t xml:space="preserve"> XII/3–4, 17–29, hier 18–19.</w:t>
      </w:r>
    </w:p>
  </w:footnote>
  <w:footnote w:id="269">
    <w:p w14:paraId="1D98B1EF"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„Ihre Hoheit wollte dabei auch nicht zurückbleiben, wo Ihre Hoheit das fürstliche und königliche Beispiel der ehrenhaften Báthory-Vorfahren sieht. […] Damit in der ungarischen Nation die eingeschlafene Andacht zur gesegneten Jungfrau erweckt wird, strebt Ihre Hoheit mit Herz und Seele die Schätzung Ihrer Jungfrau an. Darum haben Sie die großen Kosten gebührend zum fürstlichen Spenden nicht mißgönnt und das Brevier der Muttergottes von mir gnädig in Druck geben lassen.” (Eigene Übersetzung) In: [Draskovich, János]. 1662. </w:t>
      </w:r>
      <w:r w:rsidRPr="00556D76">
        <w:rPr>
          <w:rFonts w:cs="Charis SIL"/>
          <w:i/>
          <w:sz w:val="20"/>
          <w:szCs w:val="20"/>
        </w:rPr>
        <w:t>Officium az az asszonyunk Szűz Máriának három külömb időre való szolosmája</w:t>
      </w:r>
      <w:r w:rsidRPr="00556D76">
        <w:rPr>
          <w:rFonts w:cs="Charis SIL"/>
          <w:sz w:val="20"/>
          <w:szCs w:val="20"/>
        </w:rPr>
        <w:t>. Nagyszombat. Hier:</w:t>
      </w:r>
      <w:r w:rsidRPr="00556D76">
        <w:rPr>
          <w:rFonts w:cs="Charis SIL"/>
          <w:i/>
          <w:sz w:val="20"/>
          <w:szCs w:val="20"/>
        </w:rPr>
        <w:t xml:space="preserve"> </w:t>
      </w:r>
      <w:r w:rsidRPr="00556D76">
        <w:rPr>
          <w:rFonts w:cs="Charis SIL"/>
          <w:sz w:val="20"/>
          <w:szCs w:val="20"/>
        </w:rPr>
        <w:t>(3</w:t>
      </w:r>
      <w:r w:rsidRPr="00556D76">
        <w:rPr>
          <w:rFonts w:cs="Charis SIL"/>
          <w:sz w:val="20"/>
          <w:szCs w:val="20"/>
          <w:vertAlign w:val="superscript"/>
        </w:rPr>
        <w:t>v</w:t>
      </w:r>
      <w:r w:rsidRPr="00556D76">
        <w:rPr>
          <w:rFonts w:cs="Charis SIL"/>
          <w:sz w:val="20"/>
          <w:szCs w:val="20"/>
        </w:rPr>
        <w:t>-[4</w:t>
      </w:r>
      <w:r w:rsidRPr="00556D76">
        <w:rPr>
          <w:rFonts w:cs="Charis SIL"/>
          <w:sz w:val="20"/>
          <w:szCs w:val="20"/>
          <w:vertAlign w:val="superscript"/>
        </w:rPr>
        <w:t>r</w:t>
      </w:r>
      <w:r w:rsidRPr="00556D76">
        <w:rPr>
          <w:rFonts w:cs="Charis SIL"/>
          <w:sz w:val="20"/>
          <w:szCs w:val="20"/>
        </w:rPr>
        <w:t>]</w:t>
      </w:r>
    </w:p>
  </w:footnote>
  <w:footnote w:id="270">
    <w:p w14:paraId="05EEE3BC"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Vgl. Pesti, 2013, 151–237.</w:t>
      </w:r>
    </w:p>
  </w:footnote>
  <w:footnote w:id="271">
    <w:p w14:paraId="38A368D5"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Vgl. Pesti, 2019, 146–147.</w:t>
      </w:r>
    </w:p>
  </w:footnote>
  <w:footnote w:id="272">
    <w:p w14:paraId="6FF97C6E"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w:t>
      </w:r>
      <w:r w:rsidRPr="00556D76">
        <w:rPr>
          <w:rFonts w:cs="Charis SIL"/>
          <w:sz w:val="20"/>
          <w:szCs w:val="20"/>
          <w:lang w:eastAsia="hu-HU"/>
        </w:rPr>
        <w:t xml:space="preserve">Ihre Hoheit, geleitet von der gnädigen und weisen Vorsehung Gottes in die genannte Familie und ins Geschlecht, wollte das Patronicium und den Schutz meines Werkes übernehmen.” (Eigene Übersetzung) In: </w:t>
      </w:r>
      <w:r w:rsidRPr="00556D76">
        <w:rPr>
          <w:rFonts w:cs="Charis SIL"/>
          <w:sz w:val="20"/>
          <w:szCs w:val="20"/>
        </w:rPr>
        <w:t xml:space="preserve">Mihálykó, János. 1642. </w:t>
      </w:r>
      <w:r w:rsidRPr="00556D76">
        <w:rPr>
          <w:rFonts w:cs="Charis SIL"/>
          <w:i/>
          <w:sz w:val="20"/>
          <w:szCs w:val="20"/>
        </w:rPr>
        <w:t xml:space="preserve">Keresztyén istenes és ájtatos imádságok. </w:t>
      </w:r>
      <w:r w:rsidRPr="00556D76">
        <w:rPr>
          <w:rFonts w:cs="Charis SIL"/>
          <w:sz w:val="20"/>
          <w:szCs w:val="20"/>
        </w:rPr>
        <w:t>Lőcse. Hier: A3</w:t>
      </w:r>
      <w:r w:rsidRPr="00556D76">
        <w:rPr>
          <w:rFonts w:cs="Charis SIL"/>
          <w:sz w:val="20"/>
          <w:szCs w:val="20"/>
          <w:vertAlign w:val="superscript"/>
        </w:rPr>
        <w:t>r</w:t>
      </w:r>
      <w:r w:rsidRPr="00556D76">
        <w:rPr>
          <w:rFonts w:cs="Charis SIL"/>
          <w:sz w:val="20"/>
          <w:szCs w:val="20"/>
        </w:rPr>
        <w:t xml:space="preserve"> (RMNy III. 1942.)</w:t>
      </w:r>
    </w:p>
  </w:footnote>
  <w:footnote w:id="273">
    <w:p w14:paraId="51278BFC" w14:textId="77777777" w:rsidR="00327DF7" w:rsidRPr="00556D76" w:rsidRDefault="00327DF7" w:rsidP="00327DF7">
      <w:pPr>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Heltai, 2008, 95.</w:t>
      </w:r>
    </w:p>
  </w:footnote>
  <w:footnote w:id="274">
    <w:p w14:paraId="75321E7B"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N. N. 1643. </w:t>
      </w:r>
      <w:r w:rsidRPr="00556D76">
        <w:rPr>
          <w:rFonts w:cs="Charis SIL"/>
          <w:i/>
          <w:sz w:val="20"/>
          <w:szCs w:val="20"/>
        </w:rPr>
        <w:t>Officium Beatae Mariae Virginis, azaz asszonyunk Szűz Mariának három különb időre való zsolozsmája</w:t>
      </w:r>
      <w:r w:rsidRPr="00556D76">
        <w:rPr>
          <w:rFonts w:cs="Charis SIL"/>
          <w:sz w:val="20"/>
          <w:szCs w:val="20"/>
        </w:rPr>
        <w:t>. Pozsony. (RMNy III. 2016.)</w:t>
      </w:r>
    </w:p>
  </w:footnote>
  <w:footnote w:id="275">
    <w:p w14:paraId="1EC85005" w14:textId="77777777" w:rsidR="00327DF7" w:rsidRPr="00556D76" w:rsidRDefault="00327DF7" w:rsidP="00327DF7">
      <w:pPr>
        <w:suppressAutoHyphens/>
        <w:spacing w:line="240" w:lineRule="auto"/>
        <w:rPr>
          <w:rFonts w:cs="Charis SIL"/>
          <w:sz w:val="20"/>
          <w:szCs w:val="20"/>
        </w:rPr>
      </w:pPr>
      <w:r w:rsidRPr="00556D76">
        <w:rPr>
          <w:rFonts w:cs="Charis SIL"/>
          <w:sz w:val="20"/>
          <w:szCs w:val="20"/>
          <w:vertAlign w:val="superscript"/>
          <w:lang w:val="en-GB"/>
        </w:rPr>
        <w:footnoteRef/>
      </w:r>
      <w:r w:rsidRPr="00556D76">
        <w:rPr>
          <w:rFonts w:cs="Charis SIL"/>
          <w:sz w:val="20"/>
          <w:szCs w:val="20"/>
        </w:rPr>
        <w:t xml:space="preserve"> N. N. 1639. </w:t>
      </w:r>
      <w:r w:rsidRPr="00556D76">
        <w:rPr>
          <w:rFonts w:cs="Charis SIL"/>
          <w:i/>
          <w:sz w:val="20"/>
          <w:szCs w:val="20"/>
        </w:rPr>
        <w:t>Úti társ.</w:t>
      </w:r>
      <w:r w:rsidRPr="00556D76">
        <w:rPr>
          <w:rFonts w:cs="Charis SIL"/>
          <w:sz w:val="20"/>
          <w:szCs w:val="20"/>
        </w:rPr>
        <w:t xml:space="preserve"> Pozsony. (RMNy III. 1787.)</w:t>
      </w:r>
    </w:p>
  </w:footnote>
  <w:footnote w:id="276">
    <w:p w14:paraId="4BF9097A" w14:textId="77777777" w:rsidR="0015664D" w:rsidRPr="00556D76" w:rsidRDefault="0015664D" w:rsidP="009924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[Karl Gottlieb Windisch]: </w:t>
      </w:r>
      <w:r w:rsidRPr="00556D76">
        <w:rPr>
          <w:rFonts w:cs="Charis SIL"/>
          <w:i/>
          <w:iCs/>
          <w:sz w:val="20"/>
          <w:szCs w:val="20"/>
        </w:rPr>
        <w:t>Beschreibung des Hochfürstlichen Schlosses Esterhaz im Königreich Ungarn</w:t>
      </w:r>
      <w:r w:rsidRPr="00556D76">
        <w:rPr>
          <w:rFonts w:cs="Charis SIL"/>
          <w:sz w:val="20"/>
          <w:szCs w:val="20"/>
        </w:rPr>
        <w:t>. Pressburg: Löwe 1784, S. 42</w:t>
      </w:r>
    </w:p>
  </w:footnote>
  <w:footnote w:id="277">
    <w:p w14:paraId="2BED75FF"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Die Gemeinde trägt erst seit 1950 den Namen Fertőd. Die beiden Orte Esterháza (dt. Esterhaus) und Schüttern (ung. Süttör) wurden damals vereint und erhielten diesen Namen.</w:t>
      </w:r>
    </w:p>
  </w:footnote>
  <w:footnote w:id="278">
    <w:p w14:paraId="4FD487F6"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Nikolaus I. Joseph (ungar. Miklós József) „der Prachtliebende“, Graf und später Fürst Esterházy de Galantha (1714 -1790) war der fünfte Fürst aus dem Hause Esterházy.</w:t>
      </w:r>
    </w:p>
  </w:footnote>
  <w:footnote w:id="279">
    <w:p w14:paraId="2770B76B" w14:textId="62637DF3"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Das Schloss Esterháza beschreibende Texte: Gottfried v Rot(t)enstein: </w:t>
      </w:r>
      <w:r w:rsidRPr="00556D76">
        <w:rPr>
          <w:rFonts w:cs="Charis SIL"/>
          <w:i/>
          <w:iCs/>
          <w:sz w:val="20"/>
          <w:szCs w:val="20"/>
        </w:rPr>
        <w:t>Reise durch einen Theil von Königreich Ungarn seit dem Jahre 1763</w:t>
      </w:r>
      <w:r w:rsidRPr="00556D76">
        <w:rPr>
          <w:rFonts w:cs="Charis SIL"/>
          <w:sz w:val="20"/>
          <w:szCs w:val="20"/>
        </w:rPr>
        <w:t xml:space="preserve">, erschienen in: </w:t>
      </w:r>
      <w:r w:rsidRPr="00556D76">
        <w:rPr>
          <w:rFonts w:cs="Charis SIL"/>
          <w:i/>
          <w:iCs/>
          <w:sz w:val="20"/>
          <w:szCs w:val="20"/>
        </w:rPr>
        <w:t>Johann Bernoulli</w:t>
      </w:r>
      <w:r w:rsidR="00401DE8" w:rsidRPr="00556D76">
        <w:rPr>
          <w:rFonts w:cs="Charis SIL"/>
          <w:i/>
          <w:iCs/>
          <w:sz w:val="20"/>
          <w:szCs w:val="20"/>
        </w:rPr>
        <w:t>‘</w:t>
      </w:r>
      <w:r w:rsidRPr="00556D76">
        <w:rPr>
          <w:rFonts w:cs="Charis SIL"/>
          <w:i/>
          <w:iCs/>
          <w:sz w:val="20"/>
          <w:szCs w:val="20"/>
        </w:rPr>
        <w:t>s Sammlung kurzer Reisebeschreibung und andere zur Erweiterung der Länder- und Menschenkenntniß dienender Nachrichten</w:t>
      </w:r>
      <w:r w:rsidRPr="00556D76">
        <w:rPr>
          <w:rFonts w:cs="Charis SIL"/>
          <w:sz w:val="20"/>
          <w:szCs w:val="20"/>
        </w:rPr>
        <w:t xml:space="preserve">. Berlin: G.F. Richter und Buchhandlung der Gelehrten, 1781–1787, 17 Bd. Rottensteins Beschreibungen finden sich in den Bänden 9 und 10, auf Esterháza eingehende Texte im Band 9; Dallos, Márton: </w:t>
      </w:r>
      <w:r w:rsidRPr="00556D76">
        <w:rPr>
          <w:rFonts w:cs="Charis SIL"/>
          <w:i/>
          <w:iCs/>
          <w:sz w:val="20"/>
          <w:szCs w:val="20"/>
        </w:rPr>
        <w:t>Eszterházi Várnak és ahhoz tartozandó nevezetesebb helyeinek rövid leírása</w:t>
      </w:r>
      <w:r w:rsidR="008F6FE7" w:rsidRPr="00556D76">
        <w:rPr>
          <w:rFonts w:cs="Charis SIL"/>
          <w:sz w:val="20"/>
          <w:szCs w:val="20"/>
        </w:rPr>
        <w:t>…</w:t>
      </w:r>
      <w:r w:rsidRPr="00556D76">
        <w:rPr>
          <w:rFonts w:cs="Charis SIL"/>
          <w:sz w:val="20"/>
          <w:szCs w:val="20"/>
        </w:rPr>
        <w:t xml:space="preserve">, 1781. [Karl Gottlieb Windisch]: </w:t>
      </w:r>
      <w:r w:rsidRPr="00556D76">
        <w:rPr>
          <w:rFonts w:cs="Charis SIL"/>
          <w:i/>
          <w:iCs/>
          <w:sz w:val="20"/>
          <w:szCs w:val="20"/>
        </w:rPr>
        <w:t>Beschreibung des Hochfürstlichen Schlosses Esterhaz im Königreich Ungarn</w:t>
      </w:r>
      <w:r w:rsidRPr="00556D76">
        <w:rPr>
          <w:rFonts w:cs="Charis SIL"/>
          <w:sz w:val="20"/>
          <w:szCs w:val="20"/>
        </w:rPr>
        <w:t xml:space="preserve">. Pressburg: Löwe 1784. [Johann Matthias Korabinsky]: </w:t>
      </w:r>
      <w:r w:rsidRPr="00556D76">
        <w:rPr>
          <w:rFonts w:cs="Charis SIL"/>
          <w:i/>
          <w:iCs/>
          <w:sz w:val="20"/>
          <w:szCs w:val="20"/>
        </w:rPr>
        <w:t>Geographisch-historisches und Producten Lexikon</w:t>
      </w:r>
      <w:r w:rsidRPr="00556D76">
        <w:rPr>
          <w:rFonts w:cs="Charis SIL"/>
          <w:sz w:val="20"/>
          <w:szCs w:val="20"/>
        </w:rPr>
        <w:t>, Pre</w:t>
      </w:r>
      <w:r w:rsidR="007A490E" w:rsidRPr="00556D76">
        <w:rPr>
          <w:rFonts w:cs="Charis SIL"/>
          <w:sz w:val="20"/>
          <w:szCs w:val="20"/>
        </w:rPr>
        <w:t>ss</w:t>
      </w:r>
      <w:r w:rsidRPr="00556D76">
        <w:rPr>
          <w:rFonts w:cs="Charis SIL"/>
          <w:sz w:val="20"/>
          <w:szCs w:val="20"/>
        </w:rPr>
        <w:t xml:space="preserve">burg: Weber und Korabinsky 1786. Online: </w:t>
      </w:r>
      <w:hyperlink r:id="rId53" w:anchor="v=onepage&amp;q&amp;f=true" w:history="1">
        <w:r w:rsidRPr="00556D76">
          <w:rPr>
            <w:rFonts w:cs="Charis SIL"/>
            <w:sz w:val="20"/>
            <w:szCs w:val="20"/>
            <w:u w:val="single"/>
          </w:rPr>
          <w:t>books.google.at/books?id=mNMBAAAAYAAJ</w:t>
        </w:r>
      </w:hyperlink>
      <w:r w:rsidRPr="00556D76">
        <w:rPr>
          <w:rFonts w:cs="Charis SIL"/>
          <w:sz w:val="20"/>
          <w:szCs w:val="20"/>
        </w:rPr>
        <w:t>. Achtung auf unterschiedliche Schreibweise in den Quellen: Esterháza, Eszterháza, Esterhaza, ebenso den Namen der Familie betreffend: Esterházi, Esterházy, Eszterházy etc.</w:t>
      </w:r>
    </w:p>
  </w:footnote>
  <w:footnote w:id="280">
    <w:p w14:paraId="2A394F8D" w14:textId="6E6A5EA4"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Johann Wolfgang Goethe: </w:t>
      </w:r>
      <w:r w:rsidRPr="00556D76">
        <w:rPr>
          <w:rFonts w:cs="Charis SIL"/>
          <w:i/>
          <w:iCs/>
          <w:sz w:val="20"/>
          <w:szCs w:val="20"/>
        </w:rPr>
        <w:t>Aus meinem Leben. Dichtung und Wahrheit</w:t>
      </w:r>
      <w:r w:rsidRPr="00556D76">
        <w:rPr>
          <w:rFonts w:cs="Charis SIL"/>
          <w:sz w:val="20"/>
          <w:szCs w:val="20"/>
        </w:rPr>
        <w:t xml:space="preserve">. </w:t>
      </w:r>
      <w:hyperlink r:id="rId54" w:history="1">
        <w:r w:rsidR="002A3BC9" w:rsidRPr="00556D76">
          <w:rPr>
            <w:rStyle w:val="Hyperlink"/>
            <w:rFonts w:cs="Charis SIL"/>
            <w:color w:val="auto"/>
            <w:sz w:val="20"/>
            <w:szCs w:val="20"/>
          </w:rPr>
          <w:t>www.zeno.org/Literatur/M/Goethe,+Johann+Wolfgang/Autobiographisches/</w:t>
        </w:r>
        <w:r w:rsidR="002A3BC9" w:rsidRPr="00556D76">
          <w:rPr>
            <w:rStyle w:val="Hyperlink"/>
            <w:rFonts w:cs="Charis SIL"/>
            <w:color w:val="auto"/>
            <w:sz w:val="20"/>
            <w:szCs w:val="20"/>
          </w:rPr>
          <w:br/>
          <w:t>Aus+meinem+Leben.+Dichtung+und+Wahrheit</w:t>
        </w:r>
      </w:hyperlink>
    </w:p>
  </w:footnote>
  <w:footnote w:id="281">
    <w:p w14:paraId="73AD993B"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ebenda</w:t>
      </w:r>
    </w:p>
  </w:footnote>
  <w:footnote w:id="282">
    <w:p w14:paraId="65DC516F" w14:textId="77777777"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Goethe, </w:t>
      </w:r>
      <w:r w:rsidRPr="00556D76">
        <w:rPr>
          <w:rFonts w:cs="Charis SIL"/>
          <w:i/>
          <w:iCs/>
          <w:sz w:val="20"/>
          <w:szCs w:val="20"/>
        </w:rPr>
        <w:t>Aus meinem Leben</w:t>
      </w:r>
      <w:r w:rsidRPr="00556D76">
        <w:rPr>
          <w:rFonts w:cs="Charis SIL"/>
          <w:sz w:val="20"/>
          <w:szCs w:val="20"/>
        </w:rPr>
        <w:t>, ebenda</w:t>
      </w:r>
    </w:p>
  </w:footnote>
  <w:footnote w:id="283">
    <w:p w14:paraId="502D09D5" w14:textId="174830E9"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Rot(t)enstein, </w:t>
      </w:r>
      <w:r w:rsidRPr="00556D76">
        <w:rPr>
          <w:rFonts w:cs="Charis SIL"/>
          <w:i/>
          <w:iCs/>
          <w:sz w:val="20"/>
          <w:szCs w:val="20"/>
        </w:rPr>
        <w:t>Reisen durch einen Theil des Königreichs Ungern</w:t>
      </w:r>
      <w:r w:rsidRPr="00556D76">
        <w:rPr>
          <w:rFonts w:cs="Charis SIL"/>
          <w:sz w:val="20"/>
          <w:szCs w:val="20"/>
        </w:rPr>
        <w:t xml:space="preserve">, in: Bernoulli, </w:t>
      </w:r>
      <w:r w:rsidRPr="00556D76">
        <w:rPr>
          <w:rFonts w:cs="Charis SIL"/>
          <w:i/>
          <w:iCs/>
          <w:sz w:val="20"/>
          <w:szCs w:val="20"/>
        </w:rPr>
        <w:t>Sammlung kurzer Reisebeschreibungen</w:t>
      </w:r>
      <w:r w:rsidRPr="00556D76">
        <w:rPr>
          <w:rFonts w:cs="Charis SIL"/>
          <w:sz w:val="20"/>
          <w:szCs w:val="20"/>
        </w:rPr>
        <w:t>, Band 9, 1783, S. 286</w:t>
      </w:r>
      <w:r w:rsidR="00156E29" w:rsidRPr="00556D76">
        <w:rPr>
          <w:rFonts w:cs="Charis SIL"/>
          <w:sz w:val="20"/>
          <w:szCs w:val="20"/>
        </w:rPr>
        <w:t>–</w:t>
      </w:r>
      <w:r w:rsidRPr="00556D76">
        <w:rPr>
          <w:rFonts w:cs="Charis SIL"/>
          <w:sz w:val="20"/>
          <w:szCs w:val="20"/>
        </w:rPr>
        <w:t>288</w:t>
      </w:r>
    </w:p>
  </w:footnote>
  <w:footnote w:id="284">
    <w:p w14:paraId="6ADF098B" w14:textId="010A53DD"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Quelle: Von Pe-Jo </w:t>
      </w:r>
      <w:r w:rsidR="003711F3" w:rsidRPr="00556D76">
        <w:rPr>
          <w:rFonts w:cs="Charis SIL"/>
          <w:sz w:val="20"/>
          <w:szCs w:val="20"/>
        </w:rPr>
        <w:t>–</w:t>
      </w:r>
      <w:r w:rsidRPr="00556D76">
        <w:rPr>
          <w:rFonts w:cs="Charis SIL"/>
          <w:sz w:val="20"/>
          <w:szCs w:val="20"/>
        </w:rPr>
        <w:t xml:space="preserve"> Eigenes Werk, CC BY-SA 3.0, </w:t>
      </w:r>
      <w:hyperlink r:id="rId55">
        <w:r w:rsidRPr="00556D76">
          <w:rPr>
            <w:rFonts w:cs="Charis SIL"/>
            <w:sz w:val="20"/>
            <w:szCs w:val="20"/>
            <w:u w:val="single"/>
          </w:rPr>
          <w:t>commons.wikimedia.org/w/</w:t>
        </w:r>
        <w:r w:rsidR="00151C8A" w:rsidRPr="00556D76">
          <w:rPr>
            <w:rFonts w:cs="Charis SIL"/>
            <w:sz w:val="20"/>
            <w:szCs w:val="20"/>
            <w:u w:val="single"/>
          </w:rPr>
          <w:br/>
        </w:r>
        <w:r w:rsidRPr="00556D76">
          <w:rPr>
            <w:rFonts w:cs="Charis SIL"/>
            <w:sz w:val="20"/>
            <w:szCs w:val="20"/>
            <w:u w:val="single"/>
          </w:rPr>
          <w:t>index.php?curid=20342071</w:t>
        </w:r>
      </w:hyperlink>
    </w:p>
  </w:footnote>
  <w:footnote w:id="285">
    <w:p w14:paraId="097DF92F" w14:textId="0E061B3A"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Briefwechsel des Karl Gottlieb Windisch. Hg. von Andrea Seidler, Budapest, Universitas 2008. Online: </w:t>
      </w:r>
      <w:hyperlink r:id="rId56" w:history="1">
        <w:r w:rsidR="00151C8A" w:rsidRPr="00556D76">
          <w:rPr>
            <w:rStyle w:val="Hyperlink"/>
            <w:rFonts w:cs="Charis SIL"/>
            <w:color w:val="auto"/>
            <w:sz w:val="20"/>
            <w:szCs w:val="20"/>
          </w:rPr>
          <w:t>www.academia.edu/36611317/</w:t>
        </w:r>
      </w:hyperlink>
    </w:p>
  </w:footnote>
  <w:footnote w:id="286">
    <w:p w14:paraId="40CD31E7"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ebenda</w:t>
      </w:r>
    </w:p>
  </w:footnote>
  <w:footnote w:id="287">
    <w:p w14:paraId="1B003CBE" w14:textId="77777777"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Mátyás Horányi: </w:t>
      </w:r>
      <w:r w:rsidRPr="00556D76">
        <w:rPr>
          <w:rFonts w:cs="Charis SIL"/>
          <w:i/>
          <w:iCs/>
          <w:sz w:val="20"/>
          <w:szCs w:val="20"/>
        </w:rPr>
        <w:t>Das Esterházysche Feenreich. Beitrag zur ungarländischen Theatergeschichte des 18. Jahrhunderts.</w:t>
      </w:r>
      <w:r w:rsidRPr="00556D76">
        <w:rPr>
          <w:rFonts w:cs="Charis SIL"/>
          <w:sz w:val="20"/>
          <w:szCs w:val="20"/>
        </w:rPr>
        <w:t xml:space="preserve"> Budapest: Verlag der Akademie der Wissenschaften 1959, S. 37ff. Zu diesem Thema auch Géza Staud: </w:t>
      </w:r>
      <w:r w:rsidRPr="00556D76">
        <w:rPr>
          <w:rFonts w:cs="Charis SIL"/>
          <w:i/>
          <w:iCs/>
          <w:sz w:val="20"/>
          <w:szCs w:val="20"/>
        </w:rPr>
        <w:t>Adelstheater in Ungarn</w:t>
      </w:r>
      <w:r w:rsidRPr="00556D76">
        <w:rPr>
          <w:rFonts w:cs="Charis SIL"/>
          <w:sz w:val="20"/>
          <w:szCs w:val="20"/>
        </w:rPr>
        <w:t xml:space="preserve"> (18. und 19. Jahrhundert). Wien: Verlag der Akademie der Wissenschaften 1977.</w:t>
      </w:r>
    </w:p>
  </w:footnote>
  <w:footnote w:id="288">
    <w:p w14:paraId="732705FC" w14:textId="77777777"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r w:rsidRPr="00556D76">
        <w:rPr>
          <w:rFonts w:eastAsia="Georgia" w:cs="Charis SIL"/>
          <w:sz w:val="20"/>
          <w:szCs w:val="20"/>
        </w:rPr>
        <w:t xml:space="preserve">Rottenstein, S. 259. 1772 hatte György Bessenyei, Mitglied der Leibgarde Maria Theresias, später Kustos der Bibliothek in Wien die Pracht des Schlosses in seinem Gedicht </w:t>
      </w:r>
      <w:r w:rsidRPr="00556D76">
        <w:rPr>
          <w:rFonts w:eastAsia="Georgia" w:cs="Charis SIL"/>
          <w:i/>
          <w:iCs/>
          <w:sz w:val="20"/>
          <w:szCs w:val="20"/>
        </w:rPr>
        <w:t>Az Eszterházi</w:t>
      </w:r>
      <w:r w:rsidRPr="00556D76">
        <w:rPr>
          <w:rFonts w:eastAsia="Georgia" w:cs="Charis SIL"/>
          <w:sz w:val="20"/>
          <w:szCs w:val="20"/>
        </w:rPr>
        <w:t xml:space="preserve"> </w:t>
      </w:r>
      <w:r w:rsidRPr="00556D76">
        <w:rPr>
          <w:rFonts w:eastAsia="Georgia" w:cs="Charis SIL"/>
          <w:i/>
          <w:iCs/>
          <w:sz w:val="20"/>
          <w:szCs w:val="20"/>
        </w:rPr>
        <w:t>vigasságok</w:t>
      </w:r>
      <w:r w:rsidRPr="00556D76">
        <w:rPr>
          <w:rFonts w:eastAsia="Georgia" w:cs="Charis SIL"/>
          <w:sz w:val="20"/>
          <w:szCs w:val="20"/>
        </w:rPr>
        <w:t xml:space="preserve"> hochleben lassen.</w:t>
      </w:r>
    </w:p>
  </w:footnote>
  <w:footnote w:id="289">
    <w:p w14:paraId="3B1D80E5" w14:textId="77777777"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Seidler, </w:t>
      </w:r>
      <w:r w:rsidRPr="00556D76">
        <w:rPr>
          <w:rFonts w:cs="Charis SIL"/>
          <w:i/>
          <w:iCs/>
          <w:sz w:val="20"/>
          <w:szCs w:val="20"/>
        </w:rPr>
        <w:t>Briefwechsel</w:t>
      </w:r>
      <w:r w:rsidRPr="00556D76">
        <w:rPr>
          <w:rFonts w:cs="Charis SIL"/>
          <w:sz w:val="20"/>
          <w:szCs w:val="20"/>
        </w:rPr>
        <w:t>, Nr. 100</w:t>
      </w:r>
    </w:p>
  </w:footnote>
  <w:footnote w:id="290">
    <w:p w14:paraId="75E69DD7" w14:textId="77777777"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Seidler, </w:t>
      </w:r>
      <w:r w:rsidRPr="00556D76">
        <w:rPr>
          <w:rFonts w:cs="Charis SIL"/>
          <w:i/>
          <w:iCs/>
          <w:sz w:val="20"/>
          <w:szCs w:val="20"/>
        </w:rPr>
        <w:t>Briefwechsel</w:t>
      </w:r>
      <w:r w:rsidRPr="00556D76">
        <w:rPr>
          <w:rFonts w:cs="Charis SIL"/>
          <w:sz w:val="20"/>
          <w:szCs w:val="20"/>
        </w:rPr>
        <w:t>, Nr. 114</w:t>
      </w:r>
    </w:p>
  </w:footnote>
  <w:footnote w:id="291">
    <w:p w14:paraId="2B423A57" w14:textId="77777777" w:rsidR="0015664D" w:rsidRPr="00556D76" w:rsidRDefault="0015664D" w:rsidP="0099245C">
      <w:pPr>
        <w:suppressAutoHyphens/>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Seidler, </w:t>
      </w:r>
      <w:r w:rsidRPr="00556D76">
        <w:rPr>
          <w:rFonts w:cs="Charis SIL"/>
          <w:i/>
          <w:iCs/>
          <w:sz w:val="20"/>
          <w:szCs w:val="20"/>
        </w:rPr>
        <w:t>Briefwechsel</w:t>
      </w:r>
      <w:r w:rsidRPr="00556D76">
        <w:rPr>
          <w:rFonts w:cs="Charis SIL"/>
          <w:sz w:val="20"/>
          <w:szCs w:val="20"/>
        </w:rPr>
        <w:t>, Nr. 122</w:t>
      </w:r>
    </w:p>
  </w:footnote>
  <w:footnote w:id="292">
    <w:p w14:paraId="26C4F18D"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Wie zuvor in Eisenstadt verbrachte Joseph Haydn mehrere Jahre in Esterháza. Im Konzertsaal des Schlosses wurde beispielsweise 1772 seine Abschiedssymphonie uraufgeführt. Dazu unter anderem János Harich: Das Repertoire des Opernkapellmeisters Joseph Haydn in Esterháza (1780</w:t>
      </w:r>
      <w:r w:rsidRPr="00556D76">
        <w:rPr>
          <w:rFonts w:eastAsia="Arial Unicode MS" w:cs="Charis SIL"/>
          <w:kern w:val="2"/>
          <w:sz w:val="20"/>
          <w:szCs w:val="20"/>
        </w:rPr>
        <w:t>–</w:t>
      </w:r>
      <w:r w:rsidRPr="00556D76">
        <w:rPr>
          <w:rFonts w:cs="Charis SIL"/>
          <w:sz w:val="20"/>
          <w:szCs w:val="20"/>
        </w:rPr>
        <w:t>1790). Sonderdruck, Haydn Jahrbuch 1962 sowie H. C. Robbins Landon: Haydn at Eszterháza 1766–1790. London: 1978.</w:t>
      </w:r>
    </w:p>
  </w:footnote>
  <w:footnote w:id="293">
    <w:p w14:paraId="6C736ECF"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Quelle: </w:t>
      </w:r>
      <w:r w:rsidRPr="00556D76">
        <w:rPr>
          <w:rFonts w:eastAsia="Georgia" w:cs="Charis SIL"/>
          <w:sz w:val="20"/>
          <w:szCs w:val="20"/>
          <w:u w:color="000000"/>
          <w:lang w:eastAsia="de-DE"/>
        </w:rPr>
        <w:t>Aufnahme AS</w:t>
      </w:r>
    </w:p>
  </w:footnote>
  <w:footnote w:id="294">
    <w:p w14:paraId="236EEB12"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Beschreibung, S. 19</w:t>
      </w:r>
    </w:p>
  </w:footnote>
  <w:footnote w:id="295">
    <w:p w14:paraId="713CCC5B"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Beschreibung, S. 19</w:t>
      </w:r>
    </w:p>
  </w:footnote>
  <w:footnote w:id="296">
    <w:p w14:paraId="4478AF73"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Beschreibung, S. 37f</w:t>
      </w:r>
    </w:p>
  </w:footnote>
  <w:footnote w:id="297">
    <w:p w14:paraId="64EFBA4C" w14:textId="77777777" w:rsidR="0015664D" w:rsidRPr="00556D76" w:rsidRDefault="0015664D" w:rsidP="0099245C">
      <w:pPr>
        <w:spacing w:line="240" w:lineRule="auto"/>
        <w:rPr>
          <w:rFonts w:eastAsia="Arial" w:cs="Charis SIL"/>
          <w:sz w:val="20"/>
          <w:szCs w:val="20"/>
        </w:rPr>
      </w:pPr>
      <w:r w:rsidRPr="00556D76">
        <w:rPr>
          <w:rFonts w:cs="Charis SIL"/>
          <w:sz w:val="20"/>
          <w:szCs w:val="20"/>
          <w:vertAlign w:val="superscript"/>
        </w:rPr>
        <w:footnoteRef/>
      </w:r>
      <w:r w:rsidRPr="00556D76">
        <w:rPr>
          <w:rFonts w:cs="Charis SIL"/>
          <w:sz w:val="20"/>
          <w:szCs w:val="20"/>
        </w:rPr>
        <w:t xml:space="preserve"> Zum Marionettentheater: </w:t>
      </w:r>
      <w:r w:rsidRPr="00556D76">
        <w:rPr>
          <w:rFonts w:eastAsia="Calibri" w:cs="Charis SIL"/>
          <w:sz w:val="20"/>
          <w:szCs w:val="20"/>
        </w:rPr>
        <w:t>Das Marionettentheater stehet dem Opernhause gegenüber, und ist ziemlich geräumig, jedoch ohne Logen, und Gallerie. Das ganze Parterre sieht einer Grotte ähnlich, indem alle Wände, Nischen, und Oeffnungen, mit verschiedenen Stuffen, Steinen, Muscheln, und Schnecken bekleidet sind, und wann es beleuchtet wird, einen sehr seltsamen, und auffallenden Anblick verschaffet.</w:t>
      </w:r>
    </w:p>
    <w:p w14:paraId="5BCAE88C" w14:textId="77777777" w:rsidR="0015664D" w:rsidRPr="00556D76" w:rsidRDefault="0015664D" w:rsidP="0099245C">
      <w:pPr>
        <w:spacing w:line="240" w:lineRule="auto"/>
        <w:rPr>
          <w:rFonts w:cs="Charis SIL"/>
          <w:sz w:val="20"/>
          <w:szCs w:val="20"/>
        </w:rPr>
      </w:pPr>
      <w:r w:rsidRPr="00556D76">
        <w:rPr>
          <w:rFonts w:cs="Charis SIL"/>
          <w:sz w:val="20"/>
          <w:szCs w:val="20"/>
        </w:rPr>
        <w:tab/>
        <w:t>Das Theater ist sehr geräumig, die Dekorationen überaus niedlich, auch die Puppen sehr gut gemacht, und prächtig gekleidet. Man führet in demselben nicht nur Farcen, und Lustspiele, sondern auch Opera Seria auf, wie denn die verewigte Maria Theresia, der Oper Alceste, Ihren gnädigen Beyfall schenkte, und die augenblicklichen und unmerkbaren Verwandlungen bewunderte. Man hat die Belagerung von Gibraltar mit vieler Kunst und Ordnung vorgestellet. – Ein Theater, vielleicht das einzige in seiner Art. In: Beschreibung, S. 38f</w:t>
      </w:r>
    </w:p>
  </w:footnote>
  <w:footnote w:id="298">
    <w:p w14:paraId="12483521"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Beschreibung, S. 57; hierzu wesentlich ausführlicher: Rottenstein, S. 281 ff</w:t>
      </w:r>
    </w:p>
  </w:footnote>
  <w:footnote w:id="299">
    <w:p w14:paraId="772AE689"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Philemon und Baucis oder Jupiters Reise auf die Erde (Gottlieb Konrad Pfeffel; Vorspiel Philipp Georg Bader?), Marionettenoper (Singspiel), Uraufführung 2. September 1773 in Esterháza.</w:t>
      </w:r>
    </w:p>
  </w:footnote>
  <w:footnote w:id="300">
    <w:p w14:paraId="43DB14C6" w14:textId="793FAC49" w:rsidR="0015664D" w:rsidRPr="00556D76" w:rsidRDefault="0015664D" w:rsidP="00E3210D">
      <w:pPr>
        <w:spacing w:line="240" w:lineRule="auto"/>
        <w:jc w:val="left"/>
        <w:rPr>
          <w:rFonts w:cs="Charis SIL"/>
          <w:sz w:val="20"/>
          <w:szCs w:val="20"/>
        </w:rPr>
      </w:pPr>
      <w:r w:rsidRPr="00556D76">
        <w:rPr>
          <w:rFonts w:cs="Charis SIL"/>
          <w:sz w:val="20"/>
          <w:szCs w:val="20"/>
          <w:vertAlign w:val="superscript"/>
        </w:rPr>
        <w:footnoteRef/>
      </w:r>
      <w:r w:rsidRPr="00556D76">
        <w:rPr>
          <w:rFonts w:cs="Charis SIL"/>
          <w:sz w:val="20"/>
          <w:szCs w:val="20"/>
          <w:vertAlign w:val="superscript"/>
        </w:rPr>
        <w:t xml:space="preserve"> </w:t>
      </w:r>
      <w:r w:rsidRPr="00556D76">
        <w:rPr>
          <w:rFonts w:cs="Charis SIL"/>
          <w:i/>
          <w:iCs/>
          <w:sz w:val="20"/>
          <w:szCs w:val="20"/>
        </w:rPr>
        <w:t>Pre</w:t>
      </w:r>
      <w:r w:rsidR="001E4E99" w:rsidRPr="00556D76">
        <w:rPr>
          <w:rFonts w:cs="Charis SIL"/>
          <w:i/>
          <w:iCs/>
          <w:sz w:val="20"/>
          <w:szCs w:val="20"/>
        </w:rPr>
        <w:t>ß</w:t>
      </w:r>
      <w:r w:rsidRPr="00556D76">
        <w:rPr>
          <w:rFonts w:cs="Charis SIL"/>
          <w:i/>
          <w:iCs/>
          <w:sz w:val="20"/>
          <w:szCs w:val="20"/>
        </w:rPr>
        <w:t>burger Zeitung</w:t>
      </w:r>
      <w:r w:rsidRPr="00556D76">
        <w:rPr>
          <w:rFonts w:cs="Charis SIL"/>
          <w:sz w:val="20"/>
          <w:szCs w:val="20"/>
        </w:rPr>
        <w:t>. Pressburg: Landerer et al. 1764</w:t>
      </w:r>
      <w:r w:rsidRPr="00556D76">
        <w:rPr>
          <w:rFonts w:eastAsia="Arial Unicode MS" w:cs="Charis SIL"/>
          <w:kern w:val="2"/>
          <w:sz w:val="20"/>
          <w:szCs w:val="20"/>
        </w:rPr>
        <w:t>–</w:t>
      </w:r>
      <w:r w:rsidRPr="00556D76">
        <w:rPr>
          <w:rFonts w:cs="Charis SIL"/>
          <w:sz w:val="20"/>
          <w:szCs w:val="20"/>
        </w:rPr>
        <w:t xml:space="preserve">1929, </w:t>
      </w:r>
      <w:r w:rsidR="00E3210D" w:rsidRPr="00556D76">
        <w:rPr>
          <w:rFonts w:cs="Charis SIL"/>
          <w:sz w:val="20"/>
          <w:szCs w:val="20"/>
        </w:rPr>
        <w:br/>
      </w:r>
      <w:r w:rsidRPr="00556D76">
        <w:rPr>
          <w:rFonts w:cs="Charis SIL"/>
          <w:sz w:val="20"/>
          <w:szCs w:val="20"/>
        </w:rPr>
        <w:t>11.</w:t>
      </w:r>
      <w:r w:rsidR="00E3210D" w:rsidRPr="00556D76">
        <w:rPr>
          <w:rFonts w:cs="Charis SIL"/>
          <w:sz w:val="20"/>
          <w:szCs w:val="20"/>
        </w:rPr>
        <w:t xml:space="preserve"> </w:t>
      </w:r>
      <w:r w:rsidRPr="00556D76">
        <w:rPr>
          <w:rFonts w:cs="Charis SIL"/>
          <w:sz w:val="20"/>
          <w:szCs w:val="20"/>
        </w:rPr>
        <w:t>September 1773</w:t>
      </w:r>
    </w:p>
  </w:footnote>
  <w:footnote w:id="301">
    <w:p w14:paraId="46B8C546"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Siehe zu den Festivitäten ausführlicher Horányi, S. 87f</w:t>
      </w:r>
    </w:p>
  </w:footnote>
  <w:footnote w:id="302">
    <w:p w14:paraId="3974E400"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Beschreibung, S. 42</w:t>
      </w:r>
    </w:p>
  </w:footnote>
  <w:footnote w:id="303">
    <w:p w14:paraId="545B981C" w14:textId="222CB0D5"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r w:rsidRPr="00556D76">
        <w:rPr>
          <w:rFonts w:cs="Charis SIL"/>
          <w:i/>
          <w:iCs/>
          <w:sz w:val="20"/>
          <w:szCs w:val="20"/>
        </w:rPr>
        <w:t>Pre</w:t>
      </w:r>
      <w:r w:rsidR="0074283E" w:rsidRPr="00556D76">
        <w:rPr>
          <w:rFonts w:cs="Charis SIL"/>
          <w:i/>
          <w:iCs/>
          <w:sz w:val="20"/>
          <w:szCs w:val="20"/>
        </w:rPr>
        <w:t>ß</w:t>
      </w:r>
      <w:r w:rsidRPr="00556D76">
        <w:rPr>
          <w:rFonts w:cs="Charis SIL"/>
          <w:i/>
          <w:iCs/>
          <w:sz w:val="20"/>
          <w:szCs w:val="20"/>
        </w:rPr>
        <w:t>burger Zeitung</w:t>
      </w:r>
      <w:r w:rsidRPr="00556D76">
        <w:rPr>
          <w:rFonts w:cs="Charis SIL"/>
          <w:sz w:val="20"/>
          <w:szCs w:val="20"/>
        </w:rPr>
        <w:t>, Textstelle vom 1. Oktober 1783. Es sei noch einmal darauf hingewiesen, dass Windisch in einem Brief an Pray vom 15. Oktober 1783 darüber berichtet, in Esterháza gewesen zu sein. Die Meldung in der PZ könnte eventuell von ihm stammen.</w:t>
      </w:r>
    </w:p>
  </w:footnote>
  <w:footnote w:id="304">
    <w:p w14:paraId="58E74848"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Beschreibung, S. 43</w:t>
      </w:r>
    </w:p>
  </w:footnote>
  <w:footnote w:id="305">
    <w:p w14:paraId="3BCCD164" w14:textId="79672876"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Gottfried von Rottenstein: Lust-Reise durch Bayern, Würtemberg, Pfalz, Sachsen, Brandenburg, Österreich, Mähren, Böhmen und Ungarn in den Jahren 1784–1791. Leipzig: Schneider 1792–93. 1783 war in Berlin (!) ein Werk Rotensteins erschienen: H.G.E.v.R. Lustreise durch Österreich und Mähren nach Brünn im September. Berlin 1782 sowie ders. Reise von Wien nach Böhmen und Sachsen im May 1783. Berlin 1783. ders. Beschreibung der Insel Schütt in Ungarn. Berlin 1784. Diese Texte erschienen in der Sammlung: Johann Bernoulli: </w:t>
      </w:r>
      <w:r w:rsidRPr="00556D76">
        <w:rPr>
          <w:rFonts w:cs="Charis SIL"/>
          <w:i/>
          <w:iCs/>
          <w:sz w:val="20"/>
          <w:szCs w:val="20"/>
        </w:rPr>
        <w:t>Johann Bernoulli</w:t>
      </w:r>
      <w:r w:rsidR="00401DE8" w:rsidRPr="00556D76">
        <w:rPr>
          <w:rFonts w:cs="Charis SIL"/>
          <w:i/>
          <w:iCs/>
          <w:sz w:val="20"/>
          <w:szCs w:val="20"/>
        </w:rPr>
        <w:t>‘</w:t>
      </w:r>
      <w:r w:rsidRPr="00556D76">
        <w:rPr>
          <w:rFonts w:cs="Charis SIL"/>
          <w:i/>
          <w:iCs/>
          <w:sz w:val="20"/>
          <w:szCs w:val="20"/>
        </w:rPr>
        <w:t>s Sammlung kurzer Reisebeschreibung und andere zur Erweiterung der Länder– und Menschenkenntniß dienender Nachrichten</w:t>
      </w:r>
      <w:r w:rsidRPr="00556D76">
        <w:rPr>
          <w:rFonts w:cs="Charis SIL"/>
          <w:sz w:val="20"/>
          <w:szCs w:val="20"/>
        </w:rPr>
        <w:t>. Berlin: G.F. Richter und Buchhandlung der Gelehrten, 1781–1787, 17 Bd Siehe dazu die Studie von Éva H. Balázs: Wer war Rotenstein? In: Mitteilungen des Österreichischen Staatsarchivs. Wien: 1990, Nr. 41, S. 43–52</w:t>
      </w:r>
    </w:p>
  </w:footnote>
  <w:footnote w:id="306">
    <w:p w14:paraId="3B89BDFF"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Vorliegende Arbeit stützt sich auf die Ausgabe 1792, die eine Zusammenfassung der Reiseeindrücke Rotensteins in den vorhergehenden acht Jahren bot. Gottfried von Rottenstein: Lust-Reise durch Bayern, Würtemberg, Pfalz, Sachsen, Brandenburg, Österreich, Mähren, Böhmen und Ungarn in den Jahren 1784–1791. Leipzig: Schneider 1792–93</w:t>
      </w:r>
    </w:p>
  </w:footnote>
  <w:footnote w:id="307">
    <w:p w14:paraId="2E4AC338"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„Das edle von Trattnersche Haus, des berühmten Buchhändlers und Buchdruckers, ist 5 Stock hoch und hat 14 Fenster in einer Reihe und 2 große Thore mit Balkons. Die Ballustrade des Daches ist mit dreizehn Statuen besetzet, in deren Mitte ein doppelter Adler, unter welchem folgende Inschrift Labore et Favore. Dieses Haus trägt 30000 Gulden an Miethe ein, es soll 300 000 Gulden zu erbauen gekostet haben.“ Rotenstein, S. 138</w:t>
      </w:r>
    </w:p>
  </w:footnote>
  <w:footnote w:id="308">
    <w:p w14:paraId="052FFE2F"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„Der maroccanische Gesandte bekam 1783 für sich zum Präsent an porcellainenem Geräthen allein 6000 Fl. Werth, und für den maroccanischen Kaiser selbst folgendes Gegengeschenk: als eine grüne mit Gold gestickte Pferdeequipage; 2 schwarz sammtene mit Gold gestickte brodierte Geschirre auf eine Pirutsche, das Pirutsch ist mit feinem grünen Tuch und goldenen Dressen sehr reich verbrämt, 2 Schimmel zu Zugpferden; einen Rappen, und einen Falben, als Reitpferd; für 6000 Fl.schönes Porcellan, und eine Silbervergoldete Spieluhr.“ Rotenstein, S. 206f</w:t>
      </w:r>
    </w:p>
  </w:footnote>
  <w:footnote w:id="309">
    <w:p w14:paraId="1D370574"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Rotenstein, S. 92</w:t>
      </w:r>
    </w:p>
  </w:footnote>
  <w:footnote w:id="310">
    <w:p w14:paraId="62D8E557" w14:textId="34C29418"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Bernoull</w:t>
      </w:r>
      <w:r w:rsidR="0021708D" w:rsidRPr="00556D76">
        <w:rPr>
          <w:rFonts w:cs="Charis SIL"/>
          <w:sz w:val="20"/>
          <w:szCs w:val="20"/>
        </w:rPr>
        <w:t>i</w:t>
      </w:r>
      <w:r w:rsidRPr="00556D76">
        <w:rPr>
          <w:rFonts w:cs="Charis SIL"/>
          <w:sz w:val="20"/>
          <w:szCs w:val="20"/>
        </w:rPr>
        <w:t>, Band X, S. 186</w:t>
      </w:r>
    </w:p>
  </w:footnote>
  <w:footnote w:id="311">
    <w:p w14:paraId="35E32F45"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H. Balázs, Wer war Rotenstein?, S. 52</w:t>
      </w:r>
    </w:p>
  </w:footnote>
  <w:footnote w:id="312">
    <w:p w14:paraId="67993CC9"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Seidler, Briefwechsel, Windisch an Cornides, 30.03.1787</w:t>
      </w:r>
    </w:p>
  </w:footnote>
  <w:footnote w:id="313">
    <w:p w14:paraId="7CBDD93C"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r w:rsidRPr="00556D76">
        <w:rPr>
          <w:rFonts w:eastAsia="Georgia" w:cs="Charis SIL"/>
          <w:sz w:val="20"/>
          <w:szCs w:val="20"/>
        </w:rPr>
        <w:t>Johann Matthias Korabinsky, 1740 in Eperjes geboren, 1811 in Pressburg verstorben. Er war vor allem an Statistik und Topographie interessiert, von Beruf Lehrer und Autor zahlreicher Publikationen über das Königreich Ungarn.</w:t>
      </w:r>
    </w:p>
  </w:footnote>
  <w:footnote w:id="314">
    <w:p w14:paraId="1A43DA6B"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Quelle: eigene Aufnahme, AS</w:t>
      </w:r>
    </w:p>
  </w:footnote>
  <w:footnote w:id="315">
    <w:p w14:paraId="381F0C05"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r w:rsidRPr="00556D76">
        <w:rPr>
          <w:rFonts w:eastAsia="Georgia" w:cs="Charis SIL"/>
          <w:sz w:val="20"/>
          <w:szCs w:val="20"/>
        </w:rPr>
        <w:t>Korabinsky, Lexikon, S.166</w:t>
      </w:r>
    </w:p>
  </w:footnote>
  <w:footnote w:id="316">
    <w:p w14:paraId="1A1CEACB"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K</w:t>
      </w:r>
      <w:r w:rsidRPr="00556D76">
        <w:rPr>
          <w:rFonts w:eastAsia="Georgia" w:cs="Charis SIL"/>
          <w:sz w:val="20"/>
          <w:szCs w:val="20"/>
        </w:rPr>
        <w:t>orabinsky, Lexikon, S. 170</w:t>
      </w:r>
    </w:p>
  </w:footnote>
  <w:footnote w:id="317">
    <w:p w14:paraId="62683274" w14:textId="77777777"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r w:rsidRPr="00556D76">
        <w:rPr>
          <w:rFonts w:eastAsia="Georgia" w:cs="Charis SIL"/>
          <w:sz w:val="20"/>
          <w:szCs w:val="20"/>
        </w:rPr>
        <w:t>Korabinsky, Lexikon, S. 172; auffallend ist gerade bei der Beschreibung der Feste die inhaltliche Nähe zu Windischs Text, der 1784, also drei Jahre vor dem Lexikon entstand. Er diente Korabinsky offensichtlich als Quelle.</w:t>
      </w:r>
    </w:p>
  </w:footnote>
  <w:footnote w:id="318">
    <w:p w14:paraId="52647BA2" w14:textId="565BC51B"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w:t>
      </w:r>
      <w:r w:rsidRPr="00556D76">
        <w:rPr>
          <w:rFonts w:cs="Charis SIL"/>
          <w:i/>
          <w:iCs/>
          <w:sz w:val="20"/>
          <w:szCs w:val="20"/>
        </w:rPr>
        <w:t>Pre</w:t>
      </w:r>
      <w:r w:rsidR="0074283E" w:rsidRPr="00556D76">
        <w:rPr>
          <w:rFonts w:cs="Charis SIL"/>
          <w:i/>
          <w:iCs/>
          <w:sz w:val="20"/>
          <w:szCs w:val="20"/>
        </w:rPr>
        <w:t>ß</w:t>
      </w:r>
      <w:r w:rsidRPr="00556D76">
        <w:rPr>
          <w:rFonts w:cs="Charis SIL"/>
          <w:i/>
          <w:iCs/>
          <w:sz w:val="20"/>
          <w:szCs w:val="20"/>
        </w:rPr>
        <w:t>burger Zeitung</w:t>
      </w:r>
      <w:r w:rsidRPr="00556D76">
        <w:rPr>
          <w:rFonts w:cs="Charis SIL"/>
          <w:sz w:val="20"/>
          <w:szCs w:val="20"/>
        </w:rPr>
        <w:t>, 2. Oktober 1790</w:t>
      </w:r>
    </w:p>
  </w:footnote>
  <w:footnote w:id="319">
    <w:p w14:paraId="73E7DA7A" w14:textId="42FAABF1" w:rsidR="0015664D" w:rsidRPr="00556D76" w:rsidRDefault="0015664D"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Text Abbate Castis, Musik Joseph Weigel. Weitere Literatur zum Schloss Esterháza: Dávid, Ferenc: Eszterháza belső terei. In: Ars Hungarica, 2000/1, S. 73</w:t>
      </w:r>
      <w:r w:rsidR="00156E29" w:rsidRPr="00556D76">
        <w:rPr>
          <w:rFonts w:cs="Charis SIL"/>
          <w:sz w:val="20"/>
          <w:szCs w:val="20"/>
        </w:rPr>
        <w:t>–</w:t>
      </w:r>
      <w:r w:rsidRPr="00556D76">
        <w:rPr>
          <w:rFonts w:cs="Charis SIL"/>
          <w:sz w:val="20"/>
          <w:szCs w:val="20"/>
        </w:rPr>
        <w:t>97; ders.: A fertődi Esterházy kastély történeti helységkönyve: funkciók és falburkolatok. I. Az oldalszárnyak és a patkószárnyak. Ars Hungarica, 2002/2, S. 237</w:t>
      </w:r>
      <w:r w:rsidRPr="00556D76">
        <w:rPr>
          <w:rFonts w:eastAsia="Arial Unicode MS" w:cs="Charis SIL"/>
          <w:kern w:val="2"/>
          <w:sz w:val="20"/>
          <w:szCs w:val="20"/>
        </w:rPr>
        <w:t>–</w:t>
      </w:r>
      <w:r w:rsidRPr="00556D76">
        <w:rPr>
          <w:rFonts w:cs="Charis SIL"/>
          <w:sz w:val="20"/>
          <w:szCs w:val="20"/>
        </w:rPr>
        <w:t>320</w:t>
      </w:r>
    </w:p>
  </w:footnote>
  <w:footnote w:id="320">
    <w:p w14:paraId="20B5785A" w14:textId="5C64EBBE" w:rsidR="0015664D" w:rsidRPr="00556D76" w:rsidRDefault="0015664D" w:rsidP="00125980">
      <w:pPr>
        <w:spacing w:line="240" w:lineRule="auto"/>
        <w:jc w:val="left"/>
        <w:rPr>
          <w:rFonts w:cs="Charis SIL"/>
          <w:sz w:val="20"/>
          <w:szCs w:val="20"/>
          <w:lang w:val="en-IE"/>
        </w:rPr>
      </w:pPr>
      <w:r w:rsidRPr="00556D76">
        <w:rPr>
          <w:rFonts w:cs="Charis SIL"/>
          <w:sz w:val="20"/>
          <w:szCs w:val="20"/>
          <w:vertAlign w:val="superscript"/>
        </w:rPr>
        <w:footnoteRef/>
      </w:r>
      <w:r w:rsidRPr="00556D76">
        <w:rPr>
          <w:rFonts w:cs="Charis SIL"/>
          <w:sz w:val="20"/>
          <w:szCs w:val="20"/>
        </w:rPr>
        <w:t xml:space="preserve"> </w:t>
      </w:r>
      <w:r w:rsidRPr="00556D76">
        <w:rPr>
          <w:rFonts w:eastAsia="Georgia" w:cs="Charis SIL"/>
          <w:sz w:val="20"/>
          <w:szCs w:val="20"/>
          <w:u w:color="000000"/>
          <w:lang w:eastAsia="de-DE"/>
        </w:rPr>
        <w:t xml:space="preserve">Quelle: </w:t>
      </w:r>
      <w:hyperlink r:id="rId57">
        <w:r w:rsidRPr="00556D76">
          <w:rPr>
            <w:rFonts w:eastAsia="Georgia" w:cs="Charis SIL"/>
            <w:sz w:val="20"/>
            <w:szCs w:val="20"/>
            <w:u w:val="single" w:color="000000"/>
            <w:lang w:eastAsia="de-DE"/>
          </w:rPr>
          <w:t>commons.wikimedia.org/wiki/</w:t>
        </w:r>
        <w:r w:rsidR="002A3BC9" w:rsidRPr="00556D76">
          <w:rPr>
            <w:rFonts w:eastAsia="Georgia" w:cs="Charis SIL"/>
            <w:sz w:val="20"/>
            <w:szCs w:val="20"/>
            <w:u w:val="single" w:color="000000"/>
            <w:lang w:eastAsia="de-DE"/>
          </w:rPr>
          <w:br/>
        </w:r>
        <w:r w:rsidRPr="00556D76">
          <w:rPr>
            <w:rFonts w:eastAsia="Georgia" w:cs="Charis SIL"/>
            <w:sz w:val="20"/>
            <w:szCs w:val="20"/>
            <w:u w:val="single" w:color="000000"/>
            <w:lang w:eastAsia="de-DE"/>
          </w:rPr>
          <w:t>File:The_Esterházy_palace_at_Fertőd_1791.jpg</w:t>
        </w:r>
      </w:hyperlink>
    </w:p>
  </w:footnote>
  <w:footnote w:id="321">
    <w:p w14:paraId="034AFAA8" w14:textId="567282A8" w:rsidR="00207E56" w:rsidRPr="00556D76" w:rsidRDefault="00207E56"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Ein solcher Bezirksvorsteher muss ein juristisches Examen absolviert haben und vom schwedischen Gerichtshof anerkannt sein, d.</w:t>
      </w:r>
      <w:r w:rsidR="00394635" w:rsidRPr="00556D76">
        <w:rPr>
          <w:rFonts w:cs="Charis SIL"/>
          <w:sz w:val="20"/>
          <w:szCs w:val="20"/>
        </w:rPr>
        <w:t xml:space="preserve"> </w:t>
      </w:r>
      <w:r w:rsidRPr="00556D76">
        <w:rPr>
          <w:rFonts w:cs="Charis SIL"/>
          <w:sz w:val="20"/>
          <w:szCs w:val="20"/>
        </w:rPr>
        <w:t>h. Peggs Chef zählt unter den höheren Beamten zur Elite und flößt Respekt ein.</w:t>
      </w:r>
    </w:p>
  </w:footnote>
  <w:footnote w:id="322">
    <w:p w14:paraId="6E7EB8B9" w14:textId="77777777" w:rsidR="00207E56" w:rsidRPr="00556D76" w:rsidRDefault="00207E56"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Knutson sieht seit der letzten umfassenden Werkbiographie von Isaakson und Linder 2003 einen beträchtlichen Aktualisierungsbedarf in der Forschung zu Wägner.</w:t>
      </w:r>
    </w:p>
  </w:footnote>
  <w:footnote w:id="323">
    <w:p w14:paraId="0E818C2C" w14:textId="1E71AE0F" w:rsidR="00207E56" w:rsidRPr="00556D76" w:rsidRDefault="00207E56"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Die wörtliche Übersetzung lautet „Gesellschaftsmütterlichkeit“. Zu dieser gesamtgesellschaftlichen Verantwortung gehört auch eine rassenbiologische Verpflichtung zur Reinheit, damals als Veredlung der Menschheit umschrieben </w:t>
      </w:r>
      <w:r w:rsidR="007E5EA3" w:rsidRPr="00556D76">
        <w:rPr>
          <w:rFonts w:cs="Charis SIL"/>
          <w:sz w:val="20"/>
          <w:szCs w:val="20"/>
        </w:rPr>
        <w:br/>
      </w:r>
      <w:r w:rsidRPr="00556D76">
        <w:rPr>
          <w:rFonts w:cs="Charis SIL"/>
          <w:sz w:val="20"/>
          <w:szCs w:val="20"/>
        </w:rPr>
        <w:t>(siehe Vikström 2021).</w:t>
      </w:r>
    </w:p>
  </w:footnote>
  <w:footnote w:id="324">
    <w:p w14:paraId="1AEB1AE0" w14:textId="7B963EFF" w:rsidR="00207E56" w:rsidRPr="00556D76" w:rsidRDefault="00207E56" w:rsidP="0099245C">
      <w:pPr>
        <w:spacing w:line="240" w:lineRule="auto"/>
        <w:rPr>
          <w:rFonts w:cs="Charis SIL"/>
          <w:sz w:val="20"/>
          <w:szCs w:val="20"/>
        </w:rPr>
      </w:pPr>
      <w:r w:rsidRPr="00556D76">
        <w:rPr>
          <w:rFonts w:cs="Charis SIL"/>
          <w:sz w:val="20"/>
          <w:szCs w:val="20"/>
          <w:vertAlign w:val="superscript"/>
        </w:rPr>
        <w:footnoteRef/>
      </w:r>
      <w:r w:rsidRPr="00556D76">
        <w:rPr>
          <w:rFonts w:cs="Charis SIL"/>
          <w:sz w:val="20"/>
          <w:szCs w:val="20"/>
        </w:rPr>
        <w:t xml:space="preserve"> In diesem Kritikpunkt sind Wägner und Bergman erstaunlich konform, Knutson weist darauf hin, dass beide 1917 in eine sozialistische Vereinigung unter der Leitung von Ture Nerman aufgenommen worden waren (vgl. Knutson 2020: 126</w:t>
      </w:r>
      <w:r w:rsidR="00156E29" w:rsidRPr="00556D76">
        <w:rPr>
          <w:rFonts w:cs="Charis SIL"/>
          <w:sz w:val="20"/>
          <w:szCs w:val="20"/>
        </w:rPr>
        <w:t>–</w:t>
      </w:r>
      <w:r w:rsidRPr="00556D76">
        <w:rPr>
          <w:rFonts w:cs="Charis SIL"/>
          <w:sz w:val="20"/>
          <w:szCs w:val="20"/>
        </w:rPr>
        <w:t>127). Beide verbindet eine antiautoritäre Grundeinstellung.</w:t>
      </w:r>
    </w:p>
  </w:footnote>
  <w:footnote w:id="325">
    <w:p w14:paraId="4872C144" w14:textId="3092CB63" w:rsidR="00207E56" w:rsidRPr="00556D76" w:rsidRDefault="00207E56" w:rsidP="007E5EA3">
      <w:pPr>
        <w:spacing w:line="240" w:lineRule="auto"/>
        <w:jc w:val="left"/>
        <w:rPr>
          <w:rFonts w:cs="Charis SIL"/>
          <w:sz w:val="20"/>
          <w:szCs w:val="20"/>
        </w:rPr>
      </w:pPr>
      <w:r w:rsidRPr="00556D76">
        <w:rPr>
          <w:rFonts w:cs="Charis SIL"/>
          <w:sz w:val="20"/>
          <w:szCs w:val="20"/>
          <w:vertAlign w:val="superscript"/>
        </w:rPr>
        <w:footnoteRef/>
      </w:r>
      <w:r w:rsidR="00151C8A" w:rsidRPr="00556D76">
        <w:rPr>
          <w:rFonts w:cs="Charis SIL"/>
          <w:sz w:val="20"/>
          <w:szCs w:val="20"/>
        </w:rPr>
        <w:t xml:space="preserve"> </w:t>
      </w:r>
      <w:hyperlink r:id="rId58" w:history="1">
        <w:r w:rsidR="007E5EA3" w:rsidRPr="00556D76">
          <w:rPr>
            <w:rStyle w:val="Hyperlink"/>
            <w:rFonts w:cs="Charis SIL"/>
            <w:color w:val="auto"/>
            <w:sz w:val="20"/>
            <w:szCs w:val="20"/>
          </w:rPr>
          <w:t>www.berlinale.de/de/archiv/jahresarchive/2007/</w:t>
        </w:r>
        <w:r w:rsidR="007E5EA3" w:rsidRPr="00556D76">
          <w:rPr>
            <w:rStyle w:val="Hyperlink"/>
            <w:rFonts w:cs="Charis SIL"/>
            <w:color w:val="auto"/>
            <w:sz w:val="20"/>
            <w:szCs w:val="20"/>
          </w:rPr>
          <w:br/>
          <w:t>08_pressemitteilungen_2007/08_pressemitteilungen_2007-detail_3116.html</w:t>
        </w:r>
      </w:hyperlink>
    </w:p>
  </w:footnote>
  <w:footnote w:id="326">
    <w:p w14:paraId="756D28E3" w14:textId="600DCF5E" w:rsidR="00207E56" w:rsidRPr="00556D76" w:rsidRDefault="00207E56" w:rsidP="0099245C">
      <w:pPr>
        <w:spacing w:line="240" w:lineRule="auto"/>
        <w:rPr>
          <w:rFonts w:cs="Charis SIL"/>
          <w:sz w:val="20"/>
          <w:szCs w:val="20"/>
        </w:rPr>
      </w:pPr>
      <w:r w:rsidRPr="00556D76">
        <w:rPr>
          <w:rFonts w:cs="Charis SIL"/>
          <w:sz w:val="20"/>
          <w:szCs w:val="20"/>
          <w:vertAlign w:val="superscript"/>
        </w:rPr>
        <w:footnoteRef/>
      </w:r>
      <w:bookmarkStart w:id="147" w:name="_Hlk104306691"/>
      <w:r w:rsidRPr="00556D76">
        <w:rPr>
          <w:rFonts w:cs="Charis SIL"/>
          <w:sz w:val="20"/>
          <w:szCs w:val="20"/>
        </w:rPr>
        <w:t xml:space="preserve"> </w:t>
      </w:r>
      <w:bookmarkEnd w:id="147"/>
      <w:r w:rsidR="00BB37BC" w:rsidRPr="00556D76">
        <w:rPr>
          <w:rFonts w:cs="Charis SIL"/>
          <w:sz w:val="20"/>
          <w:szCs w:val="20"/>
          <w:u w:val="single"/>
        </w:rPr>
        <w:t>biblioteket.stockholm.se/artikel/stockholm-läser</w:t>
      </w:r>
    </w:p>
  </w:footnote>
  <w:footnote w:id="327">
    <w:p w14:paraId="77C68ED6" w14:textId="77777777" w:rsidR="00207E56" w:rsidRPr="003B76FA" w:rsidRDefault="00207E56" w:rsidP="0099245C">
      <w:pPr>
        <w:spacing w:line="240" w:lineRule="auto"/>
        <w:rPr>
          <w:rFonts w:cs="Charis SIL"/>
          <w:sz w:val="20"/>
          <w:szCs w:val="20"/>
          <w:lang w:val="en-IE"/>
        </w:rPr>
      </w:pPr>
      <w:r w:rsidRPr="00556D76">
        <w:rPr>
          <w:rFonts w:cs="Charis SIL"/>
          <w:sz w:val="20"/>
          <w:szCs w:val="20"/>
          <w:vertAlign w:val="superscript"/>
        </w:rPr>
        <w:footnoteRef/>
      </w:r>
      <w:r w:rsidRPr="00556D76">
        <w:rPr>
          <w:rFonts w:cs="Charis SIL"/>
          <w:sz w:val="20"/>
          <w:szCs w:val="20"/>
        </w:rPr>
        <w:t xml:space="preserve"> </w:t>
      </w:r>
      <w:hyperlink r:id="rId59" w:history="1">
        <w:r w:rsidRPr="00556D76">
          <w:rPr>
            <w:rFonts w:cs="Charis SIL"/>
            <w:sz w:val="20"/>
            <w:szCs w:val="20"/>
            <w:u w:val="single"/>
          </w:rPr>
          <w:t>www2.ub.gu.se/kvinn/portaler/kvinnotidskrifter/biografier/wagner.xml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4540C" w14:textId="77777777" w:rsidR="00A96E85" w:rsidRPr="001F6F28" w:rsidRDefault="00A96E85" w:rsidP="00226DFB">
    <w:pPr>
      <w:tabs>
        <w:tab w:val="right" w:pos="6915"/>
      </w:tabs>
      <w:spacing w:after="27"/>
      <w:jc w:val="left"/>
    </w:pPr>
    <w:r w:rsidRPr="001F6F28">
      <w:rPr>
        <w:sz w:val="20"/>
      </w:rPr>
      <w:tab/>
    </w:r>
  </w:p>
  <w:p w14:paraId="51115297" w14:textId="77777777" w:rsidR="000121EA" w:rsidRDefault="000121EA">
    <w:pPr>
      <w:jc w:val="left"/>
    </w:pPr>
  </w:p>
  <w:p w14:paraId="2FF93F1B" w14:textId="4088898A" w:rsidR="00A96E85" w:rsidRPr="001F6F28" w:rsidRDefault="00A96E85">
    <w:pP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B1644" w14:textId="17A0EFE8" w:rsidR="00A96E85" w:rsidRPr="001F6F28" w:rsidRDefault="00A96E85" w:rsidP="006E1E81">
    <w:pPr>
      <w:tabs>
        <w:tab w:val="right" w:pos="6915"/>
      </w:tabs>
      <w:spacing w:after="27" w:line="240" w:lineRule="auto"/>
      <w:jc w:val="left"/>
    </w:pPr>
    <w:r w:rsidRPr="001F6F28">
      <w:rPr>
        <w:sz w:val="24"/>
      </w:rPr>
      <w:fldChar w:fldCharType="begin"/>
    </w:r>
    <w:r w:rsidRPr="001F6F28">
      <w:instrText xml:space="preserve"> PAGE   \* MERGEFORMAT </w:instrText>
    </w:r>
    <w:r w:rsidRPr="001F6F28">
      <w:rPr>
        <w:sz w:val="24"/>
      </w:rPr>
      <w:fldChar w:fldCharType="separate"/>
    </w:r>
    <w:r w:rsidRPr="001F6F28">
      <w:rPr>
        <w:sz w:val="20"/>
      </w:rPr>
      <w:t>10</w:t>
    </w:r>
    <w:r w:rsidRPr="001F6F28">
      <w:rPr>
        <w:sz w:val="20"/>
      </w:rPr>
      <w:fldChar w:fldCharType="end"/>
    </w:r>
    <w:r w:rsidRPr="001F6F28">
      <w:rPr>
        <w:sz w:val="20"/>
      </w:rPr>
      <w:tab/>
    </w:r>
    <w:r>
      <w:rPr>
        <w:sz w:val="20"/>
      </w:rPr>
      <w:fldChar w:fldCharType="begin"/>
    </w:r>
    <w:r>
      <w:rPr>
        <w:sz w:val="20"/>
      </w:rPr>
      <w:instrText xml:space="preserve"> STYLEREF  Authors  \* MERGEFORMAT </w:instrText>
    </w:r>
    <w:r>
      <w:rPr>
        <w:sz w:val="20"/>
      </w:rPr>
      <w:fldChar w:fldCharType="separate"/>
    </w:r>
    <w:r w:rsidR="00507346">
      <w:rPr>
        <w:noProof/>
        <w:sz w:val="20"/>
      </w:rPr>
      <w:t>Jeremy Bradley</w:t>
    </w:r>
    <w:r>
      <w:rPr>
        <w:sz w:val="20"/>
      </w:rPr>
      <w:fldChar w:fldCharType="end"/>
    </w:r>
  </w:p>
  <w:p w14:paraId="3C720EE0" w14:textId="65D8D6BE" w:rsidR="00A96E85" w:rsidRPr="001F6F28" w:rsidRDefault="00A96E85" w:rsidP="006E1E81">
    <w:pPr>
      <w:spacing w:line="240" w:lineRule="auto"/>
      <w:jc w:val="left"/>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52B65" w14:textId="77777777" w:rsidR="00A96E85" w:rsidRPr="005D457B" w:rsidRDefault="00A96E85" w:rsidP="005D457B">
    <w:pPr>
      <w:tabs>
        <w:tab w:val="right" w:pos="6915"/>
      </w:tabs>
      <w:spacing w:line="240" w:lineRule="auto"/>
      <w:jc w:val="left"/>
      <w:rPr>
        <w:sz w:val="20"/>
        <w:szCs w:val="20"/>
      </w:rPr>
    </w:pPr>
    <w:r w:rsidRPr="005D457B">
      <w:rPr>
        <w:sz w:val="20"/>
        <w:szCs w:val="20"/>
      </w:rPr>
      <w:t>Kieliopillistutaan sitä vielä meilläkin!</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59DEA9FE" w14:textId="3F52EC6C" w:rsidR="00A96E85" w:rsidRPr="005D457B" w:rsidRDefault="00A96E85" w:rsidP="005D457B">
    <w:pPr>
      <w:spacing w:line="240" w:lineRule="auto"/>
      <w:jc w:val="left"/>
      <w:rPr>
        <w:sz w:val="20"/>
        <w:szCs w:val="20"/>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8FC65" w14:textId="49491010" w:rsidR="00A96E85" w:rsidRPr="005D457B" w:rsidRDefault="00A96E85" w:rsidP="005D457B">
    <w:pPr>
      <w:spacing w:line="240" w:lineRule="auto"/>
      <w:jc w:val="left"/>
      <w:rPr>
        <w:sz w:val="20"/>
        <w:szCs w:val="20"/>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242DA" w14:textId="56B37319" w:rsidR="00A96E85" w:rsidRPr="001F6F28" w:rsidRDefault="00A96E85" w:rsidP="00226DFB">
    <w:pPr>
      <w:tabs>
        <w:tab w:val="right" w:pos="6915"/>
      </w:tabs>
      <w:spacing w:after="27"/>
      <w:jc w:val="left"/>
    </w:pPr>
    <w:r w:rsidRPr="001F6F28">
      <w:rPr>
        <w:sz w:val="24"/>
      </w:rPr>
      <w:fldChar w:fldCharType="begin"/>
    </w:r>
    <w:r w:rsidRPr="001F6F28">
      <w:instrText xml:space="preserve"> PAGE   \* MERGEFORMAT </w:instrText>
    </w:r>
    <w:r w:rsidRPr="001F6F28">
      <w:rPr>
        <w:sz w:val="24"/>
      </w:rPr>
      <w:fldChar w:fldCharType="separate"/>
    </w:r>
    <w:r w:rsidRPr="001F6F28">
      <w:rPr>
        <w:sz w:val="20"/>
      </w:rPr>
      <w:t>10</w:t>
    </w:r>
    <w:r w:rsidRPr="001F6F28">
      <w:rPr>
        <w:sz w:val="20"/>
      </w:rPr>
      <w:fldChar w:fldCharType="end"/>
    </w:r>
    <w:r w:rsidRPr="001F6F28">
      <w:rPr>
        <w:sz w:val="20"/>
      </w:rPr>
      <w:t xml:space="preserve"> </w:t>
    </w:r>
    <w:r w:rsidRPr="001F6F28">
      <w:rPr>
        <w:sz w:val="20"/>
      </w:rPr>
      <w:tab/>
    </w:r>
    <w:r>
      <w:rPr>
        <w:sz w:val="20"/>
      </w:rPr>
      <w:fldChar w:fldCharType="begin"/>
    </w:r>
    <w:r>
      <w:rPr>
        <w:sz w:val="20"/>
      </w:rPr>
      <w:instrText xml:space="preserve"> STYLEREF  Authors  \* MERGEFORMAT </w:instrText>
    </w:r>
    <w:r>
      <w:rPr>
        <w:sz w:val="20"/>
      </w:rPr>
      <w:fldChar w:fldCharType="separate"/>
    </w:r>
    <w:r w:rsidR="00507346">
      <w:rPr>
        <w:noProof/>
        <w:sz w:val="20"/>
      </w:rPr>
      <w:t>Jussi Ylikoski</w:t>
    </w:r>
    <w:r>
      <w:rPr>
        <w:sz w:val="20"/>
      </w:rPr>
      <w:fldChar w:fldCharType="end"/>
    </w:r>
  </w:p>
  <w:p w14:paraId="0ED521F2" w14:textId="77777777" w:rsidR="000121EA" w:rsidRDefault="000121EA">
    <w:pPr>
      <w:jc w:val="left"/>
    </w:pPr>
  </w:p>
  <w:p w14:paraId="493B9656" w14:textId="20AFAEE4" w:rsidR="00A96E85" w:rsidRPr="001F6F28" w:rsidRDefault="00A96E85">
    <w:pPr>
      <w:jc w:val="left"/>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693F0" w14:textId="77777777" w:rsidR="00A96E85" w:rsidRPr="001F6F28" w:rsidRDefault="00A96E85" w:rsidP="00226DFB">
    <w:pPr>
      <w:tabs>
        <w:tab w:val="right" w:pos="6915"/>
      </w:tabs>
      <w:jc w:val="left"/>
    </w:pPr>
    <w:r>
      <w:rPr>
        <w:sz w:val="20"/>
      </w:rPr>
      <w:t>[Bibliographie]</w:t>
    </w:r>
    <w:r w:rsidRPr="001F6F28">
      <w:rPr>
        <w:sz w:val="20"/>
      </w:rPr>
      <w:tab/>
    </w:r>
    <w:r w:rsidRPr="001F6F28">
      <w:rPr>
        <w:sz w:val="24"/>
      </w:rPr>
      <w:fldChar w:fldCharType="begin"/>
    </w:r>
    <w:r w:rsidRPr="001F6F28">
      <w:instrText xml:space="preserve"> PAGE   \* MERGEFORMAT </w:instrText>
    </w:r>
    <w:r w:rsidRPr="001F6F28">
      <w:rPr>
        <w:sz w:val="24"/>
      </w:rPr>
      <w:fldChar w:fldCharType="separate"/>
    </w:r>
    <w:r w:rsidRPr="001F6F28">
      <w:rPr>
        <w:sz w:val="20"/>
      </w:rPr>
      <w:t>7</w:t>
    </w:r>
    <w:r w:rsidRPr="001F6F28">
      <w:rPr>
        <w:sz w:val="20"/>
      </w:rPr>
      <w:fldChar w:fldCharType="end"/>
    </w:r>
  </w:p>
  <w:p w14:paraId="5D605C37" w14:textId="77777777" w:rsidR="000121EA" w:rsidRDefault="000121EA">
    <w:pPr>
      <w:jc w:val="left"/>
    </w:pPr>
  </w:p>
  <w:p w14:paraId="61B62DD6" w14:textId="2183EE79" w:rsidR="00A96E85" w:rsidRPr="001F6F28" w:rsidRDefault="00A96E85">
    <w:pPr>
      <w:jc w:val="left"/>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C3029" w14:textId="54BE9607" w:rsidR="00A96E85" w:rsidRPr="001F6F28" w:rsidRDefault="00A96E85">
    <w:pPr>
      <w:jc w:val="left"/>
      <w:rPr>
        <w:sz w:val="20"/>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ACC723" w14:textId="707127F8" w:rsidR="00D418BA" w:rsidRPr="005D457B" w:rsidRDefault="00D418BA" w:rsidP="00226DFB">
    <w:pPr>
      <w:tabs>
        <w:tab w:val="right" w:pos="6915"/>
      </w:tabs>
      <w:spacing w:after="27"/>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Domokos Johanna</w:t>
    </w:r>
    <w:r w:rsidRPr="005D457B">
      <w:rPr>
        <w:sz w:val="20"/>
        <w:szCs w:val="20"/>
      </w:rPr>
      <w:fldChar w:fldCharType="end"/>
    </w:r>
  </w:p>
  <w:p w14:paraId="776075FC" w14:textId="27409A31" w:rsidR="00D418BA" w:rsidRPr="005D457B" w:rsidRDefault="00D418BA">
    <w:pPr>
      <w:jc w:val="left"/>
      <w:rPr>
        <w:sz w:val="20"/>
        <w:szCs w:val="20"/>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561AC2" w14:textId="73D25858" w:rsidR="00D418BA" w:rsidRPr="005D457B" w:rsidRDefault="00B3200B" w:rsidP="005D457B">
    <w:pPr>
      <w:tabs>
        <w:tab w:val="right" w:pos="6915"/>
      </w:tabs>
      <w:spacing w:line="240" w:lineRule="auto"/>
      <w:jc w:val="left"/>
      <w:rPr>
        <w:sz w:val="20"/>
        <w:szCs w:val="20"/>
      </w:rPr>
    </w:pPr>
    <w:r w:rsidRPr="005D457B">
      <w:rPr>
        <w:sz w:val="20"/>
        <w:szCs w:val="20"/>
      </w:rPr>
      <w:t>P. A. Böckstiegel expresszionista festő eltűnt számi családi festményéről</w:t>
    </w:r>
    <w:r w:rsidR="00D418BA" w:rsidRPr="005D457B">
      <w:rPr>
        <w:sz w:val="20"/>
        <w:szCs w:val="20"/>
      </w:rPr>
      <w:tab/>
    </w:r>
    <w:r w:rsidR="00D418BA" w:rsidRPr="005D457B">
      <w:rPr>
        <w:sz w:val="20"/>
        <w:szCs w:val="20"/>
      </w:rPr>
      <w:fldChar w:fldCharType="begin"/>
    </w:r>
    <w:r w:rsidR="00D418BA" w:rsidRPr="005D457B">
      <w:rPr>
        <w:sz w:val="20"/>
        <w:szCs w:val="20"/>
      </w:rPr>
      <w:instrText xml:space="preserve"> PAGE   \* MERGEFORMAT </w:instrText>
    </w:r>
    <w:r w:rsidR="00D418BA" w:rsidRPr="005D457B">
      <w:rPr>
        <w:sz w:val="20"/>
        <w:szCs w:val="20"/>
      </w:rPr>
      <w:fldChar w:fldCharType="separate"/>
    </w:r>
    <w:r w:rsidR="00D418BA" w:rsidRPr="005D457B">
      <w:rPr>
        <w:sz w:val="20"/>
        <w:szCs w:val="20"/>
      </w:rPr>
      <w:t>7</w:t>
    </w:r>
    <w:r w:rsidR="00D418BA" w:rsidRPr="005D457B">
      <w:rPr>
        <w:sz w:val="20"/>
        <w:szCs w:val="20"/>
      </w:rPr>
      <w:fldChar w:fldCharType="end"/>
    </w:r>
  </w:p>
  <w:p w14:paraId="424D5865" w14:textId="54D3D9CF" w:rsidR="00D418BA" w:rsidRPr="005D457B" w:rsidRDefault="00D418BA" w:rsidP="005D457B">
    <w:pPr>
      <w:spacing w:line="240" w:lineRule="auto"/>
      <w:jc w:val="left"/>
      <w:rPr>
        <w:sz w:val="20"/>
        <w:szCs w:val="20"/>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CC3BA" w14:textId="77777777" w:rsidR="000121EA" w:rsidRDefault="00D418BA" w:rsidP="005D457B">
    <w:pPr>
      <w:tabs>
        <w:tab w:val="right" w:pos="6915"/>
      </w:tabs>
      <w:spacing w:after="27" w:line="240" w:lineRule="auto"/>
      <w:jc w:val="left"/>
      <w:rPr>
        <w:sz w:val="20"/>
      </w:rPr>
    </w:pPr>
    <w:r w:rsidRPr="001F6F28">
      <w:rPr>
        <w:sz w:val="20"/>
      </w:rPr>
      <w:tab/>
    </w:r>
  </w:p>
  <w:p w14:paraId="17959B2B" w14:textId="665AAD07" w:rsidR="00D418BA" w:rsidRPr="001F6F28" w:rsidRDefault="00D418BA" w:rsidP="005D457B">
    <w:pPr>
      <w:spacing w:line="240" w:lineRule="auto"/>
      <w:jc w:val="left"/>
      <w:rPr>
        <w:sz w:val="20"/>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98125" w14:textId="24B77A7D" w:rsidR="00597915" w:rsidRPr="005D457B" w:rsidRDefault="00597915" w:rsidP="00226DFB">
    <w:pPr>
      <w:tabs>
        <w:tab w:val="right" w:pos="6915"/>
      </w:tabs>
      <w:spacing w:after="27"/>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Erika Erlinghagen</w:t>
    </w:r>
    <w:r w:rsidRPr="005D457B">
      <w:rPr>
        <w:sz w:val="20"/>
        <w:szCs w:val="20"/>
      </w:rPr>
      <w:fldChar w:fldCharType="end"/>
    </w:r>
  </w:p>
  <w:p w14:paraId="25FC10E8" w14:textId="61DD9CC5" w:rsidR="00597915" w:rsidRPr="005D457B" w:rsidRDefault="00597915">
    <w:pPr>
      <w:jc w:val="left"/>
      <w:rPr>
        <w:sz w:val="20"/>
        <w:szCs w:val="20"/>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92975" w14:textId="77777777" w:rsidR="00597915" w:rsidRPr="005D457B" w:rsidRDefault="00597915" w:rsidP="00226DFB">
    <w:pPr>
      <w:tabs>
        <w:tab w:val="right" w:pos="6915"/>
      </w:tabs>
      <w:jc w:val="left"/>
      <w:rPr>
        <w:sz w:val="20"/>
        <w:szCs w:val="20"/>
      </w:rPr>
    </w:pPr>
    <w:r w:rsidRPr="005D457B">
      <w:rPr>
        <w:sz w:val="20"/>
        <w:szCs w:val="20"/>
      </w:rPr>
      <w:t>Views on the past in Hungarian-German literature of the 20</w:t>
    </w:r>
    <w:r w:rsidRPr="00466236">
      <w:rPr>
        <w:sz w:val="20"/>
        <w:szCs w:val="20"/>
        <w:vertAlign w:val="superscript"/>
      </w:rPr>
      <w:t>th</w:t>
    </w:r>
    <w:r w:rsidRPr="005D457B">
      <w:rPr>
        <w:sz w:val="20"/>
        <w:szCs w:val="20"/>
      </w:rPr>
      <w:t xml:space="preserve"> century</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2BC85163" w14:textId="1F21B447" w:rsidR="00597915" w:rsidRPr="005D457B" w:rsidRDefault="00597915">
    <w:pPr>
      <w:jc w:val="left"/>
      <w:rPr>
        <w:sz w:val="20"/>
        <w:szCs w:val="2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9D64D5" w14:textId="45C9C8C1" w:rsidR="00A96E85" w:rsidRPr="006E1E81" w:rsidRDefault="005E7C64" w:rsidP="006E1E81">
    <w:pPr>
      <w:tabs>
        <w:tab w:val="right" w:pos="6915"/>
      </w:tabs>
      <w:spacing w:line="240" w:lineRule="auto"/>
      <w:jc w:val="left"/>
      <w:rPr>
        <w:sz w:val="20"/>
        <w:szCs w:val="20"/>
      </w:rPr>
    </w:pPr>
    <w:r w:rsidRPr="006E1E81">
      <w:rPr>
        <w:sz w:val="20"/>
        <w:szCs w:val="20"/>
      </w:rPr>
      <w:t>About this volume</w:t>
    </w:r>
    <w:r w:rsidR="00A96E85" w:rsidRPr="006E1E81">
      <w:rPr>
        <w:sz w:val="20"/>
        <w:szCs w:val="20"/>
      </w:rPr>
      <w:t xml:space="preserve"> </w:t>
    </w:r>
    <w:r w:rsidR="00A96E85" w:rsidRPr="006E1E81">
      <w:rPr>
        <w:sz w:val="20"/>
        <w:szCs w:val="20"/>
      </w:rPr>
      <w:tab/>
    </w:r>
    <w:r w:rsidR="00A96E85" w:rsidRPr="006E1E81">
      <w:rPr>
        <w:sz w:val="20"/>
        <w:szCs w:val="20"/>
      </w:rPr>
      <w:fldChar w:fldCharType="begin"/>
    </w:r>
    <w:r w:rsidR="00A96E85" w:rsidRPr="006E1E81">
      <w:rPr>
        <w:sz w:val="20"/>
        <w:szCs w:val="20"/>
      </w:rPr>
      <w:instrText xml:space="preserve"> PAGE   \* MERGEFORMAT </w:instrText>
    </w:r>
    <w:r w:rsidR="00A96E85" w:rsidRPr="006E1E81">
      <w:rPr>
        <w:sz w:val="20"/>
        <w:szCs w:val="20"/>
      </w:rPr>
      <w:fldChar w:fldCharType="separate"/>
    </w:r>
    <w:r w:rsidR="00A96E85" w:rsidRPr="006E1E81">
      <w:rPr>
        <w:sz w:val="20"/>
        <w:szCs w:val="20"/>
      </w:rPr>
      <w:t>7</w:t>
    </w:r>
    <w:r w:rsidR="00A96E85" w:rsidRPr="006E1E81">
      <w:rPr>
        <w:sz w:val="20"/>
        <w:szCs w:val="20"/>
      </w:rPr>
      <w:fldChar w:fldCharType="end"/>
    </w:r>
  </w:p>
  <w:p w14:paraId="49324294" w14:textId="548C0995" w:rsidR="00A96E85" w:rsidRPr="006E1E81" w:rsidRDefault="00A96E85" w:rsidP="006E1E81">
    <w:pPr>
      <w:spacing w:line="240" w:lineRule="auto"/>
      <w:jc w:val="left"/>
      <w:rPr>
        <w:sz w:val="20"/>
        <w:szCs w:val="20"/>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D5B7D" w14:textId="0A9C434F" w:rsidR="00597915" w:rsidRPr="001F6F28" w:rsidRDefault="00597915" w:rsidP="005D457B">
    <w:pPr>
      <w:spacing w:line="240" w:lineRule="auto"/>
      <w:jc w:val="left"/>
      <w:rPr>
        <w:sz w:val="20"/>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642D5" w14:textId="6DD537F1" w:rsidR="00A96E85" w:rsidRPr="005D457B" w:rsidRDefault="00A96E85" w:rsidP="00226DFB">
    <w:pPr>
      <w:tabs>
        <w:tab w:val="right" w:pos="6915"/>
      </w:tabs>
      <w:spacing w:after="27"/>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 xml:space="preserve"> </w:t>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Endre Hárs</w:t>
    </w:r>
    <w:r w:rsidRPr="005D457B">
      <w:rPr>
        <w:sz w:val="20"/>
        <w:szCs w:val="20"/>
      </w:rPr>
      <w:fldChar w:fldCharType="end"/>
    </w:r>
  </w:p>
  <w:p w14:paraId="021EA4D9" w14:textId="46B84BFC" w:rsidR="00A96E85" w:rsidRPr="005D457B" w:rsidRDefault="00A96E85">
    <w:pPr>
      <w:jc w:val="left"/>
      <w:rPr>
        <w:sz w:val="20"/>
        <w:szCs w:val="20"/>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B6E55" w14:textId="6662C166" w:rsidR="00A96E85" w:rsidRPr="005D457B" w:rsidRDefault="00195BB7" w:rsidP="005D457B">
    <w:pPr>
      <w:tabs>
        <w:tab w:val="right" w:pos="6915"/>
      </w:tabs>
      <w:spacing w:line="240" w:lineRule="auto"/>
      <w:jc w:val="left"/>
      <w:rPr>
        <w:sz w:val="20"/>
        <w:szCs w:val="20"/>
      </w:rPr>
    </w:pPr>
    <w:r w:rsidRPr="005D457B">
      <w:rPr>
        <w:sz w:val="20"/>
        <w:szCs w:val="20"/>
      </w:rPr>
      <w:t>Wie Gyula Hernádi dem Zeitreisenden begegnete</w:t>
    </w:r>
    <w:r w:rsidR="00A96E85" w:rsidRPr="005D457B">
      <w:rPr>
        <w:sz w:val="20"/>
        <w:szCs w:val="20"/>
      </w:rPr>
      <w:tab/>
    </w:r>
    <w:r w:rsidR="00A96E85" w:rsidRPr="005D457B">
      <w:rPr>
        <w:sz w:val="20"/>
        <w:szCs w:val="20"/>
      </w:rPr>
      <w:fldChar w:fldCharType="begin"/>
    </w:r>
    <w:r w:rsidR="00A96E85" w:rsidRPr="005D457B">
      <w:rPr>
        <w:sz w:val="20"/>
        <w:szCs w:val="20"/>
      </w:rPr>
      <w:instrText xml:space="preserve"> PAGE   \* MERGEFORMAT </w:instrText>
    </w:r>
    <w:r w:rsidR="00A96E85" w:rsidRPr="005D457B">
      <w:rPr>
        <w:sz w:val="20"/>
        <w:szCs w:val="20"/>
      </w:rPr>
      <w:fldChar w:fldCharType="separate"/>
    </w:r>
    <w:r w:rsidR="00A96E85" w:rsidRPr="005D457B">
      <w:rPr>
        <w:sz w:val="20"/>
        <w:szCs w:val="20"/>
      </w:rPr>
      <w:t>7</w:t>
    </w:r>
    <w:r w:rsidR="00A96E85" w:rsidRPr="005D457B">
      <w:rPr>
        <w:sz w:val="20"/>
        <w:szCs w:val="20"/>
      </w:rPr>
      <w:fldChar w:fldCharType="end"/>
    </w:r>
  </w:p>
  <w:p w14:paraId="18648753" w14:textId="0B9C4B1B" w:rsidR="00A96E85" w:rsidRPr="005D457B" w:rsidRDefault="00A96E85" w:rsidP="005D457B">
    <w:pPr>
      <w:spacing w:line="240" w:lineRule="auto"/>
      <w:jc w:val="left"/>
      <w:rPr>
        <w:sz w:val="20"/>
        <w:szCs w:val="20"/>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52C99" w14:textId="62078EEA" w:rsidR="00A96E85" w:rsidRPr="001F6F28" w:rsidRDefault="00A96E85" w:rsidP="005D457B">
    <w:pPr>
      <w:spacing w:line="240" w:lineRule="auto"/>
      <w:jc w:val="left"/>
      <w:rPr>
        <w:sz w:val="20"/>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68A16" w14:textId="2127BE41" w:rsidR="00A96E85" w:rsidRPr="005D457B" w:rsidRDefault="00A96E85" w:rsidP="005D457B">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Károly Kókai</w:t>
    </w:r>
    <w:r w:rsidRPr="005D457B">
      <w:rPr>
        <w:sz w:val="20"/>
        <w:szCs w:val="20"/>
      </w:rPr>
      <w:fldChar w:fldCharType="end"/>
    </w:r>
  </w:p>
  <w:p w14:paraId="5DBC3B18" w14:textId="1962F07C" w:rsidR="00A96E85" w:rsidRPr="005D457B" w:rsidRDefault="00A96E85" w:rsidP="005D457B">
    <w:pPr>
      <w:spacing w:line="240" w:lineRule="auto"/>
      <w:jc w:val="left"/>
      <w:rPr>
        <w:sz w:val="20"/>
        <w:szCs w:val="20"/>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9E2B2" w14:textId="77777777" w:rsidR="00A96E85" w:rsidRPr="005D457B" w:rsidRDefault="00A96E85" w:rsidP="006E1E81">
    <w:pPr>
      <w:tabs>
        <w:tab w:val="right" w:pos="6915"/>
      </w:tabs>
      <w:spacing w:line="240" w:lineRule="auto"/>
      <w:jc w:val="left"/>
      <w:rPr>
        <w:sz w:val="20"/>
        <w:szCs w:val="20"/>
      </w:rPr>
    </w:pPr>
    <w:r w:rsidRPr="005D457B">
      <w:rPr>
        <w:sz w:val="20"/>
        <w:szCs w:val="20"/>
      </w:rPr>
      <w:t>Die falschen Schlüsse: Zwei kulturwissenschaftliche Fallbeispiele</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42DAC84A" w14:textId="26626374" w:rsidR="00A96E85" w:rsidRPr="005D457B" w:rsidRDefault="00A96E85" w:rsidP="006E1E81">
    <w:pPr>
      <w:spacing w:line="240" w:lineRule="auto"/>
      <w:jc w:val="left"/>
      <w:rPr>
        <w:sz w:val="20"/>
        <w:szCs w:val="20"/>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15591" w14:textId="133B7065" w:rsidR="00A96E85" w:rsidRPr="001F6F28" w:rsidRDefault="00A96E85" w:rsidP="005D457B">
    <w:pPr>
      <w:spacing w:line="240" w:lineRule="auto"/>
      <w:jc w:val="left"/>
      <w:rPr>
        <w:sz w:val="20"/>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DBE7D" w14:textId="76B92E7C" w:rsidR="00A96E85" w:rsidRPr="005D457B" w:rsidRDefault="00A96E85" w:rsidP="00226DFB">
    <w:pPr>
      <w:tabs>
        <w:tab w:val="right" w:pos="6915"/>
      </w:tabs>
      <w:spacing w:after="27"/>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Kristina Malmio</w:t>
    </w:r>
    <w:r w:rsidRPr="005D457B">
      <w:rPr>
        <w:sz w:val="20"/>
        <w:szCs w:val="20"/>
      </w:rPr>
      <w:fldChar w:fldCharType="end"/>
    </w:r>
  </w:p>
  <w:p w14:paraId="61719CAC" w14:textId="24684D9A" w:rsidR="00A96E85" w:rsidRPr="005D457B" w:rsidRDefault="00A96E85">
    <w:pPr>
      <w:jc w:val="left"/>
      <w:rPr>
        <w:sz w:val="20"/>
        <w:szCs w:val="20"/>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F8E0B" w14:textId="44E82D79" w:rsidR="00A96E85" w:rsidRPr="005D457B" w:rsidRDefault="00A96E85" w:rsidP="006E1E81">
    <w:pPr>
      <w:tabs>
        <w:tab w:val="right" w:pos="6915"/>
      </w:tabs>
      <w:spacing w:line="240" w:lineRule="auto"/>
      <w:jc w:val="left"/>
      <w:rPr>
        <w:sz w:val="20"/>
        <w:szCs w:val="20"/>
      </w:rPr>
    </w:pPr>
    <w:r w:rsidRPr="005D457B">
      <w:rPr>
        <w:sz w:val="20"/>
        <w:szCs w:val="20"/>
      </w:rPr>
      <w:t>99</w:t>
    </w:r>
    <w:r w:rsidR="00007DF7">
      <w:rPr>
        <w:sz w:val="20"/>
        <w:szCs w:val="20"/>
      </w:rPr>
      <w:t xml:space="preserve"> </w:t>
    </w:r>
    <w:r w:rsidRPr="005D457B">
      <w:rPr>
        <w:sz w:val="20"/>
        <w:szCs w:val="20"/>
      </w:rPr>
      <w:t>%? En kvantitativ studie av litteratur publicerad på svenska i Finland</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331937B4" w14:textId="5257EA67" w:rsidR="00A96E85" w:rsidRPr="005D457B" w:rsidRDefault="00A96E85" w:rsidP="006E1E81">
    <w:pPr>
      <w:spacing w:line="240" w:lineRule="auto"/>
      <w:jc w:val="left"/>
      <w:rPr>
        <w:sz w:val="20"/>
        <w:szCs w:val="20"/>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FDE52" w14:textId="4DB0E0FE" w:rsidR="00A96E85" w:rsidRPr="001F6F28" w:rsidRDefault="00A96E85" w:rsidP="006E1E81">
    <w:pPr>
      <w:spacing w:line="240" w:lineRule="auto"/>
      <w:jc w:val="left"/>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6D383" w14:textId="2D926AFF" w:rsidR="00A96E85" w:rsidRPr="001F6F28" w:rsidRDefault="00A96E85" w:rsidP="006E1E81">
    <w:pPr>
      <w:spacing w:line="240" w:lineRule="auto"/>
      <w:jc w:val="left"/>
      <w:rPr>
        <w:sz w:val="20"/>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14D34" w14:textId="1941C25D" w:rsidR="00A96E85" w:rsidRPr="005D457B" w:rsidRDefault="00A96E85" w:rsidP="00226DFB">
    <w:pPr>
      <w:tabs>
        <w:tab w:val="right" w:pos="6915"/>
      </w:tabs>
      <w:spacing w:after="27"/>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 xml:space="preserve"> </w:t>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Wolfgang Müller-Funk</w:t>
    </w:r>
    <w:r w:rsidRPr="005D457B">
      <w:rPr>
        <w:sz w:val="20"/>
        <w:szCs w:val="20"/>
      </w:rPr>
      <w:fldChar w:fldCharType="end"/>
    </w:r>
  </w:p>
  <w:p w14:paraId="043B92DE" w14:textId="3E97E2B6" w:rsidR="00A96E85" w:rsidRPr="005D457B" w:rsidRDefault="00A96E85">
    <w:pPr>
      <w:jc w:val="left"/>
      <w:rPr>
        <w:sz w:val="20"/>
        <w:szCs w:val="20"/>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9798E" w14:textId="77777777" w:rsidR="00A96E85" w:rsidRPr="005D457B" w:rsidRDefault="00A96E85" w:rsidP="006E1E81">
    <w:pPr>
      <w:tabs>
        <w:tab w:val="right" w:pos="6915"/>
      </w:tabs>
      <w:spacing w:line="240" w:lineRule="auto"/>
      <w:jc w:val="left"/>
      <w:rPr>
        <w:sz w:val="20"/>
        <w:szCs w:val="20"/>
      </w:rPr>
    </w:pPr>
    <w:r w:rsidRPr="005D457B">
      <w:rPr>
        <w:sz w:val="20"/>
        <w:szCs w:val="20"/>
      </w:rPr>
      <w:t>Kakanien revisited und die russische Revolution</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6578FAD9" w14:textId="50A1D2E2" w:rsidR="00A96E85" w:rsidRPr="005D457B" w:rsidRDefault="00A96E85" w:rsidP="006E1E81">
    <w:pPr>
      <w:spacing w:line="240" w:lineRule="auto"/>
      <w:jc w:val="left"/>
      <w:rPr>
        <w:sz w:val="20"/>
        <w:szCs w:val="20"/>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38930" w14:textId="62E66421" w:rsidR="00A96E85" w:rsidRPr="001F6F28" w:rsidRDefault="00A96E85" w:rsidP="006E1E81">
    <w:pPr>
      <w:spacing w:line="240" w:lineRule="auto"/>
      <w:jc w:val="left"/>
      <w:rPr>
        <w:sz w:val="20"/>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A003D" w14:textId="294454EA" w:rsidR="00A96E85" w:rsidRPr="005D457B" w:rsidRDefault="00A96E85" w:rsidP="00226DFB">
    <w:pPr>
      <w:tabs>
        <w:tab w:val="right" w:pos="6915"/>
      </w:tabs>
      <w:spacing w:after="27"/>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Ötvös Péter</w:t>
    </w:r>
    <w:r w:rsidRPr="005D457B">
      <w:rPr>
        <w:sz w:val="20"/>
        <w:szCs w:val="20"/>
      </w:rPr>
      <w:fldChar w:fldCharType="end"/>
    </w:r>
  </w:p>
  <w:p w14:paraId="0EF7E042" w14:textId="7371AC29" w:rsidR="00A96E85" w:rsidRPr="005D457B" w:rsidRDefault="00A96E85">
    <w:pPr>
      <w:jc w:val="left"/>
      <w:rPr>
        <w:sz w:val="20"/>
        <w:szCs w:val="20"/>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ECFC9" w14:textId="77777777" w:rsidR="00A96E85" w:rsidRPr="005D457B" w:rsidRDefault="00A96E85" w:rsidP="006E1E81">
    <w:pPr>
      <w:tabs>
        <w:tab w:val="right" w:pos="6915"/>
      </w:tabs>
      <w:spacing w:line="240" w:lineRule="auto"/>
      <w:jc w:val="left"/>
      <w:rPr>
        <w:sz w:val="20"/>
        <w:szCs w:val="20"/>
      </w:rPr>
    </w:pPr>
    <w:r w:rsidRPr="005D457B">
      <w:rPr>
        <w:sz w:val="20"/>
        <w:szCs w:val="20"/>
      </w:rPr>
      <w:t>Vízszellem vagy szivacs?</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1DD60D37" w14:textId="2DC1C231" w:rsidR="00A96E85" w:rsidRPr="005D457B" w:rsidRDefault="00A96E85" w:rsidP="006E1E81">
    <w:pPr>
      <w:spacing w:line="240" w:lineRule="auto"/>
      <w:jc w:val="left"/>
      <w:rPr>
        <w:sz w:val="20"/>
        <w:szCs w:val="20"/>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7D3F7" w14:textId="5614C4DF" w:rsidR="00A96E85" w:rsidRPr="001F6F28" w:rsidRDefault="00A96E85" w:rsidP="006E1E81">
    <w:pPr>
      <w:tabs>
        <w:tab w:val="right" w:pos="6915"/>
      </w:tabs>
      <w:spacing w:after="27" w:line="240" w:lineRule="auto"/>
      <w:jc w:val="left"/>
      <w:rPr>
        <w:sz w:val="20"/>
      </w:rPr>
    </w:pPr>
    <w:r w:rsidRPr="001F6F28">
      <w:rPr>
        <w:sz w:val="20"/>
      </w:rPr>
      <w:tab/>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1C7C4" w14:textId="79D78629" w:rsidR="0051657A" w:rsidRPr="005D457B" w:rsidRDefault="0051657A" w:rsidP="006E1E81">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Brigitta Pesti</w:t>
    </w:r>
    <w:r w:rsidRPr="005D457B">
      <w:rPr>
        <w:sz w:val="20"/>
        <w:szCs w:val="20"/>
      </w:rPr>
      <w:fldChar w:fldCharType="end"/>
    </w:r>
  </w:p>
  <w:p w14:paraId="5A598B3C" w14:textId="090C224E" w:rsidR="0051657A" w:rsidRPr="005D457B" w:rsidRDefault="0051657A" w:rsidP="006E1E81">
    <w:pPr>
      <w:spacing w:line="240" w:lineRule="auto"/>
      <w:jc w:val="left"/>
      <w:rPr>
        <w:sz w:val="20"/>
        <w:szCs w:val="20"/>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E37CF" w14:textId="3436506C" w:rsidR="000121EA" w:rsidRDefault="0051657A" w:rsidP="006E1E81">
    <w:pPr>
      <w:tabs>
        <w:tab w:val="right" w:pos="6915"/>
      </w:tabs>
      <w:spacing w:line="240" w:lineRule="auto"/>
      <w:jc w:val="left"/>
    </w:pPr>
    <w:r w:rsidRPr="0051657A">
      <w:rPr>
        <w:sz w:val="20"/>
      </w:rPr>
      <w:t>Konfessionsübergreifende Gönnerschaften von Frauen in Ungarn</w:t>
    </w:r>
    <w:r w:rsidRPr="001F6F28">
      <w:rPr>
        <w:sz w:val="20"/>
      </w:rPr>
      <w:tab/>
    </w:r>
    <w:r w:rsidRPr="001F6F28">
      <w:rPr>
        <w:sz w:val="24"/>
      </w:rPr>
      <w:fldChar w:fldCharType="begin"/>
    </w:r>
    <w:r w:rsidRPr="001F6F28">
      <w:instrText xml:space="preserve"> PAGE   \* MERGEFORMAT </w:instrText>
    </w:r>
    <w:r w:rsidRPr="001F6F28">
      <w:rPr>
        <w:sz w:val="24"/>
      </w:rPr>
      <w:fldChar w:fldCharType="separate"/>
    </w:r>
    <w:r w:rsidRPr="001F6F28">
      <w:rPr>
        <w:sz w:val="20"/>
      </w:rPr>
      <w:t>7</w:t>
    </w:r>
    <w:r w:rsidRPr="001F6F28">
      <w:rPr>
        <w:sz w:val="20"/>
      </w:rPr>
      <w:fldChar w:fldCharType="end"/>
    </w:r>
  </w:p>
  <w:p w14:paraId="1EC47B48" w14:textId="7F15A956" w:rsidR="0051657A" w:rsidRPr="001F6F28" w:rsidRDefault="0051657A" w:rsidP="006E1E81">
    <w:pPr>
      <w:spacing w:line="240" w:lineRule="auto"/>
      <w:jc w:val="left"/>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8EC4C" w14:textId="07147757" w:rsidR="0051657A" w:rsidRPr="001F6F28" w:rsidRDefault="0051657A" w:rsidP="006E1E81">
    <w:pPr>
      <w:tabs>
        <w:tab w:val="right" w:pos="6915"/>
      </w:tabs>
      <w:spacing w:after="27" w:line="240" w:lineRule="auto"/>
      <w:jc w:val="left"/>
      <w:rPr>
        <w:sz w:val="20"/>
      </w:rPr>
    </w:pPr>
    <w:r w:rsidRPr="001F6F28">
      <w:rPr>
        <w:sz w:val="20"/>
      </w:rPr>
      <w:tab/>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B47F2" w14:textId="0802F411" w:rsidR="000121EA" w:rsidRPr="005D457B" w:rsidRDefault="00A96E85" w:rsidP="006E1E81">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Andrea Seidler</w:t>
    </w:r>
    <w:r w:rsidRPr="005D457B">
      <w:rPr>
        <w:sz w:val="20"/>
        <w:szCs w:val="20"/>
      </w:rPr>
      <w:fldChar w:fldCharType="end"/>
    </w:r>
  </w:p>
  <w:p w14:paraId="0E8AD14D" w14:textId="101F7294" w:rsidR="00A96E85" w:rsidRPr="005D457B" w:rsidRDefault="00A96E85" w:rsidP="006E1E81">
    <w:pPr>
      <w:spacing w:line="240" w:lineRule="auto"/>
      <w:jc w:val="left"/>
      <w:rPr>
        <w:sz w:val="20"/>
        <w:szCs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30CB6" w14:textId="6BCA8156" w:rsidR="00D418BA" w:rsidRPr="006E1E81" w:rsidRDefault="00D418BA" w:rsidP="006E1E81">
    <w:pPr>
      <w:tabs>
        <w:tab w:val="right" w:pos="6915"/>
      </w:tabs>
      <w:spacing w:after="27" w:line="240" w:lineRule="auto"/>
      <w:jc w:val="left"/>
      <w:rPr>
        <w:sz w:val="20"/>
        <w:szCs w:val="20"/>
      </w:rPr>
    </w:pP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10</w:t>
    </w:r>
    <w:r w:rsidRPr="006E1E81">
      <w:rPr>
        <w:sz w:val="20"/>
        <w:szCs w:val="20"/>
      </w:rPr>
      <w:fldChar w:fldCharType="end"/>
    </w:r>
    <w:r w:rsidRPr="006E1E81">
      <w:rPr>
        <w:sz w:val="20"/>
        <w:szCs w:val="20"/>
      </w:rPr>
      <w:tab/>
    </w:r>
    <w:r w:rsidRPr="006E1E81">
      <w:rPr>
        <w:sz w:val="20"/>
        <w:szCs w:val="20"/>
      </w:rPr>
      <w:fldChar w:fldCharType="begin"/>
    </w:r>
    <w:r w:rsidRPr="006E1E81">
      <w:rPr>
        <w:sz w:val="20"/>
        <w:szCs w:val="20"/>
      </w:rPr>
      <w:instrText xml:space="preserve"> STYLEREF  Authors  \* MERGEFORMAT </w:instrText>
    </w:r>
    <w:r w:rsidRPr="006E1E81">
      <w:rPr>
        <w:sz w:val="20"/>
        <w:szCs w:val="20"/>
      </w:rPr>
      <w:fldChar w:fldCharType="separate"/>
    </w:r>
    <w:r w:rsidR="00507346">
      <w:rPr>
        <w:noProof/>
        <w:sz w:val="20"/>
        <w:szCs w:val="20"/>
      </w:rPr>
      <w:t>Riho Grünthal, Anneli Sarhimaa</w:t>
    </w:r>
    <w:r w:rsidRPr="006E1E81">
      <w:rPr>
        <w:sz w:val="20"/>
        <w:szCs w:val="20"/>
      </w:rPr>
      <w:fldChar w:fldCharType="end"/>
    </w:r>
  </w:p>
  <w:p w14:paraId="77ADBBCB" w14:textId="77777777" w:rsidR="009D45AF" w:rsidRPr="006E1E81" w:rsidRDefault="009D45AF" w:rsidP="006E1E81">
    <w:pPr>
      <w:spacing w:line="240" w:lineRule="auto"/>
      <w:rPr>
        <w:sz w:val="20"/>
        <w:szCs w:val="20"/>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776E0" w14:textId="77777777" w:rsidR="00A96E85" w:rsidRPr="005D457B" w:rsidRDefault="00A96E85" w:rsidP="006E1E81">
    <w:pPr>
      <w:tabs>
        <w:tab w:val="right" w:pos="6915"/>
      </w:tabs>
      <w:spacing w:line="240" w:lineRule="auto"/>
      <w:jc w:val="left"/>
      <w:rPr>
        <w:sz w:val="20"/>
        <w:szCs w:val="20"/>
      </w:rPr>
    </w:pPr>
    <w:r w:rsidRPr="005D457B">
      <w:rPr>
        <w:sz w:val="20"/>
        <w:szCs w:val="20"/>
      </w:rPr>
      <w:t>Die Pracht der Majestät, das sanfte Lächeln der Natur</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70485F64" w14:textId="1183E0E4" w:rsidR="00A96E85" w:rsidRPr="005D457B" w:rsidRDefault="00A96E85" w:rsidP="006E1E81">
    <w:pPr>
      <w:spacing w:line="240" w:lineRule="auto"/>
      <w:jc w:val="left"/>
      <w:rPr>
        <w:sz w:val="20"/>
        <w:szCs w:val="20"/>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11D6F" w14:textId="2B5A5AE4" w:rsidR="00A96E85" w:rsidRPr="001F6F28" w:rsidRDefault="00A96E85" w:rsidP="006E1E81">
    <w:pPr>
      <w:spacing w:line="240" w:lineRule="auto"/>
      <w:jc w:val="left"/>
      <w:rPr>
        <w:sz w:val="20"/>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41DA2" w14:textId="178B8196" w:rsidR="00A96E85" w:rsidRPr="005D457B" w:rsidRDefault="00A96E85" w:rsidP="006E1E81">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Antje Wischmann</w:t>
    </w:r>
    <w:r w:rsidRPr="005D457B">
      <w:rPr>
        <w:sz w:val="20"/>
        <w:szCs w:val="20"/>
      </w:rPr>
      <w:fldChar w:fldCharType="end"/>
    </w:r>
  </w:p>
  <w:p w14:paraId="1931BB14" w14:textId="5852A585" w:rsidR="00A96E85" w:rsidRPr="005D457B" w:rsidRDefault="00A96E85" w:rsidP="006E1E81">
    <w:pPr>
      <w:spacing w:line="240" w:lineRule="auto"/>
      <w:jc w:val="left"/>
      <w:rPr>
        <w:sz w:val="20"/>
        <w:szCs w:val="20"/>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96C7B" w14:textId="523FE0C7" w:rsidR="00A96E85" w:rsidRPr="005D457B" w:rsidRDefault="00A96E85" w:rsidP="006E1E81">
    <w:pPr>
      <w:tabs>
        <w:tab w:val="right" w:pos="6915"/>
      </w:tabs>
      <w:spacing w:line="240" w:lineRule="auto"/>
      <w:jc w:val="left"/>
      <w:rPr>
        <w:sz w:val="20"/>
        <w:szCs w:val="20"/>
      </w:rPr>
    </w:pPr>
    <w:r w:rsidRPr="005D457B">
      <w:rPr>
        <w:sz w:val="20"/>
        <w:szCs w:val="20"/>
      </w:rPr>
      <w:t xml:space="preserve">Die </w:t>
    </w:r>
    <w:r w:rsidR="006057AB">
      <w:rPr>
        <w:sz w:val="20"/>
        <w:szCs w:val="20"/>
      </w:rPr>
      <w:t>‘</w:t>
    </w:r>
    <w:r w:rsidRPr="005D457B">
      <w:rPr>
        <w:sz w:val="20"/>
        <w:szCs w:val="20"/>
      </w:rPr>
      <w:t>neue Frau‘ im Wandel der Kanonisierung</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46C38319" w14:textId="4B93C2E0" w:rsidR="00A96E85" w:rsidRPr="005D457B" w:rsidRDefault="00A96E85" w:rsidP="006E1E81">
    <w:pPr>
      <w:spacing w:line="240" w:lineRule="auto"/>
      <w:jc w:val="left"/>
      <w:rPr>
        <w:sz w:val="20"/>
        <w:szCs w:val="20"/>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F8E5E" w14:textId="0A61BD09" w:rsidR="00A96E85" w:rsidRPr="001F6F28" w:rsidRDefault="00A96E85" w:rsidP="006E1E81">
    <w:pPr>
      <w:spacing w:line="240" w:lineRule="auto"/>
      <w:jc w:val="left"/>
      <w:rPr>
        <w:sz w:val="20"/>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D15D7" w14:textId="182225B8" w:rsidR="00A96E85" w:rsidRPr="001F6F28" w:rsidRDefault="00A96E85" w:rsidP="00226DFB">
    <w:pPr>
      <w:tabs>
        <w:tab w:val="right" w:pos="6915"/>
      </w:tabs>
      <w:spacing w:after="27"/>
      <w:jc w:val="left"/>
    </w:pPr>
    <w:r w:rsidRPr="001F6F28">
      <w:rPr>
        <w:sz w:val="24"/>
      </w:rPr>
      <w:fldChar w:fldCharType="begin"/>
    </w:r>
    <w:r w:rsidRPr="001F6F28">
      <w:instrText xml:space="preserve"> PAGE   \* MERGEFORMAT </w:instrText>
    </w:r>
    <w:r w:rsidRPr="001F6F28">
      <w:rPr>
        <w:sz w:val="24"/>
      </w:rPr>
      <w:fldChar w:fldCharType="separate"/>
    </w:r>
    <w:r w:rsidRPr="001F6F28">
      <w:rPr>
        <w:sz w:val="20"/>
      </w:rPr>
      <w:t>10</w:t>
    </w:r>
    <w:r w:rsidRPr="001F6F28">
      <w:rPr>
        <w:sz w:val="20"/>
      </w:rPr>
      <w:fldChar w:fldCharType="end"/>
    </w:r>
    <w:r w:rsidRPr="001F6F28">
      <w:rPr>
        <w:sz w:val="20"/>
      </w:rPr>
      <w:t xml:space="preserve"> </w:t>
    </w:r>
    <w:r w:rsidRPr="001F6F28">
      <w:rPr>
        <w:sz w:val="20"/>
      </w:rPr>
      <w:tab/>
    </w:r>
    <w:r>
      <w:rPr>
        <w:sz w:val="20"/>
      </w:rPr>
      <w:fldChar w:fldCharType="begin"/>
    </w:r>
    <w:r>
      <w:rPr>
        <w:sz w:val="20"/>
      </w:rPr>
      <w:instrText xml:space="preserve"> STYLEREF  Authors  \* MERGEFORMAT </w:instrText>
    </w:r>
    <w:r>
      <w:rPr>
        <w:sz w:val="20"/>
      </w:rPr>
      <w:fldChar w:fldCharType="separate"/>
    </w:r>
    <w:r w:rsidR="00507346">
      <w:rPr>
        <w:noProof/>
        <w:sz w:val="20"/>
      </w:rPr>
      <w:t>Antje Wischmann</w:t>
    </w:r>
    <w:r>
      <w:rPr>
        <w:sz w:val="20"/>
      </w:rPr>
      <w:fldChar w:fldCharType="end"/>
    </w:r>
  </w:p>
  <w:p w14:paraId="1523F3B7" w14:textId="77777777" w:rsidR="000121EA" w:rsidRDefault="000121EA">
    <w:pPr>
      <w:jc w:val="left"/>
    </w:pPr>
  </w:p>
  <w:p w14:paraId="6FAB9678" w14:textId="573B3318" w:rsidR="00A96E85" w:rsidRPr="001F6F28" w:rsidRDefault="00A96E85">
    <w:pPr>
      <w:jc w:val="left"/>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98894" w14:textId="2C8CFB6C" w:rsidR="00A96E85" w:rsidRPr="001F6F28" w:rsidRDefault="00A96E85" w:rsidP="00226DFB">
    <w:pPr>
      <w:tabs>
        <w:tab w:val="right" w:pos="6915"/>
      </w:tabs>
      <w:jc w:val="left"/>
    </w:pPr>
    <w:r w:rsidRPr="00F123BC">
      <w:rPr>
        <w:sz w:val="20"/>
      </w:rPr>
      <w:t xml:space="preserve">Die </w:t>
    </w:r>
    <w:r w:rsidR="006057AB">
      <w:rPr>
        <w:sz w:val="20"/>
      </w:rPr>
      <w:t>‘</w:t>
    </w:r>
    <w:r w:rsidRPr="00F123BC">
      <w:rPr>
        <w:sz w:val="20"/>
      </w:rPr>
      <w:t>neue Frau‘ im Wandel der Kanonisierung</w:t>
    </w:r>
    <w:r w:rsidRPr="001F6F28">
      <w:rPr>
        <w:sz w:val="20"/>
      </w:rPr>
      <w:tab/>
    </w:r>
    <w:r w:rsidRPr="001F6F28">
      <w:rPr>
        <w:sz w:val="24"/>
      </w:rPr>
      <w:fldChar w:fldCharType="begin"/>
    </w:r>
    <w:r w:rsidRPr="001F6F28">
      <w:instrText xml:space="preserve"> PAGE   \* MERGEFORMAT </w:instrText>
    </w:r>
    <w:r w:rsidRPr="001F6F28">
      <w:rPr>
        <w:sz w:val="24"/>
      </w:rPr>
      <w:fldChar w:fldCharType="separate"/>
    </w:r>
    <w:r w:rsidRPr="001F6F28">
      <w:rPr>
        <w:sz w:val="20"/>
      </w:rPr>
      <w:t>7</w:t>
    </w:r>
    <w:r w:rsidRPr="001F6F28">
      <w:rPr>
        <w:sz w:val="20"/>
      </w:rPr>
      <w:fldChar w:fldCharType="end"/>
    </w:r>
  </w:p>
  <w:p w14:paraId="618ECDAD" w14:textId="77777777" w:rsidR="000121EA" w:rsidRDefault="000121EA">
    <w:pPr>
      <w:jc w:val="left"/>
    </w:pPr>
  </w:p>
  <w:p w14:paraId="18897D05" w14:textId="1F497EB6" w:rsidR="00A96E85" w:rsidRPr="001F6F28" w:rsidRDefault="00A96E85">
    <w:pPr>
      <w:jc w:val="left"/>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A95EC" w14:textId="3E756394" w:rsidR="00A96E85" w:rsidRPr="001F6F28" w:rsidRDefault="00A96E85" w:rsidP="006E1E81">
    <w:pPr>
      <w:spacing w:line="240" w:lineRule="auto"/>
      <w:jc w:val="left"/>
      <w:rPr>
        <w:sz w:val="20"/>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BC3A0" w14:textId="7F8367BB" w:rsidR="00226DFB" w:rsidRPr="005D457B" w:rsidRDefault="007E1768" w:rsidP="006E1E81">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p>
  <w:p w14:paraId="393CA3EC" w14:textId="39F89FB1" w:rsidR="00226DFB" w:rsidRPr="005D457B" w:rsidRDefault="00226DFB" w:rsidP="006E1E81">
    <w:pPr>
      <w:spacing w:line="240" w:lineRule="auto"/>
      <w:jc w:val="left"/>
      <w:rPr>
        <w:sz w:val="20"/>
        <w:szCs w:val="20"/>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D4215" w14:textId="77777777" w:rsidR="00226DFB" w:rsidRPr="005D457B" w:rsidRDefault="007E1768" w:rsidP="006E1E81">
    <w:pPr>
      <w:tabs>
        <w:tab w:val="right" w:pos="6915"/>
      </w:tabs>
      <w:spacing w:line="240" w:lineRule="auto"/>
      <w:jc w:val="left"/>
      <w:rPr>
        <w:sz w:val="20"/>
        <w:szCs w:val="20"/>
      </w:rPr>
    </w:pP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217D175E" w14:textId="7FA01721" w:rsidR="00226DFB" w:rsidRPr="005D457B" w:rsidRDefault="00226DFB" w:rsidP="006E1E81">
    <w:pPr>
      <w:spacing w:line="240" w:lineRule="auto"/>
      <w:jc w:val="left"/>
      <w:rPr>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277F7" w14:textId="77777777" w:rsidR="00D418BA" w:rsidRPr="006E1E81" w:rsidRDefault="00D418BA" w:rsidP="006E1E81">
    <w:pPr>
      <w:tabs>
        <w:tab w:val="right" w:pos="6915"/>
      </w:tabs>
      <w:spacing w:line="240" w:lineRule="auto"/>
      <w:jc w:val="left"/>
      <w:rPr>
        <w:sz w:val="20"/>
        <w:szCs w:val="20"/>
      </w:rPr>
    </w:pPr>
    <w:r w:rsidRPr="006E1E81">
      <w:rPr>
        <w:sz w:val="20"/>
        <w:szCs w:val="20"/>
      </w:rPr>
      <w:t>Johanna Laakson kuusikymmentä vuotta</w:t>
    </w:r>
    <w:r w:rsidRPr="006E1E81">
      <w:rPr>
        <w:sz w:val="20"/>
        <w:szCs w:val="20"/>
      </w:rPr>
      <w:tab/>
    </w: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7</w:t>
    </w:r>
    <w:r w:rsidRPr="006E1E81">
      <w:rPr>
        <w:sz w:val="20"/>
        <w:szCs w:val="20"/>
      </w:rPr>
      <w:fldChar w:fldCharType="end"/>
    </w:r>
  </w:p>
  <w:p w14:paraId="0EB1205E" w14:textId="49EC9E3B" w:rsidR="00D418BA" w:rsidRPr="006E1E81" w:rsidRDefault="00D418BA" w:rsidP="006E1E81">
    <w:pPr>
      <w:spacing w:line="240" w:lineRule="auto"/>
      <w:jc w:val="left"/>
      <w:rPr>
        <w:sz w:val="20"/>
        <w:szCs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B5B8A" w14:textId="4959024C" w:rsidR="00D418BA" w:rsidRPr="001F6F28" w:rsidRDefault="00D418BA" w:rsidP="006E1E81">
    <w:pPr>
      <w:spacing w:line="240" w:lineRule="auto"/>
      <w:jc w:val="left"/>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26386" w14:textId="1EBDA67C" w:rsidR="001B3BDD" w:rsidRPr="006E1E81" w:rsidRDefault="001B3BDD" w:rsidP="006E1E81">
    <w:pPr>
      <w:tabs>
        <w:tab w:val="right" w:pos="6915"/>
      </w:tabs>
      <w:spacing w:after="27" w:line="240" w:lineRule="auto"/>
      <w:jc w:val="left"/>
      <w:rPr>
        <w:sz w:val="20"/>
        <w:szCs w:val="20"/>
      </w:rPr>
    </w:pP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10</w:t>
    </w:r>
    <w:r w:rsidRPr="006E1E81">
      <w:rPr>
        <w:sz w:val="20"/>
        <w:szCs w:val="20"/>
      </w:rPr>
      <w:fldChar w:fldCharType="end"/>
    </w:r>
    <w:r w:rsidRPr="006E1E81">
      <w:rPr>
        <w:sz w:val="20"/>
        <w:szCs w:val="20"/>
      </w:rPr>
      <w:tab/>
    </w:r>
    <w:r w:rsidRPr="006E1E81">
      <w:rPr>
        <w:sz w:val="20"/>
        <w:szCs w:val="20"/>
      </w:rPr>
      <w:fldChar w:fldCharType="begin"/>
    </w:r>
    <w:r w:rsidRPr="006E1E81">
      <w:rPr>
        <w:sz w:val="20"/>
        <w:szCs w:val="20"/>
      </w:rPr>
      <w:instrText xml:space="preserve"> STYLEREF  Authors  \* MERGEFORMAT </w:instrText>
    </w:r>
    <w:r w:rsidRPr="006E1E81">
      <w:rPr>
        <w:sz w:val="20"/>
        <w:szCs w:val="20"/>
      </w:rPr>
      <w:fldChar w:fldCharType="separate"/>
    </w:r>
    <w:r w:rsidR="00507346">
      <w:rPr>
        <w:noProof/>
        <w:sz w:val="20"/>
        <w:szCs w:val="20"/>
      </w:rPr>
      <w:t>Erzsébet Barát</w:t>
    </w:r>
    <w:r w:rsidRPr="006E1E81">
      <w:rPr>
        <w:sz w:val="20"/>
        <w:szCs w:val="20"/>
      </w:rPr>
      <w:fldChar w:fldCharType="end"/>
    </w:r>
  </w:p>
  <w:p w14:paraId="31710032" w14:textId="56095773" w:rsidR="001B3BDD" w:rsidRPr="006E1E81" w:rsidRDefault="001B3BDD" w:rsidP="006E1E81">
    <w:pPr>
      <w:spacing w:line="240" w:lineRule="auto"/>
      <w:jc w:val="left"/>
      <w:rPr>
        <w:sz w:val="20"/>
        <w:szCs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5143F" w14:textId="21F5B4C1" w:rsidR="001B3BDD" w:rsidRPr="006E1E81" w:rsidRDefault="001B3BDD" w:rsidP="006E1E81">
    <w:pPr>
      <w:tabs>
        <w:tab w:val="right" w:pos="6915"/>
      </w:tabs>
      <w:spacing w:line="240" w:lineRule="auto"/>
      <w:jc w:val="left"/>
      <w:rPr>
        <w:sz w:val="20"/>
        <w:szCs w:val="20"/>
      </w:rPr>
    </w:pPr>
    <w:r w:rsidRPr="006E1E81">
      <w:rPr>
        <w:sz w:val="20"/>
        <w:szCs w:val="20"/>
      </w:rPr>
      <w:t>Johanna and cats – Queer encounters of ahuman care</w:t>
    </w:r>
    <w:r w:rsidRPr="006E1E81">
      <w:rPr>
        <w:sz w:val="20"/>
        <w:szCs w:val="20"/>
      </w:rPr>
      <w:tab/>
    </w: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7</w:t>
    </w:r>
    <w:r w:rsidRPr="006E1E81">
      <w:rPr>
        <w:sz w:val="20"/>
        <w:szCs w:val="20"/>
      </w:rPr>
      <w:fldChar w:fldCharType="end"/>
    </w:r>
  </w:p>
  <w:p w14:paraId="6DB69145" w14:textId="4A5B5111" w:rsidR="001B3BDD" w:rsidRPr="006E1E81" w:rsidRDefault="001B3BDD" w:rsidP="006E1E81">
    <w:pPr>
      <w:spacing w:line="240" w:lineRule="auto"/>
      <w:jc w:val="left"/>
      <w:rPr>
        <w:sz w:val="20"/>
        <w:szCs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AFFC20" w14:textId="74AACDBA" w:rsidR="001B3BDD" w:rsidRPr="001F6F28" w:rsidRDefault="001B3BDD" w:rsidP="006E1E81">
    <w:pPr>
      <w:spacing w:line="240" w:lineRule="auto"/>
      <w:jc w:val="left"/>
      <w:rPr>
        <w:sz w:val="2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5F5DF" w14:textId="1955967E" w:rsidR="00A96E85" w:rsidRPr="006E1E81" w:rsidRDefault="00A96E85" w:rsidP="006E1E81">
    <w:pPr>
      <w:tabs>
        <w:tab w:val="right" w:pos="6915"/>
      </w:tabs>
      <w:spacing w:after="27" w:line="240" w:lineRule="auto"/>
      <w:jc w:val="left"/>
      <w:rPr>
        <w:sz w:val="20"/>
        <w:szCs w:val="20"/>
      </w:rPr>
    </w:pP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10</w:t>
    </w:r>
    <w:r w:rsidRPr="006E1E81">
      <w:rPr>
        <w:sz w:val="20"/>
        <w:szCs w:val="20"/>
      </w:rPr>
      <w:fldChar w:fldCharType="end"/>
    </w:r>
    <w:r w:rsidRPr="006E1E81">
      <w:rPr>
        <w:sz w:val="20"/>
        <w:szCs w:val="20"/>
      </w:rPr>
      <w:tab/>
    </w:r>
    <w:r w:rsidRPr="006E1E81">
      <w:rPr>
        <w:sz w:val="20"/>
        <w:szCs w:val="20"/>
      </w:rPr>
      <w:fldChar w:fldCharType="begin"/>
    </w:r>
    <w:r w:rsidRPr="006E1E81">
      <w:rPr>
        <w:sz w:val="20"/>
        <w:szCs w:val="20"/>
      </w:rPr>
      <w:instrText xml:space="preserve"> STYLEREF  Authors  \* MERGEFORMAT </w:instrText>
    </w:r>
    <w:r w:rsidRPr="006E1E81">
      <w:rPr>
        <w:sz w:val="20"/>
        <w:szCs w:val="20"/>
      </w:rPr>
      <w:fldChar w:fldCharType="separate"/>
    </w:r>
    <w:r w:rsidR="00507346">
      <w:rPr>
        <w:noProof/>
        <w:sz w:val="20"/>
        <w:szCs w:val="20"/>
      </w:rPr>
      <w:t>Marianne Bakró-Nagy, Jeremy Bradley, Elena Skribnik</w:t>
    </w:r>
    <w:r w:rsidRPr="006E1E81">
      <w:rPr>
        <w:sz w:val="20"/>
        <w:szCs w:val="20"/>
      </w:rPr>
      <w:fldChar w:fldCharType="end"/>
    </w:r>
  </w:p>
  <w:p w14:paraId="60563BCF" w14:textId="2CC021A6" w:rsidR="00A96E85" w:rsidRPr="006E1E81" w:rsidRDefault="00A96E85" w:rsidP="006E1E81">
    <w:pPr>
      <w:spacing w:line="240" w:lineRule="auto"/>
      <w:jc w:val="lef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422F4" w14:textId="209A546F" w:rsidR="00A96E85" w:rsidRPr="001F6F28" w:rsidRDefault="00A96E85" w:rsidP="006E1E81">
    <w:pPr>
      <w:spacing w:line="240" w:lineRule="auto"/>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DE9B0" w14:textId="784BC165" w:rsidR="00A96E85" w:rsidRPr="006E1E81" w:rsidRDefault="00C33177" w:rsidP="006E1E81">
    <w:pPr>
      <w:tabs>
        <w:tab w:val="right" w:pos="6915"/>
      </w:tabs>
      <w:spacing w:line="240" w:lineRule="auto"/>
      <w:jc w:val="left"/>
      <w:rPr>
        <w:sz w:val="20"/>
        <w:szCs w:val="20"/>
      </w:rPr>
    </w:pPr>
    <w:r w:rsidRPr="006E1E81">
      <w:rPr>
        <w:sz w:val="20"/>
        <w:szCs w:val="20"/>
      </w:rPr>
      <w:t>An annotated bibliography of an illustrious scholar</w:t>
    </w:r>
    <w:r w:rsidR="00A96E85" w:rsidRPr="006E1E81">
      <w:rPr>
        <w:sz w:val="20"/>
        <w:szCs w:val="20"/>
      </w:rPr>
      <w:tab/>
    </w:r>
    <w:r w:rsidR="00A96E85" w:rsidRPr="006E1E81">
      <w:rPr>
        <w:sz w:val="20"/>
        <w:szCs w:val="20"/>
      </w:rPr>
      <w:fldChar w:fldCharType="begin"/>
    </w:r>
    <w:r w:rsidR="00A96E85" w:rsidRPr="006E1E81">
      <w:rPr>
        <w:sz w:val="20"/>
        <w:szCs w:val="20"/>
      </w:rPr>
      <w:instrText xml:space="preserve"> PAGE   \* MERGEFORMAT </w:instrText>
    </w:r>
    <w:r w:rsidR="00A96E85" w:rsidRPr="006E1E81">
      <w:rPr>
        <w:sz w:val="20"/>
        <w:szCs w:val="20"/>
      </w:rPr>
      <w:fldChar w:fldCharType="separate"/>
    </w:r>
    <w:r w:rsidR="00A96E85" w:rsidRPr="006E1E81">
      <w:rPr>
        <w:sz w:val="20"/>
        <w:szCs w:val="20"/>
      </w:rPr>
      <w:t>7</w:t>
    </w:r>
    <w:r w:rsidR="00A96E85" w:rsidRPr="006E1E81">
      <w:rPr>
        <w:sz w:val="20"/>
        <w:szCs w:val="20"/>
      </w:rPr>
      <w:fldChar w:fldCharType="end"/>
    </w:r>
  </w:p>
  <w:p w14:paraId="2F2AEDB0" w14:textId="29D68C6B" w:rsidR="00A96E85" w:rsidRPr="006E1E81" w:rsidRDefault="00A96E85" w:rsidP="006E1E81">
    <w:pPr>
      <w:spacing w:line="240" w:lineRule="auto"/>
      <w:jc w:val="left"/>
      <w:rPr>
        <w:sz w:val="20"/>
        <w:szCs w:val="20"/>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665D6" w14:textId="702A877C" w:rsidR="00A96E85" w:rsidRPr="001F6F28" w:rsidRDefault="00A96E85" w:rsidP="006E1E81">
    <w:pPr>
      <w:spacing w:line="240" w:lineRule="auto"/>
      <w:jc w:val="left"/>
      <w:rPr>
        <w:sz w:val="20"/>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6599E" w14:textId="77777777" w:rsidR="00A96E85" w:rsidRPr="006E1E81" w:rsidRDefault="00A96E85" w:rsidP="006E1E81">
    <w:pPr>
      <w:tabs>
        <w:tab w:val="right" w:pos="6915"/>
      </w:tabs>
      <w:spacing w:after="27" w:line="240" w:lineRule="auto"/>
      <w:jc w:val="left"/>
      <w:rPr>
        <w:sz w:val="20"/>
        <w:szCs w:val="20"/>
      </w:rPr>
    </w:pP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10</w:t>
    </w:r>
    <w:r w:rsidRPr="006E1E81">
      <w:rPr>
        <w:sz w:val="20"/>
        <w:szCs w:val="20"/>
      </w:rPr>
      <w:fldChar w:fldCharType="end"/>
    </w:r>
    <w:r w:rsidRPr="006E1E81">
      <w:rPr>
        <w:sz w:val="20"/>
        <w:szCs w:val="20"/>
      </w:rPr>
      <w:t xml:space="preserve"> </w:t>
    </w:r>
    <w:r w:rsidRPr="006E1E81">
      <w:rPr>
        <w:sz w:val="20"/>
        <w:szCs w:val="20"/>
      </w:rPr>
      <w:tab/>
    </w:r>
  </w:p>
  <w:p w14:paraId="1A88D87E" w14:textId="55FEA619" w:rsidR="00A96E85" w:rsidRPr="006E1E81" w:rsidRDefault="00A96E85" w:rsidP="006E1E81">
    <w:pPr>
      <w:spacing w:line="240" w:lineRule="auto"/>
      <w:jc w:val="left"/>
      <w:rPr>
        <w:sz w:val="20"/>
        <w:szCs w:val="2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4D33D" w14:textId="77777777" w:rsidR="00A96E85" w:rsidRPr="006E1E81" w:rsidRDefault="00A96E85" w:rsidP="006E1E81">
    <w:pPr>
      <w:tabs>
        <w:tab w:val="right" w:pos="6915"/>
      </w:tabs>
      <w:spacing w:line="240" w:lineRule="auto"/>
      <w:jc w:val="left"/>
      <w:rPr>
        <w:sz w:val="20"/>
        <w:szCs w:val="20"/>
      </w:rPr>
    </w:pPr>
    <w:r w:rsidRPr="006E1E81">
      <w:rPr>
        <w:sz w:val="20"/>
        <w:szCs w:val="20"/>
      </w:rPr>
      <w:t>Tabula gratulatoria</w:t>
    </w:r>
    <w:r w:rsidRPr="006E1E81">
      <w:rPr>
        <w:sz w:val="20"/>
        <w:szCs w:val="20"/>
      </w:rPr>
      <w:tab/>
    </w: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7</w:t>
    </w:r>
    <w:r w:rsidRPr="006E1E81">
      <w:rPr>
        <w:sz w:val="20"/>
        <w:szCs w:val="20"/>
      </w:rPr>
      <w:fldChar w:fldCharType="end"/>
    </w:r>
  </w:p>
  <w:p w14:paraId="044886A8" w14:textId="4596654C" w:rsidR="00A96E85" w:rsidRPr="006E1E81" w:rsidRDefault="00A96E85" w:rsidP="006E1E81">
    <w:pPr>
      <w:spacing w:line="240" w:lineRule="auto"/>
      <w:jc w:val="left"/>
      <w:rPr>
        <w:sz w:val="20"/>
        <w:szCs w:val="2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5927A" w14:textId="0FFD01D8" w:rsidR="00A96E85" w:rsidRPr="001F6F28" w:rsidRDefault="00A96E85" w:rsidP="006E1E81">
    <w:pPr>
      <w:spacing w:line="240" w:lineRule="auto"/>
      <w:jc w:val="left"/>
      <w:rPr>
        <w:sz w:val="20"/>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3BCD7" w14:textId="6EA162D5" w:rsidR="00A96E85" w:rsidRPr="006E1E81" w:rsidRDefault="00A96E85" w:rsidP="006E1E81">
    <w:pPr>
      <w:tabs>
        <w:tab w:val="right" w:pos="6915"/>
      </w:tabs>
      <w:spacing w:after="27" w:line="240" w:lineRule="auto"/>
      <w:jc w:val="left"/>
      <w:rPr>
        <w:sz w:val="20"/>
        <w:szCs w:val="20"/>
      </w:rPr>
    </w:pP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10</w:t>
    </w:r>
    <w:r w:rsidRPr="006E1E81">
      <w:rPr>
        <w:sz w:val="20"/>
        <w:szCs w:val="20"/>
      </w:rPr>
      <w:fldChar w:fldCharType="end"/>
    </w:r>
    <w:r w:rsidRPr="006E1E81">
      <w:rPr>
        <w:sz w:val="20"/>
        <w:szCs w:val="20"/>
      </w:rPr>
      <w:t xml:space="preserve"> </w:t>
    </w:r>
    <w:r w:rsidRPr="006E1E81">
      <w:rPr>
        <w:sz w:val="20"/>
        <w:szCs w:val="20"/>
      </w:rPr>
      <w:tab/>
    </w:r>
    <w:r w:rsidRPr="006E1E81">
      <w:rPr>
        <w:sz w:val="20"/>
        <w:szCs w:val="20"/>
      </w:rPr>
      <w:fldChar w:fldCharType="begin"/>
    </w:r>
    <w:r w:rsidRPr="006E1E81">
      <w:rPr>
        <w:sz w:val="20"/>
        <w:szCs w:val="20"/>
      </w:rPr>
      <w:instrText xml:space="preserve"> STYLEREF  Authors  \* MERGEFORMAT </w:instrText>
    </w:r>
    <w:r w:rsidRPr="006E1E81">
      <w:rPr>
        <w:sz w:val="20"/>
        <w:szCs w:val="20"/>
      </w:rPr>
      <w:fldChar w:fldCharType="separate"/>
    </w:r>
    <w:r w:rsidR="00507346">
      <w:rPr>
        <w:noProof/>
        <w:sz w:val="20"/>
        <w:szCs w:val="20"/>
      </w:rPr>
      <w:t>Petri Kallio</w:t>
    </w:r>
    <w:r w:rsidRPr="006E1E81">
      <w:rPr>
        <w:sz w:val="20"/>
        <w:szCs w:val="20"/>
      </w:rPr>
      <w:fldChar w:fldCharType="end"/>
    </w:r>
  </w:p>
  <w:p w14:paraId="0C707088" w14:textId="42CF1C32" w:rsidR="00A96E85" w:rsidRPr="006E1E81" w:rsidRDefault="00A96E85" w:rsidP="006E1E81">
    <w:pPr>
      <w:spacing w:line="240" w:lineRule="auto"/>
      <w:jc w:val="left"/>
      <w:rPr>
        <w:sz w:val="20"/>
        <w:szCs w:val="2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E8EC4" w14:textId="77777777" w:rsidR="00A96E85" w:rsidRPr="006E1E81" w:rsidRDefault="00A96E85" w:rsidP="00AC1192">
    <w:pPr>
      <w:tabs>
        <w:tab w:val="right" w:pos="6915"/>
      </w:tabs>
      <w:suppressAutoHyphens/>
      <w:spacing w:line="240" w:lineRule="auto"/>
      <w:jc w:val="left"/>
      <w:rPr>
        <w:sz w:val="20"/>
        <w:szCs w:val="20"/>
      </w:rPr>
    </w:pPr>
    <w:r w:rsidRPr="006E1E81">
      <w:rPr>
        <w:sz w:val="20"/>
        <w:szCs w:val="20"/>
      </w:rPr>
      <w:t xml:space="preserve">The etymology of Finnish </w:t>
    </w:r>
    <w:r w:rsidRPr="00AC1192">
      <w:rPr>
        <w:i/>
        <w:iCs/>
        <w:sz w:val="20"/>
        <w:szCs w:val="20"/>
      </w:rPr>
      <w:t>laakso</w:t>
    </w:r>
    <w:r w:rsidRPr="006E1E81">
      <w:rPr>
        <w:sz w:val="20"/>
        <w:szCs w:val="20"/>
      </w:rPr>
      <w:t xml:space="preserve"> ‘valley’</w:t>
    </w:r>
    <w:r w:rsidRPr="006E1E81">
      <w:rPr>
        <w:sz w:val="20"/>
        <w:szCs w:val="20"/>
      </w:rPr>
      <w:tab/>
    </w: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sidRPr="006E1E81">
      <w:rPr>
        <w:sz w:val="20"/>
        <w:szCs w:val="20"/>
      </w:rPr>
      <w:t>7</w:t>
    </w:r>
    <w:r w:rsidRPr="006E1E81">
      <w:rPr>
        <w:sz w:val="20"/>
        <w:szCs w:val="20"/>
      </w:rPr>
      <w:fldChar w:fldCharType="end"/>
    </w:r>
  </w:p>
  <w:p w14:paraId="5627D39D" w14:textId="37FA9E54" w:rsidR="00A96E85" w:rsidRPr="006E1E81" w:rsidRDefault="00A96E85" w:rsidP="006E1E81">
    <w:pPr>
      <w:spacing w:line="240" w:lineRule="auto"/>
      <w:jc w:val="left"/>
      <w:rPr>
        <w:sz w:val="20"/>
        <w:szCs w:val="20"/>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4FB30" w14:textId="1419CD1E" w:rsidR="00A96E85" w:rsidRPr="001F6F28" w:rsidRDefault="00A96E85" w:rsidP="006E1E81">
    <w:pPr>
      <w:spacing w:line="240" w:lineRule="auto"/>
      <w:jc w:val="left"/>
      <w:rPr>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B29B8" w14:textId="7CD7C19E" w:rsidR="00534E67" w:rsidRPr="006E1E81" w:rsidRDefault="00534E67" w:rsidP="00534E67">
    <w:pPr>
      <w:tabs>
        <w:tab w:val="right" w:pos="6915"/>
      </w:tabs>
      <w:spacing w:after="27" w:line="240" w:lineRule="auto"/>
      <w:jc w:val="left"/>
      <w:rPr>
        <w:sz w:val="20"/>
        <w:szCs w:val="20"/>
      </w:rPr>
    </w:pPr>
    <w:r w:rsidRPr="006E1E81">
      <w:rPr>
        <w:sz w:val="20"/>
        <w:szCs w:val="20"/>
      </w:rPr>
      <w:fldChar w:fldCharType="begin"/>
    </w:r>
    <w:r w:rsidRPr="006E1E81">
      <w:rPr>
        <w:sz w:val="20"/>
        <w:szCs w:val="20"/>
      </w:rPr>
      <w:instrText xml:space="preserve"> PAGE   \* MERGEFORMAT </w:instrText>
    </w:r>
    <w:r w:rsidRPr="006E1E81">
      <w:rPr>
        <w:sz w:val="20"/>
        <w:szCs w:val="20"/>
      </w:rPr>
      <w:fldChar w:fldCharType="separate"/>
    </w:r>
    <w:r>
      <w:rPr>
        <w:sz w:val="20"/>
        <w:szCs w:val="20"/>
      </w:rPr>
      <w:t>70</w:t>
    </w:r>
    <w:r w:rsidRPr="006E1E81">
      <w:rPr>
        <w:sz w:val="20"/>
        <w:szCs w:val="20"/>
      </w:rPr>
      <w:fldChar w:fldCharType="end"/>
    </w:r>
    <w:r w:rsidRPr="006E1E81">
      <w:rPr>
        <w:sz w:val="20"/>
        <w:szCs w:val="20"/>
      </w:rPr>
      <w:tab/>
    </w:r>
    <w:r w:rsidRPr="006E1E81">
      <w:rPr>
        <w:sz w:val="20"/>
        <w:szCs w:val="20"/>
      </w:rPr>
      <w:fldChar w:fldCharType="begin"/>
    </w:r>
    <w:r w:rsidRPr="006E1E81">
      <w:rPr>
        <w:sz w:val="20"/>
        <w:szCs w:val="20"/>
      </w:rPr>
      <w:instrText xml:space="preserve"> STYLEREF  Authors  \* MERGEFORMAT </w:instrText>
    </w:r>
    <w:r w:rsidRPr="006E1E81">
      <w:rPr>
        <w:sz w:val="20"/>
        <w:szCs w:val="20"/>
      </w:rPr>
      <w:fldChar w:fldCharType="separate"/>
    </w:r>
    <w:r w:rsidR="00507346">
      <w:rPr>
        <w:noProof/>
        <w:sz w:val="20"/>
        <w:szCs w:val="20"/>
      </w:rPr>
      <w:t>Imar Koutchoukali</w:t>
    </w:r>
    <w:r w:rsidRPr="006E1E81">
      <w:rPr>
        <w:sz w:val="20"/>
        <w:szCs w:val="20"/>
      </w:rPr>
      <w:fldChar w:fldCharType="end"/>
    </w:r>
  </w:p>
  <w:p w14:paraId="1697F9D2" w14:textId="44D19A03" w:rsidR="00A96E85" w:rsidRPr="006E1E81" w:rsidRDefault="00A96E85" w:rsidP="00534E67">
    <w:pPr>
      <w:spacing w:line="240" w:lineRule="auto"/>
      <w:jc w:val="left"/>
      <w:rPr>
        <w:sz w:val="20"/>
        <w:szCs w:val="20"/>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16DE7" w14:textId="083F6092" w:rsidR="00A96E85" w:rsidRPr="00810763" w:rsidRDefault="00534E67" w:rsidP="00810763">
    <w:pPr>
      <w:tabs>
        <w:tab w:val="right" w:pos="6915"/>
      </w:tabs>
      <w:spacing w:line="240" w:lineRule="auto"/>
      <w:jc w:val="left"/>
      <w:rPr>
        <w:sz w:val="20"/>
        <w:szCs w:val="20"/>
      </w:rPr>
    </w:pPr>
    <w:r w:rsidRPr="00534E67">
      <w:rPr>
        <w:sz w:val="20"/>
        <w:szCs w:val="20"/>
      </w:rPr>
      <w:t xml:space="preserve">The name </w:t>
    </w:r>
    <w:r w:rsidRPr="00F75F3B">
      <w:rPr>
        <w:i/>
        <w:iCs/>
        <w:sz w:val="20"/>
        <w:szCs w:val="20"/>
      </w:rPr>
      <w:t>Johanna</w:t>
    </w:r>
    <w:r w:rsidRPr="00534E67">
      <w:rPr>
        <w:sz w:val="20"/>
        <w:szCs w:val="20"/>
      </w:rPr>
      <w:t>: some historical, etymological, and cultural notes</w:t>
    </w:r>
    <w:r w:rsidR="00A96E85" w:rsidRPr="00810763">
      <w:rPr>
        <w:sz w:val="20"/>
        <w:szCs w:val="20"/>
      </w:rPr>
      <w:tab/>
    </w:r>
    <w:r w:rsidR="00A96E85" w:rsidRPr="00810763">
      <w:rPr>
        <w:sz w:val="20"/>
        <w:szCs w:val="20"/>
      </w:rPr>
      <w:fldChar w:fldCharType="begin"/>
    </w:r>
    <w:r w:rsidR="00A96E85" w:rsidRPr="00810763">
      <w:rPr>
        <w:sz w:val="20"/>
        <w:szCs w:val="20"/>
      </w:rPr>
      <w:instrText xml:space="preserve"> PAGE   \* MERGEFORMAT </w:instrText>
    </w:r>
    <w:r w:rsidR="00A96E85" w:rsidRPr="00810763">
      <w:rPr>
        <w:sz w:val="20"/>
        <w:szCs w:val="20"/>
      </w:rPr>
      <w:fldChar w:fldCharType="separate"/>
    </w:r>
    <w:r w:rsidR="00A96E85" w:rsidRPr="00810763">
      <w:rPr>
        <w:sz w:val="20"/>
        <w:szCs w:val="20"/>
      </w:rPr>
      <w:t>7</w:t>
    </w:r>
    <w:r w:rsidR="00A96E85" w:rsidRPr="00810763">
      <w:rPr>
        <w:sz w:val="20"/>
        <w:szCs w:val="20"/>
      </w:rPr>
      <w:fldChar w:fldCharType="end"/>
    </w:r>
  </w:p>
  <w:p w14:paraId="11E1FE41" w14:textId="17A1EA57" w:rsidR="00A96E85" w:rsidRPr="00810763" w:rsidRDefault="00A96E85" w:rsidP="00810763">
    <w:pPr>
      <w:spacing w:line="240" w:lineRule="auto"/>
      <w:jc w:val="left"/>
      <w:rPr>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B6DA9" w14:textId="77777777" w:rsidR="000121EA" w:rsidRDefault="00A96E85">
    <w:pPr>
      <w:tabs>
        <w:tab w:val="right" w:pos="6915"/>
      </w:tabs>
      <w:spacing w:after="27"/>
      <w:jc w:val="left"/>
      <w:rPr>
        <w:sz w:val="20"/>
      </w:rPr>
    </w:pPr>
    <w:r w:rsidRPr="001F6F28">
      <w:rPr>
        <w:sz w:val="20"/>
      </w:rPr>
      <w:tab/>
    </w:r>
  </w:p>
  <w:p w14:paraId="125A8836" w14:textId="043CC3AD" w:rsidR="00A96E85" w:rsidRPr="001F6F28" w:rsidRDefault="00A96E85">
    <w:pPr>
      <w:jc w:val="left"/>
      <w:rPr>
        <w:sz w:val="20"/>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3BD4F" w14:textId="74A20B8E" w:rsidR="00A96E85" w:rsidRPr="001F6F28" w:rsidRDefault="00A96E85" w:rsidP="006E1E81">
    <w:pPr>
      <w:spacing w:line="240" w:lineRule="auto"/>
      <w:jc w:val="left"/>
      <w:rPr>
        <w:sz w:val="20"/>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562B7" w14:textId="7738A182" w:rsidR="00A96E85" w:rsidRPr="001F6F28" w:rsidRDefault="00A96E85" w:rsidP="00226DFB">
    <w:pPr>
      <w:tabs>
        <w:tab w:val="right" w:pos="6915"/>
      </w:tabs>
      <w:spacing w:after="27"/>
      <w:jc w:val="left"/>
    </w:pPr>
    <w:r w:rsidRPr="001F6F28">
      <w:rPr>
        <w:sz w:val="24"/>
      </w:rPr>
      <w:fldChar w:fldCharType="begin"/>
    </w:r>
    <w:r w:rsidRPr="001F6F28">
      <w:instrText xml:space="preserve"> PAGE   \* MERGEFORMAT </w:instrText>
    </w:r>
    <w:r w:rsidRPr="001F6F28">
      <w:rPr>
        <w:sz w:val="24"/>
      </w:rPr>
      <w:fldChar w:fldCharType="separate"/>
    </w:r>
    <w:r w:rsidRPr="001F6F28">
      <w:rPr>
        <w:sz w:val="20"/>
      </w:rPr>
      <w:t>10</w:t>
    </w:r>
    <w:r w:rsidRPr="001F6F28">
      <w:rPr>
        <w:sz w:val="20"/>
      </w:rPr>
      <w:fldChar w:fldCharType="end"/>
    </w:r>
    <w:r w:rsidRPr="001F6F28">
      <w:rPr>
        <w:sz w:val="20"/>
      </w:rPr>
      <w:t xml:space="preserve"> </w:t>
    </w:r>
    <w:r w:rsidRPr="001F6F28">
      <w:rPr>
        <w:sz w:val="20"/>
      </w:rPr>
      <w:tab/>
    </w:r>
    <w:r>
      <w:rPr>
        <w:sz w:val="20"/>
      </w:rPr>
      <w:fldChar w:fldCharType="begin"/>
    </w:r>
    <w:r>
      <w:rPr>
        <w:sz w:val="20"/>
      </w:rPr>
      <w:instrText xml:space="preserve"> STYLEREF  Authors  \* MERGEFORMAT </w:instrText>
    </w:r>
    <w:r>
      <w:rPr>
        <w:sz w:val="20"/>
      </w:rPr>
      <w:fldChar w:fldCharType="separate"/>
    </w:r>
    <w:r w:rsidR="00507346">
      <w:rPr>
        <w:noProof/>
        <w:sz w:val="20"/>
      </w:rPr>
      <w:t>Imar Koutchoukali</w:t>
    </w:r>
    <w:r>
      <w:rPr>
        <w:sz w:val="20"/>
      </w:rPr>
      <w:fldChar w:fldCharType="end"/>
    </w:r>
  </w:p>
  <w:p w14:paraId="08EB89C8" w14:textId="77777777" w:rsidR="000121EA" w:rsidRDefault="000121EA">
    <w:pPr>
      <w:jc w:val="left"/>
    </w:pPr>
  </w:p>
  <w:p w14:paraId="2448E51E" w14:textId="76071633" w:rsidR="00A96E85" w:rsidRPr="001F6F28" w:rsidRDefault="00A96E85">
    <w:pPr>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1B043" w14:textId="77777777" w:rsidR="00A96E85" w:rsidRPr="001F6F28" w:rsidRDefault="00A96E85" w:rsidP="00226DFB">
    <w:pPr>
      <w:tabs>
        <w:tab w:val="right" w:pos="6915"/>
      </w:tabs>
      <w:jc w:val="left"/>
    </w:pPr>
    <w:r>
      <w:rPr>
        <w:sz w:val="20"/>
      </w:rPr>
      <w:t>[Bibliographie]</w:t>
    </w:r>
    <w:r w:rsidRPr="001F6F28">
      <w:rPr>
        <w:sz w:val="20"/>
      </w:rPr>
      <w:tab/>
    </w:r>
    <w:r w:rsidRPr="001F6F28">
      <w:rPr>
        <w:sz w:val="24"/>
      </w:rPr>
      <w:fldChar w:fldCharType="begin"/>
    </w:r>
    <w:r w:rsidRPr="001F6F28">
      <w:instrText xml:space="preserve"> PAGE   \* MERGEFORMAT </w:instrText>
    </w:r>
    <w:r w:rsidRPr="001F6F28">
      <w:rPr>
        <w:sz w:val="24"/>
      </w:rPr>
      <w:fldChar w:fldCharType="separate"/>
    </w:r>
    <w:r w:rsidRPr="001F6F28">
      <w:rPr>
        <w:sz w:val="20"/>
      </w:rPr>
      <w:t>7</w:t>
    </w:r>
    <w:r w:rsidRPr="001F6F28">
      <w:rPr>
        <w:sz w:val="20"/>
      </w:rPr>
      <w:fldChar w:fldCharType="end"/>
    </w:r>
  </w:p>
  <w:p w14:paraId="6CEE62D9" w14:textId="77777777" w:rsidR="000121EA" w:rsidRDefault="000121EA">
    <w:pPr>
      <w:jc w:val="left"/>
    </w:pPr>
  </w:p>
  <w:p w14:paraId="0983BA2F" w14:textId="4F117CD2" w:rsidR="00A96E85" w:rsidRPr="001F6F28" w:rsidRDefault="00A96E85">
    <w:pPr>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D9A24" w14:textId="10530184" w:rsidR="00A96E85" w:rsidRPr="001F6F28" w:rsidRDefault="00A96E85" w:rsidP="00810763">
    <w:pPr>
      <w:spacing w:line="240" w:lineRule="auto"/>
      <w:jc w:val="left"/>
      <w:rPr>
        <w:sz w:val="20"/>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07B0E" w14:textId="4ED7F968" w:rsidR="00A96E85" w:rsidRPr="00810763" w:rsidRDefault="00A96E85" w:rsidP="00810763">
    <w:pPr>
      <w:tabs>
        <w:tab w:val="right" w:pos="6915"/>
      </w:tabs>
      <w:spacing w:after="27" w:line="240" w:lineRule="auto"/>
      <w:jc w:val="left"/>
      <w:rPr>
        <w:sz w:val="20"/>
        <w:szCs w:val="20"/>
      </w:rPr>
    </w:pP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10</w:t>
    </w:r>
    <w:r w:rsidRPr="00810763">
      <w:rPr>
        <w:sz w:val="20"/>
        <w:szCs w:val="20"/>
      </w:rPr>
      <w:fldChar w:fldCharType="end"/>
    </w:r>
    <w:r w:rsidRPr="00810763">
      <w:rPr>
        <w:sz w:val="20"/>
        <w:szCs w:val="20"/>
      </w:rPr>
      <w:tab/>
    </w:r>
    <w:r w:rsidRPr="00810763">
      <w:rPr>
        <w:sz w:val="20"/>
        <w:szCs w:val="20"/>
      </w:rPr>
      <w:fldChar w:fldCharType="begin"/>
    </w:r>
    <w:r w:rsidRPr="00810763">
      <w:rPr>
        <w:sz w:val="20"/>
        <w:szCs w:val="20"/>
      </w:rPr>
      <w:instrText xml:space="preserve"> STYLEREF  Authors  \* MERGEFORMAT </w:instrText>
    </w:r>
    <w:r w:rsidR="00507346">
      <w:rPr>
        <w:sz w:val="20"/>
        <w:szCs w:val="20"/>
      </w:rPr>
      <w:fldChar w:fldCharType="separate"/>
    </w:r>
    <w:r w:rsidR="00507346">
      <w:rPr>
        <w:noProof/>
        <w:sz w:val="20"/>
        <w:szCs w:val="20"/>
      </w:rPr>
      <w:t>Jeremy Bradley, Rogier Blokland</w:t>
    </w:r>
    <w:r w:rsidRPr="00810763">
      <w:rPr>
        <w:sz w:val="20"/>
        <w:szCs w:val="20"/>
      </w:rPr>
      <w:fldChar w:fldCharType="end"/>
    </w:r>
  </w:p>
  <w:p w14:paraId="44DDAB24" w14:textId="215C76E4" w:rsidR="00A96E85" w:rsidRPr="00810763" w:rsidRDefault="00A96E85" w:rsidP="00810763">
    <w:pPr>
      <w:spacing w:line="240" w:lineRule="auto"/>
      <w:jc w:val="left"/>
      <w:rPr>
        <w:sz w:val="20"/>
        <w:szCs w:val="20"/>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0C8981" w14:textId="77777777" w:rsidR="00A96E85" w:rsidRPr="00810763" w:rsidRDefault="00A96E85" w:rsidP="00AC1192">
    <w:pPr>
      <w:tabs>
        <w:tab w:val="right" w:pos="6915"/>
      </w:tabs>
      <w:suppressAutoHyphens/>
      <w:spacing w:line="240" w:lineRule="auto"/>
      <w:jc w:val="left"/>
      <w:rPr>
        <w:sz w:val="20"/>
        <w:szCs w:val="20"/>
      </w:rPr>
    </w:pPr>
    <w:r w:rsidRPr="00810763">
      <w:rPr>
        <w:sz w:val="20"/>
        <w:szCs w:val="20"/>
      </w:rPr>
      <w:t xml:space="preserve">Children of the </w:t>
    </w:r>
    <w:r w:rsidRPr="00AC1192">
      <w:rPr>
        <w:i/>
        <w:iCs/>
        <w:sz w:val="20"/>
        <w:szCs w:val="20"/>
      </w:rPr>
      <w:t>Hexenkreis</w:t>
    </w:r>
    <w:r w:rsidRPr="00810763">
      <w:rPr>
        <w:sz w:val="20"/>
        <w:szCs w:val="20"/>
      </w:rPr>
      <w:t>: COPIUS, REMODUS, and beyond</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7</w:t>
    </w:r>
    <w:r w:rsidRPr="00810763">
      <w:rPr>
        <w:sz w:val="20"/>
        <w:szCs w:val="20"/>
      </w:rPr>
      <w:fldChar w:fldCharType="end"/>
    </w:r>
  </w:p>
  <w:p w14:paraId="7D04162A" w14:textId="730E1CDC" w:rsidR="00A96E85" w:rsidRPr="00810763" w:rsidRDefault="00A96E85" w:rsidP="00810763">
    <w:pPr>
      <w:spacing w:line="240" w:lineRule="auto"/>
      <w:jc w:val="left"/>
      <w:rPr>
        <w:sz w:val="20"/>
        <w:szCs w:val="20"/>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B0527" w14:textId="7351A5FD" w:rsidR="00A96E85" w:rsidRPr="001F6F28" w:rsidRDefault="00A96E85" w:rsidP="00810763">
    <w:pPr>
      <w:spacing w:line="240" w:lineRule="auto"/>
      <w:jc w:val="left"/>
      <w:rPr>
        <w:sz w:val="20"/>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4E033" w14:textId="2689F5E1" w:rsidR="007D7738" w:rsidRPr="00810763" w:rsidRDefault="007D7738" w:rsidP="00810763">
    <w:pPr>
      <w:tabs>
        <w:tab w:val="right" w:pos="6915"/>
      </w:tabs>
      <w:spacing w:after="27" w:line="240" w:lineRule="auto"/>
      <w:jc w:val="left"/>
      <w:rPr>
        <w:sz w:val="20"/>
        <w:szCs w:val="20"/>
      </w:rPr>
    </w:pP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10</w:t>
    </w:r>
    <w:r w:rsidRPr="00810763">
      <w:rPr>
        <w:sz w:val="20"/>
        <w:szCs w:val="20"/>
      </w:rPr>
      <w:fldChar w:fldCharType="end"/>
    </w:r>
    <w:r w:rsidRPr="00810763">
      <w:rPr>
        <w:sz w:val="20"/>
        <w:szCs w:val="20"/>
      </w:rPr>
      <w:tab/>
    </w:r>
    <w:r w:rsidRPr="00810763">
      <w:rPr>
        <w:sz w:val="20"/>
        <w:szCs w:val="20"/>
      </w:rPr>
      <w:fldChar w:fldCharType="begin"/>
    </w:r>
    <w:r w:rsidRPr="00810763">
      <w:rPr>
        <w:sz w:val="20"/>
        <w:szCs w:val="20"/>
      </w:rPr>
      <w:instrText xml:space="preserve"> STYLEREF  Authors  \* MERGEFORMAT </w:instrText>
    </w:r>
    <w:r w:rsidRPr="00810763">
      <w:rPr>
        <w:sz w:val="20"/>
        <w:szCs w:val="20"/>
      </w:rPr>
      <w:fldChar w:fldCharType="separate"/>
    </w:r>
    <w:r w:rsidR="00507346">
      <w:rPr>
        <w:noProof/>
        <w:sz w:val="20"/>
        <w:szCs w:val="20"/>
      </w:rPr>
      <w:t>Márta Csire, Katalin Wirker-Dobány</w:t>
    </w:r>
    <w:r w:rsidRPr="00810763">
      <w:rPr>
        <w:sz w:val="20"/>
        <w:szCs w:val="20"/>
      </w:rPr>
      <w:fldChar w:fldCharType="end"/>
    </w:r>
  </w:p>
  <w:p w14:paraId="6539B2C2" w14:textId="7699CBE7" w:rsidR="007D7738" w:rsidRPr="00810763" w:rsidRDefault="007D7738" w:rsidP="00810763">
    <w:pPr>
      <w:spacing w:line="240" w:lineRule="auto"/>
      <w:jc w:val="left"/>
      <w:rPr>
        <w:sz w:val="20"/>
        <w:szCs w:val="20"/>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CCE51" w14:textId="7989C04D" w:rsidR="007D7738" w:rsidRPr="00810763" w:rsidRDefault="007D7738" w:rsidP="00810763">
    <w:pPr>
      <w:tabs>
        <w:tab w:val="right" w:pos="6915"/>
      </w:tabs>
      <w:spacing w:line="240" w:lineRule="auto"/>
      <w:jc w:val="left"/>
      <w:rPr>
        <w:sz w:val="20"/>
        <w:szCs w:val="20"/>
      </w:rPr>
    </w:pPr>
    <w:r w:rsidRPr="00810763">
      <w:rPr>
        <w:sz w:val="20"/>
        <w:szCs w:val="20"/>
      </w:rPr>
      <w:t>Sprachentwicklung von ung.</w:t>
    </w:r>
    <w:r w:rsidR="00376306" w:rsidRPr="00810763">
      <w:rPr>
        <w:sz w:val="20"/>
        <w:szCs w:val="20"/>
      </w:rPr>
      <w:t xml:space="preserve"> und </w:t>
    </w:r>
    <w:r w:rsidRPr="00810763">
      <w:rPr>
        <w:sz w:val="20"/>
        <w:szCs w:val="20"/>
      </w:rPr>
      <w:t>deu. Volksschulkindern</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7</w:t>
    </w:r>
    <w:r w:rsidRPr="00810763">
      <w:rPr>
        <w:sz w:val="20"/>
        <w:szCs w:val="20"/>
      </w:rPr>
      <w:fldChar w:fldCharType="end"/>
    </w:r>
  </w:p>
  <w:p w14:paraId="3603AD80" w14:textId="295D7803" w:rsidR="007D7738" w:rsidRPr="00810763" w:rsidRDefault="007D7738" w:rsidP="00810763">
    <w:pPr>
      <w:spacing w:line="240" w:lineRule="auto"/>
      <w:jc w:val="left"/>
      <w:rPr>
        <w:sz w:val="20"/>
        <w:szCs w:val="20"/>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B95BC" w14:textId="67D32379" w:rsidR="007D7738" w:rsidRPr="001F6F28" w:rsidRDefault="007D7738" w:rsidP="00810763">
    <w:pPr>
      <w:spacing w:line="240" w:lineRule="auto"/>
      <w:jc w:val="left"/>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8DA28" w14:textId="5F1AAD81" w:rsidR="00A96E85" w:rsidRPr="006E1E81" w:rsidRDefault="00A96E85" w:rsidP="006E1E81">
    <w:pPr>
      <w:spacing w:line="240" w:lineRule="auto"/>
      <w:jc w:val="left"/>
      <w:rPr>
        <w:sz w:val="20"/>
        <w:szCs w:val="20"/>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2232D" w14:textId="38D82BFA" w:rsidR="00A96E85" w:rsidRDefault="00A96E85" w:rsidP="00810763">
    <w:pPr>
      <w:tabs>
        <w:tab w:val="right" w:pos="6915"/>
      </w:tabs>
      <w:spacing w:after="27" w:line="240" w:lineRule="auto"/>
      <w:jc w:val="left"/>
      <w:rPr>
        <w:sz w:val="20"/>
        <w:szCs w:val="20"/>
      </w:rPr>
    </w:pP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10</w:t>
    </w:r>
    <w:r w:rsidRPr="00810763">
      <w:rPr>
        <w:sz w:val="20"/>
        <w:szCs w:val="20"/>
      </w:rPr>
      <w:fldChar w:fldCharType="end"/>
    </w:r>
    <w:r w:rsidRPr="00810763">
      <w:rPr>
        <w:sz w:val="20"/>
        <w:szCs w:val="20"/>
      </w:rPr>
      <w:tab/>
    </w:r>
    <w:r w:rsidRPr="00810763">
      <w:rPr>
        <w:sz w:val="20"/>
        <w:szCs w:val="20"/>
      </w:rPr>
      <w:fldChar w:fldCharType="begin"/>
    </w:r>
    <w:r w:rsidRPr="00810763">
      <w:rPr>
        <w:sz w:val="20"/>
        <w:szCs w:val="20"/>
      </w:rPr>
      <w:instrText xml:space="preserve"> STYLEREF  Authors  \* MERGEFORMAT </w:instrText>
    </w:r>
    <w:r w:rsidRPr="00810763">
      <w:rPr>
        <w:sz w:val="20"/>
        <w:szCs w:val="20"/>
      </w:rPr>
      <w:fldChar w:fldCharType="separate"/>
    </w:r>
    <w:r w:rsidR="00507346">
      <w:rPr>
        <w:noProof/>
        <w:sz w:val="20"/>
        <w:szCs w:val="20"/>
      </w:rPr>
      <w:t>Santeri Junttila</w:t>
    </w:r>
    <w:r w:rsidRPr="00810763">
      <w:rPr>
        <w:sz w:val="20"/>
        <w:szCs w:val="20"/>
      </w:rPr>
      <w:fldChar w:fldCharType="end"/>
    </w:r>
  </w:p>
  <w:p w14:paraId="4534AD25" w14:textId="77777777" w:rsidR="005D00B9" w:rsidRPr="00810763" w:rsidRDefault="005D00B9" w:rsidP="00810763">
    <w:pPr>
      <w:tabs>
        <w:tab w:val="right" w:pos="6915"/>
      </w:tabs>
      <w:spacing w:after="27" w:line="240" w:lineRule="auto"/>
      <w:jc w:val="left"/>
      <w:rPr>
        <w:sz w:val="20"/>
        <w:szCs w:val="20"/>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F2093" w14:textId="77777777" w:rsidR="00A96E85" w:rsidRPr="00810763" w:rsidRDefault="00A96E85" w:rsidP="00810763">
    <w:pPr>
      <w:tabs>
        <w:tab w:val="right" w:pos="6915"/>
      </w:tabs>
      <w:spacing w:line="240" w:lineRule="auto"/>
      <w:jc w:val="left"/>
      <w:rPr>
        <w:sz w:val="20"/>
        <w:szCs w:val="20"/>
      </w:rPr>
    </w:pPr>
    <w:bookmarkStart w:id="37" w:name="_Hlk104310554"/>
    <w:r w:rsidRPr="00810763">
      <w:rPr>
        <w:sz w:val="20"/>
        <w:szCs w:val="20"/>
      </w:rPr>
      <w:t>Johdatus kuilinalaiseen kielentutkimukseen</w:t>
    </w:r>
    <w:r w:rsidRPr="00810763">
      <w:rPr>
        <w:sz w:val="20"/>
        <w:szCs w:val="20"/>
      </w:rPr>
      <w:tab/>
    </w:r>
    <w:bookmarkEnd w:id="37"/>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7</w:t>
    </w:r>
    <w:r w:rsidRPr="00810763">
      <w:rPr>
        <w:sz w:val="20"/>
        <w:szCs w:val="20"/>
      </w:rPr>
      <w:fldChar w:fldCharType="end"/>
    </w:r>
  </w:p>
  <w:p w14:paraId="26219ADE" w14:textId="306AE7EB" w:rsidR="00A96E85" w:rsidRPr="00810763" w:rsidRDefault="00A96E85" w:rsidP="00810763">
    <w:pPr>
      <w:spacing w:line="240" w:lineRule="auto"/>
      <w:jc w:val="left"/>
      <w:rPr>
        <w:sz w:val="20"/>
        <w:szCs w:val="20"/>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0C10D" w14:textId="666082BD" w:rsidR="00A96E85" w:rsidRPr="001F6F28" w:rsidRDefault="00A96E85" w:rsidP="00810763">
    <w:pPr>
      <w:spacing w:line="240" w:lineRule="auto"/>
      <w:jc w:val="left"/>
      <w:rPr>
        <w:sz w:val="20"/>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F3CA6" w14:textId="098B68AD" w:rsidR="00A96E85" w:rsidRPr="001F6F28" w:rsidRDefault="00A96E85" w:rsidP="00226DFB">
    <w:pPr>
      <w:tabs>
        <w:tab w:val="right" w:pos="6915"/>
      </w:tabs>
      <w:spacing w:after="27"/>
      <w:jc w:val="left"/>
    </w:pPr>
    <w:r w:rsidRPr="001F6F28">
      <w:rPr>
        <w:sz w:val="24"/>
      </w:rPr>
      <w:fldChar w:fldCharType="begin"/>
    </w:r>
    <w:r w:rsidRPr="001F6F28">
      <w:instrText xml:space="preserve"> PAGE   \* MERGEFORMAT </w:instrText>
    </w:r>
    <w:r w:rsidRPr="001F6F28">
      <w:rPr>
        <w:sz w:val="24"/>
      </w:rPr>
      <w:fldChar w:fldCharType="separate"/>
    </w:r>
    <w:r w:rsidRPr="001F6F28">
      <w:rPr>
        <w:sz w:val="20"/>
      </w:rPr>
      <w:t>10</w:t>
    </w:r>
    <w:r w:rsidRPr="001F6F28">
      <w:rPr>
        <w:sz w:val="20"/>
      </w:rPr>
      <w:fldChar w:fldCharType="end"/>
    </w:r>
    <w:r w:rsidRPr="001F6F28">
      <w:rPr>
        <w:sz w:val="20"/>
      </w:rPr>
      <w:t xml:space="preserve"> </w:t>
    </w:r>
    <w:r w:rsidRPr="001F6F28">
      <w:rPr>
        <w:sz w:val="20"/>
      </w:rPr>
      <w:tab/>
    </w:r>
    <w:r>
      <w:rPr>
        <w:sz w:val="20"/>
      </w:rPr>
      <w:fldChar w:fldCharType="begin"/>
    </w:r>
    <w:r>
      <w:rPr>
        <w:sz w:val="20"/>
      </w:rPr>
      <w:instrText xml:space="preserve"> STYLEREF  Authors  \* MERGEFORMAT </w:instrText>
    </w:r>
    <w:r>
      <w:rPr>
        <w:sz w:val="20"/>
      </w:rPr>
      <w:fldChar w:fldCharType="separate"/>
    </w:r>
    <w:r w:rsidR="00507346">
      <w:rPr>
        <w:noProof/>
        <w:sz w:val="20"/>
      </w:rPr>
      <w:t>Santeri Junttila</w:t>
    </w:r>
    <w:r>
      <w:rPr>
        <w:sz w:val="20"/>
      </w:rPr>
      <w:fldChar w:fldCharType="end"/>
    </w:r>
  </w:p>
  <w:p w14:paraId="20837269" w14:textId="77777777" w:rsidR="000121EA" w:rsidRDefault="000121EA">
    <w:pPr>
      <w:jc w:val="left"/>
    </w:pPr>
  </w:p>
  <w:p w14:paraId="4FB668EC" w14:textId="3648C391" w:rsidR="00A96E85" w:rsidRPr="001F6F28" w:rsidRDefault="00A96E85">
    <w:pPr>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2DF90" w14:textId="77777777" w:rsidR="00A96E85" w:rsidRPr="001F6F28" w:rsidRDefault="00A96E85" w:rsidP="00226DFB">
    <w:pPr>
      <w:tabs>
        <w:tab w:val="right" w:pos="6915"/>
      </w:tabs>
      <w:jc w:val="left"/>
    </w:pPr>
    <w:r>
      <w:rPr>
        <w:sz w:val="20"/>
      </w:rPr>
      <w:t>[Bibliographie]</w:t>
    </w:r>
    <w:r w:rsidRPr="001F6F28">
      <w:rPr>
        <w:sz w:val="20"/>
      </w:rPr>
      <w:tab/>
    </w:r>
    <w:r w:rsidRPr="001F6F28">
      <w:rPr>
        <w:sz w:val="24"/>
      </w:rPr>
      <w:fldChar w:fldCharType="begin"/>
    </w:r>
    <w:r w:rsidRPr="001F6F28">
      <w:instrText xml:space="preserve"> PAGE   \* MERGEFORMAT </w:instrText>
    </w:r>
    <w:r w:rsidRPr="001F6F28">
      <w:rPr>
        <w:sz w:val="24"/>
      </w:rPr>
      <w:fldChar w:fldCharType="separate"/>
    </w:r>
    <w:r w:rsidRPr="001F6F28">
      <w:rPr>
        <w:sz w:val="20"/>
      </w:rPr>
      <w:t>7</w:t>
    </w:r>
    <w:r w:rsidRPr="001F6F28">
      <w:rPr>
        <w:sz w:val="20"/>
      </w:rPr>
      <w:fldChar w:fldCharType="end"/>
    </w:r>
  </w:p>
  <w:p w14:paraId="502E7974" w14:textId="77777777" w:rsidR="000121EA" w:rsidRDefault="000121EA">
    <w:pPr>
      <w:jc w:val="left"/>
    </w:pPr>
  </w:p>
  <w:p w14:paraId="43C7933E" w14:textId="6DC8ECB9" w:rsidR="00A96E85" w:rsidRPr="001F6F28" w:rsidRDefault="00A96E85">
    <w:pPr>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D4967" w14:textId="21F647E9" w:rsidR="00A96E85" w:rsidRPr="001F6F28" w:rsidRDefault="00A96E85" w:rsidP="00810763">
    <w:pPr>
      <w:spacing w:line="240" w:lineRule="auto"/>
      <w:jc w:val="left"/>
      <w:rPr>
        <w:sz w:val="20"/>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FD327" w14:textId="5882B42E" w:rsidR="00A96E85" w:rsidRPr="00810763" w:rsidRDefault="00A96E85" w:rsidP="00810763">
    <w:pPr>
      <w:tabs>
        <w:tab w:val="right" w:pos="6915"/>
      </w:tabs>
      <w:spacing w:after="27" w:line="240" w:lineRule="auto"/>
      <w:jc w:val="left"/>
      <w:rPr>
        <w:sz w:val="20"/>
        <w:szCs w:val="20"/>
      </w:rPr>
    </w:pP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10</w:t>
    </w:r>
    <w:r w:rsidRPr="00810763">
      <w:rPr>
        <w:sz w:val="20"/>
        <w:szCs w:val="20"/>
      </w:rPr>
      <w:fldChar w:fldCharType="end"/>
    </w:r>
    <w:r w:rsidRPr="00810763">
      <w:rPr>
        <w:sz w:val="20"/>
        <w:szCs w:val="20"/>
      </w:rPr>
      <w:t xml:space="preserve"> </w:t>
    </w:r>
    <w:r w:rsidRPr="00810763">
      <w:rPr>
        <w:sz w:val="20"/>
        <w:szCs w:val="20"/>
      </w:rPr>
      <w:tab/>
    </w:r>
    <w:r w:rsidRPr="00810763">
      <w:rPr>
        <w:sz w:val="20"/>
        <w:szCs w:val="20"/>
      </w:rPr>
      <w:fldChar w:fldCharType="begin"/>
    </w:r>
    <w:r w:rsidRPr="00810763">
      <w:rPr>
        <w:sz w:val="20"/>
        <w:szCs w:val="20"/>
      </w:rPr>
      <w:instrText xml:space="preserve"> STYLEREF  Authors  \* MERGEFORMAT </w:instrText>
    </w:r>
    <w:r w:rsidRPr="00810763">
      <w:rPr>
        <w:sz w:val="20"/>
        <w:szCs w:val="20"/>
      </w:rPr>
      <w:fldChar w:fldCharType="separate"/>
    </w:r>
    <w:r w:rsidR="00507346">
      <w:rPr>
        <w:noProof/>
        <w:sz w:val="20"/>
        <w:szCs w:val="20"/>
      </w:rPr>
      <w:t>Rigina Ajanki</w:t>
    </w:r>
    <w:r w:rsidRPr="00810763">
      <w:rPr>
        <w:sz w:val="20"/>
        <w:szCs w:val="20"/>
      </w:rPr>
      <w:fldChar w:fldCharType="end"/>
    </w:r>
  </w:p>
  <w:p w14:paraId="74743B08" w14:textId="04B9E37F" w:rsidR="00A96E85" w:rsidRPr="00810763" w:rsidRDefault="00A96E85" w:rsidP="00810763">
    <w:pPr>
      <w:spacing w:line="240" w:lineRule="auto"/>
      <w:jc w:val="left"/>
      <w:rPr>
        <w:sz w:val="20"/>
        <w:szCs w:val="20"/>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D7554" w14:textId="77777777" w:rsidR="00A96E85" w:rsidRPr="00810763" w:rsidRDefault="00A96E85" w:rsidP="00AC1192">
    <w:pPr>
      <w:tabs>
        <w:tab w:val="right" w:pos="6915"/>
      </w:tabs>
      <w:suppressAutoHyphens/>
      <w:spacing w:line="240" w:lineRule="auto"/>
      <w:jc w:val="left"/>
      <w:rPr>
        <w:sz w:val="20"/>
        <w:szCs w:val="20"/>
      </w:rPr>
    </w:pPr>
    <w:r w:rsidRPr="00810763">
      <w:rPr>
        <w:sz w:val="20"/>
        <w:szCs w:val="20"/>
      </w:rPr>
      <w:t>Preesenstunnuksesta *</w:t>
    </w:r>
    <w:r w:rsidRPr="00AC1192">
      <w:rPr>
        <w:i/>
        <w:iCs/>
        <w:sz w:val="20"/>
        <w:szCs w:val="20"/>
      </w:rPr>
      <w:t>k</w:t>
    </w:r>
    <w:r w:rsidRPr="00810763">
      <w:rPr>
        <w:sz w:val="20"/>
        <w:szCs w:val="20"/>
      </w:rPr>
      <w:t xml:space="preserve"> ja persoonatunnusten muutoksesta länsiuralissa</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7</w:t>
    </w:r>
    <w:r w:rsidRPr="00810763">
      <w:rPr>
        <w:sz w:val="20"/>
        <w:szCs w:val="20"/>
      </w:rPr>
      <w:fldChar w:fldCharType="end"/>
    </w:r>
  </w:p>
  <w:p w14:paraId="4F6AF746" w14:textId="7928C5E6" w:rsidR="00A96E85" w:rsidRPr="00810763" w:rsidRDefault="00A96E85" w:rsidP="00810763">
    <w:pPr>
      <w:spacing w:line="240" w:lineRule="auto"/>
      <w:jc w:val="left"/>
      <w:rPr>
        <w:sz w:val="20"/>
        <w:szCs w:val="20"/>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0CA66" w14:textId="3A01E931" w:rsidR="00A96E85" w:rsidRPr="001F6F28" w:rsidRDefault="00A96E85" w:rsidP="00810763">
    <w:pPr>
      <w:spacing w:line="240" w:lineRule="auto"/>
      <w:jc w:val="left"/>
      <w:rPr>
        <w:sz w:val="20"/>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C7592" w14:textId="3292FBCF" w:rsidR="005B26AB" w:rsidRPr="00810763" w:rsidRDefault="005B26AB" w:rsidP="00810763">
    <w:pPr>
      <w:tabs>
        <w:tab w:val="right" w:pos="6915"/>
      </w:tabs>
      <w:spacing w:after="27" w:line="240" w:lineRule="auto"/>
      <w:jc w:val="left"/>
      <w:rPr>
        <w:sz w:val="20"/>
        <w:szCs w:val="20"/>
      </w:rPr>
    </w:pP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noProof/>
        <w:sz w:val="20"/>
        <w:szCs w:val="20"/>
      </w:rPr>
      <w:t>2</w:t>
    </w:r>
    <w:r w:rsidRPr="00810763">
      <w:rPr>
        <w:sz w:val="20"/>
        <w:szCs w:val="20"/>
      </w:rPr>
      <w:fldChar w:fldCharType="end"/>
    </w:r>
    <w:r w:rsidRPr="00810763">
      <w:rPr>
        <w:sz w:val="20"/>
        <w:szCs w:val="20"/>
      </w:rPr>
      <w:t xml:space="preserve"> </w:t>
    </w:r>
    <w:r w:rsidRPr="00810763">
      <w:rPr>
        <w:sz w:val="20"/>
        <w:szCs w:val="20"/>
      </w:rPr>
      <w:tab/>
    </w:r>
    <w:r w:rsidRPr="00810763">
      <w:rPr>
        <w:sz w:val="20"/>
        <w:szCs w:val="20"/>
      </w:rPr>
      <w:fldChar w:fldCharType="begin"/>
    </w:r>
    <w:r w:rsidRPr="00810763">
      <w:rPr>
        <w:sz w:val="20"/>
        <w:szCs w:val="20"/>
      </w:rPr>
      <w:instrText xml:space="preserve"> STYLEREF  Authors  \* MERGEFORMAT </w:instrText>
    </w:r>
    <w:r w:rsidRPr="00810763">
      <w:rPr>
        <w:sz w:val="20"/>
        <w:szCs w:val="20"/>
      </w:rPr>
      <w:fldChar w:fldCharType="separate"/>
    </w:r>
    <w:r w:rsidR="00507346" w:rsidRPr="00507346">
      <w:rPr>
        <w:noProof/>
        <w:sz w:val="20"/>
        <w:szCs w:val="20"/>
        <w:lang w:val="en-US"/>
      </w:rPr>
      <w:t>Bernadett Bíró</w:t>
    </w:r>
    <w:r w:rsidR="00507346">
      <w:rPr>
        <w:noProof/>
        <w:sz w:val="20"/>
        <w:szCs w:val="20"/>
      </w:rPr>
      <w:t>, Katalin Sipőcz, Sándor Szeverényi</w:t>
    </w:r>
    <w:r w:rsidRPr="00810763">
      <w:rPr>
        <w:sz w:val="20"/>
        <w:szCs w:val="20"/>
      </w:rPr>
      <w:fldChar w:fldCharType="end"/>
    </w:r>
  </w:p>
  <w:p w14:paraId="32C70302" w14:textId="3D9C33DC" w:rsidR="005B26AB" w:rsidRPr="00810763" w:rsidRDefault="005B26AB" w:rsidP="00810763">
    <w:pPr>
      <w:spacing w:line="240" w:lineRule="auto"/>
      <w:jc w:val="left"/>
      <w:rPr>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2D212" w14:textId="3233FE11" w:rsidR="00A96E85" w:rsidRPr="006E1E81" w:rsidRDefault="00A96E85" w:rsidP="006E1E81">
    <w:pPr>
      <w:spacing w:line="240" w:lineRule="auto"/>
      <w:jc w:val="left"/>
      <w:rPr>
        <w:sz w:val="20"/>
        <w:szCs w:val="20"/>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2BA85" w14:textId="77777777" w:rsidR="005B26AB" w:rsidRPr="00810763" w:rsidRDefault="005B26AB" w:rsidP="00810763">
    <w:pPr>
      <w:tabs>
        <w:tab w:val="right" w:pos="6915"/>
      </w:tabs>
      <w:spacing w:line="240" w:lineRule="auto"/>
      <w:jc w:val="left"/>
      <w:rPr>
        <w:sz w:val="20"/>
        <w:szCs w:val="20"/>
      </w:rPr>
    </w:pPr>
    <w:r w:rsidRPr="00810763">
      <w:rPr>
        <w:sz w:val="20"/>
        <w:szCs w:val="20"/>
      </w:rPr>
      <w:t>A Siberian River Runs Through It</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noProof/>
        <w:sz w:val="20"/>
        <w:szCs w:val="20"/>
      </w:rPr>
      <w:t>3</w:t>
    </w:r>
    <w:r w:rsidRPr="00810763">
      <w:rPr>
        <w:sz w:val="20"/>
        <w:szCs w:val="20"/>
      </w:rPr>
      <w:fldChar w:fldCharType="end"/>
    </w:r>
  </w:p>
  <w:p w14:paraId="1A0A6519" w14:textId="0750B4CF" w:rsidR="005B26AB" w:rsidRPr="00810763" w:rsidRDefault="005B26AB" w:rsidP="00810763">
    <w:pPr>
      <w:spacing w:line="240" w:lineRule="auto"/>
      <w:jc w:val="left"/>
      <w:rPr>
        <w:sz w:val="20"/>
        <w:szCs w:val="20"/>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DFBFB" w14:textId="144F84E8" w:rsidR="005B26AB" w:rsidRPr="001F6F28" w:rsidRDefault="005B26AB" w:rsidP="00810763">
    <w:pPr>
      <w:spacing w:line="240" w:lineRule="auto"/>
      <w:jc w:val="left"/>
      <w:rPr>
        <w:sz w:val="20"/>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4DFDB" w14:textId="465B6217" w:rsidR="00A96E85" w:rsidRPr="00810763" w:rsidRDefault="00A96E85" w:rsidP="00810763">
    <w:pPr>
      <w:tabs>
        <w:tab w:val="right" w:pos="6915"/>
      </w:tabs>
      <w:spacing w:after="27" w:line="240" w:lineRule="auto"/>
      <w:jc w:val="left"/>
      <w:rPr>
        <w:sz w:val="20"/>
        <w:szCs w:val="20"/>
      </w:rPr>
    </w:pP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10</w:t>
    </w:r>
    <w:r w:rsidRPr="00810763">
      <w:rPr>
        <w:sz w:val="20"/>
        <w:szCs w:val="20"/>
      </w:rPr>
      <w:fldChar w:fldCharType="end"/>
    </w:r>
    <w:r w:rsidRPr="00810763">
      <w:rPr>
        <w:sz w:val="20"/>
        <w:szCs w:val="20"/>
      </w:rPr>
      <w:tab/>
    </w:r>
    <w:r w:rsidRPr="00810763">
      <w:rPr>
        <w:sz w:val="20"/>
        <w:szCs w:val="20"/>
      </w:rPr>
      <w:fldChar w:fldCharType="begin"/>
    </w:r>
    <w:r w:rsidRPr="00810763">
      <w:rPr>
        <w:sz w:val="20"/>
        <w:szCs w:val="20"/>
      </w:rPr>
      <w:instrText xml:space="preserve"> STYLEREF  Authors  \* MERGEFORMAT </w:instrText>
    </w:r>
    <w:r w:rsidRPr="00810763">
      <w:rPr>
        <w:sz w:val="20"/>
        <w:szCs w:val="20"/>
      </w:rPr>
      <w:fldChar w:fldCharType="separate"/>
    </w:r>
    <w:r w:rsidR="00507346">
      <w:rPr>
        <w:noProof/>
        <w:sz w:val="20"/>
        <w:szCs w:val="20"/>
      </w:rPr>
      <w:t>Bernadett Bíró, Katalin Sipőcz, Sándor Szeverényi</w:t>
    </w:r>
    <w:r w:rsidRPr="00810763">
      <w:rPr>
        <w:sz w:val="20"/>
        <w:szCs w:val="20"/>
      </w:rPr>
      <w:fldChar w:fldCharType="end"/>
    </w:r>
  </w:p>
  <w:p w14:paraId="350CD656" w14:textId="2965099E" w:rsidR="00A96E85" w:rsidRPr="00810763" w:rsidRDefault="00A96E85" w:rsidP="00810763">
    <w:pPr>
      <w:spacing w:line="240" w:lineRule="auto"/>
      <w:jc w:val="left"/>
      <w:rPr>
        <w:sz w:val="20"/>
        <w:szCs w:val="20"/>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F40B0" w14:textId="77777777" w:rsidR="00A96E85" w:rsidRPr="00810763" w:rsidRDefault="00A96E85" w:rsidP="00810763">
    <w:pPr>
      <w:tabs>
        <w:tab w:val="right" w:pos="6915"/>
      </w:tabs>
      <w:spacing w:line="240" w:lineRule="auto"/>
      <w:jc w:val="left"/>
      <w:rPr>
        <w:sz w:val="20"/>
        <w:szCs w:val="20"/>
      </w:rPr>
    </w:pPr>
    <w:r w:rsidRPr="00810763">
      <w:rPr>
        <w:sz w:val="20"/>
        <w:szCs w:val="20"/>
      </w:rPr>
      <w:t>A Siberian River Runs Through It</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7</w:t>
    </w:r>
    <w:r w:rsidRPr="00810763">
      <w:rPr>
        <w:sz w:val="20"/>
        <w:szCs w:val="20"/>
      </w:rPr>
      <w:fldChar w:fldCharType="end"/>
    </w:r>
  </w:p>
  <w:p w14:paraId="2BA14FAB" w14:textId="2EAF3C41" w:rsidR="00A96E85" w:rsidRPr="00810763" w:rsidRDefault="00A96E85" w:rsidP="00810763">
    <w:pPr>
      <w:spacing w:line="240" w:lineRule="auto"/>
      <w:jc w:val="left"/>
      <w:rPr>
        <w:sz w:val="20"/>
        <w:szCs w:val="20"/>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1A677" w14:textId="77777777" w:rsidR="000121EA" w:rsidRDefault="00A96E85">
    <w:pPr>
      <w:tabs>
        <w:tab w:val="right" w:pos="6915"/>
      </w:tabs>
      <w:spacing w:after="27"/>
      <w:jc w:val="left"/>
      <w:rPr>
        <w:sz w:val="20"/>
      </w:rPr>
    </w:pPr>
    <w:r w:rsidRPr="001F6F28">
      <w:rPr>
        <w:sz w:val="20"/>
      </w:rPr>
      <w:tab/>
    </w:r>
  </w:p>
  <w:p w14:paraId="4CF50288" w14:textId="13271E4A" w:rsidR="00A96E85" w:rsidRPr="001F6F28" w:rsidRDefault="00A96E85">
    <w:pPr>
      <w:jc w:val="left"/>
      <w:rPr>
        <w:sz w:val="20"/>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6E2F5" w14:textId="4D357B56" w:rsidR="00B21698" w:rsidRPr="00810763" w:rsidRDefault="00B21698" w:rsidP="00B21698">
    <w:pPr>
      <w:tabs>
        <w:tab w:val="right" w:pos="6915"/>
      </w:tabs>
      <w:spacing w:after="27" w:line="240" w:lineRule="auto"/>
      <w:jc w:val="left"/>
      <w:rPr>
        <w:sz w:val="20"/>
        <w:szCs w:val="20"/>
      </w:rPr>
    </w:pP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Pr>
        <w:sz w:val="20"/>
        <w:szCs w:val="20"/>
      </w:rPr>
      <w:t>168</w:t>
    </w:r>
    <w:r w:rsidRPr="00810763">
      <w:rPr>
        <w:sz w:val="20"/>
        <w:szCs w:val="20"/>
      </w:rPr>
      <w:fldChar w:fldCharType="end"/>
    </w:r>
    <w:r w:rsidRPr="00810763">
      <w:rPr>
        <w:sz w:val="20"/>
        <w:szCs w:val="20"/>
      </w:rPr>
      <w:t xml:space="preserve"> </w:t>
    </w:r>
    <w:r w:rsidRPr="00810763">
      <w:rPr>
        <w:sz w:val="20"/>
        <w:szCs w:val="20"/>
      </w:rPr>
      <w:tab/>
    </w:r>
    <w:r w:rsidRPr="00810763">
      <w:rPr>
        <w:sz w:val="20"/>
        <w:szCs w:val="20"/>
      </w:rPr>
      <w:fldChar w:fldCharType="begin"/>
    </w:r>
    <w:r w:rsidRPr="00810763">
      <w:rPr>
        <w:sz w:val="20"/>
        <w:szCs w:val="20"/>
      </w:rPr>
      <w:instrText xml:space="preserve"> STYLEREF  Authors  \* MERGEFORMAT </w:instrText>
    </w:r>
    <w:r w:rsidRPr="00810763">
      <w:rPr>
        <w:sz w:val="20"/>
        <w:szCs w:val="20"/>
      </w:rPr>
      <w:fldChar w:fldCharType="separate"/>
    </w:r>
    <w:r w:rsidR="00507346">
      <w:rPr>
        <w:noProof/>
        <w:sz w:val="20"/>
        <w:szCs w:val="20"/>
      </w:rPr>
      <w:t>Johannes Hirvonen</w:t>
    </w:r>
    <w:r w:rsidRPr="00810763">
      <w:rPr>
        <w:sz w:val="20"/>
        <w:szCs w:val="20"/>
      </w:rPr>
      <w:fldChar w:fldCharType="end"/>
    </w:r>
  </w:p>
  <w:p w14:paraId="2C95DE1A" w14:textId="1CA940AC" w:rsidR="00A96E85" w:rsidRPr="00810763" w:rsidRDefault="00A96E85" w:rsidP="00810763">
    <w:pPr>
      <w:spacing w:line="240" w:lineRule="auto"/>
      <w:jc w:val="left"/>
      <w:rPr>
        <w:sz w:val="20"/>
        <w:szCs w:val="20"/>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AA0C6" w14:textId="0BABA512" w:rsidR="00A96E85" w:rsidRPr="00810763" w:rsidRDefault="00B21698" w:rsidP="00810763">
    <w:pPr>
      <w:tabs>
        <w:tab w:val="right" w:pos="6915"/>
      </w:tabs>
      <w:spacing w:line="240" w:lineRule="auto"/>
      <w:jc w:val="left"/>
      <w:rPr>
        <w:sz w:val="20"/>
        <w:szCs w:val="20"/>
      </w:rPr>
    </w:pPr>
    <w:r w:rsidRPr="00B21698">
      <w:rPr>
        <w:sz w:val="20"/>
        <w:szCs w:val="20"/>
      </w:rPr>
      <w:t>Rückgang und Schwund von phraseologischen Einheiten</w:t>
    </w:r>
    <w:r w:rsidR="00A96E85" w:rsidRPr="00810763">
      <w:rPr>
        <w:sz w:val="20"/>
        <w:szCs w:val="20"/>
      </w:rPr>
      <w:tab/>
    </w:r>
    <w:r w:rsidR="00A96E85" w:rsidRPr="00810763">
      <w:rPr>
        <w:sz w:val="20"/>
        <w:szCs w:val="20"/>
      </w:rPr>
      <w:fldChar w:fldCharType="begin"/>
    </w:r>
    <w:r w:rsidR="00A96E85" w:rsidRPr="00810763">
      <w:rPr>
        <w:sz w:val="20"/>
        <w:szCs w:val="20"/>
      </w:rPr>
      <w:instrText xml:space="preserve"> PAGE   \* MERGEFORMAT </w:instrText>
    </w:r>
    <w:r w:rsidR="00A96E85" w:rsidRPr="00810763">
      <w:rPr>
        <w:sz w:val="20"/>
        <w:szCs w:val="20"/>
      </w:rPr>
      <w:fldChar w:fldCharType="separate"/>
    </w:r>
    <w:r w:rsidR="00A96E85" w:rsidRPr="00810763">
      <w:rPr>
        <w:sz w:val="20"/>
        <w:szCs w:val="20"/>
      </w:rPr>
      <w:t>7</w:t>
    </w:r>
    <w:r w:rsidR="00A96E85" w:rsidRPr="00810763">
      <w:rPr>
        <w:sz w:val="20"/>
        <w:szCs w:val="20"/>
      </w:rPr>
      <w:fldChar w:fldCharType="end"/>
    </w:r>
  </w:p>
  <w:p w14:paraId="4B2689AC" w14:textId="67F66DFB" w:rsidR="00A96E85" w:rsidRPr="00810763" w:rsidRDefault="00A96E85" w:rsidP="00810763">
    <w:pPr>
      <w:spacing w:line="240" w:lineRule="auto"/>
      <w:jc w:val="left"/>
      <w:rPr>
        <w:sz w:val="20"/>
        <w:szCs w:val="20"/>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5E46A" w14:textId="5C800229" w:rsidR="00A96E85" w:rsidRPr="001F6F28" w:rsidRDefault="00A96E85" w:rsidP="00810763">
    <w:pPr>
      <w:spacing w:line="240" w:lineRule="auto"/>
      <w:jc w:val="left"/>
      <w:rPr>
        <w:sz w:val="20"/>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27B52" w14:textId="77777777" w:rsidR="00B21698" w:rsidRPr="00810763" w:rsidRDefault="00B21698" w:rsidP="00810763">
    <w:pPr>
      <w:tabs>
        <w:tab w:val="right" w:pos="6915"/>
      </w:tabs>
      <w:spacing w:line="240" w:lineRule="auto"/>
      <w:jc w:val="left"/>
      <w:rPr>
        <w:sz w:val="20"/>
        <w:szCs w:val="20"/>
      </w:rPr>
    </w:pPr>
    <w:r w:rsidRPr="007662D7">
      <w:rPr>
        <w:sz w:val="20"/>
        <w:szCs w:val="20"/>
      </w:rPr>
      <w:t>Die Frau im estnischen Lexikon 2.0</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7</w:t>
    </w:r>
    <w:r w:rsidRPr="00810763">
      <w:rPr>
        <w:sz w:val="20"/>
        <w:szCs w:val="20"/>
      </w:rPr>
      <w:fldChar w:fldCharType="end"/>
    </w:r>
  </w:p>
  <w:p w14:paraId="0041CCCA" w14:textId="77777777" w:rsidR="00B21698" w:rsidRPr="00810763" w:rsidRDefault="00B21698" w:rsidP="00810763">
    <w:pPr>
      <w:spacing w:line="240" w:lineRule="auto"/>
      <w:jc w:val="left"/>
      <w:rPr>
        <w:sz w:val="20"/>
        <w:szCs w:val="20"/>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4B54B" w14:textId="7B3BCAF4" w:rsidR="007B7930" w:rsidRPr="00810763" w:rsidRDefault="007B7930" w:rsidP="00810763">
    <w:pPr>
      <w:tabs>
        <w:tab w:val="right" w:pos="6915"/>
      </w:tabs>
      <w:spacing w:line="240" w:lineRule="auto"/>
      <w:jc w:val="left"/>
      <w:rPr>
        <w:sz w:val="20"/>
        <w:szCs w:val="20"/>
      </w:rPr>
    </w:pPr>
    <w:r w:rsidRPr="007B7930">
      <w:rPr>
        <w:sz w:val="20"/>
        <w:szCs w:val="20"/>
      </w:rPr>
      <w:t>Nullsubjekte im Livischen</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sidRPr="00810763">
      <w:rPr>
        <w:sz w:val="20"/>
        <w:szCs w:val="20"/>
      </w:rPr>
      <w:t>7</w:t>
    </w:r>
    <w:r w:rsidRPr="00810763">
      <w:rPr>
        <w:sz w:val="20"/>
        <w:szCs w:val="20"/>
      </w:rPr>
      <w:fldChar w:fldCharType="end"/>
    </w:r>
  </w:p>
  <w:p w14:paraId="499BDB4F" w14:textId="77777777" w:rsidR="007B7930" w:rsidRPr="00810763" w:rsidRDefault="007B7930" w:rsidP="00810763">
    <w:pPr>
      <w:spacing w:line="240" w:lineRule="auto"/>
      <w:jc w:val="left"/>
      <w:rPr>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21800" w14:textId="4FF0C818" w:rsidR="00A96E85" w:rsidRPr="001F6F28" w:rsidRDefault="00A96E85" w:rsidP="006E1E81">
    <w:pPr>
      <w:tabs>
        <w:tab w:val="right" w:pos="6915"/>
      </w:tabs>
      <w:spacing w:after="27" w:line="240" w:lineRule="auto"/>
      <w:jc w:val="left"/>
      <w:rPr>
        <w:sz w:val="20"/>
      </w:rPr>
    </w:pPr>
    <w:r w:rsidRPr="001F6F28">
      <w:rPr>
        <w:sz w:val="20"/>
      </w:rPr>
      <w:tab/>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A1677" w14:textId="357093C1" w:rsidR="00A96E85" w:rsidRPr="007B7930" w:rsidRDefault="00A96E85" w:rsidP="007B7930">
    <w:pPr>
      <w:tabs>
        <w:tab w:val="right" w:pos="6915"/>
      </w:tabs>
      <w:spacing w:after="27" w:line="240" w:lineRule="auto"/>
      <w:jc w:val="left"/>
      <w:rPr>
        <w:sz w:val="20"/>
        <w:szCs w:val="20"/>
      </w:rPr>
    </w:pP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10</w:t>
    </w:r>
    <w:r w:rsidRPr="007B7930">
      <w:rPr>
        <w:sz w:val="20"/>
        <w:szCs w:val="20"/>
      </w:rPr>
      <w:fldChar w:fldCharType="end"/>
    </w:r>
    <w:r w:rsidRPr="007B7930">
      <w:rPr>
        <w:sz w:val="20"/>
        <w:szCs w:val="20"/>
      </w:rPr>
      <w:tab/>
    </w:r>
    <w:r w:rsidRPr="007B7930">
      <w:rPr>
        <w:sz w:val="20"/>
        <w:szCs w:val="20"/>
      </w:rPr>
      <w:fldChar w:fldCharType="begin"/>
    </w:r>
    <w:r w:rsidRPr="007B7930">
      <w:rPr>
        <w:sz w:val="20"/>
        <w:szCs w:val="20"/>
      </w:rPr>
      <w:instrText xml:space="preserve"> STYLEREF  Authors  \* MERGEFORMAT </w:instrText>
    </w:r>
    <w:r w:rsidRPr="007B7930">
      <w:rPr>
        <w:sz w:val="20"/>
        <w:szCs w:val="20"/>
      </w:rPr>
      <w:fldChar w:fldCharType="separate"/>
    </w:r>
    <w:r w:rsidR="00507346">
      <w:rPr>
        <w:noProof/>
        <w:sz w:val="20"/>
        <w:szCs w:val="20"/>
      </w:rPr>
      <w:t>Markus Juutinen</w:t>
    </w:r>
    <w:r w:rsidRPr="007B7930">
      <w:rPr>
        <w:sz w:val="20"/>
        <w:szCs w:val="20"/>
      </w:rPr>
      <w:fldChar w:fldCharType="end"/>
    </w:r>
  </w:p>
  <w:p w14:paraId="393CCE90" w14:textId="3E84A07F" w:rsidR="00A96E85" w:rsidRPr="007B7930" w:rsidRDefault="00A96E85" w:rsidP="007B7930">
    <w:pPr>
      <w:spacing w:line="240" w:lineRule="auto"/>
      <w:jc w:val="left"/>
      <w:rPr>
        <w:sz w:val="20"/>
        <w:szCs w:val="20"/>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670AF" w14:textId="1ED1E587" w:rsidR="007B7930" w:rsidRPr="00810763" w:rsidRDefault="007B7930" w:rsidP="007B7930">
    <w:pPr>
      <w:tabs>
        <w:tab w:val="right" w:pos="6915"/>
      </w:tabs>
      <w:spacing w:line="240" w:lineRule="auto"/>
      <w:jc w:val="left"/>
      <w:rPr>
        <w:sz w:val="20"/>
        <w:szCs w:val="20"/>
      </w:rPr>
    </w:pPr>
    <w:r w:rsidRPr="007B7930">
      <w:rPr>
        <w:sz w:val="20"/>
        <w:szCs w:val="20"/>
      </w:rPr>
      <w:t>Revisiting a problematic Uralic and Indo-Iranian word</w:t>
    </w:r>
    <w:r w:rsidR="00AC1192">
      <w:rPr>
        <w:sz w:val="20"/>
        <w:szCs w:val="20"/>
      </w:rPr>
      <w:t xml:space="preserve"> </w:t>
    </w:r>
    <w:r w:rsidRPr="007B7930">
      <w:rPr>
        <w:sz w:val="20"/>
        <w:szCs w:val="20"/>
      </w:rPr>
      <w:t>family</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Pr>
        <w:sz w:val="20"/>
        <w:szCs w:val="20"/>
      </w:rPr>
      <w:t>261</w:t>
    </w:r>
    <w:r w:rsidRPr="00810763">
      <w:rPr>
        <w:sz w:val="20"/>
        <w:szCs w:val="20"/>
      </w:rPr>
      <w:fldChar w:fldCharType="end"/>
    </w:r>
  </w:p>
  <w:p w14:paraId="78358B84" w14:textId="137CADD4" w:rsidR="00A96E85" w:rsidRPr="00810763" w:rsidRDefault="00A96E85" w:rsidP="00810763">
    <w:pPr>
      <w:spacing w:line="240" w:lineRule="auto"/>
      <w:jc w:val="left"/>
      <w:rPr>
        <w:sz w:val="20"/>
        <w:szCs w:val="20"/>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EFA01" w14:textId="0199F618" w:rsidR="00A96E85" w:rsidRPr="001F6F28" w:rsidRDefault="00A96E85" w:rsidP="007B7930">
    <w:pPr>
      <w:spacing w:line="240" w:lineRule="auto"/>
      <w:jc w:val="left"/>
      <w:rPr>
        <w:sz w:val="20"/>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216A7" w14:textId="4D86957B" w:rsidR="007B7930" w:rsidRPr="00810763" w:rsidRDefault="007B7930" w:rsidP="007B7930">
    <w:pPr>
      <w:tabs>
        <w:tab w:val="right" w:pos="6915"/>
      </w:tabs>
      <w:spacing w:line="240" w:lineRule="auto"/>
      <w:jc w:val="left"/>
      <w:rPr>
        <w:sz w:val="20"/>
        <w:szCs w:val="20"/>
      </w:rPr>
    </w:pPr>
    <w:r w:rsidRPr="007B7930">
      <w:rPr>
        <w:sz w:val="20"/>
        <w:szCs w:val="20"/>
      </w:rPr>
      <w:t>Itäisten saamelaiskielten helmeä merkitsevien sanojen alkuperäkysymys</w:t>
    </w:r>
    <w:r w:rsidRPr="00810763">
      <w:rPr>
        <w:sz w:val="20"/>
        <w:szCs w:val="20"/>
      </w:rPr>
      <w:tab/>
    </w:r>
    <w:r w:rsidRPr="00810763">
      <w:rPr>
        <w:sz w:val="20"/>
        <w:szCs w:val="20"/>
      </w:rPr>
      <w:fldChar w:fldCharType="begin"/>
    </w:r>
    <w:r w:rsidRPr="00810763">
      <w:rPr>
        <w:sz w:val="20"/>
        <w:szCs w:val="20"/>
      </w:rPr>
      <w:instrText xml:space="preserve"> PAGE   \* MERGEFORMAT </w:instrText>
    </w:r>
    <w:r w:rsidRPr="00810763">
      <w:rPr>
        <w:sz w:val="20"/>
        <w:szCs w:val="20"/>
      </w:rPr>
      <w:fldChar w:fldCharType="separate"/>
    </w:r>
    <w:r>
      <w:rPr>
        <w:sz w:val="20"/>
        <w:szCs w:val="20"/>
      </w:rPr>
      <w:t>261</w:t>
    </w:r>
    <w:r w:rsidRPr="00810763">
      <w:rPr>
        <w:sz w:val="20"/>
        <w:szCs w:val="20"/>
      </w:rPr>
      <w:fldChar w:fldCharType="end"/>
    </w:r>
  </w:p>
  <w:p w14:paraId="533BE374" w14:textId="77777777" w:rsidR="007B7930" w:rsidRPr="00810763" w:rsidRDefault="007B7930" w:rsidP="00810763">
    <w:pPr>
      <w:spacing w:line="240" w:lineRule="auto"/>
      <w:jc w:val="left"/>
      <w:rPr>
        <w:sz w:val="20"/>
        <w:szCs w:val="20"/>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76B66E" w14:textId="6A95A0EF" w:rsidR="00017313" w:rsidRPr="007B7930" w:rsidRDefault="00017313" w:rsidP="007B7930">
    <w:pPr>
      <w:tabs>
        <w:tab w:val="right" w:pos="6915"/>
      </w:tabs>
      <w:spacing w:after="27" w:line="240" w:lineRule="auto"/>
      <w:jc w:val="left"/>
      <w:rPr>
        <w:sz w:val="20"/>
        <w:szCs w:val="20"/>
      </w:rPr>
    </w:pP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10</w:t>
    </w:r>
    <w:r w:rsidRPr="007B7930">
      <w:rPr>
        <w:sz w:val="20"/>
        <w:szCs w:val="20"/>
      </w:rPr>
      <w:fldChar w:fldCharType="end"/>
    </w:r>
    <w:r w:rsidRPr="007B7930">
      <w:rPr>
        <w:sz w:val="20"/>
        <w:szCs w:val="20"/>
      </w:rPr>
      <w:tab/>
    </w:r>
    <w:r w:rsidRPr="007B7930">
      <w:rPr>
        <w:sz w:val="20"/>
        <w:szCs w:val="20"/>
      </w:rPr>
      <w:fldChar w:fldCharType="begin"/>
    </w:r>
    <w:r w:rsidRPr="007B7930">
      <w:rPr>
        <w:sz w:val="20"/>
        <w:szCs w:val="20"/>
      </w:rPr>
      <w:instrText xml:space="preserve"> STYLEREF  Authors  \* MERGEFORMAT </w:instrText>
    </w:r>
    <w:r w:rsidRPr="007B7930">
      <w:rPr>
        <w:sz w:val="20"/>
        <w:szCs w:val="20"/>
      </w:rPr>
      <w:fldChar w:fldCharType="separate"/>
    </w:r>
    <w:r w:rsidR="00507346">
      <w:rPr>
        <w:noProof/>
        <w:sz w:val="20"/>
        <w:szCs w:val="20"/>
      </w:rPr>
      <w:t>Annekatrin Kaivapalu</w:t>
    </w:r>
    <w:r w:rsidRPr="007B7930">
      <w:rPr>
        <w:sz w:val="20"/>
        <w:szCs w:val="20"/>
      </w:rPr>
      <w:fldChar w:fldCharType="end"/>
    </w:r>
  </w:p>
  <w:p w14:paraId="73F0CB73" w14:textId="77777777" w:rsidR="00390A6C" w:rsidRPr="007B7930" w:rsidRDefault="00390A6C" w:rsidP="007B7930">
    <w:pPr>
      <w:spacing w:line="240" w:lineRule="auto"/>
      <w:rPr>
        <w:sz w:val="20"/>
        <w:szCs w:val="20"/>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31554" w14:textId="07CE327B" w:rsidR="00017313" w:rsidRPr="007B7930" w:rsidRDefault="00017313" w:rsidP="00226DFB">
    <w:pPr>
      <w:tabs>
        <w:tab w:val="right" w:pos="6915"/>
      </w:tabs>
      <w:jc w:val="left"/>
      <w:rPr>
        <w:sz w:val="20"/>
        <w:szCs w:val="20"/>
      </w:rPr>
    </w:pPr>
    <w:r w:rsidRPr="007B7930">
      <w:rPr>
        <w:sz w:val="20"/>
        <w:szCs w:val="20"/>
      </w:rPr>
      <w:t>Keeleteadlikkus ja keeltevahelise sarnasuse tunnetamine</w:t>
    </w:r>
    <w:r w:rsidRPr="007B7930">
      <w:rPr>
        <w:sz w:val="20"/>
        <w:szCs w:val="20"/>
      </w:rPr>
      <w:tab/>
    </w: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7</w:t>
    </w:r>
    <w:r w:rsidRPr="007B7930">
      <w:rPr>
        <w:sz w:val="20"/>
        <w:szCs w:val="20"/>
      </w:rPr>
      <w:fldChar w:fldCharType="end"/>
    </w:r>
  </w:p>
  <w:p w14:paraId="7C8A0E46" w14:textId="77777777" w:rsidR="00390A6C" w:rsidRPr="007B7930" w:rsidRDefault="00390A6C">
    <w:pPr>
      <w:rPr>
        <w:sz w:val="20"/>
        <w:szCs w:val="20"/>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BADAC" w14:textId="77777777" w:rsidR="00390A6C" w:rsidRPr="007B7930" w:rsidRDefault="00390A6C">
    <w:pPr>
      <w:rPr>
        <w:sz w:val="20"/>
        <w:szCs w:val="20"/>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C4C2E" w14:textId="397A0A31" w:rsidR="00A96E85" w:rsidRPr="007B7930" w:rsidRDefault="00A96E85" w:rsidP="007B7930">
    <w:pPr>
      <w:tabs>
        <w:tab w:val="right" w:pos="6915"/>
      </w:tabs>
      <w:spacing w:after="27" w:line="240" w:lineRule="auto"/>
      <w:jc w:val="left"/>
      <w:rPr>
        <w:sz w:val="20"/>
        <w:szCs w:val="20"/>
      </w:rPr>
    </w:pP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10</w:t>
    </w:r>
    <w:r w:rsidRPr="007B7930">
      <w:rPr>
        <w:sz w:val="20"/>
        <w:szCs w:val="20"/>
      </w:rPr>
      <w:fldChar w:fldCharType="end"/>
    </w:r>
    <w:r w:rsidRPr="007B7930">
      <w:rPr>
        <w:sz w:val="20"/>
        <w:szCs w:val="20"/>
      </w:rPr>
      <w:tab/>
    </w:r>
    <w:r w:rsidRPr="007B7930">
      <w:rPr>
        <w:sz w:val="20"/>
        <w:szCs w:val="20"/>
      </w:rPr>
      <w:fldChar w:fldCharType="begin"/>
    </w:r>
    <w:r w:rsidRPr="007B7930">
      <w:rPr>
        <w:sz w:val="20"/>
        <w:szCs w:val="20"/>
      </w:rPr>
      <w:instrText xml:space="preserve"> STYLEREF  Authors  \* MERGEFORMAT </w:instrText>
    </w:r>
    <w:r w:rsidRPr="007B7930">
      <w:rPr>
        <w:sz w:val="20"/>
        <w:szCs w:val="20"/>
      </w:rPr>
      <w:fldChar w:fldCharType="separate"/>
    </w:r>
    <w:r w:rsidR="00507346">
      <w:rPr>
        <w:noProof/>
        <w:sz w:val="20"/>
        <w:szCs w:val="20"/>
      </w:rPr>
      <w:t>Mikko Kajander</w:t>
    </w:r>
    <w:r w:rsidRPr="007B7930">
      <w:rPr>
        <w:sz w:val="20"/>
        <w:szCs w:val="20"/>
      </w:rPr>
      <w:fldChar w:fldCharType="end"/>
    </w:r>
  </w:p>
  <w:p w14:paraId="14435D66" w14:textId="67B235A7" w:rsidR="00A96E85" w:rsidRPr="007B7930" w:rsidRDefault="00A96E85" w:rsidP="007B7930">
    <w:pPr>
      <w:spacing w:line="240" w:lineRule="auto"/>
      <w:jc w:val="left"/>
      <w:rPr>
        <w:sz w:val="20"/>
        <w:szCs w:val="20"/>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7766E" w14:textId="77777777" w:rsidR="00A96E85" w:rsidRPr="007B7930" w:rsidRDefault="00A96E85" w:rsidP="00226DFB">
    <w:pPr>
      <w:tabs>
        <w:tab w:val="right" w:pos="6915"/>
      </w:tabs>
      <w:jc w:val="left"/>
      <w:rPr>
        <w:sz w:val="20"/>
        <w:szCs w:val="20"/>
      </w:rPr>
    </w:pPr>
    <w:r w:rsidRPr="007B7930">
      <w:rPr>
        <w:sz w:val="20"/>
        <w:szCs w:val="20"/>
      </w:rPr>
      <w:t>Jari tulee tankkaamasta autoa</w:t>
    </w:r>
    <w:r w:rsidRPr="007B7930">
      <w:rPr>
        <w:sz w:val="20"/>
        <w:szCs w:val="20"/>
      </w:rPr>
      <w:tab/>
    </w: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7</w:t>
    </w:r>
    <w:r w:rsidRPr="007B7930">
      <w:rPr>
        <w:sz w:val="20"/>
        <w:szCs w:val="20"/>
      </w:rPr>
      <w:fldChar w:fldCharType="end"/>
    </w:r>
  </w:p>
  <w:p w14:paraId="15C71023" w14:textId="22093D8B" w:rsidR="00A96E85" w:rsidRPr="007B7930" w:rsidRDefault="00A96E85">
    <w:pPr>
      <w:jc w:val="left"/>
      <w:rPr>
        <w:sz w:val="20"/>
        <w:szCs w:val="20"/>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B4617" w14:textId="7F85E8AF" w:rsidR="00A96E85" w:rsidRPr="001F6F28" w:rsidRDefault="00A96E85" w:rsidP="007B7930">
    <w:pPr>
      <w:spacing w:line="240" w:lineRule="auto"/>
      <w:jc w:val="left"/>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A8704" w14:textId="77777777" w:rsidR="00A96E85" w:rsidRPr="001F6F28" w:rsidRDefault="00A96E85" w:rsidP="00226DFB">
    <w:pPr>
      <w:tabs>
        <w:tab w:val="right" w:pos="6915"/>
      </w:tabs>
      <w:spacing w:after="27"/>
      <w:jc w:val="left"/>
    </w:pPr>
    <w:r w:rsidRPr="001F6F28">
      <w:rPr>
        <w:sz w:val="24"/>
      </w:rPr>
      <w:fldChar w:fldCharType="begin"/>
    </w:r>
    <w:r w:rsidRPr="001F6F28">
      <w:instrText xml:space="preserve"> PAGE   \* MERGEFORMAT </w:instrText>
    </w:r>
    <w:r w:rsidRPr="001F6F28">
      <w:rPr>
        <w:sz w:val="24"/>
      </w:rPr>
      <w:fldChar w:fldCharType="separate"/>
    </w:r>
    <w:r w:rsidRPr="008A4830">
      <w:t>5</w:t>
    </w:r>
    <w:r w:rsidRPr="001F6F28">
      <w:rPr>
        <w:sz w:val="20"/>
      </w:rPr>
      <w:fldChar w:fldCharType="end"/>
    </w:r>
    <w:r w:rsidRPr="001F6F28">
      <w:rPr>
        <w:sz w:val="20"/>
      </w:rPr>
      <w:tab/>
    </w:r>
  </w:p>
  <w:p w14:paraId="621A0BB4" w14:textId="77777777" w:rsidR="000121EA" w:rsidRDefault="000121EA">
    <w:pPr>
      <w:jc w:val="left"/>
    </w:pPr>
  </w:p>
  <w:p w14:paraId="6CFA808A" w14:textId="5AED7122" w:rsidR="00A96E85" w:rsidRPr="001F6F28" w:rsidRDefault="00A96E85">
    <w:pPr>
      <w:jc w:val="left"/>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9D0DD" w14:textId="093AC033" w:rsidR="004C7142" w:rsidRPr="007B7930" w:rsidRDefault="004C7142" w:rsidP="007B7930">
    <w:pPr>
      <w:tabs>
        <w:tab w:val="right" w:pos="6915"/>
      </w:tabs>
      <w:spacing w:after="27" w:line="240" w:lineRule="auto"/>
      <w:jc w:val="left"/>
      <w:rPr>
        <w:sz w:val="20"/>
        <w:szCs w:val="20"/>
      </w:rPr>
    </w:pP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10</w:t>
    </w:r>
    <w:r w:rsidRPr="007B7930">
      <w:rPr>
        <w:sz w:val="20"/>
        <w:szCs w:val="20"/>
      </w:rPr>
      <w:fldChar w:fldCharType="end"/>
    </w:r>
    <w:r w:rsidRPr="007B7930">
      <w:rPr>
        <w:sz w:val="20"/>
        <w:szCs w:val="20"/>
      </w:rPr>
      <w:t xml:space="preserve"> </w:t>
    </w:r>
    <w:r w:rsidRPr="007B7930">
      <w:rPr>
        <w:sz w:val="20"/>
        <w:szCs w:val="20"/>
      </w:rPr>
      <w:tab/>
    </w:r>
    <w:r w:rsidRPr="007B7930">
      <w:rPr>
        <w:sz w:val="20"/>
        <w:szCs w:val="20"/>
      </w:rPr>
      <w:fldChar w:fldCharType="begin"/>
    </w:r>
    <w:r w:rsidRPr="007B7930">
      <w:rPr>
        <w:sz w:val="20"/>
        <w:szCs w:val="20"/>
      </w:rPr>
      <w:instrText xml:space="preserve"> STYLEREF  Authors  \* MERGEFORMAT </w:instrText>
    </w:r>
    <w:r w:rsidRPr="007B7930">
      <w:rPr>
        <w:sz w:val="20"/>
        <w:szCs w:val="20"/>
      </w:rPr>
      <w:fldChar w:fldCharType="separate"/>
    </w:r>
    <w:r w:rsidR="00507346">
      <w:rPr>
        <w:noProof/>
        <w:sz w:val="20"/>
        <w:szCs w:val="20"/>
      </w:rPr>
      <w:t>Ilona Kivinen</w:t>
    </w:r>
    <w:r w:rsidRPr="007B7930">
      <w:rPr>
        <w:sz w:val="20"/>
        <w:szCs w:val="20"/>
      </w:rPr>
      <w:fldChar w:fldCharType="end"/>
    </w:r>
  </w:p>
  <w:p w14:paraId="4C0E7218" w14:textId="6023176A" w:rsidR="004C7142" w:rsidRPr="007B7930" w:rsidRDefault="004C7142" w:rsidP="007B7930">
    <w:pPr>
      <w:spacing w:line="240" w:lineRule="auto"/>
      <w:jc w:val="left"/>
      <w:rPr>
        <w:sz w:val="20"/>
        <w:szCs w:val="20"/>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F7225" w14:textId="77777777" w:rsidR="004C7142" w:rsidRPr="007B7930" w:rsidRDefault="004C7142" w:rsidP="007B7930">
    <w:pPr>
      <w:tabs>
        <w:tab w:val="right" w:pos="6915"/>
      </w:tabs>
      <w:spacing w:line="240" w:lineRule="auto"/>
      <w:jc w:val="left"/>
      <w:rPr>
        <w:sz w:val="20"/>
        <w:szCs w:val="20"/>
      </w:rPr>
    </w:pPr>
    <w:r w:rsidRPr="007B7930">
      <w:rPr>
        <w:sz w:val="20"/>
        <w:szCs w:val="20"/>
      </w:rPr>
      <w:t>Huomio kielisukulaisuuteen!</w:t>
    </w:r>
    <w:r w:rsidRPr="007B7930">
      <w:rPr>
        <w:sz w:val="20"/>
        <w:szCs w:val="20"/>
      </w:rPr>
      <w:tab/>
    </w: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7</w:t>
    </w:r>
    <w:r w:rsidRPr="007B7930">
      <w:rPr>
        <w:sz w:val="20"/>
        <w:szCs w:val="20"/>
      </w:rPr>
      <w:fldChar w:fldCharType="end"/>
    </w:r>
  </w:p>
  <w:p w14:paraId="158AC89D" w14:textId="46AC8F7A" w:rsidR="004C7142" w:rsidRPr="007B7930" w:rsidRDefault="004C7142" w:rsidP="007B7930">
    <w:pPr>
      <w:spacing w:line="240" w:lineRule="auto"/>
      <w:jc w:val="left"/>
      <w:rPr>
        <w:sz w:val="20"/>
        <w:szCs w:val="20"/>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3A5F6" w14:textId="272786F5" w:rsidR="004C7142" w:rsidRPr="001F6F28" w:rsidRDefault="004C7142" w:rsidP="007B7930">
    <w:pPr>
      <w:spacing w:line="240" w:lineRule="auto"/>
      <w:jc w:val="left"/>
      <w:rPr>
        <w:sz w:val="20"/>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93228" w14:textId="12B7C2BE" w:rsidR="00A96E85" w:rsidRPr="007B7930" w:rsidRDefault="00A96E85" w:rsidP="007B7930">
    <w:pPr>
      <w:tabs>
        <w:tab w:val="right" w:pos="6915"/>
      </w:tabs>
      <w:spacing w:after="27" w:line="240" w:lineRule="auto"/>
      <w:jc w:val="left"/>
      <w:rPr>
        <w:sz w:val="20"/>
        <w:szCs w:val="20"/>
      </w:rPr>
    </w:pP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10</w:t>
    </w:r>
    <w:r w:rsidRPr="007B7930">
      <w:rPr>
        <w:sz w:val="20"/>
        <w:szCs w:val="20"/>
      </w:rPr>
      <w:fldChar w:fldCharType="end"/>
    </w:r>
    <w:r w:rsidRPr="007B7930">
      <w:rPr>
        <w:sz w:val="20"/>
        <w:szCs w:val="20"/>
      </w:rPr>
      <w:tab/>
    </w:r>
    <w:r w:rsidRPr="007B7930">
      <w:rPr>
        <w:sz w:val="20"/>
        <w:szCs w:val="20"/>
      </w:rPr>
      <w:fldChar w:fldCharType="begin"/>
    </w:r>
    <w:r w:rsidRPr="007B7930">
      <w:rPr>
        <w:sz w:val="20"/>
        <w:szCs w:val="20"/>
      </w:rPr>
      <w:instrText xml:space="preserve"> STYLEREF  Authors  \* MERGEFORMAT </w:instrText>
    </w:r>
    <w:r w:rsidRPr="007B7930">
      <w:rPr>
        <w:sz w:val="20"/>
        <w:szCs w:val="20"/>
      </w:rPr>
      <w:fldChar w:fldCharType="separate"/>
    </w:r>
    <w:r w:rsidR="00507346">
      <w:rPr>
        <w:noProof/>
        <w:sz w:val="20"/>
        <w:szCs w:val="20"/>
      </w:rPr>
      <w:t>Birute Klaas-Lang</w:t>
    </w:r>
    <w:r w:rsidRPr="007B7930">
      <w:rPr>
        <w:sz w:val="20"/>
        <w:szCs w:val="20"/>
      </w:rPr>
      <w:fldChar w:fldCharType="end"/>
    </w:r>
  </w:p>
  <w:p w14:paraId="40F5F33C" w14:textId="3C346546" w:rsidR="00A96E85" w:rsidRPr="007B7930" w:rsidRDefault="00A96E85" w:rsidP="007B7930">
    <w:pPr>
      <w:spacing w:line="240" w:lineRule="auto"/>
      <w:jc w:val="left"/>
      <w:rPr>
        <w:sz w:val="20"/>
        <w:szCs w:val="20"/>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DFE8E" w14:textId="25A83DB4" w:rsidR="00A96E85" w:rsidRPr="007B7930" w:rsidRDefault="00A96E85" w:rsidP="007B7930">
    <w:pPr>
      <w:tabs>
        <w:tab w:val="right" w:pos="6915"/>
      </w:tabs>
      <w:spacing w:line="240" w:lineRule="auto"/>
      <w:jc w:val="left"/>
      <w:rPr>
        <w:sz w:val="20"/>
        <w:szCs w:val="20"/>
      </w:rPr>
    </w:pPr>
    <w:r w:rsidRPr="007B7930">
      <w:rPr>
        <w:sz w:val="20"/>
        <w:szCs w:val="20"/>
      </w:rPr>
      <w:t>The struggle between Estonian and English in higher education</w:t>
    </w:r>
    <w:r w:rsidRPr="007B7930">
      <w:rPr>
        <w:sz w:val="20"/>
        <w:szCs w:val="20"/>
      </w:rPr>
      <w:tab/>
    </w: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7</w:t>
    </w:r>
    <w:r w:rsidRPr="007B7930">
      <w:rPr>
        <w:sz w:val="20"/>
        <w:szCs w:val="20"/>
      </w:rPr>
      <w:fldChar w:fldCharType="end"/>
    </w:r>
  </w:p>
  <w:p w14:paraId="1AEB3680" w14:textId="35A38E19" w:rsidR="00A96E85" w:rsidRPr="007B7930" w:rsidRDefault="00A96E85" w:rsidP="007B7930">
    <w:pPr>
      <w:spacing w:line="240" w:lineRule="auto"/>
      <w:jc w:val="left"/>
      <w:rPr>
        <w:sz w:val="20"/>
        <w:szCs w:val="20"/>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1D453" w14:textId="326D2EEC" w:rsidR="00A96E85" w:rsidRPr="001F6F28" w:rsidRDefault="00A96E85" w:rsidP="007B7930">
    <w:pPr>
      <w:spacing w:line="240" w:lineRule="auto"/>
      <w:jc w:val="left"/>
      <w:rPr>
        <w:sz w:val="20"/>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C1702" w14:textId="5A1AF692" w:rsidR="00A96E85" w:rsidRPr="007B7930" w:rsidRDefault="00A96E85" w:rsidP="007B7930">
    <w:pPr>
      <w:tabs>
        <w:tab w:val="right" w:pos="6915"/>
      </w:tabs>
      <w:spacing w:after="27" w:line="240" w:lineRule="auto"/>
      <w:jc w:val="left"/>
      <w:rPr>
        <w:sz w:val="20"/>
        <w:szCs w:val="20"/>
      </w:rPr>
    </w:pP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10</w:t>
    </w:r>
    <w:r w:rsidRPr="007B7930">
      <w:rPr>
        <w:sz w:val="20"/>
        <w:szCs w:val="20"/>
      </w:rPr>
      <w:fldChar w:fldCharType="end"/>
    </w:r>
    <w:r w:rsidRPr="007B7930">
      <w:rPr>
        <w:sz w:val="20"/>
        <w:szCs w:val="20"/>
      </w:rPr>
      <w:tab/>
    </w:r>
    <w:r w:rsidRPr="007B7930">
      <w:rPr>
        <w:sz w:val="20"/>
        <w:szCs w:val="20"/>
      </w:rPr>
      <w:fldChar w:fldCharType="begin"/>
    </w:r>
    <w:r w:rsidRPr="007B7930">
      <w:rPr>
        <w:sz w:val="20"/>
        <w:szCs w:val="20"/>
      </w:rPr>
      <w:instrText xml:space="preserve"> STYLEREF  Authors  \* MERGEFORMAT </w:instrText>
    </w:r>
    <w:r w:rsidRPr="007B7930">
      <w:rPr>
        <w:sz w:val="20"/>
        <w:szCs w:val="20"/>
      </w:rPr>
      <w:fldChar w:fldCharType="separate"/>
    </w:r>
    <w:r w:rsidR="00507346">
      <w:rPr>
        <w:noProof/>
        <w:sz w:val="20"/>
        <w:szCs w:val="20"/>
      </w:rPr>
      <w:t>Kadri Koreinik, Helen Plado</w:t>
    </w:r>
    <w:r w:rsidRPr="007B7930">
      <w:rPr>
        <w:sz w:val="20"/>
        <w:szCs w:val="20"/>
      </w:rPr>
      <w:fldChar w:fldCharType="end"/>
    </w:r>
  </w:p>
  <w:p w14:paraId="348B8D08" w14:textId="2574F520" w:rsidR="00A96E85" w:rsidRPr="007B7930" w:rsidRDefault="00A96E85" w:rsidP="007B7930">
    <w:pPr>
      <w:spacing w:line="240" w:lineRule="auto"/>
      <w:jc w:val="left"/>
      <w:rPr>
        <w:sz w:val="20"/>
        <w:szCs w:val="20"/>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99DFD" w14:textId="77777777" w:rsidR="00A96E85" w:rsidRPr="007B7930" w:rsidRDefault="00A96E85" w:rsidP="007B7930">
    <w:pPr>
      <w:tabs>
        <w:tab w:val="right" w:pos="6915"/>
      </w:tabs>
      <w:spacing w:line="240" w:lineRule="auto"/>
      <w:jc w:val="left"/>
      <w:rPr>
        <w:sz w:val="20"/>
        <w:szCs w:val="20"/>
      </w:rPr>
    </w:pPr>
    <w:r w:rsidRPr="007B7930">
      <w:rPr>
        <w:sz w:val="20"/>
        <w:szCs w:val="20"/>
      </w:rPr>
      <w:t>Hobbi és sport fogalomkörű kölcsönszavak</w:t>
    </w:r>
    <w:r w:rsidRPr="007B7930">
      <w:rPr>
        <w:sz w:val="20"/>
        <w:szCs w:val="20"/>
      </w:rPr>
      <w:tab/>
    </w: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7</w:t>
    </w:r>
    <w:r w:rsidRPr="007B7930">
      <w:rPr>
        <w:sz w:val="20"/>
        <w:szCs w:val="20"/>
      </w:rPr>
      <w:fldChar w:fldCharType="end"/>
    </w:r>
  </w:p>
  <w:p w14:paraId="693EFA74" w14:textId="168DD086" w:rsidR="00A96E85" w:rsidRPr="007B7930" w:rsidRDefault="00A96E85" w:rsidP="007B7930">
    <w:pPr>
      <w:spacing w:line="240" w:lineRule="auto"/>
      <w:jc w:val="left"/>
      <w:rPr>
        <w:sz w:val="20"/>
        <w:szCs w:val="20"/>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AC0EF" w14:textId="6E820672" w:rsidR="00A96E85" w:rsidRPr="007B7930" w:rsidRDefault="00A96E85">
    <w:pPr>
      <w:jc w:val="left"/>
      <w:rPr>
        <w:sz w:val="20"/>
        <w:szCs w:val="20"/>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89DEB" w14:textId="7304AF3A" w:rsidR="00675AEB" w:rsidRPr="007B7930" w:rsidRDefault="00675AEB" w:rsidP="007B7930">
    <w:pPr>
      <w:tabs>
        <w:tab w:val="right" w:pos="6915"/>
      </w:tabs>
      <w:spacing w:line="240" w:lineRule="auto"/>
      <w:jc w:val="left"/>
      <w:rPr>
        <w:sz w:val="20"/>
        <w:szCs w:val="20"/>
      </w:rPr>
    </w:pPr>
    <w:r w:rsidRPr="00675AEB">
      <w:rPr>
        <w:sz w:val="20"/>
        <w:szCs w:val="20"/>
      </w:rPr>
      <w:t>Linguistic and extra-linguistic arguments in graphization debates</w:t>
    </w:r>
    <w:r w:rsidRPr="007B7930">
      <w:rPr>
        <w:sz w:val="20"/>
        <w:szCs w:val="20"/>
      </w:rPr>
      <w:tab/>
    </w:r>
    <w:r w:rsidRPr="007B7930">
      <w:rPr>
        <w:sz w:val="20"/>
        <w:szCs w:val="20"/>
      </w:rPr>
      <w:fldChar w:fldCharType="begin"/>
    </w:r>
    <w:r w:rsidRPr="007B7930">
      <w:rPr>
        <w:sz w:val="20"/>
        <w:szCs w:val="20"/>
      </w:rPr>
      <w:instrText xml:space="preserve"> PAGE   \* MERGEFORMAT </w:instrText>
    </w:r>
    <w:r w:rsidRPr="007B7930">
      <w:rPr>
        <w:sz w:val="20"/>
        <w:szCs w:val="20"/>
      </w:rPr>
      <w:fldChar w:fldCharType="separate"/>
    </w:r>
    <w:r w:rsidRPr="007B7930">
      <w:rPr>
        <w:sz w:val="20"/>
        <w:szCs w:val="20"/>
      </w:rPr>
      <w:t>7</w:t>
    </w:r>
    <w:r w:rsidRPr="007B7930">
      <w:rPr>
        <w:sz w:val="20"/>
        <w:szCs w:val="20"/>
      </w:rPr>
      <w:fldChar w:fldCharType="end"/>
    </w:r>
  </w:p>
  <w:p w14:paraId="5D7F12CA" w14:textId="77777777" w:rsidR="00675AEB" w:rsidRPr="007B7930" w:rsidRDefault="00675AEB" w:rsidP="007B7930">
    <w:pPr>
      <w:spacing w:line="240" w:lineRule="auto"/>
      <w:jc w:val="left"/>
      <w:rPr>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47D7A" w14:textId="77777777" w:rsidR="00A96E85" w:rsidRPr="001F6F28" w:rsidRDefault="00A96E85" w:rsidP="00226DFB">
    <w:pPr>
      <w:tabs>
        <w:tab w:val="right" w:pos="6915"/>
      </w:tabs>
      <w:jc w:val="left"/>
    </w:pPr>
    <w:r w:rsidRPr="001F6F28">
      <w:rPr>
        <w:sz w:val="20"/>
      </w:rPr>
      <w:tab/>
    </w:r>
    <w:r w:rsidRPr="001F6F28">
      <w:rPr>
        <w:sz w:val="24"/>
      </w:rPr>
      <w:fldChar w:fldCharType="begin"/>
    </w:r>
    <w:r w:rsidRPr="001F6F28">
      <w:instrText xml:space="preserve"> PAGE   \* MERGEFORMAT </w:instrText>
    </w:r>
    <w:r w:rsidRPr="001F6F28">
      <w:rPr>
        <w:sz w:val="24"/>
      </w:rPr>
      <w:fldChar w:fldCharType="separate"/>
    </w:r>
    <w:r>
      <w:rPr>
        <w:sz w:val="24"/>
      </w:rPr>
      <w:t>22</w:t>
    </w:r>
    <w:r w:rsidRPr="008A4830">
      <w:t>1</w:t>
    </w:r>
    <w:r w:rsidRPr="001F6F28">
      <w:rPr>
        <w:sz w:val="20"/>
      </w:rPr>
      <w:fldChar w:fldCharType="end"/>
    </w:r>
  </w:p>
  <w:p w14:paraId="58232B16" w14:textId="77777777" w:rsidR="000121EA" w:rsidRDefault="000121EA">
    <w:pPr>
      <w:jc w:val="left"/>
    </w:pPr>
  </w:p>
  <w:p w14:paraId="287EB126" w14:textId="1C3FD6E1" w:rsidR="00A96E85" w:rsidRPr="001F6F28" w:rsidRDefault="00A96E85">
    <w:pPr>
      <w:jc w:val="left"/>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15A4C" w14:textId="77777777" w:rsidR="006B1C93" w:rsidRPr="001F6F28" w:rsidRDefault="006B1C93" w:rsidP="006B1C93">
    <w:pPr>
      <w:tabs>
        <w:tab w:val="left" w:pos="4770"/>
        <w:tab w:val="right" w:pos="6915"/>
      </w:tabs>
      <w:spacing w:after="27"/>
      <w:jc w:val="left"/>
      <w:rPr>
        <w:sz w:val="20"/>
      </w:rPr>
    </w:pPr>
    <w:r w:rsidRPr="001F6F28">
      <w:rPr>
        <w:sz w:val="20"/>
      </w:rPr>
      <w:tab/>
    </w:r>
    <w:r>
      <w:rPr>
        <w:sz w:val="20"/>
      </w:rPr>
      <w:tab/>
    </w:r>
  </w:p>
  <w:p w14:paraId="5431ED59" w14:textId="77777777" w:rsidR="006B1C93" w:rsidRPr="001F6F28" w:rsidRDefault="006B1C93">
    <w:pPr>
      <w:jc w:val="left"/>
      <w:rPr>
        <w:sz w:val="20"/>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2A753" w14:textId="06DF2ED4" w:rsidR="00A96E85" w:rsidRPr="00675AEB" w:rsidRDefault="00A96E85" w:rsidP="00675AEB">
    <w:pPr>
      <w:tabs>
        <w:tab w:val="right" w:pos="6915"/>
      </w:tabs>
      <w:spacing w:after="27" w:line="240" w:lineRule="auto"/>
      <w:jc w:val="left"/>
      <w:rPr>
        <w:sz w:val="20"/>
        <w:szCs w:val="20"/>
      </w:rPr>
    </w:pPr>
    <w:r w:rsidRPr="00675AEB">
      <w:rPr>
        <w:sz w:val="20"/>
        <w:szCs w:val="20"/>
      </w:rPr>
      <w:fldChar w:fldCharType="begin"/>
    </w:r>
    <w:r w:rsidRPr="00675AEB">
      <w:rPr>
        <w:sz w:val="20"/>
        <w:szCs w:val="20"/>
      </w:rPr>
      <w:instrText xml:space="preserve"> PAGE   \* MERGEFORMAT </w:instrText>
    </w:r>
    <w:r w:rsidRPr="00675AEB">
      <w:rPr>
        <w:sz w:val="20"/>
        <w:szCs w:val="20"/>
      </w:rPr>
      <w:fldChar w:fldCharType="separate"/>
    </w:r>
    <w:r w:rsidRPr="00675AEB">
      <w:rPr>
        <w:sz w:val="20"/>
        <w:szCs w:val="20"/>
      </w:rPr>
      <w:t>10</w:t>
    </w:r>
    <w:r w:rsidRPr="00675AEB">
      <w:rPr>
        <w:sz w:val="20"/>
        <w:szCs w:val="20"/>
      </w:rPr>
      <w:fldChar w:fldCharType="end"/>
    </w:r>
    <w:r w:rsidRPr="00675AEB">
      <w:rPr>
        <w:sz w:val="20"/>
        <w:szCs w:val="20"/>
      </w:rPr>
      <w:t xml:space="preserve"> </w:t>
    </w:r>
    <w:r w:rsidRPr="00675AEB">
      <w:rPr>
        <w:sz w:val="20"/>
        <w:szCs w:val="20"/>
      </w:rPr>
      <w:tab/>
    </w:r>
    <w:r w:rsidRPr="00675AEB">
      <w:rPr>
        <w:sz w:val="20"/>
        <w:szCs w:val="20"/>
      </w:rPr>
      <w:fldChar w:fldCharType="begin"/>
    </w:r>
    <w:r w:rsidRPr="00675AEB">
      <w:rPr>
        <w:sz w:val="20"/>
        <w:szCs w:val="20"/>
      </w:rPr>
      <w:instrText xml:space="preserve"> STYLEREF  Authors  \* MERGEFORMAT </w:instrText>
    </w:r>
    <w:r w:rsidRPr="00675AEB">
      <w:rPr>
        <w:sz w:val="20"/>
        <w:szCs w:val="20"/>
      </w:rPr>
      <w:fldChar w:fldCharType="separate"/>
    </w:r>
    <w:r w:rsidR="00507346">
      <w:rPr>
        <w:noProof/>
        <w:sz w:val="20"/>
        <w:szCs w:val="20"/>
      </w:rPr>
      <w:t>Renate Pajusalu, Karl Pajusalu</w:t>
    </w:r>
    <w:r w:rsidRPr="00675AEB">
      <w:rPr>
        <w:sz w:val="20"/>
        <w:szCs w:val="20"/>
      </w:rPr>
      <w:fldChar w:fldCharType="end"/>
    </w:r>
  </w:p>
  <w:p w14:paraId="56CA106A" w14:textId="629E3F70" w:rsidR="00A96E85" w:rsidRPr="00675AEB" w:rsidRDefault="00A96E85" w:rsidP="00675AEB">
    <w:pPr>
      <w:spacing w:line="240" w:lineRule="auto"/>
      <w:jc w:val="left"/>
      <w:rPr>
        <w:sz w:val="20"/>
        <w:szCs w:val="20"/>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5B227" w14:textId="77777777" w:rsidR="00A96E85" w:rsidRPr="00675AEB" w:rsidRDefault="00A96E85" w:rsidP="005D457B">
    <w:pPr>
      <w:tabs>
        <w:tab w:val="right" w:pos="6915"/>
      </w:tabs>
      <w:spacing w:line="240" w:lineRule="auto"/>
      <w:jc w:val="left"/>
      <w:rPr>
        <w:sz w:val="20"/>
        <w:szCs w:val="20"/>
      </w:rPr>
    </w:pPr>
    <w:r w:rsidRPr="00675AEB">
      <w:rPr>
        <w:sz w:val="20"/>
        <w:szCs w:val="20"/>
      </w:rPr>
      <w:t>Ajavaos ja -vagudel</w:t>
    </w:r>
    <w:r w:rsidRPr="00675AEB">
      <w:rPr>
        <w:sz w:val="20"/>
        <w:szCs w:val="20"/>
      </w:rPr>
      <w:tab/>
    </w:r>
    <w:r w:rsidRPr="00675AEB">
      <w:rPr>
        <w:sz w:val="20"/>
        <w:szCs w:val="20"/>
      </w:rPr>
      <w:fldChar w:fldCharType="begin"/>
    </w:r>
    <w:r w:rsidRPr="00675AEB">
      <w:rPr>
        <w:sz w:val="20"/>
        <w:szCs w:val="20"/>
      </w:rPr>
      <w:instrText xml:space="preserve"> PAGE   \* MERGEFORMAT </w:instrText>
    </w:r>
    <w:r w:rsidRPr="00675AEB">
      <w:rPr>
        <w:sz w:val="20"/>
        <w:szCs w:val="20"/>
      </w:rPr>
      <w:fldChar w:fldCharType="separate"/>
    </w:r>
    <w:r w:rsidRPr="00675AEB">
      <w:rPr>
        <w:sz w:val="20"/>
        <w:szCs w:val="20"/>
      </w:rPr>
      <w:t>7</w:t>
    </w:r>
    <w:r w:rsidRPr="00675AEB">
      <w:rPr>
        <w:sz w:val="20"/>
        <w:szCs w:val="20"/>
      </w:rPr>
      <w:fldChar w:fldCharType="end"/>
    </w:r>
  </w:p>
  <w:p w14:paraId="4A4088AA" w14:textId="23F4A131" w:rsidR="00A96E85" w:rsidRPr="00675AEB" w:rsidRDefault="00A96E85" w:rsidP="005D457B">
    <w:pPr>
      <w:spacing w:line="240" w:lineRule="auto"/>
      <w:jc w:val="left"/>
      <w:rPr>
        <w:sz w:val="20"/>
        <w:szCs w:val="20"/>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7BA62" w14:textId="6412ADDF" w:rsidR="00A96E85" w:rsidRPr="00675AEB" w:rsidRDefault="00A96E85">
    <w:pPr>
      <w:jc w:val="left"/>
      <w:rPr>
        <w:sz w:val="20"/>
        <w:szCs w:val="20"/>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33676" w14:textId="2F765057" w:rsidR="00A96E85" w:rsidRPr="005D457B" w:rsidRDefault="00A96E85" w:rsidP="005D457B">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 xml:space="preserve"> </w:t>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Christian Pischlöger</w:t>
    </w:r>
    <w:r w:rsidRPr="005D457B">
      <w:rPr>
        <w:sz w:val="20"/>
        <w:szCs w:val="20"/>
      </w:rPr>
      <w:fldChar w:fldCharType="end"/>
    </w:r>
  </w:p>
  <w:p w14:paraId="709D4367" w14:textId="4B1D6759" w:rsidR="00A96E85" w:rsidRPr="005D457B" w:rsidRDefault="00A96E85" w:rsidP="005D457B">
    <w:pPr>
      <w:spacing w:line="240" w:lineRule="auto"/>
      <w:jc w:val="left"/>
      <w:rPr>
        <w:sz w:val="20"/>
        <w:szCs w:val="20"/>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4BDEE" w14:textId="77777777" w:rsidR="00A96E85" w:rsidRPr="005D457B" w:rsidRDefault="00A96E85" w:rsidP="00226DFB">
    <w:pPr>
      <w:tabs>
        <w:tab w:val="right" w:pos="6915"/>
      </w:tabs>
      <w:jc w:val="left"/>
      <w:rPr>
        <w:sz w:val="20"/>
        <w:szCs w:val="20"/>
      </w:rPr>
    </w:pPr>
    <w:r w:rsidRPr="005D457B">
      <w:rPr>
        <w:sz w:val="20"/>
        <w:szCs w:val="20"/>
      </w:rPr>
      <w:t>Die „Wieso-Sprache“ Besermanisch</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7E671671" w14:textId="5CC110B6" w:rsidR="00A96E85" w:rsidRPr="005D457B" w:rsidRDefault="00A96E85">
    <w:pPr>
      <w:jc w:val="left"/>
      <w:rPr>
        <w:sz w:val="20"/>
        <w:szCs w:val="20"/>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39821" w14:textId="39965DBF" w:rsidR="00A96E85" w:rsidRPr="001F6F28" w:rsidRDefault="00A96E85" w:rsidP="005D457B">
    <w:pPr>
      <w:spacing w:line="240" w:lineRule="auto"/>
      <w:jc w:val="left"/>
      <w:rPr>
        <w:sz w:val="20"/>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20B1A" w14:textId="07ECB27D" w:rsidR="00A96E85" w:rsidRPr="005D457B" w:rsidRDefault="00A96E85" w:rsidP="005D457B">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 xml:space="preserve"> </w:t>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Janne Saarikivi</w:t>
    </w:r>
    <w:r w:rsidRPr="005D457B">
      <w:rPr>
        <w:sz w:val="20"/>
        <w:szCs w:val="20"/>
      </w:rPr>
      <w:fldChar w:fldCharType="end"/>
    </w:r>
  </w:p>
  <w:p w14:paraId="20A0CCE6" w14:textId="3C2B0FE2" w:rsidR="00A96E85" w:rsidRPr="005D457B" w:rsidRDefault="00A96E85" w:rsidP="005D457B">
    <w:pPr>
      <w:spacing w:line="240" w:lineRule="auto"/>
      <w:jc w:val="left"/>
      <w:rPr>
        <w:sz w:val="20"/>
        <w:szCs w:val="20"/>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F81E0" w14:textId="77777777" w:rsidR="00A96E85" w:rsidRPr="005D457B" w:rsidRDefault="00A96E85" w:rsidP="005D457B">
    <w:pPr>
      <w:tabs>
        <w:tab w:val="right" w:pos="6915"/>
      </w:tabs>
      <w:spacing w:line="240" w:lineRule="auto"/>
      <w:jc w:val="left"/>
      <w:rPr>
        <w:sz w:val="20"/>
        <w:szCs w:val="20"/>
      </w:rPr>
    </w:pPr>
    <w:r w:rsidRPr="005D457B">
      <w:rPr>
        <w:sz w:val="20"/>
        <w:szCs w:val="20"/>
      </w:rPr>
      <w:t>Huomioita Agricolan psalttarin esipuheen jumalista</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53461291" w14:textId="228E78BA" w:rsidR="00A96E85" w:rsidRPr="005D457B" w:rsidRDefault="00A96E85" w:rsidP="005D457B">
    <w:pPr>
      <w:spacing w:line="240" w:lineRule="auto"/>
      <w:jc w:val="left"/>
      <w:rPr>
        <w:sz w:val="20"/>
        <w:szCs w:val="20"/>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C4B7E" w14:textId="58542E8C" w:rsidR="00A96E85" w:rsidRPr="001F6F28" w:rsidRDefault="00A96E85" w:rsidP="005D457B">
    <w:pPr>
      <w:spacing w:line="240" w:lineRule="auto"/>
      <w:jc w:val="left"/>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8A5FD" w14:textId="5838D16B" w:rsidR="00A96E85" w:rsidRPr="001F6F28" w:rsidRDefault="00A96E85" w:rsidP="006E1E81">
    <w:pPr>
      <w:spacing w:line="240" w:lineRule="auto"/>
      <w:jc w:val="left"/>
      <w:rPr>
        <w:sz w:val="20"/>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65708" w14:textId="7631BC8B" w:rsidR="00A96E85" w:rsidRPr="005D457B" w:rsidRDefault="00A96E85" w:rsidP="005D457B">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 xml:space="preserve"> </w:t>
    </w:r>
    <w:r w:rsidRPr="005D457B">
      <w:rPr>
        <w:sz w:val="20"/>
        <w:szCs w:val="20"/>
      </w:rPr>
      <w:tab/>
    </w:r>
    <w:r w:rsidR="008E58CA" w:rsidRPr="005D457B">
      <w:rPr>
        <w:sz w:val="20"/>
        <w:szCs w:val="20"/>
      </w:rPr>
      <w:t>Shagal, Niinemägi, Hammer, Vojter, Béres</w:t>
    </w:r>
  </w:p>
  <w:p w14:paraId="6D1B142F" w14:textId="77777777" w:rsidR="002E528D" w:rsidRPr="005D457B" w:rsidRDefault="002E528D" w:rsidP="005D457B">
    <w:pPr>
      <w:tabs>
        <w:tab w:val="right" w:pos="6915"/>
      </w:tabs>
      <w:spacing w:after="27" w:line="240" w:lineRule="auto"/>
      <w:jc w:val="left"/>
      <w:rPr>
        <w:sz w:val="20"/>
        <w:szCs w:val="20"/>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8DFC6" w14:textId="77777777" w:rsidR="00A96E85" w:rsidRPr="005D457B" w:rsidRDefault="00A96E85" w:rsidP="005D457B">
    <w:pPr>
      <w:tabs>
        <w:tab w:val="right" w:pos="6915"/>
      </w:tabs>
      <w:spacing w:line="240" w:lineRule="auto"/>
      <w:jc w:val="left"/>
      <w:rPr>
        <w:sz w:val="20"/>
        <w:szCs w:val="20"/>
      </w:rPr>
    </w:pPr>
    <w:r w:rsidRPr="005D457B">
      <w:rPr>
        <w:sz w:val="20"/>
        <w:szCs w:val="20"/>
      </w:rPr>
      <w:t>Gendered job titles in genderless languages: A case of Finno-Ugric</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4A2D7224" w14:textId="4DB8898B" w:rsidR="00A96E85" w:rsidRPr="005D457B" w:rsidRDefault="00A96E85" w:rsidP="005D457B">
    <w:pPr>
      <w:spacing w:line="240" w:lineRule="auto"/>
      <w:jc w:val="left"/>
      <w:rPr>
        <w:sz w:val="20"/>
        <w:szCs w:val="20"/>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33236" w14:textId="7237E4A2" w:rsidR="00A96E85" w:rsidRPr="001F6F28" w:rsidRDefault="00A96E85" w:rsidP="005D457B">
    <w:pPr>
      <w:spacing w:line="240" w:lineRule="auto"/>
      <w:jc w:val="left"/>
      <w:rPr>
        <w:sz w:val="20"/>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84A7C" w14:textId="40187F36" w:rsidR="00092304" w:rsidRPr="005D457B" w:rsidRDefault="00092304" w:rsidP="00FC2B6B">
    <w:pPr>
      <w:tabs>
        <w:tab w:val="right" w:pos="6915"/>
      </w:tabs>
      <w:spacing w:after="27"/>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noProof/>
        <w:sz w:val="20"/>
        <w:szCs w:val="20"/>
      </w:rPr>
      <w:t>10</w:t>
    </w:r>
    <w:r w:rsidRPr="005D457B">
      <w:rPr>
        <w:sz w:val="20"/>
        <w:szCs w:val="20"/>
      </w:rPr>
      <w:fldChar w:fldCharType="end"/>
    </w:r>
    <w:r w:rsidRPr="005D457B">
      <w:rPr>
        <w:sz w:val="20"/>
        <w:szCs w:val="20"/>
      </w:rPr>
      <w:t xml:space="preserve"> </w:t>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Beáta Wagner-Nagy</w:t>
    </w:r>
    <w:r w:rsidRPr="005D457B">
      <w:rPr>
        <w:sz w:val="20"/>
        <w:szCs w:val="20"/>
      </w:rPr>
      <w:fldChar w:fldCharType="end"/>
    </w:r>
  </w:p>
  <w:p w14:paraId="494E5F46" w14:textId="0B5A10DB" w:rsidR="00092304" w:rsidRPr="005D457B" w:rsidRDefault="00092304">
    <w:pPr>
      <w:jc w:val="left"/>
      <w:rPr>
        <w:sz w:val="20"/>
        <w:szCs w:val="20"/>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6111D" w14:textId="77777777" w:rsidR="00092304" w:rsidRPr="005D457B" w:rsidRDefault="00092304" w:rsidP="00FC2B6B">
    <w:pPr>
      <w:tabs>
        <w:tab w:val="right" w:pos="6915"/>
      </w:tabs>
      <w:jc w:val="left"/>
      <w:rPr>
        <w:sz w:val="20"/>
        <w:szCs w:val="20"/>
      </w:rPr>
    </w:pPr>
    <w:r w:rsidRPr="005D457B">
      <w:rPr>
        <w:sz w:val="20"/>
        <w:szCs w:val="20"/>
        <w:lang w:val="en-US"/>
      </w:rPr>
      <w:t>How many right and left sides are there in Nganasan?</w:t>
    </w:r>
    <w:r w:rsidRPr="005D457B">
      <w:rPr>
        <w:sz w:val="20"/>
        <w:szCs w:val="20"/>
        <w:lang w:val="en-US"/>
      </w:rPr>
      <w:tab/>
    </w:r>
    <w:r w:rsidRPr="005D457B">
      <w:rPr>
        <w:sz w:val="20"/>
        <w:szCs w:val="20"/>
      </w:rPr>
      <w:fldChar w:fldCharType="begin"/>
    </w:r>
    <w:r w:rsidRPr="005D457B">
      <w:rPr>
        <w:sz w:val="20"/>
        <w:szCs w:val="20"/>
        <w:lang w:val="en-US"/>
      </w:rPr>
      <w:instrText xml:space="preserve"> PAGE   \* MERGEFORMAT </w:instrText>
    </w:r>
    <w:r w:rsidRPr="005D457B">
      <w:rPr>
        <w:sz w:val="20"/>
        <w:szCs w:val="20"/>
      </w:rPr>
      <w:fldChar w:fldCharType="separate"/>
    </w:r>
    <w:r w:rsidRPr="005D457B">
      <w:rPr>
        <w:noProof/>
        <w:sz w:val="20"/>
        <w:szCs w:val="20"/>
      </w:rPr>
      <w:t>9</w:t>
    </w:r>
    <w:r w:rsidRPr="005D457B">
      <w:rPr>
        <w:sz w:val="20"/>
        <w:szCs w:val="20"/>
      </w:rPr>
      <w:fldChar w:fldCharType="end"/>
    </w:r>
  </w:p>
  <w:p w14:paraId="3C3B4EF7" w14:textId="158858AD" w:rsidR="00092304" w:rsidRPr="005D457B" w:rsidRDefault="00092304">
    <w:pPr>
      <w:jc w:val="left"/>
      <w:rPr>
        <w:sz w:val="20"/>
        <w:szCs w:val="20"/>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07C12" w14:textId="6CCC9AFC" w:rsidR="00092304" w:rsidRPr="001F6F28" w:rsidRDefault="00092304" w:rsidP="005D457B">
    <w:pPr>
      <w:spacing w:line="240" w:lineRule="auto"/>
      <w:jc w:val="left"/>
      <w:rPr>
        <w:sz w:val="20"/>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D1175" w14:textId="00FD9600" w:rsidR="00A96E85" w:rsidRPr="005D457B" w:rsidRDefault="00A96E85" w:rsidP="005D457B">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 xml:space="preserve"> </w:t>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Beáta Wagner-Nagy</w:t>
    </w:r>
    <w:r w:rsidRPr="005D457B">
      <w:rPr>
        <w:sz w:val="20"/>
        <w:szCs w:val="20"/>
      </w:rPr>
      <w:fldChar w:fldCharType="end"/>
    </w:r>
  </w:p>
  <w:p w14:paraId="1DD3787E" w14:textId="65A13B65" w:rsidR="00A96E85" w:rsidRPr="005D457B" w:rsidRDefault="00A96E85" w:rsidP="005D457B">
    <w:pPr>
      <w:spacing w:line="240" w:lineRule="auto"/>
      <w:jc w:val="left"/>
      <w:rPr>
        <w:sz w:val="20"/>
        <w:szCs w:val="20"/>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7E851" w14:textId="77777777" w:rsidR="00A96E85" w:rsidRPr="005D457B" w:rsidRDefault="00A96E85" w:rsidP="005D457B">
    <w:pPr>
      <w:tabs>
        <w:tab w:val="right" w:pos="6915"/>
      </w:tabs>
      <w:spacing w:line="240" w:lineRule="auto"/>
      <w:jc w:val="left"/>
      <w:rPr>
        <w:sz w:val="20"/>
        <w:szCs w:val="20"/>
      </w:rPr>
    </w:pPr>
    <w:r w:rsidRPr="005D457B">
      <w:rPr>
        <w:sz w:val="20"/>
        <w:szCs w:val="20"/>
      </w:rPr>
      <w:t>How many right and left sides are there in Nganasan?</w:t>
    </w:r>
    <w:r w:rsidRPr="005D457B">
      <w:rPr>
        <w:sz w:val="20"/>
        <w:szCs w:val="20"/>
      </w:rPr>
      <w:tab/>
    </w: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7</w:t>
    </w:r>
    <w:r w:rsidRPr="005D457B">
      <w:rPr>
        <w:sz w:val="20"/>
        <w:szCs w:val="20"/>
      </w:rPr>
      <w:fldChar w:fldCharType="end"/>
    </w:r>
  </w:p>
  <w:p w14:paraId="0AE83A7B" w14:textId="777DA212" w:rsidR="00A96E85" w:rsidRPr="005D457B" w:rsidRDefault="00A96E85" w:rsidP="005D457B">
    <w:pPr>
      <w:spacing w:line="240" w:lineRule="auto"/>
      <w:jc w:val="left"/>
      <w:rPr>
        <w:sz w:val="20"/>
        <w:szCs w:val="20"/>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AF523" w14:textId="77777777" w:rsidR="000121EA" w:rsidRDefault="00A96E85">
    <w:pPr>
      <w:tabs>
        <w:tab w:val="right" w:pos="6915"/>
      </w:tabs>
      <w:spacing w:after="27"/>
      <w:jc w:val="left"/>
      <w:rPr>
        <w:sz w:val="20"/>
      </w:rPr>
    </w:pPr>
    <w:r w:rsidRPr="001F6F28">
      <w:rPr>
        <w:sz w:val="20"/>
      </w:rPr>
      <w:tab/>
    </w:r>
  </w:p>
  <w:p w14:paraId="6EF298BA" w14:textId="32597FDC" w:rsidR="00A96E85" w:rsidRPr="001F6F28" w:rsidRDefault="00A96E85">
    <w:pPr>
      <w:jc w:val="left"/>
      <w:rPr>
        <w:sz w:val="20"/>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46282" w14:textId="557009DF" w:rsidR="00A96E85" w:rsidRPr="005D457B" w:rsidRDefault="00A96E85" w:rsidP="005D457B">
    <w:pPr>
      <w:tabs>
        <w:tab w:val="right" w:pos="6915"/>
      </w:tabs>
      <w:spacing w:after="27" w:line="240" w:lineRule="auto"/>
      <w:jc w:val="left"/>
      <w:rPr>
        <w:sz w:val="20"/>
        <w:szCs w:val="20"/>
      </w:rPr>
    </w:pPr>
    <w:r w:rsidRPr="005D457B">
      <w:rPr>
        <w:sz w:val="20"/>
        <w:szCs w:val="20"/>
      </w:rPr>
      <w:fldChar w:fldCharType="begin"/>
    </w:r>
    <w:r w:rsidRPr="005D457B">
      <w:rPr>
        <w:sz w:val="20"/>
        <w:szCs w:val="20"/>
      </w:rPr>
      <w:instrText xml:space="preserve"> PAGE   \* MERGEFORMAT </w:instrText>
    </w:r>
    <w:r w:rsidRPr="005D457B">
      <w:rPr>
        <w:sz w:val="20"/>
        <w:szCs w:val="20"/>
      </w:rPr>
      <w:fldChar w:fldCharType="separate"/>
    </w:r>
    <w:r w:rsidRPr="005D457B">
      <w:rPr>
        <w:sz w:val="20"/>
        <w:szCs w:val="20"/>
      </w:rPr>
      <w:t>10</w:t>
    </w:r>
    <w:r w:rsidRPr="005D457B">
      <w:rPr>
        <w:sz w:val="20"/>
        <w:szCs w:val="20"/>
      </w:rPr>
      <w:fldChar w:fldCharType="end"/>
    </w:r>
    <w:r w:rsidRPr="005D457B">
      <w:rPr>
        <w:sz w:val="20"/>
        <w:szCs w:val="20"/>
      </w:rPr>
      <w:tab/>
    </w:r>
    <w:r w:rsidRPr="005D457B">
      <w:rPr>
        <w:sz w:val="20"/>
        <w:szCs w:val="20"/>
      </w:rPr>
      <w:fldChar w:fldCharType="begin"/>
    </w:r>
    <w:r w:rsidRPr="005D457B">
      <w:rPr>
        <w:sz w:val="20"/>
        <w:szCs w:val="20"/>
      </w:rPr>
      <w:instrText xml:space="preserve"> STYLEREF  Authors  \* MERGEFORMAT </w:instrText>
    </w:r>
    <w:r w:rsidRPr="005D457B">
      <w:rPr>
        <w:sz w:val="20"/>
        <w:szCs w:val="20"/>
      </w:rPr>
      <w:fldChar w:fldCharType="separate"/>
    </w:r>
    <w:r w:rsidR="00507346">
      <w:rPr>
        <w:noProof/>
        <w:sz w:val="20"/>
        <w:szCs w:val="20"/>
      </w:rPr>
      <w:t>Jussi Ylikoski</w:t>
    </w:r>
    <w:r w:rsidRPr="005D457B">
      <w:rPr>
        <w:sz w:val="20"/>
        <w:szCs w:val="20"/>
      </w:rPr>
      <w:fldChar w:fldCharType="end"/>
    </w:r>
  </w:p>
  <w:p w14:paraId="6573D597" w14:textId="23EB0DDE" w:rsidR="00A96E85" w:rsidRPr="005D457B" w:rsidRDefault="00A96E85" w:rsidP="005D457B">
    <w:pPr>
      <w:spacing w:line="240" w:lineRule="auto"/>
      <w:jc w:val="lef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77840"/>
    <w:multiLevelType w:val="multilevel"/>
    <w:tmpl w:val="7F58C7A4"/>
    <w:lvl w:ilvl="0">
      <w:start w:val="1"/>
      <w:numFmt w:val="decimal"/>
      <w:lvlText w:val="%1."/>
      <w:lvlJc w:val="left"/>
      <w:pPr>
        <w:tabs>
          <w:tab w:val="num" w:pos="0"/>
        </w:tabs>
        <w:ind w:left="720" w:hanging="360"/>
      </w:pPr>
      <w:rPr>
        <w:rFonts w:ascii="Gill Sans MT" w:hAnsi="Gill Sans MT" w:hint="default"/>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C972149"/>
    <w:multiLevelType w:val="multilevel"/>
    <w:tmpl w:val="47FACF56"/>
    <w:lvl w:ilvl="0">
      <w:start w:val="1"/>
      <w:numFmt w:val="decimal"/>
      <w:lvlText w:val="%1."/>
      <w:lvlJc w:val="left"/>
      <w:pPr>
        <w:ind w:left="720" w:hanging="360"/>
      </w:pPr>
      <w:rPr>
        <w:caps w:val="0"/>
        <w:smallCaps w:val="0"/>
        <w:strike w:val="0"/>
        <w:dstrike w:val="0"/>
        <w:outline w:val="0"/>
        <w:emboss w:val="0"/>
        <w:imprint w:val="0"/>
        <w:spacing w:val="0"/>
        <w:w w:val="100"/>
        <w:kern w:val="0"/>
        <w:position w:val="0"/>
        <w:sz w:val="22"/>
        <w:vertAlign w:val="baseline"/>
      </w:rPr>
    </w:lvl>
    <w:lvl w:ilvl="1">
      <w:start w:val="1"/>
      <w:numFmt w:val="lowerLetter"/>
      <w:lvlText w:val="%2."/>
      <w:lvlJc w:val="left"/>
      <w:pPr>
        <w:ind w:left="1440" w:hanging="360"/>
      </w:pPr>
      <w:rPr>
        <w:caps w:val="0"/>
        <w:smallCaps w:val="0"/>
        <w:strike w:val="0"/>
        <w:dstrike w:val="0"/>
        <w:outline w:val="0"/>
        <w:emboss w:val="0"/>
        <w:imprint w:val="0"/>
        <w:spacing w:val="0"/>
        <w:w w:val="100"/>
        <w:kern w:val="0"/>
        <w:position w:val="0"/>
        <w:sz w:val="22"/>
        <w:vertAlign w:val="baseline"/>
      </w:rPr>
    </w:lvl>
    <w:lvl w:ilvl="2">
      <w:start w:val="1"/>
      <w:numFmt w:val="lowerRoman"/>
      <w:lvlText w:val="%3."/>
      <w:lvlJc w:val="left"/>
      <w:pPr>
        <w:ind w:left="2160" w:hanging="314"/>
      </w:pPr>
      <w:rPr>
        <w:caps w:val="0"/>
        <w:smallCaps w:val="0"/>
        <w:strike w:val="0"/>
        <w:dstrike w:val="0"/>
        <w:outline w:val="0"/>
        <w:emboss w:val="0"/>
        <w:imprint w:val="0"/>
        <w:spacing w:val="0"/>
        <w:w w:val="100"/>
        <w:kern w:val="0"/>
        <w:position w:val="0"/>
        <w:sz w:val="22"/>
        <w:vertAlign w:val="baseline"/>
      </w:rPr>
    </w:lvl>
    <w:lvl w:ilvl="3">
      <w:start w:val="1"/>
      <w:numFmt w:val="decimal"/>
      <w:lvlText w:val="%4."/>
      <w:lvlJc w:val="left"/>
      <w:pPr>
        <w:ind w:left="2880" w:hanging="360"/>
      </w:pPr>
      <w:rPr>
        <w:caps w:val="0"/>
        <w:smallCaps w:val="0"/>
        <w:strike w:val="0"/>
        <w:dstrike w:val="0"/>
        <w:outline w:val="0"/>
        <w:emboss w:val="0"/>
        <w:imprint w:val="0"/>
        <w:spacing w:val="0"/>
        <w:w w:val="100"/>
        <w:kern w:val="0"/>
        <w:position w:val="0"/>
        <w:sz w:val="22"/>
        <w:vertAlign w:val="baseline"/>
      </w:rPr>
    </w:lvl>
    <w:lvl w:ilvl="4">
      <w:start w:val="1"/>
      <w:numFmt w:val="lowerLetter"/>
      <w:lvlText w:val="%5."/>
      <w:lvlJc w:val="left"/>
      <w:pPr>
        <w:ind w:left="3600" w:hanging="360"/>
      </w:pPr>
      <w:rPr>
        <w:caps w:val="0"/>
        <w:smallCaps w:val="0"/>
        <w:strike w:val="0"/>
        <w:dstrike w:val="0"/>
        <w:outline w:val="0"/>
        <w:emboss w:val="0"/>
        <w:imprint w:val="0"/>
        <w:spacing w:val="0"/>
        <w:w w:val="100"/>
        <w:kern w:val="0"/>
        <w:position w:val="0"/>
        <w:sz w:val="22"/>
        <w:vertAlign w:val="baseline"/>
      </w:rPr>
    </w:lvl>
    <w:lvl w:ilvl="5">
      <w:start w:val="1"/>
      <w:numFmt w:val="lowerRoman"/>
      <w:lvlText w:val="%6."/>
      <w:lvlJc w:val="left"/>
      <w:pPr>
        <w:ind w:left="4320" w:hanging="314"/>
      </w:pPr>
      <w:rPr>
        <w:caps w:val="0"/>
        <w:smallCaps w:val="0"/>
        <w:strike w:val="0"/>
        <w:dstrike w:val="0"/>
        <w:outline w:val="0"/>
        <w:emboss w:val="0"/>
        <w:imprint w:val="0"/>
        <w:spacing w:val="0"/>
        <w:w w:val="100"/>
        <w:kern w:val="0"/>
        <w:position w:val="0"/>
        <w:sz w:val="22"/>
        <w:vertAlign w:val="baseline"/>
      </w:rPr>
    </w:lvl>
    <w:lvl w:ilvl="6">
      <w:start w:val="1"/>
      <w:numFmt w:val="decimal"/>
      <w:lvlText w:val="%7."/>
      <w:lvlJc w:val="left"/>
      <w:pPr>
        <w:ind w:left="5040" w:hanging="360"/>
      </w:pPr>
      <w:rPr>
        <w:caps w:val="0"/>
        <w:smallCaps w:val="0"/>
        <w:strike w:val="0"/>
        <w:dstrike w:val="0"/>
        <w:outline w:val="0"/>
        <w:emboss w:val="0"/>
        <w:imprint w:val="0"/>
        <w:spacing w:val="0"/>
        <w:w w:val="100"/>
        <w:kern w:val="0"/>
        <w:position w:val="0"/>
        <w:sz w:val="22"/>
        <w:vertAlign w:val="baseline"/>
      </w:rPr>
    </w:lvl>
    <w:lvl w:ilvl="7">
      <w:start w:val="1"/>
      <w:numFmt w:val="lowerLetter"/>
      <w:lvlText w:val="%8."/>
      <w:lvlJc w:val="left"/>
      <w:pPr>
        <w:ind w:left="5760" w:hanging="360"/>
      </w:pPr>
      <w:rPr>
        <w:caps w:val="0"/>
        <w:smallCaps w:val="0"/>
        <w:strike w:val="0"/>
        <w:dstrike w:val="0"/>
        <w:outline w:val="0"/>
        <w:emboss w:val="0"/>
        <w:imprint w:val="0"/>
        <w:spacing w:val="0"/>
        <w:w w:val="100"/>
        <w:kern w:val="0"/>
        <w:position w:val="0"/>
        <w:sz w:val="22"/>
        <w:vertAlign w:val="baseline"/>
      </w:rPr>
    </w:lvl>
    <w:lvl w:ilvl="8">
      <w:start w:val="1"/>
      <w:numFmt w:val="lowerRoman"/>
      <w:lvlText w:val="%9."/>
      <w:lvlJc w:val="left"/>
      <w:pPr>
        <w:ind w:left="6480" w:hanging="314"/>
      </w:pPr>
      <w:rPr>
        <w:caps w:val="0"/>
        <w:smallCaps w:val="0"/>
        <w:strike w:val="0"/>
        <w:dstrike w:val="0"/>
        <w:outline w:val="0"/>
        <w:emboss w:val="0"/>
        <w:imprint w:val="0"/>
        <w:spacing w:val="0"/>
        <w:w w:val="100"/>
        <w:kern w:val="0"/>
        <w:position w:val="0"/>
        <w:sz w:val="22"/>
        <w:vertAlign w:val="baseline"/>
      </w:rPr>
    </w:lvl>
  </w:abstractNum>
  <w:abstractNum w:abstractNumId="2" w15:restartNumberingAfterBreak="0">
    <w:nsid w:val="0D74450F"/>
    <w:multiLevelType w:val="multilevel"/>
    <w:tmpl w:val="F8F46DF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101937FE"/>
    <w:multiLevelType w:val="hybridMultilevel"/>
    <w:tmpl w:val="8F1A6AB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1BE4BF0"/>
    <w:multiLevelType w:val="hybridMultilevel"/>
    <w:tmpl w:val="7EFAB9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3560FED"/>
    <w:multiLevelType w:val="hybridMultilevel"/>
    <w:tmpl w:val="3F2E53BE"/>
    <w:styleLink w:val="Tuotutyyli1"/>
    <w:lvl w:ilvl="0" w:tplc="3850B5D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FB6C650">
      <w:start w:val="1"/>
      <w:numFmt w:val="lowerLetter"/>
      <w:lvlText w:val="%2."/>
      <w:lvlJc w:val="left"/>
      <w:pPr>
        <w:ind w:left="720" w:hanging="696"/>
      </w:pPr>
      <w:rPr>
        <w:rFonts w:hAnsi="Arial Unicode MS"/>
        <w:caps w:val="0"/>
        <w:smallCaps w:val="0"/>
        <w:strike w:val="0"/>
        <w:dstrike w:val="0"/>
        <w:outline w:val="0"/>
        <w:emboss w:val="0"/>
        <w:imprint w:val="0"/>
        <w:spacing w:val="0"/>
        <w:w w:val="100"/>
        <w:kern w:val="0"/>
        <w:position w:val="0"/>
        <w:highlight w:val="none"/>
        <w:vertAlign w:val="baseline"/>
      </w:rPr>
    </w:lvl>
    <w:lvl w:ilvl="2" w:tplc="8B329D68">
      <w:start w:val="1"/>
      <w:numFmt w:val="lowerRoman"/>
      <w:lvlText w:val="%3."/>
      <w:lvlJc w:val="left"/>
      <w:pPr>
        <w:tabs>
          <w:tab w:val="left" w:pos="360"/>
        </w:tabs>
        <w:ind w:left="1440" w:hanging="660"/>
      </w:pPr>
      <w:rPr>
        <w:rFonts w:hAnsi="Arial Unicode MS"/>
        <w:caps w:val="0"/>
        <w:smallCaps w:val="0"/>
        <w:strike w:val="0"/>
        <w:dstrike w:val="0"/>
        <w:outline w:val="0"/>
        <w:emboss w:val="0"/>
        <w:imprint w:val="0"/>
        <w:spacing w:val="0"/>
        <w:w w:val="100"/>
        <w:kern w:val="0"/>
        <w:position w:val="0"/>
        <w:highlight w:val="none"/>
        <w:vertAlign w:val="baseline"/>
      </w:rPr>
    </w:lvl>
    <w:lvl w:ilvl="3" w:tplc="22E076B4">
      <w:start w:val="1"/>
      <w:numFmt w:val="decimal"/>
      <w:lvlText w:val="%4."/>
      <w:lvlJc w:val="left"/>
      <w:pPr>
        <w:tabs>
          <w:tab w:val="left" w:pos="360"/>
        </w:tabs>
        <w:ind w:left="2160" w:hanging="672"/>
      </w:pPr>
      <w:rPr>
        <w:rFonts w:hAnsi="Arial Unicode MS"/>
        <w:caps w:val="0"/>
        <w:smallCaps w:val="0"/>
        <w:strike w:val="0"/>
        <w:dstrike w:val="0"/>
        <w:outline w:val="0"/>
        <w:emboss w:val="0"/>
        <w:imprint w:val="0"/>
        <w:spacing w:val="0"/>
        <w:w w:val="100"/>
        <w:kern w:val="0"/>
        <w:position w:val="0"/>
        <w:highlight w:val="none"/>
        <w:vertAlign w:val="baseline"/>
      </w:rPr>
    </w:lvl>
    <w:lvl w:ilvl="4" w:tplc="4D80909E">
      <w:start w:val="1"/>
      <w:numFmt w:val="lowerLetter"/>
      <w:lvlText w:val="%5."/>
      <w:lvlJc w:val="left"/>
      <w:pPr>
        <w:tabs>
          <w:tab w:val="left" w:pos="360"/>
        </w:tabs>
        <w:ind w:left="2880" w:hanging="660"/>
      </w:pPr>
      <w:rPr>
        <w:rFonts w:hAnsi="Arial Unicode MS"/>
        <w:caps w:val="0"/>
        <w:smallCaps w:val="0"/>
        <w:strike w:val="0"/>
        <w:dstrike w:val="0"/>
        <w:outline w:val="0"/>
        <w:emboss w:val="0"/>
        <w:imprint w:val="0"/>
        <w:spacing w:val="0"/>
        <w:w w:val="100"/>
        <w:kern w:val="0"/>
        <w:position w:val="0"/>
        <w:highlight w:val="none"/>
        <w:vertAlign w:val="baseline"/>
      </w:rPr>
    </w:lvl>
    <w:lvl w:ilvl="5" w:tplc="776E5D16">
      <w:start w:val="1"/>
      <w:numFmt w:val="lowerRoman"/>
      <w:lvlText w:val="%6."/>
      <w:lvlJc w:val="left"/>
      <w:pPr>
        <w:tabs>
          <w:tab w:val="left" w:pos="360"/>
        </w:tabs>
        <w:ind w:left="3600" w:hanging="624"/>
      </w:pPr>
      <w:rPr>
        <w:rFonts w:hAnsi="Arial Unicode MS"/>
        <w:caps w:val="0"/>
        <w:smallCaps w:val="0"/>
        <w:strike w:val="0"/>
        <w:dstrike w:val="0"/>
        <w:outline w:val="0"/>
        <w:emboss w:val="0"/>
        <w:imprint w:val="0"/>
        <w:spacing w:val="0"/>
        <w:w w:val="100"/>
        <w:kern w:val="0"/>
        <w:position w:val="0"/>
        <w:highlight w:val="none"/>
        <w:vertAlign w:val="baseline"/>
      </w:rPr>
    </w:lvl>
    <w:lvl w:ilvl="6" w:tplc="8980792A">
      <w:start w:val="1"/>
      <w:numFmt w:val="decimal"/>
      <w:lvlText w:val="%7."/>
      <w:lvlJc w:val="left"/>
      <w:pPr>
        <w:tabs>
          <w:tab w:val="left" w:pos="360"/>
        </w:tabs>
        <w:ind w:left="4320" w:hanging="636"/>
      </w:pPr>
      <w:rPr>
        <w:rFonts w:hAnsi="Arial Unicode MS"/>
        <w:caps w:val="0"/>
        <w:smallCaps w:val="0"/>
        <w:strike w:val="0"/>
        <w:dstrike w:val="0"/>
        <w:outline w:val="0"/>
        <w:emboss w:val="0"/>
        <w:imprint w:val="0"/>
        <w:spacing w:val="0"/>
        <w:w w:val="100"/>
        <w:kern w:val="0"/>
        <w:position w:val="0"/>
        <w:highlight w:val="none"/>
        <w:vertAlign w:val="baseline"/>
      </w:rPr>
    </w:lvl>
    <w:lvl w:ilvl="7" w:tplc="A246C446">
      <w:start w:val="1"/>
      <w:numFmt w:val="lowerLetter"/>
      <w:lvlText w:val="%8."/>
      <w:lvlJc w:val="left"/>
      <w:pPr>
        <w:tabs>
          <w:tab w:val="left" w:pos="360"/>
        </w:tabs>
        <w:ind w:left="5040" w:hanging="624"/>
      </w:pPr>
      <w:rPr>
        <w:rFonts w:hAnsi="Arial Unicode MS"/>
        <w:caps w:val="0"/>
        <w:smallCaps w:val="0"/>
        <w:strike w:val="0"/>
        <w:dstrike w:val="0"/>
        <w:outline w:val="0"/>
        <w:emboss w:val="0"/>
        <w:imprint w:val="0"/>
        <w:spacing w:val="0"/>
        <w:w w:val="100"/>
        <w:kern w:val="0"/>
        <w:position w:val="0"/>
        <w:highlight w:val="none"/>
        <w:vertAlign w:val="baseline"/>
      </w:rPr>
    </w:lvl>
    <w:lvl w:ilvl="8" w:tplc="4C28046C">
      <w:start w:val="1"/>
      <w:numFmt w:val="lowerRoman"/>
      <w:lvlText w:val="%9."/>
      <w:lvlJc w:val="left"/>
      <w:pPr>
        <w:tabs>
          <w:tab w:val="left" w:pos="360"/>
        </w:tabs>
        <w:ind w:left="5760" w:hanging="58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88564DB"/>
    <w:multiLevelType w:val="multilevel"/>
    <w:tmpl w:val="06B0EF9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 w15:restartNumberingAfterBreak="0">
    <w:nsid w:val="192A06C8"/>
    <w:multiLevelType w:val="multilevel"/>
    <w:tmpl w:val="F8F46DF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BDE430D"/>
    <w:multiLevelType w:val="hybridMultilevel"/>
    <w:tmpl w:val="22325F6E"/>
    <w:lvl w:ilvl="0" w:tplc="A8985570">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0F22BA"/>
    <w:multiLevelType w:val="multilevel"/>
    <w:tmpl w:val="F8F46DF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28DA7D98"/>
    <w:multiLevelType w:val="multilevel"/>
    <w:tmpl w:val="FEE89E6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2A897CF0"/>
    <w:multiLevelType w:val="multilevel"/>
    <w:tmpl w:val="8C2612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E1C261B"/>
    <w:multiLevelType w:val="hybridMultilevel"/>
    <w:tmpl w:val="104448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E716A5D"/>
    <w:multiLevelType w:val="hybridMultilevel"/>
    <w:tmpl w:val="8AA42C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C2759C9"/>
    <w:multiLevelType w:val="multilevel"/>
    <w:tmpl w:val="F8F46DF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3D187FED"/>
    <w:multiLevelType w:val="multilevel"/>
    <w:tmpl w:val="5406D202"/>
    <w:lvl w:ilvl="0">
      <w:start w:val="1"/>
      <w:numFmt w:val="decimal"/>
      <w:lvlText w:val="%1."/>
      <w:lvlJc w:val="left"/>
      <w:pPr>
        <w:ind w:left="720" w:hanging="360"/>
      </w:pPr>
      <w:rPr>
        <w:rFonts w:hint="default"/>
        <w:sz w:val="28"/>
        <w:szCs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3DC20091"/>
    <w:multiLevelType w:val="hybridMultilevel"/>
    <w:tmpl w:val="D2941CCE"/>
    <w:styleLink w:val="ImportierterStil1"/>
    <w:lvl w:ilvl="0" w:tplc="5A76C31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C809408">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B50374C">
      <w:start w:val="1"/>
      <w:numFmt w:val="lowerRoman"/>
      <w:lvlText w:val="%3."/>
      <w:lvlJc w:val="left"/>
      <w:pPr>
        <w:ind w:left="2160" w:hanging="314"/>
      </w:pPr>
      <w:rPr>
        <w:rFonts w:hAnsi="Arial Unicode MS"/>
        <w:caps w:val="0"/>
        <w:smallCaps w:val="0"/>
        <w:strike w:val="0"/>
        <w:dstrike w:val="0"/>
        <w:outline w:val="0"/>
        <w:emboss w:val="0"/>
        <w:imprint w:val="0"/>
        <w:spacing w:val="0"/>
        <w:w w:val="100"/>
        <w:kern w:val="0"/>
        <w:position w:val="0"/>
        <w:highlight w:val="none"/>
        <w:vertAlign w:val="baseline"/>
      </w:rPr>
    </w:lvl>
    <w:lvl w:ilvl="3" w:tplc="E850E0EA">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C9AF03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6E6E188">
      <w:start w:val="1"/>
      <w:numFmt w:val="lowerRoman"/>
      <w:lvlText w:val="%6."/>
      <w:lvlJc w:val="left"/>
      <w:pPr>
        <w:ind w:left="4320" w:hanging="314"/>
      </w:pPr>
      <w:rPr>
        <w:rFonts w:hAnsi="Arial Unicode MS"/>
        <w:caps w:val="0"/>
        <w:smallCaps w:val="0"/>
        <w:strike w:val="0"/>
        <w:dstrike w:val="0"/>
        <w:outline w:val="0"/>
        <w:emboss w:val="0"/>
        <w:imprint w:val="0"/>
        <w:spacing w:val="0"/>
        <w:w w:val="100"/>
        <w:kern w:val="0"/>
        <w:position w:val="0"/>
        <w:highlight w:val="none"/>
        <w:vertAlign w:val="baseline"/>
      </w:rPr>
    </w:lvl>
    <w:lvl w:ilvl="6" w:tplc="CF90815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3FA8718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2E2418C">
      <w:start w:val="1"/>
      <w:numFmt w:val="lowerRoman"/>
      <w:lvlText w:val="%9."/>
      <w:lvlJc w:val="left"/>
      <w:pPr>
        <w:ind w:left="6480" w:hanging="31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42F73EA2"/>
    <w:multiLevelType w:val="multilevel"/>
    <w:tmpl w:val="3818735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15:restartNumberingAfterBreak="0">
    <w:nsid w:val="45742B4E"/>
    <w:multiLevelType w:val="multilevel"/>
    <w:tmpl w:val="F8F46DF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466C7356"/>
    <w:multiLevelType w:val="hybridMultilevel"/>
    <w:tmpl w:val="F518370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49087BC7"/>
    <w:multiLevelType w:val="hybridMultilevel"/>
    <w:tmpl w:val="613A55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EFB335A"/>
    <w:multiLevelType w:val="multilevel"/>
    <w:tmpl w:val="8280DA4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2" w15:restartNumberingAfterBreak="0">
    <w:nsid w:val="522E74B5"/>
    <w:multiLevelType w:val="hybridMultilevel"/>
    <w:tmpl w:val="3ECA1D70"/>
    <w:styleLink w:val="Numeroitu"/>
    <w:lvl w:ilvl="0" w:tplc="B02C11F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B4C9080">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17BE5988">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3514A38A">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9424D716">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E30CF348">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BEFA10E6">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AB708438">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F6164082">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55822FF4"/>
    <w:multiLevelType w:val="hybridMultilevel"/>
    <w:tmpl w:val="E0CCAFB6"/>
    <w:lvl w:ilvl="0" w:tplc="683C57CA">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60428C8"/>
    <w:multiLevelType w:val="multilevel"/>
    <w:tmpl w:val="97064E22"/>
    <w:lvl w:ilvl="0">
      <w:start w:val="1"/>
      <w:numFmt w:val="decimal"/>
      <w:lvlText w:val="%1."/>
      <w:lvlJc w:val="left"/>
      <w:pPr>
        <w:ind w:left="720" w:hanging="360"/>
      </w:pPr>
    </w:lvl>
    <w:lvl w:ilvl="1">
      <w:start w:val="2"/>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25" w15:restartNumberingAfterBreak="0">
    <w:nsid w:val="5D1E0666"/>
    <w:multiLevelType w:val="multilevel"/>
    <w:tmpl w:val="3600250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65BF2FB5"/>
    <w:multiLevelType w:val="hybridMultilevel"/>
    <w:tmpl w:val="AD4CE434"/>
    <w:lvl w:ilvl="0" w:tplc="34C85E7C">
      <w:start w:val="1"/>
      <w:numFmt w:val="decimal"/>
      <w:lvlText w:val="(%1)"/>
      <w:lvlJc w:val="left"/>
      <w:pPr>
        <w:ind w:left="786" w:hanging="360"/>
      </w:pPr>
      <w:rPr>
        <w:rFonts w:hint="default"/>
      </w:rPr>
    </w:lvl>
    <w:lvl w:ilvl="1" w:tplc="040B0019">
      <w:start w:val="1"/>
      <w:numFmt w:val="lowerLetter"/>
      <w:lvlText w:val="%2."/>
      <w:lvlJc w:val="left"/>
      <w:pPr>
        <w:ind w:left="1440" w:hanging="360"/>
      </w:pPr>
    </w:lvl>
    <w:lvl w:ilvl="2" w:tplc="4642E476">
      <w:start w:val="1"/>
      <w:numFmt w:val="decimal"/>
      <w:lvlText w:val="%3)"/>
      <w:lvlJc w:val="left"/>
      <w:pPr>
        <w:ind w:left="2430" w:hanging="450"/>
      </w:pPr>
      <w:rPr>
        <w:rFonts w:hint="default"/>
      </w:r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7" w15:restartNumberingAfterBreak="0">
    <w:nsid w:val="66DC50E1"/>
    <w:multiLevelType w:val="hybridMultilevel"/>
    <w:tmpl w:val="33640814"/>
    <w:lvl w:ilvl="0" w:tplc="A8985570">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A465CF3"/>
    <w:multiLevelType w:val="multilevel"/>
    <w:tmpl w:val="53D0D7C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9" w15:restartNumberingAfterBreak="0">
    <w:nsid w:val="6E6F586E"/>
    <w:multiLevelType w:val="hybridMultilevel"/>
    <w:tmpl w:val="3D6E2B44"/>
    <w:lvl w:ilvl="0" w:tplc="A8985570">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E001262"/>
    <w:multiLevelType w:val="multilevel"/>
    <w:tmpl w:val="C1A8F0EE"/>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31" w15:restartNumberingAfterBreak="0">
    <w:nsid w:val="7E8E6DC8"/>
    <w:multiLevelType w:val="hybridMultilevel"/>
    <w:tmpl w:val="34F04A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F8724FE"/>
    <w:multiLevelType w:val="multilevel"/>
    <w:tmpl w:val="C2863606"/>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800" w:hanging="144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2160" w:hanging="1800"/>
      </w:pPr>
    </w:lvl>
    <w:lvl w:ilvl="7">
      <w:start w:val="1"/>
      <w:numFmt w:val="decimal"/>
      <w:lvlText w:val="%1.%2.%3.%4.%5.%6.%7.%8."/>
      <w:lvlJc w:val="left"/>
      <w:pPr>
        <w:tabs>
          <w:tab w:val="num" w:pos="0"/>
        </w:tabs>
        <w:ind w:left="2520" w:hanging="2160"/>
      </w:pPr>
    </w:lvl>
    <w:lvl w:ilvl="8">
      <w:start w:val="1"/>
      <w:numFmt w:val="decimal"/>
      <w:lvlText w:val="%1.%2.%3.%4.%5.%6.%7.%8.%9."/>
      <w:lvlJc w:val="left"/>
      <w:pPr>
        <w:tabs>
          <w:tab w:val="num" w:pos="0"/>
        </w:tabs>
        <w:ind w:left="2520" w:hanging="2160"/>
      </w:pPr>
    </w:lvl>
  </w:abstractNum>
  <w:num w:numId="1" w16cid:durableId="257491979">
    <w:abstractNumId w:val="19"/>
  </w:num>
  <w:num w:numId="2" w16cid:durableId="1434671729">
    <w:abstractNumId w:val="12"/>
  </w:num>
  <w:num w:numId="3" w16cid:durableId="1574778415">
    <w:abstractNumId w:val="4"/>
  </w:num>
  <w:num w:numId="4" w16cid:durableId="1788154526">
    <w:abstractNumId w:val="26"/>
  </w:num>
  <w:num w:numId="5" w16cid:durableId="2079596077">
    <w:abstractNumId w:val="18"/>
  </w:num>
  <w:num w:numId="6" w16cid:durableId="1266690823">
    <w:abstractNumId w:val="7"/>
  </w:num>
  <w:num w:numId="7" w16cid:durableId="1781678496">
    <w:abstractNumId w:val="20"/>
  </w:num>
  <w:num w:numId="8" w16cid:durableId="1429614209">
    <w:abstractNumId w:val="27"/>
  </w:num>
  <w:num w:numId="9" w16cid:durableId="927890135">
    <w:abstractNumId w:val="8"/>
  </w:num>
  <w:num w:numId="10" w16cid:durableId="1506094451">
    <w:abstractNumId w:val="29"/>
  </w:num>
  <w:num w:numId="11" w16cid:durableId="1768231907">
    <w:abstractNumId w:val="13"/>
  </w:num>
  <w:num w:numId="12" w16cid:durableId="1139999527">
    <w:abstractNumId w:val="31"/>
  </w:num>
  <w:num w:numId="13" w16cid:durableId="718360073">
    <w:abstractNumId w:val="17"/>
  </w:num>
  <w:num w:numId="14" w16cid:durableId="586350860">
    <w:abstractNumId w:val="0"/>
  </w:num>
  <w:num w:numId="15" w16cid:durableId="1026642815">
    <w:abstractNumId w:val="1"/>
  </w:num>
  <w:num w:numId="16" w16cid:durableId="1299918501">
    <w:abstractNumId w:val="3"/>
  </w:num>
  <w:num w:numId="17" w16cid:durableId="510025078">
    <w:abstractNumId w:val="30"/>
  </w:num>
  <w:num w:numId="18" w16cid:durableId="1029062690">
    <w:abstractNumId w:val="11"/>
  </w:num>
  <w:num w:numId="19" w16cid:durableId="295184438">
    <w:abstractNumId w:val="24"/>
  </w:num>
  <w:num w:numId="20" w16cid:durableId="20132989">
    <w:abstractNumId w:val="2"/>
  </w:num>
  <w:num w:numId="21" w16cid:durableId="815418974">
    <w:abstractNumId w:val="14"/>
  </w:num>
  <w:num w:numId="22" w16cid:durableId="1792625593">
    <w:abstractNumId w:val="9"/>
  </w:num>
  <w:num w:numId="23" w16cid:durableId="1442527812">
    <w:abstractNumId w:val="22"/>
  </w:num>
  <w:num w:numId="24" w16cid:durableId="76220709">
    <w:abstractNumId w:val="16"/>
  </w:num>
  <w:num w:numId="25" w16cid:durableId="1770999616">
    <w:abstractNumId w:val="5"/>
  </w:num>
  <w:num w:numId="26" w16cid:durableId="1906455229">
    <w:abstractNumId w:val="15"/>
  </w:num>
  <w:num w:numId="27" w16cid:durableId="1294214183">
    <w:abstractNumId w:val="23"/>
  </w:num>
  <w:num w:numId="28" w16cid:durableId="134375657">
    <w:abstractNumId w:val="6"/>
  </w:num>
  <w:num w:numId="29" w16cid:durableId="1856919868">
    <w:abstractNumId w:val="10"/>
  </w:num>
  <w:num w:numId="30" w16cid:durableId="622536544">
    <w:abstractNumId w:val="32"/>
  </w:num>
  <w:num w:numId="31" w16cid:durableId="1320497852">
    <w:abstractNumId w:val="21"/>
  </w:num>
  <w:num w:numId="32" w16cid:durableId="403912076">
    <w:abstractNumId w:val="25"/>
  </w:num>
  <w:num w:numId="33" w16cid:durableId="59449557">
    <w:abstractNumId w:val="2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9"/>
  <w:autoHyphenation/>
  <w:hyphenationZone w:val="425"/>
  <w:evenAndOddHeaders/>
  <w:characterSpacingControl w:val="doNotCompress"/>
  <w:hdrShapeDefaults>
    <o:shapedefaults v:ext="edit" spidmax="2053"/>
  </w:hdrShapeDefaults>
  <w:footnotePr>
    <w:numRestart w:val="eachSect"/>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96E85"/>
    <w:rsid w:val="0000185B"/>
    <w:rsid w:val="00003FEC"/>
    <w:rsid w:val="000046DA"/>
    <w:rsid w:val="0000782F"/>
    <w:rsid w:val="00007DF7"/>
    <w:rsid w:val="00010196"/>
    <w:rsid w:val="000121EA"/>
    <w:rsid w:val="00012851"/>
    <w:rsid w:val="00012BB3"/>
    <w:rsid w:val="0001303B"/>
    <w:rsid w:val="000152BF"/>
    <w:rsid w:val="0001545A"/>
    <w:rsid w:val="000162EB"/>
    <w:rsid w:val="00017313"/>
    <w:rsid w:val="000209BF"/>
    <w:rsid w:val="000211A2"/>
    <w:rsid w:val="000239D7"/>
    <w:rsid w:val="00024734"/>
    <w:rsid w:val="00030518"/>
    <w:rsid w:val="000329BF"/>
    <w:rsid w:val="00032DC9"/>
    <w:rsid w:val="00032F71"/>
    <w:rsid w:val="0003463D"/>
    <w:rsid w:val="00037761"/>
    <w:rsid w:val="00040D34"/>
    <w:rsid w:val="00041210"/>
    <w:rsid w:val="000415DF"/>
    <w:rsid w:val="000426FC"/>
    <w:rsid w:val="0004670A"/>
    <w:rsid w:val="00050E21"/>
    <w:rsid w:val="00053785"/>
    <w:rsid w:val="000539FA"/>
    <w:rsid w:val="000546BC"/>
    <w:rsid w:val="00054818"/>
    <w:rsid w:val="0005570C"/>
    <w:rsid w:val="0005630A"/>
    <w:rsid w:val="00056AFC"/>
    <w:rsid w:val="00061255"/>
    <w:rsid w:val="00064D1A"/>
    <w:rsid w:val="00065E48"/>
    <w:rsid w:val="00067053"/>
    <w:rsid w:val="00067874"/>
    <w:rsid w:val="0007134A"/>
    <w:rsid w:val="00075A57"/>
    <w:rsid w:val="000775FD"/>
    <w:rsid w:val="00077EF0"/>
    <w:rsid w:val="000805A4"/>
    <w:rsid w:val="000808C8"/>
    <w:rsid w:val="000815D9"/>
    <w:rsid w:val="000837CB"/>
    <w:rsid w:val="000838DC"/>
    <w:rsid w:val="00092304"/>
    <w:rsid w:val="00092550"/>
    <w:rsid w:val="00095A60"/>
    <w:rsid w:val="00095CEB"/>
    <w:rsid w:val="00096AB0"/>
    <w:rsid w:val="00096E39"/>
    <w:rsid w:val="00097855"/>
    <w:rsid w:val="000A0B53"/>
    <w:rsid w:val="000A297B"/>
    <w:rsid w:val="000A34AD"/>
    <w:rsid w:val="000A45FD"/>
    <w:rsid w:val="000A472A"/>
    <w:rsid w:val="000A4936"/>
    <w:rsid w:val="000A5354"/>
    <w:rsid w:val="000A53E1"/>
    <w:rsid w:val="000A5CE9"/>
    <w:rsid w:val="000A66F4"/>
    <w:rsid w:val="000A6A59"/>
    <w:rsid w:val="000A6BFA"/>
    <w:rsid w:val="000A7576"/>
    <w:rsid w:val="000A7F40"/>
    <w:rsid w:val="000B273B"/>
    <w:rsid w:val="000B42FB"/>
    <w:rsid w:val="000B62E0"/>
    <w:rsid w:val="000C02AD"/>
    <w:rsid w:val="000C0F1D"/>
    <w:rsid w:val="000C141C"/>
    <w:rsid w:val="000C2655"/>
    <w:rsid w:val="000C3FA9"/>
    <w:rsid w:val="000D0357"/>
    <w:rsid w:val="000D37C2"/>
    <w:rsid w:val="000D3CA8"/>
    <w:rsid w:val="000D4762"/>
    <w:rsid w:val="000D4EBE"/>
    <w:rsid w:val="000D515E"/>
    <w:rsid w:val="000D6F1A"/>
    <w:rsid w:val="000E20D2"/>
    <w:rsid w:val="000E2450"/>
    <w:rsid w:val="000E35BC"/>
    <w:rsid w:val="000E3611"/>
    <w:rsid w:val="000E4CB7"/>
    <w:rsid w:val="000E61A4"/>
    <w:rsid w:val="000E6849"/>
    <w:rsid w:val="000E791C"/>
    <w:rsid w:val="000F0BFE"/>
    <w:rsid w:val="000F2062"/>
    <w:rsid w:val="000F32FA"/>
    <w:rsid w:val="000F68FF"/>
    <w:rsid w:val="000F6BA2"/>
    <w:rsid w:val="000F7B08"/>
    <w:rsid w:val="001050CA"/>
    <w:rsid w:val="0010767E"/>
    <w:rsid w:val="00114C9D"/>
    <w:rsid w:val="00114D9F"/>
    <w:rsid w:val="00114F6C"/>
    <w:rsid w:val="0011733A"/>
    <w:rsid w:val="00120273"/>
    <w:rsid w:val="00125980"/>
    <w:rsid w:val="00125ADE"/>
    <w:rsid w:val="00125E62"/>
    <w:rsid w:val="001266F4"/>
    <w:rsid w:val="00126FAC"/>
    <w:rsid w:val="001303E2"/>
    <w:rsid w:val="001306CD"/>
    <w:rsid w:val="00130D86"/>
    <w:rsid w:val="00131963"/>
    <w:rsid w:val="001321AB"/>
    <w:rsid w:val="00132900"/>
    <w:rsid w:val="00133E51"/>
    <w:rsid w:val="001349B8"/>
    <w:rsid w:val="00137F6C"/>
    <w:rsid w:val="00142234"/>
    <w:rsid w:val="00144326"/>
    <w:rsid w:val="001462E8"/>
    <w:rsid w:val="001473D0"/>
    <w:rsid w:val="00147BDB"/>
    <w:rsid w:val="00147C1B"/>
    <w:rsid w:val="00150F7B"/>
    <w:rsid w:val="00150FA5"/>
    <w:rsid w:val="00151C8A"/>
    <w:rsid w:val="00151F9B"/>
    <w:rsid w:val="00153BA0"/>
    <w:rsid w:val="001549E6"/>
    <w:rsid w:val="00154ED2"/>
    <w:rsid w:val="00155D8B"/>
    <w:rsid w:val="0015664D"/>
    <w:rsid w:val="00156E29"/>
    <w:rsid w:val="00157597"/>
    <w:rsid w:val="00161AA8"/>
    <w:rsid w:val="001624D1"/>
    <w:rsid w:val="00165DE0"/>
    <w:rsid w:val="00166098"/>
    <w:rsid w:val="00166241"/>
    <w:rsid w:val="001667C6"/>
    <w:rsid w:val="00166902"/>
    <w:rsid w:val="00170871"/>
    <w:rsid w:val="00170B29"/>
    <w:rsid w:val="00171042"/>
    <w:rsid w:val="0017205A"/>
    <w:rsid w:val="001737E3"/>
    <w:rsid w:val="001741BC"/>
    <w:rsid w:val="00177759"/>
    <w:rsid w:val="0018183D"/>
    <w:rsid w:val="00183F39"/>
    <w:rsid w:val="00185691"/>
    <w:rsid w:val="00186F25"/>
    <w:rsid w:val="001916CD"/>
    <w:rsid w:val="00191F80"/>
    <w:rsid w:val="00192055"/>
    <w:rsid w:val="00192E25"/>
    <w:rsid w:val="0019358B"/>
    <w:rsid w:val="00194E63"/>
    <w:rsid w:val="00195BB7"/>
    <w:rsid w:val="00196072"/>
    <w:rsid w:val="001975B9"/>
    <w:rsid w:val="001A0C02"/>
    <w:rsid w:val="001A5AC7"/>
    <w:rsid w:val="001A6066"/>
    <w:rsid w:val="001A693F"/>
    <w:rsid w:val="001A7270"/>
    <w:rsid w:val="001B0884"/>
    <w:rsid w:val="001B1322"/>
    <w:rsid w:val="001B1FD0"/>
    <w:rsid w:val="001B3BDD"/>
    <w:rsid w:val="001B7C25"/>
    <w:rsid w:val="001C09E9"/>
    <w:rsid w:val="001C0E73"/>
    <w:rsid w:val="001C101E"/>
    <w:rsid w:val="001C2D40"/>
    <w:rsid w:val="001C2F6B"/>
    <w:rsid w:val="001C3977"/>
    <w:rsid w:val="001C59C1"/>
    <w:rsid w:val="001D15EE"/>
    <w:rsid w:val="001D421A"/>
    <w:rsid w:val="001D5A2F"/>
    <w:rsid w:val="001D5DBF"/>
    <w:rsid w:val="001E161A"/>
    <w:rsid w:val="001E1694"/>
    <w:rsid w:val="001E18A8"/>
    <w:rsid w:val="001E30E4"/>
    <w:rsid w:val="001E3989"/>
    <w:rsid w:val="001E4E99"/>
    <w:rsid w:val="001E567A"/>
    <w:rsid w:val="001E5EC3"/>
    <w:rsid w:val="001E6190"/>
    <w:rsid w:val="001E64C6"/>
    <w:rsid w:val="001E6714"/>
    <w:rsid w:val="001E6C77"/>
    <w:rsid w:val="001E7140"/>
    <w:rsid w:val="001F00BA"/>
    <w:rsid w:val="001F0ABC"/>
    <w:rsid w:val="001F1C0F"/>
    <w:rsid w:val="001F384E"/>
    <w:rsid w:val="001F3E69"/>
    <w:rsid w:val="001F54A8"/>
    <w:rsid w:val="001F5A1F"/>
    <w:rsid w:val="001F5B57"/>
    <w:rsid w:val="00200592"/>
    <w:rsid w:val="00203214"/>
    <w:rsid w:val="002037B6"/>
    <w:rsid w:val="00203D9A"/>
    <w:rsid w:val="00206384"/>
    <w:rsid w:val="00207E56"/>
    <w:rsid w:val="00210577"/>
    <w:rsid w:val="002115C8"/>
    <w:rsid w:val="00211A78"/>
    <w:rsid w:val="00212FF9"/>
    <w:rsid w:val="0021491C"/>
    <w:rsid w:val="00216577"/>
    <w:rsid w:val="0021708D"/>
    <w:rsid w:val="00217DA0"/>
    <w:rsid w:val="002201C4"/>
    <w:rsid w:val="00220601"/>
    <w:rsid w:val="00221141"/>
    <w:rsid w:val="00222656"/>
    <w:rsid w:val="00222B55"/>
    <w:rsid w:val="00225574"/>
    <w:rsid w:val="00226DFB"/>
    <w:rsid w:val="00226EE4"/>
    <w:rsid w:val="0022731A"/>
    <w:rsid w:val="002302FA"/>
    <w:rsid w:val="00230AD0"/>
    <w:rsid w:val="00231203"/>
    <w:rsid w:val="0023214C"/>
    <w:rsid w:val="00232DF4"/>
    <w:rsid w:val="00233538"/>
    <w:rsid w:val="002348B4"/>
    <w:rsid w:val="00235C29"/>
    <w:rsid w:val="00236743"/>
    <w:rsid w:val="00236AAA"/>
    <w:rsid w:val="00237336"/>
    <w:rsid w:val="0023788B"/>
    <w:rsid w:val="002467ED"/>
    <w:rsid w:val="00246BB8"/>
    <w:rsid w:val="00246C87"/>
    <w:rsid w:val="002501C1"/>
    <w:rsid w:val="002512F0"/>
    <w:rsid w:val="002523CC"/>
    <w:rsid w:val="002539FA"/>
    <w:rsid w:val="002544DA"/>
    <w:rsid w:val="00255440"/>
    <w:rsid w:val="0025577E"/>
    <w:rsid w:val="00256354"/>
    <w:rsid w:val="00256C20"/>
    <w:rsid w:val="00256D77"/>
    <w:rsid w:val="002602FE"/>
    <w:rsid w:val="00260644"/>
    <w:rsid w:val="0026127D"/>
    <w:rsid w:val="0026132D"/>
    <w:rsid w:val="002619BE"/>
    <w:rsid w:val="00261D3C"/>
    <w:rsid w:val="002622F8"/>
    <w:rsid w:val="002640B6"/>
    <w:rsid w:val="00265448"/>
    <w:rsid w:val="002661E0"/>
    <w:rsid w:val="0027065A"/>
    <w:rsid w:val="0027130D"/>
    <w:rsid w:val="00272AC1"/>
    <w:rsid w:val="0027405B"/>
    <w:rsid w:val="002752AF"/>
    <w:rsid w:val="00275EF1"/>
    <w:rsid w:val="00275F93"/>
    <w:rsid w:val="002760CB"/>
    <w:rsid w:val="00281038"/>
    <w:rsid w:val="00281B2F"/>
    <w:rsid w:val="00282085"/>
    <w:rsid w:val="0028232C"/>
    <w:rsid w:val="00283A48"/>
    <w:rsid w:val="00283D80"/>
    <w:rsid w:val="00285C67"/>
    <w:rsid w:val="00286C4F"/>
    <w:rsid w:val="002871B9"/>
    <w:rsid w:val="00287B86"/>
    <w:rsid w:val="00290A50"/>
    <w:rsid w:val="0029224A"/>
    <w:rsid w:val="002931C9"/>
    <w:rsid w:val="00294761"/>
    <w:rsid w:val="00294F76"/>
    <w:rsid w:val="00297BA1"/>
    <w:rsid w:val="00297BC2"/>
    <w:rsid w:val="002A05E1"/>
    <w:rsid w:val="002A13D7"/>
    <w:rsid w:val="002A2126"/>
    <w:rsid w:val="002A25AC"/>
    <w:rsid w:val="002A2F8A"/>
    <w:rsid w:val="002A3BC9"/>
    <w:rsid w:val="002A41FD"/>
    <w:rsid w:val="002A4873"/>
    <w:rsid w:val="002A507C"/>
    <w:rsid w:val="002A76D8"/>
    <w:rsid w:val="002B0021"/>
    <w:rsid w:val="002B022E"/>
    <w:rsid w:val="002B3495"/>
    <w:rsid w:val="002B416B"/>
    <w:rsid w:val="002B5C82"/>
    <w:rsid w:val="002B68BA"/>
    <w:rsid w:val="002B68BC"/>
    <w:rsid w:val="002B6C5D"/>
    <w:rsid w:val="002C04C5"/>
    <w:rsid w:val="002C05C5"/>
    <w:rsid w:val="002C0F51"/>
    <w:rsid w:val="002C1353"/>
    <w:rsid w:val="002C190C"/>
    <w:rsid w:val="002C391A"/>
    <w:rsid w:val="002C4CC9"/>
    <w:rsid w:val="002D01AF"/>
    <w:rsid w:val="002D0794"/>
    <w:rsid w:val="002D149B"/>
    <w:rsid w:val="002D1FA6"/>
    <w:rsid w:val="002D4F53"/>
    <w:rsid w:val="002E0CC6"/>
    <w:rsid w:val="002E1A96"/>
    <w:rsid w:val="002E528D"/>
    <w:rsid w:val="002E5726"/>
    <w:rsid w:val="002E6C66"/>
    <w:rsid w:val="002F0E14"/>
    <w:rsid w:val="002F1FD2"/>
    <w:rsid w:val="002F223F"/>
    <w:rsid w:val="002F22A5"/>
    <w:rsid w:val="002F2361"/>
    <w:rsid w:val="002F4522"/>
    <w:rsid w:val="002F62A3"/>
    <w:rsid w:val="0030017E"/>
    <w:rsid w:val="00300693"/>
    <w:rsid w:val="00302054"/>
    <w:rsid w:val="0030291D"/>
    <w:rsid w:val="00303E4C"/>
    <w:rsid w:val="00304F12"/>
    <w:rsid w:val="0031102D"/>
    <w:rsid w:val="00312ECF"/>
    <w:rsid w:val="003144A9"/>
    <w:rsid w:val="003144CD"/>
    <w:rsid w:val="003156A5"/>
    <w:rsid w:val="00315E3D"/>
    <w:rsid w:val="00316709"/>
    <w:rsid w:val="00317565"/>
    <w:rsid w:val="00324208"/>
    <w:rsid w:val="0032585A"/>
    <w:rsid w:val="00325ED1"/>
    <w:rsid w:val="00327DF7"/>
    <w:rsid w:val="0033008B"/>
    <w:rsid w:val="00332CC9"/>
    <w:rsid w:val="003355AA"/>
    <w:rsid w:val="0033568E"/>
    <w:rsid w:val="003364A0"/>
    <w:rsid w:val="003371FC"/>
    <w:rsid w:val="0034003A"/>
    <w:rsid w:val="00342DAB"/>
    <w:rsid w:val="00343B86"/>
    <w:rsid w:val="00344A65"/>
    <w:rsid w:val="00344D65"/>
    <w:rsid w:val="003451D5"/>
    <w:rsid w:val="00345F6D"/>
    <w:rsid w:val="0034741E"/>
    <w:rsid w:val="003517E9"/>
    <w:rsid w:val="00351838"/>
    <w:rsid w:val="00351D1E"/>
    <w:rsid w:val="00353625"/>
    <w:rsid w:val="00354CC6"/>
    <w:rsid w:val="003551C8"/>
    <w:rsid w:val="0035655E"/>
    <w:rsid w:val="0035722A"/>
    <w:rsid w:val="00363B93"/>
    <w:rsid w:val="00364177"/>
    <w:rsid w:val="003663D5"/>
    <w:rsid w:val="003711F3"/>
    <w:rsid w:val="00371A5D"/>
    <w:rsid w:val="00371E55"/>
    <w:rsid w:val="003752A6"/>
    <w:rsid w:val="00375516"/>
    <w:rsid w:val="00375630"/>
    <w:rsid w:val="00376306"/>
    <w:rsid w:val="00377EB1"/>
    <w:rsid w:val="00380B85"/>
    <w:rsid w:val="00381C83"/>
    <w:rsid w:val="00381DA1"/>
    <w:rsid w:val="00384F34"/>
    <w:rsid w:val="003863B8"/>
    <w:rsid w:val="0038771C"/>
    <w:rsid w:val="00390A6C"/>
    <w:rsid w:val="003921F2"/>
    <w:rsid w:val="00392713"/>
    <w:rsid w:val="003928A2"/>
    <w:rsid w:val="00392C86"/>
    <w:rsid w:val="00392F7B"/>
    <w:rsid w:val="00393350"/>
    <w:rsid w:val="0039345E"/>
    <w:rsid w:val="003937A2"/>
    <w:rsid w:val="00394635"/>
    <w:rsid w:val="0039586F"/>
    <w:rsid w:val="00396C68"/>
    <w:rsid w:val="00396E5B"/>
    <w:rsid w:val="00397B46"/>
    <w:rsid w:val="00397C39"/>
    <w:rsid w:val="00397C6D"/>
    <w:rsid w:val="003A1F90"/>
    <w:rsid w:val="003A283C"/>
    <w:rsid w:val="003A2F29"/>
    <w:rsid w:val="003A3B06"/>
    <w:rsid w:val="003A4932"/>
    <w:rsid w:val="003A54AE"/>
    <w:rsid w:val="003A6CB1"/>
    <w:rsid w:val="003B02E6"/>
    <w:rsid w:val="003B228B"/>
    <w:rsid w:val="003B2C34"/>
    <w:rsid w:val="003B3F31"/>
    <w:rsid w:val="003B5D32"/>
    <w:rsid w:val="003B6836"/>
    <w:rsid w:val="003B7034"/>
    <w:rsid w:val="003B76FA"/>
    <w:rsid w:val="003C026A"/>
    <w:rsid w:val="003C087B"/>
    <w:rsid w:val="003C3714"/>
    <w:rsid w:val="003C3BD8"/>
    <w:rsid w:val="003D08E2"/>
    <w:rsid w:val="003D1397"/>
    <w:rsid w:val="003D6A52"/>
    <w:rsid w:val="003E0C4B"/>
    <w:rsid w:val="003E3A9E"/>
    <w:rsid w:val="003E41FA"/>
    <w:rsid w:val="003E6880"/>
    <w:rsid w:val="003E77E6"/>
    <w:rsid w:val="003F3B3F"/>
    <w:rsid w:val="003F3B91"/>
    <w:rsid w:val="003F4300"/>
    <w:rsid w:val="003F5B5C"/>
    <w:rsid w:val="003F665A"/>
    <w:rsid w:val="003F6934"/>
    <w:rsid w:val="00400195"/>
    <w:rsid w:val="004002AD"/>
    <w:rsid w:val="00401DE8"/>
    <w:rsid w:val="00402B02"/>
    <w:rsid w:val="00402EF4"/>
    <w:rsid w:val="004033FB"/>
    <w:rsid w:val="004053DF"/>
    <w:rsid w:val="0040551F"/>
    <w:rsid w:val="00406FC4"/>
    <w:rsid w:val="00407478"/>
    <w:rsid w:val="00412080"/>
    <w:rsid w:val="00412F49"/>
    <w:rsid w:val="00413507"/>
    <w:rsid w:val="00413E36"/>
    <w:rsid w:val="0041498F"/>
    <w:rsid w:val="00415A1E"/>
    <w:rsid w:val="004164FC"/>
    <w:rsid w:val="004166CB"/>
    <w:rsid w:val="004167D8"/>
    <w:rsid w:val="004206AD"/>
    <w:rsid w:val="00425C66"/>
    <w:rsid w:val="00430A1F"/>
    <w:rsid w:val="004313B0"/>
    <w:rsid w:val="0043353B"/>
    <w:rsid w:val="0043391B"/>
    <w:rsid w:val="00434D3F"/>
    <w:rsid w:val="00437F66"/>
    <w:rsid w:val="00442A80"/>
    <w:rsid w:val="00445841"/>
    <w:rsid w:val="004459BC"/>
    <w:rsid w:val="00450A10"/>
    <w:rsid w:val="00451CE2"/>
    <w:rsid w:val="00452F3E"/>
    <w:rsid w:val="0045341B"/>
    <w:rsid w:val="00461FA4"/>
    <w:rsid w:val="0046451E"/>
    <w:rsid w:val="00464EFA"/>
    <w:rsid w:val="00466236"/>
    <w:rsid w:val="00467933"/>
    <w:rsid w:val="0047334E"/>
    <w:rsid w:val="004743BA"/>
    <w:rsid w:val="0047502E"/>
    <w:rsid w:val="00475A5B"/>
    <w:rsid w:val="004762F5"/>
    <w:rsid w:val="0047649C"/>
    <w:rsid w:val="00476E1B"/>
    <w:rsid w:val="004806F8"/>
    <w:rsid w:val="00481B99"/>
    <w:rsid w:val="004821DE"/>
    <w:rsid w:val="00482401"/>
    <w:rsid w:val="00484004"/>
    <w:rsid w:val="0048544C"/>
    <w:rsid w:val="00490D4A"/>
    <w:rsid w:val="004949B6"/>
    <w:rsid w:val="004974D7"/>
    <w:rsid w:val="004A2185"/>
    <w:rsid w:val="004A53B7"/>
    <w:rsid w:val="004A556A"/>
    <w:rsid w:val="004A63E2"/>
    <w:rsid w:val="004A7299"/>
    <w:rsid w:val="004A77B5"/>
    <w:rsid w:val="004B2DC4"/>
    <w:rsid w:val="004B544F"/>
    <w:rsid w:val="004B62AB"/>
    <w:rsid w:val="004B7D2D"/>
    <w:rsid w:val="004C2DE0"/>
    <w:rsid w:val="004C582F"/>
    <w:rsid w:val="004C60D3"/>
    <w:rsid w:val="004C7142"/>
    <w:rsid w:val="004D007D"/>
    <w:rsid w:val="004D0C6C"/>
    <w:rsid w:val="004D1C5C"/>
    <w:rsid w:val="004D4C09"/>
    <w:rsid w:val="004D6CD9"/>
    <w:rsid w:val="004D71B8"/>
    <w:rsid w:val="004E1AA3"/>
    <w:rsid w:val="004E1F2B"/>
    <w:rsid w:val="004E3AAC"/>
    <w:rsid w:val="004E3EE5"/>
    <w:rsid w:val="004E44CC"/>
    <w:rsid w:val="004E579C"/>
    <w:rsid w:val="004E5B77"/>
    <w:rsid w:val="004F01CE"/>
    <w:rsid w:val="004F02A7"/>
    <w:rsid w:val="004F379B"/>
    <w:rsid w:val="004F37B7"/>
    <w:rsid w:val="004F4478"/>
    <w:rsid w:val="004F468E"/>
    <w:rsid w:val="004F54FD"/>
    <w:rsid w:val="004F555B"/>
    <w:rsid w:val="004F681C"/>
    <w:rsid w:val="005008E1"/>
    <w:rsid w:val="0050108D"/>
    <w:rsid w:val="00501E0E"/>
    <w:rsid w:val="00502FC0"/>
    <w:rsid w:val="00506109"/>
    <w:rsid w:val="00506478"/>
    <w:rsid w:val="00507346"/>
    <w:rsid w:val="00507D9C"/>
    <w:rsid w:val="005101CF"/>
    <w:rsid w:val="00514582"/>
    <w:rsid w:val="0051657A"/>
    <w:rsid w:val="0052504A"/>
    <w:rsid w:val="00525823"/>
    <w:rsid w:val="0052632F"/>
    <w:rsid w:val="00532903"/>
    <w:rsid w:val="00532E33"/>
    <w:rsid w:val="00534E67"/>
    <w:rsid w:val="005369AC"/>
    <w:rsid w:val="00537CE0"/>
    <w:rsid w:val="00540204"/>
    <w:rsid w:val="005408BC"/>
    <w:rsid w:val="00540A0F"/>
    <w:rsid w:val="00542360"/>
    <w:rsid w:val="00545033"/>
    <w:rsid w:val="00545A5C"/>
    <w:rsid w:val="00546CA2"/>
    <w:rsid w:val="00546DFE"/>
    <w:rsid w:val="00547352"/>
    <w:rsid w:val="00550719"/>
    <w:rsid w:val="00550B7F"/>
    <w:rsid w:val="00556D76"/>
    <w:rsid w:val="0055788F"/>
    <w:rsid w:val="00557AD8"/>
    <w:rsid w:val="00557BCA"/>
    <w:rsid w:val="00560B47"/>
    <w:rsid w:val="00562DCA"/>
    <w:rsid w:val="0056326B"/>
    <w:rsid w:val="00563531"/>
    <w:rsid w:val="00565989"/>
    <w:rsid w:val="00565CC1"/>
    <w:rsid w:val="00567824"/>
    <w:rsid w:val="0057339C"/>
    <w:rsid w:val="005734F7"/>
    <w:rsid w:val="00575250"/>
    <w:rsid w:val="005822BD"/>
    <w:rsid w:val="00582D3A"/>
    <w:rsid w:val="00583A39"/>
    <w:rsid w:val="00584DC7"/>
    <w:rsid w:val="005850AE"/>
    <w:rsid w:val="0058536F"/>
    <w:rsid w:val="005856DE"/>
    <w:rsid w:val="00585A7F"/>
    <w:rsid w:val="00586F45"/>
    <w:rsid w:val="005879DC"/>
    <w:rsid w:val="00590319"/>
    <w:rsid w:val="005911A7"/>
    <w:rsid w:val="005912DF"/>
    <w:rsid w:val="005913BE"/>
    <w:rsid w:val="00592482"/>
    <w:rsid w:val="00593AEE"/>
    <w:rsid w:val="00593B8F"/>
    <w:rsid w:val="00595233"/>
    <w:rsid w:val="00597915"/>
    <w:rsid w:val="005A203D"/>
    <w:rsid w:val="005A6DF4"/>
    <w:rsid w:val="005B1648"/>
    <w:rsid w:val="005B16A9"/>
    <w:rsid w:val="005B26AB"/>
    <w:rsid w:val="005B2D42"/>
    <w:rsid w:val="005B35DE"/>
    <w:rsid w:val="005B561B"/>
    <w:rsid w:val="005B6880"/>
    <w:rsid w:val="005C0F8F"/>
    <w:rsid w:val="005C12DD"/>
    <w:rsid w:val="005C3958"/>
    <w:rsid w:val="005C57DF"/>
    <w:rsid w:val="005C57E5"/>
    <w:rsid w:val="005C6F22"/>
    <w:rsid w:val="005C6F73"/>
    <w:rsid w:val="005D00B9"/>
    <w:rsid w:val="005D0139"/>
    <w:rsid w:val="005D457B"/>
    <w:rsid w:val="005D5FEE"/>
    <w:rsid w:val="005D626E"/>
    <w:rsid w:val="005D62C7"/>
    <w:rsid w:val="005D7E18"/>
    <w:rsid w:val="005E06D9"/>
    <w:rsid w:val="005E0B9B"/>
    <w:rsid w:val="005E1CCE"/>
    <w:rsid w:val="005E3226"/>
    <w:rsid w:val="005E6352"/>
    <w:rsid w:val="005E68D9"/>
    <w:rsid w:val="005E79B4"/>
    <w:rsid w:val="005E7C64"/>
    <w:rsid w:val="005E7D32"/>
    <w:rsid w:val="005F0DE3"/>
    <w:rsid w:val="005F2CBC"/>
    <w:rsid w:val="005F2E6A"/>
    <w:rsid w:val="005F2FC4"/>
    <w:rsid w:val="005F495D"/>
    <w:rsid w:val="005F4E08"/>
    <w:rsid w:val="00601D2A"/>
    <w:rsid w:val="006035F3"/>
    <w:rsid w:val="00605126"/>
    <w:rsid w:val="006057AB"/>
    <w:rsid w:val="00605EBA"/>
    <w:rsid w:val="00606897"/>
    <w:rsid w:val="00606E46"/>
    <w:rsid w:val="006076CC"/>
    <w:rsid w:val="00612213"/>
    <w:rsid w:val="00613D16"/>
    <w:rsid w:val="00614E7B"/>
    <w:rsid w:val="00614F07"/>
    <w:rsid w:val="00616458"/>
    <w:rsid w:val="006211CE"/>
    <w:rsid w:val="006219BF"/>
    <w:rsid w:val="00622176"/>
    <w:rsid w:val="00622473"/>
    <w:rsid w:val="00623517"/>
    <w:rsid w:val="00624113"/>
    <w:rsid w:val="00630E8C"/>
    <w:rsid w:val="00634518"/>
    <w:rsid w:val="00640961"/>
    <w:rsid w:val="00644402"/>
    <w:rsid w:val="006444D4"/>
    <w:rsid w:val="00645380"/>
    <w:rsid w:val="00647C84"/>
    <w:rsid w:val="00650E42"/>
    <w:rsid w:val="00651053"/>
    <w:rsid w:val="00651459"/>
    <w:rsid w:val="006524EE"/>
    <w:rsid w:val="006537FD"/>
    <w:rsid w:val="00653A96"/>
    <w:rsid w:val="00654A3C"/>
    <w:rsid w:val="00654BD6"/>
    <w:rsid w:val="00654F39"/>
    <w:rsid w:val="00655A4B"/>
    <w:rsid w:val="00655B4D"/>
    <w:rsid w:val="006576A1"/>
    <w:rsid w:val="006576AF"/>
    <w:rsid w:val="00657ECD"/>
    <w:rsid w:val="006619C9"/>
    <w:rsid w:val="00661D69"/>
    <w:rsid w:val="006629E9"/>
    <w:rsid w:val="0066550F"/>
    <w:rsid w:val="006659D2"/>
    <w:rsid w:val="00666B43"/>
    <w:rsid w:val="00670C8D"/>
    <w:rsid w:val="00670F18"/>
    <w:rsid w:val="006739B4"/>
    <w:rsid w:val="00675642"/>
    <w:rsid w:val="00675A48"/>
    <w:rsid w:val="00675AEB"/>
    <w:rsid w:val="00682CA5"/>
    <w:rsid w:val="006843B7"/>
    <w:rsid w:val="0069435F"/>
    <w:rsid w:val="0069593F"/>
    <w:rsid w:val="006972F0"/>
    <w:rsid w:val="006A1B7E"/>
    <w:rsid w:val="006A288E"/>
    <w:rsid w:val="006A2C68"/>
    <w:rsid w:val="006A4D03"/>
    <w:rsid w:val="006A508B"/>
    <w:rsid w:val="006A5ACF"/>
    <w:rsid w:val="006A6033"/>
    <w:rsid w:val="006A6174"/>
    <w:rsid w:val="006A6276"/>
    <w:rsid w:val="006A6750"/>
    <w:rsid w:val="006A7893"/>
    <w:rsid w:val="006A79CD"/>
    <w:rsid w:val="006B0534"/>
    <w:rsid w:val="006B1070"/>
    <w:rsid w:val="006B1A2B"/>
    <w:rsid w:val="006B1C93"/>
    <w:rsid w:val="006B2EA3"/>
    <w:rsid w:val="006B34DA"/>
    <w:rsid w:val="006B5BDA"/>
    <w:rsid w:val="006C1B52"/>
    <w:rsid w:val="006C1FB2"/>
    <w:rsid w:val="006C439D"/>
    <w:rsid w:val="006C46C9"/>
    <w:rsid w:val="006D22BD"/>
    <w:rsid w:val="006D2970"/>
    <w:rsid w:val="006D408B"/>
    <w:rsid w:val="006D52BC"/>
    <w:rsid w:val="006D6A79"/>
    <w:rsid w:val="006E06D0"/>
    <w:rsid w:val="006E1E3A"/>
    <w:rsid w:val="006E1E81"/>
    <w:rsid w:val="006E1EF5"/>
    <w:rsid w:val="006E20E9"/>
    <w:rsid w:val="006E3FD1"/>
    <w:rsid w:val="006E5750"/>
    <w:rsid w:val="006E72A0"/>
    <w:rsid w:val="006F0ECD"/>
    <w:rsid w:val="006F11C7"/>
    <w:rsid w:val="006F22F9"/>
    <w:rsid w:val="006F5145"/>
    <w:rsid w:val="006F5DEC"/>
    <w:rsid w:val="006F5EAA"/>
    <w:rsid w:val="006F6A74"/>
    <w:rsid w:val="006F7736"/>
    <w:rsid w:val="00701327"/>
    <w:rsid w:val="00701AD0"/>
    <w:rsid w:val="007032B8"/>
    <w:rsid w:val="0071289B"/>
    <w:rsid w:val="007129BB"/>
    <w:rsid w:val="00714583"/>
    <w:rsid w:val="0071462F"/>
    <w:rsid w:val="0071656A"/>
    <w:rsid w:val="00717C07"/>
    <w:rsid w:val="007273A6"/>
    <w:rsid w:val="00731342"/>
    <w:rsid w:val="0073247C"/>
    <w:rsid w:val="0073644F"/>
    <w:rsid w:val="00737AD5"/>
    <w:rsid w:val="0074283E"/>
    <w:rsid w:val="00743F05"/>
    <w:rsid w:val="0074483F"/>
    <w:rsid w:val="00750DCA"/>
    <w:rsid w:val="0075382B"/>
    <w:rsid w:val="00764B5F"/>
    <w:rsid w:val="00764F1E"/>
    <w:rsid w:val="0076526E"/>
    <w:rsid w:val="00765715"/>
    <w:rsid w:val="00765880"/>
    <w:rsid w:val="007662D7"/>
    <w:rsid w:val="0077094B"/>
    <w:rsid w:val="00770CB4"/>
    <w:rsid w:val="0077318B"/>
    <w:rsid w:val="00773BCE"/>
    <w:rsid w:val="00775F3A"/>
    <w:rsid w:val="00780988"/>
    <w:rsid w:val="00780CA8"/>
    <w:rsid w:val="00781D24"/>
    <w:rsid w:val="007835E7"/>
    <w:rsid w:val="00783EA6"/>
    <w:rsid w:val="00784070"/>
    <w:rsid w:val="00785EBD"/>
    <w:rsid w:val="007913D8"/>
    <w:rsid w:val="00791E6E"/>
    <w:rsid w:val="00793F01"/>
    <w:rsid w:val="00795960"/>
    <w:rsid w:val="00796AD3"/>
    <w:rsid w:val="00797FD7"/>
    <w:rsid w:val="007A1027"/>
    <w:rsid w:val="007A3444"/>
    <w:rsid w:val="007A3781"/>
    <w:rsid w:val="007A38DF"/>
    <w:rsid w:val="007A40B9"/>
    <w:rsid w:val="007A490E"/>
    <w:rsid w:val="007A5994"/>
    <w:rsid w:val="007B04F2"/>
    <w:rsid w:val="007B38A9"/>
    <w:rsid w:val="007B3AC7"/>
    <w:rsid w:val="007B3BBC"/>
    <w:rsid w:val="007B50C2"/>
    <w:rsid w:val="007B58E7"/>
    <w:rsid w:val="007B7930"/>
    <w:rsid w:val="007C0A3B"/>
    <w:rsid w:val="007C120E"/>
    <w:rsid w:val="007C1395"/>
    <w:rsid w:val="007C159F"/>
    <w:rsid w:val="007C46E0"/>
    <w:rsid w:val="007C4BE6"/>
    <w:rsid w:val="007C544E"/>
    <w:rsid w:val="007C5960"/>
    <w:rsid w:val="007D187A"/>
    <w:rsid w:val="007D5ECA"/>
    <w:rsid w:val="007D6634"/>
    <w:rsid w:val="007D7738"/>
    <w:rsid w:val="007E1059"/>
    <w:rsid w:val="007E1768"/>
    <w:rsid w:val="007E5EA3"/>
    <w:rsid w:val="007F1A91"/>
    <w:rsid w:val="007F2197"/>
    <w:rsid w:val="007F30A7"/>
    <w:rsid w:val="007F3124"/>
    <w:rsid w:val="007F3697"/>
    <w:rsid w:val="007F4CCB"/>
    <w:rsid w:val="007F6664"/>
    <w:rsid w:val="007F7024"/>
    <w:rsid w:val="00800DC3"/>
    <w:rsid w:val="00802F4E"/>
    <w:rsid w:val="00803FC7"/>
    <w:rsid w:val="00804A4D"/>
    <w:rsid w:val="008056D3"/>
    <w:rsid w:val="00806136"/>
    <w:rsid w:val="0080651B"/>
    <w:rsid w:val="008073E8"/>
    <w:rsid w:val="00807765"/>
    <w:rsid w:val="00807B6C"/>
    <w:rsid w:val="00807D09"/>
    <w:rsid w:val="00810763"/>
    <w:rsid w:val="00810A71"/>
    <w:rsid w:val="008121FD"/>
    <w:rsid w:val="008122C2"/>
    <w:rsid w:val="0081364F"/>
    <w:rsid w:val="008145AE"/>
    <w:rsid w:val="00814A40"/>
    <w:rsid w:val="00815958"/>
    <w:rsid w:val="008159A9"/>
    <w:rsid w:val="00815E5F"/>
    <w:rsid w:val="00816329"/>
    <w:rsid w:val="00816D34"/>
    <w:rsid w:val="00820F29"/>
    <w:rsid w:val="008214EF"/>
    <w:rsid w:val="00822839"/>
    <w:rsid w:val="008253C8"/>
    <w:rsid w:val="00827021"/>
    <w:rsid w:val="008322A2"/>
    <w:rsid w:val="008332DA"/>
    <w:rsid w:val="00841624"/>
    <w:rsid w:val="0084347D"/>
    <w:rsid w:val="008443EE"/>
    <w:rsid w:val="00846689"/>
    <w:rsid w:val="0085461E"/>
    <w:rsid w:val="00854A65"/>
    <w:rsid w:val="00855724"/>
    <w:rsid w:val="00857D2A"/>
    <w:rsid w:val="00861E22"/>
    <w:rsid w:val="00862460"/>
    <w:rsid w:val="008629E6"/>
    <w:rsid w:val="008631AC"/>
    <w:rsid w:val="00863238"/>
    <w:rsid w:val="00865711"/>
    <w:rsid w:val="008666B4"/>
    <w:rsid w:val="00867583"/>
    <w:rsid w:val="00867A20"/>
    <w:rsid w:val="00870BD5"/>
    <w:rsid w:val="00870D37"/>
    <w:rsid w:val="00871568"/>
    <w:rsid w:val="008734AB"/>
    <w:rsid w:val="00873538"/>
    <w:rsid w:val="0087477B"/>
    <w:rsid w:val="00875DD7"/>
    <w:rsid w:val="00880705"/>
    <w:rsid w:val="00880E2F"/>
    <w:rsid w:val="008816D8"/>
    <w:rsid w:val="008826AE"/>
    <w:rsid w:val="00882B0E"/>
    <w:rsid w:val="00882F03"/>
    <w:rsid w:val="008877CA"/>
    <w:rsid w:val="008915B9"/>
    <w:rsid w:val="008916B6"/>
    <w:rsid w:val="00891874"/>
    <w:rsid w:val="00892BF7"/>
    <w:rsid w:val="00895A85"/>
    <w:rsid w:val="008A4292"/>
    <w:rsid w:val="008A4830"/>
    <w:rsid w:val="008A5848"/>
    <w:rsid w:val="008A7147"/>
    <w:rsid w:val="008A7171"/>
    <w:rsid w:val="008B4CF5"/>
    <w:rsid w:val="008C187B"/>
    <w:rsid w:val="008C383E"/>
    <w:rsid w:val="008C4F74"/>
    <w:rsid w:val="008C5278"/>
    <w:rsid w:val="008C6D2E"/>
    <w:rsid w:val="008C6F01"/>
    <w:rsid w:val="008C752B"/>
    <w:rsid w:val="008D02E8"/>
    <w:rsid w:val="008D0352"/>
    <w:rsid w:val="008D2538"/>
    <w:rsid w:val="008D4A87"/>
    <w:rsid w:val="008D4A90"/>
    <w:rsid w:val="008D5612"/>
    <w:rsid w:val="008E03C5"/>
    <w:rsid w:val="008E0BE4"/>
    <w:rsid w:val="008E13C9"/>
    <w:rsid w:val="008E3375"/>
    <w:rsid w:val="008E3FE3"/>
    <w:rsid w:val="008E4979"/>
    <w:rsid w:val="008E58CA"/>
    <w:rsid w:val="008E5D73"/>
    <w:rsid w:val="008E664F"/>
    <w:rsid w:val="008E6C33"/>
    <w:rsid w:val="008F204A"/>
    <w:rsid w:val="008F2CAE"/>
    <w:rsid w:val="008F5444"/>
    <w:rsid w:val="008F6FE7"/>
    <w:rsid w:val="008F73FD"/>
    <w:rsid w:val="009013B4"/>
    <w:rsid w:val="00901A38"/>
    <w:rsid w:val="00901AB4"/>
    <w:rsid w:val="00902BAB"/>
    <w:rsid w:val="00902C38"/>
    <w:rsid w:val="00905F35"/>
    <w:rsid w:val="0090635C"/>
    <w:rsid w:val="00906A80"/>
    <w:rsid w:val="0091121A"/>
    <w:rsid w:val="00913102"/>
    <w:rsid w:val="00913540"/>
    <w:rsid w:val="00915490"/>
    <w:rsid w:val="00916026"/>
    <w:rsid w:val="00917AA2"/>
    <w:rsid w:val="00922F08"/>
    <w:rsid w:val="009236B3"/>
    <w:rsid w:val="00923D3C"/>
    <w:rsid w:val="00927BFB"/>
    <w:rsid w:val="0093103F"/>
    <w:rsid w:val="00932326"/>
    <w:rsid w:val="0093480B"/>
    <w:rsid w:val="00935E94"/>
    <w:rsid w:val="00940B0E"/>
    <w:rsid w:val="00943FDA"/>
    <w:rsid w:val="009450B9"/>
    <w:rsid w:val="0094753F"/>
    <w:rsid w:val="00950296"/>
    <w:rsid w:val="00956440"/>
    <w:rsid w:val="009566ED"/>
    <w:rsid w:val="00957231"/>
    <w:rsid w:val="0095767B"/>
    <w:rsid w:val="00957A75"/>
    <w:rsid w:val="00960CA9"/>
    <w:rsid w:val="009759D1"/>
    <w:rsid w:val="00976831"/>
    <w:rsid w:val="00976F3E"/>
    <w:rsid w:val="00982775"/>
    <w:rsid w:val="00982A7F"/>
    <w:rsid w:val="0098366C"/>
    <w:rsid w:val="00983CB8"/>
    <w:rsid w:val="00985F45"/>
    <w:rsid w:val="00986D35"/>
    <w:rsid w:val="00986D98"/>
    <w:rsid w:val="0099245C"/>
    <w:rsid w:val="00993677"/>
    <w:rsid w:val="00993866"/>
    <w:rsid w:val="00993B77"/>
    <w:rsid w:val="0099469D"/>
    <w:rsid w:val="00994E2A"/>
    <w:rsid w:val="00995A67"/>
    <w:rsid w:val="009963FB"/>
    <w:rsid w:val="009A29B6"/>
    <w:rsid w:val="009A3EC8"/>
    <w:rsid w:val="009A4A1B"/>
    <w:rsid w:val="009A5FAE"/>
    <w:rsid w:val="009A627B"/>
    <w:rsid w:val="009B1263"/>
    <w:rsid w:val="009B1442"/>
    <w:rsid w:val="009B2476"/>
    <w:rsid w:val="009B3C86"/>
    <w:rsid w:val="009B4394"/>
    <w:rsid w:val="009C070B"/>
    <w:rsid w:val="009C1FCC"/>
    <w:rsid w:val="009C2848"/>
    <w:rsid w:val="009C2913"/>
    <w:rsid w:val="009C5E51"/>
    <w:rsid w:val="009D010F"/>
    <w:rsid w:val="009D1992"/>
    <w:rsid w:val="009D45AF"/>
    <w:rsid w:val="009D5BC3"/>
    <w:rsid w:val="009D7D44"/>
    <w:rsid w:val="009E0F18"/>
    <w:rsid w:val="009E0FCF"/>
    <w:rsid w:val="009E157F"/>
    <w:rsid w:val="009E1967"/>
    <w:rsid w:val="009F0136"/>
    <w:rsid w:val="009F1588"/>
    <w:rsid w:val="009F28F0"/>
    <w:rsid w:val="009F6AAF"/>
    <w:rsid w:val="00A0074D"/>
    <w:rsid w:val="00A011ED"/>
    <w:rsid w:val="00A048E0"/>
    <w:rsid w:val="00A05A7D"/>
    <w:rsid w:val="00A05AF6"/>
    <w:rsid w:val="00A0679F"/>
    <w:rsid w:val="00A067C2"/>
    <w:rsid w:val="00A1015C"/>
    <w:rsid w:val="00A10194"/>
    <w:rsid w:val="00A108ED"/>
    <w:rsid w:val="00A12C3D"/>
    <w:rsid w:val="00A12D27"/>
    <w:rsid w:val="00A13EEF"/>
    <w:rsid w:val="00A14352"/>
    <w:rsid w:val="00A15082"/>
    <w:rsid w:val="00A15555"/>
    <w:rsid w:val="00A16472"/>
    <w:rsid w:val="00A16CEF"/>
    <w:rsid w:val="00A176DF"/>
    <w:rsid w:val="00A219CF"/>
    <w:rsid w:val="00A23A27"/>
    <w:rsid w:val="00A23B40"/>
    <w:rsid w:val="00A23DBC"/>
    <w:rsid w:val="00A26B8C"/>
    <w:rsid w:val="00A2715F"/>
    <w:rsid w:val="00A2745B"/>
    <w:rsid w:val="00A27A83"/>
    <w:rsid w:val="00A27E3F"/>
    <w:rsid w:val="00A330A1"/>
    <w:rsid w:val="00A35C28"/>
    <w:rsid w:val="00A378DF"/>
    <w:rsid w:val="00A418E9"/>
    <w:rsid w:val="00A42483"/>
    <w:rsid w:val="00A425FC"/>
    <w:rsid w:val="00A44130"/>
    <w:rsid w:val="00A47400"/>
    <w:rsid w:val="00A47F9A"/>
    <w:rsid w:val="00A5239C"/>
    <w:rsid w:val="00A5616C"/>
    <w:rsid w:val="00A565ED"/>
    <w:rsid w:val="00A57C21"/>
    <w:rsid w:val="00A62A6B"/>
    <w:rsid w:val="00A64FA6"/>
    <w:rsid w:val="00A65E90"/>
    <w:rsid w:val="00A65F50"/>
    <w:rsid w:val="00A67AF8"/>
    <w:rsid w:val="00A70246"/>
    <w:rsid w:val="00A70E6A"/>
    <w:rsid w:val="00A72143"/>
    <w:rsid w:val="00A74703"/>
    <w:rsid w:val="00A75644"/>
    <w:rsid w:val="00A76C50"/>
    <w:rsid w:val="00A775E8"/>
    <w:rsid w:val="00A81ABA"/>
    <w:rsid w:val="00A82FE2"/>
    <w:rsid w:val="00A8325C"/>
    <w:rsid w:val="00A832F4"/>
    <w:rsid w:val="00A83F50"/>
    <w:rsid w:val="00A853A7"/>
    <w:rsid w:val="00A85824"/>
    <w:rsid w:val="00A875C1"/>
    <w:rsid w:val="00A90EB5"/>
    <w:rsid w:val="00A945DC"/>
    <w:rsid w:val="00A95F2D"/>
    <w:rsid w:val="00A96E85"/>
    <w:rsid w:val="00AA031E"/>
    <w:rsid w:val="00AA77A0"/>
    <w:rsid w:val="00AB124E"/>
    <w:rsid w:val="00AB58C2"/>
    <w:rsid w:val="00AB7501"/>
    <w:rsid w:val="00AB7FFB"/>
    <w:rsid w:val="00AC1192"/>
    <w:rsid w:val="00AC2528"/>
    <w:rsid w:val="00AC3430"/>
    <w:rsid w:val="00AC3B80"/>
    <w:rsid w:val="00AC47F3"/>
    <w:rsid w:val="00AC69C9"/>
    <w:rsid w:val="00AD18A4"/>
    <w:rsid w:val="00AD41EA"/>
    <w:rsid w:val="00AD445A"/>
    <w:rsid w:val="00AD79E8"/>
    <w:rsid w:val="00AE15D5"/>
    <w:rsid w:val="00AE4A5B"/>
    <w:rsid w:val="00AE52A2"/>
    <w:rsid w:val="00AF0CAD"/>
    <w:rsid w:val="00AF125D"/>
    <w:rsid w:val="00AF20CE"/>
    <w:rsid w:val="00AF3488"/>
    <w:rsid w:val="00AF49B0"/>
    <w:rsid w:val="00AF5322"/>
    <w:rsid w:val="00AF760F"/>
    <w:rsid w:val="00B002BF"/>
    <w:rsid w:val="00B02CD8"/>
    <w:rsid w:val="00B03FEA"/>
    <w:rsid w:val="00B042A1"/>
    <w:rsid w:val="00B045FF"/>
    <w:rsid w:val="00B04C13"/>
    <w:rsid w:val="00B05005"/>
    <w:rsid w:val="00B05352"/>
    <w:rsid w:val="00B1238C"/>
    <w:rsid w:val="00B1386A"/>
    <w:rsid w:val="00B13C36"/>
    <w:rsid w:val="00B13FDF"/>
    <w:rsid w:val="00B14B64"/>
    <w:rsid w:val="00B16441"/>
    <w:rsid w:val="00B17D20"/>
    <w:rsid w:val="00B21334"/>
    <w:rsid w:val="00B21698"/>
    <w:rsid w:val="00B22316"/>
    <w:rsid w:val="00B23065"/>
    <w:rsid w:val="00B3196C"/>
    <w:rsid w:val="00B3200B"/>
    <w:rsid w:val="00B3294E"/>
    <w:rsid w:val="00B36705"/>
    <w:rsid w:val="00B407D0"/>
    <w:rsid w:val="00B40850"/>
    <w:rsid w:val="00B44A46"/>
    <w:rsid w:val="00B44CFD"/>
    <w:rsid w:val="00B450C4"/>
    <w:rsid w:val="00B47773"/>
    <w:rsid w:val="00B51FD8"/>
    <w:rsid w:val="00B52887"/>
    <w:rsid w:val="00B530B7"/>
    <w:rsid w:val="00B55909"/>
    <w:rsid w:val="00B6079A"/>
    <w:rsid w:val="00B60CB1"/>
    <w:rsid w:val="00B61A75"/>
    <w:rsid w:val="00B61D77"/>
    <w:rsid w:val="00B62851"/>
    <w:rsid w:val="00B664F4"/>
    <w:rsid w:val="00B66742"/>
    <w:rsid w:val="00B673D8"/>
    <w:rsid w:val="00B72309"/>
    <w:rsid w:val="00B72515"/>
    <w:rsid w:val="00B72C88"/>
    <w:rsid w:val="00B738EB"/>
    <w:rsid w:val="00B750B1"/>
    <w:rsid w:val="00B753E9"/>
    <w:rsid w:val="00B75407"/>
    <w:rsid w:val="00B80381"/>
    <w:rsid w:val="00B8258B"/>
    <w:rsid w:val="00B83C25"/>
    <w:rsid w:val="00B85132"/>
    <w:rsid w:val="00B85C8D"/>
    <w:rsid w:val="00B86007"/>
    <w:rsid w:val="00B865EA"/>
    <w:rsid w:val="00BA08FB"/>
    <w:rsid w:val="00BA26C6"/>
    <w:rsid w:val="00BA4970"/>
    <w:rsid w:val="00BA69D5"/>
    <w:rsid w:val="00BB0EF8"/>
    <w:rsid w:val="00BB21F0"/>
    <w:rsid w:val="00BB37BC"/>
    <w:rsid w:val="00BB5690"/>
    <w:rsid w:val="00BB7053"/>
    <w:rsid w:val="00BB7B49"/>
    <w:rsid w:val="00BC2572"/>
    <w:rsid w:val="00BC2AD9"/>
    <w:rsid w:val="00BC33FC"/>
    <w:rsid w:val="00BC5567"/>
    <w:rsid w:val="00BC5B01"/>
    <w:rsid w:val="00BC5B64"/>
    <w:rsid w:val="00BC708D"/>
    <w:rsid w:val="00BC789A"/>
    <w:rsid w:val="00BD0623"/>
    <w:rsid w:val="00BD1739"/>
    <w:rsid w:val="00BD2CB3"/>
    <w:rsid w:val="00BD2D5A"/>
    <w:rsid w:val="00BD4EF9"/>
    <w:rsid w:val="00BD6C42"/>
    <w:rsid w:val="00BD79E9"/>
    <w:rsid w:val="00BE18B4"/>
    <w:rsid w:val="00BE55A7"/>
    <w:rsid w:val="00BE66D2"/>
    <w:rsid w:val="00BE6AB4"/>
    <w:rsid w:val="00C02404"/>
    <w:rsid w:val="00C02CB2"/>
    <w:rsid w:val="00C04B47"/>
    <w:rsid w:val="00C056D3"/>
    <w:rsid w:val="00C06DA6"/>
    <w:rsid w:val="00C077DA"/>
    <w:rsid w:val="00C103DE"/>
    <w:rsid w:val="00C10EF0"/>
    <w:rsid w:val="00C1243D"/>
    <w:rsid w:val="00C1370D"/>
    <w:rsid w:val="00C1423C"/>
    <w:rsid w:val="00C147F0"/>
    <w:rsid w:val="00C14BBF"/>
    <w:rsid w:val="00C17513"/>
    <w:rsid w:val="00C1766B"/>
    <w:rsid w:val="00C17973"/>
    <w:rsid w:val="00C20091"/>
    <w:rsid w:val="00C2108B"/>
    <w:rsid w:val="00C23406"/>
    <w:rsid w:val="00C24D18"/>
    <w:rsid w:val="00C2549C"/>
    <w:rsid w:val="00C26774"/>
    <w:rsid w:val="00C27C96"/>
    <w:rsid w:val="00C305E9"/>
    <w:rsid w:val="00C3135B"/>
    <w:rsid w:val="00C33177"/>
    <w:rsid w:val="00C339F1"/>
    <w:rsid w:val="00C354BD"/>
    <w:rsid w:val="00C36DAA"/>
    <w:rsid w:val="00C3771F"/>
    <w:rsid w:val="00C37B5C"/>
    <w:rsid w:val="00C37DD0"/>
    <w:rsid w:val="00C41E30"/>
    <w:rsid w:val="00C42FA7"/>
    <w:rsid w:val="00C43146"/>
    <w:rsid w:val="00C443E4"/>
    <w:rsid w:val="00C455F6"/>
    <w:rsid w:val="00C45F4A"/>
    <w:rsid w:val="00C47A52"/>
    <w:rsid w:val="00C51C30"/>
    <w:rsid w:val="00C5350A"/>
    <w:rsid w:val="00C54042"/>
    <w:rsid w:val="00C54C3C"/>
    <w:rsid w:val="00C55839"/>
    <w:rsid w:val="00C60F2E"/>
    <w:rsid w:val="00C632D5"/>
    <w:rsid w:val="00C6355D"/>
    <w:rsid w:val="00C638DD"/>
    <w:rsid w:val="00C63CFB"/>
    <w:rsid w:val="00C63E77"/>
    <w:rsid w:val="00C65823"/>
    <w:rsid w:val="00C659F9"/>
    <w:rsid w:val="00C72901"/>
    <w:rsid w:val="00C73044"/>
    <w:rsid w:val="00C7324A"/>
    <w:rsid w:val="00C7324F"/>
    <w:rsid w:val="00C755A7"/>
    <w:rsid w:val="00C811CC"/>
    <w:rsid w:val="00C87106"/>
    <w:rsid w:val="00C87432"/>
    <w:rsid w:val="00C8791A"/>
    <w:rsid w:val="00C90DB6"/>
    <w:rsid w:val="00C9146D"/>
    <w:rsid w:val="00C93589"/>
    <w:rsid w:val="00C93BE9"/>
    <w:rsid w:val="00C9577F"/>
    <w:rsid w:val="00C95A41"/>
    <w:rsid w:val="00CA1F85"/>
    <w:rsid w:val="00CA4815"/>
    <w:rsid w:val="00CB09C9"/>
    <w:rsid w:val="00CB1B20"/>
    <w:rsid w:val="00CB627E"/>
    <w:rsid w:val="00CB6469"/>
    <w:rsid w:val="00CB67A0"/>
    <w:rsid w:val="00CB7392"/>
    <w:rsid w:val="00CB74C9"/>
    <w:rsid w:val="00CB76D2"/>
    <w:rsid w:val="00CB7F0B"/>
    <w:rsid w:val="00CC2701"/>
    <w:rsid w:val="00CC27A2"/>
    <w:rsid w:val="00CC29AA"/>
    <w:rsid w:val="00CC6B03"/>
    <w:rsid w:val="00CC7060"/>
    <w:rsid w:val="00CC79AF"/>
    <w:rsid w:val="00CD184B"/>
    <w:rsid w:val="00CD4227"/>
    <w:rsid w:val="00CD5413"/>
    <w:rsid w:val="00CD6047"/>
    <w:rsid w:val="00CD6F49"/>
    <w:rsid w:val="00CE18CF"/>
    <w:rsid w:val="00CE5AF2"/>
    <w:rsid w:val="00CF0C2F"/>
    <w:rsid w:val="00CF15FD"/>
    <w:rsid w:val="00CF217F"/>
    <w:rsid w:val="00CF221C"/>
    <w:rsid w:val="00CF3C52"/>
    <w:rsid w:val="00CF4EE3"/>
    <w:rsid w:val="00CF53A6"/>
    <w:rsid w:val="00CF588F"/>
    <w:rsid w:val="00CF7A83"/>
    <w:rsid w:val="00CF7E1C"/>
    <w:rsid w:val="00D0357F"/>
    <w:rsid w:val="00D04A66"/>
    <w:rsid w:val="00D06B39"/>
    <w:rsid w:val="00D10110"/>
    <w:rsid w:val="00D138C6"/>
    <w:rsid w:val="00D143B3"/>
    <w:rsid w:val="00D15027"/>
    <w:rsid w:val="00D17301"/>
    <w:rsid w:val="00D2079B"/>
    <w:rsid w:val="00D22ECB"/>
    <w:rsid w:val="00D23C57"/>
    <w:rsid w:val="00D24254"/>
    <w:rsid w:val="00D24FDC"/>
    <w:rsid w:val="00D2548B"/>
    <w:rsid w:val="00D25523"/>
    <w:rsid w:val="00D2687C"/>
    <w:rsid w:val="00D2693E"/>
    <w:rsid w:val="00D31BDB"/>
    <w:rsid w:val="00D33042"/>
    <w:rsid w:val="00D337F9"/>
    <w:rsid w:val="00D33F09"/>
    <w:rsid w:val="00D36057"/>
    <w:rsid w:val="00D413AB"/>
    <w:rsid w:val="00D418BA"/>
    <w:rsid w:val="00D4298A"/>
    <w:rsid w:val="00D444BC"/>
    <w:rsid w:val="00D45D6A"/>
    <w:rsid w:val="00D47267"/>
    <w:rsid w:val="00D50120"/>
    <w:rsid w:val="00D547D4"/>
    <w:rsid w:val="00D55665"/>
    <w:rsid w:val="00D6134B"/>
    <w:rsid w:val="00D63559"/>
    <w:rsid w:val="00D6535A"/>
    <w:rsid w:val="00D65A8D"/>
    <w:rsid w:val="00D65DBC"/>
    <w:rsid w:val="00D67E78"/>
    <w:rsid w:val="00D70954"/>
    <w:rsid w:val="00D70EC1"/>
    <w:rsid w:val="00D7279E"/>
    <w:rsid w:val="00D72A5E"/>
    <w:rsid w:val="00D74056"/>
    <w:rsid w:val="00D76114"/>
    <w:rsid w:val="00D77847"/>
    <w:rsid w:val="00D77C65"/>
    <w:rsid w:val="00D81CBC"/>
    <w:rsid w:val="00D825D6"/>
    <w:rsid w:val="00D834F4"/>
    <w:rsid w:val="00D84151"/>
    <w:rsid w:val="00D8429E"/>
    <w:rsid w:val="00D84AFC"/>
    <w:rsid w:val="00D84D80"/>
    <w:rsid w:val="00D84F6F"/>
    <w:rsid w:val="00D86D39"/>
    <w:rsid w:val="00D879AD"/>
    <w:rsid w:val="00D909CA"/>
    <w:rsid w:val="00D910B9"/>
    <w:rsid w:val="00D916DA"/>
    <w:rsid w:val="00D9181E"/>
    <w:rsid w:val="00D91A96"/>
    <w:rsid w:val="00D92293"/>
    <w:rsid w:val="00D92462"/>
    <w:rsid w:val="00D93E94"/>
    <w:rsid w:val="00D97EB3"/>
    <w:rsid w:val="00DA117E"/>
    <w:rsid w:val="00DA1CE3"/>
    <w:rsid w:val="00DA1FB6"/>
    <w:rsid w:val="00DA2495"/>
    <w:rsid w:val="00DA4FA4"/>
    <w:rsid w:val="00DA53E7"/>
    <w:rsid w:val="00DB1F79"/>
    <w:rsid w:val="00DB3388"/>
    <w:rsid w:val="00DB52F2"/>
    <w:rsid w:val="00DB5D3D"/>
    <w:rsid w:val="00DB73ED"/>
    <w:rsid w:val="00DB7971"/>
    <w:rsid w:val="00DB7B0F"/>
    <w:rsid w:val="00DB7FA0"/>
    <w:rsid w:val="00DC0507"/>
    <w:rsid w:val="00DC19A4"/>
    <w:rsid w:val="00DC496E"/>
    <w:rsid w:val="00DC6FC7"/>
    <w:rsid w:val="00DC741B"/>
    <w:rsid w:val="00DC75BE"/>
    <w:rsid w:val="00DD048B"/>
    <w:rsid w:val="00DD11D9"/>
    <w:rsid w:val="00DD5337"/>
    <w:rsid w:val="00DD592A"/>
    <w:rsid w:val="00DE1B95"/>
    <w:rsid w:val="00DE1EDE"/>
    <w:rsid w:val="00DE1EED"/>
    <w:rsid w:val="00DE288E"/>
    <w:rsid w:val="00DE55B3"/>
    <w:rsid w:val="00DE7479"/>
    <w:rsid w:val="00DE76EF"/>
    <w:rsid w:val="00DF12C7"/>
    <w:rsid w:val="00DF135C"/>
    <w:rsid w:val="00DF26F1"/>
    <w:rsid w:val="00DF3DFC"/>
    <w:rsid w:val="00DF5185"/>
    <w:rsid w:val="00DF5DEF"/>
    <w:rsid w:val="00E004C0"/>
    <w:rsid w:val="00E0099C"/>
    <w:rsid w:val="00E015F4"/>
    <w:rsid w:val="00E01F5E"/>
    <w:rsid w:val="00E03986"/>
    <w:rsid w:val="00E05762"/>
    <w:rsid w:val="00E05EEC"/>
    <w:rsid w:val="00E07268"/>
    <w:rsid w:val="00E10B77"/>
    <w:rsid w:val="00E11E59"/>
    <w:rsid w:val="00E1311F"/>
    <w:rsid w:val="00E135BE"/>
    <w:rsid w:val="00E15EF3"/>
    <w:rsid w:val="00E162E1"/>
    <w:rsid w:val="00E21E02"/>
    <w:rsid w:val="00E22368"/>
    <w:rsid w:val="00E22897"/>
    <w:rsid w:val="00E24F3A"/>
    <w:rsid w:val="00E2519B"/>
    <w:rsid w:val="00E2605A"/>
    <w:rsid w:val="00E266CD"/>
    <w:rsid w:val="00E272D4"/>
    <w:rsid w:val="00E273FF"/>
    <w:rsid w:val="00E305B9"/>
    <w:rsid w:val="00E3210D"/>
    <w:rsid w:val="00E324D9"/>
    <w:rsid w:val="00E33999"/>
    <w:rsid w:val="00E33A68"/>
    <w:rsid w:val="00E33DB0"/>
    <w:rsid w:val="00E34602"/>
    <w:rsid w:val="00E34CC5"/>
    <w:rsid w:val="00E36288"/>
    <w:rsid w:val="00E402F5"/>
    <w:rsid w:val="00E41CF1"/>
    <w:rsid w:val="00E46BC8"/>
    <w:rsid w:val="00E50012"/>
    <w:rsid w:val="00E5472A"/>
    <w:rsid w:val="00E60063"/>
    <w:rsid w:val="00E62396"/>
    <w:rsid w:val="00E62AE7"/>
    <w:rsid w:val="00E62C22"/>
    <w:rsid w:val="00E63433"/>
    <w:rsid w:val="00E66090"/>
    <w:rsid w:val="00E67A68"/>
    <w:rsid w:val="00E710F2"/>
    <w:rsid w:val="00E718A6"/>
    <w:rsid w:val="00E71FCF"/>
    <w:rsid w:val="00E71FD8"/>
    <w:rsid w:val="00E737D5"/>
    <w:rsid w:val="00E7463B"/>
    <w:rsid w:val="00E75592"/>
    <w:rsid w:val="00E774D3"/>
    <w:rsid w:val="00E77EA1"/>
    <w:rsid w:val="00E8027E"/>
    <w:rsid w:val="00E82B3E"/>
    <w:rsid w:val="00E82DE3"/>
    <w:rsid w:val="00E849AD"/>
    <w:rsid w:val="00E84BC9"/>
    <w:rsid w:val="00E86FED"/>
    <w:rsid w:val="00E8758C"/>
    <w:rsid w:val="00E90D4F"/>
    <w:rsid w:val="00E91B1E"/>
    <w:rsid w:val="00E93E7F"/>
    <w:rsid w:val="00E95925"/>
    <w:rsid w:val="00E95B67"/>
    <w:rsid w:val="00E96013"/>
    <w:rsid w:val="00E963B8"/>
    <w:rsid w:val="00EA1695"/>
    <w:rsid w:val="00EA1D18"/>
    <w:rsid w:val="00EA1F7E"/>
    <w:rsid w:val="00EA51A5"/>
    <w:rsid w:val="00EA64EE"/>
    <w:rsid w:val="00EA654C"/>
    <w:rsid w:val="00EA6CDA"/>
    <w:rsid w:val="00EB0B7B"/>
    <w:rsid w:val="00EB0D0E"/>
    <w:rsid w:val="00EB247B"/>
    <w:rsid w:val="00EB3716"/>
    <w:rsid w:val="00EB3AA5"/>
    <w:rsid w:val="00EB759E"/>
    <w:rsid w:val="00EC0FEB"/>
    <w:rsid w:val="00EC10D6"/>
    <w:rsid w:val="00EC1F7F"/>
    <w:rsid w:val="00EC3393"/>
    <w:rsid w:val="00EC3E63"/>
    <w:rsid w:val="00EC4E0E"/>
    <w:rsid w:val="00EC71AC"/>
    <w:rsid w:val="00EC74AD"/>
    <w:rsid w:val="00ED1520"/>
    <w:rsid w:val="00ED27C7"/>
    <w:rsid w:val="00ED6869"/>
    <w:rsid w:val="00ED78CC"/>
    <w:rsid w:val="00EE3FA8"/>
    <w:rsid w:val="00EE70B5"/>
    <w:rsid w:val="00EE72A7"/>
    <w:rsid w:val="00EE7FDF"/>
    <w:rsid w:val="00EF08F6"/>
    <w:rsid w:val="00EF0FBC"/>
    <w:rsid w:val="00EF11EC"/>
    <w:rsid w:val="00EF1775"/>
    <w:rsid w:val="00EF32EA"/>
    <w:rsid w:val="00EF4EA1"/>
    <w:rsid w:val="00EF7024"/>
    <w:rsid w:val="00F00F73"/>
    <w:rsid w:val="00F01CA4"/>
    <w:rsid w:val="00F036BE"/>
    <w:rsid w:val="00F053C0"/>
    <w:rsid w:val="00F06740"/>
    <w:rsid w:val="00F12A51"/>
    <w:rsid w:val="00F12CF3"/>
    <w:rsid w:val="00F16CD0"/>
    <w:rsid w:val="00F220A6"/>
    <w:rsid w:val="00F22A3A"/>
    <w:rsid w:val="00F262BC"/>
    <w:rsid w:val="00F26F76"/>
    <w:rsid w:val="00F2748A"/>
    <w:rsid w:val="00F3136D"/>
    <w:rsid w:val="00F33168"/>
    <w:rsid w:val="00F33475"/>
    <w:rsid w:val="00F34426"/>
    <w:rsid w:val="00F34915"/>
    <w:rsid w:val="00F35503"/>
    <w:rsid w:val="00F3714D"/>
    <w:rsid w:val="00F410E4"/>
    <w:rsid w:val="00F4627D"/>
    <w:rsid w:val="00F46E8D"/>
    <w:rsid w:val="00F5289C"/>
    <w:rsid w:val="00F52912"/>
    <w:rsid w:val="00F54A5C"/>
    <w:rsid w:val="00F56D58"/>
    <w:rsid w:val="00F57270"/>
    <w:rsid w:val="00F57560"/>
    <w:rsid w:val="00F600F9"/>
    <w:rsid w:val="00F60644"/>
    <w:rsid w:val="00F606CE"/>
    <w:rsid w:val="00F60DD5"/>
    <w:rsid w:val="00F63013"/>
    <w:rsid w:val="00F65B59"/>
    <w:rsid w:val="00F662F9"/>
    <w:rsid w:val="00F66F17"/>
    <w:rsid w:val="00F67594"/>
    <w:rsid w:val="00F700B0"/>
    <w:rsid w:val="00F71FC9"/>
    <w:rsid w:val="00F75F3B"/>
    <w:rsid w:val="00F81BF1"/>
    <w:rsid w:val="00F8220B"/>
    <w:rsid w:val="00F84187"/>
    <w:rsid w:val="00F8746B"/>
    <w:rsid w:val="00F90EC8"/>
    <w:rsid w:val="00F9255F"/>
    <w:rsid w:val="00F92DFA"/>
    <w:rsid w:val="00F951D0"/>
    <w:rsid w:val="00F95F53"/>
    <w:rsid w:val="00F96F77"/>
    <w:rsid w:val="00F97932"/>
    <w:rsid w:val="00F979A7"/>
    <w:rsid w:val="00FA2B8C"/>
    <w:rsid w:val="00FA3555"/>
    <w:rsid w:val="00FA5166"/>
    <w:rsid w:val="00FA6F23"/>
    <w:rsid w:val="00FB01AF"/>
    <w:rsid w:val="00FB15B0"/>
    <w:rsid w:val="00FB19EC"/>
    <w:rsid w:val="00FB2F9E"/>
    <w:rsid w:val="00FB3099"/>
    <w:rsid w:val="00FB3540"/>
    <w:rsid w:val="00FB4EFA"/>
    <w:rsid w:val="00FB5AE3"/>
    <w:rsid w:val="00FB7E36"/>
    <w:rsid w:val="00FC2B6B"/>
    <w:rsid w:val="00FC5A08"/>
    <w:rsid w:val="00FC6386"/>
    <w:rsid w:val="00FC6EE5"/>
    <w:rsid w:val="00FC7388"/>
    <w:rsid w:val="00FC7B38"/>
    <w:rsid w:val="00FD0B95"/>
    <w:rsid w:val="00FD2C40"/>
    <w:rsid w:val="00FD2C5F"/>
    <w:rsid w:val="00FD360E"/>
    <w:rsid w:val="00FD3D66"/>
    <w:rsid w:val="00FE0856"/>
    <w:rsid w:val="00FE19E6"/>
    <w:rsid w:val="00FE3280"/>
    <w:rsid w:val="00FE638A"/>
    <w:rsid w:val="00FE7673"/>
    <w:rsid w:val="00FF2C34"/>
    <w:rsid w:val="00FF2F69"/>
    <w:rsid w:val="00FF332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5970268F"/>
  <w15:docId w15:val="{325A3954-E542-4B3F-B580-5E26271532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qFormat="1"/>
    <w:lsdException w:name="HTML Bottom of Form" w:semiHidden="1" w:unhideWhenUsed="1" w:qFormat="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qFormat="1"/>
    <w:lsdException w:name="Smart Link" w:semiHidden="1" w:unhideWhenUsed="1"/>
  </w:latentStyles>
  <w:style w:type="paragraph" w:default="1" w:styleId="Normal">
    <w:name w:val="Normal"/>
    <w:qFormat/>
    <w:rsid w:val="000211A2"/>
    <w:pPr>
      <w:spacing w:after="0" w:line="300" w:lineRule="atLeast"/>
      <w:jc w:val="both"/>
    </w:pPr>
    <w:rPr>
      <w:rFonts w:ascii="Cambria" w:hAnsi="Cambria"/>
    </w:rPr>
  </w:style>
  <w:style w:type="paragraph" w:styleId="Heading1">
    <w:name w:val="heading 1"/>
    <w:next w:val="Normal"/>
    <w:link w:val="Heading1Char"/>
    <w:uiPriority w:val="9"/>
    <w:qFormat/>
    <w:rsid w:val="00A96E85"/>
    <w:pPr>
      <w:keepNext/>
      <w:keepLines/>
      <w:spacing w:after="600" w:line="247" w:lineRule="auto"/>
      <w:ind w:left="11" w:right="91" w:hanging="11"/>
      <w:jc w:val="right"/>
      <w:outlineLvl w:val="0"/>
    </w:pPr>
    <w:rPr>
      <w:rFonts w:ascii="Gill Sans MT" w:eastAsia="Gill Sans MT" w:hAnsi="Gill Sans MT" w:cs="Gill Sans MT"/>
      <w:color w:val="000000"/>
      <w:sz w:val="32"/>
      <w:lang w:val="en-GB" w:eastAsia="en-GB"/>
    </w:rPr>
  </w:style>
  <w:style w:type="paragraph" w:styleId="Heading2">
    <w:name w:val="heading 2"/>
    <w:basedOn w:val="Normal"/>
    <w:next w:val="Normal"/>
    <w:link w:val="Heading2Char"/>
    <w:uiPriority w:val="9"/>
    <w:unhideWhenUsed/>
    <w:qFormat/>
    <w:rsid w:val="00545033"/>
    <w:pPr>
      <w:keepNext/>
      <w:spacing w:before="240" w:after="210" w:line="247" w:lineRule="auto"/>
      <w:jc w:val="left"/>
      <w:outlineLvl w:val="1"/>
    </w:pPr>
    <w:rPr>
      <w:rFonts w:ascii="Gill Sans MT" w:eastAsia="Gill Sans MT" w:hAnsi="Gill Sans MT" w:cs="Gill Sans MT"/>
      <w:color w:val="000000"/>
      <w:sz w:val="28"/>
      <w:lang w:val="en-GB" w:eastAsia="en-GB"/>
    </w:rPr>
  </w:style>
  <w:style w:type="paragraph" w:styleId="Heading3">
    <w:name w:val="heading 3"/>
    <w:basedOn w:val="Normal"/>
    <w:next w:val="Normal"/>
    <w:link w:val="Heading3Char"/>
    <w:uiPriority w:val="9"/>
    <w:unhideWhenUsed/>
    <w:qFormat/>
    <w:rsid w:val="00297BA1"/>
    <w:pPr>
      <w:keepNext/>
      <w:keepLines/>
      <w:spacing w:before="240" w:line="252" w:lineRule="auto"/>
      <w:outlineLvl w:val="2"/>
    </w:pPr>
    <w:rPr>
      <w:rFonts w:eastAsiaTheme="majorEastAsia" w:cstheme="majorBidi"/>
      <w:b/>
      <w:szCs w:val="24"/>
      <w:lang w:val="en-GB" w:eastAsia="en-GB"/>
    </w:rPr>
  </w:style>
  <w:style w:type="paragraph" w:styleId="Heading4">
    <w:name w:val="heading 4"/>
    <w:basedOn w:val="Normal"/>
    <w:next w:val="Normal"/>
    <w:link w:val="Heading4Char"/>
    <w:uiPriority w:val="9"/>
    <w:unhideWhenUsed/>
    <w:qFormat/>
    <w:rsid w:val="00297BA1"/>
    <w:pPr>
      <w:keepNext/>
      <w:keepLines/>
      <w:spacing w:before="120" w:line="260" w:lineRule="exact"/>
      <w:outlineLvl w:val="3"/>
    </w:pPr>
    <w:rPr>
      <w:rFonts w:eastAsiaTheme="majorEastAsia" w:cs="Times New Roman"/>
      <w:iCs/>
      <w:szCs w:val="24"/>
      <w:u w:val="single"/>
      <w:lang w:val="hu-HU" w:eastAsia="hu-HU"/>
    </w:rPr>
  </w:style>
  <w:style w:type="paragraph" w:styleId="Heading5">
    <w:name w:val="heading 5"/>
    <w:basedOn w:val="Normal"/>
    <w:next w:val="Normal"/>
    <w:link w:val="Heading5Char"/>
    <w:uiPriority w:val="9"/>
    <w:unhideWhenUsed/>
    <w:qFormat/>
    <w:rsid w:val="00BD1739"/>
    <w:pPr>
      <w:keepNext/>
      <w:keepLines/>
      <w:spacing w:before="220" w:after="40"/>
      <w:jc w:val="left"/>
      <w:outlineLvl w:val="4"/>
    </w:pPr>
    <w:rPr>
      <w:rFonts w:ascii="Calibri" w:eastAsia="MS Mincho" w:hAnsi="Calibri" w:cs="Calibri"/>
      <w:b/>
      <w:lang w:val="fi-FI" w:eastAsia="fi-FI"/>
    </w:rPr>
  </w:style>
  <w:style w:type="paragraph" w:styleId="Heading6">
    <w:name w:val="heading 6"/>
    <w:basedOn w:val="Normal"/>
    <w:next w:val="Normal"/>
    <w:link w:val="Heading6Char"/>
    <w:uiPriority w:val="9"/>
    <w:semiHidden/>
    <w:unhideWhenUsed/>
    <w:qFormat/>
    <w:rsid w:val="00A96E85"/>
    <w:pPr>
      <w:keepNext/>
      <w:keepLines/>
      <w:spacing w:before="40" w:line="240" w:lineRule="auto"/>
      <w:outlineLvl w:val="5"/>
    </w:pPr>
    <w:rPr>
      <w:rFonts w:asciiTheme="majorHAnsi" w:eastAsiaTheme="majorEastAsia" w:hAnsiTheme="majorHAnsi" w:cstheme="majorBidi"/>
      <w:color w:val="1F3763" w:themeColor="accent1" w:themeShade="7F"/>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A96E85"/>
    <w:rPr>
      <w:rFonts w:ascii="Gill Sans MT" w:eastAsia="Gill Sans MT" w:hAnsi="Gill Sans MT" w:cs="Gill Sans MT"/>
      <w:color w:val="000000"/>
      <w:sz w:val="32"/>
      <w:lang w:val="en-GB" w:eastAsia="en-GB"/>
    </w:rPr>
  </w:style>
  <w:style w:type="character" w:customStyle="1" w:styleId="Heading2Char">
    <w:name w:val="Heading 2 Char"/>
    <w:basedOn w:val="DefaultParagraphFont"/>
    <w:link w:val="Heading2"/>
    <w:uiPriority w:val="9"/>
    <w:qFormat/>
    <w:rsid w:val="00545033"/>
    <w:rPr>
      <w:rFonts w:ascii="Gill Sans MT" w:eastAsia="Gill Sans MT" w:hAnsi="Gill Sans MT" w:cs="Gill Sans MT"/>
      <w:color w:val="000000"/>
      <w:sz w:val="28"/>
      <w:lang w:val="en-GB" w:eastAsia="en-GB"/>
    </w:rPr>
  </w:style>
  <w:style w:type="character" w:customStyle="1" w:styleId="Heading3Char">
    <w:name w:val="Heading 3 Char"/>
    <w:basedOn w:val="DefaultParagraphFont"/>
    <w:link w:val="Heading3"/>
    <w:uiPriority w:val="9"/>
    <w:qFormat/>
    <w:rsid w:val="00297BA1"/>
    <w:rPr>
      <w:rFonts w:ascii="Charis SIL" w:eastAsiaTheme="majorEastAsia" w:hAnsi="Charis SIL" w:cstheme="majorBidi"/>
      <w:b/>
      <w:szCs w:val="24"/>
      <w:lang w:val="en-GB" w:eastAsia="en-GB"/>
    </w:rPr>
  </w:style>
  <w:style w:type="character" w:customStyle="1" w:styleId="Heading4Char">
    <w:name w:val="Heading 4 Char"/>
    <w:basedOn w:val="DefaultParagraphFont"/>
    <w:link w:val="Heading4"/>
    <w:uiPriority w:val="9"/>
    <w:qFormat/>
    <w:rsid w:val="00297BA1"/>
    <w:rPr>
      <w:rFonts w:ascii="Charis SIL" w:eastAsiaTheme="majorEastAsia" w:hAnsi="Charis SIL" w:cs="Times New Roman"/>
      <w:iCs/>
      <w:szCs w:val="24"/>
      <w:u w:val="single"/>
      <w:lang w:val="hu-HU" w:eastAsia="hu-HU"/>
    </w:rPr>
  </w:style>
  <w:style w:type="character" w:customStyle="1" w:styleId="Heading6Char">
    <w:name w:val="Heading 6 Char"/>
    <w:basedOn w:val="DefaultParagraphFont"/>
    <w:link w:val="Heading6"/>
    <w:uiPriority w:val="9"/>
    <w:semiHidden/>
    <w:qFormat/>
    <w:rsid w:val="00A96E85"/>
    <w:rPr>
      <w:rFonts w:asciiTheme="majorHAnsi" w:eastAsiaTheme="majorEastAsia" w:hAnsiTheme="majorHAnsi" w:cstheme="majorBidi"/>
      <w:color w:val="1F3763" w:themeColor="accent1" w:themeShade="7F"/>
      <w:lang w:val="de-DE"/>
    </w:rPr>
  </w:style>
  <w:style w:type="character" w:styleId="Hyperlink">
    <w:name w:val="Hyperlink"/>
    <w:basedOn w:val="DefaultParagraphFont"/>
    <w:uiPriority w:val="99"/>
    <w:unhideWhenUsed/>
    <w:rsid w:val="008F2CAE"/>
    <w:rPr>
      <w:color w:val="0563C1" w:themeColor="hyperlink"/>
      <w:u w:val="single"/>
    </w:rPr>
  </w:style>
  <w:style w:type="paragraph" w:customStyle="1" w:styleId="footnotedescription">
    <w:name w:val="footnote description"/>
    <w:next w:val="Normal"/>
    <w:link w:val="footnotedescriptionChar"/>
    <w:hidden/>
    <w:qFormat/>
    <w:rsid w:val="00A96E85"/>
    <w:pPr>
      <w:spacing w:after="0" w:line="235" w:lineRule="auto"/>
      <w:ind w:right="1"/>
      <w:jc w:val="both"/>
    </w:pPr>
    <w:rPr>
      <w:rFonts w:ascii="Calibri" w:eastAsia="Calibri" w:hAnsi="Calibri" w:cs="Calibri"/>
      <w:color w:val="000000"/>
      <w:sz w:val="20"/>
      <w:lang w:val="en-GB" w:eastAsia="en-GB"/>
    </w:rPr>
  </w:style>
  <w:style w:type="character" w:customStyle="1" w:styleId="footnotedescriptionChar">
    <w:name w:val="footnote description Char"/>
    <w:link w:val="footnotedescription"/>
    <w:qFormat/>
    <w:rsid w:val="00A96E85"/>
    <w:rPr>
      <w:rFonts w:ascii="Calibri" w:eastAsia="Calibri" w:hAnsi="Calibri" w:cs="Calibri"/>
      <w:color w:val="000000"/>
      <w:sz w:val="20"/>
      <w:lang w:val="en-GB" w:eastAsia="en-GB"/>
    </w:rPr>
  </w:style>
  <w:style w:type="character" w:customStyle="1" w:styleId="footnotemark">
    <w:name w:val="footnote mark"/>
    <w:hidden/>
    <w:qFormat/>
    <w:rsid w:val="00A96E85"/>
    <w:rPr>
      <w:rFonts w:ascii="Calibri" w:eastAsia="Calibri" w:hAnsi="Calibri" w:cs="Calibri"/>
      <w:color w:val="000000"/>
      <w:sz w:val="20"/>
      <w:vertAlign w:val="superscript"/>
    </w:rPr>
  </w:style>
  <w:style w:type="paragraph" w:customStyle="1" w:styleId="Authors">
    <w:name w:val="Authors"/>
    <w:basedOn w:val="Normal"/>
    <w:link w:val="AuthorsChar"/>
    <w:qFormat/>
    <w:rsid w:val="00A96E85"/>
    <w:pPr>
      <w:spacing w:after="34" w:line="244" w:lineRule="auto"/>
      <w:ind w:right="137"/>
      <w:jc w:val="right"/>
    </w:pPr>
    <w:rPr>
      <w:rFonts w:eastAsia="Calibri" w:cs="Calibri"/>
      <w:i/>
      <w:color w:val="000000"/>
      <w:lang w:val="en-GB" w:eastAsia="en-GB"/>
    </w:rPr>
  </w:style>
  <w:style w:type="character" w:customStyle="1" w:styleId="AuthorsChar">
    <w:name w:val="Authors Char"/>
    <w:basedOn w:val="DefaultParagraphFont"/>
    <w:link w:val="Authors"/>
    <w:qFormat/>
    <w:rsid w:val="00A96E85"/>
    <w:rPr>
      <w:rFonts w:ascii="Charis SIL" w:eastAsia="Calibri" w:hAnsi="Charis SIL" w:cs="Calibri"/>
      <w:i/>
      <w:color w:val="000000"/>
      <w:lang w:val="en-GB" w:eastAsia="en-GB"/>
    </w:rPr>
  </w:style>
  <w:style w:type="character" w:styleId="UnresolvedMention">
    <w:name w:val="Unresolved Mention"/>
    <w:basedOn w:val="DefaultParagraphFont"/>
    <w:uiPriority w:val="99"/>
    <w:semiHidden/>
    <w:unhideWhenUsed/>
    <w:qFormat/>
    <w:rsid w:val="008F2CAE"/>
    <w:rPr>
      <w:color w:val="605E5C"/>
      <w:shd w:val="clear" w:color="auto" w:fill="E1DFDD"/>
    </w:rPr>
  </w:style>
  <w:style w:type="character" w:styleId="CommentReference">
    <w:name w:val="annotation reference"/>
    <w:basedOn w:val="DefaultParagraphFont"/>
    <w:uiPriority w:val="99"/>
    <w:unhideWhenUsed/>
    <w:qFormat/>
    <w:rsid w:val="00F81BF1"/>
    <w:rPr>
      <w:sz w:val="16"/>
      <w:szCs w:val="16"/>
    </w:rPr>
  </w:style>
  <w:style w:type="character" w:customStyle="1" w:styleId="z-TopofFormChar">
    <w:name w:val="z-Top of Form Char"/>
    <w:basedOn w:val="DefaultParagraphFont"/>
    <w:link w:val="z-TopofForm"/>
    <w:uiPriority w:val="99"/>
    <w:semiHidden/>
    <w:qFormat/>
    <w:rsid w:val="00A96E85"/>
    <w:rPr>
      <w:rFonts w:ascii="Arial" w:eastAsia="Times New Roman" w:hAnsi="Arial" w:cs="Arial"/>
      <w:vanish/>
      <w:sz w:val="16"/>
      <w:szCs w:val="16"/>
      <w:lang w:val="de-DE" w:eastAsia="de-DE"/>
    </w:rPr>
  </w:style>
  <w:style w:type="paragraph" w:styleId="z-TopofForm">
    <w:name w:val="HTML Top of Form"/>
    <w:basedOn w:val="Normal"/>
    <w:next w:val="Normal"/>
    <w:link w:val="z-TopofFormChar"/>
    <w:hidden/>
    <w:uiPriority w:val="99"/>
    <w:semiHidden/>
    <w:unhideWhenUsed/>
    <w:qFormat/>
    <w:rsid w:val="00A96E85"/>
    <w:pPr>
      <w:pBdr>
        <w:bottom w:val="single" w:sz="6" w:space="1" w:color="auto"/>
      </w:pBdr>
      <w:spacing w:line="240" w:lineRule="auto"/>
      <w:jc w:val="center"/>
    </w:pPr>
    <w:rPr>
      <w:rFonts w:ascii="Arial" w:eastAsia="Times New Roman" w:hAnsi="Arial" w:cs="Arial"/>
      <w:vanish/>
      <w:sz w:val="16"/>
      <w:szCs w:val="16"/>
      <w:lang w:val="de-DE" w:eastAsia="de-DE"/>
    </w:rPr>
  </w:style>
  <w:style w:type="character" w:customStyle="1" w:styleId="z-BottomofFormChar">
    <w:name w:val="z-Bottom of Form Char"/>
    <w:basedOn w:val="DefaultParagraphFont"/>
    <w:link w:val="z-BottomofForm"/>
    <w:uiPriority w:val="99"/>
    <w:semiHidden/>
    <w:qFormat/>
    <w:rsid w:val="00A96E85"/>
    <w:rPr>
      <w:rFonts w:ascii="Arial" w:eastAsia="Times New Roman" w:hAnsi="Arial" w:cs="Arial"/>
      <w:vanish/>
      <w:sz w:val="16"/>
      <w:szCs w:val="16"/>
      <w:lang w:val="de-DE" w:eastAsia="de-DE"/>
    </w:rPr>
  </w:style>
  <w:style w:type="paragraph" w:styleId="z-BottomofForm">
    <w:name w:val="HTML Bottom of Form"/>
    <w:basedOn w:val="Normal"/>
    <w:next w:val="Normal"/>
    <w:link w:val="z-BottomofFormChar"/>
    <w:hidden/>
    <w:uiPriority w:val="99"/>
    <w:semiHidden/>
    <w:unhideWhenUsed/>
    <w:qFormat/>
    <w:rsid w:val="00A96E85"/>
    <w:pPr>
      <w:pBdr>
        <w:top w:val="single" w:sz="6" w:space="1" w:color="auto"/>
      </w:pBdr>
      <w:spacing w:line="240" w:lineRule="auto"/>
      <w:jc w:val="center"/>
    </w:pPr>
    <w:rPr>
      <w:rFonts w:ascii="Arial" w:eastAsia="Times New Roman" w:hAnsi="Arial" w:cs="Arial"/>
      <w:vanish/>
      <w:sz w:val="16"/>
      <w:szCs w:val="16"/>
      <w:lang w:val="de-DE" w:eastAsia="de-DE"/>
    </w:rPr>
  </w:style>
  <w:style w:type="paragraph" w:styleId="Revision">
    <w:name w:val="Revision"/>
    <w:hidden/>
    <w:uiPriority w:val="99"/>
    <w:semiHidden/>
    <w:qFormat/>
    <w:rsid w:val="00DD5337"/>
    <w:pPr>
      <w:spacing w:after="0" w:line="240" w:lineRule="auto"/>
    </w:pPr>
    <w:rPr>
      <w:rFonts w:ascii="Baskerville Old Face" w:eastAsia="Calibri" w:hAnsi="Baskerville Old Face" w:cs="Calibri"/>
      <w:color w:val="000000"/>
      <w:sz w:val="24"/>
      <w:lang w:val="en-GB" w:eastAsia="en-GB"/>
    </w:rPr>
  </w:style>
  <w:style w:type="character" w:customStyle="1" w:styleId="Heading5Char">
    <w:name w:val="Heading 5 Char"/>
    <w:basedOn w:val="DefaultParagraphFont"/>
    <w:link w:val="Heading5"/>
    <w:uiPriority w:val="9"/>
    <w:qFormat/>
    <w:rsid w:val="00BD1739"/>
    <w:rPr>
      <w:rFonts w:ascii="Calibri" w:eastAsia="MS Mincho" w:hAnsi="Calibri" w:cs="Calibri"/>
      <w:b/>
      <w:lang w:val="fi-FI" w:eastAsia="fi-FI"/>
    </w:rPr>
  </w:style>
  <w:style w:type="paragraph" w:styleId="CommentText">
    <w:name w:val="annotation text"/>
    <w:basedOn w:val="Normal"/>
    <w:link w:val="CommentTextChar"/>
    <w:uiPriority w:val="99"/>
    <w:unhideWhenUsed/>
    <w:qFormat/>
    <w:rsid w:val="00F81BF1"/>
    <w:pPr>
      <w:spacing w:line="240" w:lineRule="auto"/>
    </w:pPr>
    <w:rPr>
      <w:sz w:val="20"/>
      <w:szCs w:val="20"/>
    </w:rPr>
  </w:style>
  <w:style w:type="character" w:customStyle="1" w:styleId="CommentTextChar">
    <w:name w:val="Comment Text Char"/>
    <w:basedOn w:val="DefaultParagraphFont"/>
    <w:link w:val="CommentText"/>
    <w:uiPriority w:val="99"/>
    <w:qFormat/>
    <w:rsid w:val="00F81BF1"/>
    <w:rPr>
      <w:rFonts w:ascii="Charis SIL" w:hAnsi="Charis SIL"/>
      <w:sz w:val="20"/>
      <w:szCs w:val="20"/>
    </w:rPr>
  </w:style>
  <w:style w:type="paragraph" w:styleId="CommentSubject">
    <w:name w:val="annotation subject"/>
    <w:basedOn w:val="CommentText"/>
    <w:next w:val="CommentText"/>
    <w:link w:val="CommentSubjectChar"/>
    <w:uiPriority w:val="99"/>
    <w:semiHidden/>
    <w:unhideWhenUsed/>
    <w:qFormat/>
    <w:rsid w:val="00F81BF1"/>
    <w:rPr>
      <w:b/>
      <w:bCs/>
    </w:rPr>
  </w:style>
  <w:style w:type="character" w:customStyle="1" w:styleId="CommentSubjectChar">
    <w:name w:val="Comment Subject Char"/>
    <w:basedOn w:val="CommentTextChar"/>
    <w:link w:val="CommentSubject"/>
    <w:uiPriority w:val="99"/>
    <w:semiHidden/>
    <w:qFormat/>
    <w:rsid w:val="00F81BF1"/>
    <w:rPr>
      <w:rFonts w:ascii="Charis SIL" w:hAnsi="Charis SIL"/>
      <w:b/>
      <w:bCs/>
      <w:sz w:val="20"/>
      <w:szCs w:val="20"/>
    </w:rPr>
  </w:style>
  <w:style w:type="paragraph" w:styleId="Footer">
    <w:name w:val="footer"/>
    <w:basedOn w:val="Normal"/>
    <w:link w:val="FooterChar"/>
    <w:uiPriority w:val="99"/>
    <w:unhideWhenUsed/>
    <w:rsid w:val="00097855"/>
    <w:pPr>
      <w:tabs>
        <w:tab w:val="center" w:pos="4536"/>
        <w:tab w:val="right" w:pos="9072"/>
      </w:tabs>
      <w:spacing w:line="240" w:lineRule="auto"/>
    </w:pPr>
  </w:style>
  <w:style w:type="character" w:customStyle="1" w:styleId="FooterChar">
    <w:name w:val="Footer Char"/>
    <w:basedOn w:val="DefaultParagraphFont"/>
    <w:link w:val="Footer"/>
    <w:uiPriority w:val="99"/>
    <w:qFormat/>
    <w:rsid w:val="00097855"/>
    <w:rPr>
      <w:rFonts w:ascii="Charis SIL" w:hAnsi="Charis SIL"/>
    </w:rPr>
  </w:style>
  <w:style w:type="paragraph" w:styleId="FootnoteText">
    <w:name w:val="footnote text"/>
    <w:aliases w:val="Lábjegyzetszöveg Char Char Char Char Char Char Char,Lábjegyzetszöveg Char Char Char Char Char Char,Lábjegyzetszöveg Char Char Char Char Char Char Char Char,Lábjegyzetszöveg Char Char Char Char Char"/>
    <w:basedOn w:val="Normal"/>
    <w:link w:val="FootnoteTextChar"/>
    <w:uiPriority w:val="99"/>
    <w:unhideWhenUsed/>
    <w:rsid w:val="0098366C"/>
    <w:pPr>
      <w:spacing w:line="240" w:lineRule="auto"/>
    </w:pPr>
    <w:rPr>
      <w:rFonts w:ascii="Times New Roman" w:hAnsi="Times New Roman" w:cs="Times New Roman"/>
      <w:sz w:val="20"/>
      <w:szCs w:val="20"/>
      <w:lang w:val="fi-FI"/>
    </w:rPr>
  </w:style>
  <w:style w:type="character" w:customStyle="1" w:styleId="FootnoteTextChar">
    <w:name w:val="Footnote Text Char"/>
    <w:aliases w:val="Lábjegyzetszöveg Char Char Char Char Char Char Char Char1,Lábjegyzetszöveg Char Char Char Char Char Char Char1,Lábjegyzetszöveg Char Char Char Char Char Char Char Char Char,Lábjegyzetszöveg Char Char Char Char Char Char1"/>
    <w:basedOn w:val="DefaultParagraphFont"/>
    <w:link w:val="FootnoteText"/>
    <w:uiPriority w:val="99"/>
    <w:qFormat/>
    <w:rsid w:val="0098366C"/>
    <w:rPr>
      <w:rFonts w:ascii="Times New Roman" w:hAnsi="Times New Roman" w:cs="Times New Roman"/>
      <w:sz w:val="20"/>
      <w:szCs w:val="20"/>
      <w:lang w:val="fi-FI"/>
    </w:rPr>
  </w:style>
  <w:style w:type="character" w:styleId="FootnoteReference">
    <w:name w:val="footnote reference"/>
    <w:basedOn w:val="DefaultParagraphFont"/>
    <w:uiPriority w:val="99"/>
    <w:unhideWhenUsed/>
    <w:qFormat/>
    <w:rsid w:val="0098366C"/>
    <w:rPr>
      <w:vertAlign w:val="superscript"/>
    </w:rPr>
  </w:style>
  <w:style w:type="character" w:customStyle="1" w:styleId="a-text-bold">
    <w:name w:val="a-text-bold"/>
    <w:basedOn w:val="DefaultParagraphFont"/>
    <w:qFormat/>
    <w:rsid w:val="005913BE"/>
  </w:style>
  <w:style w:type="paragraph" w:customStyle="1" w:styleId="Irodjegyzk">
    <w:name w:val="Irodjegyzék"/>
    <w:basedOn w:val="Normal"/>
    <w:link w:val="IrodjegyzkChar"/>
    <w:qFormat/>
    <w:rsid w:val="005913BE"/>
    <w:pPr>
      <w:spacing w:before="60" w:line="260" w:lineRule="exact"/>
      <w:ind w:left="284" w:hanging="284"/>
    </w:pPr>
    <w:rPr>
      <w:rFonts w:ascii="Times New Roman" w:eastAsia="Times New Roman" w:hAnsi="Times New Roman" w:cs="Times New Roman"/>
      <w:color w:val="000000"/>
      <w:shd w:val="clear" w:color="auto" w:fill="FFFFFF"/>
      <w:lang w:val="hu-HU" w:eastAsia="hu-HU"/>
    </w:rPr>
  </w:style>
  <w:style w:type="character" w:customStyle="1" w:styleId="IrodjegyzkChar">
    <w:name w:val="Irodjegyzék Char"/>
    <w:basedOn w:val="DefaultParagraphFont"/>
    <w:link w:val="Irodjegyzk"/>
    <w:qFormat/>
    <w:rsid w:val="005913BE"/>
    <w:rPr>
      <w:rFonts w:ascii="Times New Roman" w:eastAsia="Times New Roman" w:hAnsi="Times New Roman" w:cs="Times New Roman"/>
      <w:color w:val="000000"/>
      <w:lang w:val="hu-HU" w:eastAsia="hu-HU"/>
    </w:rPr>
  </w:style>
  <w:style w:type="paragraph" w:styleId="ListParagraph">
    <w:name w:val="List Paragraph"/>
    <w:basedOn w:val="Normal"/>
    <w:uiPriority w:val="34"/>
    <w:qFormat/>
    <w:rsid w:val="005913BE"/>
    <w:pPr>
      <w:spacing w:line="252" w:lineRule="auto"/>
      <w:ind w:left="720"/>
      <w:contextualSpacing/>
    </w:pPr>
    <w:rPr>
      <w:rFonts w:eastAsia="Calibri" w:cs="Calibri"/>
      <w:color w:val="000000"/>
      <w:lang w:val="en-GB" w:eastAsia="en-GB"/>
    </w:rPr>
  </w:style>
  <w:style w:type="table" w:styleId="TableGrid">
    <w:name w:val="Table Grid"/>
    <w:basedOn w:val="TableNormal"/>
    <w:uiPriority w:val="39"/>
    <w:rsid w:val="005913BE"/>
    <w:pPr>
      <w:spacing w:after="0" w:line="240" w:lineRule="auto"/>
    </w:pPr>
    <w:rPr>
      <w:rFonts w:eastAsiaTheme="minorEastAsia"/>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913BE"/>
    <w:rPr>
      <w:i/>
      <w:iCs/>
    </w:rPr>
  </w:style>
  <w:style w:type="character" w:customStyle="1" w:styleId="a-list-item">
    <w:name w:val="a-list-item"/>
    <w:basedOn w:val="DefaultParagraphFont"/>
    <w:qFormat/>
    <w:rsid w:val="005913BE"/>
  </w:style>
  <w:style w:type="character" w:customStyle="1" w:styleId="Funotenanker">
    <w:name w:val="Fußnotenanker"/>
    <w:qFormat/>
    <w:rsid w:val="005913BE"/>
    <w:rPr>
      <w:position w:val="0"/>
      <w:vertAlign w:val="superscript"/>
    </w:rPr>
  </w:style>
  <w:style w:type="paragraph" w:customStyle="1" w:styleId="Norml1">
    <w:name w:val="Normál1"/>
    <w:qFormat/>
    <w:rsid w:val="005913BE"/>
    <w:pPr>
      <w:autoSpaceDN w:val="0"/>
      <w:spacing w:after="0" w:line="240" w:lineRule="auto"/>
    </w:pPr>
    <w:rPr>
      <w:rFonts w:ascii="Liberation Serif" w:eastAsia="AR PL SungtiL GB" w:hAnsi="Liberation Serif" w:cs="Lohit Devanagari"/>
      <w:sz w:val="24"/>
      <w:szCs w:val="24"/>
      <w:lang w:val="de-DE" w:eastAsia="zh-CN" w:bidi="hi-IN"/>
    </w:rPr>
  </w:style>
  <w:style w:type="paragraph" w:customStyle="1" w:styleId="FreieForm">
    <w:name w:val="Freie Form"/>
    <w:qFormat/>
    <w:rsid w:val="005913BE"/>
    <w:pPr>
      <w:autoSpaceDN w:val="0"/>
      <w:spacing w:after="0" w:line="240" w:lineRule="auto"/>
    </w:pPr>
    <w:rPr>
      <w:rFonts w:ascii="Helvetica" w:eastAsia="ヒラギノ角ゴ Pro W3" w:hAnsi="Helvetica" w:cs="Times New Roman"/>
      <w:color w:val="000000"/>
      <w:sz w:val="24"/>
      <w:szCs w:val="20"/>
      <w:lang w:val="de-DE"/>
    </w:rPr>
  </w:style>
  <w:style w:type="character" w:customStyle="1" w:styleId="Internetverknpfung">
    <w:name w:val="Internetverknüpfung"/>
    <w:basedOn w:val="DefaultParagraphFont"/>
    <w:uiPriority w:val="99"/>
    <w:qFormat/>
    <w:rsid w:val="005913BE"/>
    <w:rPr>
      <w:color w:val="0563C1"/>
      <w:u w:val="single"/>
    </w:rPr>
  </w:style>
  <w:style w:type="character" w:customStyle="1" w:styleId="Bekezdsalapbettpusa">
    <w:name w:val="Bekezdés alapbetűtípusa"/>
    <w:qFormat/>
    <w:rsid w:val="005913BE"/>
  </w:style>
  <w:style w:type="paragraph" w:styleId="Caption">
    <w:name w:val="caption"/>
    <w:basedOn w:val="Normal"/>
    <w:next w:val="Normal"/>
    <w:qFormat/>
    <w:rsid w:val="005913BE"/>
    <w:pPr>
      <w:spacing w:line="240" w:lineRule="auto"/>
    </w:pPr>
    <w:rPr>
      <w:rFonts w:ascii="Times New Roman" w:eastAsia="Times New Roman" w:hAnsi="Times New Roman" w:cs="Times New Roman"/>
      <w:b/>
      <w:bCs/>
      <w:sz w:val="20"/>
      <w:szCs w:val="20"/>
      <w:lang w:val="hu-HU" w:eastAsia="hu-HU"/>
    </w:rPr>
  </w:style>
  <w:style w:type="paragraph" w:styleId="NoSpacing">
    <w:name w:val="No Spacing"/>
    <w:aliases w:val="Példa1"/>
    <w:basedOn w:val="Normal"/>
    <w:uiPriority w:val="1"/>
    <w:qFormat/>
    <w:rsid w:val="005913BE"/>
    <w:pPr>
      <w:spacing w:before="120" w:line="320" w:lineRule="exact"/>
      <w:ind w:left="851"/>
    </w:pPr>
    <w:rPr>
      <w:rFonts w:ascii="Times New Roman" w:eastAsia="Times New Roman" w:hAnsi="Times New Roman" w:cs="Times New Roman"/>
      <w:iCs/>
      <w:szCs w:val="24"/>
      <w:lang w:val="hu-HU" w:eastAsia="hu-HU"/>
    </w:rPr>
  </w:style>
  <w:style w:type="paragraph" w:customStyle="1" w:styleId="Lbjegyzet1">
    <w:name w:val="Lábjegyzet_1"/>
    <w:basedOn w:val="FootnoteText"/>
    <w:link w:val="Lbjegyzet1Char"/>
    <w:qFormat/>
    <w:rsid w:val="005913BE"/>
    <w:rPr>
      <w:rFonts w:eastAsia="Times New Roman"/>
      <w:lang w:val="hu-HU" w:eastAsia="hu-HU"/>
    </w:rPr>
  </w:style>
  <w:style w:type="character" w:customStyle="1" w:styleId="Lbjegyzet1Char">
    <w:name w:val="Lábjegyzet_1 Char"/>
    <w:basedOn w:val="FootnoteTextChar"/>
    <w:link w:val="Lbjegyzet1"/>
    <w:qFormat/>
    <w:rsid w:val="005913BE"/>
    <w:rPr>
      <w:rFonts w:ascii="Times New Roman" w:eastAsia="Times New Roman" w:hAnsi="Times New Roman" w:cs="Times New Roman"/>
      <w:sz w:val="20"/>
      <w:szCs w:val="20"/>
      <w:lang w:val="hu-HU" w:eastAsia="hu-HU"/>
    </w:rPr>
  </w:style>
  <w:style w:type="paragraph" w:customStyle="1" w:styleId="Bek05">
    <w:name w:val="Bek_05"/>
    <w:basedOn w:val="Normal"/>
    <w:link w:val="Bek05Char"/>
    <w:qFormat/>
    <w:rsid w:val="005913BE"/>
    <w:pPr>
      <w:tabs>
        <w:tab w:val="left" w:pos="7592"/>
      </w:tabs>
      <w:spacing w:before="120" w:line="260" w:lineRule="exact"/>
      <w:ind w:firstLine="284"/>
    </w:pPr>
    <w:rPr>
      <w:rFonts w:ascii="Times New Roman" w:eastAsia="Times New Roman" w:hAnsi="Times New Roman" w:cs="Times New Roman"/>
      <w:lang w:val="hu-HU" w:eastAsia="hu-HU"/>
    </w:rPr>
  </w:style>
  <w:style w:type="character" w:customStyle="1" w:styleId="Bek05Char">
    <w:name w:val="Bek_05 Char"/>
    <w:basedOn w:val="DefaultParagraphFont"/>
    <w:link w:val="Bek05"/>
    <w:qFormat/>
    <w:rsid w:val="005913BE"/>
    <w:rPr>
      <w:rFonts w:ascii="Times New Roman" w:eastAsia="Times New Roman" w:hAnsi="Times New Roman" w:cs="Times New Roman"/>
      <w:lang w:val="hu-HU" w:eastAsia="hu-HU"/>
    </w:rPr>
  </w:style>
  <w:style w:type="paragraph" w:customStyle="1" w:styleId="Bek00">
    <w:name w:val="Bek_00"/>
    <w:basedOn w:val="Normal"/>
    <w:link w:val="Bek00Char"/>
    <w:qFormat/>
    <w:rsid w:val="005913BE"/>
    <w:pPr>
      <w:tabs>
        <w:tab w:val="left" w:pos="7592"/>
      </w:tabs>
      <w:spacing w:line="260" w:lineRule="exact"/>
      <w:ind w:firstLine="284"/>
    </w:pPr>
    <w:rPr>
      <w:rFonts w:ascii="Times New Roman" w:eastAsia="Times New Roman" w:hAnsi="Times New Roman" w:cs="Times New Roman"/>
      <w:lang w:val="hu-HU" w:eastAsia="hu-HU"/>
    </w:rPr>
  </w:style>
  <w:style w:type="character" w:customStyle="1" w:styleId="Bek00Char">
    <w:name w:val="Bek_00 Char"/>
    <w:basedOn w:val="DefaultParagraphFont"/>
    <w:link w:val="Bek00"/>
    <w:qFormat/>
    <w:rsid w:val="005913BE"/>
    <w:rPr>
      <w:rFonts w:ascii="Times New Roman" w:eastAsia="Times New Roman" w:hAnsi="Times New Roman" w:cs="Times New Roman"/>
      <w:lang w:val="hu-HU" w:eastAsia="hu-HU"/>
    </w:rPr>
  </w:style>
  <w:style w:type="paragraph" w:customStyle="1" w:styleId="BekPld">
    <w:name w:val="Bek_Pld"/>
    <w:basedOn w:val="Normal"/>
    <w:link w:val="BekPldChar"/>
    <w:qFormat/>
    <w:rsid w:val="005913BE"/>
    <w:pPr>
      <w:tabs>
        <w:tab w:val="left" w:pos="8280"/>
      </w:tabs>
      <w:spacing w:before="120" w:line="260" w:lineRule="exact"/>
      <w:ind w:left="720" w:right="794"/>
    </w:pPr>
    <w:rPr>
      <w:rFonts w:ascii="Times New Roman" w:eastAsia="Times New Roman" w:hAnsi="Times New Roman" w:cs="Times New Roman"/>
      <w:lang w:val="hu-HU" w:eastAsia="hu-HU"/>
    </w:rPr>
  </w:style>
  <w:style w:type="character" w:customStyle="1" w:styleId="BekPldChar">
    <w:name w:val="Bek_Pld Char"/>
    <w:basedOn w:val="DefaultParagraphFont"/>
    <w:link w:val="BekPld"/>
    <w:qFormat/>
    <w:rsid w:val="005913BE"/>
    <w:rPr>
      <w:rFonts w:ascii="Times New Roman" w:eastAsia="Times New Roman" w:hAnsi="Times New Roman" w:cs="Times New Roman"/>
      <w:lang w:val="hu-HU" w:eastAsia="hu-HU"/>
    </w:rPr>
  </w:style>
  <w:style w:type="paragraph" w:styleId="BalloonText">
    <w:name w:val="Balloon Text"/>
    <w:basedOn w:val="Normal"/>
    <w:link w:val="BalloonTextChar"/>
    <w:uiPriority w:val="99"/>
    <w:semiHidden/>
    <w:unhideWhenUsed/>
    <w:qFormat/>
    <w:rsid w:val="005913BE"/>
    <w:pPr>
      <w:spacing w:line="240" w:lineRule="auto"/>
    </w:pPr>
    <w:rPr>
      <w:rFonts w:ascii="Segoe UI" w:eastAsia="Times New Roman" w:hAnsi="Segoe UI" w:cs="Segoe UI"/>
      <w:sz w:val="18"/>
      <w:szCs w:val="18"/>
      <w:lang w:val="hu-HU" w:eastAsia="hu-HU"/>
    </w:rPr>
  </w:style>
  <w:style w:type="character" w:customStyle="1" w:styleId="BalloonTextChar">
    <w:name w:val="Balloon Text Char"/>
    <w:basedOn w:val="DefaultParagraphFont"/>
    <w:link w:val="BalloonText"/>
    <w:uiPriority w:val="99"/>
    <w:semiHidden/>
    <w:qFormat/>
    <w:rsid w:val="005913BE"/>
    <w:rPr>
      <w:rFonts w:ascii="Segoe UI" w:eastAsia="Times New Roman" w:hAnsi="Segoe UI" w:cs="Segoe UI"/>
      <w:sz w:val="18"/>
      <w:szCs w:val="18"/>
      <w:lang w:val="hu-HU" w:eastAsia="hu-HU"/>
    </w:rPr>
  </w:style>
  <w:style w:type="paragraph" w:styleId="Header">
    <w:name w:val="header"/>
    <w:basedOn w:val="Normal"/>
    <w:link w:val="HeaderChar"/>
    <w:uiPriority w:val="99"/>
    <w:unhideWhenUsed/>
    <w:rsid w:val="005913BE"/>
    <w:pPr>
      <w:tabs>
        <w:tab w:val="center" w:pos="4536"/>
        <w:tab w:val="right" w:pos="9072"/>
      </w:tabs>
      <w:spacing w:line="240" w:lineRule="auto"/>
    </w:pPr>
    <w:rPr>
      <w:rFonts w:ascii="Times New Roman" w:eastAsia="Times New Roman" w:hAnsi="Times New Roman" w:cs="Times New Roman"/>
      <w:szCs w:val="24"/>
      <w:lang w:val="hu-HU" w:eastAsia="hu-HU"/>
    </w:rPr>
  </w:style>
  <w:style w:type="character" w:customStyle="1" w:styleId="HeaderChar">
    <w:name w:val="Header Char"/>
    <w:basedOn w:val="DefaultParagraphFont"/>
    <w:link w:val="Header"/>
    <w:uiPriority w:val="99"/>
    <w:qFormat/>
    <w:rsid w:val="005913BE"/>
    <w:rPr>
      <w:rFonts w:ascii="Times New Roman" w:eastAsia="Times New Roman" w:hAnsi="Times New Roman" w:cs="Times New Roman"/>
      <w:szCs w:val="24"/>
      <w:lang w:val="hu-HU" w:eastAsia="hu-HU"/>
    </w:rPr>
  </w:style>
  <w:style w:type="character" w:styleId="FollowedHyperlink">
    <w:name w:val="FollowedHyperlink"/>
    <w:basedOn w:val="DefaultParagraphFont"/>
    <w:uiPriority w:val="99"/>
    <w:semiHidden/>
    <w:unhideWhenUsed/>
    <w:rsid w:val="005913BE"/>
    <w:rPr>
      <w:color w:val="954F72" w:themeColor="followedHyperlink"/>
      <w:u w:val="single"/>
    </w:rPr>
  </w:style>
  <w:style w:type="character" w:customStyle="1" w:styleId="Funotenzeichen2">
    <w:name w:val="Fußnotenzeichen2"/>
    <w:rsid w:val="005913BE"/>
  </w:style>
  <w:style w:type="paragraph" w:customStyle="1" w:styleId="Tabelleninhalt">
    <w:name w:val="Tabelleninhalt"/>
    <w:basedOn w:val="Normal"/>
    <w:qFormat/>
    <w:rsid w:val="005913BE"/>
    <w:pPr>
      <w:suppressLineNumbers/>
      <w:suppressAutoHyphens/>
      <w:spacing w:line="252" w:lineRule="auto"/>
    </w:pPr>
    <w:rPr>
      <w:rFonts w:eastAsia="Calibri" w:cs="Calibri"/>
      <w:color w:val="000000"/>
      <w:lang w:val="en-GB" w:eastAsia="en-GB"/>
    </w:rPr>
  </w:style>
  <w:style w:type="character" w:customStyle="1" w:styleId="UnresolvedMention1">
    <w:name w:val="Unresolved Mention1"/>
    <w:basedOn w:val="DefaultParagraphFont"/>
    <w:uiPriority w:val="99"/>
    <w:semiHidden/>
    <w:unhideWhenUsed/>
    <w:qFormat/>
    <w:rsid w:val="005913BE"/>
    <w:rPr>
      <w:color w:val="605E5C"/>
      <w:shd w:val="clear" w:color="auto" w:fill="E1DFDD"/>
    </w:rPr>
  </w:style>
  <w:style w:type="paragraph" w:styleId="PlainText">
    <w:name w:val="Plain Text"/>
    <w:basedOn w:val="Normal"/>
    <w:link w:val="PlainTextChar"/>
    <w:qFormat/>
    <w:rsid w:val="005913BE"/>
    <w:pPr>
      <w:spacing w:line="240" w:lineRule="auto"/>
    </w:pPr>
    <w:rPr>
      <w:rFonts w:ascii="Courier New" w:eastAsia="Times New Roman" w:hAnsi="Courier New" w:cs="Courier New"/>
      <w:sz w:val="20"/>
      <w:szCs w:val="20"/>
      <w:lang w:val="fr-FR" w:eastAsia="fr-FR"/>
    </w:rPr>
  </w:style>
  <w:style w:type="character" w:customStyle="1" w:styleId="PlainTextChar">
    <w:name w:val="Plain Text Char"/>
    <w:basedOn w:val="DefaultParagraphFont"/>
    <w:link w:val="PlainText"/>
    <w:qFormat/>
    <w:rsid w:val="005913BE"/>
    <w:rPr>
      <w:rFonts w:ascii="Courier New" w:eastAsia="Times New Roman" w:hAnsi="Courier New" w:cs="Courier New"/>
      <w:sz w:val="20"/>
      <w:szCs w:val="20"/>
      <w:lang w:val="fr-FR" w:eastAsia="fr-FR"/>
    </w:rPr>
  </w:style>
  <w:style w:type="paragraph" w:customStyle="1" w:styleId="Headword">
    <w:name w:val="Headword"/>
    <w:basedOn w:val="Normal"/>
    <w:link w:val="HeadwordChar"/>
    <w:qFormat/>
    <w:rsid w:val="005913BE"/>
    <w:pPr>
      <w:spacing w:line="240" w:lineRule="auto"/>
    </w:pPr>
    <w:rPr>
      <w:rFonts w:ascii="DejaVu Serif" w:eastAsia="Times New Roman" w:hAnsi="DejaVu Serif" w:cs="Times New Roman"/>
      <w:b/>
      <w:color w:val="FF0000"/>
      <w:szCs w:val="24"/>
      <w:lang w:val="et-EE" w:eastAsia="de-AT"/>
    </w:rPr>
  </w:style>
  <w:style w:type="character" w:customStyle="1" w:styleId="HeadwordChar">
    <w:name w:val="Headword Char"/>
    <w:link w:val="Headword"/>
    <w:qFormat/>
    <w:rsid w:val="005913BE"/>
    <w:rPr>
      <w:rFonts w:ascii="DejaVu Serif" w:eastAsia="Times New Roman" w:hAnsi="DejaVu Serif" w:cs="Times New Roman"/>
      <w:b/>
      <w:color w:val="FF0000"/>
      <w:szCs w:val="24"/>
      <w:lang w:val="et-EE" w:eastAsia="de-AT"/>
    </w:rPr>
  </w:style>
  <w:style w:type="paragraph" w:customStyle="1" w:styleId="Other">
    <w:name w:val="Other"/>
    <w:basedOn w:val="Normal"/>
    <w:link w:val="OtherChar"/>
    <w:qFormat/>
    <w:rsid w:val="005913BE"/>
    <w:pPr>
      <w:spacing w:line="240" w:lineRule="auto"/>
    </w:pPr>
    <w:rPr>
      <w:rFonts w:ascii="DejaVu Serif" w:eastAsia="Times New Roman" w:hAnsi="DejaVu Serif" w:cs="Times New Roman"/>
      <w:i/>
      <w:color w:val="0000FF"/>
      <w:szCs w:val="24"/>
      <w:lang w:val="et-EE" w:eastAsia="de-AT"/>
    </w:rPr>
  </w:style>
  <w:style w:type="character" w:customStyle="1" w:styleId="OtherChar">
    <w:name w:val="Other Char"/>
    <w:link w:val="Other"/>
    <w:qFormat/>
    <w:rsid w:val="005913BE"/>
    <w:rPr>
      <w:rFonts w:ascii="DejaVu Serif" w:eastAsia="Times New Roman" w:hAnsi="DejaVu Serif" w:cs="Times New Roman"/>
      <w:i/>
      <w:color w:val="0000FF"/>
      <w:szCs w:val="24"/>
      <w:lang w:val="et-EE" w:eastAsia="de-AT"/>
    </w:rPr>
  </w:style>
  <w:style w:type="paragraph" w:customStyle="1" w:styleId="English">
    <w:name w:val="English"/>
    <w:basedOn w:val="Normal"/>
    <w:link w:val="EnglishChar"/>
    <w:qFormat/>
    <w:rsid w:val="005913BE"/>
    <w:pPr>
      <w:spacing w:line="240" w:lineRule="auto"/>
    </w:pPr>
    <w:rPr>
      <w:rFonts w:ascii="DejaVu Serif" w:eastAsia="Times New Roman" w:hAnsi="DejaVu Serif" w:cs="Times New Roman"/>
      <w:color w:val="CC99FF"/>
      <w:szCs w:val="24"/>
      <w:lang w:eastAsia="de-AT"/>
    </w:rPr>
  </w:style>
  <w:style w:type="character" w:customStyle="1" w:styleId="EnglishChar">
    <w:name w:val="English Char"/>
    <w:link w:val="English"/>
    <w:qFormat/>
    <w:rsid w:val="005913BE"/>
    <w:rPr>
      <w:rFonts w:ascii="DejaVu Serif" w:eastAsia="Times New Roman" w:hAnsi="DejaVu Serif" w:cs="Times New Roman"/>
      <w:color w:val="CC99FF"/>
      <w:szCs w:val="24"/>
      <w:lang w:eastAsia="de-AT"/>
    </w:rPr>
  </w:style>
  <w:style w:type="paragraph" w:styleId="NormalWeb">
    <w:name w:val="Normal (Web)"/>
    <w:basedOn w:val="Normal"/>
    <w:uiPriority w:val="99"/>
    <w:unhideWhenUsed/>
    <w:qFormat/>
    <w:rsid w:val="005913BE"/>
    <w:pPr>
      <w:spacing w:before="100" w:beforeAutospacing="1" w:after="100" w:afterAutospacing="1" w:line="240" w:lineRule="auto"/>
    </w:pPr>
    <w:rPr>
      <w:rFonts w:ascii="Times New Roman" w:hAnsi="Times New Roman" w:cs="Times New Roman"/>
      <w:szCs w:val="24"/>
      <w:lang w:val="de-DE" w:bidi="ne-NP"/>
    </w:rPr>
  </w:style>
  <w:style w:type="paragraph" w:customStyle="1" w:styleId="Szovegnormal">
    <w:name w:val="Szoveg normal"/>
    <w:next w:val="Szovegnormalbeelso"/>
    <w:link w:val="SzovegnormalChar"/>
    <w:qFormat/>
    <w:rsid w:val="005913BE"/>
    <w:pPr>
      <w:spacing w:after="0" w:line="360" w:lineRule="auto"/>
      <w:jc w:val="both"/>
    </w:pPr>
    <w:rPr>
      <w:rFonts w:ascii="Book Antiqua" w:eastAsia="Times New Roman" w:hAnsi="Book Antiqua" w:cs="Times New Roman"/>
      <w:sz w:val="20"/>
      <w:szCs w:val="20"/>
      <w:lang w:val="en-US" w:eastAsia="hu-HU"/>
    </w:rPr>
  </w:style>
  <w:style w:type="paragraph" w:customStyle="1" w:styleId="Szovegnormalbeelso">
    <w:name w:val="Szoveg normal be elso"/>
    <w:basedOn w:val="Szovegnormal"/>
    <w:link w:val="SzovegnormalbeelsoChar"/>
    <w:qFormat/>
    <w:rsid w:val="005913BE"/>
    <w:pPr>
      <w:ind w:firstLine="709"/>
    </w:pPr>
    <w:rPr>
      <w:rFonts w:cs="Book Antiqua"/>
    </w:rPr>
  </w:style>
  <w:style w:type="character" w:customStyle="1" w:styleId="SzovegnormalbeelsoChar">
    <w:name w:val="Szoveg normal be elso Char"/>
    <w:link w:val="Szovegnormalbeelso"/>
    <w:qFormat/>
    <w:locked/>
    <w:rsid w:val="005913BE"/>
    <w:rPr>
      <w:rFonts w:ascii="Book Antiqua" w:eastAsia="Times New Roman" w:hAnsi="Book Antiqua" w:cs="Book Antiqua"/>
      <w:sz w:val="20"/>
      <w:szCs w:val="20"/>
      <w:lang w:val="en-US" w:eastAsia="hu-HU"/>
    </w:rPr>
  </w:style>
  <w:style w:type="character" w:customStyle="1" w:styleId="SzovegnormalChar">
    <w:name w:val="Szoveg normal Char"/>
    <w:link w:val="Szovegnormal"/>
    <w:qFormat/>
    <w:locked/>
    <w:rsid w:val="005913BE"/>
    <w:rPr>
      <w:rFonts w:ascii="Book Antiqua" w:eastAsia="Times New Roman" w:hAnsi="Book Antiqua" w:cs="Times New Roman"/>
      <w:sz w:val="20"/>
      <w:szCs w:val="20"/>
      <w:lang w:val="en-US" w:eastAsia="hu-HU"/>
    </w:rPr>
  </w:style>
  <w:style w:type="character" w:customStyle="1" w:styleId="word">
    <w:name w:val="word"/>
    <w:basedOn w:val="DefaultParagraphFont"/>
    <w:qFormat/>
    <w:rsid w:val="005913BE"/>
  </w:style>
  <w:style w:type="character" w:customStyle="1" w:styleId="para">
    <w:name w:val="para"/>
    <w:basedOn w:val="DefaultParagraphFont"/>
    <w:qFormat/>
    <w:rsid w:val="005913BE"/>
  </w:style>
  <w:style w:type="character" w:customStyle="1" w:styleId="viiyi">
    <w:name w:val="viiyi"/>
    <w:basedOn w:val="DefaultParagraphFont"/>
    <w:qFormat/>
    <w:rsid w:val="005913BE"/>
  </w:style>
  <w:style w:type="character" w:customStyle="1" w:styleId="jlqj4b">
    <w:name w:val="jlqj4b"/>
    <w:basedOn w:val="DefaultParagraphFont"/>
    <w:qFormat/>
    <w:rsid w:val="005913BE"/>
  </w:style>
  <w:style w:type="paragraph" w:customStyle="1" w:styleId="citationtext">
    <w:name w:val="citationtext"/>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text-node">
    <w:name w:val="text-node"/>
    <w:basedOn w:val="DefaultParagraphFont"/>
    <w:qFormat/>
    <w:rsid w:val="005913BE"/>
  </w:style>
  <w:style w:type="character" w:customStyle="1" w:styleId="citation-widgetcitation">
    <w:name w:val="citation-widget__citation"/>
    <w:basedOn w:val="DefaultParagraphFont"/>
    <w:qFormat/>
    <w:rsid w:val="005913BE"/>
  </w:style>
  <w:style w:type="character" w:styleId="Strong">
    <w:name w:val="Strong"/>
    <w:basedOn w:val="DefaultParagraphFont"/>
    <w:uiPriority w:val="22"/>
    <w:qFormat/>
    <w:rsid w:val="005913BE"/>
    <w:rPr>
      <w:b/>
      <w:bCs/>
    </w:rPr>
  </w:style>
  <w:style w:type="paragraph" w:customStyle="1" w:styleId="aunews-single-subheader">
    <w:name w:val="au_news-single-subheader"/>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aunews-legend">
    <w:name w:val="au_news-legend"/>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aunews-single-date">
    <w:name w:val="au_news-single-date"/>
    <w:basedOn w:val="DefaultParagraphFont"/>
    <w:qFormat/>
    <w:rsid w:val="005913BE"/>
  </w:style>
  <w:style w:type="character" w:customStyle="1" w:styleId="aunews-single-author">
    <w:name w:val="aunews-single-author"/>
    <w:basedOn w:val="DefaultParagraphFont"/>
    <w:qFormat/>
    <w:rsid w:val="005913BE"/>
  </w:style>
  <w:style w:type="paragraph" w:customStyle="1" w:styleId="aunews-single-imgcaption">
    <w:name w:val="au_news-single-imgcaption"/>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breadcrumb-item">
    <w:name w:val="breadcrumb-item"/>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activity">
    <w:name w:val="activity"/>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instancename">
    <w:name w:val="instancename"/>
    <w:basedOn w:val="DefaultParagraphFont"/>
    <w:qFormat/>
    <w:rsid w:val="005913BE"/>
  </w:style>
  <w:style w:type="character" w:customStyle="1" w:styleId="accesshide">
    <w:name w:val="accesshide"/>
    <w:basedOn w:val="DefaultParagraphFont"/>
    <w:qFormat/>
    <w:rsid w:val="005913BE"/>
  </w:style>
  <w:style w:type="character" w:customStyle="1" w:styleId="ng-binding">
    <w:name w:val="ng-binding"/>
    <w:basedOn w:val="DefaultParagraphFont"/>
    <w:qFormat/>
    <w:rsid w:val="005913BE"/>
  </w:style>
  <w:style w:type="character" w:customStyle="1" w:styleId="w">
    <w:name w:val="w"/>
    <w:basedOn w:val="DefaultParagraphFont"/>
    <w:qFormat/>
    <w:rsid w:val="005913BE"/>
  </w:style>
  <w:style w:type="character" w:customStyle="1" w:styleId="metrics-score">
    <w:name w:val="metrics-score"/>
    <w:basedOn w:val="DefaultParagraphFont"/>
    <w:qFormat/>
    <w:rsid w:val="005913BE"/>
  </w:style>
  <w:style w:type="character" w:customStyle="1" w:styleId="rsbtntext">
    <w:name w:val="rsbtn_text"/>
    <w:basedOn w:val="DefaultParagraphFont"/>
    <w:qFormat/>
    <w:rsid w:val="005913BE"/>
  </w:style>
  <w:style w:type="character" w:customStyle="1" w:styleId="rsbtnbtnlabel">
    <w:name w:val="rsbtn_btnlabel"/>
    <w:basedOn w:val="DefaultParagraphFont"/>
    <w:qFormat/>
    <w:rsid w:val="005913BE"/>
  </w:style>
  <w:style w:type="character" w:customStyle="1" w:styleId="nlmarticle-title">
    <w:name w:val="nlm_article-title"/>
    <w:basedOn w:val="DefaultParagraphFont"/>
    <w:qFormat/>
    <w:rsid w:val="005913BE"/>
  </w:style>
  <w:style w:type="character" w:customStyle="1" w:styleId="contribdegrees">
    <w:name w:val="contribdegrees"/>
    <w:basedOn w:val="DefaultParagraphFont"/>
    <w:qFormat/>
    <w:rsid w:val="005913BE"/>
  </w:style>
  <w:style w:type="paragraph" w:customStyle="1" w:styleId="downloadcitations">
    <w:name w:val="downloadcitations"/>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dx-doi">
    <w:name w:val="dx-doi"/>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crossmark">
    <w:name w:val="cross_mark"/>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off-screen">
    <w:name w:val="off-screen"/>
    <w:basedOn w:val="DefaultParagraphFont"/>
    <w:qFormat/>
    <w:rsid w:val="005913BE"/>
  </w:style>
  <w:style w:type="paragraph" w:customStyle="1" w:styleId="v1msonormal">
    <w:name w:val="v1msonormal"/>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number">
    <w:name w:val="number"/>
    <w:basedOn w:val="DefaultParagraphFont"/>
    <w:qFormat/>
    <w:rsid w:val="005913BE"/>
  </w:style>
  <w:style w:type="character" w:customStyle="1" w:styleId="what">
    <w:name w:val="what"/>
    <w:basedOn w:val="DefaultParagraphFont"/>
    <w:qFormat/>
    <w:rsid w:val="005913BE"/>
  </w:style>
  <w:style w:type="character" w:customStyle="1" w:styleId="when">
    <w:name w:val="when"/>
    <w:basedOn w:val="DefaultParagraphFont"/>
    <w:qFormat/>
    <w:rsid w:val="005913BE"/>
  </w:style>
  <w:style w:type="character" w:customStyle="1" w:styleId="ects">
    <w:name w:val="ects"/>
    <w:basedOn w:val="DefaultParagraphFont"/>
    <w:qFormat/>
    <w:rsid w:val="005913BE"/>
  </w:style>
  <w:style w:type="character" w:customStyle="1" w:styleId="sws">
    <w:name w:val="sws"/>
    <w:basedOn w:val="DefaultParagraphFont"/>
    <w:qFormat/>
    <w:rsid w:val="005913BE"/>
  </w:style>
  <w:style w:type="character" w:customStyle="1" w:styleId="day-date-time">
    <w:name w:val="day-date-time"/>
    <w:basedOn w:val="DefaultParagraphFont"/>
    <w:qFormat/>
    <w:rsid w:val="005913BE"/>
  </w:style>
  <w:style w:type="character" w:customStyle="1" w:styleId="rooms">
    <w:name w:val="rooms"/>
    <w:basedOn w:val="DefaultParagraphFont"/>
    <w:qFormat/>
    <w:rsid w:val="005913BE"/>
  </w:style>
  <w:style w:type="character" w:customStyle="1" w:styleId="sspoutputtextvalue">
    <w:name w:val="sspoutputtextvalue"/>
    <w:basedOn w:val="DefaultParagraphFont"/>
    <w:qFormat/>
    <w:rsid w:val="005913BE"/>
  </w:style>
  <w:style w:type="character" w:customStyle="1" w:styleId="ksf-image-photographer">
    <w:name w:val="ksf-image-photographer"/>
    <w:basedOn w:val="DefaultParagraphFont"/>
    <w:qFormat/>
    <w:rsid w:val="005913BE"/>
  </w:style>
  <w:style w:type="paragraph" w:customStyle="1" w:styleId="byline">
    <w:name w:val="byline"/>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byline1">
    <w:name w:val="byline1"/>
    <w:basedOn w:val="DefaultParagraphFont"/>
    <w:qFormat/>
    <w:rsid w:val="005913BE"/>
  </w:style>
  <w:style w:type="character" w:customStyle="1" w:styleId="times">
    <w:name w:val="times"/>
    <w:basedOn w:val="DefaultParagraphFont"/>
    <w:qFormat/>
    <w:rsid w:val="005913BE"/>
  </w:style>
  <w:style w:type="paragraph" w:customStyle="1" w:styleId="ingress">
    <w:name w:val="ingress"/>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label">
    <w:name w:val="label"/>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premium-badge">
    <w:name w:val="premium-badge"/>
    <w:basedOn w:val="DefaultParagraphFont"/>
    <w:qFormat/>
    <w:rsid w:val="005913BE"/>
  </w:style>
  <w:style w:type="character" w:customStyle="1" w:styleId="pubdate">
    <w:name w:val="pubdate"/>
    <w:basedOn w:val="DefaultParagraphFont"/>
    <w:qFormat/>
    <w:rsid w:val="005913BE"/>
  </w:style>
  <w:style w:type="paragraph" w:customStyle="1" w:styleId="post-author">
    <w:name w:val="post-author"/>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excerpt">
    <w:name w:val="excerpt"/>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color-gunmetal">
    <w:name w:val="color-gunmetal"/>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color-black">
    <w:name w:val="color-black"/>
    <w:basedOn w:val="DefaultParagraphFont"/>
    <w:qFormat/>
    <w:rsid w:val="005913BE"/>
  </w:style>
  <w:style w:type="paragraph" w:customStyle="1" w:styleId="mb-3">
    <w:name w:val="mb-3"/>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ml-2">
    <w:name w:val="ml-2"/>
    <w:basedOn w:val="DefaultParagraphFont"/>
    <w:qFormat/>
    <w:rsid w:val="005913BE"/>
  </w:style>
  <w:style w:type="character" w:customStyle="1" w:styleId="text-bold">
    <w:name w:val="text-bold"/>
    <w:basedOn w:val="DefaultParagraphFont"/>
    <w:qFormat/>
    <w:rsid w:val="005913BE"/>
  </w:style>
  <w:style w:type="character" w:customStyle="1" w:styleId="text-18">
    <w:name w:val="text-18"/>
    <w:basedOn w:val="DefaultParagraphFont"/>
    <w:qFormat/>
    <w:rsid w:val="005913BE"/>
  </w:style>
  <w:style w:type="character" w:customStyle="1" w:styleId="rate-name">
    <w:name w:val="rate-name"/>
    <w:basedOn w:val="DefaultParagraphFont"/>
    <w:qFormat/>
    <w:rsid w:val="005913BE"/>
  </w:style>
  <w:style w:type="character" w:customStyle="1" w:styleId="totalcash">
    <w:name w:val="total__cash"/>
    <w:basedOn w:val="DefaultParagraphFont"/>
    <w:qFormat/>
    <w:rsid w:val="005913BE"/>
  </w:style>
  <w:style w:type="paragraph" w:customStyle="1" w:styleId="null">
    <w:name w:val="null"/>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paragraph" w:customStyle="1" w:styleId="entry">
    <w:name w:val="entry"/>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pre-line">
    <w:name w:val="pre-line"/>
    <w:basedOn w:val="DefaultParagraphFont"/>
    <w:qFormat/>
    <w:rsid w:val="005913BE"/>
  </w:style>
  <w:style w:type="character" w:customStyle="1" w:styleId="hidden-xs">
    <w:name w:val="hidden-xs"/>
    <w:basedOn w:val="DefaultParagraphFont"/>
    <w:qFormat/>
    <w:rsid w:val="005913BE"/>
  </w:style>
  <w:style w:type="character" w:customStyle="1" w:styleId="kategorisieren">
    <w:name w:val="kategorisieren"/>
    <w:basedOn w:val="DefaultParagraphFont"/>
    <w:qFormat/>
    <w:rsid w:val="005913BE"/>
  </w:style>
  <w:style w:type="character" w:customStyle="1" w:styleId="amount">
    <w:name w:val="amount"/>
    <w:basedOn w:val="DefaultParagraphFont"/>
    <w:qFormat/>
    <w:rsid w:val="005913BE"/>
  </w:style>
  <w:style w:type="character" w:customStyle="1" w:styleId="default-amount">
    <w:name w:val="default-amount"/>
    <w:basedOn w:val="DefaultParagraphFont"/>
    <w:qFormat/>
    <w:rsid w:val="005913BE"/>
  </w:style>
  <w:style w:type="character" w:customStyle="1" w:styleId="default-currency">
    <w:name w:val="default-currency"/>
    <w:basedOn w:val="DefaultParagraphFont"/>
    <w:qFormat/>
    <w:rsid w:val="005913BE"/>
  </w:style>
  <w:style w:type="paragraph" w:customStyle="1" w:styleId="group">
    <w:name w:val="group"/>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right">
    <w:name w:val="right"/>
    <w:basedOn w:val="DefaultParagraphFont"/>
    <w:qFormat/>
    <w:rsid w:val="005913BE"/>
  </w:style>
  <w:style w:type="paragraph" w:customStyle="1" w:styleId="head">
    <w:name w:val="head"/>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sr-only">
    <w:name w:val="sr-only"/>
    <w:basedOn w:val="DefaultParagraphFont"/>
    <w:qFormat/>
    <w:rsid w:val="005913BE"/>
  </w:style>
  <w:style w:type="paragraph" w:customStyle="1" w:styleId="author-excerpt">
    <w:name w:val="author-excerpt"/>
    <w:basedOn w:val="Normal"/>
    <w:qFormat/>
    <w:rsid w:val="005913BE"/>
    <w:pPr>
      <w:spacing w:before="100" w:beforeAutospacing="1" w:after="100" w:afterAutospacing="1" w:line="240" w:lineRule="auto"/>
    </w:pPr>
    <w:rPr>
      <w:rFonts w:ascii="Times New Roman" w:eastAsia="Times New Roman" w:hAnsi="Times New Roman" w:cs="Times New Roman"/>
      <w:szCs w:val="24"/>
      <w:lang w:val="de-DE" w:eastAsia="de-DE"/>
    </w:rPr>
  </w:style>
  <w:style w:type="character" w:customStyle="1" w:styleId="mw-headline">
    <w:name w:val="mw-headline"/>
    <w:basedOn w:val="DefaultParagraphFont"/>
    <w:qFormat/>
    <w:rsid w:val="005913BE"/>
  </w:style>
  <w:style w:type="character" w:customStyle="1" w:styleId="reference-text">
    <w:name w:val="reference-text"/>
    <w:basedOn w:val="DefaultParagraphFont"/>
    <w:qFormat/>
    <w:rsid w:val="005913BE"/>
  </w:style>
  <w:style w:type="character" w:customStyle="1" w:styleId="beskrivning">
    <w:name w:val="beskrivning"/>
    <w:basedOn w:val="DefaultParagraphFont"/>
    <w:qFormat/>
    <w:rsid w:val="005913BE"/>
  </w:style>
  <w:style w:type="character" w:customStyle="1" w:styleId="producttitlemain-part">
    <w:name w:val="product__title__main-part"/>
    <w:basedOn w:val="DefaultParagraphFont"/>
    <w:qFormat/>
    <w:rsid w:val="005913BE"/>
  </w:style>
  <w:style w:type="character" w:customStyle="1" w:styleId="producttitledelimiter">
    <w:name w:val="product__title__delimiter"/>
    <w:basedOn w:val="DefaultParagraphFont"/>
    <w:qFormat/>
    <w:rsid w:val="005913BE"/>
  </w:style>
  <w:style w:type="character" w:customStyle="1" w:styleId="producttitleformat">
    <w:name w:val="product__title__format"/>
    <w:basedOn w:val="DefaultParagraphFont"/>
    <w:qFormat/>
    <w:rsid w:val="005913BE"/>
  </w:style>
  <w:style w:type="character" w:customStyle="1" w:styleId="producttitleattributes">
    <w:name w:val="product__title__attributes"/>
    <w:basedOn w:val="DefaultParagraphFont"/>
    <w:qFormat/>
    <w:rsid w:val="005913BE"/>
  </w:style>
  <w:style w:type="character" w:customStyle="1" w:styleId="productstand-alone-attributename">
    <w:name w:val="product__stand-alone-attribute__name"/>
    <w:basedOn w:val="DefaultParagraphFont"/>
    <w:qFormat/>
    <w:rsid w:val="005913BE"/>
  </w:style>
  <w:style w:type="character" w:customStyle="1" w:styleId="productstand-alone-attributevaluesvalue">
    <w:name w:val="product__stand-alone-attribute__values__value"/>
    <w:basedOn w:val="DefaultParagraphFont"/>
    <w:qFormat/>
    <w:rsid w:val="005913BE"/>
  </w:style>
  <w:style w:type="character" w:customStyle="1" w:styleId="organisation">
    <w:name w:val="organisation"/>
    <w:basedOn w:val="DefaultParagraphFont"/>
    <w:qFormat/>
    <w:rsid w:val="005913BE"/>
  </w:style>
  <w:style w:type="paragraph" w:styleId="TOC1">
    <w:name w:val="toc 1"/>
    <w:basedOn w:val="Normal"/>
    <w:next w:val="Normal"/>
    <w:autoRedefine/>
    <w:uiPriority w:val="39"/>
    <w:unhideWhenUsed/>
    <w:rsid w:val="005913BE"/>
    <w:pPr>
      <w:tabs>
        <w:tab w:val="right" w:leader="dot" w:pos="6904"/>
      </w:tabs>
      <w:spacing w:after="100" w:line="252" w:lineRule="auto"/>
    </w:pPr>
    <w:rPr>
      <w:rFonts w:eastAsia="Calibri" w:cs="Calibri"/>
      <w:noProof/>
      <w:lang w:eastAsia="en-GB"/>
    </w:rPr>
  </w:style>
  <w:style w:type="character" w:customStyle="1" w:styleId="wikibase-sitelinkview-page">
    <w:name w:val="wikibase-sitelinkview-page"/>
    <w:basedOn w:val="DefaultParagraphFont"/>
    <w:qFormat/>
    <w:rsid w:val="005913BE"/>
  </w:style>
  <w:style w:type="character" w:customStyle="1" w:styleId="tojvnm2t">
    <w:name w:val="tojvnm2t"/>
    <w:basedOn w:val="DefaultParagraphFont"/>
    <w:qFormat/>
    <w:rsid w:val="005913BE"/>
  </w:style>
  <w:style w:type="character" w:customStyle="1" w:styleId="mtfg0">
    <w:name w:val="mtfg0"/>
    <w:basedOn w:val="DefaultParagraphFont"/>
    <w:qFormat/>
    <w:rsid w:val="005913BE"/>
  </w:style>
  <w:style w:type="character" w:customStyle="1" w:styleId="Alaviitemerkit">
    <w:name w:val="Alaviitemerkit"/>
    <w:qFormat/>
    <w:rsid w:val="005913BE"/>
  </w:style>
  <w:style w:type="character" w:customStyle="1" w:styleId="Alaviitteenankkuri">
    <w:name w:val="Alaviitteen ankkuri"/>
    <w:rsid w:val="005913BE"/>
    <w:rPr>
      <w:vertAlign w:val="superscript"/>
    </w:rPr>
  </w:style>
  <w:style w:type="character" w:customStyle="1" w:styleId="Loppuviitteenankkuri">
    <w:name w:val="Loppuviitteen ankkuri"/>
    <w:rsid w:val="005913BE"/>
    <w:rPr>
      <w:vertAlign w:val="superscript"/>
    </w:rPr>
  </w:style>
  <w:style w:type="character" w:customStyle="1" w:styleId="Loppuviitemerkit">
    <w:name w:val="Loppuviitemerkit"/>
    <w:qFormat/>
    <w:rsid w:val="005913BE"/>
  </w:style>
  <w:style w:type="character" w:customStyle="1" w:styleId="st">
    <w:name w:val="st"/>
    <w:basedOn w:val="DefaultParagraphFont"/>
    <w:qFormat/>
    <w:rsid w:val="005913BE"/>
  </w:style>
  <w:style w:type="character" w:customStyle="1" w:styleId="Painotus">
    <w:name w:val="Painotus"/>
    <w:qFormat/>
    <w:rsid w:val="005913BE"/>
    <w:rPr>
      <w:i/>
      <w:iCs/>
    </w:rPr>
  </w:style>
  <w:style w:type="paragraph" w:customStyle="1" w:styleId="Otsikko1">
    <w:name w:val="Otsikko1"/>
    <w:basedOn w:val="Normal"/>
    <w:next w:val="BodyText"/>
    <w:qFormat/>
    <w:rsid w:val="005913BE"/>
    <w:pPr>
      <w:keepNext/>
      <w:suppressAutoHyphens/>
      <w:spacing w:before="240" w:after="120" w:line="240" w:lineRule="auto"/>
      <w:jc w:val="left"/>
    </w:pPr>
    <w:rPr>
      <w:rFonts w:ascii="Liberation Sans" w:eastAsia="Microsoft YaHei" w:hAnsi="Liberation Sans" w:cs="Arial"/>
      <w:kern w:val="2"/>
      <w:sz w:val="28"/>
      <w:szCs w:val="28"/>
      <w:lang w:val="en-GB" w:eastAsia="zh-CN" w:bidi="hi-IN"/>
    </w:rPr>
  </w:style>
  <w:style w:type="paragraph" w:styleId="BodyText">
    <w:name w:val="Body Text"/>
    <w:basedOn w:val="Normal"/>
    <w:link w:val="BodyTextChar"/>
    <w:rsid w:val="005913BE"/>
    <w:pPr>
      <w:suppressAutoHyphens/>
      <w:spacing w:after="140" w:line="276" w:lineRule="auto"/>
      <w:jc w:val="left"/>
    </w:pPr>
    <w:rPr>
      <w:rFonts w:ascii="Liberation Serif" w:eastAsia="NSimSun" w:hAnsi="Liberation Serif" w:cs="Arial"/>
      <w:kern w:val="2"/>
      <w:sz w:val="24"/>
      <w:szCs w:val="24"/>
      <w:lang w:val="en-GB" w:eastAsia="zh-CN" w:bidi="hi-IN"/>
    </w:rPr>
  </w:style>
  <w:style w:type="character" w:customStyle="1" w:styleId="BodyTextChar">
    <w:name w:val="Body Text Char"/>
    <w:basedOn w:val="DefaultParagraphFont"/>
    <w:link w:val="BodyText"/>
    <w:qFormat/>
    <w:rsid w:val="005913BE"/>
    <w:rPr>
      <w:rFonts w:ascii="Liberation Serif" w:eastAsia="NSimSun" w:hAnsi="Liberation Serif" w:cs="Arial"/>
      <w:kern w:val="2"/>
      <w:sz w:val="24"/>
      <w:szCs w:val="24"/>
      <w:lang w:val="en-GB" w:eastAsia="zh-CN" w:bidi="hi-IN"/>
    </w:rPr>
  </w:style>
  <w:style w:type="paragraph" w:styleId="List">
    <w:name w:val="List"/>
    <w:basedOn w:val="BodyText"/>
    <w:rsid w:val="005913BE"/>
  </w:style>
  <w:style w:type="paragraph" w:customStyle="1" w:styleId="Hakemisto">
    <w:name w:val="Hakemisto"/>
    <w:basedOn w:val="Normal"/>
    <w:qFormat/>
    <w:rsid w:val="005913BE"/>
    <w:pPr>
      <w:suppressLineNumbers/>
      <w:suppressAutoHyphens/>
      <w:spacing w:line="240" w:lineRule="auto"/>
      <w:jc w:val="left"/>
    </w:pPr>
    <w:rPr>
      <w:rFonts w:ascii="Liberation Serif" w:eastAsia="NSimSun" w:hAnsi="Liberation Serif" w:cs="Arial"/>
      <w:kern w:val="2"/>
      <w:sz w:val="24"/>
      <w:szCs w:val="24"/>
      <w:lang w:val="en-GB" w:eastAsia="zh-CN" w:bidi="hi-IN"/>
    </w:rPr>
  </w:style>
  <w:style w:type="paragraph" w:customStyle="1" w:styleId="Vikkribibliografia">
    <w:name w:val="Väikkäri_bibliografia"/>
    <w:basedOn w:val="Normal"/>
    <w:qFormat/>
    <w:rsid w:val="005913BE"/>
    <w:pPr>
      <w:suppressAutoHyphens/>
      <w:spacing w:before="60" w:line="240" w:lineRule="exact"/>
      <w:ind w:left="340" w:hanging="340"/>
      <w:jc w:val="left"/>
    </w:pPr>
    <w:rPr>
      <w:rFonts w:ascii="Georgia" w:eastAsia="NSimSun" w:hAnsi="Georgia" w:cs="Arial"/>
      <w:kern w:val="2"/>
      <w:sz w:val="24"/>
      <w:szCs w:val="24"/>
      <w:lang w:val="en-GB" w:eastAsia="zh-CN" w:bidi="hi-IN"/>
    </w:rPr>
  </w:style>
  <w:style w:type="paragraph" w:customStyle="1" w:styleId="ESASisutekst">
    <w:name w:val="ESA_Sisutekst"/>
    <w:basedOn w:val="Normal"/>
    <w:uiPriority w:val="99"/>
    <w:qFormat/>
    <w:rsid w:val="005913BE"/>
    <w:pPr>
      <w:spacing w:line="360" w:lineRule="auto"/>
      <w:ind w:firstLine="720"/>
    </w:pPr>
    <w:rPr>
      <w:rFonts w:ascii="Times New Roman" w:eastAsia="Times New Roman" w:hAnsi="Times New Roman" w:cs="Times New Roman"/>
      <w:sz w:val="24"/>
      <w:szCs w:val="24"/>
      <w:lang w:val="et-EE"/>
    </w:rPr>
  </w:style>
  <w:style w:type="paragraph" w:styleId="HTMLPreformatted">
    <w:name w:val="HTML Preformatted"/>
    <w:basedOn w:val="Normal"/>
    <w:link w:val="HTMLPreformattedChar"/>
    <w:uiPriority w:val="99"/>
    <w:semiHidden/>
    <w:unhideWhenUsed/>
    <w:qFormat/>
    <w:rsid w:val="005913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fi-FI" w:eastAsia="fi-FI"/>
    </w:rPr>
  </w:style>
  <w:style w:type="character" w:customStyle="1" w:styleId="HTMLPreformattedChar">
    <w:name w:val="HTML Preformatted Char"/>
    <w:basedOn w:val="DefaultParagraphFont"/>
    <w:link w:val="HTMLPreformatted"/>
    <w:uiPriority w:val="99"/>
    <w:semiHidden/>
    <w:qFormat/>
    <w:rsid w:val="005913BE"/>
    <w:rPr>
      <w:rFonts w:ascii="Courier New" w:eastAsia="Times New Roman" w:hAnsi="Courier New" w:cs="Courier New"/>
      <w:sz w:val="20"/>
      <w:szCs w:val="20"/>
      <w:lang w:val="fi-FI" w:eastAsia="fi-FI"/>
    </w:rPr>
  </w:style>
  <w:style w:type="character" w:customStyle="1" w:styleId="y2iqfc">
    <w:name w:val="y2iqfc"/>
    <w:basedOn w:val="DefaultParagraphFont"/>
    <w:qFormat/>
    <w:rsid w:val="005913BE"/>
  </w:style>
  <w:style w:type="paragraph" w:customStyle="1" w:styleId="Default">
    <w:name w:val="Default"/>
    <w:qFormat/>
    <w:rsid w:val="005913BE"/>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customStyle="1" w:styleId="Standard2">
    <w:name w:val="Standard2"/>
    <w:rsid w:val="005913BE"/>
    <w:pPr>
      <w:widowControl w:val="0"/>
      <w:suppressAutoHyphens/>
      <w:autoSpaceDN w:val="0"/>
      <w:spacing w:after="0" w:line="240" w:lineRule="auto"/>
      <w:textAlignment w:val="baseline"/>
    </w:pPr>
    <w:rPr>
      <w:rFonts w:ascii="Liberation Serif" w:eastAsia="Arial Unicode MS" w:hAnsi="Liberation Serif" w:cs="Arial Unicode MS"/>
      <w:kern w:val="3"/>
      <w:sz w:val="24"/>
      <w:szCs w:val="24"/>
      <w:lang w:val="en-US" w:eastAsia="zh-CN" w:bidi="hi-IN"/>
    </w:rPr>
  </w:style>
  <w:style w:type="paragraph" w:customStyle="1" w:styleId="ESAKirjandus">
    <w:name w:val="ESA_Kirjandus"/>
    <w:basedOn w:val="Normal"/>
    <w:uiPriority w:val="99"/>
    <w:qFormat/>
    <w:rsid w:val="005913BE"/>
    <w:pPr>
      <w:spacing w:line="240" w:lineRule="auto"/>
      <w:ind w:left="720" w:hanging="720"/>
    </w:pPr>
    <w:rPr>
      <w:rFonts w:ascii="Times New Roman" w:eastAsia="Times New Roman" w:hAnsi="Times New Roman" w:cs="Times New Roman"/>
      <w:noProof/>
      <w:lang w:val="et-EE"/>
    </w:rPr>
  </w:style>
  <w:style w:type="character" w:customStyle="1" w:styleId="apple-converted-space">
    <w:name w:val="apple-converted-space"/>
    <w:basedOn w:val="DefaultParagraphFont"/>
    <w:qFormat/>
    <w:rsid w:val="005913BE"/>
  </w:style>
  <w:style w:type="character" w:customStyle="1" w:styleId="str">
    <w:name w:val="str"/>
    <w:basedOn w:val="DefaultParagraphFont"/>
    <w:qFormat/>
    <w:rsid w:val="005913BE"/>
  </w:style>
  <w:style w:type="character" w:customStyle="1" w:styleId="hps">
    <w:name w:val="hps"/>
    <w:basedOn w:val="DefaultParagraphFont"/>
    <w:qFormat/>
    <w:rsid w:val="005913BE"/>
  </w:style>
  <w:style w:type="paragraph" w:customStyle="1" w:styleId="szerzo">
    <w:name w:val="szerzo"/>
    <w:basedOn w:val="Normal"/>
    <w:qFormat/>
    <w:rsid w:val="005913BE"/>
    <w:pPr>
      <w:spacing w:before="100" w:beforeAutospacing="1" w:after="100" w:afterAutospacing="1" w:line="240" w:lineRule="auto"/>
      <w:jc w:val="left"/>
    </w:pPr>
    <w:rPr>
      <w:rFonts w:ascii="Times New Roman" w:eastAsia="Times New Roman" w:hAnsi="Times New Roman" w:cs="Times New Roman"/>
      <w:sz w:val="24"/>
      <w:szCs w:val="24"/>
      <w:lang w:val="de-DE" w:eastAsia="de-DE"/>
    </w:rPr>
  </w:style>
  <w:style w:type="table" w:customStyle="1" w:styleId="TableNormal1">
    <w:name w:val="Table Normal1"/>
    <w:rsid w:val="005913BE"/>
    <w:rPr>
      <w:rFonts w:ascii="Calibri" w:eastAsia="MS Mincho" w:hAnsi="Calibri" w:cs="Calibri"/>
      <w:lang w:val="fi-FI" w:eastAsia="fi-FI"/>
    </w:rPr>
    <w:tblPr>
      <w:tblCellMar>
        <w:top w:w="0" w:type="dxa"/>
        <w:left w:w="0" w:type="dxa"/>
        <w:bottom w:w="0" w:type="dxa"/>
        <w:right w:w="0" w:type="dxa"/>
      </w:tblCellMar>
    </w:tblPr>
  </w:style>
  <w:style w:type="paragraph" w:styleId="Title">
    <w:name w:val="Title"/>
    <w:basedOn w:val="Normal"/>
    <w:next w:val="Normal"/>
    <w:link w:val="TitleChar"/>
    <w:uiPriority w:val="10"/>
    <w:qFormat/>
    <w:rsid w:val="005913BE"/>
    <w:pPr>
      <w:keepNext/>
      <w:keepLines/>
      <w:spacing w:before="480" w:after="120"/>
      <w:jc w:val="left"/>
    </w:pPr>
    <w:rPr>
      <w:rFonts w:ascii="Calibri" w:eastAsia="MS Mincho" w:hAnsi="Calibri" w:cs="Calibri"/>
      <w:b/>
      <w:sz w:val="72"/>
      <w:szCs w:val="72"/>
      <w:lang w:val="fi-FI" w:eastAsia="fi-FI"/>
    </w:rPr>
  </w:style>
  <w:style w:type="character" w:customStyle="1" w:styleId="TitleChar">
    <w:name w:val="Title Char"/>
    <w:basedOn w:val="DefaultParagraphFont"/>
    <w:link w:val="Title"/>
    <w:uiPriority w:val="10"/>
    <w:qFormat/>
    <w:rsid w:val="005913BE"/>
    <w:rPr>
      <w:rFonts w:ascii="Calibri" w:eastAsia="MS Mincho" w:hAnsi="Calibri" w:cs="Calibri"/>
      <w:b/>
      <w:sz w:val="72"/>
      <w:szCs w:val="72"/>
      <w:lang w:val="fi-FI" w:eastAsia="fi-FI"/>
    </w:rPr>
  </w:style>
  <w:style w:type="paragraph" w:styleId="Subtitle">
    <w:name w:val="Subtitle"/>
    <w:basedOn w:val="Normal"/>
    <w:next w:val="Normal"/>
    <w:link w:val="SubtitleChar"/>
    <w:uiPriority w:val="11"/>
    <w:qFormat/>
    <w:rsid w:val="005913BE"/>
    <w:pPr>
      <w:keepNext/>
      <w:keepLines/>
      <w:spacing w:before="360" w:after="80"/>
      <w:jc w:val="left"/>
    </w:pPr>
    <w:rPr>
      <w:rFonts w:ascii="Georgia" w:eastAsia="Georgia" w:hAnsi="Georgia" w:cs="Georgia"/>
      <w:i/>
      <w:color w:val="666666"/>
      <w:sz w:val="48"/>
      <w:szCs w:val="48"/>
      <w:lang w:val="fi-FI" w:eastAsia="fi-FI"/>
    </w:rPr>
  </w:style>
  <w:style w:type="character" w:customStyle="1" w:styleId="SubtitleChar">
    <w:name w:val="Subtitle Char"/>
    <w:basedOn w:val="DefaultParagraphFont"/>
    <w:link w:val="Subtitle"/>
    <w:uiPriority w:val="11"/>
    <w:qFormat/>
    <w:rsid w:val="005913BE"/>
    <w:rPr>
      <w:rFonts w:ascii="Georgia" w:eastAsia="Georgia" w:hAnsi="Georgia" w:cs="Georgia"/>
      <w:i/>
      <w:color w:val="666666"/>
      <w:sz w:val="48"/>
      <w:szCs w:val="48"/>
      <w:lang w:val="fi-FI" w:eastAsia="fi-FI"/>
    </w:rPr>
  </w:style>
  <w:style w:type="paragraph" w:customStyle="1" w:styleId="Brigiidzetfggelk">
    <w:name w:val="Brigi_idézet_függelék"/>
    <w:basedOn w:val="Normal"/>
    <w:next w:val="Normal"/>
    <w:qFormat/>
    <w:rsid w:val="005913BE"/>
    <w:pPr>
      <w:spacing w:before="200" w:after="200" w:line="240" w:lineRule="auto"/>
      <w:ind w:left="680" w:right="680"/>
    </w:pPr>
    <w:rPr>
      <w:rFonts w:ascii="Times New Roman" w:eastAsia="Times New Roman" w:hAnsi="Times New Roman" w:cs="Times New Roman"/>
      <w:szCs w:val="24"/>
      <w:lang w:val="de-DE" w:eastAsia="hu-HU"/>
    </w:rPr>
  </w:style>
  <w:style w:type="paragraph" w:customStyle="1" w:styleId="Brigibibliogr">
    <w:name w:val="Brigi_bibliogr"/>
    <w:basedOn w:val="Normal"/>
    <w:autoRedefine/>
    <w:qFormat/>
    <w:rsid w:val="005913BE"/>
    <w:pPr>
      <w:spacing w:line="240" w:lineRule="auto"/>
    </w:pPr>
    <w:rPr>
      <w:rFonts w:ascii="Baskerville Old Face" w:eastAsia="Times New Roman" w:hAnsi="Baskerville Old Face" w:cs="Times New Roman"/>
      <w:sz w:val="20"/>
      <w:szCs w:val="20"/>
      <w:lang w:val="hu-HU" w:eastAsia="hu-HU"/>
    </w:rPr>
  </w:style>
  <w:style w:type="paragraph" w:customStyle="1" w:styleId="Leipteksti">
    <w:name w:val="Leipäteksti"/>
    <w:rsid w:val="005913BE"/>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val="en-GB" w:eastAsia="en-GB"/>
    </w:rPr>
  </w:style>
  <w:style w:type="paragraph" w:customStyle="1" w:styleId="Alaviite">
    <w:name w:val="Alaviite"/>
    <w:rsid w:val="005913BE"/>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val="en-GB" w:eastAsia="en-GB"/>
    </w:rPr>
  </w:style>
  <w:style w:type="numbering" w:customStyle="1" w:styleId="Numeroitu">
    <w:name w:val="Numeroitu"/>
    <w:rsid w:val="005913BE"/>
    <w:pPr>
      <w:numPr>
        <w:numId w:val="23"/>
      </w:numPr>
    </w:pPr>
  </w:style>
  <w:style w:type="character" w:customStyle="1" w:styleId="Hyperlink0">
    <w:name w:val="Hyperlink.0"/>
    <w:basedOn w:val="Hyperlink"/>
    <w:qFormat/>
    <w:rsid w:val="005913BE"/>
    <w:rPr>
      <w:color w:val="0563C1" w:themeColor="hyperlink"/>
      <w:u w:val="single"/>
    </w:rPr>
  </w:style>
  <w:style w:type="paragraph" w:customStyle="1" w:styleId="Standard1">
    <w:name w:val="Standard1"/>
    <w:qFormat/>
    <w:rsid w:val="005913BE"/>
    <w:pPr>
      <w:widowControl w:val="0"/>
      <w:suppressAutoHyphens/>
      <w:spacing w:after="0" w:line="240" w:lineRule="auto"/>
      <w:textAlignment w:val="baseline"/>
    </w:pPr>
    <w:rPr>
      <w:rFonts w:ascii="Liberation Serif" w:eastAsia="Arial Unicode MS" w:hAnsi="Liberation Serif" w:cs="Arial Unicode MS"/>
      <w:kern w:val="2"/>
      <w:sz w:val="24"/>
      <w:szCs w:val="24"/>
      <w:lang w:val="en-US" w:eastAsia="zh-CN" w:bidi="hi-IN"/>
    </w:rPr>
  </w:style>
  <w:style w:type="character" w:customStyle="1" w:styleId="Funotenzeichen1">
    <w:name w:val="Fußnotenzeichen1"/>
    <w:qFormat/>
    <w:rsid w:val="005913BE"/>
  </w:style>
  <w:style w:type="paragraph" w:customStyle="1" w:styleId="Leipteksti1">
    <w:name w:val="Leipäteksti1"/>
    <w:rsid w:val="005913BE"/>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val="en-GB" w:eastAsia="en-GB"/>
    </w:rPr>
  </w:style>
  <w:style w:type="paragraph" w:styleId="EndnoteText">
    <w:name w:val="endnote text"/>
    <w:link w:val="EndnoteTextChar"/>
    <w:rsid w:val="005913BE"/>
    <w:pPr>
      <w:pBdr>
        <w:top w:val="nil"/>
        <w:left w:val="nil"/>
        <w:bottom w:val="nil"/>
        <w:right w:val="nil"/>
        <w:between w:val="nil"/>
        <w:bar w:val="nil"/>
      </w:pBdr>
      <w:spacing w:after="0" w:line="240" w:lineRule="auto"/>
    </w:pPr>
    <w:rPr>
      <w:rFonts w:ascii="Georgia" w:eastAsia="Georgia" w:hAnsi="Georgia" w:cs="Georgia"/>
      <w:color w:val="000000"/>
      <w:sz w:val="24"/>
      <w:szCs w:val="24"/>
      <w:u w:color="000000"/>
      <w:bdr w:val="nil"/>
      <w:lang w:val="de-DE" w:eastAsia="de-DE"/>
    </w:rPr>
  </w:style>
  <w:style w:type="character" w:customStyle="1" w:styleId="EndnoteTextChar">
    <w:name w:val="Endnote Text Char"/>
    <w:basedOn w:val="DefaultParagraphFont"/>
    <w:link w:val="EndnoteText"/>
    <w:rsid w:val="005913BE"/>
    <w:rPr>
      <w:rFonts w:ascii="Georgia" w:eastAsia="Georgia" w:hAnsi="Georgia" w:cs="Georgia"/>
      <w:color w:val="000000"/>
      <w:sz w:val="24"/>
      <w:szCs w:val="24"/>
      <w:u w:color="000000"/>
      <w:bdr w:val="nil"/>
      <w:lang w:val="de-DE" w:eastAsia="de-DE"/>
    </w:rPr>
  </w:style>
  <w:style w:type="paragraph" w:customStyle="1" w:styleId="Funote">
    <w:name w:val="Fußnote"/>
    <w:rsid w:val="005913BE"/>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eastAsia="de-DE"/>
    </w:rPr>
  </w:style>
  <w:style w:type="numbering" w:customStyle="1" w:styleId="ImportierterStil1">
    <w:name w:val="Importierter Stil: 1"/>
    <w:rsid w:val="005913BE"/>
    <w:pPr>
      <w:numPr>
        <w:numId w:val="24"/>
      </w:numPr>
    </w:pPr>
  </w:style>
  <w:style w:type="paragraph" w:customStyle="1" w:styleId="Formatvorlage1">
    <w:name w:val="Formatvorlage1"/>
    <w:rsid w:val="005913BE"/>
    <w:pPr>
      <w:widowControl w:val="0"/>
      <w:pBdr>
        <w:top w:val="nil"/>
        <w:left w:val="nil"/>
        <w:bottom w:val="nil"/>
        <w:right w:val="nil"/>
        <w:between w:val="nil"/>
        <w:bar w:val="nil"/>
      </w:pBdr>
      <w:spacing w:after="0" w:line="240" w:lineRule="auto"/>
    </w:pPr>
    <w:rPr>
      <w:rFonts w:ascii="Georgia" w:eastAsia="Georgia" w:hAnsi="Georgia" w:cs="Georgia"/>
      <w:color w:val="000000"/>
      <w:sz w:val="20"/>
      <w:szCs w:val="20"/>
      <w:u w:color="000000"/>
      <w:bdr w:val="nil"/>
      <w:lang w:val="de-DE" w:eastAsia="de-DE"/>
    </w:rPr>
  </w:style>
  <w:style w:type="character" w:customStyle="1" w:styleId="Ohne">
    <w:name w:val="Ohne"/>
    <w:rsid w:val="005913BE"/>
  </w:style>
  <w:style w:type="character" w:customStyle="1" w:styleId="Hyperlink1">
    <w:name w:val="Hyperlink.1"/>
    <w:basedOn w:val="Ohne"/>
    <w:rsid w:val="005913BE"/>
    <w:rPr>
      <w:i/>
      <w:iCs/>
    </w:rPr>
  </w:style>
  <w:style w:type="character" w:customStyle="1" w:styleId="a-size-extra-large">
    <w:name w:val="a-size-extra-large"/>
    <w:basedOn w:val="DefaultParagraphFont"/>
    <w:rsid w:val="005913BE"/>
  </w:style>
  <w:style w:type="paragraph" w:customStyle="1" w:styleId="nova-e-listitem">
    <w:name w:val="nova-e-list__item"/>
    <w:basedOn w:val="Normal"/>
    <w:rsid w:val="005913BE"/>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customStyle="1" w:styleId="PI">
    <w:name w:val="PI"/>
    <w:basedOn w:val="Normal"/>
    <w:rsid w:val="005913BE"/>
    <w:pPr>
      <w:spacing w:line="480" w:lineRule="auto"/>
      <w:ind w:firstLine="432"/>
      <w:jc w:val="left"/>
    </w:pPr>
    <w:rPr>
      <w:rFonts w:ascii="Times New Roman" w:eastAsia="Times New Roman" w:hAnsi="Times New Roman" w:cs="Times New Roman"/>
      <w:sz w:val="24"/>
      <w:szCs w:val="24"/>
      <w:lang w:val="en-US"/>
    </w:rPr>
  </w:style>
  <w:style w:type="character" w:customStyle="1" w:styleId="surname">
    <w:name w:val="surname"/>
    <w:basedOn w:val="DefaultParagraphFont"/>
    <w:rsid w:val="005913BE"/>
  </w:style>
  <w:style w:type="character" w:customStyle="1" w:styleId="articletitle">
    <w:name w:val="article title"/>
    <w:basedOn w:val="DefaultParagraphFont"/>
    <w:rsid w:val="005913BE"/>
  </w:style>
  <w:style w:type="character" w:customStyle="1" w:styleId="journal-title">
    <w:name w:val="journal-title"/>
    <w:basedOn w:val="DefaultParagraphFont"/>
    <w:rsid w:val="005913BE"/>
  </w:style>
  <w:style w:type="character" w:customStyle="1" w:styleId="volume">
    <w:name w:val="volume"/>
    <w:basedOn w:val="DefaultParagraphFont"/>
    <w:rsid w:val="005913BE"/>
  </w:style>
  <w:style w:type="character" w:customStyle="1" w:styleId="Issueno">
    <w:name w:val="Issue no."/>
    <w:basedOn w:val="DefaultParagraphFont"/>
    <w:rsid w:val="005913BE"/>
  </w:style>
  <w:style w:type="character" w:customStyle="1" w:styleId="pageextent">
    <w:name w:val="page extent"/>
    <w:basedOn w:val="DefaultParagraphFont"/>
    <w:rsid w:val="005913BE"/>
  </w:style>
  <w:style w:type="character" w:customStyle="1" w:styleId="X">
    <w:name w:val="X"/>
    <w:rsid w:val="005913BE"/>
  </w:style>
  <w:style w:type="character" w:customStyle="1" w:styleId="forename">
    <w:name w:val="forename"/>
    <w:basedOn w:val="DefaultParagraphFont"/>
    <w:rsid w:val="005913BE"/>
  </w:style>
  <w:style w:type="character" w:customStyle="1" w:styleId="authorx">
    <w:name w:val="authorx"/>
    <w:basedOn w:val="DefaultParagraphFont"/>
    <w:rsid w:val="005913BE"/>
  </w:style>
  <w:style w:type="character" w:customStyle="1" w:styleId="SPidate">
    <w:name w:val="SPi date"/>
    <w:basedOn w:val="DefaultParagraphFont"/>
    <w:rsid w:val="005913BE"/>
  </w:style>
  <w:style w:type="paragraph" w:customStyle="1" w:styleId="Otsikko">
    <w:name w:val="Otsikko"/>
    <w:next w:val="Leipteksti"/>
    <w:rsid w:val="005913BE"/>
    <w:pPr>
      <w:keepNext/>
      <w:keepLines/>
      <w:pBdr>
        <w:top w:val="nil"/>
        <w:left w:val="nil"/>
        <w:bottom w:val="nil"/>
        <w:right w:val="nil"/>
        <w:between w:val="nil"/>
        <w:bar w:val="nil"/>
      </w:pBdr>
      <w:spacing w:after="600" w:line="247" w:lineRule="auto"/>
      <w:ind w:left="11" w:right="91" w:hanging="11"/>
      <w:jc w:val="right"/>
      <w:outlineLvl w:val="0"/>
    </w:pPr>
    <w:rPr>
      <w:rFonts w:ascii="Gill Sans MT" w:eastAsia="Gill Sans MT" w:hAnsi="Gill Sans MT" w:cs="Gill Sans MT"/>
      <w:color w:val="000000"/>
      <w:sz w:val="32"/>
      <w:szCs w:val="32"/>
      <w:u w:color="000000"/>
      <w:bdr w:val="nil"/>
      <w:lang w:val="en-GB" w:eastAsia="en-GB"/>
    </w:rPr>
  </w:style>
  <w:style w:type="paragraph" w:customStyle="1" w:styleId="Otsikko2">
    <w:name w:val="Otsikko 2"/>
    <w:next w:val="Leipteksti"/>
    <w:rsid w:val="005913BE"/>
    <w:pPr>
      <w:keepNext/>
      <w:pBdr>
        <w:top w:val="nil"/>
        <w:left w:val="nil"/>
        <w:bottom w:val="nil"/>
        <w:right w:val="nil"/>
        <w:between w:val="nil"/>
        <w:bar w:val="nil"/>
      </w:pBdr>
      <w:spacing w:before="240" w:after="210" w:line="247" w:lineRule="auto"/>
      <w:jc w:val="both"/>
      <w:outlineLvl w:val="1"/>
    </w:pPr>
    <w:rPr>
      <w:rFonts w:ascii="Gill Sans MT" w:eastAsia="Gill Sans MT" w:hAnsi="Gill Sans MT" w:cs="Gill Sans MT"/>
      <w:color w:val="000000"/>
      <w:sz w:val="28"/>
      <w:szCs w:val="28"/>
      <w:u w:color="000000"/>
      <w:bdr w:val="nil"/>
      <w:lang w:val="en-GB" w:eastAsia="en-GB"/>
    </w:rPr>
  </w:style>
  <w:style w:type="numbering" w:customStyle="1" w:styleId="Tuotutyyli1">
    <w:name w:val="Tuotu tyyli: 1"/>
    <w:rsid w:val="005913BE"/>
    <w:pPr>
      <w:numPr>
        <w:numId w:val="25"/>
      </w:numPr>
    </w:pPr>
  </w:style>
  <w:style w:type="character" w:customStyle="1" w:styleId="Eimitn">
    <w:name w:val="Ei mitään"/>
    <w:rsid w:val="005913BE"/>
  </w:style>
  <w:style w:type="character" w:customStyle="1" w:styleId="authors0">
    <w:name w:val="authors"/>
    <w:basedOn w:val="DefaultParagraphFont"/>
    <w:rsid w:val="00AA77A0"/>
  </w:style>
  <w:style w:type="character" w:customStyle="1" w:styleId="Date1">
    <w:name w:val="Date1"/>
    <w:basedOn w:val="DefaultParagraphFont"/>
    <w:rsid w:val="00AA77A0"/>
  </w:style>
  <w:style w:type="character" w:customStyle="1" w:styleId="arttitle">
    <w:name w:val="art_title"/>
    <w:basedOn w:val="DefaultParagraphFont"/>
    <w:rsid w:val="00AA77A0"/>
  </w:style>
  <w:style w:type="character" w:customStyle="1" w:styleId="serialtitle">
    <w:name w:val="serial_title"/>
    <w:basedOn w:val="DefaultParagraphFont"/>
    <w:rsid w:val="00AA77A0"/>
  </w:style>
  <w:style w:type="character" w:customStyle="1" w:styleId="volumeissue">
    <w:name w:val="volume_issue"/>
    <w:basedOn w:val="DefaultParagraphFont"/>
    <w:rsid w:val="00AA77A0"/>
  </w:style>
  <w:style w:type="character" w:customStyle="1" w:styleId="pagerange">
    <w:name w:val="page_range"/>
    <w:basedOn w:val="DefaultParagraphFont"/>
    <w:rsid w:val="00AA77A0"/>
  </w:style>
  <w:style w:type="character" w:customStyle="1" w:styleId="cf01">
    <w:name w:val="cf01"/>
    <w:basedOn w:val="DefaultParagraphFont"/>
    <w:rsid w:val="001E7140"/>
    <w:rPr>
      <w:rFonts w:ascii="Segoe UI" w:hAnsi="Segoe UI" w:cs="Segoe UI" w:hint="default"/>
      <w:sz w:val="18"/>
      <w:szCs w:val="18"/>
    </w:rPr>
  </w:style>
  <w:style w:type="character" w:customStyle="1" w:styleId="Internet-linkki">
    <w:name w:val="Internet-linkki"/>
    <w:basedOn w:val="DefaultParagraphFont"/>
    <w:uiPriority w:val="99"/>
    <w:unhideWhenUsed/>
    <w:rsid w:val="00EF1775"/>
    <w:rPr>
      <w:color w:val="0563C1" w:themeColor="hyperlink"/>
      <w:u w:val="single"/>
    </w:rPr>
  </w:style>
  <w:style w:type="character" w:customStyle="1" w:styleId="FootnoteCharacters">
    <w:name w:val="Footnote Characters"/>
    <w:basedOn w:val="DefaultParagraphFont"/>
    <w:uiPriority w:val="99"/>
    <w:unhideWhenUsed/>
    <w:qFormat/>
    <w:rsid w:val="00EF1775"/>
    <w:rPr>
      <w:vertAlign w:val="superscript"/>
    </w:rPr>
  </w:style>
  <w:style w:type="character" w:customStyle="1" w:styleId="AvattuInternet-linkki">
    <w:name w:val="Avattu Internet-linkki"/>
    <w:basedOn w:val="DefaultParagraphFont"/>
    <w:uiPriority w:val="99"/>
    <w:semiHidden/>
    <w:unhideWhenUsed/>
    <w:rsid w:val="00EF1775"/>
    <w:rPr>
      <w:color w:val="954F72" w:themeColor="followedHyperlink"/>
      <w:u w:val="single"/>
    </w:rPr>
  </w:style>
  <w:style w:type="character" w:customStyle="1" w:styleId="Funotenzeichen">
    <w:name w:val="Fußnotenzeichen"/>
    <w:qFormat/>
    <w:rsid w:val="00EF1775"/>
  </w:style>
  <w:style w:type="character" w:customStyle="1" w:styleId="Riviennumerointi">
    <w:name w:val="Rivien numerointi"/>
    <w:rsid w:val="00EF1775"/>
  </w:style>
  <w:style w:type="paragraph" w:customStyle="1" w:styleId="BodyText1">
    <w:name w:val="Body Text1"/>
    <w:rsid w:val="00EF1775"/>
    <w:pPr>
      <w:suppressAutoHyphens/>
      <w:spacing w:after="0" w:line="240" w:lineRule="auto"/>
    </w:pPr>
    <w:rPr>
      <w:rFonts w:ascii="Helvetica Neue" w:eastAsia="Helvetica Neue" w:hAnsi="Helvetica Neue" w:cs="Helvetica Neue"/>
      <w:color w:val="000000"/>
      <w:lang w:val="en-GB" w:eastAsia="en-GB"/>
    </w:rPr>
  </w:style>
  <w:style w:type="paragraph" w:customStyle="1" w:styleId="Yltunnistejaalatunniste">
    <w:name w:val="Ylätunniste ja alatunniste"/>
    <w:basedOn w:val="Normal"/>
    <w:qFormat/>
    <w:rsid w:val="00EF1775"/>
    <w:pPr>
      <w:suppressAutoHyphens/>
      <w:spacing w:line="259" w:lineRule="auto"/>
    </w:pPr>
    <w:rPr>
      <w:rFonts w:ascii="Charis SIL" w:hAnsi="Charis SIL"/>
    </w:rPr>
  </w:style>
  <w:style w:type="paragraph" w:customStyle="1" w:styleId="FootnoteText1">
    <w:name w:val="Footnote Text1"/>
    <w:rsid w:val="00EF1775"/>
    <w:pPr>
      <w:suppressAutoHyphens/>
      <w:spacing w:after="0" w:line="240" w:lineRule="auto"/>
    </w:pPr>
    <w:rPr>
      <w:rFonts w:ascii="Helvetica Neue" w:eastAsia="Helvetica Neue" w:hAnsi="Helvetica Neue" w:cs="Helvetica Neue"/>
      <w:color w:val="000000"/>
      <w:lang w:val="en-GB" w:eastAsia="en-GB"/>
    </w:rPr>
  </w:style>
  <w:style w:type="paragraph" w:customStyle="1" w:styleId="Standard">
    <w:name w:val="Standard"/>
    <w:qFormat/>
    <w:rsid w:val="00EF1775"/>
    <w:pPr>
      <w:widowControl w:val="0"/>
      <w:suppressAutoHyphens/>
      <w:spacing w:after="0" w:line="240" w:lineRule="auto"/>
      <w:textAlignment w:val="baseline"/>
    </w:pPr>
    <w:rPr>
      <w:rFonts w:ascii="Liberation Serif" w:eastAsia="Arial Unicode MS" w:hAnsi="Liberation Serif" w:cs="Arial Unicode MS"/>
      <w:kern w:val="2"/>
      <w:sz w:val="24"/>
      <w:szCs w:val="24"/>
      <w:lang w:val="en-US"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406933">
      <w:bodyDiv w:val="1"/>
      <w:marLeft w:val="0"/>
      <w:marRight w:val="0"/>
      <w:marTop w:val="0"/>
      <w:marBottom w:val="0"/>
      <w:divBdr>
        <w:top w:val="none" w:sz="0" w:space="0" w:color="auto"/>
        <w:left w:val="none" w:sz="0" w:space="0" w:color="auto"/>
        <w:bottom w:val="none" w:sz="0" w:space="0" w:color="auto"/>
        <w:right w:val="none" w:sz="0" w:space="0" w:color="auto"/>
      </w:divBdr>
    </w:div>
    <w:div w:id="302391725">
      <w:bodyDiv w:val="1"/>
      <w:marLeft w:val="0"/>
      <w:marRight w:val="0"/>
      <w:marTop w:val="0"/>
      <w:marBottom w:val="0"/>
      <w:divBdr>
        <w:top w:val="none" w:sz="0" w:space="0" w:color="auto"/>
        <w:left w:val="none" w:sz="0" w:space="0" w:color="auto"/>
        <w:bottom w:val="none" w:sz="0" w:space="0" w:color="auto"/>
        <w:right w:val="none" w:sz="0" w:space="0" w:color="auto"/>
      </w:divBdr>
      <w:divsChild>
        <w:div w:id="1645043719">
          <w:marLeft w:val="0"/>
          <w:marRight w:val="0"/>
          <w:marTop w:val="0"/>
          <w:marBottom w:val="0"/>
          <w:divBdr>
            <w:top w:val="none" w:sz="0" w:space="0" w:color="auto"/>
            <w:left w:val="none" w:sz="0" w:space="0" w:color="auto"/>
            <w:bottom w:val="none" w:sz="0" w:space="0" w:color="auto"/>
            <w:right w:val="none" w:sz="0" w:space="0" w:color="auto"/>
          </w:divBdr>
        </w:div>
      </w:divsChild>
    </w:div>
    <w:div w:id="327905762">
      <w:bodyDiv w:val="1"/>
      <w:marLeft w:val="0"/>
      <w:marRight w:val="0"/>
      <w:marTop w:val="0"/>
      <w:marBottom w:val="0"/>
      <w:divBdr>
        <w:top w:val="none" w:sz="0" w:space="0" w:color="auto"/>
        <w:left w:val="none" w:sz="0" w:space="0" w:color="auto"/>
        <w:bottom w:val="none" w:sz="0" w:space="0" w:color="auto"/>
        <w:right w:val="none" w:sz="0" w:space="0" w:color="auto"/>
      </w:divBdr>
      <w:divsChild>
        <w:div w:id="2132170115">
          <w:marLeft w:val="0"/>
          <w:marRight w:val="0"/>
          <w:marTop w:val="0"/>
          <w:marBottom w:val="0"/>
          <w:divBdr>
            <w:top w:val="none" w:sz="0" w:space="0" w:color="auto"/>
            <w:left w:val="none" w:sz="0" w:space="0" w:color="auto"/>
            <w:bottom w:val="none" w:sz="0" w:space="0" w:color="auto"/>
            <w:right w:val="none" w:sz="0" w:space="0" w:color="auto"/>
          </w:divBdr>
        </w:div>
      </w:divsChild>
    </w:div>
    <w:div w:id="472412428">
      <w:bodyDiv w:val="1"/>
      <w:marLeft w:val="0"/>
      <w:marRight w:val="0"/>
      <w:marTop w:val="0"/>
      <w:marBottom w:val="0"/>
      <w:divBdr>
        <w:top w:val="none" w:sz="0" w:space="0" w:color="auto"/>
        <w:left w:val="none" w:sz="0" w:space="0" w:color="auto"/>
        <w:bottom w:val="none" w:sz="0" w:space="0" w:color="auto"/>
        <w:right w:val="none" w:sz="0" w:space="0" w:color="auto"/>
      </w:divBdr>
    </w:div>
    <w:div w:id="549725911">
      <w:bodyDiv w:val="1"/>
      <w:marLeft w:val="0"/>
      <w:marRight w:val="0"/>
      <w:marTop w:val="0"/>
      <w:marBottom w:val="0"/>
      <w:divBdr>
        <w:top w:val="none" w:sz="0" w:space="0" w:color="auto"/>
        <w:left w:val="none" w:sz="0" w:space="0" w:color="auto"/>
        <w:bottom w:val="none" w:sz="0" w:space="0" w:color="auto"/>
        <w:right w:val="none" w:sz="0" w:space="0" w:color="auto"/>
      </w:divBdr>
    </w:div>
    <w:div w:id="573858114">
      <w:bodyDiv w:val="1"/>
      <w:marLeft w:val="0"/>
      <w:marRight w:val="0"/>
      <w:marTop w:val="0"/>
      <w:marBottom w:val="0"/>
      <w:divBdr>
        <w:top w:val="none" w:sz="0" w:space="0" w:color="auto"/>
        <w:left w:val="none" w:sz="0" w:space="0" w:color="auto"/>
        <w:bottom w:val="none" w:sz="0" w:space="0" w:color="auto"/>
        <w:right w:val="none" w:sz="0" w:space="0" w:color="auto"/>
      </w:divBdr>
      <w:divsChild>
        <w:div w:id="248275746">
          <w:marLeft w:val="0"/>
          <w:marRight w:val="0"/>
          <w:marTop w:val="0"/>
          <w:marBottom w:val="0"/>
          <w:divBdr>
            <w:top w:val="none" w:sz="0" w:space="0" w:color="auto"/>
            <w:left w:val="none" w:sz="0" w:space="0" w:color="auto"/>
            <w:bottom w:val="none" w:sz="0" w:space="0" w:color="auto"/>
            <w:right w:val="none" w:sz="0" w:space="0" w:color="auto"/>
          </w:divBdr>
        </w:div>
        <w:div w:id="900604525">
          <w:marLeft w:val="0"/>
          <w:marRight w:val="0"/>
          <w:marTop w:val="0"/>
          <w:marBottom w:val="0"/>
          <w:divBdr>
            <w:top w:val="none" w:sz="0" w:space="0" w:color="auto"/>
            <w:left w:val="none" w:sz="0" w:space="0" w:color="auto"/>
            <w:bottom w:val="none" w:sz="0" w:space="0" w:color="auto"/>
            <w:right w:val="none" w:sz="0" w:space="0" w:color="auto"/>
          </w:divBdr>
        </w:div>
        <w:div w:id="922565710">
          <w:marLeft w:val="0"/>
          <w:marRight w:val="0"/>
          <w:marTop w:val="0"/>
          <w:marBottom w:val="0"/>
          <w:divBdr>
            <w:top w:val="none" w:sz="0" w:space="0" w:color="auto"/>
            <w:left w:val="none" w:sz="0" w:space="0" w:color="auto"/>
            <w:bottom w:val="none" w:sz="0" w:space="0" w:color="auto"/>
            <w:right w:val="none" w:sz="0" w:space="0" w:color="auto"/>
          </w:divBdr>
        </w:div>
      </w:divsChild>
    </w:div>
    <w:div w:id="600260825">
      <w:bodyDiv w:val="1"/>
      <w:marLeft w:val="0"/>
      <w:marRight w:val="0"/>
      <w:marTop w:val="0"/>
      <w:marBottom w:val="0"/>
      <w:divBdr>
        <w:top w:val="none" w:sz="0" w:space="0" w:color="auto"/>
        <w:left w:val="none" w:sz="0" w:space="0" w:color="auto"/>
        <w:bottom w:val="none" w:sz="0" w:space="0" w:color="auto"/>
        <w:right w:val="none" w:sz="0" w:space="0" w:color="auto"/>
      </w:divBdr>
      <w:divsChild>
        <w:div w:id="308367637">
          <w:marLeft w:val="0"/>
          <w:marRight w:val="0"/>
          <w:marTop w:val="0"/>
          <w:marBottom w:val="0"/>
          <w:divBdr>
            <w:top w:val="none" w:sz="0" w:space="0" w:color="auto"/>
            <w:left w:val="none" w:sz="0" w:space="0" w:color="auto"/>
            <w:bottom w:val="none" w:sz="0" w:space="0" w:color="auto"/>
            <w:right w:val="none" w:sz="0" w:space="0" w:color="auto"/>
          </w:divBdr>
          <w:divsChild>
            <w:div w:id="1247498329">
              <w:marLeft w:val="0"/>
              <w:marRight w:val="0"/>
              <w:marTop w:val="0"/>
              <w:marBottom w:val="0"/>
              <w:divBdr>
                <w:top w:val="none" w:sz="0" w:space="0" w:color="auto"/>
                <w:left w:val="none" w:sz="0" w:space="0" w:color="auto"/>
                <w:bottom w:val="none" w:sz="0" w:space="0" w:color="auto"/>
                <w:right w:val="none" w:sz="0" w:space="0" w:color="auto"/>
              </w:divBdr>
              <w:divsChild>
                <w:div w:id="2095275113">
                  <w:marLeft w:val="0"/>
                  <w:marRight w:val="0"/>
                  <w:marTop w:val="0"/>
                  <w:marBottom w:val="0"/>
                  <w:divBdr>
                    <w:top w:val="none" w:sz="0" w:space="0" w:color="auto"/>
                    <w:left w:val="none" w:sz="0" w:space="0" w:color="auto"/>
                    <w:bottom w:val="none" w:sz="0" w:space="0" w:color="auto"/>
                    <w:right w:val="none" w:sz="0" w:space="0" w:color="auto"/>
                  </w:divBdr>
                  <w:divsChild>
                    <w:div w:id="1358311978">
                      <w:marLeft w:val="0"/>
                      <w:marRight w:val="0"/>
                      <w:marTop w:val="0"/>
                      <w:marBottom w:val="0"/>
                      <w:divBdr>
                        <w:top w:val="none" w:sz="0" w:space="0" w:color="auto"/>
                        <w:left w:val="none" w:sz="0" w:space="0" w:color="auto"/>
                        <w:bottom w:val="none" w:sz="0" w:space="0" w:color="auto"/>
                        <w:right w:val="none" w:sz="0" w:space="0" w:color="auto"/>
                      </w:divBdr>
                      <w:divsChild>
                        <w:div w:id="1498031622">
                          <w:marLeft w:val="0"/>
                          <w:marRight w:val="0"/>
                          <w:marTop w:val="0"/>
                          <w:marBottom w:val="0"/>
                          <w:divBdr>
                            <w:top w:val="none" w:sz="0" w:space="0" w:color="auto"/>
                            <w:left w:val="none" w:sz="0" w:space="0" w:color="auto"/>
                            <w:bottom w:val="none" w:sz="0" w:space="0" w:color="auto"/>
                            <w:right w:val="none" w:sz="0" w:space="0" w:color="auto"/>
                          </w:divBdr>
                          <w:divsChild>
                            <w:div w:id="1481925014">
                              <w:marLeft w:val="0"/>
                              <w:marRight w:val="0"/>
                              <w:marTop w:val="0"/>
                              <w:marBottom w:val="0"/>
                              <w:divBdr>
                                <w:top w:val="none" w:sz="0" w:space="0" w:color="auto"/>
                                <w:left w:val="none" w:sz="0" w:space="0" w:color="auto"/>
                                <w:bottom w:val="none" w:sz="0" w:space="0" w:color="auto"/>
                                <w:right w:val="none" w:sz="0" w:space="0" w:color="auto"/>
                              </w:divBdr>
                              <w:divsChild>
                                <w:div w:id="1663966005">
                                  <w:marLeft w:val="0"/>
                                  <w:marRight w:val="0"/>
                                  <w:marTop w:val="0"/>
                                  <w:marBottom w:val="0"/>
                                  <w:divBdr>
                                    <w:top w:val="none" w:sz="0" w:space="0" w:color="auto"/>
                                    <w:left w:val="none" w:sz="0" w:space="0" w:color="auto"/>
                                    <w:bottom w:val="none" w:sz="0" w:space="0" w:color="auto"/>
                                    <w:right w:val="none" w:sz="0" w:space="0" w:color="auto"/>
                                  </w:divBdr>
                                  <w:divsChild>
                                    <w:div w:id="75833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9113046">
          <w:marLeft w:val="0"/>
          <w:marRight w:val="0"/>
          <w:marTop w:val="0"/>
          <w:marBottom w:val="0"/>
          <w:divBdr>
            <w:top w:val="none" w:sz="0" w:space="0" w:color="auto"/>
            <w:left w:val="none" w:sz="0" w:space="0" w:color="auto"/>
            <w:bottom w:val="none" w:sz="0" w:space="0" w:color="auto"/>
            <w:right w:val="none" w:sz="0" w:space="0" w:color="auto"/>
          </w:divBdr>
          <w:divsChild>
            <w:div w:id="130037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71996">
      <w:bodyDiv w:val="1"/>
      <w:marLeft w:val="0"/>
      <w:marRight w:val="0"/>
      <w:marTop w:val="0"/>
      <w:marBottom w:val="0"/>
      <w:divBdr>
        <w:top w:val="none" w:sz="0" w:space="0" w:color="auto"/>
        <w:left w:val="none" w:sz="0" w:space="0" w:color="auto"/>
        <w:bottom w:val="none" w:sz="0" w:space="0" w:color="auto"/>
        <w:right w:val="none" w:sz="0" w:space="0" w:color="auto"/>
      </w:divBdr>
      <w:divsChild>
        <w:div w:id="568997502">
          <w:marLeft w:val="0"/>
          <w:marRight w:val="0"/>
          <w:marTop w:val="0"/>
          <w:marBottom w:val="0"/>
          <w:divBdr>
            <w:top w:val="none" w:sz="0" w:space="0" w:color="auto"/>
            <w:left w:val="none" w:sz="0" w:space="0" w:color="auto"/>
            <w:bottom w:val="none" w:sz="0" w:space="0" w:color="auto"/>
            <w:right w:val="none" w:sz="0" w:space="0" w:color="auto"/>
          </w:divBdr>
        </w:div>
      </w:divsChild>
    </w:div>
    <w:div w:id="867912585">
      <w:bodyDiv w:val="1"/>
      <w:marLeft w:val="0"/>
      <w:marRight w:val="0"/>
      <w:marTop w:val="0"/>
      <w:marBottom w:val="0"/>
      <w:divBdr>
        <w:top w:val="none" w:sz="0" w:space="0" w:color="auto"/>
        <w:left w:val="none" w:sz="0" w:space="0" w:color="auto"/>
        <w:bottom w:val="none" w:sz="0" w:space="0" w:color="auto"/>
        <w:right w:val="none" w:sz="0" w:space="0" w:color="auto"/>
      </w:divBdr>
    </w:div>
    <w:div w:id="892619343">
      <w:bodyDiv w:val="1"/>
      <w:marLeft w:val="0"/>
      <w:marRight w:val="0"/>
      <w:marTop w:val="0"/>
      <w:marBottom w:val="0"/>
      <w:divBdr>
        <w:top w:val="none" w:sz="0" w:space="0" w:color="auto"/>
        <w:left w:val="none" w:sz="0" w:space="0" w:color="auto"/>
        <w:bottom w:val="none" w:sz="0" w:space="0" w:color="auto"/>
        <w:right w:val="none" w:sz="0" w:space="0" w:color="auto"/>
      </w:divBdr>
    </w:div>
    <w:div w:id="938098764">
      <w:bodyDiv w:val="1"/>
      <w:marLeft w:val="0"/>
      <w:marRight w:val="0"/>
      <w:marTop w:val="0"/>
      <w:marBottom w:val="0"/>
      <w:divBdr>
        <w:top w:val="none" w:sz="0" w:space="0" w:color="auto"/>
        <w:left w:val="none" w:sz="0" w:space="0" w:color="auto"/>
        <w:bottom w:val="none" w:sz="0" w:space="0" w:color="auto"/>
        <w:right w:val="none" w:sz="0" w:space="0" w:color="auto"/>
      </w:divBdr>
    </w:div>
    <w:div w:id="958612709">
      <w:bodyDiv w:val="1"/>
      <w:marLeft w:val="0"/>
      <w:marRight w:val="0"/>
      <w:marTop w:val="0"/>
      <w:marBottom w:val="0"/>
      <w:divBdr>
        <w:top w:val="none" w:sz="0" w:space="0" w:color="auto"/>
        <w:left w:val="none" w:sz="0" w:space="0" w:color="auto"/>
        <w:bottom w:val="none" w:sz="0" w:space="0" w:color="auto"/>
        <w:right w:val="none" w:sz="0" w:space="0" w:color="auto"/>
      </w:divBdr>
    </w:div>
    <w:div w:id="1074279657">
      <w:bodyDiv w:val="1"/>
      <w:marLeft w:val="0"/>
      <w:marRight w:val="0"/>
      <w:marTop w:val="0"/>
      <w:marBottom w:val="0"/>
      <w:divBdr>
        <w:top w:val="none" w:sz="0" w:space="0" w:color="auto"/>
        <w:left w:val="none" w:sz="0" w:space="0" w:color="auto"/>
        <w:bottom w:val="none" w:sz="0" w:space="0" w:color="auto"/>
        <w:right w:val="none" w:sz="0" w:space="0" w:color="auto"/>
      </w:divBdr>
    </w:div>
    <w:div w:id="1257787851">
      <w:bodyDiv w:val="1"/>
      <w:marLeft w:val="0"/>
      <w:marRight w:val="0"/>
      <w:marTop w:val="0"/>
      <w:marBottom w:val="0"/>
      <w:divBdr>
        <w:top w:val="none" w:sz="0" w:space="0" w:color="auto"/>
        <w:left w:val="none" w:sz="0" w:space="0" w:color="auto"/>
        <w:bottom w:val="none" w:sz="0" w:space="0" w:color="auto"/>
        <w:right w:val="none" w:sz="0" w:space="0" w:color="auto"/>
      </w:divBdr>
    </w:div>
    <w:div w:id="1292324756">
      <w:bodyDiv w:val="1"/>
      <w:marLeft w:val="0"/>
      <w:marRight w:val="0"/>
      <w:marTop w:val="0"/>
      <w:marBottom w:val="0"/>
      <w:divBdr>
        <w:top w:val="none" w:sz="0" w:space="0" w:color="auto"/>
        <w:left w:val="none" w:sz="0" w:space="0" w:color="auto"/>
        <w:bottom w:val="none" w:sz="0" w:space="0" w:color="auto"/>
        <w:right w:val="none" w:sz="0" w:space="0" w:color="auto"/>
      </w:divBdr>
    </w:div>
    <w:div w:id="1340425861">
      <w:bodyDiv w:val="1"/>
      <w:marLeft w:val="0"/>
      <w:marRight w:val="0"/>
      <w:marTop w:val="0"/>
      <w:marBottom w:val="0"/>
      <w:divBdr>
        <w:top w:val="none" w:sz="0" w:space="0" w:color="auto"/>
        <w:left w:val="none" w:sz="0" w:space="0" w:color="auto"/>
        <w:bottom w:val="none" w:sz="0" w:space="0" w:color="auto"/>
        <w:right w:val="none" w:sz="0" w:space="0" w:color="auto"/>
      </w:divBdr>
      <w:divsChild>
        <w:div w:id="471095778">
          <w:marLeft w:val="0"/>
          <w:marRight w:val="0"/>
          <w:marTop w:val="0"/>
          <w:marBottom w:val="0"/>
          <w:divBdr>
            <w:top w:val="none" w:sz="0" w:space="0" w:color="auto"/>
            <w:left w:val="none" w:sz="0" w:space="0" w:color="auto"/>
            <w:bottom w:val="none" w:sz="0" w:space="0" w:color="auto"/>
            <w:right w:val="none" w:sz="0" w:space="0" w:color="auto"/>
          </w:divBdr>
          <w:divsChild>
            <w:div w:id="109476526">
              <w:marLeft w:val="0"/>
              <w:marRight w:val="0"/>
              <w:marTop w:val="0"/>
              <w:marBottom w:val="0"/>
              <w:divBdr>
                <w:top w:val="none" w:sz="0" w:space="0" w:color="auto"/>
                <w:left w:val="none" w:sz="0" w:space="0" w:color="auto"/>
                <w:bottom w:val="none" w:sz="0" w:space="0" w:color="auto"/>
                <w:right w:val="none" w:sz="0" w:space="0" w:color="auto"/>
              </w:divBdr>
              <w:divsChild>
                <w:div w:id="847213816">
                  <w:marLeft w:val="0"/>
                  <w:marRight w:val="0"/>
                  <w:marTop w:val="0"/>
                  <w:marBottom w:val="0"/>
                  <w:divBdr>
                    <w:top w:val="none" w:sz="0" w:space="0" w:color="auto"/>
                    <w:left w:val="none" w:sz="0" w:space="0" w:color="auto"/>
                    <w:bottom w:val="none" w:sz="0" w:space="0" w:color="auto"/>
                    <w:right w:val="none" w:sz="0" w:space="0" w:color="auto"/>
                  </w:divBdr>
                  <w:divsChild>
                    <w:div w:id="671835298">
                      <w:marLeft w:val="0"/>
                      <w:marRight w:val="0"/>
                      <w:marTop w:val="0"/>
                      <w:marBottom w:val="0"/>
                      <w:divBdr>
                        <w:top w:val="none" w:sz="0" w:space="0" w:color="auto"/>
                        <w:left w:val="none" w:sz="0" w:space="0" w:color="auto"/>
                        <w:bottom w:val="none" w:sz="0" w:space="0" w:color="auto"/>
                        <w:right w:val="none" w:sz="0" w:space="0" w:color="auto"/>
                      </w:divBdr>
                      <w:divsChild>
                        <w:div w:id="1058868766">
                          <w:marLeft w:val="0"/>
                          <w:marRight w:val="0"/>
                          <w:marTop w:val="0"/>
                          <w:marBottom w:val="0"/>
                          <w:divBdr>
                            <w:top w:val="none" w:sz="0" w:space="0" w:color="auto"/>
                            <w:left w:val="none" w:sz="0" w:space="0" w:color="auto"/>
                            <w:bottom w:val="none" w:sz="0" w:space="0" w:color="auto"/>
                            <w:right w:val="none" w:sz="0" w:space="0" w:color="auto"/>
                          </w:divBdr>
                          <w:divsChild>
                            <w:div w:id="942112161">
                              <w:marLeft w:val="0"/>
                              <w:marRight w:val="0"/>
                              <w:marTop w:val="0"/>
                              <w:marBottom w:val="0"/>
                              <w:divBdr>
                                <w:top w:val="none" w:sz="0" w:space="0" w:color="auto"/>
                                <w:left w:val="none" w:sz="0" w:space="0" w:color="auto"/>
                                <w:bottom w:val="none" w:sz="0" w:space="0" w:color="auto"/>
                                <w:right w:val="none" w:sz="0" w:space="0" w:color="auto"/>
                              </w:divBdr>
                              <w:divsChild>
                                <w:div w:id="1277523641">
                                  <w:marLeft w:val="0"/>
                                  <w:marRight w:val="0"/>
                                  <w:marTop w:val="0"/>
                                  <w:marBottom w:val="0"/>
                                  <w:divBdr>
                                    <w:top w:val="none" w:sz="0" w:space="0" w:color="auto"/>
                                    <w:left w:val="none" w:sz="0" w:space="0" w:color="auto"/>
                                    <w:bottom w:val="none" w:sz="0" w:space="0" w:color="auto"/>
                                    <w:right w:val="none" w:sz="0" w:space="0" w:color="auto"/>
                                  </w:divBdr>
                                  <w:divsChild>
                                    <w:div w:id="47025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0407221">
          <w:marLeft w:val="0"/>
          <w:marRight w:val="0"/>
          <w:marTop w:val="0"/>
          <w:marBottom w:val="0"/>
          <w:divBdr>
            <w:top w:val="none" w:sz="0" w:space="0" w:color="auto"/>
            <w:left w:val="none" w:sz="0" w:space="0" w:color="auto"/>
            <w:bottom w:val="none" w:sz="0" w:space="0" w:color="auto"/>
            <w:right w:val="none" w:sz="0" w:space="0" w:color="auto"/>
          </w:divBdr>
          <w:divsChild>
            <w:div w:id="118813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057782">
      <w:bodyDiv w:val="1"/>
      <w:marLeft w:val="0"/>
      <w:marRight w:val="0"/>
      <w:marTop w:val="0"/>
      <w:marBottom w:val="0"/>
      <w:divBdr>
        <w:top w:val="none" w:sz="0" w:space="0" w:color="auto"/>
        <w:left w:val="none" w:sz="0" w:space="0" w:color="auto"/>
        <w:bottom w:val="none" w:sz="0" w:space="0" w:color="auto"/>
        <w:right w:val="none" w:sz="0" w:space="0" w:color="auto"/>
      </w:divBdr>
      <w:divsChild>
        <w:div w:id="279385886">
          <w:marLeft w:val="0"/>
          <w:marRight w:val="0"/>
          <w:marTop w:val="0"/>
          <w:marBottom w:val="0"/>
          <w:divBdr>
            <w:top w:val="none" w:sz="0" w:space="0" w:color="auto"/>
            <w:left w:val="none" w:sz="0" w:space="0" w:color="auto"/>
            <w:bottom w:val="none" w:sz="0" w:space="0" w:color="auto"/>
            <w:right w:val="none" w:sz="0" w:space="0" w:color="auto"/>
          </w:divBdr>
        </w:div>
      </w:divsChild>
    </w:div>
    <w:div w:id="1598828230">
      <w:bodyDiv w:val="1"/>
      <w:marLeft w:val="0"/>
      <w:marRight w:val="0"/>
      <w:marTop w:val="0"/>
      <w:marBottom w:val="0"/>
      <w:divBdr>
        <w:top w:val="none" w:sz="0" w:space="0" w:color="auto"/>
        <w:left w:val="none" w:sz="0" w:space="0" w:color="auto"/>
        <w:bottom w:val="none" w:sz="0" w:space="0" w:color="auto"/>
        <w:right w:val="none" w:sz="0" w:space="0" w:color="auto"/>
      </w:divBdr>
    </w:div>
    <w:div w:id="1695376127">
      <w:bodyDiv w:val="1"/>
      <w:marLeft w:val="0"/>
      <w:marRight w:val="0"/>
      <w:marTop w:val="0"/>
      <w:marBottom w:val="0"/>
      <w:divBdr>
        <w:top w:val="none" w:sz="0" w:space="0" w:color="auto"/>
        <w:left w:val="none" w:sz="0" w:space="0" w:color="auto"/>
        <w:bottom w:val="none" w:sz="0" w:space="0" w:color="auto"/>
        <w:right w:val="none" w:sz="0" w:space="0" w:color="auto"/>
      </w:divBdr>
    </w:div>
    <w:div w:id="1886871197">
      <w:bodyDiv w:val="1"/>
      <w:marLeft w:val="0"/>
      <w:marRight w:val="0"/>
      <w:marTop w:val="0"/>
      <w:marBottom w:val="0"/>
      <w:divBdr>
        <w:top w:val="none" w:sz="0" w:space="0" w:color="auto"/>
        <w:left w:val="none" w:sz="0" w:space="0" w:color="auto"/>
        <w:bottom w:val="none" w:sz="0" w:space="0" w:color="auto"/>
        <w:right w:val="none" w:sz="0" w:space="0" w:color="auto"/>
      </w:divBdr>
    </w:div>
    <w:div w:id="2002922349">
      <w:bodyDiv w:val="1"/>
      <w:marLeft w:val="0"/>
      <w:marRight w:val="0"/>
      <w:marTop w:val="0"/>
      <w:marBottom w:val="0"/>
      <w:divBdr>
        <w:top w:val="none" w:sz="0" w:space="0" w:color="auto"/>
        <w:left w:val="none" w:sz="0" w:space="0" w:color="auto"/>
        <w:bottom w:val="none" w:sz="0" w:space="0" w:color="auto"/>
        <w:right w:val="none" w:sz="0" w:space="0" w:color="auto"/>
      </w:divBdr>
    </w:div>
    <w:div w:id="2121682573">
      <w:bodyDiv w:val="1"/>
      <w:marLeft w:val="0"/>
      <w:marRight w:val="0"/>
      <w:marTop w:val="0"/>
      <w:marBottom w:val="0"/>
      <w:divBdr>
        <w:top w:val="none" w:sz="0" w:space="0" w:color="auto"/>
        <w:left w:val="none" w:sz="0" w:space="0" w:color="auto"/>
        <w:bottom w:val="none" w:sz="0" w:space="0" w:color="auto"/>
        <w:right w:val="none" w:sz="0" w:space="0" w:color="auto"/>
      </w:divBdr>
    </w:div>
    <w:div w:id="2147383854">
      <w:bodyDiv w:val="1"/>
      <w:marLeft w:val="0"/>
      <w:marRight w:val="0"/>
      <w:marTop w:val="0"/>
      <w:marBottom w:val="0"/>
      <w:divBdr>
        <w:top w:val="none" w:sz="0" w:space="0" w:color="auto"/>
        <w:left w:val="none" w:sz="0" w:space="0" w:color="auto"/>
        <w:bottom w:val="none" w:sz="0" w:space="0" w:color="auto"/>
        <w:right w:val="none" w:sz="0" w:space="0" w:color="auto"/>
      </w:divBdr>
      <w:divsChild>
        <w:div w:id="1856798332">
          <w:marLeft w:val="0"/>
          <w:marRight w:val="0"/>
          <w:marTop w:val="0"/>
          <w:marBottom w:val="0"/>
          <w:divBdr>
            <w:top w:val="none" w:sz="0" w:space="0" w:color="auto"/>
            <w:left w:val="none" w:sz="0" w:space="0" w:color="auto"/>
            <w:bottom w:val="none" w:sz="0" w:space="0" w:color="auto"/>
            <w:right w:val="none" w:sz="0" w:space="0" w:color="auto"/>
          </w:divBdr>
          <w:divsChild>
            <w:div w:id="353909">
              <w:marLeft w:val="0"/>
              <w:marRight w:val="0"/>
              <w:marTop w:val="0"/>
              <w:marBottom w:val="0"/>
              <w:divBdr>
                <w:top w:val="none" w:sz="0" w:space="0" w:color="auto"/>
                <w:left w:val="none" w:sz="0" w:space="0" w:color="auto"/>
                <w:bottom w:val="none" w:sz="0" w:space="0" w:color="auto"/>
                <w:right w:val="none" w:sz="0" w:space="0" w:color="auto"/>
              </w:divBdr>
            </w:div>
            <w:div w:id="4863023">
              <w:marLeft w:val="0"/>
              <w:marRight w:val="0"/>
              <w:marTop w:val="0"/>
              <w:marBottom w:val="0"/>
              <w:divBdr>
                <w:top w:val="none" w:sz="0" w:space="0" w:color="auto"/>
                <w:left w:val="none" w:sz="0" w:space="0" w:color="auto"/>
                <w:bottom w:val="none" w:sz="0" w:space="0" w:color="auto"/>
                <w:right w:val="none" w:sz="0" w:space="0" w:color="auto"/>
              </w:divBdr>
            </w:div>
            <w:div w:id="12071606">
              <w:marLeft w:val="0"/>
              <w:marRight w:val="0"/>
              <w:marTop w:val="0"/>
              <w:marBottom w:val="0"/>
              <w:divBdr>
                <w:top w:val="none" w:sz="0" w:space="0" w:color="auto"/>
                <w:left w:val="none" w:sz="0" w:space="0" w:color="auto"/>
                <w:bottom w:val="none" w:sz="0" w:space="0" w:color="auto"/>
                <w:right w:val="none" w:sz="0" w:space="0" w:color="auto"/>
              </w:divBdr>
            </w:div>
            <w:div w:id="15424705">
              <w:marLeft w:val="0"/>
              <w:marRight w:val="0"/>
              <w:marTop w:val="0"/>
              <w:marBottom w:val="0"/>
              <w:divBdr>
                <w:top w:val="none" w:sz="0" w:space="0" w:color="auto"/>
                <w:left w:val="none" w:sz="0" w:space="0" w:color="auto"/>
                <w:bottom w:val="none" w:sz="0" w:space="0" w:color="auto"/>
                <w:right w:val="none" w:sz="0" w:space="0" w:color="auto"/>
              </w:divBdr>
            </w:div>
            <w:div w:id="21371456">
              <w:marLeft w:val="0"/>
              <w:marRight w:val="0"/>
              <w:marTop w:val="0"/>
              <w:marBottom w:val="0"/>
              <w:divBdr>
                <w:top w:val="none" w:sz="0" w:space="0" w:color="auto"/>
                <w:left w:val="none" w:sz="0" w:space="0" w:color="auto"/>
                <w:bottom w:val="none" w:sz="0" w:space="0" w:color="auto"/>
                <w:right w:val="none" w:sz="0" w:space="0" w:color="auto"/>
              </w:divBdr>
            </w:div>
            <w:div w:id="21828241">
              <w:marLeft w:val="0"/>
              <w:marRight w:val="0"/>
              <w:marTop w:val="0"/>
              <w:marBottom w:val="0"/>
              <w:divBdr>
                <w:top w:val="none" w:sz="0" w:space="0" w:color="auto"/>
                <w:left w:val="none" w:sz="0" w:space="0" w:color="auto"/>
                <w:bottom w:val="none" w:sz="0" w:space="0" w:color="auto"/>
                <w:right w:val="none" w:sz="0" w:space="0" w:color="auto"/>
              </w:divBdr>
            </w:div>
            <w:div w:id="23872671">
              <w:marLeft w:val="0"/>
              <w:marRight w:val="0"/>
              <w:marTop w:val="0"/>
              <w:marBottom w:val="0"/>
              <w:divBdr>
                <w:top w:val="none" w:sz="0" w:space="0" w:color="auto"/>
                <w:left w:val="none" w:sz="0" w:space="0" w:color="auto"/>
                <w:bottom w:val="none" w:sz="0" w:space="0" w:color="auto"/>
                <w:right w:val="none" w:sz="0" w:space="0" w:color="auto"/>
              </w:divBdr>
            </w:div>
            <w:div w:id="26833712">
              <w:marLeft w:val="0"/>
              <w:marRight w:val="0"/>
              <w:marTop w:val="0"/>
              <w:marBottom w:val="0"/>
              <w:divBdr>
                <w:top w:val="none" w:sz="0" w:space="0" w:color="auto"/>
                <w:left w:val="none" w:sz="0" w:space="0" w:color="auto"/>
                <w:bottom w:val="none" w:sz="0" w:space="0" w:color="auto"/>
                <w:right w:val="none" w:sz="0" w:space="0" w:color="auto"/>
              </w:divBdr>
            </w:div>
            <w:div w:id="31073915">
              <w:marLeft w:val="0"/>
              <w:marRight w:val="0"/>
              <w:marTop w:val="0"/>
              <w:marBottom w:val="0"/>
              <w:divBdr>
                <w:top w:val="none" w:sz="0" w:space="0" w:color="auto"/>
                <w:left w:val="none" w:sz="0" w:space="0" w:color="auto"/>
                <w:bottom w:val="none" w:sz="0" w:space="0" w:color="auto"/>
                <w:right w:val="none" w:sz="0" w:space="0" w:color="auto"/>
              </w:divBdr>
            </w:div>
            <w:div w:id="42600627">
              <w:marLeft w:val="0"/>
              <w:marRight w:val="0"/>
              <w:marTop w:val="0"/>
              <w:marBottom w:val="0"/>
              <w:divBdr>
                <w:top w:val="none" w:sz="0" w:space="0" w:color="auto"/>
                <w:left w:val="none" w:sz="0" w:space="0" w:color="auto"/>
                <w:bottom w:val="none" w:sz="0" w:space="0" w:color="auto"/>
                <w:right w:val="none" w:sz="0" w:space="0" w:color="auto"/>
              </w:divBdr>
            </w:div>
            <w:div w:id="44111920">
              <w:marLeft w:val="0"/>
              <w:marRight w:val="0"/>
              <w:marTop w:val="0"/>
              <w:marBottom w:val="0"/>
              <w:divBdr>
                <w:top w:val="none" w:sz="0" w:space="0" w:color="auto"/>
                <w:left w:val="none" w:sz="0" w:space="0" w:color="auto"/>
                <w:bottom w:val="none" w:sz="0" w:space="0" w:color="auto"/>
                <w:right w:val="none" w:sz="0" w:space="0" w:color="auto"/>
              </w:divBdr>
            </w:div>
            <w:div w:id="60253151">
              <w:marLeft w:val="0"/>
              <w:marRight w:val="0"/>
              <w:marTop w:val="0"/>
              <w:marBottom w:val="0"/>
              <w:divBdr>
                <w:top w:val="none" w:sz="0" w:space="0" w:color="auto"/>
                <w:left w:val="none" w:sz="0" w:space="0" w:color="auto"/>
                <w:bottom w:val="none" w:sz="0" w:space="0" w:color="auto"/>
                <w:right w:val="none" w:sz="0" w:space="0" w:color="auto"/>
              </w:divBdr>
            </w:div>
            <w:div w:id="61291584">
              <w:marLeft w:val="0"/>
              <w:marRight w:val="0"/>
              <w:marTop w:val="0"/>
              <w:marBottom w:val="0"/>
              <w:divBdr>
                <w:top w:val="none" w:sz="0" w:space="0" w:color="auto"/>
                <w:left w:val="none" w:sz="0" w:space="0" w:color="auto"/>
                <w:bottom w:val="none" w:sz="0" w:space="0" w:color="auto"/>
                <w:right w:val="none" w:sz="0" w:space="0" w:color="auto"/>
              </w:divBdr>
            </w:div>
            <w:div w:id="67770876">
              <w:marLeft w:val="0"/>
              <w:marRight w:val="0"/>
              <w:marTop w:val="0"/>
              <w:marBottom w:val="0"/>
              <w:divBdr>
                <w:top w:val="none" w:sz="0" w:space="0" w:color="auto"/>
                <w:left w:val="none" w:sz="0" w:space="0" w:color="auto"/>
                <w:bottom w:val="none" w:sz="0" w:space="0" w:color="auto"/>
                <w:right w:val="none" w:sz="0" w:space="0" w:color="auto"/>
              </w:divBdr>
            </w:div>
            <w:div w:id="76903048">
              <w:marLeft w:val="0"/>
              <w:marRight w:val="0"/>
              <w:marTop w:val="0"/>
              <w:marBottom w:val="0"/>
              <w:divBdr>
                <w:top w:val="none" w:sz="0" w:space="0" w:color="auto"/>
                <w:left w:val="none" w:sz="0" w:space="0" w:color="auto"/>
                <w:bottom w:val="none" w:sz="0" w:space="0" w:color="auto"/>
                <w:right w:val="none" w:sz="0" w:space="0" w:color="auto"/>
              </w:divBdr>
            </w:div>
            <w:div w:id="79176540">
              <w:marLeft w:val="0"/>
              <w:marRight w:val="0"/>
              <w:marTop w:val="0"/>
              <w:marBottom w:val="0"/>
              <w:divBdr>
                <w:top w:val="none" w:sz="0" w:space="0" w:color="auto"/>
                <w:left w:val="none" w:sz="0" w:space="0" w:color="auto"/>
                <w:bottom w:val="none" w:sz="0" w:space="0" w:color="auto"/>
                <w:right w:val="none" w:sz="0" w:space="0" w:color="auto"/>
              </w:divBdr>
            </w:div>
            <w:div w:id="81413114">
              <w:marLeft w:val="0"/>
              <w:marRight w:val="0"/>
              <w:marTop w:val="0"/>
              <w:marBottom w:val="0"/>
              <w:divBdr>
                <w:top w:val="none" w:sz="0" w:space="0" w:color="auto"/>
                <w:left w:val="none" w:sz="0" w:space="0" w:color="auto"/>
                <w:bottom w:val="none" w:sz="0" w:space="0" w:color="auto"/>
                <w:right w:val="none" w:sz="0" w:space="0" w:color="auto"/>
              </w:divBdr>
            </w:div>
            <w:div w:id="85809485">
              <w:marLeft w:val="0"/>
              <w:marRight w:val="0"/>
              <w:marTop w:val="0"/>
              <w:marBottom w:val="0"/>
              <w:divBdr>
                <w:top w:val="none" w:sz="0" w:space="0" w:color="auto"/>
                <w:left w:val="none" w:sz="0" w:space="0" w:color="auto"/>
                <w:bottom w:val="none" w:sz="0" w:space="0" w:color="auto"/>
                <w:right w:val="none" w:sz="0" w:space="0" w:color="auto"/>
              </w:divBdr>
            </w:div>
            <w:div w:id="87967969">
              <w:marLeft w:val="0"/>
              <w:marRight w:val="0"/>
              <w:marTop w:val="0"/>
              <w:marBottom w:val="0"/>
              <w:divBdr>
                <w:top w:val="none" w:sz="0" w:space="0" w:color="auto"/>
                <w:left w:val="none" w:sz="0" w:space="0" w:color="auto"/>
                <w:bottom w:val="none" w:sz="0" w:space="0" w:color="auto"/>
                <w:right w:val="none" w:sz="0" w:space="0" w:color="auto"/>
              </w:divBdr>
            </w:div>
            <w:div w:id="97724769">
              <w:marLeft w:val="0"/>
              <w:marRight w:val="0"/>
              <w:marTop w:val="0"/>
              <w:marBottom w:val="0"/>
              <w:divBdr>
                <w:top w:val="none" w:sz="0" w:space="0" w:color="auto"/>
                <w:left w:val="none" w:sz="0" w:space="0" w:color="auto"/>
                <w:bottom w:val="none" w:sz="0" w:space="0" w:color="auto"/>
                <w:right w:val="none" w:sz="0" w:space="0" w:color="auto"/>
              </w:divBdr>
            </w:div>
            <w:div w:id="109669431">
              <w:marLeft w:val="0"/>
              <w:marRight w:val="0"/>
              <w:marTop w:val="0"/>
              <w:marBottom w:val="0"/>
              <w:divBdr>
                <w:top w:val="none" w:sz="0" w:space="0" w:color="auto"/>
                <w:left w:val="none" w:sz="0" w:space="0" w:color="auto"/>
                <w:bottom w:val="none" w:sz="0" w:space="0" w:color="auto"/>
                <w:right w:val="none" w:sz="0" w:space="0" w:color="auto"/>
              </w:divBdr>
            </w:div>
            <w:div w:id="115569175">
              <w:marLeft w:val="0"/>
              <w:marRight w:val="0"/>
              <w:marTop w:val="0"/>
              <w:marBottom w:val="0"/>
              <w:divBdr>
                <w:top w:val="none" w:sz="0" w:space="0" w:color="auto"/>
                <w:left w:val="none" w:sz="0" w:space="0" w:color="auto"/>
                <w:bottom w:val="none" w:sz="0" w:space="0" w:color="auto"/>
                <w:right w:val="none" w:sz="0" w:space="0" w:color="auto"/>
              </w:divBdr>
            </w:div>
            <w:div w:id="118307114">
              <w:marLeft w:val="0"/>
              <w:marRight w:val="0"/>
              <w:marTop w:val="0"/>
              <w:marBottom w:val="0"/>
              <w:divBdr>
                <w:top w:val="none" w:sz="0" w:space="0" w:color="auto"/>
                <w:left w:val="none" w:sz="0" w:space="0" w:color="auto"/>
                <w:bottom w:val="none" w:sz="0" w:space="0" w:color="auto"/>
                <w:right w:val="none" w:sz="0" w:space="0" w:color="auto"/>
              </w:divBdr>
            </w:div>
            <w:div w:id="133643204">
              <w:marLeft w:val="0"/>
              <w:marRight w:val="0"/>
              <w:marTop w:val="0"/>
              <w:marBottom w:val="0"/>
              <w:divBdr>
                <w:top w:val="none" w:sz="0" w:space="0" w:color="auto"/>
                <w:left w:val="none" w:sz="0" w:space="0" w:color="auto"/>
                <w:bottom w:val="none" w:sz="0" w:space="0" w:color="auto"/>
                <w:right w:val="none" w:sz="0" w:space="0" w:color="auto"/>
              </w:divBdr>
            </w:div>
            <w:div w:id="135225651">
              <w:marLeft w:val="0"/>
              <w:marRight w:val="0"/>
              <w:marTop w:val="0"/>
              <w:marBottom w:val="0"/>
              <w:divBdr>
                <w:top w:val="none" w:sz="0" w:space="0" w:color="auto"/>
                <w:left w:val="none" w:sz="0" w:space="0" w:color="auto"/>
                <w:bottom w:val="none" w:sz="0" w:space="0" w:color="auto"/>
                <w:right w:val="none" w:sz="0" w:space="0" w:color="auto"/>
              </w:divBdr>
            </w:div>
            <w:div w:id="151338619">
              <w:marLeft w:val="0"/>
              <w:marRight w:val="0"/>
              <w:marTop w:val="0"/>
              <w:marBottom w:val="0"/>
              <w:divBdr>
                <w:top w:val="none" w:sz="0" w:space="0" w:color="auto"/>
                <w:left w:val="none" w:sz="0" w:space="0" w:color="auto"/>
                <w:bottom w:val="none" w:sz="0" w:space="0" w:color="auto"/>
                <w:right w:val="none" w:sz="0" w:space="0" w:color="auto"/>
              </w:divBdr>
            </w:div>
            <w:div w:id="166141553">
              <w:marLeft w:val="0"/>
              <w:marRight w:val="0"/>
              <w:marTop w:val="0"/>
              <w:marBottom w:val="0"/>
              <w:divBdr>
                <w:top w:val="none" w:sz="0" w:space="0" w:color="auto"/>
                <w:left w:val="none" w:sz="0" w:space="0" w:color="auto"/>
                <w:bottom w:val="none" w:sz="0" w:space="0" w:color="auto"/>
                <w:right w:val="none" w:sz="0" w:space="0" w:color="auto"/>
              </w:divBdr>
            </w:div>
            <w:div w:id="168107277">
              <w:marLeft w:val="0"/>
              <w:marRight w:val="0"/>
              <w:marTop w:val="0"/>
              <w:marBottom w:val="0"/>
              <w:divBdr>
                <w:top w:val="none" w:sz="0" w:space="0" w:color="auto"/>
                <w:left w:val="none" w:sz="0" w:space="0" w:color="auto"/>
                <w:bottom w:val="none" w:sz="0" w:space="0" w:color="auto"/>
                <w:right w:val="none" w:sz="0" w:space="0" w:color="auto"/>
              </w:divBdr>
            </w:div>
            <w:div w:id="174271812">
              <w:marLeft w:val="0"/>
              <w:marRight w:val="0"/>
              <w:marTop w:val="0"/>
              <w:marBottom w:val="0"/>
              <w:divBdr>
                <w:top w:val="none" w:sz="0" w:space="0" w:color="auto"/>
                <w:left w:val="none" w:sz="0" w:space="0" w:color="auto"/>
                <w:bottom w:val="none" w:sz="0" w:space="0" w:color="auto"/>
                <w:right w:val="none" w:sz="0" w:space="0" w:color="auto"/>
              </w:divBdr>
            </w:div>
            <w:div w:id="181559016">
              <w:marLeft w:val="0"/>
              <w:marRight w:val="0"/>
              <w:marTop w:val="0"/>
              <w:marBottom w:val="0"/>
              <w:divBdr>
                <w:top w:val="none" w:sz="0" w:space="0" w:color="auto"/>
                <w:left w:val="none" w:sz="0" w:space="0" w:color="auto"/>
                <w:bottom w:val="none" w:sz="0" w:space="0" w:color="auto"/>
                <w:right w:val="none" w:sz="0" w:space="0" w:color="auto"/>
              </w:divBdr>
            </w:div>
            <w:div w:id="182478611">
              <w:marLeft w:val="0"/>
              <w:marRight w:val="0"/>
              <w:marTop w:val="0"/>
              <w:marBottom w:val="0"/>
              <w:divBdr>
                <w:top w:val="none" w:sz="0" w:space="0" w:color="auto"/>
                <w:left w:val="none" w:sz="0" w:space="0" w:color="auto"/>
                <w:bottom w:val="none" w:sz="0" w:space="0" w:color="auto"/>
                <w:right w:val="none" w:sz="0" w:space="0" w:color="auto"/>
              </w:divBdr>
            </w:div>
            <w:div w:id="196771477">
              <w:marLeft w:val="0"/>
              <w:marRight w:val="0"/>
              <w:marTop w:val="0"/>
              <w:marBottom w:val="0"/>
              <w:divBdr>
                <w:top w:val="none" w:sz="0" w:space="0" w:color="auto"/>
                <w:left w:val="none" w:sz="0" w:space="0" w:color="auto"/>
                <w:bottom w:val="none" w:sz="0" w:space="0" w:color="auto"/>
                <w:right w:val="none" w:sz="0" w:space="0" w:color="auto"/>
              </w:divBdr>
            </w:div>
            <w:div w:id="199511479">
              <w:marLeft w:val="0"/>
              <w:marRight w:val="0"/>
              <w:marTop w:val="0"/>
              <w:marBottom w:val="0"/>
              <w:divBdr>
                <w:top w:val="none" w:sz="0" w:space="0" w:color="auto"/>
                <w:left w:val="none" w:sz="0" w:space="0" w:color="auto"/>
                <w:bottom w:val="none" w:sz="0" w:space="0" w:color="auto"/>
                <w:right w:val="none" w:sz="0" w:space="0" w:color="auto"/>
              </w:divBdr>
            </w:div>
            <w:div w:id="212232031">
              <w:marLeft w:val="0"/>
              <w:marRight w:val="0"/>
              <w:marTop w:val="0"/>
              <w:marBottom w:val="0"/>
              <w:divBdr>
                <w:top w:val="none" w:sz="0" w:space="0" w:color="auto"/>
                <w:left w:val="none" w:sz="0" w:space="0" w:color="auto"/>
                <w:bottom w:val="none" w:sz="0" w:space="0" w:color="auto"/>
                <w:right w:val="none" w:sz="0" w:space="0" w:color="auto"/>
              </w:divBdr>
            </w:div>
            <w:div w:id="213009015">
              <w:marLeft w:val="0"/>
              <w:marRight w:val="0"/>
              <w:marTop w:val="0"/>
              <w:marBottom w:val="0"/>
              <w:divBdr>
                <w:top w:val="none" w:sz="0" w:space="0" w:color="auto"/>
                <w:left w:val="none" w:sz="0" w:space="0" w:color="auto"/>
                <w:bottom w:val="none" w:sz="0" w:space="0" w:color="auto"/>
                <w:right w:val="none" w:sz="0" w:space="0" w:color="auto"/>
              </w:divBdr>
            </w:div>
            <w:div w:id="219174137">
              <w:marLeft w:val="0"/>
              <w:marRight w:val="0"/>
              <w:marTop w:val="0"/>
              <w:marBottom w:val="0"/>
              <w:divBdr>
                <w:top w:val="none" w:sz="0" w:space="0" w:color="auto"/>
                <w:left w:val="none" w:sz="0" w:space="0" w:color="auto"/>
                <w:bottom w:val="none" w:sz="0" w:space="0" w:color="auto"/>
                <w:right w:val="none" w:sz="0" w:space="0" w:color="auto"/>
              </w:divBdr>
            </w:div>
            <w:div w:id="220413003">
              <w:marLeft w:val="0"/>
              <w:marRight w:val="0"/>
              <w:marTop w:val="0"/>
              <w:marBottom w:val="0"/>
              <w:divBdr>
                <w:top w:val="none" w:sz="0" w:space="0" w:color="auto"/>
                <w:left w:val="none" w:sz="0" w:space="0" w:color="auto"/>
                <w:bottom w:val="none" w:sz="0" w:space="0" w:color="auto"/>
                <w:right w:val="none" w:sz="0" w:space="0" w:color="auto"/>
              </w:divBdr>
            </w:div>
            <w:div w:id="220945803">
              <w:marLeft w:val="0"/>
              <w:marRight w:val="0"/>
              <w:marTop w:val="0"/>
              <w:marBottom w:val="0"/>
              <w:divBdr>
                <w:top w:val="none" w:sz="0" w:space="0" w:color="auto"/>
                <w:left w:val="none" w:sz="0" w:space="0" w:color="auto"/>
                <w:bottom w:val="none" w:sz="0" w:space="0" w:color="auto"/>
                <w:right w:val="none" w:sz="0" w:space="0" w:color="auto"/>
              </w:divBdr>
            </w:div>
            <w:div w:id="224682244">
              <w:marLeft w:val="0"/>
              <w:marRight w:val="0"/>
              <w:marTop w:val="0"/>
              <w:marBottom w:val="0"/>
              <w:divBdr>
                <w:top w:val="none" w:sz="0" w:space="0" w:color="auto"/>
                <w:left w:val="none" w:sz="0" w:space="0" w:color="auto"/>
                <w:bottom w:val="none" w:sz="0" w:space="0" w:color="auto"/>
                <w:right w:val="none" w:sz="0" w:space="0" w:color="auto"/>
              </w:divBdr>
            </w:div>
            <w:div w:id="227418133">
              <w:marLeft w:val="0"/>
              <w:marRight w:val="0"/>
              <w:marTop w:val="0"/>
              <w:marBottom w:val="0"/>
              <w:divBdr>
                <w:top w:val="none" w:sz="0" w:space="0" w:color="auto"/>
                <w:left w:val="none" w:sz="0" w:space="0" w:color="auto"/>
                <w:bottom w:val="none" w:sz="0" w:space="0" w:color="auto"/>
                <w:right w:val="none" w:sz="0" w:space="0" w:color="auto"/>
              </w:divBdr>
            </w:div>
            <w:div w:id="228420112">
              <w:marLeft w:val="0"/>
              <w:marRight w:val="0"/>
              <w:marTop w:val="0"/>
              <w:marBottom w:val="0"/>
              <w:divBdr>
                <w:top w:val="none" w:sz="0" w:space="0" w:color="auto"/>
                <w:left w:val="none" w:sz="0" w:space="0" w:color="auto"/>
                <w:bottom w:val="none" w:sz="0" w:space="0" w:color="auto"/>
                <w:right w:val="none" w:sz="0" w:space="0" w:color="auto"/>
              </w:divBdr>
            </w:div>
            <w:div w:id="231543994">
              <w:marLeft w:val="0"/>
              <w:marRight w:val="0"/>
              <w:marTop w:val="0"/>
              <w:marBottom w:val="0"/>
              <w:divBdr>
                <w:top w:val="none" w:sz="0" w:space="0" w:color="auto"/>
                <w:left w:val="none" w:sz="0" w:space="0" w:color="auto"/>
                <w:bottom w:val="none" w:sz="0" w:space="0" w:color="auto"/>
                <w:right w:val="none" w:sz="0" w:space="0" w:color="auto"/>
              </w:divBdr>
            </w:div>
            <w:div w:id="237131484">
              <w:marLeft w:val="0"/>
              <w:marRight w:val="0"/>
              <w:marTop w:val="0"/>
              <w:marBottom w:val="0"/>
              <w:divBdr>
                <w:top w:val="none" w:sz="0" w:space="0" w:color="auto"/>
                <w:left w:val="none" w:sz="0" w:space="0" w:color="auto"/>
                <w:bottom w:val="none" w:sz="0" w:space="0" w:color="auto"/>
                <w:right w:val="none" w:sz="0" w:space="0" w:color="auto"/>
              </w:divBdr>
            </w:div>
            <w:div w:id="239756409">
              <w:marLeft w:val="0"/>
              <w:marRight w:val="0"/>
              <w:marTop w:val="0"/>
              <w:marBottom w:val="0"/>
              <w:divBdr>
                <w:top w:val="none" w:sz="0" w:space="0" w:color="auto"/>
                <w:left w:val="none" w:sz="0" w:space="0" w:color="auto"/>
                <w:bottom w:val="none" w:sz="0" w:space="0" w:color="auto"/>
                <w:right w:val="none" w:sz="0" w:space="0" w:color="auto"/>
              </w:divBdr>
            </w:div>
            <w:div w:id="244144045">
              <w:marLeft w:val="0"/>
              <w:marRight w:val="0"/>
              <w:marTop w:val="0"/>
              <w:marBottom w:val="0"/>
              <w:divBdr>
                <w:top w:val="none" w:sz="0" w:space="0" w:color="auto"/>
                <w:left w:val="none" w:sz="0" w:space="0" w:color="auto"/>
                <w:bottom w:val="none" w:sz="0" w:space="0" w:color="auto"/>
                <w:right w:val="none" w:sz="0" w:space="0" w:color="auto"/>
              </w:divBdr>
            </w:div>
            <w:div w:id="254289453">
              <w:marLeft w:val="0"/>
              <w:marRight w:val="0"/>
              <w:marTop w:val="0"/>
              <w:marBottom w:val="0"/>
              <w:divBdr>
                <w:top w:val="none" w:sz="0" w:space="0" w:color="auto"/>
                <w:left w:val="none" w:sz="0" w:space="0" w:color="auto"/>
                <w:bottom w:val="none" w:sz="0" w:space="0" w:color="auto"/>
                <w:right w:val="none" w:sz="0" w:space="0" w:color="auto"/>
              </w:divBdr>
            </w:div>
            <w:div w:id="254824392">
              <w:marLeft w:val="0"/>
              <w:marRight w:val="0"/>
              <w:marTop w:val="0"/>
              <w:marBottom w:val="0"/>
              <w:divBdr>
                <w:top w:val="none" w:sz="0" w:space="0" w:color="auto"/>
                <w:left w:val="none" w:sz="0" w:space="0" w:color="auto"/>
                <w:bottom w:val="none" w:sz="0" w:space="0" w:color="auto"/>
                <w:right w:val="none" w:sz="0" w:space="0" w:color="auto"/>
              </w:divBdr>
            </w:div>
            <w:div w:id="262763408">
              <w:marLeft w:val="0"/>
              <w:marRight w:val="0"/>
              <w:marTop w:val="0"/>
              <w:marBottom w:val="0"/>
              <w:divBdr>
                <w:top w:val="none" w:sz="0" w:space="0" w:color="auto"/>
                <w:left w:val="none" w:sz="0" w:space="0" w:color="auto"/>
                <w:bottom w:val="none" w:sz="0" w:space="0" w:color="auto"/>
                <w:right w:val="none" w:sz="0" w:space="0" w:color="auto"/>
              </w:divBdr>
            </w:div>
            <w:div w:id="282001425">
              <w:marLeft w:val="0"/>
              <w:marRight w:val="0"/>
              <w:marTop w:val="0"/>
              <w:marBottom w:val="0"/>
              <w:divBdr>
                <w:top w:val="none" w:sz="0" w:space="0" w:color="auto"/>
                <w:left w:val="none" w:sz="0" w:space="0" w:color="auto"/>
                <w:bottom w:val="none" w:sz="0" w:space="0" w:color="auto"/>
                <w:right w:val="none" w:sz="0" w:space="0" w:color="auto"/>
              </w:divBdr>
            </w:div>
            <w:div w:id="305664384">
              <w:marLeft w:val="0"/>
              <w:marRight w:val="0"/>
              <w:marTop w:val="0"/>
              <w:marBottom w:val="0"/>
              <w:divBdr>
                <w:top w:val="none" w:sz="0" w:space="0" w:color="auto"/>
                <w:left w:val="none" w:sz="0" w:space="0" w:color="auto"/>
                <w:bottom w:val="none" w:sz="0" w:space="0" w:color="auto"/>
                <w:right w:val="none" w:sz="0" w:space="0" w:color="auto"/>
              </w:divBdr>
            </w:div>
            <w:div w:id="310136659">
              <w:marLeft w:val="0"/>
              <w:marRight w:val="0"/>
              <w:marTop w:val="0"/>
              <w:marBottom w:val="0"/>
              <w:divBdr>
                <w:top w:val="none" w:sz="0" w:space="0" w:color="auto"/>
                <w:left w:val="none" w:sz="0" w:space="0" w:color="auto"/>
                <w:bottom w:val="none" w:sz="0" w:space="0" w:color="auto"/>
                <w:right w:val="none" w:sz="0" w:space="0" w:color="auto"/>
              </w:divBdr>
            </w:div>
            <w:div w:id="312221841">
              <w:marLeft w:val="0"/>
              <w:marRight w:val="0"/>
              <w:marTop w:val="0"/>
              <w:marBottom w:val="0"/>
              <w:divBdr>
                <w:top w:val="none" w:sz="0" w:space="0" w:color="auto"/>
                <w:left w:val="none" w:sz="0" w:space="0" w:color="auto"/>
                <w:bottom w:val="none" w:sz="0" w:space="0" w:color="auto"/>
                <w:right w:val="none" w:sz="0" w:space="0" w:color="auto"/>
              </w:divBdr>
            </w:div>
            <w:div w:id="312415703">
              <w:marLeft w:val="0"/>
              <w:marRight w:val="0"/>
              <w:marTop w:val="0"/>
              <w:marBottom w:val="0"/>
              <w:divBdr>
                <w:top w:val="none" w:sz="0" w:space="0" w:color="auto"/>
                <w:left w:val="none" w:sz="0" w:space="0" w:color="auto"/>
                <w:bottom w:val="none" w:sz="0" w:space="0" w:color="auto"/>
                <w:right w:val="none" w:sz="0" w:space="0" w:color="auto"/>
              </w:divBdr>
            </w:div>
            <w:div w:id="316610374">
              <w:marLeft w:val="0"/>
              <w:marRight w:val="0"/>
              <w:marTop w:val="0"/>
              <w:marBottom w:val="0"/>
              <w:divBdr>
                <w:top w:val="none" w:sz="0" w:space="0" w:color="auto"/>
                <w:left w:val="none" w:sz="0" w:space="0" w:color="auto"/>
                <w:bottom w:val="none" w:sz="0" w:space="0" w:color="auto"/>
                <w:right w:val="none" w:sz="0" w:space="0" w:color="auto"/>
              </w:divBdr>
            </w:div>
            <w:div w:id="322590305">
              <w:marLeft w:val="0"/>
              <w:marRight w:val="0"/>
              <w:marTop w:val="0"/>
              <w:marBottom w:val="0"/>
              <w:divBdr>
                <w:top w:val="none" w:sz="0" w:space="0" w:color="auto"/>
                <w:left w:val="none" w:sz="0" w:space="0" w:color="auto"/>
                <w:bottom w:val="none" w:sz="0" w:space="0" w:color="auto"/>
                <w:right w:val="none" w:sz="0" w:space="0" w:color="auto"/>
              </w:divBdr>
            </w:div>
            <w:div w:id="328801052">
              <w:marLeft w:val="0"/>
              <w:marRight w:val="0"/>
              <w:marTop w:val="0"/>
              <w:marBottom w:val="0"/>
              <w:divBdr>
                <w:top w:val="none" w:sz="0" w:space="0" w:color="auto"/>
                <w:left w:val="none" w:sz="0" w:space="0" w:color="auto"/>
                <w:bottom w:val="none" w:sz="0" w:space="0" w:color="auto"/>
                <w:right w:val="none" w:sz="0" w:space="0" w:color="auto"/>
              </w:divBdr>
            </w:div>
            <w:div w:id="372463806">
              <w:marLeft w:val="0"/>
              <w:marRight w:val="0"/>
              <w:marTop w:val="0"/>
              <w:marBottom w:val="0"/>
              <w:divBdr>
                <w:top w:val="none" w:sz="0" w:space="0" w:color="auto"/>
                <w:left w:val="none" w:sz="0" w:space="0" w:color="auto"/>
                <w:bottom w:val="none" w:sz="0" w:space="0" w:color="auto"/>
                <w:right w:val="none" w:sz="0" w:space="0" w:color="auto"/>
              </w:divBdr>
            </w:div>
            <w:div w:id="374237709">
              <w:marLeft w:val="0"/>
              <w:marRight w:val="0"/>
              <w:marTop w:val="0"/>
              <w:marBottom w:val="0"/>
              <w:divBdr>
                <w:top w:val="none" w:sz="0" w:space="0" w:color="auto"/>
                <w:left w:val="none" w:sz="0" w:space="0" w:color="auto"/>
                <w:bottom w:val="none" w:sz="0" w:space="0" w:color="auto"/>
                <w:right w:val="none" w:sz="0" w:space="0" w:color="auto"/>
              </w:divBdr>
            </w:div>
            <w:div w:id="387537744">
              <w:marLeft w:val="0"/>
              <w:marRight w:val="0"/>
              <w:marTop w:val="0"/>
              <w:marBottom w:val="0"/>
              <w:divBdr>
                <w:top w:val="none" w:sz="0" w:space="0" w:color="auto"/>
                <w:left w:val="none" w:sz="0" w:space="0" w:color="auto"/>
                <w:bottom w:val="none" w:sz="0" w:space="0" w:color="auto"/>
                <w:right w:val="none" w:sz="0" w:space="0" w:color="auto"/>
              </w:divBdr>
            </w:div>
            <w:div w:id="399982709">
              <w:marLeft w:val="0"/>
              <w:marRight w:val="0"/>
              <w:marTop w:val="0"/>
              <w:marBottom w:val="0"/>
              <w:divBdr>
                <w:top w:val="none" w:sz="0" w:space="0" w:color="auto"/>
                <w:left w:val="none" w:sz="0" w:space="0" w:color="auto"/>
                <w:bottom w:val="none" w:sz="0" w:space="0" w:color="auto"/>
                <w:right w:val="none" w:sz="0" w:space="0" w:color="auto"/>
              </w:divBdr>
            </w:div>
            <w:div w:id="422191012">
              <w:marLeft w:val="0"/>
              <w:marRight w:val="0"/>
              <w:marTop w:val="0"/>
              <w:marBottom w:val="0"/>
              <w:divBdr>
                <w:top w:val="none" w:sz="0" w:space="0" w:color="auto"/>
                <w:left w:val="none" w:sz="0" w:space="0" w:color="auto"/>
                <w:bottom w:val="none" w:sz="0" w:space="0" w:color="auto"/>
                <w:right w:val="none" w:sz="0" w:space="0" w:color="auto"/>
              </w:divBdr>
            </w:div>
            <w:div w:id="453868822">
              <w:marLeft w:val="0"/>
              <w:marRight w:val="0"/>
              <w:marTop w:val="0"/>
              <w:marBottom w:val="0"/>
              <w:divBdr>
                <w:top w:val="none" w:sz="0" w:space="0" w:color="auto"/>
                <w:left w:val="none" w:sz="0" w:space="0" w:color="auto"/>
                <w:bottom w:val="none" w:sz="0" w:space="0" w:color="auto"/>
                <w:right w:val="none" w:sz="0" w:space="0" w:color="auto"/>
              </w:divBdr>
            </w:div>
            <w:div w:id="465705294">
              <w:marLeft w:val="0"/>
              <w:marRight w:val="0"/>
              <w:marTop w:val="0"/>
              <w:marBottom w:val="0"/>
              <w:divBdr>
                <w:top w:val="none" w:sz="0" w:space="0" w:color="auto"/>
                <w:left w:val="none" w:sz="0" w:space="0" w:color="auto"/>
                <w:bottom w:val="none" w:sz="0" w:space="0" w:color="auto"/>
                <w:right w:val="none" w:sz="0" w:space="0" w:color="auto"/>
              </w:divBdr>
            </w:div>
            <w:div w:id="466357323">
              <w:marLeft w:val="0"/>
              <w:marRight w:val="0"/>
              <w:marTop w:val="0"/>
              <w:marBottom w:val="0"/>
              <w:divBdr>
                <w:top w:val="none" w:sz="0" w:space="0" w:color="auto"/>
                <w:left w:val="none" w:sz="0" w:space="0" w:color="auto"/>
                <w:bottom w:val="none" w:sz="0" w:space="0" w:color="auto"/>
                <w:right w:val="none" w:sz="0" w:space="0" w:color="auto"/>
              </w:divBdr>
            </w:div>
            <w:div w:id="467356378">
              <w:marLeft w:val="0"/>
              <w:marRight w:val="0"/>
              <w:marTop w:val="0"/>
              <w:marBottom w:val="0"/>
              <w:divBdr>
                <w:top w:val="none" w:sz="0" w:space="0" w:color="auto"/>
                <w:left w:val="none" w:sz="0" w:space="0" w:color="auto"/>
                <w:bottom w:val="none" w:sz="0" w:space="0" w:color="auto"/>
                <w:right w:val="none" w:sz="0" w:space="0" w:color="auto"/>
              </w:divBdr>
            </w:div>
            <w:div w:id="473068263">
              <w:marLeft w:val="0"/>
              <w:marRight w:val="0"/>
              <w:marTop w:val="0"/>
              <w:marBottom w:val="0"/>
              <w:divBdr>
                <w:top w:val="none" w:sz="0" w:space="0" w:color="auto"/>
                <w:left w:val="none" w:sz="0" w:space="0" w:color="auto"/>
                <w:bottom w:val="none" w:sz="0" w:space="0" w:color="auto"/>
                <w:right w:val="none" w:sz="0" w:space="0" w:color="auto"/>
              </w:divBdr>
            </w:div>
            <w:div w:id="477461493">
              <w:marLeft w:val="0"/>
              <w:marRight w:val="0"/>
              <w:marTop w:val="0"/>
              <w:marBottom w:val="0"/>
              <w:divBdr>
                <w:top w:val="none" w:sz="0" w:space="0" w:color="auto"/>
                <w:left w:val="none" w:sz="0" w:space="0" w:color="auto"/>
                <w:bottom w:val="none" w:sz="0" w:space="0" w:color="auto"/>
                <w:right w:val="none" w:sz="0" w:space="0" w:color="auto"/>
              </w:divBdr>
            </w:div>
            <w:div w:id="478420449">
              <w:marLeft w:val="0"/>
              <w:marRight w:val="0"/>
              <w:marTop w:val="0"/>
              <w:marBottom w:val="0"/>
              <w:divBdr>
                <w:top w:val="none" w:sz="0" w:space="0" w:color="auto"/>
                <w:left w:val="none" w:sz="0" w:space="0" w:color="auto"/>
                <w:bottom w:val="none" w:sz="0" w:space="0" w:color="auto"/>
                <w:right w:val="none" w:sz="0" w:space="0" w:color="auto"/>
              </w:divBdr>
            </w:div>
            <w:div w:id="482238511">
              <w:marLeft w:val="0"/>
              <w:marRight w:val="0"/>
              <w:marTop w:val="0"/>
              <w:marBottom w:val="0"/>
              <w:divBdr>
                <w:top w:val="none" w:sz="0" w:space="0" w:color="auto"/>
                <w:left w:val="none" w:sz="0" w:space="0" w:color="auto"/>
                <w:bottom w:val="none" w:sz="0" w:space="0" w:color="auto"/>
                <w:right w:val="none" w:sz="0" w:space="0" w:color="auto"/>
              </w:divBdr>
            </w:div>
            <w:div w:id="487091966">
              <w:marLeft w:val="0"/>
              <w:marRight w:val="0"/>
              <w:marTop w:val="0"/>
              <w:marBottom w:val="0"/>
              <w:divBdr>
                <w:top w:val="none" w:sz="0" w:space="0" w:color="auto"/>
                <w:left w:val="none" w:sz="0" w:space="0" w:color="auto"/>
                <w:bottom w:val="none" w:sz="0" w:space="0" w:color="auto"/>
                <w:right w:val="none" w:sz="0" w:space="0" w:color="auto"/>
              </w:divBdr>
            </w:div>
            <w:div w:id="502940937">
              <w:marLeft w:val="0"/>
              <w:marRight w:val="0"/>
              <w:marTop w:val="0"/>
              <w:marBottom w:val="0"/>
              <w:divBdr>
                <w:top w:val="none" w:sz="0" w:space="0" w:color="auto"/>
                <w:left w:val="none" w:sz="0" w:space="0" w:color="auto"/>
                <w:bottom w:val="none" w:sz="0" w:space="0" w:color="auto"/>
                <w:right w:val="none" w:sz="0" w:space="0" w:color="auto"/>
              </w:divBdr>
            </w:div>
            <w:div w:id="504244243">
              <w:marLeft w:val="0"/>
              <w:marRight w:val="0"/>
              <w:marTop w:val="0"/>
              <w:marBottom w:val="0"/>
              <w:divBdr>
                <w:top w:val="none" w:sz="0" w:space="0" w:color="auto"/>
                <w:left w:val="none" w:sz="0" w:space="0" w:color="auto"/>
                <w:bottom w:val="none" w:sz="0" w:space="0" w:color="auto"/>
                <w:right w:val="none" w:sz="0" w:space="0" w:color="auto"/>
              </w:divBdr>
            </w:div>
            <w:div w:id="509101968">
              <w:marLeft w:val="0"/>
              <w:marRight w:val="0"/>
              <w:marTop w:val="0"/>
              <w:marBottom w:val="0"/>
              <w:divBdr>
                <w:top w:val="none" w:sz="0" w:space="0" w:color="auto"/>
                <w:left w:val="none" w:sz="0" w:space="0" w:color="auto"/>
                <w:bottom w:val="none" w:sz="0" w:space="0" w:color="auto"/>
                <w:right w:val="none" w:sz="0" w:space="0" w:color="auto"/>
              </w:divBdr>
            </w:div>
            <w:div w:id="515968675">
              <w:marLeft w:val="0"/>
              <w:marRight w:val="0"/>
              <w:marTop w:val="0"/>
              <w:marBottom w:val="0"/>
              <w:divBdr>
                <w:top w:val="none" w:sz="0" w:space="0" w:color="auto"/>
                <w:left w:val="none" w:sz="0" w:space="0" w:color="auto"/>
                <w:bottom w:val="none" w:sz="0" w:space="0" w:color="auto"/>
                <w:right w:val="none" w:sz="0" w:space="0" w:color="auto"/>
              </w:divBdr>
            </w:div>
            <w:div w:id="520705698">
              <w:marLeft w:val="0"/>
              <w:marRight w:val="0"/>
              <w:marTop w:val="0"/>
              <w:marBottom w:val="0"/>
              <w:divBdr>
                <w:top w:val="none" w:sz="0" w:space="0" w:color="auto"/>
                <w:left w:val="none" w:sz="0" w:space="0" w:color="auto"/>
                <w:bottom w:val="none" w:sz="0" w:space="0" w:color="auto"/>
                <w:right w:val="none" w:sz="0" w:space="0" w:color="auto"/>
              </w:divBdr>
            </w:div>
            <w:div w:id="529614877">
              <w:marLeft w:val="0"/>
              <w:marRight w:val="0"/>
              <w:marTop w:val="0"/>
              <w:marBottom w:val="0"/>
              <w:divBdr>
                <w:top w:val="none" w:sz="0" w:space="0" w:color="auto"/>
                <w:left w:val="none" w:sz="0" w:space="0" w:color="auto"/>
                <w:bottom w:val="none" w:sz="0" w:space="0" w:color="auto"/>
                <w:right w:val="none" w:sz="0" w:space="0" w:color="auto"/>
              </w:divBdr>
            </w:div>
            <w:div w:id="533466560">
              <w:marLeft w:val="0"/>
              <w:marRight w:val="0"/>
              <w:marTop w:val="0"/>
              <w:marBottom w:val="0"/>
              <w:divBdr>
                <w:top w:val="none" w:sz="0" w:space="0" w:color="auto"/>
                <w:left w:val="none" w:sz="0" w:space="0" w:color="auto"/>
                <w:bottom w:val="none" w:sz="0" w:space="0" w:color="auto"/>
                <w:right w:val="none" w:sz="0" w:space="0" w:color="auto"/>
              </w:divBdr>
            </w:div>
            <w:div w:id="539822652">
              <w:marLeft w:val="0"/>
              <w:marRight w:val="0"/>
              <w:marTop w:val="0"/>
              <w:marBottom w:val="0"/>
              <w:divBdr>
                <w:top w:val="none" w:sz="0" w:space="0" w:color="auto"/>
                <w:left w:val="none" w:sz="0" w:space="0" w:color="auto"/>
                <w:bottom w:val="none" w:sz="0" w:space="0" w:color="auto"/>
                <w:right w:val="none" w:sz="0" w:space="0" w:color="auto"/>
              </w:divBdr>
            </w:div>
            <w:div w:id="547885650">
              <w:marLeft w:val="0"/>
              <w:marRight w:val="0"/>
              <w:marTop w:val="0"/>
              <w:marBottom w:val="0"/>
              <w:divBdr>
                <w:top w:val="none" w:sz="0" w:space="0" w:color="auto"/>
                <w:left w:val="none" w:sz="0" w:space="0" w:color="auto"/>
                <w:bottom w:val="none" w:sz="0" w:space="0" w:color="auto"/>
                <w:right w:val="none" w:sz="0" w:space="0" w:color="auto"/>
              </w:divBdr>
            </w:div>
            <w:div w:id="549534634">
              <w:marLeft w:val="0"/>
              <w:marRight w:val="0"/>
              <w:marTop w:val="0"/>
              <w:marBottom w:val="0"/>
              <w:divBdr>
                <w:top w:val="none" w:sz="0" w:space="0" w:color="auto"/>
                <w:left w:val="none" w:sz="0" w:space="0" w:color="auto"/>
                <w:bottom w:val="none" w:sz="0" w:space="0" w:color="auto"/>
                <w:right w:val="none" w:sz="0" w:space="0" w:color="auto"/>
              </w:divBdr>
            </w:div>
            <w:div w:id="551842568">
              <w:marLeft w:val="0"/>
              <w:marRight w:val="0"/>
              <w:marTop w:val="0"/>
              <w:marBottom w:val="0"/>
              <w:divBdr>
                <w:top w:val="none" w:sz="0" w:space="0" w:color="auto"/>
                <w:left w:val="none" w:sz="0" w:space="0" w:color="auto"/>
                <w:bottom w:val="none" w:sz="0" w:space="0" w:color="auto"/>
                <w:right w:val="none" w:sz="0" w:space="0" w:color="auto"/>
              </w:divBdr>
            </w:div>
            <w:div w:id="554388379">
              <w:marLeft w:val="0"/>
              <w:marRight w:val="0"/>
              <w:marTop w:val="0"/>
              <w:marBottom w:val="0"/>
              <w:divBdr>
                <w:top w:val="none" w:sz="0" w:space="0" w:color="auto"/>
                <w:left w:val="none" w:sz="0" w:space="0" w:color="auto"/>
                <w:bottom w:val="none" w:sz="0" w:space="0" w:color="auto"/>
                <w:right w:val="none" w:sz="0" w:space="0" w:color="auto"/>
              </w:divBdr>
            </w:div>
            <w:div w:id="560868181">
              <w:marLeft w:val="0"/>
              <w:marRight w:val="0"/>
              <w:marTop w:val="0"/>
              <w:marBottom w:val="0"/>
              <w:divBdr>
                <w:top w:val="none" w:sz="0" w:space="0" w:color="auto"/>
                <w:left w:val="none" w:sz="0" w:space="0" w:color="auto"/>
                <w:bottom w:val="none" w:sz="0" w:space="0" w:color="auto"/>
                <w:right w:val="none" w:sz="0" w:space="0" w:color="auto"/>
              </w:divBdr>
            </w:div>
            <w:div w:id="572276575">
              <w:marLeft w:val="0"/>
              <w:marRight w:val="0"/>
              <w:marTop w:val="0"/>
              <w:marBottom w:val="0"/>
              <w:divBdr>
                <w:top w:val="none" w:sz="0" w:space="0" w:color="auto"/>
                <w:left w:val="none" w:sz="0" w:space="0" w:color="auto"/>
                <w:bottom w:val="none" w:sz="0" w:space="0" w:color="auto"/>
                <w:right w:val="none" w:sz="0" w:space="0" w:color="auto"/>
              </w:divBdr>
            </w:div>
            <w:div w:id="575824026">
              <w:marLeft w:val="0"/>
              <w:marRight w:val="0"/>
              <w:marTop w:val="0"/>
              <w:marBottom w:val="0"/>
              <w:divBdr>
                <w:top w:val="none" w:sz="0" w:space="0" w:color="auto"/>
                <w:left w:val="none" w:sz="0" w:space="0" w:color="auto"/>
                <w:bottom w:val="none" w:sz="0" w:space="0" w:color="auto"/>
                <w:right w:val="none" w:sz="0" w:space="0" w:color="auto"/>
              </w:divBdr>
            </w:div>
            <w:div w:id="592322473">
              <w:marLeft w:val="0"/>
              <w:marRight w:val="0"/>
              <w:marTop w:val="0"/>
              <w:marBottom w:val="0"/>
              <w:divBdr>
                <w:top w:val="none" w:sz="0" w:space="0" w:color="auto"/>
                <w:left w:val="none" w:sz="0" w:space="0" w:color="auto"/>
                <w:bottom w:val="none" w:sz="0" w:space="0" w:color="auto"/>
                <w:right w:val="none" w:sz="0" w:space="0" w:color="auto"/>
              </w:divBdr>
            </w:div>
            <w:div w:id="617029844">
              <w:marLeft w:val="0"/>
              <w:marRight w:val="0"/>
              <w:marTop w:val="0"/>
              <w:marBottom w:val="0"/>
              <w:divBdr>
                <w:top w:val="none" w:sz="0" w:space="0" w:color="auto"/>
                <w:left w:val="none" w:sz="0" w:space="0" w:color="auto"/>
                <w:bottom w:val="none" w:sz="0" w:space="0" w:color="auto"/>
                <w:right w:val="none" w:sz="0" w:space="0" w:color="auto"/>
              </w:divBdr>
            </w:div>
            <w:div w:id="625547644">
              <w:marLeft w:val="0"/>
              <w:marRight w:val="0"/>
              <w:marTop w:val="0"/>
              <w:marBottom w:val="0"/>
              <w:divBdr>
                <w:top w:val="none" w:sz="0" w:space="0" w:color="auto"/>
                <w:left w:val="none" w:sz="0" w:space="0" w:color="auto"/>
                <w:bottom w:val="none" w:sz="0" w:space="0" w:color="auto"/>
                <w:right w:val="none" w:sz="0" w:space="0" w:color="auto"/>
              </w:divBdr>
            </w:div>
            <w:div w:id="634524885">
              <w:marLeft w:val="0"/>
              <w:marRight w:val="0"/>
              <w:marTop w:val="0"/>
              <w:marBottom w:val="0"/>
              <w:divBdr>
                <w:top w:val="none" w:sz="0" w:space="0" w:color="auto"/>
                <w:left w:val="none" w:sz="0" w:space="0" w:color="auto"/>
                <w:bottom w:val="none" w:sz="0" w:space="0" w:color="auto"/>
                <w:right w:val="none" w:sz="0" w:space="0" w:color="auto"/>
              </w:divBdr>
            </w:div>
            <w:div w:id="636959615">
              <w:marLeft w:val="0"/>
              <w:marRight w:val="0"/>
              <w:marTop w:val="0"/>
              <w:marBottom w:val="0"/>
              <w:divBdr>
                <w:top w:val="none" w:sz="0" w:space="0" w:color="auto"/>
                <w:left w:val="none" w:sz="0" w:space="0" w:color="auto"/>
                <w:bottom w:val="none" w:sz="0" w:space="0" w:color="auto"/>
                <w:right w:val="none" w:sz="0" w:space="0" w:color="auto"/>
              </w:divBdr>
            </w:div>
            <w:div w:id="641009030">
              <w:marLeft w:val="0"/>
              <w:marRight w:val="0"/>
              <w:marTop w:val="0"/>
              <w:marBottom w:val="0"/>
              <w:divBdr>
                <w:top w:val="none" w:sz="0" w:space="0" w:color="auto"/>
                <w:left w:val="none" w:sz="0" w:space="0" w:color="auto"/>
                <w:bottom w:val="none" w:sz="0" w:space="0" w:color="auto"/>
                <w:right w:val="none" w:sz="0" w:space="0" w:color="auto"/>
              </w:divBdr>
            </w:div>
            <w:div w:id="647324073">
              <w:marLeft w:val="0"/>
              <w:marRight w:val="0"/>
              <w:marTop w:val="0"/>
              <w:marBottom w:val="0"/>
              <w:divBdr>
                <w:top w:val="none" w:sz="0" w:space="0" w:color="auto"/>
                <w:left w:val="none" w:sz="0" w:space="0" w:color="auto"/>
                <w:bottom w:val="none" w:sz="0" w:space="0" w:color="auto"/>
                <w:right w:val="none" w:sz="0" w:space="0" w:color="auto"/>
              </w:divBdr>
            </w:div>
            <w:div w:id="669451584">
              <w:marLeft w:val="0"/>
              <w:marRight w:val="0"/>
              <w:marTop w:val="0"/>
              <w:marBottom w:val="0"/>
              <w:divBdr>
                <w:top w:val="none" w:sz="0" w:space="0" w:color="auto"/>
                <w:left w:val="none" w:sz="0" w:space="0" w:color="auto"/>
                <w:bottom w:val="none" w:sz="0" w:space="0" w:color="auto"/>
                <w:right w:val="none" w:sz="0" w:space="0" w:color="auto"/>
              </w:divBdr>
            </w:div>
            <w:div w:id="671568541">
              <w:marLeft w:val="0"/>
              <w:marRight w:val="0"/>
              <w:marTop w:val="0"/>
              <w:marBottom w:val="0"/>
              <w:divBdr>
                <w:top w:val="none" w:sz="0" w:space="0" w:color="auto"/>
                <w:left w:val="none" w:sz="0" w:space="0" w:color="auto"/>
                <w:bottom w:val="none" w:sz="0" w:space="0" w:color="auto"/>
                <w:right w:val="none" w:sz="0" w:space="0" w:color="auto"/>
              </w:divBdr>
            </w:div>
            <w:div w:id="673531244">
              <w:marLeft w:val="0"/>
              <w:marRight w:val="0"/>
              <w:marTop w:val="0"/>
              <w:marBottom w:val="0"/>
              <w:divBdr>
                <w:top w:val="none" w:sz="0" w:space="0" w:color="auto"/>
                <w:left w:val="none" w:sz="0" w:space="0" w:color="auto"/>
                <w:bottom w:val="none" w:sz="0" w:space="0" w:color="auto"/>
                <w:right w:val="none" w:sz="0" w:space="0" w:color="auto"/>
              </w:divBdr>
            </w:div>
            <w:div w:id="682708097">
              <w:marLeft w:val="0"/>
              <w:marRight w:val="0"/>
              <w:marTop w:val="0"/>
              <w:marBottom w:val="0"/>
              <w:divBdr>
                <w:top w:val="none" w:sz="0" w:space="0" w:color="auto"/>
                <w:left w:val="none" w:sz="0" w:space="0" w:color="auto"/>
                <w:bottom w:val="none" w:sz="0" w:space="0" w:color="auto"/>
                <w:right w:val="none" w:sz="0" w:space="0" w:color="auto"/>
              </w:divBdr>
            </w:div>
            <w:div w:id="683364083">
              <w:marLeft w:val="0"/>
              <w:marRight w:val="0"/>
              <w:marTop w:val="0"/>
              <w:marBottom w:val="0"/>
              <w:divBdr>
                <w:top w:val="none" w:sz="0" w:space="0" w:color="auto"/>
                <w:left w:val="none" w:sz="0" w:space="0" w:color="auto"/>
                <w:bottom w:val="none" w:sz="0" w:space="0" w:color="auto"/>
                <w:right w:val="none" w:sz="0" w:space="0" w:color="auto"/>
              </w:divBdr>
            </w:div>
            <w:div w:id="684287813">
              <w:marLeft w:val="0"/>
              <w:marRight w:val="0"/>
              <w:marTop w:val="0"/>
              <w:marBottom w:val="0"/>
              <w:divBdr>
                <w:top w:val="none" w:sz="0" w:space="0" w:color="auto"/>
                <w:left w:val="none" w:sz="0" w:space="0" w:color="auto"/>
                <w:bottom w:val="none" w:sz="0" w:space="0" w:color="auto"/>
                <w:right w:val="none" w:sz="0" w:space="0" w:color="auto"/>
              </w:divBdr>
            </w:div>
            <w:div w:id="701243653">
              <w:marLeft w:val="0"/>
              <w:marRight w:val="0"/>
              <w:marTop w:val="0"/>
              <w:marBottom w:val="0"/>
              <w:divBdr>
                <w:top w:val="none" w:sz="0" w:space="0" w:color="auto"/>
                <w:left w:val="none" w:sz="0" w:space="0" w:color="auto"/>
                <w:bottom w:val="none" w:sz="0" w:space="0" w:color="auto"/>
                <w:right w:val="none" w:sz="0" w:space="0" w:color="auto"/>
              </w:divBdr>
            </w:div>
            <w:div w:id="730809322">
              <w:marLeft w:val="0"/>
              <w:marRight w:val="0"/>
              <w:marTop w:val="0"/>
              <w:marBottom w:val="0"/>
              <w:divBdr>
                <w:top w:val="none" w:sz="0" w:space="0" w:color="auto"/>
                <w:left w:val="none" w:sz="0" w:space="0" w:color="auto"/>
                <w:bottom w:val="none" w:sz="0" w:space="0" w:color="auto"/>
                <w:right w:val="none" w:sz="0" w:space="0" w:color="auto"/>
              </w:divBdr>
            </w:div>
            <w:div w:id="731853672">
              <w:marLeft w:val="0"/>
              <w:marRight w:val="0"/>
              <w:marTop w:val="0"/>
              <w:marBottom w:val="0"/>
              <w:divBdr>
                <w:top w:val="none" w:sz="0" w:space="0" w:color="auto"/>
                <w:left w:val="none" w:sz="0" w:space="0" w:color="auto"/>
                <w:bottom w:val="none" w:sz="0" w:space="0" w:color="auto"/>
                <w:right w:val="none" w:sz="0" w:space="0" w:color="auto"/>
              </w:divBdr>
            </w:div>
            <w:div w:id="741685634">
              <w:marLeft w:val="0"/>
              <w:marRight w:val="0"/>
              <w:marTop w:val="0"/>
              <w:marBottom w:val="0"/>
              <w:divBdr>
                <w:top w:val="none" w:sz="0" w:space="0" w:color="auto"/>
                <w:left w:val="none" w:sz="0" w:space="0" w:color="auto"/>
                <w:bottom w:val="none" w:sz="0" w:space="0" w:color="auto"/>
                <w:right w:val="none" w:sz="0" w:space="0" w:color="auto"/>
              </w:divBdr>
            </w:div>
            <w:div w:id="756705155">
              <w:marLeft w:val="0"/>
              <w:marRight w:val="0"/>
              <w:marTop w:val="0"/>
              <w:marBottom w:val="0"/>
              <w:divBdr>
                <w:top w:val="none" w:sz="0" w:space="0" w:color="auto"/>
                <w:left w:val="none" w:sz="0" w:space="0" w:color="auto"/>
                <w:bottom w:val="none" w:sz="0" w:space="0" w:color="auto"/>
                <w:right w:val="none" w:sz="0" w:space="0" w:color="auto"/>
              </w:divBdr>
            </w:div>
            <w:div w:id="760226319">
              <w:marLeft w:val="0"/>
              <w:marRight w:val="0"/>
              <w:marTop w:val="0"/>
              <w:marBottom w:val="0"/>
              <w:divBdr>
                <w:top w:val="none" w:sz="0" w:space="0" w:color="auto"/>
                <w:left w:val="none" w:sz="0" w:space="0" w:color="auto"/>
                <w:bottom w:val="none" w:sz="0" w:space="0" w:color="auto"/>
                <w:right w:val="none" w:sz="0" w:space="0" w:color="auto"/>
              </w:divBdr>
            </w:div>
            <w:div w:id="769279999">
              <w:marLeft w:val="0"/>
              <w:marRight w:val="0"/>
              <w:marTop w:val="0"/>
              <w:marBottom w:val="0"/>
              <w:divBdr>
                <w:top w:val="none" w:sz="0" w:space="0" w:color="auto"/>
                <w:left w:val="none" w:sz="0" w:space="0" w:color="auto"/>
                <w:bottom w:val="none" w:sz="0" w:space="0" w:color="auto"/>
                <w:right w:val="none" w:sz="0" w:space="0" w:color="auto"/>
              </w:divBdr>
            </w:div>
            <w:div w:id="772819686">
              <w:marLeft w:val="0"/>
              <w:marRight w:val="0"/>
              <w:marTop w:val="0"/>
              <w:marBottom w:val="0"/>
              <w:divBdr>
                <w:top w:val="none" w:sz="0" w:space="0" w:color="auto"/>
                <w:left w:val="none" w:sz="0" w:space="0" w:color="auto"/>
                <w:bottom w:val="none" w:sz="0" w:space="0" w:color="auto"/>
                <w:right w:val="none" w:sz="0" w:space="0" w:color="auto"/>
              </w:divBdr>
            </w:div>
            <w:div w:id="784929358">
              <w:marLeft w:val="0"/>
              <w:marRight w:val="0"/>
              <w:marTop w:val="0"/>
              <w:marBottom w:val="0"/>
              <w:divBdr>
                <w:top w:val="none" w:sz="0" w:space="0" w:color="auto"/>
                <w:left w:val="none" w:sz="0" w:space="0" w:color="auto"/>
                <w:bottom w:val="none" w:sz="0" w:space="0" w:color="auto"/>
                <w:right w:val="none" w:sz="0" w:space="0" w:color="auto"/>
              </w:divBdr>
            </w:div>
            <w:div w:id="787433456">
              <w:marLeft w:val="0"/>
              <w:marRight w:val="0"/>
              <w:marTop w:val="0"/>
              <w:marBottom w:val="0"/>
              <w:divBdr>
                <w:top w:val="none" w:sz="0" w:space="0" w:color="auto"/>
                <w:left w:val="none" w:sz="0" w:space="0" w:color="auto"/>
                <w:bottom w:val="none" w:sz="0" w:space="0" w:color="auto"/>
                <w:right w:val="none" w:sz="0" w:space="0" w:color="auto"/>
              </w:divBdr>
            </w:div>
            <w:div w:id="789124703">
              <w:marLeft w:val="0"/>
              <w:marRight w:val="0"/>
              <w:marTop w:val="0"/>
              <w:marBottom w:val="0"/>
              <w:divBdr>
                <w:top w:val="none" w:sz="0" w:space="0" w:color="auto"/>
                <w:left w:val="none" w:sz="0" w:space="0" w:color="auto"/>
                <w:bottom w:val="none" w:sz="0" w:space="0" w:color="auto"/>
                <w:right w:val="none" w:sz="0" w:space="0" w:color="auto"/>
              </w:divBdr>
            </w:div>
            <w:div w:id="793789837">
              <w:marLeft w:val="0"/>
              <w:marRight w:val="0"/>
              <w:marTop w:val="0"/>
              <w:marBottom w:val="0"/>
              <w:divBdr>
                <w:top w:val="none" w:sz="0" w:space="0" w:color="auto"/>
                <w:left w:val="none" w:sz="0" w:space="0" w:color="auto"/>
                <w:bottom w:val="none" w:sz="0" w:space="0" w:color="auto"/>
                <w:right w:val="none" w:sz="0" w:space="0" w:color="auto"/>
              </w:divBdr>
            </w:div>
            <w:div w:id="823621017">
              <w:marLeft w:val="0"/>
              <w:marRight w:val="0"/>
              <w:marTop w:val="0"/>
              <w:marBottom w:val="0"/>
              <w:divBdr>
                <w:top w:val="none" w:sz="0" w:space="0" w:color="auto"/>
                <w:left w:val="none" w:sz="0" w:space="0" w:color="auto"/>
                <w:bottom w:val="none" w:sz="0" w:space="0" w:color="auto"/>
                <w:right w:val="none" w:sz="0" w:space="0" w:color="auto"/>
              </w:divBdr>
            </w:div>
            <w:div w:id="833033229">
              <w:marLeft w:val="0"/>
              <w:marRight w:val="0"/>
              <w:marTop w:val="0"/>
              <w:marBottom w:val="0"/>
              <w:divBdr>
                <w:top w:val="none" w:sz="0" w:space="0" w:color="auto"/>
                <w:left w:val="none" w:sz="0" w:space="0" w:color="auto"/>
                <w:bottom w:val="none" w:sz="0" w:space="0" w:color="auto"/>
                <w:right w:val="none" w:sz="0" w:space="0" w:color="auto"/>
              </w:divBdr>
            </w:div>
            <w:div w:id="834413635">
              <w:marLeft w:val="0"/>
              <w:marRight w:val="0"/>
              <w:marTop w:val="0"/>
              <w:marBottom w:val="0"/>
              <w:divBdr>
                <w:top w:val="none" w:sz="0" w:space="0" w:color="auto"/>
                <w:left w:val="none" w:sz="0" w:space="0" w:color="auto"/>
                <w:bottom w:val="none" w:sz="0" w:space="0" w:color="auto"/>
                <w:right w:val="none" w:sz="0" w:space="0" w:color="auto"/>
              </w:divBdr>
            </w:div>
            <w:div w:id="841048127">
              <w:marLeft w:val="0"/>
              <w:marRight w:val="0"/>
              <w:marTop w:val="0"/>
              <w:marBottom w:val="0"/>
              <w:divBdr>
                <w:top w:val="none" w:sz="0" w:space="0" w:color="auto"/>
                <w:left w:val="none" w:sz="0" w:space="0" w:color="auto"/>
                <w:bottom w:val="none" w:sz="0" w:space="0" w:color="auto"/>
                <w:right w:val="none" w:sz="0" w:space="0" w:color="auto"/>
              </w:divBdr>
            </w:div>
            <w:div w:id="841898265">
              <w:marLeft w:val="0"/>
              <w:marRight w:val="0"/>
              <w:marTop w:val="0"/>
              <w:marBottom w:val="0"/>
              <w:divBdr>
                <w:top w:val="none" w:sz="0" w:space="0" w:color="auto"/>
                <w:left w:val="none" w:sz="0" w:space="0" w:color="auto"/>
                <w:bottom w:val="none" w:sz="0" w:space="0" w:color="auto"/>
                <w:right w:val="none" w:sz="0" w:space="0" w:color="auto"/>
              </w:divBdr>
            </w:div>
            <w:div w:id="844128630">
              <w:marLeft w:val="0"/>
              <w:marRight w:val="0"/>
              <w:marTop w:val="0"/>
              <w:marBottom w:val="0"/>
              <w:divBdr>
                <w:top w:val="none" w:sz="0" w:space="0" w:color="auto"/>
                <w:left w:val="none" w:sz="0" w:space="0" w:color="auto"/>
                <w:bottom w:val="none" w:sz="0" w:space="0" w:color="auto"/>
                <w:right w:val="none" w:sz="0" w:space="0" w:color="auto"/>
              </w:divBdr>
            </w:div>
            <w:div w:id="847791314">
              <w:marLeft w:val="0"/>
              <w:marRight w:val="0"/>
              <w:marTop w:val="0"/>
              <w:marBottom w:val="0"/>
              <w:divBdr>
                <w:top w:val="none" w:sz="0" w:space="0" w:color="auto"/>
                <w:left w:val="none" w:sz="0" w:space="0" w:color="auto"/>
                <w:bottom w:val="none" w:sz="0" w:space="0" w:color="auto"/>
                <w:right w:val="none" w:sz="0" w:space="0" w:color="auto"/>
              </w:divBdr>
            </w:div>
            <w:div w:id="857692057">
              <w:marLeft w:val="0"/>
              <w:marRight w:val="0"/>
              <w:marTop w:val="0"/>
              <w:marBottom w:val="0"/>
              <w:divBdr>
                <w:top w:val="none" w:sz="0" w:space="0" w:color="auto"/>
                <w:left w:val="none" w:sz="0" w:space="0" w:color="auto"/>
                <w:bottom w:val="none" w:sz="0" w:space="0" w:color="auto"/>
                <w:right w:val="none" w:sz="0" w:space="0" w:color="auto"/>
              </w:divBdr>
            </w:div>
            <w:div w:id="859588780">
              <w:marLeft w:val="0"/>
              <w:marRight w:val="0"/>
              <w:marTop w:val="0"/>
              <w:marBottom w:val="0"/>
              <w:divBdr>
                <w:top w:val="none" w:sz="0" w:space="0" w:color="auto"/>
                <w:left w:val="none" w:sz="0" w:space="0" w:color="auto"/>
                <w:bottom w:val="none" w:sz="0" w:space="0" w:color="auto"/>
                <w:right w:val="none" w:sz="0" w:space="0" w:color="auto"/>
              </w:divBdr>
            </w:div>
            <w:div w:id="864976244">
              <w:marLeft w:val="0"/>
              <w:marRight w:val="0"/>
              <w:marTop w:val="0"/>
              <w:marBottom w:val="0"/>
              <w:divBdr>
                <w:top w:val="none" w:sz="0" w:space="0" w:color="auto"/>
                <w:left w:val="none" w:sz="0" w:space="0" w:color="auto"/>
                <w:bottom w:val="none" w:sz="0" w:space="0" w:color="auto"/>
                <w:right w:val="none" w:sz="0" w:space="0" w:color="auto"/>
              </w:divBdr>
            </w:div>
            <w:div w:id="868881953">
              <w:marLeft w:val="0"/>
              <w:marRight w:val="0"/>
              <w:marTop w:val="0"/>
              <w:marBottom w:val="0"/>
              <w:divBdr>
                <w:top w:val="none" w:sz="0" w:space="0" w:color="auto"/>
                <w:left w:val="none" w:sz="0" w:space="0" w:color="auto"/>
                <w:bottom w:val="none" w:sz="0" w:space="0" w:color="auto"/>
                <w:right w:val="none" w:sz="0" w:space="0" w:color="auto"/>
              </w:divBdr>
            </w:div>
            <w:div w:id="871266570">
              <w:marLeft w:val="0"/>
              <w:marRight w:val="0"/>
              <w:marTop w:val="0"/>
              <w:marBottom w:val="0"/>
              <w:divBdr>
                <w:top w:val="none" w:sz="0" w:space="0" w:color="auto"/>
                <w:left w:val="none" w:sz="0" w:space="0" w:color="auto"/>
                <w:bottom w:val="none" w:sz="0" w:space="0" w:color="auto"/>
                <w:right w:val="none" w:sz="0" w:space="0" w:color="auto"/>
              </w:divBdr>
            </w:div>
            <w:div w:id="890925119">
              <w:marLeft w:val="0"/>
              <w:marRight w:val="0"/>
              <w:marTop w:val="0"/>
              <w:marBottom w:val="0"/>
              <w:divBdr>
                <w:top w:val="none" w:sz="0" w:space="0" w:color="auto"/>
                <w:left w:val="none" w:sz="0" w:space="0" w:color="auto"/>
                <w:bottom w:val="none" w:sz="0" w:space="0" w:color="auto"/>
                <w:right w:val="none" w:sz="0" w:space="0" w:color="auto"/>
              </w:divBdr>
            </w:div>
            <w:div w:id="895629326">
              <w:marLeft w:val="0"/>
              <w:marRight w:val="0"/>
              <w:marTop w:val="0"/>
              <w:marBottom w:val="0"/>
              <w:divBdr>
                <w:top w:val="none" w:sz="0" w:space="0" w:color="auto"/>
                <w:left w:val="none" w:sz="0" w:space="0" w:color="auto"/>
                <w:bottom w:val="none" w:sz="0" w:space="0" w:color="auto"/>
                <w:right w:val="none" w:sz="0" w:space="0" w:color="auto"/>
              </w:divBdr>
            </w:div>
            <w:div w:id="896746561">
              <w:marLeft w:val="0"/>
              <w:marRight w:val="0"/>
              <w:marTop w:val="0"/>
              <w:marBottom w:val="0"/>
              <w:divBdr>
                <w:top w:val="none" w:sz="0" w:space="0" w:color="auto"/>
                <w:left w:val="none" w:sz="0" w:space="0" w:color="auto"/>
                <w:bottom w:val="none" w:sz="0" w:space="0" w:color="auto"/>
                <w:right w:val="none" w:sz="0" w:space="0" w:color="auto"/>
              </w:divBdr>
            </w:div>
            <w:div w:id="921370869">
              <w:marLeft w:val="0"/>
              <w:marRight w:val="0"/>
              <w:marTop w:val="0"/>
              <w:marBottom w:val="0"/>
              <w:divBdr>
                <w:top w:val="none" w:sz="0" w:space="0" w:color="auto"/>
                <w:left w:val="none" w:sz="0" w:space="0" w:color="auto"/>
                <w:bottom w:val="none" w:sz="0" w:space="0" w:color="auto"/>
                <w:right w:val="none" w:sz="0" w:space="0" w:color="auto"/>
              </w:divBdr>
            </w:div>
            <w:div w:id="921717103">
              <w:marLeft w:val="0"/>
              <w:marRight w:val="0"/>
              <w:marTop w:val="0"/>
              <w:marBottom w:val="0"/>
              <w:divBdr>
                <w:top w:val="none" w:sz="0" w:space="0" w:color="auto"/>
                <w:left w:val="none" w:sz="0" w:space="0" w:color="auto"/>
                <w:bottom w:val="none" w:sz="0" w:space="0" w:color="auto"/>
                <w:right w:val="none" w:sz="0" w:space="0" w:color="auto"/>
              </w:divBdr>
            </w:div>
            <w:div w:id="929698431">
              <w:marLeft w:val="0"/>
              <w:marRight w:val="0"/>
              <w:marTop w:val="0"/>
              <w:marBottom w:val="0"/>
              <w:divBdr>
                <w:top w:val="none" w:sz="0" w:space="0" w:color="auto"/>
                <w:left w:val="none" w:sz="0" w:space="0" w:color="auto"/>
                <w:bottom w:val="none" w:sz="0" w:space="0" w:color="auto"/>
                <w:right w:val="none" w:sz="0" w:space="0" w:color="auto"/>
              </w:divBdr>
            </w:div>
            <w:div w:id="934943569">
              <w:marLeft w:val="0"/>
              <w:marRight w:val="0"/>
              <w:marTop w:val="0"/>
              <w:marBottom w:val="0"/>
              <w:divBdr>
                <w:top w:val="none" w:sz="0" w:space="0" w:color="auto"/>
                <w:left w:val="none" w:sz="0" w:space="0" w:color="auto"/>
                <w:bottom w:val="none" w:sz="0" w:space="0" w:color="auto"/>
                <w:right w:val="none" w:sz="0" w:space="0" w:color="auto"/>
              </w:divBdr>
            </w:div>
            <w:div w:id="943805090">
              <w:marLeft w:val="0"/>
              <w:marRight w:val="0"/>
              <w:marTop w:val="0"/>
              <w:marBottom w:val="0"/>
              <w:divBdr>
                <w:top w:val="none" w:sz="0" w:space="0" w:color="auto"/>
                <w:left w:val="none" w:sz="0" w:space="0" w:color="auto"/>
                <w:bottom w:val="none" w:sz="0" w:space="0" w:color="auto"/>
                <w:right w:val="none" w:sz="0" w:space="0" w:color="auto"/>
              </w:divBdr>
            </w:div>
            <w:div w:id="945692408">
              <w:marLeft w:val="0"/>
              <w:marRight w:val="0"/>
              <w:marTop w:val="0"/>
              <w:marBottom w:val="0"/>
              <w:divBdr>
                <w:top w:val="none" w:sz="0" w:space="0" w:color="auto"/>
                <w:left w:val="none" w:sz="0" w:space="0" w:color="auto"/>
                <w:bottom w:val="none" w:sz="0" w:space="0" w:color="auto"/>
                <w:right w:val="none" w:sz="0" w:space="0" w:color="auto"/>
              </w:divBdr>
            </w:div>
            <w:div w:id="958728794">
              <w:marLeft w:val="0"/>
              <w:marRight w:val="0"/>
              <w:marTop w:val="0"/>
              <w:marBottom w:val="0"/>
              <w:divBdr>
                <w:top w:val="none" w:sz="0" w:space="0" w:color="auto"/>
                <w:left w:val="none" w:sz="0" w:space="0" w:color="auto"/>
                <w:bottom w:val="none" w:sz="0" w:space="0" w:color="auto"/>
                <w:right w:val="none" w:sz="0" w:space="0" w:color="auto"/>
              </w:divBdr>
            </w:div>
            <w:div w:id="991560285">
              <w:marLeft w:val="0"/>
              <w:marRight w:val="0"/>
              <w:marTop w:val="0"/>
              <w:marBottom w:val="0"/>
              <w:divBdr>
                <w:top w:val="none" w:sz="0" w:space="0" w:color="auto"/>
                <w:left w:val="none" w:sz="0" w:space="0" w:color="auto"/>
                <w:bottom w:val="none" w:sz="0" w:space="0" w:color="auto"/>
                <w:right w:val="none" w:sz="0" w:space="0" w:color="auto"/>
              </w:divBdr>
            </w:div>
            <w:div w:id="995492208">
              <w:marLeft w:val="0"/>
              <w:marRight w:val="0"/>
              <w:marTop w:val="0"/>
              <w:marBottom w:val="0"/>
              <w:divBdr>
                <w:top w:val="none" w:sz="0" w:space="0" w:color="auto"/>
                <w:left w:val="none" w:sz="0" w:space="0" w:color="auto"/>
                <w:bottom w:val="none" w:sz="0" w:space="0" w:color="auto"/>
                <w:right w:val="none" w:sz="0" w:space="0" w:color="auto"/>
              </w:divBdr>
            </w:div>
            <w:div w:id="1002780407">
              <w:marLeft w:val="0"/>
              <w:marRight w:val="0"/>
              <w:marTop w:val="0"/>
              <w:marBottom w:val="0"/>
              <w:divBdr>
                <w:top w:val="none" w:sz="0" w:space="0" w:color="auto"/>
                <w:left w:val="none" w:sz="0" w:space="0" w:color="auto"/>
                <w:bottom w:val="none" w:sz="0" w:space="0" w:color="auto"/>
                <w:right w:val="none" w:sz="0" w:space="0" w:color="auto"/>
              </w:divBdr>
            </w:div>
            <w:div w:id="1018770872">
              <w:marLeft w:val="0"/>
              <w:marRight w:val="0"/>
              <w:marTop w:val="0"/>
              <w:marBottom w:val="0"/>
              <w:divBdr>
                <w:top w:val="none" w:sz="0" w:space="0" w:color="auto"/>
                <w:left w:val="none" w:sz="0" w:space="0" w:color="auto"/>
                <w:bottom w:val="none" w:sz="0" w:space="0" w:color="auto"/>
                <w:right w:val="none" w:sz="0" w:space="0" w:color="auto"/>
              </w:divBdr>
            </w:div>
            <w:div w:id="1019963101">
              <w:marLeft w:val="0"/>
              <w:marRight w:val="0"/>
              <w:marTop w:val="0"/>
              <w:marBottom w:val="0"/>
              <w:divBdr>
                <w:top w:val="none" w:sz="0" w:space="0" w:color="auto"/>
                <w:left w:val="none" w:sz="0" w:space="0" w:color="auto"/>
                <w:bottom w:val="none" w:sz="0" w:space="0" w:color="auto"/>
                <w:right w:val="none" w:sz="0" w:space="0" w:color="auto"/>
              </w:divBdr>
            </w:div>
            <w:div w:id="1021542184">
              <w:marLeft w:val="0"/>
              <w:marRight w:val="0"/>
              <w:marTop w:val="0"/>
              <w:marBottom w:val="0"/>
              <w:divBdr>
                <w:top w:val="none" w:sz="0" w:space="0" w:color="auto"/>
                <w:left w:val="none" w:sz="0" w:space="0" w:color="auto"/>
                <w:bottom w:val="none" w:sz="0" w:space="0" w:color="auto"/>
                <w:right w:val="none" w:sz="0" w:space="0" w:color="auto"/>
              </w:divBdr>
            </w:div>
            <w:div w:id="1021591107">
              <w:marLeft w:val="0"/>
              <w:marRight w:val="0"/>
              <w:marTop w:val="0"/>
              <w:marBottom w:val="0"/>
              <w:divBdr>
                <w:top w:val="none" w:sz="0" w:space="0" w:color="auto"/>
                <w:left w:val="none" w:sz="0" w:space="0" w:color="auto"/>
                <w:bottom w:val="none" w:sz="0" w:space="0" w:color="auto"/>
                <w:right w:val="none" w:sz="0" w:space="0" w:color="auto"/>
              </w:divBdr>
            </w:div>
            <w:div w:id="1025860546">
              <w:marLeft w:val="0"/>
              <w:marRight w:val="0"/>
              <w:marTop w:val="0"/>
              <w:marBottom w:val="0"/>
              <w:divBdr>
                <w:top w:val="none" w:sz="0" w:space="0" w:color="auto"/>
                <w:left w:val="none" w:sz="0" w:space="0" w:color="auto"/>
                <w:bottom w:val="none" w:sz="0" w:space="0" w:color="auto"/>
                <w:right w:val="none" w:sz="0" w:space="0" w:color="auto"/>
              </w:divBdr>
            </w:div>
            <w:div w:id="1034647791">
              <w:marLeft w:val="0"/>
              <w:marRight w:val="0"/>
              <w:marTop w:val="0"/>
              <w:marBottom w:val="0"/>
              <w:divBdr>
                <w:top w:val="none" w:sz="0" w:space="0" w:color="auto"/>
                <w:left w:val="none" w:sz="0" w:space="0" w:color="auto"/>
                <w:bottom w:val="none" w:sz="0" w:space="0" w:color="auto"/>
                <w:right w:val="none" w:sz="0" w:space="0" w:color="auto"/>
              </w:divBdr>
            </w:div>
            <w:div w:id="1037316866">
              <w:marLeft w:val="0"/>
              <w:marRight w:val="0"/>
              <w:marTop w:val="0"/>
              <w:marBottom w:val="0"/>
              <w:divBdr>
                <w:top w:val="none" w:sz="0" w:space="0" w:color="auto"/>
                <w:left w:val="none" w:sz="0" w:space="0" w:color="auto"/>
                <w:bottom w:val="none" w:sz="0" w:space="0" w:color="auto"/>
                <w:right w:val="none" w:sz="0" w:space="0" w:color="auto"/>
              </w:divBdr>
            </w:div>
            <w:div w:id="1044259034">
              <w:marLeft w:val="0"/>
              <w:marRight w:val="0"/>
              <w:marTop w:val="0"/>
              <w:marBottom w:val="0"/>
              <w:divBdr>
                <w:top w:val="none" w:sz="0" w:space="0" w:color="auto"/>
                <w:left w:val="none" w:sz="0" w:space="0" w:color="auto"/>
                <w:bottom w:val="none" w:sz="0" w:space="0" w:color="auto"/>
                <w:right w:val="none" w:sz="0" w:space="0" w:color="auto"/>
              </w:divBdr>
            </w:div>
            <w:div w:id="1044718687">
              <w:marLeft w:val="0"/>
              <w:marRight w:val="0"/>
              <w:marTop w:val="0"/>
              <w:marBottom w:val="0"/>
              <w:divBdr>
                <w:top w:val="none" w:sz="0" w:space="0" w:color="auto"/>
                <w:left w:val="none" w:sz="0" w:space="0" w:color="auto"/>
                <w:bottom w:val="none" w:sz="0" w:space="0" w:color="auto"/>
                <w:right w:val="none" w:sz="0" w:space="0" w:color="auto"/>
              </w:divBdr>
            </w:div>
            <w:div w:id="1052269200">
              <w:marLeft w:val="0"/>
              <w:marRight w:val="0"/>
              <w:marTop w:val="0"/>
              <w:marBottom w:val="0"/>
              <w:divBdr>
                <w:top w:val="none" w:sz="0" w:space="0" w:color="auto"/>
                <w:left w:val="none" w:sz="0" w:space="0" w:color="auto"/>
                <w:bottom w:val="none" w:sz="0" w:space="0" w:color="auto"/>
                <w:right w:val="none" w:sz="0" w:space="0" w:color="auto"/>
              </w:divBdr>
            </w:div>
            <w:div w:id="1068041934">
              <w:marLeft w:val="0"/>
              <w:marRight w:val="0"/>
              <w:marTop w:val="0"/>
              <w:marBottom w:val="0"/>
              <w:divBdr>
                <w:top w:val="none" w:sz="0" w:space="0" w:color="auto"/>
                <w:left w:val="none" w:sz="0" w:space="0" w:color="auto"/>
                <w:bottom w:val="none" w:sz="0" w:space="0" w:color="auto"/>
                <w:right w:val="none" w:sz="0" w:space="0" w:color="auto"/>
              </w:divBdr>
            </w:div>
            <w:div w:id="1075081971">
              <w:marLeft w:val="0"/>
              <w:marRight w:val="0"/>
              <w:marTop w:val="0"/>
              <w:marBottom w:val="0"/>
              <w:divBdr>
                <w:top w:val="none" w:sz="0" w:space="0" w:color="auto"/>
                <w:left w:val="none" w:sz="0" w:space="0" w:color="auto"/>
                <w:bottom w:val="none" w:sz="0" w:space="0" w:color="auto"/>
                <w:right w:val="none" w:sz="0" w:space="0" w:color="auto"/>
              </w:divBdr>
            </w:div>
            <w:div w:id="1075474428">
              <w:marLeft w:val="0"/>
              <w:marRight w:val="0"/>
              <w:marTop w:val="0"/>
              <w:marBottom w:val="0"/>
              <w:divBdr>
                <w:top w:val="none" w:sz="0" w:space="0" w:color="auto"/>
                <w:left w:val="none" w:sz="0" w:space="0" w:color="auto"/>
                <w:bottom w:val="none" w:sz="0" w:space="0" w:color="auto"/>
                <w:right w:val="none" w:sz="0" w:space="0" w:color="auto"/>
              </w:divBdr>
            </w:div>
            <w:div w:id="1086028698">
              <w:marLeft w:val="0"/>
              <w:marRight w:val="0"/>
              <w:marTop w:val="0"/>
              <w:marBottom w:val="0"/>
              <w:divBdr>
                <w:top w:val="none" w:sz="0" w:space="0" w:color="auto"/>
                <w:left w:val="none" w:sz="0" w:space="0" w:color="auto"/>
                <w:bottom w:val="none" w:sz="0" w:space="0" w:color="auto"/>
                <w:right w:val="none" w:sz="0" w:space="0" w:color="auto"/>
              </w:divBdr>
            </w:div>
            <w:div w:id="1093862368">
              <w:marLeft w:val="0"/>
              <w:marRight w:val="0"/>
              <w:marTop w:val="0"/>
              <w:marBottom w:val="0"/>
              <w:divBdr>
                <w:top w:val="none" w:sz="0" w:space="0" w:color="auto"/>
                <w:left w:val="none" w:sz="0" w:space="0" w:color="auto"/>
                <w:bottom w:val="none" w:sz="0" w:space="0" w:color="auto"/>
                <w:right w:val="none" w:sz="0" w:space="0" w:color="auto"/>
              </w:divBdr>
            </w:div>
            <w:div w:id="1132479749">
              <w:marLeft w:val="0"/>
              <w:marRight w:val="0"/>
              <w:marTop w:val="0"/>
              <w:marBottom w:val="0"/>
              <w:divBdr>
                <w:top w:val="none" w:sz="0" w:space="0" w:color="auto"/>
                <w:left w:val="none" w:sz="0" w:space="0" w:color="auto"/>
                <w:bottom w:val="none" w:sz="0" w:space="0" w:color="auto"/>
                <w:right w:val="none" w:sz="0" w:space="0" w:color="auto"/>
              </w:divBdr>
            </w:div>
            <w:div w:id="1132527627">
              <w:marLeft w:val="0"/>
              <w:marRight w:val="0"/>
              <w:marTop w:val="0"/>
              <w:marBottom w:val="0"/>
              <w:divBdr>
                <w:top w:val="none" w:sz="0" w:space="0" w:color="auto"/>
                <w:left w:val="none" w:sz="0" w:space="0" w:color="auto"/>
                <w:bottom w:val="none" w:sz="0" w:space="0" w:color="auto"/>
                <w:right w:val="none" w:sz="0" w:space="0" w:color="auto"/>
              </w:divBdr>
            </w:div>
            <w:div w:id="1151747788">
              <w:marLeft w:val="0"/>
              <w:marRight w:val="0"/>
              <w:marTop w:val="0"/>
              <w:marBottom w:val="0"/>
              <w:divBdr>
                <w:top w:val="none" w:sz="0" w:space="0" w:color="auto"/>
                <w:left w:val="none" w:sz="0" w:space="0" w:color="auto"/>
                <w:bottom w:val="none" w:sz="0" w:space="0" w:color="auto"/>
                <w:right w:val="none" w:sz="0" w:space="0" w:color="auto"/>
              </w:divBdr>
            </w:div>
            <w:div w:id="1153638182">
              <w:marLeft w:val="0"/>
              <w:marRight w:val="0"/>
              <w:marTop w:val="0"/>
              <w:marBottom w:val="0"/>
              <w:divBdr>
                <w:top w:val="none" w:sz="0" w:space="0" w:color="auto"/>
                <w:left w:val="none" w:sz="0" w:space="0" w:color="auto"/>
                <w:bottom w:val="none" w:sz="0" w:space="0" w:color="auto"/>
                <w:right w:val="none" w:sz="0" w:space="0" w:color="auto"/>
              </w:divBdr>
            </w:div>
            <w:div w:id="1193687075">
              <w:marLeft w:val="0"/>
              <w:marRight w:val="0"/>
              <w:marTop w:val="0"/>
              <w:marBottom w:val="0"/>
              <w:divBdr>
                <w:top w:val="none" w:sz="0" w:space="0" w:color="auto"/>
                <w:left w:val="none" w:sz="0" w:space="0" w:color="auto"/>
                <w:bottom w:val="none" w:sz="0" w:space="0" w:color="auto"/>
                <w:right w:val="none" w:sz="0" w:space="0" w:color="auto"/>
              </w:divBdr>
            </w:div>
            <w:div w:id="1195536468">
              <w:marLeft w:val="0"/>
              <w:marRight w:val="0"/>
              <w:marTop w:val="0"/>
              <w:marBottom w:val="0"/>
              <w:divBdr>
                <w:top w:val="none" w:sz="0" w:space="0" w:color="auto"/>
                <w:left w:val="none" w:sz="0" w:space="0" w:color="auto"/>
                <w:bottom w:val="none" w:sz="0" w:space="0" w:color="auto"/>
                <w:right w:val="none" w:sz="0" w:space="0" w:color="auto"/>
              </w:divBdr>
            </w:div>
            <w:div w:id="1203129626">
              <w:marLeft w:val="0"/>
              <w:marRight w:val="0"/>
              <w:marTop w:val="0"/>
              <w:marBottom w:val="0"/>
              <w:divBdr>
                <w:top w:val="none" w:sz="0" w:space="0" w:color="auto"/>
                <w:left w:val="none" w:sz="0" w:space="0" w:color="auto"/>
                <w:bottom w:val="none" w:sz="0" w:space="0" w:color="auto"/>
                <w:right w:val="none" w:sz="0" w:space="0" w:color="auto"/>
              </w:divBdr>
            </w:div>
            <w:div w:id="1206990612">
              <w:marLeft w:val="0"/>
              <w:marRight w:val="0"/>
              <w:marTop w:val="0"/>
              <w:marBottom w:val="0"/>
              <w:divBdr>
                <w:top w:val="none" w:sz="0" w:space="0" w:color="auto"/>
                <w:left w:val="none" w:sz="0" w:space="0" w:color="auto"/>
                <w:bottom w:val="none" w:sz="0" w:space="0" w:color="auto"/>
                <w:right w:val="none" w:sz="0" w:space="0" w:color="auto"/>
              </w:divBdr>
            </w:div>
            <w:div w:id="1208418444">
              <w:marLeft w:val="0"/>
              <w:marRight w:val="0"/>
              <w:marTop w:val="0"/>
              <w:marBottom w:val="0"/>
              <w:divBdr>
                <w:top w:val="none" w:sz="0" w:space="0" w:color="auto"/>
                <w:left w:val="none" w:sz="0" w:space="0" w:color="auto"/>
                <w:bottom w:val="none" w:sz="0" w:space="0" w:color="auto"/>
                <w:right w:val="none" w:sz="0" w:space="0" w:color="auto"/>
              </w:divBdr>
            </w:div>
            <w:div w:id="1208908474">
              <w:marLeft w:val="0"/>
              <w:marRight w:val="0"/>
              <w:marTop w:val="0"/>
              <w:marBottom w:val="0"/>
              <w:divBdr>
                <w:top w:val="none" w:sz="0" w:space="0" w:color="auto"/>
                <w:left w:val="none" w:sz="0" w:space="0" w:color="auto"/>
                <w:bottom w:val="none" w:sz="0" w:space="0" w:color="auto"/>
                <w:right w:val="none" w:sz="0" w:space="0" w:color="auto"/>
              </w:divBdr>
            </w:div>
            <w:div w:id="1225682333">
              <w:marLeft w:val="0"/>
              <w:marRight w:val="0"/>
              <w:marTop w:val="0"/>
              <w:marBottom w:val="0"/>
              <w:divBdr>
                <w:top w:val="none" w:sz="0" w:space="0" w:color="auto"/>
                <w:left w:val="none" w:sz="0" w:space="0" w:color="auto"/>
                <w:bottom w:val="none" w:sz="0" w:space="0" w:color="auto"/>
                <w:right w:val="none" w:sz="0" w:space="0" w:color="auto"/>
              </w:divBdr>
            </w:div>
            <w:div w:id="1232933763">
              <w:marLeft w:val="0"/>
              <w:marRight w:val="0"/>
              <w:marTop w:val="0"/>
              <w:marBottom w:val="0"/>
              <w:divBdr>
                <w:top w:val="none" w:sz="0" w:space="0" w:color="auto"/>
                <w:left w:val="none" w:sz="0" w:space="0" w:color="auto"/>
                <w:bottom w:val="none" w:sz="0" w:space="0" w:color="auto"/>
                <w:right w:val="none" w:sz="0" w:space="0" w:color="auto"/>
              </w:divBdr>
            </w:div>
            <w:div w:id="1256132320">
              <w:marLeft w:val="0"/>
              <w:marRight w:val="0"/>
              <w:marTop w:val="0"/>
              <w:marBottom w:val="0"/>
              <w:divBdr>
                <w:top w:val="none" w:sz="0" w:space="0" w:color="auto"/>
                <w:left w:val="none" w:sz="0" w:space="0" w:color="auto"/>
                <w:bottom w:val="none" w:sz="0" w:space="0" w:color="auto"/>
                <w:right w:val="none" w:sz="0" w:space="0" w:color="auto"/>
              </w:divBdr>
            </w:div>
            <w:div w:id="1259679888">
              <w:marLeft w:val="0"/>
              <w:marRight w:val="0"/>
              <w:marTop w:val="0"/>
              <w:marBottom w:val="0"/>
              <w:divBdr>
                <w:top w:val="none" w:sz="0" w:space="0" w:color="auto"/>
                <w:left w:val="none" w:sz="0" w:space="0" w:color="auto"/>
                <w:bottom w:val="none" w:sz="0" w:space="0" w:color="auto"/>
                <w:right w:val="none" w:sz="0" w:space="0" w:color="auto"/>
              </w:divBdr>
            </w:div>
            <w:div w:id="1263881223">
              <w:marLeft w:val="0"/>
              <w:marRight w:val="0"/>
              <w:marTop w:val="0"/>
              <w:marBottom w:val="0"/>
              <w:divBdr>
                <w:top w:val="none" w:sz="0" w:space="0" w:color="auto"/>
                <w:left w:val="none" w:sz="0" w:space="0" w:color="auto"/>
                <w:bottom w:val="none" w:sz="0" w:space="0" w:color="auto"/>
                <w:right w:val="none" w:sz="0" w:space="0" w:color="auto"/>
              </w:divBdr>
            </w:div>
            <w:div w:id="1264925074">
              <w:marLeft w:val="0"/>
              <w:marRight w:val="0"/>
              <w:marTop w:val="0"/>
              <w:marBottom w:val="0"/>
              <w:divBdr>
                <w:top w:val="none" w:sz="0" w:space="0" w:color="auto"/>
                <w:left w:val="none" w:sz="0" w:space="0" w:color="auto"/>
                <w:bottom w:val="none" w:sz="0" w:space="0" w:color="auto"/>
                <w:right w:val="none" w:sz="0" w:space="0" w:color="auto"/>
              </w:divBdr>
            </w:div>
            <w:div w:id="1265116733">
              <w:marLeft w:val="0"/>
              <w:marRight w:val="0"/>
              <w:marTop w:val="0"/>
              <w:marBottom w:val="0"/>
              <w:divBdr>
                <w:top w:val="none" w:sz="0" w:space="0" w:color="auto"/>
                <w:left w:val="none" w:sz="0" w:space="0" w:color="auto"/>
                <w:bottom w:val="none" w:sz="0" w:space="0" w:color="auto"/>
                <w:right w:val="none" w:sz="0" w:space="0" w:color="auto"/>
              </w:divBdr>
            </w:div>
            <w:div w:id="1271204821">
              <w:marLeft w:val="0"/>
              <w:marRight w:val="0"/>
              <w:marTop w:val="0"/>
              <w:marBottom w:val="0"/>
              <w:divBdr>
                <w:top w:val="none" w:sz="0" w:space="0" w:color="auto"/>
                <w:left w:val="none" w:sz="0" w:space="0" w:color="auto"/>
                <w:bottom w:val="none" w:sz="0" w:space="0" w:color="auto"/>
                <w:right w:val="none" w:sz="0" w:space="0" w:color="auto"/>
              </w:divBdr>
            </w:div>
            <w:div w:id="1296107387">
              <w:marLeft w:val="0"/>
              <w:marRight w:val="0"/>
              <w:marTop w:val="0"/>
              <w:marBottom w:val="0"/>
              <w:divBdr>
                <w:top w:val="none" w:sz="0" w:space="0" w:color="auto"/>
                <w:left w:val="none" w:sz="0" w:space="0" w:color="auto"/>
                <w:bottom w:val="none" w:sz="0" w:space="0" w:color="auto"/>
                <w:right w:val="none" w:sz="0" w:space="0" w:color="auto"/>
              </w:divBdr>
            </w:div>
            <w:div w:id="1303272463">
              <w:marLeft w:val="0"/>
              <w:marRight w:val="0"/>
              <w:marTop w:val="0"/>
              <w:marBottom w:val="0"/>
              <w:divBdr>
                <w:top w:val="none" w:sz="0" w:space="0" w:color="auto"/>
                <w:left w:val="none" w:sz="0" w:space="0" w:color="auto"/>
                <w:bottom w:val="none" w:sz="0" w:space="0" w:color="auto"/>
                <w:right w:val="none" w:sz="0" w:space="0" w:color="auto"/>
              </w:divBdr>
            </w:div>
            <w:div w:id="1314522672">
              <w:marLeft w:val="0"/>
              <w:marRight w:val="0"/>
              <w:marTop w:val="0"/>
              <w:marBottom w:val="0"/>
              <w:divBdr>
                <w:top w:val="none" w:sz="0" w:space="0" w:color="auto"/>
                <w:left w:val="none" w:sz="0" w:space="0" w:color="auto"/>
                <w:bottom w:val="none" w:sz="0" w:space="0" w:color="auto"/>
                <w:right w:val="none" w:sz="0" w:space="0" w:color="auto"/>
              </w:divBdr>
            </w:div>
            <w:div w:id="1323385195">
              <w:marLeft w:val="0"/>
              <w:marRight w:val="0"/>
              <w:marTop w:val="0"/>
              <w:marBottom w:val="0"/>
              <w:divBdr>
                <w:top w:val="none" w:sz="0" w:space="0" w:color="auto"/>
                <w:left w:val="none" w:sz="0" w:space="0" w:color="auto"/>
                <w:bottom w:val="none" w:sz="0" w:space="0" w:color="auto"/>
                <w:right w:val="none" w:sz="0" w:space="0" w:color="auto"/>
              </w:divBdr>
            </w:div>
            <w:div w:id="1352146686">
              <w:marLeft w:val="0"/>
              <w:marRight w:val="0"/>
              <w:marTop w:val="0"/>
              <w:marBottom w:val="0"/>
              <w:divBdr>
                <w:top w:val="none" w:sz="0" w:space="0" w:color="auto"/>
                <w:left w:val="none" w:sz="0" w:space="0" w:color="auto"/>
                <w:bottom w:val="none" w:sz="0" w:space="0" w:color="auto"/>
                <w:right w:val="none" w:sz="0" w:space="0" w:color="auto"/>
              </w:divBdr>
            </w:div>
            <w:div w:id="1359889287">
              <w:marLeft w:val="0"/>
              <w:marRight w:val="0"/>
              <w:marTop w:val="0"/>
              <w:marBottom w:val="0"/>
              <w:divBdr>
                <w:top w:val="none" w:sz="0" w:space="0" w:color="auto"/>
                <w:left w:val="none" w:sz="0" w:space="0" w:color="auto"/>
                <w:bottom w:val="none" w:sz="0" w:space="0" w:color="auto"/>
                <w:right w:val="none" w:sz="0" w:space="0" w:color="auto"/>
              </w:divBdr>
            </w:div>
            <w:div w:id="1360473029">
              <w:marLeft w:val="0"/>
              <w:marRight w:val="0"/>
              <w:marTop w:val="0"/>
              <w:marBottom w:val="0"/>
              <w:divBdr>
                <w:top w:val="none" w:sz="0" w:space="0" w:color="auto"/>
                <w:left w:val="none" w:sz="0" w:space="0" w:color="auto"/>
                <w:bottom w:val="none" w:sz="0" w:space="0" w:color="auto"/>
                <w:right w:val="none" w:sz="0" w:space="0" w:color="auto"/>
              </w:divBdr>
            </w:div>
            <w:div w:id="1374502115">
              <w:marLeft w:val="0"/>
              <w:marRight w:val="0"/>
              <w:marTop w:val="0"/>
              <w:marBottom w:val="0"/>
              <w:divBdr>
                <w:top w:val="none" w:sz="0" w:space="0" w:color="auto"/>
                <w:left w:val="none" w:sz="0" w:space="0" w:color="auto"/>
                <w:bottom w:val="none" w:sz="0" w:space="0" w:color="auto"/>
                <w:right w:val="none" w:sz="0" w:space="0" w:color="auto"/>
              </w:divBdr>
            </w:div>
            <w:div w:id="1389840512">
              <w:marLeft w:val="0"/>
              <w:marRight w:val="0"/>
              <w:marTop w:val="0"/>
              <w:marBottom w:val="0"/>
              <w:divBdr>
                <w:top w:val="none" w:sz="0" w:space="0" w:color="auto"/>
                <w:left w:val="none" w:sz="0" w:space="0" w:color="auto"/>
                <w:bottom w:val="none" w:sz="0" w:space="0" w:color="auto"/>
                <w:right w:val="none" w:sz="0" w:space="0" w:color="auto"/>
              </w:divBdr>
            </w:div>
            <w:div w:id="1408453158">
              <w:marLeft w:val="0"/>
              <w:marRight w:val="0"/>
              <w:marTop w:val="0"/>
              <w:marBottom w:val="0"/>
              <w:divBdr>
                <w:top w:val="none" w:sz="0" w:space="0" w:color="auto"/>
                <w:left w:val="none" w:sz="0" w:space="0" w:color="auto"/>
                <w:bottom w:val="none" w:sz="0" w:space="0" w:color="auto"/>
                <w:right w:val="none" w:sz="0" w:space="0" w:color="auto"/>
              </w:divBdr>
            </w:div>
            <w:div w:id="1413702070">
              <w:marLeft w:val="0"/>
              <w:marRight w:val="0"/>
              <w:marTop w:val="0"/>
              <w:marBottom w:val="0"/>
              <w:divBdr>
                <w:top w:val="none" w:sz="0" w:space="0" w:color="auto"/>
                <w:left w:val="none" w:sz="0" w:space="0" w:color="auto"/>
                <w:bottom w:val="none" w:sz="0" w:space="0" w:color="auto"/>
                <w:right w:val="none" w:sz="0" w:space="0" w:color="auto"/>
              </w:divBdr>
            </w:div>
            <w:div w:id="1421441236">
              <w:marLeft w:val="0"/>
              <w:marRight w:val="0"/>
              <w:marTop w:val="0"/>
              <w:marBottom w:val="0"/>
              <w:divBdr>
                <w:top w:val="none" w:sz="0" w:space="0" w:color="auto"/>
                <w:left w:val="none" w:sz="0" w:space="0" w:color="auto"/>
                <w:bottom w:val="none" w:sz="0" w:space="0" w:color="auto"/>
                <w:right w:val="none" w:sz="0" w:space="0" w:color="auto"/>
              </w:divBdr>
            </w:div>
            <w:div w:id="1426488264">
              <w:marLeft w:val="0"/>
              <w:marRight w:val="0"/>
              <w:marTop w:val="0"/>
              <w:marBottom w:val="0"/>
              <w:divBdr>
                <w:top w:val="none" w:sz="0" w:space="0" w:color="auto"/>
                <w:left w:val="none" w:sz="0" w:space="0" w:color="auto"/>
                <w:bottom w:val="none" w:sz="0" w:space="0" w:color="auto"/>
                <w:right w:val="none" w:sz="0" w:space="0" w:color="auto"/>
              </w:divBdr>
            </w:div>
            <w:div w:id="1450278056">
              <w:marLeft w:val="0"/>
              <w:marRight w:val="0"/>
              <w:marTop w:val="0"/>
              <w:marBottom w:val="0"/>
              <w:divBdr>
                <w:top w:val="none" w:sz="0" w:space="0" w:color="auto"/>
                <w:left w:val="none" w:sz="0" w:space="0" w:color="auto"/>
                <w:bottom w:val="none" w:sz="0" w:space="0" w:color="auto"/>
                <w:right w:val="none" w:sz="0" w:space="0" w:color="auto"/>
              </w:divBdr>
            </w:div>
            <w:div w:id="1459032314">
              <w:marLeft w:val="0"/>
              <w:marRight w:val="0"/>
              <w:marTop w:val="0"/>
              <w:marBottom w:val="0"/>
              <w:divBdr>
                <w:top w:val="none" w:sz="0" w:space="0" w:color="auto"/>
                <w:left w:val="none" w:sz="0" w:space="0" w:color="auto"/>
                <w:bottom w:val="none" w:sz="0" w:space="0" w:color="auto"/>
                <w:right w:val="none" w:sz="0" w:space="0" w:color="auto"/>
              </w:divBdr>
            </w:div>
            <w:div w:id="1461263568">
              <w:marLeft w:val="0"/>
              <w:marRight w:val="0"/>
              <w:marTop w:val="0"/>
              <w:marBottom w:val="0"/>
              <w:divBdr>
                <w:top w:val="none" w:sz="0" w:space="0" w:color="auto"/>
                <w:left w:val="none" w:sz="0" w:space="0" w:color="auto"/>
                <w:bottom w:val="none" w:sz="0" w:space="0" w:color="auto"/>
                <w:right w:val="none" w:sz="0" w:space="0" w:color="auto"/>
              </w:divBdr>
            </w:div>
            <w:div w:id="1474060520">
              <w:marLeft w:val="0"/>
              <w:marRight w:val="0"/>
              <w:marTop w:val="0"/>
              <w:marBottom w:val="0"/>
              <w:divBdr>
                <w:top w:val="none" w:sz="0" w:space="0" w:color="auto"/>
                <w:left w:val="none" w:sz="0" w:space="0" w:color="auto"/>
                <w:bottom w:val="none" w:sz="0" w:space="0" w:color="auto"/>
                <w:right w:val="none" w:sz="0" w:space="0" w:color="auto"/>
              </w:divBdr>
            </w:div>
            <w:div w:id="1478105844">
              <w:marLeft w:val="0"/>
              <w:marRight w:val="0"/>
              <w:marTop w:val="0"/>
              <w:marBottom w:val="0"/>
              <w:divBdr>
                <w:top w:val="none" w:sz="0" w:space="0" w:color="auto"/>
                <w:left w:val="none" w:sz="0" w:space="0" w:color="auto"/>
                <w:bottom w:val="none" w:sz="0" w:space="0" w:color="auto"/>
                <w:right w:val="none" w:sz="0" w:space="0" w:color="auto"/>
              </w:divBdr>
            </w:div>
            <w:div w:id="1482427167">
              <w:marLeft w:val="0"/>
              <w:marRight w:val="0"/>
              <w:marTop w:val="0"/>
              <w:marBottom w:val="0"/>
              <w:divBdr>
                <w:top w:val="none" w:sz="0" w:space="0" w:color="auto"/>
                <w:left w:val="none" w:sz="0" w:space="0" w:color="auto"/>
                <w:bottom w:val="none" w:sz="0" w:space="0" w:color="auto"/>
                <w:right w:val="none" w:sz="0" w:space="0" w:color="auto"/>
              </w:divBdr>
            </w:div>
            <w:div w:id="1485050314">
              <w:marLeft w:val="0"/>
              <w:marRight w:val="0"/>
              <w:marTop w:val="0"/>
              <w:marBottom w:val="0"/>
              <w:divBdr>
                <w:top w:val="none" w:sz="0" w:space="0" w:color="auto"/>
                <w:left w:val="none" w:sz="0" w:space="0" w:color="auto"/>
                <w:bottom w:val="none" w:sz="0" w:space="0" w:color="auto"/>
                <w:right w:val="none" w:sz="0" w:space="0" w:color="auto"/>
              </w:divBdr>
            </w:div>
            <w:div w:id="1500538790">
              <w:marLeft w:val="0"/>
              <w:marRight w:val="0"/>
              <w:marTop w:val="0"/>
              <w:marBottom w:val="0"/>
              <w:divBdr>
                <w:top w:val="none" w:sz="0" w:space="0" w:color="auto"/>
                <w:left w:val="none" w:sz="0" w:space="0" w:color="auto"/>
                <w:bottom w:val="none" w:sz="0" w:space="0" w:color="auto"/>
                <w:right w:val="none" w:sz="0" w:space="0" w:color="auto"/>
              </w:divBdr>
            </w:div>
            <w:div w:id="1519928391">
              <w:marLeft w:val="0"/>
              <w:marRight w:val="0"/>
              <w:marTop w:val="0"/>
              <w:marBottom w:val="0"/>
              <w:divBdr>
                <w:top w:val="none" w:sz="0" w:space="0" w:color="auto"/>
                <w:left w:val="none" w:sz="0" w:space="0" w:color="auto"/>
                <w:bottom w:val="none" w:sz="0" w:space="0" w:color="auto"/>
                <w:right w:val="none" w:sz="0" w:space="0" w:color="auto"/>
              </w:divBdr>
            </w:div>
            <w:div w:id="1528330644">
              <w:marLeft w:val="0"/>
              <w:marRight w:val="0"/>
              <w:marTop w:val="0"/>
              <w:marBottom w:val="0"/>
              <w:divBdr>
                <w:top w:val="none" w:sz="0" w:space="0" w:color="auto"/>
                <w:left w:val="none" w:sz="0" w:space="0" w:color="auto"/>
                <w:bottom w:val="none" w:sz="0" w:space="0" w:color="auto"/>
                <w:right w:val="none" w:sz="0" w:space="0" w:color="auto"/>
              </w:divBdr>
            </w:div>
            <w:div w:id="1531601075">
              <w:marLeft w:val="0"/>
              <w:marRight w:val="0"/>
              <w:marTop w:val="0"/>
              <w:marBottom w:val="0"/>
              <w:divBdr>
                <w:top w:val="none" w:sz="0" w:space="0" w:color="auto"/>
                <w:left w:val="none" w:sz="0" w:space="0" w:color="auto"/>
                <w:bottom w:val="none" w:sz="0" w:space="0" w:color="auto"/>
                <w:right w:val="none" w:sz="0" w:space="0" w:color="auto"/>
              </w:divBdr>
            </w:div>
            <w:div w:id="1532452312">
              <w:marLeft w:val="0"/>
              <w:marRight w:val="0"/>
              <w:marTop w:val="0"/>
              <w:marBottom w:val="0"/>
              <w:divBdr>
                <w:top w:val="none" w:sz="0" w:space="0" w:color="auto"/>
                <w:left w:val="none" w:sz="0" w:space="0" w:color="auto"/>
                <w:bottom w:val="none" w:sz="0" w:space="0" w:color="auto"/>
                <w:right w:val="none" w:sz="0" w:space="0" w:color="auto"/>
              </w:divBdr>
            </w:div>
            <w:div w:id="1535844290">
              <w:marLeft w:val="0"/>
              <w:marRight w:val="0"/>
              <w:marTop w:val="0"/>
              <w:marBottom w:val="0"/>
              <w:divBdr>
                <w:top w:val="none" w:sz="0" w:space="0" w:color="auto"/>
                <w:left w:val="none" w:sz="0" w:space="0" w:color="auto"/>
                <w:bottom w:val="none" w:sz="0" w:space="0" w:color="auto"/>
                <w:right w:val="none" w:sz="0" w:space="0" w:color="auto"/>
              </w:divBdr>
            </w:div>
            <w:div w:id="1537964630">
              <w:marLeft w:val="0"/>
              <w:marRight w:val="0"/>
              <w:marTop w:val="0"/>
              <w:marBottom w:val="0"/>
              <w:divBdr>
                <w:top w:val="none" w:sz="0" w:space="0" w:color="auto"/>
                <w:left w:val="none" w:sz="0" w:space="0" w:color="auto"/>
                <w:bottom w:val="none" w:sz="0" w:space="0" w:color="auto"/>
                <w:right w:val="none" w:sz="0" w:space="0" w:color="auto"/>
              </w:divBdr>
            </w:div>
            <w:div w:id="1544369148">
              <w:marLeft w:val="0"/>
              <w:marRight w:val="0"/>
              <w:marTop w:val="0"/>
              <w:marBottom w:val="0"/>
              <w:divBdr>
                <w:top w:val="none" w:sz="0" w:space="0" w:color="auto"/>
                <w:left w:val="none" w:sz="0" w:space="0" w:color="auto"/>
                <w:bottom w:val="none" w:sz="0" w:space="0" w:color="auto"/>
                <w:right w:val="none" w:sz="0" w:space="0" w:color="auto"/>
              </w:divBdr>
            </w:div>
            <w:div w:id="1546256631">
              <w:marLeft w:val="0"/>
              <w:marRight w:val="0"/>
              <w:marTop w:val="0"/>
              <w:marBottom w:val="0"/>
              <w:divBdr>
                <w:top w:val="none" w:sz="0" w:space="0" w:color="auto"/>
                <w:left w:val="none" w:sz="0" w:space="0" w:color="auto"/>
                <w:bottom w:val="none" w:sz="0" w:space="0" w:color="auto"/>
                <w:right w:val="none" w:sz="0" w:space="0" w:color="auto"/>
              </w:divBdr>
            </w:div>
            <w:div w:id="1554804450">
              <w:marLeft w:val="0"/>
              <w:marRight w:val="0"/>
              <w:marTop w:val="0"/>
              <w:marBottom w:val="0"/>
              <w:divBdr>
                <w:top w:val="none" w:sz="0" w:space="0" w:color="auto"/>
                <w:left w:val="none" w:sz="0" w:space="0" w:color="auto"/>
                <w:bottom w:val="none" w:sz="0" w:space="0" w:color="auto"/>
                <w:right w:val="none" w:sz="0" w:space="0" w:color="auto"/>
              </w:divBdr>
            </w:div>
            <w:div w:id="1558472081">
              <w:marLeft w:val="0"/>
              <w:marRight w:val="0"/>
              <w:marTop w:val="0"/>
              <w:marBottom w:val="0"/>
              <w:divBdr>
                <w:top w:val="none" w:sz="0" w:space="0" w:color="auto"/>
                <w:left w:val="none" w:sz="0" w:space="0" w:color="auto"/>
                <w:bottom w:val="none" w:sz="0" w:space="0" w:color="auto"/>
                <w:right w:val="none" w:sz="0" w:space="0" w:color="auto"/>
              </w:divBdr>
            </w:div>
            <w:div w:id="1564024253">
              <w:marLeft w:val="0"/>
              <w:marRight w:val="0"/>
              <w:marTop w:val="0"/>
              <w:marBottom w:val="0"/>
              <w:divBdr>
                <w:top w:val="none" w:sz="0" w:space="0" w:color="auto"/>
                <w:left w:val="none" w:sz="0" w:space="0" w:color="auto"/>
                <w:bottom w:val="none" w:sz="0" w:space="0" w:color="auto"/>
                <w:right w:val="none" w:sz="0" w:space="0" w:color="auto"/>
              </w:divBdr>
            </w:div>
            <w:div w:id="1572689011">
              <w:marLeft w:val="0"/>
              <w:marRight w:val="0"/>
              <w:marTop w:val="0"/>
              <w:marBottom w:val="0"/>
              <w:divBdr>
                <w:top w:val="none" w:sz="0" w:space="0" w:color="auto"/>
                <w:left w:val="none" w:sz="0" w:space="0" w:color="auto"/>
                <w:bottom w:val="none" w:sz="0" w:space="0" w:color="auto"/>
                <w:right w:val="none" w:sz="0" w:space="0" w:color="auto"/>
              </w:divBdr>
            </w:div>
            <w:div w:id="1575627978">
              <w:marLeft w:val="0"/>
              <w:marRight w:val="0"/>
              <w:marTop w:val="0"/>
              <w:marBottom w:val="0"/>
              <w:divBdr>
                <w:top w:val="none" w:sz="0" w:space="0" w:color="auto"/>
                <w:left w:val="none" w:sz="0" w:space="0" w:color="auto"/>
                <w:bottom w:val="none" w:sz="0" w:space="0" w:color="auto"/>
                <w:right w:val="none" w:sz="0" w:space="0" w:color="auto"/>
              </w:divBdr>
            </w:div>
            <w:div w:id="1575823489">
              <w:marLeft w:val="0"/>
              <w:marRight w:val="0"/>
              <w:marTop w:val="0"/>
              <w:marBottom w:val="0"/>
              <w:divBdr>
                <w:top w:val="none" w:sz="0" w:space="0" w:color="auto"/>
                <w:left w:val="none" w:sz="0" w:space="0" w:color="auto"/>
                <w:bottom w:val="none" w:sz="0" w:space="0" w:color="auto"/>
                <w:right w:val="none" w:sz="0" w:space="0" w:color="auto"/>
              </w:divBdr>
            </w:div>
            <w:div w:id="1584338569">
              <w:marLeft w:val="0"/>
              <w:marRight w:val="0"/>
              <w:marTop w:val="0"/>
              <w:marBottom w:val="0"/>
              <w:divBdr>
                <w:top w:val="none" w:sz="0" w:space="0" w:color="auto"/>
                <w:left w:val="none" w:sz="0" w:space="0" w:color="auto"/>
                <w:bottom w:val="none" w:sz="0" w:space="0" w:color="auto"/>
                <w:right w:val="none" w:sz="0" w:space="0" w:color="auto"/>
              </w:divBdr>
            </w:div>
            <w:div w:id="1584797780">
              <w:marLeft w:val="0"/>
              <w:marRight w:val="0"/>
              <w:marTop w:val="0"/>
              <w:marBottom w:val="0"/>
              <w:divBdr>
                <w:top w:val="none" w:sz="0" w:space="0" w:color="auto"/>
                <w:left w:val="none" w:sz="0" w:space="0" w:color="auto"/>
                <w:bottom w:val="none" w:sz="0" w:space="0" w:color="auto"/>
                <w:right w:val="none" w:sz="0" w:space="0" w:color="auto"/>
              </w:divBdr>
            </w:div>
            <w:div w:id="1591619653">
              <w:marLeft w:val="0"/>
              <w:marRight w:val="0"/>
              <w:marTop w:val="0"/>
              <w:marBottom w:val="0"/>
              <w:divBdr>
                <w:top w:val="none" w:sz="0" w:space="0" w:color="auto"/>
                <w:left w:val="none" w:sz="0" w:space="0" w:color="auto"/>
                <w:bottom w:val="none" w:sz="0" w:space="0" w:color="auto"/>
                <w:right w:val="none" w:sz="0" w:space="0" w:color="auto"/>
              </w:divBdr>
            </w:div>
            <w:div w:id="1600285583">
              <w:marLeft w:val="0"/>
              <w:marRight w:val="0"/>
              <w:marTop w:val="0"/>
              <w:marBottom w:val="0"/>
              <w:divBdr>
                <w:top w:val="none" w:sz="0" w:space="0" w:color="auto"/>
                <w:left w:val="none" w:sz="0" w:space="0" w:color="auto"/>
                <w:bottom w:val="none" w:sz="0" w:space="0" w:color="auto"/>
                <w:right w:val="none" w:sz="0" w:space="0" w:color="auto"/>
              </w:divBdr>
            </w:div>
            <w:div w:id="1606033674">
              <w:marLeft w:val="0"/>
              <w:marRight w:val="0"/>
              <w:marTop w:val="0"/>
              <w:marBottom w:val="0"/>
              <w:divBdr>
                <w:top w:val="none" w:sz="0" w:space="0" w:color="auto"/>
                <w:left w:val="none" w:sz="0" w:space="0" w:color="auto"/>
                <w:bottom w:val="none" w:sz="0" w:space="0" w:color="auto"/>
                <w:right w:val="none" w:sz="0" w:space="0" w:color="auto"/>
              </w:divBdr>
            </w:div>
            <w:div w:id="1635142081">
              <w:marLeft w:val="0"/>
              <w:marRight w:val="0"/>
              <w:marTop w:val="0"/>
              <w:marBottom w:val="0"/>
              <w:divBdr>
                <w:top w:val="none" w:sz="0" w:space="0" w:color="auto"/>
                <w:left w:val="none" w:sz="0" w:space="0" w:color="auto"/>
                <w:bottom w:val="none" w:sz="0" w:space="0" w:color="auto"/>
                <w:right w:val="none" w:sz="0" w:space="0" w:color="auto"/>
              </w:divBdr>
            </w:div>
            <w:div w:id="1658336923">
              <w:marLeft w:val="0"/>
              <w:marRight w:val="0"/>
              <w:marTop w:val="0"/>
              <w:marBottom w:val="0"/>
              <w:divBdr>
                <w:top w:val="none" w:sz="0" w:space="0" w:color="auto"/>
                <w:left w:val="none" w:sz="0" w:space="0" w:color="auto"/>
                <w:bottom w:val="none" w:sz="0" w:space="0" w:color="auto"/>
                <w:right w:val="none" w:sz="0" w:space="0" w:color="auto"/>
              </w:divBdr>
            </w:div>
            <w:div w:id="1659455055">
              <w:marLeft w:val="0"/>
              <w:marRight w:val="0"/>
              <w:marTop w:val="0"/>
              <w:marBottom w:val="0"/>
              <w:divBdr>
                <w:top w:val="none" w:sz="0" w:space="0" w:color="auto"/>
                <w:left w:val="none" w:sz="0" w:space="0" w:color="auto"/>
                <w:bottom w:val="none" w:sz="0" w:space="0" w:color="auto"/>
                <w:right w:val="none" w:sz="0" w:space="0" w:color="auto"/>
              </w:divBdr>
            </w:div>
            <w:div w:id="1667704431">
              <w:marLeft w:val="0"/>
              <w:marRight w:val="0"/>
              <w:marTop w:val="0"/>
              <w:marBottom w:val="0"/>
              <w:divBdr>
                <w:top w:val="none" w:sz="0" w:space="0" w:color="auto"/>
                <w:left w:val="none" w:sz="0" w:space="0" w:color="auto"/>
                <w:bottom w:val="none" w:sz="0" w:space="0" w:color="auto"/>
                <w:right w:val="none" w:sz="0" w:space="0" w:color="auto"/>
              </w:divBdr>
            </w:div>
            <w:div w:id="1675262624">
              <w:marLeft w:val="0"/>
              <w:marRight w:val="0"/>
              <w:marTop w:val="0"/>
              <w:marBottom w:val="0"/>
              <w:divBdr>
                <w:top w:val="none" w:sz="0" w:space="0" w:color="auto"/>
                <w:left w:val="none" w:sz="0" w:space="0" w:color="auto"/>
                <w:bottom w:val="none" w:sz="0" w:space="0" w:color="auto"/>
                <w:right w:val="none" w:sz="0" w:space="0" w:color="auto"/>
              </w:divBdr>
            </w:div>
            <w:div w:id="1682782384">
              <w:marLeft w:val="0"/>
              <w:marRight w:val="0"/>
              <w:marTop w:val="0"/>
              <w:marBottom w:val="0"/>
              <w:divBdr>
                <w:top w:val="none" w:sz="0" w:space="0" w:color="auto"/>
                <w:left w:val="none" w:sz="0" w:space="0" w:color="auto"/>
                <w:bottom w:val="none" w:sz="0" w:space="0" w:color="auto"/>
                <w:right w:val="none" w:sz="0" w:space="0" w:color="auto"/>
              </w:divBdr>
            </w:div>
            <w:div w:id="1697074556">
              <w:marLeft w:val="0"/>
              <w:marRight w:val="0"/>
              <w:marTop w:val="0"/>
              <w:marBottom w:val="0"/>
              <w:divBdr>
                <w:top w:val="none" w:sz="0" w:space="0" w:color="auto"/>
                <w:left w:val="none" w:sz="0" w:space="0" w:color="auto"/>
                <w:bottom w:val="none" w:sz="0" w:space="0" w:color="auto"/>
                <w:right w:val="none" w:sz="0" w:space="0" w:color="auto"/>
              </w:divBdr>
            </w:div>
            <w:div w:id="1697192083">
              <w:marLeft w:val="0"/>
              <w:marRight w:val="0"/>
              <w:marTop w:val="0"/>
              <w:marBottom w:val="0"/>
              <w:divBdr>
                <w:top w:val="none" w:sz="0" w:space="0" w:color="auto"/>
                <w:left w:val="none" w:sz="0" w:space="0" w:color="auto"/>
                <w:bottom w:val="none" w:sz="0" w:space="0" w:color="auto"/>
                <w:right w:val="none" w:sz="0" w:space="0" w:color="auto"/>
              </w:divBdr>
            </w:div>
            <w:div w:id="1698584872">
              <w:marLeft w:val="0"/>
              <w:marRight w:val="0"/>
              <w:marTop w:val="0"/>
              <w:marBottom w:val="0"/>
              <w:divBdr>
                <w:top w:val="none" w:sz="0" w:space="0" w:color="auto"/>
                <w:left w:val="none" w:sz="0" w:space="0" w:color="auto"/>
                <w:bottom w:val="none" w:sz="0" w:space="0" w:color="auto"/>
                <w:right w:val="none" w:sz="0" w:space="0" w:color="auto"/>
              </w:divBdr>
            </w:div>
            <w:div w:id="1701711034">
              <w:marLeft w:val="0"/>
              <w:marRight w:val="0"/>
              <w:marTop w:val="0"/>
              <w:marBottom w:val="0"/>
              <w:divBdr>
                <w:top w:val="none" w:sz="0" w:space="0" w:color="auto"/>
                <w:left w:val="none" w:sz="0" w:space="0" w:color="auto"/>
                <w:bottom w:val="none" w:sz="0" w:space="0" w:color="auto"/>
                <w:right w:val="none" w:sz="0" w:space="0" w:color="auto"/>
              </w:divBdr>
            </w:div>
            <w:div w:id="1707825853">
              <w:marLeft w:val="0"/>
              <w:marRight w:val="0"/>
              <w:marTop w:val="0"/>
              <w:marBottom w:val="0"/>
              <w:divBdr>
                <w:top w:val="none" w:sz="0" w:space="0" w:color="auto"/>
                <w:left w:val="none" w:sz="0" w:space="0" w:color="auto"/>
                <w:bottom w:val="none" w:sz="0" w:space="0" w:color="auto"/>
                <w:right w:val="none" w:sz="0" w:space="0" w:color="auto"/>
              </w:divBdr>
            </w:div>
            <w:div w:id="1722050082">
              <w:marLeft w:val="0"/>
              <w:marRight w:val="0"/>
              <w:marTop w:val="0"/>
              <w:marBottom w:val="0"/>
              <w:divBdr>
                <w:top w:val="none" w:sz="0" w:space="0" w:color="auto"/>
                <w:left w:val="none" w:sz="0" w:space="0" w:color="auto"/>
                <w:bottom w:val="none" w:sz="0" w:space="0" w:color="auto"/>
                <w:right w:val="none" w:sz="0" w:space="0" w:color="auto"/>
              </w:divBdr>
            </w:div>
            <w:div w:id="1722901554">
              <w:marLeft w:val="0"/>
              <w:marRight w:val="0"/>
              <w:marTop w:val="0"/>
              <w:marBottom w:val="0"/>
              <w:divBdr>
                <w:top w:val="none" w:sz="0" w:space="0" w:color="auto"/>
                <w:left w:val="none" w:sz="0" w:space="0" w:color="auto"/>
                <w:bottom w:val="none" w:sz="0" w:space="0" w:color="auto"/>
                <w:right w:val="none" w:sz="0" w:space="0" w:color="auto"/>
              </w:divBdr>
            </w:div>
            <w:div w:id="1735933122">
              <w:marLeft w:val="0"/>
              <w:marRight w:val="0"/>
              <w:marTop w:val="0"/>
              <w:marBottom w:val="0"/>
              <w:divBdr>
                <w:top w:val="none" w:sz="0" w:space="0" w:color="auto"/>
                <w:left w:val="none" w:sz="0" w:space="0" w:color="auto"/>
                <w:bottom w:val="none" w:sz="0" w:space="0" w:color="auto"/>
                <w:right w:val="none" w:sz="0" w:space="0" w:color="auto"/>
              </w:divBdr>
            </w:div>
            <w:div w:id="1740636680">
              <w:marLeft w:val="0"/>
              <w:marRight w:val="0"/>
              <w:marTop w:val="0"/>
              <w:marBottom w:val="0"/>
              <w:divBdr>
                <w:top w:val="none" w:sz="0" w:space="0" w:color="auto"/>
                <w:left w:val="none" w:sz="0" w:space="0" w:color="auto"/>
                <w:bottom w:val="none" w:sz="0" w:space="0" w:color="auto"/>
                <w:right w:val="none" w:sz="0" w:space="0" w:color="auto"/>
              </w:divBdr>
            </w:div>
            <w:div w:id="1747455400">
              <w:marLeft w:val="0"/>
              <w:marRight w:val="0"/>
              <w:marTop w:val="0"/>
              <w:marBottom w:val="0"/>
              <w:divBdr>
                <w:top w:val="none" w:sz="0" w:space="0" w:color="auto"/>
                <w:left w:val="none" w:sz="0" w:space="0" w:color="auto"/>
                <w:bottom w:val="none" w:sz="0" w:space="0" w:color="auto"/>
                <w:right w:val="none" w:sz="0" w:space="0" w:color="auto"/>
              </w:divBdr>
            </w:div>
            <w:div w:id="1766728642">
              <w:marLeft w:val="0"/>
              <w:marRight w:val="0"/>
              <w:marTop w:val="0"/>
              <w:marBottom w:val="0"/>
              <w:divBdr>
                <w:top w:val="none" w:sz="0" w:space="0" w:color="auto"/>
                <w:left w:val="none" w:sz="0" w:space="0" w:color="auto"/>
                <w:bottom w:val="none" w:sz="0" w:space="0" w:color="auto"/>
                <w:right w:val="none" w:sz="0" w:space="0" w:color="auto"/>
              </w:divBdr>
            </w:div>
            <w:div w:id="1767537868">
              <w:marLeft w:val="0"/>
              <w:marRight w:val="0"/>
              <w:marTop w:val="0"/>
              <w:marBottom w:val="0"/>
              <w:divBdr>
                <w:top w:val="none" w:sz="0" w:space="0" w:color="auto"/>
                <w:left w:val="none" w:sz="0" w:space="0" w:color="auto"/>
                <w:bottom w:val="none" w:sz="0" w:space="0" w:color="auto"/>
                <w:right w:val="none" w:sz="0" w:space="0" w:color="auto"/>
              </w:divBdr>
            </w:div>
            <w:div w:id="1768043801">
              <w:marLeft w:val="0"/>
              <w:marRight w:val="0"/>
              <w:marTop w:val="0"/>
              <w:marBottom w:val="0"/>
              <w:divBdr>
                <w:top w:val="none" w:sz="0" w:space="0" w:color="auto"/>
                <w:left w:val="none" w:sz="0" w:space="0" w:color="auto"/>
                <w:bottom w:val="none" w:sz="0" w:space="0" w:color="auto"/>
                <w:right w:val="none" w:sz="0" w:space="0" w:color="auto"/>
              </w:divBdr>
            </w:div>
            <w:div w:id="1773670564">
              <w:marLeft w:val="0"/>
              <w:marRight w:val="0"/>
              <w:marTop w:val="0"/>
              <w:marBottom w:val="0"/>
              <w:divBdr>
                <w:top w:val="none" w:sz="0" w:space="0" w:color="auto"/>
                <w:left w:val="none" w:sz="0" w:space="0" w:color="auto"/>
                <w:bottom w:val="none" w:sz="0" w:space="0" w:color="auto"/>
                <w:right w:val="none" w:sz="0" w:space="0" w:color="auto"/>
              </w:divBdr>
            </w:div>
            <w:div w:id="1783576177">
              <w:marLeft w:val="0"/>
              <w:marRight w:val="0"/>
              <w:marTop w:val="0"/>
              <w:marBottom w:val="0"/>
              <w:divBdr>
                <w:top w:val="none" w:sz="0" w:space="0" w:color="auto"/>
                <w:left w:val="none" w:sz="0" w:space="0" w:color="auto"/>
                <w:bottom w:val="none" w:sz="0" w:space="0" w:color="auto"/>
                <w:right w:val="none" w:sz="0" w:space="0" w:color="auto"/>
              </w:divBdr>
            </w:div>
            <w:div w:id="1785533381">
              <w:marLeft w:val="0"/>
              <w:marRight w:val="0"/>
              <w:marTop w:val="0"/>
              <w:marBottom w:val="0"/>
              <w:divBdr>
                <w:top w:val="none" w:sz="0" w:space="0" w:color="auto"/>
                <w:left w:val="none" w:sz="0" w:space="0" w:color="auto"/>
                <w:bottom w:val="none" w:sz="0" w:space="0" w:color="auto"/>
                <w:right w:val="none" w:sz="0" w:space="0" w:color="auto"/>
              </w:divBdr>
            </w:div>
            <w:div w:id="1791971993">
              <w:marLeft w:val="0"/>
              <w:marRight w:val="0"/>
              <w:marTop w:val="0"/>
              <w:marBottom w:val="0"/>
              <w:divBdr>
                <w:top w:val="none" w:sz="0" w:space="0" w:color="auto"/>
                <w:left w:val="none" w:sz="0" w:space="0" w:color="auto"/>
                <w:bottom w:val="none" w:sz="0" w:space="0" w:color="auto"/>
                <w:right w:val="none" w:sz="0" w:space="0" w:color="auto"/>
              </w:divBdr>
            </w:div>
            <w:div w:id="1792285747">
              <w:marLeft w:val="0"/>
              <w:marRight w:val="0"/>
              <w:marTop w:val="0"/>
              <w:marBottom w:val="0"/>
              <w:divBdr>
                <w:top w:val="none" w:sz="0" w:space="0" w:color="auto"/>
                <w:left w:val="none" w:sz="0" w:space="0" w:color="auto"/>
                <w:bottom w:val="none" w:sz="0" w:space="0" w:color="auto"/>
                <w:right w:val="none" w:sz="0" w:space="0" w:color="auto"/>
              </w:divBdr>
            </w:div>
            <w:div w:id="1792821827">
              <w:marLeft w:val="0"/>
              <w:marRight w:val="0"/>
              <w:marTop w:val="0"/>
              <w:marBottom w:val="0"/>
              <w:divBdr>
                <w:top w:val="none" w:sz="0" w:space="0" w:color="auto"/>
                <w:left w:val="none" w:sz="0" w:space="0" w:color="auto"/>
                <w:bottom w:val="none" w:sz="0" w:space="0" w:color="auto"/>
                <w:right w:val="none" w:sz="0" w:space="0" w:color="auto"/>
              </w:divBdr>
            </w:div>
            <w:div w:id="1796631028">
              <w:marLeft w:val="0"/>
              <w:marRight w:val="0"/>
              <w:marTop w:val="0"/>
              <w:marBottom w:val="0"/>
              <w:divBdr>
                <w:top w:val="none" w:sz="0" w:space="0" w:color="auto"/>
                <w:left w:val="none" w:sz="0" w:space="0" w:color="auto"/>
                <w:bottom w:val="none" w:sz="0" w:space="0" w:color="auto"/>
                <w:right w:val="none" w:sz="0" w:space="0" w:color="auto"/>
              </w:divBdr>
            </w:div>
            <w:div w:id="1820883084">
              <w:marLeft w:val="0"/>
              <w:marRight w:val="0"/>
              <w:marTop w:val="0"/>
              <w:marBottom w:val="0"/>
              <w:divBdr>
                <w:top w:val="none" w:sz="0" w:space="0" w:color="auto"/>
                <w:left w:val="none" w:sz="0" w:space="0" w:color="auto"/>
                <w:bottom w:val="none" w:sz="0" w:space="0" w:color="auto"/>
                <w:right w:val="none" w:sz="0" w:space="0" w:color="auto"/>
              </w:divBdr>
            </w:div>
            <w:div w:id="1836409325">
              <w:marLeft w:val="0"/>
              <w:marRight w:val="0"/>
              <w:marTop w:val="0"/>
              <w:marBottom w:val="0"/>
              <w:divBdr>
                <w:top w:val="none" w:sz="0" w:space="0" w:color="auto"/>
                <w:left w:val="none" w:sz="0" w:space="0" w:color="auto"/>
                <w:bottom w:val="none" w:sz="0" w:space="0" w:color="auto"/>
                <w:right w:val="none" w:sz="0" w:space="0" w:color="auto"/>
              </w:divBdr>
            </w:div>
            <w:div w:id="1844277351">
              <w:marLeft w:val="0"/>
              <w:marRight w:val="0"/>
              <w:marTop w:val="0"/>
              <w:marBottom w:val="0"/>
              <w:divBdr>
                <w:top w:val="none" w:sz="0" w:space="0" w:color="auto"/>
                <w:left w:val="none" w:sz="0" w:space="0" w:color="auto"/>
                <w:bottom w:val="none" w:sz="0" w:space="0" w:color="auto"/>
                <w:right w:val="none" w:sz="0" w:space="0" w:color="auto"/>
              </w:divBdr>
            </w:div>
            <w:div w:id="1847136682">
              <w:marLeft w:val="0"/>
              <w:marRight w:val="0"/>
              <w:marTop w:val="0"/>
              <w:marBottom w:val="0"/>
              <w:divBdr>
                <w:top w:val="none" w:sz="0" w:space="0" w:color="auto"/>
                <w:left w:val="none" w:sz="0" w:space="0" w:color="auto"/>
                <w:bottom w:val="none" w:sz="0" w:space="0" w:color="auto"/>
                <w:right w:val="none" w:sz="0" w:space="0" w:color="auto"/>
              </w:divBdr>
            </w:div>
            <w:div w:id="1849102461">
              <w:marLeft w:val="0"/>
              <w:marRight w:val="0"/>
              <w:marTop w:val="0"/>
              <w:marBottom w:val="0"/>
              <w:divBdr>
                <w:top w:val="none" w:sz="0" w:space="0" w:color="auto"/>
                <w:left w:val="none" w:sz="0" w:space="0" w:color="auto"/>
                <w:bottom w:val="none" w:sz="0" w:space="0" w:color="auto"/>
                <w:right w:val="none" w:sz="0" w:space="0" w:color="auto"/>
              </w:divBdr>
            </w:div>
            <w:div w:id="1855267956">
              <w:marLeft w:val="0"/>
              <w:marRight w:val="0"/>
              <w:marTop w:val="0"/>
              <w:marBottom w:val="0"/>
              <w:divBdr>
                <w:top w:val="none" w:sz="0" w:space="0" w:color="auto"/>
                <w:left w:val="none" w:sz="0" w:space="0" w:color="auto"/>
                <w:bottom w:val="none" w:sz="0" w:space="0" w:color="auto"/>
                <w:right w:val="none" w:sz="0" w:space="0" w:color="auto"/>
              </w:divBdr>
            </w:div>
            <w:div w:id="1859003277">
              <w:marLeft w:val="0"/>
              <w:marRight w:val="0"/>
              <w:marTop w:val="0"/>
              <w:marBottom w:val="0"/>
              <w:divBdr>
                <w:top w:val="none" w:sz="0" w:space="0" w:color="auto"/>
                <w:left w:val="none" w:sz="0" w:space="0" w:color="auto"/>
                <w:bottom w:val="none" w:sz="0" w:space="0" w:color="auto"/>
                <w:right w:val="none" w:sz="0" w:space="0" w:color="auto"/>
              </w:divBdr>
            </w:div>
            <w:div w:id="1878349345">
              <w:marLeft w:val="0"/>
              <w:marRight w:val="0"/>
              <w:marTop w:val="0"/>
              <w:marBottom w:val="0"/>
              <w:divBdr>
                <w:top w:val="none" w:sz="0" w:space="0" w:color="auto"/>
                <w:left w:val="none" w:sz="0" w:space="0" w:color="auto"/>
                <w:bottom w:val="none" w:sz="0" w:space="0" w:color="auto"/>
                <w:right w:val="none" w:sz="0" w:space="0" w:color="auto"/>
              </w:divBdr>
            </w:div>
            <w:div w:id="1887909923">
              <w:marLeft w:val="0"/>
              <w:marRight w:val="0"/>
              <w:marTop w:val="0"/>
              <w:marBottom w:val="0"/>
              <w:divBdr>
                <w:top w:val="none" w:sz="0" w:space="0" w:color="auto"/>
                <w:left w:val="none" w:sz="0" w:space="0" w:color="auto"/>
                <w:bottom w:val="none" w:sz="0" w:space="0" w:color="auto"/>
                <w:right w:val="none" w:sz="0" w:space="0" w:color="auto"/>
              </w:divBdr>
            </w:div>
            <w:div w:id="1900897792">
              <w:marLeft w:val="0"/>
              <w:marRight w:val="0"/>
              <w:marTop w:val="0"/>
              <w:marBottom w:val="0"/>
              <w:divBdr>
                <w:top w:val="none" w:sz="0" w:space="0" w:color="auto"/>
                <w:left w:val="none" w:sz="0" w:space="0" w:color="auto"/>
                <w:bottom w:val="none" w:sz="0" w:space="0" w:color="auto"/>
                <w:right w:val="none" w:sz="0" w:space="0" w:color="auto"/>
              </w:divBdr>
            </w:div>
            <w:div w:id="1901283587">
              <w:marLeft w:val="0"/>
              <w:marRight w:val="0"/>
              <w:marTop w:val="0"/>
              <w:marBottom w:val="0"/>
              <w:divBdr>
                <w:top w:val="none" w:sz="0" w:space="0" w:color="auto"/>
                <w:left w:val="none" w:sz="0" w:space="0" w:color="auto"/>
                <w:bottom w:val="none" w:sz="0" w:space="0" w:color="auto"/>
                <w:right w:val="none" w:sz="0" w:space="0" w:color="auto"/>
              </w:divBdr>
            </w:div>
            <w:div w:id="1908417710">
              <w:marLeft w:val="0"/>
              <w:marRight w:val="0"/>
              <w:marTop w:val="0"/>
              <w:marBottom w:val="0"/>
              <w:divBdr>
                <w:top w:val="none" w:sz="0" w:space="0" w:color="auto"/>
                <w:left w:val="none" w:sz="0" w:space="0" w:color="auto"/>
                <w:bottom w:val="none" w:sz="0" w:space="0" w:color="auto"/>
                <w:right w:val="none" w:sz="0" w:space="0" w:color="auto"/>
              </w:divBdr>
            </w:div>
            <w:div w:id="1916819062">
              <w:marLeft w:val="0"/>
              <w:marRight w:val="0"/>
              <w:marTop w:val="0"/>
              <w:marBottom w:val="0"/>
              <w:divBdr>
                <w:top w:val="none" w:sz="0" w:space="0" w:color="auto"/>
                <w:left w:val="none" w:sz="0" w:space="0" w:color="auto"/>
                <w:bottom w:val="none" w:sz="0" w:space="0" w:color="auto"/>
                <w:right w:val="none" w:sz="0" w:space="0" w:color="auto"/>
              </w:divBdr>
            </w:div>
            <w:div w:id="1919364524">
              <w:marLeft w:val="0"/>
              <w:marRight w:val="0"/>
              <w:marTop w:val="0"/>
              <w:marBottom w:val="0"/>
              <w:divBdr>
                <w:top w:val="none" w:sz="0" w:space="0" w:color="auto"/>
                <w:left w:val="none" w:sz="0" w:space="0" w:color="auto"/>
                <w:bottom w:val="none" w:sz="0" w:space="0" w:color="auto"/>
                <w:right w:val="none" w:sz="0" w:space="0" w:color="auto"/>
              </w:divBdr>
            </w:div>
            <w:div w:id="1924684915">
              <w:marLeft w:val="0"/>
              <w:marRight w:val="0"/>
              <w:marTop w:val="0"/>
              <w:marBottom w:val="0"/>
              <w:divBdr>
                <w:top w:val="none" w:sz="0" w:space="0" w:color="auto"/>
                <w:left w:val="none" w:sz="0" w:space="0" w:color="auto"/>
                <w:bottom w:val="none" w:sz="0" w:space="0" w:color="auto"/>
                <w:right w:val="none" w:sz="0" w:space="0" w:color="auto"/>
              </w:divBdr>
            </w:div>
            <w:div w:id="1929339117">
              <w:marLeft w:val="0"/>
              <w:marRight w:val="0"/>
              <w:marTop w:val="0"/>
              <w:marBottom w:val="0"/>
              <w:divBdr>
                <w:top w:val="none" w:sz="0" w:space="0" w:color="auto"/>
                <w:left w:val="none" w:sz="0" w:space="0" w:color="auto"/>
                <w:bottom w:val="none" w:sz="0" w:space="0" w:color="auto"/>
                <w:right w:val="none" w:sz="0" w:space="0" w:color="auto"/>
              </w:divBdr>
            </w:div>
            <w:div w:id="1932154085">
              <w:marLeft w:val="0"/>
              <w:marRight w:val="0"/>
              <w:marTop w:val="0"/>
              <w:marBottom w:val="0"/>
              <w:divBdr>
                <w:top w:val="none" w:sz="0" w:space="0" w:color="auto"/>
                <w:left w:val="none" w:sz="0" w:space="0" w:color="auto"/>
                <w:bottom w:val="none" w:sz="0" w:space="0" w:color="auto"/>
                <w:right w:val="none" w:sz="0" w:space="0" w:color="auto"/>
              </w:divBdr>
            </w:div>
            <w:div w:id="1934967353">
              <w:marLeft w:val="0"/>
              <w:marRight w:val="0"/>
              <w:marTop w:val="0"/>
              <w:marBottom w:val="0"/>
              <w:divBdr>
                <w:top w:val="none" w:sz="0" w:space="0" w:color="auto"/>
                <w:left w:val="none" w:sz="0" w:space="0" w:color="auto"/>
                <w:bottom w:val="none" w:sz="0" w:space="0" w:color="auto"/>
                <w:right w:val="none" w:sz="0" w:space="0" w:color="auto"/>
              </w:divBdr>
            </w:div>
            <w:div w:id="1935622625">
              <w:marLeft w:val="0"/>
              <w:marRight w:val="0"/>
              <w:marTop w:val="0"/>
              <w:marBottom w:val="0"/>
              <w:divBdr>
                <w:top w:val="none" w:sz="0" w:space="0" w:color="auto"/>
                <w:left w:val="none" w:sz="0" w:space="0" w:color="auto"/>
                <w:bottom w:val="none" w:sz="0" w:space="0" w:color="auto"/>
                <w:right w:val="none" w:sz="0" w:space="0" w:color="auto"/>
              </w:divBdr>
            </w:div>
            <w:div w:id="1943487033">
              <w:marLeft w:val="0"/>
              <w:marRight w:val="0"/>
              <w:marTop w:val="0"/>
              <w:marBottom w:val="0"/>
              <w:divBdr>
                <w:top w:val="none" w:sz="0" w:space="0" w:color="auto"/>
                <w:left w:val="none" w:sz="0" w:space="0" w:color="auto"/>
                <w:bottom w:val="none" w:sz="0" w:space="0" w:color="auto"/>
                <w:right w:val="none" w:sz="0" w:space="0" w:color="auto"/>
              </w:divBdr>
            </w:div>
            <w:div w:id="1980719649">
              <w:marLeft w:val="0"/>
              <w:marRight w:val="0"/>
              <w:marTop w:val="0"/>
              <w:marBottom w:val="0"/>
              <w:divBdr>
                <w:top w:val="none" w:sz="0" w:space="0" w:color="auto"/>
                <w:left w:val="none" w:sz="0" w:space="0" w:color="auto"/>
                <w:bottom w:val="none" w:sz="0" w:space="0" w:color="auto"/>
                <w:right w:val="none" w:sz="0" w:space="0" w:color="auto"/>
              </w:divBdr>
            </w:div>
            <w:div w:id="1981761638">
              <w:marLeft w:val="0"/>
              <w:marRight w:val="0"/>
              <w:marTop w:val="0"/>
              <w:marBottom w:val="0"/>
              <w:divBdr>
                <w:top w:val="none" w:sz="0" w:space="0" w:color="auto"/>
                <w:left w:val="none" w:sz="0" w:space="0" w:color="auto"/>
                <w:bottom w:val="none" w:sz="0" w:space="0" w:color="auto"/>
                <w:right w:val="none" w:sz="0" w:space="0" w:color="auto"/>
              </w:divBdr>
            </w:div>
            <w:div w:id="1983927428">
              <w:marLeft w:val="0"/>
              <w:marRight w:val="0"/>
              <w:marTop w:val="0"/>
              <w:marBottom w:val="0"/>
              <w:divBdr>
                <w:top w:val="none" w:sz="0" w:space="0" w:color="auto"/>
                <w:left w:val="none" w:sz="0" w:space="0" w:color="auto"/>
                <w:bottom w:val="none" w:sz="0" w:space="0" w:color="auto"/>
                <w:right w:val="none" w:sz="0" w:space="0" w:color="auto"/>
              </w:divBdr>
            </w:div>
            <w:div w:id="1984502582">
              <w:marLeft w:val="0"/>
              <w:marRight w:val="0"/>
              <w:marTop w:val="0"/>
              <w:marBottom w:val="0"/>
              <w:divBdr>
                <w:top w:val="none" w:sz="0" w:space="0" w:color="auto"/>
                <w:left w:val="none" w:sz="0" w:space="0" w:color="auto"/>
                <w:bottom w:val="none" w:sz="0" w:space="0" w:color="auto"/>
                <w:right w:val="none" w:sz="0" w:space="0" w:color="auto"/>
              </w:divBdr>
            </w:div>
            <w:div w:id="1991471358">
              <w:marLeft w:val="0"/>
              <w:marRight w:val="0"/>
              <w:marTop w:val="0"/>
              <w:marBottom w:val="0"/>
              <w:divBdr>
                <w:top w:val="none" w:sz="0" w:space="0" w:color="auto"/>
                <w:left w:val="none" w:sz="0" w:space="0" w:color="auto"/>
                <w:bottom w:val="none" w:sz="0" w:space="0" w:color="auto"/>
                <w:right w:val="none" w:sz="0" w:space="0" w:color="auto"/>
              </w:divBdr>
            </w:div>
            <w:div w:id="1992129186">
              <w:marLeft w:val="0"/>
              <w:marRight w:val="0"/>
              <w:marTop w:val="0"/>
              <w:marBottom w:val="0"/>
              <w:divBdr>
                <w:top w:val="none" w:sz="0" w:space="0" w:color="auto"/>
                <w:left w:val="none" w:sz="0" w:space="0" w:color="auto"/>
                <w:bottom w:val="none" w:sz="0" w:space="0" w:color="auto"/>
                <w:right w:val="none" w:sz="0" w:space="0" w:color="auto"/>
              </w:divBdr>
            </w:div>
            <w:div w:id="1994602032">
              <w:marLeft w:val="0"/>
              <w:marRight w:val="0"/>
              <w:marTop w:val="0"/>
              <w:marBottom w:val="0"/>
              <w:divBdr>
                <w:top w:val="none" w:sz="0" w:space="0" w:color="auto"/>
                <w:left w:val="none" w:sz="0" w:space="0" w:color="auto"/>
                <w:bottom w:val="none" w:sz="0" w:space="0" w:color="auto"/>
                <w:right w:val="none" w:sz="0" w:space="0" w:color="auto"/>
              </w:divBdr>
            </w:div>
            <w:div w:id="1997341431">
              <w:marLeft w:val="0"/>
              <w:marRight w:val="0"/>
              <w:marTop w:val="0"/>
              <w:marBottom w:val="0"/>
              <w:divBdr>
                <w:top w:val="none" w:sz="0" w:space="0" w:color="auto"/>
                <w:left w:val="none" w:sz="0" w:space="0" w:color="auto"/>
                <w:bottom w:val="none" w:sz="0" w:space="0" w:color="auto"/>
                <w:right w:val="none" w:sz="0" w:space="0" w:color="auto"/>
              </w:divBdr>
            </w:div>
            <w:div w:id="2003192964">
              <w:marLeft w:val="0"/>
              <w:marRight w:val="0"/>
              <w:marTop w:val="0"/>
              <w:marBottom w:val="0"/>
              <w:divBdr>
                <w:top w:val="none" w:sz="0" w:space="0" w:color="auto"/>
                <w:left w:val="none" w:sz="0" w:space="0" w:color="auto"/>
                <w:bottom w:val="none" w:sz="0" w:space="0" w:color="auto"/>
                <w:right w:val="none" w:sz="0" w:space="0" w:color="auto"/>
              </w:divBdr>
            </w:div>
            <w:div w:id="2021811805">
              <w:marLeft w:val="0"/>
              <w:marRight w:val="0"/>
              <w:marTop w:val="0"/>
              <w:marBottom w:val="0"/>
              <w:divBdr>
                <w:top w:val="none" w:sz="0" w:space="0" w:color="auto"/>
                <w:left w:val="none" w:sz="0" w:space="0" w:color="auto"/>
                <w:bottom w:val="none" w:sz="0" w:space="0" w:color="auto"/>
                <w:right w:val="none" w:sz="0" w:space="0" w:color="auto"/>
              </w:divBdr>
            </w:div>
            <w:div w:id="2026901452">
              <w:marLeft w:val="0"/>
              <w:marRight w:val="0"/>
              <w:marTop w:val="0"/>
              <w:marBottom w:val="0"/>
              <w:divBdr>
                <w:top w:val="none" w:sz="0" w:space="0" w:color="auto"/>
                <w:left w:val="none" w:sz="0" w:space="0" w:color="auto"/>
                <w:bottom w:val="none" w:sz="0" w:space="0" w:color="auto"/>
                <w:right w:val="none" w:sz="0" w:space="0" w:color="auto"/>
              </w:divBdr>
            </w:div>
            <w:div w:id="2046981070">
              <w:marLeft w:val="0"/>
              <w:marRight w:val="0"/>
              <w:marTop w:val="0"/>
              <w:marBottom w:val="0"/>
              <w:divBdr>
                <w:top w:val="none" w:sz="0" w:space="0" w:color="auto"/>
                <w:left w:val="none" w:sz="0" w:space="0" w:color="auto"/>
                <w:bottom w:val="none" w:sz="0" w:space="0" w:color="auto"/>
                <w:right w:val="none" w:sz="0" w:space="0" w:color="auto"/>
              </w:divBdr>
            </w:div>
            <w:div w:id="2057389364">
              <w:marLeft w:val="0"/>
              <w:marRight w:val="0"/>
              <w:marTop w:val="0"/>
              <w:marBottom w:val="0"/>
              <w:divBdr>
                <w:top w:val="none" w:sz="0" w:space="0" w:color="auto"/>
                <w:left w:val="none" w:sz="0" w:space="0" w:color="auto"/>
                <w:bottom w:val="none" w:sz="0" w:space="0" w:color="auto"/>
                <w:right w:val="none" w:sz="0" w:space="0" w:color="auto"/>
              </w:divBdr>
            </w:div>
            <w:div w:id="2060930820">
              <w:marLeft w:val="0"/>
              <w:marRight w:val="0"/>
              <w:marTop w:val="0"/>
              <w:marBottom w:val="0"/>
              <w:divBdr>
                <w:top w:val="none" w:sz="0" w:space="0" w:color="auto"/>
                <w:left w:val="none" w:sz="0" w:space="0" w:color="auto"/>
                <w:bottom w:val="none" w:sz="0" w:space="0" w:color="auto"/>
                <w:right w:val="none" w:sz="0" w:space="0" w:color="auto"/>
              </w:divBdr>
            </w:div>
            <w:div w:id="2061245813">
              <w:marLeft w:val="0"/>
              <w:marRight w:val="0"/>
              <w:marTop w:val="0"/>
              <w:marBottom w:val="0"/>
              <w:divBdr>
                <w:top w:val="none" w:sz="0" w:space="0" w:color="auto"/>
                <w:left w:val="none" w:sz="0" w:space="0" w:color="auto"/>
                <w:bottom w:val="none" w:sz="0" w:space="0" w:color="auto"/>
                <w:right w:val="none" w:sz="0" w:space="0" w:color="auto"/>
              </w:divBdr>
            </w:div>
            <w:div w:id="2062634072">
              <w:marLeft w:val="0"/>
              <w:marRight w:val="0"/>
              <w:marTop w:val="0"/>
              <w:marBottom w:val="0"/>
              <w:divBdr>
                <w:top w:val="none" w:sz="0" w:space="0" w:color="auto"/>
                <w:left w:val="none" w:sz="0" w:space="0" w:color="auto"/>
                <w:bottom w:val="none" w:sz="0" w:space="0" w:color="auto"/>
                <w:right w:val="none" w:sz="0" w:space="0" w:color="auto"/>
              </w:divBdr>
            </w:div>
            <w:div w:id="2067407485">
              <w:marLeft w:val="0"/>
              <w:marRight w:val="0"/>
              <w:marTop w:val="0"/>
              <w:marBottom w:val="0"/>
              <w:divBdr>
                <w:top w:val="none" w:sz="0" w:space="0" w:color="auto"/>
                <w:left w:val="none" w:sz="0" w:space="0" w:color="auto"/>
                <w:bottom w:val="none" w:sz="0" w:space="0" w:color="auto"/>
                <w:right w:val="none" w:sz="0" w:space="0" w:color="auto"/>
              </w:divBdr>
            </w:div>
            <w:div w:id="2070956717">
              <w:marLeft w:val="0"/>
              <w:marRight w:val="0"/>
              <w:marTop w:val="0"/>
              <w:marBottom w:val="0"/>
              <w:divBdr>
                <w:top w:val="none" w:sz="0" w:space="0" w:color="auto"/>
                <w:left w:val="none" w:sz="0" w:space="0" w:color="auto"/>
                <w:bottom w:val="none" w:sz="0" w:space="0" w:color="auto"/>
                <w:right w:val="none" w:sz="0" w:space="0" w:color="auto"/>
              </w:divBdr>
            </w:div>
            <w:div w:id="2086142588">
              <w:marLeft w:val="0"/>
              <w:marRight w:val="0"/>
              <w:marTop w:val="0"/>
              <w:marBottom w:val="0"/>
              <w:divBdr>
                <w:top w:val="none" w:sz="0" w:space="0" w:color="auto"/>
                <w:left w:val="none" w:sz="0" w:space="0" w:color="auto"/>
                <w:bottom w:val="none" w:sz="0" w:space="0" w:color="auto"/>
                <w:right w:val="none" w:sz="0" w:space="0" w:color="auto"/>
              </w:divBdr>
            </w:div>
            <w:div w:id="2091269636">
              <w:marLeft w:val="0"/>
              <w:marRight w:val="0"/>
              <w:marTop w:val="0"/>
              <w:marBottom w:val="0"/>
              <w:divBdr>
                <w:top w:val="none" w:sz="0" w:space="0" w:color="auto"/>
                <w:left w:val="none" w:sz="0" w:space="0" w:color="auto"/>
                <w:bottom w:val="none" w:sz="0" w:space="0" w:color="auto"/>
                <w:right w:val="none" w:sz="0" w:space="0" w:color="auto"/>
              </w:divBdr>
            </w:div>
            <w:div w:id="2099860172">
              <w:marLeft w:val="0"/>
              <w:marRight w:val="0"/>
              <w:marTop w:val="0"/>
              <w:marBottom w:val="0"/>
              <w:divBdr>
                <w:top w:val="none" w:sz="0" w:space="0" w:color="auto"/>
                <w:left w:val="none" w:sz="0" w:space="0" w:color="auto"/>
                <w:bottom w:val="none" w:sz="0" w:space="0" w:color="auto"/>
                <w:right w:val="none" w:sz="0" w:space="0" w:color="auto"/>
              </w:divBdr>
            </w:div>
            <w:div w:id="2103258109">
              <w:marLeft w:val="0"/>
              <w:marRight w:val="0"/>
              <w:marTop w:val="0"/>
              <w:marBottom w:val="0"/>
              <w:divBdr>
                <w:top w:val="none" w:sz="0" w:space="0" w:color="auto"/>
                <w:left w:val="none" w:sz="0" w:space="0" w:color="auto"/>
                <w:bottom w:val="none" w:sz="0" w:space="0" w:color="auto"/>
                <w:right w:val="none" w:sz="0" w:space="0" w:color="auto"/>
              </w:divBdr>
            </w:div>
            <w:div w:id="2104110341">
              <w:marLeft w:val="0"/>
              <w:marRight w:val="0"/>
              <w:marTop w:val="0"/>
              <w:marBottom w:val="0"/>
              <w:divBdr>
                <w:top w:val="none" w:sz="0" w:space="0" w:color="auto"/>
                <w:left w:val="none" w:sz="0" w:space="0" w:color="auto"/>
                <w:bottom w:val="none" w:sz="0" w:space="0" w:color="auto"/>
                <w:right w:val="none" w:sz="0" w:space="0" w:color="auto"/>
              </w:divBdr>
            </w:div>
            <w:div w:id="2107651209">
              <w:marLeft w:val="0"/>
              <w:marRight w:val="0"/>
              <w:marTop w:val="0"/>
              <w:marBottom w:val="0"/>
              <w:divBdr>
                <w:top w:val="none" w:sz="0" w:space="0" w:color="auto"/>
                <w:left w:val="none" w:sz="0" w:space="0" w:color="auto"/>
                <w:bottom w:val="none" w:sz="0" w:space="0" w:color="auto"/>
                <w:right w:val="none" w:sz="0" w:space="0" w:color="auto"/>
              </w:divBdr>
            </w:div>
            <w:div w:id="2109881715">
              <w:marLeft w:val="0"/>
              <w:marRight w:val="0"/>
              <w:marTop w:val="0"/>
              <w:marBottom w:val="0"/>
              <w:divBdr>
                <w:top w:val="none" w:sz="0" w:space="0" w:color="auto"/>
                <w:left w:val="none" w:sz="0" w:space="0" w:color="auto"/>
                <w:bottom w:val="none" w:sz="0" w:space="0" w:color="auto"/>
                <w:right w:val="none" w:sz="0" w:space="0" w:color="auto"/>
              </w:divBdr>
            </w:div>
            <w:div w:id="2116748054">
              <w:marLeft w:val="0"/>
              <w:marRight w:val="0"/>
              <w:marTop w:val="0"/>
              <w:marBottom w:val="0"/>
              <w:divBdr>
                <w:top w:val="none" w:sz="0" w:space="0" w:color="auto"/>
                <w:left w:val="none" w:sz="0" w:space="0" w:color="auto"/>
                <w:bottom w:val="none" w:sz="0" w:space="0" w:color="auto"/>
                <w:right w:val="none" w:sz="0" w:space="0" w:color="auto"/>
              </w:divBdr>
            </w:div>
            <w:div w:id="2127694873">
              <w:marLeft w:val="0"/>
              <w:marRight w:val="0"/>
              <w:marTop w:val="0"/>
              <w:marBottom w:val="0"/>
              <w:divBdr>
                <w:top w:val="none" w:sz="0" w:space="0" w:color="auto"/>
                <w:left w:val="none" w:sz="0" w:space="0" w:color="auto"/>
                <w:bottom w:val="none" w:sz="0" w:space="0" w:color="auto"/>
                <w:right w:val="none" w:sz="0" w:space="0" w:color="auto"/>
              </w:divBdr>
            </w:div>
            <w:div w:id="2128043458">
              <w:marLeft w:val="0"/>
              <w:marRight w:val="0"/>
              <w:marTop w:val="0"/>
              <w:marBottom w:val="0"/>
              <w:divBdr>
                <w:top w:val="none" w:sz="0" w:space="0" w:color="auto"/>
                <w:left w:val="none" w:sz="0" w:space="0" w:color="auto"/>
                <w:bottom w:val="none" w:sz="0" w:space="0" w:color="auto"/>
                <w:right w:val="none" w:sz="0" w:space="0" w:color="auto"/>
              </w:divBdr>
            </w:div>
            <w:div w:id="2138142867">
              <w:marLeft w:val="0"/>
              <w:marRight w:val="0"/>
              <w:marTop w:val="0"/>
              <w:marBottom w:val="0"/>
              <w:divBdr>
                <w:top w:val="none" w:sz="0" w:space="0" w:color="auto"/>
                <w:left w:val="none" w:sz="0" w:space="0" w:color="auto"/>
                <w:bottom w:val="none" w:sz="0" w:space="0" w:color="auto"/>
                <w:right w:val="none" w:sz="0" w:space="0" w:color="auto"/>
              </w:divBdr>
            </w:div>
            <w:div w:id="214561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kielioblog.wordpress.com/tag/ammattinimikkeet/" TargetMode="External"/><Relationship Id="rId21" Type="http://schemas.openxmlformats.org/officeDocument/2006/relationships/header" Target="header10.xml"/><Relationship Id="rId324" Type="http://schemas.openxmlformats.org/officeDocument/2006/relationships/hyperlink" Target="https://www.hm.ee/et/elukestva-oppe-strateegia-2020" TargetMode="External"/><Relationship Id="rId531" Type="http://schemas.openxmlformats.org/officeDocument/2006/relationships/header" Target="header133.xml"/><Relationship Id="rId170" Type="http://schemas.openxmlformats.org/officeDocument/2006/relationships/hyperlink" Target="https://kielioblog.wordpress.com/tag/ruotsi/" TargetMode="External"/><Relationship Id="rId268" Type="http://schemas.openxmlformats.org/officeDocument/2006/relationships/header" Target="header57.xml"/><Relationship Id="rId475" Type="http://schemas.openxmlformats.org/officeDocument/2006/relationships/header" Target="header110.xml"/><Relationship Id="rId32" Type="http://schemas.openxmlformats.org/officeDocument/2006/relationships/header" Target="header17.xml"/><Relationship Id="rId128" Type="http://schemas.openxmlformats.org/officeDocument/2006/relationships/hyperlink" Target="https://kielioblog.wordpress.com/tag/etymologia/" TargetMode="External"/><Relationship Id="rId335" Type="http://schemas.openxmlformats.org/officeDocument/2006/relationships/hyperlink" Target="http://unesdoc.unesco.org/images/0018/001836/183699E.pdf" TargetMode="External"/><Relationship Id="rId542" Type="http://schemas.openxmlformats.org/officeDocument/2006/relationships/hyperlink" Target="mailto:birobernadett9@gmail.com" TargetMode="External"/><Relationship Id="rId181" Type="http://schemas.openxmlformats.org/officeDocument/2006/relationships/hyperlink" Target="https://kielioblog.wordpress.com/tag/taivutus/" TargetMode="External"/><Relationship Id="rId402" Type="http://schemas.openxmlformats.org/officeDocument/2006/relationships/hyperlink" Target="http://www.gutenberg.org/cache/epub/52445/pg52445.html" TargetMode="External"/><Relationship Id="rId279" Type="http://schemas.openxmlformats.org/officeDocument/2006/relationships/header" Target="header61.xml"/><Relationship Id="rId486" Type="http://schemas.openxmlformats.org/officeDocument/2006/relationships/chart" Target="charts/chart7.xml"/><Relationship Id="rId43" Type="http://schemas.openxmlformats.org/officeDocument/2006/relationships/hyperlink" Target="https://sentrooppasantra.wordpress.com/tag/antisemitismi/" TargetMode="External"/><Relationship Id="rId139" Type="http://schemas.openxmlformats.org/officeDocument/2006/relationships/hyperlink" Target="https://kielioblog.wordpress.com/tag/karjala/" TargetMode="External"/><Relationship Id="rId346" Type="http://schemas.openxmlformats.org/officeDocument/2006/relationships/hyperlink" Target="https://mek.oszk.hu/18600/18698/18698.pdf" TargetMode="External"/><Relationship Id="rId553" Type="http://schemas.openxmlformats.org/officeDocument/2006/relationships/hyperlink" Target="mailto:luan.merlin.hammer@univie.ac.at" TargetMode="External"/><Relationship Id="rId192" Type="http://schemas.openxmlformats.org/officeDocument/2006/relationships/hyperlink" Target="https://homepage.univie.ac.at/johanna.laakso/?page_id=74" TargetMode="External"/><Relationship Id="rId206" Type="http://schemas.openxmlformats.org/officeDocument/2006/relationships/hyperlink" Target="https://kaino.kotus.fi/vks/" TargetMode="External"/><Relationship Id="rId413" Type="http://schemas.openxmlformats.org/officeDocument/2006/relationships/hyperlink" Target="http://www.helsinginuutiset.fi/paikalliset/1805575" TargetMode="External"/><Relationship Id="rId497" Type="http://schemas.openxmlformats.org/officeDocument/2006/relationships/header" Target="header127.xml"/><Relationship Id="rId357" Type="http://schemas.openxmlformats.org/officeDocument/2006/relationships/hyperlink" Target="http://www.umaleht.ee/umaarhiiv/aug/neli.htm" TargetMode="External"/><Relationship Id="rId54" Type="http://schemas.openxmlformats.org/officeDocument/2006/relationships/hyperlink" Target="https://sentrooppasantra.wordpress.com/tag/huuhaatiede/" TargetMode="External"/><Relationship Id="rId217" Type="http://schemas.openxmlformats.org/officeDocument/2006/relationships/image" Target="media/image7.png"/><Relationship Id="rId564" Type="http://schemas.openxmlformats.org/officeDocument/2006/relationships/hyperlink" Target="mailto:mikko.kajander@univie.ac.at" TargetMode="External"/><Relationship Id="rId424" Type="http://schemas.openxmlformats.org/officeDocument/2006/relationships/image" Target="media/image17.jpeg"/><Relationship Id="rId270" Type="http://schemas.openxmlformats.org/officeDocument/2006/relationships/hyperlink" Target="http://corpus.nytud.hu/mnsz" TargetMode="External"/><Relationship Id="rId65" Type="http://schemas.openxmlformats.org/officeDocument/2006/relationships/hyperlink" Target="https://sentrooppasantra.wordpress.com/tag/koronavirus/" TargetMode="External"/><Relationship Id="rId130" Type="http://schemas.openxmlformats.org/officeDocument/2006/relationships/hyperlink" Target="https://kielioblog.wordpress.com/tag/genetiikka/" TargetMode="External"/><Relationship Id="rId368" Type="http://schemas.openxmlformats.org/officeDocument/2006/relationships/hyperlink" Target="http://www.eki.ee/dict/ety/" TargetMode="External"/><Relationship Id="rId575" Type="http://schemas.openxmlformats.org/officeDocument/2006/relationships/hyperlink" Target="mailto:heidelinde.lindorfer@textperfekt.at" TargetMode="External"/><Relationship Id="rId228" Type="http://schemas.openxmlformats.org/officeDocument/2006/relationships/hyperlink" Target="http://trans.mari-language.com" TargetMode="External"/><Relationship Id="rId435" Type="http://schemas.openxmlformats.org/officeDocument/2006/relationships/header" Target="header96.xml"/><Relationship Id="rId281" Type="http://schemas.openxmlformats.org/officeDocument/2006/relationships/hyperlink" Target="http://www.academia.edu/42017894/Challenges_and_opportunities_in_%0Areconstructing_Proto_Uralic_nominal_derivation_Powerpoint_and_%0Ahandout_" TargetMode="External"/><Relationship Id="rId502" Type="http://schemas.microsoft.com/office/2007/relationships/hdphoto" Target="media/hdphoto12.wdp"/><Relationship Id="rId76" Type="http://schemas.openxmlformats.org/officeDocument/2006/relationships/hyperlink" Target="https://sentrooppasantra.wordpress.com/tag/muistomerkki/" TargetMode="External"/><Relationship Id="rId141" Type="http://schemas.openxmlformats.org/officeDocument/2006/relationships/hyperlink" Target="https://kielioblog.wordpress.com/tag/keksi/" TargetMode="External"/><Relationship Id="rId379" Type="http://schemas.microsoft.com/office/2007/relationships/hdphoto" Target="media/hdphoto9.wdp"/><Relationship Id="rId586" Type="http://schemas.openxmlformats.org/officeDocument/2006/relationships/hyperlink" Target="mailto:christian.pischloeger@univie.ac.at" TargetMode="External"/><Relationship Id="rId7" Type="http://schemas.openxmlformats.org/officeDocument/2006/relationships/endnotes" Target="endnotes.xml"/><Relationship Id="rId239" Type="http://schemas.openxmlformats.org/officeDocument/2006/relationships/header" Target="header42.xml"/><Relationship Id="rId446" Type="http://schemas.openxmlformats.org/officeDocument/2006/relationships/hyperlink" Target="http://www.eeselts.edu.ee/www/v1/?download=allkeeled_35_koos_3.05%20(1).pdf" TargetMode="External"/><Relationship Id="rId292" Type="http://schemas.openxmlformats.org/officeDocument/2006/relationships/diagramData" Target="diagrams/data2.xml"/><Relationship Id="rId306" Type="http://schemas.openxmlformats.org/officeDocument/2006/relationships/chart" Target="charts/chart1.xml"/><Relationship Id="rId87" Type="http://schemas.openxmlformats.org/officeDocument/2006/relationships/hyperlink" Target="https://sentrooppasantra.wordpress.com/tag/propaganda/" TargetMode="External"/><Relationship Id="rId513" Type="http://schemas.openxmlformats.org/officeDocument/2006/relationships/hyperlink" Target="https://litteraturbanken.se/f%C3%B6rfattare/M%C3%B8llerJensenE/titlar/NordiskKvinnolitteraturhistoria3/sida/174/etext" TargetMode="External"/><Relationship Id="rId597" Type="http://schemas.openxmlformats.org/officeDocument/2006/relationships/hyperlink" Target="mailto:szevers@hung.u-szeged.hu" TargetMode="External"/><Relationship Id="rId152" Type="http://schemas.openxmlformats.org/officeDocument/2006/relationships/hyperlink" Target="https://kielioblog.wordpress.com/tag/lastenlorut/" TargetMode="External"/><Relationship Id="rId457" Type="http://schemas.openxmlformats.org/officeDocument/2006/relationships/image" Target="media/image22.jpeg"/><Relationship Id="rId14" Type="http://schemas.openxmlformats.org/officeDocument/2006/relationships/header" Target="header5.xml"/><Relationship Id="rId317" Type="http://schemas.openxmlformats.org/officeDocument/2006/relationships/hyperlink" Target="https://www.riigiteataja.ee/akt/127042011002" TargetMode="External"/><Relationship Id="rId524" Type="http://schemas.openxmlformats.org/officeDocument/2006/relationships/hyperlink" Target="https://www.elinwagner.se/elin-wagner-minnesskyltar/" TargetMode="External"/><Relationship Id="rId98" Type="http://schemas.openxmlformats.org/officeDocument/2006/relationships/hyperlink" Target="https://sentrooppasantra.wordpress.com/tag/teatteri/" TargetMode="External"/><Relationship Id="rId163" Type="http://schemas.openxmlformats.org/officeDocument/2006/relationships/hyperlink" Target="https://kielioblog.wordpress.com/tag/piirakka/" TargetMode="External"/><Relationship Id="rId370" Type="http://schemas.openxmlformats.org/officeDocument/2006/relationships/hyperlink" Target="https://www.etis.ee/Portal/Publications/Display/1274885d-2a4e-4802-8f9b-fe96006edaf1" TargetMode="External"/><Relationship Id="rId230" Type="http://schemas.openxmlformats.org/officeDocument/2006/relationships/header" Target="header34.xml"/><Relationship Id="rId468" Type="http://schemas.openxmlformats.org/officeDocument/2006/relationships/hyperlink" Target="http://www.suevia-pannonica.de/archiv/archiv2002.pdf" TargetMode="External"/><Relationship Id="rId25" Type="http://schemas.microsoft.com/office/2007/relationships/hdphoto" Target="media/hdphoto1.wdp"/><Relationship Id="rId67" Type="http://schemas.openxmlformats.org/officeDocument/2006/relationships/hyperlink" Target="https://sentrooppasantra.wordpress.com/tag/koyhyys/" TargetMode="External"/><Relationship Id="rId272" Type="http://schemas.openxmlformats.org/officeDocument/2006/relationships/hyperlink" Target="https://www.stat.ee/nimed/TOP" TargetMode="External"/><Relationship Id="rId328" Type="http://schemas.openxmlformats.org/officeDocument/2006/relationships/hyperlink" Target="http://www.hm.ee/sites/default/files/lisa_8_korghariduse_programm_2016-2019.pdf" TargetMode="External"/><Relationship Id="rId535" Type="http://schemas.openxmlformats.org/officeDocument/2006/relationships/header" Target="header137.xml"/><Relationship Id="rId577" Type="http://schemas.openxmlformats.org/officeDocument/2006/relationships/hyperlink" Target="mailto:kristina.malmio@helsinki.fi" TargetMode="External"/><Relationship Id="rId132" Type="http://schemas.openxmlformats.org/officeDocument/2006/relationships/hyperlink" Target="https://kielioblog.wordpress.com/tag/historiallinen-kielitiede/" TargetMode="External"/><Relationship Id="rId174" Type="http://schemas.openxmlformats.org/officeDocument/2006/relationships/hyperlink" Target="https://kielioblog.wordpress.com/tag/sanakirjat/" TargetMode="External"/><Relationship Id="rId381" Type="http://schemas.openxmlformats.org/officeDocument/2006/relationships/hyperlink" Target="https://docs.cntd.ru/document/901757631?marker=6580IP" TargetMode="External"/><Relationship Id="rId602" Type="http://schemas.openxmlformats.org/officeDocument/2006/relationships/hyperlink" Target="http://www.slm.uni-hamburg.de/ifuu/personen/beata-wagner-nagy.html" TargetMode="External"/><Relationship Id="rId241" Type="http://schemas.openxmlformats.org/officeDocument/2006/relationships/header" Target="header44.xml"/><Relationship Id="rId437" Type="http://schemas.openxmlformats.org/officeDocument/2006/relationships/header" Target="header98.xml"/><Relationship Id="rId479" Type="http://schemas.openxmlformats.org/officeDocument/2006/relationships/header" Target="header113.xml"/><Relationship Id="rId36" Type="http://schemas.openxmlformats.org/officeDocument/2006/relationships/image" Target="media/image4.png"/><Relationship Id="rId283" Type="http://schemas.openxmlformats.org/officeDocument/2006/relationships/hyperlink" Target="https://naob.no/ordbok/" TargetMode="External"/><Relationship Id="rId339" Type="http://schemas.openxmlformats.org/officeDocument/2006/relationships/hyperlink" Target="http://termini.nytud.hu/htonline/htlista.php?action=firstpage" TargetMode="External"/><Relationship Id="rId490" Type="http://schemas.openxmlformats.org/officeDocument/2006/relationships/header" Target="header120.xml"/><Relationship Id="rId504" Type="http://schemas.microsoft.com/office/2007/relationships/hdphoto" Target="media/hdphoto13.wdp"/><Relationship Id="rId546" Type="http://schemas.openxmlformats.org/officeDocument/2006/relationships/hyperlink" Target="mailto:marta.csire@univie.ac.at" TargetMode="External"/><Relationship Id="rId78" Type="http://schemas.openxmlformats.org/officeDocument/2006/relationships/hyperlink" Target="https://sentrooppasantra.wordpress.com/tag/natsismi/" TargetMode="External"/><Relationship Id="rId101" Type="http://schemas.openxmlformats.org/officeDocument/2006/relationships/hyperlink" Target="https://sentrooppasantra.wordpress.com/tag/tiede/" TargetMode="External"/><Relationship Id="rId143" Type="http://schemas.openxmlformats.org/officeDocument/2006/relationships/hyperlink" Target="https://kielioblog.wordpress.com/tag/kielenopetus/" TargetMode="External"/><Relationship Id="rId185" Type="http://schemas.openxmlformats.org/officeDocument/2006/relationships/hyperlink" Target="https://kielioblog.wordpress.com/tag/unkari/" TargetMode="External"/><Relationship Id="rId350" Type="http://schemas.openxmlformats.org/officeDocument/2006/relationships/header" Target="header76.xml"/><Relationship Id="rId406" Type="http://schemas.openxmlformats.org/officeDocument/2006/relationships/hyperlink" Target="https://tinyurl.com/fujobs" TargetMode="External"/><Relationship Id="rId588" Type="http://schemas.openxmlformats.org/officeDocument/2006/relationships/hyperlink" Target="mailto:helen.plado@ut.ee" TargetMode="External"/><Relationship Id="rId9" Type="http://schemas.openxmlformats.org/officeDocument/2006/relationships/header" Target="header2.xml"/><Relationship Id="rId210" Type="http://schemas.openxmlformats.org/officeDocument/2006/relationships/hyperlink" Target="https://doi.org/10.2307/25610127" TargetMode="External"/><Relationship Id="rId392" Type="http://schemas.openxmlformats.org/officeDocument/2006/relationships/hyperlink" Target="https://en.wiktionary.org/wiki/wods" TargetMode="External"/><Relationship Id="rId448" Type="http://schemas.openxmlformats.org/officeDocument/2006/relationships/hyperlink" Target="http://urn.fi/URN:NBN:fi-fd2014-00003907" TargetMode="External"/><Relationship Id="rId252" Type="http://schemas.microsoft.com/office/2007/relationships/hdphoto" Target="media/hdphoto5.wdp"/><Relationship Id="rId294" Type="http://schemas.openxmlformats.org/officeDocument/2006/relationships/diagramQuickStyle" Target="diagrams/quickStyle2.xml"/><Relationship Id="rId308" Type="http://schemas.openxmlformats.org/officeDocument/2006/relationships/chart" Target="charts/chart3.xml"/><Relationship Id="rId515" Type="http://schemas.openxmlformats.org/officeDocument/2006/relationships/hyperlink" Target="https://www.nordicwomeninfilm.com/norrtullsligan-om-en-roman-och-en-film-och-tiden-som-gar/" TargetMode="External"/><Relationship Id="rId47" Type="http://schemas.openxmlformats.org/officeDocument/2006/relationships/hyperlink" Target="https://sentrooppasantra.wordpress.com/tag/feminismi/" TargetMode="External"/><Relationship Id="rId89" Type="http://schemas.openxmlformats.org/officeDocument/2006/relationships/hyperlink" Target="https://sentrooppasantra.wordpress.com/tag/rasismi/" TargetMode="External"/><Relationship Id="rId112" Type="http://schemas.openxmlformats.org/officeDocument/2006/relationships/hyperlink" Target="https://sentrooppasantra.wordpress.com/tag/vahemmistot/" TargetMode="External"/><Relationship Id="rId154" Type="http://schemas.openxmlformats.org/officeDocument/2006/relationships/hyperlink" Target="https://kielioblog.wordpress.com/tag/livvi/" TargetMode="External"/><Relationship Id="rId361" Type="http://schemas.openxmlformats.org/officeDocument/2006/relationships/hyperlink" Target="https://sasslantis.ee/lyrics-joel_steinfeld-aeg_kaob_ja_kaob" TargetMode="External"/><Relationship Id="rId557" Type="http://schemas.openxmlformats.org/officeDocument/2006/relationships/hyperlink" Target="https://lidivoka.univie.ac.at" TargetMode="External"/><Relationship Id="rId599" Type="http://schemas.openxmlformats.org/officeDocument/2006/relationships/hyperlink" Target="mailto:ferenc.vincze@univie.ac.at" TargetMode="External"/><Relationship Id="rId196" Type="http://schemas.microsoft.com/office/2007/relationships/hdphoto" Target="media/hdphoto4.wdp"/><Relationship Id="rId417" Type="http://schemas.openxmlformats.org/officeDocument/2006/relationships/hyperlink" Target="https://www.oxfordlearnersdictionaries.com/definition/english/" TargetMode="External"/><Relationship Id="rId459" Type="http://schemas.openxmlformats.org/officeDocument/2006/relationships/image" Target="media/image24.png"/><Relationship Id="rId16" Type="http://schemas.openxmlformats.org/officeDocument/2006/relationships/header" Target="header7.xml"/><Relationship Id="rId221" Type="http://schemas.openxmlformats.org/officeDocument/2006/relationships/hyperlink" Target="http://www.mari-language.com" TargetMode="External"/><Relationship Id="rId263" Type="http://schemas.openxmlformats.org/officeDocument/2006/relationships/header" Target="header52.xml"/><Relationship Id="rId319" Type="http://schemas.openxmlformats.org/officeDocument/2006/relationships/hyperlink" Target="http://www.hm.ee/sites/default/files/eesti_keele_arengukava_2021_2035_eelnou_9.07.2020.pdf" TargetMode="External"/><Relationship Id="rId470" Type="http://schemas.openxmlformats.org/officeDocument/2006/relationships/hyperlink" Target="http://www.yumpu.com/hu/document/view/21923898/" TargetMode="External"/><Relationship Id="rId526" Type="http://schemas.openxmlformats.org/officeDocument/2006/relationships/hyperlink" Target="https://stockholmskallan.stockholm.se/teman/de-skriver-om-stockholm/elin-wagner/norrtullsligan/" TargetMode="External"/><Relationship Id="rId58" Type="http://schemas.openxmlformats.org/officeDocument/2006/relationships/hyperlink" Target="https://sentrooppasantra.wordpress.com/tag/jobbik/" TargetMode="External"/><Relationship Id="rId123" Type="http://schemas.openxmlformats.org/officeDocument/2006/relationships/hyperlink" Target="https://kielioblog.wordpress.com/tag/diminutiivit/" TargetMode="External"/><Relationship Id="rId330" Type="http://schemas.openxmlformats.org/officeDocument/2006/relationships/hyperlink" Target="https://dea.digar.ee/cgi-bin/dea?a=d&amp;d=AKakadeemia201804" TargetMode="External"/><Relationship Id="rId568" Type="http://schemas.openxmlformats.org/officeDocument/2006/relationships/hyperlink" Target="mailto:birute.klaas-lang@ut.ee" TargetMode="External"/><Relationship Id="rId165" Type="http://schemas.openxmlformats.org/officeDocument/2006/relationships/hyperlink" Target="https://kielioblog.wordpress.com/tag/puliveivata/" TargetMode="External"/><Relationship Id="rId372" Type="http://schemas.openxmlformats.org/officeDocument/2006/relationships/hyperlink" Target="http://www.eki.ee/dict/vms/" TargetMode="External"/><Relationship Id="rId428" Type="http://schemas.openxmlformats.org/officeDocument/2006/relationships/header" Target="header93.xml"/><Relationship Id="rId232" Type="http://schemas.openxmlformats.org/officeDocument/2006/relationships/header" Target="header36.xml"/><Relationship Id="rId274" Type="http://schemas.openxmlformats.org/officeDocument/2006/relationships/hyperlink" Target="http://www.europarl.europa.eu/RegData/publications/2009/0001/P6_PUB%282009%290001_EN.pdf" TargetMode="External"/><Relationship Id="rId481" Type="http://schemas.openxmlformats.org/officeDocument/2006/relationships/hyperlink" Target="https://irodalmiszemle.sk/2015/10/neha-azt-kell-hasznalni-amit-nagyon-jol-tud-az-ember-neha-azt-amit-nem-annyira/" TargetMode="External"/><Relationship Id="rId27" Type="http://schemas.openxmlformats.org/officeDocument/2006/relationships/header" Target="header14.xml"/><Relationship Id="rId69" Type="http://schemas.openxmlformats.org/officeDocument/2006/relationships/hyperlink" Target="https://sentrooppasantra.wordpress.com/tag/laszlo-kover/" TargetMode="External"/><Relationship Id="rId134" Type="http://schemas.openxmlformats.org/officeDocument/2006/relationships/hyperlink" Target="https://kielioblog.wordpress.com/tag/itavalta/" TargetMode="External"/><Relationship Id="rId537" Type="http://schemas.openxmlformats.org/officeDocument/2006/relationships/hyperlink" Target="mailto:rigina.ajanki@helsinki.fi" TargetMode="External"/><Relationship Id="rId579" Type="http://schemas.openxmlformats.org/officeDocument/2006/relationships/hyperlink" Target="https://wolfgangmuellerfunk.wordpress.com/" TargetMode="External"/><Relationship Id="rId80" Type="http://schemas.openxmlformats.org/officeDocument/2006/relationships/hyperlink" Target="https://sentrooppasantra.wordpress.com/tag/oikeusvaltio/" TargetMode="External"/><Relationship Id="rId176" Type="http://schemas.openxmlformats.org/officeDocument/2006/relationships/hyperlink" Target="https://kielioblog.wordpress.com/tag/sanat/" TargetMode="External"/><Relationship Id="rId341" Type="http://schemas.openxmlformats.org/officeDocument/2006/relationships/hyperlink" Target="http://www.lendava-lendva.si/" TargetMode="External"/><Relationship Id="rId383" Type="http://schemas.openxmlformats.org/officeDocument/2006/relationships/hyperlink" Target="http://www.gks.ru/free_doc/new_site/perepis2010/croc/perepis_itogi1612.htm" TargetMode="External"/><Relationship Id="rId439" Type="http://schemas.openxmlformats.org/officeDocument/2006/relationships/hyperlink" Target="http://juura.ee/" TargetMode="External"/><Relationship Id="rId590" Type="http://schemas.openxmlformats.org/officeDocument/2006/relationships/hyperlink" Target="mailto:sarhimaa@uni-mainz.de" TargetMode="External"/><Relationship Id="rId604" Type="http://schemas.openxmlformats.org/officeDocument/2006/relationships/hyperlink" Target="mailto:antje.wischmann@univie.ac.at" TargetMode="External"/><Relationship Id="rId201" Type="http://schemas.openxmlformats.org/officeDocument/2006/relationships/header" Target="header23.xml"/><Relationship Id="rId243" Type="http://schemas.openxmlformats.org/officeDocument/2006/relationships/image" Target="media/image8.jpeg"/><Relationship Id="rId285" Type="http://schemas.openxmlformats.org/officeDocument/2006/relationships/hyperlink" Target="http://www.languageawareness.org/?page_id=48" TargetMode="External"/><Relationship Id="rId450" Type="http://schemas.openxmlformats.org/officeDocument/2006/relationships/header" Target="header100.xml"/><Relationship Id="rId506" Type="http://schemas.microsoft.com/office/2007/relationships/hdphoto" Target="media/hdphoto14.wdp"/><Relationship Id="rId38" Type="http://schemas.openxmlformats.org/officeDocument/2006/relationships/image" Target="media/image5.png"/><Relationship Id="rId103" Type="http://schemas.openxmlformats.org/officeDocument/2006/relationships/hyperlink" Target="https://sentrooppasantra.wordpress.com/tag/unkarin-tiedeakatemia/" TargetMode="External"/><Relationship Id="rId310" Type="http://schemas.openxmlformats.org/officeDocument/2006/relationships/chart" Target="charts/chart5.xml"/><Relationship Id="rId492" Type="http://schemas.openxmlformats.org/officeDocument/2006/relationships/header" Target="header122.xml"/><Relationship Id="rId548" Type="http://schemas.openxmlformats.org/officeDocument/2006/relationships/hyperlink" Target="http://www.uni-bielefeld.de/einrichtungen/fsz/projects/gruppe-bie/" TargetMode="External"/><Relationship Id="rId91" Type="http://schemas.openxmlformats.org/officeDocument/2006/relationships/hyperlink" Target="https://sentrooppasantra.wordpress.com/tag/romanit/" TargetMode="External"/><Relationship Id="rId145" Type="http://schemas.openxmlformats.org/officeDocument/2006/relationships/hyperlink" Target="https://kielioblog.wordpress.com/tag/kielikuvat/" TargetMode="External"/><Relationship Id="rId187" Type="http://schemas.openxmlformats.org/officeDocument/2006/relationships/hyperlink" Target="https://kielioblog.wordpress.com/tag/venaja/" TargetMode="External"/><Relationship Id="rId352" Type="http://schemas.openxmlformats.org/officeDocument/2006/relationships/header" Target="header78.xml"/><Relationship Id="rId394" Type="http://schemas.openxmlformats.org/officeDocument/2006/relationships/hyperlink" Target="https://en.wiktionary.org/wiki/Reconstruction:Proto-Indo-European/weh%E2%82%82t-" TargetMode="External"/><Relationship Id="rId408" Type="http://schemas.openxmlformats.org/officeDocument/2006/relationships/hyperlink" Target="http://urn.fi/urn:nbn:fi:lb-2020021803" TargetMode="External"/><Relationship Id="rId212" Type="http://schemas.openxmlformats.org/officeDocument/2006/relationships/header" Target="header29.xml"/><Relationship Id="rId254" Type="http://schemas.microsoft.com/office/2007/relationships/hdphoto" Target="media/hdphoto6.wdp"/><Relationship Id="rId49" Type="http://schemas.openxmlformats.org/officeDocument/2006/relationships/hyperlink" Target="https://sentrooppasantra.wordpress.com/tag/fpo/" TargetMode="External"/><Relationship Id="rId114" Type="http://schemas.openxmlformats.org/officeDocument/2006/relationships/hyperlink" Target="https://sentrooppasantra.wordpress.com/tag/zsolt-bayer/" TargetMode="External"/><Relationship Id="rId296" Type="http://schemas.microsoft.com/office/2007/relationships/diagramDrawing" Target="diagrams/drawing2.xml"/><Relationship Id="rId461" Type="http://schemas.openxmlformats.org/officeDocument/2006/relationships/hyperlink" Target="https://humanzoos.net/" TargetMode="External"/><Relationship Id="rId517" Type="http://schemas.openxmlformats.org/officeDocument/2006/relationships/hyperlink" Target="http://oru.diva-portal.org/smash/get/diva2:1546478/FULLTEXT01.pdf" TargetMode="External"/><Relationship Id="rId559" Type="http://schemas.openxmlformats.org/officeDocument/2006/relationships/hyperlink" Target="http://ugric.univie.ac.at" TargetMode="External"/><Relationship Id="rId60" Type="http://schemas.openxmlformats.org/officeDocument/2006/relationships/hyperlink" Target="https://sentrooppasantra.wordpress.com/tag/jorg-haider/" TargetMode="External"/><Relationship Id="rId156" Type="http://schemas.openxmlformats.org/officeDocument/2006/relationships/hyperlink" Target="https://kielioblog.wordpress.com/tag/media/" TargetMode="External"/><Relationship Id="rId198" Type="http://schemas.openxmlformats.org/officeDocument/2006/relationships/header" Target="header20.xml"/><Relationship Id="rId321" Type="http://schemas.openxmlformats.org/officeDocument/2006/relationships/hyperlink" Target="https://ekka.edu.ee/wp-content/uploads/Temaatilise_hindamise_aruanne_2019.pdf" TargetMode="External"/><Relationship Id="rId363" Type="http://schemas.openxmlformats.org/officeDocument/2006/relationships/hyperlink" Target="http://heldurkarmo.net.ee/?qry=1,1887" TargetMode="External"/><Relationship Id="rId419" Type="http://schemas.openxmlformats.org/officeDocument/2006/relationships/header" Target="header90.xml"/><Relationship Id="rId570" Type="http://schemas.openxmlformats.org/officeDocument/2006/relationships/hyperlink" Target="mailto:anna.kollath@um.si" TargetMode="External"/><Relationship Id="rId223" Type="http://schemas.openxmlformats.org/officeDocument/2006/relationships/hyperlink" Target="http://www.copius.eu/etymology" TargetMode="External"/><Relationship Id="rId430" Type="http://schemas.openxmlformats.org/officeDocument/2006/relationships/header" Target="header95.xml"/><Relationship Id="rId18" Type="http://schemas.openxmlformats.org/officeDocument/2006/relationships/header" Target="header9.xml"/><Relationship Id="rId265" Type="http://schemas.openxmlformats.org/officeDocument/2006/relationships/header" Target="header54.xml"/><Relationship Id="rId472" Type="http://schemas.openxmlformats.org/officeDocument/2006/relationships/hyperlink" Target="http://www.oedenburgerland.de/index.php?option=com_content&amp;view=article&amp;id=741:brennberg-von-franz-zeltner&amp;catid=102&amp;Itemid=240" TargetMode="External"/><Relationship Id="rId528" Type="http://schemas.openxmlformats.org/officeDocument/2006/relationships/hyperlink" Target="http://www.svenskfilmdatabas.se/en/Item/?type=person&amp;itemid=58075" TargetMode="External"/><Relationship Id="rId125" Type="http://schemas.openxmlformats.org/officeDocument/2006/relationships/hyperlink" Target="https://kielioblog.wordpress.com/tag/elokuva/" TargetMode="External"/><Relationship Id="rId167" Type="http://schemas.openxmlformats.org/officeDocument/2006/relationships/hyperlink" Target="https://kielioblog.wordpress.com/tag/paasiainen/" TargetMode="External"/><Relationship Id="rId332" Type="http://schemas.openxmlformats.org/officeDocument/2006/relationships/hyperlink" Target="https://cip.ku.dk/english/development-and-research/research/previous_research/blind-spots-of-internationalization/" TargetMode="External"/><Relationship Id="rId374" Type="http://schemas.openxmlformats.org/officeDocument/2006/relationships/header" Target="header82.xml"/><Relationship Id="rId581" Type="http://schemas.openxmlformats.org/officeDocument/2006/relationships/hyperlink" Target="http://www.etis.ee/CV/Merit_Niinem&#228;gi" TargetMode="External"/><Relationship Id="rId71" Type="http://schemas.openxmlformats.org/officeDocument/2006/relationships/hyperlink" Target="https://sentrooppasantra.wordpress.com/tag/maahanmuutto/" TargetMode="External"/><Relationship Id="rId234" Type="http://schemas.openxmlformats.org/officeDocument/2006/relationships/header" Target="header38.xml"/><Relationship Id="rId2" Type="http://schemas.openxmlformats.org/officeDocument/2006/relationships/numbering" Target="numbering.xml"/><Relationship Id="rId29" Type="http://schemas.openxmlformats.org/officeDocument/2006/relationships/hyperlink" Target="https://journal.instifdt.bg.ac.rs/index.php/fid/issue/view/31/FID-2016-1" TargetMode="External"/><Relationship Id="rId276" Type="http://schemas.openxmlformats.org/officeDocument/2006/relationships/header" Target="header58.xml"/><Relationship Id="rId441" Type="http://schemas.openxmlformats.org/officeDocument/2006/relationships/hyperlink" Target="http://www.ekspress.ee" TargetMode="External"/><Relationship Id="rId483" Type="http://schemas.openxmlformats.org/officeDocument/2006/relationships/header" Target="header115.xml"/><Relationship Id="rId539" Type="http://schemas.openxmlformats.org/officeDocument/2006/relationships/hyperlink" Target="mailto:zsazsa@lit.u-szeged.hu" TargetMode="External"/><Relationship Id="rId40" Type="http://schemas.openxmlformats.org/officeDocument/2006/relationships/hyperlink" Target="https://sentrooppasantra.wordpress.com/" TargetMode="External"/><Relationship Id="rId136" Type="http://schemas.openxmlformats.org/officeDocument/2006/relationships/hyperlink" Target="https://kielioblog.wordpress.com/tag/kansainvalisyys/" TargetMode="External"/><Relationship Id="rId178" Type="http://schemas.openxmlformats.org/officeDocument/2006/relationships/hyperlink" Target="https://kielioblog.wordpress.com/tag/scifi/" TargetMode="External"/><Relationship Id="rId301" Type="http://schemas.openxmlformats.org/officeDocument/2006/relationships/header" Target="header65.xml"/><Relationship Id="rId343" Type="http://schemas.openxmlformats.org/officeDocument/2006/relationships/hyperlink" Target="https://doi.org/10.1556/2065.181.2020.2.2" TargetMode="External"/><Relationship Id="rId550" Type="http://schemas.openxmlformats.org/officeDocument/2006/relationships/hyperlink" Target="mailto:erika.erlinghagen@univie.ac.at" TargetMode="External"/><Relationship Id="rId82" Type="http://schemas.openxmlformats.org/officeDocument/2006/relationships/hyperlink" Target="https://sentrooppasantra.wordpress.com/tag/perhepolitiikka/" TargetMode="External"/><Relationship Id="rId203" Type="http://schemas.openxmlformats.org/officeDocument/2006/relationships/hyperlink" Target="http://www.eki.ee/dict/ems/" TargetMode="External"/><Relationship Id="rId385" Type="http://schemas.openxmlformats.org/officeDocument/2006/relationships/header" Target="header84.xml"/><Relationship Id="rId592" Type="http://schemas.openxmlformats.org/officeDocument/2006/relationships/hyperlink" Target="http://hungarologia.net" TargetMode="External"/><Relationship Id="rId606" Type="http://schemas.openxmlformats.org/officeDocument/2006/relationships/hyperlink" Target="https://users.utu.fi/jumyli/" TargetMode="External"/><Relationship Id="rId245" Type="http://schemas.openxmlformats.org/officeDocument/2006/relationships/hyperlink" Target="http://www.elisanet.fi/alkupera/Kantaurali.pdf&#8226;" TargetMode="External"/><Relationship Id="rId287" Type="http://schemas.openxmlformats.org/officeDocument/2006/relationships/diagramData" Target="diagrams/data1.xml"/><Relationship Id="rId410" Type="http://schemas.openxmlformats.org/officeDocument/2006/relationships/hyperlink" Target="http://gtweb.uit.no/korp/" TargetMode="External"/><Relationship Id="rId452" Type="http://schemas.openxmlformats.org/officeDocument/2006/relationships/image" Target="media/image20.png"/><Relationship Id="rId494" Type="http://schemas.openxmlformats.org/officeDocument/2006/relationships/header" Target="header124.xml"/><Relationship Id="rId508" Type="http://schemas.openxmlformats.org/officeDocument/2006/relationships/header" Target="header130.xml"/><Relationship Id="rId105" Type="http://schemas.openxmlformats.org/officeDocument/2006/relationships/hyperlink" Target="https://sentrooppasantra.wordpress.com/tag/usa/" TargetMode="External"/><Relationship Id="rId147" Type="http://schemas.openxmlformats.org/officeDocument/2006/relationships/hyperlink" Target="https://kielioblog.wordpress.com/tag/kielisukulaisuus/" TargetMode="External"/><Relationship Id="rId312" Type="http://schemas.openxmlformats.org/officeDocument/2006/relationships/hyperlink" Target="https://kielioblog.wordpress.com/2017/09/11/pandan-suolistoa-1-ruiksenleikkuuta-kirveksella/" TargetMode="External"/><Relationship Id="rId354" Type="http://schemas.openxmlformats.org/officeDocument/2006/relationships/hyperlink" Target="http://www.researchgate.net/profile/Mike-Cahill/publication/267786206" TargetMode="External"/><Relationship Id="rId51" Type="http://schemas.openxmlformats.org/officeDocument/2006/relationships/hyperlink" Target="https://sentrooppasantra.wordpress.com/tag/gyorgy-soros/" TargetMode="External"/><Relationship Id="rId93" Type="http://schemas.openxmlformats.org/officeDocument/2006/relationships/hyperlink" Target="https://sentrooppasantra.wordpress.com/tag/sebastian-kurz/" TargetMode="External"/><Relationship Id="rId189" Type="http://schemas.openxmlformats.org/officeDocument/2006/relationships/hyperlink" Target="https://kielioblog.wordpress.com/tag/vahemmistokielet/" TargetMode="External"/><Relationship Id="rId396" Type="http://schemas.openxmlformats.org/officeDocument/2006/relationships/hyperlink" Target="https://en.wiktionary.org/wiki/%C3%93%C3%B0inn" TargetMode="External"/><Relationship Id="rId561" Type="http://schemas.openxmlformats.org/officeDocument/2006/relationships/hyperlink" Target="https://blogs.helsinki.fi/santerijunttila/" TargetMode="External"/><Relationship Id="rId214" Type="http://schemas.openxmlformats.org/officeDocument/2006/relationships/header" Target="header31.xml"/><Relationship Id="rId256" Type="http://schemas.microsoft.com/office/2007/relationships/hdphoto" Target="media/hdphoto7.wdp"/><Relationship Id="rId298" Type="http://schemas.openxmlformats.org/officeDocument/2006/relationships/hyperlink" Target="https://jyx.jyu.fi/handle/123456789/58299" TargetMode="External"/><Relationship Id="rId421" Type="http://schemas.openxmlformats.org/officeDocument/2006/relationships/header" Target="header92.xml"/><Relationship Id="rId463" Type="http://schemas.openxmlformats.org/officeDocument/2006/relationships/header" Target="header106.xml"/><Relationship Id="rId519" Type="http://schemas.openxmlformats.org/officeDocument/2006/relationships/hyperlink" Target="https://litteraturbanken.se/f%C3%B6rfattare/W%C3%A4gnerE/titlar/Pennskaftet1910/sida/3/etext" TargetMode="External"/><Relationship Id="rId116" Type="http://schemas.openxmlformats.org/officeDocument/2006/relationships/hyperlink" Target="https://kielioblog.wordpress.com/" TargetMode="External"/><Relationship Id="rId158" Type="http://schemas.openxmlformats.org/officeDocument/2006/relationships/hyperlink" Target="https://kielioblog.wordpress.com/tag/murteet/" TargetMode="External"/><Relationship Id="rId323" Type="http://schemas.openxmlformats.org/officeDocument/2006/relationships/hyperlink" Target="http://www.riigiteataja.ee/akt/12752949" TargetMode="External"/><Relationship Id="rId530" Type="http://schemas.openxmlformats.org/officeDocument/2006/relationships/header" Target="header132.xml"/><Relationship Id="rId20" Type="http://schemas.openxmlformats.org/officeDocument/2006/relationships/image" Target="media/image2.jpeg"/><Relationship Id="rId62" Type="http://schemas.openxmlformats.org/officeDocument/2006/relationships/hyperlink" Target="https://sentrooppasantra.wordpress.com/tag/kansanaanestys/" TargetMode="External"/><Relationship Id="rId365" Type="http://schemas.openxmlformats.org/officeDocument/2006/relationships/hyperlink" Target="http://www.eki.ee/dict/ems/" TargetMode="External"/><Relationship Id="rId572" Type="http://schemas.openxmlformats.org/officeDocument/2006/relationships/hyperlink" Target="mailto:maria.anna.koestlbauer@univie.ac.at" TargetMode="External"/><Relationship Id="rId225" Type="http://schemas.openxmlformats.org/officeDocument/2006/relationships/hyperlink" Target="http://www.copius.eu/mansi" TargetMode="External"/><Relationship Id="rId267" Type="http://schemas.openxmlformats.org/officeDocument/2006/relationships/header" Target="header56.xml"/><Relationship Id="rId432" Type="http://schemas.openxmlformats.org/officeDocument/2006/relationships/hyperlink" Target="http://hdl.handle.net/11022/0000-0007-C6F2-8" TargetMode="External"/><Relationship Id="rId474" Type="http://schemas.openxmlformats.org/officeDocument/2006/relationships/header" Target="header109.xml"/><Relationship Id="rId127" Type="http://schemas.openxmlformats.org/officeDocument/2006/relationships/hyperlink" Target="https://kielioblog.wordpress.com/tag/etunimet/" TargetMode="External"/><Relationship Id="rId31" Type="http://schemas.openxmlformats.org/officeDocument/2006/relationships/header" Target="header16.xml"/><Relationship Id="rId73" Type="http://schemas.openxmlformats.org/officeDocument/2006/relationships/hyperlink" Target="https://sentrooppasantra.wordpress.com/tag/mielenosoitus/" TargetMode="External"/><Relationship Id="rId169" Type="http://schemas.openxmlformats.org/officeDocument/2006/relationships/hyperlink" Target="https://kielioblog.wordpress.com/tag/ruoka/" TargetMode="External"/><Relationship Id="rId334" Type="http://schemas.openxmlformats.org/officeDocument/2006/relationships/hyperlink" Target="https://sisu.ut.ee/sites/default/files/ranne/files/taiskasvanud_uussisserandajate_eesti_keele_opitee_mudel_redel.pdf" TargetMode="External"/><Relationship Id="rId376" Type="http://schemas.openxmlformats.org/officeDocument/2006/relationships/image" Target="media/image13.png"/><Relationship Id="rId541" Type="http://schemas.openxmlformats.org/officeDocument/2006/relationships/hyperlink" Target="mailto:matyasberes0@gmail.com" TargetMode="External"/><Relationship Id="rId583" Type="http://schemas.openxmlformats.org/officeDocument/2006/relationships/hyperlink" Target="mailto:karl.pajusalu@ut.ee" TargetMode="External"/><Relationship Id="rId4" Type="http://schemas.openxmlformats.org/officeDocument/2006/relationships/settings" Target="settings.xml"/><Relationship Id="rId180" Type="http://schemas.openxmlformats.org/officeDocument/2006/relationships/hyperlink" Target="https://kielioblog.wordpress.com/tag/sukupuoli/" TargetMode="External"/><Relationship Id="rId236" Type="http://schemas.openxmlformats.org/officeDocument/2006/relationships/hyperlink" Target="https://sanat.csc.fi/w/index.php?title=Luokka:Yhteissuomalainen_sanasto" TargetMode="External"/><Relationship Id="rId278" Type="http://schemas.openxmlformats.org/officeDocument/2006/relationships/header" Target="header60.xml"/><Relationship Id="rId401" Type="http://schemas.openxmlformats.org/officeDocument/2006/relationships/hyperlink" Target="https://www.academia.edu/download/30870121/sust264_aikio.pdf" TargetMode="External"/><Relationship Id="rId443" Type="http://schemas.openxmlformats.org/officeDocument/2006/relationships/hyperlink" Target="http://www.lapsemure.ee" TargetMode="External"/><Relationship Id="rId303" Type="http://schemas.openxmlformats.org/officeDocument/2006/relationships/header" Target="header67.xml"/><Relationship Id="rId485" Type="http://schemas.openxmlformats.org/officeDocument/2006/relationships/chart" Target="charts/chart6.xml"/><Relationship Id="rId42" Type="http://schemas.openxmlformats.org/officeDocument/2006/relationships/hyperlink" Target="https://sentrooppasantra.wordpress.com/tag/alexander-van-der-bellen/" TargetMode="External"/><Relationship Id="rId84" Type="http://schemas.openxmlformats.org/officeDocument/2006/relationships/hyperlink" Target="https://sentrooppasantra.wordpress.com/tag/perustuslaki/" TargetMode="External"/><Relationship Id="rId138" Type="http://schemas.openxmlformats.org/officeDocument/2006/relationships/hyperlink" Target="https://kielioblog.wordpress.com/tag/kantasuomi/" TargetMode="External"/><Relationship Id="rId345" Type="http://schemas.openxmlformats.org/officeDocument/2006/relationships/hyperlink" Target="http://www.matud.iif.hu/04jul/008.html" TargetMode="External"/><Relationship Id="rId387" Type="http://schemas.openxmlformats.org/officeDocument/2006/relationships/header" Target="header86.xml"/><Relationship Id="rId510" Type="http://schemas.openxmlformats.org/officeDocument/2006/relationships/image" Target="media/image29.png"/><Relationship Id="rId552" Type="http://schemas.openxmlformats.org/officeDocument/2006/relationships/hyperlink" Target="mailto:riho.grunthal@helsinki.fi" TargetMode="External"/><Relationship Id="rId594" Type="http://schemas.openxmlformats.org/officeDocument/2006/relationships/hyperlink" Target="http://researchportal.helsinki.fi/en/persons/ksenia-shagal" TargetMode="External"/><Relationship Id="rId608" Type="http://schemas.openxmlformats.org/officeDocument/2006/relationships/header" Target="header139.xml"/><Relationship Id="rId191" Type="http://schemas.openxmlformats.org/officeDocument/2006/relationships/hyperlink" Target="https://kielioblog.wordpress.com/tag/yleiskieli/" TargetMode="External"/><Relationship Id="rId205" Type="http://schemas.openxmlformats.org/officeDocument/2006/relationships/hyperlink" Target="https://kaino.kotus.fi/sms/" TargetMode="External"/><Relationship Id="rId247" Type="http://schemas.openxmlformats.org/officeDocument/2006/relationships/hyperlink" Target="https://www.antikvaari.fi/naytatuote.asp?id=1422118" TargetMode="External"/><Relationship Id="rId412" Type="http://schemas.openxmlformats.org/officeDocument/2006/relationships/hyperlink" Target="http://www.babel.gwi.uni-muenchen.de/index.php?abfrage=NM_corpus&amp;subnavi=corpus_pub" TargetMode="External"/><Relationship Id="rId107" Type="http://schemas.openxmlformats.org/officeDocument/2006/relationships/hyperlink" Target="https://sentrooppasantra.wordpress.com/tag/uusnatsit/" TargetMode="External"/><Relationship Id="rId289" Type="http://schemas.openxmlformats.org/officeDocument/2006/relationships/diagramQuickStyle" Target="diagrams/quickStyle1.xml"/><Relationship Id="rId454" Type="http://schemas.openxmlformats.org/officeDocument/2006/relationships/header" Target="header103.xml"/><Relationship Id="rId496" Type="http://schemas.openxmlformats.org/officeDocument/2006/relationships/header" Target="header126.xml"/><Relationship Id="rId11" Type="http://schemas.openxmlformats.org/officeDocument/2006/relationships/header" Target="header3.xml"/><Relationship Id="rId53" Type="http://schemas.openxmlformats.org/officeDocument/2006/relationships/hyperlink" Target="https://sentrooppasantra.wordpress.com/tag/holokausti/" TargetMode="External"/><Relationship Id="rId149" Type="http://schemas.openxmlformats.org/officeDocument/2006/relationships/hyperlink" Target="https://kielioblog.wordpress.com/tag/kielitypologia/" TargetMode="External"/><Relationship Id="rId314" Type="http://schemas.openxmlformats.org/officeDocument/2006/relationships/header" Target="header70.xml"/><Relationship Id="rId356" Type="http://schemas.openxmlformats.org/officeDocument/2006/relationships/hyperlink" Target="https://doi.org/10.1007/s10993-018-9486-2" TargetMode="External"/><Relationship Id="rId398" Type="http://schemas.openxmlformats.org/officeDocument/2006/relationships/header" Target="header87.xml"/><Relationship Id="rId521" Type="http://schemas.openxmlformats.org/officeDocument/2006/relationships/hyperlink" Target="http://www.berlinale.de/de/archiv/jahresarchive/2007/02_programm_2007/02_filmdatenblatt_2007_20074483.html" TargetMode="External"/><Relationship Id="rId563" Type="http://schemas.openxmlformats.org/officeDocument/2006/relationships/hyperlink" Target="mailto:annekatrin.kaivapalu@uef.fi" TargetMode="External"/><Relationship Id="rId95" Type="http://schemas.openxmlformats.org/officeDocument/2006/relationships/hyperlink" Target="https://sentrooppasantra.wordpress.com/tag/szilard-nemeth/" TargetMode="External"/><Relationship Id="rId160" Type="http://schemas.openxmlformats.org/officeDocument/2006/relationships/hyperlink" Target="https://kielioblog.wordpress.com/tag/omistusrakenteet/" TargetMode="External"/><Relationship Id="rId216" Type="http://schemas.openxmlformats.org/officeDocument/2006/relationships/header" Target="header33.xml"/><Relationship Id="rId423" Type="http://schemas.openxmlformats.org/officeDocument/2006/relationships/image" Target="media/image16.png"/><Relationship Id="rId258" Type="http://schemas.openxmlformats.org/officeDocument/2006/relationships/header" Target="header50.xml"/><Relationship Id="rId465" Type="http://schemas.openxmlformats.org/officeDocument/2006/relationships/hyperlink" Target="http://lehrbuch.udpi.hu/" TargetMode="External"/><Relationship Id="rId22" Type="http://schemas.openxmlformats.org/officeDocument/2006/relationships/header" Target="header11.xml"/><Relationship Id="rId64" Type="http://schemas.openxmlformats.org/officeDocument/2006/relationships/hyperlink" Target="https://sentrooppasantra.wordpress.com/tag/korkeakoulujarjestelma/" TargetMode="External"/><Relationship Id="rId118" Type="http://schemas.openxmlformats.org/officeDocument/2006/relationships/hyperlink" Target="https://kielioblog.wordpress.com/tag/astevaihtelu/" TargetMode="External"/><Relationship Id="rId325" Type="http://schemas.openxmlformats.org/officeDocument/2006/relationships/hyperlink" Target="http://www.hm.ee/sites/default/files/eesti_haridusvaldkonna_arengukava_2035_seisuga_2020.03.27.pdf" TargetMode="External"/><Relationship Id="rId367" Type="http://schemas.openxmlformats.org/officeDocument/2006/relationships/hyperlink" Target="http://www.eki.ee/dict/sp/" TargetMode="External"/><Relationship Id="rId532" Type="http://schemas.openxmlformats.org/officeDocument/2006/relationships/header" Target="header134.xml"/><Relationship Id="rId574" Type="http://schemas.openxmlformats.org/officeDocument/2006/relationships/hyperlink" Target="mailto:heini.lehtonen@helsinki.fi" TargetMode="External"/><Relationship Id="rId171" Type="http://schemas.openxmlformats.org/officeDocument/2006/relationships/hyperlink" Target="https://kielioblog.wordpress.com/tag/ruth-wodak/" TargetMode="External"/><Relationship Id="rId227" Type="http://schemas.openxmlformats.org/officeDocument/2006/relationships/hyperlink" Target="http://www.copius.eu/ortho" TargetMode="External"/><Relationship Id="rId269" Type="http://schemas.openxmlformats.org/officeDocument/2006/relationships/hyperlink" Target="https://woerterbuchnetz.de/?sigle=DWB" TargetMode="External"/><Relationship Id="rId434" Type="http://schemas.openxmlformats.org/officeDocument/2006/relationships/hyperlink" Target="https://ojs.bibl.u-szeged.hu/index.php/wpcl/issue/view/810" TargetMode="External"/><Relationship Id="rId476" Type="http://schemas.openxmlformats.org/officeDocument/2006/relationships/hyperlink" Target="http://www.kinoeye.org/03/04/interview04_no2.php" TargetMode="External"/><Relationship Id="rId33" Type="http://schemas.openxmlformats.org/officeDocument/2006/relationships/header" Target="header18.xml"/><Relationship Id="rId129" Type="http://schemas.openxmlformats.org/officeDocument/2006/relationships/hyperlink" Target="https://kielioblog.wordpress.com/tag/futuuri/" TargetMode="External"/><Relationship Id="rId280" Type="http://schemas.openxmlformats.org/officeDocument/2006/relationships/header" Target="header62.xml"/><Relationship Id="rId336" Type="http://schemas.openxmlformats.org/officeDocument/2006/relationships/header" Target="header73.xml"/><Relationship Id="rId501" Type="http://schemas.openxmlformats.org/officeDocument/2006/relationships/image" Target="media/image26.png"/><Relationship Id="rId543" Type="http://schemas.openxmlformats.org/officeDocument/2006/relationships/hyperlink" Target="mailto:rogier.blokland@moderna.uu.se" TargetMode="External"/><Relationship Id="rId75" Type="http://schemas.openxmlformats.org/officeDocument/2006/relationships/hyperlink" Target="https://sentrooppasantra.wordpress.com/tag/miklos-kasler/" TargetMode="External"/><Relationship Id="rId140" Type="http://schemas.openxmlformats.org/officeDocument/2006/relationships/hyperlink" Target="https://kielioblog.wordpress.com/tag/keija/" TargetMode="External"/><Relationship Id="rId182" Type="http://schemas.openxmlformats.org/officeDocument/2006/relationships/hyperlink" Target="https://kielioblog.wordpress.com/tag/tehokkuus/" TargetMode="External"/><Relationship Id="rId378" Type="http://schemas.openxmlformats.org/officeDocument/2006/relationships/image" Target="media/image14.png"/><Relationship Id="rId403" Type="http://schemas.openxmlformats.org/officeDocument/2006/relationships/hyperlink" Target="https://kaino.kotus.fi/sms/" TargetMode="External"/><Relationship Id="rId585" Type="http://schemas.openxmlformats.org/officeDocument/2006/relationships/hyperlink" Target="mailto:brigitta.pesti@univie.ac.at" TargetMode="External"/><Relationship Id="rId6" Type="http://schemas.openxmlformats.org/officeDocument/2006/relationships/footnotes" Target="footnotes.xml"/><Relationship Id="rId238" Type="http://schemas.openxmlformats.org/officeDocument/2006/relationships/header" Target="header41.xml"/><Relationship Id="rId445" Type="http://schemas.openxmlformats.org/officeDocument/2006/relationships/hyperlink" Target="http://www.keeleveeb.ee" TargetMode="External"/><Relationship Id="rId487" Type="http://schemas.openxmlformats.org/officeDocument/2006/relationships/header" Target="header117.xml"/><Relationship Id="rId610" Type="http://schemas.openxmlformats.org/officeDocument/2006/relationships/theme" Target="theme/theme1.xml"/><Relationship Id="rId291" Type="http://schemas.microsoft.com/office/2007/relationships/diagramDrawing" Target="diagrams/drawing1.xml"/><Relationship Id="rId305" Type="http://schemas.openxmlformats.org/officeDocument/2006/relationships/header" Target="header69.xml"/><Relationship Id="rId347" Type="http://schemas.openxmlformats.org/officeDocument/2006/relationships/hyperlink" Target="http://www.irodalomismeret.hu/files/2013_1/veszelszki_agnes.pdf" TargetMode="External"/><Relationship Id="rId512" Type="http://schemas.openxmlformats.org/officeDocument/2006/relationships/hyperlink" Target="https://www.nordicwomeninfilm.com/elin-wagner-och-filmen/" TargetMode="External"/><Relationship Id="rId44" Type="http://schemas.openxmlformats.org/officeDocument/2006/relationships/hyperlink" Target="https://sentrooppasantra.wordpress.com/tag/central-european-university/" TargetMode="External"/><Relationship Id="rId86" Type="http://schemas.openxmlformats.org/officeDocument/2006/relationships/hyperlink" Target="https://sentrooppasantra.wordpress.com/tag/populismi/" TargetMode="External"/><Relationship Id="rId151" Type="http://schemas.openxmlformats.org/officeDocument/2006/relationships/hyperlink" Target="https://kielioblog.wordpress.com/tag/lainasanat/" TargetMode="External"/><Relationship Id="rId389" Type="http://schemas.openxmlformats.org/officeDocument/2006/relationships/hyperlink" Target="https://en.wiktionary.org/wiki/%C3%93%C3%B0inn" TargetMode="External"/><Relationship Id="rId554" Type="http://schemas.openxmlformats.org/officeDocument/2006/relationships/hyperlink" Target="mailto:hars@lit.u-szeged.hu" TargetMode="External"/><Relationship Id="rId596" Type="http://schemas.openxmlformats.org/officeDocument/2006/relationships/hyperlink" Target="mailto:skribnik@lmu.de" TargetMode="External"/><Relationship Id="rId193" Type="http://schemas.openxmlformats.org/officeDocument/2006/relationships/hyperlink" Target="https://homepage.univie.ac.at/johanna.laakso/?page_id=94" TargetMode="External"/><Relationship Id="rId207" Type="http://schemas.openxmlformats.org/officeDocument/2006/relationships/header" Target="header25.xml"/><Relationship Id="rId249" Type="http://schemas.openxmlformats.org/officeDocument/2006/relationships/header" Target="header47.xml"/><Relationship Id="rId414" Type="http://schemas.openxmlformats.org/officeDocument/2006/relationships/hyperlink" Target="https://foorum.naistekas.delfi.ee/" TargetMode="External"/><Relationship Id="rId456" Type="http://schemas.openxmlformats.org/officeDocument/2006/relationships/image" Target="media/image21.jpeg"/><Relationship Id="rId498" Type="http://schemas.openxmlformats.org/officeDocument/2006/relationships/header" Target="header128.xml"/><Relationship Id="rId13" Type="http://schemas.openxmlformats.org/officeDocument/2006/relationships/header" Target="header4.xml"/><Relationship Id="rId109" Type="http://schemas.openxmlformats.org/officeDocument/2006/relationships/hyperlink" Target="https://sentrooppasantra.wordpress.com/tag/venaja/" TargetMode="External"/><Relationship Id="rId260" Type="http://schemas.openxmlformats.org/officeDocument/2006/relationships/hyperlink" Target="http://hdl.handle.net/11022/0000-0007-D009-4" TargetMode="External"/><Relationship Id="rId316" Type="http://schemas.openxmlformats.org/officeDocument/2006/relationships/header" Target="header72.xml"/><Relationship Id="rId523" Type="http://schemas.openxmlformats.org/officeDocument/2006/relationships/hyperlink" Target="https://www.bokus.com/bok/9789189196506/norrtullsligan/" TargetMode="External"/><Relationship Id="rId55" Type="http://schemas.openxmlformats.org/officeDocument/2006/relationships/hyperlink" Target="https://sentrooppasantra.wordpress.com/tag/illiberaali-demokratia/" TargetMode="External"/><Relationship Id="rId97" Type="http://schemas.openxmlformats.org/officeDocument/2006/relationships/hyperlink" Target="https://sentrooppasantra.wordpress.com/tag/tasa-arvo/" TargetMode="External"/><Relationship Id="rId120" Type="http://schemas.openxmlformats.org/officeDocument/2006/relationships/hyperlink" Target="https://kielioblog.wordpress.com/tag/aurinko/" TargetMode="External"/><Relationship Id="rId358" Type="http://schemas.openxmlformats.org/officeDocument/2006/relationships/hyperlink" Target="http://www.umaleht.ee/umaarhiiv/suk/suvkerg.htm" TargetMode="External"/><Relationship Id="rId565" Type="http://schemas.openxmlformats.org/officeDocument/2006/relationships/hyperlink" Target="mailto:petri.kallio@helsinki.fi" TargetMode="External"/><Relationship Id="rId162" Type="http://schemas.openxmlformats.org/officeDocument/2006/relationships/hyperlink" Target="https://kielioblog.wordpress.com/tag/petolliset-ystavat/" TargetMode="External"/><Relationship Id="rId218" Type="http://schemas.openxmlformats.org/officeDocument/2006/relationships/hyperlink" Target="http://www.copius.eu" TargetMode="External"/><Relationship Id="rId425" Type="http://schemas.openxmlformats.org/officeDocument/2006/relationships/image" Target="media/image18.png"/><Relationship Id="rId467" Type="http://schemas.openxmlformats.org/officeDocument/2006/relationships/hyperlink" Target="http://www.suevia-pannonica.de/archiv/archiv2001.pdf" TargetMode="External"/><Relationship Id="rId271" Type="http://schemas.openxmlformats.org/officeDocument/2006/relationships/hyperlink" Target="https://www.stat.ee/nimed/TOP_AASTAD" TargetMode="External"/><Relationship Id="rId24" Type="http://schemas.openxmlformats.org/officeDocument/2006/relationships/image" Target="media/image3.png"/><Relationship Id="rId66" Type="http://schemas.openxmlformats.org/officeDocument/2006/relationships/hyperlink" Target="https://sentrooppasantra.wordpress.com/tag/korruptio/" TargetMode="External"/><Relationship Id="rId131" Type="http://schemas.openxmlformats.org/officeDocument/2006/relationships/hyperlink" Target="https://kielioblog.wordpress.com/tag/historia/" TargetMode="External"/><Relationship Id="rId327" Type="http://schemas.openxmlformats.org/officeDocument/2006/relationships/hyperlink" Target="https://www.riigiteataja.ee/akt/119032019012" TargetMode="External"/><Relationship Id="rId369" Type="http://schemas.openxmlformats.org/officeDocument/2006/relationships/hyperlink" Target="http://www.folklore.ee/justkui/andmebaas.php" TargetMode="External"/><Relationship Id="rId534" Type="http://schemas.openxmlformats.org/officeDocument/2006/relationships/header" Target="header136.xml"/><Relationship Id="rId576" Type="http://schemas.openxmlformats.org/officeDocument/2006/relationships/hyperlink" Target="file:///I:\STUDIUM%20NEU%20C+P%202016-11-29%20-%20ZUM%20WEITERARBEITEN\Festschrift%20Johanna%20Laakso\www.textperfekt.at" TargetMode="External"/><Relationship Id="rId173" Type="http://schemas.openxmlformats.org/officeDocument/2006/relationships/hyperlink" Target="https://kielioblog.wordpress.com/tag/saksa/" TargetMode="External"/><Relationship Id="rId229" Type="http://schemas.openxmlformats.org/officeDocument/2006/relationships/hyperlink" Target="http://www.copius.eu/biblio" TargetMode="External"/><Relationship Id="rId380" Type="http://schemas.openxmlformats.org/officeDocument/2006/relationships/hyperlink" Target="https://iling.spb.ru/confs/minorlang2017/abstracts.pdf" TargetMode="External"/><Relationship Id="rId436" Type="http://schemas.openxmlformats.org/officeDocument/2006/relationships/header" Target="header97.xml"/><Relationship Id="rId601" Type="http://schemas.openxmlformats.org/officeDocument/2006/relationships/hyperlink" Target="mailto:beata.wagner-nagy@uni-hamburg.de" TargetMode="External"/><Relationship Id="rId240" Type="http://schemas.openxmlformats.org/officeDocument/2006/relationships/header" Target="header43.xml"/><Relationship Id="rId478" Type="http://schemas.openxmlformats.org/officeDocument/2006/relationships/header" Target="header112.xml"/><Relationship Id="rId35" Type="http://schemas.openxmlformats.org/officeDocument/2006/relationships/hyperlink" Target="https://finno-ugristik.univie.ac.at/ueber-uns/mitarbeiterinnen/laakso/" TargetMode="External"/><Relationship Id="rId77" Type="http://schemas.openxmlformats.org/officeDocument/2006/relationships/hyperlink" Target="https://sentrooppasantra.wordpress.com/tag/maria-schmidt/" TargetMode="External"/><Relationship Id="rId100" Type="http://schemas.openxmlformats.org/officeDocument/2006/relationships/hyperlink" Target="https://sentrooppasantra.wordpress.com/tag/terveydenhuolto/" TargetMode="External"/><Relationship Id="rId282" Type="http://schemas.openxmlformats.org/officeDocument/2006/relationships/header" Target="header63.xml"/><Relationship Id="rId338" Type="http://schemas.openxmlformats.org/officeDocument/2006/relationships/header" Target="header75.xml"/><Relationship Id="rId503" Type="http://schemas.openxmlformats.org/officeDocument/2006/relationships/image" Target="media/image27.png"/><Relationship Id="rId545" Type="http://schemas.openxmlformats.org/officeDocument/2006/relationships/hyperlink" Target="http://www.mari-language.com" TargetMode="External"/><Relationship Id="rId587" Type="http://schemas.openxmlformats.org/officeDocument/2006/relationships/hyperlink" Target="https://lidivoka.univie.ac.at" TargetMode="External"/><Relationship Id="rId8" Type="http://schemas.openxmlformats.org/officeDocument/2006/relationships/header" Target="header1.xml"/><Relationship Id="rId142" Type="http://schemas.openxmlformats.org/officeDocument/2006/relationships/hyperlink" Target="https://kielioblog.wordpress.com/tag/kielenhuolto/" TargetMode="External"/><Relationship Id="rId184" Type="http://schemas.openxmlformats.org/officeDocument/2006/relationships/hyperlink" Target="https://kielioblog.wordpress.com/tag/ulkosuomalaiset/" TargetMode="External"/><Relationship Id="rId391" Type="http://schemas.openxmlformats.org/officeDocument/2006/relationships/hyperlink" Target="https://en.wiktionary.org/wiki/Reconstruction:Proto-Germanic/w%C5%8Ddaz" TargetMode="External"/><Relationship Id="rId405" Type="http://schemas.openxmlformats.org/officeDocument/2006/relationships/hyperlink" Target="https://en.wikipedia.org/wiki/Jan_de_Vries_(linguist)" TargetMode="External"/><Relationship Id="rId447" Type="http://schemas.openxmlformats.org/officeDocument/2006/relationships/hyperlink" Target="http://lonnrot.finlit.fi/omeka/items/show/966" TargetMode="External"/><Relationship Id="rId251" Type="http://schemas.openxmlformats.org/officeDocument/2006/relationships/image" Target="media/image9.png"/><Relationship Id="rId489" Type="http://schemas.openxmlformats.org/officeDocument/2006/relationships/header" Target="header119.xml"/><Relationship Id="rId46" Type="http://schemas.openxmlformats.org/officeDocument/2006/relationships/hyperlink" Target="https://sentrooppasantra.wordpress.com/tag/eu/" TargetMode="External"/><Relationship Id="rId293" Type="http://schemas.openxmlformats.org/officeDocument/2006/relationships/diagramLayout" Target="diagrams/layout2.xml"/><Relationship Id="rId307" Type="http://schemas.openxmlformats.org/officeDocument/2006/relationships/chart" Target="charts/chart2.xml"/><Relationship Id="rId349" Type="http://schemas.openxmlformats.org/officeDocument/2006/relationships/hyperlink" Target="https://fran.si/130/sskj-slovar-slovenskega-knjiznega-jezika" TargetMode="External"/><Relationship Id="rId514" Type="http://schemas.openxmlformats.org/officeDocument/2006/relationships/hyperlink" Target="https://skbl.se/en/article/ElinWagner" TargetMode="External"/><Relationship Id="rId556" Type="http://schemas.openxmlformats.org/officeDocument/2006/relationships/hyperlink" Target="mailto:johannes.hirvonen@univie.ac.at" TargetMode="External"/><Relationship Id="rId88" Type="http://schemas.openxmlformats.org/officeDocument/2006/relationships/hyperlink" Target="https://sentrooppasantra.wordpress.com/tag/pal-schmitt/" TargetMode="External"/><Relationship Id="rId111" Type="http://schemas.openxmlformats.org/officeDocument/2006/relationships/hyperlink" Target="https://sentrooppasantra.wordpress.com/tag/viktor-orban/" TargetMode="External"/><Relationship Id="rId153" Type="http://schemas.openxmlformats.org/officeDocument/2006/relationships/hyperlink" Target="https://kielioblog.wordpress.com/tag/liivi/" TargetMode="External"/><Relationship Id="rId195" Type="http://schemas.openxmlformats.org/officeDocument/2006/relationships/image" Target="media/image6.png"/><Relationship Id="rId209" Type="http://schemas.openxmlformats.org/officeDocument/2006/relationships/header" Target="header27.xml"/><Relationship Id="rId360" Type="http://schemas.openxmlformats.org/officeDocument/2006/relationships/header" Target="header80.xml"/><Relationship Id="rId416" Type="http://schemas.openxmlformats.org/officeDocument/2006/relationships/hyperlink" Target="https://www.kielikello.fi/-/kaunotar-elaa-laamannitar-on-kuollut" TargetMode="External"/><Relationship Id="rId598" Type="http://schemas.openxmlformats.org/officeDocument/2006/relationships/hyperlink" Target="mailto:triinu.viilukas@univie.ac.at" TargetMode="External"/><Relationship Id="rId220" Type="http://schemas.openxmlformats.org/officeDocument/2006/relationships/hyperlink" Target="http://www.copius.eu/mari" TargetMode="External"/><Relationship Id="rId458" Type="http://schemas.openxmlformats.org/officeDocument/2006/relationships/image" Target="media/image23.png"/><Relationship Id="rId15" Type="http://schemas.openxmlformats.org/officeDocument/2006/relationships/header" Target="header6.xml"/><Relationship Id="rId57" Type="http://schemas.openxmlformats.org/officeDocument/2006/relationships/hyperlink" Target="https://sentrooppasantra.wordpress.com/tag/jalkapallo/" TargetMode="External"/><Relationship Id="rId262" Type="http://schemas.openxmlformats.org/officeDocument/2006/relationships/hyperlink" Target="https://khanty-yasang.ru/" TargetMode="External"/><Relationship Id="rId318" Type="http://schemas.openxmlformats.org/officeDocument/2006/relationships/hyperlink" Target="http://ekn.hm.ee/system/files/Eesti_keele_arengukava_2011-2017_0.pdf" TargetMode="External"/><Relationship Id="rId525" Type="http://schemas.openxmlformats.org/officeDocument/2006/relationships/hyperlink" Target="http://www.stockholmstories.se/2014/05/01/norrtullsligan-kvinnliga-rebeller-i-vasastan/" TargetMode="External"/><Relationship Id="rId567" Type="http://schemas.openxmlformats.org/officeDocument/2006/relationships/hyperlink" Target="mailto:ilona.kivinen@helsinki.fi" TargetMode="External"/><Relationship Id="rId99" Type="http://schemas.openxmlformats.org/officeDocument/2006/relationships/hyperlink" Target="https://sentrooppasantra.wordpress.com/tag/terrorismi/" TargetMode="External"/><Relationship Id="rId122" Type="http://schemas.openxmlformats.org/officeDocument/2006/relationships/hyperlink" Target="https://kielioblog.wordpress.com/tag/deminutiivit/" TargetMode="External"/><Relationship Id="rId164" Type="http://schemas.openxmlformats.org/officeDocument/2006/relationships/hyperlink" Target="https://kielioblog.wordpress.com/tag/populismi/" TargetMode="External"/><Relationship Id="rId371" Type="http://schemas.openxmlformats.org/officeDocument/2006/relationships/hyperlink" Target="https://www.etis.ee/Portal/Publications/Display/3e05c32b-6976-45ce-86f5-3b5c99f11baf" TargetMode="External"/><Relationship Id="rId427" Type="http://schemas.microsoft.com/office/2007/relationships/hdphoto" Target="media/hdphoto10.wdp"/><Relationship Id="rId469" Type="http://schemas.openxmlformats.org/officeDocument/2006/relationships/hyperlink" Target="http://www.inst.at/trans/3Nr/propszt.htm" TargetMode="External"/><Relationship Id="rId26" Type="http://schemas.openxmlformats.org/officeDocument/2006/relationships/header" Target="header13.xml"/><Relationship Id="rId231" Type="http://schemas.openxmlformats.org/officeDocument/2006/relationships/header" Target="header35.xml"/><Relationship Id="rId273" Type="http://schemas.openxmlformats.org/officeDocument/2006/relationships/hyperlink" Target="http://www.eki.ee/dict/ekss/" TargetMode="External"/><Relationship Id="rId329" Type="http://schemas.openxmlformats.org/officeDocument/2006/relationships/hyperlink" Target="http://www.hm.ee/sites/default/files/7_korgharidusprogramm_2019-2022_4okt18.pdf" TargetMode="External"/><Relationship Id="rId480" Type="http://schemas.openxmlformats.org/officeDocument/2006/relationships/hyperlink" Target="http://www.tereziamora.de/downloads/Kreter-Spiel.pdf" TargetMode="External"/><Relationship Id="rId536" Type="http://schemas.openxmlformats.org/officeDocument/2006/relationships/image" Target="media/image30.png"/><Relationship Id="rId68" Type="http://schemas.openxmlformats.org/officeDocument/2006/relationships/hyperlink" Target="https://sentrooppasantra.wordpress.com/tag/lapset/" TargetMode="External"/><Relationship Id="rId133" Type="http://schemas.openxmlformats.org/officeDocument/2006/relationships/hyperlink" Target="https://kielioblog.wordpress.com/tag/inhokkisanat/" TargetMode="External"/><Relationship Id="rId175" Type="http://schemas.openxmlformats.org/officeDocument/2006/relationships/hyperlink" Target="https://kielioblog.wordpress.com/tag/sananmuodostus/" TargetMode="External"/><Relationship Id="rId340" Type="http://schemas.openxmlformats.org/officeDocument/2006/relationships/hyperlink" Target="http://termini.nytud.hu/htonline/present.php?action=bemutatas" TargetMode="External"/><Relationship Id="rId578" Type="http://schemas.openxmlformats.org/officeDocument/2006/relationships/hyperlink" Target="mailto:wolfgang.mueller-funk@univie.ac.at" TargetMode="External"/><Relationship Id="rId200" Type="http://schemas.openxmlformats.org/officeDocument/2006/relationships/header" Target="header22.xml"/><Relationship Id="rId382" Type="http://schemas.openxmlformats.org/officeDocument/2006/relationships/hyperlink" Target="http://www.perepis2002.ru/index.html?id=11" TargetMode="External"/><Relationship Id="rId438" Type="http://schemas.openxmlformats.org/officeDocument/2006/relationships/hyperlink" Target="http://www.hambaarst.ee" TargetMode="External"/><Relationship Id="rId603" Type="http://schemas.openxmlformats.org/officeDocument/2006/relationships/hyperlink" Target="mailto:katalin.wirker-dobany@univie.ac.at" TargetMode="External"/><Relationship Id="rId242" Type="http://schemas.openxmlformats.org/officeDocument/2006/relationships/header" Target="header45.xml"/><Relationship Id="rId284" Type="http://schemas.openxmlformats.org/officeDocument/2006/relationships/hyperlink" Target="http://satni.org/sammallahtismefin/" TargetMode="External"/><Relationship Id="rId491" Type="http://schemas.openxmlformats.org/officeDocument/2006/relationships/header" Target="header121.xml"/><Relationship Id="rId505" Type="http://schemas.openxmlformats.org/officeDocument/2006/relationships/image" Target="media/image28.png"/><Relationship Id="rId37" Type="http://schemas.microsoft.com/office/2007/relationships/hdphoto" Target="media/hdphoto2.wdp"/><Relationship Id="rId79" Type="http://schemas.openxmlformats.org/officeDocument/2006/relationships/hyperlink" Target="https://sentrooppasantra.wordpress.com/tag/norbert-hofer/" TargetMode="External"/><Relationship Id="rId102" Type="http://schemas.openxmlformats.org/officeDocument/2006/relationships/hyperlink" Target="https://sentrooppasantra.wordpress.com/tag/toinen-maailmansota/" TargetMode="External"/><Relationship Id="rId144" Type="http://schemas.openxmlformats.org/officeDocument/2006/relationships/hyperlink" Target="https://kielioblog.wordpress.com/tag/kielihistoria/" TargetMode="External"/><Relationship Id="rId547" Type="http://schemas.openxmlformats.org/officeDocument/2006/relationships/hyperlink" Target="mailto:domokos.johanna@kre.hu" TargetMode="External"/><Relationship Id="rId589" Type="http://schemas.openxmlformats.org/officeDocument/2006/relationships/hyperlink" Target="mailto:janne.saarikivi@helsinki.fi" TargetMode="External"/><Relationship Id="rId90" Type="http://schemas.openxmlformats.org/officeDocument/2006/relationships/hyperlink" Target="https://sentrooppasantra.wordpress.com/tag/rikollisuus/" TargetMode="External"/><Relationship Id="rId186" Type="http://schemas.openxmlformats.org/officeDocument/2006/relationships/hyperlink" Target="https://kielioblog.wordpress.com/tag/uudissanat/" TargetMode="External"/><Relationship Id="rId351" Type="http://schemas.openxmlformats.org/officeDocument/2006/relationships/header" Target="header77.xml"/><Relationship Id="rId393" Type="http://schemas.openxmlformats.org/officeDocument/2006/relationships/hyperlink" Target="https://en.wikipedia.org/wiki/Vates" TargetMode="External"/><Relationship Id="rId407" Type="http://schemas.openxmlformats.org/officeDocument/2006/relationships/hyperlink" Target="http://www.sketchengine.eu/ettenten-estonian-corpus/" TargetMode="External"/><Relationship Id="rId449" Type="http://schemas.openxmlformats.org/officeDocument/2006/relationships/header" Target="header99.xml"/><Relationship Id="rId211" Type="http://schemas.openxmlformats.org/officeDocument/2006/relationships/header" Target="header28.xml"/><Relationship Id="rId253" Type="http://schemas.openxmlformats.org/officeDocument/2006/relationships/image" Target="media/image10.png"/><Relationship Id="rId295" Type="http://schemas.openxmlformats.org/officeDocument/2006/relationships/diagramColors" Target="diagrams/colors2.xml"/><Relationship Id="rId309" Type="http://schemas.openxmlformats.org/officeDocument/2006/relationships/chart" Target="charts/chart4.xml"/><Relationship Id="rId460" Type="http://schemas.openxmlformats.org/officeDocument/2006/relationships/hyperlink" Target="http://www.kreis-guetersloh.de/unser-kreis/kreisarchiv/ausstellungen/vergangene-ausstellung-boeckstiegel-schreibt/" TargetMode="External"/><Relationship Id="rId516" Type="http://schemas.openxmlformats.org/officeDocument/2006/relationships/hyperlink" Target="http://sh.diva-portal.org/smash/get/diva2:462435/FULLTEXT01.pdf" TargetMode="External"/><Relationship Id="rId48" Type="http://schemas.openxmlformats.org/officeDocument/2006/relationships/hyperlink" Target="https://sentrooppasantra.wordpress.com/tag/fidesz/" TargetMode="External"/><Relationship Id="rId113" Type="http://schemas.openxmlformats.org/officeDocument/2006/relationships/hyperlink" Target="https://sentrooppasantra.wordpress.com/tag/vakivalta/" TargetMode="External"/><Relationship Id="rId320" Type="http://schemas.openxmlformats.org/officeDocument/2006/relationships/hyperlink" Target="http://ekn.hm.ee/system/files/strat_et.pdf" TargetMode="External"/><Relationship Id="rId558" Type="http://schemas.openxmlformats.org/officeDocument/2006/relationships/hyperlink" Target="mailto:sampsa.petteri.holopainen@univie.ac.at" TargetMode="External"/><Relationship Id="rId155" Type="http://schemas.openxmlformats.org/officeDocument/2006/relationships/hyperlink" Target="https://kielioblog.wordpress.com/tag/maahanmuuttajat/" TargetMode="External"/><Relationship Id="rId197" Type="http://schemas.openxmlformats.org/officeDocument/2006/relationships/header" Target="header19.xml"/><Relationship Id="rId362" Type="http://schemas.openxmlformats.org/officeDocument/2006/relationships/hyperlink" Target="https://luuletused.score.ee/onn" TargetMode="External"/><Relationship Id="rId418" Type="http://schemas.openxmlformats.org/officeDocument/2006/relationships/hyperlink" Target="https://webfu.univie.ac.at/texte/tainio.pdf" TargetMode="External"/><Relationship Id="rId222" Type="http://schemas.openxmlformats.org/officeDocument/2006/relationships/hyperlink" Target="http://www.copius.eu/field" TargetMode="External"/><Relationship Id="rId264" Type="http://schemas.openxmlformats.org/officeDocument/2006/relationships/header" Target="header53.xml"/><Relationship Id="rId471" Type="http://schemas.openxmlformats.org/officeDocument/2006/relationships/hyperlink" Target="http://www.ungarndeutsche.de/de/cms/uploads/ungarndeutsche%20Literatur_D%20Szabo.pdf" TargetMode="External"/><Relationship Id="rId17" Type="http://schemas.openxmlformats.org/officeDocument/2006/relationships/header" Target="header8.xml"/><Relationship Id="rId59" Type="http://schemas.openxmlformats.org/officeDocument/2006/relationships/hyperlink" Target="https://sentrooppasantra.wordpress.com/tag/janos-lazar/" TargetMode="External"/><Relationship Id="rId124" Type="http://schemas.openxmlformats.org/officeDocument/2006/relationships/hyperlink" Target="https://kielioblog.wordpress.com/tag/diskurssi/" TargetMode="External"/><Relationship Id="rId527" Type="http://schemas.openxmlformats.org/officeDocument/2006/relationships/hyperlink" Target="http://www.svenskfilmdatabas.se/sv/item/?type=film&amp;itemid=3561" TargetMode="External"/><Relationship Id="rId569" Type="http://schemas.openxmlformats.org/officeDocument/2006/relationships/hyperlink" Target="mailto:karoly.kokai@univie.ac.at" TargetMode="External"/><Relationship Id="rId70" Type="http://schemas.openxmlformats.org/officeDocument/2006/relationships/hyperlink" Target="https://sentrooppasantra.wordpress.com/tag/maahanmuuttajat/" TargetMode="External"/><Relationship Id="rId166" Type="http://schemas.openxmlformats.org/officeDocument/2006/relationships/hyperlink" Target="https://kielioblog.wordpress.com/tag/pulju/" TargetMode="External"/><Relationship Id="rId331" Type="http://schemas.openxmlformats.org/officeDocument/2006/relationships/hyperlink" Target="https://dspace.ut.ee/bitstream/handle/10062/56511/Aruanne_2017.pdf" TargetMode="External"/><Relationship Id="rId373" Type="http://schemas.openxmlformats.org/officeDocument/2006/relationships/header" Target="header81.xml"/><Relationship Id="rId429" Type="http://schemas.openxmlformats.org/officeDocument/2006/relationships/header" Target="header94.xml"/><Relationship Id="rId580" Type="http://schemas.openxmlformats.org/officeDocument/2006/relationships/hyperlink" Target="mailto:merit.niinemagi@ut.ee" TargetMode="External"/><Relationship Id="rId1" Type="http://schemas.openxmlformats.org/officeDocument/2006/relationships/customXml" Target="../customXml/item1.xml"/><Relationship Id="rId233" Type="http://schemas.openxmlformats.org/officeDocument/2006/relationships/header" Target="header37.xml"/><Relationship Id="rId440" Type="http://schemas.openxmlformats.org/officeDocument/2006/relationships/hyperlink" Target="http://www.admiralmarkets.ee" TargetMode="External"/><Relationship Id="rId28" Type="http://schemas.openxmlformats.org/officeDocument/2006/relationships/header" Target="header15.xml"/><Relationship Id="rId275" Type="http://schemas.openxmlformats.org/officeDocument/2006/relationships/hyperlink" Target="http://www.europarl.europa.eu/RegData/publications/2009/0001/P6_PUB%282009%290001_ET.pdf" TargetMode="External"/><Relationship Id="rId300" Type="http://schemas.openxmlformats.org/officeDocument/2006/relationships/header" Target="header64.xml"/><Relationship Id="rId482" Type="http://schemas.openxmlformats.org/officeDocument/2006/relationships/header" Target="header114.xml"/><Relationship Id="rId538" Type="http://schemas.openxmlformats.org/officeDocument/2006/relationships/hyperlink" Target="mailto:bakro@nytud.hu" TargetMode="External"/><Relationship Id="rId81" Type="http://schemas.openxmlformats.org/officeDocument/2006/relationships/hyperlink" Target="https://sentrooppasantra.wordpress.com/tag/pakolaiskriisi/" TargetMode="External"/><Relationship Id="rId135" Type="http://schemas.openxmlformats.org/officeDocument/2006/relationships/hyperlink" Target="https://kielioblog.wordpress.com/tag/kakku/" TargetMode="External"/><Relationship Id="rId177" Type="http://schemas.openxmlformats.org/officeDocument/2006/relationships/hyperlink" Target="https://kielioblog.wordpress.com/tag/sanonnat/" TargetMode="External"/><Relationship Id="rId342" Type="http://schemas.openxmlformats.org/officeDocument/2006/relationships/hyperlink" Target="https://nepujsag.net/" TargetMode="External"/><Relationship Id="rId384" Type="http://schemas.openxmlformats.org/officeDocument/2006/relationships/hyperlink" Target="http://download.hebrewbooks.org/downloadhandler.ashx?req=43629" TargetMode="External"/><Relationship Id="rId591" Type="http://schemas.openxmlformats.org/officeDocument/2006/relationships/hyperlink" Target="mailto:andrea.seidler@univie.ac.at" TargetMode="External"/><Relationship Id="rId605" Type="http://schemas.openxmlformats.org/officeDocument/2006/relationships/hyperlink" Target="mailto:jussi.ylikoski@utu.fi" TargetMode="External"/><Relationship Id="rId202" Type="http://schemas.openxmlformats.org/officeDocument/2006/relationships/header" Target="header24.xml"/><Relationship Id="rId244" Type="http://schemas.openxmlformats.org/officeDocument/2006/relationships/hyperlink" Target="https://pure.mpg.de/rest/items/item_408269/component/file_408267/content" TargetMode="External"/><Relationship Id="rId39" Type="http://schemas.microsoft.com/office/2007/relationships/hdphoto" Target="media/hdphoto3.wdp"/><Relationship Id="rId286" Type="http://schemas.openxmlformats.org/officeDocument/2006/relationships/image" Target="media/image12.png"/><Relationship Id="rId451" Type="http://schemas.openxmlformats.org/officeDocument/2006/relationships/header" Target="header101.xml"/><Relationship Id="rId493" Type="http://schemas.openxmlformats.org/officeDocument/2006/relationships/header" Target="header123.xml"/><Relationship Id="rId507" Type="http://schemas.openxmlformats.org/officeDocument/2006/relationships/header" Target="header129.xml"/><Relationship Id="rId549" Type="http://schemas.openxmlformats.org/officeDocument/2006/relationships/hyperlink" Target="https://btk.kre.hu/index.php/domokos-johanna" TargetMode="External"/><Relationship Id="rId50" Type="http://schemas.openxmlformats.org/officeDocument/2006/relationships/hyperlink" Target="https://sentrooppasantra.wordpress.com/tag/gender/" TargetMode="External"/><Relationship Id="rId104" Type="http://schemas.openxmlformats.org/officeDocument/2006/relationships/hyperlink" Target="https://sentrooppasantra.wordpress.com/tag/urheilu/" TargetMode="External"/><Relationship Id="rId146" Type="http://schemas.openxmlformats.org/officeDocument/2006/relationships/hyperlink" Target="https://kielioblog.wordpress.com/tag/kielirasismi/" TargetMode="External"/><Relationship Id="rId188" Type="http://schemas.openxmlformats.org/officeDocument/2006/relationships/hyperlink" Target="https://kielioblog.wordpress.com/tag/viro/" TargetMode="External"/><Relationship Id="rId311" Type="http://schemas.openxmlformats.org/officeDocument/2006/relationships/hyperlink" Target="https://finland.fi/life-society/is-finnish-a-difficult-language/" TargetMode="External"/><Relationship Id="rId353" Type="http://schemas.openxmlformats.org/officeDocument/2006/relationships/hyperlink" Target="https://doi.org/10.11649/a.1968" TargetMode="External"/><Relationship Id="rId395" Type="http://schemas.openxmlformats.org/officeDocument/2006/relationships/hyperlink" Target="https://en.wiktionary.org/wiki/%C3%93%C3%B0inn" TargetMode="External"/><Relationship Id="rId409" Type="http://schemas.openxmlformats.org/officeDocument/2006/relationships/hyperlink" Target="http://clara.nytud.hu/mnsz2-dev/" TargetMode="External"/><Relationship Id="rId560" Type="http://schemas.openxmlformats.org/officeDocument/2006/relationships/hyperlink" Target="mailto:santeri.junttila@iki.fi" TargetMode="External"/><Relationship Id="rId92" Type="http://schemas.openxmlformats.org/officeDocument/2006/relationships/hyperlink" Target="https://sentrooppasantra.wordpress.com/tag/sananvapaus/" TargetMode="External"/><Relationship Id="rId213" Type="http://schemas.openxmlformats.org/officeDocument/2006/relationships/header" Target="header30.xml"/><Relationship Id="rId420" Type="http://schemas.openxmlformats.org/officeDocument/2006/relationships/header" Target="header91.xml"/><Relationship Id="rId255" Type="http://schemas.openxmlformats.org/officeDocument/2006/relationships/image" Target="media/image11.png"/><Relationship Id="rId297" Type="http://schemas.openxmlformats.org/officeDocument/2006/relationships/hyperlink" Target="http://www.kieliverkosto.fi/fi/journals/kieli-koulutus-ja-yhteiskunta-maaliskuu-2019/mita-on-kielitietoisuus-ja-miten-se-nakyy-koulussa" TargetMode="External"/><Relationship Id="rId462" Type="http://schemas.openxmlformats.org/officeDocument/2006/relationships/header" Target="header105.xml"/><Relationship Id="rId518" Type="http://schemas.openxmlformats.org/officeDocument/2006/relationships/hyperlink" Target="https://litteraturbanken.se/f%C3%B6rfattare/W%C3%A4gnerE/titlar/Norrtullsligan/sida/III/etext" TargetMode="External"/><Relationship Id="rId115" Type="http://schemas.openxmlformats.org/officeDocument/2006/relationships/hyperlink" Target="https://sentrooppasantra.wordpress.com/tag/zsolt-semjen/" TargetMode="External"/><Relationship Id="rId157" Type="http://schemas.openxmlformats.org/officeDocument/2006/relationships/hyperlink" Target="https://kielioblog.wordpress.com/tag/muoti/" TargetMode="External"/><Relationship Id="rId322" Type="http://schemas.openxmlformats.org/officeDocument/2006/relationships/hyperlink" Target="http://www.hm.ee/sites/default/files/k6rghariduse_rahvusvahelistumise_strateegia.pdf" TargetMode="External"/><Relationship Id="rId364" Type="http://schemas.openxmlformats.org/officeDocument/2006/relationships/hyperlink" Target="http://www.eki.ee/dict/ekss/" TargetMode="External"/><Relationship Id="rId61" Type="http://schemas.openxmlformats.org/officeDocument/2006/relationships/hyperlink" Target="https://sentrooppasantra.wordpress.com/tag/kansallinen-konsultaatio/" TargetMode="External"/><Relationship Id="rId199" Type="http://schemas.openxmlformats.org/officeDocument/2006/relationships/header" Target="header21.xml"/><Relationship Id="rId571" Type="http://schemas.openxmlformats.org/officeDocument/2006/relationships/hyperlink" Target="mailto:kadri.koreinik@ut.ee" TargetMode="External"/><Relationship Id="rId19" Type="http://schemas.openxmlformats.org/officeDocument/2006/relationships/image" Target="media/image1.png"/><Relationship Id="rId224" Type="http://schemas.openxmlformats.org/officeDocument/2006/relationships/hyperlink" Target="http://www.copius.eu/lessons/" TargetMode="External"/><Relationship Id="rId266" Type="http://schemas.openxmlformats.org/officeDocument/2006/relationships/header" Target="header55.xml"/><Relationship Id="rId431" Type="http://schemas.openxmlformats.org/officeDocument/2006/relationships/hyperlink" Target="http://www.thoughtco.com/anatomical-directional-terms-and-body-planes-373204" TargetMode="External"/><Relationship Id="rId473" Type="http://schemas.openxmlformats.org/officeDocument/2006/relationships/header" Target="header108.xml"/><Relationship Id="rId529" Type="http://schemas.openxmlformats.org/officeDocument/2006/relationships/hyperlink" Target="https://biblioteket.stockholm.se/artikel/stockholm-l&#228;ser" TargetMode="External"/><Relationship Id="rId30" Type="http://schemas.openxmlformats.org/officeDocument/2006/relationships/hyperlink" Target="https://hungarianspectrum.org/2018/09/10/oops-it-went-viral-johanna-laaksos-analysis-of-orbans-claim-of-turkic-origin-of-hungarian/" TargetMode="External"/><Relationship Id="rId126" Type="http://schemas.openxmlformats.org/officeDocument/2006/relationships/hyperlink" Target="https://kielioblog.wordpress.com/tag/englanti/" TargetMode="External"/><Relationship Id="rId168" Type="http://schemas.openxmlformats.org/officeDocument/2006/relationships/hyperlink" Target="https://kielioblog.wordpress.com/tag/rasismi/" TargetMode="External"/><Relationship Id="rId333" Type="http://schemas.openxmlformats.org/officeDocument/2006/relationships/hyperlink" Target="http://norden.diva-portal.org/smash/get/diva2:1203291/FULLTEXT01.pdf" TargetMode="External"/><Relationship Id="rId540" Type="http://schemas.openxmlformats.org/officeDocument/2006/relationships/hyperlink" Target="https://ojs.bibl.u-szeged.hu/index.php/tntef/index" TargetMode="External"/><Relationship Id="rId72" Type="http://schemas.openxmlformats.org/officeDocument/2006/relationships/hyperlink" Target="https://sentrooppasantra.wordpress.com/tag/media/" TargetMode="External"/><Relationship Id="rId375" Type="http://schemas.openxmlformats.org/officeDocument/2006/relationships/header" Target="header83.xml"/><Relationship Id="rId582" Type="http://schemas.openxmlformats.org/officeDocument/2006/relationships/hyperlink" Target="mailto:otvos.peter@gmail.com" TargetMode="External"/><Relationship Id="rId3" Type="http://schemas.openxmlformats.org/officeDocument/2006/relationships/styles" Target="styles.xml"/><Relationship Id="rId235" Type="http://schemas.openxmlformats.org/officeDocument/2006/relationships/header" Target="header39.xml"/><Relationship Id="rId277" Type="http://schemas.openxmlformats.org/officeDocument/2006/relationships/header" Target="header59.xml"/><Relationship Id="rId400" Type="http://schemas.openxmlformats.org/officeDocument/2006/relationships/header" Target="header89.xml"/><Relationship Id="rId442" Type="http://schemas.openxmlformats.org/officeDocument/2006/relationships/hyperlink" Target="http://www.ekspress.ee" TargetMode="External"/><Relationship Id="rId484" Type="http://schemas.openxmlformats.org/officeDocument/2006/relationships/header" Target="header116.xml"/><Relationship Id="rId137" Type="http://schemas.openxmlformats.org/officeDocument/2006/relationships/hyperlink" Target="https://kielioblog.wordpress.com/tag/kansanperinne/" TargetMode="External"/><Relationship Id="rId302" Type="http://schemas.openxmlformats.org/officeDocument/2006/relationships/header" Target="header66.xml"/><Relationship Id="rId344" Type="http://schemas.openxmlformats.org/officeDocument/2006/relationships/hyperlink" Target="https://phaidra.univie.ac.at/detail/o:356605.pdf" TargetMode="External"/><Relationship Id="rId41" Type="http://schemas.openxmlformats.org/officeDocument/2006/relationships/hyperlink" Target="https://sentrooppasantra.wordpress.com/tag/1956/" TargetMode="External"/><Relationship Id="rId83" Type="http://schemas.openxmlformats.org/officeDocument/2006/relationships/hyperlink" Target="https://sentrooppasantra.wordpress.com/tag/perhevakivalta/" TargetMode="External"/><Relationship Id="rId179" Type="http://schemas.openxmlformats.org/officeDocument/2006/relationships/hyperlink" Target="https://kielioblog.wordpress.com/tag/seksismi/" TargetMode="External"/><Relationship Id="rId386" Type="http://schemas.openxmlformats.org/officeDocument/2006/relationships/header" Target="header85.xml"/><Relationship Id="rId551" Type="http://schemas.openxmlformats.org/officeDocument/2006/relationships/hyperlink" Target="mailto:forgacs@hung.u-szeged.hu" TargetMode="External"/><Relationship Id="rId593" Type="http://schemas.openxmlformats.org/officeDocument/2006/relationships/hyperlink" Target="mailto:ksenia.shagal@lmu.de" TargetMode="External"/><Relationship Id="rId607" Type="http://schemas.openxmlformats.org/officeDocument/2006/relationships/header" Target="header138.xml"/><Relationship Id="rId190" Type="http://schemas.openxmlformats.org/officeDocument/2006/relationships/hyperlink" Target="https://kielioblog.wordpress.com/tag/yhteiskunta/" TargetMode="External"/><Relationship Id="rId204" Type="http://schemas.openxmlformats.org/officeDocument/2006/relationships/hyperlink" Target="http://kaino.kotus.fi/kks/" TargetMode="External"/><Relationship Id="rId246" Type="http://schemas.openxmlformats.org/officeDocument/2006/relationships/hyperlink" Target="https://www.antikvaari.fi/naytatuote.asp?id=1422118" TargetMode="External"/><Relationship Id="rId288" Type="http://schemas.openxmlformats.org/officeDocument/2006/relationships/diagramLayout" Target="diagrams/layout1.xml"/><Relationship Id="rId411" Type="http://schemas.openxmlformats.org/officeDocument/2006/relationships/hyperlink" Target="http://corpus.mari-language.com" TargetMode="External"/><Relationship Id="rId453" Type="http://schemas.openxmlformats.org/officeDocument/2006/relationships/header" Target="header102.xml"/><Relationship Id="rId509" Type="http://schemas.openxmlformats.org/officeDocument/2006/relationships/header" Target="header131.xml"/><Relationship Id="rId106" Type="http://schemas.openxmlformats.org/officeDocument/2006/relationships/hyperlink" Target="https://sentrooppasantra.wordpress.com/tag/uskonto/" TargetMode="External"/><Relationship Id="rId313" Type="http://schemas.openxmlformats.org/officeDocument/2006/relationships/hyperlink" Target="http://www.kieliverkosto.fi/fi/journals/kieli-koulutus-ja-yhteiskunta-toukokuu-2014" TargetMode="External"/><Relationship Id="rId495" Type="http://schemas.openxmlformats.org/officeDocument/2006/relationships/header" Target="header125.xml"/><Relationship Id="rId10" Type="http://schemas.openxmlformats.org/officeDocument/2006/relationships/footer" Target="footer1.xml"/><Relationship Id="rId52" Type="http://schemas.openxmlformats.org/officeDocument/2006/relationships/hyperlink" Target="https://sentrooppasantra.wordpress.com/tag/hc-strache/" TargetMode="External"/><Relationship Id="rId94" Type="http://schemas.openxmlformats.org/officeDocument/2006/relationships/hyperlink" Target="https://sentrooppasantra.wordpress.com/tag/seksuaalivahemmistot/" TargetMode="External"/><Relationship Id="rId148" Type="http://schemas.openxmlformats.org/officeDocument/2006/relationships/hyperlink" Target="https://kielioblog.wordpress.com/tag/kielitieteesta-melko-yleisesti/" TargetMode="External"/><Relationship Id="rId355" Type="http://schemas.openxmlformats.org/officeDocument/2006/relationships/hyperlink" Target="http://www.sil.org/system/files/reapdata/71/22/66/71226648004357014393230040163130285698/silewp2008_001.pdf" TargetMode="External"/><Relationship Id="rId397" Type="http://schemas.openxmlformats.org/officeDocument/2006/relationships/hyperlink" Target="https://en.wiktionary.org/wiki/wodnesd%C3%A6g" TargetMode="External"/><Relationship Id="rId520" Type="http://schemas.openxmlformats.org/officeDocument/2006/relationships/hyperlink" Target="http://www.svenskfilmdatabas.se/sv/Item/?type=film&amp;itemid=3239" TargetMode="External"/><Relationship Id="rId562" Type="http://schemas.openxmlformats.org/officeDocument/2006/relationships/hyperlink" Target="mailto:markus.juutinen@oulu.fi" TargetMode="External"/><Relationship Id="rId215" Type="http://schemas.openxmlformats.org/officeDocument/2006/relationships/header" Target="header32.xml"/><Relationship Id="rId257" Type="http://schemas.openxmlformats.org/officeDocument/2006/relationships/header" Target="header49.xml"/><Relationship Id="rId422" Type="http://schemas.openxmlformats.org/officeDocument/2006/relationships/image" Target="media/image15.png"/><Relationship Id="rId464" Type="http://schemas.openxmlformats.org/officeDocument/2006/relationships/header" Target="header107.xml"/><Relationship Id="rId299" Type="http://schemas.openxmlformats.org/officeDocument/2006/relationships/hyperlink" Target="https://psycnet.apa.org/doi/10.2307/747799" TargetMode="External"/><Relationship Id="rId63" Type="http://schemas.openxmlformats.org/officeDocument/2006/relationships/hyperlink" Target="https://sentrooppasantra.wordpress.com/tag/kirjallisuus/" TargetMode="External"/><Relationship Id="rId159" Type="http://schemas.openxmlformats.org/officeDocument/2006/relationships/hyperlink" Target="https://kielioblog.wordpress.com/tag/nimet/" TargetMode="External"/><Relationship Id="rId366" Type="http://schemas.openxmlformats.org/officeDocument/2006/relationships/hyperlink" Target="https://doi.org/10.15155/3-00-0000-0000-0000-08565L" TargetMode="External"/><Relationship Id="rId573" Type="http://schemas.openxmlformats.org/officeDocument/2006/relationships/hyperlink" Target="mailto:imar.koutchoukali@ut.ee" TargetMode="External"/><Relationship Id="rId226" Type="http://schemas.openxmlformats.org/officeDocument/2006/relationships/hyperlink" Target="http://www.copius.eu/udmurt" TargetMode="External"/><Relationship Id="rId433" Type="http://schemas.openxmlformats.org/officeDocument/2006/relationships/hyperlink" Target="https://brill.com/search?f_0=author&amp;q_0=Iwona+Kraska-Szlenk" TargetMode="External"/><Relationship Id="rId74" Type="http://schemas.openxmlformats.org/officeDocument/2006/relationships/hyperlink" Target="https://sentrooppasantra.wordpress.com/tag/miklos-horthy/" TargetMode="External"/><Relationship Id="rId377" Type="http://schemas.microsoft.com/office/2007/relationships/hdphoto" Target="media/hdphoto8.wdp"/><Relationship Id="rId500" Type="http://schemas.microsoft.com/office/2007/relationships/hdphoto" Target="media/hdphoto11.wdp"/><Relationship Id="rId584" Type="http://schemas.openxmlformats.org/officeDocument/2006/relationships/hyperlink" Target="mailto:renate.pajusalu@ut.ee" TargetMode="External"/><Relationship Id="rId5" Type="http://schemas.openxmlformats.org/officeDocument/2006/relationships/webSettings" Target="webSettings.xml"/><Relationship Id="rId237" Type="http://schemas.openxmlformats.org/officeDocument/2006/relationships/header" Target="header40.xml"/><Relationship Id="rId444" Type="http://schemas.openxmlformats.org/officeDocument/2006/relationships/hyperlink" Target="http://www.riigikogu.ee" TargetMode="External"/><Relationship Id="rId290" Type="http://schemas.openxmlformats.org/officeDocument/2006/relationships/diagramColors" Target="diagrams/colors1.xml"/><Relationship Id="rId304" Type="http://schemas.openxmlformats.org/officeDocument/2006/relationships/header" Target="header68.xml"/><Relationship Id="rId388" Type="http://schemas.openxmlformats.org/officeDocument/2006/relationships/hyperlink" Target="https://en.wiktionary.org/wiki/Reconstruction:Proto-Indo-European/h%E2%82%82%C3%A9%C7%B5ros" TargetMode="External"/><Relationship Id="rId511" Type="http://schemas.microsoft.com/office/2007/relationships/hdphoto" Target="media/hdphoto15.wdp"/><Relationship Id="rId609" Type="http://schemas.openxmlformats.org/officeDocument/2006/relationships/fontTable" Target="fontTable.xml"/><Relationship Id="rId85" Type="http://schemas.openxmlformats.org/officeDocument/2006/relationships/hyperlink" Target="https://sentrooppasantra.wordpress.com/tag/plagiaatti/" TargetMode="External"/><Relationship Id="rId150" Type="http://schemas.openxmlformats.org/officeDocument/2006/relationships/hyperlink" Target="https://kielioblog.wordpress.com/tag/koulu/" TargetMode="External"/><Relationship Id="rId595" Type="http://schemas.openxmlformats.org/officeDocument/2006/relationships/hyperlink" Target="mailto:sipocz@hung.u-szeged.hu" TargetMode="External"/><Relationship Id="rId248" Type="http://schemas.openxmlformats.org/officeDocument/2006/relationships/header" Target="header46.xml"/><Relationship Id="rId455" Type="http://schemas.openxmlformats.org/officeDocument/2006/relationships/header" Target="header104.xml"/><Relationship Id="rId12" Type="http://schemas.openxmlformats.org/officeDocument/2006/relationships/footer" Target="footer2.xml"/><Relationship Id="rId108" Type="http://schemas.openxmlformats.org/officeDocument/2006/relationships/hyperlink" Target="https://sentrooppasantra.wordpress.com/tag/vaalit/" TargetMode="External"/><Relationship Id="rId315" Type="http://schemas.openxmlformats.org/officeDocument/2006/relationships/header" Target="header71.xml"/><Relationship Id="rId522" Type="http://schemas.openxmlformats.org/officeDocument/2006/relationships/hyperlink" Target="http://www.berlinale.de/de/archiv/jahresarchive/2007/08_pressemitteilungen_2007/08_pressemitteilungen_2007-detail_3116.html" TargetMode="External"/><Relationship Id="rId96" Type="http://schemas.openxmlformats.org/officeDocument/2006/relationships/hyperlink" Target="https://sentrooppasantra.wordpress.com/tag/taide/" TargetMode="External"/><Relationship Id="rId161" Type="http://schemas.openxmlformats.org/officeDocument/2006/relationships/hyperlink" Target="https://kielioblog.wordpress.com/tag/pakkoruotsi/" TargetMode="External"/><Relationship Id="rId399" Type="http://schemas.openxmlformats.org/officeDocument/2006/relationships/header" Target="header88.xml"/><Relationship Id="rId259" Type="http://schemas.openxmlformats.org/officeDocument/2006/relationships/header" Target="header51.xml"/><Relationship Id="rId466" Type="http://schemas.openxmlformats.org/officeDocument/2006/relationships/hyperlink" Target="http://www.helikon-online.de/2010/Kreuzmair_Deleuze.pdf" TargetMode="External"/><Relationship Id="rId23" Type="http://schemas.openxmlformats.org/officeDocument/2006/relationships/header" Target="header12.xml"/><Relationship Id="rId119" Type="http://schemas.openxmlformats.org/officeDocument/2006/relationships/hyperlink" Target="https://kielioblog.wordpress.com/tag/attritio/" TargetMode="External"/><Relationship Id="rId326" Type="http://schemas.openxmlformats.org/officeDocument/2006/relationships/hyperlink" Target="https://kaino.kotus.fi/www/verkkojulkaisut/julk7/" TargetMode="External"/><Relationship Id="rId533" Type="http://schemas.openxmlformats.org/officeDocument/2006/relationships/header" Target="header135.xml"/><Relationship Id="rId172" Type="http://schemas.openxmlformats.org/officeDocument/2006/relationships/hyperlink" Target="https://kielioblog.wordpress.com/tag/saame/" TargetMode="External"/><Relationship Id="rId477" Type="http://schemas.openxmlformats.org/officeDocument/2006/relationships/header" Target="header111.xml"/><Relationship Id="rId600" Type="http://schemas.openxmlformats.org/officeDocument/2006/relationships/hyperlink" Target="mailto:vojter.kitti@gmail.com" TargetMode="External"/><Relationship Id="rId337" Type="http://schemas.openxmlformats.org/officeDocument/2006/relationships/header" Target="header74.xml"/><Relationship Id="rId34" Type="http://schemas.openxmlformats.org/officeDocument/2006/relationships/hyperlink" Target="https://ucris.univie.ac.at/" TargetMode="External"/><Relationship Id="rId544" Type="http://schemas.openxmlformats.org/officeDocument/2006/relationships/hyperlink" Target="mailto:jeremy.moss.bradley@univie.ac.at" TargetMode="External"/><Relationship Id="rId183" Type="http://schemas.openxmlformats.org/officeDocument/2006/relationships/hyperlink" Target="https://kielioblog.wordpress.com/tag/uhanalaisuus/" TargetMode="External"/><Relationship Id="rId390" Type="http://schemas.openxmlformats.org/officeDocument/2006/relationships/hyperlink" Target="https://en.wiktionary.org/wiki/%C3%93%C3%B0inn" TargetMode="External"/><Relationship Id="rId404" Type="http://schemas.openxmlformats.org/officeDocument/2006/relationships/hyperlink" Target="http://www.auroralehti.fi/akateemikko-kaisa-hakkinen-ja-suomen-kielen-sanojen-arvoitus/" TargetMode="External"/><Relationship Id="rId250" Type="http://schemas.openxmlformats.org/officeDocument/2006/relationships/header" Target="header48.xml"/><Relationship Id="rId488" Type="http://schemas.openxmlformats.org/officeDocument/2006/relationships/header" Target="header118.xml"/><Relationship Id="rId45" Type="http://schemas.openxmlformats.org/officeDocument/2006/relationships/hyperlink" Target="https://sentrooppasantra.wordpress.com/tag/ensimmainen-maailmansota/" TargetMode="External"/><Relationship Id="rId110" Type="http://schemas.openxmlformats.org/officeDocument/2006/relationships/hyperlink" Target="https://sentrooppasantra.wordpress.com/tag/vihapuhe/" TargetMode="External"/><Relationship Id="rId348" Type="http://schemas.openxmlformats.org/officeDocument/2006/relationships/hyperlink" Target="http://termini.nytud.hu/htonline/htlista.php?action=firstpage" TargetMode="External"/><Relationship Id="rId555" Type="http://schemas.openxmlformats.org/officeDocument/2006/relationships/hyperlink" Target="mailto:cornelius@hasselblatt.com" TargetMode="External"/><Relationship Id="rId194" Type="http://schemas.openxmlformats.org/officeDocument/2006/relationships/hyperlink" Target="https://kielioblog.wordpress.com/the-finnish-inclusive-pronoun-hoax/" TargetMode="External"/><Relationship Id="rId208" Type="http://schemas.openxmlformats.org/officeDocument/2006/relationships/header" Target="header26.xml"/><Relationship Id="rId415" Type="http://schemas.openxmlformats.org/officeDocument/2006/relationships/hyperlink" Target="http://www.eki.ee/books/ekk09/" TargetMode="External"/><Relationship Id="rId261" Type="http://schemas.openxmlformats.org/officeDocument/2006/relationships/hyperlink" Target="http://hdl.handle.net/11022/0000-0007-E1D5-A" TargetMode="External"/><Relationship Id="rId499" Type="http://schemas.openxmlformats.org/officeDocument/2006/relationships/image" Target="media/image25.png"/><Relationship Id="rId56" Type="http://schemas.openxmlformats.org/officeDocument/2006/relationships/hyperlink" Target="https://sentrooppasantra.wordpress.com/tag/islam/" TargetMode="External"/><Relationship Id="rId359" Type="http://schemas.openxmlformats.org/officeDocument/2006/relationships/header" Target="header79.xml"/><Relationship Id="rId566" Type="http://schemas.openxmlformats.org/officeDocument/2006/relationships/hyperlink" Target="http://www.mv.helsinki.fi/home/petkalli/" TargetMode="External"/><Relationship Id="rId121" Type="http://schemas.openxmlformats.org/officeDocument/2006/relationships/hyperlink" Target="https://kielioblog.wordpress.com/tag/chomsky/" TargetMode="External"/><Relationship Id="rId219" Type="http://schemas.openxmlformats.org/officeDocument/2006/relationships/hyperlink" Target="http://www.copius.eu/intro" TargetMode="External"/><Relationship Id="rId426" Type="http://schemas.openxmlformats.org/officeDocument/2006/relationships/image" Target="media/image19.png"/></Relationships>
</file>

<file path=word/_rels/footnotes.xml.rels><?xml version="1.0" encoding="UTF-8" standalone="yes"?>
<Relationships xmlns="http://schemas.openxmlformats.org/package/2006/relationships"><Relationship Id="rId13" Type="http://schemas.openxmlformats.org/officeDocument/2006/relationships/hyperlink" Target="http://www.bmbwf.gv.at/Themen/schule/schulpraxis/ba/sprabi/mika_d.html" TargetMode="External"/><Relationship Id="rId18" Type="http://schemas.openxmlformats.org/officeDocument/2006/relationships/hyperlink" Target="http://www.peter-may.de/Dokumente/May_doc/VASE%204-8%20Handbuch.pdf" TargetMode="External"/><Relationship Id="rId26" Type="http://schemas.openxmlformats.org/officeDocument/2006/relationships/hyperlink" Target="http://w3techs.com/technologies/history_overview/content_language/ms/y" TargetMode="External"/><Relationship Id="rId39" Type="http://schemas.openxmlformats.org/officeDocument/2006/relationships/hyperlink" Target="https://sotsiaalteadused.ut.ee/et/sisu/voorkeelsed-oppekavad" TargetMode="External"/><Relationship Id="rId21" Type="http://schemas.openxmlformats.org/officeDocument/2006/relationships/hyperlink" Target="https://en.wikipedia.org/wiki/Uralic_languages" TargetMode="External"/><Relationship Id="rId34" Type="http://schemas.openxmlformats.org/officeDocument/2006/relationships/hyperlink" Target="http://www.arene.fi/wp-content/uploads/Raportit/2020/Ulkomaalaiset%20opiskelijat%20Suomen%20korkeakouluissa%20raportti.pdf" TargetMode="External"/><Relationship Id="rId42" Type="http://schemas.openxmlformats.org/officeDocument/2006/relationships/hyperlink" Target="https://www.sirp.ee/s1-artiklid/c21-teadus/eestikeelse-akadeemilise-tooturu-kriis/" TargetMode="External"/><Relationship Id="rId47" Type="http://schemas.openxmlformats.org/officeDocument/2006/relationships/hyperlink" Target="http://beserman.ru/corpus/search/?interface_language=ru" TargetMode="External"/><Relationship Id="rId50" Type="http://schemas.openxmlformats.org/officeDocument/2006/relationships/hyperlink" Target="https://commons.wikimedia.org/wiki/File:BodyPlanes.jpg" TargetMode="External"/><Relationship Id="rId55" Type="http://schemas.openxmlformats.org/officeDocument/2006/relationships/hyperlink" Target="https://commons.wikimedia.org/w/index.php?curid=20342071" TargetMode="External"/><Relationship Id="rId7" Type="http://schemas.openxmlformats.org/officeDocument/2006/relationships/hyperlink" Target="https://www.infuse.finnougristik.uni-muenchen.de/" TargetMode="External"/><Relationship Id="rId2" Type="http://schemas.openxmlformats.org/officeDocument/2006/relationships/hyperlink" Target="http://www.wordclouds.com/" TargetMode="External"/><Relationship Id="rId16" Type="http://schemas.openxmlformats.org/officeDocument/2006/relationships/hyperlink" Target="http://www.ecml.at/ECML-Programme/Programme2008-2011/EuropeanFrameworkforCLILTeacherEducation/tabid/4444/Default.aspx" TargetMode="External"/><Relationship Id="rId29" Type="http://schemas.openxmlformats.org/officeDocument/2006/relationships/hyperlink" Target="https://news.err.ee/1608183802/ministry-to-organize-plan-for-transition-to-estonian-language-education" TargetMode="External"/><Relationship Id="rId11" Type="http://schemas.openxmlformats.org/officeDocument/2006/relationships/hyperlink" Target="http://www.statistik.at/web_de/statistiken/menschen_und_gesellschaft/bevoelkerung/bevoelkerungsstruktur/bevoelkerung_nach_staatsangehoerigkeit_geburtsland/index.html" TargetMode="External"/><Relationship Id="rId24" Type="http://schemas.openxmlformats.org/officeDocument/2006/relationships/hyperlink" Target="https://www.ethnologue.com/guides/how-many-languages" TargetMode="External"/><Relationship Id="rId32" Type="http://schemas.openxmlformats.org/officeDocument/2006/relationships/hyperlink" Target="http://www.ut.ee/en/university/general/history" TargetMode="External"/><Relationship Id="rId37" Type="http://schemas.openxmlformats.org/officeDocument/2006/relationships/hyperlink" Target="http://www.euas.eu/" TargetMode="External"/><Relationship Id="rId40" Type="http://schemas.openxmlformats.org/officeDocument/2006/relationships/hyperlink" Target="http://www.hm.ee/et/tegevused/eesti-keel-ja-voorkeeled/programmid" TargetMode="External"/><Relationship Id="rId45" Type="http://schemas.openxmlformats.org/officeDocument/2006/relationships/hyperlink" Target="https://vk.com/undasdk" TargetMode="External"/><Relationship Id="rId53" Type="http://schemas.openxmlformats.org/officeDocument/2006/relationships/hyperlink" Target="https://books.google.at/books?id=mNMBAAAAYAAJ&amp;printsec=frontcover&amp;hl=de&amp;source=gbs_book_other_versions_r&amp;cad=3" TargetMode="External"/><Relationship Id="rId58" Type="http://schemas.openxmlformats.org/officeDocument/2006/relationships/hyperlink" Target="http://www.berlinale.de/de/archiv/jahresarchive/2007/08_pressemitteilungen_2007/08_pressemitteilungen_2007-detail_3116.html" TargetMode="External"/><Relationship Id="rId5" Type="http://schemas.openxmlformats.org/officeDocument/2006/relationships/hyperlink" Target="https://inter-finno-ugric.univie.ac.at/home/winter-school-2013-vienna/" TargetMode="External"/><Relationship Id="rId19" Type="http://schemas.openxmlformats.org/officeDocument/2006/relationships/hyperlink" Target="http://www.foermig.uni-hamburg.de/publikationen/diagnoseinstrumente/havas-5.html" TargetMode="External"/><Relationship Id="rId4" Type="http://schemas.openxmlformats.org/officeDocument/2006/relationships/hyperlink" Target="https://remodus.univie.ac.at/" TargetMode="External"/><Relationship Id="rId9" Type="http://schemas.openxmlformats.org/officeDocument/2006/relationships/hyperlink" Target="https://remodus.univie.ac.at/" TargetMode="External"/><Relationship Id="rId14" Type="http://schemas.openxmlformats.org/officeDocument/2006/relationships/hyperlink" Target="http://www.sprachenrechte.at/forderungen" TargetMode="External"/><Relationship Id="rId22" Type="http://schemas.openxmlformats.org/officeDocument/2006/relationships/hyperlink" Target="https://commons.wikimedia.org/w/index.php?curid=18179627" TargetMode="External"/><Relationship Id="rId27" Type="http://schemas.openxmlformats.org/officeDocument/2006/relationships/hyperlink" Target="http://haridus.archimedes.ee/sites/default/files/Dokumendid/EKKAV%202018-2027.pdf" TargetMode="External"/><Relationship Id="rId30" Type="http://schemas.openxmlformats.org/officeDocument/2006/relationships/hyperlink" Target="https://www.stat.ee/et/uudised/eesti-elanikud-raagivad-231-eri-emakeelt" TargetMode="External"/><Relationship Id="rId35" Type="http://schemas.openxmlformats.org/officeDocument/2006/relationships/hyperlink" Target="https://tartu.postimees.ee/7072457/valistudengid-maadlevad-reisipiirangute-ja-e-oppega" TargetMode="External"/><Relationship Id="rId43" Type="http://schemas.openxmlformats.org/officeDocument/2006/relationships/hyperlink" Target="https://vk.com/besermanjos" TargetMode="External"/><Relationship Id="rId48" Type="http://schemas.openxmlformats.org/officeDocument/2006/relationships/hyperlink" Target="https://lidivoka.univie.ac.at/" TargetMode="External"/><Relationship Id="rId56" Type="http://schemas.openxmlformats.org/officeDocument/2006/relationships/hyperlink" Target="http://www.academia.edu/36611317/" TargetMode="External"/><Relationship Id="rId8" Type="http://schemas.openxmlformats.org/officeDocument/2006/relationships/hyperlink" Target="http://www.copius.eu" TargetMode="External"/><Relationship Id="rId51" Type="http://schemas.openxmlformats.org/officeDocument/2006/relationships/hyperlink" Target="https://humanzoos.net/?page_id=497" TargetMode="External"/><Relationship Id="rId3" Type="http://schemas.openxmlformats.org/officeDocument/2006/relationships/hyperlink" Target="http://www.babel.gwi.uni-muenchen.de/" TargetMode="External"/><Relationship Id="rId12" Type="http://schemas.openxmlformats.org/officeDocument/2006/relationships/hyperlink" Target="https://de.statista.com/statistik/daten/studie/886994/umfrage/auslaender-in-wien-nach-staatsangehoerigkeit/" TargetMode="External"/><Relationship Id="rId17" Type="http://schemas.openxmlformats.org/officeDocument/2006/relationships/hyperlink" Target="http://www.weiterbildungsinitiative.de/publikationen/detail/der-erwerb-des-deutschen-bei-kindern-mit-nichtdeutscher-erstsprache" TargetMode="External"/><Relationship Id="rId25" Type="http://schemas.openxmlformats.org/officeDocument/2006/relationships/hyperlink" Target="https://rosettaproject.org/projects/300-languages/languages" TargetMode="External"/><Relationship Id="rId33" Type="http://schemas.openxmlformats.org/officeDocument/2006/relationships/hyperlink" Target="http://www.haridussilm.ee/ee/tasemeharidus/haridusliigid/korgharidus/uliopilased" TargetMode="External"/><Relationship Id="rId38" Type="http://schemas.openxmlformats.org/officeDocument/2006/relationships/hyperlink" Target="https://news.err.ee/994875/audit-free-higher-education-reform-outcomes-patchy" TargetMode="External"/><Relationship Id="rId46" Type="http://schemas.openxmlformats.org/officeDocument/2006/relationships/hyperlink" Target="https://vk.com/zhuvamgurt" TargetMode="External"/><Relationship Id="rId59" Type="http://schemas.openxmlformats.org/officeDocument/2006/relationships/hyperlink" Target="http://www2.ub.gu.se/kvinn/portaler/kvinnotidskrifter/biografier/wagner.xml" TargetMode="External"/><Relationship Id="rId20" Type="http://schemas.openxmlformats.org/officeDocument/2006/relationships/hyperlink" Target="http://home.edo.tu-dortmund.de/~hoffmann/PDF/bildungsforschung_band_neunundzwanzig.pdf" TargetMode="External"/><Relationship Id="rId41" Type="http://schemas.openxmlformats.org/officeDocument/2006/relationships/hyperlink" Target="https://arvamus.postimees.ee/6520040/birute-klaas-lang-keelepoliitikast-valimisprogrammides" TargetMode="External"/><Relationship Id="rId54" Type="http://schemas.openxmlformats.org/officeDocument/2006/relationships/hyperlink" Target="http://www.zeno.org/Literatur/M/Goethe,+Johann+Wolfgang/Autobiographisches/Aus+meinem+Leben.+Dichtung+und+Wahrheit" TargetMode="External"/><Relationship Id="rId1" Type="http://schemas.openxmlformats.org/officeDocument/2006/relationships/hyperlink" Target="http://www.wordclouds.com/" TargetMode="External"/><Relationship Id="rId6" Type="http://schemas.openxmlformats.org/officeDocument/2006/relationships/hyperlink" Target="https://inter-finno-ugric.univie.ac.at/home/winter-school-2014-szeged/" TargetMode="External"/><Relationship Id="rId15" Type="http://schemas.openxmlformats.org/officeDocument/2006/relationships/hyperlink" Target="http://www.bildung-wien.gv.at/unterricht/Sprachf-rderzentrum.html" TargetMode="External"/><Relationship Id="rId23" Type="http://schemas.openxmlformats.org/officeDocument/2006/relationships/hyperlink" Target="https://www.heraldik-wiki.de/wiki/Wolfsangel_(Heraldik)" TargetMode="External"/><Relationship Id="rId28" Type="http://schemas.openxmlformats.org/officeDocument/2006/relationships/hyperlink" Target="https://www.stat.ee/et/uudised/eesti-elanikud-raagivad-231-eri-emakeelt" TargetMode="External"/><Relationship Id="rId36" Type="http://schemas.openxmlformats.org/officeDocument/2006/relationships/hyperlink" Target="http://www.hm.ee/sites/default/files/6_korghar_progr_2020-23_seletuskiri_dets19.docx.pdf" TargetMode="External"/><Relationship Id="rId49" Type="http://schemas.openxmlformats.org/officeDocument/2006/relationships/hyperlink" Target="http://www.eki.ee/dict/ametnik/" TargetMode="External"/><Relationship Id="rId57" Type="http://schemas.openxmlformats.org/officeDocument/2006/relationships/hyperlink" Target="https://commons.wikimedia.org/wiki/File:The_Esterh&#225;zy_palace_at_Fert&#337;d_1791.jpg" TargetMode="External"/><Relationship Id="rId10" Type="http://schemas.openxmlformats.org/officeDocument/2006/relationships/hyperlink" Target="http://www.integrationsfonds.at/fileadmin/content/AT/monitor/Wien_2018_Bezirke.pdf" TargetMode="External"/><Relationship Id="rId31" Type="http://schemas.openxmlformats.org/officeDocument/2006/relationships/hyperlink" Target="http://www.hm.ee/sites/default/files/eesti_keele_arengukava_2021-2035_29.10.2020_riigikogusse.pdf" TargetMode="External"/><Relationship Id="rId44" Type="http://schemas.openxmlformats.org/officeDocument/2006/relationships/hyperlink" Target="https://vk.com/club164387545" TargetMode="External"/><Relationship Id="rId52" Type="http://schemas.openxmlformats.org/officeDocument/2006/relationships/hyperlink" Target="http://www.britannica.com/biography/Ruggero-Giuseppe-Boscovich"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oleObject" Target="file:///\\ad.helsinki.fi\home\k\kmalmio\Documents\Artiklar,%20konferenser,%20f&#246;redrag\Systematisk%20del%20&#214;lander.xlsx" TargetMode="External"/><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816199999999997"/>
          <c:y val="0.28816199999999997"/>
          <c:w val="0.423676"/>
          <c:h val="0.41117599999999999"/>
        </c:manualLayout>
      </c:layout>
      <c:pieChart>
        <c:varyColors val="0"/>
        <c:ser>
          <c:idx val="0"/>
          <c:order val="0"/>
          <c:tx>
            <c:strRef>
              <c:f>Sheet1!$A$2</c:f>
              <c:strCache>
                <c:ptCount val="1"/>
                <c:pt idx="0">
                  <c:v>Column1</c:v>
                </c:pt>
              </c:strCache>
            </c:strRef>
          </c:tx>
          <c:spPr>
            <a:solidFill>
              <a:srgbClr val="5F5F5F"/>
            </a:solidFill>
            <a:ln w="12700" cap="flat">
              <a:noFill/>
              <a:miter lim="400000"/>
            </a:ln>
            <a:effectLst>
              <a:outerShdw blurRad="63500" algn="tl">
                <a:srgbClr val="000000">
                  <a:alpha val="20000"/>
                </a:srgbClr>
              </a:outerShdw>
            </a:effectLst>
          </c:spPr>
          <c:dPt>
            <c:idx val="0"/>
            <c:bubble3D val="0"/>
            <c:extLst>
              <c:ext xmlns:c16="http://schemas.microsoft.com/office/drawing/2014/chart" uri="{C3380CC4-5D6E-409C-BE32-E72D297353CC}">
                <c16:uniqueId val="{00000000-7062-40A1-8911-3C6856C5314F}"/>
              </c:ext>
            </c:extLst>
          </c:dPt>
          <c:dPt>
            <c:idx val="1"/>
            <c:bubble3D val="0"/>
            <c:spPr>
              <a:solidFill>
                <a:srgbClr val="B1B1B1"/>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2-7062-40A1-8911-3C6856C5314F}"/>
              </c:ext>
            </c:extLst>
          </c:dPt>
          <c:dPt>
            <c:idx val="2"/>
            <c:bubble3D val="0"/>
            <c:spPr>
              <a:solidFill>
                <a:srgbClr val="888888"/>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4-7062-40A1-8911-3C6856C5314F}"/>
              </c:ext>
            </c:extLst>
          </c:dPt>
          <c:dPt>
            <c:idx val="3"/>
            <c:bubble3D val="0"/>
            <c:spPr>
              <a:solidFill>
                <a:srgbClr val="262626"/>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6-7062-40A1-8911-3C6856C5314F}"/>
              </c:ext>
            </c:extLst>
          </c:dPt>
          <c:dLbls>
            <c:dLbl>
              <c:idx val="0"/>
              <c:numFmt formatCode="0%" sourceLinked="0"/>
              <c:spPr/>
              <c:txPr>
                <a:bodyPr/>
                <a:lstStyle/>
                <a:p>
                  <a:pPr>
                    <a:defRPr sz="1000" b="1" i="0" u="none" strike="noStrike">
                      <a:solidFill>
                        <a:srgbClr val="5F5F5F"/>
                      </a:solidFill>
                      <a:latin typeface="Charis SIL"/>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0-7062-40A1-8911-3C6856C5314F}"/>
                </c:ext>
              </c:extLst>
            </c:dLbl>
            <c:dLbl>
              <c:idx val="1"/>
              <c:numFmt formatCode="0%" sourceLinked="0"/>
              <c:spPr/>
              <c:txPr>
                <a:bodyPr/>
                <a:lstStyle/>
                <a:p>
                  <a:pPr>
                    <a:defRPr sz="1000" b="1" i="0" u="none" strike="noStrike">
                      <a:solidFill>
                        <a:srgbClr val="B1B1B1"/>
                      </a:solidFill>
                      <a:latin typeface="Charis SIL"/>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2-7062-40A1-8911-3C6856C5314F}"/>
                </c:ext>
              </c:extLst>
            </c:dLbl>
            <c:dLbl>
              <c:idx val="2"/>
              <c:numFmt formatCode="0%" sourceLinked="0"/>
              <c:spPr/>
              <c:txPr>
                <a:bodyPr/>
                <a:lstStyle/>
                <a:p>
                  <a:pPr>
                    <a:defRPr sz="1000" b="1" i="0" u="none" strike="noStrike">
                      <a:solidFill>
                        <a:srgbClr val="888888"/>
                      </a:solidFill>
                      <a:latin typeface="Charis SIL"/>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4-7062-40A1-8911-3C6856C5314F}"/>
                </c:ext>
              </c:extLst>
            </c:dLbl>
            <c:dLbl>
              <c:idx val="3"/>
              <c:numFmt formatCode="0%" sourceLinked="0"/>
              <c:spPr/>
              <c:txPr>
                <a:bodyPr/>
                <a:lstStyle/>
                <a:p>
                  <a:pPr>
                    <a:defRPr sz="1000" b="1" i="0" u="none" strike="noStrike">
                      <a:solidFill>
                        <a:srgbClr val="262626"/>
                      </a:solidFill>
                      <a:latin typeface="Charis SIL"/>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6-7062-40A1-8911-3C6856C5314F}"/>
                </c:ext>
              </c:extLst>
            </c:dLbl>
            <c:numFmt formatCode="0%" sourceLinked="0"/>
            <c:spPr>
              <a:noFill/>
              <a:ln>
                <a:noFill/>
              </a:ln>
              <a:effectLst/>
            </c:spPr>
            <c:txPr>
              <a:bodyPr/>
              <a:lstStyle/>
              <a:p>
                <a:pPr>
                  <a:defRPr sz="1000" b="1" i="0" u="none" strike="noStrike">
                    <a:solidFill>
                      <a:srgbClr val="5F5F5F"/>
                    </a:solidFill>
                    <a:latin typeface="Charis SIL"/>
                  </a:defRPr>
                </a:pPr>
                <a:endParaRPr lang="en-US"/>
              </a:p>
            </c:txPr>
            <c:dLblPos val="outEnd"/>
            <c:showLegendKey val="0"/>
            <c:showVal val="0"/>
            <c:showCatName val="1"/>
            <c:showSerName val="0"/>
            <c:showPercent val="1"/>
            <c:showBubbleSize val="0"/>
            <c:showLeaderLines val="1"/>
            <c:leaderLines>
              <c:spPr>
                <a:ln w="9525" cap="flat">
                  <a:solidFill>
                    <a:srgbClr val="A6A6A6"/>
                  </a:solidFill>
                  <a:prstDash val="solid"/>
                  <a:round/>
                </a:ln>
                <a:effectLst/>
              </c:spPr>
            </c:leaderLines>
            <c:extLst>
              <c:ext xmlns:c15="http://schemas.microsoft.com/office/drawing/2012/chart" uri="{CE6537A1-D6FC-4f65-9D91-7224C49458BB}"/>
            </c:extLst>
          </c:dLbls>
          <c:cat>
            <c:strRef>
              <c:f>Sheet1!$B$1:$E$1</c:f>
              <c:strCache>
                <c:ptCount val="4"/>
                <c:pt idx="0">
                  <c:v>ei yhtään</c:v>
                </c:pt>
                <c:pt idx="1">
                  <c:v>jonkin verran</c:v>
                </c:pt>
                <c:pt idx="2">
                  <c:v>melko paljon</c:v>
                </c:pt>
                <c:pt idx="3">
                  <c:v>hyvin paljon</c:v>
                </c:pt>
              </c:strCache>
            </c:strRef>
          </c:cat>
          <c:val>
            <c:numRef>
              <c:f>Sheet1!$B$2:$E$2</c:f>
              <c:numCache>
                <c:formatCode>General</c:formatCode>
                <c:ptCount val="4"/>
                <c:pt idx="0">
                  <c:v>2</c:v>
                </c:pt>
                <c:pt idx="1">
                  <c:v>4</c:v>
                </c:pt>
                <c:pt idx="2">
                  <c:v>1</c:v>
                </c:pt>
                <c:pt idx="3">
                  <c:v>2</c:v>
                </c:pt>
              </c:numCache>
            </c:numRef>
          </c:val>
          <c:extLst>
            <c:ext xmlns:c16="http://schemas.microsoft.com/office/drawing/2014/chart" uri="{C3380CC4-5D6E-409C-BE32-E72D297353CC}">
              <c16:uniqueId val="{00000007-7062-40A1-8911-3C6856C5314F}"/>
            </c:ext>
          </c:extLst>
        </c:ser>
        <c:dLbls>
          <c:showLegendKey val="0"/>
          <c:showVal val="0"/>
          <c:showCatName val="0"/>
          <c:showSerName val="0"/>
          <c:showPercent val="0"/>
          <c:showBubbleSize val="0"/>
          <c:showLeaderLines val="1"/>
        </c:dLbls>
        <c:firstSliceAng val="0"/>
      </c:pieChart>
      <c:spPr>
        <a:noFill/>
        <a:ln w="12700" cap="flat">
          <a:noFill/>
          <a:miter lim="400000"/>
        </a:ln>
        <a:effectLst/>
      </c:spPr>
    </c:plotArea>
    <c:plotVisOnly val="1"/>
    <c:dispBlanksAs val="gap"/>
    <c:showDLblsOverMax val="1"/>
  </c:chart>
  <c:spPr>
    <a:solidFill>
      <a:srgbClr val="FFFFFF"/>
    </a:solidFill>
    <a:ln>
      <a:noFill/>
    </a:ln>
    <a:effectLst/>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0878"/>
          <c:y val="0.260878"/>
          <c:w val="0.47824499999999998"/>
          <c:h val="0.46574500000000002"/>
        </c:manualLayout>
      </c:layout>
      <c:pieChart>
        <c:varyColors val="0"/>
        <c:ser>
          <c:idx val="0"/>
          <c:order val="0"/>
          <c:tx>
            <c:strRef>
              <c:f>Sheet1!$A$2</c:f>
              <c:strCache>
                <c:ptCount val="1"/>
                <c:pt idx="0">
                  <c:v>Column1</c:v>
                </c:pt>
              </c:strCache>
            </c:strRef>
          </c:tx>
          <c:spPr>
            <a:solidFill>
              <a:srgbClr val="5F5F5F"/>
            </a:solidFill>
            <a:ln w="12700" cap="flat">
              <a:noFill/>
              <a:miter lim="400000"/>
            </a:ln>
            <a:effectLst>
              <a:outerShdw blurRad="63500" algn="tl">
                <a:srgbClr val="000000">
                  <a:alpha val="20000"/>
                </a:srgbClr>
              </a:outerShdw>
            </a:effectLst>
          </c:spPr>
          <c:dPt>
            <c:idx val="0"/>
            <c:bubble3D val="0"/>
            <c:extLst>
              <c:ext xmlns:c16="http://schemas.microsoft.com/office/drawing/2014/chart" uri="{C3380CC4-5D6E-409C-BE32-E72D297353CC}">
                <c16:uniqueId val="{00000000-E390-4852-B417-34F6E4DC8EE1}"/>
              </c:ext>
            </c:extLst>
          </c:dPt>
          <c:dPt>
            <c:idx val="1"/>
            <c:bubble3D val="0"/>
            <c:spPr>
              <a:solidFill>
                <a:srgbClr val="B1B1B1"/>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2-E390-4852-B417-34F6E4DC8EE1}"/>
              </c:ext>
            </c:extLst>
          </c:dPt>
          <c:dPt>
            <c:idx val="2"/>
            <c:bubble3D val="0"/>
            <c:spPr>
              <a:solidFill>
                <a:srgbClr val="888888"/>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4-E390-4852-B417-34F6E4DC8EE1}"/>
              </c:ext>
            </c:extLst>
          </c:dPt>
          <c:dPt>
            <c:idx val="3"/>
            <c:bubble3D val="0"/>
            <c:spPr>
              <a:solidFill>
                <a:srgbClr val="262626"/>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6-E390-4852-B417-34F6E4DC8EE1}"/>
              </c:ext>
            </c:extLst>
          </c:dPt>
          <c:dLbls>
            <c:dLbl>
              <c:idx val="0"/>
              <c:layout>
                <c:manualLayout>
                  <c:x val="-7.9161816065192084E-2"/>
                  <c:y val="-1.3338999961837011E-18"/>
                </c:manualLayout>
              </c:layout>
              <c:numFmt formatCode="0%" sourceLinked="0"/>
              <c:spPr/>
              <c:txPr>
                <a:bodyPr/>
                <a:lstStyle/>
                <a:p>
                  <a:pPr>
                    <a:defRPr sz="1000" b="1" i="0" u="none" strike="noStrike">
                      <a:solidFill>
                        <a:srgbClr val="5F5F5F"/>
                      </a:solidFill>
                      <a:latin typeface="Charis SIL"/>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E390-4852-B417-34F6E4DC8EE1}"/>
                </c:ext>
              </c:extLst>
            </c:dLbl>
            <c:dLbl>
              <c:idx val="1"/>
              <c:layout>
                <c:manualLayout>
                  <c:x val="0"/>
                  <c:y val="6.0535506402793947E-2"/>
                </c:manualLayout>
              </c:layout>
              <c:numFmt formatCode="0%" sourceLinked="0"/>
              <c:spPr/>
              <c:txPr>
                <a:bodyPr/>
                <a:lstStyle/>
                <a:p>
                  <a:pPr>
                    <a:defRPr sz="1000" b="1" i="0" u="none" strike="noStrike">
                      <a:solidFill>
                        <a:srgbClr val="B1B1B1"/>
                      </a:solidFill>
                      <a:latin typeface="Charis SIL"/>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E390-4852-B417-34F6E4DC8EE1}"/>
                </c:ext>
              </c:extLst>
            </c:dLbl>
            <c:dLbl>
              <c:idx val="2"/>
              <c:numFmt formatCode="0%" sourceLinked="0"/>
              <c:spPr/>
              <c:txPr>
                <a:bodyPr/>
                <a:lstStyle/>
                <a:p>
                  <a:pPr>
                    <a:defRPr sz="1000" b="1" i="0" u="none" strike="noStrike">
                      <a:solidFill>
                        <a:srgbClr val="888888"/>
                      </a:solidFill>
                      <a:latin typeface="Charis SIL"/>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4-E390-4852-B417-34F6E4DC8EE1}"/>
                </c:ext>
              </c:extLst>
            </c:dLbl>
            <c:dLbl>
              <c:idx val="3"/>
              <c:layout>
                <c:manualLayout>
                  <c:x val="0.14435389988358557"/>
                  <c:y val="0"/>
                </c:manualLayout>
              </c:layout>
              <c:numFmt formatCode="0%" sourceLinked="0"/>
              <c:spPr/>
              <c:txPr>
                <a:bodyPr/>
                <a:lstStyle/>
                <a:p>
                  <a:pPr>
                    <a:defRPr sz="1000" b="1" i="0" u="none" strike="noStrike">
                      <a:solidFill>
                        <a:srgbClr val="262626"/>
                      </a:solidFill>
                      <a:latin typeface="Charis SIL"/>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E390-4852-B417-34F6E4DC8EE1}"/>
                </c:ext>
              </c:extLst>
            </c:dLbl>
            <c:numFmt formatCode="0%" sourceLinked="0"/>
            <c:spPr>
              <a:noFill/>
              <a:ln>
                <a:noFill/>
              </a:ln>
              <a:effectLst/>
            </c:spPr>
            <c:txPr>
              <a:bodyPr/>
              <a:lstStyle/>
              <a:p>
                <a:pPr>
                  <a:defRPr sz="1000" b="1" i="0" u="none" strike="noStrike">
                    <a:solidFill>
                      <a:srgbClr val="5F5F5F"/>
                    </a:solidFill>
                    <a:latin typeface="Charis SIL"/>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Sheet1!$B$1:$E$1</c:f>
              <c:strCache>
                <c:ptCount val="4"/>
                <c:pt idx="0">
                  <c:v>ei yhtään</c:v>
                </c:pt>
                <c:pt idx="1">
                  <c:v>jonkin verran</c:v>
                </c:pt>
                <c:pt idx="2">
                  <c:v>melko paljon</c:v>
                </c:pt>
                <c:pt idx="3">
                  <c:v>hyvin paljon</c:v>
                </c:pt>
              </c:strCache>
            </c:strRef>
          </c:cat>
          <c:val>
            <c:numRef>
              <c:f>Sheet1!$B$2:$E$2</c:f>
              <c:numCache>
                <c:formatCode>General</c:formatCode>
                <c:ptCount val="4"/>
                <c:pt idx="0">
                  <c:v>0</c:v>
                </c:pt>
                <c:pt idx="1">
                  <c:v>6</c:v>
                </c:pt>
                <c:pt idx="2">
                  <c:v>3</c:v>
                </c:pt>
                <c:pt idx="3">
                  <c:v>0</c:v>
                </c:pt>
              </c:numCache>
            </c:numRef>
          </c:val>
          <c:extLst>
            <c:ext xmlns:c16="http://schemas.microsoft.com/office/drawing/2014/chart" uri="{C3380CC4-5D6E-409C-BE32-E72D297353CC}">
              <c16:uniqueId val="{00000007-E390-4852-B417-34F6E4DC8EE1}"/>
            </c:ext>
          </c:extLst>
        </c:ser>
        <c:dLbls>
          <c:showLegendKey val="0"/>
          <c:showVal val="0"/>
          <c:showCatName val="0"/>
          <c:showSerName val="0"/>
          <c:showPercent val="0"/>
          <c:showBubbleSize val="0"/>
          <c:showLeaderLines val="0"/>
        </c:dLbls>
        <c:firstSliceAng val="0"/>
      </c:pieChart>
      <c:spPr>
        <a:noFill/>
        <a:ln w="12700" cap="flat">
          <a:noFill/>
          <a:miter lim="400000"/>
        </a:ln>
        <a:effectLst/>
      </c:spPr>
    </c:plotArea>
    <c:plotVisOnly val="1"/>
    <c:dispBlanksAs val="gap"/>
    <c:showDLblsOverMax val="1"/>
  </c:chart>
  <c:spPr>
    <a:solidFill>
      <a:srgbClr val="FFFFFF"/>
    </a:solidFill>
    <a:ln>
      <a:noFill/>
    </a:ln>
    <a:effectLst/>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006799999999997"/>
          <c:y val="0.33006799999999997"/>
          <c:w val="0.339864"/>
          <c:h val="0.32736399999999999"/>
        </c:manualLayout>
      </c:layout>
      <c:pieChart>
        <c:varyColors val="0"/>
        <c:ser>
          <c:idx val="0"/>
          <c:order val="0"/>
          <c:tx>
            <c:strRef>
              <c:f>Sheet1!$A$2</c:f>
              <c:strCache>
                <c:ptCount val="1"/>
                <c:pt idx="0">
                  <c:v>Column1</c:v>
                </c:pt>
              </c:strCache>
            </c:strRef>
          </c:tx>
          <c:spPr>
            <a:solidFill>
              <a:srgbClr val="5F5F5F"/>
            </a:solidFill>
            <a:ln w="12700" cap="flat">
              <a:noFill/>
              <a:miter lim="400000"/>
            </a:ln>
            <a:effectLst>
              <a:outerShdw blurRad="63500" algn="tl">
                <a:srgbClr val="000000">
                  <a:alpha val="20000"/>
                </a:srgbClr>
              </a:outerShdw>
            </a:effectLst>
          </c:spPr>
          <c:dPt>
            <c:idx val="0"/>
            <c:bubble3D val="0"/>
            <c:extLst>
              <c:ext xmlns:c16="http://schemas.microsoft.com/office/drawing/2014/chart" uri="{C3380CC4-5D6E-409C-BE32-E72D297353CC}">
                <c16:uniqueId val="{00000000-772E-431E-86C8-FBA82502BA9D}"/>
              </c:ext>
            </c:extLst>
          </c:dPt>
          <c:dPt>
            <c:idx val="1"/>
            <c:bubble3D val="0"/>
            <c:spPr>
              <a:solidFill>
                <a:srgbClr val="B1B1B1"/>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2-772E-431E-86C8-FBA82502BA9D}"/>
              </c:ext>
            </c:extLst>
          </c:dPt>
          <c:dPt>
            <c:idx val="2"/>
            <c:bubble3D val="0"/>
            <c:spPr>
              <a:solidFill>
                <a:srgbClr val="888888"/>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4-772E-431E-86C8-FBA82502BA9D}"/>
              </c:ext>
            </c:extLst>
          </c:dPt>
          <c:dPt>
            <c:idx val="3"/>
            <c:bubble3D val="0"/>
            <c:spPr>
              <a:solidFill>
                <a:srgbClr val="262626"/>
              </a:solidFill>
              <a:ln w="12700" cap="flat">
                <a:noFill/>
                <a:miter lim="400000"/>
              </a:ln>
              <a:effectLst>
                <a:outerShdw blurRad="63500" algn="tl">
                  <a:srgbClr val="000000">
                    <a:alpha val="20000"/>
                  </a:srgbClr>
                </a:outerShdw>
              </a:effectLst>
            </c:spPr>
            <c:extLst>
              <c:ext xmlns:c16="http://schemas.microsoft.com/office/drawing/2014/chart" uri="{C3380CC4-5D6E-409C-BE32-E72D297353CC}">
                <c16:uniqueId val="{00000006-772E-431E-86C8-FBA82502BA9D}"/>
              </c:ext>
            </c:extLst>
          </c:dPt>
          <c:dLbls>
            <c:dLbl>
              <c:idx val="0"/>
              <c:layout>
                <c:manualLayout>
                  <c:x val="-0.13730355665839536"/>
                  <c:y val="-1.2402909934025012E-2"/>
                </c:manualLayout>
              </c:layout>
              <c:numFmt formatCode="0%" sourceLinked="0"/>
              <c:spPr/>
              <c:txPr>
                <a:bodyPr/>
                <a:lstStyle/>
                <a:p>
                  <a:pPr>
                    <a:defRPr sz="1000" b="1" i="0" u="none" strike="noStrike">
                      <a:solidFill>
                        <a:srgbClr val="5F5F5F"/>
                      </a:solidFill>
                      <a:latin typeface="Charis SIL"/>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8092638544251447"/>
                      <c:h val="0.22643507030603802"/>
                    </c:manualLayout>
                  </c15:layout>
                </c:ext>
                <c:ext xmlns:c16="http://schemas.microsoft.com/office/drawing/2014/chart" uri="{C3380CC4-5D6E-409C-BE32-E72D297353CC}">
                  <c16:uniqueId val="{00000000-772E-431E-86C8-FBA82502BA9D}"/>
                </c:ext>
              </c:extLst>
            </c:dLbl>
            <c:dLbl>
              <c:idx val="1"/>
              <c:layout>
                <c:manualLayout>
                  <c:x val="0.18362282878411917"/>
                  <c:y val="-4.5487974052871201E-2"/>
                </c:manualLayout>
              </c:layout>
              <c:numFmt formatCode="0%" sourceLinked="0"/>
              <c:spPr/>
              <c:txPr>
                <a:bodyPr/>
                <a:lstStyle/>
                <a:p>
                  <a:pPr>
                    <a:defRPr sz="1000" b="1" i="0" u="none" strike="noStrike">
                      <a:solidFill>
                        <a:srgbClr val="B1B1B1"/>
                      </a:solidFill>
                      <a:latin typeface="Charis SIL"/>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30739454094292806"/>
                      <c:h val="0.22643507030603802"/>
                    </c:manualLayout>
                  </c15:layout>
                </c:ext>
                <c:ext xmlns:c16="http://schemas.microsoft.com/office/drawing/2014/chart" uri="{C3380CC4-5D6E-409C-BE32-E72D297353CC}">
                  <c16:uniqueId val="{00000002-772E-431E-86C8-FBA82502BA9D}"/>
                </c:ext>
              </c:extLst>
            </c:dLbl>
            <c:dLbl>
              <c:idx val="2"/>
              <c:numFmt formatCode="0%" sourceLinked="0"/>
              <c:spPr/>
              <c:txPr>
                <a:bodyPr/>
                <a:lstStyle/>
                <a:p>
                  <a:pPr>
                    <a:defRPr sz="1000" b="1" i="0" u="none" strike="noStrike">
                      <a:solidFill>
                        <a:srgbClr val="888888"/>
                      </a:solidFill>
                      <a:latin typeface="Charis SIL"/>
                    </a:defRPr>
                  </a:pPr>
                  <a:endParaRPr lang="en-US"/>
                </a:p>
              </c:txPr>
              <c:dLblPos val="outEnd"/>
              <c:showLegendKey val="0"/>
              <c:showVal val="0"/>
              <c:showCatName val="1"/>
              <c:showSerName val="0"/>
              <c:showPercent val="1"/>
              <c:showBubbleSize val="0"/>
              <c:extLst>
                <c:ext xmlns:c15="http://schemas.microsoft.com/office/drawing/2012/chart" uri="{CE6537A1-D6FC-4f65-9D91-7224C49458BB}">
                  <c15:layout>
                    <c:manualLayout>
                      <c:w val="0.25224152191894122"/>
                      <c:h val="0.22643507030603802"/>
                    </c:manualLayout>
                  </c15:layout>
                </c:ext>
                <c:ext xmlns:c16="http://schemas.microsoft.com/office/drawing/2014/chart" uri="{C3380CC4-5D6E-409C-BE32-E72D297353CC}">
                  <c16:uniqueId val="{00000004-772E-431E-86C8-FBA82502BA9D}"/>
                </c:ext>
              </c:extLst>
            </c:dLbl>
            <c:dLbl>
              <c:idx val="3"/>
              <c:layout>
                <c:manualLayout>
                  <c:x val="5.789909015715463E-2"/>
                  <c:y val="0.20843672456575679"/>
                </c:manualLayout>
              </c:layout>
              <c:numFmt formatCode="0%" sourceLinked="0"/>
              <c:spPr/>
              <c:txPr>
                <a:bodyPr/>
                <a:lstStyle/>
                <a:p>
                  <a:pPr>
                    <a:defRPr sz="1000" b="1" i="0" u="none" strike="noStrike">
                      <a:solidFill>
                        <a:srgbClr val="262626"/>
                      </a:solidFill>
                      <a:latin typeface="Charis SIL"/>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3900744416873446"/>
                      <c:h val="0.22643507030603802"/>
                    </c:manualLayout>
                  </c15:layout>
                </c:ext>
                <c:ext xmlns:c16="http://schemas.microsoft.com/office/drawing/2014/chart" uri="{C3380CC4-5D6E-409C-BE32-E72D297353CC}">
                  <c16:uniqueId val="{00000006-772E-431E-86C8-FBA82502BA9D}"/>
                </c:ext>
              </c:extLst>
            </c:dLbl>
            <c:numFmt formatCode="0%" sourceLinked="0"/>
            <c:spPr>
              <a:noFill/>
              <a:ln>
                <a:noFill/>
              </a:ln>
              <a:effectLst/>
            </c:spPr>
            <c:txPr>
              <a:bodyPr/>
              <a:lstStyle/>
              <a:p>
                <a:pPr>
                  <a:defRPr sz="1000" b="1" i="0" u="none" strike="noStrike">
                    <a:solidFill>
                      <a:srgbClr val="5F5F5F"/>
                    </a:solidFill>
                    <a:latin typeface="Charis SIL"/>
                  </a:defRPr>
                </a:pPr>
                <a:endParaRPr lang="en-US"/>
              </a:p>
            </c:txPr>
            <c:dLblPos val="inEnd"/>
            <c:showLegendKey val="0"/>
            <c:showVal val="0"/>
            <c:showCatName val="1"/>
            <c:showSerName val="0"/>
            <c:showPercent val="1"/>
            <c:showBubbleSize val="0"/>
            <c:showLeaderLines val="0"/>
            <c:extLst>
              <c:ext xmlns:c15="http://schemas.microsoft.com/office/drawing/2012/chart" uri="{CE6537A1-D6FC-4f65-9D91-7224C49458BB}"/>
            </c:extLst>
          </c:dLbls>
          <c:cat>
            <c:strRef>
              <c:f>Sheet1!$B$1:$E$1</c:f>
              <c:strCache>
                <c:ptCount val="4"/>
                <c:pt idx="0">
                  <c:v>täysin hyödyttömäksi</c:v>
                </c:pt>
                <c:pt idx="1">
                  <c:v>melko hyödyttömäksi</c:v>
                </c:pt>
                <c:pt idx="2">
                  <c:v>melko hyödylliseksi</c:v>
                </c:pt>
                <c:pt idx="3">
                  <c:v>erittäin hyödylliseksi</c:v>
                </c:pt>
              </c:strCache>
            </c:strRef>
          </c:cat>
          <c:val>
            <c:numRef>
              <c:f>Sheet1!$B$2:$E$2</c:f>
              <c:numCache>
                <c:formatCode>General</c:formatCode>
                <c:ptCount val="4"/>
                <c:pt idx="0">
                  <c:v>0</c:v>
                </c:pt>
                <c:pt idx="1">
                  <c:v>0</c:v>
                </c:pt>
                <c:pt idx="2">
                  <c:v>4</c:v>
                </c:pt>
                <c:pt idx="3">
                  <c:v>5</c:v>
                </c:pt>
              </c:numCache>
            </c:numRef>
          </c:val>
          <c:extLst>
            <c:ext xmlns:c16="http://schemas.microsoft.com/office/drawing/2014/chart" uri="{C3380CC4-5D6E-409C-BE32-E72D297353CC}">
              <c16:uniqueId val="{00000007-772E-431E-86C8-FBA82502BA9D}"/>
            </c:ext>
          </c:extLst>
        </c:ser>
        <c:dLbls>
          <c:showLegendKey val="0"/>
          <c:showVal val="0"/>
          <c:showCatName val="0"/>
          <c:showSerName val="0"/>
          <c:showPercent val="0"/>
          <c:showBubbleSize val="0"/>
          <c:showLeaderLines val="0"/>
        </c:dLbls>
        <c:firstSliceAng val="0"/>
      </c:pieChart>
      <c:spPr>
        <a:noFill/>
        <a:ln w="12700" cap="flat">
          <a:noFill/>
          <a:miter lim="400000"/>
        </a:ln>
        <a:effectLst/>
      </c:spPr>
    </c:plotArea>
    <c:plotVisOnly val="1"/>
    <c:dispBlanksAs val="gap"/>
    <c:showDLblsOverMax val="1"/>
  </c:chart>
  <c:spPr>
    <a:solidFill>
      <a:srgbClr val="FFFFFF"/>
    </a:solidFill>
    <a:ln>
      <a:noFill/>
    </a:ln>
    <a:effectLst/>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8269723463144296"/>
          <c:y val="8.2368899999999995E-2"/>
          <c:w val="0.41230272091129755"/>
          <c:h val="0.87073599999999995"/>
        </c:manualLayout>
      </c:layout>
      <c:barChart>
        <c:barDir val="col"/>
        <c:grouping val="clustered"/>
        <c:varyColors val="0"/>
        <c:ser>
          <c:idx val="0"/>
          <c:order val="0"/>
          <c:tx>
            <c:strRef>
              <c:f>Sheet1!$A$2</c:f>
              <c:strCache>
                <c:ptCount val="1"/>
                <c:pt idx="0">
                  <c:v>sanojen opettelussa</c:v>
                </c:pt>
              </c:strCache>
            </c:strRef>
          </c:tx>
          <c:spPr>
            <a:solidFill>
              <a:srgbClr val="5F5F5F"/>
            </a:solidFill>
            <a:ln w="12700" cap="flat">
              <a:noFill/>
              <a:miter lim="400000"/>
            </a:ln>
            <a:effectLst/>
          </c:spPr>
          <c:invertIfNegative val="0"/>
          <c:cat>
            <c:strRef>
              <c:f>Sheet1!$B$1:$B$1</c:f>
              <c:strCache>
                <c:ptCount val="1"/>
                <c:pt idx="0">
                  <c:v>Category 1</c:v>
                </c:pt>
              </c:strCache>
            </c:strRef>
          </c:cat>
          <c:val>
            <c:numRef>
              <c:f>Sheet1!$B$2:$B$2</c:f>
              <c:numCache>
                <c:formatCode>General</c:formatCode>
                <c:ptCount val="1"/>
                <c:pt idx="0">
                  <c:v>5</c:v>
                </c:pt>
              </c:numCache>
            </c:numRef>
          </c:val>
          <c:extLst>
            <c:ext xmlns:c16="http://schemas.microsoft.com/office/drawing/2014/chart" uri="{C3380CC4-5D6E-409C-BE32-E72D297353CC}">
              <c16:uniqueId val="{00000000-8626-4BDD-A72B-2DAFD93376FF}"/>
            </c:ext>
          </c:extLst>
        </c:ser>
        <c:ser>
          <c:idx val="1"/>
          <c:order val="1"/>
          <c:tx>
            <c:strRef>
              <c:f>Sheet1!$A$3</c:f>
              <c:strCache>
                <c:ptCount val="1"/>
                <c:pt idx="0">
                  <c:v>taivutuksen opettelussa</c:v>
                </c:pt>
              </c:strCache>
            </c:strRef>
          </c:tx>
          <c:spPr>
            <a:solidFill>
              <a:srgbClr val="B1B1B1"/>
            </a:solidFill>
            <a:ln w="12700" cap="flat">
              <a:noFill/>
              <a:miter lim="400000"/>
            </a:ln>
            <a:effectLst/>
          </c:spPr>
          <c:invertIfNegative val="0"/>
          <c:cat>
            <c:strRef>
              <c:f>Sheet1!$B$1:$B$1</c:f>
              <c:strCache>
                <c:ptCount val="1"/>
                <c:pt idx="0">
                  <c:v>Category 1</c:v>
                </c:pt>
              </c:strCache>
            </c:strRef>
          </c:cat>
          <c:val>
            <c:numRef>
              <c:f>Sheet1!$B$3:$B$3</c:f>
              <c:numCache>
                <c:formatCode>General</c:formatCode>
                <c:ptCount val="1"/>
                <c:pt idx="0">
                  <c:v>4</c:v>
                </c:pt>
              </c:numCache>
            </c:numRef>
          </c:val>
          <c:extLst>
            <c:ext xmlns:c16="http://schemas.microsoft.com/office/drawing/2014/chart" uri="{C3380CC4-5D6E-409C-BE32-E72D297353CC}">
              <c16:uniqueId val="{00000001-8626-4BDD-A72B-2DAFD93376FF}"/>
            </c:ext>
          </c:extLst>
        </c:ser>
        <c:ser>
          <c:idx val="2"/>
          <c:order val="2"/>
          <c:tx>
            <c:strRef>
              <c:f>Sheet1!$A$4</c:f>
              <c:strCache>
                <c:ptCount val="1"/>
                <c:pt idx="0">
                  <c:v>astevaihtelun oppimisessa</c:v>
                </c:pt>
              </c:strCache>
            </c:strRef>
          </c:tx>
          <c:spPr>
            <a:solidFill>
              <a:srgbClr val="888888"/>
            </a:solidFill>
            <a:ln w="12700" cap="flat">
              <a:noFill/>
              <a:miter lim="400000"/>
            </a:ln>
            <a:effectLst/>
          </c:spPr>
          <c:invertIfNegative val="0"/>
          <c:cat>
            <c:strRef>
              <c:f>Sheet1!$B$1:$B$1</c:f>
              <c:strCache>
                <c:ptCount val="1"/>
                <c:pt idx="0">
                  <c:v>Category 1</c:v>
                </c:pt>
              </c:strCache>
            </c:strRef>
          </c:cat>
          <c:val>
            <c:numRef>
              <c:f>Sheet1!$B$4:$B$4</c:f>
              <c:numCache>
                <c:formatCode>General</c:formatCode>
                <c:ptCount val="1"/>
                <c:pt idx="0">
                  <c:v>1</c:v>
                </c:pt>
              </c:numCache>
            </c:numRef>
          </c:val>
          <c:extLst>
            <c:ext xmlns:c16="http://schemas.microsoft.com/office/drawing/2014/chart" uri="{C3380CC4-5D6E-409C-BE32-E72D297353CC}">
              <c16:uniqueId val="{00000002-8626-4BDD-A72B-2DAFD93376FF}"/>
            </c:ext>
          </c:extLst>
        </c:ser>
        <c:ser>
          <c:idx val="3"/>
          <c:order val="3"/>
          <c:tx>
            <c:strRef>
              <c:f>Sheet1!$A$5</c:f>
              <c:strCache>
                <c:ptCount val="1"/>
                <c:pt idx="0">
                  <c:v>ei missään</c:v>
                </c:pt>
              </c:strCache>
            </c:strRef>
          </c:tx>
          <c:spPr>
            <a:solidFill>
              <a:srgbClr val="262626"/>
            </a:solidFill>
            <a:ln w="12700" cap="flat">
              <a:noFill/>
              <a:miter lim="400000"/>
            </a:ln>
            <a:effectLst/>
          </c:spPr>
          <c:invertIfNegative val="0"/>
          <c:cat>
            <c:strRef>
              <c:f>Sheet1!$B$1:$B$1</c:f>
              <c:strCache>
                <c:ptCount val="1"/>
                <c:pt idx="0">
                  <c:v>Category 1</c:v>
                </c:pt>
              </c:strCache>
            </c:strRef>
          </c:cat>
          <c:val>
            <c:numRef>
              <c:f>Sheet1!$B$5:$B$5</c:f>
              <c:numCache>
                <c:formatCode>General</c:formatCode>
                <c:ptCount val="1"/>
                <c:pt idx="0">
                  <c:v>1</c:v>
                </c:pt>
              </c:numCache>
            </c:numRef>
          </c:val>
          <c:extLst>
            <c:ext xmlns:c16="http://schemas.microsoft.com/office/drawing/2014/chart" uri="{C3380CC4-5D6E-409C-BE32-E72D297353CC}">
              <c16:uniqueId val="{00000003-8626-4BDD-A72B-2DAFD93376FF}"/>
            </c:ext>
          </c:extLst>
        </c:ser>
        <c:dLbls>
          <c:showLegendKey val="0"/>
          <c:showVal val="0"/>
          <c:showCatName val="0"/>
          <c:showSerName val="0"/>
          <c:showPercent val="0"/>
          <c:showBubbleSize val="0"/>
        </c:dLbls>
        <c:gapWidth val="199"/>
        <c:axId val="2094734552"/>
        <c:axId val="2094734553"/>
      </c:barChart>
      <c:catAx>
        <c:axId val="2094734552"/>
        <c:scaling>
          <c:orientation val="minMax"/>
        </c:scaling>
        <c:delete val="0"/>
        <c:axPos val="b"/>
        <c:numFmt formatCode="General" sourceLinked="0"/>
        <c:majorTickMark val="none"/>
        <c:minorTickMark val="none"/>
        <c:tickLblPos val="none"/>
        <c:spPr>
          <a:ln w="12700" cap="flat">
            <a:noFill/>
            <a:prstDash val="solid"/>
            <a:miter lim="800000"/>
          </a:ln>
        </c:spPr>
        <c:txPr>
          <a:bodyPr rot="0"/>
          <a:lstStyle/>
          <a:p>
            <a:pPr>
              <a:defRPr sz="1000" b="0" i="0" u="none" strike="noStrike">
                <a:solidFill>
                  <a:srgbClr val="000000"/>
                </a:solidFill>
                <a:latin typeface="Calibri"/>
              </a:defRPr>
            </a:pPr>
            <a:endParaRPr lang="en-US"/>
          </a:p>
        </c:txPr>
        <c:crossAx val="2094734553"/>
        <c:crosses val="autoZero"/>
        <c:auto val="1"/>
        <c:lblAlgn val="ctr"/>
        <c:lblOffset val="100"/>
        <c:noMultiLvlLbl val="1"/>
      </c:catAx>
      <c:valAx>
        <c:axId val="2094734553"/>
        <c:scaling>
          <c:orientation val="minMax"/>
          <c:max val="5"/>
        </c:scaling>
        <c:delete val="0"/>
        <c:axPos val="l"/>
        <c:majorGridlines>
          <c:spPr>
            <a:ln w="12700" cap="flat">
              <a:solidFill>
                <a:srgbClr val="D9D9D9"/>
              </a:solidFill>
              <a:prstDash val="solid"/>
              <a:round/>
            </a:ln>
          </c:spPr>
        </c:majorGridlines>
        <c:numFmt formatCode="0" sourceLinked="0"/>
        <c:majorTickMark val="none"/>
        <c:minorTickMark val="none"/>
        <c:tickLblPos val="nextTo"/>
        <c:spPr>
          <a:ln w="12700" cap="flat">
            <a:noFill/>
            <a:prstDash val="solid"/>
            <a:miter lim="800000"/>
          </a:ln>
        </c:spPr>
        <c:txPr>
          <a:bodyPr rot="0"/>
          <a:lstStyle/>
          <a:p>
            <a:pPr>
              <a:defRPr sz="900" b="0" i="0" u="none" strike="noStrike">
                <a:solidFill>
                  <a:srgbClr val="595959"/>
                </a:solidFill>
                <a:latin typeface="Calibri"/>
              </a:defRPr>
            </a:pPr>
            <a:endParaRPr lang="en-US"/>
          </a:p>
        </c:txPr>
        <c:crossAx val="2094734552"/>
        <c:crosses val="autoZero"/>
        <c:crossBetween val="between"/>
        <c:majorUnit val="1.25"/>
        <c:minorUnit val="0.625"/>
      </c:valAx>
      <c:spPr>
        <a:noFill/>
        <a:ln w="12700" cap="flat">
          <a:noFill/>
          <a:miter lim="400000"/>
        </a:ln>
        <a:effectLst/>
      </c:spPr>
    </c:plotArea>
    <c:legend>
      <c:legendPos val="l"/>
      <c:layout>
        <c:manualLayout>
          <c:xMode val="edge"/>
          <c:yMode val="edge"/>
          <c:x val="0"/>
          <c:y val="3.8908457053555334E-2"/>
          <c:w val="0.45809217387107143"/>
          <c:h val="0.93331490052293087"/>
        </c:manualLayout>
      </c:layout>
      <c:overlay val="1"/>
      <c:spPr>
        <a:noFill/>
        <a:ln w="12700" cap="flat">
          <a:noFill/>
          <a:miter lim="400000"/>
        </a:ln>
        <a:effectLst/>
      </c:spPr>
      <c:txPr>
        <a:bodyPr rot="0"/>
        <a:lstStyle/>
        <a:p>
          <a:pPr>
            <a:defRPr sz="900" b="0" i="0" u="none" strike="noStrike">
              <a:solidFill>
                <a:srgbClr val="595959"/>
              </a:solidFill>
              <a:latin typeface="Charis SIL"/>
            </a:defRPr>
          </a:pPr>
          <a:endParaRPr lang="en-US"/>
        </a:p>
      </c:txPr>
    </c:legend>
    <c:plotVisOnly val="1"/>
    <c:dispBlanksAs val="gap"/>
    <c:showDLblsOverMax val="1"/>
  </c:chart>
  <c:spPr>
    <a:solidFill>
      <a:srgbClr val="FFFFFF"/>
    </a:solidFill>
    <a:ln>
      <a:noFill/>
    </a:ln>
    <a:effectLst/>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250300000000003"/>
          <c:y val="5.7314799999999999E-2"/>
          <c:w val="0.56249700000000002"/>
          <c:h val="0.90391600000000005"/>
        </c:manualLayout>
      </c:layout>
      <c:barChart>
        <c:barDir val="col"/>
        <c:grouping val="clustered"/>
        <c:varyColors val="0"/>
        <c:ser>
          <c:idx val="0"/>
          <c:order val="0"/>
          <c:tx>
            <c:strRef>
              <c:f>Sheet1!$A$2</c:f>
              <c:strCache>
                <c:ptCount val="1"/>
                <c:pt idx="0">
                  <c:v>sanojen taivuttamisesta</c:v>
                </c:pt>
              </c:strCache>
            </c:strRef>
          </c:tx>
          <c:spPr>
            <a:solidFill>
              <a:srgbClr val="5F5F5F"/>
            </a:solidFill>
            <a:ln w="12700" cap="flat">
              <a:noFill/>
              <a:miter lim="400000"/>
            </a:ln>
            <a:effectLst/>
          </c:spPr>
          <c:invertIfNegative val="0"/>
          <c:cat>
            <c:strRef>
              <c:f>Sheet1!$B$1:$B$1</c:f>
              <c:strCache>
                <c:ptCount val="1"/>
                <c:pt idx="0">
                  <c:v>Category 1</c:v>
                </c:pt>
              </c:strCache>
            </c:strRef>
          </c:cat>
          <c:val>
            <c:numRef>
              <c:f>Sheet1!$B$2:$B$2</c:f>
              <c:numCache>
                <c:formatCode>General</c:formatCode>
                <c:ptCount val="1"/>
                <c:pt idx="0">
                  <c:v>4</c:v>
                </c:pt>
              </c:numCache>
            </c:numRef>
          </c:val>
          <c:extLst>
            <c:ext xmlns:c16="http://schemas.microsoft.com/office/drawing/2014/chart" uri="{C3380CC4-5D6E-409C-BE32-E72D297353CC}">
              <c16:uniqueId val="{00000000-125C-4927-BD11-BF6C72B78C9E}"/>
            </c:ext>
          </c:extLst>
        </c:ser>
        <c:ser>
          <c:idx val="1"/>
          <c:order val="1"/>
          <c:tx>
            <c:strRef>
              <c:f>Sheet1!$A$3</c:f>
              <c:strCache>
                <c:ptCount val="1"/>
                <c:pt idx="0">
                  <c:v>etymologiasta</c:v>
                </c:pt>
              </c:strCache>
            </c:strRef>
          </c:tx>
          <c:spPr>
            <a:solidFill>
              <a:srgbClr val="B1B1B1"/>
            </a:solidFill>
            <a:ln w="12700" cap="flat">
              <a:noFill/>
              <a:miter lim="400000"/>
            </a:ln>
            <a:effectLst/>
          </c:spPr>
          <c:invertIfNegative val="0"/>
          <c:cat>
            <c:strRef>
              <c:f>Sheet1!$B$1:$B$1</c:f>
              <c:strCache>
                <c:ptCount val="1"/>
                <c:pt idx="0">
                  <c:v>Category 1</c:v>
                </c:pt>
              </c:strCache>
            </c:strRef>
          </c:cat>
          <c:val>
            <c:numRef>
              <c:f>Sheet1!$B$3:$B$3</c:f>
              <c:numCache>
                <c:formatCode>General</c:formatCode>
                <c:ptCount val="1"/>
                <c:pt idx="0">
                  <c:v>2</c:v>
                </c:pt>
              </c:numCache>
            </c:numRef>
          </c:val>
          <c:extLst>
            <c:ext xmlns:c16="http://schemas.microsoft.com/office/drawing/2014/chart" uri="{C3380CC4-5D6E-409C-BE32-E72D297353CC}">
              <c16:uniqueId val="{00000001-125C-4927-BD11-BF6C72B78C9E}"/>
            </c:ext>
          </c:extLst>
        </c:ser>
        <c:ser>
          <c:idx val="2"/>
          <c:order val="2"/>
          <c:tx>
            <c:strRef>
              <c:f>Sheet1!$A$4</c:f>
              <c:strCache>
                <c:ptCount val="1"/>
                <c:pt idx="0">
                  <c:v>saamen ja suomen kielisukulaisuudesta</c:v>
                </c:pt>
              </c:strCache>
            </c:strRef>
          </c:tx>
          <c:spPr>
            <a:solidFill>
              <a:srgbClr val="888888"/>
            </a:solidFill>
            <a:ln w="12700" cap="flat">
              <a:noFill/>
              <a:miter lim="400000"/>
            </a:ln>
            <a:effectLst/>
          </c:spPr>
          <c:invertIfNegative val="0"/>
          <c:cat>
            <c:strRef>
              <c:f>Sheet1!$B$1:$B$1</c:f>
              <c:strCache>
                <c:ptCount val="1"/>
                <c:pt idx="0">
                  <c:v>Category 1</c:v>
                </c:pt>
              </c:strCache>
            </c:strRef>
          </c:cat>
          <c:val>
            <c:numRef>
              <c:f>Sheet1!$B$4:$B$4</c:f>
              <c:numCache>
                <c:formatCode>General</c:formatCode>
                <c:ptCount val="1"/>
                <c:pt idx="0">
                  <c:v>1</c:v>
                </c:pt>
              </c:numCache>
            </c:numRef>
          </c:val>
          <c:extLst>
            <c:ext xmlns:c16="http://schemas.microsoft.com/office/drawing/2014/chart" uri="{C3380CC4-5D6E-409C-BE32-E72D297353CC}">
              <c16:uniqueId val="{00000002-125C-4927-BD11-BF6C72B78C9E}"/>
            </c:ext>
          </c:extLst>
        </c:ser>
        <c:ser>
          <c:idx val="3"/>
          <c:order val="3"/>
          <c:tx>
            <c:strRef>
              <c:f>Sheet1!$A$5</c:f>
              <c:strCache>
                <c:ptCount val="1"/>
                <c:pt idx="0">
                  <c:v>saamen substraattisanastosta</c:v>
                </c:pt>
              </c:strCache>
            </c:strRef>
          </c:tx>
          <c:spPr>
            <a:solidFill>
              <a:srgbClr val="262626"/>
            </a:solidFill>
            <a:ln w="12700" cap="flat">
              <a:noFill/>
              <a:miter lim="400000"/>
            </a:ln>
            <a:effectLst/>
          </c:spPr>
          <c:invertIfNegative val="0"/>
          <c:cat>
            <c:strRef>
              <c:f>Sheet1!$B$1:$B$1</c:f>
              <c:strCache>
                <c:ptCount val="1"/>
                <c:pt idx="0">
                  <c:v>Category 1</c:v>
                </c:pt>
              </c:strCache>
            </c:strRef>
          </c:cat>
          <c:val>
            <c:numRef>
              <c:f>Sheet1!$B$5:$B$5</c:f>
              <c:numCache>
                <c:formatCode>General</c:formatCode>
                <c:ptCount val="1"/>
                <c:pt idx="0">
                  <c:v>1</c:v>
                </c:pt>
              </c:numCache>
            </c:numRef>
          </c:val>
          <c:extLst>
            <c:ext xmlns:c16="http://schemas.microsoft.com/office/drawing/2014/chart" uri="{C3380CC4-5D6E-409C-BE32-E72D297353CC}">
              <c16:uniqueId val="{00000003-125C-4927-BD11-BF6C72B78C9E}"/>
            </c:ext>
          </c:extLst>
        </c:ser>
        <c:ser>
          <c:idx val="4"/>
          <c:order val="4"/>
          <c:tx>
            <c:strRef>
              <c:f>Sheet1!$A$6</c:f>
              <c:strCache>
                <c:ptCount val="1"/>
                <c:pt idx="0">
                  <c:v>saamen johdoksista</c:v>
                </c:pt>
              </c:strCache>
            </c:strRef>
          </c:tx>
          <c:spPr>
            <a:solidFill>
              <a:srgbClr val="D9D9D9"/>
            </a:solidFill>
            <a:ln w="12700" cap="flat">
              <a:noFill/>
              <a:miter lim="400000"/>
            </a:ln>
            <a:effectLst/>
          </c:spPr>
          <c:invertIfNegative val="0"/>
          <c:cat>
            <c:strRef>
              <c:f>Sheet1!$B$1:$B$1</c:f>
              <c:strCache>
                <c:ptCount val="1"/>
                <c:pt idx="0">
                  <c:v>Category 1</c:v>
                </c:pt>
              </c:strCache>
            </c:strRef>
          </c:cat>
          <c:val>
            <c:numRef>
              <c:f>Sheet1!$B$6:$B$6</c:f>
              <c:numCache>
                <c:formatCode>General</c:formatCode>
                <c:ptCount val="1"/>
                <c:pt idx="0">
                  <c:v>1</c:v>
                </c:pt>
              </c:numCache>
            </c:numRef>
          </c:val>
          <c:extLst>
            <c:ext xmlns:c16="http://schemas.microsoft.com/office/drawing/2014/chart" uri="{C3380CC4-5D6E-409C-BE32-E72D297353CC}">
              <c16:uniqueId val="{00000004-125C-4927-BD11-BF6C72B78C9E}"/>
            </c:ext>
          </c:extLst>
        </c:ser>
        <c:ser>
          <c:idx val="5"/>
          <c:order val="5"/>
          <c:tx>
            <c:strRef>
              <c:f>Sheet1!$A$7</c:f>
              <c:strCache>
                <c:ptCount val="1"/>
                <c:pt idx="0">
                  <c:v>vokaalinmuutoksista</c:v>
                </c:pt>
              </c:strCache>
            </c:strRef>
          </c:tx>
          <c:spPr>
            <a:solidFill>
              <a:srgbClr val="A8A8A8"/>
            </a:solidFill>
            <a:ln w="12700" cap="flat">
              <a:noFill/>
              <a:miter lim="400000"/>
            </a:ln>
            <a:effectLst/>
          </c:spPr>
          <c:invertIfNegative val="0"/>
          <c:cat>
            <c:strRef>
              <c:f>Sheet1!$B$1:$B$1</c:f>
              <c:strCache>
                <c:ptCount val="1"/>
                <c:pt idx="0">
                  <c:v>Category 1</c:v>
                </c:pt>
              </c:strCache>
            </c:strRef>
          </c:cat>
          <c:val>
            <c:numRef>
              <c:f>Sheet1!$B$7:$B$7</c:f>
              <c:numCache>
                <c:formatCode>General</c:formatCode>
                <c:ptCount val="1"/>
                <c:pt idx="0">
                  <c:v>1</c:v>
                </c:pt>
              </c:numCache>
            </c:numRef>
          </c:val>
          <c:extLst>
            <c:ext xmlns:c16="http://schemas.microsoft.com/office/drawing/2014/chart" uri="{C3380CC4-5D6E-409C-BE32-E72D297353CC}">
              <c16:uniqueId val="{00000005-125C-4927-BD11-BF6C72B78C9E}"/>
            </c:ext>
          </c:extLst>
        </c:ser>
        <c:dLbls>
          <c:showLegendKey val="0"/>
          <c:showVal val="0"/>
          <c:showCatName val="0"/>
          <c:showSerName val="0"/>
          <c:showPercent val="0"/>
          <c:showBubbleSize val="0"/>
        </c:dLbls>
        <c:gapWidth val="199"/>
        <c:axId val="2094734552"/>
        <c:axId val="2094734553"/>
      </c:barChart>
      <c:catAx>
        <c:axId val="2094734552"/>
        <c:scaling>
          <c:orientation val="minMax"/>
        </c:scaling>
        <c:delete val="0"/>
        <c:axPos val="b"/>
        <c:numFmt formatCode="General" sourceLinked="0"/>
        <c:majorTickMark val="none"/>
        <c:minorTickMark val="none"/>
        <c:tickLblPos val="none"/>
        <c:spPr>
          <a:ln w="12700" cap="flat">
            <a:noFill/>
            <a:prstDash val="solid"/>
            <a:miter lim="800000"/>
          </a:ln>
        </c:spPr>
        <c:txPr>
          <a:bodyPr rot="0"/>
          <a:lstStyle/>
          <a:p>
            <a:pPr>
              <a:defRPr sz="1000" b="0" i="0" u="none" strike="noStrike">
                <a:solidFill>
                  <a:srgbClr val="000000"/>
                </a:solidFill>
                <a:latin typeface="Charis SIL"/>
              </a:defRPr>
            </a:pPr>
            <a:endParaRPr lang="en-US"/>
          </a:p>
        </c:txPr>
        <c:crossAx val="2094734553"/>
        <c:crosses val="autoZero"/>
        <c:auto val="1"/>
        <c:lblAlgn val="ctr"/>
        <c:lblOffset val="100"/>
        <c:noMultiLvlLbl val="1"/>
      </c:catAx>
      <c:valAx>
        <c:axId val="2094734553"/>
        <c:scaling>
          <c:orientation val="minMax"/>
          <c:max val="4"/>
        </c:scaling>
        <c:delete val="0"/>
        <c:axPos val="l"/>
        <c:majorGridlines>
          <c:spPr>
            <a:ln w="12700" cap="flat">
              <a:solidFill>
                <a:srgbClr val="D9D9D9"/>
              </a:solidFill>
              <a:prstDash val="solid"/>
              <a:round/>
            </a:ln>
          </c:spPr>
        </c:majorGridlines>
        <c:numFmt formatCode="0" sourceLinked="0"/>
        <c:majorTickMark val="none"/>
        <c:minorTickMark val="none"/>
        <c:tickLblPos val="nextTo"/>
        <c:spPr>
          <a:ln w="12700" cap="flat">
            <a:noFill/>
            <a:prstDash val="solid"/>
            <a:miter lim="800000"/>
          </a:ln>
        </c:spPr>
        <c:txPr>
          <a:bodyPr rot="0"/>
          <a:lstStyle/>
          <a:p>
            <a:pPr>
              <a:defRPr sz="900" b="0" i="0" u="none" strike="noStrike">
                <a:solidFill>
                  <a:srgbClr val="595959"/>
                </a:solidFill>
                <a:latin typeface="Charis SIL"/>
              </a:defRPr>
            </a:pPr>
            <a:endParaRPr lang="en-US"/>
          </a:p>
        </c:txPr>
        <c:crossAx val="2094734552"/>
        <c:crosses val="autoZero"/>
        <c:crossBetween val="between"/>
        <c:majorUnit val="1"/>
        <c:minorUnit val="0.5"/>
      </c:valAx>
      <c:spPr>
        <a:noFill/>
        <a:ln w="12700" cap="flat">
          <a:noFill/>
          <a:miter lim="400000"/>
        </a:ln>
        <a:effectLst/>
      </c:spPr>
    </c:plotArea>
    <c:legend>
      <c:legendPos val="r"/>
      <c:layout>
        <c:manualLayout>
          <c:xMode val="edge"/>
          <c:yMode val="edge"/>
          <c:x val="0"/>
          <c:y val="4.1494013152822105E-2"/>
          <c:w val="0.34521646239614467"/>
          <c:h val="0.94687042194719684"/>
        </c:manualLayout>
      </c:layout>
      <c:overlay val="1"/>
      <c:spPr>
        <a:noFill/>
        <a:ln w="12700" cap="flat">
          <a:noFill/>
          <a:miter lim="400000"/>
        </a:ln>
        <a:effectLst/>
      </c:spPr>
      <c:txPr>
        <a:bodyPr rot="0"/>
        <a:lstStyle/>
        <a:p>
          <a:pPr>
            <a:defRPr sz="900" b="0" i="0" u="none" strike="noStrike">
              <a:solidFill>
                <a:srgbClr val="595959"/>
              </a:solidFill>
              <a:latin typeface="Charis SIL"/>
            </a:defRPr>
          </a:pPr>
          <a:endParaRPr lang="en-US"/>
        </a:p>
      </c:txPr>
    </c:legend>
    <c:plotVisOnly val="1"/>
    <c:dispBlanksAs val="gap"/>
    <c:showDLblsOverMax val="1"/>
  </c:chart>
  <c:spPr>
    <a:solidFill>
      <a:srgbClr val="FFFFFF"/>
    </a:solidFill>
    <a:ln>
      <a:noFill/>
    </a:ln>
    <a:effectLst/>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Taul2!$B$2</c:f>
              <c:strCache>
                <c:ptCount val="1"/>
                <c:pt idx="0">
                  <c:v>Sarake2</c:v>
                </c:pt>
              </c:strCache>
            </c:strRef>
          </c:tx>
          <c:spPr>
            <a:solidFill>
              <a:schemeClr val="accent1"/>
            </a:solidFill>
            <a:ln>
              <a:noFill/>
            </a:ln>
            <a:effectLst/>
          </c:spPr>
          <c:invertIfNegative val="0"/>
          <c:dPt>
            <c:idx val="0"/>
            <c:invertIfNegative val="0"/>
            <c:bubble3D val="0"/>
            <c:spPr>
              <a:solidFill>
                <a:schemeClr val="bg1">
                  <a:lumMod val="75000"/>
                </a:schemeClr>
              </a:solidFill>
              <a:ln>
                <a:solidFill>
                  <a:schemeClr val="tx1">
                    <a:lumMod val="50000"/>
                    <a:lumOff val="50000"/>
                  </a:schemeClr>
                </a:solidFill>
              </a:ln>
              <a:effectLst/>
            </c:spPr>
            <c:extLst>
              <c:ext xmlns:c16="http://schemas.microsoft.com/office/drawing/2014/chart" uri="{C3380CC4-5D6E-409C-BE32-E72D297353CC}">
                <c16:uniqueId val="{00000007-9844-44A1-8ED9-A8437A83843B}"/>
              </c:ext>
            </c:extLst>
          </c:dPt>
          <c:dPt>
            <c:idx val="1"/>
            <c:invertIfNegative val="0"/>
            <c:bubble3D val="0"/>
            <c:spPr>
              <a:solidFill>
                <a:schemeClr val="bg1">
                  <a:lumMod val="75000"/>
                </a:schemeClr>
              </a:solidFill>
              <a:ln>
                <a:solidFill>
                  <a:schemeClr val="tx1">
                    <a:lumMod val="50000"/>
                    <a:lumOff val="50000"/>
                  </a:schemeClr>
                </a:solidFill>
              </a:ln>
              <a:effectLst/>
            </c:spPr>
            <c:extLst>
              <c:ext xmlns:c16="http://schemas.microsoft.com/office/drawing/2014/chart" uri="{C3380CC4-5D6E-409C-BE32-E72D297353CC}">
                <c16:uniqueId val="{00000006-9844-44A1-8ED9-A8437A83843B}"/>
              </c:ext>
            </c:extLst>
          </c:dPt>
          <c:dPt>
            <c:idx val="2"/>
            <c:invertIfNegative val="0"/>
            <c:bubble3D val="0"/>
            <c:spPr>
              <a:solidFill>
                <a:schemeClr val="bg1">
                  <a:lumMod val="75000"/>
                </a:schemeClr>
              </a:solidFill>
              <a:ln>
                <a:solidFill>
                  <a:schemeClr val="tx1">
                    <a:lumMod val="50000"/>
                    <a:lumOff val="50000"/>
                  </a:schemeClr>
                </a:solidFill>
              </a:ln>
              <a:effectLst/>
            </c:spPr>
            <c:extLst>
              <c:ext xmlns:c16="http://schemas.microsoft.com/office/drawing/2014/chart" uri="{C3380CC4-5D6E-409C-BE32-E72D297353CC}">
                <c16:uniqueId val="{00000005-9844-44A1-8ED9-A8437A83843B}"/>
              </c:ext>
            </c:extLst>
          </c:dPt>
          <c:dPt>
            <c:idx val="3"/>
            <c:invertIfNegative val="0"/>
            <c:bubble3D val="0"/>
            <c:spPr>
              <a:solidFill>
                <a:schemeClr val="bg1">
                  <a:lumMod val="75000"/>
                </a:schemeClr>
              </a:solidFill>
              <a:ln>
                <a:solidFill>
                  <a:schemeClr val="tx1">
                    <a:lumMod val="50000"/>
                    <a:lumOff val="50000"/>
                  </a:schemeClr>
                </a:solidFill>
              </a:ln>
              <a:effectLst/>
            </c:spPr>
            <c:extLst>
              <c:ext xmlns:c16="http://schemas.microsoft.com/office/drawing/2014/chart" uri="{C3380CC4-5D6E-409C-BE32-E72D297353CC}">
                <c16:uniqueId val="{00000004-9844-44A1-8ED9-A8437A83843B}"/>
              </c:ext>
            </c:extLst>
          </c:dPt>
          <c:dPt>
            <c:idx val="4"/>
            <c:invertIfNegative val="0"/>
            <c:bubble3D val="0"/>
            <c:spPr>
              <a:solidFill>
                <a:schemeClr val="bg1">
                  <a:lumMod val="75000"/>
                </a:schemeClr>
              </a:solidFill>
              <a:ln>
                <a:solidFill>
                  <a:schemeClr val="tx1">
                    <a:lumMod val="50000"/>
                    <a:lumOff val="50000"/>
                  </a:schemeClr>
                </a:solidFill>
              </a:ln>
              <a:effectLst/>
            </c:spPr>
            <c:extLst>
              <c:ext xmlns:c16="http://schemas.microsoft.com/office/drawing/2014/chart" uri="{C3380CC4-5D6E-409C-BE32-E72D297353CC}">
                <c16:uniqueId val="{00000003-9844-44A1-8ED9-A8437A83843B}"/>
              </c:ext>
            </c:extLst>
          </c:dPt>
          <c:dPt>
            <c:idx val="5"/>
            <c:invertIfNegative val="0"/>
            <c:bubble3D val="0"/>
            <c:spPr>
              <a:solidFill>
                <a:schemeClr val="bg1">
                  <a:lumMod val="75000"/>
                </a:schemeClr>
              </a:solidFill>
              <a:ln>
                <a:solidFill>
                  <a:schemeClr val="tx1">
                    <a:lumMod val="50000"/>
                    <a:lumOff val="50000"/>
                  </a:schemeClr>
                </a:solidFill>
              </a:ln>
              <a:effectLst/>
            </c:spPr>
            <c:extLst>
              <c:ext xmlns:c16="http://schemas.microsoft.com/office/drawing/2014/chart" uri="{C3380CC4-5D6E-409C-BE32-E72D297353CC}">
                <c16:uniqueId val="{00000002-9844-44A1-8ED9-A8437A83843B}"/>
              </c:ext>
            </c:extLst>
          </c:dPt>
          <c:dPt>
            <c:idx val="6"/>
            <c:invertIfNegative val="0"/>
            <c:bubble3D val="0"/>
            <c:spPr>
              <a:solidFill>
                <a:schemeClr val="bg1">
                  <a:lumMod val="75000"/>
                </a:schemeClr>
              </a:solidFill>
              <a:ln>
                <a:solidFill>
                  <a:schemeClr val="tx1">
                    <a:lumMod val="50000"/>
                    <a:lumOff val="50000"/>
                  </a:schemeClr>
                </a:solidFill>
              </a:ln>
              <a:effectLst/>
            </c:spPr>
            <c:extLst>
              <c:ext xmlns:c16="http://schemas.microsoft.com/office/drawing/2014/chart" uri="{C3380CC4-5D6E-409C-BE32-E72D297353CC}">
                <c16:uniqueId val="{00000001-9844-44A1-8ED9-A8437A83843B}"/>
              </c:ext>
            </c:extLst>
          </c:dPt>
          <c:cat>
            <c:strRef>
              <c:f>Taul2!$A$3:$A$9</c:f>
              <c:strCache>
                <c:ptCount val="7"/>
                <c:pt idx="0">
                  <c:v>Skönlitteratur </c:v>
                </c:pt>
                <c:pt idx="1">
                  <c:v>Uppbyggelselitteratur</c:v>
                </c:pt>
                <c:pt idx="2">
                  <c:v>Filosofi mm</c:v>
                </c:pt>
                <c:pt idx="3">
                  <c:v>Historia</c:v>
                </c:pt>
                <c:pt idx="4">
                  <c:v>Biografica</c:v>
                </c:pt>
                <c:pt idx="5">
                  <c:v>Litteraturhistoria</c:v>
                </c:pt>
                <c:pt idx="6">
                  <c:v>Samhälls- och rättsvetenskap</c:v>
                </c:pt>
              </c:strCache>
            </c:strRef>
          </c:cat>
          <c:val>
            <c:numRef>
              <c:f>Taul2!$B$3:$B$9</c:f>
              <c:numCache>
                <c:formatCode>General</c:formatCode>
                <c:ptCount val="7"/>
                <c:pt idx="0">
                  <c:v>22</c:v>
                </c:pt>
                <c:pt idx="1">
                  <c:v>4</c:v>
                </c:pt>
                <c:pt idx="2">
                  <c:v>2</c:v>
                </c:pt>
                <c:pt idx="3">
                  <c:v>11</c:v>
                </c:pt>
                <c:pt idx="4">
                  <c:v>9</c:v>
                </c:pt>
                <c:pt idx="5">
                  <c:v>4.5</c:v>
                </c:pt>
                <c:pt idx="6">
                  <c:v>26</c:v>
                </c:pt>
              </c:numCache>
            </c:numRef>
          </c:val>
          <c:extLst>
            <c:ext xmlns:c16="http://schemas.microsoft.com/office/drawing/2014/chart" uri="{C3380CC4-5D6E-409C-BE32-E72D297353CC}">
              <c16:uniqueId val="{00000000-9844-44A1-8ED9-A8437A83843B}"/>
            </c:ext>
          </c:extLst>
        </c:ser>
        <c:dLbls>
          <c:showLegendKey val="0"/>
          <c:showVal val="0"/>
          <c:showCatName val="0"/>
          <c:showSerName val="0"/>
          <c:showPercent val="0"/>
          <c:showBubbleSize val="0"/>
        </c:dLbls>
        <c:gapWidth val="219"/>
        <c:overlap val="-27"/>
        <c:axId val="467149488"/>
        <c:axId val="467147848"/>
      </c:barChart>
      <c:catAx>
        <c:axId val="46714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haris SIL" panose="02000500060000020004" pitchFamily="2" charset="0"/>
                <a:ea typeface="+mn-ea"/>
                <a:cs typeface="+mn-cs"/>
              </a:defRPr>
            </a:pPr>
            <a:endParaRPr lang="en-US"/>
          </a:p>
        </c:txPr>
        <c:crossAx val="467147848"/>
        <c:crosses val="autoZero"/>
        <c:auto val="1"/>
        <c:lblAlgn val="ctr"/>
        <c:lblOffset val="100"/>
        <c:noMultiLvlLbl val="0"/>
      </c:catAx>
      <c:valAx>
        <c:axId val="467147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haris SIL" panose="02000500060000020004" pitchFamily="2" charset="0"/>
                <a:ea typeface="+mn-ea"/>
                <a:cs typeface="+mn-cs"/>
              </a:defRPr>
            </a:pPr>
            <a:endParaRPr lang="en-US"/>
          </a:p>
        </c:txPr>
        <c:crossAx val="4671494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203742719895037E-2"/>
          <c:y val="4.1252123271050718E-2"/>
          <c:w val="0.88565480515398409"/>
          <c:h val="0.38397911981458516"/>
        </c:manualLayout>
      </c:layout>
      <c:barChart>
        <c:barDir val="col"/>
        <c:grouping val="clustered"/>
        <c:varyColors val="0"/>
        <c:ser>
          <c:idx val="0"/>
          <c:order val="0"/>
          <c:tx>
            <c:strRef>
              <c:f>Sheet1!$B$1</c:f>
              <c:strCache>
                <c:ptCount val="1"/>
                <c:pt idx="0">
                  <c:v>Column2</c:v>
                </c:pt>
              </c:strCache>
            </c:strRef>
          </c:tx>
          <c:spPr>
            <a:solidFill>
              <a:schemeClr val="bg1">
                <a:lumMod val="75000"/>
              </a:schemeClr>
            </a:solidFill>
            <a:ln>
              <a:solidFill>
                <a:schemeClr val="tx1">
                  <a:lumMod val="50000"/>
                  <a:lumOff val="50000"/>
                </a:schemeClr>
              </a:solidFill>
            </a:ln>
            <a:effectLst/>
          </c:spPr>
          <c:invertIfNegative val="0"/>
          <c:cat>
            <c:strRef>
              <c:f>Sheet1!$A$2:$A$16</c:f>
              <c:strCache>
                <c:ptCount val="15"/>
                <c:pt idx="0">
                  <c:v>1. Serier. Album</c:v>
                </c:pt>
                <c:pt idx="1">
                  <c:v>2. Svensk skönlitteratur: A. Poesi</c:v>
                </c:pt>
                <c:pt idx="2">
                  <c:v>bilaga: Tillfällighetsdikter</c:v>
                </c:pt>
                <c:pt idx="3">
                  <c:v>B. Dramatik</c:v>
                </c:pt>
                <c:pt idx="4">
                  <c:v>C. Prosa: a. Finland</c:v>
                </c:pt>
                <c:pt idx="5">
                  <c:v>b. Sverige</c:v>
                </c:pt>
                <c:pt idx="6">
                  <c:v>D. Barn- och ungdomsböcker</c:v>
                </c:pt>
                <c:pt idx="7">
                  <c:v>3. Finsk skönlitteratur: A. översättn. svenska</c:v>
                </c:pt>
                <c:pt idx="8">
                  <c:v>B. Översättn. främmande språk</c:v>
                </c:pt>
                <c:pt idx="9">
                  <c:v>C. Barn- och ungdomsböcker, översättn.</c:v>
                </c:pt>
                <c:pt idx="10">
                  <c:v>4. Skönlitteratur, främmande språk: A. I original</c:v>
                </c:pt>
                <c:pt idx="11">
                  <c:v>B. översättn. svenska</c:v>
                </c:pt>
                <c:pt idx="12">
                  <c:v>C. barn- och ungdomsböcker, översättn. svenska</c:v>
                </c:pt>
                <c:pt idx="13">
                  <c:v>5. Antologier och sångböcker </c:v>
                </c:pt>
                <c:pt idx="14">
                  <c:v>6. Folkdiktning</c:v>
                </c:pt>
              </c:strCache>
            </c:strRef>
          </c:cat>
          <c:val>
            <c:numRef>
              <c:f>Sheet1!$B$2:$B$16</c:f>
              <c:numCache>
                <c:formatCode>General</c:formatCode>
                <c:ptCount val="15"/>
                <c:pt idx="0">
                  <c:v>25</c:v>
                </c:pt>
                <c:pt idx="1">
                  <c:v>179</c:v>
                </c:pt>
                <c:pt idx="2">
                  <c:v>73</c:v>
                </c:pt>
                <c:pt idx="3">
                  <c:v>81</c:v>
                </c:pt>
                <c:pt idx="4">
                  <c:v>281</c:v>
                </c:pt>
                <c:pt idx="5">
                  <c:v>48</c:v>
                </c:pt>
                <c:pt idx="6">
                  <c:v>166</c:v>
                </c:pt>
                <c:pt idx="7">
                  <c:v>49</c:v>
                </c:pt>
                <c:pt idx="8">
                  <c:v>67</c:v>
                </c:pt>
                <c:pt idx="9">
                  <c:v>29</c:v>
                </c:pt>
                <c:pt idx="10">
                  <c:v>63</c:v>
                </c:pt>
                <c:pt idx="11">
                  <c:v>347</c:v>
                </c:pt>
                <c:pt idx="12">
                  <c:v>70</c:v>
                </c:pt>
                <c:pt idx="13">
                  <c:v>41</c:v>
                </c:pt>
                <c:pt idx="14">
                  <c:v>16</c:v>
                </c:pt>
              </c:numCache>
            </c:numRef>
          </c:val>
          <c:extLst>
            <c:ext xmlns:c16="http://schemas.microsoft.com/office/drawing/2014/chart" uri="{C3380CC4-5D6E-409C-BE32-E72D297353CC}">
              <c16:uniqueId val="{00000000-AB11-4345-9B53-D010A770AC0D}"/>
            </c:ext>
          </c:extLst>
        </c:ser>
        <c:dLbls>
          <c:showLegendKey val="0"/>
          <c:showVal val="0"/>
          <c:showCatName val="0"/>
          <c:showSerName val="0"/>
          <c:showPercent val="0"/>
          <c:showBubbleSize val="0"/>
        </c:dLbls>
        <c:gapWidth val="219"/>
        <c:overlap val="-27"/>
        <c:axId val="1353559024"/>
        <c:axId val="1353559440"/>
      </c:barChart>
      <c:catAx>
        <c:axId val="13535590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haris SIL" panose="02000500060000020004" pitchFamily="2" charset="0"/>
                <a:ea typeface="+mn-ea"/>
                <a:cs typeface="+mn-cs"/>
              </a:defRPr>
            </a:pPr>
            <a:endParaRPr lang="en-US"/>
          </a:p>
        </c:txPr>
        <c:crossAx val="1353559440"/>
        <c:crosses val="autoZero"/>
        <c:auto val="1"/>
        <c:lblAlgn val="ctr"/>
        <c:lblOffset val="100"/>
        <c:noMultiLvlLbl val="0"/>
      </c:catAx>
      <c:valAx>
        <c:axId val="1353559440"/>
        <c:scaling>
          <c:orientation val="minMax"/>
          <c:max val="3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3559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CBAD26-73DD-45F1-960E-4BE74AEA5CC8}" type="doc">
      <dgm:prSet loTypeId="urn:microsoft.com/office/officeart/2005/8/layout/default" loCatId="list" qsTypeId="urn:microsoft.com/office/officeart/2005/8/quickstyle/simple1" qsCatId="simple" csTypeId="urn:microsoft.com/office/officeart/2005/8/colors/accent1_2" csCatId="accent1" phldr="1"/>
      <dgm:spPr/>
      <dgm:t>
        <a:bodyPr/>
        <a:lstStyle/>
        <a:p>
          <a:endParaRPr lang="fi-FI"/>
        </a:p>
      </dgm:t>
    </dgm:pt>
    <dgm:pt modelId="{19BF42A5-49DB-4970-AFE2-A4865B5319F7}">
      <dgm:prSet phldrT="[Teksti]"/>
      <dgm:spPr>
        <a:solidFill>
          <a:schemeClr val="accent3">
            <a:lumMod val="75000"/>
          </a:schemeClr>
        </a:solidFill>
        <a:ln>
          <a:solidFill>
            <a:schemeClr val="bg1">
              <a:lumMod val="65000"/>
            </a:schemeClr>
          </a:solidFill>
        </a:ln>
      </dgm:spPr>
      <dgm:t>
        <a:bodyPr/>
        <a:lstStyle/>
        <a:p>
          <a:r>
            <a:rPr lang="fi-FI"/>
            <a:t>X</a:t>
          </a:r>
        </a:p>
      </dgm:t>
    </dgm:pt>
    <dgm:pt modelId="{9BE82B8E-D07D-4B05-BF00-2F148B6AB362}" type="parTrans" cxnId="{AB41C314-3926-46D4-8773-523EFB95A6CB}">
      <dgm:prSet/>
      <dgm:spPr/>
      <dgm:t>
        <a:bodyPr/>
        <a:lstStyle/>
        <a:p>
          <a:endParaRPr lang="fi-FI"/>
        </a:p>
      </dgm:t>
    </dgm:pt>
    <dgm:pt modelId="{D6FC20A5-9D3B-456D-87D6-F1F62CCEE126}" type="sibTrans" cxnId="{AB41C314-3926-46D4-8773-523EFB95A6CB}">
      <dgm:prSet/>
      <dgm:spPr/>
      <dgm:t>
        <a:bodyPr/>
        <a:lstStyle/>
        <a:p>
          <a:endParaRPr lang="fi-FI"/>
        </a:p>
      </dgm:t>
    </dgm:pt>
    <dgm:pt modelId="{A657D509-4B31-4FCF-92DF-49E3841360FB}">
      <dgm:prSet phldrT="[Teksti]" phldr="1"/>
      <dgm:spPr>
        <a:noFill/>
        <a:ln>
          <a:solidFill>
            <a:schemeClr val="bg1">
              <a:lumMod val="65000"/>
            </a:schemeClr>
          </a:solidFill>
        </a:ln>
      </dgm:spPr>
      <dgm:t>
        <a:bodyPr/>
        <a:lstStyle/>
        <a:p>
          <a:endParaRPr lang="fi-FI"/>
        </a:p>
      </dgm:t>
    </dgm:pt>
    <dgm:pt modelId="{900CEAF1-D346-4AAE-A30B-4D90A472B080}" type="parTrans" cxnId="{50EC3D5A-1F3E-4D29-82E7-83389F33FF56}">
      <dgm:prSet/>
      <dgm:spPr/>
      <dgm:t>
        <a:bodyPr/>
        <a:lstStyle/>
        <a:p>
          <a:endParaRPr lang="fi-FI"/>
        </a:p>
      </dgm:t>
    </dgm:pt>
    <dgm:pt modelId="{584EF898-E53D-493F-8910-F7CA095106AC}" type="sibTrans" cxnId="{50EC3D5A-1F3E-4D29-82E7-83389F33FF56}">
      <dgm:prSet/>
      <dgm:spPr/>
      <dgm:t>
        <a:bodyPr/>
        <a:lstStyle/>
        <a:p>
          <a:endParaRPr lang="fi-FI"/>
        </a:p>
      </dgm:t>
    </dgm:pt>
    <dgm:pt modelId="{0F5E8062-2311-4959-8F77-C42216F8126E}">
      <dgm:prSet phldrT="[Teksti]" custT="1"/>
      <dgm:spPr>
        <a:noFill/>
      </dgm:spPr>
      <dgm:t>
        <a:bodyPr/>
        <a:lstStyle/>
        <a:p>
          <a:r>
            <a:rPr lang="fi-FI" sz="10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Eestlased</a:t>
          </a:r>
        </a:p>
      </dgm:t>
    </dgm:pt>
    <dgm:pt modelId="{6C5CA209-6269-47E7-B8CB-4ECC906D8210}" type="parTrans" cxnId="{707D9E8A-F275-403A-980A-2A3E75191E22}">
      <dgm:prSet/>
      <dgm:spPr/>
      <dgm:t>
        <a:bodyPr/>
        <a:lstStyle/>
        <a:p>
          <a:endParaRPr lang="fi-FI"/>
        </a:p>
      </dgm:t>
    </dgm:pt>
    <dgm:pt modelId="{6DF4EEF2-8D58-40B3-9696-9570D63D9C88}" type="sibTrans" cxnId="{707D9E8A-F275-403A-980A-2A3E75191E22}">
      <dgm:prSet/>
      <dgm:spPr/>
      <dgm:t>
        <a:bodyPr/>
        <a:lstStyle/>
        <a:p>
          <a:endParaRPr lang="fi-FI"/>
        </a:p>
      </dgm:t>
    </dgm:pt>
    <dgm:pt modelId="{D1148B02-05C1-4D67-8595-4224258DC58C}">
      <dgm:prSet phldrT="[Teksti]"/>
      <dgm:spPr>
        <a:solidFill>
          <a:schemeClr val="accent3">
            <a:lumMod val="60000"/>
            <a:lumOff val="40000"/>
          </a:schemeClr>
        </a:solidFill>
        <a:ln>
          <a:solidFill>
            <a:schemeClr val="bg1">
              <a:lumMod val="65000"/>
            </a:schemeClr>
          </a:solidFill>
        </a:ln>
      </dgm:spPr>
      <dgm:t>
        <a:bodyPr/>
        <a:lstStyle/>
        <a:p>
          <a:r>
            <a:rPr lang="fi-FI"/>
            <a:t>X</a:t>
          </a:r>
        </a:p>
      </dgm:t>
    </dgm:pt>
    <dgm:pt modelId="{9727926A-8AD4-40F4-B18C-1BDABCEC831E}" type="parTrans" cxnId="{9B281298-558B-4338-98EA-AE92B87F1AD9}">
      <dgm:prSet/>
      <dgm:spPr/>
      <dgm:t>
        <a:bodyPr/>
        <a:lstStyle/>
        <a:p>
          <a:endParaRPr lang="fi-FI"/>
        </a:p>
      </dgm:t>
    </dgm:pt>
    <dgm:pt modelId="{41F37FAC-6A43-4550-ADAC-AB70509CBD39}" type="sibTrans" cxnId="{9B281298-558B-4338-98EA-AE92B87F1AD9}">
      <dgm:prSet/>
      <dgm:spPr/>
      <dgm:t>
        <a:bodyPr/>
        <a:lstStyle/>
        <a:p>
          <a:endParaRPr lang="fi-FI"/>
        </a:p>
      </dgm:t>
    </dgm:pt>
    <dgm:pt modelId="{1F1754AF-BAF2-4021-A4B6-8772EBCA48CE}">
      <dgm:prSet phldrT="[Teksti]"/>
      <dgm:spPr>
        <a:solidFill>
          <a:schemeClr val="accent3">
            <a:lumMod val="75000"/>
          </a:schemeClr>
        </a:solidFill>
        <a:ln>
          <a:solidFill>
            <a:schemeClr val="bg1">
              <a:lumMod val="65000"/>
            </a:schemeClr>
          </a:solidFill>
        </a:ln>
      </dgm:spPr>
      <dgm:t>
        <a:bodyPr/>
        <a:lstStyle/>
        <a:p>
          <a:r>
            <a:rPr lang="fi-FI"/>
            <a:t>X</a:t>
          </a:r>
        </a:p>
      </dgm:t>
    </dgm:pt>
    <dgm:pt modelId="{CBCBB315-9A53-42AF-AB85-8B9119FD64B6}" type="parTrans" cxnId="{DE43D98D-5C7A-47FB-A320-1868944F86E4}">
      <dgm:prSet/>
      <dgm:spPr/>
      <dgm:t>
        <a:bodyPr/>
        <a:lstStyle/>
        <a:p>
          <a:endParaRPr lang="fi-FI"/>
        </a:p>
      </dgm:t>
    </dgm:pt>
    <dgm:pt modelId="{F66DD7E1-A2AB-47B0-9128-C260EA233853}" type="sibTrans" cxnId="{DE43D98D-5C7A-47FB-A320-1868944F86E4}">
      <dgm:prSet/>
      <dgm:spPr/>
      <dgm:t>
        <a:bodyPr/>
        <a:lstStyle/>
        <a:p>
          <a:endParaRPr lang="fi-FI"/>
        </a:p>
      </dgm:t>
    </dgm:pt>
    <dgm:pt modelId="{D5E175A5-3A59-427B-9D21-27223759FB1F}">
      <dgm:prSet phldrT="[Teksti]"/>
      <dgm:spPr>
        <a:solidFill>
          <a:schemeClr val="accent3">
            <a:lumMod val="75000"/>
          </a:schemeClr>
        </a:solidFill>
        <a:ln>
          <a:solidFill>
            <a:schemeClr val="bg1">
              <a:lumMod val="65000"/>
            </a:schemeClr>
          </a:solidFill>
        </a:ln>
      </dgm:spPr>
      <dgm:t>
        <a:bodyPr/>
        <a:lstStyle/>
        <a:p>
          <a:r>
            <a:rPr lang="fi-FI"/>
            <a:t>X</a:t>
          </a:r>
        </a:p>
      </dgm:t>
    </dgm:pt>
    <dgm:pt modelId="{30AAC0AB-D004-48E4-A482-C674921E1276}" type="parTrans" cxnId="{9F71D261-F363-4F18-93E2-55DF17FB04E3}">
      <dgm:prSet/>
      <dgm:spPr/>
      <dgm:t>
        <a:bodyPr/>
        <a:lstStyle/>
        <a:p>
          <a:endParaRPr lang="fi-FI"/>
        </a:p>
      </dgm:t>
    </dgm:pt>
    <dgm:pt modelId="{A8A2DC7B-6CB5-49AC-9650-A2C22642779F}" type="sibTrans" cxnId="{9F71D261-F363-4F18-93E2-55DF17FB04E3}">
      <dgm:prSet/>
      <dgm:spPr/>
      <dgm:t>
        <a:bodyPr/>
        <a:lstStyle/>
        <a:p>
          <a:endParaRPr lang="fi-FI"/>
        </a:p>
      </dgm:t>
    </dgm:pt>
    <dgm:pt modelId="{0DC3B1F3-2FDC-4C29-BB25-A099C0D25309}">
      <dgm:prSet phldrT="[Teksti]"/>
      <dgm:spPr>
        <a:solidFill>
          <a:schemeClr val="accent3">
            <a:lumMod val="20000"/>
            <a:lumOff val="80000"/>
          </a:schemeClr>
        </a:solidFill>
        <a:ln>
          <a:solidFill>
            <a:schemeClr val="bg1">
              <a:lumMod val="65000"/>
            </a:schemeClr>
          </a:solidFill>
        </a:ln>
      </dgm:spPr>
      <dgm:t>
        <a:bodyPr/>
        <a:lstStyle/>
        <a:p>
          <a:r>
            <a:rPr lang="fi-FI"/>
            <a:t>X</a:t>
          </a:r>
        </a:p>
      </dgm:t>
    </dgm:pt>
    <dgm:pt modelId="{02CE020C-6771-4426-8270-FA24921BC42F}" type="parTrans" cxnId="{74CA6B09-F24D-4AB8-9E46-64A6F2809996}">
      <dgm:prSet/>
      <dgm:spPr/>
      <dgm:t>
        <a:bodyPr/>
        <a:lstStyle/>
        <a:p>
          <a:endParaRPr lang="fi-FI"/>
        </a:p>
      </dgm:t>
    </dgm:pt>
    <dgm:pt modelId="{1FA9F9FD-9C75-486D-A448-FFD0D5F5A062}" type="sibTrans" cxnId="{74CA6B09-F24D-4AB8-9E46-64A6F2809996}">
      <dgm:prSet/>
      <dgm:spPr/>
      <dgm:t>
        <a:bodyPr/>
        <a:lstStyle/>
        <a:p>
          <a:endParaRPr lang="fi-FI"/>
        </a:p>
      </dgm:t>
    </dgm:pt>
    <dgm:pt modelId="{78C66578-CB17-44FB-989B-E879B0D5FA4B}">
      <dgm:prSet phldrT="[Teksti]" phldr="1"/>
      <dgm:spPr>
        <a:noFill/>
        <a:ln>
          <a:solidFill>
            <a:schemeClr val="bg1">
              <a:lumMod val="65000"/>
            </a:schemeClr>
          </a:solidFill>
        </a:ln>
      </dgm:spPr>
      <dgm:t>
        <a:bodyPr/>
        <a:lstStyle/>
        <a:p>
          <a:endParaRPr lang="fi-FI"/>
        </a:p>
      </dgm:t>
    </dgm:pt>
    <dgm:pt modelId="{95244D28-39DA-497B-AA0A-1B67C1BE51AA}" type="parTrans" cxnId="{40CCA87F-CF13-4354-B890-36052FE34D7E}">
      <dgm:prSet/>
      <dgm:spPr/>
      <dgm:t>
        <a:bodyPr/>
        <a:lstStyle/>
        <a:p>
          <a:endParaRPr lang="fi-FI"/>
        </a:p>
      </dgm:t>
    </dgm:pt>
    <dgm:pt modelId="{16E20132-E606-4424-B988-7BFE48D0BB5C}" type="sibTrans" cxnId="{40CCA87F-CF13-4354-B890-36052FE34D7E}">
      <dgm:prSet/>
      <dgm:spPr/>
      <dgm:t>
        <a:bodyPr/>
        <a:lstStyle/>
        <a:p>
          <a:endParaRPr lang="fi-FI"/>
        </a:p>
      </dgm:t>
    </dgm:pt>
    <dgm:pt modelId="{6C838868-A0B9-4CF7-A9D9-98A3BE8699BC}">
      <dgm:prSet phldrT="[Teksti]" custT="1"/>
      <dgm:spPr>
        <a:noFill/>
      </dgm:spPr>
      <dgm:t>
        <a:bodyPr/>
        <a:lstStyle/>
        <a:p>
          <a:r>
            <a:rPr lang="fi-FI" sz="10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Soome-rootslased</a:t>
          </a:r>
          <a:endParaRPr lang="fi-FI" sz="7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endParaRPr>
        </a:p>
      </dgm:t>
    </dgm:pt>
    <dgm:pt modelId="{C7A24CB5-86B2-4122-B5D6-43D265169C58}" type="parTrans" cxnId="{42EC3C47-F34B-4205-A5F1-7B43CD5D907E}">
      <dgm:prSet/>
      <dgm:spPr/>
      <dgm:t>
        <a:bodyPr/>
        <a:lstStyle/>
        <a:p>
          <a:endParaRPr lang="fi-FI"/>
        </a:p>
      </dgm:t>
    </dgm:pt>
    <dgm:pt modelId="{361D4A53-10CB-40BE-970D-CA302FB52F0E}" type="sibTrans" cxnId="{42EC3C47-F34B-4205-A5F1-7B43CD5D907E}">
      <dgm:prSet/>
      <dgm:spPr/>
      <dgm:t>
        <a:bodyPr/>
        <a:lstStyle/>
        <a:p>
          <a:endParaRPr lang="fi-FI"/>
        </a:p>
      </dgm:t>
    </dgm:pt>
    <dgm:pt modelId="{99C1279D-767A-4131-B627-7A582DF4916C}">
      <dgm:prSet phldrT="[Teksti]"/>
      <dgm:spPr>
        <a:solidFill>
          <a:schemeClr val="accent3">
            <a:lumMod val="60000"/>
            <a:lumOff val="40000"/>
          </a:schemeClr>
        </a:solidFill>
        <a:ln>
          <a:solidFill>
            <a:schemeClr val="bg1">
              <a:lumMod val="65000"/>
            </a:schemeClr>
          </a:solidFill>
        </a:ln>
      </dgm:spPr>
      <dgm:t>
        <a:bodyPr/>
        <a:lstStyle/>
        <a:p>
          <a:r>
            <a:rPr lang="fi-FI"/>
            <a:t>X</a:t>
          </a:r>
        </a:p>
      </dgm:t>
    </dgm:pt>
    <dgm:pt modelId="{CDAB5D9F-0EBE-46D8-92CA-0865E20BA1AA}" type="parTrans" cxnId="{57523673-E9B1-41D1-936E-0999661606EA}">
      <dgm:prSet/>
      <dgm:spPr/>
      <dgm:t>
        <a:bodyPr/>
        <a:lstStyle/>
        <a:p>
          <a:endParaRPr lang="fi-FI"/>
        </a:p>
      </dgm:t>
    </dgm:pt>
    <dgm:pt modelId="{8CDCE128-B7B7-4D73-A0B5-886A9F67E2A2}" type="sibTrans" cxnId="{57523673-E9B1-41D1-936E-0999661606EA}">
      <dgm:prSet/>
      <dgm:spPr/>
      <dgm:t>
        <a:bodyPr/>
        <a:lstStyle/>
        <a:p>
          <a:endParaRPr lang="fi-FI"/>
        </a:p>
      </dgm:t>
    </dgm:pt>
    <dgm:pt modelId="{19530824-CD54-4C9E-9691-E97D6D62012E}">
      <dgm:prSet phldrT="[Teksti]"/>
      <dgm:spPr>
        <a:solidFill>
          <a:schemeClr val="accent3">
            <a:lumMod val="60000"/>
            <a:lumOff val="40000"/>
          </a:schemeClr>
        </a:solidFill>
        <a:ln>
          <a:solidFill>
            <a:schemeClr val="bg1">
              <a:lumMod val="65000"/>
            </a:schemeClr>
          </a:solidFill>
        </a:ln>
      </dgm:spPr>
      <dgm:t>
        <a:bodyPr/>
        <a:lstStyle/>
        <a:p>
          <a:r>
            <a:rPr lang="fi-FI"/>
            <a:t>X</a:t>
          </a:r>
        </a:p>
      </dgm:t>
    </dgm:pt>
    <dgm:pt modelId="{F5F3F531-39CC-4B9D-B5C7-79BEF294FABD}" type="parTrans" cxnId="{67D70C0C-0B9E-45C4-998D-251185812DAA}">
      <dgm:prSet/>
      <dgm:spPr/>
      <dgm:t>
        <a:bodyPr/>
        <a:lstStyle/>
        <a:p>
          <a:endParaRPr lang="fi-FI"/>
        </a:p>
      </dgm:t>
    </dgm:pt>
    <dgm:pt modelId="{3D794B9A-975B-42D7-BFF1-BA08C6E7D2A6}" type="sibTrans" cxnId="{67D70C0C-0B9E-45C4-998D-251185812DAA}">
      <dgm:prSet/>
      <dgm:spPr/>
      <dgm:t>
        <a:bodyPr/>
        <a:lstStyle/>
        <a:p>
          <a:endParaRPr lang="fi-FI"/>
        </a:p>
      </dgm:t>
    </dgm:pt>
    <dgm:pt modelId="{7B57B305-3A56-450E-A99C-7AF924CAB236}">
      <dgm:prSet phldrT="[Teksti]"/>
      <dgm:spPr>
        <a:solidFill>
          <a:schemeClr val="accent3">
            <a:lumMod val="75000"/>
          </a:schemeClr>
        </a:solidFill>
        <a:ln>
          <a:solidFill>
            <a:schemeClr val="bg1">
              <a:lumMod val="65000"/>
            </a:schemeClr>
          </a:solidFill>
        </a:ln>
      </dgm:spPr>
      <dgm:t>
        <a:bodyPr/>
        <a:lstStyle/>
        <a:p>
          <a:r>
            <a:rPr lang="fi-FI"/>
            <a:t>X</a:t>
          </a:r>
        </a:p>
      </dgm:t>
    </dgm:pt>
    <dgm:pt modelId="{A9EB3288-3521-488A-903D-8DE1D4F5EF30}" type="parTrans" cxnId="{C9607A55-1DB6-4B69-B526-44E01312D8E1}">
      <dgm:prSet/>
      <dgm:spPr/>
      <dgm:t>
        <a:bodyPr/>
        <a:lstStyle/>
        <a:p>
          <a:endParaRPr lang="fi-FI"/>
        </a:p>
      </dgm:t>
    </dgm:pt>
    <dgm:pt modelId="{052CCA3D-1BE6-4E20-B671-9B36ECFE5A19}" type="sibTrans" cxnId="{C9607A55-1DB6-4B69-B526-44E01312D8E1}">
      <dgm:prSet/>
      <dgm:spPr/>
      <dgm:t>
        <a:bodyPr/>
        <a:lstStyle/>
        <a:p>
          <a:endParaRPr lang="fi-FI"/>
        </a:p>
      </dgm:t>
    </dgm:pt>
    <dgm:pt modelId="{DBAA4194-62C9-4B4A-B823-F3146EDD58CE}">
      <dgm:prSet phldrT="[Teksti]"/>
      <dgm:spPr>
        <a:solidFill>
          <a:schemeClr val="accent3">
            <a:lumMod val="75000"/>
          </a:schemeClr>
        </a:solidFill>
        <a:ln>
          <a:solidFill>
            <a:schemeClr val="bg1">
              <a:lumMod val="65000"/>
            </a:schemeClr>
          </a:solidFill>
        </a:ln>
      </dgm:spPr>
      <dgm:t>
        <a:bodyPr/>
        <a:lstStyle/>
        <a:p>
          <a:r>
            <a:rPr lang="fi-FI"/>
            <a:t>X</a:t>
          </a:r>
        </a:p>
      </dgm:t>
    </dgm:pt>
    <dgm:pt modelId="{E9CDAE37-0659-47D3-BF2B-40F7A0CE5F2D}" type="parTrans" cxnId="{1C75B441-F3A9-4421-A269-D2C3A82A418B}">
      <dgm:prSet/>
      <dgm:spPr/>
      <dgm:t>
        <a:bodyPr/>
        <a:lstStyle/>
        <a:p>
          <a:endParaRPr lang="fi-FI"/>
        </a:p>
      </dgm:t>
    </dgm:pt>
    <dgm:pt modelId="{87302331-A190-42D1-B1AA-F7F9D2FF9E71}" type="sibTrans" cxnId="{1C75B441-F3A9-4421-A269-D2C3A82A418B}">
      <dgm:prSet/>
      <dgm:spPr/>
      <dgm:t>
        <a:bodyPr/>
        <a:lstStyle/>
        <a:p>
          <a:endParaRPr lang="fi-FI"/>
        </a:p>
      </dgm:t>
    </dgm:pt>
    <dgm:pt modelId="{F52BA92F-F795-409A-9C9A-ECE02667B90C}">
      <dgm:prSet phldrT="[Teksti]"/>
      <dgm:spPr>
        <a:solidFill>
          <a:schemeClr val="accent3">
            <a:lumMod val="60000"/>
            <a:lumOff val="40000"/>
          </a:schemeClr>
        </a:solidFill>
        <a:ln>
          <a:solidFill>
            <a:schemeClr val="bg1">
              <a:lumMod val="65000"/>
            </a:schemeClr>
          </a:solidFill>
        </a:ln>
      </dgm:spPr>
      <dgm:t>
        <a:bodyPr/>
        <a:lstStyle/>
        <a:p>
          <a:r>
            <a:rPr lang="fi-FI"/>
            <a:t>X</a:t>
          </a:r>
        </a:p>
      </dgm:t>
    </dgm:pt>
    <dgm:pt modelId="{48A76F33-C3F2-4DF9-9073-A904B2A6A0BB}" type="parTrans" cxnId="{B23898AA-AF17-4FAE-9D18-FB45CB9ADDA3}">
      <dgm:prSet/>
      <dgm:spPr/>
      <dgm:t>
        <a:bodyPr/>
        <a:lstStyle/>
        <a:p>
          <a:endParaRPr lang="fi-FI"/>
        </a:p>
      </dgm:t>
    </dgm:pt>
    <dgm:pt modelId="{0FA91FD4-A2EC-45DF-86AB-3AD59874E7DB}" type="sibTrans" cxnId="{B23898AA-AF17-4FAE-9D18-FB45CB9ADDA3}">
      <dgm:prSet/>
      <dgm:spPr/>
      <dgm:t>
        <a:bodyPr/>
        <a:lstStyle/>
        <a:p>
          <a:endParaRPr lang="fi-FI"/>
        </a:p>
      </dgm:t>
    </dgm:pt>
    <dgm:pt modelId="{5691752F-A31B-4684-92CF-DED47566DF74}">
      <dgm:prSet phldrT="[Teksti]" custT="1"/>
      <dgm:spPr>
        <a:noFill/>
      </dgm:spPr>
      <dgm:t>
        <a:bodyPr/>
        <a:lstStyle/>
        <a:p>
          <a:r>
            <a:rPr lang="fi-FI" sz="10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Eesti-venelased</a:t>
          </a:r>
        </a:p>
      </dgm:t>
    </dgm:pt>
    <dgm:pt modelId="{F2893DA9-CAE3-4F90-A254-C97C3E55461B}" type="parTrans" cxnId="{69D4AF16-371C-4B80-8F10-BB11858BCC60}">
      <dgm:prSet/>
      <dgm:spPr/>
      <dgm:t>
        <a:bodyPr/>
        <a:lstStyle/>
        <a:p>
          <a:endParaRPr lang="fi-FI"/>
        </a:p>
      </dgm:t>
    </dgm:pt>
    <dgm:pt modelId="{CCC2CC2D-FFC9-4D14-9359-EBEA3FACD4D0}" type="sibTrans" cxnId="{69D4AF16-371C-4B80-8F10-BB11858BCC60}">
      <dgm:prSet/>
      <dgm:spPr/>
      <dgm:t>
        <a:bodyPr/>
        <a:lstStyle/>
        <a:p>
          <a:endParaRPr lang="fi-FI"/>
        </a:p>
      </dgm:t>
    </dgm:pt>
    <dgm:pt modelId="{30E6D843-9E84-480A-8DAB-8D369E55DE8E}">
      <dgm:prSet phldrT="[Teksti]"/>
      <dgm:spPr>
        <a:solidFill>
          <a:schemeClr val="accent3">
            <a:lumMod val="75000"/>
          </a:schemeClr>
        </a:solidFill>
        <a:ln>
          <a:solidFill>
            <a:schemeClr val="bg1">
              <a:lumMod val="65000"/>
            </a:schemeClr>
          </a:solidFill>
        </a:ln>
      </dgm:spPr>
      <dgm:t>
        <a:bodyPr/>
        <a:lstStyle/>
        <a:p>
          <a:r>
            <a:rPr lang="fi-FI"/>
            <a:t>X</a:t>
          </a:r>
        </a:p>
      </dgm:t>
    </dgm:pt>
    <dgm:pt modelId="{17FBCE73-8598-4944-A55D-0F3F83AC78D0}" type="parTrans" cxnId="{657E836E-0D87-4F3A-9B2E-9C601849B86A}">
      <dgm:prSet/>
      <dgm:spPr/>
      <dgm:t>
        <a:bodyPr/>
        <a:lstStyle/>
        <a:p>
          <a:endParaRPr lang="fi-FI"/>
        </a:p>
      </dgm:t>
    </dgm:pt>
    <dgm:pt modelId="{6010B4C4-D141-4A3C-994A-D507FC5679D3}" type="sibTrans" cxnId="{657E836E-0D87-4F3A-9B2E-9C601849B86A}">
      <dgm:prSet/>
      <dgm:spPr/>
      <dgm:t>
        <a:bodyPr/>
        <a:lstStyle/>
        <a:p>
          <a:endParaRPr lang="fi-FI"/>
        </a:p>
      </dgm:t>
    </dgm:pt>
    <dgm:pt modelId="{F83CD27C-1F86-41F7-8F6F-632413DE0B4D}">
      <dgm:prSet phldrT="[Teksti]"/>
      <dgm:spPr>
        <a:solidFill>
          <a:schemeClr val="accent3">
            <a:lumMod val="60000"/>
            <a:lumOff val="40000"/>
          </a:schemeClr>
        </a:solidFill>
        <a:ln>
          <a:solidFill>
            <a:schemeClr val="bg1">
              <a:lumMod val="65000"/>
            </a:schemeClr>
          </a:solidFill>
        </a:ln>
      </dgm:spPr>
      <dgm:t>
        <a:bodyPr/>
        <a:lstStyle/>
        <a:p>
          <a:r>
            <a:rPr lang="fi-FI"/>
            <a:t>X</a:t>
          </a:r>
        </a:p>
      </dgm:t>
    </dgm:pt>
    <dgm:pt modelId="{CA707EF6-8379-4966-A681-324BB1AE5B36}" type="parTrans" cxnId="{06CFB9B4-BD36-4A61-A58E-F848CE15CE5C}">
      <dgm:prSet/>
      <dgm:spPr/>
      <dgm:t>
        <a:bodyPr/>
        <a:lstStyle/>
        <a:p>
          <a:endParaRPr lang="fi-FI"/>
        </a:p>
      </dgm:t>
    </dgm:pt>
    <dgm:pt modelId="{EE8C6493-CC9D-4836-999E-3BE95F3066DE}" type="sibTrans" cxnId="{06CFB9B4-BD36-4A61-A58E-F848CE15CE5C}">
      <dgm:prSet/>
      <dgm:spPr/>
      <dgm:t>
        <a:bodyPr/>
        <a:lstStyle/>
        <a:p>
          <a:endParaRPr lang="fi-FI"/>
        </a:p>
      </dgm:t>
    </dgm:pt>
    <dgm:pt modelId="{44DCDBDA-FA79-4D7A-B514-7F8C9C16933C}">
      <dgm:prSet phldrT="[Teksti]" phldr="1"/>
      <dgm:spPr>
        <a:noFill/>
        <a:ln>
          <a:solidFill>
            <a:schemeClr val="bg1">
              <a:lumMod val="65000"/>
            </a:schemeClr>
          </a:solidFill>
        </a:ln>
      </dgm:spPr>
      <dgm:t>
        <a:bodyPr/>
        <a:lstStyle/>
        <a:p>
          <a:endParaRPr lang="fi-FI"/>
        </a:p>
      </dgm:t>
    </dgm:pt>
    <dgm:pt modelId="{3E453EDF-1DC5-4640-8309-503B8F9D56F6}" type="parTrans" cxnId="{39F359AC-83E3-4EF9-8859-D16881A21380}">
      <dgm:prSet/>
      <dgm:spPr/>
      <dgm:t>
        <a:bodyPr/>
        <a:lstStyle/>
        <a:p>
          <a:endParaRPr lang="fi-FI"/>
        </a:p>
      </dgm:t>
    </dgm:pt>
    <dgm:pt modelId="{67658BF2-C509-4637-82E9-A3284CAEEB3C}" type="sibTrans" cxnId="{39F359AC-83E3-4EF9-8859-D16881A21380}">
      <dgm:prSet/>
      <dgm:spPr/>
      <dgm:t>
        <a:bodyPr/>
        <a:lstStyle/>
        <a:p>
          <a:endParaRPr lang="fi-FI"/>
        </a:p>
      </dgm:t>
    </dgm:pt>
    <dgm:pt modelId="{85C5F725-4AC4-4BF0-8516-B5367FF15E46}">
      <dgm:prSet phldrT="[Teksti]" phldr="1"/>
      <dgm:spPr>
        <a:noFill/>
        <a:ln>
          <a:solidFill>
            <a:schemeClr val="bg1">
              <a:lumMod val="65000"/>
            </a:schemeClr>
          </a:solidFill>
        </a:ln>
      </dgm:spPr>
      <dgm:t>
        <a:bodyPr/>
        <a:lstStyle/>
        <a:p>
          <a:endParaRPr lang="fi-FI"/>
        </a:p>
      </dgm:t>
    </dgm:pt>
    <dgm:pt modelId="{99C4A0EE-4F76-4151-A932-C15D6A9D1A9C}" type="parTrans" cxnId="{2FCB3B04-A246-4611-B8DE-23B5D0E17B77}">
      <dgm:prSet/>
      <dgm:spPr/>
      <dgm:t>
        <a:bodyPr/>
        <a:lstStyle/>
        <a:p>
          <a:endParaRPr lang="fi-FI"/>
        </a:p>
      </dgm:t>
    </dgm:pt>
    <dgm:pt modelId="{06EBF474-8EFA-47B0-B3F7-3F8FC65D128A}" type="sibTrans" cxnId="{2FCB3B04-A246-4611-B8DE-23B5D0E17B77}">
      <dgm:prSet/>
      <dgm:spPr/>
      <dgm:t>
        <a:bodyPr/>
        <a:lstStyle/>
        <a:p>
          <a:endParaRPr lang="fi-FI"/>
        </a:p>
      </dgm:t>
    </dgm:pt>
    <dgm:pt modelId="{9B8B2BE0-3E4F-46C6-A5D9-20D337CD6691}">
      <dgm:prSet phldrT="[Teksti]" phldr="1"/>
      <dgm:spPr>
        <a:noFill/>
        <a:ln>
          <a:solidFill>
            <a:schemeClr val="bg1">
              <a:lumMod val="65000"/>
            </a:schemeClr>
          </a:solidFill>
        </a:ln>
      </dgm:spPr>
      <dgm:t>
        <a:bodyPr/>
        <a:lstStyle/>
        <a:p>
          <a:endParaRPr lang="fi-FI"/>
        </a:p>
      </dgm:t>
    </dgm:pt>
    <dgm:pt modelId="{343064CE-3B89-4CDD-8FC5-E4A8B5F8C77C}" type="parTrans" cxnId="{2B6D734F-1DBE-44E0-A37B-7D40319D0D7A}">
      <dgm:prSet/>
      <dgm:spPr/>
      <dgm:t>
        <a:bodyPr/>
        <a:lstStyle/>
        <a:p>
          <a:endParaRPr lang="fi-FI"/>
        </a:p>
      </dgm:t>
    </dgm:pt>
    <dgm:pt modelId="{7179B6E7-C3F5-4A6A-B702-DBE8B82636AE}" type="sibTrans" cxnId="{2B6D734F-1DBE-44E0-A37B-7D40319D0D7A}">
      <dgm:prSet/>
      <dgm:spPr/>
      <dgm:t>
        <a:bodyPr/>
        <a:lstStyle/>
        <a:p>
          <a:endParaRPr lang="fi-FI"/>
        </a:p>
      </dgm:t>
    </dgm:pt>
    <dgm:pt modelId="{BDCDBAA0-39C7-49E2-9BC6-4BF3D37968D6}">
      <dgm:prSet phldrT="[Teksti]" custT="1"/>
      <dgm:spPr>
        <a:noFill/>
      </dgm:spPr>
      <dgm:t>
        <a:bodyPr/>
        <a:lstStyle/>
        <a:p>
          <a:r>
            <a:rPr lang="fi-FI" sz="700" baseline="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Fonoloogia- ja ortograafia-teadlikkus</a:t>
          </a:r>
        </a:p>
      </dgm:t>
    </dgm:pt>
    <dgm:pt modelId="{AC6B329A-DA55-40DF-87AA-2DC406127CE2}" type="parTrans" cxnId="{BDA86A99-B773-4972-8DBE-702638504EB5}">
      <dgm:prSet/>
      <dgm:spPr/>
      <dgm:t>
        <a:bodyPr/>
        <a:lstStyle/>
        <a:p>
          <a:endParaRPr lang="fi-FI"/>
        </a:p>
      </dgm:t>
    </dgm:pt>
    <dgm:pt modelId="{94739C7B-A721-4872-A25E-7D2AC318F744}" type="sibTrans" cxnId="{BDA86A99-B773-4972-8DBE-702638504EB5}">
      <dgm:prSet/>
      <dgm:spPr/>
      <dgm:t>
        <a:bodyPr/>
        <a:lstStyle/>
        <a:p>
          <a:endParaRPr lang="fi-FI"/>
        </a:p>
      </dgm:t>
    </dgm:pt>
    <dgm:pt modelId="{8C15EA10-5879-4F25-BB54-CF34743A890C}">
      <dgm:prSet phldrT="[Teksti]" custT="1"/>
      <dgm:spPr>
        <a:noFill/>
      </dgm:spPr>
      <dgm:t>
        <a:bodyPr/>
        <a:lstStyle/>
        <a:p>
          <a:r>
            <a:rPr lang="fi-FI" sz="7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Morfoloogia-teadlikkus</a:t>
          </a:r>
          <a:endParaRPr lang="fi-FI" sz="8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endParaRPr>
        </a:p>
      </dgm:t>
    </dgm:pt>
    <dgm:pt modelId="{F3DE8B6E-E269-4378-8037-12C4F93B8080}" type="parTrans" cxnId="{3993F9DC-55A9-4DD9-B476-51908C87DA5A}">
      <dgm:prSet/>
      <dgm:spPr/>
      <dgm:t>
        <a:bodyPr/>
        <a:lstStyle/>
        <a:p>
          <a:endParaRPr lang="fi-FI"/>
        </a:p>
      </dgm:t>
    </dgm:pt>
    <dgm:pt modelId="{CBEC113B-3BC3-48E6-911C-AF98E26A2891}" type="sibTrans" cxnId="{3993F9DC-55A9-4DD9-B476-51908C87DA5A}">
      <dgm:prSet/>
      <dgm:spPr/>
      <dgm:t>
        <a:bodyPr/>
        <a:lstStyle/>
        <a:p>
          <a:endParaRPr lang="fi-FI"/>
        </a:p>
      </dgm:t>
    </dgm:pt>
    <dgm:pt modelId="{5DD065B6-42A7-4481-8363-054D95285B0D}">
      <dgm:prSet phldrT="[Teksti]" custT="1"/>
      <dgm:spPr>
        <a:noFill/>
      </dgm:spPr>
      <dgm:t>
        <a:bodyPr/>
        <a:lstStyle/>
        <a:p>
          <a:r>
            <a:rPr lang="fi-FI" sz="7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Paradigma-teadlikkus</a:t>
          </a:r>
          <a:r>
            <a:rPr lang="fi-FI" sz="700">
              <a:latin typeface="Charis SIL" panose="02000500060000020004" pitchFamily="2" charset="0"/>
              <a:ea typeface="Charis SIL" panose="02000500060000020004" pitchFamily="2" charset="0"/>
              <a:cs typeface="Charis SIL" panose="02000500060000020004" pitchFamily="2" charset="0"/>
            </a:rPr>
            <a:t>s</a:t>
          </a:r>
          <a:endParaRPr lang="fi-FI" sz="800">
            <a:latin typeface="Charis SIL" panose="02000500060000020004" pitchFamily="2" charset="0"/>
            <a:ea typeface="Charis SIL" panose="02000500060000020004" pitchFamily="2" charset="0"/>
            <a:cs typeface="Charis SIL" panose="02000500060000020004" pitchFamily="2" charset="0"/>
          </a:endParaRPr>
        </a:p>
      </dgm:t>
    </dgm:pt>
    <dgm:pt modelId="{F5806C07-B465-4DC0-9BEC-414A2BD0A824}" type="parTrans" cxnId="{1BFBC727-FBEF-4451-95A3-8EDCD304B8E8}">
      <dgm:prSet/>
      <dgm:spPr/>
      <dgm:t>
        <a:bodyPr/>
        <a:lstStyle/>
        <a:p>
          <a:endParaRPr lang="fi-FI"/>
        </a:p>
      </dgm:t>
    </dgm:pt>
    <dgm:pt modelId="{FC5BE3D9-F229-416A-946E-1FA5D5394346}" type="sibTrans" cxnId="{1BFBC727-FBEF-4451-95A3-8EDCD304B8E8}">
      <dgm:prSet/>
      <dgm:spPr/>
      <dgm:t>
        <a:bodyPr/>
        <a:lstStyle/>
        <a:p>
          <a:endParaRPr lang="fi-FI"/>
        </a:p>
      </dgm:t>
    </dgm:pt>
    <dgm:pt modelId="{3C92012E-B668-4ABB-8762-EC0CD348C479}">
      <dgm:prSet phldrT="[Teksti]" custT="1"/>
      <dgm:spPr>
        <a:noFill/>
      </dgm:spPr>
      <dgm:t>
        <a:bodyPr/>
        <a:lstStyle/>
        <a:p>
          <a:r>
            <a:rPr lang="fi-FI" sz="7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Pragmaatika- teadlikkus</a:t>
          </a:r>
        </a:p>
      </dgm:t>
    </dgm:pt>
    <dgm:pt modelId="{FA568DDB-F4B8-4048-80DB-D18185E4DC43}" type="parTrans" cxnId="{33A37F4F-C427-4C69-9C78-4D76EDC508C0}">
      <dgm:prSet/>
      <dgm:spPr/>
      <dgm:t>
        <a:bodyPr/>
        <a:lstStyle/>
        <a:p>
          <a:endParaRPr lang="fi-FI"/>
        </a:p>
      </dgm:t>
    </dgm:pt>
    <dgm:pt modelId="{A32C4ED0-DC0F-4AE6-B125-15ED1A3CDA6A}" type="sibTrans" cxnId="{33A37F4F-C427-4C69-9C78-4D76EDC508C0}">
      <dgm:prSet/>
      <dgm:spPr/>
      <dgm:t>
        <a:bodyPr/>
        <a:lstStyle/>
        <a:p>
          <a:endParaRPr lang="fi-FI"/>
        </a:p>
      </dgm:t>
    </dgm:pt>
    <dgm:pt modelId="{DBE74952-46E3-41A3-8CA1-56AD53CCA8D4}">
      <dgm:prSet phldrT="[Teksti]" custT="1"/>
      <dgm:spPr>
        <a:noFill/>
      </dgm:spPr>
      <dgm:t>
        <a:bodyPr/>
        <a:lstStyle/>
        <a:p>
          <a:r>
            <a:rPr lang="fi-FI" sz="7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Võrdlus enam kui ühe keelega</a:t>
          </a:r>
        </a:p>
      </dgm:t>
    </dgm:pt>
    <dgm:pt modelId="{9C2E1F4E-EA67-4602-87A9-5AF11CDD2EFC}" type="parTrans" cxnId="{DACC4844-A4EA-4BFA-8874-BB5F9DE0AD6F}">
      <dgm:prSet/>
      <dgm:spPr/>
      <dgm:t>
        <a:bodyPr/>
        <a:lstStyle/>
        <a:p>
          <a:endParaRPr lang="fi-FI"/>
        </a:p>
      </dgm:t>
    </dgm:pt>
    <dgm:pt modelId="{2D8E9731-17E9-409F-ACBA-1F9F9AB87976}" type="sibTrans" cxnId="{DACC4844-A4EA-4BFA-8874-BB5F9DE0AD6F}">
      <dgm:prSet/>
      <dgm:spPr/>
      <dgm:t>
        <a:bodyPr/>
        <a:lstStyle/>
        <a:p>
          <a:endParaRPr lang="fi-FI"/>
        </a:p>
      </dgm:t>
    </dgm:pt>
    <dgm:pt modelId="{D19F2324-8F05-439F-8320-0471D7CFABB9}">
      <dgm:prSet phldrT="[Teksti]" custT="1"/>
      <dgm:spPr>
        <a:noFill/>
      </dgm:spPr>
      <dgm:t>
        <a:bodyPr/>
        <a:lstStyle/>
        <a:p>
          <a:r>
            <a:rPr lang="fi-FI" sz="10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Soomlased</a:t>
          </a:r>
        </a:p>
      </dgm:t>
    </dgm:pt>
    <dgm:pt modelId="{C4174328-DA5D-4268-9109-C1486995E60B}" type="parTrans" cxnId="{D28666D4-2223-41C2-9357-87C7E41B324E}">
      <dgm:prSet/>
      <dgm:spPr/>
      <dgm:t>
        <a:bodyPr/>
        <a:lstStyle/>
        <a:p>
          <a:endParaRPr lang="fi-FI"/>
        </a:p>
      </dgm:t>
    </dgm:pt>
    <dgm:pt modelId="{4293FA1E-1235-41CE-AD49-DB6EEC37FEF4}" type="sibTrans" cxnId="{D28666D4-2223-41C2-9357-87C7E41B324E}">
      <dgm:prSet/>
      <dgm:spPr/>
      <dgm:t>
        <a:bodyPr/>
        <a:lstStyle/>
        <a:p>
          <a:endParaRPr lang="fi-FI"/>
        </a:p>
      </dgm:t>
    </dgm:pt>
    <dgm:pt modelId="{E0456A0F-3093-4F3A-90ED-2126CE7D6B00}">
      <dgm:prSet phldrT="[Teksti]">
        <dgm:style>
          <a:lnRef idx="2">
            <a:schemeClr val="accent1">
              <a:shade val="50000"/>
            </a:schemeClr>
          </a:lnRef>
          <a:fillRef idx="1">
            <a:schemeClr val="accent1"/>
          </a:fillRef>
          <a:effectRef idx="0">
            <a:schemeClr val="accent1"/>
          </a:effectRef>
          <a:fontRef idx="minor">
            <a:schemeClr val="lt1"/>
          </a:fontRef>
        </dgm:style>
      </dgm:prSet>
      <dgm:spPr>
        <a:solidFill>
          <a:schemeClr val="accent3">
            <a:lumMod val="60000"/>
            <a:lumOff val="40000"/>
          </a:schemeClr>
        </a:solidFill>
        <a:ln>
          <a:solidFill>
            <a:schemeClr val="bg1">
              <a:lumMod val="65000"/>
            </a:schemeClr>
          </a:solidFill>
        </a:ln>
      </dgm:spPr>
      <dgm:t>
        <a:bodyPr/>
        <a:lstStyle/>
        <a:p>
          <a:r>
            <a:rPr lang="fi-FI"/>
            <a:t>X</a:t>
          </a:r>
        </a:p>
      </dgm:t>
    </dgm:pt>
    <dgm:pt modelId="{2EDB57AB-15EF-460F-BEC6-20BEDBD39A30}" type="parTrans" cxnId="{1EA8E646-C13F-4CD0-8022-EA6E3391F03D}">
      <dgm:prSet/>
      <dgm:spPr/>
      <dgm:t>
        <a:bodyPr/>
        <a:lstStyle/>
        <a:p>
          <a:endParaRPr lang="fi-FI"/>
        </a:p>
      </dgm:t>
    </dgm:pt>
    <dgm:pt modelId="{840FD99E-BC81-4054-B9F9-A1906F2C6496}" type="sibTrans" cxnId="{1EA8E646-C13F-4CD0-8022-EA6E3391F03D}">
      <dgm:prSet/>
      <dgm:spPr/>
      <dgm:t>
        <a:bodyPr/>
        <a:lstStyle/>
        <a:p>
          <a:endParaRPr lang="fi-FI"/>
        </a:p>
      </dgm:t>
    </dgm:pt>
    <dgm:pt modelId="{0215BDE9-EF3C-49A9-977F-FA410CE782BB}">
      <dgm:prSet phldrT="[Teksti]"/>
      <dgm:spPr>
        <a:solidFill>
          <a:schemeClr val="accent3">
            <a:lumMod val="60000"/>
            <a:lumOff val="40000"/>
          </a:schemeClr>
        </a:solidFill>
        <a:ln>
          <a:solidFill>
            <a:schemeClr val="bg1">
              <a:lumMod val="65000"/>
            </a:schemeClr>
          </a:solidFill>
        </a:ln>
      </dgm:spPr>
      <dgm:t>
        <a:bodyPr/>
        <a:lstStyle/>
        <a:p>
          <a:r>
            <a:rPr lang="fi-FI"/>
            <a:t>X</a:t>
          </a:r>
        </a:p>
      </dgm:t>
    </dgm:pt>
    <dgm:pt modelId="{46FF6AF5-3357-4029-9EB9-C53C33D52192}" type="parTrans" cxnId="{3E706F5B-EC54-4250-9487-4D5FD7C6DABE}">
      <dgm:prSet/>
      <dgm:spPr/>
      <dgm:t>
        <a:bodyPr/>
        <a:lstStyle/>
        <a:p>
          <a:endParaRPr lang="fi-FI"/>
        </a:p>
      </dgm:t>
    </dgm:pt>
    <dgm:pt modelId="{5AD52CC5-5FA5-42EB-AC24-8D71FCEECCAB}" type="sibTrans" cxnId="{3E706F5B-EC54-4250-9487-4D5FD7C6DABE}">
      <dgm:prSet/>
      <dgm:spPr/>
      <dgm:t>
        <a:bodyPr/>
        <a:lstStyle/>
        <a:p>
          <a:endParaRPr lang="fi-FI"/>
        </a:p>
      </dgm:t>
    </dgm:pt>
    <dgm:pt modelId="{119E724A-66A8-4701-872A-A88604EBA5C7}">
      <dgm:prSet phldrT="[Teksti]"/>
      <dgm:spPr>
        <a:solidFill>
          <a:schemeClr val="accent3">
            <a:lumMod val="75000"/>
          </a:schemeClr>
        </a:solidFill>
        <a:ln>
          <a:solidFill>
            <a:schemeClr val="bg1">
              <a:lumMod val="65000"/>
            </a:schemeClr>
          </a:solidFill>
        </a:ln>
      </dgm:spPr>
      <dgm:t>
        <a:bodyPr/>
        <a:lstStyle/>
        <a:p>
          <a:r>
            <a:rPr lang="fi-FI"/>
            <a:t>X</a:t>
          </a:r>
        </a:p>
      </dgm:t>
    </dgm:pt>
    <dgm:pt modelId="{B0787C1F-5336-4E02-AD31-944749DD91C1}" type="parTrans" cxnId="{3EF2668B-71CF-41C4-A2E6-A5AC854E5628}">
      <dgm:prSet/>
      <dgm:spPr/>
      <dgm:t>
        <a:bodyPr/>
        <a:lstStyle/>
        <a:p>
          <a:endParaRPr lang="fi-FI"/>
        </a:p>
      </dgm:t>
    </dgm:pt>
    <dgm:pt modelId="{A4E20512-270D-4BF3-83D9-81508FE2DCCA}" type="sibTrans" cxnId="{3EF2668B-71CF-41C4-A2E6-A5AC854E5628}">
      <dgm:prSet/>
      <dgm:spPr/>
      <dgm:t>
        <a:bodyPr/>
        <a:lstStyle/>
        <a:p>
          <a:endParaRPr lang="fi-FI"/>
        </a:p>
      </dgm:t>
    </dgm:pt>
    <dgm:pt modelId="{6EE5D844-4448-4D82-ABF2-7CA01492AC80}">
      <dgm:prSet phldrT="[Teksti]" phldr="1"/>
      <dgm:spPr>
        <a:noFill/>
      </dgm:spPr>
      <dgm:t>
        <a:bodyPr/>
        <a:lstStyle/>
        <a:p>
          <a:endParaRPr lang="fi-FI"/>
        </a:p>
      </dgm:t>
    </dgm:pt>
    <dgm:pt modelId="{BB1E8B43-9CD6-4609-95DC-63D269C0F2A4}" type="sibTrans" cxnId="{7B4FE99A-6A1F-43DF-B532-63AF69DF126A}">
      <dgm:prSet/>
      <dgm:spPr/>
      <dgm:t>
        <a:bodyPr/>
        <a:lstStyle/>
        <a:p>
          <a:endParaRPr lang="fi-FI"/>
        </a:p>
      </dgm:t>
    </dgm:pt>
    <dgm:pt modelId="{B760E1D4-394B-4D88-823E-E212356939CD}" type="parTrans" cxnId="{7B4FE99A-6A1F-43DF-B532-63AF69DF126A}">
      <dgm:prSet/>
      <dgm:spPr/>
      <dgm:t>
        <a:bodyPr/>
        <a:lstStyle/>
        <a:p>
          <a:endParaRPr lang="fi-FI"/>
        </a:p>
      </dgm:t>
    </dgm:pt>
    <dgm:pt modelId="{9BA958AF-5EC1-4EA1-89B6-74F57946A6A2}" type="pres">
      <dgm:prSet presAssocID="{A4CBAD26-73DD-45F1-960E-4BE74AEA5CC8}" presName="diagram" presStyleCnt="0">
        <dgm:presLayoutVars>
          <dgm:dir/>
          <dgm:resizeHandles val="exact"/>
        </dgm:presLayoutVars>
      </dgm:prSet>
      <dgm:spPr/>
    </dgm:pt>
    <dgm:pt modelId="{6D77211A-6223-40D7-AC82-E5EB51D51F2C}" type="pres">
      <dgm:prSet presAssocID="{6EE5D844-4448-4D82-ABF2-7CA01492AC80}" presName="node" presStyleLbl="node1" presStyleIdx="0" presStyleCnt="30">
        <dgm:presLayoutVars>
          <dgm:bulletEnabled val="1"/>
        </dgm:presLayoutVars>
      </dgm:prSet>
      <dgm:spPr/>
    </dgm:pt>
    <dgm:pt modelId="{1A70D8B6-FD0B-495D-98C7-D62EC582D269}" type="pres">
      <dgm:prSet presAssocID="{BB1E8B43-9CD6-4609-95DC-63D269C0F2A4}" presName="sibTrans" presStyleCnt="0"/>
      <dgm:spPr/>
    </dgm:pt>
    <dgm:pt modelId="{08EAAB1F-475C-4937-B283-491F96072E7E}" type="pres">
      <dgm:prSet presAssocID="{BDCDBAA0-39C7-49E2-9BC6-4BF3D37968D6}" presName="node" presStyleLbl="node1" presStyleIdx="1" presStyleCnt="30">
        <dgm:presLayoutVars>
          <dgm:bulletEnabled val="1"/>
        </dgm:presLayoutVars>
      </dgm:prSet>
      <dgm:spPr/>
    </dgm:pt>
    <dgm:pt modelId="{AB81A0E8-855E-4073-81DA-D9E66886616C}" type="pres">
      <dgm:prSet presAssocID="{94739C7B-A721-4872-A25E-7D2AC318F744}" presName="sibTrans" presStyleCnt="0"/>
      <dgm:spPr/>
    </dgm:pt>
    <dgm:pt modelId="{0F6777DE-279B-4092-A552-8E793B680CD0}" type="pres">
      <dgm:prSet presAssocID="{8C15EA10-5879-4F25-BB54-CF34743A890C}" presName="node" presStyleLbl="node1" presStyleIdx="2" presStyleCnt="30">
        <dgm:presLayoutVars>
          <dgm:bulletEnabled val="1"/>
        </dgm:presLayoutVars>
      </dgm:prSet>
      <dgm:spPr/>
    </dgm:pt>
    <dgm:pt modelId="{35D775E8-3930-48D9-9EF6-BA45397DD73D}" type="pres">
      <dgm:prSet presAssocID="{CBEC113B-3BC3-48E6-911C-AF98E26A2891}" presName="sibTrans" presStyleCnt="0"/>
      <dgm:spPr/>
    </dgm:pt>
    <dgm:pt modelId="{B524823B-99A3-48D7-86DD-25C4CAD4B480}" type="pres">
      <dgm:prSet presAssocID="{5DD065B6-42A7-4481-8363-054D95285B0D}" presName="node" presStyleLbl="node1" presStyleIdx="3" presStyleCnt="30">
        <dgm:presLayoutVars>
          <dgm:bulletEnabled val="1"/>
        </dgm:presLayoutVars>
      </dgm:prSet>
      <dgm:spPr/>
    </dgm:pt>
    <dgm:pt modelId="{208BFA7D-CF6E-4E9C-A360-BA61FFDAAA03}" type="pres">
      <dgm:prSet presAssocID="{FC5BE3D9-F229-416A-946E-1FA5D5394346}" presName="sibTrans" presStyleCnt="0"/>
      <dgm:spPr/>
    </dgm:pt>
    <dgm:pt modelId="{2D190A8A-C4B0-4EB5-88DE-01F9BA90C3A6}" type="pres">
      <dgm:prSet presAssocID="{3C92012E-B668-4ABB-8762-EC0CD348C479}" presName="node" presStyleLbl="node1" presStyleIdx="4" presStyleCnt="30">
        <dgm:presLayoutVars>
          <dgm:bulletEnabled val="1"/>
        </dgm:presLayoutVars>
      </dgm:prSet>
      <dgm:spPr/>
    </dgm:pt>
    <dgm:pt modelId="{9C74601B-A32A-494E-A5C7-B8824CB8D906}" type="pres">
      <dgm:prSet presAssocID="{A32C4ED0-DC0F-4AE6-B125-15ED1A3CDA6A}" presName="sibTrans" presStyleCnt="0"/>
      <dgm:spPr/>
    </dgm:pt>
    <dgm:pt modelId="{DE94ECF2-FE23-49E3-B0B8-9A46B5B08015}" type="pres">
      <dgm:prSet presAssocID="{DBE74952-46E3-41A3-8CA1-56AD53CCA8D4}" presName="node" presStyleLbl="node1" presStyleIdx="5" presStyleCnt="30" custLinFactNeighborX="750">
        <dgm:presLayoutVars>
          <dgm:bulletEnabled val="1"/>
        </dgm:presLayoutVars>
      </dgm:prSet>
      <dgm:spPr/>
    </dgm:pt>
    <dgm:pt modelId="{BBE5F945-63B8-4479-9EC8-90328EDC6A94}" type="pres">
      <dgm:prSet presAssocID="{2D8E9731-17E9-409F-ACBA-1F9F9AB87976}" presName="sibTrans" presStyleCnt="0"/>
      <dgm:spPr/>
    </dgm:pt>
    <dgm:pt modelId="{B71F9C35-0717-4DE5-8C3D-D78F6F865C9B}" type="pres">
      <dgm:prSet presAssocID="{D19F2324-8F05-439F-8320-0471D7CFABB9}" presName="node" presStyleLbl="node1" presStyleIdx="6" presStyleCnt="30">
        <dgm:presLayoutVars>
          <dgm:bulletEnabled val="1"/>
        </dgm:presLayoutVars>
      </dgm:prSet>
      <dgm:spPr/>
    </dgm:pt>
    <dgm:pt modelId="{D933DDA5-0E25-4B98-A26E-9A72492DA8E8}" type="pres">
      <dgm:prSet presAssocID="{4293FA1E-1235-41CE-AD49-DB6EEC37FEF4}" presName="sibTrans" presStyleCnt="0"/>
      <dgm:spPr/>
    </dgm:pt>
    <dgm:pt modelId="{354FFBAD-81A2-4855-BAF9-0EED84889F47}" type="pres">
      <dgm:prSet presAssocID="{E0456A0F-3093-4F3A-90ED-2126CE7D6B00}" presName="node" presStyleLbl="node1" presStyleIdx="7" presStyleCnt="30">
        <dgm:presLayoutVars>
          <dgm:bulletEnabled val="1"/>
        </dgm:presLayoutVars>
      </dgm:prSet>
      <dgm:spPr>
        <a:prstGeom prst="roundRect">
          <a:avLst/>
        </a:prstGeom>
      </dgm:spPr>
    </dgm:pt>
    <dgm:pt modelId="{06453B9B-B52C-4E07-B4EE-2A5B38EFF02D}" type="pres">
      <dgm:prSet presAssocID="{840FD99E-BC81-4054-B9F9-A1906F2C6496}" presName="sibTrans" presStyleCnt="0"/>
      <dgm:spPr/>
    </dgm:pt>
    <dgm:pt modelId="{0926421B-F979-4ECB-A89D-C93FA6AB63AE}" type="pres">
      <dgm:prSet presAssocID="{0215BDE9-EF3C-49A9-977F-FA410CE782BB}" presName="node" presStyleLbl="node1" presStyleIdx="8" presStyleCnt="30">
        <dgm:presLayoutVars>
          <dgm:bulletEnabled val="1"/>
        </dgm:presLayoutVars>
      </dgm:prSet>
      <dgm:spPr>
        <a:prstGeom prst="roundRect">
          <a:avLst/>
        </a:prstGeom>
      </dgm:spPr>
    </dgm:pt>
    <dgm:pt modelId="{B1DF586D-E5A2-4653-843B-7C028CD4A28F}" type="pres">
      <dgm:prSet presAssocID="{5AD52CC5-5FA5-42EB-AC24-8D71FCEECCAB}" presName="sibTrans" presStyleCnt="0"/>
      <dgm:spPr/>
    </dgm:pt>
    <dgm:pt modelId="{786E4163-0619-4500-84BF-EBE6889D89AD}" type="pres">
      <dgm:prSet presAssocID="{119E724A-66A8-4701-872A-A88604EBA5C7}" presName="node" presStyleLbl="node1" presStyleIdx="9" presStyleCnt="30">
        <dgm:presLayoutVars>
          <dgm:bulletEnabled val="1"/>
        </dgm:presLayoutVars>
      </dgm:prSet>
      <dgm:spPr>
        <a:prstGeom prst="roundRect">
          <a:avLst/>
        </a:prstGeom>
      </dgm:spPr>
    </dgm:pt>
    <dgm:pt modelId="{ED81477E-3F6F-447F-B2B3-4B7F5BBFDC00}" type="pres">
      <dgm:prSet presAssocID="{A4E20512-270D-4BF3-83D9-81508FE2DCCA}" presName="sibTrans" presStyleCnt="0"/>
      <dgm:spPr/>
    </dgm:pt>
    <dgm:pt modelId="{7D703421-1C86-4FEB-AF29-E08E0A0528D8}" type="pres">
      <dgm:prSet presAssocID="{19BF42A5-49DB-4970-AFE2-A4865B5319F7}" presName="node" presStyleLbl="node1" presStyleIdx="10" presStyleCnt="30">
        <dgm:presLayoutVars>
          <dgm:bulletEnabled val="1"/>
        </dgm:presLayoutVars>
      </dgm:prSet>
      <dgm:spPr>
        <a:prstGeom prst="roundRect">
          <a:avLst/>
        </a:prstGeom>
      </dgm:spPr>
    </dgm:pt>
    <dgm:pt modelId="{559D57BE-50FE-47DD-80B2-A5E51019F33D}" type="pres">
      <dgm:prSet presAssocID="{D6FC20A5-9D3B-456D-87D6-F1F62CCEE126}" presName="sibTrans" presStyleCnt="0"/>
      <dgm:spPr/>
    </dgm:pt>
    <dgm:pt modelId="{C3A6BBAB-7358-4797-8A2F-C89B6D59BB4B}" type="pres">
      <dgm:prSet presAssocID="{A657D509-4B31-4FCF-92DF-49E3841360FB}" presName="node" presStyleLbl="node1" presStyleIdx="11" presStyleCnt="30">
        <dgm:presLayoutVars>
          <dgm:bulletEnabled val="1"/>
        </dgm:presLayoutVars>
      </dgm:prSet>
      <dgm:spPr>
        <a:prstGeom prst="roundRect">
          <a:avLst/>
        </a:prstGeom>
      </dgm:spPr>
    </dgm:pt>
    <dgm:pt modelId="{4331C905-FB1A-41EF-9594-CCCDC01DB8A2}" type="pres">
      <dgm:prSet presAssocID="{584EF898-E53D-493F-8910-F7CA095106AC}" presName="sibTrans" presStyleCnt="0"/>
      <dgm:spPr/>
    </dgm:pt>
    <dgm:pt modelId="{8F62DCC7-2F0F-4BBB-8BFD-7EDA7A7F037D}" type="pres">
      <dgm:prSet presAssocID="{0F5E8062-2311-4959-8F77-C42216F8126E}" presName="node" presStyleLbl="node1" presStyleIdx="12" presStyleCnt="30">
        <dgm:presLayoutVars>
          <dgm:bulletEnabled val="1"/>
        </dgm:presLayoutVars>
      </dgm:prSet>
      <dgm:spPr/>
    </dgm:pt>
    <dgm:pt modelId="{77B46403-0319-4CEA-9040-31DDD54D4E1A}" type="pres">
      <dgm:prSet presAssocID="{6DF4EEF2-8D58-40B3-9696-9570D63D9C88}" presName="sibTrans" presStyleCnt="0"/>
      <dgm:spPr/>
    </dgm:pt>
    <dgm:pt modelId="{C8BD99AA-442A-4555-B3BF-2630872A3DF2}" type="pres">
      <dgm:prSet presAssocID="{D1148B02-05C1-4D67-8595-4224258DC58C}" presName="node" presStyleLbl="node1" presStyleIdx="13" presStyleCnt="30">
        <dgm:presLayoutVars>
          <dgm:bulletEnabled val="1"/>
        </dgm:presLayoutVars>
      </dgm:prSet>
      <dgm:spPr>
        <a:prstGeom prst="roundRect">
          <a:avLst/>
        </a:prstGeom>
      </dgm:spPr>
    </dgm:pt>
    <dgm:pt modelId="{0547E1D1-3EAB-44A2-A0C4-FF34381D5E9B}" type="pres">
      <dgm:prSet presAssocID="{41F37FAC-6A43-4550-ADAC-AB70509CBD39}" presName="sibTrans" presStyleCnt="0"/>
      <dgm:spPr/>
    </dgm:pt>
    <dgm:pt modelId="{5241C636-34F1-496F-AA05-619D11129E87}" type="pres">
      <dgm:prSet presAssocID="{1F1754AF-BAF2-4021-A4B6-8772EBCA48CE}" presName="node" presStyleLbl="node1" presStyleIdx="14" presStyleCnt="30">
        <dgm:presLayoutVars>
          <dgm:bulletEnabled val="1"/>
        </dgm:presLayoutVars>
      </dgm:prSet>
      <dgm:spPr>
        <a:prstGeom prst="roundRect">
          <a:avLst/>
        </a:prstGeom>
      </dgm:spPr>
    </dgm:pt>
    <dgm:pt modelId="{9C79AA27-3B15-4338-827A-54529B2469F7}" type="pres">
      <dgm:prSet presAssocID="{F66DD7E1-A2AB-47B0-9128-C260EA233853}" presName="sibTrans" presStyleCnt="0"/>
      <dgm:spPr/>
    </dgm:pt>
    <dgm:pt modelId="{366CD059-07A3-4696-888D-23726A58E06B}" type="pres">
      <dgm:prSet presAssocID="{D5E175A5-3A59-427B-9D21-27223759FB1F}" presName="node" presStyleLbl="node1" presStyleIdx="15" presStyleCnt="30">
        <dgm:presLayoutVars>
          <dgm:bulletEnabled val="1"/>
        </dgm:presLayoutVars>
      </dgm:prSet>
      <dgm:spPr>
        <a:prstGeom prst="roundRect">
          <a:avLst/>
        </a:prstGeom>
      </dgm:spPr>
    </dgm:pt>
    <dgm:pt modelId="{0981B2A7-D773-4250-BD20-B775E491880F}" type="pres">
      <dgm:prSet presAssocID="{A8A2DC7B-6CB5-49AC-9650-A2C22642779F}" presName="sibTrans" presStyleCnt="0"/>
      <dgm:spPr/>
    </dgm:pt>
    <dgm:pt modelId="{BFE46996-DB47-4065-AC96-F66B20D33DD5}" type="pres">
      <dgm:prSet presAssocID="{0DC3B1F3-2FDC-4C29-BB25-A099C0D25309}" presName="node" presStyleLbl="node1" presStyleIdx="16" presStyleCnt="30">
        <dgm:presLayoutVars>
          <dgm:bulletEnabled val="1"/>
        </dgm:presLayoutVars>
      </dgm:prSet>
      <dgm:spPr>
        <a:prstGeom prst="roundRect">
          <a:avLst/>
        </a:prstGeom>
      </dgm:spPr>
    </dgm:pt>
    <dgm:pt modelId="{E2BAA09B-A80B-4AE6-A20B-37720ABF095D}" type="pres">
      <dgm:prSet presAssocID="{1FA9F9FD-9C75-486D-A448-FFD0D5F5A062}" presName="sibTrans" presStyleCnt="0"/>
      <dgm:spPr/>
    </dgm:pt>
    <dgm:pt modelId="{1E68117B-FF97-4823-80FA-89D1CC065E30}" type="pres">
      <dgm:prSet presAssocID="{78C66578-CB17-44FB-989B-E879B0D5FA4B}" presName="node" presStyleLbl="node1" presStyleIdx="17" presStyleCnt="30">
        <dgm:presLayoutVars>
          <dgm:bulletEnabled val="1"/>
        </dgm:presLayoutVars>
      </dgm:prSet>
      <dgm:spPr>
        <a:prstGeom prst="roundRect">
          <a:avLst/>
        </a:prstGeom>
      </dgm:spPr>
    </dgm:pt>
    <dgm:pt modelId="{5323AB11-2515-45D2-88B3-ED11ADFEACE3}" type="pres">
      <dgm:prSet presAssocID="{16E20132-E606-4424-B988-7BFE48D0BB5C}" presName="sibTrans" presStyleCnt="0"/>
      <dgm:spPr/>
    </dgm:pt>
    <dgm:pt modelId="{0AEA8754-D9D6-4366-AD04-143B310FEE34}" type="pres">
      <dgm:prSet presAssocID="{6C838868-A0B9-4CF7-A9D9-98A3BE8699BC}" presName="node" presStyleLbl="node1" presStyleIdx="18" presStyleCnt="30">
        <dgm:presLayoutVars>
          <dgm:bulletEnabled val="1"/>
        </dgm:presLayoutVars>
      </dgm:prSet>
      <dgm:spPr/>
    </dgm:pt>
    <dgm:pt modelId="{D6AC21A9-781B-464C-911C-6E1FC00D90AC}" type="pres">
      <dgm:prSet presAssocID="{361D4A53-10CB-40BE-970D-CA302FB52F0E}" presName="sibTrans" presStyleCnt="0"/>
      <dgm:spPr/>
    </dgm:pt>
    <dgm:pt modelId="{0828FC3C-5E8E-4FC8-B287-E387968DDD46}" type="pres">
      <dgm:prSet presAssocID="{99C1279D-767A-4131-B627-7A582DF4916C}" presName="node" presStyleLbl="node1" presStyleIdx="19" presStyleCnt="30">
        <dgm:presLayoutVars>
          <dgm:bulletEnabled val="1"/>
        </dgm:presLayoutVars>
      </dgm:prSet>
      <dgm:spPr>
        <a:prstGeom prst="roundRect">
          <a:avLst/>
        </a:prstGeom>
      </dgm:spPr>
    </dgm:pt>
    <dgm:pt modelId="{F8C7C558-3914-4325-8E3B-C7755AFB4DE8}" type="pres">
      <dgm:prSet presAssocID="{8CDCE128-B7B7-4D73-A0B5-886A9F67E2A2}" presName="sibTrans" presStyleCnt="0"/>
      <dgm:spPr/>
    </dgm:pt>
    <dgm:pt modelId="{7F124DF4-D394-4670-86A5-8213C10FBD59}" type="pres">
      <dgm:prSet presAssocID="{19530824-CD54-4C9E-9691-E97D6D62012E}" presName="node" presStyleLbl="node1" presStyleIdx="20" presStyleCnt="30">
        <dgm:presLayoutVars>
          <dgm:bulletEnabled val="1"/>
        </dgm:presLayoutVars>
      </dgm:prSet>
      <dgm:spPr>
        <a:prstGeom prst="roundRect">
          <a:avLst/>
        </a:prstGeom>
      </dgm:spPr>
    </dgm:pt>
    <dgm:pt modelId="{D57F136D-0A33-4218-8E10-2750D80CA94E}" type="pres">
      <dgm:prSet presAssocID="{3D794B9A-975B-42D7-BFF1-BA08C6E7D2A6}" presName="sibTrans" presStyleCnt="0"/>
      <dgm:spPr/>
    </dgm:pt>
    <dgm:pt modelId="{EDDBC5F2-B952-445D-B6CC-DE46A3C71A65}" type="pres">
      <dgm:prSet presAssocID="{7B57B305-3A56-450E-A99C-7AF924CAB236}" presName="node" presStyleLbl="node1" presStyleIdx="21" presStyleCnt="30">
        <dgm:presLayoutVars>
          <dgm:bulletEnabled val="1"/>
        </dgm:presLayoutVars>
      </dgm:prSet>
      <dgm:spPr>
        <a:prstGeom prst="roundRect">
          <a:avLst/>
        </a:prstGeom>
      </dgm:spPr>
    </dgm:pt>
    <dgm:pt modelId="{2737E1CB-B95A-4664-A326-FEC9ED330BC9}" type="pres">
      <dgm:prSet presAssocID="{052CCA3D-1BE6-4E20-B671-9B36ECFE5A19}" presName="sibTrans" presStyleCnt="0"/>
      <dgm:spPr/>
    </dgm:pt>
    <dgm:pt modelId="{97959A92-F2B9-4DA7-8612-F836614CE36E}" type="pres">
      <dgm:prSet presAssocID="{DBAA4194-62C9-4B4A-B823-F3146EDD58CE}" presName="node" presStyleLbl="node1" presStyleIdx="22" presStyleCnt="30">
        <dgm:presLayoutVars>
          <dgm:bulletEnabled val="1"/>
        </dgm:presLayoutVars>
      </dgm:prSet>
      <dgm:spPr>
        <a:prstGeom prst="roundRect">
          <a:avLst/>
        </a:prstGeom>
      </dgm:spPr>
    </dgm:pt>
    <dgm:pt modelId="{1036C302-67D9-4D7C-8E63-357B1989DC0B}" type="pres">
      <dgm:prSet presAssocID="{87302331-A190-42D1-B1AA-F7F9D2FF9E71}" presName="sibTrans" presStyleCnt="0"/>
      <dgm:spPr/>
    </dgm:pt>
    <dgm:pt modelId="{610C8C40-728A-4FBC-8C2E-85B595807887}" type="pres">
      <dgm:prSet presAssocID="{F52BA92F-F795-409A-9C9A-ECE02667B90C}" presName="node" presStyleLbl="node1" presStyleIdx="23" presStyleCnt="30">
        <dgm:presLayoutVars>
          <dgm:bulletEnabled val="1"/>
        </dgm:presLayoutVars>
      </dgm:prSet>
      <dgm:spPr>
        <a:prstGeom prst="roundRect">
          <a:avLst/>
        </a:prstGeom>
      </dgm:spPr>
    </dgm:pt>
    <dgm:pt modelId="{CA112F68-27D9-4FB7-B0D4-106B4971D08A}" type="pres">
      <dgm:prSet presAssocID="{0FA91FD4-A2EC-45DF-86AB-3AD59874E7DB}" presName="sibTrans" presStyleCnt="0"/>
      <dgm:spPr/>
    </dgm:pt>
    <dgm:pt modelId="{DABC00CF-8684-4536-A772-6EB9196DF526}" type="pres">
      <dgm:prSet presAssocID="{5691752F-A31B-4684-92CF-DED47566DF74}" presName="node" presStyleLbl="node1" presStyleIdx="24" presStyleCnt="30">
        <dgm:presLayoutVars>
          <dgm:bulletEnabled val="1"/>
        </dgm:presLayoutVars>
      </dgm:prSet>
      <dgm:spPr/>
    </dgm:pt>
    <dgm:pt modelId="{638E54E4-1055-4CD3-A03B-93F412BD4269}" type="pres">
      <dgm:prSet presAssocID="{CCC2CC2D-FFC9-4D14-9359-EBEA3FACD4D0}" presName="sibTrans" presStyleCnt="0"/>
      <dgm:spPr/>
    </dgm:pt>
    <dgm:pt modelId="{439BA7DE-31F4-43EF-BABE-9177E1E21D95}" type="pres">
      <dgm:prSet presAssocID="{30E6D843-9E84-480A-8DAB-8D369E55DE8E}" presName="node" presStyleLbl="node1" presStyleIdx="25" presStyleCnt="30">
        <dgm:presLayoutVars>
          <dgm:bulletEnabled val="1"/>
        </dgm:presLayoutVars>
      </dgm:prSet>
      <dgm:spPr>
        <a:prstGeom prst="roundRect">
          <a:avLst/>
        </a:prstGeom>
      </dgm:spPr>
    </dgm:pt>
    <dgm:pt modelId="{C450EEFA-F1D8-427F-8B9F-7C7123B7C23B}" type="pres">
      <dgm:prSet presAssocID="{6010B4C4-D141-4A3C-994A-D507FC5679D3}" presName="sibTrans" presStyleCnt="0"/>
      <dgm:spPr/>
    </dgm:pt>
    <dgm:pt modelId="{528A10FE-A6C4-4A1A-A8C5-3BF43006DCB6}" type="pres">
      <dgm:prSet presAssocID="{F83CD27C-1F86-41F7-8F6F-632413DE0B4D}" presName="node" presStyleLbl="node1" presStyleIdx="26" presStyleCnt="30">
        <dgm:presLayoutVars>
          <dgm:bulletEnabled val="1"/>
        </dgm:presLayoutVars>
      </dgm:prSet>
      <dgm:spPr>
        <a:prstGeom prst="roundRect">
          <a:avLst/>
        </a:prstGeom>
      </dgm:spPr>
    </dgm:pt>
    <dgm:pt modelId="{F21355F0-B412-4038-9C93-19C50865BA2A}" type="pres">
      <dgm:prSet presAssocID="{EE8C6493-CC9D-4836-999E-3BE95F3066DE}" presName="sibTrans" presStyleCnt="0"/>
      <dgm:spPr/>
    </dgm:pt>
    <dgm:pt modelId="{0F5C452C-822E-4CEE-84F0-11E01D0F30DA}" type="pres">
      <dgm:prSet presAssocID="{44DCDBDA-FA79-4D7A-B514-7F8C9C16933C}" presName="node" presStyleLbl="node1" presStyleIdx="27" presStyleCnt="30">
        <dgm:presLayoutVars>
          <dgm:bulletEnabled val="1"/>
        </dgm:presLayoutVars>
      </dgm:prSet>
      <dgm:spPr>
        <a:prstGeom prst="roundRect">
          <a:avLst/>
        </a:prstGeom>
      </dgm:spPr>
    </dgm:pt>
    <dgm:pt modelId="{6E2E13A0-550D-41CE-A2F0-8B4A1CE1F5D9}" type="pres">
      <dgm:prSet presAssocID="{67658BF2-C509-4637-82E9-A3284CAEEB3C}" presName="sibTrans" presStyleCnt="0"/>
      <dgm:spPr/>
    </dgm:pt>
    <dgm:pt modelId="{3EB96379-BCA4-4EA1-8CFE-71DE19D08D8D}" type="pres">
      <dgm:prSet presAssocID="{85C5F725-4AC4-4BF0-8516-B5367FF15E46}" presName="node" presStyleLbl="node1" presStyleIdx="28" presStyleCnt="30">
        <dgm:presLayoutVars>
          <dgm:bulletEnabled val="1"/>
        </dgm:presLayoutVars>
      </dgm:prSet>
      <dgm:spPr>
        <a:prstGeom prst="roundRect">
          <a:avLst/>
        </a:prstGeom>
      </dgm:spPr>
    </dgm:pt>
    <dgm:pt modelId="{AC595187-E6A4-4742-B3B0-D2F2EFB0F18E}" type="pres">
      <dgm:prSet presAssocID="{06EBF474-8EFA-47B0-B3F7-3F8FC65D128A}" presName="sibTrans" presStyleCnt="0"/>
      <dgm:spPr/>
    </dgm:pt>
    <dgm:pt modelId="{D753D430-D2BE-463D-AF71-C8C7E7BCED00}" type="pres">
      <dgm:prSet presAssocID="{9B8B2BE0-3E4F-46C6-A5D9-20D337CD6691}" presName="node" presStyleLbl="node1" presStyleIdx="29" presStyleCnt="30">
        <dgm:presLayoutVars>
          <dgm:bulletEnabled val="1"/>
        </dgm:presLayoutVars>
      </dgm:prSet>
      <dgm:spPr>
        <a:prstGeom prst="roundRect">
          <a:avLst/>
        </a:prstGeom>
      </dgm:spPr>
    </dgm:pt>
  </dgm:ptLst>
  <dgm:cxnLst>
    <dgm:cxn modelId="{0FDFB901-4C49-4B16-8D9A-1B097F960339}" type="presOf" srcId="{DBE74952-46E3-41A3-8CA1-56AD53CCA8D4}" destId="{DE94ECF2-FE23-49E3-B0B8-9A46B5B08015}" srcOrd="0" destOrd="0" presId="urn:microsoft.com/office/officeart/2005/8/layout/default"/>
    <dgm:cxn modelId="{19709303-C7AA-48F2-8ECF-E98C6CAFC847}" type="presOf" srcId="{7B57B305-3A56-450E-A99C-7AF924CAB236}" destId="{EDDBC5F2-B952-445D-B6CC-DE46A3C71A65}" srcOrd="0" destOrd="0" presId="urn:microsoft.com/office/officeart/2005/8/layout/default"/>
    <dgm:cxn modelId="{2FCB3B04-A246-4611-B8DE-23B5D0E17B77}" srcId="{A4CBAD26-73DD-45F1-960E-4BE74AEA5CC8}" destId="{85C5F725-4AC4-4BF0-8516-B5367FF15E46}" srcOrd="28" destOrd="0" parTransId="{99C4A0EE-4F76-4151-A932-C15D6A9D1A9C}" sibTransId="{06EBF474-8EFA-47B0-B3F7-3F8FC65D128A}"/>
    <dgm:cxn modelId="{FBE66B05-308E-4261-A852-475657E761CF}" type="presOf" srcId="{1F1754AF-BAF2-4021-A4B6-8772EBCA48CE}" destId="{5241C636-34F1-496F-AA05-619D11129E87}" srcOrd="0" destOrd="0" presId="urn:microsoft.com/office/officeart/2005/8/layout/default"/>
    <dgm:cxn modelId="{74CA6B09-F24D-4AB8-9E46-64A6F2809996}" srcId="{A4CBAD26-73DD-45F1-960E-4BE74AEA5CC8}" destId="{0DC3B1F3-2FDC-4C29-BB25-A099C0D25309}" srcOrd="16" destOrd="0" parTransId="{02CE020C-6771-4426-8270-FA24921BC42F}" sibTransId="{1FA9F9FD-9C75-486D-A448-FFD0D5F5A062}"/>
    <dgm:cxn modelId="{67D70C0C-0B9E-45C4-998D-251185812DAA}" srcId="{A4CBAD26-73DD-45F1-960E-4BE74AEA5CC8}" destId="{19530824-CD54-4C9E-9691-E97D6D62012E}" srcOrd="20" destOrd="0" parTransId="{F5F3F531-39CC-4B9D-B5C7-79BEF294FABD}" sibTransId="{3D794B9A-975B-42D7-BFF1-BA08C6E7D2A6}"/>
    <dgm:cxn modelId="{48EEDD12-A6DA-44E6-9982-50167037E062}" type="presOf" srcId="{5691752F-A31B-4684-92CF-DED47566DF74}" destId="{DABC00CF-8684-4536-A772-6EB9196DF526}" srcOrd="0" destOrd="0" presId="urn:microsoft.com/office/officeart/2005/8/layout/default"/>
    <dgm:cxn modelId="{AB637513-2E07-44B0-BBC5-ACB81FE87D0B}" type="presOf" srcId="{8C15EA10-5879-4F25-BB54-CF34743A890C}" destId="{0F6777DE-279B-4092-A552-8E793B680CD0}" srcOrd="0" destOrd="0" presId="urn:microsoft.com/office/officeart/2005/8/layout/default"/>
    <dgm:cxn modelId="{AB41C314-3926-46D4-8773-523EFB95A6CB}" srcId="{A4CBAD26-73DD-45F1-960E-4BE74AEA5CC8}" destId="{19BF42A5-49DB-4970-AFE2-A4865B5319F7}" srcOrd="10" destOrd="0" parTransId="{9BE82B8E-D07D-4B05-BF00-2F148B6AB362}" sibTransId="{D6FC20A5-9D3B-456D-87D6-F1F62CCEE126}"/>
    <dgm:cxn modelId="{69D4AF16-371C-4B80-8F10-BB11858BCC60}" srcId="{A4CBAD26-73DD-45F1-960E-4BE74AEA5CC8}" destId="{5691752F-A31B-4684-92CF-DED47566DF74}" srcOrd="24" destOrd="0" parTransId="{F2893DA9-CAE3-4F90-A254-C97C3E55461B}" sibTransId="{CCC2CC2D-FFC9-4D14-9359-EBEA3FACD4D0}"/>
    <dgm:cxn modelId="{1BFBC727-FBEF-4451-95A3-8EDCD304B8E8}" srcId="{A4CBAD26-73DD-45F1-960E-4BE74AEA5CC8}" destId="{5DD065B6-42A7-4481-8363-054D95285B0D}" srcOrd="3" destOrd="0" parTransId="{F5806C07-B465-4DC0-9BEC-414A2BD0A824}" sibTransId="{FC5BE3D9-F229-416A-946E-1FA5D5394346}"/>
    <dgm:cxn modelId="{0AC8B528-72E8-4126-B2FD-F6C2DF9EF4C2}" type="presOf" srcId="{6C838868-A0B9-4CF7-A9D9-98A3BE8699BC}" destId="{0AEA8754-D9D6-4366-AD04-143B310FEE34}" srcOrd="0" destOrd="0" presId="urn:microsoft.com/office/officeart/2005/8/layout/default"/>
    <dgm:cxn modelId="{6BB7F930-E067-4150-8F3B-ED54B5764CF2}" type="presOf" srcId="{44DCDBDA-FA79-4D7A-B514-7F8C9C16933C}" destId="{0F5C452C-822E-4CEE-84F0-11E01D0F30DA}" srcOrd="0" destOrd="0" presId="urn:microsoft.com/office/officeart/2005/8/layout/default"/>
    <dgm:cxn modelId="{F48FF83E-6103-421A-B63E-C37A9B71F4DB}" type="presOf" srcId="{9B8B2BE0-3E4F-46C6-A5D9-20D337CD6691}" destId="{D753D430-D2BE-463D-AF71-C8C7E7BCED00}" srcOrd="0" destOrd="0" presId="urn:microsoft.com/office/officeart/2005/8/layout/default"/>
    <dgm:cxn modelId="{4251455B-7741-4F0A-9D69-709D1DEF9833}" type="presOf" srcId="{DBAA4194-62C9-4B4A-B823-F3146EDD58CE}" destId="{97959A92-F2B9-4DA7-8612-F836614CE36E}" srcOrd="0" destOrd="0" presId="urn:microsoft.com/office/officeart/2005/8/layout/default"/>
    <dgm:cxn modelId="{3E706F5B-EC54-4250-9487-4D5FD7C6DABE}" srcId="{A4CBAD26-73DD-45F1-960E-4BE74AEA5CC8}" destId="{0215BDE9-EF3C-49A9-977F-FA410CE782BB}" srcOrd="8" destOrd="0" parTransId="{46FF6AF5-3357-4029-9EB9-C53C33D52192}" sibTransId="{5AD52CC5-5FA5-42EB-AC24-8D71FCEECCAB}"/>
    <dgm:cxn modelId="{1C75B441-F3A9-4421-A269-D2C3A82A418B}" srcId="{A4CBAD26-73DD-45F1-960E-4BE74AEA5CC8}" destId="{DBAA4194-62C9-4B4A-B823-F3146EDD58CE}" srcOrd="22" destOrd="0" parTransId="{E9CDAE37-0659-47D3-BF2B-40F7A0CE5F2D}" sibTransId="{87302331-A190-42D1-B1AA-F7F9D2FF9E71}"/>
    <dgm:cxn modelId="{9F71D261-F363-4F18-93E2-55DF17FB04E3}" srcId="{A4CBAD26-73DD-45F1-960E-4BE74AEA5CC8}" destId="{D5E175A5-3A59-427B-9D21-27223759FB1F}" srcOrd="15" destOrd="0" parTransId="{30AAC0AB-D004-48E4-A482-C674921E1276}" sibTransId="{A8A2DC7B-6CB5-49AC-9650-A2C22642779F}"/>
    <dgm:cxn modelId="{DACC4844-A4EA-4BFA-8874-BB5F9DE0AD6F}" srcId="{A4CBAD26-73DD-45F1-960E-4BE74AEA5CC8}" destId="{DBE74952-46E3-41A3-8CA1-56AD53CCA8D4}" srcOrd="5" destOrd="0" parTransId="{9C2E1F4E-EA67-4602-87A9-5AF11CDD2EFC}" sibTransId="{2D8E9731-17E9-409F-ACBA-1F9F9AB87976}"/>
    <dgm:cxn modelId="{1EA8E646-C13F-4CD0-8022-EA6E3391F03D}" srcId="{A4CBAD26-73DD-45F1-960E-4BE74AEA5CC8}" destId="{E0456A0F-3093-4F3A-90ED-2126CE7D6B00}" srcOrd="7" destOrd="0" parTransId="{2EDB57AB-15EF-460F-BEC6-20BEDBD39A30}" sibTransId="{840FD99E-BC81-4054-B9F9-A1906F2C6496}"/>
    <dgm:cxn modelId="{42EC3C47-F34B-4205-A5F1-7B43CD5D907E}" srcId="{A4CBAD26-73DD-45F1-960E-4BE74AEA5CC8}" destId="{6C838868-A0B9-4CF7-A9D9-98A3BE8699BC}" srcOrd="18" destOrd="0" parTransId="{C7A24CB5-86B2-4122-B5D6-43D265169C58}" sibTransId="{361D4A53-10CB-40BE-970D-CA302FB52F0E}"/>
    <dgm:cxn modelId="{FE813B48-FAA5-4B22-9E3F-AA29505B2F9B}" type="presOf" srcId="{0DC3B1F3-2FDC-4C29-BB25-A099C0D25309}" destId="{BFE46996-DB47-4065-AC96-F66B20D33DD5}" srcOrd="0" destOrd="0" presId="urn:microsoft.com/office/officeart/2005/8/layout/default"/>
    <dgm:cxn modelId="{BCBB3869-594D-491D-ABB0-4EA0BA4A5A25}" type="presOf" srcId="{A4CBAD26-73DD-45F1-960E-4BE74AEA5CC8}" destId="{9BA958AF-5EC1-4EA1-89B6-74F57946A6A2}" srcOrd="0" destOrd="0" presId="urn:microsoft.com/office/officeart/2005/8/layout/default"/>
    <dgm:cxn modelId="{657E836E-0D87-4F3A-9B2E-9C601849B86A}" srcId="{A4CBAD26-73DD-45F1-960E-4BE74AEA5CC8}" destId="{30E6D843-9E84-480A-8DAB-8D369E55DE8E}" srcOrd="25" destOrd="0" parTransId="{17FBCE73-8598-4944-A55D-0F3F83AC78D0}" sibTransId="{6010B4C4-D141-4A3C-994A-D507FC5679D3}"/>
    <dgm:cxn modelId="{2B6D734F-1DBE-44E0-A37B-7D40319D0D7A}" srcId="{A4CBAD26-73DD-45F1-960E-4BE74AEA5CC8}" destId="{9B8B2BE0-3E4F-46C6-A5D9-20D337CD6691}" srcOrd="29" destOrd="0" parTransId="{343064CE-3B89-4CDD-8FC5-E4A8B5F8C77C}" sibTransId="{7179B6E7-C3F5-4A6A-B702-DBE8B82636AE}"/>
    <dgm:cxn modelId="{33A37F4F-C427-4C69-9C78-4D76EDC508C0}" srcId="{A4CBAD26-73DD-45F1-960E-4BE74AEA5CC8}" destId="{3C92012E-B668-4ABB-8762-EC0CD348C479}" srcOrd="4" destOrd="0" parTransId="{FA568DDB-F4B8-4048-80DB-D18185E4DC43}" sibTransId="{A32C4ED0-DC0F-4AE6-B125-15ED1A3CDA6A}"/>
    <dgm:cxn modelId="{E8897872-2609-4E7D-8AD6-1EB5EA70EBA5}" type="presOf" srcId="{D1148B02-05C1-4D67-8595-4224258DC58C}" destId="{C8BD99AA-442A-4555-B3BF-2630872A3DF2}" srcOrd="0" destOrd="0" presId="urn:microsoft.com/office/officeart/2005/8/layout/default"/>
    <dgm:cxn modelId="{57523673-E9B1-41D1-936E-0999661606EA}" srcId="{A4CBAD26-73DD-45F1-960E-4BE74AEA5CC8}" destId="{99C1279D-767A-4131-B627-7A582DF4916C}" srcOrd="19" destOrd="0" parTransId="{CDAB5D9F-0EBE-46D8-92CA-0865E20BA1AA}" sibTransId="{8CDCE128-B7B7-4D73-A0B5-886A9F67E2A2}"/>
    <dgm:cxn modelId="{5E087954-3609-4822-9924-D6D89508A6BA}" type="presOf" srcId="{19530824-CD54-4C9E-9691-E97D6D62012E}" destId="{7F124DF4-D394-4670-86A5-8213C10FBD59}" srcOrd="0" destOrd="0" presId="urn:microsoft.com/office/officeart/2005/8/layout/default"/>
    <dgm:cxn modelId="{C9607A55-1DB6-4B69-B526-44E01312D8E1}" srcId="{A4CBAD26-73DD-45F1-960E-4BE74AEA5CC8}" destId="{7B57B305-3A56-450E-A99C-7AF924CAB236}" srcOrd="21" destOrd="0" parTransId="{A9EB3288-3521-488A-903D-8DE1D4F5EF30}" sibTransId="{052CCA3D-1BE6-4E20-B671-9B36ECFE5A19}"/>
    <dgm:cxn modelId="{0F9F9075-BC4B-41F8-BD77-A92A2C7276D4}" type="presOf" srcId="{3C92012E-B668-4ABB-8762-EC0CD348C479}" destId="{2D190A8A-C4B0-4EB5-88DE-01F9BA90C3A6}" srcOrd="0" destOrd="0" presId="urn:microsoft.com/office/officeart/2005/8/layout/default"/>
    <dgm:cxn modelId="{50EC3D5A-1F3E-4D29-82E7-83389F33FF56}" srcId="{A4CBAD26-73DD-45F1-960E-4BE74AEA5CC8}" destId="{A657D509-4B31-4FCF-92DF-49E3841360FB}" srcOrd="11" destOrd="0" parTransId="{900CEAF1-D346-4AAE-A30B-4D90A472B080}" sibTransId="{584EF898-E53D-493F-8910-F7CA095106AC}"/>
    <dgm:cxn modelId="{40CCA87F-CF13-4354-B890-36052FE34D7E}" srcId="{A4CBAD26-73DD-45F1-960E-4BE74AEA5CC8}" destId="{78C66578-CB17-44FB-989B-E879B0D5FA4B}" srcOrd="17" destOrd="0" parTransId="{95244D28-39DA-497B-AA0A-1B67C1BE51AA}" sibTransId="{16E20132-E606-4424-B988-7BFE48D0BB5C}"/>
    <dgm:cxn modelId="{707D9E8A-F275-403A-980A-2A3E75191E22}" srcId="{A4CBAD26-73DD-45F1-960E-4BE74AEA5CC8}" destId="{0F5E8062-2311-4959-8F77-C42216F8126E}" srcOrd="12" destOrd="0" parTransId="{6C5CA209-6269-47E7-B8CB-4ECC906D8210}" sibTransId="{6DF4EEF2-8D58-40B3-9696-9570D63D9C88}"/>
    <dgm:cxn modelId="{3EF2668B-71CF-41C4-A2E6-A5AC854E5628}" srcId="{A4CBAD26-73DD-45F1-960E-4BE74AEA5CC8}" destId="{119E724A-66A8-4701-872A-A88604EBA5C7}" srcOrd="9" destOrd="0" parTransId="{B0787C1F-5336-4E02-AD31-944749DD91C1}" sibTransId="{A4E20512-270D-4BF3-83D9-81508FE2DCCA}"/>
    <dgm:cxn modelId="{DE43D98D-5C7A-47FB-A320-1868944F86E4}" srcId="{A4CBAD26-73DD-45F1-960E-4BE74AEA5CC8}" destId="{1F1754AF-BAF2-4021-A4B6-8772EBCA48CE}" srcOrd="14" destOrd="0" parTransId="{CBCBB315-9A53-42AF-AB85-8B9119FD64B6}" sibTransId="{F66DD7E1-A2AB-47B0-9128-C260EA233853}"/>
    <dgm:cxn modelId="{33EC5E96-D892-4CA7-A787-CA3229861F63}" type="presOf" srcId="{D19F2324-8F05-439F-8320-0471D7CFABB9}" destId="{B71F9C35-0717-4DE5-8C3D-D78F6F865C9B}" srcOrd="0" destOrd="0" presId="urn:microsoft.com/office/officeart/2005/8/layout/default"/>
    <dgm:cxn modelId="{9B281298-558B-4338-98EA-AE92B87F1AD9}" srcId="{A4CBAD26-73DD-45F1-960E-4BE74AEA5CC8}" destId="{D1148B02-05C1-4D67-8595-4224258DC58C}" srcOrd="13" destOrd="0" parTransId="{9727926A-8AD4-40F4-B18C-1BDABCEC831E}" sibTransId="{41F37FAC-6A43-4550-ADAC-AB70509CBD39}"/>
    <dgm:cxn modelId="{BDA86A99-B773-4972-8DBE-702638504EB5}" srcId="{A4CBAD26-73DD-45F1-960E-4BE74AEA5CC8}" destId="{BDCDBAA0-39C7-49E2-9BC6-4BF3D37968D6}" srcOrd="1" destOrd="0" parTransId="{AC6B329A-DA55-40DF-87AA-2DC406127CE2}" sibTransId="{94739C7B-A721-4872-A25E-7D2AC318F744}"/>
    <dgm:cxn modelId="{7B4FE99A-6A1F-43DF-B532-63AF69DF126A}" srcId="{A4CBAD26-73DD-45F1-960E-4BE74AEA5CC8}" destId="{6EE5D844-4448-4D82-ABF2-7CA01492AC80}" srcOrd="0" destOrd="0" parTransId="{B760E1D4-394B-4D88-823E-E212356939CD}" sibTransId="{BB1E8B43-9CD6-4609-95DC-63D269C0F2A4}"/>
    <dgm:cxn modelId="{B23898AA-AF17-4FAE-9D18-FB45CB9ADDA3}" srcId="{A4CBAD26-73DD-45F1-960E-4BE74AEA5CC8}" destId="{F52BA92F-F795-409A-9C9A-ECE02667B90C}" srcOrd="23" destOrd="0" parTransId="{48A76F33-C3F2-4DF9-9073-A904B2A6A0BB}" sibTransId="{0FA91FD4-A2EC-45DF-86AB-3AD59874E7DB}"/>
    <dgm:cxn modelId="{39F359AC-83E3-4EF9-8859-D16881A21380}" srcId="{A4CBAD26-73DD-45F1-960E-4BE74AEA5CC8}" destId="{44DCDBDA-FA79-4D7A-B514-7F8C9C16933C}" srcOrd="27" destOrd="0" parTransId="{3E453EDF-1DC5-4640-8309-503B8F9D56F6}" sibTransId="{67658BF2-C509-4637-82E9-A3284CAEEB3C}"/>
    <dgm:cxn modelId="{8BAEFBB0-5BC4-44C6-A89C-E486CDEC2649}" type="presOf" srcId="{F83CD27C-1F86-41F7-8F6F-632413DE0B4D}" destId="{528A10FE-A6C4-4A1A-A8C5-3BF43006DCB6}" srcOrd="0" destOrd="0" presId="urn:microsoft.com/office/officeart/2005/8/layout/default"/>
    <dgm:cxn modelId="{5BEB29B4-477E-4C4B-9FB0-3E3DB8365C9A}" type="presOf" srcId="{19BF42A5-49DB-4970-AFE2-A4865B5319F7}" destId="{7D703421-1C86-4FEB-AF29-E08E0A0528D8}" srcOrd="0" destOrd="0" presId="urn:microsoft.com/office/officeart/2005/8/layout/default"/>
    <dgm:cxn modelId="{06CFB9B4-BD36-4A61-A58E-F848CE15CE5C}" srcId="{A4CBAD26-73DD-45F1-960E-4BE74AEA5CC8}" destId="{F83CD27C-1F86-41F7-8F6F-632413DE0B4D}" srcOrd="26" destOrd="0" parTransId="{CA707EF6-8379-4966-A681-324BB1AE5B36}" sibTransId="{EE8C6493-CC9D-4836-999E-3BE95F3066DE}"/>
    <dgm:cxn modelId="{7A538EB7-05BF-48CF-8962-FCE9E1DF36E7}" type="presOf" srcId="{99C1279D-767A-4131-B627-7A582DF4916C}" destId="{0828FC3C-5E8E-4FC8-B287-E387968DDD46}" srcOrd="0" destOrd="0" presId="urn:microsoft.com/office/officeart/2005/8/layout/default"/>
    <dgm:cxn modelId="{49BB9BBD-C554-4705-8122-2288C3A1D1D7}" type="presOf" srcId="{D5E175A5-3A59-427B-9D21-27223759FB1F}" destId="{366CD059-07A3-4696-888D-23726A58E06B}" srcOrd="0" destOrd="0" presId="urn:microsoft.com/office/officeart/2005/8/layout/default"/>
    <dgm:cxn modelId="{EFA4B8C6-D936-4056-BEEB-D0F7EC5858A2}" type="presOf" srcId="{F52BA92F-F795-409A-9C9A-ECE02667B90C}" destId="{610C8C40-728A-4FBC-8C2E-85B595807887}" srcOrd="0" destOrd="0" presId="urn:microsoft.com/office/officeart/2005/8/layout/default"/>
    <dgm:cxn modelId="{E5669FC8-AA03-4DD8-9E77-B87E1E0FE562}" type="presOf" srcId="{A657D509-4B31-4FCF-92DF-49E3841360FB}" destId="{C3A6BBAB-7358-4797-8A2F-C89B6D59BB4B}" srcOrd="0" destOrd="0" presId="urn:microsoft.com/office/officeart/2005/8/layout/default"/>
    <dgm:cxn modelId="{4ABB90D1-94F6-479B-B694-7C65BED28B6C}" type="presOf" srcId="{78C66578-CB17-44FB-989B-E879B0D5FA4B}" destId="{1E68117B-FF97-4823-80FA-89D1CC065E30}" srcOrd="0" destOrd="0" presId="urn:microsoft.com/office/officeart/2005/8/layout/default"/>
    <dgm:cxn modelId="{691C12D2-7CB4-493E-AD8B-7CB7F8AABA0E}" type="presOf" srcId="{BDCDBAA0-39C7-49E2-9BC6-4BF3D37968D6}" destId="{08EAAB1F-475C-4937-B283-491F96072E7E}" srcOrd="0" destOrd="0" presId="urn:microsoft.com/office/officeart/2005/8/layout/default"/>
    <dgm:cxn modelId="{D28666D4-2223-41C2-9357-87C7E41B324E}" srcId="{A4CBAD26-73DD-45F1-960E-4BE74AEA5CC8}" destId="{D19F2324-8F05-439F-8320-0471D7CFABB9}" srcOrd="6" destOrd="0" parTransId="{C4174328-DA5D-4268-9109-C1486995E60B}" sibTransId="{4293FA1E-1235-41CE-AD49-DB6EEC37FEF4}"/>
    <dgm:cxn modelId="{5F967AD4-1310-4C5A-BC49-0FD701C793AE}" type="presOf" srcId="{85C5F725-4AC4-4BF0-8516-B5367FF15E46}" destId="{3EB96379-BCA4-4EA1-8CFE-71DE19D08D8D}" srcOrd="0" destOrd="0" presId="urn:microsoft.com/office/officeart/2005/8/layout/default"/>
    <dgm:cxn modelId="{60437FD4-1795-443B-9EF6-4725A5B04DD7}" type="presOf" srcId="{5DD065B6-42A7-4481-8363-054D95285B0D}" destId="{B524823B-99A3-48D7-86DD-25C4CAD4B480}" srcOrd="0" destOrd="0" presId="urn:microsoft.com/office/officeart/2005/8/layout/default"/>
    <dgm:cxn modelId="{3993F9DC-55A9-4DD9-B476-51908C87DA5A}" srcId="{A4CBAD26-73DD-45F1-960E-4BE74AEA5CC8}" destId="{8C15EA10-5879-4F25-BB54-CF34743A890C}" srcOrd="2" destOrd="0" parTransId="{F3DE8B6E-E269-4378-8037-12C4F93B8080}" sibTransId="{CBEC113B-3BC3-48E6-911C-AF98E26A2891}"/>
    <dgm:cxn modelId="{814E1BE1-323B-463A-B33F-C21B39FDE339}" type="presOf" srcId="{0F5E8062-2311-4959-8F77-C42216F8126E}" destId="{8F62DCC7-2F0F-4BBB-8BFD-7EDA7A7F037D}" srcOrd="0" destOrd="0" presId="urn:microsoft.com/office/officeart/2005/8/layout/default"/>
    <dgm:cxn modelId="{E78266EA-F9B1-4B84-BEAC-23E28D67D12D}" type="presOf" srcId="{0215BDE9-EF3C-49A9-977F-FA410CE782BB}" destId="{0926421B-F979-4ECB-A89D-C93FA6AB63AE}" srcOrd="0" destOrd="0" presId="urn:microsoft.com/office/officeart/2005/8/layout/default"/>
    <dgm:cxn modelId="{2A799CF2-E947-4B68-A8A7-C60642906353}" type="presOf" srcId="{E0456A0F-3093-4F3A-90ED-2126CE7D6B00}" destId="{354FFBAD-81A2-4855-BAF9-0EED84889F47}" srcOrd="0" destOrd="0" presId="urn:microsoft.com/office/officeart/2005/8/layout/default"/>
    <dgm:cxn modelId="{02148EF6-11DE-442C-96FC-697123646793}" type="presOf" srcId="{30E6D843-9E84-480A-8DAB-8D369E55DE8E}" destId="{439BA7DE-31F4-43EF-BABE-9177E1E21D95}" srcOrd="0" destOrd="0" presId="urn:microsoft.com/office/officeart/2005/8/layout/default"/>
    <dgm:cxn modelId="{8CE847F9-ED5A-4267-9AE9-297587C1FC30}" type="presOf" srcId="{119E724A-66A8-4701-872A-A88604EBA5C7}" destId="{786E4163-0619-4500-84BF-EBE6889D89AD}" srcOrd="0" destOrd="0" presId="urn:microsoft.com/office/officeart/2005/8/layout/default"/>
    <dgm:cxn modelId="{FBA159FA-7BC1-484B-AEA0-033FE5ECF0D4}" type="presOf" srcId="{6EE5D844-4448-4D82-ABF2-7CA01492AC80}" destId="{6D77211A-6223-40D7-AC82-E5EB51D51F2C}" srcOrd="0" destOrd="0" presId="urn:microsoft.com/office/officeart/2005/8/layout/default"/>
    <dgm:cxn modelId="{4C40D0CE-C90F-4650-9501-4044843CF4C4}" type="presParOf" srcId="{9BA958AF-5EC1-4EA1-89B6-74F57946A6A2}" destId="{6D77211A-6223-40D7-AC82-E5EB51D51F2C}" srcOrd="0" destOrd="0" presId="urn:microsoft.com/office/officeart/2005/8/layout/default"/>
    <dgm:cxn modelId="{5769E26E-5631-4313-8D30-F49A73978135}" type="presParOf" srcId="{9BA958AF-5EC1-4EA1-89B6-74F57946A6A2}" destId="{1A70D8B6-FD0B-495D-98C7-D62EC582D269}" srcOrd="1" destOrd="0" presId="urn:microsoft.com/office/officeart/2005/8/layout/default"/>
    <dgm:cxn modelId="{4E5BB6BE-75A7-4BB3-A560-8F52422C2FCB}" type="presParOf" srcId="{9BA958AF-5EC1-4EA1-89B6-74F57946A6A2}" destId="{08EAAB1F-475C-4937-B283-491F96072E7E}" srcOrd="2" destOrd="0" presId="urn:microsoft.com/office/officeart/2005/8/layout/default"/>
    <dgm:cxn modelId="{5A10BCDF-890E-4EF0-87C1-AE8A4EBBB797}" type="presParOf" srcId="{9BA958AF-5EC1-4EA1-89B6-74F57946A6A2}" destId="{AB81A0E8-855E-4073-81DA-D9E66886616C}" srcOrd="3" destOrd="0" presId="urn:microsoft.com/office/officeart/2005/8/layout/default"/>
    <dgm:cxn modelId="{CAE318EC-BD61-4521-B1B3-8858B721A235}" type="presParOf" srcId="{9BA958AF-5EC1-4EA1-89B6-74F57946A6A2}" destId="{0F6777DE-279B-4092-A552-8E793B680CD0}" srcOrd="4" destOrd="0" presId="urn:microsoft.com/office/officeart/2005/8/layout/default"/>
    <dgm:cxn modelId="{79F2DE3E-7000-456D-B85A-934C48ECDB5C}" type="presParOf" srcId="{9BA958AF-5EC1-4EA1-89B6-74F57946A6A2}" destId="{35D775E8-3930-48D9-9EF6-BA45397DD73D}" srcOrd="5" destOrd="0" presId="urn:microsoft.com/office/officeart/2005/8/layout/default"/>
    <dgm:cxn modelId="{367FEE0E-7A26-46C7-8982-EA502E7CC465}" type="presParOf" srcId="{9BA958AF-5EC1-4EA1-89B6-74F57946A6A2}" destId="{B524823B-99A3-48D7-86DD-25C4CAD4B480}" srcOrd="6" destOrd="0" presId="urn:microsoft.com/office/officeart/2005/8/layout/default"/>
    <dgm:cxn modelId="{4C55694B-E545-4763-85F8-F19C763D64D9}" type="presParOf" srcId="{9BA958AF-5EC1-4EA1-89B6-74F57946A6A2}" destId="{208BFA7D-CF6E-4E9C-A360-BA61FFDAAA03}" srcOrd="7" destOrd="0" presId="urn:microsoft.com/office/officeart/2005/8/layout/default"/>
    <dgm:cxn modelId="{683429E8-866A-4DC3-856C-9B124C927BA7}" type="presParOf" srcId="{9BA958AF-5EC1-4EA1-89B6-74F57946A6A2}" destId="{2D190A8A-C4B0-4EB5-88DE-01F9BA90C3A6}" srcOrd="8" destOrd="0" presId="urn:microsoft.com/office/officeart/2005/8/layout/default"/>
    <dgm:cxn modelId="{A3F91B54-FDF4-4182-9D33-B3A250F60D02}" type="presParOf" srcId="{9BA958AF-5EC1-4EA1-89B6-74F57946A6A2}" destId="{9C74601B-A32A-494E-A5C7-B8824CB8D906}" srcOrd="9" destOrd="0" presId="urn:microsoft.com/office/officeart/2005/8/layout/default"/>
    <dgm:cxn modelId="{5CF68EB2-16DC-480D-A5E0-68DB69B5A239}" type="presParOf" srcId="{9BA958AF-5EC1-4EA1-89B6-74F57946A6A2}" destId="{DE94ECF2-FE23-49E3-B0B8-9A46B5B08015}" srcOrd="10" destOrd="0" presId="urn:microsoft.com/office/officeart/2005/8/layout/default"/>
    <dgm:cxn modelId="{7541B442-419D-440A-B468-8DFEE54FF622}" type="presParOf" srcId="{9BA958AF-5EC1-4EA1-89B6-74F57946A6A2}" destId="{BBE5F945-63B8-4479-9EC8-90328EDC6A94}" srcOrd="11" destOrd="0" presId="urn:microsoft.com/office/officeart/2005/8/layout/default"/>
    <dgm:cxn modelId="{B0EE955B-3457-4F82-8FF9-A39F7933218C}" type="presParOf" srcId="{9BA958AF-5EC1-4EA1-89B6-74F57946A6A2}" destId="{B71F9C35-0717-4DE5-8C3D-D78F6F865C9B}" srcOrd="12" destOrd="0" presId="urn:microsoft.com/office/officeart/2005/8/layout/default"/>
    <dgm:cxn modelId="{396C471D-4384-47AC-8B09-8DC7F9F59AC6}" type="presParOf" srcId="{9BA958AF-5EC1-4EA1-89B6-74F57946A6A2}" destId="{D933DDA5-0E25-4B98-A26E-9A72492DA8E8}" srcOrd="13" destOrd="0" presId="urn:microsoft.com/office/officeart/2005/8/layout/default"/>
    <dgm:cxn modelId="{DF3DF008-7020-4669-9AA9-B739CB2D0B97}" type="presParOf" srcId="{9BA958AF-5EC1-4EA1-89B6-74F57946A6A2}" destId="{354FFBAD-81A2-4855-BAF9-0EED84889F47}" srcOrd="14" destOrd="0" presId="urn:microsoft.com/office/officeart/2005/8/layout/default"/>
    <dgm:cxn modelId="{E277AAFC-ED04-4403-9665-1EBED6982480}" type="presParOf" srcId="{9BA958AF-5EC1-4EA1-89B6-74F57946A6A2}" destId="{06453B9B-B52C-4E07-B4EE-2A5B38EFF02D}" srcOrd="15" destOrd="0" presId="urn:microsoft.com/office/officeart/2005/8/layout/default"/>
    <dgm:cxn modelId="{54C25B4F-B0A7-4A17-87A5-0790FAF35DD7}" type="presParOf" srcId="{9BA958AF-5EC1-4EA1-89B6-74F57946A6A2}" destId="{0926421B-F979-4ECB-A89D-C93FA6AB63AE}" srcOrd="16" destOrd="0" presId="urn:microsoft.com/office/officeart/2005/8/layout/default"/>
    <dgm:cxn modelId="{7C3A1A3A-47C8-4605-A2CE-E85A2A6DC81B}" type="presParOf" srcId="{9BA958AF-5EC1-4EA1-89B6-74F57946A6A2}" destId="{B1DF586D-E5A2-4653-843B-7C028CD4A28F}" srcOrd="17" destOrd="0" presId="urn:microsoft.com/office/officeart/2005/8/layout/default"/>
    <dgm:cxn modelId="{F57484EF-B9C7-4418-A6A4-6BAC7A3F7B61}" type="presParOf" srcId="{9BA958AF-5EC1-4EA1-89B6-74F57946A6A2}" destId="{786E4163-0619-4500-84BF-EBE6889D89AD}" srcOrd="18" destOrd="0" presId="urn:microsoft.com/office/officeart/2005/8/layout/default"/>
    <dgm:cxn modelId="{6DA75544-1271-407F-B684-BCD1DD769992}" type="presParOf" srcId="{9BA958AF-5EC1-4EA1-89B6-74F57946A6A2}" destId="{ED81477E-3F6F-447F-B2B3-4B7F5BBFDC00}" srcOrd="19" destOrd="0" presId="urn:microsoft.com/office/officeart/2005/8/layout/default"/>
    <dgm:cxn modelId="{C1E87BE5-F148-42A1-B624-20CCDE76FA69}" type="presParOf" srcId="{9BA958AF-5EC1-4EA1-89B6-74F57946A6A2}" destId="{7D703421-1C86-4FEB-AF29-E08E0A0528D8}" srcOrd="20" destOrd="0" presId="urn:microsoft.com/office/officeart/2005/8/layout/default"/>
    <dgm:cxn modelId="{9BB03600-6DE9-4F62-8E89-11FFF70AD415}" type="presParOf" srcId="{9BA958AF-5EC1-4EA1-89B6-74F57946A6A2}" destId="{559D57BE-50FE-47DD-80B2-A5E51019F33D}" srcOrd="21" destOrd="0" presId="urn:microsoft.com/office/officeart/2005/8/layout/default"/>
    <dgm:cxn modelId="{5F37FCD4-3B99-4675-A8A2-B3C17BD3708D}" type="presParOf" srcId="{9BA958AF-5EC1-4EA1-89B6-74F57946A6A2}" destId="{C3A6BBAB-7358-4797-8A2F-C89B6D59BB4B}" srcOrd="22" destOrd="0" presId="urn:microsoft.com/office/officeart/2005/8/layout/default"/>
    <dgm:cxn modelId="{54397F51-2738-4DF6-9568-0045CF00D30B}" type="presParOf" srcId="{9BA958AF-5EC1-4EA1-89B6-74F57946A6A2}" destId="{4331C905-FB1A-41EF-9594-CCCDC01DB8A2}" srcOrd="23" destOrd="0" presId="urn:microsoft.com/office/officeart/2005/8/layout/default"/>
    <dgm:cxn modelId="{F4CD1FDE-0585-469F-8995-69A09C962F79}" type="presParOf" srcId="{9BA958AF-5EC1-4EA1-89B6-74F57946A6A2}" destId="{8F62DCC7-2F0F-4BBB-8BFD-7EDA7A7F037D}" srcOrd="24" destOrd="0" presId="urn:microsoft.com/office/officeart/2005/8/layout/default"/>
    <dgm:cxn modelId="{70A52332-1A56-4E6E-97A7-F7AC055AA660}" type="presParOf" srcId="{9BA958AF-5EC1-4EA1-89B6-74F57946A6A2}" destId="{77B46403-0319-4CEA-9040-31DDD54D4E1A}" srcOrd="25" destOrd="0" presId="urn:microsoft.com/office/officeart/2005/8/layout/default"/>
    <dgm:cxn modelId="{EDC7ED9C-9553-4124-A65B-DF0CF68D5C06}" type="presParOf" srcId="{9BA958AF-5EC1-4EA1-89B6-74F57946A6A2}" destId="{C8BD99AA-442A-4555-B3BF-2630872A3DF2}" srcOrd="26" destOrd="0" presId="urn:microsoft.com/office/officeart/2005/8/layout/default"/>
    <dgm:cxn modelId="{7D3BA8B3-0CF6-4822-963B-9FF6C9B8F340}" type="presParOf" srcId="{9BA958AF-5EC1-4EA1-89B6-74F57946A6A2}" destId="{0547E1D1-3EAB-44A2-A0C4-FF34381D5E9B}" srcOrd="27" destOrd="0" presId="urn:microsoft.com/office/officeart/2005/8/layout/default"/>
    <dgm:cxn modelId="{071AAD20-DBEF-41A6-9698-0A6B63A33BBD}" type="presParOf" srcId="{9BA958AF-5EC1-4EA1-89B6-74F57946A6A2}" destId="{5241C636-34F1-496F-AA05-619D11129E87}" srcOrd="28" destOrd="0" presId="urn:microsoft.com/office/officeart/2005/8/layout/default"/>
    <dgm:cxn modelId="{2829BE7B-C2E7-4465-8D35-EA93D80BF18E}" type="presParOf" srcId="{9BA958AF-5EC1-4EA1-89B6-74F57946A6A2}" destId="{9C79AA27-3B15-4338-827A-54529B2469F7}" srcOrd="29" destOrd="0" presId="urn:microsoft.com/office/officeart/2005/8/layout/default"/>
    <dgm:cxn modelId="{257E9DA7-4280-4645-8814-CC659A39034A}" type="presParOf" srcId="{9BA958AF-5EC1-4EA1-89B6-74F57946A6A2}" destId="{366CD059-07A3-4696-888D-23726A58E06B}" srcOrd="30" destOrd="0" presId="urn:microsoft.com/office/officeart/2005/8/layout/default"/>
    <dgm:cxn modelId="{54121F69-7E52-423B-B1F3-841B8AF06D76}" type="presParOf" srcId="{9BA958AF-5EC1-4EA1-89B6-74F57946A6A2}" destId="{0981B2A7-D773-4250-BD20-B775E491880F}" srcOrd="31" destOrd="0" presId="urn:microsoft.com/office/officeart/2005/8/layout/default"/>
    <dgm:cxn modelId="{CA21BA19-1EB3-4D6F-B41F-4ABD269B1C11}" type="presParOf" srcId="{9BA958AF-5EC1-4EA1-89B6-74F57946A6A2}" destId="{BFE46996-DB47-4065-AC96-F66B20D33DD5}" srcOrd="32" destOrd="0" presId="urn:microsoft.com/office/officeart/2005/8/layout/default"/>
    <dgm:cxn modelId="{690F8515-F5B3-4D67-920D-72EFD38C56AC}" type="presParOf" srcId="{9BA958AF-5EC1-4EA1-89B6-74F57946A6A2}" destId="{E2BAA09B-A80B-4AE6-A20B-37720ABF095D}" srcOrd="33" destOrd="0" presId="urn:microsoft.com/office/officeart/2005/8/layout/default"/>
    <dgm:cxn modelId="{74D0D11B-9DAF-4B00-B3A9-18AD89E7C94D}" type="presParOf" srcId="{9BA958AF-5EC1-4EA1-89B6-74F57946A6A2}" destId="{1E68117B-FF97-4823-80FA-89D1CC065E30}" srcOrd="34" destOrd="0" presId="urn:microsoft.com/office/officeart/2005/8/layout/default"/>
    <dgm:cxn modelId="{92673E12-F6A3-4DD1-979B-055CE7346815}" type="presParOf" srcId="{9BA958AF-5EC1-4EA1-89B6-74F57946A6A2}" destId="{5323AB11-2515-45D2-88B3-ED11ADFEACE3}" srcOrd="35" destOrd="0" presId="urn:microsoft.com/office/officeart/2005/8/layout/default"/>
    <dgm:cxn modelId="{2C0A315C-E4DF-4E93-A44D-080C5B150389}" type="presParOf" srcId="{9BA958AF-5EC1-4EA1-89B6-74F57946A6A2}" destId="{0AEA8754-D9D6-4366-AD04-143B310FEE34}" srcOrd="36" destOrd="0" presId="urn:microsoft.com/office/officeart/2005/8/layout/default"/>
    <dgm:cxn modelId="{6C5E84A3-6118-482C-AC7D-B602BA2D1049}" type="presParOf" srcId="{9BA958AF-5EC1-4EA1-89B6-74F57946A6A2}" destId="{D6AC21A9-781B-464C-911C-6E1FC00D90AC}" srcOrd="37" destOrd="0" presId="urn:microsoft.com/office/officeart/2005/8/layout/default"/>
    <dgm:cxn modelId="{121E6770-B065-48FB-80A6-2BC544D56B7E}" type="presParOf" srcId="{9BA958AF-5EC1-4EA1-89B6-74F57946A6A2}" destId="{0828FC3C-5E8E-4FC8-B287-E387968DDD46}" srcOrd="38" destOrd="0" presId="urn:microsoft.com/office/officeart/2005/8/layout/default"/>
    <dgm:cxn modelId="{A1A7BC53-943E-471C-8F35-C398D71505F4}" type="presParOf" srcId="{9BA958AF-5EC1-4EA1-89B6-74F57946A6A2}" destId="{F8C7C558-3914-4325-8E3B-C7755AFB4DE8}" srcOrd="39" destOrd="0" presId="urn:microsoft.com/office/officeart/2005/8/layout/default"/>
    <dgm:cxn modelId="{7B7CB81C-9304-4C2F-88A3-97B3FFFA667A}" type="presParOf" srcId="{9BA958AF-5EC1-4EA1-89B6-74F57946A6A2}" destId="{7F124DF4-D394-4670-86A5-8213C10FBD59}" srcOrd="40" destOrd="0" presId="urn:microsoft.com/office/officeart/2005/8/layout/default"/>
    <dgm:cxn modelId="{D87DDDA2-B5F0-44A4-BED8-A4B613813317}" type="presParOf" srcId="{9BA958AF-5EC1-4EA1-89B6-74F57946A6A2}" destId="{D57F136D-0A33-4218-8E10-2750D80CA94E}" srcOrd="41" destOrd="0" presId="urn:microsoft.com/office/officeart/2005/8/layout/default"/>
    <dgm:cxn modelId="{9363561A-77DC-4EB9-BFEB-FA1EE0AD9A7A}" type="presParOf" srcId="{9BA958AF-5EC1-4EA1-89B6-74F57946A6A2}" destId="{EDDBC5F2-B952-445D-B6CC-DE46A3C71A65}" srcOrd="42" destOrd="0" presId="urn:microsoft.com/office/officeart/2005/8/layout/default"/>
    <dgm:cxn modelId="{220593EC-8EA2-47E9-BBA4-31F3B81B1175}" type="presParOf" srcId="{9BA958AF-5EC1-4EA1-89B6-74F57946A6A2}" destId="{2737E1CB-B95A-4664-A326-FEC9ED330BC9}" srcOrd="43" destOrd="0" presId="urn:microsoft.com/office/officeart/2005/8/layout/default"/>
    <dgm:cxn modelId="{CB44EE99-CC18-4E12-A9D9-BFBA6BB766D8}" type="presParOf" srcId="{9BA958AF-5EC1-4EA1-89B6-74F57946A6A2}" destId="{97959A92-F2B9-4DA7-8612-F836614CE36E}" srcOrd="44" destOrd="0" presId="urn:microsoft.com/office/officeart/2005/8/layout/default"/>
    <dgm:cxn modelId="{544BAFED-0AF9-4E73-8490-FAC47FB59C4A}" type="presParOf" srcId="{9BA958AF-5EC1-4EA1-89B6-74F57946A6A2}" destId="{1036C302-67D9-4D7C-8E63-357B1989DC0B}" srcOrd="45" destOrd="0" presId="urn:microsoft.com/office/officeart/2005/8/layout/default"/>
    <dgm:cxn modelId="{66B3D7FB-4A74-492A-9781-9D247B669C70}" type="presParOf" srcId="{9BA958AF-5EC1-4EA1-89B6-74F57946A6A2}" destId="{610C8C40-728A-4FBC-8C2E-85B595807887}" srcOrd="46" destOrd="0" presId="urn:microsoft.com/office/officeart/2005/8/layout/default"/>
    <dgm:cxn modelId="{DC955395-90F3-4F20-95FE-022E0EAA2C14}" type="presParOf" srcId="{9BA958AF-5EC1-4EA1-89B6-74F57946A6A2}" destId="{CA112F68-27D9-4FB7-B0D4-106B4971D08A}" srcOrd="47" destOrd="0" presId="urn:microsoft.com/office/officeart/2005/8/layout/default"/>
    <dgm:cxn modelId="{F740A26C-66E4-43A4-9E54-4BB295429CAE}" type="presParOf" srcId="{9BA958AF-5EC1-4EA1-89B6-74F57946A6A2}" destId="{DABC00CF-8684-4536-A772-6EB9196DF526}" srcOrd="48" destOrd="0" presId="urn:microsoft.com/office/officeart/2005/8/layout/default"/>
    <dgm:cxn modelId="{D032F37F-E0EF-44A2-8551-C6A108AE53AA}" type="presParOf" srcId="{9BA958AF-5EC1-4EA1-89B6-74F57946A6A2}" destId="{638E54E4-1055-4CD3-A03B-93F412BD4269}" srcOrd="49" destOrd="0" presId="urn:microsoft.com/office/officeart/2005/8/layout/default"/>
    <dgm:cxn modelId="{D2006FEF-CF43-473A-A634-115E4B190EA0}" type="presParOf" srcId="{9BA958AF-5EC1-4EA1-89B6-74F57946A6A2}" destId="{439BA7DE-31F4-43EF-BABE-9177E1E21D95}" srcOrd="50" destOrd="0" presId="urn:microsoft.com/office/officeart/2005/8/layout/default"/>
    <dgm:cxn modelId="{78B5DAD6-9670-40DD-976B-6E3F0460A572}" type="presParOf" srcId="{9BA958AF-5EC1-4EA1-89B6-74F57946A6A2}" destId="{C450EEFA-F1D8-427F-8B9F-7C7123B7C23B}" srcOrd="51" destOrd="0" presId="urn:microsoft.com/office/officeart/2005/8/layout/default"/>
    <dgm:cxn modelId="{4A590D52-67A0-4AFD-84B0-42FC3B37DEAA}" type="presParOf" srcId="{9BA958AF-5EC1-4EA1-89B6-74F57946A6A2}" destId="{528A10FE-A6C4-4A1A-A8C5-3BF43006DCB6}" srcOrd="52" destOrd="0" presId="urn:microsoft.com/office/officeart/2005/8/layout/default"/>
    <dgm:cxn modelId="{FE935084-7490-4CFC-84CB-01F462634807}" type="presParOf" srcId="{9BA958AF-5EC1-4EA1-89B6-74F57946A6A2}" destId="{F21355F0-B412-4038-9C93-19C50865BA2A}" srcOrd="53" destOrd="0" presId="urn:microsoft.com/office/officeart/2005/8/layout/default"/>
    <dgm:cxn modelId="{2C5ECD54-25FE-4912-9414-3250AD3B62B8}" type="presParOf" srcId="{9BA958AF-5EC1-4EA1-89B6-74F57946A6A2}" destId="{0F5C452C-822E-4CEE-84F0-11E01D0F30DA}" srcOrd="54" destOrd="0" presId="urn:microsoft.com/office/officeart/2005/8/layout/default"/>
    <dgm:cxn modelId="{D909D1F7-CC3B-437E-AF9F-41007C5B26B4}" type="presParOf" srcId="{9BA958AF-5EC1-4EA1-89B6-74F57946A6A2}" destId="{6E2E13A0-550D-41CE-A2F0-8B4A1CE1F5D9}" srcOrd="55" destOrd="0" presId="urn:microsoft.com/office/officeart/2005/8/layout/default"/>
    <dgm:cxn modelId="{51E9C4BD-FD30-485A-9EA6-255E6CDC027C}" type="presParOf" srcId="{9BA958AF-5EC1-4EA1-89B6-74F57946A6A2}" destId="{3EB96379-BCA4-4EA1-8CFE-71DE19D08D8D}" srcOrd="56" destOrd="0" presId="urn:microsoft.com/office/officeart/2005/8/layout/default"/>
    <dgm:cxn modelId="{AC1FEE29-C407-4124-9BC9-3AA888E08C17}" type="presParOf" srcId="{9BA958AF-5EC1-4EA1-89B6-74F57946A6A2}" destId="{AC595187-E6A4-4742-B3B0-D2F2EFB0F18E}" srcOrd="57" destOrd="0" presId="urn:microsoft.com/office/officeart/2005/8/layout/default"/>
    <dgm:cxn modelId="{30F75B60-1826-45F2-AB6A-40E6C24994FD}" type="presParOf" srcId="{9BA958AF-5EC1-4EA1-89B6-74F57946A6A2}" destId="{D753D430-D2BE-463D-AF71-C8C7E7BCED00}" srcOrd="58" destOrd="0" presId="urn:microsoft.com/office/officeart/2005/8/layout/default"/>
  </dgm:cxnLst>
  <dgm:bg/>
  <dgm:whole>
    <a:ln>
      <a:noFill/>
    </a:ln>
  </dgm:whole>
  <dgm:extLst>
    <a:ext uri="http://schemas.microsoft.com/office/drawing/2008/diagram">
      <dsp:dataModelExt xmlns:dsp="http://schemas.microsoft.com/office/drawing/2008/diagram" relId="rId291"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C1C0661C-CF2F-476B-B39D-6C21C9976CDC}" type="doc">
      <dgm:prSet loTypeId="urn:microsoft.com/office/officeart/2005/8/layout/radial4" loCatId="relationship" qsTypeId="urn:microsoft.com/office/officeart/2005/8/quickstyle/simple1" qsCatId="simple" csTypeId="urn:microsoft.com/office/officeart/2005/8/colors/accent1_2" csCatId="accent1" phldr="1"/>
      <dgm:spPr/>
      <dgm:t>
        <a:bodyPr/>
        <a:lstStyle/>
        <a:p>
          <a:endParaRPr lang="fi-FI"/>
        </a:p>
      </dgm:t>
    </dgm:pt>
    <dgm:pt modelId="{B4809C57-1BFB-4A86-A59B-601D881D9F01}">
      <dgm:prSet phldrT="[Teksti]" custT="1"/>
      <dgm:spPr>
        <a:solidFill>
          <a:schemeClr val="accent3">
            <a:lumMod val="75000"/>
          </a:schemeClr>
        </a:solidFill>
        <a:ln>
          <a:solidFill>
            <a:schemeClr val="accent3">
              <a:lumMod val="75000"/>
            </a:schemeClr>
          </a:solidFill>
        </a:ln>
      </dgm:spPr>
      <dgm:t>
        <a:bodyPr/>
        <a:lstStyle/>
        <a:p>
          <a:pPr algn="ctr">
            <a:lnSpc>
              <a:spcPct val="120000"/>
            </a:lnSpc>
          </a:pPr>
          <a:r>
            <a:rPr lang="fi-FI" sz="1000">
              <a:latin typeface="Cambria" panose="02040503050406030204" pitchFamily="18" charset="0"/>
              <a:ea typeface="Cambria" panose="02040503050406030204" pitchFamily="18" charset="0"/>
              <a:cs typeface="Charis SIL" panose="02000500060000020004" pitchFamily="2" charset="0"/>
            </a:rPr>
            <a:t>Teised keeled</a:t>
          </a:r>
        </a:p>
      </dgm:t>
    </dgm:pt>
    <dgm:pt modelId="{5D7FACDB-35C4-44B6-84BE-712FE77C304B}" type="parTrans" cxnId="{17BE0B12-7D34-4F53-8562-0DA3084785A9}">
      <dgm:prSet/>
      <dgm:spPr>
        <a:solidFill>
          <a:schemeClr val="accent3">
            <a:lumMod val="40000"/>
            <a:lumOff val="60000"/>
          </a:schemeClr>
        </a:solidFill>
        <a:ln>
          <a:solidFill>
            <a:schemeClr val="accent3">
              <a:lumMod val="75000"/>
            </a:schemeClr>
          </a:solidFill>
        </a:ln>
      </dgm:spPr>
      <dgm:t>
        <a:bodyPr/>
        <a:lstStyle/>
        <a:p>
          <a:pPr algn="ctr"/>
          <a:endParaRPr lang="fi-FI"/>
        </a:p>
      </dgm:t>
    </dgm:pt>
    <dgm:pt modelId="{28C791A2-0193-4976-AE41-D76EE3CD430A}" type="sibTrans" cxnId="{17BE0B12-7D34-4F53-8562-0DA3084785A9}">
      <dgm:prSet/>
      <dgm:spPr/>
      <dgm:t>
        <a:bodyPr/>
        <a:lstStyle/>
        <a:p>
          <a:pPr algn="ctr"/>
          <a:endParaRPr lang="fi-FI"/>
        </a:p>
      </dgm:t>
    </dgm:pt>
    <dgm:pt modelId="{B85F3A0F-786D-44B8-9F1C-233A3105A05F}">
      <dgm:prSet phldrT="[Teksti]" custT="1"/>
      <dgm:spPr>
        <a:solidFill>
          <a:schemeClr val="accent3">
            <a:lumMod val="75000"/>
          </a:schemeClr>
        </a:solidFill>
        <a:ln>
          <a:solidFill>
            <a:schemeClr val="accent3">
              <a:lumMod val="75000"/>
            </a:schemeClr>
          </a:solidFill>
        </a:ln>
      </dgm:spPr>
      <dgm:t>
        <a:bodyPr/>
        <a:lstStyle/>
        <a:p>
          <a:pPr algn="ctr"/>
          <a:r>
            <a:rPr lang="fi-FI" sz="1000">
              <a:latin typeface="Cambria" panose="02040503050406030204" pitchFamily="18" charset="0"/>
              <a:ea typeface="Cambria" panose="02040503050406030204" pitchFamily="18" charset="0"/>
              <a:cs typeface="Charis SIL" panose="02000500060000020004" pitchFamily="2" charset="0"/>
            </a:rPr>
            <a:t>Paradigma-</a:t>
          </a:r>
        </a:p>
        <a:p>
          <a:pPr algn="ctr"/>
          <a:r>
            <a:rPr lang="fi-FI" sz="1000">
              <a:latin typeface="Cambria" panose="02040503050406030204" pitchFamily="18" charset="0"/>
              <a:ea typeface="Cambria" panose="02040503050406030204" pitchFamily="18" charset="0"/>
              <a:cs typeface="Charis SIL" panose="02000500060000020004" pitchFamily="2" charset="0"/>
            </a:rPr>
            <a:t>teadlikkus</a:t>
          </a:r>
        </a:p>
      </dgm:t>
    </dgm:pt>
    <dgm:pt modelId="{D0A33A63-9E55-4A0F-B88C-5114702DCA45}" type="parTrans" cxnId="{6FDAA02F-9C00-42BE-8F07-E9B47A6CE610}">
      <dgm:prSet/>
      <dgm:spPr>
        <a:solidFill>
          <a:schemeClr val="accent3">
            <a:lumMod val="40000"/>
            <a:lumOff val="60000"/>
          </a:schemeClr>
        </a:solidFill>
        <a:ln>
          <a:solidFill>
            <a:schemeClr val="accent3">
              <a:lumMod val="75000"/>
            </a:schemeClr>
          </a:solidFill>
        </a:ln>
      </dgm:spPr>
      <dgm:t>
        <a:bodyPr/>
        <a:lstStyle/>
        <a:p>
          <a:pPr algn="ctr"/>
          <a:endParaRPr lang="fi-FI"/>
        </a:p>
      </dgm:t>
    </dgm:pt>
    <dgm:pt modelId="{3591BD0A-0071-4678-B1E8-1914CC56CD25}" type="sibTrans" cxnId="{6FDAA02F-9C00-42BE-8F07-E9B47A6CE610}">
      <dgm:prSet/>
      <dgm:spPr/>
      <dgm:t>
        <a:bodyPr/>
        <a:lstStyle/>
        <a:p>
          <a:pPr algn="ctr"/>
          <a:endParaRPr lang="fi-FI"/>
        </a:p>
      </dgm:t>
    </dgm:pt>
    <dgm:pt modelId="{09A04623-1F27-4B98-B6B3-0EA311C1319B}">
      <dgm:prSet phldrT="[Teksti]" custT="1"/>
      <dgm:spPr>
        <a:solidFill>
          <a:schemeClr val="accent3">
            <a:lumMod val="75000"/>
          </a:schemeClr>
        </a:solidFill>
        <a:ln>
          <a:solidFill>
            <a:schemeClr val="accent3">
              <a:lumMod val="75000"/>
            </a:schemeClr>
          </a:solidFill>
        </a:ln>
      </dgm:spPr>
      <dgm:t>
        <a:bodyPr/>
        <a:lstStyle/>
        <a:p>
          <a:pPr algn="ctr">
            <a:lnSpc>
              <a:spcPct val="120000"/>
            </a:lnSpc>
          </a:pPr>
          <a:r>
            <a:rPr lang="fi-FI" sz="1000">
              <a:latin typeface="Cambria" panose="02040503050406030204" pitchFamily="18" charset="0"/>
              <a:ea typeface="Cambria" panose="02040503050406030204" pitchFamily="18" charset="0"/>
              <a:cs typeface="Charis SIL" panose="02000500060000020004" pitchFamily="2" charset="0"/>
            </a:rPr>
            <a:t>Pragmaatika-teadlikkus</a:t>
          </a:r>
        </a:p>
      </dgm:t>
    </dgm:pt>
    <dgm:pt modelId="{8E25322B-E2D2-40F6-B712-3C39E2A56B6C}" type="parTrans" cxnId="{06BC0F53-A880-4BC3-8CE7-A0FCB354ECEB}">
      <dgm:prSet/>
      <dgm:spPr>
        <a:solidFill>
          <a:schemeClr val="accent3">
            <a:lumMod val="40000"/>
            <a:lumOff val="60000"/>
          </a:schemeClr>
        </a:solidFill>
        <a:ln>
          <a:solidFill>
            <a:schemeClr val="accent3">
              <a:lumMod val="75000"/>
            </a:schemeClr>
          </a:solidFill>
        </a:ln>
      </dgm:spPr>
      <dgm:t>
        <a:bodyPr/>
        <a:lstStyle/>
        <a:p>
          <a:pPr algn="ctr"/>
          <a:endParaRPr lang="fi-FI"/>
        </a:p>
      </dgm:t>
    </dgm:pt>
    <dgm:pt modelId="{664F3351-E688-4222-ADB4-0A5073335E1D}" type="sibTrans" cxnId="{06BC0F53-A880-4BC3-8CE7-A0FCB354ECEB}">
      <dgm:prSet/>
      <dgm:spPr/>
      <dgm:t>
        <a:bodyPr/>
        <a:lstStyle/>
        <a:p>
          <a:pPr algn="ctr"/>
          <a:endParaRPr lang="fi-FI"/>
        </a:p>
      </dgm:t>
    </dgm:pt>
    <dgm:pt modelId="{00E2F580-9237-48E3-864C-95CF9D8572E1}">
      <dgm:prSet phldrT="[Teksti]" phldr="1"/>
      <dgm:spPr/>
      <dgm:t>
        <a:bodyPr/>
        <a:lstStyle/>
        <a:p>
          <a:pPr algn="ctr"/>
          <a:endParaRPr lang="fi-FI"/>
        </a:p>
      </dgm:t>
    </dgm:pt>
    <dgm:pt modelId="{BB78BFA8-647C-48DF-A857-233399D499FB}" type="parTrans" cxnId="{0DE5976F-1C72-40A7-A237-3C36DD768249}">
      <dgm:prSet/>
      <dgm:spPr/>
      <dgm:t>
        <a:bodyPr/>
        <a:lstStyle/>
        <a:p>
          <a:pPr algn="ctr"/>
          <a:endParaRPr lang="fi-FI"/>
        </a:p>
      </dgm:t>
    </dgm:pt>
    <dgm:pt modelId="{80C38D73-6AD1-4E28-BAA9-585560652072}" type="sibTrans" cxnId="{0DE5976F-1C72-40A7-A237-3C36DD768249}">
      <dgm:prSet/>
      <dgm:spPr/>
      <dgm:t>
        <a:bodyPr/>
        <a:lstStyle/>
        <a:p>
          <a:pPr algn="ctr"/>
          <a:endParaRPr lang="fi-FI"/>
        </a:p>
      </dgm:t>
    </dgm:pt>
    <dgm:pt modelId="{7ED05CF8-D84F-4EE2-81D6-4122598D762B}">
      <dgm:prSet phldrT="[Teksti]" custT="1"/>
      <dgm:spPr>
        <a:solidFill>
          <a:schemeClr val="accent3">
            <a:lumMod val="60000"/>
            <a:lumOff val="40000"/>
          </a:schemeClr>
        </a:solidFill>
        <a:ln>
          <a:solidFill>
            <a:schemeClr val="accent3">
              <a:lumMod val="75000"/>
            </a:schemeClr>
          </a:solidFill>
        </a:ln>
      </dgm:spPr>
      <dgm:t>
        <a:bodyPr/>
        <a:lstStyle/>
        <a:p>
          <a:pPr algn="ctr">
            <a:lnSpc>
              <a:spcPct val="90000"/>
            </a:lnSpc>
          </a:pPr>
          <a:endParaRPr lang="fi-FI" sz="10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algn="ctr">
            <a:lnSpc>
              <a:spcPct val="90000"/>
            </a:lnSpc>
          </a:pPr>
          <a:endParaRPr lang="fi-FI" sz="10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algn="ctr">
            <a:lnSpc>
              <a:spcPct val="90000"/>
            </a:lnSpc>
          </a:pPr>
          <a:endParaRPr lang="fi-FI" sz="10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algn="ctr">
            <a:lnSpc>
              <a:spcPct val="90000"/>
            </a:lnSpc>
          </a:pPr>
          <a:endParaRPr lang="fi-FI" sz="11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algn="ctr">
            <a:lnSpc>
              <a:spcPct val="90000"/>
            </a:lnSpc>
          </a:pPr>
          <a:endParaRPr lang="fi-FI" sz="11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algn="ctr">
            <a:lnSpc>
              <a:spcPct val="90000"/>
            </a:lnSpc>
          </a:pPr>
          <a:endParaRPr lang="fi-FI" sz="10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algn="ctr">
            <a:lnSpc>
              <a:spcPct val="120000"/>
            </a:lnSpc>
          </a:pPr>
          <a:r>
            <a:rPr lang="fi-FI" sz="1000">
              <a:solidFill>
                <a:schemeClr val="tx1"/>
              </a:solidFill>
              <a:latin typeface="Cambria" panose="02040503050406030204" pitchFamily="18" charset="0"/>
              <a:ea typeface="Cambria" panose="02040503050406030204" pitchFamily="18" charset="0"/>
              <a:cs typeface="Charis SIL" panose="02000500060000020004" pitchFamily="2" charset="0"/>
            </a:rPr>
            <a:t>Morfoloogia-</a:t>
          </a:r>
          <a:br>
            <a:rPr lang="fi-FI" sz="1000">
              <a:solidFill>
                <a:schemeClr val="tx1"/>
              </a:solidFill>
              <a:latin typeface="Cambria" panose="02040503050406030204" pitchFamily="18" charset="0"/>
              <a:ea typeface="Cambria" panose="02040503050406030204" pitchFamily="18" charset="0"/>
              <a:cs typeface="Charis SIL" panose="02000500060000020004" pitchFamily="2" charset="0"/>
            </a:rPr>
          </a:br>
          <a:r>
            <a:rPr lang="fi-FI" sz="1000">
              <a:solidFill>
                <a:schemeClr val="tx1"/>
              </a:solidFill>
              <a:latin typeface="Cambria" panose="02040503050406030204" pitchFamily="18" charset="0"/>
              <a:ea typeface="Cambria" panose="02040503050406030204" pitchFamily="18" charset="0"/>
              <a:cs typeface="Charis SIL" panose="02000500060000020004" pitchFamily="2" charset="0"/>
            </a:rPr>
            <a:t>teadlikkus</a:t>
          </a:r>
        </a:p>
      </dgm:t>
    </dgm:pt>
    <dgm:pt modelId="{A149BE43-3C19-4D9F-AF47-8DC0713A25DE}" type="sibTrans" cxnId="{66BE7C1E-AFF7-491F-B2A2-1B87C8BE4B6A}">
      <dgm:prSet/>
      <dgm:spPr/>
      <dgm:t>
        <a:bodyPr/>
        <a:lstStyle/>
        <a:p>
          <a:pPr algn="ctr"/>
          <a:endParaRPr lang="fi-FI"/>
        </a:p>
      </dgm:t>
    </dgm:pt>
    <dgm:pt modelId="{F6C134C0-3693-47EC-947B-8B75CFC036D8}" type="parTrans" cxnId="{66BE7C1E-AFF7-491F-B2A2-1B87C8BE4B6A}">
      <dgm:prSet/>
      <dgm:spPr/>
      <dgm:t>
        <a:bodyPr/>
        <a:lstStyle/>
        <a:p>
          <a:pPr algn="ctr"/>
          <a:endParaRPr lang="fi-FI"/>
        </a:p>
      </dgm:t>
    </dgm:pt>
    <dgm:pt modelId="{1913F254-43B2-45C9-910C-202ED9E05DE9}" type="pres">
      <dgm:prSet presAssocID="{C1C0661C-CF2F-476B-B39D-6C21C9976CDC}" presName="cycle" presStyleCnt="0">
        <dgm:presLayoutVars>
          <dgm:chMax val="1"/>
          <dgm:dir/>
          <dgm:animLvl val="ctr"/>
          <dgm:resizeHandles val="exact"/>
        </dgm:presLayoutVars>
      </dgm:prSet>
      <dgm:spPr/>
    </dgm:pt>
    <dgm:pt modelId="{5BD13F76-C9BF-4401-875C-30C81AE6D53D}" type="pres">
      <dgm:prSet presAssocID="{7ED05CF8-D84F-4EE2-81D6-4122598D762B}" presName="centerShape" presStyleLbl="node0" presStyleIdx="0" presStyleCnt="1" custScaleX="133957" custScaleY="138833" custLinFactNeighborX="2477" custLinFactNeighborY="-13781"/>
      <dgm:spPr/>
    </dgm:pt>
    <dgm:pt modelId="{243D51B5-DDC4-484F-9318-8808FC126F98}" type="pres">
      <dgm:prSet presAssocID="{5D7FACDB-35C4-44B6-84BE-712FE77C304B}" presName="parTrans" presStyleLbl="bgSibTrans2D1" presStyleIdx="0" presStyleCnt="3" custFlipVert="1" custFlipHor="1" custScaleX="30911" custScaleY="59953" custLinFactNeighborX="29434" custLinFactNeighborY="-40860"/>
      <dgm:spPr/>
    </dgm:pt>
    <dgm:pt modelId="{428C0679-05BF-45CD-84B8-FDB19529A31F}" type="pres">
      <dgm:prSet presAssocID="{B4809C57-1BFB-4A86-A59B-601D881D9F01}" presName="node" presStyleLbl="node1" presStyleIdx="0" presStyleCnt="3" custScaleX="91552" custScaleY="109459" custRadScaleRad="88046" custRadScaleInc="-78233">
        <dgm:presLayoutVars>
          <dgm:bulletEnabled val="1"/>
        </dgm:presLayoutVars>
      </dgm:prSet>
      <dgm:spPr>
        <a:prstGeom prst="flowChartConnector">
          <a:avLst/>
        </a:prstGeom>
      </dgm:spPr>
    </dgm:pt>
    <dgm:pt modelId="{1C5B682A-4A42-43FE-BCAB-8F346866382F}" type="pres">
      <dgm:prSet presAssocID="{D0A33A63-9E55-4A0F-B88C-5114702DCA45}" presName="parTrans" presStyleLbl="bgSibTrans2D1" presStyleIdx="1" presStyleCnt="3" custAng="461464" custFlipVert="1" custFlipHor="1" custScaleX="23356" custScaleY="64470" custLinFactNeighborX="37109" custLinFactNeighborY="50601"/>
      <dgm:spPr/>
    </dgm:pt>
    <dgm:pt modelId="{F6B397A9-48E9-4132-8E46-1DFC7B87A76A}" type="pres">
      <dgm:prSet presAssocID="{B85F3A0F-786D-44B8-9F1C-233A3105A05F}" presName="node" presStyleLbl="node1" presStyleIdx="1" presStyleCnt="3" custScaleX="106558" custScaleY="126883" custRadScaleRad="121166" custRadScaleInc="-61041">
        <dgm:presLayoutVars>
          <dgm:bulletEnabled val="1"/>
        </dgm:presLayoutVars>
      </dgm:prSet>
      <dgm:spPr>
        <a:prstGeom prst="flowChartConnector">
          <a:avLst/>
        </a:prstGeom>
      </dgm:spPr>
    </dgm:pt>
    <dgm:pt modelId="{074DBFB7-74ED-4F46-B78F-45D66D3AAF4D}" type="pres">
      <dgm:prSet presAssocID="{8E25322B-E2D2-40F6-B712-3C39E2A56B6C}" presName="parTrans" presStyleLbl="bgSibTrans2D1" presStyleIdx="2" presStyleCnt="3" custFlipVert="1" custFlipHor="1" custScaleX="28489" custScaleY="69910" custLinFactNeighborX="-29876" custLinFactNeighborY="55869"/>
      <dgm:spPr/>
    </dgm:pt>
    <dgm:pt modelId="{FCF35D6B-F30F-4BE5-B65A-0FEFE0770EC9}" type="pres">
      <dgm:prSet presAssocID="{09A04623-1F27-4B98-B6B3-0EA311C1319B}" presName="node" presStyleLbl="node1" presStyleIdx="2" presStyleCnt="3" custScaleX="103926" custScaleY="132769" custRadScaleRad="127853" custRadScaleInc="-26722">
        <dgm:presLayoutVars>
          <dgm:bulletEnabled val="1"/>
        </dgm:presLayoutVars>
      </dgm:prSet>
      <dgm:spPr>
        <a:prstGeom prst="flowChartConnector">
          <a:avLst/>
        </a:prstGeom>
      </dgm:spPr>
    </dgm:pt>
  </dgm:ptLst>
  <dgm:cxnLst>
    <dgm:cxn modelId="{17BE0B12-7D34-4F53-8562-0DA3084785A9}" srcId="{7ED05CF8-D84F-4EE2-81D6-4122598D762B}" destId="{B4809C57-1BFB-4A86-A59B-601D881D9F01}" srcOrd="0" destOrd="0" parTransId="{5D7FACDB-35C4-44B6-84BE-712FE77C304B}" sibTransId="{28C791A2-0193-4976-AE41-D76EE3CD430A}"/>
    <dgm:cxn modelId="{66BE7C1E-AFF7-491F-B2A2-1B87C8BE4B6A}" srcId="{C1C0661C-CF2F-476B-B39D-6C21C9976CDC}" destId="{7ED05CF8-D84F-4EE2-81D6-4122598D762B}" srcOrd="0" destOrd="0" parTransId="{F6C134C0-3693-47EC-947B-8B75CFC036D8}" sibTransId="{A149BE43-3C19-4D9F-AF47-8DC0713A25DE}"/>
    <dgm:cxn modelId="{6FDAA02F-9C00-42BE-8F07-E9B47A6CE610}" srcId="{7ED05CF8-D84F-4EE2-81D6-4122598D762B}" destId="{B85F3A0F-786D-44B8-9F1C-233A3105A05F}" srcOrd="1" destOrd="0" parTransId="{D0A33A63-9E55-4A0F-B88C-5114702DCA45}" sibTransId="{3591BD0A-0071-4678-B1E8-1914CC56CD25}"/>
    <dgm:cxn modelId="{1B94213A-7E6D-41FC-8391-DC3A1FF91A4F}" type="presOf" srcId="{B4809C57-1BFB-4A86-A59B-601D881D9F01}" destId="{428C0679-05BF-45CD-84B8-FDB19529A31F}" srcOrd="0" destOrd="0" presId="urn:microsoft.com/office/officeart/2005/8/layout/radial4"/>
    <dgm:cxn modelId="{2E6E985F-B6D8-4F55-B997-D775D48661B6}" type="presOf" srcId="{5D7FACDB-35C4-44B6-84BE-712FE77C304B}" destId="{243D51B5-DDC4-484F-9318-8808FC126F98}" srcOrd="0" destOrd="0" presId="urn:microsoft.com/office/officeart/2005/8/layout/radial4"/>
    <dgm:cxn modelId="{61C6A163-19B6-4945-8E04-C39A5D4CEB89}" type="presOf" srcId="{D0A33A63-9E55-4A0F-B88C-5114702DCA45}" destId="{1C5B682A-4A42-43FE-BCAB-8F346866382F}" srcOrd="0" destOrd="0" presId="urn:microsoft.com/office/officeart/2005/8/layout/radial4"/>
    <dgm:cxn modelId="{29CA5264-D7E2-4896-A1AC-39196FDB77B4}" type="presOf" srcId="{B85F3A0F-786D-44B8-9F1C-233A3105A05F}" destId="{F6B397A9-48E9-4132-8E46-1DFC7B87A76A}" srcOrd="0" destOrd="0" presId="urn:microsoft.com/office/officeart/2005/8/layout/radial4"/>
    <dgm:cxn modelId="{0DE5976F-1C72-40A7-A237-3C36DD768249}" srcId="{C1C0661C-CF2F-476B-B39D-6C21C9976CDC}" destId="{00E2F580-9237-48E3-864C-95CF9D8572E1}" srcOrd="1" destOrd="0" parTransId="{BB78BFA8-647C-48DF-A857-233399D499FB}" sibTransId="{80C38D73-6AD1-4E28-BAA9-585560652072}"/>
    <dgm:cxn modelId="{06BC0F53-A880-4BC3-8CE7-A0FCB354ECEB}" srcId="{7ED05CF8-D84F-4EE2-81D6-4122598D762B}" destId="{09A04623-1F27-4B98-B6B3-0EA311C1319B}" srcOrd="2" destOrd="0" parTransId="{8E25322B-E2D2-40F6-B712-3C39E2A56B6C}" sibTransId="{664F3351-E688-4222-ADB4-0A5073335E1D}"/>
    <dgm:cxn modelId="{51DAAE8B-D3DC-480D-806C-70713345236F}" type="presOf" srcId="{C1C0661C-CF2F-476B-B39D-6C21C9976CDC}" destId="{1913F254-43B2-45C9-910C-202ED9E05DE9}" srcOrd="0" destOrd="0" presId="urn:microsoft.com/office/officeart/2005/8/layout/radial4"/>
    <dgm:cxn modelId="{4C0D71BB-8AE9-4A29-97A7-65898BCA5AE5}" type="presOf" srcId="{7ED05CF8-D84F-4EE2-81D6-4122598D762B}" destId="{5BD13F76-C9BF-4401-875C-30C81AE6D53D}" srcOrd="0" destOrd="0" presId="urn:microsoft.com/office/officeart/2005/8/layout/radial4"/>
    <dgm:cxn modelId="{97BC0FBC-2402-43AA-8294-0A71E22EC4A1}" type="presOf" srcId="{09A04623-1F27-4B98-B6B3-0EA311C1319B}" destId="{FCF35D6B-F30F-4BE5-B65A-0FEFE0770EC9}" srcOrd="0" destOrd="0" presId="urn:microsoft.com/office/officeart/2005/8/layout/radial4"/>
    <dgm:cxn modelId="{E5CE58D2-AA97-4B56-86B6-BA06E701EE6F}" type="presOf" srcId="{8E25322B-E2D2-40F6-B712-3C39E2A56B6C}" destId="{074DBFB7-74ED-4F46-B78F-45D66D3AAF4D}" srcOrd="0" destOrd="0" presId="urn:microsoft.com/office/officeart/2005/8/layout/radial4"/>
    <dgm:cxn modelId="{A678E212-C42A-45E0-BD5C-972D9597D24D}" type="presParOf" srcId="{1913F254-43B2-45C9-910C-202ED9E05DE9}" destId="{5BD13F76-C9BF-4401-875C-30C81AE6D53D}" srcOrd="0" destOrd="0" presId="urn:microsoft.com/office/officeart/2005/8/layout/radial4"/>
    <dgm:cxn modelId="{2694DF0D-98E1-475E-B425-3DDF0CD266EA}" type="presParOf" srcId="{1913F254-43B2-45C9-910C-202ED9E05DE9}" destId="{243D51B5-DDC4-484F-9318-8808FC126F98}" srcOrd="1" destOrd="0" presId="urn:microsoft.com/office/officeart/2005/8/layout/radial4"/>
    <dgm:cxn modelId="{6BCF0997-1E50-4A28-91D0-8B317E7B3D40}" type="presParOf" srcId="{1913F254-43B2-45C9-910C-202ED9E05DE9}" destId="{428C0679-05BF-45CD-84B8-FDB19529A31F}" srcOrd="2" destOrd="0" presId="urn:microsoft.com/office/officeart/2005/8/layout/radial4"/>
    <dgm:cxn modelId="{EE32DCEB-F748-4047-A483-A4FB2F2FD427}" type="presParOf" srcId="{1913F254-43B2-45C9-910C-202ED9E05DE9}" destId="{1C5B682A-4A42-43FE-BCAB-8F346866382F}" srcOrd="3" destOrd="0" presId="urn:microsoft.com/office/officeart/2005/8/layout/radial4"/>
    <dgm:cxn modelId="{9683EA31-8630-47B6-82D1-263400374BDE}" type="presParOf" srcId="{1913F254-43B2-45C9-910C-202ED9E05DE9}" destId="{F6B397A9-48E9-4132-8E46-1DFC7B87A76A}" srcOrd="4" destOrd="0" presId="urn:microsoft.com/office/officeart/2005/8/layout/radial4"/>
    <dgm:cxn modelId="{BBFD2F83-7788-4522-8F9F-829C95094AA7}" type="presParOf" srcId="{1913F254-43B2-45C9-910C-202ED9E05DE9}" destId="{074DBFB7-74ED-4F46-B78F-45D66D3AAF4D}" srcOrd="5" destOrd="0" presId="urn:microsoft.com/office/officeart/2005/8/layout/radial4"/>
    <dgm:cxn modelId="{9DE7EBD2-9D28-4156-A227-EE406BD29431}" type="presParOf" srcId="{1913F254-43B2-45C9-910C-202ED9E05DE9}" destId="{FCF35D6B-F30F-4BE5-B65A-0FEFE0770EC9}" srcOrd="6" destOrd="0" presId="urn:microsoft.com/office/officeart/2005/8/layout/radial4"/>
  </dgm:cxnLst>
  <dgm:bg/>
  <dgm:whole/>
  <dgm:extLst>
    <a:ext uri="http://schemas.microsoft.com/office/drawing/2008/diagram">
      <dsp:dataModelExt xmlns:dsp="http://schemas.microsoft.com/office/drawing/2008/diagram" relId="rId29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77211A-6223-40D7-AC82-E5EB51D51F2C}">
      <dsp:nvSpPr>
        <dsp:cNvPr id="0" name=""/>
        <dsp:cNvSpPr/>
      </dsp:nvSpPr>
      <dsp:spPr>
        <a:xfrm>
          <a:off x="535" y="132501"/>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endParaRPr lang="fi-FI" sz="1500" kern="1200"/>
        </a:p>
      </dsp:txBody>
      <dsp:txXfrm>
        <a:off x="535" y="132501"/>
        <a:ext cx="675279" cy="405167"/>
      </dsp:txXfrm>
    </dsp:sp>
    <dsp:sp modelId="{08EAAB1F-475C-4937-B283-491F96072E7E}">
      <dsp:nvSpPr>
        <dsp:cNvPr id="0" name=""/>
        <dsp:cNvSpPr/>
      </dsp:nvSpPr>
      <dsp:spPr>
        <a:xfrm>
          <a:off x="743343" y="132501"/>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fi-FI" sz="700" kern="1200" baseline="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Fonoloogia- ja ortograafia-teadlikkus</a:t>
          </a:r>
        </a:p>
      </dsp:txBody>
      <dsp:txXfrm>
        <a:off x="743343" y="132501"/>
        <a:ext cx="675279" cy="405167"/>
      </dsp:txXfrm>
    </dsp:sp>
    <dsp:sp modelId="{0F6777DE-279B-4092-A552-8E793B680CD0}">
      <dsp:nvSpPr>
        <dsp:cNvPr id="0" name=""/>
        <dsp:cNvSpPr/>
      </dsp:nvSpPr>
      <dsp:spPr>
        <a:xfrm>
          <a:off x="1486151" y="132501"/>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fi-FI" sz="7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Morfoloogia-teadlikkus</a:t>
          </a:r>
          <a:endParaRPr lang="fi-FI" sz="8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endParaRPr>
        </a:p>
      </dsp:txBody>
      <dsp:txXfrm>
        <a:off x="1486151" y="132501"/>
        <a:ext cx="675279" cy="405167"/>
      </dsp:txXfrm>
    </dsp:sp>
    <dsp:sp modelId="{B524823B-99A3-48D7-86DD-25C4CAD4B480}">
      <dsp:nvSpPr>
        <dsp:cNvPr id="0" name=""/>
        <dsp:cNvSpPr/>
      </dsp:nvSpPr>
      <dsp:spPr>
        <a:xfrm>
          <a:off x="2228958" y="132501"/>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fi-FI" sz="7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Paradigma-teadlikkus</a:t>
          </a:r>
          <a:r>
            <a:rPr lang="fi-FI" sz="700" kern="1200">
              <a:latin typeface="Charis SIL" panose="02000500060000020004" pitchFamily="2" charset="0"/>
              <a:ea typeface="Charis SIL" panose="02000500060000020004" pitchFamily="2" charset="0"/>
              <a:cs typeface="Charis SIL" panose="02000500060000020004" pitchFamily="2" charset="0"/>
            </a:rPr>
            <a:t>s</a:t>
          </a:r>
          <a:endParaRPr lang="fi-FI" sz="800" kern="1200">
            <a:latin typeface="Charis SIL" panose="02000500060000020004" pitchFamily="2" charset="0"/>
            <a:ea typeface="Charis SIL" panose="02000500060000020004" pitchFamily="2" charset="0"/>
            <a:cs typeface="Charis SIL" panose="02000500060000020004" pitchFamily="2" charset="0"/>
          </a:endParaRPr>
        </a:p>
      </dsp:txBody>
      <dsp:txXfrm>
        <a:off x="2228958" y="132501"/>
        <a:ext cx="675279" cy="405167"/>
      </dsp:txXfrm>
    </dsp:sp>
    <dsp:sp modelId="{2D190A8A-C4B0-4EB5-88DE-01F9BA90C3A6}">
      <dsp:nvSpPr>
        <dsp:cNvPr id="0" name=""/>
        <dsp:cNvSpPr/>
      </dsp:nvSpPr>
      <dsp:spPr>
        <a:xfrm>
          <a:off x="2971766" y="132501"/>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fi-FI" sz="7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Pragmaatika- teadlikkus</a:t>
          </a:r>
        </a:p>
      </dsp:txBody>
      <dsp:txXfrm>
        <a:off x="2971766" y="132501"/>
        <a:ext cx="675279" cy="405167"/>
      </dsp:txXfrm>
    </dsp:sp>
    <dsp:sp modelId="{DE94ECF2-FE23-49E3-B0B8-9A46B5B08015}">
      <dsp:nvSpPr>
        <dsp:cNvPr id="0" name=""/>
        <dsp:cNvSpPr/>
      </dsp:nvSpPr>
      <dsp:spPr>
        <a:xfrm>
          <a:off x="3715110" y="132501"/>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fi-FI" sz="7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Võrdlus enam kui ühe keelega</a:t>
          </a:r>
        </a:p>
      </dsp:txBody>
      <dsp:txXfrm>
        <a:off x="3715110" y="132501"/>
        <a:ext cx="675279" cy="405167"/>
      </dsp:txXfrm>
    </dsp:sp>
    <dsp:sp modelId="{B71F9C35-0717-4DE5-8C3D-D78F6F865C9B}">
      <dsp:nvSpPr>
        <dsp:cNvPr id="0" name=""/>
        <dsp:cNvSpPr/>
      </dsp:nvSpPr>
      <dsp:spPr>
        <a:xfrm>
          <a:off x="535" y="605197"/>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i-FI" sz="10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Soomlased</a:t>
          </a:r>
        </a:p>
      </dsp:txBody>
      <dsp:txXfrm>
        <a:off x="535" y="605197"/>
        <a:ext cx="675279" cy="405167"/>
      </dsp:txXfrm>
    </dsp:sp>
    <dsp:sp modelId="{354FFBAD-81A2-4855-BAF9-0EED84889F47}">
      <dsp:nvSpPr>
        <dsp:cNvPr id="0" name=""/>
        <dsp:cNvSpPr/>
      </dsp:nvSpPr>
      <dsp:spPr>
        <a:xfrm>
          <a:off x="743343" y="605197"/>
          <a:ext cx="675279" cy="405167"/>
        </a:xfrm>
        <a:prstGeom prst="roundRect">
          <a:avLst/>
        </a:prstGeom>
        <a:solidFill>
          <a:schemeClr val="accent3">
            <a:lumMod val="60000"/>
            <a:lumOff val="40000"/>
          </a:schemeClr>
        </a:solidFill>
        <a:ln w="12700" cap="flat" cmpd="sng" algn="ctr">
          <a:solidFill>
            <a:schemeClr val="bg1">
              <a:lumMod val="65000"/>
            </a:schemeClr>
          </a:solidFill>
          <a:prstDash val="solid"/>
          <a:miter lim="800000"/>
        </a:ln>
        <a:effectLst/>
      </dsp:spPr>
      <dsp:style>
        <a:lnRef idx="2">
          <a:schemeClr val="accent1">
            <a:shade val="50000"/>
          </a:schemeClr>
        </a:lnRef>
        <a:fillRef idx="1">
          <a:schemeClr val="accent1"/>
        </a:fillRef>
        <a:effectRef idx="0">
          <a:schemeClr val="accent1"/>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763122" y="624976"/>
        <a:ext cx="635721" cy="365609"/>
      </dsp:txXfrm>
    </dsp:sp>
    <dsp:sp modelId="{0926421B-F979-4ECB-A89D-C93FA6AB63AE}">
      <dsp:nvSpPr>
        <dsp:cNvPr id="0" name=""/>
        <dsp:cNvSpPr/>
      </dsp:nvSpPr>
      <dsp:spPr>
        <a:xfrm>
          <a:off x="1486151" y="605197"/>
          <a:ext cx="675279" cy="405167"/>
        </a:xfrm>
        <a:prstGeom prst="roundRect">
          <a:avLst/>
        </a:prstGeom>
        <a:solidFill>
          <a:schemeClr val="accent3">
            <a:lumMod val="60000"/>
            <a:lumOff val="40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1505930" y="624976"/>
        <a:ext cx="635721" cy="365609"/>
      </dsp:txXfrm>
    </dsp:sp>
    <dsp:sp modelId="{786E4163-0619-4500-84BF-EBE6889D89AD}">
      <dsp:nvSpPr>
        <dsp:cNvPr id="0" name=""/>
        <dsp:cNvSpPr/>
      </dsp:nvSpPr>
      <dsp:spPr>
        <a:xfrm>
          <a:off x="2228958" y="605197"/>
          <a:ext cx="675279" cy="405167"/>
        </a:xfrm>
        <a:prstGeom prst="roundRect">
          <a:avLst/>
        </a:prstGeom>
        <a:solidFill>
          <a:schemeClr val="accent3">
            <a:lumMod val="75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2248737" y="624976"/>
        <a:ext cx="635721" cy="365609"/>
      </dsp:txXfrm>
    </dsp:sp>
    <dsp:sp modelId="{7D703421-1C86-4FEB-AF29-E08E0A0528D8}">
      <dsp:nvSpPr>
        <dsp:cNvPr id="0" name=""/>
        <dsp:cNvSpPr/>
      </dsp:nvSpPr>
      <dsp:spPr>
        <a:xfrm>
          <a:off x="2971766" y="605197"/>
          <a:ext cx="675279" cy="405167"/>
        </a:xfrm>
        <a:prstGeom prst="roundRect">
          <a:avLst/>
        </a:prstGeom>
        <a:solidFill>
          <a:schemeClr val="accent3">
            <a:lumMod val="75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2991545" y="624976"/>
        <a:ext cx="635721" cy="365609"/>
      </dsp:txXfrm>
    </dsp:sp>
    <dsp:sp modelId="{C3A6BBAB-7358-4797-8A2F-C89B6D59BB4B}">
      <dsp:nvSpPr>
        <dsp:cNvPr id="0" name=""/>
        <dsp:cNvSpPr/>
      </dsp:nvSpPr>
      <dsp:spPr>
        <a:xfrm>
          <a:off x="3714574" y="605197"/>
          <a:ext cx="675279" cy="405167"/>
        </a:xfrm>
        <a:prstGeom prst="roundRect">
          <a:avLst/>
        </a:prstGeom>
        <a:no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endParaRPr lang="fi-FI" sz="1400" kern="1200"/>
        </a:p>
      </dsp:txBody>
      <dsp:txXfrm>
        <a:off x="3734353" y="624976"/>
        <a:ext cx="635721" cy="365609"/>
      </dsp:txXfrm>
    </dsp:sp>
    <dsp:sp modelId="{8F62DCC7-2F0F-4BBB-8BFD-7EDA7A7F037D}">
      <dsp:nvSpPr>
        <dsp:cNvPr id="0" name=""/>
        <dsp:cNvSpPr/>
      </dsp:nvSpPr>
      <dsp:spPr>
        <a:xfrm>
          <a:off x="535" y="1077893"/>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i-FI" sz="10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Eestlased</a:t>
          </a:r>
        </a:p>
      </dsp:txBody>
      <dsp:txXfrm>
        <a:off x="535" y="1077893"/>
        <a:ext cx="675279" cy="405167"/>
      </dsp:txXfrm>
    </dsp:sp>
    <dsp:sp modelId="{C8BD99AA-442A-4555-B3BF-2630872A3DF2}">
      <dsp:nvSpPr>
        <dsp:cNvPr id="0" name=""/>
        <dsp:cNvSpPr/>
      </dsp:nvSpPr>
      <dsp:spPr>
        <a:xfrm>
          <a:off x="743343" y="1077893"/>
          <a:ext cx="675279" cy="405167"/>
        </a:xfrm>
        <a:prstGeom prst="roundRect">
          <a:avLst/>
        </a:prstGeom>
        <a:solidFill>
          <a:schemeClr val="accent3">
            <a:lumMod val="60000"/>
            <a:lumOff val="40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763122" y="1097672"/>
        <a:ext cx="635721" cy="365609"/>
      </dsp:txXfrm>
    </dsp:sp>
    <dsp:sp modelId="{5241C636-34F1-496F-AA05-619D11129E87}">
      <dsp:nvSpPr>
        <dsp:cNvPr id="0" name=""/>
        <dsp:cNvSpPr/>
      </dsp:nvSpPr>
      <dsp:spPr>
        <a:xfrm>
          <a:off x="1486151" y="1077893"/>
          <a:ext cx="675279" cy="405167"/>
        </a:xfrm>
        <a:prstGeom prst="roundRect">
          <a:avLst/>
        </a:prstGeom>
        <a:solidFill>
          <a:schemeClr val="accent3">
            <a:lumMod val="75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1505930" y="1097672"/>
        <a:ext cx="635721" cy="365609"/>
      </dsp:txXfrm>
    </dsp:sp>
    <dsp:sp modelId="{366CD059-07A3-4696-888D-23726A58E06B}">
      <dsp:nvSpPr>
        <dsp:cNvPr id="0" name=""/>
        <dsp:cNvSpPr/>
      </dsp:nvSpPr>
      <dsp:spPr>
        <a:xfrm>
          <a:off x="2228958" y="1077893"/>
          <a:ext cx="675279" cy="405167"/>
        </a:xfrm>
        <a:prstGeom prst="roundRect">
          <a:avLst/>
        </a:prstGeom>
        <a:solidFill>
          <a:schemeClr val="accent3">
            <a:lumMod val="75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2248737" y="1097672"/>
        <a:ext cx="635721" cy="365609"/>
      </dsp:txXfrm>
    </dsp:sp>
    <dsp:sp modelId="{BFE46996-DB47-4065-AC96-F66B20D33DD5}">
      <dsp:nvSpPr>
        <dsp:cNvPr id="0" name=""/>
        <dsp:cNvSpPr/>
      </dsp:nvSpPr>
      <dsp:spPr>
        <a:xfrm>
          <a:off x="2971766" y="1077893"/>
          <a:ext cx="675279" cy="405167"/>
        </a:xfrm>
        <a:prstGeom prst="roundRect">
          <a:avLst/>
        </a:prstGeom>
        <a:solidFill>
          <a:schemeClr val="accent3">
            <a:lumMod val="20000"/>
            <a:lumOff val="80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2991545" y="1097672"/>
        <a:ext cx="635721" cy="365609"/>
      </dsp:txXfrm>
    </dsp:sp>
    <dsp:sp modelId="{1E68117B-FF97-4823-80FA-89D1CC065E30}">
      <dsp:nvSpPr>
        <dsp:cNvPr id="0" name=""/>
        <dsp:cNvSpPr/>
      </dsp:nvSpPr>
      <dsp:spPr>
        <a:xfrm>
          <a:off x="3714574" y="1077893"/>
          <a:ext cx="675279" cy="405167"/>
        </a:xfrm>
        <a:prstGeom prst="roundRect">
          <a:avLst/>
        </a:prstGeom>
        <a:no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endParaRPr lang="fi-FI" sz="1400" kern="1200"/>
        </a:p>
      </dsp:txBody>
      <dsp:txXfrm>
        <a:off x="3734353" y="1097672"/>
        <a:ext cx="635721" cy="365609"/>
      </dsp:txXfrm>
    </dsp:sp>
    <dsp:sp modelId="{0AEA8754-D9D6-4366-AD04-143B310FEE34}">
      <dsp:nvSpPr>
        <dsp:cNvPr id="0" name=""/>
        <dsp:cNvSpPr/>
      </dsp:nvSpPr>
      <dsp:spPr>
        <a:xfrm>
          <a:off x="535" y="1550589"/>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i-FI" sz="10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Soome-rootslased</a:t>
          </a:r>
          <a:endParaRPr lang="fi-FI" sz="7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endParaRPr>
        </a:p>
      </dsp:txBody>
      <dsp:txXfrm>
        <a:off x="535" y="1550589"/>
        <a:ext cx="675279" cy="405167"/>
      </dsp:txXfrm>
    </dsp:sp>
    <dsp:sp modelId="{0828FC3C-5E8E-4FC8-B287-E387968DDD46}">
      <dsp:nvSpPr>
        <dsp:cNvPr id="0" name=""/>
        <dsp:cNvSpPr/>
      </dsp:nvSpPr>
      <dsp:spPr>
        <a:xfrm>
          <a:off x="743343" y="1550589"/>
          <a:ext cx="675279" cy="405167"/>
        </a:xfrm>
        <a:prstGeom prst="roundRect">
          <a:avLst/>
        </a:prstGeom>
        <a:solidFill>
          <a:schemeClr val="accent3">
            <a:lumMod val="60000"/>
            <a:lumOff val="40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763122" y="1570368"/>
        <a:ext cx="635721" cy="365609"/>
      </dsp:txXfrm>
    </dsp:sp>
    <dsp:sp modelId="{7F124DF4-D394-4670-86A5-8213C10FBD59}">
      <dsp:nvSpPr>
        <dsp:cNvPr id="0" name=""/>
        <dsp:cNvSpPr/>
      </dsp:nvSpPr>
      <dsp:spPr>
        <a:xfrm>
          <a:off x="1486151" y="1550589"/>
          <a:ext cx="675279" cy="405167"/>
        </a:xfrm>
        <a:prstGeom prst="roundRect">
          <a:avLst/>
        </a:prstGeom>
        <a:solidFill>
          <a:schemeClr val="accent3">
            <a:lumMod val="60000"/>
            <a:lumOff val="40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1505930" y="1570368"/>
        <a:ext cx="635721" cy="365609"/>
      </dsp:txXfrm>
    </dsp:sp>
    <dsp:sp modelId="{EDDBC5F2-B952-445D-B6CC-DE46A3C71A65}">
      <dsp:nvSpPr>
        <dsp:cNvPr id="0" name=""/>
        <dsp:cNvSpPr/>
      </dsp:nvSpPr>
      <dsp:spPr>
        <a:xfrm>
          <a:off x="2228958" y="1550589"/>
          <a:ext cx="675279" cy="405167"/>
        </a:xfrm>
        <a:prstGeom prst="roundRect">
          <a:avLst/>
        </a:prstGeom>
        <a:solidFill>
          <a:schemeClr val="accent3">
            <a:lumMod val="75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2248737" y="1570368"/>
        <a:ext cx="635721" cy="365609"/>
      </dsp:txXfrm>
    </dsp:sp>
    <dsp:sp modelId="{97959A92-F2B9-4DA7-8612-F836614CE36E}">
      <dsp:nvSpPr>
        <dsp:cNvPr id="0" name=""/>
        <dsp:cNvSpPr/>
      </dsp:nvSpPr>
      <dsp:spPr>
        <a:xfrm>
          <a:off x="2971766" y="1550589"/>
          <a:ext cx="675279" cy="405167"/>
        </a:xfrm>
        <a:prstGeom prst="roundRect">
          <a:avLst/>
        </a:prstGeom>
        <a:solidFill>
          <a:schemeClr val="accent3">
            <a:lumMod val="75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2991545" y="1570368"/>
        <a:ext cx="635721" cy="365609"/>
      </dsp:txXfrm>
    </dsp:sp>
    <dsp:sp modelId="{610C8C40-728A-4FBC-8C2E-85B595807887}">
      <dsp:nvSpPr>
        <dsp:cNvPr id="0" name=""/>
        <dsp:cNvSpPr/>
      </dsp:nvSpPr>
      <dsp:spPr>
        <a:xfrm>
          <a:off x="3714574" y="1550589"/>
          <a:ext cx="675279" cy="405167"/>
        </a:xfrm>
        <a:prstGeom prst="roundRect">
          <a:avLst/>
        </a:prstGeom>
        <a:solidFill>
          <a:schemeClr val="accent3">
            <a:lumMod val="60000"/>
            <a:lumOff val="40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3734353" y="1570368"/>
        <a:ext cx="635721" cy="365609"/>
      </dsp:txXfrm>
    </dsp:sp>
    <dsp:sp modelId="{DABC00CF-8684-4536-A772-6EB9196DF526}">
      <dsp:nvSpPr>
        <dsp:cNvPr id="0" name=""/>
        <dsp:cNvSpPr/>
      </dsp:nvSpPr>
      <dsp:spPr>
        <a:xfrm>
          <a:off x="535" y="2023285"/>
          <a:ext cx="675279" cy="405167"/>
        </a:xfrm>
        <a:prstGeom prst="rect">
          <a:avLst/>
        </a:prstGeom>
        <a:no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i-FI" sz="1000" kern="1200">
              <a:solidFill>
                <a:sysClr val="windowText" lastClr="000000"/>
              </a:solidFill>
              <a:latin typeface="Charis SIL" panose="02000500060000020004" pitchFamily="2" charset="0"/>
              <a:ea typeface="Charis SIL" panose="02000500060000020004" pitchFamily="2" charset="0"/>
              <a:cs typeface="Charis SIL" panose="02000500060000020004" pitchFamily="2" charset="0"/>
            </a:rPr>
            <a:t>Eesti-venelased</a:t>
          </a:r>
        </a:p>
      </dsp:txBody>
      <dsp:txXfrm>
        <a:off x="535" y="2023285"/>
        <a:ext cx="675279" cy="405167"/>
      </dsp:txXfrm>
    </dsp:sp>
    <dsp:sp modelId="{439BA7DE-31F4-43EF-BABE-9177E1E21D95}">
      <dsp:nvSpPr>
        <dsp:cNvPr id="0" name=""/>
        <dsp:cNvSpPr/>
      </dsp:nvSpPr>
      <dsp:spPr>
        <a:xfrm>
          <a:off x="743343" y="2023285"/>
          <a:ext cx="675279" cy="405167"/>
        </a:xfrm>
        <a:prstGeom prst="roundRect">
          <a:avLst/>
        </a:prstGeom>
        <a:solidFill>
          <a:schemeClr val="accent3">
            <a:lumMod val="75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763122" y="2043064"/>
        <a:ext cx="635721" cy="365609"/>
      </dsp:txXfrm>
    </dsp:sp>
    <dsp:sp modelId="{528A10FE-A6C4-4A1A-A8C5-3BF43006DCB6}">
      <dsp:nvSpPr>
        <dsp:cNvPr id="0" name=""/>
        <dsp:cNvSpPr/>
      </dsp:nvSpPr>
      <dsp:spPr>
        <a:xfrm>
          <a:off x="1486151" y="2023285"/>
          <a:ext cx="675279" cy="405167"/>
        </a:xfrm>
        <a:prstGeom prst="roundRect">
          <a:avLst/>
        </a:prstGeom>
        <a:solidFill>
          <a:schemeClr val="accent3">
            <a:lumMod val="60000"/>
            <a:lumOff val="40000"/>
          </a:schemeClr>
        </a:solid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fi-FI" sz="1600" kern="1200"/>
            <a:t>X</a:t>
          </a:r>
        </a:p>
      </dsp:txBody>
      <dsp:txXfrm>
        <a:off x="1505930" y="2043064"/>
        <a:ext cx="635721" cy="365609"/>
      </dsp:txXfrm>
    </dsp:sp>
    <dsp:sp modelId="{0F5C452C-822E-4CEE-84F0-11E01D0F30DA}">
      <dsp:nvSpPr>
        <dsp:cNvPr id="0" name=""/>
        <dsp:cNvSpPr/>
      </dsp:nvSpPr>
      <dsp:spPr>
        <a:xfrm>
          <a:off x="2228958" y="2023285"/>
          <a:ext cx="675279" cy="405167"/>
        </a:xfrm>
        <a:prstGeom prst="roundRect">
          <a:avLst/>
        </a:prstGeom>
        <a:no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endParaRPr lang="fi-FI" sz="1400" kern="1200"/>
        </a:p>
      </dsp:txBody>
      <dsp:txXfrm>
        <a:off x="2248737" y="2043064"/>
        <a:ext cx="635721" cy="365609"/>
      </dsp:txXfrm>
    </dsp:sp>
    <dsp:sp modelId="{3EB96379-BCA4-4EA1-8CFE-71DE19D08D8D}">
      <dsp:nvSpPr>
        <dsp:cNvPr id="0" name=""/>
        <dsp:cNvSpPr/>
      </dsp:nvSpPr>
      <dsp:spPr>
        <a:xfrm>
          <a:off x="2971766" y="2023285"/>
          <a:ext cx="675279" cy="405167"/>
        </a:xfrm>
        <a:prstGeom prst="roundRect">
          <a:avLst/>
        </a:prstGeom>
        <a:no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endParaRPr lang="fi-FI" sz="1400" kern="1200"/>
        </a:p>
      </dsp:txBody>
      <dsp:txXfrm>
        <a:off x="2991545" y="2043064"/>
        <a:ext cx="635721" cy="365609"/>
      </dsp:txXfrm>
    </dsp:sp>
    <dsp:sp modelId="{D753D430-D2BE-463D-AF71-C8C7E7BCED00}">
      <dsp:nvSpPr>
        <dsp:cNvPr id="0" name=""/>
        <dsp:cNvSpPr/>
      </dsp:nvSpPr>
      <dsp:spPr>
        <a:xfrm>
          <a:off x="3714574" y="2023285"/>
          <a:ext cx="675279" cy="405167"/>
        </a:xfrm>
        <a:prstGeom prst="roundRect">
          <a:avLst/>
        </a:prstGeom>
        <a:noFill/>
        <a:ln w="12700" cap="flat" cmpd="sng" algn="ctr">
          <a:solidFill>
            <a:schemeClr val="bg1">
              <a:lumMod val="6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endParaRPr lang="fi-FI" sz="1400" kern="1200"/>
        </a:p>
      </dsp:txBody>
      <dsp:txXfrm>
        <a:off x="3734353" y="2043064"/>
        <a:ext cx="635721" cy="36560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D13F76-C9BF-4401-875C-30C81AE6D53D}">
      <dsp:nvSpPr>
        <dsp:cNvPr id="0" name=""/>
        <dsp:cNvSpPr/>
      </dsp:nvSpPr>
      <dsp:spPr>
        <a:xfrm>
          <a:off x="1193501" y="932047"/>
          <a:ext cx="1679493" cy="1740626"/>
        </a:xfrm>
        <a:prstGeom prst="ellipse">
          <a:avLst/>
        </a:prstGeom>
        <a:solidFill>
          <a:schemeClr val="accent3">
            <a:lumMod val="60000"/>
            <a:lumOff val="40000"/>
          </a:schemeClr>
        </a:solidFill>
        <a:ln w="12700" cap="flat" cmpd="sng" algn="ctr">
          <a:solidFill>
            <a:schemeClr val="accent3">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endParaRPr lang="fi-FI" sz="1000" kern="12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marL="0" lvl="0" indent="0" algn="ctr" defTabSz="444500">
            <a:lnSpc>
              <a:spcPct val="90000"/>
            </a:lnSpc>
            <a:spcBef>
              <a:spcPct val="0"/>
            </a:spcBef>
            <a:spcAft>
              <a:spcPct val="35000"/>
            </a:spcAft>
            <a:buNone/>
          </a:pPr>
          <a:endParaRPr lang="fi-FI" sz="1000" kern="12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marL="0" lvl="0" indent="0" algn="ctr" defTabSz="444500">
            <a:lnSpc>
              <a:spcPct val="90000"/>
            </a:lnSpc>
            <a:spcBef>
              <a:spcPct val="0"/>
            </a:spcBef>
            <a:spcAft>
              <a:spcPct val="35000"/>
            </a:spcAft>
            <a:buNone/>
          </a:pPr>
          <a:endParaRPr lang="fi-FI" sz="1000" kern="12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marL="0" lvl="0" indent="0" algn="ctr" defTabSz="444500">
            <a:lnSpc>
              <a:spcPct val="90000"/>
            </a:lnSpc>
            <a:spcBef>
              <a:spcPct val="0"/>
            </a:spcBef>
            <a:spcAft>
              <a:spcPct val="35000"/>
            </a:spcAft>
            <a:buNone/>
          </a:pPr>
          <a:endParaRPr lang="fi-FI" sz="1100" kern="12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marL="0" lvl="0" indent="0" algn="ctr" defTabSz="444500">
            <a:lnSpc>
              <a:spcPct val="90000"/>
            </a:lnSpc>
            <a:spcBef>
              <a:spcPct val="0"/>
            </a:spcBef>
            <a:spcAft>
              <a:spcPct val="35000"/>
            </a:spcAft>
            <a:buNone/>
          </a:pPr>
          <a:endParaRPr lang="fi-FI" sz="1100" kern="12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marL="0" lvl="0" indent="0" algn="ctr" defTabSz="444500">
            <a:lnSpc>
              <a:spcPct val="90000"/>
            </a:lnSpc>
            <a:spcBef>
              <a:spcPct val="0"/>
            </a:spcBef>
            <a:spcAft>
              <a:spcPct val="35000"/>
            </a:spcAft>
            <a:buNone/>
          </a:pPr>
          <a:endParaRPr lang="fi-FI" sz="1000" kern="1200">
            <a:solidFill>
              <a:schemeClr val="tx1"/>
            </a:solidFill>
            <a:latin typeface="Cambria" panose="02040503050406030204" pitchFamily="18" charset="0"/>
            <a:ea typeface="Cambria" panose="02040503050406030204" pitchFamily="18" charset="0"/>
            <a:cs typeface="Charis SIL" panose="02000500060000020004" pitchFamily="2" charset="0"/>
          </a:endParaRPr>
        </a:p>
        <a:p>
          <a:pPr marL="0" lvl="0" indent="0" algn="ctr" defTabSz="444500">
            <a:lnSpc>
              <a:spcPct val="120000"/>
            </a:lnSpc>
            <a:spcBef>
              <a:spcPct val="0"/>
            </a:spcBef>
            <a:spcAft>
              <a:spcPct val="35000"/>
            </a:spcAft>
            <a:buNone/>
          </a:pPr>
          <a:r>
            <a:rPr lang="fi-FI" sz="1000" kern="1200">
              <a:solidFill>
                <a:schemeClr val="tx1"/>
              </a:solidFill>
              <a:latin typeface="Cambria" panose="02040503050406030204" pitchFamily="18" charset="0"/>
              <a:ea typeface="Cambria" panose="02040503050406030204" pitchFamily="18" charset="0"/>
              <a:cs typeface="Charis SIL" panose="02000500060000020004" pitchFamily="2" charset="0"/>
            </a:rPr>
            <a:t>Morfoloogia-</a:t>
          </a:r>
          <a:br>
            <a:rPr lang="fi-FI" sz="1000" kern="1200">
              <a:solidFill>
                <a:schemeClr val="tx1"/>
              </a:solidFill>
              <a:latin typeface="Cambria" panose="02040503050406030204" pitchFamily="18" charset="0"/>
              <a:ea typeface="Cambria" panose="02040503050406030204" pitchFamily="18" charset="0"/>
              <a:cs typeface="Charis SIL" panose="02000500060000020004" pitchFamily="2" charset="0"/>
            </a:rPr>
          </a:br>
          <a:r>
            <a:rPr lang="fi-FI" sz="1000" kern="1200">
              <a:solidFill>
                <a:schemeClr val="tx1"/>
              </a:solidFill>
              <a:latin typeface="Cambria" panose="02040503050406030204" pitchFamily="18" charset="0"/>
              <a:ea typeface="Cambria" panose="02040503050406030204" pitchFamily="18" charset="0"/>
              <a:cs typeface="Charis SIL" panose="02000500060000020004" pitchFamily="2" charset="0"/>
            </a:rPr>
            <a:t>teadlikkus</a:t>
          </a:r>
        </a:p>
      </dsp:txBody>
      <dsp:txXfrm>
        <a:off x="1439457" y="1186956"/>
        <a:ext cx="1187581" cy="1230808"/>
      </dsp:txXfrm>
    </dsp:sp>
    <dsp:sp modelId="{243D51B5-DDC4-484F-9318-8808FC126F98}">
      <dsp:nvSpPr>
        <dsp:cNvPr id="0" name=""/>
        <dsp:cNvSpPr/>
      </dsp:nvSpPr>
      <dsp:spPr>
        <a:xfrm rot="9148024" flipH="1" flipV="1">
          <a:off x="1003762" y="2143214"/>
          <a:ext cx="243054" cy="214224"/>
        </a:xfrm>
        <a:prstGeom prst="leftArrow">
          <a:avLst>
            <a:gd name="adj1" fmla="val 60000"/>
            <a:gd name="adj2" fmla="val 50000"/>
          </a:avLst>
        </a:prstGeom>
        <a:solidFill>
          <a:schemeClr val="accent3">
            <a:lumMod val="40000"/>
            <a:lumOff val="60000"/>
          </a:schemeClr>
        </a:solidFill>
        <a:ln>
          <a:solidFill>
            <a:schemeClr val="accent3">
              <a:lumMod val="75000"/>
            </a:schemeClr>
          </a:solidFill>
        </a:ln>
        <a:effectLst/>
      </dsp:spPr>
      <dsp:style>
        <a:lnRef idx="0">
          <a:scrgbClr r="0" g="0" b="0"/>
        </a:lnRef>
        <a:fillRef idx="1">
          <a:scrgbClr r="0" g="0" b="0"/>
        </a:fillRef>
        <a:effectRef idx="0">
          <a:scrgbClr r="0" g="0" b="0"/>
        </a:effectRef>
        <a:fontRef idx="minor">
          <a:schemeClr val="lt1"/>
        </a:fontRef>
      </dsp:style>
    </dsp:sp>
    <dsp:sp modelId="{428C0679-05BF-45CD-84B8-FDB19529A31F}">
      <dsp:nvSpPr>
        <dsp:cNvPr id="0" name=""/>
        <dsp:cNvSpPr/>
      </dsp:nvSpPr>
      <dsp:spPr>
        <a:xfrm>
          <a:off x="0" y="2056572"/>
          <a:ext cx="1090446" cy="1042985"/>
        </a:xfrm>
        <a:prstGeom prst="flowChartConnector">
          <a:avLst/>
        </a:prstGeom>
        <a:solidFill>
          <a:schemeClr val="accent3">
            <a:lumMod val="75000"/>
          </a:schemeClr>
        </a:solidFill>
        <a:ln w="12700" cap="flat" cmpd="sng" algn="ctr">
          <a:solidFill>
            <a:schemeClr val="accent3">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120000"/>
            </a:lnSpc>
            <a:spcBef>
              <a:spcPct val="0"/>
            </a:spcBef>
            <a:spcAft>
              <a:spcPct val="35000"/>
            </a:spcAft>
            <a:buNone/>
          </a:pPr>
          <a:r>
            <a:rPr lang="fi-FI" sz="1000" kern="1200">
              <a:latin typeface="Cambria" panose="02040503050406030204" pitchFamily="18" charset="0"/>
              <a:ea typeface="Cambria" panose="02040503050406030204" pitchFamily="18" charset="0"/>
              <a:cs typeface="Charis SIL" panose="02000500060000020004" pitchFamily="2" charset="0"/>
            </a:rPr>
            <a:t>Teised keeled</a:t>
          </a:r>
        </a:p>
      </dsp:txBody>
      <dsp:txXfrm>
        <a:off x="159692" y="2209314"/>
        <a:ext cx="771062" cy="737501"/>
      </dsp:txXfrm>
    </dsp:sp>
    <dsp:sp modelId="{1C5B682A-4A42-43FE-BCAB-8F346866382F}">
      <dsp:nvSpPr>
        <dsp:cNvPr id="0" name=""/>
        <dsp:cNvSpPr/>
      </dsp:nvSpPr>
      <dsp:spPr>
        <a:xfrm rot="13784799" flipH="1" flipV="1">
          <a:off x="1262185" y="975138"/>
          <a:ext cx="200775" cy="230364"/>
        </a:xfrm>
        <a:prstGeom prst="leftArrow">
          <a:avLst>
            <a:gd name="adj1" fmla="val 60000"/>
            <a:gd name="adj2" fmla="val 50000"/>
          </a:avLst>
        </a:prstGeom>
        <a:solidFill>
          <a:schemeClr val="accent3">
            <a:lumMod val="40000"/>
            <a:lumOff val="60000"/>
          </a:schemeClr>
        </a:solidFill>
        <a:ln>
          <a:solidFill>
            <a:schemeClr val="accent3">
              <a:lumMod val="75000"/>
            </a:schemeClr>
          </a:solidFill>
        </a:ln>
        <a:effectLst/>
      </dsp:spPr>
      <dsp:style>
        <a:lnRef idx="0">
          <a:scrgbClr r="0" g="0" b="0"/>
        </a:lnRef>
        <a:fillRef idx="1">
          <a:scrgbClr r="0" g="0" b="0"/>
        </a:fillRef>
        <a:effectRef idx="0">
          <a:scrgbClr r="0" g="0" b="0"/>
        </a:effectRef>
        <a:fontRef idx="minor">
          <a:schemeClr val="lt1"/>
        </a:fontRef>
      </dsp:style>
    </dsp:sp>
    <dsp:sp modelId="{F6B397A9-48E9-4132-8E46-1DFC7B87A76A}">
      <dsp:nvSpPr>
        <dsp:cNvPr id="0" name=""/>
        <dsp:cNvSpPr/>
      </dsp:nvSpPr>
      <dsp:spPr>
        <a:xfrm>
          <a:off x="89848" y="17095"/>
          <a:ext cx="1269178" cy="1209010"/>
        </a:xfrm>
        <a:prstGeom prst="flowChartConnector">
          <a:avLst/>
        </a:prstGeom>
        <a:solidFill>
          <a:schemeClr val="accent3">
            <a:lumMod val="75000"/>
          </a:schemeClr>
        </a:solidFill>
        <a:ln w="12700" cap="flat" cmpd="sng" algn="ctr">
          <a:solidFill>
            <a:schemeClr val="accent3">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90000"/>
            </a:lnSpc>
            <a:spcBef>
              <a:spcPct val="0"/>
            </a:spcBef>
            <a:spcAft>
              <a:spcPct val="35000"/>
            </a:spcAft>
            <a:buNone/>
          </a:pPr>
          <a:r>
            <a:rPr lang="fi-FI" sz="1000" kern="1200">
              <a:latin typeface="Cambria" panose="02040503050406030204" pitchFamily="18" charset="0"/>
              <a:ea typeface="Cambria" panose="02040503050406030204" pitchFamily="18" charset="0"/>
              <a:cs typeface="Charis SIL" panose="02000500060000020004" pitchFamily="2" charset="0"/>
            </a:rPr>
            <a:t>Paradigma-</a:t>
          </a:r>
        </a:p>
        <a:p>
          <a:pPr marL="0" lvl="0" indent="0" algn="ctr" defTabSz="444500">
            <a:lnSpc>
              <a:spcPct val="90000"/>
            </a:lnSpc>
            <a:spcBef>
              <a:spcPct val="0"/>
            </a:spcBef>
            <a:spcAft>
              <a:spcPct val="35000"/>
            </a:spcAft>
            <a:buNone/>
          </a:pPr>
          <a:r>
            <a:rPr lang="fi-FI" sz="1000" kern="1200">
              <a:latin typeface="Cambria" panose="02040503050406030204" pitchFamily="18" charset="0"/>
              <a:ea typeface="Cambria" panose="02040503050406030204" pitchFamily="18" charset="0"/>
              <a:cs typeface="Charis SIL" panose="02000500060000020004" pitchFamily="2" charset="0"/>
            </a:rPr>
            <a:t>teadlikkus</a:t>
          </a:r>
        </a:p>
      </dsp:txBody>
      <dsp:txXfrm>
        <a:off x="275715" y="194150"/>
        <a:ext cx="897444" cy="854900"/>
      </dsp:txXfrm>
    </dsp:sp>
    <dsp:sp modelId="{074DBFB7-74ED-4F46-B78F-45D66D3AAF4D}">
      <dsp:nvSpPr>
        <dsp:cNvPr id="0" name=""/>
        <dsp:cNvSpPr/>
      </dsp:nvSpPr>
      <dsp:spPr>
        <a:xfrm rot="19052504" flipH="1" flipV="1">
          <a:off x="2638341" y="987853"/>
          <a:ext cx="236820" cy="249802"/>
        </a:xfrm>
        <a:prstGeom prst="leftArrow">
          <a:avLst>
            <a:gd name="adj1" fmla="val 60000"/>
            <a:gd name="adj2" fmla="val 50000"/>
          </a:avLst>
        </a:prstGeom>
        <a:solidFill>
          <a:schemeClr val="accent3">
            <a:lumMod val="40000"/>
            <a:lumOff val="60000"/>
          </a:schemeClr>
        </a:solidFill>
        <a:ln>
          <a:solidFill>
            <a:schemeClr val="accent3">
              <a:lumMod val="75000"/>
            </a:schemeClr>
          </a:solidFill>
        </a:ln>
        <a:effectLst/>
      </dsp:spPr>
      <dsp:style>
        <a:lnRef idx="0">
          <a:scrgbClr r="0" g="0" b="0"/>
        </a:lnRef>
        <a:fillRef idx="1">
          <a:scrgbClr r="0" g="0" b="0"/>
        </a:fillRef>
        <a:effectRef idx="0">
          <a:scrgbClr r="0" g="0" b="0"/>
        </a:effectRef>
        <a:fontRef idx="minor">
          <a:schemeClr val="lt1"/>
        </a:fontRef>
      </dsp:style>
    </dsp:sp>
    <dsp:sp modelId="{FCF35D6B-F30F-4BE5-B65A-0FEFE0770EC9}">
      <dsp:nvSpPr>
        <dsp:cNvPr id="0" name=""/>
        <dsp:cNvSpPr/>
      </dsp:nvSpPr>
      <dsp:spPr>
        <a:xfrm>
          <a:off x="2692829" y="0"/>
          <a:ext cx="1237829" cy="1265095"/>
        </a:xfrm>
        <a:prstGeom prst="flowChartConnector">
          <a:avLst/>
        </a:prstGeom>
        <a:solidFill>
          <a:schemeClr val="accent3">
            <a:lumMod val="75000"/>
          </a:schemeClr>
        </a:solidFill>
        <a:ln w="12700" cap="flat" cmpd="sng" algn="ctr">
          <a:solidFill>
            <a:schemeClr val="accent3">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444500">
            <a:lnSpc>
              <a:spcPct val="120000"/>
            </a:lnSpc>
            <a:spcBef>
              <a:spcPct val="0"/>
            </a:spcBef>
            <a:spcAft>
              <a:spcPct val="35000"/>
            </a:spcAft>
            <a:buNone/>
          </a:pPr>
          <a:r>
            <a:rPr lang="fi-FI" sz="1000" kern="1200">
              <a:latin typeface="Cambria" panose="02040503050406030204" pitchFamily="18" charset="0"/>
              <a:ea typeface="Cambria" panose="02040503050406030204" pitchFamily="18" charset="0"/>
              <a:cs typeface="Charis SIL" panose="02000500060000020004" pitchFamily="2" charset="0"/>
            </a:rPr>
            <a:t>Pragmaatika-teadlikkus</a:t>
          </a:r>
        </a:p>
      </dsp:txBody>
      <dsp:txXfrm>
        <a:off x="2874105" y="185269"/>
        <a:ext cx="875277" cy="894557"/>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0D88AA-8A80-47F4-9968-4E6BCC93E9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6349</TotalTime>
  <Pages>1</Pages>
  <Words>192666</Words>
  <Characters>1098202</Characters>
  <Application>Microsoft Office Word</Application>
  <DocSecurity>0</DocSecurity>
  <Lines>9151</Lines>
  <Paragraphs>2576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1288292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Bradley</dc:creator>
  <cp:keywords/>
  <dc:description/>
  <cp:lastModifiedBy>Jeremy Bradley</cp:lastModifiedBy>
  <cp:revision>15</cp:revision>
  <cp:lastPrinted>2022-11-23T13:02:00Z</cp:lastPrinted>
  <dcterms:created xsi:type="dcterms:W3CDTF">2022-11-18T01:18:00Z</dcterms:created>
  <dcterms:modified xsi:type="dcterms:W3CDTF">2022-11-23T13:09:00Z</dcterms:modified>
</cp:coreProperties>
</file>